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F69" w:rsidRDefault="00D81F69">
      <w:pPr>
        <w:pStyle w:val="Corpodetexto"/>
        <w:ind w:left="0"/>
        <w:jc w:val="left"/>
        <w:rPr>
          <w:rFonts w:ascii="Times New Roman"/>
          <w:sz w:val="20"/>
        </w:rPr>
      </w:pPr>
    </w:p>
    <w:p w:rsidR="00D81F69" w:rsidRDefault="00D81F69">
      <w:pPr>
        <w:pStyle w:val="Corpodetexto"/>
        <w:ind w:left="0"/>
        <w:jc w:val="left"/>
        <w:rPr>
          <w:rFonts w:ascii="Times New Roman"/>
          <w:sz w:val="20"/>
        </w:rPr>
      </w:pPr>
    </w:p>
    <w:p w:rsidR="00D81F69" w:rsidRDefault="00D81F69">
      <w:pPr>
        <w:pStyle w:val="Corpodetexto"/>
        <w:ind w:left="0"/>
        <w:jc w:val="left"/>
        <w:rPr>
          <w:rFonts w:ascii="Times New Roman"/>
          <w:sz w:val="20"/>
        </w:rPr>
      </w:pPr>
    </w:p>
    <w:p w:rsidR="00D81F69" w:rsidRDefault="00D81F69">
      <w:pPr>
        <w:pStyle w:val="Corpodetexto"/>
        <w:ind w:left="0"/>
        <w:jc w:val="left"/>
        <w:rPr>
          <w:rFonts w:ascii="Times New Roman"/>
          <w:sz w:val="20"/>
        </w:rPr>
      </w:pPr>
    </w:p>
    <w:p w:rsidR="00D81F69" w:rsidRDefault="00D81F69">
      <w:pPr>
        <w:pStyle w:val="Corpodetexto"/>
        <w:ind w:left="0"/>
        <w:jc w:val="left"/>
        <w:rPr>
          <w:rFonts w:ascii="Times New Roman"/>
          <w:sz w:val="20"/>
        </w:rPr>
      </w:pPr>
    </w:p>
    <w:p w:rsidR="00D81F69" w:rsidRDefault="00D81F69">
      <w:pPr>
        <w:pStyle w:val="Corpodetexto"/>
        <w:ind w:left="0"/>
        <w:jc w:val="left"/>
        <w:rPr>
          <w:rFonts w:ascii="Times New Roman"/>
          <w:sz w:val="20"/>
        </w:rPr>
      </w:pPr>
    </w:p>
    <w:p w:rsidR="00D81F69" w:rsidRDefault="00D81F69">
      <w:pPr>
        <w:pStyle w:val="Corpodetexto"/>
        <w:ind w:left="0"/>
        <w:jc w:val="left"/>
        <w:rPr>
          <w:rFonts w:ascii="Times New Roman"/>
          <w:sz w:val="20"/>
        </w:rPr>
      </w:pPr>
    </w:p>
    <w:p w:rsidR="00D81F69" w:rsidRDefault="00D81F69">
      <w:pPr>
        <w:pStyle w:val="Corpodetexto"/>
        <w:ind w:left="0"/>
        <w:jc w:val="left"/>
        <w:rPr>
          <w:rFonts w:ascii="Times New Roman"/>
          <w:sz w:val="20"/>
        </w:rPr>
      </w:pPr>
    </w:p>
    <w:p w:rsidR="00D81F69" w:rsidRDefault="00D81F69">
      <w:pPr>
        <w:pStyle w:val="Corpodetexto"/>
        <w:ind w:left="0"/>
        <w:jc w:val="left"/>
        <w:rPr>
          <w:rFonts w:ascii="Times New Roman"/>
          <w:sz w:val="20"/>
        </w:rPr>
      </w:pPr>
    </w:p>
    <w:p w:rsidR="00D81F69" w:rsidRDefault="00D81F69">
      <w:pPr>
        <w:pStyle w:val="Corpodetexto"/>
        <w:ind w:left="0"/>
        <w:jc w:val="left"/>
        <w:rPr>
          <w:rFonts w:ascii="Times New Roman"/>
          <w:sz w:val="20"/>
        </w:rPr>
      </w:pPr>
    </w:p>
    <w:p w:rsidR="00D81F69" w:rsidRDefault="00D81F69">
      <w:pPr>
        <w:pStyle w:val="Corpodetexto"/>
        <w:ind w:left="0"/>
        <w:jc w:val="left"/>
        <w:rPr>
          <w:rFonts w:ascii="Times New Roman"/>
          <w:sz w:val="20"/>
        </w:rPr>
      </w:pPr>
    </w:p>
    <w:p w:rsidR="00D81F69" w:rsidRDefault="00D81F69">
      <w:pPr>
        <w:pStyle w:val="Corpodetexto"/>
        <w:ind w:left="0"/>
        <w:jc w:val="left"/>
        <w:rPr>
          <w:rFonts w:ascii="Times New Roman"/>
          <w:sz w:val="20"/>
        </w:rPr>
      </w:pPr>
    </w:p>
    <w:p w:rsidR="00D81F69" w:rsidRDefault="00D81F69">
      <w:pPr>
        <w:pStyle w:val="Corpodetexto"/>
        <w:ind w:left="0"/>
        <w:jc w:val="left"/>
        <w:rPr>
          <w:rFonts w:ascii="Times New Roman"/>
          <w:sz w:val="20"/>
        </w:rPr>
      </w:pPr>
    </w:p>
    <w:p w:rsidR="00D81F69" w:rsidRDefault="00D81F69">
      <w:pPr>
        <w:pStyle w:val="Corpodetexto"/>
        <w:ind w:left="0"/>
        <w:jc w:val="left"/>
        <w:rPr>
          <w:rFonts w:ascii="Times New Roman"/>
          <w:sz w:val="20"/>
        </w:rPr>
      </w:pPr>
    </w:p>
    <w:p w:rsidR="00D81F69" w:rsidRPr="00392EAD" w:rsidRDefault="00D81F69">
      <w:pPr>
        <w:spacing w:before="216" w:line="749" w:lineRule="exact"/>
        <w:ind w:right="11669"/>
        <w:jc w:val="center"/>
        <w:rPr>
          <w:b/>
          <w:sz w:val="83"/>
          <w:lang w:val="pt-BR"/>
        </w:rPr>
      </w:pPr>
      <w:r w:rsidRPr="00D81F69">
        <w:pict>
          <v:group id="_x0000_s1262" style="position:absolute;left:0;text-align:left;margin-left:33.55pt;margin-top:-161.05pt;width:854.6pt;height:663pt;z-index:-357064;mso-position-horizontal-relative:page" coordorigin="671,-3221" coordsize="17092,13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65" type="#_x0000_t75" style="position:absolute;left:670;top:-3222;width:17084;height:12020">
              <v:imagedata r:id="rId7" o:title=""/>
            </v:shape>
            <v:line id="_x0000_s1264" style="position:absolute" from="685,10038" to="685,8828" strokeweight=".50881mm"/>
            <v:line id="_x0000_s1263" style="position:absolute" from="17755,10038" to="17755,8828" strokeweight=".25442mm"/>
            <w10:wrap anchorx="page"/>
          </v:group>
        </w:pict>
      </w:r>
      <w:bookmarkStart w:id="0" w:name="Página_1"/>
      <w:bookmarkEnd w:id="0"/>
      <w:r w:rsidR="00330118" w:rsidRPr="00392EAD">
        <w:rPr>
          <w:b/>
          <w:color w:val="0172B3"/>
          <w:w w:val="104"/>
          <w:sz w:val="83"/>
          <w:lang w:val="pt-BR"/>
        </w:rPr>
        <w:t>n</w:t>
      </w:r>
    </w:p>
    <w:p w:rsidR="00D81F69" w:rsidRPr="00392EAD" w:rsidRDefault="00D81F69">
      <w:pPr>
        <w:tabs>
          <w:tab w:val="left" w:pos="347"/>
        </w:tabs>
        <w:spacing w:line="751" w:lineRule="exact"/>
        <w:ind w:right="11992"/>
        <w:jc w:val="center"/>
        <w:rPr>
          <w:rFonts w:ascii="Courier New"/>
          <w:sz w:val="88"/>
          <w:lang w:val="pt-BR"/>
        </w:rPr>
      </w:pPr>
      <w:r w:rsidRPr="00D81F69">
        <w:pict>
          <v:shapetype id="_x0000_t202" coordsize="21600,21600" o:spt="202" path="m,l,21600r21600,l21600,xe">
            <v:stroke joinstyle="miter"/>
            <v:path gradientshapeok="t" o:connecttype="rect"/>
          </v:shapetype>
          <v:shape id="_x0000_s1261" type="#_x0000_t202" style="position:absolute;left:0;text-align:left;margin-left:142.8pt;margin-top:34.45pt;width:3.1pt;height:10.55pt;z-index:-355840;mso-position-horizontal-relative:page" filled="f" stroked="f">
            <v:textbox inset="0,0,0,0">
              <w:txbxContent>
                <w:p w:rsidR="00D81F69" w:rsidRDefault="00330118">
                  <w:pPr>
                    <w:spacing w:line="211" w:lineRule="exact"/>
                    <w:rPr>
                      <w:rFonts w:ascii="Times New Roman"/>
                      <w:sz w:val="19"/>
                    </w:rPr>
                  </w:pPr>
                  <w:r>
                    <w:rPr>
                      <w:rFonts w:ascii="Times New Roman"/>
                      <w:color w:val="0172B3"/>
                      <w:w w:val="65"/>
                      <w:sz w:val="19"/>
                    </w:rPr>
                    <w:t>o</w:t>
                  </w:r>
                </w:p>
              </w:txbxContent>
            </v:textbox>
            <w10:wrap anchorx="page"/>
          </v:shape>
        </w:pict>
      </w:r>
      <w:r w:rsidR="00330118" w:rsidRPr="00392EAD">
        <w:rPr>
          <w:rFonts w:ascii="Times New Roman"/>
          <w:color w:val="0172B3"/>
          <w:spacing w:val="-24"/>
          <w:w w:val="75"/>
          <w:position w:val="-21"/>
          <w:sz w:val="17"/>
          <w:lang w:val="pt-BR"/>
        </w:rPr>
        <w:t>z</w:t>
      </w:r>
      <w:r w:rsidR="00330118" w:rsidRPr="00392EAD">
        <w:rPr>
          <w:rFonts w:ascii="Times New Roman"/>
          <w:color w:val="0172B3"/>
          <w:spacing w:val="-24"/>
          <w:w w:val="75"/>
          <w:position w:val="-12"/>
          <w:sz w:val="17"/>
          <w:lang w:val="pt-BR"/>
        </w:rPr>
        <w:t>n</w:t>
      </w:r>
      <w:r w:rsidR="00330118" w:rsidRPr="00392EAD">
        <w:rPr>
          <w:rFonts w:ascii="Times New Roman"/>
          <w:color w:val="0172B3"/>
          <w:spacing w:val="-24"/>
          <w:w w:val="75"/>
          <w:position w:val="-12"/>
          <w:sz w:val="17"/>
          <w:lang w:val="pt-BR"/>
        </w:rPr>
        <w:tab/>
      </w:r>
      <w:r w:rsidR="00330118" w:rsidRPr="00392EAD">
        <w:rPr>
          <w:rFonts w:ascii="Courier New"/>
          <w:color w:val="0172B3"/>
          <w:w w:val="75"/>
          <w:sz w:val="88"/>
          <w:lang w:val="pt-BR"/>
        </w:rPr>
        <w:t>m</w:t>
      </w:r>
    </w:p>
    <w:p w:rsidR="00D81F69" w:rsidRPr="00392EAD" w:rsidRDefault="00330118">
      <w:pPr>
        <w:spacing w:line="646" w:lineRule="exact"/>
        <w:ind w:right="12001"/>
        <w:jc w:val="center"/>
        <w:rPr>
          <w:b/>
          <w:sz w:val="68"/>
          <w:lang w:val="pt-BR"/>
        </w:rPr>
      </w:pPr>
      <w:r w:rsidRPr="00392EAD">
        <w:rPr>
          <w:color w:val="0172B3"/>
          <w:spacing w:val="-75"/>
          <w:w w:val="65"/>
          <w:sz w:val="68"/>
          <w:lang w:val="pt-BR"/>
        </w:rPr>
        <w:t>;</w:t>
      </w:r>
      <w:r w:rsidRPr="00392EAD">
        <w:rPr>
          <w:color w:val="0172B3"/>
          <w:w w:val="65"/>
          <w:position w:val="32"/>
          <w:sz w:val="20"/>
          <w:lang w:val="pt-BR"/>
        </w:rPr>
        <w:t>5</w:t>
      </w:r>
      <w:r w:rsidRPr="00392EAD">
        <w:rPr>
          <w:color w:val="0172B3"/>
          <w:spacing w:val="21"/>
          <w:position w:val="32"/>
          <w:sz w:val="20"/>
          <w:lang w:val="pt-BR"/>
        </w:rPr>
        <w:t xml:space="preserve"> </w:t>
      </w:r>
      <w:r w:rsidRPr="00392EAD">
        <w:rPr>
          <w:b/>
          <w:color w:val="0172B3"/>
          <w:w w:val="92"/>
          <w:sz w:val="68"/>
          <w:lang w:val="pt-BR"/>
        </w:rPr>
        <w:t>m</w:t>
      </w:r>
    </w:p>
    <w:p w:rsidR="00D81F69" w:rsidRPr="00392EAD" w:rsidRDefault="00330118">
      <w:pPr>
        <w:spacing w:line="686" w:lineRule="exact"/>
        <w:ind w:right="11726"/>
        <w:jc w:val="center"/>
        <w:rPr>
          <w:b/>
          <w:sz w:val="68"/>
          <w:lang w:val="pt-BR"/>
        </w:rPr>
      </w:pPr>
      <w:r w:rsidRPr="00392EAD">
        <w:rPr>
          <w:b/>
          <w:color w:val="0172B3"/>
          <w:sz w:val="68"/>
          <w:lang w:val="pt-BR"/>
        </w:rPr>
        <w:t>3:</w:t>
      </w:r>
    </w:p>
    <w:p w:rsidR="00D81F69" w:rsidRPr="00392EAD" w:rsidRDefault="00330118">
      <w:pPr>
        <w:spacing w:before="311" w:line="423" w:lineRule="exact"/>
        <w:ind w:right="11744"/>
        <w:jc w:val="center"/>
        <w:rPr>
          <w:sz w:val="29"/>
          <w:lang w:val="pt-BR"/>
        </w:rPr>
      </w:pPr>
      <w:r w:rsidRPr="00392EAD">
        <w:rPr>
          <w:color w:val="242123"/>
          <w:spacing w:val="-112"/>
          <w:w w:val="55"/>
          <w:sz w:val="29"/>
          <w:lang w:val="pt-BR"/>
        </w:rPr>
        <w:t>m</w:t>
      </w:r>
      <w:r w:rsidRPr="00392EAD">
        <w:rPr>
          <w:rFonts w:ascii="Times New Roman"/>
          <w:color w:val="242123"/>
          <w:spacing w:val="-12"/>
          <w:w w:val="94"/>
          <w:position w:val="15"/>
          <w:sz w:val="27"/>
          <w:lang w:val="pt-BR"/>
        </w:rPr>
        <w:t>n</w:t>
      </w:r>
      <w:r w:rsidRPr="00392EAD">
        <w:rPr>
          <w:color w:val="242123"/>
          <w:w w:val="55"/>
          <w:sz w:val="29"/>
          <w:lang w:val="pt-BR"/>
        </w:rPr>
        <w:t>;</w:t>
      </w:r>
    </w:p>
    <w:p w:rsidR="00D81F69" w:rsidRPr="00392EAD" w:rsidRDefault="00330118">
      <w:pPr>
        <w:spacing w:line="225" w:lineRule="exact"/>
        <w:ind w:right="11543"/>
        <w:jc w:val="center"/>
        <w:rPr>
          <w:sz w:val="29"/>
          <w:lang w:val="pt-BR"/>
        </w:rPr>
      </w:pPr>
      <w:r w:rsidRPr="00392EAD">
        <w:rPr>
          <w:color w:val="242123"/>
          <w:sz w:val="29"/>
          <w:lang w:val="pt-BR"/>
        </w:rPr>
        <w:t xml:space="preserve">il </w:t>
      </w:r>
      <w:r w:rsidRPr="00392EAD">
        <w:rPr>
          <w:color w:val="242123"/>
          <w:sz w:val="29"/>
          <w:vertAlign w:val="subscript"/>
          <w:lang w:val="pt-BR"/>
        </w:rPr>
        <w:t>3:</w:t>
      </w:r>
    </w:p>
    <w:p w:rsidR="00D81F69" w:rsidRPr="00392EAD" w:rsidRDefault="00330118">
      <w:pPr>
        <w:pStyle w:val="Heading4"/>
        <w:spacing w:line="163" w:lineRule="exact"/>
        <w:ind w:left="0" w:right="11720"/>
        <w:jc w:val="center"/>
        <w:rPr>
          <w:lang w:val="pt-BR"/>
        </w:rPr>
      </w:pPr>
      <w:r w:rsidRPr="00392EAD">
        <w:rPr>
          <w:color w:val="242123"/>
          <w:w w:val="105"/>
          <w:lang w:val="pt-BR"/>
        </w:rPr>
        <w:t>-cii·s·</w:t>
      </w:r>
    </w:p>
    <w:p w:rsidR="00D81F69" w:rsidRPr="00392EAD" w:rsidRDefault="00330118">
      <w:pPr>
        <w:spacing w:before="42" w:line="38" w:lineRule="auto"/>
        <w:ind w:right="11820"/>
        <w:jc w:val="center"/>
        <w:rPr>
          <w:sz w:val="14"/>
          <w:lang w:val="pt-BR"/>
        </w:rPr>
      </w:pPr>
      <w:r w:rsidRPr="00392EAD">
        <w:rPr>
          <w:rFonts w:ascii="Times New Roman" w:hAnsi="Times New Roman"/>
          <w:color w:val="242123"/>
          <w:spacing w:val="-92"/>
          <w:w w:val="81"/>
          <w:position w:val="-10"/>
          <w:sz w:val="23"/>
          <w:lang w:val="pt-BR"/>
        </w:rPr>
        <w:t>o</w:t>
      </w:r>
      <w:r w:rsidRPr="00392EAD">
        <w:rPr>
          <w:color w:val="242123"/>
          <w:spacing w:val="-1"/>
          <w:w w:val="81"/>
          <w:sz w:val="15"/>
          <w:lang w:val="pt-BR"/>
        </w:rPr>
        <w:t>:::</w:t>
      </w:r>
      <w:r w:rsidRPr="00392EAD">
        <w:rPr>
          <w:color w:val="242123"/>
          <w:w w:val="81"/>
          <w:sz w:val="15"/>
          <w:lang w:val="pt-BR"/>
        </w:rPr>
        <w:t>,</w:t>
      </w:r>
      <w:r w:rsidRPr="00392EAD">
        <w:rPr>
          <w:color w:val="242123"/>
          <w:spacing w:val="16"/>
          <w:sz w:val="15"/>
          <w:lang w:val="pt-BR"/>
        </w:rPr>
        <w:t xml:space="preserve"> </w:t>
      </w:r>
      <w:r w:rsidRPr="00392EAD">
        <w:rPr>
          <w:color w:val="242123"/>
          <w:spacing w:val="-1"/>
          <w:w w:val="81"/>
          <w:sz w:val="14"/>
          <w:lang w:val="pt-BR"/>
        </w:rPr>
        <w:t>"</w:t>
      </w:r>
      <w:r w:rsidRPr="00392EAD">
        <w:rPr>
          <w:color w:val="242123"/>
          <w:w w:val="81"/>
          <w:sz w:val="14"/>
          <w:lang w:val="pt-BR"/>
        </w:rPr>
        <w:t>"</w:t>
      </w:r>
      <w:r w:rsidRPr="00392EAD">
        <w:rPr>
          <w:color w:val="242123"/>
          <w:sz w:val="14"/>
          <w:lang w:val="pt-BR"/>
        </w:rPr>
        <w:t xml:space="preserve">   </w:t>
      </w:r>
      <w:r w:rsidRPr="00392EAD">
        <w:rPr>
          <w:color w:val="242123"/>
          <w:spacing w:val="17"/>
          <w:sz w:val="14"/>
          <w:lang w:val="pt-BR"/>
        </w:rPr>
        <w:t xml:space="preserve"> </w:t>
      </w:r>
      <w:r w:rsidRPr="00392EAD">
        <w:rPr>
          <w:color w:val="242123"/>
          <w:w w:val="81"/>
          <w:sz w:val="14"/>
          <w:lang w:val="pt-BR"/>
        </w:rPr>
        <w:t>-·</w:t>
      </w:r>
    </w:p>
    <w:p w:rsidR="00D81F69" w:rsidRPr="00392EAD" w:rsidRDefault="00330118">
      <w:pPr>
        <w:spacing w:before="43" w:line="62" w:lineRule="auto"/>
        <w:ind w:left="2353"/>
        <w:rPr>
          <w:i/>
          <w:sz w:val="9"/>
          <w:lang w:val="pt-BR"/>
        </w:rPr>
      </w:pPr>
      <w:r w:rsidRPr="00392EAD">
        <w:rPr>
          <w:rFonts w:ascii="Courier New" w:hAnsi="Courier New"/>
          <w:color w:val="242123"/>
          <w:w w:val="90"/>
          <w:position w:val="-10"/>
          <w:sz w:val="21"/>
          <w:lang w:val="pt-BR"/>
        </w:rPr>
        <w:t xml:space="preserve">&lt; ­ </w:t>
      </w:r>
      <w:r w:rsidRPr="00392EAD">
        <w:rPr>
          <w:i/>
          <w:color w:val="363A38"/>
          <w:w w:val="90"/>
          <w:sz w:val="9"/>
          <w:lang w:val="pt-BR"/>
        </w:rPr>
        <w:t>V,</w:t>
      </w:r>
    </w:p>
    <w:p w:rsidR="00D81F69" w:rsidRPr="00392EAD" w:rsidRDefault="00330118">
      <w:pPr>
        <w:spacing w:line="117" w:lineRule="exact"/>
        <w:ind w:left="2354"/>
        <w:rPr>
          <w:i/>
          <w:sz w:val="10"/>
          <w:lang w:val="pt-BR"/>
        </w:rPr>
      </w:pPr>
      <w:r w:rsidRPr="00392EAD">
        <w:rPr>
          <w:color w:val="242123"/>
          <w:w w:val="95"/>
          <w:sz w:val="11"/>
          <w:lang w:val="pt-BR"/>
        </w:rPr>
        <w:t xml:space="preserve">D,t   </w:t>
      </w:r>
      <w:r w:rsidRPr="00392EAD">
        <w:rPr>
          <w:color w:val="242123"/>
          <w:w w:val="95"/>
          <w:sz w:val="14"/>
          <w:lang w:val="pt-BR"/>
        </w:rPr>
        <w:t xml:space="preserve">tD </w:t>
      </w:r>
      <w:r w:rsidRPr="00392EAD">
        <w:rPr>
          <w:i/>
          <w:color w:val="363A38"/>
          <w:w w:val="95"/>
          <w:sz w:val="10"/>
          <w:lang w:val="pt-BR"/>
        </w:rPr>
        <w:t>(D,</w:t>
      </w:r>
    </w:p>
    <w:p w:rsidR="00D81F69" w:rsidRPr="00392EAD" w:rsidRDefault="00330118">
      <w:pPr>
        <w:spacing w:line="138" w:lineRule="exact"/>
        <w:ind w:left="2318"/>
        <w:rPr>
          <w:rFonts w:ascii="Times New Roman" w:hAnsi="Times New Roman"/>
          <w:sz w:val="20"/>
          <w:lang w:val="pt-BR"/>
        </w:rPr>
      </w:pPr>
      <w:r w:rsidRPr="00392EAD">
        <w:rPr>
          <w:rFonts w:ascii="Times New Roman" w:hAnsi="Times New Roman"/>
          <w:color w:val="242123"/>
          <w:w w:val="95"/>
          <w:sz w:val="16"/>
          <w:lang w:val="pt-BR"/>
        </w:rPr>
        <w:t xml:space="preserve">,n    </w:t>
      </w:r>
      <w:r w:rsidRPr="00392EAD">
        <w:rPr>
          <w:rFonts w:ascii="Times New Roman" w:hAnsi="Times New Roman"/>
          <w:color w:val="242123"/>
          <w:w w:val="95"/>
          <w:sz w:val="20"/>
          <w:lang w:val="pt-BR"/>
        </w:rPr>
        <w:t>n   ­</w:t>
      </w:r>
    </w:p>
    <w:p w:rsidR="00D81F69" w:rsidRPr="00392EAD" w:rsidRDefault="00330118">
      <w:pPr>
        <w:spacing w:line="114" w:lineRule="exact"/>
        <w:ind w:left="2352"/>
        <w:rPr>
          <w:rFonts w:ascii="Times New Roman"/>
          <w:lang w:val="pt-BR"/>
        </w:rPr>
      </w:pPr>
      <w:r w:rsidRPr="00392EAD">
        <w:rPr>
          <w:color w:val="242123"/>
          <w:w w:val="85"/>
          <w:sz w:val="14"/>
          <w:lang w:val="pt-BR"/>
        </w:rPr>
        <w:t xml:space="preserve">D.11:::, </w:t>
      </w:r>
      <w:r w:rsidRPr="00392EAD">
        <w:rPr>
          <w:rFonts w:ascii="Times New Roman"/>
          <w:color w:val="363A38"/>
          <w:w w:val="85"/>
          <w:lang w:val="pt-BR"/>
        </w:rPr>
        <w:t>o</w:t>
      </w:r>
    </w:p>
    <w:p w:rsidR="00D81F69" w:rsidRPr="00392EAD" w:rsidRDefault="00D81F69">
      <w:pPr>
        <w:spacing w:line="227" w:lineRule="exact"/>
        <w:ind w:left="2347"/>
        <w:rPr>
          <w:sz w:val="13"/>
          <w:lang w:val="pt-BR"/>
        </w:rPr>
      </w:pPr>
      <w:r w:rsidRPr="00D81F69">
        <w:pict>
          <v:shape id="_x0000_s1260" type="#_x0000_t202" style="position:absolute;left:0;text-align:left;margin-left:162.35pt;margin-top:5.75pt;width:.25pt;height:12.75pt;z-index:-355816;mso-position-horizontal-relative:page" filled="f" stroked="f">
            <v:textbox inset="0,0,0,0">
              <w:txbxContent>
                <w:p w:rsidR="00D81F69" w:rsidRDefault="00330118">
                  <w:pPr>
                    <w:spacing w:line="255" w:lineRule="exact"/>
                    <w:rPr>
                      <w:rFonts w:ascii="Times New Roman"/>
                      <w:sz w:val="23"/>
                    </w:rPr>
                  </w:pPr>
                  <w:r>
                    <w:rPr>
                      <w:rFonts w:ascii="Times New Roman"/>
                      <w:color w:val="242123"/>
                      <w:spacing w:val="-129"/>
                      <w:w w:val="107"/>
                      <w:sz w:val="23"/>
                    </w:rPr>
                    <w:t>o</w:t>
                  </w:r>
                </w:p>
              </w:txbxContent>
            </v:textbox>
            <w10:wrap anchorx="page"/>
          </v:shape>
        </w:pict>
      </w:r>
      <w:r w:rsidR="00330118" w:rsidRPr="00392EAD">
        <w:rPr>
          <w:rFonts w:ascii="Times New Roman"/>
          <w:color w:val="242123"/>
          <w:sz w:val="23"/>
          <w:lang w:val="pt-BR"/>
        </w:rPr>
        <w:t xml:space="preserve">o  </w:t>
      </w:r>
      <w:r w:rsidR="00330118" w:rsidRPr="00392EAD">
        <w:rPr>
          <w:rFonts w:ascii="Times New Roman"/>
          <w:color w:val="242123"/>
          <w:lang w:val="pt-BR"/>
        </w:rPr>
        <w:t xml:space="preserve">2. </w:t>
      </w:r>
      <w:r w:rsidR="00330118" w:rsidRPr="00392EAD">
        <w:rPr>
          <w:color w:val="242123"/>
          <w:sz w:val="13"/>
          <w:lang w:val="pt-BR"/>
        </w:rPr>
        <w:t>Q.</w:t>
      </w:r>
    </w:p>
    <w:p w:rsidR="00D81F69" w:rsidRPr="00392EAD" w:rsidRDefault="00330118">
      <w:pPr>
        <w:spacing w:line="121" w:lineRule="exact"/>
        <w:ind w:left="2791"/>
        <w:rPr>
          <w:sz w:val="13"/>
          <w:lang w:val="pt-BR"/>
        </w:rPr>
      </w:pPr>
      <w:r w:rsidRPr="00392EAD">
        <w:rPr>
          <w:color w:val="363A38"/>
          <w:w w:val="105"/>
          <w:sz w:val="13"/>
          <w:lang w:val="pt-BR"/>
        </w:rPr>
        <w:t>a,</w:t>
      </w:r>
    </w:p>
    <w:p w:rsidR="00D81F69" w:rsidRPr="00392EAD" w:rsidRDefault="00330118">
      <w:pPr>
        <w:spacing w:line="145" w:lineRule="exact"/>
        <w:ind w:left="2533"/>
        <w:rPr>
          <w:rFonts w:ascii="Times New Roman"/>
          <w:sz w:val="15"/>
          <w:lang w:val="pt-BR"/>
        </w:rPr>
      </w:pPr>
      <w:r w:rsidRPr="00392EAD">
        <w:rPr>
          <w:rFonts w:ascii="Times New Roman"/>
          <w:color w:val="242123"/>
          <w:w w:val="105"/>
          <w:sz w:val="15"/>
          <w:lang w:val="pt-BR"/>
        </w:rPr>
        <w:t>10</w:t>
      </w:r>
    </w:p>
    <w:p w:rsidR="00D81F69" w:rsidRPr="00392EAD" w:rsidRDefault="00330118">
      <w:pPr>
        <w:spacing w:line="192" w:lineRule="exact"/>
        <w:ind w:left="2567"/>
        <w:rPr>
          <w:sz w:val="19"/>
          <w:lang w:val="pt-BR"/>
        </w:rPr>
      </w:pPr>
      <w:r w:rsidRPr="00392EAD">
        <w:rPr>
          <w:color w:val="242123"/>
          <w:w w:val="105"/>
          <w:sz w:val="19"/>
          <w:lang w:val="pt-BR"/>
        </w:rPr>
        <w:t>iii'</w:t>
      </w:r>
    </w:p>
    <w:p w:rsidR="00D81F69" w:rsidRPr="00392EAD" w:rsidRDefault="00D81F69">
      <w:pPr>
        <w:pStyle w:val="Corpodetexto"/>
        <w:ind w:left="0"/>
        <w:jc w:val="left"/>
        <w:rPr>
          <w:sz w:val="20"/>
          <w:lang w:val="pt-BR"/>
        </w:rPr>
      </w:pPr>
    </w:p>
    <w:p w:rsidR="00D81F69" w:rsidRPr="00392EAD" w:rsidRDefault="00D81F69">
      <w:pPr>
        <w:pStyle w:val="Corpodetexto"/>
        <w:ind w:left="0"/>
        <w:jc w:val="left"/>
        <w:rPr>
          <w:sz w:val="20"/>
          <w:lang w:val="pt-BR"/>
        </w:rPr>
      </w:pPr>
    </w:p>
    <w:p w:rsidR="00D81F69" w:rsidRPr="00392EAD" w:rsidRDefault="00D81F69">
      <w:pPr>
        <w:pStyle w:val="Corpodetexto"/>
        <w:ind w:left="0"/>
        <w:jc w:val="left"/>
        <w:rPr>
          <w:sz w:val="20"/>
          <w:lang w:val="pt-BR"/>
        </w:rPr>
      </w:pPr>
    </w:p>
    <w:p w:rsidR="00D81F69" w:rsidRPr="00392EAD" w:rsidRDefault="00D81F69">
      <w:pPr>
        <w:pStyle w:val="Corpodetexto"/>
        <w:ind w:left="0"/>
        <w:jc w:val="left"/>
        <w:rPr>
          <w:sz w:val="20"/>
          <w:lang w:val="pt-BR"/>
        </w:rPr>
      </w:pPr>
    </w:p>
    <w:p w:rsidR="00D81F69" w:rsidRPr="00392EAD" w:rsidRDefault="00D81F69">
      <w:pPr>
        <w:pStyle w:val="Corpodetexto"/>
        <w:ind w:left="0"/>
        <w:jc w:val="left"/>
        <w:rPr>
          <w:sz w:val="20"/>
          <w:lang w:val="pt-BR"/>
        </w:rPr>
      </w:pPr>
    </w:p>
    <w:p w:rsidR="00D81F69" w:rsidRPr="00392EAD" w:rsidRDefault="00D81F69">
      <w:pPr>
        <w:pStyle w:val="Corpodetexto"/>
        <w:ind w:left="0"/>
        <w:jc w:val="left"/>
        <w:rPr>
          <w:sz w:val="20"/>
          <w:lang w:val="pt-BR"/>
        </w:rPr>
      </w:pPr>
    </w:p>
    <w:p w:rsidR="00D81F69" w:rsidRPr="00392EAD" w:rsidRDefault="00D81F69">
      <w:pPr>
        <w:pStyle w:val="Corpodetexto"/>
        <w:ind w:left="0"/>
        <w:jc w:val="left"/>
        <w:rPr>
          <w:sz w:val="20"/>
          <w:lang w:val="pt-BR"/>
        </w:rPr>
      </w:pPr>
    </w:p>
    <w:p w:rsidR="00D81F69" w:rsidRPr="00392EAD" w:rsidRDefault="00D81F69">
      <w:pPr>
        <w:pStyle w:val="Corpodetexto"/>
        <w:ind w:left="0"/>
        <w:jc w:val="left"/>
        <w:rPr>
          <w:sz w:val="20"/>
          <w:lang w:val="pt-BR"/>
        </w:rPr>
      </w:pPr>
    </w:p>
    <w:p w:rsidR="00D81F69" w:rsidRPr="00392EAD" w:rsidRDefault="00D81F69">
      <w:pPr>
        <w:pStyle w:val="Corpodetexto"/>
        <w:ind w:left="0"/>
        <w:jc w:val="left"/>
        <w:rPr>
          <w:sz w:val="20"/>
          <w:lang w:val="pt-BR"/>
        </w:rPr>
      </w:pPr>
    </w:p>
    <w:p w:rsidR="00D81F69" w:rsidRPr="00392EAD" w:rsidRDefault="00D81F69">
      <w:pPr>
        <w:pStyle w:val="Corpodetexto"/>
        <w:ind w:left="0"/>
        <w:jc w:val="left"/>
        <w:rPr>
          <w:sz w:val="20"/>
          <w:lang w:val="pt-BR"/>
        </w:rPr>
      </w:pPr>
    </w:p>
    <w:p w:rsidR="00D81F69" w:rsidRPr="00392EAD" w:rsidRDefault="00D81F69">
      <w:pPr>
        <w:pStyle w:val="Corpodetexto"/>
        <w:ind w:left="0"/>
        <w:jc w:val="left"/>
        <w:rPr>
          <w:sz w:val="20"/>
          <w:lang w:val="pt-BR"/>
        </w:rPr>
      </w:pPr>
    </w:p>
    <w:p w:rsidR="00D81F69" w:rsidRPr="00392EAD" w:rsidRDefault="00D81F69">
      <w:pPr>
        <w:pStyle w:val="Corpodetexto"/>
        <w:ind w:left="0"/>
        <w:jc w:val="left"/>
        <w:rPr>
          <w:sz w:val="20"/>
          <w:lang w:val="pt-BR"/>
        </w:rPr>
      </w:pPr>
    </w:p>
    <w:p w:rsidR="00D81F69" w:rsidRPr="00392EAD" w:rsidRDefault="00D81F69">
      <w:pPr>
        <w:pStyle w:val="Corpodetexto"/>
        <w:ind w:left="0"/>
        <w:jc w:val="left"/>
        <w:rPr>
          <w:sz w:val="20"/>
          <w:lang w:val="pt-BR"/>
        </w:rPr>
      </w:pPr>
    </w:p>
    <w:p w:rsidR="00D81F69" w:rsidRPr="00392EAD" w:rsidRDefault="00D81F69">
      <w:pPr>
        <w:rPr>
          <w:sz w:val="20"/>
          <w:lang w:val="pt-BR"/>
        </w:rPr>
        <w:sectPr w:rsidR="00D81F69" w:rsidRPr="00392EAD">
          <w:type w:val="continuous"/>
          <w:pgSz w:w="18510" w:h="26750"/>
          <w:pgMar w:top="720" w:right="780" w:bottom="280" w:left="680" w:header="720" w:footer="720" w:gutter="0"/>
          <w:cols w:space="720"/>
        </w:sectPr>
      </w:pPr>
    </w:p>
    <w:p w:rsidR="00D81F69" w:rsidRPr="00392EAD" w:rsidRDefault="00330118">
      <w:pPr>
        <w:spacing w:before="443" w:line="633" w:lineRule="exact"/>
        <w:ind w:left="1466"/>
        <w:rPr>
          <w:b/>
          <w:sz w:val="63"/>
          <w:lang w:val="pt-BR"/>
        </w:rPr>
      </w:pPr>
      <w:r w:rsidRPr="00392EAD">
        <w:rPr>
          <w:b/>
          <w:color w:val="016B3F"/>
          <w:w w:val="70"/>
          <w:sz w:val="63"/>
          <w:lang w:val="pt-BR"/>
        </w:rPr>
        <w:lastRenderedPageBreak/>
        <w:t>RECURSOS MINERAIS E COMUNIDADE</w:t>
      </w:r>
    </w:p>
    <w:p w:rsidR="00D81F69" w:rsidRDefault="00330118">
      <w:pPr>
        <w:spacing w:line="449" w:lineRule="exact"/>
        <w:ind w:left="1490"/>
        <w:rPr>
          <w:rFonts w:ascii="Times New Roman" w:hAnsi="Times New Roman"/>
          <w:sz w:val="47"/>
        </w:rPr>
      </w:pPr>
      <w:r>
        <w:rPr>
          <w:rFonts w:ascii="Times New Roman" w:hAnsi="Times New Roman"/>
          <w:color w:val="016B3F"/>
          <w:w w:val="90"/>
          <w:sz w:val="47"/>
        </w:rPr>
        <w:t>impactos humanos· socioambientais • econômicos</w:t>
      </w:r>
    </w:p>
    <w:p w:rsidR="00D81F69" w:rsidRDefault="00330118">
      <w:pPr>
        <w:pStyle w:val="Corpodetexto"/>
        <w:ind w:left="0"/>
        <w:jc w:val="left"/>
        <w:rPr>
          <w:rFonts w:ascii="Times New Roman"/>
          <w:sz w:val="22"/>
        </w:rPr>
      </w:pPr>
      <w:r>
        <w:br w:type="column"/>
      </w:r>
    </w:p>
    <w:p w:rsidR="00D81F69" w:rsidRDefault="00D81F69">
      <w:pPr>
        <w:pStyle w:val="Corpodetexto"/>
        <w:spacing w:before="9"/>
        <w:ind w:left="0"/>
        <w:jc w:val="left"/>
        <w:rPr>
          <w:rFonts w:ascii="Times New Roman"/>
        </w:rPr>
      </w:pPr>
    </w:p>
    <w:p w:rsidR="00D81F69" w:rsidRDefault="00330118">
      <w:pPr>
        <w:spacing w:before="1"/>
        <w:ind w:left="1209"/>
        <w:rPr>
          <w:sz w:val="21"/>
        </w:rPr>
      </w:pPr>
      <w:r>
        <w:rPr>
          <w:color w:val="016B3F"/>
          <w:w w:val="95"/>
          <w:sz w:val="21"/>
        </w:rPr>
        <w:t>Editores</w:t>
      </w:r>
    </w:p>
    <w:p w:rsidR="00D81F69" w:rsidRDefault="00330118">
      <w:pPr>
        <w:spacing w:before="10" w:line="249" w:lineRule="auto"/>
        <w:ind w:left="1209" w:hanging="1"/>
        <w:rPr>
          <w:sz w:val="21"/>
        </w:rPr>
      </w:pPr>
      <w:r>
        <w:rPr>
          <w:color w:val="016B3F"/>
          <w:w w:val="85"/>
          <w:sz w:val="21"/>
        </w:rPr>
        <w:t>Francisco Rego Chaves Fernandes Renata</w:t>
      </w:r>
      <w:r>
        <w:rPr>
          <w:color w:val="016B3F"/>
          <w:spacing w:val="-14"/>
          <w:w w:val="85"/>
          <w:sz w:val="21"/>
        </w:rPr>
        <w:t xml:space="preserve"> </w:t>
      </w:r>
      <w:r>
        <w:rPr>
          <w:color w:val="016B3F"/>
          <w:w w:val="85"/>
          <w:sz w:val="21"/>
        </w:rPr>
        <w:t>de</w:t>
      </w:r>
      <w:r>
        <w:rPr>
          <w:color w:val="016B3F"/>
          <w:spacing w:val="-24"/>
          <w:w w:val="85"/>
          <w:sz w:val="21"/>
        </w:rPr>
        <w:t xml:space="preserve"> </w:t>
      </w:r>
      <w:r>
        <w:rPr>
          <w:color w:val="016B3F"/>
          <w:w w:val="85"/>
          <w:sz w:val="21"/>
        </w:rPr>
        <w:t>Carvalho</w:t>
      </w:r>
      <w:r>
        <w:rPr>
          <w:color w:val="016B3F"/>
          <w:spacing w:val="-16"/>
          <w:w w:val="85"/>
          <w:sz w:val="21"/>
        </w:rPr>
        <w:t xml:space="preserve"> </w:t>
      </w:r>
      <w:r>
        <w:rPr>
          <w:color w:val="016B3F"/>
          <w:w w:val="85"/>
          <w:sz w:val="21"/>
        </w:rPr>
        <w:t>Jimenez</w:t>
      </w:r>
      <w:r>
        <w:rPr>
          <w:color w:val="016B3F"/>
          <w:spacing w:val="-12"/>
          <w:w w:val="85"/>
          <w:sz w:val="21"/>
        </w:rPr>
        <w:t xml:space="preserve"> </w:t>
      </w:r>
      <w:r>
        <w:rPr>
          <w:color w:val="016B3F"/>
          <w:w w:val="85"/>
          <w:sz w:val="21"/>
        </w:rPr>
        <w:t xml:space="preserve">Alamino </w:t>
      </w:r>
      <w:r>
        <w:rPr>
          <w:color w:val="016B3F"/>
          <w:w w:val="90"/>
          <w:sz w:val="21"/>
        </w:rPr>
        <w:t>Eliane Rocha</w:t>
      </w:r>
      <w:r>
        <w:rPr>
          <w:color w:val="016B3F"/>
          <w:spacing w:val="-22"/>
          <w:w w:val="90"/>
          <w:sz w:val="21"/>
        </w:rPr>
        <w:t xml:space="preserve"> </w:t>
      </w:r>
      <w:r>
        <w:rPr>
          <w:color w:val="016B3F"/>
          <w:w w:val="90"/>
          <w:sz w:val="21"/>
        </w:rPr>
        <w:t>Araujo</w:t>
      </w:r>
    </w:p>
    <w:p w:rsidR="00D81F69" w:rsidRDefault="00330118">
      <w:pPr>
        <w:spacing w:before="246" w:line="391" w:lineRule="exact"/>
        <w:ind w:left="1148" w:right="1229"/>
        <w:jc w:val="center"/>
        <w:rPr>
          <w:rFonts w:ascii="Times New Roman"/>
          <w:sz w:val="42"/>
        </w:rPr>
      </w:pPr>
      <w:r>
        <w:br w:type="column"/>
      </w:r>
      <w:r>
        <w:rPr>
          <w:rFonts w:ascii="Times New Roman"/>
          <w:color w:val="0172B3"/>
          <w:w w:val="95"/>
          <w:sz w:val="42"/>
        </w:rPr>
        <w:lastRenderedPageBreak/>
        <w:t>n</w:t>
      </w:r>
    </w:p>
    <w:p w:rsidR="00D81F69" w:rsidRDefault="00330118">
      <w:pPr>
        <w:spacing w:line="287" w:lineRule="exact"/>
        <w:ind w:right="27"/>
        <w:jc w:val="center"/>
        <w:rPr>
          <w:sz w:val="33"/>
        </w:rPr>
      </w:pPr>
      <w:r>
        <w:rPr>
          <w:color w:val="0172B3"/>
          <w:w w:val="94"/>
          <w:sz w:val="33"/>
        </w:rPr>
        <w:t>m</w:t>
      </w:r>
    </w:p>
    <w:p w:rsidR="00D81F69" w:rsidRDefault="00330118">
      <w:pPr>
        <w:spacing w:before="43" w:line="348" w:lineRule="exact"/>
        <w:ind w:left="1171" w:right="1229"/>
        <w:jc w:val="center"/>
        <w:rPr>
          <w:rFonts w:ascii="Times New Roman"/>
          <w:sz w:val="38"/>
        </w:rPr>
      </w:pPr>
      <w:r>
        <w:rPr>
          <w:color w:val="0172B3"/>
          <w:spacing w:val="-269"/>
          <w:w w:val="107"/>
          <w:position w:val="7"/>
          <w:sz w:val="29"/>
        </w:rPr>
        <w:t>m</w:t>
      </w:r>
      <w:r>
        <w:rPr>
          <w:rFonts w:ascii="Times New Roman"/>
          <w:color w:val="DF7E26"/>
          <w:spacing w:val="-1"/>
          <w:w w:val="52"/>
          <w:sz w:val="38"/>
        </w:rPr>
        <w:t>'""'</w:t>
      </w:r>
    </w:p>
    <w:p w:rsidR="00D81F69" w:rsidRDefault="00330118">
      <w:pPr>
        <w:spacing w:line="267" w:lineRule="exact"/>
        <w:ind w:left="1223" w:right="1225"/>
        <w:jc w:val="center"/>
        <w:rPr>
          <w:b/>
          <w:sz w:val="31"/>
        </w:rPr>
      </w:pPr>
      <w:r>
        <w:rPr>
          <w:b/>
          <w:color w:val="0172B3"/>
          <w:sz w:val="31"/>
        </w:rPr>
        <w:t>J:</w:t>
      </w:r>
    </w:p>
    <w:p w:rsidR="00D81F69" w:rsidRDefault="00D81F69">
      <w:pPr>
        <w:spacing w:line="267" w:lineRule="exact"/>
        <w:jc w:val="center"/>
        <w:rPr>
          <w:sz w:val="31"/>
        </w:rPr>
        <w:sectPr w:rsidR="00D81F69">
          <w:type w:val="continuous"/>
          <w:pgSz w:w="18510" w:h="26750"/>
          <w:pgMar w:top="720" w:right="780" w:bottom="280" w:left="680" w:header="720" w:footer="720" w:gutter="0"/>
          <w:cols w:num="3" w:space="720" w:equalWidth="0">
            <w:col w:w="10032" w:space="40"/>
            <w:col w:w="4166" w:space="39"/>
            <w:col w:w="2773"/>
          </w:cols>
        </w:sectPr>
      </w:pPr>
    </w:p>
    <w:p w:rsidR="00D81F69" w:rsidRDefault="00D81F69">
      <w:pPr>
        <w:pStyle w:val="Corpodetexto"/>
        <w:ind w:left="0"/>
        <w:jc w:val="left"/>
        <w:rPr>
          <w:b/>
          <w:sz w:val="20"/>
        </w:rPr>
      </w:pPr>
    </w:p>
    <w:p w:rsidR="00D81F69" w:rsidRDefault="00D81F69">
      <w:pPr>
        <w:pStyle w:val="Corpodetexto"/>
        <w:ind w:left="0"/>
        <w:jc w:val="left"/>
        <w:rPr>
          <w:b/>
          <w:sz w:val="19"/>
        </w:rPr>
      </w:pPr>
    </w:p>
    <w:p w:rsidR="00D81F69" w:rsidRDefault="00D81F69">
      <w:pPr>
        <w:spacing w:before="85"/>
        <w:ind w:left="1566"/>
        <w:jc w:val="center"/>
        <w:rPr>
          <w:rFonts w:ascii="Times New Roman"/>
          <w:sz w:val="37"/>
        </w:rPr>
      </w:pPr>
      <w:r w:rsidRPr="00D81F69">
        <w:pict>
          <v:shape id="_x0000_s1259" type="#_x0000_t202" style="position:absolute;left:0;text-align:left;margin-left:652.75pt;margin-top:28.4pt;width:9.45pt;height:34.7pt;z-index:-358576;mso-position-horizontal-relative:page" filled="f" stroked="f">
            <v:textbox inset="0,0,0,0">
              <w:txbxContent>
                <w:p w:rsidR="00D81F69" w:rsidRDefault="00330118">
                  <w:pPr>
                    <w:spacing w:line="693" w:lineRule="exact"/>
                    <w:rPr>
                      <w:sz w:val="62"/>
                    </w:rPr>
                  </w:pPr>
                  <w:r>
                    <w:rPr>
                      <w:color w:val="FDFDFD"/>
                      <w:spacing w:val="-1"/>
                      <w:w w:val="91"/>
                      <w:sz w:val="62"/>
                    </w:rPr>
                    <w:t>-</w:t>
                  </w:r>
                </w:p>
              </w:txbxContent>
            </v:textbox>
            <w10:wrap anchorx="page"/>
          </v:shape>
        </w:pict>
      </w:r>
      <w:r w:rsidRPr="00D81F69">
        <w:pict>
          <v:group id="_x0000_s1251" style="position:absolute;left:0;text-align:left;margin-left:646.75pt;margin-top:24.2pt;width:26.2pt;height:107.2pt;z-index:-356944;mso-position-horizontal-relative:page" coordorigin="12935,484" coordsize="524,2144">
            <v:shape id="_x0000_s1258" style="position:absolute;left:13055;top:484;width:404;height:993" coordorigin="13055,484" coordsize="404,993" path="m13459,484r-404,l13055,1331r1,l13056,1477r303,l13359,1331r100,l13459,484e" fillcolor="#1c8052" stroked="f">
              <v:path arrowok="t"/>
            </v:shape>
            <v:rect id="_x0000_s1257" style="position:absolute;left:12935;top:1294;width:419;height:388" fillcolor="#34774f" stroked="f"/>
            <v:shape id="_x0000_s1256" style="position:absolute;left:13039;top:1525;width:375;height:1103" coordorigin="13039,1525" coordsize="375,1103" path="m13414,1525r-375,l13039,2226r14,l13053,2335r-10,l13043,2628r310,l13353,2505r10,l13363,2226r51,l13414,1525e" fillcolor="#1c8052" stroked="f">
              <v:path arrowok="t"/>
            </v:shape>
            <v:shape id="_x0000_s1255" type="#_x0000_t202" style="position:absolute;left:12935;top:484;width:524;height:2144" filled="f" stroked="f">
              <v:textbox inset="0,0,0,0">
                <w:txbxContent>
                  <w:p w:rsidR="00D81F69" w:rsidRDefault="00D81F69">
                    <w:pPr>
                      <w:rPr>
                        <w:sz w:val="30"/>
                      </w:rPr>
                    </w:pPr>
                  </w:p>
                  <w:p w:rsidR="00D81F69" w:rsidRDefault="00D81F69">
                    <w:pPr>
                      <w:spacing w:before="5"/>
                      <w:rPr>
                        <w:sz w:val="43"/>
                      </w:rPr>
                    </w:pPr>
                  </w:p>
                  <w:p w:rsidR="00D81F69" w:rsidRDefault="00330118">
                    <w:pPr>
                      <w:spacing w:line="287" w:lineRule="exact"/>
                      <w:ind w:right="64"/>
                      <w:jc w:val="center"/>
                      <w:rPr>
                        <w:rFonts w:ascii="Times New Roman"/>
                        <w:b/>
                        <w:sz w:val="28"/>
                      </w:rPr>
                    </w:pPr>
                    <w:r>
                      <w:rPr>
                        <w:rFonts w:ascii="Times New Roman"/>
                        <w:b/>
                        <w:color w:val="FDFDFD"/>
                        <w:w w:val="105"/>
                        <w:sz w:val="28"/>
                      </w:rPr>
                      <w:t>"'C</w:t>
                    </w:r>
                  </w:p>
                  <w:p w:rsidR="00D81F69" w:rsidRDefault="00330118">
                    <w:pPr>
                      <w:spacing w:line="563" w:lineRule="exact"/>
                      <w:ind w:left="88" w:right="6"/>
                      <w:jc w:val="center"/>
                      <w:rPr>
                        <w:rFonts w:ascii="Times New Roman"/>
                        <w:sz w:val="52"/>
                      </w:rPr>
                    </w:pPr>
                    <w:r>
                      <w:rPr>
                        <w:rFonts w:ascii="Times New Roman"/>
                        <w:color w:val="FDFDFD"/>
                        <w:w w:val="50"/>
                        <w:sz w:val="52"/>
                      </w:rPr>
                      <w:t>,.....</w:t>
                    </w:r>
                  </w:p>
                </w:txbxContent>
              </v:textbox>
            </v:shape>
            <v:shape id="_x0000_s1254" type="#_x0000_t202" style="position:absolute;left:13055;top:484;width:404;height:811" filled="f" stroked="f">
              <v:textbox inset="0,0,0,0">
                <w:txbxContent>
                  <w:p w:rsidR="00D81F69" w:rsidRDefault="00330118">
                    <w:pPr>
                      <w:spacing w:before="63" w:line="747" w:lineRule="exact"/>
                      <w:ind w:left="1"/>
                      <w:rPr>
                        <w:sz w:val="62"/>
                      </w:rPr>
                    </w:pPr>
                    <w:r>
                      <w:rPr>
                        <w:rFonts w:ascii="Times New Roman" w:hAnsi="Times New Roman"/>
                        <w:color w:val="FDFDFD"/>
                        <w:spacing w:val="-28"/>
                        <w:position w:val="-20"/>
                        <w:sz w:val="45"/>
                      </w:rPr>
                      <w:t>3</w:t>
                    </w:r>
                    <w:r>
                      <w:rPr>
                        <w:color w:val="FDFDFD"/>
                        <w:spacing w:val="-28"/>
                        <w:sz w:val="62"/>
                      </w:rPr>
                      <w:t>·</w:t>
                    </w:r>
                  </w:p>
                </w:txbxContent>
              </v:textbox>
            </v:shape>
            <v:shape id="_x0000_s1253" type="#_x0000_t202" style="position:absolute;left:13052;top:2042;width:133;height:403" filled="f" stroked="f">
              <v:textbox inset="0,0,0,0">
                <w:txbxContent>
                  <w:p w:rsidR="00D81F69" w:rsidRDefault="00330118">
                    <w:pPr>
                      <w:spacing w:line="402" w:lineRule="exact"/>
                      <w:rPr>
                        <w:b/>
                        <w:sz w:val="36"/>
                      </w:rPr>
                    </w:pPr>
                    <w:r>
                      <w:rPr>
                        <w:b/>
                        <w:color w:val="FDFDFD"/>
                        <w:w w:val="51"/>
                        <w:sz w:val="36"/>
                      </w:rPr>
                      <w:t>o</w:t>
                    </w:r>
                  </w:p>
                </w:txbxContent>
              </v:textbox>
            </v:shape>
            <v:shape id="_x0000_s1252" type="#_x0000_t202" style="position:absolute;left:13042;top:2358;width:209;height:235" filled="f" stroked="f">
              <v:textbox inset="0,0,0,0">
                <w:txbxContent>
                  <w:p w:rsidR="00D81F69" w:rsidRDefault="00330118">
                    <w:pPr>
                      <w:spacing w:line="235" w:lineRule="exact"/>
                      <w:rPr>
                        <w:b/>
                        <w:i/>
                        <w:sz w:val="21"/>
                      </w:rPr>
                    </w:pPr>
                    <w:r>
                      <w:rPr>
                        <w:b/>
                        <w:i/>
                        <w:color w:val="FDFDFD"/>
                        <w:sz w:val="21"/>
                      </w:rPr>
                      <w:t>VI</w:t>
                    </w:r>
                  </w:p>
                </w:txbxContent>
              </v:textbox>
            </v:shape>
            <w10:wrap anchorx="page"/>
          </v:group>
        </w:pict>
      </w:r>
      <w:r w:rsidR="00330118">
        <w:rPr>
          <w:rFonts w:ascii="Times New Roman"/>
          <w:color w:val="709760"/>
          <w:w w:val="91"/>
          <w:sz w:val="37"/>
        </w:rPr>
        <w:t>-</w:t>
      </w:r>
    </w:p>
    <w:p w:rsidR="00D81F69" w:rsidRDefault="00D81F69">
      <w:pPr>
        <w:spacing w:before="319"/>
        <w:ind w:left="749"/>
        <w:rPr>
          <w:sz w:val="35"/>
        </w:rPr>
      </w:pPr>
      <w:r w:rsidRPr="00D81F69">
        <w:pict>
          <v:shape id="_x0000_s1250" type="#_x0000_t202" style="position:absolute;left:0;text-align:left;margin-left:685.2pt;margin-top:12.6pt;width:28.9pt;height:23.5pt;z-index:-358552;mso-position-horizontal-relative:page" filled="f" stroked="f">
            <v:textbox inset="0,0,0,0">
              <w:txbxContent>
                <w:p w:rsidR="00D81F69" w:rsidRDefault="00330118">
                  <w:pPr>
                    <w:spacing w:line="470" w:lineRule="exact"/>
                    <w:rPr>
                      <w:b/>
                      <w:sz w:val="42"/>
                    </w:rPr>
                  </w:pPr>
                  <w:r>
                    <w:rPr>
                      <w:b/>
                      <w:color w:val="FDFDFD"/>
                      <w:w w:val="95"/>
                      <w:sz w:val="42"/>
                    </w:rPr>
                    <w:t>:,e,</w:t>
                  </w:r>
                </w:p>
              </w:txbxContent>
            </v:textbox>
            <w10:wrap anchorx="page"/>
          </v:shape>
        </w:pict>
      </w:r>
      <w:r w:rsidRPr="00D81F69">
        <w:pict>
          <v:shape id="_x0000_s1249" type="#_x0000_t202" style="position:absolute;left:0;text-align:left;margin-left:685.7pt;margin-top:30pt;width:28.45pt;height:43.25pt;z-index:-358528;mso-position-horizontal-relative:page" filled="f" stroked="f">
            <v:textbox inset="0,0,0,0">
              <w:txbxContent>
                <w:p w:rsidR="00D81F69" w:rsidRDefault="00330118">
                  <w:pPr>
                    <w:spacing w:line="864" w:lineRule="exact"/>
                    <w:rPr>
                      <w:rFonts w:ascii="Times New Roman"/>
                      <w:sz w:val="78"/>
                    </w:rPr>
                  </w:pPr>
                  <w:r>
                    <w:rPr>
                      <w:rFonts w:ascii="Times New Roman"/>
                      <w:color w:val="FDFDFD"/>
                      <w:w w:val="70"/>
                      <w:sz w:val="78"/>
                    </w:rPr>
                    <w:t>'""</w:t>
                  </w:r>
                </w:p>
              </w:txbxContent>
            </v:textbox>
            <w10:wrap anchorx="page"/>
          </v:shape>
        </w:pict>
      </w:r>
      <w:r w:rsidRPr="00D81F69">
        <w:pict>
          <v:shape id="_x0000_s1248" type="#_x0000_t202" style="position:absolute;left:0;text-align:left;margin-left:652.9pt;margin-top:53.4pt;width:10.75pt;height:12.3pt;z-index:-358504;mso-position-horizontal-relative:page" filled="f" stroked="f">
            <v:textbox inset="0,0,0,0">
              <w:txbxContent>
                <w:p w:rsidR="00D81F69" w:rsidRDefault="00330118">
                  <w:pPr>
                    <w:spacing w:line="246" w:lineRule="exact"/>
                    <w:rPr>
                      <w:b/>
                    </w:rPr>
                  </w:pPr>
                  <w:r>
                    <w:rPr>
                      <w:b/>
                      <w:color w:val="FDFDFD"/>
                      <w:w w:val="70"/>
                    </w:rPr>
                    <w:t>QJ</w:t>
                  </w:r>
                </w:p>
              </w:txbxContent>
            </v:textbox>
            <w10:wrap anchorx="page"/>
          </v:shape>
        </w:pict>
      </w:r>
      <w:r w:rsidRPr="00D81F69">
        <w:pict>
          <v:shape id="_x0000_s1247" type="#_x0000_t202" style="position:absolute;left:0;text-align:left;margin-left:685.15pt;margin-top:42.5pt;width:11.2pt;height:28pt;z-index:-358480;mso-position-horizontal-relative:page" filled="f" stroked="f">
            <v:textbox inset="0,0,0,0">
              <w:txbxContent>
                <w:p w:rsidR="00D81F69" w:rsidRDefault="00330118">
                  <w:pPr>
                    <w:spacing w:line="559" w:lineRule="exact"/>
                    <w:rPr>
                      <w:b/>
                      <w:sz w:val="50"/>
                    </w:rPr>
                  </w:pPr>
                  <w:r>
                    <w:rPr>
                      <w:b/>
                      <w:color w:val="FDFDFD"/>
                      <w:w w:val="73"/>
                      <w:sz w:val="50"/>
                    </w:rPr>
                    <w:t>n</w:t>
                  </w:r>
                </w:p>
              </w:txbxContent>
            </v:textbox>
            <w10:wrap anchorx="page"/>
          </v:shape>
        </w:pict>
      </w:r>
      <w:r w:rsidRPr="00D81F69">
        <w:pict>
          <v:shape id="_x0000_s1246" type="#_x0000_t202" style="position:absolute;left:0;text-align:left;margin-left:652.75pt;margin-top:59.35pt;width:6.95pt;height:18.85pt;z-index:-358456;mso-position-horizontal-relative:page" filled="f" stroked="f">
            <v:textbox inset="0,0,0,0">
              <w:txbxContent>
                <w:p w:rsidR="00D81F69" w:rsidRDefault="00330118">
                  <w:pPr>
                    <w:spacing w:line="377" w:lineRule="exact"/>
                    <w:rPr>
                      <w:rFonts w:ascii="Times New Roman"/>
                      <w:b/>
                      <w:sz w:val="34"/>
                    </w:rPr>
                  </w:pPr>
                  <w:r>
                    <w:rPr>
                      <w:rFonts w:ascii="Times New Roman"/>
                      <w:b/>
                      <w:color w:val="FDFDFD"/>
                      <w:w w:val="73"/>
                      <w:sz w:val="34"/>
                    </w:rPr>
                    <w:t>n</w:t>
                  </w:r>
                </w:p>
              </w:txbxContent>
            </v:textbox>
            <w10:wrap anchorx="page"/>
          </v:shape>
        </w:pict>
      </w:r>
      <w:r w:rsidRPr="00D81F69">
        <w:pict>
          <v:group id="_x0000_s1217" style="position:absolute;left:0;text-align:left;margin-left:651.95pt;margin-top:9.45pt;width:63.15pt;height:504.4pt;z-index:-356464;mso-position-horizontal-relative:page" coordorigin="13039,189" coordsize="1263,10088">
            <v:shape id="_x0000_s1245" style="position:absolute;left:13703;top:189;width:522;height:586" coordorigin="13704,189" coordsize="522,586" path="m14226,484r-10,l14216,189r-512,l13704,775r10,l14216,775r10,l14226,484e" fillcolor="#1c8052" stroked="f">
              <v:path arrowok="t"/>
            </v:shape>
            <v:rect id="_x0000_s1244" style="position:absolute;left:13702;top:774;width:527;height:717" fillcolor="#34774f" stroked="f"/>
            <v:shape id="_x0000_s1243" style="position:absolute;left:13042;top:1025;width:1198;height:4796" coordorigin="13043,1026" coordsize="1198,4796" o:spt="100" adj="0,,0" path="m13368,2937r-9,l13359,2492r-1,l13358,2250r-303,l13055,2492r1,l13056,2937r2,l13058,3110r-9,l13049,3514r6,l13055,3626r-12,l13043,3919r310,l13353,3784r12,l13365,3292r-14,l13351,3252r17,l13368,2937t872,-930l14216,2007r,-165l14234,1842r,-816l13715,1026r,503l13704,1529r,602l13714,2131r,301l13691,2432r,1393l13692,3825r,456l13692,4281r,839l13691,5120r,701l14217,5821r,-701l14204,5120r,-83l14226,5037r,-1051l14204,3986r,-161l14217,3825r,-38l14233,3787r,-778l14217,3009r,-102l14240,2907r,-900e" fillcolor="#1c8052" stroked="f">
              <v:stroke joinstyle="round"/>
              <v:formulas/>
              <v:path arrowok="t" o:connecttype="segments"/>
            </v:shape>
            <v:line id="_x0000_s1242" style="position:absolute" from="13205,3662" to="13205,4231" strokecolor="#1c8052" strokeweight="2.28964mm"/>
            <v:shape id="_x0000_s1241" style="position:absolute;left:13039;top:4231;width:1202;height:3183" coordorigin="13039,4231" coordsize="1202,3183" path="m14240,6201r,l14240,5821r-881,l13359,5465r9,l13368,5317r91,l13459,4470r-94,l13365,4301r-12,l13353,4231r-310,l13043,4524r12,l13055,4551r-8,l13047,4960r8,l13055,5317r1,l13056,5821r3,l13059,6073r-9,l13050,6116r-11,l13039,6817r16,l13055,7027r-12,l13043,7320r12,l13055,7414r404,l13459,6567r-45,l13414,6400r277,l13691,6513r12,l13703,6738r11,l13714,7101r7,l13721,7108r512,l14233,7101r7,l14240,6201e" fillcolor="#1c8052" stroked="f">
              <v:path arrowok="t"/>
            </v:shape>
            <v:line id="_x0000_s1240" style="position:absolute" from="13208,7087" to="13208,7521" strokecolor="#1c8052" strokeweight="2.28964mm"/>
            <v:shape id="_x0000_s1239" style="position:absolute;left:13047;top:7107;width:1187;height:1224" coordorigin="13047,7108" coordsize="1187,1224" o:spt="100" adj="0,,0" path="m13365,7825r-8,l13357,7671r3,l13360,7521r-310,l13050,7671r-3,l13047,8081r8,l13055,8316r310,l13365,7825t327,-353l13692,7472r,859l13692,8331r,-859m14234,7108r-519,l13715,7924r489,l14204,8228r22,l14226,7924r8,l14234,7108e" fillcolor="#1c8052" stroked="f">
              <v:stroke joinstyle="round"/>
              <v:formulas/>
              <v:path arrowok="t" o:connecttype="segments"/>
            </v:shape>
            <v:shape id="_x0000_s1238" style="position:absolute;left:13048;top:7235;width:1156;height:1287" coordorigin="13049,7235" coordsize="1156,1287" o:spt="100" adj="0,,0" path="m13351,8118r-302,l13049,8522r302,l13351,8118t853,-883l13692,7235r,1195l14204,8430r,-1195e" fillcolor="#34774f" stroked="f">
              <v:stroke joinstyle="round"/>
              <v:formulas/>
              <v:path arrowok="t" o:connecttype="segments"/>
            </v:shape>
            <v:shape id="_x0000_s1237" style="position:absolute;left:13042;top:8227;width:1197;height:2049" coordorigin="13043,8228" coordsize="1197,2049" o:spt="100" adj="0,,0" path="m13480,8412r-425,l13055,8767r,l13055,9026r-8,l13047,9435r8,l13055,9496r,l13055,9513r-12,l13043,9806r310,l13353,9671r12,l13365,9496r94,l13459,8767r21,l13480,8412t760,-184l13721,8228r,202l13688,8430r,831l13714,9261r,1015l14226,10276r,-637l14239,9639r,-789l14200,8850r,-27l14240,8823r,-595e" fillcolor="#1c8052" stroked="f">
              <v:stroke joinstyle="round"/>
              <v:formulas/>
              <v:path arrowok="t" o:connecttype="segments"/>
            </v:shape>
            <v:shape id="_x0000_s1236" type="#_x0000_t202" style="position:absolute;left:14170;top:1592;width:132;height:470" filled="f" stroked="f">
              <v:textbox inset="0,0,0,0">
                <w:txbxContent>
                  <w:p w:rsidR="00D81F69" w:rsidRDefault="00330118">
                    <w:pPr>
                      <w:spacing w:line="470" w:lineRule="exact"/>
                      <w:rPr>
                        <w:b/>
                        <w:sz w:val="42"/>
                      </w:rPr>
                    </w:pPr>
                    <w:r>
                      <w:rPr>
                        <w:b/>
                        <w:color w:val="FDFDFD"/>
                        <w:spacing w:val="-1"/>
                        <w:w w:val="95"/>
                        <w:sz w:val="42"/>
                      </w:rPr>
                      <w:t>,</w:t>
                    </w:r>
                  </w:p>
                </w:txbxContent>
              </v:textbox>
            </v:shape>
            <v:shape id="_x0000_s1235" type="#_x0000_t202" style="position:absolute;left:13054;top:2255;width:465;height:411" filled="f" stroked="f">
              <v:textbox inset="0,0,0,0">
                <w:txbxContent>
                  <w:p w:rsidR="00D81F69" w:rsidRDefault="00330118">
                    <w:pPr>
                      <w:spacing w:line="407" w:lineRule="exact"/>
                      <w:rPr>
                        <w:rFonts w:ascii="Times New Roman"/>
                        <w:sz w:val="37"/>
                      </w:rPr>
                    </w:pPr>
                    <w:r>
                      <w:rPr>
                        <w:color w:val="FDFDFD"/>
                        <w:w w:val="105"/>
                        <w:sz w:val="33"/>
                        <w:shd w:val="clear" w:color="auto" w:fill="34774F"/>
                      </w:rPr>
                      <w:t>e:</w:t>
                    </w:r>
                    <w:r>
                      <w:rPr>
                        <w:rFonts w:ascii="Times New Roman"/>
                        <w:color w:val="FDFDFD"/>
                        <w:w w:val="105"/>
                        <w:position w:val="1"/>
                        <w:sz w:val="37"/>
                        <w:shd w:val="clear" w:color="auto" w:fill="34774F"/>
                      </w:rPr>
                      <w:t>r</w:t>
                    </w:r>
                  </w:p>
                </w:txbxContent>
              </v:textbox>
            </v:shape>
            <v:shape id="_x0000_s1234" type="#_x0000_t202" style="position:absolute;left:13056;top:2559;width:259;height:499" filled="f" stroked="f">
              <v:textbox inset="0,0,0,0">
                <w:txbxContent>
                  <w:p w:rsidR="00D81F69" w:rsidRDefault="00330118">
                    <w:pPr>
                      <w:spacing w:line="499" w:lineRule="exact"/>
                      <w:rPr>
                        <w:rFonts w:ascii="Times New Roman"/>
                        <w:sz w:val="45"/>
                      </w:rPr>
                    </w:pPr>
                    <w:r>
                      <w:rPr>
                        <w:rFonts w:ascii="Times New Roman"/>
                        <w:color w:val="FDFDFD"/>
                        <w:w w:val="106"/>
                        <w:sz w:val="45"/>
                      </w:rPr>
                      <w:t>3</w:t>
                    </w:r>
                  </w:p>
                </w:txbxContent>
              </v:textbox>
            </v:shape>
            <v:shape id="_x0000_s1233" type="#_x0000_t202" style="position:absolute;left:13042;top:2970;width:346;height:1334" filled="f" stroked="f">
              <v:textbox inset="0,0,0,0">
                <w:txbxContent>
                  <w:p w:rsidR="00D81F69" w:rsidRDefault="00330118">
                    <w:pPr>
                      <w:spacing w:line="246" w:lineRule="exact"/>
                      <w:ind w:left="14"/>
                      <w:rPr>
                        <w:b/>
                      </w:rPr>
                    </w:pPr>
                    <w:r>
                      <w:rPr>
                        <w:b/>
                        <w:color w:val="FDFDFD"/>
                        <w:w w:val="105"/>
                      </w:rPr>
                      <w:t>QJ</w:t>
                    </w:r>
                  </w:p>
                  <w:p w:rsidR="00D81F69" w:rsidRDefault="00330118">
                    <w:pPr>
                      <w:spacing w:before="113" w:line="364" w:lineRule="exact"/>
                      <w:ind w:left="12"/>
                      <w:rPr>
                        <w:sz w:val="36"/>
                      </w:rPr>
                    </w:pPr>
                    <w:r>
                      <w:rPr>
                        <w:color w:val="FDFDFD"/>
                        <w:w w:val="51"/>
                        <w:sz w:val="36"/>
                      </w:rPr>
                      <w:t>o</w:t>
                    </w:r>
                  </w:p>
                  <w:p w:rsidR="00D81F69" w:rsidRDefault="00330118">
                    <w:pPr>
                      <w:spacing w:line="108" w:lineRule="exact"/>
                      <w:rPr>
                        <w:b/>
                        <w:i/>
                        <w:sz w:val="21"/>
                      </w:rPr>
                    </w:pPr>
                    <w:r>
                      <w:rPr>
                        <w:b/>
                        <w:i/>
                        <w:color w:val="FDFDFD"/>
                        <w:w w:val="60"/>
                        <w:sz w:val="21"/>
                      </w:rPr>
                      <w:t>VI</w:t>
                    </w:r>
                  </w:p>
                  <w:p w:rsidR="00D81F69" w:rsidRDefault="00330118">
                    <w:pPr>
                      <w:spacing w:line="503" w:lineRule="exact"/>
                      <w:ind w:left="97"/>
                      <w:rPr>
                        <w:rFonts w:ascii="Times New Roman" w:hAnsi="Times New Roman"/>
                        <w:sz w:val="51"/>
                      </w:rPr>
                    </w:pPr>
                    <w:r>
                      <w:rPr>
                        <w:rFonts w:ascii="Times New Roman" w:hAnsi="Times New Roman"/>
                        <w:color w:val="FDFDFD"/>
                        <w:w w:val="107"/>
                        <w:sz w:val="51"/>
                      </w:rPr>
                      <w:t>•</w:t>
                    </w:r>
                  </w:p>
                </w:txbxContent>
              </v:textbox>
            </v:shape>
            <v:shape id="_x0000_s1232" type="#_x0000_t202" style="position:absolute;left:13055;top:4349;width:554;height:403" filled="f" stroked="f">
              <v:textbox inset="0,0,0,0">
                <w:txbxContent>
                  <w:p w:rsidR="00D81F69" w:rsidRDefault="00330118">
                    <w:pPr>
                      <w:spacing w:line="402" w:lineRule="exact"/>
                      <w:rPr>
                        <w:sz w:val="36"/>
                      </w:rPr>
                    </w:pPr>
                    <w:r>
                      <w:rPr>
                        <w:color w:val="FDFDFD"/>
                        <w:w w:val="266"/>
                        <w:sz w:val="36"/>
                      </w:rPr>
                      <w:t>o</w:t>
                    </w:r>
                  </w:p>
                </w:txbxContent>
              </v:textbox>
            </v:shape>
            <v:shape id="_x0000_s1231" type="#_x0000_t202" style="position:absolute;left:13055;top:4553;width:397;height:1308" filled="f" stroked="f">
              <v:textbox inset="0,0,0,0">
                <w:txbxContent>
                  <w:p w:rsidR="00D81F69" w:rsidRDefault="00330118">
                    <w:pPr>
                      <w:spacing w:line="718" w:lineRule="exact"/>
                      <w:rPr>
                        <w:sz w:val="62"/>
                      </w:rPr>
                    </w:pPr>
                    <w:r>
                      <w:rPr>
                        <w:color w:val="FDFDFD"/>
                        <w:w w:val="80"/>
                        <w:position w:val="-7"/>
                        <w:sz w:val="36"/>
                      </w:rPr>
                      <w:t>o</w:t>
                    </w:r>
                    <w:r>
                      <w:rPr>
                        <w:color w:val="FDFDFD"/>
                        <w:spacing w:val="-53"/>
                        <w:w w:val="80"/>
                        <w:position w:val="-7"/>
                        <w:sz w:val="36"/>
                      </w:rPr>
                      <w:t xml:space="preserve"> </w:t>
                    </w:r>
                    <w:r>
                      <w:rPr>
                        <w:color w:val="FDFDFD"/>
                        <w:w w:val="85"/>
                        <w:sz w:val="62"/>
                      </w:rPr>
                      <w:t>·</w:t>
                    </w:r>
                  </w:p>
                  <w:p w:rsidR="00D81F69" w:rsidRDefault="00330118">
                    <w:pPr>
                      <w:spacing w:before="72"/>
                      <w:ind w:left="1"/>
                      <w:rPr>
                        <w:rFonts w:ascii="Times New Roman"/>
                        <w:sz w:val="45"/>
                      </w:rPr>
                    </w:pPr>
                    <w:r>
                      <w:rPr>
                        <w:rFonts w:ascii="Times New Roman"/>
                        <w:color w:val="FDFDFD"/>
                        <w:w w:val="85"/>
                        <w:sz w:val="45"/>
                      </w:rPr>
                      <w:t>3</w:t>
                    </w:r>
                  </w:p>
                </w:txbxContent>
              </v:textbox>
            </v:shape>
            <v:shape id="_x0000_s1230" type="#_x0000_t202" style="position:absolute;left:13692;top:3610;width:609;height:1356" filled="f" stroked="f">
              <v:textbox inset="0,0,0,0">
                <w:txbxContent>
                  <w:p w:rsidR="00D81F69" w:rsidRDefault="00330118">
                    <w:pPr>
                      <w:spacing w:line="573" w:lineRule="exact"/>
                      <w:rPr>
                        <w:rFonts w:ascii="Times New Roman"/>
                        <w:b/>
                        <w:sz w:val="62"/>
                      </w:rPr>
                    </w:pPr>
                    <w:r>
                      <w:rPr>
                        <w:rFonts w:ascii="Times New Roman"/>
                        <w:b/>
                        <w:color w:val="FDFDFD"/>
                        <w:w w:val="85"/>
                        <w:sz w:val="62"/>
                      </w:rPr>
                      <w:t>:z</w:t>
                    </w:r>
                  </w:p>
                  <w:p w:rsidR="00D81F69" w:rsidRDefault="00330118">
                    <w:pPr>
                      <w:spacing w:line="783" w:lineRule="exact"/>
                      <w:ind w:left="356"/>
                      <w:rPr>
                        <w:b/>
                        <w:sz w:val="42"/>
                      </w:rPr>
                    </w:pPr>
                    <w:r>
                      <w:rPr>
                        <w:rFonts w:ascii="Times New Roman"/>
                        <w:color w:val="FDFDFD"/>
                        <w:spacing w:val="-60"/>
                        <w:w w:val="80"/>
                        <w:sz w:val="78"/>
                      </w:rPr>
                      <w:t>"</w:t>
                    </w:r>
                    <w:r>
                      <w:rPr>
                        <w:b/>
                        <w:color w:val="FDFDFD"/>
                        <w:spacing w:val="-60"/>
                        <w:w w:val="80"/>
                        <w:position w:val="1"/>
                        <w:sz w:val="42"/>
                      </w:rPr>
                      <w:t>,</w:t>
                    </w:r>
                  </w:p>
                </w:txbxContent>
              </v:textbox>
            </v:shape>
            <v:shape id="_x0000_s1229" type="#_x0000_t202" style="position:absolute;left:13039;top:6193;width:861;height:836" filled="f" stroked="f">
              <v:textbox inset="0,0,0,0">
                <w:txbxContent>
                  <w:p w:rsidR="00D81F69" w:rsidRDefault="00330118">
                    <w:pPr>
                      <w:tabs>
                        <w:tab w:val="left" w:pos="674"/>
                      </w:tabs>
                      <w:spacing w:before="68" w:line="182" w:lineRule="auto"/>
                      <w:rPr>
                        <w:rFonts w:ascii="Times New Roman"/>
                        <w:b/>
                        <w:sz w:val="65"/>
                      </w:rPr>
                    </w:pPr>
                    <w:r>
                      <w:rPr>
                        <w:rFonts w:ascii="Times New Roman"/>
                        <w:color w:val="FDFDFD"/>
                        <w:w w:val="60"/>
                        <w:sz w:val="52"/>
                      </w:rPr>
                      <w:t>,.....</w:t>
                    </w:r>
                    <w:r>
                      <w:rPr>
                        <w:rFonts w:ascii="Times New Roman"/>
                        <w:color w:val="FDFDFD"/>
                        <w:w w:val="60"/>
                        <w:sz w:val="52"/>
                      </w:rPr>
                      <w:tab/>
                    </w:r>
                    <w:r>
                      <w:rPr>
                        <w:rFonts w:ascii="Times New Roman"/>
                        <w:b/>
                        <w:color w:val="FDFDFD"/>
                        <w:w w:val="55"/>
                        <w:position w:val="-22"/>
                        <w:sz w:val="65"/>
                      </w:rPr>
                      <w:t>o</w:t>
                    </w:r>
                  </w:p>
                </w:txbxContent>
              </v:textbox>
            </v:shape>
            <v:shape id="_x0000_s1228" type="#_x0000_t202" style="position:absolute;left:13042;top:6650;width:471;height:694" filled="f" stroked="f">
              <v:textbox inset="0,0,0,0">
                <w:txbxContent>
                  <w:p w:rsidR="00D81F69" w:rsidRDefault="00330118">
                    <w:pPr>
                      <w:spacing w:line="693" w:lineRule="exact"/>
                      <w:rPr>
                        <w:sz w:val="62"/>
                      </w:rPr>
                    </w:pPr>
                    <w:r>
                      <w:rPr>
                        <w:b/>
                        <w:i/>
                        <w:color w:val="FDFDFD"/>
                        <w:spacing w:val="-137"/>
                        <w:w w:val="106"/>
                        <w:position w:val="-2"/>
                        <w:sz w:val="21"/>
                      </w:rPr>
                      <w:t>V</w:t>
                    </w:r>
                    <w:r>
                      <w:rPr>
                        <w:color w:val="FDFDFD"/>
                        <w:spacing w:val="-1"/>
                        <w:w w:val="106"/>
                        <w:sz w:val="62"/>
                      </w:rPr>
                      <w:t>-·</w:t>
                    </w:r>
                  </w:p>
                </w:txbxContent>
              </v:textbox>
            </v:shape>
            <v:shape id="_x0000_s1227" type="#_x0000_t202" style="position:absolute;left:13142;top:7151;width:189;height:537" filled="f" stroked="f">
              <v:textbox inset="0,0,0,0">
                <w:txbxContent>
                  <w:p w:rsidR="00D81F69" w:rsidRDefault="00330118">
                    <w:pPr>
                      <w:spacing w:line="537" w:lineRule="exact"/>
                      <w:rPr>
                        <w:sz w:val="48"/>
                      </w:rPr>
                    </w:pPr>
                    <w:r>
                      <w:rPr>
                        <w:color w:val="FDFDFD"/>
                        <w:sz w:val="48"/>
                      </w:rPr>
                      <w:t>•</w:t>
                    </w:r>
                  </w:p>
                </w:txbxContent>
              </v:textbox>
            </v:shape>
            <v:shape id="_x0000_s1226" type="#_x0000_t202" style="position:absolute;left:13048;top:8162;width:335;height:333" filled="f" stroked="f">
              <v:textbox inset="0,0,0,0">
                <w:txbxContent>
                  <w:p w:rsidR="00D81F69" w:rsidRDefault="00330118">
                    <w:pPr>
                      <w:spacing w:line="332" w:lineRule="exact"/>
                      <w:rPr>
                        <w:rFonts w:ascii="Times New Roman"/>
                        <w:sz w:val="30"/>
                      </w:rPr>
                    </w:pPr>
                    <w:r>
                      <w:rPr>
                        <w:rFonts w:ascii="Times New Roman"/>
                        <w:color w:val="FDFDFD"/>
                        <w:w w:val="50"/>
                        <w:sz w:val="30"/>
                      </w:rPr>
                      <w:t>::::::s</w:t>
                    </w:r>
                  </w:p>
                </w:txbxContent>
              </v:textbox>
            </v:shape>
            <v:shape id="_x0000_s1225" type="#_x0000_t202" style="position:absolute;left:13055;top:7873;width:215;height:403" filled="f" stroked="f">
              <v:textbox inset="0,0,0,0">
                <w:txbxContent>
                  <w:p w:rsidR="00D81F69" w:rsidRDefault="00330118">
                    <w:pPr>
                      <w:spacing w:line="402" w:lineRule="exact"/>
                      <w:rPr>
                        <w:sz w:val="36"/>
                      </w:rPr>
                    </w:pPr>
                    <w:r>
                      <w:rPr>
                        <w:color w:val="FDFDFD"/>
                        <w:w w:val="97"/>
                        <w:sz w:val="36"/>
                      </w:rPr>
                      <w:t>o</w:t>
                    </w:r>
                  </w:p>
                </w:txbxContent>
              </v:textbox>
            </v:shape>
            <v:shape id="_x0000_s1224" type="#_x0000_t202" style="position:absolute;left:13692;top:7425;width:238;height:1419" filled="f" stroked="f">
              <v:textbox inset="0,0,0,0">
                <w:txbxContent>
                  <w:p w:rsidR="00D81F69" w:rsidRDefault="00330118">
                    <w:pPr>
                      <w:spacing w:line="1418" w:lineRule="exact"/>
                      <w:rPr>
                        <w:rFonts w:ascii="Times New Roman"/>
                        <w:sz w:val="128"/>
                      </w:rPr>
                    </w:pPr>
                    <w:r>
                      <w:rPr>
                        <w:rFonts w:ascii="Times New Roman"/>
                        <w:color w:val="FDFDFD"/>
                        <w:w w:val="51"/>
                        <w:sz w:val="128"/>
                      </w:rPr>
                      <w:t>-</w:t>
                    </w:r>
                  </w:p>
                </w:txbxContent>
              </v:textbox>
            </v:shape>
            <v:shape id="_x0000_s1223" type="#_x0000_t202" style="position:absolute;left:14049;top:9341;width:253;height:865" filled="f" stroked="f">
              <v:textbox inset="0,0,0,0">
                <w:txbxContent>
                  <w:p w:rsidR="00D81F69" w:rsidRDefault="00330118">
                    <w:pPr>
                      <w:spacing w:line="864" w:lineRule="exact"/>
                      <w:rPr>
                        <w:rFonts w:ascii="Times New Roman"/>
                        <w:sz w:val="78"/>
                      </w:rPr>
                    </w:pPr>
                    <w:r>
                      <w:rPr>
                        <w:rFonts w:ascii="Times New Roman"/>
                        <w:color w:val="FDFDFD"/>
                        <w:spacing w:val="-1"/>
                        <w:w w:val="73"/>
                        <w:sz w:val="78"/>
                      </w:rPr>
                      <w:t>"</w:t>
                    </w:r>
                  </w:p>
                </w:txbxContent>
              </v:textbox>
            </v:shape>
            <v:shape id="_x0000_s1222" type="#_x0000_t202" style="position:absolute;left:13243;top:8516;width:1000;height:1689" filled="f" stroked="f">
              <v:textbox inset="0,0,0,0">
                <w:txbxContent>
                  <w:p w:rsidR="00D81F69" w:rsidRDefault="00330118">
                    <w:pPr>
                      <w:numPr>
                        <w:ilvl w:val="0"/>
                        <w:numId w:val="6"/>
                      </w:numPr>
                      <w:tabs>
                        <w:tab w:val="left" w:pos="445"/>
                      </w:tabs>
                      <w:spacing w:before="31" w:line="201" w:lineRule="auto"/>
                      <w:ind w:hanging="444"/>
                      <w:rPr>
                        <w:b/>
                        <w:sz w:val="58"/>
                      </w:rPr>
                    </w:pPr>
                    <w:r>
                      <w:rPr>
                        <w:b/>
                        <w:color w:val="FDFDFD"/>
                        <w:w w:val="50"/>
                        <w:sz w:val="58"/>
                      </w:rPr>
                      <w:t>:a=-</w:t>
                    </w:r>
                  </w:p>
                  <w:p w:rsidR="00D81F69" w:rsidRDefault="00330118">
                    <w:pPr>
                      <w:spacing w:line="839" w:lineRule="exact"/>
                      <w:ind w:left="470"/>
                      <w:rPr>
                        <w:rFonts w:ascii="Times New Roman"/>
                        <w:sz w:val="78"/>
                      </w:rPr>
                    </w:pPr>
                    <w:r>
                      <w:rPr>
                        <w:rFonts w:ascii="Times New Roman"/>
                        <w:color w:val="FDFDFD"/>
                        <w:w w:val="85"/>
                        <w:sz w:val="78"/>
                      </w:rPr>
                      <w:t>'"</w:t>
                    </w:r>
                  </w:p>
                </w:txbxContent>
              </v:textbox>
            </v:shape>
            <v:shape id="_x0000_s1221" type="#_x0000_t202" style="position:absolute;left:13055;top:9227;width:203;height:403" filled="f" stroked="f">
              <v:textbox inset="0,0,0,0">
                <w:txbxContent>
                  <w:p w:rsidR="00D81F69" w:rsidRDefault="00330118">
                    <w:pPr>
                      <w:spacing w:line="402" w:lineRule="exact"/>
                      <w:rPr>
                        <w:sz w:val="36"/>
                      </w:rPr>
                    </w:pPr>
                    <w:r>
                      <w:rPr>
                        <w:color w:val="FDFDFD"/>
                        <w:w w:val="91"/>
                        <w:sz w:val="36"/>
                      </w:rPr>
                      <w:t>o</w:t>
                    </w:r>
                  </w:p>
                </w:txbxContent>
              </v:textbox>
            </v:shape>
            <v:shape id="_x0000_s1220" type="#_x0000_t202" style="position:absolute;left:13042;top:9536;width:165;height:235" filled="f" stroked="f">
              <v:textbox inset="0,0,0,0">
                <w:txbxContent>
                  <w:p w:rsidR="00D81F69" w:rsidRDefault="00330118">
                    <w:pPr>
                      <w:spacing w:line="235" w:lineRule="exact"/>
                      <w:rPr>
                        <w:b/>
                        <w:i/>
                        <w:sz w:val="21"/>
                      </w:rPr>
                    </w:pPr>
                    <w:r>
                      <w:rPr>
                        <w:b/>
                        <w:i/>
                        <w:color w:val="FDFDFD"/>
                        <w:w w:val="75"/>
                        <w:sz w:val="21"/>
                      </w:rPr>
                      <w:t>VI</w:t>
                    </w:r>
                  </w:p>
                </w:txbxContent>
              </v:textbox>
            </v:shape>
            <v:shape id="_x0000_s1219" type="#_x0000_t202" style="position:absolute;left:13703;top:1592;width:487;height:470" filled="f" stroked="f">
              <v:textbox inset="0,0,0,0">
                <w:txbxContent>
                  <w:p w:rsidR="00D81F69" w:rsidRDefault="00330118">
                    <w:pPr>
                      <w:spacing w:line="470" w:lineRule="exact"/>
                      <w:rPr>
                        <w:b/>
                        <w:sz w:val="42"/>
                      </w:rPr>
                    </w:pPr>
                    <w:r>
                      <w:rPr>
                        <w:b/>
                        <w:color w:val="FDFDFD"/>
                        <w:w w:val="95"/>
                        <w:sz w:val="42"/>
                      </w:rPr>
                      <w:t>:,e</w:t>
                    </w:r>
                  </w:p>
                </w:txbxContent>
              </v:textbox>
            </v:shape>
            <v:shape id="_x0000_s1218" type="#_x0000_t202" style="position:absolute;left:13702;top:1014;width:538;height:478" fillcolor="#1c8052" stroked="f">
              <v:textbox inset="0,0,0,0">
                <w:txbxContent>
                  <w:p w:rsidR="00D81F69" w:rsidRDefault="00330118">
                    <w:pPr>
                      <w:spacing w:before="84" w:line="393" w:lineRule="exact"/>
                      <w:ind w:left="12"/>
                      <w:rPr>
                        <w:rFonts w:ascii="Times New Roman"/>
                        <w:b/>
                        <w:sz w:val="59"/>
                      </w:rPr>
                    </w:pPr>
                    <w:r>
                      <w:rPr>
                        <w:rFonts w:ascii="Times New Roman"/>
                        <w:b/>
                        <w:color w:val="FDFDFD"/>
                        <w:w w:val="85"/>
                        <w:sz w:val="59"/>
                      </w:rPr>
                      <w:t>e:</w:t>
                    </w:r>
                  </w:p>
                </w:txbxContent>
              </v:textbox>
            </v:shape>
            <w10:wrap anchorx="page"/>
          </v:group>
        </w:pict>
      </w:r>
      <w:r w:rsidR="00330118">
        <w:rPr>
          <w:color w:val="709760"/>
          <w:w w:val="107"/>
          <w:sz w:val="35"/>
        </w:rPr>
        <w:t>+</w:t>
      </w:r>
    </w:p>
    <w:p w:rsidR="00D81F69" w:rsidRDefault="00D81F69">
      <w:pPr>
        <w:pStyle w:val="Corpodetexto"/>
        <w:ind w:left="0"/>
        <w:jc w:val="left"/>
        <w:rPr>
          <w:sz w:val="38"/>
        </w:rPr>
      </w:pPr>
    </w:p>
    <w:p w:rsidR="00D81F69" w:rsidRDefault="00D81F69">
      <w:pPr>
        <w:pStyle w:val="Corpodetexto"/>
        <w:spacing w:before="3"/>
        <w:ind w:left="0"/>
        <w:jc w:val="left"/>
        <w:rPr>
          <w:sz w:val="45"/>
        </w:rPr>
      </w:pPr>
    </w:p>
    <w:p w:rsidR="00D81F69" w:rsidRDefault="00D81F69">
      <w:pPr>
        <w:tabs>
          <w:tab w:val="left" w:pos="8905"/>
          <w:tab w:val="left" w:pos="13856"/>
        </w:tabs>
        <w:ind w:left="788"/>
        <w:rPr>
          <w:rFonts w:ascii="Times New Roman"/>
          <w:sz w:val="12"/>
        </w:rPr>
      </w:pPr>
      <w:r w:rsidRPr="00D81F69">
        <w:pict>
          <v:shape id="_x0000_s1216" type="#_x0000_t202" style="position:absolute;left:0;text-align:left;margin-left:652.1pt;margin-top:28.85pt;width:16.35pt;height:20.55pt;z-index:-358432;mso-position-horizontal-relative:page" filled="f" stroked="f">
            <v:textbox inset="0,0,0,0">
              <w:txbxContent>
                <w:p w:rsidR="00D81F69" w:rsidRDefault="00330118">
                  <w:pPr>
                    <w:spacing w:line="410" w:lineRule="exact"/>
                    <w:rPr>
                      <w:rFonts w:ascii="Times New Roman"/>
                      <w:sz w:val="37"/>
                    </w:rPr>
                  </w:pPr>
                  <w:r>
                    <w:rPr>
                      <w:rFonts w:ascii="Times New Roman"/>
                      <w:color w:val="FDFDFD"/>
                      <w:w w:val="105"/>
                      <w:sz w:val="37"/>
                    </w:rPr>
                    <w:t>:::</w:t>
                  </w:r>
                </w:p>
              </w:txbxContent>
            </v:textbox>
            <w10:wrap anchorx="page"/>
          </v:shape>
        </w:pict>
      </w:r>
      <w:r w:rsidRPr="00D81F69">
        <w:pict>
          <v:shape id="_x0000_s1215" type="#_x0000_t202" style="position:absolute;left:0;text-align:left;margin-left:685.7pt;margin-top:28.85pt;width:11.55pt;height:20.55pt;z-index:-358408;mso-position-horizontal-relative:page" filled="f" stroked="f">
            <v:textbox inset="0,0,0,0">
              <w:txbxContent>
                <w:p w:rsidR="00D81F69" w:rsidRDefault="00330118">
                  <w:pPr>
                    <w:spacing w:line="410" w:lineRule="exact"/>
                    <w:rPr>
                      <w:rFonts w:ascii="Times New Roman"/>
                      <w:sz w:val="37"/>
                    </w:rPr>
                  </w:pPr>
                  <w:r>
                    <w:rPr>
                      <w:rFonts w:ascii="Times New Roman"/>
                      <w:color w:val="FDFDFD"/>
                      <w:w w:val="105"/>
                      <w:sz w:val="37"/>
                    </w:rPr>
                    <w:t>"'</w:t>
                  </w:r>
                </w:p>
              </w:txbxContent>
            </v:textbox>
            <w10:wrap anchorx="page"/>
          </v:shape>
        </w:pict>
      </w:r>
      <w:r w:rsidRPr="00D81F69">
        <w:pict>
          <v:shape id="_x0000_s1214" type="#_x0000_t202" style="position:absolute;left:0;text-align:left;margin-left:685.7pt;margin-top:21.75pt;width:17.3pt;height:36.05pt;z-index:-358384;mso-position-horizontal-relative:page" filled="f" stroked="f">
            <v:textbox inset="0,0,0,0">
              <w:txbxContent>
                <w:p w:rsidR="00D81F69" w:rsidRDefault="00330118">
                  <w:pPr>
                    <w:spacing w:line="720" w:lineRule="exact"/>
                    <w:rPr>
                      <w:rFonts w:ascii="Times New Roman"/>
                      <w:b/>
                      <w:sz w:val="65"/>
                    </w:rPr>
                  </w:pPr>
                  <w:r>
                    <w:rPr>
                      <w:rFonts w:ascii="Times New Roman"/>
                      <w:b/>
                      <w:color w:val="FDFDFD"/>
                      <w:w w:val="106"/>
                      <w:sz w:val="65"/>
                    </w:rPr>
                    <w:t>o</w:t>
                  </w:r>
                </w:p>
              </w:txbxContent>
            </v:textbox>
            <w10:wrap anchorx="page"/>
          </v:shape>
        </w:pict>
      </w:r>
      <w:r w:rsidR="00330118">
        <w:rPr>
          <w:color w:val="709760"/>
          <w:position w:val="-8"/>
          <w:sz w:val="30"/>
        </w:rPr>
        <w:t>+</w:t>
      </w:r>
      <w:r w:rsidR="00330118">
        <w:rPr>
          <w:color w:val="709760"/>
          <w:position w:val="-8"/>
          <w:sz w:val="30"/>
        </w:rPr>
        <w:tab/>
      </w:r>
      <w:r w:rsidR="00330118">
        <w:rPr>
          <w:rFonts w:ascii="Times New Roman"/>
          <w:color w:val="709760"/>
          <w:w w:val="80"/>
          <w:position w:val="1"/>
          <w:sz w:val="49"/>
        </w:rPr>
        <w:t>...</w:t>
      </w:r>
      <w:r w:rsidR="00330118">
        <w:rPr>
          <w:rFonts w:ascii="Times New Roman"/>
          <w:color w:val="709760"/>
          <w:w w:val="80"/>
          <w:position w:val="1"/>
          <w:sz w:val="49"/>
        </w:rPr>
        <w:tab/>
      </w:r>
      <w:r w:rsidR="00330118">
        <w:rPr>
          <w:rFonts w:ascii="Times New Roman"/>
          <w:color w:val="709760"/>
          <w:sz w:val="12"/>
        </w:rPr>
        <w:t>&lt;</w:t>
      </w:r>
    </w:p>
    <w:p w:rsidR="00D81F69" w:rsidRDefault="00D81F69">
      <w:pPr>
        <w:pStyle w:val="Corpodetexto"/>
        <w:ind w:left="0"/>
        <w:jc w:val="left"/>
        <w:rPr>
          <w:rFonts w:ascii="Times New Roman"/>
          <w:sz w:val="20"/>
        </w:rPr>
      </w:pPr>
    </w:p>
    <w:p w:rsidR="00D81F69" w:rsidRDefault="00D81F69">
      <w:pPr>
        <w:pStyle w:val="Corpodetexto"/>
        <w:ind w:left="0"/>
        <w:jc w:val="left"/>
        <w:rPr>
          <w:rFonts w:ascii="Times New Roman"/>
          <w:sz w:val="20"/>
        </w:rPr>
      </w:pPr>
    </w:p>
    <w:p w:rsidR="00D81F69" w:rsidRDefault="00D81F69">
      <w:pPr>
        <w:pStyle w:val="Corpodetexto"/>
        <w:spacing w:before="3"/>
        <w:ind w:left="0"/>
        <w:jc w:val="left"/>
        <w:rPr>
          <w:rFonts w:ascii="Times New Roman"/>
          <w:sz w:val="27"/>
        </w:rPr>
      </w:pPr>
    </w:p>
    <w:p w:rsidR="00D81F69" w:rsidRDefault="00D81F69">
      <w:pPr>
        <w:spacing w:before="92"/>
        <w:ind w:right="116"/>
        <w:jc w:val="right"/>
        <w:rPr>
          <w:sz w:val="25"/>
        </w:rPr>
      </w:pPr>
      <w:r w:rsidRPr="00D81F69">
        <w:pict>
          <v:shape id="_x0000_s1213" type="#_x0000_t202" style="position:absolute;left:0;text-align:left;margin-left:684.55pt;margin-top:-25.2pt;width:29.5pt;height:57.05pt;z-index:-358360;mso-position-horizontal-relative:page" filled="f" stroked="f">
            <v:textbox inset="0,0,0,0">
              <w:txbxContent>
                <w:p w:rsidR="00D81F69" w:rsidRDefault="00330118">
                  <w:pPr>
                    <w:spacing w:line="1140" w:lineRule="exact"/>
                    <w:rPr>
                      <w:sz w:val="102"/>
                    </w:rPr>
                  </w:pPr>
                  <w:r>
                    <w:rPr>
                      <w:color w:val="FDFDFD"/>
                      <w:w w:val="105"/>
                      <w:sz w:val="102"/>
                    </w:rPr>
                    <w:t>"'</w:t>
                  </w:r>
                </w:p>
              </w:txbxContent>
            </v:textbox>
            <w10:wrap anchorx="page"/>
          </v:shape>
        </w:pict>
      </w:r>
      <w:r w:rsidRPr="00D81F69">
        <w:pict>
          <v:shape id="_x0000_s1212" type="#_x0000_t202" style="position:absolute;left:0;text-align:left;margin-left:652.45pt;margin-top:4.05pt;width:15.75pt;height:16.65pt;z-index:-358336;mso-position-horizontal-relative:page" filled="f" stroked="f">
            <v:textbox inset="0,0,0,0">
              <w:txbxContent>
                <w:p w:rsidR="00D81F69" w:rsidRDefault="00330118">
                  <w:pPr>
                    <w:spacing w:line="332" w:lineRule="exact"/>
                    <w:rPr>
                      <w:rFonts w:ascii="Times New Roman"/>
                      <w:sz w:val="30"/>
                    </w:rPr>
                  </w:pPr>
                  <w:r>
                    <w:rPr>
                      <w:rFonts w:ascii="Times New Roman"/>
                      <w:color w:val="FDFDFD"/>
                      <w:w w:val="50"/>
                      <w:sz w:val="30"/>
                    </w:rPr>
                    <w:t>::::::s</w:t>
                  </w:r>
                </w:p>
              </w:txbxContent>
            </v:textbox>
            <w10:wrap anchorx="page"/>
          </v:shape>
        </w:pict>
      </w:r>
      <w:r w:rsidRPr="00D81F69">
        <w:pict>
          <v:shape id="_x0000_s1211" type="#_x0000_t202" style="position:absolute;left:0;text-align:left;margin-left:686.05pt;margin-top:.6pt;width:25.25pt;height:31.9pt;z-index:-358312;mso-position-horizontal-relative:page" filled="f" stroked="f">
            <v:textbox inset="0,0,0,0">
              <w:txbxContent>
                <w:p w:rsidR="00D81F69" w:rsidRDefault="00330118">
                  <w:pPr>
                    <w:spacing w:line="637" w:lineRule="exact"/>
                    <w:rPr>
                      <w:sz w:val="57"/>
                    </w:rPr>
                  </w:pPr>
                  <w:r>
                    <w:rPr>
                      <w:color w:val="FDFDFD"/>
                      <w:w w:val="105"/>
                      <w:sz w:val="57"/>
                    </w:rPr>
                    <w:t>3:</w:t>
                  </w:r>
                </w:p>
              </w:txbxContent>
            </v:textbox>
            <w10:wrap anchorx="page"/>
          </v:shape>
        </w:pict>
      </w:r>
      <w:r w:rsidRPr="00D81F69">
        <w:pict>
          <v:shape id="_x0000_s1210" type="#_x0000_t202" style="position:absolute;left:0;text-align:left;margin-left:684.6pt;margin-top:-9.75pt;width:10.9pt;height:70.95pt;z-index:-358288;mso-position-horizontal-relative:page" filled="f" stroked="f">
            <v:textbox inset="0,0,0,0">
              <w:txbxContent>
                <w:p w:rsidR="00D81F69" w:rsidRDefault="00330118">
                  <w:pPr>
                    <w:spacing w:line="1418" w:lineRule="exact"/>
                    <w:rPr>
                      <w:rFonts w:ascii="Times New Roman"/>
                      <w:sz w:val="128"/>
                    </w:rPr>
                  </w:pPr>
                  <w:r>
                    <w:rPr>
                      <w:rFonts w:ascii="Times New Roman"/>
                      <w:color w:val="FDFDFD"/>
                      <w:w w:val="51"/>
                      <w:sz w:val="128"/>
                    </w:rPr>
                    <w:t>-</w:t>
                  </w:r>
                </w:p>
              </w:txbxContent>
            </v:textbox>
            <w10:wrap anchorx="page"/>
          </v:shape>
        </w:pict>
      </w:r>
      <w:r w:rsidRPr="00D81F69">
        <w:pict>
          <v:group id="_x0000_s1203" style="position:absolute;left:0;text-align:left;margin-left:133.9pt;margin-top:10.6pt;width:39.55pt;height:158.6pt;z-index:-356368;mso-position-horizontal-relative:page" coordorigin="2678,212" coordsize="791,3172">
            <v:rect id="_x0000_s1209" style="position:absolute;left:2693;top:211;width:686;height:1213" fillcolor="#1c8052" stroked="f"/>
            <v:line id="_x0000_s1208" style="position:absolute" from="2754,1143" to="2754,1391" strokecolor="#1c8052" strokeweight=".27561mm"/>
            <v:shape id="_x0000_s1207" style="position:absolute;left:2677;top:866;width:763;height:2518" coordorigin="2678,866" coordsize="763,2518" path="m3440,1707r-7,l3433,866r-671,l2762,1391r-50,l2712,2318r-34,l2678,3383r678,l3356,3069r84,l3440,1707e" fillcolor="#1c8052" stroked="f">
              <v:path arrowok="t"/>
            </v:shape>
            <v:shape id="_x0000_s1206" type="#_x0000_t202" style="position:absolute;left:3095;top:1024;width:360;height:1741" filled="f" stroked="f">
              <v:textbox inset="0,0,0,0">
                <w:txbxContent>
                  <w:p w:rsidR="00D81F69" w:rsidRDefault="00330118">
                    <w:pPr>
                      <w:spacing w:line="892" w:lineRule="exact"/>
                      <w:rPr>
                        <w:rFonts w:ascii="Courier New"/>
                        <w:sz w:val="84"/>
                      </w:rPr>
                    </w:pPr>
                    <w:r>
                      <w:rPr>
                        <w:rFonts w:ascii="Courier New"/>
                        <w:color w:val="FDFDFD"/>
                        <w:w w:val="66"/>
                        <w:sz w:val="84"/>
                      </w:rPr>
                      <w:t>m</w:t>
                    </w:r>
                  </w:p>
                  <w:p w:rsidR="00D81F69" w:rsidRDefault="00330118">
                    <w:pPr>
                      <w:spacing w:line="847" w:lineRule="exact"/>
                      <w:ind w:left="3"/>
                      <w:rPr>
                        <w:rFonts w:ascii="Courier New"/>
                        <w:sz w:val="80"/>
                      </w:rPr>
                    </w:pPr>
                    <w:r>
                      <w:rPr>
                        <w:rFonts w:ascii="Courier New"/>
                        <w:color w:val="FDFDFD"/>
                        <w:w w:val="70"/>
                        <w:sz w:val="80"/>
                      </w:rPr>
                      <w:t>m</w:t>
                    </w:r>
                  </w:p>
                </w:txbxContent>
              </v:textbox>
            </v:shape>
            <v:shape id="_x0000_s1205" type="#_x0000_t202" style="position:absolute;left:2677;top:2422;width:791;height:873" filled="f" stroked="f">
              <v:textbox inset="0,0,0,0">
                <w:txbxContent>
                  <w:p w:rsidR="00D81F69" w:rsidRDefault="00330118">
                    <w:pPr>
                      <w:spacing w:line="872" w:lineRule="exact"/>
                      <w:rPr>
                        <w:sz w:val="78"/>
                      </w:rPr>
                    </w:pPr>
                    <w:r>
                      <w:rPr>
                        <w:color w:val="FDFDFD"/>
                        <w:w w:val="70"/>
                        <w:sz w:val="78"/>
                      </w:rPr>
                      <w:t>13:</w:t>
                    </w:r>
                  </w:p>
                </w:txbxContent>
              </v:textbox>
            </v:shape>
            <v:shape id="_x0000_s1204" type="#_x0000_t202" style="position:absolute;left:2693;top:345;width:760;height:998" filled="f" stroked="f">
              <v:textbox inset="0,0,0,0">
                <w:txbxContent>
                  <w:p w:rsidR="00D81F69" w:rsidRDefault="00330118">
                    <w:pPr>
                      <w:spacing w:line="997" w:lineRule="exact"/>
                      <w:rPr>
                        <w:rFonts w:ascii="Times New Roman" w:hAnsi="Times New Roman"/>
                        <w:sz w:val="90"/>
                      </w:rPr>
                    </w:pPr>
                    <w:r>
                      <w:rPr>
                        <w:rFonts w:ascii="Times New Roman" w:hAnsi="Times New Roman"/>
                        <w:color w:val="FDFDFD"/>
                        <w:w w:val="80"/>
                        <w:sz w:val="90"/>
                      </w:rPr>
                      <w:t>§n</w:t>
                    </w:r>
                  </w:p>
                </w:txbxContent>
              </v:textbox>
            </v:shape>
            <w10:wrap anchorx="page"/>
          </v:group>
        </w:pict>
      </w:r>
      <w:r w:rsidR="00330118">
        <w:rPr>
          <w:color w:val="709760"/>
          <w:w w:val="51"/>
          <w:sz w:val="25"/>
        </w:rPr>
        <w:t>•</w:t>
      </w:r>
    </w:p>
    <w:p w:rsidR="00D81F69" w:rsidRDefault="00D81F69">
      <w:pPr>
        <w:pStyle w:val="Corpodetexto"/>
        <w:ind w:left="0"/>
        <w:jc w:val="left"/>
        <w:rPr>
          <w:sz w:val="33"/>
        </w:rPr>
      </w:pPr>
    </w:p>
    <w:p w:rsidR="00D81F69" w:rsidRDefault="00D81F69">
      <w:pPr>
        <w:tabs>
          <w:tab w:val="left" w:pos="1012"/>
        </w:tabs>
        <w:spacing w:before="1"/>
        <w:ind w:left="104"/>
        <w:rPr>
          <w:rFonts w:ascii="Times New Roman"/>
          <w:sz w:val="11"/>
        </w:rPr>
      </w:pPr>
      <w:r w:rsidRPr="00D81F69">
        <w:pict>
          <v:shape id="_x0000_s1202" type="#_x0000_t202" style="position:absolute;left:0;text-align:left;margin-left:336.7pt;margin-top:-4.15pt;width:9.85pt;height:20.55pt;z-index:-358264;mso-position-horizontal-relative:page" filled="f" stroked="f">
            <v:textbox inset="0,0,0,0">
              <w:txbxContent>
                <w:p w:rsidR="00D81F69" w:rsidRDefault="00330118">
                  <w:pPr>
                    <w:spacing w:line="157" w:lineRule="exact"/>
                    <w:jc w:val="right"/>
                    <w:rPr>
                      <w:sz w:val="14"/>
                    </w:rPr>
                  </w:pPr>
                  <w:r>
                    <w:rPr>
                      <w:color w:val="709760"/>
                      <w:w w:val="76"/>
                      <w:sz w:val="14"/>
                    </w:rPr>
                    <w:t>1</w:t>
                  </w:r>
                </w:p>
                <w:p w:rsidR="00D81F69" w:rsidRDefault="00330118">
                  <w:pPr>
                    <w:pStyle w:val="Corpodetexto"/>
                    <w:spacing w:before="46"/>
                    <w:ind w:left="0" w:right="89"/>
                    <w:jc w:val="right"/>
                  </w:pPr>
                  <w:r>
                    <w:rPr>
                      <w:color w:val="FDFDFD"/>
                      <w:w w:val="80"/>
                    </w:rPr>
                    <w:t>""</w:t>
                  </w:r>
                </w:p>
              </w:txbxContent>
            </v:textbox>
            <w10:wrap anchorx="page"/>
          </v:shape>
        </w:pict>
      </w:r>
      <w:r w:rsidRPr="00D81F69">
        <w:pict>
          <v:shape id="_x0000_s1201" type="#_x0000_t202" style="position:absolute;left:0;text-align:left;margin-left:412.35pt;margin-top:1.5pt;width:10.65pt;height:16.1pt;z-index:-358240;mso-position-horizontal-relative:page" filled="f" stroked="f">
            <v:textbox inset="0,0,0,0">
              <w:txbxContent>
                <w:p w:rsidR="00D81F69" w:rsidRDefault="00330118">
                  <w:pPr>
                    <w:spacing w:line="321" w:lineRule="exact"/>
                    <w:rPr>
                      <w:rFonts w:ascii="Times New Roman"/>
                      <w:sz w:val="29"/>
                    </w:rPr>
                  </w:pPr>
                  <w:r>
                    <w:rPr>
                      <w:rFonts w:ascii="Times New Roman"/>
                      <w:color w:val="FDFDFD"/>
                      <w:w w:val="94"/>
                      <w:sz w:val="29"/>
                    </w:rPr>
                    <w:t>m</w:t>
                  </w:r>
                </w:p>
              </w:txbxContent>
            </v:textbox>
            <w10:wrap anchorx="page"/>
          </v:shape>
        </w:pict>
      </w:r>
      <w:r w:rsidRPr="00D81F69">
        <w:pict>
          <v:shape id="_x0000_s1200" type="#_x0000_t202" style="position:absolute;left:0;text-align:left;margin-left:361.15pt;margin-top:6.3pt;width:10.85pt;height:16.35pt;z-index:-358216;mso-position-horizontal-relative:page" filled="f" stroked="f">
            <v:textbox inset="0,0,0,0">
              <w:txbxContent>
                <w:p w:rsidR="00D81F69" w:rsidRDefault="00330118">
                  <w:pPr>
                    <w:spacing w:line="172" w:lineRule="exact"/>
                    <w:rPr>
                      <w:b/>
                      <w:sz w:val="18"/>
                    </w:rPr>
                  </w:pPr>
                  <w:r>
                    <w:rPr>
                      <w:b/>
                      <w:color w:val="FDFDFD"/>
                      <w:w w:val="90"/>
                      <w:sz w:val="18"/>
                    </w:rPr>
                    <w:t>::i:</w:t>
                  </w:r>
                </w:p>
                <w:p w:rsidR="00D81F69" w:rsidRDefault="00330118">
                  <w:pPr>
                    <w:spacing w:line="155" w:lineRule="exact"/>
                    <w:ind w:left="15"/>
                    <w:rPr>
                      <w:b/>
                      <w:sz w:val="16"/>
                    </w:rPr>
                  </w:pPr>
                  <w:r>
                    <w:rPr>
                      <w:b/>
                      <w:color w:val="FDFDFD"/>
                      <w:w w:val="105"/>
                      <w:sz w:val="16"/>
                    </w:rPr>
                    <w:t>ti)</w:t>
                  </w:r>
                </w:p>
              </w:txbxContent>
            </v:textbox>
            <w10:wrap anchorx="page"/>
          </v:shape>
        </w:pict>
      </w:r>
      <w:r w:rsidRPr="00D81F69">
        <w:pict>
          <v:shape id="_x0000_s1199" type="#_x0000_t202" style="position:absolute;left:0;text-align:left;margin-left:412pt;margin-top:8.25pt;width:12.55pt;height:15.7pt;z-index:-358192;mso-position-horizontal-relative:page" filled="f" stroked="f">
            <v:textbox inset="0,0,0,0">
              <w:txbxContent>
                <w:p w:rsidR="00D81F69" w:rsidRDefault="00330118">
                  <w:pPr>
                    <w:spacing w:line="313" w:lineRule="exact"/>
                    <w:rPr>
                      <w:sz w:val="28"/>
                    </w:rPr>
                  </w:pPr>
                  <w:r>
                    <w:rPr>
                      <w:color w:val="FDFDFD"/>
                      <w:w w:val="105"/>
                      <w:sz w:val="28"/>
                    </w:rPr>
                    <w:t>a.</w:t>
                  </w:r>
                </w:p>
              </w:txbxContent>
            </v:textbox>
            <w10:wrap anchorx="page"/>
          </v:shape>
        </w:pict>
      </w:r>
      <w:r w:rsidRPr="00D81F69">
        <w:pict>
          <v:shape id="_x0000_s1198" type="#_x0000_t202" style="position:absolute;left:0;text-align:left;margin-left:685.7pt;margin-top:13.55pt;width:16.8pt;height:43.25pt;z-index:-358048;mso-position-horizontal-relative:page" filled="f" stroked="f">
            <v:textbox inset="0,0,0,0">
              <w:txbxContent>
                <w:p w:rsidR="00D81F69" w:rsidRDefault="00330118">
                  <w:pPr>
                    <w:spacing w:line="864" w:lineRule="exact"/>
                    <w:rPr>
                      <w:rFonts w:ascii="Times New Roman"/>
                      <w:sz w:val="78"/>
                    </w:rPr>
                  </w:pPr>
                  <w:r>
                    <w:rPr>
                      <w:rFonts w:ascii="Times New Roman"/>
                      <w:color w:val="FDFDFD"/>
                      <w:w w:val="70"/>
                      <w:sz w:val="78"/>
                    </w:rPr>
                    <w:t>'"</w:t>
                  </w:r>
                </w:p>
              </w:txbxContent>
            </v:textbox>
            <w10:wrap anchorx="page"/>
          </v:shape>
        </w:pict>
      </w:r>
      <w:r w:rsidRPr="00D81F69">
        <w:pict>
          <v:shape id="_x0000_s1197" style="position:absolute;left:0;text-align:left;margin-left:336.25pt;margin-top:-.65pt;width:90.2pt;height:80.1pt;z-index:-356344;mso-position-horizontal-relative:page" coordorigin="6725,-13" coordsize="1804,1602" o:spt="100" adj="0,,0" path="m7941,252r-209,l7732,471r209,l7941,252t68,1079l7727,1331r,258l8009,1589r,-258m8529,-13r-282,l8247,103r-12,l8235,464r-10,l8225,510r-489,l7736,797r,124l7281,921r,-124l7736,797r,-287l7422,510r,-31l7447,479r,-122l7511,357r,-258l7223,99r,4l7220,103r,407l6734,510r,230l6733,740r,202l6725,942r,258l7006,1200r,-177l7240,1023r,96l7232,1119r,272l7238,1391r,7l7447,1398r,-7l7521,1391r,-184l7746,1207r,-184l8025,1023r,-226l8225,797r,263l8248,1060r,129l8234,1189r,173l8436,1362r,-165l8450,1197r,-273l8446,924r,-100l8427,824r,-27l8487,797r,-25l8516,772r,-262l8528,510r,-383l8529,127r,-140e" fillcolor="#1c8052" stroked="f">
            <v:stroke joinstyle="round"/>
            <v:formulas/>
            <v:path arrowok="t" o:connecttype="segments"/>
            <w10:wrap anchorx="page"/>
          </v:shape>
        </w:pict>
      </w:r>
      <w:r w:rsidRPr="00D81F69">
        <w:pict>
          <v:shape id="_x0000_s1196" type="#_x0000_t202" style="position:absolute;left:0;text-align:left;margin-left:411.75pt;margin-top:-.65pt;width:12.9pt;height:26.15pt;z-index:3688;mso-position-horizontal-relative:page" filled="f" stroked="f">
            <v:textbox inset="0,0,0,0">
              <w:txbxContent>
                <w:p w:rsidR="00D81F69" w:rsidRDefault="00330118">
                  <w:pPr>
                    <w:spacing w:before="166" w:line="356" w:lineRule="exact"/>
                    <w:ind w:right="-44"/>
                    <w:rPr>
                      <w:sz w:val="49"/>
                    </w:rPr>
                  </w:pPr>
                  <w:r>
                    <w:rPr>
                      <w:color w:val="FDFDFD"/>
                      <w:w w:val="90"/>
                      <w:sz w:val="49"/>
                    </w:rPr>
                    <w:t>-·</w:t>
                  </w:r>
                </w:p>
              </w:txbxContent>
            </v:textbox>
            <w10:wrap anchorx="page"/>
          </v:shape>
        </w:pict>
      </w:r>
      <w:r w:rsidRPr="00D81F69">
        <w:pict>
          <v:shape id="_x0000_s1195" type="#_x0000_t202" style="position:absolute;left:0;text-align:left;margin-left:371.95pt;margin-top:6.3pt;width:29.5pt;height:10.1pt;z-index:-355936;mso-position-horizontal-relative:page" filled="f" stroked="f">
            <v:textbox inset="0,0,0,0">
              <w:txbxContent>
                <w:p w:rsidR="00D81F69" w:rsidRDefault="00330118">
                  <w:pPr>
                    <w:spacing w:line="201" w:lineRule="exact"/>
                    <w:rPr>
                      <w:sz w:val="18"/>
                    </w:rPr>
                  </w:pPr>
                  <w:r>
                    <w:rPr>
                      <w:b/>
                      <w:color w:val="FDFDFD"/>
                      <w:sz w:val="18"/>
                    </w:rPr>
                    <w:t xml:space="preserve">:, </w:t>
                  </w:r>
                  <w:r>
                    <w:rPr>
                      <w:color w:val="FDFDFD"/>
                      <w:sz w:val="18"/>
                      <w:shd w:val="clear" w:color="auto" w:fill="1C8052"/>
                    </w:rPr>
                    <w:t xml:space="preserve">"" </w:t>
                  </w:r>
                </w:p>
              </w:txbxContent>
            </v:textbox>
            <w10:wrap anchorx="page"/>
          </v:shape>
        </w:pict>
      </w:r>
      <w:r w:rsidRPr="00D81F69">
        <w:pict>
          <v:shape id="_x0000_s1194" type="#_x0000_t202" style="position:absolute;left:0;text-align:left;margin-left:361pt;margin-top:8.45pt;width:13.65pt;height:27.4pt;z-index:3736;mso-position-horizontal-relative:page" filled="f" stroked="f">
            <v:textbox inset="0,0,0,0">
              <w:txbxContent>
                <w:p w:rsidR="00D81F69" w:rsidRDefault="00330118">
                  <w:pPr>
                    <w:spacing w:line="548" w:lineRule="exact"/>
                    <w:rPr>
                      <w:sz w:val="49"/>
                    </w:rPr>
                  </w:pPr>
                  <w:r>
                    <w:rPr>
                      <w:color w:val="FDFDFD"/>
                      <w:w w:val="88"/>
                      <w:sz w:val="49"/>
                    </w:rPr>
                    <w:t>=</w:t>
                  </w:r>
                </w:p>
              </w:txbxContent>
            </v:textbox>
            <w10:wrap anchorx="page"/>
          </v:shape>
        </w:pict>
      </w:r>
      <w:r w:rsidRPr="00D81F69">
        <w:pict>
          <v:shape id="_x0000_s1193" type="#_x0000_t202" style="position:absolute;left:0;text-align:left;margin-left:336.7pt;margin-top:-.65pt;width:24.3pt;height:26.15pt;z-index:3760;mso-position-horizontal-relative:page" filled="f" stroked="f">
            <v:textbox inset="0,0,0,0">
              <w:txbxContent>
                <w:p w:rsidR="00D81F69" w:rsidRDefault="00330118">
                  <w:pPr>
                    <w:spacing w:line="523" w:lineRule="exact"/>
                    <w:ind w:left="-20"/>
                    <w:rPr>
                      <w:sz w:val="49"/>
                    </w:rPr>
                  </w:pPr>
                  <w:r>
                    <w:rPr>
                      <w:color w:val="FDFDFD"/>
                      <w:w w:val="107"/>
                      <w:sz w:val="49"/>
                      <w:shd w:val="clear" w:color="auto" w:fill="1C8052"/>
                    </w:rPr>
                    <w:t>=</w:t>
                  </w:r>
                </w:p>
              </w:txbxContent>
            </v:textbox>
            <w10:wrap anchorx="page"/>
          </v:shape>
        </w:pict>
      </w:r>
      <w:r w:rsidR="00330118">
        <w:rPr>
          <w:color w:val="709760"/>
          <w:w w:val="95"/>
          <w:sz w:val="23"/>
        </w:rPr>
        <w:t>,</w:t>
      </w:r>
      <w:r w:rsidR="00330118">
        <w:rPr>
          <w:color w:val="709760"/>
          <w:w w:val="95"/>
          <w:sz w:val="23"/>
        </w:rPr>
        <w:tab/>
      </w:r>
      <w:r w:rsidR="00330118">
        <w:rPr>
          <w:rFonts w:ascii="Times New Roman"/>
          <w:color w:val="709760"/>
          <w:w w:val="95"/>
          <w:position w:val="-3"/>
          <w:sz w:val="11"/>
        </w:rPr>
        <w:t>J</w:t>
      </w:r>
    </w:p>
    <w:p w:rsidR="00D81F69" w:rsidRDefault="00D81F69">
      <w:pPr>
        <w:pStyle w:val="Corpodetexto"/>
        <w:spacing w:line="178" w:lineRule="exact"/>
        <w:ind w:left="7051"/>
        <w:jc w:val="left"/>
        <w:rPr>
          <w:rFonts w:ascii="Times New Roman"/>
          <w:sz w:val="17"/>
        </w:rPr>
      </w:pPr>
      <w:r w:rsidRPr="00D81F69">
        <w:rPr>
          <w:rFonts w:ascii="Times New Roman"/>
          <w:position w:val="-3"/>
          <w:sz w:val="17"/>
        </w:rPr>
      </w:r>
      <w:r w:rsidRPr="00D81F69">
        <w:rPr>
          <w:rFonts w:ascii="Times New Roman"/>
          <w:position w:val="-3"/>
          <w:sz w:val="17"/>
        </w:rPr>
        <w:pict>
          <v:shape id="_x0000_s1192" type="#_x0000_t202" style="width:3.4pt;height:8.95pt;mso-position-horizontal-relative:char;mso-position-vertical-relative:line" filled="f" stroked="f">
            <v:textbox inset="0,0,0,0">
              <w:txbxContent>
                <w:p w:rsidR="00D81F69" w:rsidRDefault="00330118">
                  <w:pPr>
                    <w:spacing w:line="179" w:lineRule="exact"/>
                    <w:rPr>
                      <w:sz w:val="16"/>
                    </w:rPr>
                  </w:pPr>
                  <w:r>
                    <w:rPr>
                      <w:color w:val="FDFDFD"/>
                      <w:w w:val="107"/>
                      <w:sz w:val="16"/>
                    </w:rPr>
                    <w:t>;</w:t>
                  </w:r>
                </w:p>
              </w:txbxContent>
            </v:textbox>
            <w10:wrap type="none"/>
            <w10:anchorlock/>
          </v:shape>
        </w:pict>
      </w:r>
    </w:p>
    <w:p w:rsidR="00D81F69" w:rsidRDefault="00D81F69">
      <w:pPr>
        <w:pStyle w:val="Heading6"/>
        <w:spacing w:before="75" w:line="230" w:lineRule="exact"/>
        <w:ind w:right="2459"/>
        <w:jc w:val="center"/>
      </w:pPr>
      <w:r w:rsidRPr="00D81F69">
        <w:pict>
          <v:shape id="_x0000_s1191" type="#_x0000_t202" style="position:absolute;left:0;text-align:left;margin-left:137.3pt;margin-top:-1.9pt;width:6.95pt;height:13.35pt;z-index:-358168;mso-position-horizontal-relative:page" filled="f" stroked="f">
            <v:textbox inset="0,0,0,0">
              <w:txbxContent>
                <w:p w:rsidR="00D81F69" w:rsidRDefault="00330118">
                  <w:pPr>
                    <w:spacing w:line="266" w:lineRule="exact"/>
                    <w:rPr>
                      <w:rFonts w:ascii="Times New Roman"/>
                      <w:sz w:val="24"/>
                    </w:rPr>
                  </w:pPr>
                  <w:r>
                    <w:rPr>
                      <w:rFonts w:ascii="Times New Roman"/>
                      <w:color w:val="FDFDFD"/>
                      <w:w w:val="95"/>
                      <w:sz w:val="24"/>
                    </w:rPr>
                    <w:t>"'</w:t>
                  </w:r>
                </w:p>
              </w:txbxContent>
            </v:textbox>
            <w10:wrap anchorx="page"/>
          </v:shape>
        </w:pict>
      </w:r>
      <w:r w:rsidRPr="00D81F69">
        <w:pict>
          <v:shape id="_x0000_s1190" type="#_x0000_t202" style="position:absolute;left:0;text-align:left;margin-left:336.8pt;margin-top:-1.35pt;width:10.75pt;height:11.2pt;z-index:-358144;mso-position-horizontal-relative:page" filled="f" stroked="f">
            <v:textbox inset="0,0,0,0">
              <w:txbxContent>
                <w:p w:rsidR="00D81F69" w:rsidRDefault="00330118">
                  <w:pPr>
                    <w:spacing w:line="224" w:lineRule="exact"/>
                    <w:rPr>
                      <w:b/>
                      <w:sz w:val="20"/>
                    </w:rPr>
                  </w:pPr>
                  <w:r>
                    <w:rPr>
                      <w:b/>
                      <w:color w:val="FDFDFD"/>
                      <w:w w:val="105"/>
                      <w:sz w:val="20"/>
                    </w:rPr>
                    <w:t>AI</w:t>
                  </w:r>
                </w:p>
              </w:txbxContent>
            </v:textbox>
            <w10:wrap anchorx="page"/>
          </v:shape>
        </w:pict>
      </w:r>
      <w:r w:rsidRPr="00D81F69">
        <w:pict>
          <v:shape id="_x0000_s1189" type="#_x0000_t202" style="position:absolute;left:0;text-align:left;margin-left:652.15pt;margin-top:-1.8pt;width:8.75pt;height:11.75pt;z-index:-358120;mso-position-horizontal-relative:page" filled="f" stroked="f">
            <v:textbox inset="0,0,0,0">
              <w:txbxContent>
                <w:p w:rsidR="00D81F69" w:rsidRDefault="00330118">
                  <w:pPr>
                    <w:spacing w:line="235" w:lineRule="exact"/>
                    <w:rPr>
                      <w:b/>
                      <w:i/>
                      <w:sz w:val="21"/>
                    </w:rPr>
                  </w:pPr>
                  <w:r>
                    <w:rPr>
                      <w:b/>
                      <w:i/>
                      <w:color w:val="FDFDFD"/>
                      <w:w w:val="85"/>
                      <w:sz w:val="21"/>
                    </w:rPr>
                    <w:t>VI</w:t>
                  </w:r>
                </w:p>
              </w:txbxContent>
            </v:textbox>
            <w10:wrap anchorx="page"/>
          </v:shape>
        </w:pict>
      </w:r>
      <w:r w:rsidRPr="00D81F69">
        <w:pict>
          <v:shape id="_x0000_s1188" type="#_x0000_t202" style="position:absolute;left:0;text-align:left;margin-left:378.85pt;margin-top:4.05pt;width:15.55pt;height:11.2pt;z-index:-358096;mso-position-horizontal-relative:page" filled="f" stroked="f">
            <v:textbox inset="0,0,0,0">
              <w:txbxContent>
                <w:p w:rsidR="00D81F69" w:rsidRDefault="00330118">
                  <w:pPr>
                    <w:spacing w:line="224" w:lineRule="exact"/>
                    <w:rPr>
                      <w:b/>
                      <w:sz w:val="20"/>
                    </w:rPr>
                  </w:pPr>
                  <w:r>
                    <w:rPr>
                      <w:b/>
                      <w:color w:val="FDFDFD"/>
                      <w:spacing w:val="-1"/>
                      <w:w w:val="266"/>
                      <w:sz w:val="20"/>
                    </w:rPr>
                    <w:t>=</w:t>
                  </w:r>
                </w:p>
              </w:txbxContent>
            </v:textbox>
            <w10:wrap anchorx="page"/>
          </v:shape>
        </w:pict>
      </w:r>
      <w:r w:rsidRPr="00D81F69">
        <w:pict>
          <v:shape id="_x0000_s1187" type="#_x0000_t202" style="position:absolute;left:0;text-align:left;margin-left:401.75pt;margin-top:4.05pt;width:8.85pt;height:11.2pt;z-index:-358072;mso-position-horizontal-relative:page" filled="f" stroked="f">
            <v:textbox inset="0,0,0,0">
              <w:txbxContent>
                <w:p w:rsidR="00D81F69" w:rsidRDefault="00330118">
                  <w:pPr>
                    <w:spacing w:line="224" w:lineRule="exact"/>
                    <w:rPr>
                      <w:b/>
                      <w:sz w:val="20"/>
                    </w:rPr>
                  </w:pPr>
                  <w:r>
                    <w:rPr>
                      <w:b/>
                      <w:color w:val="FDFDFD"/>
                      <w:spacing w:val="-1"/>
                      <w:w w:val="266"/>
                      <w:sz w:val="20"/>
                    </w:rPr>
                    <w:t>-</w:t>
                  </w:r>
                </w:p>
              </w:txbxContent>
            </v:textbox>
            <w10:wrap anchorx="page"/>
          </v:shape>
        </w:pict>
      </w:r>
      <w:r w:rsidRPr="00D81F69">
        <w:pict>
          <v:shape id="_x0000_s1186" type="#_x0000_t202" style="position:absolute;left:0;text-align:left;margin-left:387.1pt;margin-top:10.6pt;width:6.3pt;height:9.45pt;z-index:-358024;mso-position-horizontal-relative:page" filled="f" stroked="f">
            <v:textbox inset="0,0,0,0">
              <w:txbxContent>
                <w:p w:rsidR="00D81F69" w:rsidRDefault="00330118">
                  <w:pPr>
                    <w:spacing w:line="188" w:lineRule="exact"/>
                    <w:rPr>
                      <w:rFonts w:ascii="Times New Roman"/>
                      <w:b/>
                      <w:i/>
                      <w:sz w:val="17"/>
                    </w:rPr>
                  </w:pPr>
                  <w:r>
                    <w:rPr>
                      <w:rFonts w:ascii="Times New Roman"/>
                      <w:b/>
                      <w:i/>
                      <w:color w:val="FDFDFD"/>
                      <w:spacing w:val="-1"/>
                      <w:w w:val="266"/>
                      <w:sz w:val="17"/>
                    </w:rPr>
                    <w:t>t</w:t>
                  </w:r>
                </w:p>
              </w:txbxContent>
            </v:textbox>
            <w10:wrap anchorx="page"/>
          </v:shape>
        </w:pict>
      </w:r>
      <w:r w:rsidRPr="00D81F69">
        <w:pict>
          <v:shape id="_x0000_s1185" type="#_x0000_t202" style="position:absolute;left:0;text-align:left;margin-left:652.35pt;margin-top:15.05pt;width:5.95pt;height:16.8pt;z-index:-358000;mso-position-horizontal-relative:page" filled="f" stroked="f">
            <v:textbox inset="0,0,0,0">
              <w:txbxContent>
                <w:p w:rsidR="00D81F69" w:rsidRDefault="00330118">
                  <w:pPr>
                    <w:spacing w:line="335" w:lineRule="exact"/>
                    <w:rPr>
                      <w:sz w:val="30"/>
                    </w:rPr>
                  </w:pPr>
                  <w:r>
                    <w:rPr>
                      <w:color w:val="FDFDFD"/>
                      <w:w w:val="71"/>
                      <w:sz w:val="30"/>
                    </w:rPr>
                    <w:t>n</w:t>
                  </w:r>
                </w:p>
              </w:txbxContent>
            </v:textbox>
            <w10:wrap anchorx="page"/>
          </v:shape>
        </w:pict>
      </w:r>
      <w:r w:rsidRPr="00D81F69">
        <w:pict>
          <v:shape id="_x0000_s1184" type="#_x0000_t202" style="position:absolute;left:0;text-align:left;margin-left:685.2pt;margin-top:6pt;width:23.35pt;height:23.5pt;z-index:-357976;mso-position-horizontal-relative:page" filled="f" stroked="f">
            <v:textbox inset="0,0,0,0">
              <w:txbxContent>
                <w:p w:rsidR="00D81F69" w:rsidRDefault="00330118">
                  <w:pPr>
                    <w:spacing w:line="470" w:lineRule="exact"/>
                    <w:rPr>
                      <w:b/>
                      <w:sz w:val="42"/>
                    </w:rPr>
                  </w:pPr>
                  <w:r>
                    <w:rPr>
                      <w:b/>
                      <w:color w:val="FDFDFD"/>
                      <w:w w:val="95"/>
                      <w:sz w:val="42"/>
                    </w:rPr>
                    <w:t>:,e</w:t>
                  </w:r>
                </w:p>
              </w:txbxContent>
            </v:textbox>
            <w10:wrap anchorx="page"/>
          </v:shape>
        </w:pict>
      </w:r>
      <w:r w:rsidRPr="00D81F69">
        <w:pict>
          <v:shape id="_x0000_s1183" type="#_x0000_t202" style="position:absolute;left:0;text-align:left;margin-left:652.75pt;margin-top:13.15pt;width:9.45pt;height:34.7pt;z-index:-357928;mso-position-horizontal-relative:page" filled="f" stroked="f">
            <v:textbox inset="0,0,0,0">
              <w:txbxContent>
                <w:p w:rsidR="00D81F69" w:rsidRDefault="00330118">
                  <w:pPr>
                    <w:spacing w:line="693" w:lineRule="exact"/>
                    <w:rPr>
                      <w:sz w:val="62"/>
                    </w:rPr>
                  </w:pPr>
                  <w:r>
                    <w:rPr>
                      <w:color w:val="FDFDFD"/>
                      <w:spacing w:val="-1"/>
                      <w:w w:val="91"/>
                      <w:sz w:val="62"/>
                    </w:rPr>
                    <w:t>-</w:t>
                  </w:r>
                </w:p>
              </w:txbxContent>
            </v:textbox>
            <w10:wrap anchorx="page"/>
          </v:shape>
        </w:pict>
      </w:r>
      <w:r w:rsidRPr="00D81F69">
        <w:pict>
          <v:shape id="_x0000_s1182" type="#_x0000_t202" style="position:absolute;left:0;text-align:left;margin-left:135.6pt;margin-top:14.25pt;width:35.25pt;height:37.15pt;z-index:-357904;mso-position-horizontal-relative:page" filled="f" stroked="f">
            <v:textbox inset="0,0,0,0">
              <w:txbxContent>
                <w:p w:rsidR="00D81F69" w:rsidRDefault="00330118">
                  <w:pPr>
                    <w:spacing w:line="742" w:lineRule="exact"/>
                    <w:rPr>
                      <w:rFonts w:ascii="Times New Roman"/>
                      <w:b/>
                      <w:sz w:val="67"/>
                    </w:rPr>
                  </w:pPr>
                  <w:r>
                    <w:rPr>
                      <w:rFonts w:ascii="Times New Roman"/>
                      <w:b/>
                      <w:color w:val="FDFDFD"/>
                      <w:w w:val="70"/>
                      <w:sz w:val="67"/>
                    </w:rPr>
                    <w:t>;--a</w:t>
                  </w:r>
                </w:p>
              </w:txbxContent>
            </v:textbox>
            <w10:wrap anchorx="page"/>
          </v:shape>
        </w:pict>
      </w:r>
      <w:r w:rsidRPr="00D81F69">
        <w:pict>
          <v:shape id="_x0000_s1181" type="#_x0000_t202" style="position:absolute;left:0;text-align:left;margin-left:684.6pt;margin-top:9pt;width:19.45pt;height:70.95pt;z-index:-357808;mso-position-horizontal-relative:page" filled="f" stroked="f">
            <v:textbox inset="0,0,0,0">
              <w:txbxContent>
                <w:p w:rsidR="00D81F69" w:rsidRDefault="00330118">
                  <w:pPr>
                    <w:spacing w:line="1418" w:lineRule="exact"/>
                    <w:rPr>
                      <w:rFonts w:ascii="Times New Roman"/>
                      <w:sz w:val="128"/>
                    </w:rPr>
                  </w:pPr>
                  <w:r>
                    <w:rPr>
                      <w:rFonts w:ascii="Times New Roman"/>
                      <w:color w:val="FDFDFD"/>
                      <w:w w:val="91"/>
                      <w:sz w:val="128"/>
                    </w:rPr>
                    <w:t>-</w:t>
                  </w:r>
                </w:p>
              </w:txbxContent>
            </v:textbox>
            <w10:wrap anchorx="page"/>
          </v:shape>
        </w:pict>
      </w:r>
      <w:r w:rsidRPr="00D81F69">
        <w:pict>
          <v:shape id="_x0000_s1180" type="#_x0000_t202" style="position:absolute;left:0;text-align:left;margin-left:394.35pt;margin-top:4.05pt;width:8.4pt;height:11.2pt;z-index:-356032;mso-position-horizontal-relative:page" filled="f" stroked="f">
            <v:textbox inset="0,0,0,0">
              <w:txbxContent>
                <w:p w:rsidR="00D81F69" w:rsidRDefault="00330118">
                  <w:pPr>
                    <w:spacing w:line="224" w:lineRule="exact"/>
                    <w:rPr>
                      <w:b/>
                      <w:sz w:val="20"/>
                    </w:rPr>
                  </w:pPr>
                  <w:r>
                    <w:rPr>
                      <w:b/>
                      <w:color w:val="FDFDFD"/>
                      <w:spacing w:val="-1"/>
                      <w:w w:val="266"/>
                      <w:sz w:val="20"/>
                    </w:rPr>
                    <w:t>.</w:t>
                  </w:r>
                </w:p>
              </w:txbxContent>
            </v:textbox>
            <w10:wrap anchorx="page"/>
          </v:shape>
        </w:pict>
      </w:r>
      <w:r w:rsidRPr="00D81F69">
        <w:pict>
          <v:shape id="_x0000_s1179" type="#_x0000_t202" style="position:absolute;left:0;text-align:left;margin-left:393.4pt;margin-top:10.6pt;width:19.85pt;height:9.45pt;z-index:-356008;mso-position-horizontal-relative:page" filled="f" stroked="f">
            <v:textbox inset="0,0,0,0">
              <w:txbxContent>
                <w:p w:rsidR="00D81F69" w:rsidRDefault="00330118">
                  <w:pPr>
                    <w:spacing w:line="188" w:lineRule="exact"/>
                    <w:rPr>
                      <w:rFonts w:ascii="Times New Roman"/>
                      <w:b/>
                      <w:i/>
                      <w:sz w:val="17"/>
                    </w:rPr>
                  </w:pPr>
                  <w:r>
                    <w:rPr>
                      <w:rFonts w:ascii="Times New Roman"/>
                      <w:b/>
                      <w:i/>
                      <w:color w:val="FDFDFD"/>
                      <w:w w:val="265"/>
                      <w:sz w:val="17"/>
                    </w:rPr>
                    <w:t>"\</w:t>
                  </w:r>
                </w:p>
              </w:txbxContent>
            </v:textbox>
            <w10:wrap anchorx="page"/>
          </v:shape>
        </w:pict>
      </w:r>
      <w:r w:rsidRPr="00D81F69">
        <w:pict>
          <v:shape id="_x0000_s1178" type="#_x0000_t202" style="position:absolute;left:0;text-align:left;margin-left:336.65pt;margin-top:4.05pt;width:43.2pt;height:23.25pt;z-index:3664;mso-position-horizontal-relative:page" filled="f" stroked="f">
            <v:textbox inset="0,0,0,0">
              <w:txbxContent>
                <w:p w:rsidR="00D81F69" w:rsidRDefault="00330118">
                  <w:pPr>
                    <w:spacing w:line="223" w:lineRule="exact"/>
                    <w:rPr>
                      <w:b/>
                      <w:sz w:val="20"/>
                    </w:rPr>
                  </w:pPr>
                  <w:r>
                    <w:rPr>
                      <w:b/>
                      <w:color w:val="FDFDFD"/>
                      <w:w w:val="265"/>
                      <w:sz w:val="20"/>
                    </w:rPr>
                    <w:t>=AI</w:t>
                  </w:r>
                </w:p>
                <w:p w:rsidR="00D81F69" w:rsidRDefault="00330118">
                  <w:pPr>
                    <w:spacing w:line="241" w:lineRule="exact"/>
                    <w:rPr>
                      <w:rFonts w:ascii="Times New Roman"/>
                      <w:sz w:val="21"/>
                    </w:rPr>
                  </w:pPr>
                  <w:r>
                    <w:rPr>
                      <w:rFonts w:ascii="Times New Roman"/>
                      <w:color w:val="FDFDFD"/>
                      <w:w w:val="110"/>
                      <w:sz w:val="21"/>
                    </w:rPr>
                    <w:t>tD</w:t>
                  </w:r>
                </w:p>
              </w:txbxContent>
            </v:textbox>
            <w10:wrap anchorx="page"/>
          </v:shape>
        </w:pict>
      </w:r>
      <w:r w:rsidRPr="00D81F69">
        <w:pict>
          <v:shape id="_x0000_s1177" type="#_x0000_t202" style="position:absolute;left:0;text-align:left;margin-left:411.25pt;margin-top:3.6pt;width:28pt;height:19.85pt;z-index:-355792;mso-position-horizontal-relative:page" filled="f" stroked="f">
            <v:textbox inset="0,0,0,0">
              <w:txbxContent>
                <w:p w:rsidR="00D81F69" w:rsidRDefault="00330118">
                  <w:pPr>
                    <w:rPr>
                      <w:rFonts w:ascii="Courier New"/>
                      <w:sz w:val="35"/>
                    </w:rPr>
                  </w:pPr>
                  <w:r>
                    <w:rPr>
                      <w:rFonts w:ascii="Courier New"/>
                      <w:color w:val="FDFDFD"/>
                      <w:w w:val="266"/>
                      <w:sz w:val="35"/>
                    </w:rPr>
                    <w:t>o</w:t>
                  </w:r>
                </w:p>
              </w:txbxContent>
            </v:textbox>
            <w10:wrap anchorx="page"/>
          </v:shape>
        </w:pict>
      </w:r>
      <w:r w:rsidR="00330118">
        <w:rPr>
          <w:color w:val="FDFDFD"/>
          <w:spacing w:val="-792"/>
          <w:w w:val="266"/>
        </w:rPr>
        <w:t>+</w:t>
      </w:r>
    </w:p>
    <w:p w:rsidR="00D81F69" w:rsidRDefault="00D81F69">
      <w:pPr>
        <w:tabs>
          <w:tab w:val="left" w:pos="507"/>
        </w:tabs>
        <w:spacing w:line="211" w:lineRule="exact"/>
        <w:ind w:right="2207"/>
        <w:jc w:val="center"/>
        <w:rPr>
          <w:sz w:val="13"/>
        </w:rPr>
      </w:pPr>
      <w:r w:rsidRPr="00D81F69">
        <w:pict>
          <v:shape id="_x0000_s1176" type="#_x0000_t202" style="position:absolute;left:0;text-align:left;margin-left:336.25pt;margin-top:10.3pt;width:13.25pt;height:10.1pt;z-index:-357952;mso-position-horizontal-relative:page" filled="f" stroked="f">
            <v:textbox inset="0,0,0,0">
              <w:txbxContent>
                <w:p w:rsidR="00D81F69" w:rsidRDefault="00330118">
                  <w:pPr>
                    <w:spacing w:line="201" w:lineRule="exact"/>
                    <w:rPr>
                      <w:b/>
                      <w:sz w:val="18"/>
                    </w:rPr>
                  </w:pPr>
                  <w:r>
                    <w:rPr>
                      <w:b/>
                      <w:color w:val="FDFDFD"/>
                      <w:w w:val="90"/>
                      <w:sz w:val="18"/>
                    </w:rPr>
                    <w:t>::i::</w:t>
                  </w:r>
                </w:p>
              </w:txbxContent>
            </v:textbox>
            <w10:wrap anchorx="page"/>
          </v:shape>
        </w:pict>
      </w:r>
      <w:r w:rsidRPr="00D81F69">
        <w:pict>
          <v:shape id="_x0000_s1175" type="#_x0000_t202" style="position:absolute;left:0;text-align:left;margin-left:684.4pt;margin-top:4.05pt;width:26.8pt;height:32.45pt;z-index:-357880;mso-position-horizontal-relative:page" filled="f" stroked="f">
            <v:textbox inset="0,0,0,0">
              <w:txbxContent>
                <w:p w:rsidR="00D81F69" w:rsidRDefault="00330118">
                  <w:pPr>
                    <w:spacing w:line="648" w:lineRule="exact"/>
                    <w:rPr>
                      <w:b/>
                      <w:sz w:val="58"/>
                    </w:rPr>
                  </w:pPr>
                  <w:r>
                    <w:rPr>
                      <w:b/>
                      <w:color w:val="FDFDFD"/>
                      <w:w w:val="50"/>
                      <w:sz w:val="58"/>
                    </w:rPr>
                    <w:t>:a=-</w:t>
                  </w:r>
                </w:p>
              </w:txbxContent>
            </v:textbox>
            <w10:wrap anchorx="page"/>
          </v:shape>
        </w:pict>
      </w:r>
      <w:r w:rsidR="00330118">
        <w:rPr>
          <w:rFonts w:ascii="Times New Roman" w:hAnsi="Times New Roman"/>
          <w:color w:val="FDFDFD"/>
          <w:w w:val="95"/>
          <w:sz w:val="21"/>
        </w:rPr>
        <w:t>-·</w:t>
      </w:r>
      <w:r w:rsidR="00330118">
        <w:rPr>
          <w:rFonts w:ascii="Times New Roman" w:hAnsi="Times New Roman"/>
          <w:color w:val="FDFDFD"/>
          <w:w w:val="95"/>
          <w:sz w:val="21"/>
        </w:rPr>
        <w:tab/>
      </w:r>
      <w:r w:rsidR="00330118">
        <w:rPr>
          <w:color w:val="FDFDFD"/>
          <w:w w:val="95"/>
          <w:sz w:val="13"/>
        </w:rPr>
        <w:t>"""""I:</w:t>
      </w:r>
    </w:p>
    <w:p w:rsidR="00D81F69" w:rsidRDefault="00D81F69">
      <w:pPr>
        <w:tabs>
          <w:tab w:val="left" w:pos="251"/>
          <w:tab w:val="left" w:pos="1258"/>
        </w:tabs>
        <w:spacing w:line="77" w:lineRule="exact"/>
        <w:ind w:right="2948"/>
        <w:jc w:val="center"/>
        <w:rPr>
          <w:sz w:val="20"/>
        </w:rPr>
      </w:pPr>
      <w:r w:rsidRPr="00D81F69">
        <w:pict>
          <v:shape id="_x0000_s1174" type="#_x0000_t202" style="position:absolute;left:0;text-align:left;margin-left:387.3pt;margin-top:1.4pt;width:9.9pt;height:16.45pt;z-index:-355864;mso-position-horizontal-relative:page" fillcolor="#1c8052" stroked="f">
            <v:textbox inset="0,0,0,0">
              <w:txbxContent>
                <w:p w:rsidR="00D81F69" w:rsidRDefault="00330118">
                  <w:pPr>
                    <w:spacing w:before="37" w:line="292" w:lineRule="exact"/>
                    <w:ind w:left="-13"/>
                    <w:rPr>
                      <w:rFonts w:ascii="Times New Roman"/>
                      <w:b/>
                      <w:sz w:val="30"/>
                    </w:rPr>
                  </w:pPr>
                  <w:r>
                    <w:rPr>
                      <w:rFonts w:ascii="Times New Roman"/>
                      <w:b/>
                      <w:color w:val="FDFDFD"/>
                      <w:w w:val="51"/>
                      <w:sz w:val="30"/>
                    </w:rPr>
                    <w:t>o</w:t>
                  </w:r>
                </w:p>
              </w:txbxContent>
            </v:textbox>
            <w10:wrap anchorx="page"/>
          </v:shape>
        </w:pict>
      </w:r>
      <w:r w:rsidR="00330118">
        <w:rPr>
          <w:b/>
          <w:color w:val="FDFDFD"/>
          <w:sz w:val="18"/>
        </w:rPr>
        <w:t>,</w:t>
      </w:r>
      <w:r w:rsidR="00330118">
        <w:rPr>
          <w:b/>
          <w:color w:val="FDFDFD"/>
          <w:sz w:val="18"/>
        </w:rPr>
        <w:tab/>
      </w:r>
      <w:r w:rsidR="00330118">
        <w:rPr>
          <w:b/>
          <w:color w:val="FDFDFD"/>
          <w:sz w:val="20"/>
        </w:rPr>
        <w:t>AI</w:t>
      </w:r>
      <w:r w:rsidR="00330118">
        <w:rPr>
          <w:b/>
          <w:color w:val="FDFDFD"/>
          <w:sz w:val="20"/>
        </w:rPr>
        <w:tab/>
      </w:r>
      <w:r w:rsidR="00330118">
        <w:rPr>
          <w:color w:val="FDFDFD"/>
          <w:sz w:val="20"/>
        </w:rPr>
        <w:t>f'D</w:t>
      </w:r>
    </w:p>
    <w:p w:rsidR="00D81F69" w:rsidRDefault="00D81F69">
      <w:pPr>
        <w:spacing w:line="77" w:lineRule="exact"/>
        <w:jc w:val="center"/>
        <w:rPr>
          <w:sz w:val="20"/>
        </w:rPr>
        <w:sectPr w:rsidR="00D81F69">
          <w:type w:val="continuous"/>
          <w:pgSz w:w="18510" w:h="26750"/>
          <w:pgMar w:top="720" w:right="780" w:bottom="280" w:left="680" w:header="720" w:footer="720" w:gutter="0"/>
          <w:cols w:space="720"/>
        </w:sectPr>
      </w:pPr>
    </w:p>
    <w:p w:rsidR="00D81F69" w:rsidRDefault="00D81F69">
      <w:pPr>
        <w:pStyle w:val="PargrafodaLista"/>
        <w:numPr>
          <w:ilvl w:val="0"/>
          <w:numId w:val="7"/>
        </w:numPr>
        <w:tabs>
          <w:tab w:val="left" w:pos="6044"/>
          <w:tab w:val="left" w:pos="6045"/>
          <w:tab w:val="left" w:pos="6552"/>
        </w:tabs>
        <w:spacing w:before="20" w:line="177" w:lineRule="auto"/>
        <w:jc w:val="left"/>
        <w:rPr>
          <w:b/>
          <w:sz w:val="19"/>
        </w:rPr>
      </w:pPr>
      <w:r w:rsidRPr="00D81F69">
        <w:lastRenderedPageBreak/>
        <w:pict>
          <v:shape id="_x0000_s1173" type="#_x0000_t202" style="position:absolute;left:0;text-align:left;margin-left:336.65pt;margin-top:15.9pt;width:30.6pt;height:9.45pt;z-index:-357856;mso-position-horizontal-relative:page" filled="f" stroked="f">
            <v:textbox inset="0,0,0,0">
              <w:txbxContent>
                <w:p w:rsidR="00D81F69" w:rsidRDefault="00330118">
                  <w:pPr>
                    <w:tabs>
                      <w:tab w:val="left" w:pos="505"/>
                    </w:tabs>
                    <w:spacing w:line="188" w:lineRule="exact"/>
                    <w:rPr>
                      <w:b/>
                      <w:sz w:val="16"/>
                    </w:rPr>
                  </w:pPr>
                  <w:r>
                    <w:rPr>
                      <w:rFonts w:ascii="Times New Roman"/>
                      <w:b/>
                      <w:i/>
                      <w:color w:val="FDFDFD"/>
                      <w:w w:val="80"/>
                      <w:sz w:val="17"/>
                    </w:rPr>
                    <w:t>t"\</w:t>
                  </w:r>
                  <w:r>
                    <w:rPr>
                      <w:rFonts w:ascii="Times New Roman"/>
                      <w:b/>
                      <w:i/>
                      <w:color w:val="FDFDFD"/>
                      <w:w w:val="80"/>
                      <w:sz w:val="17"/>
                    </w:rPr>
                    <w:tab/>
                  </w:r>
                  <w:r>
                    <w:rPr>
                      <w:b/>
                      <w:color w:val="FDFDFD"/>
                      <w:w w:val="70"/>
                      <w:sz w:val="16"/>
                    </w:rPr>
                    <w:t>ti)</w:t>
                  </w:r>
                </w:p>
              </w:txbxContent>
            </v:textbox>
            <w10:wrap anchorx="page"/>
          </v:shape>
        </w:pict>
      </w:r>
      <w:r w:rsidR="00330118">
        <w:rPr>
          <w:rFonts w:ascii="Times New Roman"/>
          <w:b/>
          <w:color w:val="FDFDFD"/>
          <w:w w:val="60"/>
          <w:sz w:val="30"/>
          <w:shd w:val="clear" w:color="auto" w:fill="1C8052"/>
        </w:rPr>
        <w:t>o</w:t>
      </w:r>
      <w:r w:rsidR="00330118">
        <w:rPr>
          <w:rFonts w:ascii="Times New Roman"/>
          <w:b/>
          <w:color w:val="FDFDFD"/>
          <w:w w:val="60"/>
          <w:sz w:val="30"/>
        </w:rPr>
        <w:tab/>
      </w:r>
      <w:r w:rsidR="00330118">
        <w:rPr>
          <w:b/>
          <w:color w:val="FDFDFD"/>
          <w:w w:val="60"/>
          <w:sz w:val="19"/>
        </w:rPr>
        <w:t>Q.</w:t>
      </w:r>
    </w:p>
    <w:p w:rsidR="00D81F69" w:rsidRDefault="00D81F69">
      <w:pPr>
        <w:spacing w:line="265" w:lineRule="exact"/>
        <w:jc w:val="right"/>
        <w:rPr>
          <w:sz w:val="28"/>
        </w:rPr>
      </w:pPr>
      <w:r w:rsidRPr="00D81F69">
        <w:pict>
          <v:shape id="_x0000_s1172" type="#_x0000_t202" style="position:absolute;left:0;text-align:left;margin-left:336.8pt;margin-top:11.55pt;width:61.35pt;height:11.75pt;z-index:-357784;mso-position-horizontal-relative:page" filled="f" stroked="f">
            <v:textbox inset="0,0,0,0">
              <w:txbxContent>
                <w:p w:rsidR="00D81F69" w:rsidRDefault="00330118">
                  <w:pPr>
                    <w:tabs>
                      <w:tab w:val="left" w:pos="504"/>
                      <w:tab w:val="left" w:pos="914"/>
                    </w:tabs>
                    <w:spacing w:line="235" w:lineRule="exact"/>
                    <w:rPr>
                      <w:b/>
                      <w:sz w:val="21"/>
                    </w:rPr>
                  </w:pPr>
                  <w:r>
                    <w:rPr>
                      <w:b/>
                      <w:color w:val="FDFDFD"/>
                      <w:w w:val="90"/>
                      <w:sz w:val="20"/>
                    </w:rPr>
                    <w:t>AI</w:t>
                  </w:r>
                  <w:r>
                    <w:rPr>
                      <w:b/>
                      <w:color w:val="FDFDFD"/>
                      <w:w w:val="90"/>
                      <w:sz w:val="20"/>
                    </w:rPr>
                    <w:tab/>
                    <w:t>AI</w:t>
                  </w:r>
                  <w:r>
                    <w:rPr>
                      <w:b/>
                      <w:color w:val="FDFDFD"/>
                      <w:w w:val="90"/>
                      <w:sz w:val="20"/>
                    </w:rPr>
                    <w:tab/>
                  </w:r>
                  <w:r>
                    <w:rPr>
                      <w:b/>
                      <w:color w:val="FDFDFD"/>
                      <w:spacing w:val="-1"/>
                      <w:w w:val="90"/>
                      <w:sz w:val="21"/>
                    </w:rPr>
                    <w:t>U:2</w:t>
                  </w:r>
                </w:p>
              </w:txbxContent>
            </v:textbox>
            <w10:wrap anchorx="page"/>
          </v:shape>
        </w:pict>
      </w:r>
      <w:r w:rsidRPr="00D81F69">
        <w:pict>
          <v:polyline id="_x0000_s1171" style="position:absolute;left:0;text-align:left;z-index:-356320;mso-position-horizontal-relative:page" points="729.45pt,19.65pt,728.85pt,19.65pt,728.85pt,19.3pt,668.25pt,19.3pt,668.25pt,52.75pt,668.45pt,52.75pt,668.45pt,55.95pt,668.75pt,55.95pt,668.75pt,64.6pt,668.7pt,64.6pt,668.7pt,67.55pt,665pt,67.55pt,665pt,81.2pt,668.7pt,81.2pt,668.7pt,85.35pt,679.55pt,85.35pt,679.55pt,81.2pt,683.75pt,81.2pt,683.75pt,67.55pt,679.55pt,67.55pt,679.55pt,64.6pt,679.2pt,64.6pt,679.2pt,55.95pt,679.25pt,55.95pt,679.25pt,52.75pt,728.85pt,52.75pt,728.85pt,34.7pt,729.45pt,34.7pt,729.45pt,19.65pt" coordorigin="6650,193" coordsize="1289,1322" fillcolor="#1c8052" stroked="f">
            <v:path arrowok="t"/>
            <w10:wrap anchorx="page"/>
          </v:polyline>
        </w:pict>
      </w:r>
      <w:r w:rsidR="00330118">
        <w:rPr>
          <w:b/>
          <w:color w:val="FDFDFD"/>
          <w:w w:val="90"/>
          <w:sz w:val="28"/>
          <w:shd w:val="clear" w:color="auto" w:fill="1C8052"/>
        </w:rPr>
        <w:t>:::r</w:t>
      </w:r>
      <w:r w:rsidR="00330118">
        <w:rPr>
          <w:b/>
          <w:color w:val="FDFDFD"/>
          <w:spacing w:val="53"/>
          <w:w w:val="90"/>
          <w:sz w:val="28"/>
        </w:rPr>
        <w:t xml:space="preserve"> </w:t>
      </w:r>
      <w:r w:rsidR="00330118">
        <w:rPr>
          <w:color w:val="FDFDFD"/>
          <w:w w:val="90"/>
          <w:sz w:val="28"/>
          <w:shd w:val="clear" w:color="auto" w:fill="1C8052"/>
        </w:rPr>
        <w:t>,..,</w:t>
      </w:r>
      <w:r w:rsidR="00330118">
        <w:rPr>
          <w:color w:val="FDFDFD"/>
          <w:w w:val="90"/>
          <w:sz w:val="28"/>
        </w:rPr>
        <w:t>,</w:t>
      </w:r>
    </w:p>
    <w:p w:rsidR="00D81F69" w:rsidRDefault="00D81F69">
      <w:pPr>
        <w:pStyle w:val="Corpodetexto"/>
        <w:ind w:left="6035" w:right="-6"/>
        <w:jc w:val="left"/>
        <w:rPr>
          <w:sz w:val="20"/>
        </w:rPr>
      </w:pPr>
      <w:r w:rsidRPr="00D81F69">
        <w:rPr>
          <w:sz w:val="20"/>
        </w:rPr>
      </w:r>
      <w:r>
        <w:rPr>
          <w:sz w:val="20"/>
        </w:rPr>
        <w:pict>
          <v:shape id="_x0000_s1170" type="#_x0000_t202" style="width:39.9pt;height:27.4pt;mso-position-horizontal-relative:char;mso-position-vertical-relative:line" filled="f" stroked="f">
            <v:textbox inset="0,0,0,0">
              <w:txbxContent>
                <w:p w:rsidR="00D81F69" w:rsidRDefault="00330118">
                  <w:pPr>
                    <w:spacing w:line="548" w:lineRule="exact"/>
                    <w:rPr>
                      <w:sz w:val="49"/>
                    </w:rPr>
                  </w:pPr>
                  <w:r>
                    <w:rPr>
                      <w:color w:val="FDFDFD"/>
                      <w:w w:val="90"/>
                      <w:sz w:val="49"/>
                    </w:rPr>
                    <w:t>&gt;&lt;o</w:t>
                  </w:r>
                </w:p>
              </w:txbxContent>
            </v:textbox>
            <w10:wrap type="none"/>
            <w10:anchorlock/>
          </v:shape>
        </w:pict>
      </w:r>
    </w:p>
    <w:p w:rsidR="00D81F69" w:rsidRDefault="00330118">
      <w:pPr>
        <w:pStyle w:val="Corpodetexto"/>
        <w:spacing w:before="7"/>
        <w:ind w:left="0"/>
        <w:jc w:val="left"/>
        <w:rPr>
          <w:sz w:val="12"/>
        </w:rPr>
      </w:pPr>
      <w:r>
        <w:br w:type="column"/>
      </w:r>
    </w:p>
    <w:p w:rsidR="00D81F69" w:rsidRDefault="00330118">
      <w:pPr>
        <w:ind w:left="646"/>
        <w:rPr>
          <w:i/>
          <w:sz w:val="13"/>
        </w:rPr>
      </w:pPr>
      <w:r>
        <w:rPr>
          <w:i/>
          <w:color w:val="FDFDFD"/>
          <w:w w:val="60"/>
          <w:sz w:val="13"/>
        </w:rPr>
        <w:t>V,</w:t>
      </w:r>
    </w:p>
    <w:p w:rsidR="00D81F69" w:rsidRDefault="00D81F69">
      <w:pPr>
        <w:spacing w:before="6" w:line="199" w:lineRule="exact"/>
        <w:ind w:left="140"/>
        <w:rPr>
          <w:b/>
          <w:sz w:val="18"/>
        </w:rPr>
      </w:pPr>
      <w:r w:rsidRPr="00D81F69">
        <w:pict>
          <v:shape id="_x0000_s1169" type="#_x0000_t202" style="position:absolute;left:0;text-align:left;margin-left:652.9pt;margin-top:.2pt;width:13.4pt;height:12.3pt;z-index:-357832;mso-position-horizontal-relative:page" filled="f" stroked="f">
            <v:textbox inset="0,0,0,0">
              <w:txbxContent>
                <w:p w:rsidR="00D81F69" w:rsidRDefault="00330118">
                  <w:pPr>
                    <w:spacing w:line="246" w:lineRule="exact"/>
                    <w:rPr>
                      <w:b/>
                    </w:rPr>
                  </w:pPr>
                  <w:r>
                    <w:rPr>
                      <w:b/>
                      <w:color w:val="FDFDFD"/>
                      <w:w w:val="90"/>
                    </w:rPr>
                    <w:t>QJ</w:t>
                  </w:r>
                </w:p>
              </w:txbxContent>
            </v:textbox>
            <w10:wrap anchorx="page"/>
          </v:shape>
        </w:pict>
      </w:r>
      <w:r w:rsidRPr="00D81F69">
        <w:pict>
          <v:shape id="_x0000_s1168" type="#_x0000_t202" style="position:absolute;left:0;text-align:left;margin-left:684.55pt;margin-top:3.95pt;width:23.65pt;height:57.05pt;z-index:-357760;mso-position-horizontal-relative:page" filled="f" stroked="f">
            <v:textbox inset="0,0,0,0">
              <w:txbxContent>
                <w:p w:rsidR="00D81F69" w:rsidRDefault="00330118">
                  <w:pPr>
                    <w:spacing w:line="1140" w:lineRule="exact"/>
                    <w:rPr>
                      <w:sz w:val="102"/>
                    </w:rPr>
                  </w:pPr>
                  <w:r>
                    <w:rPr>
                      <w:color w:val="FDFDFD"/>
                      <w:spacing w:val="-1"/>
                      <w:w w:val="85"/>
                      <w:sz w:val="102"/>
                    </w:rPr>
                    <w:t>"'</w:t>
                  </w:r>
                </w:p>
              </w:txbxContent>
            </v:textbox>
            <w10:wrap anchorx="page"/>
          </v:shape>
        </w:pict>
      </w:r>
      <w:r w:rsidR="00330118">
        <w:rPr>
          <w:b/>
          <w:color w:val="FDFDFD"/>
          <w:sz w:val="18"/>
        </w:rPr>
        <w:t>::i::,</w:t>
      </w:r>
    </w:p>
    <w:p w:rsidR="00D81F69" w:rsidRDefault="00330118">
      <w:pPr>
        <w:spacing w:line="176" w:lineRule="exact"/>
        <w:ind w:left="155"/>
        <w:rPr>
          <w:b/>
          <w:sz w:val="16"/>
        </w:rPr>
      </w:pPr>
      <w:r>
        <w:rPr>
          <w:b/>
          <w:color w:val="FDFDFD"/>
          <w:w w:val="95"/>
          <w:sz w:val="16"/>
          <w:shd w:val="clear" w:color="auto" w:fill="1C8052"/>
        </w:rPr>
        <w:t>ti)</w:t>
      </w:r>
      <w:r>
        <w:rPr>
          <w:b/>
          <w:color w:val="FDFDFD"/>
          <w:sz w:val="16"/>
          <w:shd w:val="clear" w:color="auto" w:fill="1C8052"/>
        </w:rPr>
        <w:t xml:space="preserve"> </w:t>
      </w:r>
    </w:p>
    <w:p w:rsidR="00D81F69" w:rsidRDefault="00D81F69">
      <w:pPr>
        <w:pStyle w:val="Corpodetexto"/>
        <w:ind w:left="0"/>
        <w:jc w:val="left"/>
        <w:rPr>
          <w:b/>
        </w:rPr>
      </w:pPr>
    </w:p>
    <w:p w:rsidR="00D81F69" w:rsidRDefault="00D81F69">
      <w:pPr>
        <w:pStyle w:val="Corpodetexto"/>
        <w:spacing w:before="8"/>
        <w:ind w:left="0"/>
        <w:jc w:val="left"/>
        <w:rPr>
          <w:b/>
          <w:sz w:val="19"/>
        </w:rPr>
      </w:pPr>
    </w:p>
    <w:p w:rsidR="00D81F69" w:rsidRDefault="00D81F69">
      <w:pPr>
        <w:pStyle w:val="Heading7"/>
        <w:spacing w:before="1"/>
        <w:ind w:left="315"/>
        <w:jc w:val="left"/>
      </w:pPr>
      <w:r w:rsidRPr="00D81F69">
        <w:pict>
          <v:shape id="_x0000_s1167" type="#_x0000_t202" style="position:absolute;left:0;text-align:left;margin-left:652.95pt;margin-top:-5.4pt;width:17.6pt;height:23.85pt;z-index:-357736;mso-position-horizontal-relative:page" filled="f" stroked="f">
            <v:textbox inset="0,0,0,0">
              <w:txbxContent>
                <w:p w:rsidR="00D81F69" w:rsidRDefault="00330118">
                  <w:pPr>
                    <w:spacing w:line="477" w:lineRule="exact"/>
                    <w:rPr>
                      <w:rFonts w:ascii="Times New Roman"/>
                      <w:sz w:val="43"/>
                    </w:rPr>
                  </w:pPr>
                  <w:r>
                    <w:rPr>
                      <w:rFonts w:ascii="Times New Roman"/>
                      <w:color w:val="FDFDFD"/>
                      <w:w w:val="90"/>
                      <w:sz w:val="43"/>
                    </w:rPr>
                    <w:t>E:</w:t>
                  </w:r>
                </w:p>
              </w:txbxContent>
            </v:textbox>
            <w10:wrap anchorx="page"/>
          </v:shape>
        </w:pict>
      </w:r>
      <w:r w:rsidRPr="00D81F69">
        <w:pict>
          <v:shape id="_x0000_s1166" type="#_x0000_t202" style="position:absolute;left:0;text-align:left;margin-left:686.4pt;margin-top:-5.4pt;width:19.75pt;height:23.85pt;z-index:-357688;mso-position-horizontal-relative:page" filled="f" stroked="f">
            <v:textbox inset="0,0,0,0">
              <w:txbxContent>
                <w:p w:rsidR="00D81F69" w:rsidRDefault="00330118">
                  <w:pPr>
                    <w:spacing w:line="477" w:lineRule="exact"/>
                    <w:rPr>
                      <w:rFonts w:ascii="Times New Roman"/>
                      <w:sz w:val="43"/>
                    </w:rPr>
                  </w:pPr>
                  <w:r>
                    <w:rPr>
                      <w:rFonts w:ascii="Times New Roman"/>
                      <w:color w:val="FDFDFD"/>
                      <w:w w:val="90"/>
                      <w:sz w:val="43"/>
                    </w:rPr>
                    <w:t>'""</w:t>
                  </w:r>
                </w:p>
              </w:txbxContent>
            </v:textbox>
            <w10:wrap anchorx="page"/>
          </v:shape>
        </w:pict>
      </w:r>
      <w:r w:rsidRPr="00D81F69">
        <w:pict>
          <v:shape id="_x0000_s1165" type="#_x0000_t202" style="position:absolute;left:0;text-align:left;margin-left:652.45pt;margin-top:5.95pt;width:17.15pt;height:26.2pt;z-index:-357640;mso-position-horizontal-relative:page" filled="f" stroked="f">
            <v:textbox inset="0,0,0,0">
              <w:txbxContent>
                <w:p w:rsidR="00D81F69" w:rsidRDefault="00330118">
                  <w:pPr>
                    <w:spacing w:line="235" w:lineRule="exact"/>
                    <w:ind w:left="1"/>
                    <w:rPr>
                      <w:b/>
                      <w:sz w:val="26"/>
                    </w:rPr>
                  </w:pPr>
                  <w:r>
                    <w:rPr>
                      <w:b/>
                      <w:color w:val="FDFDFD"/>
                      <w:w w:val="95"/>
                      <w:sz w:val="26"/>
                    </w:rPr>
                    <w:t>r'D</w:t>
                  </w:r>
                </w:p>
                <w:p w:rsidR="00D81F69" w:rsidRDefault="00330118">
                  <w:pPr>
                    <w:spacing w:line="289" w:lineRule="exact"/>
                    <w:rPr>
                      <w:rFonts w:ascii="Times New Roman"/>
                      <w:sz w:val="30"/>
                    </w:rPr>
                  </w:pPr>
                  <w:r>
                    <w:rPr>
                      <w:rFonts w:ascii="Times New Roman"/>
                      <w:color w:val="FDFDFD"/>
                      <w:w w:val="50"/>
                      <w:sz w:val="30"/>
                    </w:rPr>
                    <w:t>::::::s</w:t>
                  </w:r>
                </w:p>
              </w:txbxContent>
            </v:textbox>
            <w10:wrap anchorx="page"/>
          </v:shape>
        </w:pict>
      </w:r>
      <w:r w:rsidRPr="00D81F69">
        <w:pict>
          <v:shape id="_x0000_s1164" type="#_x0000_t202" style="position:absolute;left:0;text-align:left;margin-left:685.15pt;margin-top:5.15pt;width:7.85pt;height:28pt;z-index:-357616;mso-position-horizontal-relative:page" filled="f" stroked="f">
            <v:textbox inset="0,0,0,0">
              <w:txbxContent>
                <w:p w:rsidR="00D81F69" w:rsidRDefault="00330118">
                  <w:pPr>
                    <w:spacing w:line="559" w:lineRule="exact"/>
                    <w:rPr>
                      <w:b/>
                      <w:sz w:val="50"/>
                    </w:rPr>
                  </w:pPr>
                  <w:r>
                    <w:rPr>
                      <w:b/>
                      <w:color w:val="FDFDFD"/>
                      <w:w w:val="51"/>
                      <w:sz w:val="50"/>
                    </w:rPr>
                    <w:t>n</w:t>
                  </w:r>
                </w:p>
              </w:txbxContent>
            </v:textbox>
            <w10:wrap anchorx="page"/>
          </v:shape>
        </w:pict>
      </w:r>
      <w:r w:rsidRPr="00D81F69">
        <w:pict>
          <v:shape id="_x0000_s1163" type="#_x0000_t202" style="position:absolute;left:0;text-align:left;margin-left:386.4pt;margin-top:.35pt;width:9.75pt;height:11.2pt;z-index:-356080;mso-position-horizontal-relative:page" filled="f" stroked="f">
            <v:textbox inset="0,0,0,0">
              <w:txbxContent>
                <w:p w:rsidR="00D81F69" w:rsidRDefault="00330118">
                  <w:pPr>
                    <w:spacing w:line="224" w:lineRule="exact"/>
                    <w:rPr>
                      <w:sz w:val="20"/>
                    </w:rPr>
                  </w:pPr>
                  <w:r>
                    <w:rPr>
                      <w:color w:val="FDFDFD"/>
                      <w:w w:val="145"/>
                      <w:sz w:val="20"/>
                      <w:shd w:val="clear" w:color="auto" w:fill="1C8052"/>
                    </w:rPr>
                    <w:t>,-</w:t>
                  </w:r>
                </w:p>
              </w:txbxContent>
            </v:textbox>
            <w10:wrap anchorx="page"/>
          </v:shape>
        </w:pict>
      </w:r>
      <w:r w:rsidRPr="00D81F69">
        <w:pict>
          <v:shape id="_x0000_s1162" type="#_x0000_t202" style="position:absolute;left:0;text-align:left;margin-left:74.1pt;margin-top:7.5pt;width:327.45pt;height:19.4pt;z-index:-355768;mso-position-horizontal-relative:page" filled="f" stroked="f">
            <v:textbox inset="0,0,0,0">
              <w:txbxContent>
                <w:p w:rsidR="00D81F69" w:rsidRDefault="00330118">
                  <w:pPr>
                    <w:tabs>
                      <w:tab w:val="left" w:pos="5242"/>
                      <w:tab w:val="left" w:pos="5743"/>
                    </w:tabs>
                    <w:spacing w:line="386" w:lineRule="exact"/>
                    <w:rPr>
                      <w:sz w:val="26"/>
                    </w:rPr>
                  </w:pPr>
                  <w:r>
                    <w:rPr>
                      <w:rFonts w:ascii="Times New Roman" w:hAnsi="Times New Roman"/>
                      <w:color w:val="709760"/>
                      <w:position w:val="-1"/>
                      <w:sz w:val="35"/>
                    </w:rPr>
                    <w:t>t·</w:t>
                  </w:r>
                  <w:r>
                    <w:rPr>
                      <w:rFonts w:ascii="Times New Roman" w:hAnsi="Times New Roman"/>
                      <w:color w:val="709760"/>
                      <w:position w:val="-1"/>
                      <w:sz w:val="35"/>
                    </w:rPr>
                    <w:tab/>
                  </w:r>
                  <w:r>
                    <w:rPr>
                      <w:color w:val="FDFDFD"/>
                      <w:sz w:val="28"/>
                    </w:rPr>
                    <w:t>e</w:t>
                  </w:r>
                  <w:r>
                    <w:rPr>
                      <w:color w:val="FDFDFD"/>
                      <w:sz w:val="28"/>
                    </w:rPr>
                    <w:tab/>
                  </w:r>
                  <w:r>
                    <w:rPr>
                      <w:color w:val="FDFDFD"/>
                      <w:sz w:val="32"/>
                    </w:rPr>
                    <w:t>S:</w:t>
                  </w:r>
                  <w:r>
                    <w:rPr>
                      <w:color w:val="FDFDFD"/>
                      <w:spacing w:val="6"/>
                      <w:sz w:val="32"/>
                    </w:rPr>
                    <w:t xml:space="preserve"> </w:t>
                  </w:r>
                  <w:r>
                    <w:rPr>
                      <w:color w:val="FDFDFD"/>
                      <w:sz w:val="26"/>
                      <w:shd w:val="clear" w:color="auto" w:fill="1C8052"/>
                    </w:rPr>
                    <w:t>:::r</w:t>
                  </w:r>
                </w:p>
              </w:txbxContent>
            </v:textbox>
            <w10:wrap anchorx="page"/>
          </v:shape>
        </w:pict>
      </w:r>
      <w:r w:rsidR="00330118">
        <w:rPr>
          <w:color w:val="FDFDFD"/>
          <w:w w:val="145"/>
          <w:shd w:val="clear" w:color="auto" w:fill="1C8052"/>
        </w:rPr>
        <w:t>,</w:t>
      </w:r>
      <w:r w:rsidR="00330118">
        <w:rPr>
          <w:color w:val="FDFDFD"/>
          <w:w w:val="145"/>
        </w:rPr>
        <w:t>,</w:t>
      </w:r>
    </w:p>
    <w:p w:rsidR="00D81F69" w:rsidRDefault="00D81F69">
      <w:pPr>
        <w:sectPr w:rsidR="00D81F69">
          <w:type w:val="continuous"/>
          <w:pgSz w:w="18510" w:h="26750"/>
          <w:pgMar w:top="720" w:right="780" w:bottom="280" w:left="680" w:header="720" w:footer="720" w:gutter="0"/>
          <w:cols w:num="2" w:space="720" w:equalWidth="0">
            <w:col w:w="6868" w:space="40"/>
            <w:col w:w="10142"/>
          </w:cols>
        </w:sectPr>
      </w:pPr>
    </w:p>
    <w:p w:rsidR="00D81F69" w:rsidRDefault="00D81F69">
      <w:pPr>
        <w:pStyle w:val="Corpodetexto"/>
        <w:spacing w:before="1"/>
        <w:ind w:left="0"/>
        <w:jc w:val="left"/>
        <w:rPr>
          <w:sz w:val="12"/>
        </w:rPr>
      </w:pPr>
    </w:p>
    <w:p w:rsidR="00D81F69" w:rsidRDefault="00D81F69">
      <w:pPr>
        <w:spacing w:before="79" w:line="574" w:lineRule="exact"/>
        <w:ind w:right="3861"/>
        <w:jc w:val="center"/>
        <w:rPr>
          <w:rFonts w:ascii="Times New Roman" w:hAnsi="Times New Roman"/>
          <w:sz w:val="30"/>
        </w:rPr>
      </w:pPr>
      <w:r w:rsidRPr="00D81F69">
        <w:pict>
          <v:shape id="_x0000_s1161" type="#_x0000_t202" style="position:absolute;left:0;text-align:left;margin-left:362pt;margin-top:-18.15pt;width:9.25pt;height:11.2pt;z-index:-357712;mso-position-horizontal-relative:page" filled="f" stroked="f">
            <v:textbox inset="0,0,0,0">
              <w:txbxContent>
                <w:p w:rsidR="00D81F69" w:rsidRDefault="00330118">
                  <w:pPr>
                    <w:spacing w:line="224" w:lineRule="exact"/>
                    <w:rPr>
                      <w:b/>
                      <w:sz w:val="20"/>
                    </w:rPr>
                  </w:pPr>
                  <w:r>
                    <w:rPr>
                      <w:b/>
                      <w:color w:val="FDFDFD"/>
                      <w:w w:val="90"/>
                      <w:sz w:val="20"/>
                    </w:rPr>
                    <w:t>AI</w:t>
                  </w:r>
                </w:p>
              </w:txbxContent>
            </v:textbox>
            <w10:wrap anchorx="page"/>
          </v:shape>
        </w:pict>
      </w:r>
      <w:r w:rsidRPr="00D81F69">
        <w:pict>
          <v:shape id="_x0000_s1160" type="#_x0000_t202" style="position:absolute;left:0;text-align:left;margin-left:387.25pt;margin-top:7.1pt;width:5.15pt;height:11.2pt;z-index:-357664;mso-position-horizontal-relative:page" filled="f" stroked="f">
            <v:textbox inset="0,0,0,0">
              <w:txbxContent>
                <w:p w:rsidR="00D81F69" w:rsidRDefault="00330118">
                  <w:pPr>
                    <w:spacing w:line="224" w:lineRule="exact"/>
                    <w:rPr>
                      <w:b/>
                      <w:sz w:val="20"/>
                    </w:rPr>
                  </w:pPr>
                  <w:r>
                    <w:rPr>
                      <w:b/>
                      <w:color w:val="FDFDFD"/>
                      <w:w w:val="50"/>
                      <w:sz w:val="20"/>
                    </w:rPr>
                    <w:t>AI</w:t>
                  </w:r>
                </w:p>
              </w:txbxContent>
            </v:textbox>
            <w10:wrap anchorx="page"/>
          </v:shape>
        </w:pict>
      </w:r>
      <w:r w:rsidRPr="00D81F69">
        <w:pict>
          <v:shape id="_x0000_s1159" type="#_x0000_t202" style="position:absolute;left:0;text-align:left;margin-left:361.6pt;margin-top:7.1pt;width:4pt;height:11.2pt;z-index:-357592;mso-position-horizontal-relative:page" filled="f" stroked="f">
            <v:textbox inset="0,0,0,0">
              <w:txbxContent>
                <w:p w:rsidR="00D81F69" w:rsidRDefault="00330118">
                  <w:pPr>
                    <w:spacing w:line="224" w:lineRule="exact"/>
                    <w:rPr>
                      <w:b/>
                      <w:sz w:val="20"/>
                    </w:rPr>
                  </w:pPr>
                  <w:r>
                    <w:rPr>
                      <w:b/>
                      <w:color w:val="FDFDFD"/>
                      <w:w w:val="51"/>
                      <w:sz w:val="20"/>
                    </w:rPr>
                    <w:t>O</w:t>
                  </w:r>
                </w:p>
              </w:txbxContent>
            </v:textbox>
            <w10:wrap anchorx="page"/>
          </v:shape>
        </w:pict>
      </w:r>
      <w:r w:rsidRPr="00D81F69">
        <w:pict>
          <v:shape id="_x0000_s1158" type="#_x0000_t202" style="position:absolute;left:0;text-align:left;margin-left:387.15pt;margin-top:21.9pt;width:11.15pt;height:11.65pt;z-index:-357568;mso-position-horizontal-relative:page" filled="f" stroked="f">
            <v:textbox inset="0,0,0,0">
              <w:txbxContent>
                <w:p w:rsidR="00D81F69" w:rsidRDefault="00330118">
                  <w:pPr>
                    <w:spacing w:line="233" w:lineRule="exact"/>
                    <w:rPr>
                      <w:rFonts w:ascii="Times New Roman"/>
                      <w:sz w:val="21"/>
                    </w:rPr>
                  </w:pPr>
                  <w:r>
                    <w:rPr>
                      <w:rFonts w:ascii="Times New Roman"/>
                      <w:color w:val="FDFDFD"/>
                      <w:w w:val="105"/>
                      <w:sz w:val="21"/>
                    </w:rPr>
                    <w:t>tD</w:t>
                  </w:r>
                </w:p>
              </w:txbxContent>
            </v:textbox>
            <w10:wrap anchorx="page"/>
          </v:shape>
        </w:pict>
      </w:r>
      <w:r w:rsidRPr="00D81F69">
        <w:pict>
          <v:shape id="_x0000_s1157" type="#_x0000_t202" style="position:absolute;left:0;text-align:left;margin-left:652.9pt;margin-top:18.1pt;width:15.6pt;height:12.3pt;z-index:-357544;mso-position-horizontal-relative:page" filled="f" stroked="f">
            <v:textbox inset="0,0,0,0">
              <w:txbxContent>
                <w:p w:rsidR="00D81F69" w:rsidRDefault="00330118">
                  <w:pPr>
                    <w:spacing w:line="246" w:lineRule="exact"/>
                    <w:rPr>
                      <w:b/>
                    </w:rPr>
                  </w:pPr>
                  <w:r>
                    <w:rPr>
                      <w:b/>
                      <w:color w:val="FDFDFD"/>
                      <w:w w:val="105"/>
                    </w:rPr>
                    <w:t>QJ</w:t>
                  </w:r>
                </w:p>
              </w:txbxContent>
            </v:textbox>
            <w10:wrap anchorx="page"/>
          </v:shape>
        </w:pict>
      </w:r>
      <w:r w:rsidRPr="00D81F69">
        <w:pict>
          <v:shape id="_x0000_s1156" type="#_x0000_t202" style="position:absolute;left:0;text-align:left;margin-left:361.35pt;margin-top:28.75pt;width:9.05pt;height:26.25pt;z-index:-357520;mso-position-horizontal-relative:page" filled="f" stroked="f">
            <v:textbox inset="0,0,0,0">
              <w:txbxContent>
                <w:p w:rsidR="00D81F69" w:rsidRDefault="00330118">
                  <w:pPr>
                    <w:spacing w:line="359" w:lineRule="exact"/>
                    <w:rPr>
                      <w:rFonts w:ascii="Times New Roman"/>
                      <w:sz w:val="34"/>
                    </w:rPr>
                  </w:pPr>
                  <w:r>
                    <w:rPr>
                      <w:rFonts w:ascii="Times New Roman"/>
                      <w:color w:val="FDFDFD"/>
                      <w:w w:val="106"/>
                      <w:sz w:val="34"/>
                    </w:rPr>
                    <w:t>3</w:t>
                  </w:r>
                </w:p>
                <w:p w:rsidR="00D81F69" w:rsidRDefault="00330118">
                  <w:pPr>
                    <w:spacing w:line="166" w:lineRule="exact"/>
                    <w:ind w:left="11"/>
                    <w:rPr>
                      <w:b/>
                      <w:sz w:val="16"/>
                    </w:rPr>
                  </w:pPr>
                  <w:r>
                    <w:rPr>
                      <w:b/>
                      <w:color w:val="FDFDFD"/>
                      <w:w w:val="105"/>
                      <w:sz w:val="16"/>
                    </w:rPr>
                    <w:t>ti)</w:t>
                  </w:r>
                </w:p>
              </w:txbxContent>
            </v:textbox>
            <w10:wrap anchorx="page"/>
          </v:shape>
        </w:pict>
      </w:r>
      <w:r w:rsidRPr="00D81F69">
        <w:pict>
          <v:shape id="_x0000_s1155" type="#_x0000_t202" style="position:absolute;left:0;text-align:left;margin-left:686.05pt;margin-top:24.55pt;width:25.25pt;height:31.9pt;z-index:-357472;mso-position-horizontal-relative:page" filled="f" stroked="f">
            <v:textbox inset="0,0,0,0">
              <w:txbxContent>
                <w:p w:rsidR="00D81F69" w:rsidRDefault="00330118">
                  <w:pPr>
                    <w:spacing w:line="637" w:lineRule="exact"/>
                    <w:rPr>
                      <w:sz w:val="57"/>
                    </w:rPr>
                  </w:pPr>
                  <w:r>
                    <w:rPr>
                      <w:color w:val="FDFDFD"/>
                      <w:w w:val="105"/>
                      <w:sz w:val="57"/>
                    </w:rPr>
                    <w:t>3:</w:t>
                  </w:r>
                </w:p>
              </w:txbxContent>
            </v:textbox>
            <w10:wrap anchorx="page"/>
          </v:shape>
        </w:pict>
      </w:r>
      <w:r w:rsidRPr="00D81F69">
        <w:pict>
          <v:shape id="_x0000_s1154" type="#_x0000_t202" style="position:absolute;left:0;text-align:left;margin-left:335.95pt;margin-top:-18.15pt;width:3.6pt;height:11.2pt;z-index:-356056;mso-position-horizontal-relative:page" filled="f" stroked="f">
            <v:textbox inset="0,0,0,0">
              <w:txbxContent>
                <w:p w:rsidR="00D81F69" w:rsidRDefault="00330118">
                  <w:pPr>
                    <w:spacing w:line="224" w:lineRule="exact"/>
                    <w:rPr>
                      <w:sz w:val="20"/>
                    </w:rPr>
                  </w:pPr>
                  <w:r>
                    <w:rPr>
                      <w:color w:val="FDFDFD"/>
                      <w:w w:val="92"/>
                      <w:sz w:val="20"/>
                    </w:rPr>
                    <w:t>;</w:t>
                  </w:r>
                </w:p>
              </w:txbxContent>
            </v:textbox>
            <w10:wrap anchorx="page"/>
          </v:shape>
        </w:pict>
      </w:r>
      <w:r w:rsidR="00330118">
        <w:rPr>
          <w:color w:val="FDFDFD"/>
          <w:w w:val="80"/>
          <w:sz w:val="20"/>
        </w:rPr>
        <w:t>-•</w:t>
      </w:r>
      <w:r w:rsidR="00330118">
        <w:rPr>
          <w:rFonts w:ascii="Times New Roman" w:hAnsi="Times New Roman"/>
          <w:b/>
          <w:color w:val="FDFDFD"/>
          <w:w w:val="80"/>
          <w:position w:val="-4"/>
          <w:sz w:val="30"/>
        </w:rPr>
        <w:t xml:space="preserve">o   </w:t>
      </w:r>
      <w:r w:rsidR="00330118">
        <w:rPr>
          <w:color w:val="FDFDFD"/>
          <w:w w:val="95"/>
          <w:position w:val="-29"/>
          <w:sz w:val="58"/>
          <w:shd w:val="clear" w:color="auto" w:fill="1C8052"/>
        </w:rPr>
        <w:t>=</w:t>
      </w:r>
      <w:r w:rsidR="00330118">
        <w:rPr>
          <w:color w:val="FDFDFD"/>
          <w:w w:val="95"/>
          <w:position w:val="-29"/>
          <w:sz w:val="58"/>
        </w:rPr>
        <w:t xml:space="preserve"> </w:t>
      </w:r>
      <w:r w:rsidR="00330118">
        <w:rPr>
          <w:rFonts w:ascii="Times New Roman" w:hAnsi="Times New Roman"/>
          <w:color w:val="FDFDFD"/>
          <w:w w:val="80"/>
          <w:position w:val="-4"/>
          <w:sz w:val="30"/>
          <w:shd w:val="clear" w:color="auto" w:fill="1C8052"/>
        </w:rPr>
        <w:t>&lt;</w:t>
      </w:r>
      <w:r w:rsidR="00330118">
        <w:rPr>
          <w:rFonts w:ascii="Times New Roman" w:hAnsi="Times New Roman"/>
          <w:color w:val="FDFDFD"/>
          <w:position w:val="-4"/>
          <w:sz w:val="30"/>
          <w:shd w:val="clear" w:color="auto" w:fill="1C8052"/>
        </w:rPr>
        <w:t xml:space="preserve"> </w:t>
      </w:r>
    </w:p>
    <w:p w:rsidR="00D81F69" w:rsidRDefault="00D81F69">
      <w:pPr>
        <w:spacing w:line="298" w:lineRule="exact"/>
        <w:ind w:right="2744"/>
        <w:jc w:val="center"/>
        <w:rPr>
          <w:rFonts w:ascii="Times New Roman"/>
          <w:sz w:val="34"/>
        </w:rPr>
      </w:pPr>
      <w:r w:rsidRPr="00D81F69">
        <w:pict>
          <v:shape id="_x0000_s1153" type="#_x0000_t202" style="position:absolute;left:0;text-align:left;margin-left:659.55pt;margin-top:1.7pt;width:3.1pt;height:11.75pt;z-index:-357496;mso-position-horizontal-relative:page" filled="f" stroked="f">
            <v:textbox inset="0,0,0,0">
              <w:txbxContent>
                <w:p w:rsidR="00D81F69" w:rsidRDefault="00330118">
                  <w:pPr>
                    <w:spacing w:line="235" w:lineRule="exact"/>
                    <w:rPr>
                      <w:b/>
                      <w:i/>
                      <w:sz w:val="21"/>
                    </w:rPr>
                  </w:pPr>
                  <w:r>
                    <w:rPr>
                      <w:b/>
                      <w:i/>
                      <w:color w:val="FDFDFD"/>
                      <w:spacing w:val="-1"/>
                      <w:w w:val="106"/>
                      <w:sz w:val="21"/>
                    </w:rPr>
                    <w:t>I</w:t>
                  </w:r>
                </w:p>
              </w:txbxContent>
            </v:textbox>
            <w10:wrap anchorx="page"/>
          </v:shape>
        </w:pict>
      </w:r>
      <w:r w:rsidRPr="00D81F69">
        <w:pict>
          <v:shape id="_x0000_s1152" type="#_x0000_t202" style="position:absolute;left:0;text-align:left;margin-left:386.9pt;margin-top:13.35pt;width:6.05pt;height:8.95pt;z-index:-357448;mso-position-horizontal-relative:page" filled="f" stroked="f">
            <v:textbox inset="0,0,0,0">
              <w:txbxContent>
                <w:p w:rsidR="00D81F69" w:rsidRDefault="00330118">
                  <w:pPr>
                    <w:spacing w:line="179" w:lineRule="exact"/>
                    <w:rPr>
                      <w:sz w:val="16"/>
                    </w:rPr>
                  </w:pPr>
                  <w:r>
                    <w:rPr>
                      <w:color w:val="FDFDFD"/>
                      <w:w w:val="105"/>
                      <w:sz w:val="16"/>
                    </w:rPr>
                    <w:t>""</w:t>
                  </w:r>
                </w:p>
              </w:txbxContent>
            </v:textbox>
            <w10:wrap anchorx="page"/>
          </v:shape>
        </w:pict>
      </w:r>
      <w:r w:rsidRPr="00D81F69">
        <w:pict>
          <v:shape id="_x0000_s1151" type="#_x0000_t202" style="position:absolute;left:0;text-align:left;margin-left:652.5pt;margin-top:27.2pt;width:17.05pt;height:14.55pt;z-index:-357424;mso-position-horizontal-relative:page" filled="f" stroked="f">
            <v:textbox inset="0,0,0,0">
              <w:txbxContent>
                <w:p w:rsidR="00D81F69" w:rsidRDefault="00330118">
                  <w:pPr>
                    <w:spacing w:line="291" w:lineRule="exact"/>
                    <w:rPr>
                      <w:b/>
                      <w:sz w:val="26"/>
                    </w:rPr>
                  </w:pPr>
                  <w:r>
                    <w:rPr>
                      <w:b/>
                      <w:color w:val="FDFDFD"/>
                      <w:w w:val="95"/>
                      <w:sz w:val="26"/>
                    </w:rPr>
                    <w:t>r'D</w:t>
                  </w:r>
                </w:p>
              </w:txbxContent>
            </v:textbox>
            <w10:wrap anchorx="page"/>
          </v:shape>
        </w:pict>
      </w:r>
      <w:r w:rsidRPr="00D81F69">
        <w:pict>
          <v:shape id="_x0000_s1150" type="#_x0000_t202" style="position:absolute;left:0;text-align:left;margin-left:685.75pt;margin-top:9.45pt;width:22.95pt;height:32.7pt;z-index:-357400;mso-position-horizontal-relative:page" filled="f" stroked="f">
            <v:textbox inset="0,0,0,0">
              <w:txbxContent>
                <w:p w:rsidR="00D81F69" w:rsidRDefault="00330118">
                  <w:pPr>
                    <w:spacing w:line="654" w:lineRule="exact"/>
                    <w:rPr>
                      <w:rFonts w:ascii="Times New Roman"/>
                      <w:b/>
                      <w:sz w:val="59"/>
                    </w:rPr>
                  </w:pPr>
                  <w:r>
                    <w:rPr>
                      <w:rFonts w:ascii="Times New Roman"/>
                      <w:b/>
                      <w:color w:val="FDFDFD"/>
                      <w:sz w:val="59"/>
                    </w:rPr>
                    <w:t>e:</w:t>
                  </w:r>
                </w:p>
              </w:txbxContent>
            </v:textbox>
            <w10:wrap anchorx="page"/>
          </v:shape>
        </w:pict>
      </w:r>
      <w:r w:rsidRPr="00D81F69">
        <w:pict>
          <v:shape id="_x0000_s1149" type="#_x0000_t202" style="position:absolute;left:0;text-align:left;margin-left:361.9pt;margin-top:36.2pt;width:35.1pt;height:11.4pt;z-index:-357376;mso-position-horizontal-relative:page" filled="f" stroked="f">
            <v:textbox inset="0,0,0,0">
              <w:txbxContent>
                <w:p w:rsidR="00D81F69" w:rsidRDefault="00330118">
                  <w:pPr>
                    <w:tabs>
                      <w:tab w:val="left" w:pos="507"/>
                    </w:tabs>
                    <w:spacing w:line="228" w:lineRule="exact"/>
                    <w:rPr>
                      <w:b/>
                      <w:sz w:val="20"/>
                    </w:rPr>
                  </w:pPr>
                  <w:r>
                    <w:rPr>
                      <w:rFonts w:ascii="Times New Roman"/>
                      <w:b/>
                      <w:color w:val="FDFDFD"/>
                      <w:position w:val="1"/>
                      <w:sz w:val="20"/>
                    </w:rPr>
                    <w:t>N</w:t>
                  </w:r>
                  <w:r>
                    <w:rPr>
                      <w:rFonts w:ascii="Times New Roman"/>
                      <w:b/>
                      <w:color w:val="FDFDFD"/>
                      <w:position w:val="1"/>
                      <w:sz w:val="20"/>
                    </w:rPr>
                    <w:tab/>
                  </w:r>
                  <w:r>
                    <w:rPr>
                      <w:b/>
                      <w:color w:val="FDFDFD"/>
                      <w:spacing w:val="-1"/>
                      <w:w w:val="95"/>
                      <w:sz w:val="20"/>
                    </w:rPr>
                    <w:t>AI</w:t>
                  </w:r>
                </w:p>
              </w:txbxContent>
            </v:textbox>
            <w10:wrap anchorx="page"/>
          </v:shape>
        </w:pict>
      </w:r>
      <w:r w:rsidRPr="00D81F69">
        <w:pict>
          <v:shape id="_x0000_s1148" type="#_x0000_t202" style="position:absolute;left:0;text-align:left;margin-left:652.35pt;margin-top:34.75pt;width:8.15pt;height:16.8pt;z-index:-357352;mso-position-horizontal-relative:page" filled="f" stroked="f">
            <v:textbox inset="0,0,0,0">
              <w:txbxContent>
                <w:p w:rsidR="00D81F69" w:rsidRDefault="00330118">
                  <w:pPr>
                    <w:spacing w:line="335" w:lineRule="exact"/>
                    <w:rPr>
                      <w:sz w:val="30"/>
                    </w:rPr>
                  </w:pPr>
                  <w:r>
                    <w:rPr>
                      <w:color w:val="FDFDFD"/>
                      <w:w w:val="97"/>
                      <w:sz w:val="30"/>
                    </w:rPr>
                    <w:t>n</w:t>
                  </w:r>
                </w:p>
              </w:txbxContent>
            </v:textbox>
            <w10:wrap anchorx="page"/>
          </v:shape>
        </w:pict>
      </w:r>
      <w:r w:rsidRPr="00D81F69">
        <w:pict>
          <v:shape id="_x0000_s1147" type="#_x0000_t202" style="position:absolute;left:0;text-align:left;margin-left:684.6pt;margin-top:27.9pt;width:23.4pt;height:34.4pt;z-index:-357328;mso-position-horizontal-relative:page" filled="f" stroked="f">
            <v:textbox inset="0,0,0,0">
              <w:txbxContent>
                <w:p w:rsidR="00D81F69" w:rsidRDefault="00330118">
                  <w:pPr>
                    <w:spacing w:line="687" w:lineRule="exact"/>
                    <w:rPr>
                      <w:rFonts w:ascii="Times New Roman"/>
                      <w:b/>
                      <w:sz w:val="62"/>
                    </w:rPr>
                  </w:pPr>
                  <w:r>
                    <w:rPr>
                      <w:rFonts w:ascii="Times New Roman"/>
                      <w:b/>
                      <w:color w:val="FDFDFD"/>
                      <w:w w:val="95"/>
                      <w:sz w:val="62"/>
                    </w:rPr>
                    <w:t>:z</w:t>
                  </w:r>
                </w:p>
              </w:txbxContent>
            </v:textbox>
            <w10:wrap anchorx="page"/>
          </v:shape>
        </w:pict>
      </w:r>
      <w:r w:rsidRPr="00D81F69">
        <w:pict>
          <v:group id="_x0000_s1133" style="position:absolute;left:0;text-align:left;margin-left:355pt;margin-top:8.5pt;width:46.3pt;height:104.6pt;z-index:-356104;mso-position-horizontal-relative:page" coordorigin="7100,170" coordsize="926,2092">
            <v:rect id="_x0000_s1146" style="position:absolute;left:7737;top:245;width:282;height:219" fillcolor="#1c8052" stroked="f"/>
            <v:rect id="_x0000_s1145" style="position:absolute;left:7717;top:320;width:210;height:368" fillcolor="#34774f" stroked="f"/>
            <v:rect id="_x0000_s1144" style="position:absolute;left:7926;top:697;width:28;height:287" fillcolor="#1c8052" stroked="f"/>
            <v:rect id="_x0000_s1143" style="position:absolute;left:7237;top:552;width:210;height:135" fillcolor="#34774f" stroked="f"/>
            <v:shape id="_x0000_s1142" style="position:absolute;left:7100;top:687;width:926;height:1574" coordorigin="7100,688" coordsize="926,1574" path="m8025,1155r-98,l7927,688r-714,l7213,1158r-113,l7100,1418r129,l7229,1567r-16,l7213,2236r16,l7229,2262r209,l7438,2145r72,l7510,1357r227,l7737,1428r288,l8025,1155e" fillcolor="#1c8052" stroked="f">
              <v:path arrowok="t"/>
            </v:shape>
            <v:shape id="_x0000_s1141" type="#_x0000_t202" style="position:absolute;left:7212;top:169;width:47;height:548" filled="f" stroked="f">
              <v:textbox inset="0,0,0,0">
                <w:txbxContent>
                  <w:p w:rsidR="00D81F69" w:rsidRDefault="00330118">
                    <w:pPr>
                      <w:spacing w:line="548" w:lineRule="exact"/>
                      <w:rPr>
                        <w:sz w:val="49"/>
                      </w:rPr>
                    </w:pPr>
                    <w:r>
                      <w:rPr>
                        <w:color w:val="FDFDFD"/>
                        <w:spacing w:val="-234"/>
                        <w:w w:val="91"/>
                        <w:sz w:val="49"/>
                        <w:shd w:val="clear" w:color="auto" w:fill="1C8052"/>
                      </w:rPr>
                      <w:t>=</w:t>
                    </w:r>
                  </w:p>
                </w:txbxContent>
              </v:textbox>
            </v:shape>
            <v:shape id="_x0000_s1140" type="#_x0000_t202" style="position:absolute;left:7237;top:576;width:172;height:179" filled="f" stroked="f">
              <v:textbox inset="0,0,0,0">
                <w:txbxContent>
                  <w:p w:rsidR="00D81F69" w:rsidRDefault="00330118">
                    <w:pPr>
                      <w:spacing w:line="179" w:lineRule="exact"/>
                      <w:rPr>
                        <w:b/>
                        <w:sz w:val="16"/>
                      </w:rPr>
                    </w:pPr>
                    <w:r>
                      <w:rPr>
                        <w:b/>
                        <w:color w:val="FDFDFD"/>
                        <w:sz w:val="16"/>
                      </w:rPr>
                      <w:t>ti)</w:t>
                    </w:r>
                  </w:p>
                </w:txbxContent>
              </v:textbox>
            </v:shape>
            <v:shape id="_x0000_s1139" type="#_x0000_t202" style="position:absolute;left:7100;top:1183;width:82;height:213" filled="f" stroked="f">
              <v:textbox inset="0,0,0,0">
                <w:txbxContent>
                  <w:p w:rsidR="00D81F69" w:rsidRDefault="00330118">
                    <w:pPr>
                      <w:spacing w:line="212" w:lineRule="exact"/>
                      <w:rPr>
                        <w:sz w:val="19"/>
                      </w:rPr>
                    </w:pPr>
                    <w:r>
                      <w:rPr>
                        <w:color w:val="FDFDFD"/>
                        <w:w w:val="97"/>
                        <w:sz w:val="19"/>
                      </w:rPr>
                      <w:t>-</w:t>
                    </w:r>
                  </w:p>
                </w:txbxContent>
              </v:textbox>
            </v:shape>
            <v:shape id="_x0000_s1138" type="#_x0000_t202" style="position:absolute;left:7212;top:753;width:576;height:1323" filled="f" stroked="f">
              <v:textbox inset="0,0,0,0">
                <w:txbxContent>
                  <w:p w:rsidR="00D81F69" w:rsidRDefault="00330118">
                    <w:pPr>
                      <w:spacing w:line="548" w:lineRule="exact"/>
                      <w:ind w:right="18"/>
                      <w:jc w:val="center"/>
                      <w:rPr>
                        <w:sz w:val="49"/>
                      </w:rPr>
                    </w:pPr>
                    <w:r>
                      <w:rPr>
                        <w:color w:val="FDFDFD"/>
                        <w:w w:val="95"/>
                        <w:sz w:val="49"/>
                      </w:rPr>
                      <w:t>&gt;=</w:t>
                    </w:r>
                  </w:p>
                  <w:p w:rsidR="00D81F69" w:rsidRDefault="00330118">
                    <w:pPr>
                      <w:spacing w:before="73"/>
                      <w:jc w:val="center"/>
                      <w:rPr>
                        <w:sz w:val="61"/>
                      </w:rPr>
                    </w:pPr>
                    <w:r>
                      <w:rPr>
                        <w:color w:val="FDFDFD"/>
                        <w:spacing w:val="-1"/>
                        <w:w w:val="89"/>
                        <w:sz w:val="61"/>
                      </w:rPr>
                      <w:t>·</w:t>
                    </w:r>
                  </w:p>
                </w:txbxContent>
              </v:textbox>
            </v:shape>
            <v:shape id="_x0000_s1137" type="#_x0000_t202" style="position:absolute;left:7717;top:386;width:281;height:548" filled="f" stroked="f">
              <v:textbox inset="0,0,0,0">
                <w:txbxContent>
                  <w:p w:rsidR="00D81F69" w:rsidRDefault="00330118">
                    <w:pPr>
                      <w:spacing w:line="548" w:lineRule="exact"/>
                      <w:rPr>
                        <w:sz w:val="49"/>
                      </w:rPr>
                    </w:pPr>
                    <w:r>
                      <w:rPr>
                        <w:color w:val="FDFDFD"/>
                        <w:w w:val="91"/>
                        <w:sz w:val="49"/>
                      </w:rPr>
                      <w:t>=</w:t>
                    </w:r>
                  </w:p>
                </w:txbxContent>
              </v:textbox>
            </v:shape>
            <v:shape id="_x0000_s1136" type="#_x0000_t202" style="position:absolute;left:7228;top:1566;width:185;height:579" filled="f" stroked="f">
              <v:textbox inset="0,0,0,0">
                <w:txbxContent>
                  <w:p w:rsidR="00D81F69" w:rsidRDefault="00D81F69">
                    <w:pPr>
                      <w:spacing w:before="5"/>
                      <w:rPr>
                        <w:sz w:val="27"/>
                      </w:rPr>
                    </w:pPr>
                  </w:p>
                  <w:p w:rsidR="00D81F69" w:rsidRDefault="00330118">
                    <w:pPr>
                      <w:spacing w:line="262" w:lineRule="exact"/>
                      <w:rPr>
                        <w:rFonts w:ascii="Times New Roman"/>
                        <w:b/>
                        <w:sz w:val="30"/>
                      </w:rPr>
                    </w:pPr>
                    <w:r>
                      <w:rPr>
                        <w:rFonts w:ascii="Times New Roman"/>
                        <w:b/>
                        <w:color w:val="FDFDFD"/>
                        <w:w w:val="91"/>
                        <w:sz w:val="30"/>
                      </w:rPr>
                      <w:t>o</w:t>
                    </w:r>
                  </w:p>
                </w:txbxContent>
              </v:textbox>
            </v:shape>
            <v:shape id="_x0000_s1135" type="#_x0000_t202" style="position:absolute;left:7730;top:1481;width:211;height:376" fillcolor="#1c8052" stroked="f">
              <v:textbox inset="0,0,0,0">
                <w:txbxContent>
                  <w:p w:rsidR="00D81F69" w:rsidRDefault="00330118">
                    <w:pPr>
                      <w:spacing w:line="345" w:lineRule="exact"/>
                      <w:ind w:left="-8"/>
                      <w:rPr>
                        <w:rFonts w:ascii="Times New Roman"/>
                        <w:sz w:val="34"/>
                      </w:rPr>
                    </w:pPr>
                    <w:r>
                      <w:rPr>
                        <w:rFonts w:ascii="Times New Roman"/>
                        <w:color w:val="FDFDFD"/>
                        <w:w w:val="60"/>
                        <w:sz w:val="34"/>
                      </w:rPr>
                      <w:t>"'</w:t>
                    </w:r>
                  </w:p>
                </w:txbxContent>
              </v:textbox>
            </v:shape>
            <v:shape id="_x0000_s1134" type="#_x0000_t202" style="position:absolute;left:7730;top:1256;width:211;height:143" fillcolor="#1c8052" stroked="f">
              <v:textbox inset="0,0,0,0">
                <w:txbxContent>
                  <w:p w:rsidR="00D81F69" w:rsidRDefault="00330118">
                    <w:pPr>
                      <w:spacing w:before="14" w:line="128" w:lineRule="exact"/>
                      <w:ind w:left="12"/>
                      <w:rPr>
                        <w:b/>
                        <w:sz w:val="16"/>
                      </w:rPr>
                    </w:pPr>
                    <w:r>
                      <w:rPr>
                        <w:b/>
                        <w:color w:val="FDFDFD"/>
                        <w:w w:val="60"/>
                        <w:sz w:val="16"/>
                      </w:rPr>
                      <w:t>ti)</w:t>
                    </w:r>
                  </w:p>
                </w:txbxContent>
              </v:textbox>
            </v:shape>
            <w10:wrap anchorx="page"/>
          </v:group>
        </w:pict>
      </w:r>
      <w:r w:rsidR="00330118">
        <w:rPr>
          <w:rFonts w:ascii="Times New Roman"/>
          <w:color w:val="FDFDFD"/>
          <w:w w:val="105"/>
          <w:sz w:val="34"/>
          <w:shd w:val="clear" w:color="auto" w:fill="1C8052"/>
        </w:rPr>
        <w:t>"'</w:t>
      </w:r>
    </w:p>
    <w:p w:rsidR="00D81F69" w:rsidRDefault="00D81F69">
      <w:pPr>
        <w:pStyle w:val="Corpodetexto"/>
        <w:ind w:left="0"/>
        <w:jc w:val="left"/>
        <w:rPr>
          <w:rFonts w:ascii="Times New Roman"/>
          <w:sz w:val="20"/>
        </w:rPr>
      </w:pPr>
    </w:p>
    <w:p w:rsidR="00D81F69" w:rsidRDefault="00D81F69">
      <w:pPr>
        <w:pStyle w:val="Corpodetexto"/>
        <w:ind w:left="0"/>
        <w:jc w:val="left"/>
        <w:rPr>
          <w:rFonts w:ascii="Times New Roman"/>
          <w:sz w:val="20"/>
        </w:rPr>
      </w:pPr>
    </w:p>
    <w:p w:rsidR="00D81F69" w:rsidRDefault="00D81F69">
      <w:pPr>
        <w:pStyle w:val="Corpodetexto"/>
        <w:ind w:left="0"/>
        <w:jc w:val="left"/>
        <w:rPr>
          <w:rFonts w:ascii="Times New Roman"/>
          <w:sz w:val="20"/>
        </w:rPr>
      </w:pPr>
    </w:p>
    <w:p w:rsidR="00D81F69" w:rsidRDefault="00D81F69">
      <w:pPr>
        <w:pStyle w:val="Corpodetexto"/>
        <w:ind w:left="0"/>
        <w:jc w:val="left"/>
        <w:rPr>
          <w:rFonts w:ascii="Times New Roman"/>
          <w:sz w:val="20"/>
        </w:rPr>
      </w:pPr>
    </w:p>
    <w:p w:rsidR="00D81F69" w:rsidRDefault="00D81F69">
      <w:pPr>
        <w:pStyle w:val="Corpodetexto"/>
        <w:ind w:left="0"/>
        <w:jc w:val="left"/>
        <w:rPr>
          <w:rFonts w:ascii="Times New Roman"/>
          <w:sz w:val="20"/>
        </w:rPr>
      </w:pPr>
    </w:p>
    <w:p w:rsidR="00D81F69" w:rsidRDefault="00D81F69">
      <w:pPr>
        <w:pStyle w:val="Corpodetexto"/>
        <w:ind w:left="0"/>
        <w:jc w:val="left"/>
        <w:rPr>
          <w:rFonts w:ascii="Times New Roman"/>
          <w:sz w:val="20"/>
        </w:rPr>
      </w:pPr>
    </w:p>
    <w:p w:rsidR="00D81F69" w:rsidRDefault="00D81F69">
      <w:pPr>
        <w:pStyle w:val="Corpodetexto"/>
        <w:spacing w:before="3"/>
        <w:ind w:left="0"/>
        <w:jc w:val="left"/>
        <w:rPr>
          <w:rFonts w:ascii="Times New Roman"/>
          <w:sz w:val="17"/>
        </w:rPr>
      </w:pPr>
    </w:p>
    <w:p w:rsidR="00D81F69" w:rsidRDefault="00D81F69">
      <w:pPr>
        <w:spacing w:before="85"/>
        <w:ind w:right="4590"/>
        <w:jc w:val="center"/>
        <w:rPr>
          <w:rFonts w:ascii="Times New Roman"/>
          <w:sz w:val="37"/>
        </w:rPr>
      </w:pPr>
      <w:r w:rsidRPr="00D81F69">
        <w:pict>
          <v:shape id="_x0000_s1132" type="#_x0000_t202" style="position:absolute;left:0;text-align:left;margin-left:386.85pt;margin-top:-34.65pt;width:9.75pt;height:10.65pt;z-index:-357304;mso-position-horizontal-relative:page" filled="f" stroked="f">
            <v:textbox inset="0,0,0,0">
              <w:txbxContent>
                <w:p w:rsidR="00D81F69" w:rsidRDefault="00330118">
                  <w:pPr>
                    <w:spacing w:line="212" w:lineRule="exact"/>
                    <w:rPr>
                      <w:b/>
                      <w:sz w:val="19"/>
                    </w:rPr>
                  </w:pPr>
                  <w:r>
                    <w:rPr>
                      <w:b/>
                      <w:color w:val="FDFDFD"/>
                      <w:w w:val="95"/>
                      <w:sz w:val="19"/>
                    </w:rPr>
                    <w:t>Q.</w:t>
                  </w:r>
                </w:p>
              </w:txbxContent>
            </v:textbox>
            <w10:wrap anchorx="page"/>
          </v:shape>
        </w:pict>
      </w:r>
      <w:r w:rsidRPr="00D81F69">
        <w:pict>
          <v:shape id="_x0000_s1131" type="#_x0000_t202" style="position:absolute;left:0;text-align:left;margin-left:361.35pt;margin-top:-31.85pt;width:5.8pt;height:29.35pt;z-index:-357280;mso-position-horizontal-relative:page" filled="f" stroked="f">
            <v:textbox inset="0,0,0,0">
              <w:txbxContent>
                <w:p w:rsidR="00D81F69" w:rsidRDefault="00330118">
                  <w:pPr>
                    <w:spacing w:line="209" w:lineRule="exact"/>
                    <w:ind w:left="13"/>
                    <w:rPr>
                      <w:b/>
                      <w:sz w:val="20"/>
                    </w:rPr>
                  </w:pPr>
                  <w:r>
                    <w:rPr>
                      <w:b/>
                      <w:color w:val="FDFDFD"/>
                      <w:w w:val="50"/>
                      <w:sz w:val="20"/>
                    </w:rPr>
                    <w:t>AI</w:t>
                  </w:r>
                </w:p>
                <w:p w:rsidR="00D81F69" w:rsidRDefault="00330118">
                  <w:pPr>
                    <w:spacing w:line="377" w:lineRule="exact"/>
                    <w:rPr>
                      <w:rFonts w:ascii="Times New Roman"/>
                      <w:sz w:val="34"/>
                    </w:rPr>
                  </w:pPr>
                  <w:r>
                    <w:rPr>
                      <w:rFonts w:ascii="Times New Roman"/>
                      <w:color w:val="FDFDFD"/>
                      <w:w w:val="51"/>
                      <w:sz w:val="34"/>
                    </w:rPr>
                    <w:t>3</w:t>
                  </w:r>
                </w:p>
              </w:txbxContent>
            </v:textbox>
            <w10:wrap anchorx="page"/>
          </v:shape>
        </w:pict>
      </w:r>
      <w:r w:rsidRPr="00D81F69">
        <w:pict>
          <v:shape id="_x0000_s1130" type="#_x0000_t202" style="position:absolute;left:0;text-align:left;margin-left:652.75pt;margin-top:-22.35pt;width:9.05pt;height:14.55pt;z-index:-357256;mso-position-horizontal-relative:page" filled="f" stroked="f">
            <v:textbox inset="0,0,0,0">
              <w:txbxContent>
                <w:p w:rsidR="00D81F69" w:rsidRDefault="00330118">
                  <w:pPr>
                    <w:spacing w:line="291" w:lineRule="exact"/>
                    <w:rPr>
                      <w:sz w:val="26"/>
                    </w:rPr>
                  </w:pPr>
                  <w:r>
                    <w:rPr>
                      <w:color w:val="FDFDFD"/>
                      <w:w w:val="50"/>
                      <w:sz w:val="26"/>
                    </w:rPr>
                    <w:t>O&gt;</w:t>
                  </w:r>
                </w:p>
              </w:txbxContent>
            </v:textbox>
            <w10:wrap anchorx="page"/>
          </v:shape>
        </w:pict>
      </w:r>
      <w:r w:rsidRPr="00D81F69">
        <w:pict>
          <v:shape id="_x0000_s1129" type="#_x0000_t202" style="position:absolute;left:0;text-align:left;margin-left:686.05pt;margin-top:-29.7pt;width:7.95pt;height:23.85pt;z-index:-357232;mso-position-horizontal-relative:page" filled="f" stroked="f">
            <v:textbox inset="0,0,0,0">
              <w:txbxContent>
                <w:p w:rsidR="00D81F69" w:rsidRDefault="00330118">
                  <w:pPr>
                    <w:spacing w:line="477" w:lineRule="exact"/>
                    <w:rPr>
                      <w:rFonts w:ascii="Times New Roman"/>
                      <w:b/>
                      <w:sz w:val="43"/>
                    </w:rPr>
                  </w:pPr>
                  <w:r>
                    <w:rPr>
                      <w:rFonts w:ascii="Times New Roman"/>
                      <w:b/>
                      <w:color w:val="FDFDFD"/>
                      <w:w w:val="51"/>
                      <w:sz w:val="43"/>
                    </w:rPr>
                    <w:t>C</w:t>
                  </w:r>
                </w:p>
              </w:txbxContent>
            </v:textbox>
            <w10:wrap anchorx="page"/>
          </v:shape>
        </w:pict>
      </w:r>
      <w:r w:rsidRPr="00D81F69">
        <w:pict>
          <v:shape id="_x0000_s1128" type="#_x0000_t202" style="position:absolute;left:0;text-align:left;margin-left:361.45pt;margin-top:-24.15pt;width:9.1pt;height:34.15pt;z-index:-357208;mso-position-horizontal-relative:page" filled="f" stroked="f">
            <v:textbox inset="0,0,0,0">
              <w:txbxContent>
                <w:p w:rsidR="00D81F69" w:rsidRDefault="00330118">
                  <w:pPr>
                    <w:spacing w:line="682" w:lineRule="exact"/>
                    <w:rPr>
                      <w:sz w:val="61"/>
                    </w:rPr>
                  </w:pPr>
                  <w:r>
                    <w:rPr>
                      <w:color w:val="FDFDFD"/>
                      <w:spacing w:val="-1"/>
                      <w:w w:val="89"/>
                      <w:sz w:val="61"/>
                    </w:rPr>
                    <w:t>-</w:t>
                  </w:r>
                </w:p>
              </w:txbxContent>
            </v:textbox>
            <w10:wrap anchorx="page"/>
          </v:shape>
        </w:pict>
      </w:r>
      <w:r w:rsidRPr="00D81F69">
        <w:pict>
          <v:shape id="_x0000_s1127" type="#_x0000_t202" style="position:absolute;left:0;text-align:left;margin-left:360.65pt;margin-top:-12.2pt;width:13.05pt;height:27.4pt;z-index:-357184;mso-position-horizontal-relative:page" filled="f" stroked="f">
            <v:textbox inset="0,0,0,0">
              <w:txbxContent>
                <w:p w:rsidR="00D81F69" w:rsidRDefault="00330118">
                  <w:pPr>
                    <w:spacing w:line="548" w:lineRule="exact"/>
                    <w:rPr>
                      <w:sz w:val="49"/>
                    </w:rPr>
                  </w:pPr>
                  <w:r>
                    <w:rPr>
                      <w:color w:val="FDFDFD"/>
                      <w:w w:val="91"/>
                      <w:sz w:val="49"/>
                    </w:rPr>
                    <w:t>=</w:t>
                  </w:r>
                </w:p>
              </w:txbxContent>
            </v:textbox>
            <w10:wrap anchorx="page"/>
          </v:shape>
        </w:pict>
      </w:r>
      <w:r w:rsidRPr="00D81F69">
        <w:pict>
          <v:shape id="_x0000_s1126" type="#_x0000_t202" style="position:absolute;left:0;text-align:left;margin-left:652.8pt;margin-top:-12.6pt;width:10.05pt;height:24.95pt;z-index:-357160;mso-position-horizontal-relative:page" filled="f" stroked="f">
            <v:textbox inset="0,0,0,0">
              <w:txbxContent>
                <w:p w:rsidR="00D81F69" w:rsidRDefault="00330118">
                  <w:pPr>
                    <w:spacing w:line="499" w:lineRule="exact"/>
                    <w:rPr>
                      <w:rFonts w:ascii="Times New Roman"/>
                      <w:sz w:val="45"/>
                    </w:rPr>
                  </w:pPr>
                  <w:r>
                    <w:rPr>
                      <w:rFonts w:ascii="Times New Roman"/>
                      <w:color w:val="FDFDFD"/>
                      <w:w w:val="89"/>
                      <w:sz w:val="45"/>
                    </w:rPr>
                    <w:t>3</w:t>
                  </w:r>
                </w:p>
              </w:txbxContent>
            </v:textbox>
            <w10:wrap anchorx="page"/>
          </v:shape>
        </w:pict>
      </w:r>
      <w:r w:rsidRPr="00D81F69">
        <w:pict>
          <v:shape id="_x0000_s1125" type="#_x0000_t202" style="position:absolute;left:0;text-align:left;margin-left:652.75pt;margin-top:-8pt;width:9.45pt;height:34.7pt;z-index:-357136;mso-position-horizontal-relative:page" filled="f" stroked="f">
            <v:textbox inset="0,0,0,0">
              <w:txbxContent>
                <w:p w:rsidR="00D81F69" w:rsidRDefault="00330118">
                  <w:pPr>
                    <w:spacing w:line="693" w:lineRule="exact"/>
                    <w:rPr>
                      <w:sz w:val="62"/>
                    </w:rPr>
                  </w:pPr>
                  <w:r>
                    <w:rPr>
                      <w:color w:val="FDFDFD"/>
                      <w:spacing w:val="-1"/>
                      <w:w w:val="91"/>
                      <w:sz w:val="62"/>
                    </w:rPr>
                    <w:t>-</w:t>
                  </w:r>
                </w:p>
              </w:txbxContent>
            </v:textbox>
            <w10:wrap anchorx="page"/>
          </v:shape>
        </w:pict>
      </w:r>
      <w:r w:rsidRPr="00D81F69">
        <w:pict>
          <v:shape id="_x0000_s1124" type="#_x0000_t202" style="position:absolute;left:0;text-align:left;margin-left:652.35pt;margin-top:8.65pt;width:7.65pt;height:16.8pt;z-index:-357112;mso-position-horizontal-relative:page" filled="f" stroked="f">
            <v:textbox inset="0,0,0,0">
              <w:txbxContent>
                <w:p w:rsidR="00D81F69" w:rsidRDefault="00330118">
                  <w:pPr>
                    <w:spacing w:line="335" w:lineRule="exact"/>
                    <w:rPr>
                      <w:sz w:val="30"/>
                    </w:rPr>
                  </w:pPr>
                  <w:r>
                    <w:rPr>
                      <w:color w:val="FDFDFD"/>
                      <w:w w:val="91"/>
                      <w:sz w:val="30"/>
                    </w:rPr>
                    <w:t>n</w:t>
                  </w:r>
                </w:p>
              </w:txbxContent>
            </v:textbox>
            <w10:wrap anchorx="page"/>
          </v:shape>
        </w:pict>
      </w:r>
      <w:r w:rsidRPr="00D81F69">
        <w:pict>
          <v:shape id="_x0000_s1123" type="#_x0000_t202" style="position:absolute;left:0;text-align:left;margin-left:686pt;margin-top:2pt;width:13.95pt;height:30.75pt;z-index:-357088;mso-position-horizontal-relative:page" filled="f" stroked="f">
            <v:textbox inset="0,0,0,0">
              <w:txbxContent>
                <w:p w:rsidR="00D81F69" w:rsidRDefault="00330118">
                  <w:pPr>
                    <w:spacing w:line="615" w:lineRule="exact"/>
                    <w:rPr>
                      <w:b/>
                      <w:sz w:val="55"/>
                    </w:rPr>
                  </w:pPr>
                  <w:r>
                    <w:rPr>
                      <w:b/>
                      <w:color w:val="FDFDFD"/>
                      <w:w w:val="91"/>
                      <w:sz w:val="55"/>
                    </w:rPr>
                    <w:t>e</w:t>
                  </w:r>
                </w:p>
              </w:txbxContent>
            </v:textbox>
            <w10:wrap anchorx="page"/>
          </v:shape>
        </w:pict>
      </w:r>
      <w:r w:rsidR="00330118">
        <w:rPr>
          <w:rFonts w:ascii="Times New Roman"/>
          <w:color w:val="709760"/>
          <w:w w:val="91"/>
          <w:sz w:val="37"/>
        </w:rPr>
        <w:t>-</w:t>
      </w:r>
    </w:p>
    <w:p w:rsidR="00D81F69" w:rsidRDefault="00D81F69">
      <w:pPr>
        <w:pStyle w:val="Corpodetexto"/>
        <w:ind w:left="0"/>
        <w:jc w:val="left"/>
        <w:rPr>
          <w:rFonts w:ascii="Times New Roman"/>
          <w:sz w:val="40"/>
        </w:rPr>
      </w:pPr>
    </w:p>
    <w:p w:rsidR="00D81F69" w:rsidRDefault="00D81F69">
      <w:pPr>
        <w:pStyle w:val="Corpodetexto"/>
        <w:spacing w:before="8"/>
        <w:ind w:left="0"/>
        <w:jc w:val="left"/>
        <w:rPr>
          <w:rFonts w:ascii="Times New Roman"/>
          <w:sz w:val="32"/>
        </w:rPr>
      </w:pPr>
    </w:p>
    <w:p w:rsidR="00D81F69" w:rsidRDefault="00330118">
      <w:pPr>
        <w:ind w:left="831"/>
        <w:rPr>
          <w:sz w:val="16"/>
        </w:rPr>
      </w:pPr>
      <w:r>
        <w:rPr>
          <w:color w:val="709760"/>
          <w:w w:val="83"/>
          <w:sz w:val="16"/>
        </w:rPr>
        <w:t>1</w:t>
      </w:r>
    </w:p>
    <w:p w:rsidR="00D81F69" w:rsidRDefault="00D81F69">
      <w:pPr>
        <w:rPr>
          <w:sz w:val="16"/>
        </w:rPr>
        <w:sectPr w:rsidR="00D81F69">
          <w:type w:val="continuous"/>
          <w:pgSz w:w="18510" w:h="26750"/>
          <w:pgMar w:top="720" w:right="780" w:bottom="280" w:left="680" w:header="720" w:footer="720" w:gutter="0"/>
          <w:cols w:space="720"/>
        </w:sectPr>
      </w:pPr>
    </w:p>
    <w:p w:rsidR="00D81F69" w:rsidRDefault="00330118">
      <w:pPr>
        <w:pStyle w:val="Corpodetexto"/>
        <w:ind w:left="3305"/>
        <w:jc w:val="left"/>
        <w:rPr>
          <w:sz w:val="20"/>
        </w:rPr>
      </w:pPr>
      <w:r>
        <w:rPr>
          <w:noProof/>
          <w:sz w:val="20"/>
          <w:lang w:val="pt-BR" w:eastAsia="pt-BR"/>
        </w:rPr>
        <w:lastRenderedPageBreak/>
        <w:drawing>
          <wp:inline distT="0" distB="0" distL="0" distR="0">
            <wp:extent cx="2293421" cy="2292857"/>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8" cstate="print"/>
                    <a:stretch>
                      <a:fillRect/>
                    </a:stretch>
                  </pic:blipFill>
                  <pic:spPr>
                    <a:xfrm>
                      <a:off x="0" y="0"/>
                      <a:ext cx="2293421" cy="2292857"/>
                    </a:xfrm>
                    <a:prstGeom prst="rect">
                      <a:avLst/>
                    </a:prstGeom>
                  </pic:spPr>
                </pic:pic>
              </a:graphicData>
            </a:graphic>
          </wp:inline>
        </w:drawing>
      </w:r>
    </w:p>
    <w:p w:rsidR="00D81F69" w:rsidRDefault="00D81F69">
      <w:pPr>
        <w:pStyle w:val="Corpodetexto"/>
        <w:ind w:left="0"/>
        <w:jc w:val="left"/>
        <w:rPr>
          <w:sz w:val="14"/>
        </w:rPr>
      </w:pPr>
    </w:p>
    <w:p w:rsidR="00D81F69" w:rsidRDefault="00330118">
      <w:pPr>
        <w:spacing w:before="92" w:line="360" w:lineRule="auto"/>
        <w:ind w:left="3258" w:right="3377"/>
        <w:jc w:val="center"/>
        <w:rPr>
          <w:b/>
          <w:sz w:val="26"/>
        </w:rPr>
      </w:pPr>
      <w:r>
        <w:rPr>
          <w:sz w:val="26"/>
        </w:rPr>
        <w:t xml:space="preserve">Dilma Vana Rousseff </w:t>
      </w:r>
      <w:r>
        <w:rPr>
          <w:b/>
          <w:sz w:val="26"/>
        </w:rPr>
        <w:t xml:space="preserve">Presidenta da República </w:t>
      </w:r>
      <w:r>
        <w:rPr>
          <w:sz w:val="26"/>
        </w:rPr>
        <w:t xml:space="preserve">Michel Miguel Elias Temer Lulia </w:t>
      </w:r>
      <w:r>
        <w:rPr>
          <w:b/>
          <w:sz w:val="26"/>
        </w:rPr>
        <w:t>Vice-Presidente da República</w:t>
      </w:r>
    </w:p>
    <w:p w:rsidR="00D81F69" w:rsidRDefault="00330118">
      <w:pPr>
        <w:spacing w:before="104"/>
        <w:ind w:left="7" w:right="124"/>
        <w:jc w:val="center"/>
        <w:rPr>
          <w:b/>
          <w:sz w:val="26"/>
        </w:rPr>
      </w:pPr>
      <w:r>
        <w:rPr>
          <w:b/>
          <w:sz w:val="26"/>
        </w:rPr>
        <w:t>MINISTÉRIO DA CIÊNCIA, TECNOLOGIA E INOVAÇÃO – MCTI</w:t>
      </w:r>
    </w:p>
    <w:p w:rsidR="00D81F69" w:rsidRDefault="00330118">
      <w:pPr>
        <w:spacing w:before="149"/>
        <w:ind w:left="3258" w:right="3375"/>
        <w:jc w:val="center"/>
        <w:rPr>
          <w:sz w:val="26"/>
        </w:rPr>
      </w:pPr>
      <w:r>
        <w:rPr>
          <w:sz w:val="26"/>
        </w:rPr>
        <w:t>Clelio Campolina Diniz</w:t>
      </w:r>
    </w:p>
    <w:p w:rsidR="00D81F69" w:rsidRDefault="00330118">
      <w:pPr>
        <w:spacing w:before="151"/>
        <w:ind w:left="3258" w:right="3374"/>
        <w:jc w:val="center"/>
        <w:rPr>
          <w:b/>
          <w:sz w:val="24"/>
        </w:rPr>
      </w:pPr>
      <w:r>
        <w:rPr>
          <w:b/>
          <w:sz w:val="24"/>
        </w:rPr>
        <w:t>Ministro</w:t>
      </w:r>
    </w:p>
    <w:p w:rsidR="00D81F69" w:rsidRDefault="00330118">
      <w:pPr>
        <w:spacing w:before="137" w:line="360" w:lineRule="auto"/>
        <w:ind w:left="3813" w:right="3931"/>
        <w:jc w:val="center"/>
        <w:rPr>
          <w:sz w:val="26"/>
        </w:rPr>
      </w:pPr>
      <w:r>
        <w:rPr>
          <w:sz w:val="26"/>
        </w:rPr>
        <w:t xml:space="preserve">João Alberto De Negri </w:t>
      </w:r>
      <w:r>
        <w:rPr>
          <w:b/>
          <w:sz w:val="24"/>
        </w:rPr>
        <w:t xml:space="preserve">Secretário-Executivo </w:t>
      </w:r>
      <w:r>
        <w:rPr>
          <w:sz w:val="26"/>
        </w:rPr>
        <w:t>André Tortato Rauen</w:t>
      </w:r>
    </w:p>
    <w:p w:rsidR="00D81F69" w:rsidRDefault="00330118">
      <w:pPr>
        <w:ind w:left="9" w:right="124"/>
        <w:jc w:val="center"/>
        <w:rPr>
          <w:b/>
          <w:sz w:val="24"/>
        </w:rPr>
      </w:pPr>
      <w:r>
        <w:rPr>
          <w:b/>
          <w:sz w:val="24"/>
        </w:rPr>
        <w:t>Subsecretário de Coordenação das Unidades de Pesquisa</w:t>
      </w:r>
    </w:p>
    <w:p w:rsidR="00D81F69" w:rsidRDefault="00D81F69">
      <w:pPr>
        <w:pStyle w:val="Corpodetexto"/>
        <w:ind w:left="0"/>
        <w:jc w:val="left"/>
        <w:rPr>
          <w:b/>
          <w:sz w:val="21"/>
        </w:rPr>
      </w:pPr>
    </w:p>
    <w:p w:rsidR="00D81F69" w:rsidRDefault="00330118">
      <w:pPr>
        <w:ind w:left="8" w:right="124"/>
        <w:jc w:val="center"/>
        <w:rPr>
          <w:b/>
          <w:sz w:val="26"/>
        </w:rPr>
      </w:pPr>
      <w:r>
        <w:rPr>
          <w:b/>
          <w:sz w:val="26"/>
        </w:rPr>
        <w:t>CENTRO DE TECNOLOGIA MINERAL – CETEM</w:t>
      </w:r>
    </w:p>
    <w:p w:rsidR="00D81F69" w:rsidRDefault="00330118">
      <w:pPr>
        <w:spacing w:before="149"/>
        <w:ind w:left="3258" w:right="3375"/>
        <w:jc w:val="center"/>
        <w:rPr>
          <w:sz w:val="26"/>
        </w:rPr>
      </w:pPr>
      <w:r>
        <w:rPr>
          <w:sz w:val="26"/>
        </w:rPr>
        <w:t>Fernando A. Freitas Lins</w:t>
      </w:r>
    </w:p>
    <w:p w:rsidR="00D81F69" w:rsidRDefault="00330118">
      <w:pPr>
        <w:spacing w:before="151"/>
        <w:ind w:left="3258" w:right="3375"/>
        <w:jc w:val="center"/>
        <w:rPr>
          <w:b/>
          <w:sz w:val="24"/>
        </w:rPr>
      </w:pPr>
      <w:r>
        <w:rPr>
          <w:b/>
          <w:sz w:val="24"/>
        </w:rPr>
        <w:t>Diretor</w:t>
      </w:r>
    </w:p>
    <w:p w:rsidR="00D81F69" w:rsidRDefault="00330118">
      <w:pPr>
        <w:spacing w:before="137"/>
        <w:ind w:left="3258" w:right="3375"/>
        <w:jc w:val="center"/>
        <w:rPr>
          <w:sz w:val="26"/>
        </w:rPr>
      </w:pPr>
      <w:r>
        <w:rPr>
          <w:sz w:val="26"/>
        </w:rPr>
        <w:t>Marisa Bezerra de Mello Monte</w:t>
      </w:r>
    </w:p>
    <w:p w:rsidR="00D81F69" w:rsidRDefault="00330118">
      <w:pPr>
        <w:spacing w:before="150"/>
        <w:ind w:left="5" w:right="124"/>
        <w:jc w:val="center"/>
        <w:rPr>
          <w:b/>
          <w:sz w:val="24"/>
        </w:rPr>
      </w:pPr>
      <w:r>
        <w:rPr>
          <w:b/>
          <w:sz w:val="24"/>
        </w:rPr>
        <w:t>Coordenação de Planejamento, Gestão e Inovação</w:t>
      </w:r>
    </w:p>
    <w:p w:rsidR="00D81F69" w:rsidRDefault="00330118">
      <w:pPr>
        <w:spacing w:before="138" w:line="360" w:lineRule="auto"/>
        <w:ind w:left="2993" w:right="3109" w:hanging="1"/>
        <w:jc w:val="center"/>
        <w:rPr>
          <w:sz w:val="26"/>
        </w:rPr>
      </w:pPr>
      <w:r>
        <w:rPr>
          <w:sz w:val="26"/>
        </w:rPr>
        <w:t xml:space="preserve">Claudio Luiz Schneider </w:t>
      </w:r>
      <w:r>
        <w:rPr>
          <w:b/>
          <w:sz w:val="24"/>
        </w:rPr>
        <w:t>Coordenação de Processos</w:t>
      </w:r>
      <w:r>
        <w:rPr>
          <w:b/>
          <w:spacing w:val="-24"/>
          <w:sz w:val="24"/>
        </w:rPr>
        <w:t xml:space="preserve"> </w:t>
      </w:r>
      <w:r>
        <w:rPr>
          <w:b/>
          <w:sz w:val="24"/>
        </w:rPr>
        <w:t xml:space="preserve">Minerais </w:t>
      </w:r>
      <w:r>
        <w:rPr>
          <w:sz w:val="26"/>
        </w:rPr>
        <w:t>Ronaldo Luiz Correa dos</w:t>
      </w:r>
      <w:r>
        <w:rPr>
          <w:spacing w:val="-14"/>
          <w:sz w:val="26"/>
        </w:rPr>
        <w:t xml:space="preserve"> </w:t>
      </w:r>
      <w:r>
        <w:rPr>
          <w:sz w:val="26"/>
        </w:rPr>
        <w:t>Santos</w:t>
      </w:r>
    </w:p>
    <w:p w:rsidR="00D81F69" w:rsidRDefault="00330118">
      <w:pPr>
        <w:ind w:left="7" w:right="124"/>
        <w:jc w:val="center"/>
        <w:rPr>
          <w:b/>
          <w:sz w:val="24"/>
        </w:rPr>
      </w:pPr>
      <w:r>
        <w:rPr>
          <w:b/>
          <w:sz w:val="24"/>
        </w:rPr>
        <w:t>Coordenação de Processos Metalúrgicos e Ambientais</w:t>
      </w:r>
    </w:p>
    <w:p w:rsidR="00D81F69" w:rsidRDefault="00330118">
      <w:pPr>
        <w:spacing w:before="137"/>
        <w:ind w:left="8" w:right="124"/>
        <w:jc w:val="center"/>
        <w:rPr>
          <w:sz w:val="26"/>
        </w:rPr>
      </w:pPr>
      <w:r>
        <w:rPr>
          <w:sz w:val="26"/>
        </w:rPr>
        <w:t>Francisco Wilson Hollanda Vidal</w:t>
      </w:r>
    </w:p>
    <w:p w:rsidR="00D81F69" w:rsidRDefault="00330118">
      <w:pPr>
        <w:spacing w:before="151"/>
        <w:ind w:left="6" w:right="124"/>
        <w:jc w:val="center"/>
        <w:rPr>
          <w:b/>
          <w:sz w:val="24"/>
        </w:rPr>
      </w:pPr>
      <w:r>
        <w:rPr>
          <w:b/>
          <w:sz w:val="24"/>
        </w:rPr>
        <w:t>Coordenação de Apoio Técnico às Micro e Pequena Empresa</w:t>
      </w:r>
    </w:p>
    <w:p w:rsidR="00D81F69" w:rsidRDefault="00330118">
      <w:pPr>
        <w:spacing w:before="137" w:line="360" w:lineRule="auto"/>
        <w:ind w:left="3106" w:right="3223"/>
        <w:jc w:val="center"/>
        <w:rPr>
          <w:b/>
          <w:sz w:val="24"/>
        </w:rPr>
      </w:pPr>
      <w:r>
        <w:rPr>
          <w:sz w:val="26"/>
        </w:rPr>
        <w:t xml:space="preserve">Arnaldo Alcover Neto </w:t>
      </w:r>
      <w:r>
        <w:rPr>
          <w:b/>
          <w:sz w:val="24"/>
        </w:rPr>
        <w:t xml:space="preserve">Coordenação de Análises Minerais </w:t>
      </w:r>
      <w:r>
        <w:rPr>
          <w:sz w:val="26"/>
        </w:rPr>
        <w:t xml:space="preserve">Cosme Antonio de Moraes Regly </w:t>
      </w:r>
      <w:r>
        <w:rPr>
          <w:b/>
          <w:sz w:val="24"/>
        </w:rPr>
        <w:t>Coordenação de Administração</w:t>
      </w:r>
    </w:p>
    <w:p w:rsidR="00D81F69" w:rsidRDefault="00D81F69">
      <w:pPr>
        <w:spacing w:line="360" w:lineRule="auto"/>
        <w:jc w:val="center"/>
        <w:rPr>
          <w:sz w:val="24"/>
        </w:rPr>
        <w:sectPr w:rsidR="00D81F69">
          <w:pgSz w:w="11910" w:h="16840"/>
          <w:pgMar w:top="560" w:right="738" w:bottom="280" w:left="860" w:header="720" w:footer="720" w:gutter="0"/>
          <w:cols w:space="720"/>
        </w:sectPr>
      </w:pPr>
    </w:p>
    <w:p w:rsidR="00D81F69" w:rsidRDefault="00D81F69">
      <w:pPr>
        <w:pStyle w:val="Corpodetexto"/>
        <w:ind w:left="0"/>
        <w:jc w:val="left"/>
        <w:rPr>
          <w:b/>
          <w:sz w:val="20"/>
        </w:rPr>
      </w:pPr>
    </w:p>
    <w:p w:rsidR="00D81F69" w:rsidRDefault="00D81F69">
      <w:pPr>
        <w:pStyle w:val="Corpodetexto"/>
        <w:ind w:left="0"/>
        <w:jc w:val="left"/>
        <w:rPr>
          <w:b/>
          <w:sz w:val="20"/>
        </w:rPr>
      </w:pPr>
    </w:p>
    <w:p w:rsidR="00D81F69" w:rsidRDefault="00D81F69">
      <w:pPr>
        <w:pStyle w:val="Corpodetexto"/>
        <w:ind w:left="0"/>
        <w:jc w:val="left"/>
        <w:rPr>
          <w:b/>
          <w:sz w:val="20"/>
        </w:rPr>
      </w:pPr>
    </w:p>
    <w:p w:rsidR="00D81F69" w:rsidRDefault="00D81F69">
      <w:pPr>
        <w:pStyle w:val="Corpodetexto"/>
        <w:ind w:left="0"/>
        <w:jc w:val="left"/>
        <w:rPr>
          <w:b/>
          <w:sz w:val="20"/>
        </w:rPr>
      </w:pPr>
    </w:p>
    <w:p w:rsidR="00D81F69" w:rsidRDefault="00D81F69">
      <w:pPr>
        <w:pStyle w:val="Corpodetexto"/>
        <w:ind w:left="0"/>
        <w:jc w:val="left"/>
        <w:rPr>
          <w:b/>
          <w:sz w:val="20"/>
        </w:rPr>
      </w:pPr>
    </w:p>
    <w:p w:rsidR="00D81F69" w:rsidRDefault="00D81F69">
      <w:pPr>
        <w:pStyle w:val="Corpodetexto"/>
        <w:ind w:left="0"/>
        <w:jc w:val="left"/>
        <w:rPr>
          <w:b/>
          <w:sz w:val="20"/>
        </w:rPr>
      </w:pPr>
    </w:p>
    <w:p w:rsidR="00D81F69" w:rsidRDefault="00D81F69">
      <w:pPr>
        <w:pStyle w:val="Corpodetexto"/>
        <w:ind w:left="0"/>
        <w:jc w:val="left"/>
        <w:rPr>
          <w:b/>
          <w:sz w:val="20"/>
        </w:rPr>
      </w:pPr>
    </w:p>
    <w:p w:rsidR="00D81F69" w:rsidRDefault="00D81F69">
      <w:pPr>
        <w:pStyle w:val="Corpodetexto"/>
        <w:ind w:left="0"/>
        <w:jc w:val="left"/>
        <w:rPr>
          <w:b/>
          <w:sz w:val="20"/>
        </w:rPr>
      </w:pPr>
    </w:p>
    <w:p w:rsidR="00D81F69" w:rsidRDefault="00D81F69">
      <w:pPr>
        <w:pStyle w:val="Corpodetexto"/>
        <w:ind w:left="0"/>
        <w:jc w:val="left"/>
        <w:rPr>
          <w:b/>
          <w:sz w:val="20"/>
        </w:rPr>
      </w:pPr>
    </w:p>
    <w:p w:rsidR="00D81F69" w:rsidRPr="00392EAD" w:rsidRDefault="00330118">
      <w:pPr>
        <w:spacing w:before="238"/>
        <w:ind w:left="2063"/>
        <w:rPr>
          <w:b/>
          <w:sz w:val="32"/>
          <w:lang w:val="pt-BR"/>
        </w:rPr>
      </w:pPr>
      <w:r w:rsidRPr="00392EAD">
        <w:rPr>
          <w:b/>
          <w:sz w:val="32"/>
          <w:lang w:val="pt-BR"/>
        </w:rPr>
        <w:t>RECURSOS MINERAIS E COMUNIDADE</w:t>
      </w:r>
    </w:p>
    <w:p w:rsidR="00D81F69" w:rsidRPr="00392EAD" w:rsidRDefault="00330118">
      <w:pPr>
        <w:spacing w:before="256"/>
        <w:ind w:left="1831"/>
        <w:rPr>
          <w:b/>
          <w:sz w:val="26"/>
          <w:lang w:val="pt-BR"/>
        </w:rPr>
      </w:pPr>
      <w:r w:rsidRPr="00392EAD">
        <w:rPr>
          <w:b/>
          <w:sz w:val="26"/>
          <w:lang w:val="pt-BR"/>
        </w:rPr>
        <w:t>i</w:t>
      </w:r>
      <w:r w:rsidRPr="00392EAD">
        <w:rPr>
          <w:b/>
          <w:sz w:val="26"/>
          <w:lang w:val="pt-BR"/>
        </w:rPr>
        <w:t>mpactos humanos ● socioambientais ● econômicos</w:t>
      </w:r>
    </w:p>
    <w:p w:rsidR="00D81F69" w:rsidRPr="00392EAD" w:rsidRDefault="00D81F69">
      <w:pPr>
        <w:pStyle w:val="Corpodetexto"/>
        <w:ind w:left="0"/>
        <w:jc w:val="left"/>
        <w:rPr>
          <w:b/>
          <w:sz w:val="28"/>
          <w:lang w:val="pt-BR"/>
        </w:rPr>
      </w:pPr>
    </w:p>
    <w:p w:rsidR="00D81F69" w:rsidRPr="00392EAD" w:rsidRDefault="00D81F69">
      <w:pPr>
        <w:pStyle w:val="Corpodetexto"/>
        <w:ind w:left="0"/>
        <w:jc w:val="left"/>
        <w:rPr>
          <w:b/>
          <w:sz w:val="28"/>
          <w:lang w:val="pt-BR"/>
        </w:rPr>
      </w:pPr>
    </w:p>
    <w:p w:rsidR="00D81F69" w:rsidRPr="00392EAD" w:rsidRDefault="00D81F69">
      <w:pPr>
        <w:pStyle w:val="Corpodetexto"/>
        <w:ind w:left="0"/>
        <w:jc w:val="left"/>
        <w:rPr>
          <w:b/>
          <w:sz w:val="28"/>
          <w:lang w:val="pt-BR"/>
        </w:rPr>
      </w:pPr>
    </w:p>
    <w:p w:rsidR="00D81F69" w:rsidRPr="00392EAD" w:rsidRDefault="00D81F69">
      <w:pPr>
        <w:pStyle w:val="Corpodetexto"/>
        <w:ind w:left="0"/>
        <w:jc w:val="left"/>
        <w:rPr>
          <w:b/>
          <w:sz w:val="28"/>
          <w:lang w:val="pt-BR"/>
        </w:rPr>
      </w:pPr>
    </w:p>
    <w:p w:rsidR="00D81F69" w:rsidRPr="00392EAD" w:rsidRDefault="00D81F69">
      <w:pPr>
        <w:pStyle w:val="Corpodetexto"/>
        <w:ind w:left="0"/>
        <w:jc w:val="left"/>
        <w:rPr>
          <w:b/>
          <w:sz w:val="28"/>
          <w:lang w:val="pt-BR"/>
        </w:rPr>
      </w:pPr>
    </w:p>
    <w:p w:rsidR="00D81F69" w:rsidRPr="00392EAD" w:rsidRDefault="00D81F69">
      <w:pPr>
        <w:pStyle w:val="Corpodetexto"/>
        <w:ind w:left="0"/>
        <w:jc w:val="left"/>
        <w:rPr>
          <w:b/>
          <w:sz w:val="28"/>
          <w:lang w:val="pt-BR"/>
        </w:rPr>
      </w:pPr>
    </w:p>
    <w:p w:rsidR="00D81F69" w:rsidRPr="00392EAD" w:rsidRDefault="00D81F69">
      <w:pPr>
        <w:pStyle w:val="Corpodetexto"/>
        <w:ind w:left="0"/>
        <w:jc w:val="left"/>
        <w:rPr>
          <w:b/>
          <w:sz w:val="28"/>
          <w:lang w:val="pt-BR"/>
        </w:rPr>
      </w:pPr>
    </w:p>
    <w:p w:rsidR="00D81F69" w:rsidRPr="00392EAD" w:rsidRDefault="00D81F69">
      <w:pPr>
        <w:pStyle w:val="Corpodetexto"/>
        <w:ind w:left="0"/>
        <w:jc w:val="left"/>
        <w:rPr>
          <w:b/>
          <w:sz w:val="28"/>
          <w:lang w:val="pt-BR"/>
        </w:rPr>
      </w:pPr>
    </w:p>
    <w:p w:rsidR="00D81F69" w:rsidRPr="00392EAD" w:rsidRDefault="00D81F69">
      <w:pPr>
        <w:pStyle w:val="Corpodetexto"/>
        <w:ind w:left="0"/>
        <w:jc w:val="left"/>
        <w:rPr>
          <w:b/>
          <w:sz w:val="28"/>
          <w:lang w:val="pt-BR"/>
        </w:rPr>
      </w:pPr>
    </w:p>
    <w:p w:rsidR="00D81F69" w:rsidRPr="00392EAD" w:rsidRDefault="00D81F69">
      <w:pPr>
        <w:pStyle w:val="Corpodetexto"/>
        <w:ind w:left="0"/>
        <w:jc w:val="left"/>
        <w:rPr>
          <w:b/>
          <w:sz w:val="28"/>
          <w:lang w:val="pt-BR"/>
        </w:rPr>
      </w:pPr>
    </w:p>
    <w:p w:rsidR="00D81F69" w:rsidRPr="00392EAD" w:rsidRDefault="00D81F69">
      <w:pPr>
        <w:pStyle w:val="Corpodetexto"/>
        <w:ind w:left="0"/>
        <w:jc w:val="left"/>
        <w:rPr>
          <w:b/>
          <w:sz w:val="25"/>
          <w:lang w:val="pt-BR"/>
        </w:rPr>
      </w:pPr>
    </w:p>
    <w:p w:rsidR="00D81F69" w:rsidRPr="00392EAD" w:rsidRDefault="00330118">
      <w:pPr>
        <w:pStyle w:val="Heading3"/>
        <w:spacing w:before="1"/>
        <w:ind w:left="4527"/>
        <w:rPr>
          <w:rFonts w:ascii="Arial"/>
          <w:lang w:val="pt-BR"/>
        </w:rPr>
      </w:pPr>
      <w:r w:rsidRPr="00392EAD">
        <w:rPr>
          <w:rFonts w:ascii="Arial"/>
          <w:lang w:val="pt-BR"/>
        </w:rPr>
        <w:t>Editores:</w:t>
      </w:r>
    </w:p>
    <w:p w:rsidR="00D81F69" w:rsidRPr="00392EAD" w:rsidRDefault="00330118">
      <w:pPr>
        <w:spacing w:before="247" w:line="436" w:lineRule="auto"/>
        <w:ind w:left="4527" w:right="1400"/>
        <w:rPr>
          <w:sz w:val="26"/>
          <w:lang w:val="pt-BR"/>
        </w:rPr>
      </w:pPr>
      <w:r w:rsidRPr="00392EAD">
        <w:rPr>
          <w:sz w:val="26"/>
          <w:lang w:val="pt-BR"/>
        </w:rPr>
        <w:t>Francisco Rego Chaves Fernandes Renata de Carvalho Jimenez Alamino Eliane Rocha Araujo</w:t>
      </w:r>
    </w:p>
    <w:p w:rsidR="00D81F69" w:rsidRPr="00392EAD" w:rsidRDefault="00D81F69">
      <w:pPr>
        <w:spacing w:line="436" w:lineRule="auto"/>
        <w:rPr>
          <w:sz w:val="26"/>
          <w:lang w:val="pt-BR"/>
        </w:rPr>
        <w:sectPr w:rsidR="00D81F69" w:rsidRPr="00392EAD">
          <w:pgSz w:w="11910" w:h="16840"/>
          <w:pgMar w:top="1600" w:right="738" w:bottom="280" w:left="860" w:header="720" w:footer="720" w:gutter="0"/>
          <w:cols w:space="720"/>
        </w:sectPr>
      </w:pPr>
    </w:p>
    <w:p w:rsidR="00D81F69" w:rsidRPr="00392EAD" w:rsidRDefault="00330118">
      <w:pPr>
        <w:pStyle w:val="Heading2"/>
        <w:ind w:left="3" w:right="124"/>
        <w:jc w:val="center"/>
        <w:rPr>
          <w:lang w:val="pt-BR"/>
        </w:rPr>
      </w:pPr>
      <w:r w:rsidRPr="00392EAD">
        <w:rPr>
          <w:lang w:val="pt-BR"/>
        </w:rPr>
        <w:lastRenderedPageBreak/>
        <w:t>RECURSOS MINERAIS E COMUNIDADE</w:t>
      </w:r>
    </w:p>
    <w:p w:rsidR="00D81F69" w:rsidRPr="00392EAD" w:rsidRDefault="00330118">
      <w:pPr>
        <w:spacing w:before="248"/>
        <w:ind w:left="6" w:right="124"/>
        <w:jc w:val="center"/>
        <w:rPr>
          <w:b/>
          <w:sz w:val="28"/>
          <w:lang w:val="pt-BR"/>
        </w:rPr>
      </w:pPr>
      <w:r w:rsidRPr="00392EAD">
        <w:rPr>
          <w:b/>
          <w:sz w:val="28"/>
          <w:lang w:val="pt-BR"/>
        </w:rPr>
        <w:t>impactos humanos ● socioambientais ● econômicos</w:t>
      </w:r>
    </w:p>
    <w:p w:rsidR="00D81F69" w:rsidRPr="00392EAD" w:rsidRDefault="00D81F69">
      <w:pPr>
        <w:pStyle w:val="Corpodetexto"/>
        <w:ind w:left="0"/>
        <w:jc w:val="left"/>
        <w:rPr>
          <w:b/>
          <w:sz w:val="30"/>
          <w:lang w:val="pt-BR"/>
        </w:rPr>
      </w:pPr>
    </w:p>
    <w:p w:rsidR="00D81F69" w:rsidRPr="00392EAD" w:rsidRDefault="00330118">
      <w:pPr>
        <w:spacing w:before="244"/>
        <w:ind w:left="3258" w:right="3376"/>
        <w:jc w:val="center"/>
        <w:rPr>
          <w:b/>
          <w:sz w:val="24"/>
          <w:lang w:val="pt-BR"/>
        </w:rPr>
      </w:pPr>
      <w:r w:rsidRPr="00392EAD">
        <w:rPr>
          <w:b/>
          <w:sz w:val="24"/>
          <w:lang w:val="pt-BR"/>
        </w:rPr>
        <w:t>Editores</w:t>
      </w:r>
    </w:p>
    <w:p w:rsidR="00D81F69" w:rsidRPr="00392EAD" w:rsidRDefault="00D81F69">
      <w:pPr>
        <w:pStyle w:val="Corpodetexto"/>
        <w:spacing w:before="10"/>
        <w:ind w:left="0"/>
        <w:jc w:val="left"/>
        <w:rPr>
          <w:b/>
          <w:sz w:val="20"/>
          <w:lang w:val="pt-BR"/>
        </w:rPr>
      </w:pPr>
    </w:p>
    <w:p w:rsidR="00D81F69" w:rsidRPr="00392EAD" w:rsidRDefault="00330118">
      <w:pPr>
        <w:pStyle w:val="Heading4"/>
        <w:spacing w:line="448" w:lineRule="auto"/>
        <w:ind w:left="3079" w:right="3198"/>
        <w:jc w:val="center"/>
        <w:rPr>
          <w:lang w:val="pt-BR"/>
        </w:rPr>
      </w:pPr>
      <w:r w:rsidRPr="00392EAD">
        <w:rPr>
          <w:lang w:val="pt-BR"/>
        </w:rPr>
        <w:t>Francisco Rego Chaves Fernandes Renata de Carvalho Jimenez Alamino Eliane Rocha Araujo</w:t>
      </w:r>
    </w:p>
    <w:p w:rsidR="00D81F69" w:rsidRPr="00392EAD" w:rsidRDefault="00330118">
      <w:pPr>
        <w:spacing w:before="6"/>
        <w:ind w:left="3258" w:right="3376"/>
        <w:jc w:val="center"/>
        <w:rPr>
          <w:b/>
          <w:sz w:val="24"/>
          <w:lang w:val="pt-BR"/>
        </w:rPr>
      </w:pPr>
      <w:r w:rsidRPr="00392EAD">
        <w:rPr>
          <w:b/>
          <w:sz w:val="24"/>
          <w:lang w:val="pt-BR"/>
        </w:rPr>
        <w:t>Apoio Técnico</w:t>
      </w:r>
    </w:p>
    <w:p w:rsidR="00D81F69" w:rsidRPr="00392EAD" w:rsidRDefault="00D81F69">
      <w:pPr>
        <w:pStyle w:val="Corpodetexto"/>
        <w:spacing w:before="10"/>
        <w:ind w:left="0"/>
        <w:jc w:val="left"/>
        <w:rPr>
          <w:b/>
          <w:sz w:val="20"/>
          <w:lang w:val="pt-BR"/>
        </w:rPr>
      </w:pPr>
    </w:p>
    <w:p w:rsidR="00D81F69" w:rsidRPr="00392EAD" w:rsidRDefault="00330118">
      <w:pPr>
        <w:pStyle w:val="Heading4"/>
        <w:spacing w:line="448" w:lineRule="auto"/>
        <w:ind w:left="3578" w:right="3696" w:hanging="1"/>
        <w:jc w:val="center"/>
        <w:rPr>
          <w:lang w:val="pt-BR"/>
        </w:rPr>
      </w:pPr>
      <w:r w:rsidRPr="00392EAD">
        <w:rPr>
          <w:lang w:val="pt-BR"/>
        </w:rPr>
        <w:t>Daniel da Silva Teixeira Eduardo Soares Ogasawara</w:t>
      </w:r>
    </w:p>
    <w:p w:rsidR="00D81F69" w:rsidRPr="00392EAD" w:rsidRDefault="00330118">
      <w:pPr>
        <w:spacing w:before="2" w:line="448" w:lineRule="auto"/>
        <w:ind w:left="3104" w:right="3223"/>
        <w:jc w:val="center"/>
        <w:rPr>
          <w:sz w:val="24"/>
          <w:lang w:val="pt-BR"/>
        </w:rPr>
      </w:pPr>
      <w:r w:rsidRPr="00392EAD">
        <w:rPr>
          <w:sz w:val="24"/>
          <w:lang w:val="pt-BR"/>
        </w:rPr>
        <w:t>Rodrigo Braga da Rocha Villa Verde Rodrigo Cabral Marques</w:t>
      </w:r>
    </w:p>
    <w:p w:rsidR="00D81F69" w:rsidRDefault="00330118">
      <w:pPr>
        <w:spacing w:before="2"/>
        <w:ind w:left="3258" w:right="3374"/>
        <w:jc w:val="center"/>
        <w:rPr>
          <w:sz w:val="24"/>
        </w:rPr>
      </w:pPr>
      <w:r>
        <w:rPr>
          <w:sz w:val="24"/>
        </w:rPr>
        <w:t>Thor Brandão de Amorim</w:t>
      </w:r>
    </w:p>
    <w:p w:rsidR="00D81F69" w:rsidRDefault="00D81F69">
      <w:pPr>
        <w:pStyle w:val="Corpodetexto"/>
        <w:spacing w:before="1"/>
        <w:ind w:left="0"/>
        <w:jc w:val="left"/>
        <w:rPr>
          <w:sz w:val="21"/>
        </w:rPr>
      </w:pPr>
    </w:p>
    <w:p w:rsidR="00D81F69" w:rsidRDefault="00330118">
      <w:pPr>
        <w:ind w:left="3258" w:right="3376"/>
        <w:jc w:val="center"/>
        <w:rPr>
          <w:b/>
          <w:sz w:val="24"/>
        </w:rPr>
      </w:pPr>
      <w:r>
        <w:rPr>
          <w:b/>
          <w:sz w:val="24"/>
        </w:rPr>
        <w:t>Capa</w:t>
      </w:r>
    </w:p>
    <w:p w:rsidR="00D81F69" w:rsidRDefault="00D81F69">
      <w:pPr>
        <w:pStyle w:val="Corpodetexto"/>
        <w:ind w:left="0"/>
        <w:jc w:val="left"/>
        <w:rPr>
          <w:b/>
          <w:sz w:val="21"/>
        </w:rPr>
      </w:pPr>
    </w:p>
    <w:p w:rsidR="00D81F69" w:rsidRDefault="00330118">
      <w:pPr>
        <w:pStyle w:val="Heading4"/>
        <w:ind w:left="7" w:right="124"/>
        <w:jc w:val="center"/>
      </w:pPr>
      <w:r>
        <w:t>Vera Lúcia do Espírito Santo Souza Ribeiro</w:t>
      </w:r>
    </w:p>
    <w:p w:rsidR="00D81F69" w:rsidRDefault="00D81F69">
      <w:pPr>
        <w:pStyle w:val="Corpodetexto"/>
        <w:ind w:left="0"/>
        <w:jc w:val="left"/>
        <w:rPr>
          <w:sz w:val="26"/>
        </w:rPr>
      </w:pPr>
    </w:p>
    <w:p w:rsidR="00D81F69" w:rsidRDefault="00D81F69">
      <w:pPr>
        <w:pStyle w:val="Corpodetexto"/>
        <w:ind w:left="0"/>
        <w:jc w:val="left"/>
        <w:rPr>
          <w:sz w:val="26"/>
        </w:rPr>
      </w:pPr>
    </w:p>
    <w:p w:rsidR="00D81F69" w:rsidRDefault="00D81F69">
      <w:pPr>
        <w:pStyle w:val="Corpodetexto"/>
        <w:ind w:left="0"/>
        <w:jc w:val="left"/>
        <w:rPr>
          <w:sz w:val="26"/>
        </w:rPr>
      </w:pPr>
    </w:p>
    <w:p w:rsidR="00D81F69" w:rsidRDefault="00D81F69">
      <w:pPr>
        <w:pStyle w:val="Corpodetexto"/>
        <w:ind w:left="0"/>
        <w:jc w:val="left"/>
        <w:rPr>
          <w:sz w:val="33"/>
        </w:rPr>
      </w:pPr>
    </w:p>
    <w:p w:rsidR="00D81F69" w:rsidRDefault="00330118">
      <w:pPr>
        <w:spacing w:before="1" w:line="276" w:lineRule="auto"/>
        <w:ind w:left="2280" w:right="2396"/>
        <w:jc w:val="center"/>
        <w:rPr>
          <w:b/>
          <w:sz w:val="24"/>
        </w:rPr>
      </w:pPr>
      <w:r>
        <w:rPr>
          <w:b/>
          <w:sz w:val="24"/>
        </w:rPr>
        <w:t>O conteúdo deste trabalho é de responsabilidade exclusiva do(s) autor(es).</w:t>
      </w:r>
    </w:p>
    <w:p w:rsidR="00D81F69" w:rsidRDefault="00D81F69">
      <w:pPr>
        <w:pStyle w:val="Corpodetexto"/>
        <w:ind w:left="0"/>
        <w:jc w:val="left"/>
        <w:rPr>
          <w:b/>
          <w:sz w:val="20"/>
        </w:rPr>
      </w:pPr>
    </w:p>
    <w:p w:rsidR="00D81F69" w:rsidRDefault="00D81F69">
      <w:pPr>
        <w:pStyle w:val="Corpodetexto"/>
        <w:ind w:left="0"/>
        <w:jc w:val="left"/>
        <w:rPr>
          <w:b/>
          <w:sz w:val="20"/>
        </w:rPr>
      </w:pPr>
    </w:p>
    <w:p w:rsidR="00D81F69" w:rsidRDefault="00D81F69">
      <w:pPr>
        <w:pStyle w:val="Corpodetexto"/>
        <w:ind w:left="0"/>
        <w:jc w:val="left"/>
        <w:rPr>
          <w:b/>
          <w:sz w:val="20"/>
        </w:rPr>
      </w:pPr>
    </w:p>
    <w:p w:rsidR="00D81F69" w:rsidRDefault="00D81F69">
      <w:pPr>
        <w:pStyle w:val="Corpodetexto"/>
        <w:ind w:left="0"/>
        <w:jc w:val="left"/>
        <w:rPr>
          <w:b/>
          <w:sz w:val="20"/>
        </w:rPr>
      </w:pPr>
    </w:p>
    <w:p w:rsidR="00D81F69" w:rsidRDefault="00D81F69">
      <w:pPr>
        <w:pStyle w:val="Corpodetexto"/>
        <w:spacing w:before="7"/>
        <w:ind w:left="0"/>
        <w:jc w:val="left"/>
        <w:rPr>
          <w:b/>
          <w:sz w:val="23"/>
        </w:rPr>
      </w:pPr>
      <w:r w:rsidRPr="00D81F69">
        <w:pict>
          <v:group id="_x0000_s1115" style="position:absolute;margin-left:111.1pt;margin-top:15.75pt;width:362.95pt;height:165.45pt;z-index:3976;mso-wrap-distance-left:0;mso-wrap-distance-right:0;mso-position-horizontal-relative:page" coordorigin="2222,315" coordsize="7259,3309">
            <v:line id="_x0000_s1122" style="position:absolute" from="2222,320" to="9481,320" strokeweight=".48pt"/>
            <v:line id="_x0000_s1121" style="position:absolute" from="2227,315" to="2227,3624" strokeweight=".48pt"/>
            <v:line id="_x0000_s1120" style="position:absolute" from="2222,3619" to="9472,3619" strokeweight=".48pt"/>
            <v:line id="_x0000_s1119" style="position:absolute" from="9476,315" to="9476,3624" strokeweight=".48pt"/>
            <v:shape id="_x0000_s1118" type="#_x0000_t202" style="position:absolute;left:7202;top:3384;width:1011;height:224" filled="f" stroked="f">
              <v:textbox inset="0,0,0,0">
                <w:txbxContent>
                  <w:p w:rsidR="00D81F69" w:rsidRDefault="00330118">
                    <w:pPr>
                      <w:spacing w:line="224" w:lineRule="exact"/>
                      <w:rPr>
                        <w:sz w:val="20"/>
                      </w:rPr>
                    </w:pPr>
                    <w:r>
                      <w:rPr>
                        <w:b/>
                        <w:sz w:val="20"/>
                      </w:rPr>
                      <w:t xml:space="preserve">CDD </w:t>
                    </w:r>
                    <w:r>
                      <w:rPr>
                        <w:sz w:val="20"/>
                      </w:rPr>
                      <w:t>622.4</w:t>
                    </w:r>
                  </w:p>
                </w:txbxContent>
              </v:textbox>
            </v:shape>
            <v:shape id="_x0000_s1117" type="#_x0000_t202" style="position:absolute;left:2902;top:3367;width:2318;height:246" filled="f" stroked="f">
              <v:textbox inset="0,0,0,0">
                <w:txbxContent>
                  <w:p w:rsidR="00D81F69" w:rsidRDefault="00330118">
                    <w:pPr>
                      <w:spacing w:line="245" w:lineRule="exact"/>
                      <w:rPr>
                        <w:sz w:val="20"/>
                      </w:rPr>
                    </w:pPr>
                    <w:r>
                      <w:rPr>
                        <w:b/>
                      </w:rPr>
                      <w:t xml:space="preserve">ISBN </w:t>
                    </w:r>
                    <w:r>
                      <w:rPr>
                        <w:sz w:val="20"/>
                      </w:rPr>
                      <w:t>978-85-8261-003-9</w:t>
                    </w:r>
                  </w:p>
                </w:txbxContent>
              </v:textbox>
            </v:shape>
            <v:shape id="_x0000_s1116" type="#_x0000_t202" style="position:absolute;left:2335;top:330;width:7056;height:2775" filled="f" stroked="f">
              <v:textbox inset="0,0,0,0">
                <w:txbxContent>
                  <w:p w:rsidR="00D81F69" w:rsidRDefault="00330118">
                    <w:pPr>
                      <w:ind w:right="18" w:firstLine="567"/>
                      <w:jc w:val="both"/>
                    </w:pPr>
                    <w:r>
                      <w:t>Recursos minerais e comunidade: impactos humanos, socioambientais e econômicos / Francisco Rego Chaves Fernandes, Renata de Carvalho Jimenez Alamino, Eliane Araujo (Eds.). - Rio de Janeiro: CETEM/MCTI, 2014.</w:t>
                    </w:r>
                  </w:p>
                  <w:p w:rsidR="00D81F69" w:rsidRDefault="00D81F69">
                    <w:pPr>
                      <w:spacing w:before="3"/>
                      <w:rPr>
                        <w:b/>
                        <w:sz w:val="21"/>
                      </w:rPr>
                    </w:pPr>
                  </w:p>
                  <w:p w:rsidR="00D81F69" w:rsidRDefault="00330118">
                    <w:pPr>
                      <w:ind w:left="567"/>
                    </w:pPr>
                    <w:r>
                      <w:t>392p. : il.</w:t>
                    </w:r>
                  </w:p>
                  <w:p w:rsidR="00D81F69" w:rsidRDefault="00D81F69">
                    <w:pPr>
                      <w:spacing w:before="1"/>
                      <w:rPr>
                        <w:b/>
                      </w:rPr>
                    </w:pPr>
                  </w:p>
                  <w:p w:rsidR="00D81F69" w:rsidRDefault="00330118">
                    <w:pPr>
                      <w:ind w:right="18" w:firstLine="567"/>
                      <w:jc w:val="both"/>
                    </w:pPr>
                    <w:r>
                      <w:t>1. Recursos Minerais. 2. Comunidad</w:t>
                    </w:r>
                    <w:r>
                      <w:t>e. 3. Impactos. I. Centro de Tecnologia Mineral. II. Fernandes, Francisco Rego Chaves (Ed.). III. Alamino, Renata de Carvalho Jimenez (Ed.). IV. Araujo, Eliane Rocha (Ed.)</w:t>
                    </w:r>
                  </w:p>
                </w:txbxContent>
              </v:textbox>
            </v:shape>
            <w10:wrap type="topAndBottom" anchorx="page"/>
          </v:group>
        </w:pict>
      </w:r>
    </w:p>
    <w:p w:rsidR="00D81F69" w:rsidRDefault="00D81F69">
      <w:pPr>
        <w:rPr>
          <w:sz w:val="23"/>
        </w:rPr>
        <w:sectPr w:rsidR="00D81F69">
          <w:pgSz w:w="11910" w:h="16840"/>
          <w:pgMar w:top="1340" w:right="738" w:bottom="280" w:left="860" w:header="720" w:footer="720" w:gutter="0"/>
          <w:cols w:space="720"/>
        </w:sectPr>
      </w:pPr>
    </w:p>
    <w:p w:rsidR="00D81F69" w:rsidRDefault="00D81F69">
      <w:pPr>
        <w:pStyle w:val="Heading2"/>
      </w:pPr>
      <w:r w:rsidRPr="00D81F69">
        <w:lastRenderedPageBreak/>
        <w:pict>
          <v:line id="_x0000_s1114" style="position:absolute;left:0;text-align:left;z-index:4000;mso-wrap-distance-left:0;mso-wrap-distance-right:0;mso-position-horizontal-relative:page" from="83.65pt,24.25pt" to="511.7pt,24.25pt" strokeweight="1.44pt">
            <w10:wrap type="topAndBottom" anchorx="page"/>
          </v:line>
        </w:pict>
      </w:r>
      <w:r w:rsidR="00330118">
        <w:t>Apresentação</w:t>
      </w:r>
    </w:p>
    <w:p w:rsidR="00D81F69" w:rsidRDefault="00D81F69">
      <w:pPr>
        <w:pStyle w:val="Corpodetexto"/>
        <w:ind w:left="0"/>
        <w:jc w:val="left"/>
        <w:rPr>
          <w:b/>
          <w:sz w:val="20"/>
        </w:rPr>
      </w:pPr>
    </w:p>
    <w:p w:rsidR="00D81F69" w:rsidRDefault="00D81F69">
      <w:pPr>
        <w:pStyle w:val="Corpodetexto"/>
        <w:ind w:left="0"/>
        <w:jc w:val="left"/>
        <w:rPr>
          <w:b/>
          <w:sz w:val="20"/>
        </w:rPr>
      </w:pPr>
    </w:p>
    <w:p w:rsidR="00D81F69" w:rsidRDefault="00D81F69">
      <w:pPr>
        <w:pStyle w:val="Corpodetexto"/>
        <w:ind w:left="0"/>
        <w:jc w:val="left"/>
        <w:rPr>
          <w:b/>
          <w:sz w:val="16"/>
        </w:rPr>
      </w:pPr>
    </w:p>
    <w:p w:rsidR="00D81F69" w:rsidRDefault="00330118">
      <w:pPr>
        <w:pStyle w:val="Heading4"/>
        <w:spacing w:before="92" w:line="360" w:lineRule="auto"/>
        <w:ind w:left="841" w:right="956"/>
      </w:pPr>
      <w:r>
        <w:t>A publicação deste livro decorre da continuação do projeto “Recursos Minerais e Territórios”, iniciado em 2010, patrocinado pela Secretaria de Geologia e Mineração e Transformação Mineral (SGM) do Ministério de Minas e Energia (MME), e com diversos resulta</w:t>
      </w:r>
      <w:r>
        <w:t xml:space="preserve">dos destacados. Entre eles, o livro </w:t>
      </w:r>
      <w:r>
        <w:rPr>
          <w:i/>
        </w:rPr>
        <w:t>Grandes Minas e APL´s</w:t>
      </w:r>
      <w:r>
        <w:t>, em que quinze estudos de caso foram apresentados, destacando-se as atividades minerais das grandes mineradoras e dos Arranjos Produtivos</w:t>
      </w:r>
      <w:r>
        <w:rPr>
          <w:spacing w:val="-1"/>
        </w:rPr>
        <w:t xml:space="preserve"> </w:t>
      </w:r>
      <w:r>
        <w:t>Locais.</w:t>
      </w:r>
    </w:p>
    <w:p w:rsidR="00D81F69" w:rsidRDefault="00D81F69">
      <w:pPr>
        <w:pStyle w:val="Corpodetexto"/>
        <w:ind w:left="0"/>
        <w:jc w:val="left"/>
        <w:rPr>
          <w:sz w:val="36"/>
        </w:rPr>
      </w:pPr>
    </w:p>
    <w:p w:rsidR="00D81F69" w:rsidRDefault="00330118">
      <w:pPr>
        <w:spacing w:before="1" w:line="360" w:lineRule="auto"/>
        <w:ind w:left="841" w:right="957"/>
        <w:jc w:val="both"/>
        <w:rPr>
          <w:sz w:val="24"/>
        </w:rPr>
      </w:pPr>
      <w:r>
        <w:rPr>
          <w:sz w:val="24"/>
        </w:rPr>
        <w:t>Agora, trata-se de um ampliado trabalho com estudos</w:t>
      </w:r>
      <w:r>
        <w:rPr>
          <w:sz w:val="24"/>
        </w:rPr>
        <w:t xml:space="preserve"> de caso de mais de cem localizações no território brasileiro de atividades minerais. Além do texto objetivo sobre cada caso, artigos sintéticos e prospectivos iniciam o livro e em cada grande região do</w:t>
      </w:r>
      <w:r>
        <w:rPr>
          <w:spacing w:val="-1"/>
          <w:sz w:val="24"/>
        </w:rPr>
        <w:t xml:space="preserve"> </w:t>
      </w:r>
      <w:r>
        <w:rPr>
          <w:sz w:val="24"/>
        </w:rPr>
        <w:t>Brasil.</w:t>
      </w:r>
    </w:p>
    <w:p w:rsidR="00D81F69" w:rsidRDefault="00D81F69">
      <w:pPr>
        <w:pStyle w:val="Corpodetexto"/>
        <w:spacing w:before="1"/>
        <w:ind w:left="0"/>
        <w:jc w:val="left"/>
        <w:rPr>
          <w:sz w:val="36"/>
        </w:rPr>
      </w:pPr>
    </w:p>
    <w:p w:rsidR="00D81F69" w:rsidRDefault="00330118">
      <w:pPr>
        <w:ind w:left="6140"/>
        <w:rPr>
          <w:sz w:val="24"/>
        </w:rPr>
      </w:pPr>
      <w:r>
        <w:rPr>
          <w:sz w:val="24"/>
        </w:rPr>
        <w:t>Rio de Janeiro, maio de 2014.</w:t>
      </w:r>
    </w:p>
    <w:p w:rsidR="00D81F69" w:rsidRDefault="00D81F69">
      <w:pPr>
        <w:pStyle w:val="Corpodetexto"/>
        <w:ind w:left="0"/>
        <w:jc w:val="left"/>
        <w:rPr>
          <w:sz w:val="26"/>
        </w:rPr>
      </w:pPr>
    </w:p>
    <w:p w:rsidR="00D81F69" w:rsidRDefault="00D81F69">
      <w:pPr>
        <w:pStyle w:val="Corpodetexto"/>
        <w:spacing w:before="11"/>
        <w:ind w:left="0"/>
        <w:jc w:val="left"/>
        <w:rPr>
          <w:sz w:val="24"/>
        </w:rPr>
      </w:pPr>
    </w:p>
    <w:p w:rsidR="00D81F69" w:rsidRDefault="00330118">
      <w:pPr>
        <w:ind w:left="6495"/>
        <w:rPr>
          <w:sz w:val="26"/>
        </w:rPr>
      </w:pPr>
      <w:r>
        <w:rPr>
          <w:sz w:val="26"/>
        </w:rPr>
        <w:t xml:space="preserve">Fernando A. </w:t>
      </w:r>
      <w:r>
        <w:rPr>
          <w:sz w:val="26"/>
        </w:rPr>
        <w:t>Freitas Lins</w:t>
      </w:r>
    </w:p>
    <w:p w:rsidR="00D81F69" w:rsidRDefault="00330118">
      <w:pPr>
        <w:pStyle w:val="Heading5"/>
        <w:spacing w:before="149"/>
        <w:ind w:left="5430" w:right="0"/>
        <w:jc w:val="left"/>
      </w:pPr>
      <w:r>
        <w:t>Diretor do Centro de Tecnologia Mineral</w:t>
      </w:r>
    </w:p>
    <w:p w:rsidR="00D81F69" w:rsidRDefault="00D81F69">
      <w:pPr>
        <w:sectPr w:rsidR="00D81F69">
          <w:footerReference w:type="default" r:id="rId9"/>
          <w:pgSz w:w="11910" w:h="16840"/>
          <w:pgMar w:top="1320" w:right="740" w:bottom="1120" w:left="860" w:header="0" w:footer="926" w:gutter="0"/>
          <w:pgNumType w:start="1"/>
          <w:cols w:space="720"/>
        </w:sectPr>
      </w:pPr>
    </w:p>
    <w:p w:rsidR="00D81F69" w:rsidRDefault="00D81F69">
      <w:pPr>
        <w:pStyle w:val="Corpodetexto"/>
        <w:spacing w:before="4"/>
        <w:ind w:left="0"/>
        <w:jc w:val="left"/>
        <w:rPr>
          <w:rFonts w:ascii="Times New Roman"/>
          <w:sz w:val="17"/>
        </w:rPr>
      </w:pPr>
    </w:p>
    <w:p w:rsidR="00D81F69" w:rsidRDefault="00D81F69">
      <w:pPr>
        <w:rPr>
          <w:rFonts w:ascii="Times New Roman"/>
          <w:sz w:val="17"/>
        </w:rPr>
        <w:sectPr w:rsidR="00D81F69">
          <w:pgSz w:w="11910" w:h="16840"/>
          <w:pgMar w:top="1580" w:right="740" w:bottom="1120" w:left="860" w:header="0" w:footer="926" w:gutter="0"/>
          <w:cols w:space="720"/>
        </w:sectPr>
      </w:pPr>
    </w:p>
    <w:p w:rsidR="00D81F69" w:rsidRDefault="00D81F69">
      <w:pPr>
        <w:spacing w:before="76"/>
        <w:ind w:left="841"/>
        <w:rPr>
          <w:b/>
          <w:sz w:val="28"/>
        </w:rPr>
      </w:pPr>
      <w:r w:rsidRPr="00D81F69">
        <w:lastRenderedPageBreak/>
        <w:pict>
          <v:line id="_x0000_s1113" style="position:absolute;left:0;text-align:left;z-index:4024;mso-wrap-distance-left:0;mso-wrap-distance-right:0;mso-position-horizontal-relative:page" from="83.65pt,24.25pt" to="511.7pt,24.25pt" strokeweight="1.44pt">
            <w10:wrap type="topAndBottom" anchorx="page"/>
          </v:line>
        </w:pict>
      </w:r>
      <w:r w:rsidR="00330118">
        <w:rPr>
          <w:b/>
          <w:sz w:val="28"/>
        </w:rPr>
        <w:t>Prefácio</w:t>
      </w:r>
    </w:p>
    <w:p w:rsidR="00D81F69" w:rsidRDefault="00D81F69">
      <w:pPr>
        <w:pStyle w:val="Corpodetexto"/>
        <w:ind w:left="0"/>
        <w:jc w:val="left"/>
        <w:rPr>
          <w:b/>
          <w:sz w:val="20"/>
        </w:rPr>
      </w:pPr>
    </w:p>
    <w:p w:rsidR="00D81F69" w:rsidRDefault="00D81F69">
      <w:pPr>
        <w:pStyle w:val="Corpodetexto"/>
        <w:spacing w:before="5"/>
        <w:ind w:left="0"/>
        <w:jc w:val="left"/>
        <w:rPr>
          <w:b/>
          <w:sz w:val="21"/>
        </w:rPr>
      </w:pPr>
    </w:p>
    <w:p w:rsidR="00D81F69" w:rsidRDefault="00330118">
      <w:pPr>
        <w:spacing w:before="1" w:line="276" w:lineRule="auto"/>
        <w:ind w:left="841" w:right="957"/>
        <w:jc w:val="both"/>
        <w:rPr>
          <w:sz w:val="24"/>
        </w:rPr>
      </w:pPr>
      <w:r>
        <w:rPr>
          <w:sz w:val="24"/>
        </w:rPr>
        <w:t>Os verbetes apresentados neste livro foram redigidos, ao longo de três anos, por uma equipe redacional cujo objetivo foi dar visibilidade aos impactos de diversas naturezas — humanos, socioambientais, econômicos — gerados pela atividade mineral nas comunid</w:t>
      </w:r>
      <w:r>
        <w:rPr>
          <w:sz w:val="24"/>
        </w:rPr>
        <w:t>ades locais ao longo de todo território nacional. Cada redação é embasada pela compilação de uma série de registros ligados à mineração no país.</w:t>
      </w:r>
    </w:p>
    <w:p w:rsidR="00D81F69" w:rsidRDefault="00330118">
      <w:pPr>
        <w:spacing w:before="198" w:line="276" w:lineRule="auto"/>
        <w:ind w:left="841" w:right="956"/>
        <w:jc w:val="both"/>
        <w:rPr>
          <w:sz w:val="24"/>
        </w:rPr>
      </w:pPr>
      <w:r>
        <w:rPr>
          <w:sz w:val="24"/>
        </w:rPr>
        <w:t>Os temas foram selecionados a partir de sua relevância em documentos disponibilizados publicamente na internet,</w:t>
      </w:r>
      <w:r>
        <w:rPr>
          <w:sz w:val="24"/>
        </w:rPr>
        <w:t xml:space="preserve"> nas bibliotecas físicas das universidades e instituições de pesquisa, e em meios impressos (teses, dissertações, relatórios acadêmicos e/ou técnicos, artigos em periódicos e congressos, notícias e reportagens, e materiais presentes em ações do Ministério </w:t>
      </w:r>
      <w:r>
        <w:rPr>
          <w:sz w:val="24"/>
        </w:rPr>
        <w:t>Público ou da Justiça, pela ação de fiscalização e de enquadramento legal da extração mineral, que representam demandas relacionadas às populações).</w:t>
      </w:r>
    </w:p>
    <w:p w:rsidR="00D81F69" w:rsidRDefault="00330118">
      <w:pPr>
        <w:spacing w:before="202" w:line="276" w:lineRule="auto"/>
        <w:ind w:left="841" w:right="957"/>
        <w:jc w:val="both"/>
        <w:rPr>
          <w:sz w:val="24"/>
        </w:rPr>
      </w:pPr>
      <w:r>
        <w:rPr>
          <w:sz w:val="24"/>
        </w:rPr>
        <w:t>Foram selecionados, de início, os temas pertinentes à mineração nos meios acima citados. Posteriormente, um</w:t>
      </w:r>
      <w:r>
        <w:rPr>
          <w:sz w:val="24"/>
        </w:rPr>
        <w:t>a equipe (Quadro1) liderada pela jornalista Eliane Rocha Araujo procedeu à pesquisa bibliográfica e à redação dos verbetes que compõem a obra.</w:t>
      </w:r>
    </w:p>
    <w:p w:rsidR="00D81F69" w:rsidRDefault="00330118">
      <w:pPr>
        <w:spacing w:before="199" w:line="276" w:lineRule="auto"/>
        <w:ind w:left="841" w:right="956"/>
        <w:jc w:val="both"/>
        <w:rPr>
          <w:sz w:val="24"/>
        </w:rPr>
      </w:pPr>
      <w:r>
        <w:rPr>
          <w:sz w:val="24"/>
        </w:rPr>
        <w:t>Alinhavados os verbetes, foram levantadas a localização geográfica dos municípios envolvidos com dados de latitud</w:t>
      </w:r>
      <w:r>
        <w:rPr>
          <w:sz w:val="24"/>
        </w:rPr>
        <w:t>e e longitude, suas respectivas bacias hidrográficas e rios imediatos, ou dos impactos (positivos e/ou negativos) relacionados às atividades</w:t>
      </w:r>
      <w:r>
        <w:rPr>
          <w:spacing w:val="-5"/>
          <w:sz w:val="24"/>
        </w:rPr>
        <w:t xml:space="preserve"> </w:t>
      </w:r>
      <w:r>
        <w:rPr>
          <w:sz w:val="24"/>
        </w:rPr>
        <w:t>minerais.</w:t>
      </w:r>
    </w:p>
    <w:p w:rsidR="00D81F69" w:rsidRDefault="00330118">
      <w:pPr>
        <w:spacing w:before="199" w:line="276" w:lineRule="auto"/>
        <w:ind w:left="841" w:right="956"/>
        <w:jc w:val="both"/>
        <w:rPr>
          <w:sz w:val="24"/>
        </w:rPr>
      </w:pPr>
      <w:r w:rsidRPr="00392EAD">
        <w:rPr>
          <w:sz w:val="24"/>
          <w:lang w:val="pt-BR"/>
        </w:rPr>
        <w:t>Ao passo em que os verbetes foram sendo redigidos, a equipe de pesquisa do CETEM realizou as revisões técnicas, sob a coordenação dos pesquisadores Francisco Rego Chaves Fernandes e Renata de Carvalho Jimenez Alamino. Além disso, também foram submetidos ao</w:t>
      </w:r>
      <w:r w:rsidRPr="00392EAD">
        <w:rPr>
          <w:sz w:val="24"/>
          <w:lang w:val="pt-BR"/>
        </w:rPr>
        <w:t xml:space="preserve"> crivo de um Comitê Editorial de Validação (Quadro 2). </w:t>
      </w:r>
      <w:r>
        <w:rPr>
          <w:sz w:val="24"/>
        </w:rPr>
        <w:t>Este Comitê, composto por duas dezenas de pesquisadores de diversas instituições e áreas do conhecimento, teve o intuito de dar maior credibilidade ao projeto, demonstrando rigor no texto final disponi</w:t>
      </w:r>
      <w:r>
        <w:rPr>
          <w:sz w:val="24"/>
        </w:rPr>
        <w:t>bilizado ao público.</w:t>
      </w:r>
    </w:p>
    <w:p w:rsidR="00D81F69" w:rsidRDefault="00330118">
      <w:pPr>
        <w:spacing w:before="200" w:line="276" w:lineRule="auto"/>
        <w:ind w:left="841" w:right="957"/>
        <w:jc w:val="both"/>
        <w:rPr>
          <w:sz w:val="24"/>
        </w:rPr>
      </w:pPr>
      <w:r>
        <w:rPr>
          <w:sz w:val="24"/>
        </w:rPr>
        <w:t>Cabe ainda um agradecimento muito especial às pesquisadoras do CETEM, Sílvia Gonçalves Egler e Sílvia Cristina Alves França que, denodadamente, reviram um enorme conjunto de verbetes, dando um valioso retorno com as suas observações ao</w:t>
      </w:r>
      <w:r>
        <w:rPr>
          <w:sz w:val="24"/>
        </w:rPr>
        <w:t xml:space="preserve"> longo de todo o processo de criação e elaboração.</w:t>
      </w:r>
    </w:p>
    <w:p w:rsidR="00D81F69" w:rsidRDefault="00330118">
      <w:pPr>
        <w:spacing w:before="201" w:line="276" w:lineRule="auto"/>
        <w:ind w:left="841" w:right="957"/>
        <w:jc w:val="both"/>
        <w:rPr>
          <w:sz w:val="24"/>
        </w:rPr>
      </w:pPr>
      <w:r>
        <w:rPr>
          <w:sz w:val="24"/>
        </w:rPr>
        <w:t>Após a finalização da etapa de redação e revisão, foi feita uma análise semiquantitativa nos verbetes, de forma que todos pudessem ser classificados de acordo com critérios preestabelecidos, tais como: fas</w:t>
      </w:r>
      <w:r>
        <w:rPr>
          <w:sz w:val="24"/>
        </w:rPr>
        <w:t>e, tipo, tempo de funcionamento e abrangência do empreendimento; população envolvida;</w:t>
      </w:r>
    </w:p>
    <w:p w:rsidR="00D81F69" w:rsidRDefault="00D81F69">
      <w:pPr>
        <w:spacing w:line="276" w:lineRule="auto"/>
        <w:jc w:val="both"/>
        <w:rPr>
          <w:sz w:val="24"/>
        </w:rPr>
        <w:sectPr w:rsidR="00D81F69">
          <w:footerReference w:type="default" r:id="rId10"/>
          <w:pgSz w:w="11910" w:h="16840"/>
          <w:pgMar w:top="1320" w:right="740" w:bottom="1180" w:left="860" w:header="0" w:footer="996" w:gutter="0"/>
          <w:pgNumType w:start="3"/>
          <w:cols w:space="720"/>
        </w:sectPr>
      </w:pPr>
    </w:p>
    <w:p w:rsidR="00D81F69" w:rsidRPr="00392EAD" w:rsidRDefault="00330118">
      <w:pPr>
        <w:spacing w:before="75" w:line="278" w:lineRule="auto"/>
        <w:ind w:left="841" w:right="956"/>
        <w:jc w:val="both"/>
        <w:rPr>
          <w:sz w:val="24"/>
          <w:lang w:val="pt-BR"/>
        </w:rPr>
      </w:pPr>
      <w:r w:rsidRPr="00392EAD">
        <w:rPr>
          <w:sz w:val="24"/>
          <w:lang w:val="pt-BR"/>
        </w:rPr>
        <w:lastRenderedPageBreak/>
        <w:t>número de habitantes do município-sede; impactos socioeconômicos; impactos ambientais; problemas de contaminação; e in</w:t>
      </w:r>
      <w:r w:rsidRPr="00392EAD">
        <w:rPr>
          <w:sz w:val="24"/>
          <w:lang w:val="pt-BR"/>
        </w:rPr>
        <w:t>terferência do Ministério Público.</w:t>
      </w:r>
    </w:p>
    <w:p w:rsidR="00D81F69" w:rsidRPr="00392EAD" w:rsidRDefault="00330118">
      <w:pPr>
        <w:spacing w:before="195" w:line="276" w:lineRule="auto"/>
        <w:ind w:left="841" w:right="956"/>
        <w:jc w:val="both"/>
        <w:rPr>
          <w:sz w:val="24"/>
          <w:lang w:val="pt-BR"/>
        </w:rPr>
      </w:pPr>
      <w:r w:rsidRPr="00392EAD">
        <w:rPr>
          <w:sz w:val="24"/>
          <w:lang w:val="pt-BR"/>
        </w:rPr>
        <w:t>Dessa forma, o livro “Recursos Minerais e Comunidade: Impactos Humanos, Socioambientais e Econômicos” torna-se um importante instrumento de divulgação, destacando também as práticas da mineração nos territórios onde vivem</w:t>
      </w:r>
      <w:r w:rsidRPr="00392EAD">
        <w:rPr>
          <w:sz w:val="24"/>
          <w:lang w:val="pt-BR"/>
        </w:rPr>
        <w:t xml:space="preserve"> as comunidades. Com toda essa visibilidade e transparência, pretende- se sensibilizar a população e, com isso, auxiliar na construção de práticas salutares de sustentabilidade.</w:t>
      </w:r>
    </w:p>
    <w:p w:rsidR="00D81F69" w:rsidRPr="00392EAD" w:rsidRDefault="00330118">
      <w:pPr>
        <w:spacing w:before="201" w:line="276" w:lineRule="auto"/>
        <w:ind w:left="841" w:right="956"/>
        <w:jc w:val="both"/>
        <w:rPr>
          <w:sz w:val="24"/>
          <w:lang w:val="pt-BR"/>
        </w:rPr>
      </w:pPr>
      <w:r w:rsidRPr="00392EAD">
        <w:rPr>
          <w:sz w:val="24"/>
          <w:lang w:val="pt-BR"/>
        </w:rPr>
        <w:t>Nesta edição do livro, antecede aos 105 estudos de caso uma apresentação compo</w:t>
      </w:r>
      <w:r w:rsidRPr="00392EAD">
        <w:rPr>
          <w:sz w:val="24"/>
          <w:lang w:val="pt-BR"/>
        </w:rPr>
        <w:t xml:space="preserve">sta de seis artigos de síntese e de reflexão. O primeiro aborda os resultados para o Brasil, seguindo-se outros cinco textos tendo, cada um, considerações sobre uma grande Região brasileira: Norte, Nordeste, Centro- Oeste, Sudeste e Sul (com destaque para </w:t>
      </w:r>
      <w:r w:rsidRPr="00392EAD">
        <w:rPr>
          <w:sz w:val="24"/>
          <w:lang w:val="pt-BR"/>
        </w:rPr>
        <w:t>os grandes estados produtores como Pará, Bahia, Goiás, Minas Gerais e Rio Grande do Sul).</w:t>
      </w:r>
    </w:p>
    <w:p w:rsidR="00D81F69" w:rsidRPr="00392EAD" w:rsidRDefault="00330118">
      <w:pPr>
        <w:spacing w:before="200" w:line="276" w:lineRule="auto"/>
        <w:ind w:left="841" w:right="956"/>
        <w:jc w:val="both"/>
        <w:rPr>
          <w:sz w:val="24"/>
          <w:lang w:val="pt-BR"/>
        </w:rPr>
      </w:pPr>
      <w:r w:rsidRPr="00392EAD">
        <w:rPr>
          <w:sz w:val="24"/>
          <w:lang w:val="pt-BR"/>
        </w:rPr>
        <w:t xml:space="preserve">Os verbetes foram também organizados em um banco de dados na internet. O professor Eduardo Ogasawara desenvolveu, com a colaboração de bolsistas  de iniciação científica, um sistema capaz de suportar o banco de dados. Este sistema utiliza métodos modernos </w:t>
      </w:r>
      <w:r w:rsidRPr="00392EAD">
        <w:rPr>
          <w:sz w:val="24"/>
          <w:lang w:val="pt-BR"/>
        </w:rPr>
        <w:t xml:space="preserve">de pesquisa por meio do programa Google Maps. Oferece ainda a possibilidade de busca dos verbetes por meio de palavras-chave, Unidade de Federação e/ou localização territorial. O </w:t>
      </w:r>
      <w:r w:rsidRPr="00392EAD">
        <w:rPr>
          <w:i/>
          <w:sz w:val="24"/>
          <w:lang w:val="pt-BR"/>
        </w:rPr>
        <w:t xml:space="preserve">hotsite </w:t>
      </w:r>
      <w:r w:rsidRPr="00392EAD">
        <w:rPr>
          <w:sz w:val="24"/>
          <w:lang w:val="pt-BR"/>
        </w:rPr>
        <w:t>do projeto</w:t>
      </w:r>
      <w:r w:rsidRPr="00392EAD">
        <w:rPr>
          <w:spacing w:val="16"/>
          <w:sz w:val="24"/>
          <w:lang w:val="pt-BR"/>
        </w:rPr>
        <w:t xml:space="preserve"> </w:t>
      </w:r>
      <w:r w:rsidRPr="00392EAD">
        <w:rPr>
          <w:sz w:val="24"/>
          <w:lang w:val="pt-BR"/>
        </w:rPr>
        <w:t>encontra-se</w:t>
      </w:r>
      <w:r w:rsidRPr="00392EAD">
        <w:rPr>
          <w:spacing w:val="18"/>
          <w:sz w:val="24"/>
          <w:lang w:val="pt-BR"/>
        </w:rPr>
        <w:t xml:space="preserve"> </w:t>
      </w:r>
      <w:r w:rsidRPr="00392EAD">
        <w:rPr>
          <w:sz w:val="24"/>
          <w:lang w:val="pt-BR"/>
        </w:rPr>
        <w:t>no</w:t>
      </w:r>
      <w:r w:rsidRPr="00392EAD">
        <w:rPr>
          <w:spacing w:val="16"/>
          <w:sz w:val="24"/>
          <w:lang w:val="pt-BR"/>
        </w:rPr>
        <w:t xml:space="preserve"> </w:t>
      </w:r>
      <w:r w:rsidRPr="00392EAD">
        <w:rPr>
          <w:i/>
          <w:sz w:val="24"/>
          <w:lang w:val="pt-BR"/>
        </w:rPr>
        <w:t>site</w:t>
      </w:r>
      <w:r w:rsidRPr="00392EAD">
        <w:rPr>
          <w:i/>
          <w:spacing w:val="16"/>
          <w:sz w:val="24"/>
          <w:lang w:val="pt-BR"/>
        </w:rPr>
        <w:t xml:space="preserve"> </w:t>
      </w:r>
      <w:r w:rsidRPr="00392EAD">
        <w:rPr>
          <w:sz w:val="24"/>
          <w:lang w:val="pt-BR"/>
        </w:rPr>
        <w:t>do</w:t>
      </w:r>
      <w:r w:rsidRPr="00392EAD">
        <w:rPr>
          <w:spacing w:val="18"/>
          <w:sz w:val="24"/>
          <w:lang w:val="pt-BR"/>
        </w:rPr>
        <w:t xml:space="preserve"> </w:t>
      </w:r>
      <w:r w:rsidRPr="00392EAD">
        <w:rPr>
          <w:sz w:val="24"/>
          <w:lang w:val="pt-BR"/>
        </w:rPr>
        <w:t>CETEM,</w:t>
      </w:r>
      <w:r w:rsidRPr="00392EAD">
        <w:rPr>
          <w:spacing w:val="15"/>
          <w:sz w:val="24"/>
          <w:lang w:val="pt-BR"/>
        </w:rPr>
        <w:t xml:space="preserve"> </w:t>
      </w:r>
      <w:r w:rsidRPr="00392EAD">
        <w:rPr>
          <w:sz w:val="24"/>
          <w:lang w:val="pt-BR"/>
        </w:rPr>
        <w:t>no</w:t>
      </w:r>
      <w:r w:rsidRPr="00392EAD">
        <w:rPr>
          <w:spacing w:val="16"/>
          <w:sz w:val="24"/>
          <w:lang w:val="pt-BR"/>
        </w:rPr>
        <w:t xml:space="preserve"> </w:t>
      </w:r>
      <w:r w:rsidRPr="00392EAD">
        <w:rPr>
          <w:sz w:val="24"/>
          <w:lang w:val="pt-BR"/>
        </w:rPr>
        <w:t>endereço</w:t>
      </w:r>
    </w:p>
    <w:p w:rsidR="00D81F69" w:rsidRPr="00392EAD" w:rsidRDefault="00330118">
      <w:pPr>
        <w:spacing w:line="274" w:lineRule="exact"/>
        <w:ind w:left="841"/>
        <w:jc w:val="both"/>
        <w:rPr>
          <w:sz w:val="24"/>
          <w:lang w:val="pt-BR"/>
        </w:rPr>
      </w:pPr>
      <w:r w:rsidRPr="00392EAD">
        <w:rPr>
          <w:sz w:val="24"/>
          <w:lang w:val="pt-BR"/>
        </w:rPr>
        <w:t>&lt;</w:t>
      </w:r>
      <w:hyperlink r:id="rId11">
        <w:r w:rsidRPr="00392EAD">
          <w:rPr>
            <w:sz w:val="24"/>
            <w:lang w:val="pt-BR"/>
          </w:rPr>
          <w:t>http://www.cetem.gov.br/&gt;</w:t>
        </w:r>
      </w:hyperlink>
      <w:r w:rsidRPr="00392EAD">
        <w:rPr>
          <w:sz w:val="24"/>
          <w:lang w:val="pt-BR"/>
        </w:rPr>
        <w:t>.</w:t>
      </w:r>
    </w:p>
    <w:p w:rsidR="00D81F69" w:rsidRPr="00392EAD" w:rsidRDefault="00D81F69">
      <w:pPr>
        <w:pStyle w:val="Corpodetexto"/>
        <w:spacing w:before="10"/>
        <w:ind w:left="0"/>
        <w:jc w:val="left"/>
        <w:rPr>
          <w:sz w:val="12"/>
          <w:lang w:val="pt-BR"/>
        </w:rPr>
      </w:pPr>
    </w:p>
    <w:p w:rsidR="00D81F69" w:rsidRPr="00392EAD" w:rsidRDefault="00330118">
      <w:pPr>
        <w:spacing w:before="92" w:line="415" w:lineRule="auto"/>
        <w:ind w:left="5236" w:right="1025"/>
        <w:rPr>
          <w:i/>
          <w:sz w:val="24"/>
          <w:lang w:val="pt-BR"/>
        </w:rPr>
      </w:pPr>
      <w:r w:rsidRPr="00392EAD">
        <w:rPr>
          <w:i/>
          <w:sz w:val="24"/>
          <w:lang w:val="pt-BR"/>
        </w:rPr>
        <w:t>Francisco Rego Chaves Fernandes Renata de Carvalho Jimenez Alamino Eliane Rocha Araujo</w:t>
      </w:r>
    </w:p>
    <w:p w:rsidR="00D81F69" w:rsidRPr="00392EAD" w:rsidRDefault="00D81F69">
      <w:pPr>
        <w:spacing w:line="415" w:lineRule="auto"/>
        <w:rPr>
          <w:sz w:val="24"/>
          <w:lang w:val="pt-BR"/>
        </w:rPr>
        <w:sectPr w:rsidR="00D81F69" w:rsidRPr="00392EAD">
          <w:pgSz w:w="11910" w:h="16840"/>
          <w:pgMar w:top="1320" w:right="740" w:bottom="1200" w:left="860" w:header="0" w:footer="996" w:gutter="0"/>
          <w:cols w:space="720"/>
        </w:sectPr>
      </w:pPr>
    </w:p>
    <w:p w:rsidR="00D81F69" w:rsidRPr="00392EAD" w:rsidRDefault="00330118">
      <w:pPr>
        <w:pStyle w:val="Heading5"/>
        <w:spacing w:before="75"/>
        <w:ind w:left="841" w:right="0"/>
        <w:jc w:val="left"/>
        <w:rPr>
          <w:lang w:val="pt-BR"/>
        </w:rPr>
      </w:pPr>
      <w:r w:rsidRPr="00392EAD">
        <w:rPr>
          <w:lang w:val="pt-BR"/>
        </w:rPr>
        <w:lastRenderedPageBreak/>
        <w:t>Quadro 1: Equipe de redatores.</w:t>
      </w:r>
    </w:p>
    <w:p w:rsidR="00D81F69" w:rsidRPr="00392EAD" w:rsidRDefault="00D81F69">
      <w:pPr>
        <w:pStyle w:val="Corpodetexto"/>
        <w:spacing w:before="6"/>
        <w:ind w:left="0"/>
        <w:jc w:val="left"/>
        <w:rPr>
          <w:sz w:val="17"/>
          <w:lang w:val="pt-BR"/>
        </w:rPr>
      </w:pPr>
      <w:r w:rsidRPr="00D81F69">
        <w:pict>
          <v:shape id="_x0000_s1112" type="#_x0000_t202" style="position:absolute;margin-left:79.45pt;margin-top:12.3pt;width:436.45pt;height:559.1pt;z-index:4048;mso-wrap-distance-left:0;mso-wrap-distance-right:0;mso-position-horizontal-relative:page" filled="f" strokeweight=".16969mm">
            <v:textbox inset="0,0,0,0">
              <w:txbxContent>
                <w:p w:rsidR="00D81F69" w:rsidRDefault="00D81F69">
                  <w:pPr>
                    <w:pStyle w:val="Corpodetexto"/>
                    <w:spacing w:before="4"/>
                    <w:ind w:left="0"/>
                    <w:jc w:val="left"/>
                    <w:rPr>
                      <w:sz w:val="23"/>
                    </w:rPr>
                  </w:pPr>
                </w:p>
                <w:p w:rsidR="00D81F69" w:rsidRDefault="00330118">
                  <w:pPr>
                    <w:ind w:left="2036" w:right="2038"/>
                    <w:jc w:val="center"/>
                    <w:rPr>
                      <w:b/>
                    </w:rPr>
                  </w:pPr>
                  <w:r>
                    <w:rPr>
                      <w:b/>
                    </w:rPr>
                    <w:t>Eliane Rocha Araujo</w:t>
                  </w:r>
                </w:p>
                <w:p w:rsidR="00D81F69" w:rsidRDefault="00330118">
                  <w:pPr>
                    <w:spacing w:before="1"/>
                    <w:ind w:left="2038" w:right="2038"/>
                    <w:jc w:val="center"/>
                  </w:pPr>
                  <w:r>
                    <w:t>Jornalista</w:t>
                  </w:r>
                </w:p>
                <w:p w:rsidR="00D81F69" w:rsidRDefault="00D81F69">
                  <w:pPr>
                    <w:pStyle w:val="Corpodetexto"/>
                    <w:spacing w:before="10"/>
                    <w:ind w:left="0"/>
                    <w:jc w:val="left"/>
                    <w:rPr>
                      <w:sz w:val="21"/>
                    </w:rPr>
                  </w:pPr>
                </w:p>
                <w:p w:rsidR="00D81F69" w:rsidRDefault="00330118">
                  <w:pPr>
                    <w:ind w:left="2038" w:right="2038"/>
                    <w:jc w:val="center"/>
                    <w:rPr>
                      <w:b/>
                    </w:rPr>
                  </w:pPr>
                  <w:r>
                    <w:rPr>
                      <w:b/>
                    </w:rPr>
                    <w:t>Elizabeth Dias</w:t>
                  </w:r>
                </w:p>
                <w:p w:rsidR="00D81F69" w:rsidRDefault="00330118">
                  <w:pPr>
                    <w:spacing w:before="4"/>
                    <w:ind w:left="2038" w:right="2038"/>
                    <w:jc w:val="center"/>
                  </w:pPr>
                  <w:r>
                    <w:t>Serviço Social</w:t>
                  </w:r>
                </w:p>
                <w:p w:rsidR="00D81F69" w:rsidRDefault="00D81F69">
                  <w:pPr>
                    <w:pStyle w:val="Corpodetexto"/>
                    <w:spacing w:before="7"/>
                    <w:ind w:left="0"/>
                    <w:jc w:val="left"/>
                    <w:rPr>
                      <w:sz w:val="21"/>
                    </w:rPr>
                  </w:pPr>
                </w:p>
                <w:p w:rsidR="00D81F69" w:rsidRDefault="00330118">
                  <w:pPr>
                    <w:ind w:left="2039" w:right="2038"/>
                    <w:jc w:val="center"/>
                    <w:rPr>
                      <w:b/>
                    </w:rPr>
                  </w:pPr>
                  <w:r>
                    <w:rPr>
                      <w:b/>
                    </w:rPr>
                    <w:t>Érica da Silva Reimer</w:t>
                  </w:r>
                </w:p>
                <w:p w:rsidR="00D81F69" w:rsidRDefault="00330118">
                  <w:pPr>
                    <w:spacing w:before="4"/>
                    <w:ind w:left="2040" w:right="2038"/>
                    <w:jc w:val="center"/>
                  </w:pPr>
                  <w:r>
                    <w:t>Engenheira agronômica</w:t>
                  </w:r>
                </w:p>
                <w:p w:rsidR="00D81F69" w:rsidRDefault="00D81F69">
                  <w:pPr>
                    <w:pStyle w:val="Corpodetexto"/>
                    <w:spacing w:before="9"/>
                    <w:ind w:left="0"/>
                    <w:jc w:val="left"/>
                    <w:rPr>
                      <w:sz w:val="21"/>
                    </w:rPr>
                  </w:pPr>
                </w:p>
                <w:p w:rsidR="00D81F69" w:rsidRDefault="00330118">
                  <w:pPr>
                    <w:ind w:left="2038" w:right="2038"/>
                    <w:jc w:val="center"/>
                    <w:rPr>
                      <w:b/>
                    </w:rPr>
                  </w:pPr>
                  <w:r>
                    <w:rPr>
                      <w:b/>
                    </w:rPr>
                    <w:t>Jefferson Guedes</w:t>
                  </w:r>
                </w:p>
                <w:p w:rsidR="00D81F69" w:rsidRDefault="00330118">
                  <w:pPr>
                    <w:spacing w:before="2"/>
                    <w:ind w:left="2038" w:right="2038"/>
                    <w:jc w:val="center"/>
                  </w:pPr>
                  <w:r>
                    <w:t>Jornalista</w:t>
                  </w:r>
                </w:p>
                <w:p w:rsidR="00D81F69" w:rsidRDefault="00D81F69">
                  <w:pPr>
                    <w:pStyle w:val="Corpodetexto"/>
                    <w:spacing w:before="9"/>
                    <w:ind w:left="0"/>
                    <w:jc w:val="left"/>
                    <w:rPr>
                      <w:sz w:val="21"/>
                    </w:rPr>
                  </w:pPr>
                </w:p>
                <w:p w:rsidR="00D81F69" w:rsidRDefault="00330118">
                  <w:pPr>
                    <w:ind w:left="2038" w:right="2038"/>
                    <w:jc w:val="center"/>
                    <w:rPr>
                      <w:b/>
                    </w:rPr>
                  </w:pPr>
                  <w:r>
                    <w:rPr>
                      <w:b/>
                    </w:rPr>
                    <w:t>Keila Valente de Souza</w:t>
                  </w:r>
                </w:p>
                <w:p w:rsidR="00D81F69" w:rsidRDefault="00330118">
                  <w:pPr>
                    <w:spacing w:before="2"/>
                    <w:ind w:left="2038" w:right="2038"/>
                    <w:jc w:val="center"/>
                  </w:pPr>
                  <w:r>
                    <w:t>Geógrafa</w:t>
                  </w:r>
                </w:p>
                <w:p w:rsidR="00D81F69" w:rsidRDefault="00D81F69">
                  <w:pPr>
                    <w:pStyle w:val="Corpodetexto"/>
                    <w:spacing w:before="9"/>
                    <w:ind w:left="0"/>
                    <w:jc w:val="left"/>
                    <w:rPr>
                      <w:sz w:val="21"/>
                    </w:rPr>
                  </w:pPr>
                </w:p>
                <w:p w:rsidR="00D81F69" w:rsidRDefault="00330118">
                  <w:pPr>
                    <w:ind w:left="2040" w:right="2038"/>
                    <w:jc w:val="center"/>
                    <w:rPr>
                      <w:b/>
                    </w:rPr>
                  </w:pPr>
                  <w:r>
                    <w:rPr>
                      <w:b/>
                    </w:rPr>
                    <w:t>Laura Maul C. Costa</w:t>
                  </w:r>
                </w:p>
                <w:p w:rsidR="00D81F69" w:rsidRDefault="00330118">
                  <w:pPr>
                    <w:spacing w:before="2"/>
                    <w:ind w:left="2038" w:right="2038"/>
                    <w:jc w:val="center"/>
                  </w:pPr>
                  <w:r>
                    <w:t>Geógrafa</w:t>
                  </w:r>
                </w:p>
                <w:p w:rsidR="00D81F69" w:rsidRDefault="00D81F69">
                  <w:pPr>
                    <w:pStyle w:val="Corpodetexto"/>
                    <w:spacing w:before="9"/>
                    <w:ind w:left="0"/>
                    <w:jc w:val="left"/>
                    <w:rPr>
                      <w:sz w:val="21"/>
                    </w:rPr>
                  </w:pPr>
                </w:p>
                <w:p w:rsidR="00D81F69" w:rsidRDefault="00330118">
                  <w:pPr>
                    <w:ind w:left="2038" w:right="2038"/>
                    <w:jc w:val="center"/>
                    <w:rPr>
                      <w:b/>
                    </w:rPr>
                  </w:pPr>
                  <w:r>
                    <w:rPr>
                      <w:b/>
                    </w:rPr>
                    <w:t>Laura Vasconcellos</w:t>
                  </w:r>
                </w:p>
                <w:p w:rsidR="00D81F69" w:rsidRDefault="00330118">
                  <w:pPr>
                    <w:spacing w:before="4"/>
                    <w:ind w:left="2038" w:right="2038"/>
                    <w:jc w:val="center"/>
                  </w:pPr>
                  <w:r>
                    <w:t>Historiadora</w:t>
                  </w:r>
                </w:p>
                <w:p w:rsidR="00D81F69" w:rsidRDefault="00D81F69">
                  <w:pPr>
                    <w:pStyle w:val="Corpodetexto"/>
                    <w:spacing w:before="7"/>
                    <w:ind w:left="0"/>
                    <w:jc w:val="left"/>
                    <w:rPr>
                      <w:sz w:val="21"/>
                    </w:rPr>
                  </w:pPr>
                </w:p>
                <w:p w:rsidR="00D81F69" w:rsidRDefault="00330118">
                  <w:pPr>
                    <w:ind w:left="2037" w:right="2038"/>
                    <w:jc w:val="center"/>
                    <w:rPr>
                      <w:b/>
                    </w:rPr>
                  </w:pPr>
                  <w:r>
                    <w:rPr>
                      <w:b/>
                    </w:rPr>
                    <w:t>Luzia Costa Becker</w:t>
                  </w:r>
                </w:p>
                <w:p w:rsidR="00D81F69" w:rsidRDefault="00330118">
                  <w:pPr>
                    <w:spacing w:before="4"/>
                    <w:ind w:left="2038" w:right="2038"/>
                    <w:jc w:val="center"/>
                  </w:pPr>
                  <w:r>
                    <w:t>Cientista social</w:t>
                  </w:r>
                </w:p>
                <w:p w:rsidR="00D81F69" w:rsidRDefault="00D81F69">
                  <w:pPr>
                    <w:pStyle w:val="Corpodetexto"/>
                    <w:spacing w:before="9"/>
                    <w:ind w:left="0"/>
                    <w:jc w:val="left"/>
                    <w:rPr>
                      <w:sz w:val="21"/>
                    </w:rPr>
                  </w:pPr>
                </w:p>
                <w:p w:rsidR="00D81F69" w:rsidRDefault="00330118">
                  <w:pPr>
                    <w:spacing w:before="1"/>
                    <w:ind w:left="2041" w:right="2038"/>
                    <w:jc w:val="center"/>
                    <w:rPr>
                      <w:b/>
                    </w:rPr>
                  </w:pPr>
                  <w:r>
                    <w:rPr>
                      <w:b/>
                    </w:rPr>
                    <w:t>Maria de Fátima das Dores dos Santos Lima</w:t>
                  </w:r>
                </w:p>
                <w:p w:rsidR="00D81F69" w:rsidRDefault="00330118">
                  <w:pPr>
                    <w:spacing w:before="1"/>
                    <w:ind w:left="2038" w:right="2038"/>
                    <w:jc w:val="center"/>
                  </w:pPr>
                  <w:r>
                    <w:t>Geógrafa</w:t>
                  </w:r>
                </w:p>
                <w:p w:rsidR="00D81F69" w:rsidRDefault="00D81F69">
                  <w:pPr>
                    <w:pStyle w:val="Corpodetexto"/>
                    <w:spacing w:before="9"/>
                    <w:ind w:left="0"/>
                    <w:jc w:val="left"/>
                    <w:rPr>
                      <w:sz w:val="21"/>
                    </w:rPr>
                  </w:pPr>
                </w:p>
                <w:p w:rsidR="00D81F69" w:rsidRDefault="00330118">
                  <w:pPr>
                    <w:spacing w:before="1"/>
                    <w:ind w:left="2038" w:right="2038"/>
                    <w:jc w:val="center"/>
                    <w:rPr>
                      <w:b/>
                    </w:rPr>
                  </w:pPr>
                  <w:r>
                    <w:rPr>
                      <w:b/>
                    </w:rPr>
                    <w:t>Pedro Schprejer</w:t>
                  </w:r>
                </w:p>
                <w:p w:rsidR="00D81F69" w:rsidRDefault="00330118">
                  <w:pPr>
                    <w:spacing w:before="1"/>
                    <w:ind w:left="2038" w:right="2038"/>
                    <w:jc w:val="center"/>
                  </w:pPr>
                  <w:r>
                    <w:t>Jornalista</w:t>
                  </w:r>
                </w:p>
                <w:p w:rsidR="00D81F69" w:rsidRDefault="00D81F69">
                  <w:pPr>
                    <w:pStyle w:val="Corpodetexto"/>
                    <w:spacing w:before="9"/>
                    <w:ind w:left="0"/>
                    <w:jc w:val="left"/>
                    <w:rPr>
                      <w:sz w:val="21"/>
                    </w:rPr>
                  </w:pPr>
                </w:p>
                <w:p w:rsidR="00D81F69" w:rsidRDefault="00330118">
                  <w:pPr>
                    <w:ind w:left="2038" w:right="2038"/>
                    <w:jc w:val="center"/>
                    <w:rPr>
                      <w:b/>
                    </w:rPr>
                  </w:pPr>
                  <w:r>
                    <w:rPr>
                      <w:b/>
                    </w:rPr>
                    <w:t>Renata de Carvalho Jimenez Alamino</w:t>
                  </w:r>
                </w:p>
                <w:p w:rsidR="00D81F69" w:rsidRDefault="00330118">
                  <w:pPr>
                    <w:spacing w:before="4"/>
                    <w:ind w:left="2040" w:right="2038"/>
                    <w:jc w:val="center"/>
                  </w:pPr>
                  <w:r>
                    <w:t>Geóloga</w:t>
                  </w:r>
                </w:p>
                <w:p w:rsidR="00D81F69" w:rsidRDefault="00D81F69">
                  <w:pPr>
                    <w:pStyle w:val="Corpodetexto"/>
                    <w:spacing w:before="7"/>
                    <w:ind w:left="0"/>
                    <w:jc w:val="left"/>
                    <w:rPr>
                      <w:sz w:val="21"/>
                    </w:rPr>
                  </w:pPr>
                </w:p>
                <w:p w:rsidR="00D81F69" w:rsidRDefault="00330118">
                  <w:pPr>
                    <w:ind w:left="2039" w:right="2038"/>
                    <w:jc w:val="center"/>
                    <w:rPr>
                      <w:b/>
                    </w:rPr>
                  </w:pPr>
                  <w:r>
                    <w:rPr>
                      <w:b/>
                    </w:rPr>
                    <w:t>Renata Damico Olivieri</w:t>
                  </w:r>
                </w:p>
                <w:p w:rsidR="00D81F69" w:rsidRDefault="00330118">
                  <w:pPr>
                    <w:spacing w:before="4"/>
                    <w:ind w:left="2038" w:right="2038"/>
                    <w:jc w:val="center"/>
                  </w:pPr>
                  <w:r>
                    <w:t>Jornalista</w:t>
                  </w:r>
                </w:p>
                <w:p w:rsidR="00D81F69" w:rsidRDefault="00D81F69">
                  <w:pPr>
                    <w:pStyle w:val="Corpodetexto"/>
                    <w:spacing w:before="10"/>
                    <w:ind w:left="0"/>
                    <w:jc w:val="left"/>
                    <w:rPr>
                      <w:sz w:val="21"/>
                    </w:rPr>
                  </w:pPr>
                </w:p>
                <w:p w:rsidR="00D81F69" w:rsidRDefault="00330118">
                  <w:pPr>
                    <w:ind w:left="2040" w:right="2038"/>
                    <w:jc w:val="center"/>
                    <w:rPr>
                      <w:b/>
                    </w:rPr>
                  </w:pPr>
                  <w:r>
                    <w:rPr>
                      <w:b/>
                    </w:rPr>
                    <w:t>Rodrigo Braga da Rocha Villa Verde</w:t>
                  </w:r>
                </w:p>
                <w:p w:rsidR="00D81F69" w:rsidRDefault="00330118">
                  <w:pPr>
                    <w:spacing w:before="1"/>
                    <w:ind w:left="3827" w:right="3825" w:hanging="1"/>
                    <w:jc w:val="center"/>
                  </w:pPr>
                  <w:r>
                    <w:t>Geógrafo Historiador</w:t>
                  </w:r>
                </w:p>
                <w:p w:rsidR="00D81F69" w:rsidRDefault="00D81F69">
                  <w:pPr>
                    <w:pStyle w:val="Corpodetexto"/>
                    <w:spacing w:before="9"/>
                    <w:ind w:left="0"/>
                    <w:jc w:val="left"/>
                    <w:rPr>
                      <w:sz w:val="21"/>
                    </w:rPr>
                  </w:pPr>
                </w:p>
                <w:p w:rsidR="00D81F69" w:rsidRDefault="00330118">
                  <w:pPr>
                    <w:ind w:left="2038" w:right="2038"/>
                    <w:jc w:val="center"/>
                    <w:rPr>
                      <w:b/>
                    </w:rPr>
                  </w:pPr>
                  <w:r>
                    <w:rPr>
                      <w:b/>
                    </w:rPr>
                    <w:t>Vilma Goulart</w:t>
                  </w:r>
                </w:p>
                <w:p w:rsidR="00D81F69" w:rsidRDefault="00330118">
                  <w:pPr>
                    <w:spacing w:before="4"/>
                    <w:ind w:left="2038" w:right="2038"/>
                    <w:jc w:val="center"/>
                  </w:pPr>
                  <w:r>
                    <w:t>Jornalista</w:t>
                  </w:r>
                </w:p>
              </w:txbxContent>
            </v:textbox>
            <w10:wrap type="topAndBottom" anchorx="page"/>
          </v:shape>
        </w:pict>
      </w:r>
    </w:p>
    <w:p w:rsidR="00D81F69" w:rsidRPr="00392EAD" w:rsidRDefault="00D81F69">
      <w:pPr>
        <w:rPr>
          <w:sz w:val="17"/>
          <w:lang w:val="pt-BR"/>
        </w:rPr>
        <w:sectPr w:rsidR="00D81F69" w:rsidRPr="00392EAD">
          <w:pgSz w:w="11910" w:h="16840"/>
          <w:pgMar w:top="1320" w:right="740" w:bottom="1200" w:left="860" w:header="0" w:footer="996" w:gutter="0"/>
          <w:cols w:space="720"/>
        </w:sectPr>
      </w:pPr>
    </w:p>
    <w:p w:rsidR="00D81F69" w:rsidRPr="00392EAD" w:rsidRDefault="00D81F69">
      <w:pPr>
        <w:spacing w:before="75"/>
        <w:ind w:left="841"/>
        <w:rPr>
          <w:lang w:val="pt-BR"/>
        </w:rPr>
      </w:pPr>
      <w:r w:rsidRPr="00D81F69">
        <w:lastRenderedPageBreak/>
        <w:pict>
          <v:group id="_x0000_s1105" style="position:absolute;left:0;text-align:left;margin-left:82.2pt;margin-top:95.4pt;width:430.95pt;height:683.2pt;z-index:-355576;mso-position-horizontal-relative:page;mso-position-vertical-relative:page" coordorigin="1644,1908" coordsize="8619,13664">
            <v:line id="_x0000_s1111" style="position:absolute" from="1654,1913" to="10253,1913" strokeweight=".16969mm"/>
            <v:rect id="_x0000_s1110" style="position:absolute;left:1644;top:15561;width:10;height:10" fillcolor="black" stroked="f"/>
            <v:line id="_x0000_s1109" style="position:absolute" from="1654,15566" to="10253,15566" strokeweight=".48pt"/>
            <v:rect id="_x0000_s1108" style="position:absolute;left:10252;top:15561;width:10;height:10" fillcolor="black" stroked="f"/>
            <v:line id="_x0000_s1107" style="position:absolute" from="1649,1908" to="1649,15562" strokeweight=".16969mm"/>
            <v:line id="_x0000_s1106" style="position:absolute" from="10258,1908" to="10258,15562" strokeweight=".48pt"/>
            <w10:wrap anchorx="page" anchory="page"/>
          </v:group>
        </w:pict>
      </w:r>
      <w:r w:rsidR="00330118" w:rsidRPr="00392EAD">
        <w:rPr>
          <w:lang w:val="pt-BR"/>
        </w:rPr>
        <w:t>Quadro 2: Membros do Comitê Editorial de Validação.</w:t>
      </w:r>
    </w:p>
    <w:p w:rsidR="00D81F69" w:rsidRPr="00392EAD" w:rsidRDefault="00D81F69">
      <w:pPr>
        <w:pStyle w:val="Corpodetexto"/>
        <w:spacing w:before="1"/>
        <w:ind w:left="0"/>
        <w:jc w:val="left"/>
        <w:rPr>
          <w:sz w:val="23"/>
          <w:lang w:val="pt-BR"/>
        </w:rPr>
      </w:pPr>
    </w:p>
    <w:p w:rsidR="00D81F69" w:rsidRPr="00392EAD" w:rsidRDefault="00330118">
      <w:pPr>
        <w:ind w:left="904" w:right="1021"/>
        <w:jc w:val="center"/>
        <w:rPr>
          <w:b/>
          <w:lang w:val="pt-BR"/>
        </w:rPr>
      </w:pPr>
      <w:r w:rsidRPr="00392EAD">
        <w:rPr>
          <w:b/>
          <w:lang w:val="pt-BR"/>
        </w:rPr>
        <w:t>Bruno Milanez</w:t>
      </w:r>
    </w:p>
    <w:p w:rsidR="00D81F69" w:rsidRPr="00392EAD" w:rsidRDefault="00330118">
      <w:pPr>
        <w:spacing w:before="64"/>
        <w:ind w:left="903" w:right="1021"/>
        <w:jc w:val="center"/>
        <w:rPr>
          <w:lang w:val="pt-BR"/>
        </w:rPr>
      </w:pPr>
      <w:r w:rsidRPr="00392EAD">
        <w:rPr>
          <w:lang w:val="pt-BR"/>
        </w:rPr>
        <w:t>Doutorado em Política Ambiental pela Lincoln University, Nova Zelândia</w:t>
      </w:r>
    </w:p>
    <w:p w:rsidR="00D81F69" w:rsidRPr="00392EAD" w:rsidRDefault="00330118">
      <w:pPr>
        <w:spacing w:before="56"/>
        <w:ind w:left="904" w:right="1021"/>
        <w:jc w:val="center"/>
        <w:rPr>
          <w:b/>
          <w:lang w:val="pt-BR"/>
        </w:rPr>
      </w:pPr>
      <w:r w:rsidRPr="00392EAD">
        <w:rPr>
          <w:b/>
          <w:lang w:val="pt-BR"/>
        </w:rPr>
        <w:t>Carla Margarida Barroso Guapo da Costa</w:t>
      </w:r>
    </w:p>
    <w:p w:rsidR="00D81F69" w:rsidRPr="00392EAD" w:rsidRDefault="00330118">
      <w:pPr>
        <w:spacing w:before="64"/>
        <w:ind w:left="903" w:right="1021"/>
        <w:jc w:val="center"/>
        <w:rPr>
          <w:lang w:val="pt-BR"/>
        </w:rPr>
      </w:pPr>
      <w:r w:rsidRPr="00392EAD">
        <w:rPr>
          <w:lang w:val="pt-BR"/>
        </w:rPr>
        <w:t>Doutorado em Economia pelo Instituto Superior de Economia e Gestão, Portugal</w:t>
      </w:r>
    </w:p>
    <w:p w:rsidR="00D81F69" w:rsidRPr="00392EAD" w:rsidRDefault="00330118">
      <w:pPr>
        <w:spacing w:before="57"/>
        <w:ind w:left="904" w:right="1021"/>
        <w:jc w:val="center"/>
        <w:rPr>
          <w:b/>
          <w:lang w:val="pt-BR"/>
        </w:rPr>
      </w:pPr>
      <w:r w:rsidRPr="00392EAD">
        <w:rPr>
          <w:b/>
          <w:lang w:val="pt-BR"/>
        </w:rPr>
        <w:t>Dayse Lucia Moraes Lima</w:t>
      </w:r>
    </w:p>
    <w:p w:rsidR="00D81F69" w:rsidRPr="00392EAD" w:rsidRDefault="00330118">
      <w:pPr>
        <w:spacing w:before="64"/>
        <w:ind w:left="904" w:right="1021"/>
        <w:jc w:val="center"/>
        <w:rPr>
          <w:lang w:val="pt-BR"/>
        </w:rPr>
      </w:pPr>
      <w:r w:rsidRPr="00392EAD">
        <w:rPr>
          <w:lang w:val="pt-BR"/>
        </w:rPr>
        <w:t>Mestrado em Engenharia de Produção pelo Instituto Alberto Luiz Coimbra de Pós- Graduação e Pesquisa de Engenharia(COPPE/UFRJ)</w:t>
      </w:r>
    </w:p>
    <w:p w:rsidR="00D81F69" w:rsidRPr="00392EAD" w:rsidRDefault="00330118">
      <w:pPr>
        <w:spacing w:before="55"/>
        <w:ind w:left="901" w:right="1021"/>
        <w:jc w:val="center"/>
        <w:rPr>
          <w:b/>
          <w:lang w:val="pt-BR"/>
        </w:rPr>
      </w:pPr>
      <w:r w:rsidRPr="00392EAD">
        <w:rPr>
          <w:b/>
          <w:lang w:val="pt-BR"/>
        </w:rPr>
        <w:t>Denise de Castro Pereira</w:t>
      </w:r>
    </w:p>
    <w:p w:rsidR="00D81F69" w:rsidRPr="00392EAD" w:rsidRDefault="00330118">
      <w:pPr>
        <w:spacing w:before="64"/>
        <w:ind w:left="899" w:right="1021"/>
        <w:jc w:val="center"/>
        <w:rPr>
          <w:lang w:val="pt-BR"/>
        </w:rPr>
      </w:pPr>
      <w:r w:rsidRPr="00392EAD">
        <w:rPr>
          <w:lang w:val="pt-BR"/>
        </w:rPr>
        <w:t>Dout</w:t>
      </w:r>
      <w:r w:rsidRPr="00392EAD">
        <w:rPr>
          <w:lang w:val="pt-BR"/>
        </w:rPr>
        <w:t>orado em Sociologia pela Universidade Federal do Rio de Janeiro (UFRJ)</w:t>
      </w:r>
    </w:p>
    <w:p w:rsidR="00D81F69" w:rsidRPr="00392EAD" w:rsidRDefault="00330118">
      <w:pPr>
        <w:spacing w:before="57"/>
        <w:ind w:left="899" w:right="1021"/>
        <w:jc w:val="center"/>
        <w:rPr>
          <w:b/>
          <w:lang w:val="pt-BR"/>
        </w:rPr>
      </w:pPr>
      <w:r w:rsidRPr="00392EAD">
        <w:rPr>
          <w:b/>
          <w:lang w:val="pt-BR"/>
        </w:rPr>
        <w:t>José Ângelo Sebastião Araujo dos Anjos</w:t>
      </w:r>
    </w:p>
    <w:p w:rsidR="00D81F69" w:rsidRPr="00392EAD" w:rsidRDefault="00330118">
      <w:pPr>
        <w:spacing w:before="64"/>
        <w:ind w:left="901" w:right="1021"/>
        <w:jc w:val="center"/>
        <w:rPr>
          <w:lang w:val="pt-BR"/>
        </w:rPr>
      </w:pPr>
      <w:r w:rsidRPr="00392EAD">
        <w:rPr>
          <w:lang w:val="pt-BR"/>
        </w:rPr>
        <w:t>Doutorado em Engenharia Mineral pela Universidade de São Paulo (USP)</w:t>
      </w:r>
    </w:p>
    <w:p w:rsidR="00D81F69" w:rsidRPr="00392EAD" w:rsidRDefault="00330118">
      <w:pPr>
        <w:spacing w:before="56"/>
        <w:ind w:left="904" w:right="1021"/>
        <w:jc w:val="center"/>
        <w:rPr>
          <w:b/>
          <w:lang w:val="pt-BR"/>
        </w:rPr>
      </w:pPr>
      <w:r w:rsidRPr="00392EAD">
        <w:rPr>
          <w:b/>
          <w:lang w:val="pt-BR"/>
        </w:rPr>
        <w:t>Julianna Malerba</w:t>
      </w:r>
    </w:p>
    <w:p w:rsidR="00D81F69" w:rsidRPr="00392EAD" w:rsidRDefault="00330118">
      <w:pPr>
        <w:spacing w:before="62"/>
        <w:ind w:left="900" w:right="1021"/>
        <w:jc w:val="center"/>
        <w:rPr>
          <w:lang w:val="pt-BR"/>
        </w:rPr>
      </w:pPr>
      <w:r w:rsidRPr="00392EAD">
        <w:rPr>
          <w:lang w:val="pt-BR"/>
        </w:rPr>
        <w:t>Mestrado em Planejamento Urbano e Regional pelo Instituto de</w:t>
      </w:r>
      <w:r w:rsidRPr="00392EAD">
        <w:rPr>
          <w:lang w:val="pt-BR"/>
        </w:rPr>
        <w:t xml:space="preserve"> Pesquisa e Planejamento Urbano e Regional (IPPUR/UFRJ)</w:t>
      </w:r>
    </w:p>
    <w:p w:rsidR="00D81F69" w:rsidRPr="00392EAD" w:rsidRDefault="00330118">
      <w:pPr>
        <w:spacing w:before="58"/>
        <w:ind w:left="904" w:right="1021"/>
        <w:jc w:val="center"/>
        <w:rPr>
          <w:b/>
          <w:lang w:val="pt-BR"/>
        </w:rPr>
      </w:pPr>
      <w:r w:rsidRPr="00392EAD">
        <w:rPr>
          <w:b/>
          <w:lang w:val="pt-BR"/>
        </w:rPr>
        <w:t>Keila Valente de Souza</w:t>
      </w:r>
    </w:p>
    <w:p w:rsidR="00D81F69" w:rsidRPr="00392EAD" w:rsidRDefault="00330118">
      <w:pPr>
        <w:spacing w:before="63"/>
        <w:ind w:left="899" w:right="1021"/>
        <w:jc w:val="center"/>
        <w:rPr>
          <w:lang w:val="pt-BR"/>
        </w:rPr>
      </w:pPr>
      <w:r w:rsidRPr="00392EAD">
        <w:rPr>
          <w:lang w:val="pt-BR"/>
        </w:rPr>
        <w:t>Pós-graduação em Análise Ambiental e Gestão do Território pela Escola Nacional de Ciências Estatísticas (ENCE/IBGE)</w:t>
      </w:r>
    </w:p>
    <w:p w:rsidR="00D81F69" w:rsidRPr="00392EAD" w:rsidRDefault="00330118">
      <w:pPr>
        <w:spacing w:before="56"/>
        <w:ind w:left="904" w:right="1021"/>
        <w:jc w:val="center"/>
        <w:rPr>
          <w:b/>
          <w:lang w:val="pt-BR"/>
        </w:rPr>
      </w:pPr>
      <w:r w:rsidRPr="00392EAD">
        <w:rPr>
          <w:b/>
          <w:lang w:val="pt-BR"/>
        </w:rPr>
        <w:t>Lúcia de Oliveira Fernandes</w:t>
      </w:r>
    </w:p>
    <w:p w:rsidR="00D81F69" w:rsidRPr="00392EAD" w:rsidRDefault="00330118">
      <w:pPr>
        <w:spacing w:before="64"/>
        <w:ind w:left="900" w:right="1021"/>
        <w:jc w:val="center"/>
        <w:rPr>
          <w:lang w:val="pt-BR"/>
        </w:rPr>
      </w:pPr>
      <w:r w:rsidRPr="00392EAD">
        <w:rPr>
          <w:lang w:val="pt-BR"/>
        </w:rPr>
        <w:t>Doutorado em Sociologia pela Faculdade de Economia e Centro de Estudos Sociais da Universidade de Coimbra, Portugal</w:t>
      </w:r>
    </w:p>
    <w:p w:rsidR="00D81F69" w:rsidRPr="00392EAD" w:rsidRDefault="00330118">
      <w:pPr>
        <w:spacing w:before="58"/>
        <w:ind w:left="904" w:right="1021"/>
        <w:jc w:val="center"/>
        <w:rPr>
          <w:b/>
          <w:lang w:val="pt-BR"/>
        </w:rPr>
      </w:pPr>
      <w:r w:rsidRPr="00392EAD">
        <w:rPr>
          <w:b/>
          <w:lang w:val="pt-BR"/>
        </w:rPr>
        <w:t>Luiz Carlos Bertolino</w:t>
      </w:r>
    </w:p>
    <w:p w:rsidR="00D81F69" w:rsidRPr="00392EAD" w:rsidRDefault="00330118">
      <w:pPr>
        <w:spacing w:before="61"/>
        <w:ind w:left="904" w:right="1021"/>
        <w:jc w:val="center"/>
        <w:rPr>
          <w:lang w:val="pt-BR"/>
        </w:rPr>
      </w:pPr>
      <w:r w:rsidRPr="00392EAD">
        <w:rPr>
          <w:lang w:val="pt-BR"/>
        </w:rPr>
        <w:t>Doutorado em Engenharia de Materiais e de Processos Químicos e Metalúrgicos pela PUC-Rio</w:t>
      </w:r>
    </w:p>
    <w:p w:rsidR="00D81F69" w:rsidRPr="00392EAD" w:rsidRDefault="00330118">
      <w:pPr>
        <w:spacing w:before="58"/>
        <w:ind w:left="902" w:right="1021"/>
        <w:jc w:val="center"/>
        <w:rPr>
          <w:b/>
          <w:lang w:val="pt-BR"/>
        </w:rPr>
      </w:pPr>
      <w:r w:rsidRPr="00392EAD">
        <w:rPr>
          <w:b/>
          <w:lang w:val="pt-BR"/>
        </w:rPr>
        <w:t>Luzia Costa Becker</w:t>
      </w:r>
    </w:p>
    <w:p w:rsidR="00D81F69" w:rsidRPr="00392EAD" w:rsidRDefault="00330118">
      <w:pPr>
        <w:spacing w:before="62"/>
        <w:ind w:left="902" w:right="1021"/>
        <w:jc w:val="center"/>
        <w:rPr>
          <w:lang w:val="pt-BR"/>
        </w:rPr>
      </w:pPr>
      <w:r w:rsidRPr="00392EAD">
        <w:rPr>
          <w:lang w:val="pt-BR"/>
        </w:rPr>
        <w:t xml:space="preserve">Doutorado </w:t>
      </w:r>
      <w:r w:rsidRPr="00392EAD">
        <w:rPr>
          <w:lang w:val="pt-BR"/>
        </w:rPr>
        <w:t>em Ciência Política (Ciência Política e Sociologia) pelo Instituto Universitário de Pesquisas do Rio de Janeiro (IUPERJ)</w:t>
      </w:r>
    </w:p>
    <w:p w:rsidR="00D81F69" w:rsidRPr="00392EAD" w:rsidRDefault="00330118">
      <w:pPr>
        <w:spacing w:before="58"/>
        <w:ind w:left="904" w:right="1021"/>
        <w:jc w:val="center"/>
        <w:rPr>
          <w:b/>
          <w:lang w:val="pt-BR"/>
        </w:rPr>
      </w:pPr>
      <w:r w:rsidRPr="00392EAD">
        <w:rPr>
          <w:b/>
          <w:lang w:val="pt-BR"/>
        </w:rPr>
        <w:t>Maria de Fátima das Dores Santos Lima</w:t>
      </w:r>
    </w:p>
    <w:p w:rsidR="00D81F69" w:rsidRPr="00392EAD" w:rsidRDefault="00330118">
      <w:pPr>
        <w:spacing w:before="61"/>
        <w:ind w:left="900" w:right="1021"/>
        <w:jc w:val="center"/>
        <w:rPr>
          <w:lang w:val="pt-BR"/>
        </w:rPr>
      </w:pPr>
      <w:r w:rsidRPr="00392EAD">
        <w:rPr>
          <w:lang w:val="pt-BR"/>
        </w:rPr>
        <w:t>Pós-Graduação em Dinâmicas Urbano Ambientais e Gestão do Território pela UERJ</w:t>
      </w:r>
    </w:p>
    <w:p w:rsidR="00D81F69" w:rsidRPr="00392EAD" w:rsidRDefault="00330118">
      <w:pPr>
        <w:spacing w:before="59"/>
        <w:ind w:left="904" w:right="1021"/>
        <w:jc w:val="center"/>
        <w:rPr>
          <w:b/>
          <w:lang w:val="pt-BR"/>
        </w:rPr>
      </w:pPr>
      <w:r w:rsidRPr="00392EAD">
        <w:rPr>
          <w:b/>
          <w:lang w:val="pt-BR"/>
        </w:rPr>
        <w:t>Maria Helena Machad</w:t>
      </w:r>
      <w:r w:rsidRPr="00392EAD">
        <w:rPr>
          <w:b/>
          <w:lang w:val="pt-BR"/>
        </w:rPr>
        <w:t>o Rocha Lima</w:t>
      </w:r>
    </w:p>
    <w:p w:rsidR="00D81F69" w:rsidRPr="00392EAD" w:rsidRDefault="00330118">
      <w:pPr>
        <w:spacing w:before="62"/>
        <w:ind w:left="902" w:right="1021"/>
        <w:jc w:val="center"/>
        <w:rPr>
          <w:lang w:val="pt-BR"/>
        </w:rPr>
      </w:pPr>
      <w:r w:rsidRPr="00392EAD">
        <w:rPr>
          <w:lang w:val="pt-BR"/>
        </w:rPr>
        <w:t>Doutorado em Engenharia Mineral pela Universidade de São Paulo (USP)</w:t>
      </w:r>
    </w:p>
    <w:p w:rsidR="00D81F69" w:rsidRPr="00392EAD" w:rsidRDefault="00330118">
      <w:pPr>
        <w:spacing w:before="59"/>
        <w:ind w:left="904" w:right="1021"/>
        <w:jc w:val="center"/>
        <w:rPr>
          <w:b/>
          <w:lang w:val="pt-BR"/>
        </w:rPr>
      </w:pPr>
      <w:r w:rsidRPr="00392EAD">
        <w:rPr>
          <w:b/>
          <w:lang w:val="pt-BR"/>
        </w:rPr>
        <w:t>Nilo da Silva Teixeira</w:t>
      </w:r>
    </w:p>
    <w:p w:rsidR="00D81F69" w:rsidRPr="00392EAD" w:rsidRDefault="00330118">
      <w:pPr>
        <w:spacing w:before="61"/>
        <w:ind w:left="901" w:right="1021"/>
        <w:jc w:val="center"/>
        <w:rPr>
          <w:lang w:val="pt-BR"/>
        </w:rPr>
      </w:pPr>
      <w:r w:rsidRPr="00392EAD">
        <w:rPr>
          <w:lang w:val="pt-BR"/>
        </w:rPr>
        <w:t>Mestrado em Estudos Populacionais e Pesquisas Sociais pela Escola Nacional de Ciências Estatísticas (ENCE/IBGE)</w:t>
      </w:r>
    </w:p>
    <w:p w:rsidR="00D81F69" w:rsidRPr="00392EAD" w:rsidRDefault="00330118">
      <w:pPr>
        <w:spacing w:before="58"/>
        <w:ind w:left="904" w:right="1021"/>
        <w:jc w:val="center"/>
        <w:rPr>
          <w:b/>
          <w:lang w:val="pt-BR"/>
        </w:rPr>
      </w:pPr>
      <w:r w:rsidRPr="00392EAD">
        <w:rPr>
          <w:b/>
          <w:lang w:val="pt-BR"/>
        </w:rPr>
        <w:t>Renata de Carvalho Jimenez Alamino</w:t>
      </w:r>
    </w:p>
    <w:p w:rsidR="00D81F69" w:rsidRPr="00392EAD" w:rsidRDefault="00330118">
      <w:pPr>
        <w:spacing w:before="62"/>
        <w:ind w:left="901" w:right="1021"/>
        <w:jc w:val="center"/>
        <w:rPr>
          <w:lang w:val="pt-BR"/>
        </w:rPr>
      </w:pPr>
      <w:r w:rsidRPr="00392EAD">
        <w:rPr>
          <w:lang w:val="pt-BR"/>
        </w:rPr>
        <w:t>Doutorado em Geologia pela Universidade Federal do Rio de Janeiro (UFRJ)</w:t>
      </w:r>
    </w:p>
    <w:p w:rsidR="00D81F69" w:rsidRPr="00392EAD" w:rsidRDefault="00330118">
      <w:pPr>
        <w:spacing w:before="59"/>
        <w:ind w:left="904" w:right="1021"/>
        <w:jc w:val="center"/>
        <w:rPr>
          <w:b/>
          <w:lang w:val="pt-BR"/>
        </w:rPr>
      </w:pPr>
      <w:r w:rsidRPr="00392EAD">
        <w:rPr>
          <w:b/>
          <w:lang w:val="pt-BR"/>
        </w:rPr>
        <w:t>Rui Hasse Ferreira</w:t>
      </w:r>
    </w:p>
    <w:p w:rsidR="00D81F69" w:rsidRPr="00392EAD" w:rsidRDefault="00330118">
      <w:pPr>
        <w:spacing w:before="61"/>
        <w:ind w:left="904" w:right="1019"/>
        <w:jc w:val="center"/>
        <w:rPr>
          <w:lang w:val="pt-BR"/>
        </w:rPr>
      </w:pPr>
      <w:r w:rsidRPr="00392EAD">
        <w:rPr>
          <w:lang w:val="pt-BR"/>
        </w:rPr>
        <w:t>Doutorado em Engenharia de Minas pelo Imperial College London, Inglaterra</w:t>
      </w:r>
    </w:p>
    <w:p w:rsidR="00D81F69" w:rsidRPr="00392EAD" w:rsidRDefault="00330118">
      <w:pPr>
        <w:spacing w:before="59"/>
        <w:ind w:left="903" w:right="1021"/>
        <w:jc w:val="center"/>
        <w:rPr>
          <w:b/>
          <w:lang w:val="pt-BR"/>
        </w:rPr>
      </w:pPr>
      <w:r w:rsidRPr="00392EAD">
        <w:rPr>
          <w:b/>
          <w:lang w:val="pt-BR"/>
        </w:rPr>
        <w:t>Sílvia Cristina Alves França</w:t>
      </w:r>
    </w:p>
    <w:p w:rsidR="00D81F69" w:rsidRPr="00392EAD" w:rsidRDefault="00330118">
      <w:pPr>
        <w:spacing w:before="62"/>
        <w:ind w:left="903" w:right="1021"/>
        <w:jc w:val="center"/>
        <w:rPr>
          <w:lang w:val="pt-BR"/>
        </w:rPr>
      </w:pPr>
      <w:r w:rsidRPr="00392EAD">
        <w:rPr>
          <w:lang w:val="pt-BR"/>
        </w:rPr>
        <w:t>Doutorado em Engenharia Química pela UFRJ</w:t>
      </w:r>
    </w:p>
    <w:p w:rsidR="00D81F69" w:rsidRPr="00392EAD" w:rsidRDefault="00330118">
      <w:pPr>
        <w:spacing w:before="56"/>
        <w:ind w:left="904" w:right="1020"/>
        <w:jc w:val="center"/>
        <w:rPr>
          <w:b/>
          <w:lang w:val="pt-BR"/>
        </w:rPr>
      </w:pPr>
      <w:r w:rsidRPr="00392EAD">
        <w:rPr>
          <w:b/>
          <w:lang w:val="pt-BR"/>
        </w:rPr>
        <w:t>Silvia Gonçalves Egler</w:t>
      </w:r>
    </w:p>
    <w:p w:rsidR="00D81F69" w:rsidRPr="00392EAD" w:rsidRDefault="00330118">
      <w:pPr>
        <w:spacing w:before="64"/>
        <w:ind w:left="902" w:right="1021"/>
        <w:jc w:val="center"/>
        <w:rPr>
          <w:lang w:val="pt-BR"/>
        </w:rPr>
      </w:pPr>
      <w:r w:rsidRPr="00392EAD">
        <w:rPr>
          <w:lang w:val="pt-BR"/>
        </w:rPr>
        <w:t>Mestrado em Ecologia pela Universidade Estadual de Campinas (Unicamp)</w:t>
      </w:r>
    </w:p>
    <w:p w:rsidR="00D81F69" w:rsidRPr="00392EAD" w:rsidRDefault="00330118">
      <w:pPr>
        <w:spacing w:before="57"/>
        <w:ind w:left="903" w:right="1021"/>
        <w:jc w:val="center"/>
        <w:rPr>
          <w:b/>
          <w:lang w:val="pt-BR"/>
        </w:rPr>
      </w:pPr>
      <w:r w:rsidRPr="00392EAD">
        <w:rPr>
          <w:b/>
          <w:lang w:val="pt-BR"/>
        </w:rPr>
        <w:t>Solange Santos Silva Sánchez</w:t>
      </w:r>
    </w:p>
    <w:p w:rsidR="00D81F69" w:rsidRPr="00392EAD" w:rsidRDefault="00330118">
      <w:pPr>
        <w:spacing w:before="63"/>
        <w:ind w:left="904" w:right="1021"/>
        <w:jc w:val="center"/>
        <w:rPr>
          <w:lang w:val="pt-BR"/>
        </w:rPr>
      </w:pPr>
      <w:r w:rsidRPr="00392EAD">
        <w:rPr>
          <w:lang w:val="pt-BR"/>
        </w:rPr>
        <w:t>Doutorado em Sociologia pela Universidade de São Paulo (USP)</w:t>
      </w:r>
    </w:p>
    <w:p w:rsidR="00D81F69" w:rsidRPr="00392EAD" w:rsidRDefault="00330118">
      <w:pPr>
        <w:spacing w:before="57"/>
        <w:ind w:left="904" w:right="1021"/>
        <w:jc w:val="center"/>
        <w:rPr>
          <w:b/>
          <w:lang w:val="pt-BR"/>
        </w:rPr>
      </w:pPr>
      <w:r w:rsidRPr="00392EAD">
        <w:rPr>
          <w:b/>
          <w:lang w:val="pt-BR"/>
        </w:rPr>
        <w:t>Zuleica Carmen Castilhos</w:t>
      </w:r>
    </w:p>
    <w:p w:rsidR="00D81F69" w:rsidRPr="00392EAD" w:rsidRDefault="00330118">
      <w:pPr>
        <w:spacing w:before="61"/>
        <w:ind w:left="903" w:right="1021"/>
        <w:jc w:val="center"/>
        <w:rPr>
          <w:lang w:val="pt-BR"/>
        </w:rPr>
      </w:pPr>
      <w:r w:rsidRPr="00392EAD">
        <w:rPr>
          <w:lang w:val="pt-BR"/>
        </w:rPr>
        <w:t>Doutorado em Geoquímica pela Universidade Federal Fluminense (UFF)</w:t>
      </w:r>
    </w:p>
    <w:p w:rsidR="00D81F69" w:rsidRPr="00392EAD" w:rsidRDefault="00D81F69">
      <w:pPr>
        <w:jc w:val="center"/>
        <w:rPr>
          <w:lang w:val="pt-BR"/>
        </w:rPr>
        <w:sectPr w:rsidR="00D81F69" w:rsidRPr="00392EAD">
          <w:pgSz w:w="11910" w:h="16840"/>
          <w:pgMar w:top="1320" w:right="740" w:bottom="1200" w:left="860" w:header="0" w:footer="996" w:gutter="0"/>
          <w:cols w:space="720"/>
        </w:sectPr>
      </w:pPr>
    </w:p>
    <w:p w:rsidR="00D81F69" w:rsidRPr="00392EAD" w:rsidRDefault="00330118">
      <w:pPr>
        <w:spacing w:before="15"/>
        <w:ind w:left="4838"/>
        <w:rPr>
          <w:rFonts w:ascii="Calibri" w:hAnsi="Calibri"/>
          <w:b/>
          <w:sz w:val="28"/>
          <w:lang w:val="pt-BR"/>
        </w:rPr>
      </w:pPr>
      <w:r w:rsidRPr="00392EAD">
        <w:rPr>
          <w:rFonts w:ascii="Calibri" w:hAnsi="Calibri"/>
          <w:b/>
          <w:sz w:val="28"/>
          <w:lang w:val="pt-BR"/>
        </w:rPr>
        <w:lastRenderedPageBreak/>
        <w:t>ÍNDICE</w:t>
      </w:r>
    </w:p>
    <w:p w:rsidR="00D81F69" w:rsidRPr="00392EAD" w:rsidRDefault="00D81F69">
      <w:pPr>
        <w:pStyle w:val="Corpodetexto"/>
        <w:spacing w:before="8"/>
        <w:ind w:left="0"/>
        <w:jc w:val="left"/>
        <w:rPr>
          <w:rFonts w:ascii="Calibri"/>
          <w:b/>
          <w:sz w:val="20"/>
          <w:lang w:val="pt-BR"/>
        </w:rPr>
      </w:pPr>
    </w:p>
    <w:p w:rsidR="00D81F69" w:rsidRPr="00392EAD" w:rsidRDefault="00D81F69">
      <w:pPr>
        <w:tabs>
          <w:tab w:val="left" w:pos="9603"/>
          <w:tab w:val="left" w:pos="9743"/>
        </w:tabs>
        <w:spacing w:line="249" w:lineRule="auto"/>
        <w:ind w:left="240" w:right="106" w:hanging="109"/>
        <w:rPr>
          <w:rFonts w:ascii="Calibri" w:hAnsi="Calibri"/>
          <w:lang w:val="pt-BR"/>
        </w:rPr>
      </w:pPr>
      <w:r w:rsidRPr="00D81F69">
        <w:pict>
          <v:line id="_x0000_s1104" style="position:absolute;left:0;text-align:left;z-index:4168;mso-position-horizontal-relative:page" from="49.6pt,27.65pt" to="552.9pt,27.65pt" strokeweight=".48pt">
            <w10:wrap anchorx="page"/>
          </v:line>
        </w:pict>
      </w:r>
      <w:r w:rsidR="00330118" w:rsidRPr="00392EAD">
        <w:rPr>
          <w:rFonts w:ascii="Times New Roman" w:hAnsi="Times New Roman"/>
          <w:w w:val="99"/>
          <w:u w:val="single"/>
          <w:lang w:val="pt-BR"/>
        </w:rPr>
        <w:t xml:space="preserve"> </w:t>
      </w:r>
      <w:r w:rsidR="00330118" w:rsidRPr="00392EAD">
        <w:rPr>
          <w:rFonts w:ascii="Times New Roman" w:hAnsi="Times New Roman"/>
          <w:u w:val="single"/>
          <w:lang w:val="pt-BR"/>
        </w:rPr>
        <w:tab/>
      </w:r>
      <w:r w:rsidR="00330118" w:rsidRPr="00392EAD">
        <w:rPr>
          <w:rFonts w:ascii="Times New Roman" w:hAnsi="Times New Roman"/>
          <w:u w:val="single"/>
          <w:lang w:val="pt-BR"/>
        </w:rPr>
        <w:tab/>
      </w:r>
      <w:r w:rsidR="00330118" w:rsidRPr="00392EAD">
        <w:rPr>
          <w:rFonts w:ascii="Calibri" w:hAnsi="Calibri"/>
          <w:u w:val="single"/>
          <w:lang w:val="pt-BR"/>
        </w:rPr>
        <w:t>Página</w:t>
      </w:r>
      <w:r w:rsidR="00330118" w:rsidRPr="00392EAD">
        <w:rPr>
          <w:rFonts w:ascii="Calibri" w:hAnsi="Calibri"/>
          <w:lang w:val="pt-BR"/>
        </w:rPr>
        <w:t xml:space="preserve"> </w:t>
      </w:r>
      <w:r w:rsidR="00330118" w:rsidRPr="00392EAD">
        <w:rPr>
          <w:rFonts w:ascii="Calibri" w:hAnsi="Calibri"/>
          <w:spacing w:val="-1"/>
          <w:lang w:val="pt-BR"/>
        </w:rPr>
        <w:t>APRESENTAÇÃO........................................................................................................................................</w:t>
      </w:r>
      <w:r w:rsidR="00330118" w:rsidRPr="00392EAD">
        <w:rPr>
          <w:rFonts w:ascii="Calibri" w:hAnsi="Calibri"/>
          <w:spacing w:val="-1"/>
          <w:lang w:val="pt-BR"/>
        </w:rPr>
        <w:tab/>
      </w:r>
      <w:r w:rsidR="00330118" w:rsidRPr="00392EAD">
        <w:rPr>
          <w:rFonts w:ascii="Calibri" w:hAnsi="Calibri"/>
          <w:spacing w:val="-1"/>
          <w:lang w:val="pt-BR"/>
        </w:rPr>
        <w:tab/>
      </w:r>
      <w:r w:rsidR="00330118" w:rsidRPr="00392EAD">
        <w:rPr>
          <w:rFonts w:ascii="Calibri" w:hAnsi="Calibri"/>
          <w:lang w:val="pt-BR"/>
        </w:rPr>
        <w:t>I</w:t>
      </w:r>
    </w:p>
    <w:p w:rsidR="00D81F69" w:rsidRDefault="00330118">
      <w:pPr>
        <w:tabs>
          <w:tab w:val="right" w:pos="9852"/>
        </w:tabs>
        <w:spacing w:line="267" w:lineRule="exact"/>
        <w:ind w:left="240"/>
        <w:rPr>
          <w:rFonts w:ascii="Calibri" w:hAnsi="Calibri"/>
        </w:rPr>
      </w:pPr>
      <w:r w:rsidRPr="00392EAD">
        <w:rPr>
          <w:rFonts w:ascii="Calibri" w:hAnsi="Calibri"/>
          <w:lang w:val="pt-BR"/>
        </w:rPr>
        <w:t>PREFÁCIO..................................................................................................................................................</w:t>
      </w:r>
      <w:r w:rsidRPr="00392EAD">
        <w:rPr>
          <w:rFonts w:ascii="Calibri" w:hAnsi="Calibri"/>
          <w:lang w:val="pt-BR"/>
        </w:rPr>
        <w:tab/>
      </w:r>
      <w:r>
        <w:rPr>
          <w:rFonts w:ascii="Calibri" w:hAnsi="Calibri"/>
        </w:rPr>
        <w:t>III</w:t>
      </w:r>
    </w:p>
    <w:p w:rsidR="00D81F69" w:rsidRDefault="00D81F69">
      <w:pPr>
        <w:pStyle w:val="Corpodetexto"/>
        <w:spacing w:line="20" w:lineRule="exact"/>
        <w:ind w:left="127"/>
        <w:jc w:val="left"/>
        <w:rPr>
          <w:rFonts w:ascii="Calibri"/>
          <w:sz w:val="2"/>
        </w:rPr>
      </w:pPr>
      <w:r w:rsidRPr="00D81F69">
        <w:rPr>
          <w:rFonts w:ascii="Calibri"/>
          <w:sz w:val="2"/>
        </w:rPr>
      </w:r>
      <w:r>
        <w:rPr>
          <w:rFonts w:ascii="Calibri"/>
          <w:sz w:val="2"/>
        </w:rPr>
        <w:pict>
          <v:group id="_x0000_s1102" style="width:503.3pt;height:.5pt;mso-position-horizontal-relative:char;mso-position-vertical-relative:line" coordsize="10066,10">
            <v:line id="_x0000_s1103" style="position:absolute" from="0,5" to="10066,5" strokeweight=".48pt"/>
            <w10:wrap type="none"/>
            <w10:anchorlock/>
          </v:group>
        </w:pict>
      </w:r>
    </w:p>
    <w:sdt>
      <w:sdtPr>
        <w:rPr>
          <w:b w:val="0"/>
          <w:bCs w:val="0"/>
        </w:rPr>
        <w:id w:val="1714427751"/>
        <w:docPartObj>
          <w:docPartGallery w:val="Table of Contents"/>
          <w:docPartUnique/>
        </w:docPartObj>
      </w:sdtPr>
      <w:sdtContent>
        <w:p w:rsidR="00D81F69" w:rsidRPr="00392EAD" w:rsidRDefault="00D81F69">
          <w:pPr>
            <w:pStyle w:val="TOC3"/>
            <w:tabs>
              <w:tab w:val="right" w:pos="9825"/>
            </w:tabs>
            <w:spacing w:before="58" w:line="91" w:lineRule="auto"/>
            <w:rPr>
              <w:b w:val="0"/>
              <w:lang w:val="pt-BR"/>
            </w:rPr>
          </w:pPr>
          <w:hyperlink w:anchor="_TOC_250023" w:history="1">
            <w:r w:rsidR="00330118" w:rsidRPr="00392EAD">
              <w:rPr>
                <w:lang w:val="pt-BR"/>
              </w:rPr>
              <w:t>Atividade mineradora gera riqueza e impactos negativos nas comunidades e no</w:t>
            </w:r>
            <w:r w:rsidR="00330118" w:rsidRPr="00392EAD">
              <w:rPr>
                <w:spacing w:val="-17"/>
                <w:lang w:val="pt-BR"/>
              </w:rPr>
              <w:t xml:space="preserve"> </w:t>
            </w:r>
            <w:r w:rsidR="00330118" w:rsidRPr="00392EAD">
              <w:rPr>
                <w:lang w:val="pt-BR"/>
              </w:rPr>
              <w:t>meio</w:t>
            </w:r>
            <w:r w:rsidR="00330118" w:rsidRPr="00392EAD">
              <w:rPr>
                <w:spacing w:val="-1"/>
                <w:lang w:val="pt-BR"/>
              </w:rPr>
              <w:t xml:space="preserve"> </w:t>
            </w:r>
            <w:r w:rsidR="00330118" w:rsidRPr="00392EAD">
              <w:rPr>
                <w:lang w:val="pt-BR"/>
              </w:rPr>
              <w:t>ambiente</w:t>
            </w:r>
            <w:r w:rsidR="00330118" w:rsidRPr="00392EAD">
              <w:rPr>
                <w:position w:val="-12"/>
                <w:lang w:val="pt-BR"/>
              </w:rPr>
              <w:tab/>
            </w:r>
            <w:r w:rsidR="00330118" w:rsidRPr="00392EAD">
              <w:rPr>
                <w:b w:val="0"/>
                <w:position w:val="-12"/>
                <w:lang w:val="pt-BR"/>
              </w:rPr>
              <w:t>1</w:t>
            </w:r>
          </w:hyperlink>
        </w:p>
        <w:p w:rsidR="00D81F69" w:rsidRPr="00392EAD" w:rsidRDefault="00330118">
          <w:pPr>
            <w:pStyle w:val="TOC2"/>
            <w:tabs>
              <w:tab w:val="left" w:pos="10197"/>
            </w:tabs>
            <w:spacing w:line="255" w:lineRule="exact"/>
            <w:rPr>
              <w:lang w:val="pt-BR"/>
            </w:rPr>
          </w:pPr>
          <w:r w:rsidRPr="00392EAD">
            <w:rPr>
              <w:rFonts w:ascii="Times New Roman"/>
              <w:i w:val="0"/>
              <w:w w:val="99"/>
              <w:u w:val="single"/>
              <w:lang w:val="pt-BR"/>
            </w:rPr>
            <w:t xml:space="preserve"> </w:t>
          </w:r>
          <w:r w:rsidRPr="00392EAD">
            <w:rPr>
              <w:rFonts w:ascii="Times New Roman"/>
              <w:i w:val="0"/>
              <w:spacing w:val="11"/>
              <w:u w:val="single"/>
              <w:lang w:val="pt-BR"/>
            </w:rPr>
            <w:t xml:space="preserve"> </w:t>
          </w:r>
          <w:r w:rsidRPr="00392EAD">
            <w:rPr>
              <w:u w:val="single"/>
              <w:lang w:val="pt-BR"/>
            </w:rPr>
            <w:t>Eliane</w:t>
          </w:r>
          <w:r w:rsidRPr="00392EAD">
            <w:rPr>
              <w:spacing w:val="-7"/>
              <w:u w:val="single"/>
              <w:lang w:val="pt-BR"/>
            </w:rPr>
            <w:t xml:space="preserve"> </w:t>
          </w:r>
          <w:r w:rsidRPr="00392EAD">
            <w:rPr>
              <w:u w:val="single"/>
              <w:lang w:val="pt-BR"/>
            </w:rPr>
            <w:t>Rocha</w:t>
          </w:r>
          <w:r w:rsidRPr="00392EAD">
            <w:rPr>
              <w:spacing w:val="-6"/>
              <w:u w:val="single"/>
              <w:lang w:val="pt-BR"/>
            </w:rPr>
            <w:t xml:space="preserve"> </w:t>
          </w:r>
          <w:r w:rsidRPr="00392EAD">
            <w:rPr>
              <w:u w:val="single"/>
              <w:lang w:val="pt-BR"/>
            </w:rPr>
            <w:t>Araujo,</w:t>
          </w:r>
          <w:r w:rsidRPr="00392EAD">
            <w:rPr>
              <w:spacing w:val="-7"/>
              <w:u w:val="single"/>
              <w:lang w:val="pt-BR"/>
            </w:rPr>
            <w:t xml:space="preserve"> </w:t>
          </w:r>
          <w:r w:rsidRPr="00392EAD">
            <w:rPr>
              <w:u w:val="single"/>
              <w:lang w:val="pt-BR"/>
            </w:rPr>
            <w:t>Renata</w:t>
          </w:r>
          <w:r w:rsidRPr="00392EAD">
            <w:rPr>
              <w:spacing w:val="-7"/>
              <w:u w:val="single"/>
              <w:lang w:val="pt-BR"/>
            </w:rPr>
            <w:t xml:space="preserve"> </w:t>
          </w:r>
          <w:r w:rsidRPr="00392EAD">
            <w:rPr>
              <w:u w:val="single"/>
              <w:lang w:val="pt-BR"/>
            </w:rPr>
            <w:t>Damico</w:t>
          </w:r>
          <w:r w:rsidRPr="00392EAD">
            <w:rPr>
              <w:spacing w:val="-5"/>
              <w:u w:val="single"/>
              <w:lang w:val="pt-BR"/>
            </w:rPr>
            <w:t xml:space="preserve"> </w:t>
          </w:r>
          <w:r w:rsidRPr="00392EAD">
            <w:rPr>
              <w:u w:val="single"/>
              <w:lang w:val="pt-BR"/>
            </w:rPr>
            <w:t>Olivieri</w:t>
          </w:r>
          <w:r w:rsidRPr="00392EAD">
            <w:rPr>
              <w:spacing w:val="-7"/>
              <w:u w:val="single"/>
              <w:lang w:val="pt-BR"/>
            </w:rPr>
            <w:t xml:space="preserve"> </w:t>
          </w:r>
          <w:r w:rsidRPr="00392EAD">
            <w:rPr>
              <w:u w:val="single"/>
              <w:lang w:val="pt-BR"/>
            </w:rPr>
            <w:t>e</w:t>
          </w:r>
          <w:r w:rsidRPr="00392EAD">
            <w:rPr>
              <w:spacing w:val="-6"/>
              <w:u w:val="single"/>
              <w:lang w:val="pt-BR"/>
            </w:rPr>
            <w:t xml:space="preserve"> </w:t>
          </w:r>
          <w:r w:rsidRPr="00392EAD">
            <w:rPr>
              <w:u w:val="single"/>
              <w:lang w:val="pt-BR"/>
            </w:rPr>
            <w:t>Francisco</w:t>
          </w:r>
          <w:r w:rsidRPr="00392EAD">
            <w:rPr>
              <w:spacing w:val="-6"/>
              <w:u w:val="single"/>
              <w:lang w:val="pt-BR"/>
            </w:rPr>
            <w:t xml:space="preserve"> </w:t>
          </w:r>
          <w:r w:rsidRPr="00392EAD">
            <w:rPr>
              <w:u w:val="single"/>
              <w:lang w:val="pt-BR"/>
            </w:rPr>
            <w:t>Rego</w:t>
          </w:r>
          <w:r w:rsidRPr="00392EAD">
            <w:rPr>
              <w:spacing w:val="-6"/>
              <w:u w:val="single"/>
              <w:lang w:val="pt-BR"/>
            </w:rPr>
            <w:t xml:space="preserve"> </w:t>
          </w:r>
          <w:r w:rsidRPr="00392EAD">
            <w:rPr>
              <w:u w:val="single"/>
              <w:lang w:val="pt-BR"/>
            </w:rPr>
            <w:t>Chaves</w:t>
          </w:r>
          <w:r w:rsidRPr="00392EAD">
            <w:rPr>
              <w:spacing w:val="-5"/>
              <w:u w:val="single"/>
              <w:lang w:val="pt-BR"/>
            </w:rPr>
            <w:t xml:space="preserve"> </w:t>
          </w:r>
          <w:r w:rsidRPr="00392EAD">
            <w:rPr>
              <w:u w:val="single"/>
              <w:lang w:val="pt-BR"/>
            </w:rPr>
            <w:t>Fernandes....................</w:t>
          </w:r>
          <w:r w:rsidRPr="00392EAD">
            <w:rPr>
              <w:u w:val="single"/>
              <w:lang w:val="pt-BR"/>
            </w:rPr>
            <w:t>.............</w:t>
          </w:r>
          <w:r w:rsidRPr="00392EAD">
            <w:rPr>
              <w:u w:val="single"/>
              <w:lang w:val="pt-BR"/>
            </w:rPr>
            <w:tab/>
          </w:r>
        </w:p>
        <w:p w:rsidR="00D81F69" w:rsidRPr="00392EAD" w:rsidRDefault="00D81F69">
          <w:pPr>
            <w:pStyle w:val="TOC1"/>
            <w:tabs>
              <w:tab w:val="left" w:pos="10197"/>
            </w:tabs>
            <w:rPr>
              <w:lang w:val="pt-BR"/>
            </w:rPr>
          </w:pPr>
          <w:hyperlink w:anchor="_TOC_250022" w:history="1">
            <w:r w:rsidR="00330118" w:rsidRPr="00392EAD">
              <w:rPr>
                <w:rFonts w:ascii="Times New Roman" w:hAnsi="Times New Roman"/>
                <w:b w:val="0"/>
                <w:w w:val="99"/>
                <w:u w:val="single"/>
                <w:lang w:val="pt-BR"/>
              </w:rPr>
              <w:t xml:space="preserve"> </w:t>
            </w:r>
            <w:r w:rsidR="00330118" w:rsidRPr="00392EAD">
              <w:rPr>
                <w:rFonts w:ascii="Times New Roman" w:hAnsi="Times New Roman"/>
                <w:b w:val="0"/>
                <w:spacing w:val="-2"/>
                <w:u w:val="single"/>
                <w:lang w:val="pt-BR"/>
              </w:rPr>
              <w:t xml:space="preserve"> </w:t>
            </w:r>
            <w:r w:rsidR="00330118" w:rsidRPr="00392EAD">
              <w:rPr>
                <w:u w:val="single"/>
                <w:lang w:val="pt-BR"/>
              </w:rPr>
              <w:t>REGIÃO</w:t>
            </w:r>
            <w:r w:rsidR="00330118" w:rsidRPr="00392EAD">
              <w:rPr>
                <w:spacing w:val="-4"/>
                <w:u w:val="single"/>
                <w:lang w:val="pt-BR"/>
              </w:rPr>
              <w:t xml:space="preserve"> </w:t>
            </w:r>
            <w:r w:rsidR="00330118" w:rsidRPr="00392EAD">
              <w:rPr>
                <w:u w:val="single"/>
                <w:lang w:val="pt-BR"/>
              </w:rPr>
              <w:t>NORTE</w:t>
            </w:r>
            <w:r w:rsidR="00330118" w:rsidRPr="00392EAD">
              <w:rPr>
                <w:u w:val="single"/>
                <w:lang w:val="pt-BR"/>
              </w:rPr>
              <w:tab/>
            </w:r>
          </w:hyperlink>
        </w:p>
        <w:p w:rsidR="00D81F69" w:rsidRPr="00392EAD" w:rsidRDefault="00D81F69">
          <w:pPr>
            <w:pStyle w:val="TOC3"/>
            <w:rPr>
              <w:lang w:val="pt-BR"/>
            </w:rPr>
          </w:pPr>
          <w:hyperlink w:anchor="_TOC_250021" w:history="1">
            <w:r w:rsidR="00330118" w:rsidRPr="00392EAD">
              <w:rPr>
                <w:lang w:val="pt-BR"/>
              </w:rPr>
              <w:t>Os desafios da extração mineral na Região Norte em prol do desenvolvimento socioeconômico</w:t>
            </w:r>
          </w:hyperlink>
        </w:p>
        <w:p w:rsidR="00D81F69" w:rsidRPr="00392EAD" w:rsidRDefault="00330118">
          <w:pPr>
            <w:pStyle w:val="TOC5"/>
            <w:tabs>
              <w:tab w:val="right" w:pos="9882"/>
            </w:tabs>
            <w:rPr>
              <w:i w:val="0"/>
              <w:lang w:val="pt-BR"/>
            </w:rPr>
          </w:pPr>
          <w:r w:rsidRPr="00392EAD">
            <w:rPr>
              <w:lang w:val="pt-BR"/>
            </w:rPr>
            <w:t>Rodrigo Braga da Rocha Villa Verde, Renata de Carvalho Jimenez Alamino e Francisco</w:t>
          </w:r>
          <w:r w:rsidRPr="00392EAD">
            <w:rPr>
              <w:spacing w:val="-23"/>
              <w:lang w:val="pt-BR"/>
            </w:rPr>
            <w:t xml:space="preserve"> </w:t>
          </w:r>
          <w:r w:rsidRPr="00392EAD">
            <w:rPr>
              <w:lang w:val="pt-BR"/>
            </w:rPr>
            <w:t>Rego</w:t>
          </w:r>
          <w:r w:rsidRPr="00392EAD">
            <w:rPr>
              <w:spacing w:val="-1"/>
              <w:lang w:val="pt-BR"/>
            </w:rPr>
            <w:t xml:space="preserve"> </w:t>
          </w:r>
          <w:r w:rsidRPr="00392EAD">
            <w:rPr>
              <w:lang w:val="pt-BR"/>
            </w:rPr>
            <w:t>Chaves</w:t>
          </w:r>
          <w:r w:rsidRPr="00392EAD">
            <w:rPr>
              <w:lang w:val="pt-BR"/>
            </w:rPr>
            <w:tab/>
          </w:r>
          <w:r w:rsidRPr="00392EAD">
            <w:rPr>
              <w:i w:val="0"/>
              <w:lang w:val="pt-BR"/>
            </w:rPr>
            <w:t>13</w:t>
          </w:r>
        </w:p>
        <w:p w:rsidR="00D81F69" w:rsidRPr="00392EAD" w:rsidRDefault="00330118">
          <w:pPr>
            <w:pStyle w:val="TOC2"/>
            <w:tabs>
              <w:tab w:val="left" w:pos="10197"/>
            </w:tabs>
            <w:ind w:left="132"/>
            <w:rPr>
              <w:lang w:val="pt-BR"/>
            </w:rPr>
          </w:pPr>
          <w:r w:rsidRPr="00392EAD">
            <w:rPr>
              <w:rFonts w:ascii="Times New Roman"/>
              <w:i w:val="0"/>
              <w:w w:val="99"/>
              <w:u w:val="single"/>
              <w:lang w:val="pt-BR"/>
            </w:rPr>
            <w:t xml:space="preserve"> </w:t>
          </w:r>
          <w:r w:rsidRPr="00392EAD">
            <w:rPr>
              <w:rFonts w:ascii="Times New Roman"/>
              <w:i w:val="0"/>
              <w:spacing w:val="-2"/>
              <w:u w:val="single"/>
              <w:lang w:val="pt-BR"/>
            </w:rPr>
            <w:t xml:space="preserve"> </w:t>
          </w:r>
          <w:r w:rsidRPr="00392EAD">
            <w:rPr>
              <w:u w:val="single"/>
              <w:lang w:val="pt-BR"/>
            </w:rPr>
            <w:t>Fernandes.................................................................................................................................................</w:t>
          </w:r>
          <w:r w:rsidRPr="00392EAD">
            <w:rPr>
              <w:u w:val="single"/>
              <w:lang w:val="pt-BR"/>
            </w:rPr>
            <w:tab/>
          </w:r>
        </w:p>
        <w:p w:rsidR="00D81F69" w:rsidRDefault="00D81F69">
          <w:pPr>
            <w:pStyle w:val="TOC4"/>
            <w:tabs>
              <w:tab w:val="left" w:pos="9658"/>
            </w:tabs>
          </w:pPr>
          <w:r w:rsidRPr="00D81F69">
            <w:pict>
              <v:line id="_x0000_s1101" style="position:absolute;left:0;text-align:left;z-index:4192;mso-position-horizontal-relative:page" from="49.6pt,14.2pt" to="552.9pt,14.2pt" strokeweight=".48pt">
                <w10:wrap anchorx="page"/>
              </v:line>
            </w:pict>
          </w:r>
          <w:hyperlink w:anchor="_TOC_250020" w:history="1">
            <w:r w:rsidR="00330118" w:rsidRPr="00392EAD">
              <w:rPr>
                <w:lang w:val="pt-BR"/>
              </w:rPr>
              <w:t>Garimpagem</w:t>
            </w:r>
            <w:r w:rsidR="00330118" w:rsidRPr="00392EAD">
              <w:rPr>
                <w:spacing w:val="-5"/>
                <w:lang w:val="pt-BR"/>
              </w:rPr>
              <w:t xml:space="preserve"> </w:t>
            </w:r>
            <w:r w:rsidR="00330118" w:rsidRPr="00392EAD">
              <w:rPr>
                <w:lang w:val="pt-BR"/>
              </w:rPr>
              <w:t>de</w:t>
            </w:r>
            <w:r w:rsidR="00330118" w:rsidRPr="00392EAD">
              <w:rPr>
                <w:spacing w:val="-5"/>
                <w:lang w:val="pt-BR"/>
              </w:rPr>
              <w:t xml:space="preserve"> </w:t>
            </w:r>
            <w:r w:rsidR="00330118" w:rsidRPr="00392EAD">
              <w:rPr>
                <w:lang w:val="pt-BR"/>
              </w:rPr>
              <w:t>ouro</w:t>
            </w:r>
            <w:r w:rsidR="00330118" w:rsidRPr="00392EAD">
              <w:rPr>
                <w:spacing w:val="-4"/>
                <w:lang w:val="pt-BR"/>
              </w:rPr>
              <w:t xml:space="preserve"> </w:t>
            </w:r>
            <w:r w:rsidR="00330118" w:rsidRPr="00392EAD">
              <w:rPr>
                <w:lang w:val="pt-BR"/>
              </w:rPr>
              <w:t>em</w:t>
            </w:r>
            <w:r w:rsidR="00330118" w:rsidRPr="00392EAD">
              <w:rPr>
                <w:spacing w:val="-5"/>
                <w:lang w:val="pt-BR"/>
              </w:rPr>
              <w:t xml:space="preserve"> </w:t>
            </w:r>
            <w:r w:rsidR="00330118" w:rsidRPr="00392EAD">
              <w:rPr>
                <w:lang w:val="pt-BR"/>
              </w:rPr>
              <w:t>Nova</w:t>
            </w:r>
            <w:r w:rsidR="00330118" w:rsidRPr="00392EAD">
              <w:rPr>
                <w:spacing w:val="-5"/>
                <w:lang w:val="pt-BR"/>
              </w:rPr>
              <w:t xml:space="preserve"> </w:t>
            </w:r>
            <w:r w:rsidR="00330118" w:rsidRPr="00392EAD">
              <w:rPr>
                <w:lang w:val="pt-BR"/>
              </w:rPr>
              <w:t>Aripuanã</w:t>
            </w:r>
            <w:r w:rsidR="00330118" w:rsidRPr="00392EAD">
              <w:rPr>
                <w:spacing w:val="-5"/>
                <w:lang w:val="pt-BR"/>
              </w:rPr>
              <w:t xml:space="preserve"> </w:t>
            </w:r>
            <w:r w:rsidR="00330118" w:rsidRPr="00392EAD">
              <w:rPr>
                <w:lang w:val="pt-BR"/>
              </w:rPr>
              <w:t>(AM)</w:t>
            </w:r>
            <w:r w:rsidR="00330118" w:rsidRPr="00392EAD">
              <w:rPr>
                <w:spacing w:val="-4"/>
                <w:lang w:val="pt-BR"/>
              </w:rPr>
              <w:t xml:space="preserve"> </w:t>
            </w:r>
            <w:r w:rsidR="00330118" w:rsidRPr="00392EAD">
              <w:rPr>
                <w:lang w:val="pt-BR"/>
              </w:rPr>
              <w:t>deixa</w:t>
            </w:r>
            <w:r w:rsidR="00330118" w:rsidRPr="00392EAD">
              <w:rPr>
                <w:spacing w:val="-4"/>
                <w:lang w:val="pt-BR"/>
              </w:rPr>
              <w:t xml:space="preserve"> </w:t>
            </w:r>
            <w:r w:rsidR="00330118" w:rsidRPr="00392EAD">
              <w:rPr>
                <w:lang w:val="pt-BR"/>
              </w:rPr>
              <w:t>passivo</w:t>
            </w:r>
            <w:r w:rsidR="00330118" w:rsidRPr="00392EAD">
              <w:rPr>
                <w:spacing w:val="-4"/>
                <w:lang w:val="pt-BR"/>
              </w:rPr>
              <w:t xml:space="preserve"> </w:t>
            </w:r>
            <w:r w:rsidR="00330118" w:rsidRPr="00392EAD">
              <w:rPr>
                <w:lang w:val="pt-BR"/>
              </w:rPr>
              <w:t>ambiental</w:t>
            </w:r>
            <w:r w:rsidR="00330118" w:rsidRPr="00392EAD">
              <w:rPr>
                <w:spacing w:val="-5"/>
                <w:lang w:val="pt-BR"/>
              </w:rPr>
              <w:t xml:space="preserve"> </w:t>
            </w:r>
            <w:r w:rsidR="00330118" w:rsidRPr="00392EAD">
              <w:rPr>
                <w:lang w:val="pt-BR"/>
              </w:rPr>
              <w:t>no</w:t>
            </w:r>
            <w:r w:rsidR="00330118" w:rsidRPr="00392EAD">
              <w:rPr>
                <w:spacing w:val="-4"/>
                <w:lang w:val="pt-BR"/>
              </w:rPr>
              <w:t xml:space="preserve"> </w:t>
            </w:r>
            <w:r w:rsidR="00330118" w:rsidRPr="00392EAD">
              <w:rPr>
                <w:lang w:val="pt-BR"/>
              </w:rPr>
              <w:t>sulamazonense.................</w:t>
            </w:r>
            <w:r w:rsidR="00330118" w:rsidRPr="00392EAD">
              <w:rPr>
                <w:lang w:val="pt-BR"/>
              </w:rPr>
              <w:tab/>
            </w:r>
            <w:r w:rsidR="00330118">
              <w:t>22</w:t>
            </w:r>
          </w:hyperlink>
        </w:p>
        <w:p w:rsidR="00D81F69" w:rsidRPr="00392EAD" w:rsidRDefault="00D81F69">
          <w:pPr>
            <w:pStyle w:val="TOC4"/>
            <w:tabs>
              <w:tab w:val="left" w:pos="9659"/>
            </w:tabs>
            <w:spacing w:before="9"/>
            <w:rPr>
              <w:lang w:val="pt-BR"/>
            </w:rPr>
          </w:pPr>
          <w:r w:rsidRPr="00D81F69">
            <w:pict>
              <v:line id="_x0000_s1100" style="position:absolute;left:0;text-align:left;z-index:4216;mso-position-horizontal-relative:page" from="49.6pt,14.15pt" to="552.9pt,14.15pt" strokeweight=".48pt">
                <w10:wrap anchorx="page"/>
              </v:line>
            </w:pict>
          </w:r>
          <w:hyperlink w:anchor="_TOC_250019" w:history="1">
            <w:r w:rsidR="00330118" w:rsidRPr="00392EAD">
              <w:rPr>
                <w:lang w:val="pt-BR"/>
              </w:rPr>
              <w:t>Garimpos</w:t>
            </w:r>
            <w:r w:rsidR="00330118" w:rsidRPr="00392EAD">
              <w:rPr>
                <w:spacing w:val="-5"/>
                <w:lang w:val="pt-BR"/>
              </w:rPr>
              <w:t xml:space="preserve"> </w:t>
            </w:r>
            <w:r w:rsidR="00330118" w:rsidRPr="00392EAD">
              <w:rPr>
                <w:lang w:val="pt-BR"/>
              </w:rPr>
              <w:t>ilegais</w:t>
            </w:r>
            <w:r w:rsidR="00330118" w:rsidRPr="00392EAD">
              <w:rPr>
                <w:spacing w:val="-4"/>
                <w:lang w:val="pt-BR"/>
              </w:rPr>
              <w:t xml:space="preserve"> </w:t>
            </w:r>
            <w:r w:rsidR="00330118" w:rsidRPr="00392EAD">
              <w:rPr>
                <w:lang w:val="pt-BR"/>
              </w:rPr>
              <w:t>de</w:t>
            </w:r>
            <w:r w:rsidR="00330118" w:rsidRPr="00392EAD">
              <w:rPr>
                <w:spacing w:val="-5"/>
                <w:lang w:val="pt-BR"/>
              </w:rPr>
              <w:t xml:space="preserve"> </w:t>
            </w:r>
            <w:r w:rsidR="00330118" w:rsidRPr="00392EAD">
              <w:rPr>
                <w:lang w:val="pt-BR"/>
              </w:rPr>
              <w:t>ouro</w:t>
            </w:r>
            <w:r w:rsidR="00330118" w:rsidRPr="00392EAD">
              <w:rPr>
                <w:spacing w:val="-3"/>
                <w:lang w:val="pt-BR"/>
              </w:rPr>
              <w:t xml:space="preserve"> </w:t>
            </w:r>
            <w:r w:rsidR="00330118" w:rsidRPr="00392EAD">
              <w:rPr>
                <w:lang w:val="pt-BR"/>
              </w:rPr>
              <w:t>na</w:t>
            </w:r>
            <w:r w:rsidR="00330118" w:rsidRPr="00392EAD">
              <w:rPr>
                <w:spacing w:val="-4"/>
                <w:lang w:val="pt-BR"/>
              </w:rPr>
              <w:t xml:space="preserve"> </w:t>
            </w:r>
            <w:r w:rsidR="00330118" w:rsidRPr="00392EAD">
              <w:rPr>
                <w:lang w:val="pt-BR"/>
              </w:rPr>
              <w:t>Terra</w:t>
            </w:r>
            <w:r w:rsidR="00330118" w:rsidRPr="00392EAD">
              <w:rPr>
                <w:spacing w:val="-4"/>
                <w:lang w:val="pt-BR"/>
              </w:rPr>
              <w:t xml:space="preserve"> </w:t>
            </w:r>
            <w:r w:rsidR="00330118" w:rsidRPr="00392EAD">
              <w:rPr>
                <w:lang w:val="pt-BR"/>
              </w:rPr>
              <w:t>Indígena</w:t>
            </w:r>
            <w:r w:rsidR="00330118" w:rsidRPr="00392EAD">
              <w:rPr>
                <w:spacing w:val="-5"/>
                <w:lang w:val="pt-BR"/>
              </w:rPr>
              <w:t xml:space="preserve"> </w:t>
            </w:r>
            <w:r w:rsidR="00330118" w:rsidRPr="00392EAD">
              <w:rPr>
                <w:lang w:val="pt-BR"/>
              </w:rPr>
              <w:t>do</w:t>
            </w:r>
            <w:r w:rsidR="00330118" w:rsidRPr="00392EAD">
              <w:rPr>
                <w:spacing w:val="-3"/>
                <w:lang w:val="pt-BR"/>
              </w:rPr>
              <w:t xml:space="preserve"> </w:t>
            </w:r>
            <w:r w:rsidR="00330118" w:rsidRPr="00392EAD">
              <w:rPr>
                <w:lang w:val="pt-BR"/>
              </w:rPr>
              <w:t>Vale</w:t>
            </w:r>
            <w:r w:rsidR="00330118" w:rsidRPr="00392EAD">
              <w:rPr>
                <w:spacing w:val="-3"/>
                <w:lang w:val="pt-BR"/>
              </w:rPr>
              <w:t xml:space="preserve"> </w:t>
            </w:r>
            <w:r w:rsidR="00330118" w:rsidRPr="00392EAD">
              <w:rPr>
                <w:lang w:val="pt-BR"/>
              </w:rPr>
              <w:t>do</w:t>
            </w:r>
            <w:r w:rsidR="00330118" w:rsidRPr="00392EAD">
              <w:rPr>
                <w:spacing w:val="-4"/>
                <w:lang w:val="pt-BR"/>
              </w:rPr>
              <w:t xml:space="preserve"> </w:t>
            </w:r>
            <w:r w:rsidR="00330118" w:rsidRPr="00392EAD">
              <w:rPr>
                <w:lang w:val="pt-BR"/>
              </w:rPr>
              <w:t>Javari</w:t>
            </w:r>
            <w:r w:rsidR="00330118" w:rsidRPr="00392EAD">
              <w:rPr>
                <w:spacing w:val="-5"/>
                <w:lang w:val="pt-BR"/>
              </w:rPr>
              <w:t xml:space="preserve"> </w:t>
            </w:r>
            <w:r w:rsidR="00330118" w:rsidRPr="00392EAD">
              <w:rPr>
                <w:lang w:val="pt-BR"/>
              </w:rPr>
              <w:t>na</w:t>
            </w:r>
            <w:r w:rsidR="00330118" w:rsidRPr="00392EAD">
              <w:rPr>
                <w:spacing w:val="-3"/>
                <w:lang w:val="pt-BR"/>
              </w:rPr>
              <w:t xml:space="preserve"> </w:t>
            </w:r>
            <w:r w:rsidR="00330118" w:rsidRPr="00392EAD">
              <w:rPr>
                <w:lang w:val="pt-BR"/>
              </w:rPr>
              <w:t>Amazônia</w:t>
            </w:r>
            <w:r w:rsidR="00330118" w:rsidRPr="00392EAD">
              <w:rPr>
                <w:spacing w:val="-4"/>
                <w:lang w:val="pt-BR"/>
              </w:rPr>
              <w:t xml:space="preserve"> </w:t>
            </w:r>
            <w:r w:rsidR="00330118" w:rsidRPr="00392EAD">
              <w:rPr>
                <w:lang w:val="pt-BR"/>
              </w:rPr>
              <w:t>(AM)..................................</w:t>
            </w:r>
            <w:r w:rsidR="00330118" w:rsidRPr="00392EAD">
              <w:rPr>
                <w:lang w:val="pt-BR"/>
              </w:rPr>
              <w:tab/>
              <w:t>24</w:t>
            </w:r>
          </w:hyperlink>
        </w:p>
        <w:p w:rsidR="00D81F69" w:rsidRPr="00392EAD" w:rsidRDefault="00D81F69">
          <w:pPr>
            <w:pStyle w:val="TOC4"/>
            <w:tabs>
              <w:tab w:val="left" w:pos="9659"/>
            </w:tabs>
            <w:spacing w:before="11"/>
            <w:rPr>
              <w:lang w:val="pt-BR"/>
            </w:rPr>
          </w:pPr>
          <w:r w:rsidRPr="00D81F69">
            <w:pict>
              <v:line id="_x0000_s1099" style="position:absolute;left:0;text-align:left;z-index:4240;mso-position-horizontal-relative:page" from="49.6pt,14.2pt" to="552.9pt,14.2pt" strokeweight=".48pt">
                <w10:wrap anchorx="page"/>
              </v:line>
            </w:pict>
          </w:r>
          <w:hyperlink w:anchor="_TOC_250018" w:history="1">
            <w:r w:rsidR="00330118" w:rsidRPr="00392EAD">
              <w:rPr>
                <w:lang w:val="pt-BR"/>
              </w:rPr>
              <w:t>Impactos socioambientais aumentam com exploração minerária em Pedra Branca do</w:t>
            </w:r>
            <w:r w:rsidR="00330118" w:rsidRPr="00392EAD">
              <w:rPr>
                <w:spacing w:val="-23"/>
                <w:lang w:val="pt-BR"/>
              </w:rPr>
              <w:t xml:space="preserve"> </w:t>
            </w:r>
            <w:r w:rsidR="00330118" w:rsidRPr="00392EAD">
              <w:rPr>
                <w:lang w:val="pt-BR"/>
              </w:rPr>
              <w:t>Amapari</w:t>
            </w:r>
            <w:r w:rsidR="00330118" w:rsidRPr="00392EAD">
              <w:rPr>
                <w:spacing w:val="-3"/>
                <w:lang w:val="pt-BR"/>
              </w:rPr>
              <w:t xml:space="preserve"> </w:t>
            </w:r>
            <w:r w:rsidR="00330118" w:rsidRPr="00392EAD">
              <w:rPr>
                <w:lang w:val="pt-BR"/>
              </w:rPr>
              <w:t>(AP)...</w:t>
            </w:r>
            <w:r w:rsidR="00330118" w:rsidRPr="00392EAD">
              <w:rPr>
                <w:lang w:val="pt-BR"/>
              </w:rPr>
              <w:tab/>
              <w:t>26</w:t>
            </w:r>
          </w:hyperlink>
        </w:p>
        <w:p w:rsidR="00D81F69" w:rsidRDefault="00D81F69">
          <w:pPr>
            <w:pStyle w:val="TOC4"/>
            <w:tabs>
              <w:tab w:val="left" w:pos="9659"/>
            </w:tabs>
          </w:pPr>
          <w:r w:rsidRPr="00D81F69">
            <w:pict>
              <v:line id="_x0000_s1098" style="position:absolute;left:0;text-align:left;z-index:4264;mso-position-horizontal-relative:page" from="49.6pt,14.15pt" to="552.9pt,14.15pt" strokeweight=".48pt">
                <w10:wrap anchorx="page"/>
              </v:line>
            </w:pict>
          </w:r>
          <w:hyperlink w:anchor="_TOC_250017" w:history="1">
            <w:r w:rsidR="00330118" w:rsidRPr="00392EAD">
              <w:rPr>
                <w:lang w:val="pt-BR"/>
              </w:rPr>
              <w:t>Exploração mineral em Santa Maria do Vila Nova (AP) provo</w:t>
            </w:r>
            <w:r w:rsidR="00330118" w:rsidRPr="00392EAD">
              <w:rPr>
                <w:lang w:val="pt-BR"/>
              </w:rPr>
              <w:t>ca contaminação</w:t>
            </w:r>
            <w:r w:rsidR="00330118" w:rsidRPr="00392EAD">
              <w:rPr>
                <w:spacing w:val="-31"/>
                <w:lang w:val="pt-BR"/>
              </w:rPr>
              <w:t xml:space="preserve"> </w:t>
            </w:r>
            <w:r w:rsidR="00330118" w:rsidRPr="00392EAD">
              <w:rPr>
                <w:lang w:val="pt-BR"/>
              </w:rPr>
              <w:t>por</w:t>
            </w:r>
            <w:r w:rsidR="00330118" w:rsidRPr="00392EAD">
              <w:rPr>
                <w:spacing w:val="-2"/>
                <w:lang w:val="pt-BR"/>
              </w:rPr>
              <w:t xml:space="preserve"> </w:t>
            </w:r>
            <w:r w:rsidR="00330118" w:rsidRPr="00392EAD">
              <w:rPr>
                <w:lang w:val="pt-BR"/>
              </w:rPr>
              <w:t>cianeto...................</w:t>
            </w:r>
            <w:r w:rsidR="00330118" w:rsidRPr="00392EAD">
              <w:rPr>
                <w:lang w:val="pt-BR"/>
              </w:rPr>
              <w:tab/>
            </w:r>
            <w:r w:rsidR="00330118">
              <w:t>30</w:t>
            </w:r>
          </w:hyperlink>
        </w:p>
        <w:p w:rsidR="00D81F69" w:rsidRPr="00392EAD" w:rsidRDefault="00D81F69">
          <w:pPr>
            <w:pStyle w:val="TOC4"/>
            <w:tabs>
              <w:tab w:val="left" w:pos="9659"/>
            </w:tabs>
            <w:rPr>
              <w:lang w:val="pt-BR"/>
            </w:rPr>
          </w:pPr>
          <w:r w:rsidRPr="00D81F69">
            <w:pict>
              <v:line id="_x0000_s1097" style="position:absolute;left:0;text-align:left;z-index:4288;mso-position-horizontal-relative:page" from="49.6pt,14.2pt" to="552.9pt,14.2pt" strokeweight=".48pt">
                <w10:wrap anchorx="page"/>
              </v:line>
            </w:pict>
          </w:r>
          <w:hyperlink w:anchor="_TOC_250016" w:history="1">
            <w:r w:rsidR="00330118" w:rsidRPr="00392EAD">
              <w:rPr>
                <w:lang w:val="pt-BR"/>
              </w:rPr>
              <w:t>Mineração de manganês deixa passivo socioambiental em Serra do</w:t>
            </w:r>
            <w:r w:rsidR="00330118" w:rsidRPr="00392EAD">
              <w:rPr>
                <w:spacing w:val="10"/>
                <w:lang w:val="pt-BR"/>
              </w:rPr>
              <w:t xml:space="preserve"> </w:t>
            </w:r>
            <w:r w:rsidR="00330118" w:rsidRPr="00392EAD">
              <w:rPr>
                <w:lang w:val="pt-BR"/>
              </w:rPr>
              <w:t>Navio</w:t>
            </w:r>
            <w:r w:rsidR="00330118" w:rsidRPr="00392EAD">
              <w:rPr>
                <w:spacing w:val="-5"/>
                <w:lang w:val="pt-BR"/>
              </w:rPr>
              <w:t xml:space="preserve"> </w:t>
            </w:r>
            <w:r w:rsidR="00330118" w:rsidRPr="00392EAD">
              <w:rPr>
                <w:lang w:val="pt-BR"/>
              </w:rPr>
              <w:t>(AP)...................................</w:t>
            </w:r>
            <w:r w:rsidR="00330118" w:rsidRPr="00392EAD">
              <w:rPr>
                <w:lang w:val="pt-BR"/>
              </w:rPr>
              <w:tab/>
              <w:t>32</w:t>
            </w:r>
          </w:hyperlink>
        </w:p>
        <w:p w:rsidR="00D81F69" w:rsidRDefault="00D81F69">
          <w:pPr>
            <w:pStyle w:val="TOC4"/>
            <w:tabs>
              <w:tab w:val="left" w:pos="9658"/>
            </w:tabs>
          </w:pPr>
          <w:r w:rsidRPr="00D81F69">
            <w:pict>
              <v:line id="_x0000_s1096" style="position:absolute;left:0;text-align:left;z-index:4312;mso-position-horizontal-relative:page" from="49.6pt,14.2pt" to="552.9pt,14.2pt" strokeweight=".48pt">
                <w10:wrap anchorx="page"/>
              </v:line>
            </w:pict>
          </w:r>
          <w:hyperlink w:anchor="_TOC_250015" w:history="1">
            <w:r w:rsidR="00330118" w:rsidRPr="00392EAD">
              <w:rPr>
                <w:lang w:val="pt-BR"/>
              </w:rPr>
              <w:t>Exploração</w:t>
            </w:r>
            <w:r w:rsidR="00330118" w:rsidRPr="00392EAD">
              <w:rPr>
                <w:spacing w:val="-4"/>
                <w:lang w:val="pt-BR"/>
              </w:rPr>
              <w:t xml:space="preserve"> </w:t>
            </w:r>
            <w:r w:rsidR="00330118" w:rsidRPr="00392EAD">
              <w:rPr>
                <w:lang w:val="pt-BR"/>
              </w:rPr>
              <w:t>de</w:t>
            </w:r>
            <w:r w:rsidR="00330118" w:rsidRPr="00392EAD">
              <w:rPr>
                <w:spacing w:val="-5"/>
                <w:lang w:val="pt-BR"/>
              </w:rPr>
              <w:t xml:space="preserve"> </w:t>
            </w:r>
            <w:r w:rsidR="00330118" w:rsidRPr="00392EAD">
              <w:rPr>
                <w:lang w:val="pt-BR"/>
              </w:rPr>
              <w:t>ouro</w:t>
            </w:r>
            <w:r w:rsidR="00330118" w:rsidRPr="00392EAD">
              <w:rPr>
                <w:spacing w:val="-4"/>
                <w:lang w:val="pt-BR"/>
              </w:rPr>
              <w:t xml:space="preserve"> </w:t>
            </w:r>
            <w:r w:rsidR="00330118" w:rsidRPr="00392EAD">
              <w:rPr>
                <w:lang w:val="pt-BR"/>
              </w:rPr>
              <w:t>em</w:t>
            </w:r>
            <w:r w:rsidR="00330118" w:rsidRPr="00392EAD">
              <w:rPr>
                <w:spacing w:val="-4"/>
                <w:lang w:val="pt-BR"/>
              </w:rPr>
              <w:t xml:space="preserve"> </w:t>
            </w:r>
            <w:r w:rsidR="00330118" w:rsidRPr="00392EAD">
              <w:rPr>
                <w:lang w:val="pt-BR"/>
              </w:rPr>
              <w:t>Calçoene</w:t>
            </w:r>
            <w:r w:rsidR="00330118" w:rsidRPr="00392EAD">
              <w:rPr>
                <w:spacing w:val="-3"/>
                <w:lang w:val="pt-BR"/>
              </w:rPr>
              <w:t xml:space="preserve"> </w:t>
            </w:r>
            <w:r w:rsidR="00330118" w:rsidRPr="00392EAD">
              <w:rPr>
                <w:lang w:val="pt-BR"/>
              </w:rPr>
              <w:t>(AP</w:t>
            </w:r>
            <w:r w:rsidR="00330118" w:rsidRPr="00392EAD">
              <w:rPr>
                <w:lang w:val="pt-BR"/>
              </w:rPr>
              <w:t>)</w:t>
            </w:r>
            <w:r w:rsidR="00330118" w:rsidRPr="00392EAD">
              <w:rPr>
                <w:spacing w:val="-4"/>
                <w:lang w:val="pt-BR"/>
              </w:rPr>
              <w:t xml:space="preserve"> </w:t>
            </w:r>
            <w:r w:rsidR="00330118" w:rsidRPr="00392EAD">
              <w:rPr>
                <w:lang w:val="pt-BR"/>
              </w:rPr>
              <w:t>causa</w:t>
            </w:r>
            <w:r w:rsidR="00330118" w:rsidRPr="00392EAD">
              <w:rPr>
                <w:spacing w:val="-5"/>
                <w:lang w:val="pt-BR"/>
              </w:rPr>
              <w:t xml:space="preserve"> </w:t>
            </w:r>
            <w:r w:rsidR="00330118" w:rsidRPr="00392EAD">
              <w:rPr>
                <w:lang w:val="pt-BR"/>
              </w:rPr>
              <w:t>danos</w:t>
            </w:r>
            <w:r w:rsidR="00330118" w:rsidRPr="00392EAD">
              <w:rPr>
                <w:spacing w:val="-4"/>
                <w:lang w:val="pt-BR"/>
              </w:rPr>
              <w:t xml:space="preserve"> </w:t>
            </w:r>
            <w:r w:rsidR="00330118" w:rsidRPr="00392EAD">
              <w:rPr>
                <w:lang w:val="pt-BR"/>
              </w:rPr>
              <w:t>ambientais</w:t>
            </w:r>
            <w:r w:rsidR="00330118" w:rsidRPr="00392EAD">
              <w:rPr>
                <w:spacing w:val="-5"/>
                <w:lang w:val="pt-BR"/>
              </w:rPr>
              <w:t xml:space="preserve"> </w:t>
            </w:r>
            <w:r w:rsidR="00330118" w:rsidRPr="00392EAD">
              <w:rPr>
                <w:lang w:val="pt-BR"/>
              </w:rPr>
              <w:t>e</w:t>
            </w:r>
            <w:r w:rsidR="00330118" w:rsidRPr="00392EAD">
              <w:rPr>
                <w:spacing w:val="-4"/>
                <w:lang w:val="pt-BR"/>
              </w:rPr>
              <w:t xml:space="preserve"> </w:t>
            </w:r>
            <w:r w:rsidR="00330118" w:rsidRPr="00392EAD">
              <w:rPr>
                <w:lang w:val="pt-BR"/>
              </w:rPr>
              <w:t>crise</w:t>
            </w:r>
            <w:r w:rsidR="00330118" w:rsidRPr="00392EAD">
              <w:rPr>
                <w:spacing w:val="-5"/>
                <w:lang w:val="pt-BR"/>
              </w:rPr>
              <w:t xml:space="preserve"> </w:t>
            </w:r>
            <w:r w:rsidR="00330118" w:rsidRPr="00392EAD">
              <w:rPr>
                <w:lang w:val="pt-BR"/>
              </w:rPr>
              <w:t>social.........................................</w:t>
            </w:r>
            <w:r w:rsidR="00330118" w:rsidRPr="00392EAD">
              <w:rPr>
                <w:lang w:val="pt-BR"/>
              </w:rPr>
              <w:tab/>
            </w:r>
            <w:r w:rsidR="00330118">
              <w:t>35</w:t>
            </w:r>
          </w:hyperlink>
        </w:p>
        <w:p w:rsidR="00D81F69" w:rsidRPr="00392EAD" w:rsidRDefault="00D81F69">
          <w:pPr>
            <w:pStyle w:val="TOC4"/>
            <w:tabs>
              <w:tab w:val="left" w:pos="9658"/>
            </w:tabs>
            <w:rPr>
              <w:lang w:val="pt-BR"/>
            </w:rPr>
          </w:pPr>
          <w:r w:rsidRPr="00D81F69">
            <w:pict>
              <v:line id="_x0000_s1095" style="position:absolute;left:0;text-align:left;z-index:4336;mso-position-horizontal-relative:page" from="49.6pt,14.2pt" to="552.9pt,14.2pt" strokeweight=".48pt">
                <w10:wrap anchorx="page"/>
              </v:line>
            </w:pict>
          </w:r>
          <w:hyperlink w:anchor="_TOC_250014" w:history="1">
            <w:r w:rsidR="00330118" w:rsidRPr="00392EAD">
              <w:rPr>
                <w:lang w:val="pt-BR"/>
              </w:rPr>
              <w:t>Extração</w:t>
            </w:r>
            <w:r w:rsidR="00330118" w:rsidRPr="00392EAD">
              <w:rPr>
                <w:spacing w:val="-9"/>
                <w:lang w:val="pt-BR"/>
              </w:rPr>
              <w:t xml:space="preserve"> </w:t>
            </w:r>
            <w:r w:rsidR="00330118" w:rsidRPr="00392EAD">
              <w:rPr>
                <w:lang w:val="pt-BR"/>
              </w:rPr>
              <w:t>de</w:t>
            </w:r>
            <w:r w:rsidR="00330118" w:rsidRPr="00392EAD">
              <w:rPr>
                <w:spacing w:val="-9"/>
                <w:lang w:val="pt-BR"/>
              </w:rPr>
              <w:t xml:space="preserve"> </w:t>
            </w:r>
            <w:r w:rsidR="00330118" w:rsidRPr="00392EAD">
              <w:rPr>
                <w:lang w:val="pt-BR"/>
              </w:rPr>
              <w:t>ouro</w:t>
            </w:r>
            <w:r w:rsidR="00330118" w:rsidRPr="00392EAD">
              <w:rPr>
                <w:spacing w:val="-8"/>
                <w:lang w:val="pt-BR"/>
              </w:rPr>
              <w:t xml:space="preserve"> </w:t>
            </w:r>
            <w:r w:rsidR="00330118" w:rsidRPr="00392EAD">
              <w:rPr>
                <w:lang w:val="pt-BR"/>
              </w:rPr>
              <w:t>gera</w:t>
            </w:r>
            <w:r w:rsidR="00330118" w:rsidRPr="00392EAD">
              <w:rPr>
                <w:spacing w:val="-9"/>
                <w:lang w:val="pt-BR"/>
              </w:rPr>
              <w:t xml:space="preserve"> </w:t>
            </w:r>
            <w:r w:rsidR="00330118" w:rsidRPr="00392EAD">
              <w:rPr>
                <w:lang w:val="pt-BR"/>
              </w:rPr>
              <w:t>disputas</w:t>
            </w:r>
            <w:r w:rsidR="00330118" w:rsidRPr="00392EAD">
              <w:rPr>
                <w:spacing w:val="-9"/>
                <w:lang w:val="pt-BR"/>
              </w:rPr>
              <w:t xml:space="preserve"> </w:t>
            </w:r>
            <w:r w:rsidR="00330118" w:rsidRPr="00392EAD">
              <w:rPr>
                <w:lang w:val="pt-BR"/>
              </w:rPr>
              <w:t>em</w:t>
            </w:r>
            <w:r w:rsidR="00330118" w:rsidRPr="00392EAD">
              <w:rPr>
                <w:spacing w:val="-8"/>
                <w:lang w:val="pt-BR"/>
              </w:rPr>
              <w:t xml:space="preserve"> </w:t>
            </w:r>
            <w:r w:rsidR="00330118" w:rsidRPr="00392EAD">
              <w:rPr>
                <w:lang w:val="pt-BR"/>
              </w:rPr>
              <w:t>Porto</w:t>
            </w:r>
            <w:r w:rsidR="00330118" w:rsidRPr="00392EAD">
              <w:rPr>
                <w:spacing w:val="-9"/>
                <w:lang w:val="pt-BR"/>
              </w:rPr>
              <w:t xml:space="preserve"> </w:t>
            </w:r>
            <w:r w:rsidR="00330118" w:rsidRPr="00392EAD">
              <w:rPr>
                <w:lang w:val="pt-BR"/>
              </w:rPr>
              <w:t>Grande</w:t>
            </w:r>
            <w:r w:rsidR="00330118" w:rsidRPr="00392EAD">
              <w:rPr>
                <w:spacing w:val="-8"/>
                <w:lang w:val="pt-BR"/>
              </w:rPr>
              <w:t xml:space="preserve"> </w:t>
            </w:r>
            <w:r w:rsidR="00330118" w:rsidRPr="00392EAD">
              <w:rPr>
                <w:lang w:val="pt-BR"/>
              </w:rPr>
              <w:t>(AP)...........................................................................</w:t>
            </w:r>
            <w:r w:rsidR="00330118" w:rsidRPr="00392EAD">
              <w:rPr>
                <w:lang w:val="pt-BR"/>
              </w:rPr>
              <w:tab/>
              <w:t>39</w:t>
            </w:r>
          </w:hyperlink>
        </w:p>
        <w:p w:rsidR="00D81F69" w:rsidRPr="00392EAD" w:rsidRDefault="00D81F69">
          <w:pPr>
            <w:pStyle w:val="TOC4"/>
            <w:tabs>
              <w:tab w:val="left" w:pos="9658"/>
            </w:tabs>
            <w:rPr>
              <w:lang w:val="pt-BR"/>
            </w:rPr>
          </w:pPr>
          <w:r w:rsidRPr="00D81F69">
            <w:pict>
              <v:line id="_x0000_s1094" style="position:absolute;left:0;text-align:left;z-index:4360;mso-position-horizontal-relative:page" from="49.6pt,14.2pt" to="552.9pt,14.2pt" strokeweight=".48pt">
                <w10:wrap anchorx="page"/>
              </v:line>
            </w:pict>
          </w:r>
          <w:hyperlink w:anchor="_TOC_250013" w:history="1">
            <w:r w:rsidR="00330118" w:rsidRPr="00392EAD">
              <w:rPr>
                <w:lang w:val="pt-BR"/>
              </w:rPr>
              <w:t>Mineração</w:t>
            </w:r>
            <w:r w:rsidR="00330118" w:rsidRPr="00392EAD">
              <w:rPr>
                <w:spacing w:val="-8"/>
                <w:lang w:val="pt-BR"/>
              </w:rPr>
              <w:t xml:space="preserve"> </w:t>
            </w:r>
            <w:r w:rsidR="00330118" w:rsidRPr="00392EAD">
              <w:rPr>
                <w:lang w:val="pt-BR"/>
              </w:rPr>
              <w:t>ilegal</w:t>
            </w:r>
            <w:r w:rsidR="00330118" w:rsidRPr="00392EAD">
              <w:rPr>
                <w:spacing w:val="-8"/>
                <w:lang w:val="pt-BR"/>
              </w:rPr>
              <w:t xml:space="preserve"> </w:t>
            </w:r>
            <w:r w:rsidR="00330118" w:rsidRPr="00392EAD">
              <w:rPr>
                <w:lang w:val="pt-BR"/>
              </w:rPr>
              <w:t>de</w:t>
            </w:r>
            <w:r w:rsidR="00330118" w:rsidRPr="00392EAD">
              <w:rPr>
                <w:spacing w:val="-7"/>
                <w:lang w:val="pt-BR"/>
              </w:rPr>
              <w:t xml:space="preserve"> </w:t>
            </w:r>
            <w:r w:rsidR="00330118" w:rsidRPr="00392EAD">
              <w:rPr>
                <w:lang w:val="pt-BR"/>
              </w:rPr>
              <w:t>torianita</w:t>
            </w:r>
            <w:r w:rsidR="00330118" w:rsidRPr="00392EAD">
              <w:rPr>
                <w:spacing w:val="-8"/>
                <w:lang w:val="pt-BR"/>
              </w:rPr>
              <w:t xml:space="preserve"> </w:t>
            </w:r>
            <w:r w:rsidR="00330118" w:rsidRPr="00392EAD">
              <w:rPr>
                <w:lang w:val="pt-BR"/>
              </w:rPr>
              <w:t>em</w:t>
            </w:r>
            <w:r w:rsidR="00330118" w:rsidRPr="00392EAD">
              <w:rPr>
                <w:spacing w:val="-7"/>
                <w:lang w:val="pt-BR"/>
              </w:rPr>
              <w:t xml:space="preserve"> </w:t>
            </w:r>
            <w:r w:rsidR="00330118" w:rsidRPr="00392EAD">
              <w:rPr>
                <w:lang w:val="pt-BR"/>
              </w:rPr>
              <w:t>municípios</w:t>
            </w:r>
            <w:r w:rsidR="00330118" w:rsidRPr="00392EAD">
              <w:rPr>
                <w:spacing w:val="-8"/>
                <w:lang w:val="pt-BR"/>
              </w:rPr>
              <w:t xml:space="preserve"> </w:t>
            </w:r>
            <w:r w:rsidR="00330118" w:rsidRPr="00392EAD">
              <w:rPr>
                <w:lang w:val="pt-BR"/>
              </w:rPr>
              <w:t>do</w:t>
            </w:r>
            <w:r w:rsidR="00330118" w:rsidRPr="00392EAD">
              <w:rPr>
                <w:spacing w:val="-7"/>
                <w:lang w:val="pt-BR"/>
              </w:rPr>
              <w:t xml:space="preserve"> </w:t>
            </w:r>
            <w:r w:rsidR="00330118" w:rsidRPr="00392EAD">
              <w:rPr>
                <w:lang w:val="pt-BR"/>
              </w:rPr>
              <w:t>Amapá</w:t>
            </w:r>
            <w:r w:rsidR="00330118" w:rsidRPr="00392EAD">
              <w:rPr>
                <w:spacing w:val="-8"/>
                <w:lang w:val="pt-BR"/>
              </w:rPr>
              <w:t xml:space="preserve"> </w:t>
            </w:r>
            <w:r w:rsidR="00330118" w:rsidRPr="00392EAD">
              <w:rPr>
                <w:lang w:val="pt-BR"/>
              </w:rPr>
              <w:t>(AP)..................................................................</w:t>
            </w:r>
            <w:r w:rsidR="00330118" w:rsidRPr="00392EAD">
              <w:rPr>
                <w:lang w:val="pt-BR"/>
              </w:rPr>
              <w:tab/>
              <w:t>43</w:t>
            </w:r>
          </w:hyperlink>
        </w:p>
        <w:p w:rsidR="00D81F69" w:rsidRDefault="00D81F69">
          <w:pPr>
            <w:pStyle w:val="TOC4"/>
            <w:tabs>
              <w:tab w:val="left" w:pos="9659"/>
            </w:tabs>
            <w:spacing w:before="9"/>
          </w:pPr>
          <w:r w:rsidRPr="00D81F69">
            <w:pict>
              <v:line id="_x0000_s1093" style="position:absolute;left:0;text-align:left;z-index:4384;mso-position-horizontal-relative:page" from="49.6pt,14.15pt" to="552.9pt,14.15pt" strokeweight=".48pt">
                <w10:wrap anchorx="page"/>
              </v:line>
            </w:pict>
          </w:r>
          <w:hyperlink w:anchor="_TOC_250012" w:history="1">
            <w:r w:rsidR="00330118" w:rsidRPr="00392EAD">
              <w:rPr>
                <w:lang w:val="pt-BR"/>
              </w:rPr>
              <w:t>Estrada</w:t>
            </w:r>
            <w:r w:rsidR="00330118" w:rsidRPr="00392EAD">
              <w:rPr>
                <w:spacing w:val="-4"/>
                <w:lang w:val="pt-BR"/>
              </w:rPr>
              <w:t xml:space="preserve"> </w:t>
            </w:r>
            <w:r w:rsidR="00330118" w:rsidRPr="00392EAD">
              <w:rPr>
                <w:lang w:val="pt-BR"/>
              </w:rPr>
              <w:t>de</w:t>
            </w:r>
            <w:r w:rsidR="00330118" w:rsidRPr="00392EAD">
              <w:rPr>
                <w:spacing w:val="-4"/>
                <w:lang w:val="pt-BR"/>
              </w:rPr>
              <w:t xml:space="preserve"> </w:t>
            </w:r>
            <w:r w:rsidR="00330118" w:rsidRPr="00392EAD">
              <w:rPr>
                <w:lang w:val="pt-BR"/>
              </w:rPr>
              <w:t>Ferro</w:t>
            </w:r>
            <w:r w:rsidR="00330118" w:rsidRPr="00392EAD">
              <w:rPr>
                <w:spacing w:val="-4"/>
                <w:lang w:val="pt-BR"/>
              </w:rPr>
              <w:t xml:space="preserve"> </w:t>
            </w:r>
            <w:r w:rsidR="00330118" w:rsidRPr="00392EAD">
              <w:rPr>
                <w:lang w:val="pt-BR"/>
              </w:rPr>
              <w:t>Carajás</w:t>
            </w:r>
            <w:r w:rsidR="00330118" w:rsidRPr="00392EAD">
              <w:rPr>
                <w:spacing w:val="-4"/>
                <w:lang w:val="pt-BR"/>
              </w:rPr>
              <w:t xml:space="preserve"> </w:t>
            </w:r>
            <w:r w:rsidR="00330118" w:rsidRPr="00392EAD">
              <w:rPr>
                <w:lang w:val="pt-BR"/>
              </w:rPr>
              <w:t>afeta</w:t>
            </w:r>
            <w:r w:rsidR="00330118" w:rsidRPr="00392EAD">
              <w:rPr>
                <w:spacing w:val="-5"/>
                <w:lang w:val="pt-BR"/>
              </w:rPr>
              <w:t xml:space="preserve"> </w:t>
            </w:r>
            <w:r w:rsidR="00330118" w:rsidRPr="00392EAD">
              <w:rPr>
                <w:lang w:val="pt-BR"/>
              </w:rPr>
              <w:t>comunidades</w:t>
            </w:r>
            <w:r w:rsidR="00330118" w:rsidRPr="00392EAD">
              <w:rPr>
                <w:spacing w:val="-4"/>
                <w:lang w:val="pt-BR"/>
              </w:rPr>
              <w:t xml:space="preserve"> </w:t>
            </w:r>
            <w:r w:rsidR="00330118" w:rsidRPr="00392EAD">
              <w:rPr>
                <w:lang w:val="pt-BR"/>
              </w:rPr>
              <w:t>tradicionais</w:t>
            </w:r>
            <w:r w:rsidR="00330118" w:rsidRPr="00392EAD">
              <w:rPr>
                <w:spacing w:val="-4"/>
                <w:lang w:val="pt-BR"/>
              </w:rPr>
              <w:t xml:space="preserve"> </w:t>
            </w:r>
            <w:r w:rsidR="00330118" w:rsidRPr="00392EAD">
              <w:rPr>
                <w:lang w:val="pt-BR"/>
              </w:rPr>
              <w:t>do</w:t>
            </w:r>
            <w:r w:rsidR="00330118" w:rsidRPr="00392EAD">
              <w:rPr>
                <w:spacing w:val="-4"/>
                <w:lang w:val="pt-BR"/>
              </w:rPr>
              <w:t xml:space="preserve"> </w:t>
            </w:r>
            <w:r w:rsidR="00330118" w:rsidRPr="00392EAD">
              <w:rPr>
                <w:lang w:val="pt-BR"/>
              </w:rPr>
              <w:t>Pará,</w:t>
            </w:r>
            <w:r w:rsidR="00330118" w:rsidRPr="00392EAD">
              <w:rPr>
                <w:spacing w:val="-5"/>
                <w:lang w:val="pt-BR"/>
              </w:rPr>
              <w:t xml:space="preserve"> </w:t>
            </w:r>
            <w:r w:rsidR="00330118" w:rsidRPr="00392EAD">
              <w:rPr>
                <w:lang w:val="pt-BR"/>
              </w:rPr>
              <w:t>Maranhã</w:t>
            </w:r>
            <w:r w:rsidR="00330118" w:rsidRPr="00392EAD">
              <w:rPr>
                <w:lang w:val="pt-BR"/>
              </w:rPr>
              <w:t>o</w:t>
            </w:r>
            <w:r w:rsidR="00330118" w:rsidRPr="00392EAD">
              <w:rPr>
                <w:spacing w:val="-5"/>
                <w:lang w:val="pt-BR"/>
              </w:rPr>
              <w:t xml:space="preserve"> </w:t>
            </w:r>
            <w:r w:rsidR="00330118" w:rsidRPr="00392EAD">
              <w:rPr>
                <w:lang w:val="pt-BR"/>
              </w:rPr>
              <w:t>e</w:t>
            </w:r>
            <w:r w:rsidR="00330118" w:rsidRPr="00392EAD">
              <w:rPr>
                <w:spacing w:val="-4"/>
                <w:lang w:val="pt-BR"/>
              </w:rPr>
              <w:t xml:space="preserve"> </w:t>
            </w:r>
            <w:r w:rsidR="00330118" w:rsidRPr="00392EAD">
              <w:rPr>
                <w:lang w:val="pt-BR"/>
              </w:rPr>
              <w:t>Tocantins....................</w:t>
            </w:r>
            <w:r w:rsidR="00330118" w:rsidRPr="00392EAD">
              <w:rPr>
                <w:lang w:val="pt-BR"/>
              </w:rPr>
              <w:tab/>
            </w:r>
            <w:r w:rsidR="00330118">
              <w:t>45</w:t>
            </w:r>
          </w:hyperlink>
        </w:p>
        <w:p w:rsidR="00D81F69" w:rsidRPr="00392EAD" w:rsidRDefault="00D81F69">
          <w:pPr>
            <w:pStyle w:val="TOC4"/>
            <w:tabs>
              <w:tab w:val="left" w:pos="9658"/>
            </w:tabs>
            <w:rPr>
              <w:lang w:val="pt-BR"/>
            </w:rPr>
          </w:pPr>
          <w:r w:rsidRPr="00D81F69">
            <w:pict>
              <v:line id="_x0000_s1092" style="position:absolute;left:0;text-align:left;z-index:4408;mso-position-horizontal-relative:page" from="49.6pt,14.2pt" to="552.9pt,14.2pt" strokeweight=".48pt">
                <w10:wrap anchorx="page"/>
              </v:line>
            </w:pict>
          </w:r>
          <w:hyperlink w:anchor="_TOC_250011" w:history="1">
            <w:r w:rsidR="00330118" w:rsidRPr="00392EAD">
              <w:rPr>
                <w:lang w:val="pt-BR"/>
              </w:rPr>
              <w:t>Exploração</w:t>
            </w:r>
            <w:r w:rsidR="00330118" w:rsidRPr="00392EAD">
              <w:rPr>
                <w:spacing w:val="-6"/>
                <w:lang w:val="pt-BR"/>
              </w:rPr>
              <w:t xml:space="preserve"> </w:t>
            </w:r>
            <w:r w:rsidR="00330118" w:rsidRPr="00392EAD">
              <w:rPr>
                <w:lang w:val="pt-BR"/>
              </w:rPr>
              <w:t>de</w:t>
            </w:r>
            <w:r w:rsidR="00330118" w:rsidRPr="00392EAD">
              <w:rPr>
                <w:spacing w:val="-7"/>
                <w:lang w:val="pt-BR"/>
              </w:rPr>
              <w:t xml:space="preserve"> </w:t>
            </w:r>
            <w:r w:rsidR="00330118" w:rsidRPr="00392EAD">
              <w:rPr>
                <w:lang w:val="pt-BR"/>
              </w:rPr>
              <w:t>bauxita</w:t>
            </w:r>
            <w:r w:rsidR="00330118" w:rsidRPr="00392EAD">
              <w:rPr>
                <w:spacing w:val="-5"/>
                <w:lang w:val="pt-BR"/>
              </w:rPr>
              <w:t xml:space="preserve"> </w:t>
            </w:r>
            <w:r w:rsidR="00330118" w:rsidRPr="00392EAD">
              <w:rPr>
                <w:lang w:val="pt-BR"/>
              </w:rPr>
              <w:t>gera</w:t>
            </w:r>
            <w:r w:rsidR="00330118" w:rsidRPr="00392EAD">
              <w:rPr>
                <w:spacing w:val="-7"/>
                <w:lang w:val="pt-BR"/>
              </w:rPr>
              <w:t xml:space="preserve"> </w:t>
            </w:r>
            <w:r w:rsidR="00330118" w:rsidRPr="00392EAD">
              <w:rPr>
                <w:lang w:val="pt-BR"/>
              </w:rPr>
              <w:t>danos</w:t>
            </w:r>
            <w:r w:rsidR="00330118" w:rsidRPr="00392EAD">
              <w:rPr>
                <w:spacing w:val="-6"/>
                <w:lang w:val="pt-BR"/>
              </w:rPr>
              <w:t xml:space="preserve"> </w:t>
            </w:r>
            <w:r w:rsidR="00330118" w:rsidRPr="00392EAD">
              <w:rPr>
                <w:lang w:val="pt-BR"/>
              </w:rPr>
              <w:t>socioambientais</w:t>
            </w:r>
            <w:r w:rsidR="00330118" w:rsidRPr="00392EAD">
              <w:rPr>
                <w:spacing w:val="-6"/>
                <w:lang w:val="pt-BR"/>
              </w:rPr>
              <w:t xml:space="preserve"> </w:t>
            </w:r>
            <w:r w:rsidR="00330118" w:rsidRPr="00392EAD">
              <w:rPr>
                <w:lang w:val="pt-BR"/>
              </w:rPr>
              <w:t>em</w:t>
            </w:r>
            <w:r w:rsidR="00330118" w:rsidRPr="00392EAD">
              <w:rPr>
                <w:spacing w:val="-7"/>
                <w:lang w:val="pt-BR"/>
              </w:rPr>
              <w:t xml:space="preserve"> </w:t>
            </w:r>
            <w:r w:rsidR="00330118" w:rsidRPr="00392EAD">
              <w:rPr>
                <w:lang w:val="pt-BR"/>
              </w:rPr>
              <w:t>Juriti</w:t>
            </w:r>
            <w:r w:rsidR="00330118" w:rsidRPr="00392EAD">
              <w:rPr>
                <w:spacing w:val="-6"/>
                <w:lang w:val="pt-BR"/>
              </w:rPr>
              <w:t xml:space="preserve"> </w:t>
            </w:r>
            <w:r w:rsidR="00330118" w:rsidRPr="00392EAD">
              <w:rPr>
                <w:lang w:val="pt-BR"/>
              </w:rPr>
              <w:t>(PA)..........................................................</w:t>
            </w:r>
            <w:r w:rsidR="00330118" w:rsidRPr="00392EAD">
              <w:rPr>
                <w:lang w:val="pt-BR"/>
              </w:rPr>
              <w:tab/>
              <w:t>49</w:t>
            </w:r>
          </w:hyperlink>
        </w:p>
        <w:p w:rsidR="00D81F69" w:rsidRPr="00392EAD" w:rsidRDefault="00D81F69">
          <w:pPr>
            <w:pStyle w:val="TOC4"/>
            <w:tabs>
              <w:tab w:val="left" w:pos="9659"/>
            </w:tabs>
            <w:spacing w:before="11"/>
            <w:rPr>
              <w:lang w:val="pt-BR"/>
            </w:rPr>
          </w:pPr>
          <w:r w:rsidRPr="00D81F69">
            <w:pict>
              <v:line id="_x0000_s1091" style="position:absolute;left:0;text-align:left;z-index:4432;mso-position-horizontal-relative:page" from="49.6pt,14.2pt" to="552.9pt,14.2pt" strokeweight=".48pt">
                <w10:wrap anchorx="page"/>
              </v:line>
            </w:pict>
          </w:r>
          <w:hyperlink w:anchor="_TOC_250010" w:history="1">
            <w:r w:rsidR="00330118" w:rsidRPr="00392EAD">
              <w:rPr>
                <w:lang w:val="pt-BR"/>
              </w:rPr>
              <w:t>Polo</w:t>
            </w:r>
            <w:r w:rsidR="00330118" w:rsidRPr="00392EAD">
              <w:rPr>
                <w:spacing w:val="-8"/>
                <w:lang w:val="pt-BR"/>
              </w:rPr>
              <w:t xml:space="preserve"> </w:t>
            </w:r>
            <w:r w:rsidR="00330118" w:rsidRPr="00392EAD">
              <w:rPr>
                <w:lang w:val="pt-BR"/>
              </w:rPr>
              <w:t>industrial</w:t>
            </w:r>
            <w:r w:rsidR="00330118" w:rsidRPr="00392EAD">
              <w:rPr>
                <w:spacing w:val="-8"/>
                <w:lang w:val="pt-BR"/>
              </w:rPr>
              <w:t xml:space="preserve"> </w:t>
            </w:r>
            <w:r w:rsidR="00330118" w:rsidRPr="00392EAD">
              <w:rPr>
                <w:lang w:val="pt-BR"/>
              </w:rPr>
              <w:t>causa</w:t>
            </w:r>
            <w:r w:rsidR="00330118" w:rsidRPr="00392EAD">
              <w:rPr>
                <w:spacing w:val="-9"/>
                <w:lang w:val="pt-BR"/>
              </w:rPr>
              <w:t xml:space="preserve"> </w:t>
            </w:r>
            <w:r w:rsidR="00330118" w:rsidRPr="00392EAD">
              <w:rPr>
                <w:lang w:val="pt-BR"/>
              </w:rPr>
              <w:t>danos</w:t>
            </w:r>
            <w:r w:rsidR="00330118" w:rsidRPr="00392EAD">
              <w:rPr>
                <w:spacing w:val="-8"/>
                <w:lang w:val="pt-BR"/>
              </w:rPr>
              <w:t xml:space="preserve"> </w:t>
            </w:r>
            <w:r w:rsidR="00330118" w:rsidRPr="00392EAD">
              <w:rPr>
                <w:lang w:val="pt-BR"/>
              </w:rPr>
              <w:t>socioambientais</w:t>
            </w:r>
            <w:r w:rsidR="00330118" w:rsidRPr="00392EAD">
              <w:rPr>
                <w:spacing w:val="-8"/>
                <w:lang w:val="pt-BR"/>
              </w:rPr>
              <w:t xml:space="preserve"> </w:t>
            </w:r>
            <w:r w:rsidR="00330118" w:rsidRPr="00392EAD">
              <w:rPr>
                <w:lang w:val="pt-BR"/>
              </w:rPr>
              <w:t>em</w:t>
            </w:r>
            <w:r w:rsidR="00330118" w:rsidRPr="00392EAD">
              <w:rPr>
                <w:spacing w:val="-8"/>
                <w:lang w:val="pt-BR"/>
              </w:rPr>
              <w:t xml:space="preserve"> </w:t>
            </w:r>
            <w:r w:rsidR="00330118" w:rsidRPr="00392EAD">
              <w:rPr>
                <w:lang w:val="pt-BR"/>
              </w:rPr>
              <w:t>Barcarena</w:t>
            </w:r>
            <w:r w:rsidR="00330118" w:rsidRPr="00392EAD">
              <w:rPr>
                <w:spacing w:val="-9"/>
                <w:lang w:val="pt-BR"/>
              </w:rPr>
              <w:t xml:space="preserve"> </w:t>
            </w:r>
            <w:r w:rsidR="00330118" w:rsidRPr="00392EAD">
              <w:rPr>
                <w:lang w:val="pt-BR"/>
              </w:rPr>
              <w:t>(PA)............................................................</w:t>
            </w:r>
            <w:r w:rsidR="00330118" w:rsidRPr="00392EAD">
              <w:rPr>
                <w:lang w:val="pt-BR"/>
              </w:rPr>
              <w:tab/>
              <w:t>52</w:t>
            </w:r>
          </w:hyperlink>
        </w:p>
        <w:p w:rsidR="00D81F69" w:rsidRPr="00392EAD" w:rsidRDefault="00D81F69">
          <w:pPr>
            <w:pStyle w:val="TOC4"/>
            <w:tabs>
              <w:tab w:val="left" w:pos="9659"/>
            </w:tabs>
            <w:rPr>
              <w:lang w:val="pt-BR"/>
            </w:rPr>
          </w:pPr>
          <w:r w:rsidRPr="00D81F69">
            <w:pict>
              <v:line id="_x0000_s1090" style="position:absolute;left:0;text-align:left;z-index:4456;mso-position-horizontal-relative:page" from="49.6pt,14.15pt" to="552.9pt,14.15pt" strokeweight=".48pt">
                <w10:wrap anchorx="page"/>
              </v:line>
            </w:pict>
          </w:r>
          <w:hyperlink w:anchor="_TOC_250009" w:history="1">
            <w:r w:rsidR="00330118" w:rsidRPr="00392EAD">
              <w:rPr>
                <w:lang w:val="pt-BR"/>
              </w:rPr>
              <w:t>Extração da bauxita afeta sociedade e ambiente em</w:t>
            </w:r>
            <w:r w:rsidR="00330118" w:rsidRPr="00392EAD">
              <w:rPr>
                <w:spacing w:val="-1"/>
                <w:lang w:val="pt-BR"/>
              </w:rPr>
              <w:t xml:space="preserve"> </w:t>
            </w:r>
            <w:r w:rsidR="00330118" w:rsidRPr="00392EAD">
              <w:rPr>
                <w:lang w:val="pt-BR"/>
              </w:rPr>
              <w:t>Oriximiná</w:t>
            </w:r>
            <w:r w:rsidR="00330118" w:rsidRPr="00392EAD">
              <w:rPr>
                <w:spacing w:val="-5"/>
                <w:lang w:val="pt-BR"/>
              </w:rPr>
              <w:t xml:space="preserve"> </w:t>
            </w:r>
            <w:r w:rsidR="00330118" w:rsidRPr="00392EAD">
              <w:rPr>
                <w:lang w:val="pt-BR"/>
              </w:rPr>
              <w:t>(PA).....................................................</w:t>
            </w:r>
            <w:r w:rsidR="00330118" w:rsidRPr="00392EAD">
              <w:rPr>
                <w:lang w:val="pt-BR"/>
              </w:rPr>
              <w:tab/>
              <w:t>56</w:t>
            </w:r>
          </w:hyperlink>
        </w:p>
        <w:p w:rsidR="00D81F69" w:rsidRDefault="00D81F69">
          <w:pPr>
            <w:pStyle w:val="TOC4"/>
            <w:tabs>
              <w:tab w:val="left" w:pos="9659"/>
            </w:tabs>
          </w:pPr>
          <w:r w:rsidRPr="00D81F69">
            <w:pict>
              <v:line id="_x0000_s1089" style="position:absolute;left:0;text-align:left;z-index:4480;mso-position-horizontal-relative:page" from="49.6pt,14.2pt" to="552.9pt,14.2pt" strokeweight=".48pt">
                <w10:wrap anchorx="page"/>
              </v:line>
            </w:pict>
          </w:r>
          <w:hyperlink w:anchor="_TOC_250008" w:history="1">
            <w:r w:rsidR="00330118" w:rsidRPr="00392EAD">
              <w:rPr>
                <w:lang w:val="pt-BR"/>
              </w:rPr>
              <w:t>Mineração</w:t>
            </w:r>
            <w:r w:rsidR="00330118" w:rsidRPr="00392EAD">
              <w:rPr>
                <w:spacing w:val="-6"/>
                <w:lang w:val="pt-BR"/>
              </w:rPr>
              <w:t xml:space="preserve"> </w:t>
            </w:r>
            <w:r w:rsidR="00330118" w:rsidRPr="00392EAD">
              <w:rPr>
                <w:lang w:val="pt-BR"/>
              </w:rPr>
              <w:t>e</w:t>
            </w:r>
            <w:r w:rsidR="00330118" w:rsidRPr="00392EAD">
              <w:rPr>
                <w:spacing w:val="-5"/>
                <w:lang w:val="pt-BR"/>
              </w:rPr>
              <w:t xml:space="preserve"> </w:t>
            </w:r>
            <w:r w:rsidR="00330118" w:rsidRPr="00392EAD">
              <w:rPr>
                <w:lang w:val="pt-BR"/>
              </w:rPr>
              <w:t>beneficiamento</w:t>
            </w:r>
            <w:r w:rsidR="00330118" w:rsidRPr="00392EAD">
              <w:rPr>
                <w:spacing w:val="-5"/>
                <w:lang w:val="pt-BR"/>
              </w:rPr>
              <w:t xml:space="preserve"> </w:t>
            </w:r>
            <w:r w:rsidR="00330118" w:rsidRPr="00392EAD">
              <w:rPr>
                <w:lang w:val="pt-BR"/>
              </w:rPr>
              <w:t>de</w:t>
            </w:r>
            <w:r w:rsidR="00330118" w:rsidRPr="00392EAD">
              <w:rPr>
                <w:spacing w:val="-5"/>
                <w:lang w:val="pt-BR"/>
              </w:rPr>
              <w:t xml:space="preserve"> </w:t>
            </w:r>
            <w:r w:rsidR="00330118" w:rsidRPr="00392EAD">
              <w:rPr>
                <w:lang w:val="pt-BR"/>
              </w:rPr>
              <w:t>caulim</w:t>
            </w:r>
            <w:r w:rsidR="00330118" w:rsidRPr="00392EAD">
              <w:rPr>
                <w:spacing w:val="-5"/>
                <w:lang w:val="pt-BR"/>
              </w:rPr>
              <w:t xml:space="preserve"> </w:t>
            </w:r>
            <w:r w:rsidR="00330118" w:rsidRPr="00392EAD">
              <w:rPr>
                <w:lang w:val="pt-BR"/>
              </w:rPr>
              <w:t>afetam</w:t>
            </w:r>
            <w:r w:rsidR="00330118" w:rsidRPr="00392EAD">
              <w:rPr>
                <w:spacing w:val="-5"/>
                <w:lang w:val="pt-BR"/>
              </w:rPr>
              <w:t xml:space="preserve"> </w:t>
            </w:r>
            <w:r w:rsidR="00330118" w:rsidRPr="00392EAD">
              <w:rPr>
                <w:lang w:val="pt-BR"/>
              </w:rPr>
              <w:t>meio</w:t>
            </w:r>
            <w:r w:rsidR="00330118" w:rsidRPr="00392EAD">
              <w:rPr>
                <w:spacing w:val="-4"/>
                <w:lang w:val="pt-BR"/>
              </w:rPr>
              <w:t xml:space="preserve"> </w:t>
            </w:r>
            <w:r w:rsidR="00330118" w:rsidRPr="00392EAD">
              <w:rPr>
                <w:lang w:val="pt-BR"/>
              </w:rPr>
              <w:t>ambiente</w:t>
            </w:r>
            <w:r w:rsidR="00330118" w:rsidRPr="00392EAD">
              <w:rPr>
                <w:spacing w:val="-4"/>
                <w:lang w:val="pt-BR"/>
              </w:rPr>
              <w:t xml:space="preserve"> </w:t>
            </w:r>
            <w:r w:rsidR="00330118" w:rsidRPr="00392EAD">
              <w:rPr>
                <w:lang w:val="pt-BR"/>
              </w:rPr>
              <w:t>na</w:t>
            </w:r>
            <w:r w:rsidR="00330118" w:rsidRPr="00392EAD">
              <w:rPr>
                <w:spacing w:val="-4"/>
                <w:lang w:val="pt-BR"/>
              </w:rPr>
              <w:t xml:space="preserve"> </w:t>
            </w:r>
            <w:r w:rsidR="00330118" w:rsidRPr="00392EAD">
              <w:rPr>
                <w:lang w:val="pt-BR"/>
              </w:rPr>
              <w:t>Amazônia</w:t>
            </w:r>
            <w:r w:rsidR="00330118" w:rsidRPr="00392EAD">
              <w:rPr>
                <w:spacing w:val="-6"/>
                <w:lang w:val="pt-BR"/>
              </w:rPr>
              <w:t xml:space="preserve"> </w:t>
            </w:r>
            <w:r w:rsidR="00330118" w:rsidRPr="00392EAD">
              <w:rPr>
                <w:lang w:val="pt-BR"/>
              </w:rPr>
              <w:t>Oriental.........................</w:t>
            </w:r>
            <w:r w:rsidR="00330118" w:rsidRPr="00392EAD">
              <w:rPr>
                <w:lang w:val="pt-BR"/>
              </w:rPr>
              <w:tab/>
            </w:r>
            <w:r w:rsidR="00330118">
              <w:t>60</w:t>
            </w:r>
          </w:hyperlink>
        </w:p>
        <w:p w:rsidR="00D81F69" w:rsidRDefault="00D81F69">
          <w:pPr>
            <w:pStyle w:val="TOC4"/>
            <w:tabs>
              <w:tab w:val="left" w:pos="9658"/>
            </w:tabs>
          </w:pPr>
          <w:r w:rsidRPr="00D81F69">
            <w:pict>
              <v:line id="_x0000_s1088" style="position:absolute;left:0;text-align:left;z-index:4504;mso-position-horizontal-relative:page" from="49.6pt,14.2pt" to="552.9pt,14.2pt" strokeweight=".48pt">
                <w10:wrap anchorx="page"/>
              </v:line>
            </w:pict>
          </w:r>
          <w:hyperlink w:anchor="_TOC_250007" w:history="1">
            <w:r w:rsidR="00330118" w:rsidRPr="00392EAD">
              <w:rPr>
                <w:lang w:val="pt-BR"/>
              </w:rPr>
              <w:t>Projeto</w:t>
            </w:r>
            <w:r w:rsidR="00330118" w:rsidRPr="00392EAD">
              <w:rPr>
                <w:spacing w:val="-7"/>
                <w:lang w:val="pt-BR"/>
              </w:rPr>
              <w:t xml:space="preserve"> </w:t>
            </w:r>
            <w:r w:rsidR="00330118" w:rsidRPr="00392EAD">
              <w:rPr>
                <w:lang w:val="pt-BR"/>
              </w:rPr>
              <w:t>de</w:t>
            </w:r>
            <w:r w:rsidR="00330118" w:rsidRPr="00392EAD">
              <w:rPr>
                <w:spacing w:val="-7"/>
                <w:lang w:val="pt-BR"/>
              </w:rPr>
              <w:t xml:space="preserve"> </w:t>
            </w:r>
            <w:r w:rsidR="00330118" w:rsidRPr="00392EAD">
              <w:rPr>
                <w:lang w:val="pt-BR"/>
              </w:rPr>
              <w:t>mineração</w:t>
            </w:r>
            <w:r w:rsidR="00330118" w:rsidRPr="00392EAD">
              <w:rPr>
                <w:spacing w:val="-6"/>
                <w:lang w:val="pt-BR"/>
              </w:rPr>
              <w:t xml:space="preserve"> </w:t>
            </w:r>
            <w:r w:rsidR="00330118" w:rsidRPr="00392EAD">
              <w:rPr>
                <w:lang w:val="pt-BR"/>
              </w:rPr>
              <w:t>de</w:t>
            </w:r>
            <w:r w:rsidR="00330118" w:rsidRPr="00392EAD">
              <w:rPr>
                <w:spacing w:val="-6"/>
                <w:lang w:val="pt-BR"/>
              </w:rPr>
              <w:t xml:space="preserve"> </w:t>
            </w:r>
            <w:r w:rsidR="00330118" w:rsidRPr="00392EAD">
              <w:rPr>
                <w:lang w:val="pt-BR"/>
              </w:rPr>
              <w:t>cobre</w:t>
            </w:r>
            <w:r w:rsidR="00330118" w:rsidRPr="00392EAD">
              <w:rPr>
                <w:spacing w:val="-7"/>
                <w:lang w:val="pt-BR"/>
              </w:rPr>
              <w:t xml:space="preserve"> </w:t>
            </w:r>
            <w:r w:rsidR="00330118" w:rsidRPr="00392EAD">
              <w:rPr>
                <w:lang w:val="pt-BR"/>
              </w:rPr>
              <w:t>em</w:t>
            </w:r>
            <w:r w:rsidR="00330118" w:rsidRPr="00392EAD">
              <w:rPr>
                <w:spacing w:val="-6"/>
                <w:lang w:val="pt-BR"/>
              </w:rPr>
              <w:t xml:space="preserve"> </w:t>
            </w:r>
            <w:r w:rsidR="00330118" w:rsidRPr="00392EAD">
              <w:rPr>
                <w:lang w:val="pt-BR"/>
              </w:rPr>
              <w:t>Marabá</w:t>
            </w:r>
            <w:r w:rsidR="00330118" w:rsidRPr="00392EAD">
              <w:rPr>
                <w:spacing w:val="-6"/>
                <w:lang w:val="pt-BR"/>
              </w:rPr>
              <w:t xml:space="preserve"> </w:t>
            </w:r>
            <w:r w:rsidR="00330118" w:rsidRPr="00392EAD">
              <w:rPr>
                <w:lang w:val="pt-BR"/>
              </w:rPr>
              <w:t>(PA)</w:t>
            </w:r>
            <w:r w:rsidR="00330118" w:rsidRPr="00392EAD">
              <w:rPr>
                <w:spacing w:val="-6"/>
                <w:lang w:val="pt-BR"/>
              </w:rPr>
              <w:t xml:space="preserve"> </w:t>
            </w:r>
            <w:r w:rsidR="00330118" w:rsidRPr="00392EAD">
              <w:rPr>
                <w:lang w:val="pt-BR"/>
              </w:rPr>
              <w:t>causa</w:t>
            </w:r>
            <w:r w:rsidR="00330118" w:rsidRPr="00392EAD">
              <w:rPr>
                <w:spacing w:val="-7"/>
                <w:lang w:val="pt-BR"/>
              </w:rPr>
              <w:t xml:space="preserve"> </w:t>
            </w:r>
            <w:r w:rsidR="00330118" w:rsidRPr="00392EAD">
              <w:rPr>
                <w:lang w:val="pt-BR"/>
              </w:rPr>
              <w:t>danos</w:t>
            </w:r>
            <w:r w:rsidR="00330118" w:rsidRPr="00392EAD">
              <w:rPr>
                <w:spacing w:val="-6"/>
                <w:lang w:val="pt-BR"/>
              </w:rPr>
              <w:t xml:space="preserve"> </w:t>
            </w:r>
            <w:r w:rsidR="00330118" w:rsidRPr="00392EAD">
              <w:rPr>
                <w:lang w:val="pt-BR"/>
              </w:rPr>
              <w:t>socioambientais.........................</w:t>
            </w:r>
            <w:r w:rsidR="00330118" w:rsidRPr="00392EAD">
              <w:rPr>
                <w:lang w:val="pt-BR"/>
              </w:rPr>
              <w:t>............</w:t>
            </w:r>
            <w:r w:rsidR="00330118" w:rsidRPr="00392EAD">
              <w:rPr>
                <w:lang w:val="pt-BR"/>
              </w:rPr>
              <w:tab/>
            </w:r>
            <w:r w:rsidR="00330118">
              <w:t>64</w:t>
            </w:r>
          </w:hyperlink>
        </w:p>
        <w:p w:rsidR="00D81F69" w:rsidRPr="00392EAD" w:rsidRDefault="00D81F69">
          <w:pPr>
            <w:pStyle w:val="TOC4"/>
            <w:tabs>
              <w:tab w:val="left" w:pos="9659"/>
            </w:tabs>
            <w:rPr>
              <w:lang w:val="pt-BR"/>
            </w:rPr>
          </w:pPr>
          <w:r w:rsidRPr="00D81F69">
            <w:pict>
              <v:line id="_x0000_s1087" style="position:absolute;left:0;text-align:left;z-index:4528;mso-position-horizontal-relative:page" from="49.6pt,14.2pt" to="552.9pt,14.2pt" strokeweight=".48pt">
                <w10:wrap anchorx="page"/>
              </v:line>
            </w:pict>
          </w:r>
          <w:hyperlink w:anchor="_TOC_250006" w:history="1">
            <w:r w:rsidR="00330118" w:rsidRPr="00392EAD">
              <w:rPr>
                <w:lang w:val="pt-BR"/>
              </w:rPr>
              <w:t>Impactos</w:t>
            </w:r>
            <w:r w:rsidR="00330118" w:rsidRPr="00392EAD">
              <w:rPr>
                <w:spacing w:val="-5"/>
                <w:lang w:val="pt-BR"/>
              </w:rPr>
              <w:t xml:space="preserve"> </w:t>
            </w:r>
            <w:r w:rsidR="00330118" w:rsidRPr="00392EAD">
              <w:rPr>
                <w:lang w:val="pt-BR"/>
              </w:rPr>
              <w:t>socioeconômicos</w:t>
            </w:r>
            <w:r w:rsidR="00330118" w:rsidRPr="00392EAD">
              <w:rPr>
                <w:spacing w:val="-4"/>
                <w:lang w:val="pt-BR"/>
              </w:rPr>
              <w:t xml:space="preserve"> </w:t>
            </w:r>
            <w:r w:rsidR="00330118" w:rsidRPr="00392EAD">
              <w:rPr>
                <w:lang w:val="pt-BR"/>
              </w:rPr>
              <w:t>da</w:t>
            </w:r>
            <w:r w:rsidR="00330118" w:rsidRPr="00392EAD">
              <w:rPr>
                <w:spacing w:val="-4"/>
                <w:lang w:val="pt-BR"/>
              </w:rPr>
              <w:t xml:space="preserve"> </w:t>
            </w:r>
            <w:r w:rsidR="00330118" w:rsidRPr="00392EAD">
              <w:rPr>
                <w:lang w:val="pt-BR"/>
              </w:rPr>
              <w:t>exploração</w:t>
            </w:r>
            <w:r w:rsidR="00330118" w:rsidRPr="00392EAD">
              <w:rPr>
                <w:spacing w:val="-5"/>
                <w:lang w:val="pt-BR"/>
              </w:rPr>
              <w:t xml:space="preserve"> </w:t>
            </w:r>
            <w:r w:rsidR="00330118" w:rsidRPr="00392EAD">
              <w:rPr>
                <w:lang w:val="pt-BR"/>
              </w:rPr>
              <w:t>de</w:t>
            </w:r>
            <w:r w:rsidR="00330118" w:rsidRPr="00392EAD">
              <w:rPr>
                <w:spacing w:val="-4"/>
                <w:lang w:val="pt-BR"/>
              </w:rPr>
              <w:t xml:space="preserve"> </w:t>
            </w:r>
            <w:r w:rsidR="00330118" w:rsidRPr="00392EAD">
              <w:rPr>
                <w:lang w:val="pt-BR"/>
              </w:rPr>
              <w:t>minério</w:t>
            </w:r>
            <w:r w:rsidR="00330118" w:rsidRPr="00392EAD">
              <w:rPr>
                <w:spacing w:val="-3"/>
                <w:lang w:val="pt-BR"/>
              </w:rPr>
              <w:t xml:space="preserve"> </w:t>
            </w:r>
            <w:r w:rsidR="00330118" w:rsidRPr="00392EAD">
              <w:rPr>
                <w:lang w:val="pt-BR"/>
              </w:rPr>
              <w:t>de</w:t>
            </w:r>
            <w:r w:rsidR="00330118" w:rsidRPr="00392EAD">
              <w:rPr>
                <w:spacing w:val="-5"/>
                <w:lang w:val="pt-BR"/>
              </w:rPr>
              <w:t xml:space="preserve"> </w:t>
            </w:r>
            <w:r w:rsidR="00330118" w:rsidRPr="00392EAD">
              <w:rPr>
                <w:lang w:val="pt-BR"/>
              </w:rPr>
              <w:t>cobre</w:t>
            </w:r>
            <w:r w:rsidR="00330118" w:rsidRPr="00392EAD">
              <w:rPr>
                <w:spacing w:val="-5"/>
                <w:lang w:val="pt-BR"/>
              </w:rPr>
              <w:t xml:space="preserve"> </w:t>
            </w:r>
            <w:r w:rsidR="00330118" w:rsidRPr="00392EAD">
              <w:rPr>
                <w:lang w:val="pt-BR"/>
              </w:rPr>
              <w:t>em</w:t>
            </w:r>
            <w:r w:rsidR="00330118" w:rsidRPr="00392EAD">
              <w:rPr>
                <w:spacing w:val="-4"/>
                <w:lang w:val="pt-BR"/>
              </w:rPr>
              <w:t xml:space="preserve"> </w:t>
            </w:r>
            <w:r w:rsidR="00330118" w:rsidRPr="00392EAD">
              <w:rPr>
                <w:lang w:val="pt-BR"/>
              </w:rPr>
              <w:t>Canaã</w:t>
            </w:r>
            <w:r w:rsidR="00330118" w:rsidRPr="00392EAD">
              <w:rPr>
                <w:spacing w:val="-4"/>
                <w:lang w:val="pt-BR"/>
              </w:rPr>
              <w:t xml:space="preserve"> </w:t>
            </w:r>
            <w:r w:rsidR="00330118" w:rsidRPr="00392EAD">
              <w:rPr>
                <w:lang w:val="pt-BR"/>
              </w:rPr>
              <w:t>dos</w:t>
            </w:r>
            <w:r w:rsidR="00330118" w:rsidRPr="00392EAD">
              <w:rPr>
                <w:spacing w:val="-4"/>
                <w:lang w:val="pt-BR"/>
              </w:rPr>
              <w:t xml:space="preserve"> </w:t>
            </w:r>
            <w:r w:rsidR="00330118" w:rsidRPr="00392EAD">
              <w:rPr>
                <w:lang w:val="pt-BR"/>
              </w:rPr>
              <w:t>Carajás</w:t>
            </w:r>
            <w:r w:rsidR="00330118" w:rsidRPr="00392EAD">
              <w:rPr>
                <w:spacing w:val="-4"/>
                <w:lang w:val="pt-BR"/>
              </w:rPr>
              <w:t xml:space="preserve"> </w:t>
            </w:r>
            <w:r w:rsidR="00330118" w:rsidRPr="00392EAD">
              <w:rPr>
                <w:lang w:val="pt-BR"/>
              </w:rPr>
              <w:t>(PA)..................</w:t>
            </w:r>
            <w:r w:rsidR="00330118" w:rsidRPr="00392EAD">
              <w:rPr>
                <w:lang w:val="pt-BR"/>
              </w:rPr>
              <w:tab/>
              <w:t>68</w:t>
            </w:r>
          </w:hyperlink>
        </w:p>
        <w:p w:rsidR="00D81F69" w:rsidRPr="00392EAD" w:rsidRDefault="00D81F69">
          <w:pPr>
            <w:pStyle w:val="TOC4"/>
            <w:tabs>
              <w:tab w:val="left" w:pos="9658"/>
            </w:tabs>
            <w:rPr>
              <w:lang w:val="pt-BR"/>
            </w:rPr>
          </w:pPr>
          <w:r w:rsidRPr="00D81F69">
            <w:pict>
              <v:line id="_x0000_s1086" style="position:absolute;left:0;text-align:left;z-index:4552;mso-position-horizontal-relative:page" from="49.6pt,14.2pt" to="552.9pt,14.2pt" strokeweight=".48pt">
                <w10:wrap anchorx="page"/>
              </v:line>
            </w:pict>
          </w:r>
          <w:hyperlink w:anchor="_TOC_250005" w:history="1">
            <w:r w:rsidR="00330118" w:rsidRPr="00392EAD">
              <w:rPr>
                <w:lang w:val="pt-BR"/>
              </w:rPr>
              <w:t>Exploração de minas de ferro em Carajás causa crescimento desordenado em</w:t>
            </w:r>
            <w:r w:rsidR="00330118" w:rsidRPr="00392EAD">
              <w:rPr>
                <w:spacing w:val="-25"/>
                <w:lang w:val="pt-BR"/>
              </w:rPr>
              <w:t xml:space="preserve"> </w:t>
            </w:r>
            <w:r w:rsidR="00330118" w:rsidRPr="00392EAD">
              <w:rPr>
                <w:lang w:val="pt-BR"/>
              </w:rPr>
              <w:t>Parauapebas</w:t>
            </w:r>
            <w:r w:rsidR="00330118" w:rsidRPr="00392EAD">
              <w:rPr>
                <w:spacing w:val="-3"/>
                <w:lang w:val="pt-BR"/>
              </w:rPr>
              <w:t xml:space="preserve"> </w:t>
            </w:r>
            <w:r w:rsidR="00330118" w:rsidRPr="00392EAD">
              <w:rPr>
                <w:lang w:val="pt-BR"/>
              </w:rPr>
              <w:t>(PA)........</w:t>
            </w:r>
            <w:r w:rsidR="00330118" w:rsidRPr="00392EAD">
              <w:rPr>
                <w:lang w:val="pt-BR"/>
              </w:rPr>
              <w:tab/>
              <w:t>72</w:t>
            </w:r>
          </w:hyperlink>
        </w:p>
        <w:p w:rsidR="00D81F69" w:rsidRPr="00392EAD" w:rsidRDefault="00D81F69">
          <w:pPr>
            <w:pStyle w:val="TOC4"/>
            <w:tabs>
              <w:tab w:val="left" w:pos="9659"/>
            </w:tabs>
            <w:spacing w:before="9"/>
            <w:rPr>
              <w:lang w:val="pt-BR"/>
            </w:rPr>
          </w:pPr>
          <w:r w:rsidRPr="00D81F69">
            <w:pict>
              <v:line id="_x0000_s1085" style="position:absolute;left:0;text-align:left;z-index:4576;mso-position-horizontal-relative:page" from="49.6pt,14.15pt" to="552.9pt,14.15pt" strokeweight=".48pt">
                <w10:wrap anchorx="page"/>
              </v:line>
            </w:pict>
          </w:r>
          <w:hyperlink w:anchor="_TOC_250004" w:history="1">
            <w:r w:rsidR="00330118" w:rsidRPr="00392EAD">
              <w:rPr>
                <w:lang w:val="pt-BR"/>
              </w:rPr>
              <w:t>Garimpo</w:t>
            </w:r>
            <w:r w:rsidR="00330118" w:rsidRPr="00392EAD">
              <w:rPr>
                <w:spacing w:val="-6"/>
                <w:lang w:val="pt-BR"/>
              </w:rPr>
              <w:t xml:space="preserve"> </w:t>
            </w:r>
            <w:r w:rsidR="00330118" w:rsidRPr="00392EAD">
              <w:rPr>
                <w:lang w:val="pt-BR"/>
              </w:rPr>
              <w:t>ilegal</w:t>
            </w:r>
            <w:r w:rsidR="00330118" w:rsidRPr="00392EAD">
              <w:rPr>
                <w:spacing w:val="-6"/>
                <w:lang w:val="pt-BR"/>
              </w:rPr>
              <w:t xml:space="preserve"> </w:t>
            </w:r>
            <w:r w:rsidR="00330118" w:rsidRPr="00392EAD">
              <w:rPr>
                <w:lang w:val="pt-BR"/>
              </w:rPr>
              <w:t>e</w:t>
            </w:r>
            <w:r w:rsidR="00330118" w:rsidRPr="00392EAD">
              <w:rPr>
                <w:spacing w:val="-6"/>
                <w:lang w:val="pt-BR"/>
              </w:rPr>
              <w:t xml:space="preserve"> </w:t>
            </w:r>
            <w:r w:rsidR="00330118" w:rsidRPr="00392EAD">
              <w:rPr>
                <w:lang w:val="pt-BR"/>
              </w:rPr>
              <w:t>outros</w:t>
            </w:r>
            <w:r w:rsidR="00330118" w:rsidRPr="00392EAD">
              <w:rPr>
                <w:spacing w:val="-4"/>
                <w:lang w:val="pt-BR"/>
              </w:rPr>
              <w:t xml:space="preserve"> </w:t>
            </w:r>
            <w:r w:rsidR="00330118" w:rsidRPr="00392EAD">
              <w:rPr>
                <w:lang w:val="pt-BR"/>
              </w:rPr>
              <w:t>conflitos</w:t>
            </w:r>
            <w:r w:rsidR="00330118" w:rsidRPr="00392EAD">
              <w:rPr>
                <w:spacing w:val="-6"/>
                <w:lang w:val="pt-BR"/>
              </w:rPr>
              <w:t xml:space="preserve"> </w:t>
            </w:r>
            <w:r w:rsidR="00330118" w:rsidRPr="00392EAD">
              <w:rPr>
                <w:lang w:val="pt-BR"/>
              </w:rPr>
              <w:t>socioambientais</w:t>
            </w:r>
            <w:r w:rsidR="00330118" w:rsidRPr="00392EAD">
              <w:rPr>
                <w:spacing w:val="-5"/>
                <w:lang w:val="pt-BR"/>
              </w:rPr>
              <w:t xml:space="preserve"> </w:t>
            </w:r>
            <w:r w:rsidR="00330118" w:rsidRPr="00392EAD">
              <w:rPr>
                <w:lang w:val="pt-BR"/>
              </w:rPr>
              <w:t>na</w:t>
            </w:r>
            <w:r w:rsidR="00330118" w:rsidRPr="00392EAD">
              <w:rPr>
                <w:spacing w:val="-4"/>
                <w:lang w:val="pt-BR"/>
              </w:rPr>
              <w:t xml:space="preserve"> </w:t>
            </w:r>
            <w:r w:rsidR="00330118" w:rsidRPr="00392EAD">
              <w:rPr>
                <w:lang w:val="pt-BR"/>
              </w:rPr>
              <w:t>Terra</w:t>
            </w:r>
            <w:r w:rsidR="00330118" w:rsidRPr="00392EAD">
              <w:rPr>
                <w:spacing w:val="-5"/>
                <w:lang w:val="pt-BR"/>
              </w:rPr>
              <w:t xml:space="preserve"> </w:t>
            </w:r>
            <w:r w:rsidR="00330118" w:rsidRPr="00392EAD">
              <w:rPr>
                <w:lang w:val="pt-BR"/>
              </w:rPr>
              <w:t>do</w:t>
            </w:r>
            <w:r w:rsidR="00330118" w:rsidRPr="00392EAD">
              <w:rPr>
                <w:spacing w:val="-4"/>
                <w:lang w:val="pt-BR"/>
              </w:rPr>
              <w:t xml:space="preserve"> </w:t>
            </w:r>
            <w:r w:rsidR="00330118" w:rsidRPr="00392EAD">
              <w:rPr>
                <w:lang w:val="pt-BR"/>
              </w:rPr>
              <w:t>Meio</w:t>
            </w:r>
            <w:r w:rsidR="00330118" w:rsidRPr="00392EAD">
              <w:rPr>
                <w:spacing w:val="-5"/>
                <w:lang w:val="pt-BR"/>
              </w:rPr>
              <w:t xml:space="preserve"> </w:t>
            </w:r>
            <w:r w:rsidR="00330118" w:rsidRPr="00392EAD">
              <w:rPr>
                <w:lang w:val="pt-BR"/>
              </w:rPr>
              <w:t>(PA)..............................................</w:t>
            </w:r>
            <w:r w:rsidR="00330118" w:rsidRPr="00392EAD">
              <w:rPr>
                <w:lang w:val="pt-BR"/>
              </w:rPr>
              <w:tab/>
              <w:t>75</w:t>
            </w:r>
          </w:hyperlink>
        </w:p>
        <w:p w:rsidR="00D81F69" w:rsidRDefault="00D81F69">
          <w:pPr>
            <w:pStyle w:val="TOC4"/>
            <w:tabs>
              <w:tab w:val="left" w:pos="9658"/>
            </w:tabs>
          </w:pPr>
          <w:r w:rsidRPr="00D81F69">
            <w:pict>
              <v:line id="_x0000_s1084" style="position:absolute;left:0;text-align:left;z-index:4600;mso-position-horizontal-relative:page" from="49.6pt,14.2pt" to="552.9pt,14.2pt" strokeweight=".48pt">
                <w10:wrap anchorx="page"/>
              </v:line>
            </w:pict>
          </w:r>
          <w:hyperlink w:anchor="_TOC_250003" w:history="1">
            <w:r w:rsidR="00330118" w:rsidRPr="00392EAD">
              <w:rPr>
                <w:lang w:val="pt-BR"/>
              </w:rPr>
              <w:t>Rejeitos</w:t>
            </w:r>
            <w:r w:rsidR="00330118" w:rsidRPr="00392EAD">
              <w:rPr>
                <w:spacing w:val="-6"/>
                <w:lang w:val="pt-BR"/>
              </w:rPr>
              <w:t xml:space="preserve"> </w:t>
            </w:r>
            <w:r w:rsidR="00330118" w:rsidRPr="00392EAD">
              <w:rPr>
                <w:lang w:val="pt-BR"/>
              </w:rPr>
              <w:t>da</w:t>
            </w:r>
            <w:r w:rsidR="00330118" w:rsidRPr="00392EAD">
              <w:rPr>
                <w:spacing w:val="-5"/>
                <w:lang w:val="pt-BR"/>
              </w:rPr>
              <w:t xml:space="preserve"> </w:t>
            </w:r>
            <w:r w:rsidR="00330118" w:rsidRPr="00392EAD">
              <w:rPr>
                <w:lang w:val="pt-BR"/>
              </w:rPr>
              <w:t>exploração</w:t>
            </w:r>
            <w:r w:rsidR="00330118" w:rsidRPr="00392EAD">
              <w:rPr>
                <w:spacing w:val="-6"/>
                <w:lang w:val="pt-BR"/>
              </w:rPr>
              <w:t xml:space="preserve"> </w:t>
            </w:r>
            <w:r w:rsidR="00330118" w:rsidRPr="00392EAD">
              <w:rPr>
                <w:lang w:val="pt-BR"/>
              </w:rPr>
              <w:t>de</w:t>
            </w:r>
            <w:r w:rsidR="00330118" w:rsidRPr="00392EAD">
              <w:rPr>
                <w:spacing w:val="-5"/>
                <w:lang w:val="pt-BR"/>
              </w:rPr>
              <w:t xml:space="preserve"> </w:t>
            </w:r>
            <w:r w:rsidR="00330118" w:rsidRPr="00392EAD">
              <w:rPr>
                <w:lang w:val="pt-BR"/>
              </w:rPr>
              <w:t>manganês</w:t>
            </w:r>
            <w:r w:rsidR="00330118" w:rsidRPr="00392EAD">
              <w:rPr>
                <w:spacing w:val="-6"/>
                <w:lang w:val="pt-BR"/>
              </w:rPr>
              <w:t xml:space="preserve"> </w:t>
            </w:r>
            <w:r w:rsidR="00330118" w:rsidRPr="00392EAD">
              <w:rPr>
                <w:lang w:val="pt-BR"/>
              </w:rPr>
              <w:t>em</w:t>
            </w:r>
            <w:r w:rsidR="00330118" w:rsidRPr="00392EAD">
              <w:rPr>
                <w:spacing w:val="-6"/>
                <w:lang w:val="pt-BR"/>
              </w:rPr>
              <w:t xml:space="preserve"> </w:t>
            </w:r>
            <w:r w:rsidR="00330118" w:rsidRPr="00392EAD">
              <w:rPr>
                <w:lang w:val="pt-BR"/>
              </w:rPr>
              <w:t>Marabá</w:t>
            </w:r>
            <w:r w:rsidR="00330118" w:rsidRPr="00392EAD">
              <w:rPr>
                <w:spacing w:val="-6"/>
                <w:lang w:val="pt-BR"/>
              </w:rPr>
              <w:t xml:space="preserve"> </w:t>
            </w:r>
            <w:r w:rsidR="00330118" w:rsidRPr="00392EAD">
              <w:rPr>
                <w:lang w:val="pt-BR"/>
              </w:rPr>
              <w:t>(P</w:t>
            </w:r>
            <w:r w:rsidR="00330118" w:rsidRPr="00392EAD">
              <w:rPr>
                <w:lang w:val="pt-BR"/>
              </w:rPr>
              <w:t>A)</w:t>
            </w:r>
            <w:r w:rsidR="00330118" w:rsidRPr="00392EAD">
              <w:rPr>
                <w:spacing w:val="-7"/>
                <w:lang w:val="pt-BR"/>
              </w:rPr>
              <w:t xml:space="preserve"> </w:t>
            </w:r>
            <w:r w:rsidR="00330118" w:rsidRPr="00392EAD">
              <w:rPr>
                <w:lang w:val="pt-BR"/>
              </w:rPr>
              <w:t>alcançam</w:t>
            </w:r>
            <w:r w:rsidR="00330118" w:rsidRPr="00392EAD">
              <w:rPr>
                <w:spacing w:val="-6"/>
                <w:lang w:val="pt-BR"/>
              </w:rPr>
              <w:t xml:space="preserve"> </w:t>
            </w:r>
            <w:r w:rsidR="00330118" w:rsidRPr="00392EAD">
              <w:rPr>
                <w:lang w:val="pt-BR"/>
              </w:rPr>
              <w:t>rios.....................................................</w:t>
            </w:r>
            <w:r w:rsidR="00330118" w:rsidRPr="00392EAD">
              <w:rPr>
                <w:lang w:val="pt-BR"/>
              </w:rPr>
              <w:tab/>
            </w:r>
            <w:r w:rsidR="00330118">
              <w:t>77</w:t>
            </w:r>
          </w:hyperlink>
        </w:p>
        <w:p w:rsidR="00D81F69" w:rsidRPr="00392EAD" w:rsidRDefault="00D81F69">
          <w:pPr>
            <w:pStyle w:val="TOC4"/>
            <w:tabs>
              <w:tab w:val="left" w:pos="9658"/>
            </w:tabs>
            <w:spacing w:before="11"/>
            <w:rPr>
              <w:lang w:val="pt-BR"/>
            </w:rPr>
          </w:pPr>
          <w:r w:rsidRPr="00D81F69">
            <w:pict>
              <v:line id="_x0000_s1083" style="position:absolute;left:0;text-align:left;z-index:4624;mso-position-horizontal-relative:page" from="49.6pt,14.2pt" to="552.9pt,14.2pt" strokeweight=".48pt">
                <w10:wrap anchorx="page"/>
              </v:line>
            </w:pict>
          </w:r>
          <w:hyperlink w:anchor="_TOC_250002" w:history="1">
            <w:r w:rsidR="00330118" w:rsidRPr="00392EAD">
              <w:rPr>
                <w:lang w:val="pt-BR"/>
              </w:rPr>
              <w:t>Mineração</w:t>
            </w:r>
            <w:r w:rsidR="00330118" w:rsidRPr="00392EAD">
              <w:rPr>
                <w:spacing w:val="-6"/>
                <w:lang w:val="pt-BR"/>
              </w:rPr>
              <w:t xml:space="preserve"> </w:t>
            </w:r>
            <w:r w:rsidR="00330118" w:rsidRPr="00392EAD">
              <w:rPr>
                <w:lang w:val="pt-BR"/>
              </w:rPr>
              <w:t>de</w:t>
            </w:r>
            <w:r w:rsidR="00330118" w:rsidRPr="00392EAD">
              <w:rPr>
                <w:spacing w:val="-6"/>
                <w:lang w:val="pt-BR"/>
              </w:rPr>
              <w:t xml:space="preserve"> </w:t>
            </w:r>
            <w:r w:rsidR="00330118" w:rsidRPr="00392EAD">
              <w:rPr>
                <w:lang w:val="pt-BR"/>
              </w:rPr>
              <w:t>níquel</w:t>
            </w:r>
            <w:r w:rsidR="00330118" w:rsidRPr="00392EAD">
              <w:rPr>
                <w:spacing w:val="-6"/>
                <w:lang w:val="pt-BR"/>
              </w:rPr>
              <w:t xml:space="preserve"> </w:t>
            </w:r>
            <w:r w:rsidR="00330118" w:rsidRPr="00392EAD">
              <w:rPr>
                <w:lang w:val="pt-BR"/>
              </w:rPr>
              <w:t>afeta</w:t>
            </w:r>
            <w:r w:rsidR="00330118" w:rsidRPr="00392EAD">
              <w:rPr>
                <w:spacing w:val="-5"/>
                <w:lang w:val="pt-BR"/>
              </w:rPr>
              <w:t xml:space="preserve"> </w:t>
            </w:r>
            <w:r w:rsidR="00330118" w:rsidRPr="00392EAD">
              <w:rPr>
                <w:lang w:val="pt-BR"/>
              </w:rPr>
              <w:t>condições</w:t>
            </w:r>
            <w:r w:rsidR="00330118" w:rsidRPr="00392EAD">
              <w:rPr>
                <w:spacing w:val="-6"/>
                <w:lang w:val="pt-BR"/>
              </w:rPr>
              <w:t xml:space="preserve"> </w:t>
            </w:r>
            <w:r w:rsidR="00330118" w:rsidRPr="00392EAD">
              <w:rPr>
                <w:lang w:val="pt-BR"/>
              </w:rPr>
              <w:t>de</w:t>
            </w:r>
            <w:r w:rsidR="00330118" w:rsidRPr="00392EAD">
              <w:rPr>
                <w:spacing w:val="-5"/>
                <w:lang w:val="pt-BR"/>
              </w:rPr>
              <w:t xml:space="preserve"> </w:t>
            </w:r>
            <w:r w:rsidR="00330118" w:rsidRPr="00392EAD">
              <w:rPr>
                <w:lang w:val="pt-BR"/>
              </w:rPr>
              <w:t>vida</w:t>
            </w:r>
            <w:r w:rsidR="00330118" w:rsidRPr="00392EAD">
              <w:rPr>
                <w:spacing w:val="-6"/>
                <w:lang w:val="pt-BR"/>
              </w:rPr>
              <w:t xml:space="preserve"> </w:t>
            </w:r>
            <w:r w:rsidR="00330118" w:rsidRPr="00392EAD">
              <w:rPr>
                <w:lang w:val="pt-BR"/>
              </w:rPr>
              <w:t>de</w:t>
            </w:r>
            <w:r w:rsidR="00330118" w:rsidRPr="00392EAD">
              <w:rPr>
                <w:spacing w:val="-5"/>
                <w:lang w:val="pt-BR"/>
              </w:rPr>
              <w:t xml:space="preserve"> </w:t>
            </w:r>
            <w:r w:rsidR="00330118" w:rsidRPr="00392EAD">
              <w:rPr>
                <w:lang w:val="pt-BR"/>
              </w:rPr>
              <w:t>trabalhadores</w:t>
            </w:r>
            <w:r w:rsidR="00330118" w:rsidRPr="00392EAD">
              <w:rPr>
                <w:spacing w:val="-5"/>
                <w:lang w:val="pt-BR"/>
              </w:rPr>
              <w:t xml:space="preserve"> </w:t>
            </w:r>
            <w:r w:rsidR="00330118" w:rsidRPr="00392EAD">
              <w:rPr>
                <w:lang w:val="pt-BR"/>
              </w:rPr>
              <w:t>rurais</w:t>
            </w:r>
            <w:r w:rsidR="00330118" w:rsidRPr="00392EAD">
              <w:rPr>
                <w:spacing w:val="-6"/>
                <w:lang w:val="pt-BR"/>
              </w:rPr>
              <w:t xml:space="preserve"> </w:t>
            </w:r>
            <w:r w:rsidR="00330118" w:rsidRPr="00392EAD">
              <w:rPr>
                <w:lang w:val="pt-BR"/>
              </w:rPr>
              <w:t>no</w:t>
            </w:r>
            <w:r w:rsidR="00330118" w:rsidRPr="00392EAD">
              <w:rPr>
                <w:spacing w:val="-5"/>
                <w:lang w:val="pt-BR"/>
              </w:rPr>
              <w:t xml:space="preserve"> </w:t>
            </w:r>
            <w:r w:rsidR="00330118" w:rsidRPr="00392EAD">
              <w:rPr>
                <w:lang w:val="pt-BR"/>
              </w:rPr>
              <w:t>Sudeste</w:t>
            </w:r>
            <w:r w:rsidR="00330118" w:rsidRPr="00392EAD">
              <w:rPr>
                <w:spacing w:val="-4"/>
                <w:lang w:val="pt-BR"/>
              </w:rPr>
              <w:t xml:space="preserve"> </w:t>
            </w:r>
            <w:r w:rsidR="00330118" w:rsidRPr="00392EAD">
              <w:rPr>
                <w:lang w:val="pt-BR"/>
              </w:rPr>
              <w:t>do</w:t>
            </w:r>
            <w:r w:rsidR="00330118" w:rsidRPr="00392EAD">
              <w:rPr>
                <w:spacing w:val="-5"/>
                <w:lang w:val="pt-BR"/>
              </w:rPr>
              <w:t xml:space="preserve"> </w:t>
            </w:r>
            <w:r w:rsidR="00330118" w:rsidRPr="00392EAD">
              <w:rPr>
                <w:lang w:val="pt-BR"/>
              </w:rPr>
              <w:t>Pará...................</w:t>
            </w:r>
            <w:r w:rsidR="00330118" w:rsidRPr="00392EAD">
              <w:rPr>
                <w:lang w:val="pt-BR"/>
              </w:rPr>
              <w:tab/>
              <w:t>80</w:t>
            </w:r>
          </w:hyperlink>
        </w:p>
        <w:p w:rsidR="00D81F69" w:rsidRPr="00392EAD" w:rsidRDefault="00D81F69">
          <w:pPr>
            <w:pStyle w:val="TOC4"/>
            <w:tabs>
              <w:tab w:val="left" w:pos="9659"/>
            </w:tabs>
            <w:rPr>
              <w:lang w:val="pt-BR"/>
            </w:rPr>
          </w:pPr>
          <w:r w:rsidRPr="00D81F69">
            <w:pict>
              <v:line id="_x0000_s1082" style="position:absolute;left:0;text-align:left;z-index:4648;mso-position-horizontal-relative:page" from="49.6pt,14.15pt" to="552.9pt,14.15pt" strokeweight=".48pt">
                <w10:wrap anchorx="page"/>
              </v:line>
            </w:pict>
          </w:r>
          <w:hyperlink w:anchor="_TOC_250001" w:history="1">
            <w:r w:rsidR="00330118" w:rsidRPr="00392EAD">
              <w:rPr>
                <w:lang w:val="pt-BR"/>
              </w:rPr>
              <w:t>Décadas de garimpagem do ouro  causam danos socioambientais na Província do</w:t>
            </w:r>
            <w:r w:rsidR="00330118" w:rsidRPr="00392EAD">
              <w:rPr>
                <w:spacing w:val="-30"/>
                <w:lang w:val="pt-BR"/>
              </w:rPr>
              <w:t xml:space="preserve"> </w:t>
            </w:r>
            <w:r w:rsidR="00330118" w:rsidRPr="00392EAD">
              <w:rPr>
                <w:lang w:val="pt-BR"/>
              </w:rPr>
              <w:t>Tapajós</w:t>
            </w:r>
            <w:r w:rsidR="00330118" w:rsidRPr="00392EAD">
              <w:rPr>
                <w:spacing w:val="-3"/>
                <w:lang w:val="pt-BR"/>
              </w:rPr>
              <w:t xml:space="preserve"> </w:t>
            </w:r>
            <w:r w:rsidR="00330118" w:rsidRPr="00392EAD">
              <w:rPr>
                <w:lang w:val="pt-BR"/>
              </w:rPr>
              <w:t>(PA)..........</w:t>
            </w:r>
            <w:r w:rsidR="00330118" w:rsidRPr="00392EAD">
              <w:rPr>
                <w:lang w:val="pt-BR"/>
              </w:rPr>
              <w:tab/>
              <w:t>83</w:t>
            </w:r>
          </w:hyperlink>
        </w:p>
        <w:p w:rsidR="00D81F69" w:rsidRDefault="00D81F69">
          <w:pPr>
            <w:pStyle w:val="TOC4"/>
            <w:tabs>
              <w:tab w:val="left" w:pos="9659"/>
            </w:tabs>
          </w:pPr>
          <w:hyperlink w:anchor="_TOC_250000" w:history="1">
            <w:r w:rsidR="00330118" w:rsidRPr="00392EAD">
              <w:rPr>
                <w:lang w:val="pt-BR"/>
              </w:rPr>
              <w:t>Índios</w:t>
            </w:r>
            <w:r w:rsidR="00330118" w:rsidRPr="00392EAD">
              <w:rPr>
                <w:spacing w:val="-6"/>
                <w:lang w:val="pt-BR"/>
              </w:rPr>
              <w:t xml:space="preserve"> </w:t>
            </w:r>
            <w:r w:rsidR="00330118" w:rsidRPr="00392EAD">
              <w:rPr>
                <w:lang w:val="pt-BR"/>
              </w:rPr>
              <w:t>Kaiapó</w:t>
            </w:r>
            <w:r w:rsidR="00330118" w:rsidRPr="00392EAD">
              <w:rPr>
                <w:spacing w:val="-4"/>
                <w:lang w:val="pt-BR"/>
              </w:rPr>
              <w:t xml:space="preserve"> </w:t>
            </w:r>
            <w:r w:rsidR="00330118" w:rsidRPr="00392EAD">
              <w:rPr>
                <w:lang w:val="pt-BR"/>
              </w:rPr>
              <w:t>lutam</w:t>
            </w:r>
            <w:r w:rsidR="00330118" w:rsidRPr="00392EAD">
              <w:rPr>
                <w:spacing w:val="-6"/>
                <w:lang w:val="pt-BR"/>
              </w:rPr>
              <w:t xml:space="preserve"> </w:t>
            </w:r>
            <w:r w:rsidR="00330118" w:rsidRPr="00392EAD">
              <w:rPr>
                <w:lang w:val="pt-BR"/>
              </w:rPr>
              <w:t>para</w:t>
            </w:r>
            <w:r w:rsidR="00330118" w:rsidRPr="00392EAD">
              <w:rPr>
                <w:spacing w:val="-4"/>
                <w:lang w:val="pt-BR"/>
              </w:rPr>
              <w:t xml:space="preserve"> </w:t>
            </w:r>
            <w:r w:rsidR="00330118" w:rsidRPr="00392EAD">
              <w:rPr>
                <w:lang w:val="pt-BR"/>
              </w:rPr>
              <w:t>preservar</w:t>
            </w:r>
            <w:r w:rsidR="00330118" w:rsidRPr="00392EAD">
              <w:rPr>
                <w:spacing w:val="-5"/>
                <w:lang w:val="pt-BR"/>
              </w:rPr>
              <w:t xml:space="preserve"> </w:t>
            </w:r>
            <w:r w:rsidR="00330118" w:rsidRPr="00392EAD">
              <w:rPr>
                <w:lang w:val="pt-BR"/>
              </w:rPr>
              <w:t>suas</w:t>
            </w:r>
            <w:r w:rsidR="00330118" w:rsidRPr="00392EAD">
              <w:rPr>
                <w:spacing w:val="-7"/>
                <w:lang w:val="pt-BR"/>
              </w:rPr>
              <w:t xml:space="preserve"> </w:t>
            </w:r>
            <w:r w:rsidR="00330118" w:rsidRPr="00392EAD">
              <w:rPr>
                <w:lang w:val="pt-BR"/>
              </w:rPr>
              <w:t>terras</w:t>
            </w:r>
            <w:r w:rsidR="00330118" w:rsidRPr="00392EAD">
              <w:rPr>
                <w:spacing w:val="-6"/>
                <w:lang w:val="pt-BR"/>
              </w:rPr>
              <w:t xml:space="preserve"> </w:t>
            </w:r>
            <w:r w:rsidR="00330118" w:rsidRPr="00392EAD">
              <w:rPr>
                <w:lang w:val="pt-BR"/>
              </w:rPr>
              <w:t>do</w:t>
            </w:r>
            <w:r w:rsidR="00330118" w:rsidRPr="00392EAD">
              <w:rPr>
                <w:spacing w:val="-4"/>
                <w:lang w:val="pt-BR"/>
              </w:rPr>
              <w:t xml:space="preserve"> </w:t>
            </w:r>
            <w:r w:rsidR="00330118" w:rsidRPr="00392EAD">
              <w:rPr>
                <w:lang w:val="pt-BR"/>
              </w:rPr>
              <w:t>garimpo</w:t>
            </w:r>
            <w:r w:rsidR="00330118" w:rsidRPr="00392EAD">
              <w:rPr>
                <w:spacing w:val="-6"/>
                <w:lang w:val="pt-BR"/>
              </w:rPr>
              <w:t xml:space="preserve"> </w:t>
            </w:r>
            <w:r w:rsidR="00330118" w:rsidRPr="00392EAD">
              <w:rPr>
                <w:lang w:val="pt-BR"/>
              </w:rPr>
              <w:t>ilegal</w:t>
            </w:r>
            <w:r w:rsidR="00330118" w:rsidRPr="00392EAD">
              <w:rPr>
                <w:spacing w:val="-6"/>
                <w:lang w:val="pt-BR"/>
              </w:rPr>
              <w:t xml:space="preserve"> </w:t>
            </w:r>
            <w:r w:rsidR="00330118" w:rsidRPr="00392EAD">
              <w:rPr>
                <w:lang w:val="pt-BR"/>
              </w:rPr>
              <w:t>de</w:t>
            </w:r>
            <w:r w:rsidR="00330118" w:rsidRPr="00392EAD">
              <w:rPr>
                <w:spacing w:val="-6"/>
                <w:lang w:val="pt-BR"/>
              </w:rPr>
              <w:t xml:space="preserve"> </w:t>
            </w:r>
            <w:r w:rsidR="00330118" w:rsidRPr="00392EAD">
              <w:rPr>
                <w:lang w:val="pt-BR"/>
              </w:rPr>
              <w:t>ouro.............................................</w:t>
            </w:r>
            <w:r w:rsidR="00330118" w:rsidRPr="00392EAD">
              <w:rPr>
                <w:lang w:val="pt-BR"/>
              </w:rPr>
              <w:tab/>
            </w:r>
            <w:r w:rsidR="00330118">
              <w:t>86</w:t>
            </w:r>
          </w:hyperlink>
        </w:p>
      </w:sdtContent>
    </w:sdt>
    <w:p w:rsidR="00D81F69" w:rsidRDefault="00D81F69">
      <w:pPr>
        <w:pStyle w:val="Corpodetexto"/>
        <w:spacing w:line="20" w:lineRule="exact"/>
        <w:ind w:left="127"/>
        <w:jc w:val="left"/>
        <w:rPr>
          <w:rFonts w:ascii="Calibri"/>
          <w:sz w:val="2"/>
        </w:rPr>
      </w:pPr>
      <w:r w:rsidRPr="00D81F69">
        <w:rPr>
          <w:rFonts w:ascii="Calibri"/>
          <w:sz w:val="2"/>
        </w:rPr>
      </w:r>
      <w:r>
        <w:rPr>
          <w:rFonts w:ascii="Calibri"/>
          <w:sz w:val="2"/>
        </w:rPr>
        <w:pict>
          <v:group id="_x0000_s1080" style="width:503.3pt;height:.5pt;mso-position-horizontal-relative:char;mso-position-vertical-relative:line" coordsize="10066,10">
            <v:line id="_x0000_s1081" style="position:absolute" from="0,5" to="10066,5" strokeweight=".48pt"/>
            <w10:wrap type="none"/>
            <w10:anchorlock/>
          </v:group>
        </w:pict>
      </w:r>
    </w:p>
    <w:p w:rsidR="00D81F69" w:rsidRPr="00392EAD" w:rsidRDefault="00330118">
      <w:pPr>
        <w:pStyle w:val="Heading5"/>
        <w:tabs>
          <w:tab w:val="right" w:pos="9882"/>
        </w:tabs>
        <w:spacing w:before="58" w:line="91" w:lineRule="auto"/>
        <w:ind w:left="240" w:right="0"/>
        <w:jc w:val="left"/>
        <w:rPr>
          <w:rFonts w:ascii="Calibri"/>
          <w:lang w:val="pt-BR"/>
        </w:rPr>
      </w:pPr>
      <w:r w:rsidRPr="00392EAD">
        <w:rPr>
          <w:rFonts w:ascii="Calibri"/>
          <w:lang w:val="pt-BR"/>
        </w:rPr>
        <w:t>Novo ciclo do ouro em Serra Pelada (PA) promete recuperar parte de danos</w:t>
      </w:r>
      <w:r w:rsidRPr="00392EAD">
        <w:rPr>
          <w:rFonts w:ascii="Calibri"/>
          <w:spacing w:val="-15"/>
          <w:lang w:val="pt-BR"/>
        </w:rPr>
        <w:t xml:space="preserve"> </w:t>
      </w:r>
      <w:r w:rsidRPr="00392EAD">
        <w:rPr>
          <w:rFonts w:ascii="Calibri"/>
          <w:lang w:val="pt-BR"/>
        </w:rPr>
        <w:t>ambientais causados</w:t>
      </w:r>
      <w:r w:rsidRPr="00392EAD">
        <w:rPr>
          <w:rFonts w:ascii="Calibri"/>
          <w:position w:val="-12"/>
          <w:lang w:val="pt-BR"/>
        </w:rPr>
        <w:tab/>
        <w:t>89</w:t>
      </w:r>
    </w:p>
    <w:p w:rsidR="00D81F69" w:rsidRPr="00392EAD" w:rsidRDefault="00330118">
      <w:pPr>
        <w:pStyle w:val="Heading5"/>
        <w:tabs>
          <w:tab w:val="left" w:pos="10197"/>
        </w:tabs>
        <w:spacing w:line="255" w:lineRule="exact"/>
        <w:ind w:left="132" w:right="0"/>
        <w:jc w:val="left"/>
        <w:rPr>
          <w:rFonts w:ascii="Calibri"/>
          <w:lang w:val="pt-BR"/>
        </w:rPr>
      </w:pPr>
      <w:r w:rsidRPr="00392EAD">
        <w:rPr>
          <w:rFonts w:ascii="Times New Roman"/>
          <w:w w:val="99"/>
          <w:u w:val="single"/>
          <w:lang w:val="pt-BR"/>
        </w:rPr>
        <w:t xml:space="preserve"> </w:t>
      </w:r>
      <w:r w:rsidRPr="00392EAD">
        <w:rPr>
          <w:rFonts w:ascii="Times New Roman"/>
          <w:spacing w:val="-2"/>
          <w:u w:val="single"/>
          <w:lang w:val="pt-BR"/>
        </w:rPr>
        <w:t xml:space="preserve"> </w:t>
      </w:r>
      <w:r w:rsidRPr="00392EAD">
        <w:rPr>
          <w:rFonts w:ascii="Calibri"/>
          <w:spacing w:val="-1"/>
          <w:u w:val="single"/>
          <w:lang w:val="pt-BR"/>
        </w:rPr>
        <w:t>por antigo</w:t>
      </w:r>
      <w:r w:rsidRPr="00392EAD">
        <w:rPr>
          <w:rFonts w:ascii="Calibri"/>
          <w:spacing w:val="-9"/>
          <w:u w:val="single"/>
          <w:lang w:val="pt-BR"/>
        </w:rPr>
        <w:t xml:space="preserve"> </w:t>
      </w:r>
      <w:r w:rsidRPr="00392EAD">
        <w:rPr>
          <w:rFonts w:ascii="Calibri"/>
          <w:spacing w:val="-1"/>
          <w:u w:val="single"/>
          <w:lang w:val="pt-BR"/>
        </w:rPr>
        <w:t>garimpo............................................................................</w:t>
      </w:r>
      <w:r w:rsidRPr="00392EAD">
        <w:rPr>
          <w:rFonts w:ascii="Calibri"/>
          <w:spacing w:val="-1"/>
          <w:u w:val="single"/>
          <w:lang w:val="pt-BR"/>
        </w:rPr>
        <w:t>.......................................................</w:t>
      </w:r>
      <w:r w:rsidRPr="00392EAD">
        <w:rPr>
          <w:rFonts w:ascii="Calibri"/>
          <w:spacing w:val="-1"/>
          <w:u w:val="single"/>
          <w:lang w:val="pt-BR"/>
        </w:rPr>
        <w:tab/>
      </w:r>
    </w:p>
    <w:p w:rsidR="00D81F69" w:rsidRDefault="00330118">
      <w:pPr>
        <w:pStyle w:val="Heading5"/>
        <w:tabs>
          <w:tab w:val="left" w:pos="9659"/>
        </w:tabs>
        <w:spacing w:before="10"/>
        <w:ind w:left="240" w:right="0"/>
        <w:jc w:val="left"/>
        <w:rPr>
          <w:rFonts w:ascii="Calibri" w:hAnsi="Calibri"/>
        </w:rPr>
      </w:pPr>
      <w:r w:rsidRPr="00392EAD">
        <w:rPr>
          <w:rFonts w:ascii="Calibri" w:hAnsi="Calibri"/>
          <w:lang w:val="pt-BR"/>
        </w:rPr>
        <w:t>Cadeia</w:t>
      </w:r>
      <w:r w:rsidRPr="00392EAD">
        <w:rPr>
          <w:rFonts w:ascii="Calibri" w:hAnsi="Calibri"/>
          <w:spacing w:val="-8"/>
          <w:lang w:val="pt-BR"/>
        </w:rPr>
        <w:t xml:space="preserve"> </w:t>
      </w:r>
      <w:r w:rsidRPr="00392EAD">
        <w:rPr>
          <w:rFonts w:ascii="Calibri" w:hAnsi="Calibri"/>
          <w:lang w:val="pt-BR"/>
        </w:rPr>
        <w:t>produtiva</w:t>
      </w:r>
      <w:r w:rsidRPr="00392EAD">
        <w:rPr>
          <w:rFonts w:ascii="Calibri" w:hAnsi="Calibri"/>
          <w:spacing w:val="-8"/>
          <w:lang w:val="pt-BR"/>
        </w:rPr>
        <w:t xml:space="preserve"> </w:t>
      </w:r>
      <w:r w:rsidRPr="00392EAD">
        <w:rPr>
          <w:rFonts w:ascii="Calibri" w:hAnsi="Calibri"/>
          <w:lang w:val="pt-BR"/>
        </w:rPr>
        <w:t>do</w:t>
      </w:r>
      <w:r w:rsidRPr="00392EAD">
        <w:rPr>
          <w:rFonts w:ascii="Calibri" w:hAnsi="Calibri"/>
          <w:spacing w:val="-8"/>
          <w:lang w:val="pt-BR"/>
        </w:rPr>
        <w:t xml:space="preserve"> </w:t>
      </w:r>
      <w:r w:rsidRPr="00392EAD">
        <w:rPr>
          <w:rFonts w:ascii="Calibri" w:hAnsi="Calibri"/>
          <w:lang w:val="pt-BR"/>
        </w:rPr>
        <w:t>ferro‐gusa</w:t>
      </w:r>
      <w:r w:rsidRPr="00392EAD">
        <w:rPr>
          <w:rFonts w:ascii="Calibri" w:hAnsi="Calibri"/>
          <w:spacing w:val="-9"/>
          <w:lang w:val="pt-BR"/>
        </w:rPr>
        <w:t xml:space="preserve"> </w:t>
      </w:r>
      <w:r w:rsidRPr="00392EAD">
        <w:rPr>
          <w:rFonts w:ascii="Calibri" w:hAnsi="Calibri"/>
          <w:lang w:val="pt-BR"/>
        </w:rPr>
        <w:t>no</w:t>
      </w:r>
      <w:r w:rsidRPr="00392EAD">
        <w:rPr>
          <w:rFonts w:ascii="Calibri" w:hAnsi="Calibri"/>
          <w:spacing w:val="-8"/>
          <w:lang w:val="pt-BR"/>
        </w:rPr>
        <w:t xml:space="preserve"> </w:t>
      </w:r>
      <w:r w:rsidRPr="00392EAD">
        <w:rPr>
          <w:rFonts w:ascii="Calibri" w:hAnsi="Calibri"/>
          <w:lang w:val="pt-BR"/>
        </w:rPr>
        <w:t>Pará</w:t>
      </w:r>
      <w:r w:rsidRPr="00392EAD">
        <w:rPr>
          <w:rFonts w:ascii="Calibri" w:hAnsi="Calibri"/>
          <w:spacing w:val="-8"/>
          <w:lang w:val="pt-BR"/>
        </w:rPr>
        <w:t xml:space="preserve"> </w:t>
      </w:r>
      <w:r w:rsidRPr="00392EAD">
        <w:rPr>
          <w:rFonts w:ascii="Calibri" w:hAnsi="Calibri"/>
          <w:lang w:val="pt-BR"/>
        </w:rPr>
        <w:t>possui</w:t>
      </w:r>
      <w:r w:rsidRPr="00392EAD">
        <w:rPr>
          <w:rFonts w:ascii="Calibri" w:hAnsi="Calibri"/>
          <w:spacing w:val="-8"/>
          <w:lang w:val="pt-BR"/>
        </w:rPr>
        <w:t xml:space="preserve"> </w:t>
      </w:r>
      <w:r w:rsidRPr="00392EAD">
        <w:rPr>
          <w:rFonts w:ascii="Calibri" w:hAnsi="Calibri"/>
          <w:lang w:val="pt-BR"/>
        </w:rPr>
        <w:t>irregularidades..............................................................</w:t>
      </w:r>
      <w:r w:rsidRPr="00392EAD">
        <w:rPr>
          <w:rFonts w:ascii="Calibri" w:hAnsi="Calibri"/>
          <w:lang w:val="pt-BR"/>
        </w:rPr>
        <w:tab/>
      </w:r>
      <w:r>
        <w:rPr>
          <w:rFonts w:ascii="Calibri" w:hAnsi="Calibri"/>
        </w:rPr>
        <w:t>93</w:t>
      </w:r>
    </w:p>
    <w:p w:rsidR="00D81F69" w:rsidRDefault="00D81F69">
      <w:pPr>
        <w:pStyle w:val="Corpodetexto"/>
        <w:spacing w:line="20" w:lineRule="exact"/>
        <w:ind w:left="127"/>
        <w:jc w:val="left"/>
        <w:rPr>
          <w:rFonts w:ascii="Calibri"/>
          <w:sz w:val="2"/>
        </w:rPr>
      </w:pPr>
      <w:r w:rsidRPr="00D81F69">
        <w:rPr>
          <w:rFonts w:ascii="Calibri"/>
          <w:sz w:val="2"/>
        </w:rPr>
      </w:r>
      <w:r>
        <w:rPr>
          <w:rFonts w:ascii="Calibri"/>
          <w:sz w:val="2"/>
        </w:rPr>
        <w:pict>
          <v:group id="_x0000_s1078" style="width:503.3pt;height:.5pt;mso-position-horizontal-relative:char;mso-position-vertical-relative:line" coordsize="10066,10">
            <v:line id="_x0000_s1079" style="position:absolute" from="0,5" to="10066,5" strokeweight=".48pt"/>
            <w10:wrap type="none"/>
            <w10:anchorlock/>
          </v:group>
        </w:pict>
      </w:r>
    </w:p>
    <w:p w:rsidR="00D81F69" w:rsidRPr="00392EAD" w:rsidRDefault="00330118">
      <w:pPr>
        <w:pStyle w:val="Heading5"/>
        <w:tabs>
          <w:tab w:val="right" w:pos="9882"/>
        </w:tabs>
        <w:spacing w:before="58" w:line="91" w:lineRule="auto"/>
        <w:ind w:left="240" w:right="0"/>
        <w:jc w:val="left"/>
        <w:rPr>
          <w:rFonts w:ascii="Calibri" w:hAnsi="Calibri"/>
          <w:lang w:val="pt-BR"/>
        </w:rPr>
      </w:pPr>
      <w:r w:rsidRPr="00392EAD">
        <w:rPr>
          <w:rFonts w:ascii="Calibri" w:hAnsi="Calibri"/>
          <w:lang w:val="pt-BR"/>
        </w:rPr>
        <w:t>Garimpos ilegais na região de Alto Alegre dos Parecis (RO) podem comprometer</w:t>
      </w:r>
      <w:r w:rsidRPr="00392EAD">
        <w:rPr>
          <w:rFonts w:ascii="Calibri" w:hAnsi="Calibri"/>
          <w:spacing w:val="-18"/>
          <w:lang w:val="pt-BR"/>
        </w:rPr>
        <w:t xml:space="preserve"> </w:t>
      </w:r>
      <w:r w:rsidRPr="00392EAD">
        <w:rPr>
          <w:rFonts w:ascii="Calibri" w:hAnsi="Calibri"/>
          <w:lang w:val="pt-BR"/>
        </w:rPr>
        <w:t>sítio</w:t>
      </w:r>
      <w:r w:rsidRPr="00392EAD">
        <w:rPr>
          <w:rFonts w:ascii="Calibri" w:hAnsi="Calibri"/>
          <w:spacing w:val="-2"/>
          <w:lang w:val="pt-BR"/>
        </w:rPr>
        <w:t xml:space="preserve"> </w:t>
      </w:r>
      <w:r w:rsidRPr="00392EAD">
        <w:rPr>
          <w:rFonts w:ascii="Calibri" w:hAnsi="Calibri"/>
          <w:lang w:val="pt-BR"/>
        </w:rPr>
        <w:t>arqueológico</w:t>
      </w:r>
      <w:r w:rsidRPr="00392EAD">
        <w:rPr>
          <w:rFonts w:ascii="Calibri" w:hAnsi="Calibri"/>
          <w:position w:val="-12"/>
          <w:lang w:val="pt-BR"/>
        </w:rPr>
        <w:tab/>
        <w:t>97</w:t>
      </w:r>
    </w:p>
    <w:p w:rsidR="00D81F69" w:rsidRPr="00392EAD" w:rsidRDefault="00330118">
      <w:pPr>
        <w:pStyle w:val="Heading5"/>
        <w:tabs>
          <w:tab w:val="left" w:pos="10089"/>
        </w:tabs>
        <w:spacing w:line="254" w:lineRule="exact"/>
        <w:ind w:left="23" w:right="0"/>
        <w:jc w:val="center"/>
        <w:rPr>
          <w:rFonts w:ascii="Calibri" w:hAnsi="Calibri"/>
          <w:lang w:val="pt-BR"/>
        </w:rPr>
      </w:pPr>
      <w:r w:rsidRPr="00392EAD">
        <w:rPr>
          <w:rFonts w:ascii="Times New Roman" w:hAnsi="Times New Roman"/>
          <w:w w:val="99"/>
          <w:u w:val="single"/>
          <w:lang w:val="pt-BR"/>
        </w:rPr>
        <w:t xml:space="preserve"> </w:t>
      </w:r>
      <w:r w:rsidRPr="00392EAD">
        <w:rPr>
          <w:rFonts w:ascii="Times New Roman" w:hAnsi="Times New Roman"/>
          <w:spacing w:val="-2"/>
          <w:u w:val="single"/>
          <w:lang w:val="pt-BR"/>
        </w:rPr>
        <w:t xml:space="preserve"> </w:t>
      </w:r>
      <w:r w:rsidRPr="00392EAD">
        <w:rPr>
          <w:rFonts w:ascii="Calibri" w:hAnsi="Calibri"/>
          <w:spacing w:val="-1"/>
          <w:u w:val="single"/>
          <w:lang w:val="pt-BR"/>
        </w:rPr>
        <w:t>de valor</w:t>
      </w:r>
      <w:r w:rsidRPr="00392EAD">
        <w:rPr>
          <w:rFonts w:ascii="Calibri" w:hAnsi="Calibri"/>
          <w:spacing w:val="-8"/>
          <w:u w:val="single"/>
          <w:lang w:val="pt-BR"/>
        </w:rPr>
        <w:t xml:space="preserve"> </w:t>
      </w:r>
      <w:r w:rsidRPr="00392EAD">
        <w:rPr>
          <w:rFonts w:ascii="Calibri" w:hAnsi="Calibri"/>
          <w:spacing w:val="-1"/>
          <w:u w:val="single"/>
          <w:lang w:val="pt-BR"/>
        </w:rPr>
        <w:t>histórico......................................................................................................................................</w:t>
      </w:r>
      <w:r w:rsidRPr="00392EAD">
        <w:rPr>
          <w:rFonts w:ascii="Calibri" w:hAnsi="Calibri"/>
          <w:spacing w:val="-1"/>
          <w:u w:val="single"/>
          <w:lang w:val="pt-BR"/>
        </w:rPr>
        <w:tab/>
      </w:r>
    </w:p>
    <w:p w:rsidR="00D81F69" w:rsidRPr="00392EAD" w:rsidRDefault="00D81F69">
      <w:pPr>
        <w:pStyle w:val="Heading5"/>
        <w:tabs>
          <w:tab w:val="left" w:pos="9363"/>
        </w:tabs>
        <w:spacing w:before="10"/>
        <w:ind w:left="0" w:right="124"/>
        <w:jc w:val="center"/>
        <w:rPr>
          <w:rFonts w:ascii="Calibri" w:hAnsi="Calibri"/>
          <w:lang w:val="pt-BR"/>
        </w:rPr>
      </w:pPr>
      <w:r w:rsidRPr="00D81F69">
        <w:pict>
          <v:line id="_x0000_s1077" style="position:absolute;left:0;text-align:left;z-index:4672;mso-position-horizontal-relative:page" from="49.6pt,14.2pt" to="552.9pt,14.2pt" strokeweight=".48pt">
            <w10:wrap anchorx="page"/>
          </v:line>
        </w:pict>
      </w:r>
      <w:r w:rsidR="00330118" w:rsidRPr="00392EAD">
        <w:rPr>
          <w:rFonts w:ascii="Calibri" w:hAnsi="Calibri"/>
          <w:lang w:val="pt-BR"/>
        </w:rPr>
        <w:t>Garimpo</w:t>
      </w:r>
      <w:r w:rsidR="00330118" w:rsidRPr="00392EAD">
        <w:rPr>
          <w:rFonts w:ascii="Calibri" w:hAnsi="Calibri"/>
          <w:spacing w:val="-12"/>
          <w:lang w:val="pt-BR"/>
        </w:rPr>
        <w:t xml:space="preserve"> </w:t>
      </w:r>
      <w:r w:rsidR="00330118" w:rsidRPr="00392EAD">
        <w:rPr>
          <w:rFonts w:ascii="Calibri" w:hAnsi="Calibri"/>
          <w:lang w:val="pt-BR"/>
        </w:rPr>
        <w:t>ilegal</w:t>
      </w:r>
      <w:r w:rsidR="00330118" w:rsidRPr="00392EAD">
        <w:rPr>
          <w:rFonts w:ascii="Calibri" w:hAnsi="Calibri"/>
          <w:spacing w:val="-12"/>
          <w:lang w:val="pt-BR"/>
        </w:rPr>
        <w:t xml:space="preserve"> </w:t>
      </w:r>
      <w:r w:rsidR="00330118" w:rsidRPr="00392EAD">
        <w:rPr>
          <w:rFonts w:ascii="Calibri" w:hAnsi="Calibri"/>
          <w:lang w:val="pt-BR"/>
        </w:rPr>
        <w:t>na</w:t>
      </w:r>
      <w:r w:rsidR="00330118" w:rsidRPr="00392EAD">
        <w:rPr>
          <w:rFonts w:ascii="Calibri" w:hAnsi="Calibri"/>
          <w:spacing w:val="-11"/>
          <w:lang w:val="pt-BR"/>
        </w:rPr>
        <w:t xml:space="preserve"> </w:t>
      </w:r>
      <w:r w:rsidR="00330118" w:rsidRPr="00392EAD">
        <w:rPr>
          <w:rFonts w:ascii="Calibri" w:hAnsi="Calibri"/>
          <w:lang w:val="pt-BR"/>
        </w:rPr>
        <w:t>Terra</w:t>
      </w:r>
      <w:r w:rsidR="00330118" w:rsidRPr="00392EAD">
        <w:rPr>
          <w:rFonts w:ascii="Calibri" w:hAnsi="Calibri"/>
          <w:spacing w:val="-10"/>
          <w:lang w:val="pt-BR"/>
        </w:rPr>
        <w:t xml:space="preserve"> </w:t>
      </w:r>
      <w:r w:rsidR="00330118" w:rsidRPr="00392EAD">
        <w:rPr>
          <w:rFonts w:ascii="Calibri" w:hAnsi="Calibri"/>
          <w:lang w:val="pt-BR"/>
        </w:rPr>
        <w:t>Indígena</w:t>
      </w:r>
      <w:r w:rsidR="00330118" w:rsidRPr="00392EAD">
        <w:rPr>
          <w:rFonts w:ascii="Calibri" w:hAnsi="Calibri"/>
          <w:spacing w:val="-10"/>
          <w:lang w:val="pt-BR"/>
        </w:rPr>
        <w:t xml:space="preserve"> </w:t>
      </w:r>
      <w:r w:rsidR="00330118" w:rsidRPr="00392EAD">
        <w:rPr>
          <w:rFonts w:ascii="Calibri" w:hAnsi="Calibri"/>
          <w:lang w:val="pt-BR"/>
        </w:rPr>
        <w:t>Roosevelt</w:t>
      </w:r>
      <w:r w:rsidR="00330118" w:rsidRPr="00392EAD">
        <w:rPr>
          <w:rFonts w:ascii="Calibri" w:hAnsi="Calibri"/>
          <w:spacing w:val="-11"/>
          <w:lang w:val="pt-BR"/>
        </w:rPr>
        <w:t xml:space="preserve"> </w:t>
      </w:r>
      <w:r w:rsidR="00330118" w:rsidRPr="00392EAD">
        <w:rPr>
          <w:rFonts w:ascii="Calibri" w:hAnsi="Calibri"/>
          <w:lang w:val="pt-BR"/>
        </w:rPr>
        <w:t>(RO)....................................................................................</w:t>
      </w:r>
      <w:r w:rsidR="00330118" w:rsidRPr="00392EAD">
        <w:rPr>
          <w:rFonts w:ascii="Calibri" w:hAnsi="Calibri"/>
          <w:lang w:val="pt-BR"/>
        </w:rPr>
        <w:tab/>
        <w:t>100</w:t>
      </w:r>
    </w:p>
    <w:p w:rsidR="00D81F69" w:rsidRPr="00392EAD" w:rsidRDefault="00330118">
      <w:pPr>
        <w:pStyle w:val="Heading5"/>
        <w:tabs>
          <w:tab w:val="left" w:leader="dot" w:pos="9604"/>
          <w:tab w:val="left" w:pos="10197"/>
        </w:tabs>
        <w:spacing w:before="9"/>
        <w:ind w:left="132" w:right="0"/>
        <w:jc w:val="left"/>
        <w:rPr>
          <w:rFonts w:ascii="Calibri" w:hAnsi="Calibri"/>
          <w:lang w:val="pt-BR"/>
        </w:rPr>
      </w:pPr>
      <w:r w:rsidRPr="00392EAD">
        <w:rPr>
          <w:rFonts w:ascii="Times New Roman" w:hAnsi="Times New Roman"/>
          <w:w w:val="99"/>
          <w:u w:val="single"/>
          <w:lang w:val="pt-BR"/>
        </w:rPr>
        <w:t xml:space="preserve"> </w:t>
      </w:r>
      <w:r w:rsidRPr="00392EAD">
        <w:rPr>
          <w:rFonts w:ascii="Times New Roman" w:hAnsi="Times New Roman"/>
          <w:spacing w:val="-2"/>
          <w:u w:val="single"/>
          <w:lang w:val="pt-BR"/>
        </w:rPr>
        <w:t xml:space="preserve"> </w:t>
      </w:r>
      <w:r w:rsidRPr="00392EAD">
        <w:rPr>
          <w:rFonts w:ascii="Calibri" w:hAnsi="Calibri"/>
          <w:u w:val="single"/>
          <w:lang w:val="pt-BR"/>
        </w:rPr>
        <w:t>Impactos socioambientais da exploração de estanho em Monte</w:t>
      </w:r>
      <w:r w:rsidRPr="00392EAD">
        <w:rPr>
          <w:rFonts w:ascii="Calibri" w:hAnsi="Calibri"/>
          <w:spacing w:val="-17"/>
          <w:u w:val="single"/>
          <w:lang w:val="pt-BR"/>
        </w:rPr>
        <w:t xml:space="preserve"> </w:t>
      </w:r>
      <w:r w:rsidRPr="00392EAD">
        <w:rPr>
          <w:rFonts w:ascii="Calibri" w:hAnsi="Calibri"/>
          <w:u w:val="single"/>
          <w:lang w:val="pt-BR"/>
        </w:rPr>
        <w:t>Negro</w:t>
      </w:r>
      <w:r w:rsidRPr="00392EAD">
        <w:rPr>
          <w:rFonts w:ascii="Calibri" w:hAnsi="Calibri"/>
          <w:spacing w:val="-3"/>
          <w:u w:val="single"/>
          <w:lang w:val="pt-BR"/>
        </w:rPr>
        <w:t xml:space="preserve"> </w:t>
      </w:r>
      <w:r w:rsidRPr="00392EAD">
        <w:rPr>
          <w:rFonts w:ascii="Calibri" w:hAnsi="Calibri"/>
          <w:u w:val="single"/>
          <w:lang w:val="pt-BR"/>
        </w:rPr>
        <w:t>(RO)</w:t>
      </w:r>
      <w:r w:rsidRPr="00392EAD">
        <w:rPr>
          <w:rFonts w:ascii="Calibri" w:hAnsi="Calibri"/>
          <w:lang w:val="pt-BR"/>
        </w:rPr>
        <w:tab/>
      </w:r>
      <w:r w:rsidRPr="00392EAD">
        <w:rPr>
          <w:rFonts w:ascii="Calibri" w:hAnsi="Calibri"/>
          <w:u w:val="single"/>
          <w:lang w:val="pt-BR"/>
        </w:rPr>
        <w:t>104</w:t>
      </w:r>
      <w:r w:rsidRPr="00392EAD">
        <w:rPr>
          <w:rFonts w:ascii="Calibri" w:hAnsi="Calibri"/>
          <w:u w:val="single"/>
          <w:lang w:val="pt-BR"/>
        </w:rPr>
        <w:tab/>
      </w:r>
    </w:p>
    <w:p w:rsidR="00D81F69" w:rsidRPr="00392EAD" w:rsidRDefault="00D81F69">
      <w:pPr>
        <w:pStyle w:val="Heading5"/>
        <w:tabs>
          <w:tab w:val="left" w:pos="9363"/>
        </w:tabs>
        <w:spacing w:before="10"/>
        <w:ind w:left="0" w:right="125"/>
        <w:jc w:val="center"/>
        <w:rPr>
          <w:rFonts w:ascii="Calibri" w:hAnsi="Calibri"/>
          <w:lang w:val="pt-BR"/>
        </w:rPr>
      </w:pPr>
      <w:r w:rsidRPr="00D81F69">
        <w:pict>
          <v:line id="_x0000_s1076" style="position:absolute;left:0;text-align:left;z-index:4696;mso-position-horizontal-relative:page" from="49.6pt,14.2pt" to="552.9pt,14.2pt" strokeweight=".48pt">
            <w10:wrap anchorx="page"/>
          </v:line>
        </w:pict>
      </w:r>
      <w:r w:rsidR="00330118" w:rsidRPr="00392EAD">
        <w:rPr>
          <w:rFonts w:ascii="Calibri" w:hAnsi="Calibri"/>
          <w:lang w:val="pt-BR"/>
        </w:rPr>
        <w:t>Extração</w:t>
      </w:r>
      <w:r w:rsidR="00330118" w:rsidRPr="00392EAD">
        <w:rPr>
          <w:rFonts w:ascii="Calibri" w:hAnsi="Calibri"/>
          <w:spacing w:val="-7"/>
          <w:lang w:val="pt-BR"/>
        </w:rPr>
        <w:t xml:space="preserve"> </w:t>
      </w:r>
      <w:r w:rsidR="00330118" w:rsidRPr="00392EAD">
        <w:rPr>
          <w:rFonts w:ascii="Calibri" w:hAnsi="Calibri"/>
          <w:lang w:val="pt-BR"/>
        </w:rPr>
        <w:t>de</w:t>
      </w:r>
      <w:r w:rsidR="00330118" w:rsidRPr="00392EAD">
        <w:rPr>
          <w:rFonts w:ascii="Calibri" w:hAnsi="Calibri"/>
          <w:spacing w:val="-6"/>
          <w:lang w:val="pt-BR"/>
        </w:rPr>
        <w:t xml:space="preserve"> </w:t>
      </w:r>
      <w:r w:rsidR="00330118" w:rsidRPr="00392EAD">
        <w:rPr>
          <w:rFonts w:ascii="Calibri" w:hAnsi="Calibri"/>
          <w:lang w:val="pt-BR"/>
        </w:rPr>
        <w:t>cassiterita</w:t>
      </w:r>
      <w:r w:rsidR="00330118" w:rsidRPr="00392EAD">
        <w:rPr>
          <w:rFonts w:ascii="Calibri" w:hAnsi="Calibri"/>
          <w:spacing w:val="-7"/>
          <w:lang w:val="pt-BR"/>
        </w:rPr>
        <w:t xml:space="preserve"> </w:t>
      </w:r>
      <w:r w:rsidR="00330118" w:rsidRPr="00392EAD">
        <w:rPr>
          <w:rFonts w:ascii="Calibri" w:hAnsi="Calibri"/>
          <w:lang w:val="pt-BR"/>
        </w:rPr>
        <w:t>gera</w:t>
      </w:r>
      <w:r w:rsidR="00330118" w:rsidRPr="00392EAD">
        <w:rPr>
          <w:rFonts w:ascii="Calibri" w:hAnsi="Calibri"/>
          <w:spacing w:val="-7"/>
          <w:lang w:val="pt-BR"/>
        </w:rPr>
        <w:t xml:space="preserve"> </w:t>
      </w:r>
      <w:r w:rsidR="00330118" w:rsidRPr="00392EAD">
        <w:rPr>
          <w:rFonts w:ascii="Calibri" w:hAnsi="Calibri"/>
          <w:lang w:val="pt-BR"/>
        </w:rPr>
        <w:t>danos</w:t>
      </w:r>
      <w:r w:rsidR="00330118" w:rsidRPr="00392EAD">
        <w:rPr>
          <w:rFonts w:ascii="Calibri" w:hAnsi="Calibri"/>
          <w:spacing w:val="-6"/>
          <w:lang w:val="pt-BR"/>
        </w:rPr>
        <w:t xml:space="preserve"> </w:t>
      </w:r>
      <w:r w:rsidR="00330118" w:rsidRPr="00392EAD">
        <w:rPr>
          <w:rFonts w:ascii="Calibri" w:hAnsi="Calibri"/>
          <w:lang w:val="pt-BR"/>
        </w:rPr>
        <w:t>socioambientais</w:t>
      </w:r>
      <w:r w:rsidR="00330118" w:rsidRPr="00392EAD">
        <w:rPr>
          <w:rFonts w:ascii="Calibri" w:hAnsi="Calibri"/>
          <w:spacing w:val="-6"/>
          <w:lang w:val="pt-BR"/>
        </w:rPr>
        <w:t xml:space="preserve"> </w:t>
      </w:r>
      <w:r w:rsidR="00330118" w:rsidRPr="00392EAD">
        <w:rPr>
          <w:rFonts w:ascii="Calibri" w:hAnsi="Calibri"/>
          <w:lang w:val="pt-BR"/>
        </w:rPr>
        <w:t>em</w:t>
      </w:r>
      <w:r w:rsidR="00330118" w:rsidRPr="00392EAD">
        <w:rPr>
          <w:rFonts w:ascii="Calibri" w:hAnsi="Calibri"/>
          <w:spacing w:val="-7"/>
          <w:lang w:val="pt-BR"/>
        </w:rPr>
        <w:t xml:space="preserve"> </w:t>
      </w:r>
      <w:r w:rsidR="00330118" w:rsidRPr="00392EAD">
        <w:rPr>
          <w:rFonts w:ascii="Calibri" w:hAnsi="Calibri"/>
          <w:lang w:val="pt-BR"/>
        </w:rPr>
        <w:t>Ariquemes</w:t>
      </w:r>
      <w:r w:rsidR="00330118" w:rsidRPr="00392EAD">
        <w:rPr>
          <w:rFonts w:ascii="Calibri" w:hAnsi="Calibri"/>
          <w:spacing w:val="-6"/>
          <w:lang w:val="pt-BR"/>
        </w:rPr>
        <w:t xml:space="preserve"> </w:t>
      </w:r>
      <w:r w:rsidR="00330118" w:rsidRPr="00392EAD">
        <w:rPr>
          <w:rFonts w:ascii="Calibri" w:hAnsi="Calibri"/>
          <w:lang w:val="pt-BR"/>
        </w:rPr>
        <w:t>(RO)...............................................</w:t>
      </w:r>
      <w:r w:rsidR="00330118" w:rsidRPr="00392EAD">
        <w:rPr>
          <w:rFonts w:ascii="Calibri" w:hAnsi="Calibri"/>
          <w:lang w:val="pt-BR"/>
        </w:rPr>
        <w:tab/>
        <w:t>106</w:t>
      </w:r>
    </w:p>
    <w:p w:rsidR="00D81F69" w:rsidRPr="00392EAD" w:rsidRDefault="00330118">
      <w:pPr>
        <w:pStyle w:val="Heading5"/>
        <w:tabs>
          <w:tab w:val="left" w:leader="dot" w:pos="9604"/>
          <w:tab w:val="left" w:pos="10197"/>
        </w:tabs>
        <w:spacing w:before="10"/>
        <w:ind w:left="132" w:right="0"/>
        <w:jc w:val="left"/>
        <w:rPr>
          <w:rFonts w:ascii="Calibri" w:hAnsi="Calibri"/>
          <w:lang w:val="pt-BR"/>
        </w:rPr>
      </w:pPr>
      <w:r w:rsidRPr="00392EAD">
        <w:rPr>
          <w:rFonts w:ascii="Times New Roman" w:hAnsi="Times New Roman"/>
          <w:w w:val="99"/>
          <w:u w:val="single"/>
          <w:lang w:val="pt-BR"/>
        </w:rPr>
        <w:t xml:space="preserve"> </w:t>
      </w:r>
      <w:r w:rsidRPr="00392EAD">
        <w:rPr>
          <w:rFonts w:ascii="Times New Roman" w:hAnsi="Times New Roman"/>
          <w:spacing w:val="-2"/>
          <w:u w:val="single"/>
          <w:lang w:val="pt-BR"/>
        </w:rPr>
        <w:t xml:space="preserve"> </w:t>
      </w:r>
      <w:r w:rsidRPr="00392EAD">
        <w:rPr>
          <w:rFonts w:ascii="Calibri" w:hAnsi="Calibri"/>
          <w:u w:val="single"/>
          <w:lang w:val="pt-BR"/>
        </w:rPr>
        <w:t>Garimpo ilegal na Terra indígena Raposa Serra do</w:t>
      </w:r>
      <w:r w:rsidRPr="00392EAD">
        <w:rPr>
          <w:rFonts w:ascii="Calibri" w:hAnsi="Calibri"/>
          <w:spacing w:val="-19"/>
          <w:u w:val="single"/>
          <w:lang w:val="pt-BR"/>
        </w:rPr>
        <w:t xml:space="preserve"> </w:t>
      </w:r>
      <w:r w:rsidRPr="00392EAD">
        <w:rPr>
          <w:rFonts w:ascii="Calibri" w:hAnsi="Calibri"/>
          <w:u w:val="single"/>
          <w:lang w:val="pt-BR"/>
        </w:rPr>
        <w:t>Sol</w:t>
      </w:r>
      <w:r w:rsidRPr="00392EAD">
        <w:rPr>
          <w:rFonts w:ascii="Calibri" w:hAnsi="Calibri"/>
          <w:spacing w:val="-3"/>
          <w:u w:val="single"/>
          <w:lang w:val="pt-BR"/>
        </w:rPr>
        <w:t xml:space="preserve"> </w:t>
      </w:r>
      <w:r w:rsidRPr="00392EAD">
        <w:rPr>
          <w:rFonts w:ascii="Calibri" w:hAnsi="Calibri"/>
          <w:u w:val="single"/>
          <w:lang w:val="pt-BR"/>
        </w:rPr>
        <w:t>(RR).</w:t>
      </w:r>
      <w:r w:rsidRPr="00392EAD">
        <w:rPr>
          <w:rFonts w:ascii="Calibri" w:hAnsi="Calibri"/>
          <w:lang w:val="pt-BR"/>
        </w:rPr>
        <w:tab/>
      </w:r>
      <w:r w:rsidRPr="00392EAD">
        <w:rPr>
          <w:rFonts w:ascii="Calibri" w:hAnsi="Calibri"/>
          <w:u w:val="single"/>
          <w:lang w:val="pt-BR"/>
        </w:rPr>
        <w:t>109</w:t>
      </w:r>
      <w:r w:rsidRPr="00392EAD">
        <w:rPr>
          <w:rFonts w:ascii="Calibri" w:hAnsi="Calibri"/>
          <w:u w:val="single"/>
          <w:lang w:val="pt-BR"/>
        </w:rPr>
        <w:tab/>
      </w:r>
    </w:p>
    <w:p w:rsidR="00D81F69" w:rsidRPr="00392EAD" w:rsidRDefault="00330118">
      <w:pPr>
        <w:pStyle w:val="Heading5"/>
        <w:tabs>
          <w:tab w:val="left" w:leader="dot" w:pos="9603"/>
          <w:tab w:val="left" w:pos="10197"/>
        </w:tabs>
        <w:spacing w:before="10"/>
        <w:ind w:left="117" w:right="0"/>
        <w:jc w:val="left"/>
        <w:rPr>
          <w:rFonts w:ascii="Calibri"/>
          <w:lang w:val="pt-BR"/>
        </w:rPr>
      </w:pPr>
      <w:r w:rsidRPr="00392EAD">
        <w:rPr>
          <w:rFonts w:ascii="Times New Roman"/>
          <w:w w:val="99"/>
          <w:u w:val="single"/>
          <w:lang w:val="pt-BR"/>
        </w:rPr>
        <w:t xml:space="preserve"> </w:t>
      </w:r>
      <w:r w:rsidRPr="00392EAD">
        <w:rPr>
          <w:rFonts w:ascii="Times New Roman"/>
          <w:spacing w:val="11"/>
          <w:u w:val="single"/>
          <w:lang w:val="pt-BR"/>
        </w:rPr>
        <w:t xml:space="preserve"> </w:t>
      </w:r>
      <w:r w:rsidRPr="00392EAD">
        <w:rPr>
          <w:rFonts w:ascii="Calibri"/>
          <w:u w:val="single"/>
          <w:lang w:val="pt-BR"/>
        </w:rPr>
        <w:t>Garimpo ilegal de ouro afeta soberania do povo Yanomami em</w:t>
      </w:r>
      <w:r w:rsidRPr="00392EAD">
        <w:rPr>
          <w:rFonts w:ascii="Calibri"/>
          <w:spacing w:val="-22"/>
          <w:u w:val="single"/>
          <w:lang w:val="pt-BR"/>
        </w:rPr>
        <w:t xml:space="preserve"> </w:t>
      </w:r>
      <w:r w:rsidRPr="00392EAD">
        <w:rPr>
          <w:rFonts w:ascii="Calibri"/>
          <w:u w:val="single"/>
          <w:lang w:val="pt-BR"/>
        </w:rPr>
        <w:t>Roraima</w:t>
      </w:r>
      <w:r w:rsidRPr="00392EAD">
        <w:rPr>
          <w:rFonts w:ascii="Calibri"/>
          <w:spacing w:val="-3"/>
          <w:u w:val="single"/>
          <w:lang w:val="pt-BR"/>
        </w:rPr>
        <w:t xml:space="preserve"> </w:t>
      </w:r>
      <w:r w:rsidRPr="00392EAD">
        <w:rPr>
          <w:rFonts w:ascii="Calibri"/>
          <w:u w:val="single"/>
          <w:lang w:val="pt-BR"/>
        </w:rPr>
        <w:t>(RR).</w:t>
      </w:r>
      <w:r w:rsidRPr="00392EAD">
        <w:rPr>
          <w:rFonts w:ascii="Calibri"/>
          <w:lang w:val="pt-BR"/>
        </w:rPr>
        <w:tab/>
      </w:r>
      <w:r w:rsidRPr="00392EAD">
        <w:rPr>
          <w:rFonts w:ascii="Calibri"/>
          <w:u w:val="single"/>
          <w:lang w:val="pt-BR"/>
        </w:rPr>
        <w:t>113</w:t>
      </w:r>
      <w:r w:rsidRPr="00392EAD">
        <w:rPr>
          <w:rFonts w:ascii="Calibri"/>
          <w:u w:val="single"/>
          <w:lang w:val="pt-BR"/>
        </w:rPr>
        <w:tab/>
      </w:r>
    </w:p>
    <w:p w:rsidR="00D81F69" w:rsidRPr="00392EAD" w:rsidRDefault="00330118">
      <w:pPr>
        <w:tabs>
          <w:tab w:val="left" w:pos="10197"/>
        </w:tabs>
        <w:spacing w:before="520"/>
        <w:ind w:left="274"/>
        <w:rPr>
          <w:rFonts w:ascii="Calibri" w:hAnsi="Calibri"/>
          <w:b/>
          <w:lang w:val="pt-BR"/>
        </w:rPr>
      </w:pPr>
      <w:r w:rsidRPr="00392EAD">
        <w:rPr>
          <w:rFonts w:ascii="Times New Roman" w:hAnsi="Times New Roman"/>
          <w:w w:val="99"/>
          <w:u w:val="single"/>
          <w:lang w:val="pt-BR"/>
        </w:rPr>
        <w:t xml:space="preserve"> </w:t>
      </w:r>
      <w:r w:rsidRPr="00392EAD">
        <w:rPr>
          <w:rFonts w:ascii="Times New Roman" w:hAnsi="Times New Roman"/>
          <w:spacing w:val="-2"/>
          <w:u w:val="single"/>
          <w:lang w:val="pt-BR"/>
        </w:rPr>
        <w:t xml:space="preserve"> </w:t>
      </w:r>
      <w:r w:rsidRPr="00392EAD">
        <w:rPr>
          <w:rFonts w:ascii="Calibri" w:hAnsi="Calibri"/>
          <w:b/>
          <w:u w:val="single"/>
          <w:lang w:val="pt-BR"/>
        </w:rPr>
        <w:t>REGIÃO</w:t>
      </w:r>
      <w:r w:rsidRPr="00392EAD">
        <w:rPr>
          <w:rFonts w:ascii="Calibri" w:hAnsi="Calibri"/>
          <w:b/>
          <w:spacing w:val="-5"/>
          <w:u w:val="single"/>
          <w:lang w:val="pt-BR"/>
        </w:rPr>
        <w:t xml:space="preserve"> </w:t>
      </w:r>
      <w:r w:rsidRPr="00392EAD">
        <w:rPr>
          <w:rFonts w:ascii="Calibri" w:hAnsi="Calibri"/>
          <w:b/>
          <w:u w:val="single"/>
          <w:lang w:val="pt-BR"/>
        </w:rPr>
        <w:t>NORDESTE</w:t>
      </w:r>
      <w:r w:rsidRPr="00392EAD">
        <w:rPr>
          <w:rFonts w:ascii="Calibri" w:hAnsi="Calibri"/>
          <w:b/>
          <w:u w:val="single"/>
          <w:lang w:val="pt-BR"/>
        </w:rPr>
        <w:tab/>
      </w:r>
    </w:p>
    <w:p w:rsidR="00D81F69" w:rsidRPr="00392EAD" w:rsidRDefault="00330118">
      <w:pPr>
        <w:spacing w:before="10"/>
        <w:ind w:left="381"/>
        <w:rPr>
          <w:rFonts w:ascii="Calibri" w:hAnsi="Calibri"/>
          <w:b/>
          <w:lang w:val="pt-BR"/>
        </w:rPr>
      </w:pPr>
      <w:r w:rsidRPr="00392EAD">
        <w:rPr>
          <w:rFonts w:ascii="Calibri" w:hAnsi="Calibri"/>
          <w:b/>
          <w:lang w:val="pt-BR"/>
        </w:rPr>
        <w:t>Mineração na Região Nordeste do Brasil: quadro atual e perspectivas</w:t>
      </w:r>
    </w:p>
    <w:p w:rsidR="00D81F69" w:rsidRPr="00392EAD" w:rsidRDefault="00330118">
      <w:pPr>
        <w:tabs>
          <w:tab w:val="right" w:pos="9868"/>
        </w:tabs>
        <w:ind w:left="381"/>
        <w:rPr>
          <w:rFonts w:ascii="Calibri"/>
          <w:lang w:val="pt-BR"/>
        </w:rPr>
      </w:pPr>
      <w:r w:rsidRPr="00392EAD">
        <w:rPr>
          <w:rFonts w:ascii="Calibri"/>
          <w:i/>
          <w:lang w:val="pt-BR"/>
        </w:rPr>
        <w:t>Keila Valente de Souza, Rodrigo Braga da Rocha Villa Verde, Renata de Carvalho</w:t>
      </w:r>
      <w:r w:rsidRPr="00392EAD">
        <w:rPr>
          <w:rFonts w:ascii="Calibri"/>
          <w:i/>
          <w:spacing w:val="-21"/>
          <w:lang w:val="pt-BR"/>
        </w:rPr>
        <w:t xml:space="preserve"> </w:t>
      </w:r>
      <w:r w:rsidRPr="00392EAD">
        <w:rPr>
          <w:rFonts w:ascii="Calibri"/>
          <w:i/>
          <w:lang w:val="pt-BR"/>
        </w:rPr>
        <w:t>Jimenez</w:t>
      </w:r>
      <w:r w:rsidRPr="00392EAD">
        <w:rPr>
          <w:rFonts w:ascii="Calibri"/>
          <w:i/>
          <w:spacing w:val="-4"/>
          <w:lang w:val="pt-BR"/>
        </w:rPr>
        <w:t xml:space="preserve"> </w:t>
      </w:r>
      <w:r w:rsidRPr="00392EAD">
        <w:rPr>
          <w:rFonts w:ascii="Calibri"/>
          <w:i/>
          <w:lang w:val="pt-BR"/>
        </w:rPr>
        <w:t>Alamino</w:t>
      </w:r>
      <w:r w:rsidRPr="00392EAD">
        <w:rPr>
          <w:rFonts w:ascii="Calibri"/>
          <w:i/>
          <w:lang w:val="pt-BR"/>
        </w:rPr>
        <w:tab/>
      </w:r>
      <w:r w:rsidRPr="00392EAD">
        <w:rPr>
          <w:rFonts w:ascii="Calibri"/>
          <w:lang w:val="pt-BR"/>
        </w:rPr>
        <w:t>117</w:t>
      </w:r>
    </w:p>
    <w:p w:rsidR="00D81F69" w:rsidRPr="00392EAD" w:rsidRDefault="00330118">
      <w:pPr>
        <w:tabs>
          <w:tab w:val="left" w:pos="10197"/>
        </w:tabs>
        <w:spacing w:line="268" w:lineRule="exact"/>
        <w:ind w:left="259"/>
        <w:rPr>
          <w:rFonts w:ascii="Calibri"/>
          <w:lang w:val="pt-BR"/>
        </w:rPr>
      </w:pPr>
      <w:r w:rsidRPr="00392EAD">
        <w:rPr>
          <w:rFonts w:ascii="Times New Roman"/>
          <w:w w:val="99"/>
          <w:u w:val="single"/>
          <w:lang w:val="pt-BR"/>
        </w:rPr>
        <w:t xml:space="preserve"> </w:t>
      </w:r>
      <w:r w:rsidRPr="00392EAD">
        <w:rPr>
          <w:rFonts w:ascii="Times New Roman"/>
          <w:spacing w:val="11"/>
          <w:u w:val="single"/>
          <w:lang w:val="pt-BR"/>
        </w:rPr>
        <w:t xml:space="preserve"> </w:t>
      </w:r>
      <w:r w:rsidRPr="00392EAD">
        <w:rPr>
          <w:rFonts w:ascii="Calibri"/>
          <w:i/>
          <w:u w:val="single"/>
          <w:lang w:val="pt-BR"/>
        </w:rPr>
        <w:t>e</w:t>
      </w:r>
      <w:r w:rsidRPr="00392EAD">
        <w:rPr>
          <w:rFonts w:ascii="Calibri"/>
          <w:i/>
          <w:spacing w:val="-25"/>
          <w:u w:val="single"/>
          <w:lang w:val="pt-BR"/>
        </w:rPr>
        <w:t xml:space="preserve"> </w:t>
      </w:r>
      <w:r w:rsidRPr="00392EAD">
        <w:rPr>
          <w:rFonts w:ascii="Calibri"/>
          <w:i/>
          <w:u w:val="single"/>
          <w:lang w:val="pt-BR"/>
        </w:rPr>
        <w:t>Francisco</w:t>
      </w:r>
      <w:r w:rsidRPr="00392EAD">
        <w:rPr>
          <w:rFonts w:ascii="Calibri"/>
          <w:i/>
          <w:spacing w:val="-24"/>
          <w:u w:val="single"/>
          <w:lang w:val="pt-BR"/>
        </w:rPr>
        <w:t xml:space="preserve"> </w:t>
      </w:r>
      <w:r w:rsidRPr="00392EAD">
        <w:rPr>
          <w:rFonts w:ascii="Calibri"/>
          <w:i/>
          <w:u w:val="single"/>
          <w:lang w:val="pt-BR"/>
        </w:rPr>
        <w:t>Rego</w:t>
      </w:r>
      <w:r w:rsidRPr="00392EAD">
        <w:rPr>
          <w:rFonts w:ascii="Calibri"/>
          <w:i/>
          <w:spacing w:val="-25"/>
          <w:u w:val="single"/>
          <w:lang w:val="pt-BR"/>
        </w:rPr>
        <w:t xml:space="preserve"> </w:t>
      </w:r>
      <w:r w:rsidRPr="00392EAD">
        <w:rPr>
          <w:rFonts w:ascii="Calibri"/>
          <w:i/>
          <w:u w:val="single"/>
          <w:lang w:val="pt-BR"/>
        </w:rPr>
        <w:t>Chaves</w:t>
      </w:r>
      <w:r w:rsidRPr="00392EAD">
        <w:rPr>
          <w:rFonts w:ascii="Calibri"/>
          <w:i/>
          <w:spacing w:val="-24"/>
          <w:u w:val="single"/>
          <w:lang w:val="pt-BR"/>
        </w:rPr>
        <w:t xml:space="preserve"> </w:t>
      </w:r>
      <w:r w:rsidRPr="00392EAD">
        <w:rPr>
          <w:rFonts w:ascii="Calibri"/>
          <w:i/>
          <w:u w:val="single"/>
          <w:lang w:val="pt-BR"/>
        </w:rPr>
        <w:t>Fernandes</w:t>
      </w:r>
      <w:r w:rsidRPr="00392EAD">
        <w:rPr>
          <w:rFonts w:ascii="Calibri"/>
          <w:u w:val="single"/>
          <w:lang w:val="pt-BR"/>
        </w:rPr>
        <w:t>......................................................</w:t>
      </w:r>
      <w:r w:rsidRPr="00392EAD">
        <w:rPr>
          <w:rFonts w:ascii="Calibri"/>
          <w:u w:val="single"/>
          <w:lang w:val="pt-BR"/>
        </w:rPr>
        <w:t>..............................................</w:t>
      </w:r>
      <w:r w:rsidRPr="00392EAD">
        <w:rPr>
          <w:rFonts w:ascii="Calibri"/>
          <w:u w:val="single"/>
          <w:lang w:val="pt-BR"/>
        </w:rPr>
        <w:tab/>
      </w:r>
    </w:p>
    <w:p w:rsidR="00D81F69" w:rsidRPr="00392EAD" w:rsidRDefault="00D81F69">
      <w:pPr>
        <w:spacing w:line="268" w:lineRule="exact"/>
        <w:rPr>
          <w:rFonts w:ascii="Calibri"/>
          <w:lang w:val="pt-BR"/>
        </w:rPr>
        <w:sectPr w:rsidR="00D81F69" w:rsidRPr="00392EAD">
          <w:footerReference w:type="default" r:id="rId12"/>
          <w:pgSz w:w="11910" w:h="16840"/>
          <w:pgMar w:top="1400" w:right="738" w:bottom="280" w:left="860" w:header="0" w:footer="0" w:gutter="0"/>
          <w:cols w:space="720"/>
        </w:sectPr>
      </w:pPr>
    </w:p>
    <w:p w:rsidR="00D81F69" w:rsidRPr="00392EAD" w:rsidRDefault="00D81F69">
      <w:pPr>
        <w:pStyle w:val="Heading5"/>
        <w:tabs>
          <w:tab w:val="right" w:pos="9922"/>
        </w:tabs>
        <w:spacing w:before="26"/>
        <w:ind w:left="382" w:right="0"/>
        <w:jc w:val="left"/>
        <w:rPr>
          <w:rFonts w:ascii="Calibri" w:hAnsi="Calibri"/>
          <w:lang w:val="pt-BR"/>
        </w:rPr>
      </w:pPr>
      <w:r w:rsidRPr="00D81F69">
        <w:lastRenderedPageBreak/>
        <w:pict>
          <v:line id="_x0000_s1075" style="position:absolute;left:0;text-align:left;z-index:4840;mso-position-horizontal-relative:page" from="56.7pt,1.1pt" to="552.9pt,1.1pt" strokeweight=".48pt">
            <w10:wrap anchorx="page"/>
          </v:line>
        </w:pict>
      </w:r>
      <w:r w:rsidRPr="00D81F69">
        <w:pict>
          <v:line id="_x0000_s1074" style="position:absolute;left:0;text-align:left;z-index:4864;mso-position-horizontal-relative:page" from="56.7pt,15pt" to="552.9pt,15pt" strokeweight=".48pt">
            <w10:wrap anchorx="page"/>
          </v:line>
        </w:pict>
      </w:r>
      <w:r w:rsidR="00330118" w:rsidRPr="00392EAD">
        <w:rPr>
          <w:rFonts w:ascii="Calibri" w:hAnsi="Calibri"/>
          <w:lang w:val="pt-BR"/>
        </w:rPr>
        <w:t>Consequências do encerramento da exploração do amianto em Bom Jesus da</w:t>
      </w:r>
      <w:r w:rsidR="00330118" w:rsidRPr="00392EAD">
        <w:rPr>
          <w:rFonts w:ascii="Calibri" w:hAnsi="Calibri"/>
          <w:spacing w:val="-25"/>
          <w:lang w:val="pt-BR"/>
        </w:rPr>
        <w:t xml:space="preserve"> </w:t>
      </w:r>
      <w:r w:rsidR="00330118" w:rsidRPr="00392EAD">
        <w:rPr>
          <w:rFonts w:ascii="Calibri" w:hAnsi="Calibri"/>
          <w:lang w:val="pt-BR"/>
        </w:rPr>
        <w:t>Serra</w:t>
      </w:r>
      <w:r w:rsidR="00330118" w:rsidRPr="00392EAD">
        <w:rPr>
          <w:rFonts w:ascii="Calibri" w:hAnsi="Calibri"/>
          <w:spacing w:val="-3"/>
          <w:lang w:val="pt-BR"/>
        </w:rPr>
        <w:t xml:space="preserve"> </w:t>
      </w:r>
      <w:r w:rsidR="00330118" w:rsidRPr="00392EAD">
        <w:rPr>
          <w:rFonts w:ascii="Calibri" w:hAnsi="Calibri"/>
          <w:lang w:val="pt-BR"/>
        </w:rPr>
        <w:t>(BA)...............</w:t>
      </w:r>
      <w:r w:rsidR="00330118" w:rsidRPr="00392EAD">
        <w:rPr>
          <w:rFonts w:ascii="Calibri" w:hAnsi="Calibri"/>
          <w:lang w:val="pt-BR"/>
        </w:rPr>
        <w:tab/>
        <w:t>124</w:t>
      </w:r>
    </w:p>
    <w:p w:rsidR="00D81F69" w:rsidRDefault="00D81F69">
      <w:pPr>
        <w:pStyle w:val="Heading5"/>
        <w:tabs>
          <w:tab w:val="right" w:pos="9868"/>
        </w:tabs>
        <w:spacing w:before="10"/>
        <w:ind w:left="382" w:right="0"/>
        <w:jc w:val="left"/>
        <w:rPr>
          <w:rFonts w:ascii="Calibri" w:hAnsi="Calibri"/>
        </w:rPr>
      </w:pPr>
      <w:r w:rsidRPr="00D81F69">
        <w:pict>
          <v:line id="_x0000_s1073" style="position:absolute;left:0;text-align:left;z-index:4888;mso-position-horizontal-relative:page" from="56.7pt,14.2pt" to="552.9pt,14.2pt" strokeweight=".48pt">
            <w10:wrap anchorx="page"/>
          </v:line>
        </w:pict>
      </w:r>
      <w:r w:rsidR="00330118" w:rsidRPr="00392EAD">
        <w:rPr>
          <w:rFonts w:ascii="Calibri" w:hAnsi="Calibri"/>
          <w:lang w:val="pt-BR"/>
        </w:rPr>
        <w:t>Santo Amaro (BA) convive com passivo socioambiental de</w:t>
      </w:r>
      <w:r w:rsidR="00330118" w:rsidRPr="00392EAD">
        <w:rPr>
          <w:rFonts w:ascii="Calibri" w:hAnsi="Calibri"/>
          <w:spacing w:val="-25"/>
          <w:lang w:val="pt-BR"/>
        </w:rPr>
        <w:t xml:space="preserve"> </w:t>
      </w:r>
      <w:r w:rsidR="00330118" w:rsidRPr="00392EAD">
        <w:rPr>
          <w:rFonts w:ascii="Calibri" w:hAnsi="Calibri"/>
          <w:lang w:val="pt-BR"/>
        </w:rPr>
        <w:t>antiga</w:t>
      </w:r>
      <w:r w:rsidR="00330118" w:rsidRPr="00392EAD">
        <w:rPr>
          <w:rFonts w:ascii="Calibri" w:hAnsi="Calibri"/>
          <w:spacing w:val="-2"/>
          <w:lang w:val="pt-BR"/>
        </w:rPr>
        <w:t xml:space="preserve"> </w:t>
      </w:r>
      <w:r w:rsidR="00330118" w:rsidRPr="00392EAD">
        <w:rPr>
          <w:rFonts w:ascii="Calibri" w:hAnsi="Calibri"/>
          <w:lang w:val="pt-BR"/>
        </w:rPr>
        <w:t>metalúrgica.................................</w:t>
      </w:r>
      <w:r w:rsidR="00330118" w:rsidRPr="00392EAD">
        <w:rPr>
          <w:rFonts w:ascii="Calibri" w:hAnsi="Calibri"/>
          <w:lang w:val="pt-BR"/>
        </w:rPr>
        <w:tab/>
      </w:r>
      <w:r w:rsidR="00330118">
        <w:rPr>
          <w:rFonts w:ascii="Calibri" w:hAnsi="Calibri"/>
        </w:rPr>
        <w:t>127</w:t>
      </w:r>
    </w:p>
    <w:p w:rsidR="00D81F69" w:rsidRDefault="00D81F69">
      <w:pPr>
        <w:pStyle w:val="Heading5"/>
        <w:tabs>
          <w:tab w:val="right" w:pos="9867"/>
        </w:tabs>
        <w:spacing w:before="10"/>
        <w:ind w:left="382" w:right="0"/>
        <w:jc w:val="left"/>
        <w:rPr>
          <w:rFonts w:ascii="Calibri" w:hAnsi="Calibri"/>
        </w:rPr>
      </w:pPr>
      <w:r w:rsidRPr="00D81F69">
        <w:pict>
          <v:line id="_x0000_s1072" style="position:absolute;left:0;text-align:left;z-index:4912;mso-position-horizontal-relative:page" from="56.7pt,14.2pt" to="552.9pt,14.2pt" strokeweight=".48pt">
            <w10:wrap anchorx="page"/>
          </v:line>
        </w:pict>
      </w:r>
      <w:r w:rsidR="00330118" w:rsidRPr="00392EAD">
        <w:rPr>
          <w:rFonts w:ascii="Calibri" w:hAnsi="Calibri"/>
          <w:lang w:val="pt-BR"/>
        </w:rPr>
        <w:t>Lavra de minério de chumbo em Boquira (BA) deixa rejeitos com teores de</w:t>
      </w:r>
      <w:r w:rsidR="00330118" w:rsidRPr="00392EAD">
        <w:rPr>
          <w:rFonts w:ascii="Calibri" w:hAnsi="Calibri"/>
          <w:spacing w:val="-27"/>
          <w:lang w:val="pt-BR"/>
        </w:rPr>
        <w:t xml:space="preserve"> </w:t>
      </w:r>
      <w:r w:rsidR="00330118" w:rsidRPr="00392EAD">
        <w:rPr>
          <w:rFonts w:ascii="Calibri" w:hAnsi="Calibri"/>
          <w:lang w:val="pt-BR"/>
        </w:rPr>
        <w:t>metais</w:t>
      </w:r>
      <w:r w:rsidR="00330118" w:rsidRPr="00392EAD">
        <w:rPr>
          <w:rFonts w:ascii="Calibri" w:hAnsi="Calibri"/>
          <w:spacing w:val="-2"/>
          <w:lang w:val="pt-BR"/>
        </w:rPr>
        <w:t xml:space="preserve"> </w:t>
      </w:r>
      <w:r w:rsidR="00330118" w:rsidRPr="00392EAD">
        <w:rPr>
          <w:rFonts w:ascii="Calibri" w:hAnsi="Calibri"/>
          <w:lang w:val="pt-BR"/>
        </w:rPr>
        <w:t>pesados...........</w:t>
      </w:r>
      <w:r w:rsidR="00330118" w:rsidRPr="00392EAD">
        <w:rPr>
          <w:rFonts w:ascii="Calibri" w:hAnsi="Calibri"/>
          <w:lang w:val="pt-BR"/>
        </w:rPr>
        <w:tab/>
      </w:r>
      <w:r w:rsidR="00330118">
        <w:rPr>
          <w:rFonts w:ascii="Calibri" w:hAnsi="Calibri"/>
        </w:rPr>
        <w:t>131</w:t>
      </w:r>
    </w:p>
    <w:p w:rsidR="00D81F69" w:rsidRDefault="00D81F69">
      <w:pPr>
        <w:pStyle w:val="Heading5"/>
        <w:tabs>
          <w:tab w:val="right" w:pos="9868"/>
        </w:tabs>
        <w:spacing w:before="11"/>
        <w:ind w:left="382" w:right="0"/>
        <w:jc w:val="left"/>
        <w:rPr>
          <w:rFonts w:ascii="Calibri" w:hAnsi="Calibri"/>
        </w:rPr>
      </w:pPr>
      <w:r w:rsidRPr="00D81F69">
        <w:pict>
          <v:line id="_x0000_s1071" style="position:absolute;left:0;text-align:left;z-index:4936;mso-position-horizontal-relative:page" from="56.7pt,14.2pt" to="552.9pt,14.2pt" strokeweight=".48pt">
            <w10:wrap anchorx="page"/>
          </v:line>
        </w:pict>
      </w:r>
      <w:r w:rsidR="00330118" w:rsidRPr="00392EAD">
        <w:rPr>
          <w:rFonts w:ascii="Calibri" w:hAnsi="Calibri"/>
          <w:lang w:val="pt-BR"/>
        </w:rPr>
        <w:t>Exploração de cobre em Jaguarari (BA) causa</w:t>
      </w:r>
      <w:r w:rsidR="00330118" w:rsidRPr="00392EAD">
        <w:rPr>
          <w:rFonts w:ascii="Calibri" w:hAnsi="Calibri"/>
          <w:spacing w:val="-27"/>
          <w:lang w:val="pt-BR"/>
        </w:rPr>
        <w:t xml:space="preserve"> </w:t>
      </w:r>
      <w:r w:rsidR="00330118" w:rsidRPr="00392EAD">
        <w:rPr>
          <w:rFonts w:ascii="Calibri" w:hAnsi="Calibri"/>
          <w:lang w:val="pt-BR"/>
        </w:rPr>
        <w:t>danos</w:t>
      </w:r>
      <w:r w:rsidR="00330118" w:rsidRPr="00392EAD">
        <w:rPr>
          <w:rFonts w:ascii="Calibri" w:hAnsi="Calibri"/>
          <w:spacing w:val="-3"/>
          <w:lang w:val="pt-BR"/>
        </w:rPr>
        <w:t xml:space="preserve"> </w:t>
      </w:r>
      <w:r w:rsidR="00330118" w:rsidRPr="00392EAD">
        <w:rPr>
          <w:rFonts w:ascii="Calibri" w:hAnsi="Calibri"/>
          <w:lang w:val="pt-BR"/>
        </w:rPr>
        <w:t>ambientais.......................................................</w:t>
      </w:r>
      <w:r w:rsidR="00330118" w:rsidRPr="00392EAD">
        <w:rPr>
          <w:rFonts w:ascii="Calibri" w:hAnsi="Calibri"/>
          <w:lang w:val="pt-BR"/>
        </w:rPr>
        <w:tab/>
      </w:r>
      <w:r w:rsidR="00330118">
        <w:rPr>
          <w:rFonts w:ascii="Calibri" w:hAnsi="Calibri"/>
        </w:rPr>
        <w:t>134</w:t>
      </w:r>
    </w:p>
    <w:p w:rsidR="00D81F69" w:rsidRDefault="00D81F69">
      <w:pPr>
        <w:pStyle w:val="Heading5"/>
        <w:tabs>
          <w:tab w:val="right" w:pos="9868"/>
        </w:tabs>
        <w:spacing w:before="9"/>
        <w:ind w:left="382" w:right="0"/>
        <w:jc w:val="left"/>
        <w:rPr>
          <w:rFonts w:ascii="Calibri" w:hAnsi="Calibri"/>
        </w:rPr>
      </w:pPr>
      <w:r w:rsidRPr="00D81F69">
        <w:pict>
          <v:line id="_x0000_s1070" style="position:absolute;left:0;text-align:left;z-index:4960;mso-position-horizontal-relative:page" from="56.7pt,14.1pt" to="552.9pt,14.1pt" strokeweight=".48pt">
            <w10:wrap anchorx="page"/>
          </v:line>
        </w:pict>
      </w:r>
      <w:r w:rsidR="00330118" w:rsidRPr="00392EAD">
        <w:rPr>
          <w:rFonts w:ascii="Calibri" w:hAnsi="Calibri"/>
          <w:lang w:val="pt-BR"/>
        </w:rPr>
        <w:t>Exploração de esmeraldas na Serra da Carnaíba (BA) causa</w:t>
      </w:r>
      <w:r w:rsidR="00330118" w:rsidRPr="00392EAD">
        <w:rPr>
          <w:rFonts w:ascii="Calibri" w:hAnsi="Calibri"/>
          <w:spacing w:val="-25"/>
          <w:lang w:val="pt-BR"/>
        </w:rPr>
        <w:t xml:space="preserve"> </w:t>
      </w:r>
      <w:r w:rsidR="00330118" w:rsidRPr="00392EAD">
        <w:rPr>
          <w:rFonts w:ascii="Calibri" w:hAnsi="Calibri"/>
          <w:lang w:val="pt-BR"/>
        </w:rPr>
        <w:t>danos</w:t>
      </w:r>
      <w:r w:rsidR="00330118" w:rsidRPr="00392EAD">
        <w:rPr>
          <w:rFonts w:ascii="Calibri" w:hAnsi="Calibri"/>
          <w:spacing w:val="-2"/>
          <w:lang w:val="pt-BR"/>
        </w:rPr>
        <w:t xml:space="preserve"> </w:t>
      </w:r>
      <w:r w:rsidR="00330118" w:rsidRPr="00392EAD">
        <w:rPr>
          <w:rFonts w:ascii="Calibri" w:hAnsi="Calibri"/>
          <w:lang w:val="pt-BR"/>
        </w:rPr>
        <w:t>ambientais.................................</w:t>
      </w:r>
      <w:r w:rsidR="00330118" w:rsidRPr="00392EAD">
        <w:rPr>
          <w:rFonts w:ascii="Calibri" w:hAnsi="Calibri"/>
          <w:lang w:val="pt-BR"/>
        </w:rPr>
        <w:tab/>
      </w:r>
      <w:r w:rsidR="00330118">
        <w:rPr>
          <w:rFonts w:ascii="Calibri" w:hAnsi="Calibri"/>
        </w:rPr>
        <w:t>137</w:t>
      </w:r>
    </w:p>
    <w:p w:rsidR="00D81F69" w:rsidRDefault="00D81F69">
      <w:pPr>
        <w:pStyle w:val="Heading5"/>
        <w:tabs>
          <w:tab w:val="right" w:pos="9868"/>
        </w:tabs>
        <w:spacing w:before="10"/>
        <w:ind w:left="382" w:right="0"/>
        <w:jc w:val="left"/>
        <w:rPr>
          <w:rFonts w:ascii="Calibri" w:hAnsi="Calibri"/>
        </w:rPr>
      </w:pPr>
      <w:r w:rsidRPr="00D81F69">
        <w:pict>
          <v:line id="_x0000_s1069" style="position:absolute;left:0;text-align:left;z-index:4984;mso-position-horizontal-relative:page" from="56.7pt,14.2pt" to="552.9pt,14.2pt" strokeweight=".48pt">
            <w10:wrap anchorx="page"/>
          </v:line>
        </w:pict>
      </w:r>
      <w:r w:rsidR="00330118" w:rsidRPr="00392EAD">
        <w:rPr>
          <w:rFonts w:ascii="Calibri" w:hAnsi="Calibri"/>
          <w:lang w:val="pt-BR"/>
        </w:rPr>
        <w:t>Exploração de minério de ferro em Caetité (BA) afeta meio ambiente e</w:t>
      </w:r>
      <w:r w:rsidR="00330118" w:rsidRPr="00392EAD">
        <w:rPr>
          <w:rFonts w:ascii="Calibri" w:hAnsi="Calibri"/>
          <w:spacing w:val="-26"/>
          <w:lang w:val="pt-BR"/>
        </w:rPr>
        <w:t xml:space="preserve"> </w:t>
      </w:r>
      <w:r w:rsidR="00330118" w:rsidRPr="00392EAD">
        <w:rPr>
          <w:rFonts w:ascii="Calibri" w:hAnsi="Calibri"/>
          <w:lang w:val="pt-BR"/>
        </w:rPr>
        <w:t>comu</w:t>
      </w:r>
      <w:r w:rsidR="00330118" w:rsidRPr="00392EAD">
        <w:rPr>
          <w:rFonts w:ascii="Calibri" w:hAnsi="Calibri"/>
          <w:lang w:val="pt-BR"/>
        </w:rPr>
        <w:t>nidades</w:t>
      </w:r>
      <w:r w:rsidR="00330118" w:rsidRPr="00392EAD">
        <w:rPr>
          <w:rFonts w:ascii="Calibri" w:hAnsi="Calibri"/>
          <w:spacing w:val="-2"/>
          <w:lang w:val="pt-BR"/>
        </w:rPr>
        <w:t xml:space="preserve"> </w:t>
      </w:r>
      <w:r w:rsidR="00330118" w:rsidRPr="00392EAD">
        <w:rPr>
          <w:rFonts w:ascii="Calibri" w:hAnsi="Calibri"/>
          <w:lang w:val="pt-BR"/>
        </w:rPr>
        <w:t>locais...........</w:t>
      </w:r>
      <w:r w:rsidR="00330118" w:rsidRPr="00392EAD">
        <w:rPr>
          <w:rFonts w:ascii="Calibri" w:hAnsi="Calibri"/>
          <w:lang w:val="pt-BR"/>
        </w:rPr>
        <w:tab/>
      </w:r>
      <w:r w:rsidR="00330118">
        <w:rPr>
          <w:rFonts w:ascii="Calibri" w:hAnsi="Calibri"/>
        </w:rPr>
        <w:t>140</w:t>
      </w:r>
    </w:p>
    <w:p w:rsidR="00D81F69" w:rsidRDefault="00D81F69">
      <w:pPr>
        <w:pStyle w:val="Heading5"/>
        <w:tabs>
          <w:tab w:val="right" w:pos="9868"/>
        </w:tabs>
        <w:spacing w:before="10"/>
        <w:ind w:left="382" w:right="0"/>
        <w:jc w:val="left"/>
        <w:rPr>
          <w:rFonts w:ascii="Calibri" w:hAnsi="Calibri"/>
        </w:rPr>
      </w:pPr>
      <w:r w:rsidRPr="00D81F69">
        <w:pict>
          <v:line id="_x0000_s1068" style="position:absolute;left:0;text-align:left;z-index:5008;mso-position-horizontal-relative:page" from="56.7pt,14.2pt" to="552.9pt,14.2pt" strokeweight=".48pt">
            <w10:wrap anchorx="page"/>
          </v:line>
        </w:pict>
      </w:r>
      <w:r w:rsidR="00330118" w:rsidRPr="00392EAD">
        <w:rPr>
          <w:rFonts w:ascii="Calibri" w:hAnsi="Calibri"/>
          <w:lang w:val="pt-BR"/>
        </w:rPr>
        <w:t>Extração de magnesita e talco em Brumado (BA) causa</w:t>
      </w:r>
      <w:r w:rsidR="00330118" w:rsidRPr="00392EAD">
        <w:rPr>
          <w:rFonts w:ascii="Calibri" w:hAnsi="Calibri"/>
          <w:spacing w:val="-31"/>
          <w:lang w:val="pt-BR"/>
        </w:rPr>
        <w:t xml:space="preserve"> </w:t>
      </w:r>
      <w:r w:rsidR="00330118" w:rsidRPr="00392EAD">
        <w:rPr>
          <w:rFonts w:ascii="Calibri" w:hAnsi="Calibri"/>
          <w:lang w:val="pt-BR"/>
        </w:rPr>
        <w:t>danos</w:t>
      </w:r>
      <w:r w:rsidR="00330118" w:rsidRPr="00392EAD">
        <w:rPr>
          <w:rFonts w:ascii="Calibri" w:hAnsi="Calibri"/>
          <w:spacing w:val="-4"/>
          <w:lang w:val="pt-BR"/>
        </w:rPr>
        <w:t xml:space="preserve"> </w:t>
      </w:r>
      <w:r w:rsidR="00330118" w:rsidRPr="00392EAD">
        <w:rPr>
          <w:rFonts w:ascii="Calibri" w:hAnsi="Calibri"/>
          <w:lang w:val="pt-BR"/>
        </w:rPr>
        <w:t>ambientais........................................</w:t>
      </w:r>
      <w:r w:rsidR="00330118" w:rsidRPr="00392EAD">
        <w:rPr>
          <w:rFonts w:ascii="Calibri" w:hAnsi="Calibri"/>
          <w:lang w:val="pt-BR"/>
        </w:rPr>
        <w:tab/>
      </w:r>
      <w:r w:rsidR="00330118">
        <w:rPr>
          <w:rFonts w:ascii="Calibri" w:hAnsi="Calibri"/>
        </w:rPr>
        <w:t>143</w:t>
      </w:r>
    </w:p>
    <w:p w:rsidR="00D81F69" w:rsidRDefault="00D81F69">
      <w:pPr>
        <w:pStyle w:val="Heading5"/>
        <w:tabs>
          <w:tab w:val="right" w:pos="9867"/>
        </w:tabs>
        <w:spacing w:before="10"/>
        <w:ind w:left="382" w:right="0"/>
        <w:jc w:val="left"/>
        <w:rPr>
          <w:rFonts w:ascii="Calibri" w:hAnsi="Calibri"/>
        </w:rPr>
      </w:pPr>
      <w:r w:rsidRPr="00D81F69">
        <w:pict>
          <v:line id="_x0000_s1067" style="position:absolute;left:0;text-align:left;z-index:5032;mso-position-horizontal-relative:page" from="56.7pt,14.2pt" to="552.9pt,14.2pt" strokeweight=".48pt">
            <w10:wrap anchorx="page"/>
          </v:line>
        </w:pict>
      </w:r>
      <w:r w:rsidR="00330118" w:rsidRPr="00392EAD">
        <w:rPr>
          <w:rFonts w:ascii="Calibri" w:hAnsi="Calibri"/>
          <w:lang w:val="pt-BR"/>
        </w:rPr>
        <w:t>População  de Simões Filho (BA) é afetada pela produção de ferroligas</w:t>
      </w:r>
      <w:r w:rsidR="00330118" w:rsidRPr="00392EAD">
        <w:rPr>
          <w:rFonts w:ascii="Calibri" w:hAnsi="Calibri"/>
          <w:spacing w:val="-30"/>
          <w:lang w:val="pt-BR"/>
        </w:rPr>
        <w:t xml:space="preserve"> </w:t>
      </w:r>
      <w:r w:rsidR="00330118" w:rsidRPr="00392EAD">
        <w:rPr>
          <w:rFonts w:ascii="Calibri" w:hAnsi="Calibri"/>
          <w:lang w:val="pt-BR"/>
        </w:rPr>
        <w:t>de</w:t>
      </w:r>
      <w:r w:rsidR="00330118" w:rsidRPr="00392EAD">
        <w:rPr>
          <w:rFonts w:ascii="Calibri" w:hAnsi="Calibri"/>
          <w:spacing w:val="-3"/>
          <w:lang w:val="pt-BR"/>
        </w:rPr>
        <w:t xml:space="preserve"> </w:t>
      </w:r>
      <w:r w:rsidR="00330118" w:rsidRPr="00392EAD">
        <w:rPr>
          <w:rFonts w:ascii="Calibri" w:hAnsi="Calibri"/>
          <w:lang w:val="pt-BR"/>
        </w:rPr>
        <w:t>manganês......................</w:t>
      </w:r>
      <w:r w:rsidR="00330118" w:rsidRPr="00392EAD">
        <w:rPr>
          <w:rFonts w:ascii="Calibri" w:hAnsi="Calibri"/>
          <w:lang w:val="pt-BR"/>
        </w:rPr>
        <w:tab/>
      </w:r>
      <w:r w:rsidR="00330118">
        <w:rPr>
          <w:rFonts w:ascii="Calibri" w:hAnsi="Calibri"/>
        </w:rPr>
        <w:t>146</w:t>
      </w:r>
    </w:p>
    <w:p w:rsidR="00D81F69" w:rsidRPr="00392EAD" w:rsidRDefault="00D81F69">
      <w:pPr>
        <w:pStyle w:val="Heading5"/>
        <w:tabs>
          <w:tab w:val="right" w:pos="9868"/>
        </w:tabs>
        <w:spacing w:before="10"/>
        <w:ind w:left="382" w:right="0"/>
        <w:jc w:val="left"/>
        <w:rPr>
          <w:rFonts w:ascii="Calibri" w:hAnsi="Calibri"/>
          <w:lang w:val="pt-BR"/>
        </w:rPr>
      </w:pPr>
      <w:r w:rsidRPr="00D81F69">
        <w:pict>
          <v:line id="_x0000_s1066" style="position:absolute;left:0;text-align:left;z-index:5056;mso-position-horizontal-relative:page" from="56.7pt,14.2pt" to="552.9pt,14.2pt" strokeweight=".48pt">
            <w10:wrap anchorx="page"/>
          </v:line>
        </w:pict>
      </w:r>
      <w:r w:rsidR="00330118" w:rsidRPr="00392EAD">
        <w:rPr>
          <w:rFonts w:ascii="Calibri" w:hAnsi="Calibri"/>
          <w:lang w:val="pt-BR"/>
        </w:rPr>
        <w:t>Ex</w:t>
      </w:r>
      <w:r w:rsidR="00330118" w:rsidRPr="00392EAD">
        <w:rPr>
          <w:rFonts w:ascii="Calibri" w:hAnsi="Calibri"/>
          <w:lang w:val="pt-BR"/>
        </w:rPr>
        <w:t>tração de ouro e rochas ornamentais acarretam impactos socioambientais  em</w:t>
      </w:r>
      <w:r w:rsidR="00330118" w:rsidRPr="00392EAD">
        <w:rPr>
          <w:rFonts w:ascii="Calibri" w:hAnsi="Calibri"/>
          <w:spacing w:val="-27"/>
          <w:lang w:val="pt-BR"/>
        </w:rPr>
        <w:t xml:space="preserve"> </w:t>
      </w:r>
      <w:r w:rsidR="00330118" w:rsidRPr="00392EAD">
        <w:rPr>
          <w:rFonts w:ascii="Calibri" w:hAnsi="Calibri"/>
          <w:lang w:val="pt-BR"/>
        </w:rPr>
        <w:t>Jacobina</w:t>
      </w:r>
      <w:r w:rsidR="00330118" w:rsidRPr="00392EAD">
        <w:rPr>
          <w:rFonts w:ascii="Calibri" w:hAnsi="Calibri"/>
          <w:spacing w:val="-2"/>
          <w:lang w:val="pt-BR"/>
        </w:rPr>
        <w:t xml:space="preserve"> </w:t>
      </w:r>
      <w:r w:rsidR="00330118" w:rsidRPr="00392EAD">
        <w:rPr>
          <w:rFonts w:ascii="Calibri" w:hAnsi="Calibri"/>
          <w:lang w:val="pt-BR"/>
        </w:rPr>
        <w:t>(BA)....</w:t>
      </w:r>
      <w:r w:rsidR="00330118" w:rsidRPr="00392EAD">
        <w:rPr>
          <w:rFonts w:ascii="Calibri" w:hAnsi="Calibri"/>
          <w:lang w:val="pt-BR"/>
        </w:rPr>
        <w:tab/>
        <w:t>148</w:t>
      </w:r>
    </w:p>
    <w:p w:rsidR="00D81F69" w:rsidRDefault="00D81F69">
      <w:pPr>
        <w:pStyle w:val="Heading5"/>
        <w:tabs>
          <w:tab w:val="right" w:pos="9867"/>
        </w:tabs>
        <w:spacing w:before="10"/>
        <w:ind w:left="382" w:right="0"/>
        <w:jc w:val="left"/>
        <w:rPr>
          <w:rFonts w:ascii="Calibri" w:hAnsi="Calibri"/>
        </w:rPr>
      </w:pPr>
      <w:r w:rsidRPr="00D81F69">
        <w:pict>
          <v:line id="_x0000_s1065" style="position:absolute;left:0;text-align:left;z-index:5080;mso-position-horizontal-relative:page" from="56.7pt,14.2pt" to="552.9pt,14.2pt" strokeweight=".48pt">
            <w10:wrap anchorx="page"/>
          </v:line>
        </w:pict>
      </w:r>
      <w:r w:rsidR="00330118" w:rsidRPr="00392EAD">
        <w:rPr>
          <w:rFonts w:ascii="Calibri" w:hAnsi="Calibri"/>
          <w:lang w:val="pt-BR"/>
        </w:rPr>
        <w:t>Novas perspectivas da mineração em Juazeiro e outras localidades no norte</w:t>
      </w:r>
      <w:r w:rsidR="00330118" w:rsidRPr="00392EAD">
        <w:rPr>
          <w:rFonts w:ascii="Calibri" w:hAnsi="Calibri"/>
          <w:spacing w:val="-32"/>
          <w:lang w:val="pt-BR"/>
        </w:rPr>
        <w:t xml:space="preserve"> </w:t>
      </w:r>
      <w:r w:rsidR="00330118" w:rsidRPr="00392EAD">
        <w:rPr>
          <w:rFonts w:ascii="Calibri" w:hAnsi="Calibri"/>
          <w:lang w:val="pt-BR"/>
        </w:rPr>
        <w:t>da</w:t>
      </w:r>
      <w:r w:rsidR="00330118" w:rsidRPr="00392EAD">
        <w:rPr>
          <w:rFonts w:ascii="Calibri" w:hAnsi="Calibri"/>
          <w:spacing w:val="-2"/>
          <w:lang w:val="pt-BR"/>
        </w:rPr>
        <w:t xml:space="preserve"> </w:t>
      </w:r>
      <w:r w:rsidR="00330118" w:rsidRPr="00392EAD">
        <w:rPr>
          <w:rFonts w:ascii="Calibri" w:hAnsi="Calibri"/>
          <w:lang w:val="pt-BR"/>
        </w:rPr>
        <w:t>Bahia....................</w:t>
      </w:r>
      <w:r w:rsidR="00330118" w:rsidRPr="00392EAD">
        <w:rPr>
          <w:rFonts w:ascii="Calibri" w:hAnsi="Calibri"/>
          <w:lang w:val="pt-BR"/>
        </w:rPr>
        <w:tab/>
      </w:r>
      <w:r w:rsidR="00330118">
        <w:rPr>
          <w:rFonts w:ascii="Calibri" w:hAnsi="Calibri"/>
        </w:rPr>
        <w:t>151</w:t>
      </w:r>
    </w:p>
    <w:p w:rsidR="00D81F69" w:rsidRDefault="00D81F69">
      <w:pPr>
        <w:pStyle w:val="Heading5"/>
        <w:tabs>
          <w:tab w:val="right" w:pos="9868"/>
        </w:tabs>
        <w:spacing w:before="9"/>
        <w:ind w:left="382" w:right="0"/>
        <w:jc w:val="left"/>
        <w:rPr>
          <w:rFonts w:ascii="Calibri" w:hAnsi="Calibri"/>
        </w:rPr>
      </w:pPr>
      <w:r w:rsidRPr="00D81F69">
        <w:pict>
          <v:line id="_x0000_s1064" style="position:absolute;left:0;text-align:left;z-index:5104;mso-position-horizontal-relative:page" from="56.7pt,14.15pt" to="552.9pt,14.15pt" strokeweight=".48pt">
            <w10:wrap anchorx="page"/>
          </v:line>
        </w:pict>
      </w:r>
      <w:r w:rsidR="00330118" w:rsidRPr="00392EAD">
        <w:rPr>
          <w:rFonts w:ascii="Calibri" w:hAnsi="Calibri"/>
          <w:lang w:val="pt-BR"/>
        </w:rPr>
        <w:t>Efeitos da mineração de urânio na população do sudoeste</w:t>
      </w:r>
      <w:r w:rsidR="00330118" w:rsidRPr="00392EAD">
        <w:rPr>
          <w:rFonts w:ascii="Calibri" w:hAnsi="Calibri"/>
          <w:spacing w:val="-30"/>
          <w:lang w:val="pt-BR"/>
        </w:rPr>
        <w:t xml:space="preserve"> </w:t>
      </w:r>
      <w:r w:rsidR="00330118" w:rsidRPr="00392EAD">
        <w:rPr>
          <w:rFonts w:ascii="Calibri" w:hAnsi="Calibri"/>
          <w:lang w:val="pt-BR"/>
        </w:rPr>
        <w:t>da</w:t>
      </w:r>
      <w:r w:rsidR="00330118" w:rsidRPr="00392EAD">
        <w:rPr>
          <w:rFonts w:ascii="Calibri" w:hAnsi="Calibri"/>
          <w:spacing w:val="-3"/>
          <w:lang w:val="pt-BR"/>
        </w:rPr>
        <w:t xml:space="preserve"> </w:t>
      </w:r>
      <w:r w:rsidR="00330118" w:rsidRPr="00392EAD">
        <w:rPr>
          <w:rFonts w:ascii="Calibri" w:hAnsi="Calibri"/>
          <w:lang w:val="pt-BR"/>
        </w:rPr>
        <w:t>Bahia................................................</w:t>
      </w:r>
      <w:r w:rsidR="00330118" w:rsidRPr="00392EAD">
        <w:rPr>
          <w:rFonts w:ascii="Calibri" w:hAnsi="Calibri"/>
          <w:lang w:val="pt-BR"/>
        </w:rPr>
        <w:tab/>
      </w:r>
      <w:r w:rsidR="00330118">
        <w:rPr>
          <w:rFonts w:ascii="Calibri" w:hAnsi="Calibri"/>
        </w:rPr>
        <w:t>154</w:t>
      </w:r>
    </w:p>
    <w:p w:rsidR="00D81F69" w:rsidRDefault="00D81F69">
      <w:pPr>
        <w:pStyle w:val="Heading5"/>
        <w:tabs>
          <w:tab w:val="right" w:pos="9868"/>
        </w:tabs>
        <w:spacing w:before="12"/>
        <w:ind w:left="382" w:right="0"/>
        <w:jc w:val="left"/>
        <w:rPr>
          <w:rFonts w:ascii="Calibri" w:hAnsi="Calibri"/>
        </w:rPr>
      </w:pPr>
      <w:r w:rsidRPr="00D81F69">
        <w:pict>
          <v:line id="_x0000_s1063" style="position:absolute;left:0;text-align:left;z-index:5128;mso-position-horizontal-relative:page" from="56.7pt,14.25pt" to="552.9pt,14.25pt" strokeweight=".48pt">
            <w10:wrap anchorx="page"/>
          </v:line>
        </w:pict>
      </w:r>
      <w:r w:rsidR="00330118" w:rsidRPr="00392EAD">
        <w:rPr>
          <w:rFonts w:ascii="Calibri" w:hAnsi="Calibri"/>
          <w:lang w:val="pt-BR"/>
        </w:rPr>
        <w:t>Termelétrica do Complexo do Pecém (CE) pode alterar biodiversidade</w:t>
      </w:r>
      <w:r w:rsidR="00330118" w:rsidRPr="00392EAD">
        <w:rPr>
          <w:rFonts w:ascii="Calibri" w:hAnsi="Calibri"/>
          <w:spacing w:val="-31"/>
          <w:lang w:val="pt-BR"/>
        </w:rPr>
        <w:t xml:space="preserve"> </w:t>
      </w:r>
      <w:r w:rsidR="00330118" w:rsidRPr="00392EAD">
        <w:rPr>
          <w:rFonts w:ascii="Calibri" w:hAnsi="Calibri"/>
          <w:lang w:val="pt-BR"/>
        </w:rPr>
        <w:t>da</w:t>
      </w:r>
      <w:r w:rsidR="00330118" w:rsidRPr="00392EAD">
        <w:rPr>
          <w:rFonts w:ascii="Calibri" w:hAnsi="Calibri"/>
          <w:spacing w:val="-3"/>
          <w:lang w:val="pt-BR"/>
        </w:rPr>
        <w:t xml:space="preserve"> </w:t>
      </w:r>
      <w:r w:rsidR="00330118" w:rsidRPr="00392EAD">
        <w:rPr>
          <w:rFonts w:ascii="Calibri" w:hAnsi="Calibri"/>
          <w:lang w:val="pt-BR"/>
        </w:rPr>
        <w:t>região............................</w:t>
      </w:r>
      <w:r w:rsidR="00330118" w:rsidRPr="00392EAD">
        <w:rPr>
          <w:rFonts w:ascii="Calibri" w:hAnsi="Calibri"/>
          <w:lang w:val="pt-BR"/>
        </w:rPr>
        <w:tab/>
      </w:r>
      <w:r w:rsidR="00330118">
        <w:rPr>
          <w:rFonts w:ascii="Calibri" w:hAnsi="Calibri"/>
        </w:rPr>
        <w:t>158</w:t>
      </w:r>
    </w:p>
    <w:p w:rsidR="00D81F69" w:rsidRDefault="00D81F69">
      <w:pPr>
        <w:pStyle w:val="Heading5"/>
        <w:tabs>
          <w:tab w:val="right" w:pos="9867"/>
        </w:tabs>
        <w:spacing w:before="9"/>
        <w:ind w:left="382" w:right="0"/>
        <w:jc w:val="left"/>
        <w:rPr>
          <w:rFonts w:ascii="Calibri" w:hAnsi="Calibri"/>
        </w:rPr>
      </w:pPr>
      <w:r w:rsidRPr="00D81F69">
        <w:pict>
          <v:line id="_x0000_s1062" style="position:absolute;left:0;text-align:left;z-index:5152;mso-position-horizontal-relative:page" from="56.7pt,14.15pt" to="552.9pt,14.15pt" strokeweight=".48pt">
            <w10:wrap anchorx="page"/>
          </v:line>
        </w:pict>
      </w:r>
      <w:r w:rsidR="00330118" w:rsidRPr="00392EAD">
        <w:rPr>
          <w:rFonts w:ascii="Calibri" w:hAnsi="Calibri"/>
          <w:lang w:val="pt-BR"/>
        </w:rPr>
        <w:t>Exploração de mina fosfato‐u</w:t>
      </w:r>
      <w:r w:rsidR="00330118" w:rsidRPr="00392EAD">
        <w:rPr>
          <w:rFonts w:ascii="Calibri" w:hAnsi="Calibri"/>
          <w:lang w:val="pt-BR"/>
        </w:rPr>
        <w:t>ranífera em Santa Quitéria (CE) e o perigo de</w:t>
      </w:r>
      <w:r w:rsidR="00330118" w:rsidRPr="00392EAD">
        <w:rPr>
          <w:rFonts w:ascii="Calibri" w:hAnsi="Calibri"/>
          <w:spacing w:val="-16"/>
          <w:lang w:val="pt-BR"/>
        </w:rPr>
        <w:t xml:space="preserve"> </w:t>
      </w:r>
      <w:r w:rsidR="00330118" w:rsidRPr="00392EAD">
        <w:rPr>
          <w:rFonts w:ascii="Calibri" w:hAnsi="Calibri"/>
          <w:lang w:val="pt-BR"/>
        </w:rPr>
        <w:t>rejeitos</w:t>
      </w:r>
      <w:r w:rsidR="00330118" w:rsidRPr="00392EAD">
        <w:rPr>
          <w:rFonts w:ascii="Calibri" w:hAnsi="Calibri"/>
          <w:spacing w:val="-3"/>
          <w:lang w:val="pt-BR"/>
        </w:rPr>
        <w:t xml:space="preserve"> </w:t>
      </w:r>
      <w:r w:rsidR="00330118" w:rsidRPr="00392EAD">
        <w:rPr>
          <w:rFonts w:ascii="Calibri" w:hAnsi="Calibri"/>
          <w:lang w:val="pt-BR"/>
        </w:rPr>
        <w:t>radioativos.....</w:t>
      </w:r>
      <w:r w:rsidR="00330118" w:rsidRPr="00392EAD">
        <w:rPr>
          <w:rFonts w:ascii="Calibri" w:hAnsi="Calibri"/>
          <w:lang w:val="pt-BR"/>
        </w:rPr>
        <w:tab/>
      </w:r>
      <w:r w:rsidR="00330118">
        <w:rPr>
          <w:rFonts w:ascii="Calibri" w:hAnsi="Calibri"/>
        </w:rPr>
        <w:t>161</w:t>
      </w:r>
    </w:p>
    <w:p w:rsidR="00D81F69" w:rsidRDefault="00D81F69">
      <w:pPr>
        <w:pStyle w:val="Heading5"/>
        <w:tabs>
          <w:tab w:val="right" w:pos="9868"/>
        </w:tabs>
        <w:spacing w:before="10"/>
        <w:ind w:left="382" w:right="0"/>
        <w:jc w:val="left"/>
        <w:rPr>
          <w:rFonts w:ascii="Calibri" w:hAnsi="Calibri"/>
        </w:rPr>
      </w:pPr>
      <w:r w:rsidRPr="00D81F69">
        <w:pict>
          <v:line id="_x0000_s1061" style="position:absolute;left:0;text-align:left;z-index:5176;mso-position-horizontal-relative:page" from="56.7pt,14.2pt" to="552.9pt,14.2pt" strokeweight=".48pt">
            <w10:wrap anchorx="page"/>
          </v:line>
        </w:pict>
      </w:r>
      <w:r w:rsidR="00330118" w:rsidRPr="00392EAD">
        <w:rPr>
          <w:rFonts w:ascii="Calibri" w:hAnsi="Calibri"/>
          <w:lang w:val="pt-BR"/>
        </w:rPr>
        <w:t>Mineração de calcário na Chapada do Araripe (CE) afeta</w:t>
      </w:r>
      <w:r w:rsidR="00330118" w:rsidRPr="00392EAD">
        <w:rPr>
          <w:rFonts w:ascii="Calibri" w:hAnsi="Calibri"/>
          <w:spacing w:val="-30"/>
          <w:lang w:val="pt-BR"/>
        </w:rPr>
        <w:t xml:space="preserve"> </w:t>
      </w:r>
      <w:r w:rsidR="00330118" w:rsidRPr="00392EAD">
        <w:rPr>
          <w:rFonts w:ascii="Calibri" w:hAnsi="Calibri"/>
          <w:lang w:val="pt-BR"/>
        </w:rPr>
        <w:t>sítio</w:t>
      </w:r>
      <w:r w:rsidR="00330118" w:rsidRPr="00392EAD">
        <w:rPr>
          <w:rFonts w:ascii="Calibri" w:hAnsi="Calibri"/>
          <w:spacing w:val="-3"/>
          <w:lang w:val="pt-BR"/>
        </w:rPr>
        <w:t xml:space="preserve"> </w:t>
      </w:r>
      <w:r w:rsidR="00330118" w:rsidRPr="00392EAD">
        <w:rPr>
          <w:rFonts w:ascii="Calibri" w:hAnsi="Calibri"/>
          <w:lang w:val="pt-BR"/>
        </w:rPr>
        <w:t>paleontológico..................................</w:t>
      </w:r>
      <w:r w:rsidR="00330118" w:rsidRPr="00392EAD">
        <w:rPr>
          <w:rFonts w:ascii="Calibri" w:hAnsi="Calibri"/>
          <w:lang w:val="pt-BR"/>
        </w:rPr>
        <w:tab/>
      </w:r>
      <w:r w:rsidR="00330118">
        <w:rPr>
          <w:rFonts w:ascii="Calibri" w:hAnsi="Calibri"/>
        </w:rPr>
        <w:t>164</w:t>
      </w:r>
    </w:p>
    <w:p w:rsidR="00D81F69" w:rsidRDefault="00D81F69">
      <w:pPr>
        <w:pStyle w:val="Heading5"/>
        <w:tabs>
          <w:tab w:val="right" w:pos="9868"/>
        </w:tabs>
        <w:spacing w:before="10"/>
        <w:ind w:left="382" w:right="0"/>
        <w:jc w:val="left"/>
        <w:rPr>
          <w:rFonts w:ascii="Calibri" w:hAnsi="Calibri"/>
        </w:rPr>
      </w:pPr>
      <w:r w:rsidRPr="00D81F69">
        <w:pict>
          <v:line id="_x0000_s1060" style="position:absolute;left:0;text-align:left;z-index:5200;mso-position-horizontal-relative:page" from="56.7pt,14.2pt" to="552.9pt,14.2pt" strokeweight=".48pt">
            <w10:wrap anchorx="page"/>
          </v:line>
        </w:pict>
      </w:r>
      <w:r w:rsidR="00330118" w:rsidRPr="00392EAD">
        <w:rPr>
          <w:rFonts w:ascii="Calibri" w:hAnsi="Calibri"/>
          <w:lang w:val="pt-BR"/>
        </w:rPr>
        <w:t>Criação de polo siderúrgico em São Luís (MA) pode gerar</w:t>
      </w:r>
      <w:r w:rsidR="00330118" w:rsidRPr="00392EAD">
        <w:rPr>
          <w:rFonts w:ascii="Calibri" w:hAnsi="Calibri"/>
          <w:spacing w:val="-29"/>
          <w:lang w:val="pt-BR"/>
        </w:rPr>
        <w:t xml:space="preserve"> </w:t>
      </w:r>
      <w:r w:rsidR="00330118" w:rsidRPr="00392EAD">
        <w:rPr>
          <w:rFonts w:ascii="Calibri" w:hAnsi="Calibri"/>
          <w:lang w:val="pt-BR"/>
        </w:rPr>
        <w:t>danos</w:t>
      </w:r>
      <w:r w:rsidR="00330118" w:rsidRPr="00392EAD">
        <w:rPr>
          <w:rFonts w:ascii="Calibri" w:hAnsi="Calibri"/>
          <w:spacing w:val="-3"/>
          <w:lang w:val="pt-BR"/>
        </w:rPr>
        <w:t xml:space="preserve"> </w:t>
      </w:r>
      <w:r w:rsidR="00330118" w:rsidRPr="00392EAD">
        <w:rPr>
          <w:rFonts w:ascii="Calibri" w:hAnsi="Calibri"/>
          <w:lang w:val="pt-BR"/>
        </w:rPr>
        <w:t>so</w:t>
      </w:r>
      <w:r w:rsidR="00330118" w:rsidRPr="00392EAD">
        <w:rPr>
          <w:rFonts w:ascii="Calibri" w:hAnsi="Calibri"/>
          <w:lang w:val="pt-BR"/>
        </w:rPr>
        <w:t>cioambientais............................</w:t>
      </w:r>
      <w:r w:rsidR="00330118" w:rsidRPr="00392EAD">
        <w:rPr>
          <w:rFonts w:ascii="Calibri" w:hAnsi="Calibri"/>
          <w:lang w:val="pt-BR"/>
        </w:rPr>
        <w:tab/>
      </w:r>
      <w:r w:rsidR="00330118">
        <w:rPr>
          <w:rFonts w:ascii="Calibri" w:hAnsi="Calibri"/>
        </w:rPr>
        <w:t>167</w:t>
      </w:r>
    </w:p>
    <w:p w:rsidR="00D81F69" w:rsidRPr="00392EAD" w:rsidRDefault="00D81F69">
      <w:pPr>
        <w:pStyle w:val="Heading5"/>
        <w:tabs>
          <w:tab w:val="right" w:pos="9868"/>
        </w:tabs>
        <w:spacing w:before="10"/>
        <w:ind w:left="382" w:right="0"/>
        <w:jc w:val="left"/>
        <w:rPr>
          <w:rFonts w:ascii="Calibri" w:hAnsi="Calibri"/>
          <w:lang w:val="pt-BR"/>
        </w:rPr>
      </w:pPr>
      <w:r w:rsidRPr="00D81F69">
        <w:pict>
          <v:line id="_x0000_s1059" style="position:absolute;left:0;text-align:left;z-index:5224;mso-position-horizontal-relative:page" from="56.7pt,14.2pt" to="552.9pt,14.2pt" strokeweight=".48pt">
            <w10:wrap anchorx="page"/>
          </v:line>
        </w:pict>
      </w:r>
      <w:r w:rsidR="00330118" w:rsidRPr="00392EAD">
        <w:rPr>
          <w:rFonts w:ascii="Calibri" w:hAnsi="Calibri"/>
          <w:lang w:val="pt-BR"/>
        </w:rPr>
        <w:t>Exploração ilegal de ouro afeta Terra Indígena Alto</w:t>
      </w:r>
      <w:r w:rsidR="00330118" w:rsidRPr="00392EAD">
        <w:rPr>
          <w:rFonts w:ascii="Calibri" w:hAnsi="Calibri"/>
          <w:spacing w:val="-27"/>
          <w:lang w:val="pt-BR"/>
        </w:rPr>
        <w:t xml:space="preserve"> </w:t>
      </w:r>
      <w:r w:rsidR="00330118" w:rsidRPr="00392EAD">
        <w:rPr>
          <w:rFonts w:ascii="Calibri" w:hAnsi="Calibri"/>
          <w:lang w:val="pt-BR"/>
        </w:rPr>
        <w:t>Turiaçu</w:t>
      </w:r>
      <w:r w:rsidR="00330118" w:rsidRPr="00392EAD">
        <w:rPr>
          <w:rFonts w:ascii="Calibri" w:hAnsi="Calibri"/>
          <w:spacing w:val="-4"/>
          <w:lang w:val="pt-BR"/>
        </w:rPr>
        <w:t xml:space="preserve"> </w:t>
      </w:r>
      <w:r w:rsidR="00330118" w:rsidRPr="00392EAD">
        <w:rPr>
          <w:rFonts w:ascii="Calibri" w:hAnsi="Calibri"/>
          <w:lang w:val="pt-BR"/>
        </w:rPr>
        <w:t>(MA).....................................................</w:t>
      </w:r>
      <w:r w:rsidR="00330118" w:rsidRPr="00392EAD">
        <w:rPr>
          <w:rFonts w:ascii="Calibri" w:hAnsi="Calibri"/>
          <w:lang w:val="pt-BR"/>
        </w:rPr>
        <w:tab/>
        <w:t>169</w:t>
      </w:r>
    </w:p>
    <w:p w:rsidR="00D81F69" w:rsidRDefault="00D81F69">
      <w:pPr>
        <w:pStyle w:val="Heading5"/>
        <w:tabs>
          <w:tab w:val="right" w:pos="9868"/>
        </w:tabs>
        <w:spacing w:before="10"/>
        <w:ind w:left="382" w:right="0"/>
        <w:jc w:val="left"/>
        <w:rPr>
          <w:rFonts w:ascii="Calibri" w:hAnsi="Calibri"/>
        </w:rPr>
      </w:pPr>
      <w:r w:rsidRPr="00D81F69">
        <w:pict>
          <v:line id="_x0000_s1058" style="position:absolute;left:0;text-align:left;z-index:5248;mso-position-horizontal-relative:page" from="56.7pt,14.2pt" to="552.9pt,14.2pt" strokeweight=".48pt">
            <w10:wrap anchorx="page"/>
          </v:line>
        </w:pict>
      </w:r>
      <w:r w:rsidR="00330118" w:rsidRPr="00392EAD">
        <w:rPr>
          <w:rFonts w:ascii="Calibri" w:hAnsi="Calibri"/>
          <w:lang w:val="pt-BR"/>
        </w:rPr>
        <w:t>Opalas de Pedro II (PI) são revitalizadas para atender a normas ambientais e</w:t>
      </w:r>
      <w:r w:rsidR="00330118" w:rsidRPr="00392EAD">
        <w:rPr>
          <w:rFonts w:ascii="Calibri" w:hAnsi="Calibri"/>
          <w:spacing w:val="-25"/>
          <w:lang w:val="pt-BR"/>
        </w:rPr>
        <w:t xml:space="preserve"> </w:t>
      </w:r>
      <w:r w:rsidR="00330118" w:rsidRPr="00392EAD">
        <w:rPr>
          <w:rFonts w:ascii="Calibri" w:hAnsi="Calibri"/>
          <w:lang w:val="pt-BR"/>
        </w:rPr>
        <w:t>de</w:t>
      </w:r>
      <w:r w:rsidR="00330118" w:rsidRPr="00392EAD">
        <w:rPr>
          <w:rFonts w:ascii="Calibri" w:hAnsi="Calibri"/>
          <w:spacing w:val="-2"/>
          <w:lang w:val="pt-BR"/>
        </w:rPr>
        <w:t xml:space="preserve"> </w:t>
      </w:r>
      <w:r w:rsidR="00330118" w:rsidRPr="00392EAD">
        <w:rPr>
          <w:rFonts w:ascii="Calibri" w:hAnsi="Calibri"/>
          <w:lang w:val="pt-BR"/>
        </w:rPr>
        <w:t>trabal</w:t>
      </w:r>
      <w:r w:rsidR="00330118" w:rsidRPr="00392EAD">
        <w:rPr>
          <w:rFonts w:ascii="Calibri" w:hAnsi="Calibri"/>
          <w:lang w:val="pt-BR"/>
        </w:rPr>
        <w:t>ho...............</w:t>
      </w:r>
      <w:r w:rsidR="00330118" w:rsidRPr="00392EAD">
        <w:rPr>
          <w:rFonts w:ascii="Calibri" w:hAnsi="Calibri"/>
          <w:lang w:val="pt-BR"/>
        </w:rPr>
        <w:tab/>
      </w:r>
      <w:r w:rsidR="00330118">
        <w:rPr>
          <w:rFonts w:ascii="Calibri" w:hAnsi="Calibri"/>
        </w:rPr>
        <w:t>171</w:t>
      </w:r>
    </w:p>
    <w:p w:rsidR="00D81F69" w:rsidRDefault="00330118">
      <w:pPr>
        <w:pStyle w:val="Heading5"/>
        <w:tabs>
          <w:tab w:val="right" w:pos="9868"/>
        </w:tabs>
        <w:spacing w:before="10"/>
        <w:ind w:left="382" w:right="0"/>
        <w:jc w:val="left"/>
        <w:rPr>
          <w:rFonts w:ascii="Calibri" w:hAnsi="Calibri"/>
        </w:rPr>
      </w:pPr>
      <w:r w:rsidRPr="00392EAD">
        <w:rPr>
          <w:rFonts w:ascii="Calibri" w:hAnsi="Calibri"/>
          <w:lang w:val="pt-BR"/>
        </w:rPr>
        <w:t>Extração ilegal de rochas ornamentais gera danos em municípios</w:t>
      </w:r>
      <w:r w:rsidRPr="00392EAD">
        <w:rPr>
          <w:rFonts w:ascii="Calibri" w:hAnsi="Calibri"/>
          <w:spacing w:val="-32"/>
          <w:lang w:val="pt-BR"/>
        </w:rPr>
        <w:t xml:space="preserve"> </w:t>
      </w:r>
      <w:r w:rsidRPr="00392EAD">
        <w:rPr>
          <w:rFonts w:ascii="Calibri" w:hAnsi="Calibri"/>
          <w:lang w:val="pt-BR"/>
        </w:rPr>
        <w:t>do</w:t>
      </w:r>
      <w:r w:rsidRPr="00392EAD">
        <w:rPr>
          <w:rFonts w:ascii="Calibri" w:hAnsi="Calibri"/>
          <w:spacing w:val="-4"/>
          <w:lang w:val="pt-BR"/>
        </w:rPr>
        <w:t xml:space="preserve"> </w:t>
      </w:r>
      <w:r w:rsidRPr="00392EAD">
        <w:rPr>
          <w:rFonts w:ascii="Calibri" w:hAnsi="Calibri"/>
          <w:lang w:val="pt-BR"/>
        </w:rPr>
        <w:t>Piauí.......................................</w:t>
      </w:r>
      <w:r w:rsidRPr="00392EAD">
        <w:rPr>
          <w:rFonts w:ascii="Calibri" w:hAnsi="Calibri"/>
          <w:lang w:val="pt-BR"/>
        </w:rPr>
        <w:tab/>
      </w:r>
      <w:r>
        <w:rPr>
          <w:rFonts w:ascii="Calibri" w:hAnsi="Calibri"/>
        </w:rPr>
        <w:t>174</w:t>
      </w:r>
    </w:p>
    <w:p w:rsidR="00D81F69" w:rsidRDefault="00D81F69">
      <w:pPr>
        <w:pStyle w:val="Corpodetexto"/>
        <w:spacing w:line="20" w:lineRule="exact"/>
        <w:ind w:left="269"/>
        <w:jc w:val="left"/>
        <w:rPr>
          <w:rFonts w:ascii="Calibri"/>
          <w:sz w:val="2"/>
        </w:rPr>
      </w:pPr>
      <w:r w:rsidRPr="00D81F69">
        <w:rPr>
          <w:rFonts w:ascii="Calibri"/>
          <w:sz w:val="2"/>
        </w:rPr>
      </w:r>
      <w:r>
        <w:rPr>
          <w:rFonts w:ascii="Calibri"/>
          <w:sz w:val="2"/>
        </w:rPr>
        <w:pict>
          <v:group id="_x0000_s1056" style="width:496.2pt;height:.5pt;mso-position-horizontal-relative:char;mso-position-vertical-relative:line" coordsize="9924,10">
            <v:line id="_x0000_s1057" style="position:absolute" from="0,5" to="9924,5" strokeweight=".48pt"/>
            <w10:wrap type="none"/>
            <w10:anchorlock/>
          </v:group>
        </w:pict>
      </w:r>
    </w:p>
    <w:p w:rsidR="00D81F69" w:rsidRDefault="00D81F69">
      <w:pPr>
        <w:spacing w:line="20" w:lineRule="exact"/>
        <w:rPr>
          <w:rFonts w:ascii="Calibri"/>
          <w:sz w:val="2"/>
        </w:rPr>
        <w:sectPr w:rsidR="00D81F69">
          <w:footerReference w:type="default" r:id="rId13"/>
          <w:pgSz w:w="11910" w:h="16840"/>
          <w:pgMar w:top="1400" w:right="738" w:bottom="280" w:left="860" w:header="0" w:footer="0" w:gutter="0"/>
          <w:cols w:space="720"/>
        </w:sectPr>
      </w:pPr>
    </w:p>
    <w:p w:rsidR="00D81F69" w:rsidRPr="00392EAD" w:rsidRDefault="00330118">
      <w:pPr>
        <w:spacing w:before="9"/>
        <w:ind w:left="382"/>
        <w:rPr>
          <w:rFonts w:ascii="Calibri" w:hAnsi="Calibri"/>
          <w:lang w:val="pt-BR"/>
        </w:rPr>
      </w:pPr>
      <w:r w:rsidRPr="00392EAD">
        <w:rPr>
          <w:rFonts w:ascii="Calibri" w:hAnsi="Calibri"/>
          <w:lang w:val="pt-BR"/>
        </w:rPr>
        <w:lastRenderedPageBreak/>
        <w:t>Bacia do rio Apodi‐Mossoró é afetada por atividades antrópicas, como indústria da construção</w:t>
      </w:r>
    </w:p>
    <w:p w:rsidR="00D81F69" w:rsidRPr="00392EAD" w:rsidRDefault="00330118">
      <w:pPr>
        <w:spacing w:before="144" w:line="148" w:lineRule="exact"/>
        <w:ind w:left="382"/>
        <w:rPr>
          <w:rFonts w:ascii="Calibri"/>
          <w:lang w:val="pt-BR"/>
        </w:rPr>
      </w:pPr>
      <w:r w:rsidRPr="00392EAD">
        <w:rPr>
          <w:lang w:val="pt-BR"/>
        </w:rPr>
        <w:br w:type="column"/>
      </w:r>
      <w:r w:rsidRPr="00392EAD">
        <w:rPr>
          <w:rFonts w:ascii="Calibri"/>
          <w:lang w:val="pt-BR"/>
        </w:rPr>
        <w:lastRenderedPageBreak/>
        <w:t>177</w:t>
      </w:r>
    </w:p>
    <w:p w:rsidR="00D81F69" w:rsidRPr="00392EAD" w:rsidRDefault="00D81F69">
      <w:pPr>
        <w:spacing w:line="148" w:lineRule="exact"/>
        <w:rPr>
          <w:rFonts w:ascii="Calibri"/>
          <w:lang w:val="pt-BR"/>
        </w:rPr>
        <w:sectPr w:rsidR="00D81F69" w:rsidRPr="00392EAD">
          <w:type w:val="continuous"/>
          <w:pgSz w:w="11910" w:h="16840"/>
          <w:pgMar w:top="720" w:right="738" w:bottom="280" w:left="860" w:header="720" w:footer="720" w:gutter="0"/>
          <w:cols w:num="2" w:space="720" w:equalWidth="0">
            <w:col w:w="8850" w:space="301"/>
            <w:col w:w="1161"/>
          </w:cols>
        </w:sectPr>
      </w:pPr>
    </w:p>
    <w:p w:rsidR="00D81F69" w:rsidRPr="00392EAD" w:rsidRDefault="00330118">
      <w:pPr>
        <w:pStyle w:val="Heading5"/>
        <w:tabs>
          <w:tab w:val="left" w:pos="10197"/>
        </w:tabs>
        <w:spacing w:line="255" w:lineRule="exact"/>
        <w:ind w:left="274" w:right="0"/>
        <w:jc w:val="left"/>
        <w:rPr>
          <w:rFonts w:ascii="Calibri"/>
          <w:lang w:val="pt-BR"/>
        </w:rPr>
      </w:pPr>
      <w:r w:rsidRPr="00392EAD">
        <w:rPr>
          <w:rFonts w:ascii="Times New Roman"/>
          <w:w w:val="99"/>
          <w:u w:val="single"/>
          <w:lang w:val="pt-BR"/>
        </w:rPr>
        <w:lastRenderedPageBreak/>
        <w:t xml:space="preserve"> </w:t>
      </w:r>
      <w:r w:rsidRPr="00392EAD">
        <w:rPr>
          <w:rFonts w:ascii="Times New Roman"/>
          <w:spacing w:val="-3"/>
          <w:u w:val="single"/>
          <w:lang w:val="pt-BR"/>
        </w:rPr>
        <w:t xml:space="preserve"> </w:t>
      </w:r>
      <w:r w:rsidRPr="00392EAD">
        <w:rPr>
          <w:rFonts w:ascii="Calibri"/>
          <w:u w:val="single"/>
          <w:lang w:val="pt-BR"/>
        </w:rPr>
        <w:t>civil.....................................................................</w:t>
      </w:r>
      <w:r w:rsidRPr="00392EAD">
        <w:rPr>
          <w:rFonts w:ascii="Calibri"/>
          <w:u w:val="single"/>
          <w:lang w:val="pt-BR"/>
        </w:rPr>
        <w:t>.................................................................................</w:t>
      </w:r>
      <w:r w:rsidRPr="00392EAD">
        <w:rPr>
          <w:rFonts w:ascii="Calibri"/>
          <w:u w:val="single"/>
          <w:lang w:val="pt-BR"/>
        </w:rPr>
        <w:tab/>
      </w:r>
    </w:p>
    <w:p w:rsidR="00D81F69" w:rsidRDefault="00330118">
      <w:pPr>
        <w:tabs>
          <w:tab w:val="right" w:pos="9868"/>
        </w:tabs>
        <w:spacing w:before="10"/>
        <w:ind w:left="382"/>
        <w:rPr>
          <w:rFonts w:ascii="Calibri" w:hAnsi="Calibri"/>
        </w:rPr>
      </w:pPr>
      <w:r w:rsidRPr="00392EAD">
        <w:rPr>
          <w:rFonts w:ascii="Calibri" w:hAnsi="Calibri"/>
          <w:lang w:val="pt-BR"/>
        </w:rPr>
        <w:t>Mineração contribui para processo de desertificação no</w:t>
      </w:r>
      <w:r w:rsidRPr="00392EAD">
        <w:rPr>
          <w:rFonts w:ascii="Calibri" w:hAnsi="Calibri"/>
          <w:spacing w:val="-26"/>
          <w:lang w:val="pt-BR"/>
        </w:rPr>
        <w:t xml:space="preserve"> </w:t>
      </w:r>
      <w:r w:rsidRPr="00392EAD">
        <w:rPr>
          <w:rFonts w:ascii="Calibri" w:hAnsi="Calibri"/>
          <w:lang w:val="pt-BR"/>
        </w:rPr>
        <w:t>Seridó</w:t>
      </w:r>
      <w:r w:rsidRPr="00392EAD">
        <w:rPr>
          <w:rFonts w:ascii="Calibri" w:hAnsi="Calibri"/>
          <w:spacing w:val="-3"/>
          <w:lang w:val="pt-BR"/>
        </w:rPr>
        <w:t xml:space="preserve"> </w:t>
      </w:r>
      <w:r w:rsidRPr="00392EAD">
        <w:rPr>
          <w:rFonts w:ascii="Calibri" w:hAnsi="Calibri"/>
          <w:lang w:val="pt-BR"/>
        </w:rPr>
        <w:t>potiguar.........................................</w:t>
      </w:r>
      <w:r w:rsidRPr="00392EAD">
        <w:rPr>
          <w:rFonts w:ascii="Calibri" w:hAnsi="Calibri"/>
          <w:lang w:val="pt-BR"/>
        </w:rPr>
        <w:tab/>
      </w:r>
      <w:r>
        <w:rPr>
          <w:rFonts w:ascii="Calibri" w:hAnsi="Calibri"/>
        </w:rPr>
        <w:t>180</w:t>
      </w:r>
    </w:p>
    <w:p w:rsidR="00D81F69" w:rsidRDefault="00D81F69">
      <w:pPr>
        <w:pStyle w:val="Corpodetexto"/>
        <w:spacing w:line="20" w:lineRule="exact"/>
        <w:ind w:left="269"/>
        <w:jc w:val="left"/>
        <w:rPr>
          <w:rFonts w:ascii="Calibri"/>
          <w:sz w:val="2"/>
        </w:rPr>
      </w:pPr>
      <w:r w:rsidRPr="00D81F69">
        <w:rPr>
          <w:rFonts w:ascii="Calibri"/>
          <w:sz w:val="2"/>
        </w:rPr>
      </w:r>
      <w:r>
        <w:rPr>
          <w:rFonts w:ascii="Calibri"/>
          <w:sz w:val="2"/>
        </w:rPr>
        <w:pict>
          <v:group id="_x0000_s1054" style="width:496.2pt;height:.5pt;mso-position-horizontal-relative:char;mso-position-vertical-relative:line" coordsize="9924,10">
            <v:line id="_x0000_s1055" style="position:absolute" from="0,5" to="9924,5" strokeweight=".48pt"/>
            <w10:wrap type="none"/>
            <w10:anchorlock/>
          </v:group>
        </w:pict>
      </w:r>
    </w:p>
    <w:p w:rsidR="00D81F69" w:rsidRDefault="00D81F69">
      <w:pPr>
        <w:spacing w:line="20" w:lineRule="exact"/>
        <w:rPr>
          <w:rFonts w:ascii="Calibri"/>
          <w:sz w:val="2"/>
        </w:rPr>
        <w:sectPr w:rsidR="00D81F69">
          <w:type w:val="continuous"/>
          <w:pgSz w:w="11910" w:h="16840"/>
          <w:pgMar w:top="720" w:right="738" w:bottom="280" w:left="860" w:header="720" w:footer="720" w:gutter="0"/>
          <w:cols w:space="720"/>
        </w:sectPr>
      </w:pPr>
    </w:p>
    <w:p w:rsidR="00D81F69" w:rsidRPr="00392EAD" w:rsidRDefault="00330118">
      <w:pPr>
        <w:spacing w:before="11"/>
        <w:ind w:left="382"/>
        <w:rPr>
          <w:rFonts w:ascii="Calibri" w:hAnsi="Calibri"/>
          <w:lang w:val="pt-BR"/>
        </w:rPr>
      </w:pPr>
      <w:r w:rsidRPr="00392EAD">
        <w:rPr>
          <w:rFonts w:ascii="Calibri" w:hAnsi="Calibri"/>
          <w:lang w:val="pt-BR"/>
        </w:rPr>
        <w:lastRenderedPageBreak/>
        <w:t>Tecnologia</w:t>
      </w:r>
      <w:r w:rsidRPr="00392EAD">
        <w:rPr>
          <w:rFonts w:ascii="Calibri" w:hAnsi="Calibri"/>
          <w:spacing w:val="-2"/>
          <w:lang w:val="pt-BR"/>
        </w:rPr>
        <w:t xml:space="preserve"> </w:t>
      </w:r>
      <w:r w:rsidRPr="00392EAD">
        <w:rPr>
          <w:rFonts w:ascii="Calibri" w:hAnsi="Calibri"/>
          <w:lang w:val="pt-BR"/>
        </w:rPr>
        <w:t>usada</w:t>
      </w:r>
      <w:r w:rsidRPr="00392EAD">
        <w:rPr>
          <w:rFonts w:ascii="Calibri" w:hAnsi="Calibri"/>
          <w:spacing w:val="-3"/>
          <w:lang w:val="pt-BR"/>
        </w:rPr>
        <w:t xml:space="preserve"> </w:t>
      </w:r>
      <w:r w:rsidRPr="00392EAD">
        <w:rPr>
          <w:rFonts w:ascii="Calibri" w:hAnsi="Calibri"/>
          <w:lang w:val="pt-BR"/>
        </w:rPr>
        <w:t>em</w:t>
      </w:r>
      <w:r w:rsidRPr="00392EAD">
        <w:rPr>
          <w:rFonts w:ascii="Calibri" w:hAnsi="Calibri"/>
          <w:spacing w:val="-3"/>
          <w:lang w:val="pt-BR"/>
        </w:rPr>
        <w:t xml:space="preserve"> </w:t>
      </w:r>
      <w:r w:rsidRPr="00392EAD">
        <w:rPr>
          <w:rFonts w:ascii="Calibri" w:hAnsi="Calibri"/>
          <w:lang w:val="pt-BR"/>
        </w:rPr>
        <w:t>mina</w:t>
      </w:r>
      <w:r w:rsidRPr="00392EAD">
        <w:rPr>
          <w:rFonts w:ascii="Calibri" w:hAnsi="Calibri"/>
          <w:spacing w:val="-1"/>
          <w:lang w:val="pt-BR"/>
        </w:rPr>
        <w:t xml:space="preserve"> </w:t>
      </w:r>
      <w:r w:rsidRPr="00392EAD">
        <w:rPr>
          <w:rFonts w:ascii="Calibri" w:hAnsi="Calibri"/>
          <w:lang w:val="pt-BR"/>
        </w:rPr>
        <w:t>de</w:t>
      </w:r>
      <w:r w:rsidRPr="00392EAD">
        <w:rPr>
          <w:rFonts w:ascii="Calibri" w:hAnsi="Calibri"/>
          <w:spacing w:val="-4"/>
          <w:lang w:val="pt-BR"/>
        </w:rPr>
        <w:t xml:space="preserve"> </w:t>
      </w:r>
      <w:r w:rsidRPr="00392EAD">
        <w:rPr>
          <w:rFonts w:ascii="Calibri" w:hAnsi="Calibri"/>
          <w:lang w:val="pt-BR"/>
        </w:rPr>
        <w:t>potássio</w:t>
      </w:r>
      <w:r w:rsidRPr="00392EAD">
        <w:rPr>
          <w:rFonts w:ascii="Calibri" w:hAnsi="Calibri"/>
          <w:spacing w:val="-3"/>
          <w:lang w:val="pt-BR"/>
        </w:rPr>
        <w:t xml:space="preserve"> </w:t>
      </w:r>
      <w:r w:rsidRPr="00392EAD">
        <w:rPr>
          <w:rFonts w:ascii="Calibri" w:hAnsi="Calibri"/>
          <w:lang w:val="pt-BR"/>
        </w:rPr>
        <w:t>em</w:t>
      </w:r>
      <w:r w:rsidRPr="00392EAD">
        <w:rPr>
          <w:rFonts w:ascii="Calibri" w:hAnsi="Calibri"/>
          <w:spacing w:val="-4"/>
          <w:lang w:val="pt-BR"/>
        </w:rPr>
        <w:t xml:space="preserve"> </w:t>
      </w:r>
      <w:r w:rsidRPr="00392EAD">
        <w:rPr>
          <w:rFonts w:ascii="Calibri" w:hAnsi="Calibri"/>
          <w:lang w:val="pt-BR"/>
        </w:rPr>
        <w:t>Rosário</w:t>
      </w:r>
      <w:r w:rsidRPr="00392EAD">
        <w:rPr>
          <w:rFonts w:ascii="Calibri" w:hAnsi="Calibri"/>
          <w:spacing w:val="-3"/>
          <w:lang w:val="pt-BR"/>
        </w:rPr>
        <w:t xml:space="preserve"> </w:t>
      </w:r>
      <w:r w:rsidRPr="00392EAD">
        <w:rPr>
          <w:rFonts w:ascii="Calibri" w:hAnsi="Calibri"/>
          <w:lang w:val="pt-BR"/>
        </w:rPr>
        <w:t>do</w:t>
      </w:r>
      <w:r w:rsidRPr="00392EAD">
        <w:rPr>
          <w:rFonts w:ascii="Calibri" w:hAnsi="Calibri"/>
          <w:spacing w:val="-2"/>
          <w:lang w:val="pt-BR"/>
        </w:rPr>
        <w:t xml:space="preserve"> </w:t>
      </w:r>
      <w:r w:rsidRPr="00392EAD">
        <w:rPr>
          <w:rFonts w:ascii="Calibri" w:hAnsi="Calibri"/>
          <w:lang w:val="pt-BR"/>
        </w:rPr>
        <w:t>Catete</w:t>
      </w:r>
      <w:r w:rsidRPr="00392EAD">
        <w:rPr>
          <w:rFonts w:ascii="Calibri" w:hAnsi="Calibri"/>
          <w:spacing w:val="-2"/>
          <w:lang w:val="pt-BR"/>
        </w:rPr>
        <w:t xml:space="preserve"> </w:t>
      </w:r>
      <w:r w:rsidRPr="00392EAD">
        <w:rPr>
          <w:rFonts w:ascii="Calibri" w:hAnsi="Calibri"/>
          <w:lang w:val="pt-BR"/>
        </w:rPr>
        <w:t>(SE)</w:t>
      </w:r>
      <w:r w:rsidRPr="00392EAD">
        <w:rPr>
          <w:rFonts w:ascii="Calibri" w:hAnsi="Calibri"/>
          <w:spacing w:val="-3"/>
          <w:lang w:val="pt-BR"/>
        </w:rPr>
        <w:t xml:space="preserve"> </w:t>
      </w:r>
      <w:r w:rsidRPr="00392EAD">
        <w:rPr>
          <w:rFonts w:ascii="Calibri" w:hAnsi="Calibri"/>
          <w:lang w:val="pt-BR"/>
        </w:rPr>
        <w:t>diminui</w:t>
      </w:r>
      <w:r w:rsidRPr="00392EAD">
        <w:rPr>
          <w:rFonts w:ascii="Calibri" w:hAnsi="Calibri"/>
          <w:spacing w:val="-3"/>
          <w:lang w:val="pt-BR"/>
        </w:rPr>
        <w:t xml:space="preserve"> </w:t>
      </w:r>
      <w:r w:rsidRPr="00392EAD">
        <w:rPr>
          <w:rFonts w:ascii="Calibri" w:hAnsi="Calibri"/>
          <w:lang w:val="pt-BR"/>
        </w:rPr>
        <w:t>impactos</w:t>
      </w:r>
      <w:r w:rsidRPr="00392EAD">
        <w:rPr>
          <w:rFonts w:ascii="Calibri" w:hAnsi="Calibri"/>
          <w:spacing w:val="-3"/>
          <w:lang w:val="pt-BR"/>
        </w:rPr>
        <w:t xml:space="preserve"> </w:t>
      </w:r>
      <w:r w:rsidRPr="00392EAD">
        <w:rPr>
          <w:rFonts w:ascii="Calibri" w:hAnsi="Calibri"/>
          <w:lang w:val="pt-BR"/>
        </w:rPr>
        <w:t>ambientais</w:t>
      </w:r>
      <w:r w:rsidRPr="00392EAD">
        <w:rPr>
          <w:rFonts w:ascii="Calibri" w:hAnsi="Calibri"/>
          <w:spacing w:val="-5"/>
          <w:lang w:val="pt-BR"/>
        </w:rPr>
        <w:t xml:space="preserve"> </w:t>
      </w:r>
      <w:r w:rsidRPr="00392EAD">
        <w:rPr>
          <w:rFonts w:ascii="Calibri" w:hAnsi="Calibri"/>
          <w:lang w:val="pt-BR"/>
        </w:rPr>
        <w:t>da</w:t>
      </w:r>
    </w:p>
    <w:p w:rsidR="00D81F69" w:rsidRPr="00392EAD" w:rsidRDefault="00330118">
      <w:pPr>
        <w:spacing w:before="144" w:line="148" w:lineRule="exact"/>
        <w:ind w:left="382"/>
        <w:rPr>
          <w:rFonts w:ascii="Calibri"/>
          <w:lang w:val="pt-BR"/>
        </w:rPr>
      </w:pPr>
      <w:r w:rsidRPr="00392EAD">
        <w:rPr>
          <w:lang w:val="pt-BR"/>
        </w:rPr>
        <w:br w:type="column"/>
      </w:r>
      <w:r w:rsidRPr="00392EAD">
        <w:rPr>
          <w:rFonts w:ascii="Calibri"/>
          <w:lang w:val="pt-BR"/>
        </w:rPr>
        <w:lastRenderedPageBreak/>
        <w:t>184</w:t>
      </w:r>
    </w:p>
    <w:p w:rsidR="00D81F69" w:rsidRPr="00392EAD" w:rsidRDefault="00D81F69">
      <w:pPr>
        <w:spacing w:line="148" w:lineRule="exact"/>
        <w:rPr>
          <w:rFonts w:ascii="Calibri"/>
          <w:lang w:val="pt-BR"/>
        </w:rPr>
        <w:sectPr w:rsidR="00D81F69" w:rsidRPr="00392EAD">
          <w:type w:val="continuous"/>
          <w:pgSz w:w="11910" w:h="16840"/>
          <w:pgMar w:top="720" w:right="738" w:bottom="280" w:left="860" w:header="720" w:footer="720" w:gutter="0"/>
          <w:cols w:num="2" w:space="720" w:equalWidth="0">
            <w:col w:w="9095" w:space="56"/>
            <w:col w:w="1161"/>
          </w:cols>
        </w:sectPr>
      </w:pPr>
    </w:p>
    <w:p w:rsidR="00D81F69" w:rsidRPr="00392EAD" w:rsidRDefault="00330118">
      <w:pPr>
        <w:pStyle w:val="Heading5"/>
        <w:tabs>
          <w:tab w:val="left" w:pos="10197"/>
        </w:tabs>
        <w:spacing w:line="255" w:lineRule="exact"/>
        <w:ind w:left="259" w:right="0"/>
        <w:jc w:val="left"/>
        <w:rPr>
          <w:rFonts w:ascii="Calibri"/>
          <w:lang w:val="pt-BR"/>
        </w:rPr>
      </w:pPr>
      <w:r w:rsidRPr="00392EAD">
        <w:rPr>
          <w:rFonts w:ascii="Times New Roman"/>
          <w:w w:val="99"/>
          <w:u w:val="single"/>
          <w:lang w:val="pt-BR"/>
        </w:rPr>
        <w:lastRenderedPageBreak/>
        <w:t xml:space="preserve"> </w:t>
      </w:r>
      <w:r w:rsidRPr="00392EAD">
        <w:rPr>
          <w:rFonts w:ascii="Times New Roman"/>
          <w:spacing w:val="11"/>
          <w:u w:val="single"/>
          <w:lang w:val="pt-BR"/>
        </w:rPr>
        <w:t xml:space="preserve"> </w:t>
      </w:r>
      <w:r w:rsidRPr="00392EAD">
        <w:rPr>
          <w:rFonts w:ascii="Calibri"/>
          <w:u w:val="single"/>
          <w:lang w:val="pt-BR"/>
        </w:rPr>
        <w:t>atividade..............................................................................................................................................</w:t>
      </w:r>
      <w:r w:rsidRPr="00392EAD">
        <w:rPr>
          <w:rFonts w:ascii="Calibri"/>
          <w:u w:val="single"/>
          <w:lang w:val="pt-BR"/>
        </w:rPr>
        <w:tab/>
      </w:r>
    </w:p>
    <w:p w:rsidR="00D81F69" w:rsidRPr="00392EAD" w:rsidRDefault="00D81F69">
      <w:pPr>
        <w:pStyle w:val="Corpodetexto"/>
        <w:ind w:left="0"/>
        <w:jc w:val="left"/>
        <w:rPr>
          <w:rFonts w:ascii="Calibri"/>
          <w:sz w:val="20"/>
          <w:lang w:val="pt-BR"/>
        </w:rPr>
      </w:pPr>
    </w:p>
    <w:p w:rsidR="00D81F69" w:rsidRPr="00392EAD" w:rsidRDefault="00D81F69">
      <w:pPr>
        <w:pStyle w:val="Corpodetexto"/>
        <w:spacing w:before="6"/>
        <w:ind w:left="0"/>
        <w:jc w:val="left"/>
        <w:rPr>
          <w:rFonts w:ascii="Calibri"/>
          <w:sz w:val="29"/>
          <w:lang w:val="pt-BR"/>
        </w:rPr>
      </w:pPr>
    </w:p>
    <w:p w:rsidR="00D81F69" w:rsidRPr="00392EAD" w:rsidRDefault="00330118">
      <w:pPr>
        <w:tabs>
          <w:tab w:val="left" w:pos="10197"/>
        </w:tabs>
        <w:spacing w:before="87"/>
        <w:ind w:left="274"/>
        <w:rPr>
          <w:rFonts w:ascii="Calibri" w:hAnsi="Calibri"/>
          <w:b/>
          <w:lang w:val="pt-BR"/>
        </w:rPr>
      </w:pPr>
      <w:r w:rsidRPr="00392EAD">
        <w:rPr>
          <w:rFonts w:ascii="Times New Roman" w:hAnsi="Times New Roman"/>
          <w:w w:val="99"/>
          <w:u w:val="single"/>
          <w:lang w:val="pt-BR"/>
        </w:rPr>
        <w:t xml:space="preserve"> </w:t>
      </w:r>
      <w:r w:rsidRPr="00392EAD">
        <w:rPr>
          <w:rFonts w:ascii="Times New Roman" w:hAnsi="Times New Roman"/>
          <w:spacing w:val="-2"/>
          <w:u w:val="single"/>
          <w:lang w:val="pt-BR"/>
        </w:rPr>
        <w:t xml:space="preserve"> </w:t>
      </w:r>
      <w:r w:rsidRPr="00392EAD">
        <w:rPr>
          <w:rFonts w:ascii="Calibri" w:hAnsi="Calibri"/>
          <w:b/>
          <w:u w:val="single"/>
          <w:lang w:val="pt-BR"/>
        </w:rPr>
        <w:t>REGIÃO</w:t>
      </w:r>
      <w:r w:rsidRPr="00392EAD">
        <w:rPr>
          <w:rFonts w:ascii="Calibri" w:hAnsi="Calibri"/>
          <w:b/>
          <w:spacing w:val="-8"/>
          <w:u w:val="single"/>
          <w:lang w:val="pt-BR"/>
        </w:rPr>
        <w:t xml:space="preserve"> </w:t>
      </w:r>
      <w:r w:rsidRPr="00392EAD">
        <w:rPr>
          <w:rFonts w:ascii="Calibri" w:hAnsi="Calibri"/>
          <w:b/>
          <w:u w:val="single"/>
          <w:lang w:val="pt-BR"/>
        </w:rPr>
        <w:t>CENTRO‐OESTE</w:t>
      </w:r>
      <w:r w:rsidRPr="00392EAD">
        <w:rPr>
          <w:rFonts w:ascii="Calibri" w:hAnsi="Calibri"/>
          <w:b/>
          <w:u w:val="single"/>
          <w:lang w:val="pt-BR"/>
        </w:rPr>
        <w:tab/>
      </w:r>
    </w:p>
    <w:p w:rsidR="00D81F69" w:rsidRPr="00392EAD" w:rsidRDefault="00330118">
      <w:pPr>
        <w:spacing w:before="10"/>
        <w:ind w:left="381"/>
        <w:rPr>
          <w:rFonts w:ascii="Calibri" w:hAnsi="Calibri"/>
          <w:b/>
          <w:lang w:val="pt-BR"/>
        </w:rPr>
      </w:pPr>
      <w:r w:rsidRPr="00392EAD">
        <w:rPr>
          <w:rFonts w:ascii="Calibri" w:hAnsi="Calibri"/>
          <w:b/>
          <w:lang w:val="pt-BR"/>
        </w:rPr>
        <w:t>O recorte da atividade mineral na região Centro‐Oeste</w:t>
      </w:r>
    </w:p>
    <w:p w:rsidR="00D81F69" w:rsidRPr="00392EAD" w:rsidRDefault="00330118">
      <w:pPr>
        <w:tabs>
          <w:tab w:val="right" w:pos="9868"/>
        </w:tabs>
        <w:ind w:left="381"/>
        <w:rPr>
          <w:rFonts w:ascii="Calibri"/>
          <w:lang w:val="pt-BR"/>
        </w:rPr>
      </w:pPr>
      <w:r w:rsidRPr="00392EAD">
        <w:rPr>
          <w:rFonts w:ascii="Calibri"/>
          <w:i/>
          <w:lang w:val="pt-BR"/>
        </w:rPr>
        <w:t>Rodrigo Braga da Rocha Villa Verde, Renata de Carvalho Jimenez Alamino e</w:t>
      </w:r>
      <w:r w:rsidRPr="00392EAD">
        <w:rPr>
          <w:rFonts w:ascii="Calibri"/>
          <w:i/>
          <w:spacing w:val="-16"/>
          <w:lang w:val="pt-BR"/>
        </w:rPr>
        <w:t xml:space="preserve"> </w:t>
      </w:r>
      <w:r w:rsidRPr="00392EAD">
        <w:rPr>
          <w:rFonts w:ascii="Calibri"/>
          <w:i/>
          <w:lang w:val="pt-BR"/>
        </w:rPr>
        <w:t>Francisco</w:t>
      </w:r>
      <w:r w:rsidRPr="00392EAD">
        <w:rPr>
          <w:rFonts w:ascii="Calibri"/>
          <w:i/>
          <w:spacing w:val="-1"/>
          <w:lang w:val="pt-BR"/>
        </w:rPr>
        <w:t xml:space="preserve"> </w:t>
      </w:r>
      <w:r w:rsidRPr="00392EAD">
        <w:rPr>
          <w:rFonts w:ascii="Calibri"/>
          <w:i/>
          <w:lang w:val="pt-BR"/>
        </w:rPr>
        <w:t>Rego</w:t>
      </w:r>
      <w:r w:rsidRPr="00392EAD">
        <w:rPr>
          <w:rFonts w:ascii="Calibri"/>
          <w:i/>
          <w:lang w:val="pt-BR"/>
        </w:rPr>
        <w:tab/>
      </w:r>
      <w:r w:rsidRPr="00392EAD">
        <w:rPr>
          <w:rFonts w:ascii="Calibri"/>
          <w:lang w:val="pt-BR"/>
        </w:rPr>
        <w:t>187</w:t>
      </w:r>
    </w:p>
    <w:p w:rsidR="00D81F69" w:rsidRPr="00392EAD" w:rsidRDefault="00330118">
      <w:pPr>
        <w:pStyle w:val="Heading5"/>
        <w:tabs>
          <w:tab w:val="left" w:pos="10197"/>
        </w:tabs>
        <w:spacing w:line="268" w:lineRule="exact"/>
        <w:ind w:left="274" w:right="0"/>
        <w:jc w:val="left"/>
        <w:rPr>
          <w:rFonts w:ascii="Calibri"/>
          <w:lang w:val="pt-BR"/>
        </w:rPr>
      </w:pPr>
      <w:r w:rsidRPr="00392EAD">
        <w:rPr>
          <w:rFonts w:ascii="Times New Roman"/>
          <w:w w:val="99"/>
          <w:u w:val="single"/>
          <w:lang w:val="pt-BR"/>
        </w:rPr>
        <w:t xml:space="preserve"> </w:t>
      </w:r>
      <w:r w:rsidRPr="00392EAD">
        <w:rPr>
          <w:rFonts w:ascii="Times New Roman"/>
          <w:spacing w:val="-2"/>
          <w:u w:val="single"/>
          <w:lang w:val="pt-BR"/>
        </w:rPr>
        <w:t xml:space="preserve"> </w:t>
      </w:r>
      <w:r w:rsidRPr="00392EAD">
        <w:rPr>
          <w:rFonts w:ascii="Calibri"/>
          <w:i/>
          <w:spacing w:val="-1"/>
          <w:u w:val="single"/>
          <w:lang w:val="pt-BR"/>
        </w:rPr>
        <w:t>Chaves</w:t>
      </w:r>
      <w:r w:rsidRPr="00392EAD">
        <w:rPr>
          <w:rFonts w:ascii="Calibri"/>
          <w:i/>
          <w:spacing w:val="36"/>
          <w:u w:val="single"/>
          <w:lang w:val="pt-BR"/>
        </w:rPr>
        <w:t xml:space="preserve"> </w:t>
      </w:r>
      <w:r w:rsidRPr="00392EAD">
        <w:rPr>
          <w:rFonts w:ascii="Calibri"/>
          <w:i/>
          <w:spacing w:val="-1"/>
          <w:u w:val="single"/>
          <w:lang w:val="pt-BR"/>
        </w:rPr>
        <w:t>Fernandes</w:t>
      </w:r>
      <w:r w:rsidRPr="00392EAD">
        <w:rPr>
          <w:rFonts w:ascii="Calibri"/>
          <w:spacing w:val="-1"/>
          <w:u w:val="single"/>
          <w:lang w:val="pt-BR"/>
        </w:rPr>
        <w:t>................................................................................................................................</w:t>
      </w:r>
      <w:r w:rsidRPr="00392EAD">
        <w:rPr>
          <w:rFonts w:ascii="Calibri"/>
          <w:spacing w:val="-1"/>
          <w:u w:val="single"/>
          <w:lang w:val="pt-BR"/>
        </w:rPr>
        <w:tab/>
      </w:r>
    </w:p>
    <w:p w:rsidR="00D81F69" w:rsidRDefault="00D81F69">
      <w:pPr>
        <w:pStyle w:val="Heading5"/>
        <w:tabs>
          <w:tab w:val="left" w:pos="9532"/>
        </w:tabs>
        <w:spacing w:before="11"/>
        <w:ind w:left="382" w:right="0"/>
        <w:jc w:val="left"/>
        <w:rPr>
          <w:rFonts w:ascii="Calibri" w:hAnsi="Calibri"/>
        </w:rPr>
      </w:pPr>
      <w:r w:rsidRPr="00D81F69">
        <w:pict>
          <v:line id="_x0000_s1053" style="position:absolute;left:0;text-align:left;z-index:5272;mso-position-horizontal-relative:page" from="56.7pt,14.2pt" to="552.9pt,14.2pt" strokeweight=".48pt">
            <w10:wrap anchorx="page"/>
          </v:line>
        </w:pict>
      </w:r>
      <w:r w:rsidR="00330118" w:rsidRPr="00392EAD">
        <w:rPr>
          <w:rFonts w:ascii="Calibri" w:hAnsi="Calibri"/>
          <w:lang w:val="pt-BR"/>
        </w:rPr>
        <w:t>Exploração de amianto em Minaçu (GO) afeta moradores e</w:t>
      </w:r>
      <w:r w:rsidR="00330118" w:rsidRPr="00392EAD">
        <w:rPr>
          <w:rFonts w:ascii="Calibri" w:hAnsi="Calibri"/>
          <w:spacing w:val="7"/>
          <w:lang w:val="pt-BR"/>
        </w:rPr>
        <w:t xml:space="preserve"> </w:t>
      </w:r>
      <w:r w:rsidR="00330118" w:rsidRPr="00392EAD">
        <w:rPr>
          <w:rFonts w:ascii="Calibri" w:hAnsi="Calibri"/>
          <w:lang w:val="pt-BR"/>
        </w:rPr>
        <w:t>meio</w:t>
      </w:r>
      <w:r w:rsidR="00330118" w:rsidRPr="00392EAD">
        <w:rPr>
          <w:rFonts w:ascii="Calibri" w:hAnsi="Calibri"/>
          <w:spacing w:val="-5"/>
          <w:lang w:val="pt-BR"/>
        </w:rPr>
        <w:t xml:space="preserve"> </w:t>
      </w:r>
      <w:r w:rsidR="00330118" w:rsidRPr="00392EAD">
        <w:rPr>
          <w:rFonts w:ascii="Calibri" w:hAnsi="Calibri"/>
          <w:lang w:val="pt-BR"/>
        </w:rPr>
        <w:t>ambiente...................................</w:t>
      </w:r>
      <w:r w:rsidR="00330118" w:rsidRPr="00392EAD">
        <w:rPr>
          <w:rFonts w:ascii="Calibri" w:hAnsi="Calibri"/>
          <w:lang w:val="pt-BR"/>
        </w:rPr>
        <w:tab/>
      </w:r>
      <w:r w:rsidR="00330118">
        <w:rPr>
          <w:rFonts w:ascii="Calibri" w:hAnsi="Calibri"/>
        </w:rPr>
        <w:t>192</w:t>
      </w:r>
    </w:p>
    <w:p w:rsidR="00D81F69" w:rsidRDefault="00D81F69">
      <w:pPr>
        <w:pStyle w:val="Heading5"/>
        <w:tabs>
          <w:tab w:val="left" w:pos="9533"/>
        </w:tabs>
        <w:spacing w:before="9"/>
        <w:ind w:left="382" w:right="0"/>
        <w:jc w:val="left"/>
        <w:rPr>
          <w:rFonts w:ascii="Calibri" w:hAnsi="Calibri"/>
        </w:rPr>
      </w:pPr>
      <w:r w:rsidRPr="00D81F69">
        <w:pict>
          <v:line id="_x0000_s1052" style="position:absolute;left:0;text-align:left;z-index:5296;mso-position-horizontal-relative:page" from="56.7pt,14.15pt" to="552.9pt,14.15pt" strokeweight=".48pt">
            <w10:wrap anchorx="page"/>
          </v:line>
        </w:pict>
      </w:r>
      <w:r w:rsidR="00330118" w:rsidRPr="00392EAD">
        <w:rPr>
          <w:rFonts w:ascii="Calibri" w:hAnsi="Calibri"/>
          <w:lang w:val="pt-BR"/>
        </w:rPr>
        <w:t>Garimpo em Campos Verdes (GO) gera danos ambientais e</w:t>
      </w:r>
      <w:r w:rsidR="00330118" w:rsidRPr="00392EAD">
        <w:rPr>
          <w:rFonts w:ascii="Calibri" w:hAnsi="Calibri"/>
          <w:spacing w:val="-33"/>
          <w:lang w:val="pt-BR"/>
        </w:rPr>
        <w:t xml:space="preserve"> </w:t>
      </w:r>
      <w:r w:rsidR="00330118" w:rsidRPr="00392EAD">
        <w:rPr>
          <w:rFonts w:ascii="Calibri" w:hAnsi="Calibri"/>
          <w:lang w:val="pt-BR"/>
        </w:rPr>
        <w:t>vulnerabilidade</w:t>
      </w:r>
      <w:r w:rsidR="00330118" w:rsidRPr="00392EAD">
        <w:rPr>
          <w:rFonts w:ascii="Calibri" w:hAnsi="Calibri"/>
          <w:spacing w:val="-5"/>
          <w:lang w:val="pt-BR"/>
        </w:rPr>
        <w:t xml:space="preserve"> </w:t>
      </w:r>
      <w:r w:rsidR="00330118" w:rsidRPr="00392EAD">
        <w:rPr>
          <w:rFonts w:ascii="Calibri" w:hAnsi="Calibri"/>
          <w:lang w:val="pt-BR"/>
        </w:rPr>
        <w:t>socioeconômica.........</w:t>
      </w:r>
      <w:r w:rsidR="00330118" w:rsidRPr="00392EAD">
        <w:rPr>
          <w:rFonts w:ascii="Calibri" w:hAnsi="Calibri"/>
          <w:lang w:val="pt-BR"/>
        </w:rPr>
        <w:tab/>
      </w:r>
      <w:r w:rsidR="00330118">
        <w:rPr>
          <w:rFonts w:ascii="Calibri" w:hAnsi="Calibri"/>
        </w:rPr>
        <w:t>195</w:t>
      </w:r>
    </w:p>
    <w:p w:rsidR="00D81F69" w:rsidRPr="00392EAD" w:rsidRDefault="00330118">
      <w:pPr>
        <w:pStyle w:val="Heading5"/>
        <w:tabs>
          <w:tab w:val="left" w:pos="9533"/>
        </w:tabs>
        <w:spacing w:before="10"/>
        <w:ind w:left="382" w:right="0"/>
        <w:jc w:val="left"/>
        <w:rPr>
          <w:rFonts w:ascii="Calibri" w:hAnsi="Calibri"/>
          <w:lang w:val="pt-BR"/>
        </w:rPr>
      </w:pPr>
      <w:r w:rsidRPr="00392EAD">
        <w:rPr>
          <w:rFonts w:ascii="Calibri" w:hAnsi="Calibri"/>
          <w:lang w:val="pt-BR"/>
        </w:rPr>
        <w:t>Exploração</w:t>
      </w:r>
      <w:r w:rsidRPr="00392EAD">
        <w:rPr>
          <w:rFonts w:ascii="Calibri" w:hAnsi="Calibri"/>
          <w:spacing w:val="-6"/>
          <w:lang w:val="pt-BR"/>
        </w:rPr>
        <w:t xml:space="preserve"> </w:t>
      </w:r>
      <w:r w:rsidRPr="00392EAD">
        <w:rPr>
          <w:rFonts w:ascii="Calibri" w:hAnsi="Calibri"/>
          <w:lang w:val="pt-BR"/>
        </w:rPr>
        <w:t>de</w:t>
      </w:r>
      <w:r w:rsidRPr="00392EAD">
        <w:rPr>
          <w:rFonts w:ascii="Calibri" w:hAnsi="Calibri"/>
          <w:spacing w:val="-7"/>
          <w:lang w:val="pt-BR"/>
        </w:rPr>
        <w:t xml:space="preserve"> </w:t>
      </w:r>
      <w:r w:rsidRPr="00392EAD">
        <w:rPr>
          <w:rFonts w:ascii="Calibri" w:hAnsi="Calibri"/>
          <w:lang w:val="pt-BR"/>
        </w:rPr>
        <w:t>níquel</w:t>
      </w:r>
      <w:r w:rsidRPr="00392EAD">
        <w:rPr>
          <w:rFonts w:ascii="Calibri" w:hAnsi="Calibri"/>
          <w:spacing w:val="-5"/>
          <w:lang w:val="pt-BR"/>
        </w:rPr>
        <w:t xml:space="preserve"> </w:t>
      </w:r>
      <w:r w:rsidRPr="00392EAD">
        <w:rPr>
          <w:rFonts w:ascii="Calibri" w:hAnsi="Calibri"/>
          <w:lang w:val="pt-BR"/>
        </w:rPr>
        <w:t>provoca</w:t>
      </w:r>
      <w:r w:rsidRPr="00392EAD">
        <w:rPr>
          <w:rFonts w:ascii="Calibri" w:hAnsi="Calibri"/>
          <w:spacing w:val="-6"/>
          <w:lang w:val="pt-BR"/>
        </w:rPr>
        <w:t xml:space="preserve"> </w:t>
      </w:r>
      <w:r w:rsidRPr="00392EAD">
        <w:rPr>
          <w:rFonts w:ascii="Calibri" w:hAnsi="Calibri"/>
          <w:lang w:val="pt-BR"/>
        </w:rPr>
        <w:t>danos</w:t>
      </w:r>
      <w:r w:rsidRPr="00392EAD">
        <w:rPr>
          <w:rFonts w:ascii="Calibri" w:hAnsi="Calibri"/>
          <w:spacing w:val="-6"/>
          <w:lang w:val="pt-BR"/>
        </w:rPr>
        <w:t xml:space="preserve"> </w:t>
      </w:r>
      <w:r w:rsidRPr="00392EAD">
        <w:rPr>
          <w:rFonts w:ascii="Calibri" w:hAnsi="Calibri"/>
          <w:lang w:val="pt-BR"/>
        </w:rPr>
        <w:t>ambientais</w:t>
      </w:r>
      <w:r w:rsidRPr="00392EAD">
        <w:rPr>
          <w:rFonts w:ascii="Calibri" w:hAnsi="Calibri"/>
          <w:spacing w:val="-6"/>
          <w:lang w:val="pt-BR"/>
        </w:rPr>
        <w:t xml:space="preserve"> </w:t>
      </w:r>
      <w:r w:rsidRPr="00392EAD">
        <w:rPr>
          <w:rFonts w:ascii="Calibri" w:hAnsi="Calibri"/>
          <w:lang w:val="pt-BR"/>
        </w:rPr>
        <w:t>em</w:t>
      </w:r>
      <w:r w:rsidRPr="00392EAD">
        <w:rPr>
          <w:rFonts w:ascii="Calibri" w:hAnsi="Calibri"/>
          <w:spacing w:val="-6"/>
          <w:lang w:val="pt-BR"/>
        </w:rPr>
        <w:t xml:space="preserve"> </w:t>
      </w:r>
      <w:r w:rsidRPr="00392EAD">
        <w:rPr>
          <w:rFonts w:ascii="Calibri" w:hAnsi="Calibri"/>
          <w:lang w:val="pt-BR"/>
        </w:rPr>
        <w:t>Niquelândia</w:t>
      </w:r>
      <w:r w:rsidRPr="00392EAD">
        <w:rPr>
          <w:rFonts w:ascii="Calibri" w:hAnsi="Calibri"/>
          <w:spacing w:val="-5"/>
          <w:lang w:val="pt-BR"/>
        </w:rPr>
        <w:t xml:space="preserve"> </w:t>
      </w:r>
      <w:r w:rsidRPr="00392EAD">
        <w:rPr>
          <w:rFonts w:ascii="Calibri" w:hAnsi="Calibri"/>
          <w:lang w:val="pt-BR"/>
        </w:rPr>
        <w:t>(GO).............................................</w:t>
      </w:r>
      <w:r w:rsidRPr="00392EAD">
        <w:rPr>
          <w:rFonts w:ascii="Calibri" w:hAnsi="Calibri"/>
          <w:lang w:val="pt-BR"/>
        </w:rPr>
        <w:tab/>
        <w:t>199</w:t>
      </w:r>
    </w:p>
    <w:p w:rsidR="00D81F69" w:rsidRDefault="00D81F69">
      <w:pPr>
        <w:pStyle w:val="Corpodetexto"/>
        <w:spacing w:line="20" w:lineRule="exact"/>
        <w:ind w:left="269"/>
        <w:jc w:val="left"/>
        <w:rPr>
          <w:rFonts w:ascii="Calibri"/>
          <w:sz w:val="2"/>
        </w:rPr>
      </w:pPr>
      <w:r w:rsidRPr="00D81F69">
        <w:rPr>
          <w:rFonts w:ascii="Calibri"/>
          <w:sz w:val="2"/>
        </w:rPr>
      </w:r>
      <w:r>
        <w:rPr>
          <w:rFonts w:ascii="Calibri"/>
          <w:sz w:val="2"/>
        </w:rPr>
        <w:pict>
          <v:group id="_x0000_s1050" style="width:496.2pt;height:.5pt;mso-position-horizontal-relative:char;mso-position-vertical-relative:line" coordsize="9924,10">
            <v:line id="_x0000_s1051" style="position:absolute" from="0,5" to="9924,5" strokeweight=".48pt"/>
            <w10:wrap type="none"/>
            <w10:anchorlock/>
          </v:group>
        </w:pict>
      </w:r>
    </w:p>
    <w:p w:rsidR="00D81F69" w:rsidRDefault="00D81F69">
      <w:pPr>
        <w:spacing w:line="20" w:lineRule="exact"/>
        <w:rPr>
          <w:rFonts w:ascii="Calibri"/>
          <w:sz w:val="2"/>
        </w:rPr>
        <w:sectPr w:rsidR="00D81F69">
          <w:type w:val="continuous"/>
          <w:pgSz w:w="11910" w:h="16840"/>
          <w:pgMar w:top="720" w:right="738" w:bottom="280" w:left="860" w:header="720" w:footer="720" w:gutter="0"/>
          <w:cols w:space="720"/>
        </w:sectPr>
      </w:pPr>
    </w:p>
    <w:p w:rsidR="00D81F69" w:rsidRPr="00392EAD" w:rsidRDefault="00330118">
      <w:pPr>
        <w:spacing w:before="10"/>
        <w:ind w:left="382"/>
        <w:rPr>
          <w:rFonts w:ascii="Calibri" w:hAnsi="Calibri"/>
          <w:lang w:val="pt-BR"/>
        </w:rPr>
      </w:pPr>
      <w:r w:rsidRPr="00392EAD">
        <w:rPr>
          <w:rFonts w:ascii="Calibri" w:hAnsi="Calibri"/>
          <w:lang w:val="pt-BR"/>
        </w:rPr>
        <w:lastRenderedPageBreak/>
        <w:t>Apesar de ter uma das minas de ouro mais produtivas do Brasil, Crixás (GO) continua com baixo</w:t>
      </w:r>
    </w:p>
    <w:p w:rsidR="00D81F69" w:rsidRPr="00392EAD" w:rsidRDefault="00330118">
      <w:pPr>
        <w:spacing w:before="145" w:line="148" w:lineRule="exact"/>
        <w:ind w:left="382"/>
        <w:rPr>
          <w:rFonts w:ascii="Calibri"/>
          <w:lang w:val="pt-BR"/>
        </w:rPr>
      </w:pPr>
      <w:r w:rsidRPr="00392EAD">
        <w:rPr>
          <w:lang w:val="pt-BR"/>
        </w:rPr>
        <w:br w:type="column"/>
      </w:r>
      <w:r w:rsidRPr="00392EAD">
        <w:rPr>
          <w:rFonts w:ascii="Calibri"/>
          <w:lang w:val="pt-BR"/>
        </w:rPr>
        <w:lastRenderedPageBreak/>
        <w:t>202</w:t>
      </w:r>
    </w:p>
    <w:p w:rsidR="00D81F69" w:rsidRPr="00392EAD" w:rsidRDefault="00D81F69">
      <w:pPr>
        <w:spacing w:line="148" w:lineRule="exact"/>
        <w:rPr>
          <w:rFonts w:ascii="Calibri"/>
          <w:lang w:val="pt-BR"/>
        </w:rPr>
        <w:sectPr w:rsidR="00D81F69" w:rsidRPr="00392EAD">
          <w:type w:val="continuous"/>
          <w:pgSz w:w="11910" w:h="16840"/>
          <w:pgMar w:top="720" w:right="738" w:bottom="280" w:left="860" w:header="720" w:footer="720" w:gutter="0"/>
          <w:cols w:num="2" w:space="720" w:equalWidth="0">
            <w:col w:w="8960" w:space="191"/>
            <w:col w:w="1161"/>
          </w:cols>
        </w:sectPr>
      </w:pPr>
    </w:p>
    <w:p w:rsidR="00D81F69" w:rsidRPr="00392EAD" w:rsidRDefault="00330118">
      <w:pPr>
        <w:pStyle w:val="Heading5"/>
        <w:tabs>
          <w:tab w:val="left" w:pos="10197"/>
        </w:tabs>
        <w:spacing w:line="255" w:lineRule="exact"/>
        <w:ind w:left="274" w:right="0"/>
        <w:jc w:val="left"/>
        <w:rPr>
          <w:rFonts w:ascii="Calibri"/>
          <w:lang w:val="pt-BR"/>
        </w:rPr>
      </w:pPr>
      <w:r w:rsidRPr="00392EAD">
        <w:rPr>
          <w:rFonts w:ascii="Times New Roman"/>
          <w:w w:val="99"/>
          <w:u w:val="single"/>
          <w:lang w:val="pt-BR"/>
        </w:rPr>
        <w:lastRenderedPageBreak/>
        <w:t xml:space="preserve"> </w:t>
      </w:r>
      <w:r w:rsidRPr="00392EAD">
        <w:rPr>
          <w:rFonts w:ascii="Times New Roman"/>
          <w:spacing w:val="-2"/>
          <w:u w:val="single"/>
          <w:lang w:val="pt-BR"/>
        </w:rPr>
        <w:t xml:space="preserve"> </w:t>
      </w:r>
      <w:r w:rsidRPr="00392EAD">
        <w:rPr>
          <w:rFonts w:ascii="Calibri"/>
          <w:u w:val="single"/>
          <w:lang w:val="pt-BR"/>
        </w:rPr>
        <w:t>IDH.......................................................................................................................................................</w:t>
      </w:r>
      <w:r w:rsidRPr="00392EAD">
        <w:rPr>
          <w:rFonts w:ascii="Calibri"/>
          <w:u w:val="single"/>
          <w:lang w:val="pt-BR"/>
        </w:rPr>
        <w:tab/>
      </w:r>
    </w:p>
    <w:p w:rsidR="00D81F69" w:rsidRPr="00392EAD" w:rsidRDefault="00D81F69">
      <w:pPr>
        <w:spacing w:line="255" w:lineRule="exact"/>
        <w:rPr>
          <w:rFonts w:ascii="Calibri"/>
          <w:lang w:val="pt-BR"/>
        </w:rPr>
        <w:sectPr w:rsidR="00D81F69" w:rsidRPr="00392EAD">
          <w:type w:val="continuous"/>
          <w:pgSz w:w="11910" w:h="16840"/>
          <w:pgMar w:top="720" w:right="738" w:bottom="280" w:left="860" w:header="720" w:footer="720" w:gutter="0"/>
          <w:cols w:space="720"/>
        </w:sectPr>
      </w:pPr>
    </w:p>
    <w:p w:rsidR="00D81F69" w:rsidRPr="00392EAD" w:rsidRDefault="00330118">
      <w:pPr>
        <w:spacing w:before="10"/>
        <w:ind w:left="382"/>
        <w:rPr>
          <w:rFonts w:ascii="Calibri" w:hAnsi="Calibri"/>
          <w:lang w:val="pt-BR"/>
        </w:rPr>
      </w:pPr>
      <w:r w:rsidRPr="00392EAD">
        <w:rPr>
          <w:rFonts w:ascii="Calibri" w:hAnsi="Calibri"/>
          <w:lang w:val="pt-BR"/>
        </w:rPr>
        <w:lastRenderedPageBreak/>
        <w:t>Extração de ouro no Garimpo do Tucano causa contaminação ambiental em Monte Alegre d</w:t>
      </w:r>
      <w:r w:rsidRPr="00392EAD">
        <w:rPr>
          <w:rFonts w:ascii="Calibri" w:hAnsi="Calibri"/>
          <w:lang w:val="pt-BR"/>
        </w:rPr>
        <w:t>e</w:t>
      </w:r>
    </w:p>
    <w:p w:rsidR="00D81F69" w:rsidRPr="00392EAD" w:rsidRDefault="00330118">
      <w:pPr>
        <w:spacing w:before="144" w:line="148" w:lineRule="exact"/>
        <w:ind w:left="382"/>
        <w:rPr>
          <w:rFonts w:ascii="Calibri"/>
          <w:lang w:val="pt-BR"/>
        </w:rPr>
      </w:pPr>
      <w:r w:rsidRPr="00392EAD">
        <w:rPr>
          <w:lang w:val="pt-BR"/>
        </w:rPr>
        <w:br w:type="column"/>
      </w:r>
      <w:r w:rsidRPr="00392EAD">
        <w:rPr>
          <w:rFonts w:ascii="Calibri"/>
          <w:lang w:val="pt-BR"/>
        </w:rPr>
        <w:lastRenderedPageBreak/>
        <w:t>205</w:t>
      </w:r>
    </w:p>
    <w:p w:rsidR="00D81F69" w:rsidRPr="00392EAD" w:rsidRDefault="00D81F69">
      <w:pPr>
        <w:spacing w:line="148" w:lineRule="exact"/>
        <w:rPr>
          <w:rFonts w:ascii="Calibri"/>
          <w:lang w:val="pt-BR"/>
        </w:rPr>
        <w:sectPr w:rsidR="00D81F69" w:rsidRPr="00392EAD">
          <w:type w:val="continuous"/>
          <w:pgSz w:w="11910" w:h="16840"/>
          <w:pgMar w:top="720" w:right="738" w:bottom="280" w:left="860" w:header="720" w:footer="720" w:gutter="0"/>
          <w:cols w:num="2" w:space="720" w:equalWidth="0">
            <w:col w:w="8748" w:space="403"/>
            <w:col w:w="1161"/>
          </w:cols>
        </w:sectPr>
      </w:pPr>
    </w:p>
    <w:p w:rsidR="00D81F69" w:rsidRPr="00392EAD" w:rsidRDefault="00330118">
      <w:pPr>
        <w:pStyle w:val="Heading5"/>
        <w:tabs>
          <w:tab w:val="left" w:pos="10197"/>
        </w:tabs>
        <w:spacing w:line="255" w:lineRule="exact"/>
        <w:ind w:left="274" w:right="0"/>
        <w:jc w:val="left"/>
        <w:rPr>
          <w:rFonts w:ascii="Calibri" w:hAnsi="Calibri"/>
          <w:lang w:val="pt-BR"/>
        </w:rPr>
      </w:pPr>
      <w:r w:rsidRPr="00392EAD">
        <w:rPr>
          <w:rFonts w:ascii="Times New Roman" w:hAnsi="Times New Roman"/>
          <w:w w:val="99"/>
          <w:u w:val="single"/>
          <w:lang w:val="pt-BR"/>
        </w:rPr>
        <w:lastRenderedPageBreak/>
        <w:t xml:space="preserve"> </w:t>
      </w:r>
      <w:r w:rsidRPr="00392EAD">
        <w:rPr>
          <w:rFonts w:ascii="Times New Roman" w:hAnsi="Times New Roman"/>
          <w:spacing w:val="-2"/>
          <w:u w:val="single"/>
          <w:lang w:val="pt-BR"/>
        </w:rPr>
        <w:t xml:space="preserve"> </w:t>
      </w:r>
      <w:r w:rsidRPr="00392EAD">
        <w:rPr>
          <w:rFonts w:ascii="Calibri" w:hAnsi="Calibri"/>
          <w:spacing w:val="-1"/>
          <w:u w:val="single"/>
          <w:lang w:val="pt-BR"/>
        </w:rPr>
        <w:t>Goiás</w:t>
      </w:r>
      <w:r w:rsidRPr="00392EAD">
        <w:rPr>
          <w:rFonts w:ascii="Calibri" w:hAnsi="Calibri"/>
          <w:spacing w:val="40"/>
          <w:u w:val="single"/>
          <w:lang w:val="pt-BR"/>
        </w:rPr>
        <w:t xml:space="preserve"> </w:t>
      </w:r>
      <w:r w:rsidRPr="00392EAD">
        <w:rPr>
          <w:rFonts w:ascii="Calibri" w:hAnsi="Calibri"/>
          <w:spacing w:val="-1"/>
          <w:u w:val="single"/>
          <w:lang w:val="pt-BR"/>
        </w:rPr>
        <w:t>(GO)...........................................................................................................................................</w:t>
      </w:r>
      <w:r w:rsidRPr="00392EAD">
        <w:rPr>
          <w:rFonts w:ascii="Calibri" w:hAnsi="Calibri"/>
          <w:spacing w:val="-1"/>
          <w:u w:val="single"/>
          <w:lang w:val="pt-BR"/>
        </w:rPr>
        <w:tab/>
      </w:r>
    </w:p>
    <w:p w:rsidR="00D81F69" w:rsidRPr="00392EAD" w:rsidRDefault="00D81F69">
      <w:pPr>
        <w:pStyle w:val="Heading5"/>
        <w:tabs>
          <w:tab w:val="right" w:pos="9867"/>
        </w:tabs>
        <w:spacing w:before="10"/>
        <w:ind w:left="382" w:right="0"/>
        <w:jc w:val="left"/>
        <w:rPr>
          <w:rFonts w:ascii="Calibri" w:hAnsi="Calibri"/>
          <w:lang w:val="pt-BR"/>
        </w:rPr>
      </w:pPr>
      <w:r w:rsidRPr="00D81F69">
        <w:pict>
          <v:line id="_x0000_s1049" style="position:absolute;left:0;text-align:left;z-index:5320;mso-position-horizontal-relative:page" from="56.7pt,14.2pt" to="552.9pt,14.2pt" strokeweight=".48pt">
            <w10:wrap anchorx="page"/>
          </v:line>
        </w:pict>
      </w:r>
      <w:r w:rsidR="00330118" w:rsidRPr="00392EAD">
        <w:rPr>
          <w:rFonts w:ascii="Calibri" w:hAnsi="Calibri"/>
          <w:lang w:val="pt-BR"/>
        </w:rPr>
        <w:t>Três ciclos de mineração deixam passivo ambiental em</w:t>
      </w:r>
      <w:r w:rsidR="00330118" w:rsidRPr="00392EAD">
        <w:rPr>
          <w:rFonts w:ascii="Calibri" w:hAnsi="Calibri"/>
          <w:spacing w:val="-30"/>
          <w:lang w:val="pt-BR"/>
        </w:rPr>
        <w:t xml:space="preserve"> </w:t>
      </w:r>
      <w:r w:rsidR="00330118" w:rsidRPr="00392EAD">
        <w:rPr>
          <w:rFonts w:ascii="Calibri" w:hAnsi="Calibri"/>
          <w:lang w:val="pt-BR"/>
        </w:rPr>
        <w:t>Faina</w:t>
      </w:r>
      <w:r w:rsidR="00330118" w:rsidRPr="00392EAD">
        <w:rPr>
          <w:rFonts w:ascii="Calibri" w:hAnsi="Calibri"/>
          <w:spacing w:val="-3"/>
          <w:lang w:val="pt-BR"/>
        </w:rPr>
        <w:t xml:space="preserve"> </w:t>
      </w:r>
      <w:r w:rsidR="00330118" w:rsidRPr="00392EAD">
        <w:rPr>
          <w:rFonts w:ascii="Calibri" w:hAnsi="Calibri"/>
          <w:lang w:val="pt-BR"/>
        </w:rPr>
        <w:t>(GO)..................................................</w:t>
      </w:r>
      <w:r w:rsidR="00330118" w:rsidRPr="00392EAD">
        <w:rPr>
          <w:rFonts w:ascii="Calibri" w:hAnsi="Calibri"/>
          <w:lang w:val="pt-BR"/>
        </w:rPr>
        <w:tab/>
        <w:t>207</w:t>
      </w:r>
    </w:p>
    <w:p w:rsidR="00D81F69" w:rsidRDefault="00D81F69">
      <w:pPr>
        <w:pStyle w:val="Heading5"/>
        <w:tabs>
          <w:tab w:val="right" w:pos="9868"/>
        </w:tabs>
        <w:spacing w:before="9"/>
        <w:ind w:left="382" w:right="0"/>
        <w:jc w:val="left"/>
        <w:rPr>
          <w:rFonts w:ascii="Calibri" w:hAnsi="Calibri"/>
        </w:rPr>
      </w:pPr>
      <w:r w:rsidRPr="00D81F69">
        <w:pict>
          <v:line id="_x0000_s1048" style="position:absolute;left:0;text-align:left;z-index:5344;mso-position-horizontal-relative:page" from="56.7pt,14.15pt" to="552.9pt,14.15pt" strokeweight=".48pt">
            <w10:wrap anchorx="page"/>
          </v:line>
        </w:pict>
      </w:r>
      <w:r w:rsidR="00330118" w:rsidRPr="00392EAD">
        <w:rPr>
          <w:rFonts w:ascii="Calibri" w:hAnsi="Calibri"/>
          <w:lang w:val="pt-BR"/>
        </w:rPr>
        <w:t>APL de Quartzito em Pirenópolis (GO) busca</w:t>
      </w:r>
      <w:r w:rsidR="00330118" w:rsidRPr="00392EAD">
        <w:rPr>
          <w:rFonts w:ascii="Calibri" w:hAnsi="Calibri"/>
          <w:spacing w:val="-27"/>
          <w:lang w:val="pt-BR"/>
        </w:rPr>
        <w:t xml:space="preserve"> </w:t>
      </w:r>
      <w:r w:rsidR="00330118" w:rsidRPr="00392EAD">
        <w:rPr>
          <w:rFonts w:ascii="Calibri" w:hAnsi="Calibri"/>
          <w:lang w:val="pt-BR"/>
        </w:rPr>
        <w:t>mineração</w:t>
      </w:r>
      <w:r w:rsidR="00330118" w:rsidRPr="00392EAD">
        <w:rPr>
          <w:rFonts w:ascii="Calibri" w:hAnsi="Calibri"/>
          <w:spacing w:val="-4"/>
          <w:lang w:val="pt-BR"/>
        </w:rPr>
        <w:t xml:space="preserve"> </w:t>
      </w:r>
      <w:r w:rsidR="00330118" w:rsidRPr="00392EAD">
        <w:rPr>
          <w:rFonts w:ascii="Calibri" w:hAnsi="Calibri"/>
          <w:lang w:val="pt-BR"/>
        </w:rPr>
        <w:t>sustentável................................................</w:t>
      </w:r>
      <w:r w:rsidR="00330118" w:rsidRPr="00392EAD">
        <w:rPr>
          <w:rFonts w:ascii="Calibri" w:hAnsi="Calibri"/>
          <w:lang w:val="pt-BR"/>
        </w:rPr>
        <w:tab/>
      </w:r>
      <w:r w:rsidR="00330118">
        <w:rPr>
          <w:rFonts w:ascii="Calibri" w:hAnsi="Calibri"/>
        </w:rPr>
        <w:t>209</w:t>
      </w:r>
    </w:p>
    <w:p w:rsidR="00D81F69" w:rsidRDefault="00D81F69">
      <w:pPr>
        <w:pStyle w:val="Heading5"/>
        <w:tabs>
          <w:tab w:val="right" w:pos="9868"/>
        </w:tabs>
        <w:spacing w:before="10"/>
        <w:ind w:left="382" w:right="0"/>
        <w:jc w:val="left"/>
        <w:rPr>
          <w:rFonts w:ascii="Calibri" w:hAnsi="Calibri"/>
        </w:rPr>
      </w:pPr>
      <w:r w:rsidRPr="00D81F69">
        <w:pict>
          <v:line id="_x0000_s1047" style="position:absolute;left:0;text-align:left;z-index:5368;mso-position-horizontal-relative:page" from="56.7pt,14.2pt" to="552.9pt,14.2pt" strokeweight=".48pt">
            <w10:wrap anchorx="page"/>
          </v:line>
        </w:pict>
      </w:r>
      <w:r w:rsidR="00330118" w:rsidRPr="00392EAD">
        <w:rPr>
          <w:rFonts w:ascii="Calibri" w:hAnsi="Calibri"/>
          <w:lang w:val="pt-BR"/>
        </w:rPr>
        <w:t>Início da cadeia produtiva de ferro‐gusa em Ribas do Rio Pardo (MS) apresenta</w:t>
      </w:r>
      <w:r w:rsidR="00330118" w:rsidRPr="00392EAD">
        <w:rPr>
          <w:rFonts w:ascii="Calibri" w:hAnsi="Calibri"/>
          <w:spacing w:val="-23"/>
          <w:lang w:val="pt-BR"/>
        </w:rPr>
        <w:t xml:space="preserve"> </w:t>
      </w:r>
      <w:r w:rsidR="00330118" w:rsidRPr="00392EAD">
        <w:rPr>
          <w:rFonts w:ascii="Calibri" w:hAnsi="Calibri"/>
          <w:lang w:val="pt-BR"/>
        </w:rPr>
        <w:t>irregularidades</w:t>
      </w:r>
      <w:r w:rsidR="00330118" w:rsidRPr="00392EAD">
        <w:rPr>
          <w:rFonts w:ascii="Calibri" w:hAnsi="Calibri"/>
          <w:spacing w:val="-2"/>
          <w:lang w:val="pt-BR"/>
        </w:rPr>
        <w:t xml:space="preserve"> </w:t>
      </w:r>
      <w:r w:rsidR="00330118" w:rsidRPr="00392EAD">
        <w:rPr>
          <w:rFonts w:ascii="Calibri" w:hAnsi="Calibri"/>
          <w:lang w:val="pt-BR"/>
        </w:rPr>
        <w:t>....</w:t>
      </w:r>
      <w:r w:rsidR="00330118" w:rsidRPr="00392EAD">
        <w:rPr>
          <w:rFonts w:ascii="Calibri" w:hAnsi="Calibri"/>
          <w:lang w:val="pt-BR"/>
        </w:rPr>
        <w:tab/>
      </w:r>
      <w:r w:rsidR="00330118">
        <w:rPr>
          <w:rFonts w:ascii="Calibri" w:hAnsi="Calibri"/>
        </w:rPr>
        <w:t>213</w:t>
      </w:r>
    </w:p>
    <w:p w:rsidR="00D81F69" w:rsidRPr="00392EAD" w:rsidRDefault="00330118">
      <w:pPr>
        <w:pStyle w:val="Heading5"/>
        <w:tabs>
          <w:tab w:val="right" w:pos="9868"/>
        </w:tabs>
        <w:spacing w:before="10"/>
        <w:ind w:left="382" w:right="0"/>
        <w:jc w:val="left"/>
        <w:rPr>
          <w:rFonts w:ascii="Calibri" w:hAnsi="Calibri"/>
          <w:lang w:val="pt-BR"/>
        </w:rPr>
      </w:pPr>
      <w:r w:rsidRPr="00392EAD">
        <w:rPr>
          <w:rFonts w:ascii="Calibri" w:hAnsi="Calibri"/>
          <w:lang w:val="pt-BR"/>
        </w:rPr>
        <w:t>Garimpo de ouro contamina meio ambiente em</w:t>
      </w:r>
      <w:r w:rsidRPr="00392EAD">
        <w:rPr>
          <w:rFonts w:ascii="Calibri" w:hAnsi="Calibri"/>
          <w:spacing w:val="-29"/>
          <w:lang w:val="pt-BR"/>
        </w:rPr>
        <w:t xml:space="preserve"> </w:t>
      </w:r>
      <w:r w:rsidRPr="00392EAD">
        <w:rPr>
          <w:rFonts w:ascii="Calibri" w:hAnsi="Calibri"/>
          <w:lang w:val="pt-BR"/>
        </w:rPr>
        <w:t>Poconé</w:t>
      </w:r>
      <w:r w:rsidRPr="00392EAD">
        <w:rPr>
          <w:rFonts w:ascii="Calibri" w:hAnsi="Calibri"/>
          <w:spacing w:val="-4"/>
          <w:lang w:val="pt-BR"/>
        </w:rPr>
        <w:t xml:space="preserve"> </w:t>
      </w:r>
      <w:r w:rsidRPr="00392EAD">
        <w:rPr>
          <w:rFonts w:ascii="Calibri" w:hAnsi="Calibri"/>
          <w:lang w:val="pt-BR"/>
        </w:rPr>
        <w:t>(MT)..........................................................</w:t>
      </w:r>
      <w:r w:rsidRPr="00392EAD">
        <w:rPr>
          <w:rFonts w:ascii="Calibri" w:hAnsi="Calibri"/>
          <w:lang w:val="pt-BR"/>
        </w:rPr>
        <w:tab/>
        <w:t>217</w:t>
      </w:r>
    </w:p>
    <w:p w:rsidR="00D81F69" w:rsidRDefault="00D81F69">
      <w:pPr>
        <w:pStyle w:val="Corpodetexto"/>
        <w:spacing w:line="20" w:lineRule="exact"/>
        <w:ind w:left="269"/>
        <w:jc w:val="left"/>
        <w:rPr>
          <w:rFonts w:ascii="Calibri"/>
          <w:sz w:val="2"/>
        </w:rPr>
      </w:pPr>
      <w:r w:rsidRPr="00D81F69">
        <w:rPr>
          <w:rFonts w:ascii="Calibri"/>
          <w:sz w:val="2"/>
        </w:rPr>
      </w:r>
      <w:r>
        <w:rPr>
          <w:rFonts w:ascii="Calibri"/>
          <w:sz w:val="2"/>
        </w:rPr>
        <w:pict>
          <v:group id="_x0000_s1045" style="width:496.2pt;height:.5pt;mso-position-horizontal-relative:char;mso-position-vertical-relative:line" coordsize="9924,10">
            <v:line id="_x0000_s1046" style="position:absolute" from="0,5" to="9924,5" strokeweight=".48pt"/>
            <w10:wrap type="none"/>
            <w10:anchorlock/>
          </v:group>
        </w:pict>
      </w:r>
    </w:p>
    <w:p w:rsidR="00D81F69" w:rsidRDefault="00D81F69">
      <w:pPr>
        <w:spacing w:line="20" w:lineRule="exact"/>
        <w:rPr>
          <w:rFonts w:ascii="Calibri"/>
          <w:sz w:val="2"/>
        </w:rPr>
        <w:sectPr w:rsidR="00D81F69">
          <w:type w:val="continuous"/>
          <w:pgSz w:w="11910" w:h="16840"/>
          <w:pgMar w:top="720" w:right="738" w:bottom="280" w:left="860" w:header="720" w:footer="720" w:gutter="0"/>
          <w:cols w:space="720"/>
        </w:sectPr>
      </w:pPr>
    </w:p>
    <w:p w:rsidR="00D81F69" w:rsidRPr="00392EAD" w:rsidRDefault="00330118">
      <w:pPr>
        <w:spacing w:before="10"/>
        <w:ind w:left="382"/>
        <w:rPr>
          <w:rFonts w:ascii="Calibri" w:hAnsi="Calibri"/>
          <w:lang w:val="pt-BR"/>
        </w:rPr>
      </w:pPr>
      <w:r w:rsidRPr="00392EAD">
        <w:rPr>
          <w:rFonts w:ascii="Calibri" w:hAnsi="Calibri"/>
          <w:lang w:val="pt-BR"/>
        </w:rPr>
        <w:lastRenderedPageBreak/>
        <w:t>Parceria intersetorial visa recuperar áreas afetadas por extração de ouro em Peixoto de Azevedo</w:t>
      </w:r>
    </w:p>
    <w:p w:rsidR="00D81F69" w:rsidRPr="00392EAD" w:rsidRDefault="00330118">
      <w:pPr>
        <w:spacing w:before="144" w:line="148" w:lineRule="exact"/>
        <w:ind w:left="382"/>
        <w:rPr>
          <w:rFonts w:ascii="Calibri"/>
          <w:lang w:val="pt-BR"/>
        </w:rPr>
      </w:pPr>
      <w:r w:rsidRPr="00392EAD">
        <w:rPr>
          <w:lang w:val="pt-BR"/>
        </w:rPr>
        <w:br w:type="column"/>
      </w:r>
      <w:r w:rsidRPr="00392EAD">
        <w:rPr>
          <w:rFonts w:ascii="Calibri"/>
          <w:lang w:val="pt-BR"/>
        </w:rPr>
        <w:lastRenderedPageBreak/>
        <w:t>220</w:t>
      </w:r>
    </w:p>
    <w:p w:rsidR="00D81F69" w:rsidRPr="00392EAD" w:rsidRDefault="00D81F69">
      <w:pPr>
        <w:spacing w:line="148" w:lineRule="exact"/>
        <w:rPr>
          <w:rFonts w:ascii="Calibri"/>
          <w:lang w:val="pt-BR"/>
        </w:rPr>
        <w:sectPr w:rsidR="00D81F69" w:rsidRPr="00392EAD">
          <w:type w:val="continuous"/>
          <w:pgSz w:w="11910" w:h="16840"/>
          <w:pgMar w:top="720" w:right="738" w:bottom="280" w:left="860" w:header="720" w:footer="720" w:gutter="0"/>
          <w:cols w:num="2" w:space="720" w:equalWidth="0">
            <w:col w:w="9047" w:space="104"/>
            <w:col w:w="1161"/>
          </w:cols>
        </w:sectPr>
      </w:pPr>
    </w:p>
    <w:p w:rsidR="00D81F69" w:rsidRPr="00392EAD" w:rsidRDefault="00330118">
      <w:pPr>
        <w:pStyle w:val="Heading5"/>
        <w:tabs>
          <w:tab w:val="left" w:pos="10197"/>
        </w:tabs>
        <w:spacing w:line="255" w:lineRule="exact"/>
        <w:ind w:left="274" w:right="0"/>
        <w:jc w:val="left"/>
        <w:rPr>
          <w:rFonts w:ascii="Calibri"/>
          <w:lang w:val="pt-BR"/>
        </w:rPr>
      </w:pPr>
      <w:r w:rsidRPr="00392EAD">
        <w:rPr>
          <w:rFonts w:ascii="Times New Roman"/>
          <w:w w:val="99"/>
          <w:u w:val="single"/>
          <w:lang w:val="pt-BR"/>
        </w:rPr>
        <w:lastRenderedPageBreak/>
        <w:t xml:space="preserve"> </w:t>
      </w:r>
      <w:r w:rsidRPr="00392EAD">
        <w:rPr>
          <w:rFonts w:ascii="Times New Roman"/>
          <w:spacing w:val="-3"/>
          <w:u w:val="single"/>
          <w:lang w:val="pt-BR"/>
        </w:rPr>
        <w:t xml:space="preserve"> </w:t>
      </w:r>
      <w:r w:rsidRPr="00392EAD">
        <w:rPr>
          <w:rFonts w:ascii="Calibri"/>
          <w:u w:val="single"/>
          <w:lang w:val="pt-BR"/>
        </w:rPr>
        <w:t>(MT).....................................................................................................................................................</w:t>
      </w:r>
      <w:r w:rsidRPr="00392EAD">
        <w:rPr>
          <w:rFonts w:ascii="Calibri"/>
          <w:u w:val="single"/>
          <w:lang w:val="pt-BR"/>
        </w:rPr>
        <w:tab/>
      </w:r>
    </w:p>
    <w:p w:rsidR="00D81F69" w:rsidRPr="00392EAD" w:rsidRDefault="00330118">
      <w:pPr>
        <w:tabs>
          <w:tab w:val="right" w:pos="9867"/>
        </w:tabs>
        <w:spacing w:before="10"/>
        <w:ind w:left="382"/>
        <w:rPr>
          <w:rFonts w:ascii="Calibri" w:hAnsi="Calibri"/>
          <w:lang w:val="pt-BR"/>
        </w:rPr>
      </w:pPr>
      <w:r w:rsidRPr="00392EAD">
        <w:rPr>
          <w:rFonts w:ascii="Calibri" w:hAnsi="Calibri"/>
          <w:lang w:val="pt-BR"/>
        </w:rPr>
        <w:t>Exploração de diamantes afeta rio Araguaia</w:t>
      </w:r>
      <w:r w:rsidRPr="00392EAD">
        <w:rPr>
          <w:rFonts w:ascii="Calibri" w:hAnsi="Calibri"/>
          <w:spacing w:val="-26"/>
          <w:lang w:val="pt-BR"/>
        </w:rPr>
        <w:t xml:space="preserve"> </w:t>
      </w:r>
      <w:r w:rsidRPr="00392EAD">
        <w:rPr>
          <w:rFonts w:ascii="Calibri" w:hAnsi="Calibri"/>
          <w:lang w:val="pt-BR"/>
        </w:rPr>
        <w:t>(MT/GO)</w:t>
      </w:r>
      <w:r w:rsidRPr="00392EAD">
        <w:rPr>
          <w:rFonts w:ascii="Calibri" w:hAnsi="Calibri"/>
          <w:spacing w:val="-4"/>
          <w:lang w:val="pt-BR"/>
        </w:rPr>
        <w:t xml:space="preserve"> </w:t>
      </w:r>
      <w:r w:rsidRPr="00392EAD">
        <w:rPr>
          <w:rFonts w:ascii="Calibri" w:hAnsi="Calibri"/>
          <w:lang w:val="pt-BR"/>
        </w:rPr>
        <w:t>..................................................</w:t>
      </w:r>
      <w:r w:rsidRPr="00392EAD">
        <w:rPr>
          <w:rFonts w:ascii="Calibri" w:hAnsi="Calibri"/>
          <w:lang w:val="pt-BR"/>
        </w:rPr>
        <w:t>....................</w:t>
      </w:r>
      <w:r w:rsidRPr="00392EAD">
        <w:rPr>
          <w:rFonts w:ascii="Calibri" w:hAnsi="Calibri"/>
          <w:lang w:val="pt-BR"/>
        </w:rPr>
        <w:tab/>
        <w:t>223</w:t>
      </w:r>
    </w:p>
    <w:p w:rsidR="00D81F69" w:rsidRDefault="00D81F69">
      <w:pPr>
        <w:pStyle w:val="Corpodetexto"/>
        <w:spacing w:line="20" w:lineRule="exact"/>
        <w:ind w:left="254"/>
        <w:jc w:val="left"/>
        <w:rPr>
          <w:rFonts w:ascii="Calibri"/>
          <w:sz w:val="2"/>
        </w:rPr>
      </w:pPr>
      <w:r w:rsidRPr="00D81F69">
        <w:rPr>
          <w:rFonts w:ascii="Calibri"/>
          <w:sz w:val="2"/>
        </w:rPr>
      </w:r>
      <w:r>
        <w:rPr>
          <w:rFonts w:ascii="Calibri"/>
          <w:sz w:val="2"/>
        </w:rPr>
        <w:pict>
          <v:group id="_x0000_s1042" style="width:496.95pt;height:.5pt;mso-position-horizontal-relative:char;mso-position-vertical-relative:line" coordsize="9939,10">
            <v:line id="_x0000_s1044" style="position:absolute" from="0,5" to="8946,5" strokeweight=".48pt"/>
            <v:line id="_x0000_s1043" style="position:absolute" from="8932,5" to="9938,5" strokeweight=".48pt"/>
            <w10:wrap type="none"/>
            <w10:anchorlock/>
          </v:group>
        </w:pict>
      </w:r>
    </w:p>
    <w:p w:rsidR="00D81F69" w:rsidRDefault="00D81F69">
      <w:pPr>
        <w:pStyle w:val="Corpodetexto"/>
        <w:ind w:left="0"/>
        <w:jc w:val="left"/>
        <w:rPr>
          <w:rFonts w:ascii="Calibri"/>
          <w:sz w:val="20"/>
        </w:rPr>
      </w:pPr>
    </w:p>
    <w:p w:rsidR="00D81F69" w:rsidRDefault="00D81F69">
      <w:pPr>
        <w:pStyle w:val="Corpodetexto"/>
        <w:spacing w:before="6"/>
        <w:ind w:left="0"/>
        <w:jc w:val="left"/>
        <w:rPr>
          <w:rFonts w:ascii="Calibri"/>
          <w:sz w:val="29"/>
        </w:rPr>
      </w:pPr>
    </w:p>
    <w:p w:rsidR="00D81F69" w:rsidRPr="00392EAD" w:rsidRDefault="00330118">
      <w:pPr>
        <w:tabs>
          <w:tab w:val="left" w:pos="10197"/>
        </w:tabs>
        <w:spacing w:before="87"/>
        <w:ind w:left="274"/>
        <w:rPr>
          <w:rFonts w:ascii="Calibri" w:hAnsi="Calibri"/>
          <w:b/>
          <w:lang w:val="pt-BR"/>
        </w:rPr>
      </w:pPr>
      <w:r>
        <w:rPr>
          <w:rFonts w:ascii="Times New Roman" w:hAnsi="Times New Roman"/>
          <w:w w:val="99"/>
          <w:u w:val="single"/>
        </w:rPr>
        <w:t xml:space="preserve"> </w:t>
      </w:r>
      <w:r>
        <w:rPr>
          <w:rFonts w:ascii="Times New Roman" w:hAnsi="Times New Roman"/>
          <w:spacing w:val="-2"/>
          <w:u w:val="single"/>
        </w:rPr>
        <w:t xml:space="preserve"> </w:t>
      </w:r>
      <w:r w:rsidRPr="00392EAD">
        <w:rPr>
          <w:rFonts w:ascii="Calibri" w:hAnsi="Calibri"/>
          <w:b/>
          <w:u w:val="single"/>
          <w:lang w:val="pt-BR"/>
        </w:rPr>
        <w:t>REGIÃO</w:t>
      </w:r>
      <w:r w:rsidRPr="00392EAD">
        <w:rPr>
          <w:rFonts w:ascii="Calibri" w:hAnsi="Calibri"/>
          <w:b/>
          <w:spacing w:val="-4"/>
          <w:u w:val="single"/>
          <w:lang w:val="pt-BR"/>
        </w:rPr>
        <w:t xml:space="preserve"> </w:t>
      </w:r>
      <w:r w:rsidRPr="00392EAD">
        <w:rPr>
          <w:rFonts w:ascii="Calibri" w:hAnsi="Calibri"/>
          <w:b/>
          <w:u w:val="single"/>
          <w:lang w:val="pt-BR"/>
        </w:rPr>
        <w:t>SUDESTE</w:t>
      </w:r>
      <w:r w:rsidRPr="00392EAD">
        <w:rPr>
          <w:rFonts w:ascii="Calibri" w:hAnsi="Calibri"/>
          <w:b/>
          <w:u w:val="single"/>
          <w:lang w:val="pt-BR"/>
        </w:rPr>
        <w:tab/>
      </w:r>
    </w:p>
    <w:p w:rsidR="00D81F69" w:rsidRPr="00392EAD" w:rsidRDefault="00330118">
      <w:pPr>
        <w:spacing w:before="10"/>
        <w:ind w:left="381"/>
        <w:rPr>
          <w:rFonts w:ascii="Calibri" w:hAnsi="Calibri"/>
          <w:b/>
          <w:lang w:val="pt-BR"/>
        </w:rPr>
      </w:pPr>
      <w:r w:rsidRPr="00392EAD">
        <w:rPr>
          <w:rFonts w:ascii="Calibri" w:hAnsi="Calibri"/>
          <w:b/>
          <w:lang w:val="pt-BR"/>
        </w:rPr>
        <w:t>O peso da mineração na Região Sudeste</w:t>
      </w:r>
    </w:p>
    <w:p w:rsidR="00D81F69" w:rsidRPr="00392EAD" w:rsidRDefault="00330118">
      <w:pPr>
        <w:tabs>
          <w:tab w:val="right" w:pos="9868"/>
        </w:tabs>
        <w:ind w:left="381"/>
        <w:rPr>
          <w:rFonts w:ascii="Calibri"/>
          <w:lang w:val="pt-BR"/>
        </w:rPr>
      </w:pPr>
      <w:r w:rsidRPr="00392EAD">
        <w:rPr>
          <w:rFonts w:ascii="Calibri"/>
          <w:i/>
          <w:lang w:val="pt-BR"/>
        </w:rPr>
        <w:t>Renata de Carvalho Jimenez Alamino, Rodrigo Braga da Rocha Villa Verde e</w:t>
      </w:r>
      <w:r w:rsidRPr="00392EAD">
        <w:rPr>
          <w:rFonts w:ascii="Calibri"/>
          <w:i/>
          <w:spacing w:val="-18"/>
          <w:lang w:val="pt-BR"/>
        </w:rPr>
        <w:t xml:space="preserve"> </w:t>
      </w:r>
      <w:r w:rsidRPr="00392EAD">
        <w:rPr>
          <w:rFonts w:ascii="Calibri"/>
          <w:i/>
          <w:lang w:val="pt-BR"/>
        </w:rPr>
        <w:t>Francisco</w:t>
      </w:r>
      <w:r w:rsidRPr="00392EAD">
        <w:rPr>
          <w:rFonts w:ascii="Calibri"/>
          <w:i/>
          <w:spacing w:val="-1"/>
          <w:lang w:val="pt-BR"/>
        </w:rPr>
        <w:t xml:space="preserve"> </w:t>
      </w:r>
      <w:r w:rsidRPr="00392EAD">
        <w:rPr>
          <w:rFonts w:ascii="Calibri"/>
          <w:i/>
          <w:lang w:val="pt-BR"/>
        </w:rPr>
        <w:t>Rego</w:t>
      </w:r>
      <w:r w:rsidRPr="00392EAD">
        <w:rPr>
          <w:rFonts w:ascii="Calibri"/>
          <w:i/>
          <w:lang w:val="pt-BR"/>
        </w:rPr>
        <w:tab/>
      </w:r>
      <w:r w:rsidRPr="00392EAD">
        <w:rPr>
          <w:rFonts w:ascii="Calibri"/>
          <w:lang w:val="pt-BR"/>
        </w:rPr>
        <w:t>226</w:t>
      </w:r>
    </w:p>
    <w:p w:rsidR="00D81F69" w:rsidRDefault="00330118">
      <w:pPr>
        <w:tabs>
          <w:tab w:val="left" w:pos="10197"/>
        </w:tabs>
        <w:spacing w:line="268" w:lineRule="exact"/>
        <w:ind w:left="259"/>
        <w:rPr>
          <w:rFonts w:ascii="Calibri"/>
        </w:rPr>
      </w:pPr>
      <w:r w:rsidRPr="00392EAD">
        <w:rPr>
          <w:rFonts w:ascii="Times New Roman"/>
          <w:w w:val="99"/>
          <w:u w:val="single"/>
          <w:lang w:val="pt-BR"/>
        </w:rPr>
        <w:t xml:space="preserve"> </w:t>
      </w:r>
      <w:r w:rsidRPr="00392EAD">
        <w:rPr>
          <w:rFonts w:ascii="Times New Roman"/>
          <w:spacing w:val="11"/>
          <w:u w:val="single"/>
          <w:lang w:val="pt-BR"/>
        </w:rPr>
        <w:t xml:space="preserve"> </w:t>
      </w:r>
      <w:r>
        <w:rPr>
          <w:rFonts w:ascii="Calibri"/>
          <w:i/>
          <w:spacing w:val="-1"/>
          <w:u w:val="single"/>
        </w:rPr>
        <w:t>Chaves</w:t>
      </w:r>
      <w:r>
        <w:rPr>
          <w:rFonts w:ascii="Calibri"/>
          <w:i/>
          <w:spacing w:val="21"/>
          <w:u w:val="single"/>
        </w:rPr>
        <w:t xml:space="preserve"> </w:t>
      </w:r>
      <w:r>
        <w:rPr>
          <w:rFonts w:ascii="Calibri"/>
          <w:i/>
          <w:spacing w:val="-1"/>
          <w:u w:val="single"/>
        </w:rPr>
        <w:t>Fernandes</w:t>
      </w:r>
      <w:r>
        <w:rPr>
          <w:rFonts w:ascii="Calibri"/>
          <w:spacing w:val="-1"/>
          <w:u w:val="single"/>
        </w:rPr>
        <w:t>......................................................................................................................</w:t>
      </w:r>
      <w:r>
        <w:rPr>
          <w:rFonts w:ascii="Calibri"/>
          <w:spacing w:val="-1"/>
          <w:u w:val="single"/>
        </w:rPr>
        <w:tab/>
      </w:r>
    </w:p>
    <w:p w:rsidR="00D81F69" w:rsidRDefault="00D81F69">
      <w:pPr>
        <w:spacing w:line="268" w:lineRule="exact"/>
        <w:rPr>
          <w:rFonts w:ascii="Calibri"/>
        </w:rPr>
        <w:sectPr w:rsidR="00D81F69">
          <w:type w:val="continuous"/>
          <w:pgSz w:w="11910" w:h="16840"/>
          <w:pgMar w:top="720" w:right="738" w:bottom="280" w:left="860" w:header="720" w:footer="720" w:gutter="0"/>
          <w:cols w:space="720"/>
        </w:sectPr>
      </w:pPr>
    </w:p>
    <w:tbl>
      <w:tblPr>
        <w:tblStyle w:val="TableNormal"/>
        <w:tblW w:w="0" w:type="auto"/>
        <w:tblInd w:w="267" w:type="dxa"/>
        <w:tblLayout w:type="fixed"/>
        <w:tblLook w:val="01E0"/>
      </w:tblPr>
      <w:tblGrid>
        <w:gridCol w:w="9047"/>
        <w:gridCol w:w="882"/>
      </w:tblGrid>
      <w:tr w:rsidR="00D81F69">
        <w:trPr>
          <w:trHeight w:val="560"/>
        </w:trPr>
        <w:tc>
          <w:tcPr>
            <w:tcW w:w="9047" w:type="dxa"/>
            <w:tcBorders>
              <w:top w:val="single" w:sz="4" w:space="0" w:color="000000"/>
            </w:tcBorders>
          </w:tcPr>
          <w:p w:rsidR="00D81F69" w:rsidRPr="00392EAD" w:rsidRDefault="00330118">
            <w:pPr>
              <w:pStyle w:val="TableParagraph"/>
              <w:spacing w:line="264" w:lineRule="exact"/>
              <w:rPr>
                <w:lang w:val="pt-BR"/>
              </w:rPr>
            </w:pPr>
            <w:r w:rsidRPr="00392EAD">
              <w:rPr>
                <w:lang w:val="pt-BR"/>
              </w:rPr>
              <w:lastRenderedPageBreak/>
              <w:t>APLs de rochas ornamentais no Espírito Santo buscam soluções para efeitos da atividade</w:t>
            </w:r>
          </w:p>
          <w:p w:rsidR="00D81F69" w:rsidRDefault="00330118">
            <w:pPr>
              <w:pStyle w:val="TableParagraph"/>
              <w:tabs>
                <w:tab w:val="left" w:pos="9928"/>
              </w:tabs>
              <w:spacing w:line="267" w:lineRule="exact"/>
              <w:ind w:left="7" w:right="-893"/>
            </w:pPr>
            <w:r w:rsidRPr="00392EAD">
              <w:rPr>
                <w:u w:val="single"/>
                <w:lang w:val="pt-BR"/>
              </w:rPr>
              <w:t xml:space="preserve"> </w:t>
            </w:r>
            <w:r w:rsidRPr="00392EAD">
              <w:rPr>
                <w:spacing w:val="5"/>
                <w:u w:val="single"/>
                <w:lang w:val="pt-BR"/>
              </w:rPr>
              <w:t xml:space="preserve"> </w:t>
            </w:r>
            <w:r>
              <w:rPr>
                <w:u w:val="single"/>
              </w:rPr>
              <w:t>minerária.............................................................................................................................................</w:t>
            </w:r>
            <w:r>
              <w:rPr>
                <w:u w:val="single"/>
              </w:rPr>
              <w:tab/>
            </w:r>
          </w:p>
        </w:tc>
        <w:tc>
          <w:tcPr>
            <w:tcW w:w="882" w:type="dxa"/>
            <w:tcBorders>
              <w:top w:val="single" w:sz="4" w:space="0" w:color="000000"/>
            </w:tcBorders>
          </w:tcPr>
          <w:p w:rsidR="00D81F69" w:rsidRDefault="00330118">
            <w:pPr>
              <w:pStyle w:val="TableParagraph"/>
              <w:spacing w:before="131" w:line="240" w:lineRule="auto"/>
              <w:ind w:left="219"/>
            </w:pPr>
            <w:r>
              <w:t>234</w:t>
            </w:r>
          </w:p>
        </w:tc>
      </w:tr>
      <w:tr w:rsidR="00D81F69">
        <w:trPr>
          <w:trHeight w:val="547"/>
        </w:trPr>
        <w:tc>
          <w:tcPr>
            <w:tcW w:w="9047" w:type="dxa"/>
          </w:tcPr>
          <w:p w:rsidR="00D81F69" w:rsidRPr="00392EAD" w:rsidRDefault="00330118">
            <w:pPr>
              <w:pStyle w:val="TableParagraph"/>
              <w:spacing w:line="251" w:lineRule="exact"/>
              <w:rPr>
                <w:lang w:val="pt-BR"/>
              </w:rPr>
            </w:pPr>
            <w:r w:rsidRPr="00392EAD">
              <w:rPr>
                <w:lang w:val="pt-BR"/>
              </w:rPr>
              <w:t>Emissão de poeira mineral na manufatura de pedra-sabão afeta comunidade de Mata dos</w:t>
            </w:r>
          </w:p>
          <w:p w:rsidR="00D81F69" w:rsidRDefault="00330118">
            <w:pPr>
              <w:pStyle w:val="TableParagraph"/>
              <w:tabs>
                <w:tab w:val="left" w:pos="9928"/>
              </w:tabs>
              <w:spacing w:line="267" w:lineRule="exact"/>
              <w:ind w:left="7" w:right="-893"/>
            </w:pPr>
            <w:r w:rsidRPr="00392EAD">
              <w:rPr>
                <w:u w:val="single"/>
                <w:lang w:val="pt-BR"/>
              </w:rPr>
              <w:t xml:space="preserve"> </w:t>
            </w:r>
            <w:r w:rsidRPr="00392EAD">
              <w:rPr>
                <w:spacing w:val="5"/>
                <w:u w:val="single"/>
                <w:lang w:val="pt-BR"/>
              </w:rPr>
              <w:t xml:space="preserve"> </w:t>
            </w:r>
            <w:r>
              <w:rPr>
                <w:spacing w:val="-1"/>
                <w:u w:val="single"/>
              </w:rPr>
              <w:t>Palmitos</w:t>
            </w:r>
            <w:r>
              <w:rPr>
                <w:spacing w:val="17"/>
                <w:u w:val="single"/>
              </w:rPr>
              <w:t xml:space="preserve"> </w:t>
            </w:r>
            <w:r>
              <w:rPr>
                <w:spacing w:val="-1"/>
                <w:u w:val="single"/>
              </w:rPr>
              <w:t>(MG)</w:t>
            </w:r>
            <w:r>
              <w:rPr>
                <w:spacing w:val="-1"/>
                <w:u w:val="single"/>
              </w:rPr>
              <w:t>.....................................................................................................................................</w:t>
            </w:r>
            <w:r>
              <w:rPr>
                <w:spacing w:val="-1"/>
                <w:u w:val="single"/>
              </w:rPr>
              <w:tab/>
            </w:r>
          </w:p>
        </w:tc>
        <w:tc>
          <w:tcPr>
            <w:tcW w:w="882" w:type="dxa"/>
          </w:tcPr>
          <w:p w:rsidR="00D81F69" w:rsidRDefault="00330118">
            <w:pPr>
              <w:pStyle w:val="TableParagraph"/>
              <w:spacing w:before="115" w:line="240" w:lineRule="auto"/>
              <w:ind w:left="219"/>
            </w:pPr>
            <w:r>
              <w:t>238</w:t>
            </w:r>
          </w:p>
        </w:tc>
      </w:tr>
      <w:tr w:rsidR="00D81F69">
        <w:trPr>
          <w:trHeight w:val="545"/>
        </w:trPr>
        <w:tc>
          <w:tcPr>
            <w:tcW w:w="9047" w:type="dxa"/>
          </w:tcPr>
          <w:p w:rsidR="00D81F69" w:rsidRPr="00392EAD" w:rsidRDefault="00330118">
            <w:pPr>
              <w:pStyle w:val="TableParagraph"/>
              <w:spacing w:line="251" w:lineRule="exact"/>
              <w:rPr>
                <w:lang w:val="pt-BR"/>
              </w:rPr>
            </w:pPr>
            <w:r w:rsidRPr="00392EAD">
              <w:rPr>
                <w:lang w:val="pt-BR"/>
              </w:rPr>
              <w:t>Rompimento de barragem da Mineradora Rio Pomba Cataguases afeta qualidade da água em</w:t>
            </w:r>
          </w:p>
          <w:p w:rsidR="00D81F69" w:rsidRDefault="00330118">
            <w:pPr>
              <w:pStyle w:val="TableParagraph"/>
              <w:tabs>
                <w:tab w:val="left" w:pos="9928"/>
              </w:tabs>
              <w:spacing w:line="267" w:lineRule="exact"/>
              <w:ind w:left="7" w:right="-893"/>
            </w:pPr>
            <w:r w:rsidRPr="00392EAD">
              <w:rPr>
                <w:u w:val="single"/>
                <w:lang w:val="pt-BR"/>
              </w:rPr>
              <w:t xml:space="preserve"> </w:t>
            </w:r>
            <w:r w:rsidRPr="00392EAD">
              <w:rPr>
                <w:spacing w:val="5"/>
                <w:u w:val="single"/>
                <w:lang w:val="pt-BR"/>
              </w:rPr>
              <w:t xml:space="preserve"> </w:t>
            </w:r>
            <w:r>
              <w:rPr>
                <w:spacing w:val="-1"/>
                <w:u w:val="single"/>
              </w:rPr>
              <w:t>MG e no</w:t>
            </w:r>
            <w:r>
              <w:rPr>
                <w:spacing w:val="-28"/>
                <w:u w:val="single"/>
              </w:rPr>
              <w:t xml:space="preserve"> </w:t>
            </w:r>
            <w:r>
              <w:rPr>
                <w:spacing w:val="-1"/>
                <w:u w:val="single"/>
              </w:rPr>
              <w:t>RJ..........................................................................................................................................</w:t>
            </w:r>
            <w:r>
              <w:rPr>
                <w:spacing w:val="-1"/>
                <w:u w:val="single"/>
              </w:rPr>
              <w:tab/>
            </w:r>
          </w:p>
        </w:tc>
        <w:tc>
          <w:tcPr>
            <w:tcW w:w="882" w:type="dxa"/>
          </w:tcPr>
          <w:p w:rsidR="00D81F69" w:rsidRDefault="00330118">
            <w:pPr>
              <w:pStyle w:val="TableParagraph"/>
              <w:spacing w:before="115" w:line="240" w:lineRule="auto"/>
              <w:ind w:left="219"/>
            </w:pPr>
            <w:r>
              <w:t>241</w:t>
            </w:r>
          </w:p>
        </w:tc>
      </w:tr>
      <w:tr w:rsidR="00D81F69">
        <w:trPr>
          <w:trHeight w:val="547"/>
        </w:trPr>
        <w:tc>
          <w:tcPr>
            <w:tcW w:w="9047" w:type="dxa"/>
          </w:tcPr>
          <w:p w:rsidR="00D81F69" w:rsidRPr="00392EAD" w:rsidRDefault="00330118">
            <w:pPr>
              <w:pStyle w:val="TableParagraph"/>
              <w:spacing w:line="251" w:lineRule="exact"/>
              <w:rPr>
                <w:lang w:val="pt-BR"/>
              </w:rPr>
            </w:pPr>
            <w:r w:rsidRPr="00392EAD">
              <w:rPr>
                <w:lang w:val="pt-BR"/>
              </w:rPr>
              <w:t>Expansão da atividade mineradora em Congonhas (MG) pode agravar impactos ambientais no</w:t>
            </w:r>
          </w:p>
          <w:p w:rsidR="00D81F69" w:rsidRDefault="00330118">
            <w:pPr>
              <w:pStyle w:val="TableParagraph"/>
              <w:tabs>
                <w:tab w:val="left" w:pos="9928"/>
              </w:tabs>
              <w:spacing w:line="240" w:lineRule="auto"/>
              <w:ind w:left="7" w:right="-893"/>
            </w:pPr>
            <w:r w:rsidRPr="00392EAD">
              <w:rPr>
                <w:u w:val="single"/>
                <w:lang w:val="pt-BR"/>
              </w:rPr>
              <w:t xml:space="preserve"> </w:t>
            </w:r>
            <w:r w:rsidRPr="00392EAD">
              <w:rPr>
                <w:spacing w:val="5"/>
                <w:u w:val="single"/>
                <w:lang w:val="pt-BR"/>
              </w:rPr>
              <w:t xml:space="preserve"> </w:t>
            </w:r>
            <w:r>
              <w:rPr>
                <w:u w:val="single"/>
              </w:rPr>
              <w:t>município...........</w:t>
            </w:r>
            <w:r>
              <w:rPr>
                <w:u w:val="single"/>
              </w:rPr>
              <w:t>.................................................................................................................................</w:t>
            </w:r>
            <w:r>
              <w:rPr>
                <w:u w:val="single"/>
              </w:rPr>
              <w:tab/>
            </w:r>
          </w:p>
        </w:tc>
        <w:tc>
          <w:tcPr>
            <w:tcW w:w="882" w:type="dxa"/>
          </w:tcPr>
          <w:p w:rsidR="00D81F69" w:rsidRDefault="00330118">
            <w:pPr>
              <w:pStyle w:val="TableParagraph"/>
              <w:spacing w:before="117" w:line="240" w:lineRule="auto"/>
              <w:ind w:left="219"/>
            </w:pPr>
            <w:r>
              <w:t>245</w:t>
            </w:r>
          </w:p>
        </w:tc>
      </w:tr>
      <w:tr w:rsidR="00D81F69">
        <w:trPr>
          <w:trHeight w:val="547"/>
        </w:trPr>
        <w:tc>
          <w:tcPr>
            <w:tcW w:w="9047" w:type="dxa"/>
          </w:tcPr>
          <w:p w:rsidR="00D81F69" w:rsidRPr="00392EAD" w:rsidRDefault="00330118">
            <w:pPr>
              <w:pStyle w:val="TableParagraph"/>
              <w:spacing w:line="251" w:lineRule="exact"/>
              <w:rPr>
                <w:lang w:val="pt-BR"/>
              </w:rPr>
            </w:pPr>
            <w:r w:rsidRPr="00392EAD">
              <w:rPr>
                <w:lang w:val="pt-BR"/>
              </w:rPr>
              <w:t>Exploração de minério de ferro em Conceição do Mato Dentro (MG) afeta meio social e</w:t>
            </w:r>
          </w:p>
          <w:p w:rsidR="00D81F69" w:rsidRDefault="00330118">
            <w:pPr>
              <w:pStyle w:val="TableParagraph"/>
              <w:tabs>
                <w:tab w:val="left" w:pos="9928"/>
              </w:tabs>
              <w:spacing w:line="240" w:lineRule="auto"/>
              <w:ind w:left="7" w:right="-893"/>
            </w:pPr>
            <w:r w:rsidRPr="00392EAD">
              <w:rPr>
                <w:u w:val="single"/>
                <w:lang w:val="pt-BR"/>
              </w:rPr>
              <w:t xml:space="preserve"> </w:t>
            </w:r>
            <w:r w:rsidRPr="00392EAD">
              <w:rPr>
                <w:spacing w:val="5"/>
                <w:u w:val="single"/>
                <w:lang w:val="pt-BR"/>
              </w:rPr>
              <w:t xml:space="preserve"> </w:t>
            </w:r>
            <w:r>
              <w:rPr>
                <w:u w:val="single"/>
              </w:rPr>
              <w:t>ambiente.............................................................................................................................................</w:t>
            </w:r>
            <w:r>
              <w:rPr>
                <w:u w:val="single"/>
              </w:rPr>
              <w:tab/>
            </w:r>
          </w:p>
        </w:tc>
        <w:tc>
          <w:tcPr>
            <w:tcW w:w="882" w:type="dxa"/>
          </w:tcPr>
          <w:p w:rsidR="00D81F69" w:rsidRDefault="00330118">
            <w:pPr>
              <w:pStyle w:val="TableParagraph"/>
              <w:spacing w:before="117" w:line="240" w:lineRule="auto"/>
              <w:ind w:left="219"/>
            </w:pPr>
            <w:r>
              <w:t>249</w:t>
            </w:r>
          </w:p>
        </w:tc>
      </w:tr>
      <w:tr w:rsidR="00D81F69">
        <w:trPr>
          <w:trHeight w:val="256"/>
        </w:trPr>
        <w:tc>
          <w:tcPr>
            <w:tcW w:w="9047" w:type="dxa"/>
            <w:tcBorders>
              <w:bottom w:val="single" w:sz="4" w:space="0" w:color="000000"/>
            </w:tcBorders>
          </w:tcPr>
          <w:p w:rsidR="00D81F69" w:rsidRPr="00392EAD" w:rsidRDefault="00330118">
            <w:pPr>
              <w:pStyle w:val="TableParagraph"/>
              <w:rPr>
                <w:lang w:val="pt-BR"/>
              </w:rPr>
            </w:pPr>
            <w:r w:rsidRPr="00392EAD">
              <w:rPr>
                <w:lang w:val="pt-BR"/>
              </w:rPr>
              <w:t>Mineração de ferro em Itabira (MG) deixa passivo socioambiental e econômico ........................</w:t>
            </w:r>
            <w:r w:rsidRPr="00392EAD">
              <w:rPr>
                <w:lang w:val="pt-BR"/>
              </w:rPr>
              <w:t>.....</w:t>
            </w:r>
          </w:p>
        </w:tc>
        <w:tc>
          <w:tcPr>
            <w:tcW w:w="882" w:type="dxa"/>
            <w:tcBorders>
              <w:bottom w:val="single" w:sz="4" w:space="0" w:color="000000"/>
            </w:tcBorders>
          </w:tcPr>
          <w:p w:rsidR="00D81F69" w:rsidRDefault="00330118">
            <w:pPr>
              <w:pStyle w:val="TableParagraph"/>
              <w:ind w:left="219"/>
            </w:pPr>
            <w:r>
              <w:t>253</w:t>
            </w:r>
          </w:p>
        </w:tc>
      </w:tr>
      <w:tr w:rsidR="00D81F69">
        <w:trPr>
          <w:trHeight w:val="559"/>
        </w:trPr>
        <w:tc>
          <w:tcPr>
            <w:tcW w:w="9047" w:type="dxa"/>
            <w:tcBorders>
              <w:top w:val="single" w:sz="4" w:space="0" w:color="000000"/>
            </w:tcBorders>
          </w:tcPr>
          <w:p w:rsidR="00D81F69" w:rsidRPr="00392EAD" w:rsidRDefault="00330118">
            <w:pPr>
              <w:pStyle w:val="TableParagraph"/>
              <w:spacing w:line="263" w:lineRule="exact"/>
              <w:rPr>
                <w:lang w:val="pt-BR"/>
              </w:rPr>
            </w:pPr>
            <w:r w:rsidRPr="00392EAD">
              <w:rPr>
                <w:lang w:val="pt-BR"/>
              </w:rPr>
              <w:t>Complexo mina/usina de Brucutu (MG) gera crescimento econômico, mas causa impactos</w:t>
            </w:r>
          </w:p>
          <w:p w:rsidR="00D81F69" w:rsidRDefault="00330118">
            <w:pPr>
              <w:pStyle w:val="TableParagraph"/>
              <w:tabs>
                <w:tab w:val="left" w:pos="9928"/>
              </w:tabs>
              <w:spacing w:line="240" w:lineRule="auto"/>
              <w:ind w:left="7" w:right="-893"/>
            </w:pPr>
            <w:r w:rsidRPr="00392EAD">
              <w:rPr>
                <w:u w:val="single"/>
                <w:lang w:val="pt-BR"/>
              </w:rPr>
              <w:t xml:space="preserve"> </w:t>
            </w:r>
            <w:r w:rsidRPr="00392EAD">
              <w:rPr>
                <w:spacing w:val="5"/>
                <w:u w:val="single"/>
                <w:lang w:val="pt-BR"/>
              </w:rPr>
              <w:t xml:space="preserve"> </w:t>
            </w:r>
            <w:r>
              <w:rPr>
                <w:u w:val="single"/>
              </w:rPr>
              <w:t>socioambientais..................................................................................................................................</w:t>
            </w:r>
            <w:r>
              <w:rPr>
                <w:u w:val="single"/>
              </w:rPr>
              <w:tab/>
            </w:r>
          </w:p>
        </w:tc>
        <w:tc>
          <w:tcPr>
            <w:tcW w:w="882" w:type="dxa"/>
            <w:tcBorders>
              <w:top w:val="single" w:sz="4" w:space="0" w:color="000000"/>
            </w:tcBorders>
          </w:tcPr>
          <w:p w:rsidR="00D81F69" w:rsidRDefault="00330118">
            <w:pPr>
              <w:pStyle w:val="TableParagraph"/>
              <w:spacing w:before="128" w:line="240" w:lineRule="auto"/>
              <w:ind w:left="219"/>
            </w:pPr>
            <w:r>
              <w:t>257</w:t>
            </w:r>
          </w:p>
        </w:tc>
      </w:tr>
      <w:tr w:rsidR="00D81F69">
        <w:trPr>
          <w:trHeight w:val="256"/>
        </w:trPr>
        <w:tc>
          <w:tcPr>
            <w:tcW w:w="9047" w:type="dxa"/>
            <w:tcBorders>
              <w:bottom w:val="single" w:sz="4" w:space="0" w:color="000000"/>
            </w:tcBorders>
          </w:tcPr>
          <w:p w:rsidR="00D81F69" w:rsidRPr="00392EAD" w:rsidRDefault="00330118">
            <w:pPr>
              <w:pStyle w:val="TableParagraph"/>
              <w:rPr>
                <w:lang w:val="pt-BR"/>
              </w:rPr>
            </w:pPr>
            <w:r w:rsidRPr="00392EAD">
              <w:rPr>
                <w:lang w:val="pt-BR"/>
              </w:rPr>
              <w:t>Projeto Apolo pode comprometer uma das maiores geodiversidades de MG...................................</w:t>
            </w:r>
          </w:p>
        </w:tc>
        <w:tc>
          <w:tcPr>
            <w:tcW w:w="882" w:type="dxa"/>
            <w:tcBorders>
              <w:bottom w:val="single" w:sz="4" w:space="0" w:color="000000"/>
            </w:tcBorders>
          </w:tcPr>
          <w:p w:rsidR="00D81F69" w:rsidRDefault="00330118">
            <w:pPr>
              <w:pStyle w:val="TableParagraph"/>
              <w:ind w:left="219"/>
            </w:pPr>
            <w:r>
              <w:t>260</w:t>
            </w:r>
          </w:p>
        </w:tc>
      </w:tr>
      <w:tr w:rsidR="00D81F69">
        <w:trPr>
          <w:trHeight w:val="268"/>
        </w:trPr>
        <w:tc>
          <w:tcPr>
            <w:tcW w:w="9047" w:type="dxa"/>
            <w:tcBorders>
              <w:top w:val="single" w:sz="4" w:space="0" w:color="000000"/>
              <w:bottom w:val="single" w:sz="4" w:space="0" w:color="000000"/>
            </w:tcBorders>
          </w:tcPr>
          <w:p w:rsidR="00D81F69" w:rsidRPr="00392EAD" w:rsidRDefault="00330118">
            <w:pPr>
              <w:pStyle w:val="TableParagraph"/>
              <w:spacing w:line="248" w:lineRule="exact"/>
              <w:rPr>
                <w:lang w:val="pt-BR"/>
              </w:rPr>
            </w:pPr>
            <w:r w:rsidRPr="00392EAD">
              <w:rPr>
                <w:lang w:val="pt-BR"/>
              </w:rPr>
              <w:t>Exploração do minério de ferro em Serra Azul (MG) requer gestão ambiental eficiente ..................</w:t>
            </w:r>
          </w:p>
        </w:tc>
        <w:tc>
          <w:tcPr>
            <w:tcW w:w="882" w:type="dxa"/>
            <w:tcBorders>
              <w:top w:val="single" w:sz="4" w:space="0" w:color="000000"/>
              <w:bottom w:val="single" w:sz="4" w:space="0" w:color="000000"/>
            </w:tcBorders>
          </w:tcPr>
          <w:p w:rsidR="00D81F69" w:rsidRDefault="00330118">
            <w:pPr>
              <w:pStyle w:val="TableParagraph"/>
              <w:spacing w:line="248" w:lineRule="exact"/>
              <w:ind w:left="219"/>
            </w:pPr>
            <w:r>
              <w:t>263</w:t>
            </w:r>
          </w:p>
        </w:tc>
      </w:tr>
      <w:tr w:rsidR="00D81F69">
        <w:trPr>
          <w:trHeight w:val="560"/>
        </w:trPr>
        <w:tc>
          <w:tcPr>
            <w:tcW w:w="9047" w:type="dxa"/>
            <w:tcBorders>
              <w:top w:val="single" w:sz="4" w:space="0" w:color="000000"/>
            </w:tcBorders>
          </w:tcPr>
          <w:p w:rsidR="00D81F69" w:rsidRPr="00392EAD" w:rsidRDefault="00330118">
            <w:pPr>
              <w:pStyle w:val="TableParagraph"/>
              <w:spacing w:line="264" w:lineRule="exact"/>
              <w:rPr>
                <w:lang w:val="pt-BR"/>
              </w:rPr>
            </w:pPr>
            <w:r w:rsidRPr="00392EAD">
              <w:rPr>
                <w:lang w:val="pt-BR"/>
              </w:rPr>
              <w:t>População de Catas Altas (MG) reage a projetos de mineração que põem em risco a Serra do</w:t>
            </w:r>
          </w:p>
          <w:p w:rsidR="00D81F69" w:rsidRDefault="00330118">
            <w:pPr>
              <w:pStyle w:val="TableParagraph"/>
              <w:tabs>
                <w:tab w:val="left" w:pos="9928"/>
              </w:tabs>
              <w:spacing w:line="267" w:lineRule="exact"/>
              <w:ind w:left="7" w:right="-893"/>
            </w:pPr>
            <w:r w:rsidRPr="00392EAD">
              <w:rPr>
                <w:u w:val="single"/>
                <w:lang w:val="pt-BR"/>
              </w:rPr>
              <w:t xml:space="preserve"> </w:t>
            </w:r>
            <w:r w:rsidRPr="00392EAD">
              <w:rPr>
                <w:spacing w:val="5"/>
                <w:u w:val="single"/>
                <w:lang w:val="pt-BR"/>
              </w:rPr>
              <w:t xml:space="preserve"> </w:t>
            </w:r>
            <w:r>
              <w:rPr>
                <w:u w:val="single"/>
              </w:rPr>
              <w:t>Caraça..................................................................................................................................................</w:t>
            </w:r>
            <w:r>
              <w:rPr>
                <w:u w:val="single"/>
              </w:rPr>
              <w:tab/>
            </w:r>
          </w:p>
        </w:tc>
        <w:tc>
          <w:tcPr>
            <w:tcW w:w="882" w:type="dxa"/>
            <w:tcBorders>
              <w:top w:val="single" w:sz="4" w:space="0" w:color="000000"/>
            </w:tcBorders>
          </w:tcPr>
          <w:p w:rsidR="00D81F69" w:rsidRDefault="00330118">
            <w:pPr>
              <w:pStyle w:val="TableParagraph"/>
              <w:spacing w:before="128" w:line="240" w:lineRule="auto"/>
              <w:ind w:left="219"/>
            </w:pPr>
            <w:r>
              <w:t>267</w:t>
            </w:r>
          </w:p>
        </w:tc>
      </w:tr>
      <w:tr w:rsidR="00D81F69">
        <w:trPr>
          <w:trHeight w:val="255"/>
        </w:trPr>
        <w:tc>
          <w:tcPr>
            <w:tcW w:w="9047" w:type="dxa"/>
            <w:tcBorders>
              <w:bottom w:val="single" w:sz="4" w:space="0" w:color="000000"/>
            </w:tcBorders>
          </w:tcPr>
          <w:p w:rsidR="00D81F69" w:rsidRPr="00392EAD" w:rsidRDefault="00330118">
            <w:pPr>
              <w:pStyle w:val="TableParagraph"/>
              <w:spacing w:line="235" w:lineRule="exact"/>
              <w:rPr>
                <w:lang w:val="pt-BR"/>
              </w:rPr>
            </w:pPr>
            <w:r w:rsidRPr="00392EAD">
              <w:rPr>
                <w:lang w:val="pt-BR"/>
              </w:rPr>
              <w:t>População do norte de Minas teme impactos de atividades minerárias planejadas para a região....</w:t>
            </w:r>
          </w:p>
        </w:tc>
        <w:tc>
          <w:tcPr>
            <w:tcW w:w="882" w:type="dxa"/>
            <w:tcBorders>
              <w:bottom w:val="single" w:sz="4" w:space="0" w:color="000000"/>
            </w:tcBorders>
          </w:tcPr>
          <w:p w:rsidR="00D81F69" w:rsidRDefault="00330118">
            <w:pPr>
              <w:pStyle w:val="TableParagraph"/>
              <w:spacing w:line="235" w:lineRule="exact"/>
              <w:ind w:left="219"/>
            </w:pPr>
            <w:r>
              <w:t>270</w:t>
            </w:r>
          </w:p>
        </w:tc>
      </w:tr>
      <w:tr w:rsidR="00D81F69">
        <w:trPr>
          <w:trHeight w:val="560"/>
        </w:trPr>
        <w:tc>
          <w:tcPr>
            <w:tcW w:w="9047" w:type="dxa"/>
            <w:tcBorders>
              <w:top w:val="single" w:sz="4" w:space="0" w:color="000000"/>
            </w:tcBorders>
          </w:tcPr>
          <w:p w:rsidR="00D81F69" w:rsidRPr="00392EAD" w:rsidRDefault="00330118">
            <w:pPr>
              <w:pStyle w:val="TableParagraph"/>
              <w:spacing w:line="264" w:lineRule="exact"/>
              <w:rPr>
                <w:lang w:val="pt-BR"/>
              </w:rPr>
            </w:pPr>
            <w:r w:rsidRPr="00392EAD">
              <w:rPr>
                <w:lang w:val="pt-BR"/>
              </w:rPr>
              <w:t>População se mobiliza contra efeitos negativos da exploração de ferro e bauxita em Ouro Preto</w:t>
            </w:r>
          </w:p>
          <w:p w:rsidR="00D81F69" w:rsidRDefault="00330118">
            <w:pPr>
              <w:pStyle w:val="TableParagraph"/>
              <w:tabs>
                <w:tab w:val="left" w:pos="9928"/>
              </w:tabs>
              <w:spacing w:line="267" w:lineRule="exact"/>
              <w:ind w:left="7" w:right="-893"/>
            </w:pPr>
            <w:r w:rsidRPr="00392EAD">
              <w:rPr>
                <w:u w:val="single"/>
                <w:lang w:val="pt-BR"/>
              </w:rPr>
              <w:t xml:space="preserve"> </w:t>
            </w:r>
            <w:r w:rsidRPr="00392EAD">
              <w:rPr>
                <w:spacing w:val="5"/>
                <w:u w:val="single"/>
                <w:lang w:val="pt-BR"/>
              </w:rPr>
              <w:t xml:space="preserve"> </w:t>
            </w:r>
            <w:r>
              <w:rPr>
                <w:u w:val="single"/>
              </w:rPr>
              <w:t>(MG)....................................................................................................................................................</w:t>
            </w:r>
            <w:r>
              <w:rPr>
                <w:u w:val="single"/>
              </w:rPr>
              <w:tab/>
            </w:r>
          </w:p>
        </w:tc>
        <w:tc>
          <w:tcPr>
            <w:tcW w:w="882" w:type="dxa"/>
            <w:tcBorders>
              <w:top w:val="single" w:sz="4" w:space="0" w:color="000000"/>
            </w:tcBorders>
          </w:tcPr>
          <w:p w:rsidR="00D81F69" w:rsidRDefault="00330118">
            <w:pPr>
              <w:pStyle w:val="TableParagraph"/>
              <w:spacing w:before="131" w:line="240" w:lineRule="auto"/>
              <w:ind w:left="219"/>
            </w:pPr>
            <w:r>
              <w:t>273</w:t>
            </w:r>
          </w:p>
        </w:tc>
      </w:tr>
      <w:tr w:rsidR="00D81F69">
        <w:trPr>
          <w:trHeight w:val="547"/>
        </w:trPr>
        <w:tc>
          <w:tcPr>
            <w:tcW w:w="9047" w:type="dxa"/>
          </w:tcPr>
          <w:p w:rsidR="00D81F69" w:rsidRPr="00392EAD" w:rsidRDefault="00330118">
            <w:pPr>
              <w:pStyle w:val="TableParagraph"/>
              <w:spacing w:line="251" w:lineRule="exact"/>
              <w:rPr>
                <w:lang w:val="pt-BR"/>
              </w:rPr>
            </w:pPr>
            <w:r w:rsidRPr="00392EAD">
              <w:rPr>
                <w:lang w:val="pt-BR"/>
              </w:rPr>
              <w:t>APL de Gemas, Joias e Artefatos de Pedra de Teófilo Otoni (MG) quer reduzir informalidade e</w:t>
            </w:r>
          </w:p>
          <w:p w:rsidR="00D81F69" w:rsidRDefault="00330118">
            <w:pPr>
              <w:pStyle w:val="TableParagraph"/>
              <w:tabs>
                <w:tab w:val="left" w:pos="9928"/>
              </w:tabs>
              <w:spacing w:line="267" w:lineRule="exact"/>
              <w:ind w:left="7" w:right="-893"/>
            </w:pPr>
            <w:r w:rsidRPr="00392EAD">
              <w:rPr>
                <w:u w:val="single"/>
                <w:lang w:val="pt-BR"/>
              </w:rPr>
              <w:t xml:space="preserve"> </w:t>
            </w:r>
            <w:r w:rsidRPr="00392EAD">
              <w:rPr>
                <w:spacing w:val="5"/>
                <w:u w:val="single"/>
                <w:lang w:val="pt-BR"/>
              </w:rPr>
              <w:t xml:space="preserve"> </w:t>
            </w:r>
            <w:r>
              <w:rPr>
                <w:spacing w:val="-1"/>
                <w:u w:val="single"/>
              </w:rPr>
              <w:t>res</w:t>
            </w:r>
            <w:r>
              <w:rPr>
                <w:spacing w:val="-1"/>
                <w:u w:val="single"/>
              </w:rPr>
              <w:t>íduos da</w:t>
            </w:r>
            <w:r>
              <w:rPr>
                <w:spacing w:val="22"/>
                <w:u w:val="single"/>
              </w:rPr>
              <w:t xml:space="preserve"> </w:t>
            </w:r>
            <w:r>
              <w:rPr>
                <w:spacing w:val="-1"/>
                <w:u w:val="single"/>
              </w:rPr>
              <w:t>produção..........................................................................................................................</w:t>
            </w:r>
            <w:r>
              <w:rPr>
                <w:spacing w:val="-1"/>
                <w:u w:val="single"/>
              </w:rPr>
              <w:tab/>
            </w:r>
          </w:p>
        </w:tc>
        <w:tc>
          <w:tcPr>
            <w:tcW w:w="882" w:type="dxa"/>
          </w:tcPr>
          <w:p w:rsidR="00D81F69" w:rsidRDefault="00330118">
            <w:pPr>
              <w:pStyle w:val="TableParagraph"/>
              <w:spacing w:before="115" w:line="240" w:lineRule="auto"/>
              <w:ind w:left="219"/>
            </w:pPr>
            <w:r>
              <w:t>276</w:t>
            </w:r>
          </w:p>
        </w:tc>
      </w:tr>
      <w:tr w:rsidR="00D81F69">
        <w:trPr>
          <w:trHeight w:val="255"/>
        </w:trPr>
        <w:tc>
          <w:tcPr>
            <w:tcW w:w="9047" w:type="dxa"/>
            <w:tcBorders>
              <w:bottom w:val="single" w:sz="4" w:space="0" w:color="000000"/>
            </w:tcBorders>
          </w:tcPr>
          <w:p w:rsidR="00D81F69" w:rsidRPr="00392EAD" w:rsidRDefault="00330118">
            <w:pPr>
              <w:pStyle w:val="TableParagraph"/>
              <w:spacing w:line="235" w:lineRule="exact"/>
              <w:rPr>
                <w:lang w:val="pt-BR"/>
              </w:rPr>
            </w:pPr>
            <w:r w:rsidRPr="00392EAD">
              <w:rPr>
                <w:lang w:val="pt-BR"/>
              </w:rPr>
              <w:t>Mineração de ouro em Paracatu (MG) afeta comunidades tradicionais e ambiente.........................</w:t>
            </w:r>
          </w:p>
        </w:tc>
        <w:tc>
          <w:tcPr>
            <w:tcW w:w="882" w:type="dxa"/>
            <w:tcBorders>
              <w:bottom w:val="single" w:sz="4" w:space="0" w:color="000000"/>
            </w:tcBorders>
          </w:tcPr>
          <w:p w:rsidR="00D81F69" w:rsidRDefault="00330118">
            <w:pPr>
              <w:pStyle w:val="TableParagraph"/>
              <w:spacing w:line="235" w:lineRule="exact"/>
              <w:ind w:left="219"/>
            </w:pPr>
            <w:r>
              <w:t>280</w:t>
            </w:r>
          </w:p>
        </w:tc>
      </w:tr>
      <w:tr w:rsidR="00D81F69">
        <w:trPr>
          <w:trHeight w:val="268"/>
        </w:trPr>
        <w:tc>
          <w:tcPr>
            <w:tcW w:w="9047" w:type="dxa"/>
            <w:tcBorders>
              <w:top w:val="single" w:sz="4" w:space="0" w:color="000000"/>
              <w:bottom w:val="single" w:sz="4" w:space="0" w:color="000000"/>
            </w:tcBorders>
          </w:tcPr>
          <w:p w:rsidR="00D81F69" w:rsidRPr="00392EAD" w:rsidRDefault="00330118">
            <w:pPr>
              <w:pStyle w:val="TableParagraph"/>
              <w:spacing w:line="248" w:lineRule="exact"/>
              <w:rPr>
                <w:lang w:val="pt-BR"/>
              </w:rPr>
            </w:pPr>
            <w:r w:rsidRPr="00392EAD">
              <w:rPr>
                <w:lang w:val="pt-BR"/>
              </w:rPr>
              <w:t>Arsênio na água de Ouro Preto e Mariana (MG) é creditado à mineração de ouro...........................</w:t>
            </w:r>
          </w:p>
        </w:tc>
        <w:tc>
          <w:tcPr>
            <w:tcW w:w="882" w:type="dxa"/>
            <w:tcBorders>
              <w:top w:val="single" w:sz="4" w:space="0" w:color="000000"/>
              <w:bottom w:val="single" w:sz="4" w:space="0" w:color="000000"/>
            </w:tcBorders>
          </w:tcPr>
          <w:p w:rsidR="00D81F69" w:rsidRDefault="00330118">
            <w:pPr>
              <w:pStyle w:val="TableParagraph"/>
              <w:spacing w:line="248" w:lineRule="exact"/>
              <w:ind w:left="219"/>
            </w:pPr>
            <w:r>
              <w:t>284</w:t>
            </w:r>
          </w:p>
        </w:tc>
      </w:tr>
      <w:tr w:rsidR="00D81F69">
        <w:trPr>
          <w:trHeight w:val="270"/>
        </w:trPr>
        <w:tc>
          <w:tcPr>
            <w:tcW w:w="9047" w:type="dxa"/>
            <w:tcBorders>
              <w:top w:val="single" w:sz="4" w:space="0" w:color="000000"/>
              <w:bottom w:val="single" w:sz="4" w:space="0" w:color="000000"/>
            </w:tcBorders>
          </w:tcPr>
          <w:p w:rsidR="00D81F69" w:rsidRPr="00392EAD" w:rsidRDefault="00330118">
            <w:pPr>
              <w:pStyle w:val="TableParagraph"/>
              <w:spacing w:line="251" w:lineRule="exact"/>
              <w:rPr>
                <w:lang w:val="pt-BR"/>
              </w:rPr>
            </w:pPr>
            <w:r w:rsidRPr="00392EAD">
              <w:rPr>
                <w:lang w:val="pt-BR"/>
              </w:rPr>
              <w:t>Exploração de quartzito em São Thomé das Letras (MG) passa por reestruturação..........................</w:t>
            </w:r>
          </w:p>
        </w:tc>
        <w:tc>
          <w:tcPr>
            <w:tcW w:w="882" w:type="dxa"/>
            <w:tcBorders>
              <w:top w:val="single" w:sz="4" w:space="0" w:color="000000"/>
              <w:bottom w:val="single" w:sz="4" w:space="0" w:color="000000"/>
            </w:tcBorders>
          </w:tcPr>
          <w:p w:rsidR="00D81F69" w:rsidRDefault="00330118">
            <w:pPr>
              <w:pStyle w:val="TableParagraph"/>
              <w:spacing w:line="251" w:lineRule="exact"/>
              <w:ind w:left="219"/>
            </w:pPr>
            <w:r>
              <w:t>286</w:t>
            </w:r>
          </w:p>
        </w:tc>
      </w:tr>
      <w:tr w:rsidR="00D81F69">
        <w:trPr>
          <w:trHeight w:val="559"/>
        </w:trPr>
        <w:tc>
          <w:tcPr>
            <w:tcW w:w="9047" w:type="dxa"/>
            <w:tcBorders>
              <w:top w:val="single" w:sz="4" w:space="0" w:color="000000"/>
            </w:tcBorders>
          </w:tcPr>
          <w:p w:rsidR="00D81F69" w:rsidRPr="00392EAD" w:rsidRDefault="00330118">
            <w:pPr>
              <w:pStyle w:val="TableParagraph"/>
              <w:spacing w:line="263" w:lineRule="exact"/>
              <w:rPr>
                <w:lang w:val="pt-BR"/>
              </w:rPr>
            </w:pPr>
            <w:r w:rsidRPr="00392EAD">
              <w:rPr>
                <w:lang w:val="pt-BR"/>
              </w:rPr>
              <w:t>Disposição incorreta de resíduos gerou drenagem ácida de minas (DAM) na mineração de urânio</w:t>
            </w:r>
          </w:p>
          <w:p w:rsidR="00D81F69" w:rsidRDefault="00330118">
            <w:pPr>
              <w:pStyle w:val="TableParagraph"/>
              <w:tabs>
                <w:tab w:val="left" w:pos="9928"/>
              </w:tabs>
              <w:spacing w:line="240" w:lineRule="auto"/>
              <w:ind w:left="7" w:right="-893"/>
            </w:pPr>
            <w:r w:rsidRPr="00392EAD">
              <w:rPr>
                <w:u w:val="single"/>
                <w:lang w:val="pt-BR"/>
              </w:rPr>
              <w:t xml:space="preserve"> </w:t>
            </w:r>
            <w:r w:rsidRPr="00392EAD">
              <w:rPr>
                <w:spacing w:val="5"/>
                <w:u w:val="single"/>
                <w:lang w:val="pt-BR"/>
              </w:rPr>
              <w:t xml:space="preserve"> </w:t>
            </w:r>
            <w:r>
              <w:rPr>
                <w:spacing w:val="-1"/>
                <w:u w:val="single"/>
              </w:rPr>
              <w:t>em</w:t>
            </w:r>
            <w:r>
              <w:rPr>
                <w:spacing w:val="21"/>
                <w:u w:val="single"/>
              </w:rPr>
              <w:t xml:space="preserve"> </w:t>
            </w:r>
            <w:r>
              <w:rPr>
                <w:spacing w:val="-1"/>
                <w:u w:val="single"/>
              </w:rPr>
              <w:t>MG.................................................................................................................................................</w:t>
            </w:r>
            <w:r>
              <w:rPr>
                <w:spacing w:val="-1"/>
                <w:u w:val="single"/>
              </w:rPr>
              <w:tab/>
            </w:r>
          </w:p>
        </w:tc>
        <w:tc>
          <w:tcPr>
            <w:tcW w:w="882" w:type="dxa"/>
            <w:tcBorders>
              <w:top w:val="single" w:sz="4" w:space="0" w:color="000000"/>
            </w:tcBorders>
          </w:tcPr>
          <w:p w:rsidR="00D81F69" w:rsidRDefault="00330118">
            <w:pPr>
              <w:pStyle w:val="TableParagraph"/>
              <w:spacing w:before="128" w:line="240" w:lineRule="auto"/>
              <w:ind w:left="219"/>
            </w:pPr>
            <w:r>
              <w:t>290</w:t>
            </w:r>
          </w:p>
        </w:tc>
      </w:tr>
      <w:tr w:rsidR="00D81F69">
        <w:trPr>
          <w:trHeight w:val="256"/>
        </w:trPr>
        <w:tc>
          <w:tcPr>
            <w:tcW w:w="9047" w:type="dxa"/>
            <w:tcBorders>
              <w:bottom w:val="single" w:sz="4" w:space="0" w:color="000000"/>
            </w:tcBorders>
          </w:tcPr>
          <w:p w:rsidR="00D81F69" w:rsidRPr="00392EAD" w:rsidRDefault="00330118">
            <w:pPr>
              <w:pStyle w:val="TableParagraph"/>
              <w:rPr>
                <w:lang w:val="pt-BR"/>
              </w:rPr>
            </w:pPr>
            <w:r w:rsidRPr="00392EAD">
              <w:rPr>
                <w:lang w:val="pt-BR"/>
              </w:rPr>
              <w:t>Explo</w:t>
            </w:r>
            <w:r w:rsidRPr="00392EAD">
              <w:rPr>
                <w:lang w:val="pt-BR"/>
              </w:rPr>
              <w:t>ração de minérios em Araxá (MG) e Tapira (MG) afetam meio ambiente.................................</w:t>
            </w:r>
          </w:p>
        </w:tc>
        <w:tc>
          <w:tcPr>
            <w:tcW w:w="882" w:type="dxa"/>
            <w:tcBorders>
              <w:bottom w:val="single" w:sz="4" w:space="0" w:color="000000"/>
            </w:tcBorders>
          </w:tcPr>
          <w:p w:rsidR="00D81F69" w:rsidRDefault="00330118">
            <w:pPr>
              <w:pStyle w:val="TableParagraph"/>
              <w:ind w:left="219"/>
            </w:pPr>
            <w:r>
              <w:t>293</w:t>
            </w:r>
          </w:p>
        </w:tc>
      </w:tr>
      <w:tr w:rsidR="00D81F69">
        <w:trPr>
          <w:trHeight w:val="268"/>
        </w:trPr>
        <w:tc>
          <w:tcPr>
            <w:tcW w:w="9047" w:type="dxa"/>
            <w:tcBorders>
              <w:top w:val="single" w:sz="4" w:space="0" w:color="000000"/>
              <w:bottom w:val="single" w:sz="4" w:space="0" w:color="000000"/>
            </w:tcBorders>
          </w:tcPr>
          <w:p w:rsidR="00D81F69" w:rsidRPr="00392EAD" w:rsidRDefault="00330118">
            <w:pPr>
              <w:pStyle w:val="TableParagraph"/>
              <w:spacing w:line="248" w:lineRule="exact"/>
              <w:rPr>
                <w:lang w:val="pt-BR"/>
              </w:rPr>
            </w:pPr>
            <w:r w:rsidRPr="00392EAD">
              <w:rPr>
                <w:lang w:val="pt-BR"/>
              </w:rPr>
              <w:t>Mineração subterrânea de zinco gera impactos socioambientais em Vazante (MG).........................</w:t>
            </w:r>
          </w:p>
        </w:tc>
        <w:tc>
          <w:tcPr>
            <w:tcW w:w="882" w:type="dxa"/>
            <w:tcBorders>
              <w:top w:val="single" w:sz="4" w:space="0" w:color="000000"/>
              <w:bottom w:val="single" w:sz="4" w:space="0" w:color="000000"/>
            </w:tcBorders>
          </w:tcPr>
          <w:p w:rsidR="00D81F69" w:rsidRDefault="00330118">
            <w:pPr>
              <w:pStyle w:val="TableParagraph"/>
              <w:spacing w:line="248" w:lineRule="exact"/>
              <w:ind w:left="219"/>
            </w:pPr>
            <w:r>
              <w:t>298</w:t>
            </w:r>
          </w:p>
        </w:tc>
      </w:tr>
      <w:tr w:rsidR="00D81F69">
        <w:trPr>
          <w:trHeight w:val="268"/>
        </w:trPr>
        <w:tc>
          <w:tcPr>
            <w:tcW w:w="9047" w:type="dxa"/>
            <w:tcBorders>
              <w:top w:val="single" w:sz="4" w:space="0" w:color="000000"/>
              <w:bottom w:val="single" w:sz="4" w:space="0" w:color="000000"/>
            </w:tcBorders>
          </w:tcPr>
          <w:p w:rsidR="00D81F69" w:rsidRPr="00392EAD" w:rsidRDefault="00330118">
            <w:pPr>
              <w:pStyle w:val="TableParagraph"/>
              <w:spacing w:line="248" w:lineRule="exact"/>
              <w:rPr>
                <w:lang w:val="pt-BR"/>
              </w:rPr>
            </w:pPr>
            <w:r w:rsidRPr="00392EAD">
              <w:rPr>
                <w:lang w:val="pt-BR"/>
              </w:rPr>
              <w:t>Produção de zinco afeta ambiente em Juiz de Fora (MG) e não melhora condições sociais..............</w:t>
            </w:r>
          </w:p>
        </w:tc>
        <w:tc>
          <w:tcPr>
            <w:tcW w:w="882" w:type="dxa"/>
            <w:tcBorders>
              <w:top w:val="single" w:sz="4" w:space="0" w:color="000000"/>
              <w:bottom w:val="single" w:sz="4" w:space="0" w:color="000000"/>
            </w:tcBorders>
          </w:tcPr>
          <w:p w:rsidR="00D81F69" w:rsidRDefault="00330118">
            <w:pPr>
              <w:pStyle w:val="TableParagraph"/>
              <w:spacing w:line="248" w:lineRule="exact"/>
              <w:ind w:left="219"/>
            </w:pPr>
            <w:r>
              <w:t>301</w:t>
            </w:r>
          </w:p>
        </w:tc>
      </w:tr>
      <w:tr w:rsidR="00D81F69">
        <w:trPr>
          <w:trHeight w:val="268"/>
        </w:trPr>
        <w:tc>
          <w:tcPr>
            <w:tcW w:w="9047" w:type="dxa"/>
            <w:tcBorders>
              <w:top w:val="single" w:sz="4" w:space="0" w:color="000000"/>
              <w:bottom w:val="single" w:sz="4" w:space="0" w:color="000000"/>
            </w:tcBorders>
          </w:tcPr>
          <w:p w:rsidR="00D81F69" w:rsidRPr="00392EAD" w:rsidRDefault="00330118">
            <w:pPr>
              <w:pStyle w:val="TableParagraph"/>
              <w:spacing w:line="248" w:lineRule="exact"/>
              <w:rPr>
                <w:lang w:val="pt-BR"/>
              </w:rPr>
            </w:pPr>
            <w:r w:rsidRPr="00392EAD">
              <w:rPr>
                <w:lang w:val="pt-BR"/>
              </w:rPr>
              <w:t>Rejeitos da exploração do zinco poluem rio São Francisco em MG....................................................</w:t>
            </w:r>
          </w:p>
        </w:tc>
        <w:tc>
          <w:tcPr>
            <w:tcW w:w="882" w:type="dxa"/>
            <w:tcBorders>
              <w:top w:val="single" w:sz="4" w:space="0" w:color="000000"/>
              <w:bottom w:val="single" w:sz="4" w:space="0" w:color="000000"/>
            </w:tcBorders>
          </w:tcPr>
          <w:p w:rsidR="00D81F69" w:rsidRDefault="00330118">
            <w:pPr>
              <w:pStyle w:val="TableParagraph"/>
              <w:spacing w:line="248" w:lineRule="exact"/>
              <w:ind w:left="219"/>
            </w:pPr>
            <w:r>
              <w:t>304</w:t>
            </w:r>
          </w:p>
        </w:tc>
      </w:tr>
      <w:tr w:rsidR="00D81F69">
        <w:trPr>
          <w:trHeight w:val="268"/>
        </w:trPr>
        <w:tc>
          <w:tcPr>
            <w:tcW w:w="9047" w:type="dxa"/>
            <w:tcBorders>
              <w:top w:val="single" w:sz="4" w:space="0" w:color="000000"/>
              <w:bottom w:val="single" w:sz="4" w:space="0" w:color="000000"/>
            </w:tcBorders>
          </w:tcPr>
          <w:p w:rsidR="00D81F69" w:rsidRPr="00392EAD" w:rsidRDefault="00330118">
            <w:pPr>
              <w:pStyle w:val="TableParagraph"/>
              <w:spacing w:line="248" w:lineRule="exact"/>
              <w:rPr>
                <w:lang w:val="pt-BR"/>
              </w:rPr>
            </w:pPr>
            <w:r w:rsidRPr="00392EAD">
              <w:rPr>
                <w:lang w:val="pt-BR"/>
              </w:rPr>
              <w:t>Produção cimenteira em Cantagal</w:t>
            </w:r>
            <w:r w:rsidRPr="00392EAD">
              <w:rPr>
                <w:lang w:val="pt-BR"/>
              </w:rPr>
              <w:t>o (RJ) causa problemas ambientais..............................................</w:t>
            </w:r>
          </w:p>
        </w:tc>
        <w:tc>
          <w:tcPr>
            <w:tcW w:w="882" w:type="dxa"/>
            <w:tcBorders>
              <w:top w:val="single" w:sz="4" w:space="0" w:color="000000"/>
              <w:bottom w:val="single" w:sz="4" w:space="0" w:color="000000"/>
            </w:tcBorders>
          </w:tcPr>
          <w:p w:rsidR="00D81F69" w:rsidRDefault="00330118">
            <w:pPr>
              <w:pStyle w:val="TableParagraph"/>
              <w:spacing w:line="248" w:lineRule="exact"/>
              <w:ind w:left="219"/>
            </w:pPr>
            <w:r>
              <w:t>307</w:t>
            </w:r>
          </w:p>
        </w:tc>
      </w:tr>
      <w:tr w:rsidR="00D81F69">
        <w:trPr>
          <w:trHeight w:val="268"/>
        </w:trPr>
        <w:tc>
          <w:tcPr>
            <w:tcW w:w="9047" w:type="dxa"/>
            <w:tcBorders>
              <w:top w:val="single" w:sz="4" w:space="0" w:color="000000"/>
              <w:bottom w:val="single" w:sz="4" w:space="0" w:color="000000"/>
            </w:tcBorders>
          </w:tcPr>
          <w:p w:rsidR="00D81F69" w:rsidRPr="00392EAD" w:rsidRDefault="00330118">
            <w:pPr>
              <w:pStyle w:val="TableParagraph"/>
              <w:spacing w:line="248" w:lineRule="exact"/>
              <w:rPr>
                <w:lang w:val="pt-BR"/>
              </w:rPr>
            </w:pPr>
            <w:r w:rsidRPr="00392EAD">
              <w:rPr>
                <w:lang w:val="pt-BR"/>
              </w:rPr>
              <w:t>Superporto Sudeste: mais um grande empreendimento a afetar o município de Itaguaí (RJ)...........</w:t>
            </w:r>
          </w:p>
        </w:tc>
        <w:tc>
          <w:tcPr>
            <w:tcW w:w="882" w:type="dxa"/>
            <w:tcBorders>
              <w:top w:val="single" w:sz="4" w:space="0" w:color="000000"/>
              <w:bottom w:val="single" w:sz="4" w:space="0" w:color="000000"/>
            </w:tcBorders>
          </w:tcPr>
          <w:p w:rsidR="00D81F69" w:rsidRDefault="00330118">
            <w:pPr>
              <w:pStyle w:val="TableParagraph"/>
              <w:spacing w:line="248" w:lineRule="exact"/>
              <w:ind w:left="219"/>
            </w:pPr>
            <w:r>
              <w:t>310</w:t>
            </w:r>
          </w:p>
        </w:tc>
      </w:tr>
      <w:tr w:rsidR="00D81F69">
        <w:trPr>
          <w:trHeight w:val="559"/>
        </w:trPr>
        <w:tc>
          <w:tcPr>
            <w:tcW w:w="9047" w:type="dxa"/>
            <w:tcBorders>
              <w:top w:val="single" w:sz="4" w:space="0" w:color="000000"/>
            </w:tcBorders>
          </w:tcPr>
          <w:p w:rsidR="00D81F69" w:rsidRPr="00392EAD" w:rsidRDefault="00330118">
            <w:pPr>
              <w:pStyle w:val="TableParagraph"/>
              <w:spacing w:line="263" w:lineRule="exact"/>
              <w:rPr>
                <w:lang w:val="pt-BR"/>
              </w:rPr>
            </w:pPr>
            <w:r w:rsidRPr="00392EAD">
              <w:rPr>
                <w:lang w:val="pt-BR"/>
              </w:rPr>
              <w:t>Construção do Complexo Industrial do Superporto do Açu provoca danos ambientais e conflitos</w:t>
            </w:r>
          </w:p>
          <w:p w:rsidR="00D81F69" w:rsidRDefault="00330118">
            <w:pPr>
              <w:pStyle w:val="TableParagraph"/>
              <w:tabs>
                <w:tab w:val="left" w:pos="9928"/>
              </w:tabs>
              <w:spacing w:line="240" w:lineRule="auto"/>
              <w:ind w:left="7" w:right="-893"/>
            </w:pPr>
            <w:r w:rsidRPr="00392EAD">
              <w:rPr>
                <w:u w:val="single"/>
                <w:lang w:val="pt-BR"/>
              </w:rPr>
              <w:t xml:space="preserve"> </w:t>
            </w:r>
            <w:r w:rsidRPr="00392EAD">
              <w:rPr>
                <w:spacing w:val="5"/>
                <w:u w:val="single"/>
                <w:lang w:val="pt-BR"/>
              </w:rPr>
              <w:t xml:space="preserve"> </w:t>
            </w:r>
            <w:r>
              <w:rPr>
                <w:u w:val="single"/>
              </w:rPr>
              <w:t>sociais..................................................................................................................................................</w:t>
            </w:r>
            <w:r>
              <w:rPr>
                <w:u w:val="single"/>
              </w:rPr>
              <w:tab/>
            </w:r>
          </w:p>
        </w:tc>
        <w:tc>
          <w:tcPr>
            <w:tcW w:w="882" w:type="dxa"/>
            <w:tcBorders>
              <w:top w:val="single" w:sz="4" w:space="0" w:color="000000"/>
            </w:tcBorders>
          </w:tcPr>
          <w:p w:rsidR="00D81F69" w:rsidRDefault="00330118">
            <w:pPr>
              <w:pStyle w:val="TableParagraph"/>
              <w:spacing w:before="128" w:line="240" w:lineRule="auto"/>
              <w:ind w:left="219"/>
            </w:pPr>
            <w:r>
              <w:t>313</w:t>
            </w:r>
          </w:p>
        </w:tc>
      </w:tr>
      <w:tr w:rsidR="00D81F69">
        <w:trPr>
          <w:trHeight w:val="547"/>
        </w:trPr>
        <w:tc>
          <w:tcPr>
            <w:tcW w:w="9047" w:type="dxa"/>
          </w:tcPr>
          <w:p w:rsidR="00D81F69" w:rsidRPr="00392EAD" w:rsidRDefault="00330118">
            <w:pPr>
              <w:pStyle w:val="TableParagraph"/>
              <w:spacing w:line="251" w:lineRule="exact"/>
              <w:rPr>
                <w:lang w:val="pt-BR"/>
              </w:rPr>
            </w:pPr>
            <w:r w:rsidRPr="00392EAD">
              <w:rPr>
                <w:lang w:val="pt-BR"/>
              </w:rPr>
              <w:t>Cia. Siderúrgica do Atlântico causa problemas ambientais e de saúde à população de Santa Cruz</w:t>
            </w:r>
          </w:p>
          <w:p w:rsidR="00D81F69" w:rsidRDefault="00330118">
            <w:pPr>
              <w:pStyle w:val="TableParagraph"/>
              <w:tabs>
                <w:tab w:val="left" w:pos="9928"/>
              </w:tabs>
              <w:spacing w:line="240" w:lineRule="auto"/>
              <w:ind w:left="7" w:right="-893"/>
            </w:pPr>
            <w:r w:rsidRPr="00392EAD">
              <w:rPr>
                <w:u w:val="single"/>
                <w:lang w:val="pt-BR"/>
              </w:rPr>
              <w:t xml:space="preserve"> </w:t>
            </w:r>
            <w:r w:rsidRPr="00392EAD">
              <w:rPr>
                <w:spacing w:val="5"/>
                <w:u w:val="single"/>
                <w:lang w:val="pt-BR"/>
              </w:rPr>
              <w:t xml:space="preserve"> </w:t>
            </w:r>
            <w:r>
              <w:rPr>
                <w:u w:val="single"/>
              </w:rPr>
              <w:t>(RJ).......................................................................................................................................................</w:t>
            </w:r>
            <w:r>
              <w:rPr>
                <w:u w:val="single"/>
              </w:rPr>
              <w:tab/>
            </w:r>
          </w:p>
        </w:tc>
        <w:tc>
          <w:tcPr>
            <w:tcW w:w="882" w:type="dxa"/>
          </w:tcPr>
          <w:p w:rsidR="00D81F69" w:rsidRDefault="00330118">
            <w:pPr>
              <w:pStyle w:val="TableParagraph"/>
              <w:spacing w:before="117" w:line="240" w:lineRule="auto"/>
              <w:ind w:left="219"/>
            </w:pPr>
            <w:r>
              <w:t>317</w:t>
            </w:r>
          </w:p>
        </w:tc>
      </w:tr>
      <w:tr w:rsidR="00D81F69">
        <w:trPr>
          <w:trHeight w:val="256"/>
        </w:trPr>
        <w:tc>
          <w:tcPr>
            <w:tcW w:w="9047" w:type="dxa"/>
            <w:tcBorders>
              <w:bottom w:val="single" w:sz="4" w:space="0" w:color="000000"/>
            </w:tcBorders>
          </w:tcPr>
          <w:p w:rsidR="00D81F69" w:rsidRPr="00392EAD" w:rsidRDefault="00330118">
            <w:pPr>
              <w:pStyle w:val="TableParagraph"/>
              <w:rPr>
                <w:lang w:val="pt-BR"/>
              </w:rPr>
            </w:pPr>
            <w:r w:rsidRPr="00392EAD">
              <w:rPr>
                <w:lang w:val="pt-BR"/>
              </w:rPr>
              <w:t>Centres deixa passivo ambiental em Queimados (RJ).........................................................................</w:t>
            </w:r>
          </w:p>
        </w:tc>
        <w:tc>
          <w:tcPr>
            <w:tcW w:w="882" w:type="dxa"/>
            <w:tcBorders>
              <w:bottom w:val="single" w:sz="4" w:space="0" w:color="000000"/>
            </w:tcBorders>
          </w:tcPr>
          <w:p w:rsidR="00D81F69" w:rsidRDefault="00330118">
            <w:pPr>
              <w:pStyle w:val="TableParagraph"/>
              <w:ind w:left="219"/>
            </w:pPr>
            <w:r>
              <w:t>320</w:t>
            </w:r>
          </w:p>
        </w:tc>
      </w:tr>
      <w:tr w:rsidR="00D81F69">
        <w:trPr>
          <w:trHeight w:val="559"/>
        </w:trPr>
        <w:tc>
          <w:tcPr>
            <w:tcW w:w="9047" w:type="dxa"/>
            <w:tcBorders>
              <w:top w:val="single" w:sz="4" w:space="0" w:color="000000"/>
            </w:tcBorders>
          </w:tcPr>
          <w:p w:rsidR="00D81F69" w:rsidRPr="00392EAD" w:rsidRDefault="00330118">
            <w:pPr>
              <w:pStyle w:val="TableParagraph"/>
              <w:spacing w:line="263" w:lineRule="exact"/>
              <w:rPr>
                <w:lang w:val="pt-BR"/>
              </w:rPr>
            </w:pPr>
            <w:r w:rsidRPr="00392EAD">
              <w:rPr>
                <w:lang w:val="pt-BR"/>
              </w:rPr>
              <w:t>APL de Santo Antônio de Pádua (RJ) encontra alternativas para impactos da exploração de rochas</w:t>
            </w:r>
          </w:p>
          <w:p w:rsidR="00D81F69" w:rsidRDefault="00330118">
            <w:pPr>
              <w:pStyle w:val="TableParagraph"/>
              <w:tabs>
                <w:tab w:val="left" w:pos="9928"/>
              </w:tabs>
              <w:spacing w:line="240" w:lineRule="auto"/>
              <w:ind w:left="7" w:right="-893"/>
            </w:pPr>
            <w:r w:rsidRPr="00392EAD">
              <w:rPr>
                <w:u w:val="single"/>
                <w:lang w:val="pt-BR"/>
              </w:rPr>
              <w:t xml:space="preserve"> </w:t>
            </w:r>
            <w:r w:rsidRPr="00392EAD">
              <w:rPr>
                <w:spacing w:val="5"/>
                <w:u w:val="single"/>
                <w:lang w:val="pt-BR"/>
              </w:rPr>
              <w:t xml:space="preserve"> </w:t>
            </w:r>
            <w:r>
              <w:rPr>
                <w:u w:val="single"/>
              </w:rPr>
              <w:t>ornamentais........................................................................................................................................</w:t>
            </w:r>
            <w:r>
              <w:rPr>
                <w:u w:val="single"/>
              </w:rPr>
              <w:tab/>
            </w:r>
          </w:p>
        </w:tc>
        <w:tc>
          <w:tcPr>
            <w:tcW w:w="882" w:type="dxa"/>
            <w:tcBorders>
              <w:top w:val="single" w:sz="4" w:space="0" w:color="000000"/>
            </w:tcBorders>
          </w:tcPr>
          <w:p w:rsidR="00D81F69" w:rsidRDefault="00330118">
            <w:pPr>
              <w:pStyle w:val="TableParagraph"/>
              <w:spacing w:before="128" w:line="240" w:lineRule="auto"/>
              <w:ind w:left="219"/>
            </w:pPr>
            <w:r>
              <w:t>323</w:t>
            </w:r>
          </w:p>
        </w:tc>
      </w:tr>
      <w:tr w:rsidR="00D81F69">
        <w:trPr>
          <w:trHeight w:val="256"/>
        </w:trPr>
        <w:tc>
          <w:tcPr>
            <w:tcW w:w="9047" w:type="dxa"/>
            <w:tcBorders>
              <w:bottom w:val="single" w:sz="4" w:space="0" w:color="000000"/>
            </w:tcBorders>
          </w:tcPr>
          <w:p w:rsidR="00D81F69" w:rsidRPr="00392EAD" w:rsidRDefault="00330118">
            <w:pPr>
              <w:pStyle w:val="TableParagraph"/>
              <w:rPr>
                <w:lang w:val="pt-BR"/>
              </w:rPr>
            </w:pPr>
            <w:r w:rsidRPr="00392EAD">
              <w:rPr>
                <w:lang w:val="pt-BR"/>
              </w:rPr>
              <w:t>Volta Redonda (RJ) convive com efeitos cumulativos de 71 anos de atividade siderúrgica...............</w:t>
            </w:r>
          </w:p>
        </w:tc>
        <w:tc>
          <w:tcPr>
            <w:tcW w:w="882" w:type="dxa"/>
            <w:tcBorders>
              <w:bottom w:val="single" w:sz="4" w:space="0" w:color="000000"/>
            </w:tcBorders>
          </w:tcPr>
          <w:p w:rsidR="00D81F69" w:rsidRDefault="00330118">
            <w:pPr>
              <w:pStyle w:val="TableParagraph"/>
              <w:ind w:left="219"/>
            </w:pPr>
            <w:r>
              <w:t>327</w:t>
            </w:r>
          </w:p>
        </w:tc>
      </w:tr>
      <w:tr w:rsidR="00D81F69">
        <w:trPr>
          <w:trHeight w:val="268"/>
        </w:trPr>
        <w:tc>
          <w:tcPr>
            <w:tcW w:w="9047" w:type="dxa"/>
            <w:tcBorders>
              <w:top w:val="single" w:sz="4" w:space="0" w:color="000000"/>
              <w:bottom w:val="single" w:sz="4" w:space="0" w:color="000000"/>
            </w:tcBorders>
          </w:tcPr>
          <w:p w:rsidR="00D81F69" w:rsidRPr="00392EAD" w:rsidRDefault="00330118">
            <w:pPr>
              <w:pStyle w:val="TableParagraph"/>
              <w:spacing w:line="248" w:lineRule="exact"/>
              <w:rPr>
                <w:lang w:val="pt-BR"/>
              </w:rPr>
            </w:pPr>
            <w:r w:rsidRPr="00392EAD">
              <w:rPr>
                <w:lang w:val="pt-BR"/>
              </w:rPr>
              <w:t>Exploração de terras raras em São Francisco do Itabapoana (RJ) afeta meio ambiente....................</w:t>
            </w:r>
          </w:p>
        </w:tc>
        <w:tc>
          <w:tcPr>
            <w:tcW w:w="882" w:type="dxa"/>
            <w:tcBorders>
              <w:top w:val="single" w:sz="4" w:space="0" w:color="000000"/>
              <w:bottom w:val="single" w:sz="4" w:space="0" w:color="000000"/>
            </w:tcBorders>
          </w:tcPr>
          <w:p w:rsidR="00D81F69" w:rsidRDefault="00330118">
            <w:pPr>
              <w:pStyle w:val="TableParagraph"/>
              <w:spacing w:line="248" w:lineRule="exact"/>
              <w:ind w:left="219"/>
            </w:pPr>
            <w:r>
              <w:t>331</w:t>
            </w:r>
          </w:p>
        </w:tc>
      </w:tr>
      <w:tr w:rsidR="00D81F69">
        <w:trPr>
          <w:trHeight w:val="268"/>
        </w:trPr>
        <w:tc>
          <w:tcPr>
            <w:tcW w:w="9047" w:type="dxa"/>
            <w:tcBorders>
              <w:top w:val="single" w:sz="4" w:space="0" w:color="000000"/>
              <w:bottom w:val="single" w:sz="4" w:space="0" w:color="000000"/>
            </w:tcBorders>
          </w:tcPr>
          <w:p w:rsidR="00D81F69" w:rsidRPr="00392EAD" w:rsidRDefault="00330118">
            <w:pPr>
              <w:pStyle w:val="TableParagraph"/>
              <w:spacing w:line="248" w:lineRule="exact"/>
              <w:rPr>
                <w:lang w:val="pt-BR"/>
              </w:rPr>
            </w:pPr>
            <w:r w:rsidRPr="00392EAD">
              <w:rPr>
                <w:lang w:val="pt-BR"/>
              </w:rPr>
              <w:t>Companhia Mercantil e Industrial Ingá deixa passivo ambiental à Baía de Sepetiba (RJ)..................</w:t>
            </w:r>
          </w:p>
        </w:tc>
        <w:tc>
          <w:tcPr>
            <w:tcW w:w="882" w:type="dxa"/>
            <w:tcBorders>
              <w:top w:val="single" w:sz="4" w:space="0" w:color="000000"/>
              <w:bottom w:val="single" w:sz="4" w:space="0" w:color="000000"/>
            </w:tcBorders>
          </w:tcPr>
          <w:p w:rsidR="00D81F69" w:rsidRDefault="00330118">
            <w:pPr>
              <w:pStyle w:val="TableParagraph"/>
              <w:spacing w:line="248" w:lineRule="exact"/>
              <w:ind w:left="219"/>
            </w:pPr>
            <w:r>
              <w:t>334</w:t>
            </w:r>
          </w:p>
        </w:tc>
      </w:tr>
      <w:tr w:rsidR="00D81F69">
        <w:trPr>
          <w:trHeight w:val="268"/>
        </w:trPr>
        <w:tc>
          <w:tcPr>
            <w:tcW w:w="9047" w:type="dxa"/>
            <w:tcBorders>
              <w:top w:val="single" w:sz="4" w:space="0" w:color="000000"/>
              <w:bottom w:val="single" w:sz="4" w:space="0" w:color="000000"/>
            </w:tcBorders>
          </w:tcPr>
          <w:p w:rsidR="00D81F69" w:rsidRPr="00392EAD" w:rsidRDefault="00330118">
            <w:pPr>
              <w:pStyle w:val="TableParagraph"/>
              <w:spacing w:line="248" w:lineRule="exact"/>
              <w:rPr>
                <w:lang w:val="pt-BR"/>
              </w:rPr>
            </w:pPr>
            <w:r w:rsidRPr="00392EAD">
              <w:rPr>
                <w:lang w:val="pt-BR"/>
              </w:rPr>
              <w:t>Lixo tóxico contendo amianto afeta meio ambiente de Avaré (SP)....................................................</w:t>
            </w:r>
          </w:p>
        </w:tc>
        <w:tc>
          <w:tcPr>
            <w:tcW w:w="882" w:type="dxa"/>
            <w:tcBorders>
              <w:top w:val="single" w:sz="4" w:space="0" w:color="000000"/>
              <w:bottom w:val="single" w:sz="4" w:space="0" w:color="000000"/>
            </w:tcBorders>
          </w:tcPr>
          <w:p w:rsidR="00D81F69" w:rsidRDefault="00330118">
            <w:pPr>
              <w:pStyle w:val="TableParagraph"/>
              <w:spacing w:line="248" w:lineRule="exact"/>
              <w:ind w:left="219"/>
            </w:pPr>
            <w:r>
              <w:t>337</w:t>
            </w:r>
          </w:p>
        </w:tc>
      </w:tr>
      <w:tr w:rsidR="00D81F69">
        <w:trPr>
          <w:trHeight w:val="268"/>
        </w:trPr>
        <w:tc>
          <w:tcPr>
            <w:tcW w:w="9047" w:type="dxa"/>
            <w:tcBorders>
              <w:top w:val="single" w:sz="4" w:space="0" w:color="000000"/>
              <w:bottom w:val="single" w:sz="4" w:space="0" w:color="000000"/>
            </w:tcBorders>
          </w:tcPr>
          <w:p w:rsidR="00D81F69" w:rsidRPr="00392EAD" w:rsidRDefault="00330118">
            <w:pPr>
              <w:pStyle w:val="TableParagraph"/>
              <w:spacing w:line="248" w:lineRule="exact"/>
              <w:rPr>
                <w:lang w:val="pt-BR"/>
              </w:rPr>
            </w:pPr>
            <w:r w:rsidRPr="00392EAD">
              <w:rPr>
                <w:lang w:val="pt-BR"/>
              </w:rPr>
              <w:t>Os prós e contras do APL Cerâmico de Santa Gertrudes (SP).............................................................</w:t>
            </w:r>
          </w:p>
        </w:tc>
        <w:tc>
          <w:tcPr>
            <w:tcW w:w="882" w:type="dxa"/>
            <w:tcBorders>
              <w:top w:val="single" w:sz="4" w:space="0" w:color="000000"/>
              <w:bottom w:val="single" w:sz="4" w:space="0" w:color="000000"/>
            </w:tcBorders>
          </w:tcPr>
          <w:p w:rsidR="00D81F69" w:rsidRDefault="00330118">
            <w:pPr>
              <w:pStyle w:val="TableParagraph"/>
              <w:spacing w:line="248" w:lineRule="exact"/>
              <w:ind w:left="219"/>
            </w:pPr>
            <w:r>
              <w:t>340</w:t>
            </w:r>
          </w:p>
        </w:tc>
      </w:tr>
      <w:tr w:rsidR="00D81F69">
        <w:trPr>
          <w:trHeight w:val="559"/>
        </w:trPr>
        <w:tc>
          <w:tcPr>
            <w:tcW w:w="9047" w:type="dxa"/>
            <w:tcBorders>
              <w:top w:val="single" w:sz="4" w:space="0" w:color="000000"/>
            </w:tcBorders>
          </w:tcPr>
          <w:p w:rsidR="00D81F69" w:rsidRPr="00392EAD" w:rsidRDefault="00330118">
            <w:pPr>
              <w:pStyle w:val="TableParagraph"/>
              <w:spacing w:line="263" w:lineRule="exact"/>
              <w:rPr>
                <w:lang w:val="pt-BR"/>
              </w:rPr>
            </w:pPr>
            <w:r w:rsidRPr="00392EAD">
              <w:rPr>
                <w:lang w:val="pt-BR"/>
              </w:rPr>
              <w:t>Empresa minero-química armazena irregularmente toneladas de lixo radioativo em Itu e São</w:t>
            </w:r>
          </w:p>
          <w:p w:rsidR="00D81F69" w:rsidRDefault="00330118">
            <w:pPr>
              <w:pStyle w:val="TableParagraph"/>
              <w:tabs>
                <w:tab w:val="left" w:pos="9928"/>
              </w:tabs>
              <w:spacing w:line="240" w:lineRule="auto"/>
              <w:ind w:left="7" w:right="-893"/>
            </w:pPr>
            <w:r w:rsidRPr="00392EAD">
              <w:rPr>
                <w:u w:val="single"/>
                <w:lang w:val="pt-BR"/>
              </w:rPr>
              <w:t xml:space="preserve"> </w:t>
            </w:r>
            <w:r w:rsidRPr="00392EAD">
              <w:rPr>
                <w:spacing w:val="5"/>
                <w:u w:val="single"/>
                <w:lang w:val="pt-BR"/>
              </w:rPr>
              <w:t xml:space="preserve"> </w:t>
            </w:r>
            <w:r>
              <w:rPr>
                <w:spacing w:val="-1"/>
                <w:u w:val="single"/>
              </w:rPr>
              <w:t>Paulo</w:t>
            </w:r>
            <w:r>
              <w:rPr>
                <w:spacing w:val="23"/>
                <w:u w:val="single"/>
              </w:rPr>
              <w:t xml:space="preserve"> </w:t>
            </w:r>
            <w:r>
              <w:rPr>
                <w:spacing w:val="-1"/>
                <w:u w:val="single"/>
              </w:rPr>
              <w:t>(SP)............................................................................................................................................</w:t>
            </w:r>
            <w:r>
              <w:rPr>
                <w:spacing w:val="-1"/>
                <w:u w:val="single"/>
              </w:rPr>
              <w:tab/>
            </w:r>
          </w:p>
        </w:tc>
        <w:tc>
          <w:tcPr>
            <w:tcW w:w="882" w:type="dxa"/>
            <w:tcBorders>
              <w:top w:val="single" w:sz="4" w:space="0" w:color="000000"/>
            </w:tcBorders>
          </w:tcPr>
          <w:p w:rsidR="00D81F69" w:rsidRDefault="00330118">
            <w:pPr>
              <w:pStyle w:val="TableParagraph"/>
              <w:spacing w:before="128" w:line="240" w:lineRule="auto"/>
              <w:ind w:left="219"/>
            </w:pPr>
            <w:r>
              <w:t>343</w:t>
            </w:r>
          </w:p>
        </w:tc>
      </w:tr>
      <w:tr w:rsidR="00D81F69">
        <w:trPr>
          <w:trHeight w:val="256"/>
        </w:trPr>
        <w:tc>
          <w:tcPr>
            <w:tcW w:w="9047" w:type="dxa"/>
            <w:tcBorders>
              <w:bottom w:val="single" w:sz="4" w:space="0" w:color="000000"/>
            </w:tcBorders>
          </w:tcPr>
          <w:p w:rsidR="00D81F69" w:rsidRPr="00392EAD" w:rsidRDefault="00330118">
            <w:pPr>
              <w:pStyle w:val="TableParagraph"/>
              <w:rPr>
                <w:lang w:val="pt-BR"/>
              </w:rPr>
            </w:pPr>
            <w:r w:rsidRPr="00392EAD">
              <w:rPr>
                <w:lang w:val="pt-BR"/>
              </w:rPr>
              <w:t>Produção</w:t>
            </w:r>
            <w:r w:rsidRPr="00392EAD">
              <w:rPr>
                <w:lang w:val="pt-BR"/>
              </w:rPr>
              <w:t xml:space="preserve"> de fertilizantes fosfatados em Cajati (SP) tem restrições ambientais.................................</w:t>
            </w:r>
          </w:p>
        </w:tc>
        <w:tc>
          <w:tcPr>
            <w:tcW w:w="882" w:type="dxa"/>
            <w:tcBorders>
              <w:bottom w:val="single" w:sz="4" w:space="0" w:color="000000"/>
            </w:tcBorders>
          </w:tcPr>
          <w:p w:rsidR="00D81F69" w:rsidRDefault="00330118">
            <w:pPr>
              <w:pStyle w:val="TableParagraph"/>
              <w:ind w:left="219"/>
            </w:pPr>
            <w:r>
              <w:t>346</w:t>
            </w:r>
          </w:p>
        </w:tc>
      </w:tr>
    </w:tbl>
    <w:p w:rsidR="00D81F69" w:rsidRDefault="00D81F69">
      <w:pPr>
        <w:sectPr w:rsidR="00D81F69">
          <w:footerReference w:type="default" r:id="rId14"/>
          <w:pgSz w:w="11910" w:h="16840"/>
          <w:pgMar w:top="1400" w:right="740" w:bottom="280" w:left="860" w:header="0" w:footer="0" w:gutter="0"/>
          <w:cols w:space="720"/>
        </w:sectPr>
      </w:pPr>
    </w:p>
    <w:tbl>
      <w:tblPr>
        <w:tblStyle w:val="TableNormal"/>
        <w:tblW w:w="0" w:type="auto"/>
        <w:tblInd w:w="267" w:type="dxa"/>
        <w:tblLayout w:type="fixed"/>
        <w:tblLook w:val="01E0"/>
      </w:tblPr>
      <w:tblGrid>
        <w:gridCol w:w="9042"/>
        <w:gridCol w:w="886"/>
      </w:tblGrid>
      <w:tr w:rsidR="00D81F69">
        <w:trPr>
          <w:trHeight w:val="249"/>
        </w:trPr>
        <w:tc>
          <w:tcPr>
            <w:tcW w:w="9042" w:type="dxa"/>
          </w:tcPr>
          <w:p w:rsidR="00D81F69" w:rsidRDefault="00330118">
            <w:pPr>
              <w:pStyle w:val="TableParagraph"/>
              <w:tabs>
                <w:tab w:val="left" w:pos="9928"/>
              </w:tabs>
              <w:spacing w:line="225" w:lineRule="exact"/>
              <w:ind w:left="7" w:right="-893"/>
              <w:rPr>
                <w:b/>
              </w:rPr>
            </w:pPr>
            <w:r>
              <w:rPr>
                <w:b/>
                <w:u w:val="single"/>
              </w:rPr>
              <w:lastRenderedPageBreak/>
              <w:t xml:space="preserve"> </w:t>
            </w:r>
            <w:r>
              <w:rPr>
                <w:b/>
                <w:spacing w:val="5"/>
                <w:u w:val="single"/>
              </w:rPr>
              <w:t xml:space="preserve"> </w:t>
            </w:r>
            <w:r>
              <w:rPr>
                <w:b/>
                <w:u w:val="single"/>
              </w:rPr>
              <w:t>REGIÃO</w:t>
            </w:r>
            <w:r>
              <w:rPr>
                <w:b/>
                <w:spacing w:val="-4"/>
                <w:u w:val="single"/>
              </w:rPr>
              <w:t xml:space="preserve"> </w:t>
            </w:r>
            <w:r>
              <w:rPr>
                <w:b/>
                <w:u w:val="single"/>
              </w:rPr>
              <w:t>SUL</w:t>
            </w:r>
            <w:r>
              <w:rPr>
                <w:b/>
                <w:u w:val="single"/>
              </w:rPr>
              <w:tab/>
            </w:r>
          </w:p>
        </w:tc>
        <w:tc>
          <w:tcPr>
            <w:tcW w:w="886" w:type="dxa"/>
          </w:tcPr>
          <w:p w:rsidR="00D81F69" w:rsidRDefault="00D81F69">
            <w:pPr>
              <w:pStyle w:val="TableParagraph"/>
              <w:spacing w:line="240" w:lineRule="auto"/>
              <w:ind w:left="0"/>
              <w:rPr>
                <w:rFonts w:ascii="Times New Roman"/>
                <w:sz w:val="18"/>
              </w:rPr>
            </w:pPr>
          </w:p>
        </w:tc>
      </w:tr>
      <w:tr w:rsidR="00D81F69">
        <w:trPr>
          <w:trHeight w:val="815"/>
        </w:trPr>
        <w:tc>
          <w:tcPr>
            <w:tcW w:w="9042" w:type="dxa"/>
          </w:tcPr>
          <w:p w:rsidR="00D81F69" w:rsidRPr="00392EAD" w:rsidRDefault="00330118">
            <w:pPr>
              <w:pStyle w:val="TableParagraph"/>
              <w:spacing w:line="253" w:lineRule="exact"/>
              <w:rPr>
                <w:b/>
                <w:lang w:val="pt-BR"/>
              </w:rPr>
            </w:pPr>
            <w:r w:rsidRPr="00392EAD">
              <w:rPr>
                <w:b/>
                <w:lang w:val="pt-BR"/>
              </w:rPr>
              <w:t>Do carvão às pedras preciosas: Região Sul</w:t>
            </w:r>
          </w:p>
          <w:p w:rsidR="00D81F69" w:rsidRPr="00392EAD" w:rsidRDefault="00330118">
            <w:pPr>
              <w:pStyle w:val="TableParagraph"/>
              <w:spacing w:line="240" w:lineRule="auto"/>
              <w:rPr>
                <w:i/>
                <w:lang w:val="pt-BR"/>
              </w:rPr>
            </w:pPr>
            <w:r w:rsidRPr="00392EAD">
              <w:rPr>
                <w:i/>
                <w:lang w:val="pt-BR"/>
              </w:rPr>
              <w:t>Renata de Carvalho Jimenez Alamino, Rodrigo Braga da Rocha Villa Verde e Francisco Rego</w:t>
            </w:r>
          </w:p>
          <w:p w:rsidR="00D81F69" w:rsidRDefault="00330118">
            <w:pPr>
              <w:pStyle w:val="TableParagraph"/>
              <w:tabs>
                <w:tab w:val="left" w:pos="9928"/>
              </w:tabs>
              <w:spacing w:line="240" w:lineRule="auto"/>
              <w:ind w:left="7" w:right="-893"/>
            </w:pPr>
            <w:r w:rsidRPr="00392EAD">
              <w:rPr>
                <w:i/>
                <w:u w:val="single"/>
                <w:lang w:val="pt-BR"/>
              </w:rPr>
              <w:t xml:space="preserve"> </w:t>
            </w:r>
            <w:r w:rsidRPr="00392EAD">
              <w:rPr>
                <w:i/>
                <w:spacing w:val="5"/>
                <w:u w:val="single"/>
                <w:lang w:val="pt-BR"/>
              </w:rPr>
              <w:t xml:space="preserve"> </w:t>
            </w:r>
            <w:r>
              <w:rPr>
                <w:i/>
                <w:spacing w:val="-1"/>
                <w:u w:val="single"/>
              </w:rPr>
              <w:t>Chaves</w:t>
            </w:r>
            <w:r>
              <w:rPr>
                <w:i/>
                <w:spacing w:val="20"/>
                <w:u w:val="single"/>
              </w:rPr>
              <w:t xml:space="preserve"> </w:t>
            </w:r>
            <w:r>
              <w:rPr>
                <w:i/>
                <w:spacing w:val="-1"/>
                <w:u w:val="single"/>
              </w:rPr>
              <w:t>Fernandes</w:t>
            </w:r>
            <w:r>
              <w:rPr>
                <w:spacing w:val="-1"/>
                <w:u w:val="single"/>
              </w:rPr>
              <w:t>...............................................................................................................................</w:t>
            </w:r>
            <w:r>
              <w:rPr>
                <w:spacing w:val="-1"/>
                <w:u w:val="single"/>
              </w:rPr>
              <w:tab/>
            </w:r>
          </w:p>
        </w:tc>
        <w:tc>
          <w:tcPr>
            <w:tcW w:w="886" w:type="dxa"/>
          </w:tcPr>
          <w:p w:rsidR="00D81F69" w:rsidRDefault="00D81F69">
            <w:pPr>
              <w:pStyle w:val="TableParagraph"/>
              <w:spacing w:before="9" w:line="240" w:lineRule="auto"/>
              <w:ind w:left="0"/>
              <w:rPr>
                <w:sz w:val="20"/>
              </w:rPr>
            </w:pPr>
          </w:p>
          <w:p w:rsidR="00D81F69" w:rsidRDefault="00330118">
            <w:pPr>
              <w:pStyle w:val="TableParagraph"/>
              <w:spacing w:line="240" w:lineRule="auto"/>
              <w:ind w:left="224"/>
            </w:pPr>
            <w:r>
              <w:t>349</w:t>
            </w:r>
          </w:p>
        </w:tc>
      </w:tr>
      <w:tr w:rsidR="00D81F69">
        <w:trPr>
          <w:trHeight w:val="256"/>
        </w:trPr>
        <w:tc>
          <w:tcPr>
            <w:tcW w:w="9042" w:type="dxa"/>
            <w:tcBorders>
              <w:bottom w:val="single" w:sz="4" w:space="0" w:color="000000"/>
            </w:tcBorders>
          </w:tcPr>
          <w:p w:rsidR="00D81F69" w:rsidRPr="00392EAD" w:rsidRDefault="00330118">
            <w:pPr>
              <w:pStyle w:val="TableParagraph"/>
              <w:rPr>
                <w:lang w:val="pt-BR"/>
              </w:rPr>
            </w:pPr>
            <w:r w:rsidRPr="00392EAD">
              <w:rPr>
                <w:lang w:val="pt-BR"/>
              </w:rPr>
              <w:t>Arsênio nas formações carboníferas de Figueira (PR) provoca contaminação do solo......................</w:t>
            </w:r>
          </w:p>
        </w:tc>
        <w:tc>
          <w:tcPr>
            <w:tcW w:w="886" w:type="dxa"/>
            <w:tcBorders>
              <w:bottom w:val="single" w:sz="4" w:space="0" w:color="000000"/>
            </w:tcBorders>
          </w:tcPr>
          <w:p w:rsidR="00D81F69" w:rsidRDefault="00330118">
            <w:pPr>
              <w:pStyle w:val="TableParagraph"/>
              <w:ind w:left="224"/>
            </w:pPr>
            <w:r>
              <w:t>353</w:t>
            </w:r>
          </w:p>
        </w:tc>
      </w:tr>
      <w:tr w:rsidR="00D81F69">
        <w:trPr>
          <w:trHeight w:val="268"/>
        </w:trPr>
        <w:tc>
          <w:tcPr>
            <w:tcW w:w="9042" w:type="dxa"/>
            <w:tcBorders>
              <w:top w:val="single" w:sz="4" w:space="0" w:color="000000"/>
              <w:bottom w:val="single" w:sz="4" w:space="0" w:color="000000"/>
            </w:tcBorders>
          </w:tcPr>
          <w:p w:rsidR="00D81F69" w:rsidRPr="00392EAD" w:rsidRDefault="00330118">
            <w:pPr>
              <w:pStyle w:val="TableParagraph"/>
              <w:spacing w:line="248" w:lineRule="exact"/>
              <w:rPr>
                <w:lang w:val="pt-BR"/>
              </w:rPr>
            </w:pPr>
            <w:r w:rsidRPr="00392EAD">
              <w:rPr>
                <w:lang w:val="pt-BR"/>
              </w:rPr>
              <w:t>Arsênio de fonte desconhecida contamina Complexo Estuarino da Baía de Paranaguá (PR)............</w:t>
            </w:r>
          </w:p>
        </w:tc>
        <w:tc>
          <w:tcPr>
            <w:tcW w:w="886" w:type="dxa"/>
            <w:tcBorders>
              <w:top w:val="single" w:sz="4" w:space="0" w:color="000000"/>
              <w:bottom w:val="single" w:sz="4" w:space="0" w:color="000000"/>
            </w:tcBorders>
          </w:tcPr>
          <w:p w:rsidR="00D81F69" w:rsidRDefault="00330118">
            <w:pPr>
              <w:pStyle w:val="TableParagraph"/>
              <w:spacing w:line="248" w:lineRule="exact"/>
              <w:ind w:left="224"/>
            </w:pPr>
            <w:r>
              <w:t>355</w:t>
            </w:r>
          </w:p>
        </w:tc>
      </w:tr>
      <w:tr w:rsidR="00D81F69">
        <w:trPr>
          <w:trHeight w:val="559"/>
        </w:trPr>
        <w:tc>
          <w:tcPr>
            <w:tcW w:w="9042" w:type="dxa"/>
            <w:tcBorders>
              <w:top w:val="single" w:sz="4" w:space="0" w:color="000000"/>
            </w:tcBorders>
          </w:tcPr>
          <w:p w:rsidR="00D81F69" w:rsidRPr="00392EAD" w:rsidRDefault="00330118">
            <w:pPr>
              <w:pStyle w:val="TableParagraph"/>
              <w:spacing w:line="265" w:lineRule="exact"/>
              <w:rPr>
                <w:lang w:val="pt-BR"/>
              </w:rPr>
            </w:pPr>
            <w:r w:rsidRPr="00392EAD">
              <w:rPr>
                <w:lang w:val="pt-BR"/>
              </w:rPr>
              <w:t>Construção de usina sobre minas de carvão desativadas põe em risco saúde da população de</w:t>
            </w:r>
          </w:p>
          <w:p w:rsidR="00D81F69" w:rsidRDefault="00330118">
            <w:pPr>
              <w:pStyle w:val="TableParagraph"/>
              <w:tabs>
                <w:tab w:val="left" w:pos="9928"/>
              </w:tabs>
              <w:spacing w:line="240" w:lineRule="auto"/>
              <w:ind w:left="7" w:right="-893"/>
            </w:pPr>
            <w:r w:rsidRPr="00392EAD">
              <w:rPr>
                <w:u w:val="single"/>
                <w:lang w:val="pt-BR"/>
              </w:rPr>
              <w:t xml:space="preserve"> </w:t>
            </w:r>
            <w:r w:rsidRPr="00392EAD">
              <w:rPr>
                <w:spacing w:val="5"/>
                <w:u w:val="single"/>
                <w:lang w:val="pt-BR"/>
              </w:rPr>
              <w:t xml:space="preserve"> </w:t>
            </w:r>
            <w:r>
              <w:rPr>
                <w:spacing w:val="-1"/>
                <w:u w:val="single"/>
              </w:rPr>
              <w:t>Mauá</w:t>
            </w:r>
            <w:r>
              <w:rPr>
                <w:spacing w:val="23"/>
                <w:u w:val="single"/>
              </w:rPr>
              <w:t xml:space="preserve"> </w:t>
            </w:r>
            <w:r>
              <w:rPr>
                <w:spacing w:val="-1"/>
                <w:u w:val="single"/>
              </w:rPr>
              <w:t>(PR)............................................................................................................................................</w:t>
            </w:r>
            <w:r>
              <w:rPr>
                <w:spacing w:val="-1"/>
                <w:u w:val="single"/>
              </w:rPr>
              <w:tab/>
            </w:r>
          </w:p>
        </w:tc>
        <w:tc>
          <w:tcPr>
            <w:tcW w:w="886" w:type="dxa"/>
            <w:tcBorders>
              <w:top w:val="single" w:sz="4" w:space="0" w:color="000000"/>
            </w:tcBorders>
          </w:tcPr>
          <w:p w:rsidR="00D81F69" w:rsidRDefault="00330118">
            <w:pPr>
              <w:pStyle w:val="TableParagraph"/>
              <w:spacing w:before="131" w:line="240" w:lineRule="auto"/>
              <w:ind w:left="224"/>
            </w:pPr>
            <w:r>
              <w:t>357</w:t>
            </w:r>
          </w:p>
        </w:tc>
      </w:tr>
      <w:tr w:rsidR="00D81F69">
        <w:trPr>
          <w:trHeight w:val="256"/>
        </w:trPr>
        <w:tc>
          <w:tcPr>
            <w:tcW w:w="9042" w:type="dxa"/>
            <w:tcBorders>
              <w:bottom w:val="single" w:sz="4" w:space="0" w:color="000000"/>
            </w:tcBorders>
          </w:tcPr>
          <w:p w:rsidR="00D81F69" w:rsidRPr="00392EAD" w:rsidRDefault="00330118">
            <w:pPr>
              <w:pStyle w:val="TableParagraph"/>
              <w:rPr>
                <w:lang w:val="pt-BR"/>
              </w:rPr>
            </w:pPr>
            <w:r w:rsidRPr="00392EAD">
              <w:rPr>
                <w:lang w:val="pt-BR"/>
              </w:rPr>
              <w:t>Chumbo co</w:t>
            </w:r>
            <w:r w:rsidRPr="00392EAD">
              <w:rPr>
                <w:lang w:val="pt-BR"/>
              </w:rPr>
              <w:t>ntamina solo e habitantes da região do Alto Vale do Ribeira...........................................</w:t>
            </w:r>
          </w:p>
        </w:tc>
        <w:tc>
          <w:tcPr>
            <w:tcW w:w="886" w:type="dxa"/>
            <w:tcBorders>
              <w:bottom w:val="single" w:sz="4" w:space="0" w:color="000000"/>
            </w:tcBorders>
          </w:tcPr>
          <w:p w:rsidR="00D81F69" w:rsidRDefault="00330118">
            <w:pPr>
              <w:pStyle w:val="TableParagraph"/>
              <w:ind w:left="224"/>
            </w:pPr>
            <w:r>
              <w:t>360</w:t>
            </w:r>
          </w:p>
        </w:tc>
      </w:tr>
      <w:tr w:rsidR="00D81F69">
        <w:trPr>
          <w:trHeight w:val="268"/>
        </w:trPr>
        <w:tc>
          <w:tcPr>
            <w:tcW w:w="9042" w:type="dxa"/>
            <w:tcBorders>
              <w:top w:val="single" w:sz="4" w:space="0" w:color="000000"/>
              <w:bottom w:val="single" w:sz="4" w:space="0" w:color="000000"/>
            </w:tcBorders>
          </w:tcPr>
          <w:p w:rsidR="00D81F69" w:rsidRPr="00392EAD" w:rsidRDefault="00330118">
            <w:pPr>
              <w:pStyle w:val="TableParagraph"/>
              <w:spacing w:line="248" w:lineRule="exact"/>
              <w:rPr>
                <w:lang w:val="pt-BR"/>
              </w:rPr>
            </w:pPr>
            <w:r w:rsidRPr="00392EAD">
              <w:rPr>
                <w:lang w:val="pt-BR"/>
              </w:rPr>
              <w:t>Mobilização comunitária impede a instalação de recicladora de chumbo em Mauá da Serra (PR)...</w:t>
            </w:r>
          </w:p>
        </w:tc>
        <w:tc>
          <w:tcPr>
            <w:tcW w:w="886" w:type="dxa"/>
            <w:tcBorders>
              <w:top w:val="single" w:sz="4" w:space="0" w:color="000000"/>
              <w:bottom w:val="single" w:sz="4" w:space="0" w:color="000000"/>
            </w:tcBorders>
          </w:tcPr>
          <w:p w:rsidR="00D81F69" w:rsidRDefault="00330118">
            <w:pPr>
              <w:pStyle w:val="TableParagraph"/>
              <w:spacing w:line="248" w:lineRule="exact"/>
              <w:ind w:left="224"/>
            </w:pPr>
            <w:r>
              <w:t>362</w:t>
            </w:r>
          </w:p>
        </w:tc>
      </w:tr>
      <w:tr w:rsidR="00D81F69">
        <w:trPr>
          <w:trHeight w:val="268"/>
        </w:trPr>
        <w:tc>
          <w:tcPr>
            <w:tcW w:w="9042" w:type="dxa"/>
            <w:tcBorders>
              <w:top w:val="single" w:sz="4" w:space="0" w:color="000000"/>
              <w:bottom w:val="single" w:sz="4" w:space="0" w:color="000000"/>
            </w:tcBorders>
          </w:tcPr>
          <w:p w:rsidR="00D81F69" w:rsidRPr="00392EAD" w:rsidRDefault="00330118">
            <w:pPr>
              <w:pStyle w:val="TableParagraph"/>
              <w:spacing w:line="248" w:lineRule="exact"/>
              <w:rPr>
                <w:lang w:val="pt-BR"/>
              </w:rPr>
            </w:pPr>
            <w:r w:rsidRPr="00392EAD">
              <w:rPr>
                <w:lang w:val="pt-BR"/>
              </w:rPr>
              <w:t>Moradores de Candiota (RS) convivem com resíduos da queima de carvão de termelétrica............</w:t>
            </w:r>
          </w:p>
        </w:tc>
        <w:tc>
          <w:tcPr>
            <w:tcW w:w="886" w:type="dxa"/>
            <w:tcBorders>
              <w:top w:val="single" w:sz="4" w:space="0" w:color="000000"/>
              <w:bottom w:val="single" w:sz="4" w:space="0" w:color="000000"/>
            </w:tcBorders>
          </w:tcPr>
          <w:p w:rsidR="00D81F69" w:rsidRDefault="00330118">
            <w:pPr>
              <w:pStyle w:val="TableParagraph"/>
              <w:spacing w:line="248" w:lineRule="exact"/>
              <w:ind w:left="224"/>
            </w:pPr>
            <w:r>
              <w:t>365</w:t>
            </w:r>
          </w:p>
        </w:tc>
      </w:tr>
      <w:tr w:rsidR="00D81F69">
        <w:trPr>
          <w:trHeight w:val="270"/>
        </w:trPr>
        <w:tc>
          <w:tcPr>
            <w:tcW w:w="9042" w:type="dxa"/>
            <w:tcBorders>
              <w:top w:val="single" w:sz="4" w:space="0" w:color="000000"/>
              <w:bottom w:val="single" w:sz="4" w:space="0" w:color="000000"/>
            </w:tcBorders>
          </w:tcPr>
          <w:p w:rsidR="00D81F69" w:rsidRPr="00392EAD" w:rsidRDefault="00330118">
            <w:pPr>
              <w:pStyle w:val="TableParagraph"/>
              <w:spacing w:line="251" w:lineRule="exact"/>
              <w:rPr>
                <w:lang w:val="pt-BR"/>
              </w:rPr>
            </w:pPr>
            <w:r w:rsidRPr="00392EAD">
              <w:rPr>
                <w:lang w:val="pt-BR"/>
              </w:rPr>
              <w:t>Exploração de cobre em Minas do Camaquã (RS) provocou alterações na paisagem........................</w:t>
            </w:r>
          </w:p>
        </w:tc>
        <w:tc>
          <w:tcPr>
            <w:tcW w:w="886" w:type="dxa"/>
            <w:tcBorders>
              <w:top w:val="single" w:sz="4" w:space="0" w:color="000000"/>
              <w:bottom w:val="single" w:sz="4" w:space="0" w:color="000000"/>
            </w:tcBorders>
          </w:tcPr>
          <w:p w:rsidR="00D81F69" w:rsidRDefault="00330118">
            <w:pPr>
              <w:pStyle w:val="TableParagraph"/>
              <w:spacing w:line="251" w:lineRule="exact"/>
              <w:ind w:left="224"/>
            </w:pPr>
            <w:r>
              <w:t>368</w:t>
            </w:r>
          </w:p>
        </w:tc>
      </w:tr>
      <w:tr w:rsidR="00D81F69">
        <w:trPr>
          <w:trHeight w:val="268"/>
        </w:trPr>
        <w:tc>
          <w:tcPr>
            <w:tcW w:w="9042" w:type="dxa"/>
            <w:tcBorders>
              <w:top w:val="single" w:sz="4" w:space="0" w:color="000000"/>
              <w:bottom w:val="single" w:sz="4" w:space="0" w:color="000000"/>
            </w:tcBorders>
          </w:tcPr>
          <w:p w:rsidR="00D81F69" w:rsidRPr="00392EAD" w:rsidRDefault="00330118">
            <w:pPr>
              <w:pStyle w:val="TableParagraph"/>
              <w:spacing w:line="248" w:lineRule="exact"/>
              <w:rPr>
                <w:lang w:val="pt-BR"/>
              </w:rPr>
            </w:pPr>
            <w:r w:rsidRPr="00392EAD">
              <w:rPr>
                <w:lang w:val="pt-BR"/>
              </w:rPr>
              <w:t>Extração de ouro e cobre em Lavras do Sul (RS) contamina solo com metais pesados .....................</w:t>
            </w:r>
          </w:p>
        </w:tc>
        <w:tc>
          <w:tcPr>
            <w:tcW w:w="886" w:type="dxa"/>
            <w:tcBorders>
              <w:top w:val="single" w:sz="4" w:space="0" w:color="000000"/>
              <w:bottom w:val="single" w:sz="4" w:space="0" w:color="000000"/>
            </w:tcBorders>
          </w:tcPr>
          <w:p w:rsidR="00D81F69" w:rsidRDefault="00330118">
            <w:pPr>
              <w:pStyle w:val="TableParagraph"/>
              <w:spacing w:line="248" w:lineRule="exact"/>
              <w:ind w:left="224"/>
            </w:pPr>
            <w:r>
              <w:t>371</w:t>
            </w:r>
          </w:p>
        </w:tc>
      </w:tr>
      <w:tr w:rsidR="00D81F69">
        <w:trPr>
          <w:trHeight w:val="268"/>
        </w:trPr>
        <w:tc>
          <w:tcPr>
            <w:tcW w:w="9042" w:type="dxa"/>
            <w:tcBorders>
              <w:top w:val="single" w:sz="4" w:space="0" w:color="000000"/>
              <w:bottom w:val="single" w:sz="4" w:space="0" w:color="000000"/>
            </w:tcBorders>
          </w:tcPr>
          <w:p w:rsidR="00D81F69" w:rsidRPr="00392EAD" w:rsidRDefault="00330118">
            <w:pPr>
              <w:pStyle w:val="TableParagraph"/>
              <w:spacing w:line="248" w:lineRule="exact"/>
              <w:rPr>
                <w:lang w:val="pt-BR"/>
              </w:rPr>
            </w:pPr>
            <w:r w:rsidRPr="00392EAD">
              <w:rPr>
                <w:lang w:val="pt-BR"/>
              </w:rPr>
              <w:t>A influência do garimpo na qualidade das águas da Bacia Hidrográfica do rio Ibicuí Mirim (RS).......</w:t>
            </w:r>
          </w:p>
        </w:tc>
        <w:tc>
          <w:tcPr>
            <w:tcW w:w="886" w:type="dxa"/>
            <w:tcBorders>
              <w:top w:val="single" w:sz="4" w:space="0" w:color="000000"/>
              <w:bottom w:val="single" w:sz="4" w:space="0" w:color="000000"/>
            </w:tcBorders>
          </w:tcPr>
          <w:p w:rsidR="00D81F69" w:rsidRDefault="00330118">
            <w:pPr>
              <w:pStyle w:val="TableParagraph"/>
              <w:spacing w:line="248" w:lineRule="exact"/>
              <w:ind w:left="224"/>
            </w:pPr>
            <w:r>
              <w:t>374</w:t>
            </w:r>
          </w:p>
        </w:tc>
      </w:tr>
      <w:tr w:rsidR="00D81F69">
        <w:trPr>
          <w:trHeight w:val="268"/>
        </w:trPr>
        <w:tc>
          <w:tcPr>
            <w:tcW w:w="9042" w:type="dxa"/>
            <w:tcBorders>
              <w:top w:val="single" w:sz="4" w:space="0" w:color="000000"/>
              <w:bottom w:val="single" w:sz="4" w:space="0" w:color="000000"/>
            </w:tcBorders>
          </w:tcPr>
          <w:p w:rsidR="00D81F69" w:rsidRPr="00392EAD" w:rsidRDefault="00330118">
            <w:pPr>
              <w:pStyle w:val="TableParagraph"/>
              <w:spacing w:line="248" w:lineRule="exact"/>
              <w:rPr>
                <w:lang w:val="pt-BR"/>
              </w:rPr>
            </w:pPr>
            <w:r w:rsidRPr="00392EAD">
              <w:rPr>
                <w:lang w:val="pt-BR"/>
              </w:rPr>
              <w:t>Instalação de fosfateira em Anitápolis (SC</w:t>
            </w:r>
            <w:r w:rsidRPr="00392EAD">
              <w:rPr>
                <w:lang w:val="pt-BR"/>
              </w:rPr>
              <w:t>) gera reação e é vetada pela Justiça................................</w:t>
            </w:r>
          </w:p>
        </w:tc>
        <w:tc>
          <w:tcPr>
            <w:tcW w:w="886" w:type="dxa"/>
            <w:tcBorders>
              <w:top w:val="single" w:sz="4" w:space="0" w:color="000000"/>
              <w:bottom w:val="single" w:sz="4" w:space="0" w:color="000000"/>
            </w:tcBorders>
          </w:tcPr>
          <w:p w:rsidR="00D81F69" w:rsidRDefault="00330118">
            <w:pPr>
              <w:pStyle w:val="TableParagraph"/>
              <w:spacing w:line="248" w:lineRule="exact"/>
              <w:ind w:left="224"/>
            </w:pPr>
            <w:r>
              <w:t>377</w:t>
            </w:r>
          </w:p>
        </w:tc>
      </w:tr>
    </w:tbl>
    <w:p w:rsidR="00D81F69" w:rsidRDefault="00D81F69">
      <w:pPr>
        <w:spacing w:line="248" w:lineRule="exact"/>
        <w:sectPr w:rsidR="00D81F69">
          <w:footerReference w:type="default" r:id="rId15"/>
          <w:pgSz w:w="11910" w:h="16840"/>
          <w:pgMar w:top="1440" w:right="740" w:bottom="280" w:left="860" w:header="0" w:footer="0" w:gutter="0"/>
          <w:cols w:space="720"/>
        </w:sectPr>
      </w:pPr>
    </w:p>
    <w:p w:rsidR="00D81F69" w:rsidRPr="00392EAD" w:rsidRDefault="00330118">
      <w:pPr>
        <w:pStyle w:val="Heading2"/>
        <w:spacing w:before="74" w:line="242" w:lineRule="auto"/>
        <w:ind w:left="2843" w:right="1162" w:hanging="1791"/>
        <w:rPr>
          <w:lang w:val="pt-BR"/>
        </w:rPr>
      </w:pPr>
      <w:bookmarkStart w:id="1" w:name="_TOC_250023"/>
      <w:bookmarkEnd w:id="1"/>
      <w:r w:rsidRPr="00392EAD">
        <w:rPr>
          <w:lang w:val="pt-BR"/>
        </w:rPr>
        <w:lastRenderedPageBreak/>
        <w:t>Atividade mineradora gera riqueza e impactos negativos nas comunidades e no meio ambiente</w:t>
      </w:r>
    </w:p>
    <w:p w:rsidR="00D81F69" w:rsidRPr="00392EAD" w:rsidRDefault="00330118">
      <w:pPr>
        <w:spacing w:line="249" w:lineRule="exact"/>
        <w:ind w:right="959"/>
        <w:jc w:val="right"/>
        <w:rPr>
          <w:i/>
          <w:lang w:val="pt-BR"/>
        </w:rPr>
      </w:pPr>
      <w:r w:rsidRPr="00392EAD">
        <w:rPr>
          <w:i/>
          <w:lang w:val="pt-BR"/>
        </w:rPr>
        <w:t xml:space="preserve">Eliane Rocha Araujo </w:t>
      </w:r>
      <w:hyperlink w:anchor="_bookmark0" w:history="1">
        <w:r w:rsidRPr="00392EAD">
          <w:rPr>
            <w:i/>
            <w:vertAlign w:val="superscript"/>
            <w:lang w:val="pt-BR"/>
          </w:rPr>
          <w:t>1</w:t>
        </w:r>
      </w:hyperlink>
    </w:p>
    <w:p w:rsidR="00D81F69" w:rsidRPr="00392EAD" w:rsidRDefault="00330118">
      <w:pPr>
        <w:spacing w:line="252" w:lineRule="exact"/>
        <w:ind w:right="959"/>
        <w:jc w:val="right"/>
        <w:rPr>
          <w:i/>
          <w:lang w:val="pt-BR"/>
        </w:rPr>
      </w:pPr>
      <w:r w:rsidRPr="00392EAD">
        <w:rPr>
          <w:i/>
          <w:lang w:val="pt-BR"/>
        </w:rPr>
        <w:t xml:space="preserve">Renata Damico Olivieri </w:t>
      </w:r>
      <w:hyperlink w:anchor="_bookmark1" w:history="1">
        <w:r w:rsidRPr="00392EAD">
          <w:rPr>
            <w:i/>
            <w:vertAlign w:val="superscript"/>
            <w:lang w:val="pt-BR"/>
          </w:rPr>
          <w:t>2</w:t>
        </w:r>
      </w:hyperlink>
    </w:p>
    <w:p w:rsidR="00D81F69" w:rsidRPr="00392EAD" w:rsidRDefault="00330118">
      <w:pPr>
        <w:spacing w:before="1"/>
        <w:ind w:right="959"/>
        <w:jc w:val="right"/>
        <w:rPr>
          <w:i/>
          <w:lang w:val="pt-BR"/>
        </w:rPr>
      </w:pPr>
      <w:r w:rsidRPr="00392EAD">
        <w:rPr>
          <w:i/>
          <w:lang w:val="pt-BR"/>
        </w:rPr>
        <w:t xml:space="preserve">Francisco Rego Chaves Fernandes </w:t>
      </w:r>
      <w:hyperlink w:anchor="_bookmark2" w:history="1">
        <w:r w:rsidRPr="00392EAD">
          <w:rPr>
            <w:i/>
            <w:vertAlign w:val="superscript"/>
            <w:lang w:val="pt-BR"/>
          </w:rPr>
          <w:t>3</w:t>
        </w:r>
      </w:hyperlink>
    </w:p>
    <w:p w:rsidR="00D81F69" w:rsidRPr="00392EAD" w:rsidRDefault="00D81F69">
      <w:pPr>
        <w:pStyle w:val="Corpodetexto"/>
        <w:spacing w:before="2"/>
        <w:ind w:left="0"/>
        <w:jc w:val="left"/>
        <w:rPr>
          <w:i/>
          <w:sz w:val="34"/>
          <w:lang w:val="pt-BR"/>
        </w:rPr>
      </w:pPr>
    </w:p>
    <w:p w:rsidR="00D81F69" w:rsidRPr="00392EAD" w:rsidRDefault="00330118">
      <w:pPr>
        <w:ind w:left="841"/>
        <w:jc w:val="both"/>
        <w:rPr>
          <w:b/>
          <w:sz w:val="24"/>
          <w:lang w:val="pt-BR"/>
        </w:rPr>
      </w:pPr>
      <w:r w:rsidRPr="00392EAD">
        <w:rPr>
          <w:b/>
          <w:sz w:val="24"/>
          <w:lang w:val="pt-BR"/>
        </w:rPr>
        <w:t>Os recursos minerais geram riqueza para o Brasil</w:t>
      </w:r>
    </w:p>
    <w:p w:rsidR="00D81F69" w:rsidRPr="00392EAD" w:rsidRDefault="00330118">
      <w:pPr>
        <w:pStyle w:val="Heading4"/>
        <w:spacing w:before="120"/>
        <w:ind w:left="841" w:right="957"/>
        <w:rPr>
          <w:lang w:val="pt-BR"/>
        </w:rPr>
      </w:pPr>
      <w:r w:rsidRPr="00392EAD">
        <w:rPr>
          <w:lang w:val="pt-BR"/>
        </w:rPr>
        <w:t>O Brasil detém um enorme patrimônio mineral, sendo um dos maiores produtores e exportadores</w:t>
      </w:r>
      <w:r w:rsidRPr="00392EAD">
        <w:rPr>
          <w:lang w:val="pt-BR"/>
        </w:rPr>
        <w:t xml:space="preserve"> de minérios do mundo. Produz 72 substâncias minerais, das quais 23 são metálicas, 45, não-metálicas e 4, energéticas. O minério de ferro lidera com 60% do valor total da produção mineral brasileira, e em segundo lugar o ouro, com apenas 5%.</w:t>
      </w:r>
    </w:p>
    <w:p w:rsidR="00D81F69" w:rsidRPr="00392EAD" w:rsidRDefault="00330118">
      <w:pPr>
        <w:spacing w:before="121"/>
        <w:ind w:left="841" w:right="957"/>
        <w:jc w:val="both"/>
        <w:rPr>
          <w:sz w:val="24"/>
          <w:lang w:val="pt-BR"/>
        </w:rPr>
      </w:pPr>
      <w:r w:rsidRPr="00392EAD">
        <w:rPr>
          <w:sz w:val="24"/>
          <w:lang w:val="pt-BR"/>
        </w:rPr>
        <w:t>Desde o início</w:t>
      </w:r>
      <w:r w:rsidRPr="00392EAD">
        <w:rPr>
          <w:sz w:val="24"/>
          <w:lang w:val="pt-BR"/>
        </w:rPr>
        <w:t xml:space="preserve"> do século XXI, a indústria extrativa mineral (mineração e lavra garimpeira) vem sendo alavancada por elevado investimento: somente nos últimos 10 anos, o valor da produção cresceu 550% e, ao mesmo tempo, os investimentos programados de 2012 a 2016 são de </w:t>
      </w:r>
      <w:r w:rsidRPr="00392EAD">
        <w:rPr>
          <w:sz w:val="24"/>
          <w:lang w:val="pt-BR"/>
        </w:rPr>
        <w:t>US$ 75 bilhões!</w:t>
      </w:r>
    </w:p>
    <w:p w:rsidR="00D81F69" w:rsidRPr="00392EAD" w:rsidRDefault="00330118">
      <w:pPr>
        <w:spacing w:before="120"/>
        <w:ind w:left="841" w:right="957"/>
        <w:jc w:val="both"/>
        <w:rPr>
          <w:sz w:val="24"/>
          <w:lang w:val="pt-BR"/>
        </w:rPr>
      </w:pPr>
      <w:r w:rsidRPr="00392EAD">
        <w:rPr>
          <w:sz w:val="24"/>
          <w:lang w:val="pt-BR"/>
        </w:rPr>
        <w:t>O Brasil é o principal produtor mundial de nióbio e tântalo, figurando em segundo lugar na produção de magnesita e, em terceiro, na de minério  de ferro, bauxita, crisotila e grafita. Também se destaca na produção de rochas ornamentais e de</w:t>
      </w:r>
      <w:r w:rsidRPr="00392EAD">
        <w:rPr>
          <w:sz w:val="24"/>
          <w:lang w:val="pt-BR"/>
        </w:rPr>
        <w:t xml:space="preserve"> revestimento, fosfato, talco, vermiculita e estanho, dentre outros minérios (DNPM, 2012). Essa produção acontece em 3.354 minas</w:t>
      </w:r>
      <w:hyperlink w:anchor="_bookmark3" w:history="1">
        <w:r w:rsidRPr="00392EAD">
          <w:rPr>
            <w:sz w:val="24"/>
            <w:vertAlign w:val="superscript"/>
            <w:lang w:val="pt-BR"/>
          </w:rPr>
          <w:t>4</w:t>
        </w:r>
      </w:hyperlink>
      <w:r w:rsidRPr="00392EAD">
        <w:rPr>
          <w:sz w:val="24"/>
          <w:lang w:val="pt-BR"/>
        </w:rPr>
        <w:t>, sendo a maioria de pequeno porte (PINHEIRO, 2011). No total, existem 8.870 mineradoras</w:t>
      </w:r>
      <w:hyperlink w:anchor="_bookmark4" w:history="1">
        <w:r w:rsidRPr="00392EAD">
          <w:rPr>
            <w:sz w:val="24"/>
            <w:vertAlign w:val="superscript"/>
            <w:lang w:val="pt-BR"/>
          </w:rPr>
          <w:t>5</w:t>
        </w:r>
        <w:r w:rsidRPr="00392EAD">
          <w:rPr>
            <w:sz w:val="24"/>
            <w:lang w:val="pt-BR"/>
          </w:rPr>
          <w:t xml:space="preserve"> </w:t>
        </w:r>
      </w:hyperlink>
      <w:r w:rsidRPr="00392EAD">
        <w:rPr>
          <w:sz w:val="24"/>
          <w:lang w:val="pt-BR"/>
        </w:rPr>
        <w:t>registradas no DNPM, tanto em Regime de Concessão de Lavra quanto em Regime de Licenciamento (IBRAM,</w:t>
      </w:r>
      <w:r w:rsidRPr="00392EAD">
        <w:rPr>
          <w:spacing w:val="-6"/>
          <w:sz w:val="24"/>
          <w:lang w:val="pt-BR"/>
        </w:rPr>
        <w:t xml:space="preserve"> </w:t>
      </w:r>
      <w:r w:rsidRPr="00392EAD">
        <w:rPr>
          <w:sz w:val="24"/>
          <w:lang w:val="pt-BR"/>
        </w:rPr>
        <w:t>2011).</w:t>
      </w:r>
    </w:p>
    <w:p w:rsidR="00D81F69" w:rsidRPr="00392EAD" w:rsidRDefault="00330118">
      <w:pPr>
        <w:spacing w:before="120"/>
        <w:ind w:left="841" w:right="957"/>
        <w:jc w:val="both"/>
        <w:rPr>
          <w:sz w:val="24"/>
          <w:lang w:val="pt-BR"/>
        </w:rPr>
      </w:pPr>
      <w:r w:rsidRPr="00392EAD">
        <w:rPr>
          <w:sz w:val="24"/>
          <w:lang w:val="pt-BR"/>
        </w:rPr>
        <w:t>A geração de riqueza proporcionada pela indústria extrativa mineral pode ser comprovada pelos seguintes dados:</w:t>
      </w:r>
    </w:p>
    <w:p w:rsidR="00D81F69" w:rsidRPr="00392EAD" w:rsidRDefault="00330118">
      <w:pPr>
        <w:pStyle w:val="PargrafodaLista"/>
        <w:numPr>
          <w:ilvl w:val="0"/>
          <w:numId w:val="5"/>
        </w:numPr>
        <w:tabs>
          <w:tab w:val="left" w:pos="1550"/>
        </w:tabs>
        <w:spacing w:before="120"/>
        <w:ind w:right="955" w:hanging="55"/>
        <w:rPr>
          <w:sz w:val="24"/>
          <w:lang w:val="pt-BR"/>
        </w:rPr>
      </w:pPr>
      <w:r w:rsidRPr="00392EAD">
        <w:rPr>
          <w:sz w:val="24"/>
          <w:lang w:val="pt-BR"/>
        </w:rPr>
        <w:t>Em 2013, os registros oficiais do valor da Produção Mineral Brasileira (sem petróleo) foram de US$ 42 bilhões, com o emprego direto de 175 mil trabalhadores, valores subavaliados porque a mineração no Brasil tem forte informalidade produtiva. Corresponde a</w:t>
      </w:r>
      <w:r w:rsidRPr="00392EAD">
        <w:rPr>
          <w:sz w:val="24"/>
          <w:lang w:val="pt-BR"/>
        </w:rPr>
        <w:t xml:space="preserve"> 4 % do PIB brasileiro e, se computarmos os segmentos da indústria transformadora de base mineral atinge US$150</w:t>
      </w:r>
      <w:r w:rsidRPr="00392EAD">
        <w:rPr>
          <w:spacing w:val="-1"/>
          <w:sz w:val="24"/>
          <w:lang w:val="pt-BR"/>
        </w:rPr>
        <w:t xml:space="preserve"> </w:t>
      </w:r>
      <w:r w:rsidRPr="00392EAD">
        <w:rPr>
          <w:sz w:val="24"/>
          <w:lang w:val="pt-BR"/>
        </w:rPr>
        <w:t>bilhões;</w:t>
      </w:r>
    </w:p>
    <w:p w:rsidR="00D81F69" w:rsidRPr="00392EAD" w:rsidRDefault="00330118">
      <w:pPr>
        <w:pStyle w:val="PargrafodaLista"/>
        <w:numPr>
          <w:ilvl w:val="0"/>
          <w:numId w:val="5"/>
        </w:numPr>
        <w:tabs>
          <w:tab w:val="left" w:pos="1550"/>
        </w:tabs>
        <w:spacing w:before="120"/>
        <w:ind w:right="955" w:hanging="55"/>
        <w:rPr>
          <w:sz w:val="24"/>
          <w:lang w:val="pt-BR"/>
        </w:rPr>
      </w:pPr>
      <w:r w:rsidRPr="00392EAD">
        <w:rPr>
          <w:sz w:val="24"/>
          <w:lang w:val="pt-BR"/>
        </w:rPr>
        <w:t xml:space="preserve">A balança comercial da indústria extrativa mineral (sem petróleo) foi extremamente favorável, atingiu US$ 30 bilhões, e as exportações </w:t>
      </w:r>
      <w:r w:rsidRPr="00392EAD">
        <w:rPr>
          <w:sz w:val="24"/>
          <w:lang w:val="pt-BR"/>
        </w:rPr>
        <w:t>foram de US$ 39</w:t>
      </w:r>
      <w:r w:rsidRPr="00392EAD">
        <w:rPr>
          <w:spacing w:val="-1"/>
          <w:sz w:val="24"/>
          <w:lang w:val="pt-BR"/>
        </w:rPr>
        <w:t xml:space="preserve"> </w:t>
      </w:r>
      <w:r w:rsidRPr="00392EAD">
        <w:rPr>
          <w:sz w:val="24"/>
          <w:lang w:val="pt-BR"/>
        </w:rPr>
        <w:t>bilhões;</w:t>
      </w:r>
    </w:p>
    <w:p w:rsidR="00D81F69" w:rsidRPr="00392EAD" w:rsidRDefault="00330118">
      <w:pPr>
        <w:pStyle w:val="PargrafodaLista"/>
        <w:numPr>
          <w:ilvl w:val="0"/>
          <w:numId w:val="5"/>
        </w:numPr>
        <w:tabs>
          <w:tab w:val="left" w:pos="1550"/>
        </w:tabs>
        <w:spacing w:before="120"/>
        <w:ind w:right="956" w:hanging="55"/>
        <w:rPr>
          <w:sz w:val="24"/>
          <w:lang w:val="pt-BR"/>
        </w:rPr>
      </w:pPr>
      <w:r w:rsidRPr="00392EAD">
        <w:rPr>
          <w:sz w:val="24"/>
          <w:lang w:val="pt-BR"/>
        </w:rPr>
        <w:t>A indústria extrativa mineral (sem petróleo) também gera um efeito multiplicador na economia, tanto na produção como no emprego, pois os bens que extrai fornecem insumos tanto para a indústria de transformação quanto para o setor de construção, e os seus e</w:t>
      </w:r>
      <w:r w:rsidRPr="00392EAD">
        <w:rPr>
          <w:sz w:val="24"/>
          <w:lang w:val="pt-BR"/>
        </w:rPr>
        <w:t>mpreendimentos geram, na sua esfera de influência, um amplo conjunto de atividades conexas de bens e</w:t>
      </w:r>
      <w:r w:rsidRPr="00392EAD">
        <w:rPr>
          <w:spacing w:val="-26"/>
          <w:sz w:val="24"/>
          <w:lang w:val="pt-BR"/>
        </w:rPr>
        <w:t xml:space="preserve"> </w:t>
      </w:r>
      <w:r w:rsidRPr="00392EAD">
        <w:rPr>
          <w:sz w:val="24"/>
          <w:lang w:val="pt-BR"/>
        </w:rPr>
        <w:t>serviços.</w:t>
      </w:r>
    </w:p>
    <w:p w:rsidR="00D81F69" w:rsidRPr="00392EAD" w:rsidRDefault="00D81F69">
      <w:pPr>
        <w:pStyle w:val="Corpodetexto"/>
        <w:spacing w:before="11"/>
        <w:ind w:left="0"/>
        <w:jc w:val="left"/>
        <w:rPr>
          <w:sz w:val="14"/>
          <w:lang w:val="pt-BR"/>
        </w:rPr>
      </w:pPr>
      <w:r w:rsidRPr="00D81F69">
        <w:pict>
          <v:line id="_x0000_s1041" style="position:absolute;z-index:5392;mso-wrap-distance-left:0;mso-wrap-distance-right:0;mso-position-horizontal-relative:page" from="85.1pt,10.85pt" to="229.1pt,10.85pt" strokeweight=".21131mm">
            <w10:wrap type="topAndBottom" anchorx="page"/>
          </v:line>
        </w:pict>
      </w:r>
    </w:p>
    <w:p w:rsidR="00D81F69" w:rsidRPr="00392EAD" w:rsidRDefault="00330118">
      <w:pPr>
        <w:pStyle w:val="Corpodetexto"/>
        <w:spacing w:before="42"/>
        <w:ind w:left="841" w:right="957" w:hanging="1"/>
        <w:rPr>
          <w:lang w:val="pt-BR"/>
        </w:rPr>
      </w:pPr>
      <w:bookmarkStart w:id="2" w:name="_bookmark0"/>
      <w:bookmarkEnd w:id="2"/>
      <w:r w:rsidRPr="00392EAD">
        <w:rPr>
          <w:position w:val="9"/>
          <w:sz w:val="12"/>
          <w:lang w:val="pt-BR"/>
        </w:rPr>
        <w:t xml:space="preserve">1 </w:t>
      </w:r>
      <w:r w:rsidRPr="00392EAD">
        <w:rPr>
          <w:lang w:val="pt-BR"/>
        </w:rPr>
        <w:t>Jornalista com mestrado em Psicossociologia de Comunidades e Ecologia Social pela Universidade Federal do Rio de Janeiro (UFRJ).</w:t>
      </w:r>
    </w:p>
    <w:p w:rsidR="00D81F69" w:rsidRPr="00392EAD" w:rsidRDefault="00330118">
      <w:pPr>
        <w:pStyle w:val="Corpodetexto"/>
        <w:spacing w:line="191" w:lineRule="exact"/>
        <w:ind w:left="841"/>
        <w:jc w:val="left"/>
        <w:rPr>
          <w:lang w:val="pt-BR"/>
        </w:rPr>
      </w:pPr>
      <w:bookmarkStart w:id="3" w:name="_bookmark1"/>
      <w:bookmarkEnd w:id="3"/>
      <w:r w:rsidRPr="00392EAD">
        <w:rPr>
          <w:position w:val="9"/>
          <w:sz w:val="12"/>
          <w:lang w:val="pt-BR"/>
        </w:rPr>
        <w:t xml:space="preserve">2 </w:t>
      </w:r>
      <w:r w:rsidRPr="00392EAD">
        <w:rPr>
          <w:lang w:val="pt-BR"/>
        </w:rPr>
        <w:t>Jornalista</w:t>
      </w:r>
      <w:r w:rsidRPr="00392EAD">
        <w:rPr>
          <w:lang w:val="pt-BR"/>
        </w:rPr>
        <w:t xml:space="preserve"> pela Universidade Federal do Rio de Janeiro (UFRJ).</w:t>
      </w:r>
    </w:p>
    <w:p w:rsidR="00D81F69" w:rsidRPr="00392EAD" w:rsidRDefault="00330118">
      <w:pPr>
        <w:pStyle w:val="Corpodetexto"/>
        <w:spacing w:before="20" w:line="206" w:lineRule="exact"/>
        <w:ind w:left="841" w:right="957"/>
        <w:rPr>
          <w:lang w:val="pt-BR"/>
        </w:rPr>
      </w:pPr>
      <w:bookmarkStart w:id="4" w:name="_bookmark2"/>
      <w:bookmarkEnd w:id="4"/>
      <w:r w:rsidRPr="00392EAD">
        <w:rPr>
          <w:position w:val="9"/>
          <w:sz w:val="12"/>
          <w:lang w:val="pt-BR"/>
        </w:rPr>
        <w:t xml:space="preserve">3 </w:t>
      </w:r>
      <w:r w:rsidRPr="00392EAD">
        <w:rPr>
          <w:lang w:val="pt-BR"/>
        </w:rPr>
        <w:t>Pós-Doutorado em Desenvolvimento Sustentável em Recursos Minerais na Faculdade de Engenharia da Universidade do Porto (FEUP). Tecnologista Sênior do CETEM/MCTI.</w:t>
      </w:r>
    </w:p>
    <w:p w:rsidR="00D81F69" w:rsidRPr="00392EAD" w:rsidRDefault="00330118">
      <w:pPr>
        <w:pStyle w:val="Corpodetexto"/>
        <w:spacing w:before="4" w:line="206" w:lineRule="exact"/>
        <w:ind w:left="841" w:right="957"/>
        <w:rPr>
          <w:lang w:val="pt-BR"/>
        </w:rPr>
      </w:pPr>
      <w:bookmarkStart w:id="5" w:name="_bookmark3"/>
      <w:bookmarkEnd w:id="5"/>
      <w:r w:rsidRPr="00392EAD">
        <w:rPr>
          <w:position w:val="9"/>
          <w:sz w:val="12"/>
          <w:lang w:val="pt-BR"/>
        </w:rPr>
        <w:t xml:space="preserve">4 </w:t>
      </w:r>
      <w:r w:rsidRPr="00392EAD">
        <w:rPr>
          <w:lang w:val="pt-BR"/>
        </w:rPr>
        <w:t>Mina em atividade, considerada com tal</w:t>
      </w:r>
      <w:r w:rsidRPr="00392EAD">
        <w:rPr>
          <w:lang w:val="pt-BR"/>
        </w:rPr>
        <w:t xml:space="preserve"> desde que tenha entregue o RAL anual e tenha tido uma produção anual mínima de 10 mil t de ROM.</w:t>
      </w:r>
    </w:p>
    <w:p w:rsidR="00D81F69" w:rsidRPr="00392EAD" w:rsidRDefault="00330118">
      <w:pPr>
        <w:pStyle w:val="Corpodetexto"/>
        <w:spacing w:line="204" w:lineRule="exact"/>
        <w:ind w:left="841"/>
        <w:rPr>
          <w:lang w:val="pt-BR"/>
        </w:rPr>
      </w:pPr>
      <w:bookmarkStart w:id="6" w:name="_bookmark4"/>
      <w:bookmarkEnd w:id="6"/>
      <w:r w:rsidRPr="00392EAD">
        <w:rPr>
          <w:position w:val="9"/>
          <w:sz w:val="12"/>
          <w:lang w:val="pt-BR"/>
        </w:rPr>
        <w:t xml:space="preserve">5 </w:t>
      </w:r>
      <w:r w:rsidRPr="00392EAD">
        <w:rPr>
          <w:lang w:val="pt-BR"/>
        </w:rPr>
        <w:t>Inscritas no Cadastro do DNPM.</w:t>
      </w:r>
    </w:p>
    <w:p w:rsidR="00D81F69" w:rsidRPr="00392EAD" w:rsidRDefault="00D81F69">
      <w:pPr>
        <w:spacing w:line="204" w:lineRule="exact"/>
        <w:rPr>
          <w:lang w:val="pt-BR"/>
        </w:rPr>
        <w:sectPr w:rsidR="00D81F69" w:rsidRPr="00392EAD">
          <w:footerReference w:type="default" r:id="rId16"/>
          <w:pgSz w:w="11910" w:h="16840"/>
          <w:pgMar w:top="1320" w:right="740" w:bottom="600" w:left="860" w:header="0" w:footer="412" w:gutter="0"/>
          <w:pgNumType w:start="1"/>
          <w:cols w:space="720"/>
        </w:sectPr>
      </w:pPr>
    </w:p>
    <w:p w:rsidR="00D81F69" w:rsidRPr="00392EAD" w:rsidRDefault="00330118">
      <w:pPr>
        <w:spacing w:before="73"/>
        <w:ind w:left="841"/>
        <w:jc w:val="both"/>
        <w:rPr>
          <w:b/>
          <w:sz w:val="24"/>
          <w:lang w:val="pt-BR"/>
        </w:rPr>
      </w:pPr>
      <w:r w:rsidRPr="00392EAD">
        <w:rPr>
          <w:b/>
          <w:sz w:val="24"/>
          <w:lang w:val="pt-BR"/>
        </w:rPr>
        <w:lastRenderedPageBreak/>
        <w:t>Impactos socioeconômicos e ambientais</w:t>
      </w:r>
    </w:p>
    <w:p w:rsidR="00D81F69" w:rsidRPr="00392EAD" w:rsidRDefault="00330118">
      <w:pPr>
        <w:pStyle w:val="Heading4"/>
        <w:spacing w:before="120"/>
        <w:ind w:left="841" w:right="955"/>
        <w:rPr>
          <w:lang w:val="pt-BR"/>
        </w:rPr>
      </w:pPr>
      <w:r w:rsidRPr="00392EAD">
        <w:rPr>
          <w:lang w:val="pt-BR"/>
        </w:rPr>
        <w:t>Apesar de indubitavelmente gerar riqueza e crescimento econômico, sendo um dos importantes setores da economia brasileira, a indústria extrativa mineral está entre as atividades antrópicas que mais causam impactos socioeconômicos e ambientais negativos, af</w:t>
      </w:r>
      <w:r w:rsidRPr="00392EAD">
        <w:rPr>
          <w:lang w:val="pt-BR"/>
        </w:rPr>
        <w:t>etando, portanto, o território onde se realiza a</w:t>
      </w:r>
      <w:r w:rsidRPr="00392EAD">
        <w:rPr>
          <w:spacing w:val="1"/>
          <w:lang w:val="pt-BR"/>
        </w:rPr>
        <w:t xml:space="preserve"> </w:t>
      </w:r>
      <w:r w:rsidRPr="00392EAD">
        <w:rPr>
          <w:lang w:val="pt-BR"/>
        </w:rPr>
        <w:t>mineração.</w:t>
      </w:r>
    </w:p>
    <w:p w:rsidR="00D81F69" w:rsidRPr="00392EAD" w:rsidRDefault="00330118">
      <w:pPr>
        <w:spacing w:before="120"/>
        <w:ind w:left="841" w:right="957"/>
        <w:jc w:val="both"/>
        <w:rPr>
          <w:sz w:val="24"/>
          <w:lang w:val="pt-BR"/>
        </w:rPr>
      </w:pPr>
      <w:r w:rsidRPr="00392EAD">
        <w:rPr>
          <w:sz w:val="24"/>
          <w:lang w:val="pt-BR"/>
        </w:rPr>
        <w:t>Embora exista quem argumente que estes impactos negativos têm um confinamento limitado, sendo pontual e local, esta forte carga impactante da indústria extrativa mineral se caracteriza por ser dia</w:t>
      </w:r>
      <w:r w:rsidRPr="00392EAD">
        <w:rPr>
          <w:sz w:val="24"/>
          <w:lang w:val="pt-BR"/>
        </w:rPr>
        <w:t>riamente exercida, descentralizadamente, pelas mais de 3 mil minas e das 9 mil mineradoras hoje em atividade no Brasil, as quais se somam ainda algumas centenas de milhares de garimpeiros e pequenos produtores informais de minerais para uso imediato na con</w:t>
      </w:r>
      <w:r w:rsidRPr="00392EAD">
        <w:rPr>
          <w:sz w:val="24"/>
          <w:lang w:val="pt-BR"/>
        </w:rPr>
        <w:t>strução, aleatoriamente localizados no território brasileiro. Não se pode deixar de mencionar, ainda, os grandes passivos ambientais cujo número exato em todo o país é desconhecido, mas certamente ultrapassa as dezenas de milhares de minas e garimpos, inat</w:t>
      </w:r>
      <w:r w:rsidRPr="00392EAD">
        <w:rPr>
          <w:sz w:val="24"/>
          <w:lang w:val="pt-BR"/>
        </w:rPr>
        <w:t>ivos e abandonados, produto da mineração pretérita, mas ininterrupta, exercida no Brasil há mais de 500</w:t>
      </w:r>
      <w:r w:rsidRPr="00392EAD">
        <w:rPr>
          <w:spacing w:val="-32"/>
          <w:sz w:val="24"/>
          <w:lang w:val="pt-BR"/>
        </w:rPr>
        <w:t xml:space="preserve"> </w:t>
      </w:r>
      <w:r w:rsidRPr="00392EAD">
        <w:rPr>
          <w:sz w:val="24"/>
          <w:lang w:val="pt-BR"/>
        </w:rPr>
        <w:t>anos.</w:t>
      </w:r>
    </w:p>
    <w:p w:rsidR="00D81F69" w:rsidRPr="00392EAD" w:rsidRDefault="00330118">
      <w:pPr>
        <w:spacing w:before="120"/>
        <w:ind w:left="841" w:right="956"/>
        <w:jc w:val="both"/>
        <w:rPr>
          <w:sz w:val="24"/>
          <w:lang w:val="pt-BR"/>
        </w:rPr>
      </w:pPr>
      <w:r w:rsidRPr="00392EAD">
        <w:rPr>
          <w:sz w:val="24"/>
          <w:lang w:val="pt-BR"/>
        </w:rPr>
        <w:t>Os efeitos ambientais negativos da extração mineral (mineração e lavra garimpeira) estão associados às diversas fases de exploração dos bens miner</w:t>
      </w:r>
      <w:r w:rsidRPr="00392EAD">
        <w:rPr>
          <w:sz w:val="24"/>
          <w:lang w:val="pt-BR"/>
        </w:rPr>
        <w:t>ais, desde a lavra até o transporte e beneficiamento do minério, podendo estender-se após o fechamento da mina ou o encerramento das atividades. Ainda, a mineração altera de forma substancial o meio físico, provocando desmatamentos, erosão, contaminação do</w:t>
      </w:r>
      <w:r w:rsidRPr="00392EAD">
        <w:rPr>
          <w:sz w:val="24"/>
          <w:lang w:val="pt-BR"/>
        </w:rPr>
        <w:t>s corpos hídricos, aumento da dispersão de metais pesados, alterações da paisagem, do solo, além de comprometer a fauna e a flora. Afeta, também, o modo de viver e a qualidade de vida das populações estabelecidas na área minerada e em seu entorno.</w:t>
      </w:r>
    </w:p>
    <w:p w:rsidR="00D81F69" w:rsidRPr="00392EAD" w:rsidRDefault="00330118">
      <w:pPr>
        <w:spacing w:before="121"/>
        <w:ind w:left="841" w:right="956"/>
        <w:jc w:val="both"/>
        <w:rPr>
          <w:sz w:val="24"/>
          <w:lang w:val="pt-BR"/>
        </w:rPr>
      </w:pPr>
      <w:r w:rsidRPr="00392EAD">
        <w:rPr>
          <w:sz w:val="24"/>
          <w:lang w:val="pt-BR"/>
        </w:rPr>
        <w:t>Esses im</w:t>
      </w:r>
      <w:r w:rsidRPr="00392EAD">
        <w:rPr>
          <w:sz w:val="24"/>
          <w:lang w:val="pt-BR"/>
        </w:rPr>
        <w:t>pactos ambientais negativos, quando não são detectados e corrigidos, se transformam num passivo ambiental, o que tem acontecido com frequência no Brasil (PAIVA, 2006). Alguns exemplos são lapidares, como as minas abandonadas de ouro, muitas datando de cent</w:t>
      </w:r>
      <w:r w:rsidRPr="00392EAD">
        <w:rPr>
          <w:sz w:val="24"/>
          <w:lang w:val="pt-BR"/>
        </w:rPr>
        <w:t>enas de anos, sendo ainda hoje fonte significativa de poluição. A exploração de carvão também deixou sérios passivos ambientais, não resolvidos. Apenas na Bacia Carbonífera Sulcatarinense, estima-se que existam mil bocas de minas antigas abandonadas, a mai</w:t>
      </w:r>
      <w:r w:rsidRPr="00392EAD">
        <w:rPr>
          <w:sz w:val="24"/>
          <w:lang w:val="pt-BR"/>
        </w:rPr>
        <w:t>or parte delas com 50 - 80 anos (AMARAL; KREBS; PAZZETTO, 2008).</w:t>
      </w:r>
    </w:p>
    <w:p w:rsidR="00D81F69" w:rsidRPr="00392EAD" w:rsidRDefault="00330118">
      <w:pPr>
        <w:spacing w:before="120"/>
        <w:ind w:left="841" w:right="956"/>
        <w:jc w:val="both"/>
        <w:rPr>
          <w:sz w:val="24"/>
          <w:lang w:val="pt-BR"/>
        </w:rPr>
      </w:pPr>
      <w:r w:rsidRPr="00392EAD">
        <w:rPr>
          <w:sz w:val="24"/>
          <w:lang w:val="pt-BR"/>
        </w:rPr>
        <w:t>Outro exemplo é encontrado em Bom Jesus da Serra (BA). No município, está localizada a primeira mina de amianto explorada no Brasil, cujas atividades foram encerradas em 1967, deixando um gra</w:t>
      </w:r>
      <w:r w:rsidRPr="00392EAD">
        <w:rPr>
          <w:sz w:val="24"/>
          <w:lang w:val="pt-BR"/>
        </w:rPr>
        <w:t>nde passivo, que permanece sem solução: o município empobreceu, e a população convive, até hoje, com um grande cânion e com a contaminação ambiental decorrente do processo produtivo (PAIXÃO; QUEIROZ, 2009).</w:t>
      </w:r>
    </w:p>
    <w:p w:rsidR="00D81F69" w:rsidRPr="00392EAD" w:rsidRDefault="00330118">
      <w:pPr>
        <w:spacing w:before="120"/>
        <w:ind w:left="841" w:right="957"/>
        <w:jc w:val="both"/>
        <w:rPr>
          <w:sz w:val="24"/>
          <w:lang w:val="pt-BR"/>
        </w:rPr>
      </w:pPr>
      <w:r w:rsidRPr="00392EAD">
        <w:rPr>
          <w:sz w:val="24"/>
          <w:lang w:val="pt-BR"/>
        </w:rPr>
        <w:t>Casos de passivos ambientais também são encontrad</w:t>
      </w:r>
      <w:r w:rsidRPr="00392EAD">
        <w:rPr>
          <w:sz w:val="24"/>
          <w:lang w:val="pt-BR"/>
        </w:rPr>
        <w:t>os nos municípios de Serra do Navio (AP), Boquira (BA), Santo Amaro (BA), Caldas (MG) e Poços de Caldas (MG). No primeiro, a empresa Indústria e Comércio de Minérios de Ferro e Manganês S.A. (Icomi) explorou, por 40 anos, uma jazida de manganês, até sua ex</w:t>
      </w:r>
      <w:r w:rsidRPr="00392EAD">
        <w:rPr>
          <w:sz w:val="24"/>
          <w:lang w:val="pt-BR"/>
        </w:rPr>
        <w:t>austão, deixando imensas pilhas de resíduos, que contaminaram rios e lençóis freáticos por arsênio contido no minério. Devido à falta</w:t>
      </w:r>
      <w:r w:rsidRPr="00392EAD">
        <w:rPr>
          <w:spacing w:val="30"/>
          <w:sz w:val="24"/>
          <w:lang w:val="pt-BR"/>
        </w:rPr>
        <w:t xml:space="preserve"> </w:t>
      </w:r>
      <w:r w:rsidRPr="00392EAD">
        <w:rPr>
          <w:sz w:val="24"/>
          <w:lang w:val="pt-BR"/>
        </w:rPr>
        <w:t>de</w:t>
      </w:r>
      <w:r w:rsidRPr="00392EAD">
        <w:rPr>
          <w:spacing w:val="30"/>
          <w:sz w:val="24"/>
          <w:lang w:val="pt-BR"/>
        </w:rPr>
        <w:t xml:space="preserve"> </w:t>
      </w:r>
      <w:r w:rsidRPr="00392EAD">
        <w:rPr>
          <w:sz w:val="24"/>
          <w:lang w:val="pt-BR"/>
        </w:rPr>
        <w:t>planejamento</w:t>
      </w:r>
      <w:r w:rsidRPr="00392EAD">
        <w:rPr>
          <w:spacing w:val="30"/>
          <w:sz w:val="24"/>
          <w:lang w:val="pt-BR"/>
        </w:rPr>
        <w:t xml:space="preserve"> </w:t>
      </w:r>
      <w:r w:rsidRPr="00392EAD">
        <w:rPr>
          <w:sz w:val="24"/>
          <w:lang w:val="pt-BR"/>
        </w:rPr>
        <w:t>para</w:t>
      </w:r>
      <w:r w:rsidRPr="00392EAD">
        <w:rPr>
          <w:spacing w:val="30"/>
          <w:sz w:val="24"/>
          <w:lang w:val="pt-BR"/>
        </w:rPr>
        <w:t xml:space="preserve"> </w:t>
      </w:r>
      <w:r w:rsidRPr="00392EAD">
        <w:rPr>
          <w:sz w:val="24"/>
          <w:lang w:val="pt-BR"/>
        </w:rPr>
        <w:t>o</w:t>
      </w:r>
      <w:r w:rsidRPr="00392EAD">
        <w:rPr>
          <w:spacing w:val="26"/>
          <w:sz w:val="24"/>
          <w:lang w:val="pt-BR"/>
        </w:rPr>
        <w:t xml:space="preserve"> </w:t>
      </w:r>
      <w:r w:rsidRPr="00392EAD">
        <w:rPr>
          <w:sz w:val="24"/>
          <w:lang w:val="pt-BR"/>
        </w:rPr>
        <w:t>fechamento</w:t>
      </w:r>
      <w:r w:rsidRPr="00392EAD">
        <w:rPr>
          <w:spacing w:val="30"/>
          <w:sz w:val="24"/>
          <w:lang w:val="pt-BR"/>
        </w:rPr>
        <w:t xml:space="preserve"> </w:t>
      </w:r>
      <w:r w:rsidRPr="00392EAD">
        <w:rPr>
          <w:sz w:val="24"/>
          <w:lang w:val="pt-BR"/>
        </w:rPr>
        <w:t>de</w:t>
      </w:r>
      <w:r w:rsidRPr="00392EAD">
        <w:rPr>
          <w:spacing w:val="30"/>
          <w:sz w:val="24"/>
          <w:lang w:val="pt-BR"/>
        </w:rPr>
        <w:t xml:space="preserve"> </w:t>
      </w:r>
      <w:r w:rsidRPr="00392EAD">
        <w:rPr>
          <w:sz w:val="24"/>
          <w:lang w:val="pt-BR"/>
        </w:rPr>
        <w:t>mina</w:t>
      </w:r>
      <w:r w:rsidRPr="00392EAD">
        <w:rPr>
          <w:spacing w:val="30"/>
          <w:sz w:val="24"/>
          <w:lang w:val="pt-BR"/>
        </w:rPr>
        <w:t xml:space="preserve"> </w:t>
      </w:r>
      <w:r w:rsidRPr="00392EAD">
        <w:rPr>
          <w:sz w:val="24"/>
          <w:lang w:val="pt-BR"/>
        </w:rPr>
        <w:t>que</w:t>
      </w:r>
      <w:r w:rsidRPr="00392EAD">
        <w:rPr>
          <w:spacing w:val="30"/>
          <w:sz w:val="24"/>
          <w:lang w:val="pt-BR"/>
        </w:rPr>
        <w:t xml:space="preserve"> </w:t>
      </w:r>
      <w:r w:rsidRPr="00392EAD">
        <w:rPr>
          <w:sz w:val="24"/>
          <w:lang w:val="pt-BR"/>
        </w:rPr>
        <w:t>contemplasse</w:t>
      </w:r>
      <w:r w:rsidRPr="00392EAD">
        <w:rPr>
          <w:spacing w:val="30"/>
          <w:sz w:val="24"/>
          <w:lang w:val="pt-BR"/>
        </w:rPr>
        <w:t xml:space="preserve"> </w:t>
      </w:r>
      <w:r w:rsidRPr="00392EAD">
        <w:rPr>
          <w:sz w:val="24"/>
          <w:lang w:val="pt-BR"/>
        </w:rPr>
        <w:t>o</w:t>
      </w:r>
    </w:p>
    <w:p w:rsidR="00D81F69" w:rsidRPr="00392EAD" w:rsidRDefault="00D81F69">
      <w:pPr>
        <w:jc w:val="both"/>
        <w:rPr>
          <w:sz w:val="24"/>
          <w:lang w:val="pt-BR"/>
        </w:rPr>
        <w:sectPr w:rsidR="00D81F69" w:rsidRPr="00392EAD">
          <w:pgSz w:w="11910" w:h="16840"/>
          <w:pgMar w:top="1320" w:right="740" w:bottom="720" w:left="860" w:header="0" w:footer="412" w:gutter="0"/>
          <w:cols w:space="720"/>
        </w:sectPr>
      </w:pPr>
    </w:p>
    <w:p w:rsidR="00D81F69" w:rsidRPr="00392EAD" w:rsidRDefault="00330118">
      <w:pPr>
        <w:spacing w:before="73"/>
        <w:ind w:left="841" w:right="956"/>
        <w:jc w:val="both"/>
        <w:rPr>
          <w:sz w:val="24"/>
          <w:lang w:val="pt-BR"/>
        </w:rPr>
      </w:pPr>
      <w:r w:rsidRPr="00392EAD">
        <w:rPr>
          <w:sz w:val="24"/>
          <w:lang w:val="pt-BR"/>
        </w:rPr>
        <w:lastRenderedPageBreak/>
        <w:t>desenvolvimento de outras atividades econômicas após o fim da mineração, a cidade também passa por um processo de decadência econômica e social. A disposição inadequada de rejeitos da lavra de minério de chumbo, em Boquira, e a metalurgia do chumbo, em San</w:t>
      </w:r>
      <w:r w:rsidRPr="00392EAD">
        <w:rPr>
          <w:sz w:val="24"/>
          <w:lang w:val="pt-BR"/>
        </w:rPr>
        <w:t>to Amaro, contaminaram mananciais e solos, causando danos à saúde da população. Já nas cidades mineiras de Caldas e Poços de Caldas, a extração e o beneficiamento do urânio, bem como a disposição dos resíduos da atividade mineradora, provocaram drenagem ác</w:t>
      </w:r>
      <w:r w:rsidRPr="00392EAD">
        <w:rPr>
          <w:sz w:val="24"/>
          <w:lang w:val="pt-BR"/>
        </w:rPr>
        <w:t>ida na cava, nas pilhas de estéril e na bacia de rejeitos, afetando as bacias hidrográficas das</w:t>
      </w:r>
      <w:r w:rsidRPr="00392EAD">
        <w:rPr>
          <w:spacing w:val="-5"/>
          <w:sz w:val="24"/>
          <w:lang w:val="pt-BR"/>
        </w:rPr>
        <w:t xml:space="preserve"> </w:t>
      </w:r>
      <w:r w:rsidRPr="00392EAD">
        <w:rPr>
          <w:sz w:val="24"/>
          <w:lang w:val="pt-BR"/>
        </w:rPr>
        <w:t>cidades.</w:t>
      </w:r>
    </w:p>
    <w:p w:rsidR="00D81F69" w:rsidRPr="00392EAD" w:rsidRDefault="00330118">
      <w:pPr>
        <w:spacing w:before="120"/>
        <w:ind w:left="841" w:right="956"/>
        <w:jc w:val="both"/>
        <w:rPr>
          <w:sz w:val="24"/>
          <w:lang w:val="pt-BR"/>
        </w:rPr>
      </w:pPr>
      <w:r w:rsidRPr="00392EAD">
        <w:rPr>
          <w:sz w:val="24"/>
          <w:lang w:val="pt-BR"/>
        </w:rPr>
        <w:t>Os casos citados são apenas alguns exemplos de que os impactos ambientais negativos da mineração sobre a vida das populações não prevalecem somente dur</w:t>
      </w:r>
      <w:r w:rsidRPr="00392EAD">
        <w:rPr>
          <w:sz w:val="24"/>
          <w:lang w:val="pt-BR"/>
        </w:rPr>
        <w:t xml:space="preserve">ante o tempo de vida útil de uma mina; podendo perdurar por dezenas de anos ou mesmo por séculos. A mina se esgota, a empresa transfere suas atividades para outra localidade, e à população restam escavações abandonadas, pilhas de rejeitos, contaminação do </w:t>
      </w:r>
      <w:r w:rsidRPr="00392EAD">
        <w:rPr>
          <w:sz w:val="24"/>
          <w:lang w:val="pt-BR"/>
        </w:rPr>
        <w:t>ar, do solo, dos rios e dos lençóis freáticos, além de doenças, decadência econômica e empobrecimento.</w:t>
      </w:r>
    </w:p>
    <w:p w:rsidR="00D81F69" w:rsidRPr="00392EAD" w:rsidRDefault="00D81F69">
      <w:pPr>
        <w:pStyle w:val="Corpodetexto"/>
        <w:ind w:left="0"/>
        <w:jc w:val="left"/>
        <w:rPr>
          <w:sz w:val="26"/>
          <w:lang w:val="pt-BR"/>
        </w:rPr>
      </w:pPr>
    </w:p>
    <w:p w:rsidR="00D81F69" w:rsidRPr="00392EAD" w:rsidRDefault="00330118">
      <w:pPr>
        <w:spacing w:before="217"/>
        <w:ind w:left="841"/>
        <w:jc w:val="both"/>
        <w:rPr>
          <w:b/>
          <w:sz w:val="24"/>
          <w:lang w:val="pt-BR"/>
        </w:rPr>
      </w:pPr>
      <w:r w:rsidRPr="00392EAD">
        <w:rPr>
          <w:b/>
          <w:sz w:val="24"/>
          <w:lang w:val="pt-BR"/>
        </w:rPr>
        <w:t>Mineração e sustentabilidade</w:t>
      </w:r>
    </w:p>
    <w:p w:rsidR="00D81F69" w:rsidRPr="00392EAD" w:rsidRDefault="00330118">
      <w:pPr>
        <w:pStyle w:val="Heading4"/>
        <w:spacing w:before="120"/>
        <w:ind w:left="841" w:right="955"/>
        <w:rPr>
          <w:lang w:val="pt-BR"/>
        </w:rPr>
      </w:pPr>
      <w:r w:rsidRPr="00392EAD">
        <w:rPr>
          <w:lang w:val="pt-BR"/>
        </w:rPr>
        <w:t>A linha de pesquisa criada e desenvolvida pelo CETEM, desde 2005, agrega pesquisadores focando as questões das grandes mina</w:t>
      </w:r>
      <w:r w:rsidRPr="00392EAD">
        <w:rPr>
          <w:lang w:val="pt-BR"/>
        </w:rPr>
        <w:t xml:space="preserve">s, APLs – Arranjos Produtivos Locais </w:t>
      </w:r>
      <w:r w:rsidRPr="00392EAD">
        <w:rPr>
          <w:i/>
          <w:lang w:val="pt-BR"/>
        </w:rPr>
        <w:t xml:space="preserve">versus </w:t>
      </w:r>
      <w:r w:rsidRPr="00392EAD">
        <w:rPr>
          <w:lang w:val="pt-BR"/>
        </w:rPr>
        <w:t>território, e as comunidades. Em 2007, foi apresentada a proposta de uma conceituação, a partir de uma revisão da literatura nacional e internacional sobre o tema (FERNANDES; LIMA; TEIXEIRA, 2007 a e b). Em 2011,</w:t>
      </w:r>
      <w:r w:rsidRPr="00392EAD">
        <w:rPr>
          <w:lang w:val="pt-BR"/>
        </w:rPr>
        <w:t xml:space="preserve"> no livro “Recursos Minerais &amp; Sustentabilidade Territorial”, após uma rede nacional de instituições de pesquisa ter levantado 15 estudos de casos de Grandes Minas e APL´s, os pesquisadores, avaliando os diferentes textos finais, identificaram dez distinta</w:t>
      </w:r>
      <w:r w:rsidRPr="00392EAD">
        <w:rPr>
          <w:lang w:val="pt-BR"/>
        </w:rPr>
        <w:t>s dimensões</w:t>
      </w:r>
      <w:hyperlink w:anchor="_bookmark5" w:history="1">
        <w:r w:rsidRPr="00392EAD">
          <w:rPr>
            <w:vertAlign w:val="superscript"/>
            <w:lang w:val="pt-BR"/>
          </w:rPr>
          <w:t>6</w:t>
        </w:r>
      </w:hyperlink>
      <w:r w:rsidRPr="00392EAD">
        <w:rPr>
          <w:lang w:val="pt-BR"/>
        </w:rPr>
        <w:t xml:space="preserve"> da sustentabilidade. São elas: social, cultural, institucional, ecológica, econômica, política, territorial, tecnológica, global e sistêmica. Isso significa dizer que já não basta às empresas mineradoras e aos garim</w:t>
      </w:r>
      <w:r w:rsidRPr="00392EAD">
        <w:rPr>
          <w:lang w:val="pt-BR"/>
        </w:rPr>
        <w:t>peiros cuidarem apenas dos aspectos econômicos e tecnológicos do empreendimento. É preciso também atentar às demais</w:t>
      </w:r>
      <w:r w:rsidRPr="00392EAD">
        <w:rPr>
          <w:spacing w:val="-13"/>
          <w:lang w:val="pt-BR"/>
        </w:rPr>
        <w:t xml:space="preserve"> </w:t>
      </w:r>
      <w:r w:rsidRPr="00392EAD">
        <w:rPr>
          <w:lang w:val="pt-BR"/>
        </w:rPr>
        <w:t>dimensões.</w:t>
      </w:r>
    </w:p>
    <w:p w:rsidR="00D81F69" w:rsidRPr="00392EAD" w:rsidRDefault="00330118">
      <w:pPr>
        <w:spacing w:before="121"/>
        <w:ind w:left="841" w:right="956"/>
        <w:jc w:val="both"/>
        <w:rPr>
          <w:sz w:val="24"/>
          <w:lang w:val="pt-BR"/>
        </w:rPr>
      </w:pPr>
      <w:r w:rsidRPr="00392EAD">
        <w:rPr>
          <w:sz w:val="24"/>
          <w:lang w:val="pt-BR"/>
        </w:rPr>
        <w:t>No que se refere à dimensão social, os vínculos que se criam entre o empreendimento extrativo mineral e a sociedade, especialment</w:t>
      </w:r>
      <w:r w:rsidRPr="00392EAD">
        <w:rPr>
          <w:sz w:val="24"/>
          <w:lang w:val="pt-BR"/>
        </w:rPr>
        <w:t>e as comunidades locais, muitas vezes são permeados pelos mais diversos conflitos. No aspecto cultural, constata-se, frequentemente, a ruptura criada pelos empreendimentos mineiros em relação aos valores, tradições e modo de vida das comunidades. Já no que</w:t>
      </w:r>
      <w:r w:rsidRPr="00392EAD">
        <w:rPr>
          <w:sz w:val="24"/>
          <w:lang w:val="pt-BR"/>
        </w:rPr>
        <w:t xml:space="preserve"> diz respeito ao viés institucional - </w:t>
      </w:r>
      <w:r w:rsidRPr="00392EAD">
        <w:rPr>
          <w:spacing w:val="-2"/>
          <w:sz w:val="24"/>
          <w:lang w:val="pt-BR"/>
        </w:rPr>
        <w:t xml:space="preserve">que </w:t>
      </w:r>
      <w:r w:rsidRPr="00392EAD">
        <w:rPr>
          <w:sz w:val="24"/>
          <w:lang w:val="pt-BR"/>
        </w:rPr>
        <w:t>pressupõe a existência de organizações públicas e privadas com a função de viabilizar o empreendimento, preservando interesses sociais e normas ambientais - não raro, percebe-se um vácuo que dá margem à “inseguranç</w:t>
      </w:r>
      <w:r w:rsidRPr="00392EAD">
        <w:rPr>
          <w:sz w:val="24"/>
          <w:lang w:val="pt-BR"/>
        </w:rPr>
        <w:t>a e judicializações em todas as</w:t>
      </w:r>
      <w:r w:rsidRPr="00392EAD">
        <w:rPr>
          <w:spacing w:val="-3"/>
          <w:sz w:val="24"/>
          <w:lang w:val="pt-BR"/>
        </w:rPr>
        <w:t xml:space="preserve"> </w:t>
      </w:r>
      <w:r w:rsidRPr="00392EAD">
        <w:rPr>
          <w:sz w:val="24"/>
          <w:lang w:val="pt-BR"/>
        </w:rPr>
        <w:t>instâncias”.</w:t>
      </w:r>
    </w:p>
    <w:p w:rsidR="00D81F69" w:rsidRPr="00392EAD" w:rsidRDefault="00330118">
      <w:pPr>
        <w:spacing w:before="120"/>
        <w:ind w:left="841" w:right="958"/>
        <w:jc w:val="both"/>
        <w:rPr>
          <w:sz w:val="24"/>
          <w:lang w:val="pt-BR"/>
        </w:rPr>
      </w:pPr>
      <w:r w:rsidRPr="00392EAD">
        <w:rPr>
          <w:sz w:val="24"/>
          <w:lang w:val="pt-BR"/>
        </w:rPr>
        <w:t>Já o aspecto econômico talvez seja a dimensão na qual mais claramente evidencia-se o retorno positivo da atividade mineira, pela arrecadação de impostos, dinamização das trocas comerciais locais, aumento do nível de</w:t>
      </w:r>
    </w:p>
    <w:p w:rsidR="00D81F69" w:rsidRPr="00392EAD" w:rsidRDefault="00D81F69">
      <w:pPr>
        <w:pStyle w:val="Corpodetexto"/>
        <w:ind w:left="0"/>
        <w:jc w:val="left"/>
        <w:rPr>
          <w:sz w:val="26"/>
          <w:lang w:val="pt-BR"/>
        </w:rPr>
      </w:pPr>
      <w:r w:rsidRPr="00D81F69">
        <w:pict>
          <v:line id="_x0000_s1040" style="position:absolute;z-index:5416;mso-wrap-distance-left:0;mso-wrap-distance-right:0;mso-position-horizontal-relative:page" from="85.1pt,17.2pt" to="229.1pt,17.2pt" strokeweight=".6pt">
            <w10:wrap type="topAndBottom" anchorx="page"/>
          </v:line>
        </w:pict>
      </w:r>
    </w:p>
    <w:p w:rsidR="00D81F69" w:rsidRPr="00392EAD" w:rsidRDefault="00330118">
      <w:pPr>
        <w:pStyle w:val="Corpodetexto"/>
        <w:spacing w:before="42"/>
        <w:ind w:left="841" w:right="958"/>
        <w:rPr>
          <w:lang w:val="pt-BR"/>
        </w:rPr>
      </w:pPr>
      <w:bookmarkStart w:id="7" w:name="_bookmark5"/>
      <w:bookmarkEnd w:id="7"/>
      <w:r w:rsidRPr="00392EAD">
        <w:rPr>
          <w:position w:val="9"/>
          <w:sz w:val="12"/>
          <w:lang w:val="pt-BR"/>
        </w:rPr>
        <w:t xml:space="preserve">6 </w:t>
      </w:r>
      <w:r w:rsidRPr="00392EAD">
        <w:rPr>
          <w:lang w:val="pt-BR"/>
        </w:rPr>
        <w:t>O texto apresentado em seguida é uma</w:t>
      </w:r>
      <w:r w:rsidRPr="00392EAD">
        <w:rPr>
          <w:lang w:val="pt-BR"/>
        </w:rPr>
        <w:t xml:space="preserve"> sintetização do artigo “A mineração das grandes minas e as dimensões da sustentabilidade” (ENRIQUÉZ; FERNANDES; ALAMINO, 2011).</w:t>
      </w:r>
    </w:p>
    <w:p w:rsidR="00D81F69" w:rsidRPr="00392EAD" w:rsidRDefault="00D81F69">
      <w:pPr>
        <w:rPr>
          <w:lang w:val="pt-BR"/>
        </w:rPr>
        <w:sectPr w:rsidR="00D81F69" w:rsidRPr="00392EAD">
          <w:pgSz w:w="11910" w:h="16840"/>
          <w:pgMar w:top="1320" w:right="740" w:bottom="720" w:left="860" w:header="0" w:footer="412" w:gutter="0"/>
          <w:cols w:space="720"/>
        </w:sectPr>
      </w:pPr>
    </w:p>
    <w:p w:rsidR="00D81F69" w:rsidRPr="00392EAD" w:rsidRDefault="00330118">
      <w:pPr>
        <w:pStyle w:val="Heading4"/>
        <w:spacing w:before="73"/>
        <w:ind w:left="841" w:right="955"/>
        <w:rPr>
          <w:lang w:val="pt-BR"/>
        </w:rPr>
      </w:pPr>
      <w:r w:rsidRPr="00392EAD">
        <w:rPr>
          <w:lang w:val="pt-BR"/>
        </w:rPr>
        <w:lastRenderedPageBreak/>
        <w:t>emprego, etc. No entanto, mesmo nesta dimensão há desafios consideráveis, no território minerado e no seu ent</w:t>
      </w:r>
      <w:r w:rsidRPr="00392EAD">
        <w:rPr>
          <w:lang w:val="pt-BR"/>
        </w:rPr>
        <w:t>orno, pois a mineração, ao atrair grandes contingentes de trabalhadores de outras localidades, costuma provocar aumento nos preços de bens e serviços locais, além de representar uma ameaça à independência econômica da comunidade, se não houver diversificaç</w:t>
      </w:r>
      <w:r w:rsidRPr="00392EAD">
        <w:rPr>
          <w:lang w:val="pt-BR"/>
        </w:rPr>
        <w:t>ão produtiva (ENRIQUÉZ; FERNANDES; ALAMINO, 2011).</w:t>
      </w:r>
    </w:p>
    <w:p w:rsidR="00D81F69" w:rsidRPr="00392EAD" w:rsidRDefault="00330118">
      <w:pPr>
        <w:spacing w:before="120"/>
        <w:ind w:left="841" w:right="956"/>
        <w:jc w:val="both"/>
        <w:rPr>
          <w:sz w:val="24"/>
          <w:lang w:val="pt-BR"/>
        </w:rPr>
      </w:pPr>
      <w:r w:rsidRPr="00392EAD">
        <w:rPr>
          <w:sz w:val="24"/>
          <w:lang w:val="pt-BR"/>
        </w:rPr>
        <w:t>Como não poderia deixar de ser, o aspecto político é o viés fundamental para assegurar o desenvolvimento da mineração, com a boa governança resguardando os direitos das comunidades envolvidas, sem descuida</w:t>
      </w:r>
      <w:r w:rsidRPr="00392EAD">
        <w:rPr>
          <w:sz w:val="24"/>
          <w:lang w:val="pt-BR"/>
        </w:rPr>
        <w:t xml:space="preserve">r das boas práticas da conservação do meio ambiente. Para se reduzirem os impactos negativos de um empreendimento minerário, a atuação do Estado se faz fundamental uma vez que cabe a ele assegurar a legalidade, promover a resolução de conflitos e garantir </w:t>
      </w:r>
      <w:r w:rsidRPr="00392EAD">
        <w:rPr>
          <w:sz w:val="24"/>
          <w:lang w:val="pt-BR"/>
        </w:rPr>
        <w:t>que as conquistas obtidas não sejam comprometidas no processo de sucessão política. Da mesma forma, a dimensão territorial é vital, tendo em vista que a existência de recursos minerais pode ser ao mesmo tempo dádiva, ao impulsionar o desenvolvimento, e mal</w:t>
      </w:r>
      <w:r w:rsidRPr="00392EAD">
        <w:rPr>
          <w:sz w:val="24"/>
          <w:lang w:val="pt-BR"/>
        </w:rPr>
        <w:t>dição, ao destruir meios de sobrevivência ou comprometer a saúde do meio natural e dos indivíduos (ENRIQUÉZ; FERNANDES; ALAMINO,</w:t>
      </w:r>
      <w:r w:rsidRPr="00392EAD">
        <w:rPr>
          <w:spacing w:val="-17"/>
          <w:sz w:val="24"/>
          <w:lang w:val="pt-BR"/>
        </w:rPr>
        <w:t xml:space="preserve"> </w:t>
      </w:r>
      <w:r w:rsidRPr="00392EAD">
        <w:rPr>
          <w:sz w:val="24"/>
          <w:lang w:val="pt-BR"/>
        </w:rPr>
        <w:t>2011).</w:t>
      </w:r>
    </w:p>
    <w:p w:rsidR="00D81F69" w:rsidRPr="00392EAD" w:rsidRDefault="00330118">
      <w:pPr>
        <w:spacing w:before="120"/>
        <w:ind w:left="841" w:right="957"/>
        <w:jc w:val="both"/>
        <w:rPr>
          <w:sz w:val="24"/>
          <w:lang w:val="pt-BR"/>
        </w:rPr>
      </w:pPr>
      <w:r w:rsidRPr="00392EAD">
        <w:rPr>
          <w:sz w:val="24"/>
          <w:lang w:val="pt-BR"/>
        </w:rPr>
        <w:t>A dimensão tecnológica se reflete na necessidade constante de as empresas mineradoras buscarem tecnologias mais limpas d</w:t>
      </w:r>
      <w:r w:rsidRPr="00392EAD">
        <w:rPr>
          <w:sz w:val="24"/>
          <w:lang w:val="pt-BR"/>
        </w:rPr>
        <w:t>e produção e promoverem a recuperação de áreas degradadas. Já na dimensão global, percebemos a relevância do setor mineral do Brasil no contexto mundial e, em contrapartida, a relevância dos mercados globais para mineração brasileira. No entanto, os maiore</w:t>
      </w:r>
      <w:r w:rsidRPr="00392EAD">
        <w:rPr>
          <w:sz w:val="24"/>
          <w:lang w:val="pt-BR"/>
        </w:rPr>
        <w:t>s desafios da mineração estão relacionados à dimensão ecológica, tendo em vista que um dos requisitos mais básicos para a sustentabilidade é a integridade dos ecossistemas, sem a qual não é possível assegurar qualidade e saúde ao meio ambiente e às</w:t>
      </w:r>
      <w:r w:rsidRPr="00392EAD">
        <w:rPr>
          <w:spacing w:val="-4"/>
          <w:sz w:val="24"/>
          <w:lang w:val="pt-BR"/>
        </w:rPr>
        <w:t xml:space="preserve"> </w:t>
      </w:r>
      <w:r w:rsidRPr="00392EAD">
        <w:rPr>
          <w:sz w:val="24"/>
          <w:lang w:val="pt-BR"/>
        </w:rPr>
        <w:t>populações.</w:t>
      </w:r>
    </w:p>
    <w:p w:rsidR="00D81F69" w:rsidRPr="00392EAD" w:rsidRDefault="00330118">
      <w:pPr>
        <w:spacing w:before="121"/>
        <w:ind w:left="841" w:right="957"/>
        <w:jc w:val="both"/>
        <w:rPr>
          <w:sz w:val="24"/>
          <w:lang w:val="pt-BR"/>
        </w:rPr>
      </w:pPr>
      <w:r w:rsidRPr="00392EAD">
        <w:rPr>
          <w:sz w:val="24"/>
          <w:lang w:val="pt-BR"/>
        </w:rPr>
        <w:t>Por fim, constatamos que os efeitos da atividade de mineração são interdependentes, tendo em vista que uma dimensão está relacionada a todas as demais, demandando um olhar sistêmico das políticas públicas e corporativas em relação à atividade e</w:t>
      </w:r>
      <w:r w:rsidRPr="00392EAD">
        <w:rPr>
          <w:sz w:val="24"/>
          <w:lang w:val="pt-BR"/>
        </w:rPr>
        <w:t xml:space="preserve"> a seus impactos.</w:t>
      </w:r>
    </w:p>
    <w:p w:rsidR="00D81F69" w:rsidRPr="00392EAD" w:rsidRDefault="00D81F69">
      <w:pPr>
        <w:pStyle w:val="Corpodetexto"/>
        <w:ind w:left="0"/>
        <w:jc w:val="left"/>
        <w:rPr>
          <w:sz w:val="24"/>
          <w:lang w:val="pt-BR"/>
        </w:rPr>
      </w:pPr>
    </w:p>
    <w:p w:rsidR="00D81F69" w:rsidRPr="00392EAD" w:rsidRDefault="00330118">
      <w:pPr>
        <w:ind w:left="841"/>
        <w:jc w:val="both"/>
        <w:rPr>
          <w:b/>
          <w:sz w:val="24"/>
          <w:lang w:val="pt-BR"/>
        </w:rPr>
      </w:pPr>
      <w:r w:rsidRPr="00392EAD">
        <w:rPr>
          <w:b/>
          <w:sz w:val="24"/>
          <w:lang w:val="pt-BR"/>
        </w:rPr>
        <w:t>Licenciamentos ambiental e social</w:t>
      </w:r>
    </w:p>
    <w:p w:rsidR="00D81F69" w:rsidRPr="00392EAD" w:rsidRDefault="00330118">
      <w:pPr>
        <w:pStyle w:val="Heading4"/>
        <w:spacing w:before="120"/>
        <w:ind w:left="841" w:right="955"/>
        <w:rPr>
          <w:lang w:val="pt-BR"/>
        </w:rPr>
      </w:pPr>
      <w:r w:rsidRPr="00392EAD">
        <w:rPr>
          <w:lang w:val="pt-BR"/>
        </w:rPr>
        <w:t>Somente a partir da década de 1970, com a multiplicação de acidentes ambientais e a maior consciência de que a capacidade de recuperação do meio ambiente estava seriamente comprometida, começou a haver m</w:t>
      </w:r>
      <w:r w:rsidRPr="00392EAD">
        <w:rPr>
          <w:lang w:val="pt-BR"/>
        </w:rPr>
        <w:t xml:space="preserve">aior preocupação com o efeito das atividades produtivas sobre o meio natural (FLORES, 2006 </w:t>
      </w:r>
      <w:r w:rsidRPr="00392EAD">
        <w:rPr>
          <w:i/>
          <w:lang w:val="pt-BR"/>
        </w:rPr>
        <w:t xml:space="preserve">apud </w:t>
      </w:r>
      <w:r w:rsidRPr="00392EAD">
        <w:rPr>
          <w:lang w:val="pt-BR"/>
        </w:rPr>
        <w:t>TONIDANDEL, 2011).</w:t>
      </w:r>
    </w:p>
    <w:p w:rsidR="00D81F69" w:rsidRPr="00392EAD" w:rsidRDefault="00330118">
      <w:pPr>
        <w:spacing w:before="120"/>
        <w:ind w:left="841" w:right="956"/>
        <w:jc w:val="both"/>
        <w:rPr>
          <w:sz w:val="24"/>
          <w:lang w:val="pt-BR"/>
        </w:rPr>
      </w:pPr>
      <w:r w:rsidRPr="00392EAD">
        <w:rPr>
          <w:sz w:val="24"/>
          <w:lang w:val="pt-BR"/>
        </w:rPr>
        <w:t xml:space="preserve">Até esse momento, a legislação ambiental e as barreiras comerciais a produtos potencialmente poluidores não eram tão exigentes, o que levava </w:t>
      </w:r>
      <w:r w:rsidRPr="00392EAD">
        <w:rPr>
          <w:sz w:val="24"/>
          <w:lang w:val="pt-BR"/>
        </w:rPr>
        <w:t>a maioria das empresas a não se preocupar de forma efetiva com seus processos produtivos, até porque conseguiam vender sua produção nos mercados externo e interno sem maiores problemas.</w:t>
      </w:r>
    </w:p>
    <w:p w:rsidR="00D81F69" w:rsidRPr="00392EAD" w:rsidRDefault="00330118">
      <w:pPr>
        <w:spacing w:before="120"/>
        <w:ind w:left="841" w:right="956"/>
        <w:jc w:val="both"/>
        <w:rPr>
          <w:sz w:val="24"/>
          <w:lang w:val="pt-BR"/>
        </w:rPr>
      </w:pPr>
      <w:r w:rsidRPr="00392EAD">
        <w:rPr>
          <w:sz w:val="24"/>
          <w:lang w:val="pt-BR"/>
        </w:rPr>
        <w:t>Todavia, a partir de então, vêm aumentando em todo o mundo as barreira</w:t>
      </w:r>
      <w:r w:rsidRPr="00392EAD">
        <w:rPr>
          <w:sz w:val="24"/>
          <w:lang w:val="pt-BR"/>
        </w:rPr>
        <w:t xml:space="preserve">s comerciais não tarifárias, como a exigência de que produtos e serviços atendam a normas internacionais </w:t>
      </w:r>
      <w:r w:rsidRPr="00392EAD">
        <w:rPr>
          <w:b/>
          <w:sz w:val="24"/>
          <w:lang w:val="pt-BR"/>
        </w:rPr>
        <w:t xml:space="preserve">– </w:t>
      </w:r>
      <w:r w:rsidRPr="00392EAD">
        <w:rPr>
          <w:sz w:val="24"/>
          <w:lang w:val="pt-BR"/>
        </w:rPr>
        <w:t>de qualidade, a exemplo da ISO 9000; ambientais, como a ISO 14000. Há ainda uma crescente pressão para que as empresas exerçam sua responsabilidade s</w:t>
      </w:r>
      <w:r w:rsidRPr="00392EAD">
        <w:rPr>
          <w:sz w:val="24"/>
          <w:lang w:val="pt-BR"/>
        </w:rPr>
        <w:t>ocial, atuando de maneira</w:t>
      </w:r>
      <w:r w:rsidRPr="00392EAD">
        <w:rPr>
          <w:spacing w:val="36"/>
          <w:sz w:val="24"/>
          <w:lang w:val="pt-BR"/>
        </w:rPr>
        <w:t xml:space="preserve"> </w:t>
      </w:r>
      <w:r w:rsidRPr="00392EAD">
        <w:rPr>
          <w:sz w:val="24"/>
          <w:lang w:val="pt-BR"/>
        </w:rPr>
        <w:t>ética,</w:t>
      </w:r>
    </w:p>
    <w:p w:rsidR="00D81F69" w:rsidRPr="00392EAD" w:rsidRDefault="00D81F69">
      <w:pPr>
        <w:jc w:val="both"/>
        <w:rPr>
          <w:sz w:val="24"/>
          <w:lang w:val="pt-BR"/>
        </w:rPr>
        <w:sectPr w:rsidR="00D81F69" w:rsidRPr="00392EAD">
          <w:pgSz w:w="11910" w:h="16840"/>
          <w:pgMar w:top="1320" w:right="740" w:bottom="720" w:left="860" w:header="0" w:footer="412" w:gutter="0"/>
          <w:cols w:space="720"/>
        </w:sectPr>
      </w:pPr>
    </w:p>
    <w:p w:rsidR="00D81F69" w:rsidRPr="00392EAD" w:rsidRDefault="00330118">
      <w:pPr>
        <w:spacing w:before="73"/>
        <w:ind w:left="841" w:right="958"/>
        <w:jc w:val="both"/>
        <w:rPr>
          <w:sz w:val="24"/>
          <w:lang w:val="pt-BR"/>
        </w:rPr>
      </w:pPr>
      <w:r w:rsidRPr="00392EAD">
        <w:rPr>
          <w:sz w:val="24"/>
          <w:lang w:val="pt-BR"/>
        </w:rPr>
        <w:lastRenderedPageBreak/>
        <w:t>transparente e respeitando o meio ambiente e as populações com que interagem. Da mesma forma, a legislação ambiental se tornou mais rigorosa.</w:t>
      </w:r>
    </w:p>
    <w:p w:rsidR="00D81F69" w:rsidRPr="00392EAD" w:rsidRDefault="00330118">
      <w:pPr>
        <w:spacing w:before="120"/>
        <w:ind w:left="841" w:right="957"/>
        <w:jc w:val="both"/>
        <w:rPr>
          <w:sz w:val="24"/>
          <w:lang w:val="pt-BR"/>
        </w:rPr>
      </w:pPr>
      <w:r w:rsidRPr="00392EAD">
        <w:rPr>
          <w:sz w:val="24"/>
          <w:lang w:val="pt-BR"/>
        </w:rPr>
        <w:t>Porém, mesmo as empresas que adequaram seus processos de gestão, passando a adotar alguns mecanismos limpos de produção, e que divulgam uma imagem mercadológica de socialmente responsáveis, não raro continuam a poluir o meio ambiente e a causar impactos ne</w:t>
      </w:r>
      <w:r w:rsidRPr="00392EAD">
        <w:rPr>
          <w:sz w:val="24"/>
          <w:lang w:val="pt-BR"/>
        </w:rPr>
        <w:t>gativos nas comunidades onde estão instaladas. É certo que tais impactos ao longo do tempo têm sido menores, porém não são, hoje em dia, nada desprezíveis, especialmente no que se refere ao modo de viver e à qualidade de vida da</w:t>
      </w:r>
      <w:r w:rsidRPr="00392EAD">
        <w:rPr>
          <w:spacing w:val="-10"/>
          <w:sz w:val="24"/>
          <w:lang w:val="pt-BR"/>
        </w:rPr>
        <w:t xml:space="preserve"> </w:t>
      </w:r>
      <w:r w:rsidRPr="00392EAD">
        <w:rPr>
          <w:sz w:val="24"/>
          <w:lang w:val="pt-BR"/>
        </w:rPr>
        <w:t>população.</w:t>
      </w:r>
    </w:p>
    <w:p w:rsidR="00D81F69" w:rsidRPr="00392EAD" w:rsidRDefault="00330118">
      <w:pPr>
        <w:spacing w:before="120"/>
        <w:ind w:left="841" w:right="955"/>
        <w:jc w:val="both"/>
        <w:rPr>
          <w:sz w:val="24"/>
          <w:lang w:val="pt-BR"/>
        </w:rPr>
      </w:pPr>
      <w:r w:rsidRPr="00392EAD">
        <w:rPr>
          <w:sz w:val="24"/>
          <w:lang w:val="pt-BR"/>
        </w:rPr>
        <w:t>Para disciplinar</w:t>
      </w:r>
      <w:r w:rsidRPr="00392EAD">
        <w:rPr>
          <w:sz w:val="24"/>
          <w:lang w:val="pt-BR"/>
        </w:rPr>
        <w:t xml:space="preserve"> a atividade e tentar evitar ou reduzir os impactos gerados por empreendimentos como a mineração, a Resolução Conama 237, de 1997, exige licenciamento prévio, por órgão estadual competente, para “construção, instalação, ampliação e funcionamento de estabel</w:t>
      </w:r>
      <w:r w:rsidRPr="00392EAD">
        <w:rPr>
          <w:sz w:val="24"/>
          <w:lang w:val="pt-BR"/>
        </w:rPr>
        <w:t>ecimentos e atividades utilizadoras de recursos ambientais, considerados efetiva ou potencialmente poluidores, bem como os capazes, sob qualquer forma, de causar degradação ambiental” (BRASIL,</w:t>
      </w:r>
      <w:r w:rsidRPr="00392EAD">
        <w:rPr>
          <w:spacing w:val="-4"/>
          <w:sz w:val="24"/>
          <w:lang w:val="pt-BR"/>
        </w:rPr>
        <w:t xml:space="preserve"> </w:t>
      </w:r>
      <w:r w:rsidRPr="00392EAD">
        <w:rPr>
          <w:sz w:val="24"/>
          <w:lang w:val="pt-BR"/>
        </w:rPr>
        <w:t>1997).</w:t>
      </w:r>
    </w:p>
    <w:p w:rsidR="00D81F69" w:rsidRPr="00392EAD" w:rsidRDefault="00330118">
      <w:pPr>
        <w:spacing w:before="120"/>
        <w:ind w:left="841" w:right="957"/>
        <w:jc w:val="both"/>
        <w:rPr>
          <w:sz w:val="24"/>
          <w:lang w:val="pt-BR"/>
        </w:rPr>
      </w:pPr>
      <w:r w:rsidRPr="00392EAD">
        <w:rPr>
          <w:sz w:val="24"/>
          <w:lang w:val="pt-BR"/>
        </w:rPr>
        <w:t>Estas atividades dependem do prévio Estudo de Impacto Am</w:t>
      </w:r>
      <w:r w:rsidRPr="00392EAD">
        <w:rPr>
          <w:sz w:val="24"/>
          <w:lang w:val="pt-BR"/>
        </w:rPr>
        <w:t>biental (EIA) e respectivo Relatório de Impacto Ambiental (RIMA) para seu licenciamento ambiental. O EIA/RIMA é sempre obrigatório na atividade de exploração mineral, independentemente dos recursos ambientais envolvidos (BRASIL, 1986).</w:t>
      </w:r>
    </w:p>
    <w:p w:rsidR="00D81F69" w:rsidRPr="00392EAD" w:rsidRDefault="00330118">
      <w:pPr>
        <w:spacing w:before="120"/>
        <w:ind w:left="841" w:right="955"/>
        <w:jc w:val="both"/>
        <w:rPr>
          <w:sz w:val="24"/>
          <w:lang w:val="pt-BR"/>
        </w:rPr>
      </w:pPr>
      <w:r w:rsidRPr="00392EAD">
        <w:rPr>
          <w:sz w:val="24"/>
          <w:lang w:val="pt-BR"/>
        </w:rPr>
        <w:t>Durante esses proces</w:t>
      </w:r>
      <w:r w:rsidRPr="00392EAD">
        <w:rPr>
          <w:sz w:val="24"/>
          <w:lang w:val="pt-BR"/>
        </w:rPr>
        <w:t>sos de licenciamento ambiental, os impactos sociais, culturais e econômicos também são contemplados pela legislação brasileira, ao contrário do que acontece em outros países. Na prática, no entanto, a maior parte dos estudos de impacto ambiental analisa ma</w:t>
      </w:r>
      <w:r w:rsidRPr="00392EAD">
        <w:rPr>
          <w:sz w:val="24"/>
          <w:lang w:val="pt-BR"/>
        </w:rPr>
        <w:t>is os efeitos sobre o meio físico e biológico, ignorando, em geral, os efeitos sobre as populações (SANCHÉZ, 2010).</w:t>
      </w:r>
    </w:p>
    <w:p w:rsidR="00D81F69" w:rsidRPr="00392EAD" w:rsidRDefault="00330118">
      <w:pPr>
        <w:spacing w:before="121"/>
        <w:ind w:left="841" w:right="957"/>
        <w:jc w:val="both"/>
        <w:rPr>
          <w:sz w:val="24"/>
          <w:lang w:val="pt-BR"/>
        </w:rPr>
      </w:pPr>
      <w:r w:rsidRPr="00392EAD">
        <w:rPr>
          <w:sz w:val="24"/>
          <w:lang w:val="pt-BR"/>
        </w:rPr>
        <w:t xml:space="preserve">Ainda assim, há exemplos de comunidades que conseguiram, por meio de mobilização social, impedir a instalação ou modificar substancialmente </w:t>
      </w:r>
      <w:r w:rsidRPr="00392EAD">
        <w:rPr>
          <w:sz w:val="24"/>
          <w:lang w:val="pt-BR"/>
        </w:rPr>
        <w:t>um empreendimento que as afetaria. Outras obtiveram contrapartidas sociais, a exemplo de Juruti, no Pará, onde foi implantado um projeto de exploração de bauxita, que afetou o ambiente e o meio de vida de comunidades tradicionais. Após ampla mobilização, a</w:t>
      </w:r>
      <w:r w:rsidRPr="00392EAD">
        <w:rPr>
          <w:sz w:val="24"/>
          <w:lang w:val="pt-BR"/>
        </w:rPr>
        <w:t xml:space="preserve"> população local recebeu uma participação na renda proveniente da extração do minério, além de outros retornos sociais, como a construção de um hospital, salas de aula e tratamento de água. Esse caso, no entanto, ainda é raro no país.</w:t>
      </w:r>
    </w:p>
    <w:p w:rsidR="00D81F69" w:rsidRPr="00392EAD" w:rsidRDefault="00D81F69">
      <w:pPr>
        <w:pStyle w:val="Corpodetexto"/>
        <w:ind w:left="0"/>
        <w:jc w:val="left"/>
        <w:rPr>
          <w:sz w:val="24"/>
          <w:lang w:val="pt-BR"/>
        </w:rPr>
      </w:pPr>
    </w:p>
    <w:p w:rsidR="00D81F69" w:rsidRPr="00392EAD" w:rsidRDefault="00330118">
      <w:pPr>
        <w:ind w:left="841" w:right="958"/>
        <w:jc w:val="both"/>
        <w:rPr>
          <w:b/>
          <w:sz w:val="24"/>
          <w:lang w:val="pt-BR"/>
        </w:rPr>
      </w:pPr>
      <w:r w:rsidRPr="00392EAD">
        <w:rPr>
          <w:b/>
          <w:sz w:val="24"/>
          <w:lang w:val="pt-BR"/>
        </w:rPr>
        <w:t xml:space="preserve">Um breve retrato da </w:t>
      </w:r>
      <w:r w:rsidRPr="00392EAD">
        <w:rPr>
          <w:b/>
          <w:sz w:val="24"/>
          <w:lang w:val="pt-BR"/>
        </w:rPr>
        <w:t>atividade extrativa mineral no Brasil, nos estados e por substâncias minerais</w:t>
      </w:r>
    </w:p>
    <w:p w:rsidR="00D81F69" w:rsidRPr="00392EAD" w:rsidRDefault="00330118">
      <w:pPr>
        <w:pStyle w:val="Heading4"/>
        <w:spacing w:before="117"/>
        <w:ind w:left="841" w:right="955"/>
        <w:rPr>
          <w:lang w:val="pt-BR"/>
        </w:rPr>
      </w:pPr>
      <w:r w:rsidRPr="00392EAD">
        <w:rPr>
          <w:lang w:val="pt-BR"/>
        </w:rPr>
        <w:t xml:space="preserve">O presente livro </w:t>
      </w:r>
      <w:r w:rsidRPr="00392EAD">
        <w:rPr>
          <w:i/>
          <w:lang w:val="pt-BR"/>
        </w:rPr>
        <w:t xml:space="preserve">Recursos Minerais e Comunidade: Impactos Humanos, Socioambientais e Econômicos </w:t>
      </w:r>
      <w:r w:rsidRPr="00392EAD">
        <w:rPr>
          <w:lang w:val="pt-BR"/>
        </w:rPr>
        <w:t>constitui uma contribuição para o melhor entendimento dos efeitos causados pela at</w:t>
      </w:r>
      <w:r w:rsidRPr="00392EAD">
        <w:rPr>
          <w:lang w:val="pt-BR"/>
        </w:rPr>
        <w:t xml:space="preserve">ividade extrativa mineral. Conta com mais de uma centena de estudos de casos (105), distribuídos em 22 estados das cinco regiões brasileiras, relativos a empreendimentos minerários dos mais diferentes tipos. A partir desta sistematização de casos, pode-se </w:t>
      </w:r>
      <w:r w:rsidRPr="00392EAD">
        <w:rPr>
          <w:lang w:val="pt-BR"/>
        </w:rPr>
        <w:t>ter, com maior clareza, uma dimensão dos efeitos causados pela mineração e das possibilidades existentes para se resguardarem o patrimônio natural e o modo de vida, valores e interesses das comunidades afetadas.</w:t>
      </w:r>
    </w:p>
    <w:p w:rsidR="00D81F69" w:rsidRPr="00392EAD" w:rsidRDefault="00D81F69">
      <w:pPr>
        <w:rPr>
          <w:lang w:val="pt-BR"/>
        </w:rPr>
        <w:sectPr w:rsidR="00D81F69" w:rsidRPr="00392EAD">
          <w:pgSz w:w="11910" w:h="16840"/>
          <w:pgMar w:top="1320" w:right="740" w:bottom="720" w:left="860" w:header="0" w:footer="412" w:gutter="0"/>
          <w:cols w:space="720"/>
        </w:sectPr>
      </w:pPr>
    </w:p>
    <w:p w:rsidR="00D81F69" w:rsidRPr="00392EAD" w:rsidRDefault="00330118">
      <w:pPr>
        <w:spacing w:before="73"/>
        <w:ind w:left="841" w:right="957"/>
        <w:jc w:val="both"/>
        <w:rPr>
          <w:sz w:val="24"/>
          <w:lang w:val="pt-BR"/>
        </w:rPr>
      </w:pPr>
      <w:r w:rsidRPr="00392EAD">
        <w:rPr>
          <w:sz w:val="24"/>
          <w:lang w:val="pt-BR"/>
        </w:rPr>
        <w:lastRenderedPageBreak/>
        <w:t>A maior concentração de ca</w:t>
      </w:r>
      <w:r w:rsidRPr="00392EAD">
        <w:rPr>
          <w:sz w:val="24"/>
          <w:lang w:val="pt-BR"/>
        </w:rPr>
        <w:t>sos está no Sudeste (34), região onde teve início a atividade mineradora no Brasil, com a exploração de ouro em Minas Gerais. Logo em seguida aparece o Norte - atualmente considerado a nova fronteira da mineração no país - com 29 estudos (um deles com inte</w:t>
      </w:r>
      <w:r w:rsidRPr="00392EAD">
        <w:rPr>
          <w:sz w:val="24"/>
          <w:lang w:val="pt-BR"/>
        </w:rPr>
        <w:t>rface com a região Centro-Oeste), seguido do Nordeste, com 21; Centro-Oeste, com 11; e Sul, com 10 casos analisados, conforme o Gráfico</w:t>
      </w:r>
      <w:r w:rsidRPr="00392EAD">
        <w:rPr>
          <w:spacing w:val="-5"/>
          <w:sz w:val="24"/>
          <w:lang w:val="pt-BR"/>
        </w:rPr>
        <w:t xml:space="preserve"> </w:t>
      </w:r>
      <w:r w:rsidRPr="00392EAD">
        <w:rPr>
          <w:sz w:val="24"/>
          <w:lang w:val="pt-BR"/>
        </w:rPr>
        <w:t>1.</w:t>
      </w:r>
    </w:p>
    <w:p w:rsidR="00D81F69" w:rsidRPr="00392EAD" w:rsidRDefault="00330118">
      <w:pPr>
        <w:pStyle w:val="Corpodetexto"/>
        <w:spacing w:before="5"/>
        <w:ind w:left="0"/>
        <w:jc w:val="left"/>
        <w:rPr>
          <w:sz w:val="9"/>
          <w:lang w:val="pt-BR"/>
        </w:rPr>
      </w:pPr>
      <w:r>
        <w:rPr>
          <w:noProof/>
          <w:lang w:val="pt-BR" w:eastAsia="pt-BR"/>
        </w:rPr>
        <w:drawing>
          <wp:anchor distT="0" distB="0" distL="0" distR="0" simplePos="0" relativeHeight="5440" behindDoc="0" locked="0" layoutInCell="1" allowOverlap="1">
            <wp:simplePos x="0" y="0"/>
            <wp:positionH relativeFrom="page">
              <wp:posOffset>1126511</wp:posOffset>
            </wp:positionH>
            <wp:positionV relativeFrom="paragraph">
              <wp:posOffset>93669</wp:posOffset>
            </wp:positionV>
            <wp:extent cx="5313448" cy="2272855"/>
            <wp:effectExtent l="0" t="0" r="0" b="0"/>
            <wp:wrapTopAndBottom/>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7" cstate="print"/>
                    <a:stretch>
                      <a:fillRect/>
                    </a:stretch>
                  </pic:blipFill>
                  <pic:spPr>
                    <a:xfrm>
                      <a:off x="0" y="0"/>
                      <a:ext cx="5313448" cy="2272855"/>
                    </a:xfrm>
                    <a:prstGeom prst="rect">
                      <a:avLst/>
                    </a:prstGeom>
                  </pic:spPr>
                </pic:pic>
              </a:graphicData>
            </a:graphic>
          </wp:anchor>
        </w:drawing>
      </w:r>
    </w:p>
    <w:p w:rsidR="00D81F69" w:rsidRPr="00392EAD" w:rsidRDefault="00330118">
      <w:pPr>
        <w:pStyle w:val="Heading7"/>
        <w:ind w:left="841" w:right="962"/>
        <w:rPr>
          <w:lang w:val="pt-BR"/>
        </w:rPr>
      </w:pPr>
      <w:r w:rsidRPr="00392EAD">
        <w:rPr>
          <w:lang w:val="pt-BR"/>
        </w:rPr>
        <w:t>Gráfico 1. Os estudos de casos dos impactos da extração mineral no Brasil, classificados pelas diferentes regiões.</w:t>
      </w:r>
    </w:p>
    <w:p w:rsidR="00D81F69" w:rsidRPr="00392EAD" w:rsidRDefault="00D81F69">
      <w:pPr>
        <w:pStyle w:val="Corpodetexto"/>
        <w:spacing w:before="10"/>
        <w:ind w:left="0"/>
        <w:jc w:val="left"/>
        <w:rPr>
          <w:sz w:val="23"/>
          <w:lang w:val="pt-BR"/>
        </w:rPr>
      </w:pPr>
    </w:p>
    <w:p w:rsidR="00D81F69" w:rsidRPr="00392EAD" w:rsidRDefault="00330118">
      <w:pPr>
        <w:spacing w:before="1"/>
        <w:ind w:left="841" w:right="956"/>
        <w:jc w:val="both"/>
        <w:rPr>
          <w:sz w:val="24"/>
          <w:lang w:val="pt-BR"/>
        </w:rPr>
      </w:pPr>
      <w:r w:rsidRPr="00392EAD">
        <w:rPr>
          <w:sz w:val="24"/>
          <w:lang w:val="pt-BR"/>
        </w:rPr>
        <w:t>No ranking do número dos estudos de caso, o destaque cabe a Minas Gerais, que figura em primeiro lugar com 20% do total, significando 20 distintos  estudos de caso, seguido, em segundo lugar, pelo Pará, com 15%, ou 15 estudos; Bahia, em terceiro, com 11%;</w:t>
      </w:r>
      <w:r w:rsidRPr="00392EAD">
        <w:rPr>
          <w:sz w:val="24"/>
          <w:lang w:val="pt-BR"/>
        </w:rPr>
        <w:t xml:space="preserve"> em quarto lugar o Rio de Janeiro e Amapá, com 9%; Goiás, com 7%, em quinto; e Paraná, em sexto, com 5%. Já Rondônia, São Paulo e Rio Grande do Sul aparecem em quatro verbetes cada, seguidos de Ceará e Mato Grosso, com três estudos, e Amazonas, Roraima, Ma</w:t>
      </w:r>
      <w:r w:rsidRPr="00392EAD">
        <w:rPr>
          <w:sz w:val="24"/>
          <w:lang w:val="pt-BR"/>
        </w:rPr>
        <w:t>ranhão, Piauí e Rio Grande do Norte, com dois estudos. Por fim, Sergipe, Mato Grosso do Sul, Espírito Santo e Santa Catarina figuram em apenas um estudo de caso, conforme a Tabela</w:t>
      </w:r>
      <w:r w:rsidRPr="00392EAD">
        <w:rPr>
          <w:spacing w:val="-2"/>
          <w:sz w:val="24"/>
          <w:lang w:val="pt-BR"/>
        </w:rPr>
        <w:t xml:space="preserve"> </w:t>
      </w:r>
      <w:r w:rsidRPr="00392EAD">
        <w:rPr>
          <w:sz w:val="24"/>
          <w:lang w:val="pt-BR"/>
        </w:rPr>
        <w:t>1.</w:t>
      </w:r>
    </w:p>
    <w:p w:rsidR="00D81F69" w:rsidRPr="00392EAD" w:rsidRDefault="00D81F69">
      <w:pPr>
        <w:spacing w:before="120"/>
        <w:ind w:left="841" w:right="957"/>
        <w:jc w:val="both"/>
        <w:rPr>
          <w:sz w:val="24"/>
          <w:lang w:val="pt-BR"/>
        </w:rPr>
      </w:pPr>
      <w:r w:rsidRPr="00D81F69">
        <w:pict>
          <v:shape id="_x0000_s1039" type="#_x0000_t202" style="position:absolute;left:0;text-align:left;margin-left:82.2pt;margin-top:39.8pt;width:209.55pt;height:173.2pt;z-index:5464;mso-position-horizontal-relative:page"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63"/>
                    <w:gridCol w:w="2412"/>
                    <w:gridCol w:w="599"/>
                  </w:tblGrid>
                  <w:tr w:rsidR="00D81F69">
                    <w:trPr>
                      <w:trHeight w:val="251"/>
                    </w:trPr>
                    <w:tc>
                      <w:tcPr>
                        <w:tcW w:w="1163" w:type="dxa"/>
                      </w:tcPr>
                      <w:p w:rsidR="00D81F69" w:rsidRDefault="00330118">
                        <w:pPr>
                          <w:pStyle w:val="TableParagraph"/>
                          <w:spacing w:line="232" w:lineRule="exact"/>
                          <w:ind w:left="4"/>
                          <w:jc w:val="center"/>
                          <w:rPr>
                            <w:rFonts w:ascii="Arial"/>
                            <w:b/>
                          </w:rPr>
                        </w:pPr>
                        <w:r>
                          <w:rPr>
                            <w:rFonts w:ascii="Arial"/>
                            <w:b/>
                          </w:rPr>
                          <w:t>R</w:t>
                        </w:r>
                      </w:p>
                    </w:tc>
                    <w:tc>
                      <w:tcPr>
                        <w:tcW w:w="2412" w:type="dxa"/>
                      </w:tcPr>
                      <w:p w:rsidR="00D81F69" w:rsidRDefault="00330118">
                        <w:pPr>
                          <w:pStyle w:val="TableParagraph"/>
                          <w:spacing w:line="232" w:lineRule="exact"/>
                          <w:ind w:left="1035" w:right="1032"/>
                          <w:jc w:val="center"/>
                          <w:rPr>
                            <w:rFonts w:ascii="Arial"/>
                            <w:b/>
                          </w:rPr>
                        </w:pPr>
                        <w:r>
                          <w:rPr>
                            <w:rFonts w:ascii="Arial"/>
                            <w:b/>
                          </w:rPr>
                          <w:t>UF</w:t>
                        </w:r>
                      </w:p>
                    </w:tc>
                    <w:tc>
                      <w:tcPr>
                        <w:tcW w:w="599" w:type="dxa"/>
                      </w:tcPr>
                      <w:p w:rsidR="00D81F69" w:rsidRDefault="00330118">
                        <w:pPr>
                          <w:pStyle w:val="TableParagraph"/>
                          <w:spacing w:line="232" w:lineRule="exact"/>
                          <w:ind w:left="200"/>
                          <w:rPr>
                            <w:rFonts w:ascii="Arial"/>
                            <w:b/>
                          </w:rPr>
                        </w:pPr>
                        <w:r>
                          <w:rPr>
                            <w:rFonts w:ascii="Arial"/>
                            <w:b/>
                          </w:rPr>
                          <w:t>%</w:t>
                        </w:r>
                      </w:p>
                    </w:tc>
                  </w:tr>
                  <w:tr w:rsidR="00D81F69">
                    <w:trPr>
                      <w:trHeight w:val="256"/>
                    </w:trPr>
                    <w:tc>
                      <w:tcPr>
                        <w:tcW w:w="1163" w:type="dxa"/>
                      </w:tcPr>
                      <w:p w:rsidR="00D81F69" w:rsidRDefault="00330118">
                        <w:pPr>
                          <w:pStyle w:val="TableParagraph"/>
                          <w:spacing w:line="236" w:lineRule="exact"/>
                          <w:ind w:left="69"/>
                          <w:rPr>
                            <w:rFonts w:ascii="Arial" w:hAnsi="Arial"/>
                          </w:rPr>
                        </w:pPr>
                        <w:r>
                          <w:rPr>
                            <w:rFonts w:ascii="Arial" w:hAnsi="Arial"/>
                          </w:rPr>
                          <w:t>1°</w:t>
                        </w:r>
                      </w:p>
                    </w:tc>
                    <w:tc>
                      <w:tcPr>
                        <w:tcW w:w="2412" w:type="dxa"/>
                      </w:tcPr>
                      <w:p w:rsidR="00D81F69" w:rsidRDefault="00330118">
                        <w:pPr>
                          <w:pStyle w:val="TableParagraph"/>
                          <w:spacing w:line="236" w:lineRule="exact"/>
                          <w:ind w:left="65"/>
                          <w:rPr>
                            <w:rFonts w:ascii="Arial"/>
                          </w:rPr>
                        </w:pPr>
                        <w:r>
                          <w:rPr>
                            <w:rFonts w:ascii="Arial"/>
                          </w:rPr>
                          <w:t>Minas Gerais</w:t>
                        </w:r>
                      </w:p>
                    </w:tc>
                    <w:tc>
                      <w:tcPr>
                        <w:tcW w:w="599" w:type="dxa"/>
                      </w:tcPr>
                      <w:p w:rsidR="00D81F69" w:rsidRDefault="00330118">
                        <w:pPr>
                          <w:pStyle w:val="TableParagraph"/>
                          <w:spacing w:line="236" w:lineRule="exact"/>
                          <w:ind w:left="0" w:right="55"/>
                          <w:jc w:val="right"/>
                          <w:rPr>
                            <w:rFonts w:ascii="Arial"/>
                          </w:rPr>
                        </w:pPr>
                        <w:r>
                          <w:rPr>
                            <w:rFonts w:ascii="Arial"/>
                          </w:rPr>
                          <w:t>19,0</w:t>
                        </w:r>
                      </w:p>
                    </w:tc>
                  </w:tr>
                  <w:tr w:rsidR="00D81F69">
                    <w:trPr>
                      <w:trHeight w:val="290"/>
                    </w:trPr>
                    <w:tc>
                      <w:tcPr>
                        <w:tcW w:w="1163" w:type="dxa"/>
                      </w:tcPr>
                      <w:p w:rsidR="00D81F69" w:rsidRDefault="00330118">
                        <w:pPr>
                          <w:pStyle w:val="TableParagraph"/>
                          <w:spacing w:before="33"/>
                          <w:ind w:left="69"/>
                          <w:rPr>
                            <w:rFonts w:ascii="Arial" w:hAnsi="Arial"/>
                          </w:rPr>
                        </w:pPr>
                        <w:r>
                          <w:rPr>
                            <w:rFonts w:ascii="Arial" w:hAnsi="Arial"/>
                          </w:rPr>
                          <w:t>2°</w:t>
                        </w:r>
                      </w:p>
                    </w:tc>
                    <w:tc>
                      <w:tcPr>
                        <w:tcW w:w="2412" w:type="dxa"/>
                      </w:tcPr>
                      <w:p w:rsidR="00D81F69" w:rsidRDefault="00330118">
                        <w:pPr>
                          <w:pStyle w:val="TableParagraph"/>
                          <w:spacing w:before="16" w:line="240" w:lineRule="auto"/>
                          <w:ind w:left="65"/>
                          <w:rPr>
                            <w:rFonts w:ascii="Arial" w:hAnsi="Arial"/>
                          </w:rPr>
                        </w:pPr>
                        <w:r>
                          <w:rPr>
                            <w:rFonts w:ascii="Arial" w:hAnsi="Arial"/>
                          </w:rPr>
                          <w:t>Pará</w:t>
                        </w:r>
                      </w:p>
                    </w:tc>
                    <w:tc>
                      <w:tcPr>
                        <w:tcW w:w="599" w:type="dxa"/>
                      </w:tcPr>
                      <w:p w:rsidR="00D81F69" w:rsidRDefault="00330118">
                        <w:pPr>
                          <w:pStyle w:val="TableParagraph"/>
                          <w:spacing w:before="33"/>
                          <w:ind w:left="0" w:right="55"/>
                          <w:jc w:val="right"/>
                          <w:rPr>
                            <w:rFonts w:ascii="Arial"/>
                          </w:rPr>
                        </w:pPr>
                        <w:r>
                          <w:rPr>
                            <w:rFonts w:ascii="Arial"/>
                          </w:rPr>
                          <w:t>11,4</w:t>
                        </w:r>
                      </w:p>
                    </w:tc>
                  </w:tr>
                  <w:tr w:rsidR="00D81F69">
                    <w:trPr>
                      <w:trHeight w:val="289"/>
                    </w:trPr>
                    <w:tc>
                      <w:tcPr>
                        <w:tcW w:w="1163" w:type="dxa"/>
                      </w:tcPr>
                      <w:p w:rsidR="00D81F69" w:rsidRDefault="00330118">
                        <w:pPr>
                          <w:pStyle w:val="TableParagraph"/>
                          <w:spacing w:before="33"/>
                          <w:ind w:left="69"/>
                          <w:rPr>
                            <w:rFonts w:ascii="Arial" w:hAnsi="Arial"/>
                          </w:rPr>
                        </w:pPr>
                        <w:r>
                          <w:rPr>
                            <w:rFonts w:ascii="Arial" w:hAnsi="Arial"/>
                          </w:rPr>
                          <w:t>3°</w:t>
                        </w:r>
                      </w:p>
                    </w:tc>
                    <w:tc>
                      <w:tcPr>
                        <w:tcW w:w="2412" w:type="dxa"/>
                      </w:tcPr>
                      <w:p w:rsidR="00D81F69" w:rsidRDefault="00330118">
                        <w:pPr>
                          <w:pStyle w:val="TableParagraph"/>
                          <w:spacing w:before="16" w:line="240" w:lineRule="auto"/>
                          <w:ind w:left="65"/>
                          <w:rPr>
                            <w:rFonts w:ascii="Arial"/>
                          </w:rPr>
                        </w:pPr>
                        <w:r>
                          <w:rPr>
                            <w:rFonts w:ascii="Arial"/>
                          </w:rPr>
                          <w:t>Bahia</w:t>
                        </w:r>
                      </w:p>
                    </w:tc>
                    <w:tc>
                      <w:tcPr>
                        <w:tcW w:w="599" w:type="dxa"/>
                      </w:tcPr>
                      <w:p w:rsidR="00D81F69" w:rsidRDefault="00330118">
                        <w:pPr>
                          <w:pStyle w:val="TableParagraph"/>
                          <w:spacing w:before="33"/>
                          <w:ind w:left="0" w:right="55"/>
                          <w:jc w:val="right"/>
                          <w:rPr>
                            <w:rFonts w:ascii="Arial"/>
                          </w:rPr>
                        </w:pPr>
                        <w:r>
                          <w:rPr>
                            <w:rFonts w:ascii="Arial"/>
                          </w:rPr>
                          <w:t>10,5</w:t>
                        </w:r>
                      </w:p>
                    </w:tc>
                  </w:tr>
                  <w:tr w:rsidR="00D81F69">
                    <w:trPr>
                      <w:trHeight w:val="290"/>
                    </w:trPr>
                    <w:tc>
                      <w:tcPr>
                        <w:tcW w:w="1163" w:type="dxa"/>
                      </w:tcPr>
                      <w:p w:rsidR="00D81F69" w:rsidRDefault="00330118">
                        <w:pPr>
                          <w:pStyle w:val="TableParagraph"/>
                          <w:spacing w:before="33"/>
                          <w:ind w:left="69"/>
                          <w:rPr>
                            <w:rFonts w:ascii="Arial" w:hAnsi="Arial"/>
                          </w:rPr>
                        </w:pPr>
                        <w:r>
                          <w:rPr>
                            <w:rFonts w:ascii="Arial" w:hAnsi="Arial"/>
                          </w:rPr>
                          <w:t>4°</w:t>
                        </w:r>
                      </w:p>
                    </w:tc>
                    <w:tc>
                      <w:tcPr>
                        <w:tcW w:w="2412" w:type="dxa"/>
                      </w:tcPr>
                      <w:p w:rsidR="00D81F69" w:rsidRDefault="00330118">
                        <w:pPr>
                          <w:pStyle w:val="TableParagraph"/>
                          <w:spacing w:before="33"/>
                          <w:ind w:left="65"/>
                          <w:rPr>
                            <w:rFonts w:ascii="Arial"/>
                          </w:rPr>
                        </w:pPr>
                        <w:r>
                          <w:rPr>
                            <w:rFonts w:ascii="Arial"/>
                          </w:rPr>
                          <w:t>Rio de Janeiro</w:t>
                        </w:r>
                      </w:p>
                    </w:tc>
                    <w:tc>
                      <w:tcPr>
                        <w:tcW w:w="599" w:type="dxa"/>
                      </w:tcPr>
                      <w:p w:rsidR="00D81F69" w:rsidRDefault="00330118">
                        <w:pPr>
                          <w:pStyle w:val="TableParagraph"/>
                          <w:spacing w:before="33"/>
                          <w:ind w:left="0" w:right="55"/>
                          <w:jc w:val="right"/>
                          <w:rPr>
                            <w:rFonts w:ascii="Arial"/>
                          </w:rPr>
                        </w:pPr>
                        <w:r>
                          <w:rPr>
                            <w:rFonts w:ascii="Arial"/>
                          </w:rPr>
                          <w:t>8,6</w:t>
                        </w:r>
                      </w:p>
                    </w:tc>
                  </w:tr>
                  <w:tr w:rsidR="00D81F69">
                    <w:trPr>
                      <w:trHeight w:val="251"/>
                    </w:trPr>
                    <w:tc>
                      <w:tcPr>
                        <w:tcW w:w="1163" w:type="dxa"/>
                      </w:tcPr>
                      <w:p w:rsidR="00D81F69" w:rsidRDefault="00330118">
                        <w:pPr>
                          <w:pStyle w:val="TableParagraph"/>
                          <w:spacing w:line="232" w:lineRule="exact"/>
                          <w:ind w:left="69"/>
                          <w:rPr>
                            <w:rFonts w:ascii="Arial" w:hAnsi="Arial"/>
                          </w:rPr>
                        </w:pPr>
                        <w:r>
                          <w:rPr>
                            <w:rFonts w:ascii="Arial" w:hAnsi="Arial"/>
                          </w:rPr>
                          <w:t>5°</w:t>
                        </w:r>
                      </w:p>
                    </w:tc>
                    <w:tc>
                      <w:tcPr>
                        <w:tcW w:w="2412" w:type="dxa"/>
                      </w:tcPr>
                      <w:p w:rsidR="00D81F69" w:rsidRDefault="00330118">
                        <w:pPr>
                          <w:pStyle w:val="TableParagraph"/>
                          <w:spacing w:line="232" w:lineRule="exact"/>
                          <w:ind w:left="65"/>
                          <w:rPr>
                            <w:rFonts w:ascii="Arial" w:hAnsi="Arial"/>
                          </w:rPr>
                        </w:pPr>
                        <w:r>
                          <w:rPr>
                            <w:rFonts w:ascii="Arial" w:hAnsi="Arial"/>
                          </w:rPr>
                          <w:t>Goiás</w:t>
                        </w:r>
                      </w:p>
                    </w:tc>
                    <w:tc>
                      <w:tcPr>
                        <w:tcW w:w="599" w:type="dxa"/>
                      </w:tcPr>
                      <w:p w:rsidR="00D81F69" w:rsidRDefault="00330118">
                        <w:pPr>
                          <w:pStyle w:val="TableParagraph"/>
                          <w:spacing w:line="232" w:lineRule="exact"/>
                          <w:ind w:left="0" w:right="55"/>
                          <w:jc w:val="right"/>
                          <w:rPr>
                            <w:rFonts w:ascii="Arial"/>
                          </w:rPr>
                        </w:pPr>
                        <w:r>
                          <w:rPr>
                            <w:rFonts w:ascii="Arial"/>
                          </w:rPr>
                          <w:t>6,7</w:t>
                        </w:r>
                      </w:p>
                    </w:tc>
                  </w:tr>
                  <w:tr w:rsidR="00D81F69">
                    <w:trPr>
                      <w:trHeight w:val="290"/>
                    </w:trPr>
                    <w:tc>
                      <w:tcPr>
                        <w:tcW w:w="1163" w:type="dxa"/>
                      </w:tcPr>
                      <w:p w:rsidR="00D81F69" w:rsidRDefault="00330118">
                        <w:pPr>
                          <w:pStyle w:val="TableParagraph"/>
                          <w:spacing w:before="36" w:line="234" w:lineRule="exact"/>
                          <w:ind w:left="69"/>
                          <w:rPr>
                            <w:rFonts w:ascii="Arial" w:hAnsi="Arial"/>
                          </w:rPr>
                        </w:pPr>
                        <w:r>
                          <w:rPr>
                            <w:rFonts w:ascii="Arial" w:hAnsi="Arial"/>
                          </w:rPr>
                          <w:t>6°</w:t>
                        </w:r>
                      </w:p>
                    </w:tc>
                    <w:tc>
                      <w:tcPr>
                        <w:tcW w:w="2412" w:type="dxa"/>
                      </w:tcPr>
                      <w:p w:rsidR="00D81F69" w:rsidRDefault="00330118">
                        <w:pPr>
                          <w:pStyle w:val="TableParagraph"/>
                          <w:spacing w:before="36" w:line="234" w:lineRule="exact"/>
                          <w:ind w:left="65"/>
                          <w:rPr>
                            <w:rFonts w:ascii="Arial" w:hAnsi="Arial"/>
                          </w:rPr>
                        </w:pPr>
                        <w:r>
                          <w:rPr>
                            <w:rFonts w:ascii="Arial" w:hAnsi="Arial"/>
                          </w:rPr>
                          <w:t>Amapá</w:t>
                        </w:r>
                      </w:p>
                    </w:tc>
                    <w:tc>
                      <w:tcPr>
                        <w:tcW w:w="599" w:type="dxa"/>
                      </w:tcPr>
                      <w:p w:rsidR="00D81F69" w:rsidRDefault="00330118">
                        <w:pPr>
                          <w:pStyle w:val="TableParagraph"/>
                          <w:spacing w:before="36" w:line="234" w:lineRule="exact"/>
                          <w:ind w:left="0" w:right="55"/>
                          <w:jc w:val="right"/>
                          <w:rPr>
                            <w:rFonts w:ascii="Arial"/>
                          </w:rPr>
                        </w:pPr>
                        <w:r>
                          <w:rPr>
                            <w:rFonts w:ascii="Arial"/>
                          </w:rPr>
                          <w:t>5,7</w:t>
                        </w:r>
                      </w:p>
                    </w:tc>
                  </w:tr>
                  <w:tr w:rsidR="00D81F69">
                    <w:trPr>
                      <w:trHeight w:val="290"/>
                    </w:trPr>
                    <w:tc>
                      <w:tcPr>
                        <w:tcW w:w="1163" w:type="dxa"/>
                      </w:tcPr>
                      <w:p w:rsidR="00D81F69" w:rsidRDefault="00330118">
                        <w:pPr>
                          <w:pStyle w:val="TableParagraph"/>
                          <w:spacing w:before="36" w:line="234" w:lineRule="exact"/>
                          <w:ind w:left="69"/>
                          <w:rPr>
                            <w:rFonts w:ascii="Arial" w:hAnsi="Arial"/>
                          </w:rPr>
                        </w:pPr>
                        <w:r>
                          <w:rPr>
                            <w:rFonts w:ascii="Arial" w:hAnsi="Arial"/>
                          </w:rPr>
                          <w:t>7°</w:t>
                        </w:r>
                      </w:p>
                    </w:tc>
                    <w:tc>
                      <w:tcPr>
                        <w:tcW w:w="2412" w:type="dxa"/>
                      </w:tcPr>
                      <w:p w:rsidR="00D81F69" w:rsidRDefault="00330118">
                        <w:pPr>
                          <w:pStyle w:val="TableParagraph"/>
                          <w:spacing w:before="36" w:line="234" w:lineRule="exact"/>
                          <w:ind w:left="65"/>
                          <w:rPr>
                            <w:rFonts w:ascii="Arial" w:hAnsi="Arial"/>
                          </w:rPr>
                        </w:pPr>
                        <w:r>
                          <w:rPr>
                            <w:rFonts w:ascii="Arial" w:hAnsi="Arial"/>
                          </w:rPr>
                          <w:t>Paraná</w:t>
                        </w:r>
                      </w:p>
                    </w:tc>
                    <w:tc>
                      <w:tcPr>
                        <w:tcW w:w="599" w:type="dxa"/>
                      </w:tcPr>
                      <w:p w:rsidR="00D81F69" w:rsidRDefault="00330118">
                        <w:pPr>
                          <w:pStyle w:val="TableParagraph"/>
                          <w:spacing w:before="36" w:line="234" w:lineRule="exact"/>
                          <w:ind w:left="0" w:right="55"/>
                          <w:jc w:val="right"/>
                          <w:rPr>
                            <w:rFonts w:ascii="Arial"/>
                          </w:rPr>
                        </w:pPr>
                        <w:r>
                          <w:rPr>
                            <w:rFonts w:ascii="Arial"/>
                          </w:rPr>
                          <w:t>4,8</w:t>
                        </w:r>
                      </w:p>
                    </w:tc>
                  </w:tr>
                  <w:tr w:rsidR="00D81F69">
                    <w:trPr>
                      <w:trHeight w:val="253"/>
                    </w:trPr>
                    <w:tc>
                      <w:tcPr>
                        <w:tcW w:w="1163" w:type="dxa"/>
                        <w:vMerge w:val="restart"/>
                      </w:tcPr>
                      <w:p w:rsidR="00D81F69" w:rsidRDefault="00330118">
                        <w:pPr>
                          <w:pStyle w:val="TableParagraph"/>
                          <w:spacing w:line="240" w:lineRule="auto"/>
                          <w:ind w:left="69"/>
                          <w:rPr>
                            <w:rFonts w:ascii="Arial" w:hAnsi="Arial"/>
                          </w:rPr>
                        </w:pPr>
                        <w:r>
                          <w:rPr>
                            <w:rFonts w:ascii="Arial" w:hAnsi="Arial"/>
                          </w:rPr>
                          <w:t>8°</w:t>
                        </w:r>
                      </w:p>
                    </w:tc>
                    <w:tc>
                      <w:tcPr>
                        <w:tcW w:w="2412" w:type="dxa"/>
                      </w:tcPr>
                      <w:p w:rsidR="00D81F69" w:rsidRDefault="00330118">
                        <w:pPr>
                          <w:pStyle w:val="TableParagraph"/>
                          <w:spacing w:line="234" w:lineRule="exact"/>
                          <w:ind w:left="65"/>
                          <w:rPr>
                            <w:rFonts w:ascii="Arial"/>
                          </w:rPr>
                        </w:pPr>
                        <w:r>
                          <w:rPr>
                            <w:rFonts w:ascii="Arial"/>
                          </w:rPr>
                          <w:t>Amazonas</w:t>
                        </w:r>
                      </w:p>
                    </w:tc>
                    <w:tc>
                      <w:tcPr>
                        <w:tcW w:w="599" w:type="dxa"/>
                      </w:tcPr>
                      <w:p w:rsidR="00D81F69" w:rsidRDefault="00330118">
                        <w:pPr>
                          <w:pStyle w:val="TableParagraph"/>
                          <w:spacing w:line="234" w:lineRule="exact"/>
                          <w:ind w:left="0" w:right="55"/>
                          <w:jc w:val="right"/>
                          <w:rPr>
                            <w:rFonts w:ascii="Arial"/>
                          </w:rPr>
                        </w:pPr>
                        <w:r>
                          <w:rPr>
                            <w:rFonts w:ascii="Arial"/>
                          </w:rPr>
                          <w:t>3,8</w:t>
                        </w:r>
                      </w:p>
                    </w:tc>
                  </w:tr>
                  <w:tr w:rsidR="00D81F69">
                    <w:trPr>
                      <w:trHeight w:val="290"/>
                    </w:trPr>
                    <w:tc>
                      <w:tcPr>
                        <w:tcW w:w="1163" w:type="dxa"/>
                        <w:vMerge/>
                        <w:tcBorders>
                          <w:top w:val="nil"/>
                        </w:tcBorders>
                      </w:tcPr>
                      <w:p w:rsidR="00D81F69" w:rsidRDefault="00D81F69">
                        <w:pPr>
                          <w:rPr>
                            <w:sz w:val="2"/>
                            <w:szCs w:val="2"/>
                          </w:rPr>
                        </w:pPr>
                      </w:p>
                    </w:tc>
                    <w:tc>
                      <w:tcPr>
                        <w:tcW w:w="2412" w:type="dxa"/>
                      </w:tcPr>
                      <w:p w:rsidR="00D81F69" w:rsidRDefault="00330118">
                        <w:pPr>
                          <w:pStyle w:val="TableParagraph"/>
                          <w:spacing w:before="36" w:line="234" w:lineRule="exact"/>
                          <w:ind w:left="65"/>
                          <w:rPr>
                            <w:rFonts w:ascii="Arial" w:hAnsi="Arial"/>
                          </w:rPr>
                        </w:pPr>
                        <w:r>
                          <w:rPr>
                            <w:rFonts w:ascii="Arial" w:hAnsi="Arial"/>
                          </w:rPr>
                          <w:t>Rondônia</w:t>
                        </w:r>
                      </w:p>
                    </w:tc>
                    <w:tc>
                      <w:tcPr>
                        <w:tcW w:w="599" w:type="dxa"/>
                      </w:tcPr>
                      <w:p w:rsidR="00D81F69" w:rsidRDefault="00330118">
                        <w:pPr>
                          <w:pStyle w:val="TableParagraph"/>
                          <w:spacing w:before="36" w:line="234" w:lineRule="exact"/>
                          <w:ind w:left="0" w:right="55"/>
                          <w:jc w:val="right"/>
                          <w:rPr>
                            <w:rFonts w:ascii="Arial"/>
                          </w:rPr>
                        </w:pPr>
                        <w:r>
                          <w:rPr>
                            <w:rFonts w:ascii="Arial"/>
                          </w:rPr>
                          <w:t>3,8</w:t>
                        </w:r>
                      </w:p>
                    </w:tc>
                  </w:tr>
                  <w:tr w:rsidR="00D81F69">
                    <w:trPr>
                      <w:trHeight w:val="290"/>
                    </w:trPr>
                    <w:tc>
                      <w:tcPr>
                        <w:tcW w:w="1163" w:type="dxa"/>
                        <w:vMerge/>
                        <w:tcBorders>
                          <w:top w:val="nil"/>
                        </w:tcBorders>
                      </w:tcPr>
                      <w:p w:rsidR="00D81F69" w:rsidRDefault="00D81F69">
                        <w:pPr>
                          <w:rPr>
                            <w:sz w:val="2"/>
                            <w:szCs w:val="2"/>
                          </w:rPr>
                        </w:pPr>
                      </w:p>
                    </w:tc>
                    <w:tc>
                      <w:tcPr>
                        <w:tcW w:w="2412" w:type="dxa"/>
                      </w:tcPr>
                      <w:p w:rsidR="00D81F69" w:rsidRDefault="00330118">
                        <w:pPr>
                          <w:pStyle w:val="TableParagraph"/>
                          <w:spacing w:before="36" w:line="234" w:lineRule="exact"/>
                          <w:ind w:left="65"/>
                          <w:rPr>
                            <w:rFonts w:ascii="Arial"/>
                          </w:rPr>
                        </w:pPr>
                        <w:r>
                          <w:rPr>
                            <w:rFonts w:ascii="Arial"/>
                          </w:rPr>
                          <w:t>Rio Grande do Sul</w:t>
                        </w:r>
                      </w:p>
                    </w:tc>
                    <w:tc>
                      <w:tcPr>
                        <w:tcW w:w="599" w:type="dxa"/>
                      </w:tcPr>
                      <w:p w:rsidR="00D81F69" w:rsidRDefault="00330118">
                        <w:pPr>
                          <w:pStyle w:val="TableParagraph"/>
                          <w:spacing w:before="36" w:line="234" w:lineRule="exact"/>
                          <w:ind w:left="0" w:right="55"/>
                          <w:jc w:val="right"/>
                          <w:rPr>
                            <w:rFonts w:ascii="Arial"/>
                          </w:rPr>
                        </w:pPr>
                        <w:r>
                          <w:rPr>
                            <w:rFonts w:ascii="Arial"/>
                          </w:rPr>
                          <w:t>3,8</w:t>
                        </w:r>
                      </w:p>
                    </w:tc>
                  </w:tr>
                  <w:tr w:rsidR="00D81F69">
                    <w:trPr>
                      <w:trHeight w:val="289"/>
                    </w:trPr>
                    <w:tc>
                      <w:tcPr>
                        <w:tcW w:w="1163" w:type="dxa"/>
                        <w:vMerge/>
                        <w:tcBorders>
                          <w:top w:val="nil"/>
                        </w:tcBorders>
                      </w:tcPr>
                      <w:p w:rsidR="00D81F69" w:rsidRDefault="00D81F69">
                        <w:pPr>
                          <w:rPr>
                            <w:sz w:val="2"/>
                            <w:szCs w:val="2"/>
                          </w:rPr>
                        </w:pPr>
                      </w:p>
                    </w:tc>
                    <w:tc>
                      <w:tcPr>
                        <w:tcW w:w="2412" w:type="dxa"/>
                      </w:tcPr>
                      <w:p w:rsidR="00D81F69" w:rsidRDefault="00330118">
                        <w:pPr>
                          <w:pStyle w:val="TableParagraph"/>
                          <w:spacing w:before="16" w:line="240" w:lineRule="auto"/>
                          <w:ind w:left="65"/>
                          <w:rPr>
                            <w:rFonts w:ascii="Arial" w:hAnsi="Arial"/>
                          </w:rPr>
                        </w:pPr>
                        <w:r>
                          <w:rPr>
                            <w:rFonts w:ascii="Arial" w:hAnsi="Arial"/>
                          </w:rPr>
                          <w:t>São Paulo</w:t>
                        </w:r>
                      </w:p>
                    </w:tc>
                    <w:tc>
                      <w:tcPr>
                        <w:tcW w:w="599" w:type="dxa"/>
                      </w:tcPr>
                      <w:p w:rsidR="00D81F69" w:rsidRDefault="00330118">
                        <w:pPr>
                          <w:pStyle w:val="TableParagraph"/>
                          <w:spacing w:before="36" w:line="234" w:lineRule="exact"/>
                          <w:ind w:left="0" w:right="55"/>
                          <w:jc w:val="right"/>
                          <w:rPr>
                            <w:rFonts w:ascii="Arial"/>
                          </w:rPr>
                        </w:pPr>
                        <w:r>
                          <w:rPr>
                            <w:rFonts w:ascii="Arial"/>
                          </w:rPr>
                          <w:t>3,8</w:t>
                        </w:r>
                      </w:p>
                    </w:tc>
                  </w:tr>
                </w:tbl>
                <w:p w:rsidR="00D81F69" w:rsidRDefault="00D81F69">
                  <w:pPr>
                    <w:pStyle w:val="Corpodetexto"/>
                    <w:ind w:left="0"/>
                    <w:jc w:val="left"/>
                  </w:pPr>
                </w:p>
              </w:txbxContent>
            </v:textbox>
            <w10:wrap anchorx="page"/>
          </v:shape>
        </w:pict>
      </w:r>
      <w:r w:rsidR="00330118" w:rsidRPr="00392EAD">
        <w:rPr>
          <w:sz w:val="24"/>
          <w:lang w:val="pt-BR"/>
        </w:rPr>
        <w:t>Tabela 1- Ranking dos estudos de caso dos impactos humanos, socioambientais e econômicos por cada Unidade da Federação do Brasil</w:t>
      </w:r>
    </w:p>
    <w:p w:rsidR="00D81F69" w:rsidRPr="00392EAD" w:rsidRDefault="00D81F69">
      <w:pPr>
        <w:pStyle w:val="Corpodetexto"/>
        <w:spacing w:before="9"/>
        <w:ind w:left="0"/>
        <w:jc w:val="left"/>
        <w:rPr>
          <w:sz w:val="10"/>
          <w:lang w:val="pt-BR"/>
        </w:rPr>
      </w:pPr>
    </w:p>
    <w:tbl>
      <w:tblPr>
        <w:tblStyle w:val="TableNormal"/>
        <w:tblW w:w="0" w:type="auto"/>
        <w:tblInd w:w="5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99"/>
        <w:gridCol w:w="2424"/>
        <w:gridCol w:w="1051"/>
      </w:tblGrid>
      <w:tr w:rsidR="00D81F69">
        <w:trPr>
          <w:trHeight w:val="251"/>
        </w:trPr>
        <w:tc>
          <w:tcPr>
            <w:tcW w:w="799" w:type="dxa"/>
          </w:tcPr>
          <w:p w:rsidR="00D81F69" w:rsidRDefault="00330118">
            <w:pPr>
              <w:pStyle w:val="TableParagraph"/>
              <w:spacing w:line="232" w:lineRule="exact"/>
              <w:ind w:left="3"/>
              <w:jc w:val="center"/>
              <w:rPr>
                <w:rFonts w:ascii="Arial"/>
                <w:b/>
              </w:rPr>
            </w:pPr>
            <w:r>
              <w:rPr>
                <w:rFonts w:ascii="Arial"/>
                <w:b/>
              </w:rPr>
              <w:t>R</w:t>
            </w:r>
          </w:p>
        </w:tc>
        <w:tc>
          <w:tcPr>
            <w:tcW w:w="2424" w:type="dxa"/>
          </w:tcPr>
          <w:p w:rsidR="00D81F69" w:rsidRDefault="00330118">
            <w:pPr>
              <w:pStyle w:val="TableParagraph"/>
              <w:spacing w:line="232" w:lineRule="exact"/>
              <w:ind w:left="1040" w:right="1040"/>
              <w:jc w:val="center"/>
              <w:rPr>
                <w:rFonts w:ascii="Arial"/>
                <w:b/>
              </w:rPr>
            </w:pPr>
            <w:r>
              <w:rPr>
                <w:rFonts w:ascii="Arial"/>
                <w:b/>
              </w:rPr>
              <w:t>UF</w:t>
            </w:r>
          </w:p>
        </w:tc>
        <w:tc>
          <w:tcPr>
            <w:tcW w:w="1051" w:type="dxa"/>
          </w:tcPr>
          <w:p w:rsidR="00D81F69" w:rsidRDefault="00330118">
            <w:pPr>
              <w:pStyle w:val="TableParagraph"/>
              <w:spacing w:line="232" w:lineRule="exact"/>
              <w:ind w:left="9"/>
              <w:jc w:val="center"/>
              <w:rPr>
                <w:rFonts w:ascii="Arial"/>
                <w:b/>
              </w:rPr>
            </w:pPr>
            <w:r>
              <w:rPr>
                <w:rFonts w:ascii="Arial"/>
                <w:b/>
              </w:rPr>
              <w:t>%</w:t>
            </w:r>
          </w:p>
        </w:tc>
      </w:tr>
      <w:tr w:rsidR="00D81F69">
        <w:trPr>
          <w:trHeight w:val="256"/>
        </w:trPr>
        <w:tc>
          <w:tcPr>
            <w:tcW w:w="799" w:type="dxa"/>
            <w:vMerge w:val="restart"/>
          </w:tcPr>
          <w:p w:rsidR="00D81F69" w:rsidRDefault="00330118">
            <w:pPr>
              <w:pStyle w:val="TableParagraph"/>
              <w:spacing w:line="240" w:lineRule="auto"/>
              <w:ind w:left="69"/>
              <w:rPr>
                <w:rFonts w:ascii="Arial" w:hAnsi="Arial"/>
              </w:rPr>
            </w:pPr>
            <w:r>
              <w:rPr>
                <w:rFonts w:ascii="Arial" w:hAnsi="Arial"/>
              </w:rPr>
              <w:t>12°</w:t>
            </w:r>
          </w:p>
        </w:tc>
        <w:tc>
          <w:tcPr>
            <w:tcW w:w="2424" w:type="dxa"/>
          </w:tcPr>
          <w:p w:rsidR="00D81F69" w:rsidRDefault="00330118">
            <w:pPr>
              <w:pStyle w:val="TableParagraph"/>
              <w:spacing w:line="236" w:lineRule="exact"/>
              <w:ind w:left="64"/>
              <w:rPr>
                <w:rFonts w:ascii="Arial" w:hAnsi="Arial"/>
              </w:rPr>
            </w:pPr>
            <w:r>
              <w:rPr>
                <w:rFonts w:ascii="Arial" w:hAnsi="Arial"/>
              </w:rPr>
              <w:t>Ceará</w:t>
            </w:r>
          </w:p>
        </w:tc>
        <w:tc>
          <w:tcPr>
            <w:tcW w:w="1051" w:type="dxa"/>
          </w:tcPr>
          <w:p w:rsidR="00D81F69" w:rsidRDefault="00330118">
            <w:pPr>
              <w:pStyle w:val="TableParagraph"/>
              <w:spacing w:line="236" w:lineRule="exact"/>
              <w:ind w:left="0" w:right="54"/>
              <w:jc w:val="right"/>
              <w:rPr>
                <w:rFonts w:ascii="Arial"/>
              </w:rPr>
            </w:pPr>
            <w:r>
              <w:rPr>
                <w:rFonts w:ascii="Arial"/>
              </w:rPr>
              <w:t>2,9</w:t>
            </w:r>
          </w:p>
        </w:tc>
      </w:tr>
      <w:tr w:rsidR="00D81F69">
        <w:trPr>
          <w:trHeight w:val="290"/>
        </w:trPr>
        <w:tc>
          <w:tcPr>
            <w:tcW w:w="799" w:type="dxa"/>
            <w:vMerge/>
            <w:tcBorders>
              <w:top w:val="nil"/>
            </w:tcBorders>
          </w:tcPr>
          <w:p w:rsidR="00D81F69" w:rsidRDefault="00D81F69">
            <w:pPr>
              <w:rPr>
                <w:sz w:val="2"/>
                <w:szCs w:val="2"/>
              </w:rPr>
            </w:pPr>
          </w:p>
        </w:tc>
        <w:tc>
          <w:tcPr>
            <w:tcW w:w="2424" w:type="dxa"/>
          </w:tcPr>
          <w:p w:rsidR="00D81F69" w:rsidRDefault="00330118">
            <w:pPr>
              <w:pStyle w:val="TableParagraph"/>
              <w:spacing w:before="33"/>
              <w:ind w:left="64"/>
              <w:rPr>
                <w:rFonts w:ascii="Arial" w:hAnsi="Arial"/>
              </w:rPr>
            </w:pPr>
            <w:r>
              <w:rPr>
                <w:rFonts w:ascii="Arial" w:hAnsi="Arial"/>
              </w:rPr>
              <w:t>Maranhão</w:t>
            </w:r>
          </w:p>
        </w:tc>
        <w:tc>
          <w:tcPr>
            <w:tcW w:w="1051" w:type="dxa"/>
          </w:tcPr>
          <w:p w:rsidR="00D81F69" w:rsidRDefault="00330118">
            <w:pPr>
              <w:pStyle w:val="TableParagraph"/>
              <w:spacing w:before="33"/>
              <w:ind w:left="0" w:right="54"/>
              <w:jc w:val="right"/>
              <w:rPr>
                <w:rFonts w:ascii="Arial"/>
              </w:rPr>
            </w:pPr>
            <w:r>
              <w:rPr>
                <w:rFonts w:ascii="Arial"/>
              </w:rPr>
              <w:t>2,9</w:t>
            </w:r>
          </w:p>
        </w:tc>
      </w:tr>
      <w:tr w:rsidR="00D81F69">
        <w:trPr>
          <w:trHeight w:val="289"/>
        </w:trPr>
        <w:tc>
          <w:tcPr>
            <w:tcW w:w="799" w:type="dxa"/>
            <w:vMerge/>
            <w:tcBorders>
              <w:top w:val="nil"/>
            </w:tcBorders>
          </w:tcPr>
          <w:p w:rsidR="00D81F69" w:rsidRDefault="00D81F69">
            <w:pPr>
              <w:rPr>
                <w:sz w:val="2"/>
                <w:szCs w:val="2"/>
              </w:rPr>
            </w:pPr>
          </w:p>
        </w:tc>
        <w:tc>
          <w:tcPr>
            <w:tcW w:w="2424" w:type="dxa"/>
          </w:tcPr>
          <w:p w:rsidR="00D81F69" w:rsidRDefault="00330118">
            <w:pPr>
              <w:pStyle w:val="TableParagraph"/>
              <w:spacing w:before="33"/>
              <w:ind w:left="64"/>
              <w:rPr>
                <w:rFonts w:ascii="Arial"/>
              </w:rPr>
            </w:pPr>
            <w:r>
              <w:rPr>
                <w:rFonts w:ascii="Arial"/>
              </w:rPr>
              <w:t>Mato Grosso</w:t>
            </w:r>
          </w:p>
        </w:tc>
        <w:tc>
          <w:tcPr>
            <w:tcW w:w="1051" w:type="dxa"/>
          </w:tcPr>
          <w:p w:rsidR="00D81F69" w:rsidRDefault="00330118">
            <w:pPr>
              <w:pStyle w:val="TableParagraph"/>
              <w:spacing w:before="33"/>
              <w:ind w:left="0" w:right="54"/>
              <w:jc w:val="right"/>
              <w:rPr>
                <w:rFonts w:ascii="Arial"/>
              </w:rPr>
            </w:pPr>
            <w:r>
              <w:rPr>
                <w:rFonts w:ascii="Arial"/>
              </w:rPr>
              <w:t>2,9</w:t>
            </w:r>
          </w:p>
        </w:tc>
      </w:tr>
      <w:tr w:rsidR="00D81F69">
        <w:trPr>
          <w:trHeight w:val="290"/>
        </w:trPr>
        <w:tc>
          <w:tcPr>
            <w:tcW w:w="799" w:type="dxa"/>
            <w:vMerge w:val="restart"/>
          </w:tcPr>
          <w:p w:rsidR="00D81F69" w:rsidRDefault="00330118">
            <w:pPr>
              <w:pStyle w:val="TableParagraph"/>
              <w:spacing w:before="33" w:line="240" w:lineRule="auto"/>
              <w:ind w:left="69"/>
              <w:rPr>
                <w:rFonts w:ascii="Arial" w:hAnsi="Arial"/>
              </w:rPr>
            </w:pPr>
            <w:r>
              <w:rPr>
                <w:rFonts w:ascii="Arial" w:hAnsi="Arial"/>
              </w:rPr>
              <w:t>15°</w:t>
            </w:r>
          </w:p>
        </w:tc>
        <w:tc>
          <w:tcPr>
            <w:tcW w:w="2424" w:type="dxa"/>
          </w:tcPr>
          <w:p w:rsidR="00D81F69" w:rsidRDefault="00330118">
            <w:pPr>
              <w:pStyle w:val="TableParagraph"/>
              <w:spacing w:before="16" w:line="240" w:lineRule="auto"/>
              <w:ind w:left="64"/>
              <w:rPr>
                <w:rFonts w:ascii="Arial" w:hAnsi="Arial"/>
              </w:rPr>
            </w:pPr>
            <w:r>
              <w:rPr>
                <w:rFonts w:ascii="Arial" w:hAnsi="Arial"/>
              </w:rPr>
              <w:t>Piauí</w:t>
            </w:r>
          </w:p>
        </w:tc>
        <w:tc>
          <w:tcPr>
            <w:tcW w:w="1051" w:type="dxa"/>
          </w:tcPr>
          <w:p w:rsidR="00D81F69" w:rsidRDefault="00330118">
            <w:pPr>
              <w:pStyle w:val="TableParagraph"/>
              <w:spacing w:before="33"/>
              <w:ind w:left="0" w:right="54"/>
              <w:jc w:val="right"/>
              <w:rPr>
                <w:rFonts w:ascii="Arial"/>
              </w:rPr>
            </w:pPr>
            <w:r>
              <w:rPr>
                <w:rFonts w:ascii="Arial"/>
              </w:rPr>
              <w:t>1,9</w:t>
            </w:r>
          </w:p>
        </w:tc>
      </w:tr>
      <w:tr w:rsidR="00D81F69">
        <w:trPr>
          <w:trHeight w:val="251"/>
        </w:trPr>
        <w:tc>
          <w:tcPr>
            <w:tcW w:w="799" w:type="dxa"/>
            <w:vMerge/>
            <w:tcBorders>
              <w:top w:val="nil"/>
            </w:tcBorders>
          </w:tcPr>
          <w:p w:rsidR="00D81F69" w:rsidRDefault="00D81F69">
            <w:pPr>
              <w:rPr>
                <w:sz w:val="2"/>
                <w:szCs w:val="2"/>
              </w:rPr>
            </w:pPr>
          </w:p>
        </w:tc>
        <w:tc>
          <w:tcPr>
            <w:tcW w:w="2424" w:type="dxa"/>
          </w:tcPr>
          <w:p w:rsidR="00D81F69" w:rsidRDefault="00330118">
            <w:pPr>
              <w:pStyle w:val="TableParagraph"/>
              <w:spacing w:line="232" w:lineRule="exact"/>
              <w:ind w:left="64"/>
              <w:rPr>
                <w:rFonts w:ascii="Arial"/>
              </w:rPr>
            </w:pPr>
            <w:r>
              <w:rPr>
                <w:rFonts w:ascii="Arial"/>
              </w:rPr>
              <w:t>Rio Grande do Norte</w:t>
            </w:r>
          </w:p>
        </w:tc>
        <w:tc>
          <w:tcPr>
            <w:tcW w:w="1051" w:type="dxa"/>
          </w:tcPr>
          <w:p w:rsidR="00D81F69" w:rsidRDefault="00330118">
            <w:pPr>
              <w:pStyle w:val="TableParagraph"/>
              <w:spacing w:line="232" w:lineRule="exact"/>
              <w:ind w:left="0" w:right="54"/>
              <w:jc w:val="right"/>
              <w:rPr>
                <w:rFonts w:ascii="Arial"/>
              </w:rPr>
            </w:pPr>
            <w:r>
              <w:rPr>
                <w:rFonts w:ascii="Arial"/>
              </w:rPr>
              <w:t>1,9</w:t>
            </w:r>
          </w:p>
        </w:tc>
      </w:tr>
      <w:tr w:rsidR="00D81F69">
        <w:trPr>
          <w:trHeight w:val="290"/>
        </w:trPr>
        <w:tc>
          <w:tcPr>
            <w:tcW w:w="799" w:type="dxa"/>
            <w:vMerge/>
            <w:tcBorders>
              <w:top w:val="nil"/>
            </w:tcBorders>
          </w:tcPr>
          <w:p w:rsidR="00D81F69" w:rsidRDefault="00D81F69">
            <w:pPr>
              <w:rPr>
                <w:sz w:val="2"/>
                <w:szCs w:val="2"/>
              </w:rPr>
            </w:pPr>
          </w:p>
        </w:tc>
        <w:tc>
          <w:tcPr>
            <w:tcW w:w="2424" w:type="dxa"/>
          </w:tcPr>
          <w:p w:rsidR="00D81F69" w:rsidRDefault="00330118">
            <w:pPr>
              <w:pStyle w:val="TableParagraph"/>
              <w:spacing w:before="36" w:line="234" w:lineRule="exact"/>
              <w:ind w:left="64"/>
              <w:rPr>
                <w:rFonts w:ascii="Arial"/>
              </w:rPr>
            </w:pPr>
            <w:r>
              <w:rPr>
                <w:rFonts w:ascii="Arial"/>
              </w:rPr>
              <w:t>Roraima</w:t>
            </w:r>
          </w:p>
        </w:tc>
        <w:tc>
          <w:tcPr>
            <w:tcW w:w="1051" w:type="dxa"/>
          </w:tcPr>
          <w:p w:rsidR="00D81F69" w:rsidRDefault="00330118">
            <w:pPr>
              <w:pStyle w:val="TableParagraph"/>
              <w:spacing w:before="36" w:line="234" w:lineRule="exact"/>
              <w:ind w:left="0" w:right="54"/>
              <w:jc w:val="right"/>
              <w:rPr>
                <w:rFonts w:ascii="Arial"/>
              </w:rPr>
            </w:pPr>
            <w:r>
              <w:rPr>
                <w:rFonts w:ascii="Arial"/>
              </w:rPr>
              <w:t>1,9</w:t>
            </w:r>
          </w:p>
        </w:tc>
      </w:tr>
      <w:tr w:rsidR="00D81F69">
        <w:trPr>
          <w:trHeight w:val="290"/>
        </w:trPr>
        <w:tc>
          <w:tcPr>
            <w:tcW w:w="799" w:type="dxa"/>
            <w:vMerge w:val="restart"/>
          </w:tcPr>
          <w:p w:rsidR="00D81F69" w:rsidRDefault="00330118">
            <w:pPr>
              <w:pStyle w:val="TableParagraph"/>
              <w:spacing w:before="36" w:line="240" w:lineRule="auto"/>
              <w:ind w:left="69"/>
              <w:rPr>
                <w:rFonts w:ascii="Arial" w:hAnsi="Arial"/>
              </w:rPr>
            </w:pPr>
            <w:r>
              <w:rPr>
                <w:rFonts w:ascii="Arial" w:hAnsi="Arial"/>
              </w:rPr>
              <w:t>18°</w:t>
            </w:r>
          </w:p>
        </w:tc>
        <w:tc>
          <w:tcPr>
            <w:tcW w:w="2424" w:type="dxa"/>
          </w:tcPr>
          <w:p w:rsidR="00D81F69" w:rsidRDefault="00330118">
            <w:pPr>
              <w:pStyle w:val="TableParagraph"/>
              <w:spacing w:before="36" w:line="234" w:lineRule="exact"/>
              <w:ind w:left="64"/>
              <w:rPr>
                <w:rFonts w:ascii="Arial" w:hAnsi="Arial"/>
              </w:rPr>
            </w:pPr>
            <w:r>
              <w:rPr>
                <w:rFonts w:ascii="Arial" w:hAnsi="Arial"/>
              </w:rPr>
              <w:t>Espírito Santo</w:t>
            </w:r>
          </w:p>
        </w:tc>
        <w:tc>
          <w:tcPr>
            <w:tcW w:w="1051" w:type="dxa"/>
          </w:tcPr>
          <w:p w:rsidR="00D81F69" w:rsidRDefault="00330118">
            <w:pPr>
              <w:pStyle w:val="TableParagraph"/>
              <w:spacing w:before="36" w:line="234" w:lineRule="exact"/>
              <w:ind w:left="0" w:right="54"/>
              <w:jc w:val="right"/>
              <w:rPr>
                <w:rFonts w:ascii="Arial"/>
              </w:rPr>
            </w:pPr>
            <w:r>
              <w:rPr>
                <w:rFonts w:ascii="Arial"/>
              </w:rPr>
              <w:t>1,0</w:t>
            </w:r>
          </w:p>
        </w:tc>
      </w:tr>
      <w:tr w:rsidR="00D81F69">
        <w:trPr>
          <w:trHeight w:val="253"/>
        </w:trPr>
        <w:tc>
          <w:tcPr>
            <w:tcW w:w="799" w:type="dxa"/>
            <w:vMerge/>
            <w:tcBorders>
              <w:top w:val="nil"/>
            </w:tcBorders>
          </w:tcPr>
          <w:p w:rsidR="00D81F69" w:rsidRDefault="00D81F69">
            <w:pPr>
              <w:rPr>
                <w:sz w:val="2"/>
                <w:szCs w:val="2"/>
              </w:rPr>
            </w:pPr>
          </w:p>
        </w:tc>
        <w:tc>
          <w:tcPr>
            <w:tcW w:w="2424" w:type="dxa"/>
          </w:tcPr>
          <w:p w:rsidR="00D81F69" w:rsidRDefault="00330118">
            <w:pPr>
              <w:pStyle w:val="TableParagraph"/>
              <w:spacing w:line="234" w:lineRule="exact"/>
              <w:ind w:left="64"/>
              <w:rPr>
                <w:rFonts w:ascii="Arial"/>
              </w:rPr>
            </w:pPr>
            <w:r>
              <w:rPr>
                <w:rFonts w:ascii="Arial"/>
              </w:rPr>
              <w:t>Mato Grosso do Sul</w:t>
            </w:r>
          </w:p>
        </w:tc>
        <w:tc>
          <w:tcPr>
            <w:tcW w:w="1051" w:type="dxa"/>
          </w:tcPr>
          <w:p w:rsidR="00D81F69" w:rsidRDefault="00330118">
            <w:pPr>
              <w:pStyle w:val="TableParagraph"/>
              <w:spacing w:line="234" w:lineRule="exact"/>
              <w:ind w:left="0" w:right="54"/>
              <w:jc w:val="right"/>
              <w:rPr>
                <w:rFonts w:ascii="Arial"/>
              </w:rPr>
            </w:pPr>
            <w:r>
              <w:rPr>
                <w:rFonts w:ascii="Arial"/>
              </w:rPr>
              <w:t>1,0</w:t>
            </w:r>
          </w:p>
        </w:tc>
      </w:tr>
      <w:tr w:rsidR="00D81F69">
        <w:trPr>
          <w:trHeight w:val="290"/>
        </w:trPr>
        <w:tc>
          <w:tcPr>
            <w:tcW w:w="799" w:type="dxa"/>
            <w:vMerge/>
            <w:tcBorders>
              <w:top w:val="nil"/>
            </w:tcBorders>
          </w:tcPr>
          <w:p w:rsidR="00D81F69" w:rsidRDefault="00D81F69">
            <w:pPr>
              <w:rPr>
                <w:sz w:val="2"/>
                <w:szCs w:val="2"/>
              </w:rPr>
            </w:pPr>
          </w:p>
        </w:tc>
        <w:tc>
          <w:tcPr>
            <w:tcW w:w="2424" w:type="dxa"/>
          </w:tcPr>
          <w:p w:rsidR="00D81F69" w:rsidRDefault="00330118">
            <w:pPr>
              <w:pStyle w:val="TableParagraph"/>
              <w:spacing w:before="16" w:line="240" w:lineRule="auto"/>
              <w:ind w:left="64"/>
              <w:rPr>
                <w:rFonts w:ascii="Arial"/>
              </w:rPr>
            </w:pPr>
            <w:r>
              <w:rPr>
                <w:rFonts w:ascii="Arial"/>
              </w:rPr>
              <w:t>Santa Catarina</w:t>
            </w:r>
          </w:p>
        </w:tc>
        <w:tc>
          <w:tcPr>
            <w:tcW w:w="1051" w:type="dxa"/>
          </w:tcPr>
          <w:p w:rsidR="00D81F69" w:rsidRDefault="00330118">
            <w:pPr>
              <w:pStyle w:val="TableParagraph"/>
              <w:spacing w:before="36" w:line="234" w:lineRule="exact"/>
              <w:ind w:left="0" w:right="54"/>
              <w:jc w:val="right"/>
              <w:rPr>
                <w:rFonts w:ascii="Arial"/>
              </w:rPr>
            </w:pPr>
            <w:r>
              <w:rPr>
                <w:rFonts w:ascii="Arial"/>
              </w:rPr>
              <w:t>1,0</w:t>
            </w:r>
          </w:p>
        </w:tc>
      </w:tr>
      <w:tr w:rsidR="00D81F69">
        <w:trPr>
          <w:trHeight w:val="290"/>
        </w:trPr>
        <w:tc>
          <w:tcPr>
            <w:tcW w:w="799" w:type="dxa"/>
            <w:vMerge/>
            <w:tcBorders>
              <w:top w:val="nil"/>
            </w:tcBorders>
          </w:tcPr>
          <w:p w:rsidR="00D81F69" w:rsidRDefault="00D81F69">
            <w:pPr>
              <w:rPr>
                <w:sz w:val="2"/>
                <w:szCs w:val="2"/>
              </w:rPr>
            </w:pPr>
          </w:p>
        </w:tc>
        <w:tc>
          <w:tcPr>
            <w:tcW w:w="2424" w:type="dxa"/>
          </w:tcPr>
          <w:p w:rsidR="00D81F69" w:rsidRDefault="00330118">
            <w:pPr>
              <w:pStyle w:val="TableParagraph"/>
              <w:spacing w:before="36" w:line="234" w:lineRule="exact"/>
              <w:ind w:left="64"/>
              <w:rPr>
                <w:rFonts w:ascii="Arial"/>
              </w:rPr>
            </w:pPr>
            <w:r>
              <w:rPr>
                <w:rFonts w:ascii="Arial"/>
              </w:rPr>
              <w:t>Sergipe</w:t>
            </w:r>
          </w:p>
        </w:tc>
        <w:tc>
          <w:tcPr>
            <w:tcW w:w="1051" w:type="dxa"/>
          </w:tcPr>
          <w:p w:rsidR="00D81F69" w:rsidRDefault="00330118">
            <w:pPr>
              <w:pStyle w:val="TableParagraph"/>
              <w:spacing w:before="36" w:line="234" w:lineRule="exact"/>
              <w:ind w:left="0" w:right="54"/>
              <w:jc w:val="right"/>
              <w:rPr>
                <w:rFonts w:ascii="Arial"/>
              </w:rPr>
            </w:pPr>
            <w:r>
              <w:rPr>
                <w:rFonts w:ascii="Arial"/>
              </w:rPr>
              <w:t>1,0</w:t>
            </w:r>
          </w:p>
        </w:tc>
      </w:tr>
    </w:tbl>
    <w:p w:rsidR="00D81F69" w:rsidRPr="00392EAD" w:rsidRDefault="00330118">
      <w:pPr>
        <w:spacing w:before="55"/>
        <w:ind w:left="5255"/>
        <w:rPr>
          <w:sz w:val="20"/>
          <w:lang w:val="pt-BR"/>
        </w:rPr>
      </w:pPr>
      <w:r w:rsidRPr="00392EAD">
        <w:rPr>
          <w:sz w:val="20"/>
          <w:lang w:val="pt-BR"/>
        </w:rPr>
        <w:t>Fonte: CETEM/MCTI, Banco de Dados</w:t>
      </w:r>
    </w:p>
    <w:p w:rsidR="00D81F69" w:rsidRPr="00392EAD" w:rsidRDefault="00D81F69">
      <w:pPr>
        <w:pStyle w:val="Corpodetexto"/>
        <w:spacing w:before="10"/>
        <w:ind w:left="0"/>
        <w:jc w:val="left"/>
        <w:rPr>
          <w:sz w:val="24"/>
          <w:lang w:val="pt-BR"/>
        </w:rPr>
      </w:pPr>
    </w:p>
    <w:p w:rsidR="00D81F69" w:rsidRPr="00392EAD" w:rsidRDefault="00330118">
      <w:pPr>
        <w:ind w:left="841" w:right="958"/>
        <w:jc w:val="both"/>
        <w:rPr>
          <w:sz w:val="24"/>
          <w:lang w:val="pt-BR"/>
        </w:rPr>
      </w:pPr>
      <w:r w:rsidRPr="00392EAD">
        <w:rPr>
          <w:sz w:val="24"/>
          <w:lang w:val="pt-BR"/>
        </w:rPr>
        <w:t>Quanto às substâncias minerais nos 105 estudos, duas representam quase 40% do total: o ouro, a mais retratada, aparecendo em 20 estudos, 19% do</w:t>
      </w:r>
    </w:p>
    <w:p w:rsidR="00D81F69" w:rsidRPr="00392EAD" w:rsidRDefault="00D81F69">
      <w:pPr>
        <w:jc w:val="both"/>
        <w:rPr>
          <w:sz w:val="24"/>
          <w:lang w:val="pt-BR"/>
        </w:rPr>
        <w:sectPr w:rsidR="00D81F69" w:rsidRPr="00392EAD">
          <w:pgSz w:w="11910" w:h="16840"/>
          <w:pgMar w:top="1320" w:right="740" w:bottom="720" w:left="860" w:header="0" w:footer="412" w:gutter="0"/>
          <w:cols w:space="720"/>
        </w:sectPr>
      </w:pPr>
    </w:p>
    <w:p w:rsidR="00D81F69" w:rsidRPr="00392EAD" w:rsidRDefault="00330118">
      <w:pPr>
        <w:spacing w:before="73"/>
        <w:ind w:left="841" w:right="957"/>
        <w:jc w:val="both"/>
        <w:rPr>
          <w:sz w:val="24"/>
          <w:lang w:val="pt-BR"/>
        </w:rPr>
      </w:pPr>
      <w:r w:rsidRPr="00392EAD">
        <w:rPr>
          <w:sz w:val="24"/>
          <w:lang w:val="pt-BR"/>
        </w:rPr>
        <w:lastRenderedPageBreak/>
        <w:t>total, seguindo-se o minério de ferro, que figura em 17 verbetes, com 16%. Carvão, cobre e rochas ornamentais aparecem em seguida, cada um com cinco verbetes. Já alumínio, amianto, chumbo, rocha fosfática, siderurgia, urânio e zinco estão presentes em quat</w:t>
      </w:r>
      <w:r w:rsidRPr="00392EAD">
        <w:rPr>
          <w:sz w:val="24"/>
          <w:lang w:val="pt-BR"/>
        </w:rPr>
        <w:t xml:space="preserve">ro verbetes cada um. Diamantes e manganês figuram em três estudos cada, seguidos de esmeraldas, níquel e quartzito, presentes, cada um, em dois verbetes. As demais substâncias estão presentes em apenas um estudo de caso cada uma (argila, calcário, caulim, </w:t>
      </w:r>
      <w:r w:rsidRPr="00392EAD">
        <w:rPr>
          <w:sz w:val="24"/>
          <w:lang w:val="pt-BR"/>
        </w:rPr>
        <w:t>estanho, gemas, magnesita, metais pesados, opala, outras pedras preciosas, potássio, resíduos, terras raras e tungstênio), conforme Tabela</w:t>
      </w:r>
      <w:r w:rsidRPr="00392EAD">
        <w:rPr>
          <w:spacing w:val="-9"/>
          <w:sz w:val="24"/>
          <w:lang w:val="pt-BR"/>
        </w:rPr>
        <w:t xml:space="preserve"> </w:t>
      </w:r>
      <w:r w:rsidRPr="00392EAD">
        <w:rPr>
          <w:sz w:val="24"/>
          <w:lang w:val="pt-BR"/>
        </w:rPr>
        <w:t>2.</w:t>
      </w:r>
    </w:p>
    <w:p w:rsidR="00D81F69" w:rsidRPr="00392EAD" w:rsidRDefault="00330118">
      <w:pPr>
        <w:spacing w:before="120"/>
        <w:ind w:left="841" w:right="958"/>
        <w:jc w:val="both"/>
        <w:rPr>
          <w:sz w:val="24"/>
          <w:lang w:val="pt-BR"/>
        </w:rPr>
      </w:pPr>
      <w:r w:rsidRPr="00392EAD">
        <w:rPr>
          <w:sz w:val="24"/>
          <w:lang w:val="pt-BR"/>
        </w:rPr>
        <w:t xml:space="preserve">Tabela 2 - Ranking das principais substâncias presentes nos estudos de caso dos impactos humanos, socioambientais </w:t>
      </w:r>
      <w:r w:rsidRPr="00392EAD">
        <w:rPr>
          <w:sz w:val="24"/>
          <w:lang w:val="pt-BR"/>
        </w:rPr>
        <w:t>e econômicos</w:t>
      </w:r>
    </w:p>
    <w:p w:rsidR="00D81F69" w:rsidRPr="00392EAD" w:rsidRDefault="00D81F69">
      <w:pPr>
        <w:pStyle w:val="Corpodetexto"/>
        <w:spacing w:before="9"/>
        <w:ind w:left="0"/>
        <w:jc w:val="left"/>
        <w:rPr>
          <w:sz w:val="10"/>
          <w:lang w:val="pt-BR"/>
        </w:rPr>
      </w:pPr>
    </w:p>
    <w:tbl>
      <w:tblPr>
        <w:tblStyle w:val="TableNormal"/>
        <w:tblW w:w="0" w:type="auto"/>
        <w:tblInd w:w="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5"/>
        <w:gridCol w:w="2177"/>
        <w:gridCol w:w="677"/>
        <w:gridCol w:w="84"/>
        <w:gridCol w:w="401"/>
        <w:gridCol w:w="1246"/>
        <w:gridCol w:w="687"/>
        <w:gridCol w:w="85"/>
        <w:gridCol w:w="402"/>
        <w:gridCol w:w="1823"/>
        <w:gridCol w:w="563"/>
      </w:tblGrid>
      <w:tr w:rsidR="00D81F69">
        <w:trPr>
          <w:trHeight w:val="324"/>
        </w:trPr>
        <w:tc>
          <w:tcPr>
            <w:tcW w:w="295" w:type="dxa"/>
          </w:tcPr>
          <w:p w:rsidR="00D81F69" w:rsidRDefault="00330118">
            <w:pPr>
              <w:pStyle w:val="TableParagraph"/>
              <w:spacing w:before="67"/>
              <w:ind w:left="0" w:right="58"/>
              <w:jc w:val="right"/>
              <w:rPr>
                <w:rFonts w:ascii="Arial"/>
                <w:b/>
              </w:rPr>
            </w:pPr>
            <w:r>
              <w:rPr>
                <w:rFonts w:ascii="Arial"/>
                <w:b/>
              </w:rPr>
              <w:t>R</w:t>
            </w:r>
          </w:p>
        </w:tc>
        <w:tc>
          <w:tcPr>
            <w:tcW w:w="2177" w:type="dxa"/>
          </w:tcPr>
          <w:p w:rsidR="00D81F69" w:rsidRDefault="00330118">
            <w:pPr>
              <w:pStyle w:val="TableParagraph"/>
              <w:spacing w:before="67"/>
              <w:ind w:left="496"/>
              <w:rPr>
                <w:rFonts w:ascii="Arial" w:hAnsi="Arial"/>
                <w:b/>
              </w:rPr>
            </w:pPr>
            <w:r>
              <w:rPr>
                <w:rFonts w:ascii="Arial" w:hAnsi="Arial"/>
                <w:b/>
              </w:rPr>
              <w:t>Substância</w:t>
            </w:r>
          </w:p>
        </w:tc>
        <w:tc>
          <w:tcPr>
            <w:tcW w:w="677" w:type="dxa"/>
          </w:tcPr>
          <w:p w:rsidR="00D81F69" w:rsidRDefault="00330118">
            <w:pPr>
              <w:pStyle w:val="TableParagraph"/>
              <w:spacing w:before="67"/>
              <w:ind w:left="4"/>
              <w:jc w:val="center"/>
              <w:rPr>
                <w:rFonts w:ascii="Arial"/>
                <w:b/>
              </w:rPr>
            </w:pPr>
            <w:r>
              <w:rPr>
                <w:rFonts w:ascii="Arial"/>
                <w:b/>
              </w:rPr>
              <w:t>%</w:t>
            </w:r>
          </w:p>
        </w:tc>
        <w:tc>
          <w:tcPr>
            <w:tcW w:w="84" w:type="dxa"/>
            <w:vMerge w:val="restart"/>
            <w:tcBorders>
              <w:top w:val="nil"/>
              <w:bottom w:val="nil"/>
            </w:tcBorders>
          </w:tcPr>
          <w:p w:rsidR="00D81F69" w:rsidRDefault="00D81F69">
            <w:pPr>
              <w:pStyle w:val="TableParagraph"/>
              <w:spacing w:line="240" w:lineRule="auto"/>
              <w:ind w:left="0"/>
              <w:rPr>
                <w:rFonts w:ascii="Times New Roman"/>
              </w:rPr>
            </w:pPr>
          </w:p>
        </w:tc>
        <w:tc>
          <w:tcPr>
            <w:tcW w:w="401" w:type="dxa"/>
          </w:tcPr>
          <w:p w:rsidR="00D81F69" w:rsidRDefault="00330118">
            <w:pPr>
              <w:pStyle w:val="TableParagraph"/>
              <w:spacing w:before="67"/>
              <w:ind w:left="117"/>
              <w:rPr>
                <w:rFonts w:ascii="Arial"/>
                <w:b/>
              </w:rPr>
            </w:pPr>
            <w:r>
              <w:rPr>
                <w:rFonts w:ascii="Arial"/>
                <w:b/>
              </w:rPr>
              <w:t>R</w:t>
            </w:r>
          </w:p>
        </w:tc>
        <w:tc>
          <w:tcPr>
            <w:tcW w:w="1246" w:type="dxa"/>
          </w:tcPr>
          <w:p w:rsidR="00D81F69" w:rsidRDefault="00330118">
            <w:pPr>
              <w:pStyle w:val="TableParagraph"/>
              <w:spacing w:before="67"/>
              <w:ind w:left="30"/>
              <w:rPr>
                <w:rFonts w:ascii="Arial" w:hAnsi="Arial"/>
                <w:b/>
              </w:rPr>
            </w:pPr>
            <w:r>
              <w:rPr>
                <w:rFonts w:ascii="Arial" w:hAnsi="Arial"/>
                <w:b/>
              </w:rPr>
              <w:t>Substância</w:t>
            </w:r>
          </w:p>
        </w:tc>
        <w:tc>
          <w:tcPr>
            <w:tcW w:w="687" w:type="dxa"/>
          </w:tcPr>
          <w:p w:rsidR="00D81F69" w:rsidRDefault="00330118">
            <w:pPr>
              <w:pStyle w:val="TableParagraph"/>
              <w:spacing w:before="67"/>
              <w:ind w:left="6"/>
              <w:jc w:val="center"/>
              <w:rPr>
                <w:rFonts w:ascii="Arial"/>
                <w:b/>
              </w:rPr>
            </w:pPr>
            <w:r>
              <w:rPr>
                <w:rFonts w:ascii="Arial"/>
                <w:b/>
              </w:rPr>
              <w:t>%</w:t>
            </w:r>
          </w:p>
        </w:tc>
        <w:tc>
          <w:tcPr>
            <w:tcW w:w="85" w:type="dxa"/>
            <w:vMerge w:val="restart"/>
            <w:tcBorders>
              <w:top w:val="nil"/>
              <w:bottom w:val="nil"/>
            </w:tcBorders>
          </w:tcPr>
          <w:p w:rsidR="00D81F69" w:rsidRDefault="00D81F69">
            <w:pPr>
              <w:pStyle w:val="TableParagraph"/>
              <w:spacing w:line="240" w:lineRule="auto"/>
              <w:ind w:left="0"/>
              <w:rPr>
                <w:rFonts w:ascii="Times New Roman"/>
              </w:rPr>
            </w:pPr>
          </w:p>
        </w:tc>
        <w:tc>
          <w:tcPr>
            <w:tcW w:w="402" w:type="dxa"/>
          </w:tcPr>
          <w:p w:rsidR="00D81F69" w:rsidRDefault="00330118">
            <w:pPr>
              <w:pStyle w:val="TableParagraph"/>
              <w:spacing w:before="67"/>
              <w:ind w:left="115"/>
              <w:rPr>
                <w:rFonts w:ascii="Arial"/>
                <w:b/>
              </w:rPr>
            </w:pPr>
            <w:r>
              <w:rPr>
                <w:rFonts w:ascii="Arial"/>
                <w:b/>
              </w:rPr>
              <w:t>R</w:t>
            </w:r>
          </w:p>
        </w:tc>
        <w:tc>
          <w:tcPr>
            <w:tcW w:w="1823" w:type="dxa"/>
          </w:tcPr>
          <w:p w:rsidR="00D81F69" w:rsidRDefault="00330118">
            <w:pPr>
              <w:pStyle w:val="TableParagraph"/>
              <w:spacing w:before="67"/>
              <w:ind w:left="315"/>
              <w:rPr>
                <w:rFonts w:ascii="Arial" w:hAnsi="Arial"/>
                <w:b/>
              </w:rPr>
            </w:pPr>
            <w:r>
              <w:rPr>
                <w:rFonts w:ascii="Arial" w:hAnsi="Arial"/>
                <w:b/>
              </w:rPr>
              <w:t>Substância</w:t>
            </w:r>
          </w:p>
        </w:tc>
        <w:tc>
          <w:tcPr>
            <w:tcW w:w="563" w:type="dxa"/>
          </w:tcPr>
          <w:p w:rsidR="00D81F69" w:rsidRDefault="00330118">
            <w:pPr>
              <w:pStyle w:val="TableParagraph"/>
              <w:spacing w:before="67"/>
              <w:ind w:left="0" w:right="5"/>
              <w:jc w:val="center"/>
              <w:rPr>
                <w:rFonts w:ascii="Arial"/>
                <w:b/>
              </w:rPr>
            </w:pPr>
            <w:r>
              <w:rPr>
                <w:rFonts w:ascii="Arial"/>
                <w:b/>
              </w:rPr>
              <w:t>%</w:t>
            </w:r>
          </w:p>
        </w:tc>
      </w:tr>
      <w:tr w:rsidR="00D81F69">
        <w:trPr>
          <w:trHeight w:val="323"/>
        </w:trPr>
        <w:tc>
          <w:tcPr>
            <w:tcW w:w="295" w:type="dxa"/>
          </w:tcPr>
          <w:p w:rsidR="00D81F69" w:rsidRDefault="00330118">
            <w:pPr>
              <w:pStyle w:val="TableParagraph"/>
              <w:spacing w:before="67"/>
              <w:ind w:left="0" w:right="68"/>
              <w:jc w:val="right"/>
              <w:rPr>
                <w:rFonts w:ascii="Arial" w:hAnsi="Arial"/>
              </w:rPr>
            </w:pPr>
            <w:r>
              <w:rPr>
                <w:rFonts w:ascii="Arial" w:hAnsi="Arial"/>
              </w:rPr>
              <w:t>1º</w:t>
            </w:r>
          </w:p>
        </w:tc>
        <w:tc>
          <w:tcPr>
            <w:tcW w:w="2177" w:type="dxa"/>
          </w:tcPr>
          <w:p w:rsidR="00D81F69" w:rsidRDefault="00330118">
            <w:pPr>
              <w:pStyle w:val="TableParagraph"/>
              <w:spacing w:before="67"/>
              <w:ind w:left="7"/>
              <w:rPr>
                <w:rFonts w:ascii="Arial"/>
              </w:rPr>
            </w:pPr>
            <w:r>
              <w:rPr>
                <w:rFonts w:ascii="Arial"/>
              </w:rPr>
              <w:t>Ouro</w:t>
            </w:r>
          </w:p>
        </w:tc>
        <w:tc>
          <w:tcPr>
            <w:tcW w:w="677" w:type="dxa"/>
          </w:tcPr>
          <w:p w:rsidR="00D81F69" w:rsidRDefault="00330118">
            <w:pPr>
              <w:pStyle w:val="TableParagraph"/>
              <w:spacing w:before="67"/>
              <w:ind w:left="34"/>
              <w:jc w:val="center"/>
              <w:rPr>
                <w:rFonts w:ascii="Arial"/>
              </w:rPr>
            </w:pPr>
            <w:r>
              <w:rPr>
                <w:rFonts w:ascii="Arial"/>
              </w:rPr>
              <w:t>19,0%</w:t>
            </w:r>
          </w:p>
        </w:tc>
        <w:tc>
          <w:tcPr>
            <w:tcW w:w="84" w:type="dxa"/>
            <w:vMerge/>
            <w:tcBorders>
              <w:top w:val="nil"/>
              <w:bottom w:val="nil"/>
            </w:tcBorders>
          </w:tcPr>
          <w:p w:rsidR="00D81F69" w:rsidRDefault="00D81F69">
            <w:pPr>
              <w:rPr>
                <w:sz w:val="2"/>
                <w:szCs w:val="2"/>
              </w:rPr>
            </w:pPr>
          </w:p>
        </w:tc>
        <w:tc>
          <w:tcPr>
            <w:tcW w:w="401" w:type="dxa"/>
            <w:vMerge w:val="restart"/>
          </w:tcPr>
          <w:p w:rsidR="00D81F69" w:rsidRDefault="00D81F69">
            <w:pPr>
              <w:pStyle w:val="TableParagraph"/>
              <w:spacing w:line="240" w:lineRule="auto"/>
              <w:ind w:left="0"/>
              <w:rPr>
                <w:rFonts w:ascii="Times New Roman"/>
              </w:rPr>
            </w:pPr>
          </w:p>
        </w:tc>
        <w:tc>
          <w:tcPr>
            <w:tcW w:w="1246" w:type="dxa"/>
          </w:tcPr>
          <w:p w:rsidR="00D81F69" w:rsidRDefault="00330118">
            <w:pPr>
              <w:pStyle w:val="TableParagraph"/>
              <w:spacing w:before="67"/>
              <w:ind w:left="6"/>
              <w:rPr>
                <w:rFonts w:ascii="Arial" w:hAnsi="Arial"/>
              </w:rPr>
            </w:pPr>
            <w:r>
              <w:rPr>
                <w:rFonts w:ascii="Arial" w:hAnsi="Arial"/>
              </w:rPr>
              <w:t>Urânio</w:t>
            </w:r>
          </w:p>
        </w:tc>
        <w:tc>
          <w:tcPr>
            <w:tcW w:w="687" w:type="dxa"/>
          </w:tcPr>
          <w:p w:rsidR="00D81F69" w:rsidRDefault="00330118">
            <w:pPr>
              <w:pStyle w:val="TableParagraph"/>
              <w:spacing w:before="67"/>
              <w:ind w:left="0"/>
              <w:jc w:val="right"/>
              <w:rPr>
                <w:rFonts w:ascii="Arial"/>
              </w:rPr>
            </w:pPr>
            <w:r>
              <w:rPr>
                <w:rFonts w:ascii="Arial"/>
              </w:rPr>
              <w:t>3,8%</w:t>
            </w:r>
          </w:p>
        </w:tc>
        <w:tc>
          <w:tcPr>
            <w:tcW w:w="85" w:type="dxa"/>
            <w:vMerge/>
            <w:tcBorders>
              <w:top w:val="nil"/>
              <w:bottom w:val="nil"/>
            </w:tcBorders>
          </w:tcPr>
          <w:p w:rsidR="00D81F69" w:rsidRDefault="00D81F69">
            <w:pPr>
              <w:rPr>
                <w:sz w:val="2"/>
                <w:szCs w:val="2"/>
              </w:rPr>
            </w:pPr>
          </w:p>
        </w:tc>
        <w:tc>
          <w:tcPr>
            <w:tcW w:w="402" w:type="dxa"/>
            <w:vMerge w:val="restart"/>
          </w:tcPr>
          <w:p w:rsidR="00D81F69" w:rsidRDefault="00330118">
            <w:pPr>
              <w:pStyle w:val="TableParagraph"/>
              <w:spacing w:before="67" w:line="240" w:lineRule="auto"/>
              <w:ind w:left="9"/>
              <w:rPr>
                <w:rFonts w:ascii="Arial" w:hAnsi="Arial"/>
              </w:rPr>
            </w:pPr>
            <w:r>
              <w:rPr>
                <w:rFonts w:ascii="Arial" w:hAnsi="Arial"/>
              </w:rPr>
              <w:t>21º</w:t>
            </w:r>
          </w:p>
        </w:tc>
        <w:tc>
          <w:tcPr>
            <w:tcW w:w="1823" w:type="dxa"/>
          </w:tcPr>
          <w:p w:rsidR="00D81F69" w:rsidRDefault="00330118">
            <w:pPr>
              <w:pStyle w:val="TableParagraph"/>
              <w:spacing w:before="67"/>
              <w:ind w:left="3"/>
              <w:rPr>
                <w:rFonts w:ascii="Arial"/>
              </w:rPr>
            </w:pPr>
            <w:r>
              <w:rPr>
                <w:rFonts w:ascii="Arial"/>
              </w:rPr>
              <w:t>Estanho</w:t>
            </w:r>
          </w:p>
        </w:tc>
        <w:tc>
          <w:tcPr>
            <w:tcW w:w="563" w:type="dxa"/>
          </w:tcPr>
          <w:p w:rsidR="00D81F69" w:rsidRDefault="00330118">
            <w:pPr>
              <w:pStyle w:val="TableParagraph"/>
              <w:spacing w:before="67"/>
              <w:ind w:left="30"/>
              <w:jc w:val="center"/>
              <w:rPr>
                <w:rFonts w:ascii="Arial"/>
              </w:rPr>
            </w:pPr>
            <w:r>
              <w:rPr>
                <w:rFonts w:ascii="Arial"/>
              </w:rPr>
              <w:t>1,0%</w:t>
            </w:r>
          </w:p>
        </w:tc>
      </w:tr>
      <w:tr w:rsidR="00D81F69">
        <w:trPr>
          <w:trHeight w:val="311"/>
        </w:trPr>
        <w:tc>
          <w:tcPr>
            <w:tcW w:w="295" w:type="dxa"/>
          </w:tcPr>
          <w:p w:rsidR="00D81F69" w:rsidRDefault="00330118">
            <w:pPr>
              <w:pStyle w:val="TableParagraph"/>
              <w:spacing w:before="57" w:line="234" w:lineRule="exact"/>
              <w:ind w:left="0" w:right="68"/>
              <w:jc w:val="right"/>
              <w:rPr>
                <w:rFonts w:ascii="Arial" w:hAnsi="Arial"/>
              </w:rPr>
            </w:pPr>
            <w:r>
              <w:rPr>
                <w:rFonts w:ascii="Arial" w:hAnsi="Arial"/>
              </w:rPr>
              <w:t>2º</w:t>
            </w:r>
          </w:p>
        </w:tc>
        <w:tc>
          <w:tcPr>
            <w:tcW w:w="2177" w:type="dxa"/>
          </w:tcPr>
          <w:p w:rsidR="00D81F69" w:rsidRDefault="00330118">
            <w:pPr>
              <w:pStyle w:val="TableParagraph"/>
              <w:spacing w:before="57" w:line="234" w:lineRule="exact"/>
              <w:ind w:left="7"/>
              <w:rPr>
                <w:rFonts w:ascii="Arial"/>
              </w:rPr>
            </w:pPr>
            <w:r>
              <w:rPr>
                <w:rFonts w:ascii="Arial"/>
              </w:rPr>
              <w:t>Ferro</w:t>
            </w:r>
          </w:p>
        </w:tc>
        <w:tc>
          <w:tcPr>
            <w:tcW w:w="677" w:type="dxa"/>
          </w:tcPr>
          <w:p w:rsidR="00D81F69" w:rsidRDefault="00330118">
            <w:pPr>
              <w:pStyle w:val="TableParagraph"/>
              <w:spacing w:before="57" w:line="234" w:lineRule="exact"/>
              <w:ind w:left="34"/>
              <w:jc w:val="center"/>
              <w:rPr>
                <w:rFonts w:ascii="Arial"/>
              </w:rPr>
            </w:pPr>
            <w:r>
              <w:rPr>
                <w:rFonts w:ascii="Arial"/>
              </w:rPr>
              <w:t>16,2%</w:t>
            </w:r>
          </w:p>
        </w:tc>
        <w:tc>
          <w:tcPr>
            <w:tcW w:w="84" w:type="dxa"/>
            <w:vMerge/>
            <w:tcBorders>
              <w:top w:val="nil"/>
              <w:bottom w:val="nil"/>
            </w:tcBorders>
          </w:tcPr>
          <w:p w:rsidR="00D81F69" w:rsidRDefault="00D81F69">
            <w:pPr>
              <w:rPr>
                <w:sz w:val="2"/>
                <w:szCs w:val="2"/>
              </w:rPr>
            </w:pPr>
          </w:p>
        </w:tc>
        <w:tc>
          <w:tcPr>
            <w:tcW w:w="401" w:type="dxa"/>
            <w:vMerge/>
            <w:tcBorders>
              <w:top w:val="nil"/>
            </w:tcBorders>
          </w:tcPr>
          <w:p w:rsidR="00D81F69" w:rsidRDefault="00D81F69">
            <w:pPr>
              <w:rPr>
                <w:sz w:val="2"/>
                <w:szCs w:val="2"/>
              </w:rPr>
            </w:pPr>
          </w:p>
        </w:tc>
        <w:tc>
          <w:tcPr>
            <w:tcW w:w="1246" w:type="dxa"/>
          </w:tcPr>
          <w:p w:rsidR="00D81F69" w:rsidRDefault="00330118">
            <w:pPr>
              <w:pStyle w:val="TableParagraph"/>
              <w:spacing w:before="57" w:line="234" w:lineRule="exact"/>
              <w:ind w:left="6"/>
              <w:rPr>
                <w:rFonts w:ascii="Arial"/>
              </w:rPr>
            </w:pPr>
            <w:r>
              <w:rPr>
                <w:rFonts w:ascii="Arial"/>
              </w:rPr>
              <w:t>Zinco</w:t>
            </w:r>
          </w:p>
        </w:tc>
        <w:tc>
          <w:tcPr>
            <w:tcW w:w="687" w:type="dxa"/>
          </w:tcPr>
          <w:p w:rsidR="00D81F69" w:rsidRDefault="00330118">
            <w:pPr>
              <w:pStyle w:val="TableParagraph"/>
              <w:spacing w:before="57" w:line="234" w:lineRule="exact"/>
              <w:ind w:left="0"/>
              <w:jc w:val="right"/>
              <w:rPr>
                <w:rFonts w:ascii="Arial"/>
              </w:rPr>
            </w:pPr>
            <w:r>
              <w:rPr>
                <w:rFonts w:ascii="Arial"/>
              </w:rPr>
              <w:t>3,8%</w:t>
            </w:r>
          </w:p>
        </w:tc>
        <w:tc>
          <w:tcPr>
            <w:tcW w:w="85" w:type="dxa"/>
            <w:vMerge/>
            <w:tcBorders>
              <w:top w:val="nil"/>
              <w:bottom w:val="nil"/>
            </w:tcBorders>
          </w:tcPr>
          <w:p w:rsidR="00D81F69" w:rsidRDefault="00D81F69">
            <w:pPr>
              <w:rPr>
                <w:sz w:val="2"/>
                <w:szCs w:val="2"/>
              </w:rPr>
            </w:pPr>
          </w:p>
        </w:tc>
        <w:tc>
          <w:tcPr>
            <w:tcW w:w="402" w:type="dxa"/>
            <w:vMerge/>
            <w:tcBorders>
              <w:top w:val="nil"/>
            </w:tcBorders>
          </w:tcPr>
          <w:p w:rsidR="00D81F69" w:rsidRDefault="00D81F69">
            <w:pPr>
              <w:rPr>
                <w:sz w:val="2"/>
                <w:szCs w:val="2"/>
              </w:rPr>
            </w:pPr>
          </w:p>
        </w:tc>
        <w:tc>
          <w:tcPr>
            <w:tcW w:w="1823" w:type="dxa"/>
          </w:tcPr>
          <w:p w:rsidR="00D81F69" w:rsidRDefault="00330118">
            <w:pPr>
              <w:pStyle w:val="TableParagraph"/>
              <w:spacing w:before="57" w:line="234" w:lineRule="exact"/>
              <w:ind w:left="3"/>
              <w:rPr>
                <w:rFonts w:ascii="Arial"/>
              </w:rPr>
            </w:pPr>
            <w:r>
              <w:rPr>
                <w:rFonts w:ascii="Arial"/>
              </w:rPr>
              <w:t>Gemas</w:t>
            </w:r>
          </w:p>
        </w:tc>
        <w:tc>
          <w:tcPr>
            <w:tcW w:w="563" w:type="dxa"/>
          </w:tcPr>
          <w:p w:rsidR="00D81F69" w:rsidRDefault="00330118">
            <w:pPr>
              <w:pStyle w:val="TableParagraph"/>
              <w:spacing w:before="57" w:line="234" w:lineRule="exact"/>
              <w:ind w:left="30"/>
              <w:jc w:val="center"/>
              <w:rPr>
                <w:rFonts w:ascii="Arial"/>
              </w:rPr>
            </w:pPr>
            <w:r>
              <w:rPr>
                <w:rFonts w:ascii="Arial"/>
              </w:rPr>
              <w:t>1,0%</w:t>
            </w:r>
          </w:p>
        </w:tc>
      </w:tr>
      <w:tr w:rsidR="00D81F69">
        <w:trPr>
          <w:trHeight w:val="323"/>
        </w:trPr>
        <w:tc>
          <w:tcPr>
            <w:tcW w:w="295" w:type="dxa"/>
            <w:vMerge w:val="restart"/>
          </w:tcPr>
          <w:p w:rsidR="00D81F69" w:rsidRDefault="00330118">
            <w:pPr>
              <w:pStyle w:val="TableParagraph"/>
              <w:spacing w:before="69" w:line="240" w:lineRule="auto"/>
              <w:ind w:left="11"/>
              <w:rPr>
                <w:rFonts w:ascii="Arial" w:hAnsi="Arial"/>
              </w:rPr>
            </w:pPr>
            <w:r>
              <w:rPr>
                <w:rFonts w:ascii="Arial" w:hAnsi="Arial"/>
              </w:rPr>
              <w:t>3º</w:t>
            </w:r>
          </w:p>
        </w:tc>
        <w:tc>
          <w:tcPr>
            <w:tcW w:w="2177" w:type="dxa"/>
          </w:tcPr>
          <w:p w:rsidR="00D81F69" w:rsidRDefault="00330118">
            <w:pPr>
              <w:pStyle w:val="TableParagraph"/>
              <w:spacing w:before="69" w:line="234" w:lineRule="exact"/>
              <w:ind w:left="7"/>
              <w:rPr>
                <w:rFonts w:ascii="Arial" w:hAnsi="Arial"/>
              </w:rPr>
            </w:pPr>
            <w:r>
              <w:rPr>
                <w:rFonts w:ascii="Arial" w:hAnsi="Arial"/>
              </w:rPr>
              <w:t>Carvão</w:t>
            </w:r>
          </w:p>
        </w:tc>
        <w:tc>
          <w:tcPr>
            <w:tcW w:w="677" w:type="dxa"/>
          </w:tcPr>
          <w:p w:rsidR="00D81F69" w:rsidRDefault="00330118">
            <w:pPr>
              <w:pStyle w:val="TableParagraph"/>
              <w:spacing w:before="69" w:line="234" w:lineRule="exact"/>
              <w:ind w:left="157"/>
              <w:jc w:val="center"/>
              <w:rPr>
                <w:rFonts w:ascii="Arial"/>
              </w:rPr>
            </w:pPr>
            <w:r>
              <w:rPr>
                <w:rFonts w:ascii="Arial"/>
              </w:rPr>
              <w:t>4,8%</w:t>
            </w:r>
          </w:p>
        </w:tc>
        <w:tc>
          <w:tcPr>
            <w:tcW w:w="84" w:type="dxa"/>
            <w:vMerge/>
            <w:tcBorders>
              <w:top w:val="nil"/>
              <w:bottom w:val="nil"/>
            </w:tcBorders>
          </w:tcPr>
          <w:p w:rsidR="00D81F69" w:rsidRDefault="00D81F69">
            <w:pPr>
              <w:rPr>
                <w:sz w:val="2"/>
                <w:szCs w:val="2"/>
              </w:rPr>
            </w:pPr>
          </w:p>
        </w:tc>
        <w:tc>
          <w:tcPr>
            <w:tcW w:w="401" w:type="dxa"/>
            <w:vMerge w:val="restart"/>
          </w:tcPr>
          <w:p w:rsidR="00D81F69" w:rsidRDefault="00330118">
            <w:pPr>
              <w:pStyle w:val="TableParagraph"/>
              <w:spacing w:before="69" w:line="240" w:lineRule="auto"/>
              <w:ind w:left="11"/>
              <w:rPr>
                <w:rFonts w:ascii="Arial" w:hAnsi="Arial"/>
              </w:rPr>
            </w:pPr>
            <w:r>
              <w:rPr>
                <w:rFonts w:ascii="Arial" w:hAnsi="Arial"/>
              </w:rPr>
              <w:t>13º</w:t>
            </w:r>
          </w:p>
        </w:tc>
        <w:tc>
          <w:tcPr>
            <w:tcW w:w="1246" w:type="dxa"/>
          </w:tcPr>
          <w:p w:rsidR="00D81F69" w:rsidRDefault="00330118">
            <w:pPr>
              <w:pStyle w:val="TableParagraph"/>
              <w:spacing w:before="69" w:line="234" w:lineRule="exact"/>
              <w:ind w:left="6"/>
              <w:rPr>
                <w:rFonts w:ascii="Arial"/>
              </w:rPr>
            </w:pPr>
            <w:r>
              <w:rPr>
                <w:rFonts w:ascii="Arial"/>
              </w:rPr>
              <w:t>Diamantes</w:t>
            </w:r>
          </w:p>
        </w:tc>
        <w:tc>
          <w:tcPr>
            <w:tcW w:w="687" w:type="dxa"/>
          </w:tcPr>
          <w:p w:rsidR="00D81F69" w:rsidRDefault="00330118">
            <w:pPr>
              <w:pStyle w:val="TableParagraph"/>
              <w:spacing w:before="69" w:line="234" w:lineRule="exact"/>
              <w:ind w:left="0"/>
              <w:jc w:val="right"/>
              <w:rPr>
                <w:rFonts w:ascii="Arial"/>
              </w:rPr>
            </w:pPr>
            <w:r>
              <w:rPr>
                <w:rFonts w:ascii="Arial"/>
              </w:rPr>
              <w:t>2,9%</w:t>
            </w:r>
          </w:p>
        </w:tc>
        <w:tc>
          <w:tcPr>
            <w:tcW w:w="85" w:type="dxa"/>
            <w:vMerge/>
            <w:tcBorders>
              <w:top w:val="nil"/>
              <w:bottom w:val="nil"/>
            </w:tcBorders>
          </w:tcPr>
          <w:p w:rsidR="00D81F69" w:rsidRDefault="00D81F69">
            <w:pPr>
              <w:rPr>
                <w:sz w:val="2"/>
                <w:szCs w:val="2"/>
              </w:rPr>
            </w:pPr>
          </w:p>
        </w:tc>
        <w:tc>
          <w:tcPr>
            <w:tcW w:w="402" w:type="dxa"/>
            <w:vMerge/>
            <w:tcBorders>
              <w:top w:val="nil"/>
            </w:tcBorders>
          </w:tcPr>
          <w:p w:rsidR="00D81F69" w:rsidRDefault="00D81F69">
            <w:pPr>
              <w:rPr>
                <w:sz w:val="2"/>
                <w:szCs w:val="2"/>
              </w:rPr>
            </w:pPr>
          </w:p>
        </w:tc>
        <w:tc>
          <w:tcPr>
            <w:tcW w:w="1823" w:type="dxa"/>
          </w:tcPr>
          <w:p w:rsidR="00D81F69" w:rsidRDefault="00330118">
            <w:pPr>
              <w:pStyle w:val="TableParagraph"/>
              <w:spacing w:before="69" w:line="234" w:lineRule="exact"/>
              <w:ind w:left="3"/>
              <w:rPr>
                <w:rFonts w:ascii="Arial"/>
              </w:rPr>
            </w:pPr>
            <w:r>
              <w:rPr>
                <w:rFonts w:ascii="Arial"/>
              </w:rPr>
              <w:t>Magnesita</w:t>
            </w:r>
          </w:p>
        </w:tc>
        <w:tc>
          <w:tcPr>
            <w:tcW w:w="563" w:type="dxa"/>
          </w:tcPr>
          <w:p w:rsidR="00D81F69" w:rsidRDefault="00330118">
            <w:pPr>
              <w:pStyle w:val="TableParagraph"/>
              <w:spacing w:before="69" w:line="234" w:lineRule="exact"/>
              <w:ind w:left="30"/>
              <w:jc w:val="center"/>
              <w:rPr>
                <w:rFonts w:ascii="Arial"/>
              </w:rPr>
            </w:pPr>
            <w:r>
              <w:rPr>
                <w:rFonts w:ascii="Arial"/>
              </w:rPr>
              <w:t>1,0%</w:t>
            </w:r>
          </w:p>
        </w:tc>
      </w:tr>
      <w:tr w:rsidR="00D81F69">
        <w:trPr>
          <w:trHeight w:val="314"/>
        </w:trPr>
        <w:tc>
          <w:tcPr>
            <w:tcW w:w="295" w:type="dxa"/>
            <w:vMerge/>
            <w:tcBorders>
              <w:top w:val="nil"/>
            </w:tcBorders>
          </w:tcPr>
          <w:p w:rsidR="00D81F69" w:rsidRDefault="00D81F69">
            <w:pPr>
              <w:rPr>
                <w:sz w:val="2"/>
                <w:szCs w:val="2"/>
              </w:rPr>
            </w:pPr>
          </w:p>
        </w:tc>
        <w:tc>
          <w:tcPr>
            <w:tcW w:w="2177" w:type="dxa"/>
          </w:tcPr>
          <w:p w:rsidR="00D81F69" w:rsidRDefault="00330118">
            <w:pPr>
              <w:pStyle w:val="TableParagraph"/>
              <w:spacing w:before="57"/>
              <w:ind w:left="7"/>
              <w:rPr>
                <w:rFonts w:ascii="Arial"/>
              </w:rPr>
            </w:pPr>
            <w:r>
              <w:rPr>
                <w:rFonts w:ascii="Arial"/>
              </w:rPr>
              <w:t>Cobre</w:t>
            </w:r>
          </w:p>
        </w:tc>
        <w:tc>
          <w:tcPr>
            <w:tcW w:w="677" w:type="dxa"/>
          </w:tcPr>
          <w:p w:rsidR="00D81F69" w:rsidRDefault="00330118">
            <w:pPr>
              <w:pStyle w:val="TableParagraph"/>
              <w:spacing w:before="57"/>
              <w:ind w:left="157"/>
              <w:jc w:val="center"/>
              <w:rPr>
                <w:rFonts w:ascii="Arial"/>
              </w:rPr>
            </w:pPr>
            <w:r>
              <w:rPr>
                <w:rFonts w:ascii="Arial"/>
              </w:rPr>
              <w:t>4,8%</w:t>
            </w:r>
          </w:p>
        </w:tc>
        <w:tc>
          <w:tcPr>
            <w:tcW w:w="84" w:type="dxa"/>
            <w:vMerge/>
            <w:tcBorders>
              <w:top w:val="nil"/>
              <w:bottom w:val="nil"/>
            </w:tcBorders>
          </w:tcPr>
          <w:p w:rsidR="00D81F69" w:rsidRDefault="00D81F69">
            <w:pPr>
              <w:rPr>
                <w:sz w:val="2"/>
                <w:szCs w:val="2"/>
              </w:rPr>
            </w:pPr>
          </w:p>
        </w:tc>
        <w:tc>
          <w:tcPr>
            <w:tcW w:w="401" w:type="dxa"/>
            <w:vMerge/>
            <w:tcBorders>
              <w:top w:val="nil"/>
            </w:tcBorders>
          </w:tcPr>
          <w:p w:rsidR="00D81F69" w:rsidRDefault="00D81F69">
            <w:pPr>
              <w:rPr>
                <w:sz w:val="2"/>
                <w:szCs w:val="2"/>
              </w:rPr>
            </w:pPr>
          </w:p>
        </w:tc>
        <w:tc>
          <w:tcPr>
            <w:tcW w:w="1246" w:type="dxa"/>
          </w:tcPr>
          <w:p w:rsidR="00D81F69" w:rsidRDefault="00330118">
            <w:pPr>
              <w:pStyle w:val="TableParagraph"/>
              <w:spacing w:before="57"/>
              <w:ind w:left="6"/>
              <w:rPr>
                <w:rFonts w:ascii="Arial" w:hAnsi="Arial"/>
              </w:rPr>
            </w:pPr>
            <w:r>
              <w:rPr>
                <w:rFonts w:ascii="Arial" w:hAnsi="Arial"/>
              </w:rPr>
              <w:t>Manganês</w:t>
            </w:r>
          </w:p>
        </w:tc>
        <w:tc>
          <w:tcPr>
            <w:tcW w:w="687" w:type="dxa"/>
          </w:tcPr>
          <w:p w:rsidR="00D81F69" w:rsidRDefault="00330118">
            <w:pPr>
              <w:pStyle w:val="TableParagraph"/>
              <w:spacing w:before="57"/>
              <w:ind w:left="0"/>
              <w:jc w:val="right"/>
              <w:rPr>
                <w:rFonts w:ascii="Arial"/>
              </w:rPr>
            </w:pPr>
            <w:r>
              <w:rPr>
                <w:rFonts w:ascii="Arial"/>
              </w:rPr>
              <w:t>2,9%</w:t>
            </w:r>
          </w:p>
        </w:tc>
        <w:tc>
          <w:tcPr>
            <w:tcW w:w="85" w:type="dxa"/>
            <w:vMerge/>
            <w:tcBorders>
              <w:top w:val="nil"/>
              <w:bottom w:val="nil"/>
            </w:tcBorders>
          </w:tcPr>
          <w:p w:rsidR="00D81F69" w:rsidRDefault="00D81F69">
            <w:pPr>
              <w:rPr>
                <w:sz w:val="2"/>
                <w:szCs w:val="2"/>
              </w:rPr>
            </w:pPr>
          </w:p>
        </w:tc>
        <w:tc>
          <w:tcPr>
            <w:tcW w:w="402" w:type="dxa"/>
            <w:vMerge/>
            <w:tcBorders>
              <w:top w:val="nil"/>
            </w:tcBorders>
          </w:tcPr>
          <w:p w:rsidR="00D81F69" w:rsidRDefault="00D81F69">
            <w:pPr>
              <w:rPr>
                <w:sz w:val="2"/>
                <w:szCs w:val="2"/>
              </w:rPr>
            </w:pPr>
          </w:p>
        </w:tc>
        <w:tc>
          <w:tcPr>
            <w:tcW w:w="1823" w:type="dxa"/>
          </w:tcPr>
          <w:p w:rsidR="00D81F69" w:rsidRDefault="00330118">
            <w:pPr>
              <w:pStyle w:val="TableParagraph"/>
              <w:spacing w:before="57"/>
              <w:ind w:left="3"/>
              <w:rPr>
                <w:rFonts w:ascii="Arial"/>
              </w:rPr>
            </w:pPr>
            <w:r>
              <w:rPr>
                <w:rFonts w:ascii="Arial"/>
              </w:rPr>
              <w:t>Metais Pesados</w:t>
            </w:r>
          </w:p>
        </w:tc>
        <w:tc>
          <w:tcPr>
            <w:tcW w:w="563" w:type="dxa"/>
          </w:tcPr>
          <w:p w:rsidR="00D81F69" w:rsidRDefault="00330118">
            <w:pPr>
              <w:pStyle w:val="TableParagraph"/>
              <w:spacing w:before="57"/>
              <w:ind w:left="30"/>
              <w:jc w:val="center"/>
              <w:rPr>
                <w:rFonts w:ascii="Arial"/>
              </w:rPr>
            </w:pPr>
            <w:r>
              <w:rPr>
                <w:rFonts w:ascii="Arial"/>
              </w:rPr>
              <w:t>1,0%</w:t>
            </w:r>
          </w:p>
        </w:tc>
      </w:tr>
      <w:tr w:rsidR="00D81F69">
        <w:trPr>
          <w:trHeight w:val="321"/>
        </w:trPr>
        <w:tc>
          <w:tcPr>
            <w:tcW w:w="295" w:type="dxa"/>
            <w:vMerge/>
            <w:tcBorders>
              <w:top w:val="nil"/>
            </w:tcBorders>
          </w:tcPr>
          <w:p w:rsidR="00D81F69" w:rsidRDefault="00D81F69">
            <w:pPr>
              <w:rPr>
                <w:sz w:val="2"/>
                <w:szCs w:val="2"/>
              </w:rPr>
            </w:pPr>
          </w:p>
        </w:tc>
        <w:tc>
          <w:tcPr>
            <w:tcW w:w="2177" w:type="dxa"/>
          </w:tcPr>
          <w:p w:rsidR="00D81F69" w:rsidRDefault="00330118">
            <w:pPr>
              <w:pStyle w:val="TableParagraph"/>
              <w:spacing w:before="67" w:line="234" w:lineRule="exact"/>
              <w:ind w:left="7"/>
              <w:rPr>
                <w:rFonts w:ascii="Arial"/>
              </w:rPr>
            </w:pPr>
            <w:r>
              <w:rPr>
                <w:rFonts w:ascii="Arial"/>
              </w:rPr>
              <w:t>Rochas Ornamentais</w:t>
            </w:r>
          </w:p>
        </w:tc>
        <w:tc>
          <w:tcPr>
            <w:tcW w:w="677" w:type="dxa"/>
          </w:tcPr>
          <w:p w:rsidR="00D81F69" w:rsidRDefault="00330118">
            <w:pPr>
              <w:pStyle w:val="TableParagraph"/>
              <w:spacing w:before="67" w:line="234" w:lineRule="exact"/>
              <w:ind w:left="157"/>
              <w:jc w:val="center"/>
              <w:rPr>
                <w:rFonts w:ascii="Arial"/>
              </w:rPr>
            </w:pPr>
            <w:r>
              <w:rPr>
                <w:rFonts w:ascii="Arial"/>
              </w:rPr>
              <w:t>4,8%</w:t>
            </w:r>
          </w:p>
        </w:tc>
        <w:tc>
          <w:tcPr>
            <w:tcW w:w="84" w:type="dxa"/>
            <w:vMerge/>
            <w:tcBorders>
              <w:top w:val="nil"/>
              <w:bottom w:val="nil"/>
            </w:tcBorders>
          </w:tcPr>
          <w:p w:rsidR="00D81F69" w:rsidRDefault="00D81F69">
            <w:pPr>
              <w:rPr>
                <w:sz w:val="2"/>
                <w:szCs w:val="2"/>
              </w:rPr>
            </w:pPr>
          </w:p>
        </w:tc>
        <w:tc>
          <w:tcPr>
            <w:tcW w:w="401" w:type="dxa"/>
            <w:vMerge w:val="restart"/>
          </w:tcPr>
          <w:p w:rsidR="00D81F69" w:rsidRDefault="00330118">
            <w:pPr>
              <w:pStyle w:val="TableParagraph"/>
              <w:spacing w:before="67" w:line="240" w:lineRule="auto"/>
              <w:ind w:left="11"/>
              <w:rPr>
                <w:rFonts w:ascii="Arial" w:hAnsi="Arial"/>
              </w:rPr>
            </w:pPr>
            <w:r>
              <w:rPr>
                <w:rFonts w:ascii="Arial" w:hAnsi="Arial"/>
              </w:rPr>
              <w:t>15º</w:t>
            </w:r>
          </w:p>
        </w:tc>
        <w:tc>
          <w:tcPr>
            <w:tcW w:w="1246" w:type="dxa"/>
          </w:tcPr>
          <w:p w:rsidR="00D81F69" w:rsidRDefault="00330118">
            <w:pPr>
              <w:pStyle w:val="TableParagraph"/>
              <w:spacing w:before="67" w:line="234" w:lineRule="exact"/>
              <w:ind w:left="6"/>
              <w:rPr>
                <w:rFonts w:ascii="Arial"/>
              </w:rPr>
            </w:pPr>
            <w:r>
              <w:rPr>
                <w:rFonts w:ascii="Arial"/>
              </w:rPr>
              <w:t>Esmeraldas</w:t>
            </w:r>
          </w:p>
        </w:tc>
        <w:tc>
          <w:tcPr>
            <w:tcW w:w="687" w:type="dxa"/>
          </w:tcPr>
          <w:p w:rsidR="00D81F69" w:rsidRDefault="00330118">
            <w:pPr>
              <w:pStyle w:val="TableParagraph"/>
              <w:spacing w:before="67" w:line="234" w:lineRule="exact"/>
              <w:ind w:left="0"/>
              <w:jc w:val="right"/>
              <w:rPr>
                <w:rFonts w:ascii="Arial"/>
              </w:rPr>
            </w:pPr>
            <w:r>
              <w:rPr>
                <w:rFonts w:ascii="Arial"/>
              </w:rPr>
              <w:t>1,9%</w:t>
            </w:r>
          </w:p>
        </w:tc>
        <w:tc>
          <w:tcPr>
            <w:tcW w:w="85" w:type="dxa"/>
            <w:vMerge/>
            <w:tcBorders>
              <w:top w:val="nil"/>
              <w:bottom w:val="nil"/>
            </w:tcBorders>
          </w:tcPr>
          <w:p w:rsidR="00D81F69" w:rsidRDefault="00D81F69">
            <w:pPr>
              <w:rPr>
                <w:sz w:val="2"/>
                <w:szCs w:val="2"/>
              </w:rPr>
            </w:pPr>
          </w:p>
        </w:tc>
        <w:tc>
          <w:tcPr>
            <w:tcW w:w="402" w:type="dxa"/>
            <w:vMerge/>
            <w:tcBorders>
              <w:top w:val="nil"/>
            </w:tcBorders>
          </w:tcPr>
          <w:p w:rsidR="00D81F69" w:rsidRDefault="00D81F69">
            <w:pPr>
              <w:rPr>
                <w:sz w:val="2"/>
                <w:szCs w:val="2"/>
              </w:rPr>
            </w:pPr>
          </w:p>
        </w:tc>
        <w:tc>
          <w:tcPr>
            <w:tcW w:w="1823" w:type="dxa"/>
          </w:tcPr>
          <w:p w:rsidR="00D81F69" w:rsidRDefault="00330118">
            <w:pPr>
              <w:pStyle w:val="TableParagraph"/>
              <w:spacing w:before="67" w:line="234" w:lineRule="exact"/>
              <w:ind w:left="3"/>
              <w:rPr>
                <w:rFonts w:ascii="Arial"/>
              </w:rPr>
            </w:pPr>
            <w:r>
              <w:rPr>
                <w:rFonts w:ascii="Arial"/>
              </w:rPr>
              <w:t>Opala</w:t>
            </w:r>
          </w:p>
        </w:tc>
        <w:tc>
          <w:tcPr>
            <w:tcW w:w="563" w:type="dxa"/>
          </w:tcPr>
          <w:p w:rsidR="00D81F69" w:rsidRDefault="00330118">
            <w:pPr>
              <w:pStyle w:val="TableParagraph"/>
              <w:spacing w:before="67" w:line="234" w:lineRule="exact"/>
              <w:ind w:left="30"/>
              <w:jc w:val="center"/>
              <w:rPr>
                <w:rFonts w:ascii="Arial"/>
              </w:rPr>
            </w:pPr>
            <w:r>
              <w:rPr>
                <w:rFonts w:ascii="Arial"/>
              </w:rPr>
              <w:t>1,0%</w:t>
            </w:r>
          </w:p>
        </w:tc>
      </w:tr>
      <w:tr w:rsidR="00D81F69">
        <w:trPr>
          <w:trHeight w:val="323"/>
        </w:trPr>
        <w:tc>
          <w:tcPr>
            <w:tcW w:w="295" w:type="dxa"/>
            <w:vMerge w:val="restart"/>
          </w:tcPr>
          <w:p w:rsidR="00D81F69" w:rsidRDefault="00330118">
            <w:pPr>
              <w:pStyle w:val="TableParagraph"/>
              <w:spacing w:before="69" w:line="240" w:lineRule="auto"/>
              <w:ind w:left="11"/>
              <w:rPr>
                <w:rFonts w:ascii="Arial" w:hAnsi="Arial"/>
              </w:rPr>
            </w:pPr>
            <w:r>
              <w:rPr>
                <w:rFonts w:ascii="Arial" w:hAnsi="Arial"/>
              </w:rPr>
              <w:t>6º</w:t>
            </w:r>
          </w:p>
        </w:tc>
        <w:tc>
          <w:tcPr>
            <w:tcW w:w="2177" w:type="dxa"/>
          </w:tcPr>
          <w:p w:rsidR="00D81F69" w:rsidRDefault="00330118">
            <w:pPr>
              <w:pStyle w:val="TableParagraph"/>
              <w:spacing w:before="69" w:line="234" w:lineRule="exact"/>
              <w:ind w:left="7"/>
              <w:rPr>
                <w:rFonts w:ascii="Arial" w:hAnsi="Arial"/>
              </w:rPr>
            </w:pPr>
            <w:r>
              <w:rPr>
                <w:rFonts w:ascii="Arial" w:hAnsi="Arial"/>
              </w:rPr>
              <w:t>Alumínio</w:t>
            </w:r>
          </w:p>
        </w:tc>
        <w:tc>
          <w:tcPr>
            <w:tcW w:w="677" w:type="dxa"/>
          </w:tcPr>
          <w:p w:rsidR="00D81F69" w:rsidRDefault="00330118">
            <w:pPr>
              <w:pStyle w:val="TableParagraph"/>
              <w:spacing w:before="69" w:line="234" w:lineRule="exact"/>
              <w:ind w:left="157"/>
              <w:jc w:val="center"/>
              <w:rPr>
                <w:rFonts w:ascii="Arial"/>
              </w:rPr>
            </w:pPr>
            <w:r>
              <w:rPr>
                <w:rFonts w:ascii="Arial"/>
              </w:rPr>
              <w:t>3,8%</w:t>
            </w:r>
          </w:p>
        </w:tc>
        <w:tc>
          <w:tcPr>
            <w:tcW w:w="84" w:type="dxa"/>
            <w:vMerge/>
            <w:tcBorders>
              <w:top w:val="nil"/>
              <w:bottom w:val="nil"/>
            </w:tcBorders>
          </w:tcPr>
          <w:p w:rsidR="00D81F69" w:rsidRDefault="00D81F69">
            <w:pPr>
              <w:rPr>
                <w:sz w:val="2"/>
                <w:szCs w:val="2"/>
              </w:rPr>
            </w:pPr>
          </w:p>
        </w:tc>
        <w:tc>
          <w:tcPr>
            <w:tcW w:w="401" w:type="dxa"/>
            <w:vMerge/>
            <w:tcBorders>
              <w:top w:val="nil"/>
            </w:tcBorders>
          </w:tcPr>
          <w:p w:rsidR="00D81F69" w:rsidRDefault="00D81F69">
            <w:pPr>
              <w:rPr>
                <w:sz w:val="2"/>
                <w:szCs w:val="2"/>
              </w:rPr>
            </w:pPr>
          </w:p>
        </w:tc>
        <w:tc>
          <w:tcPr>
            <w:tcW w:w="1246" w:type="dxa"/>
          </w:tcPr>
          <w:p w:rsidR="00D81F69" w:rsidRDefault="00330118">
            <w:pPr>
              <w:pStyle w:val="TableParagraph"/>
              <w:spacing w:before="69" w:line="234" w:lineRule="exact"/>
              <w:ind w:left="6"/>
              <w:rPr>
                <w:rFonts w:ascii="Arial" w:hAnsi="Arial"/>
              </w:rPr>
            </w:pPr>
            <w:r>
              <w:rPr>
                <w:rFonts w:ascii="Arial" w:hAnsi="Arial"/>
              </w:rPr>
              <w:t>Níquel</w:t>
            </w:r>
          </w:p>
        </w:tc>
        <w:tc>
          <w:tcPr>
            <w:tcW w:w="687" w:type="dxa"/>
          </w:tcPr>
          <w:p w:rsidR="00D81F69" w:rsidRDefault="00330118">
            <w:pPr>
              <w:pStyle w:val="TableParagraph"/>
              <w:spacing w:before="69" w:line="234" w:lineRule="exact"/>
              <w:ind w:left="0"/>
              <w:jc w:val="right"/>
              <w:rPr>
                <w:rFonts w:ascii="Arial"/>
              </w:rPr>
            </w:pPr>
            <w:r>
              <w:rPr>
                <w:rFonts w:ascii="Arial"/>
              </w:rPr>
              <w:t>1,9%</w:t>
            </w:r>
          </w:p>
        </w:tc>
        <w:tc>
          <w:tcPr>
            <w:tcW w:w="85" w:type="dxa"/>
            <w:vMerge/>
            <w:tcBorders>
              <w:top w:val="nil"/>
              <w:bottom w:val="nil"/>
            </w:tcBorders>
          </w:tcPr>
          <w:p w:rsidR="00D81F69" w:rsidRDefault="00D81F69">
            <w:pPr>
              <w:rPr>
                <w:sz w:val="2"/>
                <w:szCs w:val="2"/>
              </w:rPr>
            </w:pPr>
          </w:p>
        </w:tc>
        <w:tc>
          <w:tcPr>
            <w:tcW w:w="402" w:type="dxa"/>
            <w:vMerge/>
            <w:tcBorders>
              <w:top w:val="nil"/>
            </w:tcBorders>
          </w:tcPr>
          <w:p w:rsidR="00D81F69" w:rsidRDefault="00D81F69">
            <w:pPr>
              <w:rPr>
                <w:sz w:val="2"/>
                <w:szCs w:val="2"/>
              </w:rPr>
            </w:pPr>
          </w:p>
        </w:tc>
        <w:tc>
          <w:tcPr>
            <w:tcW w:w="1823" w:type="dxa"/>
          </w:tcPr>
          <w:p w:rsidR="00D81F69" w:rsidRDefault="00330118">
            <w:pPr>
              <w:pStyle w:val="TableParagraph"/>
              <w:spacing w:before="69" w:line="234" w:lineRule="exact"/>
              <w:ind w:left="3"/>
              <w:rPr>
                <w:rFonts w:ascii="Arial"/>
              </w:rPr>
            </w:pPr>
            <w:r>
              <w:rPr>
                <w:rFonts w:ascii="Arial"/>
              </w:rPr>
              <w:t>Pedras Preciosas</w:t>
            </w:r>
          </w:p>
        </w:tc>
        <w:tc>
          <w:tcPr>
            <w:tcW w:w="563" w:type="dxa"/>
          </w:tcPr>
          <w:p w:rsidR="00D81F69" w:rsidRDefault="00330118">
            <w:pPr>
              <w:pStyle w:val="TableParagraph"/>
              <w:spacing w:before="69" w:line="234" w:lineRule="exact"/>
              <w:ind w:left="30"/>
              <w:jc w:val="center"/>
              <w:rPr>
                <w:rFonts w:ascii="Arial"/>
              </w:rPr>
            </w:pPr>
            <w:r>
              <w:rPr>
                <w:rFonts w:ascii="Arial"/>
              </w:rPr>
              <w:t>1,0%</w:t>
            </w:r>
          </w:p>
        </w:tc>
      </w:tr>
      <w:tr w:rsidR="00D81F69">
        <w:trPr>
          <w:trHeight w:val="313"/>
        </w:trPr>
        <w:tc>
          <w:tcPr>
            <w:tcW w:w="295" w:type="dxa"/>
            <w:vMerge/>
            <w:tcBorders>
              <w:top w:val="nil"/>
            </w:tcBorders>
          </w:tcPr>
          <w:p w:rsidR="00D81F69" w:rsidRDefault="00D81F69">
            <w:pPr>
              <w:rPr>
                <w:sz w:val="2"/>
                <w:szCs w:val="2"/>
              </w:rPr>
            </w:pPr>
          </w:p>
        </w:tc>
        <w:tc>
          <w:tcPr>
            <w:tcW w:w="2177" w:type="dxa"/>
          </w:tcPr>
          <w:p w:rsidR="00D81F69" w:rsidRDefault="00330118">
            <w:pPr>
              <w:pStyle w:val="TableParagraph"/>
              <w:spacing w:before="57"/>
              <w:ind w:left="7"/>
              <w:rPr>
                <w:rFonts w:ascii="Arial"/>
              </w:rPr>
            </w:pPr>
            <w:r>
              <w:rPr>
                <w:rFonts w:ascii="Arial"/>
              </w:rPr>
              <w:t>Amianto</w:t>
            </w:r>
          </w:p>
        </w:tc>
        <w:tc>
          <w:tcPr>
            <w:tcW w:w="677" w:type="dxa"/>
          </w:tcPr>
          <w:p w:rsidR="00D81F69" w:rsidRDefault="00330118">
            <w:pPr>
              <w:pStyle w:val="TableParagraph"/>
              <w:spacing w:before="57"/>
              <w:ind w:left="157"/>
              <w:jc w:val="center"/>
              <w:rPr>
                <w:rFonts w:ascii="Arial"/>
              </w:rPr>
            </w:pPr>
            <w:r>
              <w:rPr>
                <w:rFonts w:ascii="Arial"/>
              </w:rPr>
              <w:t>3,8%</w:t>
            </w:r>
          </w:p>
        </w:tc>
        <w:tc>
          <w:tcPr>
            <w:tcW w:w="84" w:type="dxa"/>
            <w:vMerge/>
            <w:tcBorders>
              <w:top w:val="nil"/>
              <w:bottom w:val="nil"/>
            </w:tcBorders>
          </w:tcPr>
          <w:p w:rsidR="00D81F69" w:rsidRDefault="00D81F69">
            <w:pPr>
              <w:rPr>
                <w:sz w:val="2"/>
                <w:szCs w:val="2"/>
              </w:rPr>
            </w:pPr>
          </w:p>
        </w:tc>
        <w:tc>
          <w:tcPr>
            <w:tcW w:w="401" w:type="dxa"/>
            <w:vMerge/>
            <w:tcBorders>
              <w:top w:val="nil"/>
            </w:tcBorders>
          </w:tcPr>
          <w:p w:rsidR="00D81F69" w:rsidRDefault="00D81F69">
            <w:pPr>
              <w:rPr>
                <w:sz w:val="2"/>
                <w:szCs w:val="2"/>
              </w:rPr>
            </w:pPr>
          </w:p>
        </w:tc>
        <w:tc>
          <w:tcPr>
            <w:tcW w:w="1246" w:type="dxa"/>
          </w:tcPr>
          <w:p w:rsidR="00D81F69" w:rsidRDefault="00330118">
            <w:pPr>
              <w:pStyle w:val="TableParagraph"/>
              <w:spacing w:before="57"/>
              <w:ind w:left="6"/>
              <w:rPr>
                <w:rFonts w:ascii="Arial"/>
              </w:rPr>
            </w:pPr>
            <w:r>
              <w:rPr>
                <w:rFonts w:ascii="Arial"/>
              </w:rPr>
              <w:t>Quartzito</w:t>
            </w:r>
          </w:p>
        </w:tc>
        <w:tc>
          <w:tcPr>
            <w:tcW w:w="687" w:type="dxa"/>
          </w:tcPr>
          <w:p w:rsidR="00D81F69" w:rsidRDefault="00330118">
            <w:pPr>
              <w:pStyle w:val="TableParagraph"/>
              <w:spacing w:before="57"/>
              <w:ind w:left="0"/>
              <w:jc w:val="right"/>
              <w:rPr>
                <w:rFonts w:ascii="Arial"/>
              </w:rPr>
            </w:pPr>
            <w:r>
              <w:rPr>
                <w:rFonts w:ascii="Arial"/>
              </w:rPr>
              <w:t>1,9%</w:t>
            </w:r>
          </w:p>
        </w:tc>
        <w:tc>
          <w:tcPr>
            <w:tcW w:w="85" w:type="dxa"/>
            <w:vMerge/>
            <w:tcBorders>
              <w:top w:val="nil"/>
              <w:bottom w:val="nil"/>
            </w:tcBorders>
          </w:tcPr>
          <w:p w:rsidR="00D81F69" w:rsidRDefault="00D81F69">
            <w:pPr>
              <w:rPr>
                <w:sz w:val="2"/>
                <w:szCs w:val="2"/>
              </w:rPr>
            </w:pPr>
          </w:p>
        </w:tc>
        <w:tc>
          <w:tcPr>
            <w:tcW w:w="402" w:type="dxa"/>
            <w:vMerge/>
            <w:tcBorders>
              <w:top w:val="nil"/>
            </w:tcBorders>
          </w:tcPr>
          <w:p w:rsidR="00D81F69" w:rsidRDefault="00D81F69">
            <w:pPr>
              <w:rPr>
                <w:sz w:val="2"/>
                <w:szCs w:val="2"/>
              </w:rPr>
            </w:pPr>
          </w:p>
        </w:tc>
        <w:tc>
          <w:tcPr>
            <w:tcW w:w="1823" w:type="dxa"/>
          </w:tcPr>
          <w:p w:rsidR="00D81F69" w:rsidRDefault="00330118">
            <w:pPr>
              <w:pStyle w:val="TableParagraph"/>
              <w:spacing w:before="57"/>
              <w:ind w:left="3"/>
              <w:rPr>
                <w:rFonts w:ascii="Arial" w:hAnsi="Arial"/>
              </w:rPr>
            </w:pPr>
            <w:r>
              <w:rPr>
                <w:rFonts w:ascii="Arial" w:hAnsi="Arial"/>
              </w:rPr>
              <w:t>Potássio</w:t>
            </w:r>
          </w:p>
        </w:tc>
        <w:tc>
          <w:tcPr>
            <w:tcW w:w="563" w:type="dxa"/>
          </w:tcPr>
          <w:p w:rsidR="00D81F69" w:rsidRDefault="00330118">
            <w:pPr>
              <w:pStyle w:val="TableParagraph"/>
              <w:spacing w:before="57"/>
              <w:ind w:left="30"/>
              <w:jc w:val="center"/>
              <w:rPr>
                <w:rFonts w:ascii="Arial"/>
              </w:rPr>
            </w:pPr>
            <w:r>
              <w:rPr>
                <w:rFonts w:ascii="Arial"/>
              </w:rPr>
              <w:t>1,0%</w:t>
            </w:r>
          </w:p>
        </w:tc>
      </w:tr>
      <w:tr w:rsidR="00D81F69">
        <w:trPr>
          <w:trHeight w:val="311"/>
        </w:trPr>
        <w:tc>
          <w:tcPr>
            <w:tcW w:w="295" w:type="dxa"/>
            <w:vMerge/>
            <w:tcBorders>
              <w:top w:val="nil"/>
            </w:tcBorders>
          </w:tcPr>
          <w:p w:rsidR="00D81F69" w:rsidRDefault="00D81F69">
            <w:pPr>
              <w:rPr>
                <w:sz w:val="2"/>
                <w:szCs w:val="2"/>
              </w:rPr>
            </w:pPr>
          </w:p>
        </w:tc>
        <w:tc>
          <w:tcPr>
            <w:tcW w:w="2177" w:type="dxa"/>
          </w:tcPr>
          <w:p w:rsidR="00D81F69" w:rsidRDefault="00330118">
            <w:pPr>
              <w:pStyle w:val="TableParagraph"/>
              <w:spacing w:before="57" w:line="234" w:lineRule="exact"/>
              <w:ind w:left="7"/>
              <w:rPr>
                <w:rFonts w:ascii="Arial"/>
              </w:rPr>
            </w:pPr>
            <w:r>
              <w:rPr>
                <w:rFonts w:ascii="Arial"/>
              </w:rPr>
              <w:t>Chumbo</w:t>
            </w:r>
          </w:p>
        </w:tc>
        <w:tc>
          <w:tcPr>
            <w:tcW w:w="677" w:type="dxa"/>
          </w:tcPr>
          <w:p w:rsidR="00D81F69" w:rsidRDefault="00330118">
            <w:pPr>
              <w:pStyle w:val="TableParagraph"/>
              <w:spacing w:before="57" w:line="234" w:lineRule="exact"/>
              <w:ind w:left="157"/>
              <w:jc w:val="center"/>
              <w:rPr>
                <w:rFonts w:ascii="Arial"/>
              </w:rPr>
            </w:pPr>
            <w:r>
              <w:rPr>
                <w:rFonts w:ascii="Arial"/>
              </w:rPr>
              <w:t>3,8%</w:t>
            </w:r>
          </w:p>
        </w:tc>
        <w:tc>
          <w:tcPr>
            <w:tcW w:w="84" w:type="dxa"/>
            <w:vMerge/>
            <w:tcBorders>
              <w:top w:val="nil"/>
              <w:bottom w:val="nil"/>
            </w:tcBorders>
          </w:tcPr>
          <w:p w:rsidR="00D81F69" w:rsidRDefault="00D81F69">
            <w:pPr>
              <w:rPr>
                <w:sz w:val="2"/>
                <w:szCs w:val="2"/>
              </w:rPr>
            </w:pPr>
          </w:p>
        </w:tc>
        <w:tc>
          <w:tcPr>
            <w:tcW w:w="401" w:type="dxa"/>
            <w:vMerge w:val="restart"/>
          </w:tcPr>
          <w:p w:rsidR="00D81F69" w:rsidRDefault="00330118">
            <w:pPr>
              <w:pStyle w:val="TableParagraph"/>
              <w:spacing w:before="57" w:line="240" w:lineRule="auto"/>
              <w:ind w:left="11"/>
              <w:rPr>
                <w:rFonts w:ascii="Arial" w:hAnsi="Arial"/>
              </w:rPr>
            </w:pPr>
            <w:r>
              <w:rPr>
                <w:rFonts w:ascii="Arial" w:hAnsi="Arial"/>
              </w:rPr>
              <w:t>18º</w:t>
            </w:r>
          </w:p>
        </w:tc>
        <w:tc>
          <w:tcPr>
            <w:tcW w:w="1246" w:type="dxa"/>
          </w:tcPr>
          <w:p w:rsidR="00D81F69" w:rsidRDefault="00330118">
            <w:pPr>
              <w:pStyle w:val="TableParagraph"/>
              <w:spacing w:before="57" w:line="234" w:lineRule="exact"/>
              <w:ind w:left="6"/>
              <w:rPr>
                <w:rFonts w:ascii="Arial"/>
              </w:rPr>
            </w:pPr>
            <w:r>
              <w:rPr>
                <w:rFonts w:ascii="Arial"/>
              </w:rPr>
              <w:t>Argila</w:t>
            </w:r>
          </w:p>
        </w:tc>
        <w:tc>
          <w:tcPr>
            <w:tcW w:w="687" w:type="dxa"/>
          </w:tcPr>
          <w:p w:rsidR="00D81F69" w:rsidRDefault="00330118">
            <w:pPr>
              <w:pStyle w:val="TableParagraph"/>
              <w:spacing w:before="57" w:line="234" w:lineRule="exact"/>
              <w:ind w:left="0"/>
              <w:jc w:val="right"/>
              <w:rPr>
                <w:rFonts w:ascii="Arial"/>
              </w:rPr>
            </w:pPr>
            <w:r>
              <w:rPr>
                <w:rFonts w:ascii="Arial"/>
              </w:rPr>
              <w:t>1,0%</w:t>
            </w:r>
          </w:p>
        </w:tc>
        <w:tc>
          <w:tcPr>
            <w:tcW w:w="85" w:type="dxa"/>
            <w:vMerge/>
            <w:tcBorders>
              <w:top w:val="nil"/>
              <w:bottom w:val="nil"/>
            </w:tcBorders>
          </w:tcPr>
          <w:p w:rsidR="00D81F69" w:rsidRDefault="00D81F69">
            <w:pPr>
              <w:rPr>
                <w:sz w:val="2"/>
                <w:szCs w:val="2"/>
              </w:rPr>
            </w:pPr>
          </w:p>
        </w:tc>
        <w:tc>
          <w:tcPr>
            <w:tcW w:w="402" w:type="dxa"/>
            <w:vMerge/>
            <w:tcBorders>
              <w:top w:val="nil"/>
            </w:tcBorders>
          </w:tcPr>
          <w:p w:rsidR="00D81F69" w:rsidRDefault="00D81F69">
            <w:pPr>
              <w:rPr>
                <w:sz w:val="2"/>
                <w:szCs w:val="2"/>
              </w:rPr>
            </w:pPr>
          </w:p>
        </w:tc>
        <w:tc>
          <w:tcPr>
            <w:tcW w:w="1823" w:type="dxa"/>
          </w:tcPr>
          <w:p w:rsidR="00D81F69" w:rsidRDefault="00330118">
            <w:pPr>
              <w:pStyle w:val="TableParagraph"/>
              <w:spacing w:before="57" w:line="234" w:lineRule="exact"/>
              <w:ind w:left="3"/>
              <w:rPr>
                <w:rFonts w:ascii="Arial" w:hAnsi="Arial"/>
              </w:rPr>
            </w:pPr>
            <w:r>
              <w:rPr>
                <w:rFonts w:ascii="Arial" w:hAnsi="Arial"/>
              </w:rPr>
              <w:t>Resíduos</w:t>
            </w:r>
          </w:p>
        </w:tc>
        <w:tc>
          <w:tcPr>
            <w:tcW w:w="563" w:type="dxa"/>
          </w:tcPr>
          <w:p w:rsidR="00D81F69" w:rsidRDefault="00330118">
            <w:pPr>
              <w:pStyle w:val="TableParagraph"/>
              <w:spacing w:before="57" w:line="234" w:lineRule="exact"/>
              <w:ind w:left="30"/>
              <w:jc w:val="center"/>
              <w:rPr>
                <w:rFonts w:ascii="Arial"/>
              </w:rPr>
            </w:pPr>
            <w:r>
              <w:rPr>
                <w:rFonts w:ascii="Arial"/>
              </w:rPr>
              <w:t>1,0%</w:t>
            </w:r>
          </w:p>
        </w:tc>
      </w:tr>
      <w:tr w:rsidR="00D81F69">
        <w:trPr>
          <w:trHeight w:val="313"/>
        </w:trPr>
        <w:tc>
          <w:tcPr>
            <w:tcW w:w="295" w:type="dxa"/>
            <w:vMerge/>
            <w:tcBorders>
              <w:top w:val="nil"/>
            </w:tcBorders>
          </w:tcPr>
          <w:p w:rsidR="00D81F69" w:rsidRDefault="00D81F69">
            <w:pPr>
              <w:rPr>
                <w:sz w:val="2"/>
                <w:szCs w:val="2"/>
              </w:rPr>
            </w:pPr>
          </w:p>
        </w:tc>
        <w:tc>
          <w:tcPr>
            <w:tcW w:w="2177" w:type="dxa"/>
          </w:tcPr>
          <w:p w:rsidR="00D81F69" w:rsidRDefault="00330118">
            <w:pPr>
              <w:pStyle w:val="TableParagraph"/>
              <w:spacing w:before="60" w:line="234" w:lineRule="exact"/>
              <w:ind w:left="7"/>
              <w:rPr>
                <w:rFonts w:ascii="Arial" w:hAnsi="Arial"/>
              </w:rPr>
            </w:pPr>
            <w:r>
              <w:rPr>
                <w:rFonts w:ascii="Arial" w:hAnsi="Arial"/>
              </w:rPr>
              <w:t>Rocha Fosfática</w:t>
            </w:r>
          </w:p>
        </w:tc>
        <w:tc>
          <w:tcPr>
            <w:tcW w:w="677" w:type="dxa"/>
          </w:tcPr>
          <w:p w:rsidR="00D81F69" w:rsidRDefault="00330118">
            <w:pPr>
              <w:pStyle w:val="TableParagraph"/>
              <w:spacing w:before="60" w:line="234" w:lineRule="exact"/>
              <w:ind w:left="157"/>
              <w:jc w:val="center"/>
              <w:rPr>
                <w:rFonts w:ascii="Arial"/>
              </w:rPr>
            </w:pPr>
            <w:r>
              <w:rPr>
                <w:rFonts w:ascii="Arial"/>
              </w:rPr>
              <w:t>3,8%</w:t>
            </w:r>
          </w:p>
        </w:tc>
        <w:tc>
          <w:tcPr>
            <w:tcW w:w="84" w:type="dxa"/>
            <w:vMerge/>
            <w:tcBorders>
              <w:top w:val="nil"/>
              <w:bottom w:val="nil"/>
            </w:tcBorders>
          </w:tcPr>
          <w:p w:rsidR="00D81F69" w:rsidRDefault="00D81F69">
            <w:pPr>
              <w:rPr>
                <w:sz w:val="2"/>
                <w:szCs w:val="2"/>
              </w:rPr>
            </w:pPr>
          </w:p>
        </w:tc>
        <w:tc>
          <w:tcPr>
            <w:tcW w:w="401" w:type="dxa"/>
            <w:vMerge/>
            <w:tcBorders>
              <w:top w:val="nil"/>
            </w:tcBorders>
          </w:tcPr>
          <w:p w:rsidR="00D81F69" w:rsidRDefault="00D81F69">
            <w:pPr>
              <w:rPr>
                <w:sz w:val="2"/>
                <w:szCs w:val="2"/>
              </w:rPr>
            </w:pPr>
          </w:p>
        </w:tc>
        <w:tc>
          <w:tcPr>
            <w:tcW w:w="1246" w:type="dxa"/>
          </w:tcPr>
          <w:p w:rsidR="00D81F69" w:rsidRDefault="00330118">
            <w:pPr>
              <w:pStyle w:val="TableParagraph"/>
              <w:spacing w:before="60" w:line="234" w:lineRule="exact"/>
              <w:ind w:left="6"/>
              <w:rPr>
                <w:rFonts w:ascii="Arial" w:hAnsi="Arial"/>
              </w:rPr>
            </w:pPr>
            <w:r>
              <w:rPr>
                <w:rFonts w:ascii="Arial" w:hAnsi="Arial"/>
              </w:rPr>
              <w:t>Calcário</w:t>
            </w:r>
          </w:p>
        </w:tc>
        <w:tc>
          <w:tcPr>
            <w:tcW w:w="687" w:type="dxa"/>
          </w:tcPr>
          <w:p w:rsidR="00D81F69" w:rsidRDefault="00330118">
            <w:pPr>
              <w:pStyle w:val="TableParagraph"/>
              <w:spacing w:before="60" w:line="234" w:lineRule="exact"/>
              <w:ind w:left="0"/>
              <w:jc w:val="right"/>
              <w:rPr>
                <w:rFonts w:ascii="Arial"/>
              </w:rPr>
            </w:pPr>
            <w:r>
              <w:rPr>
                <w:rFonts w:ascii="Arial"/>
              </w:rPr>
              <w:t>1,0%</w:t>
            </w:r>
          </w:p>
        </w:tc>
        <w:tc>
          <w:tcPr>
            <w:tcW w:w="85" w:type="dxa"/>
            <w:vMerge/>
            <w:tcBorders>
              <w:top w:val="nil"/>
              <w:bottom w:val="nil"/>
            </w:tcBorders>
          </w:tcPr>
          <w:p w:rsidR="00D81F69" w:rsidRDefault="00D81F69">
            <w:pPr>
              <w:rPr>
                <w:sz w:val="2"/>
                <w:szCs w:val="2"/>
              </w:rPr>
            </w:pPr>
          </w:p>
        </w:tc>
        <w:tc>
          <w:tcPr>
            <w:tcW w:w="402" w:type="dxa"/>
            <w:vMerge/>
            <w:tcBorders>
              <w:top w:val="nil"/>
            </w:tcBorders>
          </w:tcPr>
          <w:p w:rsidR="00D81F69" w:rsidRDefault="00D81F69">
            <w:pPr>
              <w:rPr>
                <w:sz w:val="2"/>
                <w:szCs w:val="2"/>
              </w:rPr>
            </w:pPr>
          </w:p>
        </w:tc>
        <w:tc>
          <w:tcPr>
            <w:tcW w:w="1823" w:type="dxa"/>
          </w:tcPr>
          <w:p w:rsidR="00D81F69" w:rsidRDefault="00330118">
            <w:pPr>
              <w:pStyle w:val="TableParagraph"/>
              <w:spacing w:before="60" w:line="234" w:lineRule="exact"/>
              <w:ind w:left="3"/>
              <w:rPr>
                <w:rFonts w:ascii="Arial"/>
              </w:rPr>
            </w:pPr>
            <w:r>
              <w:rPr>
                <w:rFonts w:ascii="Arial"/>
              </w:rPr>
              <w:t>Terras Raras</w:t>
            </w:r>
          </w:p>
        </w:tc>
        <w:tc>
          <w:tcPr>
            <w:tcW w:w="563" w:type="dxa"/>
          </w:tcPr>
          <w:p w:rsidR="00D81F69" w:rsidRDefault="00330118">
            <w:pPr>
              <w:pStyle w:val="TableParagraph"/>
              <w:spacing w:before="60" w:line="234" w:lineRule="exact"/>
              <w:ind w:left="30"/>
              <w:jc w:val="center"/>
              <w:rPr>
                <w:rFonts w:ascii="Arial"/>
              </w:rPr>
            </w:pPr>
            <w:r>
              <w:rPr>
                <w:rFonts w:ascii="Arial"/>
              </w:rPr>
              <w:t>1,0%</w:t>
            </w:r>
          </w:p>
        </w:tc>
      </w:tr>
      <w:tr w:rsidR="00D81F69">
        <w:trPr>
          <w:trHeight w:val="314"/>
        </w:trPr>
        <w:tc>
          <w:tcPr>
            <w:tcW w:w="295" w:type="dxa"/>
            <w:vMerge/>
            <w:tcBorders>
              <w:top w:val="nil"/>
            </w:tcBorders>
          </w:tcPr>
          <w:p w:rsidR="00D81F69" w:rsidRDefault="00D81F69">
            <w:pPr>
              <w:rPr>
                <w:sz w:val="2"/>
                <w:szCs w:val="2"/>
              </w:rPr>
            </w:pPr>
          </w:p>
        </w:tc>
        <w:tc>
          <w:tcPr>
            <w:tcW w:w="2177" w:type="dxa"/>
          </w:tcPr>
          <w:p w:rsidR="00D81F69" w:rsidRDefault="00330118">
            <w:pPr>
              <w:pStyle w:val="TableParagraph"/>
              <w:spacing w:before="57"/>
              <w:ind w:left="7"/>
              <w:rPr>
                <w:rFonts w:ascii="Arial"/>
              </w:rPr>
            </w:pPr>
            <w:r>
              <w:rPr>
                <w:rFonts w:ascii="Arial"/>
              </w:rPr>
              <w:t>Siderurgia</w:t>
            </w:r>
          </w:p>
        </w:tc>
        <w:tc>
          <w:tcPr>
            <w:tcW w:w="677" w:type="dxa"/>
          </w:tcPr>
          <w:p w:rsidR="00D81F69" w:rsidRDefault="00330118">
            <w:pPr>
              <w:pStyle w:val="TableParagraph"/>
              <w:spacing w:before="57"/>
              <w:ind w:left="157"/>
              <w:jc w:val="center"/>
              <w:rPr>
                <w:rFonts w:ascii="Arial"/>
              </w:rPr>
            </w:pPr>
            <w:r>
              <w:rPr>
                <w:rFonts w:ascii="Arial"/>
              </w:rPr>
              <w:t>3,8%</w:t>
            </w:r>
          </w:p>
        </w:tc>
        <w:tc>
          <w:tcPr>
            <w:tcW w:w="84" w:type="dxa"/>
            <w:vMerge/>
            <w:tcBorders>
              <w:top w:val="nil"/>
              <w:bottom w:val="nil"/>
            </w:tcBorders>
          </w:tcPr>
          <w:p w:rsidR="00D81F69" w:rsidRDefault="00D81F69">
            <w:pPr>
              <w:rPr>
                <w:sz w:val="2"/>
                <w:szCs w:val="2"/>
              </w:rPr>
            </w:pPr>
          </w:p>
        </w:tc>
        <w:tc>
          <w:tcPr>
            <w:tcW w:w="401" w:type="dxa"/>
            <w:vMerge/>
            <w:tcBorders>
              <w:top w:val="nil"/>
            </w:tcBorders>
          </w:tcPr>
          <w:p w:rsidR="00D81F69" w:rsidRDefault="00D81F69">
            <w:pPr>
              <w:rPr>
                <w:sz w:val="2"/>
                <w:szCs w:val="2"/>
              </w:rPr>
            </w:pPr>
          </w:p>
        </w:tc>
        <w:tc>
          <w:tcPr>
            <w:tcW w:w="1246" w:type="dxa"/>
          </w:tcPr>
          <w:p w:rsidR="00D81F69" w:rsidRDefault="00330118">
            <w:pPr>
              <w:pStyle w:val="TableParagraph"/>
              <w:spacing w:before="57"/>
              <w:ind w:left="6"/>
              <w:rPr>
                <w:rFonts w:ascii="Arial"/>
              </w:rPr>
            </w:pPr>
            <w:r>
              <w:rPr>
                <w:rFonts w:ascii="Arial"/>
              </w:rPr>
              <w:t>Caulim</w:t>
            </w:r>
          </w:p>
        </w:tc>
        <w:tc>
          <w:tcPr>
            <w:tcW w:w="687" w:type="dxa"/>
          </w:tcPr>
          <w:p w:rsidR="00D81F69" w:rsidRDefault="00330118">
            <w:pPr>
              <w:pStyle w:val="TableParagraph"/>
              <w:spacing w:before="57"/>
              <w:ind w:left="0"/>
              <w:jc w:val="right"/>
              <w:rPr>
                <w:rFonts w:ascii="Arial"/>
              </w:rPr>
            </w:pPr>
            <w:r>
              <w:rPr>
                <w:rFonts w:ascii="Arial"/>
              </w:rPr>
              <w:t>1,0%</w:t>
            </w:r>
          </w:p>
        </w:tc>
        <w:tc>
          <w:tcPr>
            <w:tcW w:w="85" w:type="dxa"/>
            <w:vMerge/>
            <w:tcBorders>
              <w:top w:val="nil"/>
              <w:bottom w:val="nil"/>
            </w:tcBorders>
          </w:tcPr>
          <w:p w:rsidR="00D81F69" w:rsidRDefault="00D81F69">
            <w:pPr>
              <w:rPr>
                <w:sz w:val="2"/>
                <w:szCs w:val="2"/>
              </w:rPr>
            </w:pPr>
          </w:p>
        </w:tc>
        <w:tc>
          <w:tcPr>
            <w:tcW w:w="402" w:type="dxa"/>
            <w:vMerge/>
            <w:tcBorders>
              <w:top w:val="nil"/>
            </w:tcBorders>
          </w:tcPr>
          <w:p w:rsidR="00D81F69" w:rsidRDefault="00D81F69">
            <w:pPr>
              <w:rPr>
                <w:sz w:val="2"/>
                <w:szCs w:val="2"/>
              </w:rPr>
            </w:pPr>
          </w:p>
        </w:tc>
        <w:tc>
          <w:tcPr>
            <w:tcW w:w="1823" w:type="dxa"/>
          </w:tcPr>
          <w:p w:rsidR="00D81F69" w:rsidRDefault="00330118">
            <w:pPr>
              <w:pStyle w:val="TableParagraph"/>
              <w:spacing w:before="57"/>
              <w:ind w:left="3"/>
              <w:rPr>
                <w:rFonts w:ascii="Arial" w:hAnsi="Arial"/>
              </w:rPr>
            </w:pPr>
            <w:r>
              <w:rPr>
                <w:rFonts w:ascii="Arial" w:hAnsi="Arial"/>
              </w:rPr>
              <w:t>Tungstênio</w:t>
            </w:r>
          </w:p>
        </w:tc>
        <w:tc>
          <w:tcPr>
            <w:tcW w:w="563" w:type="dxa"/>
          </w:tcPr>
          <w:p w:rsidR="00D81F69" w:rsidRDefault="00330118">
            <w:pPr>
              <w:pStyle w:val="TableParagraph"/>
              <w:spacing w:before="57"/>
              <w:ind w:left="30"/>
              <w:jc w:val="center"/>
              <w:rPr>
                <w:rFonts w:ascii="Arial"/>
              </w:rPr>
            </w:pPr>
            <w:r>
              <w:rPr>
                <w:rFonts w:ascii="Arial"/>
              </w:rPr>
              <w:t>1,0%</w:t>
            </w:r>
          </w:p>
        </w:tc>
      </w:tr>
    </w:tbl>
    <w:p w:rsidR="00D81F69" w:rsidRPr="00392EAD" w:rsidRDefault="00330118">
      <w:pPr>
        <w:spacing w:before="116"/>
        <w:ind w:left="841"/>
        <w:rPr>
          <w:sz w:val="20"/>
          <w:lang w:val="pt-BR"/>
        </w:rPr>
      </w:pPr>
      <w:r w:rsidRPr="00392EAD">
        <w:rPr>
          <w:sz w:val="20"/>
          <w:lang w:val="pt-BR"/>
        </w:rPr>
        <w:t>Fonte: CETEM/MCTI, Banco de Dados</w:t>
      </w:r>
    </w:p>
    <w:p w:rsidR="00D81F69" w:rsidRPr="00392EAD" w:rsidRDefault="00330118">
      <w:pPr>
        <w:spacing w:before="119"/>
        <w:ind w:left="841" w:right="958"/>
        <w:jc w:val="both"/>
        <w:rPr>
          <w:b/>
          <w:sz w:val="24"/>
          <w:lang w:val="pt-BR"/>
        </w:rPr>
      </w:pPr>
      <w:r w:rsidRPr="00392EAD">
        <w:rPr>
          <w:b/>
          <w:sz w:val="24"/>
          <w:lang w:val="pt-BR"/>
        </w:rPr>
        <w:t>Aprofundamento da análise dos impactos humanos, ambientais, sociais e econômicos nos territórios minerados</w:t>
      </w:r>
    </w:p>
    <w:p w:rsidR="00D81F69" w:rsidRPr="00392EAD" w:rsidRDefault="00330118">
      <w:pPr>
        <w:pStyle w:val="Heading4"/>
        <w:ind w:left="841" w:right="957"/>
        <w:rPr>
          <w:lang w:val="pt-BR"/>
        </w:rPr>
      </w:pPr>
      <w:r w:rsidRPr="00392EAD">
        <w:rPr>
          <w:lang w:val="pt-BR"/>
        </w:rPr>
        <w:t>Os estudos de casos (105) se distribuem entre minas (57), APLs - Arranjos Produtivos Locais (11), garimpos (22), extração ilegal (14); siderurgia e metalurgia (23) e outras indústrias de transformação de base mineral (21), conforme Gráfico 2.</w:t>
      </w:r>
    </w:p>
    <w:p w:rsidR="00D81F69" w:rsidRPr="00392EAD" w:rsidRDefault="00330118">
      <w:pPr>
        <w:pStyle w:val="Corpodetexto"/>
        <w:spacing w:before="7"/>
        <w:ind w:left="0"/>
        <w:jc w:val="left"/>
        <w:rPr>
          <w:sz w:val="20"/>
          <w:lang w:val="pt-BR"/>
        </w:rPr>
      </w:pPr>
      <w:r>
        <w:rPr>
          <w:noProof/>
          <w:lang w:val="pt-BR" w:eastAsia="pt-BR"/>
        </w:rPr>
        <w:drawing>
          <wp:anchor distT="0" distB="0" distL="0" distR="0" simplePos="0" relativeHeight="5488" behindDoc="0" locked="0" layoutInCell="1" allowOverlap="1">
            <wp:simplePos x="0" y="0"/>
            <wp:positionH relativeFrom="page">
              <wp:posOffset>1184056</wp:posOffset>
            </wp:positionH>
            <wp:positionV relativeFrom="paragraph">
              <wp:posOffset>175771</wp:posOffset>
            </wp:positionV>
            <wp:extent cx="5210719" cy="2103882"/>
            <wp:effectExtent l="0" t="0" r="0" b="0"/>
            <wp:wrapTopAndBottom/>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8" cstate="print"/>
                    <a:stretch>
                      <a:fillRect/>
                    </a:stretch>
                  </pic:blipFill>
                  <pic:spPr>
                    <a:xfrm>
                      <a:off x="0" y="0"/>
                      <a:ext cx="5210719" cy="2103882"/>
                    </a:xfrm>
                    <a:prstGeom prst="rect">
                      <a:avLst/>
                    </a:prstGeom>
                  </pic:spPr>
                </pic:pic>
              </a:graphicData>
            </a:graphic>
          </wp:anchor>
        </w:drawing>
      </w:r>
    </w:p>
    <w:p w:rsidR="00D81F69" w:rsidRPr="00392EAD" w:rsidRDefault="00330118">
      <w:pPr>
        <w:pStyle w:val="Heading7"/>
        <w:spacing w:before="86"/>
        <w:ind w:left="841" w:right="962"/>
        <w:rPr>
          <w:lang w:val="pt-BR"/>
        </w:rPr>
      </w:pPr>
      <w:r w:rsidRPr="00392EAD">
        <w:rPr>
          <w:lang w:val="pt-BR"/>
        </w:rPr>
        <w:t>Gráfico 2. Os estudos de casos dos impactos da extração mineral no Brasil, classificados pelas diferentes atividades produtivas.</w:t>
      </w:r>
    </w:p>
    <w:p w:rsidR="00D81F69" w:rsidRPr="00392EAD" w:rsidRDefault="00330118">
      <w:pPr>
        <w:spacing w:before="182"/>
        <w:ind w:left="841" w:right="957"/>
        <w:jc w:val="both"/>
        <w:rPr>
          <w:sz w:val="24"/>
          <w:lang w:val="pt-BR"/>
        </w:rPr>
      </w:pPr>
      <w:r w:rsidRPr="00392EAD">
        <w:rPr>
          <w:sz w:val="24"/>
          <w:lang w:val="pt-BR"/>
        </w:rPr>
        <w:t>A maioria dos empreendimentos estudados, um total de 105, são minas (58) e estão situados em pequenos municípios, com até 50 mi</w:t>
      </w:r>
      <w:r w:rsidRPr="00392EAD">
        <w:rPr>
          <w:sz w:val="24"/>
          <w:lang w:val="pt-BR"/>
        </w:rPr>
        <w:t>l habitantes (69).</w:t>
      </w:r>
    </w:p>
    <w:p w:rsidR="00D81F69" w:rsidRPr="00392EAD" w:rsidRDefault="00D81F69">
      <w:pPr>
        <w:jc w:val="both"/>
        <w:rPr>
          <w:sz w:val="24"/>
          <w:lang w:val="pt-BR"/>
        </w:rPr>
        <w:sectPr w:rsidR="00D81F69" w:rsidRPr="00392EAD">
          <w:pgSz w:w="11910" w:h="16840"/>
          <w:pgMar w:top="1320" w:right="740" w:bottom="720" w:left="860" w:header="0" w:footer="412" w:gutter="0"/>
          <w:cols w:space="720"/>
        </w:sectPr>
      </w:pPr>
    </w:p>
    <w:p w:rsidR="00D81F69" w:rsidRPr="00392EAD" w:rsidRDefault="00330118">
      <w:pPr>
        <w:spacing w:before="73"/>
        <w:ind w:left="841" w:right="958"/>
        <w:jc w:val="both"/>
        <w:rPr>
          <w:sz w:val="24"/>
          <w:lang w:val="pt-BR"/>
        </w:rPr>
      </w:pPr>
      <w:r w:rsidRPr="00392EAD">
        <w:rPr>
          <w:sz w:val="24"/>
          <w:lang w:val="pt-BR"/>
        </w:rPr>
        <w:lastRenderedPageBreak/>
        <w:t>Setenta e cinco mantêm-se em funcionamento atualmente, e 72 têm mais de 20 anos de atividade. Apenas 13 estão em fase de projeto, e um foi impedido de funcionar por meio de mobilização da população</w:t>
      </w:r>
      <w:r w:rsidRPr="00392EAD">
        <w:rPr>
          <w:spacing w:val="-10"/>
          <w:sz w:val="24"/>
          <w:lang w:val="pt-BR"/>
        </w:rPr>
        <w:t xml:space="preserve"> </w:t>
      </w:r>
      <w:r w:rsidRPr="00392EAD">
        <w:rPr>
          <w:sz w:val="24"/>
          <w:lang w:val="pt-BR"/>
        </w:rPr>
        <w:t>local.</w:t>
      </w:r>
    </w:p>
    <w:p w:rsidR="00D81F69" w:rsidRPr="00392EAD" w:rsidRDefault="00330118">
      <w:pPr>
        <w:spacing w:before="120"/>
        <w:ind w:left="841" w:right="957"/>
        <w:jc w:val="both"/>
        <w:rPr>
          <w:sz w:val="24"/>
          <w:lang w:val="pt-BR"/>
        </w:rPr>
      </w:pPr>
      <w:r w:rsidRPr="00392EAD">
        <w:rPr>
          <w:sz w:val="24"/>
          <w:lang w:val="pt-BR"/>
        </w:rPr>
        <w:t xml:space="preserve">Os principais </w:t>
      </w:r>
      <w:r w:rsidRPr="00392EAD">
        <w:rPr>
          <w:sz w:val="24"/>
          <w:lang w:val="pt-BR"/>
        </w:rPr>
        <w:t>impactados pelas atividades de extração mineral estão situados em comunidades urbanas: é a população local (91) que mora no território minerado ou no entorno, existindo ainda diferentes grupos populacionais, como ribeirinhos (19), populações tradicionais (</w:t>
      </w:r>
      <w:r w:rsidRPr="00392EAD">
        <w:rPr>
          <w:sz w:val="24"/>
          <w:lang w:val="pt-BR"/>
        </w:rPr>
        <w:t>17) – como pescadores artesanais e quilombolas – e populações indígenas (11), conforme o Gráfico 3.</w:t>
      </w:r>
    </w:p>
    <w:p w:rsidR="00D81F69" w:rsidRPr="00392EAD" w:rsidRDefault="00330118">
      <w:pPr>
        <w:pStyle w:val="Corpodetexto"/>
        <w:spacing w:before="10"/>
        <w:ind w:left="0"/>
        <w:jc w:val="left"/>
        <w:rPr>
          <w:sz w:val="19"/>
          <w:lang w:val="pt-BR"/>
        </w:rPr>
      </w:pPr>
      <w:r>
        <w:rPr>
          <w:noProof/>
          <w:lang w:val="pt-BR" w:eastAsia="pt-BR"/>
        </w:rPr>
        <w:drawing>
          <wp:anchor distT="0" distB="0" distL="0" distR="0" simplePos="0" relativeHeight="5512" behindDoc="0" locked="0" layoutInCell="1" allowOverlap="1">
            <wp:simplePos x="0" y="0"/>
            <wp:positionH relativeFrom="page">
              <wp:posOffset>1113489</wp:posOffset>
            </wp:positionH>
            <wp:positionV relativeFrom="paragraph">
              <wp:posOffset>169935</wp:posOffset>
            </wp:positionV>
            <wp:extent cx="5373431" cy="2314955"/>
            <wp:effectExtent l="0" t="0" r="0" b="0"/>
            <wp:wrapTopAndBottom/>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9" cstate="print"/>
                    <a:stretch>
                      <a:fillRect/>
                    </a:stretch>
                  </pic:blipFill>
                  <pic:spPr>
                    <a:xfrm>
                      <a:off x="0" y="0"/>
                      <a:ext cx="5373431" cy="2314955"/>
                    </a:xfrm>
                    <a:prstGeom prst="rect">
                      <a:avLst/>
                    </a:prstGeom>
                  </pic:spPr>
                </pic:pic>
              </a:graphicData>
            </a:graphic>
          </wp:anchor>
        </w:drawing>
      </w:r>
    </w:p>
    <w:p w:rsidR="00D81F69" w:rsidRPr="00392EAD" w:rsidRDefault="00330118">
      <w:pPr>
        <w:spacing w:before="87"/>
        <w:ind w:left="841" w:right="960"/>
        <w:jc w:val="both"/>
        <w:rPr>
          <w:sz w:val="20"/>
          <w:lang w:val="pt-BR"/>
        </w:rPr>
      </w:pPr>
      <w:r w:rsidRPr="00392EAD">
        <w:rPr>
          <w:sz w:val="20"/>
          <w:lang w:val="pt-BR"/>
        </w:rPr>
        <w:t>Gráfico 3. Estudos de casos dos impactos humanos da extração mineral no Brasil,  classificados pelos diferentes grupos populacionais fixados no</w:t>
      </w:r>
      <w:r w:rsidRPr="00392EAD">
        <w:rPr>
          <w:spacing w:val="-8"/>
          <w:sz w:val="20"/>
          <w:lang w:val="pt-BR"/>
        </w:rPr>
        <w:t xml:space="preserve"> </w:t>
      </w:r>
      <w:r w:rsidRPr="00392EAD">
        <w:rPr>
          <w:sz w:val="20"/>
          <w:lang w:val="pt-BR"/>
        </w:rPr>
        <w:t>território</w:t>
      </w:r>
      <w:r w:rsidRPr="00392EAD">
        <w:rPr>
          <w:sz w:val="20"/>
          <w:lang w:val="pt-BR"/>
        </w:rPr>
        <w:t>.</w:t>
      </w:r>
    </w:p>
    <w:p w:rsidR="00D81F69" w:rsidRPr="00392EAD" w:rsidRDefault="00D81F69">
      <w:pPr>
        <w:pStyle w:val="Corpodetexto"/>
        <w:spacing w:before="10"/>
        <w:ind w:left="0"/>
        <w:jc w:val="left"/>
        <w:rPr>
          <w:sz w:val="23"/>
          <w:lang w:val="pt-BR"/>
        </w:rPr>
      </w:pPr>
    </w:p>
    <w:p w:rsidR="00D81F69" w:rsidRPr="00392EAD" w:rsidRDefault="00330118">
      <w:pPr>
        <w:spacing w:before="1"/>
        <w:ind w:left="841" w:right="956"/>
        <w:jc w:val="both"/>
        <w:rPr>
          <w:sz w:val="24"/>
          <w:lang w:val="pt-BR"/>
        </w:rPr>
      </w:pPr>
      <w:r w:rsidRPr="00392EAD">
        <w:rPr>
          <w:sz w:val="24"/>
          <w:lang w:val="pt-BR"/>
        </w:rPr>
        <w:t>Com relação aos impactos socioeconômicos provocados pela atividade mineradora, o mais significativo é a proliferação de doenças, relatada em 60 casos, o que equivale a mais da metade dos estudos realizados. Em seguida, aparecem problemas trabalhistas en</w:t>
      </w:r>
      <w:r w:rsidRPr="00392EAD">
        <w:rPr>
          <w:sz w:val="24"/>
          <w:lang w:val="pt-BR"/>
        </w:rPr>
        <w:t>volvendo a empresa mineradora (34), questões fundiárias (29), crescimento desordenado do município (24) e, em proporção equivalente, inchaço populacional, que figura em 24 casos, e ausência de infraestrutura para atender à população, presente em 23 dos est</w:t>
      </w:r>
      <w:r w:rsidRPr="00392EAD">
        <w:rPr>
          <w:sz w:val="24"/>
          <w:lang w:val="pt-BR"/>
        </w:rPr>
        <w:t>udos realizados. Outros impactos são o aumento da violência, presente em 13 estudos, seguido de baixo crescimento econômico e social do município envolvido (10), aumento da prostituição (9), empobrecimento da população (7), e trabalho infantil (4), conform</w:t>
      </w:r>
      <w:r w:rsidRPr="00392EAD">
        <w:rPr>
          <w:sz w:val="24"/>
          <w:lang w:val="pt-BR"/>
        </w:rPr>
        <w:t>e o Gráfico 4.</w:t>
      </w:r>
    </w:p>
    <w:p w:rsidR="00D81F69" w:rsidRPr="00392EAD" w:rsidRDefault="00330118">
      <w:pPr>
        <w:spacing w:before="120"/>
        <w:ind w:left="841" w:right="956"/>
        <w:jc w:val="both"/>
        <w:rPr>
          <w:sz w:val="24"/>
          <w:lang w:val="pt-BR"/>
        </w:rPr>
      </w:pPr>
      <w:r w:rsidRPr="00392EAD">
        <w:rPr>
          <w:sz w:val="24"/>
          <w:lang w:val="pt-BR"/>
        </w:rPr>
        <w:t>No que se refere aos impactos ambientais, o mais significativo entre os casos estudados é a poluição da água, com 68 citações, o que é plausível, tendo em vista que se trata do principal insumo da mineração. Logo a seguir, aparecem os prejuízos ao ecossist</w:t>
      </w:r>
      <w:r w:rsidRPr="00392EAD">
        <w:rPr>
          <w:sz w:val="24"/>
          <w:lang w:val="pt-BR"/>
        </w:rPr>
        <w:t>ema local (57), assoreamento de rios (36), poluição do ar (36), disposição inadequada de rejeitos e escórias (35), desmatamento (29), poluição do solo (27), poluição do lençol freático (26), impactos na paisagem</w:t>
      </w:r>
    </w:p>
    <w:p w:rsidR="00D81F69" w:rsidRPr="00392EAD" w:rsidRDefault="00330118">
      <w:pPr>
        <w:ind w:left="841" w:right="955"/>
        <w:jc w:val="both"/>
        <w:rPr>
          <w:sz w:val="24"/>
          <w:lang w:val="pt-BR"/>
        </w:rPr>
      </w:pPr>
      <w:r w:rsidRPr="00392EAD">
        <w:rPr>
          <w:sz w:val="24"/>
          <w:lang w:val="pt-BR"/>
        </w:rPr>
        <w:t>(25) e extinção de espécies vegetais e/ou an</w:t>
      </w:r>
      <w:r w:rsidRPr="00392EAD">
        <w:rPr>
          <w:sz w:val="24"/>
          <w:lang w:val="pt-BR"/>
        </w:rPr>
        <w:t>imais (22). Por fim, figuram queixas como atuação em área de preservação ambiental (11), extração ilegal de madeira nativa (8) e rompimento de barragens (7) (vide Gráfico 5). Já os casos de minas abandonadas, utilização inapropriada de rejeitos e problemas</w:t>
      </w:r>
      <w:r w:rsidRPr="00392EAD">
        <w:rPr>
          <w:sz w:val="24"/>
          <w:lang w:val="pt-BR"/>
        </w:rPr>
        <w:t xml:space="preserve"> relacionados ao fechamento de mina aparecem com seis ocorrências cada</w:t>
      </w:r>
      <w:r w:rsidRPr="00392EAD">
        <w:rPr>
          <w:spacing w:val="-31"/>
          <w:sz w:val="24"/>
          <w:lang w:val="pt-BR"/>
        </w:rPr>
        <w:t xml:space="preserve"> </w:t>
      </w:r>
      <w:r w:rsidRPr="00392EAD">
        <w:rPr>
          <w:sz w:val="24"/>
          <w:lang w:val="pt-BR"/>
        </w:rPr>
        <w:t>um.</w:t>
      </w:r>
    </w:p>
    <w:p w:rsidR="00D81F69" w:rsidRPr="00392EAD" w:rsidRDefault="00D81F69">
      <w:pPr>
        <w:jc w:val="both"/>
        <w:rPr>
          <w:sz w:val="24"/>
          <w:lang w:val="pt-BR"/>
        </w:rPr>
        <w:sectPr w:rsidR="00D81F69" w:rsidRPr="00392EAD">
          <w:pgSz w:w="11910" w:h="16840"/>
          <w:pgMar w:top="1320" w:right="740" w:bottom="720" w:left="860" w:header="0" w:footer="412" w:gutter="0"/>
          <w:cols w:space="720"/>
        </w:sectPr>
      </w:pPr>
    </w:p>
    <w:p w:rsidR="00D81F69" w:rsidRDefault="00330118">
      <w:pPr>
        <w:pStyle w:val="Corpodetexto"/>
        <w:ind w:left="909"/>
        <w:jc w:val="left"/>
        <w:rPr>
          <w:sz w:val="20"/>
        </w:rPr>
      </w:pPr>
      <w:r>
        <w:rPr>
          <w:noProof/>
          <w:sz w:val="20"/>
          <w:lang w:val="pt-BR" w:eastAsia="pt-BR"/>
        </w:rPr>
        <w:lastRenderedPageBreak/>
        <w:drawing>
          <wp:inline distT="0" distB="0" distL="0" distR="0">
            <wp:extent cx="5341886" cy="3048952"/>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20" cstate="print"/>
                    <a:stretch>
                      <a:fillRect/>
                    </a:stretch>
                  </pic:blipFill>
                  <pic:spPr>
                    <a:xfrm>
                      <a:off x="0" y="0"/>
                      <a:ext cx="5341886" cy="3048952"/>
                    </a:xfrm>
                    <a:prstGeom prst="rect">
                      <a:avLst/>
                    </a:prstGeom>
                  </pic:spPr>
                </pic:pic>
              </a:graphicData>
            </a:graphic>
          </wp:inline>
        </w:drawing>
      </w:r>
    </w:p>
    <w:p w:rsidR="00D81F69" w:rsidRPr="00392EAD" w:rsidRDefault="00330118">
      <w:pPr>
        <w:spacing w:before="123"/>
        <w:ind w:left="841" w:right="960"/>
        <w:jc w:val="both"/>
        <w:rPr>
          <w:sz w:val="20"/>
          <w:lang w:val="pt-BR"/>
        </w:rPr>
      </w:pPr>
      <w:r w:rsidRPr="00392EAD">
        <w:rPr>
          <w:sz w:val="20"/>
          <w:lang w:val="pt-BR"/>
        </w:rPr>
        <w:t>Gráfico 4. Estudos de casos dos impactos socioeconômicos da extração mineral no Brasil: associação do empreendimento a impactos negativos (número de estudos de c</w:t>
      </w:r>
      <w:r w:rsidRPr="00392EAD">
        <w:rPr>
          <w:sz w:val="20"/>
          <w:lang w:val="pt-BR"/>
        </w:rPr>
        <w:t>asos).</w:t>
      </w:r>
    </w:p>
    <w:p w:rsidR="00D81F69" w:rsidRPr="00392EAD" w:rsidRDefault="00330118">
      <w:pPr>
        <w:pStyle w:val="Corpodetexto"/>
        <w:spacing w:before="7"/>
        <w:ind w:left="0"/>
        <w:jc w:val="left"/>
        <w:rPr>
          <w:sz w:val="22"/>
          <w:lang w:val="pt-BR"/>
        </w:rPr>
      </w:pPr>
      <w:r>
        <w:rPr>
          <w:noProof/>
          <w:lang w:val="pt-BR" w:eastAsia="pt-BR"/>
        </w:rPr>
        <w:drawing>
          <wp:anchor distT="0" distB="0" distL="0" distR="0" simplePos="0" relativeHeight="5536" behindDoc="0" locked="0" layoutInCell="1" allowOverlap="1">
            <wp:simplePos x="0" y="0"/>
            <wp:positionH relativeFrom="page">
              <wp:posOffset>1125608</wp:posOffset>
            </wp:positionH>
            <wp:positionV relativeFrom="paragraph">
              <wp:posOffset>190085</wp:posOffset>
            </wp:positionV>
            <wp:extent cx="5320489" cy="3281553"/>
            <wp:effectExtent l="0" t="0" r="0" b="0"/>
            <wp:wrapTopAndBottom/>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21" cstate="print"/>
                    <a:stretch>
                      <a:fillRect/>
                    </a:stretch>
                  </pic:blipFill>
                  <pic:spPr>
                    <a:xfrm>
                      <a:off x="0" y="0"/>
                      <a:ext cx="5320489" cy="3281553"/>
                    </a:xfrm>
                    <a:prstGeom prst="rect">
                      <a:avLst/>
                    </a:prstGeom>
                  </pic:spPr>
                </pic:pic>
              </a:graphicData>
            </a:graphic>
          </wp:anchor>
        </w:drawing>
      </w:r>
    </w:p>
    <w:p w:rsidR="00D81F69" w:rsidRPr="00392EAD" w:rsidRDefault="00330118">
      <w:pPr>
        <w:ind w:left="841" w:right="961"/>
        <w:jc w:val="both"/>
        <w:rPr>
          <w:sz w:val="20"/>
          <w:lang w:val="pt-BR"/>
        </w:rPr>
      </w:pPr>
      <w:r w:rsidRPr="00392EAD">
        <w:rPr>
          <w:sz w:val="20"/>
          <w:lang w:val="pt-BR"/>
        </w:rPr>
        <w:t>Gráfico 5. Estudos de casos dos impactos ambientais da extração mineral no Brasil (por temas).</w:t>
      </w:r>
    </w:p>
    <w:p w:rsidR="00D81F69" w:rsidRPr="00392EAD" w:rsidRDefault="00D81F69">
      <w:pPr>
        <w:pStyle w:val="Corpodetexto"/>
        <w:spacing w:before="10"/>
        <w:ind w:left="0"/>
        <w:jc w:val="left"/>
        <w:rPr>
          <w:sz w:val="23"/>
          <w:lang w:val="pt-BR"/>
        </w:rPr>
      </w:pPr>
    </w:p>
    <w:p w:rsidR="00D81F69" w:rsidRPr="00392EAD" w:rsidRDefault="00330118">
      <w:pPr>
        <w:spacing w:before="1"/>
        <w:ind w:left="841" w:right="956"/>
        <w:jc w:val="both"/>
        <w:rPr>
          <w:sz w:val="24"/>
          <w:lang w:val="pt-BR"/>
        </w:rPr>
      </w:pPr>
      <w:r w:rsidRPr="00392EAD">
        <w:rPr>
          <w:sz w:val="24"/>
          <w:lang w:val="pt-BR"/>
        </w:rPr>
        <w:t>A contaminação por substâncias perigosas é muito frequente nas atividades de mineração e, por isso, foi analisada em separado. O mais comum nos estudos</w:t>
      </w:r>
      <w:r w:rsidRPr="00392EAD">
        <w:rPr>
          <w:sz w:val="24"/>
          <w:lang w:val="pt-BR"/>
        </w:rPr>
        <w:t xml:space="preserve"> empreendidos é a contaminação por metais pesados presentes na composição mineralógica (35); seguida de substâncias utilizadas no processo de mineração, como cianeto e mercúrio (23); substâncias perigosas, intrínsecas  ou naturais, como o asbesto (11); e m</w:t>
      </w:r>
      <w:r w:rsidRPr="00392EAD">
        <w:rPr>
          <w:sz w:val="24"/>
          <w:lang w:val="pt-BR"/>
        </w:rPr>
        <w:t>etais radioativos (9) (Gráfico</w:t>
      </w:r>
      <w:r w:rsidRPr="00392EAD">
        <w:rPr>
          <w:spacing w:val="-14"/>
          <w:sz w:val="24"/>
          <w:lang w:val="pt-BR"/>
        </w:rPr>
        <w:t xml:space="preserve"> </w:t>
      </w:r>
      <w:r w:rsidRPr="00392EAD">
        <w:rPr>
          <w:sz w:val="24"/>
          <w:lang w:val="pt-BR"/>
        </w:rPr>
        <w:t>6).</w:t>
      </w:r>
    </w:p>
    <w:p w:rsidR="00D81F69" w:rsidRPr="00392EAD" w:rsidRDefault="00330118">
      <w:pPr>
        <w:spacing w:before="117"/>
        <w:ind w:left="841" w:right="956"/>
        <w:jc w:val="both"/>
        <w:rPr>
          <w:sz w:val="24"/>
          <w:lang w:val="pt-BR"/>
        </w:rPr>
      </w:pPr>
      <w:r w:rsidRPr="00392EAD">
        <w:rPr>
          <w:sz w:val="24"/>
          <w:lang w:val="pt-BR"/>
        </w:rPr>
        <w:t>Os conflitos decorrentes da atividade de extração mineral muitas vezes exigem a interferência do Ministério Público (MP), federal, estadual, ou de ambos. Nos</w:t>
      </w:r>
    </w:p>
    <w:p w:rsidR="00D81F69" w:rsidRPr="00392EAD" w:rsidRDefault="00D81F69">
      <w:pPr>
        <w:jc w:val="both"/>
        <w:rPr>
          <w:sz w:val="24"/>
          <w:lang w:val="pt-BR"/>
        </w:rPr>
        <w:sectPr w:rsidR="00D81F69" w:rsidRPr="00392EAD">
          <w:pgSz w:w="11910" w:h="16840"/>
          <w:pgMar w:top="1420" w:right="740" w:bottom="720" w:left="860" w:header="0" w:footer="412" w:gutter="0"/>
          <w:cols w:space="720"/>
        </w:sectPr>
      </w:pPr>
    </w:p>
    <w:p w:rsidR="00D81F69" w:rsidRPr="00392EAD" w:rsidRDefault="00330118">
      <w:pPr>
        <w:spacing w:before="73"/>
        <w:ind w:left="841" w:right="956"/>
        <w:jc w:val="both"/>
        <w:rPr>
          <w:sz w:val="24"/>
          <w:lang w:val="pt-BR"/>
        </w:rPr>
      </w:pPr>
      <w:r w:rsidRPr="00392EAD">
        <w:rPr>
          <w:sz w:val="24"/>
          <w:lang w:val="pt-BR"/>
        </w:rPr>
        <w:lastRenderedPageBreak/>
        <w:t>casos estudados, houve interferência do MP em</w:t>
      </w:r>
      <w:r w:rsidRPr="00392EAD">
        <w:rPr>
          <w:sz w:val="24"/>
          <w:lang w:val="pt-BR"/>
        </w:rPr>
        <w:t xml:space="preserve"> 45 estudos, dos quais 15 resultaram em assinatura de Termo de Ajustamento de Conduta (TAC), um documento firmado pelas partes, onde se comprometem a cumprir determinadas condicionantes, de forma a resolver o problema que estão causando ou a compensar dano</w:t>
      </w:r>
      <w:r w:rsidRPr="00392EAD">
        <w:rPr>
          <w:sz w:val="24"/>
          <w:lang w:val="pt-BR"/>
        </w:rPr>
        <w:t>s e prejuízos já causados. É um meio alternativo válido de solução extrajudicial de conflitos (Gráfico 7).</w:t>
      </w:r>
    </w:p>
    <w:p w:rsidR="00D81F69" w:rsidRPr="00392EAD" w:rsidRDefault="00330118">
      <w:pPr>
        <w:pStyle w:val="Corpodetexto"/>
        <w:ind w:left="0"/>
        <w:jc w:val="left"/>
        <w:rPr>
          <w:sz w:val="23"/>
          <w:lang w:val="pt-BR"/>
        </w:rPr>
      </w:pPr>
      <w:r>
        <w:rPr>
          <w:noProof/>
          <w:lang w:val="pt-BR" w:eastAsia="pt-BR"/>
        </w:rPr>
        <w:drawing>
          <wp:anchor distT="0" distB="0" distL="0" distR="0" simplePos="0" relativeHeight="5560" behindDoc="0" locked="0" layoutInCell="1" allowOverlap="1">
            <wp:simplePos x="0" y="0"/>
            <wp:positionH relativeFrom="page">
              <wp:posOffset>1113175</wp:posOffset>
            </wp:positionH>
            <wp:positionV relativeFrom="paragraph">
              <wp:posOffset>192801</wp:posOffset>
            </wp:positionV>
            <wp:extent cx="5382569" cy="1614868"/>
            <wp:effectExtent l="0" t="0" r="0" b="0"/>
            <wp:wrapTopAndBottom/>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22" cstate="print"/>
                    <a:stretch>
                      <a:fillRect/>
                    </a:stretch>
                  </pic:blipFill>
                  <pic:spPr>
                    <a:xfrm>
                      <a:off x="0" y="0"/>
                      <a:ext cx="5382569" cy="1614868"/>
                    </a:xfrm>
                    <a:prstGeom prst="rect">
                      <a:avLst/>
                    </a:prstGeom>
                  </pic:spPr>
                </pic:pic>
              </a:graphicData>
            </a:graphic>
          </wp:anchor>
        </w:drawing>
      </w:r>
    </w:p>
    <w:p w:rsidR="00D81F69" w:rsidRPr="00392EAD" w:rsidRDefault="00330118">
      <w:pPr>
        <w:spacing w:before="95"/>
        <w:ind w:left="841" w:right="961" w:hanging="1"/>
        <w:jc w:val="both"/>
        <w:rPr>
          <w:sz w:val="20"/>
          <w:lang w:val="pt-BR"/>
        </w:rPr>
      </w:pPr>
      <w:r w:rsidRPr="00392EAD">
        <w:rPr>
          <w:sz w:val="20"/>
          <w:lang w:val="pt-BR"/>
        </w:rPr>
        <w:t>Gráfico 6. Estudos de casos dos impactos gerados por contaminação por substâncias perigosas decorrentes da extração</w:t>
      </w:r>
      <w:r w:rsidRPr="00392EAD">
        <w:rPr>
          <w:spacing w:val="-2"/>
          <w:sz w:val="20"/>
          <w:lang w:val="pt-BR"/>
        </w:rPr>
        <w:t xml:space="preserve"> </w:t>
      </w:r>
      <w:r w:rsidRPr="00392EAD">
        <w:rPr>
          <w:sz w:val="20"/>
          <w:lang w:val="pt-BR"/>
        </w:rPr>
        <w:t>mineral.</w:t>
      </w:r>
    </w:p>
    <w:p w:rsidR="00D81F69" w:rsidRPr="00392EAD" w:rsidRDefault="00330118">
      <w:pPr>
        <w:pStyle w:val="Corpodetexto"/>
        <w:spacing w:before="11"/>
        <w:ind w:left="0"/>
        <w:jc w:val="left"/>
        <w:rPr>
          <w:sz w:val="22"/>
          <w:lang w:val="pt-BR"/>
        </w:rPr>
      </w:pPr>
      <w:r>
        <w:rPr>
          <w:noProof/>
          <w:lang w:val="pt-BR" w:eastAsia="pt-BR"/>
        </w:rPr>
        <w:drawing>
          <wp:anchor distT="0" distB="0" distL="0" distR="0" simplePos="0" relativeHeight="5584" behindDoc="0" locked="0" layoutInCell="1" allowOverlap="1">
            <wp:simplePos x="0" y="0"/>
            <wp:positionH relativeFrom="page">
              <wp:posOffset>1281215</wp:posOffset>
            </wp:positionH>
            <wp:positionV relativeFrom="paragraph">
              <wp:posOffset>192601</wp:posOffset>
            </wp:positionV>
            <wp:extent cx="5020706" cy="1567719"/>
            <wp:effectExtent l="0" t="0" r="0" b="0"/>
            <wp:wrapTopAndBottom/>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23" cstate="print"/>
                    <a:stretch>
                      <a:fillRect/>
                    </a:stretch>
                  </pic:blipFill>
                  <pic:spPr>
                    <a:xfrm>
                      <a:off x="0" y="0"/>
                      <a:ext cx="5020706" cy="1567719"/>
                    </a:xfrm>
                    <a:prstGeom prst="rect">
                      <a:avLst/>
                    </a:prstGeom>
                  </pic:spPr>
                </pic:pic>
              </a:graphicData>
            </a:graphic>
          </wp:anchor>
        </w:drawing>
      </w:r>
    </w:p>
    <w:p w:rsidR="00D81F69" w:rsidRPr="00392EAD" w:rsidRDefault="00330118">
      <w:pPr>
        <w:spacing w:before="96"/>
        <w:ind w:left="841" w:right="962" w:hanging="1"/>
        <w:jc w:val="both"/>
        <w:rPr>
          <w:sz w:val="20"/>
          <w:lang w:val="pt-BR"/>
        </w:rPr>
      </w:pPr>
      <w:r w:rsidRPr="00392EAD">
        <w:rPr>
          <w:sz w:val="20"/>
          <w:lang w:val="pt-BR"/>
        </w:rPr>
        <w:t>Gráfico 7. Estudos de casos dos conflitos decorrentes da extração mineral: recurso ao Ministério Público e</w:t>
      </w:r>
      <w:r w:rsidRPr="00392EAD">
        <w:rPr>
          <w:spacing w:val="-2"/>
          <w:sz w:val="20"/>
          <w:lang w:val="pt-BR"/>
        </w:rPr>
        <w:t xml:space="preserve"> </w:t>
      </w:r>
      <w:r w:rsidRPr="00392EAD">
        <w:rPr>
          <w:sz w:val="20"/>
          <w:lang w:val="pt-BR"/>
        </w:rPr>
        <w:t>TAC.</w:t>
      </w:r>
    </w:p>
    <w:p w:rsidR="00D81F69" w:rsidRPr="00392EAD" w:rsidRDefault="00D81F69">
      <w:pPr>
        <w:pStyle w:val="Corpodetexto"/>
        <w:spacing w:before="11"/>
        <w:ind w:left="0"/>
        <w:jc w:val="left"/>
        <w:rPr>
          <w:sz w:val="23"/>
          <w:lang w:val="pt-BR"/>
        </w:rPr>
      </w:pPr>
    </w:p>
    <w:p w:rsidR="00D81F69" w:rsidRPr="00392EAD" w:rsidRDefault="00330118">
      <w:pPr>
        <w:ind w:left="841" w:right="958"/>
        <w:jc w:val="both"/>
        <w:rPr>
          <w:b/>
          <w:sz w:val="24"/>
          <w:lang w:val="pt-BR"/>
        </w:rPr>
      </w:pPr>
      <w:r w:rsidRPr="00392EAD">
        <w:rPr>
          <w:b/>
          <w:sz w:val="24"/>
          <w:lang w:val="pt-BR"/>
        </w:rPr>
        <w:t>Outras iniciativas dentro da linha de pesquisa Recursos Minerais e Sociedade</w:t>
      </w:r>
    </w:p>
    <w:p w:rsidR="00D81F69" w:rsidRPr="00392EAD" w:rsidRDefault="00330118">
      <w:pPr>
        <w:pStyle w:val="Heading4"/>
        <w:spacing w:before="120"/>
        <w:ind w:left="841" w:right="957"/>
        <w:rPr>
          <w:lang w:val="pt-BR"/>
        </w:rPr>
      </w:pPr>
      <w:r w:rsidRPr="00392EAD">
        <w:rPr>
          <w:lang w:val="pt-BR"/>
        </w:rPr>
        <w:t xml:space="preserve">Merecem destaque três outras iniciativas de referenciação em banco de dados de estudos de casos enfocando os conflitos e impactos das atividades econômicas nas pessoas e no território, promovidas por equipes de pesquisadores de outras instituições que não </w:t>
      </w:r>
      <w:r w:rsidRPr="00392EAD">
        <w:rPr>
          <w:lang w:val="pt-BR"/>
        </w:rPr>
        <w:t>o CETEM: dois no Brasil e um na América Latina.</w:t>
      </w:r>
    </w:p>
    <w:p w:rsidR="00D81F69" w:rsidRPr="00392EAD" w:rsidRDefault="00330118">
      <w:pPr>
        <w:spacing w:before="120"/>
        <w:ind w:left="841" w:right="957"/>
        <w:jc w:val="both"/>
        <w:rPr>
          <w:sz w:val="24"/>
          <w:lang w:val="pt-BR"/>
        </w:rPr>
      </w:pPr>
      <w:r w:rsidRPr="00392EAD">
        <w:rPr>
          <w:sz w:val="24"/>
          <w:lang w:val="pt-BR"/>
        </w:rPr>
        <w:t xml:space="preserve">Em primeiro lugar, o ‘Mapa de Conflitos Envolvendo Injustiça Ambiental e Saúde no Brasil’, que é o resultado do projeto desenvolvido em conjunto pela Fiocruz - </w:t>
      </w:r>
      <w:r w:rsidRPr="00392EAD">
        <w:rPr>
          <w:color w:val="1C1C1C"/>
          <w:sz w:val="24"/>
          <w:lang w:val="pt-BR"/>
        </w:rPr>
        <w:t xml:space="preserve">Fundação Oswaldo Cruz </w:t>
      </w:r>
      <w:r w:rsidRPr="00392EAD">
        <w:rPr>
          <w:sz w:val="24"/>
          <w:lang w:val="pt-BR"/>
        </w:rPr>
        <w:t>e pela Fase - Federação de</w:t>
      </w:r>
      <w:r w:rsidRPr="00392EAD">
        <w:rPr>
          <w:sz w:val="24"/>
          <w:lang w:val="pt-BR"/>
        </w:rPr>
        <w:t xml:space="preserve"> Órgãos para Assistência Social e Educacional, com o apoio do Departamento de Saúde Ambiental e Saúde do Trabalhador do Ministério da Saúde, e que pode ser consultado na Internet: &lt;</w:t>
      </w:r>
      <w:hyperlink r:id="rId24">
        <w:r w:rsidRPr="00392EAD">
          <w:rPr>
            <w:sz w:val="24"/>
            <w:lang w:val="pt-BR"/>
          </w:rPr>
          <w:t>ht</w:t>
        </w:r>
        <w:r w:rsidRPr="00392EAD">
          <w:rPr>
            <w:sz w:val="24"/>
            <w:lang w:val="pt-BR"/>
          </w:rPr>
          <w:t>tp://www.conflitoambiental.icict.fiocruz.br/index.php</w:t>
        </w:r>
      </w:hyperlink>
      <w:r w:rsidRPr="00392EAD">
        <w:rPr>
          <w:sz w:val="24"/>
          <w:lang w:val="pt-BR"/>
        </w:rPr>
        <w:t xml:space="preserve">&gt;. São cerca de 300 casos distribuídos por todo o país e georreferenciados, destacando-se 91 casos em que a mineração se encontra citada. Agora enriquecido pela publicação do livro Injustiça Ambiental e </w:t>
      </w:r>
      <w:r w:rsidRPr="00392EAD">
        <w:rPr>
          <w:sz w:val="24"/>
          <w:lang w:val="pt-BR"/>
        </w:rPr>
        <w:t>Saúde no Brasil: o mapa de conflitos (PORTO; PACHECO; LEROY,</w:t>
      </w:r>
      <w:r w:rsidRPr="00392EAD">
        <w:rPr>
          <w:spacing w:val="-4"/>
          <w:sz w:val="24"/>
          <w:lang w:val="pt-BR"/>
        </w:rPr>
        <w:t xml:space="preserve"> </w:t>
      </w:r>
      <w:r w:rsidRPr="00392EAD">
        <w:rPr>
          <w:sz w:val="24"/>
          <w:lang w:val="pt-BR"/>
        </w:rPr>
        <w:t>2013).</w:t>
      </w:r>
    </w:p>
    <w:p w:rsidR="00D81F69" w:rsidRPr="00392EAD" w:rsidRDefault="00D81F69">
      <w:pPr>
        <w:jc w:val="both"/>
        <w:rPr>
          <w:sz w:val="24"/>
          <w:lang w:val="pt-BR"/>
        </w:rPr>
        <w:sectPr w:rsidR="00D81F69" w:rsidRPr="00392EAD">
          <w:pgSz w:w="11910" w:h="16840"/>
          <w:pgMar w:top="1320" w:right="740" w:bottom="720" w:left="860" w:header="0" w:footer="412" w:gutter="0"/>
          <w:cols w:space="720"/>
        </w:sectPr>
      </w:pPr>
    </w:p>
    <w:p w:rsidR="00D81F69" w:rsidRPr="00392EAD" w:rsidRDefault="00330118">
      <w:pPr>
        <w:spacing w:before="73"/>
        <w:ind w:left="841" w:right="957"/>
        <w:jc w:val="both"/>
        <w:rPr>
          <w:sz w:val="24"/>
          <w:lang w:val="pt-BR"/>
        </w:rPr>
      </w:pPr>
      <w:r w:rsidRPr="00392EAD">
        <w:rPr>
          <w:sz w:val="24"/>
          <w:lang w:val="pt-BR"/>
        </w:rPr>
        <w:lastRenderedPageBreak/>
        <w:t>A segunda é o Portal ‘Mapa dos Conflitos Ambientais de Minas Gerais’, resultado de um projeto de pesquisa do Grupo de Estudos em Temáticas Ambientais da Universidade Fede</w:t>
      </w:r>
      <w:r w:rsidRPr="00392EAD">
        <w:rPr>
          <w:sz w:val="24"/>
          <w:lang w:val="pt-BR"/>
        </w:rPr>
        <w:t>ral de Minas Gerais (GESTA/UFMG), em parceria com o Núcleo de Investigação em Justiça Ambiental da Universidade Federal de São João Del-Rey (NINJA/UFSJ) e com pesquisadores do Programa de Pós-graduação em Desenvolvimento Social (PPGDS) da Universidade Esta</w:t>
      </w:r>
      <w:r w:rsidRPr="00392EAD">
        <w:rPr>
          <w:sz w:val="24"/>
          <w:lang w:val="pt-BR"/>
        </w:rPr>
        <w:t>dual de Montes Claros (UNIMONTES). As informações coletadas dizem respeito a 541 casos de conflitos ambientais ocorridos em Minas Gerais entre os anos de 2000 e 2010, que podem</w:t>
      </w:r>
      <w:r w:rsidRPr="00392EAD">
        <w:rPr>
          <w:spacing w:val="-21"/>
          <w:sz w:val="24"/>
          <w:lang w:val="pt-BR"/>
        </w:rPr>
        <w:t xml:space="preserve"> </w:t>
      </w:r>
      <w:r w:rsidRPr="00392EAD">
        <w:rPr>
          <w:sz w:val="24"/>
          <w:lang w:val="pt-BR"/>
        </w:rPr>
        <w:t>ser consultados em</w:t>
      </w:r>
    </w:p>
    <w:p w:rsidR="00D81F69" w:rsidRPr="00392EAD" w:rsidRDefault="00330118">
      <w:pPr>
        <w:ind w:left="841"/>
        <w:jc w:val="both"/>
        <w:rPr>
          <w:sz w:val="24"/>
          <w:lang w:val="pt-BR"/>
        </w:rPr>
      </w:pPr>
      <w:r w:rsidRPr="00392EAD">
        <w:rPr>
          <w:sz w:val="24"/>
          <w:lang w:val="pt-BR"/>
        </w:rPr>
        <w:t>&lt;</w:t>
      </w:r>
      <w:hyperlink r:id="rId25">
        <w:r w:rsidRPr="00392EAD">
          <w:rPr>
            <w:sz w:val="24"/>
            <w:lang w:val="pt-BR"/>
          </w:rPr>
          <w:t>http://conflitosambientaismg.lcc.ufmg.br/</w:t>
        </w:r>
      </w:hyperlink>
      <w:r w:rsidRPr="00392EAD">
        <w:rPr>
          <w:sz w:val="24"/>
          <w:lang w:val="pt-BR"/>
        </w:rPr>
        <w:t>&gt;.</w:t>
      </w:r>
    </w:p>
    <w:p w:rsidR="00D81F69" w:rsidRPr="00392EAD" w:rsidRDefault="00330118">
      <w:pPr>
        <w:spacing w:before="120"/>
        <w:ind w:left="841" w:right="954"/>
        <w:jc w:val="both"/>
        <w:rPr>
          <w:sz w:val="24"/>
          <w:lang w:val="pt-BR"/>
        </w:rPr>
      </w:pPr>
      <w:r w:rsidRPr="00392EAD">
        <w:rPr>
          <w:sz w:val="24"/>
          <w:lang w:val="pt-BR"/>
        </w:rPr>
        <w:t>E por último, o ‘Observatorio de Conflictos Mineros de América Latina’ (OCMAL) e o ‘Observatorio Latinoamericano de Conflictos Ambientales’ (OLCA) que apresentam uma base de dados de conflitos minerais, denominad</w:t>
      </w:r>
      <w:r w:rsidRPr="00392EAD">
        <w:rPr>
          <w:sz w:val="24"/>
          <w:lang w:val="pt-BR"/>
        </w:rPr>
        <w:t>a ‘Sistema de Información para la Gestión Comunitaria de Conflictos Socio- ambientales Mineros en Latinoamérica’ (</w:t>
      </w:r>
      <w:hyperlink r:id="rId26">
        <w:r w:rsidRPr="00392EAD">
          <w:rPr>
            <w:sz w:val="24"/>
            <w:lang w:val="pt-BR"/>
          </w:rPr>
          <w:t>http://www.conflictosmineros.net/</w:t>
        </w:r>
      </w:hyperlink>
      <w:r w:rsidRPr="00392EAD">
        <w:rPr>
          <w:sz w:val="24"/>
          <w:lang w:val="pt-BR"/>
        </w:rPr>
        <w:t>), com 160 estudos de casos, agregando documentos, artigos</w:t>
      </w:r>
      <w:r w:rsidRPr="00392EAD">
        <w:rPr>
          <w:sz w:val="24"/>
          <w:lang w:val="pt-BR"/>
        </w:rPr>
        <w:t>, vídeos e recortes de jornal.</w:t>
      </w:r>
    </w:p>
    <w:p w:rsidR="00D81F69" w:rsidRPr="00392EAD" w:rsidRDefault="00330118">
      <w:pPr>
        <w:spacing w:before="120"/>
        <w:ind w:left="841" w:right="957"/>
        <w:jc w:val="both"/>
        <w:rPr>
          <w:sz w:val="24"/>
          <w:lang w:val="pt-BR"/>
        </w:rPr>
      </w:pPr>
      <w:r w:rsidRPr="00392EAD">
        <w:rPr>
          <w:sz w:val="24"/>
          <w:lang w:val="pt-BR"/>
        </w:rPr>
        <w:t>Ao exibir mais de 100 casos concretos ocorridos no Brasil, o presente livro estimula a reflexão sobre os principais problemas relacionados à indústria extrativa mineral brasileira e as alternativas para que se desenvolva de f</w:t>
      </w:r>
      <w:r w:rsidRPr="00392EAD">
        <w:rPr>
          <w:sz w:val="24"/>
          <w:lang w:val="pt-BR"/>
        </w:rPr>
        <w:t>orma sustentável, contemplando os limites do meio natural e, especialmente, a dignidade e os valores das populações mais vulneráveis diretamente afetadas pelos empreendimentos.</w:t>
      </w:r>
    </w:p>
    <w:p w:rsidR="00D81F69" w:rsidRPr="00392EAD" w:rsidRDefault="00D81F69">
      <w:pPr>
        <w:pStyle w:val="Corpodetexto"/>
        <w:ind w:left="0"/>
        <w:jc w:val="left"/>
        <w:rPr>
          <w:sz w:val="24"/>
          <w:lang w:val="pt-BR"/>
        </w:rPr>
      </w:pPr>
    </w:p>
    <w:p w:rsidR="00D81F69" w:rsidRPr="00392EAD" w:rsidRDefault="00330118">
      <w:pPr>
        <w:spacing w:before="1"/>
        <w:ind w:left="841"/>
        <w:jc w:val="both"/>
        <w:rPr>
          <w:b/>
          <w:sz w:val="24"/>
          <w:lang w:val="pt-BR"/>
        </w:rPr>
      </w:pPr>
      <w:r w:rsidRPr="00392EAD">
        <w:rPr>
          <w:b/>
          <w:sz w:val="24"/>
          <w:lang w:val="pt-BR"/>
        </w:rPr>
        <w:t>Referências bibliográficas</w:t>
      </w:r>
    </w:p>
    <w:p w:rsidR="00D81F69" w:rsidRPr="00392EAD" w:rsidRDefault="00330118">
      <w:pPr>
        <w:pStyle w:val="Heading7"/>
        <w:spacing w:before="121"/>
        <w:ind w:left="841" w:right="957"/>
        <w:rPr>
          <w:lang w:val="pt-BR"/>
        </w:rPr>
      </w:pPr>
      <w:r w:rsidRPr="00392EAD">
        <w:rPr>
          <w:lang w:val="pt-BR"/>
        </w:rPr>
        <w:t>AMARAL, J. E.; KREBS, A. S.; PAZZETTO, M. B. Mapeamento de bocas de minas abandonadas na região Carbonífera de Santa Catarina. In: CPRM, Serviço Geológico do Brasil. 44º Congresso Brasileiro de Geologia, 26-31 out. 2008. Disponível em:</w:t>
      </w:r>
    </w:p>
    <w:p w:rsidR="00D81F69" w:rsidRPr="00392EAD" w:rsidRDefault="00330118">
      <w:pPr>
        <w:spacing w:before="2"/>
        <w:ind w:left="841"/>
        <w:jc w:val="both"/>
        <w:rPr>
          <w:sz w:val="20"/>
          <w:lang w:val="pt-BR"/>
        </w:rPr>
      </w:pPr>
      <w:r w:rsidRPr="00392EAD">
        <w:rPr>
          <w:sz w:val="20"/>
          <w:lang w:val="pt-BR"/>
        </w:rPr>
        <w:t>&lt;</w:t>
      </w:r>
      <w:hyperlink r:id="rId27">
        <w:r w:rsidRPr="00392EAD">
          <w:rPr>
            <w:sz w:val="20"/>
            <w:lang w:val="pt-BR"/>
          </w:rPr>
          <w:t>http://www.cprm.gov.br/publique/media/evento_0537.pdf</w:t>
        </w:r>
      </w:hyperlink>
      <w:r w:rsidRPr="00392EAD">
        <w:rPr>
          <w:sz w:val="20"/>
          <w:lang w:val="pt-BR"/>
        </w:rPr>
        <w:t>&gt;. Acesso em: 2 ago. 2013.</w:t>
      </w:r>
    </w:p>
    <w:p w:rsidR="00D81F69" w:rsidRPr="00392EAD" w:rsidRDefault="00330118">
      <w:pPr>
        <w:spacing w:before="118"/>
        <w:ind w:left="841" w:right="957"/>
        <w:jc w:val="both"/>
        <w:rPr>
          <w:sz w:val="20"/>
          <w:lang w:val="pt-BR"/>
        </w:rPr>
      </w:pPr>
      <w:r w:rsidRPr="00392EAD">
        <w:rPr>
          <w:sz w:val="20"/>
          <w:lang w:val="pt-BR"/>
        </w:rPr>
        <w:t>BRASIL. Resolução Conama nº 001, de 23 de janeiro de 1986. Dispõe sobre critérios básicos e diretrizes gerais para a avaliaç</w:t>
      </w:r>
      <w:r w:rsidRPr="00392EAD">
        <w:rPr>
          <w:sz w:val="20"/>
          <w:lang w:val="pt-BR"/>
        </w:rPr>
        <w:t>ão de impacto ambiental. Diário Oficial [da] República Federativa do Brasil, Brasília, DF, 17 fev. 1986. Disponível em:</w:t>
      </w:r>
    </w:p>
    <w:p w:rsidR="00D81F69" w:rsidRPr="00392EAD" w:rsidRDefault="00330118">
      <w:pPr>
        <w:spacing w:before="1"/>
        <w:ind w:left="841"/>
        <w:jc w:val="both"/>
        <w:rPr>
          <w:sz w:val="20"/>
          <w:lang w:val="pt-BR"/>
        </w:rPr>
      </w:pPr>
      <w:r w:rsidRPr="00392EAD">
        <w:rPr>
          <w:sz w:val="20"/>
          <w:lang w:val="pt-BR"/>
        </w:rPr>
        <w:t>&lt;</w:t>
      </w:r>
      <w:hyperlink r:id="rId28">
        <w:r w:rsidRPr="00392EAD">
          <w:rPr>
            <w:sz w:val="20"/>
            <w:lang w:val="pt-BR"/>
          </w:rPr>
          <w:t>http://www.mma.gov.br/port/conama/legiabre.cfm?codlegi=23</w:t>
        </w:r>
      </w:hyperlink>
      <w:r w:rsidRPr="00392EAD">
        <w:rPr>
          <w:sz w:val="20"/>
          <w:lang w:val="pt-BR"/>
        </w:rPr>
        <w:t xml:space="preserve">&gt;. </w:t>
      </w:r>
      <w:r w:rsidRPr="00392EAD">
        <w:rPr>
          <w:sz w:val="20"/>
          <w:lang w:val="pt-BR"/>
        </w:rPr>
        <w:t>Acesso em: 24 jul. 2013.</w:t>
      </w:r>
    </w:p>
    <w:p w:rsidR="00D81F69" w:rsidRPr="00392EAD" w:rsidRDefault="00330118">
      <w:pPr>
        <w:spacing w:before="120"/>
        <w:ind w:left="841" w:right="958"/>
        <w:jc w:val="both"/>
        <w:rPr>
          <w:sz w:val="20"/>
          <w:lang w:val="pt-BR"/>
        </w:rPr>
      </w:pPr>
      <w:r w:rsidRPr="00392EAD">
        <w:rPr>
          <w:sz w:val="20"/>
          <w:lang w:val="pt-BR"/>
        </w:rPr>
        <w:t>BRASIL. Resolução Conama nº 237, de 19 de dezembro de 1997. Regulamenta os aspectos de licenciamento ambiental estabelecidos na Política Nacional do Meio Ambiente. Diário Oficial [da] República Federativa do Brasil, Brasília, DF, 2</w:t>
      </w:r>
      <w:r w:rsidRPr="00392EAD">
        <w:rPr>
          <w:sz w:val="20"/>
          <w:lang w:val="pt-BR"/>
        </w:rPr>
        <w:t>2 dez. 1997. Disponível</w:t>
      </w:r>
      <w:r w:rsidRPr="00392EAD">
        <w:rPr>
          <w:sz w:val="20"/>
          <w:lang w:val="pt-BR"/>
        </w:rPr>
        <w:t xml:space="preserve"> </w:t>
      </w:r>
      <w:r w:rsidRPr="00392EAD">
        <w:rPr>
          <w:sz w:val="20"/>
          <w:lang w:val="pt-BR"/>
        </w:rPr>
        <w:t>em:</w:t>
      </w:r>
    </w:p>
    <w:p w:rsidR="00D81F69" w:rsidRPr="00392EAD" w:rsidRDefault="00330118">
      <w:pPr>
        <w:spacing w:line="229" w:lineRule="exact"/>
        <w:ind w:left="841"/>
        <w:jc w:val="both"/>
        <w:rPr>
          <w:sz w:val="20"/>
          <w:lang w:val="pt-BR"/>
        </w:rPr>
      </w:pPr>
      <w:r w:rsidRPr="00392EAD">
        <w:rPr>
          <w:sz w:val="20"/>
          <w:lang w:val="pt-BR"/>
        </w:rPr>
        <w:t>&lt;</w:t>
      </w:r>
      <w:hyperlink r:id="rId29">
        <w:r w:rsidRPr="00392EAD">
          <w:rPr>
            <w:sz w:val="20"/>
            <w:lang w:val="pt-BR"/>
          </w:rPr>
          <w:t>http://www.mma.gov.br/port/conama/legiabre.cfm?codlegi=237&gt;</w:t>
        </w:r>
      </w:hyperlink>
      <w:r w:rsidRPr="00392EAD">
        <w:rPr>
          <w:sz w:val="20"/>
          <w:lang w:val="pt-BR"/>
        </w:rPr>
        <w:t>. Acesso em: 24 jul. 2013.</w:t>
      </w:r>
    </w:p>
    <w:p w:rsidR="00D81F69" w:rsidRDefault="00330118">
      <w:pPr>
        <w:spacing w:before="61"/>
        <w:ind w:left="841" w:right="962"/>
        <w:jc w:val="both"/>
        <w:rPr>
          <w:sz w:val="20"/>
        </w:rPr>
      </w:pPr>
      <w:r w:rsidRPr="00392EAD">
        <w:rPr>
          <w:sz w:val="20"/>
          <w:lang w:val="pt-BR"/>
        </w:rPr>
        <w:t>DNPM - Departamento Nacional de Produção Mineral. Sumário Mineral</w:t>
      </w:r>
      <w:r w:rsidRPr="00392EAD">
        <w:rPr>
          <w:sz w:val="20"/>
          <w:lang w:val="pt-BR"/>
        </w:rPr>
        <w:t xml:space="preserve"> 2012. </w:t>
      </w:r>
      <w:r>
        <w:rPr>
          <w:sz w:val="20"/>
        </w:rPr>
        <w:t>Brasília: DNPM, 2012. 136p. Disponível em:</w:t>
      </w:r>
    </w:p>
    <w:p w:rsidR="00D81F69" w:rsidRDefault="00330118">
      <w:pPr>
        <w:spacing w:before="1"/>
        <w:ind w:left="841"/>
        <w:jc w:val="both"/>
        <w:rPr>
          <w:sz w:val="20"/>
        </w:rPr>
      </w:pPr>
      <w:r>
        <w:rPr>
          <w:sz w:val="20"/>
        </w:rPr>
        <w:t>&lt;https://sistemas.dnpm.gov.br/publicacao/mostra_imagem.asp?IDBancoArquivoArquivo=7366&gt;</w:t>
      </w:r>
    </w:p>
    <w:p w:rsidR="00D81F69" w:rsidRPr="00392EAD" w:rsidRDefault="00330118">
      <w:pPr>
        <w:ind w:left="841"/>
        <w:jc w:val="both"/>
        <w:rPr>
          <w:sz w:val="20"/>
          <w:lang w:val="pt-BR"/>
        </w:rPr>
      </w:pPr>
      <w:r w:rsidRPr="00392EAD">
        <w:rPr>
          <w:sz w:val="20"/>
          <w:lang w:val="pt-BR"/>
        </w:rPr>
        <w:t>. Acesso em: 24 jul. 2013.</w:t>
      </w:r>
    </w:p>
    <w:p w:rsidR="00D81F69" w:rsidRPr="00392EAD" w:rsidRDefault="00330118">
      <w:pPr>
        <w:spacing w:before="118"/>
        <w:ind w:left="841"/>
        <w:jc w:val="both"/>
        <w:rPr>
          <w:sz w:val="20"/>
          <w:lang w:val="pt-BR"/>
        </w:rPr>
      </w:pPr>
      <w:r w:rsidRPr="00392EAD">
        <w:rPr>
          <w:sz w:val="20"/>
          <w:lang w:val="pt-BR"/>
        </w:rPr>
        <w:t>ENRIQUÉZ, M. A. R. S.; FERNANDES, F. R. C.; ALAMINO, R. C. J. A mineração das grandes</w:t>
      </w:r>
    </w:p>
    <w:p w:rsidR="00D81F69" w:rsidRPr="00392EAD" w:rsidRDefault="00330118">
      <w:pPr>
        <w:spacing w:before="1"/>
        <w:ind w:left="841" w:right="961"/>
        <w:jc w:val="both"/>
        <w:rPr>
          <w:sz w:val="20"/>
          <w:lang w:val="pt-BR"/>
        </w:rPr>
      </w:pPr>
      <w:r w:rsidRPr="00392EAD">
        <w:rPr>
          <w:sz w:val="20"/>
          <w:lang w:val="pt-BR"/>
        </w:rPr>
        <w:t xml:space="preserve">minas </w:t>
      </w:r>
      <w:r w:rsidRPr="00392EAD">
        <w:rPr>
          <w:sz w:val="20"/>
          <w:lang w:val="pt-BR"/>
        </w:rPr>
        <w:t>e as dimensões da sustentabilidade. In: FERNANDES, F. R. C.; ENRIQUÉZ, M. A. R. S.; ALAMINO, R. C. J. (Eds.). Recursos minerais e sustentabilidade territorial. v. 1, Grandes minas. Rio de Janeiro: CETEM/MCTI, 2011. Disponível em:</w:t>
      </w:r>
    </w:p>
    <w:p w:rsidR="00D81F69" w:rsidRPr="00392EAD" w:rsidRDefault="00330118">
      <w:pPr>
        <w:spacing w:before="1"/>
        <w:ind w:left="841" w:right="960"/>
        <w:jc w:val="both"/>
        <w:rPr>
          <w:sz w:val="20"/>
          <w:lang w:val="pt-BR"/>
        </w:rPr>
      </w:pPr>
      <w:r w:rsidRPr="00392EAD">
        <w:rPr>
          <w:sz w:val="20"/>
          <w:lang w:val="pt-BR"/>
        </w:rPr>
        <w:t>&lt;</w:t>
      </w:r>
      <w:hyperlink r:id="rId30">
        <w:r w:rsidRPr="00392EAD">
          <w:rPr>
            <w:sz w:val="20"/>
            <w:lang w:val="pt-BR"/>
          </w:rPr>
          <w:t>http://www.cetem.gov.br/publicacao/livros/Vol_1_GRANDES_MINAS_TOTAL.pdf</w:t>
        </w:r>
      </w:hyperlink>
      <w:r w:rsidRPr="00392EAD">
        <w:rPr>
          <w:sz w:val="20"/>
          <w:lang w:val="pt-BR"/>
        </w:rPr>
        <w:t>&gt;. Acesso em: 30 set. 2013.</w:t>
      </w:r>
    </w:p>
    <w:p w:rsidR="00D81F69" w:rsidRPr="00392EAD" w:rsidRDefault="00330118">
      <w:pPr>
        <w:spacing w:before="119"/>
        <w:ind w:left="841" w:right="960"/>
        <w:jc w:val="both"/>
        <w:rPr>
          <w:sz w:val="20"/>
          <w:lang w:val="pt-BR"/>
        </w:rPr>
      </w:pPr>
      <w:r w:rsidRPr="00392EAD">
        <w:rPr>
          <w:sz w:val="20"/>
          <w:lang w:val="pt-BR"/>
        </w:rPr>
        <w:t xml:space="preserve">FERNANDES, F. R. C.; </w:t>
      </w:r>
      <w:hyperlink r:id="rId31">
        <w:r w:rsidRPr="00392EAD">
          <w:rPr>
            <w:sz w:val="20"/>
            <w:lang w:val="pt-BR"/>
          </w:rPr>
          <w:t>LIMA, M. H. R.;</w:t>
        </w:r>
      </w:hyperlink>
      <w:r w:rsidRPr="00392EAD">
        <w:rPr>
          <w:sz w:val="20"/>
          <w:lang w:val="pt-BR"/>
        </w:rPr>
        <w:t xml:space="preserve"> TEIXEIRA, N. S.. Grandes Minas e Comunidades: algumas questões conceituais. Rio de Janeiro: CETEM/MCT, 2007a. 58p.</w:t>
      </w:r>
    </w:p>
    <w:p w:rsidR="00D81F69" w:rsidRPr="00392EAD" w:rsidRDefault="00D81F69">
      <w:pPr>
        <w:jc w:val="both"/>
        <w:rPr>
          <w:sz w:val="20"/>
          <w:lang w:val="pt-BR"/>
        </w:rPr>
        <w:sectPr w:rsidR="00D81F69" w:rsidRPr="00392EAD">
          <w:pgSz w:w="11910" w:h="16840"/>
          <w:pgMar w:top="1320" w:right="740" w:bottom="720" w:left="860" w:header="0" w:footer="412" w:gutter="0"/>
          <w:cols w:space="720"/>
        </w:sectPr>
      </w:pPr>
    </w:p>
    <w:p w:rsidR="00D81F69" w:rsidRPr="00392EAD" w:rsidRDefault="00330118">
      <w:pPr>
        <w:spacing w:before="75"/>
        <w:ind w:left="841"/>
        <w:rPr>
          <w:sz w:val="20"/>
          <w:lang w:val="pt-BR"/>
        </w:rPr>
      </w:pPr>
      <w:r w:rsidRPr="00392EAD">
        <w:rPr>
          <w:sz w:val="20"/>
          <w:lang w:val="pt-BR"/>
        </w:rPr>
        <w:lastRenderedPageBreak/>
        <w:t xml:space="preserve">FERNANDES, F. R. C.; </w:t>
      </w:r>
      <w:hyperlink r:id="rId32">
        <w:r w:rsidRPr="00392EAD">
          <w:rPr>
            <w:sz w:val="20"/>
            <w:lang w:val="pt-BR"/>
          </w:rPr>
          <w:t>LIMA, M. H. R.;</w:t>
        </w:r>
      </w:hyperlink>
      <w:r w:rsidRPr="00392EAD">
        <w:rPr>
          <w:sz w:val="20"/>
          <w:lang w:val="pt-BR"/>
        </w:rPr>
        <w:t xml:space="preserve"> TEIXEIRA, N. S.. A Grande Mina e a Comunidade:</w:t>
      </w:r>
    </w:p>
    <w:p w:rsidR="00D81F69" w:rsidRPr="00392EAD" w:rsidRDefault="00330118">
      <w:pPr>
        <w:ind w:left="841" w:right="958"/>
        <w:jc w:val="both"/>
        <w:rPr>
          <w:sz w:val="20"/>
          <w:lang w:val="pt-BR"/>
        </w:rPr>
      </w:pPr>
      <w:r w:rsidRPr="00392EAD">
        <w:rPr>
          <w:sz w:val="20"/>
          <w:lang w:val="pt-BR"/>
        </w:rPr>
        <w:t>Estudo de caso da Grande Mina de Ouro de Crixás em Goiás. Rio de Janeiro: CETEM/MCT, 2007b. 96p.</w:t>
      </w:r>
    </w:p>
    <w:p w:rsidR="00D81F69" w:rsidRPr="00392EAD" w:rsidRDefault="00330118">
      <w:pPr>
        <w:spacing w:before="145"/>
        <w:ind w:left="841" w:right="961"/>
        <w:jc w:val="both"/>
        <w:rPr>
          <w:sz w:val="20"/>
          <w:lang w:val="pt-BR"/>
        </w:rPr>
      </w:pPr>
      <w:r w:rsidRPr="00392EAD">
        <w:rPr>
          <w:sz w:val="20"/>
          <w:lang w:val="pt-BR"/>
        </w:rPr>
        <w:t>IBRAM. Informações e análises da Economia Mineral Brasileira, 7ª edição,</w:t>
      </w:r>
      <w:r w:rsidRPr="00392EAD">
        <w:rPr>
          <w:sz w:val="20"/>
          <w:lang w:val="pt-BR"/>
        </w:rPr>
        <w:t xml:space="preserve"> IBRAM – Instituto Brasileiro de Mineração, Belo Horizonte, dezembro de 201 2.</w:t>
      </w:r>
    </w:p>
    <w:p w:rsidR="00D81F69" w:rsidRPr="00392EAD" w:rsidRDefault="00330118">
      <w:pPr>
        <w:spacing w:before="121"/>
        <w:ind w:left="841" w:right="957"/>
        <w:jc w:val="both"/>
        <w:rPr>
          <w:sz w:val="20"/>
          <w:lang w:val="pt-BR"/>
        </w:rPr>
      </w:pPr>
      <w:r w:rsidRPr="00392EAD">
        <w:rPr>
          <w:sz w:val="20"/>
          <w:lang w:val="pt-BR"/>
        </w:rPr>
        <w:t>PAIVA, C. T. Proposta de metodologia para análise de passivos ambientais da atividade minerária. Ministério de Minas e Energia - MME. 2006. Disponível em:</w:t>
      </w:r>
    </w:p>
    <w:p w:rsidR="00D81F69" w:rsidRPr="00392EAD" w:rsidRDefault="00330118">
      <w:pPr>
        <w:ind w:left="841" w:right="965"/>
        <w:jc w:val="both"/>
        <w:rPr>
          <w:sz w:val="20"/>
          <w:lang w:val="pt-BR"/>
        </w:rPr>
      </w:pPr>
      <w:r w:rsidRPr="00392EAD">
        <w:rPr>
          <w:w w:val="95"/>
          <w:sz w:val="20"/>
          <w:lang w:val="pt-BR"/>
        </w:rPr>
        <w:t>&lt;</w:t>
      </w:r>
      <w:hyperlink r:id="rId33">
        <w:r w:rsidRPr="00392EAD">
          <w:rPr>
            <w:w w:val="95"/>
            <w:sz w:val="20"/>
            <w:lang w:val="pt-BR"/>
          </w:rPr>
          <w:t>http://www.mma.gov.br/port/conama/reuniao/dir934/RelatConsultoriaApresentaoMME_Passivo</w:t>
        </w:r>
      </w:hyperlink>
      <w:r w:rsidRPr="00392EAD">
        <w:rPr>
          <w:w w:val="95"/>
          <w:sz w:val="20"/>
          <w:lang w:val="pt-BR"/>
        </w:rPr>
        <w:t xml:space="preserve"> </w:t>
      </w:r>
      <w:r w:rsidRPr="00392EAD">
        <w:rPr>
          <w:sz w:val="20"/>
          <w:lang w:val="pt-BR"/>
        </w:rPr>
        <w:t>sAmbientais.pdf&gt;. Acesso em: 24 jul. 2013.</w:t>
      </w:r>
    </w:p>
    <w:p w:rsidR="00D81F69" w:rsidRPr="00392EAD" w:rsidRDefault="00330118">
      <w:pPr>
        <w:spacing w:before="144"/>
        <w:ind w:left="841" w:right="957"/>
        <w:jc w:val="both"/>
        <w:rPr>
          <w:sz w:val="20"/>
          <w:lang w:val="pt-BR"/>
        </w:rPr>
      </w:pPr>
      <w:r w:rsidRPr="00392EAD">
        <w:rPr>
          <w:sz w:val="20"/>
          <w:lang w:val="pt-BR"/>
        </w:rPr>
        <w:t xml:space="preserve">PINHEIRO, J. C. F. A importância econômica </w:t>
      </w:r>
      <w:r w:rsidRPr="00392EAD">
        <w:rPr>
          <w:sz w:val="20"/>
          <w:lang w:val="pt-BR"/>
        </w:rPr>
        <w:t xml:space="preserve">da mineração no Brasil. </w:t>
      </w:r>
      <w:r>
        <w:rPr>
          <w:sz w:val="20"/>
        </w:rPr>
        <w:t xml:space="preserve">Apresentação Rede Nacional de Informações sobre o Investimento - Renai, ago. 2011. </w:t>
      </w:r>
      <w:r w:rsidRPr="00392EAD">
        <w:rPr>
          <w:sz w:val="20"/>
          <w:lang w:val="pt-BR"/>
        </w:rPr>
        <w:t>Disponível em:</w:t>
      </w:r>
    </w:p>
    <w:p w:rsidR="00D81F69" w:rsidRPr="00392EAD" w:rsidRDefault="00330118">
      <w:pPr>
        <w:ind w:left="841" w:right="958"/>
        <w:jc w:val="both"/>
        <w:rPr>
          <w:sz w:val="20"/>
          <w:lang w:val="pt-BR"/>
        </w:rPr>
      </w:pPr>
      <w:r w:rsidRPr="00392EAD">
        <w:rPr>
          <w:sz w:val="20"/>
          <w:lang w:val="pt-BR"/>
        </w:rPr>
        <w:t>&lt;</w:t>
      </w:r>
      <w:hyperlink r:id="rId34">
        <w:r w:rsidRPr="00392EAD">
          <w:rPr>
            <w:sz w:val="20"/>
            <w:lang w:val="pt-BR"/>
          </w:rPr>
          <w:t>http://www.mdic.gov.br/sistemas_web/renai</w:t>
        </w:r>
        <w:r w:rsidRPr="00392EAD">
          <w:rPr>
            <w:sz w:val="20"/>
            <w:lang w:val="pt-BR"/>
          </w:rPr>
          <w:t>/public/arquivo/arq1314392332.pdf</w:t>
        </w:r>
      </w:hyperlink>
      <w:r w:rsidRPr="00392EAD">
        <w:rPr>
          <w:sz w:val="20"/>
          <w:lang w:val="pt-BR"/>
        </w:rPr>
        <w:t>&gt;. Acesso em: 10 ago. 2013.</w:t>
      </w:r>
    </w:p>
    <w:p w:rsidR="00D81F69" w:rsidRDefault="00330118">
      <w:pPr>
        <w:spacing w:before="119"/>
        <w:ind w:left="841" w:right="957"/>
        <w:jc w:val="both"/>
        <w:rPr>
          <w:sz w:val="20"/>
        </w:rPr>
      </w:pPr>
      <w:r w:rsidRPr="00392EAD">
        <w:rPr>
          <w:sz w:val="20"/>
          <w:lang w:val="pt-BR"/>
        </w:rPr>
        <w:t xml:space="preserve">PAIXÃO, M. R.; QUEIROZ, R. M. Impactos ambientais e danos humanos causados pela extração de amianto no município de Poções - BA. A legislação brasileira e o controle da exploração de amianto. </w:t>
      </w:r>
      <w:r>
        <w:rPr>
          <w:sz w:val="20"/>
        </w:rPr>
        <w:t>Web</w:t>
      </w:r>
      <w:r>
        <w:rPr>
          <w:sz w:val="20"/>
        </w:rPr>
        <w:t>artigos.com, 10 set. 2009. Disponível em:</w:t>
      </w:r>
    </w:p>
    <w:p w:rsidR="00D81F69" w:rsidRPr="00392EAD" w:rsidRDefault="00330118">
      <w:pPr>
        <w:spacing w:before="2"/>
        <w:ind w:left="841" w:right="979"/>
        <w:jc w:val="both"/>
        <w:rPr>
          <w:sz w:val="20"/>
          <w:lang w:val="pt-BR"/>
        </w:rPr>
      </w:pPr>
      <w:r w:rsidRPr="00392EAD">
        <w:rPr>
          <w:w w:val="95"/>
          <w:sz w:val="20"/>
          <w:lang w:val="pt-BR"/>
        </w:rPr>
        <w:t>&lt;</w:t>
      </w:r>
      <w:hyperlink r:id="rId35">
        <w:r w:rsidRPr="00392EAD">
          <w:rPr>
            <w:w w:val="95"/>
            <w:sz w:val="20"/>
            <w:lang w:val="pt-BR"/>
          </w:rPr>
          <w:t>http://www.webartigos.com/articles/24591/1/IMPACTOS-AMBIENTAIS-E-DANOS-HUMANOS-</w:t>
        </w:r>
      </w:hyperlink>
      <w:r w:rsidRPr="00392EAD">
        <w:rPr>
          <w:w w:val="95"/>
          <w:sz w:val="20"/>
          <w:lang w:val="pt-BR"/>
        </w:rPr>
        <w:t xml:space="preserve"> </w:t>
      </w:r>
      <w:r w:rsidRPr="00392EAD">
        <w:rPr>
          <w:sz w:val="20"/>
          <w:lang w:val="pt-BR"/>
        </w:rPr>
        <w:t>CAUSADOS-PELA-EXTRACAO-DE-AMIANTO-NO</w:t>
      </w:r>
      <w:r w:rsidRPr="00392EAD">
        <w:rPr>
          <w:sz w:val="20"/>
          <w:lang w:val="pt-BR"/>
        </w:rPr>
        <w:t>-MUNICIPIO-DE-POCOES---BA-</w:t>
      </w:r>
    </w:p>
    <w:p w:rsidR="00D81F69" w:rsidRPr="00392EAD" w:rsidRDefault="00330118">
      <w:pPr>
        <w:spacing w:line="229" w:lineRule="exact"/>
        <w:ind w:left="841"/>
        <w:rPr>
          <w:sz w:val="20"/>
          <w:lang w:val="pt-BR"/>
        </w:rPr>
      </w:pPr>
      <w:r w:rsidRPr="00392EAD">
        <w:rPr>
          <w:sz w:val="20"/>
          <w:lang w:val="pt-BR"/>
        </w:rPr>
        <w:t>/pagina1.html&gt;. Acesso em: 2 ago. 2013.</w:t>
      </w:r>
    </w:p>
    <w:p w:rsidR="00D81F69" w:rsidRPr="00392EAD" w:rsidRDefault="00330118">
      <w:pPr>
        <w:spacing w:before="120"/>
        <w:ind w:left="841" w:right="958"/>
        <w:jc w:val="both"/>
        <w:rPr>
          <w:sz w:val="20"/>
          <w:lang w:val="pt-BR"/>
        </w:rPr>
      </w:pPr>
      <w:r w:rsidRPr="00392EAD">
        <w:rPr>
          <w:sz w:val="20"/>
          <w:lang w:val="pt-BR"/>
        </w:rPr>
        <w:t xml:space="preserve">PORTO, M. F.; PACHECO, T.; LEROY, J. P. Injustiça Ambiental e Saúde no Brasil: o mapa de conflitos, Cooperação Fiocruz - </w:t>
      </w:r>
      <w:r w:rsidRPr="00392EAD">
        <w:rPr>
          <w:color w:val="1C1C1C"/>
          <w:sz w:val="20"/>
          <w:lang w:val="pt-BR"/>
        </w:rPr>
        <w:t xml:space="preserve">Fundação Oswaldo Cruz </w:t>
      </w:r>
      <w:r w:rsidRPr="00392EAD">
        <w:rPr>
          <w:sz w:val="20"/>
          <w:lang w:val="pt-BR"/>
        </w:rPr>
        <w:t>e pela Fase - Federação de Órgãos para Assistência Social e Educacional Editora Fiocruz, 2013.</w:t>
      </w:r>
    </w:p>
    <w:p w:rsidR="00D81F69" w:rsidRDefault="00330118">
      <w:pPr>
        <w:spacing w:before="61"/>
        <w:ind w:left="841" w:right="964"/>
        <w:jc w:val="both"/>
        <w:rPr>
          <w:sz w:val="20"/>
        </w:rPr>
      </w:pPr>
      <w:r w:rsidRPr="00392EAD">
        <w:rPr>
          <w:sz w:val="20"/>
          <w:lang w:val="pt-BR"/>
        </w:rPr>
        <w:t xml:space="preserve">SANCHEZ, L. E. Comunidades podem defender seus direitos durante licenciamento ambiental. </w:t>
      </w:r>
      <w:r>
        <w:rPr>
          <w:sz w:val="20"/>
        </w:rPr>
        <w:t>Site Mobilizadores, 16 set. 2010. Disponível em:</w:t>
      </w:r>
    </w:p>
    <w:p w:rsidR="00D81F69" w:rsidRDefault="00330118">
      <w:pPr>
        <w:spacing w:line="229" w:lineRule="exact"/>
        <w:ind w:left="841"/>
        <w:rPr>
          <w:sz w:val="20"/>
        </w:rPr>
      </w:pPr>
      <w:r>
        <w:rPr>
          <w:sz w:val="20"/>
        </w:rPr>
        <w:t>&lt;</w:t>
      </w:r>
      <w:hyperlink r:id="rId36">
        <w:r>
          <w:rPr>
            <w:sz w:val="20"/>
          </w:rPr>
          <w:t>http://www.mobilizadores.org.br/coep/Publico/consultarConteudoGrupo.aspx?TP=V&amp;CODIGO</w:t>
        </w:r>
      </w:hyperlink>
    </w:p>
    <w:p w:rsidR="00D81F69" w:rsidRPr="00392EAD" w:rsidRDefault="00330118">
      <w:pPr>
        <w:spacing w:before="1"/>
        <w:ind w:left="841"/>
        <w:rPr>
          <w:sz w:val="20"/>
          <w:lang w:val="pt-BR"/>
        </w:rPr>
      </w:pPr>
      <w:r w:rsidRPr="00392EAD">
        <w:rPr>
          <w:sz w:val="20"/>
          <w:lang w:val="pt-BR"/>
        </w:rPr>
        <w:t>=C20109121570821&amp;GRUPO_ID=15&gt;. Acesso em: 2 ago. 2013.</w:t>
      </w:r>
    </w:p>
    <w:p w:rsidR="00D81F69" w:rsidRDefault="00330118">
      <w:pPr>
        <w:spacing w:before="120"/>
        <w:ind w:left="841" w:right="958"/>
        <w:jc w:val="both"/>
        <w:rPr>
          <w:sz w:val="20"/>
        </w:rPr>
      </w:pPr>
      <w:r w:rsidRPr="00392EAD">
        <w:rPr>
          <w:sz w:val="20"/>
          <w:lang w:val="pt-BR"/>
        </w:rPr>
        <w:t>TONIDANDEL, R. P. Aspectos legai</w:t>
      </w:r>
      <w:r w:rsidRPr="00392EAD">
        <w:rPr>
          <w:sz w:val="20"/>
          <w:lang w:val="pt-BR"/>
        </w:rPr>
        <w:t xml:space="preserve">s e ambientais do fechamento de mina no estado de Minas Gerais. Dissertação (Mestrado em Geologia). 2011, 146 f. Instituto de Geociências da Universidade Federal de Minas Gerais. </w:t>
      </w:r>
      <w:r>
        <w:rPr>
          <w:sz w:val="20"/>
        </w:rPr>
        <w:t>Belo Horizonte (MG), fev. 2011. Disponível em:</w:t>
      </w:r>
    </w:p>
    <w:p w:rsidR="00D81F69" w:rsidRPr="00392EAD" w:rsidRDefault="00330118">
      <w:pPr>
        <w:ind w:left="841" w:right="1025"/>
        <w:rPr>
          <w:sz w:val="20"/>
          <w:lang w:val="pt-BR"/>
        </w:rPr>
      </w:pPr>
      <w:r w:rsidRPr="00392EAD">
        <w:rPr>
          <w:w w:val="95"/>
          <w:sz w:val="20"/>
          <w:lang w:val="pt-BR"/>
        </w:rPr>
        <w:t>&lt;</w:t>
      </w:r>
      <w:hyperlink r:id="rId37">
        <w:r w:rsidRPr="00392EAD">
          <w:rPr>
            <w:w w:val="95"/>
            <w:sz w:val="20"/>
            <w:lang w:val="pt-BR"/>
          </w:rPr>
          <w:t>http://www.bibliotecadigital.ufmg.br/dspace/bitstream/1843/MPBB-</w:t>
        </w:r>
      </w:hyperlink>
      <w:r w:rsidRPr="00392EAD">
        <w:rPr>
          <w:w w:val="95"/>
          <w:sz w:val="20"/>
          <w:lang w:val="pt-BR"/>
        </w:rPr>
        <w:t xml:space="preserve"> </w:t>
      </w:r>
      <w:r w:rsidRPr="00392EAD">
        <w:rPr>
          <w:sz w:val="20"/>
          <w:lang w:val="pt-BR"/>
        </w:rPr>
        <w:t>8LMGN5/1/rodrigo_tonidandel.pdf&gt;. Acesso em: 2 ago. 2013.</w:t>
      </w:r>
    </w:p>
    <w:p w:rsidR="00D81F69" w:rsidRPr="00392EAD" w:rsidRDefault="00D81F69">
      <w:pPr>
        <w:rPr>
          <w:sz w:val="20"/>
          <w:lang w:val="pt-BR"/>
        </w:rPr>
        <w:sectPr w:rsidR="00D81F69" w:rsidRPr="00392EAD">
          <w:pgSz w:w="11910" w:h="16840"/>
          <w:pgMar w:top="1320" w:right="740" w:bottom="720" w:left="860" w:header="0" w:footer="412" w:gutter="0"/>
          <w:cols w:space="720"/>
        </w:sectPr>
      </w:pPr>
    </w:p>
    <w:p w:rsidR="00D81F69" w:rsidRPr="00392EAD" w:rsidRDefault="00330118">
      <w:pPr>
        <w:pStyle w:val="Heading3"/>
        <w:spacing w:before="29"/>
        <w:ind w:left="7607"/>
        <w:rPr>
          <w:lang w:val="pt-BR"/>
        </w:rPr>
      </w:pPr>
      <w:bookmarkStart w:id="8" w:name="_TOC_250022"/>
      <w:bookmarkEnd w:id="8"/>
      <w:r w:rsidRPr="00392EAD">
        <w:rPr>
          <w:lang w:val="pt-BR"/>
        </w:rPr>
        <w:lastRenderedPageBreak/>
        <w:t>REGIÃO NORTE</w:t>
      </w:r>
    </w:p>
    <w:p w:rsidR="00D81F69" w:rsidRPr="00392EAD" w:rsidRDefault="00D81F69">
      <w:pPr>
        <w:pStyle w:val="Corpodetexto"/>
        <w:ind w:left="0"/>
        <w:jc w:val="left"/>
        <w:rPr>
          <w:rFonts w:ascii="Calibri"/>
          <w:sz w:val="28"/>
          <w:lang w:val="pt-BR"/>
        </w:rPr>
      </w:pPr>
    </w:p>
    <w:p w:rsidR="00D81F69" w:rsidRPr="00392EAD" w:rsidRDefault="00D81F69">
      <w:pPr>
        <w:pStyle w:val="Corpodetexto"/>
        <w:ind w:left="0"/>
        <w:jc w:val="left"/>
        <w:rPr>
          <w:rFonts w:ascii="Calibri"/>
          <w:sz w:val="28"/>
          <w:lang w:val="pt-BR"/>
        </w:rPr>
      </w:pPr>
    </w:p>
    <w:p w:rsidR="00D81F69" w:rsidRPr="00392EAD" w:rsidRDefault="00330118">
      <w:pPr>
        <w:pStyle w:val="Heading2"/>
        <w:spacing w:before="171" w:line="276" w:lineRule="auto"/>
        <w:ind w:right="1419"/>
        <w:rPr>
          <w:lang w:val="pt-BR"/>
        </w:rPr>
      </w:pPr>
      <w:bookmarkStart w:id="9" w:name="_TOC_250021"/>
      <w:bookmarkEnd w:id="9"/>
      <w:r w:rsidRPr="00392EAD">
        <w:rPr>
          <w:lang w:val="pt-BR"/>
        </w:rPr>
        <w:t>Os desafios da extração mineral na Região Norte</w:t>
      </w:r>
      <w:r w:rsidRPr="00392EAD">
        <w:rPr>
          <w:lang w:val="pt-BR"/>
        </w:rPr>
        <w:t xml:space="preserve"> em prol do desenvolvimento socioeconômico</w:t>
      </w:r>
    </w:p>
    <w:p w:rsidR="00D81F69" w:rsidRPr="00392EAD" w:rsidRDefault="00330118">
      <w:pPr>
        <w:spacing w:before="202"/>
        <w:ind w:left="5564" w:right="959" w:firstLine="146"/>
        <w:jc w:val="right"/>
        <w:rPr>
          <w:i/>
          <w:lang w:val="pt-BR"/>
        </w:rPr>
      </w:pPr>
      <w:r w:rsidRPr="00392EAD">
        <w:rPr>
          <w:i/>
          <w:lang w:val="pt-BR"/>
        </w:rPr>
        <w:t>Rodrigo Braga da Rocha Villa Verde</w:t>
      </w:r>
      <w:hyperlink w:anchor="_bookmark6" w:history="1">
        <w:r w:rsidRPr="00392EAD">
          <w:rPr>
            <w:i/>
            <w:vertAlign w:val="superscript"/>
            <w:lang w:val="pt-BR"/>
          </w:rPr>
          <w:t>1</w:t>
        </w:r>
      </w:hyperlink>
      <w:r w:rsidRPr="00392EAD">
        <w:rPr>
          <w:i/>
          <w:w w:val="109"/>
          <w:lang w:val="pt-BR"/>
        </w:rPr>
        <w:t xml:space="preserve"> </w:t>
      </w:r>
      <w:r w:rsidRPr="00392EAD">
        <w:rPr>
          <w:i/>
          <w:lang w:val="pt-BR"/>
        </w:rPr>
        <w:t>Renata de Carvalho Jimenez Alamino</w:t>
      </w:r>
      <w:hyperlink w:anchor="_bookmark7" w:history="1">
        <w:r w:rsidRPr="00392EAD">
          <w:rPr>
            <w:i/>
            <w:vertAlign w:val="superscript"/>
            <w:lang w:val="pt-BR"/>
          </w:rPr>
          <w:t>2</w:t>
        </w:r>
      </w:hyperlink>
      <w:r w:rsidRPr="00392EAD">
        <w:rPr>
          <w:i/>
          <w:w w:val="109"/>
          <w:lang w:val="pt-BR"/>
        </w:rPr>
        <w:t xml:space="preserve"> </w:t>
      </w:r>
      <w:r w:rsidRPr="00392EAD">
        <w:rPr>
          <w:i/>
          <w:lang w:val="pt-BR"/>
        </w:rPr>
        <w:t>Francisco Rego Chaves Fernandes</w:t>
      </w:r>
      <w:hyperlink w:anchor="_bookmark8" w:history="1">
        <w:r w:rsidRPr="00392EAD">
          <w:rPr>
            <w:i/>
            <w:vertAlign w:val="superscript"/>
            <w:lang w:val="pt-BR"/>
          </w:rPr>
          <w:t>3</w:t>
        </w:r>
      </w:hyperlink>
    </w:p>
    <w:p w:rsidR="00D81F69" w:rsidRPr="00392EAD" w:rsidRDefault="00D81F69">
      <w:pPr>
        <w:pStyle w:val="Corpodetexto"/>
        <w:ind w:left="0"/>
        <w:jc w:val="left"/>
        <w:rPr>
          <w:i/>
          <w:sz w:val="26"/>
          <w:lang w:val="pt-BR"/>
        </w:rPr>
      </w:pPr>
    </w:p>
    <w:p w:rsidR="00D81F69" w:rsidRPr="00392EAD" w:rsidRDefault="00330118">
      <w:pPr>
        <w:spacing w:before="192" w:line="276" w:lineRule="auto"/>
        <w:ind w:left="841" w:right="956"/>
        <w:jc w:val="both"/>
        <w:rPr>
          <w:lang w:val="pt-BR"/>
        </w:rPr>
      </w:pPr>
      <w:r w:rsidRPr="00392EAD">
        <w:rPr>
          <w:lang w:val="pt-BR"/>
        </w:rPr>
        <w:t xml:space="preserve">O Norte é a maior das regiões brasileiras, formada pelos estados do Acre, Amapá, Amazonas, Pará, Rondônia, Roraima e Tocantins. Com uma área de 3.853.677 km², 45% do território nacional, equivale à porção europeia da Rússia. Entretanto, a região apresenta </w:t>
      </w:r>
      <w:r w:rsidRPr="00392EAD">
        <w:rPr>
          <w:lang w:val="pt-BR"/>
        </w:rPr>
        <w:t>uma população estimada para o ano de 2013 de 16.983.485 habitantes, o que confere a menor densidade demográfica do país, 4 hab./km² (IBGE, 2013a).</w:t>
      </w:r>
    </w:p>
    <w:p w:rsidR="00D81F69" w:rsidRPr="00392EAD" w:rsidRDefault="00330118">
      <w:pPr>
        <w:spacing w:before="199" w:line="276" w:lineRule="auto"/>
        <w:ind w:left="841" w:right="956"/>
        <w:jc w:val="both"/>
        <w:rPr>
          <w:lang w:val="pt-BR"/>
        </w:rPr>
      </w:pPr>
      <w:r w:rsidRPr="00392EAD">
        <w:rPr>
          <w:lang w:val="pt-BR"/>
        </w:rPr>
        <w:t>A região possui uma diversidade sociocultural muito peculiar por abrigar 47% da população indígena brasileira que vive nas Terras Indígenas (TIs), territórios especiais previstos na Constituição Federal de 1988 (BRASIL, 1988). Esse percentual representa 26</w:t>
      </w:r>
      <w:r w:rsidRPr="00392EAD">
        <w:rPr>
          <w:lang w:val="pt-BR"/>
        </w:rPr>
        <w:t>4.921 pessoas que apresentam línguas, tradições e culturas que se distinguem entre si e do modo de vida não indígena (IBGE,</w:t>
      </w:r>
      <w:r w:rsidRPr="00392EAD">
        <w:rPr>
          <w:spacing w:val="-11"/>
          <w:lang w:val="pt-BR"/>
        </w:rPr>
        <w:t xml:space="preserve"> </w:t>
      </w:r>
      <w:r w:rsidRPr="00392EAD">
        <w:rPr>
          <w:lang w:val="pt-BR"/>
        </w:rPr>
        <w:t>2013b).</w:t>
      </w:r>
    </w:p>
    <w:p w:rsidR="00D81F69" w:rsidRPr="00392EAD" w:rsidRDefault="00330118">
      <w:pPr>
        <w:spacing w:before="201" w:line="276" w:lineRule="auto"/>
        <w:ind w:left="841" w:right="957"/>
        <w:jc w:val="both"/>
        <w:rPr>
          <w:lang w:val="pt-BR"/>
        </w:rPr>
      </w:pPr>
      <w:r w:rsidRPr="00392EAD">
        <w:rPr>
          <w:lang w:val="pt-BR"/>
        </w:rPr>
        <w:t>Ainda que os índios tenham a garantia da posse e do usufruto dos rios, dos lagos e do solo, lhes são vedadas a exploração de</w:t>
      </w:r>
      <w:r w:rsidRPr="00392EAD">
        <w:rPr>
          <w:lang w:val="pt-BR"/>
        </w:rPr>
        <w:t xml:space="preserve"> recursos hídricos para potencial energético e a lavra das riquezas minerais. Somente o Congresso Nacional, após ouvir as comunidades impactadas, pode autorizar os empreendimentos de mineração e hidroelétricas em TIs, assegurando aos índios participação no</w:t>
      </w:r>
      <w:r w:rsidRPr="00392EAD">
        <w:rPr>
          <w:lang w:val="pt-BR"/>
        </w:rPr>
        <w:t>s lucros na forma da lei (BRASIL, 1988).</w:t>
      </w:r>
    </w:p>
    <w:p w:rsidR="00D81F69" w:rsidRPr="00392EAD" w:rsidRDefault="00330118">
      <w:pPr>
        <w:spacing w:before="198" w:line="276" w:lineRule="auto"/>
        <w:ind w:left="841" w:right="958"/>
        <w:jc w:val="both"/>
        <w:rPr>
          <w:lang w:val="pt-BR"/>
        </w:rPr>
      </w:pPr>
      <w:r w:rsidRPr="00392EAD">
        <w:rPr>
          <w:lang w:val="pt-BR"/>
        </w:rPr>
        <w:t>Comumente a mídia noticia atividades garimpeiras em TIs ou em áreas limítrofes. É também sabido que algumas comunidades indígenas têm interesse em regularizar a atividade garimpeira em suas terras. Existem no país d</w:t>
      </w:r>
      <w:r w:rsidRPr="00392EAD">
        <w:rPr>
          <w:lang w:val="pt-BR"/>
        </w:rPr>
        <w:t>iversos requerimentos de pesquisa e lavra em TIs no Departamento Nacional de Produção Mineral (DNPM). Muitas vezes, os conflitos entre mineradores, garimpeiros e indígenas terminam sem consenso e até em morte nos casos mais extremos de violência.</w:t>
      </w:r>
    </w:p>
    <w:p w:rsidR="00D81F69" w:rsidRPr="00392EAD" w:rsidRDefault="00330118">
      <w:pPr>
        <w:spacing w:before="201" w:line="276" w:lineRule="auto"/>
        <w:ind w:left="841" w:right="958"/>
        <w:jc w:val="both"/>
        <w:rPr>
          <w:lang w:val="pt-BR"/>
        </w:rPr>
      </w:pPr>
      <w:r w:rsidRPr="00392EAD">
        <w:rPr>
          <w:lang w:val="pt-BR"/>
        </w:rPr>
        <w:t>Oito de u</w:t>
      </w:r>
      <w:r w:rsidRPr="00392EAD">
        <w:rPr>
          <w:lang w:val="pt-BR"/>
        </w:rPr>
        <w:t xml:space="preserve">m total de 11 estudos de casos que apresentam comunidades indígenas afetadas por empreendimentos associados à mineração ou à atividade garimpeira situam-se na região Norte. Amazonas, Pará, Rondônia e Roraima são os estados mencionados nos verbetes, em que </w:t>
      </w:r>
      <w:r w:rsidRPr="00392EAD">
        <w:rPr>
          <w:lang w:val="pt-BR"/>
        </w:rPr>
        <w:t>são apresentados conflitos ou pressões aos povos indígenas em torno da extração de ouro, ferro, níquel e diamantes.</w:t>
      </w:r>
    </w:p>
    <w:p w:rsidR="00D81F69" w:rsidRPr="00392EAD" w:rsidRDefault="00D81F69">
      <w:pPr>
        <w:pStyle w:val="Corpodetexto"/>
        <w:ind w:left="0"/>
        <w:jc w:val="left"/>
        <w:rPr>
          <w:sz w:val="20"/>
          <w:lang w:val="pt-BR"/>
        </w:rPr>
      </w:pPr>
    </w:p>
    <w:p w:rsidR="00D81F69" w:rsidRPr="00392EAD" w:rsidRDefault="00D81F69">
      <w:pPr>
        <w:pStyle w:val="Corpodetexto"/>
        <w:spacing w:before="4"/>
        <w:ind w:left="0"/>
        <w:jc w:val="left"/>
        <w:rPr>
          <w:sz w:val="23"/>
          <w:lang w:val="pt-BR"/>
        </w:rPr>
      </w:pPr>
      <w:r w:rsidRPr="00D81F69">
        <w:pict>
          <v:line id="_x0000_s1038" style="position:absolute;z-index:5608;mso-wrap-distance-left:0;mso-wrap-distance-right:0;mso-position-horizontal-relative:page" from="85.1pt,15.8pt" to="229.1pt,15.8pt" strokeweight=".72pt">
            <w10:wrap type="topAndBottom" anchorx="page"/>
          </v:line>
        </w:pict>
      </w:r>
    </w:p>
    <w:p w:rsidR="00D81F69" w:rsidRPr="00392EAD" w:rsidRDefault="00330118">
      <w:pPr>
        <w:pStyle w:val="Corpodetexto"/>
        <w:spacing w:before="156"/>
        <w:ind w:left="841" w:right="957"/>
        <w:rPr>
          <w:lang w:val="pt-BR"/>
        </w:rPr>
      </w:pPr>
      <w:bookmarkStart w:id="10" w:name="_bookmark6"/>
      <w:bookmarkEnd w:id="10"/>
      <w:r w:rsidRPr="00392EAD">
        <w:rPr>
          <w:position w:val="9"/>
          <w:sz w:val="12"/>
          <w:lang w:val="pt-BR"/>
        </w:rPr>
        <w:t xml:space="preserve">1 </w:t>
      </w:r>
      <w:r w:rsidRPr="00392EAD">
        <w:rPr>
          <w:lang w:val="pt-BR"/>
        </w:rPr>
        <w:t>Geógrafo pela Universidade Federal do Rio de Janeiro (UFRJ). Historiador pela Universidade Federal do Estado do Rio de Janeiro (UNIRIO)</w:t>
      </w:r>
      <w:r w:rsidRPr="00392EAD">
        <w:rPr>
          <w:lang w:val="pt-BR"/>
        </w:rPr>
        <w:t>. Bolsista do Programa de Capacitação Institucional do Ministério da Ciência, Tecnologia e Inovação/CNPq-CETEM. Cont</w:t>
      </w:r>
      <w:hyperlink r:id="rId38">
        <w:r w:rsidRPr="00392EAD">
          <w:rPr>
            <w:lang w:val="pt-BR"/>
          </w:rPr>
          <w:t>ato: rrocha@cetem.gov.br</w:t>
        </w:r>
      </w:hyperlink>
    </w:p>
    <w:p w:rsidR="00D81F69" w:rsidRPr="00392EAD" w:rsidRDefault="00330118">
      <w:pPr>
        <w:pStyle w:val="Corpodetexto"/>
        <w:spacing w:before="87"/>
        <w:ind w:left="841" w:right="957"/>
        <w:rPr>
          <w:lang w:val="pt-BR"/>
        </w:rPr>
      </w:pPr>
      <w:bookmarkStart w:id="11" w:name="_bookmark7"/>
      <w:bookmarkEnd w:id="11"/>
      <w:r w:rsidRPr="00392EAD">
        <w:rPr>
          <w:position w:val="9"/>
          <w:sz w:val="12"/>
          <w:lang w:val="pt-BR"/>
        </w:rPr>
        <w:t xml:space="preserve">2 </w:t>
      </w:r>
      <w:r w:rsidRPr="00392EAD">
        <w:rPr>
          <w:lang w:val="pt-BR"/>
        </w:rPr>
        <w:t>Doutorado em Geologia pela Universidade Federal do Rio de Janeiro (UF</w:t>
      </w:r>
      <w:r w:rsidRPr="00392EAD">
        <w:rPr>
          <w:lang w:val="pt-BR"/>
        </w:rPr>
        <w:t xml:space="preserve">RJ). Bolsista do Programa de Capacitação Institucional do Ministério da Ciência, Tecnologia e Inovação/CNPq-CETEM. Contato: </w:t>
      </w:r>
      <w:hyperlink r:id="rId39">
        <w:r w:rsidRPr="00392EAD">
          <w:rPr>
            <w:lang w:val="pt-BR"/>
          </w:rPr>
          <w:t>ralamino@cetem.gov.br</w:t>
        </w:r>
      </w:hyperlink>
    </w:p>
    <w:p w:rsidR="00D81F69" w:rsidRPr="00392EAD" w:rsidRDefault="00330118">
      <w:pPr>
        <w:pStyle w:val="Corpodetexto"/>
        <w:spacing w:before="87"/>
        <w:ind w:left="841" w:right="958"/>
        <w:rPr>
          <w:lang w:val="pt-BR"/>
        </w:rPr>
      </w:pPr>
      <w:bookmarkStart w:id="12" w:name="_bookmark8"/>
      <w:bookmarkEnd w:id="12"/>
      <w:r w:rsidRPr="00392EAD">
        <w:rPr>
          <w:position w:val="9"/>
          <w:sz w:val="12"/>
          <w:lang w:val="pt-BR"/>
        </w:rPr>
        <w:t xml:space="preserve">3 </w:t>
      </w:r>
      <w:r w:rsidRPr="00392EAD">
        <w:rPr>
          <w:lang w:val="pt-BR"/>
        </w:rPr>
        <w:t>Pós-Doutorado em Desenvolvimento Sustentável e Recursos Minera</w:t>
      </w:r>
      <w:r w:rsidRPr="00392EAD">
        <w:rPr>
          <w:lang w:val="pt-BR"/>
        </w:rPr>
        <w:t xml:space="preserve">is pela Universidade do Porto. Tecnologista Sênior do Centro de Tecnologia Mineral – CETEM. Contato: </w:t>
      </w:r>
      <w:hyperlink r:id="rId40">
        <w:r w:rsidRPr="00392EAD">
          <w:rPr>
            <w:lang w:val="pt-BR"/>
          </w:rPr>
          <w:t>ffernandes@cetem.gov.br</w:t>
        </w:r>
      </w:hyperlink>
    </w:p>
    <w:p w:rsidR="00D81F69" w:rsidRPr="00392EAD" w:rsidRDefault="00D81F69">
      <w:pPr>
        <w:rPr>
          <w:lang w:val="pt-BR"/>
        </w:rPr>
        <w:sectPr w:rsidR="00D81F69" w:rsidRPr="00392EAD">
          <w:pgSz w:w="11910" w:h="16840"/>
          <w:pgMar w:top="660" w:right="740" w:bottom="720" w:left="860" w:header="0" w:footer="412" w:gutter="0"/>
          <w:cols w:space="720"/>
        </w:sectPr>
      </w:pPr>
    </w:p>
    <w:p w:rsidR="00D81F69" w:rsidRPr="00392EAD" w:rsidRDefault="00330118">
      <w:pPr>
        <w:spacing w:before="29"/>
        <w:ind w:left="7607"/>
        <w:rPr>
          <w:rFonts w:ascii="Calibri" w:hAnsi="Calibri"/>
          <w:sz w:val="28"/>
          <w:lang w:val="pt-BR"/>
        </w:rPr>
      </w:pPr>
      <w:r w:rsidRPr="00392EAD">
        <w:rPr>
          <w:rFonts w:ascii="Calibri" w:hAnsi="Calibri"/>
          <w:sz w:val="28"/>
          <w:lang w:val="pt-BR"/>
        </w:rPr>
        <w:lastRenderedPageBreak/>
        <w:t>REGIÃO NORTE</w:t>
      </w:r>
    </w:p>
    <w:p w:rsidR="00D81F69" w:rsidRPr="00392EAD" w:rsidRDefault="00D81F69">
      <w:pPr>
        <w:pStyle w:val="Corpodetexto"/>
        <w:spacing w:before="10"/>
        <w:ind w:left="0"/>
        <w:jc w:val="left"/>
        <w:rPr>
          <w:rFonts w:ascii="Calibri"/>
          <w:sz w:val="29"/>
          <w:lang w:val="pt-BR"/>
        </w:rPr>
      </w:pPr>
    </w:p>
    <w:p w:rsidR="00D81F69" w:rsidRPr="00392EAD" w:rsidRDefault="00330118">
      <w:pPr>
        <w:pStyle w:val="Heading5"/>
        <w:spacing w:line="276" w:lineRule="auto"/>
        <w:ind w:left="841" w:right="957"/>
        <w:rPr>
          <w:lang w:val="pt-BR"/>
        </w:rPr>
      </w:pPr>
      <w:r w:rsidRPr="00392EAD">
        <w:rPr>
          <w:lang w:val="pt-BR"/>
        </w:rPr>
        <w:t>Dos 105 estudos de caso realizados para todo o Brasil, a região chama a atenção por concentrar 40% dos impactos socioeconômicos listados neste livro. Essa estatística indica que tanto a mineração como o garimpo no Norte ainda representam um desafio para co</w:t>
      </w:r>
      <w:r w:rsidRPr="00392EAD">
        <w:rPr>
          <w:lang w:val="pt-BR"/>
        </w:rPr>
        <w:t>nciliar o advento da atividade extrativa mineral com o desenvolvimento humano, perpassando pela melhoria de infraestrutura, qualificação profissional e redução de disparidades econômicas e educacionais dentre seus</w:t>
      </w:r>
      <w:r w:rsidRPr="00392EAD">
        <w:rPr>
          <w:spacing w:val="-17"/>
          <w:lang w:val="pt-BR"/>
        </w:rPr>
        <w:t xml:space="preserve"> </w:t>
      </w:r>
      <w:r w:rsidRPr="00392EAD">
        <w:rPr>
          <w:lang w:val="pt-BR"/>
        </w:rPr>
        <w:t>habitantes.</w:t>
      </w:r>
    </w:p>
    <w:p w:rsidR="00D81F69" w:rsidRPr="00392EAD" w:rsidRDefault="00330118">
      <w:pPr>
        <w:spacing w:before="201" w:line="276" w:lineRule="auto"/>
        <w:ind w:left="841" w:right="959"/>
        <w:jc w:val="both"/>
        <w:rPr>
          <w:lang w:val="pt-BR"/>
        </w:rPr>
      </w:pPr>
      <w:r w:rsidRPr="00392EAD">
        <w:rPr>
          <w:lang w:val="pt-BR"/>
        </w:rPr>
        <w:t>O Norte foi a única região que apresentou ocorrência para todos os subitens tabulados no quesito Impactos Socioeconômicos. São situações que variam desde danos à saúde da população até a presença de trabalho análogo à escravidão, perpassando também por que</w:t>
      </w:r>
      <w:r w:rsidRPr="00392EAD">
        <w:rPr>
          <w:lang w:val="pt-BR"/>
        </w:rPr>
        <w:t>stões fundiárias, aumento da violência e crescimento desordenado da população.</w:t>
      </w:r>
    </w:p>
    <w:p w:rsidR="00D81F69" w:rsidRPr="00392EAD" w:rsidRDefault="00330118">
      <w:pPr>
        <w:spacing w:before="201" w:line="276" w:lineRule="auto"/>
        <w:ind w:left="840" w:right="957"/>
        <w:jc w:val="both"/>
        <w:rPr>
          <w:lang w:val="pt-BR"/>
        </w:rPr>
      </w:pPr>
      <w:r w:rsidRPr="00392EAD">
        <w:rPr>
          <w:lang w:val="pt-BR"/>
        </w:rPr>
        <w:t>No Norte, aproximadamente 20% das pessoas não são naturais da Unidade da Federação em que residem (IBGE, 2013b). É comum municípios que apresentam garimpo ou grandes minas receb</w:t>
      </w:r>
      <w:r w:rsidRPr="00392EAD">
        <w:rPr>
          <w:lang w:val="pt-BR"/>
        </w:rPr>
        <w:t>erem quantidades crescentes de migrantes que deixam o campo ou a cidade natal em busca de melhores oportunidades de trabalho, além da perspectiva de uma vida com acesso a serviços públicos básicos, como  saúde e educação. Parauapebas (PA), provavelmente, é</w:t>
      </w:r>
      <w:r w:rsidRPr="00392EAD">
        <w:rPr>
          <w:lang w:val="pt-BR"/>
        </w:rPr>
        <w:t xml:space="preserve"> o maior exemplo desta situação que, por diversas vezes, esbarra na rigidez do poder público e no arrefecimento da causa popular diante do poder que o capital exerce nestas sociedades (VERDE; FERNANDES,</w:t>
      </w:r>
      <w:r w:rsidRPr="00392EAD">
        <w:rPr>
          <w:spacing w:val="3"/>
          <w:lang w:val="pt-BR"/>
        </w:rPr>
        <w:t xml:space="preserve"> </w:t>
      </w:r>
      <w:r w:rsidRPr="00392EAD">
        <w:rPr>
          <w:lang w:val="pt-BR"/>
        </w:rPr>
        <w:t>2009).</w:t>
      </w:r>
    </w:p>
    <w:p w:rsidR="00D81F69" w:rsidRPr="00392EAD" w:rsidRDefault="00330118">
      <w:pPr>
        <w:spacing w:before="199" w:line="276" w:lineRule="auto"/>
        <w:ind w:left="841" w:right="957" w:hanging="1"/>
        <w:jc w:val="both"/>
        <w:rPr>
          <w:lang w:val="pt-BR"/>
        </w:rPr>
      </w:pPr>
      <w:r w:rsidRPr="00392EAD">
        <w:rPr>
          <w:lang w:val="pt-BR"/>
        </w:rPr>
        <w:t xml:space="preserve">Abrangendo 450 municípios, o Norte apresenta, </w:t>
      </w:r>
      <w:r w:rsidRPr="00392EAD">
        <w:rPr>
          <w:lang w:val="pt-BR"/>
        </w:rPr>
        <w:t>em sua maioria, municípios ligados à atividade extrativa mineral onde a população não supera os 50.000 habitantes (IBGE, 2013a). Estes municípios mineradores geralmente possuem economia pouco diversificada, dependente da indústria extrativa mineral. A maio</w:t>
      </w:r>
      <w:r w:rsidRPr="00392EAD">
        <w:rPr>
          <w:lang w:val="pt-BR"/>
        </w:rPr>
        <w:t>r parte dos empreendimentos que foram listados nos estudos de caso desse capítulo está em funcionamento há mais de duas décadas e são minas, siderurgias e outras indústrias de minerometalurgia.</w:t>
      </w:r>
    </w:p>
    <w:p w:rsidR="00D81F69" w:rsidRPr="00392EAD" w:rsidRDefault="00330118">
      <w:pPr>
        <w:spacing w:before="200" w:line="276" w:lineRule="auto"/>
        <w:ind w:left="841" w:right="958" w:hanging="1"/>
        <w:jc w:val="both"/>
        <w:rPr>
          <w:lang w:val="pt-BR"/>
        </w:rPr>
      </w:pPr>
      <w:r w:rsidRPr="00392EAD">
        <w:rPr>
          <w:lang w:val="pt-BR"/>
        </w:rPr>
        <w:t>Em 2011, a mão de obra empregada na indústria extrativa minera</w:t>
      </w:r>
      <w:r w:rsidRPr="00392EAD">
        <w:rPr>
          <w:lang w:val="pt-BR"/>
        </w:rPr>
        <w:t xml:space="preserve">l (exceto petróleo e gás natural) atingiu a marca de 177.827 trabalhadores no setor para todo o Brasil. </w:t>
      </w:r>
      <w:r>
        <w:t xml:space="preserve">A região Norte teve um papel de destaque no crescimento percentual do estoque de mão de obra na indústria extrativa mineral. </w:t>
      </w:r>
      <w:r w:rsidRPr="00392EAD">
        <w:rPr>
          <w:lang w:val="pt-BR"/>
        </w:rPr>
        <w:t>Tal expansão foi mais signi</w:t>
      </w:r>
      <w:r w:rsidRPr="00392EAD">
        <w:rPr>
          <w:lang w:val="pt-BR"/>
        </w:rPr>
        <w:t>ficativa nos estados do Amapá, Rondônia, Roraima, Pará, Acre e Amazonas (DNPM,</w:t>
      </w:r>
      <w:r w:rsidRPr="00392EAD">
        <w:rPr>
          <w:spacing w:val="-16"/>
          <w:lang w:val="pt-BR"/>
        </w:rPr>
        <w:t xml:space="preserve"> </w:t>
      </w:r>
      <w:r w:rsidRPr="00392EAD">
        <w:rPr>
          <w:lang w:val="pt-BR"/>
        </w:rPr>
        <w:t>2012).</w:t>
      </w:r>
    </w:p>
    <w:p w:rsidR="00D81F69" w:rsidRPr="00392EAD" w:rsidRDefault="00330118">
      <w:pPr>
        <w:spacing w:before="198" w:line="276" w:lineRule="auto"/>
        <w:ind w:left="841" w:right="957"/>
        <w:jc w:val="both"/>
        <w:rPr>
          <w:lang w:val="pt-BR"/>
        </w:rPr>
      </w:pPr>
      <w:r w:rsidRPr="00392EAD">
        <w:rPr>
          <w:lang w:val="pt-BR"/>
        </w:rPr>
        <w:t xml:space="preserve">Em termos absolutos, o Pará ocupa o terceiro lugar no </w:t>
      </w:r>
      <w:r w:rsidRPr="00392EAD">
        <w:rPr>
          <w:i/>
          <w:lang w:val="pt-BR"/>
        </w:rPr>
        <w:t xml:space="preserve">ranking </w:t>
      </w:r>
      <w:r w:rsidRPr="00392EAD">
        <w:rPr>
          <w:lang w:val="pt-BR"/>
        </w:rPr>
        <w:t>dos estados que mais empregam na atividade mineral, são 16.611 trabalhadores, perdendo apenas para Minas Ger</w:t>
      </w:r>
      <w:r w:rsidRPr="00392EAD">
        <w:rPr>
          <w:lang w:val="pt-BR"/>
        </w:rPr>
        <w:t>ais (53.791 trabalhadores) e São Paulo (18.321 trabalhadores) (DNPM, 2012).</w:t>
      </w:r>
    </w:p>
    <w:p w:rsidR="00D81F69" w:rsidRPr="00392EAD" w:rsidRDefault="00330118">
      <w:pPr>
        <w:spacing w:before="200" w:line="276" w:lineRule="auto"/>
        <w:ind w:left="841" w:right="957"/>
        <w:jc w:val="both"/>
        <w:rPr>
          <w:lang w:val="pt-BR"/>
        </w:rPr>
      </w:pPr>
      <w:r w:rsidRPr="00392EAD">
        <w:rPr>
          <w:lang w:val="pt-BR"/>
        </w:rPr>
        <w:t>Nos últimos anos, a produção do minério de ferro cresceu consideravelmente. Em 2011, superou 70% do total de R$ 1,6 bilhão arrecadado através da Compensação Financeira pela Explora</w:t>
      </w:r>
      <w:r w:rsidRPr="00392EAD">
        <w:rPr>
          <w:lang w:val="pt-BR"/>
        </w:rPr>
        <w:t>ção Mineral (CFEM). Desse montante, o Norte contribuiu com mais de 30%, merecendo destaque o Pará (DNPM, 2012).</w:t>
      </w:r>
    </w:p>
    <w:p w:rsidR="00D81F69" w:rsidRPr="00392EAD" w:rsidRDefault="00330118">
      <w:pPr>
        <w:spacing w:before="201" w:line="276" w:lineRule="auto"/>
        <w:ind w:left="841" w:right="956"/>
        <w:jc w:val="both"/>
        <w:rPr>
          <w:lang w:val="pt-BR"/>
        </w:rPr>
      </w:pPr>
      <w:r w:rsidRPr="00392EAD">
        <w:rPr>
          <w:lang w:val="pt-BR"/>
        </w:rPr>
        <w:t>O município de Parauapebas, sozinho, responde por 24% da arrecadação de CFEM no país. Emprega 5% de todos os trabalhadores da indústria extrativ</w:t>
      </w:r>
      <w:r w:rsidRPr="00392EAD">
        <w:rPr>
          <w:lang w:val="pt-BR"/>
        </w:rPr>
        <w:t>a mineral, desconsiderando petróleo e gás natural, o que, em valores absolutos, são</w:t>
      </w:r>
      <w:r w:rsidRPr="00392EAD">
        <w:rPr>
          <w:spacing w:val="33"/>
          <w:lang w:val="pt-BR"/>
        </w:rPr>
        <w:t xml:space="preserve"> </w:t>
      </w:r>
      <w:r w:rsidRPr="00392EAD">
        <w:rPr>
          <w:lang w:val="pt-BR"/>
        </w:rPr>
        <w:t>8.282</w:t>
      </w:r>
    </w:p>
    <w:p w:rsidR="00D81F69" w:rsidRPr="00392EAD" w:rsidRDefault="00D81F69">
      <w:pPr>
        <w:spacing w:line="276" w:lineRule="auto"/>
        <w:jc w:val="both"/>
        <w:rPr>
          <w:lang w:val="pt-BR"/>
        </w:rPr>
        <w:sectPr w:rsidR="00D81F69" w:rsidRPr="00392EAD">
          <w:pgSz w:w="11910" w:h="16840"/>
          <w:pgMar w:top="660" w:right="740" w:bottom="720" w:left="860" w:header="0" w:footer="412" w:gutter="0"/>
          <w:cols w:space="720"/>
        </w:sectPr>
      </w:pPr>
    </w:p>
    <w:p w:rsidR="00D81F69" w:rsidRPr="00392EAD" w:rsidRDefault="00330118">
      <w:pPr>
        <w:spacing w:before="29"/>
        <w:ind w:left="7607"/>
        <w:rPr>
          <w:rFonts w:ascii="Calibri" w:hAnsi="Calibri"/>
          <w:sz w:val="28"/>
          <w:lang w:val="pt-BR"/>
        </w:rPr>
      </w:pPr>
      <w:r w:rsidRPr="00392EAD">
        <w:rPr>
          <w:rFonts w:ascii="Calibri" w:hAnsi="Calibri"/>
          <w:sz w:val="28"/>
          <w:lang w:val="pt-BR"/>
        </w:rPr>
        <w:lastRenderedPageBreak/>
        <w:t>REGIÃO NORTE</w:t>
      </w:r>
    </w:p>
    <w:p w:rsidR="00D81F69" w:rsidRPr="00392EAD" w:rsidRDefault="00D81F69">
      <w:pPr>
        <w:pStyle w:val="Corpodetexto"/>
        <w:spacing w:before="10"/>
        <w:ind w:left="0"/>
        <w:jc w:val="left"/>
        <w:rPr>
          <w:rFonts w:ascii="Calibri"/>
          <w:sz w:val="29"/>
          <w:lang w:val="pt-BR"/>
        </w:rPr>
      </w:pPr>
    </w:p>
    <w:p w:rsidR="00D81F69" w:rsidRPr="00392EAD" w:rsidRDefault="00330118">
      <w:pPr>
        <w:spacing w:line="278" w:lineRule="auto"/>
        <w:ind w:left="841" w:right="957"/>
        <w:jc w:val="both"/>
        <w:rPr>
          <w:lang w:val="pt-BR"/>
        </w:rPr>
      </w:pPr>
      <w:r w:rsidRPr="00392EAD">
        <w:rPr>
          <w:lang w:val="pt-BR"/>
        </w:rPr>
        <w:t>pessoas. Trata-se de uma potência no setor do minério de ferro e de seus outros minérios associados, como o manganês e o cobre.</w:t>
      </w:r>
    </w:p>
    <w:p w:rsidR="00D81F69" w:rsidRPr="00392EAD" w:rsidRDefault="00330118">
      <w:pPr>
        <w:spacing w:before="196" w:line="276" w:lineRule="auto"/>
        <w:ind w:left="841" w:right="957"/>
        <w:jc w:val="both"/>
        <w:rPr>
          <w:lang w:val="pt-BR"/>
        </w:rPr>
      </w:pPr>
      <w:r w:rsidRPr="00392EAD">
        <w:rPr>
          <w:lang w:val="pt-BR"/>
        </w:rPr>
        <w:t>No que tange à questão ambiental, a poluição dos recursos hídricos lidera os impactos ambientais negativos verificados no presente capítulo. Trata-se de um ponto que merece destaque, sobretudo, por ser uma região cuja maior parcela de sua superfície está i</w:t>
      </w:r>
      <w:r w:rsidRPr="00392EAD">
        <w:rPr>
          <w:lang w:val="pt-BR"/>
        </w:rPr>
        <w:t>nserida na bacia hidrográfica do rio Amazonas (maior rio do mundo tanto em volume d’água quanto em extensão). Outro impacto negativo muito referido é o desmatamento, agravante da degradação ambiental e que repercute em prejuízos não apenas aos ecossistemas</w:t>
      </w:r>
      <w:r w:rsidRPr="00392EAD">
        <w:rPr>
          <w:lang w:val="pt-BR"/>
        </w:rPr>
        <w:t xml:space="preserve"> locais, mas também à vida humana.</w:t>
      </w:r>
    </w:p>
    <w:p w:rsidR="00D81F69" w:rsidRPr="00392EAD" w:rsidRDefault="00330118">
      <w:pPr>
        <w:spacing w:before="200" w:line="276" w:lineRule="auto"/>
        <w:ind w:left="841" w:right="957" w:hanging="1"/>
        <w:jc w:val="both"/>
        <w:rPr>
          <w:lang w:val="pt-BR"/>
        </w:rPr>
      </w:pPr>
      <w:r w:rsidRPr="00392EAD">
        <w:rPr>
          <w:lang w:val="pt-BR"/>
        </w:rPr>
        <w:t>Apesar da importância da riqueza mineral, no Norte (em especial, as substâncias caulim, estanho, ferro, manganês, grafita, alumínio, cobre, níquel e ouro), um número pequeno de empresas mineradoras responde pela produção.</w:t>
      </w:r>
      <w:r w:rsidRPr="00392EAD">
        <w:rPr>
          <w:lang w:val="pt-BR"/>
        </w:rPr>
        <w:t xml:space="preserve"> É a região que concentra a menor quantidade de mineradoras em todo o país, com 515 empresas (IBRAM, 2012).</w:t>
      </w:r>
    </w:p>
    <w:p w:rsidR="00D81F69" w:rsidRPr="00392EAD" w:rsidRDefault="00330118">
      <w:pPr>
        <w:spacing w:before="198" w:line="276" w:lineRule="auto"/>
        <w:ind w:left="841" w:right="957"/>
        <w:jc w:val="both"/>
        <w:rPr>
          <w:lang w:val="pt-BR"/>
        </w:rPr>
      </w:pPr>
      <w:r w:rsidRPr="00392EAD">
        <w:rPr>
          <w:lang w:val="pt-BR"/>
        </w:rPr>
        <w:t>No que tange aos principais investimentos do setor mineral brasileiro, para o período 2012-2016, a situação do Norte não passa despercebida. Prevê-s</w:t>
      </w:r>
      <w:r w:rsidRPr="00392EAD">
        <w:rPr>
          <w:lang w:val="pt-BR"/>
        </w:rPr>
        <w:t>e que a região receberá a segunda maior parcela de recursos dentre as cinco grandes regiões do país, somando um valor próximo de US$ 20,9 milhões. Somente o estado do Pará receberá 24% de todo o investimento previsto, ficando atrás apenas de Minas Gerais (</w:t>
      </w:r>
      <w:r w:rsidRPr="00392EAD">
        <w:rPr>
          <w:lang w:val="pt-BR"/>
        </w:rPr>
        <w:t>IBRAM, 2012).</w:t>
      </w:r>
    </w:p>
    <w:p w:rsidR="00D81F69" w:rsidRPr="00392EAD" w:rsidRDefault="00330118">
      <w:pPr>
        <w:spacing w:before="199"/>
        <w:ind w:left="841"/>
        <w:jc w:val="both"/>
        <w:rPr>
          <w:b/>
          <w:lang w:val="pt-BR"/>
        </w:rPr>
      </w:pPr>
      <w:r w:rsidRPr="00392EAD">
        <w:rPr>
          <w:b/>
          <w:lang w:val="pt-BR"/>
        </w:rPr>
        <w:t>Mineração paraense: um desempenho de destaque</w:t>
      </w:r>
    </w:p>
    <w:p w:rsidR="00D81F69" w:rsidRPr="00392EAD" w:rsidRDefault="00D81F69">
      <w:pPr>
        <w:pStyle w:val="Corpodetexto"/>
        <w:spacing w:before="11"/>
        <w:ind w:left="0"/>
        <w:jc w:val="left"/>
        <w:rPr>
          <w:b/>
          <w:sz w:val="20"/>
          <w:lang w:val="pt-BR"/>
        </w:rPr>
      </w:pPr>
    </w:p>
    <w:p w:rsidR="00D81F69" w:rsidRPr="00392EAD" w:rsidRDefault="00330118">
      <w:pPr>
        <w:spacing w:line="276" w:lineRule="auto"/>
        <w:ind w:left="841" w:right="956"/>
        <w:jc w:val="both"/>
        <w:rPr>
          <w:lang w:val="pt-BR"/>
        </w:rPr>
      </w:pPr>
      <w:r w:rsidRPr="00392EAD">
        <w:rPr>
          <w:lang w:val="pt-BR"/>
        </w:rPr>
        <w:t>O estado do Pará merece atenção especial quanto aos estudos a respeito da mineração no Norte do país. Conta com uma economia baseada principalmente no extrativismo mineral (destaque para o ferro,</w:t>
      </w:r>
      <w:r w:rsidRPr="00392EAD">
        <w:rPr>
          <w:lang w:val="pt-BR"/>
        </w:rPr>
        <w:t xml:space="preserve"> bauxita, manganês, calcário, ouro e estanho), seguido pelo extrativismo vegetal, agricultura e pecuária (PARÁ, 2013).</w:t>
      </w:r>
    </w:p>
    <w:p w:rsidR="00D81F69" w:rsidRPr="00392EAD" w:rsidRDefault="00330118">
      <w:pPr>
        <w:spacing w:before="199" w:line="276" w:lineRule="auto"/>
        <w:ind w:left="841" w:right="956"/>
        <w:jc w:val="both"/>
        <w:rPr>
          <w:lang w:val="pt-BR"/>
        </w:rPr>
      </w:pPr>
      <w:r w:rsidRPr="00392EAD">
        <w:rPr>
          <w:lang w:val="pt-BR"/>
        </w:rPr>
        <w:t>A mineração está concentrada a sudeste do território paraense. Parauapebas e Canaã dos Carajás são as principais cidades produtoras. Mara</w:t>
      </w:r>
      <w:r w:rsidRPr="00392EAD">
        <w:rPr>
          <w:lang w:val="pt-BR"/>
        </w:rPr>
        <w:t>bá e Barcarena são as cidades que sobressaem por conta de seus distritos industriais de beneficiamento mineral (PARÁ, 2013). A maioria desses empreendimentos opera há mais de 20 anos (Gráfico 1), sendo importante mencionar também que, em alguns casos, o ga</w:t>
      </w:r>
      <w:r w:rsidRPr="00392EAD">
        <w:rPr>
          <w:lang w:val="pt-BR"/>
        </w:rPr>
        <w:t>rimpo e outras formas de extração ilegal coexistem com a atividade formal (Gráfico 2).</w:t>
      </w:r>
    </w:p>
    <w:p w:rsidR="00D81F69" w:rsidRPr="00392EAD" w:rsidRDefault="00330118">
      <w:pPr>
        <w:spacing w:before="202" w:line="276" w:lineRule="auto"/>
        <w:ind w:left="841" w:right="956"/>
        <w:jc w:val="both"/>
        <w:rPr>
          <w:lang w:val="pt-BR"/>
        </w:rPr>
      </w:pPr>
      <w:r w:rsidRPr="00392EAD">
        <w:rPr>
          <w:lang w:val="pt-BR"/>
        </w:rPr>
        <w:t xml:space="preserve">Não por acaso, os municípios de Parauapebas e Canaã dos Carajás apresentaram, em 2012, o maior Produto Interno Bruto (PIB) </w:t>
      </w:r>
      <w:r w:rsidRPr="00392EAD">
        <w:rPr>
          <w:i/>
          <w:lang w:val="pt-BR"/>
        </w:rPr>
        <w:t xml:space="preserve">per capita </w:t>
      </w:r>
      <w:r w:rsidRPr="00392EAD">
        <w:rPr>
          <w:lang w:val="pt-BR"/>
        </w:rPr>
        <w:t>do Pará, ao lado da capital Belém (</w:t>
      </w:r>
      <w:r w:rsidRPr="00392EAD">
        <w:rPr>
          <w:lang w:val="pt-BR"/>
        </w:rPr>
        <w:t>Figura 1). Mais de R$ 600 milhões de Compensação Financeira pela Exploração de Recursos Minerais (CFEM) foram pagos até outubro de 2013 para estes dois municípios, fazendo deles os líderes em arrecadação no estado (IBGE, 2012; DNPM,</w:t>
      </w:r>
      <w:r w:rsidRPr="00392EAD">
        <w:rPr>
          <w:spacing w:val="2"/>
          <w:lang w:val="pt-BR"/>
        </w:rPr>
        <w:t xml:space="preserve"> </w:t>
      </w:r>
      <w:r w:rsidRPr="00392EAD">
        <w:rPr>
          <w:lang w:val="pt-BR"/>
        </w:rPr>
        <w:t>2013).</w:t>
      </w:r>
    </w:p>
    <w:p w:rsidR="00D81F69" w:rsidRPr="00392EAD" w:rsidRDefault="00D81F69">
      <w:pPr>
        <w:spacing w:line="276" w:lineRule="auto"/>
        <w:jc w:val="both"/>
        <w:rPr>
          <w:lang w:val="pt-BR"/>
        </w:rPr>
        <w:sectPr w:rsidR="00D81F69" w:rsidRPr="00392EAD">
          <w:pgSz w:w="11910" w:h="16840"/>
          <w:pgMar w:top="660" w:right="740" w:bottom="720" w:left="860" w:header="0" w:footer="412" w:gutter="0"/>
          <w:cols w:space="720"/>
        </w:sectPr>
      </w:pPr>
    </w:p>
    <w:p w:rsidR="00D81F69" w:rsidRPr="00392EAD" w:rsidRDefault="00330118">
      <w:pPr>
        <w:spacing w:before="29"/>
        <w:ind w:right="956"/>
        <w:jc w:val="right"/>
        <w:rPr>
          <w:rFonts w:ascii="Calibri" w:hAnsi="Calibri"/>
          <w:sz w:val="28"/>
          <w:lang w:val="pt-BR"/>
        </w:rPr>
      </w:pPr>
      <w:r w:rsidRPr="00392EAD">
        <w:rPr>
          <w:rFonts w:ascii="Calibri" w:hAnsi="Calibri"/>
          <w:sz w:val="28"/>
          <w:lang w:val="pt-BR"/>
        </w:rPr>
        <w:lastRenderedPageBreak/>
        <w:t>REGIÃO NORTE</w:t>
      </w:r>
    </w:p>
    <w:p w:rsidR="00D81F69" w:rsidRPr="00392EAD" w:rsidRDefault="00330118">
      <w:pPr>
        <w:pStyle w:val="Corpodetexto"/>
        <w:spacing w:before="8"/>
        <w:ind w:left="0"/>
        <w:jc w:val="left"/>
        <w:rPr>
          <w:rFonts w:ascii="Calibri"/>
          <w:sz w:val="28"/>
          <w:lang w:val="pt-BR"/>
        </w:rPr>
      </w:pPr>
      <w:r>
        <w:rPr>
          <w:noProof/>
          <w:lang w:val="pt-BR" w:eastAsia="pt-BR"/>
        </w:rPr>
        <w:drawing>
          <wp:anchor distT="0" distB="0" distL="0" distR="0" simplePos="0" relativeHeight="5632" behindDoc="0" locked="0" layoutInCell="1" allowOverlap="1">
            <wp:simplePos x="0" y="0"/>
            <wp:positionH relativeFrom="page">
              <wp:posOffset>1136573</wp:posOffset>
            </wp:positionH>
            <wp:positionV relativeFrom="paragraph">
              <wp:posOffset>247462</wp:posOffset>
            </wp:positionV>
            <wp:extent cx="5295964" cy="1302734"/>
            <wp:effectExtent l="0" t="0" r="0" b="0"/>
            <wp:wrapTopAndBottom/>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41" cstate="print"/>
                    <a:stretch>
                      <a:fillRect/>
                    </a:stretch>
                  </pic:blipFill>
                  <pic:spPr>
                    <a:xfrm>
                      <a:off x="0" y="0"/>
                      <a:ext cx="5295964" cy="1302734"/>
                    </a:xfrm>
                    <a:prstGeom prst="rect">
                      <a:avLst/>
                    </a:prstGeom>
                  </pic:spPr>
                </pic:pic>
              </a:graphicData>
            </a:graphic>
          </wp:anchor>
        </w:drawing>
      </w:r>
    </w:p>
    <w:p w:rsidR="00D81F69" w:rsidRPr="00392EAD" w:rsidRDefault="00330118">
      <w:pPr>
        <w:pStyle w:val="Corpodetexto"/>
        <w:spacing w:before="24"/>
        <w:ind w:left="841"/>
        <w:jc w:val="left"/>
        <w:rPr>
          <w:lang w:val="pt-BR"/>
        </w:rPr>
      </w:pPr>
      <w:r w:rsidRPr="00392EAD">
        <w:rPr>
          <w:lang w:val="pt-BR"/>
        </w:rPr>
        <w:t>Gráfico 1. Tempo de funcionamento dos empreendimentos no estado do Pará.</w:t>
      </w:r>
    </w:p>
    <w:p w:rsidR="00D81F69" w:rsidRPr="00392EAD" w:rsidRDefault="00D81F69">
      <w:pPr>
        <w:pStyle w:val="Corpodetexto"/>
        <w:ind w:left="0"/>
        <w:jc w:val="left"/>
        <w:rPr>
          <w:sz w:val="20"/>
          <w:lang w:val="pt-BR"/>
        </w:rPr>
      </w:pPr>
    </w:p>
    <w:p w:rsidR="00D81F69" w:rsidRPr="00392EAD" w:rsidRDefault="00D81F69">
      <w:pPr>
        <w:pStyle w:val="Corpodetexto"/>
        <w:ind w:left="0"/>
        <w:jc w:val="left"/>
        <w:rPr>
          <w:sz w:val="20"/>
          <w:lang w:val="pt-BR"/>
        </w:rPr>
      </w:pPr>
    </w:p>
    <w:p w:rsidR="00D81F69" w:rsidRPr="00392EAD" w:rsidRDefault="00330118">
      <w:pPr>
        <w:pStyle w:val="Corpodetexto"/>
        <w:spacing w:before="2"/>
        <w:ind w:left="0"/>
        <w:jc w:val="left"/>
        <w:rPr>
          <w:sz w:val="20"/>
          <w:lang w:val="pt-BR"/>
        </w:rPr>
      </w:pPr>
      <w:r>
        <w:rPr>
          <w:noProof/>
          <w:lang w:val="pt-BR" w:eastAsia="pt-BR"/>
        </w:rPr>
        <w:drawing>
          <wp:anchor distT="0" distB="0" distL="0" distR="0" simplePos="0" relativeHeight="5656" behindDoc="0" locked="0" layoutInCell="1" allowOverlap="1">
            <wp:simplePos x="0" y="0"/>
            <wp:positionH relativeFrom="page">
              <wp:posOffset>1114957</wp:posOffset>
            </wp:positionH>
            <wp:positionV relativeFrom="paragraph">
              <wp:posOffset>172449</wp:posOffset>
            </wp:positionV>
            <wp:extent cx="5339986" cy="1400175"/>
            <wp:effectExtent l="0" t="0" r="0" b="0"/>
            <wp:wrapTopAndBottom/>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42" cstate="print"/>
                    <a:stretch>
                      <a:fillRect/>
                    </a:stretch>
                  </pic:blipFill>
                  <pic:spPr>
                    <a:xfrm>
                      <a:off x="0" y="0"/>
                      <a:ext cx="5339986" cy="1400175"/>
                    </a:xfrm>
                    <a:prstGeom prst="rect">
                      <a:avLst/>
                    </a:prstGeom>
                  </pic:spPr>
                </pic:pic>
              </a:graphicData>
            </a:graphic>
          </wp:anchor>
        </w:drawing>
      </w:r>
    </w:p>
    <w:p w:rsidR="00D81F69" w:rsidRPr="00392EAD" w:rsidRDefault="00330118">
      <w:pPr>
        <w:pStyle w:val="Corpodetexto"/>
        <w:spacing w:before="24"/>
        <w:ind w:left="841" w:right="1025"/>
        <w:jc w:val="left"/>
        <w:rPr>
          <w:lang w:val="pt-BR"/>
        </w:rPr>
      </w:pPr>
      <w:r w:rsidRPr="00392EAD">
        <w:rPr>
          <w:lang w:val="pt-BR"/>
        </w:rPr>
        <w:t>Gráfico 2. Classificações das diferentes atividades produtivas no âmbito dos estudos de caso sobre os recursos minerais no estado do Pará.</w:t>
      </w:r>
    </w:p>
    <w:p w:rsidR="00D81F69" w:rsidRPr="00392EAD" w:rsidRDefault="00D81F69">
      <w:pPr>
        <w:pStyle w:val="Corpodetexto"/>
        <w:ind w:left="0"/>
        <w:jc w:val="left"/>
        <w:rPr>
          <w:sz w:val="20"/>
          <w:lang w:val="pt-BR"/>
        </w:rPr>
      </w:pPr>
    </w:p>
    <w:p w:rsidR="00D81F69" w:rsidRPr="00392EAD" w:rsidRDefault="00D81F69">
      <w:pPr>
        <w:pStyle w:val="Corpodetexto"/>
        <w:spacing w:before="8"/>
        <w:ind w:left="0"/>
        <w:jc w:val="left"/>
        <w:rPr>
          <w:sz w:val="20"/>
          <w:lang w:val="pt-BR"/>
        </w:rPr>
      </w:pPr>
      <w:r w:rsidRPr="00D81F69">
        <w:pict>
          <v:group id="_x0000_s1035" style="position:absolute;margin-left:85.8pt;margin-top:13.9pt;width:425.45pt;height:319.5pt;z-index:5680;mso-wrap-distance-left:0;mso-wrap-distance-right:0;mso-position-horizontal-relative:page" coordorigin="1716,278" coordsize="8509,6390">
            <v:shape id="_x0000_s1037" type="#_x0000_t75" style="position:absolute;left:1735;top:297;width:8479;height:6360">
              <v:imagedata r:id="rId43" o:title=""/>
            </v:shape>
            <v:rect id="_x0000_s1036" style="position:absolute;left:1723;top:285;width:8494;height:6375" filled="f"/>
            <w10:wrap type="topAndBottom" anchorx="page"/>
          </v:group>
        </w:pict>
      </w:r>
    </w:p>
    <w:p w:rsidR="00D81F69" w:rsidRPr="00392EAD" w:rsidRDefault="00330118">
      <w:pPr>
        <w:pStyle w:val="Corpodetexto"/>
        <w:ind w:left="841"/>
        <w:jc w:val="left"/>
        <w:rPr>
          <w:lang w:val="pt-BR"/>
        </w:rPr>
      </w:pPr>
      <w:r w:rsidRPr="00392EAD">
        <w:rPr>
          <w:lang w:val="pt-BR"/>
        </w:rPr>
        <w:t>Figura 1. Distribuição de PIB per capita por municípios no Pará (Adaptado de IBGE, 2012).</w:t>
      </w:r>
    </w:p>
    <w:p w:rsidR="00D81F69" w:rsidRPr="00392EAD" w:rsidRDefault="00D81F69">
      <w:pPr>
        <w:pStyle w:val="Corpodetexto"/>
        <w:spacing w:before="1"/>
        <w:ind w:left="0"/>
        <w:jc w:val="left"/>
        <w:rPr>
          <w:sz w:val="17"/>
          <w:lang w:val="pt-BR"/>
        </w:rPr>
      </w:pPr>
    </w:p>
    <w:p w:rsidR="00D81F69" w:rsidRPr="00392EAD" w:rsidRDefault="00330118">
      <w:pPr>
        <w:pStyle w:val="Heading5"/>
        <w:spacing w:line="276" w:lineRule="auto"/>
        <w:ind w:left="841" w:right="958"/>
        <w:rPr>
          <w:lang w:val="pt-BR"/>
        </w:rPr>
      </w:pPr>
      <w:r w:rsidRPr="00392EAD">
        <w:rPr>
          <w:lang w:val="pt-BR"/>
        </w:rPr>
        <w:t>Ainda que a pujança da extração mineral e da indústria de beneficiamento seja notória nos indicadores econômicos, é preciso considerar que em alguns aspectos os núme</w:t>
      </w:r>
      <w:r w:rsidRPr="00392EAD">
        <w:rPr>
          <w:lang w:val="pt-BR"/>
        </w:rPr>
        <w:t>ros</w:t>
      </w:r>
      <w:r w:rsidRPr="00392EAD">
        <w:rPr>
          <w:spacing w:val="25"/>
          <w:lang w:val="pt-BR"/>
        </w:rPr>
        <w:t xml:space="preserve"> </w:t>
      </w:r>
      <w:r w:rsidRPr="00392EAD">
        <w:rPr>
          <w:lang w:val="pt-BR"/>
        </w:rPr>
        <w:t>evoluem</w:t>
      </w:r>
      <w:r w:rsidRPr="00392EAD">
        <w:rPr>
          <w:spacing w:val="25"/>
          <w:lang w:val="pt-BR"/>
        </w:rPr>
        <w:t xml:space="preserve"> </w:t>
      </w:r>
      <w:r w:rsidRPr="00392EAD">
        <w:rPr>
          <w:lang w:val="pt-BR"/>
        </w:rPr>
        <w:t>com</w:t>
      </w:r>
      <w:r w:rsidRPr="00392EAD">
        <w:rPr>
          <w:spacing w:val="23"/>
          <w:lang w:val="pt-BR"/>
        </w:rPr>
        <w:t xml:space="preserve"> </w:t>
      </w:r>
      <w:r w:rsidRPr="00392EAD">
        <w:rPr>
          <w:lang w:val="pt-BR"/>
        </w:rPr>
        <w:t>uma</w:t>
      </w:r>
      <w:r w:rsidRPr="00392EAD">
        <w:rPr>
          <w:spacing w:val="25"/>
          <w:lang w:val="pt-BR"/>
        </w:rPr>
        <w:t xml:space="preserve"> </w:t>
      </w:r>
      <w:r w:rsidRPr="00392EAD">
        <w:rPr>
          <w:lang w:val="pt-BR"/>
        </w:rPr>
        <w:t>aceleração</w:t>
      </w:r>
      <w:r w:rsidRPr="00392EAD">
        <w:rPr>
          <w:spacing w:val="22"/>
          <w:lang w:val="pt-BR"/>
        </w:rPr>
        <w:t xml:space="preserve"> </w:t>
      </w:r>
      <w:r w:rsidRPr="00392EAD">
        <w:rPr>
          <w:lang w:val="pt-BR"/>
        </w:rPr>
        <w:t>menor.</w:t>
      </w:r>
      <w:r w:rsidRPr="00392EAD">
        <w:rPr>
          <w:spacing w:val="23"/>
          <w:lang w:val="pt-BR"/>
        </w:rPr>
        <w:t xml:space="preserve"> </w:t>
      </w:r>
      <w:r w:rsidRPr="00392EAD">
        <w:rPr>
          <w:lang w:val="pt-BR"/>
        </w:rPr>
        <w:t>O</w:t>
      </w:r>
      <w:r w:rsidRPr="00392EAD">
        <w:rPr>
          <w:spacing w:val="26"/>
          <w:lang w:val="pt-BR"/>
        </w:rPr>
        <w:t xml:space="preserve"> </w:t>
      </w:r>
      <w:r w:rsidRPr="00392EAD">
        <w:rPr>
          <w:lang w:val="pt-BR"/>
        </w:rPr>
        <w:t>censo</w:t>
      </w:r>
      <w:r w:rsidRPr="00392EAD">
        <w:rPr>
          <w:spacing w:val="25"/>
          <w:lang w:val="pt-BR"/>
        </w:rPr>
        <w:t xml:space="preserve"> </w:t>
      </w:r>
      <w:r w:rsidRPr="00392EAD">
        <w:rPr>
          <w:lang w:val="pt-BR"/>
        </w:rPr>
        <w:t>demográfico</w:t>
      </w:r>
      <w:r w:rsidRPr="00392EAD">
        <w:rPr>
          <w:spacing w:val="25"/>
          <w:lang w:val="pt-BR"/>
        </w:rPr>
        <w:t xml:space="preserve"> </w:t>
      </w:r>
      <w:r w:rsidRPr="00392EAD">
        <w:rPr>
          <w:lang w:val="pt-BR"/>
        </w:rPr>
        <w:t>de</w:t>
      </w:r>
      <w:r w:rsidRPr="00392EAD">
        <w:rPr>
          <w:spacing w:val="25"/>
          <w:lang w:val="pt-BR"/>
        </w:rPr>
        <w:t xml:space="preserve"> </w:t>
      </w:r>
      <w:r w:rsidRPr="00392EAD">
        <w:rPr>
          <w:lang w:val="pt-BR"/>
        </w:rPr>
        <w:t>2010</w:t>
      </w:r>
    </w:p>
    <w:p w:rsidR="00D81F69" w:rsidRPr="00392EAD" w:rsidRDefault="00D81F69">
      <w:pPr>
        <w:spacing w:line="276" w:lineRule="auto"/>
        <w:rPr>
          <w:lang w:val="pt-BR"/>
        </w:rPr>
        <w:sectPr w:rsidR="00D81F69" w:rsidRPr="00392EAD">
          <w:pgSz w:w="11910" w:h="16840"/>
          <w:pgMar w:top="660" w:right="740" w:bottom="720" w:left="860" w:header="0" w:footer="412" w:gutter="0"/>
          <w:cols w:space="720"/>
        </w:sectPr>
      </w:pPr>
    </w:p>
    <w:p w:rsidR="00D81F69" w:rsidRPr="00392EAD" w:rsidRDefault="00330118">
      <w:pPr>
        <w:spacing w:before="29"/>
        <w:ind w:left="7607"/>
        <w:rPr>
          <w:rFonts w:ascii="Calibri" w:hAnsi="Calibri"/>
          <w:sz w:val="28"/>
          <w:lang w:val="pt-BR"/>
        </w:rPr>
      </w:pPr>
      <w:r w:rsidRPr="00392EAD">
        <w:rPr>
          <w:rFonts w:ascii="Calibri" w:hAnsi="Calibri"/>
          <w:sz w:val="28"/>
          <w:lang w:val="pt-BR"/>
        </w:rPr>
        <w:lastRenderedPageBreak/>
        <w:t>REGIÃO NORTE</w:t>
      </w:r>
    </w:p>
    <w:p w:rsidR="00D81F69" w:rsidRPr="00392EAD" w:rsidRDefault="00D81F69">
      <w:pPr>
        <w:pStyle w:val="Corpodetexto"/>
        <w:spacing w:before="10"/>
        <w:ind w:left="0"/>
        <w:jc w:val="left"/>
        <w:rPr>
          <w:rFonts w:ascii="Calibri"/>
          <w:sz w:val="29"/>
          <w:lang w:val="pt-BR"/>
        </w:rPr>
      </w:pPr>
    </w:p>
    <w:p w:rsidR="00D81F69" w:rsidRPr="00392EAD" w:rsidRDefault="00330118">
      <w:pPr>
        <w:spacing w:line="276" w:lineRule="auto"/>
        <w:ind w:left="841" w:right="959"/>
        <w:jc w:val="both"/>
        <w:rPr>
          <w:lang w:val="pt-BR"/>
        </w:rPr>
      </w:pPr>
      <w:r w:rsidRPr="00392EAD">
        <w:rPr>
          <w:lang w:val="pt-BR"/>
        </w:rPr>
        <w:t xml:space="preserve">registrou, por exemplo, que os 20% mais ricos da população de Parauapebas concentram cerca de 60% da renda em detrimento dos 20% mais pobres que detêm apenas 3,5% da renda no município. Ao todo 15% dos parauapebenses vivem ou na linha da pobreza ou abaixo </w:t>
      </w:r>
      <w:r w:rsidRPr="00392EAD">
        <w:rPr>
          <w:lang w:val="pt-BR"/>
        </w:rPr>
        <w:t>da linha da indigência (PNUD, 2013a).</w:t>
      </w:r>
    </w:p>
    <w:p w:rsidR="00D81F69" w:rsidRPr="00392EAD" w:rsidRDefault="00330118">
      <w:pPr>
        <w:spacing w:before="202" w:line="276" w:lineRule="auto"/>
        <w:ind w:left="841" w:right="957"/>
        <w:jc w:val="both"/>
        <w:rPr>
          <w:lang w:val="pt-BR"/>
        </w:rPr>
      </w:pPr>
      <w:r w:rsidRPr="00392EAD">
        <w:rPr>
          <w:lang w:val="pt-BR"/>
        </w:rPr>
        <w:t>Em Parauapebas situa-se a maior província mineral do mundo, sendo a exploração desses recursos sua principal fonte de riqueza (PARAUAPEBAS, 2013). Entretanto, o poder público ainda debruça sobre algumas barreiras ao se</w:t>
      </w:r>
      <w:r w:rsidRPr="00392EAD">
        <w:rPr>
          <w:lang w:val="pt-BR"/>
        </w:rPr>
        <w:t>u desenvolvimento socioeconômico. Do total de seus habitantes, 36% não possuem acesso à água potável e 54% não têm esgotamento sanitário adequado (PNUD, 2013a).</w:t>
      </w:r>
    </w:p>
    <w:p w:rsidR="00D81F69" w:rsidRPr="00392EAD" w:rsidRDefault="00330118">
      <w:pPr>
        <w:spacing w:before="199" w:line="276" w:lineRule="auto"/>
        <w:ind w:left="841" w:right="956"/>
        <w:jc w:val="both"/>
        <w:rPr>
          <w:lang w:val="pt-BR"/>
        </w:rPr>
      </w:pPr>
      <w:r w:rsidRPr="00392EAD">
        <w:rPr>
          <w:lang w:val="pt-BR"/>
        </w:rPr>
        <w:t>O Índice de Desenvolvimento Humano – IDH do Pará em comparação às demais Unidades Federativas r</w:t>
      </w:r>
      <w:r w:rsidRPr="00392EAD">
        <w:rPr>
          <w:lang w:val="pt-BR"/>
        </w:rPr>
        <w:t xml:space="preserve">evela que a atividade mineral influencia acanhadamente os avanços sociais providos pelo Estado. Seu IDH (0,646) é o antepenúltimo colocado no </w:t>
      </w:r>
      <w:r w:rsidRPr="00392EAD">
        <w:rPr>
          <w:i/>
          <w:lang w:val="pt-BR"/>
        </w:rPr>
        <w:t xml:space="preserve">ranking </w:t>
      </w:r>
      <w:r w:rsidRPr="00392EAD">
        <w:rPr>
          <w:lang w:val="pt-BR"/>
        </w:rPr>
        <w:t>nacional. Em contrapartida, Minas Gerais, que também é um estado minerador, é o 9º colocado do IDH. Em 201</w:t>
      </w:r>
      <w:r w:rsidRPr="00392EAD">
        <w:rPr>
          <w:lang w:val="pt-BR"/>
        </w:rPr>
        <w:t>1 arrecadou mais CFEM do que o Pará, com 51% do montante nacional (PNUD,</w:t>
      </w:r>
      <w:r w:rsidRPr="00392EAD">
        <w:rPr>
          <w:spacing w:val="-1"/>
          <w:lang w:val="pt-BR"/>
        </w:rPr>
        <w:t xml:space="preserve"> </w:t>
      </w:r>
      <w:r w:rsidRPr="00392EAD">
        <w:rPr>
          <w:lang w:val="pt-BR"/>
        </w:rPr>
        <w:t>2013b).</w:t>
      </w:r>
    </w:p>
    <w:p w:rsidR="00D81F69" w:rsidRPr="00392EAD" w:rsidRDefault="00330118">
      <w:pPr>
        <w:spacing w:before="200" w:line="276" w:lineRule="auto"/>
        <w:ind w:left="841" w:right="959"/>
        <w:jc w:val="both"/>
        <w:rPr>
          <w:lang w:val="pt-BR"/>
        </w:rPr>
      </w:pPr>
      <w:r w:rsidRPr="00392EAD">
        <w:rPr>
          <w:lang w:val="pt-BR"/>
        </w:rPr>
        <w:t>As populações impactadas nos empreendimentos paraenses estudados neste capítulo são em maioria residentes nos centros urbanos, nas sedes dos municípios mineradores. Na sequênc</w:t>
      </w:r>
      <w:r w:rsidRPr="00392EAD">
        <w:rPr>
          <w:lang w:val="pt-BR"/>
        </w:rPr>
        <w:t>ia aparecem os quilombolas, pescadores, ribeirinhos e povos indígenas (Gráfico 3).</w:t>
      </w:r>
    </w:p>
    <w:p w:rsidR="00D81F69" w:rsidRPr="00392EAD" w:rsidRDefault="00330118">
      <w:pPr>
        <w:pStyle w:val="Corpodetexto"/>
        <w:spacing w:before="1"/>
        <w:ind w:left="0"/>
        <w:jc w:val="left"/>
        <w:rPr>
          <w:sz w:val="16"/>
          <w:lang w:val="pt-BR"/>
        </w:rPr>
      </w:pPr>
      <w:r>
        <w:rPr>
          <w:noProof/>
          <w:lang w:val="pt-BR" w:eastAsia="pt-BR"/>
        </w:rPr>
        <w:drawing>
          <wp:anchor distT="0" distB="0" distL="0" distR="0" simplePos="0" relativeHeight="5704" behindDoc="0" locked="0" layoutInCell="1" allowOverlap="1">
            <wp:simplePos x="0" y="0"/>
            <wp:positionH relativeFrom="page">
              <wp:posOffset>1145945</wp:posOffset>
            </wp:positionH>
            <wp:positionV relativeFrom="paragraph">
              <wp:posOffset>142552</wp:posOffset>
            </wp:positionV>
            <wp:extent cx="5284338" cy="1746504"/>
            <wp:effectExtent l="0" t="0" r="0" b="0"/>
            <wp:wrapTopAndBottom/>
            <wp:docPr id="2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3.png"/>
                    <pic:cNvPicPr/>
                  </pic:nvPicPr>
                  <pic:blipFill>
                    <a:blip r:embed="rId44" cstate="print"/>
                    <a:stretch>
                      <a:fillRect/>
                    </a:stretch>
                  </pic:blipFill>
                  <pic:spPr>
                    <a:xfrm>
                      <a:off x="0" y="0"/>
                      <a:ext cx="5284338" cy="1746504"/>
                    </a:xfrm>
                    <a:prstGeom prst="rect">
                      <a:avLst/>
                    </a:prstGeom>
                  </pic:spPr>
                </pic:pic>
              </a:graphicData>
            </a:graphic>
          </wp:anchor>
        </w:drawing>
      </w:r>
    </w:p>
    <w:p w:rsidR="00D81F69" w:rsidRPr="00392EAD" w:rsidRDefault="00330118">
      <w:pPr>
        <w:pStyle w:val="Corpodetexto"/>
        <w:spacing w:before="20"/>
        <w:ind w:left="841" w:right="958"/>
        <w:rPr>
          <w:lang w:val="pt-BR"/>
        </w:rPr>
      </w:pPr>
      <w:r w:rsidRPr="00392EAD">
        <w:rPr>
          <w:lang w:val="pt-BR"/>
        </w:rPr>
        <w:t>Gráfico 3. Tipos de população impactadas pela exploração mineral nos estudos de caso no estado do Pará.</w:t>
      </w:r>
    </w:p>
    <w:p w:rsidR="00D81F69" w:rsidRPr="00392EAD" w:rsidRDefault="00D81F69">
      <w:pPr>
        <w:pStyle w:val="Corpodetexto"/>
        <w:spacing w:before="4"/>
        <w:ind w:left="0"/>
        <w:jc w:val="left"/>
        <w:rPr>
          <w:sz w:val="17"/>
          <w:lang w:val="pt-BR"/>
        </w:rPr>
      </w:pPr>
    </w:p>
    <w:p w:rsidR="00D81F69" w:rsidRDefault="00330118">
      <w:pPr>
        <w:pStyle w:val="Heading5"/>
        <w:spacing w:line="276" w:lineRule="auto"/>
        <w:ind w:left="841" w:right="957"/>
      </w:pPr>
      <w:r w:rsidRPr="00392EAD">
        <w:rPr>
          <w:lang w:val="pt-BR"/>
        </w:rPr>
        <w:t>Essas populações sofrem, principalmente, com os problemas provenie</w:t>
      </w:r>
      <w:r w:rsidRPr="00392EAD">
        <w:rPr>
          <w:lang w:val="pt-BR"/>
        </w:rPr>
        <w:t xml:space="preserve">ntes do modo com os quais os empreendimentos do setor mineral são implantados, ainda aquém do papel inclusivo que poderiam melhor assumir. Daí emerge o crescimento desordenado, o inchaço populacional, a infraestrutura inadequada, empobrecimento, etc. </w:t>
      </w:r>
      <w:r>
        <w:t>(Gráf</w:t>
      </w:r>
      <w:r>
        <w:t>ico</w:t>
      </w:r>
      <w:r>
        <w:rPr>
          <w:spacing w:val="-2"/>
        </w:rPr>
        <w:t xml:space="preserve"> </w:t>
      </w:r>
      <w:r>
        <w:t>4).</w:t>
      </w:r>
    </w:p>
    <w:p w:rsidR="00D81F69" w:rsidRPr="00392EAD" w:rsidRDefault="00330118">
      <w:pPr>
        <w:spacing w:before="199" w:line="276" w:lineRule="auto"/>
        <w:ind w:left="841" w:right="956"/>
        <w:jc w:val="both"/>
        <w:rPr>
          <w:lang w:val="pt-BR"/>
        </w:rPr>
      </w:pPr>
      <w:r w:rsidRPr="00392EAD">
        <w:rPr>
          <w:lang w:val="pt-BR"/>
        </w:rPr>
        <w:t>A área de pressão sobre a região amazônica conhecida como Arco do Desmatamento abrange no Pará quase metade do seu território (Figura 2). Nesta região concentra-se não apenas empreendimentos agrícolas, mas também antigos e novos projetos minerometa</w:t>
      </w:r>
      <w:r w:rsidRPr="00392EAD">
        <w:rPr>
          <w:lang w:val="pt-BR"/>
        </w:rPr>
        <w:t>lúrgicos, seguidos de uma demanda por novas hidroelétricas. Foi verificado no estudo deste capítulo que a poluição das águas e a deposição inadequada de resíduos, dentre alguns outros impactos, têm trazido prejuízos ao ecossistema local também por conta da</w:t>
      </w:r>
      <w:r w:rsidRPr="00392EAD">
        <w:rPr>
          <w:lang w:val="pt-BR"/>
        </w:rPr>
        <w:t xml:space="preserve"> exploração mineral (Gráfico</w:t>
      </w:r>
      <w:r w:rsidRPr="00392EAD">
        <w:rPr>
          <w:spacing w:val="-10"/>
          <w:lang w:val="pt-BR"/>
        </w:rPr>
        <w:t xml:space="preserve"> </w:t>
      </w:r>
      <w:r w:rsidRPr="00392EAD">
        <w:rPr>
          <w:lang w:val="pt-BR"/>
        </w:rPr>
        <w:t>5).</w:t>
      </w:r>
    </w:p>
    <w:p w:rsidR="00D81F69" w:rsidRPr="00392EAD" w:rsidRDefault="00D81F69">
      <w:pPr>
        <w:spacing w:line="276" w:lineRule="auto"/>
        <w:jc w:val="both"/>
        <w:rPr>
          <w:lang w:val="pt-BR"/>
        </w:rPr>
        <w:sectPr w:rsidR="00D81F69" w:rsidRPr="00392EAD">
          <w:pgSz w:w="11910" w:h="16840"/>
          <w:pgMar w:top="660" w:right="740" w:bottom="720" w:left="860" w:header="0" w:footer="412" w:gutter="0"/>
          <w:cols w:space="720"/>
        </w:sectPr>
      </w:pPr>
    </w:p>
    <w:p w:rsidR="00D81F69" w:rsidRPr="00392EAD" w:rsidRDefault="00330118">
      <w:pPr>
        <w:spacing w:before="29"/>
        <w:ind w:right="956"/>
        <w:jc w:val="right"/>
        <w:rPr>
          <w:rFonts w:ascii="Calibri" w:hAnsi="Calibri"/>
          <w:sz w:val="28"/>
          <w:lang w:val="pt-BR"/>
        </w:rPr>
      </w:pPr>
      <w:r w:rsidRPr="00392EAD">
        <w:rPr>
          <w:rFonts w:ascii="Calibri" w:hAnsi="Calibri"/>
          <w:sz w:val="28"/>
          <w:lang w:val="pt-BR"/>
        </w:rPr>
        <w:lastRenderedPageBreak/>
        <w:t>REGIÃO NORTE</w:t>
      </w:r>
    </w:p>
    <w:p w:rsidR="00D81F69" w:rsidRPr="00392EAD" w:rsidRDefault="00330118">
      <w:pPr>
        <w:pStyle w:val="Corpodetexto"/>
        <w:spacing w:before="8"/>
        <w:ind w:left="0"/>
        <w:jc w:val="left"/>
        <w:rPr>
          <w:rFonts w:ascii="Calibri"/>
          <w:sz w:val="28"/>
          <w:lang w:val="pt-BR"/>
        </w:rPr>
      </w:pPr>
      <w:r>
        <w:rPr>
          <w:noProof/>
          <w:lang w:val="pt-BR" w:eastAsia="pt-BR"/>
        </w:rPr>
        <w:drawing>
          <wp:anchor distT="0" distB="0" distL="0" distR="0" simplePos="0" relativeHeight="5728" behindDoc="0" locked="0" layoutInCell="1" allowOverlap="1">
            <wp:simplePos x="0" y="0"/>
            <wp:positionH relativeFrom="page">
              <wp:posOffset>1112824</wp:posOffset>
            </wp:positionH>
            <wp:positionV relativeFrom="paragraph">
              <wp:posOffset>247167</wp:posOffset>
            </wp:positionV>
            <wp:extent cx="5331178" cy="3474720"/>
            <wp:effectExtent l="0" t="0" r="0" b="0"/>
            <wp:wrapTopAndBottom/>
            <wp:docPr id="2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png"/>
                    <pic:cNvPicPr/>
                  </pic:nvPicPr>
                  <pic:blipFill>
                    <a:blip r:embed="rId45" cstate="print"/>
                    <a:stretch>
                      <a:fillRect/>
                    </a:stretch>
                  </pic:blipFill>
                  <pic:spPr>
                    <a:xfrm>
                      <a:off x="0" y="0"/>
                      <a:ext cx="5331178" cy="3474720"/>
                    </a:xfrm>
                    <a:prstGeom prst="rect">
                      <a:avLst/>
                    </a:prstGeom>
                  </pic:spPr>
                </pic:pic>
              </a:graphicData>
            </a:graphic>
          </wp:anchor>
        </w:drawing>
      </w:r>
    </w:p>
    <w:p w:rsidR="00D81F69" w:rsidRPr="00392EAD" w:rsidRDefault="00330118">
      <w:pPr>
        <w:pStyle w:val="Corpodetexto"/>
        <w:spacing w:before="231"/>
        <w:ind w:left="841"/>
        <w:jc w:val="left"/>
        <w:rPr>
          <w:lang w:val="pt-BR"/>
        </w:rPr>
      </w:pPr>
      <w:r w:rsidRPr="00392EAD">
        <w:rPr>
          <w:lang w:val="pt-BR"/>
        </w:rPr>
        <w:t>Gráfico 4. Associação da exploração mineral a impactos negativos no estado do Pará.</w:t>
      </w:r>
    </w:p>
    <w:p w:rsidR="00D81F69" w:rsidRPr="00392EAD" w:rsidRDefault="00D81F69">
      <w:pPr>
        <w:pStyle w:val="Corpodetexto"/>
        <w:ind w:left="0"/>
        <w:jc w:val="left"/>
        <w:rPr>
          <w:sz w:val="20"/>
          <w:lang w:val="pt-BR"/>
        </w:rPr>
      </w:pPr>
    </w:p>
    <w:p w:rsidR="00D81F69" w:rsidRPr="00392EAD" w:rsidRDefault="00D81F69">
      <w:pPr>
        <w:pStyle w:val="Corpodetexto"/>
        <w:ind w:left="0"/>
        <w:jc w:val="left"/>
        <w:rPr>
          <w:sz w:val="20"/>
          <w:lang w:val="pt-BR"/>
        </w:rPr>
      </w:pPr>
    </w:p>
    <w:p w:rsidR="00D81F69" w:rsidRPr="00392EAD" w:rsidRDefault="00330118">
      <w:pPr>
        <w:pStyle w:val="Corpodetexto"/>
        <w:spacing w:before="6"/>
        <w:ind w:left="0"/>
        <w:jc w:val="left"/>
        <w:rPr>
          <w:sz w:val="23"/>
          <w:lang w:val="pt-BR"/>
        </w:rPr>
      </w:pPr>
      <w:r>
        <w:rPr>
          <w:noProof/>
          <w:lang w:val="pt-BR" w:eastAsia="pt-BR"/>
        </w:rPr>
        <w:drawing>
          <wp:anchor distT="0" distB="0" distL="0" distR="0" simplePos="0" relativeHeight="5752" behindDoc="0" locked="0" layoutInCell="1" allowOverlap="1">
            <wp:simplePos x="0" y="0"/>
            <wp:positionH relativeFrom="page">
              <wp:posOffset>1133565</wp:posOffset>
            </wp:positionH>
            <wp:positionV relativeFrom="paragraph">
              <wp:posOffset>197069</wp:posOffset>
            </wp:positionV>
            <wp:extent cx="5402204" cy="4144517"/>
            <wp:effectExtent l="0" t="0" r="0" b="0"/>
            <wp:wrapTopAndBottom/>
            <wp:docPr id="25" name="image15.png" descr="http://3.bp.blogspot.com/_87KiOJea4g4/TMHByPzAPSI/AAAAAAAAAFU/ZqFYXZOF_vc/s1600/Amazonia_leg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png"/>
                    <pic:cNvPicPr/>
                  </pic:nvPicPr>
                  <pic:blipFill>
                    <a:blip r:embed="rId46" cstate="print"/>
                    <a:stretch>
                      <a:fillRect/>
                    </a:stretch>
                  </pic:blipFill>
                  <pic:spPr>
                    <a:xfrm>
                      <a:off x="0" y="0"/>
                      <a:ext cx="5402204" cy="4144517"/>
                    </a:xfrm>
                    <a:prstGeom prst="rect">
                      <a:avLst/>
                    </a:prstGeom>
                  </pic:spPr>
                </pic:pic>
              </a:graphicData>
            </a:graphic>
          </wp:anchor>
        </w:drawing>
      </w:r>
    </w:p>
    <w:p w:rsidR="00D81F69" w:rsidRPr="00392EAD" w:rsidRDefault="00D81F69">
      <w:pPr>
        <w:pStyle w:val="Corpodetexto"/>
        <w:spacing w:before="10"/>
        <w:ind w:left="0"/>
        <w:jc w:val="left"/>
        <w:rPr>
          <w:sz w:val="16"/>
          <w:lang w:val="pt-BR"/>
        </w:rPr>
      </w:pPr>
    </w:p>
    <w:p w:rsidR="00D81F69" w:rsidRPr="00392EAD" w:rsidRDefault="00330118">
      <w:pPr>
        <w:pStyle w:val="Corpodetexto"/>
        <w:ind w:left="841"/>
        <w:jc w:val="left"/>
        <w:rPr>
          <w:rFonts w:ascii="Calibri" w:hAnsi="Calibri"/>
          <w:lang w:val="pt-BR"/>
        </w:rPr>
      </w:pPr>
      <w:r w:rsidRPr="00392EAD">
        <w:rPr>
          <w:rFonts w:ascii="Calibri" w:hAnsi="Calibri"/>
          <w:lang w:val="pt-BR"/>
        </w:rPr>
        <w:t xml:space="preserve">Figura 2. Arco do desmatamento na Amazônia Legal (IBAMA, 2007 </w:t>
      </w:r>
      <w:r w:rsidRPr="00392EAD">
        <w:rPr>
          <w:rFonts w:ascii="Calibri" w:hAnsi="Calibri"/>
          <w:i/>
          <w:lang w:val="pt-BR"/>
        </w:rPr>
        <w:t xml:space="preserve">apud </w:t>
      </w:r>
      <w:r w:rsidRPr="00392EAD">
        <w:rPr>
          <w:rFonts w:ascii="Calibri" w:hAnsi="Calibri"/>
          <w:lang w:val="pt-BR"/>
        </w:rPr>
        <w:t>FERREIRA, 2010).</w:t>
      </w:r>
    </w:p>
    <w:p w:rsidR="00D81F69" w:rsidRPr="00392EAD" w:rsidRDefault="00D81F69">
      <w:pPr>
        <w:rPr>
          <w:rFonts w:ascii="Calibri" w:hAnsi="Calibri"/>
          <w:lang w:val="pt-BR"/>
        </w:rPr>
        <w:sectPr w:rsidR="00D81F69" w:rsidRPr="00392EAD">
          <w:pgSz w:w="11910" w:h="16840"/>
          <w:pgMar w:top="660" w:right="740" w:bottom="720" w:left="860" w:header="0" w:footer="412" w:gutter="0"/>
          <w:cols w:space="720"/>
        </w:sectPr>
      </w:pPr>
    </w:p>
    <w:p w:rsidR="00D81F69" w:rsidRPr="00392EAD" w:rsidRDefault="00330118">
      <w:pPr>
        <w:pStyle w:val="Heading3"/>
        <w:spacing w:before="29"/>
        <w:ind w:left="7607"/>
        <w:rPr>
          <w:lang w:val="pt-BR"/>
        </w:rPr>
      </w:pPr>
      <w:r w:rsidRPr="00392EAD">
        <w:rPr>
          <w:lang w:val="pt-BR"/>
        </w:rPr>
        <w:lastRenderedPageBreak/>
        <w:t>REGIÃO NORTE</w:t>
      </w:r>
    </w:p>
    <w:p w:rsidR="00D81F69" w:rsidRPr="00392EAD" w:rsidRDefault="00D81F69">
      <w:pPr>
        <w:pStyle w:val="Corpodetexto"/>
        <w:ind w:left="0"/>
        <w:jc w:val="left"/>
        <w:rPr>
          <w:rFonts w:ascii="Calibri"/>
          <w:sz w:val="20"/>
          <w:lang w:val="pt-BR"/>
        </w:rPr>
      </w:pPr>
    </w:p>
    <w:p w:rsidR="00D81F69" w:rsidRPr="00392EAD" w:rsidRDefault="00330118">
      <w:pPr>
        <w:pStyle w:val="Corpodetexto"/>
        <w:ind w:left="0"/>
        <w:jc w:val="left"/>
        <w:rPr>
          <w:rFonts w:ascii="Calibri"/>
          <w:sz w:val="10"/>
          <w:lang w:val="pt-BR"/>
        </w:rPr>
      </w:pPr>
      <w:r>
        <w:rPr>
          <w:noProof/>
          <w:lang w:val="pt-BR" w:eastAsia="pt-BR"/>
        </w:rPr>
        <w:drawing>
          <wp:anchor distT="0" distB="0" distL="0" distR="0" simplePos="0" relativeHeight="5776" behindDoc="0" locked="0" layoutInCell="1" allowOverlap="1">
            <wp:simplePos x="0" y="0"/>
            <wp:positionH relativeFrom="page">
              <wp:posOffset>1232595</wp:posOffset>
            </wp:positionH>
            <wp:positionV relativeFrom="paragraph">
              <wp:posOffset>102744</wp:posOffset>
            </wp:positionV>
            <wp:extent cx="5133663" cy="3789045"/>
            <wp:effectExtent l="0" t="0" r="0" b="0"/>
            <wp:wrapTopAndBottom/>
            <wp:docPr id="2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6.png"/>
                    <pic:cNvPicPr/>
                  </pic:nvPicPr>
                  <pic:blipFill>
                    <a:blip r:embed="rId47" cstate="print"/>
                    <a:stretch>
                      <a:fillRect/>
                    </a:stretch>
                  </pic:blipFill>
                  <pic:spPr>
                    <a:xfrm>
                      <a:off x="0" y="0"/>
                      <a:ext cx="5133663" cy="3789045"/>
                    </a:xfrm>
                    <a:prstGeom prst="rect">
                      <a:avLst/>
                    </a:prstGeom>
                  </pic:spPr>
                </pic:pic>
              </a:graphicData>
            </a:graphic>
          </wp:anchor>
        </w:drawing>
      </w:r>
    </w:p>
    <w:p w:rsidR="00D81F69" w:rsidRPr="00392EAD" w:rsidRDefault="00330118">
      <w:pPr>
        <w:pStyle w:val="Corpodetexto"/>
        <w:spacing w:before="17"/>
        <w:ind w:left="841"/>
        <w:jc w:val="left"/>
        <w:rPr>
          <w:lang w:val="pt-BR"/>
        </w:rPr>
      </w:pPr>
      <w:r w:rsidRPr="00392EAD">
        <w:rPr>
          <w:lang w:val="pt-BR"/>
        </w:rPr>
        <w:t>Gráfico 5. Impactos ambientais da exploração mineral listados nos estudos de caso do Pará.</w:t>
      </w:r>
    </w:p>
    <w:p w:rsidR="00D81F69" w:rsidRPr="00392EAD" w:rsidRDefault="00D81F69">
      <w:pPr>
        <w:pStyle w:val="Corpodetexto"/>
        <w:spacing w:before="1"/>
        <w:ind w:left="0"/>
        <w:jc w:val="left"/>
        <w:rPr>
          <w:sz w:val="17"/>
          <w:lang w:val="pt-BR"/>
        </w:rPr>
      </w:pPr>
    </w:p>
    <w:p w:rsidR="00D81F69" w:rsidRPr="00392EAD" w:rsidRDefault="00330118">
      <w:pPr>
        <w:pStyle w:val="Heading5"/>
        <w:spacing w:line="276" w:lineRule="auto"/>
        <w:ind w:left="841" w:right="957"/>
        <w:rPr>
          <w:lang w:val="pt-BR"/>
        </w:rPr>
      </w:pPr>
      <w:r w:rsidRPr="00392EAD">
        <w:rPr>
          <w:lang w:val="pt-BR"/>
        </w:rPr>
        <w:t>Foi identificada, nos estudos de casos do Pará, a menção a metais pesados presentes naturalmente no minério, metais radioativos e demais substância</w:t>
      </w:r>
      <w:r w:rsidRPr="00392EAD">
        <w:rPr>
          <w:lang w:val="pt-BR"/>
        </w:rPr>
        <w:t>s potencialmente contaminantes. Este é um assunto que merece atenção especial. Trata-se de uma região cujo bioma é muito sensível e rico por sua grande biodiversidade e, também, por conta da saúde de sua população residente, em especial os ribeirinhos (Grá</w:t>
      </w:r>
      <w:r w:rsidRPr="00392EAD">
        <w:rPr>
          <w:lang w:val="pt-BR"/>
        </w:rPr>
        <w:t>fico</w:t>
      </w:r>
      <w:r w:rsidRPr="00392EAD">
        <w:rPr>
          <w:spacing w:val="-35"/>
          <w:lang w:val="pt-BR"/>
        </w:rPr>
        <w:t xml:space="preserve"> </w:t>
      </w:r>
      <w:r w:rsidRPr="00392EAD">
        <w:rPr>
          <w:lang w:val="pt-BR"/>
        </w:rPr>
        <w:t>6).</w:t>
      </w:r>
    </w:p>
    <w:p w:rsidR="00D81F69" w:rsidRPr="00392EAD" w:rsidRDefault="00330118">
      <w:pPr>
        <w:pStyle w:val="Corpodetexto"/>
        <w:spacing w:before="2"/>
        <w:ind w:left="0"/>
        <w:jc w:val="left"/>
        <w:rPr>
          <w:sz w:val="16"/>
          <w:lang w:val="pt-BR"/>
        </w:rPr>
      </w:pPr>
      <w:r>
        <w:rPr>
          <w:noProof/>
          <w:lang w:val="pt-BR" w:eastAsia="pt-BR"/>
        </w:rPr>
        <w:drawing>
          <wp:anchor distT="0" distB="0" distL="0" distR="0" simplePos="0" relativeHeight="5800" behindDoc="0" locked="0" layoutInCell="1" allowOverlap="1">
            <wp:simplePos x="0" y="0"/>
            <wp:positionH relativeFrom="page">
              <wp:posOffset>1143684</wp:posOffset>
            </wp:positionH>
            <wp:positionV relativeFrom="paragraph">
              <wp:posOffset>143280</wp:posOffset>
            </wp:positionV>
            <wp:extent cx="5315842" cy="1238059"/>
            <wp:effectExtent l="0" t="0" r="0" b="0"/>
            <wp:wrapTopAndBottom/>
            <wp:docPr id="2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7.png"/>
                    <pic:cNvPicPr/>
                  </pic:nvPicPr>
                  <pic:blipFill>
                    <a:blip r:embed="rId48" cstate="print"/>
                    <a:stretch>
                      <a:fillRect/>
                    </a:stretch>
                  </pic:blipFill>
                  <pic:spPr>
                    <a:xfrm>
                      <a:off x="0" y="0"/>
                      <a:ext cx="5315842" cy="1238059"/>
                    </a:xfrm>
                    <a:prstGeom prst="rect">
                      <a:avLst/>
                    </a:prstGeom>
                  </pic:spPr>
                </pic:pic>
              </a:graphicData>
            </a:graphic>
          </wp:anchor>
        </w:drawing>
      </w:r>
    </w:p>
    <w:p w:rsidR="00D81F69" w:rsidRPr="00392EAD" w:rsidRDefault="00330118">
      <w:pPr>
        <w:pStyle w:val="Corpodetexto"/>
        <w:spacing w:before="12"/>
        <w:ind w:left="841"/>
        <w:jc w:val="left"/>
        <w:rPr>
          <w:lang w:val="pt-BR"/>
        </w:rPr>
      </w:pPr>
      <w:r w:rsidRPr="00392EAD">
        <w:rPr>
          <w:lang w:val="pt-BR"/>
        </w:rPr>
        <w:t>Gráfico 6. Tipos de contaminantes decorrentes da extração mineral no estado do Pará.</w:t>
      </w:r>
    </w:p>
    <w:p w:rsidR="00D81F69" w:rsidRPr="00392EAD" w:rsidRDefault="00D81F69">
      <w:pPr>
        <w:pStyle w:val="Corpodetexto"/>
        <w:spacing w:before="2"/>
        <w:ind w:left="0"/>
        <w:jc w:val="left"/>
        <w:rPr>
          <w:sz w:val="17"/>
          <w:lang w:val="pt-BR"/>
        </w:rPr>
      </w:pPr>
    </w:p>
    <w:p w:rsidR="00D81F69" w:rsidRPr="00392EAD" w:rsidRDefault="00330118">
      <w:pPr>
        <w:pStyle w:val="Heading5"/>
        <w:spacing w:line="276" w:lineRule="auto"/>
        <w:ind w:left="841" w:right="959"/>
        <w:rPr>
          <w:lang w:val="pt-BR"/>
        </w:rPr>
      </w:pPr>
      <w:r w:rsidRPr="00392EAD">
        <w:rPr>
          <w:lang w:val="pt-BR"/>
        </w:rPr>
        <w:t xml:space="preserve">Por cinco vezes o Ministério Público – MP precisou ser acionado no intuito de condicionar as mineradoras às boas práticas de gestão e sustentabilidade. Por duas vezes foram assinados o Termo de Ajuste de Conduta – TAC, um documento utilizado especialmente </w:t>
      </w:r>
      <w:r w:rsidRPr="00392EAD">
        <w:rPr>
          <w:lang w:val="pt-BR"/>
        </w:rPr>
        <w:t>pelos MPs para ajustar práticas que estão em desacordo com a lei, conforme apresentado no Gráfico 7.</w:t>
      </w:r>
    </w:p>
    <w:p w:rsidR="00D81F69" w:rsidRPr="00392EAD" w:rsidRDefault="00D81F69">
      <w:pPr>
        <w:spacing w:line="276" w:lineRule="auto"/>
        <w:rPr>
          <w:lang w:val="pt-BR"/>
        </w:rPr>
        <w:sectPr w:rsidR="00D81F69" w:rsidRPr="00392EAD">
          <w:pgSz w:w="11910" w:h="16840"/>
          <w:pgMar w:top="660" w:right="740" w:bottom="720" w:left="860" w:header="0" w:footer="412" w:gutter="0"/>
          <w:cols w:space="720"/>
        </w:sectPr>
      </w:pPr>
    </w:p>
    <w:p w:rsidR="00D81F69" w:rsidRPr="00392EAD" w:rsidRDefault="00330118">
      <w:pPr>
        <w:spacing w:before="29"/>
        <w:ind w:left="7607"/>
        <w:rPr>
          <w:rFonts w:ascii="Calibri" w:hAnsi="Calibri"/>
          <w:sz w:val="28"/>
          <w:lang w:val="pt-BR"/>
        </w:rPr>
      </w:pPr>
      <w:r w:rsidRPr="00392EAD">
        <w:rPr>
          <w:rFonts w:ascii="Calibri" w:hAnsi="Calibri"/>
          <w:sz w:val="28"/>
          <w:lang w:val="pt-BR"/>
        </w:rPr>
        <w:lastRenderedPageBreak/>
        <w:t>REGIÃO NORTE</w:t>
      </w:r>
    </w:p>
    <w:p w:rsidR="00D81F69" w:rsidRPr="00392EAD" w:rsidRDefault="00330118">
      <w:pPr>
        <w:pStyle w:val="Corpodetexto"/>
        <w:spacing w:before="8"/>
        <w:ind w:left="0"/>
        <w:jc w:val="left"/>
        <w:rPr>
          <w:rFonts w:ascii="Calibri"/>
          <w:sz w:val="28"/>
          <w:lang w:val="pt-BR"/>
        </w:rPr>
      </w:pPr>
      <w:r>
        <w:rPr>
          <w:noProof/>
          <w:lang w:val="pt-BR" w:eastAsia="pt-BR"/>
        </w:rPr>
        <w:drawing>
          <wp:anchor distT="0" distB="0" distL="0" distR="0" simplePos="0" relativeHeight="5824" behindDoc="0" locked="0" layoutInCell="1" allowOverlap="1">
            <wp:simplePos x="0" y="0"/>
            <wp:positionH relativeFrom="page">
              <wp:posOffset>1136548</wp:posOffset>
            </wp:positionH>
            <wp:positionV relativeFrom="paragraph">
              <wp:posOffset>247422</wp:posOffset>
            </wp:positionV>
            <wp:extent cx="5313487" cy="1404366"/>
            <wp:effectExtent l="0" t="0" r="0" b="0"/>
            <wp:wrapTopAndBottom/>
            <wp:docPr id="3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8.png"/>
                    <pic:cNvPicPr/>
                  </pic:nvPicPr>
                  <pic:blipFill>
                    <a:blip r:embed="rId49" cstate="print"/>
                    <a:stretch>
                      <a:fillRect/>
                    </a:stretch>
                  </pic:blipFill>
                  <pic:spPr>
                    <a:xfrm>
                      <a:off x="0" y="0"/>
                      <a:ext cx="5313487" cy="1404366"/>
                    </a:xfrm>
                    <a:prstGeom prst="rect">
                      <a:avLst/>
                    </a:prstGeom>
                  </pic:spPr>
                </pic:pic>
              </a:graphicData>
            </a:graphic>
          </wp:anchor>
        </w:drawing>
      </w:r>
    </w:p>
    <w:p w:rsidR="00D81F69" w:rsidRPr="00392EAD" w:rsidRDefault="00330118">
      <w:pPr>
        <w:pStyle w:val="Corpodetexto"/>
        <w:spacing w:before="18" w:line="276" w:lineRule="auto"/>
        <w:ind w:left="841" w:right="957"/>
        <w:rPr>
          <w:lang w:val="pt-BR"/>
        </w:rPr>
      </w:pPr>
      <w:r w:rsidRPr="00392EAD">
        <w:rPr>
          <w:lang w:val="pt-BR"/>
        </w:rPr>
        <w:t>Gráfico 7. Estudos de caso dos conflitos decorrentes da extração mineral: recurso ao Ministério Público e TAC no estado do</w:t>
      </w:r>
      <w:r w:rsidRPr="00392EAD">
        <w:rPr>
          <w:lang w:val="pt-BR"/>
        </w:rPr>
        <w:t xml:space="preserve"> Pará.</w:t>
      </w:r>
    </w:p>
    <w:p w:rsidR="00D81F69" w:rsidRPr="00392EAD" w:rsidRDefault="00D81F69">
      <w:pPr>
        <w:pStyle w:val="Corpodetexto"/>
        <w:spacing w:before="3"/>
        <w:ind w:left="0"/>
        <w:jc w:val="left"/>
        <w:rPr>
          <w:sz w:val="17"/>
          <w:lang w:val="pt-BR"/>
        </w:rPr>
      </w:pPr>
    </w:p>
    <w:p w:rsidR="00D81F69" w:rsidRPr="00392EAD" w:rsidRDefault="00330118">
      <w:pPr>
        <w:pStyle w:val="Heading5"/>
        <w:spacing w:before="1" w:line="276" w:lineRule="auto"/>
        <w:ind w:left="841" w:right="958"/>
        <w:rPr>
          <w:lang w:val="pt-BR"/>
        </w:rPr>
      </w:pPr>
      <w:r w:rsidRPr="00392EAD">
        <w:rPr>
          <w:lang w:val="pt-BR"/>
        </w:rPr>
        <w:t>É necessário salientar que a mineração no Norte do Brasil apresenta desafios importantes para um setor que vive uma efervescência de investimentos nos últimos anos. A governança do desenvolvimento regional age no sentido de impulsionar para que a e</w:t>
      </w:r>
      <w:r w:rsidRPr="00392EAD">
        <w:rPr>
          <w:lang w:val="pt-BR"/>
        </w:rPr>
        <w:t>xploração dos recursos minerais caminhe paralelamente às demandas de sua comunidade local.</w:t>
      </w:r>
    </w:p>
    <w:p w:rsidR="00D81F69" w:rsidRPr="00392EAD" w:rsidRDefault="00330118">
      <w:pPr>
        <w:spacing w:before="198" w:line="276" w:lineRule="auto"/>
        <w:ind w:left="841" w:right="959"/>
        <w:jc w:val="both"/>
        <w:rPr>
          <w:lang w:val="pt-BR"/>
        </w:rPr>
      </w:pPr>
      <w:r w:rsidRPr="00392EAD">
        <w:rPr>
          <w:lang w:val="pt-BR"/>
        </w:rPr>
        <w:t>A atividade mineral é capaz de reverter benefícios para a população de seu município. Para isso, depende uma governança comprometida com a diversificação da economia</w:t>
      </w:r>
      <w:r w:rsidRPr="00392EAD">
        <w:rPr>
          <w:lang w:val="pt-BR"/>
        </w:rPr>
        <w:t xml:space="preserve"> e uma infraestrutura que provenha, especialmente: modais de transportes eficientes, educação, capacitação tecnológica e serviços de saúde e saneamento. Tais premissas são capazes de repercutirem positivamente não apenas na aceleração do desenvolvimento hu</w:t>
      </w:r>
      <w:r w:rsidRPr="00392EAD">
        <w:rPr>
          <w:lang w:val="pt-BR"/>
        </w:rPr>
        <w:t>mano, mas também na minimização dos impactos socioambientais negativos da atividade extrativa mineral.</w:t>
      </w:r>
    </w:p>
    <w:p w:rsidR="00D81F69" w:rsidRPr="00392EAD" w:rsidRDefault="00330118">
      <w:pPr>
        <w:spacing w:before="198"/>
        <w:ind w:left="841"/>
        <w:rPr>
          <w:b/>
          <w:lang w:val="pt-BR"/>
        </w:rPr>
      </w:pPr>
      <w:r w:rsidRPr="00392EAD">
        <w:rPr>
          <w:b/>
          <w:lang w:val="pt-BR"/>
        </w:rPr>
        <w:t>Referências bibliográficas</w:t>
      </w:r>
    </w:p>
    <w:p w:rsidR="00D81F69" w:rsidRPr="00392EAD" w:rsidRDefault="00D81F69">
      <w:pPr>
        <w:pStyle w:val="Corpodetexto"/>
        <w:spacing w:before="2"/>
        <w:ind w:left="0"/>
        <w:jc w:val="left"/>
        <w:rPr>
          <w:b/>
          <w:sz w:val="21"/>
          <w:lang w:val="pt-BR"/>
        </w:rPr>
      </w:pPr>
    </w:p>
    <w:p w:rsidR="00D81F69" w:rsidRPr="00392EAD" w:rsidRDefault="00330118">
      <w:pPr>
        <w:pStyle w:val="Corpodetexto"/>
        <w:ind w:left="841" w:right="957"/>
        <w:rPr>
          <w:lang w:val="pt-BR"/>
        </w:rPr>
      </w:pPr>
      <w:r w:rsidRPr="00392EAD">
        <w:rPr>
          <w:lang w:val="pt-BR"/>
        </w:rPr>
        <w:t>BRASIL. Constituição da República Federativa do Brasil de 1988: Capítulo VIII, Artigo 231. Brasília, 5 de outubro de 1988. Di</w:t>
      </w:r>
      <w:r w:rsidRPr="00392EAD">
        <w:rPr>
          <w:lang w:val="pt-BR"/>
        </w:rPr>
        <w:t xml:space="preserve">sponível em: </w:t>
      </w:r>
      <w:hyperlink r:id="rId50">
        <w:r w:rsidRPr="00392EAD">
          <w:rPr>
            <w:lang w:val="pt-BR"/>
          </w:rPr>
          <w:t>&lt;http://www.planalto.gov.br/ccivil_03/constituicao/constituicao.htm</w:t>
        </w:r>
      </w:hyperlink>
      <w:r w:rsidRPr="00392EAD">
        <w:rPr>
          <w:lang w:val="pt-BR"/>
        </w:rPr>
        <w:t>&gt;. Acesso em: 03 out. 2013.</w:t>
      </w:r>
    </w:p>
    <w:p w:rsidR="00D81F69" w:rsidRPr="00392EAD" w:rsidRDefault="00330118">
      <w:pPr>
        <w:pStyle w:val="Corpodetexto"/>
        <w:spacing w:before="58"/>
        <w:ind w:left="841" w:right="957"/>
        <w:rPr>
          <w:lang w:val="pt-BR"/>
        </w:rPr>
      </w:pPr>
      <w:r w:rsidRPr="00392EAD">
        <w:rPr>
          <w:lang w:val="pt-BR"/>
        </w:rPr>
        <w:t>DNPM, Departamento Nacional de Produção Mineral. Maiores arrecadadores CFEM em 2012. Disponível em: &lt;https://sistemas.dnpm.gov.br/arrecadacao/extra/Relatorios/cfem/maiores_arrecadadores.aspx&gt;. Acesso em 15 out. 2013.</w:t>
      </w:r>
    </w:p>
    <w:p w:rsidR="00D81F69" w:rsidRPr="00392EAD" w:rsidRDefault="00330118">
      <w:pPr>
        <w:pStyle w:val="Corpodetexto"/>
        <w:tabs>
          <w:tab w:val="left" w:pos="1343"/>
        </w:tabs>
        <w:spacing w:before="61" w:line="207" w:lineRule="exact"/>
        <w:ind w:left="841"/>
        <w:jc w:val="left"/>
        <w:rPr>
          <w:lang w:val="pt-BR"/>
        </w:rPr>
      </w:pPr>
      <w:r w:rsidRPr="00392EAD">
        <w:rPr>
          <w:u w:val="single"/>
          <w:lang w:val="pt-BR"/>
        </w:rPr>
        <w:t xml:space="preserve"> </w:t>
      </w:r>
      <w:r w:rsidRPr="00392EAD">
        <w:rPr>
          <w:u w:val="single"/>
          <w:lang w:val="pt-BR"/>
        </w:rPr>
        <w:tab/>
      </w:r>
      <w:r w:rsidRPr="00392EAD">
        <w:rPr>
          <w:lang w:val="pt-BR"/>
        </w:rPr>
        <w:t>. Sumário Mineral Brasileiro 2012, vo</w:t>
      </w:r>
      <w:r w:rsidRPr="00392EAD">
        <w:rPr>
          <w:lang w:val="pt-BR"/>
        </w:rPr>
        <w:t>l. 32. Brasília, 2012. p. 19-24. Disponível</w:t>
      </w:r>
      <w:r w:rsidRPr="00392EAD">
        <w:rPr>
          <w:spacing w:val="30"/>
          <w:lang w:val="pt-BR"/>
        </w:rPr>
        <w:t xml:space="preserve"> </w:t>
      </w:r>
      <w:r w:rsidRPr="00392EAD">
        <w:rPr>
          <w:lang w:val="pt-BR"/>
        </w:rPr>
        <w:t>em:</w:t>
      </w:r>
    </w:p>
    <w:p w:rsidR="00D81F69" w:rsidRPr="00392EAD" w:rsidRDefault="00330118">
      <w:pPr>
        <w:pStyle w:val="Corpodetexto"/>
        <w:ind w:left="841" w:right="958"/>
        <w:rPr>
          <w:lang w:val="pt-BR"/>
        </w:rPr>
      </w:pPr>
      <w:r w:rsidRPr="00392EAD">
        <w:rPr>
          <w:lang w:val="pt-BR"/>
        </w:rPr>
        <w:t>&lt;https://sistemas.dnpm.gov.br/publicacao/mostra_imagem.asp?IDBancoArquivoArquivo=7366&gt;. Acesso em: 30 set. 2013.</w:t>
      </w:r>
    </w:p>
    <w:p w:rsidR="00D81F69" w:rsidRDefault="00330118">
      <w:pPr>
        <w:pStyle w:val="Corpodetexto"/>
        <w:tabs>
          <w:tab w:val="left" w:pos="2007"/>
          <w:tab w:val="left" w:pos="2394"/>
          <w:tab w:val="left" w:pos="2972"/>
          <w:tab w:val="left" w:pos="3378"/>
          <w:tab w:val="left" w:pos="4967"/>
          <w:tab w:val="left" w:pos="5375"/>
          <w:tab w:val="left" w:pos="6431"/>
          <w:tab w:val="left" w:pos="6839"/>
          <w:tab w:val="left" w:pos="7345"/>
          <w:tab w:val="left" w:pos="8001"/>
          <w:tab w:val="left" w:pos="9049"/>
        </w:tabs>
        <w:spacing w:before="61" w:line="207" w:lineRule="exact"/>
        <w:ind w:left="841"/>
        <w:jc w:val="left"/>
      </w:pPr>
      <w:r w:rsidRPr="00392EAD">
        <w:rPr>
          <w:lang w:val="pt-BR"/>
        </w:rPr>
        <w:t>FERREIRA,</w:t>
      </w:r>
      <w:r w:rsidRPr="00392EAD">
        <w:rPr>
          <w:lang w:val="pt-BR"/>
        </w:rPr>
        <w:tab/>
        <w:t>D.</w:t>
      </w:r>
      <w:r w:rsidRPr="00392EAD">
        <w:rPr>
          <w:lang w:val="pt-BR"/>
        </w:rPr>
        <w:tab/>
        <w:t>Arco</w:t>
      </w:r>
      <w:r w:rsidRPr="00392EAD">
        <w:rPr>
          <w:lang w:val="pt-BR"/>
        </w:rPr>
        <w:tab/>
        <w:t>de</w:t>
      </w:r>
      <w:r w:rsidRPr="00392EAD">
        <w:rPr>
          <w:lang w:val="pt-BR"/>
        </w:rPr>
        <w:tab/>
        <w:t>desflorestamento</w:t>
      </w:r>
      <w:r w:rsidRPr="00392EAD">
        <w:rPr>
          <w:lang w:val="pt-BR"/>
        </w:rPr>
        <w:tab/>
        <w:t>da</w:t>
      </w:r>
      <w:r w:rsidRPr="00392EAD">
        <w:rPr>
          <w:lang w:val="pt-BR"/>
        </w:rPr>
        <w:tab/>
        <w:t>Amazônia,</w:t>
      </w:r>
      <w:r w:rsidRPr="00392EAD">
        <w:rPr>
          <w:lang w:val="pt-BR"/>
        </w:rPr>
        <w:tab/>
        <w:t>22</w:t>
      </w:r>
      <w:r w:rsidRPr="00392EAD">
        <w:rPr>
          <w:lang w:val="pt-BR"/>
        </w:rPr>
        <w:tab/>
        <w:t>out.</w:t>
      </w:r>
      <w:r w:rsidRPr="00392EAD">
        <w:rPr>
          <w:lang w:val="pt-BR"/>
        </w:rPr>
        <w:tab/>
        <w:t>2010.</w:t>
      </w:r>
      <w:r w:rsidRPr="00392EAD">
        <w:rPr>
          <w:lang w:val="pt-BR"/>
        </w:rPr>
        <w:tab/>
      </w:r>
      <w:r>
        <w:t>Disponível</w:t>
      </w:r>
      <w:r>
        <w:tab/>
        <w:t>em:</w:t>
      </w:r>
    </w:p>
    <w:p w:rsidR="00D81F69" w:rsidRPr="00392EAD" w:rsidRDefault="00D81F69">
      <w:pPr>
        <w:pStyle w:val="Corpodetexto"/>
        <w:ind w:left="841" w:right="958"/>
        <w:rPr>
          <w:lang w:val="pt-BR"/>
        </w:rPr>
      </w:pPr>
      <w:hyperlink r:id="rId51">
        <w:r w:rsidR="00330118">
          <w:t>&lt;http://mapeandonarede.blogspot.com.br/2010/10/arco-de-desflorestamento-da-amazonia.html</w:t>
        </w:r>
      </w:hyperlink>
      <w:r w:rsidR="00330118">
        <w:t xml:space="preserve">&gt;. </w:t>
      </w:r>
      <w:r w:rsidR="00330118" w:rsidRPr="00392EAD">
        <w:rPr>
          <w:lang w:val="pt-BR"/>
        </w:rPr>
        <w:t>Acesso em 18 out. 2013.</w:t>
      </w:r>
    </w:p>
    <w:p w:rsidR="00D81F69" w:rsidRPr="00392EAD" w:rsidRDefault="00330118">
      <w:pPr>
        <w:pStyle w:val="Corpodetexto"/>
        <w:spacing w:before="61"/>
        <w:ind w:left="841" w:right="957"/>
        <w:rPr>
          <w:lang w:val="pt-BR"/>
        </w:rPr>
      </w:pPr>
      <w:r w:rsidRPr="00392EAD">
        <w:rPr>
          <w:lang w:val="pt-BR"/>
        </w:rPr>
        <w:t>IBGE, Instituto Brasileiro de Geografia e Estatísti</w:t>
      </w:r>
      <w:r w:rsidRPr="00392EAD">
        <w:rPr>
          <w:lang w:val="pt-BR"/>
        </w:rPr>
        <w:t>ca. Contas Nacionais número 39. Produto Interno Bruto dos municípios 2010. Rio de Janeiro: 2012, pp. 34. Disponível em:</w:t>
      </w:r>
    </w:p>
    <w:p w:rsidR="00D81F69" w:rsidRDefault="00D81F69">
      <w:pPr>
        <w:pStyle w:val="Corpodetexto"/>
        <w:spacing w:line="206" w:lineRule="exact"/>
        <w:ind w:left="841"/>
        <w:jc w:val="left"/>
      </w:pPr>
      <w:hyperlink r:id="rId52">
        <w:r w:rsidR="00330118" w:rsidRPr="00392EAD">
          <w:rPr>
            <w:lang w:val="pt-BR"/>
          </w:rPr>
          <w:t>&lt;http://biblioteca.ibge.gov.br/visualizacao/livros/liv62</w:t>
        </w:r>
        <w:r w:rsidR="00330118" w:rsidRPr="00392EAD">
          <w:rPr>
            <w:lang w:val="pt-BR"/>
          </w:rPr>
          <w:t>930.pdf</w:t>
        </w:r>
      </w:hyperlink>
      <w:r w:rsidR="00330118" w:rsidRPr="00392EAD">
        <w:rPr>
          <w:lang w:val="pt-BR"/>
        </w:rPr>
        <w:t xml:space="preserve">&gt;. </w:t>
      </w:r>
      <w:r w:rsidR="00330118">
        <w:t>Acesso em 15 out. 2013.</w:t>
      </w:r>
    </w:p>
    <w:p w:rsidR="00D81F69" w:rsidRPr="00392EAD" w:rsidRDefault="00330118">
      <w:pPr>
        <w:pStyle w:val="Corpodetexto"/>
        <w:spacing w:before="59"/>
        <w:ind w:left="841" w:right="958"/>
        <w:rPr>
          <w:lang w:val="pt-BR"/>
        </w:rPr>
      </w:pPr>
      <w:r>
        <w:rPr>
          <w:u w:val="single"/>
        </w:rPr>
        <w:t xml:space="preserve"> </w:t>
      </w:r>
      <w:r>
        <w:rPr>
          <w:u w:val="single"/>
        </w:rPr>
        <w:t xml:space="preserve">        </w:t>
      </w:r>
      <w:r>
        <w:rPr>
          <w:spacing w:val="2"/>
          <w:u w:val="single"/>
        </w:rPr>
        <w:t xml:space="preserve"> </w:t>
      </w:r>
      <w:r>
        <w:t xml:space="preserve">. Perfil dos estados. 2013a. Disponível em: </w:t>
      </w:r>
      <w:hyperlink r:id="rId53">
        <w:r>
          <w:t>&lt;http://www.ibge.com.br/estadosat/</w:t>
        </w:r>
      </w:hyperlink>
      <w:r>
        <w:t xml:space="preserve">&gt;. </w:t>
      </w:r>
      <w:r w:rsidRPr="00392EAD">
        <w:rPr>
          <w:lang w:val="pt-BR"/>
        </w:rPr>
        <w:t>Acesso em: 30 set.</w:t>
      </w:r>
      <w:r w:rsidRPr="00392EAD">
        <w:rPr>
          <w:spacing w:val="-2"/>
          <w:lang w:val="pt-BR"/>
        </w:rPr>
        <w:t xml:space="preserve"> </w:t>
      </w:r>
      <w:r w:rsidRPr="00392EAD">
        <w:rPr>
          <w:lang w:val="pt-BR"/>
        </w:rPr>
        <w:t>2013.</w:t>
      </w:r>
    </w:p>
    <w:p w:rsidR="00D81F69" w:rsidRPr="00392EAD" w:rsidRDefault="00330118">
      <w:pPr>
        <w:pStyle w:val="Corpodetexto"/>
        <w:spacing w:before="62"/>
        <w:ind w:left="841" w:right="958"/>
        <w:rPr>
          <w:lang w:val="pt-BR"/>
        </w:rPr>
      </w:pPr>
      <w:r w:rsidRPr="00392EAD">
        <w:rPr>
          <w:u w:val="single"/>
          <w:lang w:val="pt-BR"/>
        </w:rPr>
        <w:t xml:space="preserve"> </w:t>
      </w:r>
      <w:r w:rsidRPr="00392EAD">
        <w:rPr>
          <w:u w:val="single"/>
          <w:lang w:val="pt-BR"/>
        </w:rPr>
        <w:t xml:space="preserve">         </w:t>
      </w:r>
      <w:r w:rsidRPr="00392EAD">
        <w:rPr>
          <w:lang w:val="pt-BR"/>
        </w:rPr>
        <w:t>. Sistema IBGE de recuperação automática – SI</w:t>
      </w:r>
      <w:r w:rsidRPr="00392EAD">
        <w:rPr>
          <w:lang w:val="pt-BR"/>
        </w:rPr>
        <w:t xml:space="preserve">DRA. 2013b. Disponível em: &lt; </w:t>
      </w:r>
      <w:hyperlink r:id="rId54">
        <w:r w:rsidRPr="00392EAD">
          <w:rPr>
            <w:lang w:val="pt-BR"/>
          </w:rPr>
          <w:t>http://www.sidra.ibge.gov.br/</w:t>
        </w:r>
      </w:hyperlink>
      <w:r w:rsidRPr="00392EAD">
        <w:rPr>
          <w:lang w:val="pt-BR"/>
        </w:rPr>
        <w:t>&gt;. Acesso em 30 set 2013.</w:t>
      </w:r>
    </w:p>
    <w:p w:rsidR="00D81F69" w:rsidRPr="00392EAD" w:rsidRDefault="00330118">
      <w:pPr>
        <w:pStyle w:val="Corpodetexto"/>
        <w:tabs>
          <w:tab w:val="left" w:pos="2156"/>
          <w:tab w:val="left" w:pos="3826"/>
          <w:tab w:val="left" w:pos="5360"/>
          <w:tab w:val="left" w:pos="6291"/>
          <w:tab w:val="left" w:pos="7474"/>
          <w:tab w:val="left" w:pos="9047"/>
        </w:tabs>
        <w:spacing w:before="59"/>
        <w:ind w:left="841" w:right="957"/>
        <w:rPr>
          <w:lang w:val="pt-BR"/>
        </w:rPr>
      </w:pPr>
      <w:r w:rsidRPr="00392EAD">
        <w:rPr>
          <w:lang w:val="pt-BR"/>
        </w:rPr>
        <w:t>IBRAM, Instituto Brasileiro de Mineração. Informações e análises da economia mineral brasileira. 7ª edição,</w:t>
      </w:r>
      <w:r w:rsidRPr="00392EAD">
        <w:rPr>
          <w:lang w:val="pt-BR"/>
        </w:rPr>
        <w:tab/>
        <w:t>Brasília/DF:</w:t>
      </w:r>
      <w:r w:rsidRPr="00392EAD">
        <w:rPr>
          <w:lang w:val="pt-BR"/>
        </w:rPr>
        <w:tab/>
        <w:t>deze</w:t>
      </w:r>
      <w:r w:rsidRPr="00392EAD">
        <w:rPr>
          <w:lang w:val="pt-BR"/>
        </w:rPr>
        <w:t>mbro</w:t>
      </w:r>
      <w:r w:rsidRPr="00392EAD">
        <w:rPr>
          <w:lang w:val="pt-BR"/>
        </w:rPr>
        <w:tab/>
        <w:t>de</w:t>
      </w:r>
      <w:r w:rsidRPr="00392EAD">
        <w:rPr>
          <w:lang w:val="pt-BR"/>
        </w:rPr>
        <w:tab/>
        <w:t>2012.</w:t>
      </w:r>
      <w:r w:rsidRPr="00392EAD">
        <w:rPr>
          <w:lang w:val="pt-BR"/>
        </w:rPr>
        <w:tab/>
        <w:t>Disponível</w:t>
      </w:r>
      <w:r w:rsidRPr="00392EAD">
        <w:rPr>
          <w:lang w:val="pt-BR"/>
        </w:rPr>
        <w:tab/>
        <w:t>em:</w:t>
      </w:r>
    </w:p>
    <w:p w:rsidR="00D81F69" w:rsidRPr="00392EAD" w:rsidRDefault="00D81F69">
      <w:pPr>
        <w:pStyle w:val="Corpodetexto"/>
        <w:spacing w:before="1"/>
        <w:ind w:left="841"/>
        <w:rPr>
          <w:lang w:val="pt-BR"/>
        </w:rPr>
      </w:pPr>
      <w:hyperlink r:id="rId55">
        <w:r w:rsidR="00330118" w:rsidRPr="00392EAD">
          <w:rPr>
            <w:lang w:val="pt-BR"/>
          </w:rPr>
          <w:t>&lt;http://www.ibram.org.br/sites/1300/1382/00002806.pdf</w:t>
        </w:r>
      </w:hyperlink>
      <w:r w:rsidR="00330118" w:rsidRPr="00392EAD">
        <w:rPr>
          <w:lang w:val="pt-BR"/>
        </w:rPr>
        <w:t>&gt;. Acesso em 30 set. 2013.</w:t>
      </w:r>
    </w:p>
    <w:p w:rsidR="00D81F69" w:rsidRDefault="00330118">
      <w:pPr>
        <w:pStyle w:val="Corpodetexto"/>
        <w:spacing w:before="59" w:line="207" w:lineRule="exact"/>
        <w:ind w:left="841"/>
      </w:pPr>
      <w:r w:rsidRPr="00392EAD">
        <w:rPr>
          <w:lang w:val="pt-BR"/>
        </w:rPr>
        <w:t xml:space="preserve">PARÁ, Governo do Estado. Conheça o nosso Pará, Economia. </w:t>
      </w:r>
      <w:r>
        <w:t>2013. Disponível:</w:t>
      </w:r>
    </w:p>
    <w:p w:rsidR="00D81F69" w:rsidRPr="00392EAD" w:rsidRDefault="00D81F69">
      <w:pPr>
        <w:pStyle w:val="Corpodetexto"/>
        <w:spacing w:line="207" w:lineRule="exact"/>
        <w:ind w:left="841"/>
        <w:rPr>
          <w:lang w:val="pt-BR"/>
        </w:rPr>
      </w:pPr>
      <w:hyperlink r:id="rId56">
        <w:r w:rsidR="00330118">
          <w:t>&lt;http://pa.gov.br/O_Para/economia.asp&gt;</w:t>
        </w:r>
      </w:hyperlink>
      <w:r w:rsidR="00330118">
        <w:t xml:space="preserve">. </w:t>
      </w:r>
      <w:r w:rsidR="00330118" w:rsidRPr="00392EAD">
        <w:rPr>
          <w:lang w:val="pt-BR"/>
        </w:rPr>
        <w:t>Acesso em 15 out. 2013.</w:t>
      </w:r>
    </w:p>
    <w:p w:rsidR="00D81F69" w:rsidRPr="00392EAD" w:rsidRDefault="00330118">
      <w:pPr>
        <w:pStyle w:val="Corpodetexto"/>
        <w:tabs>
          <w:tab w:val="left" w:pos="3303"/>
          <w:tab w:val="left" w:pos="5207"/>
          <w:tab w:val="left" w:pos="7131"/>
          <w:tab w:val="left" w:pos="9044"/>
        </w:tabs>
        <w:spacing w:before="62" w:line="207" w:lineRule="exact"/>
        <w:ind w:left="841"/>
        <w:rPr>
          <w:lang w:val="pt-BR"/>
        </w:rPr>
      </w:pPr>
      <w:r w:rsidRPr="00392EAD">
        <w:rPr>
          <w:lang w:val="pt-BR"/>
        </w:rPr>
        <w:t>PARAUAPEBAS,</w:t>
      </w:r>
      <w:r w:rsidRPr="00392EAD">
        <w:rPr>
          <w:lang w:val="pt-BR"/>
        </w:rPr>
        <w:tab/>
        <w:t>Prefeitura.</w:t>
      </w:r>
      <w:r w:rsidRPr="00392EAD">
        <w:rPr>
          <w:lang w:val="pt-BR"/>
        </w:rPr>
        <w:tab/>
        <w:t>Economia.</w:t>
      </w:r>
      <w:r w:rsidRPr="00392EAD">
        <w:rPr>
          <w:lang w:val="pt-BR"/>
        </w:rPr>
        <w:tab/>
        <w:t>Disponível</w:t>
      </w:r>
      <w:r w:rsidRPr="00392EAD">
        <w:rPr>
          <w:lang w:val="pt-BR"/>
        </w:rPr>
        <w:tab/>
        <w:t>em:</w:t>
      </w:r>
    </w:p>
    <w:p w:rsidR="00D81F69" w:rsidRPr="00392EAD" w:rsidRDefault="00D81F69">
      <w:pPr>
        <w:pStyle w:val="Corpodetexto"/>
        <w:spacing w:line="207" w:lineRule="exact"/>
        <w:ind w:left="841"/>
        <w:rPr>
          <w:lang w:val="pt-BR"/>
        </w:rPr>
      </w:pPr>
      <w:hyperlink r:id="rId57">
        <w:r w:rsidR="00330118" w:rsidRPr="00392EAD">
          <w:rPr>
            <w:lang w:val="pt-BR"/>
          </w:rPr>
          <w:t>&lt;http://www.parauape</w:t>
        </w:r>
        <w:r w:rsidR="00330118" w:rsidRPr="00392EAD">
          <w:rPr>
            <w:lang w:val="pt-BR"/>
          </w:rPr>
          <w:t>bas.pa.gov.br/paraupebas/economia&gt;</w:t>
        </w:r>
      </w:hyperlink>
      <w:r w:rsidR="00330118" w:rsidRPr="00392EAD">
        <w:rPr>
          <w:lang w:val="pt-BR"/>
        </w:rPr>
        <w:t>. 2013. Acesso em: 15 out. 2013.</w:t>
      </w:r>
    </w:p>
    <w:p w:rsidR="00D81F69" w:rsidRPr="00392EAD" w:rsidRDefault="00330118">
      <w:pPr>
        <w:pStyle w:val="Corpodetexto"/>
        <w:spacing w:before="59"/>
        <w:ind w:left="840" w:right="958"/>
        <w:rPr>
          <w:lang w:val="pt-BR"/>
        </w:rPr>
      </w:pPr>
      <w:r w:rsidRPr="00392EAD">
        <w:rPr>
          <w:lang w:val="pt-BR"/>
        </w:rPr>
        <w:t>PNUD, Programa das Nações Unidas para o Desenvolvimento. Acompanhamento municipal dos objetivos de desenvolvimento do milênio, Parauapebas – PA. Disponível em:</w:t>
      </w:r>
    </w:p>
    <w:p w:rsidR="00D81F69" w:rsidRPr="00392EAD" w:rsidRDefault="00D81F69">
      <w:pPr>
        <w:rPr>
          <w:lang w:val="pt-BR"/>
        </w:rPr>
        <w:sectPr w:rsidR="00D81F69" w:rsidRPr="00392EAD">
          <w:pgSz w:w="11910" w:h="16840"/>
          <w:pgMar w:top="660" w:right="740" w:bottom="720" w:left="860" w:header="0" w:footer="412" w:gutter="0"/>
          <w:cols w:space="720"/>
        </w:sectPr>
      </w:pPr>
    </w:p>
    <w:p w:rsidR="00D81F69" w:rsidRPr="00392EAD" w:rsidRDefault="00330118">
      <w:pPr>
        <w:pStyle w:val="Heading3"/>
        <w:spacing w:before="29"/>
        <w:ind w:left="7607"/>
        <w:rPr>
          <w:lang w:val="pt-BR"/>
        </w:rPr>
      </w:pPr>
      <w:r w:rsidRPr="00392EAD">
        <w:rPr>
          <w:lang w:val="pt-BR"/>
        </w:rPr>
        <w:lastRenderedPageBreak/>
        <w:t>REGIÃO NORT</w:t>
      </w:r>
      <w:r w:rsidRPr="00392EAD">
        <w:rPr>
          <w:lang w:val="pt-BR"/>
        </w:rPr>
        <w:t>E</w:t>
      </w:r>
    </w:p>
    <w:p w:rsidR="00D81F69" w:rsidRPr="00392EAD" w:rsidRDefault="00D81F69">
      <w:pPr>
        <w:pStyle w:val="Corpodetexto"/>
        <w:spacing w:before="11"/>
        <w:ind w:left="0"/>
        <w:jc w:val="left"/>
        <w:rPr>
          <w:rFonts w:ascii="Calibri"/>
          <w:sz w:val="29"/>
          <w:lang w:val="pt-BR"/>
        </w:rPr>
      </w:pPr>
    </w:p>
    <w:p w:rsidR="00D81F69" w:rsidRPr="00392EAD" w:rsidRDefault="00D81F69">
      <w:pPr>
        <w:pStyle w:val="Corpodetexto"/>
        <w:spacing w:before="1"/>
        <w:ind w:left="841" w:right="957"/>
        <w:rPr>
          <w:lang w:val="pt-BR"/>
        </w:rPr>
      </w:pPr>
      <w:hyperlink r:id="rId58">
        <w:r w:rsidR="00330118" w:rsidRPr="00392EAD">
          <w:rPr>
            <w:lang w:val="pt-BR"/>
          </w:rPr>
          <w:t>&lt;http://www.portalodm.com.br/relatorios/1-acabar-com-a-fome-e-a-miseria/pa/parauapebas</w:t>
        </w:r>
      </w:hyperlink>
      <w:r w:rsidR="00330118" w:rsidRPr="00392EAD">
        <w:rPr>
          <w:lang w:val="pt-BR"/>
        </w:rPr>
        <w:t>&gt;. Acesso em: 15 out. 2013a.</w:t>
      </w:r>
    </w:p>
    <w:p w:rsidR="00D81F69" w:rsidRPr="00392EAD" w:rsidRDefault="00330118">
      <w:pPr>
        <w:pStyle w:val="Corpodetexto"/>
        <w:spacing w:before="61"/>
        <w:ind w:left="841" w:right="957"/>
        <w:rPr>
          <w:lang w:val="pt-BR"/>
        </w:rPr>
      </w:pPr>
      <w:r w:rsidRPr="00392EAD">
        <w:rPr>
          <w:u w:val="single"/>
          <w:lang w:val="pt-BR"/>
        </w:rPr>
        <w:t xml:space="preserve"> </w:t>
      </w:r>
      <w:r w:rsidRPr="00392EAD">
        <w:rPr>
          <w:u w:val="single"/>
          <w:lang w:val="pt-BR"/>
        </w:rPr>
        <w:t xml:space="preserve">         </w:t>
      </w:r>
      <w:r w:rsidRPr="00392EAD">
        <w:rPr>
          <w:lang w:val="pt-BR"/>
        </w:rPr>
        <w:t>. Atlas do desenvolviment</w:t>
      </w:r>
      <w:r w:rsidRPr="00392EAD">
        <w:rPr>
          <w:lang w:val="pt-BR"/>
        </w:rPr>
        <w:t xml:space="preserve">o humano no Brasil 2013. Ranking IDHM Unidades da Federação 2010. Disponível em: </w:t>
      </w:r>
      <w:hyperlink r:id="rId59">
        <w:r w:rsidRPr="00392EAD">
          <w:rPr>
            <w:lang w:val="pt-BR"/>
          </w:rPr>
          <w:t>&lt;http://www.pnud.org.br/atlas/ranking/Ranking-IDHM-UF-2010.aspx</w:t>
        </w:r>
      </w:hyperlink>
      <w:r w:rsidRPr="00392EAD">
        <w:rPr>
          <w:lang w:val="pt-BR"/>
        </w:rPr>
        <w:t>&gt;. Acesso em: 15 out. 2013b.</w:t>
      </w:r>
    </w:p>
    <w:p w:rsidR="00D81F69" w:rsidRPr="00392EAD" w:rsidRDefault="00330118">
      <w:pPr>
        <w:pStyle w:val="Corpodetexto"/>
        <w:spacing w:before="61"/>
        <w:ind w:left="841" w:right="957"/>
        <w:rPr>
          <w:lang w:val="pt-BR"/>
        </w:rPr>
      </w:pPr>
      <w:r w:rsidRPr="00392EAD">
        <w:rPr>
          <w:lang w:val="pt-BR"/>
        </w:rPr>
        <w:t>VERDE, R. B. R. V.; FERNANDES, F. R. C. Panorama socioespacial de Parauapebas (PA) após a implantação da Mina de Ferro Carajás. Anais da XVII Jornada de Iniciação Científica do Centro de Tecnologia Mineral. Rio de Janeiro, 2009. p. 171-177. Disponível em:</w:t>
      </w:r>
    </w:p>
    <w:p w:rsidR="00D81F69" w:rsidRPr="00392EAD" w:rsidRDefault="00D81F69">
      <w:pPr>
        <w:pStyle w:val="Corpodetexto"/>
        <w:ind w:left="841" w:right="979"/>
        <w:rPr>
          <w:lang w:val="pt-BR"/>
        </w:rPr>
      </w:pPr>
      <w:hyperlink r:id="rId60">
        <w:r w:rsidR="00330118" w:rsidRPr="00392EAD">
          <w:rPr>
            <w:lang w:val="pt-BR"/>
          </w:rPr>
          <w:t>&lt;http://www.cetem.gov.br/publicacao/serie_anais_XVII_jic_2009/Rodrigo_Braga_da_Rocha_Villa_Verde.p</w:t>
        </w:r>
      </w:hyperlink>
      <w:r w:rsidR="00330118" w:rsidRPr="00392EAD">
        <w:rPr>
          <w:lang w:val="pt-BR"/>
        </w:rPr>
        <w:t xml:space="preserve"> df&gt;. Acesso em: 3 out. 2013.</w:t>
      </w:r>
    </w:p>
    <w:p w:rsidR="00D81F69" w:rsidRPr="00392EAD" w:rsidRDefault="00D81F69">
      <w:pPr>
        <w:rPr>
          <w:lang w:val="pt-BR"/>
        </w:rPr>
        <w:sectPr w:rsidR="00D81F69" w:rsidRPr="00392EAD">
          <w:pgSz w:w="11910" w:h="16840"/>
          <w:pgMar w:top="660" w:right="740" w:bottom="720" w:left="860" w:header="0" w:footer="412" w:gutter="0"/>
          <w:cols w:space="720"/>
        </w:sectPr>
      </w:pPr>
    </w:p>
    <w:p w:rsidR="00D81F69" w:rsidRPr="00392EAD" w:rsidRDefault="00330118">
      <w:pPr>
        <w:pStyle w:val="Heading1"/>
        <w:spacing w:line="208" w:lineRule="auto"/>
        <w:ind w:right="0"/>
        <w:rPr>
          <w:lang w:val="pt-BR"/>
        </w:rPr>
      </w:pPr>
      <w:bookmarkStart w:id="13" w:name="_TOC_250020"/>
      <w:r w:rsidRPr="00392EAD">
        <w:rPr>
          <w:spacing w:val="8"/>
          <w:lang w:val="pt-BR"/>
        </w:rPr>
        <w:lastRenderedPageBreak/>
        <w:t xml:space="preserve">Garimpagem </w:t>
      </w:r>
      <w:r w:rsidRPr="00392EAD">
        <w:rPr>
          <w:spacing w:val="5"/>
          <w:lang w:val="pt-BR"/>
        </w:rPr>
        <w:t xml:space="preserve">de </w:t>
      </w:r>
      <w:r w:rsidRPr="00392EAD">
        <w:rPr>
          <w:spacing w:val="6"/>
          <w:lang w:val="pt-BR"/>
        </w:rPr>
        <w:t xml:space="preserve">ouro </w:t>
      </w:r>
      <w:r w:rsidRPr="00392EAD">
        <w:rPr>
          <w:spacing w:val="5"/>
          <w:lang w:val="pt-BR"/>
        </w:rPr>
        <w:t xml:space="preserve">em </w:t>
      </w:r>
      <w:r w:rsidRPr="00392EAD">
        <w:rPr>
          <w:spacing w:val="6"/>
          <w:lang w:val="pt-BR"/>
        </w:rPr>
        <w:t xml:space="preserve">Nova </w:t>
      </w:r>
      <w:r w:rsidRPr="00392EAD">
        <w:rPr>
          <w:spacing w:val="7"/>
          <w:lang w:val="pt-BR"/>
        </w:rPr>
        <w:t xml:space="preserve">Aripuanã </w:t>
      </w:r>
      <w:r w:rsidRPr="00392EAD">
        <w:rPr>
          <w:spacing w:val="6"/>
          <w:lang w:val="pt-BR"/>
        </w:rPr>
        <w:t xml:space="preserve">(AM) </w:t>
      </w:r>
      <w:r w:rsidRPr="00392EAD">
        <w:rPr>
          <w:spacing w:val="10"/>
          <w:lang w:val="pt-BR"/>
        </w:rPr>
        <w:t xml:space="preserve">deixa </w:t>
      </w:r>
      <w:r w:rsidRPr="00392EAD">
        <w:rPr>
          <w:spacing w:val="7"/>
          <w:lang w:val="pt-BR"/>
        </w:rPr>
        <w:t xml:space="preserve">passivo ambiental </w:t>
      </w:r>
      <w:r w:rsidRPr="00392EAD">
        <w:rPr>
          <w:spacing w:val="5"/>
          <w:lang w:val="pt-BR"/>
        </w:rPr>
        <w:t>no sul</w:t>
      </w:r>
      <w:r w:rsidRPr="00392EAD">
        <w:rPr>
          <w:spacing w:val="56"/>
          <w:lang w:val="pt-BR"/>
        </w:rPr>
        <w:t xml:space="preserve"> </w:t>
      </w:r>
      <w:bookmarkEnd w:id="13"/>
      <w:r w:rsidRPr="00392EAD">
        <w:rPr>
          <w:spacing w:val="10"/>
          <w:lang w:val="pt-BR"/>
        </w:rPr>
        <w:t>amazonense</w:t>
      </w:r>
    </w:p>
    <w:p w:rsidR="00D81F69" w:rsidRPr="00392EAD" w:rsidRDefault="00D81F69">
      <w:pPr>
        <w:pStyle w:val="Corpodetexto"/>
        <w:ind w:left="0"/>
        <w:jc w:val="left"/>
        <w:rPr>
          <w:b/>
          <w:sz w:val="20"/>
          <w:lang w:val="pt-BR"/>
        </w:rPr>
      </w:pPr>
    </w:p>
    <w:p w:rsidR="00D81F69" w:rsidRPr="00392EAD" w:rsidRDefault="00D81F69">
      <w:pPr>
        <w:rPr>
          <w:sz w:val="20"/>
          <w:lang w:val="pt-BR"/>
        </w:rPr>
        <w:sectPr w:rsidR="00D81F69" w:rsidRPr="00392EAD">
          <w:pgSz w:w="11900" w:h="16840"/>
          <w:pgMar w:top="1080" w:right="460" w:bottom="720" w:left="620" w:header="0" w:footer="412" w:gutter="0"/>
          <w:cols w:space="720"/>
        </w:sectPr>
      </w:pPr>
    </w:p>
    <w:p w:rsidR="00D81F69" w:rsidRPr="00392EAD" w:rsidRDefault="00D81F69">
      <w:pPr>
        <w:pStyle w:val="Corpodetexto"/>
        <w:ind w:left="0"/>
        <w:jc w:val="left"/>
        <w:rPr>
          <w:b/>
          <w:sz w:val="16"/>
          <w:lang w:val="pt-BR"/>
        </w:rPr>
      </w:pPr>
    </w:p>
    <w:p w:rsidR="00D81F69" w:rsidRPr="00392EAD" w:rsidRDefault="00D81F69">
      <w:pPr>
        <w:pStyle w:val="Corpodetexto"/>
        <w:ind w:left="0"/>
        <w:jc w:val="left"/>
        <w:rPr>
          <w:b/>
          <w:sz w:val="16"/>
          <w:lang w:val="pt-BR"/>
        </w:rPr>
      </w:pPr>
    </w:p>
    <w:p w:rsidR="00D81F69" w:rsidRPr="00392EAD" w:rsidRDefault="00330118">
      <w:pPr>
        <w:spacing w:before="97"/>
        <w:ind w:left="135"/>
        <w:rPr>
          <w:i/>
          <w:sz w:val="14"/>
          <w:lang w:val="pt-BR"/>
        </w:rPr>
      </w:pPr>
      <w:r w:rsidRPr="00392EAD">
        <w:rPr>
          <w:i/>
          <w:sz w:val="14"/>
          <w:lang w:val="pt-BR"/>
        </w:rPr>
        <w:t>MUNICÍPIOS</w:t>
      </w:r>
    </w:p>
    <w:p w:rsidR="00D81F69" w:rsidRPr="00392EAD" w:rsidRDefault="00330118">
      <w:pPr>
        <w:spacing w:before="49"/>
        <w:ind w:left="135"/>
        <w:rPr>
          <w:i/>
          <w:sz w:val="14"/>
          <w:lang w:val="pt-BR"/>
        </w:rPr>
      </w:pPr>
      <w:r w:rsidRPr="00392EAD">
        <w:rPr>
          <w:i/>
          <w:sz w:val="14"/>
          <w:lang w:val="pt-BR"/>
        </w:rPr>
        <w:t>AM - Apuí</w:t>
      </w:r>
    </w:p>
    <w:p w:rsidR="00D81F69" w:rsidRPr="00392EAD" w:rsidRDefault="00330118">
      <w:pPr>
        <w:spacing w:before="49"/>
        <w:ind w:left="135"/>
        <w:rPr>
          <w:i/>
          <w:sz w:val="14"/>
          <w:lang w:val="pt-BR"/>
        </w:rPr>
      </w:pPr>
      <w:r w:rsidRPr="00392EAD">
        <w:rPr>
          <w:i/>
          <w:sz w:val="14"/>
          <w:lang w:val="pt-BR"/>
        </w:rPr>
        <w:t>AM - Novo Aripuanã</w:t>
      </w:r>
    </w:p>
    <w:p w:rsidR="00D81F69" w:rsidRPr="00392EAD" w:rsidRDefault="00D81F69">
      <w:pPr>
        <w:pStyle w:val="Corpodetexto"/>
        <w:spacing w:before="6"/>
        <w:ind w:left="0"/>
        <w:jc w:val="left"/>
        <w:rPr>
          <w:i/>
          <w:sz w:val="22"/>
          <w:lang w:val="pt-BR"/>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-8,6247</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-60,2188</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Pr="00392EAD" w:rsidRDefault="00330118">
      <w:pPr>
        <w:spacing w:before="25"/>
        <w:ind w:left="135"/>
        <w:rPr>
          <w:i/>
          <w:sz w:val="18"/>
          <w:lang w:val="pt-BR"/>
        </w:rPr>
      </w:pPr>
      <w:r w:rsidRPr="00392EAD">
        <w:rPr>
          <w:i/>
          <w:sz w:val="18"/>
          <w:lang w:val="pt-BR"/>
        </w:rPr>
        <w:t>SÍNTESE</w:t>
      </w:r>
    </w:p>
    <w:p w:rsidR="00D81F69" w:rsidRPr="00392EAD" w:rsidRDefault="00330118">
      <w:pPr>
        <w:spacing w:before="52" w:line="312" w:lineRule="auto"/>
        <w:ind w:left="135" w:right="38"/>
        <w:jc w:val="both"/>
        <w:rPr>
          <w:i/>
          <w:sz w:val="16"/>
          <w:lang w:val="pt-BR"/>
        </w:rPr>
      </w:pPr>
      <w:r w:rsidRPr="00392EAD">
        <w:rPr>
          <w:i/>
          <w:sz w:val="16"/>
          <w:lang w:val="pt-BR"/>
        </w:rPr>
        <w:t xml:space="preserve">A descoberta de ouro em um terreno </w:t>
      </w:r>
      <w:r w:rsidRPr="00392EAD">
        <w:rPr>
          <w:i/>
          <w:sz w:val="16"/>
          <w:lang w:val="pt-BR"/>
        </w:rPr>
        <w:t>situado entre os municípios de Apuí e Novo Aripuanã, no Amazonas, em 2006, provocou uma migração em massa para o sul do estado. O inchaço do garimpo gerou tensões e causou danos ambientais consideráveis principalmente após os primeiros sinais de esgotament</w:t>
      </w:r>
      <w:r w:rsidRPr="00392EAD">
        <w:rPr>
          <w:i/>
          <w:sz w:val="16"/>
          <w:lang w:val="pt-BR"/>
        </w:rPr>
        <w:t>o do ouro, quando a extração passou a ser feita com máquinas.</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Pr="00392EAD" w:rsidRDefault="00330118">
      <w:pPr>
        <w:pStyle w:val="Corpodetexto"/>
        <w:spacing w:before="1"/>
        <w:ind w:left="135"/>
        <w:jc w:val="left"/>
        <w:rPr>
          <w:lang w:val="pt-BR"/>
        </w:rPr>
      </w:pPr>
      <w:r w:rsidRPr="00392EAD">
        <w:rPr>
          <w:lang w:val="pt-BR"/>
        </w:rPr>
        <w:t>trabalhando em condições precárias.</w:t>
      </w:r>
    </w:p>
    <w:p w:rsidR="00D81F69" w:rsidRPr="00392EAD" w:rsidRDefault="00D81F69">
      <w:pPr>
        <w:pStyle w:val="Corpodetexto"/>
        <w:spacing w:before="8"/>
        <w:ind w:left="0"/>
        <w:jc w:val="left"/>
        <w:rPr>
          <w:sz w:val="16"/>
          <w:lang w:val="pt-BR"/>
        </w:rPr>
      </w:pPr>
    </w:p>
    <w:p w:rsidR="00D81F69" w:rsidRPr="00392EAD" w:rsidRDefault="00330118">
      <w:pPr>
        <w:pStyle w:val="Corpodetexto"/>
        <w:spacing w:before="1" w:line="312" w:lineRule="auto"/>
        <w:ind w:left="135" w:right="226"/>
        <w:jc w:val="left"/>
        <w:rPr>
          <w:lang w:val="pt-BR"/>
        </w:rPr>
      </w:pPr>
      <w:r w:rsidRPr="00392EAD">
        <w:rPr>
          <w:lang w:val="pt-BR"/>
        </w:rPr>
        <w:t>Em Novo Aripuanã, cidade de 21.451 habitantes e 41.188,524 km² (IBGE, 2010), a corrida do ouro elevou a tensão social (SOARES et al., 2008) Ao lado de outros garimpeiros, Zé Capeta fundou a Cooperativa de Desenvolvimento do Sul do Amazonas (Coodersam), que</w:t>
      </w:r>
      <w:r w:rsidRPr="00392EAD">
        <w:rPr>
          <w:lang w:val="pt-BR"/>
        </w:rPr>
        <w:t xml:space="preserve"> reivindicou legitimidade para organizar as diversas frentes de trabalho que se formaram. Com o crescimento exponencial do garimpo, os conflitos internos começaram a crescer (BRASIL, 2007b).</w:t>
      </w:r>
    </w:p>
    <w:p w:rsidR="00D81F69" w:rsidRPr="00392EAD" w:rsidRDefault="00330118">
      <w:pPr>
        <w:pStyle w:val="Corpodetexto"/>
        <w:spacing w:before="137" w:line="312" w:lineRule="auto"/>
        <w:ind w:left="135"/>
        <w:jc w:val="left"/>
        <w:rPr>
          <w:lang w:val="pt-BR"/>
        </w:rPr>
      </w:pPr>
      <w:r w:rsidRPr="00392EAD">
        <w:rPr>
          <w:lang w:val="pt-BR"/>
        </w:rPr>
        <w:t>Ainda em janeiro de 2007, a Agência Brasileira de Inteligência (A</w:t>
      </w:r>
      <w:r w:rsidRPr="00392EAD">
        <w:rPr>
          <w:lang w:val="pt-BR"/>
        </w:rPr>
        <w:t>bin) declarou que estava investigando a atividade dos</w:t>
      </w:r>
    </w:p>
    <w:p w:rsidR="00D81F69" w:rsidRPr="00392EAD" w:rsidRDefault="00D81F69">
      <w:pPr>
        <w:spacing w:line="312" w:lineRule="auto"/>
        <w:rPr>
          <w:lang w:val="pt-BR"/>
        </w:rPr>
        <w:sectPr w:rsidR="00D81F69" w:rsidRPr="00392EAD">
          <w:type w:val="continuous"/>
          <w:pgSz w:w="11900" w:h="16840"/>
          <w:pgMar w:top="720" w:right="460" w:bottom="280" w:left="620" w:header="720" w:footer="720" w:gutter="0"/>
          <w:cols w:num="3" w:space="720" w:equalWidth="0">
            <w:col w:w="1436" w:space="564"/>
            <w:col w:w="3115" w:space="320"/>
            <w:col w:w="5385"/>
          </w:cols>
        </w:sectPr>
      </w:pPr>
    </w:p>
    <w:p w:rsidR="00D81F69" w:rsidRPr="00392EAD" w:rsidRDefault="00330118">
      <w:pPr>
        <w:pStyle w:val="Heading4"/>
        <w:spacing w:line="232" w:lineRule="exact"/>
        <w:rPr>
          <w:lang w:val="pt-BR"/>
        </w:rPr>
      </w:pPr>
      <w:r w:rsidRPr="00392EAD">
        <w:rPr>
          <w:lang w:val="pt-BR"/>
        </w:rPr>
        <w:lastRenderedPageBreak/>
        <w:t>APRESENTAÇÃO DE CASO</w:t>
      </w:r>
    </w:p>
    <w:p w:rsidR="00D81F69" w:rsidRPr="00392EAD" w:rsidRDefault="00330118">
      <w:pPr>
        <w:pStyle w:val="Corpodetexto"/>
        <w:spacing w:before="170" w:line="312" w:lineRule="auto"/>
        <w:ind w:right="42"/>
        <w:rPr>
          <w:lang w:val="pt-BR"/>
        </w:rPr>
      </w:pPr>
      <w:r w:rsidRPr="00392EAD">
        <w:rPr>
          <w:lang w:val="pt-BR"/>
        </w:rPr>
        <w:t>Uma reportagem do jornal O Estado de São Paulo, publicada em 27 de novembro de 2007, descreveu a seguinte cena: “As máquinas entraram no garimpo do r</w:t>
      </w:r>
      <w:r w:rsidRPr="00392EAD">
        <w:rPr>
          <w:lang w:val="pt-BR"/>
        </w:rPr>
        <w:t xml:space="preserve">io Juma, o novo Eldorado do sul da Amazônia, no município de Novo Aripuanã, a </w:t>
      </w:r>
      <w:r w:rsidRPr="00392EAD">
        <w:rPr>
          <w:spacing w:val="1"/>
          <w:lang w:val="pt-BR"/>
        </w:rPr>
        <w:t xml:space="preserve">500 </w:t>
      </w:r>
      <w:r w:rsidRPr="00392EAD">
        <w:rPr>
          <w:lang w:val="pt-BR"/>
        </w:rPr>
        <w:t xml:space="preserve">km de Manaus. </w:t>
      </w:r>
      <w:r>
        <w:t xml:space="preserve">É o que denuncia o ronco ensurdecedor dos motores. Também já há dragas revolvendo a areia no leito de </w:t>
      </w:r>
      <w:r>
        <w:rPr>
          <w:spacing w:val="5"/>
        </w:rPr>
        <w:t xml:space="preserve">um dos </w:t>
      </w:r>
      <w:r>
        <w:rPr>
          <w:spacing w:val="6"/>
        </w:rPr>
        <w:t xml:space="preserve">mais </w:t>
      </w:r>
      <w:r>
        <w:rPr>
          <w:spacing w:val="7"/>
        </w:rPr>
        <w:t xml:space="preserve">belos </w:t>
      </w:r>
      <w:r>
        <w:rPr>
          <w:spacing w:val="8"/>
        </w:rPr>
        <w:t xml:space="preserve">mananciais amazônicos. </w:t>
      </w:r>
      <w:r>
        <w:rPr>
          <w:spacing w:val="5"/>
        </w:rPr>
        <w:t xml:space="preserve">As </w:t>
      </w:r>
      <w:r>
        <w:rPr>
          <w:spacing w:val="10"/>
        </w:rPr>
        <w:t xml:space="preserve">águas </w:t>
      </w:r>
      <w:r>
        <w:rPr>
          <w:spacing w:val="7"/>
        </w:rPr>
        <w:t xml:space="preserve">escuras </w:t>
      </w:r>
      <w:r>
        <w:t xml:space="preserve">e </w:t>
      </w:r>
      <w:r>
        <w:rPr>
          <w:spacing w:val="7"/>
        </w:rPr>
        <w:t xml:space="preserve">límpidas </w:t>
      </w:r>
      <w:r>
        <w:rPr>
          <w:spacing w:val="5"/>
        </w:rPr>
        <w:t xml:space="preserve">do </w:t>
      </w:r>
      <w:r>
        <w:rPr>
          <w:spacing w:val="6"/>
        </w:rPr>
        <w:t xml:space="preserve">Juma </w:t>
      </w:r>
      <w:r>
        <w:rPr>
          <w:spacing w:val="7"/>
        </w:rPr>
        <w:t xml:space="preserve">agora estão amarelas </w:t>
      </w:r>
      <w:r>
        <w:t xml:space="preserve">e </w:t>
      </w:r>
      <w:r>
        <w:rPr>
          <w:spacing w:val="3"/>
        </w:rPr>
        <w:t xml:space="preserve">barrentas. </w:t>
      </w:r>
      <w:r>
        <w:rPr>
          <w:spacing w:val="2"/>
        </w:rPr>
        <w:t xml:space="preserve">Azar </w:t>
      </w:r>
      <w:r>
        <w:rPr>
          <w:spacing w:val="1"/>
        </w:rPr>
        <w:t xml:space="preserve">do </w:t>
      </w:r>
      <w:r>
        <w:rPr>
          <w:spacing w:val="2"/>
        </w:rPr>
        <w:t xml:space="preserve">rio </w:t>
      </w:r>
      <w:r>
        <w:t xml:space="preserve">e </w:t>
      </w:r>
      <w:r>
        <w:rPr>
          <w:spacing w:val="1"/>
        </w:rPr>
        <w:t xml:space="preserve">da </w:t>
      </w:r>
      <w:r>
        <w:rPr>
          <w:spacing w:val="3"/>
        </w:rPr>
        <w:t xml:space="preserve">floresta: </w:t>
      </w:r>
      <w:r>
        <w:rPr>
          <w:spacing w:val="2"/>
        </w:rPr>
        <w:t xml:space="preserve">isso </w:t>
      </w:r>
      <w:r>
        <w:rPr>
          <w:spacing w:val="3"/>
        </w:rPr>
        <w:t xml:space="preserve">significa </w:t>
      </w:r>
      <w:r>
        <w:rPr>
          <w:spacing w:val="2"/>
        </w:rPr>
        <w:t xml:space="preserve">que </w:t>
      </w:r>
      <w:r>
        <w:rPr>
          <w:spacing w:val="5"/>
        </w:rPr>
        <w:t xml:space="preserve">os </w:t>
      </w:r>
      <w:r>
        <w:t xml:space="preserve">garimpeiros chegaram para ficar”. </w:t>
      </w:r>
      <w:r w:rsidRPr="00392EAD">
        <w:rPr>
          <w:lang w:val="pt-BR"/>
        </w:rPr>
        <w:t xml:space="preserve">A matéria retratava ainda a </w:t>
      </w:r>
      <w:r w:rsidRPr="00392EAD">
        <w:rPr>
          <w:spacing w:val="5"/>
          <w:lang w:val="pt-BR"/>
        </w:rPr>
        <w:t xml:space="preserve">derrubada </w:t>
      </w:r>
      <w:r w:rsidRPr="00392EAD">
        <w:rPr>
          <w:spacing w:val="2"/>
          <w:lang w:val="pt-BR"/>
        </w:rPr>
        <w:t xml:space="preserve">de </w:t>
      </w:r>
      <w:r w:rsidRPr="00392EAD">
        <w:rPr>
          <w:spacing w:val="5"/>
          <w:lang w:val="pt-BR"/>
        </w:rPr>
        <w:t xml:space="preserve">inúmeras árvores </w:t>
      </w:r>
      <w:r w:rsidRPr="00392EAD">
        <w:rPr>
          <w:lang w:val="pt-BR"/>
        </w:rPr>
        <w:t xml:space="preserve">e o </w:t>
      </w:r>
      <w:r w:rsidRPr="00392EAD">
        <w:rPr>
          <w:spacing w:val="5"/>
          <w:lang w:val="pt-BR"/>
        </w:rPr>
        <w:t xml:space="preserve">surgimento </w:t>
      </w:r>
      <w:r w:rsidRPr="00392EAD">
        <w:rPr>
          <w:spacing w:val="2"/>
          <w:lang w:val="pt-BR"/>
        </w:rPr>
        <w:t xml:space="preserve">de </w:t>
      </w:r>
      <w:r w:rsidRPr="00392EAD">
        <w:rPr>
          <w:spacing w:val="6"/>
          <w:lang w:val="pt-BR"/>
        </w:rPr>
        <w:t xml:space="preserve">uma </w:t>
      </w:r>
      <w:r w:rsidRPr="00392EAD">
        <w:rPr>
          <w:lang w:val="pt-BR"/>
        </w:rPr>
        <w:t>pequena vila com “rua comercial, padaria</w:t>
      </w:r>
      <w:r w:rsidRPr="00392EAD">
        <w:rPr>
          <w:lang w:val="pt-BR"/>
        </w:rPr>
        <w:t xml:space="preserve">, açougue, farmácia, lojas, botecos, serraria e até uma casa de shows com strip- </w:t>
      </w:r>
      <w:r w:rsidRPr="00392EAD">
        <w:rPr>
          <w:spacing w:val="11"/>
          <w:lang w:val="pt-BR"/>
        </w:rPr>
        <w:t xml:space="preserve">tease” </w:t>
      </w:r>
      <w:r w:rsidRPr="00392EAD">
        <w:rPr>
          <w:spacing w:val="6"/>
          <w:lang w:val="pt-BR"/>
        </w:rPr>
        <w:t xml:space="preserve">em </w:t>
      </w:r>
      <w:r w:rsidRPr="00392EAD">
        <w:rPr>
          <w:spacing w:val="10"/>
          <w:lang w:val="pt-BR"/>
        </w:rPr>
        <w:t xml:space="preserve">uma área que </w:t>
      </w:r>
      <w:r w:rsidRPr="00392EAD">
        <w:rPr>
          <w:spacing w:val="11"/>
          <w:lang w:val="pt-BR"/>
        </w:rPr>
        <w:t xml:space="preserve">antes </w:t>
      </w:r>
      <w:r w:rsidRPr="00392EAD">
        <w:rPr>
          <w:spacing w:val="12"/>
          <w:lang w:val="pt-BR"/>
        </w:rPr>
        <w:t xml:space="preserve">abrigava </w:t>
      </w:r>
      <w:r w:rsidRPr="00392EAD">
        <w:rPr>
          <w:lang w:val="pt-BR"/>
        </w:rPr>
        <w:t xml:space="preserve">a </w:t>
      </w:r>
      <w:r w:rsidRPr="00392EAD">
        <w:rPr>
          <w:spacing w:val="15"/>
          <w:lang w:val="pt-BR"/>
        </w:rPr>
        <w:t xml:space="preserve">floresta </w:t>
      </w:r>
      <w:r w:rsidRPr="00392EAD">
        <w:rPr>
          <w:spacing w:val="12"/>
          <w:lang w:val="pt-BR"/>
        </w:rPr>
        <w:t>(TOMAZELA,</w:t>
      </w:r>
      <w:r w:rsidRPr="00392EAD">
        <w:rPr>
          <w:spacing w:val="66"/>
          <w:lang w:val="pt-BR"/>
        </w:rPr>
        <w:t xml:space="preserve"> </w:t>
      </w:r>
      <w:r w:rsidRPr="00392EAD">
        <w:rPr>
          <w:spacing w:val="15"/>
          <w:lang w:val="pt-BR"/>
        </w:rPr>
        <w:t>2007).</w:t>
      </w:r>
    </w:p>
    <w:p w:rsidR="00D81F69" w:rsidRPr="00392EAD" w:rsidRDefault="00330118">
      <w:pPr>
        <w:pStyle w:val="Corpodetexto"/>
        <w:spacing w:before="144" w:line="312" w:lineRule="auto"/>
        <w:ind w:right="59"/>
        <w:rPr>
          <w:lang w:val="pt-BR"/>
        </w:rPr>
      </w:pPr>
      <w:r w:rsidRPr="00392EAD">
        <w:rPr>
          <w:lang w:val="pt-BR"/>
        </w:rPr>
        <w:t>Situado em um grande terreno às margens do Rio Juma, o garimpo do Juma começou a ser explorado no fim de 200</w:t>
      </w:r>
      <w:r w:rsidRPr="00392EAD">
        <w:rPr>
          <w:lang w:val="pt-BR"/>
        </w:rPr>
        <w:t>6 e levou milhares de trabalhadores de todo o país para a região (BRASIL, 2007a). Desde então, o local foi tema de uma série de reportagens realizadas por alguns dos principais jornais brasileiros. De acordo com uma série de matérias da Folha de</w:t>
      </w:r>
    </w:p>
    <w:p w:rsidR="00D81F69" w:rsidRPr="00392EAD" w:rsidRDefault="00330118">
      <w:pPr>
        <w:pStyle w:val="Corpodetexto"/>
        <w:spacing w:before="5" w:line="312" w:lineRule="auto"/>
        <w:ind w:right="54"/>
        <w:rPr>
          <w:lang w:val="pt-BR"/>
        </w:rPr>
      </w:pPr>
      <w:r w:rsidRPr="00392EAD">
        <w:rPr>
          <w:lang w:val="pt-BR"/>
        </w:rPr>
        <w:t xml:space="preserve">S. Paulo, </w:t>
      </w:r>
      <w:r w:rsidRPr="00392EAD">
        <w:rPr>
          <w:lang w:val="pt-BR"/>
        </w:rPr>
        <w:t>o lavrador José Ferreira da Silva Filho, conhecido como Zé Capeta, teria descoberto o ouro em um terreno, cuja propriedade alegava possuir. Em seguida, ele recrutou trabalhadores para ajudarem na exploração do minério. Em troca, recebia de 8% a 10% daquilo</w:t>
      </w:r>
      <w:r w:rsidRPr="00392EAD">
        <w:rPr>
          <w:lang w:val="pt-BR"/>
        </w:rPr>
        <w:t xml:space="preserve"> que era retirado pelos trabalhadores (BRASIL, 2007b).</w:t>
      </w:r>
    </w:p>
    <w:p w:rsidR="00D81F69" w:rsidRPr="00392EAD" w:rsidRDefault="00330118">
      <w:pPr>
        <w:pStyle w:val="Corpodetexto"/>
        <w:spacing w:before="73" w:line="270" w:lineRule="atLeast"/>
        <w:ind w:right="38"/>
        <w:rPr>
          <w:lang w:val="pt-BR"/>
        </w:rPr>
      </w:pPr>
      <w:r w:rsidRPr="00392EAD">
        <w:rPr>
          <w:lang w:val="pt-BR"/>
        </w:rPr>
        <w:t xml:space="preserve">A </w:t>
      </w:r>
      <w:r w:rsidRPr="00392EAD">
        <w:rPr>
          <w:spacing w:val="3"/>
          <w:lang w:val="pt-BR"/>
        </w:rPr>
        <w:t xml:space="preserve">notícia </w:t>
      </w:r>
      <w:r w:rsidRPr="00392EAD">
        <w:rPr>
          <w:spacing w:val="1"/>
          <w:lang w:val="pt-BR"/>
        </w:rPr>
        <w:t xml:space="preserve">de um </w:t>
      </w:r>
      <w:r w:rsidRPr="00392EAD">
        <w:rPr>
          <w:spacing w:val="2"/>
          <w:lang w:val="pt-BR"/>
        </w:rPr>
        <w:t xml:space="preserve">novo </w:t>
      </w:r>
      <w:r w:rsidRPr="00392EAD">
        <w:rPr>
          <w:spacing w:val="3"/>
          <w:lang w:val="pt-BR"/>
        </w:rPr>
        <w:t xml:space="preserve">Eldorado </w:t>
      </w:r>
      <w:r w:rsidRPr="00392EAD">
        <w:rPr>
          <w:spacing w:val="1"/>
          <w:lang w:val="pt-BR"/>
        </w:rPr>
        <w:t xml:space="preserve">na </w:t>
      </w:r>
      <w:r w:rsidRPr="00392EAD">
        <w:rPr>
          <w:spacing w:val="3"/>
          <w:lang w:val="pt-BR"/>
        </w:rPr>
        <w:t xml:space="preserve">região correu </w:t>
      </w:r>
      <w:r w:rsidRPr="00392EAD">
        <w:rPr>
          <w:spacing w:val="1"/>
          <w:lang w:val="pt-BR"/>
        </w:rPr>
        <w:t xml:space="preserve">de </w:t>
      </w:r>
      <w:r w:rsidRPr="00392EAD">
        <w:rPr>
          <w:spacing w:val="5"/>
          <w:lang w:val="pt-BR"/>
        </w:rPr>
        <w:t xml:space="preserve">forma </w:t>
      </w:r>
      <w:r w:rsidRPr="00392EAD">
        <w:rPr>
          <w:lang w:val="pt-BR"/>
        </w:rPr>
        <w:t xml:space="preserve">impressionante e, já no início de 2007, havia estimativas de cerca de duas mil pessoas trabalhando no local (SOARES et al., 2008). Os municípios </w:t>
      </w:r>
      <w:r w:rsidRPr="00392EAD">
        <w:rPr>
          <w:lang w:val="pt-BR"/>
        </w:rPr>
        <w:t xml:space="preserve">próximos incharam repentinamente, </w:t>
      </w:r>
      <w:r w:rsidRPr="00392EAD">
        <w:rPr>
          <w:spacing w:val="3"/>
          <w:lang w:val="pt-BR"/>
        </w:rPr>
        <w:t xml:space="preserve">recebendo aventureiros </w:t>
      </w:r>
      <w:r w:rsidRPr="00392EAD">
        <w:rPr>
          <w:spacing w:val="1"/>
          <w:lang w:val="pt-BR"/>
        </w:rPr>
        <w:t xml:space="preserve">de </w:t>
      </w:r>
      <w:r w:rsidRPr="00392EAD">
        <w:rPr>
          <w:spacing w:val="3"/>
          <w:lang w:val="pt-BR"/>
        </w:rPr>
        <w:t xml:space="preserve">outras regiões, atraídos </w:t>
      </w:r>
      <w:r w:rsidRPr="00392EAD">
        <w:rPr>
          <w:spacing w:val="5"/>
          <w:lang w:val="pt-BR"/>
        </w:rPr>
        <w:t xml:space="preserve">pelos </w:t>
      </w:r>
      <w:r w:rsidRPr="00392EAD">
        <w:rPr>
          <w:lang w:val="pt-BR"/>
        </w:rPr>
        <w:t>relatos. Alguns dos pioneiros teriam chegado a achar até 40 kg de ouro (TOMAZELA, 2007). Mas, a maioria das pessoas que ali chegou teve que se contentar com muito me</w:t>
      </w:r>
      <w:r w:rsidRPr="00392EAD">
        <w:rPr>
          <w:lang w:val="pt-BR"/>
        </w:rPr>
        <w:t xml:space="preserve">nos. As </w:t>
      </w:r>
      <w:r w:rsidRPr="00392EAD">
        <w:rPr>
          <w:spacing w:val="3"/>
          <w:lang w:val="pt-BR"/>
        </w:rPr>
        <w:t xml:space="preserve">imagens </w:t>
      </w:r>
      <w:r w:rsidRPr="00392EAD">
        <w:rPr>
          <w:spacing w:val="1"/>
          <w:lang w:val="pt-BR"/>
        </w:rPr>
        <w:t xml:space="preserve">do </w:t>
      </w:r>
      <w:r w:rsidRPr="00392EAD">
        <w:rPr>
          <w:spacing w:val="3"/>
          <w:lang w:val="pt-BR"/>
        </w:rPr>
        <w:t xml:space="preserve">local retratam </w:t>
      </w:r>
      <w:r w:rsidRPr="00392EAD">
        <w:rPr>
          <w:spacing w:val="2"/>
          <w:lang w:val="pt-BR"/>
        </w:rPr>
        <w:t xml:space="preserve">uma </w:t>
      </w:r>
      <w:r w:rsidRPr="00392EAD">
        <w:rPr>
          <w:spacing w:val="3"/>
          <w:lang w:val="pt-BR"/>
        </w:rPr>
        <w:t xml:space="preserve">multidão </w:t>
      </w:r>
      <w:r w:rsidRPr="00392EAD">
        <w:rPr>
          <w:spacing w:val="1"/>
          <w:lang w:val="pt-BR"/>
        </w:rPr>
        <w:t xml:space="preserve">em </w:t>
      </w:r>
      <w:r w:rsidRPr="00392EAD">
        <w:rPr>
          <w:spacing w:val="2"/>
          <w:lang w:val="pt-BR"/>
        </w:rPr>
        <w:t xml:space="preserve">meio </w:t>
      </w:r>
      <w:r w:rsidRPr="00392EAD">
        <w:rPr>
          <w:lang w:val="pt-BR"/>
        </w:rPr>
        <w:t>à</w:t>
      </w:r>
      <w:r w:rsidRPr="00392EAD">
        <w:rPr>
          <w:spacing w:val="1"/>
          <w:lang w:val="pt-BR"/>
        </w:rPr>
        <w:t xml:space="preserve"> </w:t>
      </w:r>
      <w:r w:rsidRPr="00392EAD">
        <w:rPr>
          <w:spacing w:val="5"/>
          <w:lang w:val="pt-BR"/>
        </w:rPr>
        <w:t>lama,</w:t>
      </w:r>
    </w:p>
    <w:p w:rsidR="00D81F69" w:rsidRPr="00392EAD" w:rsidRDefault="00330118">
      <w:pPr>
        <w:pStyle w:val="Corpodetexto"/>
        <w:spacing w:before="2" w:line="312" w:lineRule="auto"/>
        <w:ind w:right="232"/>
        <w:rPr>
          <w:lang w:val="pt-BR"/>
        </w:rPr>
      </w:pPr>
      <w:r w:rsidRPr="00392EAD">
        <w:rPr>
          <w:lang w:val="pt-BR"/>
        </w:rPr>
        <w:br w:type="column"/>
      </w:r>
      <w:r w:rsidRPr="00392EAD">
        <w:rPr>
          <w:lang w:val="pt-BR"/>
        </w:rPr>
        <w:lastRenderedPageBreak/>
        <w:t>garimpeiros na região. Simultaneamente, o Departamento Nacional de Produção Mineral (DNPM) lançou um projeto de mapeamento mineral com vistas a regularizar as atividades mineradoras, que passariam a ser monitoradas pelo órgão (SOARES et al., 2008). Este pr</w:t>
      </w:r>
      <w:r w:rsidRPr="00392EAD">
        <w:rPr>
          <w:lang w:val="pt-BR"/>
        </w:rPr>
        <w:t>ojeto levou a cabo medidas importantes, como a instalação de postos de vigilância e dispositivos de fiscalização (BURGOS, 2008). Foi criado um plano de legalização do garimpo, e a Cooperativa Extrativista Mineral Familiar do Juma (Coperjuma), integrada por</w:t>
      </w:r>
      <w:r w:rsidRPr="00392EAD">
        <w:rPr>
          <w:lang w:val="pt-BR"/>
        </w:rPr>
        <w:t xml:space="preserve"> garimpeiros, recebeu autorização para funcionar (SUZUKI, 2007).</w:t>
      </w:r>
    </w:p>
    <w:p w:rsidR="00D81F69" w:rsidRPr="00392EAD" w:rsidRDefault="00330118">
      <w:pPr>
        <w:pStyle w:val="Corpodetexto"/>
        <w:spacing w:before="140" w:line="312" w:lineRule="auto"/>
        <w:ind w:right="233"/>
        <w:rPr>
          <w:lang w:val="pt-BR"/>
        </w:rPr>
      </w:pPr>
      <w:r w:rsidRPr="00392EAD">
        <w:rPr>
          <w:lang w:val="pt-BR"/>
        </w:rPr>
        <w:t>A Casa Civil formou uma comissão interinstitucional para colocar em prática a “Operação Juma”, num esforço de organizar o garimpo e cessar os conflitos e perturbações da ordem no local (BURGO</w:t>
      </w:r>
      <w:r w:rsidRPr="00392EAD">
        <w:rPr>
          <w:lang w:val="pt-BR"/>
        </w:rPr>
        <w:t>S, 2008). Uma das primeiras providências foi tentar conter a sanha de mineradoras e garimpeiros que se mobilizavam para explorar outros terrenos na região. Desta forma, o DNPM bloqueou requerimentos para estudos de viabilidade em áreas próximas (BURGOS, 20</w:t>
      </w:r>
      <w:r w:rsidRPr="00392EAD">
        <w:rPr>
          <w:lang w:val="pt-BR"/>
        </w:rPr>
        <w:t>08).</w:t>
      </w:r>
    </w:p>
    <w:p w:rsidR="00D81F69" w:rsidRPr="00392EAD" w:rsidRDefault="00330118">
      <w:pPr>
        <w:pStyle w:val="Corpodetexto"/>
        <w:spacing w:before="138" w:line="312" w:lineRule="auto"/>
        <w:ind w:right="255"/>
        <w:rPr>
          <w:lang w:val="pt-BR"/>
        </w:rPr>
      </w:pPr>
      <w:r w:rsidRPr="00392EAD">
        <w:rPr>
          <w:lang w:val="pt-BR"/>
        </w:rPr>
        <w:t>Os estudos ambientais realizados pela comissão constataram “a inexistência de barragens que poderiam vir a conter o fluxo de material em suspensão para as águas do rio Juma, evitar o assoreamento e garantir a água necessária aos trabalhos de garimpo na épo</w:t>
      </w:r>
      <w:r w:rsidRPr="00392EAD">
        <w:rPr>
          <w:lang w:val="pt-BR"/>
        </w:rPr>
        <w:t>ca de estiagem” (BURGOS, 2008).</w:t>
      </w:r>
    </w:p>
    <w:p w:rsidR="00D81F69" w:rsidRDefault="00330118">
      <w:pPr>
        <w:pStyle w:val="Corpodetexto"/>
        <w:spacing w:before="72" w:line="270" w:lineRule="atLeast"/>
        <w:ind w:right="230"/>
      </w:pPr>
      <w:r w:rsidRPr="00392EAD">
        <w:rPr>
          <w:lang w:val="pt-BR"/>
        </w:rPr>
        <w:t>Quando as primeiras camadas de ouro nas grotas exploradas foram totalmente extraídas, os garimpeiros passaram a usar máquinas. A mesma reportagem do jornal O Estado de São Paulo, anteriormente citada, retrata o cenário de de</w:t>
      </w:r>
      <w:r w:rsidRPr="00392EAD">
        <w:rPr>
          <w:lang w:val="pt-BR"/>
        </w:rPr>
        <w:t xml:space="preserve">vastação </w:t>
      </w:r>
      <w:r w:rsidRPr="00392EAD">
        <w:rPr>
          <w:spacing w:val="3"/>
          <w:lang w:val="pt-BR"/>
        </w:rPr>
        <w:t xml:space="preserve">que </w:t>
      </w:r>
      <w:r w:rsidRPr="00392EAD">
        <w:rPr>
          <w:spacing w:val="2"/>
          <w:lang w:val="pt-BR"/>
        </w:rPr>
        <w:t xml:space="preserve">se </w:t>
      </w:r>
      <w:r w:rsidRPr="00392EAD">
        <w:rPr>
          <w:spacing w:val="5"/>
          <w:lang w:val="pt-BR"/>
        </w:rPr>
        <w:t xml:space="preserve">formou </w:t>
      </w:r>
      <w:r w:rsidRPr="00392EAD">
        <w:rPr>
          <w:lang w:val="pt-BR"/>
        </w:rPr>
        <w:t xml:space="preserve">a </w:t>
      </w:r>
      <w:r w:rsidRPr="00392EAD">
        <w:rPr>
          <w:spacing w:val="5"/>
          <w:lang w:val="pt-BR"/>
        </w:rPr>
        <w:t xml:space="preserve">partir </w:t>
      </w:r>
      <w:r w:rsidRPr="00392EAD">
        <w:rPr>
          <w:spacing w:val="2"/>
          <w:lang w:val="pt-BR"/>
        </w:rPr>
        <w:t xml:space="preserve">de </w:t>
      </w:r>
      <w:r w:rsidRPr="00392EAD">
        <w:rPr>
          <w:spacing w:val="5"/>
          <w:lang w:val="pt-BR"/>
        </w:rPr>
        <w:t xml:space="preserve">então: </w:t>
      </w:r>
      <w:r w:rsidRPr="00392EAD">
        <w:rPr>
          <w:spacing w:val="3"/>
          <w:lang w:val="pt-BR"/>
        </w:rPr>
        <w:t xml:space="preserve">“Os </w:t>
      </w:r>
      <w:r w:rsidRPr="00392EAD">
        <w:rPr>
          <w:spacing w:val="5"/>
          <w:lang w:val="pt-BR"/>
        </w:rPr>
        <w:t xml:space="preserve">troncos </w:t>
      </w:r>
      <w:r w:rsidRPr="00392EAD">
        <w:rPr>
          <w:spacing w:val="2"/>
          <w:lang w:val="pt-BR"/>
        </w:rPr>
        <w:t xml:space="preserve">de </w:t>
      </w:r>
      <w:r w:rsidRPr="00392EAD">
        <w:rPr>
          <w:spacing w:val="5"/>
          <w:lang w:val="pt-BR"/>
        </w:rPr>
        <w:t xml:space="preserve">tauaris, </w:t>
      </w:r>
      <w:r w:rsidRPr="00392EAD">
        <w:rPr>
          <w:lang w:val="pt-BR"/>
        </w:rPr>
        <w:t xml:space="preserve">angelins e ipês, derrubados com motosserra, vão ficando para trás, como palitos descartados. </w:t>
      </w:r>
      <w:r>
        <w:t xml:space="preserve">Como tatus, os aventureiros </w:t>
      </w:r>
      <w:r>
        <w:rPr>
          <w:spacing w:val="3"/>
        </w:rPr>
        <w:t xml:space="preserve">cavam muitas trincheiras </w:t>
      </w:r>
      <w:r>
        <w:t xml:space="preserve">e </w:t>
      </w:r>
      <w:r>
        <w:rPr>
          <w:spacing w:val="2"/>
        </w:rPr>
        <w:t xml:space="preserve">vão </w:t>
      </w:r>
      <w:r>
        <w:rPr>
          <w:spacing w:val="3"/>
        </w:rPr>
        <w:t xml:space="preserve">transformando </w:t>
      </w:r>
      <w:r>
        <w:t xml:space="preserve">a </w:t>
      </w:r>
      <w:r>
        <w:rPr>
          <w:spacing w:val="5"/>
        </w:rPr>
        <w:t xml:space="preserve">floresta, </w:t>
      </w:r>
      <w:r>
        <w:t>antes intoca</w:t>
      </w:r>
      <w:r>
        <w:t xml:space="preserve">da, numa paisagem lunar. A lama da garimpagem </w:t>
      </w:r>
      <w:r>
        <w:rPr>
          <w:spacing w:val="5"/>
        </w:rPr>
        <w:t xml:space="preserve">vaza para </w:t>
      </w:r>
      <w:r>
        <w:t xml:space="preserve">o </w:t>
      </w:r>
      <w:r>
        <w:rPr>
          <w:spacing w:val="5"/>
        </w:rPr>
        <w:t xml:space="preserve">rio, misturada </w:t>
      </w:r>
      <w:r>
        <w:rPr>
          <w:spacing w:val="2"/>
        </w:rPr>
        <w:t xml:space="preserve">ao </w:t>
      </w:r>
      <w:hyperlink r:id="rId62">
        <w:r>
          <w:rPr>
            <w:spacing w:val="5"/>
          </w:rPr>
          <w:t>mercúrio</w:t>
        </w:r>
      </w:hyperlink>
      <w:r>
        <w:rPr>
          <w:spacing w:val="5"/>
        </w:rPr>
        <w:t xml:space="preserve"> que, apesar </w:t>
      </w:r>
      <w:r>
        <w:rPr>
          <w:spacing w:val="6"/>
        </w:rPr>
        <w:t xml:space="preserve">de </w:t>
      </w:r>
      <w:r>
        <w:rPr>
          <w:spacing w:val="12"/>
        </w:rPr>
        <w:t xml:space="preserve">proibido, </w:t>
      </w:r>
      <w:r>
        <w:t xml:space="preserve">é </w:t>
      </w:r>
      <w:r>
        <w:rPr>
          <w:spacing w:val="11"/>
        </w:rPr>
        <w:t xml:space="preserve">usado </w:t>
      </w:r>
      <w:r>
        <w:rPr>
          <w:spacing w:val="6"/>
        </w:rPr>
        <w:t xml:space="preserve">às </w:t>
      </w:r>
      <w:r>
        <w:rPr>
          <w:spacing w:val="11"/>
        </w:rPr>
        <w:t xml:space="preserve">claras </w:t>
      </w:r>
      <w:r>
        <w:rPr>
          <w:spacing w:val="10"/>
        </w:rPr>
        <w:t xml:space="preserve">para </w:t>
      </w:r>
      <w:r>
        <w:rPr>
          <w:spacing w:val="12"/>
        </w:rPr>
        <w:t xml:space="preserve">purificar </w:t>
      </w:r>
      <w:r>
        <w:t xml:space="preserve">o </w:t>
      </w:r>
      <w:r>
        <w:rPr>
          <w:spacing w:val="11"/>
        </w:rPr>
        <w:t xml:space="preserve">ouro” </w:t>
      </w:r>
      <w:r>
        <w:rPr>
          <w:spacing w:val="12"/>
        </w:rPr>
        <w:t>(TOMAZELA,</w:t>
      </w:r>
      <w:r>
        <w:rPr>
          <w:spacing w:val="72"/>
        </w:rPr>
        <w:t xml:space="preserve"> </w:t>
      </w:r>
      <w:r>
        <w:rPr>
          <w:spacing w:val="11"/>
        </w:rPr>
        <w:t>200</w:t>
      </w:r>
      <w:r>
        <w:rPr>
          <w:spacing w:val="11"/>
        </w:rPr>
        <w:t>7).</w:t>
      </w:r>
      <w:r>
        <w:rPr>
          <w:spacing w:val="-34"/>
        </w:rPr>
        <w:t xml:space="preserve"> </w:t>
      </w:r>
    </w:p>
    <w:p w:rsidR="00D81F69" w:rsidRDefault="00D81F69">
      <w:pPr>
        <w:spacing w:line="270" w:lineRule="atLeast"/>
        <w:sectPr w:rsidR="00D81F69">
          <w:type w:val="continuous"/>
          <w:pgSz w:w="11900" w:h="16840"/>
          <w:pgMar w:top="720" w:right="460" w:bottom="280" w:left="620" w:header="720" w:footer="720" w:gutter="0"/>
          <w:cols w:num="2" w:space="720" w:equalWidth="0">
            <w:col w:w="5157" w:space="313"/>
            <w:col w:w="5350"/>
          </w:cols>
        </w:sectPr>
      </w:pPr>
    </w:p>
    <w:p w:rsidR="00D81F69" w:rsidRDefault="00D81F69">
      <w:pPr>
        <w:pStyle w:val="Corpodetexto"/>
        <w:spacing w:before="5"/>
        <w:ind w:left="0"/>
        <w:jc w:val="left"/>
        <w:rPr>
          <w:sz w:val="24"/>
        </w:rPr>
      </w:pPr>
    </w:p>
    <w:p w:rsidR="00D81F69" w:rsidRPr="00392EAD" w:rsidRDefault="00330118">
      <w:pPr>
        <w:pStyle w:val="Corpodetexto"/>
        <w:spacing w:line="312" w:lineRule="auto"/>
        <w:ind w:right="38"/>
        <w:rPr>
          <w:lang w:val="pt-BR"/>
        </w:rPr>
      </w:pPr>
      <w:r w:rsidRPr="00392EAD">
        <w:rPr>
          <w:lang w:val="pt-BR"/>
        </w:rPr>
        <w:t>Ao longo de 2007, com rentabilidade cada vez mais baixa, grande parte dos trabalhadores começou a deixar o Juma (TOMAZELA, 2007). Porém, em junho de 2009, a notícia de que uma pessoa havia encontrado 37 kg de ouro em uma lo</w:t>
      </w:r>
      <w:r w:rsidRPr="00392EAD">
        <w:rPr>
          <w:lang w:val="pt-BR"/>
        </w:rPr>
        <w:t>calidade de Novo Aripuanã atraiu novamente mais de mil aventureiros para a região (PORTAL SIPAM, 2009).</w:t>
      </w:r>
    </w:p>
    <w:p w:rsidR="00D81F69" w:rsidRPr="00392EAD" w:rsidRDefault="00330118">
      <w:pPr>
        <w:pStyle w:val="Corpodetexto"/>
        <w:spacing w:before="135" w:line="312" w:lineRule="auto"/>
        <w:ind w:right="40"/>
        <w:rPr>
          <w:lang w:val="pt-BR"/>
        </w:rPr>
      </w:pPr>
      <w:r w:rsidRPr="00392EAD">
        <w:rPr>
          <w:lang w:val="pt-BR"/>
        </w:rPr>
        <w:t>Agora, a atividade local deve ganhar novo impulso, mas de forma organizada. Desde 1º maio de 2011, 350 famílias do garimpo do Juma tornaram-se permissio</w:t>
      </w:r>
      <w:r w:rsidRPr="00392EAD">
        <w:rPr>
          <w:lang w:val="pt-BR"/>
        </w:rPr>
        <w:t>nárias do primeiro garimpo em terra firme devidamente legalizado no Amazonas, ao obterem licenças de Operação e de Permissão de Lavra Garimpeira, entregues pelo Instituto de Proteção Ambiental do Amazonas (Ipaam) e pelo DNPM, respectivamente. Antes de rece</w:t>
      </w:r>
      <w:r w:rsidRPr="00392EAD">
        <w:rPr>
          <w:lang w:val="pt-BR"/>
        </w:rPr>
        <w:t>ber a documentação, os garimpeiros participaram de um curso de Boas Práticas Ambientais, no qual receberam as informações necessárias para que possam cumprir todas as contrapartidas exigidas para regularização do garimpo e constantes do Plano de Recuperaçã</w:t>
      </w:r>
      <w:r w:rsidRPr="00392EAD">
        <w:rPr>
          <w:lang w:val="pt-BR"/>
        </w:rPr>
        <w:t>o de Áreas Degradadas, lançado no ato da entrega das licenças operacionais. Os trabalhadores vão recuperar uma área de 100 hectares comprometida pela atividade mineradora com a plantação de mil mudas cultivadas por eles mesmos (IPAAM, 2011).</w:t>
      </w:r>
    </w:p>
    <w:p w:rsidR="00D81F69" w:rsidRPr="00392EAD" w:rsidRDefault="00330118">
      <w:pPr>
        <w:pStyle w:val="Corpodetexto"/>
        <w:spacing w:before="145" w:line="312" w:lineRule="auto"/>
        <w:ind w:right="56"/>
        <w:rPr>
          <w:lang w:val="pt-BR"/>
        </w:rPr>
      </w:pPr>
      <w:r w:rsidRPr="00392EAD">
        <w:rPr>
          <w:lang w:val="pt-BR"/>
        </w:rPr>
        <w:t>O Serviço Geol</w:t>
      </w:r>
      <w:r w:rsidRPr="00392EAD">
        <w:rPr>
          <w:lang w:val="pt-BR"/>
        </w:rPr>
        <w:t>ógico do Brasil estima que o potencial de produção do projeto Eldorado Juma seja bem mais promissor do que sugere a produção de ouro registrada nos últimos quatro anos, de cerca de uma tonelada. Isso porque, abaixo do solo de onde o ouro é extraído atualme</w:t>
      </w:r>
      <w:r w:rsidRPr="00392EAD">
        <w:rPr>
          <w:lang w:val="pt-BR"/>
        </w:rPr>
        <w:t>nte, existe uma rocha que também contém ouro. A partir de agosto, o Serviço Geológico vai iniciar uma mensuração do volume de metal existente na localidade (IPAAM, 2011).</w:t>
      </w:r>
    </w:p>
    <w:p w:rsidR="00D81F69" w:rsidRPr="00392EAD" w:rsidRDefault="00D81F69">
      <w:pPr>
        <w:pStyle w:val="Corpodetexto"/>
        <w:spacing w:before="7"/>
        <w:ind w:left="0"/>
        <w:jc w:val="left"/>
        <w:rPr>
          <w:sz w:val="21"/>
          <w:lang w:val="pt-BR"/>
        </w:rPr>
      </w:pPr>
    </w:p>
    <w:p w:rsidR="00D81F69" w:rsidRPr="00392EAD" w:rsidRDefault="00330118">
      <w:pPr>
        <w:pStyle w:val="Heading7"/>
        <w:rPr>
          <w:lang w:val="pt-BR"/>
        </w:rPr>
      </w:pPr>
      <w:r w:rsidRPr="00392EAD">
        <w:rPr>
          <w:lang w:val="pt-BR"/>
        </w:rPr>
        <w:t>LOCALIZAÇÃO GEOGRÁFICA</w:t>
      </w:r>
    </w:p>
    <w:p w:rsidR="00D81F69" w:rsidRPr="00392EAD" w:rsidRDefault="00330118">
      <w:pPr>
        <w:pStyle w:val="Corpodetexto"/>
        <w:spacing w:before="179" w:line="312" w:lineRule="auto"/>
        <w:ind w:right="40"/>
        <w:rPr>
          <w:lang w:val="pt-BR"/>
        </w:rPr>
      </w:pPr>
      <w:r w:rsidRPr="00392EAD">
        <w:rPr>
          <w:lang w:val="pt-BR"/>
        </w:rPr>
        <w:t>Os garimpos de ouro do município de Apuí, compreendidos entre</w:t>
      </w:r>
      <w:r w:rsidRPr="00392EAD">
        <w:rPr>
          <w:lang w:val="pt-BR"/>
        </w:rPr>
        <w:t xml:space="preserve"> as latitudes 8°37’29”S - 8°27’35”S e longitudes 60°13’8”W - 60°18’12”W, são denominados Igarapé de Santo Antônio, Zé Pretinho, Igarapé Maquina e Cavaquinho/Goiano. Estão localizados na sub-bacia do rio Guariba que pertence a bacia do rio Madeira, próximos</w:t>
      </w:r>
      <w:r w:rsidRPr="00392EAD">
        <w:rPr>
          <w:lang w:val="pt-BR"/>
        </w:rPr>
        <w:t xml:space="preserve"> ao igarapé dos 10 Dias.O município de Nova Aripuanã possui quatro garimpos de ouro: Igarapé Baixão, Cassino, Grota Careca, Igarapé Chico Carpinteiro, compreendidos entre as latitudes 8°2’40”S - 8°0’12”S e longitudes 60°54’28”W - 60°58’9”W. Localizam-se na</w:t>
      </w:r>
      <w:r w:rsidRPr="00392EAD">
        <w:rPr>
          <w:lang w:val="pt-BR"/>
        </w:rPr>
        <w:t xml:space="preserve"> sub-bacia do rio Roosevelt, pertencente à bacia do Rio Madeira, próximo ao igarapé do Gavião.</w:t>
      </w:r>
    </w:p>
    <w:p w:rsidR="00D81F69" w:rsidRPr="00392EAD" w:rsidRDefault="00D81F69">
      <w:pPr>
        <w:pStyle w:val="Corpodetexto"/>
        <w:spacing w:before="9"/>
        <w:ind w:left="0"/>
        <w:jc w:val="left"/>
        <w:rPr>
          <w:sz w:val="29"/>
          <w:lang w:val="pt-BR"/>
        </w:rPr>
      </w:pPr>
    </w:p>
    <w:p w:rsidR="00D81F69" w:rsidRPr="00392EAD" w:rsidRDefault="00330118">
      <w:pPr>
        <w:pStyle w:val="Heading7"/>
        <w:rPr>
          <w:lang w:val="pt-BR"/>
        </w:rPr>
      </w:pPr>
      <w:r w:rsidRPr="00392EAD">
        <w:rPr>
          <w:lang w:val="pt-BR"/>
        </w:rPr>
        <w:t>REDATORES</w:t>
      </w:r>
    </w:p>
    <w:p w:rsidR="00D81F69" w:rsidRPr="00392EAD" w:rsidRDefault="00330118">
      <w:pPr>
        <w:pStyle w:val="Corpodetexto"/>
        <w:spacing w:before="179"/>
        <w:rPr>
          <w:lang w:val="pt-BR"/>
        </w:rPr>
      </w:pPr>
      <w:r w:rsidRPr="00392EAD">
        <w:rPr>
          <w:lang w:val="pt-BR"/>
        </w:rPr>
        <w:t>Pedro Schprejer</w:t>
      </w:r>
    </w:p>
    <w:p w:rsidR="00D81F69" w:rsidRPr="00392EAD" w:rsidRDefault="00D81F69">
      <w:pPr>
        <w:pStyle w:val="Corpodetexto"/>
        <w:ind w:left="0"/>
        <w:jc w:val="left"/>
        <w:rPr>
          <w:sz w:val="20"/>
          <w:lang w:val="pt-BR"/>
        </w:rPr>
      </w:pPr>
    </w:p>
    <w:p w:rsidR="00D81F69" w:rsidRPr="00392EAD" w:rsidRDefault="00330118">
      <w:pPr>
        <w:pStyle w:val="Heading7"/>
        <w:spacing w:before="164"/>
        <w:rPr>
          <w:lang w:val="pt-BR"/>
        </w:rPr>
      </w:pPr>
      <w:r w:rsidRPr="00392EAD">
        <w:rPr>
          <w:lang w:val="pt-BR"/>
        </w:rPr>
        <w:t>REFERÊNCIAS BIBLIOGRÁFICAS</w:t>
      </w:r>
    </w:p>
    <w:p w:rsidR="00D81F69" w:rsidRPr="00392EAD" w:rsidRDefault="00330118">
      <w:pPr>
        <w:spacing w:before="188" w:line="312" w:lineRule="auto"/>
        <w:ind w:left="100" w:right="40"/>
        <w:jc w:val="both"/>
        <w:rPr>
          <w:sz w:val="16"/>
          <w:lang w:val="pt-BR"/>
        </w:rPr>
      </w:pPr>
      <w:r w:rsidRPr="00392EAD">
        <w:rPr>
          <w:sz w:val="16"/>
          <w:lang w:val="pt-BR"/>
        </w:rPr>
        <w:t xml:space="preserve">BRASIL, Kátia. Abin vai investigar garimpo ilegal de ouro no sul do Amazonas. </w:t>
      </w:r>
      <w:r>
        <w:rPr>
          <w:sz w:val="16"/>
        </w:rPr>
        <w:t xml:space="preserve">Folha de S. Paulo, São Paulo, 6 jan. 2007a. Disponível em: </w:t>
      </w:r>
      <w:hyperlink r:id="rId63">
        <w:r>
          <w:rPr>
            <w:sz w:val="16"/>
          </w:rPr>
          <w:t>&lt;</w:t>
        </w:r>
        <w:r>
          <w:rPr>
            <w:sz w:val="16"/>
          </w:rPr>
          <w:t>http://www1.folha.uol.com.br/folha/brasil/ult96u88387.shtml&gt;.</w:t>
        </w:r>
      </w:hyperlink>
      <w:r>
        <w:rPr>
          <w:sz w:val="16"/>
        </w:rPr>
        <w:t xml:space="preserve"> </w:t>
      </w:r>
      <w:r w:rsidRPr="00392EAD">
        <w:rPr>
          <w:sz w:val="16"/>
          <w:lang w:val="pt-BR"/>
        </w:rPr>
        <w:t>Acesso em: 4 maio 2010.</w:t>
      </w:r>
    </w:p>
    <w:p w:rsidR="00D81F69" w:rsidRPr="00392EAD" w:rsidRDefault="00330118">
      <w:pPr>
        <w:spacing w:before="70" w:line="312" w:lineRule="auto"/>
        <w:ind w:left="100" w:right="223"/>
        <w:jc w:val="both"/>
        <w:rPr>
          <w:sz w:val="16"/>
          <w:lang w:val="pt-BR"/>
        </w:rPr>
      </w:pPr>
      <w:r w:rsidRPr="00392EAD">
        <w:rPr>
          <w:lang w:val="pt-BR"/>
        </w:rPr>
        <w:br w:type="column"/>
      </w:r>
      <w:r w:rsidRPr="00392EAD">
        <w:rPr>
          <w:sz w:val="16"/>
          <w:lang w:val="pt-BR"/>
        </w:rPr>
        <w:lastRenderedPageBreak/>
        <w:t xml:space="preserve">BRASIL, Kátia. Propriedade das terras do garimpo é disputada. Folha de S. Paulo, São Paulo, 6 jan. 2007b. Disponível em: </w:t>
      </w:r>
    </w:p>
    <w:p w:rsidR="00D81F69" w:rsidRPr="00392EAD" w:rsidRDefault="00D81F69">
      <w:pPr>
        <w:spacing w:before="1" w:line="312" w:lineRule="auto"/>
        <w:ind w:left="100" w:right="257"/>
        <w:jc w:val="both"/>
        <w:rPr>
          <w:sz w:val="16"/>
          <w:lang w:val="pt-BR"/>
        </w:rPr>
      </w:pPr>
      <w:hyperlink r:id="rId64">
        <w:r w:rsidR="00330118" w:rsidRPr="00392EAD">
          <w:rPr>
            <w:sz w:val="16"/>
            <w:lang w:val="pt-BR"/>
          </w:rPr>
          <w:t xml:space="preserve">&lt;http://folha.uol.com.br/folha/brasil/ult96u88610.shtml&gt;. </w:t>
        </w:r>
      </w:hyperlink>
      <w:r w:rsidR="00330118" w:rsidRPr="00392EAD">
        <w:rPr>
          <w:sz w:val="16"/>
          <w:lang w:val="pt-BR"/>
        </w:rPr>
        <w:t>Acesso em: 4 maio 2010.</w:t>
      </w:r>
    </w:p>
    <w:p w:rsidR="00D81F69" w:rsidRPr="00392EAD" w:rsidRDefault="00330118">
      <w:pPr>
        <w:spacing w:before="2" w:line="312" w:lineRule="auto"/>
        <w:ind w:left="100" w:right="231"/>
        <w:jc w:val="both"/>
        <w:rPr>
          <w:sz w:val="16"/>
          <w:lang w:val="pt-BR"/>
        </w:rPr>
      </w:pPr>
      <w:r w:rsidRPr="00392EAD">
        <w:rPr>
          <w:sz w:val="16"/>
          <w:lang w:val="pt-BR"/>
        </w:rPr>
        <w:t>BURGOS, Fernando Lopes. Garimpo do Juma: Ação Institucional de Governo. Anais do VIII Encontro de Dirigentes do Departamento Nacional de Produção Min</w:t>
      </w:r>
      <w:r w:rsidRPr="00392EAD">
        <w:rPr>
          <w:sz w:val="16"/>
          <w:lang w:val="pt-BR"/>
        </w:rPr>
        <w:t>eral. Brasília, 2008. Disponível em:</w:t>
      </w:r>
    </w:p>
    <w:p w:rsidR="00D81F69" w:rsidRPr="00392EAD" w:rsidRDefault="00D81F69">
      <w:pPr>
        <w:spacing w:before="2" w:line="312" w:lineRule="auto"/>
        <w:ind w:left="100" w:right="257"/>
        <w:jc w:val="both"/>
        <w:rPr>
          <w:sz w:val="16"/>
          <w:lang w:val="pt-BR"/>
        </w:rPr>
      </w:pPr>
      <w:hyperlink r:id="rId65">
        <w:r w:rsidR="00330118" w:rsidRPr="00392EAD">
          <w:rPr>
            <w:sz w:val="16"/>
            <w:lang w:val="pt-BR"/>
          </w:rPr>
          <w:t>&lt;http://dnpm.gov.br/mostra_arquivo.asp?IDBancoArquivoArquivo=258</w:t>
        </w:r>
      </w:hyperlink>
      <w:r w:rsidR="00330118" w:rsidRPr="00392EAD">
        <w:rPr>
          <w:sz w:val="16"/>
          <w:lang w:val="pt-BR"/>
        </w:rPr>
        <w:t xml:space="preserve"> 5&gt;. Acesso em: 4 maio 2010.</w:t>
      </w:r>
    </w:p>
    <w:p w:rsidR="00D81F69" w:rsidRDefault="00330118">
      <w:pPr>
        <w:spacing w:before="2" w:line="312" w:lineRule="auto"/>
        <w:ind w:left="100" w:right="213"/>
        <w:jc w:val="both"/>
        <w:rPr>
          <w:sz w:val="16"/>
        </w:rPr>
      </w:pPr>
      <w:r w:rsidRPr="00392EAD">
        <w:rPr>
          <w:sz w:val="16"/>
          <w:lang w:val="pt-BR"/>
        </w:rPr>
        <w:t>IBGE, Instituto Brasileiro de Geografia e Est</w:t>
      </w:r>
      <w:r w:rsidRPr="00392EAD">
        <w:rPr>
          <w:sz w:val="16"/>
          <w:lang w:val="pt-BR"/>
        </w:rPr>
        <w:t xml:space="preserve">atística. Novo Aripuanã </w:t>
      </w:r>
      <w:r w:rsidRPr="00392EAD">
        <w:rPr>
          <w:spacing w:val="23"/>
          <w:sz w:val="16"/>
          <w:lang w:val="pt-BR"/>
        </w:rPr>
        <w:t xml:space="preserve">(AM). </w:t>
      </w:r>
      <w:r w:rsidRPr="00392EAD">
        <w:rPr>
          <w:spacing w:val="20"/>
          <w:sz w:val="16"/>
          <w:lang w:val="pt-BR"/>
        </w:rPr>
        <w:t xml:space="preserve">In: </w:t>
      </w:r>
      <w:r w:rsidRPr="00392EAD">
        <w:rPr>
          <w:spacing w:val="21"/>
          <w:sz w:val="16"/>
          <w:lang w:val="pt-BR"/>
        </w:rPr>
        <w:t xml:space="preserve">IBGE </w:t>
      </w:r>
      <w:r w:rsidRPr="00392EAD">
        <w:rPr>
          <w:spacing w:val="25"/>
          <w:sz w:val="16"/>
          <w:lang w:val="pt-BR"/>
        </w:rPr>
        <w:t>Cidades.</w:t>
      </w:r>
      <w:r w:rsidRPr="00392EAD">
        <w:rPr>
          <w:spacing w:val="95"/>
          <w:sz w:val="16"/>
          <w:lang w:val="pt-BR"/>
        </w:rPr>
        <w:t xml:space="preserve"> </w:t>
      </w:r>
      <w:r>
        <w:rPr>
          <w:spacing w:val="23"/>
          <w:sz w:val="16"/>
        </w:rPr>
        <w:t xml:space="preserve">2010. </w:t>
      </w:r>
      <w:r>
        <w:rPr>
          <w:spacing w:val="26"/>
          <w:sz w:val="16"/>
        </w:rPr>
        <w:t>Disponível</w:t>
      </w:r>
      <w:r>
        <w:rPr>
          <w:spacing w:val="25"/>
          <w:sz w:val="16"/>
        </w:rPr>
        <w:t xml:space="preserve"> </w:t>
      </w:r>
      <w:r>
        <w:rPr>
          <w:spacing w:val="20"/>
          <w:sz w:val="16"/>
        </w:rPr>
        <w:t>em:</w:t>
      </w:r>
      <w:r>
        <w:rPr>
          <w:spacing w:val="-15"/>
          <w:sz w:val="16"/>
        </w:rPr>
        <w:t xml:space="preserve"> </w:t>
      </w:r>
    </w:p>
    <w:p w:rsidR="00D81F69" w:rsidRPr="00392EAD" w:rsidRDefault="00D81F69">
      <w:pPr>
        <w:spacing w:before="2" w:line="312" w:lineRule="auto"/>
        <w:ind w:left="100" w:right="256"/>
        <w:jc w:val="both"/>
        <w:rPr>
          <w:sz w:val="16"/>
          <w:lang w:val="pt-BR"/>
        </w:rPr>
      </w:pPr>
      <w:hyperlink r:id="rId66">
        <w:r w:rsidR="00330118">
          <w:rPr>
            <w:sz w:val="16"/>
          </w:rPr>
          <w:t xml:space="preserve">&lt;http://www.ibge.gov.br/cidadesat/topwindow.htm?1&gt;. </w:t>
        </w:r>
      </w:hyperlink>
      <w:r w:rsidR="00330118" w:rsidRPr="00392EAD">
        <w:rPr>
          <w:sz w:val="16"/>
          <w:lang w:val="pt-BR"/>
        </w:rPr>
        <w:t>Acesso em: 29 abr. 2011.</w:t>
      </w:r>
    </w:p>
    <w:p w:rsidR="00D81F69" w:rsidRDefault="00330118">
      <w:pPr>
        <w:spacing w:before="1" w:line="312" w:lineRule="auto"/>
        <w:ind w:left="100" w:right="234"/>
        <w:jc w:val="both"/>
        <w:rPr>
          <w:sz w:val="16"/>
        </w:rPr>
      </w:pPr>
      <w:r w:rsidRPr="00392EAD">
        <w:rPr>
          <w:sz w:val="16"/>
          <w:lang w:val="pt-BR"/>
        </w:rPr>
        <w:t>IPAAM, Instituto de Proteção Ambiental do A</w:t>
      </w:r>
      <w:r w:rsidRPr="00392EAD">
        <w:rPr>
          <w:sz w:val="16"/>
          <w:lang w:val="pt-BR"/>
        </w:rPr>
        <w:t xml:space="preserve">mazonas. Garimpeiros </w:t>
      </w:r>
      <w:r w:rsidRPr="00392EAD">
        <w:rPr>
          <w:spacing w:val="1"/>
          <w:sz w:val="16"/>
          <w:lang w:val="pt-BR"/>
        </w:rPr>
        <w:t xml:space="preserve">do </w:t>
      </w:r>
      <w:r w:rsidRPr="00392EAD">
        <w:rPr>
          <w:spacing w:val="2"/>
          <w:sz w:val="16"/>
          <w:lang w:val="pt-BR"/>
        </w:rPr>
        <w:t xml:space="preserve">Juma </w:t>
      </w:r>
      <w:r w:rsidRPr="00392EAD">
        <w:rPr>
          <w:spacing w:val="3"/>
          <w:sz w:val="16"/>
          <w:lang w:val="pt-BR"/>
        </w:rPr>
        <w:t xml:space="preserve">recebem Licença </w:t>
      </w:r>
      <w:r w:rsidRPr="00392EAD">
        <w:rPr>
          <w:spacing w:val="1"/>
          <w:sz w:val="16"/>
          <w:lang w:val="pt-BR"/>
        </w:rPr>
        <w:t xml:space="preserve">de </w:t>
      </w:r>
      <w:r w:rsidRPr="00392EAD">
        <w:rPr>
          <w:spacing w:val="3"/>
          <w:sz w:val="16"/>
          <w:lang w:val="pt-BR"/>
        </w:rPr>
        <w:t xml:space="preserve">Operação. Manaus, </w:t>
      </w:r>
      <w:r w:rsidRPr="00392EAD">
        <w:rPr>
          <w:spacing w:val="1"/>
          <w:sz w:val="16"/>
          <w:lang w:val="pt-BR"/>
        </w:rPr>
        <w:t xml:space="preserve">03 </w:t>
      </w:r>
      <w:r w:rsidRPr="00392EAD">
        <w:rPr>
          <w:spacing w:val="2"/>
          <w:sz w:val="16"/>
          <w:lang w:val="pt-BR"/>
        </w:rPr>
        <w:t xml:space="preserve">maio </w:t>
      </w:r>
      <w:r w:rsidRPr="00392EAD">
        <w:rPr>
          <w:spacing w:val="5"/>
          <w:sz w:val="16"/>
          <w:lang w:val="pt-BR"/>
        </w:rPr>
        <w:t xml:space="preserve">2011. </w:t>
      </w:r>
      <w:r w:rsidRPr="00392EAD">
        <w:rPr>
          <w:sz w:val="16"/>
          <w:lang w:val="pt-BR"/>
        </w:rPr>
        <w:t xml:space="preserve">Disponível em: </w:t>
      </w:r>
      <w:hyperlink r:id="rId67">
        <w:r w:rsidRPr="00392EAD">
          <w:rPr>
            <w:sz w:val="16"/>
            <w:lang w:val="pt-BR"/>
          </w:rPr>
          <w:t>&lt;http://www.ipaam.am.gov.br/noticia.php?cod=248&gt;.</w:t>
        </w:r>
      </w:hyperlink>
      <w:r w:rsidRPr="00392EAD">
        <w:rPr>
          <w:sz w:val="16"/>
          <w:lang w:val="pt-BR"/>
        </w:rPr>
        <w:t xml:space="preserve"> </w:t>
      </w:r>
      <w:r>
        <w:rPr>
          <w:sz w:val="16"/>
        </w:rPr>
        <w:t>Acesso em: 4 maio</w:t>
      </w:r>
      <w:r>
        <w:rPr>
          <w:spacing w:val="40"/>
          <w:sz w:val="16"/>
        </w:rPr>
        <w:t xml:space="preserve"> </w:t>
      </w:r>
      <w:r>
        <w:rPr>
          <w:sz w:val="16"/>
        </w:rPr>
        <w:t>2011.</w:t>
      </w:r>
    </w:p>
    <w:p w:rsidR="00D81F69" w:rsidRPr="00392EAD" w:rsidRDefault="00330118">
      <w:pPr>
        <w:spacing w:before="4" w:line="312" w:lineRule="auto"/>
        <w:ind w:left="100" w:right="232"/>
        <w:jc w:val="both"/>
        <w:rPr>
          <w:sz w:val="16"/>
          <w:lang w:val="pt-BR"/>
        </w:rPr>
      </w:pPr>
      <w:r w:rsidRPr="00392EAD">
        <w:rPr>
          <w:sz w:val="16"/>
          <w:lang w:val="pt-BR"/>
        </w:rPr>
        <w:t>PORTAL SIPAM, Sistema d</w:t>
      </w:r>
      <w:r w:rsidRPr="00392EAD">
        <w:rPr>
          <w:sz w:val="16"/>
          <w:lang w:val="pt-BR"/>
        </w:rPr>
        <w:t>e Proteção da Amazônia. Garimpo no sul do Amazonas atrai mais de mil pessoas, 2009. Disponível em:</w:t>
      </w:r>
    </w:p>
    <w:p w:rsidR="00D81F69" w:rsidRPr="00392EAD" w:rsidRDefault="00D81F69">
      <w:pPr>
        <w:spacing w:before="1" w:line="312" w:lineRule="auto"/>
        <w:ind w:left="100" w:right="251"/>
        <w:jc w:val="both"/>
        <w:rPr>
          <w:sz w:val="16"/>
          <w:lang w:val="pt-BR"/>
        </w:rPr>
      </w:pPr>
      <w:hyperlink r:id="rId68">
        <w:r w:rsidR="00330118" w:rsidRPr="00392EAD">
          <w:rPr>
            <w:sz w:val="16"/>
            <w:lang w:val="pt-BR"/>
          </w:rPr>
          <w:t>&lt;http://sipam.gov.br/content/view/1754/18/&gt;.</w:t>
        </w:r>
      </w:hyperlink>
      <w:r w:rsidR="00330118" w:rsidRPr="00392EAD">
        <w:rPr>
          <w:sz w:val="16"/>
          <w:lang w:val="pt-BR"/>
        </w:rPr>
        <w:t xml:space="preserve"> Acesso em: 4 maio 2010.</w:t>
      </w:r>
    </w:p>
    <w:p w:rsidR="00D81F69" w:rsidRPr="00392EAD" w:rsidRDefault="00330118">
      <w:pPr>
        <w:spacing w:before="2" w:line="312" w:lineRule="auto"/>
        <w:ind w:left="100" w:right="231"/>
        <w:jc w:val="both"/>
        <w:rPr>
          <w:sz w:val="16"/>
          <w:lang w:val="pt-BR"/>
        </w:rPr>
      </w:pPr>
      <w:r w:rsidRPr="00392EAD">
        <w:rPr>
          <w:sz w:val="16"/>
          <w:lang w:val="pt-BR"/>
        </w:rPr>
        <w:t>SOARES, Ana Paulina Aguiar; FARIAS JR., Emmanuel de A.; COSTA, Luciane Silva da; LEAL, Pedro F.; MENEZES, Thereza C. C. Transformações econômicas e sociais. In: Glenn Switkes. (Org.). Águas turvas - alertas sobre as consequências de barrar o maior afluente</w:t>
      </w:r>
      <w:r w:rsidRPr="00392EAD">
        <w:rPr>
          <w:sz w:val="16"/>
          <w:lang w:val="pt-BR"/>
        </w:rPr>
        <w:t xml:space="preserve"> do Amazonas. São Paulo, 2008.</w:t>
      </w:r>
    </w:p>
    <w:p w:rsidR="00D81F69" w:rsidRDefault="00330118">
      <w:pPr>
        <w:tabs>
          <w:tab w:val="left" w:pos="4331"/>
        </w:tabs>
        <w:spacing w:before="4" w:line="312" w:lineRule="auto"/>
        <w:ind w:left="100" w:right="234"/>
        <w:jc w:val="both"/>
        <w:rPr>
          <w:sz w:val="16"/>
        </w:rPr>
      </w:pPr>
      <w:r w:rsidRPr="00392EAD">
        <w:rPr>
          <w:sz w:val="16"/>
          <w:lang w:val="pt-BR"/>
        </w:rPr>
        <w:t xml:space="preserve">SUZUKI, Natalia. Mineradores aguardam legalização do garimpo do </w:t>
      </w:r>
      <w:r w:rsidRPr="00392EAD">
        <w:rPr>
          <w:spacing w:val="2"/>
          <w:sz w:val="16"/>
          <w:lang w:val="pt-BR"/>
        </w:rPr>
        <w:t xml:space="preserve">rio Juma para </w:t>
      </w:r>
      <w:r w:rsidRPr="00392EAD">
        <w:rPr>
          <w:spacing w:val="3"/>
          <w:sz w:val="16"/>
          <w:lang w:val="pt-BR"/>
        </w:rPr>
        <w:t xml:space="preserve">sexta-feira. </w:t>
      </w:r>
      <w:r>
        <w:rPr>
          <w:spacing w:val="3"/>
          <w:sz w:val="16"/>
        </w:rPr>
        <w:t xml:space="preserve">Carta Maior, </w:t>
      </w:r>
      <w:r>
        <w:rPr>
          <w:spacing w:val="2"/>
          <w:sz w:val="16"/>
        </w:rPr>
        <w:t xml:space="preserve">São </w:t>
      </w:r>
      <w:r>
        <w:rPr>
          <w:spacing w:val="3"/>
          <w:sz w:val="16"/>
        </w:rPr>
        <w:t xml:space="preserve">Paulo, </w:t>
      </w:r>
      <w:r>
        <w:rPr>
          <w:spacing w:val="1"/>
          <w:sz w:val="16"/>
        </w:rPr>
        <w:t xml:space="preserve">14 </w:t>
      </w:r>
      <w:r>
        <w:rPr>
          <w:spacing w:val="2"/>
          <w:sz w:val="16"/>
        </w:rPr>
        <w:t xml:space="preserve">fev. </w:t>
      </w:r>
      <w:r>
        <w:rPr>
          <w:spacing w:val="5"/>
          <w:sz w:val="16"/>
        </w:rPr>
        <w:t xml:space="preserve">2007.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ind w:left="100"/>
        <w:jc w:val="both"/>
        <w:rPr>
          <w:sz w:val="16"/>
        </w:rPr>
      </w:pPr>
      <w:hyperlink r:id="rId69">
        <w:r w:rsidR="00330118">
          <w:rPr>
            <w:sz w:val="16"/>
          </w:rPr>
          <w:t>&lt;http://www.cartamaior.com.br/templates/materiaMostrar.cfm?materia</w:t>
        </w:r>
      </w:hyperlink>
    </w:p>
    <w:p w:rsidR="00D81F69" w:rsidRPr="00392EAD" w:rsidRDefault="00330118">
      <w:pPr>
        <w:spacing w:before="56"/>
        <w:ind w:left="100"/>
        <w:jc w:val="both"/>
        <w:rPr>
          <w:sz w:val="16"/>
          <w:lang w:val="pt-BR"/>
        </w:rPr>
      </w:pPr>
      <w:r w:rsidRPr="00392EAD">
        <w:rPr>
          <w:sz w:val="16"/>
          <w:lang w:val="pt-BR"/>
        </w:rPr>
        <w:t>_id=13532&gt;. Acesso em: 29 abr. 2011.</w:t>
      </w:r>
    </w:p>
    <w:p w:rsidR="00D81F69" w:rsidRPr="00392EAD" w:rsidRDefault="00330118">
      <w:pPr>
        <w:spacing w:before="56" w:line="312" w:lineRule="auto"/>
        <w:ind w:left="100" w:right="188"/>
        <w:jc w:val="both"/>
        <w:rPr>
          <w:sz w:val="16"/>
          <w:lang w:val="pt-BR"/>
        </w:rPr>
      </w:pPr>
      <w:r w:rsidRPr="00392EAD">
        <w:rPr>
          <w:sz w:val="16"/>
          <w:lang w:val="pt-BR"/>
        </w:rPr>
        <w:t>TOMAZELA, José Maria. Chaga dourada: Garimpeiros transformam a floresta</w:t>
      </w:r>
      <w:r w:rsidRPr="00392EAD">
        <w:rPr>
          <w:sz w:val="16"/>
          <w:lang w:val="pt-BR"/>
        </w:rPr>
        <w:t xml:space="preserve"> intocada em paisagem lunar. O Estado de São Paulo, </w:t>
      </w:r>
      <w:r w:rsidRPr="00392EAD">
        <w:rPr>
          <w:spacing w:val="1"/>
          <w:sz w:val="16"/>
          <w:lang w:val="pt-BR"/>
        </w:rPr>
        <w:t xml:space="preserve">São     </w:t>
      </w:r>
      <w:r w:rsidRPr="00392EAD">
        <w:rPr>
          <w:spacing w:val="5"/>
          <w:sz w:val="16"/>
          <w:lang w:val="pt-BR"/>
        </w:rPr>
        <w:t xml:space="preserve">P a u l o </w:t>
      </w:r>
      <w:r w:rsidRPr="00392EAD">
        <w:rPr>
          <w:sz w:val="16"/>
          <w:lang w:val="pt-BR"/>
        </w:rPr>
        <w:t xml:space="preserve">, </w:t>
      </w:r>
      <w:r w:rsidRPr="00392EAD">
        <w:rPr>
          <w:spacing w:val="5"/>
          <w:sz w:val="16"/>
          <w:lang w:val="pt-BR"/>
        </w:rPr>
        <w:t xml:space="preserve">2 </w:t>
      </w:r>
      <w:r w:rsidRPr="00392EAD">
        <w:rPr>
          <w:sz w:val="16"/>
          <w:lang w:val="pt-BR"/>
        </w:rPr>
        <w:t xml:space="preserve">5 </w:t>
      </w:r>
      <w:r w:rsidRPr="00392EAD">
        <w:rPr>
          <w:spacing w:val="5"/>
          <w:sz w:val="16"/>
          <w:lang w:val="pt-BR"/>
        </w:rPr>
        <w:t xml:space="preserve">n o v </w:t>
      </w:r>
      <w:r w:rsidRPr="00392EAD">
        <w:rPr>
          <w:sz w:val="16"/>
          <w:lang w:val="pt-BR"/>
        </w:rPr>
        <w:t xml:space="preserve">. </w:t>
      </w:r>
      <w:r w:rsidRPr="00392EAD">
        <w:rPr>
          <w:spacing w:val="5"/>
          <w:sz w:val="16"/>
          <w:lang w:val="pt-BR"/>
        </w:rPr>
        <w:t xml:space="preserve">2 0 0 7 </w:t>
      </w:r>
      <w:r w:rsidRPr="00392EAD">
        <w:rPr>
          <w:sz w:val="16"/>
          <w:lang w:val="pt-BR"/>
        </w:rPr>
        <w:t xml:space="preserve">. </w:t>
      </w:r>
      <w:r w:rsidRPr="00392EAD">
        <w:rPr>
          <w:spacing w:val="5"/>
          <w:sz w:val="16"/>
          <w:lang w:val="pt-BR"/>
        </w:rPr>
        <w:t xml:space="preserve">D i s p o n í v e </w:t>
      </w:r>
      <w:r w:rsidRPr="00392EAD">
        <w:rPr>
          <w:sz w:val="16"/>
          <w:lang w:val="pt-BR"/>
        </w:rPr>
        <w:t>l</w:t>
      </w:r>
      <w:r w:rsidRPr="00392EAD">
        <w:rPr>
          <w:spacing w:val="31"/>
          <w:sz w:val="16"/>
          <w:lang w:val="pt-BR"/>
        </w:rPr>
        <w:t xml:space="preserve"> </w:t>
      </w:r>
      <w:r w:rsidRPr="00392EAD">
        <w:rPr>
          <w:spacing w:val="5"/>
          <w:sz w:val="16"/>
          <w:lang w:val="pt-BR"/>
        </w:rPr>
        <w:t xml:space="preserve">e m </w:t>
      </w:r>
      <w:r w:rsidRPr="00392EAD">
        <w:rPr>
          <w:sz w:val="16"/>
          <w:lang w:val="pt-BR"/>
        </w:rPr>
        <w:t>:</w:t>
      </w:r>
      <w:r w:rsidRPr="00392EAD">
        <w:rPr>
          <w:spacing w:val="6"/>
          <w:sz w:val="16"/>
          <w:lang w:val="pt-BR"/>
        </w:rPr>
        <w:t xml:space="preserve"> </w:t>
      </w:r>
    </w:p>
    <w:p w:rsidR="00D81F69" w:rsidRDefault="00D81F69">
      <w:pPr>
        <w:spacing w:before="3" w:line="312" w:lineRule="auto"/>
        <w:ind w:left="100" w:right="235"/>
        <w:jc w:val="both"/>
        <w:rPr>
          <w:sz w:val="16"/>
        </w:rPr>
      </w:pPr>
      <w:hyperlink r:id="rId70">
        <w:r w:rsidR="00330118" w:rsidRPr="00392EAD">
          <w:rPr>
            <w:sz w:val="16"/>
            <w:lang w:val="pt-BR"/>
          </w:rPr>
          <w:t>&lt;http://estadao.com.br/amazonia/destruicao_chaga_dourada.h</w:t>
        </w:r>
        <w:r w:rsidR="00330118" w:rsidRPr="00392EAD">
          <w:rPr>
            <w:sz w:val="16"/>
            <w:lang w:val="pt-BR"/>
          </w:rPr>
          <w:t>tm&gt;.</w:t>
        </w:r>
      </w:hyperlink>
      <w:r w:rsidR="00330118" w:rsidRPr="00392EAD">
        <w:rPr>
          <w:sz w:val="16"/>
          <w:lang w:val="pt-BR"/>
        </w:rPr>
        <w:t xml:space="preserve"> </w:t>
      </w:r>
      <w:r w:rsidR="00330118">
        <w:rPr>
          <w:sz w:val="16"/>
        </w:rPr>
        <w:t>Acesso em: 4 maio 2010.</w:t>
      </w:r>
    </w:p>
    <w:p w:rsidR="00D81F69" w:rsidRDefault="00D81F69">
      <w:pPr>
        <w:spacing w:line="312" w:lineRule="auto"/>
        <w:jc w:val="both"/>
        <w:rPr>
          <w:sz w:val="16"/>
        </w:rPr>
        <w:sectPr w:rsidR="00D81F69">
          <w:pgSz w:w="11900" w:h="16840"/>
          <w:pgMar w:top="740" w:right="460" w:bottom="720" w:left="620" w:header="0" w:footer="412" w:gutter="0"/>
          <w:cols w:num="2" w:space="720" w:equalWidth="0">
            <w:col w:w="5156" w:space="314"/>
            <w:col w:w="5350"/>
          </w:cols>
        </w:sectPr>
      </w:pPr>
    </w:p>
    <w:p w:rsidR="00D81F69" w:rsidRPr="00392EAD" w:rsidRDefault="00330118">
      <w:pPr>
        <w:pStyle w:val="Heading1"/>
        <w:spacing w:line="208" w:lineRule="auto"/>
        <w:ind w:right="0"/>
        <w:rPr>
          <w:lang w:val="pt-BR"/>
        </w:rPr>
      </w:pPr>
      <w:bookmarkStart w:id="14" w:name="_TOC_250019"/>
      <w:bookmarkEnd w:id="14"/>
      <w:r w:rsidRPr="00392EAD">
        <w:rPr>
          <w:lang w:val="pt-BR"/>
        </w:rPr>
        <w:lastRenderedPageBreak/>
        <w:t>Garimpos ilegais de ouro na Terra Indígena do Vale do Javari na Amazônia (AM)</w:t>
      </w:r>
    </w:p>
    <w:p w:rsidR="00D81F69" w:rsidRPr="00392EAD" w:rsidRDefault="00D81F69">
      <w:pPr>
        <w:pStyle w:val="Corpodetexto"/>
        <w:ind w:left="0"/>
        <w:jc w:val="left"/>
        <w:rPr>
          <w:b/>
          <w:sz w:val="20"/>
          <w:lang w:val="pt-BR"/>
        </w:rPr>
      </w:pPr>
    </w:p>
    <w:p w:rsidR="00D81F69" w:rsidRPr="00392EAD" w:rsidRDefault="00D81F69">
      <w:pPr>
        <w:rPr>
          <w:sz w:val="20"/>
          <w:lang w:val="pt-BR"/>
        </w:rPr>
        <w:sectPr w:rsidR="00D81F69" w:rsidRPr="00392EAD">
          <w:pgSz w:w="11900" w:h="16840"/>
          <w:pgMar w:top="1080" w:right="460" w:bottom="600" w:left="620" w:header="0" w:footer="412" w:gutter="0"/>
          <w:cols w:space="720"/>
        </w:sectPr>
      </w:pPr>
    </w:p>
    <w:p w:rsidR="00D81F69" w:rsidRPr="00392EAD" w:rsidRDefault="00D81F69">
      <w:pPr>
        <w:pStyle w:val="Corpodetexto"/>
        <w:ind w:left="0"/>
        <w:jc w:val="left"/>
        <w:rPr>
          <w:b/>
          <w:sz w:val="16"/>
          <w:lang w:val="pt-BR"/>
        </w:rPr>
      </w:pPr>
    </w:p>
    <w:p w:rsidR="00D81F69" w:rsidRPr="00392EAD" w:rsidRDefault="00D81F69">
      <w:pPr>
        <w:pStyle w:val="Corpodetexto"/>
        <w:ind w:left="0"/>
        <w:jc w:val="left"/>
        <w:rPr>
          <w:b/>
          <w:sz w:val="16"/>
          <w:lang w:val="pt-BR"/>
        </w:rPr>
      </w:pPr>
    </w:p>
    <w:p w:rsidR="00D81F69" w:rsidRPr="00392EAD" w:rsidRDefault="00330118">
      <w:pPr>
        <w:spacing w:before="97"/>
        <w:ind w:left="135"/>
        <w:rPr>
          <w:i/>
          <w:sz w:val="14"/>
          <w:lang w:val="pt-BR"/>
        </w:rPr>
      </w:pPr>
      <w:r w:rsidRPr="00392EAD">
        <w:rPr>
          <w:i/>
          <w:sz w:val="14"/>
          <w:lang w:val="pt-BR"/>
        </w:rPr>
        <w:t>MUNICÍPIOS</w:t>
      </w:r>
    </w:p>
    <w:p w:rsidR="00D81F69" w:rsidRPr="00392EAD" w:rsidRDefault="00330118">
      <w:pPr>
        <w:spacing w:before="49" w:line="312" w:lineRule="auto"/>
        <w:ind w:left="135" w:right="261"/>
        <w:rPr>
          <w:i/>
          <w:sz w:val="14"/>
          <w:lang w:val="pt-BR"/>
        </w:rPr>
      </w:pPr>
      <w:r w:rsidRPr="00392EAD">
        <w:rPr>
          <w:i/>
          <w:sz w:val="14"/>
          <w:lang w:val="pt-BR"/>
        </w:rPr>
        <w:t>AM - Atalaia do Norte AM - Benjamin Constant AM - Jutaí</w:t>
      </w:r>
    </w:p>
    <w:p w:rsidR="00D81F69" w:rsidRPr="00392EAD" w:rsidRDefault="00330118">
      <w:pPr>
        <w:spacing w:before="2"/>
        <w:ind w:left="135"/>
        <w:rPr>
          <w:i/>
          <w:sz w:val="14"/>
          <w:lang w:val="pt-BR"/>
        </w:rPr>
      </w:pPr>
      <w:r w:rsidRPr="00392EAD">
        <w:rPr>
          <w:i/>
          <w:sz w:val="14"/>
          <w:lang w:val="pt-BR"/>
        </w:rPr>
        <w:t>AM - São Paulo de Olivença</w:t>
      </w:r>
    </w:p>
    <w:p w:rsidR="00D81F69" w:rsidRPr="00392EAD" w:rsidRDefault="00D81F69">
      <w:pPr>
        <w:pStyle w:val="Corpodetexto"/>
        <w:spacing w:before="6"/>
        <w:ind w:left="0"/>
        <w:jc w:val="left"/>
        <w:rPr>
          <w:i/>
          <w:sz w:val="22"/>
          <w:lang w:val="pt-BR"/>
        </w:rPr>
      </w:pPr>
    </w:p>
    <w:p w:rsidR="00D81F69" w:rsidRPr="00392EAD" w:rsidRDefault="00330118">
      <w:pPr>
        <w:ind w:left="135"/>
        <w:rPr>
          <w:i/>
          <w:sz w:val="14"/>
          <w:lang w:val="pt-BR"/>
        </w:rPr>
      </w:pPr>
      <w:r w:rsidRPr="00392EAD">
        <w:rPr>
          <w:i/>
          <w:sz w:val="14"/>
          <w:lang w:val="pt-BR"/>
        </w:rPr>
        <w:t>LATITUDE</w:t>
      </w:r>
    </w:p>
    <w:p w:rsidR="00D81F69" w:rsidRDefault="00330118">
      <w:pPr>
        <w:spacing w:before="49"/>
        <w:ind w:left="135"/>
        <w:rPr>
          <w:i/>
          <w:sz w:val="14"/>
        </w:rPr>
      </w:pPr>
      <w:r>
        <w:rPr>
          <w:i/>
          <w:sz w:val="14"/>
        </w:rPr>
        <w:t>-4,3527</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-69,3644</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Pr="00392EAD" w:rsidRDefault="00330118">
      <w:pPr>
        <w:spacing w:before="25"/>
        <w:ind w:left="135"/>
        <w:rPr>
          <w:i/>
          <w:sz w:val="18"/>
          <w:lang w:val="pt-BR"/>
        </w:rPr>
      </w:pPr>
      <w:r w:rsidRPr="00392EAD">
        <w:rPr>
          <w:i/>
          <w:sz w:val="18"/>
          <w:lang w:val="pt-BR"/>
        </w:rPr>
        <w:t>SÍNTESE</w:t>
      </w:r>
    </w:p>
    <w:p w:rsidR="00D81F69" w:rsidRPr="00392EAD" w:rsidRDefault="00330118">
      <w:pPr>
        <w:spacing w:before="52" w:line="312" w:lineRule="auto"/>
        <w:ind w:left="135" w:right="38"/>
        <w:jc w:val="both"/>
        <w:rPr>
          <w:i/>
          <w:sz w:val="16"/>
          <w:lang w:val="pt-BR"/>
        </w:rPr>
      </w:pPr>
      <w:r w:rsidRPr="00392EAD">
        <w:rPr>
          <w:i/>
          <w:sz w:val="16"/>
          <w:lang w:val="pt-BR"/>
        </w:rPr>
        <w:t xml:space="preserve">Fortes indícios da existência de garimpagem ilegal na Terra Indígena </w:t>
      </w:r>
      <w:r w:rsidRPr="00392EAD">
        <w:rPr>
          <w:i/>
          <w:sz w:val="16"/>
          <w:lang w:val="pt-BR"/>
        </w:rPr>
        <w:t>Vale do Javari foram apontados por expedição da Frente de Proteção Etnoambiental Vale do Javari, realizada pela Funai em parceria com o Centro de Trabalho Indigenista, em 2009, bem como por posterior sobrevoo de helicóptero da Marinha, em 2010, e, ainda, p</w:t>
      </w:r>
      <w:r w:rsidRPr="00392EAD">
        <w:rPr>
          <w:i/>
          <w:sz w:val="16"/>
          <w:lang w:val="pt-BR"/>
        </w:rPr>
        <w:t>or relatos de indígenas da etnia Katukina.</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Pr="00392EAD" w:rsidRDefault="00330118">
      <w:pPr>
        <w:pStyle w:val="Corpodetexto"/>
        <w:spacing w:before="1" w:line="312" w:lineRule="auto"/>
        <w:ind w:left="135" w:right="231"/>
        <w:rPr>
          <w:lang w:val="pt-BR"/>
        </w:rPr>
      </w:pPr>
      <w:r w:rsidRPr="00392EAD">
        <w:rPr>
          <w:spacing w:val="5"/>
          <w:lang w:val="pt-BR"/>
        </w:rPr>
        <w:t xml:space="preserve">de </w:t>
      </w:r>
      <w:r w:rsidRPr="00392EAD">
        <w:rPr>
          <w:spacing w:val="7"/>
          <w:lang w:val="pt-BR"/>
        </w:rPr>
        <w:t xml:space="preserve">localizar </w:t>
      </w:r>
      <w:r w:rsidRPr="00392EAD">
        <w:rPr>
          <w:lang w:val="pt-BR"/>
        </w:rPr>
        <w:t xml:space="preserve">e </w:t>
      </w:r>
      <w:r w:rsidRPr="00392EAD">
        <w:rPr>
          <w:spacing w:val="7"/>
          <w:lang w:val="pt-BR"/>
        </w:rPr>
        <w:t xml:space="preserve">contatar índios isolados. </w:t>
      </w:r>
      <w:r w:rsidRPr="00392EAD">
        <w:rPr>
          <w:lang w:val="pt-BR"/>
        </w:rPr>
        <w:t xml:space="preserve">A </w:t>
      </w:r>
      <w:r w:rsidRPr="00392EAD">
        <w:rPr>
          <w:spacing w:val="7"/>
          <w:lang w:val="pt-BR"/>
        </w:rPr>
        <w:t xml:space="preserve">suspeita </w:t>
      </w:r>
      <w:r w:rsidRPr="00392EAD">
        <w:rPr>
          <w:spacing w:val="10"/>
          <w:lang w:val="pt-BR"/>
        </w:rPr>
        <w:t xml:space="preserve">de </w:t>
      </w:r>
      <w:r w:rsidRPr="00392EAD">
        <w:rPr>
          <w:lang w:val="pt-BR"/>
        </w:rPr>
        <w:t>existência de tais índios ocorreu a partir de relatos de fontes indígenas de etnias locais e de sobrevoo da Funai em julho  do mesmo ano. A equipe contou com equipamento específico de localização via satélite para mapear o terreno e construir uma cartograf</w:t>
      </w:r>
      <w:r w:rsidRPr="00392EAD">
        <w:rPr>
          <w:lang w:val="pt-BR"/>
        </w:rPr>
        <w:t xml:space="preserve">ia inédita da região. Entre os objetivos da ação estava a preocupação em proteger as populações indígenas </w:t>
      </w:r>
      <w:r w:rsidRPr="00392EAD">
        <w:rPr>
          <w:spacing w:val="1"/>
          <w:lang w:val="pt-BR"/>
        </w:rPr>
        <w:t xml:space="preserve">da </w:t>
      </w:r>
      <w:r w:rsidRPr="00392EAD">
        <w:rPr>
          <w:spacing w:val="3"/>
          <w:lang w:val="pt-BR"/>
        </w:rPr>
        <w:t xml:space="preserve">aproximação </w:t>
      </w:r>
      <w:r w:rsidRPr="00392EAD">
        <w:rPr>
          <w:spacing w:val="1"/>
          <w:lang w:val="pt-BR"/>
        </w:rPr>
        <w:t xml:space="preserve">de </w:t>
      </w:r>
      <w:r w:rsidRPr="00392EAD">
        <w:rPr>
          <w:spacing w:val="3"/>
          <w:lang w:val="pt-BR"/>
        </w:rPr>
        <w:t xml:space="preserve">garimpeiros </w:t>
      </w:r>
      <w:r w:rsidRPr="00392EAD">
        <w:rPr>
          <w:lang w:val="pt-BR"/>
        </w:rPr>
        <w:t xml:space="preserve">e </w:t>
      </w:r>
      <w:r w:rsidRPr="00392EAD">
        <w:rPr>
          <w:spacing w:val="3"/>
          <w:lang w:val="pt-BR"/>
        </w:rPr>
        <w:t xml:space="preserve">madeireiros </w:t>
      </w:r>
      <w:r w:rsidRPr="00392EAD">
        <w:rPr>
          <w:spacing w:val="5"/>
          <w:lang w:val="pt-BR"/>
        </w:rPr>
        <w:t>(ALMEIDA, 2009b).</w:t>
      </w:r>
    </w:p>
    <w:p w:rsidR="00D81F69" w:rsidRPr="00392EAD" w:rsidRDefault="00330118">
      <w:pPr>
        <w:pStyle w:val="Corpodetexto"/>
        <w:spacing w:before="138" w:line="312" w:lineRule="auto"/>
        <w:ind w:left="135" w:right="228"/>
        <w:rPr>
          <w:lang w:val="pt-BR"/>
        </w:rPr>
      </w:pPr>
      <w:r w:rsidRPr="00392EAD">
        <w:rPr>
          <w:lang w:val="pt-BR"/>
        </w:rPr>
        <w:t xml:space="preserve">A FPEVJ viajou durante um mês em incursão por navegação e a </w:t>
      </w:r>
      <w:r w:rsidRPr="00392EAD">
        <w:rPr>
          <w:spacing w:val="2"/>
          <w:lang w:val="pt-BR"/>
        </w:rPr>
        <w:t xml:space="preserve">pé </w:t>
      </w:r>
      <w:r w:rsidRPr="00392EAD">
        <w:rPr>
          <w:spacing w:val="5"/>
          <w:lang w:val="pt-BR"/>
        </w:rPr>
        <w:t xml:space="preserve">(ALMEIDA, 2009b) </w:t>
      </w:r>
      <w:r w:rsidRPr="00392EAD">
        <w:rPr>
          <w:spacing w:val="2"/>
          <w:lang w:val="pt-BR"/>
        </w:rPr>
        <w:t xml:space="preserve">na </w:t>
      </w:r>
      <w:r w:rsidRPr="00392EAD">
        <w:rPr>
          <w:spacing w:val="5"/>
          <w:lang w:val="pt-BR"/>
        </w:rPr>
        <w:t>regiã</w:t>
      </w:r>
      <w:r w:rsidRPr="00392EAD">
        <w:rPr>
          <w:spacing w:val="5"/>
          <w:lang w:val="pt-BR"/>
        </w:rPr>
        <w:t xml:space="preserve">o </w:t>
      </w:r>
      <w:r w:rsidRPr="00392EAD">
        <w:rPr>
          <w:spacing w:val="3"/>
          <w:lang w:val="pt-BR"/>
        </w:rPr>
        <w:t xml:space="preserve">dos </w:t>
      </w:r>
      <w:r w:rsidRPr="00392EAD">
        <w:rPr>
          <w:spacing w:val="5"/>
          <w:lang w:val="pt-BR"/>
        </w:rPr>
        <w:t xml:space="preserve">rios </w:t>
      </w:r>
      <w:r w:rsidRPr="00392EAD">
        <w:rPr>
          <w:spacing w:val="6"/>
          <w:lang w:val="pt-BR"/>
        </w:rPr>
        <w:t xml:space="preserve">Solimões, </w:t>
      </w:r>
      <w:r w:rsidRPr="00392EAD">
        <w:rPr>
          <w:lang w:val="pt-BR"/>
        </w:rPr>
        <w:t>Jandiatuba,</w:t>
      </w:r>
      <w:r w:rsidRPr="00392EAD">
        <w:rPr>
          <w:spacing w:val="20"/>
          <w:lang w:val="pt-BR"/>
        </w:rPr>
        <w:t xml:space="preserve"> </w:t>
      </w:r>
      <w:r w:rsidRPr="00392EAD">
        <w:rPr>
          <w:lang w:val="pt-BR"/>
        </w:rPr>
        <w:t>Jutaí</w:t>
      </w:r>
      <w:r w:rsidRPr="00392EAD">
        <w:rPr>
          <w:spacing w:val="20"/>
          <w:lang w:val="pt-BR"/>
        </w:rPr>
        <w:t xml:space="preserve"> </w:t>
      </w:r>
      <w:r w:rsidRPr="00392EAD">
        <w:rPr>
          <w:lang w:val="pt-BR"/>
        </w:rPr>
        <w:t>e</w:t>
      </w:r>
      <w:r w:rsidRPr="00392EAD">
        <w:rPr>
          <w:spacing w:val="20"/>
          <w:lang w:val="pt-BR"/>
        </w:rPr>
        <w:t xml:space="preserve"> </w:t>
      </w:r>
      <w:r w:rsidRPr="00392EAD">
        <w:rPr>
          <w:lang w:val="pt-BR"/>
        </w:rPr>
        <w:t>Bóia</w:t>
      </w:r>
      <w:r w:rsidRPr="00392EAD">
        <w:rPr>
          <w:spacing w:val="20"/>
          <w:lang w:val="pt-BR"/>
        </w:rPr>
        <w:t xml:space="preserve"> </w:t>
      </w:r>
      <w:r w:rsidRPr="00392EAD">
        <w:rPr>
          <w:lang w:val="pt-BR"/>
        </w:rPr>
        <w:t>(afluente</w:t>
      </w:r>
      <w:r w:rsidRPr="00392EAD">
        <w:rPr>
          <w:spacing w:val="20"/>
          <w:lang w:val="pt-BR"/>
        </w:rPr>
        <w:t xml:space="preserve"> </w:t>
      </w:r>
      <w:r w:rsidRPr="00392EAD">
        <w:rPr>
          <w:lang w:val="pt-BR"/>
        </w:rPr>
        <w:t>do</w:t>
      </w:r>
      <w:r w:rsidRPr="00392EAD">
        <w:rPr>
          <w:spacing w:val="20"/>
          <w:lang w:val="pt-BR"/>
        </w:rPr>
        <w:t xml:space="preserve"> </w:t>
      </w:r>
      <w:r w:rsidRPr="00392EAD">
        <w:rPr>
          <w:lang w:val="pt-BR"/>
        </w:rPr>
        <w:t>Jutaí),</w:t>
      </w:r>
      <w:r w:rsidRPr="00392EAD">
        <w:rPr>
          <w:spacing w:val="20"/>
          <w:lang w:val="pt-BR"/>
        </w:rPr>
        <w:t xml:space="preserve"> </w:t>
      </w:r>
      <w:r w:rsidRPr="00392EAD">
        <w:rPr>
          <w:lang w:val="pt-BR"/>
        </w:rPr>
        <w:t>e</w:t>
      </w:r>
      <w:r w:rsidRPr="00392EAD">
        <w:rPr>
          <w:spacing w:val="20"/>
          <w:lang w:val="pt-BR"/>
        </w:rPr>
        <w:t xml:space="preserve"> </w:t>
      </w:r>
      <w:r w:rsidRPr="00392EAD">
        <w:rPr>
          <w:lang w:val="pt-BR"/>
        </w:rPr>
        <w:t>pôde</w:t>
      </w:r>
      <w:r w:rsidRPr="00392EAD">
        <w:rPr>
          <w:spacing w:val="20"/>
          <w:lang w:val="pt-BR"/>
        </w:rPr>
        <w:t xml:space="preserve"> </w:t>
      </w:r>
      <w:r w:rsidRPr="00392EAD">
        <w:rPr>
          <w:lang w:val="pt-BR"/>
        </w:rPr>
        <w:t>verificar</w:t>
      </w:r>
    </w:p>
    <w:p w:rsidR="00D81F69" w:rsidRPr="00392EAD" w:rsidRDefault="00D81F69">
      <w:pPr>
        <w:spacing w:line="312" w:lineRule="auto"/>
        <w:rPr>
          <w:lang w:val="pt-BR"/>
        </w:rPr>
        <w:sectPr w:rsidR="00D81F69" w:rsidRPr="00392EAD">
          <w:type w:val="continuous"/>
          <w:pgSz w:w="11900" w:h="16840"/>
          <w:pgMar w:top="720" w:right="460" w:bottom="280" w:left="620" w:header="720" w:footer="720" w:gutter="0"/>
          <w:cols w:num="3" w:space="720" w:equalWidth="0">
            <w:col w:w="1934" w:space="66"/>
            <w:col w:w="3121" w:space="314"/>
            <w:col w:w="5385"/>
          </w:cols>
        </w:sectPr>
      </w:pPr>
    </w:p>
    <w:p w:rsidR="00D81F69" w:rsidRPr="00392EAD" w:rsidRDefault="00330118">
      <w:pPr>
        <w:pStyle w:val="Heading4"/>
        <w:spacing w:before="56"/>
        <w:rPr>
          <w:lang w:val="pt-BR"/>
        </w:rPr>
      </w:pPr>
      <w:r w:rsidRPr="00392EAD">
        <w:rPr>
          <w:lang w:val="pt-BR"/>
        </w:rPr>
        <w:lastRenderedPageBreak/>
        <w:t>APRESENTAÇÃO DE CASO</w:t>
      </w:r>
    </w:p>
    <w:p w:rsidR="00D81F69" w:rsidRDefault="00330118">
      <w:pPr>
        <w:pStyle w:val="Corpodetexto"/>
        <w:spacing w:before="171" w:line="312" w:lineRule="auto"/>
        <w:ind w:right="38"/>
      </w:pPr>
      <w:r w:rsidRPr="00392EAD">
        <w:rPr>
          <w:lang w:val="pt-BR"/>
        </w:rPr>
        <w:t xml:space="preserve">A Terra Indígena (TI) Vale do Javari localiza-se no sudoeste do </w:t>
      </w:r>
      <w:r w:rsidRPr="00392EAD">
        <w:rPr>
          <w:spacing w:val="1"/>
          <w:lang w:val="pt-BR"/>
        </w:rPr>
        <w:t xml:space="preserve">estado </w:t>
      </w:r>
      <w:r w:rsidRPr="00392EAD">
        <w:rPr>
          <w:lang w:val="pt-BR"/>
        </w:rPr>
        <w:t xml:space="preserve">do </w:t>
      </w:r>
      <w:r w:rsidRPr="00392EAD">
        <w:rPr>
          <w:spacing w:val="1"/>
          <w:lang w:val="pt-BR"/>
        </w:rPr>
        <w:t xml:space="preserve">Amazonas, </w:t>
      </w:r>
      <w:r w:rsidRPr="00392EAD">
        <w:rPr>
          <w:lang w:val="pt-BR"/>
        </w:rPr>
        <w:t xml:space="preserve">na </w:t>
      </w:r>
      <w:r w:rsidRPr="00392EAD">
        <w:rPr>
          <w:spacing w:val="1"/>
          <w:lang w:val="pt-BR"/>
        </w:rPr>
        <w:t xml:space="preserve">fronteira </w:t>
      </w:r>
      <w:r w:rsidRPr="00392EAD">
        <w:rPr>
          <w:lang w:val="pt-BR"/>
        </w:rPr>
        <w:t xml:space="preserve">com o </w:t>
      </w:r>
      <w:r w:rsidRPr="00392EAD">
        <w:rPr>
          <w:spacing w:val="1"/>
          <w:lang w:val="pt-BR"/>
        </w:rPr>
        <w:t xml:space="preserve">Peru, </w:t>
      </w:r>
      <w:r w:rsidRPr="00392EAD">
        <w:rPr>
          <w:lang w:val="pt-BR"/>
        </w:rPr>
        <w:t xml:space="preserve">e </w:t>
      </w:r>
      <w:r w:rsidRPr="00392EAD">
        <w:rPr>
          <w:spacing w:val="2"/>
          <w:lang w:val="pt-BR"/>
        </w:rPr>
        <w:t xml:space="preserve">ocupa </w:t>
      </w:r>
      <w:r w:rsidRPr="00392EAD">
        <w:rPr>
          <w:spacing w:val="3"/>
          <w:lang w:val="pt-BR"/>
        </w:rPr>
        <w:t>um</w:t>
      </w:r>
      <w:r w:rsidRPr="00392EAD">
        <w:rPr>
          <w:spacing w:val="3"/>
          <w:lang w:val="pt-BR"/>
        </w:rPr>
        <w:t xml:space="preserve">a área </w:t>
      </w:r>
      <w:r w:rsidRPr="00392EAD">
        <w:rPr>
          <w:spacing w:val="2"/>
          <w:lang w:val="pt-BR"/>
        </w:rPr>
        <w:t xml:space="preserve">de </w:t>
      </w:r>
      <w:r w:rsidRPr="00392EAD">
        <w:rPr>
          <w:spacing w:val="5"/>
          <w:lang w:val="pt-BR"/>
        </w:rPr>
        <w:t xml:space="preserve">aproximadamente </w:t>
      </w:r>
      <w:r w:rsidRPr="00392EAD">
        <w:rPr>
          <w:spacing w:val="3"/>
          <w:lang w:val="pt-BR"/>
        </w:rPr>
        <w:t xml:space="preserve">8,5 </w:t>
      </w:r>
      <w:r w:rsidRPr="00392EAD">
        <w:rPr>
          <w:spacing w:val="5"/>
          <w:lang w:val="pt-BR"/>
        </w:rPr>
        <w:t xml:space="preserve">milhões </w:t>
      </w:r>
      <w:r w:rsidRPr="00392EAD">
        <w:rPr>
          <w:spacing w:val="2"/>
          <w:lang w:val="pt-BR"/>
        </w:rPr>
        <w:t xml:space="preserve">de </w:t>
      </w:r>
      <w:r w:rsidRPr="00392EAD">
        <w:rPr>
          <w:spacing w:val="5"/>
          <w:lang w:val="pt-BR"/>
        </w:rPr>
        <w:t>hectares,</w:t>
      </w:r>
      <w:r w:rsidRPr="00392EAD">
        <w:rPr>
          <w:spacing w:val="61"/>
          <w:lang w:val="pt-BR"/>
        </w:rPr>
        <w:t xml:space="preserve"> </w:t>
      </w:r>
      <w:r w:rsidRPr="00392EAD">
        <w:rPr>
          <w:lang w:val="pt-BR"/>
        </w:rPr>
        <w:t xml:space="preserve">sendo a segunda maior terra indígena do Brasil. </w:t>
      </w:r>
      <w:r>
        <w:t xml:space="preserve">Abrange os </w:t>
      </w:r>
      <w:r>
        <w:rPr>
          <w:spacing w:val="5"/>
        </w:rPr>
        <w:t xml:space="preserve">municípios </w:t>
      </w:r>
      <w:r>
        <w:rPr>
          <w:spacing w:val="2"/>
        </w:rPr>
        <w:t xml:space="preserve">de </w:t>
      </w:r>
      <w:r>
        <w:rPr>
          <w:spacing w:val="5"/>
        </w:rPr>
        <w:t xml:space="preserve">Atalaia </w:t>
      </w:r>
      <w:r>
        <w:rPr>
          <w:spacing w:val="2"/>
        </w:rPr>
        <w:t xml:space="preserve">do </w:t>
      </w:r>
      <w:r>
        <w:rPr>
          <w:spacing w:val="5"/>
        </w:rPr>
        <w:t>Norte, Benjamin Constant, São</w:t>
      </w:r>
      <w:r>
        <w:rPr>
          <w:spacing w:val="61"/>
        </w:rPr>
        <w:t xml:space="preserve"> </w:t>
      </w:r>
      <w:r>
        <w:rPr>
          <w:spacing w:val="3"/>
        </w:rPr>
        <w:t xml:space="preserve">Paulo </w:t>
      </w:r>
      <w:r>
        <w:rPr>
          <w:spacing w:val="1"/>
        </w:rPr>
        <w:t xml:space="preserve">de </w:t>
      </w:r>
      <w:r>
        <w:rPr>
          <w:spacing w:val="3"/>
        </w:rPr>
        <w:t xml:space="preserve">Olivença </w:t>
      </w:r>
      <w:r>
        <w:t xml:space="preserve">e </w:t>
      </w:r>
      <w:r>
        <w:rPr>
          <w:spacing w:val="3"/>
        </w:rPr>
        <w:t xml:space="preserve">Jutaí, </w:t>
      </w:r>
      <w:r>
        <w:t xml:space="preserve">e é </w:t>
      </w:r>
      <w:r>
        <w:rPr>
          <w:spacing w:val="3"/>
        </w:rPr>
        <w:t xml:space="preserve">drenada pelos </w:t>
      </w:r>
      <w:r>
        <w:rPr>
          <w:spacing w:val="2"/>
        </w:rPr>
        <w:t xml:space="preserve">rios </w:t>
      </w:r>
      <w:r>
        <w:rPr>
          <w:spacing w:val="5"/>
        </w:rPr>
        <w:t xml:space="preserve">Javari, </w:t>
      </w:r>
      <w:r>
        <w:t xml:space="preserve">Curuçá, Ituí, Itacoaí e Quixito, além dos altos cursos dos rios </w:t>
      </w:r>
      <w:r>
        <w:rPr>
          <w:spacing w:val="5"/>
        </w:rPr>
        <w:t xml:space="preserve">Jutaí </w:t>
      </w:r>
      <w:r>
        <w:t xml:space="preserve">e </w:t>
      </w:r>
      <w:r>
        <w:rPr>
          <w:spacing w:val="6"/>
        </w:rPr>
        <w:t xml:space="preserve">Jandiatuba </w:t>
      </w:r>
      <w:r>
        <w:rPr>
          <w:spacing w:val="5"/>
        </w:rPr>
        <w:t xml:space="preserve">(ÍNDIOS </w:t>
      </w:r>
      <w:r>
        <w:rPr>
          <w:spacing w:val="6"/>
        </w:rPr>
        <w:t xml:space="preserve">ISOLADOS </w:t>
      </w:r>
      <w:r>
        <w:rPr>
          <w:spacing w:val="3"/>
        </w:rPr>
        <w:t xml:space="preserve">DO </w:t>
      </w:r>
      <w:r>
        <w:rPr>
          <w:spacing w:val="5"/>
        </w:rPr>
        <w:t xml:space="preserve">VALE </w:t>
      </w:r>
      <w:r>
        <w:rPr>
          <w:spacing w:val="7"/>
        </w:rPr>
        <w:t xml:space="preserve">DO </w:t>
      </w:r>
      <w:r>
        <w:rPr>
          <w:spacing w:val="5"/>
        </w:rPr>
        <w:t>JAVARI,</w:t>
      </w:r>
      <w:r>
        <w:rPr>
          <w:spacing w:val="41"/>
        </w:rPr>
        <w:t xml:space="preserve"> </w:t>
      </w:r>
      <w:r>
        <w:rPr>
          <w:spacing w:val="7"/>
        </w:rPr>
        <w:t>2011a).</w:t>
      </w:r>
    </w:p>
    <w:p w:rsidR="00D81F69" w:rsidRPr="00392EAD" w:rsidRDefault="00330118">
      <w:pPr>
        <w:pStyle w:val="Corpodetexto"/>
        <w:spacing w:before="138" w:line="312" w:lineRule="auto"/>
        <w:ind w:right="44"/>
        <w:rPr>
          <w:lang w:val="pt-BR"/>
        </w:rPr>
      </w:pPr>
      <w:r w:rsidRPr="00392EAD">
        <w:rPr>
          <w:lang w:val="pt-BR"/>
        </w:rPr>
        <w:t>Na TI, há mais de 3.000 pessoas, pertencentes a povos de diversas etnias, formando um território interétnico. Coexistem, dentro d</w:t>
      </w:r>
      <w:r w:rsidRPr="00392EAD">
        <w:rPr>
          <w:lang w:val="pt-BR"/>
        </w:rPr>
        <w:t>e seus limites, oito etnias distintas em contato sistemático com a sociedade majoritária: Kanamari, Kulina Pano, Kulina Arawa, Marubo, Matis, Matsés (Mayoruna), um pequeno grupo Korubo e outro Tsohom Djapá (ÍNDIOS ISOLADOS DO VALE DO JAVARI, 2011b).</w:t>
      </w:r>
    </w:p>
    <w:p w:rsidR="00D81F69" w:rsidRDefault="00330118">
      <w:pPr>
        <w:pStyle w:val="Corpodetexto"/>
        <w:spacing w:before="136" w:line="312" w:lineRule="auto"/>
        <w:ind w:right="40"/>
      </w:pPr>
      <w:r w:rsidRPr="00392EAD">
        <w:rPr>
          <w:lang w:val="pt-BR"/>
        </w:rPr>
        <w:t>Estima</w:t>
      </w:r>
      <w:r w:rsidRPr="00392EAD">
        <w:rPr>
          <w:lang w:val="pt-BR"/>
        </w:rPr>
        <w:t>-se que também habitem a região povos isolados [indígenas não contatados, ou cujo contato tenha se realizado apenas em momento longínquo]. As estimativas divulgadas quanto ao número dessa população são divergentes: alguns citam a existência de 7 povos (ÍND</w:t>
      </w:r>
      <w:r w:rsidRPr="00392EAD">
        <w:rPr>
          <w:lang w:val="pt-BR"/>
        </w:rPr>
        <w:t xml:space="preserve">IOS ISOLADOS DO VALE DO JAVARI, 2011a); outros documentos apontam 18 (INDIOS ISOLADOS DO VALE DO JAVARI, 2011b), enquanto há os que indiquem a existência de 26 tribos isoladas (BRANDT, 2008). </w:t>
      </w:r>
      <w:r>
        <w:t>A contagem de 3.600 índios feita pela Fundação Nacional de Saúde</w:t>
      </w:r>
      <w:r>
        <w:t xml:space="preserve"> (Funasa) restringe-se ao universo de índios contatados, posto que apenas estes são tomados no censo. De toda forma, nota-se que a Coordenação Geral de Índios Isolados (CGII) e a Fundação Nacional do Índio (Funai) apontam nessa região a maior ocorrência de</w:t>
      </w:r>
      <w:r>
        <w:t xml:space="preserve"> índios isolados (ÍNDIOS ISOLADOS DO VALE DO JAVARI, 2011a).</w:t>
      </w:r>
    </w:p>
    <w:p w:rsidR="00D81F69" w:rsidRDefault="00330118">
      <w:pPr>
        <w:pStyle w:val="Corpodetexto"/>
        <w:spacing w:before="144" w:line="312" w:lineRule="auto"/>
        <w:ind w:right="61"/>
      </w:pPr>
      <w:r>
        <w:t>Em dezembro de 2009, uma expedição conjunta da Funai e do Centro de Trabalho Indigenista – denominada Frente de Proteção Etnoambiental Vale do Javari (FPEVJ), liderada pelo indigenista</w:t>
      </w:r>
      <w:r>
        <w:rPr>
          <w:spacing w:val="10"/>
        </w:rPr>
        <w:t xml:space="preserve"> </w:t>
      </w:r>
      <w:r>
        <w:t>Rieli</w:t>
      </w:r>
      <w:r>
        <w:rPr>
          <w:spacing w:val="10"/>
        </w:rPr>
        <w:t xml:space="preserve"> </w:t>
      </w:r>
      <w:r>
        <w:t>Fran</w:t>
      </w:r>
      <w:r>
        <w:t>ciscato</w:t>
      </w:r>
      <w:r>
        <w:rPr>
          <w:spacing w:val="10"/>
        </w:rPr>
        <w:t xml:space="preserve"> </w:t>
      </w:r>
      <w:r>
        <w:t>–</w:t>
      </w:r>
      <w:r>
        <w:rPr>
          <w:spacing w:val="10"/>
        </w:rPr>
        <w:t xml:space="preserve"> </w:t>
      </w:r>
      <w:r>
        <w:t>esteve</w:t>
      </w:r>
      <w:r>
        <w:rPr>
          <w:spacing w:val="10"/>
        </w:rPr>
        <w:t xml:space="preserve"> </w:t>
      </w:r>
      <w:r>
        <w:t>na</w:t>
      </w:r>
      <w:r>
        <w:rPr>
          <w:spacing w:val="10"/>
        </w:rPr>
        <w:t xml:space="preserve"> </w:t>
      </w:r>
      <w:r>
        <w:t>região</w:t>
      </w:r>
      <w:r>
        <w:rPr>
          <w:spacing w:val="10"/>
        </w:rPr>
        <w:t xml:space="preserve"> </w:t>
      </w:r>
      <w:r>
        <w:t>com</w:t>
      </w:r>
      <w:r>
        <w:rPr>
          <w:spacing w:val="10"/>
        </w:rPr>
        <w:t xml:space="preserve"> </w:t>
      </w:r>
      <w:r>
        <w:t>o</w:t>
      </w:r>
      <w:r>
        <w:rPr>
          <w:spacing w:val="10"/>
        </w:rPr>
        <w:t xml:space="preserve"> </w:t>
      </w:r>
      <w:r>
        <w:t>intuito</w:t>
      </w:r>
    </w:p>
    <w:p w:rsidR="00D81F69" w:rsidRDefault="00330118">
      <w:pPr>
        <w:pStyle w:val="Corpodetexto"/>
        <w:spacing w:before="3" w:line="312" w:lineRule="auto"/>
        <w:ind w:right="235"/>
      </w:pPr>
      <w:r>
        <w:br w:type="column"/>
      </w:r>
      <w:r>
        <w:lastRenderedPageBreak/>
        <w:t xml:space="preserve">que o garimpo está presente no rio Bóia (ALMEIDA, 2009a).  O rio, com cerca de 300 km, fica próximo à TI Vale do Javari. </w:t>
      </w:r>
      <w:r>
        <w:rPr>
          <w:spacing w:val="2"/>
        </w:rPr>
        <w:t xml:space="preserve">Sua </w:t>
      </w:r>
      <w:r>
        <w:rPr>
          <w:spacing w:val="3"/>
        </w:rPr>
        <w:t xml:space="preserve">nascente </w:t>
      </w:r>
      <w:r>
        <w:rPr>
          <w:spacing w:val="2"/>
        </w:rPr>
        <w:t xml:space="preserve">está </w:t>
      </w:r>
      <w:r>
        <w:t xml:space="preserve">a </w:t>
      </w:r>
      <w:r>
        <w:rPr>
          <w:spacing w:val="3"/>
        </w:rPr>
        <w:t xml:space="preserve">menos </w:t>
      </w:r>
      <w:r>
        <w:rPr>
          <w:spacing w:val="1"/>
        </w:rPr>
        <w:t xml:space="preserve">de 40 km </w:t>
      </w:r>
      <w:r>
        <w:rPr>
          <w:spacing w:val="2"/>
        </w:rPr>
        <w:t xml:space="preserve">dos </w:t>
      </w:r>
      <w:r>
        <w:rPr>
          <w:spacing w:val="3"/>
        </w:rPr>
        <w:t xml:space="preserve">limites </w:t>
      </w:r>
      <w:r>
        <w:rPr>
          <w:spacing w:val="1"/>
        </w:rPr>
        <w:t xml:space="preserve">da </w:t>
      </w:r>
      <w:r>
        <w:rPr>
          <w:spacing w:val="5"/>
        </w:rPr>
        <w:t xml:space="preserve">área </w:t>
      </w:r>
      <w:r>
        <w:rPr>
          <w:spacing w:val="3"/>
        </w:rPr>
        <w:t>indígena (ALMEIDA,</w:t>
      </w:r>
      <w:r>
        <w:rPr>
          <w:spacing w:val="-14"/>
        </w:rPr>
        <w:t xml:space="preserve"> </w:t>
      </w:r>
      <w:r>
        <w:rPr>
          <w:spacing w:val="5"/>
        </w:rPr>
        <w:t>2010).</w:t>
      </w:r>
    </w:p>
    <w:p w:rsidR="00D81F69" w:rsidRDefault="00330118">
      <w:pPr>
        <w:pStyle w:val="Corpodetexto"/>
        <w:spacing w:before="133" w:line="312" w:lineRule="auto"/>
        <w:ind w:right="233"/>
      </w:pPr>
      <w:r>
        <w:t>É de conheci</w:t>
      </w:r>
      <w:r>
        <w:t>mento público que a TI possui ouro em seu subsolo. Há dados de empresas mineradoras requerentes de concessão de lavra no território nos últimos anos. Fontes indicam que as solicitações de pesquisa/prospecção mineral na TI se deram apenas partir da Constitu</w:t>
      </w:r>
      <w:r>
        <w:t xml:space="preserve">ição de 1988, muito embora possam existir em situação de irregularidade quanto aos títulos minerários. Há informação de que, ainda na última década, teriam atuado no local as empresas Cooperativa de Garimpeiros no Estado do Amazonas (COOGAM), com um total </w:t>
      </w:r>
      <w:r>
        <w:t>de dois títulos; e a Caruari Pesquisa e Mineração Ltda., também com dois títulos (RICARDO, 1999). De todo modo, admite-se que possam existir, ainda, garimpos totalmente clandestinos (ALMEIDA, 2010).</w:t>
      </w:r>
    </w:p>
    <w:p w:rsidR="00D81F69" w:rsidRDefault="00330118">
      <w:pPr>
        <w:pStyle w:val="Corpodetexto"/>
        <w:spacing w:before="142" w:line="312" w:lineRule="auto"/>
        <w:ind w:right="230"/>
      </w:pPr>
      <w:r>
        <w:t>Na ocasião de viagem, a FPEVJ constatou também o perigo d</w:t>
      </w:r>
      <w:r>
        <w:t xml:space="preserve">e contaminação por </w:t>
      </w:r>
      <w:hyperlink r:id="rId71">
        <w:r>
          <w:t xml:space="preserve">mercúrio, </w:t>
        </w:r>
      </w:hyperlink>
      <w:r>
        <w:t xml:space="preserve">que poderia atingir a aldeia Boca do Biá, do povo Katukina, no rio Jutaí — que recebe as águas do rio Bóia (ALMEIDA, 2010). Isto porque </w:t>
      </w:r>
      <w:r>
        <w:t>a expedição encontrou cinco grandes balsas mecanizadas que sugavam o cascalho do fundo do rio para lançá-lo em grandes esteiras, onde o ouro era retirado com o auxílio de mercúrio. Pelo menos 30 trabalhadores encapuzados, não identificados, realizavam o pr</w:t>
      </w:r>
      <w:r>
        <w:t>ocesso de extração do metal precioso, ato configurado como crime ambiental (ALMEIDA, 2009c).</w:t>
      </w:r>
    </w:p>
    <w:p w:rsidR="00D81F69" w:rsidRDefault="00330118">
      <w:pPr>
        <w:pStyle w:val="Corpodetexto"/>
        <w:spacing w:before="77" w:line="270" w:lineRule="atLeast"/>
        <w:ind w:right="248"/>
      </w:pPr>
      <w:r>
        <w:rPr>
          <w:spacing w:val="3"/>
        </w:rPr>
        <w:t xml:space="preserve">Segundo relatos </w:t>
      </w:r>
      <w:r>
        <w:rPr>
          <w:spacing w:val="1"/>
        </w:rPr>
        <w:t xml:space="preserve">de </w:t>
      </w:r>
      <w:r>
        <w:rPr>
          <w:spacing w:val="3"/>
        </w:rPr>
        <w:t xml:space="preserve">índios katukinas, </w:t>
      </w:r>
      <w:r>
        <w:rPr>
          <w:spacing w:val="1"/>
        </w:rPr>
        <w:t xml:space="preserve">as </w:t>
      </w:r>
      <w:r>
        <w:rPr>
          <w:spacing w:val="3"/>
        </w:rPr>
        <w:t xml:space="preserve">balsas </w:t>
      </w:r>
      <w:r>
        <w:rPr>
          <w:spacing w:val="5"/>
        </w:rPr>
        <w:t xml:space="preserve">avistadas </w:t>
      </w:r>
      <w:r>
        <w:rPr>
          <w:spacing w:val="1"/>
        </w:rPr>
        <w:t xml:space="preserve">chegaram </w:t>
      </w:r>
      <w:r>
        <w:t xml:space="preserve">a ser </w:t>
      </w:r>
      <w:r>
        <w:rPr>
          <w:spacing w:val="1"/>
        </w:rPr>
        <w:t xml:space="preserve">retiradas sorrateiramente </w:t>
      </w:r>
      <w:r>
        <w:t xml:space="preserve">do </w:t>
      </w:r>
      <w:r>
        <w:rPr>
          <w:spacing w:val="1"/>
        </w:rPr>
        <w:t xml:space="preserve">local </w:t>
      </w:r>
      <w:r>
        <w:t xml:space="preserve">em </w:t>
      </w:r>
      <w:r>
        <w:rPr>
          <w:spacing w:val="2"/>
        </w:rPr>
        <w:t xml:space="preserve">que </w:t>
      </w:r>
      <w:r>
        <w:t xml:space="preserve">haviam sido identificadas pela expedição e postas em direção à </w:t>
      </w:r>
      <w:r>
        <w:rPr>
          <w:spacing w:val="5"/>
        </w:rPr>
        <w:t xml:space="preserve">cidade </w:t>
      </w:r>
      <w:r>
        <w:rPr>
          <w:spacing w:val="2"/>
        </w:rPr>
        <w:t xml:space="preserve">de </w:t>
      </w:r>
      <w:r>
        <w:rPr>
          <w:spacing w:val="5"/>
        </w:rPr>
        <w:t xml:space="preserve">Jutaí (AM). Além </w:t>
      </w:r>
      <w:r>
        <w:rPr>
          <w:spacing w:val="2"/>
        </w:rPr>
        <w:t xml:space="preserve">do </w:t>
      </w:r>
      <w:r>
        <w:rPr>
          <w:spacing w:val="5"/>
        </w:rPr>
        <w:t xml:space="preserve">flagrante esquema </w:t>
      </w:r>
      <w:r>
        <w:rPr>
          <w:spacing w:val="6"/>
        </w:rPr>
        <w:t xml:space="preserve">de </w:t>
      </w:r>
      <w:r>
        <w:rPr>
          <w:spacing w:val="3"/>
        </w:rPr>
        <w:t xml:space="preserve">operação relatado, notou-se </w:t>
      </w:r>
      <w:r>
        <w:rPr>
          <w:spacing w:val="2"/>
        </w:rPr>
        <w:t xml:space="preserve">que </w:t>
      </w:r>
      <w:r>
        <w:rPr>
          <w:spacing w:val="1"/>
        </w:rPr>
        <w:t xml:space="preserve">as </w:t>
      </w:r>
      <w:r>
        <w:rPr>
          <w:spacing w:val="3"/>
        </w:rPr>
        <w:t xml:space="preserve">margens </w:t>
      </w:r>
      <w:r>
        <w:rPr>
          <w:spacing w:val="1"/>
        </w:rPr>
        <w:t xml:space="preserve">do </w:t>
      </w:r>
      <w:r>
        <w:rPr>
          <w:spacing w:val="2"/>
        </w:rPr>
        <w:t xml:space="preserve">rio </w:t>
      </w:r>
      <w:r>
        <w:rPr>
          <w:spacing w:val="5"/>
        </w:rPr>
        <w:t xml:space="preserve">Bóia </w:t>
      </w:r>
      <w:r>
        <w:rPr>
          <w:spacing w:val="3"/>
        </w:rPr>
        <w:t xml:space="preserve">estavam devastadas </w:t>
      </w:r>
      <w:r>
        <w:rPr>
          <w:spacing w:val="1"/>
        </w:rPr>
        <w:t xml:space="preserve">em </w:t>
      </w:r>
      <w:r>
        <w:rPr>
          <w:spacing w:val="2"/>
        </w:rPr>
        <w:t xml:space="preserve">mais </w:t>
      </w:r>
      <w:r>
        <w:rPr>
          <w:spacing w:val="1"/>
        </w:rPr>
        <w:t xml:space="preserve">de </w:t>
      </w:r>
      <w:r>
        <w:rPr>
          <w:spacing w:val="2"/>
        </w:rPr>
        <w:t xml:space="preserve">300 </w:t>
      </w:r>
      <w:r>
        <w:rPr>
          <w:spacing w:val="3"/>
        </w:rPr>
        <w:t xml:space="preserve">pontos, </w:t>
      </w:r>
      <w:r>
        <w:rPr>
          <w:spacing w:val="5"/>
        </w:rPr>
        <w:t xml:space="preserve">catalogados </w:t>
      </w:r>
      <w:r>
        <w:t>pela equipe da Funai, e identific</w:t>
      </w:r>
      <w:r>
        <w:t xml:space="preserve">ou-se ainda o surgimento de enormes bancos de areia (descritos como “do tamanho de 30 </w:t>
      </w:r>
      <w:r>
        <w:rPr>
          <w:spacing w:val="5"/>
        </w:rPr>
        <w:t xml:space="preserve">campos </w:t>
      </w:r>
      <w:r>
        <w:rPr>
          <w:spacing w:val="2"/>
        </w:rPr>
        <w:t xml:space="preserve">de </w:t>
      </w:r>
      <w:r>
        <w:rPr>
          <w:spacing w:val="5"/>
        </w:rPr>
        <w:t xml:space="preserve">futebol”), </w:t>
      </w:r>
      <w:r>
        <w:rPr>
          <w:spacing w:val="3"/>
        </w:rPr>
        <w:t xml:space="preserve">que </w:t>
      </w:r>
      <w:r>
        <w:rPr>
          <w:spacing w:val="5"/>
        </w:rPr>
        <w:t xml:space="preserve">seriam subproduto </w:t>
      </w:r>
      <w:r>
        <w:rPr>
          <w:spacing w:val="2"/>
        </w:rPr>
        <w:t xml:space="preserve">do </w:t>
      </w:r>
      <w:r>
        <w:rPr>
          <w:spacing w:val="5"/>
        </w:rPr>
        <w:t>garimpo</w:t>
      </w:r>
      <w:r>
        <w:rPr>
          <w:spacing w:val="61"/>
        </w:rPr>
        <w:t xml:space="preserve"> </w:t>
      </w:r>
      <w:r>
        <w:rPr>
          <w:spacing w:val="5"/>
        </w:rPr>
        <w:t>(ALMEIDA, 2010).</w:t>
      </w:r>
    </w:p>
    <w:p w:rsidR="00D81F69" w:rsidRDefault="00D81F69">
      <w:pPr>
        <w:spacing w:line="270" w:lineRule="atLeast"/>
        <w:sectPr w:rsidR="00D81F69">
          <w:type w:val="continuous"/>
          <w:pgSz w:w="11900" w:h="16840"/>
          <w:pgMar w:top="720" w:right="460" w:bottom="280" w:left="620" w:header="720" w:footer="720" w:gutter="0"/>
          <w:cols w:num="2" w:space="720" w:equalWidth="0">
            <w:col w:w="5158" w:space="312"/>
            <w:col w:w="5350"/>
          </w:cols>
        </w:sectPr>
      </w:pPr>
    </w:p>
    <w:p w:rsidR="00D81F69" w:rsidRDefault="00D81F69">
      <w:pPr>
        <w:pStyle w:val="Corpodetexto"/>
        <w:spacing w:before="5"/>
        <w:ind w:left="0"/>
        <w:jc w:val="left"/>
        <w:rPr>
          <w:sz w:val="24"/>
        </w:rPr>
      </w:pPr>
    </w:p>
    <w:p w:rsidR="00D81F69" w:rsidRDefault="00330118">
      <w:pPr>
        <w:pStyle w:val="Corpodetexto"/>
        <w:spacing w:line="312" w:lineRule="auto"/>
        <w:ind w:right="58"/>
      </w:pPr>
      <w:r>
        <w:t>Os resultados da expedição levaram a Funai a informar a Polícia Federal, ao Instituto Brasileiro do Meio Ambiente e dos Recursos Naturais Renováveis (Ibama) e à Marinha sobre o garimpo. No entanto, à época, nenhuma operação para apreender as balsas foi rea</w:t>
      </w:r>
      <w:r>
        <w:t>lizada (ALMEIDA, 2010).</w:t>
      </w:r>
    </w:p>
    <w:p w:rsidR="00D81F69" w:rsidRDefault="00330118">
      <w:pPr>
        <w:pStyle w:val="Corpodetexto"/>
        <w:spacing w:before="134" w:line="312" w:lineRule="auto"/>
        <w:ind w:right="38"/>
      </w:pPr>
      <w:r>
        <w:t>Observa-se ainda que a situação descrita compreende um complexo quadro social em que coexistem diversos níveis de inter-relações culturais na TI (entre indígenas e entre estes e não indígenas), diferentes condições de vida dos povos</w:t>
      </w:r>
      <w:r>
        <w:t xml:space="preserve"> (em relação à preservação do território, de sua história e de sua vida) e implicâncias da mineração ilegal para a dinâmica e saúde ambiental e dos povos da região (COIMBRA Jr.; SANTOS, 2001). Teme-se, especialmente, que a proximidade da população não indí</w:t>
      </w:r>
      <w:r>
        <w:t>gena possa ocasionar malefícios à saúde dos indígenas, mesmo não havendo contato direto. Muito embora a criação da Terra Indígena Vale do Javari (homologada em 1998 e demarcada em 2000) seja o mais</w:t>
      </w:r>
    </w:p>
    <w:p w:rsidR="00D81F69" w:rsidRDefault="00330118">
      <w:pPr>
        <w:pStyle w:val="Corpodetexto"/>
        <w:spacing w:before="81" w:line="312" w:lineRule="auto"/>
        <w:ind w:right="235"/>
      </w:pPr>
      <w:r>
        <w:br w:type="column"/>
      </w:r>
      <w:r>
        <w:lastRenderedPageBreak/>
        <w:t>No município de Jutaí ocorre um garimpo ilegal de ouro na</w:t>
      </w:r>
      <w:r>
        <w:t xml:space="preserve"> sub-bacia do rio Jutaí, que pertence a bacia do rio Solimões, próximo ao canal principal de mesmo nome e ao rio Bóia. Os limites da Terra Indígena do Vale do Javari são 4°21’10”S - 6°57’58”S e 69°21’52”W – 73°43’55”W.</w:t>
      </w:r>
    </w:p>
    <w:p w:rsidR="00D81F69" w:rsidRDefault="00D81F69">
      <w:pPr>
        <w:pStyle w:val="Corpodetexto"/>
        <w:spacing w:before="2"/>
        <w:ind w:left="0"/>
        <w:jc w:val="left"/>
        <w:rPr>
          <w:sz w:val="29"/>
        </w:rPr>
      </w:pPr>
    </w:p>
    <w:p w:rsidR="00D81F69" w:rsidRDefault="00330118">
      <w:pPr>
        <w:pStyle w:val="Heading7"/>
        <w:jc w:val="left"/>
      </w:pPr>
      <w:r>
        <w:t>REDATORES</w:t>
      </w:r>
    </w:p>
    <w:p w:rsidR="00D81F69" w:rsidRDefault="00330118">
      <w:pPr>
        <w:pStyle w:val="Corpodetexto"/>
        <w:spacing w:before="179"/>
        <w:jc w:val="left"/>
      </w:pPr>
      <w:r>
        <w:t>Laura Maul C. Costa</w:t>
      </w:r>
    </w:p>
    <w:p w:rsidR="00D81F69" w:rsidRDefault="00D81F69">
      <w:pPr>
        <w:pStyle w:val="Corpodetexto"/>
        <w:ind w:left="0"/>
        <w:jc w:val="left"/>
        <w:rPr>
          <w:sz w:val="20"/>
        </w:rPr>
      </w:pPr>
    </w:p>
    <w:p w:rsidR="00D81F69" w:rsidRDefault="00330118">
      <w:pPr>
        <w:pStyle w:val="Heading7"/>
        <w:spacing w:before="164"/>
        <w:jc w:val="left"/>
      </w:pPr>
      <w:r>
        <w:t>REFER</w:t>
      </w:r>
      <w:r>
        <w:t>ÊNCIAS BIBLIOGRÁFICAS</w:t>
      </w:r>
    </w:p>
    <w:p w:rsidR="00D81F69" w:rsidRDefault="00330118">
      <w:pPr>
        <w:spacing w:before="188" w:line="312" w:lineRule="auto"/>
        <w:ind w:left="100" w:right="237"/>
        <w:jc w:val="both"/>
        <w:rPr>
          <w:sz w:val="16"/>
        </w:rPr>
      </w:pPr>
      <w:r>
        <w:rPr>
          <w:sz w:val="16"/>
        </w:rPr>
        <w:t xml:space="preserve">ALMEIDA, Roberto. Expedição flagra garimpo ilegal no rio Bóia. O Estado de São Paulo Online, São Paulo, 11 dez. 2009a. Disponível em: </w:t>
      </w:r>
      <w:hyperlink r:id="rId72">
        <w:r>
          <w:rPr>
            <w:sz w:val="16"/>
          </w:rPr>
          <w:t>&lt;http://www.estadao</w:t>
        </w:r>
        <w:r>
          <w:rPr>
            <w:sz w:val="16"/>
          </w:rPr>
          <w:t>.com.br/noticias/nacional,expedicao-flagra-</w:t>
        </w:r>
      </w:hyperlink>
      <w:r>
        <w:rPr>
          <w:sz w:val="16"/>
        </w:rPr>
        <w:t xml:space="preserve"> garimpo-ilegal-no-rio-boia,480603,0.htm&gt;.  Acesso  em:  10  fev. 2011.</w:t>
      </w:r>
    </w:p>
    <w:p w:rsidR="00D81F69" w:rsidRDefault="00330118">
      <w:pPr>
        <w:spacing w:before="3" w:line="312" w:lineRule="auto"/>
        <w:ind w:left="100" w:right="230"/>
        <w:jc w:val="both"/>
        <w:rPr>
          <w:sz w:val="16"/>
        </w:rPr>
      </w:pPr>
      <w:r>
        <w:rPr>
          <w:sz w:val="16"/>
        </w:rPr>
        <w:t>______. Expedição da FUNAI inicia entrada na selva. O Estado de São  Paulo  Online, São  Paulo,  14  dez.  2009b.  Disponível em:</w:t>
      </w:r>
    </w:p>
    <w:p w:rsidR="00D81F69" w:rsidRDefault="00D81F69">
      <w:pPr>
        <w:spacing w:before="2"/>
        <w:ind w:left="100"/>
        <w:jc w:val="both"/>
        <w:rPr>
          <w:sz w:val="16"/>
        </w:rPr>
      </w:pPr>
      <w:hyperlink r:id="rId73">
        <w:r w:rsidR="00330118">
          <w:rPr>
            <w:sz w:val="16"/>
          </w:rPr>
          <w:t>&lt;http://www.estadao.com.br/noticias/nacional,expedicao-da-funai-</w:t>
        </w:r>
      </w:hyperlink>
    </w:p>
    <w:p w:rsidR="00D81F69" w:rsidRDefault="00330118">
      <w:pPr>
        <w:spacing w:before="56" w:line="137" w:lineRule="exact"/>
        <w:ind w:left="100"/>
        <w:jc w:val="both"/>
        <w:rPr>
          <w:sz w:val="16"/>
        </w:rPr>
      </w:pPr>
      <w:r>
        <w:rPr>
          <w:sz w:val="16"/>
        </w:rPr>
        <w:t>inicia-entrada-na-selva,481854,0.htm&gt;. Acesso em: 28  jun.  2010.</w:t>
      </w:r>
    </w:p>
    <w:p w:rsidR="00D81F69" w:rsidRDefault="00D81F69">
      <w:pPr>
        <w:spacing w:line="137" w:lineRule="exact"/>
        <w:jc w:val="both"/>
        <w:rPr>
          <w:sz w:val="16"/>
        </w:rPr>
        <w:sectPr w:rsidR="00D81F69">
          <w:pgSz w:w="11900" w:h="16840"/>
          <w:pgMar w:top="740" w:right="460" w:bottom="720" w:left="620" w:header="0" w:footer="412" w:gutter="0"/>
          <w:cols w:num="2" w:space="720" w:equalWidth="0">
            <w:col w:w="5159" w:space="311"/>
            <w:col w:w="5350"/>
          </w:cols>
        </w:sectPr>
      </w:pPr>
    </w:p>
    <w:p w:rsidR="00D81F69" w:rsidRDefault="00330118">
      <w:pPr>
        <w:tabs>
          <w:tab w:val="left" w:pos="5569"/>
          <w:tab w:val="left" w:pos="6111"/>
        </w:tabs>
        <w:spacing w:before="6" w:line="206" w:lineRule="auto"/>
        <w:ind w:left="100"/>
        <w:rPr>
          <w:sz w:val="16"/>
        </w:rPr>
      </w:pPr>
      <w:r>
        <w:rPr>
          <w:spacing w:val="3"/>
          <w:sz w:val="18"/>
        </w:rPr>
        <w:lastRenderedPageBreak/>
        <w:t>importante</w:t>
      </w:r>
      <w:r>
        <w:rPr>
          <w:spacing w:val="27"/>
          <w:sz w:val="18"/>
        </w:rPr>
        <w:t xml:space="preserve"> </w:t>
      </w:r>
      <w:r>
        <w:rPr>
          <w:spacing w:val="3"/>
          <w:sz w:val="18"/>
        </w:rPr>
        <w:t>instrumento</w:t>
      </w:r>
      <w:r>
        <w:rPr>
          <w:spacing w:val="27"/>
          <w:sz w:val="18"/>
        </w:rPr>
        <w:t xml:space="preserve"> </w:t>
      </w:r>
      <w:r>
        <w:rPr>
          <w:spacing w:val="3"/>
          <w:sz w:val="18"/>
        </w:rPr>
        <w:t>jurídico</w:t>
      </w:r>
      <w:r>
        <w:rPr>
          <w:spacing w:val="27"/>
          <w:sz w:val="18"/>
        </w:rPr>
        <w:t xml:space="preserve"> </w:t>
      </w:r>
      <w:r>
        <w:rPr>
          <w:spacing w:val="3"/>
          <w:sz w:val="18"/>
        </w:rPr>
        <w:t>garantidor</w:t>
      </w:r>
      <w:r>
        <w:rPr>
          <w:spacing w:val="27"/>
          <w:sz w:val="18"/>
        </w:rPr>
        <w:t xml:space="preserve"> </w:t>
      </w:r>
      <w:r>
        <w:rPr>
          <w:spacing w:val="1"/>
          <w:sz w:val="18"/>
        </w:rPr>
        <w:t>da</w:t>
      </w:r>
      <w:r>
        <w:rPr>
          <w:spacing w:val="27"/>
          <w:sz w:val="18"/>
        </w:rPr>
        <w:t xml:space="preserve"> </w:t>
      </w:r>
      <w:r>
        <w:rPr>
          <w:spacing w:val="3"/>
          <w:sz w:val="18"/>
        </w:rPr>
        <w:t>proteção</w:t>
      </w:r>
      <w:r>
        <w:rPr>
          <w:spacing w:val="27"/>
          <w:sz w:val="18"/>
        </w:rPr>
        <w:t xml:space="preserve"> </w:t>
      </w:r>
      <w:r>
        <w:rPr>
          <w:spacing w:val="1"/>
          <w:sz w:val="18"/>
        </w:rPr>
        <w:t>do</w:t>
      </w:r>
      <w:r>
        <w:rPr>
          <w:spacing w:val="1"/>
          <w:sz w:val="18"/>
        </w:rPr>
        <w:tab/>
      </w:r>
      <w:r>
        <w:rPr>
          <w:spacing w:val="1"/>
          <w:sz w:val="18"/>
          <w:u w:val="single"/>
        </w:rPr>
        <w:t xml:space="preserve"> </w:t>
      </w:r>
      <w:r>
        <w:rPr>
          <w:spacing w:val="1"/>
          <w:sz w:val="18"/>
          <w:u w:val="single"/>
        </w:rPr>
        <w:tab/>
      </w:r>
      <w:r>
        <w:rPr>
          <w:position w:val="-8"/>
          <w:sz w:val="16"/>
        </w:rPr>
        <w:t>.</w:t>
      </w:r>
      <w:r>
        <w:rPr>
          <w:spacing w:val="7"/>
          <w:position w:val="-8"/>
          <w:sz w:val="16"/>
        </w:rPr>
        <w:t xml:space="preserve"> </w:t>
      </w:r>
      <w:r>
        <w:rPr>
          <w:position w:val="-8"/>
          <w:sz w:val="16"/>
        </w:rPr>
        <w:t>Garimpeiros</w:t>
      </w:r>
      <w:r>
        <w:rPr>
          <w:spacing w:val="7"/>
          <w:position w:val="-8"/>
          <w:sz w:val="16"/>
        </w:rPr>
        <w:t xml:space="preserve"> </w:t>
      </w:r>
      <w:r>
        <w:rPr>
          <w:position w:val="-8"/>
          <w:sz w:val="16"/>
        </w:rPr>
        <w:t>encapuzados</w:t>
      </w:r>
      <w:r>
        <w:rPr>
          <w:spacing w:val="7"/>
          <w:position w:val="-8"/>
          <w:sz w:val="16"/>
        </w:rPr>
        <w:t xml:space="preserve"> </w:t>
      </w:r>
      <w:r>
        <w:rPr>
          <w:position w:val="-8"/>
          <w:sz w:val="16"/>
        </w:rPr>
        <w:t>atuam</w:t>
      </w:r>
      <w:r>
        <w:rPr>
          <w:spacing w:val="7"/>
          <w:position w:val="-8"/>
          <w:sz w:val="16"/>
        </w:rPr>
        <w:t xml:space="preserve"> </w:t>
      </w:r>
      <w:r>
        <w:rPr>
          <w:position w:val="-8"/>
          <w:sz w:val="16"/>
        </w:rPr>
        <w:t>no</w:t>
      </w:r>
      <w:r>
        <w:rPr>
          <w:spacing w:val="7"/>
          <w:position w:val="-8"/>
          <w:sz w:val="16"/>
        </w:rPr>
        <w:t xml:space="preserve"> </w:t>
      </w:r>
      <w:r>
        <w:rPr>
          <w:position w:val="-8"/>
          <w:sz w:val="16"/>
        </w:rPr>
        <w:t>rio</w:t>
      </w:r>
      <w:r>
        <w:rPr>
          <w:spacing w:val="7"/>
          <w:position w:val="-8"/>
          <w:sz w:val="16"/>
        </w:rPr>
        <w:t xml:space="preserve"> </w:t>
      </w:r>
      <w:r>
        <w:rPr>
          <w:position w:val="-8"/>
          <w:sz w:val="16"/>
        </w:rPr>
        <w:t>Bóia,</w:t>
      </w:r>
      <w:r>
        <w:rPr>
          <w:spacing w:val="7"/>
          <w:position w:val="-8"/>
          <w:sz w:val="16"/>
        </w:rPr>
        <w:t xml:space="preserve"> </w:t>
      </w:r>
      <w:r>
        <w:rPr>
          <w:position w:val="-8"/>
          <w:sz w:val="16"/>
        </w:rPr>
        <w:t>no</w:t>
      </w:r>
      <w:r>
        <w:rPr>
          <w:spacing w:val="7"/>
          <w:position w:val="-8"/>
          <w:sz w:val="16"/>
        </w:rPr>
        <w:t xml:space="preserve"> </w:t>
      </w:r>
      <w:r>
        <w:rPr>
          <w:position w:val="-8"/>
          <w:sz w:val="16"/>
        </w:rPr>
        <w:t>Amazonas.</w:t>
      </w:r>
    </w:p>
    <w:p w:rsidR="00D81F69" w:rsidRDefault="00D81F69">
      <w:pPr>
        <w:spacing w:line="206" w:lineRule="auto"/>
        <w:rPr>
          <w:sz w:val="16"/>
        </w:rPr>
        <w:sectPr w:rsidR="00D81F69">
          <w:type w:val="continuous"/>
          <w:pgSz w:w="11900" w:h="16840"/>
          <w:pgMar w:top="720" w:right="460" w:bottom="280" w:left="620" w:header="720" w:footer="720" w:gutter="0"/>
          <w:cols w:space="720"/>
        </w:sectPr>
      </w:pPr>
    </w:p>
    <w:p w:rsidR="00D81F69" w:rsidRDefault="00330118">
      <w:pPr>
        <w:pStyle w:val="Corpodetexto"/>
        <w:spacing w:line="312" w:lineRule="auto"/>
        <w:ind w:right="38"/>
      </w:pPr>
      <w:r>
        <w:lastRenderedPageBreak/>
        <w:t>território dentro dos parâmetros legais constantes no Estatuto Nacional do Índio e na Constituição Federal, vindo também a limitar a circulação d</w:t>
      </w:r>
      <w:r>
        <w:t xml:space="preserve">e pessoas oriundas de fora do território, as notícias mais atuais dão conta de evidências da presença de </w:t>
      </w:r>
      <w:r>
        <w:rPr>
          <w:spacing w:val="1"/>
        </w:rPr>
        <w:t xml:space="preserve">invasores </w:t>
      </w:r>
      <w:r>
        <w:t xml:space="preserve">– </w:t>
      </w:r>
      <w:r>
        <w:rPr>
          <w:spacing w:val="1"/>
        </w:rPr>
        <w:t xml:space="preserve">preponderantemente madeireiros </w:t>
      </w:r>
      <w:r>
        <w:rPr>
          <w:spacing w:val="2"/>
        </w:rPr>
        <w:t xml:space="preserve">(CONDE; </w:t>
      </w:r>
      <w:r>
        <w:rPr>
          <w:spacing w:val="3"/>
        </w:rPr>
        <w:t xml:space="preserve">AMORIM, 2011), </w:t>
      </w:r>
      <w:r>
        <w:rPr>
          <w:spacing w:val="2"/>
        </w:rPr>
        <w:t xml:space="preserve">mas </w:t>
      </w:r>
      <w:r>
        <w:rPr>
          <w:spacing w:val="3"/>
        </w:rPr>
        <w:t xml:space="preserve">também garimpeiros (COIMBRA </w:t>
      </w:r>
      <w:r>
        <w:rPr>
          <w:spacing w:val="5"/>
        </w:rPr>
        <w:t xml:space="preserve">Jr.; </w:t>
      </w:r>
      <w:r>
        <w:rPr>
          <w:spacing w:val="3"/>
        </w:rPr>
        <w:t>SANTOS,</w:t>
      </w:r>
      <w:r>
        <w:rPr>
          <w:spacing w:val="21"/>
        </w:rPr>
        <w:t xml:space="preserve"> </w:t>
      </w:r>
      <w:r>
        <w:rPr>
          <w:spacing w:val="5"/>
        </w:rPr>
        <w:t>2001).</w:t>
      </w:r>
    </w:p>
    <w:p w:rsidR="00D81F69" w:rsidRDefault="00330118">
      <w:pPr>
        <w:pStyle w:val="Corpodetexto"/>
        <w:spacing w:before="131" w:line="312" w:lineRule="auto"/>
        <w:ind w:right="40"/>
      </w:pPr>
      <w:r>
        <w:t xml:space="preserve">A maior preocupação está no fato </w:t>
      </w:r>
      <w:r>
        <w:t xml:space="preserve">de que o quadro de saúde indígena está diretamente relacionado a processos históricos de mudanças sociais, econômicas e ambientais atreladas à expansão de frentes demográficas e econômicas nas diversas </w:t>
      </w:r>
      <w:r>
        <w:rPr>
          <w:spacing w:val="5"/>
        </w:rPr>
        <w:t xml:space="preserve">regiões </w:t>
      </w:r>
      <w:r>
        <w:rPr>
          <w:spacing w:val="2"/>
        </w:rPr>
        <w:t xml:space="preserve">do </w:t>
      </w:r>
      <w:r>
        <w:rPr>
          <w:spacing w:val="3"/>
        </w:rPr>
        <w:t xml:space="preserve">país </w:t>
      </w:r>
      <w:r>
        <w:rPr>
          <w:spacing w:val="2"/>
        </w:rPr>
        <w:t xml:space="preserve">ao </w:t>
      </w:r>
      <w:r>
        <w:rPr>
          <w:spacing w:val="3"/>
        </w:rPr>
        <w:t xml:space="preserve">longo </w:t>
      </w:r>
      <w:r>
        <w:rPr>
          <w:spacing w:val="2"/>
        </w:rPr>
        <w:t xml:space="preserve">do </w:t>
      </w:r>
      <w:r>
        <w:rPr>
          <w:spacing w:val="3"/>
        </w:rPr>
        <w:t xml:space="preserve">tempo </w:t>
      </w:r>
      <w:r>
        <w:t xml:space="preserve">— e </w:t>
      </w:r>
      <w:r>
        <w:rPr>
          <w:spacing w:val="3"/>
        </w:rPr>
        <w:t xml:space="preserve">não </w:t>
      </w:r>
      <w:r>
        <w:rPr>
          <w:spacing w:val="5"/>
        </w:rPr>
        <w:t>apenas do</w:t>
      </w:r>
      <w:r>
        <w:rPr>
          <w:spacing w:val="61"/>
        </w:rPr>
        <w:t xml:space="preserve"> </w:t>
      </w:r>
      <w:r>
        <w:rPr>
          <w:spacing w:val="1"/>
        </w:rPr>
        <w:t>pa</w:t>
      </w:r>
      <w:r>
        <w:rPr>
          <w:spacing w:val="1"/>
        </w:rPr>
        <w:t xml:space="preserve">ssado como também </w:t>
      </w:r>
      <w:r>
        <w:t xml:space="preserve">no </w:t>
      </w:r>
      <w:r>
        <w:rPr>
          <w:spacing w:val="1"/>
        </w:rPr>
        <w:t xml:space="preserve">tempo presente. Estudiosos </w:t>
      </w:r>
      <w:r>
        <w:rPr>
          <w:spacing w:val="2"/>
        </w:rPr>
        <w:t xml:space="preserve">no </w:t>
      </w:r>
      <w:r>
        <w:t xml:space="preserve">assunto avaliam que tais movimentos exerceram importante </w:t>
      </w:r>
      <w:r>
        <w:rPr>
          <w:spacing w:val="5"/>
        </w:rPr>
        <w:t xml:space="preserve">influência sobre </w:t>
      </w:r>
      <w:r>
        <w:rPr>
          <w:spacing w:val="2"/>
        </w:rPr>
        <w:t xml:space="preserve">os </w:t>
      </w:r>
      <w:r>
        <w:rPr>
          <w:spacing w:val="5"/>
        </w:rPr>
        <w:t xml:space="preserve">determinantes </w:t>
      </w:r>
      <w:r>
        <w:t xml:space="preserve">e </w:t>
      </w:r>
      <w:r>
        <w:rPr>
          <w:spacing w:val="2"/>
        </w:rPr>
        <w:t xml:space="preserve">os </w:t>
      </w:r>
      <w:r>
        <w:rPr>
          <w:spacing w:val="5"/>
        </w:rPr>
        <w:t xml:space="preserve">perfis </w:t>
      </w:r>
      <w:r>
        <w:rPr>
          <w:spacing w:val="2"/>
        </w:rPr>
        <w:t xml:space="preserve">da </w:t>
      </w:r>
      <w:r>
        <w:rPr>
          <w:spacing w:val="6"/>
        </w:rPr>
        <w:t xml:space="preserve">saúde </w:t>
      </w:r>
      <w:r>
        <w:rPr>
          <w:spacing w:val="7"/>
        </w:rPr>
        <w:t xml:space="preserve">indígena através </w:t>
      </w:r>
      <w:r>
        <w:rPr>
          <w:spacing w:val="5"/>
        </w:rPr>
        <w:t xml:space="preserve">da </w:t>
      </w:r>
      <w:r>
        <w:rPr>
          <w:spacing w:val="8"/>
        </w:rPr>
        <w:t xml:space="preserve">introdução </w:t>
      </w:r>
      <w:r>
        <w:rPr>
          <w:spacing w:val="5"/>
        </w:rPr>
        <w:t xml:space="preserve">de </w:t>
      </w:r>
      <w:r>
        <w:rPr>
          <w:spacing w:val="7"/>
        </w:rPr>
        <w:t xml:space="preserve">patógenos </w:t>
      </w:r>
      <w:r>
        <w:rPr>
          <w:spacing w:val="10"/>
        </w:rPr>
        <w:t xml:space="preserve">exóticos </w:t>
      </w:r>
      <w:r>
        <w:rPr>
          <w:spacing w:val="3"/>
        </w:rPr>
        <w:t xml:space="preserve">(ocasionando graves epidemias); usurpação </w:t>
      </w:r>
      <w:r>
        <w:rPr>
          <w:spacing w:val="1"/>
        </w:rPr>
        <w:t xml:space="preserve">de </w:t>
      </w:r>
      <w:r>
        <w:rPr>
          <w:spacing w:val="5"/>
        </w:rPr>
        <w:t xml:space="preserve">territórios </w:t>
      </w:r>
      <w:r>
        <w:t xml:space="preserve">(inviabilizando a subsistência); e/ou perseguição e morte de indivíduos e comunidades inteiras (COIMBRA Jr.; SANTOS, 2001). Denuncia-se que, hoje, além da malária (endêmica na região), há a presença </w:t>
      </w:r>
      <w:r>
        <w:t xml:space="preserve">de outras doenças infectocontagiosas, como a gripe, as hepatites e a tuberculose. Entidades ligadas à </w:t>
      </w:r>
      <w:r>
        <w:rPr>
          <w:spacing w:val="11"/>
        </w:rPr>
        <w:t xml:space="preserve">defesa </w:t>
      </w:r>
      <w:r>
        <w:rPr>
          <w:spacing w:val="10"/>
        </w:rPr>
        <w:t xml:space="preserve">dos </w:t>
      </w:r>
      <w:r>
        <w:rPr>
          <w:spacing w:val="11"/>
        </w:rPr>
        <w:t xml:space="preserve">povos </w:t>
      </w:r>
      <w:r>
        <w:rPr>
          <w:spacing w:val="6"/>
        </w:rPr>
        <w:t xml:space="preserve">da </w:t>
      </w:r>
      <w:r>
        <w:rPr>
          <w:spacing w:val="11"/>
        </w:rPr>
        <w:t xml:space="preserve">região </w:t>
      </w:r>
      <w:r>
        <w:rPr>
          <w:spacing w:val="12"/>
        </w:rPr>
        <w:t xml:space="preserve">sustentam </w:t>
      </w:r>
      <w:r>
        <w:rPr>
          <w:spacing w:val="10"/>
        </w:rPr>
        <w:t xml:space="preserve">que tais </w:t>
      </w:r>
      <w:r>
        <w:rPr>
          <w:spacing w:val="3"/>
        </w:rPr>
        <w:t xml:space="preserve">enfermidades podem causar inúmeras consequências </w:t>
      </w:r>
      <w:r>
        <w:rPr>
          <w:spacing w:val="5"/>
        </w:rPr>
        <w:t xml:space="preserve">aos </w:t>
      </w:r>
      <w:r>
        <w:rPr>
          <w:spacing w:val="3"/>
        </w:rPr>
        <w:t xml:space="preserve">grupos </w:t>
      </w:r>
      <w:r>
        <w:rPr>
          <w:spacing w:val="1"/>
        </w:rPr>
        <w:t xml:space="preserve">de </w:t>
      </w:r>
      <w:r>
        <w:rPr>
          <w:spacing w:val="3"/>
        </w:rPr>
        <w:t xml:space="preserve">índios isolados, </w:t>
      </w:r>
      <w:r>
        <w:rPr>
          <w:spacing w:val="2"/>
        </w:rPr>
        <w:t xml:space="preserve">como </w:t>
      </w:r>
      <w:r>
        <w:t xml:space="preserve">a </w:t>
      </w:r>
      <w:r>
        <w:rPr>
          <w:spacing w:val="3"/>
        </w:rPr>
        <w:t xml:space="preserve">mortalidade </w:t>
      </w:r>
      <w:r>
        <w:rPr>
          <w:spacing w:val="1"/>
        </w:rPr>
        <w:t xml:space="preserve">em </w:t>
      </w:r>
      <w:r>
        <w:rPr>
          <w:spacing w:val="5"/>
        </w:rPr>
        <w:t xml:space="preserve">longa </w:t>
      </w:r>
      <w:r>
        <w:t>escala (dizimação), a desestruturação social e dispersão dos grupos (CONDE; AMORIM,</w:t>
      </w:r>
      <w:r>
        <w:rPr>
          <w:spacing w:val="18"/>
        </w:rPr>
        <w:t xml:space="preserve"> </w:t>
      </w:r>
      <w:r>
        <w:t>2011).</w:t>
      </w:r>
    </w:p>
    <w:p w:rsidR="00D81F69" w:rsidRDefault="00330118">
      <w:pPr>
        <w:pStyle w:val="Corpodetexto"/>
        <w:spacing w:before="148" w:line="312" w:lineRule="auto"/>
        <w:ind w:right="51"/>
      </w:pPr>
      <w:r>
        <w:t xml:space="preserve">Ressalta-se ainda que a Funasa não executa nenhuma política específica de saúde para índios isolados no Vale do Javari, de forma que assim também não contribui para </w:t>
      </w:r>
      <w:r>
        <w:t>a identificação e acompanhamento mais sistemático de atividades clandestinas na região, ainda relativamente pouco conhecidas pelas autoridades nacionais (ÍNDIOS ISOLADOS DO VALE DO JAVARI, 2011b).</w:t>
      </w:r>
    </w:p>
    <w:p w:rsidR="00D81F69" w:rsidRDefault="00D81F69">
      <w:pPr>
        <w:pStyle w:val="Corpodetexto"/>
        <w:spacing w:before="6"/>
        <w:ind w:left="0"/>
        <w:jc w:val="left"/>
        <w:rPr>
          <w:sz w:val="21"/>
        </w:rPr>
      </w:pPr>
    </w:p>
    <w:p w:rsidR="00D81F69" w:rsidRDefault="00330118">
      <w:pPr>
        <w:pStyle w:val="Heading7"/>
      </w:pPr>
      <w:r>
        <w:t>LOCALIZAÇÃO GEOGRÁFICA</w:t>
      </w:r>
    </w:p>
    <w:p w:rsidR="00D81F69" w:rsidRDefault="00330118">
      <w:pPr>
        <w:spacing w:before="73" w:line="312" w:lineRule="auto"/>
        <w:ind w:left="100" w:right="229"/>
        <w:jc w:val="both"/>
        <w:rPr>
          <w:sz w:val="16"/>
        </w:rPr>
      </w:pPr>
      <w:r>
        <w:br w:type="column"/>
      </w:r>
      <w:r>
        <w:rPr>
          <w:sz w:val="16"/>
        </w:rPr>
        <w:lastRenderedPageBreak/>
        <w:t>O Estado de São Paulo Online São P</w:t>
      </w:r>
      <w:r>
        <w:rPr>
          <w:sz w:val="16"/>
        </w:rPr>
        <w:t xml:space="preserve">aulo, 20 dez. 2009c. Disponível em: </w:t>
      </w:r>
      <w:hyperlink r:id="rId74">
        <w:r>
          <w:rPr>
            <w:sz w:val="16"/>
          </w:rPr>
          <w:t>&lt;http://www.estadao.com.br/noticias/nacional,garimpeiros-</w:t>
        </w:r>
      </w:hyperlink>
      <w:r>
        <w:rPr>
          <w:sz w:val="16"/>
        </w:rPr>
        <w:t xml:space="preserve"> encapuzados-atuam-no-rio-boia-no-amazonas,485122,0.htm&gt;. Acesso em: 10 fev. 2011.</w:t>
      </w:r>
    </w:p>
    <w:p w:rsidR="00D81F69" w:rsidRDefault="00330118">
      <w:pPr>
        <w:spacing w:before="3" w:line="312" w:lineRule="auto"/>
        <w:ind w:left="100" w:right="224"/>
        <w:jc w:val="both"/>
        <w:rPr>
          <w:sz w:val="16"/>
        </w:rPr>
      </w:pPr>
      <w:r>
        <w:rPr>
          <w:sz w:val="16"/>
        </w:rPr>
        <w:t>____</w:t>
      </w:r>
      <w:r>
        <w:rPr>
          <w:sz w:val="16"/>
        </w:rPr>
        <w:t xml:space="preserve">__. Garimpeiros retiram balsas do rio Bóia. O Estado de </w:t>
      </w:r>
      <w:r>
        <w:rPr>
          <w:spacing w:val="1"/>
          <w:sz w:val="16"/>
        </w:rPr>
        <w:t xml:space="preserve">São  </w:t>
      </w:r>
      <w:r>
        <w:rPr>
          <w:spacing w:val="11"/>
          <w:sz w:val="16"/>
        </w:rPr>
        <w:t xml:space="preserve">Paulo Online, </w:t>
      </w:r>
      <w:r>
        <w:rPr>
          <w:spacing w:val="10"/>
          <w:sz w:val="16"/>
        </w:rPr>
        <w:t xml:space="preserve">São </w:t>
      </w:r>
      <w:r>
        <w:rPr>
          <w:spacing w:val="11"/>
          <w:sz w:val="16"/>
        </w:rPr>
        <w:t xml:space="preserve">Paulo, </w:t>
      </w:r>
      <w:r>
        <w:rPr>
          <w:spacing w:val="6"/>
          <w:sz w:val="16"/>
        </w:rPr>
        <w:t xml:space="preserve">19 </w:t>
      </w:r>
      <w:r>
        <w:rPr>
          <w:spacing w:val="10"/>
          <w:sz w:val="16"/>
        </w:rPr>
        <w:t xml:space="preserve">jan. </w:t>
      </w:r>
      <w:r>
        <w:rPr>
          <w:spacing w:val="11"/>
          <w:sz w:val="16"/>
        </w:rPr>
        <w:t xml:space="preserve">2010. </w:t>
      </w:r>
      <w:r>
        <w:rPr>
          <w:spacing w:val="12"/>
          <w:sz w:val="16"/>
        </w:rPr>
        <w:t>Disponível</w:t>
      </w:r>
      <w:r>
        <w:rPr>
          <w:spacing w:val="11"/>
          <w:sz w:val="16"/>
        </w:rPr>
        <w:t xml:space="preserve"> </w:t>
      </w:r>
      <w:r>
        <w:rPr>
          <w:spacing w:val="10"/>
          <w:sz w:val="16"/>
        </w:rPr>
        <w:t>em:</w:t>
      </w:r>
      <w:r>
        <w:rPr>
          <w:spacing w:val="-29"/>
          <w:sz w:val="16"/>
        </w:rPr>
        <w:t xml:space="preserve"> </w:t>
      </w:r>
    </w:p>
    <w:p w:rsidR="00D81F69" w:rsidRDefault="00D81F69">
      <w:pPr>
        <w:spacing w:before="2" w:line="312" w:lineRule="auto"/>
        <w:ind w:left="100" w:right="252"/>
        <w:jc w:val="both"/>
        <w:rPr>
          <w:sz w:val="16"/>
        </w:rPr>
      </w:pPr>
      <w:hyperlink r:id="rId75">
        <w:r w:rsidR="00330118">
          <w:rPr>
            <w:sz w:val="16"/>
          </w:rPr>
          <w:t>&lt;http://www.estadao.com.br/noticias/nacional,garimpeiros</w:t>
        </w:r>
        <w:r w:rsidR="00330118">
          <w:rPr>
            <w:sz w:val="16"/>
          </w:rPr>
          <w:t>-retiram-</w:t>
        </w:r>
      </w:hyperlink>
      <w:r w:rsidR="00330118">
        <w:rPr>
          <w:sz w:val="16"/>
        </w:rPr>
        <w:t xml:space="preserve"> balsas-do-rio-boia,498170,0.htm&gt;. Acesso em: 28 jun. 2010.</w:t>
      </w:r>
    </w:p>
    <w:p w:rsidR="00D81F69" w:rsidRDefault="00330118">
      <w:pPr>
        <w:spacing w:before="1" w:line="312" w:lineRule="auto"/>
        <w:ind w:left="100" w:right="228"/>
        <w:jc w:val="both"/>
        <w:rPr>
          <w:sz w:val="16"/>
        </w:rPr>
      </w:pPr>
      <w:r>
        <w:rPr>
          <w:spacing w:val="1"/>
          <w:sz w:val="16"/>
        </w:rPr>
        <w:t xml:space="preserve">BRANDT, Ricardo. Reserva indígena abriga </w:t>
      </w:r>
      <w:r>
        <w:rPr>
          <w:sz w:val="16"/>
        </w:rPr>
        <w:t xml:space="preserve">26 </w:t>
      </w:r>
      <w:r>
        <w:rPr>
          <w:spacing w:val="1"/>
          <w:sz w:val="16"/>
        </w:rPr>
        <w:t xml:space="preserve">tribos isoladas. </w:t>
      </w:r>
      <w:r>
        <w:rPr>
          <w:sz w:val="16"/>
        </w:rPr>
        <w:t xml:space="preserve">O Estado de São Paulo Online, São Paulo, 24 maio 2008. Disponível em: </w:t>
      </w:r>
      <w:hyperlink r:id="rId76">
        <w:r>
          <w:rPr>
            <w:sz w:val="16"/>
          </w:rPr>
          <w:t>&lt;http://www.estadao.com.br/noticias/nacional,reserva-indigena-</w:t>
        </w:r>
      </w:hyperlink>
      <w:r>
        <w:rPr>
          <w:sz w:val="16"/>
        </w:rPr>
        <w:t xml:space="preserve"> abriga-26-tribos-isoladas,177478,0.htm&gt;. Acesso em: 10 fev. 2011. </w:t>
      </w:r>
      <w:r>
        <w:rPr>
          <w:spacing w:val="5"/>
          <w:sz w:val="16"/>
        </w:rPr>
        <w:t xml:space="preserve">COIMBRA </w:t>
      </w:r>
      <w:r>
        <w:rPr>
          <w:spacing w:val="3"/>
          <w:sz w:val="16"/>
        </w:rPr>
        <w:t xml:space="preserve">Jr, </w:t>
      </w:r>
      <w:r>
        <w:rPr>
          <w:spacing w:val="5"/>
          <w:sz w:val="16"/>
        </w:rPr>
        <w:t xml:space="preserve">Carlos </w:t>
      </w:r>
      <w:r>
        <w:rPr>
          <w:spacing w:val="2"/>
          <w:sz w:val="16"/>
        </w:rPr>
        <w:t xml:space="preserve">E. </w:t>
      </w:r>
      <w:r>
        <w:rPr>
          <w:spacing w:val="3"/>
          <w:sz w:val="16"/>
        </w:rPr>
        <w:t xml:space="preserve">A.; </w:t>
      </w:r>
      <w:r>
        <w:rPr>
          <w:spacing w:val="5"/>
          <w:sz w:val="16"/>
        </w:rPr>
        <w:t xml:space="preserve">SANTOS, Ricardo Ventura. </w:t>
      </w:r>
      <w:r>
        <w:rPr>
          <w:spacing w:val="6"/>
          <w:sz w:val="16"/>
        </w:rPr>
        <w:t xml:space="preserve">Perfil </w:t>
      </w:r>
      <w:r>
        <w:rPr>
          <w:spacing w:val="3"/>
          <w:sz w:val="16"/>
        </w:rPr>
        <w:t xml:space="preserve">epidemiológico </w:t>
      </w:r>
      <w:r>
        <w:rPr>
          <w:spacing w:val="1"/>
          <w:sz w:val="16"/>
        </w:rPr>
        <w:t xml:space="preserve">da </w:t>
      </w:r>
      <w:r>
        <w:rPr>
          <w:spacing w:val="3"/>
          <w:sz w:val="16"/>
        </w:rPr>
        <w:t xml:space="preserve">população indígena </w:t>
      </w:r>
      <w:r>
        <w:rPr>
          <w:spacing w:val="1"/>
          <w:sz w:val="16"/>
        </w:rPr>
        <w:t xml:space="preserve">no </w:t>
      </w:r>
      <w:r>
        <w:rPr>
          <w:spacing w:val="3"/>
          <w:sz w:val="16"/>
        </w:rPr>
        <w:t xml:space="preserve">Brasil: </w:t>
      </w:r>
      <w:r>
        <w:rPr>
          <w:spacing w:val="5"/>
          <w:sz w:val="16"/>
        </w:rPr>
        <w:t xml:space="preserve">Considerações </w:t>
      </w:r>
      <w:r>
        <w:rPr>
          <w:spacing w:val="7"/>
          <w:sz w:val="16"/>
        </w:rPr>
        <w:t xml:space="preserve">gerais.  Documento  </w:t>
      </w:r>
      <w:r>
        <w:rPr>
          <w:spacing w:val="5"/>
          <w:sz w:val="16"/>
        </w:rPr>
        <w:t xml:space="preserve">de  </w:t>
      </w:r>
      <w:r>
        <w:rPr>
          <w:spacing w:val="7"/>
          <w:sz w:val="16"/>
        </w:rPr>
        <w:t xml:space="preserve">Trabalho  </w:t>
      </w:r>
      <w:r>
        <w:rPr>
          <w:spacing w:val="5"/>
          <w:sz w:val="16"/>
        </w:rPr>
        <w:t xml:space="preserve">n.  3.  </w:t>
      </w:r>
      <w:r>
        <w:rPr>
          <w:spacing w:val="7"/>
          <w:sz w:val="16"/>
        </w:rPr>
        <w:t xml:space="preserve">2001.  </w:t>
      </w:r>
      <w:r>
        <w:rPr>
          <w:spacing w:val="8"/>
          <w:sz w:val="16"/>
        </w:rPr>
        <w:t xml:space="preserve">Disponível </w:t>
      </w:r>
      <w:r>
        <w:rPr>
          <w:spacing w:val="10"/>
          <w:sz w:val="16"/>
        </w:rPr>
        <w:t xml:space="preserve"> em:</w:t>
      </w:r>
    </w:p>
    <w:p w:rsidR="00D81F69" w:rsidRDefault="00D81F69">
      <w:pPr>
        <w:tabs>
          <w:tab w:val="left" w:pos="1902"/>
          <w:tab w:val="left" w:pos="2461"/>
          <w:tab w:val="left" w:pos="4637"/>
        </w:tabs>
        <w:spacing w:before="6" w:line="312" w:lineRule="auto"/>
        <w:ind w:left="100" w:right="236"/>
        <w:jc w:val="both"/>
        <w:rPr>
          <w:sz w:val="16"/>
        </w:rPr>
      </w:pPr>
      <w:hyperlink r:id="rId77">
        <w:r w:rsidR="00330118">
          <w:rPr>
            <w:sz w:val="16"/>
          </w:rPr>
          <w:t>&lt;http://www.cesir.unir.br/pdfs/doc3.pdf&gt;.</w:t>
        </w:r>
        <w:r w:rsidR="00330118">
          <w:rPr>
            <w:sz w:val="16"/>
          </w:rPr>
          <w:t xml:space="preserve"> </w:t>
        </w:r>
      </w:hyperlink>
      <w:r w:rsidR="00330118">
        <w:rPr>
          <w:sz w:val="16"/>
        </w:rPr>
        <w:t xml:space="preserve">Acesso em: 10 fev. 2011. CONDE, Ananda; AMORIM, Fabrício. Localizados os índios isolados do rio Quixito. 29 abr. 2011. Site Índios Isolados do Vale do Javari -   N </w:t>
      </w:r>
      <w:r w:rsidR="00330118">
        <w:rPr>
          <w:spacing w:val="11"/>
          <w:sz w:val="16"/>
        </w:rPr>
        <w:t xml:space="preserve"> </w:t>
      </w:r>
      <w:r w:rsidR="00330118">
        <w:rPr>
          <w:sz w:val="16"/>
        </w:rPr>
        <w:t xml:space="preserve">o </w:t>
      </w:r>
      <w:r w:rsidR="00330118">
        <w:rPr>
          <w:spacing w:val="11"/>
          <w:sz w:val="16"/>
        </w:rPr>
        <w:t xml:space="preserve"> </w:t>
      </w:r>
      <w:r w:rsidR="00330118">
        <w:rPr>
          <w:sz w:val="16"/>
        </w:rPr>
        <w:t xml:space="preserve">t </w:t>
      </w:r>
      <w:r w:rsidR="00330118">
        <w:rPr>
          <w:spacing w:val="11"/>
          <w:sz w:val="16"/>
        </w:rPr>
        <w:t xml:space="preserve"> </w:t>
      </w:r>
      <w:r w:rsidR="00330118">
        <w:rPr>
          <w:sz w:val="16"/>
        </w:rPr>
        <w:t xml:space="preserve">í </w:t>
      </w:r>
      <w:r w:rsidR="00330118">
        <w:rPr>
          <w:spacing w:val="11"/>
          <w:sz w:val="16"/>
        </w:rPr>
        <w:t xml:space="preserve"> </w:t>
      </w:r>
      <w:r w:rsidR="00330118">
        <w:rPr>
          <w:sz w:val="16"/>
        </w:rPr>
        <w:t xml:space="preserve">c </w:t>
      </w:r>
      <w:r w:rsidR="00330118">
        <w:rPr>
          <w:spacing w:val="11"/>
          <w:sz w:val="16"/>
        </w:rPr>
        <w:t xml:space="preserve"> </w:t>
      </w:r>
      <w:r w:rsidR="00330118">
        <w:rPr>
          <w:sz w:val="16"/>
        </w:rPr>
        <w:t xml:space="preserve">i </w:t>
      </w:r>
      <w:r w:rsidR="00330118">
        <w:rPr>
          <w:spacing w:val="11"/>
          <w:sz w:val="16"/>
        </w:rPr>
        <w:t xml:space="preserve"> </w:t>
      </w:r>
      <w:r w:rsidR="00330118">
        <w:rPr>
          <w:sz w:val="16"/>
        </w:rPr>
        <w:t xml:space="preserve">a </w:t>
      </w:r>
      <w:r w:rsidR="00330118">
        <w:rPr>
          <w:spacing w:val="11"/>
          <w:sz w:val="16"/>
        </w:rPr>
        <w:t xml:space="preserve"> </w:t>
      </w:r>
      <w:r w:rsidR="00330118">
        <w:rPr>
          <w:sz w:val="16"/>
        </w:rPr>
        <w:t>s</w:t>
      </w:r>
      <w:r w:rsidR="00330118">
        <w:rPr>
          <w:sz w:val="16"/>
        </w:rPr>
        <w:tab/>
        <w:t>-</w:t>
      </w:r>
      <w:r w:rsidR="00330118">
        <w:rPr>
          <w:sz w:val="16"/>
        </w:rPr>
        <w:tab/>
        <w:t xml:space="preserve">D </w:t>
      </w:r>
      <w:r w:rsidR="00330118">
        <w:rPr>
          <w:spacing w:val="11"/>
          <w:sz w:val="16"/>
        </w:rPr>
        <w:t xml:space="preserve"> </w:t>
      </w:r>
      <w:r w:rsidR="00330118">
        <w:rPr>
          <w:sz w:val="16"/>
        </w:rPr>
        <w:t xml:space="preserve">i </w:t>
      </w:r>
      <w:r w:rsidR="00330118">
        <w:rPr>
          <w:spacing w:val="11"/>
          <w:sz w:val="16"/>
        </w:rPr>
        <w:t xml:space="preserve"> </w:t>
      </w:r>
      <w:r w:rsidR="00330118">
        <w:rPr>
          <w:sz w:val="16"/>
        </w:rPr>
        <w:t xml:space="preserve">s </w:t>
      </w:r>
      <w:r w:rsidR="00330118">
        <w:rPr>
          <w:spacing w:val="11"/>
          <w:sz w:val="16"/>
        </w:rPr>
        <w:t xml:space="preserve"> </w:t>
      </w:r>
      <w:r w:rsidR="00330118">
        <w:rPr>
          <w:sz w:val="16"/>
        </w:rPr>
        <w:t xml:space="preserve">p </w:t>
      </w:r>
      <w:r w:rsidR="00330118">
        <w:rPr>
          <w:spacing w:val="11"/>
          <w:sz w:val="16"/>
        </w:rPr>
        <w:t xml:space="preserve"> </w:t>
      </w:r>
      <w:r w:rsidR="00330118">
        <w:rPr>
          <w:sz w:val="16"/>
        </w:rPr>
        <w:t xml:space="preserve">o </w:t>
      </w:r>
      <w:r w:rsidR="00330118">
        <w:rPr>
          <w:spacing w:val="11"/>
          <w:sz w:val="16"/>
        </w:rPr>
        <w:t xml:space="preserve"> </w:t>
      </w:r>
      <w:r w:rsidR="00330118">
        <w:rPr>
          <w:sz w:val="16"/>
        </w:rPr>
        <w:t xml:space="preserve">n </w:t>
      </w:r>
      <w:r w:rsidR="00330118">
        <w:rPr>
          <w:spacing w:val="11"/>
          <w:sz w:val="16"/>
        </w:rPr>
        <w:t xml:space="preserve"> </w:t>
      </w:r>
      <w:r w:rsidR="00330118">
        <w:rPr>
          <w:sz w:val="16"/>
        </w:rPr>
        <w:t xml:space="preserve">í </w:t>
      </w:r>
      <w:r w:rsidR="00330118">
        <w:rPr>
          <w:spacing w:val="11"/>
          <w:sz w:val="16"/>
        </w:rPr>
        <w:t xml:space="preserve"> </w:t>
      </w:r>
      <w:r w:rsidR="00330118">
        <w:rPr>
          <w:sz w:val="16"/>
        </w:rPr>
        <w:t xml:space="preserve">v </w:t>
      </w:r>
      <w:r w:rsidR="00330118">
        <w:rPr>
          <w:spacing w:val="11"/>
          <w:sz w:val="16"/>
        </w:rPr>
        <w:t xml:space="preserve"> </w:t>
      </w:r>
      <w:r w:rsidR="00330118">
        <w:rPr>
          <w:sz w:val="16"/>
        </w:rPr>
        <w:t xml:space="preserve">e </w:t>
      </w:r>
      <w:r w:rsidR="00330118">
        <w:rPr>
          <w:spacing w:val="11"/>
          <w:sz w:val="16"/>
        </w:rPr>
        <w:t xml:space="preserve"> </w:t>
      </w:r>
      <w:r w:rsidR="00330118">
        <w:rPr>
          <w:sz w:val="16"/>
        </w:rPr>
        <w:t>l</w:t>
      </w:r>
      <w:r w:rsidR="00330118">
        <w:rPr>
          <w:sz w:val="16"/>
        </w:rPr>
        <w:tab/>
        <w:t xml:space="preserve">e  m </w:t>
      </w:r>
      <w:r w:rsidR="00330118">
        <w:rPr>
          <w:spacing w:val="25"/>
          <w:sz w:val="16"/>
        </w:rPr>
        <w:t xml:space="preserve"> </w:t>
      </w:r>
      <w:r w:rsidR="00330118">
        <w:rPr>
          <w:sz w:val="16"/>
        </w:rPr>
        <w:t>:</w:t>
      </w:r>
    </w:p>
    <w:p w:rsidR="00D81F69" w:rsidRDefault="00D81F69">
      <w:pPr>
        <w:spacing w:before="3" w:line="312" w:lineRule="auto"/>
        <w:ind w:left="100" w:right="256"/>
        <w:jc w:val="both"/>
        <w:rPr>
          <w:sz w:val="16"/>
        </w:rPr>
      </w:pPr>
      <w:hyperlink r:id="rId78">
        <w:r w:rsidR="00330118">
          <w:rPr>
            <w:sz w:val="16"/>
          </w:rPr>
          <w:t>&lt;http://www.valedojavari.com/2010/01/localizados-os-indios-isolados-</w:t>
        </w:r>
      </w:hyperlink>
      <w:r w:rsidR="00330118">
        <w:rPr>
          <w:sz w:val="16"/>
        </w:rPr>
        <w:t xml:space="preserve"> do-rio.html&gt;. Acesso em: 30 abr. 2011.</w:t>
      </w:r>
    </w:p>
    <w:p w:rsidR="00D81F69" w:rsidRDefault="00330118">
      <w:pPr>
        <w:spacing w:before="2"/>
        <w:ind w:left="100"/>
        <w:jc w:val="both"/>
        <w:rPr>
          <w:sz w:val="16"/>
        </w:rPr>
      </w:pPr>
      <w:r>
        <w:rPr>
          <w:sz w:val="16"/>
        </w:rPr>
        <w:t>ÍNDIOS ISOLADOS DO VALE DO JAVARI - Situação Atual, 2011a.</w:t>
      </w:r>
    </w:p>
    <w:p w:rsidR="00D81F69" w:rsidRDefault="00330118">
      <w:pPr>
        <w:spacing w:before="56" w:line="312" w:lineRule="auto"/>
        <w:ind w:left="100" w:right="237"/>
        <w:jc w:val="both"/>
        <w:rPr>
          <w:sz w:val="16"/>
        </w:rPr>
      </w:pPr>
      <w:r>
        <w:rPr>
          <w:sz w:val="16"/>
        </w:rPr>
        <w:t xml:space="preserve">Disponível em: </w:t>
      </w:r>
      <w:hyperlink r:id="rId79">
        <w:r>
          <w:rPr>
            <w:sz w:val="16"/>
          </w:rPr>
          <w:t>&lt;http://www.valedojavari.com/p/situacao-atual.html&gt;.</w:t>
        </w:r>
      </w:hyperlink>
      <w:r>
        <w:rPr>
          <w:sz w:val="16"/>
        </w:rPr>
        <w:t xml:space="preserve"> Acesso em: 12 fev. 2011.</w:t>
      </w:r>
    </w:p>
    <w:p w:rsidR="00D81F69" w:rsidRDefault="00330118">
      <w:pPr>
        <w:spacing w:before="2"/>
        <w:ind w:left="100"/>
        <w:jc w:val="both"/>
        <w:rPr>
          <w:sz w:val="16"/>
        </w:rPr>
      </w:pPr>
      <w:r>
        <w:rPr>
          <w:spacing w:val="18"/>
          <w:sz w:val="16"/>
        </w:rPr>
        <w:t xml:space="preserve">______. </w:t>
      </w:r>
      <w:r>
        <w:rPr>
          <w:sz w:val="16"/>
        </w:rPr>
        <w:t xml:space="preserve">O </w:t>
      </w:r>
      <w:r>
        <w:rPr>
          <w:spacing w:val="16"/>
          <w:sz w:val="16"/>
        </w:rPr>
        <w:t xml:space="preserve">Vale </w:t>
      </w:r>
      <w:r>
        <w:rPr>
          <w:spacing w:val="10"/>
          <w:sz w:val="16"/>
        </w:rPr>
        <w:t>do</w:t>
      </w:r>
      <w:r>
        <w:rPr>
          <w:spacing w:val="65"/>
          <w:sz w:val="16"/>
        </w:rPr>
        <w:t xml:space="preserve"> </w:t>
      </w:r>
      <w:r>
        <w:rPr>
          <w:spacing w:val="18"/>
          <w:sz w:val="16"/>
        </w:rPr>
        <w:t xml:space="preserve">Javari, 2011b. </w:t>
      </w:r>
      <w:r>
        <w:rPr>
          <w:spacing w:val="20"/>
          <w:sz w:val="16"/>
        </w:rPr>
        <w:t xml:space="preserve">Disponível </w:t>
      </w:r>
      <w:r>
        <w:rPr>
          <w:spacing w:val="15"/>
          <w:sz w:val="16"/>
        </w:rPr>
        <w:t>em:</w:t>
      </w:r>
      <w:r>
        <w:rPr>
          <w:spacing w:val="-21"/>
          <w:sz w:val="16"/>
        </w:rPr>
        <w:t xml:space="preserve"> </w:t>
      </w:r>
    </w:p>
    <w:p w:rsidR="00D81F69" w:rsidRDefault="00D81F69">
      <w:pPr>
        <w:spacing w:before="56" w:line="312" w:lineRule="auto"/>
        <w:ind w:left="100" w:right="257"/>
        <w:jc w:val="both"/>
        <w:rPr>
          <w:sz w:val="16"/>
        </w:rPr>
      </w:pPr>
      <w:hyperlink r:id="rId80">
        <w:r w:rsidR="00330118">
          <w:rPr>
            <w:sz w:val="16"/>
          </w:rPr>
          <w:t>&lt;</w:t>
        </w:r>
        <w:r w:rsidR="00330118">
          <w:rPr>
            <w:sz w:val="16"/>
          </w:rPr>
          <w:t xml:space="preserve">http://www.valedojavari.com/p/o-vale-do-javari.html&gt;. </w:t>
        </w:r>
      </w:hyperlink>
      <w:r w:rsidR="00330118">
        <w:rPr>
          <w:sz w:val="16"/>
        </w:rPr>
        <w:t>Acesso em: 12 fev. 2011.</w:t>
      </w:r>
    </w:p>
    <w:p w:rsidR="00D81F69" w:rsidRDefault="00330118">
      <w:pPr>
        <w:tabs>
          <w:tab w:val="left" w:pos="2360"/>
          <w:tab w:val="left" w:pos="4621"/>
        </w:tabs>
        <w:spacing w:before="1" w:line="312" w:lineRule="auto"/>
        <w:ind w:left="100" w:right="242"/>
        <w:jc w:val="both"/>
        <w:rPr>
          <w:sz w:val="16"/>
        </w:rPr>
      </w:pPr>
      <w:r>
        <w:rPr>
          <w:sz w:val="16"/>
        </w:rPr>
        <w:t xml:space="preserve">RICARDO, Fany. (org.) Interesses Minerários em Terras Indígenas na </w:t>
      </w:r>
      <w:r>
        <w:rPr>
          <w:spacing w:val="5"/>
          <w:sz w:val="16"/>
        </w:rPr>
        <w:t xml:space="preserve">Amazônia </w:t>
      </w:r>
      <w:r>
        <w:rPr>
          <w:spacing w:val="3"/>
          <w:sz w:val="16"/>
        </w:rPr>
        <w:t xml:space="preserve">Legal </w:t>
      </w:r>
      <w:r>
        <w:rPr>
          <w:spacing w:val="5"/>
          <w:sz w:val="16"/>
        </w:rPr>
        <w:t xml:space="preserve">Brasileira. Documentos </w:t>
      </w:r>
      <w:r>
        <w:rPr>
          <w:spacing w:val="2"/>
          <w:sz w:val="16"/>
        </w:rPr>
        <w:t xml:space="preserve">do </w:t>
      </w:r>
      <w:r>
        <w:rPr>
          <w:spacing w:val="3"/>
          <w:sz w:val="16"/>
        </w:rPr>
        <w:t xml:space="preserve">ISA. No.6. </w:t>
      </w:r>
      <w:r>
        <w:rPr>
          <w:spacing w:val="5"/>
          <w:sz w:val="16"/>
        </w:rPr>
        <w:t xml:space="preserve">Instituto </w:t>
      </w:r>
      <w:r>
        <w:rPr>
          <w:spacing w:val="3"/>
          <w:sz w:val="16"/>
        </w:rPr>
        <w:t xml:space="preserve">Socioambiental (ISA), </w:t>
      </w:r>
      <w:r>
        <w:rPr>
          <w:spacing w:val="2"/>
          <w:sz w:val="16"/>
        </w:rPr>
        <w:t xml:space="preserve">São </w:t>
      </w:r>
      <w:r>
        <w:rPr>
          <w:spacing w:val="3"/>
          <w:sz w:val="16"/>
        </w:rPr>
        <w:t xml:space="preserve">Paulo, </w:t>
      </w:r>
      <w:r>
        <w:rPr>
          <w:spacing w:val="2"/>
          <w:sz w:val="16"/>
        </w:rPr>
        <w:t xml:space="preserve">SP. </w:t>
      </w:r>
      <w:r>
        <w:rPr>
          <w:spacing w:val="3"/>
          <w:sz w:val="16"/>
        </w:rPr>
        <w:t xml:space="preserve">Julho </w:t>
      </w:r>
      <w:r>
        <w:rPr>
          <w:spacing w:val="1"/>
          <w:sz w:val="16"/>
        </w:rPr>
        <w:t xml:space="preserve">de </w:t>
      </w:r>
      <w:r>
        <w:rPr>
          <w:spacing w:val="3"/>
          <w:sz w:val="16"/>
        </w:rPr>
        <w:t>19</w:t>
      </w:r>
      <w:r>
        <w:rPr>
          <w:spacing w:val="3"/>
          <w:sz w:val="16"/>
        </w:rPr>
        <w:t xml:space="preserve">99. Apoio </w:t>
      </w:r>
      <w:r>
        <w:rPr>
          <w:spacing w:val="5"/>
          <w:sz w:val="16"/>
        </w:rPr>
        <w:t xml:space="preserve">Det </w:t>
      </w:r>
      <w:r>
        <w:rPr>
          <w:sz w:val="16"/>
        </w:rPr>
        <w:t xml:space="preserve">Norske Urfolks-Programmet - O Programa Norueguês Para Povos       I </w:t>
      </w:r>
      <w:r>
        <w:rPr>
          <w:spacing w:val="17"/>
          <w:sz w:val="16"/>
        </w:rPr>
        <w:t xml:space="preserve"> </w:t>
      </w:r>
      <w:r>
        <w:rPr>
          <w:sz w:val="16"/>
        </w:rPr>
        <w:t xml:space="preserve">n </w:t>
      </w:r>
      <w:r>
        <w:rPr>
          <w:spacing w:val="17"/>
          <w:sz w:val="16"/>
        </w:rPr>
        <w:t xml:space="preserve"> </w:t>
      </w:r>
      <w:r>
        <w:rPr>
          <w:sz w:val="16"/>
        </w:rPr>
        <w:t xml:space="preserve">d </w:t>
      </w:r>
      <w:r>
        <w:rPr>
          <w:spacing w:val="17"/>
          <w:sz w:val="16"/>
        </w:rPr>
        <w:t xml:space="preserve"> </w:t>
      </w:r>
      <w:r>
        <w:rPr>
          <w:sz w:val="16"/>
        </w:rPr>
        <w:t xml:space="preserve">í </w:t>
      </w:r>
      <w:r>
        <w:rPr>
          <w:spacing w:val="17"/>
          <w:sz w:val="16"/>
        </w:rPr>
        <w:t xml:space="preserve"> </w:t>
      </w:r>
      <w:r>
        <w:rPr>
          <w:sz w:val="16"/>
        </w:rPr>
        <w:t xml:space="preserve">g </w:t>
      </w:r>
      <w:r>
        <w:rPr>
          <w:spacing w:val="17"/>
          <w:sz w:val="16"/>
        </w:rPr>
        <w:t xml:space="preserve"> </w:t>
      </w:r>
      <w:r>
        <w:rPr>
          <w:sz w:val="16"/>
        </w:rPr>
        <w:t xml:space="preserve">e </w:t>
      </w:r>
      <w:r>
        <w:rPr>
          <w:spacing w:val="17"/>
          <w:sz w:val="16"/>
        </w:rPr>
        <w:t xml:space="preserve"> </w:t>
      </w:r>
      <w:r>
        <w:rPr>
          <w:sz w:val="16"/>
        </w:rPr>
        <w:t xml:space="preserve">n </w:t>
      </w:r>
      <w:r>
        <w:rPr>
          <w:spacing w:val="17"/>
          <w:sz w:val="16"/>
        </w:rPr>
        <w:t xml:space="preserve"> </w:t>
      </w:r>
      <w:r>
        <w:rPr>
          <w:sz w:val="16"/>
        </w:rPr>
        <w:t xml:space="preserve">a </w:t>
      </w:r>
      <w:r>
        <w:rPr>
          <w:spacing w:val="17"/>
          <w:sz w:val="16"/>
        </w:rPr>
        <w:t xml:space="preserve"> </w:t>
      </w:r>
      <w:r>
        <w:rPr>
          <w:sz w:val="16"/>
        </w:rPr>
        <w:t xml:space="preserve">s </w:t>
      </w:r>
      <w:r>
        <w:rPr>
          <w:spacing w:val="17"/>
          <w:sz w:val="16"/>
        </w:rPr>
        <w:t xml:space="preserve"> </w:t>
      </w:r>
      <w:r>
        <w:rPr>
          <w:sz w:val="16"/>
        </w:rPr>
        <w:t>.</w:t>
      </w:r>
      <w:r>
        <w:rPr>
          <w:sz w:val="16"/>
        </w:rPr>
        <w:tab/>
        <w:t xml:space="preserve">D </w:t>
      </w:r>
      <w:r>
        <w:rPr>
          <w:spacing w:val="17"/>
          <w:sz w:val="16"/>
        </w:rPr>
        <w:t xml:space="preserve"> </w:t>
      </w:r>
      <w:r>
        <w:rPr>
          <w:sz w:val="16"/>
        </w:rPr>
        <w:t xml:space="preserve">i </w:t>
      </w:r>
      <w:r>
        <w:rPr>
          <w:spacing w:val="17"/>
          <w:sz w:val="16"/>
        </w:rPr>
        <w:t xml:space="preserve"> </w:t>
      </w:r>
      <w:r>
        <w:rPr>
          <w:sz w:val="16"/>
        </w:rPr>
        <w:t xml:space="preserve">s </w:t>
      </w:r>
      <w:r>
        <w:rPr>
          <w:spacing w:val="17"/>
          <w:sz w:val="16"/>
        </w:rPr>
        <w:t xml:space="preserve"> </w:t>
      </w:r>
      <w:r>
        <w:rPr>
          <w:sz w:val="16"/>
        </w:rPr>
        <w:t xml:space="preserve">p </w:t>
      </w:r>
      <w:r>
        <w:rPr>
          <w:spacing w:val="17"/>
          <w:sz w:val="16"/>
        </w:rPr>
        <w:t xml:space="preserve"> </w:t>
      </w:r>
      <w:r>
        <w:rPr>
          <w:sz w:val="16"/>
        </w:rPr>
        <w:t xml:space="preserve">o </w:t>
      </w:r>
      <w:r>
        <w:rPr>
          <w:spacing w:val="17"/>
          <w:sz w:val="16"/>
        </w:rPr>
        <w:t xml:space="preserve"> </w:t>
      </w:r>
      <w:r>
        <w:rPr>
          <w:sz w:val="16"/>
        </w:rPr>
        <w:t xml:space="preserve">n </w:t>
      </w:r>
      <w:r>
        <w:rPr>
          <w:spacing w:val="17"/>
          <w:sz w:val="16"/>
        </w:rPr>
        <w:t xml:space="preserve"> </w:t>
      </w:r>
      <w:r>
        <w:rPr>
          <w:sz w:val="16"/>
        </w:rPr>
        <w:t xml:space="preserve">í </w:t>
      </w:r>
      <w:r>
        <w:rPr>
          <w:spacing w:val="17"/>
          <w:sz w:val="16"/>
        </w:rPr>
        <w:t xml:space="preserve"> </w:t>
      </w:r>
      <w:r>
        <w:rPr>
          <w:sz w:val="16"/>
        </w:rPr>
        <w:t xml:space="preserve">v </w:t>
      </w:r>
      <w:r>
        <w:rPr>
          <w:spacing w:val="17"/>
          <w:sz w:val="16"/>
        </w:rPr>
        <w:t xml:space="preserve"> </w:t>
      </w:r>
      <w:r>
        <w:rPr>
          <w:sz w:val="16"/>
        </w:rPr>
        <w:t xml:space="preserve">e </w:t>
      </w:r>
      <w:r>
        <w:rPr>
          <w:spacing w:val="17"/>
          <w:sz w:val="16"/>
        </w:rPr>
        <w:t xml:space="preserve"> </w:t>
      </w:r>
      <w:r>
        <w:rPr>
          <w:sz w:val="16"/>
        </w:rPr>
        <w:t>l</w:t>
      </w:r>
      <w:r>
        <w:rPr>
          <w:sz w:val="16"/>
        </w:rPr>
        <w:tab/>
        <w:t>e m</w:t>
      </w:r>
      <w:r>
        <w:rPr>
          <w:spacing w:val="36"/>
          <w:sz w:val="16"/>
        </w:rPr>
        <w:t xml:space="preserve"> </w:t>
      </w:r>
      <w:r>
        <w:rPr>
          <w:sz w:val="16"/>
        </w:rPr>
        <w:t>:</w:t>
      </w:r>
    </w:p>
    <w:p w:rsidR="00D81F69" w:rsidRDefault="00D81F69">
      <w:pPr>
        <w:spacing w:before="5" w:line="312" w:lineRule="auto"/>
        <w:ind w:left="100" w:right="256"/>
        <w:jc w:val="both"/>
        <w:rPr>
          <w:sz w:val="16"/>
        </w:rPr>
      </w:pPr>
      <w:hyperlink r:id="rId81">
        <w:r w:rsidR="00330118">
          <w:rPr>
            <w:sz w:val="16"/>
          </w:rPr>
          <w:t>&lt;</w:t>
        </w:r>
        <w:r w:rsidR="00330118">
          <w:rPr>
            <w:sz w:val="16"/>
          </w:rPr>
          <w:t xml:space="preserve">http://www.socioambiental.org/banco_imagens/pdfs/14.pdf&gt;. </w:t>
        </w:r>
      </w:hyperlink>
      <w:r w:rsidR="00330118">
        <w:rPr>
          <w:sz w:val="16"/>
        </w:rPr>
        <w:t>Acesso em: 01 jun. 2011.</w:t>
      </w:r>
    </w:p>
    <w:p w:rsidR="00D81F69" w:rsidRDefault="00D81F69">
      <w:pPr>
        <w:spacing w:line="312" w:lineRule="auto"/>
        <w:jc w:val="both"/>
        <w:rPr>
          <w:sz w:val="16"/>
        </w:rPr>
        <w:sectPr w:rsidR="00D81F69">
          <w:type w:val="continuous"/>
          <w:pgSz w:w="11900" w:h="16840"/>
          <w:pgMar w:top="720" w:right="460" w:bottom="280" w:left="620" w:header="720" w:footer="720" w:gutter="0"/>
          <w:cols w:num="2" w:space="720" w:equalWidth="0">
            <w:col w:w="5156" w:space="314"/>
            <w:col w:w="5350"/>
          </w:cols>
        </w:sectPr>
      </w:pPr>
    </w:p>
    <w:p w:rsidR="00D81F69" w:rsidRDefault="00330118">
      <w:pPr>
        <w:pStyle w:val="Heading1"/>
        <w:spacing w:line="208" w:lineRule="auto"/>
        <w:ind w:right="0"/>
      </w:pPr>
      <w:bookmarkStart w:id="15" w:name="_TOC_250018"/>
      <w:bookmarkEnd w:id="15"/>
      <w:r>
        <w:lastRenderedPageBreak/>
        <w:t>Impactos socioambientais aumentam com exploração minerária em Pedra Branca do Amapari (AP)</w:t>
      </w:r>
    </w:p>
    <w:p w:rsidR="00D81F69" w:rsidRDefault="00D81F69">
      <w:pPr>
        <w:pStyle w:val="Corpodetexto"/>
        <w:ind w:left="0"/>
        <w:jc w:val="left"/>
        <w:rPr>
          <w:b/>
          <w:sz w:val="20"/>
        </w:rPr>
      </w:pPr>
    </w:p>
    <w:p w:rsidR="00D81F69" w:rsidRDefault="00D81F69">
      <w:pPr>
        <w:pStyle w:val="Corpodetexto"/>
        <w:spacing w:before="7"/>
        <w:ind w:left="0"/>
        <w:jc w:val="left"/>
        <w:rPr>
          <w:b/>
          <w:sz w:val="23"/>
        </w:rPr>
      </w:pPr>
    </w:p>
    <w:p w:rsidR="00D81F69" w:rsidRDefault="00330118">
      <w:pPr>
        <w:pStyle w:val="Corpodetexto"/>
        <w:spacing w:line="20" w:lineRule="exact"/>
        <w:ind w:left="2164"/>
        <w:jc w:val="left"/>
        <w:rPr>
          <w:sz w:val="2"/>
        </w:rPr>
      </w:pPr>
      <w:r>
        <w:rPr>
          <w:noProof/>
          <w:sz w:val="2"/>
          <w:lang w:val="pt-BR" w:eastAsia="pt-BR"/>
        </w:rPr>
        <w:drawing>
          <wp:inline distT="0" distB="0" distL="0" distR="0">
            <wp:extent cx="1811385" cy="9334"/>
            <wp:effectExtent l="0" t="0" r="0" b="0"/>
            <wp:docPr id="4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D81F69">
      <w:pPr>
        <w:spacing w:line="20" w:lineRule="exact"/>
        <w:rPr>
          <w:sz w:val="2"/>
        </w:rPr>
        <w:sectPr w:rsidR="00D81F69">
          <w:pgSz w:w="11900" w:h="16840"/>
          <w:pgMar w:top="1080" w:right="460" w:bottom="640" w:left="620" w:header="0" w:footer="412" w:gutter="0"/>
          <w:cols w:space="720"/>
        </w:sectPr>
      </w:pPr>
    </w:p>
    <w:p w:rsidR="00D81F69" w:rsidRDefault="00D81F69">
      <w:pPr>
        <w:pStyle w:val="Corpodetexto"/>
        <w:ind w:left="0"/>
        <w:jc w:val="left"/>
        <w:rPr>
          <w:b/>
          <w:sz w:val="15"/>
        </w:rPr>
      </w:pPr>
    </w:p>
    <w:p w:rsidR="00D81F69" w:rsidRDefault="00330118">
      <w:pPr>
        <w:ind w:left="135"/>
        <w:rPr>
          <w:i/>
          <w:sz w:val="14"/>
        </w:rPr>
      </w:pPr>
      <w:r>
        <w:rPr>
          <w:i/>
          <w:sz w:val="14"/>
        </w:rPr>
        <w:t>MUNICÍPIOS</w:t>
      </w:r>
    </w:p>
    <w:p w:rsidR="00D81F69" w:rsidRDefault="00330118">
      <w:pPr>
        <w:spacing w:before="49" w:line="312" w:lineRule="auto"/>
        <w:ind w:left="135" w:right="20"/>
        <w:rPr>
          <w:i/>
          <w:sz w:val="14"/>
        </w:rPr>
      </w:pPr>
      <w:r>
        <w:rPr>
          <w:i/>
          <w:sz w:val="14"/>
        </w:rPr>
        <w:t xml:space="preserve">AP - Pedra Branca do </w:t>
      </w:r>
      <w:r>
        <w:rPr>
          <w:i/>
          <w:sz w:val="14"/>
        </w:rPr>
        <w:t>Amaparí</w:t>
      </w:r>
    </w:p>
    <w:p w:rsidR="00D81F69" w:rsidRDefault="00330118">
      <w:pPr>
        <w:spacing w:before="2"/>
        <w:ind w:left="135"/>
        <w:rPr>
          <w:i/>
          <w:sz w:val="14"/>
        </w:rPr>
      </w:pPr>
      <w:r>
        <w:rPr>
          <w:i/>
          <w:sz w:val="14"/>
        </w:rPr>
        <w:t>AP - Santana</w:t>
      </w:r>
    </w:p>
    <w:p w:rsidR="00D81F69" w:rsidRDefault="00330118">
      <w:pPr>
        <w:spacing w:before="49"/>
        <w:ind w:left="135"/>
        <w:rPr>
          <w:i/>
          <w:sz w:val="14"/>
        </w:rPr>
      </w:pPr>
      <w:r>
        <w:rPr>
          <w:i/>
          <w:sz w:val="14"/>
        </w:rPr>
        <w:t>AP - Serra do Navio</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-0,788</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-51,8033</w:t>
      </w:r>
    </w:p>
    <w:p w:rsidR="00D81F69" w:rsidRDefault="00330118">
      <w:pPr>
        <w:spacing w:before="25"/>
        <w:ind w:left="135"/>
        <w:rPr>
          <w:i/>
          <w:sz w:val="18"/>
        </w:rPr>
      </w:pPr>
      <w:r>
        <w:br w:type="column"/>
      </w:r>
      <w:r>
        <w:rPr>
          <w:i/>
          <w:sz w:val="18"/>
        </w:rPr>
        <w:lastRenderedPageBreak/>
        <w:t>SÍNTESE</w:t>
      </w:r>
    </w:p>
    <w:p w:rsidR="00D81F69" w:rsidRDefault="00330118">
      <w:pPr>
        <w:spacing w:before="52" w:line="312" w:lineRule="auto"/>
        <w:ind w:left="135" w:right="38"/>
        <w:jc w:val="both"/>
        <w:rPr>
          <w:i/>
          <w:sz w:val="16"/>
        </w:rPr>
      </w:pPr>
      <w:r>
        <w:rPr>
          <w:i/>
          <w:sz w:val="16"/>
        </w:rPr>
        <w:t xml:space="preserve">Com a implantação de projetos de </w:t>
      </w:r>
      <w:r>
        <w:rPr>
          <w:i/>
          <w:sz w:val="16"/>
        </w:rPr>
        <w:t>mineração de ouro e ferro agravaram-se o desmatamento e a poluição dos rios em Pedra Branca do Amapari (AP). Em função de diversos problemas socioambientais provocados pela mineração no estado, os movimentos sociais organizaram o Comitê Acorda Amapá, integ</w:t>
      </w:r>
      <w:r>
        <w:rPr>
          <w:i/>
          <w:sz w:val="16"/>
        </w:rPr>
        <w:t>rado por diferentes redes para informar e mobilizar a população e acionar judicialmente as empresas.</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145"/>
        <w:ind w:left="135"/>
        <w:jc w:val="left"/>
      </w:pPr>
      <w:r>
        <w:br w:type="column"/>
      </w:r>
      <w:r>
        <w:lastRenderedPageBreak/>
        <w:t>No município de Pedra Branca do Amapari, com 9.495 km², e</w:t>
      </w:r>
    </w:p>
    <w:p w:rsidR="00D81F69" w:rsidRDefault="00330118">
      <w:pPr>
        <w:pStyle w:val="Corpodetexto"/>
        <w:spacing w:before="63" w:line="312" w:lineRule="auto"/>
        <w:ind w:left="135" w:right="236"/>
      </w:pPr>
      <w:r>
        <w:rPr>
          <w:spacing w:val="1"/>
        </w:rPr>
        <w:t xml:space="preserve">8.182 habitantes (IBGE, 2009b), </w:t>
      </w:r>
      <w:r>
        <w:t xml:space="preserve">as </w:t>
      </w:r>
      <w:r>
        <w:rPr>
          <w:spacing w:val="1"/>
        </w:rPr>
        <w:t xml:space="preserve">principais </w:t>
      </w:r>
      <w:r>
        <w:rPr>
          <w:spacing w:val="2"/>
        </w:rPr>
        <w:t xml:space="preserve">explorações </w:t>
      </w:r>
      <w:r>
        <w:rPr>
          <w:spacing w:val="3"/>
        </w:rPr>
        <w:t xml:space="preserve">são </w:t>
      </w:r>
      <w:r>
        <w:rPr>
          <w:spacing w:val="2"/>
        </w:rPr>
        <w:t xml:space="preserve">de </w:t>
      </w:r>
      <w:r>
        <w:rPr>
          <w:spacing w:val="3"/>
        </w:rPr>
        <w:t xml:space="preserve">ouro </w:t>
      </w:r>
      <w:r>
        <w:t xml:space="preserve">e </w:t>
      </w:r>
      <w:r>
        <w:rPr>
          <w:spacing w:val="3"/>
        </w:rPr>
        <w:t xml:space="preserve">ferro </w:t>
      </w:r>
      <w:r>
        <w:rPr>
          <w:spacing w:val="5"/>
        </w:rPr>
        <w:t xml:space="preserve">(CHAGAS </w:t>
      </w:r>
      <w:r>
        <w:rPr>
          <w:spacing w:val="2"/>
        </w:rPr>
        <w:t xml:space="preserve">et </w:t>
      </w:r>
      <w:r>
        <w:rPr>
          <w:spacing w:val="3"/>
        </w:rPr>
        <w:t xml:space="preserve">al., </w:t>
      </w:r>
      <w:r>
        <w:rPr>
          <w:spacing w:val="5"/>
        </w:rPr>
        <w:t xml:space="preserve">2008). </w:t>
      </w:r>
      <w:r>
        <w:t xml:space="preserve">O </w:t>
      </w:r>
      <w:r>
        <w:rPr>
          <w:spacing w:val="5"/>
        </w:rPr>
        <w:t xml:space="preserve">chamado projeto </w:t>
      </w:r>
      <w:r>
        <w:rPr>
          <w:spacing w:val="6"/>
        </w:rPr>
        <w:t xml:space="preserve">Amapari, </w:t>
      </w:r>
      <w:r>
        <w:rPr>
          <w:spacing w:val="3"/>
        </w:rPr>
        <w:t xml:space="preserve">de </w:t>
      </w:r>
      <w:r>
        <w:rPr>
          <w:spacing w:val="6"/>
        </w:rPr>
        <w:t xml:space="preserve">mineração </w:t>
      </w:r>
      <w:r>
        <w:rPr>
          <w:spacing w:val="3"/>
        </w:rPr>
        <w:t xml:space="preserve">de </w:t>
      </w:r>
      <w:r>
        <w:rPr>
          <w:spacing w:val="5"/>
        </w:rPr>
        <w:t xml:space="preserve">ouro, teve início </w:t>
      </w:r>
      <w:r>
        <w:rPr>
          <w:spacing w:val="7"/>
        </w:rPr>
        <w:t xml:space="preserve">no </w:t>
      </w:r>
      <w:r>
        <w:t xml:space="preserve">princípio dos anos 1990 com a mineradora Anglo Gold, </w:t>
      </w:r>
      <w:r>
        <w:rPr>
          <w:spacing w:val="1"/>
        </w:rPr>
        <w:t xml:space="preserve">que </w:t>
      </w:r>
      <w:r>
        <w:t xml:space="preserve">enfrentou uma série de obstáculos técnicos para realizar sua </w:t>
      </w:r>
      <w:r>
        <w:rPr>
          <w:spacing w:val="3"/>
        </w:rPr>
        <w:t xml:space="preserve">regularização ambiental. </w:t>
      </w:r>
      <w:r>
        <w:rPr>
          <w:spacing w:val="1"/>
        </w:rPr>
        <w:t xml:space="preserve">Em </w:t>
      </w:r>
      <w:r>
        <w:rPr>
          <w:spacing w:val="3"/>
        </w:rPr>
        <w:t xml:space="preserve">2003, </w:t>
      </w:r>
      <w:r>
        <w:rPr>
          <w:spacing w:val="2"/>
        </w:rPr>
        <w:t xml:space="preserve">foi </w:t>
      </w:r>
      <w:r>
        <w:rPr>
          <w:spacing w:val="3"/>
        </w:rPr>
        <w:t xml:space="preserve">adquirida </w:t>
      </w:r>
      <w:r>
        <w:rPr>
          <w:spacing w:val="2"/>
        </w:rPr>
        <w:t xml:space="preserve">pela </w:t>
      </w:r>
      <w:r>
        <w:rPr>
          <w:spacing w:val="5"/>
        </w:rPr>
        <w:t xml:space="preserve">EBX </w:t>
      </w:r>
      <w:r>
        <w:t>Gold, do g</w:t>
      </w:r>
      <w:r>
        <w:t xml:space="preserve">rupo EBX comandado pelo empresário Eike Batista </w:t>
      </w:r>
      <w:r>
        <w:rPr>
          <w:spacing w:val="16"/>
        </w:rPr>
        <w:t xml:space="preserve">(CHAGAS; OLIVEIRA, </w:t>
      </w:r>
      <w:r>
        <w:rPr>
          <w:spacing w:val="15"/>
        </w:rPr>
        <w:t xml:space="preserve">2008), </w:t>
      </w:r>
      <w:r>
        <w:rPr>
          <w:spacing w:val="12"/>
        </w:rPr>
        <w:t xml:space="preserve">que deu </w:t>
      </w:r>
      <w:r>
        <w:rPr>
          <w:spacing w:val="15"/>
        </w:rPr>
        <w:t xml:space="preserve">início </w:t>
      </w:r>
      <w:r>
        <w:rPr>
          <w:spacing w:val="10"/>
        </w:rPr>
        <w:t xml:space="preserve">ao </w:t>
      </w:r>
      <w:r>
        <w:rPr>
          <w:spacing w:val="5"/>
        </w:rPr>
        <w:t xml:space="preserve">funcionamento </w:t>
      </w:r>
      <w:r>
        <w:rPr>
          <w:spacing w:val="2"/>
        </w:rPr>
        <w:t xml:space="preserve">do </w:t>
      </w:r>
      <w:r>
        <w:rPr>
          <w:spacing w:val="5"/>
        </w:rPr>
        <w:t>complexo mínero-industrial Mineração</w:t>
      </w:r>
      <w:r>
        <w:rPr>
          <w:spacing w:val="61"/>
        </w:rPr>
        <w:t xml:space="preserve"> </w:t>
      </w:r>
      <w:r>
        <w:t xml:space="preserve">Pedra Branca do Amapari (MPBA) (BRASIL MINERAL, 2005). </w:t>
      </w:r>
      <w:r>
        <w:rPr>
          <w:spacing w:val="2"/>
        </w:rPr>
        <w:t xml:space="preserve">Em  </w:t>
      </w:r>
      <w:r>
        <w:rPr>
          <w:spacing w:val="5"/>
        </w:rPr>
        <w:t xml:space="preserve">2004,  </w:t>
      </w:r>
      <w:r>
        <w:t xml:space="preserve">a  </w:t>
      </w:r>
      <w:r>
        <w:rPr>
          <w:spacing w:val="5"/>
        </w:rPr>
        <w:t xml:space="preserve">MPBA  passou  para  </w:t>
      </w:r>
      <w:r>
        <w:t xml:space="preserve">o  </w:t>
      </w:r>
      <w:r>
        <w:rPr>
          <w:spacing w:val="5"/>
        </w:rPr>
        <w:t>controle acionário</w:t>
      </w:r>
      <w:r>
        <w:rPr>
          <w:spacing w:val="-23"/>
        </w:rPr>
        <w:t xml:space="preserve"> </w:t>
      </w:r>
      <w:r>
        <w:rPr>
          <w:spacing w:val="6"/>
        </w:rPr>
        <w:t>da</w:t>
      </w:r>
    </w:p>
    <w:p w:rsidR="00D81F69" w:rsidRDefault="00D81F69">
      <w:pPr>
        <w:spacing w:line="312" w:lineRule="auto"/>
        <w:sectPr w:rsidR="00D81F69">
          <w:type w:val="continuous"/>
          <w:pgSz w:w="11900" w:h="16840"/>
          <w:pgMar w:top="720" w:right="460" w:bottom="280" w:left="620" w:header="720" w:footer="720" w:gutter="0"/>
          <w:cols w:num="3" w:space="720" w:equalWidth="0">
            <w:col w:w="1537" w:space="463"/>
            <w:col w:w="3119" w:space="316"/>
            <w:col w:w="5385"/>
          </w:cols>
        </w:sectPr>
      </w:pPr>
    </w:p>
    <w:p w:rsidR="00D81F69" w:rsidRDefault="00330118">
      <w:pPr>
        <w:pStyle w:val="Heading4"/>
        <w:spacing w:line="271" w:lineRule="exact"/>
      </w:pPr>
      <w:r>
        <w:lastRenderedPageBreak/>
        <w:t>APRESENTAÇÃO DE CASO</w:t>
      </w:r>
    </w:p>
    <w:p w:rsidR="00D81F69" w:rsidRDefault="00330118">
      <w:pPr>
        <w:pStyle w:val="Corpodetexto"/>
        <w:spacing w:before="170" w:line="312" w:lineRule="auto"/>
        <w:ind w:right="42"/>
      </w:pPr>
      <w:r>
        <w:t xml:space="preserve">O </w:t>
      </w:r>
      <w:r>
        <w:rPr>
          <w:spacing w:val="3"/>
        </w:rPr>
        <w:t xml:space="preserve">estado </w:t>
      </w:r>
      <w:r>
        <w:rPr>
          <w:spacing w:val="1"/>
        </w:rPr>
        <w:t xml:space="preserve">do </w:t>
      </w:r>
      <w:r>
        <w:rPr>
          <w:spacing w:val="3"/>
        </w:rPr>
        <w:t xml:space="preserve">Amapá concentra </w:t>
      </w:r>
      <w:r>
        <w:rPr>
          <w:spacing w:val="2"/>
        </w:rPr>
        <w:t xml:space="preserve">uma das </w:t>
      </w:r>
      <w:r>
        <w:rPr>
          <w:spacing w:val="3"/>
        </w:rPr>
        <w:t xml:space="preserve">maiores </w:t>
      </w:r>
      <w:r>
        <w:rPr>
          <w:spacing w:val="5"/>
        </w:rPr>
        <w:t xml:space="preserve">reservas </w:t>
      </w:r>
      <w:r>
        <w:t xml:space="preserve">minerais brasileiras. Segundo o Departamento Nacional de Produção Mineral (DNPM), a comercialização de minérios no </w:t>
      </w:r>
      <w:r>
        <w:rPr>
          <w:spacing w:val="18"/>
        </w:rPr>
        <w:t xml:space="preserve">estado </w:t>
      </w:r>
      <w:r>
        <w:rPr>
          <w:spacing w:val="20"/>
        </w:rPr>
        <w:t xml:space="preserve">atingiu, </w:t>
      </w:r>
      <w:r>
        <w:rPr>
          <w:spacing w:val="10"/>
        </w:rPr>
        <w:t>em</w:t>
      </w:r>
      <w:r>
        <w:rPr>
          <w:spacing w:val="71"/>
        </w:rPr>
        <w:t xml:space="preserve"> </w:t>
      </w:r>
      <w:r>
        <w:rPr>
          <w:spacing w:val="17"/>
        </w:rPr>
        <w:t xml:space="preserve">2008, </w:t>
      </w:r>
      <w:r>
        <w:rPr>
          <w:spacing w:val="10"/>
        </w:rPr>
        <w:t>um</w:t>
      </w:r>
      <w:r>
        <w:rPr>
          <w:spacing w:val="71"/>
        </w:rPr>
        <w:t xml:space="preserve"> </w:t>
      </w:r>
      <w:r>
        <w:rPr>
          <w:spacing w:val="17"/>
        </w:rPr>
        <w:t>val</w:t>
      </w:r>
      <w:r>
        <w:rPr>
          <w:spacing w:val="17"/>
        </w:rPr>
        <w:t xml:space="preserve">or </w:t>
      </w:r>
      <w:r>
        <w:rPr>
          <w:spacing w:val="18"/>
        </w:rPr>
        <w:t xml:space="preserve">líquido </w:t>
      </w:r>
      <w:r>
        <w:rPr>
          <w:spacing w:val="10"/>
        </w:rPr>
        <w:t xml:space="preserve">de </w:t>
      </w:r>
      <w:r>
        <w:rPr>
          <w:spacing w:val="13"/>
        </w:rPr>
        <w:t xml:space="preserve">aproximadamente </w:t>
      </w:r>
      <w:r>
        <w:rPr>
          <w:spacing w:val="7"/>
        </w:rPr>
        <w:t xml:space="preserve">R$ </w:t>
      </w:r>
      <w:r>
        <w:rPr>
          <w:spacing w:val="10"/>
        </w:rPr>
        <w:t xml:space="preserve">400 </w:t>
      </w:r>
      <w:r>
        <w:rPr>
          <w:spacing w:val="13"/>
        </w:rPr>
        <w:t xml:space="preserve">milhões, </w:t>
      </w:r>
      <w:r>
        <w:rPr>
          <w:spacing w:val="11"/>
        </w:rPr>
        <w:t xml:space="preserve">sendo </w:t>
      </w:r>
      <w:r>
        <w:rPr>
          <w:spacing w:val="12"/>
        </w:rPr>
        <w:t xml:space="preserve">oriunda </w:t>
      </w:r>
      <w:r>
        <w:rPr>
          <w:spacing w:val="3"/>
        </w:rPr>
        <w:t xml:space="preserve">principalmente </w:t>
      </w:r>
      <w:r>
        <w:rPr>
          <w:spacing w:val="1"/>
        </w:rPr>
        <w:t xml:space="preserve">de </w:t>
      </w:r>
      <w:r>
        <w:rPr>
          <w:spacing w:val="3"/>
        </w:rPr>
        <w:t xml:space="preserve">cinco substâncias minerais: ouro, </w:t>
      </w:r>
      <w:hyperlink r:id="rId82">
        <w:r>
          <w:rPr>
            <w:spacing w:val="5"/>
          </w:rPr>
          <w:t>ferro,</w:t>
        </w:r>
      </w:hyperlink>
      <w:r>
        <w:rPr>
          <w:spacing w:val="5"/>
        </w:rPr>
        <w:t xml:space="preserve"> </w:t>
      </w:r>
      <w:r>
        <w:rPr>
          <w:spacing w:val="3"/>
        </w:rPr>
        <w:t xml:space="preserve">caulim, cromita </w:t>
      </w:r>
      <w:r>
        <w:t xml:space="preserve">e </w:t>
      </w:r>
      <w:r>
        <w:rPr>
          <w:spacing w:val="2"/>
        </w:rPr>
        <w:t xml:space="preserve">água </w:t>
      </w:r>
      <w:r>
        <w:rPr>
          <w:spacing w:val="3"/>
        </w:rPr>
        <w:t>mineral (GONÇALVES,</w:t>
      </w:r>
      <w:r>
        <w:rPr>
          <w:spacing w:val="2"/>
        </w:rPr>
        <w:t xml:space="preserve"> </w:t>
      </w:r>
      <w:r>
        <w:rPr>
          <w:spacing w:val="5"/>
        </w:rPr>
        <w:t>2009).</w:t>
      </w:r>
    </w:p>
    <w:p w:rsidR="00D81F69" w:rsidRDefault="00330118">
      <w:pPr>
        <w:pStyle w:val="Corpodetexto"/>
        <w:spacing w:before="136" w:line="312" w:lineRule="auto"/>
        <w:ind w:right="47"/>
      </w:pPr>
      <w:r>
        <w:t xml:space="preserve">Após o ciclo do </w:t>
      </w:r>
      <w:hyperlink r:id="rId83">
        <w:r>
          <w:t xml:space="preserve">manganês </w:t>
        </w:r>
      </w:hyperlink>
      <w:r>
        <w:t xml:space="preserve">(1950-1990), iniciou-se, no estado, </w:t>
      </w:r>
      <w:r>
        <w:rPr>
          <w:spacing w:val="5"/>
        </w:rPr>
        <w:t xml:space="preserve">um </w:t>
      </w:r>
      <w:r>
        <w:rPr>
          <w:spacing w:val="6"/>
        </w:rPr>
        <w:t xml:space="preserve">novo </w:t>
      </w:r>
      <w:r>
        <w:rPr>
          <w:spacing w:val="7"/>
        </w:rPr>
        <w:t xml:space="preserve">ciclo mineral (CHAGAS </w:t>
      </w:r>
      <w:r>
        <w:rPr>
          <w:spacing w:val="5"/>
        </w:rPr>
        <w:t xml:space="preserve">et </w:t>
      </w:r>
      <w:r>
        <w:rPr>
          <w:spacing w:val="6"/>
        </w:rPr>
        <w:t xml:space="preserve">al., </w:t>
      </w:r>
      <w:r>
        <w:rPr>
          <w:spacing w:val="7"/>
        </w:rPr>
        <w:t xml:space="preserve">2008), </w:t>
      </w:r>
      <w:r>
        <w:rPr>
          <w:spacing w:val="5"/>
        </w:rPr>
        <w:t xml:space="preserve">com </w:t>
      </w:r>
      <w:r>
        <w:t>a implantação de projetos de mineração de ouro e</w:t>
      </w:r>
      <w:r>
        <w:t xml:space="preserve"> ferro, </w:t>
      </w:r>
      <w:r>
        <w:rPr>
          <w:spacing w:val="1"/>
        </w:rPr>
        <w:t xml:space="preserve">que </w:t>
      </w:r>
      <w:r>
        <w:rPr>
          <w:spacing w:val="5"/>
        </w:rPr>
        <w:t xml:space="preserve">tem </w:t>
      </w:r>
      <w:r>
        <w:rPr>
          <w:spacing w:val="8"/>
        </w:rPr>
        <w:t xml:space="preserve">provocado, </w:t>
      </w:r>
      <w:r>
        <w:rPr>
          <w:spacing w:val="7"/>
        </w:rPr>
        <w:t xml:space="preserve">dentre outros impactos, grande </w:t>
      </w:r>
      <w:r>
        <w:rPr>
          <w:spacing w:val="10"/>
        </w:rPr>
        <w:t xml:space="preserve">fluxo </w:t>
      </w:r>
      <w:r>
        <w:t xml:space="preserve">migratório, não só na área dos projetos, como no seu entorno, </w:t>
      </w:r>
      <w:r>
        <w:rPr>
          <w:spacing w:val="1"/>
        </w:rPr>
        <w:t xml:space="preserve">repetindo </w:t>
      </w:r>
      <w:r>
        <w:t xml:space="preserve">o que é uma </w:t>
      </w:r>
      <w:r>
        <w:rPr>
          <w:spacing w:val="1"/>
        </w:rPr>
        <w:t xml:space="preserve">constante </w:t>
      </w:r>
      <w:r>
        <w:t xml:space="preserve">na </w:t>
      </w:r>
      <w:r>
        <w:rPr>
          <w:spacing w:val="1"/>
        </w:rPr>
        <w:t xml:space="preserve">Amazônia: áreas </w:t>
      </w:r>
      <w:r>
        <w:rPr>
          <w:spacing w:val="2"/>
        </w:rPr>
        <w:t xml:space="preserve">com </w:t>
      </w:r>
      <w:r>
        <w:t>forte potencial mineral têm servido como atrativo para o êxodo de grande co</w:t>
      </w:r>
      <w:r>
        <w:t>ntingente populacional, que migra em busca de novas perspectivas de vida (GONÇALVES,</w:t>
      </w:r>
      <w:r>
        <w:rPr>
          <w:spacing w:val="11"/>
        </w:rPr>
        <w:t xml:space="preserve"> </w:t>
      </w:r>
      <w:r>
        <w:t>2009).</w:t>
      </w:r>
    </w:p>
    <w:p w:rsidR="00D81F69" w:rsidRDefault="00330118">
      <w:pPr>
        <w:pStyle w:val="Corpodetexto"/>
        <w:spacing w:before="139" w:line="312" w:lineRule="auto"/>
        <w:ind w:right="38"/>
      </w:pPr>
      <w:r>
        <w:t xml:space="preserve">A </w:t>
      </w:r>
      <w:r>
        <w:rPr>
          <w:spacing w:val="5"/>
        </w:rPr>
        <w:t xml:space="preserve">criação </w:t>
      </w:r>
      <w:r>
        <w:rPr>
          <w:spacing w:val="3"/>
        </w:rPr>
        <w:t xml:space="preserve">de </w:t>
      </w:r>
      <w:r>
        <w:rPr>
          <w:spacing w:val="5"/>
        </w:rPr>
        <w:t xml:space="preserve">vários </w:t>
      </w:r>
      <w:r>
        <w:rPr>
          <w:spacing w:val="6"/>
        </w:rPr>
        <w:t xml:space="preserve">municípios amapaenses </w:t>
      </w:r>
      <w:r>
        <w:rPr>
          <w:spacing w:val="7"/>
        </w:rPr>
        <w:t xml:space="preserve">deveu-se, </w:t>
      </w:r>
      <w:r>
        <w:t xml:space="preserve">portanto, à forte influência das atividades de mineração que </w:t>
      </w:r>
      <w:r>
        <w:rPr>
          <w:spacing w:val="3"/>
        </w:rPr>
        <w:t xml:space="preserve">existiam </w:t>
      </w:r>
      <w:r>
        <w:rPr>
          <w:spacing w:val="1"/>
        </w:rPr>
        <w:t xml:space="preserve">ou </w:t>
      </w:r>
      <w:r>
        <w:rPr>
          <w:spacing w:val="3"/>
        </w:rPr>
        <w:t xml:space="preserve">existem </w:t>
      </w:r>
      <w:r>
        <w:rPr>
          <w:spacing w:val="1"/>
        </w:rPr>
        <w:t xml:space="preserve">em </w:t>
      </w:r>
      <w:r>
        <w:rPr>
          <w:spacing w:val="2"/>
        </w:rPr>
        <w:t xml:space="preserve">suas </w:t>
      </w:r>
      <w:r>
        <w:rPr>
          <w:spacing w:val="3"/>
        </w:rPr>
        <w:t xml:space="preserve">regiões, </w:t>
      </w:r>
      <w:r>
        <w:rPr>
          <w:spacing w:val="2"/>
        </w:rPr>
        <w:t xml:space="preserve">como </w:t>
      </w:r>
      <w:r>
        <w:t xml:space="preserve">é o </w:t>
      </w:r>
      <w:r>
        <w:rPr>
          <w:spacing w:val="2"/>
        </w:rPr>
        <w:t xml:space="preserve">caso </w:t>
      </w:r>
      <w:r>
        <w:rPr>
          <w:spacing w:val="5"/>
        </w:rPr>
        <w:t xml:space="preserve">de </w:t>
      </w:r>
      <w:r>
        <w:t xml:space="preserve">Vitória do Jari, Calçoene, Serra do Navio e Pedra Branca do </w:t>
      </w:r>
      <w:r>
        <w:rPr>
          <w:spacing w:val="5"/>
        </w:rPr>
        <w:t xml:space="preserve">Amapari (SIMÕES, 2009). </w:t>
      </w:r>
      <w:r>
        <w:rPr>
          <w:spacing w:val="3"/>
        </w:rPr>
        <w:t xml:space="preserve">Estes dois </w:t>
      </w:r>
      <w:r>
        <w:rPr>
          <w:spacing w:val="5"/>
        </w:rPr>
        <w:t xml:space="preserve">últimos municípios </w:t>
      </w:r>
      <w:r>
        <w:t xml:space="preserve">estão entre os mais afetados com o aumento populacional, </w:t>
      </w:r>
      <w:r>
        <w:rPr>
          <w:spacing w:val="2"/>
        </w:rPr>
        <w:t xml:space="preserve">por </w:t>
      </w:r>
      <w:r>
        <w:rPr>
          <w:spacing w:val="3"/>
        </w:rPr>
        <w:t xml:space="preserve">apresentarem grande vocação mineral </w:t>
      </w:r>
      <w:r>
        <w:rPr>
          <w:spacing w:val="5"/>
        </w:rPr>
        <w:t>(GONÇALVES, 2009).</w:t>
      </w:r>
    </w:p>
    <w:p w:rsidR="00D81F69" w:rsidRDefault="00330118">
      <w:pPr>
        <w:pStyle w:val="Corpodetexto"/>
        <w:spacing w:before="74" w:line="270" w:lineRule="atLeast"/>
        <w:ind w:right="56"/>
      </w:pPr>
      <w:r>
        <w:t>A região de Serra do Na</w:t>
      </w:r>
      <w:r>
        <w:t>vio e Pedra Branca do Amapari recebeu, no início da década de 1950, seus primeiros moradores, a maioria famílias de agricultores vindos principalmente do Pará. A ocupação por estas famílias coincide com a chegada da Indústria e Comércio de Minérios de Ferr</w:t>
      </w:r>
      <w:r>
        <w:t xml:space="preserve">o e Manganês S.A. (Icomi) na Serra do Navio e com a implantação da Estrada de Ferro do Amapá (EFA) (PEREIRA et al., 2004 apud GONÇALVES, 2009), que liga os municípios de Serra do Navio e Santana, sendo responsável pelo transporte de minério do interior do </w:t>
      </w:r>
      <w:r>
        <w:t>estado para o Porto de Santana, às margens do rio Amazonas (OCMAL, 2009).</w:t>
      </w:r>
    </w:p>
    <w:p w:rsidR="00D81F69" w:rsidRDefault="00330118">
      <w:pPr>
        <w:pStyle w:val="Corpodetexto"/>
        <w:spacing w:before="11" w:line="312" w:lineRule="auto"/>
        <w:ind w:right="252"/>
      </w:pPr>
      <w:r>
        <w:br w:type="column"/>
      </w:r>
      <w:r>
        <w:lastRenderedPageBreak/>
        <w:t>Wheaton River Minerals, que se fundiu com a GoldCorp. Em 2007, foi novamente vendida, passando para o controle da Peak Gold, empresa canadense criada especificadamente para operar a</w:t>
      </w:r>
      <w:r>
        <w:t>s minas de ouro de Pedra Branca do Amapari, e da australiana Peak Mines. Atualmente, a MPBA pertence à canadense NewGold, que comprou os ativos em ações da Peak Gold (CHAGAS; OLIVEIRA, 2008).</w:t>
      </w:r>
    </w:p>
    <w:p w:rsidR="00D81F69" w:rsidRDefault="00330118">
      <w:pPr>
        <w:pStyle w:val="Corpodetexto"/>
        <w:spacing w:before="136" w:line="312" w:lineRule="auto"/>
        <w:ind w:right="246"/>
      </w:pPr>
      <w:r>
        <w:t>Ao todo, a reserva de minério de ouro de Pedra Branca do Amapari</w:t>
      </w:r>
      <w:r>
        <w:t xml:space="preserve"> é da ordem de 1,53 milhões de onças, com teor médio de 2,30 gramas de ouro por tonelada. Embora a vida útil da mina fosse estimada em 11 anos, no segundo semestre de 2008, suas atividades foram paralisadas, com previsão de retorno em junho de 2011, segund</w:t>
      </w:r>
      <w:r>
        <w:t>o o DNPM (NERY, 2008 apud SIMÕES, 2009).</w:t>
      </w:r>
    </w:p>
    <w:p w:rsidR="00D81F69" w:rsidRDefault="00330118">
      <w:pPr>
        <w:pStyle w:val="Corpodetexto"/>
        <w:spacing w:before="136" w:line="312" w:lineRule="auto"/>
        <w:ind w:right="235"/>
      </w:pPr>
      <w:r>
        <w:t>Já a exploração de minério de ferro na região começou, em 2007, quando a MPBA resolveu estender suas atividades no estado, solicitando, de acordo com a Secretaria Estadual do Meio Ambiente (Sema), licença de instalação para explotar o minério. A empresa ob</w:t>
      </w:r>
      <w:r>
        <w:t>teve a licença da Sema e iniciou, a partir daí, um processo de negociação com a empresa MMX, da holding EBX (OCMAL, 2009).</w:t>
      </w:r>
    </w:p>
    <w:p w:rsidR="00D81F69" w:rsidRDefault="00330118">
      <w:pPr>
        <w:pStyle w:val="Corpodetexto"/>
        <w:spacing w:before="137" w:line="312" w:lineRule="auto"/>
        <w:ind w:right="236"/>
      </w:pPr>
      <w:r>
        <w:t>A MMX Amapá Mineração passou, então, a ter a seu dispor uma jazida com 285 milhões de toneladas de minério de ferro (OCMAL, 2009), qu</w:t>
      </w:r>
      <w:r>
        <w:t>e começou a ser explorada no segundo semestre de 2007 (SIMÕES, 2009). A iniciativa tinha como sócio a Centennial Asset Participações Amapá S.A., do grupo norteamericano Cleveland Cliffs, e previa o desenvolvimento de uma mina e a instalação de unidade de b</w:t>
      </w:r>
      <w:r>
        <w:t xml:space="preserve">eneficiamento de minério de ferro com capacidade de produção anual de </w:t>
      </w:r>
      <w:r>
        <w:rPr>
          <w:spacing w:val="1"/>
        </w:rPr>
        <w:t xml:space="preserve">6,5 milhões </w:t>
      </w:r>
      <w:r>
        <w:t xml:space="preserve">de </w:t>
      </w:r>
      <w:r>
        <w:rPr>
          <w:spacing w:val="1"/>
        </w:rPr>
        <w:t xml:space="preserve">toneladas. Para escoar </w:t>
      </w:r>
      <w:r>
        <w:t xml:space="preserve">a </w:t>
      </w:r>
      <w:r>
        <w:rPr>
          <w:spacing w:val="1"/>
        </w:rPr>
        <w:t xml:space="preserve">produção, </w:t>
      </w:r>
      <w:r>
        <w:t xml:space="preserve">a </w:t>
      </w:r>
      <w:r>
        <w:rPr>
          <w:spacing w:val="2"/>
        </w:rPr>
        <w:t xml:space="preserve">empresa </w:t>
      </w:r>
      <w:r>
        <w:t xml:space="preserve">teve de investir na Estrada de Ferro do Amapá (EFA) (LUNA, 2007). A MMX ganhou a concessão para explorar a EFA após vencer um </w:t>
      </w:r>
      <w:r>
        <w:t xml:space="preserve">processo licitatório bastante controverso (OCMAL, 2009) e assumiu também a operação do Terminal Portuário  de </w:t>
      </w:r>
      <w:r>
        <w:rPr>
          <w:spacing w:val="1"/>
        </w:rPr>
        <w:t xml:space="preserve">Santana, dando origem </w:t>
      </w:r>
      <w:r>
        <w:t xml:space="preserve">ao </w:t>
      </w:r>
      <w:r>
        <w:rPr>
          <w:spacing w:val="1"/>
        </w:rPr>
        <w:t xml:space="preserve">chamado Sistema </w:t>
      </w:r>
      <w:r>
        <w:rPr>
          <w:spacing w:val="2"/>
        </w:rPr>
        <w:t xml:space="preserve">Integrado </w:t>
      </w:r>
      <w:r>
        <w:rPr>
          <w:spacing w:val="5"/>
        </w:rPr>
        <w:t>MMX</w:t>
      </w:r>
      <w:r>
        <w:rPr>
          <w:spacing w:val="47"/>
        </w:rPr>
        <w:t xml:space="preserve"> </w:t>
      </w:r>
      <w:r>
        <w:rPr>
          <w:spacing w:val="5"/>
        </w:rPr>
        <w:t>Amapá</w:t>
      </w:r>
      <w:r>
        <w:rPr>
          <w:spacing w:val="47"/>
        </w:rPr>
        <w:t xml:space="preserve"> </w:t>
      </w:r>
      <w:r>
        <w:rPr>
          <w:spacing w:val="5"/>
        </w:rPr>
        <w:t>(mina,</w:t>
      </w:r>
      <w:r>
        <w:rPr>
          <w:spacing w:val="47"/>
        </w:rPr>
        <w:t xml:space="preserve"> </w:t>
      </w:r>
      <w:r>
        <w:rPr>
          <w:spacing w:val="5"/>
        </w:rPr>
        <w:t>estrada</w:t>
      </w:r>
      <w:r>
        <w:rPr>
          <w:spacing w:val="47"/>
        </w:rPr>
        <w:t xml:space="preserve"> </w:t>
      </w:r>
      <w:r>
        <w:rPr>
          <w:spacing w:val="3"/>
        </w:rPr>
        <w:t>de</w:t>
      </w:r>
      <w:r>
        <w:rPr>
          <w:spacing w:val="47"/>
        </w:rPr>
        <w:t xml:space="preserve"> </w:t>
      </w:r>
      <w:r>
        <w:rPr>
          <w:spacing w:val="5"/>
        </w:rPr>
        <w:t>ferro</w:t>
      </w:r>
      <w:r>
        <w:rPr>
          <w:spacing w:val="47"/>
        </w:rPr>
        <w:t xml:space="preserve"> </w:t>
      </w:r>
      <w:r>
        <w:t>e</w:t>
      </w:r>
      <w:r>
        <w:rPr>
          <w:spacing w:val="47"/>
        </w:rPr>
        <w:t xml:space="preserve"> </w:t>
      </w:r>
      <w:r>
        <w:rPr>
          <w:spacing w:val="5"/>
        </w:rPr>
        <w:t>porto)</w:t>
      </w:r>
      <w:r>
        <w:rPr>
          <w:spacing w:val="47"/>
        </w:rPr>
        <w:t xml:space="preserve"> </w:t>
      </w:r>
      <w:r>
        <w:rPr>
          <w:spacing w:val="7"/>
        </w:rPr>
        <w:t>(BRASIL</w:t>
      </w:r>
    </w:p>
    <w:p w:rsidR="00D81F69" w:rsidRDefault="00D81F69">
      <w:pPr>
        <w:spacing w:line="312" w:lineRule="auto"/>
        <w:sectPr w:rsidR="00D81F69">
          <w:type w:val="continuous"/>
          <w:pgSz w:w="11900" w:h="16840"/>
          <w:pgMar w:top="720" w:right="460" w:bottom="280" w:left="620" w:header="720" w:footer="720" w:gutter="0"/>
          <w:cols w:num="2" w:space="720" w:equalWidth="0">
            <w:col w:w="5161" w:space="309"/>
            <w:col w:w="5350"/>
          </w:cols>
        </w:sectPr>
      </w:pPr>
    </w:p>
    <w:p w:rsidR="00D81F69" w:rsidRDefault="00330118">
      <w:pPr>
        <w:pStyle w:val="Corpodetexto"/>
        <w:spacing w:before="81"/>
      </w:pPr>
      <w:r>
        <w:lastRenderedPageBreak/>
        <w:t>MINERAL, 2008).</w:t>
      </w:r>
    </w:p>
    <w:p w:rsidR="00D81F69" w:rsidRDefault="00D81F69">
      <w:pPr>
        <w:pStyle w:val="Corpodetexto"/>
        <w:spacing w:before="9"/>
        <w:ind w:left="0"/>
        <w:jc w:val="left"/>
        <w:rPr>
          <w:sz w:val="16"/>
        </w:rPr>
      </w:pPr>
    </w:p>
    <w:p w:rsidR="00D81F69" w:rsidRDefault="00330118">
      <w:pPr>
        <w:pStyle w:val="Corpodetexto"/>
        <w:spacing w:line="312" w:lineRule="auto"/>
        <w:ind w:right="59"/>
      </w:pPr>
      <w:r>
        <w:t>Para apurar diversas irregularidades envolvendo a atuação do Grupo MMX no Amapá, dentre as quais a possível fraude no processo licitatório de concessão da estrada de ferro, a Polícia Federal realizou a operação Toque de Midas. A investigação encontrou indí</w:t>
      </w:r>
      <w:r>
        <w:t>cios de direcionamento da licitação para que as empresas do grupo vencessem o certame. Tal direcionamento se daria como ajuste prévio de cláusulas favoráveis às empresas do grupo, principalmente as referentes à habilitação dos participantes no procedimento</w:t>
      </w:r>
      <w:r>
        <w:t xml:space="preserve"> de licitação, afastando, dessa forma, demais interessados na concessão da estrada de ferro (OCMAL, 2009).</w:t>
      </w:r>
    </w:p>
    <w:p w:rsidR="00D81F69" w:rsidRDefault="00330118">
      <w:pPr>
        <w:pStyle w:val="Corpodetexto"/>
        <w:spacing w:before="140" w:line="312" w:lineRule="auto"/>
        <w:ind w:right="54"/>
      </w:pPr>
      <w:r>
        <w:t>Outras irregularidades também foram constatadas. Embora a MMX Amapá possuísse licenciamento para as atividades de mineração e transporte do minério d</w:t>
      </w:r>
      <w:r>
        <w:t>e ferro, faltando apenas a licença para as atividades siderúrgicas, o licenciamento não fora precedido pela aprovação do Estudo de Impacto Ambiental (EIA) pelo órgão responsável, infringindo o princípio constitucional que determina que a construção de qual</w:t>
      </w:r>
      <w:r>
        <w:t>quer obra que ofereça risco ao ambiente e às comunidades locais seja liberada após aprovação de um EIA (OCMAL, 2009). O Ministério Público Federal (MPF) encaminhou, então, representação ao governo do Amapá pedindo que a MMX Amapá Mineração fosse punida por</w:t>
      </w:r>
      <w:r>
        <w:t xml:space="preserve"> danos coletivos. Os procuradores solicitaram indenização de US$ 35,7 milhões, o que correspondia a 10% dos aportes da MMX no estado (BRASIL MINERAL, 2007).</w:t>
      </w:r>
    </w:p>
    <w:p w:rsidR="00D81F69" w:rsidRDefault="00330118">
      <w:pPr>
        <w:pStyle w:val="Corpodetexto"/>
        <w:spacing w:before="144" w:line="312" w:lineRule="auto"/>
        <w:ind w:right="38"/>
      </w:pPr>
      <w:r>
        <w:rPr>
          <w:spacing w:val="3"/>
        </w:rPr>
        <w:t xml:space="preserve">Além </w:t>
      </w:r>
      <w:r>
        <w:rPr>
          <w:spacing w:val="2"/>
        </w:rPr>
        <w:t xml:space="preserve">de </w:t>
      </w:r>
      <w:r>
        <w:rPr>
          <w:spacing w:val="3"/>
        </w:rPr>
        <w:t xml:space="preserve">ações </w:t>
      </w:r>
      <w:r>
        <w:rPr>
          <w:spacing w:val="5"/>
        </w:rPr>
        <w:t xml:space="preserve">legais contra </w:t>
      </w:r>
      <w:r>
        <w:t xml:space="preserve">a </w:t>
      </w:r>
      <w:r>
        <w:rPr>
          <w:spacing w:val="5"/>
        </w:rPr>
        <w:t xml:space="preserve">mineração </w:t>
      </w:r>
      <w:r>
        <w:rPr>
          <w:spacing w:val="2"/>
        </w:rPr>
        <w:t xml:space="preserve">no </w:t>
      </w:r>
      <w:r>
        <w:rPr>
          <w:spacing w:val="5"/>
        </w:rPr>
        <w:t>estado, os</w:t>
      </w:r>
      <w:r>
        <w:rPr>
          <w:spacing w:val="61"/>
        </w:rPr>
        <w:t xml:space="preserve"> </w:t>
      </w:r>
      <w:r>
        <w:rPr>
          <w:spacing w:val="8"/>
        </w:rPr>
        <w:t xml:space="preserve">movimentos </w:t>
      </w:r>
      <w:r>
        <w:rPr>
          <w:spacing w:val="7"/>
        </w:rPr>
        <w:t xml:space="preserve">sociais criaram </w:t>
      </w:r>
      <w:r>
        <w:t xml:space="preserve">o </w:t>
      </w:r>
      <w:r>
        <w:rPr>
          <w:spacing w:val="7"/>
        </w:rPr>
        <w:t xml:space="preserve">Comitê Acorda </w:t>
      </w:r>
      <w:r>
        <w:rPr>
          <w:spacing w:val="10"/>
        </w:rPr>
        <w:t>Am</w:t>
      </w:r>
      <w:r>
        <w:rPr>
          <w:spacing w:val="10"/>
        </w:rPr>
        <w:t xml:space="preserve">apá, </w:t>
      </w:r>
      <w:r>
        <w:rPr>
          <w:spacing w:val="5"/>
        </w:rPr>
        <w:t xml:space="preserve">integrado </w:t>
      </w:r>
      <w:r>
        <w:rPr>
          <w:spacing w:val="3"/>
        </w:rPr>
        <w:t xml:space="preserve">por </w:t>
      </w:r>
      <w:r>
        <w:rPr>
          <w:spacing w:val="5"/>
        </w:rPr>
        <w:t xml:space="preserve">diferentes redes </w:t>
      </w:r>
      <w:r>
        <w:t xml:space="preserve">e </w:t>
      </w:r>
      <w:r>
        <w:rPr>
          <w:spacing w:val="5"/>
        </w:rPr>
        <w:t xml:space="preserve">organizações, </w:t>
      </w:r>
      <w:r>
        <w:rPr>
          <w:spacing w:val="3"/>
        </w:rPr>
        <w:t xml:space="preserve">que </w:t>
      </w:r>
      <w:r>
        <w:rPr>
          <w:spacing w:val="6"/>
        </w:rPr>
        <w:t xml:space="preserve">tem </w:t>
      </w:r>
      <w:r>
        <w:t xml:space="preserve">organizado seminários e outras atividades com o objetivo de informar a população a respeito dos impactos socioambientais e econômicos dos projetos na região (OCMAL, 2009). </w:t>
      </w:r>
      <w:r>
        <w:rPr>
          <w:spacing w:val="1"/>
        </w:rPr>
        <w:t xml:space="preserve">Uma </w:t>
      </w:r>
      <w:r>
        <w:rPr>
          <w:spacing w:val="2"/>
        </w:rPr>
        <w:t xml:space="preserve">das </w:t>
      </w:r>
      <w:r>
        <w:rPr>
          <w:spacing w:val="3"/>
        </w:rPr>
        <w:t xml:space="preserve">maiores queixas </w:t>
      </w:r>
      <w:r>
        <w:rPr>
          <w:spacing w:val="2"/>
        </w:rPr>
        <w:t xml:space="preserve">dos </w:t>
      </w:r>
      <w:r>
        <w:rPr>
          <w:spacing w:val="3"/>
        </w:rPr>
        <w:t xml:space="preserve">movimentos sociais </w:t>
      </w:r>
      <w:r>
        <w:t xml:space="preserve">é a </w:t>
      </w:r>
      <w:r>
        <w:rPr>
          <w:spacing w:val="3"/>
        </w:rPr>
        <w:t xml:space="preserve">falta </w:t>
      </w:r>
      <w:r>
        <w:rPr>
          <w:spacing w:val="5"/>
        </w:rPr>
        <w:t xml:space="preserve">de </w:t>
      </w:r>
      <w:r>
        <w:rPr>
          <w:spacing w:val="3"/>
        </w:rPr>
        <w:t xml:space="preserve">transparência </w:t>
      </w:r>
      <w:r>
        <w:rPr>
          <w:spacing w:val="1"/>
        </w:rPr>
        <w:t xml:space="preserve">no </w:t>
      </w:r>
      <w:r>
        <w:rPr>
          <w:spacing w:val="3"/>
        </w:rPr>
        <w:t xml:space="preserve">processo </w:t>
      </w:r>
      <w:r>
        <w:rPr>
          <w:spacing w:val="1"/>
        </w:rPr>
        <w:t xml:space="preserve">de </w:t>
      </w:r>
      <w:r>
        <w:rPr>
          <w:spacing w:val="3"/>
        </w:rPr>
        <w:t xml:space="preserve">licenciamento ambiental </w:t>
      </w:r>
      <w:r>
        <w:rPr>
          <w:spacing w:val="5"/>
        </w:rPr>
        <w:t xml:space="preserve">da MMX. Além disso, </w:t>
      </w:r>
      <w:r>
        <w:rPr>
          <w:spacing w:val="3"/>
        </w:rPr>
        <w:t xml:space="preserve">há </w:t>
      </w:r>
      <w:r>
        <w:rPr>
          <w:spacing w:val="6"/>
        </w:rPr>
        <w:t xml:space="preserve">alegações </w:t>
      </w:r>
      <w:r>
        <w:rPr>
          <w:spacing w:val="5"/>
        </w:rPr>
        <w:t xml:space="preserve">sobre </w:t>
      </w:r>
      <w:r>
        <w:t xml:space="preserve">a </w:t>
      </w:r>
      <w:r>
        <w:rPr>
          <w:spacing w:val="6"/>
        </w:rPr>
        <w:t xml:space="preserve">existência </w:t>
      </w:r>
      <w:r>
        <w:rPr>
          <w:spacing w:val="7"/>
        </w:rPr>
        <w:t xml:space="preserve">de </w:t>
      </w:r>
      <w:r>
        <w:rPr>
          <w:spacing w:val="3"/>
        </w:rPr>
        <w:t xml:space="preserve">relacionamento entre </w:t>
      </w:r>
      <w:r>
        <w:t xml:space="preserve">a </w:t>
      </w:r>
      <w:r>
        <w:rPr>
          <w:spacing w:val="3"/>
        </w:rPr>
        <w:t xml:space="preserve">empresa </w:t>
      </w:r>
      <w:r>
        <w:t xml:space="preserve">e </w:t>
      </w:r>
      <w:r>
        <w:rPr>
          <w:spacing w:val="3"/>
        </w:rPr>
        <w:t xml:space="preserve">funcionários </w:t>
      </w:r>
      <w:r>
        <w:rPr>
          <w:spacing w:val="1"/>
        </w:rPr>
        <w:t xml:space="preserve">da </w:t>
      </w:r>
      <w:r>
        <w:rPr>
          <w:spacing w:val="5"/>
        </w:rPr>
        <w:t xml:space="preserve">Sema </w:t>
      </w:r>
      <w:r>
        <w:rPr>
          <w:spacing w:val="3"/>
        </w:rPr>
        <w:t>(MILANEZ,</w:t>
      </w:r>
      <w:r>
        <w:rPr>
          <w:spacing w:val="2"/>
        </w:rPr>
        <w:t xml:space="preserve"> </w:t>
      </w:r>
      <w:r>
        <w:rPr>
          <w:spacing w:val="5"/>
        </w:rPr>
        <w:t>2009).</w:t>
      </w:r>
    </w:p>
    <w:p w:rsidR="00D81F69" w:rsidRDefault="00330118">
      <w:pPr>
        <w:pStyle w:val="Corpodetexto"/>
        <w:spacing w:before="140" w:line="312" w:lineRule="auto"/>
        <w:ind w:right="45"/>
      </w:pPr>
      <w:r>
        <w:t>Em meados de 2008, o Grupo MMX vendeu tod</w:t>
      </w:r>
      <w:r>
        <w:t xml:space="preserve">o o sistema Amapá para a Anglo American. A partir desta transação, foi </w:t>
      </w:r>
      <w:r>
        <w:rPr>
          <w:spacing w:val="5"/>
        </w:rPr>
        <w:t xml:space="preserve">instituída </w:t>
      </w:r>
      <w:r>
        <w:t xml:space="preserve">a </w:t>
      </w:r>
      <w:r>
        <w:rPr>
          <w:spacing w:val="5"/>
        </w:rPr>
        <w:t xml:space="preserve">empresa </w:t>
      </w:r>
      <w:r>
        <w:rPr>
          <w:spacing w:val="3"/>
        </w:rPr>
        <w:t xml:space="preserve">Iron </w:t>
      </w:r>
      <w:r>
        <w:t xml:space="preserve">X </w:t>
      </w:r>
      <w:r>
        <w:rPr>
          <w:spacing w:val="5"/>
        </w:rPr>
        <w:t xml:space="preserve">(OCMAL, 2009), atualmente </w:t>
      </w:r>
      <w:r>
        <w:t xml:space="preserve">chamada de Anglo Ferrous Brazil (REUTERS, 2008). Sobre a </w:t>
      </w:r>
      <w:r>
        <w:rPr>
          <w:spacing w:val="1"/>
        </w:rPr>
        <w:t xml:space="preserve">produção </w:t>
      </w:r>
      <w:r>
        <w:t xml:space="preserve">de </w:t>
      </w:r>
      <w:r>
        <w:rPr>
          <w:spacing w:val="1"/>
        </w:rPr>
        <w:t xml:space="preserve">ferro gusa </w:t>
      </w:r>
      <w:r>
        <w:t xml:space="preserve">e </w:t>
      </w:r>
      <w:r>
        <w:rPr>
          <w:spacing w:val="1"/>
        </w:rPr>
        <w:t xml:space="preserve">aço, </w:t>
      </w:r>
      <w:r>
        <w:t xml:space="preserve">a </w:t>
      </w:r>
      <w:r>
        <w:rPr>
          <w:spacing w:val="1"/>
        </w:rPr>
        <w:t xml:space="preserve">Iron </w:t>
      </w:r>
      <w:r>
        <w:t xml:space="preserve">X </w:t>
      </w:r>
      <w:r>
        <w:rPr>
          <w:spacing w:val="1"/>
        </w:rPr>
        <w:t xml:space="preserve">afirmou </w:t>
      </w:r>
      <w:r>
        <w:t xml:space="preserve">que </w:t>
      </w:r>
      <w:r>
        <w:rPr>
          <w:spacing w:val="2"/>
        </w:rPr>
        <w:t xml:space="preserve">usaria </w:t>
      </w:r>
      <w:r>
        <w:rPr>
          <w:spacing w:val="1"/>
        </w:rPr>
        <w:t xml:space="preserve">carvão mineral para </w:t>
      </w:r>
      <w:r>
        <w:t xml:space="preserve">sua </w:t>
      </w:r>
      <w:r>
        <w:rPr>
          <w:spacing w:val="1"/>
        </w:rPr>
        <w:t xml:space="preserve">produção, </w:t>
      </w:r>
      <w:r>
        <w:t xml:space="preserve">e que </w:t>
      </w:r>
      <w:r>
        <w:rPr>
          <w:spacing w:val="1"/>
        </w:rPr>
        <w:t xml:space="preserve">parte </w:t>
      </w:r>
      <w:r>
        <w:t xml:space="preserve">da </w:t>
      </w:r>
      <w:r>
        <w:rPr>
          <w:spacing w:val="2"/>
        </w:rPr>
        <w:t xml:space="preserve">energia </w:t>
      </w:r>
      <w:r>
        <w:rPr>
          <w:spacing w:val="1"/>
        </w:rPr>
        <w:t xml:space="preserve">seria fornecida pela </w:t>
      </w:r>
      <w:r>
        <w:t xml:space="preserve">MPX </w:t>
      </w:r>
      <w:r>
        <w:rPr>
          <w:spacing w:val="1"/>
        </w:rPr>
        <w:t xml:space="preserve">[outra empresa </w:t>
      </w:r>
      <w:r>
        <w:t xml:space="preserve">da </w:t>
      </w:r>
      <w:r>
        <w:rPr>
          <w:spacing w:val="1"/>
        </w:rPr>
        <w:t xml:space="preserve">holding </w:t>
      </w:r>
      <w:r>
        <w:rPr>
          <w:spacing w:val="2"/>
        </w:rPr>
        <w:t xml:space="preserve">EBX]. </w:t>
      </w:r>
      <w:r>
        <w:rPr>
          <w:spacing w:val="6"/>
        </w:rPr>
        <w:t xml:space="preserve">Para </w:t>
      </w:r>
      <w:r>
        <w:rPr>
          <w:spacing w:val="7"/>
        </w:rPr>
        <w:t xml:space="preserve">isso, iniciou </w:t>
      </w:r>
      <w:r>
        <w:rPr>
          <w:spacing w:val="5"/>
        </w:rPr>
        <w:t xml:space="preserve">as </w:t>
      </w:r>
      <w:r>
        <w:rPr>
          <w:spacing w:val="8"/>
        </w:rPr>
        <w:t xml:space="preserve">construções </w:t>
      </w:r>
      <w:r>
        <w:rPr>
          <w:spacing w:val="5"/>
        </w:rPr>
        <w:t xml:space="preserve">da </w:t>
      </w:r>
      <w:r>
        <w:rPr>
          <w:spacing w:val="7"/>
        </w:rPr>
        <w:t xml:space="preserve">Pequena </w:t>
      </w:r>
      <w:r>
        <w:rPr>
          <w:spacing w:val="10"/>
        </w:rPr>
        <w:t xml:space="preserve">Central </w:t>
      </w:r>
      <w:r>
        <w:t xml:space="preserve">Hidrelétrica no rio Amapari e da usina termelétrica da Serra  </w:t>
      </w:r>
      <w:r>
        <w:rPr>
          <w:spacing w:val="2"/>
        </w:rPr>
        <w:t xml:space="preserve">do </w:t>
      </w:r>
      <w:r>
        <w:rPr>
          <w:spacing w:val="5"/>
        </w:rPr>
        <w:t xml:space="preserve">Navio. </w:t>
      </w:r>
      <w:r>
        <w:t xml:space="preserve">A </w:t>
      </w:r>
      <w:r>
        <w:rPr>
          <w:spacing w:val="5"/>
        </w:rPr>
        <w:t xml:space="preserve">questão </w:t>
      </w:r>
      <w:r>
        <w:rPr>
          <w:spacing w:val="2"/>
        </w:rPr>
        <w:t xml:space="preserve">da </w:t>
      </w:r>
      <w:r>
        <w:rPr>
          <w:spacing w:val="5"/>
        </w:rPr>
        <w:t>prod</w:t>
      </w:r>
      <w:r>
        <w:rPr>
          <w:spacing w:val="5"/>
        </w:rPr>
        <w:t xml:space="preserve">ução </w:t>
      </w:r>
      <w:r>
        <w:t xml:space="preserve">e </w:t>
      </w:r>
      <w:r>
        <w:rPr>
          <w:spacing w:val="5"/>
        </w:rPr>
        <w:t xml:space="preserve">comercialização </w:t>
      </w:r>
      <w:r>
        <w:rPr>
          <w:spacing w:val="6"/>
        </w:rPr>
        <w:t xml:space="preserve">da </w:t>
      </w:r>
      <w:r>
        <w:t xml:space="preserve">energia foi motivo para intervenção da Agência Nacional de Energia Elétrica (Aneel), contrária à negociação de compra e </w:t>
      </w:r>
      <w:r>
        <w:rPr>
          <w:spacing w:val="3"/>
        </w:rPr>
        <w:t xml:space="preserve">venda </w:t>
      </w:r>
      <w:r>
        <w:rPr>
          <w:spacing w:val="2"/>
        </w:rPr>
        <w:t xml:space="preserve">pela MPX, que </w:t>
      </w:r>
      <w:r>
        <w:rPr>
          <w:spacing w:val="3"/>
        </w:rPr>
        <w:t xml:space="preserve">geraria </w:t>
      </w:r>
      <w:r>
        <w:rPr>
          <w:spacing w:val="1"/>
        </w:rPr>
        <w:t xml:space="preserve">um </w:t>
      </w:r>
      <w:r>
        <w:rPr>
          <w:spacing w:val="3"/>
        </w:rPr>
        <w:t xml:space="preserve">prejuízo </w:t>
      </w:r>
      <w:r>
        <w:rPr>
          <w:spacing w:val="1"/>
        </w:rPr>
        <w:t xml:space="preserve">de </w:t>
      </w:r>
      <w:r>
        <w:rPr>
          <w:spacing w:val="3"/>
        </w:rPr>
        <w:t xml:space="preserve">milhões </w:t>
      </w:r>
      <w:r>
        <w:rPr>
          <w:spacing w:val="5"/>
        </w:rPr>
        <w:t xml:space="preserve">aos </w:t>
      </w:r>
      <w:r>
        <w:rPr>
          <w:spacing w:val="3"/>
        </w:rPr>
        <w:t xml:space="preserve">consumidores </w:t>
      </w:r>
      <w:r>
        <w:rPr>
          <w:spacing w:val="1"/>
        </w:rPr>
        <w:t xml:space="preserve">do </w:t>
      </w:r>
      <w:r>
        <w:rPr>
          <w:spacing w:val="3"/>
        </w:rPr>
        <w:t>sistema (OCMAL,</w:t>
      </w:r>
      <w:r>
        <w:rPr>
          <w:spacing w:val="33"/>
        </w:rPr>
        <w:t xml:space="preserve"> </w:t>
      </w:r>
      <w:r>
        <w:rPr>
          <w:spacing w:val="5"/>
        </w:rPr>
        <w:t>2009).</w:t>
      </w:r>
    </w:p>
    <w:p w:rsidR="00D81F69" w:rsidRDefault="00330118">
      <w:pPr>
        <w:pStyle w:val="Corpodetexto"/>
        <w:spacing w:before="143" w:line="312" w:lineRule="auto"/>
        <w:ind w:right="61"/>
      </w:pPr>
      <w:r>
        <w:t>No que diz respe</w:t>
      </w:r>
      <w:r>
        <w:t>ito aos impactos ambientais em Pedra Branca do Amapari, apesar de a região estar submetida a</w:t>
      </w:r>
    </w:p>
    <w:p w:rsidR="00D81F69" w:rsidRDefault="00330118">
      <w:pPr>
        <w:pStyle w:val="Corpodetexto"/>
        <w:spacing w:before="81" w:line="312" w:lineRule="auto"/>
        <w:ind w:right="232"/>
      </w:pPr>
      <w:r>
        <w:br w:type="column"/>
      </w:r>
      <w:r>
        <w:rPr>
          <w:spacing w:val="1"/>
        </w:rPr>
        <w:lastRenderedPageBreak/>
        <w:t xml:space="preserve">processos </w:t>
      </w:r>
      <w:r>
        <w:t xml:space="preserve">de </w:t>
      </w:r>
      <w:r>
        <w:rPr>
          <w:spacing w:val="1"/>
        </w:rPr>
        <w:t xml:space="preserve">atividades antrópicas </w:t>
      </w:r>
      <w:r>
        <w:t xml:space="preserve">há </w:t>
      </w:r>
      <w:r>
        <w:rPr>
          <w:spacing w:val="1"/>
        </w:rPr>
        <w:t xml:space="preserve">mais </w:t>
      </w:r>
      <w:r>
        <w:t xml:space="preserve">de um </w:t>
      </w:r>
      <w:r>
        <w:rPr>
          <w:spacing w:val="2"/>
        </w:rPr>
        <w:t xml:space="preserve">século, </w:t>
      </w:r>
      <w:r>
        <w:t>somente na última década, com a implantação dos projetos  de Assentamentos do Incra e das minerações de o</w:t>
      </w:r>
      <w:r>
        <w:t>uro e ferro, é que os processos impactantes de natureza diversificada se intensificaram (GONÇALVES,</w:t>
      </w:r>
      <w:r>
        <w:rPr>
          <w:spacing w:val="12"/>
        </w:rPr>
        <w:t xml:space="preserve"> </w:t>
      </w:r>
      <w:r>
        <w:t>2009).</w:t>
      </w:r>
    </w:p>
    <w:p w:rsidR="00D81F69" w:rsidRDefault="00330118">
      <w:pPr>
        <w:pStyle w:val="Corpodetexto"/>
        <w:spacing w:before="134" w:line="312" w:lineRule="auto"/>
        <w:ind w:right="227"/>
      </w:pPr>
      <w:r>
        <w:t>Tanto o ouro quanto o ferro são lavrados na região por métodos tradicionais a céu aberto (superficial), o mesmo acontecendo com a atividade informal,</w:t>
      </w:r>
      <w:r>
        <w:t xml:space="preserve"> a garimpagem. Nas atividades a céu aberto, tem-se um maior aproveitamento da substância mineral, porém é neste tipo de lavra que acontecem os maiores riscos de impactos ambientais, produzindo maior quantidade de estéril, poeira em suspensão, vibrações e r</w:t>
      </w:r>
      <w:r>
        <w:t>iscos de poluição das águas (GONÇALVES, 2009).</w:t>
      </w:r>
    </w:p>
    <w:p w:rsidR="00D81F69" w:rsidRDefault="00330118">
      <w:pPr>
        <w:pStyle w:val="Corpodetexto"/>
        <w:spacing w:before="139" w:line="312" w:lineRule="auto"/>
        <w:ind w:right="233"/>
      </w:pPr>
      <w:r>
        <w:rPr>
          <w:spacing w:val="2"/>
        </w:rPr>
        <w:t xml:space="preserve">Além </w:t>
      </w:r>
      <w:r>
        <w:rPr>
          <w:spacing w:val="3"/>
        </w:rPr>
        <w:t xml:space="preserve">disso, </w:t>
      </w:r>
      <w:r>
        <w:rPr>
          <w:spacing w:val="2"/>
        </w:rPr>
        <w:t xml:space="preserve">com </w:t>
      </w:r>
      <w:r>
        <w:t xml:space="preserve">a </w:t>
      </w:r>
      <w:r>
        <w:rPr>
          <w:spacing w:val="3"/>
        </w:rPr>
        <w:t xml:space="preserve">implantação </w:t>
      </w:r>
      <w:r>
        <w:rPr>
          <w:spacing w:val="2"/>
        </w:rPr>
        <w:t xml:space="preserve">dos dois </w:t>
      </w:r>
      <w:r>
        <w:rPr>
          <w:spacing w:val="3"/>
        </w:rPr>
        <w:t xml:space="preserve">grandes </w:t>
      </w:r>
      <w:r>
        <w:rPr>
          <w:spacing w:val="5"/>
        </w:rPr>
        <w:t xml:space="preserve">projetos </w:t>
      </w:r>
      <w:r>
        <w:t xml:space="preserve">minerais de ouro e ferro, o desmatamento que antes estava </w:t>
      </w:r>
      <w:r>
        <w:rPr>
          <w:spacing w:val="3"/>
        </w:rPr>
        <w:t xml:space="preserve">restrito </w:t>
      </w:r>
      <w:r>
        <w:rPr>
          <w:spacing w:val="1"/>
        </w:rPr>
        <w:t xml:space="preserve">às </w:t>
      </w:r>
      <w:r>
        <w:rPr>
          <w:spacing w:val="3"/>
        </w:rPr>
        <w:t xml:space="preserve">pequenas lavouras </w:t>
      </w:r>
      <w:r>
        <w:t xml:space="preserve">e </w:t>
      </w:r>
      <w:r>
        <w:rPr>
          <w:spacing w:val="3"/>
        </w:rPr>
        <w:t xml:space="preserve">garimpos, voltou </w:t>
      </w:r>
      <w:r>
        <w:t xml:space="preserve">a </w:t>
      </w:r>
      <w:r>
        <w:rPr>
          <w:spacing w:val="5"/>
        </w:rPr>
        <w:t xml:space="preserve">tomar </w:t>
      </w:r>
      <w:r>
        <w:t xml:space="preserve">maiores proporções. Para sua implantação, foi necessária a </w:t>
      </w:r>
      <w:r>
        <w:rPr>
          <w:spacing w:val="1"/>
        </w:rPr>
        <w:t xml:space="preserve">abertura </w:t>
      </w:r>
      <w:r>
        <w:t xml:space="preserve">de </w:t>
      </w:r>
      <w:r>
        <w:rPr>
          <w:spacing w:val="1"/>
        </w:rPr>
        <w:t xml:space="preserve">novas estradas, </w:t>
      </w:r>
      <w:r>
        <w:t xml:space="preserve">a </w:t>
      </w:r>
      <w:r>
        <w:rPr>
          <w:spacing w:val="1"/>
        </w:rPr>
        <w:t xml:space="preserve">maior </w:t>
      </w:r>
      <w:r>
        <w:t xml:space="preserve">e </w:t>
      </w:r>
      <w:r>
        <w:rPr>
          <w:spacing w:val="1"/>
        </w:rPr>
        <w:t xml:space="preserve">mais recente </w:t>
      </w:r>
      <w:r>
        <w:rPr>
          <w:spacing w:val="2"/>
        </w:rPr>
        <w:t xml:space="preserve">delas, </w:t>
      </w:r>
      <w:r>
        <w:t>ligando o município de Pedra Branca do Amapari até o local da planta de lavra e beneficiamento do minério de ferro da Anglo Ferrous Brazil.</w:t>
      </w:r>
      <w:r>
        <w:t xml:space="preserve"> Anteriormente, o acesso à área só era </w:t>
      </w:r>
      <w:r>
        <w:rPr>
          <w:spacing w:val="1"/>
        </w:rPr>
        <w:t xml:space="preserve">possível pela sede </w:t>
      </w:r>
      <w:r>
        <w:t xml:space="preserve">do </w:t>
      </w:r>
      <w:r>
        <w:rPr>
          <w:spacing w:val="1"/>
        </w:rPr>
        <w:t xml:space="preserve">município vizinho </w:t>
      </w:r>
      <w:r>
        <w:t xml:space="preserve">de </w:t>
      </w:r>
      <w:r>
        <w:rPr>
          <w:spacing w:val="1"/>
        </w:rPr>
        <w:t xml:space="preserve">Serra </w:t>
      </w:r>
      <w:r>
        <w:t xml:space="preserve">do </w:t>
      </w:r>
      <w:r>
        <w:rPr>
          <w:spacing w:val="2"/>
        </w:rPr>
        <w:t xml:space="preserve">Navio </w:t>
      </w:r>
      <w:r>
        <w:rPr>
          <w:spacing w:val="1"/>
        </w:rPr>
        <w:t>(GONÇALVES,</w:t>
      </w:r>
      <w:r>
        <w:rPr>
          <w:spacing w:val="17"/>
        </w:rPr>
        <w:t xml:space="preserve"> </w:t>
      </w:r>
      <w:r>
        <w:rPr>
          <w:spacing w:val="2"/>
        </w:rPr>
        <w:t>2009).</w:t>
      </w:r>
    </w:p>
    <w:p w:rsidR="00D81F69" w:rsidRDefault="00330118">
      <w:pPr>
        <w:pStyle w:val="Corpodetexto"/>
        <w:spacing w:before="139" w:line="312" w:lineRule="auto"/>
        <w:ind w:right="248"/>
      </w:pPr>
      <w:r>
        <w:t>Nos trabalhos em campo, realizados em abril de 2007, para sua tese de mestrado em Biodiversidade Tropical pela Universidade Federal do Amapá, Paulo Cesar da Silva Gonçalves constatou o assoreamento de rios e córregos e turbidez nas águas do igarapé do Will</w:t>
      </w:r>
      <w:r>
        <w:t xml:space="preserve">iam que corta a área dos projetos de mineração da MPBA (ouro) e da Anglo Ferrous Brazil (ferro), carreando em suas águas grande quantidade de material argiloso em suspensão, depositando- os nas margens e no leito do igarapé ao desembocar no rio Amapari, o </w:t>
      </w:r>
      <w:r>
        <w:t>principal da região (GONÇALVES, 2009).</w:t>
      </w:r>
    </w:p>
    <w:p w:rsidR="00D81F69" w:rsidRDefault="00330118">
      <w:pPr>
        <w:pStyle w:val="Corpodetexto"/>
        <w:spacing w:before="139" w:line="312" w:lineRule="auto"/>
        <w:ind w:right="235"/>
      </w:pPr>
      <w:r>
        <w:t xml:space="preserve">De acordo com o pesquisador, há mais de um século, a garimpagem vem sendo realizada na região, e por serem ainda rudimentares as técnicas utilizadas com o emprego do </w:t>
      </w:r>
      <w:hyperlink r:id="rId84">
        <w:r>
          <w:t xml:space="preserve">mercúrio </w:t>
        </w:r>
      </w:hyperlink>
      <w:r>
        <w:t>para a produção do ouro, rios, como o Amapari e seus afluentes, devem possuir níveis de contaminação em suas águas, informações estas que carecem de um estudo mais específico. Segundo o pesquisador, é eviden</w:t>
      </w:r>
      <w:r>
        <w:t>te, no entanto, a decadência econômica dos garimpos provocada pela pressão exercida pelos órgãos ambientais, pela escassez do minério, ou até mesmo pela presença das mineradoras em procedimento de lavra ou mesmo pesquisa, que vêm negociando as áreas (GONÇA</w:t>
      </w:r>
      <w:r>
        <w:t>LVES, 2009).</w:t>
      </w:r>
    </w:p>
    <w:p w:rsidR="00D81F69" w:rsidRDefault="00330118">
      <w:pPr>
        <w:pStyle w:val="Corpodetexto"/>
        <w:spacing w:before="141" w:line="312" w:lineRule="auto"/>
        <w:ind w:right="250"/>
      </w:pPr>
      <w:r>
        <w:t>Quanto aos impactos sociais em Pedra Branca do Amapari, o crescimento acelerado da população causou o aumento da criminalidade, do consumo e tráfico de drogas, bem como da prostituição. Sem contar com o aumento no número de casos de Doenças Se</w:t>
      </w:r>
      <w:r>
        <w:t xml:space="preserve">xualmente Transmissíveis (DST) / Síndrome </w:t>
      </w:r>
      <w:r>
        <w:rPr>
          <w:spacing w:val="2"/>
        </w:rPr>
        <w:t xml:space="preserve">da </w:t>
      </w:r>
      <w:r>
        <w:rPr>
          <w:spacing w:val="5"/>
        </w:rPr>
        <w:t xml:space="preserve">Imunodeficiência Adquirida (AIDS) </w:t>
      </w:r>
      <w:r>
        <w:t xml:space="preserve">e </w:t>
      </w:r>
      <w:r>
        <w:rPr>
          <w:spacing w:val="2"/>
        </w:rPr>
        <w:t xml:space="preserve">de </w:t>
      </w:r>
      <w:r>
        <w:rPr>
          <w:spacing w:val="5"/>
        </w:rPr>
        <w:t xml:space="preserve">adolescentes </w:t>
      </w:r>
      <w:r>
        <w:rPr>
          <w:spacing w:val="3"/>
        </w:rPr>
        <w:t xml:space="preserve">grávidas. </w:t>
      </w:r>
      <w:r>
        <w:t xml:space="preserve">A </w:t>
      </w:r>
      <w:r>
        <w:rPr>
          <w:spacing w:val="3"/>
        </w:rPr>
        <w:t xml:space="preserve">concentração populacional </w:t>
      </w:r>
      <w:r>
        <w:rPr>
          <w:spacing w:val="2"/>
        </w:rPr>
        <w:t xml:space="preserve">tem </w:t>
      </w:r>
      <w:r>
        <w:rPr>
          <w:spacing w:val="1"/>
        </w:rPr>
        <w:t xml:space="preserve">se </w:t>
      </w:r>
      <w:r>
        <w:rPr>
          <w:spacing w:val="2"/>
        </w:rPr>
        <w:t xml:space="preserve">dado </w:t>
      </w:r>
      <w:r>
        <w:rPr>
          <w:spacing w:val="5"/>
        </w:rPr>
        <w:t xml:space="preserve">com </w:t>
      </w:r>
      <w:r>
        <w:t>maior</w:t>
      </w:r>
      <w:r>
        <w:rPr>
          <w:spacing w:val="32"/>
        </w:rPr>
        <w:t xml:space="preserve"> </w:t>
      </w:r>
      <w:r>
        <w:t>frequência</w:t>
      </w:r>
      <w:r>
        <w:rPr>
          <w:spacing w:val="32"/>
        </w:rPr>
        <w:t xml:space="preserve"> </w:t>
      </w:r>
      <w:r>
        <w:t>no</w:t>
      </w:r>
      <w:r>
        <w:rPr>
          <w:spacing w:val="32"/>
        </w:rPr>
        <w:t xml:space="preserve"> </w:t>
      </w:r>
      <w:r>
        <w:t>perímetro</w:t>
      </w:r>
      <w:r>
        <w:rPr>
          <w:spacing w:val="32"/>
        </w:rPr>
        <w:t xml:space="preserve"> </w:t>
      </w:r>
      <w:r>
        <w:t>urbano</w:t>
      </w:r>
      <w:r>
        <w:rPr>
          <w:spacing w:val="32"/>
        </w:rPr>
        <w:t xml:space="preserve"> </w:t>
      </w:r>
      <w:r>
        <w:t>do</w:t>
      </w:r>
      <w:r>
        <w:rPr>
          <w:spacing w:val="32"/>
        </w:rPr>
        <w:t xml:space="preserve"> </w:t>
      </w:r>
      <w:r>
        <w:t>município,</w:t>
      </w:r>
      <w:r>
        <w:rPr>
          <w:spacing w:val="32"/>
        </w:rPr>
        <w:t xml:space="preserve"> </w:t>
      </w:r>
      <w:r>
        <w:t>porém</w:t>
      </w:r>
    </w:p>
    <w:p w:rsidR="00D81F69" w:rsidRDefault="00D81F69">
      <w:pPr>
        <w:spacing w:line="312" w:lineRule="auto"/>
        <w:sectPr w:rsidR="00D81F69">
          <w:pgSz w:w="11900" w:h="16840"/>
          <w:pgMar w:top="740" w:right="460" w:bottom="720" w:left="620" w:header="0" w:footer="412" w:gutter="0"/>
          <w:cols w:num="2" w:space="720" w:equalWidth="0">
            <w:col w:w="5163" w:space="307"/>
            <w:col w:w="5350"/>
          </w:cols>
        </w:sectPr>
      </w:pPr>
    </w:p>
    <w:p w:rsidR="00D81F69" w:rsidRDefault="00330118">
      <w:pPr>
        <w:pStyle w:val="Corpodetexto"/>
        <w:spacing w:before="81" w:line="312" w:lineRule="auto"/>
        <w:ind w:right="38"/>
      </w:pPr>
      <w:r>
        <w:lastRenderedPageBreak/>
        <w:t xml:space="preserve">reflexos também já </w:t>
      </w:r>
      <w:r>
        <w:t>se fazem notar no entorno da BR 210 (Perimetral Norte), dentro das terras indígenas Waiãpi (GONÇALVES, 2009).</w:t>
      </w:r>
    </w:p>
    <w:p w:rsidR="00D81F69" w:rsidRDefault="00330118">
      <w:pPr>
        <w:pStyle w:val="Corpodetexto"/>
        <w:spacing w:before="133" w:line="312" w:lineRule="auto"/>
        <w:ind w:right="38"/>
      </w:pPr>
      <w:r>
        <w:t>Com o crescimento da população, os problemas de coleta e disposição do lixo também aumentaram, pois o município não possuía aterro sanitário. O li</w:t>
      </w:r>
      <w:r>
        <w:t>xo urbano começou a ser depositado em lixão a céu aberto, enquanto o lixo hospitalar era encaminhado para Serra do Navio para ser incinerado. O problema se estendeu até meados de 2009, quando, por força</w:t>
      </w:r>
    </w:p>
    <w:p w:rsidR="00D81F69" w:rsidRDefault="00330118">
      <w:pPr>
        <w:pStyle w:val="Heading7"/>
        <w:spacing w:before="92"/>
        <w:jc w:val="left"/>
      </w:pPr>
      <w:r>
        <w:br w:type="column"/>
      </w:r>
      <w:r>
        <w:lastRenderedPageBreak/>
        <w:t>REDATORES</w:t>
      </w:r>
    </w:p>
    <w:p w:rsidR="00D81F69" w:rsidRDefault="00330118">
      <w:pPr>
        <w:pStyle w:val="Corpodetexto"/>
        <w:spacing w:before="179"/>
        <w:jc w:val="left"/>
      </w:pPr>
      <w:r>
        <w:t>Renata Olivieri; Eliane Araujo</w:t>
      </w:r>
    </w:p>
    <w:p w:rsidR="00D81F69" w:rsidRDefault="00D81F69">
      <w:pPr>
        <w:pStyle w:val="Corpodetexto"/>
        <w:ind w:left="0"/>
        <w:jc w:val="left"/>
        <w:rPr>
          <w:sz w:val="20"/>
        </w:rPr>
      </w:pPr>
    </w:p>
    <w:p w:rsidR="00D81F69" w:rsidRDefault="00330118">
      <w:pPr>
        <w:pStyle w:val="Heading7"/>
        <w:spacing w:before="164"/>
        <w:jc w:val="left"/>
      </w:pPr>
      <w:r>
        <w:t>REFERÊNCIA</w:t>
      </w:r>
      <w:r>
        <w:t>S BIBLIOGRÁFICAS</w:t>
      </w:r>
    </w:p>
    <w:p w:rsidR="00D81F69" w:rsidRDefault="00330118">
      <w:pPr>
        <w:tabs>
          <w:tab w:val="left" w:pos="2559"/>
          <w:tab w:val="left" w:pos="5063"/>
        </w:tabs>
        <w:spacing w:before="188" w:line="312" w:lineRule="auto"/>
        <w:ind w:left="100" w:right="240"/>
        <w:jc w:val="both"/>
        <w:rPr>
          <w:sz w:val="16"/>
        </w:rPr>
      </w:pPr>
      <w:r>
        <w:rPr>
          <w:spacing w:val="5"/>
          <w:sz w:val="16"/>
        </w:rPr>
        <w:t xml:space="preserve">BRASIL MINERAL. Inaugurada </w:t>
      </w:r>
      <w:r>
        <w:rPr>
          <w:sz w:val="16"/>
        </w:rPr>
        <w:t xml:space="preserve">a </w:t>
      </w:r>
      <w:r>
        <w:rPr>
          <w:spacing w:val="5"/>
          <w:sz w:val="16"/>
        </w:rPr>
        <w:t xml:space="preserve">Mineração Pedra Branca </w:t>
      </w:r>
      <w:r>
        <w:rPr>
          <w:spacing w:val="6"/>
          <w:sz w:val="16"/>
        </w:rPr>
        <w:t xml:space="preserve">do </w:t>
      </w:r>
      <w:r>
        <w:rPr>
          <w:sz w:val="16"/>
        </w:rPr>
        <w:t>Amapari. In: Brasil Mineral OnLine, n°230, 04 nov. 2005. Disponível   e</w:t>
      </w:r>
      <w:r>
        <w:rPr>
          <w:sz w:val="16"/>
        </w:rPr>
        <w:tab/>
        <w:t>m</w:t>
      </w:r>
      <w:r>
        <w:rPr>
          <w:sz w:val="16"/>
        </w:rPr>
        <w:tab/>
        <w:t>:</w:t>
      </w:r>
    </w:p>
    <w:p w:rsidR="00D81F69" w:rsidRDefault="00D81F69">
      <w:pPr>
        <w:spacing w:before="2"/>
        <w:ind w:left="100"/>
        <w:rPr>
          <w:sz w:val="16"/>
        </w:rPr>
      </w:pPr>
      <w:hyperlink r:id="rId85">
        <w:r w:rsidR="00330118">
          <w:rPr>
            <w:sz w:val="16"/>
          </w:rPr>
          <w:t>&lt;http://www.brasilmineral</w:t>
        </w:r>
        <w:r w:rsidR="00330118">
          <w:rPr>
            <w:sz w:val="16"/>
          </w:rPr>
          <w:t>.com.br/BM/default.asp?COD=1977&amp;busca=</w:t>
        </w:r>
      </w:hyperlink>
    </w:p>
    <w:p w:rsidR="00D81F69" w:rsidRDefault="00330118">
      <w:pPr>
        <w:spacing w:before="56" w:line="167" w:lineRule="exact"/>
        <w:ind w:left="100"/>
        <w:rPr>
          <w:sz w:val="16"/>
        </w:rPr>
      </w:pPr>
      <w:r>
        <w:rPr>
          <w:sz w:val="16"/>
        </w:rPr>
        <w:t>&amp;numero=230&gt;. Acesso em: 05 nov. 2010.</w:t>
      </w:r>
    </w:p>
    <w:p w:rsidR="00D81F69" w:rsidRDefault="00D81F69">
      <w:pPr>
        <w:spacing w:line="167" w:lineRule="exact"/>
        <w:rPr>
          <w:sz w:val="16"/>
        </w:rPr>
        <w:sectPr w:rsidR="00D81F69">
          <w:pgSz w:w="11900" w:h="16840"/>
          <w:pgMar w:top="740" w:right="460" w:bottom="620" w:left="620" w:header="0" w:footer="412" w:gutter="0"/>
          <w:cols w:num="2" w:space="720" w:equalWidth="0">
            <w:col w:w="5141" w:space="329"/>
            <w:col w:w="5350"/>
          </w:cols>
        </w:sectPr>
      </w:pPr>
    </w:p>
    <w:p w:rsidR="00D81F69" w:rsidRDefault="00330118">
      <w:pPr>
        <w:tabs>
          <w:tab w:val="left" w:pos="5569"/>
          <w:tab w:val="left" w:pos="6108"/>
        </w:tabs>
        <w:spacing w:line="257" w:lineRule="exact"/>
        <w:ind w:left="100"/>
        <w:rPr>
          <w:sz w:val="16"/>
        </w:rPr>
      </w:pPr>
      <w:r>
        <w:rPr>
          <w:spacing w:val="1"/>
          <w:position w:val="6"/>
          <w:sz w:val="18"/>
        </w:rPr>
        <w:lastRenderedPageBreak/>
        <w:t xml:space="preserve">de  um  </w:t>
      </w:r>
      <w:r>
        <w:rPr>
          <w:spacing w:val="3"/>
          <w:position w:val="6"/>
          <w:sz w:val="18"/>
        </w:rPr>
        <w:t xml:space="preserve">Termo </w:t>
      </w:r>
      <w:r>
        <w:rPr>
          <w:spacing w:val="1"/>
          <w:position w:val="6"/>
          <w:sz w:val="18"/>
        </w:rPr>
        <w:t xml:space="preserve">de  </w:t>
      </w:r>
      <w:r>
        <w:rPr>
          <w:spacing w:val="3"/>
          <w:position w:val="6"/>
          <w:sz w:val="18"/>
        </w:rPr>
        <w:t xml:space="preserve">Ajustamento </w:t>
      </w:r>
      <w:r>
        <w:rPr>
          <w:spacing w:val="1"/>
          <w:position w:val="6"/>
          <w:sz w:val="18"/>
        </w:rPr>
        <w:t xml:space="preserve">de  </w:t>
      </w:r>
      <w:r>
        <w:rPr>
          <w:spacing w:val="3"/>
          <w:position w:val="6"/>
          <w:sz w:val="18"/>
        </w:rPr>
        <w:t>Conduta (TAC),</w:t>
      </w:r>
      <w:r>
        <w:rPr>
          <w:spacing w:val="-27"/>
          <w:position w:val="6"/>
          <w:sz w:val="18"/>
        </w:rPr>
        <w:t xml:space="preserve"> </w:t>
      </w:r>
      <w:r>
        <w:rPr>
          <w:position w:val="6"/>
          <w:sz w:val="18"/>
        </w:rPr>
        <w:t>a</w:t>
      </w:r>
      <w:r>
        <w:rPr>
          <w:spacing w:val="25"/>
          <w:position w:val="6"/>
          <w:sz w:val="18"/>
        </w:rPr>
        <w:t xml:space="preserve"> </w:t>
      </w:r>
      <w:r>
        <w:rPr>
          <w:spacing w:val="3"/>
          <w:position w:val="6"/>
          <w:sz w:val="18"/>
        </w:rPr>
        <w:t>Anglo</w:t>
      </w:r>
      <w:r>
        <w:rPr>
          <w:spacing w:val="3"/>
          <w:position w:val="6"/>
          <w:sz w:val="18"/>
        </w:rPr>
        <w:tab/>
      </w:r>
      <w:r>
        <w:rPr>
          <w:spacing w:val="3"/>
          <w:position w:val="6"/>
          <w:sz w:val="18"/>
          <w:u w:val="single"/>
        </w:rPr>
        <w:t xml:space="preserve"> </w:t>
      </w:r>
      <w:r>
        <w:rPr>
          <w:spacing w:val="3"/>
          <w:position w:val="6"/>
          <w:sz w:val="18"/>
          <w:u w:val="single"/>
        </w:rPr>
        <w:tab/>
      </w:r>
      <w:r>
        <w:rPr>
          <w:sz w:val="16"/>
        </w:rPr>
        <w:t>. Minério de Ferro: MPF quer que MMX pague indenização</w:t>
      </w:r>
      <w:r>
        <w:rPr>
          <w:spacing w:val="28"/>
          <w:sz w:val="16"/>
        </w:rPr>
        <w:t xml:space="preserve"> </w:t>
      </w:r>
      <w:r>
        <w:rPr>
          <w:sz w:val="16"/>
        </w:rPr>
        <w:t>de</w:t>
      </w:r>
    </w:p>
    <w:p w:rsidR="00D81F69" w:rsidRDefault="00D81F69">
      <w:pPr>
        <w:spacing w:line="257" w:lineRule="exact"/>
        <w:rPr>
          <w:sz w:val="16"/>
        </w:rPr>
        <w:sectPr w:rsidR="00D81F69">
          <w:type w:val="continuous"/>
          <w:pgSz w:w="11900" w:h="16840"/>
          <w:pgMar w:top="720" w:right="460" w:bottom="280" w:left="620" w:header="720" w:footer="720" w:gutter="0"/>
          <w:cols w:space="720"/>
        </w:sectPr>
      </w:pPr>
    </w:p>
    <w:p w:rsidR="00D81F69" w:rsidRDefault="00330118">
      <w:pPr>
        <w:pStyle w:val="Corpodetexto"/>
        <w:spacing w:before="7" w:line="312" w:lineRule="auto"/>
        <w:ind w:right="38"/>
      </w:pPr>
      <w:r>
        <w:rPr>
          <w:spacing w:val="7"/>
        </w:rPr>
        <w:lastRenderedPageBreak/>
        <w:t xml:space="preserve">Ferrous Brazil </w:t>
      </w:r>
      <w:r>
        <w:rPr>
          <w:spacing w:val="5"/>
        </w:rPr>
        <w:t xml:space="preserve">se </w:t>
      </w:r>
      <w:r>
        <w:rPr>
          <w:spacing w:val="8"/>
        </w:rPr>
        <w:t xml:space="preserve">comprometeu, </w:t>
      </w:r>
      <w:r>
        <w:rPr>
          <w:spacing w:val="5"/>
        </w:rPr>
        <w:t xml:space="preserve">no </w:t>
      </w:r>
      <w:r>
        <w:rPr>
          <w:spacing w:val="8"/>
        </w:rPr>
        <w:t xml:space="preserve">Ministério </w:t>
      </w:r>
      <w:r>
        <w:rPr>
          <w:spacing w:val="10"/>
        </w:rPr>
        <w:t xml:space="preserve">Público </w:t>
      </w:r>
      <w:r>
        <w:rPr>
          <w:spacing w:val="7"/>
        </w:rPr>
        <w:t xml:space="preserve">Estadual, </w:t>
      </w:r>
      <w:r>
        <w:t xml:space="preserve">a </w:t>
      </w:r>
      <w:r>
        <w:rPr>
          <w:spacing w:val="7"/>
        </w:rPr>
        <w:t xml:space="preserve">investir </w:t>
      </w:r>
      <w:r>
        <w:rPr>
          <w:spacing w:val="5"/>
        </w:rPr>
        <w:t xml:space="preserve">na </w:t>
      </w:r>
      <w:r>
        <w:rPr>
          <w:spacing w:val="7"/>
        </w:rPr>
        <w:t xml:space="preserve">criação </w:t>
      </w:r>
      <w:r>
        <w:rPr>
          <w:spacing w:val="5"/>
        </w:rPr>
        <w:t xml:space="preserve">de um </w:t>
      </w:r>
      <w:r>
        <w:rPr>
          <w:spacing w:val="7"/>
        </w:rPr>
        <w:t xml:space="preserve">aterro </w:t>
      </w:r>
      <w:r>
        <w:rPr>
          <w:spacing w:val="10"/>
        </w:rPr>
        <w:t xml:space="preserve">sanitário </w:t>
      </w:r>
      <w:r>
        <w:rPr>
          <w:spacing w:val="5"/>
        </w:rPr>
        <w:t xml:space="preserve">controlado. </w:t>
      </w:r>
      <w:r>
        <w:rPr>
          <w:spacing w:val="2"/>
        </w:rPr>
        <w:t xml:space="preserve">Em 15 de </w:t>
      </w:r>
      <w:r>
        <w:rPr>
          <w:spacing w:val="5"/>
        </w:rPr>
        <w:t xml:space="preserve">agosto </w:t>
      </w:r>
      <w:r>
        <w:rPr>
          <w:spacing w:val="2"/>
        </w:rPr>
        <w:t xml:space="preserve">de </w:t>
      </w:r>
      <w:r>
        <w:rPr>
          <w:spacing w:val="5"/>
        </w:rPr>
        <w:t xml:space="preserve">2009, </w:t>
      </w:r>
      <w:r>
        <w:rPr>
          <w:spacing w:val="3"/>
        </w:rPr>
        <w:t xml:space="preserve">foi </w:t>
      </w:r>
      <w:r>
        <w:rPr>
          <w:spacing w:val="5"/>
        </w:rPr>
        <w:t xml:space="preserve">inaugurada </w:t>
      </w:r>
      <w:r>
        <w:t>a Central de Tratamento de Resíduos Sólidos do município de Pedra Branca do Amapari. Segundo informações dos ag</w:t>
      </w:r>
      <w:r>
        <w:t xml:space="preserve">entes públicos municipais, as mineradoras vêm realizando </w:t>
      </w:r>
      <w:r>
        <w:rPr>
          <w:spacing w:val="1"/>
        </w:rPr>
        <w:t xml:space="preserve">outros </w:t>
      </w:r>
      <w:r>
        <w:rPr>
          <w:spacing w:val="6"/>
        </w:rPr>
        <w:t xml:space="preserve">projetos voltados </w:t>
      </w:r>
      <w:r>
        <w:rPr>
          <w:spacing w:val="3"/>
        </w:rPr>
        <w:t xml:space="preserve">ao </w:t>
      </w:r>
      <w:r>
        <w:rPr>
          <w:spacing w:val="5"/>
        </w:rPr>
        <w:t xml:space="preserve">meio </w:t>
      </w:r>
      <w:r>
        <w:rPr>
          <w:spacing w:val="6"/>
        </w:rPr>
        <w:t xml:space="preserve">ambiente, </w:t>
      </w:r>
      <w:r>
        <w:rPr>
          <w:spacing w:val="5"/>
        </w:rPr>
        <w:t xml:space="preserve">mas </w:t>
      </w:r>
      <w:r>
        <w:t xml:space="preserve">a </w:t>
      </w:r>
      <w:r>
        <w:rPr>
          <w:spacing w:val="5"/>
        </w:rPr>
        <w:t xml:space="preserve">maioria </w:t>
      </w:r>
      <w:r>
        <w:rPr>
          <w:spacing w:val="7"/>
        </w:rPr>
        <w:t xml:space="preserve">se </w:t>
      </w:r>
      <w:r>
        <w:rPr>
          <w:spacing w:val="10"/>
        </w:rPr>
        <w:t xml:space="preserve">desenvolve somente através </w:t>
      </w:r>
      <w:r>
        <w:rPr>
          <w:spacing w:val="5"/>
        </w:rPr>
        <w:t xml:space="preserve">de </w:t>
      </w:r>
      <w:r>
        <w:rPr>
          <w:spacing w:val="10"/>
        </w:rPr>
        <w:t xml:space="preserve">palestras, cursos </w:t>
      </w:r>
      <w:r>
        <w:t xml:space="preserve">e </w:t>
      </w:r>
      <w:r>
        <w:rPr>
          <w:spacing w:val="10"/>
        </w:rPr>
        <w:t xml:space="preserve">campanhas </w:t>
      </w:r>
      <w:r>
        <w:rPr>
          <w:spacing w:val="8"/>
        </w:rPr>
        <w:t xml:space="preserve">para </w:t>
      </w:r>
      <w:r>
        <w:t xml:space="preserve">a </w:t>
      </w:r>
      <w:r>
        <w:rPr>
          <w:spacing w:val="10"/>
        </w:rPr>
        <w:t>sociedade (GONÇALVES,</w:t>
      </w:r>
      <w:r>
        <w:rPr>
          <w:spacing w:val="61"/>
        </w:rPr>
        <w:t xml:space="preserve"> </w:t>
      </w:r>
      <w:r>
        <w:rPr>
          <w:spacing w:val="12"/>
        </w:rPr>
        <w:t>2009).</w:t>
      </w:r>
    </w:p>
    <w:p w:rsidR="00D81F69" w:rsidRDefault="00330118">
      <w:pPr>
        <w:pStyle w:val="Corpodetexto"/>
        <w:spacing w:before="138" w:line="312" w:lineRule="auto"/>
        <w:ind w:right="42"/>
      </w:pPr>
      <w:r>
        <w:t>Sendo assim, em 2009, a Promotoria de Justi</w:t>
      </w:r>
      <w:r>
        <w:t xml:space="preserve">ça da Comarca de Serra do Navio ingressou com Ação Civil Pública contra as mineradoras MPBA e Anglo Ferrous Brazil, além do estado do Amapá e do Instituto do Meio Ambiente e de Ordenamento </w:t>
      </w:r>
      <w:r>
        <w:rPr>
          <w:spacing w:val="3"/>
        </w:rPr>
        <w:t xml:space="preserve">Territorial </w:t>
      </w:r>
      <w:r>
        <w:rPr>
          <w:spacing w:val="1"/>
        </w:rPr>
        <w:t xml:space="preserve">do </w:t>
      </w:r>
      <w:r>
        <w:rPr>
          <w:spacing w:val="3"/>
        </w:rPr>
        <w:t xml:space="preserve">Estado </w:t>
      </w:r>
      <w:r>
        <w:rPr>
          <w:spacing w:val="1"/>
        </w:rPr>
        <w:t xml:space="preserve">do </w:t>
      </w:r>
      <w:r>
        <w:rPr>
          <w:spacing w:val="3"/>
        </w:rPr>
        <w:t xml:space="preserve">Amapá (IMAP) (estes últimos </w:t>
      </w:r>
      <w:r>
        <w:rPr>
          <w:spacing w:val="5"/>
        </w:rPr>
        <w:t xml:space="preserve">por </w:t>
      </w:r>
      <w:r>
        <w:t xml:space="preserve">omissão na vigilância das atividades minerárias), em razão </w:t>
      </w:r>
      <w:r>
        <w:rPr>
          <w:spacing w:val="5"/>
        </w:rPr>
        <w:t xml:space="preserve">dos </w:t>
      </w:r>
      <w:r>
        <w:rPr>
          <w:spacing w:val="7"/>
        </w:rPr>
        <w:t xml:space="preserve">danos </w:t>
      </w:r>
      <w:r>
        <w:rPr>
          <w:spacing w:val="8"/>
        </w:rPr>
        <w:t xml:space="preserve">ambientais </w:t>
      </w:r>
      <w:r>
        <w:rPr>
          <w:spacing w:val="7"/>
        </w:rPr>
        <w:t xml:space="preserve">causados </w:t>
      </w:r>
      <w:r>
        <w:rPr>
          <w:spacing w:val="5"/>
        </w:rPr>
        <w:t xml:space="preserve">aos </w:t>
      </w:r>
      <w:r>
        <w:rPr>
          <w:spacing w:val="7"/>
        </w:rPr>
        <w:t xml:space="preserve">igarapés </w:t>
      </w:r>
      <w:r>
        <w:rPr>
          <w:spacing w:val="10"/>
        </w:rPr>
        <w:t xml:space="preserve">William, </w:t>
      </w:r>
      <w:r>
        <w:rPr>
          <w:spacing w:val="1"/>
        </w:rPr>
        <w:t xml:space="preserve">Taboca, Sentinela, Mário Cruz, Jornal </w:t>
      </w:r>
      <w:r>
        <w:t xml:space="preserve">e do </w:t>
      </w:r>
      <w:r>
        <w:rPr>
          <w:spacing w:val="1"/>
        </w:rPr>
        <w:t xml:space="preserve">córrego </w:t>
      </w:r>
      <w:r>
        <w:rPr>
          <w:spacing w:val="2"/>
        </w:rPr>
        <w:t xml:space="preserve">Braço, que </w:t>
      </w:r>
      <w:r>
        <w:rPr>
          <w:spacing w:val="1"/>
        </w:rPr>
        <w:t xml:space="preserve">se </w:t>
      </w:r>
      <w:r>
        <w:rPr>
          <w:spacing w:val="3"/>
        </w:rPr>
        <w:t xml:space="preserve">estendem pelas áreas </w:t>
      </w:r>
      <w:r>
        <w:rPr>
          <w:spacing w:val="1"/>
        </w:rPr>
        <w:t xml:space="preserve">de </w:t>
      </w:r>
      <w:r>
        <w:rPr>
          <w:spacing w:val="3"/>
        </w:rPr>
        <w:t xml:space="preserve">extração </w:t>
      </w:r>
      <w:r>
        <w:rPr>
          <w:spacing w:val="1"/>
        </w:rPr>
        <w:t xml:space="preserve">de </w:t>
      </w:r>
      <w:r>
        <w:rPr>
          <w:spacing w:val="2"/>
        </w:rPr>
        <w:t xml:space="preserve">ouro </w:t>
      </w:r>
      <w:r>
        <w:t xml:space="preserve">e </w:t>
      </w:r>
      <w:r>
        <w:rPr>
          <w:spacing w:val="5"/>
        </w:rPr>
        <w:t xml:space="preserve">ferro </w:t>
      </w:r>
      <w:r>
        <w:rPr>
          <w:spacing w:val="3"/>
        </w:rPr>
        <w:t>(CAVALCANTE,</w:t>
      </w:r>
      <w:r>
        <w:rPr>
          <w:spacing w:val="22"/>
        </w:rPr>
        <w:t xml:space="preserve"> </w:t>
      </w:r>
      <w:r>
        <w:rPr>
          <w:spacing w:val="5"/>
        </w:rPr>
        <w:t>2009).</w:t>
      </w:r>
    </w:p>
    <w:p w:rsidR="00D81F69" w:rsidRDefault="00330118">
      <w:pPr>
        <w:pStyle w:val="Corpodetexto"/>
        <w:spacing w:before="139" w:line="312" w:lineRule="auto"/>
        <w:ind w:right="45"/>
      </w:pPr>
      <w:r>
        <w:t>Apesar de o</w:t>
      </w:r>
      <w:r>
        <w:t xml:space="preserve"> IMAP ter multado as empresas em R$ 1 milhão, esse valor foi considerado insignificante pela promotoria, tendo em vista a extensão dos danos ao meio ambiente e aos ribeirinhos. Além da reparação dos danos ambientais, o Ministério Público busca na justiça, </w:t>
      </w:r>
      <w:r>
        <w:t>em favor das famílias de ribeirinhos, uma indenização pelos danos materiais e morais (CAVALCANTE, 2009).</w:t>
      </w:r>
    </w:p>
    <w:p w:rsidR="00D81F69" w:rsidRDefault="00330118">
      <w:pPr>
        <w:pStyle w:val="Corpodetexto"/>
        <w:spacing w:before="137" w:line="312" w:lineRule="auto"/>
        <w:ind w:right="61"/>
      </w:pPr>
      <w:r>
        <w:t xml:space="preserve">A promotoria requereu várias medidas liminares, dentre elas a </w:t>
      </w:r>
      <w:r>
        <w:rPr>
          <w:spacing w:val="8"/>
        </w:rPr>
        <w:t xml:space="preserve">realização </w:t>
      </w:r>
      <w:r>
        <w:rPr>
          <w:spacing w:val="5"/>
        </w:rPr>
        <w:t xml:space="preserve">de </w:t>
      </w:r>
      <w:r>
        <w:rPr>
          <w:spacing w:val="7"/>
        </w:rPr>
        <w:t xml:space="preserve">auditoria ambiental </w:t>
      </w:r>
      <w:r>
        <w:t xml:space="preserve">e a </w:t>
      </w:r>
      <w:r>
        <w:rPr>
          <w:spacing w:val="8"/>
        </w:rPr>
        <w:t xml:space="preserve">paralisação </w:t>
      </w:r>
      <w:r>
        <w:rPr>
          <w:spacing w:val="10"/>
        </w:rPr>
        <w:t xml:space="preserve">das </w:t>
      </w:r>
      <w:r>
        <w:rPr>
          <w:spacing w:val="1"/>
        </w:rPr>
        <w:t xml:space="preserve">atividades </w:t>
      </w:r>
      <w:r>
        <w:t xml:space="preserve">de </w:t>
      </w:r>
      <w:r>
        <w:rPr>
          <w:spacing w:val="1"/>
        </w:rPr>
        <w:t xml:space="preserve">movimentação </w:t>
      </w:r>
      <w:r>
        <w:t xml:space="preserve">de </w:t>
      </w:r>
      <w:r>
        <w:rPr>
          <w:spacing w:val="1"/>
        </w:rPr>
        <w:t>terra</w:t>
      </w:r>
      <w:r>
        <w:rPr>
          <w:spacing w:val="1"/>
        </w:rPr>
        <w:t xml:space="preserve"> numa faixa </w:t>
      </w:r>
      <w:r>
        <w:t>de 200 m das margens dos igarapés. Além disso, proibiram a demissão de empregados enquanto as mineradoras não se adaptarem  à legislação ambiental (CAVALCANTE,</w:t>
      </w:r>
      <w:r>
        <w:rPr>
          <w:spacing w:val="46"/>
        </w:rPr>
        <w:t xml:space="preserve"> </w:t>
      </w:r>
      <w:r>
        <w:t>2009).</w:t>
      </w:r>
    </w:p>
    <w:p w:rsidR="00D81F69" w:rsidRDefault="00D81F69">
      <w:pPr>
        <w:pStyle w:val="Corpodetexto"/>
        <w:spacing w:before="5"/>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50"/>
      </w:pPr>
      <w:r>
        <w:t>O minério de ferro é extraído no município de Pedra B</w:t>
      </w:r>
      <w:r>
        <w:t>ranca, próximo ao rio Amapari, entre as latitudes 0°47’17”N – 0°51’28”N e longitudes 51°48’12”W – 51°53’21”W, na bacia do rio Araguari (que deságua na região costeira do norte oriental). O transporte desse minério é feito por uma ferrovia que liga os munic</w:t>
      </w:r>
      <w:r>
        <w:t>ípios de Serra do Navio e Santana, onde se localiza um embarcadouro denominado Porto de Santana, na latitude 0°3’43”S e longitude 51°11’28”W, situado na bacia do rio Amazonas.</w:t>
      </w:r>
    </w:p>
    <w:p w:rsidR="00D81F69" w:rsidRDefault="00330118">
      <w:pPr>
        <w:tabs>
          <w:tab w:val="left" w:pos="4331"/>
        </w:tabs>
        <w:spacing w:before="56" w:line="312" w:lineRule="auto"/>
        <w:ind w:left="100" w:right="234"/>
        <w:jc w:val="both"/>
        <w:rPr>
          <w:sz w:val="16"/>
        </w:rPr>
      </w:pPr>
      <w:r>
        <w:br w:type="column"/>
      </w:r>
      <w:r>
        <w:rPr>
          <w:spacing w:val="2"/>
          <w:sz w:val="16"/>
        </w:rPr>
        <w:lastRenderedPageBreak/>
        <w:t xml:space="preserve">US$ </w:t>
      </w:r>
      <w:r>
        <w:rPr>
          <w:spacing w:val="1"/>
          <w:sz w:val="16"/>
        </w:rPr>
        <w:t xml:space="preserve">35  </w:t>
      </w:r>
      <w:r>
        <w:rPr>
          <w:spacing w:val="3"/>
          <w:sz w:val="16"/>
        </w:rPr>
        <w:t xml:space="preserve">milhões. </w:t>
      </w:r>
      <w:r>
        <w:rPr>
          <w:spacing w:val="2"/>
          <w:sz w:val="16"/>
        </w:rPr>
        <w:t xml:space="preserve">In: </w:t>
      </w:r>
      <w:r>
        <w:rPr>
          <w:spacing w:val="3"/>
          <w:sz w:val="16"/>
        </w:rPr>
        <w:t xml:space="preserve">Brasil Mineral OnLine, n°325, </w:t>
      </w:r>
      <w:r>
        <w:rPr>
          <w:spacing w:val="1"/>
          <w:sz w:val="16"/>
        </w:rPr>
        <w:t xml:space="preserve">24  </w:t>
      </w:r>
      <w:r>
        <w:rPr>
          <w:spacing w:val="2"/>
          <w:sz w:val="16"/>
        </w:rPr>
        <w:t xml:space="preserve">out. </w:t>
      </w:r>
      <w:r>
        <w:rPr>
          <w:spacing w:val="5"/>
          <w:sz w:val="16"/>
        </w:rPr>
        <w:t xml:space="preserve">2007.  </w:t>
      </w:r>
      <w:r>
        <w:rPr>
          <w:sz w:val="16"/>
        </w:rPr>
        <w:t xml:space="preserve">D      i    </w:t>
      </w:r>
      <w:r>
        <w:rPr>
          <w:sz w:val="16"/>
        </w:rPr>
        <w:t xml:space="preserve">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1" w:line="312" w:lineRule="auto"/>
        <w:ind w:left="100" w:right="256"/>
        <w:jc w:val="both"/>
        <w:rPr>
          <w:sz w:val="16"/>
        </w:rPr>
      </w:pPr>
      <w:hyperlink r:id="rId86">
        <w:r w:rsidR="00330118">
          <w:rPr>
            <w:sz w:val="16"/>
          </w:rPr>
          <w:t>&lt;http://www.brasilmineral.com.br/BM/default.asp?COD=3258&amp;busca=</w:t>
        </w:r>
      </w:hyperlink>
      <w:r w:rsidR="00330118">
        <w:rPr>
          <w:sz w:val="16"/>
        </w:rPr>
        <w:t xml:space="preserve"> &amp;numero=325&gt;. Acesso em: 05 nov. 2010.</w:t>
      </w:r>
    </w:p>
    <w:p w:rsidR="00D81F69" w:rsidRDefault="00330118">
      <w:pPr>
        <w:spacing w:before="2" w:line="312" w:lineRule="auto"/>
        <w:ind w:left="100" w:right="229"/>
        <w:jc w:val="both"/>
        <w:rPr>
          <w:sz w:val="16"/>
        </w:rPr>
      </w:pPr>
      <w:r>
        <w:rPr>
          <w:sz w:val="16"/>
        </w:rPr>
        <w:t>______. Minério de Ferro: Anglo Ferrous Brazil nasce grande. In: Brasil Mineral OnLine, n°364, 13 ago. 2008. Disponível em:</w:t>
      </w:r>
    </w:p>
    <w:p w:rsidR="00D81F69" w:rsidRDefault="00D81F69">
      <w:pPr>
        <w:spacing w:before="2" w:line="312" w:lineRule="auto"/>
        <w:ind w:left="100" w:right="232"/>
        <w:jc w:val="both"/>
        <w:rPr>
          <w:sz w:val="16"/>
        </w:rPr>
      </w:pPr>
      <w:hyperlink r:id="rId87">
        <w:r w:rsidR="00330118">
          <w:rPr>
            <w:sz w:val="16"/>
          </w:rPr>
          <w:t>&lt;http://www.brasilmineral.com.br/BM/default.asp?numero=36</w:t>
        </w:r>
        <w:r w:rsidR="00330118">
          <w:rPr>
            <w:sz w:val="16"/>
          </w:rPr>
          <w:t>4&gt;.</w:t>
        </w:r>
      </w:hyperlink>
      <w:r w:rsidR="00330118">
        <w:rPr>
          <w:sz w:val="16"/>
        </w:rPr>
        <w:t xml:space="preserve"> Acesso em: 05 nov. 2010.</w:t>
      </w:r>
    </w:p>
    <w:p w:rsidR="00D81F69" w:rsidRDefault="00330118">
      <w:pPr>
        <w:spacing w:before="1" w:line="312" w:lineRule="auto"/>
        <w:ind w:left="100" w:right="247"/>
        <w:jc w:val="both"/>
        <w:rPr>
          <w:sz w:val="16"/>
        </w:rPr>
      </w:pPr>
      <w:r>
        <w:rPr>
          <w:sz w:val="16"/>
        </w:rPr>
        <w:t xml:space="preserve">CAVALCANTE, Alcinéa. Ministério Público move ação contra MPBA e Anglo Ferrous, 22 mai. 2009. Disponível em: </w:t>
      </w:r>
      <w:hyperlink r:id="rId88">
        <w:r>
          <w:rPr>
            <w:sz w:val="16"/>
          </w:rPr>
          <w:t>&lt;http://alcinea-</w:t>
        </w:r>
      </w:hyperlink>
      <w:r>
        <w:rPr>
          <w:sz w:val="16"/>
        </w:rPr>
        <w:t xml:space="preserve"> cavalcante.blogspot.com/2009/05/ministerio-publico-move-acao- contra</w:t>
      </w:r>
      <w:r>
        <w:rPr>
          <w:sz w:val="16"/>
        </w:rPr>
        <w:t>.html&gt;. Acesso em: 05 nov. 2010.</w:t>
      </w:r>
    </w:p>
    <w:p w:rsidR="00D81F69" w:rsidRDefault="00330118">
      <w:pPr>
        <w:spacing w:before="4" w:line="312" w:lineRule="auto"/>
        <w:ind w:left="100" w:right="229"/>
        <w:jc w:val="both"/>
        <w:rPr>
          <w:sz w:val="16"/>
        </w:rPr>
      </w:pPr>
      <w:r>
        <w:rPr>
          <w:sz w:val="16"/>
        </w:rPr>
        <w:t xml:space="preserve">CHAGAS, Marco Antonio; OLIVEIRA, Marcelo. Sustentabilidade e Mineração: Uma Análise dos Relatórios de Sustentabilidade da Mineração Pedra Branca do Amapari, no estado do Amapá, Seminário Internacional Amazônia e Fronteiras </w:t>
      </w:r>
      <w:r>
        <w:rPr>
          <w:sz w:val="16"/>
        </w:rPr>
        <w:t>do Conhecimento, 9 a</w:t>
      </w:r>
    </w:p>
    <w:p w:rsidR="00D81F69" w:rsidRDefault="00330118">
      <w:pPr>
        <w:spacing w:before="3"/>
        <w:ind w:left="100"/>
        <w:jc w:val="both"/>
        <w:rPr>
          <w:sz w:val="16"/>
        </w:rPr>
      </w:pPr>
      <w:r>
        <w:rPr>
          <w:spacing w:val="17"/>
          <w:sz w:val="16"/>
        </w:rPr>
        <w:t xml:space="preserve">11    </w:t>
      </w:r>
      <w:r>
        <w:rPr>
          <w:spacing w:val="26"/>
          <w:sz w:val="16"/>
        </w:rPr>
        <w:t xml:space="preserve">dez.   </w:t>
      </w:r>
      <w:r>
        <w:rPr>
          <w:spacing w:val="27"/>
          <w:sz w:val="16"/>
        </w:rPr>
        <w:t xml:space="preserve">2008,   Belém   (PA).   </w:t>
      </w:r>
      <w:r>
        <w:rPr>
          <w:spacing w:val="31"/>
          <w:sz w:val="16"/>
        </w:rPr>
        <w:t xml:space="preserve">Disponível </w:t>
      </w:r>
      <w:r>
        <w:rPr>
          <w:spacing w:val="85"/>
          <w:sz w:val="16"/>
        </w:rPr>
        <w:t xml:space="preserve"> </w:t>
      </w:r>
      <w:r>
        <w:rPr>
          <w:spacing w:val="23"/>
          <w:sz w:val="16"/>
        </w:rPr>
        <w:t>em:</w:t>
      </w:r>
      <w:r>
        <w:rPr>
          <w:spacing w:val="-7"/>
          <w:sz w:val="16"/>
        </w:rPr>
        <w:t xml:space="preserve"> </w:t>
      </w:r>
    </w:p>
    <w:p w:rsidR="00D81F69" w:rsidRDefault="00D81F69">
      <w:pPr>
        <w:spacing w:before="56" w:line="312" w:lineRule="auto"/>
        <w:ind w:left="100" w:right="234"/>
        <w:jc w:val="both"/>
        <w:rPr>
          <w:sz w:val="16"/>
        </w:rPr>
      </w:pPr>
      <w:hyperlink r:id="rId89">
        <w:r w:rsidR="00330118">
          <w:rPr>
            <w:sz w:val="16"/>
          </w:rPr>
          <w:t>&lt;http://ecotumucumaque.com/artigos/Sustentab%5B1%5D...pdf&gt;.</w:t>
        </w:r>
      </w:hyperlink>
      <w:r w:rsidR="00330118">
        <w:rPr>
          <w:sz w:val="16"/>
        </w:rPr>
        <w:t xml:space="preserve"> Acesso em: 05 nov. 2010.</w:t>
      </w:r>
    </w:p>
    <w:p w:rsidR="00D81F69" w:rsidRDefault="00330118">
      <w:pPr>
        <w:spacing w:before="1" w:line="312" w:lineRule="auto"/>
        <w:ind w:left="100" w:right="231"/>
        <w:jc w:val="both"/>
        <w:rPr>
          <w:sz w:val="16"/>
        </w:rPr>
      </w:pPr>
      <w:r>
        <w:rPr>
          <w:sz w:val="16"/>
        </w:rPr>
        <w:t>CHAGAS, Marco Antonio;</w:t>
      </w:r>
      <w:r>
        <w:rPr>
          <w:sz w:val="16"/>
        </w:rPr>
        <w:t xml:space="preserve"> CUNHA, Alan; CHELALA, Charles. EIAs como Instrumento de Fortalecimento da Gestão Ambiental na Amazônia, Seminário Internacional Amazônia e Fronteiras do Conhecimento, 9 a 11 dez. 2008, Belém (PA). Disponível em:</w:t>
      </w:r>
    </w:p>
    <w:p w:rsidR="00D81F69" w:rsidRDefault="00D81F69">
      <w:pPr>
        <w:spacing w:before="4"/>
        <w:ind w:left="100"/>
        <w:jc w:val="both"/>
        <w:rPr>
          <w:sz w:val="16"/>
        </w:rPr>
      </w:pPr>
      <w:hyperlink r:id="rId90">
        <w:r w:rsidR="00330118">
          <w:rPr>
            <w:sz w:val="16"/>
          </w:rPr>
          <w:t>&lt;http://ecotumucumaque.com/artigos/EIAs%20como%5B1%5D...pdf&gt;</w:t>
        </w:r>
      </w:hyperlink>
    </w:p>
    <w:p w:rsidR="00D81F69" w:rsidRDefault="00330118">
      <w:pPr>
        <w:spacing w:before="56"/>
        <w:ind w:left="100"/>
        <w:jc w:val="both"/>
        <w:rPr>
          <w:sz w:val="16"/>
        </w:rPr>
      </w:pPr>
      <w:r>
        <w:rPr>
          <w:sz w:val="16"/>
        </w:rPr>
        <w:t>. Acesso em: 06 nov. 2010.</w:t>
      </w:r>
    </w:p>
    <w:p w:rsidR="00D81F69" w:rsidRDefault="00330118">
      <w:pPr>
        <w:spacing w:before="56" w:line="312" w:lineRule="auto"/>
        <w:ind w:left="100" w:right="208"/>
        <w:jc w:val="both"/>
        <w:rPr>
          <w:sz w:val="16"/>
        </w:rPr>
      </w:pPr>
      <w:r>
        <w:rPr>
          <w:sz w:val="16"/>
        </w:rPr>
        <w:t xml:space="preserve">GONÇALVES, Paulo César da Silva. Diagnóstico geoambiental do </w:t>
      </w:r>
      <w:r>
        <w:rPr>
          <w:spacing w:val="6"/>
          <w:sz w:val="16"/>
        </w:rPr>
        <w:t xml:space="preserve">município </w:t>
      </w:r>
      <w:r>
        <w:rPr>
          <w:spacing w:val="3"/>
          <w:sz w:val="16"/>
        </w:rPr>
        <w:t xml:space="preserve">de </w:t>
      </w:r>
      <w:r>
        <w:rPr>
          <w:spacing w:val="5"/>
          <w:sz w:val="16"/>
        </w:rPr>
        <w:t xml:space="preserve">Pedra Branca </w:t>
      </w:r>
      <w:r>
        <w:rPr>
          <w:spacing w:val="3"/>
          <w:sz w:val="16"/>
        </w:rPr>
        <w:t xml:space="preserve">do </w:t>
      </w:r>
      <w:r>
        <w:rPr>
          <w:spacing w:val="6"/>
          <w:sz w:val="16"/>
        </w:rPr>
        <w:t xml:space="preserve">Amapari, </w:t>
      </w:r>
      <w:r>
        <w:rPr>
          <w:spacing w:val="5"/>
          <w:sz w:val="16"/>
        </w:rPr>
        <w:t xml:space="preserve">Amapá, 2009. </w:t>
      </w:r>
      <w:r>
        <w:rPr>
          <w:spacing w:val="7"/>
          <w:sz w:val="16"/>
        </w:rPr>
        <w:t xml:space="preserve">115f. </w:t>
      </w:r>
      <w:r>
        <w:rPr>
          <w:spacing w:val="3"/>
          <w:sz w:val="16"/>
        </w:rPr>
        <w:t>Dissertação (Mest</w:t>
      </w:r>
      <w:r>
        <w:rPr>
          <w:spacing w:val="3"/>
          <w:sz w:val="16"/>
        </w:rPr>
        <w:t xml:space="preserve">rado </w:t>
      </w:r>
      <w:r>
        <w:rPr>
          <w:spacing w:val="1"/>
          <w:sz w:val="16"/>
        </w:rPr>
        <w:t xml:space="preserve">em </w:t>
      </w:r>
      <w:r>
        <w:rPr>
          <w:spacing w:val="3"/>
          <w:sz w:val="16"/>
        </w:rPr>
        <w:t xml:space="preserve">Biodiversidade Tropical) </w:t>
      </w:r>
      <w:r>
        <w:rPr>
          <w:sz w:val="16"/>
        </w:rPr>
        <w:t xml:space="preserve">- </w:t>
      </w:r>
      <w:r>
        <w:rPr>
          <w:spacing w:val="5"/>
          <w:sz w:val="16"/>
        </w:rPr>
        <w:t xml:space="preserve">Fundação </w:t>
      </w:r>
      <w:r>
        <w:rPr>
          <w:spacing w:val="22"/>
          <w:sz w:val="16"/>
        </w:rPr>
        <w:t xml:space="preserve">Universidade </w:t>
      </w:r>
      <w:r>
        <w:rPr>
          <w:spacing w:val="21"/>
          <w:sz w:val="16"/>
        </w:rPr>
        <w:t xml:space="preserve">Federal </w:t>
      </w:r>
      <w:r>
        <w:rPr>
          <w:spacing w:val="12"/>
          <w:sz w:val="16"/>
        </w:rPr>
        <w:t xml:space="preserve">do </w:t>
      </w:r>
      <w:r>
        <w:rPr>
          <w:spacing w:val="20"/>
          <w:sz w:val="16"/>
        </w:rPr>
        <w:t>Amapá.</w:t>
      </w:r>
      <w:r>
        <w:rPr>
          <w:spacing w:val="85"/>
          <w:sz w:val="16"/>
        </w:rPr>
        <w:t xml:space="preserve"> </w:t>
      </w:r>
      <w:r>
        <w:rPr>
          <w:spacing w:val="22"/>
          <w:sz w:val="16"/>
        </w:rPr>
        <w:t>Disponível</w:t>
      </w:r>
      <w:r>
        <w:rPr>
          <w:spacing w:val="80"/>
          <w:sz w:val="16"/>
        </w:rPr>
        <w:t xml:space="preserve"> </w:t>
      </w:r>
      <w:r>
        <w:rPr>
          <w:spacing w:val="16"/>
          <w:sz w:val="16"/>
        </w:rPr>
        <w:t>em:</w:t>
      </w:r>
      <w:r>
        <w:rPr>
          <w:spacing w:val="-17"/>
          <w:sz w:val="16"/>
        </w:rPr>
        <w:t xml:space="preserve"> </w:t>
      </w:r>
    </w:p>
    <w:p w:rsidR="00D81F69" w:rsidRDefault="00D81F69">
      <w:pPr>
        <w:spacing w:before="3" w:line="312" w:lineRule="auto"/>
        <w:ind w:left="100" w:right="241"/>
        <w:jc w:val="both"/>
        <w:rPr>
          <w:sz w:val="16"/>
        </w:rPr>
      </w:pPr>
      <w:hyperlink r:id="rId91">
        <w:r w:rsidR="00330118">
          <w:rPr>
            <w:sz w:val="16"/>
          </w:rPr>
          <w:t>&lt;http://dominiopublico.qprocura.com.br/dp/109417/Diagnostico-</w:t>
        </w:r>
      </w:hyperlink>
      <w:r w:rsidR="00330118">
        <w:rPr>
          <w:sz w:val="16"/>
        </w:rPr>
        <w:t xml:space="preserve"> geoambiental-do-municipio-de-Pedra-Branca-do-Amapari-- Amapa.html&gt;. Acesso em: 15 jun. 2012. </w:t>
      </w:r>
    </w:p>
    <w:p w:rsidR="00D81F69" w:rsidRDefault="00330118">
      <w:pPr>
        <w:tabs>
          <w:tab w:val="left" w:pos="4331"/>
        </w:tabs>
        <w:spacing w:before="3" w:line="312" w:lineRule="auto"/>
        <w:ind w:left="100" w:right="238"/>
        <w:jc w:val="both"/>
        <w:rPr>
          <w:sz w:val="16"/>
        </w:rPr>
      </w:pPr>
      <w:r>
        <w:rPr>
          <w:sz w:val="16"/>
        </w:rPr>
        <w:t xml:space="preserve">IBGE, Instituto Brasileiro de Geografia e Estatística, 2009a. Santana.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1"/>
        <w:ind w:left="100"/>
        <w:jc w:val="both"/>
        <w:rPr>
          <w:sz w:val="16"/>
        </w:rPr>
      </w:pPr>
      <w:hyperlink r:id="rId92">
        <w:r w:rsidR="00330118">
          <w:rPr>
            <w:sz w:val="16"/>
          </w:rPr>
          <w:t>&lt;http://www.ibge.gov.br/cidadesat/xtras/perfil.php?codmun=160015&amp;r</w:t>
        </w:r>
      </w:hyperlink>
    </w:p>
    <w:p w:rsidR="00D81F69" w:rsidRDefault="00330118">
      <w:pPr>
        <w:spacing w:before="56"/>
        <w:ind w:left="100"/>
        <w:jc w:val="both"/>
        <w:rPr>
          <w:sz w:val="16"/>
        </w:rPr>
      </w:pPr>
      <w:r>
        <w:rPr>
          <w:sz w:val="16"/>
        </w:rPr>
        <w:t>=2&gt;. Acesso em: 06 nov. 2010.</w:t>
      </w:r>
    </w:p>
    <w:p w:rsidR="00D81F69" w:rsidRDefault="00330118">
      <w:pPr>
        <w:spacing w:before="56"/>
        <w:ind w:left="100"/>
        <w:jc w:val="both"/>
        <w:rPr>
          <w:sz w:val="16"/>
        </w:rPr>
      </w:pPr>
      <w:r>
        <w:rPr>
          <w:sz w:val="16"/>
        </w:rPr>
        <w:t>______. 2009b. Pedra Branca do Amapari. Disponível em:</w:t>
      </w:r>
    </w:p>
    <w:p w:rsidR="00D81F69" w:rsidRDefault="00D81F69">
      <w:pPr>
        <w:spacing w:before="56"/>
        <w:ind w:left="100"/>
        <w:jc w:val="both"/>
        <w:rPr>
          <w:sz w:val="16"/>
        </w:rPr>
      </w:pPr>
      <w:hyperlink r:id="rId93">
        <w:r w:rsidR="00330118">
          <w:rPr>
            <w:sz w:val="16"/>
          </w:rPr>
          <w:t>&lt;http://www.ibge.gov.br/cidadesat/xtras/perfil.php?codmun=160015&amp;r</w:t>
        </w:r>
      </w:hyperlink>
    </w:p>
    <w:p w:rsidR="00D81F69" w:rsidRDefault="00330118">
      <w:pPr>
        <w:spacing w:before="56"/>
        <w:ind w:left="100"/>
        <w:jc w:val="both"/>
        <w:rPr>
          <w:sz w:val="16"/>
        </w:rPr>
      </w:pPr>
      <w:r>
        <w:rPr>
          <w:sz w:val="16"/>
        </w:rPr>
        <w:t>=2&gt;. Acesso em: 06 nov. 2010.</w:t>
      </w:r>
    </w:p>
    <w:p w:rsidR="00D81F69" w:rsidRDefault="00330118">
      <w:pPr>
        <w:spacing w:before="56" w:line="312" w:lineRule="auto"/>
        <w:ind w:left="100" w:right="235"/>
        <w:jc w:val="both"/>
        <w:rPr>
          <w:sz w:val="16"/>
        </w:rPr>
      </w:pPr>
      <w:r>
        <w:rPr>
          <w:sz w:val="16"/>
        </w:rPr>
        <w:t>LUNA, Denise. BNDES empresta R$ 580,4 milhões à MMX para projeto no Amapá. In: Estadão.com, 04 set. 2007. Dispon</w:t>
      </w:r>
      <w:r>
        <w:rPr>
          <w:sz w:val="16"/>
        </w:rPr>
        <w:t>ível em:</w:t>
      </w:r>
    </w:p>
    <w:p w:rsidR="00D81F69" w:rsidRDefault="00D81F69">
      <w:pPr>
        <w:spacing w:before="2" w:line="312" w:lineRule="auto"/>
        <w:ind w:left="100" w:right="250"/>
        <w:jc w:val="both"/>
        <w:rPr>
          <w:sz w:val="16"/>
        </w:rPr>
      </w:pPr>
      <w:hyperlink r:id="rId94">
        <w:r w:rsidR="00330118">
          <w:rPr>
            <w:sz w:val="16"/>
          </w:rPr>
          <w:t>&lt;http://www.estadao.com.br/noticias/economia,bndes-empresta-</w:t>
        </w:r>
      </w:hyperlink>
      <w:r w:rsidR="00330118">
        <w:rPr>
          <w:sz w:val="16"/>
        </w:rPr>
        <w:t xml:space="preserve"> r5804-milhoes-a-mmx-para-projeto-no-amapa,46235,0.htm&gt;. Acesso em: 06 nov. 2010.</w:t>
      </w:r>
    </w:p>
    <w:p w:rsidR="00D81F69" w:rsidRDefault="00330118">
      <w:pPr>
        <w:tabs>
          <w:tab w:val="left" w:pos="2559"/>
          <w:tab w:val="left" w:pos="5063"/>
        </w:tabs>
        <w:spacing w:before="2" w:line="312" w:lineRule="auto"/>
        <w:ind w:left="100" w:right="240"/>
        <w:jc w:val="both"/>
        <w:rPr>
          <w:sz w:val="16"/>
        </w:rPr>
      </w:pPr>
      <w:r>
        <w:rPr>
          <w:sz w:val="16"/>
        </w:rPr>
        <w:t>MILANEZ, Bruno. A expansão</w:t>
      </w:r>
      <w:r>
        <w:rPr>
          <w:sz w:val="16"/>
        </w:rPr>
        <w:t xml:space="preserve"> da Siderurgia no Brasil: perspectivas da Justiça Ambiental. Texto em construção com o Grupo Articulação Siderurgia Rede Brasileira de Justiça Ambiental, fev. 2009. Disponível e</w:t>
      </w:r>
      <w:r>
        <w:rPr>
          <w:sz w:val="16"/>
        </w:rPr>
        <w:tab/>
        <w:t>m</w:t>
      </w:r>
      <w:r>
        <w:rPr>
          <w:sz w:val="16"/>
        </w:rPr>
        <w:tab/>
        <w:t>:</w:t>
      </w:r>
    </w:p>
    <w:p w:rsidR="00D81F69" w:rsidRDefault="00D81F69">
      <w:pPr>
        <w:spacing w:before="4" w:line="312" w:lineRule="auto"/>
        <w:ind w:left="100" w:right="237"/>
        <w:jc w:val="both"/>
        <w:rPr>
          <w:sz w:val="16"/>
        </w:rPr>
      </w:pPr>
      <w:hyperlink r:id="rId95">
        <w:r w:rsidR="00330118">
          <w:rPr>
            <w:sz w:val="16"/>
          </w:rPr>
          <w:t>&lt;http://www.riosvivos.org.br/arquivos/site_noticias_251411262.pdf&gt;.</w:t>
        </w:r>
      </w:hyperlink>
      <w:r w:rsidR="00330118">
        <w:rPr>
          <w:sz w:val="16"/>
        </w:rPr>
        <w:t xml:space="preserve"> Acesso em: 05 nov. 2010.</w:t>
      </w:r>
    </w:p>
    <w:p w:rsidR="00D81F69" w:rsidRDefault="00330118">
      <w:pPr>
        <w:spacing w:before="1"/>
        <w:ind w:left="100"/>
        <w:jc w:val="both"/>
        <w:rPr>
          <w:sz w:val="16"/>
        </w:rPr>
      </w:pPr>
      <w:r>
        <w:rPr>
          <w:sz w:val="16"/>
        </w:rPr>
        <w:t>OCMAL, Observatório de Conflictos Mineros de America Latina.</w:t>
      </w:r>
    </w:p>
    <w:p w:rsidR="00D81F69" w:rsidRDefault="00330118">
      <w:pPr>
        <w:spacing w:before="56"/>
        <w:ind w:left="100"/>
        <w:jc w:val="both"/>
        <w:rPr>
          <w:sz w:val="16"/>
        </w:rPr>
      </w:pPr>
      <w:r>
        <w:rPr>
          <w:sz w:val="16"/>
        </w:rPr>
        <w:t>Exploração de  minério de  ferro no  município de  Pedra Branca  do</w:t>
      </w:r>
    </w:p>
    <w:p w:rsidR="00D81F69" w:rsidRDefault="00D81F69">
      <w:pPr>
        <w:jc w:val="both"/>
        <w:rPr>
          <w:sz w:val="16"/>
        </w:rPr>
        <w:sectPr w:rsidR="00D81F69">
          <w:type w:val="continuous"/>
          <w:pgSz w:w="11900" w:h="16840"/>
          <w:pgMar w:top="720" w:right="460" w:bottom="280" w:left="620" w:header="720" w:footer="720" w:gutter="0"/>
          <w:cols w:num="2" w:space="720" w:equalWidth="0">
            <w:col w:w="5165" w:space="305"/>
            <w:col w:w="5350"/>
          </w:cols>
        </w:sectPr>
      </w:pPr>
    </w:p>
    <w:p w:rsidR="00D81F69" w:rsidRDefault="00330118">
      <w:pPr>
        <w:tabs>
          <w:tab w:val="left" w:pos="1164"/>
          <w:tab w:val="left" w:pos="2473"/>
          <w:tab w:val="left" w:pos="4636"/>
        </w:tabs>
        <w:spacing w:before="70" w:line="312" w:lineRule="auto"/>
        <w:ind w:left="100" w:right="38"/>
        <w:jc w:val="both"/>
        <w:rPr>
          <w:sz w:val="16"/>
        </w:rPr>
      </w:pPr>
      <w:r>
        <w:rPr>
          <w:sz w:val="16"/>
        </w:rPr>
        <w:lastRenderedPageBreak/>
        <w:t xml:space="preserve">Amapari, prevendo ainda a produção de ferro gusa e aço, em </w:t>
      </w:r>
      <w:r>
        <w:rPr>
          <w:spacing w:val="1"/>
          <w:sz w:val="16"/>
        </w:rPr>
        <w:t xml:space="preserve">uma </w:t>
      </w:r>
      <w:r>
        <w:rPr>
          <w:sz w:val="16"/>
        </w:rPr>
        <w:t xml:space="preserve">siderúrgica próxima à Vila do Estebão, no município de Santana, 10   s  e </w:t>
      </w:r>
      <w:r>
        <w:rPr>
          <w:spacing w:val="22"/>
          <w:sz w:val="16"/>
        </w:rPr>
        <w:t xml:space="preserve"> </w:t>
      </w:r>
      <w:r>
        <w:rPr>
          <w:sz w:val="16"/>
        </w:rPr>
        <w:t xml:space="preserve">t </w:t>
      </w:r>
      <w:r>
        <w:rPr>
          <w:spacing w:val="10"/>
          <w:sz w:val="16"/>
        </w:rPr>
        <w:t xml:space="preserve"> </w:t>
      </w:r>
      <w:r>
        <w:rPr>
          <w:sz w:val="16"/>
        </w:rPr>
        <w:t>.</w:t>
      </w:r>
      <w:r>
        <w:rPr>
          <w:sz w:val="16"/>
        </w:rPr>
        <w:tab/>
        <w:t xml:space="preserve">2  0  0 </w:t>
      </w:r>
      <w:r>
        <w:rPr>
          <w:spacing w:val="35"/>
          <w:sz w:val="16"/>
        </w:rPr>
        <w:t xml:space="preserve"> </w:t>
      </w:r>
      <w:r>
        <w:rPr>
          <w:sz w:val="16"/>
        </w:rPr>
        <w:t xml:space="preserve">9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 </w:t>
      </w:r>
      <w:hyperlink r:id="rId96">
        <w:r>
          <w:rPr>
            <w:sz w:val="16"/>
          </w:rPr>
          <w:t>http://www.olca.cl/ocmal/ds_conf.php?nota=Conflicto&amp;p_busca=127.</w:t>
        </w:r>
      </w:hyperlink>
      <w:r>
        <w:rPr>
          <w:sz w:val="16"/>
        </w:rPr>
        <w:t xml:space="preserve"> Acesso em: 05 nov.</w:t>
      </w:r>
      <w:r>
        <w:rPr>
          <w:spacing w:val="41"/>
          <w:sz w:val="16"/>
        </w:rPr>
        <w:t xml:space="preserve"> </w:t>
      </w:r>
      <w:r>
        <w:rPr>
          <w:sz w:val="16"/>
        </w:rPr>
        <w:t>2010.</w:t>
      </w:r>
    </w:p>
    <w:p w:rsidR="00D81F69" w:rsidRDefault="00330118">
      <w:pPr>
        <w:tabs>
          <w:tab w:val="left" w:pos="4331"/>
        </w:tabs>
        <w:spacing w:before="4" w:line="312" w:lineRule="auto"/>
        <w:ind w:left="100" w:right="39"/>
        <w:jc w:val="both"/>
        <w:rPr>
          <w:sz w:val="16"/>
        </w:rPr>
      </w:pPr>
      <w:r>
        <w:rPr>
          <w:spacing w:val="3"/>
          <w:sz w:val="16"/>
        </w:rPr>
        <w:t xml:space="preserve">REUTERS. Anglo Ferrous Brazil, ex-IronX, </w:t>
      </w:r>
      <w:r>
        <w:rPr>
          <w:spacing w:val="2"/>
          <w:sz w:val="16"/>
        </w:rPr>
        <w:t xml:space="preserve">tem Eike </w:t>
      </w:r>
      <w:r>
        <w:rPr>
          <w:spacing w:val="3"/>
          <w:sz w:val="16"/>
        </w:rPr>
        <w:t xml:space="preserve">Batista </w:t>
      </w:r>
      <w:r>
        <w:rPr>
          <w:spacing w:val="5"/>
          <w:sz w:val="16"/>
        </w:rPr>
        <w:t xml:space="preserve">na </w:t>
      </w:r>
      <w:r>
        <w:rPr>
          <w:sz w:val="16"/>
        </w:rPr>
        <w:t>presidência do conselh</w:t>
      </w:r>
      <w:r>
        <w:rPr>
          <w:sz w:val="16"/>
        </w:rPr>
        <w:t xml:space="preserve">o de administração. In: O Globo, 12 ago. 2008.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56"/>
        <w:jc w:val="both"/>
        <w:rPr>
          <w:sz w:val="16"/>
        </w:rPr>
      </w:pPr>
      <w:hyperlink r:id="rId97">
        <w:r w:rsidR="00330118">
          <w:rPr>
            <w:sz w:val="16"/>
          </w:rPr>
          <w:t>&lt;http://oglobo.globo.com/economia/mat/2008/08/12/anglo_ferro</w:t>
        </w:r>
        <w:r w:rsidR="00330118">
          <w:rPr>
            <w:sz w:val="16"/>
          </w:rPr>
          <w:t>us_br</w:t>
        </w:r>
      </w:hyperlink>
      <w:r w:rsidR="00330118">
        <w:rPr>
          <w:sz w:val="16"/>
        </w:rPr>
        <w:t xml:space="preserve"> azil_ex-</w:t>
      </w:r>
    </w:p>
    <w:p w:rsidR="00D81F69" w:rsidRDefault="00330118">
      <w:pPr>
        <w:spacing w:before="70" w:line="312" w:lineRule="auto"/>
        <w:ind w:left="100" w:right="256"/>
        <w:jc w:val="both"/>
        <w:rPr>
          <w:sz w:val="16"/>
        </w:rPr>
      </w:pPr>
      <w:r>
        <w:br w:type="column"/>
      </w:r>
      <w:r>
        <w:rPr>
          <w:sz w:val="16"/>
        </w:rPr>
        <w:lastRenderedPageBreak/>
        <w:t>ironx_tem_eike_batista_na_presidencia_do_conselho_de_administrac ao-547707119.asp&gt;. Acesso em: 06 nov. 2010.</w:t>
      </w:r>
    </w:p>
    <w:p w:rsidR="00D81F69" w:rsidRDefault="00330118">
      <w:pPr>
        <w:spacing w:before="1" w:line="312" w:lineRule="auto"/>
        <w:ind w:left="100" w:right="201"/>
        <w:jc w:val="both"/>
        <w:rPr>
          <w:sz w:val="16"/>
        </w:rPr>
      </w:pPr>
      <w:r>
        <w:rPr>
          <w:sz w:val="16"/>
        </w:rPr>
        <w:t xml:space="preserve">SIMÕES, Helena Cristina Guimarães Queiroz. A história e os efeitos </w:t>
      </w:r>
      <w:r>
        <w:rPr>
          <w:spacing w:val="5"/>
          <w:sz w:val="16"/>
        </w:rPr>
        <w:t xml:space="preserve">sociais </w:t>
      </w:r>
      <w:r>
        <w:rPr>
          <w:spacing w:val="3"/>
          <w:sz w:val="16"/>
        </w:rPr>
        <w:t xml:space="preserve">da </w:t>
      </w:r>
      <w:r>
        <w:rPr>
          <w:spacing w:val="6"/>
          <w:sz w:val="16"/>
        </w:rPr>
        <w:t xml:space="preserve">mineração </w:t>
      </w:r>
      <w:r>
        <w:rPr>
          <w:spacing w:val="3"/>
          <w:sz w:val="16"/>
        </w:rPr>
        <w:t xml:space="preserve">no </w:t>
      </w:r>
      <w:r>
        <w:rPr>
          <w:spacing w:val="5"/>
          <w:sz w:val="16"/>
        </w:rPr>
        <w:t xml:space="preserve">estado </w:t>
      </w:r>
      <w:r>
        <w:rPr>
          <w:spacing w:val="3"/>
          <w:sz w:val="16"/>
        </w:rPr>
        <w:t xml:space="preserve">do </w:t>
      </w:r>
      <w:r>
        <w:rPr>
          <w:spacing w:val="5"/>
          <w:sz w:val="16"/>
        </w:rPr>
        <w:t xml:space="preserve">Amapá, PRACS: </w:t>
      </w:r>
      <w:r>
        <w:rPr>
          <w:spacing w:val="7"/>
          <w:sz w:val="16"/>
        </w:rPr>
        <w:t xml:space="preserve">Revista </w:t>
      </w:r>
      <w:r>
        <w:rPr>
          <w:spacing w:val="5"/>
          <w:sz w:val="16"/>
        </w:rPr>
        <w:t>Eletrôni</w:t>
      </w:r>
      <w:r>
        <w:rPr>
          <w:spacing w:val="5"/>
          <w:sz w:val="16"/>
        </w:rPr>
        <w:t xml:space="preserve">ca </w:t>
      </w:r>
      <w:r>
        <w:rPr>
          <w:spacing w:val="2"/>
          <w:sz w:val="16"/>
        </w:rPr>
        <w:t xml:space="preserve">de </w:t>
      </w:r>
      <w:r>
        <w:rPr>
          <w:spacing w:val="5"/>
          <w:sz w:val="16"/>
        </w:rPr>
        <w:t xml:space="preserve">Humanidades </w:t>
      </w:r>
      <w:r>
        <w:rPr>
          <w:spacing w:val="2"/>
          <w:sz w:val="16"/>
        </w:rPr>
        <w:t xml:space="preserve">do </w:t>
      </w:r>
      <w:r>
        <w:rPr>
          <w:spacing w:val="5"/>
          <w:sz w:val="16"/>
        </w:rPr>
        <w:t xml:space="preserve">Curso </w:t>
      </w:r>
      <w:r>
        <w:rPr>
          <w:spacing w:val="2"/>
          <w:sz w:val="16"/>
        </w:rPr>
        <w:t xml:space="preserve">de </w:t>
      </w:r>
      <w:r>
        <w:rPr>
          <w:spacing w:val="5"/>
          <w:sz w:val="16"/>
        </w:rPr>
        <w:t xml:space="preserve">Ciências Sociais </w:t>
      </w:r>
      <w:r>
        <w:rPr>
          <w:spacing w:val="6"/>
          <w:sz w:val="16"/>
        </w:rPr>
        <w:t xml:space="preserve">da </w:t>
      </w:r>
      <w:r>
        <w:rPr>
          <w:spacing w:val="33"/>
          <w:sz w:val="16"/>
        </w:rPr>
        <w:t xml:space="preserve">UNIFAP, </w:t>
      </w:r>
      <w:r>
        <w:rPr>
          <w:spacing w:val="20"/>
          <w:sz w:val="16"/>
        </w:rPr>
        <w:t xml:space="preserve">nº 2, </w:t>
      </w:r>
      <w:r>
        <w:rPr>
          <w:spacing w:val="30"/>
          <w:sz w:val="16"/>
        </w:rPr>
        <w:t xml:space="preserve">dez. 2009 </w:t>
      </w:r>
      <w:r>
        <w:rPr>
          <w:spacing w:val="35"/>
          <w:sz w:val="16"/>
        </w:rPr>
        <w:t xml:space="preserve">Disponível </w:t>
      </w:r>
      <w:r>
        <w:rPr>
          <w:spacing w:val="25"/>
          <w:sz w:val="16"/>
        </w:rPr>
        <w:t>em:</w:t>
      </w:r>
      <w:r>
        <w:rPr>
          <w:spacing w:val="-4"/>
          <w:sz w:val="16"/>
        </w:rPr>
        <w:t xml:space="preserve"> </w:t>
      </w:r>
    </w:p>
    <w:p w:rsidR="00D81F69" w:rsidRDefault="00D81F69">
      <w:pPr>
        <w:spacing w:before="4" w:line="312" w:lineRule="auto"/>
        <w:ind w:left="100" w:right="237"/>
        <w:jc w:val="both"/>
        <w:rPr>
          <w:sz w:val="16"/>
        </w:rPr>
      </w:pPr>
      <w:hyperlink r:id="rId98">
        <w:r w:rsidR="00330118">
          <w:rPr>
            <w:sz w:val="16"/>
          </w:rPr>
          <w:t>&lt;http://periodicos.unifap.br/index.php/pracs/article/download/32/55&gt;.</w:t>
        </w:r>
      </w:hyperlink>
      <w:r w:rsidR="00330118">
        <w:rPr>
          <w:sz w:val="16"/>
        </w:rPr>
        <w:t xml:space="preserve"> Acesso em: 0</w:t>
      </w:r>
      <w:r w:rsidR="00330118">
        <w:rPr>
          <w:sz w:val="16"/>
        </w:rPr>
        <w:t>6 nov. 2010.</w:t>
      </w:r>
    </w:p>
    <w:p w:rsidR="00D81F69" w:rsidRDefault="00D81F69">
      <w:pPr>
        <w:spacing w:line="312" w:lineRule="auto"/>
        <w:jc w:val="both"/>
        <w:rPr>
          <w:sz w:val="16"/>
        </w:rPr>
        <w:sectPr w:rsidR="00D81F69">
          <w:pgSz w:w="11900" w:h="16840"/>
          <w:pgMar w:top="740" w:right="460" w:bottom="720" w:left="620" w:header="0" w:footer="412" w:gutter="0"/>
          <w:cols w:num="2" w:space="720" w:equalWidth="0">
            <w:col w:w="5151" w:space="319"/>
            <w:col w:w="5350"/>
          </w:cols>
        </w:sectPr>
      </w:pPr>
    </w:p>
    <w:p w:rsidR="00D81F69" w:rsidRDefault="00330118">
      <w:pPr>
        <w:pStyle w:val="Heading1"/>
        <w:spacing w:line="208" w:lineRule="auto"/>
        <w:ind w:right="0"/>
      </w:pPr>
      <w:bookmarkStart w:id="16" w:name="_TOC_250017"/>
      <w:r>
        <w:lastRenderedPageBreak/>
        <w:t>Exploração mineral em Santa Maria do Vila Nova (AP) provoca contaminação por</w:t>
      </w:r>
      <w:r>
        <w:rPr>
          <w:spacing w:val="57"/>
        </w:rPr>
        <w:t xml:space="preserve"> </w:t>
      </w:r>
      <w:bookmarkEnd w:id="16"/>
      <w:r>
        <w:t>cianeto</w:t>
      </w:r>
    </w:p>
    <w:p w:rsidR="00D81F69" w:rsidRDefault="00D81F69">
      <w:pPr>
        <w:pStyle w:val="Corpodetexto"/>
        <w:ind w:left="0"/>
        <w:jc w:val="left"/>
        <w:rPr>
          <w:b/>
          <w:sz w:val="20"/>
        </w:rPr>
      </w:pPr>
    </w:p>
    <w:p w:rsidR="00D81F69" w:rsidRDefault="00D81F69">
      <w:pPr>
        <w:rPr>
          <w:sz w:val="20"/>
        </w:rPr>
        <w:sectPr w:rsidR="00D81F69">
          <w:footerReference w:type="default" r:id="rId99"/>
          <w:pgSz w:w="11900" w:h="16840"/>
          <w:pgMar w:top="1080" w:right="460" w:bottom="280" w:left="620" w:header="0" w:footer="0"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626" w:lineRule="auto"/>
        <w:ind w:left="135" w:right="176"/>
        <w:rPr>
          <w:i/>
          <w:sz w:val="14"/>
        </w:rPr>
      </w:pPr>
      <w:r>
        <w:rPr>
          <w:i/>
          <w:sz w:val="14"/>
        </w:rPr>
        <w:t>- LATITUDE</w:t>
      </w:r>
    </w:p>
    <w:p w:rsidR="00D81F69" w:rsidRDefault="00330118">
      <w:pPr>
        <w:spacing w:line="161" w:lineRule="exact"/>
        <w:ind w:left="135"/>
        <w:rPr>
          <w:i/>
          <w:sz w:val="14"/>
        </w:rPr>
      </w:pPr>
      <w:r>
        <w:rPr>
          <w:i/>
          <w:sz w:val="14"/>
        </w:rPr>
        <w:t>LONGITUDE</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O envolvimento de grandes mineradoras </w:t>
      </w:r>
      <w:r>
        <w:rPr>
          <w:i/>
          <w:sz w:val="16"/>
        </w:rPr>
        <w:t>com danos à natureza é uma prática corriqueira no Amapá. Na "região do Vila Nova", diversos problemas ambientais decorrentes de atitudes imprudentes do ponto de vista ambiental, dentre elas contaminação por cianeto dos corpos hídricos e mortes de ribeirinh</w:t>
      </w:r>
      <w:r>
        <w:rPr>
          <w:i/>
          <w:sz w:val="16"/>
        </w:rPr>
        <w:t>os, são atribuídos à Mineração Água Boa.</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55"/>
      </w:pPr>
      <w:r>
        <w:t>provenientes da atuação da MVN. Porém, graves problemas de contaminação ambiental apontam para outra empresa, a Mineração Água Boa, que operava a aproximadamente 6 km das minas lavradas (OBSERVATÓRIO SOCIAL, 200</w:t>
      </w:r>
      <w:r>
        <w:t>3).</w:t>
      </w:r>
    </w:p>
    <w:p w:rsidR="00D81F69" w:rsidRDefault="00330118">
      <w:pPr>
        <w:pStyle w:val="Corpodetexto"/>
        <w:spacing w:before="133" w:line="312" w:lineRule="auto"/>
        <w:ind w:left="135" w:right="247"/>
      </w:pPr>
      <w:r>
        <w:t>Em 1992, a Mineração Água Boa iniciou a exploração de uma mina de ouro localizada no município de Mazagão, às margens do igarapé Santa Maria, distante apenas 6 km da Mineração Vila Nova (MONTEIRO, 2006).</w:t>
      </w:r>
    </w:p>
    <w:p w:rsidR="00D81F69" w:rsidRDefault="00330118">
      <w:pPr>
        <w:pStyle w:val="Corpodetexto"/>
        <w:spacing w:before="134" w:line="312" w:lineRule="auto"/>
        <w:ind w:left="135" w:right="252"/>
      </w:pPr>
      <w:r>
        <w:t>Antes de iniciar a lavra, a constituição da Mineração Água Boa envolveu uma série de transferências da titularidade do</w:t>
      </w:r>
    </w:p>
    <w:p w:rsidR="00D81F69" w:rsidRDefault="00D81F69">
      <w:pPr>
        <w:spacing w:line="312" w:lineRule="auto"/>
        <w:sectPr w:rsidR="00D81F69">
          <w:type w:val="continuous"/>
          <w:pgSz w:w="11900" w:h="16840"/>
          <w:pgMar w:top="720" w:right="460" w:bottom="280" w:left="620" w:header="720" w:footer="720" w:gutter="0"/>
          <w:cols w:num="3" w:space="720" w:equalWidth="0">
            <w:col w:w="1008" w:space="992"/>
            <w:col w:w="3103" w:space="332"/>
            <w:col w:w="5385"/>
          </w:cols>
        </w:sectPr>
      </w:pPr>
    </w:p>
    <w:p w:rsidR="00D81F69" w:rsidRDefault="00330118">
      <w:pPr>
        <w:pStyle w:val="Heading4"/>
        <w:spacing w:line="262" w:lineRule="exact"/>
        <w:jc w:val="left"/>
      </w:pPr>
      <w:r>
        <w:lastRenderedPageBreak/>
        <w:t>APRESENTAÇÃO DE CASO</w:t>
      </w:r>
    </w:p>
    <w:p w:rsidR="00D81F69" w:rsidRDefault="00330118">
      <w:pPr>
        <w:pStyle w:val="Corpodetexto"/>
        <w:spacing w:before="170" w:line="312" w:lineRule="auto"/>
        <w:ind w:right="297"/>
      </w:pPr>
      <w:r>
        <w:t>A história da exploração mineral no Amapá teve início em 1945, quando o então govern</w:t>
      </w:r>
      <w:r>
        <w:t xml:space="preserve">ador, Janary Nunes, noticiou ao mundo que a empresa Hanna Mining Company teria descoberto jazidas de </w:t>
      </w:r>
      <w:hyperlink r:id="rId100">
        <w:r>
          <w:t xml:space="preserve">ferro </w:t>
        </w:r>
      </w:hyperlink>
      <w:r>
        <w:t>na localidade de Santa Maria do Vila Nova, município de Maz</w:t>
      </w:r>
      <w:r>
        <w:t>agão (AP). Daí em diante, passou a estimular, por meio de premiação em dinheiro, o fornecimento de indicações acerca da possível existência de outros depósitos minerais (JORNAL DO DIA, 2009).</w:t>
      </w:r>
    </w:p>
    <w:p w:rsidR="00D81F69" w:rsidRDefault="00330118">
      <w:pPr>
        <w:pStyle w:val="Corpodetexto"/>
        <w:spacing w:before="137" w:line="312" w:lineRule="auto"/>
        <w:ind w:right="315"/>
      </w:pPr>
      <w:r>
        <w:t>Foi possível a caracterização de pelo menos nove distritos minei</w:t>
      </w:r>
      <w:r>
        <w:t>ros no estado do Amapá, dentre eles o distrito mineiro produtivo do Vila Nova. Este é caracterizado por depósitos auríferos, depósitos de ferro e uma jazida de cromita, que ocorrem próximo ao rio Vila Nova, no limite entre os municípios de Porto Grande e M</w:t>
      </w:r>
      <w:r>
        <w:t>azagão – região sul do estado (OLIVEIRA, 2010).</w:t>
      </w:r>
    </w:p>
    <w:p w:rsidR="00D81F69" w:rsidRDefault="00330118">
      <w:pPr>
        <w:pStyle w:val="Corpodetexto"/>
        <w:spacing w:before="137" w:line="312" w:lineRule="auto"/>
        <w:ind w:right="257"/>
        <w:jc w:val="left"/>
      </w:pPr>
      <w:r>
        <w:t xml:space="preserve">O município de Porto Grande, segundo o Censo 2010, possui </w:t>
      </w:r>
      <w:r>
        <w:rPr>
          <w:spacing w:val="3"/>
        </w:rPr>
        <w:t xml:space="preserve">16.809 habitantes </w:t>
      </w:r>
      <w:r>
        <w:rPr>
          <w:spacing w:val="1"/>
        </w:rPr>
        <w:t xml:space="preserve">em </w:t>
      </w:r>
      <w:r>
        <w:rPr>
          <w:spacing w:val="2"/>
        </w:rPr>
        <w:t xml:space="preserve">uma área </w:t>
      </w:r>
      <w:r>
        <w:rPr>
          <w:spacing w:val="1"/>
        </w:rPr>
        <w:t xml:space="preserve">de </w:t>
      </w:r>
      <w:r>
        <w:rPr>
          <w:spacing w:val="3"/>
        </w:rPr>
        <w:t xml:space="preserve">4.401,774 </w:t>
      </w:r>
      <w:r>
        <w:rPr>
          <w:spacing w:val="2"/>
        </w:rPr>
        <w:t xml:space="preserve">km² </w:t>
      </w:r>
      <w:r>
        <w:rPr>
          <w:spacing w:val="5"/>
        </w:rPr>
        <w:t xml:space="preserve">(IBGE, </w:t>
      </w:r>
      <w:r>
        <w:rPr>
          <w:spacing w:val="1"/>
        </w:rPr>
        <w:t xml:space="preserve">2011a), enquanto </w:t>
      </w:r>
      <w:r>
        <w:t xml:space="preserve">o de </w:t>
      </w:r>
      <w:r>
        <w:rPr>
          <w:spacing w:val="1"/>
        </w:rPr>
        <w:t xml:space="preserve">Mazagão possui 17.032 </w:t>
      </w:r>
      <w:r>
        <w:rPr>
          <w:spacing w:val="2"/>
        </w:rPr>
        <w:t xml:space="preserve">habitantes </w:t>
      </w:r>
      <w:r>
        <w:t>que</w:t>
      </w:r>
      <w:r>
        <w:rPr>
          <w:spacing w:val="25"/>
        </w:rPr>
        <w:t xml:space="preserve"> </w:t>
      </w:r>
      <w:r>
        <w:rPr>
          <w:spacing w:val="1"/>
        </w:rPr>
        <w:t>ocupam</w:t>
      </w:r>
      <w:r>
        <w:rPr>
          <w:spacing w:val="25"/>
        </w:rPr>
        <w:t xml:space="preserve"> </w:t>
      </w:r>
      <w:r>
        <w:rPr>
          <w:spacing w:val="1"/>
        </w:rPr>
        <w:t>13.130,930</w:t>
      </w:r>
      <w:r>
        <w:rPr>
          <w:spacing w:val="25"/>
        </w:rPr>
        <w:t xml:space="preserve"> </w:t>
      </w:r>
      <w:r>
        <w:t>km²</w:t>
      </w:r>
      <w:r>
        <w:rPr>
          <w:spacing w:val="25"/>
        </w:rPr>
        <w:t xml:space="preserve"> </w:t>
      </w:r>
      <w:r>
        <w:t>de</w:t>
      </w:r>
      <w:r>
        <w:rPr>
          <w:spacing w:val="25"/>
        </w:rPr>
        <w:t xml:space="preserve"> </w:t>
      </w:r>
      <w:r>
        <w:rPr>
          <w:spacing w:val="1"/>
        </w:rPr>
        <w:t>área</w:t>
      </w:r>
      <w:r>
        <w:rPr>
          <w:spacing w:val="25"/>
        </w:rPr>
        <w:t xml:space="preserve"> </w:t>
      </w:r>
      <w:r>
        <w:rPr>
          <w:spacing w:val="1"/>
        </w:rPr>
        <w:t>(IBGE,</w:t>
      </w:r>
      <w:r>
        <w:rPr>
          <w:spacing w:val="25"/>
        </w:rPr>
        <w:t xml:space="preserve"> </w:t>
      </w:r>
      <w:r>
        <w:rPr>
          <w:spacing w:val="2"/>
        </w:rPr>
        <w:t>2011b).</w:t>
      </w:r>
    </w:p>
    <w:p w:rsidR="00D81F69" w:rsidRDefault="00330118">
      <w:pPr>
        <w:pStyle w:val="Corpodetexto"/>
        <w:spacing w:before="134" w:line="312" w:lineRule="auto"/>
        <w:ind w:right="312"/>
      </w:pPr>
      <w:r>
        <w:t xml:space="preserve">Houve, na “região do Vila Nova”, diversos problemas ambientais decorrentes de atitudes imprudentes do ponto de vista ambiental, dentre elas, o armazenamento inadequado de </w:t>
      </w:r>
      <w:hyperlink r:id="rId101">
        <w:r>
          <w:t>cianeto</w:t>
        </w:r>
      </w:hyperlink>
      <w:r>
        <w:t xml:space="preserve"> de sódio. A “área” ou “região do Vila Nova”, em termos genéricos refere-se à circunscrição geográfica do entorno da localidade de Santa Maria do Vila Nova (OBSERVATÓRIO SOCIAL, 2003).</w:t>
      </w:r>
    </w:p>
    <w:p w:rsidR="00D81F69" w:rsidRDefault="00330118">
      <w:pPr>
        <w:pStyle w:val="Corpodetexto"/>
        <w:spacing w:before="136" w:line="312" w:lineRule="auto"/>
        <w:ind w:right="317"/>
      </w:pPr>
      <w:r>
        <w:t xml:space="preserve">A lavra experimental de </w:t>
      </w:r>
      <w:hyperlink r:id="rId102">
        <w:r>
          <w:t xml:space="preserve">cromo </w:t>
        </w:r>
      </w:hyperlink>
      <w:r>
        <w:t>foi iniciada, em 1988, pela Mineração Cassiporé, subsidiária da Icomi, e transferida em 1992, à Companhia de FerroLiga do Amapá (CFA), em Santa Maria do Vila Nova. No terceiro trimestre d</w:t>
      </w:r>
      <w:r>
        <w:t>e 1997, a CFA transferiu seus direitos minerários à Mineração Vila Nova (MVN), do grupo norueguês Elken (CASARA, 2003). Em dezembro de 2002, após a paralisação das atividades, a Elken transferiu a propriedade da MVN ao Grupo Fasa Participações S/A (SIMÕES,</w:t>
      </w:r>
      <w:r>
        <w:t xml:space="preserve"> 2009).</w:t>
      </w:r>
    </w:p>
    <w:p w:rsidR="00D81F69" w:rsidRDefault="00330118">
      <w:pPr>
        <w:pStyle w:val="Corpodetexto"/>
        <w:spacing w:before="138" w:line="184" w:lineRule="exact"/>
      </w:pPr>
      <w:r>
        <w:t>Não há, no entanto, indícios de contaminação ambiental</w:t>
      </w:r>
    </w:p>
    <w:p w:rsidR="00D81F69" w:rsidRDefault="00330118">
      <w:pPr>
        <w:spacing w:line="161" w:lineRule="exact"/>
        <w:jc w:val="right"/>
        <w:rPr>
          <w:sz w:val="16"/>
        </w:rPr>
      </w:pPr>
      <w:r>
        <w:rPr>
          <w:sz w:val="16"/>
        </w:rPr>
        <w:t>30</w:t>
      </w:r>
    </w:p>
    <w:p w:rsidR="00D81F69" w:rsidRDefault="00330118">
      <w:pPr>
        <w:pStyle w:val="Corpodetexto"/>
        <w:spacing w:before="2" w:line="312" w:lineRule="auto"/>
        <w:ind w:right="246"/>
      </w:pPr>
      <w:r>
        <w:br w:type="column"/>
      </w:r>
      <w:r>
        <w:lastRenderedPageBreak/>
        <w:t>empreendimento. A primeira empresa constituída para explorar a jazida foi a Mineração Amapari, uma empresa do Grupo Caemi, que iniciou as pesquisas no início dos anos 1980. No final daquela</w:t>
      </w:r>
      <w:r>
        <w:t xml:space="preserve"> década, já era detentora do direito de lavra e da autorização dos órgãos ambientais para iniciar a exploração mineral. Em 1991, tais direitos foram transferidos para a empresa Paulo Abib Engenharia S.A., que, em seguida, associou-se à Construtora Centro O</w:t>
      </w:r>
      <w:r>
        <w:t>este Mineração Ltda., para só então ser constituída a Mineração Água Boa (OBSERVATÓRIO SOCIAL, 2003).</w:t>
      </w:r>
    </w:p>
    <w:p w:rsidR="00D81F69" w:rsidRDefault="00330118">
      <w:pPr>
        <w:pStyle w:val="Corpodetexto"/>
        <w:spacing w:before="139" w:line="312" w:lineRule="auto"/>
        <w:ind w:right="232"/>
      </w:pPr>
      <w:r>
        <w:t>A lavra era realizada a céu aberto. Depois de obtido, o minério era beneficiado por meio de um processo de lixiviação em pilhas, tendo por base uma soluçã</w:t>
      </w:r>
      <w:r>
        <w:t>o com cianeto, que, após passar pelas pilhas, tornava-se enriquecida em ouro. Este, por sua vez, era retirado por meio de colunas com carvão ativado (OBSERVATÓRIO SOCIAL, 2003).</w:t>
      </w:r>
    </w:p>
    <w:p w:rsidR="00D81F69" w:rsidRDefault="00330118">
      <w:pPr>
        <w:pStyle w:val="Corpodetexto"/>
        <w:spacing w:before="136" w:line="312" w:lineRule="auto"/>
        <w:ind w:right="220"/>
      </w:pPr>
      <w:r>
        <w:t>Quando encerrou suas atividades, em 1996, a Mineração Água Boa praticamente abandonou as instalações de beneficiamento do minério e, junto, 120 kg de cianeto no canto de um antigo refeitório (CASARA, 2003). Posteriormente, a Secretaria Estadual de Meio Amb</w:t>
      </w:r>
      <w:r>
        <w:t>iente (Sema) do Amapá localizou cerca de 300 tambores contendo cianeto de sódio, que supostamente haviam sido enterrados pela empresa (OBSERVATÓRIO SOCIAL, 2003; BARROS, 2004).</w:t>
      </w:r>
    </w:p>
    <w:p w:rsidR="00D81F69" w:rsidRDefault="00330118">
      <w:pPr>
        <w:pStyle w:val="Corpodetexto"/>
        <w:spacing w:before="138" w:line="312" w:lineRule="auto"/>
        <w:ind w:right="233"/>
      </w:pPr>
      <w:r>
        <w:t xml:space="preserve">Devido ao alto índice pluviométrico da região, o material foi arrastado para o </w:t>
      </w:r>
      <w:r>
        <w:t>rio Vila Nova pelas águas das chuvas. Este rio é afluente da margem direita do rio Amazonas, estando aproximadamente a 180 km a oeste de Macapá, na divisa entre os municípios de Santana e Mazagão (DOMINGUES, 2004). É também o único divisor entre o vilarejo</w:t>
      </w:r>
      <w:r>
        <w:t xml:space="preserve"> de Vila Nova, que tem aproximadamente 200 famílias, e o material tóxico desenterrado, localizado a apenas 100 m da vila (BARROS, 2004; DOMINGUES, 2004).</w:t>
      </w:r>
    </w:p>
    <w:p w:rsidR="00D81F69" w:rsidRDefault="00330118">
      <w:pPr>
        <w:pStyle w:val="Corpodetexto"/>
        <w:spacing w:before="138" w:line="312" w:lineRule="auto"/>
        <w:ind w:right="225"/>
      </w:pPr>
      <w:r>
        <w:t>O caso veio à tona quando começaram a ser registradas mortes de causa desconhecida entre os garimpeiro</w:t>
      </w:r>
      <w:r>
        <w:t>s, ribeirinhos e animais. Nas amostras coletadas pela Sema, em 1999, foram encontrados índices de cianeto até 20 vezes</w:t>
      </w:r>
    </w:p>
    <w:p w:rsidR="00D81F69" w:rsidRDefault="00D81F69">
      <w:pPr>
        <w:spacing w:line="312" w:lineRule="auto"/>
        <w:sectPr w:rsidR="00D81F69">
          <w:type w:val="continuous"/>
          <w:pgSz w:w="11900" w:h="16840"/>
          <w:pgMar w:top="720" w:right="460" w:bottom="280" w:left="620" w:header="720" w:footer="720" w:gutter="0"/>
          <w:cols w:num="2" w:space="720" w:equalWidth="0">
            <w:col w:w="5419" w:space="51"/>
            <w:col w:w="5350"/>
          </w:cols>
        </w:sectPr>
      </w:pPr>
    </w:p>
    <w:p w:rsidR="00D81F69" w:rsidRDefault="00330118">
      <w:pPr>
        <w:pStyle w:val="Corpodetexto"/>
        <w:spacing w:before="81" w:line="312" w:lineRule="auto"/>
        <w:ind w:right="60"/>
      </w:pPr>
      <w:r>
        <w:lastRenderedPageBreak/>
        <w:t>maior do que o permitido pela legislação ambiental brasileira (BARROS, 2004).</w:t>
      </w:r>
    </w:p>
    <w:p w:rsidR="00D81F69" w:rsidRDefault="00330118">
      <w:pPr>
        <w:pStyle w:val="Corpodetexto"/>
        <w:spacing w:before="132" w:line="312" w:lineRule="auto"/>
        <w:ind w:right="55"/>
      </w:pPr>
      <w:r>
        <w:t>O cianeto de sódio é utilizado p</w:t>
      </w:r>
      <w:r>
        <w:t>ara separar ouro de outros minérios. Se misturado à água, transforma-se em ácido e pode ser letal. Segundo a Divisão de Monitoramento da Sema, bastam 200 mL de cianeto para matar um homem (ALBANO, 2000). Após o laudo, o governo do estado multou a empresa e</w:t>
      </w:r>
      <w:r>
        <w:t>m R$ 60.000,00 (BARROS, 2004).</w:t>
      </w:r>
    </w:p>
    <w:p w:rsidR="00D81F69" w:rsidRDefault="00330118">
      <w:pPr>
        <w:pStyle w:val="Corpodetexto"/>
        <w:spacing w:before="135" w:line="312" w:lineRule="auto"/>
        <w:ind w:right="54"/>
      </w:pPr>
      <w:r>
        <w:t>Não obstante, em julho de 2000, a mineradora foi notificada pelo Diário Oficial do estado sobre multa no valor de R$ 30 milhões, aplicada pela Sema, por ter abandonado, no total, 22 toneladas de cianeto no município de Mazagã</w:t>
      </w:r>
      <w:r>
        <w:t xml:space="preserve">o. O valor da </w:t>
      </w:r>
      <w:r>
        <w:rPr>
          <w:spacing w:val="5"/>
        </w:rPr>
        <w:t xml:space="preserve">multa </w:t>
      </w:r>
      <w:r>
        <w:rPr>
          <w:spacing w:val="3"/>
        </w:rPr>
        <w:t xml:space="preserve">foi </w:t>
      </w:r>
      <w:r>
        <w:rPr>
          <w:spacing w:val="5"/>
        </w:rPr>
        <w:t xml:space="preserve">estabelecido pelo Conselho Estadual </w:t>
      </w:r>
      <w:r>
        <w:rPr>
          <w:spacing w:val="2"/>
        </w:rPr>
        <w:t xml:space="preserve">de </w:t>
      </w:r>
      <w:r>
        <w:rPr>
          <w:spacing w:val="6"/>
        </w:rPr>
        <w:t xml:space="preserve">Meio </w:t>
      </w:r>
      <w:r>
        <w:t>Ambiente, que considerou crime ambiental a mineradora ter mantido a substância em local inadequado e não informado os órgãos públicos (ALBANO,</w:t>
      </w:r>
      <w:r>
        <w:rPr>
          <w:spacing w:val="8"/>
        </w:rPr>
        <w:t xml:space="preserve"> </w:t>
      </w:r>
      <w:r>
        <w:rPr>
          <w:spacing w:val="1"/>
        </w:rPr>
        <w:t>2000).</w:t>
      </w:r>
    </w:p>
    <w:p w:rsidR="00D81F69" w:rsidRDefault="00330118">
      <w:pPr>
        <w:pStyle w:val="Corpodetexto"/>
        <w:spacing w:before="138" w:line="312" w:lineRule="auto"/>
        <w:ind w:right="38"/>
      </w:pPr>
      <w:r>
        <w:rPr>
          <w:spacing w:val="2"/>
        </w:rPr>
        <w:t xml:space="preserve">Além </w:t>
      </w:r>
      <w:r>
        <w:rPr>
          <w:spacing w:val="1"/>
        </w:rPr>
        <w:t xml:space="preserve">de </w:t>
      </w:r>
      <w:r>
        <w:rPr>
          <w:spacing w:val="3"/>
        </w:rPr>
        <w:t xml:space="preserve">nunca </w:t>
      </w:r>
      <w:r>
        <w:rPr>
          <w:spacing w:val="2"/>
        </w:rPr>
        <w:t xml:space="preserve">ter </w:t>
      </w:r>
      <w:r>
        <w:rPr>
          <w:spacing w:val="3"/>
        </w:rPr>
        <w:t xml:space="preserve">pagado </w:t>
      </w:r>
      <w:r>
        <w:rPr>
          <w:spacing w:val="1"/>
        </w:rPr>
        <w:t xml:space="preserve">as </w:t>
      </w:r>
      <w:r>
        <w:rPr>
          <w:spacing w:val="3"/>
        </w:rPr>
        <w:t>multas adv</w:t>
      </w:r>
      <w:r>
        <w:rPr>
          <w:spacing w:val="3"/>
        </w:rPr>
        <w:t xml:space="preserve">indas </w:t>
      </w:r>
      <w:r>
        <w:rPr>
          <w:spacing w:val="1"/>
        </w:rPr>
        <w:t xml:space="preserve">de </w:t>
      </w:r>
      <w:r>
        <w:rPr>
          <w:spacing w:val="5"/>
        </w:rPr>
        <w:t xml:space="preserve">danos </w:t>
      </w:r>
      <w:r>
        <w:rPr>
          <w:spacing w:val="3"/>
        </w:rPr>
        <w:t xml:space="preserve">causados </w:t>
      </w:r>
      <w:r>
        <w:rPr>
          <w:spacing w:val="1"/>
        </w:rPr>
        <w:t xml:space="preserve">ao </w:t>
      </w:r>
      <w:r>
        <w:rPr>
          <w:spacing w:val="2"/>
        </w:rPr>
        <w:t xml:space="preserve">meio </w:t>
      </w:r>
      <w:r>
        <w:rPr>
          <w:spacing w:val="3"/>
        </w:rPr>
        <w:t xml:space="preserve">ambiente (CASARA, 2003), </w:t>
      </w:r>
      <w:r>
        <w:t xml:space="preserve">a </w:t>
      </w:r>
      <w:r>
        <w:rPr>
          <w:spacing w:val="5"/>
        </w:rPr>
        <w:t xml:space="preserve">empresa </w:t>
      </w:r>
      <w:r>
        <w:t xml:space="preserve">também não recuperou as áreas degradadas pelas atividades de mineração, deixando duas enormes cavas em cada </w:t>
      </w:r>
      <w:r>
        <w:rPr>
          <w:spacing w:val="1"/>
        </w:rPr>
        <w:t xml:space="preserve">uma </w:t>
      </w:r>
      <w:r>
        <w:rPr>
          <w:spacing w:val="2"/>
        </w:rPr>
        <w:t xml:space="preserve">das </w:t>
      </w:r>
      <w:r>
        <w:rPr>
          <w:spacing w:val="3"/>
        </w:rPr>
        <w:t xml:space="preserve">margens </w:t>
      </w:r>
      <w:r>
        <w:rPr>
          <w:spacing w:val="1"/>
        </w:rPr>
        <w:t xml:space="preserve">do </w:t>
      </w:r>
      <w:r>
        <w:rPr>
          <w:spacing w:val="3"/>
        </w:rPr>
        <w:t xml:space="preserve">igarapé Santa Maria (MONTEIRO, </w:t>
      </w:r>
      <w:r>
        <w:rPr>
          <w:spacing w:val="5"/>
        </w:rPr>
        <w:t xml:space="preserve">2006), </w:t>
      </w:r>
      <w:r>
        <w:t>uma delas com aproximada</w:t>
      </w:r>
      <w:r>
        <w:t>mente 1 km de extensão, 200 m de comprimento e 60 m de profundidade (OBSERVATÓRIO SOCIAL,</w:t>
      </w:r>
      <w:r>
        <w:rPr>
          <w:spacing w:val="12"/>
        </w:rPr>
        <w:t xml:space="preserve"> </w:t>
      </w:r>
      <w:r>
        <w:t>2003).</w:t>
      </w:r>
    </w:p>
    <w:p w:rsidR="00D81F69" w:rsidRDefault="00D81F69">
      <w:pPr>
        <w:pStyle w:val="Corpodetexto"/>
        <w:spacing w:before="7"/>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60"/>
      </w:pPr>
      <w:r>
        <w:t>A atividade mineradora na localidade de Santa Maria do Vila Nova situa-se no município de Mazagão, latitude 0°06’58”S e longitude 51°17’10”W, no estado do Amapá.</w:t>
      </w:r>
    </w:p>
    <w:p w:rsidR="00D81F69" w:rsidRDefault="00D81F69">
      <w:pPr>
        <w:pStyle w:val="Corpodetexto"/>
        <w:ind w:left="0"/>
        <w:jc w:val="left"/>
        <w:rPr>
          <w:sz w:val="29"/>
        </w:rPr>
      </w:pPr>
    </w:p>
    <w:p w:rsidR="00D81F69" w:rsidRDefault="00330118">
      <w:pPr>
        <w:pStyle w:val="Heading7"/>
      </w:pPr>
      <w:r>
        <w:t>REDATORES</w:t>
      </w:r>
    </w:p>
    <w:p w:rsidR="00D81F69" w:rsidRDefault="00330118">
      <w:pPr>
        <w:pStyle w:val="Corpodetexto"/>
        <w:spacing w:before="179"/>
      </w:pPr>
      <w:r>
        <w:t>Renata de Carvalho Jimenez Alamino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55"/>
        <w:jc w:val="both"/>
        <w:rPr>
          <w:sz w:val="16"/>
        </w:rPr>
      </w:pPr>
      <w:r>
        <w:rPr>
          <w:sz w:val="16"/>
        </w:rPr>
        <w:t>ALBANO, Mauro. Mineradoras são multadas em R$ 30 mi por abandonarem cianeto em Macapá. Folha de S. Paulo, São Paulo, 31 jul. 2000. Disponível em:</w:t>
      </w:r>
    </w:p>
    <w:p w:rsidR="00D81F69" w:rsidRDefault="00D81F69">
      <w:pPr>
        <w:spacing w:before="2" w:line="312" w:lineRule="auto"/>
        <w:ind w:left="100" w:right="38"/>
        <w:jc w:val="both"/>
        <w:rPr>
          <w:sz w:val="16"/>
        </w:rPr>
      </w:pPr>
      <w:hyperlink r:id="rId103">
        <w:r w:rsidR="00330118">
          <w:rPr>
            <w:sz w:val="16"/>
          </w:rPr>
          <w:t>&lt;http://www1.folha.uol.com.br/f</w:t>
        </w:r>
        <w:r w:rsidR="00330118">
          <w:rPr>
            <w:sz w:val="16"/>
          </w:rPr>
          <w:t>olha/cotidiano/ult95u6218.shtml&gt;.</w:t>
        </w:r>
      </w:hyperlink>
      <w:r w:rsidR="00330118">
        <w:rPr>
          <w:sz w:val="16"/>
        </w:rPr>
        <w:t xml:space="preserve"> Acesso em: 26 dez. 2011.</w:t>
      </w:r>
    </w:p>
    <w:p w:rsidR="00D81F69" w:rsidRDefault="00330118">
      <w:pPr>
        <w:spacing w:before="70" w:line="312" w:lineRule="auto"/>
        <w:ind w:left="100" w:right="236"/>
        <w:jc w:val="both"/>
        <w:rPr>
          <w:sz w:val="16"/>
        </w:rPr>
      </w:pPr>
      <w:r>
        <w:br w:type="column"/>
      </w:r>
      <w:r>
        <w:rPr>
          <w:sz w:val="16"/>
        </w:rPr>
        <w:lastRenderedPageBreak/>
        <w:t>BARROS, Hércules. Sob a ameaça do cianeto. Correio Braziliense,  29</w:t>
      </w:r>
      <w:r>
        <w:rPr>
          <w:spacing w:val="17"/>
          <w:sz w:val="16"/>
        </w:rPr>
        <w:t xml:space="preserve"> </w:t>
      </w:r>
      <w:r>
        <w:rPr>
          <w:sz w:val="16"/>
        </w:rPr>
        <w:t>nov.</w:t>
      </w:r>
      <w:r>
        <w:rPr>
          <w:spacing w:val="17"/>
          <w:sz w:val="16"/>
        </w:rPr>
        <w:t xml:space="preserve"> </w:t>
      </w:r>
      <w:r>
        <w:rPr>
          <w:sz w:val="16"/>
        </w:rPr>
        <w:t>2004.</w:t>
      </w:r>
      <w:r>
        <w:rPr>
          <w:spacing w:val="17"/>
          <w:sz w:val="16"/>
        </w:rPr>
        <w:t xml:space="preserve"> </w:t>
      </w:r>
      <w:r>
        <w:rPr>
          <w:sz w:val="16"/>
        </w:rPr>
        <w:t>In:</w:t>
      </w:r>
      <w:r>
        <w:rPr>
          <w:spacing w:val="17"/>
          <w:sz w:val="16"/>
        </w:rPr>
        <w:t xml:space="preserve"> </w:t>
      </w:r>
      <w:r>
        <w:rPr>
          <w:sz w:val="16"/>
        </w:rPr>
        <w:t>PIB</w:t>
      </w:r>
      <w:r>
        <w:rPr>
          <w:spacing w:val="17"/>
          <w:sz w:val="16"/>
        </w:rPr>
        <w:t xml:space="preserve"> </w:t>
      </w:r>
      <w:r>
        <w:rPr>
          <w:sz w:val="16"/>
        </w:rPr>
        <w:t>Socioambiental,</w:t>
      </w:r>
      <w:r>
        <w:rPr>
          <w:spacing w:val="17"/>
          <w:sz w:val="16"/>
        </w:rPr>
        <w:t xml:space="preserve"> </w:t>
      </w:r>
      <w:r>
        <w:rPr>
          <w:sz w:val="16"/>
        </w:rPr>
        <w:t>29</w:t>
      </w:r>
      <w:r>
        <w:rPr>
          <w:spacing w:val="17"/>
          <w:sz w:val="16"/>
        </w:rPr>
        <w:t xml:space="preserve"> </w:t>
      </w:r>
      <w:r>
        <w:rPr>
          <w:sz w:val="16"/>
        </w:rPr>
        <w:t>nov.</w:t>
      </w:r>
      <w:r>
        <w:rPr>
          <w:spacing w:val="17"/>
          <w:sz w:val="16"/>
        </w:rPr>
        <w:t xml:space="preserve"> </w:t>
      </w:r>
      <w:r>
        <w:rPr>
          <w:sz w:val="16"/>
        </w:rPr>
        <w:t>2004.</w:t>
      </w:r>
      <w:r>
        <w:rPr>
          <w:spacing w:val="17"/>
          <w:sz w:val="16"/>
        </w:rPr>
        <w:t xml:space="preserve"> </w:t>
      </w:r>
      <w:r>
        <w:rPr>
          <w:sz w:val="16"/>
        </w:rPr>
        <w:t>Disponível</w:t>
      </w:r>
      <w:r>
        <w:rPr>
          <w:spacing w:val="17"/>
          <w:sz w:val="16"/>
        </w:rPr>
        <w:t xml:space="preserve"> </w:t>
      </w:r>
      <w:r>
        <w:rPr>
          <w:sz w:val="16"/>
        </w:rPr>
        <w:t>em:</w:t>
      </w:r>
    </w:p>
    <w:p w:rsidR="00D81F69" w:rsidRDefault="00D81F69">
      <w:pPr>
        <w:spacing w:before="1" w:line="312" w:lineRule="auto"/>
        <w:ind w:left="100" w:right="256"/>
        <w:jc w:val="both"/>
        <w:rPr>
          <w:sz w:val="16"/>
        </w:rPr>
      </w:pPr>
      <w:hyperlink r:id="rId104">
        <w:r w:rsidR="00330118">
          <w:rPr>
            <w:sz w:val="16"/>
          </w:rPr>
          <w:t xml:space="preserve">&lt;http://pib.socioambiental.org/es/noticias?id=39588&gt;. </w:t>
        </w:r>
      </w:hyperlink>
      <w:r w:rsidR="00330118">
        <w:rPr>
          <w:sz w:val="16"/>
        </w:rPr>
        <w:t>Acesso em: 26 dez. 2011.</w:t>
      </w:r>
    </w:p>
    <w:p w:rsidR="00D81F69" w:rsidRDefault="00330118">
      <w:pPr>
        <w:spacing w:before="2" w:line="312" w:lineRule="auto"/>
        <w:ind w:left="100" w:right="235"/>
        <w:jc w:val="both"/>
        <w:rPr>
          <w:sz w:val="16"/>
        </w:rPr>
      </w:pPr>
      <w:r>
        <w:rPr>
          <w:spacing w:val="1"/>
          <w:sz w:val="16"/>
        </w:rPr>
        <w:t xml:space="preserve">CASARA, Marques. Mineração predatória </w:t>
      </w:r>
      <w:r>
        <w:rPr>
          <w:sz w:val="16"/>
        </w:rPr>
        <w:t xml:space="preserve">na </w:t>
      </w:r>
      <w:r>
        <w:rPr>
          <w:spacing w:val="1"/>
          <w:sz w:val="16"/>
        </w:rPr>
        <w:t xml:space="preserve">Amazônia </w:t>
      </w:r>
      <w:r>
        <w:rPr>
          <w:spacing w:val="2"/>
          <w:sz w:val="16"/>
        </w:rPr>
        <w:t xml:space="preserve">Brasileira. </w:t>
      </w:r>
      <w:r>
        <w:rPr>
          <w:sz w:val="16"/>
        </w:rPr>
        <w:t xml:space="preserve">Cinco décadas de irresponsabilidade social e ambiental no estado do Amapá. Florianópolis: Observatório Social, </w:t>
      </w:r>
      <w:r>
        <w:rPr>
          <w:sz w:val="16"/>
        </w:rPr>
        <w:t xml:space="preserve">maio, 2003. Disponível </w:t>
      </w:r>
      <w:r>
        <w:rPr>
          <w:spacing w:val="1"/>
          <w:sz w:val="16"/>
        </w:rPr>
        <w:t>em:</w:t>
      </w:r>
    </w:p>
    <w:p w:rsidR="00D81F69" w:rsidRDefault="00D81F69">
      <w:pPr>
        <w:spacing w:before="3" w:line="312" w:lineRule="auto"/>
        <w:ind w:left="100" w:right="257"/>
        <w:jc w:val="both"/>
        <w:rPr>
          <w:sz w:val="16"/>
        </w:rPr>
      </w:pPr>
      <w:hyperlink r:id="rId105">
        <w:r w:rsidR="00330118">
          <w:rPr>
            <w:sz w:val="16"/>
          </w:rPr>
          <w:t>&lt;http://www.ambiente.gov.ar/archivos/web/trabajo/File/Latino%20y%2</w:t>
        </w:r>
      </w:hyperlink>
      <w:r w:rsidR="00330118">
        <w:rPr>
          <w:sz w:val="16"/>
        </w:rPr>
        <w:t xml:space="preserve"> 0Caribe/mineracao.pdf&gt;. Acesso em: 26 dez. 2011.</w:t>
      </w:r>
    </w:p>
    <w:p w:rsidR="00D81F69" w:rsidRDefault="00330118">
      <w:pPr>
        <w:spacing w:before="2" w:line="312" w:lineRule="auto"/>
        <w:ind w:left="100" w:right="234"/>
        <w:jc w:val="both"/>
        <w:rPr>
          <w:sz w:val="16"/>
        </w:rPr>
      </w:pPr>
      <w:r>
        <w:rPr>
          <w:sz w:val="16"/>
        </w:rPr>
        <w:t xml:space="preserve">DOMINGUES, Eloisa (Coord.). </w:t>
      </w:r>
      <w:r>
        <w:rPr>
          <w:sz w:val="16"/>
        </w:rPr>
        <w:t>Uso da terra no Estado do Amapá. Projeto levantamento e classificação do uso da terra. IBGE, nov. 2004. Disponível em:</w:t>
      </w:r>
    </w:p>
    <w:p w:rsidR="00D81F69" w:rsidRDefault="00330118">
      <w:pPr>
        <w:spacing w:before="2" w:line="312" w:lineRule="auto"/>
        <w:ind w:left="100" w:right="257"/>
        <w:jc w:val="both"/>
        <w:rPr>
          <w:sz w:val="16"/>
        </w:rPr>
      </w:pPr>
      <w:r>
        <w:rPr>
          <w:sz w:val="16"/>
        </w:rPr>
        <w:t>&lt;ftp://geoftp.ibge.gov.br/documentos/recursos_naturais/manuais_tecn icos/usoterra_ap.pdf?&gt;. Acesso em: 26 dez. 2011.</w:t>
      </w:r>
    </w:p>
    <w:p w:rsidR="00D81F69" w:rsidRDefault="00330118">
      <w:pPr>
        <w:spacing w:before="2" w:line="312" w:lineRule="auto"/>
        <w:ind w:left="100" w:right="257"/>
        <w:jc w:val="both"/>
        <w:rPr>
          <w:sz w:val="16"/>
        </w:rPr>
      </w:pPr>
      <w:r>
        <w:rPr>
          <w:sz w:val="16"/>
        </w:rPr>
        <w:t>IBGE. Instituto Bras</w:t>
      </w:r>
      <w:r>
        <w:rPr>
          <w:sz w:val="16"/>
        </w:rPr>
        <w:t>ileiro de Geografia e Estatística. Cidades@. Porto Grande - AP. 2011a. Disponível em:</w:t>
      </w:r>
    </w:p>
    <w:p w:rsidR="00D81F69" w:rsidRDefault="00D81F69">
      <w:pPr>
        <w:spacing w:before="2"/>
        <w:ind w:left="100"/>
        <w:jc w:val="both"/>
        <w:rPr>
          <w:sz w:val="16"/>
        </w:rPr>
      </w:pPr>
      <w:hyperlink r:id="rId106">
        <w:r w:rsidR="00330118">
          <w:rPr>
            <w:sz w:val="16"/>
          </w:rPr>
          <w:t>&lt;http://www.ibge.gov.br/cidadesat/painel/painel.php?codmun=160053</w:t>
        </w:r>
      </w:hyperlink>
    </w:p>
    <w:p w:rsidR="00D81F69" w:rsidRDefault="00330118">
      <w:pPr>
        <w:spacing w:before="56"/>
        <w:ind w:left="100"/>
        <w:jc w:val="both"/>
        <w:rPr>
          <w:sz w:val="16"/>
        </w:rPr>
      </w:pPr>
      <w:r>
        <w:rPr>
          <w:sz w:val="16"/>
        </w:rPr>
        <w:t>&gt;</w:t>
      </w:r>
      <w:r>
        <w:rPr>
          <w:sz w:val="16"/>
        </w:rPr>
        <w:t>. Acesso em: 26 dez. 2011.</w:t>
      </w:r>
    </w:p>
    <w:p w:rsidR="00D81F69" w:rsidRDefault="00330118">
      <w:pPr>
        <w:tabs>
          <w:tab w:val="left" w:pos="811"/>
        </w:tabs>
        <w:spacing w:before="56"/>
        <w:ind w:left="100"/>
        <w:jc w:val="both"/>
        <w:rPr>
          <w:sz w:val="16"/>
        </w:rPr>
      </w:pPr>
      <w:r>
        <w:rPr>
          <w:sz w:val="16"/>
          <w:u w:val="single"/>
        </w:rPr>
        <w:t xml:space="preserve"> </w:t>
      </w:r>
      <w:r>
        <w:rPr>
          <w:sz w:val="16"/>
          <w:u w:val="single"/>
        </w:rPr>
        <w:tab/>
      </w:r>
      <w:r>
        <w:rPr>
          <w:sz w:val="16"/>
        </w:rPr>
        <w:t>. Cidades@. Mazagão - AP. 2011b. Disponível em:</w:t>
      </w:r>
    </w:p>
    <w:p w:rsidR="00D81F69" w:rsidRDefault="00D81F69">
      <w:pPr>
        <w:spacing w:before="56"/>
        <w:ind w:left="100"/>
        <w:jc w:val="both"/>
        <w:rPr>
          <w:sz w:val="16"/>
        </w:rPr>
      </w:pPr>
      <w:hyperlink r:id="rId107">
        <w:r w:rsidR="00330118">
          <w:rPr>
            <w:sz w:val="16"/>
          </w:rPr>
          <w:t>&lt;http://www.ibge.gov.br/cidadesat/painel/painel.php?codmun=160040</w:t>
        </w:r>
      </w:hyperlink>
    </w:p>
    <w:p w:rsidR="00D81F69" w:rsidRDefault="00330118">
      <w:pPr>
        <w:spacing w:before="56"/>
        <w:ind w:left="100"/>
        <w:jc w:val="both"/>
        <w:rPr>
          <w:sz w:val="16"/>
        </w:rPr>
      </w:pPr>
      <w:r>
        <w:rPr>
          <w:sz w:val="16"/>
        </w:rPr>
        <w:t>&gt;. Acesso em: 26 dez. 2011.</w:t>
      </w:r>
    </w:p>
    <w:p w:rsidR="00D81F69" w:rsidRDefault="00330118">
      <w:pPr>
        <w:spacing w:before="56" w:line="312" w:lineRule="auto"/>
        <w:ind w:left="100" w:right="231"/>
        <w:jc w:val="both"/>
        <w:rPr>
          <w:sz w:val="16"/>
        </w:rPr>
      </w:pPr>
      <w:r>
        <w:rPr>
          <w:sz w:val="16"/>
        </w:rPr>
        <w:t>JORNAL DO DIA. Acordos estranhos na Justiça do Trabalho. Negociações trabalhistas feitas com o aval do Judiciário repercutem mal. Notícias, 3 maio 2009. Disponível em:</w:t>
      </w:r>
    </w:p>
    <w:p w:rsidR="00D81F69" w:rsidRDefault="00D81F69">
      <w:pPr>
        <w:spacing w:before="2" w:line="312" w:lineRule="auto"/>
        <w:ind w:left="100" w:right="236"/>
        <w:jc w:val="both"/>
        <w:rPr>
          <w:sz w:val="16"/>
        </w:rPr>
      </w:pPr>
      <w:hyperlink r:id="rId108">
        <w:r w:rsidR="00330118">
          <w:rPr>
            <w:sz w:val="16"/>
          </w:rPr>
          <w:t>&lt;htt</w:t>
        </w:r>
        <w:r w:rsidR="00330118">
          <w:rPr>
            <w:sz w:val="16"/>
          </w:rPr>
          <w:t>p://www.jdia.com.br/pagina.php?pg=exibir_not&amp;idnoticia=2939&gt;.</w:t>
        </w:r>
      </w:hyperlink>
      <w:r w:rsidR="00330118">
        <w:rPr>
          <w:sz w:val="16"/>
        </w:rPr>
        <w:t xml:space="preserve"> Acesso em: 26 dez. 2011.</w:t>
      </w:r>
    </w:p>
    <w:p w:rsidR="00D81F69" w:rsidRDefault="00330118">
      <w:pPr>
        <w:spacing w:before="2" w:line="312" w:lineRule="auto"/>
        <w:ind w:left="100" w:right="215"/>
        <w:jc w:val="both"/>
        <w:rPr>
          <w:sz w:val="16"/>
        </w:rPr>
      </w:pPr>
      <w:r>
        <w:rPr>
          <w:sz w:val="16"/>
        </w:rPr>
        <w:t xml:space="preserve">MONTEIRO, Maurílio de Abreu. Lições de meio século de mineração industrial.  Brasil  Mineral,  ago.   2006.  Disponível  em: </w:t>
      </w:r>
    </w:p>
    <w:p w:rsidR="00D81F69" w:rsidRDefault="00D81F69">
      <w:pPr>
        <w:spacing w:before="1"/>
        <w:ind w:left="100"/>
        <w:jc w:val="both"/>
        <w:rPr>
          <w:sz w:val="16"/>
        </w:rPr>
      </w:pPr>
      <w:hyperlink r:id="rId109">
        <w:r w:rsidR="00330118">
          <w:rPr>
            <w:sz w:val="16"/>
          </w:rPr>
          <w:t>&lt;http://www3.ufpa.br/projetomineracao/docs/estrut/17_Brasil_Mineral</w:t>
        </w:r>
      </w:hyperlink>
    </w:p>
    <w:p w:rsidR="00D81F69" w:rsidRDefault="00330118">
      <w:pPr>
        <w:spacing w:before="56" w:line="312" w:lineRule="auto"/>
        <w:ind w:left="100" w:right="227"/>
        <w:jc w:val="both"/>
        <w:rPr>
          <w:sz w:val="16"/>
        </w:rPr>
      </w:pPr>
      <w:r>
        <w:rPr>
          <w:sz w:val="16"/>
        </w:rPr>
        <w:t xml:space="preserve">_56-70_BM_253.pdf&gt;. Acesso em:  26  dez.  2011. </w:t>
      </w:r>
      <w:r>
        <w:rPr>
          <w:spacing w:val="8"/>
          <w:sz w:val="16"/>
        </w:rPr>
        <w:t xml:space="preserve">OBSERVATÓRIO  </w:t>
      </w:r>
      <w:r>
        <w:rPr>
          <w:spacing w:val="7"/>
          <w:sz w:val="16"/>
        </w:rPr>
        <w:t xml:space="preserve">SOCIAL.  </w:t>
      </w:r>
      <w:r>
        <w:rPr>
          <w:sz w:val="16"/>
        </w:rPr>
        <w:t xml:space="preserve">A   </w:t>
      </w:r>
      <w:r>
        <w:rPr>
          <w:spacing w:val="7"/>
          <w:sz w:val="16"/>
        </w:rPr>
        <w:t xml:space="preserve">Elkem  </w:t>
      </w:r>
      <w:r>
        <w:rPr>
          <w:spacing w:val="5"/>
          <w:sz w:val="16"/>
        </w:rPr>
        <w:t xml:space="preserve">no  </w:t>
      </w:r>
      <w:r>
        <w:rPr>
          <w:spacing w:val="7"/>
          <w:sz w:val="16"/>
        </w:rPr>
        <w:t xml:space="preserve">Amapá.  </w:t>
      </w:r>
      <w:r>
        <w:rPr>
          <w:spacing w:val="6"/>
          <w:sz w:val="16"/>
        </w:rPr>
        <w:t>Mar.</w:t>
      </w:r>
      <w:r>
        <w:rPr>
          <w:spacing w:val="30"/>
          <w:sz w:val="16"/>
        </w:rPr>
        <w:t xml:space="preserve"> </w:t>
      </w:r>
      <w:r>
        <w:rPr>
          <w:spacing w:val="10"/>
          <w:sz w:val="16"/>
        </w:rPr>
        <w:t>2003.</w:t>
      </w:r>
    </w:p>
    <w:p w:rsidR="00D81F69" w:rsidRDefault="00330118">
      <w:pPr>
        <w:tabs>
          <w:tab w:val="left" w:pos="4331"/>
        </w:tabs>
        <w:spacing w:before="2"/>
        <w:ind w:left="100"/>
        <w:jc w:val="both"/>
        <w:rPr>
          <w:sz w:val="16"/>
        </w:rPr>
      </w:pPr>
      <w:r>
        <w:rPr>
          <w:sz w:val="16"/>
        </w:rPr>
        <w:t xml:space="preserve">D      i      s      p      o      n      </w:t>
      </w:r>
      <w:r>
        <w:rPr>
          <w:sz w:val="16"/>
        </w:rPr>
        <w:t xml:space="preserve">í      v  </w:t>
      </w:r>
      <w:r>
        <w:rPr>
          <w:spacing w:val="36"/>
          <w:sz w:val="16"/>
        </w:rPr>
        <w:t xml:space="preserve"> </w:t>
      </w:r>
      <w:r>
        <w:rPr>
          <w:sz w:val="16"/>
        </w:rPr>
        <w:t xml:space="preserve">e    </w:t>
      </w:r>
      <w:r>
        <w:rPr>
          <w:spacing w:val="31"/>
          <w:sz w:val="16"/>
        </w:rPr>
        <w:t xml:space="preserve"> </w:t>
      </w:r>
      <w:r>
        <w:rPr>
          <w:sz w:val="16"/>
        </w:rPr>
        <w:t>l</w:t>
      </w:r>
      <w:r>
        <w:rPr>
          <w:sz w:val="16"/>
        </w:rPr>
        <w:tab/>
        <w:t xml:space="preserve">e      m    </w:t>
      </w:r>
      <w:r>
        <w:rPr>
          <w:spacing w:val="20"/>
          <w:sz w:val="16"/>
        </w:rPr>
        <w:t xml:space="preserve"> </w:t>
      </w:r>
      <w:r>
        <w:rPr>
          <w:sz w:val="16"/>
        </w:rPr>
        <w:t>:</w:t>
      </w:r>
    </w:p>
    <w:p w:rsidR="00D81F69" w:rsidRDefault="00D81F69">
      <w:pPr>
        <w:spacing w:before="56" w:line="312" w:lineRule="auto"/>
        <w:ind w:left="100" w:right="256"/>
        <w:jc w:val="both"/>
        <w:rPr>
          <w:sz w:val="16"/>
        </w:rPr>
      </w:pPr>
      <w:hyperlink r:id="rId110">
        <w:r w:rsidR="00330118">
          <w:rPr>
            <w:sz w:val="16"/>
          </w:rPr>
          <w:t>&lt;http://www.observatoriosocial.org.br/portal/sites/default/files/bibliotec</w:t>
        </w:r>
      </w:hyperlink>
      <w:r w:rsidR="00330118">
        <w:rPr>
          <w:sz w:val="16"/>
        </w:rPr>
        <w:t xml:space="preserve"> a/rel_geral_elkem_mar2003.pdf&gt;. Acesso em: 26 dez. 2011.</w:t>
      </w:r>
    </w:p>
    <w:p w:rsidR="00D81F69" w:rsidRDefault="00330118">
      <w:pPr>
        <w:spacing w:before="2" w:line="312" w:lineRule="auto"/>
        <w:ind w:left="100" w:right="232"/>
        <w:jc w:val="both"/>
        <w:rPr>
          <w:sz w:val="16"/>
        </w:rPr>
      </w:pPr>
      <w:r>
        <w:rPr>
          <w:sz w:val="16"/>
        </w:rPr>
        <w:t>OLIVEIRA, Marcelo José de (coord.). Diagnóstico do setor mineral do Estado do Amapá. Macapá: Iepa, 2010. 148p. Disponível em:</w:t>
      </w:r>
    </w:p>
    <w:p w:rsidR="00D81F69" w:rsidRDefault="00D81F69">
      <w:pPr>
        <w:spacing w:before="1" w:line="312" w:lineRule="auto"/>
        <w:ind w:left="100" w:right="256"/>
        <w:jc w:val="both"/>
        <w:rPr>
          <w:sz w:val="16"/>
        </w:rPr>
      </w:pPr>
      <w:hyperlink r:id="rId111">
        <w:r w:rsidR="00330118">
          <w:rPr>
            <w:sz w:val="16"/>
          </w:rPr>
          <w:t>&lt;</w:t>
        </w:r>
        <w:r w:rsidR="00330118">
          <w:rPr>
            <w:sz w:val="16"/>
          </w:rPr>
          <w:t>http://www.iepa.ap.gov.br/arquivopdf/diagnostico_mineral_amapa.pd</w:t>
        </w:r>
      </w:hyperlink>
      <w:r w:rsidR="00330118">
        <w:rPr>
          <w:sz w:val="16"/>
        </w:rPr>
        <w:t xml:space="preserve"> f&gt;. Acesso em: 26 dez. 2011.</w:t>
      </w:r>
    </w:p>
    <w:p w:rsidR="00D81F69" w:rsidRDefault="00330118">
      <w:pPr>
        <w:spacing w:before="2" w:line="312" w:lineRule="auto"/>
        <w:ind w:left="100" w:right="247"/>
        <w:jc w:val="both"/>
        <w:rPr>
          <w:sz w:val="16"/>
        </w:rPr>
      </w:pPr>
      <w:r>
        <w:rPr>
          <w:sz w:val="16"/>
        </w:rPr>
        <w:t xml:space="preserve">SIMÕES, Helena Cristina Guimarães Queiroz. A história e os efeitos sociais da mineração no estado do Amapá. PRACS: Revista Eletrônica de Humanidades do Curso de </w:t>
      </w:r>
      <w:r>
        <w:rPr>
          <w:sz w:val="16"/>
        </w:rPr>
        <w:t>Ciências Sociais da UNIFAP, n. 2. dez. 2009. Disponível em:</w:t>
      </w:r>
    </w:p>
    <w:p w:rsidR="00D81F69" w:rsidRDefault="00D81F69">
      <w:pPr>
        <w:spacing w:before="3" w:line="312" w:lineRule="auto"/>
        <w:ind w:left="100" w:right="257"/>
        <w:jc w:val="both"/>
        <w:rPr>
          <w:sz w:val="16"/>
        </w:rPr>
      </w:pPr>
      <w:hyperlink r:id="rId112">
        <w:r w:rsidR="00330118">
          <w:rPr>
            <w:sz w:val="16"/>
          </w:rPr>
          <w:t>&lt;http://periodicos.unifap.br/index.php/pracs/article/view/32/n2Helena.p</w:t>
        </w:r>
      </w:hyperlink>
      <w:r w:rsidR="00330118">
        <w:rPr>
          <w:sz w:val="16"/>
        </w:rPr>
        <w:t xml:space="preserve"> df&gt;. Acesso em: 26 dez. 2011.</w:t>
      </w:r>
    </w:p>
    <w:p w:rsidR="00D81F69" w:rsidRDefault="00D81F69">
      <w:pPr>
        <w:spacing w:line="312" w:lineRule="auto"/>
        <w:jc w:val="both"/>
        <w:rPr>
          <w:sz w:val="16"/>
        </w:rPr>
        <w:sectPr w:rsidR="00D81F69">
          <w:footerReference w:type="default" r:id="rId113"/>
          <w:pgSz w:w="11900" w:h="16840"/>
          <w:pgMar w:top="740" w:right="460" w:bottom="600" w:left="620" w:header="0" w:footer="402" w:gutter="0"/>
          <w:pgNumType w:start="31"/>
          <w:cols w:num="2" w:space="720" w:equalWidth="0">
            <w:col w:w="5156" w:space="314"/>
            <w:col w:w="5350"/>
          </w:cols>
        </w:sectPr>
      </w:pPr>
    </w:p>
    <w:p w:rsidR="00D81F69" w:rsidRDefault="00330118">
      <w:pPr>
        <w:pStyle w:val="Heading1"/>
        <w:spacing w:line="208" w:lineRule="auto"/>
        <w:ind w:right="0"/>
      </w:pPr>
      <w:bookmarkStart w:id="17" w:name="_TOC_250016"/>
      <w:bookmarkEnd w:id="17"/>
      <w:r>
        <w:lastRenderedPageBreak/>
        <w:t>Mineração de manganês deixa passivo socioambiental em Serra do Navio (AP)</w:t>
      </w:r>
    </w:p>
    <w:p w:rsidR="00D81F69" w:rsidRDefault="00D81F69">
      <w:pPr>
        <w:pStyle w:val="Corpodetexto"/>
        <w:ind w:left="0"/>
        <w:jc w:val="left"/>
        <w:rPr>
          <w:b/>
          <w:sz w:val="20"/>
        </w:rPr>
      </w:pPr>
    </w:p>
    <w:p w:rsidR="00D81F69" w:rsidRDefault="00D81F69">
      <w:pPr>
        <w:rPr>
          <w:sz w:val="20"/>
        </w:rPr>
        <w:sectPr w:rsidR="00D81F69">
          <w:pgSz w:w="11900" w:h="16840"/>
          <w:pgMar w:top="1080" w:right="46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AP - Santana</w:t>
      </w:r>
    </w:p>
    <w:p w:rsidR="00D81F69" w:rsidRDefault="00330118">
      <w:pPr>
        <w:spacing w:before="49"/>
        <w:ind w:left="135"/>
        <w:rPr>
          <w:i/>
          <w:sz w:val="14"/>
        </w:rPr>
      </w:pPr>
      <w:r>
        <w:rPr>
          <w:i/>
          <w:sz w:val="14"/>
        </w:rPr>
        <w:t>AP - Serra do Navio</w:t>
      </w:r>
    </w:p>
    <w:p w:rsidR="00D81F69" w:rsidRDefault="00D81F69">
      <w:pPr>
        <w:pStyle w:val="Corpodetexto"/>
        <w:spacing w:before="6"/>
        <w:ind w:left="0"/>
        <w:jc w:val="left"/>
        <w:rPr>
          <w:i/>
          <w:sz w:val="22"/>
        </w:rPr>
      </w:pPr>
    </w:p>
    <w:p w:rsidR="00D81F69" w:rsidRDefault="00330118">
      <w:pPr>
        <w:spacing w:line="312" w:lineRule="auto"/>
        <w:ind w:left="135" w:right="588"/>
        <w:rPr>
          <w:i/>
          <w:sz w:val="14"/>
        </w:rPr>
      </w:pPr>
      <w:r>
        <w:rPr>
          <w:i/>
          <w:sz w:val="14"/>
        </w:rPr>
        <w:t>LATITUDE 0,9002</w:t>
      </w:r>
    </w:p>
    <w:p w:rsidR="00D81F69" w:rsidRDefault="00D81F69">
      <w:pPr>
        <w:pStyle w:val="Corpodetexto"/>
        <w:spacing w:before="4"/>
        <w:ind w:left="0"/>
        <w:jc w:val="left"/>
        <w:rPr>
          <w:i/>
        </w:rPr>
      </w:pPr>
    </w:p>
    <w:p w:rsidR="00D81F69" w:rsidRDefault="00330118">
      <w:pPr>
        <w:spacing w:before="1"/>
        <w:ind w:left="135"/>
        <w:rPr>
          <w:i/>
          <w:sz w:val="14"/>
        </w:rPr>
      </w:pPr>
      <w:r>
        <w:rPr>
          <w:i/>
          <w:sz w:val="14"/>
        </w:rPr>
        <w:t>LONGITUDE</w:t>
      </w:r>
    </w:p>
    <w:p w:rsidR="00D81F69" w:rsidRDefault="00330118">
      <w:pPr>
        <w:spacing w:before="49"/>
        <w:ind w:left="135"/>
        <w:rPr>
          <w:i/>
          <w:sz w:val="14"/>
        </w:rPr>
      </w:pPr>
      <w:r>
        <w:rPr>
          <w:i/>
          <w:sz w:val="14"/>
        </w:rPr>
        <w:t>-52,0005</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A </w:t>
      </w:r>
      <w:r>
        <w:rPr>
          <w:i/>
          <w:spacing w:val="5"/>
          <w:sz w:val="16"/>
        </w:rPr>
        <w:t xml:space="preserve">empresa </w:t>
      </w:r>
      <w:r>
        <w:rPr>
          <w:i/>
          <w:spacing w:val="6"/>
          <w:sz w:val="16"/>
        </w:rPr>
        <w:t xml:space="preserve">Indústria </w:t>
      </w:r>
      <w:r>
        <w:rPr>
          <w:i/>
          <w:sz w:val="16"/>
        </w:rPr>
        <w:t xml:space="preserve">e </w:t>
      </w:r>
      <w:r>
        <w:rPr>
          <w:i/>
          <w:spacing w:val="6"/>
          <w:sz w:val="16"/>
        </w:rPr>
        <w:t xml:space="preserve">Comércio </w:t>
      </w:r>
      <w:r>
        <w:rPr>
          <w:i/>
          <w:spacing w:val="7"/>
          <w:sz w:val="16"/>
        </w:rPr>
        <w:t xml:space="preserve">de </w:t>
      </w:r>
      <w:r>
        <w:rPr>
          <w:i/>
          <w:spacing w:val="6"/>
          <w:sz w:val="16"/>
        </w:rPr>
        <w:t xml:space="preserve">Minérios </w:t>
      </w:r>
      <w:r>
        <w:rPr>
          <w:i/>
          <w:spacing w:val="3"/>
          <w:sz w:val="16"/>
        </w:rPr>
        <w:t xml:space="preserve">de </w:t>
      </w:r>
      <w:r>
        <w:rPr>
          <w:i/>
          <w:spacing w:val="5"/>
          <w:sz w:val="16"/>
        </w:rPr>
        <w:t xml:space="preserve">Ferro </w:t>
      </w:r>
      <w:r>
        <w:rPr>
          <w:i/>
          <w:sz w:val="16"/>
        </w:rPr>
        <w:t xml:space="preserve">e </w:t>
      </w:r>
      <w:r>
        <w:rPr>
          <w:i/>
          <w:spacing w:val="6"/>
          <w:sz w:val="16"/>
        </w:rPr>
        <w:t xml:space="preserve">Manganês </w:t>
      </w:r>
      <w:r>
        <w:rPr>
          <w:i/>
          <w:spacing w:val="7"/>
          <w:sz w:val="16"/>
        </w:rPr>
        <w:t xml:space="preserve">S.A. </w:t>
      </w:r>
      <w:r>
        <w:rPr>
          <w:i/>
          <w:spacing w:val="13"/>
          <w:sz w:val="16"/>
        </w:rPr>
        <w:t xml:space="preserve">(Icomi) explorou </w:t>
      </w:r>
      <w:r>
        <w:rPr>
          <w:i/>
          <w:spacing w:val="10"/>
          <w:sz w:val="16"/>
        </w:rPr>
        <w:t>uma</w:t>
      </w:r>
      <w:r>
        <w:rPr>
          <w:i/>
          <w:spacing w:val="65"/>
          <w:sz w:val="16"/>
        </w:rPr>
        <w:t xml:space="preserve"> </w:t>
      </w:r>
      <w:r>
        <w:rPr>
          <w:i/>
          <w:spacing w:val="13"/>
          <w:sz w:val="16"/>
        </w:rPr>
        <w:t xml:space="preserve">jazida </w:t>
      </w:r>
      <w:r>
        <w:rPr>
          <w:i/>
          <w:spacing w:val="7"/>
          <w:sz w:val="16"/>
        </w:rPr>
        <w:t xml:space="preserve">de </w:t>
      </w:r>
      <w:r>
        <w:rPr>
          <w:i/>
          <w:spacing w:val="5"/>
          <w:sz w:val="16"/>
        </w:rPr>
        <w:t xml:space="preserve">manganês </w:t>
      </w:r>
      <w:r>
        <w:rPr>
          <w:i/>
          <w:spacing w:val="2"/>
          <w:sz w:val="16"/>
        </w:rPr>
        <w:t xml:space="preserve">do </w:t>
      </w:r>
      <w:r>
        <w:rPr>
          <w:i/>
          <w:spacing w:val="5"/>
          <w:sz w:val="16"/>
        </w:rPr>
        <w:t xml:space="preserve">município </w:t>
      </w:r>
      <w:r>
        <w:rPr>
          <w:i/>
          <w:spacing w:val="2"/>
          <w:sz w:val="16"/>
        </w:rPr>
        <w:t xml:space="preserve">de </w:t>
      </w:r>
      <w:r>
        <w:rPr>
          <w:i/>
          <w:spacing w:val="3"/>
          <w:sz w:val="16"/>
        </w:rPr>
        <w:t xml:space="preserve">Serra </w:t>
      </w:r>
      <w:r>
        <w:rPr>
          <w:i/>
          <w:spacing w:val="5"/>
          <w:sz w:val="16"/>
        </w:rPr>
        <w:t xml:space="preserve">do </w:t>
      </w:r>
      <w:r>
        <w:rPr>
          <w:i/>
          <w:spacing w:val="3"/>
          <w:sz w:val="16"/>
        </w:rPr>
        <w:t xml:space="preserve">Navio </w:t>
      </w:r>
      <w:r>
        <w:rPr>
          <w:i/>
          <w:spacing w:val="2"/>
          <w:sz w:val="16"/>
        </w:rPr>
        <w:t xml:space="preserve">(AP) por </w:t>
      </w:r>
      <w:r>
        <w:rPr>
          <w:i/>
          <w:spacing w:val="1"/>
          <w:sz w:val="16"/>
        </w:rPr>
        <w:t xml:space="preserve">40 </w:t>
      </w:r>
      <w:r>
        <w:rPr>
          <w:i/>
          <w:spacing w:val="3"/>
          <w:sz w:val="16"/>
        </w:rPr>
        <w:t xml:space="preserve">anos, entre </w:t>
      </w:r>
      <w:r>
        <w:rPr>
          <w:i/>
          <w:spacing w:val="2"/>
          <w:sz w:val="16"/>
        </w:rPr>
        <w:t xml:space="preserve">1957 </w:t>
      </w:r>
      <w:r>
        <w:rPr>
          <w:i/>
          <w:sz w:val="16"/>
        </w:rPr>
        <w:t xml:space="preserve">e 1997. Além de imensas pilhas de rejeitos e de </w:t>
      </w:r>
      <w:r>
        <w:rPr>
          <w:i/>
          <w:spacing w:val="1"/>
          <w:sz w:val="16"/>
        </w:rPr>
        <w:t xml:space="preserve">finos, </w:t>
      </w:r>
      <w:r>
        <w:rPr>
          <w:i/>
          <w:sz w:val="16"/>
        </w:rPr>
        <w:t xml:space="preserve">a </w:t>
      </w:r>
      <w:r>
        <w:rPr>
          <w:i/>
          <w:spacing w:val="1"/>
          <w:sz w:val="16"/>
        </w:rPr>
        <w:t xml:space="preserve">Icomi deixou </w:t>
      </w:r>
      <w:r>
        <w:rPr>
          <w:i/>
          <w:sz w:val="16"/>
        </w:rPr>
        <w:t xml:space="preserve">um </w:t>
      </w:r>
      <w:r>
        <w:rPr>
          <w:i/>
          <w:spacing w:val="2"/>
          <w:sz w:val="16"/>
        </w:rPr>
        <w:t xml:space="preserve">passivo </w:t>
      </w:r>
      <w:r>
        <w:rPr>
          <w:i/>
          <w:sz w:val="16"/>
        </w:rPr>
        <w:t>ambiental, com contaminação de rios e lençóis freáticos por arsênio.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5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25"/>
      </w:pPr>
      <w:r>
        <w:t xml:space="preserve">Navio; na construção da Estrada de Ferro do Amapá – </w:t>
      </w:r>
      <w:r>
        <w:rPr>
          <w:spacing w:val="1"/>
        </w:rPr>
        <w:t xml:space="preserve">que  </w:t>
      </w:r>
      <w:r>
        <w:t xml:space="preserve">faz a ligação entre Serra do Navio e o Porto de Santana –; num embarcadouro de minério (OCMAL, 2009; DRUMMOND, 1998), no rio Amazonas (CABRAL JUNIOR et al., 2004); e em duas vilas residenciais: uma perto da mina, denominada Vila </w:t>
      </w:r>
      <w:r>
        <w:rPr>
          <w:spacing w:val="5"/>
        </w:rPr>
        <w:t xml:space="preserve">Serra </w:t>
      </w:r>
      <w:r>
        <w:rPr>
          <w:spacing w:val="2"/>
        </w:rPr>
        <w:t xml:space="preserve">do </w:t>
      </w:r>
      <w:r>
        <w:rPr>
          <w:spacing w:val="5"/>
        </w:rPr>
        <w:t xml:space="preserve">Navio, </w:t>
      </w:r>
      <w:r>
        <w:t xml:space="preserve">e a </w:t>
      </w:r>
      <w:r>
        <w:rPr>
          <w:spacing w:val="5"/>
        </w:rPr>
        <w:t xml:space="preserve">outra, </w:t>
      </w:r>
      <w:r>
        <w:rPr>
          <w:spacing w:val="2"/>
        </w:rPr>
        <w:t xml:space="preserve">na </w:t>
      </w:r>
      <w:r>
        <w:rPr>
          <w:spacing w:val="5"/>
        </w:rPr>
        <w:t xml:space="preserve">proximidade </w:t>
      </w:r>
      <w:r>
        <w:rPr>
          <w:spacing w:val="2"/>
        </w:rPr>
        <w:t xml:space="preserve">do </w:t>
      </w:r>
      <w:r>
        <w:rPr>
          <w:spacing w:val="5"/>
        </w:rPr>
        <w:t xml:space="preserve">Porto </w:t>
      </w:r>
      <w:r>
        <w:rPr>
          <w:spacing w:val="6"/>
        </w:rPr>
        <w:t xml:space="preserve">de </w:t>
      </w:r>
      <w:r>
        <w:rPr>
          <w:spacing w:val="7"/>
        </w:rPr>
        <w:t xml:space="preserve">Santana, </w:t>
      </w:r>
      <w:r>
        <w:rPr>
          <w:spacing w:val="8"/>
        </w:rPr>
        <w:t xml:space="preserve">denominada </w:t>
      </w:r>
      <w:r>
        <w:rPr>
          <w:spacing w:val="6"/>
        </w:rPr>
        <w:t xml:space="preserve">Vila </w:t>
      </w:r>
      <w:r>
        <w:rPr>
          <w:spacing w:val="7"/>
        </w:rPr>
        <w:t xml:space="preserve">Amazonas (OCMAL, </w:t>
      </w:r>
      <w:r>
        <w:rPr>
          <w:spacing w:val="10"/>
        </w:rPr>
        <w:t xml:space="preserve">2009; </w:t>
      </w:r>
      <w:r>
        <w:rPr>
          <w:spacing w:val="7"/>
        </w:rPr>
        <w:t>DRUMMOND,</w:t>
      </w:r>
      <w:r>
        <w:rPr>
          <w:spacing w:val="52"/>
        </w:rPr>
        <w:t xml:space="preserve"> </w:t>
      </w:r>
      <w:r>
        <w:rPr>
          <w:spacing w:val="10"/>
        </w:rPr>
        <w:t>1998).</w:t>
      </w:r>
    </w:p>
    <w:p w:rsidR="00D81F69" w:rsidRDefault="00330118">
      <w:pPr>
        <w:pStyle w:val="Corpodetexto"/>
        <w:spacing w:before="74" w:line="270" w:lineRule="atLeast"/>
        <w:ind w:left="135" w:right="247"/>
      </w:pPr>
      <w:r>
        <w:t>Até meados dos anos de 1970, o minério de granulometria mais fina não tinha aplicação no mercado, permanecendo estocado na Serra do Navio. Modificações no mercado</w:t>
      </w:r>
    </w:p>
    <w:p w:rsidR="00D81F69" w:rsidRDefault="00D81F69">
      <w:pPr>
        <w:spacing w:line="270" w:lineRule="atLeast"/>
        <w:sectPr w:rsidR="00D81F69">
          <w:type w:val="continuous"/>
          <w:pgSz w:w="11900" w:h="16840"/>
          <w:pgMar w:top="720" w:right="460" w:bottom="280" w:left="620" w:header="720" w:footer="720" w:gutter="0"/>
          <w:cols w:num="3" w:space="720" w:equalWidth="0">
            <w:col w:w="1420" w:space="580"/>
            <w:col w:w="3123" w:space="312"/>
            <w:col w:w="5385"/>
          </w:cols>
        </w:sectPr>
      </w:pPr>
    </w:p>
    <w:p w:rsidR="00D81F69" w:rsidRDefault="00330118">
      <w:pPr>
        <w:pStyle w:val="Heading4"/>
        <w:spacing w:line="183" w:lineRule="exact"/>
        <w:jc w:val="left"/>
      </w:pPr>
      <w:r>
        <w:lastRenderedPageBreak/>
        <w:t>APRESENTAÇÃO DE CASO</w:t>
      </w:r>
    </w:p>
    <w:p w:rsidR="00D81F69" w:rsidRDefault="00330118">
      <w:pPr>
        <w:pStyle w:val="Corpodetexto"/>
        <w:spacing w:before="170" w:line="312" w:lineRule="auto"/>
        <w:ind w:right="76"/>
      </w:pPr>
      <w:r>
        <w:t xml:space="preserve">Mais de uma década depois do encerramento das atividades da exploração de </w:t>
      </w:r>
      <w:hyperlink r:id="rId114">
        <w:r>
          <w:t xml:space="preserve">manganês </w:t>
        </w:r>
      </w:hyperlink>
      <w:r>
        <w:t>em Serra do Navio, no Amapá, o passivo ambiental gerado pela atividade mineradora na região ainda não foi completamente avaliado e liquidado (ALBANO, 2001).</w:t>
      </w:r>
    </w:p>
    <w:p w:rsidR="00D81F69" w:rsidRDefault="00330118">
      <w:pPr>
        <w:pStyle w:val="Corpodetexto"/>
        <w:spacing w:before="135" w:line="312" w:lineRule="auto"/>
        <w:ind w:right="74"/>
      </w:pPr>
      <w:r>
        <w:t>Em 1999, um relatório da Comissão Parlamentar de Inquérito da Assembléia Legislativa do Amapá apont</w:t>
      </w:r>
      <w:r>
        <w:t>ou que a Icomi negligenciou cláusulas contratuais, poluindo o meio ambiente. Além disso, a empresa não teria revertido parte de seus lucros em benefícios sociais para a região (COSTA, 2008).</w:t>
      </w:r>
    </w:p>
    <w:p w:rsidR="00D81F69" w:rsidRDefault="00330118">
      <w:pPr>
        <w:pStyle w:val="Corpodetexto"/>
        <w:spacing w:before="134" w:line="312" w:lineRule="auto"/>
        <w:ind w:right="69"/>
        <w:jc w:val="left"/>
      </w:pPr>
      <w:r>
        <w:t xml:space="preserve">Com 7.756 km² e 4.409 habitantes (IBGE, 2010a), o município </w:t>
      </w:r>
      <w:r>
        <w:rPr>
          <w:spacing w:val="2"/>
        </w:rPr>
        <w:t xml:space="preserve">de </w:t>
      </w:r>
      <w:r>
        <w:rPr>
          <w:spacing w:val="5"/>
        </w:rPr>
        <w:t>Se</w:t>
      </w:r>
      <w:r>
        <w:rPr>
          <w:spacing w:val="5"/>
        </w:rPr>
        <w:t xml:space="preserve">rra </w:t>
      </w:r>
      <w:r>
        <w:rPr>
          <w:spacing w:val="2"/>
        </w:rPr>
        <w:t xml:space="preserve">do </w:t>
      </w:r>
      <w:r>
        <w:rPr>
          <w:spacing w:val="5"/>
        </w:rPr>
        <w:t xml:space="preserve">Navio </w:t>
      </w:r>
      <w:r>
        <w:t xml:space="preserve">é </w:t>
      </w:r>
      <w:r>
        <w:rPr>
          <w:spacing w:val="2"/>
        </w:rPr>
        <w:t xml:space="preserve">um </w:t>
      </w:r>
      <w:r>
        <w:rPr>
          <w:spacing w:val="3"/>
        </w:rPr>
        <w:t xml:space="preserve">dos </w:t>
      </w:r>
      <w:r>
        <w:rPr>
          <w:spacing w:val="5"/>
        </w:rPr>
        <w:t xml:space="preserve">mais afetados pelo </w:t>
      </w:r>
      <w:r>
        <w:rPr>
          <w:spacing w:val="3"/>
        </w:rPr>
        <w:t xml:space="preserve">fim </w:t>
      </w:r>
      <w:r>
        <w:rPr>
          <w:spacing w:val="6"/>
        </w:rPr>
        <w:t>da</w:t>
      </w:r>
      <w:r>
        <w:rPr>
          <w:spacing w:val="63"/>
        </w:rPr>
        <w:t xml:space="preserve"> </w:t>
      </w:r>
      <w:r>
        <w:t xml:space="preserve">exploração do manganês na região (COSTA, 2008). </w:t>
      </w:r>
      <w:r>
        <w:rPr>
          <w:spacing w:val="1"/>
        </w:rPr>
        <w:t xml:space="preserve">Criado </w:t>
      </w:r>
      <w:r>
        <w:t xml:space="preserve">em 1954 como Vila Serra do Navio, o município, emancipado </w:t>
      </w:r>
      <w:r>
        <w:rPr>
          <w:spacing w:val="1"/>
        </w:rPr>
        <w:t xml:space="preserve">de </w:t>
      </w:r>
      <w:r>
        <w:rPr>
          <w:spacing w:val="3"/>
        </w:rPr>
        <w:t xml:space="preserve">Santana </w:t>
      </w:r>
      <w:r>
        <w:rPr>
          <w:spacing w:val="1"/>
        </w:rPr>
        <w:t xml:space="preserve">em </w:t>
      </w:r>
      <w:r>
        <w:rPr>
          <w:spacing w:val="3"/>
        </w:rPr>
        <w:t xml:space="preserve">1992, </w:t>
      </w:r>
      <w:r>
        <w:rPr>
          <w:spacing w:val="2"/>
        </w:rPr>
        <w:t xml:space="preserve">arca com </w:t>
      </w:r>
      <w:r>
        <w:rPr>
          <w:spacing w:val="1"/>
        </w:rPr>
        <w:t xml:space="preserve">as </w:t>
      </w:r>
      <w:r>
        <w:rPr>
          <w:spacing w:val="3"/>
        </w:rPr>
        <w:t xml:space="preserve">consequências </w:t>
      </w:r>
      <w:r>
        <w:rPr>
          <w:spacing w:val="1"/>
        </w:rPr>
        <w:t xml:space="preserve">de </w:t>
      </w:r>
      <w:r>
        <w:rPr>
          <w:spacing w:val="5"/>
        </w:rPr>
        <w:t xml:space="preserve">um </w:t>
      </w:r>
      <w:r>
        <w:t>projeto de desenvolvimento marcado pela con</w:t>
      </w:r>
      <w:r>
        <w:t xml:space="preserve">centração de </w:t>
      </w:r>
      <w:r>
        <w:rPr>
          <w:spacing w:val="5"/>
        </w:rPr>
        <w:t xml:space="preserve">renda </w:t>
      </w:r>
      <w:r>
        <w:t xml:space="preserve">e </w:t>
      </w:r>
      <w:r>
        <w:rPr>
          <w:spacing w:val="5"/>
        </w:rPr>
        <w:t xml:space="preserve">pela inexistência </w:t>
      </w:r>
      <w:r>
        <w:rPr>
          <w:spacing w:val="2"/>
        </w:rPr>
        <w:t xml:space="preserve">de </w:t>
      </w:r>
      <w:r>
        <w:rPr>
          <w:spacing w:val="5"/>
        </w:rPr>
        <w:t xml:space="preserve">preocupação </w:t>
      </w:r>
      <w:r>
        <w:rPr>
          <w:spacing w:val="3"/>
        </w:rPr>
        <w:t xml:space="preserve">com </w:t>
      </w:r>
      <w:r>
        <w:t xml:space="preserve">a </w:t>
      </w:r>
      <w:r>
        <w:rPr>
          <w:spacing w:val="6"/>
        </w:rPr>
        <w:t xml:space="preserve">saúde </w:t>
      </w:r>
      <w:r>
        <w:t>coletiva ou ambiental (MAPA DA INJUSTIÇA AMBIENTAL E SAÚDE NO BRASIL,</w:t>
      </w:r>
      <w:r>
        <w:rPr>
          <w:spacing w:val="31"/>
        </w:rPr>
        <w:t xml:space="preserve"> </w:t>
      </w:r>
      <w:r>
        <w:t>2009).</w:t>
      </w:r>
    </w:p>
    <w:p w:rsidR="00D81F69" w:rsidRDefault="00330118">
      <w:pPr>
        <w:pStyle w:val="Corpodetexto"/>
        <w:spacing w:before="139" w:line="312" w:lineRule="auto"/>
        <w:ind w:right="88"/>
      </w:pPr>
      <w:r>
        <w:t>A exploração do manganês na Serra do Navio foi a primeira experiência de mineração empresarial empreendida na Ama</w:t>
      </w:r>
      <w:r>
        <w:t>zônia brasileira (MONTEIRO, 2003). As jazidas foram descobertas em 1945, e o direito de explorá-las foi concedido pelo governo federal, em 1947, à Indústria e Comércio de Minérios S.A. (Icomi), que lavrou, beneficiou e comercializou minério de manganês até</w:t>
      </w:r>
      <w:r>
        <w:t xml:space="preserve"> 1997 (SCARPELLI, 2003).</w:t>
      </w:r>
    </w:p>
    <w:p w:rsidR="00D81F69" w:rsidRDefault="00330118">
      <w:pPr>
        <w:pStyle w:val="Corpodetexto"/>
        <w:spacing w:before="136" w:line="312" w:lineRule="auto"/>
        <w:ind w:right="61"/>
      </w:pPr>
      <w:r>
        <w:t>A Icomi iniciou suas atividades em 1957, e sua produção dirigiu-se predominantemente ao mercado externo, respondendo por grande parte das exportações brasileiras de manganês (FERNANDES, et al., 1982). Logo nos primeiros anos de exp</w:t>
      </w:r>
      <w:r>
        <w:t>loração, o Brasil passou a ser o quarto maior produtor de minério de manganês, sendo superado apenas pela então União Soviética, pela África do Sul e pela Índia (OBSERVATÓRIO SOCIAL, 2003).</w:t>
      </w:r>
    </w:p>
    <w:p w:rsidR="00D81F69" w:rsidRDefault="00330118">
      <w:pPr>
        <w:pStyle w:val="Corpodetexto"/>
        <w:spacing w:before="74" w:line="270" w:lineRule="atLeast"/>
        <w:ind w:right="94"/>
      </w:pPr>
      <w:r>
        <w:t>O empreendimento consistia em instalações industriais para lavra e</w:t>
      </w:r>
      <w:r>
        <w:t xml:space="preserve"> beneficiamento do minério (uma mina), na Serra do</w:t>
      </w:r>
    </w:p>
    <w:p w:rsidR="00D81F69" w:rsidRDefault="00330118">
      <w:pPr>
        <w:pStyle w:val="Corpodetexto"/>
        <w:spacing w:before="63" w:line="312" w:lineRule="auto"/>
        <w:ind w:right="248"/>
      </w:pPr>
      <w:r>
        <w:br w:type="column"/>
      </w:r>
      <w:r>
        <w:lastRenderedPageBreak/>
        <w:t>mundial do manganês induziram mudanças na organização industrial da Icomi, que, então, construiu uma usina de pelotização, destinada a concentrar as frações finas do minério (PEREIRA et al., 2009), na pro</w:t>
      </w:r>
      <w:r>
        <w:t>ximidades do porto da Vila do Elesbão, na área industrial do município de Santana (CASARA, 2003).</w:t>
      </w:r>
    </w:p>
    <w:p w:rsidR="00D81F69" w:rsidRDefault="00330118">
      <w:pPr>
        <w:pStyle w:val="Corpodetexto"/>
        <w:spacing w:before="135" w:line="312" w:lineRule="auto"/>
        <w:ind w:right="241"/>
      </w:pPr>
      <w:r>
        <w:t xml:space="preserve">Durante o processo de pelotização, usando temperaturas da ordem de 900 a 1000ºC, aglomeravam-se os finos em pelotas </w:t>
      </w:r>
      <w:r>
        <w:rPr>
          <w:spacing w:val="10"/>
        </w:rPr>
        <w:t xml:space="preserve">endurecidas </w:t>
      </w:r>
      <w:r>
        <w:rPr>
          <w:spacing w:val="5"/>
        </w:rPr>
        <w:t xml:space="preserve">de </w:t>
      </w:r>
      <w:r>
        <w:rPr>
          <w:spacing w:val="10"/>
        </w:rPr>
        <w:t xml:space="preserve">cerca </w:t>
      </w:r>
      <w:r>
        <w:rPr>
          <w:spacing w:val="5"/>
        </w:rPr>
        <w:t xml:space="preserve">de </w:t>
      </w:r>
      <w:r>
        <w:t xml:space="preserve">1 </w:t>
      </w:r>
      <w:r>
        <w:rPr>
          <w:spacing w:val="7"/>
        </w:rPr>
        <w:t xml:space="preserve">cm, </w:t>
      </w:r>
      <w:r>
        <w:t xml:space="preserve">o </w:t>
      </w:r>
      <w:r>
        <w:rPr>
          <w:spacing w:val="7"/>
        </w:rPr>
        <w:t xml:space="preserve">que </w:t>
      </w:r>
      <w:r>
        <w:rPr>
          <w:spacing w:val="10"/>
        </w:rPr>
        <w:t>permit</w:t>
      </w:r>
      <w:r>
        <w:rPr>
          <w:spacing w:val="10"/>
        </w:rPr>
        <w:t xml:space="preserve">ia </w:t>
      </w:r>
      <w:r>
        <w:rPr>
          <w:spacing w:val="12"/>
        </w:rPr>
        <w:t xml:space="preserve">sua </w:t>
      </w:r>
      <w:r>
        <w:rPr>
          <w:spacing w:val="6"/>
        </w:rPr>
        <w:t xml:space="preserve">comercialização (PEREIRA </w:t>
      </w:r>
      <w:r>
        <w:rPr>
          <w:spacing w:val="3"/>
        </w:rPr>
        <w:t xml:space="preserve">et </w:t>
      </w:r>
      <w:r>
        <w:rPr>
          <w:spacing w:val="5"/>
        </w:rPr>
        <w:t xml:space="preserve">al., 2009). </w:t>
      </w:r>
      <w:r>
        <w:rPr>
          <w:spacing w:val="6"/>
        </w:rPr>
        <w:t xml:space="preserve">Entretanto, </w:t>
      </w:r>
      <w:r>
        <w:t xml:space="preserve">o aquecimento a altas temperaturas tornou o </w:t>
      </w:r>
      <w:hyperlink r:id="rId115">
        <w:r>
          <w:t xml:space="preserve">arsênio, </w:t>
        </w:r>
      </w:hyperlink>
      <w:r>
        <w:t xml:space="preserve">contido </w:t>
      </w:r>
      <w:r>
        <w:rPr>
          <w:spacing w:val="6"/>
        </w:rPr>
        <w:t xml:space="preserve">no </w:t>
      </w:r>
      <w:r>
        <w:rPr>
          <w:spacing w:val="12"/>
        </w:rPr>
        <w:t xml:space="preserve">minério, solubilizável </w:t>
      </w:r>
      <w:r>
        <w:rPr>
          <w:spacing w:val="6"/>
        </w:rPr>
        <w:t xml:space="preserve">em </w:t>
      </w:r>
      <w:r>
        <w:rPr>
          <w:spacing w:val="12"/>
        </w:rPr>
        <w:t>condições ambient</w:t>
      </w:r>
      <w:r>
        <w:rPr>
          <w:spacing w:val="12"/>
        </w:rPr>
        <w:t>ais (SCARPELLI,</w:t>
      </w:r>
      <w:r>
        <w:rPr>
          <w:spacing w:val="73"/>
        </w:rPr>
        <w:t xml:space="preserve"> </w:t>
      </w:r>
      <w:r>
        <w:rPr>
          <w:spacing w:val="11"/>
        </w:rPr>
        <w:t>2003).</w:t>
      </w:r>
      <w:r>
        <w:rPr>
          <w:spacing w:val="-34"/>
        </w:rPr>
        <w:t xml:space="preserve"> </w:t>
      </w:r>
    </w:p>
    <w:p w:rsidR="00D81F69" w:rsidRDefault="00330118">
      <w:pPr>
        <w:pStyle w:val="Corpodetexto"/>
        <w:spacing w:before="137" w:line="312" w:lineRule="auto"/>
        <w:ind w:right="234"/>
      </w:pPr>
      <w:r>
        <w:t xml:space="preserve">O processo de pelotização deixou uma grande quantidade de rejeitos, compostos de resíduos finos e algumas pelotas mal formadas, mal compactas ou pequenas, que foi depositada </w:t>
      </w:r>
      <w:r>
        <w:rPr>
          <w:spacing w:val="2"/>
        </w:rPr>
        <w:t xml:space="preserve">em </w:t>
      </w:r>
      <w:r>
        <w:rPr>
          <w:spacing w:val="3"/>
        </w:rPr>
        <w:t xml:space="preserve">uma </w:t>
      </w:r>
      <w:r>
        <w:rPr>
          <w:spacing w:val="5"/>
        </w:rPr>
        <w:t xml:space="preserve">barragem artificial situada </w:t>
      </w:r>
      <w:r>
        <w:rPr>
          <w:spacing w:val="2"/>
        </w:rPr>
        <w:t xml:space="preserve">ao </w:t>
      </w:r>
      <w:r>
        <w:rPr>
          <w:spacing w:val="5"/>
        </w:rPr>
        <w:t xml:space="preserve">lado </w:t>
      </w:r>
      <w:r>
        <w:rPr>
          <w:spacing w:val="2"/>
        </w:rPr>
        <w:t xml:space="preserve">da </w:t>
      </w:r>
      <w:r>
        <w:rPr>
          <w:spacing w:val="5"/>
        </w:rPr>
        <w:t xml:space="preserve">usina </w:t>
      </w:r>
      <w:r>
        <w:rPr>
          <w:spacing w:val="6"/>
        </w:rPr>
        <w:t xml:space="preserve">de </w:t>
      </w:r>
      <w:r>
        <w:t xml:space="preserve">pelotização (PEREIRA et al., 2009; FIQUEIREDO; </w:t>
      </w:r>
      <w:r>
        <w:rPr>
          <w:spacing w:val="1"/>
        </w:rPr>
        <w:t xml:space="preserve">BORBA; ANGÉLICA, 2006). Esses resíduos continham alto grau </w:t>
      </w:r>
      <w:r>
        <w:rPr>
          <w:spacing w:val="2"/>
        </w:rPr>
        <w:t xml:space="preserve">de </w:t>
      </w:r>
      <w:r>
        <w:rPr>
          <w:spacing w:val="8"/>
        </w:rPr>
        <w:t xml:space="preserve">concentração </w:t>
      </w:r>
      <w:r>
        <w:rPr>
          <w:spacing w:val="5"/>
        </w:rPr>
        <w:t xml:space="preserve">de </w:t>
      </w:r>
      <w:r>
        <w:rPr>
          <w:spacing w:val="7"/>
        </w:rPr>
        <w:t xml:space="preserve">arsênio </w:t>
      </w:r>
      <w:r>
        <w:t xml:space="preserve">e </w:t>
      </w:r>
      <w:r>
        <w:rPr>
          <w:spacing w:val="7"/>
        </w:rPr>
        <w:t xml:space="preserve">outras </w:t>
      </w:r>
      <w:r>
        <w:rPr>
          <w:spacing w:val="8"/>
        </w:rPr>
        <w:t xml:space="preserve">substâncias </w:t>
      </w:r>
      <w:r>
        <w:rPr>
          <w:spacing w:val="10"/>
        </w:rPr>
        <w:t xml:space="preserve">tóxicas </w:t>
      </w:r>
      <w:r>
        <w:rPr>
          <w:spacing w:val="7"/>
        </w:rPr>
        <w:t>(CASARA,</w:t>
      </w:r>
      <w:r>
        <w:rPr>
          <w:spacing w:val="47"/>
        </w:rPr>
        <w:t xml:space="preserve"> </w:t>
      </w:r>
      <w:r>
        <w:rPr>
          <w:spacing w:val="10"/>
        </w:rPr>
        <w:t>2003).</w:t>
      </w:r>
    </w:p>
    <w:p w:rsidR="00D81F69" w:rsidRDefault="00330118">
      <w:pPr>
        <w:pStyle w:val="Corpodetexto"/>
        <w:spacing w:before="137" w:line="312" w:lineRule="auto"/>
        <w:ind w:right="193"/>
        <w:jc w:val="left"/>
      </w:pPr>
      <w:r>
        <w:t>Em Santana, município com 1580 km² e 101.203 habitantes (IBGE, 2010b), a popul</w:t>
      </w:r>
      <w:r>
        <w:t>ação, em especial os moradores da Vila do Elesbão, ainda sofre com os efeitos da contaminação por arsênio. A intoxicação causa distúrbios gástricos, intestinais, renais, problemas no sistema nervoso central, dentre outros. Os rejeitos abandonados em Santan</w:t>
      </w:r>
      <w:r>
        <w:t>a são perigosos porque a estrutura do manganês foi alterada pelas altas temperaturas do processo de pelotização, que elimina o minério de baixo teor (CASARA, 2003).</w:t>
      </w:r>
    </w:p>
    <w:p w:rsidR="00D81F69" w:rsidRDefault="00330118">
      <w:pPr>
        <w:pStyle w:val="Corpodetexto"/>
        <w:spacing w:before="139" w:line="312" w:lineRule="auto"/>
        <w:ind w:right="234"/>
      </w:pPr>
      <w:r>
        <w:t>O arsênio contaminou a água da barragem e as águas do subsolo em suas imediações. Como na é</w:t>
      </w:r>
      <w:r>
        <w:t>poca das chuvas a barragem transbordava, os igarapés Elesbão I e II, usados pela população local para diversas finalidades, foram contaminados por arsênio, conforme constatação da Secretaria de Meio Ambiente do Amapá (Sema-AP) (PEREIRA et al., 2009; FIQUEI</w:t>
      </w:r>
      <w:r>
        <w:t>REDO; BORBA; ANGÉLICA,</w:t>
      </w:r>
    </w:p>
    <w:p w:rsidR="00D81F69" w:rsidRDefault="00D81F69">
      <w:pPr>
        <w:spacing w:line="312" w:lineRule="auto"/>
        <w:sectPr w:rsidR="00D81F69">
          <w:type w:val="continuous"/>
          <w:pgSz w:w="11900" w:h="16840"/>
          <w:pgMar w:top="720" w:right="460" w:bottom="280" w:left="620" w:header="720" w:footer="720" w:gutter="0"/>
          <w:cols w:num="2" w:space="720" w:equalWidth="0">
            <w:col w:w="5192" w:space="278"/>
            <w:col w:w="5350"/>
          </w:cols>
        </w:sectPr>
      </w:pPr>
    </w:p>
    <w:p w:rsidR="00D81F69" w:rsidRDefault="00330118">
      <w:pPr>
        <w:pStyle w:val="Corpodetexto"/>
        <w:spacing w:before="81"/>
      </w:pPr>
      <w:r>
        <w:lastRenderedPageBreak/>
        <w:t>2006).</w:t>
      </w:r>
    </w:p>
    <w:p w:rsidR="00D81F69" w:rsidRDefault="00D81F69">
      <w:pPr>
        <w:pStyle w:val="Corpodetexto"/>
        <w:spacing w:before="9"/>
        <w:ind w:left="0"/>
        <w:jc w:val="left"/>
        <w:rPr>
          <w:sz w:val="16"/>
        </w:rPr>
      </w:pPr>
    </w:p>
    <w:p w:rsidR="00D81F69" w:rsidRDefault="00330118">
      <w:pPr>
        <w:pStyle w:val="Corpodetexto"/>
        <w:spacing w:line="312" w:lineRule="auto"/>
        <w:ind w:right="38"/>
      </w:pPr>
      <w:r>
        <w:t>Após constatada a contaminação dos riachos, a Icomi sugeriu que os rejeitos fossem armazenados em um aterro que seria construído nas proximidades da comunidade do Quilombo do Curiaú e de outras vila</w:t>
      </w:r>
      <w:r>
        <w:t>s vizinhas à Serra do Navio. Contrariadas, as comunidades se uniram e conseguiram impedir que a empresa despejasse o material nesse local (MENCONI; SILVA, 2002).</w:t>
      </w:r>
    </w:p>
    <w:p w:rsidR="00D81F69" w:rsidRDefault="00330118">
      <w:pPr>
        <w:pStyle w:val="Corpodetexto"/>
        <w:spacing w:before="136" w:line="312" w:lineRule="auto"/>
        <w:ind w:right="48"/>
      </w:pPr>
      <w:r>
        <w:t xml:space="preserve">A </w:t>
      </w:r>
      <w:r>
        <w:rPr>
          <w:spacing w:val="17"/>
        </w:rPr>
        <w:t xml:space="preserve">Icomi, então, retirou </w:t>
      </w:r>
      <w:r>
        <w:t xml:space="preserve">o </w:t>
      </w:r>
      <w:r>
        <w:rPr>
          <w:spacing w:val="17"/>
        </w:rPr>
        <w:t xml:space="preserve">rejeito </w:t>
      </w:r>
      <w:r>
        <w:rPr>
          <w:spacing w:val="10"/>
        </w:rPr>
        <w:t>da</w:t>
      </w:r>
      <w:r>
        <w:rPr>
          <w:spacing w:val="71"/>
        </w:rPr>
        <w:t xml:space="preserve"> </w:t>
      </w:r>
      <w:r>
        <w:rPr>
          <w:spacing w:val="18"/>
        </w:rPr>
        <w:t xml:space="preserve">barragem </w:t>
      </w:r>
      <w:r>
        <w:t>(aproximadamente 150 mil toneladas) e o deposito</w:t>
      </w:r>
      <w:r>
        <w:t xml:space="preserve">u no solo, na área Industrial da empresa, sem proteção, apenas coberto por plástico. Parte dele foi distribuído na cidade de Santana </w:t>
      </w:r>
      <w:r>
        <w:rPr>
          <w:spacing w:val="1"/>
        </w:rPr>
        <w:t xml:space="preserve">para </w:t>
      </w:r>
      <w:r>
        <w:t xml:space="preserve">ser </w:t>
      </w:r>
      <w:r>
        <w:rPr>
          <w:spacing w:val="1"/>
        </w:rPr>
        <w:t xml:space="preserve">usado </w:t>
      </w:r>
      <w:r>
        <w:t xml:space="preserve">em </w:t>
      </w:r>
      <w:r>
        <w:rPr>
          <w:spacing w:val="1"/>
        </w:rPr>
        <w:t xml:space="preserve">concreto asfáltico, aterro </w:t>
      </w:r>
      <w:r>
        <w:t xml:space="preserve">em </w:t>
      </w:r>
      <w:r>
        <w:rPr>
          <w:spacing w:val="1"/>
        </w:rPr>
        <w:t xml:space="preserve">quintais </w:t>
      </w:r>
      <w:r>
        <w:t xml:space="preserve">e </w:t>
      </w:r>
      <w:r>
        <w:rPr>
          <w:spacing w:val="1"/>
        </w:rPr>
        <w:t xml:space="preserve">jardins, </w:t>
      </w:r>
      <w:r>
        <w:t xml:space="preserve">e na </w:t>
      </w:r>
      <w:r>
        <w:rPr>
          <w:spacing w:val="1"/>
        </w:rPr>
        <w:t xml:space="preserve">construção </w:t>
      </w:r>
      <w:r>
        <w:t xml:space="preserve">de </w:t>
      </w:r>
      <w:r>
        <w:rPr>
          <w:spacing w:val="1"/>
        </w:rPr>
        <w:t xml:space="preserve">casas (PEREIRA </w:t>
      </w:r>
      <w:r>
        <w:t xml:space="preserve">et </w:t>
      </w:r>
      <w:r>
        <w:rPr>
          <w:spacing w:val="1"/>
        </w:rPr>
        <w:t>al.,</w:t>
      </w:r>
      <w:r>
        <w:t xml:space="preserve"> </w:t>
      </w:r>
      <w:r>
        <w:rPr>
          <w:spacing w:val="2"/>
        </w:rPr>
        <w:t>2009).</w:t>
      </w:r>
    </w:p>
    <w:p w:rsidR="00D81F69" w:rsidRDefault="00330118">
      <w:pPr>
        <w:pStyle w:val="Corpodetexto"/>
        <w:spacing w:before="136" w:line="312" w:lineRule="auto"/>
        <w:ind w:right="58"/>
      </w:pPr>
      <w:r>
        <w:t>Nas co</w:t>
      </w:r>
      <w:r>
        <w:t>munidades ribeirinhas de Vila Elesbão, os moradores relataram uma incidência incomum de problemas de saúde (SAKAMOTO, 2001). A Pastoral da Criança da Diocese de Macapá identificou sintomas de contaminação, como manchas na pele, problemas respiratórios e do</w:t>
      </w:r>
      <w:r>
        <w:t>res de cabeça (ALBANO, 2001).</w:t>
      </w:r>
    </w:p>
    <w:p w:rsidR="00D81F69" w:rsidRDefault="00330118">
      <w:pPr>
        <w:pStyle w:val="Corpodetexto"/>
        <w:spacing w:before="135" w:line="312" w:lineRule="auto"/>
        <w:ind w:right="48"/>
      </w:pPr>
      <w:r>
        <w:t>Duas multas foram aplicadas à Icomi pelo governo do Amapá, em 21 de julho de 2000. Uma, de R$ 40 milhões, pela contaminação do meio ambiente e outra, de R$ 12 milhões, pelo fato de a empresa ter tentado esconder o material con</w:t>
      </w:r>
      <w:r>
        <w:t>taminado. Isso ocorreu, segundo o governo, através da transferência do depósito de rejeitos localizado ao lado do cais para a área da mina de exploração de manganês, na Serra do Navio. A Sema descobriu a intenção da empresa e impediu a transferência do mat</w:t>
      </w:r>
      <w:r>
        <w:t>erial (CASARA, 2003).</w:t>
      </w:r>
    </w:p>
    <w:p w:rsidR="00D81F69" w:rsidRDefault="00330118">
      <w:pPr>
        <w:pStyle w:val="Corpodetexto"/>
        <w:spacing w:before="139" w:line="312" w:lineRule="auto"/>
        <w:ind w:right="47"/>
      </w:pPr>
      <w:r>
        <w:t xml:space="preserve">Uma proposta alternativa para a requalificação econômica da </w:t>
      </w:r>
      <w:r>
        <w:rPr>
          <w:spacing w:val="3"/>
        </w:rPr>
        <w:t xml:space="preserve">região </w:t>
      </w:r>
      <w:r>
        <w:rPr>
          <w:spacing w:val="1"/>
        </w:rPr>
        <w:t xml:space="preserve">da </w:t>
      </w:r>
      <w:r>
        <w:rPr>
          <w:spacing w:val="3"/>
        </w:rPr>
        <w:t xml:space="preserve">Serra </w:t>
      </w:r>
      <w:r>
        <w:rPr>
          <w:spacing w:val="1"/>
        </w:rPr>
        <w:t xml:space="preserve">do </w:t>
      </w:r>
      <w:r>
        <w:rPr>
          <w:spacing w:val="3"/>
        </w:rPr>
        <w:t xml:space="preserve">Navio </w:t>
      </w:r>
      <w:r>
        <w:rPr>
          <w:spacing w:val="2"/>
        </w:rPr>
        <w:t xml:space="preserve">foi </w:t>
      </w:r>
      <w:r>
        <w:rPr>
          <w:spacing w:val="3"/>
        </w:rPr>
        <w:t xml:space="preserve">apresentada </w:t>
      </w:r>
      <w:r>
        <w:rPr>
          <w:spacing w:val="2"/>
        </w:rPr>
        <w:t xml:space="preserve">pela </w:t>
      </w:r>
      <w:r>
        <w:rPr>
          <w:spacing w:val="3"/>
        </w:rPr>
        <w:t xml:space="preserve">Divisão </w:t>
      </w:r>
      <w:r>
        <w:rPr>
          <w:spacing w:val="5"/>
        </w:rPr>
        <w:t xml:space="preserve">de </w:t>
      </w:r>
      <w:r>
        <w:t xml:space="preserve">Geologia do Instituto de Pesquisas Tecnológicas do </w:t>
      </w:r>
      <w:r>
        <w:rPr>
          <w:spacing w:val="1"/>
        </w:rPr>
        <w:t xml:space="preserve">Estado </w:t>
      </w:r>
      <w:r>
        <w:t>de São Paulo. A proposta tem por base a implementação de um</w:t>
      </w:r>
      <w:r>
        <w:t xml:space="preserve"> </w:t>
      </w:r>
      <w:r>
        <w:rPr>
          <w:spacing w:val="1"/>
        </w:rPr>
        <w:t xml:space="preserve">projeto </w:t>
      </w:r>
      <w:r>
        <w:t xml:space="preserve">de </w:t>
      </w:r>
      <w:r>
        <w:rPr>
          <w:spacing w:val="1"/>
        </w:rPr>
        <w:t xml:space="preserve">organização </w:t>
      </w:r>
      <w:r>
        <w:t xml:space="preserve">e </w:t>
      </w:r>
      <w:r>
        <w:rPr>
          <w:spacing w:val="1"/>
        </w:rPr>
        <w:t xml:space="preserve">dinamização </w:t>
      </w:r>
      <w:r>
        <w:t xml:space="preserve">do </w:t>
      </w:r>
      <w:r>
        <w:rPr>
          <w:spacing w:val="1"/>
        </w:rPr>
        <w:t xml:space="preserve">turismo </w:t>
      </w:r>
      <w:r>
        <w:rPr>
          <w:spacing w:val="2"/>
        </w:rPr>
        <w:t xml:space="preserve">local, </w:t>
      </w:r>
      <w:r>
        <w:t xml:space="preserve">com a construção de um parque multitemático, centrado no resgate histórico-cultural da mineração no local, bem como no </w:t>
      </w:r>
      <w:r>
        <w:rPr>
          <w:spacing w:val="5"/>
        </w:rPr>
        <w:t xml:space="preserve">seu </w:t>
      </w:r>
      <w:r>
        <w:rPr>
          <w:spacing w:val="6"/>
        </w:rPr>
        <w:t xml:space="preserve">funcionamento </w:t>
      </w:r>
      <w:r>
        <w:rPr>
          <w:spacing w:val="5"/>
        </w:rPr>
        <w:t xml:space="preserve">como portal </w:t>
      </w:r>
      <w:r>
        <w:rPr>
          <w:spacing w:val="3"/>
        </w:rPr>
        <w:t xml:space="preserve">de </w:t>
      </w:r>
      <w:r>
        <w:rPr>
          <w:spacing w:val="5"/>
        </w:rPr>
        <w:t xml:space="preserve">atração </w:t>
      </w:r>
      <w:r>
        <w:t xml:space="preserve">e </w:t>
      </w:r>
      <w:r>
        <w:rPr>
          <w:spacing w:val="7"/>
        </w:rPr>
        <w:t xml:space="preserve">recepção </w:t>
      </w:r>
      <w:r>
        <w:rPr>
          <w:spacing w:val="1"/>
        </w:rPr>
        <w:t xml:space="preserve">turística </w:t>
      </w:r>
      <w:r>
        <w:t xml:space="preserve">ao </w:t>
      </w:r>
      <w:r>
        <w:rPr>
          <w:spacing w:val="1"/>
        </w:rPr>
        <w:t xml:space="preserve">Parque Nacional Montanhas </w:t>
      </w:r>
      <w:r>
        <w:t xml:space="preserve">do </w:t>
      </w:r>
      <w:r>
        <w:rPr>
          <w:spacing w:val="2"/>
        </w:rPr>
        <w:t xml:space="preserve">Tumucumaque </w:t>
      </w:r>
      <w:r>
        <w:rPr>
          <w:spacing w:val="1"/>
        </w:rPr>
        <w:t xml:space="preserve">(CABRAL JUNIOR </w:t>
      </w:r>
      <w:r>
        <w:t xml:space="preserve">et </w:t>
      </w:r>
      <w:r>
        <w:rPr>
          <w:spacing w:val="1"/>
        </w:rPr>
        <w:t>al.,</w:t>
      </w:r>
      <w:r>
        <w:rPr>
          <w:spacing w:val="25"/>
        </w:rPr>
        <w:t xml:space="preserve"> </w:t>
      </w:r>
      <w:r>
        <w:rPr>
          <w:spacing w:val="2"/>
        </w:rPr>
        <w:t>2004).</w:t>
      </w:r>
    </w:p>
    <w:p w:rsidR="00D81F69" w:rsidRDefault="00330118">
      <w:pPr>
        <w:pStyle w:val="Corpodetexto"/>
        <w:spacing w:before="139" w:line="312" w:lineRule="auto"/>
        <w:ind w:right="62"/>
      </w:pPr>
      <w:r>
        <w:t xml:space="preserve">A </w:t>
      </w:r>
      <w:r>
        <w:rPr>
          <w:spacing w:val="5"/>
        </w:rPr>
        <w:t xml:space="preserve">solução proposta caracteriza-se, também, como </w:t>
      </w:r>
      <w:r>
        <w:rPr>
          <w:spacing w:val="6"/>
        </w:rPr>
        <w:t xml:space="preserve">uma </w:t>
      </w:r>
      <w:r>
        <w:rPr>
          <w:spacing w:val="5"/>
        </w:rPr>
        <w:t xml:space="preserve">alternativa </w:t>
      </w:r>
      <w:r>
        <w:rPr>
          <w:spacing w:val="3"/>
        </w:rPr>
        <w:t xml:space="preserve">para </w:t>
      </w:r>
      <w:r>
        <w:rPr>
          <w:spacing w:val="5"/>
        </w:rPr>
        <w:t xml:space="preserve">minimizar </w:t>
      </w:r>
      <w:r>
        <w:t xml:space="preserve">a </w:t>
      </w:r>
      <w:r>
        <w:rPr>
          <w:spacing w:val="5"/>
        </w:rPr>
        <w:t xml:space="preserve">exclusão social, oferecendo </w:t>
      </w:r>
      <w:r>
        <w:rPr>
          <w:spacing w:val="1"/>
        </w:rPr>
        <w:t xml:space="preserve">oportunidades </w:t>
      </w:r>
      <w:r>
        <w:t xml:space="preserve">de </w:t>
      </w:r>
      <w:r>
        <w:rPr>
          <w:spacing w:val="1"/>
        </w:rPr>
        <w:t xml:space="preserve">ocupação para </w:t>
      </w:r>
      <w:r>
        <w:t xml:space="preserve">uma </w:t>
      </w:r>
      <w:r>
        <w:rPr>
          <w:spacing w:val="1"/>
        </w:rPr>
        <w:t xml:space="preserve">massa crescente </w:t>
      </w:r>
      <w:r>
        <w:rPr>
          <w:spacing w:val="2"/>
        </w:rPr>
        <w:t xml:space="preserve">de </w:t>
      </w:r>
      <w:r>
        <w:t>desempregados que o me</w:t>
      </w:r>
      <w:r>
        <w:t>rcado regional se mostra incapaz  de</w:t>
      </w:r>
      <w:r>
        <w:rPr>
          <w:spacing w:val="16"/>
        </w:rPr>
        <w:t xml:space="preserve"> </w:t>
      </w:r>
      <w:r>
        <w:t>absorver</w:t>
      </w:r>
      <w:r>
        <w:rPr>
          <w:spacing w:val="16"/>
        </w:rPr>
        <w:t xml:space="preserve"> </w:t>
      </w:r>
      <w:r>
        <w:t>(CABRAL</w:t>
      </w:r>
      <w:r>
        <w:rPr>
          <w:spacing w:val="16"/>
        </w:rPr>
        <w:t xml:space="preserve"> </w:t>
      </w:r>
      <w:r>
        <w:t>JUNIOR</w:t>
      </w:r>
      <w:r>
        <w:rPr>
          <w:spacing w:val="16"/>
        </w:rPr>
        <w:t xml:space="preserve"> </w:t>
      </w:r>
      <w:r>
        <w:t>et</w:t>
      </w:r>
      <w:r>
        <w:rPr>
          <w:spacing w:val="16"/>
        </w:rPr>
        <w:t xml:space="preserve"> </w:t>
      </w:r>
      <w:r>
        <w:t>al.,</w:t>
      </w:r>
      <w:r>
        <w:rPr>
          <w:spacing w:val="16"/>
        </w:rPr>
        <w:t xml:space="preserve"> </w:t>
      </w:r>
      <w:r>
        <w:rPr>
          <w:spacing w:val="1"/>
        </w:rPr>
        <w:t>2004).</w:t>
      </w:r>
    </w:p>
    <w:p w:rsidR="00D81F69" w:rsidRDefault="00330118">
      <w:pPr>
        <w:pStyle w:val="Corpodetexto"/>
        <w:spacing w:before="135" w:line="312" w:lineRule="auto"/>
        <w:ind w:right="46"/>
      </w:pPr>
      <w:r>
        <w:rPr>
          <w:spacing w:val="3"/>
        </w:rPr>
        <w:t xml:space="preserve">Quanto </w:t>
      </w:r>
      <w:r>
        <w:t xml:space="preserve">à </w:t>
      </w:r>
      <w:r>
        <w:rPr>
          <w:spacing w:val="3"/>
        </w:rPr>
        <w:t xml:space="preserve">Icomi, alguns processos envolvendo </w:t>
      </w:r>
      <w:r>
        <w:t xml:space="preserve">a </w:t>
      </w:r>
      <w:r>
        <w:rPr>
          <w:spacing w:val="5"/>
        </w:rPr>
        <w:t xml:space="preserve">empresa </w:t>
      </w:r>
      <w:r>
        <w:t xml:space="preserve">correm na Justiça, incluindo um imbróglio entre a companhia, a </w:t>
      </w:r>
      <w:r>
        <w:rPr>
          <w:spacing w:val="1"/>
        </w:rPr>
        <w:t xml:space="preserve">União, </w:t>
      </w:r>
      <w:r>
        <w:t xml:space="preserve">os </w:t>
      </w:r>
      <w:r>
        <w:rPr>
          <w:spacing w:val="1"/>
        </w:rPr>
        <w:t xml:space="preserve">municípios </w:t>
      </w:r>
      <w:r>
        <w:t xml:space="preserve">em </w:t>
      </w:r>
      <w:r>
        <w:rPr>
          <w:spacing w:val="1"/>
        </w:rPr>
        <w:t xml:space="preserve">questão </w:t>
      </w:r>
      <w:r>
        <w:t xml:space="preserve">e o </w:t>
      </w:r>
      <w:r>
        <w:rPr>
          <w:spacing w:val="1"/>
        </w:rPr>
        <w:t xml:space="preserve">estado </w:t>
      </w:r>
      <w:r>
        <w:t xml:space="preserve">do </w:t>
      </w:r>
      <w:r>
        <w:rPr>
          <w:spacing w:val="2"/>
        </w:rPr>
        <w:t xml:space="preserve">Amapá, </w:t>
      </w:r>
      <w:r>
        <w:t>pela posse</w:t>
      </w:r>
      <w:r>
        <w:t xml:space="preserve"> de uma série de terras e bens a ela pertencentes. De acordo com o contrato de concessão, firmado em 1947, estas propriedades deveriam passar para as mãos da União após</w:t>
      </w:r>
      <w:r>
        <w:rPr>
          <w:spacing w:val="10"/>
        </w:rPr>
        <w:t xml:space="preserve"> </w:t>
      </w:r>
      <w:r>
        <w:t>um</w:t>
      </w:r>
      <w:r>
        <w:rPr>
          <w:spacing w:val="10"/>
        </w:rPr>
        <w:t xml:space="preserve"> </w:t>
      </w:r>
      <w:r>
        <w:t>período</w:t>
      </w:r>
      <w:r>
        <w:rPr>
          <w:spacing w:val="10"/>
        </w:rPr>
        <w:t xml:space="preserve"> </w:t>
      </w:r>
      <w:r>
        <w:t>de</w:t>
      </w:r>
      <w:r>
        <w:rPr>
          <w:spacing w:val="10"/>
        </w:rPr>
        <w:t xml:space="preserve"> </w:t>
      </w:r>
      <w:r>
        <w:t>50</w:t>
      </w:r>
      <w:r>
        <w:rPr>
          <w:spacing w:val="10"/>
        </w:rPr>
        <w:t xml:space="preserve"> </w:t>
      </w:r>
      <w:r>
        <w:t>anos</w:t>
      </w:r>
      <w:r>
        <w:rPr>
          <w:spacing w:val="10"/>
        </w:rPr>
        <w:t xml:space="preserve"> </w:t>
      </w:r>
      <w:r>
        <w:t>(COSTA,</w:t>
      </w:r>
      <w:r>
        <w:rPr>
          <w:spacing w:val="10"/>
        </w:rPr>
        <w:t xml:space="preserve"> </w:t>
      </w:r>
      <w:r>
        <w:t>2008).</w:t>
      </w:r>
    </w:p>
    <w:p w:rsidR="00D81F69" w:rsidRDefault="00330118">
      <w:pPr>
        <w:pStyle w:val="Corpodetexto"/>
        <w:spacing w:before="73" w:line="270" w:lineRule="atLeast"/>
        <w:ind w:right="39"/>
      </w:pPr>
      <w:r>
        <w:t>Quando encerrou suas atividades, em 1997, a Icomi, conforme o Código de Mineração em vigor, seria obrigada a</w:t>
      </w:r>
    </w:p>
    <w:p w:rsidR="00D81F69" w:rsidRDefault="00330118">
      <w:pPr>
        <w:pStyle w:val="Corpodetexto"/>
        <w:spacing w:before="81" w:line="312" w:lineRule="auto"/>
        <w:ind w:right="229"/>
      </w:pPr>
      <w:r>
        <w:br w:type="column"/>
      </w:r>
      <w:r>
        <w:lastRenderedPageBreak/>
        <w:t>entregar toda a infraestrutura e o minério restante ao Estado brasileiro. Mas a empresa não o fez, resultando em intensa batalha judicial que só t</w:t>
      </w:r>
      <w:r>
        <w:t xml:space="preserve">eve fim quando o Tribunal Regional </w:t>
      </w:r>
      <w:r>
        <w:rPr>
          <w:spacing w:val="5"/>
        </w:rPr>
        <w:t xml:space="preserve">Federal </w:t>
      </w:r>
      <w:r>
        <w:rPr>
          <w:spacing w:val="2"/>
        </w:rPr>
        <w:t xml:space="preserve">da 1ª </w:t>
      </w:r>
      <w:r>
        <w:rPr>
          <w:spacing w:val="5"/>
        </w:rPr>
        <w:t>Região (TRF1) decidiu favoravelmente ao</w:t>
      </w:r>
      <w:r>
        <w:rPr>
          <w:spacing w:val="61"/>
        </w:rPr>
        <w:t xml:space="preserve"> </w:t>
      </w:r>
      <w:r>
        <w:rPr>
          <w:spacing w:val="7"/>
        </w:rPr>
        <w:t xml:space="preserve">direito </w:t>
      </w:r>
      <w:r>
        <w:rPr>
          <w:spacing w:val="5"/>
        </w:rPr>
        <w:t xml:space="preserve">de </w:t>
      </w:r>
      <w:r>
        <w:t xml:space="preserve">a </w:t>
      </w:r>
      <w:r>
        <w:rPr>
          <w:spacing w:val="7"/>
        </w:rPr>
        <w:t xml:space="preserve">União reaver </w:t>
      </w:r>
      <w:r>
        <w:t xml:space="preserve">o </w:t>
      </w:r>
      <w:r>
        <w:rPr>
          <w:spacing w:val="5"/>
        </w:rPr>
        <w:t xml:space="preserve">que lhe </w:t>
      </w:r>
      <w:r>
        <w:rPr>
          <w:spacing w:val="7"/>
        </w:rPr>
        <w:t xml:space="preserve">cabia (MAPA </w:t>
      </w:r>
      <w:r>
        <w:rPr>
          <w:spacing w:val="10"/>
        </w:rPr>
        <w:t xml:space="preserve">DA </w:t>
      </w:r>
      <w:r>
        <w:rPr>
          <w:spacing w:val="6"/>
        </w:rPr>
        <w:t xml:space="preserve">INJUSTIÇA AMBIENTAL </w:t>
      </w:r>
      <w:r>
        <w:t xml:space="preserve">E </w:t>
      </w:r>
      <w:r>
        <w:rPr>
          <w:spacing w:val="5"/>
        </w:rPr>
        <w:t xml:space="preserve">SAÚDE </w:t>
      </w:r>
      <w:r>
        <w:rPr>
          <w:spacing w:val="3"/>
        </w:rPr>
        <w:t xml:space="preserve">NO </w:t>
      </w:r>
      <w:r>
        <w:rPr>
          <w:spacing w:val="5"/>
        </w:rPr>
        <w:t xml:space="preserve">BRASIL, </w:t>
      </w:r>
      <w:r>
        <w:rPr>
          <w:spacing w:val="7"/>
        </w:rPr>
        <w:t>2009).</w:t>
      </w:r>
    </w:p>
    <w:p w:rsidR="00D81F69" w:rsidRDefault="00330118">
      <w:pPr>
        <w:pStyle w:val="Corpodetexto"/>
        <w:spacing w:before="135" w:line="312" w:lineRule="auto"/>
        <w:ind w:right="250"/>
      </w:pPr>
      <w:r>
        <w:t xml:space="preserve">Em maio de 2009, o Ministério Público Estadual do Amapá moveu uma ação contra a Icomi, pedindo a indenização dos </w:t>
      </w:r>
      <w:r>
        <w:rPr>
          <w:spacing w:val="1"/>
        </w:rPr>
        <w:t xml:space="preserve">moradores </w:t>
      </w:r>
      <w:r>
        <w:t xml:space="preserve">com </w:t>
      </w:r>
      <w:r>
        <w:rPr>
          <w:spacing w:val="1"/>
        </w:rPr>
        <w:t xml:space="preserve">problemas </w:t>
      </w:r>
      <w:r>
        <w:t xml:space="preserve">de </w:t>
      </w:r>
      <w:r>
        <w:rPr>
          <w:spacing w:val="1"/>
        </w:rPr>
        <w:t xml:space="preserve">saúde </w:t>
      </w:r>
      <w:r>
        <w:t xml:space="preserve">e a </w:t>
      </w:r>
      <w:r>
        <w:rPr>
          <w:spacing w:val="1"/>
        </w:rPr>
        <w:t xml:space="preserve">realização </w:t>
      </w:r>
      <w:r>
        <w:t xml:space="preserve">de </w:t>
      </w:r>
      <w:r>
        <w:rPr>
          <w:spacing w:val="2"/>
        </w:rPr>
        <w:t xml:space="preserve">um </w:t>
      </w:r>
      <w:r>
        <w:t xml:space="preserve">plano de recuperação das áreas degradadas (O ESTADAO </w:t>
      </w:r>
      <w:r>
        <w:rPr>
          <w:spacing w:val="2"/>
        </w:rPr>
        <w:t xml:space="preserve">DE S. </w:t>
      </w:r>
      <w:r>
        <w:rPr>
          <w:spacing w:val="5"/>
        </w:rPr>
        <w:t xml:space="preserve">PAULO, 2010). </w:t>
      </w:r>
      <w:r>
        <w:rPr>
          <w:spacing w:val="3"/>
        </w:rPr>
        <w:t xml:space="preserve">Até </w:t>
      </w:r>
      <w:r>
        <w:rPr>
          <w:spacing w:val="2"/>
        </w:rPr>
        <w:t xml:space="preserve">os </w:t>
      </w:r>
      <w:r>
        <w:rPr>
          <w:spacing w:val="3"/>
        </w:rPr>
        <w:t xml:space="preserve">dias </w:t>
      </w:r>
      <w:r>
        <w:rPr>
          <w:spacing w:val="5"/>
        </w:rPr>
        <w:t>atua</w:t>
      </w:r>
      <w:r>
        <w:rPr>
          <w:spacing w:val="5"/>
        </w:rPr>
        <w:t>is prevalecem na</w:t>
      </w:r>
      <w:r>
        <w:rPr>
          <w:spacing w:val="61"/>
        </w:rPr>
        <w:t xml:space="preserve"> </w:t>
      </w:r>
      <w:r>
        <w:t xml:space="preserve">Justiça discussões relativas ao ônus que a empresa </w:t>
      </w:r>
      <w:r>
        <w:rPr>
          <w:spacing w:val="1"/>
        </w:rPr>
        <w:t xml:space="preserve">deixou </w:t>
      </w:r>
      <w:r>
        <w:t>na</w:t>
      </w:r>
      <w:r>
        <w:rPr>
          <w:spacing w:val="13"/>
        </w:rPr>
        <w:t xml:space="preserve"> </w:t>
      </w:r>
      <w:r>
        <w:t>região.</w:t>
      </w:r>
    </w:p>
    <w:p w:rsidR="00D81F69" w:rsidRDefault="00D81F69">
      <w:pPr>
        <w:pStyle w:val="Corpodetexto"/>
        <w:spacing w:before="6"/>
        <w:ind w:left="0"/>
        <w:jc w:val="left"/>
        <w:rPr>
          <w:sz w:val="21"/>
        </w:rPr>
      </w:pPr>
    </w:p>
    <w:p w:rsidR="00D81F69" w:rsidRDefault="00330118">
      <w:pPr>
        <w:pStyle w:val="Heading7"/>
        <w:spacing w:before="1"/>
      </w:pPr>
      <w:r>
        <w:t>LOCALIZAÇÃO GEOGRÁFICA</w:t>
      </w:r>
    </w:p>
    <w:p w:rsidR="00D81F69" w:rsidRDefault="00330118">
      <w:pPr>
        <w:pStyle w:val="Corpodetexto"/>
        <w:spacing w:before="178" w:line="312" w:lineRule="auto"/>
        <w:ind w:right="228"/>
      </w:pPr>
      <w:r>
        <w:t xml:space="preserve">O </w:t>
      </w:r>
      <w:r>
        <w:rPr>
          <w:spacing w:val="7"/>
        </w:rPr>
        <w:t xml:space="preserve">município </w:t>
      </w:r>
      <w:r>
        <w:rPr>
          <w:spacing w:val="5"/>
        </w:rPr>
        <w:t xml:space="preserve">de </w:t>
      </w:r>
      <w:r>
        <w:rPr>
          <w:spacing w:val="7"/>
        </w:rPr>
        <w:t xml:space="preserve">Serra </w:t>
      </w:r>
      <w:r>
        <w:rPr>
          <w:spacing w:val="5"/>
        </w:rPr>
        <w:t xml:space="preserve">do </w:t>
      </w:r>
      <w:r>
        <w:rPr>
          <w:spacing w:val="7"/>
        </w:rPr>
        <w:t xml:space="preserve">Navio contém </w:t>
      </w:r>
      <w:r>
        <w:rPr>
          <w:spacing w:val="5"/>
        </w:rPr>
        <w:t xml:space="preserve">uma </w:t>
      </w:r>
      <w:r>
        <w:rPr>
          <w:spacing w:val="6"/>
        </w:rPr>
        <w:t xml:space="preserve">mina </w:t>
      </w:r>
      <w:r>
        <w:rPr>
          <w:spacing w:val="10"/>
        </w:rPr>
        <w:t xml:space="preserve">de </w:t>
      </w:r>
      <w:r>
        <w:t xml:space="preserve">manganês de mesmo nome que está localizada próximo ao  </w:t>
      </w:r>
      <w:r>
        <w:rPr>
          <w:spacing w:val="2"/>
        </w:rPr>
        <w:t xml:space="preserve">rio </w:t>
      </w:r>
      <w:r>
        <w:rPr>
          <w:spacing w:val="3"/>
        </w:rPr>
        <w:t xml:space="preserve">Amapari, </w:t>
      </w:r>
      <w:r>
        <w:rPr>
          <w:spacing w:val="1"/>
        </w:rPr>
        <w:t xml:space="preserve">na </w:t>
      </w:r>
      <w:r>
        <w:rPr>
          <w:spacing w:val="3"/>
        </w:rPr>
        <w:t xml:space="preserve">latitude 0°54’1”N </w:t>
      </w:r>
      <w:r>
        <w:t xml:space="preserve">e </w:t>
      </w:r>
      <w:r>
        <w:rPr>
          <w:spacing w:val="3"/>
        </w:rPr>
        <w:t>longit</w:t>
      </w:r>
      <w:r>
        <w:rPr>
          <w:spacing w:val="3"/>
        </w:rPr>
        <w:t xml:space="preserve">ude </w:t>
      </w:r>
      <w:r>
        <w:rPr>
          <w:spacing w:val="5"/>
        </w:rPr>
        <w:t xml:space="preserve">51°58’14”W, </w:t>
      </w:r>
      <w:r>
        <w:t xml:space="preserve">fazendo parte da bacia do rio Araguari, que deságua no mar. Para o transporte desse minério foi construído uma ferrovia </w:t>
      </w:r>
      <w:r>
        <w:rPr>
          <w:spacing w:val="5"/>
        </w:rPr>
        <w:t xml:space="preserve">ligando </w:t>
      </w:r>
      <w:r>
        <w:t xml:space="preserve">o </w:t>
      </w:r>
      <w:r>
        <w:rPr>
          <w:spacing w:val="5"/>
        </w:rPr>
        <w:t xml:space="preserve">município </w:t>
      </w:r>
      <w:r>
        <w:rPr>
          <w:spacing w:val="2"/>
        </w:rPr>
        <w:t xml:space="preserve">de </w:t>
      </w:r>
      <w:r>
        <w:rPr>
          <w:spacing w:val="5"/>
        </w:rPr>
        <w:t xml:space="preserve">Serra </w:t>
      </w:r>
      <w:r>
        <w:rPr>
          <w:spacing w:val="2"/>
        </w:rPr>
        <w:t xml:space="preserve">do </w:t>
      </w:r>
      <w:r>
        <w:rPr>
          <w:spacing w:val="5"/>
        </w:rPr>
        <w:t xml:space="preserve">Navio </w:t>
      </w:r>
      <w:r>
        <w:rPr>
          <w:spacing w:val="2"/>
        </w:rPr>
        <w:t xml:space="preserve">ao </w:t>
      </w:r>
      <w:r>
        <w:rPr>
          <w:spacing w:val="5"/>
        </w:rPr>
        <w:t xml:space="preserve">município </w:t>
      </w:r>
      <w:r>
        <w:rPr>
          <w:spacing w:val="6"/>
        </w:rPr>
        <w:t xml:space="preserve">de Santana, </w:t>
      </w:r>
      <w:r>
        <w:rPr>
          <w:spacing w:val="5"/>
        </w:rPr>
        <w:t xml:space="preserve">onde </w:t>
      </w:r>
      <w:r>
        <w:rPr>
          <w:spacing w:val="3"/>
        </w:rPr>
        <w:t xml:space="preserve">se </w:t>
      </w:r>
      <w:r>
        <w:rPr>
          <w:spacing w:val="6"/>
        </w:rPr>
        <w:t xml:space="preserve">localiza </w:t>
      </w:r>
      <w:r>
        <w:t xml:space="preserve">o </w:t>
      </w:r>
      <w:r>
        <w:rPr>
          <w:spacing w:val="6"/>
        </w:rPr>
        <w:t xml:space="preserve">embarcadouro </w:t>
      </w:r>
      <w:r>
        <w:rPr>
          <w:spacing w:val="3"/>
        </w:rPr>
        <w:t xml:space="preserve">do </w:t>
      </w:r>
      <w:r>
        <w:rPr>
          <w:spacing w:val="7"/>
        </w:rPr>
        <w:t xml:space="preserve">minério, </w:t>
      </w:r>
      <w:r>
        <w:rPr>
          <w:spacing w:val="8"/>
        </w:rPr>
        <w:t xml:space="preserve">denominado </w:t>
      </w:r>
      <w:r>
        <w:rPr>
          <w:spacing w:val="7"/>
        </w:rPr>
        <w:t>Po</w:t>
      </w:r>
      <w:r>
        <w:rPr>
          <w:spacing w:val="7"/>
        </w:rPr>
        <w:t xml:space="preserve">rto </w:t>
      </w:r>
      <w:r>
        <w:rPr>
          <w:spacing w:val="5"/>
        </w:rPr>
        <w:t xml:space="preserve">de </w:t>
      </w:r>
      <w:r>
        <w:rPr>
          <w:spacing w:val="7"/>
        </w:rPr>
        <w:t xml:space="preserve">Santana, </w:t>
      </w:r>
      <w:r>
        <w:rPr>
          <w:spacing w:val="5"/>
        </w:rPr>
        <w:t xml:space="preserve">na </w:t>
      </w:r>
      <w:r>
        <w:rPr>
          <w:spacing w:val="7"/>
        </w:rPr>
        <w:t xml:space="preserve">latitude 0°3’43”S </w:t>
      </w:r>
      <w:r>
        <w:t xml:space="preserve">e </w:t>
      </w:r>
      <w:r>
        <w:rPr>
          <w:spacing w:val="1"/>
        </w:rPr>
        <w:t xml:space="preserve">longitude 51°11’28”W, situado </w:t>
      </w:r>
      <w:r>
        <w:t xml:space="preserve">na </w:t>
      </w:r>
      <w:r>
        <w:rPr>
          <w:spacing w:val="1"/>
        </w:rPr>
        <w:t xml:space="preserve">bacia </w:t>
      </w:r>
      <w:r>
        <w:t>do Rio</w:t>
      </w:r>
      <w:r>
        <w:rPr>
          <w:spacing w:val="10"/>
        </w:rPr>
        <w:t xml:space="preserve"> </w:t>
      </w:r>
      <w:r>
        <w:rPr>
          <w:spacing w:val="2"/>
        </w:rPr>
        <w:t>Amazonas.</w:t>
      </w:r>
    </w:p>
    <w:p w:rsidR="00D81F69" w:rsidRDefault="00D81F69">
      <w:pPr>
        <w:pStyle w:val="Corpodetexto"/>
        <w:spacing w:before="6"/>
        <w:ind w:left="0"/>
        <w:jc w:val="left"/>
        <w:rPr>
          <w:sz w:val="29"/>
        </w:rPr>
      </w:pPr>
    </w:p>
    <w:p w:rsidR="00D81F69" w:rsidRDefault="00330118">
      <w:pPr>
        <w:pStyle w:val="Heading7"/>
      </w:pPr>
      <w:r>
        <w:t>REDATORES</w:t>
      </w:r>
    </w:p>
    <w:p w:rsidR="00D81F69" w:rsidRDefault="00330118">
      <w:pPr>
        <w:pStyle w:val="Corpodetexto"/>
        <w:spacing w:before="179"/>
      </w:pPr>
      <w:r>
        <w:t>Pedro Schprejer</w:t>
      </w:r>
    </w:p>
    <w:p w:rsidR="00D81F69" w:rsidRDefault="00D81F69">
      <w:pPr>
        <w:pStyle w:val="Corpodetexto"/>
        <w:ind w:left="0"/>
        <w:jc w:val="left"/>
        <w:rPr>
          <w:sz w:val="20"/>
        </w:rPr>
      </w:pPr>
    </w:p>
    <w:p w:rsidR="00D81F69" w:rsidRDefault="00330118">
      <w:pPr>
        <w:pStyle w:val="Heading7"/>
        <w:spacing w:before="165"/>
      </w:pPr>
      <w:r>
        <w:t>REFERÊNCIAS BIBLIOGRÁFICAS</w:t>
      </w:r>
    </w:p>
    <w:p w:rsidR="00D81F69" w:rsidRDefault="00330118">
      <w:pPr>
        <w:spacing w:before="187" w:line="312" w:lineRule="auto"/>
        <w:ind w:left="100" w:right="216"/>
        <w:jc w:val="both"/>
        <w:rPr>
          <w:sz w:val="16"/>
        </w:rPr>
      </w:pPr>
      <w:r>
        <w:rPr>
          <w:sz w:val="16"/>
        </w:rPr>
        <w:t xml:space="preserve">ALBANO, Mauro. Arsênio pode ter contaminado vila no AP. Folha </w:t>
      </w:r>
      <w:r>
        <w:rPr>
          <w:spacing w:val="20"/>
          <w:sz w:val="16"/>
        </w:rPr>
        <w:t xml:space="preserve">Online, </w:t>
      </w:r>
      <w:r>
        <w:rPr>
          <w:spacing w:val="15"/>
          <w:sz w:val="16"/>
        </w:rPr>
        <w:t>São</w:t>
      </w:r>
      <w:r>
        <w:rPr>
          <w:spacing w:val="75"/>
          <w:sz w:val="16"/>
        </w:rPr>
        <w:t xml:space="preserve"> </w:t>
      </w:r>
      <w:r>
        <w:rPr>
          <w:spacing w:val="20"/>
          <w:sz w:val="16"/>
        </w:rPr>
        <w:t xml:space="preserve">Paulo, </w:t>
      </w:r>
      <w:r>
        <w:rPr>
          <w:spacing w:val="11"/>
          <w:sz w:val="16"/>
        </w:rPr>
        <w:t xml:space="preserve">15 </w:t>
      </w:r>
      <w:r>
        <w:rPr>
          <w:spacing w:val="17"/>
          <w:sz w:val="16"/>
        </w:rPr>
        <w:t xml:space="preserve">jan. </w:t>
      </w:r>
      <w:r>
        <w:rPr>
          <w:spacing w:val="20"/>
          <w:sz w:val="16"/>
        </w:rPr>
        <w:t xml:space="preserve">2001. </w:t>
      </w:r>
      <w:r>
        <w:rPr>
          <w:spacing w:val="21"/>
          <w:sz w:val="16"/>
        </w:rPr>
        <w:t>Disponível</w:t>
      </w:r>
      <w:r>
        <w:rPr>
          <w:spacing w:val="86"/>
          <w:sz w:val="16"/>
        </w:rPr>
        <w:t xml:space="preserve"> </w:t>
      </w:r>
      <w:r>
        <w:rPr>
          <w:spacing w:val="15"/>
          <w:sz w:val="16"/>
        </w:rPr>
        <w:t>em:</w:t>
      </w:r>
      <w:r>
        <w:rPr>
          <w:spacing w:val="-20"/>
          <w:sz w:val="16"/>
        </w:rPr>
        <w:t xml:space="preserve"> </w:t>
      </w:r>
    </w:p>
    <w:p w:rsidR="00D81F69" w:rsidRDefault="00D81F69">
      <w:pPr>
        <w:spacing w:before="2" w:line="312" w:lineRule="auto"/>
        <w:ind w:left="100" w:right="234"/>
        <w:jc w:val="both"/>
        <w:rPr>
          <w:sz w:val="16"/>
        </w:rPr>
      </w:pPr>
      <w:hyperlink r:id="rId116">
        <w:r w:rsidR="00330118">
          <w:rPr>
            <w:sz w:val="16"/>
          </w:rPr>
          <w:t>&lt;http://www1.folha.uol.com.br/folha/cotidiano/ult95u19310.shtml&gt;.</w:t>
        </w:r>
      </w:hyperlink>
      <w:r w:rsidR="00330118">
        <w:rPr>
          <w:sz w:val="16"/>
        </w:rPr>
        <w:t xml:space="preserve"> Acesso em: 10 abr. 2010.</w:t>
      </w:r>
    </w:p>
    <w:p w:rsidR="00D81F69" w:rsidRDefault="00330118">
      <w:pPr>
        <w:spacing w:before="1" w:line="312" w:lineRule="auto"/>
        <w:ind w:left="100" w:right="235"/>
        <w:jc w:val="both"/>
        <w:rPr>
          <w:sz w:val="16"/>
        </w:rPr>
      </w:pPr>
      <w:r>
        <w:rPr>
          <w:spacing w:val="5"/>
          <w:sz w:val="16"/>
        </w:rPr>
        <w:t xml:space="preserve">CABRAL JUNIOR, Marsis; SINTONI, Ayrton; FREITAS, Carlos </w:t>
      </w:r>
      <w:r>
        <w:rPr>
          <w:sz w:val="16"/>
        </w:rPr>
        <w:t>Geraldo Luz de; CAMPANHA</w:t>
      </w:r>
      <w:r>
        <w:rPr>
          <w:sz w:val="16"/>
        </w:rPr>
        <w:t xml:space="preserve">, Vilma Alves. Áreas mineradas: Serra do </w:t>
      </w:r>
      <w:r>
        <w:rPr>
          <w:spacing w:val="1"/>
          <w:sz w:val="16"/>
        </w:rPr>
        <w:t xml:space="preserve">Navio poderia </w:t>
      </w:r>
      <w:r>
        <w:rPr>
          <w:sz w:val="16"/>
        </w:rPr>
        <w:t xml:space="preserve">ser </w:t>
      </w:r>
      <w:r>
        <w:rPr>
          <w:spacing w:val="1"/>
          <w:sz w:val="16"/>
        </w:rPr>
        <w:t xml:space="preserve">parque multitemático. Brasil Mineral, </w:t>
      </w:r>
      <w:r>
        <w:rPr>
          <w:sz w:val="16"/>
        </w:rPr>
        <w:t xml:space="preserve">n. </w:t>
      </w:r>
      <w:r>
        <w:rPr>
          <w:spacing w:val="2"/>
          <w:sz w:val="16"/>
        </w:rPr>
        <w:t xml:space="preserve">225, </w:t>
      </w:r>
      <w:r>
        <w:rPr>
          <w:spacing w:val="1"/>
          <w:sz w:val="16"/>
        </w:rPr>
        <w:t>mar.</w:t>
      </w:r>
      <w:r>
        <w:rPr>
          <w:spacing w:val="17"/>
          <w:sz w:val="16"/>
        </w:rPr>
        <w:t xml:space="preserve"> </w:t>
      </w:r>
      <w:r>
        <w:rPr>
          <w:spacing w:val="2"/>
          <w:sz w:val="16"/>
        </w:rPr>
        <w:t>2004.</w:t>
      </w:r>
    </w:p>
    <w:p w:rsidR="00D81F69" w:rsidRDefault="00330118">
      <w:pPr>
        <w:spacing w:before="4" w:line="312" w:lineRule="auto"/>
        <w:ind w:left="100" w:right="223"/>
        <w:jc w:val="both"/>
        <w:rPr>
          <w:sz w:val="16"/>
        </w:rPr>
      </w:pPr>
      <w:r>
        <w:rPr>
          <w:sz w:val="16"/>
        </w:rPr>
        <w:t xml:space="preserve">CASARA, Marques. Mineração predatória na Amazônia Brasileira: Cinco décadas de irresponsabilidade social e ambiental no estado do Amapá. Observatório Social, mai. 2003. Disponível em: </w:t>
      </w:r>
    </w:p>
    <w:p w:rsidR="00D81F69" w:rsidRDefault="00D81F69">
      <w:pPr>
        <w:spacing w:before="2" w:line="312" w:lineRule="auto"/>
        <w:ind w:left="100" w:right="257"/>
        <w:jc w:val="both"/>
        <w:rPr>
          <w:sz w:val="16"/>
        </w:rPr>
      </w:pPr>
      <w:hyperlink r:id="rId117">
        <w:r w:rsidR="00330118">
          <w:rPr>
            <w:sz w:val="16"/>
          </w:rPr>
          <w:t>&lt;http://www.ambiente.gov.ar/archivos/web/trabajo/File/Latino%20y%2</w:t>
        </w:r>
      </w:hyperlink>
      <w:r w:rsidR="00330118">
        <w:rPr>
          <w:sz w:val="16"/>
        </w:rPr>
        <w:t xml:space="preserve"> 0Caribe/mineracao.pdf&gt;. Acesso em: 20 fev. 2010.</w:t>
      </w:r>
    </w:p>
    <w:p w:rsidR="00D81F69" w:rsidRDefault="00330118">
      <w:pPr>
        <w:spacing w:before="2" w:line="312" w:lineRule="auto"/>
        <w:ind w:left="100" w:right="229"/>
        <w:jc w:val="both"/>
        <w:rPr>
          <w:sz w:val="16"/>
        </w:rPr>
      </w:pPr>
      <w:r>
        <w:rPr>
          <w:sz w:val="16"/>
        </w:rPr>
        <w:t>COSTA, Breno. Agonia de uma cidade modelo no meio do mundo. Folha de S. Paulo, São Paulo, 4 ago. 2008. Disponível em:</w:t>
      </w:r>
    </w:p>
    <w:p w:rsidR="00D81F69" w:rsidRDefault="00D81F69">
      <w:pPr>
        <w:spacing w:before="1" w:line="312" w:lineRule="auto"/>
        <w:ind w:left="100" w:right="256"/>
        <w:jc w:val="both"/>
        <w:rPr>
          <w:sz w:val="16"/>
        </w:rPr>
      </w:pPr>
      <w:hyperlink r:id="rId118">
        <w:r w:rsidR="00330118">
          <w:rPr>
            <w:sz w:val="16"/>
          </w:rPr>
          <w:t>&lt;http://www1.folha.uol.com.br/folha/treinamento/novoemfolha45/ult10</w:t>
        </w:r>
      </w:hyperlink>
      <w:r w:rsidR="00330118">
        <w:rPr>
          <w:sz w:val="16"/>
        </w:rPr>
        <w:t xml:space="preserve"> 096u429418.shtml&gt;. Acesso em: 20 fev. 2010.</w:t>
      </w:r>
    </w:p>
    <w:p w:rsidR="00D81F69" w:rsidRDefault="00330118">
      <w:pPr>
        <w:spacing w:before="2" w:line="312" w:lineRule="auto"/>
        <w:ind w:left="100" w:right="217"/>
        <w:jc w:val="both"/>
        <w:rPr>
          <w:sz w:val="16"/>
        </w:rPr>
      </w:pPr>
      <w:r>
        <w:rPr>
          <w:sz w:val="16"/>
        </w:rPr>
        <w:t>DRUMMOND, José Augusto. Investimentos privados, bens públicos e qual</w:t>
      </w:r>
      <w:r>
        <w:rPr>
          <w:sz w:val="16"/>
        </w:rPr>
        <w:t xml:space="preserve">idade de vida numa frente de mineração tropical: o caso da mina de manganês de Serra do Navio (AP). História, Ciência e Saúde - </w:t>
      </w:r>
      <w:r>
        <w:rPr>
          <w:spacing w:val="18"/>
          <w:sz w:val="16"/>
        </w:rPr>
        <w:t xml:space="preserve">Manguinhos, </w:t>
      </w:r>
      <w:r>
        <w:rPr>
          <w:spacing w:val="13"/>
          <w:sz w:val="16"/>
        </w:rPr>
        <w:t xml:space="preserve">v.5 </w:t>
      </w:r>
      <w:r>
        <w:rPr>
          <w:spacing w:val="15"/>
          <w:sz w:val="16"/>
        </w:rPr>
        <w:t xml:space="preserve">n.2, </w:t>
      </w:r>
      <w:r>
        <w:rPr>
          <w:spacing w:val="17"/>
          <w:sz w:val="16"/>
        </w:rPr>
        <w:t xml:space="preserve">jul/out. </w:t>
      </w:r>
      <w:r>
        <w:rPr>
          <w:spacing w:val="15"/>
          <w:sz w:val="16"/>
        </w:rPr>
        <w:t>1998.</w:t>
      </w:r>
      <w:r>
        <w:rPr>
          <w:spacing w:val="75"/>
          <w:sz w:val="16"/>
        </w:rPr>
        <w:t xml:space="preserve"> </w:t>
      </w:r>
      <w:r>
        <w:rPr>
          <w:spacing w:val="17"/>
          <w:sz w:val="16"/>
        </w:rPr>
        <w:t>Disponível</w:t>
      </w:r>
      <w:r>
        <w:rPr>
          <w:spacing w:val="16"/>
          <w:sz w:val="16"/>
        </w:rPr>
        <w:t xml:space="preserve"> </w:t>
      </w:r>
      <w:r>
        <w:rPr>
          <w:spacing w:val="13"/>
          <w:sz w:val="16"/>
        </w:rPr>
        <w:t>em:</w:t>
      </w:r>
      <w:r>
        <w:rPr>
          <w:spacing w:val="-22"/>
          <w:sz w:val="16"/>
        </w:rPr>
        <w:t xml:space="preserve"> </w:t>
      </w:r>
    </w:p>
    <w:p w:rsidR="00D81F69" w:rsidRDefault="00D81F69">
      <w:pPr>
        <w:spacing w:before="3" w:line="312" w:lineRule="auto"/>
        <w:ind w:left="100" w:right="256"/>
        <w:jc w:val="both"/>
        <w:rPr>
          <w:sz w:val="16"/>
        </w:rPr>
      </w:pPr>
      <w:hyperlink r:id="rId119">
        <w:r w:rsidR="00330118">
          <w:rPr>
            <w:sz w:val="16"/>
          </w:rPr>
          <w:t>&lt;http://www.scielo.br/scielo.php?pid=S010459701998000200010&amp;scri</w:t>
        </w:r>
      </w:hyperlink>
      <w:r w:rsidR="00330118">
        <w:rPr>
          <w:sz w:val="16"/>
        </w:rPr>
        <w:t xml:space="preserve"> pt=sci_arttext&gt;. Acesso em: 19 fev. 2010.</w:t>
      </w:r>
    </w:p>
    <w:p w:rsidR="00D81F69" w:rsidRDefault="00330118">
      <w:pPr>
        <w:spacing w:before="2" w:line="312" w:lineRule="auto"/>
        <w:ind w:left="100" w:right="235"/>
        <w:jc w:val="both"/>
        <w:rPr>
          <w:sz w:val="16"/>
        </w:rPr>
      </w:pPr>
      <w:r>
        <w:rPr>
          <w:sz w:val="16"/>
        </w:rPr>
        <w:t xml:space="preserve">FERNANDES, Francisco Rego Chaves; VILLAS-BOAS, Ana </w:t>
      </w:r>
      <w:r>
        <w:rPr>
          <w:spacing w:val="1"/>
          <w:sz w:val="16"/>
        </w:rPr>
        <w:t xml:space="preserve">Lucia; </w:t>
      </w:r>
      <w:r>
        <w:rPr>
          <w:sz w:val="16"/>
        </w:rPr>
        <w:t>MALDONAD</w:t>
      </w:r>
      <w:r>
        <w:rPr>
          <w:sz w:val="16"/>
        </w:rPr>
        <w:t xml:space="preserve">O, José Varge; SOARES, Maria Clara; SANTOS, Maria de </w:t>
      </w:r>
      <w:r>
        <w:rPr>
          <w:spacing w:val="1"/>
          <w:sz w:val="16"/>
        </w:rPr>
        <w:t xml:space="preserve">Fátima; MARQUES, Maria Isabel; </w:t>
      </w:r>
      <w:r>
        <w:rPr>
          <w:sz w:val="16"/>
        </w:rPr>
        <w:t xml:space="preserve">SÁ, </w:t>
      </w:r>
      <w:r>
        <w:rPr>
          <w:spacing w:val="1"/>
          <w:sz w:val="16"/>
        </w:rPr>
        <w:t xml:space="preserve">Paulo César; </w:t>
      </w:r>
      <w:r>
        <w:rPr>
          <w:spacing w:val="2"/>
          <w:sz w:val="16"/>
        </w:rPr>
        <w:t xml:space="preserve">MALPAS, </w:t>
      </w:r>
      <w:r>
        <w:rPr>
          <w:sz w:val="16"/>
        </w:rPr>
        <w:t>Susan. Os maiores mineradores do Brasil: perfil empresarial do setor mineral</w:t>
      </w:r>
      <w:r>
        <w:rPr>
          <w:spacing w:val="8"/>
          <w:sz w:val="16"/>
        </w:rPr>
        <w:t xml:space="preserve"> </w:t>
      </w:r>
      <w:r>
        <w:rPr>
          <w:sz w:val="16"/>
        </w:rPr>
        <w:t>brasileiro,</w:t>
      </w:r>
      <w:r>
        <w:rPr>
          <w:spacing w:val="8"/>
          <w:sz w:val="16"/>
        </w:rPr>
        <w:t xml:space="preserve"> </w:t>
      </w:r>
      <w:r>
        <w:rPr>
          <w:sz w:val="16"/>
        </w:rPr>
        <w:t>v.</w:t>
      </w:r>
      <w:r>
        <w:rPr>
          <w:spacing w:val="8"/>
          <w:sz w:val="16"/>
        </w:rPr>
        <w:t xml:space="preserve"> </w:t>
      </w:r>
      <w:r>
        <w:rPr>
          <w:sz w:val="16"/>
        </w:rPr>
        <w:t>2.</w:t>
      </w:r>
      <w:r>
        <w:rPr>
          <w:spacing w:val="8"/>
          <w:sz w:val="16"/>
        </w:rPr>
        <w:t xml:space="preserve"> </w:t>
      </w:r>
      <w:r>
        <w:rPr>
          <w:sz w:val="16"/>
        </w:rPr>
        <w:t>Brasília:</w:t>
      </w:r>
      <w:r>
        <w:rPr>
          <w:spacing w:val="8"/>
          <w:sz w:val="16"/>
        </w:rPr>
        <w:t xml:space="preserve"> </w:t>
      </w:r>
      <w:r>
        <w:rPr>
          <w:sz w:val="16"/>
        </w:rPr>
        <w:t>CNPq</w:t>
      </w:r>
      <w:r>
        <w:rPr>
          <w:spacing w:val="8"/>
          <w:sz w:val="16"/>
        </w:rPr>
        <w:t xml:space="preserve"> </w:t>
      </w:r>
      <w:r>
        <w:rPr>
          <w:sz w:val="16"/>
        </w:rPr>
        <w:t>/</w:t>
      </w:r>
      <w:r>
        <w:rPr>
          <w:spacing w:val="8"/>
          <w:sz w:val="16"/>
        </w:rPr>
        <w:t xml:space="preserve"> </w:t>
      </w:r>
      <w:r>
        <w:rPr>
          <w:sz w:val="16"/>
        </w:rPr>
        <w:t>Coordenação</w:t>
      </w:r>
      <w:r>
        <w:rPr>
          <w:spacing w:val="8"/>
          <w:sz w:val="16"/>
        </w:rPr>
        <w:t xml:space="preserve"> </w:t>
      </w:r>
      <w:r>
        <w:rPr>
          <w:sz w:val="16"/>
        </w:rPr>
        <w:t>Editorial,</w:t>
      </w:r>
      <w:r>
        <w:rPr>
          <w:spacing w:val="8"/>
          <w:sz w:val="16"/>
        </w:rPr>
        <w:t xml:space="preserve"> </w:t>
      </w:r>
      <w:r>
        <w:rPr>
          <w:sz w:val="16"/>
        </w:rPr>
        <w:t>1982.</w:t>
      </w:r>
    </w:p>
    <w:p w:rsidR="00D81F69" w:rsidRDefault="00D81F69">
      <w:pPr>
        <w:spacing w:line="312" w:lineRule="auto"/>
        <w:jc w:val="both"/>
        <w:rPr>
          <w:sz w:val="16"/>
        </w:rPr>
        <w:sectPr w:rsidR="00D81F69">
          <w:pgSz w:w="11900" w:h="16840"/>
          <w:pgMar w:top="740" w:right="460" w:bottom="640" w:left="620" w:header="0" w:footer="402" w:gutter="0"/>
          <w:cols w:num="2" w:space="720" w:equalWidth="0">
            <w:col w:w="5164" w:space="306"/>
            <w:col w:w="5350"/>
          </w:cols>
        </w:sectPr>
      </w:pPr>
    </w:p>
    <w:p w:rsidR="00D81F69" w:rsidRDefault="00330118">
      <w:pPr>
        <w:spacing w:before="70" w:line="312" w:lineRule="auto"/>
        <w:ind w:left="100" w:right="64"/>
        <w:jc w:val="both"/>
        <w:rPr>
          <w:sz w:val="16"/>
        </w:rPr>
      </w:pPr>
      <w:r>
        <w:rPr>
          <w:sz w:val="16"/>
        </w:rPr>
        <w:lastRenderedPageBreak/>
        <w:t>FIGUEIREDO, Bernardino Ribeiro; BORBA, Ricardo Perobelli. ANGÉLICA, Rômulo Simões. Arsênio no Brasil e exposição humana. In: SILVA, Cássio Roberto; FIGUEIREDO, Bernardino Ribeiro; CAPITANI, Eduardo Mello; CUNHA, Fernanda Gonça</w:t>
      </w:r>
      <w:r>
        <w:rPr>
          <w:sz w:val="16"/>
        </w:rPr>
        <w:t>lves. Geologia Médica no Brasil. Rio de Janeiro: CPRM – Serviço Geológico do Brasil, 2006.</w:t>
      </w:r>
    </w:p>
    <w:p w:rsidR="00D81F69" w:rsidRDefault="00330118">
      <w:pPr>
        <w:spacing w:before="5" w:line="312" w:lineRule="auto"/>
        <w:ind w:left="100"/>
        <w:rPr>
          <w:sz w:val="16"/>
        </w:rPr>
      </w:pPr>
      <w:r>
        <w:rPr>
          <w:sz w:val="16"/>
        </w:rPr>
        <w:t xml:space="preserve">IBGE, Instituto Brasileiro de Geografia e Estatística. Serra do Navio </w:t>
      </w:r>
      <w:r>
        <w:rPr>
          <w:spacing w:val="20"/>
          <w:sz w:val="16"/>
        </w:rPr>
        <w:t>(AP).</w:t>
      </w:r>
      <w:r>
        <w:rPr>
          <w:spacing w:val="85"/>
          <w:sz w:val="16"/>
        </w:rPr>
        <w:t xml:space="preserve"> </w:t>
      </w:r>
      <w:r>
        <w:rPr>
          <w:spacing w:val="17"/>
          <w:sz w:val="16"/>
        </w:rPr>
        <w:t xml:space="preserve">In: </w:t>
      </w:r>
      <w:r>
        <w:rPr>
          <w:spacing w:val="20"/>
          <w:sz w:val="16"/>
        </w:rPr>
        <w:t xml:space="preserve">IBGE </w:t>
      </w:r>
      <w:r>
        <w:rPr>
          <w:spacing w:val="22"/>
          <w:sz w:val="16"/>
        </w:rPr>
        <w:t xml:space="preserve">Cidades, </w:t>
      </w:r>
      <w:r>
        <w:rPr>
          <w:spacing w:val="21"/>
          <w:sz w:val="16"/>
        </w:rPr>
        <w:t xml:space="preserve">2010a. </w:t>
      </w:r>
      <w:r>
        <w:rPr>
          <w:spacing w:val="23"/>
          <w:sz w:val="16"/>
        </w:rPr>
        <w:t>Disponível</w:t>
      </w:r>
      <w:r>
        <w:rPr>
          <w:spacing w:val="22"/>
          <w:sz w:val="16"/>
        </w:rPr>
        <w:t xml:space="preserve"> </w:t>
      </w:r>
      <w:r>
        <w:rPr>
          <w:spacing w:val="17"/>
          <w:sz w:val="16"/>
        </w:rPr>
        <w:t>em:</w:t>
      </w:r>
      <w:r>
        <w:rPr>
          <w:spacing w:val="-16"/>
          <w:sz w:val="16"/>
        </w:rPr>
        <w:t xml:space="preserve"> </w:t>
      </w:r>
    </w:p>
    <w:p w:rsidR="00D81F69" w:rsidRDefault="00D81F69">
      <w:pPr>
        <w:spacing w:before="1"/>
        <w:ind w:left="100"/>
        <w:rPr>
          <w:sz w:val="16"/>
        </w:rPr>
      </w:pPr>
      <w:hyperlink r:id="rId120">
        <w:r w:rsidR="00330118">
          <w:rPr>
            <w:sz w:val="16"/>
          </w:rPr>
          <w:t>&lt;http://www.ibge.gov.br/cidadesat/xtras/perfil.php?codmun=160005&amp;r</w:t>
        </w:r>
      </w:hyperlink>
    </w:p>
    <w:p w:rsidR="00D81F69" w:rsidRDefault="00330118">
      <w:pPr>
        <w:spacing w:before="56"/>
        <w:ind w:left="100"/>
        <w:rPr>
          <w:sz w:val="16"/>
        </w:rPr>
      </w:pPr>
      <w:r>
        <w:rPr>
          <w:sz w:val="16"/>
        </w:rPr>
        <w:t>=2&gt;. Acesso em: 20 out. 2010.</w:t>
      </w:r>
    </w:p>
    <w:p w:rsidR="00D81F69" w:rsidRDefault="00330118">
      <w:pPr>
        <w:tabs>
          <w:tab w:val="left" w:pos="2559"/>
          <w:tab w:val="left" w:pos="5063"/>
        </w:tabs>
        <w:spacing w:before="56" w:line="312" w:lineRule="auto"/>
        <w:ind w:left="100" w:right="72"/>
        <w:rPr>
          <w:sz w:val="16"/>
        </w:rPr>
      </w:pPr>
      <w:r>
        <w:rPr>
          <w:sz w:val="16"/>
        </w:rPr>
        <w:t>______. Serra do Navio (AP). In: IBGE Cidades, 2010b. Disponível    e</w:t>
      </w:r>
      <w:r>
        <w:rPr>
          <w:sz w:val="16"/>
        </w:rPr>
        <w:tab/>
        <w:t>m</w:t>
      </w:r>
      <w:r>
        <w:rPr>
          <w:sz w:val="16"/>
        </w:rPr>
        <w:tab/>
        <w:t>:</w:t>
      </w:r>
    </w:p>
    <w:p w:rsidR="00D81F69" w:rsidRDefault="00D81F69">
      <w:pPr>
        <w:spacing w:before="2"/>
        <w:ind w:left="100"/>
        <w:rPr>
          <w:sz w:val="16"/>
        </w:rPr>
      </w:pPr>
      <w:hyperlink r:id="rId121">
        <w:r w:rsidR="00330118">
          <w:rPr>
            <w:sz w:val="16"/>
          </w:rPr>
          <w:t>&lt;http://www.ibge.gov.br/cidadesat/xtras/perfil.php?codmun=160060&amp;r</w:t>
        </w:r>
      </w:hyperlink>
    </w:p>
    <w:p w:rsidR="00D81F69" w:rsidRDefault="00330118">
      <w:pPr>
        <w:spacing w:before="56"/>
        <w:ind w:left="100"/>
        <w:rPr>
          <w:sz w:val="16"/>
        </w:rPr>
      </w:pPr>
      <w:r>
        <w:rPr>
          <w:sz w:val="16"/>
        </w:rPr>
        <w:t>=2&gt;. Acesso em: 20 out. 2010.</w:t>
      </w:r>
    </w:p>
    <w:p w:rsidR="00D81F69" w:rsidRDefault="00330118">
      <w:pPr>
        <w:spacing w:before="56"/>
        <w:ind w:left="100"/>
        <w:rPr>
          <w:sz w:val="16"/>
        </w:rPr>
      </w:pPr>
      <w:r>
        <w:rPr>
          <w:sz w:val="16"/>
        </w:rPr>
        <w:t>MAPA DA INJUSTIÇA AMBIENTAL E SAÚDE NO BRASIL. Após</w:t>
      </w:r>
    </w:p>
    <w:p w:rsidR="00D81F69" w:rsidRDefault="00330118">
      <w:pPr>
        <w:spacing w:before="56" w:line="312" w:lineRule="auto"/>
        <w:ind w:left="100" w:right="38"/>
        <w:jc w:val="both"/>
        <w:rPr>
          <w:sz w:val="16"/>
        </w:rPr>
      </w:pPr>
      <w:r>
        <w:rPr>
          <w:sz w:val="16"/>
        </w:rPr>
        <w:t>esgotamento do manga</w:t>
      </w:r>
      <w:r>
        <w:rPr>
          <w:sz w:val="16"/>
        </w:rPr>
        <w:t xml:space="preserve">nês, passivos ambientais e perspectiva econômica incerta rondam as cidades de Serra do Navio e Santana. Base de dados, 02 nov. 2009. Disponível em: </w:t>
      </w:r>
    </w:p>
    <w:p w:rsidR="00D81F69" w:rsidRDefault="00D81F69">
      <w:pPr>
        <w:spacing w:before="2" w:line="312" w:lineRule="auto"/>
        <w:ind w:left="100"/>
        <w:rPr>
          <w:sz w:val="16"/>
        </w:rPr>
      </w:pPr>
      <w:hyperlink r:id="rId122">
        <w:r w:rsidR="00330118">
          <w:rPr>
            <w:sz w:val="16"/>
          </w:rPr>
          <w:t>&lt;http://www.confl</w:t>
        </w:r>
        <w:r w:rsidR="00330118">
          <w:rPr>
            <w:sz w:val="16"/>
          </w:rPr>
          <w:t>itoambiental.icict.fiocruz.br/index.php?pag=ficha&amp;co</w:t>
        </w:r>
      </w:hyperlink>
      <w:r w:rsidR="00330118">
        <w:rPr>
          <w:sz w:val="16"/>
        </w:rPr>
        <w:t xml:space="preserve"> d=7&gt;. Acesso em: 19 fev. 2010.</w:t>
      </w:r>
    </w:p>
    <w:p w:rsidR="00D81F69" w:rsidRDefault="00330118">
      <w:pPr>
        <w:spacing w:before="2" w:line="312" w:lineRule="auto"/>
        <w:ind w:left="100"/>
        <w:rPr>
          <w:sz w:val="16"/>
        </w:rPr>
      </w:pPr>
      <w:r>
        <w:rPr>
          <w:sz w:val="16"/>
        </w:rPr>
        <w:t xml:space="preserve">MENCONI, Darlene; SILVA, Leopoldo. De volta para o futuro. Revista Isto É, São Paulo, 13 de jul. de 2002. Disponível em </w:t>
      </w:r>
    </w:p>
    <w:p w:rsidR="00D81F69" w:rsidRDefault="00D81F69">
      <w:pPr>
        <w:spacing w:before="2" w:line="312" w:lineRule="auto"/>
        <w:ind w:left="100" w:right="71"/>
        <w:rPr>
          <w:sz w:val="16"/>
        </w:rPr>
      </w:pPr>
      <w:hyperlink r:id="rId123">
        <w:r w:rsidR="00330118">
          <w:rPr>
            <w:sz w:val="16"/>
          </w:rPr>
          <w:t>&lt;www.ana.gov.br/AcoesAdministrativas/RelatorioGestao/Rio10/Rioma</w:t>
        </w:r>
      </w:hyperlink>
      <w:r w:rsidR="00330118">
        <w:rPr>
          <w:sz w:val="16"/>
        </w:rPr>
        <w:t xml:space="preserve"> isdez/index.php.2533.html+Quilombo+do+Curia%C3%BA+ars%C3% AAnio&amp;cd=10&amp;hl=pt-BR&amp;ct=clnk&amp;gl=br&gt;. Acesso em: 9 abr. 2010. MONTEIRO, Maurílio de Abreu. A ICOM</w:t>
      </w:r>
      <w:r w:rsidR="00330118">
        <w:rPr>
          <w:sz w:val="16"/>
        </w:rPr>
        <w:t>I no Amapá: meio século de exploração mineral. Novos Cadernos NAEA, v. 6, n. 2. Belém: UFPA,</w:t>
      </w:r>
    </w:p>
    <w:p w:rsidR="00D81F69" w:rsidRDefault="00330118">
      <w:pPr>
        <w:tabs>
          <w:tab w:val="left" w:pos="1785"/>
          <w:tab w:val="left" w:pos="4548"/>
        </w:tabs>
        <w:spacing w:before="4"/>
        <w:ind w:left="100"/>
        <w:rPr>
          <w:sz w:val="16"/>
        </w:rPr>
      </w:pPr>
      <w:r>
        <w:rPr>
          <w:sz w:val="16"/>
        </w:rPr>
        <w:t xml:space="preserve">2   0   0  </w:t>
      </w:r>
      <w:r>
        <w:rPr>
          <w:spacing w:val="35"/>
          <w:sz w:val="16"/>
        </w:rPr>
        <w:t xml:space="preserve"> </w:t>
      </w:r>
      <w:r>
        <w:rPr>
          <w:sz w:val="16"/>
        </w:rPr>
        <w:t xml:space="preserve">3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Pr>
          <w:sz w:val="16"/>
        </w:rPr>
      </w:pPr>
      <w:hyperlink r:id="rId124">
        <w:r w:rsidR="00330118">
          <w:rPr>
            <w:sz w:val="16"/>
          </w:rPr>
          <w:t>&lt;http://www.peri</w:t>
        </w:r>
        <w:r w:rsidR="00330118">
          <w:rPr>
            <w:sz w:val="16"/>
          </w:rPr>
          <w:t>odicos.ufpa.br/index.php/ncn/article/view/90/141&gt;.</w:t>
        </w:r>
      </w:hyperlink>
      <w:r w:rsidR="00330118">
        <w:rPr>
          <w:sz w:val="16"/>
        </w:rPr>
        <w:t xml:space="preserve"> Acesso em: 19 fev. 2010.</w:t>
      </w:r>
    </w:p>
    <w:p w:rsidR="00D81F69" w:rsidRDefault="00330118">
      <w:pPr>
        <w:spacing w:before="1" w:line="312" w:lineRule="auto"/>
        <w:ind w:left="100" w:right="65"/>
        <w:rPr>
          <w:sz w:val="16"/>
        </w:rPr>
      </w:pPr>
      <w:r>
        <w:rPr>
          <w:sz w:val="16"/>
        </w:rPr>
        <w:t>OBSERVATÓRIO SOCIAL. A Icomi no Amapá. Comportamento social e trabalhista - relatório geral de observação, mar. 2003.</w:t>
      </w:r>
    </w:p>
    <w:p w:rsidR="00D81F69" w:rsidRDefault="00330118">
      <w:pPr>
        <w:tabs>
          <w:tab w:val="left" w:pos="470"/>
          <w:tab w:val="left" w:pos="760"/>
          <w:tab w:val="left" w:pos="1095"/>
          <w:tab w:val="left" w:pos="1439"/>
          <w:tab w:val="left" w:pos="1782"/>
          <w:tab w:val="left" w:pos="2126"/>
          <w:tab w:val="left" w:pos="2426"/>
          <w:tab w:val="left" w:pos="2760"/>
          <w:tab w:val="left" w:pos="3104"/>
          <w:tab w:val="left" w:pos="4331"/>
          <w:tab w:val="left" w:pos="4674"/>
          <w:tab w:val="left" w:pos="5063"/>
        </w:tabs>
        <w:spacing w:before="70"/>
        <w:ind w:left="100"/>
        <w:rPr>
          <w:sz w:val="16"/>
        </w:rPr>
      </w:pPr>
      <w:r>
        <w:br w:type="column"/>
      </w:r>
      <w:r>
        <w:rPr>
          <w:sz w:val="16"/>
        </w:rPr>
        <w:lastRenderedPageBreak/>
        <w:t>D</w:t>
      </w:r>
      <w:r>
        <w:rPr>
          <w:sz w:val="16"/>
        </w:rPr>
        <w:tab/>
        <w:t>i</w:t>
      </w:r>
      <w:r>
        <w:rPr>
          <w:sz w:val="16"/>
        </w:rPr>
        <w:tab/>
        <w:t>s</w:t>
      </w:r>
      <w:r>
        <w:rPr>
          <w:sz w:val="16"/>
        </w:rPr>
        <w:tab/>
        <w:t>p</w:t>
      </w:r>
      <w:r>
        <w:rPr>
          <w:sz w:val="16"/>
        </w:rPr>
        <w:tab/>
        <w:t>o</w:t>
      </w:r>
      <w:r>
        <w:rPr>
          <w:sz w:val="16"/>
        </w:rPr>
        <w:tab/>
        <w:t>n</w:t>
      </w:r>
      <w:r>
        <w:rPr>
          <w:sz w:val="16"/>
        </w:rPr>
        <w:tab/>
        <w:t>í</w:t>
      </w:r>
      <w:r>
        <w:rPr>
          <w:sz w:val="16"/>
        </w:rPr>
        <w:tab/>
        <w:t>v</w:t>
      </w:r>
      <w:r>
        <w:rPr>
          <w:sz w:val="16"/>
        </w:rPr>
        <w:tab/>
        <w:t>e</w:t>
      </w:r>
      <w:r>
        <w:rPr>
          <w:sz w:val="16"/>
        </w:rPr>
        <w:tab/>
        <w:t>l</w:t>
      </w:r>
      <w:r>
        <w:rPr>
          <w:sz w:val="16"/>
        </w:rPr>
        <w:tab/>
        <w:t>e</w:t>
      </w:r>
      <w:r>
        <w:rPr>
          <w:sz w:val="16"/>
        </w:rPr>
        <w:tab/>
        <w:t>m</w:t>
      </w:r>
      <w:r>
        <w:rPr>
          <w:sz w:val="16"/>
        </w:rPr>
        <w:tab/>
        <w:t>:</w:t>
      </w:r>
    </w:p>
    <w:p w:rsidR="00D81F69" w:rsidRDefault="00D81F69">
      <w:pPr>
        <w:spacing w:before="56" w:line="312" w:lineRule="auto"/>
        <w:ind w:left="100" w:right="257"/>
        <w:jc w:val="both"/>
        <w:rPr>
          <w:sz w:val="16"/>
        </w:rPr>
      </w:pPr>
      <w:hyperlink r:id="rId125">
        <w:r w:rsidR="00330118">
          <w:rPr>
            <w:sz w:val="16"/>
          </w:rPr>
          <w:t>&lt;http://www.observatoriosocial.org.br/arquivos_biblioteca/conteudo/18</w:t>
        </w:r>
      </w:hyperlink>
      <w:r w:rsidR="00330118">
        <w:rPr>
          <w:sz w:val="16"/>
        </w:rPr>
        <w:t xml:space="preserve"> 522003marGeralICOMIport.pdf&gt;. Acesso em 19 fev. 2010.</w:t>
      </w:r>
    </w:p>
    <w:p w:rsidR="00D81F69" w:rsidRDefault="00330118">
      <w:pPr>
        <w:spacing w:before="1"/>
        <w:ind w:left="100"/>
        <w:rPr>
          <w:sz w:val="16"/>
        </w:rPr>
      </w:pPr>
      <w:r>
        <w:rPr>
          <w:sz w:val="16"/>
        </w:rPr>
        <w:t xml:space="preserve">OCMAL  –  OBSERVATORIO  DE  CONFLICTOS  MINEROS </w:t>
      </w:r>
      <w:r>
        <w:rPr>
          <w:sz w:val="16"/>
        </w:rPr>
        <w:t>DE</w:t>
      </w:r>
    </w:p>
    <w:p w:rsidR="00D81F69" w:rsidRDefault="00330118">
      <w:pPr>
        <w:tabs>
          <w:tab w:val="left" w:pos="4331"/>
        </w:tabs>
        <w:spacing w:before="56" w:line="312" w:lineRule="auto"/>
        <w:ind w:left="100" w:right="237"/>
        <w:jc w:val="both"/>
        <w:rPr>
          <w:sz w:val="16"/>
        </w:rPr>
      </w:pPr>
      <w:r>
        <w:rPr>
          <w:sz w:val="16"/>
        </w:rPr>
        <w:t xml:space="preserve">AMERICA LATINA. Exploração de manganês pela ICOMI: passivo </w:t>
      </w:r>
      <w:r>
        <w:rPr>
          <w:spacing w:val="7"/>
          <w:sz w:val="16"/>
        </w:rPr>
        <w:t xml:space="preserve">ambiental </w:t>
      </w:r>
      <w:r>
        <w:rPr>
          <w:spacing w:val="6"/>
          <w:sz w:val="16"/>
        </w:rPr>
        <w:t xml:space="preserve">para </w:t>
      </w:r>
      <w:r>
        <w:rPr>
          <w:sz w:val="16"/>
        </w:rPr>
        <w:t xml:space="preserve">a </w:t>
      </w:r>
      <w:r>
        <w:rPr>
          <w:spacing w:val="7"/>
          <w:sz w:val="16"/>
        </w:rPr>
        <w:t xml:space="preserve">população </w:t>
      </w:r>
      <w:r>
        <w:rPr>
          <w:spacing w:val="5"/>
          <w:sz w:val="16"/>
        </w:rPr>
        <w:t xml:space="preserve">de </w:t>
      </w:r>
      <w:r>
        <w:rPr>
          <w:spacing w:val="7"/>
          <w:sz w:val="16"/>
        </w:rPr>
        <w:t xml:space="preserve">Serra </w:t>
      </w:r>
      <w:r>
        <w:rPr>
          <w:spacing w:val="5"/>
          <w:sz w:val="16"/>
        </w:rPr>
        <w:t xml:space="preserve">do </w:t>
      </w:r>
      <w:r>
        <w:rPr>
          <w:spacing w:val="7"/>
          <w:sz w:val="16"/>
        </w:rPr>
        <w:t xml:space="preserve">Navio. Sistema </w:t>
      </w:r>
      <w:r>
        <w:rPr>
          <w:spacing w:val="10"/>
          <w:sz w:val="16"/>
        </w:rPr>
        <w:t xml:space="preserve">de </w:t>
      </w:r>
      <w:r>
        <w:rPr>
          <w:spacing w:val="6"/>
          <w:sz w:val="16"/>
        </w:rPr>
        <w:t xml:space="preserve">Información </w:t>
      </w:r>
      <w:r>
        <w:rPr>
          <w:spacing w:val="5"/>
          <w:sz w:val="16"/>
        </w:rPr>
        <w:t xml:space="preserve">para </w:t>
      </w:r>
      <w:r>
        <w:rPr>
          <w:spacing w:val="3"/>
          <w:sz w:val="16"/>
        </w:rPr>
        <w:t xml:space="preserve">la </w:t>
      </w:r>
      <w:r>
        <w:rPr>
          <w:spacing w:val="5"/>
          <w:sz w:val="16"/>
        </w:rPr>
        <w:t xml:space="preserve">gestión </w:t>
      </w:r>
      <w:r>
        <w:rPr>
          <w:spacing w:val="6"/>
          <w:sz w:val="16"/>
        </w:rPr>
        <w:t xml:space="preserve">comunitaria </w:t>
      </w:r>
      <w:r>
        <w:rPr>
          <w:spacing w:val="3"/>
          <w:sz w:val="16"/>
        </w:rPr>
        <w:t xml:space="preserve">de </w:t>
      </w:r>
      <w:r>
        <w:rPr>
          <w:spacing w:val="6"/>
          <w:sz w:val="16"/>
        </w:rPr>
        <w:t xml:space="preserve">Conflictos </w:t>
      </w:r>
      <w:r>
        <w:rPr>
          <w:spacing w:val="7"/>
          <w:sz w:val="16"/>
        </w:rPr>
        <w:t xml:space="preserve">Socio- </w:t>
      </w:r>
      <w:r>
        <w:rPr>
          <w:sz w:val="16"/>
        </w:rPr>
        <w:t xml:space="preserve">ambientales mineros en Latinoamérica. Atualizado em: 21 set. 2009. D      i      s      p      o      n      í      v  </w:t>
      </w:r>
      <w:r>
        <w:rPr>
          <w:spacing w:val="36"/>
          <w:sz w:val="16"/>
        </w:rPr>
        <w:t xml:space="preserve"> </w:t>
      </w:r>
      <w:r>
        <w:rPr>
          <w:sz w:val="16"/>
        </w:rPr>
        <w:t xml:space="preserve">e    </w:t>
      </w:r>
      <w:r>
        <w:rPr>
          <w:spacing w:val="31"/>
          <w:sz w:val="16"/>
        </w:rPr>
        <w:t xml:space="preserve"> </w:t>
      </w:r>
      <w:r>
        <w:rPr>
          <w:sz w:val="16"/>
        </w:rPr>
        <w:t>l</w:t>
      </w:r>
      <w:r>
        <w:rPr>
          <w:sz w:val="16"/>
        </w:rPr>
        <w:tab/>
        <w:t xml:space="preserve">e      m    </w:t>
      </w:r>
      <w:r>
        <w:rPr>
          <w:spacing w:val="20"/>
          <w:sz w:val="16"/>
        </w:rPr>
        <w:t xml:space="preserve"> </w:t>
      </w:r>
      <w:r>
        <w:rPr>
          <w:sz w:val="16"/>
        </w:rPr>
        <w:t>:</w:t>
      </w:r>
    </w:p>
    <w:p w:rsidR="00D81F69" w:rsidRDefault="00D81F69">
      <w:pPr>
        <w:spacing w:before="4"/>
        <w:ind w:left="100"/>
        <w:rPr>
          <w:sz w:val="16"/>
        </w:rPr>
      </w:pPr>
      <w:hyperlink r:id="rId126">
        <w:r w:rsidR="00330118">
          <w:rPr>
            <w:sz w:val="16"/>
          </w:rPr>
          <w:t>&lt;http://www.olca.cl/ocmal/ds</w:t>
        </w:r>
        <w:r w:rsidR="00330118">
          <w:rPr>
            <w:sz w:val="16"/>
          </w:rPr>
          <w:t>_conf.php?nota=Conflicto&amp;p_busca=129</w:t>
        </w:r>
      </w:hyperlink>
    </w:p>
    <w:p w:rsidR="00D81F69" w:rsidRDefault="00330118">
      <w:pPr>
        <w:spacing w:before="56"/>
        <w:ind w:left="100"/>
        <w:rPr>
          <w:sz w:val="16"/>
        </w:rPr>
      </w:pPr>
      <w:r>
        <w:rPr>
          <w:sz w:val="16"/>
        </w:rPr>
        <w:t>&gt;. Acesso em: 20 out. 2010.</w:t>
      </w:r>
    </w:p>
    <w:p w:rsidR="00D81F69" w:rsidRDefault="00330118">
      <w:pPr>
        <w:spacing w:before="56" w:line="312" w:lineRule="auto"/>
        <w:ind w:left="100" w:right="185"/>
        <w:jc w:val="both"/>
        <w:rPr>
          <w:sz w:val="16"/>
        </w:rPr>
      </w:pPr>
      <w:r>
        <w:rPr>
          <w:sz w:val="16"/>
        </w:rPr>
        <w:t xml:space="preserve">O ESTADAO DE S. PAULO. Serra do Navio, Estadao.com.br, </w:t>
      </w:r>
      <w:r>
        <w:rPr>
          <w:spacing w:val="1"/>
          <w:sz w:val="16"/>
        </w:rPr>
        <w:t xml:space="preserve">São     </w:t>
      </w:r>
      <w:r>
        <w:rPr>
          <w:spacing w:val="6"/>
          <w:sz w:val="16"/>
        </w:rPr>
        <w:t xml:space="preserve">P a u l o </w:t>
      </w:r>
      <w:r>
        <w:rPr>
          <w:sz w:val="16"/>
        </w:rPr>
        <w:t xml:space="preserve">,      </w:t>
      </w:r>
      <w:r>
        <w:rPr>
          <w:spacing w:val="6"/>
          <w:sz w:val="16"/>
        </w:rPr>
        <w:t xml:space="preserve">2 </w:t>
      </w:r>
      <w:r>
        <w:rPr>
          <w:sz w:val="16"/>
        </w:rPr>
        <w:t xml:space="preserve">9      </w:t>
      </w:r>
      <w:r>
        <w:rPr>
          <w:spacing w:val="6"/>
          <w:sz w:val="16"/>
        </w:rPr>
        <w:t xml:space="preserve">j a n </w:t>
      </w:r>
      <w:r>
        <w:rPr>
          <w:sz w:val="16"/>
        </w:rPr>
        <w:t xml:space="preserve">.      </w:t>
      </w:r>
      <w:r>
        <w:rPr>
          <w:spacing w:val="6"/>
          <w:sz w:val="16"/>
        </w:rPr>
        <w:t xml:space="preserve">2 0 1 0 </w:t>
      </w:r>
      <w:r>
        <w:rPr>
          <w:sz w:val="16"/>
        </w:rPr>
        <w:t xml:space="preserve">.      </w:t>
      </w:r>
      <w:r>
        <w:rPr>
          <w:spacing w:val="6"/>
          <w:sz w:val="16"/>
        </w:rPr>
        <w:t xml:space="preserve">D i s p o n í v e </w:t>
      </w:r>
      <w:r>
        <w:rPr>
          <w:sz w:val="16"/>
        </w:rPr>
        <w:t xml:space="preserve">l   </w:t>
      </w:r>
      <w:r>
        <w:rPr>
          <w:spacing w:val="28"/>
          <w:sz w:val="16"/>
        </w:rPr>
        <w:t xml:space="preserve"> </w:t>
      </w:r>
      <w:r>
        <w:rPr>
          <w:spacing w:val="6"/>
          <w:sz w:val="16"/>
        </w:rPr>
        <w:t xml:space="preserve">e m </w:t>
      </w:r>
      <w:r>
        <w:rPr>
          <w:sz w:val="16"/>
        </w:rPr>
        <w:t>:</w:t>
      </w:r>
      <w:r>
        <w:rPr>
          <w:spacing w:val="7"/>
          <w:sz w:val="16"/>
        </w:rPr>
        <w:t xml:space="preserve"> </w:t>
      </w:r>
    </w:p>
    <w:p w:rsidR="00D81F69" w:rsidRDefault="00D81F69">
      <w:pPr>
        <w:spacing w:before="2"/>
        <w:ind w:left="100"/>
        <w:rPr>
          <w:sz w:val="16"/>
        </w:rPr>
      </w:pPr>
      <w:hyperlink r:id="rId127">
        <w:r w:rsidR="00330118">
          <w:rPr>
            <w:sz w:val="16"/>
          </w:rPr>
          <w:t>&lt;http://www.estadao.com.br/estadaodehoje/20100129/not_imp503388</w:t>
        </w:r>
      </w:hyperlink>
    </w:p>
    <w:p w:rsidR="00D81F69" w:rsidRDefault="00330118">
      <w:pPr>
        <w:spacing w:before="56"/>
        <w:ind w:left="100"/>
        <w:rPr>
          <w:sz w:val="16"/>
        </w:rPr>
      </w:pPr>
      <w:r>
        <w:rPr>
          <w:sz w:val="16"/>
        </w:rPr>
        <w:t>,0.php&gt;. Acesso em: 20 out. 2010.</w:t>
      </w:r>
    </w:p>
    <w:p w:rsidR="00D81F69" w:rsidRDefault="00330118">
      <w:pPr>
        <w:spacing w:before="56" w:line="312" w:lineRule="auto"/>
        <w:ind w:left="100" w:right="224"/>
        <w:jc w:val="both"/>
        <w:rPr>
          <w:sz w:val="16"/>
        </w:rPr>
      </w:pPr>
      <w:r>
        <w:rPr>
          <w:spacing w:val="3"/>
          <w:sz w:val="16"/>
        </w:rPr>
        <w:t xml:space="preserve">PEREIRA, Simone </w:t>
      </w:r>
      <w:r>
        <w:rPr>
          <w:spacing w:val="1"/>
          <w:sz w:val="16"/>
        </w:rPr>
        <w:t xml:space="preserve">de </w:t>
      </w:r>
      <w:r>
        <w:rPr>
          <w:spacing w:val="3"/>
          <w:sz w:val="16"/>
        </w:rPr>
        <w:t xml:space="preserve">Fátima Pinheiro; OLIVEIRA, Geiso </w:t>
      </w:r>
      <w:r>
        <w:rPr>
          <w:spacing w:val="5"/>
          <w:sz w:val="16"/>
        </w:rPr>
        <w:t xml:space="preserve">Rafael </w:t>
      </w:r>
      <w:r>
        <w:rPr>
          <w:spacing w:val="3"/>
          <w:sz w:val="16"/>
        </w:rPr>
        <w:t xml:space="preserve">Fonseca; OLIVEIRA, Johny </w:t>
      </w:r>
      <w:r>
        <w:rPr>
          <w:spacing w:val="1"/>
          <w:sz w:val="16"/>
        </w:rPr>
        <w:t xml:space="preserve">da </w:t>
      </w:r>
      <w:r>
        <w:rPr>
          <w:spacing w:val="3"/>
          <w:sz w:val="16"/>
        </w:rPr>
        <w:t xml:space="preserve">Silva; SILVA, Juliane </w:t>
      </w:r>
      <w:r>
        <w:rPr>
          <w:spacing w:val="1"/>
          <w:sz w:val="16"/>
        </w:rPr>
        <w:t xml:space="preserve">da </w:t>
      </w:r>
      <w:r>
        <w:rPr>
          <w:spacing w:val="3"/>
          <w:sz w:val="16"/>
        </w:rPr>
        <w:t xml:space="preserve">Silva </w:t>
      </w:r>
      <w:r>
        <w:rPr>
          <w:spacing w:val="5"/>
          <w:sz w:val="16"/>
        </w:rPr>
        <w:t xml:space="preserve">e; </w:t>
      </w:r>
      <w:r>
        <w:rPr>
          <w:spacing w:val="17"/>
          <w:sz w:val="16"/>
        </w:rPr>
        <w:t>S</w:t>
      </w:r>
      <w:r>
        <w:rPr>
          <w:spacing w:val="17"/>
          <w:sz w:val="16"/>
        </w:rPr>
        <w:t xml:space="preserve">OUSA </w:t>
      </w:r>
      <w:r>
        <w:rPr>
          <w:spacing w:val="18"/>
          <w:sz w:val="16"/>
        </w:rPr>
        <w:t xml:space="preserve">JUNIOR, </w:t>
      </w:r>
      <w:r>
        <w:rPr>
          <w:spacing w:val="17"/>
          <w:sz w:val="16"/>
        </w:rPr>
        <w:t xml:space="preserve">Pedro </w:t>
      </w:r>
      <w:r>
        <w:rPr>
          <w:spacing w:val="18"/>
          <w:sz w:val="16"/>
        </w:rPr>
        <w:t xml:space="preserve">Moreira </w:t>
      </w:r>
      <w:r>
        <w:rPr>
          <w:spacing w:val="15"/>
          <w:sz w:val="16"/>
        </w:rPr>
        <w:t xml:space="preserve">de. </w:t>
      </w:r>
      <w:r>
        <w:rPr>
          <w:spacing w:val="20"/>
          <w:sz w:val="16"/>
        </w:rPr>
        <w:t>Determinação</w:t>
      </w:r>
      <w:r>
        <w:rPr>
          <w:spacing w:val="85"/>
          <w:sz w:val="16"/>
        </w:rPr>
        <w:t xml:space="preserve"> </w:t>
      </w:r>
      <w:r>
        <w:rPr>
          <w:sz w:val="16"/>
        </w:rPr>
        <w:t xml:space="preserve">espectrofotométrica do arsênio em solo da cidade de Santana-AP usando o método do dietilditiocarbamato de prata (SDDC) modificado. </w:t>
      </w:r>
      <w:r>
        <w:rPr>
          <w:spacing w:val="10"/>
          <w:sz w:val="16"/>
        </w:rPr>
        <w:t xml:space="preserve">Acta  </w:t>
      </w:r>
      <w:r>
        <w:rPr>
          <w:spacing w:val="11"/>
          <w:sz w:val="16"/>
        </w:rPr>
        <w:t xml:space="preserve">Amaz.,  Manaus,  </w:t>
      </w:r>
      <w:r>
        <w:rPr>
          <w:spacing w:val="6"/>
          <w:sz w:val="16"/>
        </w:rPr>
        <w:t xml:space="preserve">v.  </w:t>
      </w:r>
      <w:r>
        <w:rPr>
          <w:spacing w:val="10"/>
          <w:sz w:val="16"/>
        </w:rPr>
        <w:t xml:space="preserve">39,  </w:t>
      </w:r>
      <w:r>
        <w:rPr>
          <w:spacing w:val="6"/>
          <w:sz w:val="16"/>
        </w:rPr>
        <w:t xml:space="preserve">n.  4,  </w:t>
      </w:r>
      <w:r>
        <w:rPr>
          <w:spacing w:val="11"/>
          <w:sz w:val="16"/>
        </w:rPr>
        <w:t xml:space="preserve">2009.  </w:t>
      </w:r>
      <w:r>
        <w:rPr>
          <w:spacing w:val="12"/>
          <w:sz w:val="16"/>
        </w:rPr>
        <w:t xml:space="preserve">Disponível </w:t>
      </w:r>
      <w:r>
        <w:rPr>
          <w:spacing w:val="68"/>
          <w:sz w:val="16"/>
        </w:rPr>
        <w:t xml:space="preserve"> </w:t>
      </w:r>
      <w:r>
        <w:rPr>
          <w:spacing w:val="10"/>
          <w:sz w:val="16"/>
        </w:rPr>
        <w:t>em:</w:t>
      </w:r>
      <w:r>
        <w:rPr>
          <w:spacing w:val="-30"/>
          <w:sz w:val="16"/>
        </w:rPr>
        <w:t xml:space="preserve"> </w:t>
      </w:r>
    </w:p>
    <w:p w:rsidR="00D81F69" w:rsidRDefault="00D81F69">
      <w:pPr>
        <w:tabs>
          <w:tab w:val="left" w:pos="1164"/>
          <w:tab w:val="left" w:pos="2473"/>
          <w:tab w:val="left" w:pos="4636"/>
        </w:tabs>
        <w:spacing w:before="5" w:line="312" w:lineRule="auto"/>
        <w:ind w:left="100" w:right="237"/>
        <w:jc w:val="both"/>
        <w:rPr>
          <w:sz w:val="16"/>
        </w:rPr>
      </w:pPr>
      <w:hyperlink r:id="rId128">
        <w:r w:rsidR="00330118">
          <w:rPr>
            <w:spacing w:val="6"/>
            <w:sz w:val="16"/>
          </w:rPr>
          <w:t>&lt;http://www.scielo.br/scielo.php?script=sci_arttext&amp;pid=S0044-</w:t>
        </w:r>
      </w:hyperlink>
      <w:r w:rsidR="00330118">
        <w:rPr>
          <w:spacing w:val="6"/>
          <w:sz w:val="16"/>
        </w:rPr>
        <w:t xml:space="preserve"> </w:t>
      </w:r>
      <w:r w:rsidR="00330118">
        <w:rPr>
          <w:sz w:val="16"/>
        </w:rPr>
        <w:t>59672009000400023&amp;lng=en&amp;nrm=iso&gt;. Acesso em: 20 out. 2010. SAKAMOTO, Leonardo. Triste herança. Repórter Brasil.</w:t>
      </w:r>
      <w:r w:rsidR="00330118">
        <w:rPr>
          <w:sz w:val="16"/>
        </w:rPr>
        <w:t xml:space="preserve"> São Paulo,    j  a </w:t>
      </w:r>
      <w:r w:rsidR="00330118">
        <w:rPr>
          <w:spacing w:val="22"/>
          <w:sz w:val="16"/>
        </w:rPr>
        <w:t xml:space="preserve"> </w:t>
      </w:r>
      <w:r w:rsidR="00330118">
        <w:rPr>
          <w:sz w:val="16"/>
        </w:rPr>
        <w:t xml:space="preserve">n </w:t>
      </w:r>
      <w:r w:rsidR="00330118">
        <w:rPr>
          <w:spacing w:val="10"/>
          <w:sz w:val="16"/>
        </w:rPr>
        <w:t xml:space="preserve"> </w:t>
      </w:r>
      <w:r w:rsidR="00330118">
        <w:rPr>
          <w:sz w:val="16"/>
        </w:rPr>
        <w:t>.</w:t>
      </w:r>
      <w:r w:rsidR="00330118">
        <w:rPr>
          <w:sz w:val="16"/>
        </w:rPr>
        <w:tab/>
        <w:t xml:space="preserve">2  0  0 </w:t>
      </w:r>
      <w:r w:rsidR="00330118">
        <w:rPr>
          <w:spacing w:val="35"/>
          <w:sz w:val="16"/>
        </w:rPr>
        <w:t xml:space="preserve"> </w:t>
      </w:r>
      <w:r w:rsidR="00330118">
        <w:rPr>
          <w:sz w:val="16"/>
        </w:rPr>
        <w:t xml:space="preserve">1 </w:t>
      </w:r>
      <w:r w:rsidR="00330118">
        <w:rPr>
          <w:spacing w:val="10"/>
          <w:sz w:val="16"/>
        </w:rPr>
        <w:t xml:space="preserve"> </w:t>
      </w:r>
      <w:r w:rsidR="00330118">
        <w:rPr>
          <w:sz w:val="16"/>
        </w:rPr>
        <w:t>.</w:t>
      </w:r>
      <w:r w:rsidR="00330118">
        <w:rPr>
          <w:sz w:val="16"/>
        </w:rPr>
        <w:tab/>
        <w:t xml:space="preserve">D </w:t>
      </w:r>
      <w:r w:rsidR="00330118">
        <w:rPr>
          <w:spacing w:val="10"/>
          <w:sz w:val="16"/>
        </w:rPr>
        <w:t xml:space="preserve"> </w:t>
      </w:r>
      <w:r w:rsidR="00330118">
        <w:rPr>
          <w:sz w:val="16"/>
        </w:rPr>
        <w:t xml:space="preserve">i </w:t>
      </w:r>
      <w:r w:rsidR="00330118">
        <w:rPr>
          <w:spacing w:val="10"/>
          <w:sz w:val="16"/>
        </w:rPr>
        <w:t xml:space="preserve"> </w:t>
      </w:r>
      <w:r w:rsidR="00330118">
        <w:rPr>
          <w:sz w:val="16"/>
        </w:rPr>
        <w:t xml:space="preserve">s </w:t>
      </w:r>
      <w:r w:rsidR="00330118">
        <w:rPr>
          <w:spacing w:val="10"/>
          <w:sz w:val="16"/>
        </w:rPr>
        <w:t xml:space="preserve"> </w:t>
      </w:r>
      <w:r w:rsidR="00330118">
        <w:rPr>
          <w:sz w:val="16"/>
        </w:rPr>
        <w:t xml:space="preserve">p </w:t>
      </w:r>
      <w:r w:rsidR="00330118">
        <w:rPr>
          <w:spacing w:val="10"/>
          <w:sz w:val="16"/>
        </w:rPr>
        <w:t xml:space="preserve"> </w:t>
      </w:r>
      <w:r w:rsidR="00330118">
        <w:rPr>
          <w:sz w:val="16"/>
        </w:rPr>
        <w:t xml:space="preserve">o </w:t>
      </w:r>
      <w:r w:rsidR="00330118">
        <w:rPr>
          <w:spacing w:val="10"/>
          <w:sz w:val="16"/>
        </w:rPr>
        <w:t xml:space="preserve"> </w:t>
      </w:r>
      <w:r w:rsidR="00330118">
        <w:rPr>
          <w:sz w:val="16"/>
        </w:rPr>
        <w:t xml:space="preserve">n </w:t>
      </w:r>
      <w:r w:rsidR="00330118">
        <w:rPr>
          <w:spacing w:val="10"/>
          <w:sz w:val="16"/>
        </w:rPr>
        <w:t xml:space="preserve"> </w:t>
      </w:r>
      <w:r w:rsidR="00330118">
        <w:rPr>
          <w:sz w:val="16"/>
        </w:rPr>
        <w:t xml:space="preserve">í </w:t>
      </w:r>
      <w:r w:rsidR="00330118">
        <w:rPr>
          <w:spacing w:val="10"/>
          <w:sz w:val="16"/>
        </w:rPr>
        <w:t xml:space="preserve"> </w:t>
      </w:r>
      <w:r w:rsidR="00330118">
        <w:rPr>
          <w:sz w:val="16"/>
        </w:rPr>
        <w:t xml:space="preserve">v </w:t>
      </w:r>
      <w:r w:rsidR="00330118">
        <w:rPr>
          <w:spacing w:val="10"/>
          <w:sz w:val="16"/>
        </w:rPr>
        <w:t xml:space="preserve"> </w:t>
      </w:r>
      <w:r w:rsidR="00330118">
        <w:rPr>
          <w:sz w:val="16"/>
        </w:rPr>
        <w:t xml:space="preserve">e </w:t>
      </w:r>
      <w:r w:rsidR="00330118">
        <w:rPr>
          <w:spacing w:val="10"/>
          <w:sz w:val="16"/>
        </w:rPr>
        <w:t xml:space="preserve"> </w:t>
      </w:r>
      <w:r w:rsidR="00330118">
        <w:rPr>
          <w:sz w:val="16"/>
        </w:rPr>
        <w:t>l</w:t>
      </w:r>
      <w:r w:rsidR="00330118">
        <w:rPr>
          <w:sz w:val="16"/>
        </w:rPr>
        <w:tab/>
        <w:t xml:space="preserve">e  m </w:t>
      </w:r>
      <w:r w:rsidR="00330118">
        <w:rPr>
          <w:spacing w:val="22"/>
          <w:sz w:val="16"/>
        </w:rPr>
        <w:t xml:space="preserve"> </w:t>
      </w:r>
      <w:r w:rsidR="00330118">
        <w:rPr>
          <w:sz w:val="16"/>
        </w:rPr>
        <w:t>:</w:t>
      </w:r>
    </w:p>
    <w:p w:rsidR="00D81F69" w:rsidRDefault="00D81F69">
      <w:pPr>
        <w:spacing w:before="3" w:line="312" w:lineRule="auto"/>
        <w:ind w:left="100" w:right="255"/>
        <w:jc w:val="both"/>
        <w:rPr>
          <w:sz w:val="16"/>
        </w:rPr>
      </w:pPr>
      <w:hyperlink r:id="rId129">
        <w:r w:rsidR="00330118">
          <w:rPr>
            <w:sz w:val="16"/>
          </w:rPr>
          <w:t xml:space="preserve">&lt;http://www.reporterbrasil.com.br/exibe.php?id=19&gt;. </w:t>
        </w:r>
      </w:hyperlink>
      <w:r w:rsidR="00330118">
        <w:rPr>
          <w:sz w:val="16"/>
        </w:rPr>
        <w:t>Acesso em: 19 fev. 2010.</w:t>
      </w:r>
    </w:p>
    <w:p w:rsidR="00D81F69" w:rsidRDefault="00330118">
      <w:pPr>
        <w:spacing w:before="2" w:line="312" w:lineRule="auto"/>
        <w:ind w:left="100" w:right="216"/>
        <w:jc w:val="both"/>
        <w:rPr>
          <w:sz w:val="16"/>
        </w:rPr>
      </w:pPr>
      <w:r>
        <w:rPr>
          <w:sz w:val="16"/>
        </w:rPr>
        <w:t>SCARPELI, Wilson. Arsênio do minério</w:t>
      </w:r>
      <w:r>
        <w:rPr>
          <w:sz w:val="16"/>
        </w:rPr>
        <w:t xml:space="preserve"> de manganês da Serra do Navio. Novos Cadernos NAEA, vol. 6, n. 1. Belém: UFPA, 2003. Disponível em: </w:t>
      </w:r>
      <w:hyperlink r:id="rId130">
        <w:r>
          <w:rPr>
            <w:sz w:val="16"/>
          </w:rPr>
          <w:t xml:space="preserve">&lt;http://200.20.105.7/cyted- </w:t>
        </w:r>
      </w:hyperlink>
      <w:r>
        <w:rPr>
          <w:sz w:val="16"/>
        </w:rPr>
        <w:t xml:space="preserve">xiii/Publicaciones/Outros_Artigos/Scarpelli_ArsenioemMinerioMangan es.pdf&gt;. Acesso </w:t>
      </w:r>
      <w:r>
        <w:rPr>
          <w:sz w:val="16"/>
        </w:rPr>
        <w:t>em: 31 mar. 2009.</w:t>
      </w:r>
    </w:p>
    <w:p w:rsidR="00D81F69" w:rsidRDefault="00D81F69">
      <w:pPr>
        <w:spacing w:line="312" w:lineRule="auto"/>
        <w:jc w:val="both"/>
        <w:rPr>
          <w:sz w:val="16"/>
        </w:rPr>
        <w:sectPr w:rsidR="00D81F69">
          <w:pgSz w:w="11900" w:h="16840"/>
          <w:pgMar w:top="740" w:right="460" w:bottom="720" w:left="620" w:header="0" w:footer="402" w:gutter="0"/>
          <w:cols w:num="2" w:space="720" w:equalWidth="0">
            <w:col w:w="5183" w:space="287"/>
            <w:col w:w="5350"/>
          </w:cols>
        </w:sectPr>
      </w:pPr>
    </w:p>
    <w:p w:rsidR="00D81F69" w:rsidRDefault="00330118">
      <w:pPr>
        <w:pStyle w:val="Heading1"/>
        <w:spacing w:line="208" w:lineRule="auto"/>
        <w:ind w:right="0"/>
      </w:pPr>
      <w:bookmarkStart w:id="18" w:name="_TOC_250015"/>
      <w:bookmarkEnd w:id="18"/>
      <w:r>
        <w:lastRenderedPageBreak/>
        <w:t>Exploração de ouro em Calçoene (AP) causa danos ambientais e crise social</w:t>
      </w:r>
    </w:p>
    <w:p w:rsidR="00D81F69" w:rsidRDefault="00D81F69">
      <w:pPr>
        <w:pStyle w:val="Corpodetexto"/>
        <w:ind w:left="0"/>
        <w:jc w:val="left"/>
        <w:rPr>
          <w:b/>
          <w:sz w:val="20"/>
        </w:rPr>
      </w:pPr>
    </w:p>
    <w:p w:rsidR="00D81F69" w:rsidRDefault="00D81F69">
      <w:pPr>
        <w:rPr>
          <w:sz w:val="20"/>
        </w:rPr>
        <w:sectPr w:rsidR="00D81F69">
          <w:pgSz w:w="11900" w:h="16840"/>
          <w:pgMar w:top="1080" w:right="46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AP - Calçoene</w:t>
      </w:r>
    </w:p>
    <w:p w:rsidR="00D81F69" w:rsidRDefault="00D81F69">
      <w:pPr>
        <w:pStyle w:val="Corpodetexto"/>
        <w:spacing w:before="6"/>
        <w:ind w:left="0"/>
        <w:jc w:val="left"/>
        <w:rPr>
          <w:i/>
          <w:sz w:val="22"/>
        </w:rPr>
      </w:pPr>
    </w:p>
    <w:p w:rsidR="00D81F69" w:rsidRDefault="00330118">
      <w:pPr>
        <w:spacing w:line="312" w:lineRule="auto"/>
        <w:ind w:left="135" w:right="246"/>
        <w:rPr>
          <w:i/>
          <w:sz w:val="14"/>
        </w:rPr>
      </w:pPr>
      <w:r>
        <w:rPr>
          <w:i/>
          <w:sz w:val="14"/>
        </w:rPr>
        <w:t>LATITUDE 2,49804</w:t>
      </w:r>
    </w:p>
    <w:p w:rsidR="00D81F69" w:rsidRDefault="00D81F69">
      <w:pPr>
        <w:pStyle w:val="Corpodetexto"/>
        <w:spacing w:before="4"/>
        <w:ind w:left="0"/>
        <w:jc w:val="left"/>
        <w:rPr>
          <w:i/>
        </w:rPr>
      </w:pPr>
    </w:p>
    <w:p w:rsidR="00D81F69" w:rsidRDefault="00330118">
      <w:pPr>
        <w:spacing w:before="1"/>
        <w:ind w:left="135"/>
        <w:rPr>
          <w:i/>
          <w:sz w:val="14"/>
        </w:rPr>
      </w:pPr>
      <w:r>
        <w:rPr>
          <w:i/>
          <w:sz w:val="14"/>
        </w:rPr>
        <w:t>LONGITUDE</w:t>
      </w:r>
    </w:p>
    <w:p w:rsidR="00D81F69" w:rsidRDefault="00330118">
      <w:pPr>
        <w:spacing w:before="49"/>
        <w:ind w:left="135"/>
        <w:rPr>
          <w:i/>
          <w:sz w:val="14"/>
        </w:rPr>
      </w:pPr>
      <w:r>
        <w:rPr>
          <w:i/>
          <w:sz w:val="14"/>
        </w:rPr>
        <w:t>-50,9496</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5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O distrito de Lourenço, no município de Calçoene (AP), se destaca pela exploração de ouro. A retirada da vegetação e a contaminação de solos e recursos hídricos são exemplos de impactos ambientais relacionados à exploração mineral local. Com a paralisação </w:t>
      </w:r>
      <w:r>
        <w:rPr>
          <w:i/>
          <w:sz w:val="16"/>
        </w:rPr>
        <w:t>das atividades das empresas Mineração Novo Astro S/A e Mineração Yukio Yoshidome S/A, a exploração aurífera foi assumida por garimpeiros que criaram a Cooperativa de Garimpeiros do Lourenço (Coogal).</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5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50"/>
      </w:pPr>
      <w:r>
        <w:t>pessoa jurídica (empresa Mutum S/A) para conseguir o</w:t>
      </w:r>
      <w:r>
        <w:t xml:space="preserve"> direito de lavra no DNPM. Neste período, os demais garimpeiros podiam trabalhar onde Joel não estivesse atuando. Uma grande insatisfação por parte destes garimpeiros veio quando Joel vendeu sua propriedade à empresa Mineração Novo Astro S/A (MNA), que não</w:t>
      </w:r>
      <w:r>
        <w:t xml:space="preserve"> permitiu mais que os garimpeiros trabalhassem na sua área de concessão (SILVA, 2005).</w:t>
      </w:r>
    </w:p>
    <w:p w:rsidR="00D81F69" w:rsidRDefault="00330118">
      <w:pPr>
        <w:pStyle w:val="Corpodetexto"/>
        <w:spacing w:before="136" w:line="312" w:lineRule="auto"/>
        <w:ind w:left="135" w:right="236"/>
      </w:pPr>
      <w:r>
        <w:t xml:space="preserve">A Mineração Novo Astro S/A se instalou em Lourenço em 1986, chegando a possuir, no auge de suas atividades, cerca de 600 empregados, sem contar trabalhadores indiretos. </w:t>
      </w:r>
      <w:r>
        <w:t>Em 1989, foi a vez de a Mineração Yukio Yoshidome S/A (MYYSA) se instalar região. A empresa chegou a ter mais de 200 operários cadastrados (MATHIS et al., 1997 apud SILVA, 2005). Com a instalação das duas mineradoras, Lourenço</w:t>
      </w:r>
    </w:p>
    <w:p w:rsidR="00D81F69" w:rsidRDefault="00D81F69">
      <w:pPr>
        <w:spacing w:line="312" w:lineRule="auto"/>
        <w:sectPr w:rsidR="00D81F69">
          <w:type w:val="continuous"/>
          <w:pgSz w:w="11900" w:h="16840"/>
          <w:pgMar w:top="720" w:right="460" w:bottom="280" w:left="620" w:header="720" w:footer="720" w:gutter="0"/>
          <w:cols w:num="3" w:space="720" w:equalWidth="0">
            <w:col w:w="1078" w:space="922"/>
            <w:col w:w="3114" w:space="321"/>
            <w:col w:w="5385"/>
          </w:cols>
        </w:sectPr>
      </w:pPr>
    </w:p>
    <w:p w:rsidR="00D81F69" w:rsidRDefault="00330118">
      <w:pPr>
        <w:pStyle w:val="Heading4"/>
        <w:jc w:val="left"/>
      </w:pPr>
      <w:r>
        <w:lastRenderedPageBreak/>
        <w:t>APRESENTAÇÃO DE CASO</w:t>
      </w:r>
    </w:p>
    <w:p w:rsidR="00D81F69" w:rsidRDefault="00330118">
      <w:pPr>
        <w:pStyle w:val="Corpodetexto"/>
        <w:spacing w:before="171" w:line="312" w:lineRule="auto"/>
        <w:ind w:right="89"/>
      </w:pPr>
      <w:r>
        <w:t xml:space="preserve">O </w:t>
      </w:r>
      <w:r>
        <w:rPr>
          <w:spacing w:val="3"/>
        </w:rPr>
        <w:t xml:space="preserve">estado </w:t>
      </w:r>
      <w:r>
        <w:rPr>
          <w:spacing w:val="1"/>
        </w:rPr>
        <w:t xml:space="preserve">do </w:t>
      </w:r>
      <w:r>
        <w:rPr>
          <w:spacing w:val="3"/>
        </w:rPr>
        <w:t xml:space="preserve">Amapá concentra </w:t>
      </w:r>
      <w:r>
        <w:rPr>
          <w:spacing w:val="2"/>
        </w:rPr>
        <w:t xml:space="preserve">uma das </w:t>
      </w:r>
      <w:r>
        <w:rPr>
          <w:spacing w:val="3"/>
        </w:rPr>
        <w:t xml:space="preserve">maiores </w:t>
      </w:r>
      <w:r>
        <w:rPr>
          <w:spacing w:val="5"/>
        </w:rPr>
        <w:t xml:space="preserve">reservas </w:t>
      </w:r>
      <w:r>
        <w:t xml:space="preserve">minerais brasileiras. De acordo com o Departamento Nacional de Produção Mineral (DNPM), a comercialização de minérios no estado atingiu, em 2008, valor líquido de aproximadamente </w:t>
      </w:r>
      <w:r>
        <w:rPr>
          <w:spacing w:val="2"/>
        </w:rPr>
        <w:t xml:space="preserve">R$ </w:t>
      </w:r>
      <w:r>
        <w:rPr>
          <w:spacing w:val="3"/>
        </w:rPr>
        <w:t xml:space="preserve">400 </w:t>
      </w:r>
      <w:r>
        <w:rPr>
          <w:spacing w:val="5"/>
        </w:rPr>
        <w:t xml:space="preserve">milhões, </w:t>
      </w:r>
      <w:r>
        <w:rPr>
          <w:spacing w:val="3"/>
        </w:rPr>
        <w:t xml:space="preserve">sendo </w:t>
      </w:r>
      <w:r>
        <w:rPr>
          <w:spacing w:val="5"/>
        </w:rPr>
        <w:t xml:space="preserve">advinda principalmente </w:t>
      </w:r>
      <w:r>
        <w:rPr>
          <w:spacing w:val="2"/>
        </w:rPr>
        <w:t xml:space="preserve">de </w:t>
      </w:r>
      <w:r>
        <w:rPr>
          <w:spacing w:val="5"/>
        </w:rPr>
        <w:t>cinco</w:t>
      </w:r>
      <w:r>
        <w:rPr>
          <w:spacing w:val="61"/>
        </w:rPr>
        <w:t xml:space="preserve"> </w:t>
      </w:r>
      <w:r>
        <w:rPr>
          <w:spacing w:val="3"/>
        </w:rPr>
        <w:t>substâncias minerais: o</w:t>
      </w:r>
      <w:r>
        <w:rPr>
          <w:spacing w:val="3"/>
        </w:rPr>
        <w:t xml:space="preserve">uro, </w:t>
      </w:r>
      <w:hyperlink r:id="rId131">
        <w:r>
          <w:rPr>
            <w:spacing w:val="3"/>
          </w:rPr>
          <w:t>ferro,</w:t>
        </w:r>
      </w:hyperlink>
      <w:r>
        <w:rPr>
          <w:spacing w:val="3"/>
        </w:rPr>
        <w:t xml:space="preserve"> caulim, cromita </w:t>
      </w:r>
      <w:r>
        <w:t xml:space="preserve">e </w:t>
      </w:r>
      <w:r>
        <w:rPr>
          <w:spacing w:val="5"/>
        </w:rPr>
        <w:t xml:space="preserve">água </w:t>
      </w:r>
      <w:r>
        <w:rPr>
          <w:spacing w:val="7"/>
        </w:rPr>
        <w:t xml:space="preserve">mineral </w:t>
      </w:r>
      <w:r>
        <w:rPr>
          <w:spacing w:val="8"/>
        </w:rPr>
        <w:t xml:space="preserve">(GONÇALVES, </w:t>
      </w:r>
      <w:r>
        <w:rPr>
          <w:spacing w:val="7"/>
        </w:rPr>
        <w:t xml:space="preserve">2009). Neste contexto, </w:t>
      </w:r>
      <w:r>
        <w:rPr>
          <w:spacing w:val="10"/>
        </w:rPr>
        <w:t xml:space="preserve">alguns </w:t>
      </w:r>
      <w:r>
        <w:t xml:space="preserve">municípios amapaenses surgiram devido à forte influência das </w:t>
      </w:r>
      <w:r>
        <w:rPr>
          <w:spacing w:val="1"/>
        </w:rPr>
        <w:t xml:space="preserve">atividades </w:t>
      </w:r>
      <w:r>
        <w:t xml:space="preserve">de </w:t>
      </w:r>
      <w:r>
        <w:rPr>
          <w:spacing w:val="1"/>
        </w:rPr>
        <w:t xml:space="preserve">mineração </w:t>
      </w:r>
      <w:r>
        <w:t xml:space="preserve">que </w:t>
      </w:r>
      <w:r>
        <w:rPr>
          <w:spacing w:val="1"/>
        </w:rPr>
        <w:t xml:space="preserve">existiam </w:t>
      </w:r>
      <w:r>
        <w:t xml:space="preserve">ou </w:t>
      </w:r>
      <w:r>
        <w:rPr>
          <w:spacing w:val="1"/>
        </w:rPr>
        <w:t xml:space="preserve">existem </w:t>
      </w:r>
      <w:r>
        <w:t xml:space="preserve">em </w:t>
      </w:r>
      <w:r>
        <w:rPr>
          <w:spacing w:val="2"/>
        </w:rPr>
        <w:t xml:space="preserve">suas </w:t>
      </w:r>
      <w:r>
        <w:t>regiões, como é o caso de Serra do Navio, Pedra Branca do Amapari e Calçoene (SIMÕES, 2009).</w:t>
      </w:r>
    </w:p>
    <w:p w:rsidR="00D81F69" w:rsidRDefault="00330118">
      <w:pPr>
        <w:pStyle w:val="Corpodetexto"/>
        <w:spacing w:before="140" w:line="312" w:lineRule="auto"/>
        <w:ind w:right="62"/>
        <w:jc w:val="left"/>
      </w:pPr>
      <w:r>
        <w:t>Com 14.269 km² e 9.291 habitantes (IBGE, 2009), Calçoene fica no norte do Amapá (SILVA, 2005), a 400 quilômetros da capit</w:t>
      </w:r>
      <w:r>
        <w:t xml:space="preserve">al Macapá (CAPIBERIBE, 2009), fazendo divisa, a oeste, com Serra do Navio (APONTADOR). No município, o distrito de Lourenço, a 80 km da sede, se destaca pela exploração do </w:t>
      </w:r>
      <w:r>
        <w:rPr>
          <w:spacing w:val="5"/>
        </w:rPr>
        <w:t xml:space="preserve">minério </w:t>
      </w:r>
      <w:r>
        <w:rPr>
          <w:spacing w:val="2"/>
        </w:rPr>
        <w:t xml:space="preserve">há </w:t>
      </w:r>
      <w:r>
        <w:rPr>
          <w:spacing w:val="3"/>
        </w:rPr>
        <w:t xml:space="preserve">mais </w:t>
      </w:r>
      <w:r>
        <w:rPr>
          <w:spacing w:val="2"/>
        </w:rPr>
        <w:t xml:space="preserve">de um </w:t>
      </w:r>
      <w:r>
        <w:rPr>
          <w:spacing w:val="5"/>
        </w:rPr>
        <w:t xml:space="preserve">século (PINTO </w:t>
      </w:r>
      <w:r>
        <w:rPr>
          <w:spacing w:val="2"/>
        </w:rPr>
        <w:t xml:space="preserve">et </w:t>
      </w:r>
      <w:r>
        <w:rPr>
          <w:spacing w:val="3"/>
        </w:rPr>
        <w:t xml:space="preserve">al., 1999 </w:t>
      </w:r>
      <w:r>
        <w:rPr>
          <w:spacing w:val="5"/>
        </w:rPr>
        <w:t xml:space="preserve">apud </w:t>
      </w:r>
      <w:r>
        <w:rPr>
          <w:spacing w:val="3"/>
        </w:rPr>
        <w:t xml:space="preserve">SILVA, </w:t>
      </w:r>
      <w:r>
        <w:rPr>
          <w:spacing w:val="2"/>
        </w:rPr>
        <w:t xml:space="preserve">2005 </w:t>
      </w:r>
      <w:r>
        <w:rPr>
          <w:spacing w:val="1"/>
        </w:rPr>
        <w:t xml:space="preserve">). </w:t>
      </w:r>
      <w:r>
        <w:t xml:space="preserve">O </w:t>
      </w:r>
      <w:r>
        <w:rPr>
          <w:spacing w:val="2"/>
        </w:rPr>
        <w:t xml:space="preserve">ouro </w:t>
      </w:r>
      <w:r>
        <w:t xml:space="preserve">é a </w:t>
      </w:r>
      <w:r>
        <w:rPr>
          <w:spacing w:val="2"/>
        </w:rPr>
        <w:t>base</w:t>
      </w:r>
      <w:r>
        <w:rPr>
          <w:spacing w:val="2"/>
        </w:rPr>
        <w:t xml:space="preserve"> </w:t>
      </w:r>
      <w:r>
        <w:rPr>
          <w:spacing w:val="1"/>
        </w:rPr>
        <w:t xml:space="preserve">da </w:t>
      </w:r>
      <w:r>
        <w:rPr>
          <w:spacing w:val="3"/>
        </w:rPr>
        <w:t xml:space="preserve">economia local, </w:t>
      </w:r>
      <w:r>
        <w:t xml:space="preserve">e </w:t>
      </w:r>
      <w:r>
        <w:rPr>
          <w:spacing w:val="5"/>
        </w:rPr>
        <w:t xml:space="preserve">são </w:t>
      </w:r>
      <w:r>
        <w:t>poucos os garimpeiros que desenvolvem outras atividades, como a agricultura (SILVA,</w:t>
      </w:r>
      <w:r>
        <w:rPr>
          <w:spacing w:val="23"/>
        </w:rPr>
        <w:t xml:space="preserve"> </w:t>
      </w:r>
      <w:r>
        <w:rPr>
          <w:spacing w:val="1"/>
        </w:rPr>
        <w:t>2005).</w:t>
      </w:r>
    </w:p>
    <w:p w:rsidR="00D81F69" w:rsidRDefault="00330118">
      <w:pPr>
        <w:pStyle w:val="Corpodetexto"/>
        <w:spacing w:before="138" w:line="312" w:lineRule="auto"/>
        <w:ind w:right="71"/>
      </w:pPr>
      <w:r>
        <w:t xml:space="preserve">O </w:t>
      </w:r>
      <w:r>
        <w:rPr>
          <w:spacing w:val="3"/>
        </w:rPr>
        <w:t xml:space="preserve">minério </w:t>
      </w:r>
      <w:r>
        <w:rPr>
          <w:spacing w:val="2"/>
        </w:rPr>
        <w:t xml:space="preserve">foi </w:t>
      </w:r>
      <w:r>
        <w:rPr>
          <w:spacing w:val="3"/>
        </w:rPr>
        <w:t xml:space="preserve">descoberto </w:t>
      </w:r>
      <w:r>
        <w:rPr>
          <w:spacing w:val="1"/>
        </w:rPr>
        <w:t xml:space="preserve">em </w:t>
      </w:r>
      <w:r>
        <w:rPr>
          <w:spacing w:val="3"/>
        </w:rPr>
        <w:t xml:space="preserve">Lourenço, </w:t>
      </w:r>
      <w:r>
        <w:rPr>
          <w:spacing w:val="1"/>
        </w:rPr>
        <w:t xml:space="preserve">em </w:t>
      </w:r>
      <w:r>
        <w:rPr>
          <w:spacing w:val="3"/>
        </w:rPr>
        <w:t xml:space="preserve">1890, </w:t>
      </w:r>
      <w:r>
        <w:rPr>
          <w:spacing w:val="2"/>
        </w:rPr>
        <w:t xml:space="preserve">por </w:t>
      </w:r>
      <w:r>
        <w:rPr>
          <w:spacing w:val="5"/>
        </w:rPr>
        <w:t xml:space="preserve">um </w:t>
      </w:r>
      <w:r>
        <w:rPr>
          <w:spacing w:val="3"/>
        </w:rPr>
        <w:t xml:space="preserve">brasileiro </w:t>
      </w:r>
      <w:r>
        <w:rPr>
          <w:spacing w:val="2"/>
        </w:rPr>
        <w:t xml:space="preserve">que </w:t>
      </w:r>
      <w:r>
        <w:rPr>
          <w:spacing w:val="3"/>
        </w:rPr>
        <w:t xml:space="preserve">residia </w:t>
      </w:r>
      <w:r>
        <w:rPr>
          <w:spacing w:val="1"/>
        </w:rPr>
        <w:t xml:space="preserve">na </w:t>
      </w:r>
      <w:r>
        <w:rPr>
          <w:spacing w:val="3"/>
        </w:rPr>
        <w:t xml:space="preserve">Guiana Holandesa. </w:t>
      </w:r>
      <w:r>
        <w:t xml:space="preserve">A </w:t>
      </w:r>
      <w:r>
        <w:rPr>
          <w:spacing w:val="5"/>
        </w:rPr>
        <w:t xml:space="preserve">descoberta </w:t>
      </w:r>
      <w:r>
        <w:t>gerou a invasão de estrangei</w:t>
      </w:r>
      <w:r>
        <w:t xml:space="preserve">ros que moravam nas fronteiras, e o </w:t>
      </w:r>
      <w:r>
        <w:rPr>
          <w:spacing w:val="1"/>
        </w:rPr>
        <w:t xml:space="preserve">crescente número </w:t>
      </w:r>
      <w:r>
        <w:t xml:space="preserve">de </w:t>
      </w:r>
      <w:r>
        <w:rPr>
          <w:spacing w:val="1"/>
        </w:rPr>
        <w:t xml:space="preserve">imigrantes </w:t>
      </w:r>
      <w:r>
        <w:t xml:space="preserve">fez </w:t>
      </w:r>
      <w:r>
        <w:rPr>
          <w:spacing w:val="1"/>
        </w:rPr>
        <w:t xml:space="preserve">surgir várias </w:t>
      </w:r>
      <w:r>
        <w:rPr>
          <w:spacing w:val="2"/>
        </w:rPr>
        <w:t xml:space="preserve">vilas, </w:t>
      </w:r>
      <w:r>
        <w:t xml:space="preserve">como Lourenço, Regina e Limão. A região chegou a </w:t>
      </w:r>
      <w:r>
        <w:rPr>
          <w:spacing w:val="1"/>
        </w:rPr>
        <w:t xml:space="preserve">contar </w:t>
      </w:r>
      <w:r>
        <w:t>com 6 mil garimpeiros. Os métodos de extração em Lourenço sempre foram manuais, e as áreas de garimpo eram d</w:t>
      </w:r>
      <w:r>
        <w:t xml:space="preserve">eixadas como herança ou vendidas a outros garimpeiros. A mudança </w:t>
      </w:r>
      <w:r>
        <w:rPr>
          <w:spacing w:val="2"/>
        </w:rPr>
        <w:t xml:space="preserve">veio com </w:t>
      </w:r>
      <w:r>
        <w:t xml:space="preserve">o </w:t>
      </w:r>
      <w:r>
        <w:rPr>
          <w:spacing w:val="3"/>
        </w:rPr>
        <w:t xml:space="preserve">garimpeiro </w:t>
      </w:r>
      <w:r>
        <w:rPr>
          <w:spacing w:val="2"/>
        </w:rPr>
        <w:t xml:space="preserve">Joel </w:t>
      </w:r>
      <w:r>
        <w:rPr>
          <w:spacing w:val="3"/>
        </w:rPr>
        <w:t xml:space="preserve">Ferreira </w:t>
      </w:r>
      <w:r>
        <w:rPr>
          <w:spacing w:val="1"/>
        </w:rPr>
        <w:t xml:space="preserve">de </w:t>
      </w:r>
      <w:r>
        <w:rPr>
          <w:spacing w:val="3"/>
        </w:rPr>
        <w:t xml:space="preserve">Jesus, </w:t>
      </w:r>
      <w:r>
        <w:t xml:space="preserve">a </w:t>
      </w:r>
      <w:r>
        <w:rPr>
          <w:spacing w:val="3"/>
        </w:rPr>
        <w:t xml:space="preserve">partir </w:t>
      </w:r>
      <w:r>
        <w:rPr>
          <w:spacing w:val="5"/>
        </w:rPr>
        <w:t xml:space="preserve">de </w:t>
      </w:r>
      <w:r>
        <w:rPr>
          <w:spacing w:val="1"/>
        </w:rPr>
        <w:t xml:space="preserve">1950, quando comprou </w:t>
      </w:r>
      <w:r>
        <w:t xml:space="preserve">uma </w:t>
      </w:r>
      <w:r>
        <w:rPr>
          <w:spacing w:val="1"/>
        </w:rPr>
        <w:t xml:space="preserve">área </w:t>
      </w:r>
      <w:r>
        <w:t xml:space="preserve">de </w:t>
      </w:r>
      <w:r>
        <w:rPr>
          <w:spacing w:val="1"/>
        </w:rPr>
        <w:t xml:space="preserve">garimpo </w:t>
      </w:r>
      <w:r>
        <w:t xml:space="preserve">e </w:t>
      </w:r>
      <w:r>
        <w:rPr>
          <w:spacing w:val="2"/>
        </w:rPr>
        <w:t xml:space="preserve">mecanizou </w:t>
      </w:r>
      <w:r>
        <w:rPr>
          <w:spacing w:val="5"/>
        </w:rPr>
        <w:t xml:space="preserve">sua </w:t>
      </w:r>
      <w:r>
        <w:rPr>
          <w:spacing w:val="6"/>
        </w:rPr>
        <w:t xml:space="preserve">produção, </w:t>
      </w:r>
      <w:r>
        <w:rPr>
          <w:spacing w:val="5"/>
        </w:rPr>
        <w:t xml:space="preserve">com </w:t>
      </w:r>
      <w:r>
        <w:t xml:space="preserve">a </w:t>
      </w:r>
      <w:r>
        <w:rPr>
          <w:spacing w:val="6"/>
        </w:rPr>
        <w:t xml:space="preserve">utilização </w:t>
      </w:r>
      <w:r>
        <w:rPr>
          <w:spacing w:val="3"/>
        </w:rPr>
        <w:t xml:space="preserve">de </w:t>
      </w:r>
      <w:r>
        <w:rPr>
          <w:spacing w:val="6"/>
        </w:rPr>
        <w:t xml:space="preserve">tratores, </w:t>
      </w:r>
      <w:r>
        <w:rPr>
          <w:spacing w:val="7"/>
        </w:rPr>
        <w:t xml:space="preserve">britadores, moinhos </w:t>
      </w:r>
      <w:r>
        <w:t xml:space="preserve">e </w:t>
      </w:r>
      <w:r>
        <w:rPr>
          <w:spacing w:val="8"/>
        </w:rPr>
        <w:t xml:space="preserve">equipamentos </w:t>
      </w:r>
      <w:r>
        <w:rPr>
          <w:spacing w:val="6"/>
        </w:rPr>
        <w:t>p</w:t>
      </w:r>
      <w:r>
        <w:rPr>
          <w:spacing w:val="6"/>
        </w:rPr>
        <w:t xml:space="preserve">ara </w:t>
      </w:r>
      <w:r>
        <w:rPr>
          <w:spacing w:val="7"/>
        </w:rPr>
        <w:t xml:space="preserve">desmonte </w:t>
      </w:r>
      <w:r>
        <w:rPr>
          <w:spacing w:val="8"/>
        </w:rPr>
        <w:t xml:space="preserve">hidráulico. </w:t>
      </w:r>
      <w:r>
        <w:t xml:space="preserve">O </w:t>
      </w:r>
      <w:r>
        <w:rPr>
          <w:spacing w:val="1"/>
        </w:rPr>
        <w:t>garimpeiro</w:t>
      </w:r>
      <w:r>
        <w:rPr>
          <w:spacing w:val="27"/>
        </w:rPr>
        <w:t xml:space="preserve"> </w:t>
      </w:r>
      <w:r>
        <w:rPr>
          <w:spacing w:val="1"/>
        </w:rPr>
        <w:t>continuou</w:t>
      </w:r>
      <w:r>
        <w:rPr>
          <w:spacing w:val="27"/>
        </w:rPr>
        <w:t xml:space="preserve"> </w:t>
      </w:r>
      <w:r>
        <w:rPr>
          <w:spacing w:val="1"/>
        </w:rPr>
        <w:t>aumentando</w:t>
      </w:r>
      <w:r>
        <w:rPr>
          <w:spacing w:val="27"/>
        </w:rPr>
        <w:t xml:space="preserve"> </w:t>
      </w:r>
      <w:r>
        <w:rPr>
          <w:spacing w:val="1"/>
        </w:rPr>
        <w:t>suas</w:t>
      </w:r>
      <w:r>
        <w:rPr>
          <w:spacing w:val="27"/>
        </w:rPr>
        <w:t xml:space="preserve"> </w:t>
      </w:r>
      <w:r>
        <w:rPr>
          <w:spacing w:val="1"/>
        </w:rPr>
        <w:t>terras</w:t>
      </w:r>
      <w:r>
        <w:rPr>
          <w:spacing w:val="27"/>
        </w:rPr>
        <w:t xml:space="preserve"> </w:t>
      </w:r>
      <w:r>
        <w:t>e</w:t>
      </w:r>
      <w:r>
        <w:rPr>
          <w:spacing w:val="27"/>
        </w:rPr>
        <w:t xml:space="preserve"> </w:t>
      </w:r>
      <w:r>
        <w:rPr>
          <w:spacing w:val="1"/>
        </w:rPr>
        <w:t>criou</w:t>
      </w:r>
      <w:r>
        <w:rPr>
          <w:spacing w:val="27"/>
        </w:rPr>
        <w:t xml:space="preserve"> </w:t>
      </w:r>
      <w:r>
        <w:rPr>
          <w:spacing w:val="2"/>
        </w:rPr>
        <w:t>uma</w:t>
      </w:r>
    </w:p>
    <w:p w:rsidR="00D81F69" w:rsidRDefault="00330118">
      <w:pPr>
        <w:pStyle w:val="Corpodetexto"/>
        <w:spacing w:before="6" w:line="312" w:lineRule="auto"/>
        <w:ind w:right="237"/>
      </w:pPr>
      <w:r>
        <w:br w:type="column"/>
      </w:r>
      <w:r>
        <w:lastRenderedPageBreak/>
        <w:t>teve um crescimento significativo, transformando-se em vila e, posteriormente, em distrito (SILVA, 2005).</w:t>
      </w:r>
    </w:p>
    <w:p w:rsidR="00D81F69" w:rsidRDefault="00330118">
      <w:pPr>
        <w:pStyle w:val="Corpodetexto"/>
        <w:spacing w:before="132" w:line="312" w:lineRule="auto"/>
        <w:ind w:right="230"/>
      </w:pPr>
      <w:r>
        <w:t xml:space="preserve">A </w:t>
      </w:r>
      <w:r>
        <w:rPr>
          <w:spacing w:val="5"/>
        </w:rPr>
        <w:t xml:space="preserve">Mineração Novo Astro realizou </w:t>
      </w:r>
      <w:r>
        <w:t xml:space="preserve">a </w:t>
      </w:r>
      <w:r>
        <w:rPr>
          <w:spacing w:val="5"/>
        </w:rPr>
        <w:t xml:space="preserve">exploração </w:t>
      </w:r>
      <w:r>
        <w:rPr>
          <w:spacing w:val="2"/>
        </w:rPr>
        <w:t xml:space="preserve">de </w:t>
      </w:r>
      <w:r>
        <w:rPr>
          <w:spacing w:val="6"/>
        </w:rPr>
        <w:t xml:space="preserve">ouro </w:t>
      </w:r>
      <w:r>
        <w:t xml:space="preserve">primário [oriundo da rocha matriz, e que pode ser explorado </w:t>
      </w:r>
      <w:r>
        <w:rPr>
          <w:spacing w:val="3"/>
        </w:rPr>
        <w:t xml:space="preserve">por </w:t>
      </w:r>
      <w:r>
        <w:rPr>
          <w:spacing w:val="5"/>
        </w:rPr>
        <w:t xml:space="preserve">meio </w:t>
      </w:r>
      <w:r>
        <w:rPr>
          <w:spacing w:val="2"/>
        </w:rPr>
        <w:t xml:space="preserve">de </w:t>
      </w:r>
      <w:r>
        <w:rPr>
          <w:spacing w:val="5"/>
        </w:rPr>
        <w:t xml:space="preserve">métodos </w:t>
      </w:r>
      <w:r>
        <w:rPr>
          <w:spacing w:val="2"/>
        </w:rPr>
        <w:t xml:space="preserve">de </w:t>
      </w:r>
      <w:r>
        <w:rPr>
          <w:spacing w:val="5"/>
        </w:rPr>
        <w:t xml:space="preserve">lavra subterrânea], </w:t>
      </w:r>
      <w:r>
        <w:rPr>
          <w:spacing w:val="6"/>
        </w:rPr>
        <w:t xml:space="preserve">secundário </w:t>
      </w:r>
      <w:r>
        <w:t xml:space="preserve">[resultante do ouro primário e modificado pelo intemperismo, </w:t>
      </w:r>
      <w:r>
        <w:rPr>
          <w:spacing w:val="12"/>
        </w:rPr>
        <w:t xml:space="preserve">presente </w:t>
      </w:r>
      <w:r>
        <w:rPr>
          <w:spacing w:val="10"/>
        </w:rPr>
        <w:t xml:space="preserve">nas </w:t>
      </w:r>
      <w:r>
        <w:rPr>
          <w:spacing w:val="11"/>
        </w:rPr>
        <w:t xml:space="preserve">camadas acima </w:t>
      </w:r>
      <w:r>
        <w:rPr>
          <w:spacing w:val="6"/>
        </w:rPr>
        <w:t xml:space="preserve">da </w:t>
      </w:r>
      <w:r>
        <w:rPr>
          <w:spacing w:val="11"/>
        </w:rPr>
        <w:t xml:space="preserve">rocha matriz] </w:t>
      </w:r>
      <w:r>
        <w:t>e o aproveitamento de rejeitos. Em um</w:t>
      </w:r>
      <w:r>
        <w:t xml:space="preserve"> primeiro momento, utilizou a </w:t>
      </w:r>
      <w:r>
        <w:rPr>
          <w:spacing w:val="3"/>
        </w:rPr>
        <w:t xml:space="preserve">lavra </w:t>
      </w:r>
      <w:r>
        <w:t xml:space="preserve">a </w:t>
      </w:r>
      <w:r>
        <w:rPr>
          <w:spacing w:val="3"/>
        </w:rPr>
        <w:t xml:space="preserve">céu </w:t>
      </w:r>
      <w:r>
        <w:rPr>
          <w:spacing w:val="5"/>
        </w:rPr>
        <w:t xml:space="preserve">aberto; </w:t>
      </w:r>
      <w:r>
        <w:rPr>
          <w:spacing w:val="2"/>
        </w:rPr>
        <w:t xml:space="preserve">em </w:t>
      </w:r>
      <w:r>
        <w:rPr>
          <w:spacing w:val="5"/>
        </w:rPr>
        <w:t xml:space="preserve">seguida </w:t>
      </w:r>
      <w:r>
        <w:rPr>
          <w:spacing w:val="3"/>
        </w:rPr>
        <w:t xml:space="preserve">fez uso </w:t>
      </w:r>
      <w:r>
        <w:rPr>
          <w:spacing w:val="2"/>
        </w:rPr>
        <w:t xml:space="preserve">da </w:t>
      </w:r>
      <w:r>
        <w:rPr>
          <w:spacing w:val="5"/>
        </w:rPr>
        <w:t xml:space="preserve">exploração </w:t>
      </w:r>
      <w:r>
        <w:rPr>
          <w:spacing w:val="3"/>
        </w:rPr>
        <w:t xml:space="preserve">subterrânea </w:t>
      </w:r>
      <w:r>
        <w:rPr>
          <w:spacing w:val="1"/>
        </w:rPr>
        <w:t xml:space="preserve">do </w:t>
      </w:r>
      <w:r>
        <w:rPr>
          <w:spacing w:val="3"/>
        </w:rPr>
        <w:t xml:space="preserve">Morro </w:t>
      </w:r>
      <w:r>
        <w:rPr>
          <w:spacing w:val="1"/>
        </w:rPr>
        <w:t xml:space="preserve">do </w:t>
      </w:r>
      <w:r>
        <w:rPr>
          <w:spacing w:val="3"/>
        </w:rPr>
        <w:t xml:space="preserve">Salamangone </w:t>
      </w:r>
      <w:r>
        <w:rPr>
          <w:spacing w:val="2"/>
        </w:rPr>
        <w:t xml:space="preserve">para </w:t>
      </w:r>
      <w:r>
        <w:t xml:space="preserve">a </w:t>
      </w:r>
      <w:r>
        <w:rPr>
          <w:spacing w:val="3"/>
        </w:rPr>
        <w:t xml:space="preserve">retirada </w:t>
      </w:r>
      <w:r>
        <w:rPr>
          <w:spacing w:val="5"/>
        </w:rPr>
        <w:t xml:space="preserve">do </w:t>
      </w:r>
      <w:r>
        <w:t xml:space="preserve">minério primário. A empresa chegou a investir em Lourenço cerca de US$ 53 milhões, com a produção total declarada de </w:t>
      </w:r>
      <w:r>
        <w:rPr>
          <w:spacing w:val="2"/>
        </w:rPr>
        <w:t>2</w:t>
      </w:r>
      <w:r>
        <w:rPr>
          <w:spacing w:val="2"/>
        </w:rPr>
        <w:t xml:space="preserve">0 </w:t>
      </w:r>
      <w:r>
        <w:rPr>
          <w:spacing w:val="5"/>
        </w:rPr>
        <w:t xml:space="preserve">toneladas </w:t>
      </w:r>
      <w:r>
        <w:rPr>
          <w:spacing w:val="2"/>
        </w:rPr>
        <w:t xml:space="preserve">de </w:t>
      </w:r>
      <w:r>
        <w:rPr>
          <w:spacing w:val="3"/>
        </w:rPr>
        <w:t xml:space="preserve">ouro </w:t>
      </w:r>
      <w:r>
        <w:rPr>
          <w:spacing w:val="5"/>
        </w:rPr>
        <w:t xml:space="preserve">(MATHIS </w:t>
      </w:r>
      <w:r>
        <w:rPr>
          <w:spacing w:val="2"/>
        </w:rPr>
        <w:t xml:space="preserve">et </w:t>
      </w:r>
      <w:r>
        <w:rPr>
          <w:spacing w:val="3"/>
        </w:rPr>
        <w:t xml:space="preserve">al., 1997 apud </w:t>
      </w:r>
      <w:r>
        <w:rPr>
          <w:spacing w:val="5"/>
        </w:rPr>
        <w:t>SILVA,</w:t>
      </w:r>
      <w:r>
        <w:rPr>
          <w:spacing w:val="61"/>
        </w:rPr>
        <w:t xml:space="preserve"> </w:t>
      </w:r>
      <w:r>
        <w:t xml:space="preserve">2005). Em 1995, no entanto, a MNA encerrou completamente suas atividades de exploração (PORTO, 2003 apud </w:t>
      </w:r>
      <w:r>
        <w:rPr>
          <w:spacing w:val="1"/>
        </w:rPr>
        <w:t xml:space="preserve">SILVA, </w:t>
      </w:r>
      <w:r>
        <w:rPr>
          <w:spacing w:val="3"/>
        </w:rPr>
        <w:t xml:space="preserve">2005), alegando </w:t>
      </w:r>
      <w:r>
        <w:rPr>
          <w:spacing w:val="2"/>
        </w:rPr>
        <w:t xml:space="preserve">não ser mais </w:t>
      </w:r>
      <w:r>
        <w:rPr>
          <w:spacing w:val="3"/>
        </w:rPr>
        <w:t xml:space="preserve">vantajosa </w:t>
      </w:r>
      <w:r>
        <w:t xml:space="preserve">a </w:t>
      </w:r>
      <w:r>
        <w:rPr>
          <w:spacing w:val="3"/>
        </w:rPr>
        <w:t xml:space="preserve">relação </w:t>
      </w:r>
      <w:r>
        <w:rPr>
          <w:spacing w:val="5"/>
        </w:rPr>
        <w:t xml:space="preserve">estéril- </w:t>
      </w:r>
      <w:r>
        <w:rPr>
          <w:spacing w:val="3"/>
        </w:rPr>
        <w:t>minério (SILVA,</w:t>
      </w:r>
      <w:r>
        <w:rPr>
          <w:spacing w:val="2"/>
        </w:rPr>
        <w:t xml:space="preserve"> </w:t>
      </w:r>
      <w:r>
        <w:rPr>
          <w:spacing w:val="5"/>
        </w:rPr>
        <w:t>2005).</w:t>
      </w:r>
    </w:p>
    <w:p w:rsidR="00D81F69" w:rsidRDefault="00330118">
      <w:pPr>
        <w:pStyle w:val="Corpodetexto"/>
        <w:spacing w:before="144" w:line="312" w:lineRule="auto"/>
        <w:ind w:right="242"/>
      </w:pPr>
      <w:r>
        <w:t>Já a Miner</w:t>
      </w:r>
      <w:r>
        <w:t xml:space="preserve">ação Yukio Yoshidome S/A explorou ouro na área </w:t>
      </w:r>
      <w:r>
        <w:rPr>
          <w:spacing w:val="6"/>
        </w:rPr>
        <w:t xml:space="preserve">do </w:t>
      </w:r>
      <w:r>
        <w:rPr>
          <w:spacing w:val="12"/>
        </w:rPr>
        <w:t xml:space="preserve">Labourrie </w:t>
      </w:r>
      <w:r>
        <w:rPr>
          <w:spacing w:val="11"/>
        </w:rPr>
        <w:t xml:space="preserve">(SILVA, 2005), </w:t>
      </w:r>
      <w:r>
        <w:rPr>
          <w:spacing w:val="10"/>
        </w:rPr>
        <w:t xml:space="preserve">nas </w:t>
      </w:r>
      <w:r>
        <w:rPr>
          <w:spacing w:val="12"/>
        </w:rPr>
        <w:t xml:space="preserve">proximidades </w:t>
      </w:r>
      <w:r>
        <w:rPr>
          <w:spacing w:val="15"/>
        </w:rPr>
        <w:t xml:space="preserve">das </w:t>
      </w:r>
      <w:r>
        <w:t xml:space="preserve">instalações da MNA (MONTEIRO, 2005), no período de 1989 a 1992 (SILVA, 2005). A empresa explorou inicialmente ouro secundário, para posteriormente dar início aos trabalhos em </w:t>
      </w:r>
      <w:r>
        <w:rPr>
          <w:spacing w:val="3"/>
        </w:rPr>
        <w:t xml:space="preserve">lavra subterrânea. </w:t>
      </w:r>
      <w:r>
        <w:t xml:space="preserve">A </w:t>
      </w:r>
      <w:r>
        <w:rPr>
          <w:spacing w:val="3"/>
        </w:rPr>
        <w:t xml:space="preserve">MYYSA </w:t>
      </w:r>
      <w:r>
        <w:rPr>
          <w:spacing w:val="2"/>
        </w:rPr>
        <w:t xml:space="preserve">era </w:t>
      </w:r>
      <w:r>
        <w:rPr>
          <w:spacing w:val="3"/>
        </w:rPr>
        <w:t xml:space="preserve">menor </w:t>
      </w:r>
      <w:r>
        <w:rPr>
          <w:spacing w:val="2"/>
        </w:rPr>
        <w:t xml:space="preserve">que </w:t>
      </w:r>
      <w:r>
        <w:t xml:space="preserve">a </w:t>
      </w:r>
      <w:r>
        <w:rPr>
          <w:spacing w:val="2"/>
        </w:rPr>
        <w:t xml:space="preserve">MNA, </w:t>
      </w:r>
      <w:r>
        <w:rPr>
          <w:spacing w:val="5"/>
        </w:rPr>
        <w:t xml:space="preserve">mas </w:t>
      </w:r>
      <w:r>
        <w:t>incorporou características de</w:t>
      </w:r>
      <w:r>
        <w:t xml:space="preserve"> uma empresa de mineração. A MYYSA investiu cerca de US$ 7 milhões em infraestrutura e declarou produção de aproximadamente 1,1 tonelada em uma reserva anteriormente calculada em 5 toneladas (MATHIS et al., 1997 apud SILVA,</w:t>
      </w:r>
      <w:r>
        <w:rPr>
          <w:spacing w:val="38"/>
        </w:rPr>
        <w:t xml:space="preserve"> </w:t>
      </w:r>
      <w:r>
        <w:t>2005).</w:t>
      </w:r>
    </w:p>
    <w:p w:rsidR="00D81F69" w:rsidRDefault="00330118">
      <w:pPr>
        <w:pStyle w:val="Corpodetexto"/>
        <w:spacing w:before="77" w:line="270" w:lineRule="atLeast"/>
        <w:ind w:right="232"/>
      </w:pPr>
      <w:r>
        <w:t>Em 1992, a MYYSA encerrou</w:t>
      </w:r>
      <w:r>
        <w:t xml:space="preserve"> suas atividades, alegando que  a </w:t>
      </w:r>
      <w:r>
        <w:rPr>
          <w:spacing w:val="5"/>
        </w:rPr>
        <w:t xml:space="preserve">produção </w:t>
      </w:r>
      <w:r>
        <w:rPr>
          <w:spacing w:val="3"/>
        </w:rPr>
        <w:t xml:space="preserve">não </w:t>
      </w:r>
      <w:r>
        <w:rPr>
          <w:spacing w:val="5"/>
        </w:rPr>
        <w:t xml:space="preserve">estava </w:t>
      </w:r>
      <w:r>
        <w:rPr>
          <w:spacing w:val="3"/>
        </w:rPr>
        <w:t xml:space="preserve">mais </w:t>
      </w:r>
      <w:r>
        <w:rPr>
          <w:spacing w:val="5"/>
        </w:rPr>
        <w:t xml:space="preserve">compensando </w:t>
      </w:r>
      <w:r>
        <w:rPr>
          <w:spacing w:val="2"/>
        </w:rPr>
        <w:t xml:space="preserve">os </w:t>
      </w:r>
      <w:r>
        <w:rPr>
          <w:spacing w:val="5"/>
        </w:rPr>
        <w:t xml:space="preserve">custos. </w:t>
      </w:r>
      <w:r>
        <w:t xml:space="preserve">A </w:t>
      </w:r>
      <w:r>
        <w:rPr>
          <w:spacing w:val="3"/>
        </w:rPr>
        <w:t xml:space="preserve">empresa deixou </w:t>
      </w:r>
      <w:r>
        <w:rPr>
          <w:spacing w:val="1"/>
        </w:rPr>
        <w:t xml:space="preserve">de </w:t>
      </w:r>
      <w:r>
        <w:rPr>
          <w:spacing w:val="3"/>
        </w:rPr>
        <w:t xml:space="preserve">efetuar </w:t>
      </w:r>
      <w:r>
        <w:t xml:space="preserve">o </w:t>
      </w:r>
      <w:r>
        <w:rPr>
          <w:spacing w:val="3"/>
        </w:rPr>
        <w:t xml:space="preserve">pagamento </w:t>
      </w:r>
      <w:r>
        <w:rPr>
          <w:spacing w:val="2"/>
        </w:rPr>
        <w:t xml:space="preserve">dos </w:t>
      </w:r>
      <w:r>
        <w:rPr>
          <w:spacing w:val="3"/>
        </w:rPr>
        <w:t xml:space="preserve">salários </w:t>
      </w:r>
      <w:r>
        <w:rPr>
          <w:spacing w:val="5"/>
        </w:rPr>
        <w:t xml:space="preserve">de </w:t>
      </w:r>
      <w:r>
        <w:rPr>
          <w:spacing w:val="1"/>
        </w:rPr>
        <w:t xml:space="preserve">muitos trabalhadores </w:t>
      </w:r>
      <w:r>
        <w:t xml:space="preserve">por </w:t>
      </w:r>
      <w:r>
        <w:rPr>
          <w:spacing w:val="1"/>
        </w:rPr>
        <w:t xml:space="preserve">vários meses </w:t>
      </w:r>
      <w:r>
        <w:t xml:space="preserve">em </w:t>
      </w:r>
      <w:r>
        <w:rPr>
          <w:spacing w:val="1"/>
        </w:rPr>
        <w:t xml:space="preserve">decorrência </w:t>
      </w:r>
      <w:r>
        <w:rPr>
          <w:spacing w:val="2"/>
        </w:rPr>
        <w:t xml:space="preserve">da </w:t>
      </w:r>
      <w:r>
        <w:t xml:space="preserve">baixa produção. Com a saída da mineradora, os empregados </w:t>
      </w:r>
      <w:r>
        <w:rPr>
          <w:spacing w:val="3"/>
        </w:rPr>
        <w:t>chega</w:t>
      </w:r>
      <w:r>
        <w:rPr>
          <w:spacing w:val="3"/>
        </w:rPr>
        <w:t xml:space="preserve">ram </w:t>
      </w:r>
      <w:r>
        <w:t xml:space="preserve">a </w:t>
      </w:r>
      <w:r>
        <w:rPr>
          <w:spacing w:val="3"/>
        </w:rPr>
        <w:t xml:space="preserve">recorrer </w:t>
      </w:r>
      <w:r>
        <w:t xml:space="preserve">à </w:t>
      </w:r>
      <w:r>
        <w:rPr>
          <w:spacing w:val="3"/>
        </w:rPr>
        <w:t xml:space="preserve">Justiça </w:t>
      </w:r>
      <w:r>
        <w:rPr>
          <w:spacing w:val="2"/>
        </w:rPr>
        <w:t xml:space="preserve">para </w:t>
      </w:r>
      <w:r>
        <w:rPr>
          <w:spacing w:val="3"/>
        </w:rPr>
        <w:t xml:space="preserve">receber </w:t>
      </w:r>
      <w:r>
        <w:rPr>
          <w:spacing w:val="2"/>
        </w:rPr>
        <w:t xml:space="preserve">seus </w:t>
      </w:r>
      <w:r>
        <w:rPr>
          <w:spacing w:val="5"/>
        </w:rPr>
        <w:t xml:space="preserve">salários, mas sem </w:t>
      </w:r>
      <w:r>
        <w:rPr>
          <w:spacing w:val="7"/>
        </w:rPr>
        <w:t xml:space="preserve">êxito (SILVA, 2005). </w:t>
      </w:r>
      <w:r>
        <w:rPr>
          <w:spacing w:val="6"/>
        </w:rPr>
        <w:t xml:space="preserve">Além </w:t>
      </w:r>
      <w:r>
        <w:rPr>
          <w:spacing w:val="7"/>
        </w:rPr>
        <w:t>disso, apesar</w:t>
      </w:r>
      <w:r>
        <w:rPr>
          <w:spacing w:val="-4"/>
        </w:rPr>
        <w:t xml:space="preserve"> </w:t>
      </w:r>
      <w:r>
        <w:rPr>
          <w:spacing w:val="10"/>
        </w:rPr>
        <w:t>de</w:t>
      </w:r>
    </w:p>
    <w:p w:rsidR="00D81F69" w:rsidRDefault="00D81F69">
      <w:pPr>
        <w:spacing w:line="270" w:lineRule="atLeast"/>
        <w:sectPr w:rsidR="00D81F69">
          <w:type w:val="continuous"/>
          <w:pgSz w:w="11900" w:h="16840"/>
          <w:pgMar w:top="720" w:right="460" w:bottom="280" w:left="620" w:header="720" w:footer="720" w:gutter="0"/>
          <w:cols w:num="2" w:space="720" w:equalWidth="0">
            <w:col w:w="5194" w:space="276"/>
            <w:col w:w="5350"/>
          </w:cols>
        </w:sectPr>
      </w:pPr>
    </w:p>
    <w:p w:rsidR="00D81F69" w:rsidRDefault="00330118">
      <w:pPr>
        <w:pStyle w:val="Corpodetexto"/>
        <w:spacing w:before="81" w:line="312" w:lineRule="auto"/>
        <w:ind w:right="60"/>
      </w:pPr>
      <w:r>
        <w:lastRenderedPageBreak/>
        <w:t>descrever, em seu plano de reabilitação ambiental, o processo de beneficiamento como ambientalmente correto (PROMINER, 1989 a</w:t>
      </w:r>
      <w:r>
        <w:t>pud MONTEIRO, 2005), a empresa</w:t>
      </w:r>
    </w:p>
    <w:p w:rsidR="00D81F69" w:rsidRDefault="00330118">
      <w:pPr>
        <w:pStyle w:val="Corpodetexto"/>
        <w:spacing w:before="3" w:line="312" w:lineRule="auto"/>
        <w:ind w:right="46"/>
      </w:pPr>
      <w:r>
        <w:t xml:space="preserve">recorria ao </w:t>
      </w:r>
      <w:hyperlink r:id="rId132">
        <w:r>
          <w:t xml:space="preserve">mercúrio </w:t>
        </w:r>
      </w:hyperlink>
      <w:r>
        <w:t>para a exploração do ouro (MONTEIRO, 2005).</w:t>
      </w:r>
    </w:p>
    <w:p w:rsidR="00D81F69" w:rsidRDefault="00330118">
      <w:pPr>
        <w:pStyle w:val="Corpodetexto"/>
        <w:spacing w:before="131" w:line="312" w:lineRule="auto"/>
        <w:ind w:right="54"/>
      </w:pPr>
      <w:r>
        <w:t>Com a saída das mineradoras de Lourenço, houve um intenso êxodo popul</w:t>
      </w:r>
      <w:r>
        <w:t>acional para outras localidades. Os garimpeiros que permaneceram no distrito, no entanto, continuaram as atividades no garimpo e fundaram a Cooperativa de Garimpeiros do Lourenço (Coogal), que passou a funcionar nas antigas instalações da Mineração Novo As</w:t>
      </w:r>
      <w:r>
        <w:t>tro S/A. À época, a empresa firmou um acordo com o governo do estado, no qual prometia não efetuar a baixa da firma em Brasília (DF) para que a titularidade fosse passada diretamente aos garimpeiros (SILVA, 2005).</w:t>
      </w:r>
    </w:p>
    <w:p w:rsidR="00D81F69" w:rsidRDefault="00330118">
      <w:pPr>
        <w:pStyle w:val="Corpodetexto"/>
        <w:spacing w:before="140" w:line="312" w:lineRule="auto"/>
        <w:ind w:right="39"/>
      </w:pPr>
      <w:r>
        <w:t>Em outubro de 1995, o Instrumento de Cessã</w:t>
      </w:r>
      <w:r>
        <w:t xml:space="preserve">o de Direitos foi </w:t>
      </w:r>
      <w:r>
        <w:rPr>
          <w:spacing w:val="1"/>
        </w:rPr>
        <w:t xml:space="preserve">protocolado </w:t>
      </w:r>
      <w:r>
        <w:t xml:space="preserve">no </w:t>
      </w:r>
      <w:r>
        <w:rPr>
          <w:spacing w:val="1"/>
        </w:rPr>
        <w:t xml:space="preserve">DNPM, iniciando </w:t>
      </w:r>
      <w:r>
        <w:t xml:space="preserve">o </w:t>
      </w:r>
      <w:r>
        <w:rPr>
          <w:spacing w:val="1"/>
        </w:rPr>
        <w:t xml:space="preserve">processo </w:t>
      </w:r>
      <w:r>
        <w:t xml:space="preserve">de </w:t>
      </w:r>
      <w:r>
        <w:rPr>
          <w:spacing w:val="2"/>
        </w:rPr>
        <w:t xml:space="preserve">averbação. Em </w:t>
      </w:r>
      <w:r>
        <w:rPr>
          <w:spacing w:val="3"/>
        </w:rPr>
        <w:t xml:space="preserve">1998, ainda não havia sido </w:t>
      </w:r>
      <w:r>
        <w:rPr>
          <w:spacing w:val="5"/>
        </w:rPr>
        <w:t xml:space="preserve">legalizada </w:t>
      </w:r>
      <w:r>
        <w:t xml:space="preserve">a </w:t>
      </w:r>
      <w:r>
        <w:rPr>
          <w:spacing w:val="5"/>
        </w:rPr>
        <w:t xml:space="preserve">cessão dos </w:t>
      </w:r>
      <w:r>
        <w:rPr>
          <w:spacing w:val="6"/>
        </w:rPr>
        <w:t xml:space="preserve">direitos </w:t>
      </w:r>
      <w:r>
        <w:t xml:space="preserve">à </w:t>
      </w:r>
      <w:r>
        <w:rPr>
          <w:spacing w:val="5"/>
        </w:rPr>
        <w:t xml:space="preserve">Coogal </w:t>
      </w:r>
      <w:r>
        <w:rPr>
          <w:spacing w:val="3"/>
        </w:rPr>
        <w:t xml:space="preserve">e, </w:t>
      </w:r>
      <w:r>
        <w:rPr>
          <w:spacing w:val="5"/>
        </w:rPr>
        <w:t xml:space="preserve">após vários </w:t>
      </w:r>
      <w:r>
        <w:rPr>
          <w:spacing w:val="6"/>
        </w:rPr>
        <w:t xml:space="preserve">acidentes </w:t>
      </w:r>
      <w:r>
        <w:rPr>
          <w:spacing w:val="7"/>
        </w:rPr>
        <w:t xml:space="preserve">envolvendo </w:t>
      </w:r>
      <w:r>
        <w:rPr>
          <w:spacing w:val="3"/>
        </w:rPr>
        <w:t xml:space="preserve">desmoronamentos </w:t>
      </w:r>
      <w:r>
        <w:rPr>
          <w:spacing w:val="1"/>
        </w:rPr>
        <w:t xml:space="preserve">na </w:t>
      </w:r>
      <w:r>
        <w:rPr>
          <w:spacing w:val="2"/>
        </w:rPr>
        <w:t xml:space="preserve">mina </w:t>
      </w:r>
      <w:r>
        <w:rPr>
          <w:spacing w:val="3"/>
        </w:rPr>
        <w:t xml:space="preserve">subterrânea, </w:t>
      </w:r>
      <w:r>
        <w:rPr>
          <w:spacing w:val="1"/>
        </w:rPr>
        <w:t xml:space="preserve">em </w:t>
      </w:r>
      <w:r>
        <w:rPr>
          <w:spacing w:val="3"/>
        </w:rPr>
        <w:t xml:space="preserve">novembro </w:t>
      </w:r>
      <w:r>
        <w:rPr>
          <w:spacing w:val="5"/>
        </w:rPr>
        <w:t xml:space="preserve">do mesmo ano, </w:t>
      </w:r>
      <w:r>
        <w:t xml:space="preserve">o </w:t>
      </w:r>
      <w:r>
        <w:rPr>
          <w:spacing w:val="5"/>
        </w:rPr>
        <w:t xml:space="preserve">DNPM </w:t>
      </w:r>
      <w:r>
        <w:rPr>
          <w:spacing w:val="6"/>
        </w:rPr>
        <w:t xml:space="preserve">interditou </w:t>
      </w:r>
      <w:r>
        <w:rPr>
          <w:spacing w:val="3"/>
        </w:rPr>
        <w:t xml:space="preserve">as </w:t>
      </w:r>
      <w:r>
        <w:rPr>
          <w:spacing w:val="6"/>
        </w:rPr>
        <w:t xml:space="preserve">atividades </w:t>
      </w:r>
      <w:r>
        <w:rPr>
          <w:spacing w:val="3"/>
        </w:rPr>
        <w:t xml:space="preserve">no </w:t>
      </w:r>
      <w:r>
        <w:rPr>
          <w:spacing w:val="7"/>
        </w:rPr>
        <w:t xml:space="preserve">local, </w:t>
      </w:r>
      <w:r>
        <w:rPr>
          <w:spacing w:val="6"/>
        </w:rPr>
        <w:t xml:space="preserve">lacrando </w:t>
      </w:r>
      <w:r>
        <w:t xml:space="preserve">a </w:t>
      </w:r>
      <w:r>
        <w:rPr>
          <w:spacing w:val="5"/>
        </w:rPr>
        <w:t xml:space="preserve">entrada </w:t>
      </w:r>
      <w:r>
        <w:rPr>
          <w:spacing w:val="3"/>
        </w:rPr>
        <w:t xml:space="preserve">da </w:t>
      </w:r>
      <w:r>
        <w:rPr>
          <w:spacing w:val="5"/>
        </w:rPr>
        <w:t xml:space="preserve">mina, </w:t>
      </w:r>
      <w:r>
        <w:t xml:space="preserve">e </w:t>
      </w:r>
      <w:r>
        <w:rPr>
          <w:spacing w:val="5"/>
        </w:rPr>
        <w:t xml:space="preserve">vedando </w:t>
      </w:r>
      <w:r>
        <w:t xml:space="preserve">o </w:t>
      </w:r>
      <w:r>
        <w:rPr>
          <w:spacing w:val="5"/>
        </w:rPr>
        <w:t xml:space="preserve">uso </w:t>
      </w:r>
      <w:r>
        <w:rPr>
          <w:spacing w:val="3"/>
        </w:rPr>
        <w:t xml:space="preserve">de </w:t>
      </w:r>
      <w:r>
        <w:rPr>
          <w:spacing w:val="7"/>
        </w:rPr>
        <w:t xml:space="preserve">Gás </w:t>
      </w:r>
      <w:r>
        <w:t xml:space="preserve">Liquefeito de Petróleo (GLP) e explosivos. Em 29 de janeiro de 2001, foi assinado um Termo de Ajustamento de Conduta </w:t>
      </w:r>
      <w:r>
        <w:rPr>
          <w:spacing w:val="7"/>
        </w:rPr>
        <w:t xml:space="preserve">(TAC), dando início </w:t>
      </w:r>
      <w:r>
        <w:rPr>
          <w:spacing w:val="5"/>
        </w:rPr>
        <w:t xml:space="preserve">ao </w:t>
      </w:r>
      <w:r>
        <w:rPr>
          <w:spacing w:val="7"/>
        </w:rPr>
        <w:t xml:space="preserve">processo </w:t>
      </w:r>
      <w:r>
        <w:rPr>
          <w:spacing w:val="5"/>
        </w:rPr>
        <w:t xml:space="preserve">de </w:t>
      </w:r>
      <w:r>
        <w:rPr>
          <w:spacing w:val="8"/>
        </w:rPr>
        <w:t xml:space="preserve">regularização </w:t>
      </w:r>
      <w:r>
        <w:rPr>
          <w:spacing w:val="10"/>
        </w:rPr>
        <w:t xml:space="preserve">das </w:t>
      </w:r>
      <w:r>
        <w:t>atividades da cooperativa (SILVA, 2005). Somente em 2007, no</w:t>
      </w:r>
      <w:r>
        <w:rPr>
          <w:spacing w:val="10"/>
        </w:rPr>
        <w:t xml:space="preserve"> </w:t>
      </w:r>
      <w:r>
        <w:t>entanto,</w:t>
      </w:r>
      <w:r>
        <w:rPr>
          <w:spacing w:val="10"/>
        </w:rPr>
        <w:t xml:space="preserve"> </w:t>
      </w:r>
      <w:r>
        <w:t>a</w:t>
      </w:r>
      <w:r>
        <w:rPr>
          <w:spacing w:val="10"/>
        </w:rPr>
        <w:t xml:space="preserve"> </w:t>
      </w:r>
      <w:r>
        <w:t>Coogal</w:t>
      </w:r>
      <w:r>
        <w:rPr>
          <w:spacing w:val="10"/>
        </w:rPr>
        <w:t xml:space="preserve"> </w:t>
      </w:r>
      <w:r>
        <w:t>obteve</w:t>
      </w:r>
      <w:r>
        <w:rPr>
          <w:spacing w:val="10"/>
        </w:rPr>
        <w:t xml:space="preserve"> </w:t>
      </w:r>
      <w:r>
        <w:t>Direito</w:t>
      </w:r>
      <w:r>
        <w:rPr>
          <w:spacing w:val="10"/>
        </w:rPr>
        <w:t xml:space="preserve"> </w:t>
      </w:r>
      <w:r>
        <w:t>Mineral</w:t>
      </w:r>
      <w:r>
        <w:rPr>
          <w:spacing w:val="10"/>
        </w:rPr>
        <w:t xml:space="preserve"> </w:t>
      </w:r>
      <w:r>
        <w:t>(MPF-AP,</w:t>
      </w:r>
      <w:r>
        <w:rPr>
          <w:spacing w:val="10"/>
        </w:rPr>
        <w:t xml:space="preserve"> </w:t>
      </w:r>
      <w:r>
        <w:t>2009).</w:t>
      </w:r>
    </w:p>
    <w:p w:rsidR="00D81F69" w:rsidRDefault="00330118">
      <w:pPr>
        <w:pStyle w:val="Corpodetexto"/>
        <w:spacing w:before="141" w:line="312" w:lineRule="auto"/>
        <w:ind w:right="40"/>
      </w:pPr>
      <w:r>
        <w:t>A exploração de ouro feita pela Coogal em Lourenço, antes  da reabertura da mina subterrânea em 2003, se dava de duas formas: a lavra a cé</w:t>
      </w:r>
      <w:r>
        <w:t xml:space="preserve">u aberto do minério secundário por meio de instrumentos rudimentares, com chupadeira [bomba usada </w:t>
      </w:r>
      <w:r>
        <w:rPr>
          <w:spacing w:val="2"/>
        </w:rPr>
        <w:t xml:space="preserve">para </w:t>
      </w:r>
      <w:r>
        <w:rPr>
          <w:spacing w:val="3"/>
        </w:rPr>
        <w:t xml:space="preserve">remover </w:t>
      </w:r>
      <w:r>
        <w:t xml:space="preserve">a </w:t>
      </w:r>
      <w:r>
        <w:rPr>
          <w:spacing w:val="3"/>
        </w:rPr>
        <w:t xml:space="preserve">areia] </w:t>
      </w:r>
      <w:r>
        <w:t xml:space="preserve">e </w:t>
      </w:r>
      <w:r>
        <w:rPr>
          <w:spacing w:val="3"/>
        </w:rPr>
        <w:t xml:space="preserve">bateia [gamela </w:t>
      </w:r>
      <w:r>
        <w:rPr>
          <w:spacing w:val="1"/>
        </w:rPr>
        <w:t xml:space="preserve">de </w:t>
      </w:r>
      <w:r>
        <w:rPr>
          <w:spacing w:val="3"/>
        </w:rPr>
        <w:t xml:space="preserve">madeira </w:t>
      </w:r>
      <w:r>
        <w:rPr>
          <w:spacing w:val="5"/>
        </w:rPr>
        <w:t xml:space="preserve">usada </w:t>
      </w:r>
      <w:r>
        <w:t xml:space="preserve">para lavar as areias auríferas]; e a lavra de minério primário </w:t>
      </w:r>
      <w:r>
        <w:rPr>
          <w:spacing w:val="2"/>
        </w:rPr>
        <w:t xml:space="preserve">com </w:t>
      </w:r>
      <w:r>
        <w:t xml:space="preserve">a </w:t>
      </w:r>
      <w:r>
        <w:rPr>
          <w:spacing w:val="3"/>
        </w:rPr>
        <w:t xml:space="preserve">abertura </w:t>
      </w:r>
      <w:r>
        <w:rPr>
          <w:spacing w:val="1"/>
        </w:rPr>
        <w:t xml:space="preserve">de </w:t>
      </w:r>
      <w:r>
        <w:rPr>
          <w:spacing w:val="3"/>
        </w:rPr>
        <w:t xml:space="preserve">galerias </w:t>
      </w:r>
      <w:r>
        <w:rPr>
          <w:spacing w:val="1"/>
        </w:rPr>
        <w:t xml:space="preserve">ou </w:t>
      </w:r>
      <w:r>
        <w:rPr>
          <w:spacing w:val="3"/>
        </w:rPr>
        <w:t>“shafts”,</w:t>
      </w:r>
      <w:r>
        <w:rPr>
          <w:spacing w:val="3"/>
        </w:rPr>
        <w:t xml:space="preserve"> </w:t>
      </w:r>
      <w:r>
        <w:rPr>
          <w:spacing w:val="2"/>
        </w:rPr>
        <w:t xml:space="preserve">com </w:t>
      </w:r>
      <w:r>
        <w:t xml:space="preserve">o </w:t>
      </w:r>
      <w:r>
        <w:rPr>
          <w:spacing w:val="3"/>
        </w:rPr>
        <w:t xml:space="preserve">auxílio </w:t>
      </w:r>
      <w:r>
        <w:rPr>
          <w:spacing w:val="5"/>
        </w:rPr>
        <w:t xml:space="preserve">de picaretas </w:t>
      </w:r>
      <w:r>
        <w:t xml:space="preserve">e </w:t>
      </w:r>
      <w:r>
        <w:rPr>
          <w:spacing w:val="3"/>
        </w:rPr>
        <w:t xml:space="preserve">pás. Com </w:t>
      </w:r>
      <w:r>
        <w:t xml:space="preserve">a </w:t>
      </w:r>
      <w:r>
        <w:rPr>
          <w:spacing w:val="5"/>
        </w:rPr>
        <w:t xml:space="preserve">reabertura </w:t>
      </w:r>
      <w:r>
        <w:rPr>
          <w:spacing w:val="2"/>
        </w:rPr>
        <w:t xml:space="preserve">da </w:t>
      </w:r>
      <w:r>
        <w:rPr>
          <w:spacing w:val="3"/>
        </w:rPr>
        <w:t xml:space="preserve">mina </w:t>
      </w:r>
      <w:r>
        <w:rPr>
          <w:spacing w:val="5"/>
        </w:rPr>
        <w:t>subterrânea,</w:t>
      </w:r>
      <w:r>
        <w:rPr>
          <w:spacing w:val="61"/>
        </w:rPr>
        <w:t xml:space="preserve"> </w:t>
      </w:r>
      <w:r>
        <w:t xml:space="preserve">grande parte dos trabalhos se concentrou no bombeamento da água dos túneis para a liberação, na mina e na lavra, dos </w:t>
      </w:r>
      <w:r>
        <w:rPr>
          <w:spacing w:val="10"/>
        </w:rPr>
        <w:t xml:space="preserve">seus </w:t>
      </w:r>
      <w:r>
        <w:rPr>
          <w:spacing w:val="11"/>
        </w:rPr>
        <w:t xml:space="preserve">veios </w:t>
      </w:r>
      <w:r>
        <w:rPr>
          <w:spacing w:val="12"/>
        </w:rPr>
        <w:t xml:space="preserve">auríferos. </w:t>
      </w:r>
      <w:r>
        <w:rPr>
          <w:spacing w:val="10"/>
        </w:rPr>
        <w:t xml:space="preserve">Além dos </w:t>
      </w:r>
      <w:r>
        <w:rPr>
          <w:spacing w:val="12"/>
        </w:rPr>
        <w:t xml:space="preserve">trabalhos </w:t>
      </w:r>
      <w:r>
        <w:rPr>
          <w:spacing w:val="6"/>
        </w:rPr>
        <w:t xml:space="preserve">na </w:t>
      </w:r>
      <w:r>
        <w:rPr>
          <w:spacing w:val="10"/>
        </w:rPr>
        <w:t xml:space="preserve">mina </w:t>
      </w:r>
      <w:r>
        <w:t>subterrânea, ainda permaneceram outras frentes de serviço, com</w:t>
      </w:r>
      <w:r>
        <w:rPr>
          <w:spacing w:val="13"/>
        </w:rPr>
        <w:t xml:space="preserve"> </w:t>
      </w:r>
      <w:r>
        <w:t>a</w:t>
      </w:r>
      <w:r>
        <w:rPr>
          <w:spacing w:val="13"/>
        </w:rPr>
        <w:t xml:space="preserve"> </w:t>
      </w:r>
      <w:r>
        <w:t>abertura</w:t>
      </w:r>
      <w:r>
        <w:rPr>
          <w:spacing w:val="13"/>
        </w:rPr>
        <w:t xml:space="preserve"> </w:t>
      </w:r>
      <w:r>
        <w:t>de</w:t>
      </w:r>
      <w:r>
        <w:rPr>
          <w:spacing w:val="13"/>
        </w:rPr>
        <w:t xml:space="preserve"> </w:t>
      </w:r>
      <w:r>
        <w:t>poços</w:t>
      </w:r>
      <w:r>
        <w:rPr>
          <w:spacing w:val="13"/>
        </w:rPr>
        <w:t xml:space="preserve"> </w:t>
      </w:r>
      <w:r>
        <w:t>e</w:t>
      </w:r>
      <w:r>
        <w:rPr>
          <w:spacing w:val="13"/>
        </w:rPr>
        <w:t xml:space="preserve"> </w:t>
      </w:r>
      <w:r>
        <w:t>galerias</w:t>
      </w:r>
      <w:r>
        <w:rPr>
          <w:spacing w:val="13"/>
        </w:rPr>
        <w:t xml:space="preserve"> </w:t>
      </w:r>
      <w:r>
        <w:t>(SILVA,</w:t>
      </w:r>
      <w:r>
        <w:rPr>
          <w:spacing w:val="13"/>
        </w:rPr>
        <w:t xml:space="preserve"> </w:t>
      </w:r>
      <w:r>
        <w:t>2005).</w:t>
      </w:r>
    </w:p>
    <w:p w:rsidR="00D81F69" w:rsidRDefault="00330118">
      <w:pPr>
        <w:pStyle w:val="Corpodetexto"/>
        <w:spacing w:before="79" w:line="270" w:lineRule="atLeast"/>
        <w:ind w:right="38"/>
      </w:pPr>
      <w:r>
        <w:t>A produção cresceu significativamente, ao lado de novo aumento populacional. A população chegou a quase quadruplicar no período de pouco mais de um ano, passando de cerca de 500 pessoas para mais de 2 mil. Na mina subterrânea, havia mais de 400 garimpeiros</w:t>
      </w:r>
      <w:r>
        <w:t xml:space="preserve"> trabalhando. A produção de ouro também aumentou, passando de 5 kg/semana para até 28 kg/semana. No entanto, os constantes acidentes na mina subterrânea, juntamente com a contínua degradação ambiental a que o local vinha sendo submetido, refletiram a dific</w:t>
      </w:r>
      <w:r>
        <w:t>uldade da Coogal em gerenciar as atividades. Em setembro de 2004, havia somente oito frentes de serviço com 280 garimpeiros no total (trabalhando na mina subterrânea), e dos 54 moinhos existentes somente 10 estavam em operação. Fora da mina (poços/galerias</w:t>
      </w:r>
      <w:r>
        <w:t>), existiam apenas 50 pessoas trabalhando (SILVA, 2005).</w:t>
      </w:r>
    </w:p>
    <w:p w:rsidR="00D81F69" w:rsidRDefault="00330118">
      <w:pPr>
        <w:pStyle w:val="Corpodetexto"/>
        <w:spacing w:before="5"/>
        <w:ind w:left="0"/>
        <w:jc w:val="left"/>
        <w:rPr>
          <w:sz w:val="24"/>
        </w:rPr>
      </w:pPr>
      <w:r>
        <w:br w:type="column"/>
      </w:r>
    </w:p>
    <w:p w:rsidR="00D81F69" w:rsidRDefault="00330118">
      <w:pPr>
        <w:pStyle w:val="Corpodetexto"/>
        <w:spacing w:line="312" w:lineRule="auto"/>
        <w:ind w:right="242"/>
      </w:pPr>
      <w:r>
        <w:t>A Mineração Novo Astro S/A foi a única empresa de mineração em Lourenço que se preocupou em desenvolver algum tipo de medida de recuperação das áreas por elas degradadas. A empresa implementou dois</w:t>
      </w:r>
      <w:r>
        <w:t xml:space="preserve"> Planos de Recuperação de Áreas Degradadas (PRADs) na região de Lourenço. O primeiro concluído em 1995, e o segundo iniciado em 2003. A permanência da atividade garimpeira após a saída da MNA contribuiu para nova degradação no local. Porém, como a minerado</w:t>
      </w:r>
      <w:r>
        <w:t>ra não havia transferido a titularidade após sua saída, o passivo ambiental e a realização de um novo PRAD continuaram sob sua responsabilidade (SILVA, 2005).</w:t>
      </w:r>
    </w:p>
    <w:p w:rsidR="00D81F69" w:rsidRDefault="00330118">
      <w:pPr>
        <w:pStyle w:val="Corpodetexto"/>
        <w:spacing w:before="141" w:line="312" w:lineRule="auto"/>
        <w:ind w:right="231"/>
      </w:pPr>
      <w:r>
        <w:t xml:space="preserve">O PRAD de 1995 constituiu-se, basicamente, de medidas que visavam uma recuperação “paliativa” do </w:t>
      </w:r>
      <w:r>
        <w:t>local, ao buscar conferir características paisagísticas a algumas áreas. O PRAD foi fiscalizado e aprovado pelos órgãos ambientais responsáveis, o que mostrou, dentre outras coisas, reduzida capacidade dos órgãos para gerenciar a situação (SILVA, 2005).</w:t>
      </w:r>
    </w:p>
    <w:p w:rsidR="00D81F69" w:rsidRDefault="00330118">
      <w:pPr>
        <w:pStyle w:val="Corpodetexto"/>
        <w:spacing w:before="136"/>
      </w:pPr>
      <w:r>
        <w:t>Em</w:t>
      </w:r>
      <w:r>
        <w:t xml:space="preserve"> 2002, foi assinado um Termo de Ajustamento de Conduta</w:t>
      </w:r>
    </w:p>
    <w:p w:rsidR="00D81F69" w:rsidRDefault="00330118">
      <w:pPr>
        <w:pStyle w:val="Corpodetexto"/>
        <w:spacing w:before="63" w:line="312" w:lineRule="auto"/>
        <w:ind w:right="232"/>
      </w:pPr>
      <w:r>
        <w:t xml:space="preserve">– TAC com o Ministério Público Federal, a MNA, a Secretaria Especial de Meio Ambiente (Sema), o DNPM e a Coogal, a partir de uma denúncia sobre degradação e contaminação ambiental. O termo determinava </w:t>
      </w:r>
      <w:r>
        <w:t>que a MNA deveria recuperar novamente áreas degradadas em Lourenço. Em 2003, foi elaborado um novo PRAD, que previa trabalhos em oito áreas, das quais quatro seriam recuperadas imediatamente, e o restante no decorrer do término dos trabalhos dos garimpeiro</w:t>
      </w:r>
      <w:r>
        <w:t>s, visto que as áreas a serem recuperadas ainda estavam sendo garimpadas. A alternativa de recuperação, desta vez, previa a criação de sistemas agroflorestais que propiciassem uma atividade produtiva futura, tendo em vista a exaustão da jazida. As espécies</w:t>
      </w:r>
      <w:r>
        <w:t xml:space="preserve"> escolhidas foram o açaí, o cupuaçu, o mogno e a andiroba. No entanto, a falta de medidas para melhorar a qualidade do solo antes dos plantios levou à mortandade de mais de 70% das mudas utilizadas na área do Labourrie (SILVA, 2005).</w:t>
      </w:r>
    </w:p>
    <w:p w:rsidR="00D81F69" w:rsidRDefault="00330118">
      <w:pPr>
        <w:pStyle w:val="Corpodetexto"/>
        <w:spacing w:before="146" w:line="312" w:lineRule="auto"/>
        <w:ind w:right="235"/>
      </w:pPr>
      <w:r>
        <w:t xml:space="preserve">O </w:t>
      </w:r>
      <w:r>
        <w:rPr>
          <w:spacing w:val="2"/>
        </w:rPr>
        <w:t xml:space="preserve">PRAD </w:t>
      </w:r>
      <w:r>
        <w:rPr>
          <w:spacing w:val="1"/>
        </w:rPr>
        <w:t xml:space="preserve">de </w:t>
      </w:r>
      <w:r>
        <w:rPr>
          <w:spacing w:val="2"/>
        </w:rPr>
        <w:t xml:space="preserve">2003 </w:t>
      </w:r>
      <w:r>
        <w:rPr>
          <w:spacing w:val="3"/>
        </w:rPr>
        <w:t xml:space="preserve">também </w:t>
      </w:r>
      <w:r>
        <w:rPr>
          <w:spacing w:val="2"/>
        </w:rPr>
        <w:t xml:space="preserve">não </w:t>
      </w:r>
      <w:r>
        <w:rPr>
          <w:spacing w:val="3"/>
        </w:rPr>
        <w:t xml:space="preserve">contemplou </w:t>
      </w:r>
      <w:r>
        <w:rPr>
          <w:spacing w:val="5"/>
        </w:rPr>
        <w:t xml:space="preserve">procedimentos </w:t>
      </w:r>
      <w:r>
        <w:t xml:space="preserve">geotécnicos de controle da erosão, apesar de sua intensidade </w:t>
      </w:r>
      <w:r>
        <w:rPr>
          <w:spacing w:val="7"/>
        </w:rPr>
        <w:t xml:space="preserve">ser </w:t>
      </w:r>
      <w:r>
        <w:rPr>
          <w:spacing w:val="10"/>
        </w:rPr>
        <w:t xml:space="preserve">mencionada </w:t>
      </w:r>
      <w:r>
        <w:rPr>
          <w:spacing w:val="5"/>
        </w:rPr>
        <w:t xml:space="preserve">no </w:t>
      </w:r>
      <w:r>
        <w:rPr>
          <w:spacing w:val="10"/>
        </w:rPr>
        <w:t xml:space="preserve">escopo </w:t>
      </w:r>
      <w:r>
        <w:rPr>
          <w:spacing w:val="5"/>
        </w:rPr>
        <w:t xml:space="preserve">do </w:t>
      </w:r>
      <w:r>
        <w:rPr>
          <w:spacing w:val="10"/>
        </w:rPr>
        <w:t xml:space="preserve">plano. </w:t>
      </w:r>
      <w:r>
        <w:t xml:space="preserve">O </w:t>
      </w:r>
      <w:r>
        <w:rPr>
          <w:spacing w:val="10"/>
        </w:rPr>
        <w:t xml:space="preserve">controle </w:t>
      </w:r>
      <w:r>
        <w:rPr>
          <w:spacing w:val="11"/>
        </w:rPr>
        <w:t xml:space="preserve">da </w:t>
      </w:r>
      <w:r>
        <w:t>contaminação dos recursos hídricos também não foi efetuado. Além dos plantios nas quatro áreas (concluídos no final d</w:t>
      </w:r>
      <w:r>
        <w:t xml:space="preserve">o </w:t>
      </w:r>
      <w:r>
        <w:rPr>
          <w:spacing w:val="6"/>
        </w:rPr>
        <w:t xml:space="preserve">primeiro semestre </w:t>
      </w:r>
      <w:r>
        <w:rPr>
          <w:spacing w:val="3"/>
        </w:rPr>
        <w:t xml:space="preserve">de </w:t>
      </w:r>
      <w:r>
        <w:rPr>
          <w:spacing w:val="5"/>
        </w:rPr>
        <w:t xml:space="preserve">2004), </w:t>
      </w:r>
      <w:r>
        <w:t xml:space="preserve">a </w:t>
      </w:r>
      <w:r>
        <w:rPr>
          <w:spacing w:val="5"/>
        </w:rPr>
        <w:t xml:space="preserve">empresa </w:t>
      </w:r>
      <w:r>
        <w:rPr>
          <w:spacing w:val="3"/>
        </w:rPr>
        <w:t xml:space="preserve">de </w:t>
      </w:r>
      <w:r>
        <w:rPr>
          <w:spacing w:val="7"/>
        </w:rPr>
        <w:t xml:space="preserve">engenharia </w:t>
      </w:r>
      <w:r>
        <w:rPr>
          <w:spacing w:val="3"/>
        </w:rPr>
        <w:t xml:space="preserve">contratada realizou </w:t>
      </w:r>
      <w:r>
        <w:t xml:space="preserve">o </w:t>
      </w:r>
      <w:r>
        <w:rPr>
          <w:spacing w:val="3"/>
        </w:rPr>
        <w:t xml:space="preserve">redirecionamento </w:t>
      </w:r>
      <w:r>
        <w:rPr>
          <w:spacing w:val="2"/>
        </w:rPr>
        <w:t xml:space="preserve">dos </w:t>
      </w:r>
      <w:r>
        <w:rPr>
          <w:spacing w:val="3"/>
        </w:rPr>
        <w:t xml:space="preserve">cursos </w:t>
      </w:r>
      <w:r>
        <w:rPr>
          <w:spacing w:val="5"/>
        </w:rPr>
        <w:t xml:space="preserve">d’água </w:t>
      </w:r>
      <w:r>
        <w:t xml:space="preserve">para restabelecer a antiga drenagem existente no local. Mas, o </w:t>
      </w:r>
      <w:r>
        <w:rPr>
          <w:spacing w:val="8"/>
        </w:rPr>
        <w:t xml:space="preserve">desconhecimento </w:t>
      </w:r>
      <w:r>
        <w:rPr>
          <w:spacing w:val="7"/>
        </w:rPr>
        <w:t xml:space="preserve">sobre </w:t>
      </w:r>
      <w:r>
        <w:rPr>
          <w:spacing w:val="5"/>
        </w:rPr>
        <w:t xml:space="preserve">os </w:t>
      </w:r>
      <w:r>
        <w:rPr>
          <w:spacing w:val="7"/>
        </w:rPr>
        <w:t xml:space="preserve">teores </w:t>
      </w:r>
      <w:r>
        <w:rPr>
          <w:spacing w:val="5"/>
        </w:rPr>
        <w:t xml:space="preserve">de </w:t>
      </w:r>
      <w:r>
        <w:rPr>
          <w:spacing w:val="10"/>
        </w:rPr>
        <w:t xml:space="preserve">contaminantes </w:t>
      </w:r>
      <w:r>
        <w:rPr>
          <w:spacing w:val="1"/>
        </w:rPr>
        <w:t xml:space="preserve">presentes </w:t>
      </w:r>
      <w:r>
        <w:t xml:space="preserve">no </w:t>
      </w:r>
      <w:r>
        <w:rPr>
          <w:spacing w:val="1"/>
        </w:rPr>
        <w:t xml:space="preserve">solo </w:t>
      </w:r>
      <w:r>
        <w:t xml:space="preserve">e na </w:t>
      </w:r>
      <w:r>
        <w:rPr>
          <w:spacing w:val="1"/>
        </w:rPr>
        <w:t xml:space="preserve">água </w:t>
      </w:r>
      <w:r>
        <w:t>fez c</w:t>
      </w:r>
      <w:r>
        <w:t xml:space="preserve">om que não </w:t>
      </w:r>
      <w:r>
        <w:rPr>
          <w:spacing w:val="1"/>
        </w:rPr>
        <w:t xml:space="preserve">levasse </w:t>
      </w:r>
      <w:r>
        <w:rPr>
          <w:spacing w:val="2"/>
        </w:rPr>
        <w:t xml:space="preserve">em </w:t>
      </w:r>
      <w:r>
        <w:rPr>
          <w:spacing w:val="5"/>
        </w:rPr>
        <w:t xml:space="preserve">consideração </w:t>
      </w:r>
      <w:r>
        <w:t xml:space="preserve">a </w:t>
      </w:r>
      <w:r>
        <w:rPr>
          <w:spacing w:val="5"/>
        </w:rPr>
        <w:t xml:space="preserve">possibilidade </w:t>
      </w:r>
      <w:r>
        <w:rPr>
          <w:spacing w:val="2"/>
        </w:rPr>
        <w:t xml:space="preserve">de </w:t>
      </w:r>
      <w:r>
        <w:rPr>
          <w:spacing w:val="3"/>
        </w:rPr>
        <w:t xml:space="preserve">uma </w:t>
      </w:r>
      <w:r>
        <w:rPr>
          <w:spacing w:val="5"/>
        </w:rPr>
        <w:t xml:space="preserve">disseminação </w:t>
      </w:r>
      <w:r>
        <w:rPr>
          <w:spacing w:val="6"/>
        </w:rPr>
        <w:t xml:space="preserve">dos </w:t>
      </w:r>
      <w:r>
        <w:rPr>
          <w:spacing w:val="13"/>
        </w:rPr>
        <w:t xml:space="preserve">poluentes </w:t>
      </w:r>
      <w:r>
        <w:t xml:space="preserve">a </w:t>
      </w:r>
      <w:r>
        <w:rPr>
          <w:spacing w:val="12"/>
        </w:rPr>
        <w:t xml:space="preserve">partir </w:t>
      </w:r>
      <w:r>
        <w:rPr>
          <w:spacing w:val="11"/>
        </w:rPr>
        <w:t xml:space="preserve">deste </w:t>
      </w:r>
      <w:r>
        <w:rPr>
          <w:spacing w:val="15"/>
        </w:rPr>
        <w:t xml:space="preserve">redirecionamento. </w:t>
      </w:r>
      <w:r>
        <w:rPr>
          <w:spacing w:val="11"/>
        </w:rPr>
        <w:t xml:space="preserve">Foram </w:t>
      </w:r>
      <w:r>
        <w:t xml:space="preserve">empreendidas, portanto, novamente medidas paliativas e sem preocupação com as características locais. Mesmo assim, a </w:t>
      </w:r>
      <w:r>
        <w:rPr>
          <w:spacing w:val="3"/>
        </w:rPr>
        <w:t xml:space="preserve">Sema </w:t>
      </w:r>
      <w:r>
        <w:rPr>
          <w:spacing w:val="5"/>
        </w:rPr>
        <w:t xml:space="preserve">aprovou </w:t>
      </w:r>
      <w:r>
        <w:rPr>
          <w:spacing w:val="2"/>
        </w:rPr>
        <w:t xml:space="preserve">as </w:t>
      </w:r>
      <w:r>
        <w:rPr>
          <w:spacing w:val="5"/>
        </w:rPr>
        <w:t xml:space="preserve">medidas presentes </w:t>
      </w:r>
      <w:r>
        <w:rPr>
          <w:spacing w:val="2"/>
        </w:rPr>
        <w:t xml:space="preserve">no </w:t>
      </w:r>
      <w:r>
        <w:rPr>
          <w:spacing w:val="3"/>
        </w:rPr>
        <w:t xml:space="preserve">PRAD </w:t>
      </w:r>
      <w:r>
        <w:rPr>
          <w:spacing w:val="2"/>
        </w:rPr>
        <w:t xml:space="preserve">de </w:t>
      </w:r>
      <w:r>
        <w:rPr>
          <w:spacing w:val="5"/>
        </w:rPr>
        <w:t>2003</w:t>
      </w:r>
      <w:r>
        <w:rPr>
          <w:spacing w:val="61"/>
        </w:rPr>
        <w:t xml:space="preserve"> </w:t>
      </w:r>
      <w:r>
        <w:rPr>
          <w:spacing w:val="5"/>
        </w:rPr>
        <w:t>(SILVA,</w:t>
      </w:r>
      <w:r>
        <w:rPr>
          <w:spacing w:val="32"/>
        </w:rPr>
        <w:t xml:space="preserve"> </w:t>
      </w:r>
      <w:r>
        <w:rPr>
          <w:spacing w:val="5"/>
        </w:rPr>
        <w:t>2005).</w:t>
      </w:r>
    </w:p>
    <w:p w:rsidR="00D81F69" w:rsidRDefault="00330118">
      <w:pPr>
        <w:pStyle w:val="Corpodetexto"/>
        <w:spacing w:before="145"/>
      </w:pPr>
      <w:r>
        <w:t>Quanto à Mineração Yukio Yoshidome S/A, em 1989, chegou</w:t>
      </w:r>
    </w:p>
    <w:p w:rsidR="00D81F69" w:rsidRDefault="00D81F69">
      <w:pPr>
        <w:sectPr w:rsidR="00D81F69">
          <w:pgSz w:w="11900" w:h="16840"/>
          <w:pgMar w:top="740" w:right="460" w:bottom="620" w:left="620" w:header="0" w:footer="402" w:gutter="0"/>
          <w:cols w:num="2" w:space="720" w:equalWidth="0">
            <w:col w:w="5161" w:space="309"/>
            <w:col w:w="5350"/>
          </w:cols>
        </w:sectPr>
      </w:pPr>
    </w:p>
    <w:p w:rsidR="00D81F69" w:rsidRDefault="00330118">
      <w:pPr>
        <w:pStyle w:val="Corpodetexto"/>
        <w:spacing w:before="81" w:line="312" w:lineRule="auto"/>
        <w:ind w:right="44"/>
      </w:pPr>
      <w:r>
        <w:lastRenderedPageBreak/>
        <w:t xml:space="preserve">a ser multada pelo Instituto Brasileiro de Meio Ambiente e Recursos Naturais Renováveis (Ibama) por estar em desacordo </w:t>
      </w:r>
      <w:r>
        <w:t>com as exigências da licença emitida pelo órgão. Após a multa, procurou desenvolver algumas medidas de controle dos efluentes das barragens e o monitoramento químico das águas de sua área de concessão, mas todas superficiais, sem de fato recuperar as áreas</w:t>
      </w:r>
      <w:r>
        <w:t xml:space="preserve"> degradadas (IBAMA, 1990 apud SILVA, 2005).</w:t>
      </w:r>
    </w:p>
    <w:p w:rsidR="00D81F69" w:rsidRDefault="00330118">
      <w:pPr>
        <w:pStyle w:val="Corpodetexto"/>
        <w:spacing w:before="137" w:line="312" w:lineRule="auto"/>
        <w:ind w:right="44"/>
      </w:pPr>
      <w:r>
        <w:t>De acordo com garimpeiros, nos últimos anos, dez pessoas morreram soterradas em minas do Lourenço. Eles relataram que, mesmo com a área interditada novamente pelo DNPM, em março de 2008, após sucessivos desmorona</w:t>
      </w:r>
      <w:r>
        <w:t>mentos e mortes ocorridos no local (SILVA, 2009), a cooperativa fez com que os trabalhadores voltassem às minas para continuar as escavações, assinando um termo de compromisso. Se houvesse recusa em assinar, os garimpeiros seriam expulsos da cooperativa. O</w:t>
      </w:r>
      <w:r>
        <w:t xml:space="preserve"> documento foi assinado no dia 17 de dezembro de 2007. Na mesma data, os cooperados encaminharam ofício à Promotoria de Justiça de Calçoene pedindo providências e apuração pela morte de seis cooperados no ano de 2007 nas minas do Lourenço (DIÁRIO DO AMAPÁ,</w:t>
      </w:r>
      <w:r>
        <w:t xml:space="preserve"> 2008).</w:t>
      </w:r>
    </w:p>
    <w:p w:rsidR="00D81F69" w:rsidRDefault="00330118">
      <w:pPr>
        <w:pStyle w:val="Corpodetexto"/>
        <w:spacing w:before="143" w:line="312" w:lineRule="auto"/>
        <w:ind w:right="38"/>
      </w:pPr>
      <w:r>
        <w:t>Em 2009, uma equipe da Secretaria de Estado da Indústria, Comércio e Mineração (Seicom) do Amapá deslocou-se ao distrito do Lourenço para realizar levantamento da crise na exploração de ouro do local. O distrito vem padecendo ao longo dos anos, des</w:t>
      </w:r>
      <w:r>
        <w:t>de o fechamento da mina onde passou a efetuar garimpagem manual com autorização de lavra à Coogal (DOU; DNPM/AP, 2009). O relatório detectou que a cooperativa contraiu uma dívida que chegava (CAPIBERIBE, 2009) a R$ 6 milhões, referente a encargos trabalhis</w:t>
      </w:r>
      <w:r>
        <w:t>tas, fornecedores, etc. O caso foi encaminhado à esfera judicial. Outro processo enfrentado referia-se ao não recolhimento dos tributos federais relativos à exploração de ouro pela cooperativa. Segundo informações da Secretaria da Receita Federal nenhum im</w:t>
      </w:r>
      <w:r>
        <w:t>posto da exploração do ouro fora recolhido pela Coogal, seja municipal, estadual ou federal (DOU; DNPM/AP, 2009).</w:t>
      </w:r>
    </w:p>
    <w:p w:rsidR="00D81F69" w:rsidRDefault="00330118">
      <w:pPr>
        <w:pStyle w:val="Corpodetexto"/>
        <w:spacing w:before="145" w:line="312" w:lineRule="auto"/>
        <w:ind w:right="44"/>
      </w:pPr>
      <w:r>
        <w:t xml:space="preserve">Ainda em 2009, o Ministério Público Federal do Amapá (MPF- AP) autorizou a Coogal a exercer a atividade de exploração mineral para minério de </w:t>
      </w:r>
      <w:r>
        <w:t>ouro, e também de tantalita, em área de aproximadamente de 500 hectares. Para tanto, a cooperativa teria de cumprir uma série de obrigações, dentre elas: recuperar todos os danos ambientais onde realizarem extração mineral pelo processo de lavra a céu aber</w:t>
      </w:r>
      <w:r>
        <w:t>to; e constituir um fundo, para ser utilizado, mediante fiscalização do Ministério Público Federal e Estadual, Prefeitura de Calçoene, Instituto do Meio Ambiente e de Ordenamento Territorial do Estado do Amapá (IMAP), DNPM e Câmara de Vereadores, em melhor</w:t>
      </w:r>
      <w:r>
        <w:t>ias coletivas e ambientais (MPF-AP, 2009).</w:t>
      </w:r>
    </w:p>
    <w:p w:rsidR="00D81F69" w:rsidRDefault="00330118">
      <w:pPr>
        <w:pStyle w:val="Corpodetexto"/>
        <w:spacing w:before="79" w:line="270" w:lineRule="atLeast"/>
        <w:ind w:right="53"/>
      </w:pPr>
      <w:r>
        <w:t xml:space="preserve">No início de 2010, o Ministério Público Federal do Amapá determinou que a Prefeitura de Calçoene expedisse alvará de funcionamento à Coogal. Em contrapartida, a cooperativa deveria se comprometer a: apresentar um </w:t>
      </w:r>
      <w:r>
        <w:t>plano de</w:t>
      </w:r>
    </w:p>
    <w:p w:rsidR="00D81F69" w:rsidRDefault="00330118">
      <w:pPr>
        <w:pStyle w:val="Corpodetexto"/>
        <w:spacing w:before="81" w:line="312" w:lineRule="auto"/>
        <w:ind w:right="228"/>
      </w:pPr>
      <w:r>
        <w:br w:type="column"/>
      </w:r>
      <w:r>
        <w:lastRenderedPageBreak/>
        <w:t>recuperação das áreas degradadas exploradas por ela; impedir a garimpagem nas proximidades da estrada que dá acesso à cooperativa e à localidade Lataia, deixando uma margem mínima de 50 metros de segurança do entorno da rodovia e dos mananciais; proceder a</w:t>
      </w:r>
      <w:r>
        <w:t>o parcelamento de valor devido ao município, a título de Imposto Sobre Serviços (ISS); e ceder espaço, na sede da cooperativa, para posto de fiscalização de tributos municipais (MPF-AP, 2010).</w:t>
      </w:r>
    </w:p>
    <w:p w:rsidR="00D81F69" w:rsidRDefault="00D81F69">
      <w:pPr>
        <w:pStyle w:val="Corpodetexto"/>
        <w:spacing w:before="7"/>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235"/>
      </w:pPr>
      <w:r>
        <w:t xml:space="preserve">As ocorrências de ouro do município de </w:t>
      </w:r>
      <w:r>
        <w:t>Calçoene localizam- se entre as latitudes 1°30’8”N - 2°48’5”N e longitudes 51°1’55”W - 52°3’9”W, divididas entre a bacia do rio Calçoene, a bacia do rio Araguari e a bacia do Rio Caciporé; todas desaguando diretamente no mar.</w:t>
      </w:r>
    </w:p>
    <w:p w:rsidR="00D81F69" w:rsidRDefault="00D81F69">
      <w:pPr>
        <w:pStyle w:val="Corpodetexto"/>
        <w:spacing w:before="2"/>
        <w:ind w:left="0"/>
        <w:jc w:val="left"/>
        <w:rPr>
          <w:sz w:val="29"/>
        </w:rPr>
      </w:pPr>
    </w:p>
    <w:p w:rsidR="00D81F69" w:rsidRDefault="00330118">
      <w:pPr>
        <w:pStyle w:val="Heading7"/>
      </w:pPr>
      <w:r>
        <w:t>REDATORES</w:t>
      </w:r>
    </w:p>
    <w:p w:rsidR="00D81F69" w:rsidRDefault="00330118">
      <w:pPr>
        <w:pStyle w:val="Corpodetexto"/>
        <w:spacing w:before="179"/>
      </w:pPr>
      <w:r>
        <w:t>Renata Olivieri; El</w:t>
      </w:r>
      <w:r>
        <w:t>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ind w:left="100"/>
        <w:jc w:val="both"/>
        <w:rPr>
          <w:sz w:val="16"/>
        </w:rPr>
      </w:pPr>
      <w:r>
        <w:rPr>
          <w:spacing w:val="31"/>
          <w:sz w:val="16"/>
        </w:rPr>
        <w:t xml:space="preserve">APONTADOR. Calçoene, </w:t>
      </w:r>
      <w:r>
        <w:rPr>
          <w:spacing w:val="23"/>
          <w:sz w:val="16"/>
        </w:rPr>
        <w:t xml:space="preserve">AP. </w:t>
      </w:r>
      <w:r>
        <w:rPr>
          <w:spacing w:val="31"/>
          <w:sz w:val="16"/>
        </w:rPr>
        <w:t>Disponível</w:t>
      </w:r>
      <w:r>
        <w:rPr>
          <w:spacing w:val="85"/>
          <w:sz w:val="16"/>
        </w:rPr>
        <w:t xml:space="preserve"> </w:t>
      </w:r>
      <w:r>
        <w:rPr>
          <w:spacing w:val="23"/>
          <w:sz w:val="16"/>
        </w:rPr>
        <w:t>em:</w:t>
      </w:r>
      <w:r>
        <w:rPr>
          <w:spacing w:val="-8"/>
          <w:sz w:val="16"/>
        </w:rPr>
        <w:t xml:space="preserve"> </w:t>
      </w:r>
    </w:p>
    <w:p w:rsidR="00D81F69" w:rsidRDefault="00D81F69">
      <w:pPr>
        <w:spacing w:before="56" w:line="312" w:lineRule="auto"/>
        <w:ind w:left="100" w:right="236"/>
        <w:jc w:val="both"/>
        <w:rPr>
          <w:sz w:val="16"/>
        </w:rPr>
      </w:pPr>
      <w:hyperlink r:id="rId133">
        <w:r w:rsidR="00330118">
          <w:rPr>
            <w:sz w:val="16"/>
          </w:rPr>
          <w:t xml:space="preserve">&lt;http://www.apontador.com.br/local/ap/calcoene.html&gt;. </w:t>
        </w:r>
      </w:hyperlink>
      <w:r w:rsidR="00330118">
        <w:rPr>
          <w:sz w:val="16"/>
        </w:rPr>
        <w:t xml:space="preserve">Acesso </w:t>
      </w:r>
      <w:r w:rsidR="00330118">
        <w:rPr>
          <w:spacing w:val="1"/>
          <w:sz w:val="16"/>
        </w:rPr>
        <w:t xml:space="preserve">em: </w:t>
      </w:r>
      <w:r w:rsidR="00330118">
        <w:rPr>
          <w:sz w:val="16"/>
        </w:rPr>
        <w:t>24 nov.</w:t>
      </w:r>
      <w:r w:rsidR="00330118">
        <w:rPr>
          <w:spacing w:val="-16"/>
          <w:sz w:val="16"/>
        </w:rPr>
        <w:t xml:space="preserve"> </w:t>
      </w:r>
      <w:r w:rsidR="00330118">
        <w:rPr>
          <w:sz w:val="16"/>
        </w:rPr>
        <w:t>2010.</w:t>
      </w:r>
    </w:p>
    <w:p w:rsidR="00D81F69" w:rsidRDefault="00330118">
      <w:pPr>
        <w:spacing w:before="1" w:line="312" w:lineRule="auto"/>
        <w:ind w:left="100" w:right="235"/>
        <w:jc w:val="both"/>
        <w:rPr>
          <w:sz w:val="16"/>
        </w:rPr>
      </w:pPr>
      <w:r>
        <w:rPr>
          <w:sz w:val="16"/>
        </w:rPr>
        <w:t>CAPIBERIBE, Luciana. Pesquisa detecta crise em garimpo do Amapá. In:  Notícias Daqui –  Blog de  Luciana Capiberibe,  31  mar.</w:t>
      </w:r>
    </w:p>
    <w:p w:rsidR="00D81F69" w:rsidRDefault="00330118">
      <w:pPr>
        <w:tabs>
          <w:tab w:val="left" w:pos="1785"/>
          <w:tab w:val="left" w:pos="4548"/>
        </w:tabs>
        <w:spacing w:before="2"/>
        <w:ind w:left="100"/>
        <w:jc w:val="both"/>
        <w:rPr>
          <w:sz w:val="16"/>
        </w:rPr>
      </w:pPr>
      <w:r>
        <w:rPr>
          <w:sz w:val="16"/>
        </w:rPr>
        <w:t xml:space="preserve">2   0   0  </w:t>
      </w:r>
      <w:r>
        <w:rPr>
          <w:spacing w:val="35"/>
          <w:sz w:val="16"/>
        </w:rPr>
        <w:t xml:space="preserve"> </w:t>
      </w:r>
      <w:r>
        <w:rPr>
          <w:sz w:val="16"/>
        </w:rPr>
        <w:t xml:space="preserve">9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51"/>
        <w:jc w:val="both"/>
        <w:rPr>
          <w:sz w:val="16"/>
        </w:rPr>
      </w:pPr>
      <w:hyperlink r:id="rId134">
        <w:r w:rsidR="00330118">
          <w:rPr>
            <w:sz w:val="16"/>
          </w:rPr>
          <w:t>&lt;http://www.lucianacapiberibe.com/2009/03/31/pesquisa-detecta-</w:t>
        </w:r>
      </w:hyperlink>
      <w:r w:rsidR="00330118">
        <w:rPr>
          <w:sz w:val="16"/>
        </w:rPr>
        <w:t xml:space="preserve"> crise-em-garimpo-do-amapa/&gt;. Acesso em: 24 nov. 2010.</w:t>
      </w:r>
    </w:p>
    <w:p w:rsidR="00D81F69" w:rsidRDefault="00330118">
      <w:pPr>
        <w:spacing w:before="2" w:line="312" w:lineRule="auto"/>
        <w:ind w:left="100" w:right="229"/>
        <w:jc w:val="both"/>
        <w:rPr>
          <w:sz w:val="16"/>
        </w:rPr>
      </w:pPr>
      <w:r>
        <w:rPr>
          <w:sz w:val="16"/>
        </w:rPr>
        <w:t>DIÁRIO DO AMAPÁ. Garimpeiros do Lourenço acusam a Coogal de em</w:t>
      </w:r>
      <w:r>
        <w:rPr>
          <w:sz w:val="16"/>
        </w:rPr>
        <w:t>purrá-los para a morte. In: Amazônia.org. Disponível em:</w:t>
      </w:r>
    </w:p>
    <w:p w:rsidR="00D81F69" w:rsidRDefault="00D81F69">
      <w:pPr>
        <w:spacing w:before="1" w:line="312" w:lineRule="auto"/>
        <w:ind w:left="100" w:right="255"/>
        <w:jc w:val="both"/>
        <w:rPr>
          <w:sz w:val="16"/>
        </w:rPr>
      </w:pPr>
      <w:hyperlink r:id="rId135">
        <w:r w:rsidR="00330118">
          <w:rPr>
            <w:sz w:val="16"/>
          </w:rPr>
          <w:t xml:space="preserve">&lt;http://www.amazonia.org.br/noticias/print.cfm?id=263750&gt;. </w:t>
        </w:r>
      </w:hyperlink>
      <w:r w:rsidR="00330118">
        <w:rPr>
          <w:sz w:val="16"/>
        </w:rPr>
        <w:t>Acesso em: 24 nov. 2010.</w:t>
      </w:r>
    </w:p>
    <w:p w:rsidR="00D81F69" w:rsidRDefault="00330118">
      <w:pPr>
        <w:spacing w:before="2" w:line="312" w:lineRule="auto"/>
        <w:ind w:left="100" w:right="181"/>
        <w:jc w:val="both"/>
        <w:rPr>
          <w:sz w:val="16"/>
        </w:rPr>
      </w:pPr>
      <w:r>
        <w:rPr>
          <w:sz w:val="16"/>
        </w:rPr>
        <w:t>DOU, Diário Oficial da União; DNPM/AP. Coo</w:t>
      </w:r>
      <w:r>
        <w:rPr>
          <w:sz w:val="16"/>
        </w:rPr>
        <w:t xml:space="preserve">perativa de garimpeiros de Lourenço: Rombo de mais de 6 milhões inviabiliza reabertura da   </w:t>
      </w:r>
      <w:r>
        <w:rPr>
          <w:spacing w:val="10"/>
          <w:sz w:val="16"/>
        </w:rPr>
        <w:t xml:space="preserve">m i n a </w:t>
      </w:r>
      <w:r>
        <w:rPr>
          <w:sz w:val="16"/>
        </w:rPr>
        <w:t xml:space="preserve">, </w:t>
      </w:r>
      <w:r>
        <w:rPr>
          <w:spacing w:val="10"/>
          <w:sz w:val="16"/>
        </w:rPr>
        <w:t xml:space="preserve">2 </w:t>
      </w:r>
      <w:r>
        <w:rPr>
          <w:sz w:val="16"/>
        </w:rPr>
        <w:t xml:space="preserve">3 </w:t>
      </w:r>
      <w:r>
        <w:rPr>
          <w:spacing w:val="10"/>
          <w:sz w:val="16"/>
        </w:rPr>
        <w:t xml:space="preserve">s e t </w:t>
      </w:r>
      <w:r>
        <w:rPr>
          <w:sz w:val="16"/>
        </w:rPr>
        <w:t xml:space="preserve">, </w:t>
      </w:r>
      <w:r>
        <w:rPr>
          <w:spacing w:val="10"/>
          <w:sz w:val="16"/>
        </w:rPr>
        <w:t xml:space="preserve">2 0 0 9 </w:t>
      </w:r>
      <w:r>
        <w:rPr>
          <w:sz w:val="16"/>
        </w:rPr>
        <w:t xml:space="preserve">. </w:t>
      </w:r>
      <w:r>
        <w:rPr>
          <w:spacing w:val="10"/>
          <w:sz w:val="16"/>
        </w:rPr>
        <w:t xml:space="preserve">D i s p o n í v e </w:t>
      </w:r>
      <w:r>
        <w:rPr>
          <w:sz w:val="16"/>
        </w:rPr>
        <w:t>l</w:t>
      </w:r>
      <w:r>
        <w:rPr>
          <w:spacing w:val="27"/>
          <w:sz w:val="16"/>
        </w:rPr>
        <w:t xml:space="preserve"> </w:t>
      </w:r>
      <w:r>
        <w:rPr>
          <w:spacing w:val="10"/>
          <w:sz w:val="16"/>
        </w:rPr>
        <w:t xml:space="preserve">e m </w:t>
      </w:r>
      <w:r>
        <w:rPr>
          <w:sz w:val="16"/>
        </w:rPr>
        <w:t>:</w:t>
      </w:r>
      <w:r>
        <w:rPr>
          <w:spacing w:val="10"/>
          <w:sz w:val="16"/>
        </w:rPr>
        <w:t xml:space="preserve"> </w:t>
      </w:r>
    </w:p>
    <w:p w:rsidR="00D81F69" w:rsidRDefault="00D81F69">
      <w:pPr>
        <w:spacing w:before="2" w:line="312" w:lineRule="auto"/>
        <w:ind w:left="100" w:right="252"/>
        <w:jc w:val="both"/>
        <w:rPr>
          <w:sz w:val="16"/>
        </w:rPr>
      </w:pPr>
      <w:hyperlink r:id="rId136">
        <w:r w:rsidR="00330118">
          <w:rPr>
            <w:sz w:val="16"/>
          </w:rPr>
          <w:t>&lt;http://amapanocongresso.bl</w:t>
        </w:r>
        <w:r w:rsidR="00330118">
          <w:rPr>
            <w:sz w:val="16"/>
          </w:rPr>
          <w:t>ogspot.com/2009/09/cooperativa-de-</w:t>
        </w:r>
      </w:hyperlink>
      <w:r w:rsidR="00330118">
        <w:rPr>
          <w:sz w:val="16"/>
        </w:rPr>
        <w:t xml:space="preserve"> garimpeiros-de-lourenco.html&gt;. Acesso em: 25 nov. 2010.</w:t>
      </w:r>
    </w:p>
    <w:p w:rsidR="00D81F69" w:rsidRDefault="00330118">
      <w:pPr>
        <w:spacing w:before="2" w:line="312" w:lineRule="auto"/>
        <w:ind w:left="100" w:right="186"/>
        <w:jc w:val="both"/>
        <w:rPr>
          <w:sz w:val="16"/>
        </w:rPr>
      </w:pPr>
      <w:r>
        <w:rPr>
          <w:sz w:val="16"/>
        </w:rPr>
        <w:t xml:space="preserve">IBGE, Instituto  Brasileiro  de  Geografia  e  Estatística.  Calçoene.  </w:t>
      </w:r>
      <w:r>
        <w:rPr>
          <w:spacing w:val="1"/>
          <w:sz w:val="16"/>
        </w:rPr>
        <w:t xml:space="preserve">In: </w:t>
      </w:r>
      <w:r>
        <w:rPr>
          <w:spacing w:val="10"/>
          <w:sz w:val="16"/>
        </w:rPr>
        <w:t xml:space="preserve">I B G </w:t>
      </w:r>
      <w:r>
        <w:rPr>
          <w:sz w:val="16"/>
        </w:rPr>
        <w:t xml:space="preserve">E </w:t>
      </w:r>
      <w:r>
        <w:rPr>
          <w:spacing w:val="10"/>
          <w:sz w:val="16"/>
        </w:rPr>
        <w:t xml:space="preserve">C i d a d e s </w:t>
      </w:r>
      <w:r>
        <w:rPr>
          <w:sz w:val="16"/>
        </w:rPr>
        <w:t xml:space="preserve">, </w:t>
      </w:r>
      <w:r>
        <w:rPr>
          <w:spacing w:val="10"/>
          <w:sz w:val="16"/>
        </w:rPr>
        <w:t xml:space="preserve">2 0 0 9 </w:t>
      </w:r>
      <w:r>
        <w:rPr>
          <w:sz w:val="16"/>
        </w:rPr>
        <w:t xml:space="preserve">. </w:t>
      </w:r>
      <w:r>
        <w:rPr>
          <w:spacing w:val="10"/>
          <w:sz w:val="16"/>
        </w:rPr>
        <w:t xml:space="preserve">D i s p o n í v e </w:t>
      </w:r>
      <w:r>
        <w:rPr>
          <w:sz w:val="16"/>
        </w:rPr>
        <w:t>l</w:t>
      </w:r>
      <w:r>
        <w:rPr>
          <w:spacing w:val="20"/>
          <w:sz w:val="16"/>
        </w:rPr>
        <w:t xml:space="preserve"> </w:t>
      </w:r>
      <w:r>
        <w:rPr>
          <w:spacing w:val="10"/>
          <w:sz w:val="16"/>
        </w:rPr>
        <w:t xml:space="preserve">e m </w:t>
      </w:r>
      <w:r>
        <w:rPr>
          <w:sz w:val="16"/>
        </w:rPr>
        <w:t>:</w:t>
      </w:r>
      <w:r>
        <w:rPr>
          <w:spacing w:val="10"/>
          <w:sz w:val="16"/>
        </w:rPr>
        <w:t xml:space="preserve"> </w:t>
      </w:r>
    </w:p>
    <w:p w:rsidR="00D81F69" w:rsidRDefault="00D81F69">
      <w:pPr>
        <w:spacing w:before="2" w:line="312" w:lineRule="auto"/>
        <w:ind w:left="100" w:right="238"/>
        <w:jc w:val="both"/>
        <w:rPr>
          <w:sz w:val="16"/>
        </w:rPr>
      </w:pPr>
      <w:hyperlink r:id="rId137">
        <w:r w:rsidR="00330118">
          <w:rPr>
            <w:sz w:val="16"/>
          </w:rPr>
          <w:t xml:space="preserve">&lt;www.ibge.gov.br/cidadesat/topwindow.htm?1&gt;. </w:t>
        </w:r>
      </w:hyperlink>
      <w:r w:rsidR="00330118">
        <w:rPr>
          <w:sz w:val="16"/>
        </w:rPr>
        <w:t>Acesso em: 25 nov. 2010.</w:t>
      </w:r>
    </w:p>
    <w:p w:rsidR="00D81F69" w:rsidRDefault="00330118">
      <w:pPr>
        <w:spacing w:before="1" w:line="312" w:lineRule="auto"/>
        <w:ind w:left="100" w:right="208"/>
        <w:jc w:val="both"/>
        <w:rPr>
          <w:sz w:val="16"/>
        </w:rPr>
      </w:pPr>
      <w:r>
        <w:rPr>
          <w:sz w:val="16"/>
        </w:rPr>
        <w:t xml:space="preserve">GONÇALVES, Paulo César da Silva. Diagnóstico geoambiental do </w:t>
      </w:r>
      <w:r>
        <w:rPr>
          <w:spacing w:val="6"/>
          <w:sz w:val="16"/>
        </w:rPr>
        <w:t xml:space="preserve">município </w:t>
      </w:r>
      <w:r>
        <w:rPr>
          <w:spacing w:val="3"/>
          <w:sz w:val="16"/>
        </w:rPr>
        <w:t xml:space="preserve">de </w:t>
      </w:r>
      <w:r>
        <w:rPr>
          <w:spacing w:val="5"/>
          <w:sz w:val="16"/>
        </w:rPr>
        <w:t xml:space="preserve">Pedra Branca </w:t>
      </w:r>
      <w:r>
        <w:rPr>
          <w:spacing w:val="3"/>
          <w:sz w:val="16"/>
        </w:rPr>
        <w:t xml:space="preserve">do </w:t>
      </w:r>
      <w:r>
        <w:rPr>
          <w:spacing w:val="6"/>
          <w:sz w:val="16"/>
        </w:rPr>
        <w:t xml:space="preserve">Amapari, </w:t>
      </w:r>
      <w:r>
        <w:rPr>
          <w:spacing w:val="5"/>
          <w:sz w:val="16"/>
        </w:rPr>
        <w:t xml:space="preserve">Amapá, 2009. </w:t>
      </w:r>
      <w:r>
        <w:rPr>
          <w:spacing w:val="7"/>
          <w:sz w:val="16"/>
        </w:rPr>
        <w:t xml:space="preserve">115f. </w:t>
      </w:r>
      <w:r>
        <w:rPr>
          <w:spacing w:val="3"/>
          <w:sz w:val="16"/>
        </w:rPr>
        <w:t>Diss</w:t>
      </w:r>
      <w:r>
        <w:rPr>
          <w:spacing w:val="3"/>
          <w:sz w:val="16"/>
        </w:rPr>
        <w:t xml:space="preserve">ertação (Mestrado </w:t>
      </w:r>
      <w:r>
        <w:rPr>
          <w:spacing w:val="1"/>
          <w:sz w:val="16"/>
        </w:rPr>
        <w:t xml:space="preserve">em </w:t>
      </w:r>
      <w:r>
        <w:rPr>
          <w:spacing w:val="3"/>
          <w:sz w:val="16"/>
        </w:rPr>
        <w:t xml:space="preserve">Biodiversidade Tropical) </w:t>
      </w:r>
      <w:r>
        <w:rPr>
          <w:sz w:val="16"/>
        </w:rPr>
        <w:t xml:space="preserve">- </w:t>
      </w:r>
      <w:r>
        <w:rPr>
          <w:spacing w:val="5"/>
          <w:sz w:val="16"/>
        </w:rPr>
        <w:t xml:space="preserve">Fundação </w:t>
      </w:r>
      <w:r>
        <w:rPr>
          <w:spacing w:val="22"/>
          <w:sz w:val="16"/>
        </w:rPr>
        <w:t xml:space="preserve">Universidade </w:t>
      </w:r>
      <w:r>
        <w:rPr>
          <w:spacing w:val="21"/>
          <w:sz w:val="16"/>
        </w:rPr>
        <w:t xml:space="preserve">Federal </w:t>
      </w:r>
      <w:r>
        <w:rPr>
          <w:spacing w:val="12"/>
          <w:sz w:val="16"/>
        </w:rPr>
        <w:t xml:space="preserve">do </w:t>
      </w:r>
      <w:r>
        <w:rPr>
          <w:spacing w:val="20"/>
          <w:sz w:val="16"/>
        </w:rPr>
        <w:t>Amapá.</w:t>
      </w:r>
      <w:r>
        <w:rPr>
          <w:spacing w:val="85"/>
          <w:sz w:val="16"/>
        </w:rPr>
        <w:t xml:space="preserve"> </w:t>
      </w:r>
      <w:r>
        <w:rPr>
          <w:spacing w:val="22"/>
          <w:sz w:val="16"/>
        </w:rPr>
        <w:t>Disponível</w:t>
      </w:r>
      <w:r>
        <w:rPr>
          <w:spacing w:val="80"/>
          <w:sz w:val="16"/>
        </w:rPr>
        <w:t xml:space="preserve"> </w:t>
      </w:r>
      <w:r>
        <w:rPr>
          <w:spacing w:val="16"/>
          <w:sz w:val="16"/>
        </w:rPr>
        <w:t>em:</w:t>
      </w:r>
      <w:r>
        <w:rPr>
          <w:spacing w:val="-17"/>
          <w:sz w:val="16"/>
        </w:rPr>
        <w:t xml:space="preserve"> </w:t>
      </w:r>
    </w:p>
    <w:p w:rsidR="00D81F69" w:rsidRDefault="00D81F69">
      <w:pPr>
        <w:spacing w:before="4" w:line="312" w:lineRule="auto"/>
        <w:ind w:left="100" w:right="241"/>
        <w:jc w:val="both"/>
        <w:rPr>
          <w:sz w:val="16"/>
        </w:rPr>
      </w:pPr>
      <w:hyperlink r:id="rId138">
        <w:r w:rsidR="00330118">
          <w:rPr>
            <w:sz w:val="16"/>
          </w:rPr>
          <w:t>&lt;http://dominiopublico.qprocura.com.br/dp/109417/Diagnostico-</w:t>
        </w:r>
      </w:hyperlink>
      <w:r w:rsidR="00330118">
        <w:rPr>
          <w:sz w:val="16"/>
        </w:rPr>
        <w:t xml:space="preserve"> geoambiental</w:t>
      </w:r>
      <w:r w:rsidR="00330118">
        <w:rPr>
          <w:sz w:val="16"/>
        </w:rPr>
        <w:t xml:space="preserve">-do-municipio-de-Pedra-Branca-do-Amapari-- Amapa.html&gt;. Acesso em: 24 nov. 2010. </w:t>
      </w:r>
    </w:p>
    <w:p w:rsidR="00D81F69" w:rsidRDefault="00330118">
      <w:pPr>
        <w:spacing w:before="2" w:line="312" w:lineRule="auto"/>
        <w:ind w:left="100" w:right="239"/>
        <w:jc w:val="both"/>
        <w:rPr>
          <w:sz w:val="16"/>
        </w:rPr>
      </w:pPr>
      <w:r>
        <w:rPr>
          <w:sz w:val="16"/>
        </w:rPr>
        <w:t>MONTEIRO, Maurílio de Abreu. Mineração industrial na Amazônia e suas implicações para o desenvolvimento regional. Novos Cadernos NAEA, v. 8, n. 1, p. 141-187, jun. 2005. Disponível em: Disponível em:</w:t>
      </w:r>
    </w:p>
    <w:p w:rsidR="00D81F69" w:rsidRDefault="00D81F69">
      <w:pPr>
        <w:spacing w:before="3" w:line="312" w:lineRule="auto"/>
        <w:ind w:left="100" w:right="238"/>
        <w:jc w:val="both"/>
        <w:rPr>
          <w:sz w:val="16"/>
        </w:rPr>
      </w:pPr>
      <w:hyperlink r:id="rId139">
        <w:r w:rsidR="00330118">
          <w:rPr>
            <w:sz w:val="16"/>
          </w:rPr>
          <w:t xml:space="preserve">&lt;http://www.scielo.br/pdf/ea/v19n53/24088.pdf&gt;. </w:t>
        </w:r>
      </w:hyperlink>
      <w:r w:rsidR="00330118">
        <w:rPr>
          <w:sz w:val="16"/>
        </w:rPr>
        <w:t>Acesso em: 24 nov. 2010.</w:t>
      </w:r>
    </w:p>
    <w:p w:rsidR="00D81F69" w:rsidRDefault="00330118">
      <w:pPr>
        <w:spacing w:before="1" w:line="312" w:lineRule="auto"/>
        <w:ind w:left="100" w:right="219"/>
        <w:jc w:val="both"/>
        <w:rPr>
          <w:sz w:val="16"/>
        </w:rPr>
      </w:pPr>
      <w:r>
        <w:rPr>
          <w:spacing w:val="10"/>
          <w:sz w:val="16"/>
        </w:rPr>
        <w:t xml:space="preserve">MPF-AP, Ministério Público Federal </w:t>
      </w:r>
      <w:r>
        <w:rPr>
          <w:spacing w:val="5"/>
          <w:sz w:val="16"/>
        </w:rPr>
        <w:t xml:space="preserve">do </w:t>
      </w:r>
      <w:r>
        <w:rPr>
          <w:spacing w:val="10"/>
          <w:sz w:val="16"/>
        </w:rPr>
        <w:t xml:space="preserve">Amapá. </w:t>
      </w:r>
      <w:r>
        <w:rPr>
          <w:spacing w:val="8"/>
          <w:sz w:val="16"/>
        </w:rPr>
        <w:t xml:space="preserve">Termo </w:t>
      </w:r>
      <w:r>
        <w:rPr>
          <w:spacing w:val="11"/>
          <w:sz w:val="16"/>
        </w:rPr>
        <w:t xml:space="preserve">de </w:t>
      </w:r>
      <w:r>
        <w:rPr>
          <w:spacing w:val="17"/>
          <w:sz w:val="16"/>
        </w:rPr>
        <w:t xml:space="preserve">Ajustamento </w:t>
      </w:r>
      <w:r>
        <w:rPr>
          <w:spacing w:val="10"/>
          <w:sz w:val="16"/>
        </w:rPr>
        <w:t xml:space="preserve">de </w:t>
      </w:r>
      <w:r>
        <w:rPr>
          <w:spacing w:val="16"/>
          <w:sz w:val="16"/>
        </w:rPr>
        <w:t xml:space="preserve">Conduta </w:t>
      </w:r>
      <w:r>
        <w:rPr>
          <w:spacing w:val="10"/>
          <w:sz w:val="16"/>
        </w:rPr>
        <w:t xml:space="preserve">nº </w:t>
      </w:r>
      <w:r>
        <w:rPr>
          <w:spacing w:val="16"/>
          <w:sz w:val="16"/>
        </w:rPr>
        <w:t xml:space="preserve">03/2009. </w:t>
      </w:r>
      <w:r>
        <w:rPr>
          <w:spacing w:val="17"/>
          <w:sz w:val="16"/>
        </w:rPr>
        <w:t>Disponível</w:t>
      </w:r>
      <w:r>
        <w:rPr>
          <w:spacing w:val="76"/>
          <w:sz w:val="16"/>
        </w:rPr>
        <w:t xml:space="preserve"> </w:t>
      </w:r>
      <w:r>
        <w:rPr>
          <w:spacing w:val="12"/>
          <w:sz w:val="16"/>
        </w:rPr>
        <w:t>em:</w:t>
      </w:r>
      <w:r>
        <w:rPr>
          <w:spacing w:val="-25"/>
          <w:sz w:val="16"/>
        </w:rPr>
        <w:t xml:space="preserve"> </w:t>
      </w:r>
    </w:p>
    <w:p w:rsidR="00D81F69" w:rsidRDefault="00D81F69">
      <w:pPr>
        <w:spacing w:before="2" w:line="312" w:lineRule="auto"/>
        <w:ind w:left="100" w:right="239"/>
        <w:jc w:val="both"/>
        <w:rPr>
          <w:sz w:val="16"/>
        </w:rPr>
      </w:pPr>
      <w:hyperlink r:id="rId140">
        <w:r w:rsidR="00330118">
          <w:rPr>
            <w:sz w:val="16"/>
          </w:rPr>
          <w:t xml:space="preserve">&lt;www.prap.mpf.gov.br/tac/pdf/mpf-ap-tac-2010-001.pdf&gt;. </w:t>
        </w:r>
      </w:hyperlink>
      <w:r w:rsidR="00330118">
        <w:rPr>
          <w:sz w:val="16"/>
        </w:rPr>
        <w:t>Acesso em: 25 nov. 2010.</w:t>
      </w:r>
    </w:p>
    <w:p w:rsidR="00D81F69" w:rsidRDefault="00330118">
      <w:pPr>
        <w:spacing w:before="2" w:line="312" w:lineRule="auto"/>
        <w:ind w:left="100" w:right="254"/>
        <w:jc w:val="both"/>
        <w:rPr>
          <w:sz w:val="16"/>
        </w:rPr>
      </w:pPr>
      <w:r>
        <w:rPr>
          <w:sz w:val="16"/>
        </w:rPr>
        <w:t xml:space="preserve">______. Termo de Ajustamento de Conduta nº 01/2010. Disponível em: </w:t>
      </w:r>
      <w:hyperlink r:id="rId141">
        <w:r>
          <w:rPr>
            <w:sz w:val="16"/>
          </w:rPr>
          <w:t xml:space="preserve">&lt;www.prap.mpf.gov.br/tac/pdf/mpf-ap-tac-2009-003.pdf&gt;. </w:t>
        </w:r>
      </w:hyperlink>
      <w:r>
        <w:rPr>
          <w:sz w:val="16"/>
        </w:rPr>
        <w:t>Acesso</w:t>
      </w:r>
    </w:p>
    <w:p w:rsidR="00D81F69" w:rsidRDefault="00D81F69">
      <w:pPr>
        <w:spacing w:line="312" w:lineRule="auto"/>
        <w:jc w:val="both"/>
        <w:rPr>
          <w:sz w:val="16"/>
        </w:rPr>
        <w:sectPr w:rsidR="00D81F69">
          <w:pgSz w:w="11900" w:h="16840"/>
          <w:pgMar w:top="740" w:right="460" w:bottom="620" w:left="620" w:header="0" w:footer="402" w:gutter="0"/>
          <w:cols w:num="2" w:space="720" w:equalWidth="0">
            <w:col w:w="5160" w:space="310"/>
            <w:col w:w="5350"/>
          </w:cols>
        </w:sectPr>
      </w:pPr>
    </w:p>
    <w:p w:rsidR="00D81F69" w:rsidRDefault="00330118">
      <w:pPr>
        <w:spacing w:before="70"/>
        <w:ind w:left="100"/>
        <w:rPr>
          <w:sz w:val="16"/>
        </w:rPr>
      </w:pPr>
      <w:r>
        <w:rPr>
          <w:sz w:val="16"/>
        </w:rPr>
        <w:lastRenderedPageBreak/>
        <w:t>em: 25 nov. 2010.</w:t>
      </w:r>
    </w:p>
    <w:p w:rsidR="00D81F69" w:rsidRDefault="00330118">
      <w:pPr>
        <w:spacing w:before="56" w:line="312" w:lineRule="auto"/>
        <w:ind w:left="100" w:right="38"/>
        <w:jc w:val="both"/>
        <w:rPr>
          <w:sz w:val="16"/>
        </w:rPr>
      </w:pPr>
      <w:r>
        <w:rPr>
          <w:spacing w:val="3"/>
          <w:sz w:val="16"/>
        </w:rPr>
        <w:t xml:space="preserve">SILVA, </w:t>
      </w:r>
      <w:r>
        <w:rPr>
          <w:spacing w:val="2"/>
          <w:sz w:val="16"/>
        </w:rPr>
        <w:t xml:space="preserve">Eva </w:t>
      </w:r>
      <w:r>
        <w:rPr>
          <w:spacing w:val="1"/>
          <w:sz w:val="16"/>
        </w:rPr>
        <w:t xml:space="preserve">de </w:t>
      </w:r>
      <w:r>
        <w:rPr>
          <w:spacing w:val="3"/>
          <w:sz w:val="16"/>
        </w:rPr>
        <w:t xml:space="preserve">Fátima Grelo </w:t>
      </w:r>
      <w:r>
        <w:rPr>
          <w:spacing w:val="2"/>
          <w:sz w:val="16"/>
        </w:rPr>
        <w:t xml:space="preserve">da. </w:t>
      </w:r>
      <w:r>
        <w:rPr>
          <w:spacing w:val="3"/>
          <w:sz w:val="16"/>
        </w:rPr>
        <w:t xml:space="preserve">Análise </w:t>
      </w:r>
      <w:r>
        <w:rPr>
          <w:spacing w:val="1"/>
          <w:sz w:val="16"/>
        </w:rPr>
        <w:t xml:space="preserve">da </w:t>
      </w:r>
      <w:r>
        <w:rPr>
          <w:spacing w:val="3"/>
          <w:sz w:val="16"/>
        </w:rPr>
        <w:t xml:space="preserve">Implementação </w:t>
      </w:r>
      <w:r>
        <w:rPr>
          <w:spacing w:val="5"/>
          <w:sz w:val="16"/>
        </w:rPr>
        <w:t xml:space="preserve">dos </w:t>
      </w:r>
      <w:r>
        <w:rPr>
          <w:sz w:val="16"/>
        </w:rPr>
        <w:t>Planos de Recuperação de Áreas Degradadas pela</w:t>
      </w:r>
      <w:r>
        <w:rPr>
          <w:sz w:val="16"/>
        </w:rPr>
        <w:t xml:space="preserve"> Mineração em Lourenço (AP). Dissertação de Mestrado. PLADES / NAEA / UFPA.    </w:t>
      </w:r>
      <w:r>
        <w:rPr>
          <w:spacing w:val="15"/>
          <w:sz w:val="16"/>
        </w:rPr>
        <w:t>B</w:t>
      </w:r>
      <w:r>
        <w:rPr>
          <w:sz w:val="16"/>
        </w:rPr>
        <w:t xml:space="preserve"> </w:t>
      </w:r>
      <w:r>
        <w:rPr>
          <w:spacing w:val="15"/>
          <w:sz w:val="16"/>
        </w:rPr>
        <w:t>e</w:t>
      </w:r>
      <w:r>
        <w:rPr>
          <w:sz w:val="16"/>
        </w:rPr>
        <w:t xml:space="preserve"> </w:t>
      </w:r>
      <w:r>
        <w:rPr>
          <w:spacing w:val="15"/>
          <w:sz w:val="16"/>
        </w:rPr>
        <w:t>l</w:t>
      </w:r>
      <w:r>
        <w:rPr>
          <w:sz w:val="16"/>
        </w:rPr>
        <w:t xml:space="preserve"> </w:t>
      </w:r>
      <w:r>
        <w:rPr>
          <w:spacing w:val="15"/>
          <w:sz w:val="16"/>
        </w:rPr>
        <w:t>é</w:t>
      </w:r>
      <w:r>
        <w:rPr>
          <w:sz w:val="16"/>
        </w:rPr>
        <w:t xml:space="preserve"> </w:t>
      </w:r>
      <w:r>
        <w:rPr>
          <w:spacing w:val="15"/>
          <w:sz w:val="16"/>
        </w:rPr>
        <w:t>m</w:t>
      </w:r>
      <w:r>
        <w:rPr>
          <w:sz w:val="16"/>
        </w:rPr>
        <w:t xml:space="preserve"> ,      </w:t>
      </w:r>
      <w:r>
        <w:rPr>
          <w:spacing w:val="10"/>
          <w:sz w:val="16"/>
        </w:rPr>
        <w:t xml:space="preserve"> </w:t>
      </w:r>
      <w:r>
        <w:rPr>
          <w:spacing w:val="15"/>
          <w:sz w:val="16"/>
        </w:rPr>
        <w:t>2</w:t>
      </w:r>
      <w:r>
        <w:rPr>
          <w:sz w:val="16"/>
        </w:rPr>
        <w:t xml:space="preserve"> </w:t>
      </w:r>
      <w:r>
        <w:rPr>
          <w:spacing w:val="15"/>
          <w:sz w:val="16"/>
        </w:rPr>
        <w:t>0</w:t>
      </w:r>
      <w:r>
        <w:rPr>
          <w:sz w:val="16"/>
        </w:rPr>
        <w:t xml:space="preserve"> </w:t>
      </w:r>
      <w:r>
        <w:rPr>
          <w:spacing w:val="15"/>
          <w:sz w:val="16"/>
        </w:rPr>
        <w:t>0</w:t>
      </w:r>
      <w:r>
        <w:rPr>
          <w:sz w:val="16"/>
        </w:rPr>
        <w:t xml:space="preserve"> </w:t>
      </w:r>
      <w:r>
        <w:rPr>
          <w:spacing w:val="15"/>
          <w:sz w:val="16"/>
        </w:rPr>
        <w:t>5</w:t>
      </w:r>
      <w:r>
        <w:rPr>
          <w:sz w:val="16"/>
        </w:rPr>
        <w:t xml:space="preserve"> .      </w:t>
      </w:r>
      <w:r>
        <w:rPr>
          <w:spacing w:val="10"/>
          <w:sz w:val="16"/>
        </w:rPr>
        <w:t xml:space="preserve"> </w:t>
      </w:r>
      <w:r>
        <w:rPr>
          <w:spacing w:val="15"/>
          <w:sz w:val="16"/>
        </w:rPr>
        <w:t>1</w:t>
      </w:r>
      <w:r>
        <w:rPr>
          <w:sz w:val="16"/>
        </w:rPr>
        <w:t xml:space="preserve"> </w:t>
      </w:r>
      <w:r>
        <w:rPr>
          <w:spacing w:val="15"/>
          <w:sz w:val="16"/>
        </w:rPr>
        <w:t>7</w:t>
      </w:r>
      <w:r>
        <w:rPr>
          <w:sz w:val="16"/>
        </w:rPr>
        <w:t xml:space="preserve"> </w:t>
      </w:r>
      <w:r>
        <w:rPr>
          <w:spacing w:val="15"/>
          <w:sz w:val="16"/>
        </w:rPr>
        <w:t>5</w:t>
      </w:r>
      <w:r>
        <w:rPr>
          <w:sz w:val="16"/>
        </w:rPr>
        <w:t xml:space="preserve"> </w:t>
      </w:r>
      <w:r>
        <w:rPr>
          <w:spacing w:val="15"/>
          <w:sz w:val="16"/>
        </w:rPr>
        <w:t>f</w:t>
      </w:r>
      <w:r>
        <w:rPr>
          <w:sz w:val="16"/>
        </w:rPr>
        <w:t xml:space="preserve"> .      </w:t>
      </w:r>
      <w:r>
        <w:rPr>
          <w:spacing w:val="10"/>
          <w:sz w:val="16"/>
        </w:rPr>
        <w:t xml:space="preserve"> </w:t>
      </w:r>
      <w:r>
        <w:rPr>
          <w:spacing w:val="15"/>
          <w:sz w:val="16"/>
        </w:rPr>
        <w:t>D</w:t>
      </w:r>
      <w:r>
        <w:rPr>
          <w:sz w:val="16"/>
        </w:rPr>
        <w:t xml:space="preserve"> </w:t>
      </w:r>
      <w:r>
        <w:rPr>
          <w:spacing w:val="15"/>
          <w:sz w:val="16"/>
        </w:rPr>
        <w:t>i</w:t>
      </w:r>
      <w:r>
        <w:rPr>
          <w:sz w:val="16"/>
        </w:rPr>
        <w:t xml:space="preserve"> </w:t>
      </w:r>
      <w:r>
        <w:rPr>
          <w:spacing w:val="15"/>
          <w:sz w:val="16"/>
        </w:rPr>
        <w:t>s</w:t>
      </w:r>
      <w:r>
        <w:rPr>
          <w:sz w:val="16"/>
        </w:rPr>
        <w:t xml:space="preserve"> </w:t>
      </w:r>
      <w:r>
        <w:rPr>
          <w:spacing w:val="15"/>
          <w:sz w:val="16"/>
        </w:rPr>
        <w:t>p</w:t>
      </w:r>
      <w:r>
        <w:rPr>
          <w:sz w:val="16"/>
        </w:rPr>
        <w:t xml:space="preserve"> </w:t>
      </w:r>
      <w:r>
        <w:rPr>
          <w:spacing w:val="15"/>
          <w:sz w:val="16"/>
        </w:rPr>
        <w:t>o</w:t>
      </w:r>
      <w:r>
        <w:rPr>
          <w:sz w:val="16"/>
        </w:rPr>
        <w:t xml:space="preserve"> </w:t>
      </w:r>
      <w:r>
        <w:rPr>
          <w:spacing w:val="15"/>
          <w:sz w:val="16"/>
        </w:rPr>
        <w:t>n</w:t>
      </w:r>
      <w:r>
        <w:rPr>
          <w:sz w:val="16"/>
        </w:rPr>
        <w:t xml:space="preserve"> </w:t>
      </w:r>
      <w:r>
        <w:rPr>
          <w:spacing w:val="15"/>
          <w:sz w:val="16"/>
        </w:rPr>
        <w:t>í</w:t>
      </w:r>
      <w:r>
        <w:rPr>
          <w:sz w:val="16"/>
        </w:rPr>
        <w:t xml:space="preserve"> </w:t>
      </w:r>
      <w:r>
        <w:rPr>
          <w:spacing w:val="15"/>
          <w:sz w:val="16"/>
        </w:rPr>
        <w:t>v</w:t>
      </w:r>
      <w:r>
        <w:rPr>
          <w:sz w:val="16"/>
        </w:rPr>
        <w:t xml:space="preserve"> </w:t>
      </w:r>
      <w:r>
        <w:rPr>
          <w:spacing w:val="15"/>
          <w:sz w:val="16"/>
        </w:rPr>
        <w:t>e</w:t>
      </w:r>
      <w:r>
        <w:rPr>
          <w:sz w:val="16"/>
        </w:rPr>
        <w:t xml:space="preserve"> l      </w:t>
      </w:r>
      <w:r>
        <w:rPr>
          <w:spacing w:val="10"/>
          <w:sz w:val="16"/>
        </w:rPr>
        <w:t xml:space="preserve"> </w:t>
      </w:r>
      <w:r>
        <w:rPr>
          <w:spacing w:val="15"/>
          <w:sz w:val="16"/>
        </w:rPr>
        <w:t>e</w:t>
      </w:r>
      <w:r>
        <w:rPr>
          <w:sz w:val="16"/>
        </w:rPr>
        <w:t xml:space="preserve"> </w:t>
      </w:r>
      <w:r>
        <w:rPr>
          <w:spacing w:val="15"/>
          <w:sz w:val="16"/>
        </w:rPr>
        <w:t>m</w:t>
      </w:r>
      <w:r>
        <w:rPr>
          <w:sz w:val="16"/>
        </w:rPr>
        <w:t xml:space="preserve"> :</w:t>
      </w:r>
      <w:r>
        <w:rPr>
          <w:spacing w:val="15"/>
          <w:sz w:val="16"/>
        </w:rPr>
        <w:t xml:space="preserve"> </w:t>
      </w:r>
    </w:p>
    <w:p w:rsidR="00D81F69" w:rsidRDefault="00D81F69">
      <w:pPr>
        <w:spacing w:before="3"/>
        <w:ind w:left="100"/>
        <w:rPr>
          <w:sz w:val="16"/>
        </w:rPr>
      </w:pPr>
      <w:hyperlink r:id="rId142">
        <w:r w:rsidR="00330118">
          <w:rPr>
            <w:sz w:val="16"/>
          </w:rPr>
          <w:t>&lt;http://www3.ufpa.</w:t>
        </w:r>
        <w:r w:rsidR="00330118">
          <w:rPr>
            <w:sz w:val="16"/>
          </w:rPr>
          <w:t>br/projetomineracao/docs/territ/Arq%2044-</w:t>
        </w:r>
      </w:hyperlink>
    </w:p>
    <w:p w:rsidR="00D81F69" w:rsidRDefault="00330118">
      <w:pPr>
        <w:spacing w:before="56" w:line="312" w:lineRule="auto"/>
        <w:ind w:left="100" w:right="87"/>
        <w:jc w:val="both"/>
        <w:rPr>
          <w:sz w:val="16"/>
        </w:rPr>
      </w:pPr>
      <w:r>
        <w:rPr>
          <w:sz w:val="16"/>
        </w:rPr>
        <w:t>%20analise%20dissertacao_Eva.pdf&gt;. Acesso em: 24 nov. 2010. SILVA, Edy Wilson. Seicom aponta medidas para resolver problemas no Lourenço. Governo do Estado do Amapá, 26 mar. 2009. Disponível em:</w:t>
      </w:r>
    </w:p>
    <w:p w:rsidR="00D81F69" w:rsidRDefault="00330118">
      <w:pPr>
        <w:spacing w:before="70" w:line="312" w:lineRule="auto"/>
        <w:ind w:left="100" w:right="256"/>
        <w:jc w:val="both"/>
        <w:rPr>
          <w:sz w:val="16"/>
        </w:rPr>
      </w:pPr>
      <w:r>
        <w:br w:type="column"/>
      </w:r>
      <w:hyperlink r:id="rId143">
        <w:r>
          <w:rPr>
            <w:sz w:val="16"/>
          </w:rPr>
          <w:t>&lt;http://www4.ap.gov.br/jsp/noticias/news.jsp?ref=7326&amp;dtDay=2009-</w:t>
        </w:r>
      </w:hyperlink>
      <w:r>
        <w:rPr>
          <w:sz w:val="16"/>
        </w:rPr>
        <w:t xml:space="preserve"> 03-26&gt;. Acesso em: 24 nov. 2010.</w:t>
      </w:r>
    </w:p>
    <w:p w:rsidR="00D81F69" w:rsidRDefault="00330118">
      <w:pPr>
        <w:spacing w:before="1" w:line="312" w:lineRule="auto"/>
        <w:ind w:left="100" w:right="201"/>
        <w:jc w:val="both"/>
        <w:rPr>
          <w:sz w:val="16"/>
        </w:rPr>
      </w:pPr>
      <w:r>
        <w:rPr>
          <w:sz w:val="16"/>
        </w:rPr>
        <w:t xml:space="preserve">SIMÕES, Helena Cristina Guimarães Queiroz. A história e os efeitos </w:t>
      </w:r>
      <w:r>
        <w:rPr>
          <w:spacing w:val="5"/>
          <w:sz w:val="16"/>
        </w:rPr>
        <w:t xml:space="preserve">sociais </w:t>
      </w:r>
      <w:r>
        <w:rPr>
          <w:spacing w:val="3"/>
          <w:sz w:val="16"/>
        </w:rPr>
        <w:t xml:space="preserve">da </w:t>
      </w:r>
      <w:r>
        <w:rPr>
          <w:spacing w:val="6"/>
          <w:sz w:val="16"/>
        </w:rPr>
        <w:t xml:space="preserve">mineração </w:t>
      </w:r>
      <w:r>
        <w:rPr>
          <w:spacing w:val="3"/>
          <w:sz w:val="16"/>
        </w:rPr>
        <w:t xml:space="preserve">no </w:t>
      </w:r>
      <w:r>
        <w:rPr>
          <w:spacing w:val="5"/>
          <w:sz w:val="16"/>
        </w:rPr>
        <w:t xml:space="preserve">estado </w:t>
      </w:r>
      <w:r>
        <w:rPr>
          <w:spacing w:val="3"/>
          <w:sz w:val="16"/>
        </w:rPr>
        <w:t xml:space="preserve">do </w:t>
      </w:r>
      <w:r>
        <w:rPr>
          <w:spacing w:val="5"/>
          <w:sz w:val="16"/>
        </w:rPr>
        <w:t xml:space="preserve">Amapá, PRACS: </w:t>
      </w:r>
      <w:r>
        <w:rPr>
          <w:spacing w:val="7"/>
          <w:sz w:val="16"/>
        </w:rPr>
        <w:t xml:space="preserve">Revista </w:t>
      </w:r>
      <w:r>
        <w:rPr>
          <w:spacing w:val="5"/>
          <w:sz w:val="16"/>
        </w:rPr>
        <w:t xml:space="preserve">Eletrônica </w:t>
      </w:r>
      <w:r>
        <w:rPr>
          <w:spacing w:val="2"/>
          <w:sz w:val="16"/>
        </w:rPr>
        <w:t xml:space="preserve">de </w:t>
      </w:r>
      <w:r>
        <w:rPr>
          <w:spacing w:val="5"/>
          <w:sz w:val="16"/>
        </w:rPr>
        <w:t xml:space="preserve">Humanidades </w:t>
      </w:r>
      <w:r>
        <w:rPr>
          <w:spacing w:val="2"/>
          <w:sz w:val="16"/>
        </w:rPr>
        <w:t xml:space="preserve">do </w:t>
      </w:r>
      <w:r>
        <w:rPr>
          <w:spacing w:val="5"/>
          <w:sz w:val="16"/>
        </w:rPr>
        <w:t xml:space="preserve">Curso </w:t>
      </w:r>
      <w:r>
        <w:rPr>
          <w:spacing w:val="2"/>
          <w:sz w:val="16"/>
        </w:rPr>
        <w:t xml:space="preserve">de </w:t>
      </w:r>
      <w:r>
        <w:rPr>
          <w:spacing w:val="5"/>
          <w:sz w:val="16"/>
        </w:rPr>
        <w:t xml:space="preserve">Ciências Sociais </w:t>
      </w:r>
      <w:r>
        <w:rPr>
          <w:spacing w:val="6"/>
          <w:sz w:val="16"/>
        </w:rPr>
        <w:t xml:space="preserve">da </w:t>
      </w:r>
      <w:r>
        <w:rPr>
          <w:spacing w:val="33"/>
          <w:sz w:val="16"/>
        </w:rPr>
        <w:t xml:space="preserve">UNIFAP, </w:t>
      </w:r>
      <w:r>
        <w:rPr>
          <w:spacing w:val="20"/>
          <w:sz w:val="16"/>
        </w:rPr>
        <w:t xml:space="preserve">nº 2, </w:t>
      </w:r>
      <w:r>
        <w:rPr>
          <w:spacing w:val="30"/>
          <w:sz w:val="16"/>
        </w:rPr>
        <w:t xml:space="preserve">dez. 2009 </w:t>
      </w:r>
      <w:r>
        <w:rPr>
          <w:spacing w:val="35"/>
          <w:sz w:val="16"/>
        </w:rPr>
        <w:t xml:space="preserve">Disponível </w:t>
      </w:r>
      <w:r>
        <w:rPr>
          <w:spacing w:val="25"/>
          <w:sz w:val="16"/>
        </w:rPr>
        <w:t>em:</w:t>
      </w:r>
      <w:r>
        <w:rPr>
          <w:spacing w:val="-4"/>
          <w:sz w:val="16"/>
        </w:rPr>
        <w:t xml:space="preserve"> </w:t>
      </w:r>
    </w:p>
    <w:p w:rsidR="00D81F69" w:rsidRDefault="00D81F69">
      <w:pPr>
        <w:spacing w:before="4" w:line="312" w:lineRule="auto"/>
        <w:ind w:left="100" w:right="237"/>
        <w:jc w:val="both"/>
        <w:rPr>
          <w:sz w:val="16"/>
        </w:rPr>
      </w:pPr>
      <w:hyperlink r:id="rId144">
        <w:r w:rsidR="00330118">
          <w:rPr>
            <w:sz w:val="16"/>
          </w:rPr>
          <w:t>&lt;http://periodicos</w:t>
        </w:r>
        <w:r w:rsidR="00330118">
          <w:rPr>
            <w:sz w:val="16"/>
          </w:rPr>
          <w:t>.unifap.br/index.php/pracs/article/download/32/55&gt;.</w:t>
        </w:r>
      </w:hyperlink>
      <w:r w:rsidR="00330118">
        <w:rPr>
          <w:sz w:val="16"/>
        </w:rPr>
        <w:t xml:space="preserve"> Acesso em: 06 nov. 2010.</w:t>
      </w:r>
    </w:p>
    <w:p w:rsidR="00D81F69" w:rsidRDefault="00D81F69">
      <w:pPr>
        <w:spacing w:line="312" w:lineRule="auto"/>
        <w:jc w:val="both"/>
        <w:rPr>
          <w:sz w:val="16"/>
        </w:rPr>
        <w:sectPr w:rsidR="00D81F69">
          <w:pgSz w:w="11900" w:h="16840"/>
          <w:pgMar w:top="740" w:right="460" w:bottom="720" w:left="620" w:header="0" w:footer="402" w:gutter="0"/>
          <w:cols w:num="2" w:space="720" w:equalWidth="0">
            <w:col w:w="5210" w:space="260"/>
            <w:col w:w="5350"/>
          </w:cols>
        </w:sectPr>
      </w:pPr>
    </w:p>
    <w:p w:rsidR="00D81F69" w:rsidRDefault="00330118">
      <w:pPr>
        <w:pStyle w:val="Heading1"/>
        <w:spacing w:before="65"/>
        <w:ind w:right="0"/>
      </w:pPr>
      <w:bookmarkStart w:id="19" w:name="_TOC_250014"/>
      <w:bookmarkEnd w:id="19"/>
      <w:r>
        <w:lastRenderedPageBreak/>
        <w:t>Extração de ouro gera disputas em Porto Grande (AP)</w:t>
      </w:r>
    </w:p>
    <w:p w:rsidR="00D81F69" w:rsidRDefault="00D81F69">
      <w:pPr>
        <w:pStyle w:val="Corpodetexto"/>
        <w:ind w:left="0"/>
        <w:jc w:val="left"/>
        <w:rPr>
          <w:b/>
          <w:sz w:val="20"/>
        </w:rPr>
      </w:pPr>
    </w:p>
    <w:p w:rsidR="00D81F69" w:rsidRDefault="00D81F69">
      <w:pPr>
        <w:rPr>
          <w:sz w:val="20"/>
        </w:rPr>
        <w:sectPr w:rsidR="00D81F69">
          <w:pgSz w:w="11900" w:h="16840"/>
          <w:pgMar w:top="1080" w:right="460" w:bottom="620" w:left="620" w:header="0" w:footer="402" w:gutter="0"/>
          <w:cols w:space="720"/>
        </w:sectPr>
      </w:pPr>
    </w:p>
    <w:p w:rsidR="00D81F69" w:rsidRDefault="00D81F69">
      <w:pPr>
        <w:pStyle w:val="Corpodetexto"/>
        <w:ind w:left="0"/>
        <w:jc w:val="left"/>
        <w:rPr>
          <w:b/>
          <w:sz w:val="16"/>
        </w:rPr>
      </w:pPr>
    </w:p>
    <w:p w:rsidR="00D81F69" w:rsidRDefault="00D81F69">
      <w:pPr>
        <w:pStyle w:val="Corpodetexto"/>
        <w:spacing w:before="5"/>
        <w:ind w:left="0"/>
        <w:jc w:val="left"/>
        <w:rPr>
          <w:b/>
          <w:sz w:val="23"/>
        </w:rPr>
      </w:pPr>
    </w:p>
    <w:p w:rsidR="00D81F69" w:rsidRDefault="00330118">
      <w:pPr>
        <w:ind w:left="135"/>
        <w:rPr>
          <w:i/>
          <w:sz w:val="14"/>
        </w:rPr>
      </w:pPr>
      <w:r>
        <w:rPr>
          <w:i/>
          <w:sz w:val="14"/>
        </w:rPr>
        <w:t>MUNICÍPIOS</w:t>
      </w:r>
    </w:p>
    <w:p w:rsidR="00D81F69" w:rsidRDefault="00330118">
      <w:pPr>
        <w:spacing w:before="49"/>
        <w:ind w:left="135"/>
        <w:rPr>
          <w:i/>
          <w:sz w:val="14"/>
        </w:rPr>
      </w:pPr>
      <w:r>
        <w:rPr>
          <w:i/>
          <w:sz w:val="14"/>
        </w:rPr>
        <w:t>AP - Porto Grande</w:t>
      </w:r>
    </w:p>
    <w:p w:rsidR="00D81F69" w:rsidRDefault="00D81F69">
      <w:pPr>
        <w:pStyle w:val="Corpodetexto"/>
        <w:spacing w:before="6"/>
        <w:ind w:left="0"/>
        <w:jc w:val="left"/>
        <w:rPr>
          <w:i/>
          <w:sz w:val="22"/>
        </w:rPr>
      </w:pPr>
    </w:p>
    <w:p w:rsidR="00D81F69" w:rsidRDefault="00330118">
      <w:pPr>
        <w:spacing w:line="312" w:lineRule="auto"/>
        <w:ind w:left="135" w:right="495"/>
        <w:rPr>
          <w:i/>
          <w:sz w:val="14"/>
        </w:rPr>
      </w:pPr>
      <w:r>
        <w:rPr>
          <w:i/>
          <w:sz w:val="14"/>
        </w:rPr>
        <w:t>LATITUDE 0,301</w:t>
      </w:r>
    </w:p>
    <w:p w:rsidR="00D81F69" w:rsidRDefault="00D81F69">
      <w:pPr>
        <w:pStyle w:val="Corpodetexto"/>
        <w:spacing w:before="4"/>
        <w:ind w:left="0"/>
        <w:jc w:val="left"/>
        <w:rPr>
          <w:i/>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-51,715</w:t>
      </w:r>
    </w:p>
    <w:p w:rsidR="00D81F69" w:rsidRDefault="00330118">
      <w:pPr>
        <w:pStyle w:val="Corpodetexto"/>
        <w:spacing w:before="3" w:after="39"/>
        <w:ind w:left="0"/>
        <w:jc w:val="left"/>
        <w:rPr>
          <w:i/>
          <w:sz w:val="19"/>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5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Na comunidade do Vila Nova, município amapaense de Porto Grande, a exploração de ouro vem gerando conflitos entre a empresa Mineração Pedra Branca do Amapari Ltda. (MPBA), e a Cooperativa de Garimpeiros do Vale do Vila Nova (Copgavin). A exploração gerou i</w:t>
      </w:r>
      <w:r>
        <w:rPr>
          <w:i/>
          <w:sz w:val="16"/>
        </w:rPr>
        <w:t xml:space="preserve">mpactos socioambientais, agravados com a exploração de ferro e torianita, cuja extração, transporte e armazenamento são feitos clandestinamente. </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5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19"/>
        </w:rPr>
      </w:pPr>
      <w:r>
        <w:br w:type="column"/>
      </w:r>
    </w:p>
    <w:p w:rsidR="00D81F69" w:rsidRDefault="00330118">
      <w:pPr>
        <w:pStyle w:val="Corpodetexto"/>
        <w:spacing w:line="312" w:lineRule="auto"/>
        <w:ind w:left="135" w:right="232"/>
      </w:pPr>
      <w:r>
        <w:t>comercialização de produtos importados (PORTO; BRITO, 2005).</w:t>
      </w:r>
    </w:p>
    <w:p w:rsidR="00D81F69" w:rsidRDefault="00330118">
      <w:pPr>
        <w:pStyle w:val="Corpodetexto"/>
        <w:spacing w:before="132" w:line="312" w:lineRule="auto"/>
        <w:ind w:left="135" w:right="236"/>
      </w:pPr>
      <w:r>
        <w:t>A cava principal do garimpo Vila Nova, com ma</w:t>
      </w:r>
      <w:r>
        <w:t xml:space="preserve">is de 30 metros de profundidade, assemelha-se à do garimpo de Serra Pelada, no sul do Pará, hoje inativo. A pobreza se espalha por toda a área, onde se amontoam barracos cobertos de lona preta. Não há água tratada e nem esgoto. Há algumas casas comerciais </w:t>
      </w:r>
      <w:r>
        <w:t>e açougues, onde carnes são expostas ao ar livre, sem qualquer fiscalização sanitária (BRASILIENSE, 2005).</w:t>
      </w:r>
    </w:p>
    <w:p w:rsidR="00D81F69" w:rsidRDefault="00330118">
      <w:pPr>
        <w:pStyle w:val="Corpodetexto"/>
        <w:spacing w:before="74" w:line="270" w:lineRule="atLeast"/>
        <w:ind w:left="135" w:right="244"/>
      </w:pPr>
      <w:r>
        <w:t>Muitos depósitos minerais de diferentes tipos foram descobertos e explorados na área do Vila Nova: depósitos de ouro, vários corpos de cromitito estr</w:t>
      </w:r>
      <w:r>
        <w:t xml:space="preserve">atiforme e depósitos de minério de </w:t>
      </w:r>
      <w:hyperlink r:id="rId145">
        <w:r>
          <w:t xml:space="preserve">ferro, </w:t>
        </w:r>
      </w:hyperlink>
      <w:r>
        <w:t>além de ocorrências e garimpos de tantalita</w:t>
      </w:r>
    </w:p>
    <w:p w:rsidR="00D81F69" w:rsidRDefault="00D81F69">
      <w:pPr>
        <w:spacing w:line="270" w:lineRule="atLeast"/>
        <w:sectPr w:rsidR="00D81F69">
          <w:type w:val="continuous"/>
          <w:pgSz w:w="11900" w:h="16840"/>
          <w:pgMar w:top="720" w:right="460" w:bottom="280" w:left="620" w:header="720" w:footer="720" w:gutter="0"/>
          <w:cols w:num="3" w:space="720" w:equalWidth="0">
            <w:col w:w="1327" w:space="673"/>
            <w:col w:w="3134" w:space="301"/>
            <w:col w:w="5385"/>
          </w:cols>
        </w:sectPr>
      </w:pPr>
    </w:p>
    <w:p w:rsidR="00D81F69" w:rsidRDefault="00330118">
      <w:pPr>
        <w:pStyle w:val="Heading4"/>
        <w:spacing w:line="233" w:lineRule="exact"/>
        <w:jc w:val="left"/>
      </w:pPr>
      <w:r>
        <w:lastRenderedPageBreak/>
        <w:t>APRESENTAÇÃO DE CASO</w:t>
      </w:r>
    </w:p>
    <w:p w:rsidR="00D81F69" w:rsidRDefault="00330118">
      <w:pPr>
        <w:pStyle w:val="Corpodetexto"/>
        <w:spacing w:before="170" w:line="312" w:lineRule="auto"/>
        <w:ind w:right="65"/>
      </w:pPr>
      <w:r>
        <w:t xml:space="preserve">O </w:t>
      </w:r>
      <w:r>
        <w:rPr>
          <w:spacing w:val="7"/>
        </w:rPr>
        <w:t xml:space="preserve">Estado </w:t>
      </w:r>
      <w:r>
        <w:rPr>
          <w:spacing w:val="5"/>
        </w:rPr>
        <w:t xml:space="preserve">do </w:t>
      </w:r>
      <w:r>
        <w:rPr>
          <w:spacing w:val="7"/>
        </w:rPr>
        <w:t xml:space="preserve">Amapá </w:t>
      </w:r>
      <w:r>
        <w:t xml:space="preserve">é </w:t>
      </w:r>
      <w:r>
        <w:rPr>
          <w:spacing w:val="5"/>
        </w:rPr>
        <w:t xml:space="preserve">um dos </w:t>
      </w:r>
      <w:r>
        <w:rPr>
          <w:spacing w:val="6"/>
        </w:rPr>
        <w:t xml:space="preserve">mais </w:t>
      </w:r>
      <w:r>
        <w:rPr>
          <w:spacing w:val="7"/>
        </w:rPr>
        <w:t xml:space="preserve">novos </w:t>
      </w:r>
      <w:r>
        <w:rPr>
          <w:spacing w:val="5"/>
        </w:rPr>
        <w:t xml:space="preserve">do </w:t>
      </w:r>
      <w:r>
        <w:rPr>
          <w:spacing w:val="10"/>
        </w:rPr>
        <w:t xml:space="preserve">Brasil, </w:t>
      </w:r>
      <w:r>
        <w:t xml:space="preserve">entretanto com conflitos rurais antigos que remontam tanto ao </w:t>
      </w:r>
      <w:r>
        <w:rPr>
          <w:spacing w:val="5"/>
        </w:rPr>
        <w:t xml:space="preserve">período </w:t>
      </w:r>
      <w:r>
        <w:rPr>
          <w:spacing w:val="2"/>
        </w:rPr>
        <w:t xml:space="preserve">de </w:t>
      </w:r>
      <w:r>
        <w:rPr>
          <w:spacing w:val="5"/>
        </w:rPr>
        <w:t xml:space="preserve">Território Federal </w:t>
      </w:r>
      <w:r>
        <w:rPr>
          <w:spacing w:val="2"/>
        </w:rPr>
        <w:t xml:space="preserve">do </w:t>
      </w:r>
      <w:r>
        <w:rPr>
          <w:spacing w:val="5"/>
        </w:rPr>
        <w:t xml:space="preserve">Amapá, quanto </w:t>
      </w:r>
      <w:r>
        <w:rPr>
          <w:spacing w:val="2"/>
        </w:rPr>
        <w:t xml:space="preserve">de </w:t>
      </w:r>
      <w:r>
        <w:rPr>
          <w:spacing w:val="6"/>
        </w:rPr>
        <w:t xml:space="preserve">sua </w:t>
      </w:r>
      <w:r>
        <w:rPr>
          <w:spacing w:val="5"/>
        </w:rPr>
        <w:t xml:space="preserve">estadualização </w:t>
      </w:r>
      <w:r>
        <w:rPr>
          <w:spacing w:val="2"/>
        </w:rPr>
        <w:t xml:space="preserve">[a </w:t>
      </w:r>
      <w:r>
        <w:rPr>
          <w:spacing w:val="5"/>
        </w:rPr>
        <w:t xml:space="preserve">partir </w:t>
      </w:r>
      <w:r>
        <w:rPr>
          <w:spacing w:val="2"/>
        </w:rPr>
        <w:t xml:space="preserve">de </w:t>
      </w:r>
      <w:r>
        <w:rPr>
          <w:spacing w:val="5"/>
        </w:rPr>
        <w:t xml:space="preserve">1988]. </w:t>
      </w:r>
      <w:r>
        <w:t xml:space="preserve">O </w:t>
      </w:r>
      <w:r>
        <w:rPr>
          <w:spacing w:val="3"/>
        </w:rPr>
        <w:t xml:space="preserve">uso que </w:t>
      </w:r>
      <w:r>
        <w:rPr>
          <w:spacing w:val="2"/>
        </w:rPr>
        <w:t xml:space="preserve">se </w:t>
      </w:r>
      <w:r>
        <w:rPr>
          <w:spacing w:val="3"/>
        </w:rPr>
        <w:t xml:space="preserve">deu </w:t>
      </w:r>
      <w:r>
        <w:rPr>
          <w:spacing w:val="5"/>
        </w:rPr>
        <w:t>ao</w:t>
      </w:r>
      <w:r>
        <w:rPr>
          <w:spacing w:val="61"/>
        </w:rPr>
        <w:t xml:space="preserve"> </w:t>
      </w:r>
      <w:r>
        <w:t xml:space="preserve">território provocou uma configuração do espaço amapaense </w:t>
      </w:r>
      <w:r>
        <w:rPr>
          <w:spacing w:val="11"/>
        </w:rPr>
        <w:t>marcad</w:t>
      </w:r>
      <w:r>
        <w:rPr>
          <w:spacing w:val="11"/>
        </w:rPr>
        <w:t xml:space="preserve">a </w:t>
      </w:r>
      <w:r>
        <w:rPr>
          <w:spacing w:val="10"/>
        </w:rPr>
        <w:t xml:space="preserve">por </w:t>
      </w:r>
      <w:r>
        <w:rPr>
          <w:spacing w:val="12"/>
        </w:rPr>
        <w:t xml:space="preserve">conflitos </w:t>
      </w:r>
      <w:r>
        <w:rPr>
          <w:spacing w:val="13"/>
        </w:rPr>
        <w:t xml:space="preserve">socioambientais </w:t>
      </w:r>
      <w:r>
        <w:rPr>
          <w:spacing w:val="12"/>
        </w:rPr>
        <w:t xml:space="preserve">envolvendo </w:t>
      </w:r>
      <w:r>
        <w:rPr>
          <w:spacing w:val="10"/>
        </w:rPr>
        <w:t xml:space="preserve">mineradores, garimpeiros, latifundiários, fazendeiros, </w:t>
      </w:r>
      <w:r>
        <w:rPr>
          <w:spacing w:val="3"/>
        </w:rPr>
        <w:t xml:space="preserve">seringueiros, agricultores </w:t>
      </w:r>
      <w:r>
        <w:t xml:space="preserve">e </w:t>
      </w:r>
      <w:r>
        <w:rPr>
          <w:spacing w:val="3"/>
        </w:rPr>
        <w:t>indígenas (TORRINHA,</w:t>
      </w:r>
      <w:r>
        <w:rPr>
          <w:spacing w:val="2"/>
        </w:rPr>
        <w:t xml:space="preserve"> </w:t>
      </w:r>
      <w:r>
        <w:rPr>
          <w:spacing w:val="5"/>
        </w:rPr>
        <w:t>2006).</w:t>
      </w:r>
    </w:p>
    <w:p w:rsidR="00D81F69" w:rsidRDefault="00330118">
      <w:pPr>
        <w:pStyle w:val="Corpodetexto"/>
        <w:spacing w:before="137" w:line="312" w:lineRule="auto"/>
        <w:ind w:right="71"/>
      </w:pPr>
      <w:r>
        <w:t xml:space="preserve">É o que se evidencia, por exemplo, na comunidade do Vila Nova, no município de Porto Grande, que vive um processo de degradação ambiental. A detentora dos direitos minerários </w:t>
      </w:r>
      <w:r>
        <w:rPr>
          <w:spacing w:val="1"/>
        </w:rPr>
        <w:t xml:space="preserve">na </w:t>
      </w:r>
      <w:r>
        <w:rPr>
          <w:spacing w:val="3"/>
        </w:rPr>
        <w:t xml:space="preserve">região </w:t>
      </w:r>
      <w:r>
        <w:t xml:space="preserve">é a </w:t>
      </w:r>
      <w:r>
        <w:rPr>
          <w:spacing w:val="3"/>
        </w:rPr>
        <w:t xml:space="preserve">Mineração Pedra Branca </w:t>
      </w:r>
      <w:r>
        <w:rPr>
          <w:spacing w:val="1"/>
        </w:rPr>
        <w:t xml:space="preserve">do </w:t>
      </w:r>
      <w:r>
        <w:rPr>
          <w:spacing w:val="3"/>
        </w:rPr>
        <w:t xml:space="preserve">Amapari </w:t>
      </w:r>
      <w:r>
        <w:rPr>
          <w:spacing w:val="5"/>
        </w:rPr>
        <w:t xml:space="preserve">Ltda. </w:t>
      </w:r>
      <w:r>
        <w:rPr>
          <w:spacing w:val="1"/>
        </w:rPr>
        <w:t xml:space="preserve">(MPBA) (TORRINHA, 2006), </w:t>
      </w:r>
      <w:r>
        <w:t>ma</w:t>
      </w:r>
      <w:r>
        <w:t xml:space="preserve">s a </w:t>
      </w:r>
      <w:r>
        <w:rPr>
          <w:spacing w:val="1"/>
        </w:rPr>
        <w:t xml:space="preserve">empresa </w:t>
      </w:r>
      <w:r>
        <w:t xml:space="preserve">se </w:t>
      </w:r>
      <w:r>
        <w:rPr>
          <w:spacing w:val="2"/>
        </w:rPr>
        <w:t xml:space="preserve">encontrou, </w:t>
      </w:r>
      <w:r>
        <w:t xml:space="preserve">por longa data, impedida de ingressar na área para realização </w:t>
      </w:r>
      <w:r>
        <w:rPr>
          <w:spacing w:val="1"/>
        </w:rPr>
        <w:t xml:space="preserve">de </w:t>
      </w:r>
      <w:r>
        <w:rPr>
          <w:spacing w:val="2"/>
        </w:rPr>
        <w:t xml:space="preserve">suas </w:t>
      </w:r>
      <w:r>
        <w:rPr>
          <w:spacing w:val="3"/>
        </w:rPr>
        <w:t xml:space="preserve">atividades </w:t>
      </w:r>
      <w:r>
        <w:rPr>
          <w:spacing w:val="1"/>
        </w:rPr>
        <w:t xml:space="preserve">em </w:t>
      </w:r>
      <w:r>
        <w:rPr>
          <w:spacing w:val="2"/>
        </w:rPr>
        <w:t xml:space="preserve">face </w:t>
      </w:r>
      <w:r>
        <w:rPr>
          <w:spacing w:val="1"/>
        </w:rPr>
        <w:t xml:space="preserve">da </w:t>
      </w:r>
      <w:r>
        <w:rPr>
          <w:spacing w:val="3"/>
        </w:rPr>
        <w:t xml:space="preserve">resistência imposta </w:t>
      </w:r>
      <w:r>
        <w:rPr>
          <w:spacing w:val="5"/>
        </w:rPr>
        <w:t xml:space="preserve">pelos </w:t>
      </w:r>
      <w:r>
        <w:t>garimpeiros que exploravam ouro ilegalmente na localidade (DNPM,</w:t>
      </w:r>
      <w:r>
        <w:rPr>
          <w:spacing w:val="13"/>
        </w:rPr>
        <w:t xml:space="preserve"> </w:t>
      </w:r>
      <w:r>
        <w:rPr>
          <w:spacing w:val="1"/>
        </w:rPr>
        <w:t>2005).</w:t>
      </w:r>
    </w:p>
    <w:p w:rsidR="00D81F69" w:rsidRDefault="00330118">
      <w:pPr>
        <w:pStyle w:val="Corpodetexto"/>
        <w:spacing w:before="139" w:line="312" w:lineRule="auto"/>
        <w:jc w:val="left"/>
      </w:pPr>
      <w:r>
        <w:t xml:space="preserve">Com 4.402 km² e 16.825 habitantes (IBGE, 2010), o município de Porto Grande localiza-se na área geoeconômica central do estado do Amapá (PORTO; BRITO, 2005), a 103 km da capital Macapá. Limita-se, a norte e a leste, com Ferreira Gomes; ao sul, com Macapá, </w:t>
      </w:r>
      <w:r>
        <w:t>Mazagão e Santana; e a oeste, com Pedra Branca do Amapari (RODRIGUES, 2010).</w:t>
      </w:r>
    </w:p>
    <w:p w:rsidR="00D81F69" w:rsidRDefault="00330118">
      <w:pPr>
        <w:pStyle w:val="Corpodetexto"/>
        <w:spacing w:before="135" w:line="312" w:lineRule="auto"/>
        <w:ind w:right="74"/>
      </w:pPr>
      <w:r>
        <w:t>O centro amapaense possui os maiores índices demográficos e a maior urbanização do estado (PORTO, 2003 apud PORTO; BRITO, 2005). Sua economia baseou-se na extração mineral a parti</w:t>
      </w:r>
      <w:r>
        <w:t>r da década de 1950, com o garimpo da cassiterita no período de 1951 a 1966 (ANDRADE, 1989 apud PORTO; BRITO, 2005) e com a exploração manganesífera pela Icomi – Indústria e Comércio de Minérios (1957-1997). Após a década de 1970, indústrias de transformaç</w:t>
      </w:r>
      <w:r>
        <w:t>ão foram implantadas, sendo algumas dessas instaladas na década seguinte, com a implantação do Distrito Industrial em Santana. No início da década de 1990, foi criada a Área de Livre Comércio de Macapá e Santana, estimulando a</w:t>
      </w:r>
    </w:p>
    <w:p w:rsidR="00D81F69" w:rsidRDefault="00330118">
      <w:pPr>
        <w:pStyle w:val="Corpodetexto"/>
        <w:spacing w:before="63" w:line="312" w:lineRule="auto"/>
        <w:ind w:right="235"/>
      </w:pPr>
      <w:r>
        <w:br w:type="column"/>
      </w:r>
      <w:r>
        <w:lastRenderedPageBreak/>
        <w:t>e diamante, todos localizado</w:t>
      </w:r>
      <w:r>
        <w:t xml:space="preserve">s 90 km a sudeste dos depósitos de </w:t>
      </w:r>
      <w:hyperlink r:id="rId146">
        <w:r>
          <w:t xml:space="preserve">manganês </w:t>
        </w:r>
      </w:hyperlink>
      <w:r>
        <w:t>de Serra do Navio (SPIER; FERREIRA FILHO, 1999).</w:t>
      </w:r>
    </w:p>
    <w:p w:rsidR="00D81F69" w:rsidRDefault="00330118">
      <w:pPr>
        <w:pStyle w:val="Corpodetexto"/>
        <w:spacing w:before="133" w:line="312" w:lineRule="auto"/>
        <w:ind w:right="222"/>
      </w:pPr>
      <w:r>
        <w:t>Os trabalhos de prospecção mineral na área tiveram início em 1972, quand</w:t>
      </w:r>
      <w:r>
        <w:t xml:space="preserve">o foram realizados levantamentos geológicos e geoquímicos, em escala regional, que permitiram identificar </w:t>
      </w:r>
      <w:hyperlink r:id="rId147">
        <w:r>
          <w:t xml:space="preserve">anomalias geoquímicas para cromo. </w:t>
        </w:r>
      </w:hyperlink>
      <w:r>
        <w:t>Em 1983, foram iniciados o</w:t>
      </w:r>
      <w:r>
        <w:t>s trabalhos de semidetalhamento, envolvendo novamente mapeamento geológico e geoquímico, quando foram identificadas também anomalias para ouro (SPIER; FERREIRA FILHO, 1999).</w:t>
      </w:r>
    </w:p>
    <w:p w:rsidR="00D81F69" w:rsidRDefault="00330118">
      <w:pPr>
        <w:pStyle w:val="Corpodetexto"/>
        <w:spacing w:before="137" w:line="312" w:lineRule="auto"/>
        <w:ind w:right="231"/>
      </w:pPr>
      <w:r>
        <w:t xml:space="preserve">Os trabalhos de semidetalhamento para ouro mostraram que as maiores dispersões do </w:t>
      </w:r>
      <w:r>
        <w:t>metal estavam localizadas nos solos provenientes da alteração de litotipos do Grupo Vila Nova. Foram selecionados dois alvos, denominados Santa Maria e Vicente, onde foram realizados, respectivamente,</w:t>
      </w:r>
    </w:p>
    <w:p w:rsidR="00D81F69" w:rsidRDefault="00330118">
      <w:pPr>
        <w:pStyle w:val="Corpodetexto"/>
        <w:spacing w:before="5" w:line="312" w:lineRule="auto"/>
        <w:ind w:right="250"/>
      </w:pPr>
      <w:r>
        <w:t>3.395 e 3.500 metros de sondagem, resultando na descobe</w:t>
      </w:r>
      <w:r>
        <w:t>rta de dois depósitos de ouro com reservas preliminares de 1.100 kg (Depósito Santa Maria) e 2.500 kg (Mina do Vicente) (FERNANDES et al. 1987,1989 apud SPIER; FERREIRA FILHO, 1999).</w:t>
      </w:r>
    </w:p>
    <w:p w:rsidR="00D81F69" w:rsidRDefault="00330118">
      <w:pPr>
        <w:pStyle w:val="Corpodetexto"/>
        <w:spacing w:before="134" w:line="312" w:lineRule="auto"/>
        <w:ind w:right="237"/>
      </w:pPr>
      <w:r>
        <w:t>Já os depósitos de minério de ferro são conhecidos desde 1947, quando a H</w:t>
      </w:r>
      <w:r>
        <w:t>anna Exploration Corporation realizou uma campanha de sondagem, visando quantificar e qualificar as ocorrências de ferro da região. Na ocasião, foram feitos 1.716 m de sondagem, que permitiram a definição de quatro jazidas, denominadas Bacabal, Leão, Santa</w:t>
      </w:r>
      <w:r>
        <w:t xml:space="preserve"> Maria e Baixo Grande (SPIER; FERREIRA FILHO, 1999).</w:t>
      </w:r>
    </w:p>
    <w:p w:rsidR="00D81F69" w:rsidRDefault="00330118">
      <w:pPr>
        <w:pStyle w:val="Corpodetexto"/>
        <w:spacing w:before="137" w:line="312" w:lineRule="auto"/>
        <w:ind w:right="238"/>
      </w:pPr>
      <w:r>
        <w:t xml:space="preserve">Além da Mineração Pedra Branca do Amapari, também atua na região a Cooperativa de Garimpeiros do Vale do Vila Nova (Copgavin), que lavrava ouro de forma irregular, em Vila Nova, sem licença ambiental da </w:t>
      </w:r>
      <w:r>
        <w:t>Secretaria de Estado de Meio Ambiente do Amapá (Sema), nem concessão do Departamento Nacional de Produção Mineral (DNPM) (SIMÕES, 2009).</w:t>
      </w:r>
    </w:p>
    <w:p w:rsidR="00D81F69" w:rsidRDefault="00330118">
      <w:pPr>
        <w:pStyle w:val="Corpodetexto"/>
        <w:spacing w:before="136"/>
      </w:pPr>
      <w:r>
        <w:t>Essa garimpagem ilegal gerou uma série de conflitos com as</w:t>
      </w:r>
    </w:p>
    <w:p w:rsidR="00D81F69" w:rsidRDefault="00D81F69">
      <w:pPr>
        <w:sectPr w:rsidR="00D81F69">
          <w:type w:val="continuous"/>
          <w:pgSz w:w="11900" w:h="16840"/>
          <w:pgMar w:top="720" w:right="460" w:bottom="280" w:left="620" w:header="720" w:footer="720" w:gutter="0"/>
          <w:cols w:num="2" w:space="720" w:equalWidth="0">
            <w:col w:w="5192" w:space="278"/>
            <w:col w:w="5350"/>
          </w:cols>
        </w:sectPr>
      </w:pPr>
    </w:p>
    <w:p w:rsidR="00D81F69" w:rsidRDefault="00330118">
      <w:pPr>
        <w:pStyle w:val="Corpodetexto"/>
        <w:spacing w:before="81" w:line="312" w:lineRule="auto"/>
        <w:ind w:right="62"/>
      </w:pPr>
      <w:r>
        <w:lastRenderedPageBreak/>
        <w:t>empresas estabelecidas na localid</w:t>
      </w:r>
      <w:r>
        <w:t xml:space="preserve">ade e agravou os problemas ambientais. Além do desmatamento e do desbarrancamento das margens dos cursos d’água, a extração de ouro ocasionou a contaminação por mercúrio - utilizado na recuperação do ouro - e </w:t>
      </w:r>
      <w:hyperlink r:id="rId148">
        <w:r>
          <w:t xml:space="preserve">cianeto. </w:t>
        </w:r>
      </w:hyperlink>
      <w:r>
        <w:t>O problema é agravado pela baixa tecnologia empregada pela maioria dos garimpeiros (DOMINGUES, 2004).</w:t>
      </w:r>
    </w:p>
    <w:p w:rsidR="00D81F69" w:rsidRDefault="00330118">
      <w:pPr>
        <w:pStyle w:val="Corpodetexto"/>
        <w:spacing w:before="136" w:line="312" w:lineRule="auto"/>
        <w:ind w:right="43"/>
      </w:pPr>
      <w:r>
        <w:t>Uma barragem de rejeitos foi montada pelos garimpeiros à margem esquerda do rio Vila Nova, para conten</w:t>
      </w:r>
      <w:r>
        <w:t xml:space="preserve">ção da lama oriunda dos serviços de desmonte hidráulico dos barrancos  de terra em busca do ouro. Com o rompimento da barragem, </w:t>
      </w:r>
      <w:r>
        <w:rPr>
          <w:spacing w:val="7"/>
        </w:rPr>
        <w:t xml:space="preserve">milhares </w:t>
      </w:r>
      <w:r>
        <w:rPr>
          <w:spacing w:val="5"/>
        </w:rPr>
        <w:t xml:space="preserve">de </w:t>
      </w:r>
      <w:r>
        <w:rPr>
          <w:spacing w:val="7"/>
        </w:rPr>
        <w:t xml:space="preserve">toneladas </w:t>
      </w:r>
      <w:r>
        <w:rPr>
          <w:spacing w:val="5"/>
        </w:rPr>
        <w:t xml:space="preserve">de </w:t>
      </w:r>
      <w:r>
        <w:rPr>
          <w:spacing w:val="7"/>
        </w:rPr>
        <w:t xml:space="preserve">rejeitos </w:t>
      </w:r>
      <w:r>
        <w:rPr>
          <w:spacing w:val="5"/>
        </w:rPr>
        <w:t xml:space="preserve">do </w:t>
      </w:r>
      <w:r>
        <w:rPr>
          <w:spacing w:val="7"/>
        </w:rPr>
        <w:t xml:space="preserve">garimpo </w:t>
      </w:r>
      <w:r>
        <w:rPr>
          <w:spacing w:val="10"/>
        </w:rPr>
        <w:t xml:space="preserve">seriam </w:t>
      </w:r>
      <w:r>
        <w:t xml:space="preserve">despejadas no rio Vila Nova, afluente direto do rio Amazonas, e </w:t>
      </w:r>
      <w:r>
        <w:rPr>
          <w:spacing w:val="2"/>
        </w:rPr>
        <w:t xml:space="preserve">que </w:t>
      </w:r>
      <w:r>
        <w:rPr>
          <w:spacing w:val="3"/>
        </w:rPr>
        <w:t xml:space="preserve">corre </w:t>
      </w:r>
      <w:r>
        <w:t xml:space="preserve">a </w:t>
      </w:r>
      <w:r>
        <w:rPr>
          <w:spacing w:val="3"/>
        </w:rPr>
        <w:t xml:space="preserve">menos </w:t>
      </w:r>
      <w:r>
        <w:rPr>
          <w:spacing w:val="1"/>
        </w:rPr>
        <w:t xml:space="preserve">de </w:t>
      </w:r>
      <w:r>
        <w:rPr>
          <w:spacing w:val="2"/>
        </w:rPr>
        <w:t xml:space="preserve">600 </w:t>
      </w:r>
      <w:r>
        <w:t xml:space="preserve">m </w:t>
      </w:r>
      <w:r>
        <w:rPr>
          <w:spacing w:val="1"/>
        </w:rPr>
        <w:t xml:space="preserve">do </w:t>
      </w:r>
      <w:r>
        <w:rPr>
          <w:spacing w:val="3"/>
        </w:rPr>
        <w:t xml:space="preserve">garimpo. </w:t>
      </w:r>
      <w:r>
        <w:rPr>
          <w:spacing w:val="1"/>
        </w:rPr>
        <w:t xml:space="preserve">Em </w:t>
      </w:r>
      <w:r>
        <w:rPr>
          <w:spacing w:val="2"/>
        </w:rPr>
        <w:t xml:space="preserve">uma </w:t>
      </w:r>
      <w:r>
        <w:rPr>
          <w:spacing w:val="5"/>
        </w:rPr>
        <w:t xml:space="preserve">das barragens </w:t>
      </w:r>
      <w:r>
        <w:rPr>
          <w:spacing w:val="2"/>
        </w:rPr>
        <w:t xml:space="preserve">de </w:t>
      </w:r>
      <w:r>
        <w:rPr>
          <w:spacing w:val="5"/>
        </w:rPr>
        <w:t xml:space="preserve">contenção, </w:t>
      </w:r>
      <w:r>
        <w:rPr>
          <w:spacing w:val="2"/>
        </w:rPr>
        <w:t xml:space="preserve">os </w:t>
      </w:r>
      <w:r>
        <w:rPr>
          <w:spacing w:val="5"/>
        </w:rPr>
        <w:t xml:space="preserve">garimpeiros escavaram </w:t>
      </w:r>
      <w:r>
        <w:rPr>
          <w:spacing w:val="6"/>
        </w:rPr>
        <w:t xml:space="preserve">um sangradouro, permitindo </w:t>
      </w:r>
      <w:r>
        <w:rPr>
          <w:spacing w:val="5"/>
        </w:rPr>
        <w:t xml:space="preserve">que </w:t>
      </w:r>
      <w:r>
        <w:t xml:space="preserve">a </w:t>
      </w:r>
      <w:r>
        <w:rPr>
          <w:spacing w:val="5"/>
        </w:rPr>
        <w:t xml:space="preserve">água </w:t>
      </w:r>
      <w:r>
        <w:rPr>
          <w:spacing w:val="6"/>
        </w:rPr>
        <w:t xml:space="preserve">contaminada </w:t>
      </w:r>
      <w:r>
        <w:rPr>
          <w:spacing w:val="7"/>
        </w:rPr>
        <w:t xml:space="preserve">com </w:t>
      </w:r>
      <w:hyperlink r:id="rId149">
        <w:r>
          <w:rPr>
            <w:spacing w:val="8"/>
          </w:rPr>
          <w:t>mercúrio</w:t>
        </w:r>
      </w:hyperlink>
      <w:r>
        <w:rPr>
          <w:spacing w:val="8"/>
        </w:rPr>
        <w:t xml:space="preserve"> escoasse </w:t>
      </w:r>
      <w:r>
        <w:rPr>
          <w:spacing w:val="10"/>
        </w:rPr>
        <w:t xml:space="preserve">diretamente </w:t>
      </w:r>
      <w:r>
        <w:rPr>
          <w:spacing w:val="7"/>
        </w:rPr>
        <w:t xml:space="preserve">para </w:t>
      </w:r>
      <w:r>
        <w:t xml:space="preserve">o </w:t>
      </w:r>
      <w:r>
        <w:rPr>
          <w:spacing w:val="6"/>
        </w:rPr>
        <w:t xml:space="preserve">rio </w:t>
      </w:r>
      <w:r>
        <w:rPr>
          <w:spacing w:val="7"/>
        </w:rPr>
        <w:t xml:space="preserve">Vila </w:t>
      </w:r>
      <w:r>
        <w:rPr>
          <w:spacing w:val="10"/>
        </w:rPr>
        <w:t xml:space="preserve">Nova, </w:t>
      </w:r>
      <w:r>
        <w:rPr>
          <w:spacing w:val="6"/>
        </w:rPr>
        <w:t xml:space="preserve">aumentando </w:t>
      </w:r>
      <w:r>
        <w:t xml:space="preserve">o </w:t>
      </w:r>
      <w:r>
        <w:rPr>
          <w:spacing w:val="5"/>
        </w:rPr>
        <w:t xml:space="preserve">risco </w:t>
      </w:r>
      <w:r>
        <w:rPr>
          <w:spacing w:val="3"/>
        </w:rPr>
        <w:t xml:space="preserve">de </w:t>
      </w:r>
      <w:r>
        <w:rPr>
          <w:spacing w:val="6"/>
        </w:rPr>
        <w:t xml:space="preserve">acidente ambiental. </w:t>
      </w:r>
      <w:r>
        <w:rPr>
          <w:spacing w:val="5"/>
        </w:rPr>
        <w:t xml:space="preserve">Relatos </w:t>
      </w:r>
      <w:r>
        <w:rPr>
          <w:spacing w:val="7"/>
        </w:rPr>
        <w:t xml:space="preserve">de </w:t>
      </w:r>
      <w:r>
        <w:t xml:space="preserve">pescadores da região sinalizam que o rio, naquela região, há </w:t>
      </w:r>
      <w:r>
        <w:rPr>
          <w:spacing w:val="11"/>
        </w:rPr>
        <w:t xml:space="preserve">muito </w:t>
      </w:r>
      <w:r>
        <w:rPr>
          <w:spacing w:val="10"/>
        </w:rPr>
        <w:t xml:space="preserve">não tem </w:t>
      </w:r>
      <w:r>
        <w:rPr>
          <w:spacing w:val="11"/>
        </w:rPr>
        <w:t xml:space="preserve">sinais </w:t>
      </w:r>
      <w:r>
        <w:rPr>
          <w:spacing w:val="6"/>
        </w:rPr>
        <w:t xml:space="preserve">de </w:t>
      </w:r>
      <w:r>
        <w:rPr>
          <w:spacing w:val="11"/>
        </w:rPr>
        <w:t xml:space="preserve">vida. </w:t>
      </w:r>
      <w:r>
        <w:rPr>
          <w:spacing w:val="6"/>
        </w:rPr>
        <w:t xml:space="preserve">Os </w:t>
      </w:r>
      <w:r>
        <w:rPr>
          <w:spacing w:val="11"/>
        </w:rPr>
        <w:t xml:space="preserve">peixes sumiram </w:t>
      </w:r>
      <w:r>
        <w:rPr>
          <w:spacing w:val="12"/>
        </w:rPr>
        <w:t>(BRASILIENSE,</w:t>
      </w:r>
      <w:r>
        <w:rPr>
          <w:spacing w:val="72"/>
        </w:rPr>
        <w:t xml:space="preserve"> </w:t>
      </w:r>
      <w:r>
        <w:rPr>
          <w:spacing w:val="11"/>
        </w:rPr>
        <w:t>2005).</w:t>
      </w:r>
      <w:r>
        <w:rPr>
          <w:spacing w:val="-34"/>
        </w:rPr>
        <w:t xml:space="preserve"> </w:t>
      </w:r>
    </w:p>
    <w:p w:rsidR="00D81F69" w:rsidRDefault="00330118">
      <w:pPr>
        <w:pStyle w:val="Corpodetexto"/>
        <w:spacing w:before="143" w:line="312" w:lineRule="auto"/>
        <w:ind w:right="50"/>
      </w:pPr>
      <w:r>
        <w:t>Para agravar o problema, após fortes c</w:t>
      </w:r>
      <w:r>
        <w:t>huvas que ocorreram em Santa Maria, na região aurífera do Vila Nova, vieram à tona, numa área de 4 mil hectares pertencentes à MPBA, centenas de tambores contendo cianeto de sódio. Supõe-se que tenham sido enterrados pelas empresas mineradoras que estivera</w:t>
      </w:r>
      <w:r>
        <w:t>m na região até 1996. Corroídos pela ferrugem, os tambores se romperam, e o cianeto escorreu, atingindo o leito do rio. Além do desaparecimento de peixes, houve a morte repentina de pessoas que habitavam o garimpo e os arredores (DOMINGUES, 2004).</w:t>
      </w:r>
    </w:p>
    <w:p w:rsidR="00D81F69" w:rsidRDefault="00330118">
      <w:pPr>
        <w:pStyle w:val="Corpodetexto"/>
        <w:spacing w:before="139" w:line="312" w:lineRule="auto"/>
        <w:ind w:right="52"/>
      </w:pPr>
      <w:r>
        <w:t xml:space="preserve">Em 1996, o Departamento Nacional de Produção Mineral (DNPM) suspendeu a licença de operação da MPBA, que então abandonou tudo, sem retirar o veneno da área de forma correta. A Secretaria do Meio Ambiente constatou a contaminação em 1999 e expediu laudo de </w:t>
      </w:r>
      <w:r>
        <w:t>dano ambiental, que apontava contaminação por cianeto em valores 20 vezes acima do permitido para consumo humano. Alguns poucos miligramas de cianeto por litro são suficientes para causar a morte de certas espécies de peixes em menos de uma hora, por ser e</w:t>
      </w:r>
      <w:r>
        <w:t>xtremamente tóxico (DOMINGUES, 2004).</w:t>
      </w:r>
    </w:p>
    <w:p w:rsidR="00D81F69" w:rsidRDefault="00330118">
      <w:pPr>
        <w:pStyle w:val="Corpodetexto"/>
        <w:spacing w:before="77" w:line="270" w:lineRule="atLeast"/>
        <w:ind w:right="38"/>
      </w:pPr>
      <w:r>
        <w:t>Em 2002, o controle acionário total da Mineração Pedra Branca do Amapari foi assumido pela DSI Mineração, empresa que tem sede em Belo Horizonte (MG). Reestruturada, a MPBA teve sua situação regularizada nos órgãos est</w:t>
      </w:r>
      <w:r>
        <w:t>aduais e federais e retomou suas ações em Porto Grande. Com a reativação do empreendimento, a mineradora pretendia aproveitar o potencial minerário da área e, por isso, firmou parceria com a canadense Eldorado Gold Corporation, que atua em Minas Gerais des</w:t>
      </w:r>
      <w:r>
        <w:t>de o início da década de 1990, através da São Bento Mineração S/A, na unidade de produção de ouro em Santa Bárbara. No Estado do Amapá, a Eldorado atua desde o início de 2004, nas localidades de Tartarugalzinho e Cassiporé, onde realiza trabalhos de pesqui</w:t>
      </w:r>
      <w:r>
        <w:t>sa de minério de ouro (AMAZÔNIA BRASIL, 2005).</w:t>
      </w:r>
    </w:p>
    <w:p w:rsidR="00D81F69" w:rsidRDefault="00330118">
      <w:pPr>
        <w:pStyle w:val="Corpodetexto"/>
        <w:spacing w:before="5"/>
        <w:ind w:left="0"/>
        <w:jc w:val="left"/>
        <w:rPr>
          <w:sz w:val="24"/>
        </w:rPr>
      </w:pPr>
      <w:r>
        <w:br w:type="column"/>
      </w:r>
    </w:p>
    <w:p w:rsidR="00D81F69" w:rsidRDefault="00330118">
      <w:pPr>
        <w:pStyle w:val="Corpodetexto"/>
        <w:spacing w:line="312" w:lineRule="auto"/>
        <w:ind w:right="237"/>
      </w:pPr>
      <w:r>
        <w:t xml:space="preserve">A associação entre a Mineração Pedra Branca do Amapari e  a </w:t>
      </w:r>
      <w:r>
        <w:rPr>
          <w:spacing w:val="6"/>
        </w:rPr>
        <w:t xml:space="preserve">Eldorado </w:t>
      </w:r>
      <w:r>
        <w:rPr>
          <w:spacing w:val="5"/>
        </w:rPr>
        <w:t xml:space="preserve">Gold </w:t>
      </w:r>
      <w:r>
        <w:rPr>
          <w:spacing w:val="6"/>
        </w:rPr>
        <w:t xml:space="preserve">Corporation </w:t>
      </w:r>
      <w:r>
        <w:rPr>
          <w:spacing w:val="5"/>
        </w:rPr>
        <w:t xml:space="preserve">visava </w:t>
      </w:r>
      <w:r>
        <w:t xml:space="preserve">à </w:t>
      </w:r>
      <w:r>
        <w:rPr>
          <w:spacing w:val="6"/>
        </w:rPr>
        <w:t xml:space="preserve">reavaliação </w:t>
      </w:r>
      <w:r>
        <w:rPr>
          <w:spacing w:val="7"/>
        </w:rPr>
        <w:t xml:space="preserve">das </w:t>
      </w:r>
      <w:r>
        <w:t>reservas de ouro e à implantação de unidade de produção do metal, cujos investimentos necessário</w:t>
      </w:r>
      <w:r>
        <w:t xml:space="preserve">s foram estimados em </w:t>
      </w:r>
      <w:r>
        <w:rPr>
          <w:spacing w:val="5"/>
        </w:rPr>
        <w:t xml:space="preserve">aproximadamente </w:t>
      </w:r>
      <w:r>
        <w:rPr>
          <w:spacing w:val="3"/>
        </w:rPr>
        <w:t xml:space="preserve">US$ </w:t>
      </w:r>
      <w:r>
        <w:rPr>
          <w:spacing w:val="2"/>
        </w:rPr>
        <w:t xml:space="preserve">70 </w:t>
      </w:r>
      <w:r>
        <w:rPr>
          <w:spacing w:val="5"/>
        </w:rPr>
        <w:t xml:space="preserve">milhões. </w:t>
      </w:r>
      <w:r>
        <w:t xml:space="preserve">A </w:t>
      </w:r>
      <w:r>
        <w:rPr>
          <w:spacing w:val="5"/>
        </w:rPr>
        <w:t>unidade projetada</w:t>
      </w:r>
      <w:r>
        <w:rPr>
          <w:spacing w:val="61"/>
        </w:rPr>
        <w:t xml:space="preserve"> </w:t>
      </w:r>
      <w:r>
        <w:t>previa a geração de cerca de 1.200 empregos diretos, além  de arrecadação de impostos que beneficiariam o estado e os municípios de Mazagão e Porto Grande (AMAZÔNIA BRASIL, 2005).</w:t>
      </w:r>
    </w:p>
    <w:p w:rsidR="00D81F69" w:rsidRDefault="00330118">
      <w:pPr>
        <w:pStyle w:val="Corpodetexto"/>
        <w:spacing w:before="138" w:line="312" w:lineRule="auto"/>
        <w:ind w:right="247"/>
      </w:pPr>
      <w:r>
        <w:t xml:space="preserve">No </w:t>
      </w:r>
      <w:r>
        <w:rPr>
          <w:spacing w:val="1"/>
        </w:rPr>
        <w:t xml:space="preserve">entanto, </w:t>
      </w:r>
      <w:r>
        <w:t xml:space="preserve">a </w:t>
      </w:r>
      <w:r>
        <w:rPr>
          <w:spacing w:val="1"/>
        </w:rPr>
        <w:t xml:space="preserve">mineradora enfrentou obstáculos </w:t>
      </w:r>
      <w:r>
        <w:t xml:space="preserve">na </w:t>
      </w:r>
      <w:r>
        <w:rPr>
          <w:spacing w:val="2"/>
        </w:rPr>
        <w:t xml:space="preserve">relação </w:t>
      </w:r>
      <w:r>
        <w:t xml:space="preserve">com os garimpeiros. A briga pelas terras entre garimpeiros da região e as empresas de mineração vem se arrastando desde </w:t>
      </w:r>
      <w:r>
        <w:rPr>
          <w:spacing w:val="3"/>
        </w:rPr>
        <w:t xml:space="preserve">1999, quando </w:t>
      </w:r>
      <w:r>
        <w:t xml:space="preserve">o </w:t>
      </w:r>
      <w:r>
        <w:rPr>
          <w:spacing w:val="3"/>
        </w:rPr>
        <w:t xml:space="preserve">local, </w:t>
      </w:r>
      <w:r>
        <w:rPr>
          <w:spacing w:val="2"/>
        </w:rPr>
        <w:t xml:space="preserve">até </w:t>
      </w:r>
      <w:r>
        <w:rPr>
          <w:spacing w:val="3"/>
        </w:rPr>
        <w:t xml:space="preserve">então </w:t>
      </w:r>
      <w:r>
        <w:rPr>
          <w:spacing w:val="2"/>
        </w:rPr>
        <w:t xml:space="preserve">sem </w:t>
      </w:r>
      <w:r>
        <w:rPr>
          <w:spacing w:val="3"/>
        </w:rPr>
        <w:t xml:space="preserve">qualquer registro </w:t>
      </w:r>
      <w:r>
        <w:rPr>
          <w:spacing w:val="5"/>
        </w:rPr>
        <w:t xml:space="preserve">de </w:t>
      </w:r>
      <w:r>
        <w:t xml:space="preserve">titulação, começou a ser demarcado por 14 empresas, sendo seis mineradoras. Licenças e autorizações para exploração  de minério na região foram concedidas aos empresários e, a partir daí, começaram os conflitos entre os titulares das terras e </w:t>
      </w:r>
      <w:r>
        <w:rPr>
          <w:spacing w:val="5"/>
        </w:rPr>
        <w:t xml:space="preserve">os </w:t>
      </w:r>
      <w:r>
        <w:rPr>
          <w:spacing w:val="8"/>
        </w:rPr>
        <w:t>garimpeiro</w:t>
      </w:r>
      <w:r>
        <w:rPr>
          <w:spacing w:val="8"/>
        </w:rPr>
        <w:t xml:space="preserve">s </w:t>
      </w:r>
      <w:r>
        <w:rPr>
          <w:spacing w:val="5"/>
        </w:rPr>
        <w:t xml:space="preserve">que já </w:t>
      </w:r>
      <w:r>
        <w:rPr>
          <w:spacing w:val="7"/>
        </w:rPr>
        <w:t xml:space="preserve">atuavam </w:t>
      </w:r>
      <w:r>
        <w:rPr>
          <w:spacing w:val="5"/>
        </w:rPr>
        <w:t xml:space="preserve">na </w:t>
      </w:r>
      <w:r>
        <w:rPr>
          <w:spacing w:val="6"/>
        </w:rPr>
        <w:t xml:space="preserve">área </w:t>
      </w:r>
      <w:r>
        <w:rPr>
          <w:spacing w:val="7"/>
        </w:rPr>
        <w:t xml:space="preserve">desde </w:t>
      </w:r>
      <w:r>
        <w:rPr>
          <w:spacing w:val="10"/>
        </w:rPr>
        <w:t xml:space="preserve">1935 </w:t>
      </w:r>
      <w:r>
        <w:rPr>
          <w:spacing w:val="7"/>
        </w:rPr>
        <w:t>(MUNIZ,</w:t>
      </w:r>
      <w:r>
        <w:rPr>
          <w:spacing w:val="45"/>
        </w:rPr>
        <w:t xml:space="preserve"> </w:t>
      </w:r>
      <w:r>
        <w:rPr>
          <w:spacing w:val="10"/>
        </w:rPr>
        <w:t>2008).</w:t>
      </w:r>
    </w:p>
    <w:p w:rsidR="00D81F69" w:rsidRDefault="00330118">
      <w:pPr>
        <w:pStyle w:val="Corpodetexto"/>
        <w:spacing w:before="139" w:line="312" w:lineRule="auto"/>
        <w:ind w:right="249"/>
      </w:pPr>
      <w:r>
        <w:rPr>
          <w:spacing w:val="5"/>
        </w:rPr>
        <w:t xml:space="preserve">Em </w:t>
      </w:r>
      <w:r>
        <w:rPr>
          <w:spacing w:val="8"/>
        </w:rPr>
        <w:t xml:space="preserve">2005, </w:t>
      </w:r>
      <w:r>
        <w:t xml:space="preserve">o </w:t>
      </w:r>
      <w:r>
        <w:rPr>
          <w:spacing w:val="8"/>
        </w:rPr>
        <w:t xml:space="preserve">risco </w:t>
      </w:r>
      <w:r>
        <w:rPr>
          <w:spacing w:val="5"/>
        </w:rPr>
        <w:t xml:space="preserve">de um </w:t>
      </w:r>
      <w:r>
        <w:rPr>
          <w:spacing w:val="10"/>
        </w:rPr>
        <w:t xml:space="preserve">desastre ecológico, </w:t>
      </w:r>
      <w:r>
        <w:rPr>
          <w:spacing w:val="7"/>
        </w:rPr>
        <w:t xml:space="preserve">com </w:t>
      </w:r>
      <w:r>
        <w:t xml:space="preserve">o </w:t>
      </w:r>
      <w:r>
        <w:rPr>
          <w:spacing w:val="3"/>
        </w:rPr>
        <w:t xml:space="preserve">rompimento </w:t>
      </w:r>
      <w:r>
        <w:rPr>
          <w:spacing w:val="2"/>
        </w:rPr>
        <w:t xml:space="preserve">das </w:t>
      </w:r>
      <w:r>
        <w:rPr>
          <w:spacing w:val="3"/>
        </w:rPr>
        <w:t xml:space="preserve">barragens </w:t>
      </w:r>
      <w:r>
        <w:rPr>
          <w:spacing w:val="1"/>
        </w:rPr>
        <w:t xml:space="preserve">de </w:t>
      </w:r>
      <w:r>
        <w:rPr>
          <w:spacing w:val="3"/>
        </w:rPr>
        <w:t xml:space="preserve">contenção </w:t>
      </w:r>
      <w:r>
        <w:rPr>
          <w:spacing w:val="1"/>
        </w:rPr>
        <w:t xml:space="preserve">do </w:t>
      </w:r>
      <w:r>
        <w:rPr>
          <w:spacing w:val="3"/>
        </w:rPr>
        <w:t xml:space="preserve">garimpo </w:t>
      </w:r>
      <w:r>
        <w:rPr>
          <w:spacing w:val="5"/>
        </w:rPr>
        <w:t xml:space="preserve">Vila </w:t>
      </w:r>
      <w:r>
        <w:rPr>
          <w:spacing w:val="3"/>
        </w:rPr>
        <w:t xml:space="preserve">Nova, levou </w:t>
      </w:r>
      <w:r>
        <w:t xml:space="preserve">o </w:t>
      </w:r>
      <w:r>
        <w:rPr>
          <w:spacing w:val="2"/>
        </w:rPr>
        <w:t xml:space="preserve">DNPM </w:t>
      </w:r>
      <w:r>
        <w:t xml:space="preserve">a </w:t>
      </w:r>
      <w:r>
        <w:rPr>
          <w:spacing w:val="3"/>
        </w:rPr>
        <w:t xml:space="preserve">pedir </w:t>
      </w:r>
      <w:r>
        <w:t xml:space="preserve">à </w:t>
      </w:r>
      <w:r>
        <w:rPr>
          <w:spacing w:val="3"/>
        </w:rPr>
        <w:t xml:space="preserve">Polícia Federal </w:t>
      </w:r>
      <w:r>
        <w:t xml:space="preserve">a </w:t>
      </w:r>
      <w:r>
        <w:rPr>
          <w:spacing w:val="5"/>
        </w:rPr>
        <w:t xml:space="preserve">imediata </w:t>
      </w:r>
      <w:r>
        <w:t>suspensão das atividades garimpeiras na região</w:t>
      </w:r>
      <w:r>
        <w:t xml:space="preserve">. Em </w:t>
      </w:r>
      <w:r>
        <w:rPr>
          <w:spacing w:val="1"/>
        </w:rPr>
        <w:t xml:space="preserve">ofício </w:t>
      </w:r>
      <w:r>
        <w:rPr>
          <w:spacing w:val="5"/>
        </w:rPr>
        <w:t xml:space="preserve">encaminhado </w:t>
      </w:r>
      <w:r>
        <w:rPr>
          <w:spacing w:val="2"/>
        </w:rPr>
        <w:t xml:space="preserve">ao </w:t>
      </w:r>
      <w:r>
        <w:rPr>
          <w:spacing w:val="5"/>
        </w:rPr>
        <w:t xml:space="preserve">superintendente </w:t>
      </w:r>
      <w:r>
        <w:rPr>
          <w:spacing w:val="2"/>
        </w:rPr>
        <w:t xml:space="preserve">da </w:t>
      </w:r>
      <w:r>
        <w:rPr>
          <w:spacing w:val="5"/>
        </w:rPr>
        <w:t xml:space="preserve">Polícia Federal </w:t>
      </w:r>
      <w:r>
        <w:rPr>
          <w:spacing w:val="6"/>
        </w:rPr>
        <w:t xml:space="preserve">no </w:t>
      </w:r>
      <w:r>
        <w:t xml:space="preserve">Amapá, o DNPM alertou para o fato de o garimpo funcionar </w:t>
      </w:r>
      <w:r>
        <w:rPr>
          <w:spacing w:val="1"/>
        </w:rPr>
        <w:t xml:space="preserve">de </w:t>
      </w:r>
      <w:r>
        <w:rPr>
          <w:spacing w:val="3"/>
        </w:rPr>
        <w:t xml:space="preserve">forma ilegal </w:t>
      </w:r>
      <w:r>
        <w:t xml:space="preserve">e </w:t>
      </w:r>
      <w:r>
        <w:rPr>
          <w:spacing w:val="2"/>
        </w:rPr>
        <w:t xml:space="preserve">sem </w:t>
      </w:r>
      <w:r>
        <w:rPr>
          <w:spacing w:val="3"/>
        </w:rPr>
        <w:t xml:space="preserve">qualquer preocupação </w:t>
      </w:r>
      <w:r>
        <w:rPr>
          <w:spacing w:val="2"/>
        </w:rPr>
        <w:t xml:space="preserve">com </w:t>
      </w:r>
      <w:r>
        <w:t xml:space="preserve">o </w:t>
      </w:r>
      <w:r>
        <w:rPr>
          <w:spacing w:val="5"/>
        </w:rPr>
        <w:t xml:space="preserve">meio </w:t>
      </w:r>
      <w:r>
        <w:rPr>
          <w:spacing w:val="3"/>
        </w:rPr>
        <w:t>ambiente (BRASILIENSE,</w:t>
      </w:r>
      <w:r>
        <w:rPr>
          <w:spacing w:val="-2"/>
        </w:rPr>
        <w:t xml:space="preserve"> </w:t>
      </w:r>
      <w:r>
        <w:rPr>
          <w:spacing w:val="5"/>
        </w:rPr>
        <w:t>2005).</w:t>
      </w:r>
    </w:p>
    <w:p w:rsidR="00D81F69" w:rsidRDefault="00330118">
      <w:pPr>
        <w:pStyle w:val="Corpodetexto"/>
        <w:spacing w:before="138" w:line="312" w:lineRule="auto"/>
        <w:ind w:right="231"/>
      </w:pPr>
      <w:r>
        <w:t>No relatório técnico denominado “Operação Condor”,</w:t>
      </w:r>
      <w:r>
        <w:t xml:space="preserve"> de 13  de fevereiro de 2004, técnicos da Sema já haviam alertado para os riscos de um desastre ecológico. De acordo com o </w:t>
      </w:r>
      <w:r>
        <w:rPr>
          <w:spacing w:val="8"/>
        </w:rPr>
        <w:t xml:space="preserve">relatório, constatou-se </w:t>
      </w:r>
      <w:r>
        <w:t xml:space="preserve">o </w:t>
      </w:r>
      <w:r>
        <w:rPr>
          <w:spacing w:val="7"/>
        </w:rPr>
        <w:t xml:space="preserve">despejo </w:t>
      </w:r>
      <w:r>
        <w:rPr>
          <w:spacing w:val="5"/>
        </w:rPr>
        <w:t xml:space="preserve">de </w:t>
      </w:r>
      <w:r>
        <w:rPr>
          <w:spacing w:val="7"/>
        </w:rPr>
        <w:t xml:space="preserve">produtos </w:t>
      </w:r>
      <w:r>
        <w:rPr>
          <w:spacing w:val="10"/>
        </w:rPr>
        <w:t xml:space="preserve">tóxicos </w:t>
      </w:r>
      <w:r>
        <w:rPr>
          <w:spacing w:val="3"/>
        </w:rPr>
        <w:t xml:space="preserve">diretamente </w:t>
      </w:r>
      <w:r>
        <w:rPr>
          <w:spacing w:val="1"/>
        </w:rPr>
        <w:t xml:space="preserve">em um </w:t>
      </w:r>
      <w:r>
        <w:rPr>
          <w:spacing w:val="3"/>
        </w:rPr>
        <w:t xml:space="preserve">córrego </w:t>
      </w:r>
      <w:r>
        <w:rPr>
          <w:spacing w:val="2"/>
        </w:rPr>
        <w:t xml:space="preserve">que </w:t>
      </w:r>
      <w:r>
        <w:rPr>
          <w:spacing w:val="3"/>
        </w:rPr>
        <w:t xml:space="preserve">adentra </w:t>
      </w:r>
      <w:r>
        <w:t xml:space="preserve">o </w:t>
      </w:r>
      <w:r>
        <w:rPr>
          <w:spacing w:val="2"/>
        </w:rPr>
        <w:t xml:space="preserve">Rio Vila </w:t>
      </w:r>
      <w:r>
        <w:rPr>
          <w:spacing w:val="5"/>
        </w:rPr>
        <w:t xml:space="preserve">Nova, </w:t>
      </w:r>
      <w:r>
        <w:t>entre eles o mercúrio, c</w:t>
      </w:r>
      <w:r>
        <w:t>omo também a construção irregular de uma barragem que estaria causando risco iminente à saúde pública, bem como à fauna e flora aquáticas (BRASILIENSE, 2005).</w:t>
      </w:r>
    </w:p>
    <w:p w:rsidR="00D81F69" w:rsidRDefault="00330118">
      <w:pPr>
        <w:pStyle w:val="Corpodetexto"/>
        <w:spacing w:before="138" w:line="312" w:lineRule="auto"/>
        <w:ind w:right="233"/>
      </w:pPr>
      <w:r>
        <w:t xml:space="preserve">O relatório “Operação Condor” ressaltava, ainda, que, diante </w:t>
      </w:r>
      <w:r>
        <w:rPr>
          <w:spacing w:val="5"/>
        </w:rPr>
        <w:t xml:space="preserve">do </w:t>
      </w:r>
      <w:r>
        <w:rPr>
          <w:spacing w:val="10"/>
        </w:rPr>
        <w:t xml:space="preserve">iminente </w:t>
      </w:r>
      <w:r>
        <w:rPr>
          <w:spacing w:val="8"/>
        </w:rPr>
        <w:t xml:space="preserve">risco </w:t>
      </w:r>
      <w:r>
        <w:t xml:space="preserve">à </w:t>
      </w:r>
      <w:r>
        <w:rPr>
          <w:spacing w:val="10"/>
        </w:rPr>
        <w:t xml:space="preserve">natureza </w:t>
      </w:r>
      <w:r>
        <w:t xml:space="preserve">e </w:t>
      </w:r>
      <w:r>
        <w:rPr>
          <w:spacing w:val="10"/>
        </w:rPr>
        <w:t xml:space="preserve">devido </w:t>
      </w:r>
      <w:r>
        <w:rPr>
          <w:spacing w:val="5"/>
        </w:rPr>
        <w:t xml:space="preserve">às </w:t>
      </w:r>
      <w:r>
        <w:rPr>
          <w:spacing w:val="11"/>
        </w:rPr>
        <w:t xml:space="preserve">condições </w:t>
      </w:r>
      <w:r>
        <w:rPr>
          <w:spacing w:val="1"/>
        </w:rPr>
        <w:t xml:space="preserve">irregulares </w:t>
      </w:r>
      <w:r>
        <w:t xml:space="preserve">do </w:t>
      </w:r>
      <w:r>
        <w:rPr>
          <w:spacing w:val="1"/>
        </w:rPr>
        <w:t xml:space="preserve">garimpo, este deveria </w:t>
      </w:r>
      <w:r>
        <w:t xml:space="preserve">ser </w:t>
      </w:r>
      <w:r>
        <w:rPr>
          <w:spacing w:val="1"/>
        </w:rPr>
        <w:t xml:space="preserve">interditado, </w:t>
      </w:r>
      <w:r>
        <w:t xml:space="preserve">o </w:t>
      </w:r>
      <w:r>
        <w:rPr>
          <w:spacing w:val="2"/>
        </w:rPr>
        <w:t xml:space="preserve">que </w:t>
      </w:r>
      <w:r>
        <w:rPr>
          <w:spacing w:val="7"/>
        </w:rPr>
        <w:t xml:space="preserve">ocorreu </w:t>
      </w:r>
      <w:r>
        <w:rPr>
          <w:spacing w:val="5"/>
        </w:rPr>
        <w:t xml:space="preserve">em 13 de </w:t>
      </w:r>
      <w:r>
        <w:rPr>
          <w:spacing w:val="7"/>
        </w:rPr>
        <w:t xml:space="preserve">junho </w:t>
      </w:r>
      <w:r>
        <w:rPr>
          <w:spacing w:val="5"/>
        </w:rPr>
        <w:t xml:space="preserve">de </w:t>
      </w:r>
      <w:r>
        <w:rPr>
          <w:spacing w:val="7"/>
        </w:rPr>
        <w:t xml:space="preserve">2005. </w:t>
      </w:r>
      <w:r>
        <w:rPr>
          <w:spacing w:val="5"/>
        </w:rPr>
        <w:t xml:space="preserve">Mas os </w:t>
      </w:r>
      <w:r>
        <w:rPr>
          <w:spacing w:val="10"/>
        </w:rPr>
        <w:t xml:space="preserve">garimpeiros </w:t>
      </w:r>
      <w:r>
        <w:rPr>
          <w:spacing w:val="3"/>
        </w:rPr>
        <w:t xml:space="preserve">continuaram </w:t>
      </w:r>
      <w:r>
        <w:t xml:space="preserve">a </w:t>
      </w:r>
      <w:r>
        <w:rPr>
          <w:spacing w:val="3"/>
        </w:rPr>
        <w:t xml:space="preserve">atuar </w:t>
      </w:r>
      <w:r>
        <w:rPr>
          <w:spacing w:val="1"/>
        </w:rPr>
        <w:t xml:space="preserve">na </w:t>
      </w:r>
      <w:r>
        <w:rPr>
          <w:spacing w:val="3"/>
        </w:rPr>
        <w:t xml:space="preserve">área, utilizando jatos d’água </w:t>
      </w:r>
      <w:r>
        <w:rPr>
          <w:spacing w:val="5"/>
        </w:rPr>
        <w:t xml:space="preserve">para </w:t>
      </w:r>
      <w:r>
        <w:t xml:space="preserve">desmanche dos barrancos. Em 23 de junho do mesmo ano, a </w:t>
      </w:r>
      <w:r>
        <w:rPr>
          <w:spacing w:val="6"/>
        </w:rPr>
        <w:t xml:space="preserve">Copgavin </w:t>
      </w:r>
      <w:r>
        <w:rPr>
          <w:spacing w:val="5"/>
        </w:rPr>
        <w:t>fo</w:t>
      </w:r>
      <w:r>
        <w:rPr>
          <w:spacing w:val="5"/>
        </w:rPr>
        <w:t xml:space="preserve">i autuada pela Sema por </w:t>
      </w:r>
      <w:r>
        <w:rPr>
          <w:spacing w:val="6"/>
        </w:rPr>
        <w:t xml:space="preserve">prosseguir </w:t>
      </w:r>
      <w:r>
        <w:rPr>
          <w:spacing w:val="5"/>
        </w:rPr>
        <w:t xml:space="preserve">com </w:t>
      </w:r>
      <w:r>
        <w:t xml:space="preserve">o funcionamento da atividade poluidora/degradadora sem obter a </w:t>
      </w:r>
      <w:r>
        <w:rPr>
          <w:spacing w:val="1"/>
        </w:rPr>
        <w:t xml:space="preserve">licença </w:t>
      </w:r>
      <w:r>
        <w:t xml:space="preserve">do </w:t>
      </w:r>
      <w:r>
        <w:rPr>
          <w:spacing w:val="1"/>
        </w:rPr>
        <w:t xml:space="preserve">órgão ambiental competente </w:t>
      </w:r>
      <w:r>
        <w:t xml:space="preserve">e, </w:t>
      </w:r>
      <w:r>
        <w:rPr>
          <w:spacing w:val="1"/>
        </w:rPr>
        <w:t xml:space="preserve">mesmo </w:t>
      </w:r>
      <w:r>
        <w:rPr>
          <w:spacing w:val="2"/>
        </w:rPr>
        <w:t xml:space="preserve">assim, </w:t>
      </w:r>
      <w:r>
        <w:t>continuou suas atividades. A cooperativa exigia R$ 9 milhões para abandonar a área e entregá-la à mi</w:t>
      </w:r>
      <w:r>
        <w:t>neradora detentora dos direitos de lavra (BRASILIENSE,</w:t>
      </w:r>
      <w:r>
        <w:rPr>
          <w:spacing w:val="25"/>
        </w:rPr>
        <w:t xml:space="preserve"> </w:t>
      </w:r>
      <w:r>
        <w:t>2005).</w:t>
      </w:r>
    </w:p>
    <w:p w:rsidR="00D81F69" w:rsidRDefault="00330118">
      <w:pPr>
        <w:pStyle w:val="Corpodetexto"/>
        <w:spacing w:before="141" w:line="312" w:lineRule="auto"/>
        <w:ind w:right="236"/>
      </w:pPr>
      <w:r>
        <w:rPr>
          <w:spacing w:val="8"/>
        </w:rPr>
        <w:t xml:space="preserve">Numa </w:t>
      </w:r>
      <w:r>
        <w:rPr>
          <w:spacing w:val="10"/>
        </w:rPr>
        <w:t xml:space="preserve">audiência ocorrida </w:t>
      </w:r>
      <w:r>
        <w:rPr>
          <w:spacing w:val="5"/>
        </w:rPr>
        <w:t xml:space="preserve">em </w:t>
      </w:r>
      <w:r>
        <w:rPr>
          <w:spacing w:val="10"/>
        </w:rPr>
        <w:t xml:space="preserve">setembro </w:t>
      </w:r>
      <w:r>
        <w:rPr>
          <w:spacing w:val="5"/>
        </w:rPr>
        <w:t xml:space="preserve">de </w:t>
      </w:r>
      <w:r>
        <w:rPr>
          <w:spacing w:val="10"/>
        </w:rPr>
        <w:t xml:space="preserve">2005, </w:t>
      </w:r>
      <w:r>
        <w:rPr>
          <w:spacing w:val="12"/>
        </w:rPr>
        <w:t xml:space="preserve">os </w:t>
      </w:r>
      <w:r>
        <w:t xml:space="preserve">garimpeiros concordaram que a Mineração Pedra Branca do Amapari entrasse na área para fazer recuperação e iniciasse a pesquisa de prospecção para </w:t>
      </w:r>
      <w:r>
        <w:t xml:space="preserve">verificar o potencial minerário, </w:t>
      </w:r>
      <w:r>
        <w:rPr>
          <w:spacing w:val="5"/>
        </w:rPr>
        <w:t xml:space="preserve">mas </w:t>
      </w:r>
      <w:r>
        <w:rPr>
          <w:spacing w:val="6"/>
        </w:rPr>
        <w:t xml:space="preserve">voltaram </w:t>
      </w:r>
      <w:r>
        <w:t xml:space="preserve">a </w:t>
      </w:r>
      <w:r>
        <w:rPr>
          <w:spacing w:val="5"/>
        </w:rPr>
        <w:t xml:space="preserve">impedir </w:t>
      </w:r>
      <w:r>
        <w:t xml:space="preserve">a </w:t>
      </w:r>
      <w:r>
        <w:rPr>
          <w:spacing w:val="5"/>
        </w:rPr>
        <w:t xml:space="preserve">entrada dos </w:t>
      </w:r>
      <w:r>
        <w:rPr>
          <w:spacing w:val="6"/>
        </w:rPr>
        <w:t>técnicos</w:t>
      </w:r>
      <w:r>
        <w:rPr>
          <w:spacing w:val="25"/>
        </w:rPr>
        <w:t xml:space="preserve"> </w:t>
      </w:r>
      <w:r>
        <w:rPr>
          <w:spacing w:val="5"/>
        </w:rPr>
        <w:t xml:space="preserve">com </w:t>
      </w:r>
      <w:r>
        <w:t>a</w:t>
      </w:r>
    </w:p>
    <w:p w:rsidR="00D81F69" w:rsidRDefault="00D81F69">
      <w:pPr>
        <w:spacing w:line="312" w:lineRule="auto"/>
        <w:sectPr w:rsidR="00D81F69">
          <w:pgSz w:w="11900" w:h="16840"/>
          <w:pgMar w:top="740" w:right="460" w:bottom="620" w:left="620" w:header="0" w:footer="402" w:gutter="0"/>
          <w:cols w:num="2" w:space="720" w:equalWidth="0">
            <w:col w:w="5169" w:space="301"/>
            <w:col w:w="5350"/>
          </w:cols>
        </w:sectPr>
      </w:pPr>
    </w:p>
    <w:p w:rsidR="00D81F69" w:rsidRDefault="00330118">
      <w:pPr>
        <w:pStyle w:val="Corpodetexto"/>
        <w:spacing w:before="81" w:line="312" w:lineRule="auto"/>
        <w:ind w:right="50"/>
      </w:pPr>
      <w:r>
        <w:lastRenderedPageBreak/>
        <w:t>proximidade de uma nova audiência, em novembro do mesmo ano. Cabe ressaltar que os garimpeiros da área não aceitaram a proposta da Mineração A</w:t>
      </w:r>
      <w:r>
        <w:t>mapari de aproveitá-los como mão de obra da empresa (AMAZÔNIA BRASIL, 2005).</w:t>
      </w:r>
    </w:p>
    <w:p w:rsidR="00D81F69" w:rsidRDefault="00330118">
      <w:pPr>
        <w:pStyle w:val="Corpodetexto"/>
        <w:spacing w:before="134" w:line="312" w:lineRule="auto"/>
        <w:ind w:right="42"/>
      </w:pPr>
      <w:r>
        <w:rPr>
          <w:spacing w:val="1"/>
        </w:rPr>
        <w:t xml:space="preserve">No </w:t>
      </w:r>
      <w:r>
        <w:rPr>
          <w:spacing w:val="3"/>
        </w:rPr>
        <w:t xml:space="preserve">final </w:t>
      </w:r>
      <w:r>
        <w:rPr>
          <w:spacing w:val="1"/>
        </w:rPr>
        <w:t xml:space="preserve">de </w:t>
      </w:r>
      <w:r>
        <w:rPr>
          <w:spacing w:val="3"/>
        </w:rPr>
        <w:t xml:space="preserve">setembro, </w:t>
      </w:r>
      <w:r>
        <w:t xml:space="preserve">a </w:t>
      </w:r>
      <w:r>
        <w:rPr>
          <w:spacing w:val="3"/>
        </w:rPr>
        <w:t xml:space="preserve">Mineração Amapari protocolou </w:t>
      </w:r>
      <w:r>
        <w:rPr>
          <w:spacing w:val="5"/>
        </w:rPr>
        <w:t xml:space="preserve">no </w:t>
      </w:r>
      <w:r>
        <w:t xml:space="preserve">Ministério Público Federal, na Secretaria do Meio Ambiente e </w:t>
      </w:r>
      <w:r>
        <w:rPr>
          <w:spacing w:val="3"/>
        </w:rPr>
        <w:t xml:space="preserve">no </w:t>
      </w:r>
      <w:r>
        <w:rPr>
          <w:spacing w:val="5"/>
        </w:rPr>
        <w:t xml:space="preserve">DNPM </w:t>
      </w:r>
      <w:r>
        <w:rPr>
          <w:spacing w:val="6"/>
        </w:rPr>
        <w:t xml:space="preserve">denúncia </w:t>
      </w:r>
      <w:r>
        <w:rPr>
          <w:spacing w:val="5"/>
        </w:rPr>
        <w:t xml:space="preserve">para </w:t>
      </w:r>
      <w:r>
        <w:rPr>
          <w:spacing w:val="6"/>
        </w:rPr>
        <w:t xml:space="preserve">prevenção </w:t>
      </w:r>
      <w:r>
        <w:rPr>
          <w:spacing w:val="3"/>
        </w:rPr>
        <w:t xml:space="preserve">de </w:t>
      </w:r>
      <w:r>
        <w:rPr>
          <w:spacing w:val="5"/>
        </w:rPr>
        <w:t xml:space="preserve">seus </w:t>
      </w:r>
      <w:r>
        <w:rPr>
          <w:spacing w:val="6"/>
        </w:rPr>
        <w:t xml:space="preserve">direitos </w:t>
      </w:r>
      <w:r>
        <w:t xml:space="preserve">e </w:t>
      </w:r>
      <w:r>
        <w:rPr>
          <w:spacing w:val="3"/>
        </w:rPr>
        <w:t>responsabil</w:t>
      </w:r>
      <w:r>
        <w:rPr>
          <w:spacing w:val="3"/>
        </w:rPr>
        <w:t xml:space="preserve">idades, tendo </w:t>
      </w:r>
      <w:r>
        <w:rPr>
          <w:spacing w:val="1"/>
        </w:rPr>
        <w:t xml:space="preserve">em </w:t>
      </w:r>
      <w:r>
        <w:rPr>
          <w:spacing w:val="3"/>
        </w:rPr>
        <w:t xml:space="preserve">vista </w:t>
      </w:r>
      <w:r>
        <w:t xml:space="preserve">a </w:t>
      </w:r>
      <w:r>
        <w:rPr>
          <w:spacing w:val="3"/>
        </w:rPr>
        <w:t xml:space="preserve">extensão </w:t>
      </w:r>
      <w:r>
        <w:rPr>
          <w:spacing w:val="2"/>
        </w:rPr>
        <w:t xml:space="preserve">dos </w:t>
      </w:r>
      <w:r>
        <w:rPr>
          <w:spacing w:val="5"/>
        </w:rPr>
        <w:t xml:space="preserve">danos </w:t>
      </w:r>
      <w:r>
        <w:t xml:space="preserve">ambientais que poderiam ser causados pelo rompimento da </w:t>
      </w:r>
      <w:r>
        <w:rPr>
          <w:spacing w:val="18"/>
        </w:rPr>
        <w:t xml:space="preserve">barragem. </w:t>
      </w:r>
      <w:r>
        <w:t xml:space="preserve">A </w:t>
      </w:r>
      <w:r>
        <w:rPr>
          <w:spacing w:val="17"/>
        </w:rPr>
        <w:t xml:space="preserve">empresa </w:t>
      </w:r>
      <w:r>
        <w:rPr>
          <w:spacing w:val="18"/>
        </w:rPr>
        <w:t xml:space="preserve">pretendia </w:t>
      </w:r>
      <w:r>
        <w:rPr>
          <w:spacing w:val="10"/>
        </w:rPr>
        <w:t>se</w:t>
      </w:r>
      <w:r>
        <w:rPr>
          <w:spacing w:val="71"/>
        </w:rPr>
        <w:t xml:space="preserve"> </w:t>
      </w:r>
      <w:r>
        <w:rPr>
          <w:spacing w:val="17"/>
        </w:rPr>
        <w:t xml:space="preserve">eximir </w:t>
      </w:r>
      <w:r>
        <w:rPr>
          <w:spacing w:val="13"/>
        </w:rPr>
        <w:t xml:space="preserve">das </w:t>
      </w:r>
      <w:r>
        <w:rPr>
          <w:spacing w:val="1"/>
        </w:rPr>
        <w:t xml:space="preserve">responsabilidades </w:t>
      </w:r>
      <w:r>
        <w:t xml:space="preserve">de ter que </w:t>
      </w:r>
      <w:r>
        <w:rPr>
          <w:spacing w:val="1"/>
        </w:rPr>
        <w:t xml:space="preserve">reparar </w:t>
      </w:r>
      <w:r>
        <w:t xml:space="preserve">o </w:t>
      </w:r>
      <w:r>
        <w:rPr>
          <w:spacing w:val="1"/>
        </w:rPr>
        <w:t xml:space="preserve">dano ambiental </w:t>
      </w:r>
      <w:r>
        <w:rPr>
          <w:spacing w:val="2"/>
        </w:rPr>
        <w:t xml:space="preserve">de </w:t>
      </w:r>
      <w:r>
        <w:rPr>
          <w:spacing w:val="5"/>
        </w:rPr>
        <w:t xml:space="preserve">dimensões imprevisíveis </w:t>
      </w:r>
      <w:r>
        <w:rPr>
          <w:spacing w:val="3"/>
        </w:rPr>
        <w:t xml:space="preserve">caso </w:t>
      </w:r>
      <w:r>
        <w:t xml:space="preserve">a </w:t>
      </w:r>
      <w:r>
        <w:rPr>
          <w:spacing w:val="5"/>
        </w:rPr>
        <w:t xml:space="preserve">barragem </w:t>
      </w:r>
      <w:r>
        <w:rPr>
          <w:spacing w:val="2"/>
        </w:rPr>
        <w:t xml:space="preserve">de </w:t>
      </w:r>
      <w:r>
        <w:rPr>
          <w:spacing w:val="5"/>
        </w:rPr>
        <w:t>rejeitos do</w:t>
      </w:r>
      <w:r>
        <w:rPr>
          <w:spacing w:val="61"/>
        </w:rPr>
        <w:t xml:space="preserve"> </w:t>
      </w:r>
      <w:r>
        <w:rPr>
          <w:spacing w:val="5"/>
        </w:rPr>
        <w:t xml:space="preserve">garimpo viesse </w:t>
      </w:r>
      <w:r>
        <w:t xml:space="preserve">a </w:t>
      </w:r>
      <w:r>
        <w:rPr>
          <w:spacing w:val="2"/>
        </w:rPr>
        <w:t xml:space="preserve">se </w:t>
      </w:r>
      <w:r>
        <w:rPr>
          <w:spacing w:val="5"/>
        </w:rPr>
        <w:t>romper (BRASILIENSE, 2005).</w:t>
      </w:r>
    </w:p>
    <w:p w:rsidR="00D81F69" w:rsidRDefault="00330118">
      <w:pPr>
        <w:pStyle w:val="Corpodetexto"/>
        <w:spacing w:before="138" w:line="312" w:lineRule="auto"/>
        <w:ind w:right="48"/>
      </w:pPr>
      <w:r>
        <w:t>O impasse durou até 2008, quando integrantes da cooperativa e representantes da Mineração Amapari participaram de uma audiência de conciliação, selando um acordo sobre a exploração de ouro na região. A Minera</w:t>
      </w:r>
      <w:r>
        <w:t>ção Amapari doou à cooperativa uma área de aproximadamente 600 hectares para ser explorada tanto no setor de garimpagem quanto na agricultura (MUNIZ, 2008).</w:t>
      </w:r>
    </w:p>
    <w:p w:rsidR="00D81F69" w:rsidRDefault="00330118">
      <w:pPr>
        <w:pStyle w:val="Corpodetexto"/>
        <w:spacing w:before="136" w:line="312" w:lineRule="auto"/>
        <w:ind w:right="53"/>
      </w:pPr>
      <w:r>
        <w:t>O acordo, além de acabar com os conflitos que existiam entre garimpeiros e empresários, possibilitaria aos trabalhadores da região efetivar o processo de regularização da área. A cooperativa foi a segunda a se regularizar no Amapá e uma das poucas a adquir</w:t>
      </w:r>
      <w:r>
        <w:t>ir autorização para exploração de garimpo na região Amazônica. O acordo previa, ainda, a recuperação de danos causados ao meio ambiente por parte de ambos os empreendimentos, tanto a empresa quanto a cooperativa (MUNIZ, 2008).</w:t>
      </w:r>
    </w:p>
    <w:p w:rsidR="00D81F69" w:rsidRDefault="00330118">
      <w:pPr>
        <w:pStyle w:val="Corpodetexto"/>
        <w:spacing w:before="139" w:line="312" w:lineRule="auto"/>
        <w:ind w:right="52"/>
      </w:pPr>
      <w:r>
        <w:t>Também, em 2008, a Eldorado G</w:t>
      </w:r>
      <w:r>
        <w:t>old Corporation anunciou a implantação do projeto Vila Nova, com produção de 900 mil toneladas/ano de minério de ferro granulado e fino para sinterização, por um período de nove anos. Para isto, a empresa deverá investir cerca de US$ 39 milhões no empreend</w:t>
      </w:r>
      <w:r>
        <w:t>imento, que tem participação de 25% da Mineração Amapari. A empresa também informou que assinou um memorando de entendimentos com a BHP Billiton [maior empresa de mineração do mundo] visando à venda futura do minério de Vila Nova. Pelos termos do memorando</w:t>
      </w:r>
      <w:r>
        <w:t>, a BHP se comprometeu a adquirir 100% da produção durante os três anos seguintes. A expectativa da Eldorado era conseguir um custo de produção de US$ 39 por tonelada, o que lhe garantiria uma boa rentabilidade, já que o minério pode ser comercializado a U</w:t>
      </w:r>
      <w:r>
        <w:t>S$ 76/tonelada FOB [entregue em portos] (BRASIL MINERAL, 2008).</w:t>
      </w:r>
    </w:p>
    <w:p w:rsidR="00D81F69" w:rsidRDefault="00330118">
      <w:pPr>
        <w:pStyle w:val="Corpodetexto"/>
        <w:spacing w:before="144" w:line="312" w:lineRule="auto"/>
        <w:ind w:right="38"/>
      </w:pPr>
      <w:r>
        <w:t xml:space="preserve">Em novembro de 2010, a Eldorado Gold realizou o primeiro </w:t>
      </w:r>
      <w:r>
        <w:rPr>
          <w:spacing w:val="1"/>
        </w:rPr>
        <w:t xml:space="preserve">embarque </w:t>
      </w:r>
      <w:r>
        <w:t xml:space="preserve">de </w:t>
      </w:r>
      <w:r>
        <w:rPr>
          <w:spacing w:val="1"/>
        </w:rPr>
        <w:t xml:space="preserve">minério </w:t>
      </w:r>
      <w:r>
        <w:t xml:space="preserve">de </w:t>
      </w:r>
      <w:r>
        <w:rPr>
          <w:spacing w:val="1"/>
        </w:rPr>
        <w:t xml:space="preserve">ferro extraído </w:t>
      </w:r>
      <w:r>
        <w:t xml:space="preserve">da </w:t>
      </w:r>
      <w:r>
        <w:rPr>
          <w:spacing w:val="1"/>
        </w:rPr>
        <w:t xml:space="preserve">mina Vila </w:t>
      </w:r>
      <w:r>
        <w:rPr>
          <w:spacing w:val="2"/>
        </w:rPr>
        <w:t xml:space="preserve">Nova. </w:t>
      </w:r>
      <w:r>
        <w:t>Foram 45 mil toneladas de minério embarcados para a China, onde o produto será</w:t>
      </w:r>
      <w:r>
        <w:t xml:space="preserve"> vendido no mercado à vista. O minério tem teor de pureza de 63%, e o embarque faz parte de um projeto piloto. No futuro, a Eldorado pretende despachar 90 mil t/mês de minério de ferro de Vila Nova. O depósito </w:t>
      </w:r>
      <w:r>
        <w:rPr>
          <w:spacing w:val="1"/>
        </w:rPr>
        <w:t xml:space="preserve">tem </w:t>
      </w:r>
      <w:r>
        <w:rPr>
          <w:spacing w:val="3"/>
        </w:rPr>
        <w:t xml:space="preserve">reservas provadas </w:t>
      </w:r>
      <w:r>
        <w:t xml:space="preserve">e </w:t>
      </w:r>
      <w:r>
        <w:rPr>
          <w:spacing w:val="3"/>
        </w:rPr>
        <w:t xml:space="preserve">prováveis superiores </w:t>
      </w:r>
      <w:r>
        <w:t>a</w:t>
      </w:r>
      <w:r>
        <w:t xml:space="preserve"> 9 </w:t>
      </w:r>
      <w:r>
        <w:rPr>
          <w:spacing w:val="3"/>
        </w:rPr>
        <w:t xml:space="preserve">milhões </w:t>
      </w:r>
      <w:r>
        <w:rPr>
          <w:spacing w:val="5"/>
        </w:rPr>
        <w:t xml:space="preserve">de </w:t>
      </w:r>
      <w:r>
        <w:t>minério</w:t>
      </w:r>
      <w:r>
        <w:rPr>
          <w:spacing w:val="10"/>
        </w:rPr>
        <w:t xml:space="preserve"> </w:t>
      </w:r>
      <w:r>
        <w:t>a</w:t>
      </w:r>
      <w:r>
        <w:rPr>
          <w:spacing w:val="10"/>
        </w:rPr>
        <w:t xml:space="preserve"> </w:t>
      </w:r>
      <w:r>
        <w:t>um</w:t>
      </w:r>
      <w:r>
        <w:rPr>
          <w:spacing w:val="10"/>
        </w:rPr>
        <w:t xml:space="preserve"> </w:t>
      </w:r>
      <w:r>
        <w:t>teor</w:t>
      </w:r>
      <w:r>
        <w:rPr>
          <w:spacing w:val="10"/>
        </w:rPr>
        <w:t xml:space="preserve"> </w:t>
      </w:r>
      <w:r>
        <w:t>médio</w:t>
      </w:r>
      <w:r>
        <w:rPr>
          <w:spacing w:val="10"/>
        </w:rPr>
        <w:t xml:space="preserve"> </w:t>
      </w:r>
      <w:r>
        <w:t>de</w:t>
      </w:r>
      <w:r>
        <w:rPr>
          <w:spacing w:val="10"/>
        </w:rPr>
        <w:t xml:space="preserve"> </w:t>
      </w:r>
      <w:r>
        <w:t>61%.</w:t>
      </w:r>
      <w:r>
        <w:rPr>
          <w:spacing w:val="10"/>
        </w:rPr>
        <w:t xml:space="preserve"> </w:t>
      </w:r>
      <w:r>
        <w:t>(BRASIL</w:t>
      </w:r>
      <w:r>
        <w:rPr>
          <w:spacing w:val="10"/>
        </w:rPr>
        <w:t xml:space="preserve"> </w:t>
      </w:r>
      <w:r>
        <w:t>MINERAL,</w:t>
      </w:r>
      <w:r>
        <w:rPr>
          <w:spacing w:val="10"/>
        </w:rPr>
        <w:t xml:space="preserve"> </w:t>
      </w:r>
      <w:r>
        <w:t>2010).</w:t>
      </w:r>
    </w:p>
    <w:p w:rsidR="00D81F69" w:rsidRDefault="00330118">
      <w:pPr>
        <w:pStyle w:val="Corpodetexto"/>
        <w:spacing w:before="5"/>
        <w:ind w:left="0"/>
        <w:jc w:val="left"/>
        <w:rPr>
          <w:sz w:val="24"/>
        </w:rPr>
      </w:pPr>
      <w:r>
        <w:br w:type="column"/>
      </w:r>
    </w:p>
    <w:p w:rsidR="00D81F69" w:rsidRDefault="00330118">
      <w:pPr>
        <w:pStyle w:val="Corpodetexto"/>
        <w:spacing w:line="312" w:lineRule="auto"/>
        <w:ind w:right="234"/>
      </w:pPr>
      <w:r>
        <w:t xml:space="preserve">Cabe mencionar que o triângulo formado por Porto Grande, Serra do Navio e Pedra Branca do Amapari é a região com maior concentração de torianita, minério que tem em sua composição </w:t>
      </w:r>
      <w:hyperlink r:id="rId150">
        <w:r>
          <w:t>urânio.</w:t>
        </w:r>
      </w:hyperlink>
      <w:r>
        <w:t xml:space="preserve"> Cada quilo do minério chega a ter 80 gramas de urânio e 750 de tório, igualmente radioativo e também prejudicial à saúde. A extração, o transporte e o armazename</w:t>
      </w:r>
      <w:r>
        <w:t>nto são feitos clandestinamente, pois a exploração de minério radioativo é monopólio da União (RANGEL, 2006).</w:t>
      </w:r>
    </w:p>
    <w:p w:rsidR="00D81F69" w:rsidRDefault="00330118">
      <w:pPr>
        <w:pStyle w:val="Corpodetexto"/>
        <w:spacing w:before="138" w:line="312" w:lineRule="auto"/>
        <w:ind w:right="234"/>
      </w:pPr>
      <w:r>
        <w:rPr>
          <w:spacing w:val="2"/>
        </w:rPr>
        <w:t xml:space="preserve">Por ser mais </w:t>
      </w:r>
      <w:r>
        <w:rPr>
          <w:spacing w:val="3"/>
        </w:rPr>
        <w:t xml:space="preserve">próximo </w:t>
      </w:r>
      <w:r>
        <w:rPr>
          <w:spacing w:val="1"/>
        </w:rPr>
        <w:t xml:space="preserve">da </w:t>
      </w:r>
      <w:r>
        <w:rPr>
          <w:spacing w:val="3"/>
        </w:rPr>
        <w:t xml:space="preserve">capital, Macapá, </w:t>
      </w:r>
      <w:r>
        <w:rPr>
          <w:spacing w:val="2"/>
        </w:rPr>
        <w:t xml:space="preserve">com </w:t>
      </w:r>
      <w:r>
        <w:t xml:space="preserve">o </w:t>
      </w:r>
      <w:r>
        <w:rPr>
          <w:spacing w:val="2"/>
        </w:rPr>
        <w:t xml:space="preserve">qual </w:t>
      </w:r>
      <w:r>
        <w:rPr>
          <w:spacing w:val="5"/>
        </w:rPr>
        <w:t xml:space="preserve">tem </w:t>
      </w:r>
      <w:r>
        <w:t xml:space="preserve">ligação por rodovia asfaltada, o município de Porto </w:t>
      </w:r>
      <w:r>
        <w:rPr>
          <w:spacing w:val="1"/>
        </w:rPr>
        <w:t xml:space="preserve">Grande </w:t>
      </w:r>
      <w:r>
        <w:t xml:space="preserve">funciona como uma espécie de entreposto do tráfico. É para  lá que é levada boa parte da produção que sai dos garimpos. A </w:t>
      </w:r>
      <w:r>
        <w:rPr>
          <w:spacing w:val="2"/>
        </w:rPr>
        <w:t xml:space="preserve">rota </w:t>
      </w:r>
      <w:r>
        <w:t xml:space="preserve">a </w:t>
      </w:r>
      <w:r>
        <w:rPr>
          <w:spacing w:val="3"/>
        </w:rPr>
        <w:t xml:space="preserve">seguir </w:t>
      </w:r>
      <w:r>
        <w:t xml:space="preserve">é </w:t>
      </w:r>
      <w:r>
        <w:rPr>
          <w:spacing w:val="3"/>
        </w:rPr>
        <w:t xml:space="preserve">variada. </w:t>
      </w:r>
      <w:r>
        <w:t xml:space="preserve">O </w:t>
      </w:r>
      <w:r>
        <w:rPr>
          <w:spacing w:val="3"/>
        </w:rPr>
        <w:t xml:space="preserve">minério segue </w:t>
      </w:r>
      <w:r>
        <w:rPr>
          <w:spacing w:val="1"/>
        </w:rPr>
        <w:t xml:space="preserve">de </w:t>
      </w:r>
      <w:r>
        <w:rPr>
          <w:spacing w:val="3"/>
        </w:rPr>
        <w:t xml:space="preserve">carro </w:t>
      </w:r>
      <w:r>
        <w:rPr>
          <w:spacing w:val="5"/>
        </w:rPr>
        <w:t xml:space="preserve">para </w:t>
      </w:r>
      <w:r>
        <w:t>Macapá ou do garimpo é levado de barco até o Oiapoque, na ponta norte do estado</w:t>
      </w:r>
      <w:r>
        <w:t>. Depois, vai para a Guiana Francesa, de</w:t>
      </w:r>
      <w:r>
        <w:rPr>
          <w:spacing w:val="18"/>
        </w:rPr>
        <w:t xml:space="preserve"> </w:t>
      </w:r>
      <w:r>
        <w:t>onde</w:t>
      </w:r>
      <w:r>
        <w:rPr>
          <w:spacing w:val="18"/>
        </w:rPr>
        <w:t xml:space="preserve"> </w:t>
      </w:r>
      <w:r>
        <w:t>é</w:t>
      </w:r>
      <w:r>
        <w:rPr>
          <w:spacing w:val="18"/>
        </w:rPr>
        <w:t xml:space="preserve"> </w:t>
      </w:r>
      <w:r>
        <w:t>despachado</w:t>
      </w:r>
      <w:r>
        <w:rPr>
          <w:spacing w:val="18"/>
        </w:rPr>
        <w:t xml:space="preserve"> </w:t>
      </w:r>
      <w:r>
        <w:t>para</w:t>
      </w:r>
      <w:r>
        <w:rPr>
          <w:spacing w:val="18"/>
        </w:rPr>
        <w:t xml:space="preserve"> </w:t>
      </w:r>
      <w:r>
        <w:t>outros</w:t>
      </w:r>
      <w:r>
        <w:rPr>
          <w:spacing w:val="18"/>
        </w:rPr>
        <w:t xml:space="preserve"> </w:t>
      </w:r>
      <w:r>
        <w:t>países</w:t>
      </w:r>
      <w:r>
        <w:rPr>
          <w:spacing w:val="18"/>
        </w:rPr>
        <w:t xml:space="preserve"> </w:t>
      </w:r>
      <w:r>
        <w:t>(RANGEL,</w:t>
      </w:r>
      <w:r>
        <w:rPr>
          <w:spacing w:val="18"/>
        </w:rPr>
        <w:t xml:space="preserve"> </w:t>
      </w:r>
      <w:r>
        <w:t>2006).</w:t>
      </w:r>
    </w:p>
    <w:p w:rsidR="00D81F69" w:rsidRDefault="00D81F69">
      <w:pPr>
        <w:pStyle w:val="Corpodetexto"/>
        <w:spacing w:before="7"/>
        <w:ind w:left="0"/>
        <w:jc w:val="left"/>
        <w:rPr>
          <w:sz w:val="21"/>
        </w:rPr>
      </w:pPr>
    </w:p>
    <w:p w:rsidR="00D81F69" w:rsidRDefault="00330118">
      <w:pPr>
        <w:pStyle w:val="Heading7"/>
        <w:jc w:val="left"/>
      </w:pPr>
      <w:r>
        <w:t>LOCALIZAÇÃO GEOGRÁFICA</w:t>
      </w:r>
    </w:p>
    <w:p w:rsidR="00D81F69" w:rsidRDefault="00330118">
      <w:pPr>
        <w:pStyle w:val="Corpodetexto"/>
        <w:spacing w:before="179" w:line="312" w:lineRule="auto"/>
        <w:ind w:right="247"/>
      </w:pPr>
      <w:r>
        <w:t xml:space="preserve">O </w:t>
      </w:r>
      <w:r>
        <w:rPr>
          <w:spacing w:val="2"/>
        </w:rPr>
        <w:t xml:space="preserve">rio Vila Nova faz </w:t>
      </w:r>
      <w:r>
        <w:t xml:space="preserve">a </w:t>
      </w:r>
      <w:r>
        <w:rPr>
          <w:spacing w:val="3"/>
        </w:rPr>
        <w:t xml:space="preserve">divisa entre </w:t>
      </w:r>
      <w:r>
        <w:rPr>
          <w:spacing w:val="1"/>
        </w:rPr>
        <w:t xml:space="preserve">os </w:t>
      </w:r>
      <w:r>
        <w:rPr>
          <w:spacing w:val="3"/>
        </w:rPr>
        <w:t xml:space="preserve">municípios </w:t>
      </w:r>
      <w:r>
        <w:rPr>
          <w:spacing w:val="1"/>
        </w:rPr>
        <w:t xml:space="preserve">de </w:t>
      </w:r>
      <w:r>
        <w:rPr>
          <w:spacing w:val="5"/>
        </w:rPr>
        <w:t xml:space="preserve">Porto </w:t>
      </w:r>
      <w:r>
        <w:t xml:space="preserve">Grande e Mazagão. O município de Manzagão possui </w:t>
      </w:r>
      <w:r>
        <w:rPr>
          <w:spacing w:val="1"/>
        </w:rPr>
        <w:t xml:space="preserve">uma </w:t>
      </w:r>
      <w:r>
        <w:t>mina de ouro denominada Vic</w:t>
      </w:r>
      <w:r>
        <w:t xml:space="preserve">ente e mais cinco ocorrências </w:t>
      </w:r>
      <w:r>
        <w:rPr>
          <w:spacing w:val="3"/>
        </w:rPr>
        <w:t xml:space="preserve">do </w:t>
      </w:r>
      <w:r>
        <w:rPr>
          <w:spacing w:val="6"/>
        </w:rPr>
        <w:t xml:space="preserve">minério. </w:t>
      </w:r>
      <w:r>
        <w:t xml:space="preserve">O </w:t>
      </w:r>
      <w:r>
        <w:rPr>
          <w:spacing w:val="6"/>
        </w:rPr>
        <w:t xml:space="preserve">município </w:t>
      </w:r>
      <w:r>
        <w:rPr>
          <w:spacing w:val="3"/>
        </w:rPr>
        <w:t xml:space="preserve">de </w:t>
      </w:r>
      <w:r>
        <w:rPr>
          <w:spacing w:val="5"/>
        </w:rPr>
        <w:t xml:space="preserve">Porto Grande possui </w:t>
      </w:r>
      <w:r>
        <w:rPr>
          <w:spacing w:val="7"/>
        </w:rPr>
        <w:t xml:space="preserve">duas </w:t>
      </w:r>
      <w:r>
        <w:t xml:space="preserve">ocorrências de minério de ouro presentes na bacia do rio Vila </w:t>
      </w:r>
      <w:r>
        <w:rPr>
          <w:spacing w:val="1"/>
        </w:rPr>
        <w:t xml:space="preserve">Nova, </w:t>
      </w:r>
      <w:r>
        <w:t xml:space="preserve">ao </w:t>
      </w:r>
      <w:r>
        <w:rPr>
          <w:spacing w:val="1"/>
        </w:rPr>
        <w:t xml:space="preserve">longo </w:t>
      </w:r>
      <w:r>
        <w:t xml:space="preserve">do seu </w:t>
      </w:r>
      <w:r>
        <w:rPr>
          <w:spacing w:val="1"/>
        </w:rPr>
        <w:t xml:space="preserve">canal principal </w:t>
      </w:r>
      <w:r>
        <w:t xml:space="preserve">que </w:t>
      </w:r>
      <w:r>
        <w:rPr>
          <w:spacing w:val="1"/>
        </w:rPr>
        <w:t xml:space="preserve">deságua </w:t>
      </w:r>
      <w:r>
        <w:t xml:space="preserve">no </w:t>
      </w:r>
      <w:r>
        <w:rPr>
          <w:spacing w:val="2"/>
        </w:rPr>
        <w:t xml:space="preserve">rio </w:t>
      </w:r>
      <w:r>
        <w:t>Amazonas. Está compreendida entre as latitudes 0°16’31”</w:t>
      </w:r>
      <w:r>
        <w:t>N – 0°57’3”N e longitudes 51°40’39”W –</w:t>
      </w:r>
      <w:r>
        <w:rPr>
          <w:spacing w:val="13"/>
        </w:rPr>
        <w:t xml:space="preserve"> </w:t>
      </w:r>
      <w:r>
        <w:t>52°3’11”W.</w:t>
      </w:r>
    </w:p>
    <w:p w:rsidR="00D81F69" w:rsidRDefault="00D81F69">
      <w:pPr>
        <w:pStyle w:val="Corpodetexto"/>
        <w:spacing w:before="5"/>
        <w:ind w:left="0"/>
        <w:jc w:val="left"/>
        <w:rPr>
          <w:sz w:val="29"/>
        </w:rPr>
      </w:pPr>
    </w:p>
    <w:p w:rsidR="00D81F69" w:rsidRDefault="00330118">
      <w:pPr>
        <w:pStyle w:val="Heading7"/>
        <w:jc w:val="left"/>
      </w:pPr>
      <w:r>
        <w:t>REDATORES</w:t>
      </w:r>
    </w:p>
    <w:p w:rsidR="00D81F69" w:rsidRDefault="00330118">
      <w:pPr>
        <w:pStyle w:val="Corpodetexto"/>
        <w:spacing w:before="179"/>
        <w:jc w:val="left"/>
      </w:pPr>
      <w:r>
        <w:t>Renata Olivieri; Eliane Araujo</w:t>
      </w:r>
    </w:p>
    <w:p w:rsidR="00D81F69" w:rsidRDefault="00D81F69">
      <w:pPr>
        <w:pStyle w:val="Corpodetexto"/>
        <w:ind w:left="0"/>
        <w:jc w:val="left"/>
        <w:rPr>
          <w:sz w:val="20"/>
        </w:rPr>
      </w:pPr>
    </w:p>
    <w:p w:rsidR="00D81F69" w:rsidRDefault="00330118">
      <w:pPr>
        <w:pStyle w:val="Heading7"/>
        <w:spacing w:before="164"/>
        <w:jc w:val="left"/>
      </w:pPr>
      <w:r>
        <w:t>REFERÊNCIAS BIBLIOGRÁFICAS</w:t>
      </w:r>
    </w:p>
    <w:p w:rsidR="00D81F69" w:rsidRDefault="00330118">
      <w:pPr>
        <w:spacing w:before="188" w:line="312" w:lineRule="auto"/>
        <w:ind w:left="100" w:right="223"/>
        <w:jc w:val="both"/>
        <w:rPr>
          <w:sz w:val="16"/>
        </w:rPr>
      </w:pPr>
      <w:r>
        <w:rPr>
          <w:sz w:val="16"/>
        </w:rPr>
        <w:t xml:space="preserve">AMAZÔNIA BRASIL. Justiça Federal dá 15 dias para que mineradora </w:t>
      </w:r>
      <w:r>
        <w:rPr>
          <w:spacing w:val="10"/>
          <w:sz w:val="16"/>
        </w:rPr>
        <w:t xml:space="preserve">e... In: </w:t>
      </w:r>
      <w:r>
        <w:rPr>
          <w:spacing w:val="12"/>
          <w:sz w:val="16"/>
        </w:rPr>
        <w:t xml:space="preserve">Amazônia </w:t>
      </w:r>
      <w:r>
        <w:rPr>
          <w:spacing w:val="11"/>
          <w:sz w:val="16"/>
        </w:rPr>
        <w:t xml:space="preserve">Brasil, </w:t>
      </w:r>
      <w:r>
        <w:rPr>
          <w:spacing w:val="6"/>
          <w:sz w:val="16"/>
        </w:rPr>
        <w:t xml:space="preserve">26 </w:t>
      </w:r>
      <w:r>
        <w:rPr>
          <w:spacing w:val="10"/>
          <w:sz w:val="16"/>
        </w:rPr>
        <w:t xml:space="preserve">nov. </w:t>
      </w:r>
      <w:r>
        <w:rPr>
          <w:spacing w:val="11"/>
          <w:sz w:val="16"/>
        </w:rPr>
        <w:t xml:space="preserve">2005. </w:t>
      </w:r>
      <w:r>
        <w:rPr>
          <w:spacing w:val="12"/>
          <w:sz w:val="16"/>
        </w:rPr>
        <w:t>Disponível</w:t>
      </w:r>
      <w:r>
        <w:rPr>
          <w:spacing w:val="68"/>
          <w:sz w:val="16"/>
        </w:rPr>
        <w:t xml:space="preserve"> </w:t>
      </w:r>
      <w:r>
        <w:rPr>
          <w:spacing w:val="10"/>
          <w:sz w:val="16"/>
        </w:rPr>
        <w:t>em:</w:t>
      </w:r>
      <w:r>
        <w:rPr>
          <w:spacing w:val="-28"/>
          <w:sz w:val="16"/>
        </w:rPr>
        <w:t xml:space="preserve"> </w:t>
      </w:r>
    </w:p>
    <w:p w:rsidR="00D81F69" w:rsidRDefault="00D81F69">
      <w:pPr>
        <w:spacing w:before="2" w:line="312" w:lineRule="auto"/>
        <w:ind w:left="100" w:right="256"/>
        <w:jc w:val="both"/>
        <w:rPr>
          <w:sz w:val="16"/>
        </w:rPr>
      </w:pPr>
      <w:hyperlink r:id="rId151">
        <w:r w:rsidR="00330118">
          <w:rPr>
            <w:sz w:val="16"/>
          </w:rPr>
          <w:t>&lt;http://amapabusca.com.br/mambo/index.php?option=com_content&amp;t</w:t>
        </w:r>
      </w:hyperlink>
      <w:r w:rsidR="00330118">
        <w:rPr>
          <w:sz w:val="16"/>
        </w:rPr>
        <w:t xml:space="preserve"> ask=view&amp;id=1226&amp;Itemid=60&gt;. Acesso em: 14 dez. 2010.</w:t>
      </w:r>
    </w:p>
    <w:p w:rsidR="00D81F69" w:rsidRDefault="00330118">
      <w:pPr>
        <w:spacing w:before="1" w:line="312" w:lineRule="auto"/>
        <w:ind w:left="100" w:right="206"/>
        <w:jc w:val="both"/>
        <w:rPr>
          <w:sz w:val="16"/>
        </w:rPr>
      </w:pPr>
      <w:r>
        <w:rPr>
          <w:spacing w:val="1"/>
          <w:sz w:val="16"/>
        </w:rPr>
        <w:t xml:space="preserve">BRASILIENSE, Ronaldo. Garimpo </w:t>
      </w:r>
      <w:r>
        <w:rPr>
          <w:sz w:val="16"/>
        </w:rPr>
        <w:t xml:space="preserve">é </w:t>
      </w:r>
      <w:r>
        <w:rPr>
          <w:spacing w:val="1"/>
          <w:sz w:val="16"/>
        </w:rPr>
        <w:t xml:space="preserve">bomba-relógio </w:t>
      </w:r>
      <w:r>
        <w:rPr>
          <w:sz w:val="16"/>
        </w:rPr>
        <w:t xml:space="preserve">no </w:t>
      </w:r>
      <w:r>
        <w:rPr>
          <w:spacing w:val="1"/>
          <w:sz w:val="16"/>
        </w:rPr>
        <w:t xml:space="preserve">Amapá. </w:t>
      </w:r>
      <w:r>
        <w:rPr>
          <w:spacing w:val="2"/>
          <w:sz w:val="16"/>
        </w:rPr>
        <w:t>In</w:t>
      </w:r>
      <w:r>
        <w:rPr>
          <w:spacing w:val="2"/>
          <w:sz w:val="16"/>
        </w:rPr>
        <w:t xml:space="preserve">: </w:t>
      </w:r>
      <w:r>
        <w:rPr>
          <w:spacing w:val="25"/>
          <w:sz w:val="16"/>
        </w:rPr>
        <w:t xml:space="preserve">Acorda Amapá, </w:t>
      </w:r>
      <w:r>
        <w:rPr>
          <w:spacing w:val="15"/>
          <w:sz w:val="16"/>
        </w:rPr>
        <w:t xml:space="preserve">23 </w:t>
      </w:r>
      <w:r>
        <w:rPr>
          <w:spacing w:val="22"/>
          <w:sz w:val="16"/>
        </w:rPr>
        <w:t xml:space="preserve">out. </w:t>
      </w:r>
      <w:r>
        <w:rPr>
          <w:spacing w:val="23"/>
          <w:sz w:val="16"/>
        </w:rPr>
        <w:t xml:space="preserve">2005. </w:t>
      </w:r>
      <w:r>
        <w:rPr>
          <w:spacing w:val="26"/>
          <w:sz w:val="16"/>
        </w:rPr>
        <w:t>Disponível</w:t>
      </w:r>
      <w:r>
        <w:rPr>
          <w:spacing w:val="90"/>
          <w:sz w:val="16"/>
        </w:rPr>
        <w:t xml:space="preserve"> </w:t>
      </w:r>
      <w:r>
        <w:rPr>
          <w:spacing w:val="20"/>
          <w:sz w:val="16"/>
        </w:rPr>
        <w:t>em:</w:t>
      </w:r>
      <w:r>
        <w:rPr>
          <w:spacing w:val="-12"/>
          <w:sz w:val="16"/>
        </w:rPr>
        <w:t xml:space="preserve"> </w:t>
      </w:r>
    </w:p>
    <w:p w:rsidR="00D81F69" w:rsidRDefault="00D81F69">
      <w:pPr>
        <w:spacing w:before="2" w:line="312" w:lineRule="auto"/>
        <w:ind w:left="100" w:right="257"/>
        <w:jc w:val="both"/>
        <w:rPr>
          <w:sz w:val="16"/>
        </w:rPr>
      </w:pPr>
      <w:hyperlink r:id="rId152">
        <w:r w:rsidR="00330118">
          <w:rPr>
            <w:sz w:val="16"/>
          </w:rPr>
          <w:t>&lt;http://acordaamapa.blogspot.com/2007/04/garimpo-bomba-relgio-no-</w:t>
        </w:r>
      </w:hyperlink>
      <w:r w:rsidR="00330118">
        <w:rPr>
          <w:sz w:val="16"/>
        </w:rPr>
        <w:t xml:space="preserve"> amap.html&gt;. Acesso em: 13 dez. 2010.</w:t>
      </w:r>
    </w:p>
    <w:p w:rsidR="00D81F69" w:rsidRDefault="00330118">
      <w:pPr>
        <w:tabs>
          <w:tab w:val="left" w:pos="4331"/>
        </w:tabs>
        <w:spacing w:before="1" w:line="312" w:lineRule="auto"/>
        <w:ind w:left="100" w:right="235"/>
        <w:jc w:val="both"/>
        <w:rPr>
          <w:sz w:val="16"/>
        </w:rPr>
      </w:pPr>
      <w:r>
        <w:rPr>
          <w:spacing w:val="3"/>
          <w:sz w:val="16"/>
        </w:rPr>
        <w:t xml:space="preserve">BRASIL MINERAL. Minério </w:t>
      </w:r>
      <w:r>
        <w:rPr>
          <w:spacing w:val="1"/>
          <w:sz w:val="16"/>
        </w:rPr>
        <w:t>d</w:t>
      </w:r>
      <w:r>
        <w:rPr>
          <w:spacing w:val="1"/>
          <w:sz w:val="16"/>
        </w:rPr>
        <w:t xml:space="preserve">e </w:t>
      </w:r>
      <w:r>
        <w:rPr>
          <w:spacing w:val="3"/>
          <w:sz w:val="16"/>
        </w:rPr>
        <w:t xml:space="preserve">Ferro: Eldorado </w:t>
      </w:r>
      <w:r>
        <w:rPr>
          <w:spacing w:val="2"/>
          <w:sz w:val="16"/>
        </w:rPr>
        <w:t xml:space="preserve">Gold </w:t>
      </w:r>
      <w:r>
        <w:rPr>
          <w:spacing w:val="5"/>
          <w:sz w:val="16"/>
        </w:rPr>
        <w:t xml:space="preserve">implantará </w:t>
      </w:r>
      <w:r>
        <w:rPr>
          <w:spacing w:val="1"/>
          <w:sz w:val="16"/>
        </w:rPr>
        <w:t xml:space="preserve">projeto </w:t>
      </w:r>
      <w:r>
        <w:rPr>
          <w:sz w:val="16"/>
        </w:rPr>
        <w:t xml:space="preserve">no  </w:t>
      </w:r>
      <w:r>
        <w:rPr>
          <w:spacing w:val="1"/>
          <w:sz w:val="16"/>
        </w:rPr>
        <w:t xml:space="preserve">Amapá. </w:t>
      </w:r>
      <w:r>
        <w:rPr>
          <w:sz w:val="16"/>
        </w:rPr>
        <w:t xml:space="preserve">In:  </w:t>
      </w:r>
      <w:r>
        <w:rPr>
          <w:spacing w:val="1"/>
          <w:sz w:val="16"/>
        </w:rPr>
        <w:t xml:space="preserve">Brasil Mineral OnLine n°348, </w:t>
      </w:r>
      <w:r>
        <w:rPr>
          <w:sz w:val="16"/>
        </w:rPr>
        <w:t xml:space="preserve">16  </w:t>
      </w:r>
      <w:r>
        <w:rPr>
          <w:spacing w:val="1"/>
          <w:sz w:val="16"/>
        </w:rPr>
        <w:t xml:space="preserve">abr. </w:t>
      </w:r>
      <w:r>
        <w:rPr>
          <w:spacing w:val="2"/>
          <w:sz w:val="16"/>
        </w:rPr>
        <w:t>2008.</w:t>
      </w:r>
      <w:r>
        <w:rPr>
          <w:spacing w:val="50"/>
          <w:sz w:val="16"/>
        </w:rPr>
        <w:t xml:space="preserve">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line="312" w:lineRule="auto"/>
        <w:ind w:left="100" w:right="232"/>
        <w:jc w:val="both"/>
        <w:rPr>
          <w:sz w:val="16"/>
        </w:rPr>
      </w:pPr>
      <w:hyperlink r:id="rId153">
        <w:r w:rsidR="00330118">
          <w:rPr>
            <w:sz w:val="16"/>
          </w:rPr>
          <w:t>&lt;</w:t>
        </w:r>
        <w:r w:rsidR="00330118">
          <w:rPr>
            <w:sz w:val="16"/>
          </w:rPr>
          <w:t>http://www.brasilmineral.com.br/BM/default.asp?numero=348&gt;.</w:t>
        </w:r>
      </w:hyperlink>
      <w:r w:rsidR="00330118">
        <w:rPr>
          <w:sz w:val="16"/>
        </w:rPr>
        <w:t xml:space="preserve"> Acesso em: 14 dez. 2010.</w:t>
      </w:r>
    </w:p>
    <w:p w:rsidR="00D81F69" w:rsidRDefault="00330118">
      <w:pPr>
        <w:tabs>
          <w:tab w:val="left" w:pos="635"/>
        </w:tabs>
        <w:spacing w:before="2" w:line="312" w:lineRule="auto"/>
        <w:ind w:left="100" w:right="228"/>
        <w:jc w:val="both"/>
        <w:rPr>
          <w:sz w:val="16"/>
        </w:rPr>
      </w:pPr>
      <w:r>
        <w:rPr>
          <w:sz w:val="16"/>
          <w:u w:val="single"/>
        </w:rPr>
        <w:t xml:space="preserve"> </w:t>
      </w:r>
      <w:r>
        <w:rPr>
          <w:sz w:val="16"/>
          <w:u w:val="single"/>
        </w:rPr>
        <w:tab/>
      </w:r>
      <w:r>
        <w:rPr>
          <w:sz w:val="16"/>
        </w:rPr>
        <w:t xml:space="preserve">. Minério de Ferro: Eldorado embarca 45 mil t para a China. In: </w:t>
      </w:r>
      <w:r>
        <w:rPr>
          <w:spacing w:val="7"/>
          <w:sz w:val="16"/>
        </w:rPr>
        <w:t xml:space="preserve">Brasil Mineral Online, n°477, </w:t>
      </w:r>
      <w:r>
        <w:rPr>
          <w:spacing w:val="5"/>
          <w:sz w:val="16"/>
        </w:rPr>
        <w:t xml:space="preserve">11 </w:t>
      </w:r>
      <w:r>
        <w:rPr>
          <w:spacing w:val="6"/>
          <w:sz w:val="16"/>
        </w:rPr>
        <w:t xml:space="preserve">nov. </w:t>
      </w:r>
      <w:r>
        <w:rPr>
          <w:spacing w:val="7"/>
          <w:sz w:val="16"/>
        </w:rPr>
        <w:t xml:space="preserve">2010. </w:t>
      </w:r>
      <w:r>
        <w:rPr>
          <w:spacing w:val="8"/>
          <w:sz w:val="16"/>
        </w:rPr>
        <w:t>Disponível</w:t>
      </w:r>
      <w:r>
        <w:rPr>
          <w:spacing w:val="33"/>
          <w:sz w:val="16"/>
        </w:rPr>
        <w:t xml:space="preserve"> </w:t>
      </w:r>
      <w:r>
        <w:rPr>
          <w:spacing w:val="10"/>
          <w:sz w:val="16"/>
        </w:rPr>
        <w:t>em:</w:t>
      </w:r>
    </w:p>
    <w:p w:rsidR="00D81F69" w:rsidRDefault="00D81F69">
      <w:pPr>
        <w:spacing w:before="1" w:line="312" w:lineRule="auto"/>
        <w:ind w:left="100" w:right="256"/>
        <w:jc w:val="both"/>
        <w:rPr>
          <w:sz w:val="16"/>
        </w:rPr>
      </w:pPr>
      <w:hyperlink r:id="rId154">
        <w:r w:rsidR="00330118">
          <w:rPr>
            <w:sz w:val="16"/>
          </w:rPr>
          <w:t>&lt;http://www.brasilmineral.com.br/BM/default.asp?COD=5226&amp;busca=</w:t>
        </w:r>
      </w:hyperlink>
      <w:r w:rsidR="00330118">
        <w:rPr>
          <w:sz w:val="16"/>
        </w:rPr>
        <w:t xml:space="preserve"> &amp;numero=477&gt;. Acesso em: 14 dez. 2010.</w:t>
      </w:r>
    </w:p>
    <w:p w:rsidR="00D81F69" w:rsidRDefault="00330118">
      <w:pPr>
        <w:spacing w:before="2" w:line="312" w:lineRule="auto"/>
        <w:ind w:left="100" w:right="232"/>
        <w:jc w:val="both"/>
        <w:rPr>
          <w:sz w:val="16"/>
        </w:rPr>
      </w:pPr>
      <w:r>
        <w:rPr>
          <w:sz w:val="16"/>
        </w:rPr>
        <w:t>DNPM, Departamento Nacional de Produção Mineral. DNPM age no garimpo de Vila Nova no Amapá, 24 out. 2005. Disponível</w:t>
      </w:r>
      <w:r>
        <w:rPr>
          <w:sz w:val="16"/>
        </w:rPr>
        <w:t xml:space="preserve"> em:</w:t>
      </w:r>
    </w:p>
    <w:p w:rsidR="00D81F69" w:rsidRDefault="00D81F69">
      <w:pPr>
        <w:spacing w:before="1" w:line="312" w:lineRule="auto"/>
        <w:ind w:left="100" w:right="256"/>
        <w:jc w:val="both"/>
        <w:rPr>
          <w:sz w:val="16"/>
        </w:rPr>
      </w:pPr>
      <w:hyperlink r:id="rId155">
        <w:r w:rsidR="00330118">
          <w:rPr>
            <w:sz w:val="16"/>
          </w:rPr>
          <w:t>&lt;http://www.dnpm.gov.br/conteudo.asp?IDSecao=99&amp;IDPagina=72&amp;I</w:t>
        </w:r>
      </w:hyperlink>
      <w:r w:rsidR="00330118">
        <w:rPr>
          <w:sz w:val="16"/>
        </w:rPr>
        <w:t xml:space="preserve"> DNoticiaNoticia=175&gt;. Acesso em: 13 dez. 2010.</w:t>
      </w:r>
    </w:p>
    <w:p w:rsidR="00D81F69" w:rsidRDefault="00330118">
      <w:pPr>
        <w:spacing w:before="2" w:line="312" w:lineRule="auto"/>
        <w:ind w:left="100" w:right="252"/>
        <w:jc w:val="both"/>
        <w:rPr>
          <w:sz w:val="16"/>
        </w:rPr>
      </w:pPr>
      <w:r>
        <w:rPr>
          <w:sz w:val="16"/>
        </w:rPr>
        <w:t>DOMINGUES, Elisa (coordenadora). Uso da Terra no Estado do Amapá. In: Relatório Técnico do Projeto Levantamento e</w:t>
      </w:r>
    </w:p>
    <w:p w:rsidR="00D81F69" w:rsidRDefault="00330118">
      <w:pPr>
        <w:spacing w:before="2"/>
        <w:ind w:left="100"/>
        <w:jc w:val="both"/>
        <w:rPr>
          <w:sz w:val="16"/>
        </w:rPr>
      </w:pPr>
      <w:r>
        <w:rPr>
          <w:sz w:val="16"/>
        </w:rPr>
        <w:t>Classificação do Uso da Terra, Fundação Instituto Brasileiro de</w:t>
      </w:r>
    </w:p>
    <w:p w:rsidR="00D81F69" w:rsidRDefault="00D81F69">
      <w:pPr>
        <w:jc w:val="both"/>
        <w:rPr>
          <w:sz w:val="16"/>
        </w:rPr>
        <w:sectPr w:rsidR="00D81F69">
          <w:pgSz w:w="11900" w:h="16840"/>
          <w:pgMar w:top="740" w:right="460" w:bottom="720" w:left="620" w:header="0" w:footer="402" w:gutter="0"/>
          <w:cols w:num="2" w:space="720" w:equalWidth="0">
            <w:col w:w="5156" w:space="314"/>
            <w:col w:w="5350"/>
          </w:cols>
        </w:sectPr>
      </w:pPr>
    </w:p>
    <w:p w:rsidR="00D81F69" w:rsidRDefault="00330118">
      <w:pPr>
        <w:tabs>
          <w:tab w:val="left" w:pos="4331"/>
        </w:tabs>
        <w:spacing w:before="70" w:line="312" w:lineRule="auto"/>
        <w:ind w:left="100" w:right="62"/>
        <w:jc w:val="both"/>
        <w:rPr>
          <w:sz w:val="16"/>
        </w:rPr>
      </w:pPr>
      <w:r>
        <w:rPr>
          <w:spacing w:val="6"/>
          <w:sz w:val="16"/>
        </w:rPr>
        <w:lastRenderedPageBreak/>
        <w:t xml:space="preserve">Geografia </w:t>
      </w:r>
      <w:r>
        <w:rPr>
          <w:sz w:val="16"/>
        </w:rPr>
        <w:t xml:space="preserve">e  </w:t>
      </w:r>
      <w:r>
        <w:rPr>
          <w:spacing w:val="6"/>
          <w:sz w:val="16"/>
        </w:rPr>
        <w:t xml:space="preserve">Estatística, Diretoria </w:t>
      </w:r>
      <w:r>
        <w:rPr>
          <w:spacing w:val="3"/>
          <w:sz w:val="16"/>
        </w:rPr>
        <w:t xml:space="preserve">de  </w:t>
      </w:r>
      <w:r>
        <w:rPr>
          <w:spacing w:val="6"/>
          <w:sz w:val="16"/>
        </w:rPr>
        <w:t>Geociênci</w:t>
      </w:r>
      <w:r>
        <w:rPr>
          <w:spacing w:val="6"/>
          <w:sz w:val="16"/>
        </w:rPr>
        <w:t xml:space="preserve">as, </w:t>
      </w:r>
      <w:r>
        <w:rPr>
          <w:spacing w:val="5"/>
          <w:sz w:val="16"/>
        </w:rPr>
        <w:t xml:space="preserve">nov. </w:t>
      </w:r>
      <w:r>
        <w:rPr>
          <w:spacing w:val="7"/>
          <w:sz w:val="16"/>
        </w:rPr>
        <w:t xml:space="preserve">2004.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330118">
      <w:pPr>
        <w:spacing w:before="1" w:line="312" w:lineRule="auto"/>
        <w:ind w:left="100" w:right="89"/>
        <w:jc w:val="both"/>
        <w:rPr>
          <w:sz w:val="16"/>
        </w:rPr>
      </w:pPr>
      <w:r>
        <w:rPr>
          <w:sz w:val="16"/>
        </w:rPr>
        <w:t>&lt;ftp://geoftp.ibge.gov.br/documentos/recursosnaturais/usodaterra/usot erra_AP.pdf&gt;. Acesso em: 13 dez. 2010.</w:t>
      </w:r>
    </w:p>
    <w:p w:rsidR="00D81F69" w:rsidRDefault="00330118">
      <w:pPr>
        <w:spacing w:before="2" w:line="312" w:lineRule="auto"/>
        <w:ind w:left="100" w:right="38"/>
        <w:jc w:val="both"/>
        <w:rPr>
          <w:sz w:val="16"/>
        </w:rPr>
      </w:pPr>
      <w:r>
        <w:rPr>
          <w:sz w:val="16"/>
        </w:rPr>
        <w:t xml:space="preserve">IBGE, Instituto Brasileiro de Geografia e Estatística. Porto </w:t>
      </w:r>
      <w:r>
        <w:rPr>
          <w:spacing w:val="1"/>
          <w:sz w:val="16"/>
        </w:rPr>
        <w:t>Gr</w:t>
      </w:r>
      <w:r>
        <w:rPr>
          <w:spacing w:val="1"/>
          <w:sz w:val="16"/>
        </w:rPr>
        <w:t xml:space="preserve">ande </w:t>
      </w:r>
      <w:r>
        <w:rPr>
          <w:spacing w:val="23"/>
          <w:sz w:val="16"/>
        </w:rPr>
        <w:t xml:space="preserve">(AP). </w:t>
      </w:r>
      <w:r>
        <w:rPr>
          <w:spacing w:val="20"/>
          <w:sz w:val="16"/>
        </w:rPr>
        <w:t xml:space="preserve">In: </w:t>
      </w:r>
      <w:r>
        <w:rPr>
          <w:spacing w:val="21"/>
          <w:sz w:val="16"/>
        </w:rPr>
        <w:t xml:space="preserve">IBGE </w:t>
      </w:r>
      <w:r>
        <w:rPr>
          <w:spacing w:val="25"/>
          <w:sz w:val="16"/>
        </w:rPr>
        <w:t>Cidades,</w:t>
      </w:r>
      <w:r>
        <w:rPr>
          <w:spacing w:val="95"/>
          <w:sz w:val="16"/>
        </w:rPr>
        <w:t xml:space="preserve"> </w:t>
      </w:r>
      <w:r>
        <w:rPr>
          <w:spacing w:val="23"/>
          <w:sz w:val="16"/>
        </w:rPr>
        <w:t xml:space="preserve">2010. </w:t>
      </w:r>
      <w:r>
        <w:rPr>
          <w:spacing w:val="26"/>
          <w:sz w:val="16"/>
        </w:rPr>
        <w:t>Disponível</w:t>
      </w:r>
      <w:r>
        <w:rPr>
          <w:spacing w:val="25"/>
          <w:sz w:val="16"/>
        </w:rPr>
        <w:t xml:space="preserve"> </w:t>
      </w:r>
      <w:r>
        <w:rPr>
          <w:spacing w:val="20"/>
          <w:sz w:val="16"/>
        </w:rPr>
        <w:t>em:</w:t>
      </w:r>
      <w:r>
        <w:rPr>
          <w:spacing w:val="-14"/>
          <w:sz w:val="16"/>
        </w:rPr>
        <w:t xml:space="preserve"> </w:t>
      </w:r>
    </w:p>
    <w:p w:rsidR="00D81F69" w:rsidRDefault="00D81F69">
      <w:pPr>
        <w:spacing w:before="2" w:line="312" w:lineRule="auto"/>
        <w:ind w:left="100" w:right="88"/>
        <w:jc w:val="both"/>
        <w:rPr>
          <w:sz w:val="16"/>
        </w:rPr>
      </w:pPr>
      <w:hyperlink r:id="rId156">
        <w:r w:rsidR="00330118">
          <w:rPr>
            <w:sz w:val="16"/>
          </w:rPr>
          <w:t xml:space="preserve">&lt;http://www.ibge.gov.br/cidadesat/topwindow.htm?1&gt;. </w:t>
        </w:r>
      </w:hyperlink>
      <w:r w:rsidR="00330118">
        <w:rPr>
          <w:sz w:val="16"/>
        </w:rPr>
        <w:t>Acesso em: 13 dez. 2010.</w:t>
      </w:r>
    </w:p>
    <w:p w:rsidR="00D81F69" w:rsidRDefault="00330118">
      <w:pPr>
        <w:spacing w:before="1" w:line="312" w:lineRule="auto"/>
        <w:ind w:left="100" w:right="64"/>
        <w:jc w:val="both"/>
        <w:rPr>
          <w:sz w:val="16"/>
        </w:rPr>
      </w:pPr>
      <w:r>
        <w:rPr>
          <w:sz w:val="16"/>
        </w:rPr>
        <w:t xml:space="preserve">MUNIZ, Denise. Garimpeiros e mineradora acordam para exploração de minério no Amapá. In: Amazônia.org.br, 21 mai. 2008. Disponível em: </w:t>
      </w:r>
      <w:hyperlink r:id="rId157">
        <w:r>
          <w:rPr>
            <w:sz w:val="16"/>
          </w:rPr>
          <w:t>&lt;http://www.amazonia.org.br/noticias/print.cfm?i</w:t>
        </w:r>
        <w:r>
          <w:rPr>
            <w:sz w:val="16"/>
          </w:rPr>
          <w:t>d=271203&gt;.</w:t>
        </w:r>
      </w:hyperlink>
      <w:r>
        <w:rPr>
          <w:sz w:val="16"/>
        </w:rPr>
        <w:t xml:space="preserve"> Acesso em: 14 dez. 2010.</w:t>
      </w:r>
    </w:p>
    <w:p w:rsidR="00D81F69" w:rsidRDefault="00330118">
      <w:pPr>
        <w:spacing w:before="3" w:line="312" w:lineRule="auto"/>
        <w:ind w:left="100" w:right="47"/>
        <w:jc w:val="both"/>
        <w:rPr>
          <w:sz w:val="16"/>
        </w:rPr>
      </w:pPr>
      <w:r>
        <w:rPr>
          <w:sz w:val="16"/>
        </w:rPr>
        <w:t xml:space="preserve">PORTO, Jadson Luís Rebelo; BRITO, Daguinete Maria Chaves. A formação territorial e gestão ambiental no estado do Amapá. In: Anais do X </w:t>
      </w:r>
      <w:r>
        <w:rPr>
          <w:spacing w:val="1"/>
          <w:sz w:val="16"/>
        </w:rPr>
        <w:t xml:space="preserve">Encontro </w:t>
      </w:r>
      <w:r>
        <w:rPr>
          <w:sz w:val="16"/>
        </w:rPr>
        <w:t xml:space="preserve">de </w:t>
      </w:r>
      <w:r>
        <w:rPr>
          <w:spacing w:val="1"/>
          <w:sz w:val="16"/>
        </w:rPr>
        <w:t xml:space="preserve">Geógrafos </w:t>
      </w:r>
      <w:r>
        <w:rPr>
          <w:sz w:val="16"/>
        </w:rPr>
        <w:t xml:space="preserve">da </w:t>
      </w:r>
      <w:r>
        <w:rPr>
          <w:spacing w:val="1"/>
          <w:sz w:val="16"/>
        </w:rPr>
        <w:t xml:space="preserve">América Latina, </w:t>
      </w:r>
      <w:r>
        <w:rPr>
          <w:sz w:val="16"/>
        </w:rPr>
        <w:t xml:space="preserve">20 a 26 de </w:t>
      </w:r>
      <w:r>
        <w:rPr>
          <w:spacing w:val="2"/>
          <w:sz w:val="16"/>
        </w:rPr>
        <w:t xml:space="preserve">mar. </w:t>
      </w:r>
      <w:r>
        <w:rPr>
          <w:spacing w:val="17"/>
          <w:sz w:val="16"/>
        </w:rPr>
        <w:t xml:space="preserve">2005, </w:t>
      </w:r>
      <w:r>
        <w:rPr>
          <w:spacing w:val="20"/>
          <w:sz w:val="16"/>
        </w:rPr>
        <w:t xml:space="preserve">Universidade </w:t>
      </w:r>
      <w:r>
        <w:rPr>
          <w:spacing w:val="10"/>
          <w:sz w:val="16"/>
        </w:rPr>
        <w:t>de</w:t>
      </w:r>
      <w:r>
        <w:rPr>
          <w:spacing w:val="65"/>
          <w:sz w:val="16"/>
        </w:rPr>
        <w:t xml:space="preserve"> </w:t>
      </w:r>
      <w:r>
        <w:rPr>
          <w:spacing w:val="15"/>
          <w:sz w:val="16"/>
        </w:rPr>
        <w:t xml:space="preserve">São </w:t>
      </w:r>
      <w:r>
        <w:rPr>
          <w:spacing w:val="18"/>
          <w:sz w:val="16"/>
        </w:rPr>
        <w:t>Pa</w:t>
      </w:r>
      <w:r>
        <w:rPr>
          <w:spacing w:val="18"/>
          <w:sz w:val="16"/>
        </w:rPr>
        <w:t xml:space="preserve">ulo. </w:t>
      </w:r>
      <w:r>
        <w:rPr>
          <w:spacing w:val="20"/>
          <w:sz w:val="16"/>
        </w:rPr>
        <w:t xml:space="preserve">Disponível </w:t>
      </w:r>
      <w:r>
        <w:rPr>
          <w:spacing w:val="15"/>
          <w:sz w:val="16"/>
        </w:rPr>
        <w:t>em:</w:t>
      </w:r>
      <w:r>
        <w:rPr>
          <w:spacing w:val="-21"/>
          <w:sz w:val="16"/>
        </w:rPr>
        <w:t xml:space="preserve"> </w:t>
      </w:r>
    </w:p>
    <w:p w:rsidR="00D81F69" w:rsidRDefault="00D81F69">
      <w:pPr>
        <w:spacing w:before="4" w:line="312" w:lineRule="auto"/>
        <w:ind w:left="100" w:right="89"/>
        <w:jc w:val="both"/>
        <w:rPr>
          <w:sz w:val="16"/>
        </w:rPr>
      </w:pPr>
      <w:hyperlink r:id="rId158">
        <w:r w:rsidR="00330118">
          <w:rPr>
            <w:sz w:val="16"/>
          </w:rPr>
          <w:t>&lt;http://observatoriogeograficoamericalatina.org.mx/egal10/Teoriaymet</w:t>
        </w:r>
      </w:hyperlink>
      <w:r w:rsidR="00330118">
        <w:rPr>
          <w:sz w:val="16"/>
        </w:rPr>
        <w:t xml:space="preserve"> odo/Conceptuales/32.pdf&gt;. Acesso em: 14 dez. 2010.</w:t>
      </w:r>
    </w:p>
    <w:p w:rsidR="00D81F69" w:rsidRDefault="00330118">
      <w:pPr>
        <w:spacing w:before="1" w:line="312" w:lineRule="auto"/>
        <w:ind w:left="100" w:right="70"/>
        <w:jc w:val="both"/>
        <w:rPr>
          <w:sz w:val="16"/>
        </w:rPr>
      </w:pPr>
      <w:r>
        <w:rPr>
          <w:sz w:val="16"/>
        </w:rPr>
        <w:t xml:space="preserve">RANGEL, Rodrigo. O contrabando do urânio brasileiro. 17 mai. 2006. In: Rev. IstoÉ, Disponível em: </w:t>
      </w:r>
      <w:hyperlink r:id="rId159">
        <w:r>
          <w:rPr>
            <w:sz w:val="16"/>
          </w:rPr>
          <w:t>&lt;http://www.adur-rj.org.br/5com/pop-</w:t>
        </w:r>
      </w:hyperlink>
      <w:r>
        <w:rPr>
          <w:sz w:val="16"/>
        </w:rPr>
        <w:t xml:space="preserve"> up/uranio_brasileiro.htm&gt;. Acesso em: 13 dez. 2010.</w:t>
      </w:r>
    </w:p>
    <w:p w:rsidR="00D81F69" w:rsidRDefault="00330118">
      <w:pPr>
        <w:spacing w:before="3" w:line="312" w:lineRule="auto"/>
        <w:ind w:left="100" w:right="85"/>
        <w:jc w:val="both"/>
        <w:rPr>
          <w:sz w:val="16"/>
        </w:rPr>
      </w:pPr>
      <w:r>
        <w:rPr>
          <w:sz w:val="16"/>
        </w:rPr>
        <w:t>RODRIGUES, Edgar</w:t>
      </w:r>
      <w:r>
        <w:rPr>
          <w:sz w:val="16"/>
        </w:rPr>
        <w:t>. Município de Porto Grande. In: Governo do Estado do Amapá. 2010.</w:t>
      </w:r>
    </w:p>
    <w:p w:rsidR="00D81F69" w:rsidRDefault="00330118">
      <w:pPr>
        <w:tabs>
          <w:tab w:val="left" w:pos="470"/>
          <w:tab w:val="left" w:pos="760"/>
          <w:tab w:val="left" w:pos="1095"/>
          <w:tab w:val="left" w:pos="1439"/>
          <w:tab w:val="left" w:pos="1782"/>
          <w:tab w:val="left" w:pos="2126"/>
          <w:tab w:val="left" w:pos="2426"/>
          <w:tab w:val="left" w:pos="2760"/>
          <w:tab w:val="left" w:pos="3104"/>
          <w:tab w:val="left" w:pos="4331"/>
          <w:tab w:val="left" w:pos="4674"/>
          <w:tab w:val="left" w:pos="5063"/>
        </w:tabs>
        <w:spacing w:before="70"/>
        <w:ind w:left="100"/>
        <w:rPr>
          <w:sz w:val="16"/>
        </w:rPr>
      </w:pPr>
      <w:r>
        <w:br w:type="column"/>
      </w:r>
      <w:r>
        <w:rPr>
          <w:sz w:val="16"/>
        </w:rPr>
        <w:lastRenderedPageBreak/>
        <w:t>D</w:t>
      </w:r>
      <w:r>
        <w:rPr>
          <w:sz w:val="16"/>
        </w:rPr>
        <w:tab/>
        <w:t>i</w:t>
      </w:r>
      <w:r>
        <w:rPr>
          <w:sz w:val="16"/>
        </w:rPr>
        <w:tab/>
        <w:t>s</w:t>
      </w:r>
      <w:r>
        <w:rPr>
          <w:sz w:val="16"/>
        </w:rPr>
        <w:tab/>
        <w:t>p</w:t>
      </w:r>
      <w:r>
        <w:rPr>
          <w:sz w:val="16"/>
        </w:rPr>
        <w:tab/>
        <w:t>o</w:t>
      </w:r>
      <w:r>
        <w:rPr>
          <w:sz w:val="16"/>
        </w:rPr>
        <w:tab/>
        <w:t>n</w:t>
      </w:r>
      <w:r>
        <w:rPr>
          <w:sz w:val="16"/>
        </w:rPr>
        <w:tab/>
        <w:t>í</w:t>
      </w:r>
      <w:r>
        <w:rPr>
          <w:sz w:val="16"/>
        </w:rPr>
        <w:tab/>
        <w:t>v</w:t>
      </w:r>
      <w:r>
        <w:rPr>
          <w:sz w:val="16"/>
        </w:rPr>
        <w:tab/>
        <w:t>e</w:t>
      </w:r>
      <w:r>
        <w:rPr>
          <w:sz w:val="16"/>
        </w:rPr>
        <w:tab/>
        <w:t>l</w:t>
      </w:r>
      <w:r>
        <w:rPr>
          <w:sz w:val="16"/>
        </w:rPr>
        <w:tab/>
        <w:t>e</w:t>
      </w:r>
      <w:r>
        <w:rPr>
          <w:sz w:val="16"/>
        </w:rPr>
        <w:tab/>
        <w:t>m</w:t>
      </w:r>
      <w:r>
        <w:rPr>
          <w:sz w:val="16"/>
        </w:rPr>
        <w:tab/>
        <w:t>:</w:t>
      </w:r>
    </w:p>
    <w:p w:rsidR="00D81F69" w:rsidRDefault="00D81F69">
      <w:pPr>
        <w:spacing w:before="56" w:line="312" w:lineRule="auto"/>
        <w:ind w:left="100" w:right="240"/>
        <w:jc w:val="both"/>
        <w:rPr>
          <w:sz w:val="16"/>
        </w:rPr>
      </w:pPr>
      <w:hyperlink r:id="rId160">
        <w:r w:rsidR="00330118">
          <w:rPr>
            <w:sz w:val="16"/>
          </w:rPr>
          <w:t xml:space="preserve">&lt;http://www4.ap.gov.br/Portal_Gea/municipios/municipio- </w:t>
        </w:r>
      </w:hyperlink>
      <w:r w:rsidR="00330118">
        <w:rPr>
          <w:sz w:val="16"/>
        </w:rPr>
        <w:t>portogrande.htm&gt;. Acesso em: 14 de</w:t>
      </w:r>
      <w:r w:rsidR="00330118">
        <w:rPr>
          <w:sz w:val="16"/>
        </w:rPr>
        <w:t xml:space="preserve">z. 2010. </w:t>
      </w:r>
    </w:p>
    <w:p w:rsidR="00D81F69" w:rsidRDefault="00330118">
      <w:pPr>
        <w:spacing w:before="1" w:line="312" w:lineRule="auto"/>
        <w:ind w:left="100" w:right="201"/>
        <w:jc w:val="both"/>
        <w:rPr>
          <w:sz w:val="16"/>
        </w:rPr>
      </w:pPr>
      <w:r>
        <w:rPr>
          <w:sz w:val="16"/>
        </w:rPr>
        <w:t xml:space="preserve">SIMÕES, Helena Cristina Guimarães Queiroz. A história e os efeitos </w:t>
      </w:r>
      <w:r>
        <w:rPr>
          <w:spacing w:val="5"/>
          <w:sz w:val="16"/>
        </w:rPr>
        <w:t xml:space="preserve">sociais </w:t>
      </w:r>
      <w:r>
        <w:rPr>
          <w:spacing w:val="3"/>
          <w:sz w:val="16"/>
        </w:rPr>
        <w:t xml:space="preserve">da </w:t>
      </w:r>
      <w:r>
        <w:rPr>
          <w:spacing w:val="6"/>
          <w:sz w:val="16"/>
        </w:rPr>
        <w:t xml:space="preserve">mineração </w:t>
      </w:r>
      <w:r>
        <w:rPr>
          <w:spacing w:val="3"/>
          <w:sz w:val="16"/>
        </w:rPr>
        <w:t xml:space="preserve">no </w:t>
      </w:r>
      <w:r>
        <w:rPr>
          <w:spacing w:val="5"/>
          <w:sz w:val="16"/>
        </w:rPr>
        <w:t xml:space="preserve">estado </w:t>
      </w:r>
      <w:r>
        <w:rPr>
          <w:spacing w:val="3"/>
          <w:sz w:val="16"/>
        </w:rPr>
        <w:t xml:space="preserve">do </w:t>
      </w:r>
      <w:r>
        <w:rPr>
          <w:spacing w:val="5"/>
          <w:sz w:val="16"/>
        </w:rPr>
        <w:t xml:space="preserve">Amapá, PRACS: </w:t>
      </w:r>
      <w:r>
        <w:rPr>
          <w:spacing w:val="7"/>
          <w:sz w:val="16"/>
        </w:rPr>
        <w:t xml:space="preserve">Revista </w:t>
      </w:r>
      <w:r>
        <w:rPr>
          <w:spacing w:val="5"/>
          <w:sz w:val="16"/>
        </w:rPr>
        <w:t xml:space="preserve">Eletrônica </w:t>
      </w:r>
      <w:r>
        <w:rPr>
          <w:spacing w:val="2"/>
          <w:sz w:val="16"/>
        </w:rPr>
        <w:t xml:space="preserve">de </w:t>
      </w:r>
      <w:r>
        <w:rPr>
          <w:spacing w:val="5"/>
          <w:sz w:val="16"/>
        </w:rPr>
        <w:t xml:space="preserve">Humanidades </w:t>
      </w:r>
      <w:r>
        <w:rPr>
          <w:spacing w:val="2"/>
          <w:sz w:val="16"/>
        </w:rPr>
        <w:t xml:space="preserve">do </w:t>
      </w:r>
      <w:r>
        <w:rPr>
          <w:spacing w:val="5"/>
          <w:sz w:val="16"/>
        </w:rPr>
        <w:t xml:space="preserve">Curso </w:t>
      </w:r>
      <w:r>
        <w:rPr>
          <w:spacing w:val="2"/>
          <w:sz w:val="16"/>
        </w:rPr>
        <w:t xml:space="preserve">de </w:t>
      </w:r>
      <w:r>
        <w:rPr>
          <w:spacing w:val="5"/>
          <w:sz w:val="16"/>
        </w:rPr>
        <w:t xml:space="preserve">Ciências Sociais </w:t>
      </w:r>
      <w:r>
        <w:rPr>
          <w:spacing w:val="6"/>
          <w:sz w:val="16"/>
        </w:rPr>
        <w:t xml:space="preserve">da </w:t>
      </w:r>
      <w:r>
        <w:rPr>
          <w:spacing w:val="33"/>
          <w:sz w:val="16"/>
        </w:rPr>
        <w:t xml:space="preserve">UNIFAP, </w:t>
      </w:r>
      <w:r>
        <w:rPr>
          <w:spacing w:val="20"/>
          <w:sz w:val="16"/>
        </w:rPr>
        <w:t xml:space="preserve">nº 2, </w:t>
      </w:r>
      <w:r>
        <w:rPr>
          <w:spacing w:val="30"/>
          <w:sz w:val="16"/>
        </w:rPr>
        <w:t xml:space="preserve">dez. 2009 </w:t>
      </w:r>
      <w:r>
        <w:rPr>
          <w:spacing w:val="35"/>
          <w:sz w:val="16"/>
        </w:rPr>
        <w:t xml:space="preserve">Disponível </w:t>
      </w:r>
      <w:r>
        <w:rPr>
          <w:spacing w:val="25"/>
          <w:sz w:val="16"/>
        </w:rPr>
        <w:t>em:</w:t>
      </w:r>
      <w:r>
        <w:rPr>
          <w:spacing w:val="-4"/>
          <w:sz w:val="16"/>
        </w:rPr>
        <w:t xml:space="preserve"> </w:t>
      </w:r>
    </w:p>
    <w:p w:rsidR="00D81F69" w:rsidRDefault="00D81F69">
      <w:pPr>
        <w:spacing w:before="4" w:line="312" w:lineRule="auto"/>
        <w:ind w:left="100" w:right="237"/>
        <w:jc w:val="both"/>
        <w:rPr>
          <w:sz w:val="16"/>
        </w:rPr>
      </w:pPr>
      <w:hyperlink r:id="rId161">
        <w:r w:rsidR="00330118">
          <w:rPr>
            <w:sz w:val="16"/>
          </w:rPr>
          <w:t>&lt;http://periodicos.unifap.br/index.php/pracs/article/download/32/55&gt;.</w:t>
        </w:r>
      </w:hyperlink>
      <w:r w:rsidR="00330118">
        <w:rPr>
          <w:sz w:val="16"/>
        </w:rPr>
        <w:t xml:space="preserve"> Acesso em: 13 dez. 2010.</w:t>
      </w:r>
    </w:p>
    <w:p w:rsidR="00D81F69" w:rsidRDefault="00330118">
      <w:pPr>
        <w:spacing w:before="1" w:line="312" w:lineRule="auto"/>
        <w:ind w:left="100" w:right="166"/>
        <w:jc w:val="both"/>
        <w:rPr>
          <w:sz w:val="16"/>
        </w:rPr>
      </w:pPr>
      <w:r>
        <w:rPr>
          <w:sz w:val="16"/>
        </w:rPr>
        <w:t>SPIER, Carlos Alberto; FERREIRA FILHO, César Fonseca. Geologia, estratigrafia e</w:t>
      </w:r>
      <w:r>
        <w:rPr>
          <w:sz w:val="16"/>
        </w:rPr>
        <w:t xml:space="preserve"> depósitos minerais do projeto Vila Nova, Escudo das Guianas, Amapá, Brasil. In: Revista Brasileira de Geociências, 173-    </w:t>
      </w:r>
      <w:r>
        <w:rPr>
          <w:spacing w:val="30"/>
          <w:sz w:val="16"/>
        </w:rPr>
        <w:t>1</w:t>
      </w:r>
      <w:r>
        <w:rPr>
          <w:sz w:val="16"/>
        </w:rPr>
        <w:t xml:space="preserve"> </w:t>
      </w:r>
      <w:r>
        <w:rPr>
          <w:spacing w:val="30"/>
          <w:sz w:val="16"/>
        </w:rPr>
        <w:t>7</w:t>
      </w:r>
      <w:r>
        <w:rPr>
          <w:sz w:val="16"/>
        </w:rPr>
        <w:t xml:space="preserve"> </w:t>
      </w:r>
      <w:r>
        <w:rPr>
          <w:spacing w:val="30"/>
          <w:sz w:val="16"/>
        </w:rPr>
        <w:t>8</w:t>
      </w:r>
      <w:r>
        <w:rPr>
          <w:sz w:val="16"/>
        </w:rPr>
        <w:t xml:space="preserve"> ,</w:t>
      </w:r>
      <w:r>
        <w:rPr>
          <w:spacing w:val="32"/>
          <w:sz w:val="16"/>
        </w:rPr>
        <w:t xml:space="preserve"> </w:t>
      </w:r>
      <w:r>
        <w:rPr>
          <w:spacing w:val="30"/>
          <w:sz w:val="16"/>
        </w:rPr>
        <w:t>j</w:t>
      </w:r>
      <w:r>
        <w:rPr>
          <w:sz w:val="16"/>
        </w:rPr>
        <w:t xml:space="preserve"> </w:t>
      </w:r>
      <w:r>
        <w:rPr>
          <w:spacing w:val="30"/>
          <w:sz w:val="16"/>
        </w:rPr>
        <w:t>u</w:t>
      </w:r>
      <w:r>
        <w:rPr>
          <w:sz w:val="16"/>
        </w:rPr>
        <w:t xml:space="preserve"> n</w:t>
      </w:r>
      <w:r>
        <w:rPr>
          <w:spacing w:val="32"/>
          <w:sz w:val="16"/>
        </w:rPr>
        <w:t xml:space="preserve"> </w:t>
      </w:r>
      <w:r>
        <w:rPr>
          <w:spacing w:val="30"/>
          <w:sz w:val="16"/>
        </w:rPr>
        <w:t>1</w:t>
      </w:r>
      <w:r>
        <w:rPr>
          <w:sz w:val="16"/>
        </w:rPr>
        <w:t xml:space="preserve"> </w:t>
      </w:r>
      <w:r>
        <w:rPr>
          <w:spacing w:val="30"/>
          <w:sz w:val="16"/>
        </w:rPr>
        <w:t>9</w:t>
      </w:r>
      <w:r>
        <w:rPr>
          <w:sz w:val="16"/>
        </w:rPr>
        <w:t xml:space="preserve"> </w:t>
      </w:r>
      <w:r>
        <w:rPr>
          <w:spacing w:val="30"/>
          <w:sz w:val="16"/>
        </w:rPr>
        <w:t>9</w:t>
      </w:r>
      <w:r>
        <w:rPr>
          <w:sz w:val="16"/>
        </w:rPr>
        <w:t xml:space="preserve"> </w:t>
      </w:r>
      <w:r>
        <w:rPr>
          <w:spacing w:val="30"/>
          <w:sz w:val="16"/>
        </w:rPr>
        <w:t>9</w:t>
      </w:r>
      <w:r>
        <w:rPr>
          <w:sz w:val="16"/>
        </w:rPr>
        <w:t xml:space="preserve"> .</w:t>
      </w:r>
      <w:r>
        <w:rPr>
          <w:spacing w:val="32"/>
          <w:sz w:val="16"/>
        </w:rPr>
        <w:t xml:space="preserve"> </w:t>
      </w:r>
      <w:r>
        <w:rPr>
          <w:spacing w:val="30"/>
          <w:sz w:val="16"/>
        </w:rPr>
        <w:t>D</w:t>
      </w:r>
      <w:r>
        <w:rPr>
          <w:sz w:val="16"/>
        </w:rPr>
        <w:t xml:space="preserve"> </w:t>
      </w:r>
      <w:r>
        <w:rPr>
          <w:spacing w:val="30"/>
          <w:sz w:val="16"/>
        </w:rPr>
        <w:t>i</w:t>
      </w:r>
      <w:r>
        <w:rPr>
          <w:sz w:val="16"/>
        </w:rPr>
        <w:t xml:space="preserve"> </w:t>
      </w:r>
      <w:r>
        <w:rPr>
          <w:spacing w:val="30"/>
          <w:sz w:val="16"/>
        </w:rPr>
        <w:t>s</w:t>
      </w:r>
      <w:r>
        <w:rPr>
          <w:sz w:val="16"/>
        </w:rPr>
        <w:t xml:space="preserve"> </w:t>
      </w:r>
      <w:r>
        <w:rPr>
          <w:spacing w:val="30"/>
          <w:sz w:val="16"/>
        </w:rPr>
        <w:t>p</w:t>
      </w:r>
      <w:r>
        <w:rPr>
          <w:sz w:val="16"/>
        </w:rPr>
        <w:t xml:space="preserve"> </w:t>
      </w:r>
      <w:r>
        <w:rPr>
          <w:spacing w:val="30"/>
          <w:sz w:val="16"/>
        </w:rPr>
        <w:t>o</w:t>
      </w:r>
      <w:r>
        <w:rPr>
          <w:sz w:val="16"/>
        </w:rPr>
        <w:t xml:space="preserve"> </w:t>
      </w:r>
      <w:r>
        <w:rPr>
          <w:spacing w:val="30"/>
          <w:sz w:val="16"/>
        </w:rPr>
        <w:t>n</w:t>
      </w:r>
      <w:r>
        <w:rPr>
          <w:sz w:val="16"/>
        </w:rPr>
        <w:t xml:space="preserve"> </w:t>
      </w:r>
      <w:r>
        <w:rPr>
          <w:spacing w:val="30"/>
          <w:sz w:val="16"/>
        </w:rPr>
        <w:t>í</w:t>
      </w:r>
      <w:r>
        <w:rPr>
          <w:sz w:val="16"/>
        </w:rPr>
        <w:t xml:space="preserve"> </w:t>
      </w:r>
      <w:r>
        <w:rPr>
          <w:spacing w:val="30"/>
          <w:sz w:val="16"/>
        </w:rPr>
        <w:t>v</w:t>
      </w:r>
      <w:r>
        <w:rPr>
          <w:sz w:val="16"/>
        </w:rPr>
        <w:t xml:space="preserve"> </w:t>
      </w:r>
      <w:r>
        <w:rPr>
          <w:spacing w:val="30"/>
          <w:sz w:val="16"/>
        </w:rPr>
        <w:t>e</w:t>
      </w:r>
      <w:r>
        <w:rPr>
          <w:sz w:val="16"/>
        </w:rPr>
        <w:t xml:space="preserve"> l</w:t>
      </w:r>
      <w:r>
        <w:rPr>
          <w:spacing w:val="32"/>
          <w:sz w:val="16"/>
        </w:rPr>
        <w:t xml:space="preserve"> </w:t>
      </w:r>
      <w:r>
        <w:rPr>
          <w:spacing w:val="30"/>
          <w:sz w:val="16"/>
        </w:rPr>
        <w:t>e</w:t>
      </w:r>
      <w:r>
        <w:rPr>
          <w:sz w:val="16"/>
        </w:rPr>
        <w:t xml:space="preserve"> </w:t>
      </w:r>
      <w:r>
        <w:rPr>
          <w:spacing w:val="30"/>
          <w:sz w:val="16"/>
        </w:rPr>
        <w:t>m</w:t>
      </w:r>
      <w:r>
        <w:rPr>
          <w:sz w:val="16"/>
        </w:rPr>
        <w:t xml:space="preserve"> : </w:t>
      </w:r>
      <w:r>
        <w:rPr>
          <w:spacing w:val="-13"/>
          <w:sz w:val="16"/>
        </w:rPr>
        <w:t xml:space="preserve"> </w:t>
      </w:r>
    </w:p>
    <w:p w:rsidR="00D81F69" w:rsidRDefault="00D81F69">
      <w:pPr>
        <w:spacing w:before="3" w:line="312" w:lineRule="auto"/>
        <w:ind w:left="100" w:right="234"/>
        <w:jc w:val="both"/>
        <w:rPr>
          <w:sz w:val="16"/>
        </w:rPr>
      </w:pPr>
      <w:hyperlink r:id="rId162">
        <w:r w:rsidR="00330118">
          <w:rPr>
            <w:sz w:val="16"/>
          </w:rPr>
          <w:t>&lt;</w:t>
        </w:r>
        <w:r w:rsidR="00330118">
          <w:rPr>
            <w:sz w:val="16"/>
          </w:rPr>
          <w:t>http://sbgeo.org.br/pub_sbg/rbg/vol29_down/2902/2902173.pdf&gt;.</w:t>
        </w:r>
      </w:hyperlink>
      <w:r w:rsidR="00330118">
        <w:rPr>
          <w:sz w:val="16"/>
        </w:rPr>
        <w:t xml:space="preserve"> Acesso em: 13 dez. 2010.</w:t>
      </w:r>
    </w:p>
    <w:p w:rsidR="00D81F69" w:rsidRDefault="00330118">
      <w:pPr>
        <w:spacing w:before="2" w:line="312" w:lineRule="auto"/>
        <w:ind w:left="100" w:right="230"/>
        <w:jc w:val="both"/>
        <w:rPr>
          <w:sz w:val="16"/>
        </w:rPr>
      </w:pPr>
      <w:r>
        <w:rPr>
          <w:sz w:val="16"/>
        </w:rPr>
        <w:t>TORRINHA, Mário Nunes. Desordenamento territorial e conflitos rurais no estado do Amapá nas décadas de 1980 e 1990. In: Amazônia: Ciência &amp;</w:t>
      </w:r>
      <w:r>
        <w:rPr>
          <w:sz w:val="16"/>
        </w:rPr>
        <w:t xml:space="preserve"> Desenvolvimento, Belém, v. 2, n. 3, jul/dez.</w:t>
      </w:r>
    </w:p>
    <w:p w:rsidR="00D81F69" w:rsidRDefault="00330118">
      <w:pPr>
        <w:tabs>
          <w:tab w:val="left" w:pos="1785"/>
          <w:tab w:val="left" w:pos="4548"/>
        </w:tabs>
        <w:spacing w:before="3"/>
        <w:ind w:left="100"/>
        <w:rPr>
          <w:sz w:val="16"/>
        </w:rPr>
      </w:pPr>
      <w:r>
        <w:rPr>
          <w:sz w:val="16"/>
        </w:rPr>
        <w:t xml:space="preserve">2   0   0  </w:t>
      </w:r>
      <w:r>
        <w:rPr>
          <w:spacing w:val="35"/>
          <w:sz w:val="16"/>
        </w:rPr>
        <w:t xml:space="preserve"> </w:t>
      </w:r>
      <w:r>
        <w:rPr>
          <w:sz w:val="16"/>
        </w:rPr>
        <w:t xml:space="preserve">6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56"/>
        <w:jc w:val="both"/>
        <w:rPr>
          <w:sz w:val="16"/>
        </w:rPr>
      </w:pPr>
      <w:hyperlink r:id="rId163">
        <w:r w:rsidR="00330118">
          <w:rPr>
            <w:sz w:val="16"/>
          </w:rPr>
          <w:t>&lt;http://www.bancoamazonia.com.br/bancoamazonia2/revista/edicao_</w:t>
        </w:r>
      </w:hyperlink>
      <w:r w:rsidR="00330118">
        <w:rPr>
          <w:sz w:val="16"/>
        </w:rPr>
        <w:t xml:space="preserve"> </w:t>
      </w:r>
      <w:r w:rsidR="00330118">
        <w:rPr>
          <w:sz w:val="16"/>
        </w:rPr>
        <w:t>03/Desordenamento_territ.pdf&gt;. Acesso em: 13 dez. 2010.</w:t>
      </w:r>
    </w:p>
    <w:p w:rsidR="00D81F69" w:rsidRDefault="00D81F69">
      <w:pPr>
        <w:spacing w:line="312" w:lineRule="auto"/>
        <w:jc w:val="both"/>
        <w:rPr>
          <w:sz w:val="16"/>
        </w:rPr>
        <w:sectPr w:rsidR="00D81F69">
          <w:pgSz w:w="11900" w:h="16840"/>
          <w:pgMar w:top="740" w:right="460" w:bottom="720" w:left="620" w:header="0" w:footer="402" w:gutter="0"/>
          <w:cols w:num="2" w:space="720" w:equalWidth="0">
            <w:col w:w="5182" w:space="288"/>
            <w:col w:w="5350"/>
          </w:cols>
        </w:sectPr>
      </w:pPr>
    </w:p>
    <w:p w:rsidR="00D81F69" w:rsidRDefault="00330118">
      <w:pPr>
        <w:pStyle w:val="Heading1"/>
        <w:spacing w:line="208" w:lineRule="auto"/>
        <w:ind w:right="0"/>
      </w:pPr>
      <w:bookmarkStart w:id="20" w:name="_TOC_250013"/>
      <w:bookmarkEnd w:id="20"/>
      <w:r>
        <w:lastRenderedPageBreak/>
        <w:t>Mineração ilegal de torianita em municípios do Amapá (AP)</w:t>
      </w:r>
    </w:p>
    <w:p w:rsidR="00D81F69" w:rsidRDefault="00D81F69">
      <w:pPr>
        <w:pStyle w:val="Corpodetexto"/>
        <w:ind w:left="0"/>
        <w:jc w:val="left"/>
        <w:rPr>
          <w:b/>
          <w:sz w:val="20"/>
        </w:rPr>
      </w:pPr>
    </w:p>
    <w:p w:rsidR="00D81F69" w:rsidRDefault="00D81F69">
      <w:pPr>
        <w:rPr>
          <w:sz w:val="20"/>
        </w:rPr>
        <w:sectPr w:rsidR="00D81F69">
          <w:pgSz w:w="11900" w:h="16840"/>
          <w:pgMar w:top="1080" w:right="460" w:bottom="6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20"/>
        <w:rPr>
          <w:i/>
          <w:sz w:val="14"/>
        </w:rPr>
      </w:pPr>
      <w:r>
        <w:rPr>
          <w:i/>
          <w:sz w:val="14"/>
        </w:rPr>
        <w:t>AP - Pedra Branca do Amaparí</w:t>
      </w:r>
    </w:p>
    <w:p w:rsidR="00D81F69" w:rsidRDefault="00330118">
      <w:pPr>
        <w:spacing w:before="2" w:line="312" w:lineRule="auto"/>
        <w:ind w:left="135" w:right="137"/>
        <w:rPr>
          <w:i/>
          <w:sz w:val="14"/>
        </w:rPr>
      </w:pPr>
      <w:r>
        <w:rPr>
          <w:i/>
          <w:sz w:val="14"/>
        </w:rPr>
        <w:t>AP - Porto Grande AP - Serra do Navio</w:t>
      </w:r>
    </w:p>
    <w:p w:rsidR="00D81F69" w:rsidRDefault="00D81F69">
      <w:pPr>
        <w:pStyle w:val="Corpodetexto"/>
        <w:spacing w:before="4"/>
        <w:ind w:left="0"/>
        <w:jc w:val="left"/>
        <w:rPr>
          <w:i/>
        </w:rPr>
      </w:pPr>
    </w:p>
    <w:p w:rsidR="00D81F69" w:rsidRDefault="00330118">
      <w:pPr>
        <w:spacing w:line="312" w:lineRule="auto"/>
        <w:ind w:left="135" w:right="705"/>
        <w:rPr>
          <w:i/>
          <w:sz w:val="14"/>
        </w:rPr>
      </w:pPr>
      <w:r>
        <w:rPr>
          <w:i/>
          <w:sz w:val="14"/>
        </w:rPr>
        <w:t xml:space="preserve">LATITUDE </w:t>
      </w:r>
      <w:r>
        <w:rPr>
          <w:i/>
          <w:sz w:val="14"/>
        </w:rPr>
        <w:t>2,4211</w:t>
      </w:r>
    </w:p>
    <w:p w:rsidR="00D81F69" w:rsidRDefault="00D81F69">
      <w:pPr>
        <w:pStyle w:val="Corpodetexto"/>
        <w:spacing w:before="4"/>
        <w:ind w:left="0"/>
        <w:jc w:val="left"/>
        <w:rPr>
          <w:i/>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-51,97</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6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Contrabandistas vêm agindo no interior </w:t>
      </w:r>
      <w:r>
        <w:rPr>
          <w:i/>
          <w:spacing w:val="2"/>
          <w:sz w:val="16"/>
        </w:rPr>
        <w:t xml:space="preserve">do </w:t>
      </w:r>
      <w:r>
        <w:rPr>
          <w:i/>
          <w:spacing w:val="3"/>
          <w:sz w:val="16"/>
        </w:rPr>
        <w:t xml:space="preserve">Amapá desde </w:t>
      </w:r>
      <w:r>
        <w:rPr>
          <w:i/>
          <w:sz w:val="16"/>
        </w:rPr>
        <w:t xml:space="preserve">a </w:t>
      </w:r>
      <w:r>
        <w:rPr>
          <w:i/>
          <w:spacing w:val="5"/>
          <w:sz w:val="16"/>
        </w:rPr>
        <w:t xml:space="preserve">década </w:t>
      </w:r>
      <w:r>
        <w:rPr>
          <w:i/>
          <w:spacing w:val="2"/>
          <w:sz w:val="16"/>
        </w:rPr>
        <w:t xml:space="preserve">de </w:t>
      </w:r>
      <w:r>
        <w:rPr>
          <w:i/>
          <w:spacing w:val="5"/>
          <w:sz w:val="16"/>
        </w:rPr>
        <w:t xml:space="preserve">1990, </w:t>
      </w:r>
      <w:r>
        <w:rPr>
          <w:i/>
          <w:sz w:val="16"/>
        </w:rPr>
        <w:t xml:space="preserve">onde ocorrem a extração e o comércio </w:t>
      </w:r>
      <w:r>
        <w:rPr>
          <w:i/>
          <w:spacing w:val="5"/>
          <w:sz w:val="16"/>
        </w:rPr>
        <w:t xml:space="preserve">do </w:t>
      </w:r>
      <w:r>
        <w:rPr>
          <w:i/>
          <w:spacing w:val="10"/>
          <w:sz w:val="16"/>
        </w:rPr>
        <w:t xml:space="preserve">minério radioativo </w:t>
      </w:r>
      <w:r>
        <w:rPr>
          <w:i/>
          <w:spacing w:val="5"/>
          <w:sz w:val="16"/>
        </w:rPr>
        <w:t xml:space="preserve">de </w:t>
      </w:r>
      <w:r>
        <w:rPr>
          <w:i/>
          <w:spacing w:val="11"/>
          <w:sz w:val="16"/>
        </w:rPr>
        <w:t xml:space="preserve">torianita. </w:t>
      </w:r>
      <w:r>
        <w:rPr>
          <w:i/>
          <w:sz w:val="16"/>
        </w:rPr>
        <w:t xml:space="preserve">Investigações feitas pela Polícia Federal, </w:t>
      </w:r>
      <w:r>
        <w:rPr>
          <w:i/>
          <w:spacing w:val="7"/>
          <w:sz w:val="16"/>
        </w:rPr>
        <w:t xml:space="preserve">Serviço </w:t>
      </w:r>
      <w:r>
        <w:rPr>
          <w:i/>
          <w:spacing w:val="5"/>
          <w:sz w:val="16"/>
        </w:rPr>
        <w:t xml:space="preserve">de </w:t>
      </w:r>
      <w:r>
        <w:rPr>
          <w:i/>
          <w:spacing w:val="8"/>
          <w:sz w:val="16"/>
        </w:rPr>
        <w:t xml:space="preserve">Inteligência </w:t>
      </w:r>
      <w:r>
        <w:rPr>
          <w:i/>
          <w:spacing w:val="5"/>
          <w:sz w:val="16"/>
        </w:rPr>
        <w:t xml:space="preserve">do </w:t>
      </w:r>
      <w:r>
        <w:rPr>
          <w:i/>
          <w:spacing w:val="10"/>
          <w:sz w:val="16"/>
        </w:rPr>
        <w:t xml:space="preserve">Exército </w:t>
      </w:r>
      <w:r>
        <w:rPr>
          <w:i/>
          <w:spacing w:val="15"/>
          <w:sz w:val="16"/>
        </w:rPr>
        <w:t xml:space="preserve">(Ciex) </w:t>
      </w:r>
      <w:r>
        <w:rPr>
          <w:i/>
          <w:sz w:val="16"/>
        </w:rPr>
        <w:t xml:space="preserve">e </w:t>
      </w:r>
      <w:r>
        <w:rPr>
          <w:i/>
          <w:spacing w:val="16"/>
          <w:sz w:val="16"/>
        </w:rPr>
        <w:t xml:space="preserve">Agência </w:t>
      </w:r>
      <w:r>
        <w:rPr>
          <w:i/>
          <w:spacing w:val="17"/>
          <w:sz w:val="16"/>
        </w:rPr>
        <w:t xml:space="preserve">Brasileira </w:t>
      </w:r>
      <w:r>
        <w:rPr>
          <w:i/>
          <w:spacing w:val="10"/>
          <w:sz w:val="16"/>
        </w:rPr>
        <w:t xml:space="preserve">de Informações (Abin) revelaram </w:t>
      </w:r>
      <w:r>
        <w:rPr>
          <w:i/>
          <w:spacing w:val="11"/>
          <w:sz w:val="16"/>
        </w:rPr>
        <w:t xml:space="preserve">que </w:t>
      </w:r>
      <w:r>
        <w:rPr>
          <w:i/>
          <w:sz w:val="16"/>
        </w:rPr>
        <w:t xml:space="preserve">habitantes da região estocam o material em casa para em seguida repassá-lo a </w:t>
      </w:r>
      <w:r>
        <w:rPr>
          <w:i/>
          <w:spacing w:val="1"/>
          <w:sz w:val="16"/>
        </w:rPr>
        <w:t>compradores.</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6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33"/>
      </w:pPr>
      <w:r>
        <w:t>pena prevista pela Lei de Crimes Ambientais (Lei 9605/98), que é de detenção de 6 meses a</w:t>
      </w:r>
      <w:r>
        <w:t xml:space="preserve"> 1 ano, além de multa. O objetivo do projeto é desestimular o contrabando de materiais perigosos, que podem contaminar o meio ambiente (GOMES, 2012).</w:t>
      </w:r>
    </w:p>
    <w:p w:rsidR="00D81F69" w:rsidRDefault="00330118">
      <w:pPr>
        <w:pStyle w:val="Corpodetexto"/>
        <w:spacing w:before="134" w:line="312" w:lineRule="auto"/>
        <w:ind w:left="135" w:right="236"/>
      </w:pPr>
      <w:r>
        <w:t xml:space="preserve">O urânio é um combustível para reatores nucleares. O tório é </w:t>
      </w:r>
      <w:r>
        <w:rPr>
          <w:spacing w:val="3"/>
        </w:rPr>
        <w:t xml:space="preserve">usado </w:t>
      </w:r>
      <w:r>
        <w:rPr>
          <w:spacing w:val="1"/>
        </w:rPr>
        <w:t xml:space="preserve">na </w:t>
      </w:r>
      <w:r>
        <w:rPr>
          <w:spacing w:val="3"/>
        </w:rPr>
        <w:t xml:space="preserve">preparação </w:t>
      </w:r>
      <w:r>
        <w:rPr>
          <w:spacing w:val="1"/>
        </w:rPr>
        <w:t xml:space="preserve">de </w:t>
      </w:r>
      <w:r>
        <w:rPr>
          <w:spacing w:val="2"/>
        </w:rPr>
        <w:t xml:space="preserve">fios </w:t>
      </w:r>
      <w:r>
        <w:rPr>
          <w:spacing w:val="1"/>
        </w:rPr>
        <w:t xml:space="preserve">de </w:t>
      </w:r>
      <w:r>
        <w:rPr>
          <w:spacing w:val="3"/>
        </w:rPr>
        <w:t xml:space="preserve">tungstênio </w:t>
      </w:r>
      <w:r>
        <w:t xml:space="preserve">e </w:t>
      </w:r>
      <w:r>
        <w:rPr>
          <w:spacing w:val="1"/>
        </w:rPr>
        <w:t>d</w:t>
      </w:r>
      <w:r>
        <w:rPr>
          <w:spacing w:val="1"/>
        </w:rPr>
        <w:t xml:space="preserve">e </w:t>
      </w:r>
      <w:r>
        <w:rPr>
          <w:spacing w:val="5"/>
        </w:rPr>
        <w:t xml:space="preserve">materiais </w:t>
      </w:r>
      <w:r>
        <w:t xml:space="preserve">refratários, mas sua maior utilização, além do campo nuclear, é na tecnologia do magnésio. O tório 232 é, depois do urânio, o </w:t>
      </w:r>
      <w:r>
        <w:rPr>
          <w:spacing w:val="1"/>
        </w:rPr>
        <w:t xml:space="preserve">elemento mais importante </w:t>
      </w:r>
      <w:r>
        <w:t xml:space="preserve">na </w:t>
      </w:r>
      <w:r>
        <w:rPr>
          <w:spacing w:val="1"/>
        </w:rPr>
        <w:t xml:space="preserve">indústria nuclear </w:t>
      </w:r>
      <w:r>
        <w:rPr>
          <w:spacing w:val="2"/>
        </w:rPr>
        <w:t xml:space="preserve">(RIBEIRO </w:t>
      </w:r>
      <w:r>
        <w:rPr>
          <w:spacing w:val="1"/>
        </w:rPr>
        <w:t>JÚNIOR,</w:t>
      </w:r>
      <w:r>
        <w:rPr>
          <w:spacing w:val="17"/>
        </w:rPr>
        <w:t xml:space="preserve"> </w:t>
      </w:r>
      <w:r>
        <w:rPr>
          <w:spacing w:val="2"/>
        </w:rPr>
        <w:t>2006).</w:t>
      </w:r>
    </w:p>
    <w:p w:rsidR="00D81F69" w:rsidRDefault="00330118">
      <w:pPr>
        <w:pStyle w:val="Corpodetexto"/>
        <w:spacing w:before="136" w:line="202" w:lineRule="exact"/>
        <w:ind w:left="135"/>
      </w:pPr>
      <w:r>
        <w:t>O urânio encontra-se presente na natureza misturado a outros</w:t>
      </w:r>
    </w:p>
    <w:p w:rsidR="00D81F69" w:rsidRDefault="00D81F69">
      <w:pPr>
        <w:spacing w:line="202" w:lineRule="exact"/>
        <w:sectPr w:rsidR="00D81F69">
          <w:type w:val="continuous"/>
          <w:pgSz w:w="11900" w:h="16840"/>
          <w:pgMar w:top="720" w:right="460" w:bottom="280" w:left="620" w:header="720" w:footer="720" w:gutter="0"/>
          <w:cols w:num="3" w:space="720" w:equalWidth="0">
            <w:col w:w="1537" w:space="463"/>
            <w:col w:w="3127" w:space="308"/>
            <w:col w:w="5385"/>
          </w:cols>
        </w:sectPr>
      </w:pPr>
    </w:p>
    <w:p w:rsidR="00D81F69" w:rsidRDefault="00330118">
      <w:pPr>
        <w:pStyle w:val="Heading4"/>
        <w:spacing w:line="268" w:lineRule="exact"/>
      </w:pPr>
      <w:r>
        <w:lastRenderedPageBreak/>
        <w:t>APRESENTAÇÃO DE CASO</w:t>
      </w:r>
    </w:p>
    <w:p w:rsidR="00D81F69" w:rsidRDefault="00330118">
      <w:pPr>
        <w:pStyle w:val="Corpodetexto"/>
        <w:spacing w:before="170" w:line="312" w:lineRule="auto"/>
        <w:ind w:right="38"/>
      </w:pPr>
      <w:r>
        <w:t>A Polícia Federal (PF), o Serviço de Inteligência do Exército (Ciex) e a Agência Brasileira de Informações (Abin) vêm investigando a extração, comercialização e contrabando ilegal da torianita, minério radioativo, no interior do Amapá. Gravações apresentad</w:t>
      </w:r>
      <w:r>
        <w:t>as pela PF, no fim de 2009, mostram negociantes comercializando grandes remessas de minerais radioativos que ficam estocados em casas e depósitos clandestinos na região, oferecendo grandes riscos à população (RANGEL, 2009).</w:t>
      </w:r>
    </w:p>
    <w:p w:rsidR="00D81F69" w:rsidRDefault="00330118">
      <w:pPr>
        <w:pStyle w:val="Corpodetexto"/>
        <w:spacing w:before="138" w:line="312" w:lineRule="auto"/>
        <w:ind w:right="46"/>
      </w:pPr>
      <w:r>
        <w:t xml:space="preserve">O </w:t>
      </w:r>
      <w:r>
        <w:rPr>
          <w:spacing w:val="5"/>
        </w:rPr>
        <w:t xml:space="preserve">material contrabandeado </w:t>
      </w:r>
      <w:r>
        <w:t xml:space="preserve">é </w:t>
      </w:r>
      <w:r>
        <w:rPr>
          <w:spacing w:val="5"/>
        </w:rPr>
        <w:t>enco</w:t>
      </w:r>
      <w:r>
        <w:rPr>
          <w:spacing w:val="5"/>
        </w:rPr>
        <w:t xml:space="preserve">ntrado </w:t>
      </w:r>
      <w:r>
        <w:rPr>
          <w:spacing w:val="2"/>
        </w:rPr>
        <w:t xml:space="preserve">em </w:t>
      </w:r>
      <w:r>
        <w:rPr>
          <w:spacing w:val="5"/>
        </w:rPr>
        <w:t>jazidas do</w:t>
      </w:r>
      <w:r>
        <w:rPr>
          <w:spacing w:val="61"/>
        </w:rPr>
        <w:t xml:space="preserve"> </w:t>
      </w:r>
      <w:r>
        <w:t xml:space="preserve">interior do Amapá sob a forma de um minério granulado, de cor escura e altíssima densidade: a torianita. O minério possui em sua composição 70 a 76% de tório e 8 a 10% de </w:t>
      </w:r>
      <w:hyperlink r:id="rId164">
        <w:r>
          <w:t>urânio,</w:t>
        </w:r>
      </w:hyperlink>
      <w:r>
        <w:t xml:space="preserve"> além de outros metais. A extração e o comércio ilegais estão </w:t>
      </w:r>
      <w:r>
        <w:rPr>
          <w:spacing w:val="1"/>
        </w:rPr>
        <w:t xml:space="preserve">ocorrendo, sobretudo, </w:t>
      </w:r>
      <w:r>
        <w:t xml:space="preserve">nos </w:t>
      </w:r>
      <w:r>
        <w:rPr>
          <w:spacing w:val="1"/>
        </w:rPr>
        <w:t xml:space="preserve">municípios </w:t>
      </w:r>
      <w:r>
        <w:t xml:space="preserve">de </w:t>
      </w:r>
      <w:r>
        <w:rPr>
          <w:spacing w:val="1"/>
        </w:rPr>
        <w:t xml:space="preserve">Pedra Branca </w:t>
      </w:r>
      <w:r>
        <w:rPr>
          <w:spacing w:val="2"/>
        </w:rPr>
        <w:t xml:space="preserve">do </w:t>
      </w:r>
      <w:r>
        <w:t>Amaparí, Serra do Navio e Porto Grande. Este último, por ser mais próximo de Macapá e possuir rodovia as</w:t>
      </w:r>
      <w:r>
        <w:t>faltada, tornou- se um ponto estratégico para a atividade (RIBEIRO JÚNIOR, 2006).</w:t>
      </w:r>
    </w:p>
    <w:p w:rsidR="00D81F69" w:rsidRDefault="00330118">
      <w:pPr>
        <w:pStyle w:val="Corpodetexto"/>
        <w:spacing w:before="140" w:line="312" w:lineRule="auto"/>
        <w:ind w:right="47"/>
      </w:pPr>
      <w:r>
        <w:t>Boa parte da produção que sai dos garimpos é levada para Porto Grande. A rota seguida é variada. O minério segue de carro para Macapá ou do garimpo é levado de barco até Oiap</w:t>
      </w:r>
      <w:r>
        <w:t>oque, na ponta norte do estado. Depois, vai para a Guiana Francesa, de onde é despachado para outros países. Rússia, Coréia do Norte e países do continente africano são alguns dos destinos sob investigação (RANGEL, 2009).</w:t>
      </w:r>
    </w:p>
    <w:p w:rsidR="00D81F69" w:rsidRDefault="00330118">
      <w:pPr>
        <w:pStyle w:val="Corpodetexto"/>
        <w:spacing w:before="73" w:line="270" w:lineRule="atLeast"/>
        <w:ind w:right="59"/>
      </w:pPr>
      <w:r>
        <w:t>Mais recentemente, foram levantada</w:t>
      </w:r>
      <w:r>
        <w:t>s suspeitas de outras rotas de contrabando do minério, a partir de Goiânia (GO) para a fronteira com a Bolívia e daí para a Venezuela (GOMES, 2012).</w:t>
      </w:r>
    </w:p>
    <w:p w:rsidR="00D81F69" w:rsidRDefault="00330118">
      <w:pPr>
        <w:pStyle w:val="Corpodetexto"/>
        <w:spacing w:line="312" w:lineRule="auto"/>
        <w:ind w:right="62"/>
      </w:pPr>
      <w:r>
        <w:t>O contrabando do minério radioativo preocupa o governo brasileiro. Desde 2009 tramita na Câmara dos Deputad</w:t>
      </w:r>
      <w:r>
        <w:t>os o Projeto de Lei (PL 4957/2009) que prevê aumento de pena para o crime de contrabando de material radioativo. Em linhas gerais, a proposta substitutiva quer aumentar entre 1/6 e 1/3 a</w:t>
      </w:r>
    </w:p>
    <w:p w:rsidR="00D81F69" w:rsidRDefault="00330118">
      <w:pPr>
        <w:pStyle w:val="Corpodetexto"/>
        <w:spacing w:before="68" w:line="312" w:lineRule="auto"/>
        <w:ind w:right="235"/>
      </w:pPr>
      <w:r>
        <w:br w:type="column"/>
      </w:r>
      <w:r>
        <w:lastRenderedPageBreak/>
        <w:t>minerais em uma variedade de rochas e solos. Quando a quantidade é s</w:t>
      </w:r>
      <w:r>
        <w:t>uficientemente alta, o minério pode ser explorado pela indústria mineradora. Os rejeitos do processo de mineração também são radioativos e podem contaminar os lençóis freáticos, o solo, os animais e o homem (GUEVARA, 2002 apud PRADO, 2007).</w:t>
      </w:r>
    </w:p>
    <w:p w:rsidR="00D81F69" w:rsidRDefault="00330118">
      <w:pPr>
        <w:pStyle w:val="Corpodetexto"/>
        <w:spacing w:before="136" w:line="312" w:lineRule="auto"/>
        <w:ind w:right="235"/>
      </w:pPr>
      <w:r>
        <w:t>Já o tório é en</w:t>
      </w:r>
      <w:r>
        <w:t xml:space="preserve">contrado em quantidades pequenas na maioria das rochas e solos, onde é aproximadamente três vezes mais abundante do que o urânio, e é quase tão comum quanto o </w:t>
      </w:r>
      <w:hyperlink r:id="rId165">
        <w:r>
          <w:t>chumbo</w:t>
        </w:r>
        <w:r>
          <w:t>.</w:t>
        </w:r>
      </w:hyperlink>
      <w:r>
        <w:t xml:space="preserve"> Ele ocorre em diversos minerais, sendo o mais comum o mineral de terra rara de tório-fosfato, monazita que contém até 12% de óxido de tório (RIBEIRO JÚNIOR, 2006).</w:t>
      </w:r>
    </w:p>
    <w:p w:rsidR="00D81F69" w:rsidRDefault="00330118">
      <w:pPr>
        <w:pStyle w:val="Corpodetexto"/>
        <w:spacing w:before="135" w:line="312" w:lineRule="auto"/>
        <w:ind w:right="233"/>
      </w:pPr>
      <w:r>
        <w:t xml:space="preserve">O esquema de contrabando de torianita envolveria donos de </w:t>
      </w:r>
      <w:r>
        <w:rPr>
          <w:spacing w:val="6"/>
        </w:rPr>
        <w:t xml:space="preserve">mineradoras, autoridades </w:t>
      </w:r>
      <w:r>
        <w:rPr>
          <w:spacing w:val="5"/>
        </w:rPr>
        <w:t xml:space="preserve">locais </w:t>
      </w:r>
      <w:r>
        <w:t xml:space="preserve">e </w:t>
      </w:r>
      <w:r>
        <w:rPr>
          <w:spacing w:val="5"/>
        </w:rPr>
        <w:t xml:space="preserve">até </w:t>
      </w:r>
      <w:r>
        <w:rPr>
          <w:spacing w:val="6"/>
        </w:rPr>
        <w:t xml:space="preserve">políticos </w:t>
      </w:r>
      <w:r>
        <w:rPr>
          <w:spacing w:val="3"/>
        </w:rPr>
        <w:t xml:space="preserve">do </w:t>
      </w:r>
      <w:r>
        <w:rPr>
          <w:spacing w:val="7"/>
        </w:rPr>
        <w:t xml:space="preserve">alto </w:t>
      </w:r>
      <w:r>
        <w:t xml:space="preserve">escalão. O quilo do minério vale, no mercado internacional, cerca de US$ 300. O material é comprado dos garimpeiros  por negociantes, que mobilizam uma estrutura de escoamento do </w:t>
      </w:r>
      <w:r>
        <w:rPr>
          <w:spacing w:val="1"/>
        </w:rPr>
        <w:t xml:space="preserve">contrabando, </w:t>
      </w:r>
      <w:r>
        <w:t xml:space="preserve">por </w:t>
      </w:r>
      <w:r>
        <w:rPr>
          <w:spacing w:val="1"/>
        </w:rPr>
        <w:t xml:space="preserve">barco </w:t>
      </w:r>
      <w:r>
        <w:t xml:space="preserve">ou </w:t>
      </w:r>
      <w:r>
        <w:rPr>
          <w:spacing w:val="1"/>
        </w:rPr>
        <w:t xml:space="preserve">caminhão, </w:t>
      </w:r>
      <w:r>
        <w:t xml:space="preserve">até o seu </w:t>
      </w:r>
      <w:r>
        <w:rPr>
          <w:spacing w:val="2"/>
        </w:rPr>
        <w:t>destino</w:t>
      </w:r>
      <w:r>
        <w:rPr>
          <w:spacing w:val="2"/>
        </w:rPr>
        <w:t xml:space="preserve"> </w:t>
      </w:r>
      <w:r>
        <w:rPr>
          <w:spacing w:val="1"/>
        </w:rPr>
        <w:t>final (RANGEL,</w:t>
      </w:r>
      <w:r>
        <w:rPr>
          <w:spacing w:val="-16"/>
        </w:rPr>
        <w:t xml:space="preserve"> </w:t>
      </w:r>
      <w:r>
        <w:rPr>
          <w:spacing w:val="2"/>
        </w:rPr>
        <w:t>2009).</w:t>
      </w:r>
    </w:p>
    <w:p w:rsidR="00D81F69" w:rsidRDefault="00330118">
      <w:pPr>
        <w:pStyle w:val="Corpodetexto"/>
        <w:spacing w:before="137" w:line="312" w:lineRule="auto"/>
        <w:ind w:right="229"/>
      </w:pPr>
      <w:r>
        <w:t xml:space="preserve">Em março de 2006, agentes federais apreenderam na casa  de um fiscal municipal, em Porto Grande, cerca de 560 kg de </w:t>
      </w:r>
      <w:r>
        <w:rPr>
          <w:spacing w:val="1"/>
        </w:rPr>
        <w:t xml:space="preserve">torianita. </w:t>
      </w:r>
      <w:r>
        <w:t xml:space="preserve">Não foi a </w:t>
      </w:r>
      <w:r>
        <w:rPr>
          <w:spacing w:val="1"/>
        </w:rPr>
        <w:t xml:space="preserve">primeira </w:t>
      </w:r>
      <w:r>
        <w:t xml:space="preserve">vez que </w:t>
      </w:r>
      <w:r>
        <w:rPr>
          <w:spacing w:val="1"/>
        </w:rPr>
        <w:t xml:space="preserve">grande quantidade </w:t>
      </w:r>
      <w:r>
        <w:rPr>
          <w:spacing w:val="2"/>
        </w:rPr>
        <w:t xml:space="preserve">do </w:t>
      </w:r>
      <w:r>
        <w:rPr>
          <w:spacing w:val="5"/>
        </w:rPr>
        <w:t xml:space="preserve">minério </w:t>
      </w:r>
      <w:r>
        <w:rPr>
          <w:spacing w:val="3"/>
        </w:rPr>
        <w:t xml:space="preserve">foi </w:t>
      </w:r>
      <w:r>
        <w:rPr>
          <w:spacing w:val="5"/>
        </w:rPr>
        <w:t xml:space="preserve">encontrada </w:t>
      </w:r>
      <w:r>
        <w:rPr>
          <w:spacing w:val="2"/>
        </w:rPr>
        <w:t xml:space="preserve">na </w:t>
      </w:r>
      <w:r>
        <w:rPr>
          <w:spacing w:val="3"/>
        </w:rPr>
        <w:t xml:space="preserve">casa </w:t>
      </w:r>
      <w:r>
        <w:rPr>
          <w:spacing w:val="2"/>
        </w:rPr>
        <w:t xml:space="preserve">de </w:t>
      </w:r>
      <w:r>
        <w:rPr>
          <w:spacing w:val="5"/>
        </w:rPr>
        <w:t xml:space="preserve">habitantes </w:t>
      </w:r>
      <w:r>
        <w:rPr>
          <w:spacing w:val="2"/>
        </w:rPr>
        <w:t xml:space="preserve">da </w:t>
      </w:r>
      <w:r>
        <w:rPr>
          <w:spacing w:val="5"/>
        </w:rPr>
        <w:t xml:space="preserve">região. </w:t>
      </w:r>
      <w:r>
        <w:t>Ap</w:t>
      </w:r>
      <w:r>
        <w:t xml:space="preserve">esar da gravidade da apreensão, foram realizadas poucas </w:t>
      </w:r>
      <w:r>
        <w:rPr>
          <w:spacing w:val="1"/>
        </w:rPr>
        <w:t xml:space="preserve">operações deste tipo </w:t>
      </w:r>
      <w:r>
        <w:t xml:space="preserve">até o </w:t>
      </w:r>
      <w:r>
        <w:rPr>
          <w:spacing w:val="1"/>
        </w:rPr>
        <w:t xml:space="preserve">momento, pois </w:t>
      </w:r>
      <w:r>
        <w:t xml:space="preserve">a PF do </w:t>
      </w:r>
      <w:r>
        <w:rPr>
          <w:spacing w:val="2"/>
        </w:rPr>
        <w:t xml:space="preserve">Amapá </w:t>
      </w:r>
      <w:r>
        <w:t xml:space="preserve">não possuía um depósito para armazenar o material. A carga confiscada vinha sendo guardada, provisoriamente, em tonéis </w:t>
      </w:r>
      <w:r>
        <w:rPr>
          <w:spacing w:val="2"/>
        </w:rPr>
        <w:t xml:space="preserve">que </w:t>
      </w:r>
      <w:r>
        <w:rPr>
          <w:spacing w:val="3"/>
        </w:rPr>
        <w:t xml:space="preserve">ficavam </w:t>
      </w:r>
      <w:r>
        <w:rPr>
          <w:spacing w:val="1"/>
        </w:rPr>
        <w:t xml:space="preserve">no </w:t>
      </w:r>
      <w:r>
        <w:rPr>
          <w:spacing w:val="3"/>
        </w:rPr>
        <w:t xml:space="preserve">Batalhão </w:t>
      </w:r>
      <w:r>
        <w:rPr>
          <w:spacing w:val="1"/>
        </w:rPr>
        <w:t xml:space="preserve">de </w:t>
      </w:r>
      <w:r>
        <w:rPr>
          <w:spacing w:val="3"/>
        </w:rPr>
        <w:t xml:space="preserve">Polícia Militar Ambiental, </w:t>
      </w:r>
      <w:r>
        <w:rPr>
          <w:spacing w:val="5"/>
        </w:rPr>
        <w:t xml:space="preserve">em </w:t>
      </w:r>
      <w:r>
        <w:rPr>
          <w:spacing w:val="1"/>
        </w:rPr>
        <w:t xml:space="preserve">Santana, </w:t>
      </w:r>
      <w:r>
        <w:t xml:space="preserve">a 22 km de </w:t>
      </w:r>
      <w:r>
        <w:rPr>
          <w:spacing w:val="1"/>
        </w:rPr>
        <w:t xml:space="preserve">Macapá. </w:t>
      </w:r>
      <w:r>
        <w:t xml:space="preserve">O </w:t>
      </w:r>
      <w:r>
        <w:rPr>
          <w:spacing w:val="1"/>
        </w:rPr>
        <w:t xml:space="preserve">comandante </w:t>
      </w:r>
      <w:r>
        <w:t xml:space="preserve">do </w:t>
      </w:r>
      <w:r>
        <w:rPr>
          <w:spacing w:val="2"/>
        </w:rPr>
        <w:t xml:space="preserve">batalhão </w:t>
      </w:r>
      <w:r>
        <w:t>alegou que a unidade abriga projetos sociais, e a presença dos minérios radioativos poderia colocar a saúde de diversas pessoas em risco (COSTA; SOLANO,</w:t>
      </w:r>
      <w:r>
        <w:rPr>
          <w:spacing w:val="33"/>
        </w:rPr>
        <w:t xml:space="preserve"> </w:t>
      </w:r>
      <w:r>
        <w:t>2008).</w:t>
      </w:r>
    </w:p>
    <w:p w:rsidR="00D81F69" w:rsidRDefault="00330118">
      <w:pPr>
        <w:pStyle w:val="Corpodetexto"/>
        <w:spacing w:before="79" w:line="270" w:lineRule="atLeast"/>
        <w:ind w:right="231"/>
      </w:pPr>
      <w:r>
        <w:t>Descoberta</w:t>
      </w:r>
      <w:r>
        <w:t xml:space="preserve"> acidentalmente em um garimpo próximo ao rio Araguari, durante os anos 1990, a torianita é abundante na região central do Amapá. O estado é considerado uma das mais importantes províncias minerais do Brasil e abrigou,</w:t>
      </w:r>
    </w:p>
    <w:p w:rsidR="00D81F69" w:rsidRDefault="00D81F69">
      <w:pPr>
        <w:spacing w:line="270" w:lineRule="atLeast"/>
        <w:sectPr w:rsidR="00D81F69">
          <w:type w:val="continuous"/>
          <w:pgSz w:w="11900" w:h="16840"/>
          <w:pgMar w:top="720" w:right="460" w:bottom="280" w:left="620" w:header="720" w:footer="720" w:gutter="0"/>
          <w:cols w:num="2" w:space="720" w:equalWidth="0">
            <w:col w:w="5162" w:space="308"/>
            <w:col w:w="5350"/>
          </w:cols>
        </w:sectPr>
      </w:pPr>
    </w:p>
    <w:p w:rsidR="00D81F69" w:rsidRDefault="00330118">
      <w:pPr>
        <w:pStyle w:val="Corpodetexto"/>
        <w:spacing w:before="81" w:line="312" w:lineRule="auto"/>
        <w:ind w:right="113"/>
      </w:pPr>
      <w:r>
        <w:lastRenderedPageBreak/>
        <w:t xml:space="preserve">entre 1957 </w:t>
      </w:r>
      <w:r>
        <w:t xml:space="preserve">e 1997, um dos maiores polos de mineração de </w:t>
      </w:r>
      <w:hyperlink r:id="rId166">
        <w:r>
          <w:t xml:space="preserve">manganês </w:t>
        </w:r>
      </w:hyperlink>
      <w:r>
        <w:t>do mundo, a jazida de Serra do Navio (RANGEL, 2009).</w:t>
      </w:r>
    </w:p>
    <w:p w:rsidR="00D81F69" w:rsidRDefault="00330118">
      <w:pPr>
        <w:pStyle w:val="Corpodetexto"/>
        <w:spacing w:before="133" w:line="312" w:lineRule="auto"/>
        <w:ind w:right="128"/>
      </w:pPr>
      <w:r>
        <w:t xml:space="preserve">O monopólio da exploração dos minérios radioativos pertence à </w:t>
      </w:r>
      <w:r>
        <w:rPr>
          <w:spacing w:val="5"/>
        </w:rPr>
        <w:t xml:space="preserve">União. Apesar </w:t>
      </w:r>
      <w:r>
        <w:rPr>
          <w:spacing w:val="2"/>
        </w:rPr>
        <w:t xml:space="preserve">de </w:t>
      </w:r>
      <w:r>
        <w:rPr>
          <w:spacing w:val="3"/>
        </w:rPr>
        <w:t xml:space="preserve">não </w:t>
      </w:r>
      <w:r>
        <w:rPr>
          <w:spacing w:val="5"/>
        </w:rPr>
        <w:t xml:space="preserve">possuir </w:t>
      </w:r>
      <w:r>
        <w:rPr>
          <w:spacing w:val="2"/>
        </w:rPr>
        <w:t xml:space="preserve">um </w:t>
      </w:r>
      <w:r>
        <w:rPr>
          <w:spacing w:val="5"/>
        </w:rPr>
        <w:t xml:space="preserve">cálculo preciso, </w:t>
      </w:r>
      <w:r>
        <w:rPr>
          <w:spacing w:val="6"/>
        </w:rPr>
        <w:t xml:space="preserve">as </w:t>
      </w:r>
      <w:r>
        <w:t xml:space="preserve">Indústrias Nucleares do Brasil (INB) estimam que o Amapá possua uma das maiores reservas mundiais de urânio. </w:t>
      </w:r>
      <w:r>
        <w:rPr>
          <w:spacing w:val="1"/>
        </w:rPr>
        <w:t xml:space="preserve">Não  </w:t>
      </w:r>
      <w:r>
        <w:t>se sabe ao certo quando a mi</w:t>
      </w:r>
      <w:r>
        <w:t xml:space="preserve">neração ilegal de torianita no local começou. Presume-se que teria sido durante a década </w:t>
      </w:r>
      <w:r>
        <w:rPr>
          <w:spacing w:val="2"/>
        </w:rPr>
        <w:t xml:space="preserve">de </w:t>
      </w:r>
      <w:r>
        <w:rPr>
          <w:spacing w:val="3"/>
        </w:rPr>
        <w:t xml:space="preserve">1990. </w:t>
      </w:r>
      <w:r>
        <w:t xml:space="preserve">A </w:t>
      </w:r>
      <w:r>
        <w:rPr>
          <w:spacing w:val="5"/>
        </w:rPr>
        <w:t xml:space="preserve">atividade </w:t>
      </w:r>
      <w:r>
        <w:rPr>
          <w:spacing w:val="3"/>
        </w:rPr>
        <w:t xml:space="preserve">vem sendo </w:t>
      </w:r>
      <w:r>
        <w:rPr>
          <w:spacing w:val="5"/>
        </w:rPr>
        <w:t xml:space="preserve">investigada </w:t>
      </w:r>
      <w:r>
        <w:rPr>
          <w:spacing w:val="3"/>
        </w:rPr>
        <w:t xml:space="preserve">pela </w:t>
      </w:r>
      <w:r>
        <w:rPr>
          <w:spacing w:val="2"/>
        </w:rPr>
        <w:t xml:space="preserve">PF </w:t>
      </w:r>
      <w:r>
        <w:rPr>
          <w:spacing w:val="5"/>
        </w:rPr>
        <w:t>há</w:t>
      </w:r>
      <w:r>
        <w:rPr>
          <w:spacing w:val="61"/>
        </w:rPr>
        <w:t xml:space="preserve"> </w:t>
      </w:r>
      <w:r>
        <w:rPr>
          <w:spacing w:val="5"/>
        </w:rPr>
        <w:t>alguns</w:t>
      </w:r>
      <w:r>
        <w:rPr>
          <w:spacing w:val="32"/>
        </w:rPr>
        <w:t xml:space="preserve"> </w:t>
      </w:r>
      <w:r>
        <w:rPr>
          <w:spacing w:val="3"/>
        </w:rPr>
        <w:t>anos</w:t>
      </w:r>
      <w:r>
        <w:rPr>
          <w:spacing w:val="32"/>
        </w:rPr>
        <w:t xml:space="preserve"> </w:t>
      </w:r>
      <w:r>
        <w:rPr>
          <w:spacing w:val="5"/>
        </w:rPr>
        <w:t>(COSTA;</w:t>
      </w:r>
      <w:r>
        <w:rPr>
          <w:spacing w:val="32"/>
        </w:rPr>
        <w:t xml:space="preserve"> </w:t>
      </w:r>
      <w:r>
        <w:rPr>
          <w:spacing w:val="5"/>
        </w:rPr>
        <w:t>SOLANO,</w:t>
      </w:r>
      <w:r>
        <w:rPr>
          <w:spacing w:val="32"/>
        </w:rPr>
        <w:t xml:space="preserve"> </w:t>
      </w:r>
      <w:r>
        <w:rPr>
          <w:spacing w:val="5"/>
        </w:rPr>
        <w:t>2008).</w:t>
      </w:r>
    </w:p>
    <w:p w:rsidR="00D81F69" w:rsidRDefault="00330118">
      <w:pPr>
        <w:pStyle w:val="Corpodetexto"/>
        <w:spacing w:before="137" w:line="312" w:lineRule="auto"/>
        <w:ind w:right="121"/>
      </w:pPr>
      <w:r>
        <w:t>Depoimentos colhidos por reportagens realizadas na região revelaram que a prát</w:t>
      </w:r>
      <w:r>
        <w:t xml:space="preserve">ica de guardar a torianita em casa já teria se tornado comum entre os mineradores envolvidos no negócio. A possibilidade de contaminação em larga escala preocupa técnicos da Comissão Nacional de Energia Nuclear (CNEN), que já enviaram uma equipe ao local. </w:t>
      </w:r>
      <w:r>
        <w:t xml:space="preserve">As investigações da Polícia Federal prosseguem, e as apreensões podem voltar a ocorrer em breve. Depois de a PF recorrer vitoriosamente à Justiça, uma equipe de técnicos da CNEN transportou o material radioativo para que fosse armazenado em um laboratório </w:t>
      </w:r>
      <w:r>
        <w:t>do órgão em Poços de Caldas (MG) (RIBEIRO JÚNIOR, 2006).</w:t>
      </w:r>
    </w:p>
    <w:p w:rsidR="00D81F69" w:rsidRDefault="00330118">
      <w:pPr>
        <w:pStyle w:val="Corpodetexto"/>
        <w:spacing w:before="141" w:line="312" w:lineRule="auto"/>
        <w:ind w:right="130"/>
      </w:pPr>
      <w:r>
        <w:t>A ida da torianita do Amapá para a cidade mineira foi alvo de protestos na Câmara Municipal da cidade e de reportagens locais (MAPA DA INJUSTIÇA AMBIENTAL E SAÚDE NO BRASIL, 2009; AGÊNCIA FOLHA, 2008</w:t>
      </w:r>
      <w:r>
        <w:t>).</w:t>
      </w:r>
    </w:p>
    <w:p w:rsidR="00D81F69" w:rsidRDefault="00D81F69">
      <w:pPr>
        <w:pStyle w:val="Corpodetexto"/>
        <w:spacing w:before="3"/>
        <w:ind w:left="0"/>
        <w:jc w:val="left"/>
        <w:rPr>
          <w:sz w:val="21"/>
        </w:rPr>
      </w:pPr>
    </w:p>
    <w:p w:rsidR="00D81F69" w:rsidRDefault="00330118">
      <w:pPr>
        <w:pStyle w:val="Heading7"/>
        <w:spacing w:before="1"/>
      </w:pPr>
      <w:r>
        <w:t>LOCALIZAÇÃO GEOGRÁFICA</w:t>
      </w:r>
    </w:p>
    <w:p w:rsidR="00D81F69" w:rsidRDefault="00330118">
      <w:pPr>
        <w:pStyle w:val="Corpodetexto"/>
        <w:spacing w:before="178" w:line="312" w:lineRule="auto"/>
        <w:ind w:right="131"/>
      </w:pPr>
      <w:r>
        <w:t>O comércio ilegal de torianita, presente nos municípios de Pedra Branca, Serra do Navio e Porto Grande, na bacia do rio Oiapoque ao longo do rio Amapari, está localizado entre as latitudes 0°32’49”N - 2°25’16”N e longitudes 51°21</w:t>
      </w:r>
      <w:r>
        <w:t>’11”W - 52°3’27”W.</w:t>
      </w:r>
    </w:p>
    <w:p w:rsidR="00D81F69" w:rsidRDefault="00D81F69">
      <w:pPr>
        <w:pStyle w:val="Corpodetexto"/>
        <w:spacing w:before="3"/>
        <w:ind w:left="0"/>
        <w:jc w:val="left"/>
        <w:rPr>
          <w:sz w:val="29"/>
        </w:rPr>
      </w:pPr>
    </w:p>
    <w:p w:rsidR="00D81F69" w:rsidRDefault="00330118">
      <w:pPr>
        <w:pStyle w:val="Heading7"/>
      </w:pPr>
      <w:r>
        <w:t>REDATORES</w:t>
      </w:r>
    </w:p>
    <w:p w:rsidR="00D81F69" w:rsidRDefault="00330118">
      <w:pPr>
        <w:pStyle w:val="Corpodetexto"/>
        <w:spacing w:before="178"/>
      </w:pPr>
      <w:r>
        <w:t>Pedro Schprejer</w:t>
      </w:r>
    </w:p>
    <w:p w:rsidR="00D81F69" w:rsidRDefault="00D81F69">
      <w:pPr>
        <w:pStyle w:val="Corpodetexto"/>
        <w:ind w:left="0"/>
        <w:jc w:val="left"/>
        <w:rPr>
          <w:sz w:val="20"/>
        </w:rPr>
      </w:pPr>
    </w:p>
    <w:p w:rsidR="00D81F69" w:rsidRDefault="00330118">
      <w:pPr>
        <w:pStyle w:val="Heading7"/>
        <w:spacing w:before="165"/>
      </w:pPr>
      <w:r>
        <w:t>REFERÊNCIAS BIBLIOGRÁFICAS</w:t>
      </w:r>
    </w:p>
    <w:p w:rsidR="00D81F69" w:rsidRDefault="00330118">
      <w:pPr>
        <w:spacing w:before="187" w:line="312" w:lineRule="auto"/>
        <w:ind w:left="100" w:right="118"/>
        <w:jc w:val="both"/>
        <w:rPr>
          <w:sz w:val="16"/>
        </w:rPr>
      </w:pPr>
      <w:r>
        <w:rPr>
          <w:sz w:val="16"/>
        </w:rPr>
        <w:t>AGÊNCIA FOLHA. Comissão discutirá com a PF combate ao contrabando de minerais radioativos. Folha de São Paulo, São Paulo,</w:t>
      </w:r>
    </w:p>
    <w:p w:rsidR="00D81F69" w:rsidRDefault="00330118">
      <w:pPr>
        <w:spacing w:before="2"/>
        <w:ind w:left="100"/>
        <w:jc w:val="both"/>
        <w:rPr>
          <w:sz w:val="16"/>
        </w:rPr>
      </w:pPr>
      <w:r>
        <w:rPr>
          <w:sz w:val="16"/>
        </w:rPr>
        <w:t xml:space="preserve">2 7         d e z .         2 0 0 8 .         D i s p o n í v e l         e m :  </w:t>
      </w:r>
    </w:p>
    <w:p w:rsidR="00D81F69" w:rsidRDefault="00D81F69">
      <w:pPr>
        <w:spacing w:before="56" w:line="312" w:lineRule="auto"/>
        <w:ind w:left="100" w:right="110"/>
        <w:jc w:val="both"/>
        <w:rPr>
          <w:sz w:val="16"/>
        </w:rPr>
      </w:pPr>
      <w:hyperlink r:id="rId167">
        <w:r w:rsidR="00330118">
          <w:rPr>
            <w:sz w:val="16"/>
          </w:rPr>
          <w:t>&lt;http://www1.folha.uol.com.br/folha/brasil/ult96u483701.shtml&gt;.</w:t>
        </w:r>
      </w:hyperlink>
      <w:r w:rsidR="00330118">
        <w:rPr>
          <w:sz w:val="16"/>
        </w:rPr>
        <w:t xml:space="preserve"> Acesso em: 08 fev. 2011.</w:t>
      </w:r>
    </w:p>
    <w:p w:rsidR="00D81F69" w:rsidRDefault="00330118">
      <w:pPr>
        <w:spacing w:before="70" w:line="312" w:lineRule="auto"/>
        <w:ind w:left="100" w:right="237"/>
        <w:jc w:val="both"/>
        <w:rPr>
          <w:sz w:val="16"/>
        </w:rPr>
      </w:pPr>
      <w:r>
        <w:br w:type="column"/>
      </w:r>
      <w:r>
        <w:rPr>
          <w:sz w:val="16"/>
        </w:rPr>
        <w:lastRenderedPageBreak/>
        <w:t>COSTA, Breno; SOLANO, Pablo. Minério radioativo é extraído sem fiscalização no AP, diz PF. Folha de São Paulo, São Paulo, 27 dez.</w:t>
      </w:r>
    </w:p>
    <w:p w:rsidR="00D81F69" w:rsidRDefault="00330118">
      <w:pPr>
        <w:tabs>
          <w:tab w:val="left" w:pos="1785"/>
          <w:tab w:val="left" w:pos="4548"/>
        </w:tabs>
        <w:spacing w:before="1"/>
        <w:ind w:left="100"/>
        <w:jc w:val="both"/>
        <w:rPr>
          <w:sz w:val="16"/>
        </w:rPr>
      </w:pPr>
      <w:r>
        <w:rPr>
          <w:sz w:val="16"/>
        </w:rPr>
        <w:t xml:space="preserve">2   0   0  </w:t>
      </w:r>
      <w:r>
        <w:rPr>
          <w:spacing w:val="35"/>
          <w:sz w:val="16"/>
        </w:rPr>
        <w:t xml:space="preserve"> </w:t>
      </w:r>
      <w:r>
        <w:rPr>
          <w:sz w:val="16"/>
        </w:rPr>
        <w:t xml:space="preserve">8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31"/>
        <w:jc w:val="both"/>
        <w:rPr>
          <w:sz w:val="16"/>
        </w:rPr>
      </w:pPr>
      <w:hyperlink r:id="rId168">
        <w:r w:rsidR="00330118">
          <w:rPr>
            <w:sz w:val="16"/>
          </w:rPr>
          <w:t>&lt;http://www1.folha.uol.com.br/folha/brasil/ult96u483691.shtml&gt;.</w:t>
        </w:r>
      </w:hyperlink>
      <w:r w:rsidR="00330118">
        <w:rPr>
          <w:sz w:val="16"/>
        </w:rPr>
        <w:t xml:space="preserve"> Acesso em: 22 fev. 2010.</w:t>
      </w:r>
    </w:p>
    <w:p w:rsidR="00D81F69" w:rsidRDefault="00330118">
      <w:pPr>
        <w:tabs>
          <w:tab w:val="left" w:pos="1171"/>
          <w:tab w:val="left" w:pos="2478"/>
          <w:tab w:val="left" w:pos="4638"/>
        </w:tabs>
        <w:spacing w:before="2" w:line="312" w:lineRule="auto"/>
        <w:ind w:left="100" w:right="239"/>
        <w:jc w:val="both"/>
        <w:rPr>
          <w:sz w:val="16"/>
        </w:rPr>
      </w:pPr>
      <w:r>
        <w:rPr>
          <w:spacing w:val="3"/>
          <w:sz w:val="16"/>
        </w:rPr>
        <w:t xml:space="preserve">GOMES, Thiago. Estado </w:t>
      </w:r>
      <w:r>
        <w:rPr>
          <w:spacing w:val="2"/>
          <w:sz w:val="16"/>
        </w:rPr>
        <w:t xml:space="preserve">pode </w:t>
      </w:r>
      <w:r>
        <w:rPr>
          <w:spacing w:val="3"/>
          <w:sz w:val="16"/>
        </w:rPr>
        <w:t xml:space="preserve">estar sendo usado </w:t>
      </w:r>
      <w:r>
        <w:rPr>
          <w:spacing w:val="2"/>
          <w:sz w:val="16"/>
        </w:rPr>
        <w:t xml:space="preserve">como rota </w:t>
      </w:r>
      <w:r>
        <w:rPr>
          <w:spacing w:val="5"/>
          <w:sz w:val="16"/>
        </w:rPr>
        <w:t xml:space="preserve">de </w:t>
      </w:r>
      <w:r>
        <w:rPr>
          <w:sz w:val="16"/>
        </w:rPr>
        <w:t xml:space="preserve">contrabando radioativo. Correio do Estado, Mato Grosso do Sul, 24    o  u </w:t>
      </w:r>
      <w:r>
        <w:rPr>
          <w:spacing w:val="22"/>
          <w:sz w:val="16"/>
        </w:rPr>
        <w:t xml:space="preserve"> </w:t>
      </w:r>
      <w:r>
        <w:rPr>
          <w:sz w:val="16"/>
        </w:rPr>
        <w:t xml:space="preserve">t </w:t>
      </w:r>
      <w:r>
        <w:rPr>
          <w:spacing w:val="10"/>
          <w:sz w:val="16"/>
        </w:rPr>
        <w:t xml:space="preserve"> </w:t>
      </w:r>
      <w:r>
        <w:rPr>
          <w:sz w:val="16"/>
        </w:rPr>
        <w:t>.</w:t>
      </w:r>
      <w:r>
        <w:rPr>
          <w:sz w:val="16"/>
        </w:rPr>
        <w:tab/>
        <w:t xml:space="preserve">2  0  1 </w:t>
      </w:r>
      <w:r>
        <w:rPr>
          <w:spacing w:val="35"/>
          <w:sz w:val="16"/>
        </w:rPr>
        <w:t xml:space="preserve"> </w:t>
      </w:r>
      <w:r>
        <w:rPr>
          <w:sz w:val="16"/>
        </w:rPr>
        <w:t xml:space="preserve">2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2"/>
          <w:sz w:val="16"/>
        </w:rPr>
        <w:t xml:space="preserve"> </w:t>
      </w:r>
      <w:r>
        <w:rPr>
          <w:sz w:val="16"/>
        </w:rPr>
        <w:t>:</w:t>
      </w:r>
    </w:p>
    <w:p w:rsidR="00D81F69" w:rsidRDefault="00D81F69">
      <w:pPr>
        <w:spacing w:before="2" w:line="312" w:lineRule="auto"/>
        <w:ind w:left="100" w:right="239"/>
        <w:jc w:val="both"/>
        <w:rPr>
          <w:sz w:val="16"/>
        </w:rPr>
      </w:pPr>
      <w:hyperlink r:id="rId169">
        <w:r w:rsidR="00330118">
          <w:rPr>
            <w:sz w:val="16"/>
          </w:rPr>
          <w:t>&lt;http://flip.siteseguro.ws/pub/correiodoestado/index.jsp?ipg=105601&gt;.</w:t>
        </w:r>
      </w:hyperlink>
      <w:r w:rsidR="00330118">
        <w:rPr>
          <w:sz w:val="16"/>
        </w:rPr>
        <w:t xml:space="preserve"> Acesso em: 22 mar. 2013.</w:t>
      </w:r>
    </w:p>
    <w:p w:rsidR="00D81F69" w:rsidRDefault="00330118">
      <w:pPr>
        <w:spacing w:before="2"/>
        <w:ind w:left="100"/>
        <w:jc w:val="both"/>
        <w:rPr>
          <w:sz w:val="16"/>
        </w:rPr>
      </w:pPr>
      <w:r>
        <w:rPr>
          <w:sz w:val="16"/>
        </w:rPr>
        <w:t>MAPA DA INJUSTIÇA AMBIENTAL E SAÚDE NO BRASIL. Falta de</w:t>
      </w:r>
    </w:p>
    <w:p w:rsidR="00D81F69" w:rsidRDefault="00330118">
      <w:pPr>
        <w:spacing w:before="56" w:line="312" w:lineRule="auto"/>
        <w:ind w:left="100" w:right="237"/>
        <w:jc w:val="both"/>
        <w:rPr>
          <w:sz w:val="16"/>
        </w:rPr>
      </w:pPr>
      <w:r>
        <w:rPr>
          <w:sz w:val="16"/>
        </w:rPr>
        <w:t>transparência e responsabilidade sobre minério radioativo deixa população do norte do Amapá em estado de alerta. Base de dados,</w:t>
      </w:r>
    </w:p>
    <w:p w:rsidR="00D81F69" w:rsidRDefault="00330118">
      <w:pPr>
        <w:tabs>
          <w:tab w:val="left" w:pos="1785"/>
          <w:tab w:val="left" w:pos="4548"/>
        </w:tabs>
        <w:spacing w:before="2"/>
        <w:ind w:left="100"/>
        <w:jc w:val="both"/>
        <w:rPr>
          <w:sz w:val="16"/>
        </w:rPr>
      </w:pPr>
      <w:r>
        <w:rPr>
          <w:sz w:val="16"/>
        </w:rPr>
        <w:t xml:space="preserve">2   0   0  </w:t>
      </w:r>
      <w:r>
        <w:rPr>
          <w:spacing w:val="35"/>
          <w:sz w:val="16"/>
        </w:rPr>
        <w:t xml:space="preserve"> </w:t>
      </w:r>
      <w:r>
        <w:rPr>
          <w:sz w:val="16"/>
        </w:rPr>
        <w:t xml:space="preserve">9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56"/>
        <w:jc w:val="both"/>
        <w:rPr>
          <w:sz w:val="16"/>
        </w:rPr>
      </w:pPr>
      <w:hyperlink r:id="rId170">
        <w:r w:rsidR="00330118">
          <w:rPr>
            <w:sz w:val="16"/>
          </w:rPr>
          <w:t>&lt;http://www.conflitoambiental.icict.fiocruz.br/index.php?pag=ficha&amp;co</w:t>
        </w:r>
      </w:hyperlink>
      <w:r w:rsidR="00330118">
        <w:rPr>
          <w:sz w:val="16"/>
        </w:rPr>
        <w:t xml:space="preserve"> d=3&gt;. Acesso em: 08 fev. 2011.</w:t>
      </w:r>
    </w:p>
    <w:p w:rsidR="00D81F69" w:rsidRDefault="00330118">
      <w:pPr>
        <w:spacing w:before="1" w:line="312" w:lineRule="auto"/>
        <w:ind w:left="100" w:right="230"/>
        <w:jc w:val="both"/>
        <w:rPr>
          <w:sz w:val="16"/>
        </w:rPr>
      </w:pPr>
      <w:r>
        <w:rPr>
          <w:sz w:val="16"/>
        </w:rPr>
        <w:t>PRADO, Geórgia Reis. Estudo de contaminação ambiental por urânio no município de Caetité-BA, utilizando dentes humanos como bioindicadores. Ilhéus, 28 set. 2007. 180f. Dissertação (Mestrado em Desenvolvimento Regional e Meio Ambiente). Disponível em:</w:t>
      </w:r>
    </w:p>
    <w:p w:rsidR="00D81F69" w:rsidRDefault="00D81F69">
      <w:pPr>
        <w:spacing w:before="4" w:line="312" w:lineRule="auto"/>
        <w:ind w:left="100" w:right="256"/>
        <w:jc w:val="both"/>
        <w:rPr>
          <w:sz w:val="16"/>
        </w:rPr>
      </w:pPr>
      <w:hyperlink r:id="rId171">
        <w:r w:rsidR="00330118">
          <w:rPr>
            <w:sz w:val="16"/>
          </w:rPr>
          <w:t>&lt;http://www.uesc.br/cursos/pos_graduacao/mestrado/mdrma/teses/di</w:t>
        </w:r>
      </w:hyperlink>
      <w:r w:rsidR="00330118">
        <w:rPr>
          <w:sz w:val="16"/>
        </w:rPr>
        <w:t xml:space="preserve"> ssertacao_georgia.pdf&gt;. Acesso em: 22 fev. 2010.</w:t>
      </w:r>
    </w:p>
    <w:p w:rsidR="00D81F69" w:rsidRDefault="00330118">
      <w:pPr>
        <w:tabs>
          <w:tab w:val="left" w:pos="4331"/>
        </w:tabs>
        <w:spacing w:before="1" w:line="312" w:lineRule="auto"/>
        <w:ind w:left="100" w:right="239"/>
        <w:jc w:val="both"/>
        <w:rPr>
          <w:sz w:val="16"/>
        </w:rPr>
      </w:pPr>
      <w:r>
        <w:rPr>
          <w:sz w:val="16"/>
        </w:rPr>
        <w:t xml:space="preserve">RANGEL, Rodrigo. O contrabando do urânio brasileiro: Investigação </w:t>
      </w:r>
      <w:r>
        <w:rPr>
          <w:spacing w:val="1"/>
          <w:sz w:val="16"/>
        </w:rPr>
        <w:t xml:space="preserve">secreta </w:t>
      </w:r>
      <w:r>
        <w:rPr>
          <w:sz w:val="16"/>
        </w:rPr>
        <w:t xml:space="preserve">da </w:t>
      </w:r>
      <w:r>
        <w:rPr>
          <w:spacing w:val="1"/>
          <w:sz w:val="16"/>
        </w:rPr>
        <w:t xml:space="preserve">Polícia Federal desvenda quadrilha </w:t>
      </w:r>
      <w:r>
        <w:rPr>
          <w:sz w:val="16"/>
        </w:rPr>
        <w:t xml:space="preserve">que </w:t>
      </w:r>
      <w:r>
        <w:rPr>
          <w:spacing w:val="1"/>
          <w:sz w:val="16"/>
        </w:rPr>
        <w:t xml:space="preserve">extrai </w:t>
      </w:r>
      <w:r>
        <w:rPr>
          <w:sz w:val="16"/>
        </w:rPr>
        <w:t xml:space="preserve">e </w:t>
      </w:r>
      <w:r>
        <w:rPr>
          <w:spacing w:val="2"/>
          <w:sz w:val="16"/>
        </w:rPr>
        <w:t xml:space="preserve">envia </w:t>
      </w:r>
      <w:r>
        <w:rPr>
          <w:sz w:val="16"/>
        </w:rPr>
        <w:t xml:space="preserve">material radioativo para fora do país. Isto É, São Paulo, 05 dez. 2009.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4" w:line="312" w:lineRule="auto"/>
        <w:ind w:left="100" w:right="256"/>
        <w:jc w:val="both"/>
        <w:rPr>
          <w:sz w:val="16"/>
        </w:rPr>
      </w:pPr>
      <w:hyperlink r:id="rId172">
        <w:r w:rsidR="00330118">
          <w:rPr>
            <w:sz w:val="16"/>
          </w:rPr>
          <w:t>&lt;http://www.istoe.com.br/reportagens/21854_O+CONTRABANDO+D</w:t>
        </w:r>
      </w:hyperlink>
      <w:r w:rsidR="00330118">
        <w:rPr>
          <w:sz w:val="16"/>
        </w:rPr>
        <w:t xml:space="preserve"> O+URANIO+BRASILEIRO?pathImagens=&amp;path=&amp;actualArea=interna lPage&gt;. Acesso em: 22 fev. 2010.</w:t>
      </w:r>
    </w:p>
    <w:p w:rsidR="00D81F69" w:rsidRDefault="00330118">
      <w:pPr>
        <w:spacing w:before="2" w:line="312" w:lineRule="auto"/>
        <w:ind w:left="100" w:right="191"/>
        <w:jc w:val="both"/>
        <w:rPr>
          <w:sz w:val="16"/>
        </w:rPr>
      </w:pPr>
      <w:r>
        <w:rPr>
          <w:sz w:val="16"/>
        </w:rPr>
        <w:t xml:space="preserve">RIBEIRO JÚNIOR, Amaury. Perigo no Amapá. Correio </w:t>
      </w:r>
      <w:r>
        <w:rPr>
          <w:spacing w:val="1"/>
          <w:sz w:val="16"/>
        </w:rPr>
        <w:t xml:space="preserve">Braziliense,    </w:t>
      </w:r>
      <w:r>
        <w:rPr>
          <w:spacing w:val="2"/>
          <w:sz w:val="16"/>
        </w:rPr>
        <w:t xml:space="preserve">B r a s í l i </w:t>
      </w:r>
      <w:r>
        <w:rPr>
          <w:spacing w:val="2"/>
          <w:sz w:val="16"/>
        </w:rPr>
        <w:t xml:space="preserve">a </w:t>
      </w:r>
      <w:r>
        <w:rPr>
          <w:sz w:val="16"/>
        </w:rPr>
        <w:t xml:space="preserve">, 9 </w:t>
      </w:r>
      <w:r>
        <w:rPr>
          <w:spacing w:val="2"/>
          <w:sz w:val="16"/>
        </w:rPr>
        <w:t xml:space="preserve">m a i </w:t>
      </w:r>
      <w:r>
        <w:rPr>
          <w:sz w:val="16"/>
        </w:rPr>
        <w:t xml:space="preserve">o </w:t>
      </w:r>
      <w:r>
        <w:rPr>
          <w:spacing w:val="2"/>
          <w:sz w:val="16"/>
        </w:rPr>
        <w:t xml:space="preserve">2 0 0 6 </w:t>
      </w:r>
      <w:r>
        <w:rPr>
          <w:sz w:val="16"/>
        </w:rPr>
        <w:t xml:space="preserve">. </w:t>
      </w:r>
      <w:r>
        <w:rPr>
          <w:spacing w:val="2"/>
          <w:sz w:val="16"/>
        </w:rPr>
        <w:t xml:space="preserve">D i s p o n í v e </w:t>
      </w:r>
      <w:r>
        <w:rPr>
          <w:sz w:val="16"/>
        </w:rPr>
        <w:t>l</w:t>
      </w:r>
      <w:r>
        <w:rPr>
          <w:spacing w:val="15"/>
          <w:sz w:val="16"/>
        </w:rPr>
        <w:t xml:space="preserve"> </w:t>
      </w:r>
      <w:r>
        <w:rPr>
          <w:spacing w:val="2"/>
          <w:sz w:val="16"/>
        </w:rPr>
        <w:t xml:space="preserve">e m </w:t>
      </w:r>
      <w:r>
        <w:rPr>
          <w:sz w:val="16"/>
        </w:rPr>
        <w:t>:</w:t>
      </w:r>
      <w:r>
        <w:rPr>
          <w:spacing w:val="3"/>
          <w:sz w:val="16"/>
        </w:rPr>
        <w:t xml:space="preserve"> </w:t>
      </w:r>
    </w:p>
    <w:p w:rsidR="00D81F69" w:rsidRDefault="00D81F69">
      <w:pPr>
        <w:spacing w:before="2" w:line="312" w:lineRule="auto"/>
        <w:ind w:left="100" w:right="237"/>
        <w:jc w:val="both"/>
        <w:rPr>
          <w:sz w:val="16"/>
        </w:rPr>
      </w:pPr>
      <w:hyperlink r:id="rId173">
        <w:r w:rsidR="00330118">
          <w:rPr>
            <w:sz w:val="16"/>
          </w:rPr>
          <w:t xml:space="preserve">&lt;http://www.socioambiental.org/uc/3226/noticia/41342&gt;. </w:t>
        </w:r>
      </w:hyperlink>
      <w:r w:rsidR="00330118">
        <w:rPr>
          <w:sz w:val="16"/>
        </w:rPr>
        <w:t>Acesso em: 22 fev. 2010.</w:t>
      </w:r>
    </w:p>
    <w:p w:rsidR="00D81F69" w:rsidRDefault="00D81F69">
      <w:pPr>
        <w:spacing w:line="312" w:lineRule="auto"/>
        <w:jc w:val="both"/>
        <w:rPr>
          <w:sz w:val="16"/>
        </w:rPr>
        <w:sectPr w:rsidR="00D81F69">
          <w:pgSz w:w="11900" w:h="16840"/>
          <w:pgMar w:top="740" w:right="460" w:bottom="720" w:left="620" w:header="0" w:footer="402" w:gutter="0"/>
          <w:cols w:num="2" w:space="720" w:equalWidth="0">
            <w:col w:w="5230" w:space="240"/>
            <w:col w:w="5350"/>
          </w:cols>
        </w:sectPr>
      </w:pPr>
    </w:p>
    <w:p w:rsidR="00D81F69" w:rsidRDefault="00330118">
      <w:pPr>
        <w:pStyle w:val="Heading1"/>
        <w:tabs>
          <w:tab w:val="left" w:pos="2069"/>
          <w:tab w:val="left" w:pos="2851"/>
          <w:tab w:val="left" w:pos="3032"/>
          <w:tab w:val="left" w:pos="3837"/>
          <w:tab w:val="left" w:pos="4301"/>
          <w:tab w:val="left" w:pos="5243"/>
          <w:tab w:val="left" w:pos="6248"/>
          <w:tab w:val="left" w:pos="7609"/>
          <w:tab w:val="left" w:pos="7671"/>
          <w:tab w:val="left" w:pos="8172"/>
        </w:tabs>
        <w:spacing w:line="208" w:lineRule="auto"/>
        <w:ind w:right="240"/>
      </w:pPr>
      <w:bookmarkStart w:id="21" w:name="_TOC_250012"/>
      <w:r>
        <w:rPr>
          <w:spacing w:val="30"/>
        </w:rPr>
        <w:lastRenderedPageBreak/>
        <w:t>Estrada</w:t>
      </w:r>
      <w:r>
        <w:rPr>
          <w:spacing w:val="30"/>
        </w:rPr>
        <w:tab/>
      </w:r>
      <w:r>
        <w:rPr>
          <w:spacing w:val="17"/>
        </w:rPr>
        <w:t>de</w:t>
      </w:r>
      <w:r>
        <w:rPr>
          <w:spacing w:val="17"/>
        </w:rPr>
        <w:tab/>
      </w:r>
      <w:r>
        <w:rPr>
          <w:spacing w:val="27"/>
        </w:rPr>
        <w:t>Ferro</w:t>
      </w:r>
      <w:r>
        <w:rPr>
          <w:spacing w:val="27"/>
        </w:rPr>
        <w:tab/>
      </w:r>
      <w:r>
        <w:rPr>
          <w:spacing w:val="30"/>
        </w:rPr>
        <w:t>Carajás</w:t>
      </w:r>
      <w:r>
        <w:rPr>
          <w:spacing w:val="30"/>
        </w:rPr>
        <w:tab/>
      </w:r>
      <w:r>
        <w:rPr>
          <w:spacing w:val="27"/>
        </w:rPr>
        <w:t>afeta</w:t>
      </w:r>
      <w:r>
        <w:rPr>
          <w:spacing w:val="27"/>
        </w:rPr>
        <w:tab/>
      </w:r>
      <w:r>
        <w:rPr>
          <w:spacing w:val="31"/>
        </w:rPr>
        <w:t xml:space="preserve">comunidades </w:t>
      </w:r>
      <w:r>
        <w:rPr>
          <w:spacing w:val="32"/>
        </w:rPr>
        <w:t>tradicionais</w:t>
      </w:r>
      <w:r>
        <w:rPr>
          <w:spacing w:val="32"/>
        </w:rPr>
        <w:tab/>
      </w:r>
      <w:r>
        <w:rPr>
          <w:spacing w:val="32"/>
        </w:rPr>
        <w:tab/>
      </w:r>
      <w:r>
        <w:rPr>
          <w:spacing w:val="17"/>
        </w:rPr>
        <w:t>do</w:t>
      </w:r>
      <w:r>
        <w:rPr>
          <w:spacing w:val="17"/>
        </w:rPr>
        <w:tab/>
      </w:r>
      <w:r>
        <w:rPr>
          <w:spacing w:val="27"/>
        </w:rPr>
        <w:t>Pará,</w:t>
      </w:r>
      <w:r>
        <w:rPr>
          <w:spacing w:val="27"/>
        </w:rPr>
        <w:tab/>
      </w:r>
      <w:r>
        <w:rPr>
          <w:spacing w:val="30"/>
        </w:rPr>
        <w:t>Maranhão</w:t>
      </w:r>
      <w:r>
        <w:rPr>
          <w:spacing w:val="30"/>
        </w:rPr>
        <w:tab/>
      </w:r>
      <w:r>
        <w:rPr>
          <w:spacing w:val="30"/>
        </w:rPr>
        <w:tab/>
      </w:r>
      <w:r>
        <w:t>e</w:t>
      </w:r>
      <w:r>
        <w:tab/>
      </w:r>
      <w:r>
        <w:rPr>
          <w:spacing w:val="31"/>
        </w:rPr>
        <w:t>Tocantins</w:t>
      </w:r>
      <w:bookmarkEnd w:id="21"/>
      <w:r>
        <w:rPr>
          <w:spacing w:val="-74"/>
        </w:rPr>
        <w:t xml:space="preserve"> </w:t>
      </w:r>
    </w:p>
    <w:p w:rsidR="00D81F69" w:rsidRDefault="00D81F69">
      <w:pPr>
        <w:pStyle w:val="Corpodetexto"/>
        <w:ind w:left="0"/>
        <w:jc w:val="left"/>
        <w:rPr>
          <w:b/>
          <w:sz w:val="20"/>
        </w:rPr>
      </w:pPr>
    </w:p>
    <w:p w:rsidR="00D81F69" w:rsidRDefault="00D81F69">
      <w:pPr>
        <w:pStyle w:val="Corpodetexto"/>
        <w:spacing w:before="7"/>
        <w:ind w:left="0"/>
        <w:jc w:val="left"/>
        <w:rPr>
          <w:b/>
          <w:sz w:val="23"/>
        </w:rPr>
      </w:pPr>
    </w:p>
    <w:p w:rsidR="00D81F69" w:rsidRDefault="00330118">
      <w:pPr>
        <w:pStyle w:val="Corpodetexto"/>
        <w:spacing w:line="20" w:lineRule="exact"/>
        <w:ind w:left="2164"/>
        <w:jc w:val="left"/>
        <w:rPr>
          <w:sz w:val="2"/>
        </w:rPr>
      </w:pPr>
      <w:r>
        <w:rPr>
          <w:noProof/>
          <w:sz w:val="2"/>
          <w:lang w:val="pt-BR" w:eastAsia="pt-BR"/>
        </w:rPr>
        <w:drawing>
          <wp:inline distT="0" distB="0" distL="0" distR="0">
            <wp:extent cx="1811385" cy="9334"/>
            <wp:effectExtent l="0" t="0" r="0" b="0"/>
            <wp:docPr id="6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D81F69">
      <w:pPr>
        <w:spacing w:line="20" w:lineRule="exact"/>
        <w:rPr>
          <w:sz w:val="2"/>
        </w:rPr>
        <w:sectPr w:rsidR="00D81F69">
          <w:pgSz w:w="11900" w:h="16840"/>
          <w:pgMar w:top="1080" w:right="460" w:bottom="680" w:left="620" w:header="0" w:footer="402" w:gutter="0"/>
          <w:cols w:space="720"/>
        </w:sectPr>
      </w:pPr>
    </w:p>
    <w:p w:rsidR="00D81F69" w:rsidRDefault="00D81F69">
      <w:pPr>
        <w:pStyle w:val="Corpodetexto"/>
        <w:ind w:left="0"/>
        <w:jc w:val="left"/>
        <w:rPr>
          <w:b/>
          <w:sz w:val="15"/>
        </w:rPr>
      </w:pPr>
    </w:p>
    <w:p w:rsidR="00D81F69" w:rsidRDefault="00330118">
      <w:pPr>
        <w:ind w:left="135"/>
        <w:rPr>
          <w:i/>
          <w:sz w:val="14"/>
        </w:rPr>
      </w:pPr>
      <w:r>
        <w:rPr>
          <w:i/>
          <w:sz w:val="14"/>
        </w:rPr>
        <w:t>MUNICÍPIOS</w:t>
      </w:r>
    </w:p>
    <w:p w:rsidR="00D81F69" w:rsidRDefault="00330118">
      <w:pPr>
        <w:spacing w:before="49" w:line="312" w:lineRule="auto"/>
        <w:ind w:left="135" w:right="38"/>
        <w:rPr>
          <w:i/>
          <w:sz w:val="14"/>
        </w:rPr>
      </w:pPr>
      <w:r>
        <w:rPr>
          <w:i/>
          <w:sz w:val="14"/>
        </w:rPr>
        <w:t>MA - Açailândia MA - Bacabeira MA - Pindaré-Mirim MA - São Luís</w:t>
      </w:r>
    </w:p>
    <w:p w:rsidR="00D81F69" w:rsidRDefault="00330118">
      <w:pPr>
        <w:spacing w:before="3"/>
        <w:ind w:left="135"/>
        <w:rPr>
          <w:i/>
          <w:sz w:val="14"/>
        </w:rPr>
      </w:pPr>
      <w:r>
        <w:rPr>
          <w:i/>
          <w:sz w:val="14"/>
        </w:rPr>
        <w:t>PA - Marabá</w:t>
      </w:r>
    </w:p>
    <w:p w:rsidR="00D81F69" w:rsidRDefault="00330118">
      <w:pPr>
        <w:spacing w:before="49"/>
        <w:ind w:left="135"/>
        <w:rPr>
          <w:i/>
          <w:sz w:val="14"/>
        </w:rPr>
      </w:pPr>
      <w:r>
        <w:rPr>
          <w:i/>
          <w:sz w:val="14"/>
        </w:rPr>
        <w:t>PA - Parauapebas</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-6,1086</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-50,2938</w:t>
      </w:r>
    </w:p>
    <w:p w:rsidR="00D81F69" w:rsidRDefault="00330118">
      <w:pPr>
        <w:spacing w:before="25"/>
        <w:ind w:left="135"/>
        <w:rPr>
          <w:i/>
          <w:sz w:val="18"/>
        </w:rPr>
      </w:pPr>
      <w:r>
        <w:br w:type="column"/>
      </w:r>
      <w:r>
        <w:rPr>
          <w:i/>
          <w:sz w:val="18"/>
        </w:rPr>
        <w:lastRenderedPageBreak/>
        <w:t>SÍNTESE</w:t>
      </w:r>
    </w:p>
    <w:p w:rsidR="00D81F69" w:rsidRDefault="00330118">
      <w:pPr>
        <w:spacing w:before="52" w:line="312" w:lineRule="auto"/>
        <w:ind w:left="135" w:right="38"/>
        <w:jc w:val="both"/>
        <w:rPr>
          <w:i/>
          <w:sz w:val="16"/>
        </w:rPr>
      </w:pPr>
      <w:r>
        <w:rPr>
          <w:i/>
          <w:sz w:val="16"/>
        </w:rPr>
        <w:t>Apesar de trazer divisas para os estados do Pará e do Maranhão, o Projeto Ferro Carajás, que integra o Projeto Grande Carajás, vem causando uma série de impactos socioambientais, não só na proximidade das minas, como também ao longo de todo o Corredor da E</w:t>
      </w:r>
      <w:r>
        <w:rPr>
          <w:i/>
          <w:sz w:val="16"/>
        </w:rPr>
        <w:t>strada de Ferro Carajás (EFC).</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6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82" w:line="270" w:lineRule="atLeast"/>
        <w:ind w:left="135" w:right="237"/>
      </w:pPr>
      <w:r>
        <w:br w:type="column"/>
      </w:r>
      <w:r>
        <w:lastRenderedPageBreak/>
        <w:t>Visando à exploração econômica dos recursos minerais presentes em Carajás, o governo brasileiro elaborou o Projeto Grande Carajás (PGC). A ideia era desenvolver economicamente parte da Amazônia Legal, que abrange os estados do Pará, Maranhão e Tocantins (V</w:t>
      </w:r>
      <w:r>
        <w:t>ERDE, 2009). O PGC consistiu na junção de alguns programas em prol do desenvolvimento do espaço que atualmente configura o arco do desmatamento na Amazônia Legal, sendo o principal o Projeto Ferro Carajás (PFC), que inclui a Estrada de Ferro Carajás (EFC),</w:t>
      </w:r>
      <w:r>
        <w:t xml:space="preserve"> a Hidrelétrica de Tucuruí, o Projeto Trombetas e a Alunorte (LAMOSO, 2001). A consolidação do PFC teve</w:t>
      </w:r>
    </w:p>
    <w:p w:rsidR="00D81F69" w:rsidRDefault="00D81F69">
      <w:pPr>
        <w:spacing w:line="270" w:lineRule="atLeast"/>
        <w:sectPr w:rsidR="00D81F69">
          <w:type w:val="continuous"/>
          <w:pgSz w:w="11900" w:h="16840"/>
          <w:pgMar w:top="720" w:right="460" w:bottom="280" w:left="620" w:header="720" w:footer="720" w:gutter="0"/>
          <w:cols w:num="3" w:space="720" w:equalWidth="0">
            <w:col w:w="1381" w:space="619"/>
            <w:col w:w="3103" w:space="332"/>
            <w:col w:w="5385"/>
          </w:cols>
        </w:sectPr>
      </w:pPr>
    </w:p>
    <w:p w:rsidR="00D81F69" w:rsidRDefault="00330118">
      <w:pPr>
        <w:pStyle w:val="Heading4"/>
        <w:spacing w:line="223" w:lineRule="exact"/>
      </w:pPr>
      <w:r>
        <w:lastRenderedPageBreak/>
        <w:t>APRESENTAÇÃO DE CASO</w:t>
      </w:r>
    </w:p>
    <w:p w:rsidR="00D81F69" w:rsidRDefault="00330118">
      <w:pPr>
        <w:pStyle w:val="Corpodetexto"/>
        <w:spacing w:before="170" w:line="312" w:lineRule="auto"/>
        <w:ind w:right="55"/>
      </w:pPr>
      <w:r>
        <w:t xml:space="preserve">A descoberta, em 1967, de depósitos de minério de </w:t>
      </w:r>
      <w:hyperlink r:id="rId174">
        <w:r>
          <w:t xml:space="preserve">ferro </w:t>
        </w:r>
      </w:hyperlink>
      <w:r>
        <w:t xml:space="preserve">na Serra dos Carajás, situada no município de Parauapebas, no extremo leste do estado do Pará, levou à elaboração de um </w:t>
      </w:r>
      <w:r>
        <w:rPr>
          <w:spacing w:val="5"/>
        </w:rPr>
        <w:t xml:space="preserve">amplo programa </w:t>
      </w:r>
      <w:r>
        <w:rPr>
          <w:spacing w:val="2"/>
        </w:rPr>
        <w:t xml:space="preserve">de </w:t>
      </w:r>
      <w:r>
        <w:rPr>
          <w:spacing w:val="5"/>
        </w:rPr>
        <w:t xml:space="preserve">pesquisas geológicas </w:t>
      </w:r>
      <w:r>
        <w:rPr>
          <w:spacing w:val="2"/>
        </w:rPr>
        <w:t xml:space="preserve">na </w:t>
      </w:r>
      <w:r>
        <w:rPr>
          <w:spacing w:val="6"/>
        </w:rPr>
        <w:t xml:space="preserve">Amazônia </w:t>
      </w:r>
      <w:r>
        <w:rPr>
          <w:spacing w:val="1"/>
        </w:rPr>
        <w:t xml:space="preserve">brasileira, onde </w:t>
      </w:r>
      <w:r>
        <w:t xml:space="preserve">foi </w:t>
      </w:r>
      <w:r>
        <w:rPr>
          <w:spacing w:val="1"/>
        </w:rPr>
        <w:t xml:space="preserve">identificado </w:t>
      </w:r>
      <w:r>
        <w:t xml:space="preserve">um </w:t>
      </w:r>
      <w:r>
        <w:rPr>
          <w:spacing w:val="1"/>
        </w:rPr>
        <w:t>v</w:t>
      </w:r>
      <w:r>
        <w:rPr>
          <w:spacing w:val="1"/>
        </w:rPr>
        <w:t xml:space="preserve">asto potencial </w:t>
      </w:r>
      <w:r>
        <w:rPr>
          <w:spacing w:val="2"/>
        </w:rPr>
        <w:t xml:space="preserve">mineral, </w:t>
      </w:r>
      <w:r>
        <w:rPr>
          <w:spacing w:val="11"/>
        </w:rPr>
        <w:t xml:space="preserve">abrindo </w:t>
      </w:r>
      <w:r>
        <w:rPr>
          <w:spacing w:val="12"/>
        </w:rPr>
        <w:t xml:space="preserve">perspectivas </w:t>
      </w:r>
      <w:r>
        <w:rPr>
          <w:spacing w:val="6"/>
        </w:rPr>
        <w:t xml:space="preserve">de </w:t>
      </w:r>
      <w:r>
        <w:rPr>
          <w:spacing w:val="13"/>
        </w:rPr>
        <w:t xml:space="preserve">desenvolvimento </w:t>
      </w:r>
      <w:r>
        <w:t xml:space="preserve">à </w:t>
      </w:r>
      <w:r>
        <w:rPr>
          <w:spacing w:val="11"/>
        </w:rPr>
        <w:t xml:space="preserve">região </w:t>
      </w:r>
      <w:r>
        <w:rPr>
          <w:spacing w:val="12"/>
        </w:rPr>
        <w:t>(OLIVEIRA,</w:t>
      </w:r>
      <w:r>
        <w:rPr>
          <w:spacing w:val="72"/>
        </w:rPr>
        <w:t xml:space="preserve"> </w:t>
      </w:r>
      <w:r>
        <w:rPr>
          <w:spacing w:val="11"/>
        </w:rPr>
        <w:t>2004).</w:t>
      </w:r>
      <w:r>
        <w:rPr>
          <w:spacing w:val="-34"/>
        </w:rPr>
        <w:t xml:space="preserve"> </w:t>
      </w:r>
    </w:p>
    <w:p w:rsidR="00D81F69" w:rsidRDefault="00330118">
      <w:pPr>
        <w:pStyle w:val="Corpodetexto"/>
        <w:spacing w:before="136" w:line="312" w:lineRule="auto"/>
        <w:ind w:right="54"/>
      </w:pPr>
      <w:r>
        <w:t xml:space="preserve">Com reservas de 18 bilhões de toneladas de minério de ferro de alto teor (66% de ferro), das quais 13 bilhões são lavráveis, além de extensas reservas de manganês, </w:t>
      </w:r>
      <w:r>
        <w:t xml:space="preserve">ouro, </w:t>
      </w:r>
      <w:hyperlink r:id="rId175">
        <w:r>
          <w:t>cobre,</w:t>
        </w:r>
      </w:hyperlink>
      <w:r>
        <w:t xml:space="preserve"> </w:t>
      </w:r>
      <w:hyperlink r:id="rId176">
        <w:r>
          <w:t>níquel</w:t>
        </w:r>
      </w:hyperlink>
      <w:r>
        <w:t xml:space="preserve"> e outros minerais, a Serra dos Carajás foi avaliada com</w:t>
      </w:r>
      <w:r>
        <w:t>o sendo a maior jazida de minério de ferro do planeta, com capacidade de garantir produção por 250 anos (SAMPAIO; JULIANELLI; PENNA, 2002). Por essas</w:t>
      </w:r>
    </w:p>
    <w:p w:rsidR="00D81F69" w:rsidRDefault="00330118">
      <w:pPr>
        <w:pStyle w:val="Corpodetexto"/>
        <w:spacing w:before="7" w:line="312" w:lineRule="auto"/>
        <w:ind w:right="75"/>
      </w:pPr>
      <w:r>
        <w:t>características, ela é considerada uma “Província Mineral” (CHAVES, 2004).</w:t>
      </w:r>
    </w:p>
    <w:p w:rsidR="00D81F69" w:rsidRDefault="00330118">
      <w:pPr>
        <w:pStyle w:val="Corpodetexto"/>
        <w:spacing w:before="132" w:line="312" w:lineRule="auto"/>
        <w:ind w:right="42"/>
      </w:pPr>
      <w:r>
        <w:t>Do total do minério de ferro pr</w:t>
      </w:r>
      <w:r>
        <w:t>esente em Carajás, 1 bilhão de toneladas está na Serra Sul, e 6 bilhões de toneladas encontram-se na Serra Norte, região primeiramente selecionada para a lavra devido à maior facilidade para o acesso ferroviário e ao baixo teor de substâncias contaminantes</w:t>
      </w:r>
      <w:r>
        <w:t xml:space="preserve">, o que reduz os custos de produção. A N4E, nome da mina situada na Serra Norte, possui 1,2 bilhão de toneladas de reserva mineral lavrável (SAMPAIO; JULIANELLI; PENNA, 2002). </w:t>
      </w:r>
    </w:p>
    <w:p w:rsidR="00D81F69" w:rsidRDefault="00330118">
      <w:pPr>
        <w:pStyle w:val="Corpodetexto"/>
        <w:spacing w:before="138" w:line="312" w:lineRule="auto"/>
        <w:ind w:right="38"/>
      </w:pPr>
      <w:r>
        <w:rPr>
          <w:spacing w:val="5"/>
        </w:rPr>
        <w:t xml:space="preserve">Com </w:t>
      </w:r>
      <w:r>
        <w:rPr>
          <w:spacing w:val="7"/>
        </w:rPr>
        <w:t xml:space="preserve">153.908 </w:t>
      </w:r>
      <w:r>
        <w:rPr>
          <w:spacing w:val="8"/>
        </w:rPr>
        <w:t xml:space="preserve">habitantes </w:t>
      </w:r>
      <w:r>
        <w:t xml:space="preserve">e </w:t>
      </w:r>
      <w:r>
        <w:rPr>
          <w:spacing w:val="7"/>
        </w:rPr>
        <w:t xml:space="preserve">6.957 </w:t>
      </w:r>
      <w:r>
        <w:rPr>
          <w:spacing w:val="5"/>
        </w:rPr>
        <w:t xml:space="preserve">km2 </w:t>
      </w:r>
      <w:r>
        <w:rPr>
          <w:spacing w:val="7"/>
        </w:rPr>
        <w:t xml:space="preserve">(IBGE, </w:t>
      </w:r>
      <w:r>
        <w:rPr>
          <w:spacing w:val="10"/>
        </w:rPr>
        <w:t xml:space="preserve">2010a), </w:t>
      </w:r>
      <w:r>
        <w:rPr>
          <w:spacing w:val="1"/>
        </w:rPr>
        <w:t xml:space="preserve">Parauapebas limita-se </w:t>
      </w:r>
      <w:r>
        <w:t xml:space="preserve">ao </w:t>
      </w:r>
      <w:r>
        <w:rPr>
          <w:spacing w:val="1"/>
        </w:rPr>
        <w:t>nort</w:t>
      </w:r>
      <w:r>
        <w:rPr>
          <w:spacing w:val="1"/>
        </w:rPr>
        <w:t xml:space="preserve">e </w:t>
      </w:r>
      <w:r>
        <w:t xml:space="preserve">com </w:t>
      </w:r>
      <w:r>
        <w:rPr>
          <w:spacing w:val="1"/>
        </w:rPr>
        <w:t xml:space="preserve">Marabá, </w:t>
      </w:r>
      <w:r>
        <w:t xml:space="preserve">ao sul com o município de Curionópolis e a oeste com o município de São </w:t>
      </w:r>
      <w:r>
        <w:rPr>
          <w:spacing w:val="15"/>
        </w:rPr>
        <w:t xml:space="preserve">Félix </w:t>
      </w:r>
      <w:r>
        <w:rPr>
          <w:spacing w:val="10"/>
        </w:rPr>
        <w:t xml:space="preserve">do </w:t>
      </w:r>
      <w:r>
        <w:rPr>
          <w:spacing w:val="15"/>
        </w:rPr>
        <w:t xml:space="preserve">Xingu </w:t>
      </w:r>
      <w:r>
        <w:rPr>
          <w:spacing w:val="17"/>
        </w:rPr>
        <w:t xml:space="preserve">(PARAUAPEBAS </w:t>
      </w:r>
      <w:r>
        <w:rPr>
          <w:spacing w:val="16"/>
        </w:rPr>
        <w:t>ONLINE,</w:t>
      </w:r>
      <w:r>
        <w:rPr>
          <w:spacing w:val="82"/>
        </w:rPr>
        <w:t xml:space="preserve"> </w:t>
      </w:r>
      <w:r>
        <w:rPr>
          <w:spacing w:val="15"/>
        </w:rPr>
        <w:t>2010).</w:t>
      </w:r>
      <w:r>
        <w:rPr>
          <w:spacing w:val="-30"/>
        </w:rPr>
        <w:t xml:space="preserve"> </w:t>
      </w:r>
    </w:p>
    <w:p w:rsidR="00D81F69" w:rsidRDefault="00330118">
      <w:pPr>
        <w:pStyle w:val="Corpodetexto"/>
        <w:spacing w:before="4" w:line="312" w:lineRule="auto"/>
        <w:ind w:right="58"/>
      </w:pPr>
      <w:r>
        <w:t>Parauapebas tem um dos maiores orçamentos do estado devido aos royalties e aos impostos gerados pelas atividades da Vale em seu território. No entanto, a cidade sofre com o crescimento desordenado. A periferia aumentou rapidamente, e a maior parte das pess</w:t>
      </w:r>
      <w:r>
        <w:t>oas vindas de regiões muito pobres do Maranhão se estabeleceu em moradias precárias (BARROS, 2007a).</w:t>
      </w:r>
    </w:p>
    <w:p w:rsidR="00D81F69" w:rsidRDefault="00330118">
      <w:pPr>
        <w:pStyle w:val="Corpodetexto"/>
        <w:spacing w:before="63" w:line="312" w:lineRule="auto"/>
        <w:ind w:right="232"/>
      </w:pPr>
      <w:r>
        <w:br w:type="column"/>
      </w:r>
      <w:r>
        <w:lastRenderedPageBreak/>
        <w:t>como principal exigência a construção de um sistema integrado mina-ferrovia-porto no sudeste paraense (VALE, 2008).</w:t>
      </w:r>
    </w:p>
    <w:p w:rsidR="00D81F69" w:rsidRDefault="00330118">
      <w:pPr>
        <w:pStyle w:val="Corpodetexto"/>
        <w:spacing w:before="133" w:line="312" w:lineRule="auto"/>
        <w:ind w:right="223"/>
      </w:pPr>
      <w:r>
        <w:t>A ferrovia tornou-se necessária para v</w:t>
      </w:r>
      <w:r>
        <w:t xml:space="preserve">iabilizar o transporte seguro do minério com baixo custo, e o terminal portuário se impôs para que o país pudesse escoar a produção. Desta forma, em julho de 1978, a Companhia Vale do Rio Doce (CVRD), como então era chamada a Vale, iniciou a construção da </w:t>
      </w:r>
      <w:r>
        <w:t>Estrada de Ferro Carajás (EFC), ligando a Província Mineral de Carajás ao Terminal Marítimo de Ponta da Madeira, em São Luís, no Maranhão (SAMPAIO; JULIANELLI; PENNA,2002). O empreendimento operado pela Vale foi inaugurado no dia 28 de fevereiro de 1985 (M</w:t>
      </w:r>
      <w:r>
        <w:t>INISTÉRIO DOS TRANSPORTES, 2007).</w:t>
      </w:r>
    </w:p>
    <w:p w:rsidR="00D81F69" w:rsidRDefault="00330118">
      <w:pPr>
        <w:pStyle w:val="Corpodetexto"/>
        <w:spacing w:before="140" w:line="312" w:lineRule="auto"/>
        <w:ind w:right="234"/>
      </w:pPr>
      <w:r>
        <w:t xml:space="preserve">A EFC é a mais moderna e produtiva linha férrea do Brasil. Por ela, passam mais de sessenta produtos, como cimento, </w:t>
      </w:r>
      <w:r>
        <w:rPr>
          <w:spacing w:val="3"/>
        </w:rPr>
        <w:t xml:space="preserve">madeira, combustíveis, veículos, produtos siderúrgicos </w:t>
      </w:r>
      <w:r>
        <w:t xml:space="preserve">e agrícolas, além do minério de ferro e do </w:t>
      </w:r>
      <w:hyperlink r:id="rId177">
        <w:r>
          <w:t xml:space="preserve">manganês. </w:t>
        </w:r>
      </w:hyperlink>
      <w:r>
        <w:t xml:space="preserve">O traçado da EFC </w:t>
      </w:r>
      <w:r>
        <w:rPr>
          <w:spacing w:val="1"/>
        </w:rPr>
        <w:t xml:space="preserve">percorre </w:t>
      </w:r>
      <w:r>
        <w:t xml:space="preserve">um </w:t>
      </w:r>
      <w:r>
        <w:rPr>
          <w:spacing w:val="1"/>
        </w:rPr>
        <w:t xml:space="preserve">total </w:t>
      </w:r>
      <w:r>
        <w:t xml:space="preserve">de 22 </w:t>
      </w:r>
      <w:r>
        <w:rPr>
          <w:spacing w:val="1"/>
        </w:rPr>
        <w:t xml:space="preserve">municípios, </w:t>
      </w:r>
      <w:r>
        <w:t xml:space="preserve">dos </w:t>
      </w:r>
      <w:r>
        <w:rPr>
          <w:spacing w:val="1"/>
        </w:rPr>
        <w:t xml:space="preserve">quais </w:t>
      </w:r>
      <w:r>
        <w:rPr>
          <w:spacing w:val="2"/>
        </w:rPr>
        <w:t xml:space="preserve">três </w:t>
      </w:r>
      <w:r>
        <w:rPr>
          <w:spacing w:val="3"/>
        </w:rPr>
        <w:t xml:space="preserve">estão </w:t>
      </w:r>
      <w:r>
        <w:rPr>
          <w:spacing w:val="5"/>
        </w:rPr>
        <w:t xml:space="preserve">situados </w:t>
      </w:r>
      <w:r>
        <w:rPr>
          <w:spacing w:val="2"/>
        </w:rPr>
        <w:t xml:space="preserve">no </w:t>
      </w:r>
      <w:r>
        <w:rPr>
          <w:spacing w:val="3"/>
        </w:rPr>
        <w:t xml:space="preserve">Pará </w:t>
      </w:r>
      <w:r>
        <w:t xml:space="preserve">e </w:t>
      </w:r>
      <w:r>
        <w:rPr>
          <w:spacing w:val="3"/>
        </w:rPr>
        <w:t xml:space="preserve">19, </w:t>
      </w:r>
      <w:r>
        <w:rPr>
          <w:spacing w:val="2"/>
        </w:rPr>
        <w:t xml:space="preserve">no </w:t>
      </w:r>
      <w:r>
        <w:rPr>
          <w:spacing w:val="5"/>
        </w:rPr>
        <w:t xml:space="preserve">Maranhão. </w:t>
      </w:r>
      <w:r>
        <w:rPr>
          <w:spacing w:val="2"/>
        </w:rPr>
        <w:t xml:space="preserve">Em </w:t>
      </w:r>
      <w:r>
        <w:rPr>
          <w:spacing w:val="5"/>
        </w:rPr>
        <w:t xml:space="preserve">geral, </w:t>
      </w:r>
      <w:r>
        <w:t>a ferrovia representa o único meio de trans</w:t>
      </w:r>
      <w:r>
        <w:t xml:space="preserve">porte para milhares de </w:t>
      </w:r>
      <w:r>
        <w:rPr>
          <w:spacing w:val="1"/>
        </w:rPr>
        <w:t xml:space="preserve">famílias </w:t>
      </w:r>
      <w:r>
        <w:t xml:space="preserve">da </w:t>
      </w:r>
      <w:r>
        <w:rPr>
          <w:spacing w:val="1"/>
        </w:rPr>
        <w:t xml:space="preserve">região, estando comumente aliada </w:t>
      </w:r>
      <w:r>
        <w:t xml:space="preserve">a </w:t>
      </w:r>
      <w:r>
        <w:rPr>
          <w:spacing w:val="2"/>
        </w:rPr>
        <w:t xml:space="preserve">alguns </w:t>
      </w:r>
      <w:r>
        <w:t xml:space="preserve">programas direcionados à população, tais como “Educação </w:t>
      </w:r>
      <w:r>
        <w:rPr>
          <w:spacing w:val="5"/>
        </w:rPr>
        <w:t xml:space="preserve">nos </w:t>
      </w:r>
      <w:r>
        <w:rPr>
          <w:spacing w:val="6"/>
        </w:rPr>
        <w:t xml:space="preserve">Trilhos” </w:t>
      </w:r>
      <w:r>
        <w:t xml:space="preserve">e </w:t>
      </w:r>
      <w:r>
        <w:rPr>
          <w:spacing w:val="5"/>
        </w:rPr>
        <w:t xml:space="preserve">“Trem </w:t>
      </w:r>
      <w:r>
        <w:rPr>
          <w:spacing w:val="3"/>
        </w:rPr>
        <w:t xml:space="preserve">da </w:t>
      </w:r>
      <w:r>
        <w:rPr>
          <w:spacing w:val="6"/>
        </w:rPr>
        <w:t xml:space="preserve">Cidadania” </w:t>
      </w:r>
      <w:r>
        <w:rPr>
          <w:spacing w:val="5"/>
        </w:rPr>
        <w:t xml:space="preserve">(ANTF, 2008 </w:t>
      </w:r>
      <w:r>
        <w:rPr>
          <w:spacing w:val="7"/>
        </w:rPr>
        <w:t xml:space="preserve">apud </w:t>
      </w:r>
      <w:r>
        <w:rPr>
          <w:spacing w:val="5"/>
        </w:rPr>
        <w:t>VERDE,</w:t>
      </w:r>
      <w:r>
        <w:rPr>
          <w:spacing w:val="41"/>
        </w:rPr>
        <w:t xml:space="preserve"> </w:t>
      </w:r>
      <w:r>
        <w:rPr>
          <w:spacing w:val="7"/>
        </w:rPr>
        <w:t>2009).</w:t>
      </w:r>
    </w:p>
    <w:p w:rsidR="00D81F69" w:rsidRDefault="00330118">
      <w:pPr>
        <w:pStyle w:val="Corpodetexto"/>
        <w:spacing w:before="140" w:line="312" w:lineRule="auto"/>
        <w:ind w:right="235"/>
      </w:pPr>
      <w:r>
        <w:t>Com 892 km de extensão, a EFC possui pontos de interconex</w:t>
      </w:r>
      <w:r>
        <w:t>ão com a Ferrovia Norte-Sul (em Açailândia, no Maranhão) e com a Companhia Ferroviária Nordeste S.A. (em Itaqui, também no Maranhão). Outra importante conexão é com o terminal Ponta da Madeira (MA), que facilita o escoamento da produção para o exterior (BR</w:t>
      </w:r>
      <w:r>
        <w:t>ANDÃO, 2008).</w:t>
      </w:r>
    </w:p>
    <w:p w:rsidR="00D81F69" w:rsidRDefault="00330118">
      <w:pPr>
        <w:pStyle w:val="Corpodetexto"/>
        <w:spacing w:before="73" w:line="270" w:lineRule="atLeast"/>
        <w:ind w:right="242"/>
      </w:pPr>
      <w:r>
        <w:t>O Complexo Portuário de Ponta da Madeira/ Itaqui é composto por um terminal retroportuário equipado por dois viradores de vagões, duas empilhadeiras, pátio de estocagem, planta de peneiramento, e duas transportadoras que alimentam dois carregadores de navi</w:t>
      </w:r>
      <w:r>
        <w:t>os, instalados nos dois píeres (COELHO et al., 2006).</w:t>
      </w:r>
    </w:p>
    <w:p w:rsidR="00D81F69" w:rsidRDefault="00D81F69">
      <w:pPr>
        <w:spacing w:line="270" w:lineRule="atLeast"/>
        <w:sectPr w:rsidR="00D81F69">
          <w:type w:val="continuous"/>
          <w:pgSz w:w="11900" w:h="16840"/>
          <w:pgMar w:top="720" w:right="460" w:bottom="280" w:left="620" w:header="720" w:footer="720" w:gutter="0"/>
          <w:cols w:num="2" w:space="720" w:equalWidth="0">
            <w:col w:w="5173" w:space="297"/>
            <w:col w:w="5350"/>
          </w:cols>
        </w:sectPr>
      </w:pPr>
    </w:p>
    <w:p w:rsidR="00D81F69" w:rsidRDefault="00D81F69">
      <w:pPr>
        <w:pStyle w:val="Corpodetexto"/>
        <w:spacing w:before="5"/>
        <w:ind w:left="0"/>
        <w:jc w:val="left"/>
        <w:rPr>
          <w:sz w:val="24"/>
        </w:rPr>
      </w:pPr>
    </w:p>
    <w:p w:rsidR="00D81F69" w:rsidRDefault="00330118">
      <w:pPr>
        <w:pStyle w:val="Corpodetexto"/>
        <w:spacing w:line="312" w:lineRule="auto"/>
        <w:ind w:right="89"/>
      </w:pPr>
      <w:r>
        <w:t>O terminal opera e embarca, além do ferro praticamente in natura, pelotas de ferro produzidas a partir da usina de pelotização da Vale, cujas operações foram iniciadas em 200</w:t>
      </w:r>
      <w:r>
        <w:t>3 (COELHO et al., 2006); ferro gusa produzido por siderúrgicas instaladas no Corredor da Estrada – polo produtor de Açailândia (PAD) e polo produtor de Marabá (PMB) – e diversos tipos de grãos (FERREIRA et al., 2006)</w:t>
      </w:r>
    </w:p>
    <w:p w:rsidR="00D81F69" w:rsidRDefault="00330118">
      <w:pPr>
        <w:pStyle w:val="Corpodetexto"/>
        <w:spacing w:before="136" w:line="312" w:lineRule="auto"/>
        <w:ind w:right="78"/>
      </w:pPr>
      <w:r>
        <w:rPr>
          <w:spacing w:val="5"/>
        </w:rPr>
        <w:t xml:space="preserve">Apesar </w:t>
      </w:r>
      <w:r>
        <w:rPr>
          <w:spacing w:val="2"/>
        </w:rPr>
        <w:t xml:space="preserve">de </w:t>
      </w:r>
      <w:r>
        <w:rPr>
          <w:spacing w:val="5"/>
        </w:rPr>
        <w:t xml:space="preserve">trazer divisas para </w:t>
      </w:r>
      <w:r>
        <w:rPr>
          <w:spacing w:val="2"/>
        </w:rPr>
        <w:t xml:space="preserve">os </w:t>
      </w:r>
      <w:r>
        <w:rPr>
          <w:spacing w:val="5"/>
        </w:rPr>
        <w:t>estado</w:t>
      </w:r>
      <w:r>
        <w:rPr>
          <w:spacing w:val="5"/>
        </w:rPr>
        <w:t xml:space="preserve">s </w:t>
      </w:r>
      <w:r>
        <w:rPr>
          <w:spacing w:val="2"/>
        </w:rPr>
        <w:t xml:space="preserve">do </w:t>
      </w:r>
      <w:r>
        <w:rPr>
          <w:spacing w:val="5"/>
        </w:rPr>
        <w:t xml:space="preserve">Pará </w:t>
      </w:r>
      <w:r>
        <w:t xml:space="preserve">e </w:t>
      </w:r>
      <w:r>
        <w:rPr>
          <w:spacing w:val="6"/>
        </w:rPr>
        <w:t xml:space="preserve">do </w:t>
      </w:r>
      <w:r>
        <w:t xml:space="preserve">Maranhão, o PFC causou uma série de impactos ambientais, não só na proximidade das minas, como também ao longo de </w:t>
      </w:r>
      <w:r>
        <w:rPr>
          <w:spacing w:val="2"/>
        </w:rPr>
        <w:t xml:space="preserve">todo </w:t>
      </w:r>
      <w:r>
        <w:t xml:space="preserve">o </w:t>
      </w:r>
      <w:r>
        <w:rPr>
          <w:spacing w:val="3"/>
        </w:rPr>
        <w:t xml:space="preserve">corredor </w:t>
      </w:r>
      <w:r>
        <w:rPr>
          <w:spacing w:val="1"/>
        </w:rPr>
        <w:t xml:space="preserve">da </w:t>
      </w:r>
      <w:r>
        <w:rPr>
          <w:spacing w:val="2"/>
        </w:rPr>
        <w:t xml:space="preserve">EFC. </w:t>
      </w:r>
      <w:r>
        <w:t xml:space="preserve">A </w:t>
      </w:r>
      <w:r>
        <w:rPr>
          <w:spacing w:val="3"/>
        </w:rPr>
        <w:t xml:space="preserve">forte urbanização </w:t>
      </w:r>
      <w:r>
        <w:t xml:space="preserve">e a </w:t>
      </w:r>
      <w:r>
        <w:rPr>
          <w:spacing w:val="5"/>
        </w:rPr>
        <w:t xml:space="preserve">drástica redução </w:t>
      </w:r>
      <w:r>
        <w:rPr>
          <w:spacing w:val="3"/>
        </w:rPr>
        <w:t xml:space="preserve">da </w:t>
      </w:r>
      <w:r>
        <w:rPr>
          <w:spacing w:val="6"/>
        </w:rPr>
        <w:t xml:space="preserve">floresta original </w:t>
      </w:r>
      <w:r>
        <w:rPr>
          <w:spacing w:val="5"/>
        </w:rPr>
        <w:t xml:space="preserve">podem ser </w:t>
      </w:r>
      <w:r>
        <w:rPr>
          <w:spacing w:val="6"/>
        </w:rPr>
        <w:t xml:space="preserve">associadas </w:t>
      </w:r>
      <w:r>
        <w:rPr>
          <w:spacing w:val="7"/>
        </w:rPr>
        <w:t xml:space="preserve">aos </w:t>
      </w:r>
      <w:r>
        <w:rPr>
          <w:spacing w:val="5"/>
        </w:rPr>
        <w:t xml:space="preserve">impactos decorrentes </w:t>
      </w:r>
      <w:r>
        <w:rPr>
          <w:spacing w:val="2"/>
        </w:rPr>
        <w:t xml:space="preserve">da </w:t>
      </w:r>
      <w:r>
        <w:rPr>
          <w:spacing w:val="5"/>
        </w:rPr>
        <w:t xml:space="preserve">construção </w:t>
      </w:r>
      <w:r>
        <w:rPr>
          <w:spacing w:val="2"/>
        </w:rPr>
        <w:t xml:space="preserve">da </w:t>
      </w:r>
      <w:r>
        <w:rPr>
          <w:spacing w:val="5"/>
        </w:rPr>
        <w:t xml:space="preserve">ferrovia. </w:t>
      </w:r>
      <w:r>
        <w:t xml:space="preserve">O </w:t>
      </w:r>
      <w:r>
        <w:rPr>
          <w:spacing w:val="5"/>
        </w:rPr>
        <w:t xml:space="preserve">PFC </w:t>
      </w:r>
      <w:r>
        <w:t>transformou também a estrutura socioespacial anteriormente vigente. Um dos indícios desta transformação foi o aumento da especulação imobiliária (BRANDÃO, 2008), bem como o crescimento acelerado da popu</w:t>
      </w:r>
      <w:r>
        <w:t xml:space="preserve">lação da região, que </w:t>
      </w:r>
      <w:r>
        <w:rPr>
          <w:spacing w:val="1"/>
        </w:rPr>
        <w:t xml:space="preserve">passou </w:t>
      </w:r>
      <w:r>
        <w:rPr>
          <w:spacing w:val="5"/>
        </w:rPr>
        <w:t xml:space="preserve">de </w:t>
      </w:r>
      <w:r>
        <w:rPr>
          <w:spacing w:val="10"/>
        </w:rPr>
        <w:t xml:space="preserve">40.370.000 habitantes, </w:t>
      </w:r>
      <w:r>
        <w:rPr>
          <w:spacing w:val="5"/>
        </w:rPr>
        <w:t xml:space="preserve">na </w:t>
      </w:r>
      <w:r>
        <w:rPr>
          <w:spacing w:val="10"/>
        </w:rPr>
        <w:t xml:space="preserve">década </w:t>
      </w:r>
      <w:r>
        <w:rPr>
          <w:spacing w:val="5"/>
        </w:rPr>
        <w:t xml:space="preserve">de </w:t>
      </w:r>
      <w:r>
        <w:rPr>
          <w:spacing w:val="8"/>
        </w:rPr>
        <w:t xml:space="preserve">1970, </w:t>
      </w:r>
      <w:r>
        <w:rPr>
          <w:spacing w:val="11"/>
        </w:rPr>
        <w:t xml:space="preserve">para </w:t>
      </w:r>
      <w:r>
        <w:t>129.115.000, na década de 1980; 245.593.000, na década</w:t>
      </w:r>
      <w:r>
        <w:rPr>
          <w:spacing w:val="22"/>
        </w:rPr>
        <w:t xml:space="preserve"> </w:t>
      </w:r>
      <w:r>
        <w:t>de</w:t>
      </w:r>
    </w:p>
    <w:p w:rsidR="00D81F69" w:rsidRDefault="00330118">
      <w:pPr>
        <w:pStyle w:val="Corpodetexto"/>
        <w:spacing w:before="11"/>
      </w:pPr>
      <w:r>
        <w:t>1990 e para 377.533, em 2000 (BUNKER; COELHO; LOPES,</w:t>
      </w:r>
    </w:p>
    <w:p w:rsidR="00D81F69" w:rsidRDefault="00330118">
      <w:pPr>
        <w:pStyle w:val="Corpodetexto"/>
        <w:spacing w:before="63"/>
      </w:pPr>
      <w:r>
        <w:t>2002, p. 35 apud COELHO et al., 2006).</w:t>
      </w:r>
    </w:p>
    <w:p w:rsidR="00D81F69" w:rsidRDefault="00D81F69">
      <w:pPr>
        <w:pStyle w:val="Corpodetexto"/>
        <w:spacing w:before="9"/>
        <w:ind w:left="0"/>
        <w:jc w:val="left"/>
        <w:rPr>
          <w:sz w:val="16"/>
        </w:rPr>
      </w:pPr>
    </w:p>
    <w:p w:rsidR="00D81F69" w:rsidRDefault="00330118">
      <w:pPr>
        <w:pStyle w:val="Corpodetexto"/>
        <w:spacing w:line="312" w:lineRule="auto"/>
        <w:ind w:right="92"/>
      </w:pPr>
      <w:r>
        <w:t>Em um primeiro momento, a e</w:t>
      </w:r>
      <w:r>
        <w:t xml:space="preserve">strada facilitou o desmatamento das florestas nativas que continuam a suprir as necessidades energéticas da siderurgia. Depois, a área devastada tornou-se </w:t>
      </w:r>
      <w:r>
        <w:rPr>
          <w:spacing w:val="3"/>
        </w:rPr>
        <w:t xml:space="preserve">objeto </w:t>
      </w:r>
      <w:r>
        <w:rPr>
          <w:spacing w:val="1"/>
        </w:rPr>
        <w:t xml:space="preserve">da </w:t>
      </w:r>
      <w:r>
        <w:rPr>
          <w:spacing w:val="3"/>
        </w:rPr>
        <w:t xml:space="preserve">cobiça imobiliária, alimentada </w:t>
      </w:r>
      <w:r>
        <w:rPr>
          <w:spacing w:val="2"/>
        </w:rPr>
        <w:t xml:space="preserve">pelo </w:t>
      </w:r>
      <w:r>
        <w:rPr>
          <w:spacing w:val="3"/>
        </w:rPr>
        <w:t xml:space="preserve">interesse </w:t>
      </w:r>
      <w:r>
        <w:rPr>
          <w:spacing w:val="5"/>
        </w:rPr>
        <w:t xml:space="preserve">de pecuaristas </w:t>
      </w:r>
      <w:r>
        <w:t xml:space="preserve">e </w:t>
      </w:r>
      <w:r>
        <w:rPr>
          <w:spacing w:val="5"/>
        </w:rPr>
        <w:t xml:space="preserve">empresas </w:t>
      </w:r>
      <w:r>
        <w:rPr>
          <w:spacing w:val="2"/>
        </w:rPr>
        <w:t xml:space="preserve">de </w:t>
      </w:r>
      <w:r>
        <w:rPr>
          <w:spacing w:val="5"/>
        </w:rPr>
        <w:t>reflorestamento.</w:t>
      </w:r>
      <w:r>
        <w:rPr>
          <w:spacing w:val="5"/>
        </w:rPr>
        <w:t xml:space="preserve"> </w:t>
      </w:r>
      <w:r>
        <w:t xml:space="preserve">A </w:t>
      </w:r>
      <w:r>
        <w:rPr>
          <w:spacing w:val="3"/>
        </w:rPr>
        <w:t xml:space="preserve">ação </w:t>
      </w:r>
      <w:r>
        <w:rPr>
          <w:spacing w:val="5"/>
        </w:rPr>
        <w:t>dos</w:t>
      </w:r>
      <w:r>
        <w:rPr>
          <w:spacing w:val="61"/>
        </w:rPr>
        <w:t xml:space="preserve"> </w:t>
      </w:r>
      <w:r>
        <w:t xml:space="preserve">grileiros e a cobiça pelas terras indígenas passaram a tomar </w:t>
      </w:r>
      <w:r>
        <w:rPr>
          <w:spacing w:val="5"/>
        </w:rPr>
        <w:t xml:space="preserve">corpo </w:t>
      </w:r>
      <w:r>
        <w:rPr>
          <w:spacing w:val="3"/>
        </w:rPr>
        <w:t xml:space="preserve">na </w:t>
      </w:r>
      <w:r>
        <w:rPr>
          <w:spacing w:val="5"/>
        </w:rPr>
        <w:t xml:space="preserve">região (MAPA </w:t>
      </w:r>
      <w:r>
        <w:rPr>
          <w:spacing w:val="3"/>
        </w:rPr>
        <w:t xml:space="preserve">DA </w:t>
      </w:r>
      <w:r>
        <w:rPr>
          <w:spacing w:val="6"/>
        </w:rPr>
        <w:t xml:space="preserve">INJUSTIÇA AMBIENTAL </w:t>
      </w:r>
      <w:r>
        <w:t xml:space="preserve">E </w:t>
      </w:r>
      <w:r>
        <w:rPr>
          <w:spacing w:val="5"/>
        </w:rPr>
        <w:t xml:space="preserve">SAÚDE </w:t>
      </w:r>
      <w:r>
        <w:rPr>
          <w:spacing w:val="3"/>
        </w:rPr>
        <w:t xml:space="preserve">NO </w:t>
      </w:r>
      <w:r>
        <w:rPr>
          <w:spacing w:val="5"/>
        </w:rPr>
        <w:t xml:space="preserve">BRASIL, </w:t>
      </w:r>
      <w:r>
        <w:rPr>
          <w:spacing w:val="7"/>
        </w:rPr>
        <w:t>2009).</w:t>
      </w:r>
    </w:p>
    <w:p w:rsidR="00D81F69" w:rsidRDefault="00330118">
      <w:pPr>
        <w:pStyle w:val="Corpodetexto"/>
        <w:spacing w:before="138" w:line="312" w:lineRule="auto"/>
        <w:ind w:right="89"/>
      </w:pPr>
      <w:r>
        <w:t xml:space="preserve">A estrada de ferro estimulou, dentre outras coisas, a associação das áreas agricultáveis com a siderurgia, pois </w:t>
      </w:r>
      <w:r>
        <w:t>as usinas de gusa, principal matéria prima do aço, precisam de carvão vegetal para funcionar. Essa necessidade fez com que surgissem milhares de fornos primitivos, chamados de ‘rabo quente', que queimam a floresta para produzir carvão (BARROS, 2007b).</w:t>
      </w:r>
    </w:p>
    <w:p w:rsidR="00D81F69" w:rsidRDefault="00330118">
      <w:pPr>
        <w:pStyle w:val="Corpodetexto"/>
        <w:spacing w:before="136" w:line="312" w:lineRule="auto"/>
        <w:ind w:right="70"/>
        <w:jc w:val="left"/>
      </w:pPr>
      <w:r>
        <w:t xml:space="preserve">É o </w:t>
      </w:r>
      <w:r>
        <w:t xml:space="preserve">caso de Açailândia. Com 5.806 km² e 104.047 habitantes </w:t>
      </w:r>
      <w:r>
        <w:rPr>
          <w:spacing w:val="1"/>
        </w:rPr>
        <w:t xml:space="preserve">(IBGE, 2010b), </w:t>
      </w:r>
      <w:r>
        <w:t xml:space="preserve">o </w:t>
      </w:r>
      <w:r>
        <w:rPr>
          <w:spacing w:val="1"/>
        </w:rPr>
        <w:t xml:space="preserve">município fica </w:t>
      </w:r>
      <w:r>
        <w:t xml:space="preserve">a 445 km de São </w:t>
      </w:r>
      <w:r>
        <w:rPr>
          <w:spacing w:val="1"/>
        </w:rPr>
        <w:t xml:space="preserve">Luís, </w:t>
      </w:r>
      <w:r>
        <w:rPr>
          <w:spacing w:val="2"/>
        </w:rPr>
        <w:t xml:space="preserve">no </w:t>
      </w:r>
      <w:r>
        <w:t>oeste do Maranhão. Com a queda da indústria madeireira, a siderurgia tem sido o setor que mais gera emprego e divisas ao município (PREFEITURA M</w:t>
      </w:r>
      <w:r>
        <w:t>UNICIPAL DE</w:t>
      </w:r>
      <w:r>
        <w:rPr>
          <w:spacing w:val="-22"/>
        </w:rPr>
        <w:t xml:space="preserve"> </w:t>
      </w:r>
      <w:r>
        <w:t>AÇAILÂNDIA,</w:t>
      </w:r>
    </w:p>
    <w:p w:rsidR="00D81F69" w:rsidRDefault="00330118">
      <w:pPr>
        <w:pStyle w:val="Corpodetexto"/>
        <w:spacing w:before="5" w:line="312" w:lineRule="auto"/>
        <w:ind w:right="85"/>
      </w:pPr>
      <w:r>
        <w:t>2010). Em Açailândia, além dos pastos, que se sucedem ao longo das margens da ferrovia, também podem ser observadas algumas plantações de eucalipto. Anos atrás, a Vale cogitou investir em uma fábrica de celulose na área, mas a ideia</w:t>
      </w:r>
      <w:r>
        <w:t xml:space="preserve"> não vingou. As árvores de tronco fino, em comparação com as espécies nativas amazônicas, destinam-se à produção de carvão vegetal para abastecer as siderúrgicas que produzem ferro-gusa (BARROS, 2007b).</w:t>
      </w:r>
    </w:p>
    <w:p w:rsidR="00D81F69" w:rsidRDefault="00330118">
      <w:pPr>
        <w:pStyle w:val="Corpodetexto"/>
        <w:spacing w:before="137" w:line="312" w:lineRule="auto"/>
        <w:ind w:right="78"/>
      </w:pPr>
      <w:r>
        <w:t>Ao todo, 14 usinas no Pará e no Maranhão compõem o Po</w:t>
      </w:r>
      <w:r>
        <w:t>lo Siderúrgico de Carajás. Metade fica em Marabá, e as outras sete se encontram no Maranhão, das quais cinco em Pequiá, distrito de Açailândia. Essas indústrias utilizam a linha de trem</w:t>
      </w:r>
    </w:p>
    <w:p w:rsidR="00D81F69" w:rsidRDefault="00330118">
      <w:pPr>
        <w:pStyle w:val="Corpodetexto"/>
        <w:spacing w:before="81" w:line="312" w:lineRule="auto"/>
        <w:ind w:right="233"/>
      </w:pPr>
      <w:r>
        <w:br w:type="column"/>
      </w:r>
      <w:r>
        <w:lastRenderedPageBreak/>
        <w:t xml:space="preserve">tanto para receber seu principal insumo, o minério de </w:t>
      </w:r>
      <w:r>
        <w:rPr>
          <w:spacing w:val="1"/>
        </w:rPr>
        <w:t xml:space="preserve">ferro, </w:t>
      </w:r>
      <w:r>
        <w:t xml:space="preserve">quanto para escoar o gusa até São Luís. A dependência da Vale, única fornecedora, obriga as siderúrgicas a aceitarem  os reajustes impostos pela empresa, por conta da valorização </w:t>
      </w:r>
      <w:r>
        <w:rPr>
          <w:spacing w:val="3"/>
        </w:rPr>
        <w:t xml:space="preserve">internacional </w:t>
      </w:r>
      <w:r>
        <w:rPr>
          <w:spacing w:val="1"/>
        </w:rPr>
        <w:t xml:space="preserve">do </w:t>
      </w:r>
      <w:r>
        <w:rPr>
          <w:spacing w:val="3"/>
        </w:rPr>
        <w:t xml:space="preserve">ferro. </w:t>
      </w:r>
      <w:r>
        <w:rPr>
          <w:spacing w:val="1"/>
        </w:rPr>
        <w:t xml:space="preserve">Em </w:t>
      </w:r>
      <w:r>
        <w:rPr>
          <w:spacing w:val="3"/>
        </w:rPr>
        <w:t xml:space="preserve">fevereiro </w:t>
      </w:r>
      <w:r>
        <w:rPr>
          <w:spacing w:val="1"/>
        </w:rPr>
        <w:t xml:space="preserve">de </w:t>
      </w:r>
      <w:r>
        <w:rPr>
          <w:spacing w:val="3"/>
        </w:rPr>
        <w:t xml:space="preserve">2005, </w:t>
      </w:r>
      <w:r>
        <w:t xml:space="preserve">o </w:t>
      </w:r>
      <w:r>
        <w:rPr>
          <w:spacing w:val="3"/>
        </w:rPr>
        <w:t xml:space="preserve">preço </w:t>
      </w:r>
      <w:r>
        <w:rPr>
          <w:spacing w:val="5"/>
        </w:rPr>
        <w:t xml:space="preserve">do </w:t>
      </w:r>
      <w:r>
        <w:rPr>
          <w:spacing w:val="3"/>
        </w:rPr>
        <w:t xml:space="preserve">minério </w:t>
      </w:r>
      <w:r>
        <w:rPr>
          <w:spacing w:val="2"/>
        </w:rPr>
        <w:t xml:space="preserve">foi </w:t>
      </w:r>
      <w:r>
        <w:rPr>
          <w:spacing w:val="3"/>
        </w:rPr>
        <w:t>aumentad</w:t>
      </w:r>
      <w:r>
        <w:rPr>
          <w:spacing w:val="3"/>
        </w:rPr>
        <w:t xml:space="preserve">o </w:t>
      </w:r>
      <w:r>
        <w:rPr>
          <w:spacing w:val="1"/>
        </w:rPr>
        <w:t xml:space="preserve">em </w:t>
      </w:r>
      <w:r>
        <w:rPr>
          <w:spacing w:val="3"/>
        </w:rPr>
        <w:t xml:space="preserve">71,5% </w:t>
      </w:r>
      <w:r>
        <w:rPr>
          <w:spacing w:val="1"/>
        </w:rPr>
        <w:t xml:space="preserve">e, em </w:t>
      </w:r>
      <w:r>
        <w:rPr>
          <w:spacing w:val="3"/>
        </w:rPr>
        <w:t xml:space="preserve">junho </w:t>
      </w:r>
      <w:r>
        <w:rPr>
          <w:spacing w:val="1"/>
        </w:rPr>
        <w:t xml:space="preserve">de </w:t>
      </w:r>
      <w:r>
        <w:rPr>
          <w:spacing w:val="3"/>
        </w:rPr>
        <w:t xml:space="preserve">2007, </w:t>
      </w:r>
      <w:r>
        <w:t>o índice de reajuste, acordado após um demorado processo de negociação, foi de 19% (BARROS,</w:t>
      </w:r>
      <w:r>
        <w:rPr>
          <w:spacing w:val="28"/>
        </w:rPr>
        <w:t xml:space="preserve"> </w:t>
      </w:r>
      <w:r>
        <w:t>2007b).</w:t>
      </w:r>
    </w:p>
    <w:p w:rsidR="00D81F69" w:rsidRDefault="00330118">
      <w:pPr>
        <w:pStyle w:val="Corpodetexto"/>
        <w:spacing w:before="137" w:line="312" w:lineRule="auto"/>
        <w:ind w:right="254"/>
      </w:pPr>
      <w:r>
        <w:t>Os problemas gerados pelas siderúrgicas que se instalaram à beira da Estrada de Ferro Carajás não se limitam à questão ambiental. Há também irregularidades trabalhistas praticadas por seus fornecedores e relatos de casos de trabalho análogo ao escravo. Pre</w:t>
      </w:r>
      <w:r>
        <w:t>ssionadas pela opinião pública e pelo próprio governo, as usinas do Polo de Carajás fundaram, em 2005, o Instituto Carvão Cidadão (ICC), cuja principal função é fiscalizar o ambiente de trabalho nas quase 1,2 mil carvoarias que gravitam em torno das guseir</w:t>
      </w:r>
      <w:r>
        <w:t>as (BARROS, 2007b).</w:t>
      </w:r>
    </w:p>
    <w:p w:rsidR="00D81F69" w:rsidRDefault="00330118">
      <w:pPr>
        <w:pStyle w:val="Corpodetexto"/>
        <w:spacing w:before="139" w:line="312" w:lineRule="auto"/>
        <w:ind w:right="231"/>
      </w:pPr>
      <w:r>
        <w:t xml:space="preserve">A construção da ferrovia atingiu também populações urbanas e rurais de toda a Amazônia oriental, especialmente aquelas </w:t>
      </w:r>
      <w:r>
        <w:rPr>
          <w:spacing w:val="3"/>
        </w:rPr>
        <w:t xml:space="preserve">envolvidas </w:t>
      </w:r>
      <w:r>
        <w:rPr>
          <w:spacing w:val="1"/>
        </w:rPr>
        <w:t xml:space="preserve">em </w:t>
      </w:r>
      <w:r>
        <w:rPr>
          <w:spacing w:val="3"/>
        </w:rPr>
        <w:t xml:space="preserve">conflitos fundiários associados </w:t>
      </w:r>
      <w:r>
        <w:t xml:space="preserve">à </w:t>
      </w:r>
      <w:r>
        <w:rPr>
          <w:spacing w:val="5"/>
        </w:rPr>
        <w:t xml:space="preserve">ocupação </w:t>
      </w:r>
      <w:r>
        <w:rPr>
          <w:spacing w:val="3"/>
        </w:rPr>
        <w:t xml:space="preserve">violenta </w:t>
      </w:r>
      <w:r>
        <w:rPr>
          <w:spacing w:val="1"/>
        </w:rPr>
        <w:t xml:space="preserve">da </w:t>
      </w:r>
      <w:r>
        <w:rPr>
          <w:spacing w:val="3"/>
        </w:rPr>
        <w:t xml:space="preserve">terra, </w:t>
      </w:r>
      <w:r>
        <w:rPr>
          <w:spacing w:val="2"/>
        </w:rPr>
        <w:t xml:space="preserve">fato </w:t>
      </w:r>
      <w:r>
        <w:rPr>
          <w:spacing w:val="3"/>
        </w:rPr>
        <w:t xml:space="preserve">gerador </w:t>
      </w:r>
      <w:r>
        <w:rPr>
          <w:spacing w:val="1"/>
        </w:rPr>
        <w:t xml:space="preserve">de </w:t>
      </w:r>
      <w:r>
        <w:rPr>
          <w:spacing w:val="3"/>
        </w:rPr>
        <w:t xml:space="preserve">confrontos entre </w:t>
      </w:r>
      <w:r>
        <w:rPr>
          <w:spacing w:val="5"/>
        </w:rPr>
        <w:t xml:space="preserve">índios, </w:t>
      </w:r>
      <w:r>
        <w:t xml:space="preserve">camponeses sem terra e agentes do capitalismo no campo </w:t>
      </w:r>
      <w:r>
        <w:rPr>
          <w:spacing w:val="3"/>
        </w:rPr>
        <w:t xml:space="preserve">(SAMPAIO; JULIANELLI; PENNA, 2002). </w:t>
      </w:r>
      <w:r>
        <w:t xml:space="preserve">A  </w:t>
      </w:r>
      <w:r>
        <w:rPr>
          <w:spacing w:val="3"/>
        </w:rPr>
        <w:t xml:space="preserve">construção </w:t>
      </w:r>
      <w:r>
        <w:rPr>
          <w:spacing w:val="33"/>
        </w:rPr>
        <w:t xml:space="preserve"> </w:t>
      </w:r>
      <w:r>
        <w:rPr>
          <w:spacing w:val="5"/>
        </w:rPr>
        <w:t>da</w:t>
      </w:r>
    </w:p>
    <w:p w:rsidR="00D81F69" w:rsidRDefault="00330118">
      <w:pPr>
        <w:pStyle w:val="Corpodetexto"/>
        <w:spacing w:before="5" w:line="312" w:lineRule="auto"/>
        <w:ind w:right="235"/>
      </w:pPr>
      <w:r>
        <w:t>ferrovia foi traçando um quadro de desolação nas localidades atingidas devido não só ao desmatamento e ao aproveitamento da madeira nas serrarias c</w:t>
      </w:r>
      <w:r>
        <w:t>riadas, mas também pela expulsão do homem do campo, forçando-o a buscar meios de sobrevivência no garimpo (CHAVES, 2004).</w:t>
      </w:r>
    </w:p>
    <w:p w:rsidR="00D81F69" w:rsidRDefault="00330118">
      <w:pPr>
        <w:pStyle w:val="Corpodetexto"/>
        <w:spacing w:before="135" w:line="312" w:lineRule="auto"/>
        <w:ind w:right="251"/>
      </w:pPr>
      <w:r>
        <w:t>Matérias veiculadas tanto pela imprensa brasileira quanto estrangeira, por parte de pesquisadores e organizações não governamentais en</w:t>
      </w:r>
      <w:r>
        <w:t>gajados na luta pelos direitos dos povos indígenas, abordaram a indiferença do governo brasileiro para com as comunidades indígenas e conseguiram fazer com que o Banco Mundial – um dos principais financiadores do PGC – condicionasse a concessão de novos re</w:t>
      </w:r>
      <w:r>
        <w:t>cursos para a continuidade do projeto a ações estatais que garantam as condições básicas de sobrevivência dos povos indígenas (VERDE, 2009).</w:t>
      </w:r>
    </w:p>
    <w:p w:rsidR="00D81F69" w:rsidRDefault="00330118">
      <w:pPr>
        <w:pStyle w:val="Corpodetexto"/>
        <w:spacing w:before="139" w:line="312" w:lineRule="auto"/>
        <w:ind w:right="235"/>
      </w:pPr>
      <w:r>
        <w:t xml:space="preserve">Um convênio estabelecido em 1982, entre a mineradora Vale e a </w:t>
      </w:r>
      <w:r>
        <w:rPr>
          <w:spacing w:val="1"/>
        </w:rPr>
        <w:t xml:space="preserve">Fundação Nacional </w:t>
      </w:r>
      <w:r>
        <w:t xml:space="preserve">do </w:t>
      </w:r>
      <w:r>
        <w:rPr>
          <w:spacing w:val="1"/>
        </w:rPr>
        <w:t xml:space="preserve">Índio (Funai), inseriu </w:t>
      </w:r>
      <w:r>
        <w:t xml:space="preserve">os </w:t>
      </w:r>
      <w:r>
        <w:rPr>
          <w:spacing w:val="2"/>
        </w:rPr>
        <w:t>grupos</w:t>
      </w:r>
      <w:r>
        <w:rPr>
          <w:spacing w:val="2"/>
        </w:rPr>
        <w:t xml:space="preserve"> </w:t>
      </w:r>
      <w:r>
        <w:t xml:space="preserve">indígenas no projeto Apoio às Comunidades Indígenas (ACI), </w:t>
      </w:r>
      <w:r>
        <w:rPr>
          <w:spacing w:val="3"/>
        </w:rPr>
        <w:t xml:space="preserve">que </w:t>
      </w:r>
      <w:r>
        <w:rPr>
          <w:spacing w:val="5"/>
        </w:rPr>
        <w:t xml:space="preserve">determinava </w:t>
      </w:r>
      <w:r>
        <w:t xml:space="preserve">a </w:t>
      </w:r>
      <w:r>
        <w:rPr>
          <w:spacing w:val="5"/>
        </w:rPr>
        <w:t xml:space="preserve">aplicação </w:t>
      </w:r>
      <w:r>
        <w:rPr>
          <w:spacing w:val="2"/>
        </w:rPr>
        <w:t xml:space="preserve">de </w:t>
      </w:r>
      <w:r>
        <w:rPr>
          <w:spacing w:val="3"/>
        </w:rPr>
        <w:t xml:space="preserve">US$ 13,6 </w:t>
      </w:r>
      <w:r>
        <w:rPr>
          <w:spacing w:val="5"/>
        </w:rPr>
        <w:t xml:space="preserve">milhões para </w:t>
      </w:r>
      <w:r>
        <w:t>compensar os povos indígenas do Maranhão, leste do Pará e norte de Tocantins quanto aos impactos da implantação do PFC (OLIVEIRA,</w:t>
      </w:r>
      <w:r>
        <w:rPr>
          <w:spacing w:val="-17"/>
        </w:rPr>
        <w:t xml:space="preserve"> </w:t>
      </w:r>
      <w:r>
        <w:rPr>
          <w:spacing w:val="1"/>
        </w:rPr>
        <w:t>2004).</w:t>
      </w:r>
    </w:p>
    <w:p w:rsidR="00D81F69" w:rsidRDefault="00330118">
      <w:pPr>
        <w:pStyle w:val="Corpodetexto"/>
        <w:spacing w:before="136" w:line="312" w:lineRule="auto"/>
        <w:ind w:right="228"/>
      </w:pPr>
      <w:r>
        <w:t xml:space="preserve">O </w:t>
      </w:r>
      <w:r>
        <w:rPr>
          <w:spacing w:val="5"/>
        </w:rPr>
        <w:t>prog</w:t>
      </w:r>
      <w:r>
        <w:rPr>
          <w:spacing w:val="5"/>
        </w:rPr>
        <w:t xml:space="preserve">rama, desenvolvido </w:t>
      </w:r>
      <w:r>
        <w:rPr>
          <w:spacing w:val="3"/>
        </w:rPr>
        <w:t xml:space="preserve">até 1986, </w:t>
      </w:r>
      <w:r>
        <w:rPr>
          <w:spacing w:val="5"/>
        </w:rPr>
        <w:t xml:space="preserve">envolveu </w:t>
      </w:r>
      <w:r>
        <w:rPr>
          <w:spacing w:val="2"/>
        </w:rPr>
        <w:t xml:space="preserve">os </w:t>
      </w:r>
      <w:r>
        <w:rPr>
          <w:spacing w:val="5"/>
        </w:rPr>
        <w:t>povos</w:t>
      </w:r>
      <w:r>
        <w:rPr>
          <w:spacing w:val="61"/>
        </w:rPr>
        <w:t xml:space="preserve"> </w:t>
      </w:r>
      <w:r>
        <w:t xml:space="preserve">indígenas Apinayé (Tocantins); Gavião-Parkatêjê, Parakanã, </w:t>
      </w:r>
      <w:r>
        <w:rPr>
          <w:spacing w:val="5"/>
        </w:rPr>
        <w:t xml:space="preserve">Suruí, </w:t>
      </w:r>
      <w:r>
        <w:t xml:space="preserve">e </w:t>
      </w:r>
      <w:r>
        <w:rPr>
          <w:spacing w:val="6"/>
        </w:rPr>
        <w:t xml:space="preserve">Kayapó-Xikrin </w:t>
      </w:r>
      <w:r>
        <w:rPr>
          <w:spacing w:val="5"/>
        </w:rPr>
        <w:t xml:space="preserve">(Pará); </w:t>
      </w:r>
      <w:r>
        <w:rPr>
          <w:spacing w:val="6"/>
        </w:rPr>
        <w:t xml:space="preserve">Gavião-Pukobyê, </w:t>
      </w:r>
      <w:r>
        <w:rPr>
          <w:spacing w:val="7"/>
        </w:rPr>
        <w:t xml:space="preserve">Guajá, </w:t>
      </w:r>
      <w:r>
        <w:t xml:space="preserve">Guajajara, Krikatí e Urubu-Kaapor (Maranhão). Inicialmente, apenas as terras indígenas situadas </w:t>
      </w:r>
      <w:r>
        <w:t xml:space="preserve">no interior do “Corredor Carajás”, zona considerada de impacto direto do PFC, foram contempladas pelo convênio. Em 1985, povos indígenas do </w:t>
      </w:r>
      <w:r>
        <w:rPr>
          <w:spacing w:val="10"/>
        </w:rPr>
        <w:t xml:space="preserve">centro-oeste maranhense, </w:t>
      </w:r>
      <w:r>
        <w:rPr>
          <w:spacing w:val="5"/>
        </w:rPr>
        <w:t xml:space="preserve">em </w:t>
      </w:r>
      <w:r>
        <w:rPr>
          <w:spacing w:val="8"/>
        </w:rPr>
        <w:t xml:space="preserve">especial </w:t>
      </w:r>
      <w:r>
        <w:rPr>
          <w:spacing w:val="5"/>
        </w:rPr>
        <w:t xml:space="preserve">os </w:t>
      </w:r>
      <w:r>
        <w:rPr>
          <w:spacing w:val="7"/>
        </w:rPr>
        <w:t xml:space="preserve">povos </w:t>
      </w:r>
      <w:r>
        <w:rPr>
          <w:spacing w:val="10"/>
        </w:rPr>
        <w:t xml:space="preserve">dos </w:t>
      </w:r>
      <w:r>
        <w:t>municípios de Grajaú e Barra da Corda, localizados na zona</w:t>
      </w:r>
    </w:p>
    <w:p w:rsidR="00D81F69" w:rsidRDefault="00D81F69">
      <w:pPr>
        <w:spacing w:line="312" w:lineRule="auto"/>
        <w:sectPr w:rsidR="00D81F69">
          <w:pgSz w:w="11900" w:h="16840"/>
          <w:pgMar w:top="740" w:right="460" w:bottom="720" w:left="620" w:header="0" w:footer="402" w:gutter="0"/>
          <w:cols w:num="2" w:space="720" w:equalWidth="0">
            <w:col w:w="5193" w:space="277"/>
            <w:col w:w="5350"/>
          </w:cols>
        </w:sectPr>
      </w:pPr>
    </w:p>
    <w:p w:rsidR="00D81F69" w:rsidRDefault="00330118">
      <w:pPr>
        <w:pStyle w:val="Corpodetexto"/>
        <w:spacing w:before="81" w:line="312" w:lineRule="auto"/>
        <w:ind w:right="39"/>
      </w:pPr>
      <w:r>
        <w:lastRenderedPageBreak/>
        <w:t>de impacto indireto do empreendimento, foram também contemplados. No total, o ACI atingiu, aproximadamente, 90 aldeias, 24 postos indígenas, abrangendo uma população de cerca de 12.500 índios, presentes nos estados do Maranhão</w:t>
      </w:r>
      <w:r>
        <w:t>, Pará e Tocantins (OLIVEIRA, 2004).</w:t>
      </w:r>
    </w:p>
    <w:p w:rsidR="00D81F69" w:rsidRDefault="00330118">
      <w:pPr>
        <w:pStyle w:val="Corpodetexto"/>
        <w:spacing w:before="71" w:line="270" w:lineRule="atLeast"/>
        <w:ind w:right="50"/>
      </w:pPr>
      <w:r>
        <w:rPr>
          <w:spacing w:val="1"/>
        </w:rPr>
        <w:t xml:space="preserve">Mesmo assim, várias </w:t>
      </w:r>
      <w:r>
        <w:t xml:space="preserve">têm </w:t>
      </w:r>
      <w:r>
        <w:rPr>
          <w:spacing w:val="1"/>
        </w:rPr>
        <w:t xml:space="preserve">sido </w:t>
      </w:r>
      <w:r>
        <w:t xml:space="preserve">as </w:t>
      </w:r>
      <w:r>
        <w:rPr>
          <w:spacing w:val="1"/>
        </w:rPr>
        <w:t xml:space="preserve">lutas sociais </w:t>
      </w:r>
      <w:r>
        <w:rPr>
          <w:spacing w:val="2"/>
        </w:rPr>
        <w:t xml:space="preserve">envolvendo </w:t>
      </w:r>
      <w:r>
        <w:t>indígenas e a Vale desde o início do PFC (VERDE, 2009). Em 2003, índios da tribo Galvão interditaram a EFC, provocando  a interrupção das atividades da Vale. O ob</w:t>
      </w:r>
      <w:r>
        <w:t xml:space="preserve">jetivo foi pressionar a </w:t>
      </w:r>
      <w:r>
        <w:rPr>
          <w:spacing w:val="3"/>
        </w:rPr>
        <w:t xml:space="preserve">mineradora </w:t>
      </w:r>
      <w:r>
        <w:t xml:space="preserve">a </w:t>
      </w:r>
      <w:r>
        <w:rPr>
          <w:spacing w:val="3"/>
        </w:rPr>
        <w:t xml:space="preserve">repassar </w:t>
      </w:r>
      <w:r>
        <w:rPr>
          <w:spacing w:val="2"/>
        </w:rPr>
        <w:t xml:space="preserve">uma </w:t>
      </w:r>
      <w:r>
        <w:rPr>
          <w:spacing w:val="3"/>
        </w:rPr>
        <w:t xml:space="preserve">quantia maior </w:t>
      </w:r>
      <w:r>
        <w:rPr>
          <w:spacing w:val="1"/>
        </w:rPr>
        <w:t xml:space="preserve">de </w:t>
      </w:r>
      <w:r>
        <w:rPr>
          <w:spacing w:val="5"/>
        </w:rPr>
        <w:t xml:space="preserve">recursos </w:t>
      </w:r>
      <w:r>
        <w:rPr>
          <w:spacing w:val="8"/>
        </w:rPr>
        <w:t xml:space="preserve">financeiros </w:t>
      </w:r>
      <w:r>
        <w:rPr>
          <w:spacing w:val="6"/>
        </w:rPr>
        <w:t xml:space="preserve">para </w:t>
      </w:r>
      <w:r>
        <w:rPr>
          <w:spacing w:val="5"/>
        </w:rPr>
        <w:t xml:space="preserve">as </w:t>
      </w:r>
      <w:r>
        <w:rPr>
          <w:spacing w:val="8"/>
        </w:rPr>
        <w:t xml:space="preserve">comunidades tradicionais </w:t>
      </w:r>
      <w:r>
        <w:rPr>
          <w:spacing w:val="10"/>
        </w:rPr>
        <w:t xml:space="preserve">(BRASIL </w:t>
      </w:r>
      <w:r>
        <w:t xml:space="preserve">MINERAL ONLINE, 2003). Em 17 de outubro de 2006, houve outro incidente emblemático: duzentos índios Xikrin, da Terra </w:t>
      </w:r>
      <w:r>
        <w:rPr>
          <w:spacing w:val="5"/>
        </w:rPr>
        <w:t>Indígena C</w:t>
      </w:r>
      <w:r>
        <w:rPr>
          <w:spacing w:val="5"/>
        </w:rPr>
        <w:t xml:space="preserve">atete, ocuparam </w:t>
      </w:r>
      <w:r>
        <w:rPr>
          <w:spacing w:val="3"/>
        </w:rPr>
        <w:t xml:space="preserve">por </w:t>
      </w:r>
      <w:r>
        <w:rPr>
          <w:spacing w:val="2"/>
        </w:rPr>
        <w:t xml:space="preserve">48 </w:t>
      </w:r>
      <w:r>
        <w:rPr>
          <w:spacing w:val="5"/>
        </w:rPr>
        <w:t xml:space="preserve">horas </w:t>
      </w:r>
      <w:r>
        <w:rPr>
          <w:spacing w:val="2"/>
        </w:rPr>
        <w:t xml:space="preserve">as </w:t>
      </w:r>
      <w:r>
        <w:rPr>
          <w:spacing w:val="6"/>
        </w:rPr>
        <w:t xml:space="preserve">instalações </w:t>
      </w:r>
      <w:r>
        <w:t xml:space="preserve">produtivas da Vale em Carajás. Consequentemente, a </w:t>
      </w:r>
      <w:r>
        <w:rPr>
          <w:spacing w:val="1"/>
        </w:rPr>
        <w:t xml:space="preserve">EFC </w:t>
      </w:r>
      <w:r>
        <w:rPr>
          <w:spacing w:val="5"/>
        </w:rPr>
        <w:t xml:space="preserve">teve </w:t>
      </w:r>
      <w:r>
        <w:rPr>
          <w:spacing w:val="3"/>
        </w:rPr>
        <w:t xml:space="preserve">sua </w:t>
      </w:r>
      <w:r>
        <w:rPr>
          <w:spacing w:val="5"/>
        </w:rPr>
        <w:t xml:space="preserve">operação suspensa (VERDE, 2009). Após </w:t>
      </w:r>
      <w:r>
        <w:rPr>
          <w:spacing w:val="6"/>
        </w:rPr>
        <w:t xml:space="preserve">um </w:t>
      </w:r>
      <w:r>
        <w:rPr>
          <w:spacing w:val="3"/>
        </w:rPr>
        <w:t xml:space="preserve">acordo entre </w:t>
      </w:r>
      <w:r>
        <w:t xml:space="preserve">a </w:t>
      </w:r>
      <w:r>
        <w:rPr>
          <w:spacing w:val="3"/>
        </w:rPr>
        <w:t xml:space="preserve">Funai </w:t>
      </w:r>
      <w:r>
        <w:t xml:space="preserve">e </w:t>
      </w:r>
      <w:r>
        <w:rPr>
          <w:spacing w:val="1"/>
        </w:rPr>
        <w:t xml:space="preserve">os </w:t>
      </w:r>
      <w:r>
        <w:rPr>
          <w:spacing w:val="3"/>
        </w:rPr>
        <w:t xml:space="preserve">líderes </w:t>
      </w:r>
      <w:r>
        <w:rPr>
          <w:spacing w:val="2"/>
        </w:rPr>
        <w:t xml:space="preserve">das </w:t>
      </w:r>
      <w:r>
        <w:rPr>
          <w:spacing w:val="3"/>
        </w:rPr>
        <w:t xml:space="preserve">aldeias Xikrins, </w:t>
      </w:r>
      <w:r>
        <w:rPr>
          <w:spacing w:val="5"/>
        </w:rPr>
        <w:t xml:space="preserve">os </w:t>
      </w:r>
      <w:r>
        <w:t xml:space="preserve">índios deixaram o local divididos em grupos, mas </w:t>
      </w:r>
      <w:r>
        <w:t>prometeram continuar lutando pelo reajuste acima dos R$ 9 milhões que a Vale paga anualmente à tribo por explorar o minério na região e passar com seus vagões pela ferrovia de Carajás, que corta a reserva indígena (O ESTADO DE SÃO PAULO,</w:t>
      </w:r>
      <w:r>
        <w:rPr>
          <w:spacing w:val="15"/>
        </w:rPr>
        <w:t xml:space="preserve"> </w:t>
      </w:r>
      <w:r>
        <w:t>2006).</w:t>
      </w:r>
    </w:p>
    <w:p w:rsidR="00D81F69" w:rsidRDefault="00330118">
      <w:pPr>
        <w:pStyle w:val="Corpodetexto"/>
        <w:spacing w:line="312" w:lineRule="auto"/>
        <w:ind w:right="48"/>
      </w:pPr>
      <w:r>
        <w:t xml:space="preserve">A dimensão </w:t>
      </w:r>
      <w:r>
        <w:t>dos impactos negativos no entorno do chamado corredor Carajás vem motivando organizações da sociedade civil para seu enfrentamento. Em outubro de 2007, o Movimento dos Trabalhadores Rurais Sem Terra (MST) também ocupou a estrada de ferro para protestar con</w:t>
      </w:r>
      <w:r>
        <w:t>tra os impactos negativos causados ao meio ambiente e os acidentes que envolvem as comunidades do entorno (MAPA DA INJUSTIÇA AMBIENTAL E SAÚDE NO BRASIL, 2009).</w:t>
      </w:r>
    </w:p>
    <w:p w:rsidR="00D81F69" w:rsidRDefault="00330118">
      <w:pPr>
        <w:pStyle w:val="Corpodetexto"/>
        <w:spacing w:before="131" w:line="312" w:lineRule="auto"/>
        <w:ind w:right="38"/>
      </w:pPr>
      <w:r>
        <w:t xml:space="preserve">No final do mesmo ano, foi lançada a Campanha Justiça nos Trilhos pelos missionários católicos </w:t>
      </w:r>
      <w:r>
        <w:t>combonianos. A campanha tem como objetivo trazer à tona os grandes impactos da Estrada de Ferro Carajás sobre as populações que vivem na região de sua influência. Em outubro de 2008, juntamente com outras organizações sociais da região, foi realizado o sem</w:t>
      </w:r>
      <w:r>
        <w:t>inário “Justiça nos Trilhos”. A campanha foi também responsável pela programação de um seminário internacional e pelas oficinas realizadas durante o Fórum Social Mundial de Belém, em janeiro de 2009, para debater as influências e os impactos das atividades</w:t>
      </w:r>
      <w:r>
        <w:t xml:space="preserve"> da Vale (MAPA DA INJUSTIÇA AMBIENTAL E SAÚDE NO BRASIL, 2009).</w:t>
      </w:r>
    </w:p>
    <w:p w:rsidR="00D81F69" w:rsidRDefault="00330118">
      <w:pPr>
        <w:pStyle w:val="Corpodetexto"/>
        <w:spacing w:before="141" w:line="312" w:lineRule="auto"/>
        <w:ind w:right="48"/>
      </w:pPr>
      <w:r>
        <w:t xml:space="preserve">Em 2010, a Vale anunciou a construção de um novo píer no </w:t>
      </w:r>
      <w:r>
        <w:rPr>
          <w:spacing w:val="1"/>
        </w:rPr>
        <w:t xml:space="preserve">terminal marítimo </w:t>
      </w:r>
      <w:r>
        <w:t xml:space="preserve">de </w:t>
      </w:r>
      <w:r>
        <w:rPr>
          <w:spacing w:val="1"/>
        </w:rPr>
        <w:t xml:space="preserve">Ponta </w:t>
      </w:r>
      <w:r>
        <w:t xml:space="preserve">da </w:t>
      </w:r>
      <w:r>
        <w:rPr>
          <w:spacing w:val="1"/>
        </w:rPr>
        <w:t xml:space="preserve">Madeira (BRASIL </w:t>
      </w:r>
      <w:r>
        <w:rPr>
          <w:spacing w:val="2"/>
        </w:rPr>
        <w:t xml:space="preserve">MINERAL </w:t>
      </w:r>
      <w:r>
        <w:t xml:space="preserve">ONLINE, 2010) e o acréscimo de 100 km na extensão da EFC </w:t>
      </w:r>
      <w:r>
        <w:rPr>
          <w:spacing w:val="3"/>
        </w:rPr>
        <w:t xml:space="preserve">até Canaã dos </w:t>
      </w:r>
      <w:r>
        <w:rPr>
          <w:spacing w:val="5"/>
        </w:rPr>
        <w:t xml:space="preserve">Carajás, </w:t>
      </w:r>
      <w:r>
        <w:rPr>
          <w:spacing w:val="2"/>
        </w:rPr>
        <w:t>n</w:t>
      </w:r>
      <w:r>
        <w:rPr>
          <w:spacing w:val="2"/>
        </w:rPr>
        <w:t xml:space="preserve">o </w:t>
      </w:r>
      <w:r>
        <w:rPr>
          <w:spacing w:val="5"/>
        </w:rPr>
        <w:t xml:space="preserve">sudeste </w:t>
      </w:r>
      <w:r>
        <w:rPr>
          <w:spacing w:val="2"/>
        </w:rPr>
        <w:t xml:space="preserve">do </w:t>
      </w:r>
      <w:r>
        <w:rPr>
          <w:spacing w:val="3"/>
        </w:rPr>
        <w:t xml:space="preserve">Pará, onde </w:t>
      </w:r>
      <w:r>
        <w:rPr>
          <w:spacing w:val="5"/>
        </w:rPr>
        <w:t>será</w:t>
      </w:r>
      <w:r>
        <w:rPr>
          <w:spacing w:val="61"/>
        </w:rPr>
        <w:t xml:space="preserve"> </w:t>
      </w:r>
      <w:r>
        <w:rPr>
          <w:spacing w:val="7"/>
        </w:rPr>
        <w:t xml:space="preserve">instalada </w:t>
      </w:r>
      <w:r>
        <w:rPr>
          <w:spacing w:val="5"/>
        </w:rPr>
        <w:t xml:space="preserve">uma </w:t>
      </w:r>
      <w:r>
        <w:rPr>
          <w:spacing w:val="6"/>
        </w:rPr>
        <w:t xml:space="preserve">nova </w:t>
      </w:r>
      <w:r>
        <w:rPr>
          <w:spacing w:val="7"/>
        </w:rPr>
        <w:t xml:space="preserve">mina. Batizada </w:t>
      </w:r>
      <w:r>
        <w:rPr>
          <w:spacing w:val="5"/>
        </w:rPr>
        <w:t xml:space="preserve">de </w:t>
      </w:r>
      <w:r>
        <w:rPr>
          <w:spacing w:val="7"/>
        </w:rPr>
        <w:t xml:space="preserve">S11D, </w:t>
      </w:r>
      <w:r>
        <w:t xml:space="preserve">a </w:t>
      </w:r>
      <w:r>
        <w:rPr>
          <w:spacing w:val="10"/>
        </w:rPr>
        <w:t xml:space="preserve">mina </w:t>
      </w:r>
      <w:r>
        <w:t xml:space="preserve">(POLONI, 2010) deve possibilitar a extração inicial de 90 mil </w:t>
      </w:r>
      <w:r>
        <w:rPr>
          <w:spacing w:val="5"/>
        </w:rPr>
        <w:t xml:space="preserve">t/ano </w:t>
      </w:r>
      <w:r>
        <w:rPr>
          <w:spacing w:val="3"/>
        </w:rPr>
        <w:t xml:space="preserve">de </w:t>
      </w:r>
      <w:r>
        <w:rPr>
          <w:spacing w:val="5"/>
        </w:rPr>
        <w:t xml:space="preserve">minério </w:t>
      </w:r>
      <w:r>
        <w:rPr>
          <w:spacing w:val="3"/>
        </w:rPr>
        <w:t xml:space="preserve">de </w:t>
      </w:r>
      <w:r>
        <w:rPr>
          <w:spacing w:val="5"/>
        </w:rPr>
        <w:t xml:space="preserve">ferro até 2015 (BRASIL </w:t>
      </w:r>
      <w:r>
        <w:rPr>
          <w:spacing w:val="7"/>
        </w:rPr>
        <w:t xml:space="preserve">MINERAL </w:t>
      </w:r>
      <w:r>
        <w:rPr>
          <w:spacing w:val="5"/>
        </w:rPr>
        <w:t xml:space="preserve">ONLINE, </w:t>
      </w:r>
      <w:r>
        <w:rPr>
          <w:spacing w:val="7"/>
        </w:rPr>
        <w:t>2010).</w:t>
      </w:r>
    </w:p>
    <w:p w:rsidR="00D81F69" w:rsidRDefault="00330118">
      <w:pPr>
        <w:pStyle w:val="Corpodetexto"/>
        <w:spacing w:before="74" w:line="270" w:lineRule="atLeast"/>
        <w:ind w:right="57"/>
      </w:pPr>
      <w:r>
        <w:t>Para a exploração da nova mina, a Vale vai gastar US$ 11,3 bilhões (R$ 19,9 bilhões), o dobro do seu lucro em 2009. O alto investimento tem explicação: um relatório, divulgado em julho de 2010, mostra que, nos próximos cinco anos, o consumo mundial de miné</w:t>
      </w:r>
      <w:r>
        <w:t>rio de ferro deve atingir 1,7 bilhão</w:t>
      </w:r>
    </w:p>
    <w:p w:rsidR="00D81F69" w:rsidRDefault="00330118">
      <w:pPr>
        <w:pStyle w:val="Corpodetexto"/>
        <w:spacing w:before="81" w:line="312" w:lineRule="auto"/>
        <w:ind w:right="245"/>
      </w:pPr>
      <w:r>
        <w:br w:type="column"/>
      </w:r>
      <w:r>
        <w:rPr>
          <w:spacing w:val="2"/>
        </w:rPr>
        <w:lastRenderedPageBreak/>
        <w:t xml:space="preserve">de </w:t>
      </w:r>
      <w:r>
        <w:rPr>
          <w:spacing w:val="5"/>
        </w:rPr>
        <w:t xml:space="preserve">toneladas </w:t>
      </w:r>
      <w:r>
        <w:rPr>
          <w:spacing w:val="2"/>
        </w:rPr>
        <w:t xml:space="preserve">ao </w:t>
      </w:r>
      <w:r>
        <w:rPr>
          <w:spacing w:val="3"/>
        </w:rPr>
        <w:t xml:space="preserve">ano, </w:t>
      </w:r>
      <w:r>
        <w:rPr>
          <w:spacing w:val="2"/>
        </w:rPr>
        <w:t xml:space="preserve">ou </w:t>
      </w:r>
      <w:r>
        <w:rPr>
          <w:spacing w:val="3"/>
        </w:rPr>
        <w:t xml:space="preserve">seja, terá </w:t>
      </w:r>
      <w:r>
        <w:rPr>
          <w:spacing w:val="5"/>
        </w:rPr>
        <w:t xml:space="preserve">aumento </w:t>
      </w:r>
      <w:r>
        <w:rPr>
          <w:spacing w:val="2"/>
        </w:rPr>
        <w:t xml:space="preserve">de </w:t>
      </w:r>
      <w:r>
        <w:rPr>
          <w:spacing w:val="3"/>
        </w:rPr>
        <w:t xml:space="preserve">70% </w:t>
      </w:r>
      <w:r>
        <w:rPr>
          <w:spacing w:val="5"/>
        </w:rPr>
        <w:t>em</w:t>
      </w:r>
      <w:r>
        <w:rPr>
          <w:spacing w:val="61"/>
        </w:rPr>
        <w:t xml:space="preserve"> </w:t>
      </w:r>
      <w:r>
        <w:t xml:space="preserve">relação a este ano. Produzido pela Global Industry Analysts (GIA), o estudo indica que o aumento no consumo de minério </w:t>
      </w:r>
      <w:r>
        <w:rPr>
          <w:spacing w:val="2"/>
        </w:rPr>
        <w:t xml:space="preserve">de </w:t>
      </w:r>
      <w:r>
        <w:rPr>
          <w:spacing w:val="3"/>
        </w:rPr>
        <w:t xml:space="preserve">ferro </w:t>
      </w:r>
      <w:r>
        <w:t xml:space="preserve">é </w:t>
      </w:r>
      <w:r>
        <w:rPr>
          <w:spacing w:val="5"/>
        </w:rPr>
        <w:t xml:space="preserve">alavancado </w:t>
      </w:r>
      <w:r>
        <w:rPr>
          <w:spacing w:val="3"/>
        </w:rPr>
        <w:t xml:space="preserve">pelo </w:t>
      </w:r>
      <w:r>
        <w:rPr>
          <w:spacing w:val="5"/>
        </w:rPr>
        <w:t xml:space="preserve">crescimento </w:t>
      </w:r>
      <w:r>
        <w:rPr>
          <w:spacing w:val="2"/>
        </w:rPr>
        <w:t xml:space="preserve">da </w:t>
      </w:r>
      <w:r>
        <w:rPr>
          <w:spacing w:val="5"/>
        </w:rPr>
        <w:t>economia de</w:t>
      </w:r>
      <w:r>
        <w:rPr>
          <w:spacing w:val="61"/>
        </w:rPr>
        <w:t xml:space="preserve"> </w:t>
      </w:r>
      <w:r>
        <w:rPr>
          <w:spacing w:val="7"/>
        </w:rPr>
        <w:t xml:space="preserve">países </w:t>
      </w:r>
      <w:r>
        <w:rPr>
          <w:spacing w:val="8"/>
        </w:rPr>
        <w:t xml:space="preserve">emergentes, </w:t>
      </w:r>
      <w:r>
        <w:rPr>
          <w:spacing w:val="5"/>
        </w:rPr>
        <w:t xml:space="preserve">em </w:t>
      </w:r>
      <w:r>
        <w:rPr>
          <w:spacing w:val="7"/>
        </w:rPr>
        <w:t xml:space="preserve">especial </w:t>
      </w:r>
      <w:r>
        <w:rPr>
          <w:spacing w:val="5"/>
        </w:rPr>
        <w:t xml:space="preserve">da </w:t>
      </w:r>
      <w:r>
        <w:rPr>
          <w:spacing w:val="7"/>
        </w:rPr>
        <w:t xml:space="preserve">China, </w:t>
      </w:r>
      <w:r>
        <w:rPr>
          <w:spacing w:val="5"/>
        </w:rPr>
        <w:t xml:space="preserve">com </w:t>
      </w:r>
      <w:r>
        <w:rPr>
          <w:spacing w:val="10"/>
        </w:rPr>
        <w:t xml:space="preserve">seus </w:t>
      </w:r>
      <w:r>
        <w:t>investimentos nos setores automotivos e de construção civil (BRASIL MINISG SITE, 2010).</w:t>
      </w:r>
    </w:p>
    <w:p w:rsidR="00D81F69" w:rsidRDefault="00330118">
      <w:pPr>
        <w:pStyle w:val="Corpodetexto"/>
        <w:spacing w:before="136" w:line="312" w:lineRule="auto"/>
        <w:ind w:right="229"/>
      </w:pPr>
      <w:r>
        <w:t>Ainda em 2010, apesar dos diversos impactos socioambientais causados pela EFC, a Vale iniciou oficialmente</w:t>
      </w:r>
      <w:r>
        <w:t xml:space="preserve"> as obras de duplicação da Estrada de Ferro Carajás. O projeto estava no papel desde 2007, e fora engavetado até o reaquecimento do mercado de minério e o esgotamento da capacidade da ferrovia. A duplicação, que aumentaria a capacidade da ferrovia para esc</w:t>
      </w:r>
      <w:r>
        <w:t>oar o minério de Carajás, estava prevista para 604 km dos 892 km da ferrovia, entre São Luís e Carajás (GRANDES CONSTRUÇÕES, 2010) e seria inaugurada em 2016 (PORTOGENTE, 2012).</w:t>
      </w:r>
    </w:p>
    <w:p w:rsidR="00D81F69" w:rsidRDefault="00330118">
      <w:pPr>
        <w:pStyle w:val="Corpodetexto"/>
        <w:spacing w:before="140" w:line="312" w:lineRule="auto"/>
        <w:ind w:right="250"/>
      </w:pPr>
      <w:r>
        <w:t xml:space="preserve">No </w:t>
      </w:r>
      <w:r>
        <w:rPr>
          <w:spacing w:val="1"/>
        </w:rPr>
        <w:t xml:space="preserve">entanto, </w:t>
      </w:r>
      <w:r>
        <w:t xml:space="preserve">em </w:t>
      </w:r>
      <w:r>
        <w:rPr>
          <w:spacing w:val="1"/>
        </w:rPr>
        <w:t xml:space="preserve">julho </w:t>
      </w:r>
      <w:r>
        <w:t xml:space="preserve">de </w:t>
      </w:r>
      <w:r>
        <w:rPr>
          <w:spacing w:val="1"/>
        </w:rPr>
        <w:t xml:space="preserve">2012, </w:t>
      </w:r>
      <w:r>
        <w:t xml:space="preserve">a </w:t>
      </w:r>
      <w:r>
        <w:rPr>
          <w:spacing w:val="1"/>
        </w:rPr>
        <w:t xml:space="preserve">duplicação </w:t>
      </w:r>
      <w:r>
        <w:t xml:space="preserve">da </w:t>
      </w:r>
      <w:r>
        <w:rPr>
          <w:spacing w:val="1"/>
        </w:rPr>
        <w:t xml:space="preserve">estrada </w:t>
      </w:r>
      <w:r>
        <w:rPr>
          <w:spacing w:val="2"/>
        </w:rPr>
        <w:t xml:space="preserve">foi </w:t>
      </w:r>
      <w:r>
        <w:t>paralisada pela Just</w:t>
      </w:r>
      <w:r>
        <w:t xml:space="preserve">iça Federal do Maranhão, que entendeu </w:t>
      </w:r>
      <w:r>
        <w:rPr>
          <w:spacing w:val="2"/>
        </w:rPr>
        <w:t xml:space="preserve">que </w:t>
      </w:r>
      <w:r>
        <w:t xml:space="preserve">o </w:t>
      </w:r>
      <w:r>
        <w:rPr>
          <w:spacing w:val="3"/>
        </w:rPr>
        <w:t xml:space="preserve">licenciamento concedido </w:t>
      </w:r>
      <w:r>
        <w:rPr>
          <w:spacing w:val="2"/>
        </w:rPr>
        <w:t xml:space="preserve">pelo </w:t>
      </w:r>
      <w:r>
        <w:rPr>
          <w:spacing w:val="3"/>
        </w:rPr>
        <w:t xml:space="preserve">Instituto Brasileiro </w:t>
      </w:r>
      <w:r>
        <w:rPr>
          <w:spacing w:val="5"/>
        </w:rPr>
        <w:t xml:space="preserve">do </w:t>
      </w:r>
      <w:r>
        <w:t xml:space="preserve">Meio Ambiente e dos Recursos Naturais Renováveis (Ibama) à Vale estava irregular por ter sido feito sem realização prévia </w:t>
      </w:r>
      <w:r>
        <w:rPr>
          <w:spacing w:val="2"/>
        </w:rPr>
        <w:t xml:space="preserve">de </w:t>
      </w:r>
      <w:r>
        <w:rPr>
          <w:spacing w:val="5"/>
        </w:rPr>
        <w:t xml:space="preserve">Estudo </w:t>
      </w:r>
      <w:r>
        <w:rPr>
          <w:spacing w:val="2"/>
        </w:rPr>
        <w:t xml:space="preserve">de </w:t>
      </w:r>
      <w:r>
        <w:rPr>
          <w:spacing w:val="5"/>
        </w:rPr>
        <w:t xml:space="preserve">Impacto Ambiental </w:t>
      </w:r>
      <w:r>
        <w:t xml:space="preserve">e </w:t>
      </w:r>
      <w:r>
        <w:rPr>
          <w:spacing w:val="5"/>
        </w:rPr>
        <w:t>Rela</w:t>
      </w:r>
      <w:r>
        <w:rPr>
          <w:spacing w:val="5"/>
        </w:rPr>
        <w:t xml:space="preserve">tório </w:t>
      </w:r>
      <w:r>
        <w:rPr>
          <w:spacing w:val="2"/>
        </w:rPr>
        <w:t xml:space="preserve">de </w:t>
      </w:r>
      <w:r>
        <w:rPr>
          <w:spacing w:val="5"/>
        </w:rPr>
        <w:t>Impacto Ambiental (EIA/Rima) (PORTOGENTE,</w:t>
      </w:r>
      <w:r>
        <w:rPr>
          <w:spacing w:val="-15"/>
        </w:rPr>
        <w:t xml:space="preserve"> </w:t>
      </w:r>
      <w:r>
        <w:rPr>
          <w:spacing w:val="5"/>
        </w:rPr>
        <w:t>2012).</w:t>
      </w:r>
    </w:p>
    <w:p w:rsidR="00D81F69" w:rsidRDefault="00D81F69">
      <w:pPr>
        <w:pStyle w:val="Corpodetexto"/>
        <w:spacing w:before="6"/>
        <w:ind w:left="0"/>
        <w:jc w:val="left"/>
        <w:rPr>
          <w:sz w:val="21"/>
        </w:rPr>
      </w:pPr>
    </w:p>
    <w:p w:rsidR="00D81F69" w:rsidRDefault="00330118">
      <w:pPr>
        <w:pStyle w:val="Heading7"/>
        <w:jc w:val="left"/>
      </w:pPr>
      <w:r>
        <w:t>LOCALIZAÇÃO GEOGRÁFICA</w:t>
      </w:r>
    </w:p>
    <w:p w:rsidR="00D81F69" w:rsidRDefault="00330118">
      <w:pPr>
        <w:pStyle w:val="Corpodetexto"/>
        <w:spacing w:before="179" w:line="312" w:lineRule="auto"/>
        <w:ind w:right="245"/>
      </w:pPr>
      <w:r>
        <w:t>A estrada de Ferro Carajás que liga Carajás (PA) ao Porto de Itaqui (MA) perpassa por três grandes bacias: do rio Itacaiúnas que deságua no arquipélago do Marajó, do rio Toca</w:t>
      </w:r>
      <w:r>
        <w:t>ntins e da zona costeira do nordeste ocidental. Está compreendida entre as latitudes 6°6’31”S – 2°33’47”S e longitudes 50°17’38”W – 44°21’37”W.</w:t>
      </w:r>
    </w:p>
    <w:p w:rsidR="00D81F69" w:rsidRDefault="00D81F69">
      <w:pPr>
        <w:pStyle w:val="Corpodetexto"/>
        <w:spacing w:before="3"/>
        <w:ind w:left="0"/>
        <w:jc w:val="left"/>
        <w:rPr>
          <w:sz w:val="29"/>
        </w:rPr>
      </w:pPr>
    </w:p>
    <w:p w:rsidR="00D81F69" w:rsidRDefault="00330118">
      <w:pPr>
        <w:pStyle w:val="Heading7"/>
        <w:jc w:val="left"/>
      </w:pPr>
      <w:r>
        <w:t>REDATORES</w:t>
      </w:r>
    </w:p>
    <w:p w:rsidR="00D81F69" w:rsidRDefault="00330118">
      <w:pPr>
        <w:pStyle w:val="Corpodetexto"/>
        <w:spacing w:before="179"/>
        <w:jc w:val="left"/>
      </w:pPr>
      <w:r>
        <w:t>Renata Olivieri; Eliane Araujo</w:t>
      </w:r>
    </w:p>
    <w:p w:rsidR="00D81F69" w:rsidRDefault="00D81F69">
      <w:pPr>
        <w:pStyle w:val="Corpodetexto"/>
        <w:ind w:left="0"/>
        <w:jc w:val="left"/>
        <w:rPr>
          <w:sz w:val="20"/>
        </w:rPr>
      </w:pPr>
    </w:p>
    <w:p w:rsidR="00D81F69" w:rsidRDefault="00330118">
      <w:pPr>
        <w:pStyle w:val="Heading7"/>
        <w:spacing w:before="164"/>
        <w:jc w:val="left"/>
      </w:pPr>
      <w:r>
        <w:t>REFERÊNCIAS BIBLIOGRÁFICAS</w:t>
      </w:r>
    </w:p>
    <w:p w:rsidR="00D81F69" w:rsidRDefault="00330118">
      <w:pPr>
        <w:spacing w:before="187" w:line="312" w:lineRule="auto"/>
        <w:ind w:left="100"/>
        <w:rPr>
          <w:sz w:val="16"/>
        </w:rPr>
      </w:pPr>
      <w:r>
        <w:rPr>
          <w:sz w:val="16"/>
        </w:rPr>
        <w:t xml:space="preserve">BARROS, Carlos Juliano. Parauapebas: entre o céu e o inferno. In: </w:t>
      </w:r>
      <w:r>
        <w:rPr>
          <w:spacing w:val="23"/>
          <w:sz w:val="16"/>
        </w:rPr>
        <w:t xml:space="preserve">Repórter Brasil, </w:t>
      </w:r>
      <w:r>
        <w:rPr>
          <w:spacing w:val="13"/>
          <w:sz w:val="16"/>
        </w:rPr>
        <w:t xml:space="preserve">02 </w:t>
      </w:r>
      <w:r>
        <w:rPr>
          <w:spacing w:val="20"/>
          <w:sz w:val="16"/>
        </w:rPr>
        <w:t>jan.</w:t>
      </w:r>
      <w:r>
        <w:rPr>
          <w:spacing w:val="85"/>
          <w:sz w:val="16"/>
        </w:rPr>
        <w:t xml:space="preserve"> </w:t>
      </w:r>
      <w:r>
        <w:rPr>
          <w:spacing w:val="22"/>
          <w:sz w:val="16"/>
        </w:rPr>
        <w:t xml:space="preserve">2007a. </w:t>
      </w:r>
      <w:r>
        <w:rPr>
          <w:spacing w:val="25"/>
          <w:sz w:val="16"/>
        </w:rPr>
        <w:t xml:space="preserve">Disponível </w:t>
      </w:r>
      <w:r>
        <w:rPr>
          <w:spacing w:val="17"/>
          <w:sz w:val="16"/>
        </w:rPr>
        <w:t>em:</w:t>
      </w:r>
      <w:r>
        <w:rPr>
          <w:spacing w:val="-16"/>
          <w:sz w:val="16"/>
        </w:rPr>
        <w:t xml:space="preserve"> </w:t>
      </w:r>
    </w:p>
    <w:p w:rsidR="00D81F69" w:rsidRDefault="00D81F69">
      <w:pPr>
        <w:spacing w:before="2" w:line="312" w:lineRule="auto"/>
        <w:ind w:left="100" w:right="287"/>
        <w:rPr>
          <w:sz w:val="16"/>
        </w:rPr>
      </w:pPr>
      <w:hyperlink r:id="rId178">
        <w:r w:rsidR="00330118">
          <w:rPr>
            <w:sz w:val="16"/>
          </w:rPr>
          <w:t xml:space="preserve">&lt;http://www.reporterbrasil.com.br/exibe.php?id=831&gt;. </w:t>
        </w:r>
      </w:hyperlink>
      <w:r w:rsidR="00330118">
        <w:rPr>
          <w:sz w:val="16"/>
        </w:rPr>
        <w:t>Acesso em: 27 out. 201</w:t>
      </w:r>
      <w:r w:rsidR="00330118">
        <w:rPr>
          <w:sz w:val="16"/>
        </w:rPr>
        <w:t>0.</w:t>
      </w:r>
    </w:p>
    <w:p w:rsidR="00D81F69" w:rsidRDefault="00330118">
      <w:pPr>
        <w:spacing w:before="2"/>
        <w:ind w:left="100"/>
        <w:rPr>
          <w:sz w:val="16"/>
        </w:rPr>
      </w:pPr>
      <w:r>
        <w:rPr>
          <w:sz w:val="16"/>
        </w:rPr>
        <w:t>______. O efeito colateral do progresso. In: Repórter Brasil, 04 jan.</w:t>
      </w:r>
    </w:p>
    <w:p w:rsidR="00D81F69" w:rsidRDefault="00330118">
      <w:pPr>
        <w:tabs>
          <w:tab w:val="left" w:pos="1931"/>
          <w:tab w:val="left" w:pos="4567"/>
        </w:tabs>
        <w:spacing w:before="56"/>
        <w:ind w:left="100"/>
        <w:rPr>
          <w:sz w:val="16"/>
        </w:rPr>
      </w:pPr>
      <w:r>
        <w:rPr>
          <w:sz w:val="16"/>
        </w:rPr>
        <w:t xml:space="preserve">2   0   0   7  </w:t>
      </w:r>
      <w:r>
        <w:rPr>
          <w:spacing w:val="10"/>
          <w:sz w:val="16"/>
        </w:rPr>
        <w:t xml:space="preserve"> </w:t>
      </w:r>
      <w:r>
        <w:rPr>
          <w:sz w:val="16"/>
        </w:rPr>
        <w:t xml:space="preserve">b  </w:t>
      </w:r>
      <w:r>
        <w:rPr>
          <w:spacing w:val="1"/>
          <w:sz w:val="16"/>
        </w:rPr>
        <w:t xml:space="preserve"> </w:t>
      </w:r>
      <w:r>
        <w:rPr>
          <w:sz w:val="16"/>
        </w:rPr>
        <w:t>.</w:t>
      </w:r>
      <w:r>
        <w:rPr>
          <w:sz w:val="16"/>
        </w:rPr>
        <w:tab/>
        <w:t xml:space="preserve">D   i   s   p   o   n   í   v  </w:t>
      </w:r>
      <w:r>
        <w:rPr>
          <w:spacing w:val="22"/>
          <w:sz w:val="16"/>
        </w:rPr>
        <w:t xml:space="preserve"> </w:t>
      </w:r>
      <w:r>
        <w:rPr>
          <w:sz w:val="16"/>
        </w:rPr>
        <w:t xml:space="preserve">e  </w:t>
      </w:r>
      <w:r>
        <w:rPr>
          <w:spacing w:val="1"/>
          <w:sz w:val="16"/>
        </w:rPr>
        <w:t xml:space="preserve"> </w:t>
      </w:r>
      <w:r>
        <w:rPr>
          <w:sz w:val="16"/>
        </w:rPr>
        <w:t>l</w:t>
      </w:r>
      <w:r>
        <w:rPr>
          <w:sz w:val="16"/>
        </w:rPr>
        <w:tab/>
        <w:t xml:space="preserve">e   m  </w:t>
      </w:r>
      <w:r>
        <w:rPr>
          <w:spacing w:val="5"/>
          <w:sz w:val="16"/>
        </w:rPr>
        <w:t xml:space="preserve"> </w:t>
      </w:r>
      <w:r>
        <w:rPr>
          <w:sz w:val="16"/>
        </w:rPr>
        <w:t>:</w:t>
      </w:r>
    </w:p>
    <w:p w:rsidR="00D81F69" w:rsidRDefault="00D81F69">
      <w:pPr>
        <w:spacing w:before="56" w:line="312" w:lineRule="auto"/>
        <w:ind w:left="100" w:right="287"/>
        <w:rPr>
          <w:sz w:val="16"/>
        </w:rPr>
      </w:pPr>
      <w:hyperlink r:id="rId179">
        <w:r w:rsidR="00330118">
          <w:rPr>
            <w:sz w:val="16"/>
          </w:rPr>
          <w:t>&lt;</w:t>
        </w:r>
        <w:r w:rsidR="00330118">
          <w:rPr>
            <w:sz w:val="16"/>
          </w:rPr>
          <w:t xml:space="preserve">http://www.reporterbrasil.com.br/exibe.php?id=833&gt;. </w:t>
        </w:r>
      </w:hyperlink>
      <w:r w:rsidR="00330118">
        <w:rPr>
          <w:sz w:val="16"/>
        </w:rPr>
        <w:t>Acesso em: 27 out. 2010.</w:t>
      </w:r>
    </w:p>
    <w:p w:rsidR="00D81F69" w:rsidRDefault="00330118">
      <w:pPr>
        <w:spacing w:before="1" w:line="312" w:lineRule="auto"/>
        <w:ind w:left="100"/>
        <w:rPr>
          <w:sz w:val="16"/>
        </w:rPr>
      </w:pPr>
      <w:r>
        <w:rPr>
          <w:sz w:val="16"/>
        </w:rPr>
        <w:t xml:space="preserve">BRANDÃO, Luiz Alberto. O sistema ferroviário brasileiro - Estrada de </w:t>
      </w:r>
      <w:r>
        <w:rPr>
          <w:spacing w:val="23"/>
          <w:sz w:val="16"/>
        </w:rPr>
        <w:t xml:space="preserve">Ferro   </w:t>
      </w:r>
      <w:r>
        <w:rPr>
          <w:spacing w:val="26"/>
          <w:sz w:val="16"/>
        </w:rPr>
        <w:t xml:space="preserve">Carajás,   </w:t>
      </w:r>
      <w:r>
        <w:rPr>
          <w:spacing w:val="15"/>
          <w:sz w:val="16"/>
        </w:rPr>
        <w:t xml:space="preserve">19    </w:t>
      </w:r>
      <w:r>
        <w:rPr>
          <w:spacing w:val="22"/>
          <w:sz w:val="16"/>
        </w:rPr>
        <w:t xml:space="preserve">mar.   </w:t>
      </w:r>
      <w:r>
        <w:rPr>
          <w:spacing w:val="23"/>
          <w:sz w:val="16"/>
        </w:rPr>
        <w:t xml:space="preserve">2008.   </w:t>
      </w:r>
      <w:r>
        <w:rPr>
          <w:spacing w:val="26"/>
          <w:sz w:val="16"/>
        </w:rPr>
        <w:t>Disponível</w:t>
      </w:r>
      <w:r>
        <w:rPr>
          <w:spacing w:val="80"/>
          <w:sz w:val="16"/>
        </w:rPr>
        <w:t xml:space="preserve"> </w:t>
      </w:r>
      <w:r>
        <w:rPr>
          <w:spacing w:val="20"/>
          <w:sz w:val="16"/>
        </w:rPr>
        <w:t>em:</w:t>
      </w:r>
      <w:r>
        <w:rPr>
          <w:spacing w:val="-13"/>
          <w:sz w:val="16"/>
        </w:rPr>
        <w:t xml:space="preserve"> </w:t>
      </w:r>
    </w:p>
    <w:p w:rsidR="00D81F69" w:rsidRDefault="00D81F69">
      <w:pPr>
        <w:spacing w:before="2" w:line="312" w:lineRule="auto"/>
        <w:ind w:left="100" w:right="287"/>
        <w:rPr>
          <w:sz w:val="16"/>
        </w:rPr>
      </w:pPr>
      <w:hyperlink r:id="rId180">
        <w:r w:rsidR="00330118">
          <w:rPr>
            <w:sz w:val="16"/>
          </w:rPr>
          <w:t xml:space="preserve">&lt;http://www.webartigos.com/articles/2194/1/Transporte- </w:t>
        </w:r>
      </w:hyperlink>
      <w:r w:rsidR="00330118">
        <w:rPr>
          <w:sz w:val="16"/>
        </w:rPr>
        <w:t>Ferroviario/pagina1.html&gt;. Acesso em: 27 out. 2010. BRASIL MINERAL ONLINE. Estrada de Ferro Carajás - Justiça dá reintegração de posse à Vale do Rio Doce. In: Brasil Mineral OnLine</w:t>
      </w:r>
    </w:p>
    <w:p w:rsidR="00D81F69" w:rsidRDefault="00330118">
      <w:pPr>
        <w:tabs>
          <w:tab w:val="left" w:pos="552"/>
          <w:tab w:val="left" w:pos="1283"/>
          <w:tab w:val="left" w:pos="1781"/>
          <w:tab w:val="left" w:pos="2405"/>
          <w:tab w:val="left" w:pos="3274"/>
          <w:tab w:val="left" w:pos="4741"/>
        </w:tabs>
        <w:spacing w:before="3"/>
        <w:ind w:left="100"/>
        <w:rPr>
          <w:sz w:val="16"/>
        </w:rPr>
      </w:pPr>
      <w:r>
        <w:rPr>
          <w:spacing w:val="5"/>
          <w:sz w:val="16"/>
        </w:rPr>
        <w:t>n</w:t>
      </w:r>
      <w:r>
        <w:rPr>
          <w:sz w:val="16"/>
        </w:rPr>
        <w:t xml:space="preserve"> .</w:t>
      </w:r>
      <w:r>
        <w:rPr>
          <w:sz w:val="16"/>
        </w:rPr>
        <w:tab/>
      </w:r>
      <w:r>
        <w:rPr>
          <w:spacing w:val="5"/>
          <w:sz w:val="16"/>
        </w:rPr>
        <w:t>1 1</w:t>
      </w:r>
      <w:r>
        <w:rPr>
          <w:spacing w:val="-5"/>
          <w:sz w:val="16"/>
        </w:rPr>
        <w:t xml:space="preserve"> </w:t>
      </w:r>
      <w:r>
        <w:rPr>
          <w:spacing w:val="5"/>
          <w:sz w:val="16"/>
        </w:rPr>
        <w:t>8</w:t>
      </w:r>
      <w:r>
        <w:rPr>
          <w:sz w:val="16"/>
        </w:rPr>
        <w:t xml:space="preserve"> ,</w:t>
      </w:r>
      <w:r>
        <w:rPr>
          <w:sz w:val="16"/>
        </w:rPr>
        <w:tab/>
      </w:r>
      <w:r>
        <w:rPr>
          <w:spacing w:val="5"/>
          <w:sz w:val="16"/>
        </w:rPr>
        <w:t>0</w:t>
      </w:r>
      <w:r>
        <w:rPr>
          <w:sz w:val="16"/>
        </w:rPr>
        <w:t xml:space="preserve"> 2</w:t>
      </w:r>
      <w:r>
        <w:rPr>
          <w:sz w:val="16"/>
        </w:rPr>
        <w:tab/>
      </w:r>
      <w:r>
        <w:rPr>
          <w:spacing w:val="5"/>
          <w:sz w:val="16"/>
        </w:rPr>
        <w:t>j u</w:t>
      </w:r>
      <w:r>
        <w:rPr>
          <w:spacing w:val="-5"/>
          <w:sz w:val="16"/>
        </w:rPr>
        <w:t xml:space="preserve"> </w:t>
      </w:r>
      <w:r>
        <w:rPr>
          <w:spacing w:val="5"/>
          <w:sz w:val="16"/>
        </w:rPr>
        <w:t>l</w:t>
      </w:r>
      <w:r>
        <w:rPr>
          <w:sz w:val="16"/>
        </w:rPr>
        <w:t xml:space="preserve"> .</w:t>
      </w:r>
      <w:r>
        <w:rPr>
          <w:sz w:val="16"/>
        </w:rPr>
        <w:tab/>
      </w:r>
      <w:r>
        <w:rPr>
          <w:spacing w:val="5"/>
          <w:sz w:val="16"/>
        </w:rPr>
        <w:t>2 0 0</w:t>
      </w:r>
      <w:r>
        <w:rPr>
          <w:spacing w:val="-10"/>
          <w:sz w:val="16"/>
        </w:rPr>
        <w:t xml:space="preserve"> </w:t>
      </w:r>
      <w:r>
        <w:rPr>
          <w:spacing w:val="5"/>
          <w:sz w:val="16"/>
        </w:rPr>
        <w:t>3</w:t>
      </w:r>
      <w:r>
        <w:rPr>
          <w:sz w:val="16"/>
        </w:rPr>
        <w:t xml:space="preserve"> .</w:t>
      </w:r>
      <w:r>
        <w:rPr>
          <w:sz w:val="16"/>
        </w:rPr>
        <w:tab/>
      </w:r>
      <w:r>
        <w:rPr>
          <w:spacing w:val="5"/>
          <w:sz w:val="16"/>
        </w:rPr>
        <w:t>D</w:t>
      </w:r>
      <w:r>
        <w:rPr>
          <w:sz w:val="16"/>
        </w:rPr>
        <w:t xml:space="preserve"> </w:t>
      </w:r>
      <w:r>
        <w:rPr>
          <w:spacing w:val="5"/>
          <w:sz w:val="16"/>
        </w:rPr>
        <w:t>i</w:t>
      </w:r>
      <w:r>
        <w:rPr>
          <w:sz w:val="16"/>
        </w:rPr>
        <w:t xml:space="preserve"> </w:t>
      </w:r>
      <w:r>
        <w:rPr>
          <w:spacing w:val="5"/>
          <w:sz w:val="16"/>
        </w:rPr>
        <w:t>s</w:t>
      </w:r>
      <w:r>
        <w:rPr>
          <w:sz w:val="16"/>
        </w:rPr>
        <w:t xml:space="preserve"> </w:t>
      </w:r>
      <w:r>
        <w:rPr>
          <w:spacing w:val="5"/>
          <w:sz w:val="16"/>
        </w:rPr>
        <w:t>p</w:t>
      </w:r>
      <w:r>
        <w:rPr>
          <w:sz w:val="16"/>
        </w:rPr>
        <w:t xml:space="preserve"> </w:t>
      </w:r>
      <w:r>
        <w:rPr>
          <w:spacing w:val="5"/>
          <w:sz w:val="16"/>
        </w:rPr>
        <w:t>o</w:t>
      </w:r>
      <w:r>
        <w:rPr>
          <w:sz w:val="16"/>
        </w:rPr>
        <w:t xml:space="preserve"> </w:t>
      </w:r>
      <w:r>
        <w:rPr>
          <w:spacing w:val="5"/>
          <w:sz w:val="16"/>
        </w:rPr>
        <w:t>n</w:t>
      </w:r>
      <w:r>
        <w:rPr>
          <w:sz w:val="16"/>
        </w:rPr>
        <w:t xml:space="preserve"> </w:t>
      </w:r>
      <w:r>
        <w:rPr>
          <w:spacing w:val="5"/>
          <w:sz w:val="16"/>
        </w:rPr>
        <w:t>í</w:t>
      </w:r>
      <w:r>
        <w:rPr>
          <w:sz w:val="16"/>
        </w:rPr>
        <w:t xml:space="preserve"> </w:t>
      </w:r>
      <w:r>
        <w:rPr>
          <w:spacing w:val="5"/>
          <w:sz w:val="16"/>
        </w:rPr>
        <w:t>v</w:t>
      </w:r>
      <w:r>
        <w:rPr>
          <w:sz w:val="16"/>
        </w:rPr>
        <w:t xml:space="preserve"> </w:t>
      </w:r>
      <w:r>
        <w:rPr>
          <w:spacing w:val="5"/>
          <w:sz w:val="16"/>
        </w:rPr>
        <w:t>e</w:t>
      </w:r>
      <w:r>
        <w:rPr>
          <w:sz w:val="16"/>
        </w:rPr>
        <w:t xml:space="preserve"> l</w:t>
      </w:r>
      <w:r>
        <w:rPr>
          <w:sz w:val="16"/>
        </w:rPr>
        <w:tab/>
      </w:r>
      <w:r>
        <w:rPr>
          <w:spacing w:val="5"/>
          <w:sz w:val="16"/>
        </w:rPr>
        <w:t>e m</w:t>
      </w:r>
      <w:r>
        <w:rPr>
          <w:spacing w:val="-5"/>
          <w:sz w:val="16"/>
        </w:rPr>
        <w:t xml:space="preserve"> </w:t>
      </w:r>
      <w:r>
        <w:rPr>
          <w:sz w:val="16"/>
        </w:rPr>
        <w:t>:</w:t>
      </w:r>
      <w:r>
        <w:rPr>
          <w:spacing w:val="5"/>
          <w:sz w:val="16"/>
        </w:rPr>
        <w:t xml:space="preserve"> </w:t>
      </w:r>
    </w:p>
    <w:p w:rsidR="00D81F69" w:rsidRDefault="00D81F69">
      <w:pPr>
        <w:spacing w:before="56" w:line="312" w:lineRule="auto"/>
        <w:ind w:left="100" w:right="254"/>
        <w:rPr>
          <w:sz w:val="16"/>
        </w:rPr>
      </w:pPr>
      <w:hyperlink r:id="rId181">
        <w:r w:rsidR="00330118">
          <w:rPr>
            <w:sz w:val="16"/>
          </w:rPr>
          <w:t>&lt;http://www.brasilmineral.com.br/BM/default.asp?COD=549&amp;busca=&amp;</w:t>
        </w:r>
      </w:hyperlink>
      <w:r w:rsidR="00330118">
        <w:rPr>
          <w:sz w:val="16"/>
        </w:rPr>
        <w:t xml:space="preserve"> numero=118&gt;. Acesso em: 27 out. 2010.</w:t>
      </w:r>
    </w:p>
    <w:p w:rsidR="00D81F69" w:rsidRDefault="00330118">
      <w:pPr>
        <w:tabs>
          <w:tab w:val="left" w:pos="643"/>
        </w:tabs>
        <w:spacing w:before="2"/>
        <w:ind w:left="100"/>
        <w:jc w:val="both"/>
        <w:rPr>
          <w:sz w:val="16"/>
        </w:rPr>
      </w:pPr>
      <w:r>
        <w:rPr>
          <w:sz w:val="16"/>
          <w:u w:val="single"/>
        </w:rPr>
        <w:t xml:space="preserve"> </w:t>
      </w:r>
      <w:r>
        <w:rPr>
          <w:sz w:val="16"/>
          <w:u w:val="single"/>
        </w:rPr>
        <w:tab/>
      </w:r>
      <w:r>
        <w:rPr>
          <w:sz w:val="16"/>
        </w:rPr>
        <w:t>.</w:t>
      </w:r>
      <w:r>
        <w:rPr>
          <w:spacing w:val="10"/>
          <w:sz w:val="16"/>
        </w:rPr>
        <w:t xml:space="preserve"> </w:t>
      </w:r>
      <w:r>
        <w:rPr>
          <w:sz w:val="16"/>
        </w:rPr>
        <w:t>Logística:</w:t>
      </w:r>
      <w:r>
        <w:rPr>
          <w:spacing w:val="10"/>
          <w:sz w:val="16"/>
        </w:rPr>
        <w:t xml:space="preserve"> </w:t>
      </w:r>
      <w:r>
        <w:rPr>
          <w:sz w:val="16"/>
        </w:rPr>
        <w:t>Vale</w:t>
      </w:r>
      <w:r>
        <w:rPr>
          <w:spacing w:val="10"/>
          <w:sz w:val="16"/>
        </w:rPr>
        <w:t xml:space="preserve"> </w:t>
      </w:r>
      <w:r>
        <w:rPr>
          <w:sz w:val="16"/>
        </w:rPr>
        <w:t>anuncia</w:t>
      </w:r>
      <w:r>
        <w:rPr>
          <w:spacing w:val="10"/>
          <w:sz w:val="16"/>
        </w:rPr>
        <w:t xml:space="preserve"> </w:t>
      </w:r>
      <w:r>
        <w:rPr>
          <w:sz w:val="16"/>
        </w:rPr>
        <w:t>investimento</w:t>
      </w:r>
      <w:r>
        <w:rPr>
          <w:spacing w:val="10"/>
          <w:sz w:val="16"/>
        </w:rPr>
        <w:t xml:space="preserve"> </w:t>
      </w:r>
      <w:r>
        <w:rPr>
          <w:sz w:val="16"/>
        </w:rPr>
        <w:t>de</w:t>
      </w:r>
      <w:r>
        <w:rPr>
          <w:spacing w:val="10"/>
          <w:sz w:val="16"/>
        </w:rPr>
        <w:t xml:space="preserve"> </w:t>
      </w:r>
      <w:r>
        <w:rPr>
          <w:sz w:val="16"/>
        </w:rPr>
        <w:t>R$</w:t>
      </w:r>
      <w:r>
        <w:rPr>
          <w:spacing w:val="10"/>
          <w:sz w:val="16"/>
        </w:rPr>
        <w:t xml:space="preserve"> </w:t>
      </w:r>
      <w:r>
        <w:rPr>
          <w:sz w:val="16"/>
        </w:rPr>
        <w:t>13,8</w:t>
      </w:r>
      <w:r>
        <w:rPr>
          <w:spacing w:val="10"/>
          <w:sz w:val="16"/>
        </w:rPr>
        <w:t xml:space="preserve"> </w:t>
      </w:r>
      <w:r>
        <w:rPr>
          <w:sz w:val="16"/>
        </w:rPr>
        <w:t>bilhões.</w:t>
      </w:r>
      <w:r>
        <w:rPr>
          <w:spacing w:val="10"/>
          <w:sz w:val="16"/>
        </w:rPr>
        <w:t xml:space="preserve"> </w:t>
      </w:r>
      <w:r>
        <w:rPr>
          <w:sz w:val="16"/>
        </w:rPr>
        <w:t>In:</w:t>
      </w:r>
    </w:p>
    <w:p w:rsidR="00D81F69" w:rsidRDefault="00330118">
      <w:pPr>
        <w:spacing w:before="56"/>
        <w:ind w:left="100"/>
        <w:jc w:val="both"/>
        <w:rPr>
          <w:sz w:val="16"/>
        </w:rPr>
      </w:pPr>
      <w:r>
        <w:rPr>
          <w:sz w:val="16"/>
        </w:rPr>
        <w:t>Brasil Mineral OnLine, n. 462, 29 jul. 2010. Disponível em:</w:t>
      </w:r>
    </w:p>
    <w:p w:rsidR="00D81F69" w:rsidRDefault="00D81F69">
      <w:pPr>
        <w:jc w:val="both"/>
        <w:rPr>
          <w:sz w:val="16"/>
        </w:rPr>
        <w:sectPr w:rsidR="00D81F69">
          <w:pgSz w:w="11900" w:h="16840"/>
          <w:pgMar w:top="740" w:right="460" w:bottom="660" w:left="620" w:header="0" w:footer="402" w:gutter="0"/>
          <w:cols w:num="2" w:space="720" w:equalWidth="0">
            <w:col w:w="5154" w:space="316"/>
            <w:col w:w="5350"/>
          </w:cols>
        </w:sectPr>
      </w:pPr>
    </w:p>
    <w:p w:rsidR="00D81F69" w:rsidRDefault="00D81F69">
      <w:pPr>
        <w:spacing w:before="70" w:line="312" w:lineRule="auto"/>
        <w:ind w:left="100"/>
        <w:rPr>
          <w:sz w:val="16"/>
        </w:rPr>
      </w:pPr>
      <w:hyperlink r:id="rId182">
        <w:r w:rsidR="00330118">
          <w:rPr>
            <w:sz w:val="16"/>
          </w:rPr>
          <w:t>&lt;http://www.brasilmineral.com.br/</w:t>
        </w:r>
        <w:r w:rsidR="00330118">
          <w:rPr>
            <w:sz w:val="16"/>
          </w:rPr>
          <w:t>BM/default.asp?COD=5036&amp;busca=</w:t>
        </w:r>
      </w:hyperlink>
      <w:r w:rsidR="00330118">
        <w:rPr>
          <w:sz w:val="16"/>
        </w:rPr>
        <w:t xml:space="preserve"> &amp;numero=462&gt;. Acesso em: 27 out. 2010.</w:t>
      </w:r>
    </w:p>
    <w:p w:rsidR="00D81F69" w:rsidRDefault="00330118">
      <w:pPr>
        <w:spacing w:before="1" w:line="312" w:lineRule="auto"/>
        <w:ind w:left="100"/>
        <w:rPr>
          <w:sz w:val="16"/>
        </w:rPr>
      </w:pPr>
      <w:r>
        <w:rPr>
          <w:sz w:val="16"/>
        </w:rPr>
        <w:t>BRASIL MINISG SITE. Vale explora nova mina com as mesmas dimensões de Carajás. In Instituto Brasileiro de Mineração (IBRAM),</w:t>
      </w:r>
    </w:p>
    <w:p w:rsidR="00D81F69" w:rsidRDefault="00330118">
      <w:pPr>
        <w:tabs>
          <w:tab w:val="left" w:pos="764"/>
          <w:tab w:val="left" w:pos="1678"/>
          <w:tab w:val="left" w:pos="2806"/>
          <w:tab w:val="left" w:pos="4683"/>
        </w:tabs>
        <w:spacing w:before="2"/>
        <w:ind w:left="100"/>
        <w:rPr>
          <w:sz w:val="16"/>
        </w:rPr>
      </w:pPr>
      <w:r>
        <w:rPr>
          <w:spacing w:val="35"/>
          <w:sz w:val="16"/>
        </w:rPr>
        <w:t>1</w:t>
      </w:r>
      <w:r>
        <w:rPr>
          <w:sz w:val="16"/>
        </w:rPr>
        <w:t xml:space="preserve"> 3</w:t>
      </w:r>
      <w:r>
        <w:rPr>
          <w:sz w:val="16"/>
        </w:rPr>
        <w:tab/>
      </w:r>
      <w:r>
        <w:rPr>
          <w:spacing w:val="35"/>
          <w:sz w:val="16"/>
        </w:rPr>
        <w:t>o</w:t>
      </w:r>
      <w:r>
        <w:rPr>
          <w:sz w:val="16"/>
        </w:rPr>
        <w:t xml:space="preserve"> </w:t>
      </w:r>
      <w:r>
        <w:rPr>
          <w:spacing w:val="35"/>
          <w:sz w:val="16"/>
        </w:rPr>
        <w:t>u</w:t>
      </w:r>
      <w:r>
        <w:rPr>
          <w:sz w:val="16"/>
        </w:rPr>
        <w:t xml:space="preserve"> </w:t>
      </w:r>
      <w:r>
        <w:rPr>
          <w:spacing w:val="35"/>
          <w:sz w:val="16"/>
        </w:rPr>
        <w:t>t</w:t>
      </w:r>
      <w:r>
        <w:rPr>
          <w:sz w:val="16"/>
        </w:rPr>
        <w:t xml:space="preserve"> .</w:t>
      </w:r>
      <w:r>
        <w:rPr>
          <w:sz w:val="16"/>
        </w:rPr>
        <w:tab/>
      </w:r>
      <w:r>
        <w:rPr>
          <w:spacing w:val="35"/>
          <w:sz w:val="16"/>
        </w:rPr>
        <w:t>2</w:t>
      </w:r>
      <w:r>
        <w:rPr>
          <w:sz w:val="16"/>
        </w:rPr>
        <w:t xml:space="preserve"> </w:t>
      </w:r>
      <w:r>
        <w:rPr>
          <w:spacing w:val="35"/>
          <w:sz w:val="16"/>
        </w:rPr>
        <w:t>0</w:t>
      </w:r>
      <w:r>
        <w:rPr>
          <w:sz w:val="16"/>
        </w:rPr>
        <w:t xml:space="preserve"> </w:t>
      </w:r>
      <w:r>
        <w:rPr>
          <w:spacing w:val="35"/>
          <w:sz w:val="16"/>
        </w:rPr>
        <w:t>1</w:t>
      </w:r>
      <w:r>
        <w:rPr>
          <w:sz w:val="16"/>
        </w:rPr>
        <w:t xml:space="preserve"> </w:t>
      </w:r>
      <w:r>
        <w:rPr>
          <w:spacing w:val="35"/>
          <w:sz w:val="16"/>
        </w:rPr>
        <w:t>0</w:t>
      </w:r>
      <w:r>
        <w:rPr>
          <w:sz w:val="16"/>
        </w:rPr>
        <w:t xml:space="preserve"> .</w:t>
      </w:r>
      <w:r>
        <w:rPr>
          <w:sz w:val="16"/>
        </w:rPr>
        <w:tab/>
      </w:r>
      <w:r>
        <w:rPr>
          <w:spacing w:val="35"/>
          <w:sz w:val="16"/>
        </w:rPr>
        <w:t>D</w:t>
      </w:r>
      <w:r>
        <w:rPr>
          <w:sz w:val="16"/>
        </w:rPr>
        <w:t xml:space="preserve"> </w:t>
      </w:r>
      <w:r>
        <w:rPr>
          <w:spacing w:val="35"/>
          <w:sz w:val="16"/>
        </w:rPr>
        <w:t>i</w:t>
      </w:r>
      <w:r>
        <w:rPr>
          <w:sz w:val="16"/>
        </w:rPr>
        <w:t xml:space="preserve"> </w:t>
      </w:r>
      <w:r>
        <w:rPr>
          <w:spacing w:val="35"/>
          <w:sz w:val="16"/>
        </w:rPr>
        <w:t>s</w:t>
      </w:r>
      <w:r>
        <w:rPr>
          <w:sz w:val="16"/>
        </w:rPr>
        <w:t xml:space="preserve"> </w:t>
      </w:r>
      <w:r>
        <w:rPr>
          <w:spacing w:val="35"/>
          <w:sz w:val="16"/>
        </w:rPr>
        <w:t>p</w:t>
      </w:r>
      <w:r>
        <w:rPr>
          <w:sz w:val="16"/>
        </w:rPr>
        <w:t xml:space="preserve"> </w:t>
      </w:r>
      <w:r>
        <w:rPr>
          <w:spacing w:val="35"/>
          <w:sz w:val="16"/>
        </w:rPr>
        <w:t>o</w:t>
      </w:r>
      <w:r>
        <w:rPr>
          <w:sz w:val="16"/>
        </w:rPr>
        <w:t xml:space="preserve"> </w:t>
      </w:r>
      <w:r>
        <w:rPr>
          <w:spacing w:val="35"/>
          <w:sz w:val="16"/>
        </w:rPr>
        <w:t>n</w:t>
      </w:r>
      <w:r>
        <w:rPr>
          <w:sz w:val="16"/>
        </w:rPr>
        <w:t xml:space="preserve"> </w:t>
      </w:r>
      <w:r>
        <w:rPr>
          <w:spacing w:val="35"/>
          <w:sz w:val="16"/>
        </w:rPr>
        <w:t>í</w:t>
      </w:r>
      <w:r>
        <w:rPr>
          <w:sz w:val="16"/>
        </w:rPr>
        <w:t xml:space="preserve"> </w:t>
      </w:r>
      <w:r>
        <w:rPr>
          <w:spacing w:val="35"/>
          <w:sz w:val="16"/>
        </w:rPr>
        <w:t>v</w:t>
      </w:r>
      <w:r>
        <w:rPr>
          <w:sz w:val="16"/>
        </w:rPr>
        <w:t xml:space="preserve"> </w:t>
      </w:r>
      <w:r>
        <w:rPr>
          <w:spacing w:val="35"/>
          <w:sz w:val="16"/>
        </w:rPr>
        <w:t>e</w:t>
      </w:r>
      <w:r>
        <w:rPr>
          <w:sz w:val="16"/>
        </w:rPr>
        <w:t xml:space="preserve"> l</w:t>
      </w:r>
      <w:r>
        <w:rPr>
          <w:sz w:val="16"/>
        </w:rPr>
        <w:tab/>
      </w:r>
      <w:r>
        <w:rPr>
          <w:spacing w:val="35"/>
          <w:sz w:val="16"/>
        </w:rPr>
        <w:t>e</w:t>
      </w:r>
      <w:r>
        <w:rPr>
          <w:sz w:val="16"/>
        </w:rPr>
        <w:t xml:space="preserve"> </w:t>
      </w:r>
      <w:r>
        <w:rPr>
          <w:spacing w:val="35"/>
          <w:sz w:val="16"/>
        </w:rPr>
        <w:t>m</w:t>
      </w:r>
      <w:r>
        <w:rPr>
          <w:sz w:val="16"/>
        </w:rPr>
        <w:t xml:space="preserve"> : </w:t>
      </w:r>
      <w:r>
        <w:rPr>
          <w:spacing w:val="-9"/>
          <w:sz w:val="16"/>
        </w:rPr>
        <w:t xml:space="preserve"> </w:t>
      </w:r>
    </w:p>
    <w:p w:rsidR="00D81F69" w:rsidRDefault="00D81F69">
      <w:pPr>
        <w:spacing w:before="56" w:line="312" w:lineRule="auto"/>
        <w:ind w:left="100"/>
        <w:rPr>
          <w:sz w:val="16"/>
        </w:rPr>
      </w:pPr>
      <w:hyperlink r:id="rId183">
        <w:r w:rsidR="00330118">
          <w:rPr>
            <w:sz w:val="16"/>
          </w:rPr>
          <w:t>&lt;http://www.ibram.org.br/150/15001002.asp?ttCD_CHAVE=125765&gt;.</w:t>
        </w:r>
      </w:hyperlink>
      <w:r w:rsidR="00330118">
        <w:rPr>
          <w:sz w:val="16"/>
        </w:rPr>
        <w:t xml:space="preserve"> Acesso em: 29 out. 2010.</w:t>
      </w:r>
    </w:p>
    <w:p w:rsidR="00D81F69" w:rsidRDefault="00330118">
      <w:pPr>
        <w:spacing w:before="2" w:line="312" w:lineRule="auto"/>
        <w:ind w:left="100"/>
        <w:rPr>
          <w:sz w:val="16"/>
        </w:rPr>
      </w:pPr>
      <w:r>
        <w:rPr>
          <w:sz w:val="16"/>
        </w:rPr>
        <w:t>CHAVES, Edna Maria de Carvalho. Projeto Grandes Carajás. Revista Nova Atenas, volume 7, n. 2, j</w:t>
      </w:r>
      <w:r>
        <w:rPr>
          <w:sz w:val="16"/>
        </w:rPr>
        <w:t>ul-dez, 2004. Disponível em:</w:t>
      </w:r>
    </w:p>
    <w:p w:rsidR="00D81F69" w:rsidRDefault="00D81F69">
      <w:pPr>
        <w:spacing w:before="1" w:line="312" w:lineRule="auto"/>
        <w:ind w:left="100"/>
        <w:rPr>
          <w:sz w:val="16"/>
        </w:rPr>
      </w:pPr>
      <w:hyperlink r:id="rId184">
        <w:r w:rsidR="00330118">
          <w:rPr>
            <w:sz w:val="16"/>
          </w:rPr>
          <w:t>&lt;http://www.ifma.edu.br/SiteCefet/publicacoes/artigos/revista13.7.2/C</w:t>
        </w:r>
      </w:hyperlink>
      <w:r w:rsidR="00330118">
        <w:rPr>
          <w:sz w:val="16"/>
        </w:rPr>
        <w:t xml:space="preserve"> ap_XVIII.pdf&gt;. Acesso em: 27 out. 2010.</w:t>
      </w:r>
    </w:p>
    <w:p w:rsidR="00D81F69" w:rsidRDefault="00330118">
      <w:pPr>
        <w:spacing w:before="2" w:line="312" w:lineRule="auto"/>
        <w:ind w:left="100" w:right="113"/>
        <w:jc w:val="both"/>
        <w:rPr>
          <w:sz w:val="16"/>
        </w:rPr>
      </w:pPr>
      <w:r>
        <w:rPr>
          <w:sz w:val="16"/>
        </w:rPr>
        <w:t>COELHO, Maria Célia Nunes; MONT</w:t>
      </w:r>
      <w:r>
        <w:rPr>
          <w:sz w:val="16"/>
        </w:rPr>
        <w:t>EIRO, Maurílio de Abreu; FERREIRA, Bernardo Costa; BUNKER, Stephen. Impactos ambientais da Estrada de Ferro Carajás no sudeste do Pará. Parte IV. In: Carajás: Geologia e Ocupação Humana, 2006. Disponível em:</w:t>
      </w:r>
    </w:p>
    <w:p w:rsidR="00D81F69" w:rsidRDefault="00D81F69">
      <w:pPr>
        <w:spacing w:before="3"/>
        <w:ind w:left="100"/>
        <w:rPr>
          <w:sz w:val="16"/>
        </w:rPr>
      </w:pPr>
      <w:hyperlink r:id="rId185">
        <w:r w:rsidR="00330118">
          <w:rPr>
            <w:sz w:val="16"/>
          </w:rPr>
          <w:t>&lt;http://www3.ufpa.br/projetomineracao/docs/estrut/Arq%2017-</w:t>
        </w:r>
      </w:hyperlink>
    </w:p>
    <w:p w:rsidR="00D81F69" w:rsidRDefault="00330118">
      <w:pPr>
        <w:spacing w:before="56"/>
        <w:ind w:left="100"/>
        <w:rPr>
          <w:sz w:val="16"/>
        </w:rPr>
      </w:pPr>
      <w:r>
        <w:rPr>
          <w:sz w:val="16"/>
        </w:rPr>
        <w:t>%20Impactos.pdf&gt;. Acesso em: 31/07/2012.</w:t>
      </w:r>
    </w:p>
    <w:p w:rsidR="00D81F69" w:rsidRDefault="00330118">
      <w:pPr>
        <w:spacing w:before="56" w:line="312" w:lineRule="auto"/>
        <w:ind w:left="100" w:right="118"/>
        <w:jc w:val="both"/>
        <w:rPr>
          <w:sz w:val="16"/>
        </w:rPr>
      </w:pPr>
      <w:r>
        <w:rPr>
          <w:sz w:val="16"/>
        </w:rPr>
        <w:t>FERREIRA, Gilson Ezequiel; CALAES, Gilberto Dias; AMARAL, José Alexandre Gurgel do; KRUGER, Paulo Von. A indústria brasileira d</w:t>
      </w:r>
      <w:r>
        <w:rPr>
          <w:sz w:val="16"/>
        </w:rPr>
        <w:t xml:space="preserve">e gusa de mercado. Série Estudos e Documentos. CETEM/MC, 2006. Disponível em: </w:t>
      </w:r>
      <w:hyperlink r:id="rId186">
        <w:r>
          <w:rPr>
            <w:sz w:val="16"/>
          </w:rPr>
          <w:t>&lt;http://www.cetem.gov.br/publicacao/CTs/CT2006-</w:t>
        </w:r>
      </w:hyperlink>
      <w:r>
        <w:rPr>
          <w:sz w:val="16"/>
        </w:rPr>
        <w:t xml:space="preserve"> 071-00.pdf&gt;. Acesso em: 31/07/2012.</w:t>
      </w:r>
    </w:p>
    <w:p w:rsidR="00D81F69" w:rsidRDefault="00330118">
      <w:pPr>
        <w:spacing w:before="4" w:line="312" w:lineRule="auto"/>
        <w:ind w:left="100" w:right="88"/>
        <w:rPr>
          <w:sz w:val="16"/>
        </w:rPr>
      </w:pPr>
      <w:r>
        <w:rPr>
          <w:sz w:val="16"/>
        </w:rPr>
        <w:t>GRANDES CONSTRUÇÕES. Duplicaçã</w:t>
      </w:r>
      <w:r>
        <w:rPr>
          <w:sz w:val="16"/>
        </w:rPr>
        <w:t xml:space="preserve">o da Estrada de Ferro Carajás começa em junho, 14 jun. 2010. Disponível em: </w:t>
      </w:r>
    </w:p>
    <w:p w:rsidR="00D81F69" w:rsidRDefault="00D81F69">
      <w:pPr>
        <w:spacing w:before="2" w:line="312" w:lineRule="auto"/>
        <w:ind w:left="100"/>
        <w:rPr>
          <w:sz w:val="16"/>
        </w:rPr>
      </w:pPr>
      <w:hyperlink r:id="rId187">
        <w:r w:rsidR="00330118">
          <w:rPr>
            <w:sz w:val="16"/>
          </w:rPr>
          <w:t>&lt;http://www.grandesconstrucoes.com.br/br/index.php?option=com_co</w:t>
        </w:r>
      </w:hyperlink>
      <w:r w:rsidR="00330118">
        <w:rPr>
          <w:sz w:val="16"/>
        </w:rPr>
        <w:t xml:space="preserve"> nteudo&amp;task=viewMateria&amp;id=115&gt;. </w:t>
      </w:r>
      <w:r w:rsidR="00330118">
        <w:rPr>
          <w:sz w:val="16"/>
        </w:rPr>
        <w:t>Acesso em: 27 out. 2010.</w:t>
      </w:r>
    </w:p>
    <w:p w:rsidR="00D81F69" w:rsidRDefault="00330118">
      <w:pPr>
        <w:spacing w:before="2"/>
        <w:ind w:left="100"/>
        <w:rPr>
          <w:sz w:val="16"/>
        </w:rPr>
      </w:pPr>
      <w:r>
        <w:rPr>
          <w:sz w:val="16"/>
        </w:rPr>
        <w:t>IBGE, Instituto Brasileiro de Geografia e Estatística. Parauapebas,</w:t>
      </w:r>
    </w:p>
    <w:p w:rsidR="00D81F69" w:rsidRDefault="00330118">
      <w:pPr>
        <w:tabs>
          <w:tab w:val="left" w:pos="1814"/>
          <w:tab w:val="left" w:pos="4552"/>
        </w:tabs>
        <w:spacing w:before="56"/>
        <w:ind w:left="100"/>
        <w:rPr>
          <w:sz w:val="16"/>
        </w:rPr>
      </w:pPr>
      <w:r>
        <w:rPr>
          <w:sz w:val="16"/>
        </w:rPr>
        <w:t xml:space="preserve">2   0   1  </w:t>
      </w:r>
      <w:r>
        <w:rPr>
          <w:spacing w:val="30"/>
          <w:sz w:val="16"/>
        </w:rPr>
        <w:t xml:space="preserve"> </w:t>
      </w:r>
      <w:r>
        <w:rPr>
          <w:sz w:val="16"/>
        </w:rPr>
        <w:t xml:space="preserve">0  </w:t>
      </w:r>
      <w:r>
        <w:rPr>
          <w:spacing w:val="10"/>
          <w:sz w:val="16"/>
        </w:rPr>
        <w:t xml:space="preserve"> </w:t>
      </w:r>
      <w:r>
        <w:rPr>
          <w:sz w:val="16"/>
        </w:rPr>
        <w:t>a</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0"/>
          <w:sz w:val="16"/>
        </w:rPr>
        <w:t xml:space="preserve"> </w:t>
      </w:r>
      <w:r>
        <w:rPr>
          <w:sz w:val="16"/>
        </w:rPr>
        <w:t>:</w:t>
      </w:r>
    </w:p>
    <w:p w:rsidR="00D81F69" w:rsidRDefault="00D81F69">
      <w:pPr>
        <w:spacing w:before="56" w:line="312" w:lineRule="auto"/>
        <w:ind w:left="100"/>
        <w:rPr>
          <w:sz w:val="16"/>
        </w:rPr>
      </w:pPr>
      <w:hyperlink r:id="rId188">
        <w:r w:rsidR="00330118">
          <w:rPr>
            <w:sz w:val="16"/>
          </w:rPr>
          <w:t>&lt;</w:t>
        </w:r>
        <w:r w:rsidR="00330118">
          <w:rPr>
            <w:sz w:val="16"/>
          </w:rPr>
          <w:t xml:space="preserve">http://www.ibge.gov.br/cidadesat/topwindow.htm?1&gt;. </w:t>
        </w:r>
      </w:hyperlink>
      <w:r w:rsidR="00330118">
        <w:rPr>
          <w:sz w:val="16"/>
        </w:rPr>
        <w:t>Acesso em: 06 jan. 2011.</w:t>
      </w:r>
    </w:p>
    <w:p w:rsidR="00D81F69" w:rsidRDefault="00330118">
      <w:pPr>
        <w:tabs>
          <w:tab w:val="left" w:pos="1136"/>
          <w:tab w:val="left" w:pos="2534"/>
          <w:tab w:val="left" w:pos="3442"/>
          <w:tab w:val="left" w:pos="4766"/>
        </w:tabs>
        <w:spacing w:before="1"/>
        <w:ind w:left="100"/>
        <w:rPr>
          <w:sz w:val="16"/>
        </w:rPr>
      </w:pPr>
      <w:r>
        <w:rPr>
          <w:spacing w:val="31"/>
          <w:sz w:val="16"/>
        </w:rPr>
        <w:t>______.</w:t>
      </w:r>
      <w:r>
        <w:rPr>
          <w:spacing w:val="31"/>
          <w:sz w:val="16"/>
        </w:rPr>
        <w:tab/>
      </w:r>
      <w:r>
        <w:rPr>
          <w:spacing w:val="33"/>
          <w:sz w:val="16"/>
        </w:rPr>
        <w:t>Açailândia,</w:t>
      </w:r>
      <w:r>
        <w:rPr>
          <w:spacing w:val="33"/>
          <w:sz w:val="16"/>
        </w:rPr>
        <w:tab/>
      </w:r>
      <w:r>
        <w:rPr>
          <w:spacing w:val="30"/>
          <w:sz w:val="16"/>
        </w:rPr>
        <w:t>2010b.</w:t>
      </w:r>
      <w:r>
        <w:rPr>
          <w:spacing w:val="30"/>
          <w:sz w:val="16"/>
        </w:rPr>
        <w:tab/>
      </w:r>
      <w:r>
        <w:rPr>
          <w:spacing w:val="33"/>
          <w:sz w:val="16"/>
        </w:rPr>
        <w:t>Disponível</w:t>
      </w:r>
      <w:r>
        <w:rPr>
          <w:spacing w:val="33"/>
          <w:sz w:val="16"/>
        </w:rPr>
        <w:tab/>
      </w:r>
      <w:r>
        <w:rPr>
          <w:spacing w:val="25"/>
          <w:sz w:val="16"/>
        </w:rPr>
        <w:t>em:</w:t>
      </w:r>
      <w:r>
        <w:rPr>
          <w:spacing w:val="-6"/>
          <w:sz w:val="16"/>
        </w:rPr>
        <w:t xml:space="preserve"> </w:t>
      </w:r>
    </w:p>
    <w:p w:rsidR="00D81F69" w:rsidRDefault="00D81F69">
      <w:pPr>
        <w:spacing w:before="56"/>
        <w:ind w:left="100"/>
        <w:rPr>
          <w:sz w:val="16"/>
        </w:rPr>
      </w:pPr>
      <w:hyperlink r:id="rId189">
        <w:r w:rsidR="00330118">
          <w:rPr>
            <w:sz w:val="16"/>
          </w:rPr>
          <w:t>&lt;</w:t>
        </w:r>
        <w:r w:rsidR="00330118">
          <w:rPr>
            <w:sz w:val="16"/>
          </w:rPr>
          <w:t>http://www.ibge.gov.br/cidadesat/xtras/perfil.php?codmun=210005&amp;r</w:t>
        </w:r>
      </w:hyperlink>
    </w:p>
    <w:p w:rsidR="00D81F69" w:rsidRDefault="00330118">
      <w:pPr>
        <w:spacing w:before="56"/>
        <w:ind w:left="100"/>
        <w:rPr>
          <w:sz w:val="16"/>
        </w:rPr>
      </w:pPr>
      <w:r>
        <w:rPr>
          <w:sz w:val="16"/>
        </w:rPr>
        <w:t>=2&gt;. Acesso em: 06 jan. 2011.</w:t>
      </w:r>
    </w:p>
    <w:p w:rsidR="00D81F69" w:rsidRDefault="00330118">
      <w:pPr>
        <w:tabs>
          <w:tab w:val="left" w:pos="4331"/>
        </w:tabs>
        <w:spacing w:before="56" w:line="312" w:lineRule="auto"/>
        <w:ind w:left="100" w:right="113"/>
        <w:jc w:val="both"/>
        <w:rPr>
          <w:sz w:val="16"/>
        </w:rPr>
      </w:pPr>
      <w:r>
        <w:rPr>
          <w:spacing w:val="1"/>
          <w:sz w:val="16"/>
        </w:rPr>
        <w:t xml:space="preserve">LAMOSO, Lisandra Pereira. </w:t>
      </w:r>
      <w:r>
        <w:rPr>
          <w:sz w:val="16"/>
        </w:rPr>
        <w:t xml:space="preserve">A </w:t>
      </w:r>
      <w:r>
        <w:rPr>
          <w:spacing w:val="1"/>
          <w:sz w:val="16"/>
        </w:rPr>
        <w:t xml:space="preserve">exploração </w:t>
      </w:r>
      <w:r>
        <w:rPr>
          <w:sz w:val="16"/>
        </w:rPr>
        <w:t xml:space="preserve">de </w:t>
      </w:r>
      <w:r>
        <w:rPr>
          <w:spacing w:val="1"/>
          <w:sz w:val="16"/>
        </w:rPr>
        <w:t xml:space="preserve">minério </w:t>
      </w:r>
      <w:r>
        <w:rPr>
          <w:sz w:val="16"/>
        </w:rPr>
        <w:t xml:space="preserve">de </w:t>
      </w:r>
      <w:r>
        <w:rPr>
          <w:spacing w:val="1"/>
          <w:sz w:val="16"/>
        </w:rPr>
        <w:t xml:space="preserve">ferro </w:t>
      </w:r>
      <w:r>
        <w:rPr>
          <w:spacing w:val="2"/>
          <w:sz w:val="16"/>
        </w:rPr>
        <w:t xml:space="preserve">no </w:t>
      </w:r>
      <w:r>
        <w:rPr>
          <w:spacing w:val="1"/>
          <w:sz w:val="16"/>
        </w:rPr>
        <w:t xml:space="preserve">Brasil </w:t>
      </w:r>
      <w:r>
        <w:rPr>
          <w:sz w:val="16"/>
        </w:rPr>
        <w:t xml:space="preserve">e no </w:t>
      </w:r>
      <w:r>
        <w:rPr>
          <w:spacing w:val="1"/>
          <w:sz w:val="16"/>
        </w:rPr>
        <w:t xml:space="preserve">Mato Grosso </w:t>
      </w:r>
      <w:r>
        <w:rPr>
          <w:sz w:val="16"/>
        </w:rPr>
        <w:t xml:space="preserve">do </w:t>
      </w:r>
      <w:r>
        <w:rPr>
          <w:spacing w:val="1"/>
          <w:sz w:val="16"/>
        </w:rPr>
        <w:t xml:space="preserve">Sul. Tese (Doutorado </w:t>
      </w:r>
      <w:r>
        <w:rPr>
          <w:sz w:val="16"/>
        </w:rPr>
        <w:t xml:space="preserve">em </w:t>
      </w:r>
      <w:r>
        <w:rPr>
          <w:spacing w:val="2"/>
          <w:sz w:val="16"/>
        </w:rPr>
        <w:t xml:space="preserve">Geografia), </w:t>
      </w:r>
      <w:r>
        <w:rPr>
          <w:spacing w:val="3"/>
          <w:sz w:val="16"/>
        </w:rPr>
        <w:t xml:space="preserve">309f, </w:t>
      </w:r>
      <w:r>
        <w:rPr>
          <w:spacing w:val="5"/>
          <w:sz w:val="16"/>
        </w:rPr>
        <w:t xml:space="preserve">Universidade </w:t>
      </w:r>
      <w:r>
        <w:rPr>
          <w:spacing w:val="2"/>
          <w:sz w:val="16"/>
        </w:rPr>
        <w:t xml:space="preserve">de </w:t>
      </w:r>
      <w:r>
        <w:rPr>
          <w:spacing w:val="3"/>
          <w:sz w:val="16"/>
        </w:rPr>
        <w:t xml:space="preserve">São  Paulo  </w:t>
      </w:r>
      <w:r>
        <w:rPr>
          <w:spacing w:val="5"/>
          <w:sz w:val="16"/>
        </w:rPr>
        <w:t>(</w:t>
      </w:r>
      <w:r>
        <w:rPr>
          <w:spacing w:val="5"/>
          <w:sz w:val="16"/>
        </w:rPr>
        <w:t xml:space="preserve">USP). </w:t>
      </w:r>
      <w:r>
        <w:rPr>
          <w:spacing w:val="3"/>
          <w:sz w:val="16"/>
        </w:rPr>
        <w:t xml:space="preserve">São  </w:t>
      </w:r>
      <w:r>
        <w:rPr>
          <w:spacing w:val="5"/>
          <w:sz w:val="16"/>
        </w:rPr>
        <w:t xml:space="preserve">Paulo/SP, 2001.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4" w:line="312" w:lineRule="auto"/>
        <w:ind w:left="100"/>
        <w:rPr>
          <w:sz w:val="16"/>
        </w:rPr>
      </w:pPr>
      <w:hyperlink r:id="rId190">
        <w:r w:rsidR="00330118">
          <w:rPr>
            <w:sz w:val="16"/>
          </w:rPr>
          <w:t>&lt;http://www.ourinhos.unesp.br/gedri/biblioteca/gedripublica/teses/lam</w:t>
        </w:r>
      </w:hyperlink>
      <w:r w:rsidR="00330118">
        <w:rPr>
          <w:sz w:val="16"/>
        </w:rPr>
        <w:t xml:space="preserve"> oso.p</w:t>
      </w:r>
      <w:r w:rsidR="00330118">
        <w:rPr>
          <w:sz w:val="16"/>
        </w:rPr>
        <w:t>df&gt;. Acesso em: 27 out. 2010.</w:t>
      </w:r>
    </w:p>
    <w:p w:rsidR="00D81F69" w:rsidRDefault="00330118">
      <w:pPr>
        <w:spacing w:before="1"/>
        <w:ind w:left="100"/>
        <w:rPr>
          <w:sz w:val="16"/>
        </w:rPr>
      </w:pPr>
      <w:r>
        <w:rPr>
          <w:sz w:val="16"/>
        </w:rPr>
        <w:t>MAPA DA INJUSTIÇA AMBIENTAL E SAÚDE NO BRASIL. Estrada</w:t>
      </w:r>
    </w:p>
    <w:p w:rsidR="00D81F69" w:rsidRDefault="00330118">
      <w:pPr>
        <w:tabs>
          <w:tab w:val="left" w:pos="764"/>
          <w:tab w:val="left" w:pos="1678"/>
          <w:tab w:val="left" w:pos="2806"/>
          <w:tab w:val="left" w:pos="4683"/>
        </w:tabs>
        <w:spacing w:before="56" w:line="312" w:lineRule="auto"/>
        <w:ind w:left="100" w:right="57"/>
        <w:rPr>
          <w:sz w:val="16"/>
        </w:rPr>
      </w:pPr>
      <w:r>
        <w:rPr>
          <w:sz w:val="16"/>
        </w:rPr>
        <w:t xml:space="preserve">de Ferro e Projeto Grande Carajás avançam sobre Terras Indígenas,  </w:t>
      </w:r>
      <w:r>
        <w:rPr>
          <w:spacing w:val="35"/>
          <w:sz w:val="16"/>
        </w:rPr>
        <w:t>0</w:t>
      </w:r>
      <w:r>
        <w:rPr>
          <w:sz w:val="16"/>
        </w:rPr>
        <w:t xml:space="preserve"> 5</w:t>
      </w:r>
      <w:r>
        <w:rPr>
          <w:sz w:val="16"/>
        </w:rPr>
        <w:tab/>
      </w:r>
      <w:r>
        <w:rPr>
          <w:spacing w:val="35"/>
          <w:sz w:val="16"/>
        </w:rPr>
        <w:t>o</w:t>
      </w:r>
      <w:r>
        <w:rPr>
          <w:sz w:val="16"/>
        </w:rPr>
        <w:t xml:space="preserve"> </w:t>
      </w:r>
      <w:r>
        <w:rPr>
          <w:spacing w:val="35"/>
          <w:sz w:val="16"/>
        </w:rPr>
        <w:t>u</w:t>
      </w:r>
      <w:r>
        <w:rPr>
          <w:sz w:val="16"/>
        </w:rPr>
        <w:t xml:space="preserve"> </w:t>
      </w:r>
      <w:r>
        <w:rPr>
          <w:spacing w:val="35"/>
          <w:sz w:val="16"/>
        </w:rPr>
        <w:t>t</w:t>
      </w:r>
      <w:r>
        <w:rPr>
          <w:sz w:val="16"/>
        </w:rPr>
        <w:t xml:space="preserve"> .</w:t>
      </w:r>
      <w:r>
        <w:rPr>
          <w:sz w:val="16"/>
        </w:rPr>
        <w:tab/>
      </w:r>
      <w:r>
        <w:rPr>
          <w:spacing w:val="35"/>
          <w:sz w:val="16"/>
        </w:rPr>
        <w:t>2</w:t>
      </w:r>
      <w:r>
        <w:rPr>
          <w:sz w:val="16"/>
        </w:rPr>
        <w:t xml:space="preserve"> </w:t>
      </w:r>
      <w:r>
        <w:rPr>
          <w:spacing w:val="35"/>
          <w:sz w:val="16"/>
        </w:rPr>
        <w:t>0</w:t>
      </w:r>
      <w:r>
        <w:rPr>
          <w:sz w:val="16"/>
        </w:rPr>
        <w:t xml:space="preserve"> </w:t>
      </w:r>
      <w:r>
        <w:rPr>
          <w:spacing w:val="35"/>
          <w:sz w:val="16"/>
        </w:rPr>
        <w:t>0</w:t>
      </w:r>
      <w:r>
        <w:rPr>
          <w:sz w:val="16"/>
        </w:rPr>
        <w:t xml:space="preserve"> </w:t>
      </w:r>
      <w:r>
        <w:rPr>
          <w:spacing w:val="35"/>
          <w:sz w:val="16"/>
        </w:rPr>
        <w:t>9</w:t>
      </w:r>
      <w:r>
        <w:rPr>
          <w:sz w:val="16"/>
        </w:rPr>
        <w:t xml:space="preserve"> .</w:t>
      </w:r>
      <w:r>
        <w:rPr>
          <w:sz w:val="16"/>
        </w:rPr>
        <w:tab/>
      </w:r>
      <w:r>
        <w:rPr>
          <w:spacing w:val="35"/>
          <w:sz w:val="16"/>
        </w:rPr>
        <w:t>D</w:t>
      </w:r>
      <w:r>
        <w:rPr>
          <w:sz w:val="16"/>
        </w:rPr>
        <w:t xml:space="preserve"> </w:t>
      </w:r>
      <w:r>
        <w:rPr>
          <w:spacing w:val="35"/>
          <w:sz w:val="16"/>
        </w:rPr>
        <w:t>i</w:t>
      </w:r>
      <w:r>
        <w:rPr>
          <w:sz w:val="16"/>
        </w:rPr>
        <w:t xml:space="preserve"> </w:t>
      </w:r>
      <w:r>
        <w:rPr>
          <w:spacing w:val="35"/>
          <w:sz w:val="16"/>
        </w:rPr>
        <w:t>s</w:t>
      </w:r>
      <w:r>
        <w:rPr>
          <w:sz w:val="16"/>
        </w:rPr>
        <w:t xml:space="preserve"> </w:t>
      </w:r>
      <w:r>
        <w:rPr>
          <w:spacing w:val="35"/>
          <w:sz w:val="16"/>
        </w:rPr>
        <w:t>p</w:t>
      </w:r>
      <w:r>
        <w:rPr>
          <w:sz w:val="16"/>
        </w:rPr>
        <w:t xml:space="preserve"> </w:t>
      </w:r>
      <w:r>
        <w:rPr>
          <w:spacing w:val="35"/>
          <w:sz w:val="16"/>
        </w:rPr>
        <w:t>o</w:t>
      </w:r>
      <w:r>
        <w:rPr>
          <w:sz w:val="16"/>
        </w:rPr>
        <w:t xml:space="preserve"> </w:t>
      </w:r>
      <w:r>
        <w:rPr>
          <w:spacing w:val="35"/>
          <w:sz w:val="16"/>
        </w:rPr>
        <w:t>n</w:t>
      </w:r>
      <w:r>
        <w:rPr>
          <w:sz w:val="16"/>
        </w:rPr>
        <w:t xml:space="preserve"> </w:t>
      </w:r>
      <w:r>
        <w:rPr>
          <w:spacing w:val="35"/>
          <w:sz w:val="16"/>
        </w:rPr>
        <w:t>í</w:t>
      </w:r>
      <w:r>
        <w:rPr>
          <w:sz w:val="16"/>
        </w:rPr>
        <w:t xml:space="preserve"> </w:t>
      </w:r>
      <w:r>
        <w:rPr>
          <w:spacing w:val="35"/>
          <w:sz w:val="16"/>
        </w:rPr>
        <w:t>v</w:t>
      </w:r>
      <w:r>
        <w:rPr>
          <w:sz w:val="16"/>
        </w:rPr>
        <w:t xml:space="preserve"> </w:t>
      </w:r>
      <w:r>
        <w:rPr>
          <w:spacing w:val="35"/>
          <w:sz w:val="16"/>
        </w:rPr>
        <w:t>e</w:t>
      </w:r>
      <w:r>
        <w:rPr>
          <w:sz w:val="16"/>
        </w:rPr>
        <w:t xml:space="preserve"> l</w:t>
      </w:r>
      <w:r>
        <w:rPr>
          <w:sz w:val="16"/>
        </w:rPr>
        <w:tab/>
      </w:r>
      <w:r>
        <w:rPr>
          <w:spacing w:val="35"/>
          <w:sz w:val="16"/>
        </w:rPr>
        <w:t>e</w:t>
      </w:r>
      <w:r>
        <w:rPr>
          <w:sz w:val="16"/>
        </w:rPr>
        <w:t xml:space="preserve"> </w:t>
      </w:r>
      <w:r>
        <w:rPr>
          <w:spacing w:val="35"/>
          <w:sz w:val="16"/>
        </w:rPr>
        <w:t>m</w:t>
      </w:r>
      <w:r>
        <w:rPr>
          <w:sz w:val="16"/>
        </w:rPr>
        <w:t xml:space="preserve"> : </w:t>
      </w:r>
      <w:r>
        <w:rPr>
          <w:spacing w:val="-9"/>
          <w:sz w:val="16"/>
        </w:rPr>
        <w:t xml:space="preserve"> </w:t>
      </w:r>
    </w:p>
    <w:p w:rsidR="00D81F69" w:rsidRDefault="00D81F69">
      <w:pPr>
        <w:spacing w:before="2" w:line="312" w:lineRule="auto"/>
        <w:ind w:left="100"/>
        <w:rPr>
          <w:sz w:val="16"/>
        </w:rPr>
      </w:pPr>
      <w:hyperlink r:id="rId191">
        <w:r w:rsidR="00330118">
          <w:rPr>
            <w:sz w:val="16"/>
          </w:rPr>
          <w:t>&lt;http://www.conflitoambiental.icict.fiocruz.br/index.php?pag=ficha&amp;co</w:t>
        </w:r>
      </w:hyperlink>
      <w:r w:rsidR="00330118">
        <w:rPr>
          <w:sz w:val="16"/>
        </w:rPr>
        <w:t xml:space="preserve"> d=71&gt;. Acesso em: 29 out. 2010.</w:t>
      </w:r>
    </w:p>
    <w:p w:rsidR="00D81F69" w:rsidRDefault="00330118">
      <w:pPr>
        <w:spacing w:before="1" w:line="312" w:lineRule="auto"/>
        <w:ind w:left="100" w:right="179"/>
        <w:rPr>
          <w:sz w:val="16"/>
        </w:rPr>
      </w:pPr>
      <w:r>
        <w:rPr>
          <w:sz w:val="16"/>
        </w:rPr>
        <w:t>MINISTÉRIO DOS TRANSPORTES. Estrada de Ferro Carajás – EFC, 2007.</w:t>
      </w:r>
    </w:p>
    <w:p w:rsidR="00D81F69" w:rsidRDefault="00330118">
      <w:pPr>
        <w:spacing w:before="70" w:line="312" w:lineRule="auto"/>
        <w:ind w:left="100" w:right="248"/>
        <w:jc w:val="both"/>
        <w:rPr>
          <w:sz w:val="16"/>
        </w:rPr>
      </w:pPr>
      <w:r>
        <w:br w:type="column"/>
      </w:r>
      <w:r>
        <w:rPr>
          <w:sz w:val="16"/>
        </w:rPr>
        <w:lastRenderedPageBreak/>
        <w:t xml:space="preserve">Disponível em: </w:t>
      </w:r>
      <w:hyperlink r:id="rId192">
        <w:r>
          <w:rPr>
            <w:sz w:val="16"/>
          </w:rPr>
          <w:t>&lt;http://www.transportes.gov.br/bit/ferro/efc/inf-</w:t>
        </w:r>
      </w:hyperlink>
      <w:r>
        <w:rPr>
          <w:sz w:val="16"/>
        </w:rPr>
        <w:t xml:space="preserve"> efc.htm&gt;. Acesso em: 29 out. 2010.</w:t>
      </w:r>
    </w:p>
    <w:p w:rsidR="00D81F69" w:rsidRDefault="00330118">
      <w:pPr>
        <w:spacing w:before="1" w:line="312" w:lineRule="auto"/>
        <w:ind w:left="100" w:right="236"/>
        <w:jc w:val="both"/>
        <w:rPr>
          <w:sz w:val="16"/>
        </w:rPr>
      </w:pPr>
      <w:r>
        <w:rPr>
          <w:sz w:val="16"/>
        </w:rPr>
        <w:t>O ESTADO DE SÃO PAULO. Índios saem de Carajás, mas Funai cobra acordo da Vale. In: Instit</w:t>
      </w:r>
      <w:r>
        <w:rPr>
          <w:sz w:val="16"/>
        </w:rPr>
        <w:t>uto Brasileiro de Mineração, 19 out.</w:t>
      </w:r>
    </w:p>
    <w:p w:rsidR="00D81F69" w:rsidRDefault="00330118">
      <w:pPr>
        <w:tabs>
          <w:tab w:val="left" w:pos="1785"/>
          <w:tab w:val="left" w:pos="4548"/>
        </w:tabs>
        <w:spacing w:before="2"/>
        <w:ind w:left="100"/>
        <w:jc w:val="both"/>
        <w:rPr>
          <w:sz w:val="16"/>
        </w:rPr>
      </w:pPr>
      <w:r>
        <w:rPr>
          <w:sz w:val="16"/>
        </w:rPr>
        <w:t xml:space="preserve">2   0   0  </w:t>
      </w:r>
      <w:r>
        <w:rPr>
          <w:spacing w:val="35"/>
          <w:sz w:val="16"/>
        </w:rPr>
        <w:t xml:space="preserve"> </w:t>
      </w:r>
      <w:r>
        <w:rPr>
          <w:sz w:val="16"/>
        </w:rPr>
        <w:t xml:space="preserve">6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36"/>
        <w:jc w:val="both"/>
        <w:rPr>
          <w:sz w:val="16"/>
        </w:rPr>
      </w:pPr>
      <w:hyperlink r:id="rId193">
        <w:r w:rsidR="00330118">
          <w:rPr>
            <w:sz w:val="16"/>
          </w:rPr>
          <w:t>&lt;http://www.ibram.org.br/150/15001002.asp?ttCD_CHAVE=26873&gt;.</w:t>
        </w:r>
      </w:hyperlink>
      <w:r w:rsidR="00330118">
        <w:rPr>
          <w:sz w:val="16"/>
        </w:rPr>
        <w:t xml:space="preserve"> Acesso em: 29 out. 2010.</w:t>
      </w:r>
    </w:p>
    <w:p w:rsidR="00D81F69" w:rsidRDefault="00330118">
      <w:pPr>
        <w:spacing w:before="2" w:line="312" w:lineRule="auto"/>
        <w:ind w:left="100" w:right="229"/>
        <w:jc w:val="both"/>
        <w:rPr>
          <w:sz w:val="16"/>
        </w:rPr>
      </w:pPr>
      <w:r>
        <w:rPr>
          <w:sz w:val="16"/>
        </w:rPr>
        <w:t>OLIVEIRA, Adalberto Luiz Rizzo de. Projeto Carajás, práticas indigenistas e os povos indígenas no Maranhão. In: Revista Anthropológicas, ano 8, volume 15(2). 2004. Disponível em:</w:t>
      </w:r>
    </w:p>
    <w:p w:rsidR="00D81F69" w:rsidRDefault="00D81F69">
      <w:pPr>
        <w:spacing w:before="2" w:line="312" w:lineRule="auto"/>
        <w:ind w:left="100" w:right="256"/>
        <w:jc w:val="both"/>
        <w:rPr>
          <w:sz w:val="16"/>
        </w:rPr>
      </w:pPr>
      <w:hyperlink r:id="rId194">
        <w:r w:rsidR="00330118">
          <w:rPr>
            <w:sz w:val="16"/>
          </w:rPr>
          <w:t>&lt;http://www.ufpe.br/revistaanthropologicas/internas/volume15(2)/Artig</w:t>
        </w:r>
      </w:hyperlink>
      <w:r w:rsidR="00330118">
        <w:rPr>
          <w:sz w:val="16"/>
        </w:rPr>
        <w:t xml:space="preserve"> o%206.pdf&gt;. Acesso em: 27 out. 2010.</w:t>
      </w:r>
    </w:p>
    <w:p w:rsidR="00D81F69" w:rsidRDefault="00330118">
      <w:pPr>
        <w:spacing w:before="2"/>
        <w:ind w:left="100"/>
        <w:jc w:val="both"/>
        <w:rPr>
          <w:sz w:val="16"/>
        </w:rPr>
      </w:pPr>
      <w:r>
        <w:rPr>
          <w:sz w:val="16"/>
        </w:rPr>
        <w:t xml:space="preserve">PARAUAPEBAS ONLINE. Localização. Disponível em: </w:t>
      </w:r>
    </w:p>
    <w:p w:rsidR="00D81F69" w:rsidRDefault="00D81F69">
      <w:pPr>
        <w:spacing w:before="56" w:line="312" w:lineRule="auto"/>
        <w:ind w:left="100" w:right="256"/>
        <w:jc w:val="both"/>
        <w:rPr>
          <w:sz w:val="16"/>
        </w:rPr>
      </w:pPr>
      <w:hyperlink r:id="rId195">
        <w:r w:rsidR="00330118">
          <w:rPr>
            <w:sz w:val="16"/>
          </w:rPr>
          <w:t xml:space="preserve">&lt;http://parauapebas.vilabol.uol.com.br/historia.html&gt;. </w:t>
        </w:r>
      </w:hyperlink>
      <w:r w:rsidR="00330118">
        <w:rPr>
          <w:sz w:val="16"/>
        </w:rPr>
        <w:t>Acesso em: 29 out. 2010.</w:t>
      </w:r>
    </w:p>
    <w:p w:rsidR="00D81F69" w:rsidRDefault="00330118">
      <w:pPr>
        <w:spacing w:before="1" w:line="312" w:lineRule="auto"/>
        <w:ind w:left="100" w:right="222"/>
        <w:jc w:val="both"/>
        <w:rPr>
          <w:sz w:val="16"/>
        </w:rPr>
      </w:pPr>
      <w:r>
        <w:rPr>
          <w:sz w:val="16"/>
        </w:rPr>
        <w:t>POLONI, Gustavo. Vale prepara maior expansão da história em Carajás. In: Economia.ig, 26 jul. 2010. Disponíve</w:t>
      </w:r>
      <w:r>
        <w:rPr>
          <w:sz w:val="16"/>
        </w:rPr>
        <w:t xml:space="preserve">l em: </w:t>
      </w:r>
    </w:p>
    <w:p w:rsidR="00D81F69" w:rsidRDefault="00D81F69">
      <w:pPr>
        <w:spacing w:before="2" w:line="312" w:lineRule="auto"/>
        <w:ind w:left="100" w:right="254"/>
        <w:jc w:val="both"/>
        <w:rPr>
          <w:sz w:val="16"/>
        </w:rPr>
      </w:pPr>
      <w:hyperlink r:id="rId196">
        <w:r w:rsidR="00330118">
          <w:rPr>
            <w:sz w:val="16"/>
          </w:rPr>
          <w:t>&lt;http://economia.ig.com.br/empresas/industria/vale+prepara+maior+e</w:t>
        </w:r>
      </w:hyperlink>
      <w:r w:rsidR="00330118">
        <w:rPr>
          <w:sz w:val="16"/>
        </w:rPr>
        <w:t xml:space="preserve"> xpansao+da+historia+em+carajas/ n1237726862142.html&gt;. Acesso em: 29 out. 2010.</w:t>
      </w:r>
    </w:p>
    <w:p w:rsidR="00D81F69" w:rsidRDefault="00330118">
      <w:pPr>
        <w:spacing w:before="2" w:line="312" w:lineRule="auto"/>
        <w:ind w:left="100" w:right="226"/>
        <w:jc w:val="both"/>
        <w:rPr>
          <w:sz w:val="16"/>
        </w:rPr>
      </w:pPr>
      <w:r>
        <w:rPr>
          <w:sz w:val="16"/>
        </w:rPr>
        <w:t>PORTOGENTE. Du</w:t>
      </w:r>
      <w:r>
        <w:rPr>
          <w:sz w:val="16"/>
        </w:rPr>
        <w:t>plicação da Estrada de Ferro Carajás é paralisada pela justiça. Dia-a-Dia Blog, 31 jul. 2012. Disponível em:</w:t>
      </w:r>
    </w:p>
    <w:p w:rsidR="00D81F69" w:rsidRDefault="00D81F69">
      <w:pPr>
        <w:spacing w:before="2" w:line="312" w:lineRule="auto"/>
        <w:ind w:left="100" w:right="232"/>
        <w:jc w:val="both"/>
        <w:rPr>
          <w:sz w:val="16"/>
        </w:rPr>
      </w:pPr>
      <w:hyperlink r:id="rId197">
        <w:r w:rsidR="00330118">
          <w:rPr>
            <w:sz w:val="16"/>
          </w:rPr>
          <w:t>&lt;http://www.portogente.com.br/comente/index.php?cod=68589&gt;.</w:t>
        </w:r>
      </w:hyperlink>
      <w:r w:rsidR="00330118">
        <w:rPr>
          <w:sz w:val="16"/>
        </w:rPr>
        <w:t xml:space="preserve"> Acesso em: 01</w:t>
      </w:r>
      <w:r w:rsidR="00330118">
        <w:rPr>
          <w:sz w:val="16"/>
        </w:rPr>
        <w:t xml:space="preserve"> ago. 2012.</w:t>
      </w:r>
    </w:p>
    <w:p w:rsidR="00D81F69" w:rsidRDefault="00330118">
      <w:pPr>
        <w:tabs>
          <w:tab w:val="left" w:pos="4331"/>
        </w:tabs>
        <w:spacing w:before="2" w:line="312" w:lineRule="auto"/>
        <w:ind w:left="100" w:right="235"/>
        <w:jc w:val="both"/>
        <w:rPr>
          <w:sz w:val="16"/>
        </w:rPr>
      </w:pPr>
      <w:r>
        <w:rPr>
          <w:spacing w:val="1"/>
          <w:sz w:val="16"/>
        </w:rPr>
        <w:t xml:space="preserve">PREFEITURA MUNICIPAL </w:t>
      </w:r>
      <w:r>
        <w:rPr>
          <w:sz w:val="16"/>
        </w:rPr>
        <w:t xml:space="preserve">DE </w:t>
      </w:r>
      <w:r>
        <w:rPr>
          <w:spacing w:val="1"/>
          <w:sz w:val="16"/>
        </w:rPr>
        <w:t xml:space="preserve">AÇAILÂNDIA. Histórico </w:t>
      </w:r>
      <w:r>
        <w:rPr>
          <w:sz w:val="16"/>
        </w:rPr>
        <w:t xml:space="preserve">da  </w:t>
      </w:r>
      <w:r>
        <w:rPr>
          <w:spacing w:val="2"/>
          <w:sz w:val="16"/>
        </w:rPr>
        <w:t>cidade.</w:t>
      </w:r>
      <w:r>
        <w:rPr>
          <w:spacing w:val="50"/>
          <w:sz w:val="16"/>
        </w:rPr>
        <w:t xml:space="preserve">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1" w:line="312" w:lineRule="auto"/>
        <w:ind w:left="100" w:right="231"/>
        <w:jc w:val="both"/>
        <w:rPr>
          <w:sz w:val="16"/>
        </w:rPr>
      </w:pPr>
      <w:hyperlink r:id="rId198">
        <w:r w:rsidR="00330118">
          <w:rPr>
            <w:sz w:val="16"/>
          </w:rPr>
          <w:t>&lt;</w:t>
        </w:r>
        <w:r w:rsidR="00330118">
          <w:rPr>
            <w:sz w:val="16"/>
          </w:rPr>
          <w:t>http://www.acailandia.ma.gov.br/2010/index.php?op=historia&gt;.</w:t>
        </w:r>
      </w:hyperlink>
      <w:r w:rsidR="00330118">
        <w:rPr>
          <w:sz w:val="16"/>
        </w:rPr>
        <w:t xml:space="preserve"> Acesso em: 29 out. 2010.</w:t>
      </w:r>
    </w:p>
    <w:p w:rsidR="00D81F69" w:rsidRDefault="00330118">
      <w:pPr>
        <w:spacing w:before="2" w:line="312" w:lineRule="auto"/>
        <w:ind w:left="100" w:right="227"/>
        <w:jc w:val="both"/>
        <w:rPr>
          <w:sz w:val="16"/>
        </w:rPr>
      </w:pPr>
      <w:r>
        <w:rPr>
          <w:sz w:val="16"/>
        </w:rPr>
        <w:t>SAMPAIO, João Alves. JULIANELLI, Kesley Medeiros; PENNA, Márcio Tôrres Moreira. Ferro – Mina N5 – Carajás/CVRD. Comunicação Técnica elaborada para o livro Usina de Benefi</w:t>
      </w:r>
      <w:r>
        <w:rPr>
          <w:sz w:val="16"/>
        </w:rPr>
        <w:t xml:space="preserve">ciamento de Minérios do Brasil. Rio de Janeiro/RJ, dez. 2002. Disponível em: </w:t>
      </w:r>
      <w:hyperlink r:id="rId199">
        <w:r>
          <w:rPr>
            <w:sz w:val="16"/>
          </w:rPr>
          <w:t>&lt;http://www.cetem.gov.br/publicacao/CTs/CT2002-</w:t>
        </w:r>
      </w:hyperlink>
      <w:r>
        <w:rPr>
          <w:sz w:val="16"/>
        </w:rPr>
        <w:t xml:space="preserve"> 159-00.pdf&gt;. Acesso em: 05 mai. 2010.</w:t>
      </w:r>
    </w:p>
    <w:p w:rsidR="00D81F69" w:rsidRDefault="00330118">
      <w:pPr>
        <w:spacing w:before="5" w:line="312" w:lineRule="auto"/>
        <w:ind w:left="100" w:right="217"/>
        <w:jc w:val="both"/>
        <w:rPr>
          <w:sz w:val="16"/>
        </w:rPr>
      </w:pPr>
      <w:r>
        <w:rPr>
          <w:sz w:val="16"/>
        </w:rPr>
        <w:t>VALE. Transporte Ferroviário.</w:t>
      </w:r>
      <w:r>
        <w:rPr>
          <w:sz w:val="16"/>
        </w:rPr>
        <w:t xml:space="preserve"> Portal virtual da mineradora Vale. Nossos Negócios; Logística. 2008. Disponível em: </w:t>
      </w:r>
    </w:p>
    <w:p w:rsidR="00D81F69" w:rsidRDefault="00D81F69">
      <w:pPr>
        <w:spacing w:before="2" w:line="312" w:lineRule="auto"/>
        <w:ind w:left="100" w:right="236"/>
        <w:jc w:val="both"/>
        <w:rPr>
          <w:sz w:val="16"/>
        </w:rPr>
      </w:pPr>
      <w:hyperlink r:id="rId200">
        <w:r w:rsidR="00330118">
          <w:rPr>
            <w:sz w:val="16"/>
          </w:rPr>
          <w:t>&lt;http://saladeimprensa.vale.com/pt/noticias/interna.asp?id=20235&gt;.</w:t>
        </w:r>
      </w:hyperlink>
      <w:r w:rsidR="00330118">
        <w:rPr>
          <w:sz w:val="16"/>
        </w:rPr>
        <w:t xml:space="preserve"> Acesso em: 06 out. 200</w:t>
      </w:r>
      <w:r w:rsidR="00330118">
        <w:rPr>
          <w:sz w:val="16"/>
        </w:rPr>
        <w:t>8.</w:t>
      </w:r>
    </w:p>
    <w:p w:rsidR="00D81F69" w:rsidRDefault="00330118">
      <w:pPr>
        <w:spacing w:before="1" w:line="312" w:lineRule="auto"/>
        <w:ind w:left="100" w:right="234"/>
        <w:jc w:val="both"/>
        <w:rPr>
          <w:sz w:val="16"/>
        </w:rPr>
      </w:pPr>
      <w:r>
        <w:rPr>
          <w:sz w:val="16"/>
        </w:rPr>
        <w:t>VERDE, Rodrigo Braga da Rocha Villa. Parauapebas (PA): a mão de ferro do Brasil na implantação do Projeto Grande Carajás. XII Encontro de Geógrafos da América Latina – EGAL, Montevidéu, Província de Montevidéu: Uruguai, 2009, p. 1-15. Disponível em:</w:t>
      </w:r>
    </w:p>
    <w:p w:rsidR="00D81F69" w:rsidRDefault="00D81F69">
      <w:pPr>
        <w:spacing w:before="3" w:line="312" w:lineRule="auto"/>
        <w:ind w:left="100" w:right="257"/>
        <w:jc w:val="both"/>
        <w:rPr>
          <w:sz w:val="16"/>
        </w:rPr>
      </w:pPr>
      <w:hyperlink r:id="rId201">
        <w:r w:rsidR="00330118">
          <w:rPr>
            <w:sz w:val="16"/>
          </w:rPr>
          <w:t>&lt;http://egal2009.easyplanners.info/area07/7656_VERDE_RODRIGO_</w:t>
        </w:r>
      </w:hyperlink>
      <w:r w:rsidR="00330118">
        <w:rPr>
          <w:sz w:val="16"/>
        </w:rPr>
        <w:t xml:space="preserve"> BRAGA_DA_ROCHA_VILLA.pdf&gt;. Acesso em: 27 mar. 2010.</w:t>
      </w:r>
    </w:p>
    <w:p w:rsidR="00D81F69" w:rsidRDefault="00D81F69">
      <w:pPr>
        <w:spacing w:line="312" w:lineRule="auto"/>
        <w:jc w:val="both"/>
        <w:rPr>
          <w:sz w:val="16"/>
        </w:rPr>
        <w:sectPr w:rsidR="00D81F69">
          <w:pgSz w:w="11900" w:h="16840"/>
          <w:pgMar w:top="740" w:right="460" w:bottom="720" w:left="620" w:header="0" w:footer="402" w:gutter="0"/>
          <w:cols w:num="2" w:space="720" w:equalWidth="0">
            <w:col w:w="5232" w:space="238"/>
            <w:col w:w="5350"/>
          </w:cols>
        </w:sectPr>
      </w:pPr>
    </w:p>
    <w:p w:rsidR="00D81F69" w:rsidRDefault="00330118">
      <w:pPr>
        <w:pStyle w:val="Heading1"/>
        <w:spacing w:line="208" w:lineRule="auto"/>
        <w:ind w:right="0"/>
      </w:pPr>
      <w:bookmarkStart w:id="22" w:name="_TOC_250011"/>
      <w:bookmarkEnd w:id="22"/>
      <w:r>
        <w:lastRenderedPageBreak/>
        <w:t>Exploração de bauxita gera danos socio</w:t>
      </w:r>
      <w:r>
        <w:t>ambientais em Juriti (PA)</w:t>
      </w:r>
    </w:p>
    <w:p w:rsidR="00D81F69" w:rsidRDefault="00D81F69">
      <w:pPr>
        <w:pStyle w:val="Corpodetexto"/>
        <w:ind w:left="0"/>
        <w:jc w:val="left"/>
        <w:rPr>
          <w:b/>
          <w:sz w:val="20"/>
        </w:rPr>
      </w:pPr>
    </w:p>
    <w:p w:rsidR="00D81F69" w:rsidRDefault="00D81F69">
      <w:pPr>
        <w:rPr>
          <w:sz w:val="20"/>
        </w:rPr>
        <w:sectPr w:rsidR="00D81F69">
          <w:pgSz w:w="11900" w:h="16840"/>
          <w:pgMar w:top="1080" w:right="46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PA - Juruti</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-2,2575</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-55,8713</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6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O grupo Alcoa, iniciou a extração da </w:t>
      </w:r>
      <w:r>
        <w:rPr>
          <w:i/>
          <w:sz w:val="16"/>
        </w:rPr>
        <w:t>bauxita em Juruti (PA), em 2009, para atender à demanda do Consórcio de Alumínio do Maranhão (Alumar), em São Luís (MA), que produz alumina e alumínio. O projeto envolve um complexo com mina, ferrovia e porto fluvial. A iniciativa vem causando diversos imp</w:t>
      </w:r>
      <w:r>
        <w:rPr>
          <w:i/>
          <w:sz w:val="16"/>
        </w:rPr>
        <w:t>actos socioambientais na região.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7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ind w:left="135"/>
        <w:jc w:val="left"/>
      </w:pPr>
      <w:r>
        <w:t>2009).</w:t>
      </w:r>
    </w:p>
    <w:p w:rsidR="00D81F69" w:rsidRDefault="00D81F69">
      <w:pPr>
        <w:pStyle w:val="Corpodetexto"/>
        <w:spacing w:before="8"/>
        <w:ind w:left="0"/>
        <w:jc w:val="left"/>
        <w:rPr>
          <w:sz w:val="16"/>
        </w:rPr>
      </w:pPr>
    </w:p>
    <w:p w:rsidR="00D81F69" w:rsidRDefault="00330118">
      <w:pPr>
        <w:pStyle w:val="Corpodetexto"/>
        <w:spacing w:before="1" w:line="312" w:lineRule="auto"/>
        <w:ind w:left="135" w:right="227"/>
      </w:pPr>
      <w:r>
        <w:t xml:space="preserve">Desde 2005, quando o Conselho Estadual de Meio Ambiente (Coema) do Pará concedeu à Alcoa a Licença Prévia (LP) e a </w:t>
      </w:r>
      <w:r>
        <w:rPr>
          <w:spacing w:val="3"/>
        </w:rPr>
        <w:t xml:space="preserve">Licença </w:t>
      </w:r>
      <w:r>
        <w:rPr>
          <w:spacing w:val="1"/>
        </w:rPr>
        <w:t xml:space="preserve">de </w:t>
      </w:r>
      <w:r>
        <w:rPr>
          <w:spacing w:val="3"/>
        </w:rPr>
        <w:t xml:space="preserve">Instalação (LI), </w:t>
      </w:r>
      <w:r>
        <w:t xml:space="preserve">o </w:t>
      </w:r>
      <w:r>
        <w:rPr>
          <w:spacing w:val="3"/>
        </w:rPr>
        <w:t xml:space="preserve">grupo </w:t>
      </w:r>
      <w:r>
        <w:rPr>
          <w:spacing w:val="2"/>
        </w:rPr>
        <w:t xml:space="preserve">vem </w:t>
      </w:r>
      <w:r>
        <w:rPr>
          <w:spacing w:val="3"/>
        </w:rPr>
        <w:t xml:space="preserve">trabalhando </w:t>
      </w:r>
      <w:r>
        <w:rPr>
          <w:spacing w:val="5"/>
        </w:rPr>
        <w:t xml:space="preserve">para </w:t>
      </w:r>
      <w:r>
        <w:t xml:space="preserve">implantar a infraestrutura necessária para exploração da mina </w:t>
      </w:r>
      <w:r>
        <w:rPr>
          <w:spacing w:val="2"/>
        </w:rPr>
        <w:t xml:space="preserve">de </w:t>
      </w:r>
      <w:r>
        <w:rPr>
          <w:spacing w:val="5"/>
        </w:rPr>
        <w:t xml:space="preserve">bauxita: </w:t>
      </w:r>
      <w:r>
        <w:rPr>
          <w:spacing w:val="3"/>
        </w:rPr>
        <w:t xml:space="preserve">usina </w:t>
      </w:r>
      <w:r>
        <w:rPr>
          <w:spacing w:val="2"/>
        </w:rPr>
        <w:t xml:space="preserve">de </w:t>
      </w:r>
      <w:r>
        <w:rPr>
          <w:spacing w:val="5"/>
        </w:rPr>
        <w:t xml:space="preserve">concentração </w:t>
      </w:r>
      <w:r>
        <w:rPr>
          <w:spacing w:val="2"/>
        </w:rPr>
        <w:t xml:space="preserve">de </w:t>
      </w:r>
      <w:r>
        <w:rPr>
          <w:spacing w:val="5"/>
        </w:rPr>
        <w:t xml:space="preserve">minério, </w:t>
      </w:r>
      <w:r>
        <w:rPr>
          <w:spacing w:val="3"/>
        </w:rPr>
        <w:t xml:space="preserve">bacia </w:t>
      </w:r>
      <w:r>
        <w:rPr>
          <w:spacing w:val="5"/>
        </w:rPr>
        <w:t>de</w:t>
      </w:r>
      <w:r>
        <w:rPr>
          <w:spacing w:val="61"/>
        </w:rPr>
        <w:t xml:space="preserve"> </w:t>
      </w:r>
      <w:r>
        <w:rPr>
          <w:spacing w:val="3"/>
        </w:rPr>
        <w:t xml:space="preserve">rejeitos, estruturas </w:t>
      </w:r>
      <w:r>
        <w:rPr>
          <w:spacing w:val="1"/>
        </w:rPr>
        <w:t xml:space="preserve">de </w:t>
      </w:r>
      <w:r>
        <w:rPr>
          <w:spacing w:val="3"/>
        </w:rPr>
        <w:t xml:space="preserve">apoio, abertura </w:t>
      </w:r>
      <w:r>
        <w:t xml:space="preserve">e </w:t>
      </w:r>
      <w:r>
        <w:rPr>
          <w:spacing w:val="3"/>
        </w:rPr>
        <w:t xml:space="preserve">pavimentação </w:t>
      </w:r>
      <w:r>
        <w:rPr>
          <w:spacing w:val="5"/>
        </w:rPr>
        <w:t xml:space="preserve">de </w:t>
      </w:r>
      <w:r>
        <w:t xml:space="preserve">estrada de rodagem, construção de ferrovia (que opera com 40 vagões, cada um com </w:t>
      </w:r>
      <w:r>
        <w:t xml:space="preserve">capacidade de 80 toneladas), usina </w:t>
      </w:r>
      <w:r>
        <w:rPr>
          <w:spacing w:val="8"/>
        </w:rPr>
        <w:t xml:space="preserve">diesel-elétrica </w:t>
      </w:r>
      <w:r>
        <w:t xml:space="preserve">e </w:t>
      </w:r>
      <w:r>
        <w:rPr>
          <w:spacing w:val="5"/>
        </w:rPr>
        <w:t xml:space="preserve">um </w:t>
      </w:r>
      <w:r>
        <w:rPr>
          <w:spacing w:val="7"/>
        </w:rPr>
        <w:t xml:space="preserve">porto visando </w:t>
      </w:r>
      <w:r>
        <w:rPr>
          <w:spacing w:val="5"/>
        </w:rPr>
        <w:t xml:space="preserve">ao </w:t>
      </w:r>
      <w:r>
        <w:rPr>
          <w:spacing w:val="8"/>
        </w:rPr>
        <w:t xml:space="preserve">escoamento </w:t>
      </w:r>
      <w:r>
        <w:rPr>
          <w:spacing w:val="10"/>
        </w:rPr>
        <w:t xml:space="preserve">da </w:t>
      </w:r>
      <w:r>
        <w:rPr>
          <w:spacing w:val="6"/>
        </w:rPr>
        <w:t xml:space="preserve">produção (SUZUKI, </w:t>
      </w:r>
      <w:r>
        <w:rPr>
          <w:spacing w:val="5"/>
        </w:rPr>
        <w:t>2007; CNEC, 2005 apud</w:t>
      </w:r>
      <w:r>
        <w:rPr>
          <w:spacing w:val="-14"/>
        </w:rPr>
        <w:t xml:space="preserve"> </w:t>
      </w:r>
      <w:r>
        <w:rPr>
          <w:spacing w:val="7"/>
        </w:rPr>
        <w:t>ARAÚJO;</w:t>
      </w:r>
    </w:p>
    <w:p w:rsidR="00D81F69" w:rsidRDefault="00D81F69">
      <w:pPr>
        <w:spacing w:line="312" w:lineRule="auto"/>
        <w:sectPr w:rsidR="00D81F69">
          <w:type w:val="continuous"/>
          <w:pgSz w:w="11900" w:h="16840"/>
          <w:pgMar w:top="720" w:right="460" w:bottom="280" w:left="620" w:header="720" w:footer="720" w:gutter="0"/>
          <w:cols w:num="3" w:space="720" w:equalWidth="0">
            <w:col w:w="1008" w:space="992"/>
            <w:col w:w="3114" w:space="321"/>
            <w:col w:w="5385"/>
          </w:cols>
        </w:sectPr>
      </w:pPr>
    </w:p>
    <w:p w:rsidR="00D81F69" w:rsidRDefault="00330118">
      <w:pPr>
        <w:pStyle w:val="Heading4"/>
        <w:spacing w:before="93"/>
      </w:pPr>
      <w:r>
        <w:lastRenderedPageBreak/>
        <w:t>APRESENTAÇÃO DE CASO</w:t>
      </w:r>
    </w:p>
    <w:p w:rsidR="00D81F69" w:rsidRDefault="00330118">
      <w:pPr>
        <w:pStyle w:val="Corpodetexto"/>
        <w:spacing w:before="170" w:line="312" w:lineRule="auto"/>
        <w:ind w:right="38"/>
      </w:pPr>
      <w:r>
        <w:t xml:space="preserve">A extração da bauxita em Juruti, oeste do Pará, pelo grupo norteamericano Alcoa iniciou-se em 2009. O grupo, maior produtor mundial de </w:t>
      </w:r>
      <w:hyperlink r:id="rId202">
        <w:r>
          <w:t>alumínio</w:t>
        </w:r>
      </w:hyperlink>
      <w:r>
        <w:t xml:space="preserve"> primário, alumínio ind</w:t>
      </w:r>
      <w:r>
        <w:t>ustrializado e alumina, é sócio das empresas BHP Billiton e Alcan no Consórcio de Alumínio do Maranhão (Alumar), refinaria que produz lingotes de alumínio, em São Luís (MA) (MAPA DA INJUSTIÇA AMBIENTAL E SAÚDE NO BRASIL,</w:t>
      </w:r>
    </w:p>
    <w:p w:rsidR="00D81F69" w:rsidRDefault="00330118">
      <w:pPr>
        <w:pStyle w:val="Corpodetexto"/>
        <w:spacing w:before="6" w:line="312" w:lineRule="auto"/>
        <w:ind w:right="54"/>
      </w:pPr>
      <w:r>
        <w:t>2009). Também possui participação n</w:t>
      </w:r>
      <w:r>
        <w:t>os consórcios das hidrelétricas em construção de Estreito, na divisa do Tocantins e Maranhão, e Serra do Facão, entre os estados de Goiás e Minas Gerais (ALCOA, 2009a).</w:t>
      </w:r>
    </w:p>
    <w:p w:rsidR="00D81F69" w:rsidRDefault="00330118">
      <w:pPr>
        <w:pStyle w:val="Corpodetexto"/>
        <w:spacing w:before="134" w:line="312" w:lineRule="auto"/>
        <w:ind w:right="41"/>
      </w:pPr>
      <w:r>
        <w:t xml:space="preserve">O projeto de exploração da bauxita em Juriti teve origem em 2000, quando o grupo Alcoa </w:t>
      </w:r>
      <w:r>
        <w:t xml:space="preserve">adquiriu a Reynolds Metals, que já vinha fazendo estudos em Juruti desde a década de 1980. Em 2001, a própria Alcoa deu início à fase de pesquisa mineral nos platôs Capiranga, Guaraná e Mauari (ALCOA, 2004). As estimativas são de que Juriti tenha reservas </w:t>
      </w:r>
      <w:r>
        <w:t>de cerca de 700 milhões de toneladas métricas de bauxita de alta qualidade, uma das maiores do mundo (ALCOA, 2009b). Desse total, 180 milhões são reservas medidas e garantem a produção da mina, com a atual escala de produção de 12 milhões de toneladas/ano,</w:t>
      </w:r>
      <w:r>
        <w:t xml:space="preserve"> por 70 anos (PEREIRA, 2009).</w:t>
      </w:r>
    </w:p>
    <w:p w:rsidR="00D81F69" w:rsidRDefault="00330118">
      <w:pPr>
        <w:pStyle w:val="Corpodetexto"/>
        <w:spacing w:before="140" w:line="312" w:lineRule="auto"/>
        <w:ind w:right="58"/>
      </w:pPr>
      <w:r>
        <w:t>A camada de bauxita chega a 10 metros de profundidade em Juriti (MAPA DA INJUSTIÇA AMBIENTAL E SAÚDE NO</w:t>
      </w:r>
    </w:p>
    <w:p w:rsidR="00D81F69" w:rsidRDefault="00330118">
      <w:pPr>
        <w:pStyle w:val="Corpodetexto"/>
        <w:spacing w:before="2" w:line="312" w:lineRule="auto"/>
        <w:ind w:right="45"/>
      </w:pPr>
      <w:r>
        <w:t>BRASIL, 2009). Depois de triturado, o minério é transportado em esteiras até grandes reservatórios, onde passa por um proc</w:t>
      </w:r>
      <w:r>
        <w:t>esso de lavagem para a retirada do excesso de terra. Em seguida, segue de trem até o porto (PEREIRA, 2009). Com 230 metros de extensão, o terminal portuário encontra-se em uma área de 250 hectares e está equipado para receber navios de até 75 mil toneladas</w:t>
      </w:r>
      <w:r>
        <w:t xml:space="preserve"> (LIMEIRA, 2009). Lá, uma série de esteiras conduz a bauxita até um navio, que segue 1.600 km até São Luís (MA), onde se localiza a Alumar (PEREIRA, 2009). A Alcoa fez um investimento de R$ 5,2 bilhões para elevar a produção de alumina de 1,5 milhões para </w:t>
      </w:r>
      <w:r>
        <w:t>3,5 milhões de toneladas/ano (ALCOA, 2009c; LIMEIRA,</w:t>
      </w:r>
    </w:p>
    <w:p w:rsidR="00D81F69" w:rsidRDefault="00330118">
      <w:pPr>
        <w:pStyle w:val="Corpodetexto"/>
        <w:spacing w:before="9"/>
        <w:jc w:val="left"/>
      </w:pPr>
      <w:r>
        <w:br w:type="column"/>
      </w:r>
      <w:r>
        <w:lastRenderedPageBreak/>
        <w:t>BELO, 2009).</w:t>
      </w:r>
    </w:p>
    <w:p w:rsidR="00D81F69" w:rsidRDefault="00D81F69">
      <w:pPr>
        <w:pStyle w:val="Corpodetexto"/>
        <w:spacing w:before="9"/>
        <w:ind w:left="0"/>
        <w:jc w:val="left"/>
        <w:rPr>
          <w:sz w:val="16"/>
        </w:rPr>
      </w:pPr>
    </w:p>
    <w:p w:rsidR="00D81F69" w:rsidRDefault="00330118">
      <w:pPr>
        <w:pStyle w:val="Corpodetexto"/>
        <w:spacing w:line="312" w:lineRule="auto"/>
        <w:ind w:right="176"/>
        <w:jc w:val="left"/>
      </w:pPr>
      <w:r>
        <w:t>Para construir a infraestrutura do complexo, a Alcoa teve de desmatar uma área de 800 hectares. Além disso, usou sete milhões de toneladas de trilhos, 110 mil dormentes, 28 milhões de m³ d</w:t>
      </w:r>
      <w:r>
        <w:t>e terra e 400 mil m³ de brita (PEREIRA, 2009). Até o primeiro semestre de 2011, foram investidos R$ 3,5 bilhões (MINÉRIOS &amp; MINERALES, 2009). A Licença de Operação (LO), que liberou o início da operação da mina, foi concedida em 2009 (MAPA DA INJUSTIÇA AMB</w:t>
      </w:r>
      <w:r>
        <w:t>IENTAL E SAÚDE NO BRASIL, 2009).</w:t>
      </w:r>
    </w:p>
    <w:p w:rsidR="00D81F69" w:rsidRDefault="00330118">
      <w:pPr>
        <w:pStyle w:val="Corpodetexto"/>
        <w:spacing w:before="138" w:line="312" w:lineRule="auto"/>
        <w:ind w:right="214"/>
      </w:pPr>
      <w:r>
        <w:t xml:space="preserve">No entanto, o Ministério Público do Estado (MPE) do Pará e o Ministério Público Federal (MPF) consideraram o estudo de </w:t>
      </w:r>
      <w:r>
        <w:rPr>
          <w:spacing w:val="17"/>
        </w:rPr>
        <w:t xml:space="preserve">impacto ambiental </w:t>
      </w:r>
      <w:r>
        <w:rPr>
          <w:spacing w:val="18"/>
        </w:rPr>
        <w:t xml:space="preserve">superficial, </w:t>
      </w:r>
      <w:r>
        <w:rPr>
          <w:spacing w:val="10"/>
        </w:rPr>
        <w:t xml:space="preserve">na </w:t>
      </w:r>
      <w:r>
        <w:rPr>
          <w:spacing w:val="18"/>
        </w:rPr>
        <w:t xml:space="preserve">identificação, </w:t>
      </w:r>
      <w:r>
        <w:rPr>
          <w:spacing w:val="6"/>
        </w:rPr>
        <w:t xml:space="preserve">caracterização, análise, mitigação </w:t>
      </w:r>
      <w:r>
        <w:t xml:space="preserve">e </w:t>
      </w:r>
      <w:r>
        <w:rPr>
          <w:spacing w:val="6"/>
        </w:rPr>
        <w:t xml:space="preserve">compensação </w:t>
      </w:r>
      <w:r>
        <w:rPr>
          <w:spacing w:val="7"/>
        </w:rPr>
        <w:t xml:space="preserve">dos </w:t>
      </w:r>
      <w:r>
        <w:rPr>
          <w:spacing w:val="3"/>
        </w:rPr>
        <w:t xml:space="preserve">impactos regionais </w:t>
      </w:r>
      <w:r>
        <w:t xml:space="preserve">e </w:t>
      </w:r>
      <w:r>
        <w:rPr>
          <w:spacing w:val="3"/>
        </w:rPr>
        <w:t xml:space="preserve">apontaram falta </w:t>
      </w:r>
      <w:r>
        <w:rPr>
          <w:spacing w:val="1"/>
        </w:rPr>
        <w:t xml:space="preserve">de </w:t>
      </w:r>
      <w:r>
        <w:rPr>
          <w:spacing w:val="3"/>
        </w:rPr>
        <w:t xml:space="preserve">clareza sobre </w:t>
      </w:r>
      <w:r>
        <w:rPr>
          <w:spacing w:val="5"/>
        </w:rPr>
        <w:t xml:space="preserve">as </w:t>
      </w:r>
      <w:r>
        <w:t xml:space="preserve">medidas de compensação. A Secretaria de Estado de Meio Ambiente decidiu não examinar o mérito dessas questões na </w:t>
      </w:r>
      <w:r>
        <w:rPr>
          <w:spacing w:val="5"/>
        </w:rPr>
        <w:t xml:space="preserve">primeira etapa </w:t>
      </w:r>
      <w:r>
        <w:rPr>
          <w:spacing w:val="2"/>
        </w:rPr>
        <w:t xml:space="preserve">do </w:t>
      </w:r>
      <w:r>
        <w:rPr>
          <w:spacing w:val="5"/>
        </w:rPr>
        <w:t xml:space="preserve">licenciamento, deixando para </w:t>
      </w:r>
      <w:r>
        <w:rPr>
          <w:spacing w:val="6"/>
        </w:rPr>
        <w:t xml:space="preserve">revisão </w:t>
      </w:r>
      <w:r>
        <w:t>durante as fases seguintes. Ins</w:t>
      </w:r>
      <w:r>
        <w:t xml:space="preserve">atisfeitos com esta decisão, o </w:t>
      </w:r>
      <w:r>
        <w:rPr>
          <w:spacing w:val="1"/>
        </w:rPr>
        <w:t xml:space="preserve">MPE-PA </w:t>
      </w:r>
      <w:r>
        <w:t xml:space="preserve">e o MPF se </w:t>
      </w:r>
      <w:r>
        <w:rPr>
          <w:spacing w:val="1"/>
        </w:rPr>
        <w:t xml:space="preserve">uniram para moverem </w:t>
      </w:r>
      <w:r>
        <w:t xml:space="preserve">uma </w:t>
      </w:r>
      <w:r>
        <w:rPr>
          <w:spacing w:val="1"/>
        </w:rPr>
        <w:t xml:space="preserve">ação </w:t>
      </w:r>
      <w:r>
        <w:rPr>
          <w:spacing w:val="2"/>
        </w:rPr>
        <w:t xml:space="preserve">civil </w:t>
      </w:r>
      <w:r>
        <w:rPr>
          <w:spacing w:val="5"/>
        </w:rPr>
        <w:t xml:space="preserve">pública para anular </w:t>
      </w:r>
      <w:r>
        <w:t xml:space="preserve">a </w:t>
      </w:r>
      <w:r>
        <w:rPr>
          <w:spacing w:val="6"/>
        </w:rPr>
        <w:t xml:space="preserve">licença, exigindo </w:t>
      </w:r>
      <w:r>
        <w:rPr>
          <w:spacing w:val="3"/>
        </w:rPr>
        <w:t xml:space="preserve">um </w:t>
      </w:r>
      <w:r>
        <w:rPr>
          <w:spacing w:val="5"/>
        </w:rPr>
        <w:t xml:space="preserve">plano </w:t>
      </w:r>
      <w:r>
        <w:rPr>
          <w:spacing w:val="7"/>
        </w:rPr>
        <w:t xml:space="preserve">mais completo </w:t>
      </w:r>
      <w:r>
        <w:rPr>
          <w:spacing w:val="5"/>
        </w:rPr>
        <w:t xml:space="preserve">de </w:t>
      </w:r>
      <w:r>
        <w:rPr>
          <w:spacing w:val="7"/>
        </w:rPr>
        <w:t xml:space="preserve">medidas </w:t>
      </w:r>
      <w:r>
        <w:rPr>
          <w:spacing w:val="5"/>
        </w:rPr>
        <w:t xml:space="preserve">de </w:t>
      </w:r>
      <w:r>
        <w:rPr>
          <w:spacing w:val="7"/>
        </w:rPr>
        <w:t xml:space="preserve">proteção </w:t>
      </w:r>
      <w:r>
        <w:rPr>
          <w:spacing w:val="8"/>
        </w:rPr>
        <w:t xml:space="preserve">ambiental, </w:t>
      </w:r>
      <w:r>
        <w:rPr>
          <w:spacing w:val="6"/>
        </w:rPr>
        <w:t xml:space="preserve">além </w:t>
      </w:r>
      <w:r>
        <w:rPr>
          <w:spacing w:val="10"/>
        </w:rPr>
        <w:t xml:space="preserve">da </w:t>
      </w:r>
      <w:r>
        <w:t>obrigatoriedade da promoção de diálogo e de compensações à populaçã</w:t>
      </w:r>
      <w:r>
        <w:t xml:space="preserve">o local afetada. A Secretaria de Estado de Meio </w:t>
      </w:r>
      <w:r>
        <w:rPr>
          <w:spacing w:val="1"/>
        </w:rPr>
        <w:t xml:space="preserve">Ambiente alegou </w:t>
      </w:r>
      <w:r>
        <w:t xml:space="preserve">não </w:t>
      </w:r>
      <w:r>
        <w:rPr>
          <w:spacing w:val="1"/>
        </w:rPr>
        <w:t xml:space="preserve">haver razão para </w:t>
      </w:r>
      <w:r>
        <w:t xml:space="preserve">o </w:t>
      </w:r>
      <w:r>
        <w:rPr>
          <w:spacing w:val="1"/>
        </w:rPr>
        <w:t xml:space="preserve">cancelamento </w:t>
      </w:r>
      <w:r>
        <w:rPr>
          <w:spacing w:val="2"/>
        </w:rPr>
        <w:t xml:space="preserve">da </w:t>
      </w:r>
      <w:r>
        <w:t xml:space="preserve">licença, afirmando ter feito 54 exigências de ajustes e novos </w:t>
      </w:r>
      <w:r>
        <w:rPr>
          <w:spacing w:val="3"/>
        </w:rPr>
        <w:t xml:space="preserve">condicionantes </w:t>
      </w:r>
      <w:r>
        <w:rPr>
          <w:spacing w:val="2"/>
        </w:rPr>
        <w:t xml:space="preserve">para </w:t>
      </w:r>
      <w:r>
        <w:rPr>
          <w:spacing w:val="3"/>
        </w:rPr>
        <w:t xml:space="preserve">manutenção </w:t>
      </w:r>
      <w:r>
        <w:rPr>
          <w:spacing w:val="1"/>
        </w:rPr>
        <w:t xml:space="preserve">da </w:t>
      </w:r>
      <w:r>
        <w:rPr>
          <w:spacing w:val="3"/>
        </w:rPr>
        <w:t xml:space="preserve">licença </w:t>
      </w:r>
      <w:r>
        <w:rPr>
          <w:spacing w:val="1"/>
        </w:rPr>
        <w:t xml:space="preserve">de </w:t>
      </w:r>
      <w:r>
        <w:rPr>
          <w:spacing w:val="5"/>
        </w:rPr>
        <w:t xml:space="preserve">instalação </w:t>
      </w:r>
      <w:r>
        <w:rPr>
          <w:spacing w:val="3"/>
        </w:rPr>
        <w:t>(WANDERLEY,</w:t>
      </w:r>
      <w:r>
        <w:rPr>
          <w:spacing w:val="22"/>
        </w:rPr>
        <w:t xml:space="preserve"> </w:t>
      </w:r>
      <w:r>
        <w:rPr>
          <w:spacing w:val="5"/>
        </w:rPr>
        <w:t>2009).</w:t>
      </w:r>
    </w:p>
    <w:p w:rsidR="00D81F69" w:rsidRDefault="00330118">
      <w:pPr>
        <w:pStyle w:val="Corpodetexto"/>
        <w:spacing w:before="84" w:line="270" w:lineRule="atLeast"/>
        <w:ind w:right="240"/>
      </w:pPr>
      <w:r>
        <w:rPr>
          <w:spacing w:val="3"/>
        </w:rPr>
        <w:t xml:space="preserve">Várias demandas sociais </w:t>
      </w:r>
      <w:r>
        <w:rPr>
          <w:spacing w:val="1"/>
        </w:rPr>
        <w:t xml:space="preserve">de </w:t>
      </w:r>
      <w:r>
        <w:rPr>
          <w:spacing w:val="3"/>
        </w:rPr>
        <w:t xml:space="preserve">comunidades locais </w:t>
      </w:r>
      <w:r>
        <w:rPr>
          <w:spacing w:val="5"/>
        </w:rPr>
        <w:t xml:space="preserve">também </w:t>
      </w:r>
      <w:r>
        <w:t>impactaram o empreendimento (ARAÚJO; BELO, 2009). De acordo com elas, o município teria sido afetado não só pela especulação imobiliária e pelo aumento do custo de vida e da criminalidade, como também pe</w:t>
      </w:r>
      <w:r>
        <w:t xml:space="preserve">la falta de infraestrutura para suportar o inchaço populacional causado pela instalação da </w:t>
      </w:r>
      <w:r>
        <w:rPr>
          <w:spacing w:val="3"/>
        </w:rPr>
        <w:t xml:space="preserve">mina. </w:t>
      </w:r>
      <w:r>
        <w:t xml:space="preserve">A </w:t>
      </w:r>
      <w:r>
        <w:rPr>
          <w:spacing w:val="3"/>
        </w:rPr>
        <w:t xml:space="preserve">prostituição </w:t>
      </w:r>
      <w:r>
        <w:rPr>
          <w:spacing w:val="2"/>
        </w:rPr>
        <w:t xml:space="preserve">foi </w:t>
      </w:r>
      <w:r>
        <w:rPr>
          <w:spacing w:val="3"/>
        </w:rPr>
        <w:t xml:space="preserve">apontada </w:t>
      </w:r>
      <w:r>
        <w:rPr>
          <w:spacing w:val="2"/>
        </w:rPr>
        <w:t xml:space="preserve">como </w:t>
      </w:r>
      <w:r>
        <w:rPr>
          <w:spacing w:val="3"/>
        </w:rPr>
        <w:t xml:space="preserve">possível causa </w:t>
      </w:r>
      <w:r>
        <w:rPr>
          <w:spacing w:val="5"/>
        </w:rPr>
        <w:t xml:space="preserve">do </w:t>
      </w:r>
      <w:r>
        <w:t>aumento de 27% no número de adolescentes grávidas e de 70% na ocorrência de doenças sexualmente transmissíve</w:t>
      </w:r>
      <w:r>
        <w:t xml:space="preserve">is </w:t>
      </w:r>
      <w:r>
        <w:rPr>
          <w:spacing w:val="12"/>
        </w:rPr>
        <w:t xml:space="preserve">(DST), </w:t>
      </w:r>
      <w:r>
        <w:rPr>
          <w:spacing w:val="11"/>
        </w:rPr>
        <w:t xml:space="preserve">entre 2005 </w:t>
      </w:r>
      <w:r>
        <w:t xml:space="preserve">e </w:t>
      </w:r>
      <w:r>
        <w:rPr>
          <w:spacing w:val="11"/>
        </w:rPr>
        <w:t xml:space="preserve">2006 (MAPA </w:t>
      </w:r>
      <w:r>
        <w:rPr>
          <w:spacing w:val="7"/>
        </w:rPr>
        <w:t>DA</w:t>
      </w:r>
      <w:r>
        <w:rPr>
          <w:spacing w:val="60"/>
        </w:rPr>
        <w:t xml:space="preserve"> </w:t>
      </w:r>
      <w:r>
        <w:rPr>
          <w:spacing w:val="13"/>
        </w:rPr>
        <w:t>INJUSTIÇA</w:t>
      </w:r>
      <w:r>
        <w:rPr>
          <w:spacing w:val="-33"/>
        </w:rPr>
        <w:t xml:space="preserve"> </w:t>
      </w:r>
    </w:p>
    <w:p w:rsidR="00D81F69" w:rsidRDefault="00D81F69">
      <w:pPr>
        <w:spacing w:line="270" w:lineRule="atLeast"/>
        <w:sectPr w:rsidR="00D81F69">
          <w:type w:val="continuous"/>
          <w:pgSz w:w="11900" w:h="16840"/>
          <w:pgMar w:top="720" w:right="460" w:bottom="280" w:left="620" w:header="720" w:footer="720" w:gutter="0"/>
          <w:cols w:num="2" w:space="720" w:equalWidth="0">
            <w:col w:w="5159" w:space="311"/>
            <w:col w:w="5350"/>
          </w:cols>
        </w:sectPr>
      </w:pPr>
    </w:p>
    <w:p w:rsidR="00D81F69" w:rsidRDefault="00330118">
      <w:pPr>
        <w:pStyle w:val="Corpodetexto"/>
        <w:spacing w:before="81"/>
      </w:pPr>
      <w:r>
        <w:lastRenderedPageBreak/>
        <w:t>AMBIENTAL E SAÚDE NO BRASIL, 2009).</w:t>
      </w:r>
    </w:p>
    <w:p w:rsidR="00D81F69" w:rsidRDefault="00D81F69">
      <w:pPr>
        <w:pStyle w:val="Corpodetexto"/>
        <w:spacing w:before="9"/>
        <w:ind w:left="0"/>
        <w:jc w:val="left"/>
        <w:rPr>
          <w:sz w:val="16"/>
        </w:rPr>
      </w:pPr>
    </w:p>
    <w:p w:rsidR="00D81F69" w:rsidRDefault="00330118">
      <w:pPr>
        <w:pStyle w:val="Corpodetexto"/>
        <w:spacing w:line="312" w:lineRule="auto"/>
        <w:ind w:right="52"/>
        <w:jc w:val="left"/>
      </w:pPr>
      <w:r>
        <w:t>Localizado a 840 km de Belém, Juruti tem 125 anos (ALCOA, 2009b), uma área de 8.305 km² e 47.086 habitantes (IBGE, 2010). Desse total, a maioria</w:t>
      </w:r>
      <w:r>
        <w:t xml:space="preserve"> reside em 150 comunidades rurais e extrativistas que predominam na região (ALCOA, 2009b).</w:t>
      </w:r>
    </w:p>
    <w:p w:rsidR="00D81F69" w:rsidRDefault="00330118">
      <w:pPr>
        <w:pStyle w:val="Corpodetexto"/>
        <w:spacing w:before="135" w:line="312" w:lineRule="auto"/>
        <w:ind w:right="94"/>
      </w:pPr>
      <w:r>
        <w:t xml:space="preserve">Na área de influência direta do projeto da Alcoa, encontram- </w:t>
      </w:r>
      <w:r>
        <w:rPr>
          <w:spacing w:val="2"/>
        </w:rPr>
        <w:t xml:space="preserve">se 45 </w:t>
      </w:r>
      <w:r>
        <w:rPr>
          <w:spacing w:val="5"/>
        </w:rPr>
        <w:t xml:space="preserve">comunidades tradicionais, para </w:t>
      </w:r>
      <w:r>
        <w:rPr>
          <w:spacing w:val="2"/>
        </w:rPr>
        <w:t xml:space="preserve">as </w:t>
      </w:r>
      <w:r>
        <w:rPr>
          <w:spacing w:val="5"/>
        </w:rPr>
        <w:t xml:space="preserve">quais </w:t>
      </w:r>
      <w:r>
        <w:rPr>
          <w:spacing w:val="6"/>
        </w:rPr>
        <w:t xml:space="preserve">existem </w:t>
      </w:r>
      <w:r>
        <w:t>registros desde 1809, cujos territórios foram gara</w:t>
      </w:r>
      <w:r>
        <w:t xml:space="preserve">ntidos com a criação do Projeto Agroextrativista (PAE) Juruti Velho, pela </w:t>
      </w:r>
      <w:r>
        <w:rPr>
          <w:spacing w:val="11"/>
        </w:rPr>
        <w:t xml:space="preserve">Superintendência </w:t>
      </w:r>
      <w:r>
        <w:rPr>
          <w:spacing w:val="10"/>
        </w:rPr>
        <w:t xml:space="preserve">Regional </w:t>
      </w:r>
      <w:r>
        <w:rPr>
          <w:spacing w:val="5"/>
        </w:rPr>
        <w:t xml:space="preserve">do </w:t>
      </w:r>
      <w:r>
        <w:rPr>
          <w:spacing w:val="10"/>
        </w:rPr>
        <w:t xml:space="preserve">Instituto Nacional </w:t>
      </w:r>
      <w:r>
        <w:rPr>
          <w:spacing w:val="12"/>
        </w:rPr>
        <w:t xml:space="preserve">de </w:t>
      </w:r>
      <w:r>
        <w:t xml:space="preserve">Colonização e Reforma Agrária (Incra). Os limites territoriais do PAE tiveram parte de sua extensão outorgados ao grupo minerador. </w:t>
      </w:r>
      <w:r>
        <w:t xml:space="preserve">Isso agravou os conflitos envolvendo a questão </w:t>
      </w:r>
      <w:r>
        <w:rPr>
          <w:spacing w:val="7"/>
        </w:rPr>
        <w:t xml:space="preserve">fundiária </w:t>
      </w:r>
      <w:r>
        <w:t xml:space="preserve">e </w:t>
      </w:r>
      <w:r>
        <w:rPr>
          <w:spacing w:val="5"/>
        </w:rPr>
        <w:t xml:space="preserve">os </w:t>
      </w:r>
      <w:r>
        <w:rPr>
          <w:spacing w:val="7"/>
        </w:rPr>
        <w:t xml:space="preserve">recursos naturais, </w:t>
      </w:r>
      <w:r>
        <w:rPr>
          <w:spacing w:val="5"/>
        </w:rPr>
        <w:t xml:space="preserve">até </w:t>
      </w:r>
      <w:r>
        <w:rPr>
          <w:spacing w:val="7"/>
        </w:rPr>
        <w:t xml:space="preserve">então </w:t>
      </w:r>
      <w:r>
        <w:rPr>
          <w:spacing w:val="10"/>
        </w:rPr>
        <w:t xml:space="preserve">livremente </w:t>
      </w:r>
      <w:r>
        <w:rPr>
          <w:spacing w:val="5"/>
        </w:rPr>
        <w:t xml:space="preserve">apropriados </w:t>
      </w:r>
      <w:r>
        <w:rPr>
          <w:spacing w:val="3"/>
        </w:rPr>
        <w:t xml:space="preserve">pelos </w:t>
      </w:r>
      <w:r>
        <w:rPr>
          <w:spacing w:val="5"/>
        </w:rPr>
        <w:t xml:space="preserve">comunitários (ARAÚJO; </w:t>
      </w:r>
      <w:r>
        <w:rPr>
          <w:spacing w:val="3"/>
        </w:rPr>
        <w:t>BELO,</w:t>
      </w:r>
      <w:r>
        <w:rPr>
          <w:spacing w:val="-15"/>
        </w:rPr>
        <w:t xml:space="preserve"> </w:t>
      </w:r>
      <w:r>
        <w:rPr>
          <w:spacing w:val="5"/>
        </w:rPr>
        <w:t>2009).</w:t>
      </w:r>
    </w:p>
    <w:p w:rsidR="00D81F69" w:rsidRDefault="00330118">
      <w:pPr>
        <w:pStyle w:val="Corpodetexto"/>
        <w:spacing w:before="139" w:line="312" w:lineRule="auto"/>
        <w:ind w:right="91"/>
      </w:pPr>
      <w:r>
        <w:t xml:space="preserve">O traçado da ferrovia para escoar o minério da mina, com 55 km de extensão, atravessa o assentamento </w:t>
      </w:r>
      <w:r>
        <w:t>Socó I (criado em 1997, pelo Incra) e obrigou a retirada de 10 famílias, fragmentando outros 46 lotes do assentamento, num total de 900 hectares (WANDERLEY, 2009).</w:t>
      </w:r>
    </w:p>
    <w:p w:rsidR="00D81F69" w:rsidRDefault="00330118">
      <w:pPr>
        <w:pStyle w:val="Corpodetexto"/>
        <w:spacing w:before="134" w:line="312" w:lineRule="auto"/>
        <w:ind w:right="96"/>
      </w:pPr>
      <w:r>
        <w:t>No dia 28 de janeiro de 2009, famílias ribeirinhas de Juruti, reunindo algumas centenas de p</w:t>
      </w:r>
      <w:r>
        <w:t>essoas, bloquearam a estrada que dá acesso à base Capiranga da Alcoa (MPF, 2009). A pauta das comunidades entregue ao grupo incluía o pagamento por danos e prejuízos causados com a instalação da mina na área do PAE (Projeto de Assentamento Agroextrativista</w:t>
      </w:r>
      <w:r>
        <w:t>) Juruti Velho, participação de 1,5% no resultado da lavra, pagamento pela madeira retirada da área, financiamento do projeto de revitalização e monitoramento ambiental do PAE. As comunidades reivindicaram também o comprometimento da Alcoa em ações sociais</w:t>
      </w:r>
      <w:r>
        <w:t xml:space="preserve"> no município de Juruti (RÁDIO RURAL DE SANTARÉM, 2009).</w:t>
      </w:r>
    </w:p>
    <w:p w:rsidR="00D81F69" w:rsidRDefault="00330118">
      <w:pPr>
        <w:pStyle w:val="Corpodetexto"/>
        <w:spacing w:before="141" w:line="312" w:lineRule="auto"/>
        <w:ind w:right="97"/>
      </w:pPr>
      <w:r>
        <w:t xml:space="preserve">A ampla mobilização da população deu novo vigor à Agenda Positiva proposta pela Alcoa à prefeitura para minimizar os </w:t>
      </w:r>
      <w:r>
        <w:rPr>
          <w:spacing w:val="3"/>
        </w:rPr>
        <w:t xml:space="preserve">impactos </w:t>
      </w:r>
      <w:r>
        <w:rPr>
          <w:spacing w:val="1"/>
        </w:rPr>
        <w:t xml:space="preserve">do </w:t>
      </w:r>
      <w:r>
        <w:rPr>
          <w:spacing w:val="3"/>
        </w:rPr>
        <w:t xml:space="preserve">projeto Juruti (PLATAFORMA BNDES, </w:t>
      </w:r>
      <w:r>
        <w:rPr>
          <w:spacing w:val="5"/>
        </w:rPr>
        <w:t xml:space="preserve">2009). </w:t>
      </w:r>
      <w:r>
        <w:rPr>
          <w:spacing w:val="2"/>
        </w:rPr>
        <w:t xml:space="preserve">Um </w:t>
      </w:r>
      <w:r>
        <w:rPr>
          <w:spacing w:val="5"/>
        </w:rPr>
        <w:t xml:space="preserve">acordo </w:t>
      </w:r>
      <w:r>
        <w:rPr>
          <w:spacing w:val="3"/>
        </w:rPr>
        <w:t xml:space="preserve">foi </w:t>
      </w:r>
      <w:r>
        <w:rPr>
          <w:spacing w:val="5"/>
        </w:rPr>
        <w:t xml:space="preserve">fechado </w:t>
      </w:r>
      <w:r>
        <w:rPr>
          <w:spacing w:val="3"/>
        </w:rPr>
        <w:t xml:space="preserve">pela </w:t>
      </w:r>
      <w:r>
        <w:rPr>
          <w:spacing w:val="5"/>
        </w:rPr>
        <w:t>em</w:t>
      </w:r>
      <w:r>
        <w:rPr>
          <w:spacing w:val="5"/>
        </w:rPr>
        <w:t xml:space="preserve">presa </w:t>
      </w:r>
      <w:r>
        <w:t xml:space="preserve">e </w:t>
      </w:r>
      <w:r>
        <w:rPr>
          <w:spacing w:val="3"/>
        </w:rPr>
        <w:t xml:space="preserve">pela </w:t>
      </w:r>
      <w:r>
        <w:rPr>
          <w:spacing w:val="5"/>
        </w:rPr>
        <w:t xml:space="preserve">Associação </w:t>
      </w:r>
      <w:r>
        <w:rPr>
          <w:spacing w:val="3"/>
        </w:rPr>
        <w:t xml:space="preserve">Comunitária </w:t>
      </w:r>
      <w:r>
        <w:rPr>
          <w:spacing w:val="1"/>
        </w:rPr>
        <w:t xml:space="preserve">de </w:t>
      </w:r>
      <w:r>
        <w:rPr>
          <w:spacing w:val="3"/>
        </w:rPr>
        <w:t xml:space="preserve">Juruti Velho (Acorjuve) </w:t>
      </w:r>
      <w:r>
        <w:t xml:space="preserve">e </w:t>
      </w:r>
      <w:r>
        <w:rPr>
          <w:spacing w:val="1"/>
        </w:rPr>
        <w:t xml:space="preserve">as </w:t>
      </w:r>
      <w:r>
        <w:rPr>
          <w:spacing w:val="5"/>
        </w:rPr>
        <w:t xml:space="preserve">comunidades </w:t>
      </w:r>
      <w:r>
        <w:t>conseguiram algo inédito na história da exploração minerária: receber uma participação na renda proveniente da extração do minério (PREFEITURA DE JURUTI,</w:t>
      </w:r>
      <w:r>
        <w:rPr>
          <w:spacing w:val="26"/>
        </w:rPr>
        <w:t xml:space="preserve"> </w:t>
      </w:r>
      <w:r>
        <w:t>2010).</w:t>
      </w:r>
    </w:p>
    <w:p w:rsidR="00D81F69" w:rsidRDefault="00330118">
      <w:pPr>
        <w:pStyle w:val="Corpodetexto"/>
        <w:spacing w:before="138" w:line="312" w:lineRule="auto"/>
        <w:ind w:right="110"/>
      </w:pPr>
      <w:r>
        <w:t xml:space="preserve">O pagamento de royalties pela extração mineral está previsto </w:t>
      </w:r>
      <w:r>
        <w:rPr>
          <w:spacing w:val="2"/>
        </w:rPr>
        <w:t xml:space="preserve">no </w:t>
      </w:r>
      <w:r>
        <w:rPr>
          <w:spacing w:val="5"/>
        </w:rPr>
        <w:t xml:space="preserve">Código </w:t>
      </w:r>
      <w:r>
        <w:rPr>
          <w:spacing w:val="2"/>
        </w:rPr>
        <w:t xml:space="preserve">de </w:t>
      </w:r>
      <w:r>
        <w:rPr>
          <w:spacing w:val="5"/>
        </w:rPr>
        <w:t xml:space="preserve">Mineração, </w:t>
      </w:r>
      <w:r>
        <w:rPr>
          <w:spacing w:val="3"/>
        </w:rPr>
        <w:t xml:space="preserve">mas </w:t>
      </w:r>
      <w:r>
        <w:rPr>
          <w:spacing w:val="5"/>
        </w:rPr>
        <w:t xml:space="preserve">nunca havia sido pago </w:t>
      </w:r>
      <w:r>
        <w:t>a comunitários de um projeto agroextrativista, que não têm título de proprietários da terra, e sim Concessões de Direito Real de Uso (CDRUs) emit</w:t>
      </w:r>
      <w:r>
        <w:t xml:space="preserve">idas pela União, através do Incra. Graças ao acordo, a Acorjuve recebe regularmente 1,5% da receita </w:t>
      </w:r>
      <w:r>
        <w:rPr>
          <w:spacing w:val="8"/>
        </w:rPr>
        <w:t xml:space="preserve">líquida </w:t>
      </w:r>
      <w:r>
        <w:rPr>
          <w:spacing w:val="5"/>
        </w:rPr>
        <w:t xml:space="preserve">da </w:t>
      </w:r>
      <w:r>
        <w:rPr>
          <w:spacing w:val="7"/>
        </w:rPr>
        <w:t xml:space="preserve">venda </w:t>
      </w:r>
      <w:r>
        <w:rPr>
          <w:spacing w:val="5"/>
        </w:rPr>
        <w:t xml:space="preserve">da </w:t>
      </w:r>
      <w:r>
        <w:rPr>
          <w:spacing w:val="8"/>
        </w:rPr>
        <w:t xml:space="preserve">bauxita. </w:t>
      </w:r>
      <w:r>
        <w:rPr>
          <w:spacing w:val="6"/>
        </w:rPr>
        <w:t xml:space="preserve">Até </w:t>
      </w:r>
      <w:r>
        <w:rPr>
          <w:spacing w:val="7"/>
        </w:rPr>
        <w:t xml:space="preserve">março </w:t>
      </w:r>
      <w:r>
        <w:rPr>
          <w:spacing w:val="5"/>
        </w:rPr>
        <w:t xml:space="preserve">de </w:t>
      </w:r>
      <w:r>
        <w:rPr>
          <w:spacing w:val="7"/>
        </w:rPr>
        <w:t xml:space="preserve">2010, </w:t>
      </w:r>
      <w:r>
        <w:rPr>
          <w:spacing w:val="10"/>
        </w:rPr>
        <w:t xml:space="preserve">as </w:t>
      </w:r>
      <w:r>
        <w:t xml:space="preserve">comunidades haviam recebido R$ 1 milhão, para ser aplicado ao longo de cinco anos nas 45 comunidades que </w:t>
      </w:r>
      <w:r>
        <w:t>integram o núcleo</w:t>
      </w:r>
      <w:r>
        <w:rPr>
          <w:spacing w:val="13"/>
        </w:rPr>
        <w:t xml:space="preserve"> </w:t>
      </w:r>
      <w:r>
        <w:t>Juruti</w:t>
      </w:r>
      <w:r>
        <w:rPr>
          <w:spacing w:val="13"/>
        </w:rPr>
        <w:t xml:space="preserve"> </w:t>
      </w:r>
      <w:r>
        <w:t>Velho</w:t>
      </w:r>
      <w:r>
        <w:rPr>
          <w:spacing w:val="13"/>
        </w:rPr>
        <w:t xml:space="preserve"> </w:t>
      </w:r>
      <w:r>
        <w:t>(PREFEITURA</w:t>
      </w:r>
      <w:r>
        <w:rPr>
          <w:spacing w:val="13"/>
        </w:rPr>
        <w:t xml:space="preserve"> </w:t>
      </w:r>
      <w:r>
        <w:t>DE</w:t>
      </w:r>
      <w:r>
        <w:rPr>
          <w:spacing w:val="13"/>
        </w:rPr>
        <w:t xml:space="preserve"> </w:t>
      </w:r>
      <w:r>
        <w:t>JURUTI,</w:t>
      </w:r>
      <w:r>
        <w:rPr>
          <w:spacing w:val="13"/>
        </w:rPr>
        <w:t xml:space="preserve"> </w:t>
      </w:r>
      <w:r>
        <w:t>2010).</w:t>
      </w:r>
    </w:p>
    <w:p w:rsidR="00D81F69" w:rsidRDefault="00330118">
      <w:pPr>
        <w:pStyle w:val="Corpodetexto"/>
        <w:spacing w:before="139" w:line="312" w:lineRule="auto"/>
        <w:ind w:right="115"/>
      </w:pPr>
      <w:r>
        <w:t>Além disso, a Alcoa buscou a parceria do Fundo Brasileiro para a Diversidade (Funbio) e do Centro de Estudos em</w:t>
      </w:r>
    </w:p>
    <w:p w:rsidR="00D81F69" w:rsidRDefault="00330118">
      <w:pPr>
        <w:pStyle w:val="Corpodetexto"/>
        <w:spacing w:before="81" w:line="312" w:lineRule="auto"/>
        <w:ind w:right="236"/>
      </w:pPr>
      <w:r>
        <w:br w:type="column"/>
      </w:r>
      <w:r>
        <w:lastRenderedPageBreak/>
        <w:t>Sustentabilidade (GVces) da Fundação Getulio Vargas (FGV) para ir além das compens</w:t>
      </w:r>
      <w:r>
        <w:t>ações e mitigações obrigatórias envolvidas na instalação do empreendimento em Juruti. Essa parceira contribuiu para a criação do Projeto Juruti Sustentável e institucionalização do Fundo Juruti Sustentável, que visa financiar projetos de desenvolvimento su</w:t>
      </w:r>
      <w:r>
        <w:t>stentável na região. O fundo recebeu sua primeira doação da Alcoa no valor de R$ 2 milhões (FUNBIO, 2010).</w:t>
      </w:r>
    </w:p>
    <w:p w:rsidR="00D81F69" w:rsidRDefault="00330118">
      <w:pPr>
        <w:pStyle w:val="Corpodetexto"/>
        <w:spacing w:before="137" w:line="312" w:lineRule="auto"/>
        <w:ind w:right="234"/>
      </w:pPr>
      <w:r>
        <w:t>O acordo resultou também na construção de novo hospital para atendimento de alta complexidade, que ficará sob responsabilidade da Alcoa durante três anos, incluindo a contratação de profissionais. A empresa construiu ainda uma unidade mista de saúde na com</w:t>
      </w:r>
      <w:r>
        <w:t>unidade de Tabatinga, está reformando o hospital municipal e ampliando outras unidades básicas. A agenda inclui também a construção de 16 salas de aula, tratamento de água, complexo judiciário, melhorias em estradas vicinais e asfaltamento parcial da rodov</w:t>
      </w:r>
      <w:r>
        <w:t>ia estadual PA-257 e da rodovia municipal de ligação até a área de beneficiamento da Alcoa (O ESTADO DE S. PAULO, 2009).</w:t>
      </w:r>
    </w:p>
    <w:p w:rsidR="00D81F69" w:rsidRDefault="00330118">
      <w:pPr>
        <w:pStyle w:val="Corpodetexto"/>
        <w:spacing w:before="140" w:line="312" w:lineRule="auto"/>
        <w:ind w:right="235"/>
      </w:pPr>
      <w:r>
        <w:rPr>
          <w:spacing w:val="20"/>
        </w:rPr>
        <w:t xml:space="preserve">Entretanto, </w:t>
      </w:r>
      <w:r>
        <w:rPr>
          <w:spacing w:val="10"/>
        </w:rPr>
        <w:t>um</w:t>
      </w:r>
      <w:r>
        <w:rPr>
          <w:spacing w:val="71"/>
        </w:rPr>
        <w:t xml:space="preserve"> </w:t>
      </w:r>
      <w:r>
        <w:rPr>
          <w:spacing w:val="17"/>
        </w:rPr>
        <w:t xml:space="preserve">projeto </w:t>
      </w:r>
      <w:r>
        <w:rPr>
          <w:spacing w:val="16"/>
        </w:rPr>
        <w:t xml:space="preserve">desse porte </w:t>
      </w:r>
      <w:r>
        <w:rPr>
          <w:spacing w:val="17"/>
        </w:rPr>
        <w:t xml:space="preserve">requer </w:t>
      </w:r>
      <w:r>
        <w:rPr>
          <w:spacing w:val="10"/>
        </w:rPr>
        <w:t xml:space="preserve">um </w:t>
      </w:r>
      <w:r>
        <w:rPr>
          <w:spacing w:val="1"/>
        </w:rPr>
        <w:t xml:space="preserve">acompanhamento permanente. </w:t>
      </w:r>
      <w:r>
        <w:t xml:space="preserve">Em </w:t>
      </w:r>
      <w:r>
        <w:rPr>
          <w:spacing w:val="1"/>
        </w:rPr>
        <w:t xml:space="preserve">razão disso, </w:t>
      </w:r>
      <w:r>
        <w:t xml:space="preserve">o MPE </w:t>
      </w:r>
      <w:r>
        <w:rPr>
          <w:spacing w:val="2"/>
        </w:rPr>
        <w:t xml:space="preserve">se </w:t>
      </w:r>
      <w:r>
        <w:rPr>
          <w:spacing w:val="5"/>
        </w:rPr>
        <w:t xml:space="preserve">propôs </w:t>
      </w:r>
      <w:r>
        <w:t xml:space="preserve">a </w:t>
      </w:r>
      <w:r>
        <w:rPr>
          <w:spacing w:val="5"/>
        </w:rPr>
        <w:t xml:space="preserve">garantir </w:t>
      </w:r>
      <w:r>
        <w:t xml:space="preserve">a </w:t>
      </w:r>
      <w:r>
        <w:rPr>
          <w:spacing w:val="5"/>
        </w:rPr>
        <w:t xml:space="preserve">cessação </w:t>
      </w:r>
      <w:r>
        <w:t xml:space="preserve">e </w:t>
      </w:r>
      <w:r>
        <w:rPr>
          <w:spacing w:val="5"/>
        </w:rPr>
        <w:t>recuper</w:t>
      </w:r>
      <w:r>
        <w:rPr>
          <w:spacing w:val="5"/>
        </w:rPr>
        <w:t xml:space="preserve">ação </w:t>
      </w:r>
      <w:r>
        <w:rPr>
          <w:spacing w:val="3"/>
        </w:rPr>
        <w:t xml:space="preserve">dos </w:t>
      </w:r>
      <w:r>
        <w:rPr>
          <w:spacing w:val="6"/>
        </w:rPr>
        <w:t xml:space="preserve">danos </w:t>
      </w:r>
      <w:r>
        <w:t>ambientais causados ao ecossistema que abriga os igarapés das áreas de influência das rodovias, caminhos de serviços, e ferrovia construídos pela empresa. O MPE solicitou ainda que fosse estabelecido um programa de monitoramento para os curs</w:t>
      </w:r>
      <w:r>
        <w:t xml:space="preserve">os d'água da região de planalto, e elaboração e execução de um plano de abastecimento de água para as pessoas que </w:t>
      </w:r>
      <w:r>
        <w:rPr>
          <w:spacing w:val="3"/>
        </w:rPr>
        <w:t xml:space="preserve">tiveram </w:t>
      </w:r>
      <w:r>
        <w:rPr>
          <w:spacing w:val="2"/>
        </w:rPr>
        <w:t xml:space="preserve">seus usos </w:t>
      </w:r>
      <w:r>
        <w:rPr>
          <w:spacing w:val="3"/>
        </w:rPr>
        <w:t xml:space="preserve">afetados. </w:t>
      </w:r>
      <w:r>
        <w:rPr>
          <w:spacing w:val="2"/>
        </w:rPr>
        <w:t xml:space="preserve">Além </w:t>
      </w:r>
      <w:r>
        <w:rPr>
          <w:spacing w:val="3"/>
        </w:rPr>
        <w:t xml:space="preserve">disso, requisitou </w:t>
      </w:r>
      <w:r>
        <w:rPr>
          <w:spacing w:val="2"/>
        </w:rPr>
        <w:t xml:space="preserve">que </w:t>
      </w:r>
      <w:r>
        <w:t xml:space="preserve">a </w:t>
      </w:r>
      <w:r>
        <w:rPr>
          <w:spacing w:val="12"/>
        </w:rPr>
        <w:t xml:space="preserve">mineradora elaborasse </w:t>
      </w:r>
      <w:r>
        <w:rPr>
          <w:spacing w:val="6"/>
        </w:rPr>
        <w:t xml:space="preserve">um </w:t>
      </w:r>
      <w:r>
        <w:rPr>
          <w:spacing w:val="11"/>
        </w:rPr>
        <w:t xml:space="preserve">plano </w:t>
      </w:r>
      <w:r>
        <w:rPr>
          <w:spacing w:val="12"/>
        </w:rPr>
        <w:t xml:space="preserve">específico </w:t>
      </w:r>
      <w:r>
        <w:rPr>
          <w:spacing w:val="10"/>
        </w:rPr>
        <w:t xml:space="preserve">para </w:t>
      </w:r>
      <w:r>
        <w:t xml:space="preserve">o </w:t>
      </w:r>
      <w:r>
        <w:rPr>
          <w:spacing w:val="1"/>
        </w:rPr>
        <w:t xml:space="preserve">monitoramento </w:t>
      </w:r>
      <w:r>
        <w:t xml:space="preserve">e </w:t>
      </w:r>
      <w:r>
        <w:rPr>
          <w:spacing w:val="1"/>
        </w:rPr>
        <w:t xml:space="preserve">identificação </w:t>
      </w:r>
      <w:r>
        <w:t xml:space="preserve">das </w:t>
      </w:r>
      <w:r>
        <w:rPr>
          <w:spacing w:val="1"/>
        </w:rPr>
        <w:t xml:space="preserve">fontes </w:t>
      </w:r>
      <w:r>
        <w:t xml:space="preserve">que </w:t>
      </w:r>
      <w:r>
        <w:rPr>
          <w:spacing w:val="1"/>
        </w:rPr>
        <w:t xml:space="preserve">degradam </w:t>
      </w:r>
      <w:r>
        <w:t xml:space="preserve">a </w:t>
      </w:r>
      <w:r>
        <w:rPr>
          <w:spacing w:val="1"/>
        </w:rPr>
        <w:t>qualidade dessas águas (MPE,</w:t>
      </w:r>
      <w:r>
        <w:t xml:space="preserve"> </w:t>
      </w:r>
      <w:r>
        <w:rPr>
          <w:spacing w:val="2"/>
        </w:rPr>
        <w:t>2009).</w:t>
      </w:r>
    </w:p>
    <w:p w:rsidR="00D81F69" w:rsidRDefault="00D81F69">
      <w:pPr>
        <w:pStyle w:val="Corpodetexto"/>
        <w:ind w:left="0"/>
        <w:jc w:val="left"/>
        <w:rPr>
          <w:sz w:val="22"/>
        </w:rPr>
      </w:pPr>
    </w:p>
    <w:p w:rsidR="00D81F69" w:rsidRDefault="00330118">
      <w:pPr>
        <w:pStyle w:val="Heading7"/>
        <w:spacing w:before="1"/>
      </w:pPr>
      <w:r>
        <w:t>LOCALIZAÇÃO GEOGRÁFICA</w:t>
      </w:r>
    </w:p>
    <w:p w:rsidR="00D81F69" w:rsidRDefault="00330118">
      <w:pPr>
        <w:pStyle w:val="Corpodetexto"/>
        <w:spacing w:before="178" w:line="312" w:lineRule="auto"/>
        <w:ind w:right="229"/>
      </w:pPr>
      <w:r>
        <w:t>O município de Juruti possui quatro minas de bauxita em três diferentes bacias: a mina Juruti Sul, na bacia do rio Amazonas próximo ao igarapé do Retiro, nas coordenadas 2°15</w:t>
      </w:r>
      <w:r>
        <w:t xml:space="preserve">’27”S e 55°52’17”W; a mina Juruti, na sub-bacia do rio Aripiuns que pertence a bacia do rio Tapajós, nas coordenadas 2°29’54”S  e </w:t>
      </w:r>
      <w:r>
        <w:rPr>
          <w:spacing w:val="3"/>
        </w:rPr>
        <w:t xml:space="preserve">56°2’22”W; </w:t>
      </w:r>
      <w:r>
        <w:rPr>
          <w:spacing w:val="1"/>
        </w:rPr>
        <w:t xml:space="preserve">e, as </w:t>
      </w:r>
      <w:r>
        <w:rPr>
          <w:spacing w:val="2"/>
        </w:rPr>
        <w:t xml:space="preserve">duas </w:t>
      </w:r>
      <w:r>
        <w:rPr>
          <w:spacing w:val="3"/>
        </w:rPr>
        <w:t xml:space="preserve">restantes, encontram-se </w:t>
      </w:r>
      <w:r>
        <w:rPr>
          <w:spacing w:val="1"/>
        </w:rPr>
        <w:t xml:space="preserve">na </w:t>
      </w:r>
      <w:r>
        <w:rPr>
          <w:spacing w:val="5"/>
        </w:rPr>
        <w:t xml:space="preserve">sub- </w:t>
      </w:r>
      <w:r>
        <w:t xml:space="preserve">bacia do rio Juruti pertencente à bacia do rio Amazonas, uma </w:t>
      </w:r>
      <w:r>
        <w:rPr>
          <w:spacing w:val="3"/>
        </w:rPr>
        <w:t xml:space="preserve">delas </w:t>
      </w:r>
      <w:r>
        <w:rPr>
          <w:spacing w:val="2"/>
        </w:rPr>
        <w:t xml:space="preserve">sem </w:t>
      </w:r>
      <w:r>
        <w:rPr>
          <w:spacing w:val="3"/>
        </w:rPr>
        <w:t>t</w:t>
      </w:r>
      <w:r>
        <w:rPr>
          <w:spacing w:val="3"/>
        </w:rPr>
        <w:t xml:space="preserve">oponímia </w:t>
      </w:r>
      <w:r>
        <w:t xml:space="preserve">e </w:t>
      </w:r>
      <w:r>
        <w:rPr>
          <w:spacing w:val="3"/>
        </w:rPr>
        <w:t xml:space="preserve">outra denominada Mauari. </w:t>
      </w:r>
      <w:r>
        <w:rPr>
          <w:spacing w:val="2"/>
        </w:rPr>
        <w:t xml:space="preserve">Elas </w:t>
      </w:r>
      <w:r>
        <w:rPr>
          <w:spacing w:val="5"/>
        </w:rPr>
        <w:t xml:space="preserve">se localizam </w:t>
      </w:r>
      <w:r>
        <w:rPr>
          <w:spacing w:val="3"/>
        </w:rPr>
        <w:t xml:space="preserve">nas </w:t>
      </w:r>
      <w:r>
        <w:rPr>
          <w:spacing w:val="5"/>
        </w:rPr>
        <w:t xml:space="preserve">seguintes coordenadas, </w:t>
      </w:r>
      <w:r>
        <w:rPr>
          <w:spacing w:val="6"/>
        </w:rPr>
        <w:t xml:space="preserve">respectivamente: </w:t>
      </w:r>
      <w:r>
        <w:rPr>
          <w:spacing w:val="5"/>
        </w:rPr>
        <w:t xml:space="preserve">2°32’37”S </w:t>
      </w:r>
      <w:r>
        <w:t xml:space="preserve">- </w:t>
      </w:r>
      <w:r>
        <w:rPr>
          <w:spacing w:val="5"/>
        </w:rPr>
        <w:t xml:space="preserve">56°10’50”W </w:t>
      </w:r>
      <w:r>
        <w:t xml:space="preserve">e </w:t>
      </w:r>
      <w:r>
        <w:rPr>
          <w:spacing w:val="5"/>
        </w:rPr>
        <w:t xml:space="preserve">2°22’34”S </w:t>
      </w:r>
      <w:r>
        <w:t>-</w:t>
      </w:r>
      <w:r>
        <w:rPr>
          <w:spacing w:val="31"/>
        </w:rPr>
        <w:t xml:space="preserve"> </w:t>
      </w:r>
      <w:r>
        <w:rPr>
          <w:spacing w:val="6"/>
        </w:rPr>
        <w:t>56°10’19”W.</w:t>
      </w:r>
    </w:p>
    <w:p w:rsidR="00D81F69" w:rsidRDefault="00D81F69">
      <w:pPr>
        <w:pStyle w:val="Corpodetexto"/>
        <w:spacing w:before="7"/>
        <w:ind w:left="0"/>
        <w:jc w:val="left"/>
        <w:rPr>
          <w:sz w:val="29"/>
        </w:rPr>
      </w:pPr>
    </w:p>
    <w:p w:rsidR="00D81F69" w:rsidRDefault="00330118">
      <w:pPr>
        <w:pStyle w:val="Heading7"/>
      </w:pPr>
      <w:r>
        <w:t>REDATORES</w:t>
      </w:r>
    </w:p>
    <w:p w:rsidR="00D81F69" w:rsidRDefault="00330118">
      <w:pPr>
        <w:pStyle w:val="Corpodetexto"/>
        <w:spacing w:before="179"/>
      </w:pPr>
      <w:r>
        <w:t>Jefferson Guedes</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ind w:left="100"/>
        <w:jc w:val="both"/>
        <w:rPr>
          <w:sz w:val="16"/>
        </w:rPr>
      </w:pPr>
      <w:r>
        <w:rPr>
          <w:sz w:val="16"/>
        </w:rPr>
        <w:t>ALCOA. Projeto Juriti. São Paulo, 2004. Disponível em</w:t>
      </w:r>
      <w:r>
        <w:rPr>
          <w:sz w:val="16"/>
        </w:rPr>
        <w:t xml:space="preserve">: </w:t>
      </w:r>
    </w:p>
    <w:p w:rsidR="00D81F69" w:rsidRDefault="00D81F69">
      <w:pPr>
        <w:spacing w:before="56" w:line="312" w:lineRule="auto"/>
        <w:ind w:left="100" w:right="256"/>
        <w:jc w:val="both"/>
        <w:rPr>
          <w:sz w:val="16"/>
        </w:rPr>
      </w:pPr>
      <w:hyperlink r:id="rId203">
        <w:r w:rsidR="00330118">
          <w:rPr>
            <w:sz w:val="16"/>
          </w:rPr>
          <w:t xml:space="preserve">&lt;http://www.alcoa.com/brazil/pt/environment/pdfs/folder.pdf&gt;. </w:t>
        </w:r>
      </w:hyperlink>
      <w:r w:rsidR="00330118">
        <w:rPr>
          <w:sz w:val="16"/>
        </w:rPr>
        <w:t>Acesso em: 13 jul. 2010.</w:t>
      </w:r>
    </w:p>
    <w:p w:rsidR="00D81F69" w:rsidRDefault="00330118">
      <w:pPr>
        <w:spacing w:before="2"/>
        <w:ind w:left="100"/>
        <w:jc w:val="both"/>
        <w:rPr>
          <w:sz w:val="16"/>
        </w:rPr>
      </w:pPr>
      <w:r>
        <w:rPr>
          <w:sz w:val="16"/>
        </w:rPr>
        <w:t>______. Energia. Hidrelétricas. São Paulo, 2009a. Disponível em:</w:t>
      </w:r>
    </w:p>
    <w:p w:rsidR="00D81F69" w:rsidRDefault="00D81F69">
      <w:pPr>
        <w:spacing w:before="56"/>
        <w:ind w:left="100"/>
        <w:jc w:val="both"/>
        <w:rPr>
          <w:sz w:val="16"/>
        </w:rPr>
      </w:pPr>
      <w:hyperlink r:id="rId204">
        <w:r w:rsidR="00330118">
          <w:rPr>
            <w:sz w:val="16"/>
          </w:rPr>
          <w:t>&lt;http://www.alcoa.com/brazil/pt/custom_page/environment_energia.as</w:t>
        </w:r>
      </w:hyperlink>
    </w:p>
    <w:p w:rsidR="00D81F69" w:rsidRDefault="00D81F69">
      <w:pPr>
        <w:jc w:val="both"/>
        <w:rPr>
          <w:sz w:val="16"/>
        </w:rPr>
        <w:sectPr w:rsidR="00D81F69">
          <w:pgSz w:w="11900" w:h="16840"/>
          <w:pgMar w:top="740" w:right="460" w:bottom="720" w:left="620" w:header="0" w:footer="402" w:gutter="0"/>
          <w:cols w:num="2" w:space="720" w:equalWidth="0">
            <w:col w:w="5215" w:space="255"/>
            <w:col w:w="5350"/>
          </w:cols>
        </w:sectPr>
      </w:pPr>
    </w:p>
    <w:p w:rsidR="00D81F69" w:rsidRDefault="00330118">
      <w:pPr>
        <w:spacing w:before="70"/>
        <w:ind w:left="100"/>
        <w:jc w:val="both"/>
        <w:rPr>
          <w:sz w:val="16"/>
        </w:rPr>
      </w:pPr>
      <w:r>
        <w:rPr>
          <w:sz w:val="16"/>
        </w:rPr>
        <w:lastRenderedPageBreak/>
        <w:t>p&gt;. Acesso em: 10 out. 2011.</w:t>
      </w:r>
    </w:p>
    <w:p w:rsidR="00D81F69" w:rsidRDefault="00330118">
      <w:pPr>
        <w:tabs>
          <w:tab w:val="left" w:pos="2559"/>
          <w:tab w:val="left" w:pos="5063"/>
        </w:tabs>
        <w:spacing w:before="56" w:line="312" w:lineRule="auto"/>
        <w:ind w:left="100" w:right="91"/>
        <w:jc w:val="both"/>
        <w:rPr>
          <w:sz w:val="16"/>
        </w:rPr>
      </w:pPr>
      <w:r>
        <w:rPr>
          <w:sz w:val="16"/>
        </w:rPr>
        <w:t>______. Mina de Juriti – Visão Geral. São Paulo, 2009b. Disponível    e</w:t>
      </w:r>
      <w:r>
        <w:rPr>
          <w:sz w:val="16"/>
        </w:rPr>
        <w:tab/>
        <w:t>m</w:t>
      </w:r>
      <w:r>
        <w:rPr>
          <w:sz w:val="16"/>
        </w:rPr>
        <w:tab/>
        <w:t>:</w:t>
      </w:r>
    </w:p>
    <w:p w:rsidR="00D81F69" w:rsidRDefault="00D81F69">
      <w:pPr>
        <w:spacing w:before="1"/>
        <w:ind w:left="100"/>
        <w:jc w:val="both"/>
        <w:rPr>
          <w:sz w:val="16"/>
        </w:rPr>
      </w:pPr>
      <w:hyperlink r:id="rId205">
        <w:r w:rsidR="00330118">
          <w:rPr>
            <w:sz w:val="16"/>
          </w:rPr>
          <w:t>&lt;http://www.alcoa.com/brazil/pt/custom_page/environment_juruti.asp&gt;</w:t>
        </w:r>
      </w:hyperlink>
    </w:p>
    <w:p w:rsidR="00D81F69" w:rsidRDefault="00330118">
      <w:pPr>
        <w:spacing w:before="56"/>
        <w:ind w:left="100"/>
        <w:jc w:val="both"/>
        <w:rPr>
          <w:sz w:val="16"/>
        </w:rPr>
      </w:pPr>
      <w:r>
        <w:rPr>
          <w:sz w:val="16"/>
        </w:rPr>
        <w:t>. Acesso em: 10 out. 2011.</w:t>
      </w:r>
    </w:p>
    <w:p w:rsidR="00D81F69" w:rsidRDefault="00330118">
      <w:pPr>
        <w:tabs>
          <w:tab w:val="left" w:pos="676"/>
        </w:tabs>
        <w:spacing w:before="56" w:line="312" w:lineRule="auto"/>
        <w:ind w:left="100" w:right="51"/>
        <w:jc w:val="both"/>
        <w:rPr>
          <w:sz w:val="16"/>
        </w:rPr>
      </w:pPr>
      <w:r>
        <w:rPr>
          <w:sz w:val="16"/>
          <w:u w:val="single"/>
        </w:rPr>
        <w:t xml:space="preserve"> </w:t>
      </w:r>
      <w:r>
        <w:rPr>
          <w:sz w:val="16"/>
          <w:u w:val="single"/>
        </w:rPr>
        <w:tab/>
      </w:r>
      <w:r>
        <w:rPr>
          <w:sz w:val="16"/>
        </w:rPr>
        <w:t xml:space="preserve">Presidente Luiz Inácio Lula da Silva inaugura em São Luis do Maranhão a expansão da refinaria de alumina do Consórcio Alumar. </w:t>
      </w:r>
      <w:r>
        <w:rPr>
          <w:spacing w:val="23"/>
          <w:sz w:val="16"/>
        </w:rPr>
        <w:t xml:space="preserve">São </w:t>
      </w:r>
      <w:r>
        <w:rPr>
          <w:spacing w:val="30"/>
          <w:sz w:val="16"/>
        </w:rPr>
        <w:t xml:space="preserve">Paulo, </w:t>
      </w:r>
      <w:r>
        <w:rPr>
          <w:spacing w:val="17"/>
          <w:sz w:val="16"/>
        </w:rPr>
        <w:t xml:space="preserve">14 </w:t>
      </w:r>
      <w:r>
        <w:rPr>
          <w:spacing w:val="26"/>
          <w:sz w:val="16"/>
        </w:rPr>
        <w:t xml:space="preserve">dez. </w:t>
      </w:r>
      <w:r>
        <w:rPr>
          <w:spacing w:val="30"/>
          <w:sz w:val="16"/>
        </w:rPr>
        <w:t xml:space="preserve">2009c. </w:t>
      </w:r>
      <w:r>
        <w:rPr>
          <w:spacing w:val="31"/>
          <w:sz w:val="16"/>
        </w:rPr>
        <w:t>Disponível</w:t>
      </w:r>
      <w:r>
        <w:rPr>
          <w:spacing w:val="70"/>
          <w:sz w:val="16"/>
        </w:rPr>
        <w:t xml:space="preserve"> </w:t>
      </w:r>
      <w:r>
        <w:rPr>
          <w:spacing w:val="23"/>
          <w:sz w:val="16"/>
        </w:rPr>
        <w:t>em:</w:t>
      </w:r>
      <w:r>
        <w:rPr>
          <w:spacing w:val="-7"/>
          <w:sz w:val="16"/>
        </w:rPr>
        <w:t xml:space="preserve"> </w:t>
      </w:r>
    </w:p>
    <w:p w:rsidR="00D81F69" w:rsidRDefault="00D81F69">
      <w:pPr>
        <w:spacing w:before="3" w:line="312" w:lineRule="auto"/>
        <w:ind w:left="100" w:right="107"/>
        <w:jc w:val="both"/>
        <w:rPr>
          <w:sz w:val="16"/>
        </w:rPr>
      </w:pPr>
      <w:hyperlink r:id="rId206">
        <w:r w:rsidR="00330118">
          <w:rPr>
            <w:sz w:val="16"/>
          </w:rPr>
          <w:t>&lt;http</w:t>
        </w:r>
        <w:r w:rsidR="00330118">
          <w:rPr>
            <w:sz w:val="16"/>
          </w:rPr>
          <w:t>://www.alcoa.com/brazil/pt/news/releases/2009_12_14.asp?initS</w:t>
        </w:r>
      </w:hyperlink>
      <w:r w:rsidR="00330118">
        <w:rPr>
          <w:sz w:val="16"/>
        </w:rPr>
        <w:t xml:space="preserve"> ection=1000&gt;. Acesso em: 25 jul. 2010.</w:t>
      </w:r>
    </w:p>
    <w:p w:rsidR="00D81F69" w:rsidRDefault="00330118">
      <w:pPr>
        <w:spacing w:before="1" w:line="312" w:lineRule="auto"/>
        <w:ind w:left="100" w:right="74"/>
        <w:jc w:val="both"/>
        <w:rPr>
          <w:sz w:val="16"/>
        </w:rPr>
      </w:pPr>
      <w:r>
        <w:rPr>
          <w:sz w:val="16"/>
        </w:rPr>
        <w:t xml:space="preserve">ARAÚJO, Marlon Aurélio Tapajós; BELO, Patrícia de Sales. Grandes </w:t>
      </w:r>
      <w:r>
        <w:rPr>
          <w:spacing w:val="5"/>
          <w:sz w:val="16"/>
        </w:rPr>
        <w:t xml:space="preserve">Projetos Minerários </w:t>
      </w:r>
      <w:r>
        <w:rPr>
          <w:sz w:val="16"/>
        </w:rPr>
        <w:t xml:space="preserve">e </w:t>
      </w:r>
      <w:r>
        <w:rPr>
          <w:spacing w:val="5"/>
          <w:sz w:val="16"/>
        </w:rPr>
        <w:t xml:space="preserve">Comunidades Tradicionais </w:t>
      </w:r>
      <w:r>
        <w:rPr>
          <w:spacing w:val="2"/>
          <w:sz w:val="16"/>
        </w:rPr>
        <w:t xml:space="preserve">na </w:t>
      </w:r>
      <w:r>
        <w:rPr>
          <w:spacing w:val="5"/>
          <w:sz w:val="16"/>
        </w:rPr>
        <w:t xml:space="preserve">Amazônia: </w:t>
      </w:r>
      <w:r>
        <w:rPr>
          <w:sz w:val="16"/>
        </w:rPr>
        <w:t>impactos e perspectivas. Revis</w:t>
      </w:r>
      <w:r>
        <w:rPr>
          <w:sz w:val="16"/>
        </w:rPr>
        <w:t xml:space="preserve">ta de Políticas Públicas São Luis, v. </w:t>
      </w:r>
      <w:r>
        <w:rPr>
          <w:spacing w:val="12"/>
          <w:sz w:val="16"/>
        </w:rPr>
        <w:t xml:space="preserve">13, </w:t>
      </w:r>
      <w:r>
        <w:rPr>
          <w:spacing w:val="10"/>
          <w:sz w:val="16"/>
        </w:rPr>
        <w:t xml:space="preserve">n. 2, p. </w:t>
      </w:r>
      <w:r>
        <w:rPr>
          <w:spacing w:val="16"/>
          <w:sz w:val="16"/>
        </w:rPr>
        <w:t xml:space="preserve">265-277 jul./dez. </w:t>
      </w:r>
      <w:r>
        <w:rPr>
          <w:spacing w:val="15"/>
          <w:sz w:val="16"/>
        </w:rPr>
        <w:t>2009.</w:t>
      </w:r>
      <w:r>
        <w:rPr>
          <w:spacing w:val="75"/>
          <w:sz w:val="16"/>
        </w:rPr>
        <w:t xml:space="preserve"> </w:t>
      </w:r>
      <w:r>
        <w:rPr>
          <w:spacing w:val="17"/>
          <w:sz w:val="16"/>
        </w:rPr>
        <w:t>Disponível</w:t>
      </w:r>
      <w:r>
        <w:rPr>
          <w:spacing w:val="15"/>
          <w:sz w:val="16"/>
        </w:rPr>
        <w:t xml:space="preserve"> </w:t>
      </w:r>
      <w:r>
        <w:rPr>
          <w:spacing w:val="12"/>
          <w:sz w:val="16"/>
        </w:rPr>
        <w:t>em:</w:t>
      </w:r>
      <w:r>
        <w:rPr>
          <w:spacing w:val="-24"/>
          <w:sz w:val="16"/>
        </w:rPr>
        <w:t xml:space="preserve"> </w:t>
      </w:r>
    </w:p>
    <w:p w:rsidR="00D81F69" w:rsidRDefault="00D81F69">
      <w:pPr>
        <w:spacing w:before="4" w:line="312" w:lineRule="auto"/>
        <w:ind w:left="100" w:right="107"/>
        <w:jc w:val="both"/>
        <w:rPr>
          <w:sz w:val="16"/>
        </w:rPr>
      </w:pPr>
      <w:hyperlink r:id="rId207">
        <w:r w:rsidR="00330118">
          <w:rPr>
            <w:sz w:val="16"/>
          </w:rPr>
          <w:t>&lt;http://www.periodicoseletronicos.ufma.br/index.php/rppublica/article/</w:t>
        </w:r>
      </w:hyperlink>
      <w:r w:rsidR="00330118">
        <w:rPr>
          <w:sz w:val="16"/>
        </w:rPr>
        <w:t xml:space="preserve"> view/20</w:t>
      </w:r>
      <w:r w:rsidR="00330118">
        <w:rPr>
          <w:sz w:val="16"/>
        </w:rPr>
        <w:t>/0&gt;. Acesso em: 09 jul. 2010.</w:t>
      </w:r>
    </w:p>
    <w:p w:rsidR="00D81F69" w:rsidRDefault="00330118">
      <w:pPr>
        <w:tabs>
          <w:tab w:val="left" w:pos="4331"/>
        </w:tabs>
        <w:spacing w:before="1" w:line="312" w:lineRule="auto"/>
        <w:ind w:left="100" w:right="81"/>
        <w:jc w:val="both"/>
        <w:rPr>
          <w:sz w:val="16"/>
        </w:rPr>
      </w:pPr>
      <w:r>
        <w:rPr>
          <w:spacing w:val="3"/>
          <w:sz w:val="16"/>
        </w:rPr>
        <w:t xml:space="preserve">FUNBIO, Fundo Brasileiro </w:t>
      </w:r>
      <w:r>
        <w:rPr>
          <w:spacing w:val="2"/>
          <w:sz w:val="16"/>
        </w:rPr>
        <w:t xml:space="preserve">para </w:t>
      </w:r>
      <w:r>
        <w:rPr>
          <w:sz w:val="16"/>
        </w:rPr>
        <w:t xml:space="preserve">a </w:t>
      </w:r>
      <w:r>
        <w:rPr>
          <w:spacing w:val="3"/>
          <w:sz w:val="16"/>
        </w:rPr>
        <w:t xml:space="preserve">Diversidade. </w:t>
      </w:r>
      <w:r>
        <w:rPr>
          <w:sz w:val="16"/>
        </w:rPr>
        <w:t xml:space="preserve">O </w:t>
      </w:r>
      <w:r>
        <w:rPr>
          <w:spacing w:val="3"/>
          <w:sz w:val="16"/>
        </w:rPr>
        <w:t xml:space="preserve">Projeto </w:t>
      </w:r>
      <w:r>
        <w:rPr>
          <w:spacing w:val="5"/>
          <w:sz w:val="16"/>
        </w:rPr>
        <w:t xml:space="preserve">Juruti </w:t>
      </w:r>
      <w:r>
        <w:rPr>
          <w:spacing w:val="6"/>
          <w:sz w:val="16"/>
        </w:rPr>
        <w:t xml:space="preserve">Sustentável. </w:t>
      </w:r>
      <w:r>
        <w:rPr>
          <w:spacing w:val="5"/>
          <w:sz w:val="16"/>
        </w:rPr>
        <w:t xml:space="preserve">In: </w:t>
      </w:r>
      <w:r>
        <w:rPr>
          <w:spacing w:val="6"/>
          <w:sz w:val="16"/>
        </w:rPr>
        <w:t xml:space="preserve">Funbio.org.br, </w:t>
      </w:r>
      <w:r>
        <w:rPr>
          <w:spacing w:val="5"/>
          <w:sz w:val="16"/>
        </w:rPr>
        <w:t xml:space="preserve">Rio  </w:t>
      </w:r>
      <w:r>
        <w:rPr>
          <w:spacing w:val="3"/>
          <w:sz w:val="16"/>
        </w:rPr>
        <w:t xml:space="preserve">de  </w:t>
      </w:r>
      <w:r>
        <w:rPr>
          <w:spacing w:val="6"/>
          <w:sz w:val="16"/>
        </w:rPr>
        <w:t xml:space="preserve">Janeiro, </w:t>
      </w:r>
      <w:r>
        <w:rPr>
          <w:spacing w:val="3"/>
          <w:sz w:val="16"/>
        </w:rPr>
        <w:t xml:space="preserve">24  </w:t>
      </w:r>
      <w:r>
        <w:rPr>
          <w:spacing w:val="5"/>
          <w:sz w:val="16"/>
        </w:rPr>
        <w:t xml:space="preserve">fev.  </w:t>
      </w:r>
      <w:r>
        <w:rPr>
          <w:spacing w:val="7"/>
          <w:sz w:val="16"/>
        </w:rPr>
        <w:t>2010.</w:t>
      </w:r>
      <w:r>
        <w:rPr>
          <w:spacing w:val="60"/>
          <w:sz w:val="16"/>
        </w:rPr>
        <w:t xml:space="preserve">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line="312" w:lineRule="auto"/>
        <w:ind w:left="100" w:right="107"/>
        <w:jc w:val="both"/>
        <w:rPr>
          <w:sz w:val="16"/>
        </w:rPr>
      </w:pPr>
      <w:hyperlink r:id="rId208">
        <w:r w:rsidR="00330118">
          <w:rPr>
            <w:sz w:val="16"/>
          </w:rPr>
          <w:t>&lt;http://www.site.funbio.org.br/teste/OqueFazemos/ApoioaProjetos/Fu</w:t>
        </w:r>
      </w:hyperlink>
      <w:r w:rsidR="00330118">
        <w:rPr>
          <w:sz w:val="16"/>
        </w:rPr>
        <w:t xml:space="preserve"> ndoPilotoJurutiSustent%C3%A1vel/Ainiciativa.aspx&gt;. Acesso em: 23 jul. 2010.</w:t>
      </w:r>
    </w:p>
    <w:p w:rsidR="00D81F69" w:rsidRDefault="00330118">
      <w:pPr>
        <w:spacing w:before="2" w:line="312" w:lineRule="auto"/>
        <w:ind w:left="100" w:right="38"/>
        <w:jc w:val="both"/>
        <w:rPr>
          <w:sz w:val="16"/>
        </w:rPr>
      </w:pPr>
      <w:r>
        <w:rPr>
          <w:sz w:val="16"/>
        </w:rPr>
        <w:t xml:space="preserve">IBGE, Instituto Brasileiro de Geografia e Estatística. Juriti (PA). </w:t>
      </w:r>
      <w:r>
        <w:rPr>
          <w:spacing w:val="1"/>
          <w:sz w:val="16"/>
        </w:rPr>
        <w:t xml:space="preserve">In:     </w:t>
      </w:r>
      <w:r>
        <w:rPr>
          <w:spacing w:val="47"/>
          <w:sz w:val="16"/>
        </w:rPr>
        <w:t xml:space="preserve"> </w:t>
      </w:r>
      <w:r>
        <w:rPr>
          <w:spacing w:val="10"/>
          <w:sz w:val="16"/>
        </w:rPr>
        <w:t xml:space="preserve">I B G </w:t>
      </w:r>
      <w:r>
        <w:rPr>
          <w:sz w:val="16"/>
        </w:rPr>
        <w:t xml:space="preserve">E </w:t>
      </w:r>
      <w:r>
        <w:rPr>
          <w:spacing w:val="10"/>
          <w:sz w:val="16"/>
        </w:rPr>
        <w:t xml:space="preserve">C i d a d e s </w:t>
      </w:r>
      <w:r>
        <w:rPr>
          <w:sz w:val="16"/>
        </w:rPr>
        <w:t xml:space="preserve">, </w:t>
      </w:r>
      <w:r>
        <w:rPr>
          <w:spacing w:val="10"/>
          <w:sz w:val="16"/>
        </w:rPr>
        <w:t xml:space="preserve">2 0 1 0 </w:t>
      </w:r>
      <w:r>
        <w:rPr>
          <w:sz w:val="16"/>
        </w:rPr>
        <w:t xml:space="preserve">. </w:t>
      </w:r>
      <w:r>
        <w:rPr>
          <w:spacing w:val="10"/>
          <w:sz w:val="16"/>
        </w:rPr>
        <w:t xml:space="preserve">D i s p o n í v e </w:t>
      </w:r>
      <w:r>
        <w:rPr>
          <w:sz w:val="16"/>
        </w:rPr>
        <w:t>l</w:t>
      </w:r>
      <w:r>
        <w:rPr>
          <w:spacing w:val="20"/>
          <w:sz w:val="16"/>
        </w:rPr>
        <w:t xml:space="preserve"> </w:t>
      </w:r>
      <w:r>
        <w:rPr>
          <w:spacing w:val="10"/>
          <w:sz w:val="16"/>
        </w:rPr>
        <w:t xml:space="preserve">e m </w:t>
      </w:r>
      <w:r>
        <w:rPr>
          <w:sz w:val="16"/>
        </w:rPr>
        <w:t>:</w:t>
      </w:r>
      <w:r>
        <w:rPr>
          <w:spacing w:val="10"/>
          <w:sz w:val="16"/>
        </w:rPr>
        <w:t xml:space="preserve"> </w:t>
      </w:r>
    </w:p>
    <w:p w:rsidR="00D81F69" w:rsidRDefault="00D81F69">
      <w:pPr>
        <w:spacing w:before="2"/>
        <w:ind w:left="100"/>
        <w:jc w:val="both"/>
        <w:rPr>
          <w:sz w:val="16"/>
        </w:rPr>
      </w:pPr>
      <w:hyperlink r:id="rId209">
        <w:r w:rsidR="00330118">
          <w:rPr>
            <w:sz w:val="16"/>
          </w:rPr>
          <w:t>&lt;http://www.ibge.gov.br/cidades</w:t>
        </w:r>
        <w:r w:rsidR="00330118">
          <w:rPr>
            <w:sz w:val="16"/>
          </w:rPr>
          <w:t>at/xtras/perfil.php?codmun=150390&amp;r</w:t>
        </w:r>
      </w:hyperlink>
    </w:p>
    <w:p w:rsidR="00D81F69" w:rsidRDefault="00330118">
      <w:pPr>
        <w:spacing w:before="56"/>
        <w:ind w:left="100"/>
        <w:jc w:val="both"/>
        <w:rPr>
          <w:sz w:val="16"/>
        </w:rPr>
      </w:pPr>
      <w:r>
        <w:rPr>
          <w:sz w:val="16"/>
        </w:rPr>
        <w:t>=2&gt;. Acesso em: 10 out. 2011.</w:t>
      </w:r>
    </w:p>
    <w:p w:rsidR="00D81F69" w:rsidRDefault="00330118">
      <w:pPr>
        <w:spacing w:before="56" w:line="312" w:lineRule="auto"/>
        <w:ind w:left="100" w:right="102"/>
        <w:jc w:val="both"/>
        <w:rPr>
          <w:sz w:val="16"/>
        </w:rPr>
      </w:pPr>
      <w:r>
        <w:rPr>
          <w:sz w:val="16"/>
        </w:rPr>
        <w:t>LIMEIRA, Amundsen. Minério de Juruti já abastece refinaria da Alumar. In: Brasil Mineral, n. 289, out. 2009.</w:t>
      </w:r>
    </w:p>
    <w:p w:rsidR="00D81F69" w:rsidRDefault="00330118">
      <w:pPr>
        <w:spacing w:before="2"/>
        <w:ind w:left="100"/>
        <w:jc w:val="both"/>
        <w:rPr>
          <w:sz w:val="16"/>
        </w:rPr>
      </w:pPr>
      <w:r>
        <w:rPr>
          <w:sz w:val="16"/>
        </w:rPr>
        <w:t>MAPA DA INJUSTIÇA AMBIENTAL E SAÚDE NO BRASIL. Conflitos</w:t>
      </w:r>
    </w:p>
    <w:p w:rsidR="00D81F69" w:rsidRDefault="00330118">
      <w:pPr>
        <w:spacing w:before="56" w:line="312" w:lineRule="auto"/>
        <w:ind w:left="100" w:right="74"/>
        <w:jc w:val="both"/>
        <w:rPr>
          <w:sz w:val="16"/>
        </w:rPr>
      </w:pPr>
      <w:r>
        <w:rPr>
          <w:sz w:val="16"/>
        </w:rPr>
        <w:t>entre a atividade minera</w:t>
      </w:r>
      <w:r>
        <w:rPr>
          <w:sz w:val="16"/>
        </w:rPr>
        <w:t xml:space="preserve">dora e comunidades tradicionais extrativistas no extremo oeste do Pará: deterioração de igarapés, lagos e corte de </w:t>
      </w:r>
      <w:r>
        <w:rPr>
          <w:spacing w:val="15"/>
          <w:sz w:val="16"/>
        </w:rPr>
        <w:t xml:space="preserve">matas  </w:t>
      </w:r>
      <w:r>
        <w:rPr>
          <w:sz w:val="16"/>
        </w:rPr>
        <w:t xml:space="preserve">e   </w:t>
      </w:r>
      <w:r>
        <w:rPr>
          <w:spacing w:val="17"/>
          <w:sz w:val="16"/>
        </w:rPr>
        <w:t xml:space="preserve">castanheiras,  </w:t>
      </w:r>
      <w:r>
        <w:rPr>
          <w:spacing w:val="10"/>
          <w:sz w:val="16"/>
        </w:rPr>
        <w:t xml:space="preserve">05   </w:t>
      </w:r>
      <w:r>
        <w:rPr>
          <w:spacing w:val="15"/>
          <w:sz w:val="16"/>
        </w:rPr>
        <w:t xml:space="preserve">out.   2009.  </w:t>
      </w:r>
      <w:r>
        <w:rPr>
          <w:spacing w:val="17"/>
          <w:sz w:val="16"/>
        </w:rPr>
        <w:t>Disponível</w:t>
      </w:r>
      <w:r>
        <w:rPr>
          <w:spacing w:val="75"/>
          <w:sz w:val="16"/>
        </w:rPr>
        <w:t xml:space="preserve"> </w:t>
      </w:r>
      <w:r>
        <w:rPr>
          <w:spacing w:val="12"/>
          <w:sz w:val="16"/>
        </w:rPr>
        <w:t>em:</w:t>
      </w:r>
      <w:r>
        <w:rPr>
          <w:spacing w:val="-25"/>
          <w:sz w:val="16"/>
        </w:rPr>
        <w:t xml:space="preserve"> </w:t>
      </w:r>
    </w:p>
    <w:p w:rsidR="00D81F69" w:rsidRDefault="00D81F69">
      <w:pPr>
        <w:spacing w:before="2" w:line="312" w:lineRule="auto"/>
        <w:ind w:left="100" w:right="107"/>
        <w:jc w:val="both"/>
        <w:rPr>
          <w:sz w:val="16"/>
        </w:rPr>
      </w:pPr>
      <w:hyperlink r:id="rId210">
        <w:r w:rsidR="00330118">
          <w:rPr>
            <w:sz w:val="16"/>
          </w:rPr>
          <w:t>&lt;http://www.conflitoambiental.icict.fiocruz.br/index.php?pag=ficha&amp;co</w:t>
        </w:r>
      </w:hyperlink>
      <w:r w:rsidR="00330118">
        <w:rPr>
          <w:sz w:val="16"/>
        </w:rPr>
        <w:t xml:space="preserve"> d=76&gt;. Acesso em: 11/10/2011.</w:t>
      </w:r>
    </w:p>
    <w:p w:rsidR="00D81F69" w:rsidRDefault="00330118">
      <w:pPr>
        <w:tabs>
          <w:tab w:val="left" w:pos="4331"/>
        </w:tabs>
        <w:spacing w:before="2" w:line="312" w:lineRule="auto"/>
        <w:ind w:left="100" w:right="88"/>
        <w:jc w:val="both"/>
        <w:rPr>
          <w:sz w:val="16"/>
        </w:rPr>
      </w:pPr>
      <w:r>
        <w:rPr>
          <w:spacing w:val="3"/>
          <w:sz w:val="16"/>
        </w:rPr>
        <w:t xml:space="preserve">MINÉRIOS </w:t>
      </w:r>
      <w:r>
        <w:rPr>
          <w:sz w:val="16"/>
        </w:rPr>
        <w:t xml:space="preserve">&amp; </w:t>
      </w:r>
      <w:r>
        <w:rPr>
          <w:spacing w:val="3"/>
          <w:sz w:val="16"/>
        </w:rPr>
        <w:t xml:space="preserve">MINERALES. Juruti </w:t>
      </w:r>
      <w:r>
        <w:rPr>
          <w:spacing w:val="1"/>
          <w:sz w:val="16"/>
        </w:rPr>
        <w:t xml:space="preserve">já </w:t>
      </w:r>
      <w:r>
        <w:rPr>
          <w:spacing w:val="3"/>
          <w:sz w:val="16"/>
        </w:rPr>
        <w:t xml:space="preserve">produz </w:t>
      </w:r>
      <w:r>
        <w:rPr>
          <w:sz w:val="16"/>
        </w:rPr>
        <w:t xml:space="preserve">o </w:t>
      </w:r>
      <w:r>
        <w:rPr>
          <w:spacing w:val="3"/>
          <w:sz w:val="16"/>
        </w:rPr>
        <w:t xml:space="preserve">suficiente </w:t>
      </w:r>
      <w:r>
        <w:rPr>
          <w:spacing w:val="2"/>
          <w:sz w:val="16"/>
        </w:rPr>
        <w:t xml:space="preserve">para </w:t>
      </w:r>
      <w:r>
        <w:rPr>
          <w:sz w:val="16"/>
        </w:rPr>
        <w:t xml:space="preserve">a expansão da Alumar. In: Minerios.com.br, edição 316, 20 jun. 2009.   D      i      s   </w:t>
      </w:r>
      <w:r>
        <w:rPr>
          <w:sz w:val="16"/>
        </w:rPr>
        <w:t xml:space="preserve">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108"/>
        <w:jc w:val="both"/>
        <w:rPr>
          <w:sz w:val="16"/>
        </w:rPr>
      </w:pPr>
      <w:hyperlink r:id="rId211">
        <w:r w:rsidR="00330118">
          <w:rPr>
            <w:sz w:val="16"/>
          </w:rPr>
          <w:t>&lt;http://http://www.minerios.com.br/index.php?page=materia.php&amp;id=2</w:t>
        </w:r>
      </w:hyperlink>
      <w:r w:rsidR="00330118">
        <w:rPr>
          <w:sz w:val="16"/>
        </w:rPr>
        <w:t xml:space="preserve"> 251&gt; Acesso em: 23 jul. 2010.</w:t>
      </w:r>
    </w:p>
    <w:p w:rsidR="00D81F69" w:rsidRDefault="00330118">
      <w:pPr>
        <w:spacing w:before="2" w:line="312" w:lineRule="auto"/>
        <w:ind w:left="100" w:right="86"/>
        <w:jc w:val="both"/>
        <w:rPr>
          <w:sz w:val="16"/>
        </w:rPr>
      </w:pPr>
      <w:r>
        <w:rPr>
          <w:sz w:val="16"/>
        </w:rPr>
        <w:t xml:space="preserve">MPE, Ministério Público do Estado do Pará. Juruti. MP ajuíza ação contra a Alcoa por poluição de igarapés. Belém do Pará, 16 dez. 2009. Disponível em: </w:t>
      </w:r>
      <w:hyperlink r:id="rId212">
        <w:r>
          <w:rPr>
            <w:sz w:val="16"/>
          </w:rPr>
          <w:t>&lt;http://www.mp.pa.gov.br/not091216_00.php&gt;.</w:t>
        </w:r>
      </w:hyperlink>
      <w:r>
        <w:rPr>
          <w:sz w:val="16"/>
        </w:rPr>
        <w:t xml:space="preserve"> Ace</w:t>
      </w:r>
      <w:r>
        <w:rPr>
          <w:sz w:val="16"/>
        </w:rPr>
        <w:t>sso em: 09 jul. 2010.</w:t>
      </w:r>
    </w:p>
    <w:p w:rsidR="00D81F69" w:rsidRDefault="00330118">
      <w:pPr>
        <w:spacing w:before="70" w:line="312" w:lineRule="auto"/>
        <w:ind w:left="100" w:right="216"/>
        <w:jc w:val="both"/>
        <w:rPr>
          <w:sz w:val="16"/>
        </w:rPr>
      </w:pPr>
      <w:r>
        <w:br w:type="column"/>
      </w:r>
      <w:r>
        <w:rPr>
          <w:spacing w:val="2"/>
          <w:sz w:val="16"/>
        </w:rPr>
        <w:lastRenderedPageBreak/>
        <w:t xml:space="preserve">MPF, </w:t>
      </w:r>
      <w:r>
        <w:rPr>
          <w:spacing w:val="3"/>
          <w:sz w:val="16"/>
        </w:rPr>
        <w:t xml:space="preserve">Ministério Público Federal. Comunidade bloqueia acesso </w:t>
      </w:r>
      <w:r>
        <w:rPr>
          <w:sz w:val="16"/>
        </w:rPr>
        <w:t xml:space="preserve">à </w:t>
      </w:r>
      <w:r>
        <w:rPr>
          <w:spacing w:val="3"/>
          <w:sz w:val="16"/>
        </w:rPr>
        <w:t xml:space="preserve">Alcoa </w:t>
      </w:r>
      <w:r>
        <w:rPr>
          <w:spacing w:val="1"/>
          <w:sz w:val="16"/>
        </w:rPr>
        <w:t xml:space="preserve">em </w:t>
      </w:r>
      <w:r>
        <w:rPr>
          <w:spacing w:val="3"/>
          <w:sz w:val="16"/>
        </w:rPr>
        <w:t xml:space="preserve">Juruti; </w:t>
      </w:r>
      <w:r>
        <w:rPr>
          <w:spacing w:val="2"/>
          <w:sz w:val="16"/>
        </w:rPr>
        <w:t xml:space="preserve">MPF pede </w:t>
      </w:r>
      <w:r>
        <w:rPr>
          <w:spacing w:val="3"/>
          <w:sz w:val="16"/>
        </w:rPr>
        <w:t xml:space="preserve">presença </w:t>
      </w:r>
      <w:r>
        <w:rPr>
          <w:spacing w:val="1"/>
          <w:sz w:val="16"/>
        </w:rPr>
        <w:t xml:space="preserve">do </w:t>
      </w:r>
      <w:r>
        <w:rPr>
          <w:spacing w:val="3"/>
          <w:sz w:val="16"/>
        </w:rPr>
        <w:t xml:space="preserve">Governo </w:t>
      </w:r>
      <w:r>
        <w:rPr>
          <w:spacing w:val="2"/>
          <w:sz w:val="16"/>
        </w:rPr>
        <w:t xml:space="preserve">para </w:t>
      </w:r>
      <w:r>
        <w:rPr>
          <w:spacing w:val="5"/>
          <w:sz w:val="16"/>
        </w:rPr>
        <w:t xml:space="preserve">discutir </w:t>
      </w:r>
      <w:r>
        <w:rPr>
          <w:spacing w:val="17"/>
          <w:sz w:val="16"/>
        </w:rPr>
        <w:t xml:space="preserve">reivindicações. </w:t>
      </w:r>
      <w:r>
        <w:rPr>
          <w:spacing w:val="15"/>
          <w:sz w:val="16"/>
        </w:rPr>
        <w:t xml:space="preserve">Belém, </w:t>
      </w:r>
      <w:r>
        <w:rPr>
          <w:spacing w:val="10"/>
          <w:sz w:val="16"/>
        </w:rPr>
        <w:t xml:space="preserve">02 </w:t>
      </w:r>
      <w:r>
        <w:rPr>
          <w:spacing w:val="15"/>
          <w:sz w:val="16"/>
        </w:rPr>
        <w:t xml:space="preserve">fev. 2009. </w:t>
      </w:r>
      <w:r>
        <w:rPr>
          <w:spacing w:val="17"/>
          <w:sz w:val="16"/>
        </w:rPr>
        <w:t>Disponível</w:t>
      </w:r>
      <w:r>
        <w:rPr>
          <w:spacing w:val="78"/>
          <w:sz w:val="16"/>
        </w:rPr>
        <w:t xml:space="preserve"> </w:t>
      </w:r>
      <w:r>
        <w:rPr>
          <w:spacing w:val="12"/>
          <w:sz w:val="16"/>
        </w:rPr>
        <w:t>em:</w:t>
      </w:r>
      <w:r>
        <w:rPr>
          <w:spacing w:val="-24"/>
          <w:sz w:val="16"/>
        </w:rPr>
        <w:t xml:space="preserve"> </w:t>
      </w:r>
    </w:p>
    <w:p w:rsidR="00D81F69" w:rsidRDefault="00D81F69">
      <w:pPr>
        <w:spacing w:before="2" w:line="312" w:lineRule="auto"/>
        <w:ind w:left="100" w:right="249"/>
        <w:jc w:val="both"/>
        <w:rPr>
          <w:sz w:val="16"/>
        </w:rPr>
      </w:pPr>
      <w:hyperlink r:id="rId213">
        <w:r w:rsidR="00330118">
          <w:rPr>
            <w:sz w:val="16"/>
          </w:rPr>
          <w:t>&lt;http://www.prpa.mpf.gov.br/noticias/comunidade-fecha-acesso-a-</w:t>
        </w:r>
      </w:hyperlink>
      <w:r w:rsidR="00330118">
        <w:rPr>
          <w:sz w:val="16"/>
        </w:rPr>
        <w:t xml:space="preserve"> alcoa-em-juruti-mpf-pede-presenca-do-governo-do-estado-para- discutir-reivindicacoes/&gt;. Acesso em: 13 jul. 2010.</w:t>
      </w:r>
    </w:p>
    <w:p w:rsidR="00D81F69" w:rsidRDefault="00330118">
      <w:pPr>
        <w:spacing w:before="3" w:line="312" w:lineRule="auto"/>
        <w:ind w:left="100" w:right="235"/>
        <w:jc w:val="both"/>
        <w:rPr>
          <w:sz w:val="16"/>
        </w:rPr>
      </w:pPr>
      <w:r>
        <w:rPr>
          <w:sz w:val="16"/>
        </w:rPr>
        <w:t>O</w:t>
      </w:r>
      <w:r>
        <w:rPr>
          <w:sz w:val="16"/>
        </w:rPr>
        <w:t xml:space="preserve"> ESTADO DE S. PAULO. Licença ambiental é questionada pelo MPE. In: Estadão.com.br, São Paulo, 11 jul. 2009. Disponível em:</w:t>
      </w:r>
    </w:p>
    <w:p w:rsidR="00D81F69" w:rsidRDefault="00D81F69">
      <w:pPr>
        <w:spacing w:before="1"/>
        <w:ind w:left="100"/>
        <w:jc w:val="both"/>
        <w:rPr>
          <w:sz w:val="16"/>
        </w:rPr>
      </w:pPr>
      <w:hyperlink r:id="rId214">
        <w:r w:rsidR="00330118">
          <w:rPr>
            <w:sz w:val="16"/>
          </w:rPr>
          <w:t>&lt;http://www.estadao.com.br/estadaodehoje/20090712/not</w:t>
        </w:r>
        <w:r w:rsidR="00330118">
          <w:rPr>
            <w:sz w:val="16"/>
          </w:rPr>
          <w:t>_imp401392</w:t>
        </w:r>
      </w:hyperlink>
    </w:p>
    <w:p w:rsidR="00D81F69" w:rsidRDefault="00330118">
      <w:pPr>
        <w:spacing w:before="56"/>
        <w:ind w:left="100"/>
        <w:jc w:val="both"/>
        <w:rPr>
          <w:sz w:val="16"/>
        </w:rPr>
      </w:pPr>
      <w:r>
        <w:rPr>
          <w:sz w:val="16"/>
        </w:rPr>
        <w:t>,0.php&gt;. Acesso em: 09 jul. 2010.</w:t>
      </w:r>
    </w:p>
    <w:p w:rsidR="00D81F69" w:rsidRDefault="00330118">
      <w:pPr>
        <w:spacing w:before="56" w:line="312" w:lineRule="auto"/>
        <w:ind w:left="100" w:right="226"/>
        <w:jc w:val="both"/>
        <w:rPr>
          <w:sz w:val="16"/>
        </w:rPr>
      </w:pPr>
      <w:r>
        <w:rPr>
          <w:sz w:val="16"/>
        </w:rPr>
        <w:t xml:space="preserve">PEREIRA, Renée. Alcoa investe US$ 1,5 bilhão no meio da </w:t>
      </w:r>
      <w:r>
        <w:rPr>
          <w:spacing w:val="1"/>
          <w:sz w:val="16"/>
        </w:rPr>
        <w:t xml:space="preserve">selva. </w:t>
      </w:r>
      <w:r>
        <w:rPr>
          <w:spacing w:val="10"/>
          <w:sz w:val="16"/>
        </w:rPr>
        <w:t xml:space="preserve">Estadão.com.br,  </w:t>
      </w:r>
      <w:r>
        <w:rPr>
          <w:spacing w:val="7"/>
          <w:sz w:val="16"/>
        </w:rPr>
        <w:t xml:space="preserve">São  </w:t>
      </w:r>
      <w:r>
        <w:rPr>
          <w:spacing w:val="10"/>
          <w:sz w:val="16"/>
        </w:rPr>
        <w:t xml:space="preserve">Paulo,  </w:t>
      </w:r>
      <w:r>
        <w:rPr>
          <w:spacing w:val="5"/>
          <w:sz w:val="16"/>
        </w:rPr>
        <w:t xml:space="preserve">11  </w:t>
      </w:r>
      <w:r>
        <w:rPr>
          <w:spacing w:val="8"/>
          <w:sz w:val="16"/>
        </w:rPr>
        <w:t xml:space="preserve">jul.  2009.  </w:t>
      </w:r>
      <w:r>
        <w:rPr>
          <w:spacing w:val="10"/>
          <w:sz w:val="16"/>
        </w:rPr>
        <w:t xml:space="preserve">Disponível </w:t>
      </w:r>
      <w:r>
        <w:rPr>
          <w:spacing w:val="63"/>
          <w:sz w:val="16"/>
        </w:rPr>
        <w:t xml:space="preserve"> </w:t>
      </w:r>
      <w:r>
        <w:rPr>
          <w:spacing w:val="11"/>
          <w:sz w:val="16"/>
        </w:rPr>
        <w:t>em:</w:t>
      </w:r>
    </w:p>
    <w:p w:rsidR="00D81F69" w:rsidRDefault="00D81F69">
      <w:pPr>
        <w:spacing w:before="2"/>
        <w:ind w:left="100"/>
        <w:jc w:val="both"/>
        <w:rPr>
          <w:sz w:val="16"/>
        </w:rPr>
      </w:pPr>
      <w:hyperlink r:id="rId215">
        <w:r w:rsidR="00330118">
          <w:rPr>
            <w:sz w:val="16"/>
          </w:rPr>
          <w:t>&lt;</w:t>
        </w:r>
        <w:r w:rsidR="00330118">
          <w:rPr>
            <w:sz w:val="16"/>
          </w:rPr>
          <w:t>http://www.estadao.com.br/estadaodehoje/20090712/not_imp401391</w:t>
        </w:r>
      </w:hyperlink>
    </w:p>
    <w:p w:rsidR="00D81F69" w:rsidRDefault="00330118">
      <w:pPr>
        <w:spacing w:before="56"/>
        <w:ind w:left="100"/>
        <w:jc w:val="both"/>
        <w:rPr>
          <w:sz w:val="16"/>
        </w:rPr>
      </w:pPr>
      <w:r>
        <w:rPr>
          <w:sz w:val="16"/>
        </w:rPr>
        <w:t>,0.php&gt;. Acesso em: 12 jul. 2010.</w:t>
      </w:r>
    </w:p>
    <w:p w:rsidR="00D81F69" w:rsidRDefault="00330118">
      <w:pPr>
        <w:tabs>
          <w:tab w:val="left" w:pos="4331"/>
        </w:tabs>
        <w:spacing w:before="56" w:line="312" w:lineRule="auto"/>
        <w:ind w:left="100" w:right="230"/>
        <w:jc w:val="both"/>
        <w:rPr>
          <w:sz w:val="16"/>
        </w:rPr>
      </w:pPr>
      <w:r>
        <w:rPr>
          <w:spacing w:val="1"/>
          <w:sz w:val="16"/>
        </w:rPr>
        <w:t xml:space="preserve">PLATAFORMA BNDES. Brasil </w:t>
      </w:r>
      <w:r>
        <w:rPr>
          <w:sz w:val="16"/>
        </w:rPr>
        <w:t xml:space="preserve">- </w:t>
      </w:r>
      <w:r>
        <w:rPr>
          <w:spacing w:val="1"/>
          <w:sz w:val="16"/>
        </w:rPr>
        <w:t xml:space="preserve">Mineração </w:t>
      </w:r>
      <w:r>
        <w:rPr>
          <w:sz w:val="16"/>
        </w:rPr>
        <w:t xml:space="preserve">em </w:t>
      </w:r>
      <w:r>
        <w:rPr>
          <w:spacing w:val="1"/>
          <w:sz w:val="16"/>
        </w:rPr>
        <w:t xml:space="preserve">Juruti: pressão </w:t>
      </w:r>
      <w:r>
        <w:rPr>
          <w:spacing w:val="2"/>
          <w:sz w:val="16"/>
        </w:rPr>
        <w:t xml:space="preserve">de </w:t>
      </w:r>
      <w:r>
        <w:rPr>
          <w:spacing w:val="6"/>
          <w:sz w:val="16"/>
        </w:rPr>
        <w:t xml:space="preserve">camponeses </w:t>
      </w:r>
      <w:r>
        <w:rPr>
          <w:spacing w:val="5"/>
          <w:sz w:val="16"/>
        </w:rPr>
        <w:t xml:space="preserve">força </w:t>
      </w:r>
      <w:r>
        <w:rPr>
          <w:spacing w:val="6"/>
          <w:sz w:val="16"/>
        </w:rPr>
        <w:t xml:space="preserve">negociação. </w:t>
      </w:r>
      <w:r>
        <w:rPr>
          <w:spacing w:val="5"/>
          <w:sz w:val="16"/>
        </w:rPr>
        <w:t xml:space="preserve">Rio </w:t>
      </w:r>
      <w:r>
        <w:rPr>
          <w:spacing w:val="3"/>
          <w:sz w:val="16"/>
        </w:rPr>
        <w:t xml:space="preserve">de  </w:t>
      </w:r>
      <w:r>
        <w:rPr>
          <w:spacing w:val="6"/>
          <w:sz w:val="16"/>
        </w:rPr>
        <w:t xml:space="preserve">Janeiro, </w:t>
      </w:r>
      <w:r>
        <w:rPr>
          <w:spacing w:val="3"/>
          <w:sz w:val="16"/>
        </w:rPr>
        <w:t xml:space="preserve">11  </w:t>
      </w:r>
      <w:r>
        <w:rPr>
          <w:spacing w:val="5"/>
          <w:sz w:val="16"/>
        </w:rPr>
        <w:t xml:space="preserve">fev.  </w:t>
      </w:r>
      <w:r>
        <w:rPr>
          <w:spacing w:val="7"/>
          <w:sz w:val="16"/>
        </w:rPr>
        <w:t xml:space="preserve">2009.  </w:t>
      </w:r>
      <w:r>
        <w:rPr>
          <w:sz w:val="16"/>
        </w:rPr>
        <w:t xml:space="preserve">D      i      s      p      o      n </w:t>
      </w:r>
      <w:r>
        <w:rPr>
          <w:sz w:val="16"/>
        </w:rPr>
        <w:t xml:space="preserve">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246"/>
        <w:jc w:val="both"/>
        <w:rPr>
          <w:sz w:val="16"/>
        </w:rPr>
      </w:pPr>
      <w:hyperlink r:id="rId216">
        <w:r w:rsidR="00330118">
          <w:rPr>
            <w:sz w:val="16"/>
          </w:rPr>
          <w:t>&lt;http://www.plataformabndes.org.br/index.php/en/noticias/38-</w:t>
        </w:r>
      </w:hyperlink>
      <w:r w:rsidR="00330118">
        <w:rPr>
          <w:sz w:val="16"/>
        </w:rPr>
        <w:t xml:space="preserve"> materias/146-brasil-mineracao-em-juruti-pressao-de-camponeses- forca-negociacao-&gt;. Acess</w:t>
      </w:r>
      <w:r w:rsidR="00330118">
        <w:rPr>
          <w:sz w:val="16"/>
        </w:rPr>
        <w:t>o em: 12 jul. 2010.</w:t>
      </w:r>
    </w:p>
    <w:p w:rsidR="00D81F69" w:rsidRDefault="00330118">
      <w:pPr>
        <w:spacing w:before="3" w:line="312" w:lineRule="auto"/>
        <w:ind w:left="100" w:right="234"/>
        <w:jc w:val="both"/>
        <w:rPr>
          <w:sz w:val="16"/>
        </w:rPr>
      </w:pPr>
      <w:r>
        <w:rPr>
          <w:sz w:val="16"/>
        </w:rPr>
        <w:t>PREFEITURA DE JURUTI. Henrique Costa acompanha visita da governadora à Juruti Velho. Juruti, 02 mar. 2010. Disponível em:</w:t>
      </w:r>
    </w:p>
    <w:p w:rsidR="00D81F69" w:rsidRDefault="00D81F69">
      <w:pPr>
        <w:spacing w:before="1" w:line="312" w:lineRule="auto"/>
        <w:ind w:left="100" w:right="235"/>
        <w:jc w:val="both"/>
        <w:rPr>
          <w:sz w:val="16"/>
        </w:rPr>
      </w:pPr>
      <w:hyperlink r:id="rId217">
        <w:r w:rsidR="00330118">
          <w:rPr>
            <w:sz w:val="16"/>
          </w:rPr>
          <w:t>&lt;</w:t>
        </w:r>
        <w:r w:rsidR="00330118">
          <w:rPr>
            <w:sz w:val="16"/>
          </w:rPr>
          <w:t>http://www.juruti.pa.gov.br/conteudo/?item=297&amp;fa=1&amp;cd=2735&gt;.</w:t>
        </w:r>
      </w:hyperlink>
      <w:r w:rsidR="00330118">
        <w:rPr>
          <w:sz w:val="16"/>
        </w:rPr>
        <w:t xml:space="preserve"> Acesso em: 14 jul. 2010.</w:t>
      </w:r>
    </w:p>
    <w:p w:rsidR="00D81F69" w:rsidRDefault="00330118">
      <w:pPr>
        <w:spacing w:before="2"/>
        <w:ind w:left="100"/>
        <w:jc w:val="both"/>
        <w:rPr>
          <w:sz w:val="16"/>
        </w:rPr>
      </w:pPr>
      <w:r>
        <w:rPr>
          <w:sz w:val="16"/>
        </w:rPr>
        <w:t>RÁDIO RURAL DE SANTARÉM. Nota Pública. Santarém, 31 jan.</w:t>
      </w:r>
    </w:p>
    <w:p w:rsidR="00D81F69" w:rsidRDefault="00330118">
      <w:pPr>
        <w:tabs>
          <w:tab w:val="left" w:pos="1785"/>
          <w:tab w:val="left" w:pos="4548"/>
        </w:tabs>
        <w:spacing w:before="56"/>
        <w:ind w:left="100"/>
        <w:jc w:val="both"/>
        <w:rPr>
          <w:sz w:val="16"/>
        </w:rPr>
      </w:pPr>
      <w:r>
        <w:rPr>
          <w:sz w:val="16"/>
        </w:rPr>
        <w:t xml:space="preserve">2   0   0  </w:t>
      </w:r>
      <w:r>
        <w:rPr>
          <w:spacing w:val="35"/>
          <w:sz w:val="16"/>
        </w:rPr>
        <w:t xml:space="preserve"> </w:t>
      </w:r>
      <w:r>
        <w:rPr>
          <w:sz w:val="16"/>
        </w:rPr>
        <w:t xml:space="preserve">9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56"/>
        <w:jc w:val="both"/>
        <w:rPr>
          <w:sz w:val="16"/>
        </w:rPr>
      </w:pPr>
      <w:hyperlink r:id="rId218">
        <w:r w:rsidR="00330118">
          <w:rPr>
            <w:sz w:val="16"/>
          </w:rPr>
          <w:t>&lt;http://www.radioruraldesantarem.com.br/?exibe=detalha_publicacoe</w:t>
        </w:r>
      </w:hyperlink>
      <w:r w:rsidR="00330118">
        <w:rPr>
          <w:sz w:val="16"/>
        </w:rPr>
        <w:t xml:space="preserve"> s&amp;cod=33&gt;. Acesso em: 14 jul. 2010.</w:t>
      </w:r>
    </w:p>
    <w:p w:rsidR="00D81F69" w:rsidRDefault="00330118">
      <w:pPr>
        <w:tabs>
          <w:tab w:val="left" w:pos="1164"/>
          <w:tab w:val="left" w:pos="2473"/>
          <w:tab w:val="left" w:pos="4636"/>
        </w:tabs>
        <w:spacing w:before="2" w:line="312" w:lineRule="auto"/>
        <w:ind w:left="100" w:right="241"/>
        <w:jc w:val="both"/>
        <w:rPr>
          <w:sz w:val="16"/>
        </w:rPr>
      </w:pPr>
      <w:r>
        <w:rPr>
          <w:sz w:val="16"/>
        </w:rPr>
        <w:t>SUZUKI, Natália. Pará só dará licença à Alcoa após investigação de denúnci</w:t>
      </w:r>
      <w:r>
        <w:rPr>
          <w:sz w:val="16"/>
        </w:rPr>
        <w:t xml:space="preserve">as. Agência Carta Maior. In: Repórter Brasil, São Paulo, 16      j  u </w:t>
      </w:r>
      <w:r>
        <w:rPr>
          <w:spacing w:val="22"/>
          <w:sz w:val="16"/>
        </w:rPr>
        <w:t xml:space="preserve"> </w:t>
      </w:r>
      <w:r>
        <w:rPr>
          <w:sz w:val="16"/>
        </w:rPr>
        <w:t xml:space="preserve">n </w:t>
      </w:r>
      <w:r>
        <w:rPr>
          <w:spacing w:val="10"/>
          <w:sz w:val="16"/>
        </w:rPr>
        <w:t xml:space="preserve"> </w:t>
      </w:r>
      <w:r>
        <w:rPr>
          <w:sz w:val="16"/>
        </w:rPr>
        <w:t>.</w:t>
      </w:r>
      <w:r>
        <w:rPr>
          <w:sz w:val="16"/>
        </w:rPr>
        <w:tab/>
        <w:t xml:space="preserve">2  0  0 </w:t>
      </w:r>
      <w:r>
        <w:rPr>
          <w:spacing w:val="35"/>
          <w:sz w:val="16"/>
        </w:rPr>
        <w:t xml:space="preserve"> </w:t>
      </w:r>
      <w:r>
        <w:rPr>
          <w:sz w:val="16"/>
        </w:rPr>
        <w:t xml:space="preserve">7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2"/>
          <w:sz w:val="16"/>
        </w:rPr>
        <w:t xml:space="preserve"> </w:t>
      </w:r>
      <w:r>
        <w:rPr>
          <w:sz w:val="16"/>
        </w:rPr>
        <w:t>:</w:t>
      </w:r>
    </w:p>
    <w:p w:rsidR="00D81F69" w:rsidRDefault="00D81F69">
      <w:pPr>
        <w:spacing w:before="2" w:line="312" w:lineRule="auto"/>
        <w:ind w:left="100" w:right="236"/>
        <w:jc w:val="both"/>
        <w:rPr>
          <w:sz w:val="16"/>
        </w:rPr>
      </w:pPr>
      <w:hyperlink r:id="rId219">
        <w:r w:rsidR="00330118">
          <w:rPr>
            <w:sz w:val="16"/>
          </w:rPr>
          <w:t xml:space="preserve">&lt;http://www.reporterbrasil.com.br/exibe.php?id=1078&gt;. </w:t>
        </w:r>
      </w:hyperlink>
      <w:r w:rsidR="00330118">
        <w:rPr>
          <w:sz w:val="16"/>
        </w:rPr>
        <w:t xml:space="preserve">Acesso  </w:t>
      </w:r>
      <w:r w:rsidR="00330118">
        <w:rPr>
          <w:spacing w:val="1"/>
          <w:sz w:val="16"/>
        </w:rPr>
        <w:t>e</w:t>
      </w:r>
      <w:r w:rsidR="00330118">
        <w:rPr>
          <w:spacing w:val="1"/>
          <w:sz w:val="16"/>
        </w:rPr>
        <w:t xml:space="preserve">m: </w:t>
      </w:r>
      <w:r w:rsidR="00330118">
        <w:rPr>
          <w:sz w:val="16"/>
        </w:rPr>
        <w:t>13 jul.</w:t>
      </w:r>
      <w:r w:rsidR="00330118">
        <w:rPr>
          <w:spacing w:val="-14"/>
          <w:sz w:val="16"/>
        </w:rPr>
        <w:t xml:space="preserve"> </w:t>
      </w:r>
      <w:r w:rsidR="00330118">
        <w:rPr>
          <w:sz w:val="16"/>
        </w:rPr>
        <w:t>2010.</w:t>
      </w:r>
    </w:p>
    <w:p w:rsidR="00D81F69" w:rsidRDefault="00330118">
      <w:pPr>
        <w:spacing w:before="2" w:line="312" w:lineRule="auto"/>
        <w:ind w:left="100" w:right="254"/>
        <w:jc w:val="both"/>
        <w:rPr>
          <w:sz w:val="16"/>
        </w:rPr>
      </w:pPr>
      <w:r>
        <w:rPr>
          <w:sz w:val="16"/>
        </w:rPr>
        <w:t>WANDERLEY, Luiz Jardim de Moraes. Deslocamento compulsório e estratégias empresariais em áreas de mineração: um olhar sobre a exploração de bauxita na Amazônia. Revista IDeAS- Interfaces em Desenvolvimento, Agricultura e Sociedade, v. 3, n</w:t>
      </w:r>
      <w:r>
        <w:rPr>
          <w:sz w:val="16"/>
        </w:rPr>
        <w:t>. especial, p. 475-</w:t>
      </w:r>
    </w:p>
    <w:p w:rsidR="00D81F69" w:rsidRDefault="00330118">
      <w:pPr>
        <w:tabs>
          <w:tab w:val="left" w:pos="1205"/>
          <w:tab w:val="left" w:pos="2500"/>
          <w:tab w:val="left" w:pos="4642"/>
        </w:tabs>
        <w:spacing w:before="3"/>
        <w:ind w:left="100"/>
        <w:jc w:val="both"/>
        <w:rPr>
          <w:sz w:val="16"/>
        </w:rPr>
      </w:pPr>
      <w:r>
        <w:rPr>
          <w:sz w:val="16"/>
        </w:rPr>
        <w:t xml:space="preserve">5  0 </w:t>
      </w:r>
      <w:r>
        <w:rPr>
          <w:spacing w:val="20"/>
          <w:sz w:val="16"/>
        </w:rPr>
        <w:t xml:space="preserve"> </w:t>
      </w:r>
      <w:r>
        <w:rPr>
          <w:sz w:val="16"/>
        </w:rPr>
        <w:t xml:space="preserve">9 </w:t>
      </w:r>
      <w:r>
        <w:rPr>
          <w:spacing w:val="10"/>
          <w:sz w:val="16"/>
        </w:rPr>
        <w:t xml:space="preserve"> </w:t>
      </w:r>
      <w:r>
        <w:rPr>
          <w:sz w:val="16"/>
        </w:rPr>
        <w:t>,</w:t>
      </w:r>
      <w:r>
        <w:rPr>
          <w:sz w:val="16"/>
        </w:rPr>
        <w:tab/>
        <w:t xml:space="preserve">2  0  0 </w:t>
      </w:r>
      <w:r>
        <w:rPr>
          <w:spacing w:val="31"/>
          <w:sz w:val="16"/>
        </w:rPr>
        <w:t xml:space="preserve"> </w:t>
      </w:r>
      <w:r>
        <w:rPr>
          <w:sz w:val="16"/>
        </w:rPr>
        <w:t xml:space="preserve">9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0"/>
          <w:sz w:val="16"/>
        </w:rPr>
        <w:t xml:space="preserve"> </w:t>
      </w:r>
      <w:r>
        <w:rPr>
          <w:sz w:val="16"/>
        </w:rPr>
        <w:t>:</w:t>
      </w:r>
    </w:p>
    <w:p w:rsidR="00D81F69" w:rsidRDefault="00D81F69">
      <w:pPr>
        <w:spacing w:before="56" w:line="312" w:lineRule="auto"/>
        <w:ind w:left="100" w:right="251"/>
        <w:jc w:val="both"/>
        <w:rPr>
          <w:sz w:val="16"/>
        </w:rPr>
      </w:pPr>
      <w:hyperlink r:id="rId220">
        <w:r w:rsidR="00330118">
          <w:rPr>
            <w:sz w:val="16"/>
          </w:rPr>
          <w:t>&lt;http://www.ufrrj.br/cpda/ideas/revistas/v03/n03/IDeAS-v03_n03-</w:t>
        </w:r>
      </w:hyperlink>
      <w:r w:rsidR="00330118">
        <w:rPr>
          <w:sz w:val="16"/>
        </w:rPr>
        <w:t xml:space="preserve"> Artigo_LUIZ_WANDERLEY.pdf&gt;</w:t>
      </w:r>
      <w:r w:rsidR="00330118">
        <w:rPr>
          <w:sz w:val="16"/>
        </w:rPr>
        <w:t>. Acesso em: 09 jul. 2010.</w:t>
      </w:r>
    </w:p>
    <w:p w:rsidR="00D81F69" w:rsidRDefault="00D81F69">
      <w:pPr>
        <w:spacing w:line="312" w:lineRule="auto"/>
        <w:jc w:val="both"/>
        <w:rPr>
          <w:sz w:val="16"/>
        </w:rPr>
        <w:sectPr w:rsidR="00D81F69">
          <w:pgSz w:w="11900" w:h="16840"/>
          <w:pgMar w:top="740" w:right="460" w:bottom="720" w:left="620" w:header="0" w:footer="402" w:gutter="0"/>
          <w:cols w:num="2" w:space="720" w:equalWidth="0">
            <w:col w:w="5202" w:space="268"/>
            <w:col w:w="5350"/>
          </w:cols>
        </w:sectPr>
      </w:pPr>
    </w:p>
    <w:p w:rsidR="00D81F69" w:rsidRDefault="00330118">
      <w:pPr>
        <w:pStyle w:val="Heading1"/>
        <w:tabs>
          <w:tab w:val="left" w:pos="1235"/>
          <w:tab w:val="left" w:pos="2430"/>
          <w:tab w:val="left" w:pos="3430"/>
          <w:tab w:val="left" w:pos="4854"/>
          <w:tab w:val="left" w:pos="6322"/>
          <w:tab w:val="left" w:pos="9956"/>
        </w:tabs>
        <w:spacing w:line="208" w:lineRule="auto"/>
        <w:ind w:right="240"/>
      </w:pPr>
      <w:bookmarkStart w:id="23" w:name="_TOC_250010"/>
      <w:r>
        <w:rPr>
          <w:spacing w:val="15"/>
        </w:rPr>
        <w:lastRenderedPageBreak/>
        <w:t>Polo</w:t>
      </w:r>
      <w:r>
        <w:rPr>
          <w:spacing w:val="15"/>
        </w:rPr>
        <w:tab/>
      </w:r>
      <w:r>
        <w:rPr>
          <w:spacing w:val="17"/>
        </w:rPr>
        <w:t>industrial</w:t>
      </w:r>
      <w:r>
        <w:rPr>
          <w:spacing w:val="17"/>
        </w:rPr>
        <w:tab/>
      </w:r>
      <w:r>
        <w:rPr>
          <w:spacing w:val="15"/>
        </w:rPr>
        <w:t>causa</w:t>
      </w:r>
      <w:r>
        <w:rPr>
          <w:spacing w:val="15"/>
        </w:rPr>
        <w:tab/>
        <w:t>danos</w:t>
      </w:r>
      <w:r>
        <w:rPr>
          <w:spacing w:val="15"/>
        </w:rPr>
        <w:tab/>
      </w:r>
      <w:r>
        <w:rPr>
          <w:spacing w:val="17"/>
        </w:rPr>
        <w:t>socioambientais</w:t>
      </w:r>
      <w:r>
        <w:rPr>
          <w:spacing w:val="17"/>
        </w:rPr>
        <w:tab/>
      </w:r>
      <w:r>
        <w:rPr>
          <w:spacing w:val="20"/>
        </w:rPr>
        <w:t xml:space="preserve">em </w:t>
      </w:r>
      <w:r>
        <w:rPr>
          <w:spacing w:val="16"/>
        </w:rPr>
        <w:t>Barcarena</w:t>
      </w:r>
      <w:r>
        <w:rPr>
          <w:spacing w:val="16"/>
        </w:rPr>
        <w:tab/>
      </w:r>
      <w:bookmarkEnd w:id="23"/>
      <w:r>
        <w:rPr>
          <w:spacing w:val="20"/>
        </w:rPr>
        <w:t>(PA)</w:t>
      </w:r>
    </w:p>
    <w:p w:rsidR="00D81F69" w:rsidRDefault="00D81F69">
      <w:pPr>
        <w:pStyle w:val="Corpodetexto"/>
        <w:ind w:left="0"/>
        <w:jc w:val="left"/>
        <w:rPr>
          <w:b/>
          <w:sz w:val="20"/>
        </w:rPr>
      </w:pPr>
    </w:p>
    <w:p w:rsidR="00D81F69" w:rsidRDefault="00D81F69">
      <w:pPr>
        <w:rPr>
          <w:sz w:val="20"/>
        </w:rPr>
        <w:sectPr w:rsidR="00D81F69">
          <w:pgSz w:w="11900" w:h="16840"/>
          <w:pgMar w:top="1080" w:right="46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PA - Barcarena</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-1,5189</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-48,617</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7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Barcarena (PA) apresenta destaque no </w:t>
      </w:r>
      <w:r>
        <w:rPr>
          <w:i/>
          <w:sz w:val="16"/>
        </w:rPr>
        <w:t xml:space="preserve">contexto local do estado em função dos </w:t>
      </w:r>
      <w:r>
        <w:rPr>
          <w:i/>
          <w:spacing w:val="13"/>
          <w:sz w:val="16"/>
        </w:rPr>
        <w:t xml:space="preserve">projetos industriais </w:t>
      </w:r>
      <w:r>
        <w:rPr>
          <w:i/>
          <w:sz w:val="16"/>
        </w:rPr>
        <w:t xml:space="preserve">e </w:t>
      </w:r>
      <w:r>
        <w:rPr>
          <w:i/>
          <w:spacing w:val="13"/>
          <w:sz w:val="16"/>
        </w:rPr>
        <w:t xml:space="preserve">atividades </w:t>
      </w:r>
      <w:r>
        <w:rPr>
          <w:i/>
          <w:sz w:val="16"/>
        </w:rPr>
        <w:t xml:space="preserve">portuárias em seu território. A instalação de empresas de transformação mineral </w:t>
      </w:r>
      <w:r>
        <w:rPr>
          <w:i/>
          <w:spacing w:val="7"/>
          <w:sz w:val="16"/>
        </w:rPr>
        <w:t xml:space="preserve">ocasionou </w:t>
      </w:r>
      <w:r>
        <w:rPr>
          <w:i/>
          <w:spacing w:val="5"/>
          <w:sz w:val="16"/>
        </w:rPr>
        <w:t xml:space="preserve">um </w:t>
      </w:r>
      <w:r>
        <w:rPr>
          <w:i/>
          <w:spacing w:val="7"/>
          <w:sz w:val="16"/>
        </w:rPr>
        <w:t xml:space="preserve">intenso </w:t>
      </w:r>
      <w:r>
        <w:rPr>
          <w:i/>
          <w:spacing w:val="10"/>
          <w:sz w:val="16"/>
        </w:rPr>
        <w:t xml:space="preserve">crescimento </w:t>
      </w:r>
      <w:r>
        <w:rPr>
          <w:i/>
          <w:sz w:val="16"/>
        </w:rPr>
        <w:t xml:space="preserve">populacional e vem causando diversos </w:t>
      </w:r>
      <w:r>
        <w:rPr>
          <w:i/>
          <w:spacing w:val="16"/>
          <w:sz w:val="16"/>
        </w:rPr>
        <w:t xml:space="preserve">problemas </w:t>
      </w:r>
      <w:r>
        <w:rPr>
          <w:i/>
          <w:spacing w:val="17"/>
          <w:sz w:val="16"/>
        </w:rPr>
        <w:t xml:space="preserve">socioambientais. </w:t>
      </w:r>
      <w:r>
        <w:rPr>
          <w:i/>
          <w:spacing w:val="10"/>
          <w:sz w:val="16"/>
        </w:rPr>
        <w:t xml:space="preserve">No </w:t>
      </w:r>
      <w:r>
        <w:rPr>
          <w:i/>
          <w:sz w:val="16"/>
        </w:rPr>
        <w:t>município, estão localizados o complexo alumínico Albras - Alunorte e do caulim, e as empresas Pará Pigmentos e Imerys Rio Capim</w:t>
      </w:r>
      <w:r>
        <w:rPr>
          <w:i/>
          <w:spacing w:val="2"/>
          <w:sz w:val="16"/>
        </w:rPr>
        <w:t xml:space="preserve"> </w:t>
      </w:r>
      <w:r>
        <w:rPr>
          <w:i/>
          <w:sz w:val="16"/>
        </w:rPr>
        <w:t>Caulim.</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7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33"/>
      </w:pPr>
      <w:r>
        <w:rPr>
          <w:spacing w:val="5"/>
        </w:rPr>
        <w:t xml:space="preserve">desenvolvimentistas disporem </w:t>
      </w:r>
      <w:r>
        <w:rPr>
          <w:spacing w:val="2"/>
        </w:rPr>
        <w:t xml:space="preserve">de </w:t>
      </w:r>
      <w:r>
        <w:rPr>
          <w:spacing w:val="5"/>
        </w:rPr>
        <w:t xml:space="preserve">atrativos, </w:t>
      </w:r>
      <w:r>
        <w:rPr>
          <w:spacing w:val="2"/>
        </w:rPr>
        <w:t xml:space="preserve">os </w:t>
      </w:r>
      <w:r>
        <w:rPr>
          <w:spacing w:val="5"/>
        </w:rPr>
        <w:t>quais, no</w:t>
      </w:r>
      <w:r>
        <w:rPr>
          <w:spacing w:val="61"/>
        </w:rPr>
        <w:t xml:space="preserve"> </w:t>
      </w:r>
      <w:r>
        <w:t>entanto, vêm causando diversos problemas socioambientais, i</w:t>
      </w:r>
      <w:r>
        <w:t xml:space="preserve">nterferindo diretamente na relação entre as populações e os </w:t>
      </w:r>
      <w:r>
        <w:rPr>
          <w:spacing w:val="1"/>
        </w:rPr>
        <w:t xml:space="preserve">recursos naturais existentes </w:t>
      </w:r>
      <w:r>
        <w:t xml:space="preserve">na </w:t>
      </w:r>
      <w:r>
        <w:rPr>
          <w:spacing w:val="1"/>
        </w:rPr>
        <w:t xml:space="preserve">região (SILVA; </w:t>
      </w:r>
      <w:r>
        <w:rPr>
          <w:spacing w:val="2"/>
        </w:rPr>
        <w:t>BORDALO, 2010).</w:t>
      </w:r>
    </w:p>
    <w:p w:rsidR="00D81F69" w:rsidRDefault="00330118">
      <w:pPr>
        <w:pStyle w:val="Corpodetexto"/>
        <w:spacing w:before="134" w:line="312" w:lineRule="auto"/>
        <w:ind w:left="135" w:right="248"/>
      </w:pPr>
      <w:r>
        <w:t xml:space="preserve">Em 1970, segundo informações oficiais do censo do Instituto </w:t>
      </w:r>
      <w:r>
        <w:rPr>
          <w:spacing w:val="5"/>
        </w:rPr>
        <w:t xml:space="preserve">Brasileiro </w:t>
      </w:r>
      <w:r>
        <w:rPr>
          <w:spacing w:val="2"/>
        </w:rPr>
        <w:t xml:space="preserve">de </w:t>
      </w:r>
      <w:r>
        <w:rPr>
          <w:spacing w:val="5"/>
        </w:rPr>
        <w:t xml:space="preserve">Geografia </w:t>
      </w:r>
      <w:r>
        <w:t xml:space="preserve">e </w:t>
      </w:r>
      <w:r>
        <w:rPr>
          <w:spacing w:val="5"/>
        </w:rPr>
        <w:t>Estatística (IBGE), 79,12% da</w:t>
      </w:r>
      <w:r>
        <w:rPr>
          <w:spacing w:val="61"/>
        </w:rPr>
        <w:t xml:space="preserve"> </w:t>
      </w:r>
      <w:r>
        <w:t>população economi</w:t>
      </w:r>
      <w:r>
        <w:t xml:space="preserve">camente ativa estavam ligados à atividade </w:t>
      </w:r>
      <w:r>
        <w:rPr>
          <w:spacing w:val="5"/>
        </w:rPr>
        <w:t xml:space="preserve">agropecuária, </w:t>
      </w:r>
      <w:r>
        <w:rPr>
          <w:spacing w:val="2"/>
        </w:rPr>
        <w:t xml:space="preserve">ao </w:t>
      </w:r>
      <w:r>
        <w:rPr>
          <w:spacing w:val="5"/>
        </w:rPr>
        <w:t xml:space="preserve">extrativismo vegetal </w:t>
      </w:r>
      <w:r>
        <w:t xml:space="preserve">e à </w:t>
      </w:r>
      <w:r>
        <w:rPr>
          <w:spacing w:val="5"/>
        </w:rPr>
        <w:t xml:space="preserve">pesca, </w:t>
      </w:r>
      <w:r>
        <w:t xml:space="preserve">o </w:t>
      </w:r>
      <w:r>
        <w:rPr>
          <w:spacing w:val="6"/>
        </w:rPr>
        <w:t xml:space="preserve">que </w:t>
      </w:r>
      <w:r>
        <w:t xml:space="preserve">demonstra que a economia do município concentrava-se no </w:t>
      </w:r>
      <w:r>
        <w:rPr>
          <w:spacing w:val="2"/>
        </w:rPr>
        <w:t xml:space="preserve">meio </w:t>
      </w:r>
      <w:r>
        <w:rPr>
          <w:spacing w:val="3"/>
        </w:rPr>
        <w:t xml:space="preserve">rural, </w:t>
      </w:r>
      <w:r>
        <w:rPr>
          <w:spacing w:val="2"/>
        </w:rPr>
        <w:t xml:space="preserve">onde </w:t>
      </w:r>
      <w:r>
        <w:rPr>
          <w:spacing w:val="3"/>
        </w:rPr>
        <w:t xml:space="preserve">também estava assentada </w:t>
      </w:r>
      <w:r>
        <w:t xml:space="preserve">a </w:t>
      </w:r>
      <w:r>
        <w:rPr>
          <w:spacing w:val="3"/>
        </w:rPr>
        <w:t xml:space="preserve">maioria </w:t>
      </w:r>
      <w:r>
        <w:rPr>
          <w:spacing w:val="5"/>
        </w:rPr>
        <w:t xml:space="preserve">da população. </w:t>
      </w:r>
      <w:r>
        <w:rPr>
          <w:spacing w:val="2"/>
        </w:rPr>
        <w:t xml:space="preserve">Em </w:t>
      </w:r>
      <w:r>
        <w:rPr>
          <w:spacing w:val="3"/>
        </w:rPr>
        <w:t xml:space="preserve">2005, </w:t>
      </w:r>
      <w:r>
        <w:t xml:space="preserve">o </w:t>
      </w:r>
      <w:r>
        <w:rPr>
          <w:spacing w:val="5"/>
        </w:rPr>
        <w:t xml:space="preserve">perfil municipal </w:t>
      </w:r>
      <w:r>
        <w:rPr>
          <w:spacing w:val="2"/>
        </w:rPr>
        <w:t xml:space="preserve">já </w:t>
      </w:r>
      <w:r>
        <w:rPr>
          <w:spacing w:val="3"/>
        </w:rPr>
        <w:t xml:space="preserve">havia </w:t>
      </w:r>
      <w:r>
        <w:rPr>
          <w:spacing w:val="5"/>
        </w:rPr>
        <w:t>m</w:t>
      </w:r>
      <w:r>
        <w:rPr>
          <w:spacing w:val="5"/>
        </w:rPr>
        <w:t>udado</w:t>
      </w:r>
      <w:r>
        <w:rPr>
          <w:spacing w:val="61"/>
        </w:rPr>
        <w:t xml:space="preserve"> </w:t>
      </w:r>
      <w:r>
        <w:t>completamente. Barcarena se transformara em um município</w:t>
      </w:r>
    </w:p>
    <w:p w:rsidR="00D81F69" w:rsidRDefault="00D81F69">
      <w:pPr>
        <w:spacing w:line="312" w:lineRule="auto"/>
        <w:sectPr w:rsidR="00D81F69">
          <w:type w:val="continuous"/>
          <w:pgSz w:w="11900" w:h="16840"/>
          <w:pgMar w:top="720" w:right="460" w:bottom="280" w:left="620" w:header="720" w:footer="720" w:gutter="0"/>
          <w:cols w:num="3" w:space="720" w:equalWidth="0">
            <w:col w:w="1133" w:space="867"/>
            <w:col w:w="3116" w:space="319"/>
            <w:col w:w="5385"/>
          </w:cols>
        </w:sectPr>
      </w:pPr>
    </w:p>
    <w:p w:rsidR="00D81F69" w:rsidRDefault="00330118">
      <w:pPr>
        <w:pStyle w:val="Heading4"/>
        <w:spacing w:before="31"/>
        <w:jc w:val="left"/>
      </w:pPr>
      <w:r>
        <w:lastRenderedPageBreak/>
        <w:t>APRESENTAÇÃO DE CASO</w:t>
      </w:r>
    </w:p>
    <w:p w:rsidR="00D81F69" w:rsidRDefault="00330118">
      <w:pPr>
        <w:pStyle w:val="Corpodetexto"/>
        <w:spacing w:before="171" w:line="312" w:lineRule="auto"/>
        <w:ind w:right="95"/>
      </w:pPr>
      <w:r>
        <w:t xml:space="preserve">O estado do Pará é responsável por 100% da extração nacional dos minérios de caulim e 85% de bauxita, além de </w:t>
      </w:r>
      <w:hyperlink r:id="rId221">
        <w:r>
          <w:t>cobre</w:t>
        </w:r>
      </w:hyperlink>
      <w:r>
        <w:t xml:space="preserve"> (60%) e de ouro (10%) (VALE, 2008 apud CRUZ NETO, 2009). O extrativismo mineral representa 59,2% dos 8 bilhões de dólares produzidos pela indústria mineral do est</w:t>
      </w:r>
      <w:r>
        <w:t>ado, e o município de Barcarena participa com 33,3% (alumina e alumínio) desse montante (CRUZ NETO, 2009).</w:t>
      </w:r>
    </w:p>
    <w:p w:rsidR="00D81F69" w:rsidRDefault="00330118">
      <w:pPr>
        <w:pStyle w:val="Corpodetexto"/>
        <w:spacing w:before="136" w:line="312" w:lineRule="auto"/>
        <w:ind w:right="88"/>
      </w:pPr>
      <w:r>
        <w:t xml:space="preserve">Para a produção do </w:t>
      </w:r>
      <w:hyperlink r:id="rId222">
        <w:r>
          <w:t xml:space="preserve">alumínio </w:t>
        </w:r>
      </w:hyperlink>
      <w:r>
        <w:t xml:space="preserve">são necessárias alumina e uma </w:t>
      </w:r>
      <w:r>
        <w:rPr>
          <w:spacing w:val="5"/>
        </w:rPr>
        <w:t>g</w:t>
      </w:r>
      <w:r>
        <w:rPr>
          <w:spacing w:val="5"/>
        </w:rPr>
        <w:t xml:space="preserve">rande </w:t>
      </w:r>
      <w:r>
        <w:rPr>
          <w:spacing w:val="6"/>
        </w:rPr>
        <w:t xml:space="preserve">quantidade </w:t>
      </w:r>
      <w:r>
        <w:rPr>
          <w:spacing w:val="3"/>
        </w:rPr>
        <w:t xml:space="preserve">de </w:t>
      </w:r>
      <w:r>
        <w:rPr>
          <w:spacing w:val="5"/>
        </w:rPr>
        <w:t xml:space="preserve">energia </w:t>
      </w:r>
      <w:r>
        <w:rPr>
          <w:spacing w:val="6"/>
        </w:rPr>
        <w:t xml:space="preserve">elétrica. </w:t>
      </w:r>
      <w:r>
        <w:rPr>
          <w:spacing w:val="5"/>
        </w:rPr>
        <w:t xml:space="preserve">Com </w:t>
      </w:r>
      <w:r>
        <w:t xml:space="preserve">a </w:t>
      </w:r>
      <w:r>
        <w:rPr>
          <w:spacing w:val="5"/>
        </w:rPr>
        <w:t xml:space="preserve">crise </w:t>
      </w:r>
      <w:r>
        <w:rPr>
          <w:spacing w:val="7"/>
        </w:rPr>
        <w:t xml:space="preserve">do </w:t>
      </w:r>
      <w:r>
        <w:rPr>
          <w:spacing w:val="10"/>
        </w:rPr>
        <w:t xml:space="preserve">petróleo </w:t>
      </w:r>
      <w:r>
        <w:rPr>
          <w:spacing w:val="5"/>
        </w:rPr>
        <w:t xml:space="preserve">na </w:t>
      </w:r>
      <w:r>
        <w:rPr>
          <w:spacing w:val="10"/>
        </w:rPr>
        <w:t xml:space="preserve">década </w:t>
      </w:r>
      <w:r>
        <w:rPr>
          <w:spacing w:val="5"/>
        </w:rPr>
        <w:t xml:space="preserve">de </w:t>
      </w:r>
      <w:r>
        <w:rPr>
          <w:spacing w:val="8"/>
        </w:rPr>
        <w:t xml:space="preserve">1970, houve </w:t>
      </w:r>
      <w:r>
        <w:rPr>
          <w:spacing w:val="10"/>
        </w:rPr>
        <w:t xml:space="preserve">necessidade </w:t>
      </w:r>
      <w:r>
        <w:rPr>
          <w:spacing w:val="11"/>
        </w:rPr>
        <w:t xml:space="preserve">de </w:t>
      </w:r>
      <w:r>
        <w:t xml:space="preserve">transferência das plantas industriais dos países desenvolvidos </w:t>
      </w:r>
      <w:r>
        <w:rPr>
          <w:spacing w:val="5"/>
        </w:rPr>
        <w:t xml:space="preserve">para </w:t>
      </w:r>
      <w:r>
        <w:rPr>
          <w:spacing w:val="2"/>
        </w:rPr>
        <w:t xml:space="preserve">os </w:t>
      </w:r>
      <w:r>
        <w:rPr>
          <w:spacing w:val="5"/>
        </w:rPr>
        <w:t xml:space="preserve">países periféricos </w:t>
      </w:r>
      <w:r>
        <w:rPr>
          <w:spacing w:val="3"/>
        </w:rPr>
        <w:t xml:space="preserve">que </w:t>
      </w:r>
      <w:r>
        <w:rPr>
          <w:spacing w:val="5"/>
        </w:rPr>
        <w:t xml:space="preserve">dispusessem </w:t>
      </w:r>
      <w:r>
        <w:rPr>
          <w:spacing w:val="2"/>
        </w:rPr>
        <w:t xml:space="preserve">de </w:t>
      </w:r>
      <w:r>
        <w:rPr>
          <w:spacing w:val="6"/>
        </w:rPr>
        <w:t xml:space="preserve">energia </w:t>
      </w:r>
      <w:r>
        <w:t>barata, matéria prima abundante e leg</w:t>
      </w:r>
      <w:r>
        <w:t xml:space="preserve">islação ambiental pouco rigorosa. O complexo industrial de Barcarena foi criado, </w:t>
      </w:r>
      <w:r>
        <w:rPr>
          <w:spacing w:val="1"/>
        </w:rPr>
        <w:t xml:space="preserve">por </w:t>
      </w:r>
      <w:r>
        <w:t xml:space="preserve">meio de um acordo bilateral entre Brasil e Japão, em 1976, a partir da confluência de interesses dos dois países. O Brasil </w:t>
      </w:r>
      <w:r>
        <w:rPr>
          <w:spacing w:val="3"/>
        </w:rPr>
        <w:t xml:space="preserve">desejando ampliar </w:t>
      </w:r>
      <w:r>
        <w:t xml:space="preserve">a </w:t>
      </w:r>
      <w:r>
        <w:rPr>
          <w:spacing w:val="3"/>
        </w:rPr>
        <w:t xml:space="preserve">exploração </w:t>
      </w:r>
      <w:r>
        <w:rPr>
          <w:spacing w:val="2"/>
        </w:rPr>
        <w:t xml:space="preserve">dos </w:t>
      </w:r>
      <w:r>
        <w:rPr>
          <w:spacing w:val="3"/>
        </w:rPr>
        <w:t>recursos natu</w:t>
      </w:r>
      <w:r>
        <w:rPr>
          <w:spacing w:val="3"/>
        </w:rPr>
        <w:t xml:space="preserve">rais </w:t>
      </w:r>
      <w:r>
        <w:rPr>
          <w:spacing w:val="5"/>
        </w:rPr>
        <w:t xml:space="preserve">da </w:t>
      </w:r>
      <w:r>
        <w:rPr>
          <w:spacing w:val="1"/>
        </w:rPr>
        <w:t xml:space="preserve">Amazônia, dentro </w:t>
      </w:r>
      <w:r>
        <w:t xml:space="preserve">da </w:t>
      </w:r>
      <w:r>
        <w:rPr>
          <w:spacing w:val="1"/>
        </w:rPr>
        <w:t xml:space="preserve">lógica desenvolvimentista, </w:t>
      </w:r>
      <w:r>
        <w:t xml:space="preserve">e o </w:t>
      </w:r>
      <w:r>
        <w:rPr>
          <w:spacing w:val="2"/>
        </w:rPr>
        <w:t xml:space="preserve">Japão </w:t>
      </w:r>
      <w:r>
        <w:t xml:space="preserve">precisando encontrar uma saída para a falta de energia de </w:t>
      </w:r>
      <w:r>
        <w:rPr>
          <w:spacing w:val="5"/>
        </w:rPr>
        <w:t xml:space="preserve">seu parque </w:t>
      </w:r>
      <w:r>
        <w:rPr>
          <w:spacing w:val="6"/>
        </w:rPr>
        <w:t xml:space="preserve">industrial, </w:t>
      </w:r>
      <w:r>
        <w:rPr>
          <w:spacing w:val="5"/>
        </w:rPr>
        <w:t xml:space="preserve">grande </w:t>
      </w:r>
      <w:r>
        <w:rPr>
          <w:spacing w:val="6"/>
        </w:rPr>
        <w:t xml:space="preserve">consumidor </w:t>
      </w:r>
      <w:r>
        <w:rPr>
          <w:spacing w:val="3"/>
        </w:rPr>
        <w:t xml:space="preserve">de </w:t>
      </w:r>
      <w:r>
        <w:rPr>
          <w:spacing w:val="7"/>
        </w:rPr>
        <w:t xml:space="preserve">alumínio. </w:t>
      </w:r>
      <w:r>
        <w:t>Contribuíram para a escolha do município sua proximidade com a capital do estad</w:t>
      </w:r>
      <w:r>
        <w:t xml:space="preserve">o, Belém, e com o oceano Atlântico, o </w:t>
      </w:r>
      <w:r>
        <w:rPr>
          <w:spacing w:val="2"/>
        </w:rPr>
        <w:t xml:space="preserve">que </w:t>
      </w:r>
      <w:r>
        <w:rPr>
          <w:spacing w:val="3"/>
        </w:rPr>
        <w:t xml:space="preserve">facilitaria </w:t>
      </w:r>
      <w:r>
        <w:t xml:space="preserve">o </w:t>
      </w:r>
      <w:r>
        <w:rPr>
          <w:spacing w:val="3"/>
        </w:rPr>
        <w:t xml:space="preserve">escoamento </w:t>
      </w:r>
      <w:r>
        <w:rPr>
          <w:spacing w:val="1"/>
        </w:rPr>
        <w:t xml:space="preserve">da </w:t>
      </w:r>
      <w:r>
        <w:rPr>
          <w:spacing w:val="3"/>
        </w:rPr>
        <w:t xml:space="preserve">produção </w:t>
      </w:r>
      <w:r>
        <w:rPr>
          <w:spacing w:val="2"/>
        </w:rPr>
        <w:t xml:space="preserve">para </w:t>
      </w:r>
      <w:r>
        <w:t xml:space="preserve">o </w:t>
      </w:r>
      <w:r>
        <w:rPr>
          <w:spacing w:val="5"/>
        </w:rPr>
        <w:t xml:space="preserve">mercado externo, principalmente, para </w:t>
      </w:r>
      <w:r>
        <w:t xml:space="preserve">o </w:t>
      </w:r>
      <w:r>
        <w:rPr>
          <w:spacing w:val="5"/>
        </w:rPr>
        <w:t xml:space="preserve">Japão, Estados </w:t>
      </w:r>
      <w:r>
        <w:rPr>
          <w:spacing w:val="6"/>
        </w:rPr>
        <w:t xml:space="preserve">Unidos, </w:t>
      </w:r>
      <w:r>
        <w:rPr>
          <w:spacing w:val="5"/>
        </w:rPr>
        <w:t>França, China, dentre outros (BARROS,</w:t>
      </w:r>
      <w:r>
        <w:rPr>
          <w:spacing w:val="20"/>
        </w:rPr>
        <w:t xml:space="preserve"> </w:t>
      </w:r>
      <w:r>
        <w:rPr>
          <w:spacing w:val="6"/>
        </w:rPr>
        <w:t>2009).</w:t>
      </w:r>
    </w:p>
    <w:p w:rsidR="00D81F69" w:rsidRDefault="00330118">
      <w:pPr>
        <w:pStyle w:val="Corpodetexto"/>
        <w:spacing w:before="147" w:line="312" w:lineRule="auto"/>
        <w:ind w:right="38"/>
        <w:jc w:val="left"/>
      </w:pPr>
      <w:r>
        <w:t>Com 1.310 km² e 99.800 habitantes (IBGE, 2010), Barcarena, loc</w:t>
      </w:r>
      <w:r>
        <w:t xml:space="preserve">aliza-se na microrregião de Belém (PA). O município teve </w:t>
      </w:r>
      <w:r>
        <w:rPr>
          <w:spacing w:val="5"/>
        </w:rPr>
        <w:t xml:space="preserve">sua </w:t>
      </w:r>
      <w:r>
        <w:rPr>
          <w:spacing w:val="6"/>
        </w:rPr>
        <w:t xml:space="preserve">economia transformada </w:t>
      </w:r>
      <w:r>
        <w:t xml:space="preserve">a </w:t>
      </w:r>
      <w:r>
        <w:rPr>
          <w:spacing w:val="5"/>
        </w:rPr>
        <w:t xml:space="preserve">partir </w:t>
      </w:r>
      <w:r>
        <w:rPr>
          <w:spacing w:val="3"/>
        </w:rPr>
        <w:t xml:space="preserve">da </w:t>
      </w:r>
      <w:r>
        <w:rPr>
          <w:spacing w:val="6"/>
        </w:rPr>
        <w:t xml:space="preserve">implantação </w:t>
      </w:r>
      <w:r>
        <w:rPr>
          <w:spacing w:val="7"/>
        </w:rPr>
        <w:t xml:space="preserve">de </w:t>
      </w:r>
      <w:r>
        <w:t xml:space="preserve">projetos de beneficiamento da bauxita (principal matéria prima </w:t>
      </w:r>
      <w:r>
        <w:rPr>
          <w:spacing w:val="6"/>
        </w:rPr>
        <w:t xml:space="preserve">utilizada </w:t>
      </w:r>
      <w:r>
        <w:rPr>
          <w:spacing w:val="3"/>
        </w:rPr>
        <w:t xml:space="preserve">na </w:t>
      </w:r>
      <w:r>
        <w:rPr>
          <w:spacing w:val="6"/>
        </w:rPr>
        <w:t xml:space="preserve">indústria </w:t>
      </w:r>
      <w:r>
        <w:rPr>
          <w:spacing w:val="3"/>
        </w:rPr>
        <w:t xml:space="preserve">do </w:t>
      </w:r>
      <w:r>
        <w:rPr>
          <w:spacing w:val="6"/>
        </w:rPr>
        <w:t xml:space="preserve">alumínio) </w:t>
      </w:r>
      <w:r>
        <w:t xml:space="preserve">e </w:t>
      </w:r>
      <w:r>
        <w:rPr>
          <w:spacing w:val="3"/>
        </w:rPr>
        <w:t xml:space="preserve">do </w:t>
      </w:r>
      <w:r>
        <w:rPr>
          <w:spacing w:val="5"/>
        </w:rPr>
        <w:t xml:space="preserve">caulim </w:t>
      </w:r>
      <w:r>
        <w:rPr>
          <w:spacing w:val="3"/>
        </w:rPr>
        <w:t xml:space="preserve">em </w:t>
      </w:r>
      <w:r>
        <w:rPr>
          <w:spacing w:val="7"/>
        </w:rPr>
        <w:t xml:space="preserve">seu </w:t>
      </w:r>
      <w:r>
        <w:t xml:space="preserve">território (BARROS, 2009), e pelas atividades portuárias. A instalação de empresas de transformação mineral na Vila do </w:t>
      </w:r>
      <w:r>
        <w:rPr>
          <w:spacing w:val="3"/>
        </w:rPr>
        <w:t xml:space="preserve">Conde </w:t>
      </w:r>
      <w:r>
        <w:rPr>
          <w:spacing w:val="5"/>
        </w:rPr>
        <w:t xml:space="preserve">(décadas </w:t>
      </w:r>
      <w:r>
        <w:rPr>
          <w:spacing w:val="2"/>
        </w:rPr>
        <w:t xml:space="preserve">de </w:t>
      </w:r>
      <w:r>
        <w:rPr>
          <w:spacing w:val="3"/>
        </w:rPr>
        <w:t xml:space="preserve">1980 </w:t>
      </w:r>
      <w:r>
        <w:t xml:space="preserve">e </w:t>
      </w:r>
      <w:r>
        <w:rPr>
          <w:spacing w:val="3"/>
        </w:rPr>
        <w:t xml:space="preserve">1990) </w:t>
      </w:r>
      <w:r>
        <w:rPr>
          <w:spacing w:val="5"/>
        </w:rPr>
        <w:t xml:space="preserve">ocasionou </w:t>
      </w:r>
      <w:r>
        <w:rPr>
          <w:spacing w:val="2"/>
        </w:rPr>
        <w:t xml:space="preserve">um </w:t>
      </w:r>
      <w:r>
        <w:rPr>
          <w:spacing w:val="5"/>
        </w:rPr>
        <w:t>intenso</w:t>
      </w:r>
      <w:r>
        <w:rPr>
          <w:spacing w:val="61"/>
        </w:rPr>
        <w:t xml:space="preserve"> </w:t>
      </w:r>
      <w:r>
        <w:rPr>
          <w:spacing w:val="8"/>
        </w:rPr>
        <w:t xml:space="preserve">crescimento populacional, </w:t>
      </w:r>
      <w:r>
        <w:rPr>
          <w:spacing w:val="6"/>
        </w:rPr>
        <w:t xml:space="preserve">pelo fato </w:t>
      </w:r>
      <w:r>
        <w:rPr>
          <w:spacing w:val="5"/>
        </w:rPr>
        <w:t xml:space="preserve">de </w:t>
      </w:r>
      <w:r>
        <w:rPr>
          <w:spacing w:val="7"/>
        </w:rPr>
        <w:t>esses</w:t>
      </w:r>
      <w:r>
        <w:rPr>
          <w:spacing w:val="6"/>
        </w:rPr>
        <w:t xml:space="preserve"> </w:t>
      </w:r>
      <w:r>
        <w:rPr>
          <w:spacing w:val="10"/>
        </w:rPr>
        <w:t>projetos</w:t>
      </w:r>
    </w:p>
    <w:p w:rsidR="00D81F69" w:rsidRDefault="00330118">
      <w:pPr>
        <w:pStyle w:val="Corpodetexto"/>
        <w:spacing w:before="8" w:line="312" w:lineRule="auto"/>
        <w:ind w:right="229"/>
      </w:pPr>
      <w:r>
        <w:br w:type="column"/>
      </w:r>
      <w:r>
        <w:lastRenderedPageBreak/>
        <w:t>industrial, sediando important</w:t>
      </w:r>
      <w:r>
        <w:t>es empresas, como a Alumínio Brasileiro S.A (Albras), principal empresa produtora de alumínio do Brasil; Alumina Norte Brasil S/A (Alunorte), principal empresa do setor de alumina; Pará Pigmentos (PPSA); Imerys Rio Capim Caulim (IRCC) (BARROS, 2009); e gru</w:t>
      </w:r>
      <w:r>
        <w:t>po Alubar. No entorno dessas grandes empresas, existe mais de uma centena de outras prestadoras de serviços e fornecedoras de insumos (COELHO et al., 2004), o que fez a atividade industrial passar a responder por 70,59% da economia local, provocando também</w:t>
      </w:r>
      <w:r>
        <w:t xml:space="preserve"> acentuado êxodo rural (BARROS, 2009).</w:t>
      </w:r>
    </w:p>
    <w:p w:rsidR="00D81F69" w:rsidRDefault="00330118">
      <w:pPr>
        <w:pStyle w:val="Corpodetexto"/>
        <w:spacing w:before="140" w:line="312" w:lineRule="auto"/>
        <w:ind w:right="235"/>
      </w:pPr>
      <w:r>
        <w:t>As transformações territoriais e populacionais em Barcarena foram mais intensas no distrito de Murucupi, escolhido para abrigar as instalações do projeto Bauxita, porto, fábrica, além da Vila dos Cabanos (BARROS, 2009), uma company town construída a 7 km d</w:t>
      </w:r>
      <w:r>
        <w:t>a área industrial para abrigar funcionários das grandes empresas metalúrgicas (COELHO et al., 2004). Os moradores do distrito, estabelecidos nas localidades de Vila do Conde, Ponta da Montanha e Itupanema, eram pequenos agricultores, pescadores e caçadores</w:t>
      </w:r>
      <w:r>
        <w:t>, que tiravam dos recursos naturais seu sustento (IBGE, 1970 apud BARROS, 2009). Os problemas começaram em 1977, com as primeiras desapropriações das áreas destinadas ao projeto Albras-Alunorte, e o Porto de Vila do Conde, o que provocou desterritorializaç</w:t>
      </w:r>
      <w:r>
        <w:t>ão das populações locais, comprometendo seu modo de vida (BARROS, 2009).</w:t>
      </w:r>
    </w:p>
    <w:p w:rsidR="00D81F69" w:rsidRDefault="00330118">
      <w:pPr>
        <w:pStyle w:val="Corpodetexto"/>
        <w:spacing w:before="144" w:line="312" w:lineRule="auto"/>
        <w:ind w:right="224"/>
      </w:pPr>
      <w:r>
        <w:t xml:space="preserve">A partir de 1980, com o início da construção do porto, Vila do </w:t>
      </w:r>
      <w:r>
        <w:rPr>
          <w:spacing w:val="7"/>
        </w:rPr>
        <w:t xml:space="preserve">Conde sofreu </w:t>
      </w:r>
      <w:r>
        <w:rPr>
          <w:spacing w:val="5"/>
        </w:rPr>
        <w:t xml:space="preserve">um </w:t>
      </w:r>
      <w:r>
        <w:rPr>
          <w:spacing w:val="7"/>
        </w:rPr>
        <w:t xml:space="preserve">grande impacto </w:t>
      </w:r>
      <w:r>
        <w:rPr>
          <w:spacing w:val="8"/>
        </w:rPr>
        <w:t xml:space="preserve">demográfico </w:t>
      </w:r>
      <w:r>
        <w:rPr>
          <w:spacing w:val="5"/>
        </w:rPr>
        <w:t xml:space="preserve">com </w:t>
      </w:r>
      <w:r>
        <w:t>a chegada de trabalhadores e operários para os canteiros de obras. Tal cr</w:t>
      </w:r>
      <w:r>
        <w:t xml:space="preserve">escimento, no entanto, não foi acompanhado de </w:t>
      </w:r>
      <w:r>
        <w:rPr>
          <w:spacing w:val="5"/>
        </w:rPr>
        <w:t xml:space="preserve">um </w:t>
      </w:r>
      <w:r>
        <w:rPr>
          <w:spacing w:val="10"/>
        </w:rPr>
        <w:t xml:space="preserve">planejamento </w:t>
      </w:r>
      <w:r>
        <w:rPr>
          <w:spacing w:val="6"/>
        </w:rPr>
        <w:t xml:space="preserve">por </w:t>
      </w:r>
      <w:r>
        <w:rPr>
          <w:spacing w:val="7"/>
        </w:rPr>
        <w:t xml:space="preserve">parte </w:t>
      </w:r>
      <w:r>
        <w:rPr>
          <w:spacing w:val="6"/>
        </w:rPr>
        <w:t xml:space="preserve">das </w:t>
      </w:r>
      <w:r>
        <w:rPr>
          <w:spacing w:val="10"/>
        </w:rPr>
        <w:t>autoridades federais,</w:t>
      </w:r>
      <w:r>
        <w:rPr>
          <w:spacing w:val="71"/>
        </w:rPr>
        <w:t xml:space="preserve"> </w:t>
      </w:r>
      <w:r>
        <w:t xml:space="preserve">estaduais e municipais, impactando diretamente os serviços </w:t>
      </w:r>
      <w:r>
        <w:rPr>
          <w:spacing w:val="5"/>
        </w:rPr>
        <w:t xml:space="preserve">públicos existentes </w:t>
      </w:r>
      <w:r>
        <w:rPr>
          <w:spacing w:val="2"/>
        </w:rPr>
        <w:t xml:space="preserve">no </w:t>
      </w:r>
      <w:r>
        <w:rPr>
          <w:spacing w:val="5"/>
        </w:rPr>
        <w:t xml:space="preserve">local, </w:t>
      </w:r>
      <w:r>
        <w:rPr>
          <w:spacing w:val="3"/>
        </w:rPr>
        <w:t xml:space="preserve">além </w:t>
      </w:r>
      <w:r>
        <w:rPr>
          <w:spacing w:val="2"/>
        </w:rPr>
        <w:t xml:space="preserve">do </w:t>
      </w:r>
      <w:r>
        <w:rPr>
          <w:spacing w:val="3"/>
        </w:rPr>
        <w:t xml:space="preserve">fato </w:t>
      </w:r>
      <w:r>
        <w:rPr>
          <w:spacing w:val="2"/>
        </w:rPr>
        <w:t xml:space="preserve">de </w:t>
      </w:r>
      <w:r>
        <w:rPr>
          <w:spacing w:val="3"/>
        </w:rPr>
        <w:t xml:space="preserve">que </w:t>
      </w:r>
      <w:r>
        <w:rPr>
          <w:spacing w:val="5"/>
        </w:rPr>
        <w:t>outros</w:t>
      </w:r>
      <w:r>
        <w:rPr>
          <w:spacing w:val="61"/>
        </w:rPr>
        <w:t xml:space="preserve"> </w:t>
      </w:r>
      <w:r>
        <w:rPr>
          <w:spacing w:val="3"/>
        </w:rPr>
        <w:t xml:space="preserve">serviços precisavam </w:t>
      </w:r>
      <w:r>
        <w:rPr>
          <w:spacing w:val="2"/>
        </w:rPr>
        <w:t xml:space="preserve">ser </w:t>
      </w:r>
      <w:r>
        <w:rPr>
          <w:spacing w:val="3"/>
        </w:rPr>
        <w:t xml:space="preserve">criados </w:t>
      </w:r>
      <w:r>
        <w:rPr>
          <w:spacing w:val="2"/>
        </w:rPr>
        <w:t xml:space="preserve">para </w:t>
      </w:r>
      <w:r>
        <w:rPr>
          <w:spacing w:val="3"/>
        </w:rPr>
        <w:t>atend</w:t>
      </w:r>
      <w:r>
        <w:rPr>
          <w:spacing w:val="3"/>
        </w:rPr>
        <w:t xml:space="preserve">er </w:t>
      </w:r>
      <w:r>
        <w:t xml:space="preserve">a </w:t>
      </w:r>
      <w:r>
        <w:rPr>
          <w:spacing w:val="2"/>
        </w:rPr>
        <w:t xml:space="preserve">este </w:t>
      </w:r>
      <w:r>
        <w:rPr>
          <w:spacing w:val="5"/>
        </w:rPr>
        <w:t xml:space="preserve">fluxo </w:t>
      </w:r>
      <w:r>
        <w:rPr>
          <w:spacing w:val="3"/>
        </w:rPr>
        <w:t>migratório (BARROS,</w:t>
      </w:r>
      <w:r>
        <w:rPr>
          <w:spacing w:val="2"/>
        </w:rPr>
        <w:t xml:space="preserve"> </w:t>
      </w:r>
      <w:r>
        <w:rPr>
          <w:spacing w:val="5"/>
        </w:rPr>
        <w:t>2009).</w:t>
      </w:r>
    </w:p>
    <w:p w:rsidR="00D81F69" w:rsidRDefault="00330118">
      <w:pPr>
        <w:pStyle w:val="Corpodetexto"/>
        <w:spacing w:before="138"/>
      </w:pPr>
      <w:r>
        <w:t>Em 1983, iniciaram-se as obras de construção da primeira</w:t>
      </w:r>
    </w:p>
    <w:p w:rsidR="00D81F69" w:rsidRDefault="00D81F69">
      <w:pPr>
        <w:sectPr w:rsidR="00D81F69">
          <w:type w:val="continuous"/>
          <w:pgSz w:w="11900" w:h="16840"/>
          <w:pgMar w:top="720" w:right="460" w:bottom="280" w:left="620" w:header="720" w:footer="720" w:gutter="0"/>
          <w:cols w:num="2" w:space="720" w:equalWidth="0">
            <w:col w:w="5212" w:space="258"/>
            <w:col w:w="5350"/>
          </w:cols>
        </w:sectPr>
      </w:pPr>
    </w:p>
    <w:p w:rsidR="00D81F69" w:rsidRDefault="00330118">
      <w:pPr>
        <w:pStyle w:val="Corpodetexto"/>
        <w:spacing w:before="81" w:line="312" w:lineRule="auto"/>
        <w:ind w:right="50"/>
      </w:pPr>
      <w:r>
        <w:lastRenderedPageBreak/>
        <w:t>fase da Albras – criada em1978, reunindo capitais brasileiros através da Vale [à época Companhia Vale do Rio Doce], com 51% das a</w:t>
      </w:r>
      <w:r>
        <w:t>ções, e capitais japoneses da Nippon Amazon Aluminium Co. Ltda (NAAC), com 49% das ações. No ano seguinte, entraram em operação as duas primeiras unidades geradoras da Usina Hidroelétrica de Tucuruí, no rio Tocantins, responsável pelo abastecimento do comp</w:t>
      </w:r>
      <w:r>
        <w:t>lexo alumínico. Em 1985, a Albras foi oficialmente inaugurada, trazendo outras empresas do setor para o município, como a Alunorte, em 1995, e também empresas do setor de caulim, como a Pará Pigmentos e a Imerys Rio Capim Caulim, ambas em 1996 (BARROS, 200</w:t>
      </w:r>
      <w:r>
        <w:t>9).</w:t>
      </w:r>
    </w:p>
    <w:p w:rsidR="00D81F69" w:rsidRDefault="00330118">
      <w:pPr>
        <w:pStyle w:val="Corpodetexto"/>
        <w:spacing w:before="141" w:line="312" w:lineRule="auto"/>
        <w:ind w:right="58"/>
      </w:pPr>
      <w:r>
        <w:t>Barcarena acabou se transformando no principal beneficiador mineral do Pará, com ligações com outros municípios no estado. Recebe bauxita para ser beneficiada pela Alunorte dos municípios paraenses de Oriximiná (por navio) e de Ipixuna do Pará (via min</w:t>
      </w:r>
      <w:r>
        <w:t>eroduto); e caulim para ser beneficiado pela Pará Pigmentos e pela Imerys Rio Capim Caulim (BARROS, 2009).</w:t>
      </w:r>
    </w:p>
    <w:p w:rsidR="00D81F69" w:rsidRDefault="00330118">
      <w:pPr>
        <w:pStyle w:val="Corpodetexto"/>
        <w:spacing w:before="136" w:line="312" w:lineRule="auto"/>
        <w:ind w:right="43"/>
      </w:pPr>
      <w:r>
        <w:t>Em 2004, a Secretaria Executiva de Ciência, Tecnologia e Meio Ambiente (Sectam) concedeu licença de instalação da lavra e beneficiamento de bauxita d</w:t>
      </w:r>
      <w:r>
        <w:t>a reserva pertencente à Vale no município paraense de Paragominas (BRASIL MINERAL, 2004), que tem capacidade de produzir 14,5 milhões t/ano do mineral (BRASIL MINERAL, 2006). Com isso, a empresa iniciou a implantação do projeto Bauxita (BRASIL MINERAL, 200</w:t>
      </w:r>
      <w:r>
        <w:t>4), em 2007 (BRASIL MINERAL,</w:t>
      </w:r>
    </w:p>
    <w:p w:rsidR="00D81F69" w:rsidRDefault="00330118">
      <w:pPr>
        <w:pStyle w:val="Corpodetexto"/>
        <w:spacing w:before="8" w:line="312" w:lineRule="auto"/>
        <w:ind w:right="51"/>
      </w:pPr>
      <w:r>
        <w:t xml:space="preserve">2006), que inclui as etapas de mineração, beneficiamento e transporte do produto por mineroduto, estocagem e alimentação da planta da Alunorte (BRASIL MINERAL, 2004), que até a inauguração da mina de Paragominas era abastecida </w:t>
      </w:r>
      <w:r>
        <w:t xml:space="preserve">pela Mineração Rio do Norte (MRN) (BRASIL MINERAL, 2006). A bauxita é transformada em alumina para exportação. O concentrado de bauxita produzido também abastece a usina de Barcarena (PA), através de um mineroduto de 230 km a partir da mina de Paragominas </w:t>
      </w:r>
      <w:r>
        <w:t>(BRASIL MINERAL, 2004).</w:t>
      </w:r>
    </w:p>
    <w:p w:rsidR="00D81F69" w:rsidRDefault="00330118">
      <w:pPr>
        <w:pStyle w:val="Corpodetexto"/>
        <w:spacing w:before="139" w:line="312" w:lineRule="auto"/>
        <w:ind w:right="38"/>
      </w:pPr>
      <w:r>
        <w:t xml:space="preserve">A presença das atividades de mineração no município de Barcarena estimulou a criação de dois portos no local, o Porto de Vila do Conde, o maior do estado (CONCEIÇÂO; PEREIRA, 2009), e o da Pará Pigmentos (BARROS, 2009). Até 1995, a </w:t>
      </w:r>
      <w:r>
        <w:t>movimentação do Porto de Vila do Conde era quase exclusivamente voltada para atender às necessidades da Albras. O porto teve sua atividade ampliada a partir da instalação das empresas de caulim no corredor Vale do Capim-Barcarena, passando então a exportar</w:t>
      </w:r>
      <w:r>
        <w:t xml:space="preserve"> também o mineral valorizado por essas empresas (COELHO et al., 2004), também utilizado em produtos agropecuários (CONCEIÇÃO; PEREIRA, 2009).</w:t>
      </w:r>
    </w:p>
    <w:p w:rsidR="00D81F69" w:rsidRDefault="00330118">
      <w:pPr>
        <w:pStyle w:val="Corpodetexto"/>
        <w:spacing w:before="78" w:line="270" w:lineRule="atLeast"/>
        <w:ind w:right="62"/>
      </w:pPr>
      <w:r>
        <w:t>Para os portos e terminais em Vila do Conde convergem corredores de exportação: o corredor do Trombetas-Baixo Amaz</w:t>
      </w:r>
      <w:r>
        <w:t>onas, entre o porto de Vila do Conde, e o porto da Ponta da Madeira, em São Luís do Maranhão; e o corredor dos minerodutos das minas, que vai do Vale do Capim a Barcarena. Soma-se a isso a estruturação de um novo</w:t>
      </w:r>
    </w:p>
    <w:p w:rsidR="00D81F69" w:rsidRDefault="00330118">
      <w:pPr>
        <w:pStyle w:val="Corpodetexto"/>
        <w:spacing w:before="81" w:line="312" w:lineRule="auto"/>
        <w:ind w:right="252"/>
      </w:pPr>
      <w:r>
        <w:br w:type="column"/>
      </w:r>
      <w:r>
        <w:lastRenderedPageBreak/>
        <w:t>corredor a partir de conexões entre a infr</w:t>
      </w:r>
      <w:r>
        <w:t>aestrutura portuária de Barcarena, a hidrovia do rio Tocantins e o corredor da Estrada de Ferro Carajás (COELHO et al., 2004).</w:t>
      </w:r>
    </w:p>
    <w:p w:rsidR="00D81F69" w:rsidRDefault="00330118">
      <w:pPr>
        <w:pStyle w:val="Corpodetexto"/>
        <w:spacing w:before="133" w:line="312" w:lineRule="auto"/>
        <w:ind w:right="247"/>
      </w:pPr>
      <w:r>
        <w:t>Em 2008, a Vale inaugurou a terceira fase de expansão da Alunorte, que contempla duas linhas de produção para aumentar a capacida</w:t>
      </w:r>
      <w:r>
        <w:t>de atual de 4,45 milhões para 6,3 milhões de toneladas de alumina por ano. A capacidade de produção da Alunorte, a partir da expansão, supera a produção brasileira total de alumina em 2005, que foi de 5,1 milhões de toneladas (DCI, 2008).</w:t>
      </w:r>
    </w:p>
    <w:p w:rsidR="00D81F69" w:rsidRDefault="00330118">
      <w:pPr>
        <w:pStyle w:val="Corpodetexto"/>
        <w:spacing w:before="136" w:line="312" w:lineRule="auto"/>
        <w:ind w:right="232"/>
      </w:pPr>
      <w:r>
        <w:t>No entanto, assim</w:t>
      </w:r>
      <w:r>
        <w:t xml:space="preserve"> como em outros municípios da Amazônia, </w:t>
      </w:r>
      <w:r>
        <w:rPr>
          <w:spacing w:val="5"/>
        </w:rPr>
        <w:t xml:space="preserve">as </w:t>
      </w:r>
      <w:r>
        <w:rPr>
          <w:spacing w:val="10"/>
        </w:rPr>
        <w:t xml:space="preserve">atividades minerárias </w:t>
      </w:r>
      <w:r>
        <w:rPr>
          <w:spacing w:val="5"/>
        </w:rPr>
        <w:t xml:space="preserve">em </w:t>
      </w:r>
      <w:r>
        <w:rPr>
          <w:spacing w:val="10"/>
        </w:rPr>
        <w:t xml:space="preserve">Barcarena </w:t>
      </w:r>
      <w:r>
        <w:rPr>
          <w:spacing w:val="12"/>
        </w:rPr>
        <w:t xml:space="preserve">provocaram </w:t>
      </w:r>
      <w:r>
        <w:rPr>
          <w:spacing w:val="8"/>
        </w:rPr>
        <w:t xml:space="preserve">transformações </w:t>
      </w:r>
      <w:r>
        <w:rPr>
          <w:spacing w:val="7"/>
        </w:rPr>
        <w:t xml:space="preserve">sociais </w:t>
      </w:r>
      <w:r>
        <w:t xml:space="preserve">e </w:t>
      </w:r>
      <w:r>
        <w:rPr>
          <w:spacing w:val="8"/>
        </w:rPr>
        <w:t xml:space="preserve">ambientais. </w:t>
      </w:r>
      <w:r>
        <w:rPr>
          <w:spacing w:val="5"/>
        </w:rPr>
        <w:t xml:space="preserve">As </w:t>
      </w:r>
      <w:r>
        <w:rPr>
          <w:spacing w:val="7"/>
        </w:rPr>
        <w:t xml:space="preserve">situações </w:t>
      </w:r>
      <w:r>
        <w:rPr>
          <w:spacing w:val="10"/>
        </w:rPr>
        <w:t xml:space="preserve">de </w:t>
      </w:r>
      <w:r>
        <w:rPr>
          <w:spacing w:val="1"/>
        </w:rPr>
        <w:t xml:space="preserve">desigualdades evoluíram </w:t>
      </w:r>
      <w:r>
        <w:t xml:space="preserve">no </w:t>
      </w:r>
      <w:r>
        <w:rPr>
          <w:spacing w:val="1"/>
        </w:rPr>
        <w:t xml:space="preserve">interior, </w:t>
      </w:r>
      <w:r>
        <w:t xml:space="preserve">com a </w:t>
      </w:r>
      <w:r>
        <w:rPr>
          <w:spacing w:val="1"/>
        </w:rPr>
        <w:t xml:space="preserve">polarização </w:t>
      </w:r>
      <w:r>
        <w:rPr>
          <w:spacing w:val="2"/>
        </w:rPr>
        <w:t xml:space="preserve">de </w:t>
      </w:r>
      <w:r>
        <w:t xml:space="preserve">espaços relativamente ricos e espaços pobres (COELHO et al., 2004). Pesquisadores da Universidade Federal do Pará </w:t>
      </w:r>
      <w:r>
        <w:rPr>
          <w:spacing w:val="3"/>
        </w:rPr>
        <w:t xml:space="preserve">(UFPA), </w:t>
      </w:r>
      <w:r>
        <w:rPr>
          <w:spacing w:val="2"/>
        </w:rPr>
        <w:t xml:space="preserve">após </w:t>
      </w:r>
      <w:r>
        <w:rPr>
          <w:spacing w:val="3"/>
        </w:rPr>
        <w:t xml:space="preserve">trabalho </w:t>
      </w:r>
      <w:r>
        <w:rPr>
          <w:spacing w:val="1"/>
        </w:rPr>
        <w:t xml:space="preserve">de </w:t>
      </w:r>
      <w:r>
        <w:rPr>
          <w:spacing w:val="3"/>
        </w:rPr>
        <w:t xml:space="preserve">campo </w:t>
      </w:r>
      <w:r>
        <w:rPr>
          <w:spacing w:val="1"/>
        </w:rPr>
        <w:t xml:space="preserve">no </w:t>
      </w:r>
      <w:r>
        <w:rPr>
          <w:spacing w:val="3"/>
        </w:rPr>
        <w:t xml:space="preserve">local, </w:t>
      </w:r>
      <w:r>
        <w:rPr>
          <w:spacing w:val="5"/>
        </w:rPr>
        <w:t xml:space="preserve">recomendaram </w:t>
      </w:r>
      <w:r>
        <w:t>acompanhamento dos rejeitos sólidos e líquidos produzidos pelo processo industrial das e</w:t>
      </w:r>
      <w:r>
        <w:t xml:space="preserve">mpresas Albras-Alunorte, sob o risco de que acidentes possam vir a causar contaminação dos </w:t>
      </w:r>
      <w:r>
        <w:rPr>
          <w:spacing w:val="5"/>
        </w:rPr>
        <w:t xml:space="preserve">cursos d’água </w:t>
      </w:r>
      <w:r>
        <w:t xml:space="preserve">e </w:t>
      </w:r>
      <w:r>
        <w:rPr>
          <w:spacing w:val="2"/>
        </w:rPr>
        <w:t xml:space="preserve">da </w:t>
      </w:r>
      <w:r>
        <w:rPr>
          <w:spacing w:val="3"/>
        </w:rPr>
        <w:t xml:space="preserve">água </w:t>
      </w:r>
      <w:r>
        <w:rPr>
          <w:spacing w:val="5"/>
        </w:rPr>
        <w:t xml:space="preserve">subterrânea. </w:t>
      </w:r>
      <w:r>
        <w:rPr>
          <w:spacing w:val="3"/>
        </w:rPr>
        <w:t xml:space="preserve">Além </w:t>
      </w:r>
      <w:r>
        <w:rPr>
          <w:spacing w:val="5"/>
        </w:rPr>
        <w:t xml:space="preserve">disso, </w:t>
      </w:r>
      <w:r>
        <w:rPr>
          <w:spacing w:val="2"/>
        </w:rPr>
        <w:t xml:space="preserve">há </w:t>
      </w:r>
      <w:r>
        <w:t xml:space="preserve">o </w:t>
      </w:r>
      <w:r>
        <w:rPr>
          <w:spacing w:val="6"/>
        </w:rPr>
        <w:t xml:space="preserve">problema </w:t>
      </w:r>
      <w:r>
        <w:rPr>
          <w:spacing w:val="5"/>
        </w:rPr>
        <w:t xml:space="preserve">das chuvas ácidas devido </w:t>
      </w:r>
      <w:r>
        <w:t xml:space="preserve">à </w:t>
      </w:r>
      <w:r>
        <w:rPr>
          <w:spacing w:val="5"/>
        </w:rPr>
        <w:t xml:space="preserve">emissão </w:t>
      </w:r>
      <w:r>
        <w:rPr>
          <w:spacing w:val="3"/>
        </w:rPr>
        <w:t xml:space="preserve">de </w:t>
      </w:r>
      <w:r>
        <w:rPr>
          <w:spacing w:val="7"/>
        </w:rPr>
        <w:t xml:space="preserve">gás </w:t>
      </w:r>
      <w:r>
        <w:rPr>
          <w:spacing w:val="3"/>
        </w:rPr>
        <w:t xml:space="preserve">carbônico </w:t>
      </w:r>
      <w:r>
        <w:rPr>
          <w:spacing w:val="1"/>
        </w:rPr>
        <w:t xml:space="preserve">no </w:t>
      </w:r>
      <w:r>
        <w:rPr>
          <w:spacing w:val="3"/>
        </w:rPr>
        <w:t xml:space="preserve">processo </w:t>
      </w:r>
      <w:r>
        <w:rPr>
          <w:spacing w:val="1"/>
        </w:rPr>
        <w:t xml:space="preserve">de </w:t>
      </w:r>
      <w:r>
        <w:rPr>
          <w:spacing w:val="3"/>
        </w:rPr>
        <w:t xml:space="preserve">redução </w:t>
      </w:r>
      <w:r>
        <w:rPr>
          <w:spacing w:val="1"/>
        </w:rPr>
        <w:t xml:space="preserve">do </w:t>
      </w:r>
      <w:r>
        <w:rPr>
          <w:spacing w:val="3"/>
        </w:rPr>
        <w:t xml:space="preserve">alumínio </w:t>
      </w:r>
      <w:r>
        <w:rPr>
          <w:spacing w:val="2"/>
        </w:rPr>
        <w:t xml:space="preserve">nas </w:t>
      </w:r>
      <w:r>
        <w:rPr>
          <w:spacing w:val="5"/>
        </w:rPr>
        <w:t xml:space="preserve">cubas </w:t>
      </w:r>
      <w:r>
        <w:rPr>
          <w:spacing w:val="3"/>
        </w:rPr>
        <w:t>eletr</w:t>
      </w:r>
      <w:r>
        <w:rPr>
          <w:spacing w:val="3"/>
        </w:rPr>
        <w:t xml:space="preserve">olíticas (SOUZA </w:t>
      </w:r>
      <w:r>
        <w:rPr>
          <w:spacing w:val="2"/>
        </w:rPr>
        <w:t xml:space="preserve">et. al, 2003 apud </w:t>
      </w:r>
      <w:r>
        <w:rPr>
          <w:spacing w:val="3"/>
        </w:rPr>
        <w:t xml:space="preserve">SILVA; </w:t>
      </w:r>
      <w:r>
        <w:rPr>
          <w:spacing w:val="5"/>
        </w:rPr>
        <w:t>BORDALO, 2010).</w:t>
      </w:r>
    </w:p>
    <w:p w:rsidR="00D81F69" w:rsidRDefault="00330118">
      <w:pPr>
        <w:pStyle w:val="Corpodetexto"/>
        <w:spacing w:before="144" w:line="312" w:lineRule="auto"/>
        <w:ind w:right="226"/>
      </w:pPr>
      <w:r>
        <w:t xml:space="preserve">Os pesquisadores estudaram o rio Murucupi, que se estende da área correspondente ao distrito industrial Albras-Alunorte, até o furo do Arrozal (RELATÓRIO IEC – SAMAM 001, 2009 </w:t>
      </w:r>
      <w:r>
        <w:rPr>
          <w:spacing w:val="6"/>
        </w:rPr>
        <w:t xml:space="preserve">apud </w:t>
      </w:r>
      <w:r>
        <w:rPr>
          <w:spacing w:val="7"/>
        </w:rPr>
        <w:t xml:space="preserve">SILVA; BORDALO, 2010), </w:t>
      </w:r>
      <w:r>
        <w:rPr>
          <w:spacing w:val="5"/>
        </w:rPr>
        <w:t xml:space="preserve">que </w:t>
      </w:r>
      <w:r>
        <w:rPr>
          <w:spacing w:val="7"/>
        </w:rPr>
        <w:t xml:space="preserve">separa </w:t>
      </w:r>
      <w:r>
        <w:t xml:space="preserve">a </w:t>
      </w:r>
      <w:r>
        <w:rPr>
          <w:spacing w:val="6"/>
        </w:rPr>
        <w:t xml:space="preserve">Ilha </w:t>
      </w:r>
      <w:r>
        <w:rPr>
          <w:spacing w:val="10"/>
        </w:rPr>
        <w:t xml:space="preserve">de </w:t>
      </w:r>
      <w:r>
        <w:rPr>
          <w:spacing w:val="3"/>
        </w:rPr>
        <w:t xml:space="preserve">Carnapijó </w:t>
      </w:r>
      <w:r>
        <w:rPr>
          <w:spacing w:val="1"/>
        </w:rPr>
        <w:t xml:space="preserve">do </w:t>
      </w:r>
      <w:r>
        <w:rPr>
          <w:spacing w:val="3"/>
        </w:rPr>
        <w:t xml:space="preserve">continente </w:t>
      </w:r>
      <w:r>
        <w:t xml:space="preserve">e </w:t>
      </w:r>
      <w:r>
        <w:rPr>
          <w:spacing w:val="3"/>
        </w:rPr>
        <w:t xml:space="preserve">recebe </w:t>
      </w:r>
      <w:r>
        <w:t xml:space="preserve">o </w:t>
      </w:r>
      <w:r>
        <w:rPr>
          <w:spacing w:val="2"/>
        </w:rPr>
        <w:t xml:space="preserve">rio </w:t>
      </w:r>
      <w:r>
        <w:rPr>
          <w:spacing w:val="3"/>
        </w:rPr>
        <w:t xml:space="preserve">Barcarena </w:t>
      </w:r>
      <w:r>
        <w:t xml:space="preserve">e o </w:t>
      </w:r>
      <w:r>
        <w:rPr>
          <w:spacing w:val="5"/>
        </w:rPr>
        <w:t xml:space="preserve">rio </w:t>
      </w:r>
      <w:r>
        <w:t xml:space="preserve">Itaporanga (CONCEIÇÂO; PEREIRA, 2009). As nascentes do rio </w:t>
      </w:r>
      <w:r>
        <w:rPr>
          <w:spacing w:val="1"/>
        </w:rPr>
        <w:t xml:space="preserve">Murucupi estão situadas </w:t>
      </w:r>
      <w:r>
        <w:t xml:space="preserve">nas </w:t>
      </w:r>
      <w:r>
        <w:rPr>
          <w:spacing w:val="1"/>
        </w:rPr>
        <w:t xml:space="preserve">proximidades </w:t>
      </w:r>
      <w:r>
        <w:t xml:space="preserve">da </w:t>
      </w:r>
      <w:r>
        <w:rPr>
          <w:spacing w:val="1"/>
        </w:rPr>
        <w:t xml:space="preserve">bacia </w:t>
      </w:r>
      <w:r>
        <w:rPr>
          <w:spacing w:val="2"/>
        </w:rPr>
        <w:t xml:space="preserve">de </w:t>
      </w:r>
      <w:r>
        <w:t xml:space="preserve">rejeito da empresa Alunorte (RELATÓRIO IEC </w:t>
      </w:r>
      <w:r>
        <w:t xml:space="preserve">– SAMAM 001, 2009 apud SILVA; BORDALO, 2010), o que caracteriza, de acordo com especialistas, a sua fragilidade e a necessidade </w:t>
      </w:r>
      <w:r>
        <w:rPr>
          <w:spacing w:val="1"/>
        </w:rPr>
        <w:t xml:space="preserve">de </w:t>
      </w:r>
      <w:r>
        <w:rPr>
          <w:spacing w:val="3"/>
        </w:rPr>
        <w:t xml:space="preserve">políticas </w:t>
      </w:r>
      <w:r>
        <w:rPr>
          <w:spacing w:val="1"/>
        </w:rPr>
        <w:t xml:space="preserve">de </w:t>
      </w:r>
      <w:r>
        <w:rPr>
          <w:spacing w:val="3"/>
        </w:rPr>
        <w:t xml:space="preserve">gestão compartilhada </w:t>
      </w:r>
      <w:r>
        <w:rPr>
          <w:spacing w:val="2"/>
        </w:rPr>
        <w:t xml:space="preserve">por </w:t>
      </w:r>
      <w:r>
        <w:rPr>
          <w:spacing w:val="3"/>
        </w:rPr>
        <w:t xml:space="preserve">todos </w:t>
      </w:r>
      <w:r>
        <w:rPr>
          <w:spacing w:val="1"/>
        </w:rPr>
        <w:t xml:space="preserve">os </w:t>
      </w:r>
      <w:r>
        <w:rPr>
          <w:spacing w:val="5"/>
        </w:rPr>
        <w:t xml:space="preserve">atores </w:t>
      </w:r>
      <w:r>
        <w:t xml:space="preserve">sociais e o poder público local e estadual, que devem dividir </w:t>
      </w:r>
      <w:r>
        <w:rPr>
          <w:spacing w:val="8"/>
        </w:rPr>
        <w:t>responsab</w:t>
      </w:r>
      <w:r>
        <w:rPr>
          <w:spacing w:val="8"/>
        </w:rPr>
        <w:t xml:space="preserve">ilidades </w:t>
      </w:r>
      <w:r>
        <w:rPr>
          <w:spacing w:val="7"/>
        </w:rPr>
        <w:t xml:space="preserve">sobre </w:t>
      </w:r>
      <w:r>
        <w:rPr>
          <w:spacing w:val="6"/>
        </w:rPr>
        <w:t xml:space="preserve">esse </w:t>
      </w:r>
      <w:r>
        <w:rPr>
          <w:spacing w:val="7"/>
        </w:rPr>
        <w:t xml:space="preserve">recurso hídrico </w:t>
      </w:r>
      <w:r>
        <w:rPr>
          <w:spacing w:val="10"/>
        </w:rPr>
        <w:t xml:space="preserve">(SILVA; </w:t>
      </w:r>
      <w:r>
        <w:rPr>
          <w:spacing w:val="7"/>
        </w:rPr>
        <w:t>BORDALO,</w:t>
      </w:r>
      <w:r>
        <w:rPr>
          <w:spacing w:val="50"/>
        </w:rPr>
        <w:t xml:space="preserve"> </w:t>
      </w:r>
      <w:r>
        <w:rPr>
          <w:spacing w:val="10"/>
        </w:rPr>
        <w:t>2010).</w:t>
      </w:r>
    </w:p>
    <w:p w:rsidR="00D81F69" w:rsidRDefault="00330118">
      <w:pPr>
        <w:pStyle w:val="Corpodetexto"/>
        <w:spacing w:before="80" w:line="270" w:lineRule="atLeast"/>
        <w:ind w:right="249"/>
      </w:pPr>
      <w:r>
        <w:t xml:space="preserve">O transbordamento da bacia de rejeito da Albras-Alunorte e o </w:t>
      </w:r>
      <w:r>
        <w:rPr>
          <w:spacing w:val="5"/>
        </w:rPr>
        <w:t xml:space="preserve">despejo </w:t>
      </w:r>
      <w:r>
        <w:rPr>
          <w:spacing w:val="2"/>
        </w:rPr>
        <w:t xml:space="preserve">de </w:t>
      </w:r>
      <w:r>
        <w:rPr>
          <w:spacing w:val="5"/>
        </w:rPr>
        <w:t xml:space="preserve">esgoto doméstico </w:t>
      </w:r>
      <w:r>
        <w:rPr>
          <w:spacing w:val="2"/>
        </w:rPr>
        <w:t xml:space="preserve">no </w:t>
      </w:r>
      <w:r>
        <w:rPr>
          <w:spacing w:val="3"/>
        </w:rPr>
        <w:t xml:space="preserve">rio </w:t>
      </w:r>
      <w:r>
        <w:rPr>
          <w:spacing w:val="5"/>
        </w:rPr>
        <w:t>Murucupi acabaram</w:t>
      </w:r>
      <w:r>
        <w:rPr>
          <w:spacing w:val="61"/>
        </w:rPr>
        <w:t xml:space="preserve"> </w:t>
      </w:r>
      <w:r>
        <w:t xml:space="preserve">comprometendo a sobrevivência do rio e das populações que </w:t>
      </w:r>
      <w:r>
        <w:rPr>
          <w:spacing w:val="5"/>
        </w:rPr>
        <w:t xml:space="preserve">residem </w:t>
      </w:r>
      <w:r>
        <w:rPr>
          <w:spacing w:val="3"/>
        </w:rPr>
        <w:t xml:space="preserve">em </w:t>
      </w:r>
      <w:r>
        <w:rPr>
          <w:spacing w:val="5"/>
        </w:rPr>
        <w:t xml:space="preserve">sua margem </w:t>
      </w:r>
      <w:r>
        <w:t xml:space="preserve">e </w:t>
      </w:r>
      <w:r>
        <w:rPr>
          <w:spacing w:val="6"/>
        </w:rPr>
        <w:t xml:space="preserve">entorno, </w:t>
      </w:r>
      <w:r>
        <w:rPr>
          <w:spacing w:val="5"/>
        </w:rPr>
        <w:t xml:space="preserve">como </w:t>
      </w:r>
      <w:r>
        <w:t xml:space="preserve">é o </w:t>
      </w:r>
      <w:r>
        <w:rPr>
          <w:spacing w:val="5"/>
        </w:rPr>
        <w:t xml:space="preserve">caso </w:t>
      </w:r>
      <w:r>
        <w:rPr>
          <w:spacing w:val="7"/>
        </w:rPr>
        <w:t xml:space="preserve">da </w:t>
      </w:r>
      <w:r>
        <w:t xml:space="preserve">comunidade que vive no “Sítio de São Lourenço” (no bairro do Laranjal). Em decorrência da poluição a que o rio Murucupi </w:t>
      </w:r>
      <w:r>
        <w:rPr>
          <w:spacing w:val="3"/>
        </w:rPr>
        <w:t xml:space="preserve">vem sendo </w:t>
      </w:r>
      <w:r>
        <w:rPr>
          <w:spacing w:val="5"/>
        </w:rPr>
        <w:t xml:space="preserve">exposto, ocorreram mudanças </w:t>
      </w:r>
      <w:r>
        <w:rPr>
          <w:spacing w:val="2"/>
        </w:rPr>
        <w:t xml:space="preserve">na </w:t>
      </w:r>
      <w:r>
        <w:rPr>
          <w:spacing w:val="5"/>
        </w:rPr>
        <w:t xml:space="preserve">relação da </w:t>
      </w:r>
      <w:r>
        <w:t>população local com esse curso d’água. A prática de coloca</w:t>
      </w:r>
      <w:r>
        <w:t xml:space="preserve">r  a mandioca nos braços do rio Murucupi, por exemplo, deixou de ser adotada, e a Albras-Alunorte e a Secretaria de Meio Ambiente do Município de Barcarena (SEMMAB) passaram a </w:t>
      </w:r>
      <w:r>
        <w:rPr>
          <w:spacing w:val="3"/>
        </w:rPr>
        <w:t xml:space="preserve">distribuir caixas d’água </w:t>
      </w:r>
      <w:r>
        <w:rPr>
          <w:spacing w:val="2"/>
        </w:rPr>
        <w:t xml:space="preserve">para </w:t>
      </w:r>
      <w:r>
        <w:rPr>
          <w:spacing w:val="1"/>
        </w:rPr>
        <w:t xml:space="preserve">os </w:t>
      </w:r>
      <w:r>
        <w:rPr>
          <w:spacing w:val="3"/>
        </w:rPr>
        <w:t xml:space="preserve">moradores colocarem </w:t>
      </w:r>
      <w:r>
        <w:rPr>
          <w:spacing w:val="5"/>
        </w:rPr>
        <w:t xml:space="preserve">de </w:t>
      </w:r>
      <w:r>
        <w:t>molho a mandioca. Além d</w:t>
      </w:r>
      <w:r>
        <w:t xml:space="preserve">e deixarem de utilizar os braços do rio para esse tipo de atividade, os moradores do “Sítio </w:t>
      </w:r>
      <w:r>
        <w:rPr>
          <w:spacing w:val="1"/>
        </w:rPr>
        <w:t xml:space="preserve">São </w:t>
      </w:r>
      <w:r>
        <w:t>Lourenço” foram impossibilitados de continuar a fazer o uso doméstico</w:t>
      </w:r>
      <w:r>
        <w:rPr>
          <w:spacing w:val="20"/>
        </w:rPr>
        <w:t xml:space="preserve"> </w:t>
      </w:r>
      <w:r>
        <w:t>do</w:t>
      </w:r>
      <w:r>
        <w:rPr>
          <w:spacing w:val="20"/>
        </w:rPr>
        <w:t xml:space="preserve"> </w:t>
      </w:r>
      <w:r>
        <w:t>rio,</w:t>
      </w:r>
      <w:r>
        <w:rPr>
          <w:spacing w:val="20"/>
        </w:rPr>
        <w:t xml:space="preserve"> </w:t>
      </w:r>
      <w:r>
        <w:t>como:</w:t>
      </w:r>
      <w:r>
        <w:rPr>
          <w:spacing w:val="20"/>
        </w:rPr>
        <w:t xml:space="preserve"> </w:t>
      </w:r>
      <w:r>
        <w:t>beber</w:t>
      </w:r>
      <w:r>
        <w:rPr>
          <w:spacing w:val="20"/>
        </w:rPr>
        <w:t xml:space="preserve"> </w:t>
      </w:r>
      <w:r>
        <w:t>água,</w:t>
      </w:r>
      <w:r>
        <w:rPr>
          <w:spacing w:val="20"/>
        </w:rPr>
        <w:t xml:space="preserve"> </w:t>
      </w:r>
      <w:r>
        <w:t>cozinhar,</w:t>
      </w:r>
      <w:r>
        <w:rPr>
          <w:spacing w:val="20"/>
        </w:rPr>
        <w:t xml:space="preserve"> </w:t>
      </w:r>
      <w:r>
        <w:t>lavar</w:t>
      </w:r>
      <w:r>
        <w:rPr>
          <w:spacing w:val="20"/>
        </w:rPr>
        <w:t xml:space="preserve"> </w:t>
      </w:r>
      <w:r>
        <w:t>louça</w:t>
      </w:r>
      <w:r>
        <w:rPr>
          <w:spacing w:val="20"/>
        </w:rPr>
        <w:t xml:space="preserve"> </w:t>
      </w:r>
      <w:r>
        <w:t>e</w:t>
      </w:r>
    </w:p>
    <w:p w:rsidR="00D81F69" w:rsidRDefault="00D81F69">
      <w:pPr>
        <w:spacing w:line="270" w:lineRule="atLeast"/>
        <w:sectPr w:rsidR="00D81F69">
          <w:pgSz w:w="11900" w:h="16840"/>
          <w:pgMar w:top="740" w:right="460" w:bottom="620" w:left="620" w:header="0" w:footer="402" w:gutter="0"/>
          <w:cols w:num="2" w:space="720" w:equalWidth="0">
            <w:col w:w="5164" w:space="306"/>
            <w:col w:w="5350"/>
          </w:cols>
        </w:sectPr>
      </w:pPr>
    </w:p>
    <w:p w:rsidR="00D81F69" w:rsidRDefault="00330118">
      <w:pPr>
        <w:pStyle w:val="Corpodetexto"/>
        <w:spacing w:before="81" w:line="312" w:lineRule="auto"/>
        <w:ind w:right="38"/>
      </w:pPr>
      <w:r>
        <w:rPr>
          <w:spacing w:val="1"/>
        </w:rPr>
        <w:lastRenderedPageBreak/>
        <w:t xml:space="preserve">roupa, </w:t>
      </w:r>
      <w:r>
        <w:t xml:space="preserve">e </w:t>
      </w:r>
      <w:r>
        <w:rPr>
          <w:spacing w:val="1"/>
        </w:rPr>
        <w:t>to</w:t>
      </w:r>
      <w:r>
        <w:rPr>
          <w:spacing w:val="1"/>
        </w:rPr>
        <w:t xml:space="preserve">mar banho. </w:t>
      </w:r>
      <w:r>
        <w:t xml:space="preserve">Os </w:t>
      </w:r>
      <w:r>
        <w:rPr>
          <w:spacing w:val="1"/>
        </w:rPr>
        <w:t xml:space="preserve">moradores também deixaram </w:t>
      </w:r>
      <w:r>
        <w:rPr>
          <w:spacing w:val="2"/>
        </w:rPr>
        <w:t xml:space="preserve">de </w:t>
      </w:r>
      <w:r>
        <w:t xml:space="preserve">pescar e fazer a coleta de camarão, atividade de subsistência </w:t>
      </w:r>
      <w:r>
        <w:rPr>
          <w:spacing w:val="7"/>
        </w:rPr>
        <w:t xml:space="preserve">que </w:t>
      </w:r>
      <w:r>
        <w:rPr>
          <w:spacing w:val="10"/>
        </w:rPr>
        <w:t xml:space="preserve">garantia </w:t>
      </w:r>
      <w:r>
        <w:t xml:space="preserve">a </w:t>
      </w:r>
      <w:r>
        <w:rPr>
          <w:spacing w:val="8"/>
        </w:rPr>
        <w:t xml:space="preserve">base </w:t>
      </w:r>
      <w:r>
        <w:rPr>
          <w:spacing w:val="10"/>
        </w:rPr>
        <w:t xml:space="preserve">alimentar </w:t>
      </w:r>
      <w:r>
        <w:rPr>
          <w:spacing w:val="7"/>
        </w:rPr>
        <w:t xml:space="preserve">das </w:t>
      </w:r>
      <w:r>
        <w:rPr>
          <w:spacing w:val="10"/>
        </w:rPr>
        <w:t xml:space="preserve">famílias </w:t>
      </w:r>
      <w:r>
        <w:rPr>
          <w:spacing w:val="12"/>
        </w:rPr>
        <w:t xml:space="preserve">(SILVA; </w:t>
      </w:r>
      <w:r>
        <w:rPr>
          <w:spacing w:val="10"/>
        </w:rPr>
        <w:t>BORDALO,</w:t>
      </w:r>
      <w:r>
        <w:rPr>
          <w:spacing w:val="63"/>
        </w:rPr>
        <w:t xml:space="preserve"> </w:t>
      </w:r>
      <w:r>
        <w:rPr>
          <w:spacing w:val="12"/>
        </w:rPr>
        <w:t>2010).</w:t>
      </w:r>
    </w:p>
    <w:p w:rsidR="00D81F69" w:rsidRDefault="00330118">
      <w:pPr>
        <w:pStyle w:val="Corpodetexto"/>
        <w:spacing w:before="134" w:line="312" w:lineRule="auto"/>
        <w:ind w:right="41"/>
      </w:pPr>
      <w:r>
        <w:t>Os moradores organizados em associações alertaram sobre a degradação do rio Murucupi</w:t>
      </w:r>
      <w:r>
        <w:t xml:space="preserve"> pelas empresas de transformação mineral em Barcarena. Com isso, os órgãos ambientais fiscalizadores foram acionados, e os meios de comunicação passaram a destacar o ocorrido (SILVA; BORDALO, 2010).</w:t>
      </w:r>
    </w:p>
    <w:p w:rsidR="00D81F69" w:rsidRDefault="00330118">
      <w:pPr>
        <w:pStyle w:val="Corpodetexto"/>
        <w:spacing w:before="135" w:line="312" w:lineRule="auto"/>
        <w:ind w:right="47"/>
      </w:pPr>
      <w:r>
        <w:t>Em 2009, relatório divulgado pelo Instituto Evandro Chaga</w:t>
      </w:r>
      <w:r>
        <w:t>s (IEC) revelou que o escoamento de efluentes da lama vermelha, liberados pelo transbordamento da bacia de rejeitos da Alunorte, em abril do mesmo ano, provocou alterações físicas e químicas nas águas do rio Murucupi. Essas alterações, conforme destaca o r</w:t>
      </w:r>
      <w:r>
        <w:t>elatório, ocasionaram impactos ambientais com consequentes situações de risco para a saúde das populações e modificações na estrutura das comunidades bióticas da área afetada (DIÁRIO DO PARÁ, 2009).</w:t>
      </w:r>
    </w:p>
    <w:p w:rsidR="00D81F69" w:rsidRDefault="00330118">
      <w:pPr>
        <w:pStyle w:val="Corpodetexto"/>
        <w:spacing w:before="139" w:line="312" w:lineRule="auto"/>
        <w:ind w:right="43"/>
      </w:pPr>
      <w:r>
        <w:t>O acidente atingiu a vida de quase 100 famílias que moram</w:t>
      </w:r>
      <w:r>
        <w:t xml:space="preserve">  </w:t>
      </w:r>
      <w:r>
        <w:rPr>
          <w:spacing w:val="3"/>
        </w:rPr>
        <w:t xml:space="preserve">na </w:t>
      </w:r>
      <w:r>
        <w:rPr>
          <w:spacing w:val="5"/>
        </w:rPr>
        <w:t xml:space="preserve">área, que ficaram sem água para beber </w:t>
      </w:r>
      <w:r>
        <w:t xml:space="preserve">e </w:t>
      </w:r>
      <w:r>
        <w:rPr>
          <w:spacing w:val="5"/>
        </w:rPr>
        <w:t xml:space="preserve">para </w:t>
      </w:r>
      <w:r>
        <w:rPr>
          <w:spacing w:val="7"/>
        </w:rPr>
        <w:t xml:space="preserve">uso </w:t>
      </w:r>
      <w:r>
        <w:t xml:space="preserve">doméstico, e impedidas de pescar para se alimentar. Alguns </w:t>
      </w:r>
      <w:r>
        <w:rPr>
          <w:spacing w:val="1"/>
        </w:rPr>
        <w:t xml:space="preserve">moradores tiveram, inclusive, sintomas </w:t>
      </w:r>
      <w:r>
        <w:t xml:space="preserve">de </w:t>
      </w:r>
      <w:r>
        <w:rPr>
          <w:spacing w:val="1"/>
        </w:rPr>
        <w:t xml:space="preserve">intoxicação. </w:t>
      </w:r>
      <w:r>
        <w:rPr>
          <w:spacing w:val="2"/>
        </w:rPr>
        <w:t xml:space="preserve">Os </w:t>
      </w:r>
      <w:r>
        <w:rPr>
          <w:spacing w:val="7"/>
        </w:rPr>
        <w:t xml:space="preserve">poços </w:t>
      </w:r>
      <w:r>
        <w:rPr>
          <w:spacing w:val="8"/>
        </w:rPr>
        <w:t xml:space="preserve">utilizados </w:t>
      </w:r>
      <w:r>
        <w:rPr>
          <w:spacing w:val="7"/>
        </w:rPr>
        <w:t xml:space="preserve">pelas famílias </w:t>
      </w:r>
      <w:r>
        <w:rPr>
          <w:spacing w:val="5"/>
        </w:rPr>
        <w:t xml:space="preserve">na </w:t>
      </w:r>
      <w:r>
        <w:rPr>
          <w:spacing w:val="6"/>
        </w:rPr>
        <w:t xml:space="preserve">área </w:t>
      </w:r>
      <w:r>
        <w:rPr>
          <w:spacing w:val="7"/>
        </w:rPr>
        <w:t xml:space="preserve">também </w:t>
      </w:r>
      <w:r>
        <w:rPr>
          <w:spacing w:val="10"/>
        </w:rPr>
        <w:t xml:space="preserve">foram </w:t>
      </w:r>
      <w:r>
        <w:rPr>
          <w:spacing w:val="3"/>
        </w:rPr>
        <w:t xml:space="preserve">atingidos </w:t>
      </w:r>
      <w:r>
        <w:rPr>
          <w:spacing w:val="2"/>
        </w:rPr>
        <w:t xml:space="preserve">pela </w:t>
      </w:r>
      <w:r>
        <w:rPr>
          <w:spacing w:val="3"/>
        </w:rPr>
        <w:t xml:space="preserve">contaminação. Durante vistoria </w:t>
      </w:r>
      <w:r>
        <w:rPr>
          <w:spacing w:val="1"/>
        </w:rPr>
        <w:t xml:space="preserve">na </w:t>
      </w:r>
      <w:r>
        <w:rPr>
          <w:spacing w:val="3"/>
        </w:rPr>
        <w:t xml:space="preserve">bacia </w:t>
      </w:r>
      <w:r>
        <w:rPr>
          <w:spacing w:val="5"/>
        </w:rPr>
        <w:t xml:space="preserve">de </w:t>
      </w:r>
      <w:r>
        <w:rPr>
          <w:spacing w:val="7"/>
        </w:rPr>
        <w:t xml:space="preserve">rejeitos </w:t>
      </w:r>
      <w:r>
        <w:rPr>
          <w:spacing w:val="5"/>
        </w:rPr>
        <w:t xml:space="preserve">de </w:t>
      </w:r>
      <w:r>
        <w:rPr>
          <w:spacing w:val="7"/>
        </w:rPr>
        <w:t xml:space="preserve">bauxita </w:t>
      </w:r>
      <w:r>
        <w:rPr>
          <w:spacing w:val="5"/>
        </w:rPr>
        <w:t xml:space="preserve">da </w:t>
      </w:r>
      <w:r>
        <w:rPr>
          <w:spacing w:val="7"/>
        </w:rPr>
        <w:t xml:space="preserve">Alunorte, </w:t>
      </w:r>
      <w:r>
        <w:rPr>
          <w:spacing w:val="5"/>
        </w:rPr>
        <w:t xml:space="preserve">os </w:t>
      </w:r>
      <w:r>
        <w:rPr>
          <w:spacing w:val="7"/>
        </w:rPr>
        <w:t xml:space="preserve">fiscais </w:t>
      </w:r>
      <w:r>
        <w:rPr>
          <w:spacing w:val="5"/>
        </w:rPr>
        <w:t xml:space="preserve">do </w:t>
      </w:r>
      <w:r>
        <w:rPr>
          <w:spacing w:val="10"/>
        </w:rPr>
        <w:t xml:space="preserve">Instituto </w:t>
      </w:r>
      <w:r>
        <w:rPr>
          <w:spacing w:val="5"/>
        </w:rPr>
        <w:t xml:space="preserve">Brasileiro </w:t>
      </w:r>
      <w:r>
        <w:rPr>
          <w:spacing w:val="2"/>
        </w:rPr>
        <w:t xml:space="preserve">de </w:t>
      </w:r>
      <w:r>
        <w:rPr>
          <w:spacing w:val="3"/>
        </w:rPr>
        <w:t xml:space="preserve">Meio </w:t>
      </w:r>
      <w:r>
        <w:rPr>
          <w:spacing w:val="5"/>
        </w:rPr>
        <w:t xml:space="preserve">Ambiente (Ibama) constataram </w:t>
      </w:r>
      <w:r>
        <w:rPr>
          <w:spacing w:val="3"/>
        </w:rPr>
        <w:t xml:space="preserve">que </w:t>
      </w:r>
      <w:r>
        <w:t xml:space="preserve">o </w:t>
      </w:r>
      <w:r>
        <w:rPr>
          <w:spacing w:val="3"/>
        </w:rPr>
        <w:t xml:space="preserve">vazamento ocorreu porque </w:t>
      </w:r>
      <w:r>
        <w:t xml:space="preserve">a </w:t>
      </w:r>
      <w:r>
        <w:rPr>
          <w:spacing w:val="3"/>
        </w:rPr>
        <w:t xml:space="preserve">bacia </w:t>
      </w:r>
      <w:r>
        <w:rPr>
          <w:spacing w:val="1"/>
        </w:rPr>
        <w:t xml:space="preserve">já </w:t>
      </w:r>
      <w:r>
        <w:rPr>
          <w:spacing w:val="3"/>
        </w:rPr>
        <w:t xml:space="preserve">estava cheia, </w:t>
      </w:r>
      <w:r>
        <w:t xml:space="preserve">e </w:t>
      </w:r>
      <w:r>
        <w:rPr>
          <w:spacing w:val="5"/>
        </w:rPr>
        <w:t xml:space="preserve">as </w:t>
      </w:r>
      <w:r>
        <w:rPr>
          <w:spacing w:val="7"/>
        </w:rPr>
        <w:t xml:space="preserve">paredes </w:t>
      </w:r>
      <w:r>
        <w:rPr>
          <w:spacing w:val="5"/>
        </w:rPr>
        <w:t xml:space="preserve">não </w:t>
      </w:r>
      <w:r>
        <w:rPr>
          <w:spacing w:val="7"/>
        </w:rPr>
        <w:t xml:space="preserve">tinham altura </w:t>
      </w:r>
      <w:r>
        <w:rPr>
          <w:spacing w:val="8"/>
        </w:rPr>
        <w:t xml:space="preserve">suficiente </w:t>
      </w:r>
      <w:r>
        <w:rPr>
          <w:spacing w:val="6"/>
        </w:rPr>
        <w:t xml:space="preserve">para </w:t>
      </w:r>
      <w:r>
        <w:rPr>
          <w:spacing w:val="7"/>
        </w:rPr>
        <w:t>supor</w:t>
      </w:r>
      <w:r>
        <w:rPr>
          <w:spacing w:val="7"/>
        </w:rPr>
        <w:t xml:space="preserve">tar </w:t>
      </w:r>
      <w:r>
        <w:t xml:space="preserve">a quantidade de rejeitos produzidos pela empresa (O LIBERAL, </w:t>
      </w:r>
      <w:r>
        <w:rPr>
          <w:spacing w:val="5"/>
        </w:rPr>
        <w:t xml:space="preserve">2009), </w:t>
      </w:r>
      <w:r>
        <w:rPr>
          <w:spacing w:val="3"/>
        </w:rPr>
        <w:t xml:space="preserve">que </w:t>
      </w:r>
      <w:r>
        <w:rPr>
          <w:spacing w:val="5"/>
        </w:rPr>
        <w:t xml:space="preserve">acabou sendo multada (SILVA; </w:t>
      </w:r>
      <w:r>
        <w:rPr>
          <w:spacing w:val="6"/>
        </w:rPr>
        <w:t>BORDALO, 2010).</w:t>
      </w:r>
    </w:p>
    <w:p w:rsidR="00D81F69" w:rsidRDefault="00330118">
      <w:pPr>
        <w:pStyle w:val="Corpodetexto"/>
        <w:spacing w:before="142" w:line="312" w:lineRule="auto"/>
        <w:ind w:right="43"/>
      </w:pPr>
      <w:r>
        <w:t xml:space="preserve">A extração e o processamento de caulim comprometeram a bacia do rio das Cobras, deixando a população do distrito industrial da Vila do </w:t>
      </w:r>
      <w:r>
        <w:t>Conde, as comunidades ribeirinhas e pequenos agricultores sem condições de usar os recursos hídricos da região para o próprio sustento (MAPA DA INJUSTIÇA AMBIENTAL E SAÚDE NO BRASIL, 2009).</w:t>
      </w:r>
    </w:p>
    <w:p w:rsidR="00D81F69" w:rsidRDefault="00330118">
      <w:pPr>
        <w:pStyle w:val="Corpodetexto"/>
        <w:spacing w:before="136" w:line="312" w:lineRule="auto"/>
        <w:ind w:right="47"/>
      </w:pPr>
      <w:r>
        <w:t>Para complicar a situação, a Vale decidiu implantar, em Barcarena,</w:t>
      </w:r>
      <w:r>
        <w:t xml:space="preserve"> uma usina térmica (UTE) movida a carvão mineral importado. A empresa defende que os impactos serão mínimos e que esse tipo de usina é fundamental para o equilíbrio da oferta de energia no país nos próximos anos. Mas uma equipe de pesquisadores analisou o </w:t>
      </w:r>
      <w:r>
        <w:t>projeto, a pedido do Ministério Público do Pará, e descobriu que, apesar do controle de emissões anunciado pela Vale, a usina emitiria 2,2 milhões de toneladas de gás carbônico (FÓRUM CARAJÁS, 2007).</w:t>
      </w:r>
    </w:p>
    <w:p w:rsidR="00D81F69" w:rsidRDefault="00330118">
      <w:pPr>
        <w:pStyle w:val="Corpodetexto"/>
        <w:spacing w:before="76" w:line="270" w:lineRule="atLeast"/>
        <w:ind w:right="68"/>
      </w:pPr>
      <w:r>
        <w:t>Segundo o relatório de impacto ambiental (RIMA), o empre</w:t>
      </w:r>
      <w:r>
        <w:t>endimento será erguido na zona industrial do município e ocupará 120 hectares. No entanto, vai afetar diretamente uma área maior, de 380 hectares cobertos por floresta, dos quais 105 serão derrubados para darem lugar à usina em si, a</w:t>
      </w:r>
    </w:p>
    <w:p w:rsidR="00D81F69" w:rsidRDefault="00330118">
      <w:pPr>
        <w:pStyle w:val="Corpodetexto"/>
        <w:spacing w:before="81" w:line="312" w:lineRule="auto"/>
        <w:ind w:right="230"/>
      </w:pPr>
      <w:r>
        <w:br w:type="column"/>
      </w:r>
      <w:r>
        <w:rPr>
          <w:spacing w:val="1"/>
        </w:rPr>
        <w:lastRenderedPageBreak/>
        <w:t xml:space="preserve">um </w:t>
      </w:r>
      <w:r>
        <w:rPr>
          <w:spacing w:val="3"/>
        </w:rPr>
        <w:t xml:space="preserve">pátio </w:t>
      </w:r>
      <w:r>
        <w:rPr>
          <w:spacing w:val="1"/>
        </w:rPr>
        <w:t xml:space="preserve">de </w:t>
      </w:r>
      <w:r>
        <w:rPr>
          <w:spacing w:val="3"/>
        </w:rPr>
        <w:t xml:space="preserve">carvão </w:t>
      </w:r>
      <w:r>
        <w:t xml:space="preserve">e </w:t>
      </w:r>
      <w:r>
        <w:t xml:space="preserve">a </w:t>
      </w:r>
      <w:r>
        <w:rPr>
          <w:spacing w:val="3"/>
        </w:rPr>
        <w:t xml:space="preserve">outro, </w:t>
      </w:r>
      <w:r>
        <w:rPr>
          <w:spacing w:val="2"/>
        </w:rPr>
        <w:t xml:space="preserve">para </w:t>
      </w:r>
      <w:r>
        <w:rPr>
          <w:spacing w:val="1"/>
        </w:rPr>
        <w:t xml:space="preserve">as </w:t>
      </w:r>
      <w:r>
        <w:rPr>
          <w:spacing w:val="3"/>
        </w:rPr>
        <w:t xml:space="preserve">cinzas geradas </w:t>
      </w:r>
      <w:r>
        <w:rPr>
          <w:spacing w:val="5"/>
        </w:rPr>
        <w:t xml:space="preserve">no </w:t>
      </w:r>
      <w:r>
        <w:rPr>
          <w:spacing w:val="3"/>
        </w:rPr>
        <w:t xml:space="preserve">processo </w:t>
      </w:r>
      <w:r>
        <w:rPr>
          <w:spacing w:val="1"/>
        </w:rPr>
        <w:t xml:space="preserve">de </w:t>
      </w:r>
      <w:r>
        <w:rPr>
          <w:spacing w:val="3"/>
        </w:rPr>
        <w:t xml:space="preserve">queima </w:t>
      </w:r>
      <w:r>
        <w:rPr>
          <w:spacing w:val="1"/>
        </w:rPr>
        <w:t xml:space="preserve">do </w:t>
      </w:r>
      <w:r>
        <w:rPr>
          <w:spacing w:val="3"/>
        </w:rPr>
        <w:t xml:space="preserve">combustível (FÓRUM </w:t>
      </w:r>
      <w:r>
        <w:rPr>
          <w:spacing w:val="5"/>
        </w:rPr>
        <w:t xml:space="preserve">CARAJÁS, </w:t>
      </w:r>
      <w:r>
        <w:t xml:space="preserve">2007). Em 2008, o Conselho Estadual de Meio Ambiente do Pará (Coema) acabou aprovando a Licença Prévia (LP) para  a </w:t>
      </w:r>
      <w:r>
        <w:rPr>
          <w:spacing w:val="11"/>
        </w:rPr>
        <w:t xml:space="preserve">UTE. </w:t>
      </w:r>
      <w:r>
        <w:t xml:space="preserve">A </w:t>
      </w:r>
      <w:r>
        <w:rPr>
          <w:spacing w:val="10"/>
        </w:rPr>
        <w:t xml:space="preserve">LP, </w:t>
      </w:r>
      <w:r>
        <w:rPr>
          <w:spacing w:val="7"/>
        </w:rPr>
        <w:t xml:space="preserve">no </w:t>
      </w:r>
      <w:r>
        <w:rPr>
          <w:spacing w:val="13"/>
        </w:rPr>
        <w:t xml:space="preserve">entanto, </w:t>
      </w:r>
      <w:r>
        <w:rPr>
          <w:spacing w:val="10"/>
        </w:rPr>
        <w:t xml:space="preserve">foi </w:t>
      </w:r>
      <w:r>
        <w:rPr>
          <w:spacing w:val="15"/>
        </w:rPr>
        <w:t xml:space="preserve">concedida </w:t>
      </w:r>
      <w:r>
        <w:rPr>
          <w:spacing w:val="10"/>
        </w:rPr>
        <w:t xml:space="preserve">com </w:t>
      </w:r>
      <w:r>
        <w:rPr>
          <w:spacing w:val="7"/>
        </w:rPr>
        <w:t xml:space="preserve">55 </w:t>
      </w:r>
      <w:r>
        <w:t xml:space="preserve">condicionantes que deverão ser atendidas pela Vale para que </w:t>
      </w:r>
      <w:r>
        <w:rPr>
          <w:spacing w:val="2"/>
        </w:rPr>
        <w:t xml:space="preserve">seja </w:t>
      </w:r>
      <w:r>
        <w:rPr>
          <w:spacing w:val="3"/>
        </w:rPr>
        <w:t xml:space="preserve">concedida </w:t>
      </w:r>
      <w:r>
        <w:t xml:space="preserve">a </w:t>
      </w:r>
      <w:r>
        <w:rPr>
          <w:spacing w:val="3"/>
        </w:rPr>
        <w:t xml:space="preserve">Licença </w:t>
      </w:r>
      <w:r>
        <w:rPr>
          <w:spacing w:val="1"/>
        </w:rPr>
        <w:t xml:space="preserve">de </w:t>
      </w:r>
      <w:r>
        <w:rPr>
          <w:spacing w:val="3"/>
        </w:rPr>
        <w:t xml:space="preserve">Instalação (LI), permitindo </w:t>
      </w:r>
      <w:r>
        <w:t xml:space="preserve">o </w:t>
      </w:r>
      <w:r>
        <w:rPr>
          <w:spacing w:val="3"/>
        </w:rPr>
        <w:t>início</w:t>
      </w:r>
      <w:r>
        <w:rPr>
          <w:spacing w:val="25"/>
        </w:rPr>
        <w:t xml:space="preserve"> </w:t>
      </w:r>
      <w:r>
        <w:rPr>
          <w:spacing w:val="2"/>
        </w:rPr>
        <w:t>das</w:t>
      </w:r>
      <w:r>
        <w:rPr>
          <w:spacing w:val="25"/>
        </w:rPr>
        <w:t xml:space="preserve"> </w:t>
      </w:r>
      <w:r>
        <w:rPr>
          <w:spacing w:val="3"/>
        </w:rPr>
        <w:t>obras</w:t>
      </w:r>
      <w:r>
        <w:rPr>
          <w:spacing w:val="25"/>
        </w:rPr>
        <w:t xml:space="preserve"> </w:t>
      </w:r>
      <w:r>
        <w:rPr>
          <w:spacing w:val="3"/>
        </w:rPr>
        <w:t>(PARÁ</w:t>
      </w:r>
      <w:r>
        <w:rPr>
          <w:spacing w:val="25"/>
        </w:rPr>
        <w:t xml:space="preserve"> </w:t>
      </w:r>
      <w:r>
        <w:rPr>
          <w:spacing w:val="3"/>
        </w:rPr>
        <w:t>NEGÓCIOS,</w:t>
      </w:r>
      <w:r>
        <w:rPr>
          <w:spacing w:val="25"/>
        </w:rPr>
        <w:t xml:space="preserve"> </w:t>
      </w:r>
      <w:r>
        <w:rPr>
          <w:spacing w:val="5"/>
        </w:rPr>
        <w:t>2008).</w:t>
      </w:r>
    </w:p>
    <w:p w:rsidR="00D81F69" w:rsidRDefault="00D81F69">
      <w:pPr>
        <w:pStyle w:val="Corpodetexto"/>
        <w:spacing w:before="7"/>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248"/>
      </w:pPr>
      <w:r>
        <w:t>O município de Barcarena, que abriga os complexos do alumínio Albras – Alunorte, do caulim e também novos projetos industriais e atividades portuárias, está localizado na latitude 1°31’08”S e longitude 48°37’01”W.</w:t>
      </w:r>
    </w:p>
    <w:p w:rsidR="00D81F69" w:rsidRDefault="00D81F69">
      <w:pPr>
        <w:pStyle w:val="Corpodetexto"/>
        <w:spacing w:before="1"/>
        <w:ind w:left="0"/>
        <w:jc w:val="left"/>
        <w:rPr>
          <w:sz w:val="29"/>
        </w:rPr>
      </w:pPr>
    </w:p>
    <w:p w:rsidR="00D81F69" w:rsidRDefault="00330118">
      <w:pPr>
        <w:pStyle w:val="Heading7"/>
      </w:pPr>
      <w:r>
        <w:t>REDATORES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147"/>
        <w:jc w:val="both"/>
        <w:rPr>
          <w:sz w:val="16"/>
        </w:rPr>
      </w:pPr>
      <w:r>
        <w:rPr>
          <w:sz w:val="16"/>
        </w:rPr>
        <w:t xml:space="preserve">BARROS, Márcio Júnior Benassuly. Mineração, finanças públicas e desenvolvimento local no município de Barcarena-Pará, 2009. 141 f. Dissertação (Mestrado em Geografia), Universidade Federal do Pará,  </w:t>
      </w:r>
      <w:r>
        <w:rPr>
          <w:spacing w:val="2"/>
          <w:sz w:val="16"/>
        </w:rPr>
        <w:t xml:space="preserve">B e l é </w:t>
      </w:r>
      <w:r>
        <w:rPr>
          <w:sz w:val="16"/>
        </w:rPr>
        <w:t xml:space="preserve">m </w:t>
      </w:r>
      <w:r>
        <w:rPr>
          <w:spacing w:val="2"/>
          <w:sz w:val="16"/>
        </w:rPr>
        <w:t xml:space="preserve">( P A ) </w:t>
      </w:r>
      <w:r>
        <w:rPr>
          <w:sz w:val="16"/>
        </w:rPr>
        <w:t xml:space="preserve">. </w:t>
      </w:r>
      <w:r>
        <w:rPr>
          <w:spacing w:val="2"/>
          <w:sz w:val="16"/>
        </w:rPr>
        <w:t>D i s p o</w:t>
      </w:r>
      <w:r>
        <w:rPr>
          <w:spacing w:val="2"/>
          <w:sz w:val="16"/>
        </w:rPr>
        <w:t xml:space="preserve"> n í v e </w:t>
      </w:r>
      <w:r>
        <w:rPr>
          <w:sz w:val="16"/>
        </w:rPr>
        <w:t xml:space="preserve">l </w:t>
      </w:r>
      <w:r>
        <w:rPr>
          <w:spacing w:val="2"/>
          <w:sz w:val="16"/>
        </w:rPr>
        <w:t>e m</w:t>
      </w:r>
      <w:r>
        <w:rPr>
          <w:spacing w:val="16"/>
          <w:sz w:val="16"/>
        </w:rPr>
        <w:t xml:space="preserve"> </w:t>
      </w:r>
      <w:r>
        <w:rPr>
          <w:sz w:val="16"/>
        </w:rPr>
        <w:t xml:space="preserve">: </w:t>
      </w:r>
      <w:r>
        <w:rPr>
          <w:spacing w:val="3"/>
          <w:sz w:val="16"/>
        </w:rPr>
        <w:t xml:space="preserve"> </w:t>
      </w:r>
    </w:p>
    <w:p w:rsidR="00D81F69" w:rsidRDefault="00D81F69">
      <w:pPr>
        <w:spacing w:before="3" w:line="312" w:lineRule="auto"/>
        <w:ind w:left="100" w:right="256"/>
        <w:jc w:val="both"/>
        <w:rPr>
          <w:sz w:val="16"/>
        </w:rPr>
      </w:pPr>
      <w:hyperlink r:id="rId223">
        <w:r w:rsidR="00330118">
          <w:rPr>
            <w:sz w:val="16"/>
          </w:rPr>
          <w:t>&lt;http://www.ufpa.br/ppgeo/arquivos/dissertacoes/2009/Marcio%20Be</w:t>
        </w:r>
      </w:hyperlink>
      <w:r w:rsidR="00330118">
        <w:rPr>
          <w:sz w:val="16"/>
        </w:rPr>
        <w:t xml:space="preserve"> nassuly.pdf&gt;. Acesso em: 30 dez. 2010.</w:t>
      </w:r>
    </w:p>
    <w:p w:rsidR="00D81F69" w:rsidRDefault="00330118">
      <w:pPr>
        <w:tabs>
          <w:tab w:val="left" w:pos="4331"/>
        </w:tabs>
        <w:spacing w:before="2" w:line="312" w:lineRule="auto"/>
        <w:ind w:left="100" w:right="238"/>
        <w:jc w:val="both"/>
        <w:rPr>
          <w:sz w:val="16"/>
        </w:rPr>
      </w:pPr>
      <w:r>
        <w:rPr>
          <w:spacing w:val="5"/>
          <w:sz w:val="16"/>
        </w:rPr>
        <w:t xml:space="preserve">BRASIL MINERAL. Bauxita: Sectam aprova licença para </w:t>
      </w:r>
      <w:r>
        <w:rPr>
          <w:spacing w:val="6"/>
          <w:sz w:val="16"/>
        </w:rPr>
        <w:t xml:space="preserve">Vale </w:t>
      </w:r>
      <w:r>
        <w:rPr>
          <w:sz w:val="16"/>
        </w:rPr>
        <w:t xml:space="preserve">explorar lavra no Pará. In: Brasil Mineral OnLine n°164, 04 jun. 2004.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256"/>
        <w:jc w:val="both"/>
        <w:rPr>
          <w:sz w:val="16"/>
        </w:rPr>
      </w:pPr>
      <w:hyperlink r:id="rId224">
        <w:r w:rsidR="00330118">
          <w:rPr>
            <w:sz w:val="16"/>
          </w:rPr>
          <w:t>&lt;</w:t>
        </w:r>
        <w:r w:rsidR="00330118">
          <w:rPr>
            <w:sz w:val="16"/>
          </w:rPr>
          <w:t>http://www.brasilmineral.com.br/BM/default.asp?COD=1258&amp;busca=</w:t>
        </w:r>
      </w:hyperlink>
      <w:r w:rsidR="00330118">
        <w:rPr>
          <w:sz w:val="16"/>
        </w:rPr>
        <w:t xml:space="preserve"> &amp;numero=164&gt;. Acesso em 30 dez. 2010.</w:t>
      </w:r>
    </w:p>
    <w:p w:rsidR="00D81F69" w:rsidRDefault="00330118">
      <w:pPr>
        <w:tabs>
          <w:tab w:val="left" w:pos="643"/>
        </w:tabs>
        <w:spacing w:before="2" w:line="312" w:lineRule="auto"/>
        <w:ind w:left="100" w:right="231"/>
        <w:jc w:val="both"/>
        <w:rPr>
          <w:sz w:val="16"/>
        </w:rPr>
      </w:pPr>
      <w:r>
        <w:rPr>
          <w:sz w:val="16"/>
          <w:u w:val="single"/>
        </w:rPr>
        <w:t xml:space="preserve"> </w:t>
      </w:r>
      <w:r>
        <w:rPr>
          <w:sz w:val="16"/>
          <w:u w:val="single"/>
        </w:rPr>
        <w:tab/>
      </w:r>
      <w:r>
        <w:rPr>
          <w:sz w:val="16"/>
        </w:rPr>
        <w:t xml:space="preserve">. Alumina: Alunorte conclui em outubro 3ª fase de Barcarena. </w:t>
      </w:r>
      <w:r>
        <w:rPr>
          <w:spacing w:val="3"/>
          <w:sz w:val="16"/>
        </w:rPr>
        <w:t>In:</w:t>
      </w:r>
      <w:r>
        <w:rPr>
          <w:spacing w:val="41"/>
          <w:sz w:val="16"/>
        </w:rPr>
        <w:t xml:space="preserve"> </w:t>
      </w:r>
      <w:r>
        <w:rPr>
          <w:spacing w:val="5"/>
          <w:sz w:val="16"/>
        </w:rPr>
        <w:t>Brasil</w:t>
      </w:r>
      <w:r>
        <w:rPr>
          <w:spacing w:val="41"/>
          <w:sz w:val="16"/>
        </w:rPr>
        <w:t xml:space="preserve"> </w:t>
      </w:r>
      <w:r>
        <w:rPr>
          <w:spacing w:val="5"/>
          <w:sz w:val="16"/>
        </w:rPr>
        <w:t>Mineral</w:t>
      </w:r>
      <w:r>
        <w:rPr>
          <w:spacing w:val="41"/>
          <w:sz w:val="16"/>
        </w:rPr>
        <w:t xml:space="preserve"> </w:t>
      </w:r>
      <w:r>
        <w:rPr>
          <w:spacing w:val="5"/>
          <w:sz w:val="16"/>
        </w:rPr>
        <w:t>OnLine</w:t>
      </w:r>
      <w:r>
        <w:rPr>
          <w:spacing w:val="41"/>
          <w:sz w:val="16"/>
        </w:rPr>
        <w:t xml:space="preserve"> </w:t>
      </w:r>
      <w:r>
        <w:rPr>
          <w:spacing w:val="5"/>
          <w:sz w:val="16"/>
        </w:rPr>
        <w:t>n°274,</w:t>
      </w:r>
      <w:r>
        <w:rPr>
          <w:spacing w:val="41"/>
          <w:sz w:val="16"/>
        </w:rPr>
        <w:t xml:space="preserve"> </w:t>
      </w:r>
      <w:r>
        <w:rPr>
          <w:spacing w:val="2"/>
          <w:sz w:val="16"/>
        </w:rPr>
        <w:t>11</w:t>
      </w:r>
      <w:r>
        <w:rPr>
          <w:spacing w:val="41"/>
          <w:sz w:val="16"/>
        </w:rPr>
        <w:t xml:space="preserve"> </w:t>
      </w:r>
      <w:r>
        <w:rPr>
          <w:spacing w:val="5"/>
          <w:sz w:val="16"/>
        </w:rPr>
        <w:t>out.</w:t>
      </w:r>
      <w:r>
        <w:rPr>
          <w:spacing w:val="41"/>
          <w:sz w:val="16"/>
        </w:rPr>
        <w:t xml:space="preserve"> </w:t>
      </w:r>
      <w:r>
        <w:rPr>
          <w:spacing w:val="5"/>
          <w:sz w:val="16"/>
        </w:rPr>
        <w:t>2006.</w:t>
      </w:r>
      <w:r>
        <w:rPr>
          <w:spacing w:val="41"/>
          <w:sz w:val="16"/>
        </w:rPr>
        <w:t xml:space="preserve"> </w:t>
      </w:r>
      <w:r>
        <w:rPr>
          <w:spacing w:val="5"/>
          <w:sz w:val="16"/>
        </w:rPr>
        <w:t>Disponível</w:t>
      </w:r>
      <w:r>
        <w:rPr>
          <w:spacing w:val="41"/>
          <w:sz w:val="16"/>
        </w:rPr>
        <w:t xml:space="preserve"> </w:t>
      </w:r>
      <w:r>
        <w:rPr>
          <w:spacing w:val="6"/>
          <w:sz w:val="16"/>
        </w:rPr>
        <w:t>em:</w:t>
      </w:r>
    </w:p>
    <w:p w:rsidR="00D81F69" w:rsidRDefault="00D81F69">
      <w:pPr>
        <w:spacing w:before="2" w:line="312" w:lineRule="auto"/>
        <w:ind w:left="100" w:right="256"/>
        <w:jc w:val="both"/>
        <w:rPr>
          <w:sz w:val="16"/>
        </w:rPr>
      </w:pPr>
      <w:hyperlink r:id="rId225">
        <w:r w:rsidR="00330118">
          <w:rPr>
            <w:sz w:val="16"/>
          </w:rPr>
          <w:t>&lt;http://www.brasilmineral.com.br/BM/default.asp?COD=2570&amp;busca=</w:t>
        </w:r>
      </w:hyperlink>
      <w:r w:rsidR="00330118">
        <w:rPr>
          <w:sz w:val="16"/>
        </w:rPr>
        <w:t xml:space="preserve"> &amp;numero=274 &gt;. Acesso em: 30 dez. 2010.</w:t>
      </w:r>
    </w:p>
    <w:p w:rsidR="00D81F69" w:rsidRDefault="00330118">
      <w:pPr>
        <w:spacing w:before="1" w:line="312" w:lineRule="auto"/>
        <w:ind w:left="100" w:right="232"/>
        <w:jc w:val="both"/>
        <w:rPr>
          <w:sz w:val="16"/>
        </w:rPr>
      </w:pPr>
      <w:r>
        <w:rPr>
          <w:sz w:val="16"/>
        </w:rPr>
        <w:t>COELHO, Maria Célia Nunes; MONTEIRO, Maurílio de Abreu; SANTOS, Ivaneide Coelho. Políticas públicas, corredores de exportação, modernização portuária, industrialização e impactos territoriais e ambientais no município de Barcarena, Pará. In: Novos Cadernos</w:t>
      </w:r>
      <w:r>
        <w:rPr>
          <w:sz w:val="16"/>
        </w:rPr>
        <w:t xml:space="preserve"> NAEA, v. 11, n. 1, p. 141-178, jun. 2004. Disponível em:</w:t>
      </w:r>
    </w:p>
    <w:p w:rsidR="00D81F69" w:rsidRDefault="00D81F69">
      <w:pPr>
        <w:spacing w:before="4" w:line="312" w:lineRule="auto"/>
        <w:ind w:left="100" w:right="238"/>
        <w:jc w:val="both"/>
        <w:rPr>
          <w:sz w:val="16"/>
        </w:rPr>
      </w:pPr>
      <w:hyperlink r:id="rId226">
        <w:r w:rsidR="00330118">
          <w:rPr>
            <w:sz w:val="16"/>
          </w:rPr>
          <w:t>&lt;http://www.periodicos.ufpa.br/index.php/ncn/article/viewArticle/264&gt;.</w:t>
        </w:r>
      </w:hyperlink>
      <w:r w:rsidR="00330118">
        <w:rPr>
          <w:sz w:val="16"/>
        </w:rPr>
        <w:t xml:space="preserve"> Acesso em: 30 dez. 2010.</w:t>
      </w:r>
    </w:p>
    <w:p w:rsidR="00D81F69" w:rsidRDefault="00330118">
      <w:pPr>
        <w:spacing w:before="2" w:line="312" w:lineRule="auto"/>
        <w:ind w:left="100" w:right="214"/>
        <w:jc w:val="both"/>
        <w:rPr>
          <w:sz w:val="16"/>
        </w:rPr>
      </w:pPr>
      <w:r>
        <w:rPr>
          <w:sz w:val="16"/>
        </w:rPr>
        <w:t>CONCEIÇÃO, Arthur</w:t>
      </w:r>
      <w:r>
        <w:rPr>
          <w:sz w:val="16"/>
        </w:rPr>
        <w:t xml:space="preserve"> Jardel da; PEREIRA, Marllon Mariano da Silva. Caracterização da água subterrânea de Vila dos Cabanos e bairros adjacentes. Barcarena (PA), 2009. Disponível em: </w:t>
      </w:r>
    </w:p>
    <w:p w:rsidR="00D81F69" w:rsidRDefault="00D81F69">
      <w:pPr>
        <w:spacing w:before="2" w:line="312" w:lineRule="auto"/>
        <w:ind w:left="100" w:right="256"/>
        <w:jc w:val="both"/>
        <w:rPr>
          <w:sz w:val="16"/>
        </w:rPr>
      </w:pPr>
      <w:hyperlink r:id="rId227">
        <w:r w:rsidR="00330118">
          <w:rPr>
            <w:sz w:val="16"/>
          </w:rPr>
          <w:t>&lt;http://w</w:t>
        </w:r>
        <w:r w:rsidR="00330118">
          <w:rPr>
            <w:sz w:val="16"/>
          </w:rPr>
          <w:t>ww2.uepa.br/educar/sites/default/files/Universidade_do_Esta</w:t>
        </w:r>
      </w:hyperlink>
      <w:r w:rsidR="00330118">
        <w:rPr>
          <w:sz w:val="16"/>
        </w:rPr>
        <w:t xml:space="preserve"> do_do_Para.pdf&gt;. Acesso em: 30 dez. 2010.</w:t>
      </w:r>
    </w:p>
    <w:p w:rsidR="00D81F69" w:rsidRDefault="00330118">
      <w:pPr>
        <w:tabs>
          <w:tab w:val="left" w:pos="4331"/>
        </w:tabs>
        <w:spacing w:before="2" w:line="312" w:lineRule="auto"/>
        <w:ind w:left="100" w:right="235"/>
        <w:jc w:val="both"/>
        <w:rPr>
          <w:sz w:val="16"/>
        </w:rPr>
      </w:pPr>
      <w:r>
        <w:rPr>
          <w:spacing w:val="1"/>
          <w:sz w:val="16"/>
        </w:rPr>
        <w:t xml:space="preserve">CRUZ NETO, Raimundo. </w:t>
      </w:r>
      <w:r>
        <w:rPr>
          <w:sz w:val="16"/>
        </w:rPr>
        <w:t xml:space="preserve">A </w:t>
      </w:r>
      <w:r>
        <w:rPr>
          <w:spacing w:val="1"/>
          <w:sz w:val="16"/>
        </w:rPr>
        <w:t xml:space="preserve">expansão </w:t>
      </w:r>
      <w:r>
        <w:rPr>
          <w:sz w:val="16"/>
        </w:rPr>
        <w:t xml:space="preserve">da </w:t>
      </w:r>
      <w:r>
        <w:rPr>
          <w:spacing w:val="1"/>
          <w:sz w:val="16"/>
        </w:rPr>
        <w:t xml:space="preserve">exploração mineraria </w:t>
      </w:r>
      <w:r>
        <w:rPr>
          <w:spacing w:val="2"/>
          <w:sz w:val="16"/>
        </w:rPr>
        <w:t xml:space="preserve">na </w:t>
      </w:r>
      <w:r>
        <w:rPr>
          <w:spacing w:val="1"/>
          <w:sz w:val="16"/>
        </w:rPr>
        <w:t xml:space="preserve">Amazônia </w:t>
      </w:r>
      <w:r>
        <w:rPr>
          <w:sz w:val="16"/>
        </w:rPr>
        <w:t xml:space="preserve">e </w:t>
      </w:r>
      <w:r>
        <w:rPr>
          <w:spacing w:val="1"/>
          <w:sz w:val="16"/>
        </w:rPr>
        <w:t xml:space="preserve">suas consequências. </w:t>
      </w:r>
      <w:r>
        <w:rPr>
          <w:sz w:val="16"/>
        </w:rPr>
        <w:t xml:space="preserve">In: </w:t>
      </w:r>
      <w:r>
        <w:rPr>
          <w:spacing w:val="1"/>
          <w:sz w:val="16"/>
        </w:rPr>
        <w:t xml:space="preserve">Fórum Carajás, </w:t>
      </w:r>
      <w:r>
        <w:rPr>
          <w:sz w:val="16"/>
        </w:rPr>
        <w:t xml:space="preserve">03  </w:t>
      </w:r>
      <w:r>
        <w:rPr>
          <w:spacing w:val="1"/>
          <w:sz w:val="16"/>
        </w:rPr>
        <w:t xml:space="preserve">jul. </w:t>
      </w:r>
      <w:r>
        <w:rPr>
          <w:spacing w:val="2"/>
          <w:sz w:val="16"/>
        </w:rPr>
        <w:t>2009.</w:t>
      </w:r>
      <w:r>
        <w:rPr>
          <w:spacing w:val="50"/>
          <w:sz w:val="16"/>
        </w:rPr>
        <w:t xml:space="preserve"> </w:t>
      </w:r>
      <w:r>
        <w:rPr>
          <w:sz w:val="16"/>
        </w:rPr>
        <w:t xml:space="preserve">D      i      s      p      o </w:t>
      </w:r>
      <w:r>
        <w:rPr>
          <w:sz w:val="16"/>
        </w:rPr>
        <w:t xml:space="preserve">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235"/>
        <w:jc w:val="both"/>
        <w:rPr>
          <w:sz w:val="16"/>
        </w:rPr>
      </w:pPr>
      <w:hyperlink r:id="rId228">
        <w:r w:rsidR="00330118">
          <w:rPr>
            <w:sz w:val="16"/>
          </w:rPr>
          <w:t>&lt;http://www.forumcarajas.org.br/portal.php?artigo&amp;mostra&amp;2880&gt;.</w:t>
        </w:r>
      </w:hyperlink>
      <w:r w:rsidR="00330118">
        <w:rPr>
          <w:sz w:val="16"/>
        </w:rPr>
        <w:t xml:space="preserve"> Acesso em: 30 dez. 2010.</w:t>
      </w:r>
    </w:p>
    <w:p w:rsidR="00D81F69" w:rsidRDefault="00330118">
      <w:pPr>
        <w:spacing w:before="2" w:line="312" w:lineRule="auto"/>
        <w:ind w:left="100" w:right="235"/>
        <w:jc w:val="both"/>
        <w:rPr>
          <w:sz w:val="16"/>
        </w:rPr>
      </w:pPr>
      <w:r>
        <w:rPr>
          <w:sz w:val="16"/>
        </w:rPr>
        <w:t>DCI, Diário de Comércio e Indústria. Vale inaugura hoje 3ª expansão da Alunorte. In: Instituto Brasileiro de Mineração (Ibram), 14 ago.</w:t>
      </w:r>
    </w:p>
    <w:p w:rsidR="00D81F69" w:rsidRDefault="00330118">
      <w:pPr>
        <w:tabs>
          <w:tab w:val="left" w:pos="1785"/>
          <w:tab w:val="left" w:pos="4548"/>
        </w:tabs>
        <w:spacing w:before="2"/>
        <w:ind w:left="100"/>
        <w:jc w:val="both"/>
        <w:rPr>
          <w:sz w:val="16"/>
        </w:rPr>
      </w:pPr>
      <w:r>
        <w:rPr>
          <w:sz w:val="16"/>
        </w:rPr>
        <w:t xml:space="preserve">2   0   0  </w:t>
      </w:r>
      <w:r>
        <w:rPr>
          <w:spacing w:val="35"/>
          <w:sz w:val="16"/>
        </w:rPr>
        <w:t xml:space="preserve"> </w:t>
      </w:r>
      <w:r>
        <w:rPr>
          <w:sz w:val="16"/>
        </w:rPr>
        <w:t xml:space="preserve">8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36"/>
        <w:jc w:val="both"/>
        <w:rPr>
          <w:sz w:val="16"/>
        </w:rPr>
      </w:pPr>
      <w:hyperlink r:id="rId229">
        <w:r w:rsidR="00330118">
          <w:rPr>
            <w:sz w:val="16"/>
          </w:rPr>
          <w:t>&lt;http://www.ibram.org.br/150/15001002.asp?ttCD_CHAVE=63476&gt;.</w:t>
        </w:r>
      </w:hyperlink>
      <w:r w:rsidR="00330118">
        <w:rPr>
          <w:sz w:val="16"/>
        </w:rPr>
        <w:t xml:space="preserve"> Acesso em: 30 dez. 2010.</w:t>
      </w:r>
    </w:p>
    <w:p w:rsidR="00D81F69" w:rsidRDefault="00330118">
      <w:pPr>
        <w:spacing w:before="1" w:line="312" w:lineRule="auto"/>
        <w:ind w:left="100" w:right="237"/>
        <w:jc w:val="both"/>
        <w:rPr>
          <w:sz w:val="16"/>
        </w:rPr>
      </w:pPr>
      <w:r>
        <w:rPr>
          <w:sz w:val="16"/>
        </w:rPr>
        <w:t xml:space="preserve">DIÁRIO DO PARÁ. Impacto ambiental em Barcarena ameaça populações locais. In: Justiça nos Trilhos, 13 mai. 2009. Disponível em: </w:t>
      </w:r>
      <w:hyperlink r:id="rId230">
        <w:r>
          <w:rPr>
            <w:sz w:val="16"/>
          </w:rPr>
          <w:t xml:space="preserve">&lt;http://www.justicanostrilhos.org/nota/111&gt;. </w:t>
        </w:r>
      </w:hyperlink>
      <w:r>
        <w:rPr>
          <w:sz w:val="16"/>
        </w:rPr>
        <w:t>Acesso em 30 dez.</w:t>
      </w:r>
    </w:p>
    <w:p w:rsidR="00D81F69" w:rsidRDefault="00D81F69">
      <w:pPr>
        <w:spacing w:line="312" w:lineRule="auto"/>
        <w:jc w:val="both"/>
        <w:rPr>
          <w:sz w:val="16"/>
        </w:rPr>
        <w:sectPr w:rsidR="00D81F69">
          <w:pgSz w:w="11900" w:h="16840"/>
          <w:pgMar w:top="740" w:right="460" w:bottom="640" w:left="620" w:header="0" w:footer="402" w:gutter="0"/>
          <w:cols w:num="2" w:space="720" w:equalWidth="0">
            <w:col w:w="5165" w:space="305"/>
            <w:col w:w="5350"/>
          </w:cols>
        </w:sectPr>
      </w:pPr>
    </w:p>
    <w:p w:rsidR="00D81F69" w:rsidRDefault="00330118">
      <w:pPr>
        <w:spacing w:before="70"/>
        <w:ind w:left="100"/>
        <w:rPr>
          <w:sz w:val="16"/>
        </w:rPr>
      </w:pPr>
      <w:r>
        <w:rPr>
          <w:sz w:val="16"/>
        </w:rPr>
        <w:lastRenderedPageBreak/>
        <w:t>2010.</w:t>
      </w:r>
    </w:p>
    <w:p w:rsidR="00D81F69" w:rsidRDefault="00330118">
      <w:pPr>
        <w:spacing w:before="56"/>
        <w:ind w:left="100"/>
        <w:rPr>
          <w:sz w:val="16"/>
        </w:rPr>
      </w:pPr>
      <w:r>
        <w:rPr>
          <w:sz w:val="16"/>
        </w:rPr>
        <w:t>FORUM CARAJÁS. UTE Barcarena: Contra tudo e contra todos,</w:t>
      </w:r>
    </w:p>
    <w:p w:rsidR="00D81F69" w:rsidRDefault="00330118">
      <w:pPr>
        <w:tabs>
          <w:tab w:val="left" w:pos="1785"/>
          <w:tab w:val="left" w:pos="4548"/>
        </w:tabs>
        <w:spacing w:before="56"/>
        <w:ind w:left="100"/>
        <w:rPr>
          <w:sz w:val="16"/>
        </w:rPr>
      </w:pPr>
      <w:r>
        <w:rPr>
          <w:sz w:val="16"/>
        </w:rPr>
        <w:t xml:space="preserve">2   0   0  </w:t>
      </w:r>
      <w:r>
        <w:rPr>
          <w:spacing w:val="35"/>
          <w:sz w:val="16"/>
        </w:rPr>
        <w:t xml:space="preserve"> </w:t>
      </w:r>
      <w:r>
        <w:rPr>
          <w:sz w:val="16"/>
        </w:rPr>
        <w:t xml:space="preserve">7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Pr>
          <w:sz w:val="16"/>
        </w:rPr>
      </w:pPr>
      <w:hyperlink r:id="rId231">
        <w:r w:rsidR="00330118">
          <w:rPr>
            <w:sz w:val="16"/>
          </w:rPr>
          <w:t>&lt;http://www.forumcarajas.org.br/portal.php?noticia&amp;mostra&amp;641&gt;.</w:t>
        </w:r>
      </w:hyperlink>
      <w:r w:rsidR="00330118">
        <w:rPr>
          <w:sz w:val="16"/>
        </w:rPr>
        <w:t xml:space="preserve"> Acesso em: 30 dez. 2010.</w:t>
      </w:r>
    </w:p>
    <w:p w:rsidR="00D81F69" w:rsidRDefault="00330118">
      <w:pPr>
        <w:tabs>
          <w:tab w:val="left" w:pos="738"/>
          <w:tab w:val="left" w:pos="1645"/>
          <w:tab w:val="left" w:pos="3056"/>
          <w:tab w:val="left" w:pos="4712"/>
        </w:tabs>
        <w:spacing w:before="1" w:line="312" w:lineRule="auto"/>
        <w:ind w:left="100" w:right="57"/>
        <w:rPr>
          <w:sz w:val="16"/>
        </w:rPr>
      </w:pPr>
      <w:r>
        <w:rPr>
          <w:sz w:val="16"/>
        </w:rPr>
        <w:t xml:space="preserve">IBGE, Instituto Brasileiro de Geografia e Estatística. Bacarena (PA).     </w:t>
      </w:r>
      <w:r>
        <w:rPr>
          <w:spacing w:val="17"/>
          <w:sz w:val="16"/>
        </w:rPr>
        <w:t>I</w:t>
      </w:r>
      <w:r>
        <w:rPr>
          <w:sz w:val="16"/>
        </w:rPr>
        <w:t xml:space="preserve"> </w:t>
      </w:r>
      <w:r>
        <w:rPr>
          <w:spacing w:val="17"/>
          <w:sz w:val="16"/>
        </w:rPr>
        <w:t>n</w:t>
      </w:r>
      <w:r>
        <w:rPr>
          <w:sz w:val="16"/>
        </w:rPr>
        <w:t xml:space="preserve"> </w:t>
      </w:r>
      <w:r>
        <w:rPr>
          <w:sz w:val="16"/>
        </w:rPr>
        <w:t>:</w:t>
      </w:r>
      <w:r>
        <w:rPr>
          <w:sz w:val="16"/>
        </w:rPr>
        <w:tab/>
      </w:r>
      <w:r>
        <w:rPr>
          <w:spacing w:val="17"/>
          <w:sz w:val="16"/>
        </w:rPr>
        <w:t>I B</w:t>
      </w:r>
      <w:r>
        <w:rPr>
          <w:spacing w:val="-17"/>
          <w:sz w:val="16"/>
        </w:rPr>
        <w:t xml:space="preserve"> </w:t>
      </w:r>
      <w:r>
        <w:rPr>
          <w:spacing w:val="17"/>
          <w:sz w:val="16"/>
        </w:rPr>
        <w:t>G</w:t>
      </w:r>
      <w:r>
        <w:rPr>
          <w:sz w:val="16"/>
        </w:rPr>
        <w:t xml:space="preserve"> E</w:t>
      </w:r>
      <w:r>
        <w:rPr>
          <w:sz w:val="16"/>
        </w:rPr>
        <w:tab/>
      </w:r>
      <w:r>
        <w:rPr>
          <w:spacing w:val="17"/>
          <w:sz w:val="16"/>
        </w:rPr>
        <w:t>C</w:t>
      </w:r>
      <w:r>
        <w:rPr>
          <w:sz w:val="16"/>
        </w:rPr>
        <w:t xml:space="preserve"> </w:t>
      </w:r>
      <w:r>
        <w:rPr>
          <w:spacing w:val="17"/>
          <w:sz w:val="16"/>
        </w:rPr>
        <w:t>i</w:t>
      </w:r>
      <w:r>
        <w:rPr>
          <w:sz w:val="16"/>
        </w:rPr>
        <w:t xml:space="preserve"> </w:t>
      </w:r>
      <w:r>
        <w:rPr>
          <w:spacing w:val="17"/>
          <w:sz w:val="16"/>
        </w:rPr>
        <w:t>d</w:t>
      </w:r>
      <w:r>
        <w:rPr>
          <w:sz w:val="16"/>
        </w:rPr>
        <w:t xml:space="preserve"> </w:t>
      </w:r>
      <w:r>
        <w:rPr>
          <w:spacing w:val="17"/>
          <w:sz w:val="16"/>
        </w:rPr>
        <w:t>a</w:t>
      </w:r>
      <w:r>
        <w:rPr>
          <w:sz w:val="16"/>
        </w:rPr>
        <w:t xml:space="preserve"> </w:t>
      </w:r>
      <w:r>
        <w:rPr>
          <w:spacing w:val="17"/>
          <w:sz w:val="16"/>
        </w:rPr>
        <w:t>d</w:t>
      </w:r>
      <w:r>
        <w:rPr>
          <w:sz w:val="16"/>
        </w:rPr>
        <w:t xml:space="preserve"> </w:t>
      </w:r>
      <w:r>
        <w:rPr>
          <w:spacing w:val="17"/>
          <w:sz w:val="16"/>
        </w:rPr>
        <w:t>e</w:t>
      </w:r>
      <w:r>
        <w:rPr>
          <w:sz w:val="16"/>
        </w:rPr>
        <w:t xml:space="preserve"> </w:t>
      </w:r>
      <w:r>
        <w:rPr>
          <w:spacing w:val="17"/>
          <w:sz w:val="16"/>
        </w:rPr>
        <w:t>s</w:t>
      </w:r>
      <w:r>
        <w:rPr>
          <w:sz w:val="16"/>
        </w:rPr>
        <w:t xml:space="preserve"> .</w:t>
      </w:r>
      <w:r>
        <w:rPr>
          <w:sz w:val="16"/>
        </w:rPr>
        <w:tab/>
      </w:r>
      <w:r>
        <w:rPr>
          <w:spacing w:val="17"/>
          <w:sz w:val="16"/>
        </w:rPr>
        <w:t>D</w:t>
      </w:r>
      <w:r>
        <w:rPr>
          <w:sz w:val="16"/>
        </w:rPr>
        <w:t xml:space="preserve"> </w:t>
      </w:r>
      <w:r>
        <w:rPr>
          <w:spacing w:val="17"/>
          <w:sz w:val="16"/>
        </w:rPr>
        <w:t>i</w:t>
      </w:r>
      <w:r>
        <w:rPr>
          <w:sz w:val="16"/>
        </w:rPr>
        <w:t xml:space="preserve"> </w:t>
      </w:r>
      <w:r>
        <w:rPr>
          <w:spacing w:val="17"/>
          <w:sz w:val="16"/>
        </w:rPr>
        <w:t>s</w:t>
      </w:r>
      <w:r>
        <w:rPr>
          <w:sz w:val="16"/>
        </w:rPr>
        <w:t xml:space="preserve"> </w:t>
      </w:r>
      <w:r>
        <w:rPr>
          <w:spacing w:val="17"/>
          <w:sz w:val="16"/>
        </w:rPr>
        <w:t>p</w:t>
      </w:r>
      <w:r>
        <w:rPr>
          <w:sz w:val="16"/>
        </w:rPr>
        <w:t xml:space="preserve"> </w:t>
      </w:r>
      <w:r>
        <w:rPr>
          <w:spacing w:val="17"/>
          <w:sz w:val="16"/>
        </w:rPr>
        <w:t>o</w:t>
      </w:r>
      <w:r>
        <w:rPr>
          <w:sz w:val="16"/>
        </w:rPr>
        <w:t xml:space="preserve"> </w:t>
      </w:r>
      <w:r>
        <w:rPr>
          <w:spacing w:val="17"/>
          <w:sz w:val="16"/>
        </w:rPr>
        <w:t>n</w:t>
      </w:r>
      <w:r>
        <w:rPr>
          <w:sz w:val="16"/>
        </w:rPr>
        <w:t xml:space="preserve"> </w:t>
      </w:r>
      <w:r>
        <w:rPr>
          <w:spacing w:val="17"/>
          <w:sz w:val="16"/>
        </w:rPr>
        <w:t>í</w:t>
      </w:r>
      <w:r>
        <w:rPr>
          <w:sz w:val="16"/>
        </w:rPr>
        <w:t xml:space="preserve"> </w:t>
      </w:r>
      <w:r>
        <w:rPr>
          <w:spacing w:val="17"/>
          <w:sz w:val="16"/>
        </w:rPr>
        <w:t>v</w:t>
      </w:r>
      <w:r>
        <w:rPr>
          <w:sz w:val="16"/>
        </w:rPr>
        <w:t xml:space="preserve"> </w:t>
      </w:r>
      <w:r>
        <w:rPr>
          <w:spacing w:val="17"/>
          <w:sz w:val="16"/>
        </w:rPr>
        <w:t>e</w:t>
      </w:r>
      <w:r>
        <w:rPr>
          <w:sz w:val="16"/>
        </w:rPr>
        <w:t xml:space="preserve"> l</w:t>
      </w:r>
      <w:r>
        <w:rPr>
          <w:sz w:val="16"/>
        </w:rPr>
        <w:tab/>
      </w:r>
      <w:r>
        <w:rPr>
          <w:spacing w:val="17"/>
          <w:sz w:val="16"/>
        </w:rPr>
        <w:t>e m</w:t>
      </w:r>
      <w:r>
        <w:rPr>
          <w:spacing w:val="-17"/>
          <w:sz w:val="16"/>
        </w:rPr>
        <w:t xml:space="preserve"> </w:t>
      </w:r>
      <w:r>
        <w:rPr>
          <w:sz w:val="16"/>
        </w:rPr>
        <w:t>:</w:t>
      </w:r>
      <w:r>
        <w:rPr>
          <w:spacing w:val="18"/>
          <w:sz w:val="16"/>
        </w:rPr>
        <w:t xml:space="preserve"> </w:t>
      </w:r>
    </w:p>
    <w:p w:rsidR="00D81F69" w:rsidRDefault="00D81F69">
      <w:pPr>
        <w:spacing w:before="2" w:line="312" w:lineRule="auto"/>
        <w:ind w:left="100"/>
        <w:rPr>
          <w:sz w:val="16"/>
        </w:rPr>
      </w:pPr>
      <w:hyperlink r:id="rId232">
        <w:r w:rsidR="00330118">
          <w:rPr>
            <w:sz w:val="16"/>
          </w:rPr>
          <w:t xml:space="preserve">&lt;http://selo.cptec.inpe.br/IBGE/cidade/150130&gt;. </w:t>
        </w:r>
      </w:hyperlink>
      <w:r w:rsidR="00330118">
        <w:rPr>
          <w:sz w:val="16"/>
        </w:rPr>
        <w:t>Acesso em: 30 dez. 2010.</w:t>
      </w:r>
    </w:p>
    <w:p w:rsidR="00D81F69" w:rsidRDefault="00330118">
      <w:pPr>
        <w:spacing w:before="2"/>
        <w:ind w:left="100"/>
        <w:rPr>
          <w:sz w:val="16"/>
        </w:rPr>
      </w:pPr>
      <w:r>
        <w:rPr>
          <w:sz w:val="16"/>
        </w:rPr>
        <w:t>MAPA  DA  INJUSTIÇA  AMBIENTAL  E   SAÚDE  NO BRASIL.</w:t>
      </w:r>
    </w:p>
    <w:p w:rsidR="00D81F69" w:rsidRDefault="00330118">
      <w:pPr>
        <w:spacing w:before="56" w:line="312" w:lineRule="auto"/>
        <w:ind w:left="100" w:right="38"/>
        <w:jc w:val="both"/>
        <w:rPr>
          <w:sz w:val="16"/>
        </w:rPr>
      </w:pPr>
      <w:r>
        <w:rPr>
          <w:sz w:val="16"/>
        </w:rPr>
        <w:t xml:space="preserve">Comunidades quilombolas de Moju sofrendo com a contaminação dos rios e igarapés, em virtude de vazamentos do mineroduto de caulim,   </w:t>
      </w:r>
      <w:r>
        <w:rPr>
          <w:spacing w:val="35"/>
          <w:sz w:val="16"/>
        </w:rPr>
        <w:t>0</w:t>
      </w:r>
      <w:r>
        <w:rPr>
          <w:sz w:val="16"/>
        </w:rPr>
        <w:t xml:space="preserve"> 5        </w:t>
      </w:r>
      <w:r>
        <w:rPr>
          <w:spacing w:val="5"/>
          <w:sz w:val="16"/>
        </w:rPr>
        <w:t xml:space="preserve"> </w:t>
      </w:r>
      <w:r>
        <w:rPr>
          <w:spacing w:val="35"/>
          <w:sz w:val="16"/>
        </w:rPr>
        <w:t>o</w:t>
      </w:r>
      <w:r>
        <w:rPr>
          <w:sz w:val="16"/>
        </w:rPr>
        <w:t xml:space="preserve"> </w:t>
      </w:r>
      <w:r>
        <w:rPr>
          <w:spacing w:val="35"/>
          <w:sz w:val="16"/>
        </w:rPr>
        <w:t>u</w:t>
      </w:r>
      <w:r>
        <w:rPr>
          <w:sz w:val="16"/>
        </w:rPr>
        <w:t xml:space="preserve"> </w:t>
      </w:r>
      <w:r>
        <w:rPr>
          <w:spacing w:val="35"/>
          <w:sz w:val="16"/>
        </w:rPr>
        <w:t>t</w:t>
      </w:r>
      <w:r>
        <w:rPr>
          <w:sz w:val="16"/>
        </w:rPr>
        <w:t xml:space="preserve"> .        </w:t>
      </w:r>
      <w:r>
        <w:rPr>
          <w:spacing w:val="5"/>
          <w:sz w:val="16"/>
        </w:rPr>
        <w:t xml:space="preserve"> </w:t>
      </w:r>
      <w:r>
        <w:rPr>
          <w:spacing w:val="35"/>
          <w:sz w:val="16"/>
        </w:rPr>
        <w:t>2</w:t>
      </w:r>
      <w:r>
        <w:rPr>
          <w:sz w:val="16"/>
        </w:rPr>
        <w:t xml:space="preserve"> </w:t>
      </w:r>
      <w:r>
        <w:rPr>
          <w:spacing w:val="35"/>
          <w:sz w:val="16"/>
        </w:rPr>
        <w:t>0</w:t>
      </w:r>
      <w:r>
        <w:rPr>
          <w:sz w:val="16"/>
        </w:rPr>
        <w:t xml:space="preserve"> </w:t>
      </w:r>
      <w:r>
        <w:rPr>
          <w:spacing w:val="35"/>
          <w:sz w:val="16"/>
        </w:rPr>
        <w:t>0</w:t>
      </w:r>
      <w:r>
        <w:rPr>
          <w:sz w:val="16"/>
        </w:rPr>
        <w:t xml:space="preserve"> </w:t>
      </w:r>
      <w:r>
        <w:rPr>
          <w:spacing w:val="35"/>
          <w:sz w:val="16"/>
        </w:rPr>
        <w:t>9</w:t>
      </w:r>
      <w:r>
        <w:rPr>
          <w:sz w:val="16"/>
        </w:rPr>
        <w:t xml:space="preserve"> .        </w:t>
      </w:r>
      <w:r>
        <w:rPr>
          <w:spacing w:val="5"/>
          <w:sz w:val="16"/>
        </w:rPr>
        <w:t xml:space="preserve"> </w:t>
      </w:r>
      <w:r>
        <w:rPr>
          <w:spacing w:val="35"/>
          <w:sz w:val="16"/>
        </w:rPr>
        <w:t>D</w:t>
      </w:r>
      <w:r>
        <w:rPr>
          <w:sz w:val="16"/>
        </w:rPr>
        <w:t xml:space="preserve"> </w:t>
      </w:r>
      <w:r>
        <w:rPr>
          <w:spacing w:val="35"/>
          <w:sz w:val="16"/>
        </w:rPr>
        <w:t>i</w:t>
      </w:r>
      <w:r>
        <w:rPr>
          <w:sz w:val="16"/>
        </w:rPr>
        <w:t xml:space="preserve"> </w:t>
      </w:r>
      <w:r>
        <w:rPr>
          <w:spacing w:val="35"/>
          <w:sz w:val="16"/>
        </w:rPr>
        <w:t>s</w:t>
      </w:r>
      <w:r>
        <w:rPr>
          <w:sz w:val="16"/>
        </w:rPr>
        <w:t xml:space="preserve"> </w:t>
      </w:r>
      <w:r>
        <w:rPr>
          <w:spacing w:val="35"/>
          <w:sz w:val="16"/>
        </w:rPr>
        <w:t>p</w:t>
      </w:r>
      <w:r>
        <w:rPr>
          <w:sz w:val="16"/>
        </w:rPr>
        <w:t xml:space="preserve"> </w:t>
      </w:r>
      <w:r>
        <w:rPr>
          <w:spacing w:val="35"/>
          <w:sz w:val="16"/>
        </w:rPr>
        <w:t>o</w:t>
      </w:r>
      <w:r>
        <w:rPr>
          <w:sz w:val="16"/>
        </w:rPr>
        <w:t xml:space="preserve"> </w:t>
      </w:r>
      <w:r>
        <w:rPr>
          <w:spacing w:val="35"/>
          <w:sz w:val="16"/>
        </w:rPr>
        <w:t>n</w:t>
      </w:r>
      <w:r>
        <w:rPr>
          <w:sz w:val="16"/>
        </w:rPr>
        <w:t xml:space="preserve"> </w:t>
      </w:r>
      <w:r>
        <w:rPr>
          <w:spacing w:val="35"/>
          <w:sz w:val="16"/>
        </w:rPr>
        <w:t>í</w:t>
      </w:r>
      <w:r>
        <w:rPr>
          <w:sz w:val="16"/>
        </w:rPr>
        <w:t xml:space="preserve"> </w:t>
      </w:r>
      <w:r>
        <w:rPr>
          <w:spacing w:val="35"/>
          <w:sz w:val="16"/>
        </w:rPr>
        <w:t>v</w:t>
      </w:r>
      <w:r>
        <w:rPr>
          <w:sz w:val="16"/>
        </w:rPr>
        <w:t xml:space="preserve"> </w:t>
      </w:r>
      <w:r>
        <w:rPr>
          <w:spacing w:val="35"/>
          <w:sz w:val="16"/>
        </w:rPr>
        <w:t>e</w:t>
      </w:r>
      <w:r>
        <w:rPr>
          <w:sz w:val="16"/>
        </w:rPr>
        <w:t xml:space="preserve"> l        </w:t>
      </w:r>
      <w:r>
        <w:rPr>
          <w:spacing w:val="5"/>
          <w:sz w:val="16"/>
        </w:rPr>
        <w:t xml:space="preserve"> </w:t>
      </w:r>
      <w:r>
        <w:rPr>
          <w:spacing w:val="35"/>
          <w:sz w:val="16"/>
        </w:rPr>
        <w:t>e</w:t>
      </w:r>
      <w:r>
        <w:rPr>
          <w:sz w:val="16"/>
        </w:rPr>
        <w:t xml:space="preserve"> </w:t>
      </w:r>
      <w:r>
        <w:rPr>
          <w:spacing w:val="35"/>
          <w:sz w:val="16"/>
        </w:rPr>
        <w:t>m</w:t>
      </w:r>
      <w:r>
        <w:rPr>
          <w:sz w:val="16"/>
        </w:rPr>
        <w:t xml:space="preserve"> : </w:t>
      </w:r>
      <w:r>
        <w:rPr>
          <w:spacing w:val="-9"/>
          <w:sz w:val="16"/>
        </w:rPr>
        <w:t xml:space="preserve"> </w:t>
      </w:r>
    </w:p>
    <w:p w:rsidR="00D81F69" w:rsidRDefault="00D81F69">
      <w:pPr>
        <w:spacing w:before="2" w:line="312" w:lineRule="auto"/>
        <w:ind w:left="100"/>
        <w:rPr>
          <w:sz w:val="16"/>
        </w:rPr>
      </w:pPr>
      <w:hyperlink r:id="rId233">
        <w:r w:rsidR="00330118">
          <w:rPr>
            <w:sz w:val="16"/>
          </w:rPr>
          <w:t>&lt;http://www.conflitoambiental.icict.fiocruz.br/index.php?pag=ficha&amp;co</w:t>
        </w:r>
      </w:hyperlink>
      <w:r w:rsidR="00330118">
        <w:rPr>
          <w:sz w:val="16"/>
        </w:rPr>
        <w:t xml:space="preserve"> d=79&gt;. Acesso em: 30 dez. 2010.</w:t>
      </w:r>
    </w:p>
    <w:p w:rsidR="00D81F69" w:rsidRDefault="00330118">
      <w:pPr>
        <w:spacing w:before="2"/>
        <w:ind w:left="100"/>
        <w:rPr>
          <w:sz w:val="16"/>
        </w:rPr>
      </w:pPr>
      <w:r>
        <w:rPr>
          <w:sz w:val="16"/>
        </w:rPr>
        <w:t>O LIBERAL. Barcarena: Alunorte multada em R$ 5 mi por vazamento.</w:t>
      </w:r>
    </w:p>
    <w:p w:rsidR="00D81F69" w:rsidRDefault="00330118">
      <w:pPr>
        <w:spacing w:before="70"/>
        <w:ind w:left="100"/>
        <w:rPr>
          <w:sz w:val="16"/>
        </w:rPr>
      </w:pPr>
      <w:r>
        <w:br w:type="column"/>
      </w:r>
      <w:r>
        <w:rPr>
          <w:spacing w:val="10"/>
          <w:sz w:val="16"/>
        </w:rPr>
        <w:lastRenderedPageBreak/>
        <w:t>In:</w:t>
      </w:r>
      <w:r>
        <w:rPr>
          <w:spacing w:val="65"/>
          <w:sz w:val="16"/>
        </w:rPr>
        <w:t xml:space="preserve"> </w:t>
      </w:r>
      <w:r>
        <w:rPr>
          <w:spacing w:val="13"/>
          <w:sz w:val="16"/>
        </w:rPr>
        <w:t xml:space="preserve">Justiça </w:t>
      </w:r>
      <w:r>
        <w:rPr>
          <w:spacing w:val="10"/>
          <w:sz w:val="16"/>
        </w:rPr>
        <w:t>nos</w:t>
      </w:r>
      <w:r>
        <w:rPr>
          <w:spacing w:val="65"/>
          <w:sz w:val="16"/>
        </w:rPr>
        <w:t xml:space="preserve"> </w:t>
      </w:r>
      <w:r>
        <w:rPr>
          <w:spacing w:val="13"/>
          <w:sz w:val="16"/>
        </w:rPr>
        <w:t xml:space="preserve">Trilhos, </w:t>
      </w:r>
      <w:r>
        <w:rPr>
          <w:spacing w:val="7"/>
          <w:sz w:val="16"/>
        </w:rPr>
        <w:t xml:space="preserve">30 </w:t>
      </w:r>
      <w:r>
        <w:rPr>
          <w:spacing w:val="11"/>
          <w:sz w:val="16"/>
        </w:rPr>
        <w:t xml:space="preserve">abr. </w:t>
      </w:r>
      <w:r>
        <w:rPr>
          <w:spacing w:val="12"/>
          <w:sz w:val="16"/>
        </w:rPr>
        <w:t xml:space="preserve">2009. </w:t>
      </w:r>
      <w:r>
        <w:rPr>
          <w:spacing w:val="15"/>
          <w:sz w:val="16"/>
        </w:rPr>
        <w:t xml:space="preserve">Disponível </w:t>
      </w:r>
      <w:r>
        <w:rPr>
          <w:spacing w:val="10"/>
          <w:sz w:val="16"/>
        </w:rPr>
        <w:t>em:</w:t>
      </w:r>
      <w:r>
        <w:rPr>
          <w:spacing w:val="-27"/>
          <w:sz w:val="16"/>
        </w:rPr>
        <w:t xml:space="preserve"> </w:t>
      </w:r>
    </w:p>
    <w:p w:rsidR="00D81F69" w:rsidRDefault="00D81F69">
      <w:pPr>
        <w:spacing w:before="56" w:line="312" w:lineRule="auto"/>
        <w:ind w:left="100" w:right="233"/>
        <w:jc w:val="both"/>
        <w:rPr>
          <w:sz w:val="16"/>
        </w:rPr>
      </w:pPr>
      <w:hyperlink r:id="rId234">
        <w:r w:rsidR="00330118">
          <w:rPr>
            <w:sz w:val="16"/>
          </w:rPr>
          <w:t>&lt;http://www.justicanostrilhos.org/nota/101&gt;.</w:t>
        </w:r>
      </w:hyperlink>
      <w:r w:rsidR="00330118">
        <w:rPr>
          <w:sz w:val="16"/>
        </w:rPr>
        <w:t xml:space="preserve"> Acesso em: 30 dez. 2010.</w:t>
      </w:r>
    </w:p>
    <w:p w:rsidR="00D81F69" w:rsidRDefault="00330118">
      <w:pPr>
        <w:spacing w:before="1" w:line="312" w:lineRule="auto"/>
        <w:ind w:left="100" w:right="238"/>
        <w:jc w:val="both"/>
        <w:rPr>
          <w:sz w:val="16"/>
        </w:rPr>
      </w:pPr>
      <w:r>
        <w:rPr>
          <w:sz w:val="16"/>
        </w:rPr>
        <w:t>PARÁ NEGÓCIOS. Usina a carvão da Vale em Barcarena recebe a licença prévia do Coema. In: Notapajós, 23 out. 2008. Disponível em:</w:t>
      </w:r>
    </w:p>
    <w:p w:rsidR="00D81F69" w:rsidRDefault="00D81F69">
      <w:pPr>
        <w:spacing w:before="2" w:line="312" w:lineRule="auto"/>
        <w:ind w:left="100" w:right="236"/>
        <w:jc w:val="both"/>
        <w:rPr>
          <w:sz w:val="16"/>
        </w:rPr>
      </w:pPr>
      <w:hyperlink r:id="rId235">
        <w:r w:rsidR="00330118">
          <w:rPr>
            <w:sz w:val="16"/>
          </w:rPr>
          <w:t xml:space="preserve">&lt;http://notapajos.globo.com/lernoticias.asp?id=21190&gt;. </w:t>
        </w:r>
      </w:hyperlink>
      <w:r w:rsidR="00330118">
        <w:rPr>
          <w:sz w:val="16"/>
        </w:rPr>
        <w:t>Ace</w:t>
      </w:r>
      <w:r w:rsidR="00330118">
        <w:rPr>
          <w:sz w:val="16"/>
        </w:rPr>
        <w:t>sso em: 30 dez.</w:t>
      </w:r>
      <w:r w:rsidR="00330118">
        <w:rPr>
          <w:spacing w:val="25"/>
          <w:sz w:val="16"/>
        </w:rPr>
        <w:t xml:space="preserve"> </w:t>
      </w:r>
      <w:r w:rsidR="00330118">
        <w:rPr>
          <w:sz w:val="16"/>
        </w:rPr>
        <w:t>2010.</w:t>
      </w:r>
    </w:p>
    <w:p w:rsidR="00D81F69" w:rsidRDefault="00330118">
      <w:pPr>
        <w:spacing w:before="2" w:line="312" w:lineRule="auto"/>
        <w:ind w:left="100" w:right="206"/>
        <w:jc w:val="both"/>
        <w:rPr>
          <w:sz w:val="16"/>
        </w:rPr>
      </w:pPr>
      <w:r>
        <w:rPr>
          <w:spacing w:val="3"/>
          <w:sz w:val="16"/>
        </w:rPr>
        <w:t xml:space="preserve">SILVA, Flávia Adriane Oliveira </w:t>
      </w:r>
      <w:r>
        <w:rPr>
          <w:spacing w:val="2"/>
          <w:sz w:val="16"/>
        </w:rPr>
        <w:t xml:space="preserve">da; </w:t>
      </w:r>
      <w:r>
        <w:rPr>
          <w:spacing w:val="3"/>
          <w:sz w:val="16"/>
        </w:rPr>
        <w:t xml:space="preserve">BORDALO, Carlos </w:t>
      </w:r>
      <w:r>
        <w:rPr>
          <w:spacing w:val="5"/>
          <w:sz w:val="16"/>
        </w:rPr>
        <w:t xml:space="preserve">Alexandre </w:t>
      </w:r>
      <w:r>
        <w:rPr>
          <w:sz w:val="16"/>
        </w:rPr>
        <w:t xml:space="preserve">Leão. Uma Análise Sócioambiental do Rio Murucupi em Barcarena - </w:t>
      </w:r>
      <w:r>
        <w:rPr>
          <w:spacing w:val="2"/>
          <w:sz w:val="16"/>
        </w:rPr>
        <w:t xml:space="preserve">PA, </w:t>
      </w:r>
      <w:r>
        <w:rPr>
          <w:spacing w:val="3"/>
          <w:sz w:val="16"/>
        </w:rPr>
        <w:t xml:space="preserve">2010. </w:t>
      </w:r>
      <w:r>
        <w:rPr>
          <w:sz w:val="16"/>
        </w:rPr>
        <w:t xml:space="preserve">V </w:t>
      </w:r>
      <w:r>
        <w:rPr>
          <w:spacing w:val="3"/>
          <w:sz w:val="16"/>
        </w:rPr>
        <w:t xml:space="preserve">Encontro Nacional </w:t>
      </w:r>
      <w:r>
        <w:rPr>
          <w:spacing w:val="1"/>
          <w:sz w:val="16"/>
        </w:rPr>
        <w:t xml:space="preserve">da </w:t>
      </w:r>
      <w:r>
        <w:rPr>
          <w:spacing w:val="3"/>
          <w:sz w:val="16"/>
        </w:rPr>
        <w:t xml:space="preserve">Associação Nacional </w:t>
      </w:r>
      <w:r>
        <w:rPr>
          <w:spacing w:val="1"/>
          <w:sz w:val="16"/>
        </w:rPr>
        <w:t xml:space="preserve">de </w:t>
      </w:r>
      <w:r>
        <w:rPr>
          <w:spacing w:val="5"/>
          <w:sz w:val="16"/>
        </w:rPr>
        <w:t xml:space="preserve">Pós- </w:t>
      </w:r>
      <w:r>
        <w:rPr>
          <w:spacing w:val="6"/>
          <w:sz w:val="16"/>
        </w:rPr>
        <w:t xml:space="preserve">graduação </w:t>
      </w:r>
      <w:r>
        <w:rPr>
          <w:sz w:val="16"/>
        </w:rPr>
        <w:t xml:space="preserve">e </w:t>
      </w:r>
      <w:r>
        <w:rPr>
          <w:spacing w:val="6"/>
          <w:sz w:val="16"/>
        </w:rPr>
        <w:t xml:space="preserve">Pesquisa </w:t>
      </w:r>
      <w:r>
        <w:rPr>
          <w:spacing w:val="3"/>
          <w:sz w:val="16"/>
        </w:rPr>
        <w:t xml:space="preserve">em </w:t>
      </w:r>
      <w:r>
        <w:rPr>
          <w:spacing w:val="6"/>
          <w:sz w:val="16"/>
        </w:rPr>
        <w:t xml:space="preserve">Ambiente </w:t>
      </w:r>
      <w:r>
        <w:rPr>
          <w:sz w:val="16"/>
        </w:rPr>
        <w:t xml:space="preserve">e </w:t>
      </w:r>
      <w:r>
        <w:rPr>
          <w:spacing w:val="6"/>
          <w:sz w:val="16"/>
        </w:rPr>
        <w:t xml:space="preserve">Sociedade </w:t>
      </w:r>
      <w:r>
        <w:rPr>
          <w:spacing w:val="7"/>
          <w:sz w:val="16"/>
        </w:rPr>
        <w:t xml:space="preserve">(ANPPAS), </w:t>
      </w:r>
      <w:r>
        <w:rPr>
          <w:spacing w:val="25"/>
          <w:sz w:val="16"/>
        </w:rPr>
        <w:t>Florianópolis,</w:t>
      </w:r>
      <w:r>
        <w:rPr>
          <w:spacing w:val="95"/>
          <w:sz w:val="16"/>
        </w:rPr>
        <w:t xml:space="preserve"> </w:t>
      </w:r>
      <w:r>
        <w:rPr>
          <w:sz w:val="16"/>
        </w:rPr>
        <w:t xml:space="preserve">4 - 7 </w:t>
      </w:r>
      <w:r>
        <w:rPr>
          <w:spacing w:val="20"/>
          <w:sz w:val="16"/>
        </w:rPr>
        <w:t>out.</w:t>
      </w:r>
      <w:r>
        <w:rPr>
          <w:spacing w:val="85"/>
          <w:sz w:val="16"/>
        </w:rPr>
        <w:t xml:space="preserve"> </w:t>
      </w:r>
      <w:r>
        <w:rPr>
          <w:spacing w:val="21"/>
          <w:sz w:val="16"/>
        </w:rPr>
        <w:t xml:space="preserve">2010. </w:t>
      </w:r>
      <w:r>
        <w:rPr>
          <w:spacing w:val="25"/>
          <w:sz w:val="16"/>
        </w:rPr>
        <w:t>Disponível</w:t>
      </w:r>
      <w:r>
        <w:rPr>
          <w:spacing w:val="80"/>
          <w:sz w:val="16"/>
        </w:rPr>
        <w:t xml:space="preserve"> </w:t>
      </w:r>
      <w:r>
        <w:rPr>
          <w:spacing w:val="17"/>
          <w:sz w:val="16"/>
        </w:rPr>
        <w:t>em:</w:t>
      </w:r>
      <w:r>
        <w:rPr>
          <w:spacing w:val="-16"/>
          <w:sz w:val="16"/>
        </w:rPr>
        <w:t xml:space="preserve"> </w:t>
      </w:r>
    </w:p>
    <w:p w:rsidR="00D81F69" w:rsidRDefault="00D81F69">
      <w:pPr>
        <w:spacing w:before="4" w:line="312" w:lineRule="auto"/>
        <w:ind w:left="100" w:right="247"/>
        <w:jc w:val="both"/>
        <w:rPr>
          <w:sz w:val="16"/>
        </w:rPr>
      </w:pPr>
      <w:hyperlink r:id="rId236">
        <w:r w:rsidR="00330118">
          <w:rPr>
            <w:sz w:val="16"/>
          </w:rPr>
          <w:t>&lt;http://www.anppas.org.br/encontro5/cd/artigos/GT9-154-861-</w:t>
        </w:r>
      </w:hyperlink>
      <w:r w:rsidR="00330118">
        <w:rPr>
          <w:sz w:val="16"/>
        </w:rPr>
        <w:t xml:space="preserve"> 20100903212419.pdf&gt;. Acesso em: 30 dez. 2010.</w:t>
      </w:r>
    </w:p>
    <w:p w:rsidR="00D81F69" w:rsidRDefault="00D81F69">
      <w:pPr>
        <w:spacing w:line="312" w:lineRule="auto"/>
        <w:jc w:val="both"/>
        <w:rPr>
          <w:sz w:val="16"/>
        </w:rPr>
        <w:sectPr w:rsidR="00D81F69">
          <w:pgSz w:w="11900" w:h="16840"/>
          <w:pgMar w:top="740" w:right="460" w:bottom="720" w:left="620" w:header="0" w:footer="402" w:gutter="0"/>
          <w:cols w:num="2" w:space="720" w:equalWidth="0">
            <w:col w:w="5232" w:space="238"/>
            <w:col w:w="5350"/>
          </w:cols>
        </w:sectPr>
      </w:pPr>
    </w:p>
    <w:p w:rsidR="00D81F69" w:rsidRDefault="00330118">
      <w:pPr>
        <w:pStyle w:val="Heading1"/>
        <w:spacing w:line="208" w:lineRule="auto"/>
        <w:ind w:right="0"/>
      </w:pPr>
      <w:bookmarkStart w:id="24" w:name="_TOC_250009"/>
      <w:bookmarkEnd w:id="24"/>
      <w:r>
        <w:lastRenderedPageBreak/>
        <w:t>Extração da bauxita afeta sociedade e ambiente em Oriximiná (PA)</w:t>
      </w:r>
    </w:p>
    <w:p w:rsidR="00D81F69" w:rsidRDefault="00D81F69">
      <w:pPr>
        <w:pStyle w:val="Corpodetexto"/>
        <w:ind w:left="0"/>
        <w:jc w:val="left"/>
        <w:rPr>
          <w:b/>
          <w:sz w:val="20"/>
        </w:rPr>
      </w:pPr>
    </w:p>
    <w:p w:rsidR="00D81F69" w:rsidRDefault="00D81F69">
      <w:pPr>
        <w:rPr>
          <w:sz w:val="20"/>
        </w:rPr>
        <w:sectPr w:rsidR="00D81F69">
          <w:pgSz w:w="11900" w:h="16840"/>
          <w:pgMar w:top="1080" w:right="46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PA - Oriximiná</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-1,8083</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-56,8544</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7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Desde 1976, a extração e a circulação  da </w:t>
      </w:r>
      <w:r>
        <w:rPr>
          <w:i/>
          <w:spacing w:val="1"/>
          <w:sz w:val="16"/>
        </w:rPr>
        <w:t xml:space="preserve">bauxita, matéria prima </w:t>
      </w:r>
      <w:r>
        <w:rPr>
          <w:i/>
          <w:sz w:val="16"/>
        </w:rPr>
        <w:t xml:space="preserve">do </w:t>
      </w:r>
      <w:r>
        <w:rPr>
          <w:i/>
          <w:spacing w:val="2"/>
          <w:sz w:val="16"/>
        </w:rPr>
        <w:t xml:space="preserve">alumínio, </w:t>
      </w:r>
      <w:r>
        <w:rPr>
          <w:i/>
          <w:spacing w:val="10"/>
          <w:sz w:val="16"/>
        </w:rPr>
        <w:t>vem</w:t>
      </w:r>
      <w:r>
        <w:rPr>
          <w:i/>
          <w:spacing w:val="65"/>
          <w:sz w:val="16"/>
        </w:rPr>
        <w:t xml:space="preserve"> </w:t>
      </w:r>
      <w:r>
        <w:rPr>
          <w:i/>
          <w:spacing w:val="15"/>
          <w:sz w:val="16"/>
        </w:rPr>
        <w:t xml:space="preserve">impactando </w:t>
      </w:r>
      <w:r>
        <w:rPr>
          <w:i/>
          <w:sz w:val="16"/>
        </w:rPr>
        <w:t xml:space="preserve">a </w:t>
      </w:r>
      <w:r>
        <w:rPr>
          <w:i/>
          <w:spacing w:val="13"/>
          <w:sz w:val="16"/>
        </w:rPr>
        <w:t xml:space="preserve">região </w:t>
      </w:r>
      <w:r>
        <w:rPr>
          <w:i/>
          <w:spacing w:val="12"/>
          <w:sz w:val="16"/>
        </w:rPr>
        <w:t xml:space="preserve">oeste </w:t>
      </w:r>
      <w:r>
        <w:rPr>
          <w:i/>
          <w:sz w:val="16"/>
        </w:rPr>
        <w:t xml:space="preserve">paraense, especialmente em Oriximiná. </w:t>
      </w:r>
      <w:r>
        <w:rPr>
          <w:i/>
          <w:spacing w:val="5"/>
          <w:sz w:val="16"/>
        </w:rPr>
        <w:t xml:space="preserve">Os </w:t>
      </w:r>
      <w:r>
        <w:rPr>
          <w:i/>
          <w:spacing w:val="10"/>
          <w:sz w:val="16"/>
        </w:rPr>
        <w:t xml:space="preserve">efeitos </w:t>
      </w:r>
      <w:r>
        <w:rPr>
          <w:i/>
          <w:spacing w:val="5"/>
          <w:sz w:val="16"/>
        </w:rPr>
        <w:t xml:space="preserve">do </w:t>
      </w:r>
      <w:r>
        <w:rPr>
          <w:i/>
          <w:spacing w:val="10"/>
          <w:sz w:val="16"/>
        </w:rPr>
        <w:t xml:space="preserve">Projeto Trombetas, </w:t>
      </w:r>
      <w:r>
        <w:rPr>
          <w:i/>
          <w:sz w:val="16"/>
        </w:rPr>
        <w:t>promovido pela empresa Mineração Rio Norte (MRN), fizeram-se sentir sobre as comunidades indígenas, quilombolas e ribei</w:t>
      </w:r>
      <w:r>
        <w:rPr>
          <w:i/>
          <w:sz w:val="16"/>
        </w:rPr>
        <w:t>rinhas. A extração gera a perda da fauna, da flora, de espécies endêmicas e a contaminação de recursos hídricos.</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7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49"/>
      </w:pPr>
      <w:r>
        <w:rPr>
          <w:spacing w:val="2"/>
        </w:rPr>
        <w:t xml:space="preserve">2005 apud </w:t>
      </w:r>
      <w:r>
        <w:rPr>
          <w:spacing w:val="3"/>
        </w:rPr>
        <w:t xml:space="preserve">LIMA; MOTA, 2009). </w:t>
      </w:r>
      <w:r>
        <w:t xml:space="preserve">É </w:t>
      </w:r>
      <w:r>
        <w:rPr>
          <w:spacing w:val="3"/>
        </w:rPr>
        <w:t xml:space="preserve">importante </w:t>
      </w:r>
      <w:r>
        <w:rPr>
          <w:spacing w:val="5"/>
        </w:rPr>
        <w:t xml:space="preserve">considerar também outros impactos negativos, como </w:t>
      </w:r>
      <w:r>
        <w:t xml:space="preserve">a </w:t>
      </w:r>
      <w:r>
        <w:rPr>
          <w:spacing w:val="5"/>
        </w:rPr>
        <w:t xml:space="preserve">geração </w:t>
      </w:r>
      <w:r>
        <w:rPr>
          <w:spacing w:val="6"/>
        </w:rPr>
        <w:t xml:space="preserve">de </w:t>
      </w:r>
      <w:r>
        <w:t>resíduos sólidos e tóxicos envolvi</w:t>
      </w:r>
      <w:r>
        <w:t xml:space="preserve">dos na produção primária do metal (VIEIRA, 2004 apud LIMA; MOTA, 2009), assim como </w:t>
      </w:r>
      <w:r>
        <w:rPr>
          <w:spacing w:val="1"/>
        </w:rPr>
        <w:t xml:space="preserve">as </w:t>
      </w:r>
      <w:r>
        <w:rPr>
          <w:spacing w:val="3"/>
        </w:rPr>
        <w:t xml:space="preserve">emissões </w:t>
      </w:r>
      <w:r>
        <w:rPr>
          <w:spacing w:val="1"/>
        </w:rPr>
        <w:t xml:space="preserve">do </w:t>
      </w:r>
      <w:r>
        <w:rPr>
          <w:spacing w:val="3"/>
        </w:rPr>
        <w:t xml:space="preserve">próprio alumínio </w:t>
      </w:r>
      <w:r>
        <w:rPr>
          <w:spacing w:val="1"/>
        </w:rPr>
        <w:t xml:space="preserve">na </w:t>
      </w:r>
      <w:r>
        <w:rPr>
          <w:spacing w:val="3"/>
        </w:rPr>
        <w:t xml:space="preserve">atmosfera, visto </w:t>
      </w:r>
      <w:r>
        <w:rPr>
          <w:spacing w:val="5"/>
        </w:rPr>
        <w:t xml:space="preserve">que </w:t>
      </w:r>
      <w:r>
        <w:rPr>
          <w:spacing w:val="3"/>
        </w:rPr>
        <w:t xml:space="preserve">níveis elevados possuem efeitos tóxicos, afetando tanto </w:t>
      </w:r>
      <w:r>
        <w:t xml:space="preserve">a </w:t>
      </w:r>
      <w:r>
        <w:rPr>
          <w:spacing w:val="3"/>
        </w:rPr>
        <w:t xml:space="preserve">vegetação quanto </w:t>
      </w:r>
      <w:r>
        <w:t xml:space="preserve">a </w:t>
      </w:r>
      <w:r>
        <w:rPr>
          <w:spacing w:val="3"/>
        </w:rPr>
        <w:t xml:space="preserve">população (GUTBERLET, </w:t>
      </w:r>
      <w:r>
        <w:rPr>
          <w:spacing w:val="2"/>
        </w:rPr>
        <w:t xml:space="preserve">1996 </w:t>
      </w:r>
      <w:r>
        <w:rPr>
          <w:spacing w:val="5"/>
        </w:rPr>
        <w:t xml:space="preserve">apud </w:t>
      </w:r>
      <w:r>
        <w:rPr>
          <w:spacing w:val="3"/>
        </w:rPr>
        <w:t>LIMA; MO</w:t>
      </w:r>
      <w:r>
        <w:rPr>
          <w:spacing w:val="3"/>
        </w:rPr>
        <w:t>TA,</w:t>
      </w:r>
      <w:r>
        <w:rPr>
          <w:spacing w:val="-4"/>
        </w:rPr>
        <w:t xml:space="preserve"> </w:t>
      </w:r>
      <w:r>
        <w:rPr>
          <w:spacing w:val="5"/>
        </w:rPr>
        <w:t>2009).</w:t>
      </w:r>
    </w:p>
    <w:p w:rsidR="00D81F69" w:rsidRDefault="00330118">
      <w:pPr>
        <w:pStyle w:val="Corpodetexto"/>
        <w:spacing w:before="137" w:line="312" w:lineRule="auto"/>
        <w:ind w:left="135" w:right="226"/>
        <w:jc w:val="left"/>
      </w:pPr>
      <w:r>
        <w:t>Com 107.603 km² e 62.963 habitantes (IBGE, 2010), o município de Oriximiná pertence à mesorregião do Baixo Amazonas e à microrregião Óbidos (SITE OFICIAL DE ORIXIMINÁ, 2010). Até o início da década de 1990, Oriximiná</w:t>
      </w:r>
    </w:p>
    <w:p w:rsidR="00D81F69" w:rsidRDefault="00D81F69">
      <w:pPr>
        <w:spacing w:line="312" w:lineRule="auto"/>
        <w:sectPr w:rsidR="00D81F69">
          <w:type w:val="continuous"/>
          <w:pgSz w:w="11900" w:h="16840"/>
          <w:pgMar w:top="720" w:right="460" w:bottom="280" w:left="620" w:header="720" w:footer="720" w:gutter="0"/>
          <w:cols w:num="3" w:space="720" w:equalWidth="0">
            <w:col w:w="1078" w:space="922"/>
            <w:col w:w="3128" w:space="307"/>
            <w:col w:w="5385"/>
          </w:cols>
        </w:sectPr>
      </w:pPr>
    </w:p>
    <w:p w:rsidR="00D81F69" w:rsidRDefault="00330118">
      <w:pPr>
        <w:pStyle w:val="Heading4"/>
        <w:spacing w:before="57"/>
        <w:jc w:val="left"/>
      </w:pPr>
      <w:r>
        <w:lastRenderedPageBreak/>
        <w:t>APRESENTAÇÃO DE CASO</w:t>
      </w:r>
    </w:p>
    <w:p w:rsidR="00D81F69" w:rsidRDefault="00330118">
      <w:pPr>
        <w:pStyle w:val="Corpodetexto"/>
        <w:spacing w:before="171" w:line="312" w:lineRule="auto"/>
        <w:ind w:right="38"/>
      </w:pPr>
      <w:r>
        <w:t xml:space="preserve">Na década de 1960, pesquisas geológicas constataram a existência de grandes reservas de bauxita — minério que apresenta o maior teor de óxido de </w:t>
      </w:r>
      <w:hyperlink r:id="rId237">
        <w:r>
          <w:t xml:space="preserve">alumínio </w:t>
        </w:r>
      </w:hyperlink>
      <w:r>
        <w:t>(LIMA; MOTA, 2009) — na região Amazônica, tornando-a a terceira maior fonte do minério no mundo (WANDERLEY, 2004). Características específicas da região permit</w:t>
      </w:r>
      <w:r>
        <w:t>iram a produção integrada do alumínio primário, alçando o Brasil a segundo maior produtor mundial de bauxita, a quarto maior produtor de alumina e a sexto maior produtor de alumínio (LIMA; MOTA, 2009).</w:t>
      </w:r>
    </w:p>
    <w:p w:rsidR="00D81F69" w:rsidRDefault="00330118">
      <w:pPr>
        <w:pStyle w:val="Corpodetexto"/>
        <w:spacing w:before="139" w:line="312" w:lineRule="auto"/>
        <w:ind w:right="45"/>
      </w:pPr>
      <w:r>
        <w:t>No ano de 1963, foi encontrada bauxita de valor comerc</w:t>
      </w:r>
      <w:r>
        <w:t>ial na área do afluente da margem esquerda do rio Amazonas, o rio Trombetas (SEIXAS et al., 2010), onde se localizam os municípios paraenses de Oriximiná e Juruti. No entanto, a extração de bauxita nos dois municípios, onde as empresas Mineração Rio do Nor</w:t>
      </w:r>
      <w:r>
        <w:t>te (MRN) e Alcoa desenvolvem megaprojetos, desde 1976 e 2000, respectivamente, vem gerando conflitos diretos com as populações tradicionais da região em virtude de seus impactos socioambientais (WANDERLEY, 2008). A extração e o beneficiamento da bauxita me</w:t>
      </w:r>
      <w:r>
        <w:t>talúrgica pela MRN, no chamado Projeto Trombetas, constitui a fase inicial do ciclo de produção do alumínio. O processamento ainda passa por uma fase intermediária, a obtenção de alumina, daí chegando-se, finalmente, ao alumínio primário (TRINDADE, 1998).</w:t>
      </w:r>
    </w:p>
    <w:p w:rsidR="00D81F69" w:rsidRDefault="00330118">
      <w:pPr>
        <w:pStyle w:val="Corpodetexto"/>
        <w:spacing w:before="144" w:line="312" w:lineRule="auto"/>
        <w:ind w:right="52"/>
      </w:pPr>
      <w:r>
        <w:t>Do ponto de vista ambiental, a produção de alumínio primário consome muita energia e exaure recursos. Em 2006, tal produção consumiu 6% de toda a energia elétrica gerada no país (ABAL, 2007 apud LIMA; MOTA, 2009). Além disso, são necessárias de quatro a ci</w:t>
      </w:r>
      <w:r>
        <w:t xml:space="preserve">nco toneladas de bauxita para se extrair apenas uma tonelada do metal. A produção de alumínio é também responsável pela emissão de perfluorcarbonetos (PFC), gás regulado pelo Protocolo de Quioto, cujo potencial é 6.500 a 9.200 vezes maior que o dióxido de </w:t>
      </w:r>
      <w:r>
        <w:t>carbono (CO2) na criação do efeito estufa (ABAL,</w:t>
      </w:r>
    </w:p>
    <w:p w:rsidR="00D81F69" w:rsidRDefault="00330118">
      <w:pPr>
        <w:pStyle w:val="Corpodetexto"/>
        <w:spacing w:before="4" w:line="312" w:lineRule="auto"/>
        <w:ind w:right="232"/>
      </w:pPr>
      <w:r>
        <w:br w:type="column"/>
      </w:r>
      <w:r>
        <w:lastRenderedPageBreak/>
        <w:t>era um centro varejista pequeno (SOUZA, 2005). A jazida de bauxita foi descoberta, na região, pela empresa Aluminium Company of Canada (Alcan), que implantou no local um grande projeto minerador. Porém, dev</w:t>
      </w:r>
      <w:r>
        <w:t>ido, em grande parte, à queda do preço do alumínio em 1971 (SEIXAS et al., 2010), a iniciativa foi paralisada no ano seguinte (SANTOS, 1983 apud WANDERLEY, 2004). Em 1975, foi criada a Mineração Rio do Norte, constituída pela coligação de oito empresas sob</w:t>
      </w:r>
      <w:r>
        <w:t xml:space="preserve"> o comando da brasileira Vale [à época, Companhia Vale do Rio Doce] e da Alcan, no formato joint-venture (WANDERLEY, 2004).</w:t>
      </w:r>
    </w:p>
    <w:p w:rsidR="00D81F69" w:rsidRDefault="00330118">
      <w:pPr>
        <w:pStyle w:val="Corpodetexto"/>
        <w:spacing w:before="140" w:line="312" w:lineRule="auto"/>
        <w:ind w:right="247"/>
      </w:pPr>
      <w:r>
        <w:t xml:space="preserve">As atividades de lavra foram iniciadas em abril de 1979. No mesmo ano, foi enviada a primeira carga de minério para o </w:t>
      </w:r>
      <w:r>
        <w:rPr>
          <w:spacing w:val="5"/>
        </w:rPr>
        <w:t xml:space="preserve">Canadá. </w:t>
      </w:r>
      <w:r>
        <w:t xml:space="preserve">A </w:t>
      </w:r>
      <w:r>
        <w:rPr>
          <w:spacing w:val="6"/>
        </w:rPr>
        <w:t>capa</w:t>
      </w:r>
      <w:r>
        <w:rPr>
          <w:spacing w:val="6"/>
        </w:rPr>
        <w:t xml:space="preserve">cidade </w:t>
      </w:r>
      <w:r>
        <w:rPr>
          <w:spacing w:val="5"/>
        </w:rPr>
        <w:t xml:space="preserve">inicial </w:t>
      </w:r>
      <w:r>
        <w:rPr>
          <w:spacing w:val="3"/>
        </w:rPr>
        <w:t xml:space="preserve">de </w:t>
      </w:r>
      <w:r>
        <w:rPr>
          <w:spacing w:val="6"/>
        </w:rPr>
        <w:t xml:space="preserve">produção </w:t>
      </w:r>
      <w:r>
        <w:rPr>
          <w:spacing w:val="5"/>
        </w:rPr>
        <w:t xml:space="preserve">era </w:t>
      </w:r>
      <w:r>
        <w:rPr>
          <w:spacing w:val="3"/>
        </w:rPr>
        <w:t xml:space="preserve">de </w:t>
      </w:r>
      <w:r>
        <w:rPr>
          <w:spacing w:val="7"/>
        </w:rPr>
        <w:t xml:space="preserve">3,35 </w:t>
      </w:r>
      <w:r>
        <w:t xml:space="preserve">milhões de t/ano. Ao longo dos primeiros anos de operação, a </w:t>
      </w:r>
      <w:r>
        <w:rPr>
          <w:spacing w:val="5"/>
        </w:rPr>
        <w:t xml:space="preserve">capacidade cresceu graças </w:t>
      </w:r>
      <w:r>
        <w:rPr>
          <w:spacing w:val="2"/>
        </w:rPr>
        <w:t xml:space="preserve">ao </w:t>
      </w:r>
      <w:r>
        <w:rPr>
          <w:spacing w:val="5"/>
        </w:rPr>
        <w:t xml:space="preserve">aumento </w:t>
      </w:r>
      <w:r>
        <w:rPr>
          <w:spacing w:val="2"/>
        </w:rPr>
        <w:t xml:space="preserve">da </w:t>
      </w:r>
      <w:r>
        <w:rPr>
          <w:spacing w:val="5"/>
        </w:rPr>
        <w:t>demanda de</w:t>
      </w:r>
      <w:r>
        <w:rPr>
          <w:spacing w:val="61"/>
        </w:rPr>
        <w:t xml:space="preserve"> </w:t>
      </w:r>
      <w:r>
        <w:t xml:space="preserve">mercado e da grande aceitação da bauxita nas refinarias de </w:t>
      </w:r>
      <w:r>
        <w:rPr>
          <w:spacing w:val="3"/>
        </w:rPr>
        <w:t xml:space="preserve">todo </w:t>
      </w:r>
      <w:r>
        <w:t xml:space="preserve">o </w:t>
      </w:r>
      <w:r>
        <w:rPr>
          <w:spacing w:val="5"/>
        </w:rPr>
        <w:t xml:space="preserve">mundo. </w:t>
      </w:r>
      <w:r>
        <w:rPr>
          <w:spacing w:val="3"/>
        </w:rPr>
        <w:t xml:space="preserve">Entre 2001 </w:t>
      </w:r>
      <w:r>
        <w:t xml:space="preserve">e </w:t>
      </w:r>
      <w:r>
        <w:rPr>
          <w:spacing w:val="3"/>
        </w:rPr>
        <w:t xml:space="preserve">2003, </w:t>
      </w:r>
      <w:r>
        <w:t xml:space="preserve">a </w:t>
      </w:r>
      <w:r>
        <w:rPr>
          <w:spacing w:val="3"/>
        </w:rPr>
        <w:t xml:space="preserve">MRN </w:t>
      </w:r>
      <w:r>
        <w:rPr>
          <w:spacing w:val="5"/>
        </w:rPr>
        <w:t>investi</w:t>
      </w:r>
      <w:r>
        <w:rPr>
          <w:spacing w:val="5"/>
        </w:rPr>
        <w:t xml:space="preserve">u num </w:t>
      </w:r>
      <w:r>
        <w:t>projeto de expansão, passando de uma capacidade instalada de produção de 11 milhões para 16,3 milhões de toneladas de minério. Em 2007, o recorde de produção foi quebrado, com 18,1 milhões de toneladas (MRN, 2010a).</w:t>
      </w:r>
    </w:p>
    <w:p w:rsidR="00D81F69" w:rsidRDefault="00330118">
      <w:pPr>
        <w:pStyle w:val="Corpodetexto"/>
        <w:spacing w:before="140" w:line="312" w:lineRule="auto"/>
        <w:ind w:right="228"/>
      </w:pPr>
      <w:r>
        <w:t>Para atender à demanda externa e a</w:t>
      </w:r>
      <w:r>
        <w:t>o promissor mercado interno brasileiro, construiu-se, no Pará e no Maranhão, o complexo Bauxita-Alumínio, integrado pela MRN e mais três indústrias de transformação: Alumínio do Norte do Brasil (Alunorte), Alumínio do Brasil (Albrás) e Alumínio do Maranhão</w:t>
      </w:r>
      <w:r>
        <w:t xml:space="preserve"> (Alumar), as duas primeiras no polo metalúrgico de Barcarena (PA), na foz do rio Tocantins, e a última, na cidade de São Luís (MA). Junto com a usina hidroelétrica de Tucuruí, que abastece de maneira subsidiada as indústrias de alumínio, formou-se um corr</w:t>
      </w:r>
      <w:r>
        <w:t>edor de exportação, cujo trajeto é: mina (área de extração de bauxita da MRN em Oriximiná); hidrovia (composta pelos rios Trombetas e Amazonas); indústrias Albrás/Alunorte/Alumar; e porto (WANDERLEY, 2004).</w:t>
      </w:r>
    </w:p>
    <w:p w:rsidR="00D81F69" w:rsidRDefault="00330118">
      <w:pPr>
        <w:pStyle w:val="Corpodetexto"/>
        <w:spacing w:before="143"/>
      </w:pPr>
      <w:r>
        <w:t>Pretendia-se atrair para o Baixo Amazonas novas e</w:t>
      </w:r>
      <w:r>
        <w:t>mpresas,</w:t>
      </w:r>
    </w:p>
    <w:p w:rsidR="00D81F69" w:rsidRDefault="00D81F69">
      <w:pPr>
        <w:sectPr w:rsidR="00D81F69">
          <w:type w:val="continuous"/>
          <w:pgSz w:w="11900" w:h="16840"/>
          <w:pgMar w:top="720" w:right="460" w:bottom="280" w:left="620" w:header="720" w:footer="720" w:gutter="0"/>
          <w:cols w:num="2" w:space="720" w:equalWidth="0">
            <w:col w:w="5168" w:space="302"/>
            <w:col w:w="5350"/>
          </w:cols>
        </w:sectPr>
      </w:pPr>
    </w:p>
    <w:p w:rsidR="00D81F69" w:rsidRDefault="00330118">
      <w:pPr>
        <w:pStyle w:val="Corpodetexto"/>
        <w:spacing w:before="81" w:line="312" w:lineRule="auto"/>
        <w:ind w:right="38"/>
      </w:pPr>
      <w:r>
        <w:lastRenderedPageBreak/>
        <w:t xml:space="preserve">desencadeando um crescimento econômico sustentável. No entanto, o resultado obtido com a implantação da MRN </w:t>
      </w:r>
      <w:r>
        <w:rPr>
          <w:spacing w:val="1"/>
        </w:rPr>
        <w:t xml:space="preserve">não  </w:t>
      </w:r>
      <w:r>
        <w:t xml:space="preserve">foi o </w:t>
      </w:r>
      <w:r>
        <w:rPr>
          <w:spacing w:val="1"/>
        </w:rPr>
        <w:t xml:space="preserve">esperado. </w:t>
      </w:r>
      <w:r>
        <w:t xml:space="preserve">A </w:t>
      </w:r>
      <w:r>
        <w:rPr>
          <w:spacing w:val="1"/>
        </w:rPr>
        <w:t xml:space="preserve">integração </w:t>
      </w:r>
      <w:r>
        <w:t xml:space="preserve">da </w:t>
      </w:r>
      <w:r>
        <w:rPr>
          <w:spacing w:val="1"/>
        </w:rPr>
        <w:t xml:space="preserve">empresa </w:t>
      </w:r>
      <w:r>
        <w:t xml:space="preserve">com a </w:t>
      </w:r>
      <w:r>
        <w:rPr>
          <w:spacing w:val="2"/>
        </w:rPr>
        <w:t xml:space="preserve">economia </w:t>
      </w:r>
      <w:r>
        <w:t xml:space="preserve">tradicional e a atração de novos empreendimentos de </w:t>
      </w:r>
      <w:r>
        <w:t xml:space="preserve">grande porte para a região vêm sendo discretas (TRINDADE, 2001 apud WANDERLEY, 2004). Em contrapartida, são evidentes as mudanças sociais, econômicas e ambientais decorrentes </w:t>
      </w:r>
      <w:r>
        <w:rPr>
          <w:spacing w:val="2"/>
        </w:rPr>
        <w:t xml:space="preserve">do </w:t>
      </w:r>
      <w:r>
        <w:rPr>
          <w:spacing w:val="3"/>
        </w:rPr>
        <w:t xml:space="preserve">polo </w:t>
      </w:r>
      <w:r>
        <w:rPr>
          <w:spacing w:val="5"/>
        </w:rPr>
        <w:t xml:space="preserve">minerador. </w:t>
      </w:r>
      <w:r>
        <w:t xml:space="preserve">A </w:t>
      </w:r>
      <w:r>
        <w:rPr>
          <w:spacing w:val="5"/>
        </w:rPr>
        <w:t xml:space="preserve">implantação </w:t>
      </w:r>
      <w:r>
        <w:rPr>
          <w:spacing w:val="2"/>
        </w:rPr>
        <w:t xml:space="preserve">do </w:t>
      </w:r>
      <w:r>
        <w:rPr>
          <w:spacing w:val="5"/>
        </w:rPr>
        <w:t xml:space="preserve">projeto Trombetas </w:t>
      </w:r>
      <w:r>
        <w:rPr>
          <w:spacing w:val="7"/>
        </w:rPr>
        <w:t xml:space="preserve">trouxe </w:t>
      </w:r>
      <w:r>
        <w:rPr>
          <w:spacing w:val="8"/>
        </w:rPr>
        <w:t xml:space="preserve">transformações </w:t>
      </w:r>
      <w:r>
        <w:rPr>
          <w:spacing w:val="6"/>
        </w:rPr>
        <w:t xml:space="preserve">para </w:t>
      </w:r>
      <w:r>
        <w:t xml:space="preserve">o </w:t>
      </w:r>
      <w:r>
        <w:rPr>
          <w:spacing w:val="8"/>
        </w:rPr>
        <w:t xml:space="preserve">médio-baixo </w:t>
      </w:r>
      <w:r>
        <w:rPr>
          <w:spacing w:val="10"/>
        </w:rPr>
        <w:t xml:space="preserve">Amazonas, </w:t>
      </w:r>
      <w:r>
        <w:t xml:space="preserve">traçando uma nova geografia local (WANDERLEY, 2004). O contingente populacional na cidade de Oriximiná elevou-se </w:t>
      </w:r>
      <w:r>
        <w:rPr>
          <w:spacing w:val="1"/>
        </w:rPr>
        <w:t xml:space="preserve">mais </w:t>
      </w:r>
      <w:r>
        <w:t xml:space="preserve">de </w:t>
      </w:r>
      <w:r>
        <w:rPr>
          <w:spacing w:val="1"/>
        </w:rPr>
        <w:t xml:space="preserve">quatro vezes </w:t>
      </w:r>
      <w:r>
        <w:t xml:space="preserve">em 30 </w:t>
      </w:r>
      <w:r>
        <w:rPr>
          <w:spacing w:val="1"/>
        </w:rPr>
        <w:t xml:space="preserve">anos, muito mais </w:t>
      </w:r>
      <w:r>
        <w:t xml:space="preserve">do que </w:t>
      </w:r>
      <w:r>
        <w:rPr>
          <w:spacing w:val="2"/>
        </w:rPr>
        <w:t xml:space="preserve">nos </w:t>
      </w:r>
      <w:r>
        <w:rPr>
          <w:spacing w:val="1"/>
        </w:rPr>
        <w:t xml:space="preserve">municípios vizinhos, apesar </w:t>
      </w:r>
      <w:r>
        <w:t xml:space="preserve">de a </w:t>
      </w:r>
      <w:r>
        <w:rPr>
          <w:spacing w:val="1"/>
        </w:rPr>
        <w:t xml:space="preserve">infraestrutura urbana </w:t>
      </w:r>
      <w:r>
        <w:t>e a econo</w:t>
      </w:r>
      <w:r>
        <w:t xml:space="preserve">mia formal não apresentarem condições de absorver o </w:t>
      </w:r>
      <w:r>
        <w:rPr>
          <w:spacing w:val="1"/>
        </w:rPr>
        <w:t xml:space="preserve">crescimento </w:t>
      </w:r>
      <w:r>
        <w:t xml:space="preserve">da </w:t>
      </w:r>
      <w:r>
        <w:rPr>
          <w:spacing w:val="1"/>
        </w:rPr>
        <w:t xml:space="preserve">cidade. Assim, </w:t>
      </w:r>
      <w:r>
        <w:t xml:space="preserve">a </w:t>
      </w:r>
      <w:r>
        <w:rPr>
          <w:spacing w:val="1"/>
        </w:rPr>
        <w:t xml:space="preserve">implantação </w:t>
      </w:r>
      <w:r>
        <w:t xml:space="preserve">do </w:t>
      </w:r>
      <w:r>
        <w:rPr>
          <w:spacing w:val="2"/>
        </w:rPr>
        <w:t xml:space="preserve">complexo </w:t>
      </w:r>
      <w:r>
        <w:rPr>
          <w:spacing w:val="8"/>
        </w:rPr>
        <w:t xml:space="preserve">mina-alumina-alumínio </w:t>
      </w:r>
      <w:r>
        <w:rPr>
          <w:spacing w:val="7"/>
        </w:rPr>
        <w:t xml:space="preserve">produziu </w:t>
      </w:r>
      <w:r>
        <w:rPr>
          <w:spacing w:val="8"/>
        </w:rPr>
        <w:t xml:space="preserve">desigualdade </w:t>
      </w:r>
      <w:r>
        <w:rPr>
          <w:spacing w:val="7"/>
        </w:rPr>
        <w:t xml:space="preserve">social </w:t>
      </w:r>
      <w:r>
        <w:t xml:space="preserve">e </w:t>
      </w:r>
      <w:r>
        <w:rPr>
          <w:spacing w:val="3"/>
        </w:rPr>
        <w:t xml:space="preserve">econômica </w:t>
      </w:r>
      <w:r>
        <w:rPr>
          <w:spacing w:val="1"/>
        </w:rPr>
        <w:t xml:space="preserve">na </w:t>
      </w:r>
      <w:r>
        <w:rPr>
          <w:spacing w:val="3"/>
        </w:rPr>
        <w:t xml:space="preserve">região (COELHO, MONTEIRO, </w:t>
      </w:r>
      <w:r>
        <w:rPr>
          <w:spacing w:val="2"/>
        </w:rPr>
        <w:t xml:space="preserve">2003 </w:t>
      </w:r>
      <w:r>
        <w:rPr>
          <w:spacing w:val="5"/>
        </w:rPr>
        <w:t xml:space="preserve">apud </w:t>
      </w:r>
      <w:r>
        <w:rPr>
          <w:spacing w:val="3"/>
        </w:rPr>
        <w:t>WANDERLEY,</w:t>
      </w:r>
      <w:r>
        <w:rPr>
          <w:spacing w:val="30"/>
        </w:rPr>
        <w:t xml:space="preserve"> </w:t>
      </w:r>
      <w:r>
        <w:rPr>
          <w:spacing w:val="5"/>
        </w:rPr>
        <w:t>2004).</w:t>
      </w:r>
    </w:p>
    <w:p w:rsidR="00D81F69" w:rsidRDefault="00330118">
      <w:pPr>
        <w:pStyle w:val="Corpodetexto"/>
        <w:spacing w:before="146" w:line="312" w:lineRule="auto"/>
        <w:ind w:right="48"/>
      </w:pPr>
      <w:r>
        <w:rPr>
          <w:spacing w:val="3"/>
        </w:rPr>
        <w:t xml:space="preserve">Antes </w:t>
      </w:r>
      <w:r>
        <w:rPr>
          <w:spacing w:val="1"/>
        </w:rPr>
        <w:t xml:space="preserve">da </w:t>
      </w:r>
      <w:r>
        <w:rPr>
          <w:spacing w:val="3"/>
        </w:rPr>
        <w:t xml:space="preserve">descoberta mineral </w:t>
      </w:r>
      <w:r>
        <w:rPr>
          <w:spacing w:val="1"/>
        </w:rPr>
        <w:t xml:space="preserve">no </w:t>
      </w:r>
      <w:r>
        <w:rPr>
          <w:spacing w:val="3"/>
        </w:rPr>
        <w:t xml:space="preserve">local, </w:t>
      </w:r>
      <w:r>
        <w:rPr>
          <w:spacing w:val="1"/>
        </w:rPr>
        <w:t xml:space="preserve">já </w:t>
      </w:r>
      <w:r>
        <w:rPr>
          <w:spacing w:val="3"/>
        </w:rPr>
        <w:t xml:space="preserve">viviam </w:t>
      </w:r>
      <w:r>
        <w:rPr>
          <w:spacing w:val="2"/>
        </w:rPr>
        <w:t xml:space="preserve">ali </w:t>
      </w:r>
      <w:r>
        <w:rPr>
          <w:spacing w:val="5"/>
        </w:rPr>
        <w:t xml:space="preserve">grupos </w:t>
      </w:r>
      <w:r>
        <w:rPr>
          <w:spacing w:val="6"/>
        </w:rPr>
        <w:t xml:space="preserve">remanescentes </w:t>
      </w:r>
      <w:r>
        <w:rPr>
          <w:spacing w:val="3"/>
        </w:rPr>
        <w:t xml:space="preserve">de </w:t>
      </w:r>
      <w:r>
        <w:rPr>
          <w:spacing w:val="6"/>
        </w:rPr>
        <w:t xml:space="preserve">quilombos, extrativistas </w:t>
      </w:r>
      <w:r>
        <w:rPr>
          <w:spacing w:val="7"/>
        </w:rPr>
        <w:t xml:space="preserve">organizados </w:t>
      </w:r>
      <w:r>
        <w:rPr>
          <w:spacing w:val="3"/>
        </w:rPr>
        <w:t xml:space="preserve">coletivamente </w:t>
      </w:r>
      <w:r>
        <w:t xml:space="preserve">e </w:t>
      </w:r>
      <w:r>
        <w:rPr>
          <w:spacing w:val="3"/>
        </w:rPr>
        <w:t xml:space="preserve">distribuídos </w:t>
      </w:r>
      <w:r>
        <w:rPr>
          <w:spacing w:val="1"/>
        </w:rPr>
        <w:t xml:space="preserve">de </w:t>
      </w:r>
      <w:r>
        <w:rPr>
          <w:spacing w:val="3"/>
        </w:rPr>
        <w:t xml:space="preserve">forma esparsa. Viviam </w:t>
      </w:r>
      <w:r>
        <w:rPr>
          <w:spacing w:val="5"/>
        </w:rPr>
        <w:t xml:space="preserve">em </w:t>
      </w:r>
      <w:r>
        <w:rPr>
          <w:spacing w:val="13"/>
        </w:rPr>
        <w:t xml:space="preserve">comunidades etnicamente fechadas </w:t>
      </w:r>
      <w:r>
        <w:t xml:space="preserve">e </w:t>
      </w:r>
      <w:r>
        <w:rPr>
          <w:spacing w:val="13"/>
        </w:rPr>
        <w:t xml:space="preserve">socialmente </w:t>
      </w:r>
      <w:r>
        <w:t xml:space="preserve">autônomas, praticando agricultura de subsistência, coletando </w:t>
      </w:r>
      <w:r>
        <w:rPr>
          <w:spacing w:val="3"/>
        </w:rPr>
        <w:t>espéci</w:t>
      </w:r>
      <w:r>
        <w:rPr>
          <w:spacing w:val="3"/>
        </w:rPr>
        <w:t xml:space="preserve">es vegetais, caçando </w:t>
      </w:r>
      <w:r>
        <w:rPr>
          <w:spacing w:val="2"/>
        </w:rPr>
        <w:t xml:space="preserve">para </w:t>
      </w:r>
      <w:r>
        <w:rPr>
          <w:spacing w:val="3"/>
        </w:rPr>
        <w:t xml:space="preserve">consumo próprio </w:t>
      </w:r>
      <w:r>
        <w:t xml:space="preserve">e </w:t>
      </w:r>
      <w:r>
        <w:rPr>
          <w:spacing w:val="5"/>
        </w:rPr>
        <w:t xml:space="preserve">para </w:t>
      </w:r>
      <w:r>
        <w:t xml:space="preserve">comercialização no mercado regional. Alguns poucos ainda estavam sob controle territorial dos então decadentes ‘patrões dos castanhais’ (WANDERLEY, 2004). Durante a instalação da mineração, tais comunidades </w:t>
      </w:r>
      <w:r>
        <w:t>foram ignoradas (AZEVEDO; CASTRO, 1998 apud WANDERLEY,</w:t>
      </w:r>
      <w:r>
        <w:rPr>
          <w:spacing w:val="10"/>
        </w:rPr>
        <w:t xml:space="preserve"> </w:t>
      </w:r>
      <w:r>
        <w:t>2004).</w:t>
      </w:r>
    </w:p>
    <w:p w:rsidR="00D81F69" w:rsidRDefault="00330118">
      <w:pPr>
        <w:pStyle w:val="Corpodetexto"/>
        <w:spacing w:before="141" w:line="312" w:lineRule="auto"/>
        <w:ind w:right="39"/>
      </w:pPr>
      <w:r>
        <w:rPr>
          <w:spacing w:val="5"/>
        </w:rPr>
        <w:t xml:space="preserve">As </w:t>
      </w:r>
      <w:r>
        <w:rPr>
          <w:spacing w:val="10"/>
        </w:rPr>
        <w:t xml:space="preserve">áreas </w:t>
      </w:r>
      <w:r>
        <w:rPr>
          <w:spacing w:val="5"/>
        </w:rPr>
        <w:t xml:space="preserve">da </w:t>
      </w:r>
      <w:r>
        <w:rPr>
          <w:spacing w:val="10"/>
        </w:rPr>
        <w:t xml:space="preserve">company </w:t>
      </w:r>
      <w:r>
        <w:rPr>
          <w:spacing w:val="8"/>
        </w:rPr>
        <w:t xml:space="preserve">town </w:t>
      </w:r>
      <w:r>
        <w:rPr>
          <w:spacing w:val="10"/>
        </w:rPr>
        <w:t xml:space="preserve">[cidade empresa] </w:t>
      </w:r>
      <w:r>
        <w:rPr>
          <w:spacing w:val="12"/>
        </w:rPr>
        <w:t xml:space="preserve">Porto </w:t>
      </w:r>
      <w:r>
        <w:t xml:space="preserve">Trombetas – criada para acomodar os empregados da MRN e </w:t>
      </w:r>
      <w:r>
        <w:rPr>
          <w:spacing w:val="2"/>
        </w:rPr>
        <w:t xml:space="preserve">seus </w:t>
      </w:r>
      <w:r>
        <w:rPr>
          <w:spacing w:val="3"/>
        </w:rPr>
        <w:t xml:space="preserve">familiares </w:t>
      </w:r>
      <w:r>
        <w:t xml:space="preserve">– e a </w:t>
      </w:r>
      <w:r>
        <w:rPr>
          <w:spacing w:val="2"/>
        </w:rPr>
        <w:t xml:space="preserve">dos </w:t>
      </w:r>
      <w:r>
        <w:rPr>
          <w:spacing w:val="3"/>
        </w:rPr>
        <w:t xml:space="preserve">platôs, </w:t>
      </w:r>
      <w:r>
        <w:rPr>
          <w:spacing w:val="2"/>
        </w:rPr>
        <w:t xml:space="preserve">que </w:t>
      </w:r>
      <w:r>
        <w:rPr>
          <w:spacing w:val="1"/>
        </w:rPr>
        <w:t xml:space="preserve">se </w:t>
      </w:r>
      <w:r>
        <w:rPr>
          <w:spacing w:val="3"/>
        </w:rPr>
        <w:t xml:space="preserve">tornariam </w:t>
      </w:r>
      <w:r>
        <w:rPr>
          <w:spacing w:val="5"/>
        </w:rPr>
        <w:t>minas, foram consideradas espaços vazio</w:t>
      </w:r>
      <w:r>
        <w:rPr>
          <w:spacing w:val="5"/>
        </w:rPr>
        <w:t xml:space="preserve">s, </w:t>
      </w:r>
      <w:r>
        <w:rPr>
          <w:spacing w:val="3"/>
        </w:rPr>
        <w:t xml:space="preserve">sem </w:t>
      </w:r>
      <w:r>
        <w:rPr>
          <w:spacing w:val="5"/>
        </w:rPr>
        <w:t xml:space="preserve">habitantes. </w:t>
      </w:r>
      <w:r>
        <w:t xml:space="preserve">A empresa criou a visão de que fora ela a primeira a ocupar a região. Desta forma, teria o direito à exploração do espaço, </w:t>
      </w:r>
      <w:r>
        <w:rPr>
          <w:spacing w:val="1"/>
        </w:rPr>
        <w:t xml:space="preserve">em </w:t>
      </w:r>
      <w:r>
        <w:rPr>
          <w:spacing w:val="3"/>
        </w:rPr>
        <w:t xml:space="preserve">detrimento </w:t>
      </w:r>
      <w:r>
        <w:rPr>
          <w:spacing w:val="2"/>
        </w:rPr>
        <w:t xml:space="preserve">das </w:t>
      </w:r>
      <w:r>
        <w:rPr>
          <w:spacing w:val="3"/>
        </w:rPr>
        <w:t xml:space="preserve">comunidades tradicionais </w:t>
      </w:r>
      <w:r>
        <w:rPr>
          <w:spacing w:val="5"/>
        </w:rPr>
        <w:t xml:space="preserve">(ACEVEDO; </w:t>
      </w:r>
      <w:r>
        <w:t xml:space="preserve">CASTRO, 1998 apud WANDERLEY, 2004). Em contrapartida, a </w:t>
      </w:r>
      <w:r>
        <w:rPr>
          <w:spacing w:val="5"/>
        </w:rPr>
        <w:t xml:space="preserve">MRN </w:t>
      </w:r>
      <w:r>
        <w:rPr>
          <w:spacing w:val="8"/>
        </w:rPr>
        <w:t>c</w:t>
      </w:r>
      <w:r>
        <w:rPr>
          <w:spacing w:val="8"/>
        </w:rPr>
        <w:t xml:space="preserve">onstruíu, </w:t>
      </w:r>
      <w:r>
        <w:rPr>
          <w:spacing w:val="5"/>
        </w:rPr>
        <w:t xml:space="preserve">em </w:t>
      </w:r>
      <w:r>
        <w:rPr>
          <w:spacing w:val="7"/>
        </w:rPr>
        <w:t xml:space="preserve">Porto Tombetas, </w:t>
      </w:r>
      <w:r>
        <w:rPr>
          <w:spacing w:val="5"/>
        </w:rPr>
        <w:t xml:space="preserve">uma </w:t>
      </w:r>
      <w:r>
        <w:rPr>
          <w:spacing w:val="10"/>
        </w:rPr>
        <w:t xml:space="preserve">completa </w:t>
      </w:r>
      <w:r>
        <w:rPr>
          <w:spacing w:val="5"/>
        </w:rPr>
        <w:t xml:space="preserve">infraestrutura, composta </w:t>
      </w:r>
      <w:r>
        <w:rPr>
          <w:spacing w:val="3"/>
        </w:rPr>
        <w:t xml:space="preserve">por </w:t>
      </w:r>
      <w:r>
        <w:rPr>
          <w:spacing w:val="5"/>
        </w:rPr>
        <w:t xml:space="preserve">escola </w:t>
      </w:r>
      <w:r>
        <w:rPr>
          <w:spacing w:val="3"/>
        </w:rPr>
        <w:t xml:space="preserve">até </w:t>
      </w:r>
      <w:r>
        <w:t xml:space="preserve">o </w:t>
      </w:r>
      <w:r>
        <w:rPr>
          <w:spacing w:val="5"/>
        </w:rPr>
        <w:t xml:space="preserve">ensino médio; </w:t>
      </w:r>
      <w:r>
        <w:rPr>
          <w:spacing w:val="6"/>
        </w:rPr>
        <w:t xml:space="preserve">hospital; </w:t>
      </w:r>
      <w:r>
        <w:rPr>
          <w:spacing w:val="5"/>
        </w:rPr>
        <w:t xml:space="preserve">clubes </w:t>
      </w:r>
      <w:r>
        <w:rPr>
          <w:spacing w:val="3"/>
        </w:rPr>
        <w:t xml:space="preserve">de </w:t>
      </w:r>
      <w:r>
        <w:rPr>
          <w:spacing w:val="5"/>
        </w:rPr>
        <w:t xml:space="preserve">lazer; </w:t>
      </w:r>
      <w:r>
        <w:rPr>
          <w:spacing w:val="6"/>
        </w:rPr>
        <w:t xml:space="preserve">cine-teatro; </w:t>
      </w:r>
      <w:r>
        <w:rPr>
          <w:spacing w:val="5"/>
        </w:rPr>
        <w:t xml:space="preserve">centro </w:t>
      </w:r>
      <w:r>
        <w:rPr>
          <w:spacing w:val="7"/>
        </w:rPr>
        <w:t xml:space="preserve">comercial; </w:t>
      </w:r>
      <w:r>
        <w:t xml:space="preserve">aeroporto e sistema de comunicação nacional e internacional </w:t>
      </w:r>
      <w:r>
        <w:rPr>
          <w:spacing w:val="1"/>
        </w:rPr>
        <w:t xml:space="preserve">(MRN, 2010b). Comparada </w:t>
      </w:r>
      <w:r>
        <w:t xml:space="preserve">com a </w:t>
      </w:r>
      <w:r>
        <w:rPr>
          <w:spacing w:val="1"/>
        </w:rPr>
        <w:t xml:space="preserve">situação </w:t>
      </w:r>
      <w:r>
        <w:t xml:space="preserve">de </w:t>
      </w:r>
      <w:r>
        <w:rPr>
          <w:spacing w:val="1"/>
        </w:rPr>
        <w:t xml:space="preserve">pobreza </w:t>
      </w:r>
      <w:r>
        <w:rPr>
          <w:spacing w:val="2"/>
        </w:rPr>
        <w:t xml:space="preserve">em </w:t>
      </w:r>
      <w:r>
        <w:t xml:space="preserve">que vivem os habitantes da região, a vila de Porto Trombetas pode ser considerada um “enclave” dentro do município de </w:t>
      </w:r>
      <w:r>
        <w:rPr>
          <w:spacing w:val="18"/>
        </w:rPr>
        <w:t xml:space="preserve">Oriximiná, comunidade </w:t>
      </w:r>
      <w:r>
        <w:rPr>
          <w:spacing w:val="13"/>
        </w:rPr>
        <w:t xml:space="preserve">que </w:t>
      </w:r>
      <w:r>
        <w:rPr>
          <w:spacing w:val="17"/>
        </w:rPr>
        <w:t xml:space="preserve">ostenta índices </w:t>
      </w:r>
      <w:r>
        <w:rPr>
          <w:spacing w:val="10"/>
        </w:rPr>
        <w:t xml:space="preserve">de </w:t>
      </w:r>
      <w:r>
        <w:t>desenvolvimento humano preocupantes (LIMA; FERNANDES; TEIXEIRA,</w:t>
      </w:r>
      <w:r>
        <w:t xml:space="preserve"> </w:t>
      </w:r>
      <w:r>
        <w:t>2009)</w:t>
      </w:r>
    </w:p>
    <w:p w:rsidR="00D81F69" w:rsidRDefault="00330118">
      <w:pPr>
        <w:pStyle w:val="Corpodetexto"/>
        <w:spacing w:before="146" w:line="312" w:lineRule="auto"/>
        <w:ind w:right="55"/>
      </w:pPr>
      <w:r>
        <w:t>Foram vár</w:t>
      </w:r>
      <w:r>
        <w:t>ias as desterritorializações sofridas pelos quilombolas desde o início da exploração mineral. A primeira aconteceu quando 90 famílias fizeram um ‘acordo’ com a mineradora para saírem de seu território, recebendo em troca ínfima indenização. Somado aos 65.5</w:t>
      </w:r>
      <w:r>
        <w:t>52 hectares de terras concedidos pelo governo federal, a MRN adquiriu uma posse de 400 hectares, mediante pagamento aos quilombolas e solicitou mais 87.258 hectares ao Instituto Nacional de</w:t>
      </w:r>
    </w:p>
    <w:p w:rsidR="00D81F69" w:rsidRDefault="00330118">
      <w:pPr>
        <w:pStyle w:val="Corpodetexto"/>
        <w:spacing w:before="81" w:line="312" w:lineRule="auto"/>
        <w:ind w:right="229"/>
      </w:pPr>
      <w:r>
        <w:br w:type="column"/>
      </w:r>
      <w:r>
        <w:lastRenderedPageBreak/>
        <w:t>Colonização e Reforma Agrária (Incra), em 1977. Esta posse incluí</w:t>
      </w:r>
      <w:r>
        <w:t>a a comunidade de Boa Vista, localizada na margem esquerda do rio Trombetas, bem ao lado de Porto Trombetas (ACEVEDO; CASTRO, 1998 apud WANDERLEY, 2004).</w:t>
      </w:r>
    </w:p>
    <w:p w:rsidR="00D81F69" w:rsidRDefault="00330118">
      <w:pPr>
        <w:pStyle w:val="Corpodetexto"/>
        <w:spacing w:before="4" w:line="312" w:lineRule="auto"/>
        <w:ind w:right="236"/>
      </w:pPr>
      <w:r>
        <w:t>Apesar de não terem sido removidas, as famílias do assentamento foram proibidas de caçar, fazer roçado e coletar castanha ou qualquer produto da floresta. Além disso, tiveram seu território e o direito de circular limitados com o fim do acesso aos platôs c</w:t>
      </w:r>
      <w:r>
        <w:t>om castanhais, concedidos para lavra (WANDERLEY, 2004).</w:t>
      </w:r>
    </w:p>
    <w:p w:rsidR="00D81F69" w:rsidRDefault="00330118">
      <w:pPr>
        <w:pStyle w:val="Corpodetexto"/>
        <w:spacing w:before="135" w:line="312" w:lineRule="auto"/>
        <w:ind w:right="233"/>
      </w:pPr>
      <w:r>
        <w:t xml:space="preserve">No que diz respeito à economia local, a mineração promoveu certa dinamização, mas não incluiu as comunidades rurais. Elas, além de não terem sido integradas como mão de obra </w:t>
      </w:r>
      <w:r>
        <w:rPr>
          <w:spacing w:val="2"/>
        </w:rPr>
        <w:t xml:space="preserve">na </w:t>
      </w:r>
      <w:r>
        <w:rPr>
          <w:spacing w:val="5"/>
        </w:rPr>
        <w:t xml:space="preserve">empresa, </w:t>
      </w:r>
      <w:r>
        <w:rPr>
          <w:spacing w:val="2"/>
        </w:rPr>
        <w:t xml:space="preserve">de </w:t>
      </w:r>
      <w:r>
        <w:rPr>
          <w:spacing w:val="3"/>
        </w:rPr>
        <w:t xml:space="preserve">não </w:t>
      </w:r>
      <w:r>
        <w:rPr>
          <w:spacing w:val="5"/>
        </w:rPr>
        <w:t>consegu</w:t>
      </w:r>
      <w:r>
        <w:rPr>
          <w:spacing w:val="5"/>
        </w:rPr>
        <w:t xml:space="preserve">irem vender </w:t>
      </w:r>
      <w:r>
        <w:rPr>
          <w:spacing w:val="3"/>
        </w:rPr>
        <w:t xml:space="preserve">sua </w:t>
      </w:r>
      <w:r>
        <w:rPr>
          <w:spacing w:val="6"/>
        </w:rPr>
        <w:t xml:space="preserve">produção </w:t>
      </w:r>
      <w:r>
        <w:t xml:space="preserve">extrativista e agrícola, também vêm perdendo continuamente </w:t>
      </w:r>
      <w:r>
        <w:rPr>
          <w:spacing w:val="7"/>
        </w:rPr>
        <w:t xml:space="preserve">parte </w:t>
      </w:r>
      <w:r>
        <w:rPr>
          <w:spacing w:val="5"/>
        </w:rPr>
        <w:t xml:space="preserve">de sua </w:t>
      </w:r>
      <w:r>
        <w:rPr>
          <w:spacing w:val="7"/>
        </w:rPr>
        <w:t xml:space="preserve">principal fonte </w:t>
      </w:r>
      <w:r>
        <w:rPr>
          <w:spacing w:val="5"/>
        </w:rPr>
        <w:t xml:space="preserve">de </w:t>
      </w:r>
      <w:r>
        <w:rPr>
          <w:spacing w:val="7"/>
        </w:rPr>
        <w:t xml:space="preserve">renda </w:t>
      </w:r>
      <w:r>
        <w:t xml:space="preserve">- a </w:t>
      </w:r>
      <w:r>
        <w:rPr>
          <w:spacing w:val="7"/>
        </w:rPr>
        <w:t xml:space="preserve">extração </w:t>
      </w:r>
      <w:r>
        <w:rPr>
          <w:spacing w:val="10"/>
        </w:rPr>
        <w:t xml:space="preserve">da </w:t>
      </w:r>
      <w:r>
        <w:t>castanha-do-pará - devido à sobreposição territorial natural de dois recursos: a castanha e a bauxita, ambas localizad</w:t>
      </w:r>
      <w:r>
        <w:t>as no topo dos platôs sedimentares (WANDERLEY,</w:t>
      </w:r>
      <w:r>
        <w:rPr>
          <w:spacing w:val="16"/>
        </w:rPr>
        <w:t xml:space="preserve"> </w:t>
      </w:r>
      <w:r>
        <w:t>2004).</w:t>
      </w:r>
    </w:p>
    <w:p w:rsidR="00D81F69" w:rsidRDefault="00330118">
      <w:pPr>
        <w:pStyle w:val="Corpodetexto"/>
        <w:spacing w:before="138" w:line="312" w:lineRule="auto"/>
        <w:ind w:right="226"/>
      </w:pPr>
      <w:r>
        <w:t>Em 2002, a MRN iniciou a expansão de suas atividades para os platôs Aviso, Bacaba e Almeida, deslocando o eixo da extração das margens do Trombetas para o lago Sapucuá, a sul do empreendimento. No platô</w:t>
      </w:r>
      <w:r>
        <w:t xml:space="preserve"> Almeida, a produção de castanha caiu quase 70%, com a derrubada da mata, restando castanheiras apenas na base da encosta. O fim dessa área de coleta afetou, além das famílias residentes nas proximidades do platô, castanheiros de outras localidades que mig</w:t>
      </w:r>
      <w:r>
        <w:t>ravam sazonalmente, atraídos pelo alto grau de produtividade dos castanhais (WANDERLEY, 2008).</w:t>
      </w:r>
    </w:p>
    <w:p w:rsidR="00D81F69" w:rsidRDefault="00330118">
      <w:pPr>
        <w:pStyle w:val="Corpodetexto"/>
        <w:spacing w:before="140" w:line="312" w:lineRule="auto"/>
        <w:ind w:right="239"/>
      </w:pPr>
      <w:r>
        <w:t xml:space="preserve">Com a criação da Reserva Biológica do Rio Trombetas (Rebio do Trombetas) em Oriximiná, em 1979, intensificaram-se os </w:t>
      </w:r>
      <w:r>
        <w:rPr>
          <w:spacing w:val="6"/>
        </w:rPr>
        <w:t xml:space="preserve">conflitos. </w:t>
      </w:r>
      <w:r>
        <w:t xml:space="preserve">O </w:t>
      </w:r>
      <w:r>
        <w:rPr>
          <w:spacing w:val="5"/>
        </w:rPr>
        <w:t xml:space="preserve">governo </w:t>
      </w:r>
      <w:r>
        <w:rPr>
          <w:spacing w:val="6"/>
        </w:rPr>
        <w:t xml:space="preserve">federal, </w:t>
      </w:r>
      <w:r>
        <w:rPr>
          <w:spacing w:val="5"/>
        </w:rPr>
        <w:t xml:space="preserve">ainda sob </w:t>
      </w:r>
      <w:r>
        <w:t xml:space="preserve">o </w:t>
      </w:r>
      <w:r>
        <w:rPr>
          <w:spacing w:val="6"/>
        </w:rPr>
        <w:t>co</w:t>
      </w:r>
      <w:r>
        <w:rPr>
          <w:spacing w:val="6"/>
        </w:rPr>
        <w:t xml:space="preserve">ntrole </w:t>
      </w:r>
      <w:r>
        <w:rPr>
          <w:spacing w:val="7"/>
        </w:rPr>
        <w:t xml:space="preserve">dos </w:t>
      </w:r>
      <w:r>
        <w:rPr>
          <w:spacing w:val="15"/>
        </w:rPr>
        <w:t xml:space="preserve">militares, </w:t>
      </w:r>
      <w:r>
        <w:rPr>
          <w:spacing w:val="13"/>
        </w:rPr>
        <w:t xml:space="preserve">demarcou </w:t>
      </w:r>
      <w:r>
        <w:t xml:space="preserve">a </w:t>
      </w:r>
      <w:r>
        <w:rPr>
          <w:spacing w:val="13"/>
        </w:rPr>
        <w:t xml:space="preserve">reserva </w:t>
      </w:r>
      <w:r>
        <w:rPr>
          <w:spacing w:val="10"/>
        </w:rPr>
        <w:t xml:space="preserve">sem </w:t>
      </w:r>
      <w:r>
        <w:rPr>
          <w:spacing w:val="15"/>
        </w:rPr>
        <w:t xml:space="preserve">considerar </w:t>
      </w:r>
      <w:r>
        <w:rPr>
          <w:spacing w:val="7"/>
        </w:rPr>
        <w:t xml:space="preserve">as </w:t>
      </w:r>
      <w:r>
        <w:rPr>
          <w:spacing w:val="5"/>
        </w:rPr>
        <w:t xml:space="preserve">comunidades </w:t>
      </w:r>
      <w:r>
        <w:rPr>
          <w:spacing w:val="3"/>
        </w:rPr>
        <w:t xml:space="preserve">ali </w:t>
      </w:r>
      <w:r>
        <w:rPr>
          <w:spacing w:val="5"/>
        </w:rPr>
        <w:t xml:space="preserve">residentes, levando </w:t>
      </w:r>
      <w:r>
        <w:t xml:space="preserve">à </w:t>
      </w:r>
      <w:r>
        <w:rPr>
          <w:spacing w:val="5"/>
        </w:rPr>
        <w:t xml:space="preserve">sobreposição </w:t>
      </w:r>
      <w:r>
        <w:rPr>
          <w:spacing w:val="6"/>
        </w:rPr>
        <w:t xml:space="preserve">de </w:t>
      </w:r>
      <w:r>
        <w:rPr>
          <w:spacing w:val="3"/>
        </w:rPr>
        <w:t xml:space="preserve">territórios centenários utilizados </w:t>
      </w:r>
      <w:r>
        <w:rPr>
          <w:spacing w:val="2"/>
        </w:rPr>
        <w:t xml:space="preserve">por </w:t>
      </w:r>
      <w:r>
        <w:rPr>
          <w:spacing w:val="3"/>
        </w:rPr>
        <w:t xml:space="preserve">quilombolas </w:t>
      </w:r>
      <w:r>
        <w:t xml:space="preserve">e o </w:t>
      </w:r>
      <w:r>
        <w:rPr>
          <w:spacing w:val="5"/>
        </w:rPr>
        <w:t xml:space="preserve">novo </w:t>
      </w:r>
      <w:r>
        <w:rPr>
          <w:spacing w:val="3"/>
        </w:rPr>
        <w:t xml:space="preserve">território constituído </w:t>
      </w:r>
      <w:r>
        <w:rPr>
          <w:spacing w:val="2"/>
        </w:rPr>
        <w:t xml:space="preserve">pela </w:t>
      </w:r>
      <w:r>
        <w:rPr>
          <w:spacing w:val="3"/>
        </w:rPr>
        <w:t xml:space="preserve">reserva. Algumas famílias </w:t>
      </w:r>
      <w:r>
        <w:rPr>
          <w:spacing w:val="5"/>
        </w:rPr>
        <w:t xml:space="preserve">foram </w:t>
      </w:r>
      <w:r>
        <w:t xml:space="preserve">expulsas de suas terras, sem indenização ou mediante ínfima quantia. Diversos atos de violência foram denunciados pela </w:t>
      </w:r>
      <w:r>
        <w:rPr>
          <w:spacing w:val="13"/>
        </w:rPr>
        <w:t xml:space="preserve">pastoral </w:t>
      </w:r>
      <w:r>
        <w:rPr>
          <w:spacing w:val="7"/>
        </w:rPr>
        <w:t xml:space="preserve">de </w:t>
      </w:r>
      <w:r>
        <w:rPr>
          <w:spacing w:val="13"/>
        </w:rPr>
        <w:t xml:space="preserve">Oriximiná, </w:t>
      </w:r>
      <w:r>
        <w:rPr>
          <w:spacing w:val="12"/>
        </w:rPr>
        <w:t xml:space="preserve">durante </w:t>
      </w:r>
      <w:r>
        <w:t xml:space="preserve">a </w:t>
      </w:r>
      <w:r>
        <w:rPr>
          <w:spacing w:val="12"/>
        </w:rPr>
        <w:t xml:space="preserve">década </w:t>
      </w:r>
      <w:r>
        <w:rPr>
          <w:spacing w:val="7"/>
        </w:rPr>
        <w:t xml:space="preserve">de </w:t>
      </w:r>
      <w:r>
        <w:rPr>
          <w:spacing w:val="11"/>
        </w:rPr>
        <w:t xml:space="preserve">1980 </w:t>
      </w:r>
      <w:r>
        <w:rPr>
          <w:spacing w:val="13"/>
        </w:rPr>
        <w:t>(WANDERLEY,</w:t>
      </w:r>
      <w:r>
        <w:rPr>
          <w:spacing w:val="77"/>
        </w:rPr>
        <w:t xml:space="preserve"> </w:t>
      </w:r>
      <w:r>
        <w:rPr>
          <w:spacing w:val="12"/>
        </w:rPr>
        <w:t>2004).</w:t>
      </w:r>
      <w:r>
        <w:rPr>
          <w:spacing w:val="-33"/>
        </w:rPr>
        <w:t xml:space="preserve"> </w:t>
      </w:r>
    </w:p>
    <w:p w:rsidR="00D81F69" w:rsidRDefault="00330118">
      <w:pPr>
        <w:pStyle w:val="Corpodetexto"/>
        <w:spacing w:before="77" w:line="270" w:lineRule="atLeast"/>
        <w:ind w:right="227"/>
      </w:pPr>
      <w:r>
        <w:t xml:space="preserve">No fim do </w:t>
      </w:r>
      <w:r>
        <w:rPr>
          <w:spacing w:val="1"/>
        </w:rPr>
        <w:t xml:space="preserve">primeiro governo civil brasileiro pós-ditadura, </w:t>
      </w:r>
      <w:r>
        <w:rPr>
          <w:spacing w:val="2"/>
        </w:rPr>
        <w:t xml:space="preserve">foi </w:t>
      </w:r>
      <w:r>
        <w:t>promulg</w:t>
      </w:r>
      <w:r>
        <w:t xml:space="preserve">ada pelo então presidente José Sarney, por proposta </w:t>
      </w:r>
      <w:r>
        <w:rPr>
          <w:spacing w:val="3"/>
        </w:rPr>
        <w:t xml:space="preserve">da </w:t>
      </w:r>
      <w:r>
        <w:rPr>
          <w:spacing w:val="5"/>
        </w:rPr>
        <w:t xml:space="preserve">MRN, </w:t>
      </w:r>
      <w:r>
        <w:t xml:space="preserve">a </w:t>
      </w:r>
      <w:r>
        <w:rPr>
          <w:spacing w:val="6"/>
        </w:rPr>
        <w:t xml:space="preserve">Floresta Nacional </w:t>
      </w:r>
      <w:r>
        <w:rPr>
          <w:spacing w:val="5"/>
        </w:rPr>
        <w:t xml:space="preserve">(Flona) Saracá </w:t>
      </w:r>
      <w:r>
        <w:rPr>
          <w:spacing w:val="7"/>
        </w:rPr>
        <w:t xml:space="preserve">-Taquera. </w:t>
      </w:r>
      <w:r>
        <w:rPr>
          <w:spacing w:val="1"/>
        </w:rPr>
        <w:t xml:space="preserve">Localizada </w:t>
      </w:r>
      <w:r>
        <w:t xml:space="preserve">na </w:t>
      </w:r>
      <w:r>
        <w:rPr>
          <w:spacing w:val="1"/>
        </w:rPr>
        <w:t xml:space="preserve">margem direita </w:t>
      </w:r>
      <w:r>
        <w:t xml:space="preserve">do rio </w:t>
      </w:r>
      <w:r>
        <w:rPr>
          <w:spacing w:val="1"/>
        </w:rPr>
        <w:t xml:space="preserve">Trombetas, </w:t>
      </w:r>
      <w:r>
        <w:t xml:space="preserve">a </w:t>
      </w:r>
      <w:r>
        <w:rPr>
          <w:spacing w:val="2"/>
        </w:rPr>
        <w:t xml:space="preserve">floresta </w:t>
      </w:r>
      <w:r>
        <w:rPr>
          <w:spacing w:val="7"/>
        </w:rPr>
        <w:t xml:space="preserve">inclui </w:t>
      </w:r>
      <w:r>
        <w:t xml:space="preserve">o </w:t>
      </w:r>
      <w:r>
        <w:rPr>
          <w:spacing w:val="8"/>
        </w:rPr>
        <w:t xml:space="preserve">território </w:t>
      </w:r>
      <w:r>
        <w:rPr>
          <w:spacing w:val="7"/>
        </w:rPr>
        <w:t xml:space="preserve">concedido </w:t>
      </w:r>
      <w:r>
        <w:rPr>
          <w:spacing w:val="6"/>
        </w:rPr>
        <w:t xml:space="preserve">para </w:t>
      </w:r>
      <w:r>
        <w:rPr>
          <w:spacing w:val="7"/>
        </w:rPr>
        <w:t xml:space="preserve">lavra </w:t>
      </w:r>
      <w:r>
        <w:t xml:space="preserve">à </w:t>
      </w:r>
      <w:r>
        <w:rPr>
          <w:spacing w:val="6"/>
        </w:rPr>
        <w:t xml:space="preserve">MRN. Para </w:t>
      </w:r>
      <w:r>
        <w:t>a empresa, a delimitação da Flona repres</w:t>
      </w:r>
      <w:r>
        <w:t xml:space="preserve">entava a preservação dos recursos minerais para futuros empreendimentos e um empecilho para concorrentes na concessão de áreas de lavra. </w:t>
      </w:r>
      <w:r>
        <w:rPr>
          <w:spacing w:val="12"/>
        </w:rPr>
        <w:t xml:space="preserve">Novamente, </w:t>
      </w:r>
      <w:r>
        <w:t xml:space="preserve">a </w:t>
      </w:r>
      <w:r>
        <w:rPr>
          <w:spacing w:val="12"/>
        </w:rPr>
        <w:t xml:space="preserve">demarcação </w:t>
      </w:r>
      <w:r>
        <w:rPr>
          <w:spacing w:val="6"/>
        </w:rPr>
        <w:t xml:space="preserve">da </w:t>
      </w:r>
      <w:r>
        <w:rPr>
          <w:spacing w:val="11"/>
        </w:rPr>
        <w:t xml:space="preserve">Flona </w:t>
      </w:r>
      <w:r>
        <w:rPr>
          <w:spacing w:val="10"/>
        </w:rPr>
        <w:t xml:space="preserve">não </w:t>
      </w:r>
      <w:r>
        <w:rPr>
          <w:spacing w:val="11"/>
        </w:rPr>
        <w:t xml:space="preserve">levou </w:t>
      </w:r>
      <w:r>
        <w:rPr>
          <w:spacing w:val="15"/>
        </w:rPr>
        <w:t xml:space="preserve">em </w:t>
      </w:r>
      <w:r>
        <w:rPr>
          <w:spacing w:val="5"/>
        </w:rPr>
        <w:t xml:space="preserve">consideração </w:t>
      </w:r>
      <w:r>
        <w:rPr>
          <w:spacing w:val="2"/>
        </w:rPr>
        <w:t xml:space="preserve">as </w:t>
      </w:r>
      <w:r>
        <w:rPr>
          <w:spacing w:val="5"/>
        </w:rPr>
        <w:t>comunidades existentes (WANDERLEY,</w:t>
      </w:r>
      <w:r>
        <w:rPr>
          <w:spacing w:val="61"/>
        </w:rPr>
        <w:t xml:space="preserve"> </w:t>
      </w:r>
      <w:r>
        <w:rPr>
          <w:spacing w:val="3"/>
        </w:rPr>
        <w:t xml:space="preserve">2004). </w:t>
      </w:r>
      <w:r>
        <w:t xml:space="preserve">O </w:t>
      </w:r>
      <w:r>
        <w:rPr>
          <w:spacing w:val="3"/>
        </w:rPr>
        <w:t>movimento soc</w:t>
      </w:r>
      <w:r>
        <w:rPr>
          <w:spacing w:val="3"/>
        </w:rPr>
        <w:t xml:space="preserve">ial </w:t>
      </w:r>
      <w:r>
        <w:rPr>
          <w:spacing w:val="2"/>
        </w:rPr>
        <w:t xml:space="preserve">dos </w:t>
      </w:r>
      <w:r>
        <w:rPr>
          <w:spacing w:val="3"/>
        </w:rPr>
        <w:t xml:space="preserve">quilombolas </w:t>
      </w:r>
      <w:r>
        <w:rPr>
          <w:spacing w:val="1"/>
        </w:rPr>
        <w:t xml:space="preserve">de </w:t>
      </w:r>
      <w:r>
        <w:rPr>
          <w:spacing w:val="5"/>
        </w:rPr>
        <w:t xml:space="preserve">Oriximiná </w:t>
      </w:r>
      <w:r>
        <w:t xml:space="preserve">conquistou, posteriormente, o direito de permanecer dentro da </w:t>
      </w:r>
      <w:r>
        <w:rPr>
          <w:spacing w:val="3"/>
        </w:rPr>
        <w:t xml:space="preserve">Flona </w:t>
      </w:r>
      <w:r>
        <w:t xml:space="preserve">e </w:t>
      </w:r>
      <w:r>
        <w:rPr>
          <w:spacing w:val="2"/>
        </w:rPr>
        <w:t xml:space="preserve">até </w:t>
      </w:r>
      <w:r>
        <w:rPr>
          <w:spacing w:val="3"/>
        </w:rPr>
        <w:t xml:space="preserve">mesmo </w:t>
      </w:r>
      <w:r>
        <w:rPr>
          <w:spacing w:val="1"/>
        </w:rPr>
        <w:t xml:space="preserve">da </w:t>
      </w:r>
      <w:r>
        <w:rPr>
          <w:spacing w:val="3"/>
        </w:rPr>
        <w:t xml:space="preserve">Rebio. </w:t>
      </w:r>
      <w:r>
        <w:rPr>
          <w:spacing w:val="1"/>
        </w:rPr>
        <w:t xml:space="preserve">As </w:t>
      </w:r>
      <w:r>
        <w:rPr>
          <w:spacing w:val="3"/>
        </w:rPr>
        <w:t xml:space="preserve">regras </w:t>
      </w:r>
      <w:r>
        <w:rPr>
          <w:spacing w:val="2"/>
        </w:rPr>
        <w:t xml:space="preserve">que </w:t>
      </w:r>
      <w:r>
        <w:rPr>
          <w:spacing w:val="3"/>
        </w:rPr>
        <w:t xml:space="preserve">impediam </w:t>
      </w:r>
      <w:r>
        <w:t xml:space="preserve">a </w:t>
      </w:r>
      <w:r>
        <w:rPr>
          <w:spacing w:val="1"/>
        </w:rPr>
        <w:t xml:space="preserve">exploração </w:t>
      </w:r>
      <w:r>
        <w:t xml:space="preserve">dos </w:t>
      </w:r>
      <w:r>
        <w:rPr>
          <w:spacing w:val="1"/>
        </w:rPr>
        <w:t xml:space="preserve">recursos naturais foram, </w:t>
      </w:r>
      <w:r>
        <w:t xml:space="preserve">em </w:t>
      </w:r>
      <w:r>
        <w:rPr>
          <w:spacing w:val="1"/>
        </w:rPr>
        <w:t xml:space="preserve">alguns </w:t>
      </w:r>
      <w:r>
        <w:rPr>
          <w:spacing w:val="2"/>
        </w:rPr>
        <w:t xml:space="preserve">casos, </w:t>
      </w:r>
      <w:r>
        <w:t>flexibilizadas. Também conseguiram titular alguns t</w:t>
      </w:r>
      <w:r>
        <w:t>erritórios -</w:t>
      </w:r>
    </w:p>
    <w:p w:rsidR="00D81F69" w:rsidRDefault="00D81F69">
      <w:pPr>
        <w:spacing w:line="270" w:lineRule="atLeast"/>
        <w:sectPr w:rsidR="00D81F69">
          <w:pgSz w:w="11900" w:h="16840"/>
          <w:pgMar w:top="740" w:right="460" w:bottom="620" w:left="620" w:header="0" w:footer="402" w:gutter="0"/>
          <w:cols w:num="2" w:space="720" w:equalWidth="0">
            <w:col w:w="5162" w:space="308"/>
            <w:col w:w="5350"/>
          </w:cols>
        </w:sectPr>
      </w:pPr>
    </w:p>
    <w:p w:rsidR="00D81F69" w:rsidRDefault="00330118">
      <w:pPr>
        <w:pStyle w:val="Corpodetexto"/>
        <w:spacing w:before="81" w:line="312" w:lineRule="auto"/>
        <w:ind w:right="63"/>
      </w:pPr>
      <w:r>
        <w:lastRenderedPageBreak/>
        <w:t>porém estes não se encontram no interior de nenhuma unidade de conservação nem sob interesse da MRN - onde ainda permanecem os impasses (WANDERLEY, 2004).</w:t>
      </w:r>
    </w:p>
    <w:p w:rsidR="00D81F69" w:rsidRDefault="00330118">
      <w:pPr>
        <w:pStyle w:val="Corpodetexto"/>
        <w:spacing w:before="133" w:line="312" w:lineRule="auto"/>
        <w:ind w:right="41"/>
      </w:pPr>
      <w:r>
        <w:rPr>
          <w:spacing w:val="5"/>
        </w:rPr>
        <w:t xml:space="preserve">Fora </w:t>
      </w:r>
      <w:r>
        <w:t xml:space="preserve">a </w:t>
      </w:r>
      <w:r>
        <w:rPr>
          <w:spacing w:val="5"/>
        </w:rPr>
        <w:t xml:space="preserve">questão </w:t>
      </w:r>
      <w:r>
        <w:rPr>
          <w:spacing w:val="3"/>
        </w:rPr>
        <w:t xml:space="preserve">da </w:t>
      </w:r>
      <w:r>
        <w:rPr>
          <w:spacing w:val="6"/>
        </w:rPr>
        <w:t xml:space="preserve">sobreposição </w:t>
      </w:r>
      <w:r>
        <w:rPr>
          <w:spacing w:val="3"/>
        </w:rPr>
        <w:t xml:space="preserve">de </w:t>
      </w:r>
      <w:r>
        <w:rPr>
          <w:spacing w:val="5"/>
        </w:rPr>
        <w:t xml:space="preserve">terras, </w:t>
      </w:r>
      <w:r>
        <w:t xml:space="preserve">a </w:t>
      </w:r>
      <w:r>
        <w:rPr>
          <w:spacing w:val="7"/>
        </w:rPr>
        <w:t xml:space="preserve">atividade </w:t>
      </w:r>
      <w:r>
        <w:t xml:space="preserve">mineradora vem causando vários outros impactos negativos na região. Desde os primeiros anos de exploração mineral, a MRN utilizou-se do lago Batata como tanque de rejeitos. O lago, que constituía uma das principais fontes de renda e de </w:t>
      </w:r>
      <w:r>
        <w:rPr>
          <w:spacing w:val="7"/>
        </w:rPr>
        <w:t xml:space="preserve">alimento </w:t>
      </w:r>
      <w:r>
        <w:rPr>
          <w:spacing w:val="5"/>
        </w:rPr>
        <w:t xml:space="preserve">das </w:t>
      </w:r>
      <w:r>
        <w:rPr>
          <w:spacing w:val="8"/>
        </w:rPr>
        <w:t>populaç</w:t>
      </w:r>
      <w:r>
        <w:rPr>
          <w:spacing w:val="8"/>
        </w:rPr>
        <w:t xml:space="preserve">ões ribeirinhas, </w:t>
      </w:r>
      <w:r>
        <w:rPr>
          <w:spacing w:val="5"/>
        </w:rPr>
        <w:t xml:space="preserve">foi </w:t>
      </w:r>
      <w:r>
        <w:rPr>
          <w:spacing w:val="7"/>
        </w:rPr>
        <w:t xml:space="preserve">atingido </w:t>
      </w:r>
      <w:r>
        <w:rPr>
          <w:spacing w:val="10"/>
        </w:rPr>
        <w:t xml:space="preserve">pelo </w:t>
      </w:r>
      <w:r>
        <w:rPr>
          <w:spacing w:val="8"/>
        </w:rPr>
        <w:t xml:space="preserve">assoreamento </w:t>
      </w:r>
      <w:r>
        <w:t xml:space="preserve">e </w:t>
      </w:r>
      <w:r>
        <w:rPr>
          <w:spacing w:val="6"/>
        </w:rPr>
        <w:t xml:space="preserve">pela </w:t>
      </w:r>
      <w:r>
        <w:rPr>
          <w:spacing w:val="8"/>
        </w:rPr>
        <w:t xml:space="preserve">contaminação, provocados </w:t>
      </w:r>
      <w:r>
        <w:rPr>
          <w:spacing w:val="10"/>
        </w:rPr>
        <w:t xml:space="preserve">pela </w:t>
      </w:r>
      <w:r>
        <w:rPr>
          <w:spacing w:val="3"/>
        </w:rPr>
        <w:t xml:space="preserve">deposição constante </w:t>
      </w:r>
      <w:r>
        <w:rPr>
          <w:spacing w:val="1"/>
        </w:rPr>
        <w:t xml:space="preserve">de </w:t>
      </w:r>
      <w:r>
        <w:rPr>
          <w:spacing w:val="3"/>
        </w:rPr>
        <w:t xml:space="preserve">material argiloso </w:t>
      </w:r>
      <w:r>
        <w:rPr>
          <w:spacing w:val="5"/>
        </w:rPr>
        <w:t xml:space="preserve">(WANDERLEY, </w:t>
      </w:r>
      <w:r>
        <w:t>2004). Estima-se que tenham sido lançadas 1,5 milhões de toneladas de rejeitos por ano no lago. Até meados de 1984,  o</w:t>
      </w:r>
      <w:r>
        <w:t xml:space="preserve">s </w:t>
      </w:r>
      <w:r>
        <w:rPr>
          <w:spacing w:val="1"/>
        </w:rPr>
        <w:t xml:space="preserve">rejeitos eram lançados </w:t>
      </w:r>
      <w:r>
        <w:t xml:space="preserve">no </w:t>
      </w:r>
      <w:r>
        <w:rPr>
          <w:spacing w:val="1"/>
        </w:rPr>
        <w:t xml:space="preserve">igarapé Caranam, </w:t>
      </w:r>
      <w:r>
        <w:t xml:space="preserve">que </w:t>
      </w:r>
      <w:r>
        <w:rPr>
          <w:spacing w:val="2"/>
        </w:rPr>
        <w:t xml:space="preserve">drena </w:t>
      </w:r>
      <w:r>
        <w:rPr>
          <w:spacing w:val="7"/>
        </w:rPr>
        <w:t xml:space="preserve">para </w:t>
      </w:r>
      <w:r>
        <w:t xml:space="preserve">o </w:t>
      </w:r>
      <w:r>
        <w:rPr>
          <w:spacing w:val="8"/>
        </w:rPr>
        <w:t xml:space="preserve">Batata. </w:t>
      </w:r>
      <w:r>
        <w:rPr>
          <w:spacing w:val="6"/>
        </w:rPr>
        <w:t xml:space="preserve">Com </w:t>
      </w:r>
      <w:r>
        <w:t xml:space="preserve">o </w:t>
      </w:r>
      <w:r>
        <w:rPr>
          <w:spacing w:val="10"/>
        </w:rPr>
        <w:t xml:space="preserve">esgotamento </w:t>
      </w:r>
      <w:r>
        <w:rPr>
          <w:spacing w:val="5"/>
        </w:rPr>
        <w:t xml:space="preserve">do </w:t>
      </w:r>
      <w:r>
        <w:rPr>
          <w:spacing w:val="7"/>
        </w:rPr>
        <w:t xml:space="preserve">curso </w:t>
      </w:r>
      <w:r>
        <w:rPr>
          <w:spacing w:val="10"/>
        </w:rPr>
        <w:t xml:space="preserve">d’água, </w:t>
      </w:r>
      <w:r>
        <w:t>passaram a ser lançados em outros pontos e no igarapé Água Fria (WANDERLEY, 2008).</w:t>
      </w:r>
    </w:p>
    <w:p w:rsidR="00D81F69" w:rsidRDefault="00330118">
      <w:pPr>
        <w:pStyle w:val="Corpodetexto"/>
        <w:spacing w:before="143" w:line="312" w:lineRule="auto"/>
        <w:ind w:right="38"/>
      </w:pPr>
      <w:r>
        <w:t>O alto nível de assoreamento do lago colocou em perigo de contaminaç</w:t>
      </w:r>
      <w:r>
        <w:t>ão o rio Trombetas (WANDERLEY, 2008), o que motivou a construção de uma barragem com 10m de altura para impedir o transbordamento. Frente ao perigo ambiental e à visibilidade que alcançou o caso, o Departamento Nacional de Pesquisa Mineral (DNPM) notificou</w:t>
      </w:r>
      <w:r>
        <w:t xml:space="preserve"> a MRN que, posteriormente, substituiu o antigo sistema por tanques de rejeitos (GARRIDO FILHA, 1990 apud WANDERLEY, 2008).</w:t>
      </w:r>
    </w:p>
    <w:p w:rsidR="00D81F69" w:rsidRDefault="00330118">
      <w:pPr>
        <w:pStyle w:val="Corpodetexto"/>
        <w:spacing w:before="7" w:line="312" w:lineRule="auto"/>
        <w:ind w:right="64"/>
      </w:pPr>
      <w:r>
        <w:t xml:space="preserve">Os principais impactos físicos no lago Batata se deram </w:t>
      </w:r>
      <w:r>
        <w:rPr>
          <w:spacing w:val="1"/>
        </w:rPr>
        <w:t xml:space="preserve">nas </w:t>
      </w:r>
      <w:r>
        <w:t xml:space="preserve">áreas de igapó [vegetação típica da Floresta Amazônica] e </w:t>
      </w:r>
      <w:r>
        <w:rPr>
          <w:spacing w:val="3"/>
        </w:rPr>
        <w:t xml:space="preserve">nas </w:t>
      </w:r>
      <w:r>
        <w:rPr>
          <w:spacing w:val="5"/>
        </w:rPr>
        <w:t>áreas perma</w:t>
      </w:r>
      <w:r>
        <w:rPr>
          <w:spacing w:val="5"/>
        </w:rPr>
        <w:t xml:space="preserve">nentemente inundadas. </w:t>
      </w:r>
      <w:r>
        <w:rPr>
          <w:spacing w:val="2"/>
        </w:rPr>
        <w:t xml:space="preserve">Na </w:t>
      </w:r>
      <w:r>
        <w:rPr>
          <w:spacing w:val="5"/>
        </w:rPr>
        <w:t xml:space="preserve">primeira, </w:t>
      </w:r>
      <w:r>
        <w:t xml:space="preserve">o assoreamento levou à morte de parte da vegetação e à perda </w:t>
      </w:r>
      <w:r>
        <w:rPr>
          <w:spacing w:val="3"/>
        </w:rPr>
        <w:t xml:space="preserve">de </w:t>
      </w:r>
      <w:r>
        <w:rPr>
          <w:spacing w:val="5"/>
        </w:rPr>
        <w:t xml:space="preserve">habitat para várias </w:t>
      </w:r>
      <w:r>
        <w:rPr>
          <w:spacing w:val="6"/>
        </w:rPr>
        <w:t xml:space="preserve">espécies, </w:t>
      </w:r>
      <w:r>
        <w:rPr>
          <w:spacing w:val="5"/>
        </w:rPr>
        <w:t xml:space="preserve">muitas </w:t>
      </w:r>
      <w:r>
        <w:rPr>
          <w:spacing w:val="3"/>
        </w:rPr>
        <w:t xml:space="preserve">de </w:t>
      </w:r>
      <w:r>
        <w:rPr>
          <w:spacing w:val="7"/>
        </w:rPr>
        <w:t xml:space="preserve">importância </w:t>
      </w:r>
      <w:r>
        <w:t xml:space="preserve">econômica, como os peixes tambaquis. Na segunda área, o </w:t>
      </w:r>
      <w:r>
        <w:rPr>
          <w:spacing w:val="1"/>
        </w:rPr>
        <w:t xml:space="preserve">assoreamento provocou elevação </w:t>
      </w:r>
      <w:r>
        <w:t xml:space="preserve">da </w:t>
      </w:r>
      <w:r>
        <w:rPr>
          <w:spacing w:val="1"/>
        </w:rPr>
        <w:t xml:space="preserve">turbidez </w:t>
      </w:r>
      <w:r>
        <w:t xml:space="preserve">e </w:t>
      </w:r>
      <w:r>
        <w:rPr>
          <w:spacing w:val="2"/>
        </w:rPr>
        <w:t>dest</w:t>
      </w:r>
      <w:r>
        <w:rPr>
          <w:spacing w:val="2"/>
        </w:rPr>
        <w:t xml:space="preserve">ruição </w:t>
      </w:r>
      <w:r>
        <w:t>dos</w:t>
      </w:r>
      <w:r>
        <w:rPr>
          <w:spacing w:val="28"/>
        </w:rPr>
        <w:t xml:space="preserve"> </w:t>
      </w:r>
      <w:r>
        <w:rPr>
          <w:spacing w:val="1"/>
        </w:rPr>
        <w:t>habitats</w:t>
      </w:r>
      <w:r>
        <w:rPr>
          <w:spacing w:val="28"/>
        </w:rPr>
        <w:t xml:space="preserve"> </w:t>
      </w:r>
      <w:r>
        <w:rPr>
          <w:spacing w:val="1"/>
        </w:rPr>
        <w:t>(ESTEVES,</w:t>
      </w:r>
      <w:r>
        <w:rPr>
          <w:spacing w:val="28"/>
        </w:rPr>
        <w:t xml:space="preserve"> </w:t>
      </w:r>
      <w:r>
        <w:rPr>
          <w:spacing w:val="1"/>
        </w:rPr>
        <w:t>1995</w:t>
      </w:r>
      <w:r>
        <w:rPr>
          <w:spacing w:val="28"/>
        </w:rPr>
        <w:t xml:space="preserve"> </w:t>
      </w:r>
      <w:r>
        <w:rPr>
          <w:spacing w:val="1"/>
        </w:rPr>
        <w:t>apud</w:t>
      </w:r>
      <w:r>
        <w:rPr>
          <w:spacing w:val="28"/>
        </w:rPr>
        <w:t xml:space="preserve"> </w:t>
      </w:r>
      <w:r>
        <w:rPr>
          <w:spacing w:val="1"/>
        </w:rPr>
        <w:t>WANDERLEY,</w:t>
      </w:r>
      <w:r>
        <w:rPr>
          <w:spacing w:val="28"/>
        </w:rPr>
        <w:t xml:space="preserve"> </w:t>
      </w:r>
      <w:r>
        <w:rPr>
          <w:spacing w:val="2"/>
        </w:rPr>
        <w:t>2008).</w:t>
      </w:r>
    </w:p>
    <w:p w:rsidR="00D81F69" w:rsidRDefault="00330118">
      <w:pPr>
        <w:pStyle w:val="Corpodetexto"/>
        <w:spacing w:before="137" w:line="312" w:lineRule="auto"/>
        <w:ind w:right="45"/>
      </w:pPr>
      <w:r>
        <w:t>A emissão de rejeito no lago perdurou do início da atividade extrativista, em 1979, até 1989, sendo considerado o maior desastre industrial da Amazônia (WANDERLEY, 2008). O conflito atraiu a atenção</w:t>
      </w:r>
      <w:r>
        <w:t xml:space="preserve"> de atores sociais preocupados em evitar a intensificação e a continuidade da degradação socioambiental na região. A MRN, como resposta às pressões externas, passou a implementar um plano de recuperação do lago (WANDERLEY, 2004) que vem tendo sua fauna e f</w:t>
      </w:r>
      <w:r>
        <w:t>lora regeneradas. No entanto, o que se estimava recuperar em cinco anos já dura mais de uma década (WANDERLEY, 2008).</w:t>
      </w:r>
    </w:p>
    <w:p w:rsidR="00D81F69" w:rsidRDefault="00330118">
      <w:pPr>
        <w:pStyle w:val="Corpodetexto"/>
        <w:spacing w:before="77" w:line="270" w:lineRule="atLeast"/>
        <w:ind w:right="48"/>
      </w:pPr>
      <w:r>
        <w:rPr>
          <w:spacing w:val="1"/>
        </w:rPr>
        <w:t xml:space="preserve">Há </w:t>
      </w:r>
      <w:r>
        <w:rPr>
          <w:spacing w:val="3"/>
        </w:rPr>
        <w:t xml:space="preserve">relatos recentes sobre irregularidades </w:t>
      </w:r>
      <w:r>
        <w:rPr>
          <w:spacing w:val="1"/>
        </w:rPr>
        <w:t xml:space="preserve">na </w:t>
      </w:r>
      <w:r>
        <w:rPr>
          <w:spacing w:val="3"/>
        </w:rPr>
        <w:t xml:space="preserve">extração </w:t>
      </w:r>
      <w:r>
        <w:rPr>
          <w:spacing w:val="5"/>
        </w:rPr>
        <w:t xml:space="preserve">de </w:t>
      </w:r>
      <w:r>
        <w:t>bauxita em Oriximiná, como a exploração de áreas sem as devidas licenças e a polu</w:t>
      </w:r>
      <w:r>
        <w:t xml:space="preserve">ição de igarapés, que drenam para o lago Sapucuá e para o rio Trombetas, causando doenças nas comunidades ribeirinhas. Os impactos nos recursos hídricos se devem à exploração ilegal nas proximidades da borda do </w:t>
      </w:r>
      <w:r>
        <w:rPr>
          <w:spacing w:val="3"/>
        </w:rPr>
        <w:t xml:space="preserve">platô </w:t>
      </w:r>
      <w:r>
        <w:rPr>
          <w:spacing w:val="1"/>
        </w:rPr>
        <w:t xml:space="preserve">(o </w:t>
      </w:r>
      <w:r>
        <w:rPr>
          <w:spacing w:val="2"/>
        </w:rPr>
        <w:t xml:space="preserve">que </w:t>
      </w:r>
      <w:r>
        <w:rPr>
          <w:spacing w:val="3"/>
        </w:rPr>
        <w:t xml:space="preserve">desestabiliza </w:t>
      </w:r>
      <w:r>
        <w:t xml:space="preserve">a </w:t>
      </w:r>
      <w:r>
        <w:rPr>
          <w:spacing w:val="3"/>
        </w:rPr>
        <w:t xml:space="preserve">encosta) </w:t>
      </w:r>
      <w:r>
        <w:t xml:space="preserve">e </w:t>
      </w:r>
      <w:r>
        <w:rPr>
          <w:spacing w:val="1"/>
        </w:rPr>
        <w:t xml:space="preserve">ao </w:t>
      </w:r>
      <w:r>
        <w:rPr>
          <w:spacing w:val="3"/>
        </w:rPr>
        <w:t xml:space="preserve">transbordo </w:t>
      </w:r>
      <w:r>
        <w:rPr>
          <w:spacing w:val="5"/>
        </w:rPr>
        <w:t xml:space="preserve">dos </w:t>
      </w:r>
      <w:r>
        <w:rPr>
          <w:spacing w:val="7"/>
        </w:rPr>
        <w:t xml:space="preserve">tanques </w:t>
      </w:r>
      <w:r>
        <w:rPr>
          <w:spacing w:val="5"/>
        </w:rPr>
        <w:t xml:space="preserve">de </w:t>
      </w:r>
      <w:r>
        <w:rPr>
          <w:spacing w:val="7"/>
        </w:rPr>
        <w:t xml:space="preserve">rejeito. </w:t>
      </w:r>
      <w:r>
        <w:rPr>
          <w:spacing w:val="5"/>
        </w:rPr>
        <w:t xml:space="preserve">Por ser uma </w:t>
      </w:r>
      <w:r>
        <w:rPr>
          <w:spacing w:val="6"/>
        </w:rPr>
        <w:t xml:space="preserve">área </w:t>
      </w:r>
      <w:r>
        <w:rPr>
          <w:spacing w:val="5"/>
        </w:rPr>
        <w:t xml:space="preserve">de </w:t>
      </w:r>
      <w:r>
        <w:rPr>
          <w:spacing w:val="10"/>
        </w:rPr>
        <w:t xml:space="preserve">preservação </w:t>
      </w:r>
      <w:r>
        <w:t xml:space="preserve">permanente (topo de morro), a empresa deveria respeitar um </w:t>
      </w:r>
      <w:r>
        <w:rPr>
          <w:spacing w:val="1"/>
        </w:rPr>
        <w:t xml:space="preserve">limite </w:t>
      </w:r>
      <w:r>
        <w:t xml:space="preserve">de 30 m </w:t>
      </w:r>
      <w:r>
        <w:rPr>
          <w:spacing w:val="1"/>
        </w:rPr>
        <w:t xml:space="preserve">antes </w:t>
      </w:r>
      <w:r>
        <w:t xml:space="preserve">do </w:t>
      </w:r>
      <w:r>
        <w:rPr>
          <w:spacing w:val="1"/>
        </w:rPr>
        <w:t xml:space="preserve">declive, mas, segundo </w:t>
      </w:r>
      <w:r>
        <w:rPr>
          <w:spacing w:val="2"/>
        </w:rPr>
        <w:t xml:space="preserve">moradores, </w:t>
      </w:r>
      <w:r>
        <w:t>realiza extração até 10 m da borda para maximizar a</w:t>
      </w:r>
      <w:r>
        <w:rPr>
          <w:spacing w:val="18"/>
        </w:rPr>
        <w:t xml:space="preserve"> </w:t>
      </w:r>
      <w:r>
        <w:t>extração</w:t>
      </w:r>
    </w:p>
    <w:p w:rsidR="00D81F69" w:rsidRDefault="00330118">
      <w:pPr>
        <w:pStyle w:val="Corpodetexto"/>
        <w:spacing w:before="81"/>
      </w:pPr>
      <w:r>
        <w:br w:type="column"/>
      </w:r>
      <w:r>
        <w:lastRenderedPageBreak/>
        <w:t xml:space="preserve">na área de </w:t>
      </w:r>
      <w:r>
        <w:t>lavra (WANDERLEY, 2008).</w:t>
      </w:r>
    </w:p>
    <w:p w:rsidR="00D81F69" w:rsidRDefault="00D81F69">
      <w:pPr>
        <w:pStyle w:val="Corpodetexto"/>
        <w:spacing w:before="9"/>
        <w:ind w:left="0"/>
        <w:jc w:val="left"/>
        <w:rPr>
          <w:sz w:val="16"/>
        </w:rPr>
      </w:pPr>
    </w:p>
    <w:p w:rsidR="00D81F69" w:rsidRDefault="00330118">
      <w:pPr>
        <w:pStyle w:val="Corpodetexto"/>
        <w:spacing w:line="312" w:lineRule="auto"/>
        <w:ind w:right="232"/>
      </w:pPr>
      <w:r>
        <w:t xml:space="preserve">O órgão ambiental local desaconselhou a água do rio Trombetas para banho e consumo, apesar de ser a única fonte de captação para muitas famílias que não foram atendidas pelo projeto de microssistemas de água financiado pela MRN e pela prefeitura. Em 2005, </w:t>
      </w:r>
      <w:r>
        <w:t>o Instituto Brasileiro de Recursos Naturais Renováveis (Ibama) multou a empresa, reincidente pela contaminação do igarapé Saracá, resultante do transbordamento de um tanque seguido de um movimento de massa no platô Papagaio. Apesar de ser a principal via d</w:t>
      </w:r>
      <w:r>
        <w:t>e locomoção e fonte de água e alimento dos moradores a oeste do lago Sapucuá, não houve qualquer indenização para as comunidades (WANDERLEY, 2008).</w:t>
      </w:r>
    </w:p>
    <w:p w:rsidR="00D81F69" w:rsidRDefault="00330118">
      <w:pPr>
        <w:pStyle w:val="Corpodetexto"/>
        <w:spacing w:before="141" w:line="312" w:lineRule="auto"/>
        <w:ind w:right="234"/>
      </w:pPr>
      <w:r>
        <w:t xml:space="preserve">Em dezembro de 2007, a empresa foi multada em R$ 56 mil </w:t>
      </w:r>
      <w:r>
        <w:rPr>
          <w:spacing w:val="7"/>
        </w:rPr>
        <w:t xml:space="preserve">por não ter </w:t>
      </w:r>
      <w:r>
        <w:rPr>
          <w:spacing w:val="10"/>
        </w:rPr>
        <w:t xml:space="preserve">comunicado </w:t>
      </w:r>
      <w:r>
        <w:rPr>
          <w:spacing w:val="11"/>
        </w:rPr>
        <w:t xml:space="preserve">imediatamente </w:t>
      </w:r>
      <w:r>
        <w:rPr>
          <w:spacing w:val="5"/>
        </w:rPr>
        <w:t xml:space="preserve">ao </w:t>
      </w:r>
      <w:r>
        <w:rPr>
          <w:spacing w:val="10"/>
        </w:rPr>
        <w:t xml:space="preserve">Ibama </w:t>
      </w:r>
      <w:r>
        <w:t>o vaza</w:t>
      </w:r>
      <w:r>
        <w:t xml:space="preserve">mento de óleo nas águas do rio Trombetas, ocorrido no </w:t>
      </w:r>
      <w:r>
        <w:rPr>
          <w:spacing w:val="3"/>
        </w:rPr>
        <w:t xml:space="preserve">mês </w:t>
      </w:r>
      <w:r>
        <w:rPr>
          <w:spacing w:val="5"/>
        </w:rPr>
        <w:t xml:space="preserve">anterior. </w:t>
      </w:r>
      <w:r>
        <w:rPr>
          <w:spacing w:val="2"/>
        </w:rPr>
        <w:t xml:space="preserve">Em </w:t>
      </w:r>
      <w:r>
        <w:rPr>
          <w:spacing w:val="3"/>
        </w:rPr>
        <w:t xml:space="preserve">julho </w:t>
      </w:r>
      <w:r>
        <w:rPr>
          <w:spacing w:val="2"/>
        </w:rPr>
        <w:t xml:space="preserve">de </w:t>
      </w:r>
      <w:r>
        <w:rPr>
          <w:spacing w:val="3"/>
        </w:rPr>
        <w:t xml:space="preserve">2008, </w:t>
      </w:r>
      <w:r>
        <w:rPr>
          <w:spacing w:val="5"/>
        </w:rPr>
        <w:t>movimentos sociais do</w:t>
      </w:r>
      <w:r>
        <w:rPr>
          <w:spacing w:val="61"/>
        </w:rPr>
        <w:t xml:space="preserve"> </w:t>
      </w:r>
      <w:r>
        <w:t xml:space="preserve">Maranhão ligados à causa quilombola solidarizaram-se com a comunidade de Oriximiná. A exigência do cumprimento </w:t>
      </w:r>
      <w:r>
        <w:rPr>
          <w:spacing w:val="1"/>
        </w:rPr>
        <w:t xml:space="preserve">dos </w:t>
      </w:r>
      <w:r>
        <w:t>direitos daquela população tradic</w:t>
      </w:r>
      <w:r>
        <w:t xml:space="preserve">ional foi oficializada em carta </w:t>
      </w:r>
      <w:r>
        <w:rPr>
          <w:spacing w:val="2"/>
        </w:rPr>
        <w:t xml:space="preserve">ao </w:t>
      </w:r>
      <w:r>
        <w:rPr>
          <w:spacing w:val="5"/>
        </w:rPr>
        <w:t xml:space="preserve">Ministério </w:t>
      </w:r>
      <w:r>
        <w:rPr>
          <w:spacing w:val="2"/>
        </w:rPr>
        <w:t xml:space="preserve">do </w:t>
      </w:r>
      <w:r>
        <w:rPr>
          <w:spacing w:val="5"/>
        </w:rPr>
        <w:t xml:space="preserve">Meio Ambiente (MAPA </w:t>
      </w:r>
      <w:r>
        <w:rPr>
          <w:spacing w:val="2"/>
        </w:rPr>
        <w:t xml:space="preserve">DA </w:t>
      </w:r>
      <w:r>
        <w:rPr>
          <w:spacing w:val="6"/>
        </w:rPr>
        <w:t xml:space="preserve">INJUSTIÇA </w:t>
      </w:r>
      <w:r>
        <w:t>AMBIENTAL E SAÚDE NO BRASIL, 2009). No mesmo ano,</w:t>
      </w:r>
    </w:p>
    <w:p w:rsidR="00D81F69" w:rsidRDefault="00330118">
      <w:pPr>
        <w:pStyle w:val="Corpodetexto"/>
        <w:spacing w:before="8" w:line="312" w:lineRule="auto"/>
        <w:ind w:right="225"/>
      </w:pPr>
      <w:r>
        <w:t>foi realizada uma audiência pública para esclarecimento às comunidades sobre o licenciamento do platô Bacaba, solicitado pel</w:t>
      </w:r>
      <w:r>
        <w:t>a MRN. A mineradora pediu para explorar essa nova reserva para manter seu nível de produção de cerca de 18 milhões t/ano e continuar atendendo às demandas de mercado, inclusive às do mercado brasileiro, que consome cerca de 60% do minério comercializado pe</w:t>
      </w:r>
      <w:r>
        <w:t>la MRN (GAZETA DE SANTARÉM, 2008).</w:t>
      </w:r>
    </w:p>
    <w:p w:rsidR="00D81F69" w:rsidRDefault="00330118">
      <w:pPr>
        <w:pStyle w:val="Corpodetexto"/>
        <w:spacing w:before="138" w:line="312" w:lineRule="auto"/>
        <w:ind w:right="228"/>
      </w:pPr>
      <w:r>
        <w:rPr>
          <w:spacing w:val="12"/>
        </w:rPr>
        <w:t xml:space="preserve">Atualmente, </w:t>
      </w:r>
      <w:r>
        <w:t xml:space="preserve">a </w:t>
      </w:r>
      <w:r>
        <w:rPr>
          <w:spacing w:val="11"/>
        </w:rPr>
        <w:t xml:space="preserve">empresa </w:t>
      </w:r>
      <w:r>
        <w:rPr>
          <w:spacing w:val="12"/>
        </w:rPr>
        <w:t xml:space="preserve">desenvolve </w:t>
      </w:r>
      <w:r>
        <w:rPr>
          <w:spacing w:val="11"/>
        </w:rPr>
        <w:t xml:space="preserve">vários </w:t>
      </w:r>
      <w:r>
        <w:rPr>
          <w:spacing w:val="15"/>
        </w:rPr>
        <w:t xml:space="preserve">projetos </w:t>
      </w:r>
      <w:r>
        <w:t>socioambientais direcionados às comunidades do entorno da área de extração de bauxita em Oriximiná, especificamente nas áreas de saúde e segurança, meio ambiente, educação,</w:t>
      </w:r>
      <w:r>
        <w:t xml:space="preserve"> e </w:t>
      </w:r>
      <w:r>
        <w:rPr>
          <w:spacing w:val="5"/>
        </w:rPr>
        <w:t xml:space="preserve">geração </w:t>
      </w:r>
      <w:r>
        <w:rPr>
          <w:spacing w:val="3"/>
        </w:rPr>
        <w:t xml:space="preserve">de </w:t>
      </w:r>
      <w:r>
        <w:rPr>
          <w:spacing w:val="5"/>
        </w:rPr>
        <w:t xml:space="preserve">renda. São </w:t>
      </w:r>
      <w:r>
        <w:rPr>
          <w:spacing w:val="6"/>
        </w:rPr>
        <w:t xml:space="preserve">projetos voltados </w:t>
      </w:r>
      <w:r>
        <w:t xml:space="preserve">à </w:t>
      </w:r>
      <w:r>
        <w:rPr>
          <w:spacing w:val="7"/>
        </w:rPr>
        <w:t xml:space="preserve">agricultura, </w:t>
      </w:r>
      <w:r>
        <w:rPr>
          <w:spacing w:val="10"/>
        </w:rPr>
        <w:t xml:space="preserve">piscicultura, </w:t>
      </w:r>
      <w:r>
        <w:t xml:space="preserve">e </w:t>
      </w:r>
      <w:r>
        <w:rPr>
          <w:spacing w:val="5"/>
        </w:rPr>
        <w:t xml:space="preserve">ao </w:t>
      </w:r>
      <w:r>
        <w:rPr>
          <w:spacing w:val="10"/>
        </w:rPr>
        <w:t xml:space="preserve">próprio reflorestamento </w:t>
      </w:r>
      <w:r>
        <w:rPr>
          <w:spacing w:val="7"/>
        </w:rPr>
        <w:t xml:space="preserve">das </w:t>
      </w:r>
      <w:r>
        <w:rPr>
          <w:spacing w:val="11"/>
        </w:rPr>
        <w:t xml:space="preserve">áreas </w:t>
      </w:r>
      <w:r>
        <w:t xml:space="preserve">impactadas, dentre outros, que têm como objetivo minimizar os impactos da exploração mineral em Oriximiná (SEIXAS et </w:t>
      </w:r>
      <w:r>
        <w:rPr>
          <w:spacing w:val="1"/>
        </w:rPr>
        <w:t xml:space="preserve">al., 2010). </w:t>
      </w:r>
      <w:r>
        <w:t xml:space="preserve">No </w:t>
      </w:r>
      <w:r>
        <w:rPr>
          <w:spacing w:val="1"/>
        </w:rPr>
        <w:t xml:space="preserve">entanto, </w:t>
      </w:r>
      <w:r>
        <w:t xml:space="preserve">a </w:t>
      </w:r>
      <w:r>
        <w:rPr>
          <w:spacing w:val="1"/>
        </w:rPr>
        <w:t>pr</w:t>
      </w:r>
      <w:r>
        <w:rPr>
          <w:spacing w:val="1"/>
        </w:rPr>
        <w:t xml:space="preserve">odução </w:t>
      </w:r>
      <w:r>
        <w:t xml:space="preserve">de </w:t>
      </w:r>
      <w:r>
        <w:rPr>
          <w:spacing w:val="1"/>
        </w:rPr>
        <w:t xml:space="preserve">alumínio primário </w:t>
      </w:r>
      <w:r>
        <w:rPr>
          <w:spacing w:val="2"/>
        </w:rPr>
        <w:t xml:space="preserve">na </w:t>
      </w:r>
      <w:r>
        <w:rPr>
          <w:spacing w:val="5"/>
        </w:rPr>
        <w:t xml:space="preserve">região ainda </w:t>
      </w:r>
      <w:r>
        <w:rPr>
          <w:spacing w:val="6"/>
        </w:rPr>
        <w:t xml:space="preserve">apresenta </w:t>
      </w:r>
      <w:r>
        <w:t xml:space="preserve">o </w:t>
      </w:r>
      <w:r>
        <w:rPr>
          <w:spacing w:val="5"/>
        </w:rPr>
        <w:t xml:space="preserve">desafio </w:t>
      </w:r>
      <w:r>
        <w:rPr>
          <w:spacing w:val="3"/>
        </w:rPr>
        <w:t xml:space="preserve">de </w:t>
      </w:r>
      <w:r>
        <w:rPr>
          <w:spacing w:val="6"/>
        </w:rPr>
        <w:t xml:space="preserve">promover </w:t>
      </w:r>
      <w:r>
        <w:rPr>
          <w:spacing w:val="5"/>
        </w:rPr>
        <w:t xml:space="preserve">tanto </w:t>
      </w:r>
      <w:r>
        <w:t xml:space="preserve">o </w:t>
      </w:r>
      <w:r>
        <w:rPr>
          <w:spacing w:val="3"/>
        </w:rPr>
        <w:t xml:space="preserve">desenvolvimento local </w:t>
      </w:r>
      <w:r>
        <w:t xml:space="preserve">e </w:t>
      </w:r>
      <w:r>
        <w:rPr>
          <w:spacing w:val="3"/>
        </w:rPr>
        <w:t xml:space="preserve">regional </w:t>
      </w:r>
      <w:r>
        <w:rPr>
          <w:spacing w:val="2"/>
        </w:rPr>
        <w:t xml:space="preserve">como </w:t>
      </w:r>
      <w:r>
        <w:t xml:space="preserve">a </w:t>
      </w:r>
      <w:r>
        <w:rPr>
          <w:spacing w:val="3"/>
        </w:rPr>
        <w:t xml:space="preserve">preservação </w:t>
      </w:r>
      <w:r>
        <w:t xml:space="preserve">e a </w:t>
      </w:r>
      <w:r>
        <w:rPr>
          <w:spacing w:val="6"/>
        </w:rPr>
        <w:t xml:space="preserve">conservação </w:t>
      </w:r>
      <w:r>
        <w:rPr>
          <w:spacing w:val="3"/>
        </w:rPr>
        <w:t xml:space="preserve">da </w:t>
      </w:r>
      <w:r>
        <w:rPr>
          <w:spacing w:val="6"/>
        </w:rPr>
        <w:t xml:space="preserve">floresta, </w:t>
      </w:r>
      <w:r>
        <w:t xml:space="preserve">o </w:t>
      </w:r>
      <w:r>
        <w:rPr>
          <w:spacing w:val="5"/>
        </w:rPr>
        <w:t xml:space="preserve">que exige novas </w:t>
      </w:r>
      <w:r>
        <w:rPr>
          <w:spacing w:val="6"/>
        </w:rPr>
        <w:t xml:space="preserve">políticas </w:t>
      </w:r>
      <w:r>
        <w:t xml:space="preserve">e </w:t>
      </w:r>
      <w:r>
        <w:rPr>
          <w:spacing w:val="6"/>
        </w:rPr>
        <w:t xml:space="preserve">arranjos institucionais </w:t>
      </w:r>
      <w:r>
        <w:rPr>
          <w:spacing w:val="5"/>
        </w:rPr>
        <w:t>(LIMA; MOTA,</w:t>
      </w:r>
      <w:r>
        <w:rPr>
          <w:spacing w:val="-19"/>
        </w:rPr>
        <w:t xml:space="preserve"> </w:t>
      </w:r>
      <w:r>
        <w:rPr>
          <w:spacing w:val="7"/>
        </w:rPr>
        <w:t>2009).</w:t>
      </w:r>
    </w:p>
    <w:p w:rsidR="00D81F69" w:rsidRDefault="00330118">
      <w:pPr>
        <w:pStyle w:val="Corpodetexto"/>
        <w:spacing w:before="142" w:line="312" w:lineRule="auto"/>
        <w:ind w:right="249"/>
      </w:pPr>
      <w:r>
        <w:t>Em agosto de 2011, a Justiça Federal em Santarém (PA) suspendeu uma autorização concedida à MRN para promover um desmatamento dentro da Floresta Nacional Saracá- Taquera. Contrariando laudo de técnicos que atuam na Floresta Nacional, o Instituto Chico Mend</w:t>
      </w:r>
      <w:r>
        <w:t>es (ICMBio), em Brasília, havia permitido o desmatamento de 267 hectares para a expansão das atividades da empresa (MPF, 2011).</w:t>
      </w:r>
    </w:p>
    <w:p w:rsidR="00D81F69" w:rsidRDefault="00330118">
      <w:pPr>
        <w:pStyle w:val="Corpodetexto"/>
        <w:spacing w:before="136" w:line="312" w:lineRule="auto"/>
        <w:ind w:right="235"/>
      </w:pPr>
      <w:r>
        <w:t>De acordo com o Ministério Público Federal (MPF), a autorização é ilegal, pois a mineradora apresentou documentação irregular, o</w:t>
      </w:r>
      <w:r>
        <w:t>mitindo o inventário de produtos não madeireiros que serão devastados na obra, como frutos,</w:t>
      </w:r>
    </w:p>
    <w:p w:rsidR="00D81F69" w:rsidRDefault="00D81F69">
      <w:pPr>
        <w:spacing w:line="312" w:lineRule="auto"/>
        <w:sectPr w:rsidR="00D81F69">
          <w:pgSz w:w="11900" w:h="16840"/>
          <w:pgMar w:top="740" w:right="460" w:bottom="620" w:left="620" w:header="0" w:footer="402" w:gutter="0"/>
          <w:cols w:num="2" w:space="720" w:equalWidth="0">
            <w:col w:w="5166" w:space="304"/>
            <w:col w:w="5350"/>
          </w:cols>
        </w:sectPr>
      </w:pPr>
    </w:p>
    <w:p w:rsidR="00D81F69" w:rsidRDefault="00330118">
      <w:pPr>
        <w:pStyle w:val="Corpodetexto"/>
        <w:spacing w:before="81" w:line="312" w:lineRule="auto"/>
        <w:ind w:right="97"/>
      </w:pPr>
      <w:r>
        <w:lastRenderedPageBreak/>
        <w:t xml:space="preserve">óleos, sementes, cascas. Vários depoimentos coletados pelo MPF </w:t>
      </w:r>
      <w:r>
        <w:rPr>
          <w:spacing w:val="1"/>
        </w:rPr>
        <w:t xml:space="preserve">atestam </w:t>
      </w:r>
      <w:r>
        <w:t xml:space="preserve">que a </w:t>
      </w:r>
      <w:r>
        <w:rPr>
          <w:spacing w:val="1"/>
        </w:rPr>
        <w:t xml:space="preserve">permissão para </w:t>
      </w:r>
      <w:r>
        <w:t xml:space="preserve">o </w:t>
      </w:r>
      <w:r>
        <w:rPr>
          <w:spacing w:val="1"/>
        </w:rPr>
        <w:t xml:space="preserve">desmatamento </w:t>
      </w:r>
      <w:r>
        <w:rPr>
          <w:spacing w:val="2"/>
        </w:rPr>
        <w:t xml:space="preserve">teria </w:t>
      </w:r>
      <w:r>
        <w:rPr>
          <w:spacing w:val="7"/>
        </w:rPr>
        <w:t xml:space="preserve">sido </w:t>
      </w:r>
      <w:r>
        <w:rPr>
          <w:spacing w:val="8"/>
        </w:rPr>
        <w:t xml:space="preserve">concedida </w:t>
      </w:r>
      <w:r>
        <w:rPr>
          <w:spacing w:val="7"/>
        </w:rPr>
        <w:t>após fo</w:t>
      </w:r>
      <w:r>
        <w:rPr>
          <w:spacing w:val="7"/>
        </w:rPr>
        <w:t xml:space="preserve">rte </w:t>
      </w:r>
      <w:r>
        <w:rPr>
          <w:spacing w:val="8"/>
        </w:rPr>
        <w:t xml:space="preserve">pressão política </w:t>
      </w:r>
      <w:r>
        <w:rPr>
          <w:spacing w:val="7"/>
        </w:rPr>
        <w:t xml:space="preserve">feita </w:t>
      </w:r>
      <w:r>
        <w:rPr>
          <w:spacing w:val="10"/>
        </w:rPr>
        <w:t>pela</w:t>
      </w:r>
      <w:r>
        <w:rPr>
          <w:spacing w:val="71"/>
        </w:rPr>
        <w:t xml:space="preserve"> </w:t>
      </w:r>
      <w:r>
        <w:rPr>
          <w:spacing w:val="5"/>
        </w:rPr>
        <w:t xml:space="preserve">mineradora </w:t>
      </w:r>
      <w:r>
        <w:rPr>
          <w:spacing w:val="2"/>
        </w:rPr>
        <w:t xml:space="preserve">em </w:t>
      </w:r>
      <w:r>
        <w:rPr>
          <w:spacing w:val="5"/>
        </w:rPr>
        <w:t xml:space="preserve">Brasília. </w:t>
      </w:r>
      <w:r>
        <w:t xml:space="preserve">A </w:t>
      </w:r>
      <w:r>
        <w:rPr>
          <w:spacing w:val="5"/>
        </w:rPr>
        <w:t xml:space="preserve">decisão </w:t>
      </w:r>
      <w:r>
        <w:rPr>
          <w:spacing w:val="2"/>
        </w:rPr>
        <w:t xml:space="preserve">da </w:t>
      </w:r>
      <w:r>
        <w:rPr>
          <w:spacing w:val="5"/>
        </w:rPr>
        <w:t xml:space="preserve">Justiça proibiu </w:t>
      </w:r>
      <w:r>
        <w:t>o desmatamento do Platô Monte Branco, sob multa de R$ 5 mil por dia, em caso de descumprimento, enquanto a empresa não apresentar o inventário em questão. O processo trami</w:t>
      </w:r>
      <w:r>
        <w:t>ta na Justiça Federal de Santarém (MPF,</w:t>
      </w:r>
      <w:r>
        <w:rPr>
          <w:spacing w:val="22"/>
        </w:rPr>
        <w:t xml:space="preserve"> </w:t>
      </w:r>
      <w:r>
        <w:t>2011).</w:t>
      </w:r>
    </w:p>
    <w:p w:rsidR="00D81F69" w:rsidRDefault="00D81F69">
      <w:pPr>
        <w:pStyle w:val="Corpodetexto"/>
        <w:spacing w:before="7"/>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98"/>
      </w:pPr>
      <w:r>
        <w:t>O município de Oriximiná possui cinco minas de bauxita e mais 14 ocorrências de bauxita não explotadas. Estão localizadas na bacia do Rio Amazonas entre os Igarapés Araticum, Terra Pedr</w:t>
      </w:r>
      <w:r>
        <w:t>a e Moura, entre as latitudes 1°48’30”S – 1°30’59”S e longitudes 51°21’22”W – 56°51’16”W.</w:t>
      </w:r>
    </w:p>
    <w:p w:rsidR="00D81F69" w:rsidRDefault="00D81F69">
      <w:pPr>
        <w:pStyle w:val="Corpodetexto"/>
        <w:spacing w:before="2"/>
        <w:ind w:left="0"/>
        <w:jc w:val="left"/>
        <w:rPr>
          <w:sz w:val="29"/>
        </w:rPr>
      </w:pPr>
    </w:p>
    <w:p w:rsidR="00D81F69" w:rsidRDefault="00330118">
      <w:pPr>
        <w:pStyle w:val="Heading7"/>
      </w:pPr>
      <w:r>
        <w:t>REDATORES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65"/>
        <w:jc w:val="both"/>
        <w:rPr>
          <w:sz w:val="16"/>
        </w:rPr>
      </w:pPr>
      <w:r>
        <w:rPr>
          <w:spacing w:val="1"/>
          <w:sz w:val="16"/>
        </w:rPr>
        <w:t xml:space="preserve">GAZETA </w:t>
      </w:r>
      <w:r>
        <w:rPr>
          <w:sz w:val="16"/>
        </w:rPr>
        <w:t xml:space="preserve">DE </w:t>
      </w:r>
      <w:r>
        <w:rPr>
          <w:spacing w:val="1"/>
          <w:sz w:val="16"/>
        </w:rPr>
        <w:t xml:space="preserve">SANTARÉM. Oriximiná sedia audiência pública </w:t>
      </w:r>
      <w:r>
        <w:rPr>
          <w:spacing w:val="2"/>
          <w:sz w:val="16"/>
        </w:rPr>
        <w:t xml:space="preserve">para </w:t>
      </w:r>
      <w:r>
        <w:rPr>
          <w:spacing w:val="1"/>
          <w:sz w:val="16"/>
        </w:rPr>
        <w:t xml:space="preserve">licenciamento </w:t>
      </w:r>
      <w:r>
        <w:rPr>
          <w:sz w:val="16"/>
        </w:rPr>
        <w:t xml:space="preserve">de </w:t>
      </w:r>
      <w:r>
        <w:rPr>
          <w:spacing w:val="1"/>
          <w:sz w:val="16"/>
        </w:rPr>
        <w:t xml:space="preserve">novo platô </w:t>
      </w:r>
      <w:r>
        <w:rPr>
          <w:sz w:val="16"/>
        </w:rPr>
        <w:t xml:space="preserve">de </w:t>
      </w:r>
      <w:r>
        <w:rPr>
          <w:spacing w:val="1"/>
          <w:sz w:val="16"/>
        </w:rPr>
        <w:t xml:space="preserve">bauxita. </w:t>
      </w:r>
      <w:r>
        <w:rPr>
          <w:sz w:val="16"/>
        </w:rPr>
        <w:t xml:space="preserve">In: </w:t>
      </w:r>
      <w:r>
        <w:rPr>
          <w:spacing w:val="1"/>
          <w:sz w:val="16"/>
        </w:rPr>
        <w:t xml:space="preserve">Instituto Brasileiro </w:t>
      </w:r>
      <w:r>
        <w:rPr>
          <w:spacing w:val="2"/>
          <w:sz w:val="16"/>
        </w:rPr>
        <w:t xml:space="preserve">de </w:t>
      </w:r>
      <w:r>
        <w:rPr>
          <w:spacing w:val="20"/>
          <w:sz w:val="16"/>
        </w:rPr>
        <w:t xml:space="preserve">Mineração (IBRAM), </w:t>
      </w:r>
      <w:r>
        <w:rPr>
          <w:spacing w:val="10"/>
          <w:sz w:val="16"/>
        </w:rPr>
        <w:t>24</w:t>
      </w:r>
      <w:r>
        <w:rPr>
          <w:spacing w:val="65"/>
          <w:sz w:val="16"/>
        </w:rPr>
        <w:t xml:space="preserve"> </w:t>
      </w:r>
      <w:r>
        <w:rPr>
          <w:spacing w:val="16"/>
          <w:sz w:val="16"/>
        </w:rPr>
        <w:t xml:space="preserve">jun. </w:t>
      </w:r>
      <w:r>
        <w:rPr>
          <w:spacing w:val="17"/>
          <w:sz w:val="16"/>
        </w:rPr>
        <w:t xml:space="preserve">2008. </w:t>
      </w:r>
      <w:r>
        <w:rPr>
          <w:spacing w:val="20"/>
          <w:sz w:val="16"/>
        </w:rPr>
        <w:t xml:space="preserve">Disponível </w:t>
      </w:r>
      <w:r>
        <w:rPr>
          <w:spacing w:val="15"/>
          <w:sz w:val="16"/>
        </w:rPr>
        <w:t>em:</w:t>
      </w:r>
      <w:r>
        <w:rPr>
          <w:spacing w:val="-21"/>
          <w:sz w:val="16"/>
        </w:rPr>
        <w:t xml:space="preserve"> </w:t>
      </w:r>
    </w:p>
    <w:p w:rsidR="00D81F69" w:rsidRDefault="00D81F69">
      <w:pPr>
        <w:spacing w:before="2" w:line="312" w:lineRule="auto"/>
        <w:ind w:left="100" w:right="108"/>
        <w:jc w:val="both"/>
        <w:rPr>
          <w:sz w:val="16"/>
        </w:rPr>
      </w:pPr>
      <w:hyperlink r:id="rId238">
        <w:r w:rsidR="00330118">
          <w:rPr>
            <w:sz w:val="16"/>
          </w:rPr>
          <w:t>&lt;http://www.ibram.org.br/150/15001002.asp?ttCD_CHAVE=59856&gt;.A</w:t>
        </w:r>
      </w:hyperlink>
      <w:r w:rsidR="00330118">
        <w:rPr>
          <w:sz w:val="16"/>
        </w:rPr>
        <w:t xml:space="preserve"> cesso em: 03 dez. 2010.</w:t>
      </w:r>
    </w:p>
    <w:p w:rsidR="00D81F69" w:rsidRDefault="00330118">
      <w:pPr>
        <w:spacing w:before="2" w:line="312" w:lineRule="auto"/>
        <w:ind w:left="100" w:right="38"/>
        <w:jc w:val="both"/>
        <w:rPr>
          <w:sz w:val="16"/>
        </w:rPr>
      </w:pPr>
      <w:r>
        <w:rPr>
          <w:sz w:val="16"/>
        </w:rPr>
        <w:t>IBGE, Ins</w:t>
      </w:r>
      <w:r>
        <w:rPr>
          <w:sz w:val="16"/>
        </w:rPr>
        <w:t xml:space="preserve">tituto  Brasileiro  de  Geografia  e  Estatística.  Oriximiná.  </w:t>
      </w:r>
      <w:r>
        <w:rPr>
          <w:spacing w:val="1"/>
          <w:sz w:val="16"/>
        </w:rPr>
        <w:t xml:space="preserve">In: </w:t>
      </w:r>
      <w:r>
        <w:rPr>
          <w:spacing w:val="10"/>
          <w:sz w:val="16"/>
        </w:rPr>
        <w:t xml:space="preserve">I B G </w:t>
      </w:r>
      <w:r>
        <w:rPr>
          <w:sz w:val="16"/>
        </w:rPr>
        <w:t xml:space="preserve">E </w:t>
      </w:r>
      <w:r>
        <w:rPr>
          <w:spacing w:val="10"/>
          <w:sz w:val="16"/>
        </w:rPr>
        <w:t xml:space="preserve">C i d a d e s </w:t>
      </w:r>
      <w:r>
        <w:rPr>
          <w:sz w:val="16"/>
        </w:rPr>
        <w:t xml:space="preserve">, </w:t>
      </w:r>
      <w:r>
        <w:rPr>
          <w:spacing w:val="10"/>
          <w:sz w:val="16"/>
        </w:rPr>
        <w:t xml:space="preserve">2 0 1 0 </w:t>
      </w:r>
      <w:r>
        <w:rPr>
          <w:sz w:val="16"/>
        </w:rPr>
        <w:t xml:space="preserve">. </w:t>
      </w:r>
      <w:r>
        <w:rPr>
          <w:spacing w:val="10"/>
          <w:sz w:val="16"/>
        </w:rPr>
        <w:t xml:space="preserve">D i s p o n í v e </w:t>
      </w:r>
      <w:r>
        <w:rPr>
          <w:sz w:val="16"/>
        </w:rPr>
        <w:t>l</w:t>
      </w:r>
      <w:r>
        <w:rPr>
          <w:spacing w:val="20"/>
          <w:sz w:val="16"/>
        </w:rPr>
        <w:t xml:space="preserve"> </w:t>
      </w:r>
      <w:r>
        <w:rPr>
          <w:spacing w:val="10"/>
          <w:sz w:val="16"/>
        </w:rPr>
        <w:t xml:space="preserve">e m </w:t>
      </w:r>
      <w:r>
        <w:rPr>
          <w:sz w:val="16"/>
        </w:rPr>
        <w:t>:</w:t>
      </w:r>
      <w:r>
        <w:rPr>
          <w:spacing w:val="10"/>
          <w:sz w:val="16"/>
        </w:rPr>
        <w:t xml:space="preserve"> </w:t>
      </w:r>
    </w:p>
    <w:p w:rsidR="00D81F69" w:rsidRDefault="00D81F69">
      <w:pPr>
        <w:spacing w:before="2" w:line="312" w:lineRule="auto"/>
        <w:ind w:left="100" w:right="108"/>
        <w:jc w:val="both"/>
        <w:rPr>
          <w:sz w:val="16"/>
        </w:rPr>
      </w:pPr>
      <w:hyperlink r:id="rId239">
        <w:r w:rsidR="00330118">
          <w:rPr>
            <w:sz w:val="16"/>
          </w:rPr>
          <w:t xml:space="preserve">&lt;http://www.ibge.gov.br/cidadesat/topwindow.htm?1&gt;. </w:t>
        </w:r>
      </w:hyperlink>
      <w:r w:rsidR="00330118">
        <w:rPr>
          <w:sz w:val="16"/>
        </w:rPr>
        <w:t>Acesso em</w:t>
      </w:r>
      <w:r w:rsidR="00330118">
        <w:rPr>
          <w:sz w:val="16"/>
        </w:rPr>
        <w:t>: 03 dez. 2010.</w:t>
      </w:r>
    </w:p>
    <w:p w:rsidR="00D81F69" w:rsidRDefault="00330118">
      <w:pPr>
        <w:tabs>
          <w:tab w:val="left" w:pos="2559"/>
          <w:tab w:val="left" w:pos="5063"/>
        </w:tabs>
        <w:spacing w:before="1" w:line="312" w:lineRule="auto"/>
        <w:ind w:left="100" w:right="89"/>
        <w:jc w:val="both"/>
        <w:rPr>
          <w:sz w:val="16"/>
        </w:rPr>
      </w:pPr>
      <w:r>
        <w:rPr>
          <w:spacing w:val="3"/>
          <w:sz w:val="16"/>
        </w:rPr>
        <w:t xml:space="preserve">LIMA, Dumara Regina </w:t>
      </w:r>
      <w:r>
        <w:rPr>
          <w:spacing w:val="2"/>
          <w:sz w:val="16"/>
        </w:rPr>
        <w:t xml:space="preserve">de; </w:t>
      </w:r>
      <w:r>
        <w:rPr>
          <w:spacing w:val="3"/>
          <w:sz w:val="16"/>
        </w:rPr>
        <w:t xml:space="preserve">MOTA, </w:t>
      </w:r>
      <w:r>
        <w:rPr>
          <w:spacing w:val="2"/>
          <w:sz w:val="16"/>
        </w:rPr>
        <w:t xml:space="preserve">José </w:t>
      </w:r>
      <w:r>
        <w:rPr>
          <w:spacing w:val="3"/>
          <w:sz w:val="16"/>
        </w:rPr>
        <w:t xml:space="preserve">Araoudo. </w:t>
      </w:r>
      <w:r>
        <w:rPr>
          <w:sz w:val="16"/>
        </w:rPr>
        <w:t xml:space="preserve">A </w:t>
      </w:r>
      <w:r>
        <w:rPr>
          <w:spacing w:val="3"/>
          <w:sz w:val="16"/>
        </w:rPr>
        <w:t xml:space="preserve">produção </w:t>
      </w:r>
      <w:r>
        <w:rPr>
          <w:spacing w:val="5"/>
          <w:sz w:val="16"/>
        </w:rPr>
        <w:t xml:space="preserve">do </w:t>
      </w:r>
      <w:r>
        <w:rPr>
          <w:sz w:val="16"/>
        </w:rPr>
        <w:t>alumínio primário na Amazônia e os desafios da sustentabilidade. In: Boletim Regional, Urbano e Ambiental, IPEA, jul. 2009. Disponível      e</w:t>
      </w:r>
      <w:r>
        <w:rPr>
          <w:sz w:val="16"/>
        </w:rPr>
        <w:tab/>
        <w:t>m</w:t>
      </w:r>
      <w:r>
        <w:rPr>
          <w:sz w:val="16"/>
        </w:rPr>
        <w:tab/>
        <w:t>:</w:t>
      </w:r>
    </w:p>
    <w:p w:rsidR="00D81F69" w:rsidRDefault="00D81F69">
      <w:pPr>
        <w:spacing w:before="3" w:line="312" w:lineRule="auto"/>
        <w:ind w:left="100" w:right="107"/>
        <w:jc w:val="both"/>
        <w:rPr>
          <w:sz w:val="16"/>
        </w:rPr>
      </w:pPr>
      <w:hyperlink r:id="rId240">
        <w:r w:rsidR="00330118">
          <w:rPr>
            <w:sz w:val="16"/>
          </w:rPr>
          <w:t>&lt;http://www.ipea.gov.br/portal/index.php?option=com_content&amp;view=</w:t>
        </w:r>
      </w:hyperlink>
      <w:r w:rsidR="00330118">
        <w:rPr>
          <w:sz w:val="16"/>
        </w:rPr>
        <w:t xml:space="preserve"> article&amp;id=1573&amp;Itemid=7&gt;. Acesso em: 04 dez. 2010.</w:t>
      </w:r>
    </w:p>
    <w:p w:rsidR="00D81F69" w:rsidRDefault="00330118">
      <w:pPr>
        <w:spacing w:before="2" w:line="312" w:lineRule="auto"/>
        <w:ind w:left="100" w:right="74"/>
        <w:jc w:val="both"/>
        <w:rPr>
          <w:sz w:val="16"/>
        </w:rPr>
      </w:pPr>
      <w:r>
        <w:rPr>
          <w:sz w:val="16"/>
        </w:rPr>
        <w:t xml:space="preserve">LIMA, Maria Helena Machado Rocha; FERNANDES, Francisco do Rego Chaves; TEIXEIRA, Nilo da </w:t>
      </w:r>
      <w:r>
        <w:rPr>
          <w:sz w:val="16"/>
        </w:rPr>
        <w:t xml:space="preserve">Silva. Adequação de um município minerador aos objetivos de desenvolvimento do milênio das Nações Unidas. Rio de Janeiro: CETEM/MCT, 2009. Contribuição Técnica Elaborada para o XXIII Encontro Nacional de Tratamento de Minérios e </w:t>
      </w:r>
      <w:r>
        <w:rPr>
          <w:spacing w:val="12"/>
          <w:sz w:val="16"/>
        </w:rPr>
        <w:t>Metalurgia Extrativa, Grama</w:t>
      </w:r>
      <w:r>
        <w:rPr>
          <w:spacing w:val="12"/>
          <w:sz w:val="16"/>
        </w:rPr>
        <w:t xml:space="preserve">do, </w:t>
      </w:r>
      <w:r>
        <w:rPr>
          <w:spacing w:val="11"/>
          <w:sz w:val="16"/>
        </w:rPr>
        <w:t xml:space="preserve">2009. </w:t>
      </w:r>
      <w:r>
        <w:rPr>
          <w:spacing w:val="12"/>
          <w:sz w:val="16"/>
        </w:rPr>
        <w:t>Disponível</w:t>
      </w:r>
      <w:r>
        <w:rPr>
          <w:spacing w:val="68"/>
          <w:sz w:val="16"/>
        </w:rPr>
        <w:t xml:space="preserve"> </w:t>
      </w:r>
      <w:r>
        <w:rPr>
          <w:spacing w:val="10"/>
          <w:sz w:val="16"/>
        </w:rPr>
        <w:t>em:</w:t>
      </w:r>
      <w:r>
        <w:rPr>
          <w:spacing w:val="-28"/>
          <w:sz w:val="16"/>
        </w:rPr>
        <w:t xml:space="preserve"> </w:t>
      </w:r>
    </w:p>
    <w:p w:rsidR="00D81F69" w:rsidRDefault="00D81F69">
      <w:pPr>
        <w:spacing w:before="5" w:line="312" w:lineRule="auto"/>
        <w:ind w:left="100" w:right="84"/>
        <w:jc w:val="both"/>
        <w:rPr>
          <w:sz w:val="16"/>
        </w:rPr>
      </w:pPr>
      <w:hyperlink r:id="rId241">
        <w:r w:rsidR="00330118">
          <w:rPr>
            <w:sz w:val="16"/>
          </w:rPr>
          <w:t>&lt;http://www.cetem.gov.br/publicacao/CTs/CT2009-067-00.pdf</w:t>
        </w:r>
      </w:hyperlink>
      <w:r w:rsidR="00330118">
        <w:rPr>
          <w:sz w:val="16"/>
        </w:rPr>
        <w:t xml:space="preserve"> &gt;. Acesso em: 14 out. 2011.</w:t>
      </w:r>
    </w:p>
    <w:p w:rsidR="00D81F69" w:rsidRDefault="00330118">
      <w:pPr>
        <w:spacing w:before="2"/>
        <w:ind w:left="100"/>
        <w:jc w:val="both"/>
        <w:rPr>
          <w:sz w:val="16"/>
        </w:rPr>
      </w:pPr>
      <w:r>
        <w:rPr>
          <w:sz w:val="16"/>
        </w:rPr>
        <w:t>MAPA DA  INJUSTIÇA AMBIENTAL E  SAÚDE NO  BRASIL.  Poder</w:t>
      </w:r>
    </w:p>
    <w:p w:rsidR="00D81F69" w:rsidRDefault="00330118">
      <w:pPr>
        <w:spacing w:before="56" w:line="312" w:lineRule="auto"/>
        <w:ind w:left="100" w:right="46"/>
        <w:jc w:val="both"/>
        <w:rPr>
          <w:sz w:val="16"/>
        </w:rPr>
      </w:pPr>
      <w:r>
        <w:rPr>
          <w:sz w:val="16"/>
        </w:rPr>
        <w:t xml:space="preserve">estatal e dominação territorial contra os quilombolas extrativistas do Trombetas,   05    out.   2009.   Disponível   em: </w:t>
      </w:r>
    </w:p>
    <w:p w:rsidR="00D81F69" w:rsidRDefault="00D81F69">
      <w:pPr>
        <w:spacing w:before="1" w:line="312" w:lineRule="auto"/>
        <w:ind w:left="100" w:right="107"/>
        <w:jc w:val="both"/>
        <w:rPr>
          <w:sz w:val="16"/>
        </w:rPr>
      </w:pPr>
      <w:hyperlink r:id="rId242">
        <w:r w:rsidR="00330118">
          <w:rPr>
            <w:sz w:val="16"/>
          </w:rPr>
          <w:t>&lt;http://www.conflitoambiental.icict.fiocruz</w:t>
        </w:r>
        <w:r w:rsidR="00330118">
          <w:rPr>
            <w:sz w:val="16"/>
          </w:rPr>
          <w:t>.br/index.php?pag=ficha&amp;co</w:t>
        </w:r>
      </w:hyperlink>
      <w:r w:rsidR="00330118">
        <w:rPr>
          <w:sz w:val="16"/>
        </w:rPr>
        <w:t xml:space="preserve"> d=77&gt;. Acesso em: 03 dez. 2010.</w:t>
      </w:r>
    </w:p>
    <w:p w:rsidR="00D81F69" w:rsidRDefault="00330118">
      <w:pPr>
        <w:spacing w:before="70" w:line="312" w:lineRule="auto"/>
        <w:ind w:left="100" w:right="238"/>
        <w:jc w:val="both"/>
        <w:rPr>
          <w:sz w:val="16"/>
        </w:rPr>
      </w:pPr>
      <w:r>
        <w:br w:type="column"/>
      </w:r>
      <w:r>
        <w:rPr>
          <w:sz w:val="16"/>
        </w:rPr>
        <w:lastRenderedPageBreak/>
        <w:t xml:space="preserve">MPF, Ministério Público Federal. Suspenso desmatamento da Mineração Rio do Norte em Oriximiná (PA), 10 ago. 2011. Disponível em: </w:t>
      </w:r>
      <w:hyperlink r:id="rId243">
        <w:r>
          <w:rPr>
            <w:sz w:val="16"/>
          </w:rPr>
          <w:t xml:space="preserve">&lt;http://noticias.pgr.mpf.gov.br/noticias/noticias-do- </w:t>
        </w:r>
      </w:hyperlink>
      <w:r>
        <w:rPr>
          <w:sz w:val="16"/>
        </w:rPr>
        <w:t>site/copy_of_meio-ambiente-e-patrimonio-cultural/justica-suspende- desmatamento-da-mineracao-rio-do-norte-em-oriximina-pa&gt;. Acesso em: 14 out. 2011.</w:t>
      </w:r>
    </w:p>
    <w:p w:rsidR="00D81F69" w:rsidRDefault="00330118">
      <w:pPr>
        <w:spacing w:before="5"/>
        <w:ind w:left="100"/>
        <w:jc w:val="both"/>
        <w:rPr>
          <w:sz w:val="16"/>
        </w:rPr>
      </w:pPr>
      <w:r>
        <w:rPr>
          <w:sz w:val="16"/>
        </w:rPr>
        <w:t xml:space="preserve">MRN, Mineração Rio do Norte. História. Disponível </w:t>
      </w:r>
      <w:r>
        <w:rPr>
          <w:sz w:val="16"/>
        </w:rPr>
        <w:t xml:space="preserve">em: </w:t>
      </w:r>
    </w:p>
    <w:p w:rsidR="00D81F69" w:rsidRDefault="00D81F69">
      <w:pPr>
        <w:spacing w:before="56" w:line="312" w:lineRule="auto"/>
        <w:ind w:left="100" w:right="255"/>
        <w:jc w:val="both"/>
        <w:rPr>
          <w:sz w:val="16"/>
        </w:rPr>
      </w:pPr>
      <w:hyperlink r:id="rId244">
        <w:r w:rsidR="00330118">
          <w:rPr>
            <w:sz w:val="16"/>
          </w:rPr>
          <w:t xml:space="preserve">&lt;http://www.mrn.com.br/quem_somos/historia.html&gt;. </w:t>
        </w:r>
      </w:hyperlink>
      <w:r w:rsidR="00330118">
        <w:rPr>
          <w:sz w:val="16"/>
        </w:rPr>
        <w:t>Acesso em: 03 dez. 2010a.</w:t>
      </w:r>
    </w:p>
    <w:p w:rsidR="00D81F69" w:rsidRDefault="00330118">
      <w:pPr>
        <w:spacing w:before="1"/>
        <w:ind w:left="100"/>
        <w:jc w:val="both"/>
        <w:rPr>
          <w:sz w:val="16"/>
        </w:rPr>
      </w:pPr>
      <w:r>
        <w:rPr>
          <w:sz w:val="16"/>
        </w:rPr>
        <w:t xml:space="preserve">_ _ _ _ _ _ . P o r t o T r o m b e t a . D i s p o n í v e l e m : </w:t>
      </w:r>
    </w:p>
    <w:p w:rsidR="00D81F69" w:rsidRDefault="00D81F69">
      <w:pPr>
        <w:spacing w:before="56" w:line="312" w:lineRule="auto"/>
        <w:ind w:left="100" w:right="255"/>
        <w:jc w:val="both"/>
        <w:rPr>
          <w:sz w:val="16"/>
        </w:rPr>
      </w:pPr>
      <w:hyperlink r:id="rId245">
        <w:r w:rsidR="00330118">
          <w:rPr>
            <w:sz w:val="16"/>
          </w:rPr>
          <w:t xml:space="preserve">&lt;http://www.mrn.com.br/quem_somos/portotrombetas.html&gt;. </w:t>
        </w:r>
      </w:hyperlink>
      <w:r w:rsidR="00330118">
        <w:rPr>
          <w:sz w:val="16"/>
        </w:rPr>
        <w:t>Acesso em: 03 dez. 2010b.</w:t>
      </w:r>
    </w:p>
    <w:p w:rsidR="00D81F69" w:rsidRDefault="00330118">
      <w:pPr>
        <w:spacing w:before="2" w:line="312" w:lineRule="auto"/>
        <w:ind w:left="100" w:right="237"/>
        <w:jc w:val="both"/>
        <w:rPr>
          <w:sz w:val="16"/>
        </w:rPr>
      </w:pPr>
      <w:r>
        <w:rPr>
          <w:sz w:val="16"/>
        </w:rPr>
        <w:t xml:space="preserve">SE IXAS, Adriene de Cássia Soares; BARRETO, Elcivânia de Oliveira; SIQUEIRA, Frank Wilkinson Tavares; OLIVEIRA, Juliana da Silva; TEIXEIRA, Maria </w:t>
      </w:r>
      <w:r>
        <w:rPr>
          <w:sz w:val="16"/>
        </w:rPr>
        <w:t>Jânia Miléo; SILVA, Raimunda Patrícia Gemaque; CORRÊA, Silvia da Silva. O projeto Trombetas no Baixo Amazonas Paraense: produção do espaço em reestruturação espacial no município de Oriximiná. In: Anais XVI Encontro Nacional de Geógrafos, realizado de 25 a</w:t>
      </w:r>
      <w:r>
        <w:rPr>
          <w:sz w:val="16"/>
        </w:rPr>
        <w:t xml:space="preserve"> 31 de jul. 2010. Porto Alegre - RS,</w:t>
      </w:r>
    </w:p>
    <w:p w:rsidR="00D81F69" w:rsidRDefault="00330118">
      <w:pPr>
        <w:tabs>
          <w:tab w:val="left" w:pos="1785"/>
          <w:tab w:val="left" w:pos="4548"/>
        </w:tabs>
        <w:spacing w:before="6"/>
        <w:ind w:left="100"/>
        <w:jc w:val="both"/>
        <w:rPr>
          <w:sz w:val="16"/>
        </w:rPr>
      </w:pPr>
      <w:r>
        <w:rPr>
          <w:sz w:val="16"/>
        </w:rPr>
        <w:t xml:space="preserve">2   0   1  </w:t>
      </w:r>
      <w:r>
        <w:rPr>
          <w:spacing w:val="35"/>
          <w:sz w:val="16"/>
        </w:rPr>
        <w:t xml:space="preserve"> </w:t>
      </w:r>
      <w:r>
        <w:rPr>
          <w:sz w:val="16"/>
        </w:rPr>
        <w:t xml:space="preserve">0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32"/>
        <w:jc w:val="both"/>
        <w:rPr>
          <w:sz w:val="16"/>
        </w:rPr>
      </w:pPr>
      <w:hyperlink r:id="rId246">
        <w:r w:rsidR="00330118">
          <w:rPr>
            <w:sz w:val="16"/>
          </w:rPr>
          <w:t>&lt;http://www.agb.org.br/evento/download.php?idTrabalho=1281&gt;.</w:t>
        </w:r>
      </w:hyperlink>
      <w:r w:rsidR="00330118">
        <w:rPr>
          <w:sz w:val="16"/>
        </w:rPr>
        <w:t xml:space="preserve"> Acesso em: 04 dez</w:t>
      </w:r>
      <w:r w:rsidR="00330118">
        <w:rPr>
          <w:sz w:val="16"/>
        </w:rPr>
        <w:t>. 2010.</w:t>
      </w:r>
    </w:p>
    <w:p w:rsidR="00D81F69" w:rsidRDefault="00330118">
      <w:pPr>
        <w:spacing w:before="1"/>
        <w:ind w:left="100"/>
        <w:jc w:val="both"/>
        <w:rPr>
          <w:sz w:val="16"/>
        </w:rPr>
      </w:pPr>
      <w:r>
        <w:rPr>
          <w:sz w:val="16"/>
        </w:rPr>
        <w:t>SITE OFICIAL DE ORIXIMINÁ. Localização. Disponível em:</w:t>
      </w:r>
    </w:p>
    <w:p w:rsidR="00D81F69" w:rsidRDefault="00D81F69">
      <w:pPr>
        <w:spacing w:before="56" w:line="312" w:lineRule="auto"/>
        <w:ind w:left="100" w:right="255"/>
        <w:jc w:val="both"/>
        <w:rPr>
          <w:sz w:val="16"/>
        </w:rPr>
      </w:pPr>
      <w:hyperlink r:id="rId247">
        <w:r w:rsidR="00330118">
          <w:rPr>
            <w:sz w:val="16"/>
          </w:rPr>
          <w:t>&lt;http://www.oriximina.pa.gov.br/portal1/municipio/localizacao.asp?iId</w:t>
        </w:r>
      </w:hyperlink>
      <w:r w:rsidR="00330118">
        <w:rPr>
          <w:sz w:val="16"/>
        </w:rPr>
        <w:t xml:space="preserve"> Mun=100115084&gt;</w:t>
      </w:r>
      <w:r w:rsidR="00330118">
        <w:rPr>
          <w:sz w:val="16"/>
        </w:rPr>
        <w:t>. Acesso em: 04 dez. 2010.</w:t>
      </w:r>
    </w:p>
    <w:p w:rsidR="00D81F69" w:rsidRDefault="00330118">
      <w:pPr>
        <w:tabs>
          <w:tab w:val="left" w:pos="2559"/>
          <w:tab w:val="left" w:pos="5063"/>
        </w:tabs>
        <w:spacing w:before="2" w:line="312" w:lineRule="auto"/>
        <w:ind w:left="100" w:right="236"/>
        <w:jc w:val="both"/>
        <w:rPr>
          <w:sz w:val="16"/>
        </w:rPr>
      </w:pPr>
      <w:r>
        <w:rPr>
          <w:sz w:val="16"/>
        </w:rPr>
        <w:t>SOUZA, Patrícia Feitosa. As minas de bauxita e a reestruturação do Médio-Baixo Amazonas-PA. In: VI Encontro Nacional da ANPEGE, 2005, Fortaleza-CE: Universidade Federal do Ceará, 2005. Disponível e</w:t>
      </w:r>
      <w:r>
        <w:rPr>
          <w:sz w:val="16"/>
        </w:rPr>
        <w:tab/>
        <w:t>m</w:t>
      </w:r>
      <w:r>
        <w:rPr>
          <w:sz w:val="16"/>
        </w:rPr>
        <w:tab/>
        <w:t>:</w:t>
      </w:r>
    </w:p>
    <w:p w:rsidR="00D81F69" w:rsidRDefault="00D81F69">
      <w:pPr>
        <w:spacing w:before="3" w:line="312" w:lineRule="auto"/>
        <w:ind w:left="100" w:right="257"/>
        <w:jc w:val="both"/>
        <w:rPr>
          <w:sz w:val="16"/>
        </w:rPr>
      </w:pPr>
      <w:hyperlink r:id="rId248">
        <w:r w:rsidR="00330118">
          <w:rPr>
            <w:sz w:val="16"/>
          </w:rPr>
          <w:t>&lt;http://www3.ufpa.br/projetomineracao/docs/tribut/Arq%2038_minas.p</w:t>
        </w:r>
      </w:hyperlink>
      <w:r w:rsidR="00330118">
        <w:rPr>
          <w:sz w:val="16"/>
        </w:rPr>
        <w:t xml:space="preserve"> df&gt;. Acesso em: 04 dez. 2010.</w:t>
      </w:r>
    </w:p>
    <w:p w:rsidR="00D81F69" w:rsidRDefault="00330118">
      <w:pPr>
        <w:spacing w:before="2" w:line="312" w:lineRule="auto"/>
        <w:ind w:left="100" w:right="174"/>
        <w:jc w:val="both"/>
        <w:rPr>
          <w:sz w:val="16"/>
        </w:rPr>
      </w:pPr>
      <w:r>
        <w:rPr>
          <w:sz w:val="16"/>
        </w:rPr>
        <w:t xml:space="preserve">TRINDADE, José Raimundo Barreto. Terceirização e impacto sobre  </w:t>
      </w:r>
      <w:r>
        <w:rPr>
          <w:spacing w:val="1"/>
          <w:sz w:val="16"/>
        </w:rPr>
        <w:t xml:space="preserve">as </w:t>
      </w:r>
      <w:r>
        <w:rPr>
          <w:spacing w:val="3"/>
          <w:sz w:val="16"/>
        </w:rPr>
        <w:t xml:space="preserve">relações </w:t>
      </w:r>
      <w:r>
        <w:rPr>
          <w:spacing w:val="1"/>
          <w:sz w:val="16"/>
        </w:rPr>
        <w:t xml:space="preserve">de </w:t>
      </w:r>
      <w:r>
        <w:rPr>
          <w:spacing w:val="3"/>
          <w:sz w:val="16"/>
        </w:rPr>
        <w:t xml:space="preserve">trabalho </w:t>
      </w:r>
      <w:r>
        <w:rPr>
          <w:spacing w:val="1"/>
          <w:sz w:val="16"/>
        </w:rPr>
        <w:t xml:space="preserve">na </w:t>
      </w:r>
      <w:r>
        <w:rPr>
          <w:spacing w:val="3"/>
          <w:sz w:val="16"/>
        </w:rPr>
        <w:t xml:space="preserve">indústria extrativa mineral: </w:t>
      </w:r>
      <w:r>
        <w:rPr>
          <w:sz w:val="16"/>
        </w:rPr>
        <w:t xml:space="preserve">o </w:t>
      </w:r>
      <w:r>
        <w:rPr>
          <w:spacing w:val="2"/>
          <w:sz w:val="16"/>
        </w:rPr>
        <w:t xml:space="preserve">caso </w:t>
      </w:r>
      <w:r>
        <w:rPr>
          <w:spacing w:val="5"/>
          <w:sz w:val="16"/>
        </w:rPr>
        <w:t xml:space="preserve">da </w:t>
      </w:r>
      <w:r>
        <w:rPr>
          <w:sz w:val="16"/>
        </w:rPr>
        <w:t xml:space="preserve">Mineração Rio do Norte. 2º Encontro Regional da ABET, Nov. 1998,    </w:t>
      </w:r>
      <w:r>
        <w:rPr>
          <w:spacing w:val="16"/>
          <w:sz w:val="16"/>
        </w:rPr>
        <w:t>J</w:t>
      </w:r>
      <w:r>
        <w:rPr>
          <w:sz w:val="16"/>
        </w:rPr>
        <w:t xml:space="preserve"> </w:t>
      </w:r>
      <w:r>
        <w:rPr>
          <w:spacing w:val="16"/>
          <w:sz w:val="16"/>
        </w:rPr>
        <w:t>o</w:t>
      </w:r>
      <w:r>
        <w:rPr>
          <w:sz w:val="16"/>
        </w:rPr>
        <w:t xml:space="preserve"> </w:t>
      </w:r>
      <w:r>
        <w:rPr>
          <w:spacing w:val="16"/>
          <w:sz w:val="16"/>
        </w:rPr>
        <w:t>ã</w:t>
      </w:r>
      <w:r>
        <w:rPr>
          <w:sz w:val="16"/>
        </w:rPr>
        <w:t xml:space="preserve"> o</w:t>
      </w:r>
      <w:r>
        <w:rPr>
          <w:spacing w:val="17"/>
          <w:sz w:val="16"/>
        </w:rPr>
        <w:t xml:space="preserve"> </w:t>
      </w:r>
      <w:r>
        <w:rPr>
          <w:spacing w:val="16"/>
          <w:sz w:val="16"/>
        </w:rPr>
        <w:t>P</w:t>
      </w:r>
      <w:r>
        <w:rPr>
          <w:sz w:val="16"/>
        </w:rPr>
        <w:t xml:space="preserve"> </w:t>
      </w:r>
      <w:r>
        <w:rPr>
          <w:spacing w:val="16"/>
          <w:sz w:val="16"/>
        </w:rPr>
        <w:t>e</w:t>
      </w:r>
      <w:r>
        <w:rPr>
          <w:sz w:val="16"/>
        </w:rPr>
        <w:t xml:space="preserve"> </w:t>
      </w:r>
      <w:r>
        <w:rPr>
          <w:spacing w:val="16"/>
          <w:sz w:val="16"/>
        </w:rPr>
        <w:t>s</w:t>
      </w:r>
      <w:r>
        <w:rPr>
          <w:sz w:val="16"/>
        </w:rPr>
        <w:t xml:space="preserve"> </w:t>
      </w:r>
      <w:r>
        <w:rPr>
          <w:spacing w:val="16"/>
          <w:sz w:val="16"/>
        </w:rPr>
        <w:t>s</w:t>
      </w:r>
      <w:r>
        <w:rPr>
          <w:sz w:val="16"/>
        </w:rPr>
        <w:t xml:space="preserve"> </w:t>
      </w:r>
      <w:r>
        <w:rPr>
          <w:spacing w:val="16"/>
          <w:sz w:val="16"/>
        </w:rPr>
        <w:t>o</w:t>
      </w:r>
      <w:r>
        <w:rPr>
          <w:sz w:val="16"/>
        </w:rPr>
        <w:t xml:space="preserve"> a</w:t>
      </w:r>
      <w:r>
        <w:rPr>
          <w:spacing w:val="17"/>
          <w:sz w:val="16"/>
        </w:rPr>
        <w:t xml:space="preserve"> </w:t>
      </w:r>
      <w:r>
        <w:rPr>
          <w:spacing w:val="16"/>
          <w:sz w:val="16"/>
        </w:rPr>
        <w:t>(</w:t>
      </w:r>
      <w:r>
        <w:rPr>
          <w:sz w:val="16"/>
        </w:rPr>
        <w:t xml:space="preserve"> </w:t>
      </w:r>
      <w:r>
        <w:rPr>
          <w:spacing w:val="16"/>
          <w:sz w:val="16"/>
        </w:rPr>
        <w:t>P</w:t>
      </w:r>
      <w:r>
        <w:rPr>
          <w:sz w:val="16"/>
        </w:rPr>
        <w:t xml:space="preserve"> </w:t>
      </w:r>
      <w:r>
        <w:rPr>
          <w:spacing w:val="16"/>
          <w:sz w:val="16"/>
        </w:rPr>
        <w:t>B</w:t>
      </w:r>
      <w:r>
        <w:rPr>
          <w:sz w:val="16"/>
        </w:rPr>
        <w:t xml:space="preserve"> </w:t>
      </w:r>
      <w:r>
        <w:rPr>
          <w:spacing w:val="16"/>
          <w:sz w:val="16"/>
        </w:rPr>
        <w:t>)</w:t>
      </w:r>
      <w:r>
        <w:rPr>
          <w:sz w:val="16"/>
        </w:rPr>
        <w:t xml:space="preserve"> .</w:t>
      </w:r>
      <w:r>
        <w:rPr>
          <w:spacing w:val="17"/>
          <w:sz w:val="16"/>
        </w:rPr>
        <w:t xml:space="preserve"> </w:t>
      </w:r>
      <w:r>
        <w:rPr>
          <w:spacing w:val="16"/>
          <w:sz w:val="16"/>
        </w:rPr>
        <w:t>D</w:t>
      </w:r>
      <w:r>
        <w:rPr>
          <w:sz w:val="16"/>
        </w:rPr>
        <w:t xml:space="preserve"> </w:t>
      </w:r>
      <w:r>
        <w:rPr>
          <w:spacing w:val="16"/>
          <w:sz w:val="16"/>
        </w:rPr>
        <w:t>i</w:t>
      </w:r>
      <w:r>
        <w:rPr>
          <w:sz w:val="16"/>
        </w:rPr>
        <w:t xml:space="preserve"> </w:t>
      </w:r>
      <w:r>
        <w:rPr>
          <w:spacing w:val="16"/>
          <w:sz w:val="16"/>
        </w:rPr>
        <w:t>s</w:t>
      </w:r>
      <w:r>
        <w:rPr>
          <w:sz w:val="16"/>
        </w:rPr>
        <w:t xml:space="preserve"> </w:t>
      </w:r>
      <w:r>
        <w:rPr>
          <w:spacing w:val="16"/>
          <w:sz w:val="16"/>
        </w:rPr>
        <w:t>p</w:t>
      </w:r>
      <w:r>
        <w:rPr>
          <w:sz w:val="16"/>
        </w:rPr>
        <w:t xml:space="preserve"> </w:t>
      </w:r>
      <w:r>
        <w:rPr>
          <w:spacing w:val="16"/>
          <w:sz w:val="16"/>
        </w:rPr>
        <w:t>o</w:t>
      </w:r>
      <w:r>
        <w:rPr>
          <w:sz w:val="16"/>
        </w:rPr>
        <w:t xml:space="preserve"> </w:t>
      </w:r>
      <w:r>
        <w:rPr>
          <w:spacing w:val="16"/>
          <w:sz w:val="16"/>
        </w:rPr>
        <w:t>n</w:t>
      </w:r>
      <w:r>
        <w:rPr>
          <w:sz w:val="16"/>
        </w:rPr>
        <w:t xml:space="preserve"> </w:t>
      </w:r>
      <w:r>
        <w:rPr>
          <w:spacing w:val="16"/>
          <w:sz w:val="16"/>
        </w:rPr>
        <w:t>í</w:t>
      </w:r>
      <w:r>
        <w:rPr>
          <w:sz w:val="16"/>
        </w:rPr>
        <w:t xml:space="preserve"> </w:t>
      </w:r>
      <w:r>
        <w:rPr>
          <w:spacing w:val="16"/>
          <w:sz w:val="16"/>
        </w:rPr>
        <w:t>v</w:t>
      </w:r>
      <w:r>
        <w:rPr>
          <w:sz w:val="16"/>
        </w:rPr>
        <w:t xml:space="preserve"> </w:t>
      </w:r>
      <w:r>
        <w:rPr>
          <w:spacing w:val="16"/>
          <w:sz w:val="16"/>
        </w:rPr>
        <w:t>e</w:t>
      </w:r>
      <w:r>
        <w:rPr>
          <w:sz w:val="16"/>
        </w:rPr>
        <w:t xml:space="preserve"> l</w:t>
      </w:r>
      <w:r>
        <w:rPr>
          <w:spacing w:val="17"/>
          <w:sz w:val="16"/>
        </w:rPr>
        <w:t xml:space="preserve"> </w:t>
      </w:r>
      <w:r>
        <w:rPr>
          <w:spacing w:val="16"/>
          <w:sz w:val="16"/>
        </w:rPr>
        <w:t>e</w:t>
      </w:r>
      <w:r>
        <w:rPr>
          <w:sz w:val="16"/>
        </w:rPr>
        <w:t xml:space="preserve"> </w:t>
      </w:r>
      <w:r>
        <w:rPr>
          <w:spacing w:val="16"/>
          <w:sz w:val="16"/>
        </w:rPr>
        <w:t>m</w:t>
      </w:r>
      <w:r>
        <w:rPr>
          <w:sz w:val="16"/>
        </w:rPr>
        <w:t xml:space="preserve"> :</w:t>
      </w:r>
      <w:r>
        <w:rPr>
          <w:spacing w:val="17"/>
          <w:sz w:val="16"/>
        </w:rPr>
        <w:t xml:space="preserve"> </w:t>
      </w:r>
    </w:p>
    <w:p w:rsidR="00D81F69" w:rsidRDefault="00D81F69">
      <w:pPr>
        <w:spacing w:before="3" w:line="312" w:lineRule="auto"/>
        <w:ind w:left="100" w:right="231"/>
        <w:jc w:val="both"/>
        <w:rPr>
          <w:sz w:val="16"/>
        </w:rPr>
      </w:pPr>
      <w:hyperlink r:id="rId249">
        <w:r w:rsidR="00330118">
          <w:rPr>
            <w:sz w:val="16"/>
          </w:rPr>
          <w:t>&lt;http://www.ufpa</w:t>
        </w:r>
        <w:r w:rsidR="00330118">
          <w:rPr>
            <w:sz w:val="16"/>
          </w:rPr>
          <w:t>.br/naea/gerencia/ler_publicacao.php?id=190&gt;.</w:t>
        </w:r>
      </w:hyperlink>
      <w:r w:rsidR="00330118">
        <w:rPr>
          <w:sz w:val="16"/>
        </w:rPr>
        <w:t xml:space="preserve"> Acesso em: 04 dez. 2010.</w:t>
      </w:r>
    </w:p>
    <w:p w:rsidR="00D81F69" w:rsidRDefault="00330118">
      <w:pPr>
        <w:spacing w:before="2" w:line="312" w:lineRule="auto"/>
        <w:ind w:left="100" w:right="181"/>
        <w:jc w:val="both"/>
        <w:rPr>
          <w:sz w:val="16"/>
        </w:rPr>
      </w:pPr>
      <w:r>
        <w:rPr>
          <w:sz w:val="16"/>
        </w:rPr>
        <w:t xml:space="preserve">WANDERLEY, Luiz Jardim de Moraes. O grande projeto minerador e </w:t>
      </w:r>
      <w:r>
        <w:rPr>
          <w:spacing w:val="5"/>
          <w:sz w:val="16"/>
        </w:rPr>
        <w:t xml:space="preserve">seus impactos territoriais </w:t>
      </w:r>
      <w:r>
        <w:rPr>
          <w:spacing w:val="2"/>
          <w:sz w:val="16"/>
        </w:rPr>
        <w:t xml:space="preserve">de  </w:t>
      </w:r>
      <w:r>
        <w:rPr>
          <w:spacing w:val="5"/>
          <w:sz w:val="16"/>
        </w:rPr>
        <w:t xml:space="preserve">localização:  </w:t>
      </w:r>
      <w:r>
        <w:rPr>
          <w:sz w:val="16"/>
        </w:rPr>
        <w:t xml:space="preserve">o  </w:t>
      </w:r>
      <w:r>
        <w:rPr>
          <w:spacing w:val="5"/>
          <w:sz w:val="16"/>
        </w:rPr>
        <w:t xml:space="preserve">caso  </w:t>
      </w:r>
      <w:r>
        <w:rPr>
          <w:spacing w:val="2"/>
          <w:sz w:val="16"/>
        </w:rPr>
        <w:t xml:space="preserve">da  </w:t>
      </w:r>
      <w:r>
        <w:rPr>
          <w:spacing w:val="3"/>
          <w:sz w:val="16"/>
        </w:rPr>
        <w:t xml:space="preserve">MRN  </w:t>
      </w:r>
      <w:r>
        <w:rPr>
          <w:spacing w:val="6"/>
          <w:sz w:val="16"/>
        </w:rPr>
        <w:t xml:space="preserve">em </w:t>
      </w:r>
      <w:r>
        <w:rPr>
          <w:spacing w:val="15"/>
          <w:sz w:val="16"/>
        </w:rPr>
        <w:t>O</w:t>
      </w:r>
      <w:r>
        <w:rPr>
          <w:sz w:val="16"/>
        </w:rPr>
        <w:t xml:space="preserve"> </w:t>
      </w:r>
      <w:r>
        <w:rPr>
          <w:spacing w:val="15"/>
          <w:sz w:val="16"/>
        </w:rPr>
        <w:t>r</w:t>
      </w:r>
      <w:r>
        <w:rPr>
          <w:sz w:val="16"/>
        </w:rPr>
        <w:t xml:space="preserve"> </w:t>
      </w:r>
      <w:r>
        <w:rPr>
          <w:spacing w:val="15"/>
          <w:sz w:val="16"/>
        </w:rPr>
        <w:t>i</w:t>
      </w:r>
      <w:r>
        <w:rPr>
          <w:sz w:val="16"/>
        </w:rPr>
        <w:t xml:space="preserve"> </w:t>
      </w:r>
      <w:r>
        <w:rPr>
          <w:spacing w:val="15"/>
          <w:sz w:val="16"/>
        </w:rPr>
        <w:t>x</w:t>
      </w:r>
      <w:r>
        <w:rPr>
          <w:sz w:val="16"/>
        </w:rPr>
        <w:t xml:space="preserve"> </w:t>
      </w:r>
      <w:r>
        <w:rPr>
          <w:spacing w:val="15"/>
          <w:sz w:val="16"/>
        </w:rPr>
        <w:t>i</w:t>
      </w:r>
      <w:r>
        <w:rPr>
          <w:sz w:val="16"/>
        </w:rPr>
        <w:t xml:space="preserve"> </w:t>
      </w:r>
      <w:r>
        <w:rPr>
          <w:spacing w:val="15"/>
          <w:sz w:val="16"/>
        </w:rPr>
        <w:t>m</w:t>
      </w:r>
      <w:r>
        <w:rPr>
          <w:sz w:val="16"/>
        </w:rPr>
        <w:t xml:space="preserve"> </w:t>
      </w:r>
      <w:r>
        <w:rPr>
          <w:spacing w:val="15"/>
          <w:sz w:val="16"/>
        </w:rPr>
        <w:t>i</w:t>
      </w:r>
      <w:r>
        <w:rPr>
          <w:sz w:val="16"/>
        </w:rPr>
        <w:t xml:space="preserve"> </w:t>
      </w:r>
      <w:r>
        <w:rPr>
          <w:spacing w:val="15"/>
          <w:sz w:val="16"/>
        </w:rPr>
        <w:t>n</w:t>
      </w:r>
      <w:r>
        <w:rPr>
          <w:sz w:val="16"/>
        </w:rPr>
        <w:t xml:space="preserve"> </w:t>
      </w:r>
      <w:r>
        <w:rPr>
          <w:spacing w:val="15"/>
          <w:sz w:val="16"/>
        </w:rPr>
        <w:t>á</w:t>
      </w:r>
      <w:r>
        <w:rPr>
          <w:sz w:val="16"/>
        </w:rPr>
        <w:t xml:space="preserve"> </w:t>
      </w:r>
      <w:r>
        <w:rPr>
          <w:spacing w:val="15"/>
          <w:sz w:val="16"/>
        </w:rPr>
        <w:t>-</w:t>
      </w:r>
      <w:r>
        <w:rPr>
          <w:sz w:val="16"/>
        </w:rPr>
        <w:t xml:space="preserve"> </w:t>
      </w:r>
      <w:r>
        <w:rPr>
          <w:spacing w:val="15"/>
          <w:sz w:val="16"/>
        </w:rPr>
        <w:t>P</w:t>
      </w:r>
      <w:r>
        <w:rPr>
          <w:sz w:val="16"/>
        </w:rPr>
        <w:t xml:space="preserve"> </w:t>
      </w:r>
      <w:r>
        <w:rPr>
          <w:spacing w:val="15"/>
          <w:sz w:val="16"/>
        </w:rPr>
        <w:t>A</w:t>
      </w:r>
      <w:r>
        <w:rPr>
          <w:sz w:val="16"/>
        </w:rPr>
        <w:t xml:space="preserve"> ,</w:t>
      </w:r>
      <w:r>
        <w:rPr>
          <w:spacing w:val="10"/>
          <w:sz w:val="16"/>
        </w:rPr>
        <w:t xml:space="preserve"> </w:t>
      </w:r>
      <w:r>
        <w:rPr>
          <w:spacing w:val="15"/>
          <w:sz w:val="16"/>
        </w:rPr>
        <w:t>2</w:t>
      </w:r>
      <w:r>
        <w:rPr>
          <w:sz w:val="16"/>
        </w:rPr>
        <w:t xml:space="preserve"> </w:t>
      </w:r>
      <w:r>
        <w:rPr>
          <w:spacing w:val="15"/>
          <w:sz w:val="16"/>
        </w:rPr>
        <w:t>0</w:t>
      </w:r>
      <w:r>
        <w:rPr>
          <w:sz w:val="16"/>
        </w:rPr>
        <w:t xml:space="preserve"> </w:t>
      </w:r>
      <w:r>
        <w:rPr>
          <w:spacing w:val="15"/>
          <w:sz w:val="16"/>
        </w:rPr>
        <w:t>0</w:t>
      </w:r>
      <w:r>
        <w:rPr>
          <w:sz w:val="16"/>
        </w:rPr>
        <w:t xml:space="preserve"> </w:t>
      </w:r>
      <w:r>
        <w:rPr>
          <w:spacing w:val="15"/>
          <w:sz w:val="16"/>
        </w:rPr>
        <w:t>4</w:t>
      </w:r>
      <w:r>
        <w:rPr>
          <w:sz w:val="16"/>
        </w:rPr>
        <w:t xml:space="preserve"> .</w:t>
      </w:r>
      <w:r>
        <w:rPr>
          <w:spacing w:val="10"/>
          <w:sz w:val="16"/>
        </w:rPr>
        <w:t xml:space="preserve"> </w:t>
      </w:r>
      <w:r>
        <w:rPr>
          <w:spacing w:val="15"/>
          <w:sz w:val="16"/>
        </w:rPr>
        <w:t>D</w:t>
      </w:r>
      <w:r>
        <w:rPr>
          <w:sz w:val="16"/>
        </w:rPr>
        <w:t xml:space="preserve"> </w:t>
      </w:r>
      <w:r>
        <w:rPr>
          <w:spacing w:val="15"/>
          <w:sz w:val="16"/>
        </w:rPr>
        <w:t>i</w:t>
      </w:r>
      <w:r>
        <w:rPr>
          <w:sz w:val="16"/>
        </w:rPr>
        <w:t xml:space="preserve"> </w:t>
      </w:r>
      <w:r>
        <w:rPr>
          <w:spacing w:val="15"/>
          <w:sz w:val="16"/>
        </w:rPr>
        <w:t>s</w:t>
      </w:r>
      <w:r>
        <w:rPr>
          <w:sz w:val="16"/>
        </w:rPr>
        <w:t xml:space="preserve"> </w:t>
      </w:r>
      <w:r>
        <w:rPr>
          <w:spacing w:val="15"/>
          <w:sz w:val="16"/>
        </w:rPr>
        <w:t>p</w:t>
      </w:r>
      <w:r>
        <w:rPr>
          <w:sz w:val="16"/>
        </w:rPr>
        <w:t xml:space="preserve"> </w:t>
      </w:r>
      <w:r>
        <w:rPr>
          <w:spacing w:val="15"/>
          <w:sz w:val="16"/>
        </w:rPr>
        <w:t>o</w:t>
      </w:r>
      <w:r>
        <w:rPr>
          <w:sz w:val="16"/>
        </w:rPr>
        <w:t xml:space="preserve"> </w:t>
      </w:r>
      <w:r>
        <w:rPr>
          <w:spacing w:val="15"/>
          <w:sz w:val="16"/>
        </w:rPr>
        <w:t>n</w:t>
      </w:r>
      <w:r>
        <w:rPr>
          <w:sz w:val="16"/>
        </w:rPr>
        <w:t xml:space="preserve"> </w:t>
      </w:r>
      <w:r>
        <w:rPr>
          <w:spacing w:val="15"/>
          <w:sz w:val="16"/>
        </w:rPr>
        <w:t>í</w:t>
      </w:r>
      <w:r>
        <w:rPr>
          <w:sz w:val="16"/>
        </w:rPr>
        <w:t xml:space="preserve"> </w:t>
      </w:r>
      <w:r>
        <w:rPr>
          <w:spacing w:val="15"/>
          <w:sz w:val="16"/>
        </w:rPr>
        <w:t>v</w:t>
      </w:r>
      <w:r>
        <w:rPr>
          <w:sz w:val="16"/>
        </w:rPr>
        <w:t xml:space="preserve"> </w:t>
      </w:r>
      <w:r>
        <w:rPr>
          <w:spacing w:val="15"/>
          <w:sz w:val="16"/>
        </w:rPr>
        <w:t>e</w:t>
      </w:r>
      <w:r>
        <w:rPr>
          <w:sz w:val="16"/>
        </w:rPr>
        <w:t xml:space="preserve"> l</w:t>
      </w:r>
      <w:r>
        <w:rPr>
          <w:spacing w:val="10"/>
          <w:sz w:val="16"/>
        </w:rPr>
        <w:t xml:space="preserve"> </w:t>
      </w:r>
      <w:r>
        <w:rPr>
          <w:spacing w:val="15"/>
          <w:sz w:val="16"/>
        </w:rPr>
        <w:t>e</w:t>
      </w:r>
      <w:r>
        <w:rPr>
          <w:sz w:val="16"/>
        </w:rPr>
        <w:t xml:space="preserve"> </w:t>
      </w:r>
      <w:r>
        <w:rPr>
          <w:spacing w:val="15"/>
          <w:sz w:val="16"/>
        </w:rPr>
        <w:t>m</w:t>
      </w:r>
      <w:r>
        <w:rPr>
          <w:sz w:val="16"/>
        </w:rPr>
        <w:t xml:space="preserve"> :</w:t>
      </w:r>
      <w:r>
        <w:rPr>
          <w:spacing w:val="15"/>
          <w:sz w:val="16"/>
        </w:rPr>
        <w:t xml:space="preserve"> </w:t>
      </w:r>
    </w:p>
    <w:p w:rsidR="00D81F69" w:rsidRDefault="00D81F69">
      <w:pPr>
        <w:spacing w:before="2" w:line="312" w:lineRule="auto"/>
        <w:ind w:left="100" w:right="256"/>
        <w:jc w:val="both"/>
        <w:rPr>
          <w:sz w:val="16"/>
        </w:rPr>
      </w:pPr>
      <w:hyperlink r:id="rId250">
        <w:r w:rsidR="00330118">
          <w:rPr>
            <w:sz w:val="16"/>
          </w:rPr>
          <w:t>&lt;http://www3.ufpa.br/projetomineracao/docs/estrut/artigo_Luiz_%28C</w:t>
        </w:r>
      </w:hyperlink>
      <w:r w:rsidR="00330118">
        <w:rPr>
          <w:sz w:val="16"/>
        </w:rPr>
        <w:t xml:space="preserve"> NPq%29.pdf&gt;. Acesso em: 03 dez. 2010.</w:t>
      </w:r>
    </w:p>
    <w:p w:rsidR="00D81F69" w:rsidRDefault="00330118">
      <w:pPr>
        <w:spacing w:before="2" w:line="312" w:lineRule="auto"/>
        <w:ind w:left="100" w:right="177"/>
        <w:jc w:val="both"/>
        <w:rPr>
          <w:sz w:val="16"/>
        </w:rPr>
      </w:pPr>
      <w:r>
        <w:rPr>
          <w:sz w:val="16"/>
        </w:rPr>
        <w:t>______, Luiz Jardim de Moraes. Conflitos e impactos ambientai</w:t>
      </w:r>
      <w:r>
        <w:rPr>
          <w:sz w:val="16"/>
        </w:rPr>
        <w:t xml:space="preserve">s na </w:t>
      </w:r>
      <w:r>
        <w:rPr>
          <w:spacing w:val="3"/>
          <w:sz w:val="16"/>
        </w:rPr>
        <w:t xml:space="preserve">exploração </w:t>
      </w:r>
      <w:r>
        <w:rPr>
          <w:spacing w:val="2"/>
          <w:sz w:val="16"/>
        </w:rPr>
        <w:t xml:space="preserve">dos </w:t>
      </w:r>
      <w:r>
        <w:rPr>
          <w:spacing w:val="3"/>
          <w:sz w:val="16"/>
        </w:rPr>
        <w:t xml:space="preserve">recursos minerais </w:t>
      </w:r>
      <w:r>
        <w:rPr>
          <w:spacing w:val="1"/>
          <w:sz w:val="16"/>
        </w:rPr>
        <w:t xml:space="preserve">na </w:t>
      </w:r>
      <w:r>
        <w:rPr>
          <w:spacing w:val="3"/>
          <w:sz w:val="16"/>
        </w:rPr>
        <w:t xml:space="preserve">Amazônia. </w:t>
      </w:r>
      <w:r>
        <w:rPr>
          <w:spacing w:val="2"/>
          <w:sz w:val="16"/>
        </w:rPr>
        <w:t xml:space="preserve">In: </w:t>
      </w:r>
      <w:r>
        <w:rPr>
          <w:spacing w:val="3"/>
          <w:sz w:val="16"/>
        </w:rPr>
        <w:t xml:space="preserve">Conflitos </w:t>
      </w:r>
      <w:r>
        <w:rPr>
          <w:sz w:val="16"/>
        </w:rPr>
        <w:t xml:space="preserve">e Movimentos Sociais Populares em Área de Mineração na Amazônia. Dissertação (Mestrado em Geografia), Universidade Federal do Rio    </w:t>
      </w:r>
      <w:r>
        <w:rPr>
          <w:spacing w:val="20"/>
          <w:sz w:val="16"/>
        </w:rPr>
        <w:t>d</w:t>
      </w:r>
      <w:r>
        <w:rPr>
          <w:sz w:val="16"/>
        </w:rPr>
        <w:t xml:space="preserve"> e</w:t>
      </w:r>
      <w:r>
        <w:rPr>
          <w:spacing w:val="25"/>
          <w:sz w:val="16"/>
        </w:rPr>
        <w:t xml:space="preserve"> </w:t>
      </w:r>
      <w:r>
        <w:rPr>
          <w:spacing w:val="20"/>
          <w:sz w:val="16"/>
        </w:rPr>
        <w:t>J</w:t>
      </w:r>
      <w:r>
        <w:rPr>
          <w:sz w:val="16"/>
        </w:rPr>
        <w:t xml:space="preserve"> </w:t>
      </w:r>
      <w:r>
        <w:rPr>
          <w:spacing w:val="20"/>
          <w:sz w:val="16"/>
        </w:rPr>
        <w:t>a</w:t>
      </w:r>
      <w:r>
        <w:rPr>
          <w:sz w:val="16"/>
        </w:rPr>
        <w:t xml:space="preserve"> </w:t>
      </w:r>
      <w:r>
        <w:rPr>
          <w:spacing w:val="20"/>
          <w:sz w:val="16"/>
        </w:rPr>
        <w:t>n</w:t>
      </w:r>
      <w:r>
        <w:rPr>
          <w:sz w:val="16"/>
        </w:rPr>
        <w:t xml:space="preserve"> </w:t>
      </w:r>
      <w:r>
        <w:rPr>
          <w:spacing w:val="20"/>
          <w:sz w:val="16"/>
        </w:rPr>
        <w:t>e</w:t>
      </w:r>
      <w:r>
        <w:rPr>
          <w:sz w:val="16"/>
        </w:rPr>
        <w:t xml:space="preserve"> </w:t>
      </w:r>
      <w:r>
        <w:rPr>
          <w:spacing w:val="20"/>
          <w:sz w:val="16"/>
        </w:rPr>
        <w:t>i</w:t>
      </w:r>
      <w:r>
        <w:rPr>
          <w:sz w:val="16"/>
        </w:rPr>
        <w:t xml:space="preserve"> </w:t>
      </w:r>
      <w:r>
        <w:rPr>
          <w:spacing w:val="20"/>
          <w:sz w:val="16"/>
        </w:rPr>
        <w:t>r</w:t>
      </w:r>
      <w:r>
        <w:rPr>
          <w:sz w:val="16"/>
        </w:rPr>
        <w:t xml:space="preserve"> </w:t>
      </w:r>
      <w:r>
        <w:rPr>
          <w:spacing w:val="20"/>
          <w:sz w:val="16"/>
        </w:rPr>
        <w:t>o</w:t>
      </w:r>
      <w:r>
        <w:rPr>
          <w:sz w:val="16"/>
        </w:rPr>
        <w:t xml:space="preserve"> ,</w:t>
      </w:r>
      <w:r>
        <w:rPr>
          <w:spacing w:val="25"/>
          <w:sz w:val="16"/>
        </w:rPr>
        <w:t xml:space="preserve"> </w:t>
      </w:r>
      <w:r>
        <w:rPr>
          <w:spacing w:val="20"/>
          <w:sz w:val="16"/>
        </w:rPr>
        <w:t>2</w:t>
      </w:r>
      <w:r>
        <w:rPr>
          <w:sz w:val="16"/>
        </w:rPr>
        <w:t xml:space="preserve"> </w:t>
      </w:r>
      <w:r>
        <w:rPr>
          <w:spacing w:val="20"/>
          <w:sz w:val="16"/>
        </w:rPr>
        <w:t>0</w:t>
      </w:r>
      <w:r>
        <w:rPr>
          <w:sz w:val="16"/>
        </w:rPr>
        <w:t xml:space="preserve"> </w:t>
      </w:r>
      <w:r>
        <w:rPr>
          <w:spacing w:val="20"/>
          <w:sz w:val="16"/>
        </w:rPr>
        <w:t>0</w:t>
      </w:r>
      <w:r>
        <w:rPr>
          <w:sz w:val="16"/>
        </w:rPr>
        <w:t xml:space="preserve"> </w:t>
      </w:r>
      <w:r>
        <w:rPr>
          <w:spacing w:val="20"/>
          <w:sz w:val="16"/>
        </w:rPr>
        <w:t>8</w:t>
      </w:r>
      <w:r>
        <w:rPr>
          <w:sz w:val="16"/>
        </w:rPr>
        <w:t xml:space="preserve"> .</w:t>
      </w:r>
      <w:r>
        <w:rPr>
          <w:spacing w:val="25"/>
          <w:sz w:val="16"/>
        </w:rPr>
        <w:t xml:space="preserve"> </w:t>
      </w:r>
      <w:r>
        <w:rPr>
          <w:spacing w:val="20"/>
          <w:sz w:val="16"/>
        </w:rPr>
        <w:t>D</w:t>
      </w:r>
      <w:r>
        <w:rPr>
          <w:sz w:val="16"/>
        </w:rPr>
        <w:t xml:space="preserve"> </w:t>
      </w:r>
      <w:r>
        <w:rPr>
          <w:spacing w:val="20"/>
          <w:sz w:val="16"/>
        </w:rPr>
        <w:t>i</w:t>
      </w:r>
      <w:r>
        <w:rPr>
          <w:sz w:val="16"/>
        </w:rPr>
        <w:t xml:space="preserve"> </w:t>
      </w:r>
      <w:r>
        <w:rPr>
          <w:spacing w:val="20"/>
          <w:sz w:val="16"/>
        </w:rPr>
        <w:t>s</w:t>
      </w:r>
      <w:r>
        <w:rPr>
          <w:sz w:val="16"/>
        </w:rPr>
        <w:t xml:space="preserve"> </w:t>
      </w:r>
      <w:r>
        <w:rPr>
          <w:spacing w:val="20"/>
          <w:sz w:val="16"/>
        </w:rPr>
        <w:t>p</w:t>
      </w:r>
      <w:r>
        <w:rPr>
          <w:sz w:val="16"/>
        </w:rPr>
        <w:t xml:space="preserve"> </w:t>
      </w:r>
      <w:r>
        <w:rPr>
          <w:spacing w:val="20"/>
          <w:sz w:val="16"/>
        </w:rPr>
        <w:t>o</w:t>
      </w:r>
      <w:r>
        <w:rPr>
          <w:sz w:val="16"/>
        </w:rPr>
        <w:t xml:space="preserve"> </w:t>
      </w:r>
      <w:r>
        <w:rPr>
          <w:spacing w:val="20"/>
          <w:sz w:val="16"/>
        </w:rPr>
        <w:t>n</w:t>
      </w:r>
      <w:r>
        <w:rPr>
          <w:sz w:val="16"/>
        </w:rPr>
        <w:t xml:space="preserve"> </w:t>
      </w:r>
      <w:r>
        <w:rPr>
          <w:spacing w:val="20"/>
          <w:sz w:val="16"/>
        </w:rPr>
        <w:t>í</w:t>
      </w:r>
      <w:r>
        <w:rPr>
          <w:sz w:val="16"/>
        </w:rPr>
        <w:t xml:space="preserve"> </w:t>
      </w:r>
      <w:r>
        <w:rPr>
          <w:spacing w:val="20"/>
          <w:sz w:val="16"/>
        </w:rPr>
        <w:t>v</w:t>
      </w:r>
      <w:r>
        <w:rPr>
          <w:sz w:val="16"/>
        </w:rPr>
        <w:t xml:space="preserve"> </w:t>
      </w:r>
      <w:r>
        <w:rPr>
          <w:spacing w:val="20"/>
          <w:sz w:val="16"/>
        </w:rPr>
        <w:t>e</w:t>
      </w:r>
      <w:r>
        <w:rPr>
          <w:sz w:val="16"/>
        </w:rPr>
        <w:t xml:space="preserve"> l</w:t>
      </w:r>
      <w:r>
        <w:rPr>
          <w:spacing w:val="25"/>
          <w:sz w:val="16"/>
        </w:rPr>
        <w:t xml:space="preserve"> </w:t>
      </w:r>
      <w:r>
        <w:rPr>
          <w:spacing w:val="20"/>
          <w:sz w:val="16"/>
        </w:rPr>
        <w:t>e</w:t>
      </w:r>
      <w:r>
        <w:rPr>
          <w:sz w:val="16"/>
        </w:rPr>
        <w:t xml:space="preserve"> </w:t>
      </w:r>
      <w:r>
        <w:rPr>
          <w:spacing w:val="20"/>
          <w:sz w:val="16"/>
        </w:rPr>
        <w:t>m</w:t>
      </w:r>
      <w:r>
        <w:rPr>
          <w:sz w:val="16"/>
        </w:rPr>
        <w:t xml:space="preserve"> :</w:t>
      </w:r>
      <w:r>
        <w:rPr>
          <w:spacing w:val="20"/>
          <w:sz w:val="16"/>
        </w:rPr>
        <w:t xml:space="preserve"> </w:t>
      </w:r>
    </w:p>
    <w:p w:rsidR="00D81F69" w:rsidRDefault="00D81F69">
      <w:pPr>
        <w:spacing w:before="4"/>
        <w:ind w:left="100"/>
        <w:jc w:val="both"/>
        <w:rPr>
          <w:sz w:val="16"/>
        </w:rPr>
      </w:pPr>
      <w:hyperlink r:id="rId251">
        <w:r w:rsidR="00330118">
          <w:rPr>
            <w:sz w:val="16"/>
          </w:rPr>
          <w:t>&lt;http://publique.rdc.pucrio.br/geopuc/media/Wanderley_geopuc03.pdf</w:t>
        </w:r>
      </w:hyperlink>
    </w:p>
    <w:p w:rsidR="00D81F69" w:rsidRDefault="00330118">
      <w:pPr>
        <w:spacing w:before="56"/>
        <w:ind w:left="100"/>
        <w:jc w:val="both"/>
        <w:rPr>
          <w:sz w:val="16"/>
        </w:rPr>
      </w:pPr>
      <w:r>
        <w:rPr>
          <w:sz w:val="16"/>
        </w:rPr>
        <w:t>&gt;. Acesso em: 03 dez. 2010.</w:t>
      </w:r>
    </w:p>
    <w:p w:rsidR="00D81F69" w:rsidRDefault="00D81F69">
      <w:pPr>
        <w:jc w:val="both"/>
        <w:rPr>
          <w:sz w:val="16"/>
        </w:rPr>
        <w:sectPr w:rsidR="00D81F69">
          <w:pgSz w:w="11900" w:h="16840"/>
          <w:pgMar w:top="740" w:right="460" w:bottom="720" w:left="620" w:header="0" w:footer="402" w:gutter="0"/>
          <w:cols w:num="2" w:space="720" w:equalWidth="0">
            <w:col w:w="5202" w:space="268"/>
            <w:col w:w="5350"/>
          </w:cols>
        </w:sectPr>
      </w:pPr>
    </w:p>
    <w:p w:rsidR="00D81F69" w:rsidRDefault="00330118">
      <w:pPr>
        <w:pStyle w:val="Heading1"/>
        <w:spacing w:line="208" w:lineRule="auto"/>
        <w:ind w:right="0"/>
      </w:pPr>
      <w:bookmarkStart w:id="25" w:name="_TOC_250008"/>
      <w:bookmarkEnd w:id="25"/>
      <w:r>
        <w:lastRenderedPageBreak/>
        <w:t>Mineração e beneficiamento de caulim afetam meio a</w:t>
      </w:r>
      <w:r>
        <w:t>mbiente na Amazônia Oriental</w:t>
      </w:r>
    </w:p>
    <w:p w:rsidR="00D81F69" w:rsidRDefault="00D81F69">
      <w:pPr>
        <w:pStyle w:val="Corpodetexto"/>
        <w:ind w:left="0"/>
        <w:jc w:val="left"/>
        <w:rPr>
          <w:b/>
          <w:sz w:val="20"/>
        </w:rPr>
      </w:pPr>
    </w:p>
    <w:p w:rsidR="00D81F69" w:rsidRDefault="00D81F69">
      <w:pPr>
        <w:rPr>
          <w:sz w:val="20"/>
        </w:rPr>
        <w:sectPr w:rsidR="00D81F69">
          <w:pgSz w:w="11900" w:h="16840"/>
          <w:pgMar w:top="1080" w:right="460" w:bottom="7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20"/>
        <w:rPr>
          <w:i/>
          <w:sz w:val="14"/>
        </w:rPr>
      </w:pPr>
      <w:r>
        <w:rPr>
          <w:i/>
          <w:sz w:val="14"/>
        </w:rPr>
        <w:t>PA - Barcarena PA - Moju</w:t>
      </w:r>
    </w:p>
    <w:p w:rsidR="00D81F69" w:rsidRDefault="00D81F69">
      <w:pPr>
        <w:pStyle w:val="Corpodetexto"/>
        <w:spacing w:before="4"/>
        <w:ind w:left="0"/>
        <w:jc w:val="left"/>
        <w:rPr>
          <w:i/>
        </w:rPr>
      </w:pPr>
    </w:p>
    <w:p w:rsidR="00D81F69" w:rsidRDefault="00330118">
      <w:pPr>
        <w:spacing w:before="1"/>
        <w:ind w:left="135"/>
        <w:rPr>
          <w:i/>
          <w:sz w:val="14"/>
        </w:rPr>
      </w:pPr>
      <w:r>
        <w:rPr>
          <w:i/>
          <w:sz w:val="14"/>
        </w:rPr>
        <w:t>LATITUDE</w:t>
      </w:r>
    </w:p>
    <w:p w:rsidR="00D81F69" w:rsidRDefault="00330118">
      <w:pPr>
        <w:spacing w:before="49"/>
        <w:ind w:left="135"/>
        <w:rPr>
          <w:i/>
          <w:sz w:val="14"/>
        </w:rPr>
      </w:pPr>
      <w:r>
        <w:rPr>
          <w:i/>
          <w:sz w:val="14"/>
        </w:rPr>
        <w:t>-1,5189</w:t>
      </w:r>
    </w:p>
    <w:p w:rsidR="00D81F69" w:rsidRDefault="00D81F69">
      <w:pPr>
        <w:pStyle w:val="Corpodetexto"/>
        <w:spacing w:before="5"/>
        <w:ind w:left="0"/>
        <w:jc w:val="left"/>
        <w:rPr>
          <w:i/>
          <w:sz w:val="22"/>
        </w:rPr>
      </w:pPr>
    </w:p>
    <w:p w:rsidR="00D81F69" w:rsidRDefault="00330118">
      <w:pPr>
        <w:spacing w:before="1"/>
        <w:ind w:left="135"/>
        <w:rPr>
          <w:i/>
          <w:sz w:val="14"/>
        </w:rPr>
      </w:pPr>
      <w:r>
        <w:rPr>
          <w:i/>
          <w:sz w:val="14"/>
        </w:rPr>
        <w:t>LONGITUDE</w:t>
      </w:r>
    </w:p>
    <w:p w:rsidR="00D81F69" w:rsidRDefault="00330118">
      <w:pPr>
        <w:spacing w:before="49"/>
        <w:ind w:left="135"/>
        <w:rPr>
          <w:i/>
          <w:sz w:val="14"/>
        </w:rPr>
      </w:pPr>
      <w:r>
        <w:rPr>
          <w:i/>
          <w:sz w:val="14"/>
        </w:rPr>
        <w:t>-48,617</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8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O Brasil possui as mais ricas reservas </w:t>
      </w:r>
      <w:r>
        <w:rPr>
          <w:i/>
          <w:sz w:val="16"/>
        </w:rPr>
        <w:t>de caulim do mundo. A maior parte delas concentra-se na Amazônia Oriental, sobretudo nos estados do Pará e do Amapá. Como toda atividade mineral, o caulim, se extraído em desrespeito à legislação ambiental e mineral do país, pode causar danos graves à saúd</w:t>
      </w:r>
      <w:r>
        <w:rPr>
          <w:i/>
          <w:sz w:val="16"/>
        </w:rPr>
        <w:t>e humana e ao meio ambiente.</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8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ind w:left="135"/>
        <w:jc w:val="left"/>
      </w:pPr>
      <w:r>
        <w:t>bilhões, no Amazonas (MONTEIRO, 2005b).</w:t>
      </w:r>
    </w:p>
    <w:p w:rsidR="00D81F69" w:rsidRDefault="00D81F69">
      <w:pPr>
        <w:pStyle w:val="Corpodetexto"/>
        <w:spacing w:before="8"/>
        <w:ind w:left="0"/>
        <w:jc w:val="left"/>
        <w:rPr>
          <w:sz w:val="16"/>
        </w:rPr>
      </w:pPr>
    </w:p>
    <w:p w:rsidR="00D81F69" w:rsidRDefault="00330118">
      <w:pPr>
        <w:pStyle w:val="Corpodetexto"/>
        <w:spacing w:before="1" w:line="312" w:lineRule="auto"/>
        <w:ind w:left="135" w:right="236"/>
      </w:pPr>
      <w:r>
        <w:t>Por suas proporções, as descobertas de caulim na Amazônia, já em meados da década de 1990, tiveram grande importância para as reservas brasileiras. Elas significaram um incremento de</w:t>
      </w:r>
      <w:r>
        <w:t xml:space="preserve"> 1,6 para 4,0 bilhões de toneladas de caulim (SILVA, 2001).</w:t>
      </w:r>
    </w:p>
    <w:p w:rsidR="00D81F69" w:rsidRDefault="00330118">
      <w:pPr>
        <w:pStyle w:val="Corpodetexto"/>
        <w:spacing w:before="134" w:line="312" w:lineRule="auto"/>
        <w:ind w:left="135" w:right="243"/>
      </w:pPr>
      <w:r>
        <w:t xml:space="preserve">As empresas de mineração voltadas para a exploração do caulim no Brasil se dividem, majoritariamente, em duas categorias, as de pequeno porte, e as de grande porte, que destinam sua produção para </w:t>
      </w:r>
      <w:r>
        <w:t>as indústrias de papel</w:t>
      </w:r>
    </w:p>
    <w:p w:rsidR="00D81F69" w:rsidRDefault="00D81F69">
      <w:pPr>
        <w:spacing w:line="312" w:lineRule="auto"/>
        <w:sectPr w:rsidR="00D81F69">
          <w:type w:val="continuous"/>
          <w:pgSz w:w="11900" w:h="16840"/>
          <w:pgMar w:top="720" w:right="460" w:bottom="280" w:left="620" w:header="720" w:footer="720" w:gutter="0"/>
          <w:cols w:num="3" w:space="720" w:equalWidth="0">
            <w:col w:w="1133" w:space="867"/>
            <w:col w:w="3123" w:space="312"/>
            <w:col w:w="5385"/>
          </w:cols>
        </w:sectPr>
      </w:pPr>
    </w:p>
    <w:p w:rsidR="00D81F69" w:rsidRDefault="00330118">
      <w:pPr>
        <w:pStyle w:val="Heading4"/>
        <w:spacing w:line="264" w:lineRule="exact"/>
      </w:pPr>
      <w:r>
        <w:lastRenderedPageBreak/>
        <w:t>APRESENTAÇÃO DE CASO</w:t>
      </w:r>
    </w:p>
    <w:p w:rsidR="00D81F69" w:rsidRDefault="00330118">
      <w:pPr>
        <w:pStyle w:val="Corpodetexto"/>
        <w:spacing w:before="170" w:line="312" w:lineRule="auto"/>
        <w:ind w:right="45"/>
      </w:pPr>
      <w:r>
        <w:t xml:space="preserve">O caulim é composto por um grupo de silicatos hidratados de </w:t>
      </w:r>
      <w:hyperlink r:id="rId252">
        <w:r>
          <w:rPr>
            <w:spacing w:val="1"/>
          </w:rPr>
          <w:t xml:space="preserve">alumínio, </w:t>
        </w:r>
      </w:hyperlink>
      <w:r>
        <w:rPr>
          <w:spacing w:val="1"/>
        </w:rPr>
        <w:t>principalmente cauli</w:t>
      </w:r>
      <w:r>
        <w:rPr>
          <w:spacing w:val="1"/>
        </w:rPr>
        <w:t xml:space="preserve">nita </w:t>
      </w:r>
      <w:r>
        <w:t xml:space="preserve">e </w:t>
      </w:r>
      <w:r>
        <w:rPr>
          <w:spacing w:val="1"/>
        </w:rPr>
        <w:t xml:space="preserve">haloisita, </w:t>
      </w:r>
      <w:r>
        <w:t xml:space="preserve">mas </w:t>
      </w:r>
      <w:r>
        <w:rPr>
          <w:spacing w:val="2"/>
        </w:rPr>
        <w:t xml:space="preserve">também </w:t>
      </w:r>
      <w:r>
        <w:t xml:space="preserve">pode conter os minerais do grupo da caulinita, como a diquita, </w:t>
      </w:r>
      <w:r>
        <w:rPr>
          <w:spacing w:val="3"/>
        </w:rPr>
        <w:t xml:space="preserve">nacrita, folerita, anauxita, colirita </w:t>
      </w:r>
      <w:r>
        <w:t xml:space="preserve">e </w:t>
      </w:r>
      <w:r>
        <w:rPr>
          <w:spacing w:val="3"/>
        </w:rPr>
        <w:t xml:space="preserve">tuesita. Apresenta </w:t>
      </w:r>
      <w:r>
        <w:rPr>
          <w:spacing w:val="5"/>
        </w:rPr>
        <w:t xml:space="preserve">cor branca, </w:t>
      </w:r>
      <w:r>
        <w:rPr>
          <w:spacing w:val="2"/>
        </w:rPr>
        <w:t xml:space="preserve">ou </w:t>
      </w:r>
      <w:r>
        <w:rPr>
          <w:spacing w:val="3"/>
        </w:rPr>
        <w:t xml:space="preserve">quase </w:t>
      </w:r>
      <w:r>
        <w:rPr>
          <w:spacing w:val="5"/>
        </w:rPr>
        <w:t xml:space="preserve">branca, devido </w:t>
      </w:r>
      <w:r>
        <w:rPr>
          <w:spacing w:val="2"/>
        </w:rPr>
        <w:t xml:space="preserve">ao </w:t>
      </w:r>
      <w:r>
        <w:rPr>
          <w:spacing w:val="3"/>
        </w:rPr>
        <w:t xml:space="preserve">baixo teor </w:t>
      </w:r>
      <w:r>
        <w:rPr>
          <w:spacing w:val="2"/>
        </w:rPr>
        <w:t xml:space="preserve">de </w:t>
      </w:r>
      <w:hyperlink r:id="rId253">
        <w:r>
          <w:rPr>
            <w:spacing w:val="5"/>
          </w:rPr>
          <w:t>ferro.</w:t>
        </w:r>
      </w:hyperlink>
      <w:r>
        <w:rPr>
          <w:spacing w:val="61"/>
        </w:rPr>
        <w:t xml:space="preserve"> </w:t>
      </w:r>
      <w:r>
        <w:t>Retirado de profundidades rasas, de até 10 metros, é um dos seis minerais mais abundantes da Terra, sendo considerado um dos mais importantes (SILVA, 2001).</w:t>
      </w:r>
    </w:p>
    <w:p w:rsidR="00D81F69" w:rsidRDefault="00330118">
      <w:pPr>
        <w:pStyle w:val="Corpodetexto"/>
        <w:spacing w:before="137" w:line="312" w:lineRule="auto"/>
        <w:ind w:right="38"/>
      </w:pPr>
      <w:r>
        <w:t>Era utilizando, originalmente, na fabricação de artigos cerâmicos e de porcelana. A partir da década de 1920, passou a ser aplicado na indústria de papel, e, depois, na fabricação de plásticos, pesticidas, rações, produtos alimentícios e farmacêuticos, fer</w:t>
      </w:r>
      <w:r>
        <w:t>tilizantes e outros. Hoje, o caulim tem uso abundante em vários produtos industriais, além dos já citados: nas pastas cerâmicas, fabricação de materiais refratários, borrachas, tintas, adesivos, cimentos, inseticidas, catalisadores, absorventes, dentifríci</w:t>
      </w:r>
      <w:r>
        <w:t>os, clarificantes, gesso, auxiliares de filtração, cosméticos, produtos químicos, detergentes e abrasivos, além de cargas e enchimentos para diversas finalidades (SILVA, 2001).</w:t>
      </w:r>
    </w:p>
    <w:p w:rsidR="00D81F69" w:rsidRDefault="00330118">
      <w:pPr>
        <w:pStyle w:val="Corpodetexto"/>
        <w:spacing w:before="141" w:line="312" w:lineRule="auto"/>
        <w:ind w:right="66"/>
      </w:pPr>
      <w:r>
        <w:t>A ligação entre o caulim e a indústria de papel é estreita: 45% da produção mun</w:t>
      </w:r>
      <w:r>
        <w:t xml:space="preserve">dial de caulim são destinadas à fabricação de papel. A demanda do mercado por caulim é, em </w:t>
      </w:r>
      <w:r>
        <w:rPr>
          <w:spacing w:val="1"/>
        </w:rPr>
        <w:t xml:space="preserve">grande </w:t>
      </w:r>
      <w:r>
        <w:rPr>
          <w:spacing w:val="3"/>
        </w:rPr>
        <w:t xml:space="preserve">parte, resultado </w:t>
      </w:r>
      <w:r>
        <w:rPr>
          <w:spacing w:val="1"/>
        </w:rPr>
        <w:t xml:space="preserve">do </w:t>
      </w:r>
      <w:r>
        <w:rPr>
          <w:spacing w:val="3"/>
        </w:rPr>
        <w:t xml:space="preserve">crescimento </w:t>
      </w:r>
      <w:r>
        <w:rPr>
          <w:spacing w:val="1"/>
        </w:rPr>
        <w:t xml:space="preserve">da </w:t>
      </w:r>
      <w:r>
        <w:rPr>
          <w:spacing w:val="3"/>
        </w:rPr>
        <w:t xml:space="preserve">produção mundial </w:t>
      </w:r>
      <w:r>
        <w:rPr>
          <w:spacing w:val="5"/>
        </w:rPr>
        <w:t xml:space="preserve">de </w:t>
      </w:r>
      <w:r>
        <w:t xml:space="preserve">papel. Isso tem claras repercussões na exploração das minas </w:t>
      </w:r>
      <w:r>
        <w:rPr>
          <w:spacing w:val="1"/>
        </w:rPr>
        <w:t xml:space="preserve">da </w:t>
      </w:r>
      <w:r>
        <w:rPr>
          <w:spacing w:val="3"/>
        </w:rPr>
        <w:t xml:space="preserve">Amazônia </w:t>
      </w:r>
      <w:r>
        <w:t xml:space="preserve">– </w:t>
      </w:r>
      <w:r>
        <w:rPr>
          <w:spacing w:val="1"/>
        </w:rPr>
        <w:t xml:space="preserve">lá </w:t>
      </w:r>
      <w:r>
        <w:t xml:space="preserve">a </w:t>
      </w:r>
      <w:r>
        <w:rPr>
          <w:spacing w:val="3"/>
        </w:rPr>
        <w:t xml:space="preserve">produção </w:t>
      </w:r>
      <w:r>
        <w:t xml:space="preserve">é </w:t>
      </w:r>
      <w:r>
        <w:rPr>
          <w:spacing w:val="3"/>
        </w:rPr>
        <w:t xml:space="preserve">também </w:t>
      </w:r>
      <w:r>
        <w:rPr>
          <w:spacing w:val="5"/>
        </w:rPr>
        <w:t xml:space="preserve">majoritariamente </w:t>
      </w:r>
      <w:r>
        <w:rPr>
          <w:spacing w:val="3"/>
        </w:rPr>
        <w:t xml:space="preserve">voltada </w:t>
      </w:r>
      <w:r>
        <w:rPr>
          <w:spacing w:val="2"/>
        </w:rPr>
        <w:t xml:space="preserve">para </w:t>
      </w:r>
      <w:r>
        <w:rPr>
          <w:spacing w:val="3"/>
        </w:rPr>
        <w:t xml:space="preserve">revestimento </w:t>
      </w:r>
      <w:r>
        <w:rPr>
          <w:spacing w:val="1"/>
        </w:rPr>
        <w:t xml:space="preserve">de </w:t>
      </w:r>
      <w:r>
        <w:rPr>
          <w:spacing w:val="3"/>
        </w:rPr>
        <w:t>papel (MONTEIRO,</w:t>
      </w:r>
      <w:r>
        <w:rPr>
          <w:spacing w:val="43"/>
        </w:rPr>
        <w:t xml:space="preserve"> </w:t>
      </w:r>
      <w:r>
        <w:rPr>
          <w:spacing w:val="5"/>
        </w:rPr>
        <w:t>2005a).</w:t>
      </w:r>
    </w:p>
    <w:p w:rsidR="00D81F69" w:rsidRDefault="00330118">
      <w:pPr>
        <w:pStyle w:val="Corpodetexto"/>
        <w:spacing w:before="137" w:line="312" w:lineRule="auto"/>
        <w:ind w:right="58"/>
      </w:pPr>
      <w:r>
        <w:t>As reservas mundiais de caulim são abundantes e de ampla distribuição geográfica; no entanto, 95% delas, que correspondem a 15 bilhões de toneladas, concentram-se distribuídas entre qua</w:t>
      </w:r>
      <w:r>
        <w:t>tro países: Estados Unidos (53%), Brasil (28%), Ucrânia (7%) e Índia (7%) (MARTÍRES, 2011).</w:t>
      </w:r>
    </w:p>
    <w:p w:rsidR="00D81F69" w:rsidRDefault="00330118">
      <w:pPr>
        <w:pStyle w:val="Corpodetexto"/>
        <w:spacing w:before="72" w:line="270" w:lineRule="atLeast"/>
        <w:ind w:right="64"/>
      </w:pPr>
      <w:r>
        <w:t>A Amazônia brasileira concentra as reservas brasileiras e pode oferecer algo em torno de 14,2 bilhões de toneladas de caulim, das quais, 0,76 bilhões de toneladas e</w:t>
      </w:r>
      <w:r>
        <w:t>stão em subsolo paraense; 0,36 milhões de toneladas, no Amapá; e 3</w:t>
      </w:r>
    </w:p>
    <w:p w:rsidR="00D81F69" w:rsidRDefault="00330118">
      <w:pPr>
        <w:pStyle w:val="Corpodetexto"/>
        <w:spacing w:before="4"/>
        <w:jc w:val="left"/>
      </w:pPr>
      <w:r>
        <w:br w:type="column"/>
      </w:r>
      <w:r>
        <w:rPr>
          <w:spacing w:val="10"/>
        </w:rPr>
        <w:lastRenderedPageBreak/>
        <w:t>(MARTÍRES,</w:t>
      </w:r>
      <w:r>
        <w:rPr>
          <w:spacing w:val="61"/>
        </w:rPr>
        <w:t xml:space="preserve"> </w:t>
      </w:r>
      <w:r>
        <w:rPr>
          <w:spacing w:val="11"/>
        </w:rPr>
        <w:t>2011).</w:t>
      </w:r>
    </w:p>
    <w:p w:rsidR="00D81F69" w:rsidRDefault="00D81F69">
      <w:pPr>
        <w:pStyle w:val="Corpodetexto"/>
        <w:spacing w:before="9"/>
        <w:ind w:left="0"/>
        <w:jc w:val="left"/>
        <w:rPr>
          <w:sz w:val="16"/>
        </w:rPr>
      </w:pPr>
    </w:p>
    <w:p w:rsidR="00D81F69" w:rsidRDefault="00330118">
      <w:pPr>
        <w:pStyle w:val="Corpodetexto"/>
        <w:spacing w:line="312" w:lineRule="auto"/>
        <w:ind w:right="223"/>
      </w:pPr>
      <w:r>
        <w:t xml:space="preserve">As maiores empresas produtoras do minério no Brasil são a </w:t>
      </w:r>
      <w:r>
        <w:rPr>
          <w:spacing w:val="5"/>
        </w:rPr>
        <w:t xml:space="preserve">Imerys </w:t>
      </w:r>
      <w:r>
        <w:rPr>
          <w:spacing w:val="3"/>
        </w:rPr>
        <w:t xml:space="preserve">Rio Capim </w:t>
      </w:r>
      <w:r>
        <w:rPr>
          <w:spacing w:val="5"/>
        </w:rPr>
        <w:t xml:space="preserve">Caulim </w:t>
      </w:r>
      <w:r>
        <w:rPr>
          <w:spacing w:val="3"/>
        </w:rPr>
        <w:t xml:space="preserve">SA, </w:t>
      </w:r>
      <w:r>
        <w:rPr>
          <w:spacing w:val="5"/>
        </w:rPr>
        <w:t xml:space="preserve">respondendo </w:t>
      </w:r>
      <w:r>
        <w:rPr>
          <w:spacing w:val="3"/>
        </w:rPr>
        <w:t xml:space="preserve">por 39% </w:t>
      </w:r>
      <w:r>
        <w:rPr>
          <w:spacing w:val="5"/>
        </w:rPr>
        <w:t xml:space="preserve">da </w:t>
      </w:r>
      <w:r>
        <w:rPr>
          <w:spacing w:val="3"/>
        </w:rPr>
        <w:t xml:space="preserve">produção, </w:t>
      </w:r>
      <w:r>
        <w:t xml:space="preserve">a </w:t>
      </w:r>
      <w:r>
        <w:rPr>
          <w:spacing w:val="3"/>
        </w:rPr>
        <w:t xml:space="preserve">Caulim </w:t>
      </w:r>
      <w:r>
        <w:rPr>
          <w:spacing w:val="1"/>
        </w:rPr>
        <w:t xml:space="preserve">da </w:t>
      </w:r>
      <w:r>
        <w:rPr>
          <w:spacing w:val="3"/>
        </w:rPr>
        <w:t xml:space="preserve">Amazônia </w:t>
      </w:r>
      <w:r>
        <w:rPr>
          <w:spacing w:val="1"/>
        </w:rPr>
        <w:t xml:space="preserve">SA </w:t>
      </w:r>
      <w:r>
        <w:rPr>
          <w:spacing w:val="3"/>
        </w:rPr>
        <w:t xml:space="preserve">(Cadam/Vale), </w:t>
      </w:r>
      <w:r>
        <w:rPr>
          <w:spacing w:val="5"/>
        </w:rPr>
        <w:t xml:space="preserve">com </w:t>
      </w:r>
      <w:r>
        <w:t>31%, e a</w:t>
      </w:r>
      <w:r>
        <w:t xml:space="preserve"> Pará Pigmentos SA (PPSA/Vale), com 24%. Outras empresas somam, juntas, cerca de 6% da extração. A Imerys é a maior produtora mundial de caulim, e dispõe de minas e </w:t>
      </w:r>
      <w:r>
        <w:rPr>
          <w:spacing w:val="1"/>
        </w:rPr>
        <w:t xml:space="preserve">usinas </w:t>
      </w:r>
      <w:r>
        <w:t xml:space="preserve">de </w:t>
      </w:r>
      <w:r>
        <w:rPr>
          <w:spacing w:val="1"/>
        </w:rPr>
        <w:t xml:space="preserve">beneficiamento para produção </w:t>
      </w:r>
      <w:r>
        <w:t xml:space="preserve">em </w:t>
      </w:r>
      <w:r>
        <w:rPr>
          <w:spacing w:val="1"/>
        </w:rPr>
        <w:t xml:space="preserve">vários </w:t>
      </w:r>
      <w:r>
        <w:rPr>
          <w:spacing w:val="2"/>
        </w:rPr>
        <w:t xml:space="preserve">países, </w:t>
      </w:r>
      <w:r>
        <w:t>inclusive no Brasil. A Cadam també</w:t>
      </w:r>
      <w:r>
        <w:t xml:space="preserve">m tem significativo papel no mercado mundial, com cerca de 9% de participação. Atua </w:t>
      </w:r>
      <w:r>
        <w:rPr>
          <w:spacing w:val="3"/>
        </w:rPr>
        <w:t xml:space="preserve">nos </w:t>
      </w:r>
      <w:r>
        <w:rPr>
          <w:spacing w:val="5"/>
        </w:rPr>
        <w:t xml:space="preserve">principais mercados produtores </w:t>
      </w:r>
      <w:r>
        <w:rPr>
          <w:spacing w:val="2"/>
        </w:rPr>
        <w:t xml:space="preserve">de </w:t>
      </w:r>
      <w:r>
        <w:rPr>
          <w:spacing w:val="5"/>
        </w:rPr>
        <w:t xml:space="preserve">papel, </w:t>
      </w:r>
      <w:r>
        <w:rPr>
          <w:spacing w:val="3"/>
        </w:rPr>
        <w:t xml:space="preserve">com </w:t>
      </w:r>
      <w:r>
        <w:rPr>
          <w:spacing w:val="6"/>
        </w:rPr>
        <w:t xml:space="preserve">boa </w:t>
      </w:r>
      <w:r>
        <w:rPr>
          <w:spacing w:val="1"/>
        </w:rPr>
        <w:t xml:space="preserve">dispersão geográfica </w:t>
      </w:r>
      <w:r>
        <w:t xml:space="preserve">de </w:t>
      </w:r>
      <w:r>
        <w:rPr>
          <w:spacing w:val="1"/>
        </w:rPr>
        <w:t xml:space="preserve">vendas. </w:t>
      </w:r>
      <w:r>
        <w:t xml:space="preserve">A </w:t>
      </w:r>
      <w:r>
        <w:rPr>
          <w:spacing w:val="1"/>
        </w:rPr>
        <w:t xml:space="preserve">Pará Pigmentos </w:t>
      </w:r>
      <w:r>
        <w:t xml:space="preserve">é </w:t>
      </w:r>
      <w:r>
        <w:rPr>
          <w:spacing w:val="2"/>
        </w:rPr>
        <w:t xml:space="preserve">uma </w:t>
      </w:r>
      <w:r>
        <w:rPr>
          <w:spacing w:val="10"/>
        </w:rPr>
        <w:t xml:space="preserve">empresa produtora </w:t>
      </w:r>
      <w:r>
        <w:rPr>
          <w:spacing w:val="5"/>
        </w:rPr>
        <w:t xml:space="preserve">de </w:t>
      </w:r>
      <w:r>
        <w:rPr>
          <w:spacing w:val="10"/>
        </w:rPr>
        <w:t xml:space="preserve">pigmentos </w:t>
      </w:r>
      <w:r>
        <w:t xml:space="preserve">à </w:t>
      </w:r>
      <w:r>
        <w:rPr>
          <w:spacing w:val="8"/>
        </w:rPr>
        <w:t xml:space="preserve">base </w:t>
      </w:r>
      <w:r>
        <w:rPr>
          <w:spacing w:val="5"/>
        </w:rPr>
        <w:t xml:space="preserve">de </w:t>
      </w:r>
      <w:r>
        <w:rPr>
          <w:spacing w:val="11"/>
        </w:rPr>
        <w:t xml:space="preserve">caulim, </w:t>
      </w:r>
      <w:r>
        <w:t xml:space="preserve">principalmente </w:t>
      </w:r>
      <w:r>
        <w:t>para a indústria mundial de papel (MARTÍRES, 2011).</w:t>
      </w:r>
    </w:p>
    <w:p w:rsidR="00D81F69" w:rsidRDefault="00330118">
      <w:pPr>
        <w:pStyle w:val="Corpodetexto"/>
        <w:spacing w:before="143" w:line="312" w:lineRule="auto"/>
        <w:ind w:right="235"/>
      </w:pPr>
      <w:r>
        <w:t xml:space="preserve">A </w:t>
      </w:r>
      <w:r>
        <w:rPr>
          <w:spacing w:val="5"/>
        </w:rPr>
        <w:t xml:space="preserve">produção </w:t>
      </w:r>
      <w:r>
        <w:rPr>
          <w:spacing w:val="2"/>
        </w:rPr>
        <w:t xml:space="preserve">do </w:t>
      </w:r>
      <w:r>
        <w:rPr>
          <w:spacing w:val="5"/>
        </w:rPr>
        <w:t xml:space="preserve">caulim </w:t>
      </w:r>
      <w:r>
        <w:rPr>
          <w:spacing w:val="3"/>
        </w:rPr>
        <w:t xml:space="preserve">tem </w:t>
      </w:r>
      <w:r>
        <w:rPr>
          <w:spacing w:val="5"/>
        </w:rPr>
        <w:t xml:space="preserve">início </w:t>
      </w:r>
      <w:r>
        <w:rPr>
          <w:spacing w:val="2"/>
        </w:rPr>
        <w:t xml:space="preserve">na </w:t>
      </w:r>
      <w:r>
        <w:rPr>
          <w:spacing w:val="5"/>
        </w:rPr>
        <w:t xml:space="preserve">extração, quando </w:t>
      </w:r>
      <w:r>
        <w:t>o minério é avaliado nas suas qualidades, e se estende até o beneficiamento e transporte dos resíduos. A lavra do minério pode ser feita manualmente, se</w:t>
      </w:r>
      <w:r>
        <w:t xml:space="preserve">mimecanizada ou totalmente mecanizada, podendo ser a céu aberto, subterrânea ou mista. Os impactos negativos do caulim ao meio ambiente se fazem sentir em todas as etapas de sua produção (WILLIAMS et al., </w:t>
      </w:r>
      <w:r>
        <w:rPr>
          <w:spacing w:val="3"/>
        </w:rPr>
        <w:t xml:space="preserve">1997 apud </w:t>
      </w:r>
      <w:r>
        <w:rPr>
          <w:spacing w:val="5"/>
        </w:rPr>
        <w:t xml:space="preserve">VIDAL, 2001). </w:t>
      </w:r>
      <w:r>
        <w:rPr>
          <w:spacing w:val="3"/>
        </w:rPr>
        <w:t xml:space="preserve">Esses </w:t>
      </w:r>
      <w:r>
        <w:rPr>
          <w:spacing w:val="5"/>
        </w:rPr>
        <w:t xml:space="preserve">impactos dependem da </w:t>
      </w:r>
      <w:r>
        <w:t xml:space="preserve">característica de sua extração, do tratamento por que passa e das </w:t>
      </w:r>
      <w:r>
        <w:rPr>
          <w:spacing w:val="1"/>
        </w:rPr>
        <w:t xml:space="preserve">técnicas utilizadas </w:t>
      </w:r>
      <w:r>
        <w:t xml:space="preserve">ao </w:t>
      </w:r>
      <w:r>
        <w:rPr>
          <w:spacing w:val="1"/>
        </w:rPr>
        <w:t xml:space="preserve">longo </w:t>
      </w:r>
      <w:r>
        <w:t xml:space="preserve">de </w:t>
      </w:r>
      <w:r>
        <w:rPr>
          <w:spacing w:val="1"/>
        </w:rPr>
        <w:t xml:space="preserve">todo </w:t>
      </w:r>
      <w:r>
        <w:t xml:space="preserve">o </w:t>
      </w:r>
      <w:r>
        <w:rPr>
          <w:spacing w:val="1"/>
        </w:rPr>
        <w:t xml:space="preserve">processo. </w:t>
      </w:r>
      <w:r>
        <w:rPr>
          <w:spacing w:val="2"/>
        </w:rPr>
        <w:t xml:space="preserve">Cada </w:t>
      </w:r>
      <w:r>
        <w:rPr>
          <w:spacing w:val="5"/>
        </w:rPr>
        <w:t xml:space="preserve">uma </w:t>
      </w:r>
      <w:r>
        <w:rPr>
          <w:spacing w:val="7"/>
        </w:rPr>
        <w:t xml:space="preserve">dessas variáveis requer </w:t>
      </w:r>
      <w:r>
        <w:rPr>
          <w:spacing w:val="8"/>
        </w:rPr>
        <w:t xml:space="preserve">diferentes </w:t>
      </w:r>
      <w:r>
        <w:rPr>
          <w:spacing w:val="7"/>
        </w:rPr>
        <w:t xml:space="preserve">medidas </w:t>
      </w:r>
      <w:r>
        <w:rPr>
          <w:spacing w:val="10"/>
        </w:rPr>
        <w:t xml:space="preserve">para </w:t>
      </w:r>
      <w:r>
        <w:t xml:space="preserve">recuperação do ambiente (LOPES, 1998 apud VIDAL, 2001). A </w:t>
      </w:r>
      <w:r>
        <w:rPr>
          <w:spacing w:val="3"/>
        </w:rPr>
        <w:t xml:space="preserve">indústria </w:t>
      </w:r>
      <w:r>
        <w:rPr>
          <w:spacing w:val="1"/>
        </w:rPr>
        <w:t xml:space="preserve">do </w:t>
      </w:r>
      <w:r>
        <w:rPr>
          <w:spacing w:val="3"/>
        </w:rPr>
        <w:t xml:space="preserve">caulim libera </w:t>
      </w:r>
      <w:r>
        <w:rPr>
          <w:spacing w:val="2"/>
        </w:rPr>
        <w:t xml:space="preserve">uma </w:t>
      </w:r>
      <w:r>
        <w:rPr>
          <w:spacing w:val="3"/>
        </w:rPr>
        <w:t xml:space="preserve">quantidade excessiva </w:t>
      </w:r>
      <w:r>
        <w:rPr>
          <w:spacing w:val="5"/>
        </w:rPr>
        <w:t xml:space="preserve">de </w:t>
      </w:r>
      <w:r>
        <w:t>particulados em pó, gerados durante o transporte de matéria bruta</w:t>
      </w:r>
      <w:r>
        <w:rPr>
          <w:spacing w:val="10"/>
        </w:rPr>
        <w:t xml:space="preserve"> </w:t>
      </w:r>
      <w:r>
        <w:t>do</w:t>
      </w:r>
      <w:r>
        <w:rPr>
          <w:spacing w:val="10"/>
        </w:rPr>
        <w:t xml:space="preserve"> </w:t>
      </w:r>
      <w:r>
        <w:t>minério</w:t>
      </w:r>
      <w:r>
        <w:rPr>
          <w:spacing w:val="10"/>
        </w:rPr>
        <w:t xml:space="preserve"> </w:t>
      </w:r>
      <w:r>
        <w:t>e</w:t>
      </w:r>
      <w:r>
        <w:rPr>
          <w:spacing w:val="10"/>
        </w:rPr>
        <w:t xml:space="preserve"> </w:t>
      </w:r>
      <w:r>
        <w:t>dos</w:t>
      </w:r>
      <w:r>
        <w:rPr>
          <w:spacing w:val="10"/>
        </w:rPr>
        <w:t xml:space="preserve"> </w:t>
      </w:r>
      <w:r>
        <w:t>resíduos</w:t>
      </w:r>
      <w:r>
        <w:rPr>
          <w:spacing w:val="10"/>
        </w:rPr>
        <w:t xml:space="preserve"> </w:t>
      </w:r>
      <w:r>
        <w:t>sólidos</w:t>
      </w:r>
      <w:r>
        <w:rPr>
          <w:spacing w:val="10"/>
        </w:rPr>
        <w:t xml:space="preserve"> </w:t>
      </w:r>
      <w:r>
        <w:t>(VIDAL,</w:t>
      </w:r>
      <w:r>
        <w:rPr>
          <w:spacing w:val="10"/>
        </w:rPr>
        <w:t xml:space="preserve"> </w:t>
      </w:r>
      <w:r>
        <w:t>2001).</w:t>
      </w:r>
    </w:p>
    <w:p w:rsidR="00D81F69" w:rsidRDefault="00330118">
      <w:pPr>
        <w:pStyle w:val="Corpodetexto"/>
        <w:spacing w:before="81" w:line="270" w:lineRule="atLeast"/>
        <w:ind w:right="186"/>
        <w:jc w:val="left"/>
      </w:pPr>
      <w:r>
        <w:t>O município paraense de Barcarena — com 1.310,330 km² de área e 99.859 habitantes (IBGE, 2010a) — o</w:t>
      </w:r>
      <w:r>
        <w:t>nde a Imerys faz sua extração, sofreu impactos ambientais algumas vezes. Em 2007, houve um enorme vazamento de caulim, que acabou se tornando o maior acidente industrial com danos ambientais já registrado na Amazônia. O vazamento foi causado por uma ruptur</w:t>
      </w:r>
      <w:r>
        <w:t>a no depósito dos dejetos da fábrica, que somado ao fluxo usual da empresa, contaminou rios e riachos da área. O</w:t>
      </w:r>
    </w:p>
    <w:p w:rsidR="00D81F69" w:rsidRDefault="00D81F69">
      <w:pPr>
        <w:spacing w:line="270" w:lineRule="atLeast"/>
        <w:sectPr w:rsidR="00D81F69">
          <w:type w:val="continuous"/>
          <w:pgSz w:w="11900" w:h="16840"/>
          <w:pgMar w:top="720" w:right="460" w:bottom="280" w:left="620" w:header="720" w:footer="720" w:gutter="0"/>
          <w:cols w:num="2" w:space="720" w:equalWidth="0">
            <w:col w:w="5166" w:space="304"/>
            <w:col w:w="5350"/>
          </w:cols>
        </w:sectPr>
      </w:pPr>
    </w:p>
    <w:p w:rsidR="00D81F69" w:rsidRDefault="00330118">
      <w:pPr>
        <w:pStyle w:val="Corpodetexto"/>
        <w:spacing w:before="81" w:line="312" w:lineRule="auto"/>
        <w:ind w:right="57"/>
      </w:pPr>
      <w:r>
        <w:lastRenderedPageBreak/>
        <w:t>informe técnico do Ministério da Saúde relatou “impactos ambientais gravíssimos”, devido à alta contaminação da água</w:t>
      </w:r>
      <w:r>
        <w:t xml:space="preserve"> (PINTO, 2007).</w:t>
      </w:r>
    </w:p>
    <w:p w:rsidR="00D81F69" w:rsidRDefault="00330118">
      <w:pPr>
        <w:pStyle w:val="Corpodetexto"/>
        <w:spacing w:before="133" w:line="312" w:lineRule="auto"/>
        <w:ind w:right="42"/>
      </w:pPr>
      <w:r>
        <w:t>O desastre foi considerado uma tragédia anunciada. Em agosto de 2006, a empresa havia sido alertada sobre uma fissura naquele mesmo depósito, mas não providenciou consertos. Em julho de 2007, aconteceu o grande vazamento, ocasionando o isol</w:t>
      </w:r>
      <w:r>
        <w:t>amento do local e a proibição do uso da água. A Imerys teve suas atividades suspensas parcial e temporariamente pelas autoridades, por não ter evitado o acidente (PINTO, 2007).</w:t>
      </w:r>
    </w:p>
    <w:p w:rsidR="00D81F69" w:rsidRDefault="00330118">
      <w:pPr>
        <w:pStyle w:val="Corpodetexto"/>
        <w:spacing w:before="137" w:line="312" w:lineRule="auto"/>
        <w:ind w:right="38"/>
      </w:pPr>
      <w:r>
        <w:t xml:space="preserve">O informe ministerial atribuiu, ainda, parte do desastre à uma </w:t>
      </w:r>
      <w:r>
        <w:rPr>
          <w:spacing w:val="3"/>
        </w:rPr>
        <w:t xml:space="preserve">usina </w:t>
      </w:r>
      <w:r>
        <w:rPr>
          <w:spacing w:val="2"/>
        </w:rPr>
        <w:t xml:space="preserve">de </w:t>
      </w:r>
      <w:r>
        <w:rPr>
          <w:spacing w:val="5"/>
        </w:rPr>
        <w:t>tratame</w:t>
      </w:r>
      <w:r>
        <w:rPr>
          <w:spacing w:val="5"/>
        </w:rPr>
        <w:t xml:space="preserve">nto </w:t>
      </w:r>
      <w:r>
        <w:rPr>
          <w:spacing w:val="3"/>
        </w:rPr>
        <w:t xml:space="preserve">dos </w:t>
      </w:r>
      <w:r>
        <w:rPr>
          <w:spacing w:val="5"/>
        </w:rPr>
        <w:t xml:space="preserve">resíduos </w:t>
      </w:r>
      <w:r>
        <w:rPr>
          <w:spacing w:val="2"/>
        </w:rPr>
        <w:t xml:space="preserve">na </w:t>
      </w:r>
      <w:r>
        <w:rPr>
          <w:spacing w:val="3"/>
        </w:rPr>
        <w:t xml:space="preserve">área. </w:t>
      </w:r>
      <w:r>
        <w:t xml:space="preserve">A </w:t>
      </w:r>
      <w:r>
        <w:rPr>
          <w:spacing w:val="5"/>
        </w:rPr>
        <w:t>suspensão</w:t>
      </w:r>
      <w:r>
        <w:rPr>
          <w:spacing w:val="61"/>
        </w:rPr>
        <w:t xml:space="preserve"> </w:t>
      </w:r>
      <w:r>
        <w:t xml:space="preserve">acabou tendo repercussão internacional, devido à importância da empresa no mercado mundial. A companhia minimizou os efeitos do acidente. A fim de evitar a repercussão negativa, </w:t>
      </w:r>
      <w:r>
        <w:rPr>
          <w:spacing w:val="2"/>
        </w:rPr>
        <w:t xml:space="preserve">seus </w:t>
      </w:r>
      <w:r>
        <w:rPr>
          <w:spacing w:val="3"/>
        </w:rPr>
        <w:t xml:space="preserve">representantes asseguraram </w:t>
      </w:r>
      <w:r>
        <w:rPr>
          <w:spacing w:val="2"/>
        </w:rPr>
        <w:t xml:space="preserve">que </w:t>
      </w:r>
      <w:r>
        <w:t xml:space="preserve">o </w:t>
      </w:r>
      <w:r>
        <w:rPr>
          <w:spacing w:val="3"/>
        </w:rPr>
        <w:t>ma</w:t>
      </w:r>
      <w:r>
        <w:rPr>
          <w:spacing w:val="3"/>
        </w:rPr>
        <w:t xml:space="preserve">terial, </w:t>
      </w:r>
      <w:r>
        <w:rPr>
          <w:spacing w:val="2"/>
        </w:rPr>
        <w:t xml:space="preserve">por </w:t>
      </w:r>
      <w:r>
        <w:rPr>
          <w:spacing w:val="5"/>
        </w:rPr>
        <w:t xml:space="preserve">ser </w:t>
      </w:r>
      <w:r>
        <w:rPr>
          <w:spacing w:val="3"/>
        </w:rPr>
        <w:t xml:space="preserve">inerte </w:t>
      </w:r>
      <w:r>
        <w:t xml:space="preserve">e </w:t>
      </w:r>
      <w:r>
        <w:rPr>
          <w:spacing w:val="2"/>
        </w:rPr>
        <w:t xml:space="preserve">não </w:t>
      </w:r>
      <w:r>
        <w:rPr>
          <w:spacing w:val="3"/>
        </w:rPr>
        <w:t xml:space="preserve">conter produtos químicos, afetaria apenas </w:t>
      </w:r>
      <w:r>
        <w:rPr>
          <w:spacing w:val="5"/>
        </w:rPr>
        <w:t xml:space="preserve">as águas </w:t>
      </w:r>
      <w:r>
        <w:rPr>
          <w:spacing w:val="2"/>
        </w:rPr>
        <w:t xml:space="preserve">de </w:t>
      </w:r>
      <w:r>
        <w:rPr>
          <w:spacing w:val="5"/>
        </w:rPr>
        <w:t xml:space="preserve">drenagem mais próximas, dispersando-se </w:t>
      </w:r>
      <w:r>
        <w:rPr>
          <w:spacing w:val="6"/>
        </w:rPr>
        <w:t xml:space="preserve">em </w:t>
      </w:r>
      <w:r>
        <w:rPr>
          <w:spacing w:val="3"/>
        </w:rPr>
        <w:t xml:space="preserve">seguida, </w:t>
      </w:r>
      <w:r>
        <w:rPr>
          <w:spacing w:val="2"/>
        </w:rPr>
        <w:t xml:space="preserve">sem </w:t>
      </w:r>
      <w:r>
        <w:rPr>
          <w:spacing w:val="3"/>
        </w:rPr>
        <w:t>prejudicar organismos vivos (PINTO,</w:t>
      </w:r>
      <w:r>
        <w:rPr>
          <w:spacing w:val="2"/>
        </w:rPr>
        <w:t xml:space="preserve"> </w:t>
      </w:r>
      <w:r>
        <w:rPr>
          <w:spacing w:val="5"/>
        </w:rPr>
        <w:t>2007).</w:t>
      </w:r>
    </w:p>
    <w:p w:rsidR="00D81F69" w:rsidRDefault="00330118">
      <w:pPr>
        <w:pStyle w:val="Corpodetexto"/>
        <w:spacing w:before="138" w:line="312" w:lineRule="auto"/>
        <w:ind w:right="53"/>
      </w:pPr>
      <w:r>
        <w:t>A empresa alegou ainda, em sua defesa, que a água esbranquiçada era consequ</w:t>
      </w:r>
      <w:r>
        <w:t>ência da coloração naturalmente branca do caulim, e que, apesar da cor, o vazamento não teria causado danos ambientais que não pudessem ser rapidamente revertidos. Os efeitos do vazamento na água se restringiriam à cor e ao sabor, sem incorrer em riscos ma</w:t>
      </w:r>
      <w:r>
        <w:t>is sérios à saúde humana. Na nota que divulgou, a Imerys lamentava o acidente e informava que o vazamento havia sido controlado, afirmando que, em uma semana, o produto químico já teria sido dispersado pelas marés (PORTAL GLOBO G1, 2007).</w:t>
      </w:r>
    </w:p>
    <w:p w:rsidR="00D81F69" w:rsidRDefault="00330118">
      <w:pPr>
        <w:pStyle w:val="Corpodetexto"/>
        <w:spacing w:before="140" w:line="312" w:lineRule="auto"/>
        <w:ind w:right="38"/>
      </w:pPr>
      <w:r>
        <w:t>A empresa alegou, ainda, que a quantidade de reagentes químicos que chegavam às suas bacias era insignificante, sendo rigidamente controlada, obedecendo à legislação ambiental vigente e às práticas internacionais das indústrias produtoras de caulim. A util</w:t>
      </w:r>
      <w:r>
        <w:t>ização de reagentes químicos na produção do minério, devido a esse controle, não ofereceria risco algum à saúde da população local. A empresa afirmou, na ocasião, não ter havido registro de mortandade de peixes nem danos à vegetação das margens dos rios (O</w:t>
      </w:r>
      <w:r>
        <w:t xml:space="preserve"> LIBERAL, 2007).</w:t>
      </w:r>
    </w:p>
    <w:p w:rsidR="00D81F69" w:rsidRDefault="00330118">
      <w:pPr>
        <w:pStyle w:val="Corpodetexto"/>
        <w:spacing w:before="140" w:line="312" w:lineRule="auto"/>
        <w:ind w:right="53"/>
      </w:pPr>
      <w:r>
        <w:t>No entanto, estudos do Instituto Evandro Chagas (IEC) constataram não só o vazamento de caulim da bacia 3 da fábrica, mas grandes danos à vida dos igarapés Curuperé e Dendê, em função dos rejeitos despejados nos últimos anos nas bacias e l</w:t>
      </w:r>
      <w:r>
        <w:t>ençóis freáticos de Vila do Conde. Ali, por causa dos efluentes ácidos jogados nos igarapés, o pH da água teria chegado a 2,5, nível em que nenhum microorganismo sobrevive (O LIBERAL, 2007).</w:t>
      </w:r>
    </w:p>
    <w:p w:rsidR="00D81F69" w:rsidRDefault="00330118">
      <w:pPr>
        <w:pStyle w:val="Corpodetexto"/>
        <w:spacing w:before="74" w:line="270" w:lineRule="atLeast"/>
        <w:ind w:right="47"/>
      </w:pPr>
      <w:r>
        <w:rPr>
          <w:spacing w:val="12"/>
        </w:rPr>
        <w:t xml:space="preserve">Verificou-se </w:t>
      </w:r>
      <w:r>
        <w:rPr>
          <w:spacing w:val="11"/>
        </w:rPr>
        <w:t xml:space="preserve">também </w:t>
      </w:r>
      <w:r>
        <w:rPr>
          <w:spacing w:val="10"/>
        </w:rPr>
        <w:t xml:space="preserve">que </w:t>
      </w:r>
      <w:r>
        <w:t xml:space="preserve">o </w:t>
      </w:r>
      <w:r>
        <w:rPr>
          <w:spacing w:val="12"/>
        </w:rPr>
        <w:t xml:space="preserve">acidente projetara </w:t>
      </w:r>
      <w:r>
        <w:rPr>
          <w:spacing w:val="15"/>
        </w:rPr>
        <w:t xml:space="preserve">alta </w:t>
      </w:r>
      <w:r>
        <w:t>concentração de</w:t>
      </w:r>
      <w:r>
        <w:t xml:space="preserve"> bário e ferro nos rios que cercavam a Vila do Conde, no mesmo município. Segundo o Instituto Brasileiro  </w:t>
      </w:r>
      <w:r>
        <w:rPr>
          <w:spacing w:val="2"/>
        </w:rPr>
        <w:t xml:space="preserve">do </w:t>
      </w:r>
      <w:r>
        <w:rPr>
          <w:spacing w:val="3"/>
        </w:rPr>
        <w:t xml:space="preserve">Meio </w:t>
      </w:r>
      <w:r>
        <w:rPr>
          <w:spacing w:val="5"/>
        </w:rPr>
        <w:t xml:space="preserve">Ambiente </w:t>
      </w:r>
      <w:r>
        <w:t xml:space="preserve">e </w:t>
      </w:r>
      <w:r>
        <w:rPr>
          <w:spacing w:val="3"/>
        </w:rPr>
        <w:t xml:space="preserve">dos </w:t>
      </w:r>
      <w:r>
        <w:rPr>
          <w:spacing w:val="5"/>
        </w:rPr>
        <w:t xml:space="preserve">Recursos Naturais Renováveis </w:t>
      </w:r>
      <w:r>
        <w:rPr>
          <w:spacing w:val="1"/>
        </w:rPr>
        <w:t xml:space="preserve">(Ibama), </w:t>
      </w:r>
      <w:r>
        <w:t xml:space="preserve">em </w:t>
      </w:r>
      <w:r>
        <w:rPr>
          <w:spacing w:val="1"/>
        </w:rPr>
        <w:t xml:space="preserve">fiscalizações </w:t>
      </w:r>
      <w:r>
        <w:t xml:space="preserve">nos </w:t>
      </w:r>
      <w:r>
        <w:rPr>
          <w:spacing w:val="1"/>
        </w:rPr>
        <w:t xml:space="preserve">anos </w:t>
      </w:r>
      <w:r>
        <w:t xml:space="preserve">de </w:t>
      </w:r>
      <w:r>
        <w:rPr>
          <w:spacing w:val="1"/>
        </w:rPr>
        <w:t xml:space="preserve">2009 </w:t>
      </w:r>
      <w:r>
        <w:t xml:space="preserve">e </w:t>
      </w:r>
      <w:r>
        <w:rPr>
          <w:spacing w:val="1"/>
        </w:rPr>
        <w:t>2010</w:t>
      </w:r>
      <w:r>
        <w:rPr>
          <w:spacing w:val="42"/>
        </w:rPr>
        <w:t xml:space="preserve"> </w:t>
      </w:r>
      <w:r>
        <w:rPr>
          <w:spacing w:val="2"/>
        </w:rPr>
        <w:t>foram</w:t>
      </w:r>
    </w:p>
    <w:p w:rsidR="00D81F69" w:rsidRDefault="00330118">
      <w:pPr>
        <w:pStyle w:val="Corpodetexto"/>
        <w:spacing w:before="81" w:line="312" w:lineRule="auto"/>
        <w:ind w:right="246"/>
      </w:pPr>
      <w:r>
        <w:br w:type="column"/>
      </w:r>
      <w:r>
        <w:lastRenderedPageBreak/>
        <w:t>expedidas multas que somam R$ 27 milhões para as outras empresas da região, Alunorte e Pará Pigmentos SA. As multas foram determinadas porque as duas empresas estariam com as bacias de contenção dos rejeitos tóxicos prestes a transbordar (BRITO, 2011).</w:t>
      </w:r>
    </w:p>
    <w:p w:rsidR="00D81F69" w:rsidRDefault="00330118">
      <w:pPr>
        <w:pStyle w:val="Corpodetexto"/>
        <w:spacing w:before="134" w:line="312" w:lineRule="auto"/>
        <w:ind w:right="236"/>
      </w:pPr>
      <w:r>
        <w:t xml:space="preserve">O </w:t>
      </w:r>
      <w:r>
        <w:rPr>
          <w:spacing w:val="3"/>
        </w:rPr>
        <w:t>v</w:t>
      </w:r>
      <w:r>
        <w:rPr>
          <w:spacing w:val="3"/>
        </w:rPr>
        <w:t xml:space="preserve">azamento </w:t>
      </w:r>
      <w:r>
        <w:rPr>
          <w:spacing w:val="1"/>
        </w:rPr>
        <w:t xml:space="preserve">de </w:t>
      </w:r>
      <w:r>
        <w:rPr>
          <w:spacing w:val="2"/>
        </w:rPr>
        <w:t xml:space="preserve">2007 faz </w:t>
      </w:r>
      <w:r>
        <w:rPr>
          <w:spacing w:val="3"/>
        </w:rPr>
        <w:t xml:space="preserve">lembrar quase </w:t>
      </w:r>
      <w:r>
        <w:rPr>
          <w:spacing w:val="2"/>
        </w:rPr>
        <w:t xml:space="preserve">uma </w:t>
      </w:r>
      <w:r>
        <w:rPr>
          <w:spacing w:val="3"/>
        </w:rPr>
        <w:t xml:space="preserve">dezena </w:t>
      </w:r>
      <w:r>
        <w:rPr>
          <w:spacing w:val="5"/>
        </w:rPr>
        <w:t xml:space="preserve">de </w:t>
      </w:r>
      <w:r>
        <w:rPr>
          <w:spacing w:val="7"/>
        </w:rPr>
        <w:t xml:space="preserve">desastres </w:t>
      </w:r>
      <w:r>
        <w:rPr>
          <w:spacing w:val="5"/>
        </w:rPr>
        <w:t xml:space="preserve">de </w:t>
      </w:r>
      <w:r>
        <w:rPr>
          <w:spacing w:val="8"/>
        </w:rPr>
        <w:t xml:space="preserve">vazamentos </w:t>
      </w:r>
      <w:r>
        <w:rPr>
          <w:spacing w:val="5"/>
        </w:rPr>
        <w:t xml:space="preserve">de </w:t>
      </w:r>
      <w:r>
        <w:rPr>
          <w:spacing w:val="7"/>
        </w:rPr>
        <w:t xml:space="preserve">caulim </w:t>
      </w:r>
      <w:r>
        <w:t xml:space="preserve">e </w:t>
      </w:r>
      <w:r>
        <w:rPr>
          <w:spacing w:val="6"/>
        </w:rPr>
        <w:t xml:space="preserve">seus </w:t>
      </w:r>
      <w:r>
        <w:rPr>
          <w:spacing w:val="7"/>
        </w:rPr>
        <w:t xml:space="preserve">efeitos </w:t>
      </w:r>
      <w:r>
        <w:rPr>
          <w:spacing w:val="10"/>
        </w:rPr>
        <w:t xml:space="preserve">às </w:t>
      </w:r>
      <w:r>
        <w:t xml:space="preserve">populações locais. Há um histórico deles naquela região. O primeiro, apontado pelo sindicato dos químicos de Barcarena, </w:t>
      </w:r>
      <w:r>
        <w:rPr>
          <w:spacing w:val="10"/>
        </w:rPr>
        <w:t xml:space="preserve">data </w:t>
      </w:r>
      <w:r>
        <w:rPr>
          <w:spacing w:val="6"/>
        </w:rPr>
        <w:t xml:space="preserve">de </w:t>
      </w:r>
      <w:r>
        <w:rPr>
          <w:spacing w:val="11"/>
        </w:rPr>
        <w:t xml:space="preserve">2003, época </w:t>
      </w:r>
      <w:r>
        <w:rPr>
          <w:spacing w:val="6"/>
        </w:rPr>
        <w:t xml:space="preserve">em </w:t>
      </w:r>
      <w:r>
        <w:rPr>
          <w:spacing w:val="10"/>
        </w:rPr>
        <w:t xml:space="preserve">que </w:t>
      </w:r>
      <w:r>
        <w:rPr>
          <w:spacing w:val="6"/>
        </w:rPr>
        <w:t xml:space="preserve">já </w:t>
      </w:r>
      <w:r>
        <w:rPr>
          <w:spacing w:val="11"/>
        </w:rPr>
        <w:t>havia</w:t>
      </w:r>
      <w:r>
        <w:rPr>
          <w:spacing w:val="11"/>
        </w:rPr>
        <w:t xml:space="preserve"> </w:t>
      </w:r>
      <w:r>
        <w:rPr>
          <w:spacing w:val="12"/>
        </w:rPr>
        <w:t xml:space="preserve">indícios </w:t>
      </w:r>
      <w:r>
        <w:rPr>
          <w:spacing w:val="6"/>
        </w:rPr>
        <w:t xml:space="preserve">de </w:t>
      </w:r>
      <w:r>
        <w:rPr>
          <w:spacing w:val="1"/>
        </w:rPr>
        <w:t xml:space="preserve">contaminação </w:t>
      </w:r>
      <w:r>
        <w:t xml:space="preserve">do </w:t>
      </w:r>
      <w:r>
        <w:rPr>
          <w:spacing w:val="1"/>
        </w:rPr>
        <w:t xml:space="preserve">lençol freático pelos rejeitos </w:t>
      </w:r>
      <w:r>
        <w:t xml:space="preserve">do </w:t>
      </w:r>
      <w:r>
        <w:rPr>
          <w:spacing w:val="1"/>
        </w:rPr>
        <w:t xml:space="preserve">caulim </w:t>
      </w:r>
      <w:r>
        <w:t xml:space="preserve">– entre eles, o </w:t>
      </w:r>
      <w:hyperlink r:id="rId254">
        <w:r>
          <w:t xml:space="preserve">cádmio, </w:t>
        </w:r>
      </w:hyperlink>
      <w:r>
        <w:t>substância que pode causar problemas sérios à saúde humana (MAPA DA INJU</w:t>
      </w:r>
      <w:r>
        <w:t>STIÇA AMBIENTAL  E SAÚDE NO BRASIL,</w:t>
      </w:r>
      <w:r>
        <w:rPr>
          <w:spacing w:val="42"/>
        </w:rPr>
        <w:t xml:space="preserve"> </w:t>
      </w:r>
      <w:r>
        <w:t>2009a).</w:t>
      </w:r>
    </w:p>
    <w:p w:rsidR="00D81F69" w:rsidRDefault="00330118">
      <w:pPr>
        <w:pStyle w:val="Corpodetexto"/>
        <w:spacing w:before="139" w:line="312" w:lineRule="auto"/>
        <w:ind w:right="223"/>
      </w:pPr>
      <w:r>
        <w:t>Em 2008, mais um vazamento afetou Barcarena, desta vez atingindo os rios das Cobras, igarapés Cureperé, Dendê e São João, além da praia de Vila do Conde. Mais uma vez, as águas amanheceram manchadas e poluídas, o</w:t>
      </w:r>
      <w:r>
        <w:t xml:space="preserve"> que inspirou a visita de técnicos da Secretaria de Estado de Meio Ambiente (Sema), para avaliar a extensão dos danos causados. Também desta vez o vazamento foi provocado pela fábrica da empresa Imerys Rio Capim Caulim. Segundo a diretoria do Centro Comuni</w:t>
      </w:r>
      <w:r>
        <w:t>tário de Vila do Conde, barraqueiros, pescadores e agricultores ficaram impedidos de usar as águas da bacia da região (PORTAL ORM, 2008).</w:t>
      </w:r>
    </w:p>
    <w:p w:rsidR="00D81F69" w:rsidRDefault="00330118">
      <w:pPr>
        <w:pStyle w:val="Corpodetexto"/>
        <w:spacing w:before="140" w:line="312" w:lineRule="auto"/>
        <w:ind w:right="232"/>
      </w:pPr>
      <w:r>
        <w:t>A desconfiança do presidente do Centro Comunitário, José Maria Moraes de Souza, era de que a bacia 2 da fábrica da Ime</w:t>
      </w:r>
      <w:r>
        <w:t>rys teria transbordado e provocado o acidente. Segundo ele, depois do grande acidente de 2007, quando a bacia 3 foi interditada, a empresa teria voltado a utilizar a bacia 2, que já estaria no seu limite. A indignação com o acidente foi grande, já que, seg</w:t>
      </w:r>
      <w:r>
        <w:t>undo José Maria, a empresa só teria desviado, para a praia, os tubos que jogavam rejeitos da fábrica direto nos igarapés. Na sua avaliação, a Imerys seria a maior fonte de poluição da água e do solo em Barcarena (PORTAL ORM, 2008).</w:t>
      </w:r>
    </w:p>
    <w:p w:rsidR="00D81F69" w:rsidRDefault="00330118">
      <w:pPr>
        <w:pStyle w:val="Corpodetexto"/>
        <w:spacing w:before="140" w:line="312" w:lineRule="auto"/>
        <w:ind w:right="250"/>
      </w:pPr>
      <w:r>
        <w:t xml:space="preserve">Houve ainda suspeita de </w:t>
      </w:r>
      <w:r>
        <w:t>rompimento ou de problemas na tubulação das bacias. Os moradores consideraram o vazamento de 2008 tão grave quanto o de 2007. Por causa dele, a empresa fechou o acesso para transporte pela estrada que liga o bairro industrial de Vila do Conde à área das ba</w:t>
      </w:r>
      <w:r>
        <w:t>cias da fábrica da empresa, impedindo que os moradores da região fizessem o transporte de suas mercadorias (PORTAL ORM, 2008).</w:t>
      </w:r>
    </w:p>
    <w:p w:rsidR="00D81F69" w:rsidRDefault="00330118">
      <w:pPr>
        <w:pStyle w:val="Corpodetexto"/>
        <w:spacing w:before="137" w:line="312" w:lineRule="auto"/>
        <w:ind w:right="232"/>
      </w:pPr>
      <w:r>
        <w:t>Em nota, a Imerys esclareceu que não houve vazamento nas bacias de sua fábrica. Segundo ela, o transbordamento na comporta de con</w:t>
      </w:r>
      <w:r>
        <w:t>tenção da drenagem pluvial teria sido causado pelo desligamento de suas bombas, em virtude das oscilações no fornecimento de energia. A Imerys esclareceu, na época, que as bombas entraram em operação logo em seguida, e, apesar de não revelar o volume trans</w:t>
      </w:r>
      <w:r>
        <w:t>bordado, reiterou que o acidente não ofereceu riscos à saúde humana, nem danos ao meio ambiente. A empresa comunicou o acidente às autoridades ambientais do estado e às lideranças</w:t>
      </w:r>
    </w:p>
    <w:p w:rsidR="00D81F69" w:rsidRDefault="00D81F69">
      <w:pPr>
        <w:spacing w:line="312" w:lineRule="auto"/>
        <w:sectPr w:rsidR="00D81F69">
          <w:pgSz w:w="11900" w:h="16840"/>
          <w:pgMar w:top="740" w:right="460" w:bottom="640" w:left="620" w:header="0" w:footer="402" w:gutter="0"/>
          <w:cols w:num="2" w:space="720" w:equalWidth="0">
            <w:col w:w="5157" w:space="313"/>
            <w:col w:w="5350"/>
          </w:cols>
        </w:sectPr>
      </w:pPr>
    </w:p>
    <w:p w:rsidR="00D81F69" w:rsidRDefault="00330118">
      <w:pPr>
        <w:pStyle w:val="Corpodetexto"/>
        <w:spacing w:before="81"/>
      </w:pPr>
      <w:r>
        <w:lastRenderedPageBreak/>
        <w:t>comunitárias de Vila do Conde (PORTAL ORM, 2008</w:t>
      </w:r>
      <w:r>
        <w:t>).</w:t>
      </w:r>
    </w:p>
    <w:p w:rsidR="00D81F69" w:rsidRDefault="00D81F69">
      <w:pPr>
        <w:pStyle w:val="Corpodetexto"/>
        <w:spacing w:before="9"/>
        <w:ind w:left="0"/>
        <w:jc w:val="left"/>
        <w:rPr>
          <w:sz w:val="16"/>
        </w:rPr>
      </w:pPr>
    </w:p>
    <w:p w:rsidR="00D81F69" w:rsidRDefault="00330118">
      <w:pPr>
        <w:pStyle w:val="Corpodetexto"/>
        <w:spacing w:line="312" w:lineRule="auto"/>
        <w:ind w:right="75"/>
      </w:pPr>
      <w:r>
        <w:t xml:space="preserve">Comunidades ribeirinhas e pequenos agricultores foram os mais afetados. O vazamento de caulim teria atingido a roça e </w:t>
      </w:r>
      <w:r>
        <w:rPr>
          <w:spacing w:val="1"/>
        </w:rPr>
        <w:t xml:space="preserve">os </w:t>
      </w:r>
      <w:r>
        <w:rPr>
          <w:spacing w:val="3"/>
        </w:rPr>
        <w:t xml:space="preserve">rios: </w:t>
      </w:r>
      <w:r>
        <w:t xml:space="preserve">o </w:t>
      </w:r>
      <w:r>
        <w:rPr>
          <w:spacing w:val="2"/>
        </w:rPr>
        <w:t xml:space="preserve">solo </w:t>
      </w:r>
      <w:r>
        <w:rPr>
          <w:spacing w:val="3"/>
        </w:rPr>
        <w:t xml:space="preserve">contaminado teria prejudicado </w:t>
      </w:r>
      <w:r>
        <w:t xml:space="preserve">o </w:t>
      </w:r>
      <w:r>
        <w:rPr>
          <w:spacing w:val="3"/>
        </w:rPr>
        <w:t xml:space="preserve">cultivo </w:t>
      </w:r>
      <w:r>
        <w:rPr>
          <w:spacing w:val="5"/>
        </w:rPr>
        <w:t xml:space="preserve">da mandioca </w:t>
      </w:r>
      <w:r>
        <w:t xml:space="preserve">e </w:t>
      </w:r>
      <w:r>
        <w:rPr>
          <w:spacing w:val="5"/>
        </w:rPr>
        <w:t xml:space="preserve">também </w:t>
      </w:r>
      <w:r>
        <w:t xml:space="preserve">a </w:t>
      </w:r>
      <w:r>
        <w:rPr>
          <w:spacing w:val="5"/>
        </w:rPr>
        <w:t xml:space="preserve">pesca, devido </w:t>
      </w:r>
      <w:r>
        <w:t xml:space="preserve">à </w:t>
      </w:r>
      <w:r>
        <w:rPr>
          <w:spacing w:val="5"/>
        </w:rPr>
        <w:t>mortandade dos</w:t>
      </w:r>
      <w:r>
        <w:rPr>
          <w:spacing w:val="61"/>
        </w:rPr>
        <w:t xml:space="preserve"> </w:t>
      </w:r>
      <w:r>
        <w:t>peixes. Até mesmo as árvores frutíferas teriam gerado frutos em menor quantidade. Rios e mares tornaram-se impróprios, afugentando turistas e atrapalhando a economia local (MAPA DA INJUSTIÇA AMBIENTAL E SAÚDE NO BRASIL, 2009a).</w:t>
      </w:r>
    </w:p>
    <w:p w:rsidR="00D81F69" w:rsidRDefault="00330118">
      <w:pPr>
        <w:pStyle w:val="Corpodetexto"/>
        <w:spacing w:before="137" w:line="312" w:lineRule="auto"/>
        <w:ind w:right="86"/>
      </w:pPr>
      <w:r>
        <w:t xml:space="preserve">Em 2009, houve mais um vazamento de caulim da Imerys Rio Capim Caulim. Apontado pela comunidade Nova Jerusalém, o vazamento afetou os cursos d´água na região. A dimensão do acidente não foi tão grande, segundo diagnóstico do gerente de Áreas Degradadas da </w:t>
      </w:r>
      <w:r>
        <w:t>Sema. Os técnicos esclareceram que as medidas de contenção previstas na legislação ambiental foram tomadas pelas equipes da Imerys, fato que evitou a ampliação da área afetada (IBAMA, 2009).</w:t>
      </w:r>
    </w:p>
    <w:p w:rsidR="00D81F69" w:rsidRDefault="00330118">
      <w:pPr>
        <w:pStyle w:val="Corpodetexto"/>
        <w:spacing w:before="138"/>
      </w:pPr>
      <w:r>
        <w:t>No município de Moju (Pará) — 9.094,107 km² de área e</w:t>
      </w:r>
    </w:p>
    <w:p w:rsidR="00D81F69" w:rsidRDefault="00330118">
      <w:pPr>
        <w:pStyle w:val="Corpodetexto"/>
        <w:spacing w:before="63" w:line="312" w:lineRule="auto"/>
        <w:ind w:right="74"/>
      </w:pPr>
      <w:r>
        <w:rPr>
          <w:spacing w:val="8"/>
        </w:rPr>
        <w:t>70.018 habi</w:t>
      </w:r>
      <w:r>
        <w:rPr>
          <w:spacing w:val="8"/>
        </w:rPr>
        <w:t xml:space="preserve">tantes (IBGE, 2010b) </w:t>
      </w:r>
      <w:r>
        <w:t xml:space="preserve">— </w:t>
      </w:r>
      <w:r>
        <w:rPr>
          <w:spacing w:val="5"/>
        </w:rPr>
        <w:t xml:space="preserve">as </w:t>
      </w:r>
      <w:r>
        <w:rPr>
          <w:spacing w:val="10"/>
        </w:rPr>
        <w:t xml:space="preserve">comunidades </w:t>
      </w:r>
      <w:r>
        <w:t xml:space="preserve">quilombolas de Jambuaçu também sofrem as consequências da produção do caulim. Elas vivem um histórico de conflito </w:t>
      </w:r>
      <w:r>
        <w:rPr>
          <w:spacing w:val="2"/>
        </w:rPr>
        <w:t xml:space="preserve">com </w:t>
      </w:r>
      <w:r>
        <w:t xml:space="preserve">a </w:t>
      </w:r>
      <w:r>
        <w:rPr>
          <w:spacing w:val="2"/>
        </w:rPr>
        <w:t xml:space="preserve">Vale </w:t>
      </w:r>
      <w:r>
        <w:rPr>
          <w:spacing w:val="3"/>
        </w:rPr>
        <w:t xml:space="preserve">(antiga Companhia </w:t>
      </w:r>
      <w:r>
        <w:rPr>
          <w:spacing w:val="2"/>
        </w:rPr>
        <w:t xml:space="preserve">Vale </w:t>
      </w:r>
      <w:r>
        <w:rPr>
          <w:spacing w:val="1"/>
        </w:rPr>
        <w:t xml:space="preserve">do </w:t>
      </w:r>
      <w:r>
        <w:rPr>
          <w:spacing w:val="2"/>
        </w:rPr>
        <w:t xml:space="preserve">Rio </w:t>
      </w:r>
      <w:r>
        <w:rPr>
          <w:spacing w:val="3"/>
        </w:rPr>
        <w:t xml:space="preserve">Doce). </w:t>
      </w:r>
      <w:r>
        <w:rPr>
          <w:spacing w:val="5"/>
        </w:rPr>
        <w:t xml:space="preserve">Esses </w:t>
      </w:r>
      <w:r>
        <w:rPr>
          <w:spacing w:val="3"/>
        </w:rPr>
        <w:t xml:space="preserve">conflitos </w:t>
      </w:r>
      <w:r>
        <w:rPr>
          <w:spacing w:val="1"/>
        </w:rPr>
        <w:t xml:space="preserve">se </w:t>
      </w:r>
      <w:r>
        <w:rPr>
          <w:spacing w:val="3"/>
        </w:rPr>
        <w:t xml:space="preserve">intensificaram depois </w:t>
      </w:r>
      <w:r>
        <w:rPr>
          <w:spacing w:val="2"/>
        </w:rPr>
        <w:t xml:space="preserve">que </w:t>
      </w:r>
      <w:r>
        <w:t xml:space="preserve">a </w:t>
      </w:r>
      <w:r>
        <w:rPr>
          <w:spacing w:val="3"/>
        </w:rPr>
        <w:t>empresa i</w:t>
      </w:r>
      <w:r>
        <w:rPr>
          <w:spacing w:val="3"/>
        </w:rPr>
        <w:t xml:space="preserve">niciou </w:t>
      </w:r>
      <w:r>
        <w:t xml:space="preserve">a </w:t>
      </w:r>
      <w:r>
        <w:rPr>
          <w:spacing w:val="3"/>
        </w:rPr>
        <w:t xml:space="preserve">construção </w:t>
      </w:r>
      <w:r>
        <w:rPr>
          <w:spacing w:val="1"/>
        </w:rPr>
        <w:t xml:space="preserve">de um </w:t>
      </w:r>
      <w:r>
        <w:rPr>
          <w:spacing w:val="3"/>
        </w:rPr>
        <w:t xml:space="preserve">mineroduto </w:t>
      </w:r>
      <w:r>
        <w:rPr>
          <w:spacing w:val="2"/>
        </w:rPr>
        <w:t xml:space="preserve">para </w:t>
      </w:r>
      <w:r>
        <w:rPr>
          <w:spacing w:val="3"/>
        </w:rPr>
        <w:t xml:space="preserve">transportar caulim. </w:t>
      </w:r>
      <w:r>
        <w:t xml:space="preserve">O mineroduto ligaria Paragominas ao complexo industrial de Vila </w:t>
      </w:r>
      <w:r>
        <w:rPr>
          <w:spacing w:val="2"/>
        </w:rPr>
        <w:t xml:space="preserve">do </w:t>
      </w:r>
      <w:r>
        <w:rPr>
          <w:spacing w:val="5"/>
        </w:rPr>
        <w:t xml:space="preserve">Conde, </w:t>
      </w:r>
      <w:r>
        <w:rPr>
          <w:spacing w:val="2"/>
        </w:rPr>
        <w:t xml:space="preserve">em </w:t>
      </w:r>
      <w:r>
        <w:rPr>
          <w:spacing w:val="5"/>
        </w:rPr>
        <w:t xml:space="preserve">Barcarena, passando </w:t>
      </w:r>
      <w:r>
        <w:rPr>
          <w:spacing w:val="3"/>
        </w:rPr>
        <w:t xml:space="preserve">por sete </w:t>
      </w:r>
      <w:r>
        <w:rPr>
          <w:spacing w:val="5"/>
        </w:rPr>
        <w:t>municípios</w:t>
      </w:r>
      <w:r>
        <w:rPr>
          <w:spacing w:val="61"/>
        </w:rPr>
        <w:t xml:space="preserve"> </w:t>
      </w:r>
      <w:r>
        <w:t xml:space="preserve">paraenses, Paragominas, lpixuna do Pará, Tomé-Açú, Acará, Moju, Abaetetuba e </w:t>
      </w:r>
      <w:r>
        <w:t xml:space="preserve">Barcarena (DOSSIÊ CPT GUAJARINA, 2006 apud TRINDADE, </w:t>
      </w:r>
      <w:r>
        <w:rPr>
          <w:spacing w:val="1"/>
        </w:rPr>
        <w:t>2011).</w:t>
      </w:r>
    </w:p>
    <w:p w:rsidR="00D81F69" w:rsidRDefault="00330118">
      <w:pPr>
        <w:pStyle w:val="Corpodetexto"/>
        <w:spacing w:before="140" w:line="312" w:lineRule="auto"/>
        <w:ind w:right="88"/>
      </w:pPr>
      <w:r>
        <w:t xml:space="preserve">A Vale não teria cumprido os acordos compensatórios pelos danos ambientais por ela causados. A empresa havia se comprometido a promover a recuperação de 33 km de estrada – depredada pela passagem </w:t>
      </w:r>
      <w:r>
        <w:t>dos caminhões da empresa -, a reforma de duas pontes – também deterioradas pela mesma razão -, e a conceder indenizações, em razão da passagem de um mineroduto pela área (TRINDADE, 2011).</w:t>
      </w:r>
    </w:p>
    <w:p w:rsidR="00D81F69" w:rsidRDefault="00330118">
      <w:pPr>
        <w:pStyle w:val="Corpodetexto"/>
        <w:spacing w:before="136" w:line="312" w:lineRule="auto"/>
        <w:ind w:right="76"/>
      </w:pPr>
      <w:r>
        <w:t>Em 2006, após a queda de uma das pontes da região, a Vale estourou o</w:t>
      </w:r>
      <w:r>
        <w:t xml:space="preserve"> prazo de finalização das obras de infraestrutura prometidas, fato que deixou a população local mais revoltada. Na ocasião, líderes das comunidades derrubaram uma torre </w:t>
      </w:r>
      <w:r>
        <w:rPr>
          <w:spacing w:val="3"/>
        </w:rPr>
        <w:t xml:space="preserve">de </w:t>
      </w:r>
      <w:r>
        <w:rPr>
          <w:spacing w:val="6"/>
        </w:rPr>
        <w:t xml:space="preserve">transmissão </w:t>
      </w:r>
      <w:r>
        <w:rPr>
          <w:spacing w:val="3"/>
        </w:rPr>
        <w:t xml:space="preserve">de </w:t>
      </w:r>
      <w:r>
        <w:rPr>
          <w:spacing w:val="5"/>
        </w:rPr>
        <w:t xml:space="preserve">energia </w:t>
      </w:r>
      <w:r>
        <w:rPr>
          <w:spacing w:val="3"/>
        </w:rPr>
        <w:t xml:space="preserve">da </w:t>
      </w:r>
      <w:r>
        <w:rPr>
          <w:spacing w:val="6"/>
        </w:rPr>
        <w:t xml:space="preserve">empresa, </w:t>
      </w:r>
      <w:r>
        <w:t xml:space="preserve">e </w:t>
      </w:r>
      <w:r>
        <w:rPr>
          <w:spacing w:val="5"/>
        </w:rPr>
        <w:t xml:space="preserve">outro </w:t>
      </w:r>
      <w:r>
        <w:rPr>
          <w:spacing w:val="7"/>
        </w:rPr>
        <w:t xml:space="preserve">grupo </w:t>
      </w:r>
      <w:r>
        <w:rPr>
          <w:spacing w:val="5"/>
        </w:rPr>
        <w:t xml:space="preserve">bloqueou </w:t>
      </w:r>
      <w:r>
        <w:t xml:space="preserve">a </w:t>
      </w:r>
      <w:r>
        <w:rPr>
          <w:spacing w:val="5"/>
        </w:rPr>
        <w:t xml:space="preserve">estrada </w:t>
      </w:r>
      <w:r>
        <w:rPr>
          <w:spacing w:val="2"/>
        </w:rPr>
        <w:t xml:space="preserve">de </w:t>
      </w:r>
      <w:r>
        <w:rPr>
          <w:spacing w:val="5"/>
        </w:rPr>
        <w:t xml:space="preserve">acesso </w:t>
      </w:r>
      <w:r>
        <w:rPr>
          <w:spacing w:val="2"/>
        </w:rPr>
        <w:t xml:space="preserve">ao </w:t>
      </w:r>
      <w:r>
        <w:rPr>
          <w:spacing w:val="5"/>
        </w:rPr>
        <w:t>can</w:t>
      </w:r>
      <w:r>
        <w:rPr>
          <w:spacing w:val="5"/>
        </w:rPr>
        <w:t xml:space="preserve">teiro </w:t>
      </w:r>
      <w:r>
        <w:rPr>
          <w:spacing w:val="2"/>
        </w:rPr>
        <w:t xml:space="preserve">de </w:t>
      </w:r>
      <w:r>
        <w:rPr>
          <w:spacing w:val="5"/>
        </w:rPr>
        <w:t xml:space="preserve">obras </w:t>
      </w:r>
      <w:r>
        <w:rPr>
          <w:spacing w:val="6"/>
        </w:rPr>
        <w:t xml:space="preserve">do </w:t>
      </w:r>
      <w:r>
        <w:t>mineroduto, na comunidade de Santa Maria de Tracuateua (TRINDADE,</w:t>
      </w:r>
      <w:r>
        <w:rPr>
          <w:spacing w:val="16"/>
        </w:rPr>
        <w:t xml:space="preserve"> </w:t>
      </w:r>
      <w:r>
        <w:rPr>
          <w:spacing w:val="1"/>
        </w:rPr>
        <w:t>2011).</w:t>
      </w:r>
    </w:p>
    <w:p w:rsidR="00D81F69" w:rsidRDefault="00330118">
      <w:pPr>
        <w:pStyle w:val="Corpodetexto"/>
        <w:spacing w:before="138" w:line="312" w:lineRule="auto"/>
        <w:ind w:right="97"/>
      </w:pPr>
      <w:r>
        <w:t>O Ministério Público em Moju obrigou a empresa a assinar um Termo de Ajustamento de Conduta (TAC), para agilizar a finalização das obras, estipulando uma multa diári</w:t>
      </w:r>
      <w:r>
        <w:t>a de R$ 5 mil por dia de atraso (TRINDADE, 2011)</w:t>
      </w:r>
    </w:p>
    <w:p w:rsidR="00D81F69" w:rsidRDefault="00330118">
      <w:pPr>
        <w:pStyle w:val="Corpodetexto"/>
        <w:spacing w:before="133" w:line="312" w:lineRule="auto"/>
        <w:ind w:right="90"/>
      </w:pPr>
      <w:r>
        <w:t>Ficou estabelecido que a mineradora deveria apresentar programas de geração de renda e diversificação de produção agrícola para as áreas impactadas. Esse programa previa o atendimento a 399 famílias quilombo</w:t>
      </w:r>
      <w:r>
        <w:t>las, mas a Vale não cumpriu o acordo, e entrou com uma ação contra a</w:t>
      </w:r>
    </w:p>
    <w:p w:rsidR="00D81F69" w:rsidRDefault="00330118">
      <w:pPr>
        <w:pStyle w:val="Corpodetexto"/>
        <w:spacing w:before="81" w:line="312" w:lineRule="auto"/>
        <w:ind w:right="236"/>
      </w:pPr>
      <w:r>
        <w:br w:type="column"/>
      </w:r>
      <w:r>
        <w:lastRenderedPageBreak/>
        <w:t>comunidade, propondo acordo em que apenas 58 famílias seriam beneficiadas. Para forçar negociação com a empresa, os quilombolas tentaram fechar a estrada. O fato resultou numa ação judic</w:t>
      </w:r>
      <w:r>
        <w:t>ial contra três lideranças, devido à invasão da Estação São Bernardino (TRINDADE, 2011)</w:t>
      </w:r>
    </w:p>
    <w:p w:rsidR="00D81F69" w:rsidRDefault="00330118">
      <w:pPr>
        <w:pStyle w:val="Corpodetexto"/>
        <w:spacing w:before="134" w:line="312" w:lineRule="auto"/>
        <w:ind w:right="237"/>
      </w:pPr>
      <w:r>
        <w:t>Para tentar resolver os conflitos, o Ministério Público Federal (MPF) promoveu, em setembro de 2010, uma reunião em Belém com dirigentes da Vale e lideranças quilombola</w:t>
      </w:r>
      <w:r>
        <w:t>s. A empresa não aceitou as propostas apresentadas (TRINDADE, 2011)</w:t>
      </w:r>
    </w:p>
    <w:p w:rsidR="00D81F69" w:rsidRDefault="00330118">
      <w:pPr>
        <w:pStyle w:val="Corpodetexto"/>
        <w:spacing w:before="135" w:line="312" w:lineRule="auto"/>
        <w:ind w:right="229"/>
      </w:pPr>
      <w:r>
        <w:t xml:space="preserve">Em novembro de 2010, o MPF determinou a suspensão das atividades da Vale na mina Miltônia 3, em Paragominas, no </w:t>
      </w:r>
      <w:r>
        <w:rPr>
          <w:spacing w:val="1"/>
        </w:rPr>
        <w:t xml:space="preserve">sudeste paraense, </w:t>
      </w:r>
      <w:r>
        <w:t xml:space="preserve">e </w:t>
      </w:r>
      <w:r>
        <w:rPr>
          <w:spacing w:val="1"/>
        </w:rPr>
        <w:t xml:space="preserve">suspendeu </w:t>
      </w:r>
      <w:r>
        <w:t xml:space="preserve">a </w:t>
      </w:r>
      <w:r>
        <w:rPr>
          <w:spacing w:val="1"/>
        </w:rPr>
        <w:t xml:space="preserve">linha </w:t>
      </w:r>
      <w:r>
        <w:t xml:space="preserve">de </w:t>
      </w:r>
      <w:r>
        <w:rPr>
          <w:spacing w:val="1"/>
        </w:rPr>
        <w:t xml:space="preserve">transmissão </w:t>
      </w:r>
      <w:r>
        <w:rPr>
          <w:spacing w:val="2"/>
        </w:rPr>
        <w:t xml:space="preserve">de </w:t>
      </w:r>
      <w:r>
        <w:rPr>
          <w:spacing w:val="5"/>
        </w:rPr>
        <w:t xml:space="preserve">energia </w:t>
      </w:r>
      <w:r>
        <w:t xml:space="preserve">e o </w:t>
      </w:r>
      <w:r>
        <w:rPr>
          <w:spacing w:val="5"/>
        </w:rPr>
        <w:t xml:space="preserve">minerotudo </w:t>
      </w:r>
      <w:r>
        <w:rPr>
          <w:spacing w:val="3"/>
        </w:rPr>
        <w:t xml:space="preserve">até </w:t>
      </w:r>
      <w:r>
        <w:t xml:space="preserve">a </w:t>
      </w:r>
      <w:r>
        <w:rPr>
          <w:spacing w:val="5"/>
        </w:rPr>
        <w:t xml:space="preserve">refinaria </w:t>
      </w:r>
      <w:r>
        <w:rPr>
          <w:spacing w:val="2"/>
        </w:rPr>
        <w:t xml:space="preserve">da </w:t>
      </w:r>
      <w:r>
        <w:rPr>
          <w:spacing w:val="5"/>
        </w:rPr>
        <w:t xml:space="preserve">Alunorte, </w:t>
      </w:r>
      <w:r>
        <w:rPr>
          <w:spacing w:val="6"/>
        </w:rPr>
        <w:t xml:space="preserve">em </w:t>
      </w:r>
      <w:r>
        <w:t xml:space="preserve">Barcarena, na região metropolitana de Belém. O argumento era de que a Vale não havia cumprido os pré-requisitos do </w:t>
      </w:r>
      <w:r>
        <w:rPr>
          <w:spacing w:val="3"/>
        </w:rPr>
        <w:t xml:space="preserve">licenciamento ambiental </w:t>
      </w:r>
      <w:r>
        <w:t xml:space="preserve">– </w:t>
      </w:r>
      <w:r>
        <w:rPr>
          <w:spacing w:val="1"/>
        </w:rPr>
        <w:t xml:space="preserve">os </w:t>
      </w:r>
      <w:r>
        <w:rPr>
          <w:spacing w:val="3"/>
        </w:rPr>
        <w:t xml:space="preserve">quais tentavam amenizar </w:t>
      </w:r>
      <w:r>
        <w:rPr>
          <w:spacing w:val="5"/>
        </w:rPr>
        <w:t xml:space="preserve">os </w:t>
      </w:r>
      <w:r>
        <w:t>impactos socioambientais causados à comuni</w:t>
      </w:r>
      <w:r>
        <w:t xml:space="preserve">dade quilombola </w:t>
      </w:r>
      <w:r>
        <w:rPr>
          <w:spacing w:val="5"/>
        </w:rPr>
        <w:t xml:space="preserve">de </w:t>
      </w:r>
      <w:r>
        <w:rPr>
          <w:spacing w:val="10"/>
        </w:rPr>
        <w:t xml:space="preserve">Jambuaçu. </w:t>
      </w:r>
      <w:r>
        <w:t xml:space="preserve">A </w:t>
      </w:r>
      <w:r>
        <w:rPr>
          <w:spacing w:val="8"/>
        </w:rPr>
        <w:t xml:space="preserve">ação </w:t>
      </w:r>
      <w:r>
        <w:rPr>
          <w:spacing w:val="10"/>
        </w:rPr>
        <w:t xml:space="preserve">judicial determinou também </w:t>
      </w:r>
      <w:r>
        <w:t xml:space="preserve">o </w:t>
      </w:r>
      <w:r>
        <w:rPr>
          <w:spacing w:val="6"/>
        </w:rPr>
        <w:t xml:space="preserve">pagamento </w:t>
      </w:r>
      <w:r>
        <w:rPr>
          <w:spacing w:val="3"/>
        </w:rPr>
        <w:t xml:space="preserve">de </w:t>
      </w:r>
      <w:r>
        <w:rPr>
          <w:spacing w:val="6"/>
        </w:rPr>
        <w:t xml:space="preserve">compensação </w:t>
      </w:r>
      <w:r>
        <w:rPr>
          <w:spacing w:val="5"/>
        </w:rPr>
        <w:t xml:space="preserve">mensal </w:t>
      </w:r>
      <w:r>
        <w:rPr>
          <w:spacing w:val="3"/>
        </w:rPr>
        <w:t xml:space="preserve">no </w:t>
      </w:r>
      <w:r>
        <w:rPr>
          <w:spacing w:val="5"/>
        </w:rPr>
        <w:t xml:space="preserve">valor </w:t>
      </w:r>
      <w:r>
        <w:rPr>
          <w:spacing w:val="3"/>
        </w:rPr>
        <w:t xml:space="preserve">de </w:t>
      </w:r>
      <w:r>
        <w:rPr>
          <w:spacing w:val="7"/>
        </w:rPr>
        <w:t xml:space="preserve">cinco </w:t>
      </w:r>
      <w:r>
        <w:rPr>
          <w:spacing w:val="12"/>
        </w:rPr>
        <w:t xml:space="preserve">salários </w:t>
      </w:r>
      <w:r>
        <w:rPr>
          <w:spacing w:val="11"/>
        </w:rPr>
        <w:t xml:space="preserve">mínimos </w:t>
      </w:r>
      <w:r>
        <w:rPr>
          <w:spacing w:val="10"/>
        </w:rPr>
        <w:t xml:space="preserve">para cada uma das 788 </w:t>
      </w:r>
      <w:r>
        <w:rPr>
          <w:spacing w:val="12"/>
        </w:rPr>
        <w:t xml:space="preserve">famílias </w:t>
      </w:r>
      <w:r>
        <w:rPr>
          <w:spacing w:val="1"/>
        </w:rPr>
        <w:t xml:space="preserve">remanescentes </w:t>
      </w:r>
      <w:r>
        <w:t xml:space="preserve">de </w:t>
      </w:r>
      <w:r>
        <w:rPr>
          <w:spacing w:val="1"/>
        </w:rPr>
        <w:t xml:space="preserve">quilombo </w:t>
      </w:r>
      <w:r>
        <w:t xml:space="preserve">e a </w:t>
      </w:r>
      <w:r>
        <w:rPr>
          <w:spacing w:val="1"/>
        </w:rPr>
        <w:t xml:space="preserve">implantação </w:t>
      </w:r>
      <w:r>
        <w:t xml:space="preserve">de </w:t>
      </w:r>
      <w:r>
        <w:rPr>
          <w:spacing w:val="1"/>
        </w:rPr>
        <w:t xml:space="preserve">projeto </w:t>
      </w:r>
      <w:r>
        <w:rPr>
          <w:spacing w:val="2"/>
        </w:rPr>
        <w:t xml:space="preserve">de </w:t>
      </w:r>
      <w:r>
        <w:rPr>
          <w:spacing w:val="8"/>
        </w:rPr>
        <w:t xml:space="preserve">geração </w:t>
      </w:r>
      <w:r>
        <w:rPr>
          <w:spacing w:val="5"/>
        </w:rPr>
        <w:t xml:space="preserve">de </w:t>
      </w:r>
      <w:r>
        <w:rPr>
          <w:spacing w:val="7"/>
        </w:rPr>
        <w:t xml:space="preserve">renda </w:t>
      </w:r>
      <w:r>
        <w:rPr>
          <w:spacing w:val="5"/>
        </w:rPr>
        <w:t xml:space="preserve">na </w:t>
      </w:r>
      <w:r>
        <w:rPr>
          <w:spacing w:val="10"/>
        </w:rPr>
        <w:t xml:space="preserve">comunidade. </w:t>
      </w:r>
      <w:r>
        <w:t xml:space="preserve">A </w:t>
      </w:r>
      <w:r>
        <w:rPr>
          <w:spacing w:val="7"/>
        </w:rPr>
        <w:t>mul</w:t>
      </w:r>
      <w:r>
        <w:rPr>
          <w:spacing w:val="7"/>
        </w:rPr>
        <w:t xml:space="preserve">ta pelo </w:t>
      </w:r>
      <w:r>
        <w:rPr>
          <w:spacing w:val="10"/>
        </w:rPr>
        <w:t xml:space="preserve">não </w:t>
      </w:r>
      <w:r>
        <w:t xml:space="preserve">cumprimento seria de R$ 1 milhão diários, e a empresa, caso se omitisse das determinações legais, ficaria sujeita à perda </w:t>
      </w:r>
      <w:r>
        <w:rPr>
          <w:spacing w:val="2"/>
        </w:rPr>
        <w:t xml:space="preserve">de </w:t>
      </w:r>
      <w:r>
        <w:rPr>
          <w:spacing w:val="3"/>
        </w:rPr>
        <w:t xml:space="preserve">sua </w:t>
      </w:r>
      <w:r>
        <w:rPr>
          <w:spacing w:val="5"/>
        </w:rPr>
        <w:t xml:space="preserve">licença (BOLETIM MPF, 2010 apud </w:t>
      </w:r>
      <w:r>
        <w:rPr>
          <w:spacing w:val="6"/>
        </w:rPr>
        <w:t>TRINDADE, 2011).</w:t>
      </w:r>
    </w:p>
    <w:p w:rsidR="00D81F69" w:rsidRDefault="00330118">
      <w:pPr>
        <w:pStyle w:val="Corpodetexto"/>
        <w:spacing w:before="146" w:line="312" w:lineRule="auto"/>
        <w:ind w:right="252"/>
      </w:pPr>
      <w:r>
        <w:t>A população alegou que plantações foram atingidas pelos efeitos da</w:t>
      </w:r>
      <w:r>
        <w:t xml:space="preserve"> exploração do caulim, e argumentou que outras consequências poderiam estar relacionadas à contaminação da área, como desmatamento, poluição do ar e da água, entre outros (MAPA DA INJUSTIÇA AMBIENTAL E SAÚDE NO BRASIL, 2009b).</w:t>
      </w:r>
    </w:p>
    <w:p w:rsidR="00D81F69" w:rsidRDefault="00330118">
      <w:pPr>
        <w:pStyle w:val="Corpodetexto"/>
        <w:spacing w:before="135" w:line="312" w:lineRule="auto"/>
        <w:ind w:right="227"/>
      </w:pPr>
      <w:r>
        <w:t>Recentemente, a Assembleia Le</w:t>
      </w:r>
      <w:r>
        <w:t>gislativa do Estado do Pará aprovou o projeto de lei que cria a Taxa de Controle, Acompanhamento e Fiscalização das Atividades de Pesquisa, Lavra, Exploração e Aproveitamento de Recursos Minerários (TFRM). O projeto estipula que cada tonelada de mineral ex</w:t>
      </w:r>
      <w:r>
        <w:t>traído no Pará será taxada em três unidades fiscais. Com essa taxa, tem-se a perspectiva de incrementar a arrecadação do estado em R$ 800 milhões anuais. A ideia é que, com essa lei, o estado passe a ter controle sobre tudo o que está sendo extraído em seu</w:t>
      </w:r>
      <w:r>
        <w:t xml:space="preserve"> território, de maneira a reverter o que se arrecada com a mineração em melhorias nas condições de vida da população local. A lei institui também o Cadastro Estadual das empresas mineradoras que atuam na área (CFRM). Com isto, planeja-se saber quais empres</w:t>
      </w:r>
      <w:r>
        <w:t>as e empreendedores físicos e jurídicos atuam na cadeia produtiva da mineração (ALBUQUERQUE, 2011).</w:t>
      </w:r>
    </w:p>
    <w:p w:rsidR="00D81F69" w:rsidRDefault="00D81F69">
      <w:pPr>
        <w:pStyle w:val="Corpodetexto"/>
        <w:spacing w:before="3"/>
        <w:ind w:left="0"/>
        <w:jc w:val="left"/>
        <w:rPr>
          <w:sz w:val="22"/>
        </w:rPr>
      </w:pPr>
    </w:p>
    <w:p w:rsidR="00D81F69" w:rsidRDefault="00330118">
      <w:pPr>
        <w:pStyle w:val="Heading7"/>
      </w:pPr>
      <w:r>
        <w:t>LOCALIZAÇÃO GEOGRÁFICA</w:t>
      </w:r>
    </w:p>
    <w:p w:rsidR="00D81F69" w:rsidRDefault="00330118">
      <w:pPr>
        <w:pStyle w:val="Corpodetexto"/>
        <w:spacing w:before="179" w:line="312" w:lineRule="auto"/>
        <w:ind w:right="251"/>
      </w:pPr>
      <w:r>
        <w:t>O município de Barcarena está situado na latitude 1°31’08”S e longitude 48°37’01”W. Nas bacias hidrográficas e lençóis freáticos de Vila do Conde já ocorreu a concentração de bário</w:t>
      </w:r>
    </w:p>
    <w:p w:rsidR="00D81F69" w:rsidRDefault="00D81F69">
      <w:pPr>
        <w:spacing w:line="312" w:lineRule="auto"/>
        <w:sectPr w:rsidR="00D81F69">
          <w:pgSz w:w="11900" w:h="16840"/>
          <w:pgMar w:top="740" w:right="460" w:bottom="720" w:left="620" w:header="0" w:footer="402" w:gutter="0"/>
          <w:cols w:num="2" w:space="720" w:equalWidth="0">
            <w:col w:w="5191" w:space="279"/>
            <w:col w:w="5350"/>
          </w:cols>
        </w:sectPr>
      </w:pPr>
    </w:p>
    <w:p w:rsidR="00D81F69" w:rsidRDefault="00330118">
      <w:pPr>
        <w:pStyle w:val="Corpodetexto"/>
        <w:spacing w:before="81"/>
      </w:pPr>
      <w:r>
        <w:lastRenderedPageBreak/>
        <w:t>e de ferro, além da acidificação das águas flu</w:t>
      </w:r>
      <w:r>
        <w:t>viais.</w:t>
      </w:r>
    </w:p>
    <w:p w:rsidR="00D81F69" w:rsidRDefault="00D81F69">
      <w:pPr>
        <w:pStyle w:val="Corpodetexto"/>
        <w:ind w:left="0"/>
        <w:jc w:val="left"/>
        <w:rPr>
          <w:sz w:val="20"/>
        </w:rPr>
      </w:pPr>
    </w:p>
    <w:p w:rsidR="00D81F69" w:rsidRDefault="00330118">
      <w:pPr>
        <w:pStyle w:val="Heading7"/>
        <w:spacing w:before="164"/>
      </w:pPr>
      <w:r>
        <w:t>REDATORES</w:t>
      </w:r>
    </w:p>
    <w:p w:rsidR="00D81F69" w:rsidRDefault="00330118">
      <w:pPr>
        <w:pStyle w:val="Corpodetexto"/>
        <w:spacing w:before="179"/>
      </w:pPr>
      <w:r>
        <w:t>Pedro Schprejer</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116"/>
        <w:jc w:val="both"/>
        <w:rPr>
          <w:sz w:val="16"/>
        </w:rPr>
      </w:pPr>
      <w:r>
        <w:rPr>
          <w:sz w:val="16"/>
        </w:rPr>
        <w:t>ALBUQUERQUE, Valdo. Deputados paraenses aprovam taxação da extração de minérios. Hora do Povo. In: Amapá no Congresso. Amapá, 20 dez. 2011. Disponível em:</w:t>
      </w:r>
    </w:p>
    <w:p w:rsidR="00D81F69" w:rsidRDefault="00D81F69">
      <w:pPr>
        <w:tabs>
          <w:tab w:val="left" w:pos="934"/>
          <w:tab w:val="left" w:pos="2324"/>
          <w:tab w:val="left" w:pos="4617"/>
        </w:tabs>
        <w:spacing w:before="2" w:line="312" w:lineRule="auto"/>
        <w:ind w:left="100" w:right="117"/>
        <w:jc w:val="both"/>
        <w:rPr>
          <w:sz w:val="16"/>
        </w:rPr>
      </w:pPr>
      <w:hyperlink r:id="rId255">
        <w:r w:rsidR="00330118">
          <w:rPr>
            <w:spacing w:val="10"/>
            <w:sz w:val="16"/>
          </w:rPr>
          <w:t>&lt;http://amapanocongresso.blogspot.com/2011/12/deputados-</w:t>
        </w:r>
      </w:hyperlink>
      <w:r w:rsidR="00330118">
        <w:rPr>
          <w:spacing w:val="10"/>
          <w:sz w:val="16"/>
        </w:rPr>
        <w:t xml:space="preserve"> </w:t>
      </w:r>
      <w:r w:rsidR="00330118">
        <w:rPr>
          <w:spacing w:val="3"/>
          <w:sz w:val="16"/>
        </w:rPr>
        <w:t xml:space="preserve">paraenses-aprovam-taxacao-da.html&gt;. Acesso </w:t>
      </w:r>
      <w:r w:rsidR="00330118">
        <w:rPr>
          <w:spacing w:val="2"/>
          <w:sz w:val="16"/>
        </w:rPr>
        <w:t xml:space="preserve">em: </w:t>
      </w:r>
      <w:r w:rsidR="00330118">
        <w:rPr>
          <w:spacing w:val="1"/>
          <w:sz w:val="16"/>
        </w:rPr>
        <w:t xml:space="preserve">29 </w:t>
      </w:r>
      <w:r w:rsidR="00330118">
        <w:rPr>
          <w:spacing w:val="2"/>
          <w:sz w:val="16"/>
        </w:rPr>
        <w:t xml:space="preserve">dez. </w:t>
      </w:r>
      <w:r w:rsidR="00330118">
        <w:rPr>
          <w:spacing w:val="5"/>
          <w:sz w:val="16"/>
        </w:rPr>
        <w:t xml:space="preserve">2011. </w:t>
      </w:r>
      <w:r w:rsidR="00330118">
        <w:rPr>
          <w:spacing w:val="1"/>
          <w:sz w:val="16"/>
        </w:rPr>
        <w:t xml:space="preserve">BRITO, Cellayne. Audiência </w:t>
      </w:r>
      <w:r w:rsidR="00330118">
        <w:rPr>
          <w:sz w:val="16"/>
        </w:rPr>
        <w:t xml:space="preserve">em </w:t>
      </w:r>
      <w:r w:rsidR="00330118">
        <w:rPr>
          <w:spacing w:val="1"/>
          <w:sz w:val="16"/>
        </w:rPr>
        <w:t xml:space="preserve">Barcarena (PA) aponta </w:t>
      </w:r>
      <w:r w:rsidR="00330118">
        <w:rPr>
          <w:spacing w:val="2"/>
          <w:sz w:val="16"/>
        </w:rPr>
        <w:t xml:space="preserve">soluções </w:t>
      </w:r>
      <w:r w:rsidR="00330118">
        <w:rPr>
          <w:sz w:val="16"/>
        </w:rPr>
        <w:t>sócio-</w:t>
      </w:r>
      <w:r w:rsidR="00330118">
        <w:rPr>
          <w:sz w:val="16"/>
        </w:rPr>
        <w:t xml:space="preserve">ambientais para os ribeirinhos. Jordy na Câmara. Belém, 9 set. d </w:t>
      </w:r>
      <w:r w:rsidR="00330118">
        <w:rPr>
          <w:spacing w:val="20"/>
          <w:sz w:val="16"/>
        </w:rPr>
        <w:t xml:space="preserve"> </w:t>
      </w:r>
      <w:r w:rsidR="00330118">
        <w:rPr>
          <w:sz w:val="16"/>
        </w:rPr>
        <w:t>e</w:t>
      </w:r>
      <w:r w:rsidR="00330118">
        <w:rPr>
          <w:sz w:val="16"/>
        </w:rPr>
        <w:tab/>
        <w:t>2   0   1</w:t>
      </w:r>
      <w:r w:rsidR="00330118">
        <w:rPr>
          <w:spacing w:val="18"/>
          <w:sz w:val="16"/>
        </w:rPr>
        <w:t xml:space="preserve"> </w:t>
      </w:r>
      <w:r w:rsidR="00330118">
        <w:rPr>
          <w:sz w:val="16"/>
        </w:rPr>
        <w:t xml:space="preserve">1 </w:t>
      </w:r>
      <w:r w:rsidR="00330118">
        <w:rPr>
          <w:spacing w:val="20"/>
          <w:sz w:val="16"/>
        </w:rPr>
        <w:t xml:space="preserve"> </w:t>
      </w:r>
      <w:r w:rsidR="00330118">
        <w:rPr>
          <w:sz w:val="16"/>
        </w:rPr>
        <w:t>.</w:t>
      </w:r>
      <w:r w:rsidR="00330118">
        <w:rPr>
          <w:sz w:val="16"/>
        </w:rPr>
        <w:tab/>
        <w:t xml:space="preserve">D </w:t>
      </w:r>
      <w:r w:rsidR="00330118">
        <w:rPr>
          <w:spacing w:val="20"/>
          <w:sz w:val="16"/>
        </w:rPr>
        <w:t xml:space="preserve"> </w:t>
      </w:r>
      <w:r w:rsidR="00330118">
        <w:rPr>
          <w:sz w:val="16"/>
        </w:rPr>
        <w:t xml:space="preserve">i </w:t>
      </w:r>
      <w:r w:rsidR="00330118">
        <w:rPr>
          <w:spacing w:val="20"/>
          <w:sz w:val="16"/>
        </w:rPr>
        <w:t xml:space="preserve"> </w:t>
      </w:r>
      <w:r w:rsidR="00330118">
        <w:rPr>
          <w:sz w:val="16"/>
        </w:rPr>
        <w:t xml:space="preserve">s </w:t>
      </w:r>
      <w:r w:rsidR="00330118">
        <w:rPr>
          <w:spacing w:val="20"/>
          <w:sz w:val="16"/>
        </w:rPr>
        <w:t xml:space="preserve"> </w:t>
      </w:r>
      <w:r w:rsidR="00330118">
        <w:rPr>
          <w:sz w:val="16"/>
        </w:rPr>
        <w:t xml:space="preserve">p </w:t>
      </w:r>
      <w:r w:rsidR="00330118">
        <w:rPr>
          <w:spacing w:val="20"/>
          <w:sz w:val="16"/>
        </w:rPr>
        <w:t xml:space="preserve"> </w:t>
      </w:r>
      <w:r w:rsidR="00330118">
        <w:rPr>
          <w:sz w:val="16"/>
        </w:rPr>
        <w:t xml:space="preserve">o </w:t>
      </w:r>
      <w:r w:rsidR="00330118">
        <w:rPr>
          <w:spacing w:val="20"/>
          <w:sz w:val="16"/>
        </w:rPr>
        <w:t xml:space="preserve"> </w:t>
      </w:r>
      <w:r w:rsidR="00330118">
        <w:rPr>
          <w:sz w:val="16"/>
        </w:rPr>
        <w:t xml:space="preserve">n </w:t>
      </w:r>
      <w:r w:rsidR="00330118">
        <w:rPr>
          <w:spacing w:val="20"/>
          <w:sz w:val="16"/>
        </w:rPr>
        <w:t xml:space="preserve"> </w:t>
      </w:r>
      <w:r w:rsidR="00330118">
        <w:rPr>
          <w:sz w:val="16"/>
        </w:rPr>
        <w:t xml:space="preserve">í </w:t>
      </w:r>
      <w:r w:rsidR="00330118">
        <w:rPr>
          <w:spacing w:val="20"/>
          <w:sz w:val="16"/>
        </w:rPr>
        <w:t xml:space="preserve"> </w:t>
      </w:r>
      <w:r w:rsidR="00330118">
        <w:rPr>
          <w:sz w:val="16"/>
        </w:rPr>
        <w:t xml:space="preserve">v </w:t>
      </w:r>
      <w:r w:rsidR="00330118">
        <w:rPr>
          <w:spacing w:val="20"/>
          <w:sz w:val="16"/>
        </w:rPr>
        <w:t xml:space="preserve"> </w:t>
      </w:r>
      <w:r w:rsidR="00330118">
        <w:rPr>
          <w:sz w:val="16"/>
        </w:rPr>
        <w:t xml:space="preserve">e </w:t>
      </w:r>
      <w:r w:rsidR="00330118">
        <w:rPr>
          <w:spacing w:val="20"/>
          <w:sz w:val="16"/>
        </w:rPr>
        <w:t xml:space="preserve"> </w:t>
      </w:r>
      <w:r w:rsidR="00330118">
        <w:rPr>
          <w:sz w:val="16"/>
        </w:rPr>
        <w:t>l</w:t>
      </w:r>
      <w:r w:rsidR="00330118">
        <w:rPr>
          <w:sz w:val="16"/>
        </w:rPr>
        <w:tab/>
        <w:t>e m</w:t>
      </w:r>
      <w:r w:rsidR="00330118">
        <w:rPr>
          <w:spacing w:val="41"/>
          <w:sz w:val="16"/>
        </w:rPr>
        <w:t xml:space="preserve"> </w:t>
      </w:r>
      <w:r w:rsidR="00330118">
        <w:rPr>
          <w:sz w:val="16"/>
        </w:rPr>
        <w:t>:</w:t>
      </w:r>
    </w:p>
    <w:p w:rsidR="00D81F69" w:rsidRDefault="00D81F69">
      <w:pPr>
        <w:spacing w:before="4" w:line="312" w:lineRule="auto"/>
        <w:ind w:left="100" w:right="126"/>
        <w:jc w:val="both"/>
        <w:rPr>
          <w:sz w:val="16"/>
        </w:rPr>
      </w:pPr>
      <w:hyperlink r:id="rId256">
        <w:r w:rsidR="00330118">
          <w:rPr>
            <w:sz w:val="16"/>
          </w:rPr>
          <w:t>&lt;http://jordynacamara.blogspot.com/2011/09/audiencia-em-</w:t>
        </w:r>
      </w:hyperlink>
      <w:r w:rsidR="00330118">
        <w:rPr>
          <w:sz w:val="16"/>
        </w:rPr>
        <w:t xml:space="preserve"> barcaren</w:t>
      </w:r>
      <w:r w:rsidR="00330118">
        <w:rPr>
          <w:sz w:val="16"/>
        </w:rPr>
        <w:t>a-pa-aponta.html&gt; Acesso em: 07/01/2012.</w:t>
      </w:r>
    </w:p>
    <w:p w:rsidR="00D81F69" w:rsidRDefault="00330118">
      <w:pPr>
        <w:spacing w:before="2" w:line="312" w:lineRule="auto"/>
        <w:ind w:left="100" w:right="88"/>
        <w:jc w:val="both"/>
        <w:rPr>
          <w:sz w:val="16"/>
        </w:rPr>
      </w:pPr>
      <w:r>
        <w:rPr>
          <w:sz w:val="16"/>
        </w:rPr>
        <w:t xml:space="preserve">IBGE, Instituto Brasileiro de Geografia e Estatística. Barcarena (PA) </w:t>
      </w:r>
      <w:r>
        <w:rPr>
          <w:spacing w:val="23"/>
          <w:sz w:val="16"/>
        </w:rPr>
        <w:t xml:space="preserve">In:   </w:t>
      </w:r>
      <w:r>
        <w:rPr>
          <w:spacing w:val="26"/>
          <w:sz w:val="16"/>
        </w:rPr>
        <w:t xml:space="preserve">IBGE   </w:t>
      </w:r>
      <w:r>
        <w:rPr>
          <w:spacing w:val="30"/>
          <w:sz w:val="16"/>
        </w:rPr>
        <w:t xml:space="preserve">Cidades, </w:t>
      </w:r>
      <w:r>
        <w:rPr>
          <w:spacing w:val="105"/>
          <w:sz w:val="16"/>
        </w:rPr>
        <w:t xml:space="preserve"> </w:t>
      </w:r>
      <w:r>
        <w:rPr>
          <w:spacing w:val="26"/>
          <w:sz w:val="16"/>
        </w:rPr>
        <w:t xml:space="preserve">2010   </w:t>
      </w:r>
      <w:r>
        <w:rPr>
          <w:spacing w:val="17"/>
          <w:sz w:val="16"/>
        </w:rPr>
        <w:t xml:space="preserve">a.    </w:t>
      </w:r>
      <w:r>
        <w:rPr>
          <w:spacing w:val="31"/>
          <w:sz w:val="16"/>
        </w:rPr>
        <w:t xml:space="preserve">Disponível </w:t>
      </w:r>
      <w:r>
        <w:rPr>
          <w:spacing w:val="88"/>
          <w:sz w:val="16"/>
        </w:rPr>
        <w:t xml:space="preserve"> </w:t>
      </w:r>
      <w:r>
        <w:rPr>
          <w:spacing w:val="23"/>
          <w:sz w:val="16"/>
        </w:rPr>
        <w:t>em:</w:t>
      </w:r>
      <w:r>
        <w:rPr>
          <w:spacing w:val="-7"/>
          <w:sz w:val="16"/>
        </w:rPr>
        <w:t xml:space="preserve"> </w:t>
      </w:r>
    </w:p>
    <w:p w:rsidR="00D81F69" w:rsidRDefault="00D81F69">
      <w:pPr>
        <w:spacing w:before="2"/>
        <w:ind w:left="100"/>
        <w:rPr>
          <w:sz w:val="16"/>
        </w:rPr>
      </w:pPr>
      <w:hyperlink r:id="rId257">
        <w:r w:rsidR="00330118">
          <w:rPr>
            <w:sz w:val="16"/>
          </w:rPr>
          <w:t>&lt;</w:t>
        </w:r>
        <w:r w:rsidR="00330118">
          <w:rPr>
            <w:sz w:val="16"/>
          </w:rPr>
          <w:t>http://www.ibge.gov.br/cidadesat/painel/painel.php?codmun=150130</w:t>
        </w:r>
      </w:hyperlink>
    </w:p>
    <w:p w:rsidR="00D81F69" w:rsidRDefault="00330118">
      <w:pPr>
        <w:spacing w:before="56"/>
        <w:ind w:left="100"/>
        <w:rPr>
          <w:sz w:val="16"/>
        </w:rPr>
      </w:pPr>
      <w:r>
        <w:rPr>
          <w:sz w:val="16"/>
        </w:rPr>
        <w:t>&gt;. Acesso em: 29 dez. 2011.</w:t>
      </w:r>
    </w:p>
    <w:p w:rsidR="00D81F69" w:rsidRDefault="00330118">
      <w:pPr>
        <w:spacing w:before="56"/>
        <w:ind w:left="100"/>
        <w:rPr>
          <w:sz w:val="16"/>
        </w:rPr>
      </w:pPr>
      <w:r>
        <w:rPr>
          <w:sz w:val="16"/>
        </w:rPr>
        <w:t>______. Moju (PA) In: IBGE Cidades, 2010 b. Disponível em:</w:t>
      </w:r>
    </w:p>
    <w:p w:rsidR="00D81F69" w:rsidRDefault="00D81F69">
      <w:pPr>
        <w:spacing w:before="56" w:line="312" w:lineRule="auto"/>
        <w:ind w:left="100" w:right="140"/>
        <w:jc w:val="both"/>
        <w:rPr>
          <w:sz w:val="16"/>
        </w:rPr>
      </w:pPr>
      <w:hyperlink r:id="rId258">
        <w:r w:rsidR="00330118">
          <w:rPr>
            <w:sz w:val="16"/>
          </w:rPr>
          <w:t>&lt;</w:t>
        </w:r>
        <w:r w:rsidR="00330118">
          <w:rPr>
            <w:sz w:val="16"/>
          </w:rPr>
          <w:t xml:space="preserve">http://www.ibge.gov.br/cidadesat/link.php?codmun=150470&gt; </w:t>
        </w:r>
      </w:hyperlink>
      <w:r w:rsidR="00330118">
        <w:rPr>
          <w:sz w:val="16"/>
        </w:rPr>
        <w:t>Acesso em: 29 dez. 2011.</w:t>
      </w:r>
    </w:p>
    <w:p w:rsidR="00D81F69" w:rsidRDefault="00330118">
      <w:pPr>
        <w:spacing w:before="1" w:line="312" w:lineRule="auto"/>
        <w:ind w:left="100" w:right="85"/>
        <w:jc w:val="both"/>
        <w:rPr>
          <w:sz w:val="16"/>
        </w:rPr>
      </w:pPr>
      <w:r>
        <w:rPr>
          <w:sz w:val="16"/>
        </w:rPr>
        <w:t xml:space="preserve">IBAMA. Vazamento de Caulim atinge curso d’água – Barcarena / PA. Barcarena, 02 maio 2009. Disponível em: </w:t>
      </w:r>
    </w:p>
    <w:p w:rsidR="00D81F69" w:rsidRDefault="00D81F69">
      <w:pPr>
        <w:spacing w:before="2" w:line="312" w:lineRule="auto"/>
        <w:ind w:left="100" w:right="113"/>
        <w:jc w:val="both"/>
        <w:rPr>
          <w:sz w:val="16"/>
        </w:rPr>
      </w:pPr>
      <w:hyperlink r:id="rId259">
        <w:r w:rsidR="00330118">
          <w:rPr>
            <w:sz w:val="16"/>
          </w:rPr>
          <w:t xml:space="preserve">&lt;http://www.ibama.gov.br/acidentes-ambientais-maio- </w:t>
        </w:r>
      </w:hyperlink>
      <w:r w:rsidR="00330118">
        <w:rPr>
          <w:sz w:val="16"/>
        </w:rPr>
        <w:t>2009/vazamento-de-caulim-atinge-curso-dagua-barcarena/pa&gt;. Acesso em: 29 dez. 2011.</w:t>
      </w:r>
    </w:p>
    <w:p w:rsidR="00D81F69" w:rsidRDefault="00330118">
      <w:pPr>
        <w:spacing w:before="2"/>
        <w:ind w:left="100"/>
        <w:rPr>
          <w:sz w:val="16"/>
        </w:rPr>
      </w:pPr>
      <w:r>
        <w:rPr>
          <w:sz w:val="16"/>
        </w:rPr>
        <w:t>MAPA  DA  INJUSTIÇA  AMBIENTAL  E   SAÚDE  NO BRASIL.</w:t>
      </w:r>
    </w:p>
    <w:p w:rsidR="00D81F69" w:rsidRDefault="00330118">
      <w:pPr>
        <w:tabs>
          <w:tab w:val="left" w:pos="1048"/>
          <w:tab w:val="left" w:pos="2086"/>
          <w:tab w:val="left" w:pos="2732"/>
          <w:tab w:val="left" w:pos="4671"/>
        </w:tabs>
        <w:spacing w:before="56" w:line="312" w:lineRule="auto"/>
        <w:ind w:left="100" w:right="38"/>
        <w:rPr>
          <w:sz w:val="16"/>
        </w:rPr>
      </w:pPr>
      <w:r>
        <w:rPr>
          <w:sz w:val="16"/>
        </w:rPr>
        <w:t>Mineração de caulim contamina recursos hídricos e compromete a sub</w:t>
      </w:r>
      <w:r>
        <w:rPr>
          <w:sz w:val="16"/>
        </w:rPr>
        <w:t xml:space="preserve">sistência de comunidades da Vila do Conde, em Barcarena. 05      </w:t>
      </w:r>
      <w:r>
        <w:rPr>
          <w:spacing w:val="40"/>
          <w:sz w:val="16"/>
        </w:rPr>
        <w:t>o</w:t>
      </w:r>
      <w:r>
        <w:rPr>
          <w:sz w:val="16"/>
        </w:rPr>
        <w:t xml:space="preserve"> </w:t>
      </w:r>
      <w:r>
        <w:rPr>
          <w:spacing w:val="40"/>
          <w:sz w:val="16"/>
        </w:rPr>
        <w:t>u</w:t>
      </w:r>
      <w:r>
        <w:rPr>
          <w:sz w:val="16"/>
        </w:rPr>
        <w:t xml:space="preserve"> </w:t>
      </w:r>
      <w:r>
        <w:rPr>
          <w:spacing w:val="40"/>
          <w:sz w:val="16"/>
        </w:rPr>
        <w:t>t</w:t>
      </w:r>
      <w:r>
        <w:rPr>
          <w:sz w:val="16"/>
        </w:rPr>
        <w:t xml:space="preserve"> .</w:t>
      </w:r>
      <w:r>
        <w:rPr>
          <w:sz w:val="16"/>
        </w:rPr>
        <w:tab/>
      </w:r>
      <w:r>
        <w:rPr>
          <w:spacing w:val="40"/>
          <w:sz w:val="16"/>
        </w:rPr>
        <w:t>2</w:t>
      </w:r>
      <w:r>
        <w:rPr>
          <w:sz w:val="16"/>
        </w:rPr>
        <w:t xml:space="preserve"> </w:t>
      </w:r>
      <w:r>
        <w:rPr>
          <w:spacing w:val="40"/>
          <w:sz w:val="16"/>
        </w:rPr>
        <w:t>0</w:t>
      </w:r>
      <w:r>
        <w:rPr>
          <w:sz w:val="16"/>
        </w:rPr>
        <w:t xml:space="preserve"> </w:t>
      </w:r>
      <w:r>
        <w:rPr>
          <w:spacing w:val="40"/>
          <w:sz w:val="16"/>
        </w:rPr>
        <w:t>0</w:t>
      </w:r>
      <w:r>
        <w:rPr>
          <w:sz w:val="16"/>
        </w:rPr>
        <w:t xml:space="preserve"> 9</w:t>
      </w:r>
      <w:r>
        <w:rPr>
          <w:sz w:val="16"/>
        </w:rPr>
        <w:tab/>
      </w:r>
      <w:r>
        <w:rPr>
          <w:spacing w:val="40"/>
          <w:sz w:val="16"/>
        </w:rPr>
        <w:t>a</w:t>
      </w:r>
      <w:r>
        <w:rPr>
          <w:sz w:val="16"/>
        </w:rPr>
        <w:t xml:space="preserve"> .</w:t>
      </w:r>
      <w:r>
        <w:rPr>
          <w:sz w:val="16"/>
        </w:rPr>
        <w:tab/>
      </w:r>
      <w:r>
        <w:rPr>
          <w:spacing w:val="40"/>
          <w:sz w:val="16"/>
        </w:rPr>
        <w:t>D</w:t>
      </w:r>
      <w:r>
        <w:rPr>
          <w:sz w:val="16"/>
        </w:rPr>
        <w:t xml:space="preserve"> </w:t>
      </w:r>
      <w:r>
        <w:rPr>
          <w:spacing w:val="40"/>
          <w:sz w:val="16"/>
        </w:rPr>
        <w:t>i</w:t>
      </w:r>
      <w:r>
        <w:rPr>
          <w:sz w:val="16"/>
        </w:rPr>
        <w:t xml:space="preserve"> </w:t>
      </w:r>
      <w:r>
        <w:rPr>
          <w:spacing w:val="40"/>
          <w:sz w:val="16"/>
        </w:rPr>
        <w:t>s</w:t>
      </w:r>
      <w:r>
        <w:rPr>
          <w:sz w:val="16"/>
        </w:rPr>
        <w:t xml:space="preserve"> </w:t>
      </w:r>
      <w:r>
        <w:rPr>
          <w:spacing w:val="40"/>
          <w:sz w:val="16"/>
        </w:rPr>
        <w:t>p</w:t>
      </w:r>
      <w:r>
        <w:rPr>
          <w:sz w:val="16"/>
        </w:rPr>
        <w:t xml:space="preserve"> </w:t>
      </w:r>
      <w:r>
        <w:rPr>
          <w:spacing w:val="40"/>
          <w:sz w:val="16"/>
        </w:rPr>
        <w:t>o</w:t>
      </w:r>
      <w:r>
        <w:rPr>
          <w:sz w:val="16"/>
        </w:rPr>
        <w:t xml:space="preserve"> </w:t>
      </w:r>
      <w:r>
        <w:rPr>
          <w:spacing w:val="40"/>
          <w:sz w:val="16"/>
        </w:rPr>
        <w:t>n</w:t>
      </w:r>
      <w:r>
        <w:rPr>
          <w:sz w:val="16"/>
        </w:rPr>
        <w:t xml:space="preserve"> </w:t>
      </w:r>
      <w:r>
        <w:rPr>
          <w:spacing w:val="40"/>
          <w:sz w:val="16"/>
        </w:rPr>
        <w:t>í</w:t>
      </w:r>
      <w:r>
        <w:rPr>
          <w:sz w:val="16"/>
        </w:rPr>
        <w:t xml:space="preserve"> </w:t>
      </w:r>
      <w:r>
        <w:rPr>
          <w:spacing w:val="40"/>
          <w:sz w:val="16"/>
        </w:rPr>
        <w:t>v</w:t>
      </w:r>
      <w:r>
        <w:rPr>
          <w:sz w:val="16"/>
        </w:rPr>
        <w:t xml:space="preserve"> </w:t>
      </w:r>
      <w:r>
        <w:rPr>
          <w:spacing w:val="40"/>
          <w:sz w:val="16"/>
        </w:rPr>
        <w:t>e</w:t>
      </w:r>
      <w:r>
        <w:rPr>
          <w:sz w:val="16"/>
        </w:rPr>
        <w:t xml:space="preserve"> l</w:t>
      </w:r>
      <w:r>
        <w:rPr>
          <w:sz w:val="16"/>
        </w:rPr>
        <w:tab/>
      </w:r>
      <w:r>
        <w:rPr>
          <w:spacing w:val="40"/>
          <w:sz w:val="16"/>
        </w:rPr>
        <w:t>e</w:t>
      </w:r>
      <w:r>
        <w:rPr>
          <w:sz w:val="16"/>
        </w:rPr>
        <w:t xml:space="preserve"> </w:t>
      </w:r>
      <w:r>
        <w:rPr>
          <w:spacing w:val="40"/>
          <w:sz w:val="16"/>
        </w:rPr>
        <w:t>m</w:t>
      </w:r>
      <w:r>
        <w:rPr>
          <w:sz w:val="16"/>
        </w:rPr>
        <w:t xml:space="preserve"> : </w:t>
      </w:r>
      <w:r>
        <w:rPr>
          <w:spacing w:val="-4"/>
          <w:sz w:val="16"/>
        </w:rPr>
        <w:t xml:space="preserve"> </w:t>
      </w:r>
    </w:p>
    <w:p w:rsidR="00D81F69" w:rsidRDefault="00D81F69">
      <w:pPr>
        <w:spacing w:before="3" w:line="312" w:lineRule="auto"/>
        <w:ind w:left="100" w:right="139"/>
        <w:jc w:val="both"/>
        <w:rPr>
          <w:sz w:val="16"/>
        </w:rPr>
      </w:pPr>
      <w:hyperlink r:id="rId260">
        <w:r w:rsidR="00330118">
          <w:rPr>
            <w:sz w:val="16"/>
          </w:rPr>
          <w:t>&lt;http://www.conflitoambiental.icict.fiocruz.br/index.</w:t>
        </w:r>
        <w:r w:rsidR="00330118">
          <w:rPr>
            <w:sz w:val="16"/>
          </w:rPr>
          <w:t>php?pag=ficha&amp;co</w:t>
        </w:r>
      </w:hyperlink>
      <w:r w:rsidR="00330118">
        <w:rPr>
          <w:sz w:val="16"/>
        </w:rPr>
        <w:t xml:space="preserve"> d=72&gt;. Acesso em: 29 dez. 2011.</w:t>
      </w:r>
    </w:p>
    <w:p w:rsidR="00D81F69" w:rsidRDefault="00330118">
      <w:pPr>
        <w:spacing w:before="1" w:line="312" w:lineRule="auto"/>
        <w:ind w:left="100" w:right="105"/>
        <w:jc w:val="both"/>
        <w:rPr>
          <w:sz w:val="16"/>
        </w:rPr>
      </w:pPr>
      <w:r>
        <w:rPr>
          <w:sz w:val="16"/>
        </w:rPr>
        <w:t xml:space="preserve">______. Comunidades quilombolas de Moju sofrendo com a contaminação dos rios e igarapés, em virtude de vazamentos do mineroduto de caulim. 05 out. 2009 b. Disponível em: </w:t>
      </w:r>
    </w:p>
    <w:p w:rsidR="00D81F69" w:rsidRDefault="00D81F69">
      <w:pPr>
        <w:spacing w:before="3" w:line="312" w:lineRule="auto"/>
        <w:ind w:left="100" w:right="139"/>
        <w:jc w:val="both"/>
        <w:rPr>
          <w:sz w:val="16"/>
        </w:rPr>
      </w:pPr>
      <w:hyperlink r:id="rId261">
        <w:r w:rsidR="00330118">
          <w:rPr>
            <w:sz w:val="16"/>
          </w:rPr>
          <w:t>&lt;http://www.conflitoambiental.icict.fiocruz.br/index.php?pag=ficha&amp;co</w:t>
        </w:r>
      </w:hyperlink>
      <w:r w:rsidR="00330118">
        <w:rPr>
          <w:sz w:val="16"/>
        </w:rPr>
        <w:t xml:space="preserve"> d=79&gt;. Acesso em: 29 dez. 2011.</w:t>
      </w:r>
    </w:p>
    <w:p w:rsidR="00D81F69" w:rsidRDefault="00330118">
      <w:pPr>
        <w:spacing w:before="2" w:line="312" w:lineRule="auto"/>
        <w:ind w:left="100" w:right="110"/>
        <w:jc w:val="both"/>
        <w:rPr>
          <w:sz w:val="16"/>
        </w:rPr>
      </w:pPr>
      <w:r>
        <w:rPr>
          <w:sz w:val="16"/>
        </w:rPr>
        <w:t>MARTÍRES, Raimundo Augusto. Caulim. Departamento Nacional de Produção Mineral (DNPM). 2011. Brasília</w:t>
      </w:r>
      <w:r>
        <w:rPr>
          <w:sz w:val="16"/>
        </w:rPr>
        <w:t>. Disponível em:</w:t>
      </w:r>
    </w:p>
    <w:p w:rsidR="00D81F69" w:rsidRDefault="00330118">
      <w:pPr>
        <w:spacing w:before="1" w:line="312" w:lineRule="auto"/>
        <w:ind w:left="100" w:right="140"/>
        <w:jc w:val="both"/>
        <w:rPr>
          <w:sz w:val="16"/>
        </w:rPr>
      </w:pPr>
      <w:r>
        <w:rPr>
          <w:sz w:val="16"/>
        </w:rPr>
        <w:t>&lt;https://sistemas.dnpm.gov.br/publicacao/mostra_imagem.asp?IDBan coArquivoArquivo=3994&gt;. Acesso em: 29 dez. 2011.</w:t>
      </w:r>
    </w:p>
    <w:p w:rsidR="00D81F69" w:rsidRDefault="00330118">
      <w:pPr>
        <w:spacing w:before="70" w:line="312" w:lineRule="auto"/>
        <w:ind w:left="100" w:right="215"/>
        <w:jc w:val="both"/>
        <w:rPr>
          <w:sz w:val="16"/>
        </w:rPr>
      </w:pPr>
      <w:r>
        <w:br w:type="column"/>
      </w:r>
      <w:r>
        <w:rPr>
          <w:sz w:val="16"/>
        </w:rPr>
        <w:lastRenderedPageBreak/>
        <w:t xml:space="preserve">MONTEIRO, Maurílio de Abreu. Meio século de mineração industrial na Amazônia e suas implicações para o desenvolvimento regional. </w:t>
      </w:r>
      <w:r>
        <w:rPr>
          <w:spacing w:val="16"/>
          <w:sz w:val="16"/>
        </w:rPr>
        <w:t xml:space="preserve">Estudos </w:t>
      </w:r>
      <w:r>
        <w:rPr>
          <w:spacing w:val="17"/>
          <w:sz w:val="16"/>
        </w:rPr>
        <w:t xml:space="preserve">Avançados, </w:t>
      </w:r>
      <w:r>
        <w:rPr>
          <w:spacing w:val="10"/>
          <w:sz w:val="16"/>
        </w:rPr>
        <w:t xml:space="preserve">19 </w:t>
      </w:r>
      <w:r>
        <w:rPr>
          <w:spacing w:val="15"/>
          <w:sz w:val="16"/>
        </w:rPr>
        <w:t xml:space="preserve">fev. 2005 </w:t>
      </w:r>
      <w:r>
        <w:rPr>
          <w:spacing w:val="10"/>
          <w:sz w:val="16"/>
        </w:rPr>
        <w:t xml:space="preserve">a. </w:t>
      </w:r>
      <w:r>
        <w:rPr>
          <w:spacing w:val="17"/>
          <w:sz w:val="16"/>
        </w:rPr>
        <w:t>Disponível</w:t>
      </w:r>
      <w:r>
        <w:rPr>
          <w:spacing w:val="36"/>
          <w:sz w:val="16"/>
        </w:rPr>
        <w:t xml:space="preserve"> </w:t>
      </w:r>
      <w:r>
        <w:rPr>
          <w:spacing w:val="12"/>
          <w:sz w:val="16"/>
        </w:rPr>
        <w:t>em:</w:t>
      </w:r>
      <w:r>
        <w:rPr>
          <w:spacing w:val="-24"/>
          <w:sz w:val="16"/>
        </w:rPr>
        <w:t xml:space="preserve"> </w:t>
      </w:r>
    </w:p>
    <w:p w:rsidR="00D81F69" w:rsidRDefault="00D81F69">
      <w:pPr>
        <w:spacing w:before="2" w:line="312" w:lineRule="auto"/>
        <w:ind w:left="100" w:right="238"/>
        <w:jc w:val="both"/>
        <w:rPr>
          <w:sz w:val="16"/>
        </w:rPr>
      </w:pPr>
      <w:hyperlink r:id="rId262">
        <w:r w:rsidR="00330118">
          <w:rPr>
            <w:sz w:val="16"/>
          </w:rPr>
          <w:t>&lt;</w:t>
        </w:r>
        <w:r w:rsidR="00330118">
          <w:rPr>
            <w:sz w:val="16"/>
          </w:rPr>
          <w:t xml:space="preserve">http://www.scielo.br/pdf/ea/v19n53/24088.pdf&gt;. </w:t>
        </w:r>
      </w:hyperlink>
      <w:r w:rsidR="00330118">
        <w:rPr>
          <w:sz w:val="16"/>
        </w:rPr>
        <w:t>Acesso em: 29 dez. 2011.</w:t>
      </w:r>
    </w:p>
    <w:p w:rsidR="00D81F69" w:rsidRDefault="00330118">
      <w:pPr>
        <w:tabs>
          <w:tab w:val="left" w:pos="726"/>
        </w:tabs>
        <w:spacing w:before="2" w:line="312" w:lineRule="auto"/>
        <w:ind w:left="100" w:right="231"/>
        <w:jc w:val="both"/>
        <w:rPr>
          <w:sz w:val="16"/>
        </w:rPr>
      </w:pPr>
      <w:r>
        <w:rPr>
          <w:sz w:val="16"/>
          <w:u w:val="single"/>
        </w:rPr>
        <w:t xml:space="preserve"> </w:t>
      </w:r>
      <w:r>
        <w:rPr>
          <w:sz w:val="16"/>
          <w:u w:val="single"/>
        </w:rPr>
        <w:tab/>
      </w:r>
      <w:r>
        <w:rPr>
          <w:sz w:val="16"/>
        </w:rPr>
        <w:t xml:space="preserve">. O arranjo produtivo mínero-metalúrgico em Barcarena (PA): </w:t>
      </w:r>
      <w:r>
        <w:rPr>
          <w:spacing w:val="5"/>
          <w:sz w:val="16"/>
        </w:rPr>
        <w:t xml:space="preserve">gênese </w:t>
      </w:r>
      <w:r>
        <w:rPr>
          <w:sz w:val="16"/>
        </w:rPr>
        <w:t xml:space="preserve">e </w:t>
      </w:r>
      <w:r>
        <w:rPr>
          <w:spacing w:val="5"/>
          <w:sz w:val="16"/>
        </w:rPr>
        <w:t xml:space="preserve">desenvolvimento. Paper </w:t>
      </w:r>
      <w:r>
        <w:rPr>
          <w:spacing w:val="2"/>
          <w:sz w:val="16"/>
        </w:rPr>
        <w:t xml:space="preserve">do </w:t>
      </w:r>
      <w:r>
        <w:rPr>
          <w:spacing w:val="5"/>
          <w:sz w:val="16"/>
        </w:rPr>
        <w:t xml:space="preserve">Naea 181. Dez. 2005 </w:t>
      </w:r>
      <w:r>
        <w:rPr>
          <w:spacing w:val="6"/>
          <w:sz w:val="16"/>
        </w:rPr>
        <w:t xml:space="preserve">b. </w:t>
      </w:r>
      <w:r>
        <w:rPr>
          <w:spacing w:val="5"/>
          <w:sz w:val="16"/>
        </w:rPr>
        <w:t>Disponível</w:t>
      </w:r>
      <w:r>
        <w:rPr>
          <w:spacing w:val="35"/>
          <w:sz w:val="16"/>
        </w:rPr>
        <w:t xml:space="preserve"> </w:t>
      </w:r>
      <w:r>
        <w:rPr>
          <w:spacing w:val="6"/>
          <w:sz w:val="16"/>
        </w:rPr>
        <w:t>em:</w:t>
      </w:r>
    </w:p>
    <w:p w:rsidR="00D81F69" w:rsidRDefault="00D81F69">
      <w:pPr>
        <w:spacing w:before="2" w:line="312" w:lineRule="auto"/>
        <w:ind w:left="100" w:right="689"/>
        <w:rPr>
          <w:sz w:val="16"/>
        </w:rPr>
      </w:pPr>
      <w:hyperlink r:id="rId263">
        <w:r w:rsidR="00330118">
          <w:rPr>
            <w:sz w:val="16"/>
          </w:rPr>
          <w:t>&lt;http://www.ufpa.br/naea/gerencia/ler_publicacao.php?id=253&gt;.</w:t>
        </w:r>
      </w:hyperlink>
      <w:r w:rsidR="00330118">
        <w:rPr>
          <w:sz w:val="16"/>
        </w:rPr>
        <w:t xml:space="preserve"> Acesso em: 27 dez. 2011.</w:t>
      </w:r>
    </w:p>
    <w:p w:rsidR="00D81F69" w:rsidRDefault="00330118">
      <w:pPr>
        <w:spacing w:before="2" w:line="312" w:lineRule="auto"/>
        <w:ind w:left="100" w:right="221"/>
        <w:jc w:val="both"/>
        <w:rPr>
          <w:sz w:val="16"/>
        </w:rPr>
      </w:pPr>
      <w:r>
        <w:rPr>
          <w:sz w:val="16"/>
        </w:rPr>
        <w:t>O LIBERAL. Acidente ambiental, Barcarena, PA: Laudo aponta contaminação de igarapés. In: Eco &amp; Ação: Ecologia e Responsabilidade, Pará, 21 jun</w:t>
      </w:r>
      <w:r>
        <w:rPr>
          <w:sz w:val="16"/>
        </w:rPr>
        <w:t xml:space="preserve">. 2007. Disponível em: </w:t>
      </w:r>
    </w:p>
    <w:p w:rsidR="00D81F69" w:rsidRDefault="00D81F69">
      <w:pPr>
        <w:spacing w:before="2" w:line="312" w:lineRule="auto"/>
        <w:ind w:left="100" w:right="256"/>
        <w:jc w:val="both"/>
        <w:rPr>
          <w:sz w:val="16"/>
        </w:rPr>
      </w:pPr>
      <w:hyperlink r:id="rId264">
        <w:r w:rsidR="00330118">
          <w:rPr>
            <w:sz w:val="16"/>
          </w:rPr>
          <w:t>&lt;http://www.ecoeacao.com.br/index2.php?option=com_content&amp;do_p</w:t>
        </w:r>
      </w:hyperlink>
      <w:r w:rsidR="00330118">
        <w:rPr>
          <w:sz w:val="16"/>
        </w:rPr>
        <w:t xml:space="preserve"> df=1&amp;id=2403&gt;. Acesso em: 29 dez. 2011.</w:t>
      </w:r>
    </w:p>
    <w:p w:rsidR="00D81F69" w:rsidRDefault="00330118">
      <w:pPr>
        <w:spacing w:before="2" w:line="312" w:lineRule="auto"/>
        <w:ind w:left="100" w:right="228"/>
        <w:jc w:val="both"/>
        <w:rPr>
          <w:sz w:val="16"/>
        </w:rPr>
      </w:pPr>
      <w:r>
        <w:rPr>
          <w:sz w:val="16"/>
        </w:rPr>
        <w:t xml:space="preserve">PINTO, Lúcio Flávio. A Amazônia diante de seu </w:t>
      </w:r>
      <w:r>
        <w:rPr>
          <w:sz w:val="16"/>
        </w:rPr>
        <w:t>maior desastre ecológico. Terramérica, Belém, 9 jul. 2007. Disponível em:</w:t>
      </w:r>
    </w:p>
    <w:p w:rsidR="00D81F69" w:rsidRDefault="00D81F69">
      <w:pPr>
        <w:spacing w:before="2" w:line="312" w:lineRule="auto"/>
        <w:ind w:left="100" w:right="232"/>
        <w:jc w:val="both"/>
        <w:rPr>
          <w:sz w:val="16"/>
        </w:rPr>
      </w:pPr>
      <w:hyperlink r:id="rId265">
        <w:r w:rsidR="00330118">
          <w:rPr>
            <w:sz w:val="16"/>
          </w:rPr>
          <w:t>&lt;http://www.tierramerica.info/nota.php?lang=port&amp;idnews=667&gt;.</w:t>
        </w:r>
      </w:hyperlink>
      <w:r w:rsidR="00330118">
        <w:rPr>
          <w:sz w:val="16"/>
        </w:rPr>
        <w:t xml:space="preserve"> Acesso em: 27 dez. 2011.</w:t>
      </w:r>
    </w:p>
    <w:p w:rsidR="00D81F69" w:rsidRDefault="00330118">
      <w:pPr>
        <w:spacing w:before="1" w:line="312" w:lineRule="auto"/>
        <w:ind w:left="100" w:right="236"/>
        <w:jc w:val="both"/>
        <w:rPr>
          <w:sz w:val="16"/>
        </w:rPr>
      </w:pPr>
      <w:r>
        <w:rPr>
          <w:sz w:val="16"/>
        </w:rPr>
        <w:t>PORTAL GLOBO G1. Responsáveis por mineradoras no Pará são indiciados. In: Globo.com, São Paulo, 14 jun. 2007. Disponível em:</w:t>
      </w:r>
    </w:p>
    <w:p w:rsidR="00D81F69" w:rsidRDefault="00D81F69">
      <w:pPr>
        <w:spacing w:before="2" w:line="312" w:lineRule="auto"/>
        <w:ind w:left="100" w:right="250"/>
        <w:jc w:val="both"/>
        <w:rPr>
          <w:sz w:val="16"/>
        </w:rPr>
      </w:pPr>
      <w:hyperlink r:id="rId266">
        <w:r w:rsidR="00330118">
          <w:rPr>
            <w:sz w:val="16"/>
          </w:rPr>
          <w:t>&lt;http://g1.globo.com/Noticias/Brasil/0,,MUL5254</w:t>
        </w:r>
        <w:r w:rsidR="00330118">
          <w:rPr>
            <w:sz w:val="16"/>
          </w:rPr>
          <w:t>4-5598,00.html&gt;</w:t>
        </w:r>
      </w:hyperlink>
      <w:r w:rsidR="00330118">
        <w:rPr>
          <w:sz w:val="16"/>
        </w:rPr>
        <w:t xml:space="preserve"> Acesso em: 29 dez. 2011.</w:t>
      </w:r>
    </w:p>
    <w:p w:rsidR="00D81F69" w:rsidRDefault="00330118">
      <w:pPr>
        <w:spacing w:before="1" w:line="312" w:lineRule="auto"/>
        <w:ind w:left="100" w:right="237"/>
        <w:jc w:val="both"/>
        <w:rPr>
          <w:sz w:val="16"/>
        </w:rPr>
      </w:pPr>
      <w:r>
        <w:rPr>
          <w:sz w:val="16"/>
        </w:rPr>
        <w:t xml:space="preserve">PORTAL ORM. Caulim vaza de novo em rio. Pará, 3 de mar. 2008. Disponível em: </w:t>
      </w:r>
      <w:hyperlink r:id="rId267">
        <w:r>
          <w:rPr>
            <w:sz w:val="16"/>
          </w:rPr>
          <w:t>&lt;http://www.skyscrapercity.com/archive/index.php/t-</w:t>
        </w:r>
      </w:hyperlink>
      <w:r>
        <w:rPr>
          <w:sz w:val="16"/>
        </w:rPr>
        <w:t xml:space="preserve"> 590042.html&gt;. Aces</w:t>
      </w:r>
      <w:r>
        <w:rPr>
          <w:sz w:val="16"/>
        </w:rPr>
        <w:t>so em: 29 dez. 2011.</w:t>
      </w:r>
    </w:p>
    <w:p w:rsidR="00D81F69" w:rsidRDefault="00330118">
      <w:pPr>
        <w:spacing w:before="3"/>
        <w:ind w:left="100"/>
        <w:jc w:val="both"/>
        <w:rPr>
          <w:sz w:val="16"/>
        </w:rPr>
      </w:pPr>
      <w:r>
        <w:rPr>
          <w:sz w:val="16"/>
        </w:rPr>
        <w:t>SILVA, Sebastião Pereira da. Caulim. Balanço Mineral Brasileiro,</w:t>
      </w:r>
    </w:p>
    <w:p w:rsidR="00D81F69" w:rsidRDefault="00330118">
      <w:pPr>
        <w:tabs>
          <w:tab w:val="left" w:pos="1785"/>
          <w:tab w:val="left" w:pos="4548"/>
        </w:tabs>
        <w:spacing w:before="56"/>
        <w:ind w:left="100"/>
        <w:jc w:val="both"/>
        <w:rPr>
          <w:sz w:val="16"/>
        </w:rPr>
      </w:pPr>
      <w:r>
        <w:rPr>
          <w:sz w:val="16"/>
        </w:rPr>
        <w:t xml:space="preserve">2   0   0  </w:t>
      </w:r>
      <w:r>
        <w:rPr>
          <w:spacing w:val="35"/>
          <w:sz w:val="16"/>
        </w:rPr>
        <w:t xml:space="preserve"> </w:t>
      </w:r>
      <w:r>
        <w:rPr>
          <w:sz w:val="16"/>
        </w:rPr>
        <w:t xml:space="preserve">1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2"/>
          <w:sz w:val="16"/>
        </w:rPr>
        <w:t xml:space="preserve"> </w:t>
      </w:r>
      <w:r>
        <w:rPr>
          <w:sz w:val="16"/>
        </w:rPr>
        <w:t>:</w:t>
      </w:r>
    </w:p>
    <w:p w:rsidR="00D81F69" w:rsidRDefault="00D81F69">
      <w:pPr>
        <w:spacing w:before="56" w:line="312" w:lineRule="auto"/>
        <w:ind w:left="100" w:right="256"/>
        <w:jc w:val="both"/>
        <w:rPr>
          <w:sz w:val="16"/>
        </w:rPr>
      </w:pPr>
      <w:hyperlink r:id="rId268">
        <w:r w:rsidR="00330118">
          <w:rPr>
            <w:sz w:val="16"/>
          </w:rPr>
          <w:t>&lt;</w:t>
        </w:r>
        <w:r w:rsidR="00330118">
          <w:rPr>
            <w:sz w:val="16"/>
          </w:rPr>
          <w:t>http://www.dnpm.gov.br/assets/galeriadocumento/balancomineral20</w:t>
        </w:r>
      </w:hyperlink>
      <w:r w:rsidR="00330118">
        <w:rPr>
          <w:sz w:val="16"/>
        </w:rPr>
        <w:t xml:space="preserve"> 01/caulim.pdf&gt;. Acesso em: 29 dez. 2011.</w:t>
      </w:r>
    </w:p>
    <w:p w:rsidR="00D81F69" w:rsidRDefault="00330118">
      <w:pPr>
        <w:spacing w:before="2" w:line="312" w:lineRule="auto"/>
        <w:ind w:left="100" w:right="229"/>
        <w:jc w:val="both"/>
        <w:rPr>
          <w:sz w:val="16"/>
        </w:rPr>
      </w:pPr>
      <w:r>
        <w:rPr>
          <w:sz w:val="16"/>
        </w:rPr>
        <w:t>TRINDADE, Joseline Simone Barreto. Território Quilombola de Jambuaçu: conflitos socioambientais e as estratégias “participativas” da mineradora Vale S.</w:t>
      </w:r>
      <w:r>
        <w:rPr>
          <w:sz w:val="16"/>
        </w:rPr>
        <w:t xml:space="preserve">A. In: XI Congresso Luso Afro Brasileiro de Ciências Sociais. Salvador, ago. 2011. Disponível </w:t>
      </w:r>
      <w:hyperlink r:id="rId269">
        <w:r>
          <w:rPr>
            <w:sz w:val="16"/>
          </w:rPr>
          <w:t>em:&lt;http://www.xiconlab.eventos.dype.com.br/resources/anais/3/1308</w:t>
        </w:r>
      </w:hyperlink>
      <w:r>
        <w:rPr>
          <w:sz w:val="16"/>
        </w:rPr>
        <w:t xml:space="preserve"> 238626_ARQUIVO_</w:t>
      </w:r>
      <w:r>
        <w:rPr>
          <w:sz w:val="16"/>
        </w:rPr>
        <w:t>ART.JOSLEINETerritorioquilombOladeJambuacu</w:t>
      </w:r>
    </w:p>
    <w:p w:rsidR="00D81F69" w:rsidRDefault="00330118">
      <w:pPr>
        <w:spacing w:before="5"/>
        <w:ind w:left="100"/>
        <w:jc w:val="both"/>
        <w:rPr>
          <w:sz w:val="16"/>
        </w:rPr>
      </w:pPr>
      <w:r>
        <w:rPr>
          <w:sz w:val="16"/>
        </w:rPr>
        <w:t>.pdf&gt;. Acesso em: 29 dez. 2011.</w:t>
      </w:r>
    </w:p>
    <w:p w:rsidR="00D81F69" w:rsidRDefault="00330118">
      <w:pPr>
        <w:spacing w:before="56" w:line="312" w:lineRule="auto"/>
        <w:ind w:left="100" w:right="175"/>
        <w:jc w:val="both"/>
        <w:rPr>
          <w:sz w:val="16"/>
        </w:rPr>
      </w:pPr>
      <w:r>
        <w:rPr>
          <w:spacing w:val="1"/>
          <w:sz w:val="16"/>
        </w:rPr>
        <w:t xml:space="preserve">VIDAL, Mariângela. Revegetação </w:t>
      </w:r>
      <w:r>
        <w:rPr>
          <w:sz w:val="16"/>
        </w:rPr>
        <w:t xml:space="preserve">da </w:t>
      </w:r>
      <w:r>
        <w:rPr>
          <w:spacing w:val="1"/>
          <w:sz w:val="16"/>
        </w:rPr>
        <w:t xml:space="preserve">Área </w:t>
      </w:r>
      <w:r>
        <w:rPr>
          <w:sz w:val="16"/>
        </w:rPr>
        <w:t xml:space="preserve">de </w:t>
      </w:r>
      <w:r>
        <w:rPr>
          <w:spacing w:val="1"/>
          <w:sz w:val="16"/>
        </w:rPr>
        <w:t xml:space="preserve">Caulim </w:t>
      </w:r>
      <w:r>
        <w:rPr>
          <w:sz w:val="16"/>
        </w:rPr>
        <w:t xml:space="preserve">na </w:t>
      </w:r>
      <w:r>
        <w:rPr>
          <w:spacing w:val="1"/>
          <w:sz w:val="16"/>
        </w:rPr>
        <w:t xml:space="preserve">Zona </w:t>
      </w:r>
      <w:r>
        <w:rPr>
          <w:spacing w:val="2"/>
          <w:sz w:val="16"/>
        </w:rPr>
        <w:t xml:space="preserve">da </w:t>
      </w:r>
      <w:r>
        <w:rPr>
          <w:spacing w:val="5"/>
          <w:sz w:val="16"/>
        </w:rPr>
        <w:t xml:space="preserve">Mata, </w:t>
      </w:r>
      <w:r>
        <w:rPr>
          <w:spacing w:val="2"/>
          <w:sz w:val="16"/>
        </w:rPr>
        <w:t xml:space="preserve">em </w:t>
      </w:r>
      <w:r>
        <w:rPr>
          <w:spacing w:val="5"/>
          <w:sz w:val="16"/>
        </w:rPr>
        <w:t xml:space="preserve">Minas Gerais: </w:t>
      </w:r>
      <w:r>
        <w:rPr>
          <w:spacing w:val="2"/>
          <w:sz w:val="16"/>
        </w:rPr>
        <w:t xml:space="preserve">um </w:t>
      </w:r>
      <w:r>
        <w:rPr>
          <w:spacing w:val="5"/>
          <w:sz w:val="16"/>
        </w:rPr>
        <w:t xml:space="preserve">estudo </w:t>
      </w:r>
      <w:r>
        <w:rPr>
          <w:spacing w:val="2"/>
          <w:sz w:val="16"/>
        </w:rPr>
        <w:t xml:space="preserve">de </w:t>
      </w:r>
      <w:r>
        <w:rPr>
          <w:spacing w:val="5"/>
          <w:sz w:val="16"/>
        </w:rPr>
        <w:t xml:space="preserve">caso. 2001, </w:t>
      </w:r>
      <w:r>
        <w:rPr>
          <w:spacing w:val="2"/>
          <w:sz w:val="16"/>
        </w:rPr>
        <w:t xml:space="preserve">86 </w:t>
      </w:r>
      <w:r>
        <w:rPr>
          <w:spacing w:val="6"/>
          <w:sz w:val="16"/>
        </w:rPr>
        <w:t xml:space="preserve">f.Tese </w:t>
      </w:r>
      <w:r>
        <w:rPr>
          <w:sz w:val="16"/>
        </w:rPr>
        <w:t>(Doutorado em Ciência Florestal).  Universidade  Federal  de  V</w:t>
      </w:r>
      <w:r>
        <w:rPr>
          <w:sz w:val="16"/>
        </w:rPr>
        <w:t xml:space="preserve">içosa, </w:t>
      </w:r>
      <w:r>
        <w:rPr>
          <w:spacing w:val="16"/>
          <w:sz w:val="16"/>
        </w:rPr>
        <w:t>V</w:t>
      </w:r>
      <w:r>
        <w:rPr>
          <w:sz w:val="16"/>
        </w:rPr>
        <w:t xml:space="preserve"> </w:t>
      </w:r>
      <w:r>
        <w:rPr>
          <w:spacing w:val="16"/>
          <w:sz w:val="16"/>
        </w:rPr>
        <w:t>i</w:t>
      </w:r>
      <w:r>
        <w:rPr>
          <w:sz w:val="16"/>
        </w:rPr>
        <w:t xml:space="preserve"> </w:t>
      </w:r>
      <w:r>
        <w:rPr>
          <w:spacing w:val="16"/>
          <w:sz w:val="16"/>
        </w:rPr>
        <w:t>ç</w:t>
      </w:r>
      <w:r>
        <w:rPr>
          <w:sz w:val="16"/>
        </w:rPr>
        <w:t xml:space="preserve"> </w:t>
      </w:r>
      <w:r>
        <w:rPr>
          <w:spacing w:val="16"/>
          <w:sz w:val="16"/>
        </w:rPr>
        <w:t>o</w:t>
      </w:r>
      <w:r>
        <w:rPr>
          <w:sz w:val="16"/>
        </w:rPr>
        <w:t xml:space="preserve"> </w:t>
      </w:r>
      <w:r>
        <w:rPr>
          <w:spacing w:val="16"/>
          <w:sz w:val="16"/>
        </w:rPr>
        <w:t>s</w:t>
      </w:r>
      <w:r>
        <w:rPr>
          <w:sz w:val="16"/>
        </w:rPr>
        <w:t xml:space="preserve"> </w:t>
      </w:r>
      <w:r>
        <w:rPr>
          <w:spacing w:val="16"/>
          <w:sz w:val="16"/>
        </w:rPr>
        <w:t>a</w:t>
      </w:r>
      <w:r>
        <w:rPr>
          <w:sz w:val="16"/>
        </w:rPr>
        <w:t xml:space="preserve"> ,</w:t>
      </w:r>
      <w:r>
        <w:rPr>
          <w:spacing w:val="20"/>
          <w:sz w:val="16"/>
        </w:rPr>
        <w:t xml:space="preserve"> </w:t>
      </w:r>
      <w:r>
        <w:rPr>
          <w:spacing w:val="16"/>
          <w:sz w:val="16"/>
        </w:rPr>
        <w:t>M</w:t>
      </w:r>
      <w:r>
        <w:rPr>
          <w:sz w:val="16"/>
        </w:rPr>
        <w:t xml:space="preserve"> </w:t>
      </w:r>
      <w:r>
        <w:rPr>
          <w:spacing w:val="16"/>
          <w:sz w:val="16"/>
        </w:rPr>
        <w:t>G</w:t>
      </w:r>
      <w:r>
        <w:rPr>
          <w:sz w:val="16"/>
        </w:rPr>
        <w:t xml:space="preserve"> ,</w:t>
      </w:r>
      <w:r>
        <w:rPr>
          <w:spacing w:val="20"/>
          <w:sz w:val="16"/>
        </w:rPr>
        <w:t xml:space="preserve"> </w:t>
      </w:r>
      <w:r>
        <w:rPr>
          <w:spacing w:val="16"/>
          <w:sz w:val="16"/>
        </w:rPr>
        <w:t>2</w:t>
      </w:r>
      <w:r>
        <w:rPr>
          <w:sz w:val="16"/>
        </w:rPr>
        <w:t xml:space="preserve"> </w:t>
      </w:r>
      <w:r>
        <w:rPr>
          <w:spacing w:val="16"/>
          <w:sz w:val="16"/>
        </w:rPr>
        <w:t>0</w:t>
      </w:r>
      <w:r>
        <w:rPr>
          <w:sz w:val="16"/>
        </w:rPr>
        <w:t xml:space="preserve"> </w:t>
      </w:r>
      <w:r>
        <w:rPr>
          <w:spacing w:val="16"/>
          <w:sz w:val="16"/>
        </w:rPr>
        <w:t>0</w:t>
      </w:r>
      <w:r>
        <w:rPr>
          <w:sz w:val="16"/>
        </w:rPr>
        <w:t xml:space="preserve"> </w:t>
      </w:r>
      <w:r>
        <w:rPr>
          <w:spacing w:val="16"/>
          <w:sz w:val="16"/>
        </w:rPr>
        <w:t>1</w:t>
      </w:r>
      <w:r>
        <w:rPr>
          <w:sz w:val="16"/>
        </w:rPr>
        <w:t xml:space="preserve"> .</w:t>
      </w:r>
      <w:r>
        <w:rPr>
          <w:spacing w:val="20"/>
          <w:sz w:val="16"/>
        </w:rPr>
        <w:t xml:space="preserve"> </w:t>
      </w:r>
      <w:r>
        <w:rPr>
          <w:spacing w:val="16"/>
          <w:sz w:val="16"/>
        </w:rPr>
        <w:t>D</w:t>
      </w:r>
      <w:r>
        <w:rPr>
          <w:sz w:val="16"/>
        </w:rPr>
        <w:t xml:space="preserve"> </w:t>
      </w:r>
      <w:r>
        <w:rPr>
          <w:spacing w:val="16"/>
          <w:sz w:val="16"/>
        </w:rPr>
        <w:t>i</w:t>
      </w:r>
      <w:r>
        <w:rPr>
          <w:sz w:val="16"/>
        </w:rPr>
        <w:t xml:space="preserve"> </w:t>
      </w:r>
      <w:r>
        <w:rPr>
          <w:spacing w:val="16"/>
          <w:sz w:val="16"/>
        </w:rPr>
        <w:t>s</w:t>
      </w:r>
      <w:r>
        <w:rPr>
          <w:sz w:val="16"/>
        </w:rPr>
        <w:t xml:space="preserve"> </w:t>
      </w:r>
      <w:r>
        <w:rPr>
          <w:spacing w:val="16"/>
          <w:sz w:val="16"/>
        </w:rPr>
        <w:t>p</w:t>
      </w:r>
      <w:r>
        <w:rPr>
          <w:sz w:val="16"/>
        </w:rPr>
        <w:t xml:space="preserve"> </w:t>
      </w:r>
      <w:r>
        <w:rPr>
          <w:spacing w:val="16"/>
          <w:sz w:val="16"/>
        </w:rPr>
        <w:t>o</w:t>
      </w:r>
      <w:r>
        <w:rPr>
          <w:sz w:val="16"/>
        </w:rPr>
        <w:t xml:space="preserve"> </w:t>
      </w:r>
      <w:r>
        <w:rPr>
          <w:spacing w:val="16"/>
          <w:sz w:val="16"/>
        </w:rPr>
        <w:t>n</w:t>
      </w:r>
      <w:r>
        <w:rPr>
          <w:sz w:val="16"/>
        </w:rPr>
        <w:t xml:space="preserve"> </w:t>
      </w:r>
      <w:r>
        <w:rPr>
          <w:spacing w:val="16"/>
          <w:sz w:val="16"/>
        </w:rPr>
        <w:t>í</w:t>
      </w:r>
      <w:r>
        <w:rPr>
          <w:sz w:val="16"/>
        </w:rPr>
        <w:t xml:space="preserve"> </w:t>
      </w:r>
      <w:r>
        <w:rPr>
          <w:spacing w:val="16"/>
          <w:sz w:val="16"/>
        </w:rPr>
        <w:t>v</w:t>
      </w:r>
      <w:r>
        <w:rPr>
          <w:sz w:val="16"/>
        </w:rPr>
        <w:t xml:space="preserve"> </w:t>
      </w:r>
      <w:r>
        <w:rPr>
          <w:spacing w:val="16"/>
          <w:sz w:val="16"/>
        </w:rPr>
        <w:t>e</w:t>
      </w:r>
      <w:r>
        <w:rPr>
          <w:sz w:val="16"/>
        </w:rPr>
        <w:t xml:space="preserve"> l</w:t>
      </w:r>
      <w:r>
        <w:rPr>
          <w:spacing w:val="20"/>
          <w:sz w:val="16"/>
        </w:rPr>
        <w:t xml:space="preserve"> </w:t>
      </w:r>
      <w:r>
        <w:rPr>
          <w:spacing w:val="16"/>
          <w:sz w:val="16"/>
        </w:rPr>
        <w:t>e</w:t>
      </w:r>
      <w:r>
        <w:rPr>
          <w:sz w:val="16"/>
        </w:rPr>
        <w:t xml:space="preserve"> </w:t>
      </w:r>
      <w:r>
        <w:rPr>
          <w:spacing w:val="16"/>
          <w:sz w:val="16"/>
        </w:rPr>
        <w:t>m</w:t>
      </w:r>
      <w:r>
        <w:rPr>
          <w:sz w:val="16"/>
        </w:rPr>
        <w:t xml:space="preserve"> :</w:t>
      </w:r>
      <w:r>
        <w:rPr>
          <w:spacing w:val="17"/>
          <w:sz w:val="16"/>
        </w:rPr>
        <w:t xml:space="preserve"> </w:t>
      </w:r>
    </w:p>
    <w:p w:rsidR="00D81F69" w:rsidRDefault="00D81F69">
      <w:pPr>
        <w:spacing w:before="3" w:line="312" w:lineRule="auto"/>
        <w:ind w:left="100" w:right="238"/>
        <w:jc w:val="both"/>
        <w:rPr>
          <w:sz w:val="16"/>
        </w:rPr>
      </w:pPr>
      <w:hyperlink r:id="rId270">
        <w:r w:rsidR="00330118">
          <w:rPr>
            <w:sz w:val="16"/>
          </w:rPr>
          <w:t xml:space="preserve">&lt;http://www.ipef.br/servicos/teses/arquivos/vidal,m.pdf&gt;. </w:t>
        </w:r>
      </w:hyperlink>
      <w:r w:rsidR="00330118">
        <w:rPr>
          <w:sz w:val="16"/>
        </w:rPr>
        <w:t>Acesso em: 29 dez. 2011.</w:t>
      </w:r>
    </w:p>
    <w:p w:rsidR="00D81F69" w:rsidRDefault="00D81F69">
      <w:pPr>
        <w:spacing w:line="312" w:lineRule="auto"/>
        <w:jc w:val="both"/>
        <w:rPr>
          <w:sz w:val="16"/>
        </w:rPr>
        <w:sectPr w:rsidR="00D81F69">
          <w:pgSz w:w="11900" w:h="16840"/>
          <w:pgMar w:top="740" w:right="460" w:bottom="720" w:left="620" w:header="0" w:footer="402" w:gutter="0"/>
          <w:cols w:num="2" w:space="720" w:equalWidth="0">
            <w:col w:w="5234" w:space="236"/>
            <w:col w:w="5350"/>
          </w:cols>
        </w:sectPr>
      </w:pPr>
    </w:p>
    <w:p w:rsidR="00D81F69" w:rsidRDefault="00330118">
      <w:pPr>
        <w:pStyle w:val="Heading1"/>
        <w:spacing w:line="208" w:lineRule="auto"/>
        <w:ind w:right="0"/>
      </w:pPr>
      <w:bookmarkStart w:id="26" w:name="_TOC_250007"/>
      <w:bookmarkEnd w:id="26"/>
      <w:r>
        <w:lastRenderedPageBreak/>
        <w:t>Projeto de mineração de cobre em Marabá (PA) causa danos socioambientais</w:t>
      </w:r>
    </w:p>
    <w:p w:rsidR="00D81F69" w:rsidRDefault="00D81F69">
      <w:pPr>
        <w:pStyle w:val="Corpodetexto"/>
        <w:ind w:left="0"/>
        <w:jc w:val="left"/>
        <w:rPr>
          <w:b/>
          <w:sz w:val="20"/>
        </w:rPr>
      </w:pPr>
    </w:p>
    <w:p w:rsidR="00D81F69" w:rsidRDefault="00D81F69">
      <w:pPr>
        <w:rPr>
          <w:sz w:val="20"/>
        </w:rPr>
        <w:sectPr w:rsidR="00D81F69">
          <w:pgSz w:w="11900" w:h="16840"/>
          <w:pgMar w:top="1080" w:right="46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PA - Marabá</w:t>
      </w:r>
    </w:p>
    <w:p w:rsidR="00D81F69" w:rsidRDefault="00330118">
      <w:pPr>
        <w:spacing w:before="49"/>
        <w:ind w:left="135"/>
        <w:rPr>
          <w:i/>
          <w:sz w:val="14"/>
        </w:rPr>
      </w:pPr>
      <w:r>
        <w:rPr>
          <w:i/>
          <w:sz w:val="14"/>
        </w:rPr>
        <w:t>PA - Parauapebas</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-5,3699</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-49,1169</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8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Localizado na Floresta Nacional Tapirapé-Aquiri, no sudeste do Pará, o </w:t>
      </w:r>
      <w:r>
        <w:rPr>
          <w:i/>
          <w:sz w:val="16"/>
        </w:rPr>
        <w:t>projeto Salobo possui a maior jazida de cobre já descoberta no Brasil. Apesar de contribuir para a geração de empregos, modernização e crescimento de empresas prestadoras de serviços, o projeto tem causado uma série de impactos socioambientais pelos movime</w:t>
      </w:r>
      <w:r>
        <w:rPr>
          <w:i/>
          <w:sz w:val="16"/>
        </w:rPr>
        <w:t xml:space="preserve">ntos migratórios, pela construção de infraestrutura e pela própria exploração mineral. </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8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53"/>
      </w:pPr>
      <w:r>
        <w:t>2011) e começou a operar em 2012, com capacidade nominal de 100 mil toneladas métricas por ano de cobre concentrado (REUTERS, 2011). O projeto prevê também a extração de cobre associada ao ouro (HASHIZUME, 2007), com produção estimada de 130 mil onças de o</w:t>
      </w:r>
      <w:r>
        <w:t>uro por ano, em sua primeira fase (REUTERS, 2011). Segundo a empresa, o projeto será seguido do Salobo II, com início de operação previsto para o segundo semestre de 2013, e somará mais 100 mil toneladas métricas por ano à capacidade de produção de cobre d</w:t>
      </w:r>
      <w:r>
        <w:t>a Vale (ECOFINANÇAS, 2012).</w:t>
      </w:r>
    </w:p>
    <w:p w:rsidR="00D81F69" w:rsidRDefault="00330118">
      <w:pPr>
        <w:pStyle w:val="Corpodetexto"/>
        <w:spacing w:before="139" w:line="312" w:lineRule="auto"/>
        <w:ind w:left="135" w:right="196"/>
      </w:pPr>
      <w:r>
        <w:t>Situada a 485 km da capital Belém, Marabá encontra-se entre dois grandes rios, Itacaiúnas e Tocantins (PREFEITURA MUNICIPAL DE MARABÁ, 2011). Com 15.128 km² e 233.462</w:t>
      </w:r>
    </w:p>
    <w:p w:rsidR="00D81F69" w:rsidRDefault="00D81F69">
      <w:pPr>
        <w:spacing w:line="312" w:lineRule="auto"/>
        <w:sectPr w:rsidR="00D81F69">
          <w:type w:val="continuous"/>
          <w:pgSz w:w="11900" w:h="16840"/>
          <w:pgMar w:top="720" w:right="460" w:bottom="280" w:left="620" w:header="720" w:footer="720" w:gutter="0"/>
          <w:cols w:num="3" w:space="720" w:equalWidth="0">
            <w:col w:w="1320" w:space="680"/>
            <w:col w:w="3116" w:space="319"/>
            <w:col w:w="5385"/>
          </w:cols>
        </w:sectPr>
      </w:pPr>
    </w:p>
    <w:p w:rsidR="00D81F69" w:rsidRDefault="00330118">
      <w:pPr>
        <w:pStyle w:val="Heading4"/>
        <w:spacing w:before="26"/>
      </w:pPr>
      <w:r>
        <w:lastRenderedPageBreak/>
        <w:t>APRESENTAÇÃO DE CASO</w:t>
      </w:r>
    </w:p>
    <w:p w:rsidR="00D81F69" w:rsidRDefault="00330118">
      <w:pPr>
        <w:pStyle w:val="Corpodetexto"/>
        <w:spacing w:before="171" w:line="312" w:lineRule="auto"/>
        <w:ind w:right="42"/>
      </w:pPr>
      <w:r>
        <w:t>Depois d</w:t>
      </w:r>
      <w:r>
        <w:t xml:space="preserve">o </w:t>
      </w:r>
      <w:hyperlink r:id="rId271">
        <w:r>
          <w:t>alumínio,</w:t>
        </w:r>
      </w:hyperlink>
      <w:r>
        <w:t xml:space="preserve"> o </w:t>
      </w:r>
      <w:hyperlink r:id="rId272">
        <w:r>
          <w:t>cobre</w:t>
        </w:r>
      </w:hyperlink>
      <w:r>
        <w:t xml:space="preserve"> é o metal não ferroso mais utilizado no mundo em vários </w:t>
      </w:r>
      <w:r>
        <w:t>setores da indústria por ser um excelente condutor. A produção de cobre concentrado – minério que tem entre 30% e 38% de cobre fino (MENDES; VIEIRA, 2010) – tem crescido rapidamente no Brasil. Em 2009, ela foi de 210 mil toneladas, contra apenas 26,2 mil t</w:t>
      </w:r>
      <w:r>
        <w:t>oneladas em 2003. O país mais do que dobrará sua produção de cobre até 2014, com cinco novos projetos. A Vale vai responder pela maior parte dos investimentos, com dois projetos no Pará (MURPHY, 2010).</w:t>
      </w:r>
    </w:p>
    <w:p w:rsidR="00D81F69" w:rsidRDefault="00330118">
      <w:pPr>
        <w:pStyle w:val="Corpodetexto"/>
        <w:spacing w:before="139" w:line="312" w:lineRule="auto"/>
        <w:ind w:right="58"/>
      </w:pPr>
      <w:r>
        <w:t>A meta da empresa é alcançar, até 2017, produção anual</w:t>
      </w:r>
      <w:r>
        <w:t xml:space="preserve"> de um milhão de toneladas de cobre contido, em suas minas no Brasil e no exterior. Desse total, a maior parte deve ser produzida no Pará: entre 600 e 700 mil toneladas (DIÁRIO ONLINE, 2011).</w:t>
      </w:r>
    </w:p>
    <w:p w:rsidR="00D81F69" w:rsidRDefault="00330118">
      <w:pPr>
        <w:pStyle w:val="Corpodetexto"/>
        <w:spacing w:before="134" w:line="312" w:lineRule="auto"/>
        <w:ind w:right="44"/>
      </w:pPr>
      <w:r>
        <w:t>Um dos projetos da Vale é o Salobo. Localizado na Floresta Nacio</w:t>
      </w:r>
      <w:r>
        <w:t>nal (Flona) Tapirapé-Aquiri, no extremo oeste do município de Marabá, e a 90 km de Parauapebas, no sudeste do Pará, a iniciativa vai explorar a maior jazida de cobre já descoberta no Brasil (FOLHA DO SUDESTE ONLINE, 2010), com 1,242 bilhões de toneladas de</w:t>
      </w:r>
      <w:r>
        <w:t xml:space="preserve"> minério e teores de 0,72% (DNPM, 2009 apud MENDES; VIEIRA, 2010).</w:t>
      </w:r>
    </w:p>
    <w:p w:rsidR="00D81F69" w:rsidRDefault="00330118">
      <w:pPr>
        <w:pStyle w:val="Corpodetexto"/>
        <w:spacing w:before="137" w:line="312" w:lineRule="auto"/>
        <w:ind w:right="38"/>
      </w:pPr>
      <w:r>
        <w:t xml:space="preserve">O </w:t>
      </w:r>
      <w:r>
        <w:rPr>
          <w:spacing w:val="5"/>
        </w:rPr>
        <w:t xml:space="preserve">depósito cuprífero, localizado </w:t>
      </w:r>
      <w:r>
        <w:rPr>
          <w:spacing w:val="2"/>
        </w:rPr>
        <w:t xml:space="preserve">na </w:t>
      </w:r>
      <w:r>
        <w:rPr>
          <w:spacing w:val="5"/>
        </w:rPr>
        <w:t>Província Mineral de</w:t>
      </w:r>
      <w:r>
        <w:rPr>
          <w:spacing w:val="61"/>
        </w:rPr>
        <w:t xml:space="preserve"> </w:t>
      </w:r>
      <w:r>
        <w:rPr>
          <w:spacing w:val="1"/>
        </w:rPr>
        <w:t xml:space="preserve">Carajás, está situado </w:t>
      </w:r>
      <w:r>
        <w:t xml:space="preserve">à </w:t>
      </w:r>
      <w:r>
        <w:rPr>
          <w:spacing w:val="1"/>
        </w:rPr>
        <w:t xml:space="preserve">margem direita </w:t>
      </w:r>
      <w:r>
        <w:t xml:space="preserve">do </w:t>
      </w:r>
      <w:r>
        <w:rPr>
          <w:spacing w:val="1"/>
        </w:rPr>
        <w:t xml:space="preserve">igarapé </w:t>
      </w:r>
      <w:r>
        <w:rPr>
          <w:spacing w:val="2"/>
        </w:rPr>
        <w:t xml:space="preserve">Salobo, </w:t>
      </w:r>
      <w:r>
        <w:rPr>
          <w:spacing w:val="5"/>
        </w:rPr>
        <w:t xml:space="preserve">afluente </w:t>
      </w:r>
      <w:r>
        <w:rPr>
          <w:spacing w:val="2"/>
        </w:rPr>
        <w:t xml:space="preserve">do </w:t>
      </w:r>
      <w:r>
        <w:rPr>
          <w:spacing w:val="3"/>
        </w:rPr>
        <w:t xml:space="preserve">rio </w:t>
      </w:r>
      <w:r>
        <w:rPr>
          <w:spacing w:val="5"/>
        </w:rPr>
        <w:t xml:space="preserve">Itacaiúnas (TOLEDO-GROKEL; </w:t>
      </w:r>
      <w:r>
        <w:rPr>
          <w:spacing w:val="6"/>
        </w:rPr>
        <w:t xml:space="preserve">MELFIA; </w:t>
      </w:r>
      <w:r>
        <w:t>PARISOT, 1987). O empre</w:t>
      </w:r>
      <w:r>
        <w:t xml:space="preserve">eendimento pertence à empresa </w:t>
      </w:r>
      <w:r>
        <w:rPr>
          <w:spacing w:val="5"/>
        </w:rPr>
        <w:t xml:space="preserve">Salobo Metais, joint venture formada pela Vale </w:t>
      </w:r>
      <w:r>
        <w:t xml:space="preserve">e </w:t>
      </w:r>
      <w:r>
        <w:rPr>
          <w:spacing w:val="7"/>
        </w:rPr>
        <w:t xml:space="preserve">pela </w:t>
      </w:r>
      <w:r>
        <w:rPr>
          <w:spacing w:val="5"/>
        </w:rPr>
        <w:t xml:space="preserve">Mineração </w:t>
      </w:r>
      <w:r>
        <w:rPr>
          <w:spacing w:val="3"/>
        </w:rPr>
        <w:t xml:space="preserve">Morro </w:t>
      </w:r>
      <w:r>
        <w:rPr>
          <w:spacing w:val="5"/>
        </w:rPr>
        <w:t xml:space="preserve">Velho, </w:t>
      </w:r>
      <w:r>
        <w:rPr>
          <w:spacing w:val="2"/>
        </w:rPr>
        <w:t xml:space="preserve">do </w:t>
      </w:r>
      <w:r>
        <w:rPr>
          <w:spacing w:val="3"/>
        </w:rPr>
        <w:t xml:space="preserve">Grupo </w:t>
      </w:r>
      <w:r>
        <w:rPr>
          <w:spacing w:val="5"/>
        </w:rPr>
        <w:t xml:space="preserve">Anglo-American, com </w:t>
      </w:r>
      <w:r>
        <w:rPr>
          <w:spacing w:val="10"/>
        </w:rPr>
        <w:t xml:space="preserve">participação </w:t>
      </w:r>
      <w:r>
        <w:rPr>
          <w:spacing w:val="5"/>
        </w:rPr>
        <w:t xml:space="preserve">do </w:t>
      </w:r>
      <w:r>
        <w:rPr>
          <w:spacing w:val="7"/>
        </w:rPr>
        <w:t xml:space="preserve">Banco </w:t>
      </w:r>
      <w:r>
        <w:rPr>
          <w:spacing w:val="8"/>
        </w:rPr>
        <w:t xml:space="preserve">Nacional </w:t>
      </w:r>
      <w:r>
        <w:rPr>
          <w:spacing w:val="5"/>
        </w:rPr>
        <w:t xml:space="preserve">do </w:t>
      </w:r>
      <w:r>
        <w:rPr>
          <w:spacing w:val="10"/>
        </w:rPr>
        <w:t xml:space="preserve">Desenvolvimento </w:t>
      </w:r>
      <w:r>
        <w:rPr>
          <w:spacing w:val="5"/>
        </w:rPr>
        <w:t xml:space="preserve">Econômico </w:t>
      </w:r>
      <w:r>
        <w:t xml:space="preserve">e </w:t>
      </w:r>
      <w:r>
        <w:rPr>
          <w:spacing w:val="5"/>
        </w:rPr>
        <w:t xml:space="preserve">Social (BNDES) (ESTEIO ENGENHARIA </w:t>
      </w:r>
      <w:r>
        <w:t xml:space="preserve">E </w:t>
      </w:r>
      <w:r>
        <w:rPr>
          <w:spacing w:val="5"/>
        </w:rPr>
        <w:t xml:space="preserve">AEROLEVANTAMENTOS </w:t>
      </w:r>
      <w:r>
        <w:rPr>
          <w:spacing w:val="3"/>
        </w:rPr>
        <w:t>S.A.</w:t>
      </w:r>
      <w:r>
        <w:rPr>
          <w:spacing w:val="3"/>
        </w:rPr>
        <w:t>,</w:t>
      </w:r>
      <w:r>
        <w:rPr>
          <w:spacing w:val="2"/>
        </w:rPr>
        <w:t xml:space="preserve"> </w:t>
      </w:r>
      <w:r>
        <w:rPr>
          <w:spacing w:val="5"/>
        </w:rPr>
        <w:t>2011a).</w:t>
      </w:r>
    </w:p>
    <w:p w:rsidR="00D81F69" w:rsidRDefault="00330118">
      <w:pPr>
        <w:pStyle w:val="Corpodetexto"/>
        <w:spacing w:before="138" w:line="312" w:lineRule="auto"/>
        <w:ind w:right="40"/>
      </w:pPr>
      <w:r>
        <w:t>Com investimento estimado de US$ 1,1 bilhão, o projeto Salobo I está em fase de implantação desde 2007 (VALE,</w:t>
      </w:r>
    </w:p>
    <w:p w:rsidR="00D81F69" w:rsidRDefault="00330118">
      <w:pPr>
        <w:pStyle w:val="Corpodetexto"/>
        <w:spacing w:before="3" w:line="312" w:lineRule="auto"/>
        <w:ind w:right="244"/>
      </w:pPr>
      <w:r>
        <w:br w:type="column"/>
      </w:r>
      <w:r>
        <w:lastRenderedPageBreak/>
        <w:t>habitantes (IBGE, 2010a), o município passou, nos últimos 40 anos, por transformações decorrentes de grandes projetos e planos criados pelo Governo Federal, sobretudo após a implantação do Regime Militar, em 1964. Para a implementação dessas iniciativas, f</w:t>
      </w:r>
      <w:r>
        <w:t>oram promovidas intervenções que transformaram o espaço urbano, inclusive por meio de projetos que pretendiam criar uma nova área de expansão para a cidade, atingida frequentemente pelas enchentes dos rios Tocantins e Itacaiúnas. Uma das obras que marcou a</w:t>
      </w:r>
      <w:r>
        <w:t xml:space="preserve"> atuação governamental na região foi a Transamazônica, que, a partir de 1971, passou a atravessar a cidade (ALMEIDA, 2008).</w:t>
      </w:r>
    </w:p>
    <w:p w:rsidR="00D81F69" w:rsidRDefault="00330118">
      <w:pPr>
        <w:pStyle w:val="Corpodetexto"/>
        <w:spacing w:before="141" w:line="312" w:lineRule="auto"/>
        <w:ind w:right="233"/>
      </w:pPr>
      <w:r>
        <w:t>Marabá foi obrigada a adequar seu espaço urbano em função das políticas de integração e da exploração de riquezas minerais, em espec</w:t>
      </w:r>
      <w:r>
        <w:t xml:space="preserve">ial o </w:t>
      </w:r>
      <w:hyperlink r:id="rId273">
        <w:r>
          <w:t>ferro,</w:t>
        </w:r>
      </w:hyperlink>
      <w:r>
        <w:t xml:space="preserve"> deixando de ter as características de comunidade ribeirinha para tornar-se um centro urbano com vários problemas, como desigualdade social, formação de áreas periféricas, favelização e disparidade no processo de apropriação do espaço urbano. Em 1970, Mara</w:t>
      </w:r>
      <w:r>
        <w:t xml:space="preserve">bá já se encontrava em evidência em função das descobertas de minério de ferro. Em 1971, foram feitas prospecções na área para avaliar melhor a proporção da jazida e a presença de outros minérios, como cobre e </w:t>
      </w:r>
      <w:hyperlink r:id="rId274">
        <w:r>
          <w:t>manganês</w:t>
        </w:r>
      </w:hyperlink>
      <w:r>
        <w:t xml:space="preserve"> (ALMEIDA, 2008).</w:t>
      </w:r>
    </w:p>
    <w:p w:rsidR="00D81F69" w:rsidRDefault="00330118">
      <w:pPr>
        <w:pStyle w:val="Corpodetexto"/>
        <w:spacing w:before="141" w:line="312" w:lineRule="auto"/>
        <w:ind w:right="176"/>
        <w:jc w:val="left"/>
      </w:pPr>
      <w:r>
        <w:t>Já o município de Parauapebas abriga a maior jazida de minério de ferro do planeta, explorada pela Vale. Com 6.957 km² e 153.942 habitantes (IBGE, 2010b), Parauapebas era apenas um povo</w:t>
      </w:r>
      <w:r>
        <w:t>ado de Marabá, quando foi descoberta, em 1967, a jazida com mais de 2 bilhões de toneladas de minério de ferro de alto teor da Serra dos Carajás. Emancipada há quase duas décadas, e com um dos três maiores orçamentos do estado devido aos royalties e impost</w:t>
      </w:r>
      <w:r>
        <w:t>os gerados pelas atividades da Vale em seu território, a cidade, no entanto, sofre com o crescimento desordenado, dentre outros problemas causados pela mineração (BARROS, 2007).</w:t>
      </w:r>
    </w:p>
    <w:p w:rsidR="00D81F69" w:rsidRDefault="00330118">
      <w:pPr>
        <w:pStyle w:val="Corpodetexto"/>
        <w:spacing w:before="140"/>
      </w:pPr>
      <w:r>
        <w:t>As reservas de cobre do projeto Salobo ocupam uma área de</w:t>
      </w:r>
    </w:p>
    <w:p w:rsidR="00D81F69" w:rsidRDefault="00D81F69">
      <w:pPr>
        <w:sectPr w:rsidR="00D81F69">
          <w:type w:val="continuous"/>
          <w:pgSz w:w="11900" w:h="16840"/>
          <w:pgMar w:top="720" w:right="460" w:bottom="280" w:left="620" w:header="720" w:footer="720" w:gutter="0"/>
          <w:cols w:num="2" w:space="720" w:equalWidth="0">
            <w:col w:w="5159" w:space="311"/>
            <w:col w:w="5350"/>
          </w:cols>
        </w:sectPr>
      </w:pPr>
    </w:p>
    <w:p w:rsidR="00D81F69" w:rsidRDefault="00330118">
      <w:pPr>
        <w:pStyle w:val="Corpodetexto"/>
        <w:spacing w:before="81" w:line="312" w:lineRule="auto"/>
        <w:ind w:right="48"/>
      </w:pPr>
      <w:r>
        <w:rPr>
          <w:spacing w:val="2"/>
        </w:rPr>
        <w:lastRenderedPageBreak/>
        <w:t xml:space="preserve">190 mil </w:t>
      </w:r>
      <w:r>
        <w:rPr>
          <w:spacing w:val="3"/>
        </w:rPr>
        <w:t xml:space="preserve">hectares, </w:t>
      </w:r>
      <w:r>
        <w:rPr>
          <w:spacing w:val="1"/>
        </w:rPr>
        <w:t xml:space="preserve">às </w:t>
      </w:r>
      <w:r>
        <w:rPr>
          <w:spacing w:val="3"/>
        </w:rPr>
        <w:t xml:space="preserve">margens </w:t>
      </w:r>
      <w:r>
        <w:rPr>
          <w:spacing w:val="2"/>
        </w:rPr>
        <w:t xml:space="preserve">dos rios </w:t>
      </w:r>
      <w:r>
        <w:rPr>
          <w:spacing w:val="3"/>
        </w:rPr>
        <w:t xml:space="preserve">Aquiri </w:t>
      </w:r>
      <w:r>
        <w:t xml:space="preserve">e </w:t>
      </w:r>
      <w:r>
        <w:rPr>
          <w:spacing w:val="5"/>
        </w:rPr>
        <w:t xml:space="preserve">Itacaúnas </w:t>
      </w:r>
      <w:r>
        <w:rPr>
          <w:spacing w:val="15"/>
        </w:rPr>
        <w:t xml:space="preserve">(COMPANHIA </w:t>
      </w:r>
      <w:r>
        <w:rPr>
          <w:spacing w:val="11"/>
        </w:rPr>
        <w:t xml:space="preserve">VALE </w:t>
      </w:r>
      <w:r>
        <w:rPr>
          <w:spacing w:val="7"/>
        </w:rPr>
        <w:t xml:space="preserve">DO </w:t>
      </w:r>
      <w:r>
        <w:rPr>
          <w:spacing w:val="10"/>
        </w:rPr>
        <w:t>RIO</w:t>
      </w:r>
      <w:r>
        <w:rPr>
          <w:spacing w:val="71"/>
        </w:rPr>
        <w:t xml:space="preserve"> </w:t>
      </w:r>
      <w:r>
        <w:rPr>
          <w:spacing w:val="12"/>
        </w:rPr>
        <w:t>DOCE,</w:t>
      </w:r>
      <w:r>
        <w:rPr>
          <w:spacing w:val="11"/>
        </w:rPr>
        <w:t xml:space="preserve"> </w:t>
      </w:r>
      <w:r>
        <w:rPr>
          <w:spacing w:val="15"/>
        </w:rPr>
        <w:t>RELATÓRIO</w:t>
      </w:r>
      <w:r>
        <w:rPr>
          <w:spacing w:val="-32"/>
        </w:rPr>
        <w:t xml:space="preserve"> </w:t>
      </w:r>
    </w:p>
    <w:p w:rsidR="00D81F69" w:rsidRDefault="00330118">
      <w:pPr>
        <w:pStyle w:val="Corpodetexto"/>
        <w:spacing w:before="2" w:line="312" w:lineRule="auto"/>
        <w:ind w:right="57"/>
      </w:pPr>
      <w:r>
        <w:t>AMBIENTAL, 1999 apud COELHO et al., 2006). A criação da Flona Tapirapé-Aquiri facilitou a ação da Vale no sentido de explorar os re</w:t>
      </w:r>
      <w:r>
        <w:t>cursos de seu subsolo e impedir sua ocupação por ex-garimpeiros, posseiros e extrativistas de produtos florestais (madeireiros e não madeireiros) e de outras mineradoras (COELHO et al., 2006).</w:t>
      </w:r>
    </w:p>
    <w:p w:rsidR="00D81F69" w:rsidRDefault="00330118">
      <w:pPr>
        <w:pStyle w:val="Corpodetexto"/>
        <w:spacing w:before="135" w:line="312" w:lineRule="auto"/>
        <w:ind w:right="44"/>
      </w:pPr>
      <w:r>
        <w:t>O projeto Salobo conta com uma cava a céu aberto (FOLHA DO SUDE</w:t>
      </w:r>
      <w:r>
        <w:t xml:space="preserve">STE ONLINE, 2010), pilha de estéreis e usina de </w:t>
      </w:r>
      <w:r>
        <w:rPr>
          <w:spacing w:val="8"/>
        </w:rPr>
        <w:t xml:space="preserve">beneficiamento </w:t>
      </w:r>
      <w:r>
        <w:rPr>
          <w:spacing w:val="5"/>
        </w:rPr>
        <w:t xml:space="preserve">do </w:t>
      </w:r>
      <w:r>
        <w:rPr>
          <w:spacing w:val="7"/>
        </w:rPr>
        <w:t xml:space="preserve">minério </w:t>
      </w:r>
      <w:r>
        <w:rPr>
          <w:spacing w:val="5"/>
        </w:rPr>
        <w:t xml:space="preserve">de </w:t>
      </w:r>
      <w:r>
        <w:rPr>
          <w:spacing w:val="7"/>
        </w:rPr>
        <w:t xml:space="preserve">cobre, </w:t>
      </w:r>
      <w:r>
        <w:rPr>
          <w:spacing w:val="6"/>
        </w:rPr>
        <w:t xml:space="preserve">ouro </w:t>
      </w:r>
      <w:r>
        <w:t xml:space="preserve">e </w:t>
      </w:r>
      <w:r>
        <w:rPr>
          <w:spacing w:val="7"/>
        </w:rPr>
        <w:t xml:space="preserve">prata. </w:t>
      </w:r>
      <w:r>
        <w:t xml:space="preserve">A </w:t>
      </w:r>
      <w:r>
        <w:rPr>
          <w:spacing w:val="3"/>
        </w:rPr>
        <w:t xml:space="preserve">engenharia básica </w:t>
      </w:r>
      <w:r>
        <w:rPr>
          <w:spacing w:val="1"/>
        </w:rPr>
        <w:t xml:space="preserve">do </w:t>
      </w:r>
      <w:r>
        <w:rPr>
          <w:spacing w:val="3"/>
        </w:rPr>
        <w:t xml:space="preserve">projeto envolve ainda barragem </w:t>
      </w:r>
      <w:r>
        <w:rPr>
          <w:spacing w:val="5"/>
        </w:rPr>
        <w:t xml:space="preserve">de </w:t>
      </w:r>
      <w:r>
        <w:rPr>
          <w:spacing w:val="3"/>
        </w:rPr>
        <w:t xml:space="preserve">rejeitos </w:t>
      </w:r>
      <w:r>
        <w:t xml:space="preserve">e </w:t>
      </w:r>
      <w:r>
        <w:rPr>
          <w:spacing w:val="3"/>
        </w:rPr>
        <w:t xml:space="preserve">reservatório </w:t>
      </w:r>
      <w:r>
        <w:rPr>
          <w:spacing w:val="1"/>
        </w:rPr>
        <w:t xml:space="preserve">no </w:t>
      </w:r>
      <w:r>
        <w:rPr>
          <w:spacing w:val="2"/>
        </w:rPr>
        <w:t xml:space="preserve">vale </w:t>
      </w:r>
      <w:r>
        <w:rPr>
          <w:spacing w:val="1"/>
        </w:rPr>
        <w:t xml:space="preserve">do </w:t>
      </w:r>
      <w:r>
        <w:rPr>
          <w:spacing w:val="3"/>
        </w:rPr>
        <w:t xml:space="preserve">igarapé Mirim; linha </w:t>
      </w:r>
      <w:r>
        <w:rPr>
          <w:spacing w:val="5"/>
        </w:rPr>
        <w:t xml:space="preserve">de </w:t>
      </w:r>
      <w:r>
        <w:t>transmissão de energia elétrica, da cidade</w:t>
      </w:r>
      <w:r>
        <w:t xml:space="preserve"> Parauapebas ao projeto Salobo; duplicação da linha de transmissão de energia </w:t>
      </w:r>
      <w:r>
        <w:rPr>
          <w:spacing w:val="5"/>
        </w:rPr>
        <w:t xml:space="preserve">elétrica, </w:t>
      </w:r>
      <w:r>
        <w:rPr>
          <w:spacing w:val="2"/>
        </w:rPr>
        <w:t xml:space="preserve">da </w:t>
      </w:r>
      <w:r>
        <w:rPr>
          <w:spacing w:val="5"/>
        </w:rPr>
        <w:t xml:space="preserve">cidade </w:t>
      </w:r>
      <w:r>
        <w:rPr>
          <w:spacing w:val="2"/>
        </w:rPr>
        <w:t xml:space="preserve">de </w:t>
      </w:r>
      <w:r>
        <w:rPr>
          <w:spacing w:val="5"/>
        </w:rPr>
        <w:t xml:space="preserve">Marabá </w:t>
      </w:r>
      <w:r>
        <w:rPr>
          <w:spacing w:val="3"/>
        </w:rPr>
        <w:t xml:space="preserve">até </w:t>
      </w:r>
      <w:r>
        <w:t xml:space="preserve">o </w:t>
      </w:r>
      <w:r>
        <w:rPr>
          <w:spacing w:val="5"/>
        </w:rPr>
        <w:t xml:space="preserve">projeto; estrada </w:t>
      </w:r>
      <w:r>
        <w:rPr>
          <w:spacing w:val="6"/>
        </w:rPr>
        <w:t xml:space="preserve">de </w:t>
      </w:r>
      <w:r>
        <w:rPr>
          <w:spacing w:val="1"/>
        </w:rPr>
        <w:t xml:space="preserve">acesso </w:t>
      </w:r>
      <w:r>
        <w:t xml:space="preserve">ao </w:t>
      </w:r>
      <w:r>
        <w:rPr>
          <w:spacing w:val="1"/>
        </w:rPr>
        <w:t xml:space="preserve">projeto; mineraduto, </w:t>
      </w:r>
      <w:r>
        <w:t xml:space="preserve">do </w:t>
      </w:r>
      <w:r>
        <w:rPr>
          <w:spacing w:val="1"/>
        </w:rPr>
        <w:t xml:space="preserve">projeto </w:t>
      </w:r>
      <w:r>
        <w:t xml:space="preserve">até a </w:t>
      </w:r>
      <w:r>
        <w:rPr>
          <w:spacing w:val="1"/>
        </w:rPr>
        <w:t xml:space="preserve">cidade </w:t>
      </w:r>
      <w:r>
        <w:rPr>
          <w:spacing w:val="2"/>
        </w:rPr>
        <w:t xml:space="preserve">de </w:t>
      </w:r>
      <w:r>
        <w:rPr>
          <w:spacing w:val="1"/>
        </w:rPr>
        <w:t xml:space="preserve">Parauapebas; </w:t>
      </w:r>
      <w:r>
        <w:t xml:space="preserve">e </w:t>
      </w:r>
      <w:r>
        <w:rPr>
          <w:spacing w:val="1"/>
        </w:rPr>
        <w:t xml:space="preserve">apoio </w:t>
      </w:r>
      <w:r>
        <w:t xml:space="preserve">aos </w:t>
      </w:r>
      <w:r>
        <w:rPr>
          <w:spacing w:val="1"/>
        </w:rPr>
        <w:t xml:space="preserve">estudos ambientais </w:t>
      </w:r>
      <w:r>
        <w:rPr>
          <w:spacing w:val="2"/>
        </w:rPr>
        <w:t xml:space="preserve">necessários </w:t>
      </w:r>
      <w:r>
        <w:t>para obt</w:t>
      </w:r>
      <w:r>
        <w:t xml:space="preserve">enção das licenças (áreas de fazendas, edificações, </w:t>
      </w:r>
      <w:r>
        <w:rPr>
          <w:spacing w:val="17"/>
        </w:rPr>
        <w:t xml:space="preserve">desmatamentos, </w:t>
      </w:r>
      <w:r>
        <w:rPr>
          <w:spacing w:val="15"/>
        </w:rPr>
        <w:t>etc.)</w:t>
      </w:r>
      <w:r>
        <w:rPr>
          <w:spacing w:val="81"/>
        </w:rPr>
        <w:t xml:space="preserve"> </w:t>
      </w:r>
      <w:r>
        <w:rPr>
          <w:spacing w:val="16"/>
        </w:rPr>
        <w:t xml:space="preserve">(ESTEIO </w:t>
      </w:r>
      <w:r>
        <w:rPr>
          <w:spacing w:val="17"/>
        </w:rPr>
        <w:t xml:space="preserve">ENGENHARIA </w:t>
      </w:r>
      <w:r>
        <w:t xml:space="preserve">E </w:t>
      </w:r>
      <w:r>
        <w:rPr>
          <w:spacing w:val="17"/>
        </w:rPr>
        <w:t xml:space="preserve">AEROLEVANTAMENTOS </w:t>
      </w:r>
      <w:r>
        <w:rPr>
          <w:spacing w:val="15"/>
        </w:rPr>
        <w:t xml:space="preserve">S.A. </w:t>
      </w:r>
      <w:r>
        <w:rPr>
          <w:spacing w:val="16"/>
        </w:rPr>
        <w:t>2011b).</w:t>
      </w:r>
      <w:r>
        <w:rPr>
          <w:spacing w:val="-29"/>
        </w:rPr>
        <w:t xml:space="preserve"> </w:t>
      </w:r>
    </w:p>
    <w:p w:rsidR="00D81F69" w:rsidRDefault="00330118">
      <w:pPr>
        <w:pStyle w:val="Corpodetexto"/>
        <w:spacing w:before="142" w:line="312" w:lineRule="auto"/>
        <w:ind w:right="38"/>
      </w:pPr>
      <w:r>
        <w:rPr>
          <w:spacing w:val="2"/>
        </w:rPr>
        <w:t xml:space="preserve">Da </w:t>
      </w:r>
      <w:r>
        <w:rPr>
          <w:spacing w:val="5"/>
        </w:rPr>
        <w:t xml:space="preserve">mina, </w:t>
      </w:r>
      <w:r>
        <w:t xml:space="preserve">o </w:t>
      </w:r>
      <w:r>
        <w:rPr>
          <w:spacing w:val="5"/>
        </w:rPr>
        <w:t xml:space="preserve">minério </w:t>
      </w:r>
      <w:r>
        <w:t xml:space="preserve">é </w:t>
      </w:r>
      <w:r>
        <w:rPr>
          <w:spacing w:val="5"/>
        </w:rPr>
        <w:t xml:space="preserve">transportado </w:t>
      </w:r>
      <w:r>
        <w:rPr>
          <w:spacing w:val="3"/>
        </w:rPr>
        <w:t xml:space="preserve">por </w:t>
      </w:r>
      <w:r>
        <w:rPr>
          <w:spacing w:val="5"/>
        </w:rPr>
        <w:t xml:space="preserve">correia </w:t>
      </w:r>
      <w:r>
        <w:rPr>
          <w:spacing w:val="2"/>
        </w:rPr>
        <w:t xml:space="preserve">de </w:t>
      </w:r>
      <w:r>
        <w:rPr>
          <w:spacing w:val="6"/>
        </w:rPr>
        <w:t xml:space="preserve">longa </w:t>
      </w:r>
      <w:r>
        <w:rPr>
          <w:spacing w:val="5"/>
        </w:rPr>
        <w:t xml:space="preserve">distância, </w:t>
      </w:r>
      <w:r>
        <w:rPr>
          <w:spacing w:val="3"/>
        </w:rPr>
        <w:t xml:space="preserve">com </w:t>
      </w:r>
      <w:r>
        <w:rPr>
          <w:spacing w:val="5"/>
        </w:rPr>
        <w:t xml:space="preserve">aproximadamente </w:t>
      </w:r>
      <w:r>
        <w:t xml:space="preserve">2 </w:t>
      </w:r>
      <w:r>
        <w:rPr>
          <w:spacing w:val="3"/>
        </w:rPr>
        <w:t xml:space="preserve">km, para </w:t>
      </w:r>
      <w:r>
        <w:t xml:space="preserve">a </w:t>
      </w:r>
      <w:r>
        <w:rPr>
          <w:spacing w:val="5"/>
        </w:rPr>
        <w:t xml:space="preserve">planta de </w:t>
      </w:r>
      <w:r>
        <w:t xml:space="preserve">beneficiamento, onde é moído, classificado e concentrado por flotação. Os rejeitos produzidos em decorrência do processo de </w:t>
      </w:r>
      <w:r>
        <w:rPr>
          <w:spacing w:val="1"/>
        </w:rPr>
        <w:t xml:space="preserve">concentração </w:t>
      </w:r>
      <w:r>
        <w:t xml:space="preserve">são </w:t>
      </w:r>
      <w:r>
        <w:rPr>
          <w:spacing w:val="1"/>
        </w:rPr>
        <w:t xml:space="preserve">dispostos </w:t>
      </w:r>
      <w:r>
        <w:t xml:space="preserve">em </w:t>
      </w:r>
      <w:r>
        <w:rPr>
          <w:spacing w:val="1"/>
        </w:rPr>
        <w:t xml:space="preserve">estrutura </w:t>
      </w:r>
      <w:r>
        <w:t xml:space="preserve">de </w:t>
      </w:r>
      <w:r>
        <w:rPr>
          <w:spacing w:val="2"/>
        </w:rPr>
        <w:t xml:space="preserve">contenção </w:t>
      </w:r>
      <w:r>
        <w:rPr>
          <w:spacing w:val="5"/>
        </w:rPr>
        <w:t xml:space="preserve">(barragem </w:t>
      </w:r>
      <w:r>
        <w:rPr>
          <w:spacing w:val="2"/>
        </w:rPr>
        <w:t xml:space="preserve">de </w:t>
      </w:r>
      <w:r>
        <w:rPr>
          <w:spacing w:val="5"/>
        </w:rPr>
        <w:t xml:space="preserve">rejeitos) (FOLHA </w:t>
      </w:r>
      <w:r>
        <w:rPr>
          <w:spacing w:val="2"/>
        </w:rPr>
        <w:t xml:space="preserve">DO </w:t>
      </w:r>
      <w:r>
        <w:rPr>
          <w:spacing w:val="5"/>
        </w:rPr>
        <w:t xml:space="preserve">SUDESTE </w:t>
      </w:r>
      <w:r>
        <w:rPr>
          <w:spacing w:val="6"/>
        </w:rPr>
        <w:t xml:space="preserve">ONLINE, </w:t>
      </w:r>
      <w:r>
        <w:t xml:space="preserve">2010). Depois de beneficiada, </w:t>
      </w:r>
      <w:r>
        <w:t xml:space="preserve">toda a produção do Salobo é </w:t>
      </w:r>
      <w:r>
        <w:rPr>
          <w:spacing w:val="1"/>
        </w:rPr>
        <w:t xml:space="preserve">transportada </w:t>
      </w:r>
      <w:r>
        <w:t xml:space="preserve">por </w:t>
      </w:r>
      <w:r>
        <w:rPr>
          <w:spacing w:val="1"/>
        </w:rPr>
        <w:t xml:space="preserve">caminhões </w:t>
      </w:r>
      <w:r>
        <w:t xml:space="preserve">até a </w:t>
      </w:r>
      <w:r>
        <w:rPr>
          <w:spacing w:val="1"/>
        </w:rPr>
        <w:t xml:space="preserve">Estação </w:t>
      </w:r>
      <w:r>
        <w:t xml:space="preserve">de </w:t>
      </w:r>
      <w:r>
        <w:rPr>
          <w:spacing w:val="2"/>
        </w:rPr>
        <w:t xml:space="preserve">Transbordo, </w:t>
      </w:r>
      <w:r>
        <w:t>localizada num ramal da Estrada de Ferro Carajás (EFC), em Parauapebas. De lá, segue de trem até o Terminal Marítimo de</w:t>
      </w:r>
      <w:r>
        <w:rPr>
          <w:spacing w:val="15"/>
        </w:rPr>
        <w:t xml:space="preserve"> </w:t>
      </w:r>
      <w:r>
        <w:t>Ponta</w:t>
      </w:r>
      <w:r>
        <w:rPr>
          <w:spacing w:val="15"/>
        </w:rPr>
        <w:t xml:space="preserve"> </w:t>
      </w:r>
      <w:r>
        <w:t>da</w:t>
      </w:r>
      <w:r>
        <w:rPr>
          <w:spacing w:val="15"/>
        </w:rPr>
        <w:t xml:space="preserve"> </w:t>
      </w:r>
      <w:r>
        <w:t>Madeira,</w:t>
      </w:r>
      <w:r>
        <w:rPr>
          <w:spacing w:val="15"/>
        </w:rPr>
        <w:t xml:space="preserve"> </w:t>
      </w:r>
      <w:r>
        <w:t>em</w:t>
      </w:r>
      <w:r>
        <w:rPr>
          <w:spacing w:val="15"/>
        </w:rPr>
        <w:t xml:space="preserve"> </w:t>
      </w:r>
      <w:r>
        <w:t>São</w:t>
      </w:r>
      <w:r>
        <w:rPr>
          <w:spacing w:val="15"/>
        </w:rPr>
        <w:t xml:space="preserve"> </w:t>
      </w:r>
      <w:r>
        <w:t>Luís</w:t>
      </w:r>
      <w:r>
        <w:rPr>
          <w:spacing w:val="15"/>
        </w:rPr>
        <w:t xml:space="preserve"> </w:t>
      </w:r>
      <w:r>
        <w:t>(MA)</w:t>
      </w:r>
      <w:r>
        <w:rPr>
          <w:spacing w:val="15"/>
        </w:rPr>
        <w:t xml:space="preserve"> </w:t>
      </w:r>
      <w:r>
        <w:t>(ZÉ</w:t>
      </w:r>
      <w:r>
        <w:rPr>
          <w:spacing w:val="15"/>
        </w:rPr>
        <w:t xml:space="preserve"> </w:t>
      </w:r>
      <w:r>
        <w:t>DUDU,</w:t>
      </w:r>
      <w:r>
        <w:rPr>
          <w:spacing w:val="15"/>
        </w:rPr>
        <w:t xml:space="preserve"> </w:t>
      </w:r>
      <w:r>
        <w:t>2008).</w:t>
      </w:r>
    </w:p>
    <w:p w:rsidR="00D81F69" w:rsidRDefault="00330118">
      <w:pPr>
        <w:pStyle w:val="Corpodetexto"/>
        <w:spacing w:before="140" w:line="312" w:lineRule="auto"/>
        <w:ind w:right="38"/>
      </w:pPr>
      <w:r>
        <w:rPr>
          <w:spacing w:val="5"/>
        </w:rPr>
        <w:t xml:space="preserve">Embora </w:t>
      </w:r>
      <w:r>
        <w:t xml:space="preserve">o </w:t>
      </w:r>
      <w:r>
        <w:rPr>
          <w:spacing w:val="5"/>
        </w:rPr>
        <w:t xml:space="preserve">projeto contribua </w:t>
      </w:r>
      <w:r>
        <w:rPr>
          <w:spacing w:val="3"/>
        </w:rPr>
        <w:t xml:space="preserve">para </w:t>
      </w:r>
      <w:r>
        <w:t xml:space="preserve">o </w:t>
      </w:r>
      <w:r>
        <w:rPr>
          <w:spacing w:val="5"/>
        </w:rPr>
        <w:t xml:space="preserve">desenvolvimento dos </w:t>
      </w:r>
      <w:r>
        <w:t xml:space="preserve">municípios de Marabá e Parauapebas, com a geração de uma média de 3,5 mil empregos, na fase de implantação, e 2 mil </w:t>
      </w:r>
      <w:r>
        <w:rPr>
          <w:spacing w:val="3"/>
        </w:rPr>
        <w:t xml:space="preserve">empregos, </w:t>
      </w:r>
      <w:r>
        <w:rPr>
          <w:spacing w:val="1"/>
        </w:rPr>
        <w:t xml:space="preserve">na de </w:t>
      </w:r>
      <w:r>
        <w:rPr>
          <w:spacing w:val="3"/>
        </w:rPr>
        <w:t xml:space="preserve">operação, </w:t>
      </w:r>
      <w:r>
        <w:rPr>
          <w:spacing w:val="1"/>
        </w:rPr>
        <w:t xml:space="preserve">os </w:t>
      </w:r>
      <w:r>
        <w:rPr>
          <w:spacing w:val="3"/>
        </w:rPr>
        <w:t xml:space="preserve">impactos </w:t>
      </w:r>
      <w:r>
        <w:rPr>
          <w:spacing w:val="5"/>
        </w:rPr>
        <w:t xml:space="preserve">socioambientais </w:t>
      </w:r>
      <w:r>
        <w:t>decorrentes do crescimento das a</w:t>
      </w:r>
      <w:r>
        <w:t xml:space="preserve">ções do empreendimento já são visíveis (FOLHA DO SUDESTE ONLINE, 2010). Ambos os municípios pertencem a uma província mineralógica que, </w:t>
      </w:r>
      <w:r>
        <w:rPr>
          <w:spacing w:val="5"/>
        </w:rPr>
        <w:t xml:space="preserve">pela implantação </w:t>
      </w:r>
      <w:r>
        <w:rPr>
          <w:spacing w:val="2"/>
        </w:rPr>
        <w:t xml:space="preserve">do </w:t>
      </w:r>
      <w:r>
        <w:rPr>
          <w:spacing w:val="5"/>
        </w:rPr>
        <w:t xml:space="preserve">projeto Salobo </w:t>
      </w:r>
      <w:r>
        <w:rPr>
          <w:spacing w:val="2"/>
        </w:rPr>
        <w:t xml:space="preserve">ou de </w:t>
      </w:r>
      <w:r>
        <w:rPr>
          <w:spacing w:val="5"/>
        </w:rPr>
        <w:t xml:space="preserve">outros </w:t>
      </w:r>
      <w:r>
        <w:rPr>
          <w:spacing w:val="2"/>
        </w:rPr>
        <w:t xml:space="preserve">já </w:t>
      </w:r>
      <w:r>
        <w:rPr>
          <w:spacing w:val="6"/>
        </w:rPr>
        <w:t xml:space="preserve">em </w:t>
      </w:r>
      <w:r>
        <w:rPr>
          <w:spacing w:val="3"/>
        </w:rPr>
        <w:t xml:space="preserve">funcionamento, </w:t>
      </w:r>
      <w:r>
        <w:rPr>
          <w:spacing w:val="1"/>
        </w:rPr>
        <w:t xml:space="preserve">ou </w:t>
      </w:r>
      <w:r>
        <w:rPr>
          <w:spacing w:val="3"/>
        </w:rPr>
        <w:t xml:space="preserve">pelas atividades </w:t>
      </w:r>
      <w:r>
        <w:rPr>
          <w:spacing w:val="1"/>
        </w:rPr>
        <w:t xml:space="preserve">de </w:t>
      </w:r>
      <w:r>
        <w:rPr>
          <w:spacing w:val="3"/>
        </w:rPr>
        <w:t xml:space="preserve">garimpos, </w:t>
      </w:r>
      <w:r>
        <w:rPr>
          <w:spacing w:val="5"/>
        </w:rPr>
        <w:t xml:space="preserve">atraem </w:t>
      </w:r>
      <w:r>
        <w:rPr>
          <w:spacing w:val="5"/>
        </w:rPr>
        <w:t xml:space="preserve">intensos movimentos migratórios </w:t>
      </w:r>
      <w:r>
        <w:t xml:space="preserve">e </w:t>
      </w:r>
      <w:r>
        <w:rPr>
          <w:spacing w:val="5"/>
        </w:rPr>
        <w:t xml:space="preserve">ocasionam </w:t>
      </w:r>
      <w:r>
        <w:rPr>
          <w:spacing w:val="6"/>
        </w:rPr>
        <w:t xml:space="preserve">impactos </w:t>
      </w:r>
      <w:r>
        <w:rPr>
          <w:spacing w:val="5"/>
        </w:rPr>
        <w:t xml:space="preserve">ambientais. Isto significa, </w:t>
      </w:r>
      <w:r>
        <w:rPr>
          <w:spacing w:val="2"/>
        </w:rPr>
        <w:t xml:space="preserve">em </w:t>
      </w:r>
      <w:r>
        <w:rPr>
          <w:spacing w:val="5"/>
        </w:rPr>
        <w:t xml:space="preserve">termos </w:t>
      </w:r>
      <w:r>
        <w:rPr>
          <w:spacing w:val="2"/>
        </w:rPr>
        <w:t xml:space="preserve">de </w:t>
      </w:r>
      <w:r>
        <w:rPr>
          <w:spacing w:val="5"/>
        </w:rPr>
        <w:t xml:space="preserve">saúde </w:t>
      </w:r>
      <w:r>
        <w:rPr>
          <w:spacing w:val="6"/>
        </w:rPr>
        <w:t xml:space="preserve">coletiva, </w:t>
      </w:r>
      <w:r>
        <w:rPr>
          <w:spacing w:val="10"/>
        </w:rPr>
        <w:t xml:space="preserve">possibilidade </w:t>
      </w:r>
      <w:r>
        <w:rPr>
          <w:spacing w:val="5"/>
        </w:rPr>
        <w:t xml:space="preserve">do </w:t>
      </w:r>
      <w:r>
        <w:rPr>
          <w:spacing w:val="8"/>
        </w:rPr>
        <w:t xml:space="preserve">aumento </w:t>
      </w:r>
      <w:r>
        <w:rPr>
          <w:spacing w:val="5"/>
        </w:rPr>
        <w:t xml:space="preserve">da </w:t>
      </w:r>
      <w:r>
        <w:rPr>
          <w:spacing w:val="8"/>
        </w:rPr>
        <w:t xml:space="preserve">incidência </w:t>
      </w:r>
      <w:r>
        <w:rPr>
          <w:spacing w:val="6"/>
        </w:rPr>
        <w:t xml:space="preserve">das </w:t>
      </w:r>
      <w:r>
        <w:rPr>
          <w:spacing w:val="10"/>
        </w:rPr>
        <w:t xml:space="preserve">doenças </w:t>
      </w:r>
      <w:r>
        <w:t xml:space="preserve">endêmicas e ainda a introdução de novas endemias trazidas </w:t>
      </w:r>
      <w:r>
        <w:rPr>
          <w:spacing w:val="2"/>
        </w:rPr>
        <w:t xml:space="preserve">de </w:t>
      </w:r>
      <w:r>
        <w:rPr>
          <w:spacing w:val="5"/>
        </w:rPr>
        <w:t xml:space="preserve">outras regiões </w:t>
      </w:r>
      <w:r>
        <w:rPr>
          <w:spacing w:val="2"/>
        </w:rPr>
        <w:t xml:space="preserve">do </w:t>
      </w:r>
      <w:r>
        <w:rPr>
          <w:spacing w:val="5"/>
        </w:rPr>
        <w:t xml:space="preserve">país </w:t>
      </w:r>
      <w:r>
        <w:rPr>
          <w:spacing w:val="2"/>
        </w:rPr>
        <w:t xml:space="preserve">ou </w:t>
      </w:r>
      <w:r>
        <w:rPr>
          <w:spacing w:val="5"/>
        </w:rPr>
        <w:t>provocad</w:t>
      </w:r>
      <w:r>
        <w:rPr>
          <w:spacing w:val="5"/>
        </w:rPr>
        <w:t xml:space="preserve">as </w:t>
      </w:r>
      <w:r>
        <w:rPr>
          <w:spacing w:val="3"/>
        </w:rPr>
        <w:t xml:space="preserve">por </w:t>
      </w:r>
      <w:r>
        <w:rPr>
          <w:spacing w:val="6"/>
        </w:rPr>
        <w:t xml:space="preserve">eventuais </w:t>
      </w:r>
      <w:r>
        <w:t>alterações ambientais com possível repercussão no equilíbrio ecológico, e a emergência de doenças atualmente restritas ao ciclo silvestre (SEVEP/IEC,</w:t>
      </w:r>
      <w:r>
        <w:rPr>
          <w:spacing w:val="1"/>
        </w:rPr>
        <w:t xml:space="preserve"> </w:t>
      </w:r>
      <w:r>
        <w:t>2011).</w:t>
      </w:r>
    </w:p>
    <w:p w:rsidR="00D81F69" w:rsidRDefault="00330118">
      <w:pPr>
        <w:pStyle w:val="Corpodetexto"/>
        <w:spacing w:before="83" w:line="270" w:lineRule="atLeast"/>
        <w:ind w:right="58"/>
      </w:pPr>
      <w:r>
        <w:t xml:space="preserve">O projeto Salobo atinge as nascentes do igarapé Salobo e a porção superior de sua </w:t>
      </w:r>
      <w:r>
        <w:t>bacia de drenagem onde estão implantados a barragem e o reservatório de acumulação de água e a barragem de contenção de finos. No divisor de águas que separa a bacia do igarapé Salobo do rio Cinzento estão a usina de beneficiamento e todo o complexo de apo</w:t>
      </w:r>
      <w:r>
        <w:t>io</w:t>
      </w:r>
    </w:p>
    <w:p w:rsidR="00D81F69" w:rsidRDefault="00330118">
      <w:pPr>
        <w:pStyle w:val="Corpodetexto"/>
        <w:spacing w:before="81" w:line="312" w:lineRule="auto"/>
        <w:ind w:right="234"/>
      </w:pPr>
      <w:r>
        <w:br w:type="column"/>
      </w:r>
      <w:r>
        <w:lastRenderedPageBreak/>
        <w:t>à mina. Já na encosta voltada para a bacia do rio Cinzento estão localizadas as barragens de rejeito e a de contenção. Assim, as atividades minerárias estão poluindo os igarapés Cinzento e Salobo, e o rio Itacaiunas, principal microbacia da região (MOV</w:t>
      </w:r>
      <w:r>
        <w:t>IMENTO XINGU VIVO, 2012).</w:t>
      </w:r>
    </w:p>
    <w:p w:rsidR="00D81F69" w:rsidRDefault="00330118">
      <w:pPr>
        <w:pStyle w:val="Corpodetexto"/>
        <w:spacing w:before="134" w:line="312" w:lineRule="auto"/>
        <w:ind w:right="236"/>
      </w:pPr>
      <w:r>
        <w:t>Outro problema refere-se à construção da estrada do Salobo, que vem atingindo áreas de castanhais, onde os índios Xikrins fazem coletas, prejudicando seu modo de subsistência (FOLHA DO SUDESTE ONLINE, 2010). Além disso, a</w:t>
      </w:r>
    </w:p>
    <w:p w:rsidR="00D81F69" w:rsidRDefault="00330118">
      <w:pPr>
        <w:pStyle w:val="Corpodetexto"/>
        <w:spacing w:before="4" w:line="312" w:lineRule="auto"/>
        <w:ind w:right="234"/>
      </w:pPr>
      <w:r>
        <w:t>estrada corta os assentamentos Paulo Fonteles e Vila Sanção, em Parauapebas, e, segundo os moradores, nunca houve uma audiência pública para discutir a construção da estrada e nem as formas de indenização (ZÉ DUDU, 2008).</w:t>
      </w:r>
    </w:p>
    <w:p w:rsidR="00D81F69" w:rsidRDefault="00330118">
      <w:pPr>
        <w:pStyle w:val="Corpodetexto"/>
        <w:spacing w:before="134" w:line="312" w:lineRule="auto"/>
        <w:ind w:right="250"/>
      </w:pPr>
      <w:r>
        <w:t xml:space="preserve">Os moradores chegaram a contratar </w:t>
      </w:r>
      <w:r>
        <w:t>advogado para buscar uma solução na Justiça. Por sua vez, a Vale garantiu que a estrada seria construída no trecho previsto "de qualquer forma". Caso os moradores não aceitassem o que estava no projeto original, "corriam o risco de não receber a indenizaçã</w:t>
      </w:r>
      <w:r>
        <w:t>o". A decisão da Vale foi citada em audiência no Senado (AGÊNCIA SENADO, 2009).</w:t>
      </w:r>
    </w:p>
    <w:p w:rsidR="00D81F69" w:rsidRDefault="00330118">
      <w:pPr>
        <w:pStyle w:val="Corpodetexto"/>
        <w:spacing w:before="136" w:line="312" w:lineRule="auto"/>
        <w:ind w:right="247"/>
      </w:pPr>
      <w:r>
        <w:t>As comunidades também reclamaram de problemas de rachaduras nas casas devido às explosões de dinamites (FOLHA DO SUDESTE ONLINE, 2010) e representantes da Associação dos Morado</w:t>
      </w:r>
      <w:r>
        <w:t>res e Produtores Rurais para o Desenvolvimento Sustentável da Vila Sanção e Região (Amprodesv) alegaram que têm enfrentado problemas no abastecimento de água, em função do crescimento da demanda (ZONTA, 2011).</w:t>
      </w:r>
    </w:p>
    <w:p w:rsidR="00D81F69" w:rsidRDefault="00330118">
      <w:pPr>
        <w:pStyle w:val="Corpodetexto"/>
        <w:spacing w:before="138" w:line="312" w:lineRule="auto"/>
        <w:ind w:right="234"/>
      </w:pPr>
      <w:r>
        <w:t>Além disso, reclamaram da falta constante de e</w:t>
      </w:r>
      <w:r>
        <w:t>nergia elétrica, o que causa prejuízos, como interrupção de aulas noturnas; perda de alimentos na escola e nos comércios. Como o impasse persistia, no dia 26 de outubro de 2010, moradores dos dois assentamentos ocuparam a estrada que dá acesso à área do pr</w:t>
      </w:r>
      <w:r>
        <w:t>ojeto para reivindicar medidas de reparo aos danos causados. Depois de muito debate, a manifestação foi interrompida e ficou acertada uma reunião futura entre representantes da Vale e das comunidades para dar prosseguimento às discussões (MST-PA, 2010).</w:t>
      </w:r>
    </w:p>
    <w:p w:rsidR="00D81F69" w:rsidRDefault="00330118">
      <w:pPr>
        <w:pStyle w:val="Corpodetexto"/>
        <w:spacing w:before="139" w:line="312" w:lineRule="auto"/>
        <w:ind w:right="240"/>
      </w:pPr>
      <w:r>
        <w:t>Na</w:t>
      </w:r>
      <w:r>
        <w:t xml:space="preserve"> ocasião, os moradores assinalaram a falta de infraestrutura da região, como estradas e pontes; de policiais para o posto que está sendo construído; ausência do conselho tutelar para dar proteção aos jovens que estão se envolvendo com prostituição e bebida</w:t>
      </w:r>
      <w:r>
        <w:t xml:space="preserve"> alcoólica, dentre outras questões (MST-PA, 2010).</w:t>
      </w:r>
    </w:p>
    <w:p w:rsidR="00D81F69" w:rsidRDefault="00330118">
      <w:pPr>
        <w:pStyle w:val="Corpodetexto"/>
        <w:spacing w:before="135" w:line="312" w:lineRule="auto"/>
        <w:ind w:right="237"/>
      </w:pPr>
      <w:r>
        <w:t xml:space="preserve">O </w:t>
      </w:r>
      <w:r>
        <w:rPr>
          <w:spacing w:val="5"/>
        </w:rPr>
        <w:t xml:space="preserve">crescimento </w:t>
      </w:r>
      <w:r>
        <w:rPr>
          <w:spacing w:val="2"/>
        </w:rPr>
        <w:t xml:space="preserve">da </w:t>
      </w:r>
      <w:r>
        <w:rPr>
          <w:spacing w:val="5"/>
        </w:rPr>
        <w:t xml:space="preserve">prostituição infantil </w:t>
      </w:r>
      <w:r>
        <w:rPr>
          <w:spacing w:val="3"/>
        </w:rPr>
        <w:t xml:space="preserve">levou mais </w:t>
      </w:r>
      <w:r>
        <w:rPr>
          <w:spacing w:val="2"/>
        </w:rPr>
        <w:t xml:space="preserve">de </w:t>
      </w:r>
      <w:r>
        <w:rPr>
          <w:spacing w:val="5"/>
        </w:rPr>
        <w:t>mil</w:t>
      </w:r>
      <w:r>
        <w:rPr>
          <w:spacing w:val="61"/>
        </w:rPr>
        <w:t xml:space="preserve"> </w:t>
      </w:r>
      <w:r>
        <w:rPr>
          <w:spacing w:val="12"/>
        </w:rPr>
        <w:t xml:space="preserve">trabalhadores </w:t>
      </w:r>
      <w:r>
        <w:rPr>
          <w:spacing w:val="6"/>
        </w:rPr>
        <w:t xml:space="preserve">do </w:t>
      </w:r>
      <w:r>
        <w:rPr>
          <w:spacing w:val="11"/>
        </w:rPr>
        <w:t xml:space="preserve">Projeto Salobo </w:t>
      </w:r>
      <w:r>
        <w:t xml:space="preserve">a </w:t>
      </w:r>
      <w:r>
        <w:rPr>
          <w:spacing w:val="12"/>
        </w:rPr>
        <w:t xml:space="preserve">participarem </w:t>
      </w:r>
      <w:r>
        <w:rPr>
          <w:spacing w:val="15"/>
        </w:rPr>
        <w:t xml:space="preserve">do </w:t>
      </w:r>
      <w:r>
        <w:t>lançamento de uma campanha, resultante de uma parceria da Vale com a Secretaria de Direitos Humano</w:t>
      </w:r>
      <w:r>
        <w:t>s da Presidência  da República (SDH/PR) e a Associação Brasileira Terra dos Homens — para enfrentamento do problema (CECRIA,</w:t>
      </w:r>
      <w:r>
        <w:rPr>
          <w:spacing w:val="12"/>
        </w:rPr>
        <w:t xml:space="preserve"> </w:t>
      </w:r>
      <w:r>
        <w:t>2011).</w:t>
      </w:r>
    </w:p>
    <w:p w:rsidR="00D81F69" w:rsidRDefault="00330118">
      <w:pPr>
        <w:pStyle w:val="Corpodetexto"/>
        <w:spacing w:before="136" w:line="312" w:lineRule="auto"/>
        <w:ind w:right="247"/>
      </w:pPr>
      <w:r>
        <w:t xml:space="preserve">Além dos problemas já existentes, os impasses podem se agravar, pois a Vale deve iniciar nova produção na região. Em 2011,  </w:t>
      </w:r>
      <w:r>
        <w:t>a  empresa  anunciou  a  descoberta de  depósitos</w:t>
      </w:r>
    </w:p>
    <w:p w:rsidR="00D81F69" w:rsidRDefault="00D81F69">
      <w:pPr>
        <w:spacing w:line="312" w:lineRule="auto"/>
        <w:sectPr w:rsidR="00D81F69">
          <w:pgSz w:w="11900" w:h="16840"/>
          <w:pgMar w:top="740" w:right="460" w:bottom="620" w:left="620" w:header="0" w:footer="402" w:gutter="0"/>
          <w:cols w:num="2" w:space="720" w:equalWidth="0">
            <w:col w:w="5160" w:space="310"/>
            <w:col w:w="5350"/>
          </w:cols>
        </w:sectPr>
      </w:pPr>
    </w:p>
    <w:p w:rsidR="00D81F69" w:rsidRDefault="00330118">
      <w:pPr>
        <w:pStyle w:val="Corpodetexto"/>
        <w:spacing w:before="81" w:line="312" w:lineRule="auto"/>
        <w:ind w:right="82"/>
      </w:pPr>
      <w:r>
        <w:lastRenderedPageBreak/>
        <w:t>minerais de terras raras na mina de cobre de Salobro. De acordo com análise feita pelo Centro de Tecnologia Mineral (Cetem), os depósitos têm alta qualidade, similares aos da Au</w:t>
      </w:r>
      <w:r>
        <w:t>strália. A empresa, que foi convidada pela presidente Dilma Rousseff a verificar a possibilidade de produzir terras raras, está prospectando a área à procura de metais utilizados na fabricação de microchips e no refino de petróleo (GOZZI, 2011).</w:t>
      </w:r>
    </w:p>
    <w:p w:rsidR="00D81F69" w:rsidRDefault="00D81F69">
      <w:pPr>
        <w:pStyle w:val="Corpodetexto"/>
        <w:spacing w:before="7"/>
        <w:ind w:left="0"/>
        <w:jc w:val="left"/>
        <w:rPr>
          <w:sz w:val="21"/>
        </w:rPr>
      </w:pPr>
    </w:p>
    <w:p w:rsidR="00D81F69" w:rsidRDefault="00330118">
      <w:pPr>
        <w:pStyle w:val="Heading7"/>
      </w:pPr>
      <w:r>
        <w:t>LOCALIZAÇ</w:t>
      </w:r>
      <w:r>
        <w:t>ÃO GEOGRÁFICA</w:t>
      </w:r>
    </w:p>
    <w:p w:rsidR="00D81F69" w:rsidRDefault="00330118">
      <w:pPr>
        <w:pStyle w:val="Corpodetexto"/>
        <w:spacing w:before="179" w:line="312" w:lineRule="auto"/>
        <w:ind w:right="97"/>
      </w:pPr>
      <w:r>
        <w:t xml:space="preserve">O </w:t>
      </w:r>
      <w:r>
        <w:rPr>
          <w:spacing w:val="3"/>
        </w:rPr>
        <w:t xml:space="preserve">projeto Salobo </w:t>
      </w:r>
      <w:r>
        <w:rPr>
          <w:spacing w:val="1"/>
        </w:rPr>
        <w:t xml:space="preserve">de </w:t>
      </w:r>
      <w:r>
        <w:rPr>
          <w:spacing w:val="3"/>
        </w:rPr>
        <w:t xml:space="preserve">mineração </w:t>
      </w:r>
      <w:r>
        <w:rPr>
          <w:spacing w:val="1"/>
        </w:rPr>
        <w:t xml:space="preserve">de </w:t>
      </w:r>
      <w:r>
        <w:rPr>
          <w:spacing w:val="3"/>
        </w:rPr>
        <w:t xml:space="preserve">cobre </w:t>
      </w:r>
      <w:r>
        <w:rPr>
          <w:spacing w:val="1"/>
        </w:rPr>
        <w:t xml:space="preserve">no </w:t>
      </w:r>
      <w:r>
        <w:rPr>
          <w:spacing w:val="3"/>
        </w:rPr>
        <w:t xml:space="preserve">município </w:t>
      </w:r>
      <w:r>
        <w:rPr>
          <w:spacing w:val="5"/>
        </w:rPr>
        <w:t xml:space="preserve">de </w:t>
      </w:r>
      <w:r>
        <w:t xml:space="preserve">Marabá (latitude 5°22’12”S e longitude 49°07’01”W) localiza- se na Floresta Nacional Tapirapé-Aquiri, sudeste do </w:t>
      </w:r>
      <w:r>
        <w:rPr>
          <w:spacing w:val="1"/>
        </w:rPr>
        <w:t xml:space="preserve">estado </w:t>
      </w:r>
      <w:r>
        <w:t xml:space="preserve">do Pará. A área abrange a bacia hidrográfica do Salobo do rio Cinzento. Marabá situa-se a 90 km da cidade de Paraupebas e </w:t>
      </w:r>
      <w:r>
        <w:rPr>
          <w:spacing w:val="5"/>
        </w:rPr>
        <w:t xml:space="preserve">ambas </w:t>
      </w:r>
      <w:r>
        <w:rPr>
          <w:spacing w:val="6"/>
        </w:rPr>
        <w:t xml:space="preserve">apresentam problemas semelhantes </w:t>
      </w:r>
      <w:r>
        <w:rPr>
          <w:spacing w:val="5"/>
        </w:rPr>
        <w:t xml:space="preserve">como </w:t>
      </w:r>
      <w:r>
        <w:rPr>
          <w:spacing w:val="7"/>
        </w:rPr>
        <w:t xml:space="preserve">os </w:t>
      </w:r>
      <w:r>
        <w:t>impactos da infra-estrutura dos grandes projetos mineradores na</w:t>
      </w:r>
      <w:r>
        <w:rPr>
          <w:spacing w:val="2"/>
        </w:rPr>
        <w:t xml:space="preserve"> </w:t>
      </w:r>
      <w:r>
        <w:t>região.</w:t>
      </w:r>
    </w:p>
    <w:p w:rsidR="00D81F69" w:rsidRDefault="00D81F69">
      <w:pPr>
        <w:pStyle w:val="Corpodetexto"/>
        <w:spacing w:before="5"/>
        <w:ind w:left="0"/>
        <w:jc w:val="left"/>
        <w:rPr>
          <w:sz w:val="29"/>
        </w:rPr>
      </w:pPr>
    </w:p>
    <w:p w:rsidR="00D81F69" w:rsidRDefault="00330118">
      <w:pPr>
        <w:pStyle w:val="Heading7"/>
      </w:pPr>
      <w:r>
        <w:t>REDATORES</w:t>
      </w:r>
    </w:p>
    <w:p w:rsidR="00D81F69" w:rsidRDefault="00330118">
      <w:pPr>
        <w:pStyle w:val="Corpodetexto"/>
        <w:spacing w:before="179"/>
      </w:pPr>
      <w:r>
        <w:t>Rena</w:t>
      </w:r>
      <w:r>
        <w:t>ta Olivieri;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38"/>
        <w:jc w:val="both"/>
        <w:rPr>
          <w:sz w:val="16"/>
        </w:rPr>
      </w:pPr>
      <w:r>
        <w:rPr>
          <w:spacing w:val="1"/>
          <w:sz w:val="16"/>
        </w:rPr>
        <w:t xml:space="preserve">AGÊNCIA SENADO. Vale denunciada </w:t>
      </w:r>
      <w:r>
        <w:rPr>
          <w:sz w:val="16"/>
        </w:rPr>
        <w:t xml:space="preserve">no  </w:t>
      </w:r>
      <w:r>
        <w:rPr>
          <w:spacing w:val="1"/>
          <w:sz w:val="16"/>
        </w:rPr>
        <w:t xml:space="preserve">Senado. </w:t>
      </w:r>
      <w:r>
        <w:rPr>
          <w:sz w:val="16"/>
        </w:rPr>
        <w:t xml:space="preserve">In:  </w:t>
      </w:r>
      <w:r>
        <w:rPr>
          <w:spacing w:val="1"/>
          <w:sz w:val="16"/>
        </w:rPr>
        <w:t xml:space="preserve">Justiça </w:t>
      </w:r>
      <w:r>
        <w:rPr>
          <w:spacing w:val="2"/>
          <w:sz w:val="16"/>
        </w:rPr>
        <w:t xml:space="preserve">nos   </w:t>
      </w:r>
      <w:r>
        <w:rPr>
          <w:spacing w:val="5"/>
          <w:sz w:val="16"/>
        </w:rPr>
        <w:t xml:space="preserve">T r i l h o s </w:t>
      </w:r>
      <w:r>
        <w:rPr>
          <w:sz w:val="16"/>
        </w:rPr>
        <w:t xml:space="preserve">,      </w:t>
      </w:r>
      <w:r>
        <w:rPr>
          <w:spacing w:val="5"/>
          <w:sz w:val="16"/>
        </w:rPr>
        <w:t xml:space="preserve">0 </w:t>
      </w:r>
      <w:r>
        <w:rPr>
          <w:sz w:val="16"/>
        </w:rPr>
        <w:t xml:space="preserve">5      </w:t>
      </w:r>
      <w:r>
        <w:rPr>
          <w:spacing w:val="5"/>
          <w:sz w:val="16"/>
        </w:rPr>
        <w:t xml:space="preserve">j u n </w:t>
      </w:r>
      <w:r>
        <w:rPr>
          <w:sz w:val="16"/>
        </w:rPr>
        <w:t xml:space="preserve">.      </w:t>
      </w:r>
      <w:r>
        <w:rPr>
          <w:spacing w:val="5"/>
          <w:sz w:val="16"/>
        </w:rPr>
        <w:t xml:space="preserve">2 0 0 9 </w:t>
      </w:r>
      <w:r>
        <w:rPr>
          <w:sz w:val="16"/>
        </w:rPr>
        <w:t xml:space="preserve">.      </w:t>
      </w:r>
      <w:r>
        <w:rPr>
          <w:spacing w:val="5"/>
          <w:sz w:val="16"/>
        </w:rPr>
        <w:t xml:space="preserve">D i s p o n í v e </w:t>
      </w:r>
      <w:r>
        <w:rPr>
          <w:sz w:val="16"/>
        </w:rPr>
        <w:t xml:space="preserve">l  </w:t>
      </w:r>
      <w:r>
        <w:rPr>
          <w:spacing w:val="7"/>
          <w:sz w:val="16"/>
        </w:rPr>
        <w:t xml:space="preserve"> </w:t>
      </w:r>
      <w:r>
        <w:rPr>
          <w:spacing w:val="5"/>
          <w:sz w:val="16"/>
        </w:rPr>
        <w:t xml:space="preserve">e m </w:t>
      </w:r>
      <w:r>
        <w:rPr>
          <w:sz w:val="16"/>
        </w:rPr>
        <w:t>:</w:t>
      </w:r>
      <w:r>
        <w:rPr>
          <w:spacing w:val="5"/>
          <w:sz w:val="16"/>
        </w:rPr>
        <w:t xml:space="preserve"> </w:t>
      </w:r>
    </w:p>
    <w:p w:rsidR="00D81F69" w:rsidRDefault="00D81F69">
      <w:pPr>
        <w:spacing w:before="1" w:line="312" w:lineRule="auto"/>
        <w:ind w:left="100" w:right="82"/>
        <w:jc w:val="both"/>
        <w:rPr>
          <w:sz w:val="16"/>
        </w:rPr>
      </w:pPr>
      <w:hyperlink r:id="rId275">
        <w:r w:rsidR="00330118">
          <w:rPr>
            <w:sz w:val="16"/>
          </w:rPr>
          <w:t xml:space="preserve">&lt;http://www.justicanostrilhos.org/nota/167&gt;. </w:t>
        </w:r>
      </w:hyperlink>
      <w:r w:rsidR="00330118">
        <w:rPr>
          <w:sz w:val="16"/>
        </w:rPr>
        <w:t>Acesso em: 04 jan. 2011. ALMEIDA. José Jonas. A cidade de Marabá sob o impacto dos projetos governamentais, 2008. Dissertação (Mestrado em História), Univ</w:t>
      </w:r>
      <w:r w:rsidR="00330118">
        <w:rPr>
          <w:sz w:val="16"/>
        </w:rPr>
        <w:t>ersidade de São Paulo, São Paulo. 272 f. Disponível em:</w:t>
      </w:r>
    </w:p>
    <w:p w:rsidR="00D81F69" w:rsidRDefault="00D81F69">
      <w:pPr>
        <w:spacing w:before="3" w:line="312" w:lineRule="auto"/>
        <w:ind w:left="100" w:right="82"/>
        <w:jc w:val="both"/>
        <w:rPr>
          <w:sz w:val="16"/>
        </w:rPr>
      </w:pPr>
      <w:hyperlink r:id="rId276">
        <w:r w:rsidR="00330118">
          <w:rPr>
            <w:sz w:val="16"/>
          </w:rPr>
          <w:t>&lt;http://www.teses.usp.br/teses/disponiveis/8/8137/tde-05022009-</w:t>
        </w:r>
      </w:hyperlink>
      <w:r w:rsidR="00330118">
        <w:rPr>
          <w:sz w:val="16"/>
        </w:rPr>
        <w:t xml:space="preserve"> 121639/publico/DISSERTACAO_JOSE_JONAS_ALMEIDA.pdf&gt;.</w:t>
      </w:r>
    </w:p>
    <w:p w:rsidR="00D81F69" w:rsidRDefault="00330118">
      <w:pPr>
        <w:spacing w:before="2"/>
        <w:ind w:left="100"/>
        <w:jc w:val="both"/>
        <w:rPr>
          <w:sz w:val="16"/>
        </w:rPr>
      </w:pPr>
      <w:r>
        <w:rPr>
          <w:sz w:val="16"/>
        </w:rPr>
        <w:t>Aces</w:t>
      </w:r>
      <w:r>
        <w:rPr>
          <w:sz w:val="16"/>
        </w:rPr>
        <w:t>so em: 05 jan. 2011.</w:t>
      </w:r>
    </w:p>
    <w:p w:rsidR="00D81F69" w:rsidRDefault="00330118">
      <w:pPr>
        <w:spacing w:before="56" w:line="312" w:lineRule="auto"/>
        <w:ind w:left="100" w:right="86"/>
        <w:jc w:val="both"/>
        <w:rPr>
          <w:sz w:val="16"/>
        </w:rPr>
      </w:pPr>
      <w:r>
        <w:rPr>
          <w:sz w:val="16"/>
        </w:rPr>
        <w:t>BARROS, Carlos Juliano. Parauapebas: entre o céu e o inferno. In: Repórter Brasil, Agência de Notícias, 02 jan. 2007. Disponível em:</w:t>
      </w:r>
    </w:p>
    <w:p w:rsidR="00D81F69" w:rsidRDefault="00D81F69">
      <w:pPr>
        <w:spacing w:before="2" w:line="312" w:lineRule="auto"/>
        <w:ind w:left="100" w:right="107"/>
        <w:jc w:val="both"/>
        <w:rPr>
          <w:sz w:val="16"/>
        </w:rPr>
      </w:pPr>
      <w:hyperlink r:id="rId277">
        <w:r w:rsidR="00330118">
          <w:rPr>
            <w:sz w:val="16"/>
          </w:rPr>
          <w:t>&lt;http://www.reporterbrasil.com.br/e</w:t>
        </w:r>
        <w:r w:rsidR="00330118">
          <w:rPr>
            <w:sz w:val="16"/>
          </w:rPr>
          <w:t xml:space="preserve">xibe.php?id=831&gt;. </w:t>
        </w:r>
      </w:hyperlink>
      <w:r w:rsidR="00330118">
        <w:rPr>
          <w:sz w:val="16"/>
        </w:rPr>
        <w:t>Acesso em: 05 jan. 2011.</w:t>
      </w:r>
    </w:p>
    <w:p w:rsidR="00D81F69" w:rsidRDefault="00330118">
      <w:pPr>
        <w:tabs>
          <w:tab w:val="left" w:pos="4331"/>
        </w:tabs>
        <w:spacing w:before="1" w:line="312" w:lineRule="auto"/>
        <w:ind w:left="100" w:right="87"/>
        <w:jc w:val="both"/>
        <w:rPr>
          <w:sz w:val="16"/>
        </w:rPr>
      </w:pPr>
      <w:r>
        <w:rPr>
          <w:sz w:val="16"/>
        </w:rPr>
        <w:t xml:space="preserve">BRASIL MINERAL. Empresas. Vale revê plano estratégico de olho  em cobre e carvão. In: Brasil Mineral OnLine n. 364, 13 ago. 2008.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line="312" w:lineRule="auto"/>
        <w:ind w:left="100" w:right="107"/>
        <w:jc w:val="both"/>
        <w:rPr>
          <w:sz w:val="16"/>
        </w:rPr>
      </w:pPr>
      <w:hyperlink r:id="rId278">
        <w:r w:rsidR="00330118">
          <w:rPr>
            <w:sz w:val="16"/>
          </w:rPr>
          <w:t>&lt;http://www.brasilmineral.com.br/BM/default.asp?COD=3739&amp;busca=</w:t>
        </w:r>
      </w:hyperlink>
      <w:r w:rsidR="00330118">
        <w:rPr>
          <w:sz w:val="16"/>
        </w:rPr>
        <w:t xml:space="preserve"> &amp;numero=364&gt;. Acesso em: 04 jan. 2011.</w:t>
      </w:r>
    </w:p>
    <w:p w:rsidR="00D81F69" w:rsidRDefault="00330118">
      <w:pPr>
        <w:spacing w:before="1" w:line="312" w:lineRule="auto"/>
        <w:ind w:left="100" w:right="40"/>
        <w:jc w:val="both"/>
        <w:rPr>
          <w:sz w:val="16"/>
        </w:rPr>
      </w:pPr>
      <w:r>
        <w:rPr>
          <w:sz w:val="16"/>
        </w:rPr>
        <w:t xml:space="preserve">CECRIA, Centro de Referência, Estudos e Ações Sobre Crianças e </w:t>
      </w:r>
      <w:r>
        <w:rPr>
          <w:spacing w:val="5"/>
          <w:sz w:val="16"/>
        </w:rPr>
        <w:t xml:space="preserve">Adolescentes. Seis </w:t>
      </w:r>
      <w:r>
        <w:rPr>
          <w:spacing w:val="3"/>
          <w:sz w:val="16"/>
        </w:rPr>
        <w:t xml:space="preserve">mil </w:t>
      </w:r>
      <w:r>
        <w:rPr>
          <w:spacing w:val="5"/>
          <w:sz w:val="16"/>
        </w:rPr>
        <w:t xml:space="preserve">trabalhadores </w:t>
      </w:r>
      <w:r>
        <w:rPr>
          <w:spacing w:val="2"/>
          <w:sz w:val="16"/>
        </w:rPr>
        <w:t xml:space="preserve">do </w:t>
      </w:r>
      <w:r>
        <w:rPr>
          <w:spacing w:val="5"/>
          <w:sz w:val="16"/>
        </w:rPr>
        <w:t xml:space="preserve">Pará </w:t>
      </w:r>
      <w:r>
        <w:rPr>
          <w:spacing w:val="2"/>
          <w:sz w:val="16"/>
        </w:rPr>
        <w:t xml:space="preserve">se </w:t>
      </w:r>
      <w:r>
        <w:rPr>
          <w:spacing w:val="5"/>
          <w:sz w:val="16"/>
        </w:rPr>
        <w:t xml:space="preserve">engajam </w:t>
      </w:r>
      <w:r>
        <w:rPr>
          <w:spacing w:val="6"/>
          <w:sz w:val="16"/>
        </w:rPr>
        <w:t xml:space="preserve">no </w:t>
      </w:r>
      <w:r>
        <w:rPr>
          <w:sz w:val="16"/>
        </w:rPr>
        <w:t xml:space="preserve">enfrentamento à exploração sexual de crianças e adolescentes. </w:t>
      </w:r>
      <w:r>
        <w:rPr>
          <w:spacing w:val="1"/>
          <w:sz w:val="16"/>
        </w:rPr>
        <w:t xml:space="preserve">In:     </w:t>
      </w:r>
      <w:r>
        <w:rPr>
          <w:sz w:val="16"/>
        </w:rPr>
        <w:t>V i r a , V i d a , S e s i , 2 0 1 1 . D i s p o n í v e l e m</w:t>
      </w:r>
      <w:r>
        <w:rPr>
          <w:spacing w:val="-8"/>
          <w:sz w:val="16"/>
        </w:rPr>
        <w:t xml:space="preserve"> </w:t>
      </w:r>
      <w:r>
        <w:rPr>
          <w:sz w:val="16"/>
        </w:rPr>
        <w:t>:</w:t>
      </w:r>
      <w:r>
        <w:rPr>
          <w:spacing w:val="1"/>
          <w:sz w:val="16"/>
        </w:rPr>
        <w:t xml:space="preserve"> </w:t>
      </w:r>
    </w:p>
    <w:p w:rsidR="00D81F69" w:rsidRDefault="00D81F69">
      <w:pPr>
        <w:spacing w:before="4" w:line="312" w:lineRule="auto"/>
        <w:ind w:left="100" w:right="85"/>
        <w:jc w:val="both"/>
        <w:rPr>
          <w:sz w:val="16"/>
        </w:rPr>
      </w:pPr>
      <w:hyperlink r:id="rId279">
        <w:r w:rsidR="00330118">
          <w:rPr>
            <w:sz w:val="16"/>
          </w:rPr>
          <w:t>&lt;http://www.viravida.org.br/noticias/ler/403&gt;.</w:t>
        </w:r>
      </w:hyperlink>
      <w:r w:rsidR="00330118">
        <w:rPr>
          <w:sz w:val="16"/>
        </w:rPr>
        <w:t xml:space="preserve"> Acesso em: 09 ago. 2012.</w:t>
      </w:r>
    </w:p>
    <w:p w:rsidR="00D81F69" w:rsidRDefault="00330118">
      <w:pPr>
        <w:spacing w:before="1" w:line="312" w:lineRule="auto"/>
        <w:ind w:left="100" w:right="64"/>
        <w:jc w:val="both"/>
        <w:rPr>
          <w:sz w:val="16"/>
        </w:rPr>
      </w:pPr>
      <w:r>
        <w:rPr>
          <w:spacing w:val="5"/>
          <w:sz w:val="16"/>
        </w:rPr>
        <w:t xml:space="preserve">COELHO, Maria Célia Nunes; MONTEIRO, Maurílio </w:t>
      </w:r>
      <w:r>
        <w:rPr>
          <w:spacing w:val="2"/>
          <w:sz w:val="16"/>
        </w:rPr>
        <w:t xml:space="preserve">de </w:t>
      </w:r>
      <w:r>
        <w:rPr>
          <w:spacing w:val="6"/>
          <w:sz w:val="16"/>
        </w:rPr>
        <w:t xml:space="preserve">Abreu; </w:t>
      </w:r>
      <w:r>
        <w:rPr>
          <w:spacing w:val="8"/>
          <w:sz w:val="16"/>
        </w:rPr>
        <w:t xml:space="preserve">FERREIRA, Bernardo Costa; BUNKER, Stephen. </w:t>
      </w:r>
      <w:r>
        <w:rPr>
          <w:spacing w:val="10"/>
          <w:sz w:val="16"/>
        </w:rPr>
        <w:t xml:space="preserve">Impactos </w:t>
      </w:r>
      <w:r>
        <w:rPr>
          <w:spacing w:val="1"/>
          <w:sz w:val="16"/>
        </w:rPr>
        <w:t xml:space="preserve">Ambientais </w:t>
      </w:r>
      <w:r>
        <w:rPr>
          <w:sz w:val="16"/>
        </w:rPr>
        <w:t xml:space="preserve">da </w:t>
      </w:r>
      <w:r>
        <w:rPr>
          <w:spacing w:val="1"/>
          <w:sz w:val="16"/>
        </w:rPr>
        <w:t xml:space="preserve">Estrada </w:t>
      </w:r>
      <w:r>
        <w:rPr>
          <w:sz w:val="16"/>
        </w:rPr>
        <w:t xml:space="preserve">de </w:t>
      </w:r>
      <w:r>
        <w:rPr>
          <w:spacing w:val="1"/>
          <w:sz w:val="16"/>
        </w:rPr>
        <w:t xml:space="preserve">Ferro Carajás </w:t>
      </w:r>
      <w:r>
        <w:rPr>
          <w:sz w:val="16"/>
        </w:rPr>
        <w:t xml:space="preserve">no </w:t>
      </w:r>
      <w:r>
        <w:rPr>
          <w:spacing w:val="1"/>
          <w:sz w:val="16"/>
        </w:rPr>
        <w:t xml:space="preserve">Sudeste </w:t>
      </w:r>
      <w:r>
        <w:rPr>
          <w:sz w:val="16"/>
        </w:rPr>
        <w:t xml:space="preserve">do </w:t>
      </w:r>
      <w:r>
        <w:rPr>
          <w:spacing w:val="1"/>
          <w:sz w:val="16"/>
        </w:rPr>
        <w:t xml:space="preserve">Pará. </w:t>
      </w:r>
      <w:r>
        <w:rPr>
          <w:spacing w:val="2"/>
          <w:sz w:val="16"/>
        </w:rPr>
        <w:t xml:space="preserve">In: </w:t>
      </w:r>
      <w:r>
        <w:rPr>
          <w:sz w:val="16"/>
        </w:rPr>
        <w:t>TEIXEIRA, Jo</w:t>
      </w:r>
      <w:r>
        <w:rPr>
          <w:sz w:val="16"/>
        </w:rPr>
        <w:t xml:space="preserve">ão B. Guimarães; BEISEIGEL, Vanderlei de Rui (orgs). </w:t>
      </w:r>
      <w:r>
        <w:rPr>
          <w:spacing w:val="3"/>
          <w:sz w:val="16"/>
        </w:rPr>
        <w:t xml:space="preserve">Carajás. Geologia </w:t>
      </w:r>
      <w:r>
        <w:rPr>
          <w:sz w:val="16"/>
        </w:rPr>
        <w:t xml:space="preserve">e </w:t>
      </w:r>
      <w:r>
        <w:rPr>
          <w:spacing w:val="3"/>
          <w:sz w:val="16"/>
        </w:rPr>
        <w:t xml:space="preserve">ocupação humana. Belém, Museu </w:t>
      </w:r>
      <w:r>
        <w:rPr>
          <w:spacing w:val="5"/>
          <w:sz w:val="16"/>
        </w:rPr>
        <w:t xml:space="preserve">Paraense </w:t>
      </w:r>
      <w:r>
        <w:rPr>
          <w:spacing w:val="20"/>
          <w:sz w:val="16"/>
        </w:rPr>
        <w:t>Emílio Goeldi,</w:t>
      </w:r>
      <w:r>
        <w:rPr>
          <w:spacing w:val="85"/>
          <w:sz w:val="16"/>
        </w:rPr>
        <w:t xml:space="preserve"> </w:t>
      </w:r>
      <w:r>
        <w:rPr>
          <w:spacing w:val="20"/>
          <w:sz w:val="16"/>
        </w:rPr>
        <w:t xml:space="preserve">2006. </w:t>
      </w:r>
      <w:r>
        <w:rPr>
          <w:spacing w:val="11"/>
          <w:sz w:val="16"/>
        </w:rPr>
        <w:t xml:space="preserve">p. </w:t>
      </w:r>
      <w:r>
        <w:rPr>
          <w:spacing w:val="20"/>
          <w:sz w:val="16"/>
        </w:rPr>
        <w:t>405-466.</w:t>
      </w:r>
      <w:r>
        <w:rPr>
          <w:spacing w:val="85"/>
          <w:sz w:val="16"/>
        </w:rPr>
        <w:t xml:space="preserve"> </w:t>
      </w:r>
      <w:r>
        <w:rPr>
          <w:spacing w:val="21"/>
          <w:sz w:val="16"/>
        </w:rPr>
        <w:t>Disponível</w:t>
      </w:r>
      <w:r>
        <w:rPr>
          <w:spacing w:val="20"/>
          <w:sz w:val="16"/>
        </w:rPr>
        <w:t xml:space="preserve"> </w:t>
      </w:r>
      <w:r>
        <w:rPr>
          <w:spacing w:val="15"/>
          <w:sz w:val="16"/>
        </w:rPr>
        <w:t>em:</w:t>
      </w:r>
      <w:r>
        <w:rPr>
          <w:spacing w:val="-19"/>
          <w:sz w:val="16"/>
        </w:rPr>
        <w:t xml:space="preserve"> </w:t>
      </w:r>
    </w:p>
    <w:p w:rsidR="00D81F69" w:rsidRDefault="00D81F69">
      <w:pPr>
        <w:spacing w:before="5"/>
        <w:ind w:left="100"/>
        <w:jc w:val="both"/>
        <w:rPr>
          <w:sz w:val="16"/>
        </w:rPr>
      </w:pPr>
      <w:hyperlink r:id="rId280">
        <w:r w:rsidR="00330118">
          <w:rPr>
            <w:sz w:val="16"/>
          </w:rPr>
          <w:t>&lt;http://www3.ufpa.br/proj</w:t>
        </w:r>
        <w:r w:rsidR="00330118">
          <w:rPr>
            <w:sz w:val="16"/>
          </w:rPr>
          <w:t>etomineracao/docs/estrut/Arq</w:t>
        </w:r>
      </w:hyperlink>
      <w:r w:rsidR="00330118">
        <w:rPr>
          <w:sz w:val="16"/>
        </w:rPr>
        <w:t xml:space="preserve">   17- </w:t>
      </w:r>
    </w:p>
    <w:p w:rsidR="00D81F69" w:rsidRDefault="00330118">
      <w:pPr>
        <w:spacing w:before="56"/>
        <w:ind w:left="100"/>
        <w:jc w:val="both"/>
        <w:rPr>
          <w:sz w:val="16"/>
        </w:rPr>
      </w:pPr>
      <w:r>
        <w:rPr>
          <w:sz w:val="16"/>
        </w:rPr>
        <w:t xml:space="preserve">Impactos.pdf&gt;. Acesso em: 04 jan. 2011. </w:t>
      </w:r>
    </w:p>
    <w:p w:rsidR="00D81F69" w:rsidRDefault="00330118">
      <w:pPr>
        <w:spacing w:before="56" w:line="312" w:lineRule="auto"/>
        <w:ind w:left="100" w:right="103"/>
        <w:jc w:val="both"/>
        <w:rPr>
          <w:sz w:val="16"/>
        </w:rPr>
      </w:pPr>
      <w:r>
        <w:rPr>
          <w:sz w:val="16"/>
        </w:rPr>
        <w:t xml:space="preserve">DIÁRIO ONLINE. Pará na liderança mineral com o cobre. Belém, 20 abr. 2011. Disponível em: </w:t>
      </w:r>
      <w:hyperlink r:id="rId281">
        <w:r>
          <w:rPr>
            <w:sz w:val="16"/>
          </w:rPr>
          <w:t>&lt;</w:t>
        </w:r>
        <w:r>
          <w:rPr>
            <w:sz w:val="16"/>
          </w:rPr>
          <w:t>http://www.diarioonline.com.br/noticia-</w:t>
        </w:r>
      </w:hyperlink>
      <w:r>
        <w:rPr>
          <w:sz w:val="16"/>
        </w:rPr>
        <w:t xml:space="preserve"> 144398-.html&gt;. Acesso em: 09 ago. 2012.</w:t>
      </w:r>
    </w:p>
    <w:p w:rsidR="00D81F69" w:rsidRDefault="00330118">
      <w:pPr>
        <w:spacing w:before="3"/>
        <w:ind w:left="100"/>
        <w:jc w:val="both"/>
        <w:rPr>
          <w:sz w:val="16"/>
        </w:rPr>
      </w:pPr>
      <w:r>
        <w:rPr>
          <w:sz w:val="16"/>
        </w:rPr>
        <w:t>ECOFINANÇAS. Vale: Projeto Salobo em Carajás entra em operação</w:t>
      </w:r>
    </w:p>
    <w:p w:rsidR="00D81F69" w:rsidRDefault="00330118">
      <w:pPr>
        <w:spacing w:before="70"/>
        <w:ind w:left="100"/>
        <w:jc w:val="both"/>
        <w:rPr>
          <w:sz w:val="16"/>
        </w:rPr>
      </w:pPr>
      <w:r>
        <w:br w:type="column"/>
      </w:r>
      <w:r>
        <w:rPr>
          <w:sz w:val="16"/>
        </w:rPr>
        <w:lastRenderedPageBreak/>
        <w:t>nas próximas semanas. In: Agorainvest, 25 abr. 2012. Disponível em:</w:t>
      </w:r>
    </w:p>
    <w:p w:rsidR="00D81F69" w:rsidRDefault="00D81F69">
      <w:pPr>
        <w:spacing w:before="56" w:line="312" w:lineRule="auto"/>
        <w:ind w:left="100" w:right="252"/>
        <w:rPr>
          <w:sz w:val="16"/>
        </w:rPr>
      </w:pPr>
      <w:hyperlink r:id="rId282">
        <w:r w:rsidR="00330118">
          <w:rPr>
            <w:sz w:val="16"/>
          </w:rPr>
          <w:t>&lt;http://www.ecofinancas.com/noticias/vale-projeto-salobo-carajas-</w:t>
        </w:r>
      </w:hyperlink>
      <w:r w:rsidR="00330118">
        <w:rPr>
          <w:sz w:val="16"/>
        </w:rPr>
        <w:t xml:space="preserve"> entra-operacao-proximas-semanas&gt;. Acesso em: 09 ago. 2012. ESTEIO ENGENHARIA E AEROLEVANTAMENTOS S.A. Mineração</w:t>
      </w:r>
    </w:p>
    <w:p w:rsidR="00D81F69" w:rsidRDefault="00330118">
      <w:pPr>
        <w:spacing w:before="2"/>
        <w:ind w:left="100"/>
        <w:jc w:val="both"/>
        <w:rPr>
          <w:sz w:val="16"/>
        </w:rPr>
      </w:pPr>
      <w:r>
        <w:rPr>
          <w:sz w:val="16"/>
        </w:rPr>
        <w:t>de   Salobo.  In:   Cobre’s  Weblog.  20</w:t>
      </w:r>
      <w:r>
        <w:rPr>
          <w:sz w:val="16"/>
        </w:rPr>
        <w:t xml:space="preserve">11a.  Disponível  em: </w:t>
      </w:r>
    </w:p>
    <w:p w:rsidR="00D81F69" w:rsidRDefault="00D81F69">
      <w:pPr>
        <w:spacing w:before="56" w:line="312" w:lineRule="auto"/>
        <w:ind w:left="100" w:right="255"/>
        <w:jc w:val="both"/>
        <w:rPr>
          <w:sz w:val="16"/>
        </w:rPr>
      </w:pPr>
      <w:hyperlink r:id="rId283">
        <w:r w:rsidR="00330118">
          <w:rPr>
            <w:sz w:val="16"/>
          </w:rPr>
          <w:t xml:space="preserve">&lt;http://cobre.wordpress.com/mineracao-de-salobo/&gt;. </w:t>
        </w:r>
      </w:hyperlink>
      <w:r w:rsidR="00330118">
        <w:rPr>
          <w:sz w:val="16"/>
        </w:rPr>
        <w:t>Acesso em: 04 jan. 2011.</w:t>
      </w:r>
    </w:p>
    <w:p w:rsidR="00D81F69" w:rsidRDefault="00330118">
      <w:pPr>
        <w:spacing w:before="2" w:line="312" w:lineRule="auto"/>
        <w:ind w:left="100" w:right="228"/>
        <w:jc w:val="both"/>
        <w:rPr>
          <w:sz w:val="16"/>
        </w:rPr>
      </w:pPr>
      <w:r>
        <w:rPr>
          <w:sz w:val="16"/>
        </w:rPr>
        <w:t xml:space="preserve">_______. Salobo Metais S.A: Estudo de viabilidade. 2011b. Disponível em: </w:t>
      </w:r>
      <w:hyperlink r:id="rId284">
        <w:r>
          <w:rPr>
            <w:sz w:val="16"/>
          </w:rPr>
          <w:t>&lt;http://www.esteio.com.br/servicos/se_salobo.htm&gt;.</w:t>
        </w:r>
      </w:hyperlink>
      <w:r>
        <w:rPr>
          <w:sz w:val="16"/>
        </w:rPr>
        <w:t xml:space="preserve"> Acesso em: 05 jan. 2011.</w:t>
      </w:r>
    </w:p>
    <w:p w:rsidR="00D81F69" w:rsidRDefault="00330118">
      <w:pPr>
        <w:spacing w:before="2" w:line="312" w:lineRule="auto"/>
        <w:ind w:left="100" w:right="220"/>
        <w:jc w:val="both"/>
        <w:rPr>
          <w:sz w:val="16"/>
        </w:rPr>
      </w:pPr>
      <w:r>
        <w:rPr>
          <w:sz w:val="16"/>
        </w:rPr>
        <w:t xml:space="preserve">FOLHA DO SUDESTE ONLINE. Projeto Salobo: de investimentos a </w:t>
      </w:r>
      <w:r>
        <w:rPr>
          <w:spacing w:val="17"/>
          <w:sz w:val="16"/>
        </w:rPr>
        <w:t xml:space="preserve">impactos </w:t>
      </w:r>
      <w:r>
        <w:rPr>
          <w:spacing w:val="18"/>
          <w:sz w:val="16"/>
        </w:rPr>
        <w:t xml:space="preserve">ambientais, </w:t>
      </w:r>
      <w:r>
        <w:rPr>
          <w:spacing w:val="10"/>
          <w:sz w:val="16"/>
        </w:rPr>
        <w:t xml:space="preserve">15 </w:t>
      </w:r>
      <w:r>
        <w:rPr>
          <w:spacing w:val="15"/>
          <w:sz w:val="16"/>
        </w:rPr>
        <w:t>nov. 2010.</w:t>
      </w:r>
      <w:r>
        <w:rPr>
          <w:spacing w:val="75"/>
          <w:sz w:val="16"/>
        </w:rPr>
        <w:t xml:space="preserve"> </w:t>
      </w:r>
      <w:r>
        <w:rPr>
          <w:spacing w:val="17"/>
          <w:sz w:val="16"/>
        </w:rPr>
        <w:t>Disponível</w:t>
      </w:r>
      <w:r>
        <w:rPr>
          <w:spacing w:val="16"/>
          <w:sz w:val="16"/>
        </w:rPr>
        <w:t xml:space="preserve"> </w:t>
      </w:r>
      <w:r>
        <w:rPr>
          <w:spacing w:val="13"/>
          <w:sz w:val="16"/>
        </w:rPr>
        <w:t>em:</w:t>
      </w:r>
      <w:r>
        <w:rPr>
          <w:spacing w:val="-23"/>
          <w:sz w:val="16"/>
        </w:rPr>
        <w:t xml:space="preserve"> </w:t>
      </w:r>
    </w:p>
    <w:p w:rsidR="00D81F69" w:rsidRDefault="00D81F69">
      <w:pPr>
        <w:spacing w:before="2" w:line="312" w:lineRule="auto"/>
        <w:ind w:left="100" w:right="256"/>
        <w:jc w:val="both"/>
        <w:rPr>
          <w:sz w:val="16"/>
        </w:rPr>
      </w:pPr>
      <w:hyperlink r:id="rId285">
        <w:r w:rsidR="00330118">
          <w:rPr>
            <w:sz w:val="16"/>
          </w:rPr>
          <w:t>&lt;http://www.folhadosudesteonline.com/index.php?option=com_conten</w:t>
        </w:r>
      </w:hyperlink>
      <w:r w:rsidR="00330118">
        <w:rPr>
          <w:sz w:val="16"/>
        </w:rPr>
        <w:t xml:space="preserve"> t&amp;view=article&amp;id=31&amp;Itemid=50&gt;. Acesso em: 04 jan. 2011.</w:t>
      </w:r>
    </w:p>
    <w:p w:rsidR="00D81F69" w:rsidRDefault="00330118">
      <w:pPr>
        <w:spacing w:before="1" w:line="312" w:lineRule="auto"/>
        <w:ind w:left="100" w:right="227"/>
        <w:jc w:val="both"/>
        <w:rPr>
          <w:sz w:val="16"/>
        </w:rPr>
      </w:pPr>
      <w:r>
        <w:rPr>
          <w:sz w:val="16"/>
        </w:rPr>
        <w:t>HASHIZUME, Maurício. Especial – Carajás: Muito minério e p</w:t>
      </w:r>
      <w:r>
        <w:rPr>
          <w:sz w:val="16"/>
        </w:rPr>
        <w:t>ouco desenvolvimento ativam manifestações. In: Portal Ecodebate – Cidadania e Meio Ambiente, 29 nov. 2007. Disponível em:</w:t>
      </w:r>
    </w:p>
    <w:p w:rsidR="00D81F69" w:rsidRDefault="00D81F69">
      <w:pPr>
        <w:spacing w:before="3" w:line="312" w:lineRule="auto"/>
        <w:ind w:left="100" w:right="252"/>
        <w:jc w:val="both"/>
        <w:rPr>
          <w:sz w:val="16"/>
        </w:rPr>
      </w:pPr>
      <w:hyperlink r:id="rId286">
        <w:r w:rsidR="00330118">
          <w:rPr>
            <w:sz w:val="16"/>
          </w:rPr>
          <w:t>&lt;http://www.ecodebate.com.br/2007/11/29/especial-caraj</w:t>
        </w:r>
        <w:r w:rsidR="00330118">
          <w:rPr>
            <w:sz w:val="16"/>
          </w:rPr>
          <w:t>as-muito-</w:t>
        </w:r>
      </w:hyperlink>
      <w:r w:rsidR="00330118">
        <w:rPr>
          <w:sz w:val="16"/>
        </w:rPr>
        <w:t xml:space="preserve"> minerio-e-pouco-desenvolvimento-ativam-manifestacoes/&gt;. Acesso em: 04 jan. 2011.</w:t>
      </w:r>
    </w:p>
    <w:p w:rsidR="00D81F69" w:rsidRDefault="00330118">
      <w:pPr>
        <w:spacing w:before="2" w:line="312" w:lineRule="auto"/>
        <w:ind w:left="100" w:right="186"/>
        <w:jc w:val="both"/>
        <w:rPr>
          <w:sz w:val="16"/>
        </w:rPr>
      </w:pPr>
      <w:r>
        <w:rPr>
          <w:sz w:val="16"/>
        </w:rPr>
        <w:t xml:space="preserve">IBGE, Instituto Brasileiro de Geografia e Estatística. Marabá (PA). In:   </w:t>
      </w:r>
      <w:r>
        <w:rPr>
          <w:spacing w:val="6"/>
          <w:sz w:val="16"/>
        </w:rPr>
        <w:t xml:space="preserve">I B G </w:t>
      </w:r>
      <w:r>
        <w:rPr>
          <w:sz w:val="16"/>
        </w:rPr>
        <w:t xml:space="preserve">E </w:t>
      </w:r>
      <w:r>
        <w:rPr>
          <w:spacing w:val="6"/>
          <w:sz w:val="16"/>
        </w:rPr>
        <w:t xml:space="preserve">C i d a d e s </w:t>
      </w:r>
      <w:r>
        <w:rPr>
          <w:sz w:val="16"/>
        </w:rPr>
        <w:t xml:space="preserve">, </w:t>
      </w:r>
      <w:r>
        <w:rPr>
          <w:spacing w:val="6"/>
          <w:sz w:val="16"/>
        </w:rPr>
        <w:t xml:space="preserve">2 0 1 0 a </w:t>
      </w:r>
      <w:r>
        <w:rPr>
          <w:sz w:val="16"/>
        </w:rPr>
        <w:t xml:space="preserve">. </w:t>
      </w:r>
      <w:r>
        <w:rPr>
          <w:spacing w:val="6"/>
          <w:sz w:val="16"/>
        </w:rPr>
        <w:t xml:space="preserve">D i s p o n í v e </w:t>
      </w:r>
      <w:r>
        <w:rPr>
          <w:sz w:val="16"/>
        </w:rPr>
        <w:t>l</w:t>
      </w:r>
      <w:r>
        <w:rPr>
          <w:spacing w:val="31"/>
          <w:sz w:val="16"/>
        </w:rPr>
        <w:t xml:space="preserve"> </w:t>
      </w:r>
      <w:r>
        <w:rPr>
          <w:spacing w:val="6"/>
          <w:sz w:val="16"/>
        </w:rPr>
        <w:t xml:space="preserve">e m </w:t>
      </w:r>
      <w:r>
        <w:rPr>
          <w:sz w:val="16"/>
        </w:rPr>
        <w:t>:</w:t>
      </w:r>
      <w:r>
        <w:rPr>
          <w:spacing w:val="7"/>
          <w:sz w:val="16"/>
        </w:rPr>
        <w:t xml:space="preserve"> </w:t>
      </w:r>
    </w:p>
    <w:p w:rsidR="00D81F69" w:rsidRDefault="00D81F69">
      <w:pPr>
        <w:spacing w:before="2"/>
        <w:ind w:left="100"/>
        <w:jc w:val="both"/>
        <w:rPr>
          <w:sz w:val="16"/>
        </w:rPr>
      </w:pPr>
      <w:hyperlink r:id="rId287">
        <w:r w:rsidR="00330118">
          <w:rPr>
            <w:sz w:val="16"/>
          </w:rPr>
          <w:t>&lt;http://www.ibge.gov.br/cidadesat/xtras/perfil.php?codmun=150420&amp;r</w:t>
        </w:r>
      </w:hyperlink>
    </w:p>
    <w:p w:rsidR="00D81F69" w:rsidRDefault="00330118">
      <w:pPr>
        <w:spacing w:before="56"/>
        <w:ind w:left="100"/>
        <w:jc w:val="both"/>
        <w:rPr>
          <w:sz w:val="16"/>
        </w:rPr>
      </w:pPr>
      <w:r>
        <w:rPr>
          <w:sz w:val="16"/>
        </w:rPr>
        <w:t>=2&gt;. Acesso em: 04 jan. 2011.</w:t>
      </w:r>
    </w:p>
    <w:p w:rsidR="00D81F69" w:rsidRDefault="00330118">
      <w:pPr>
        <w:spacing w:before="56" w:line="312" w:lineRule="auto"/>
        <w:ind w:left="100" w:right="253"/>
        <w:jc w:val="both"/>
        <w:rPr>
          <w:sz w:val="16"/>
        </w:rPr>
      </w:pPr>
      <w:r>
        <w:rPr>
          <w:sz w:val="16"/>
        </w:rPr>
        <w:t xml:space="preserve">______. Parauapebas (PA). In: IBGE Cidades, 2010b. Disponível </w:t>
      </w:r>
      <w:hyperlink r:id="rId288">
        <w:r>
          <w:rPr>
            <w:sz w:val="16"/>
          </w:rPr>
          <w:t>em:&lt;http://www.ibge.gov.br/cidadesat/xtras/perfil.php?codmun=15055</w:t>
        </w:r>
      </w:hyperlink>
      <w:r>
        <w:rPr>
          <w:sz w:val="16"/>
        </w:rPr>
        <w:t xml:space="preserve"> 3&amp;r=2.&gt;. Acesso em: 04 jan. 2011.</w:t>
      </w:r>
    </w:p>
    <w:p w:rsidR="00D81F69" w:rsidRDefault="00330118">
      <w:pPr>
        <w:tabs>
          <w:tab w:val="left" w:pos="1171"/>
          <w:tab w:val="left" w:pos="2478"/>
          <w:tab w:val="left" w:pos="4638"/>
        </w:tabs>
        <w:spacing w:before="3" w:line="312" w:lineRule="auto"/>
        <w:ind w:left="100" w:right="239"/>
        <w:jc w:val="both"/>
        <w:rPr>
          <w:sz w:val="16"/>
        </w:rPr>
      </w:pPr>
      <w:r>
        <w:rPr>
          <w:sz w:val="16"/>
        </w:rPr>
        <w:t xml:space="preserve">GOZZI, Ricardo. Vale descobre terras raras em Salobo, na Amazônia. Agência Estado. In: O Estado de S. Paulo, Economia e Negócios, 03 o  u </w:t>
      </w:r>
      <w:r>
        <w:rPr>
          <w:spacing w:val="22"/>
          <w:sz w:val="16"/>
        </w:rPr>
        <w:t xml:space="preserve"> </w:t>
      </w:r>
      <w:r>
        <w:rPr>
          <w:sz w:val="16"/>
        </w:rPr>
        <w:t xml:space="preserve">t </w:t>
      </w:r>
      <w:r>
        <w:rPr>
          <w:spacing w:val="10"/>
          <w:sz w:val="16"/>
        </w:rPr>
        <w:t xml:space="preserve"> </w:t>
      </w:r>
      <w:r>
        <w:rPr>
          <w:sz w:val="16"/>
        </w:rPr>
        <w:t>.</w:t>
      </w:r>
      <w:r>
        <w:rPr>
          <w:sz w:val="16"/>
        </w:rPr>
        <w:tab/>
        <w:t xml:space="preserve">2  0  1 </w:t>
      </w:r>
      <w:r>
        <w:rPr>
          <w:spacing w:val="35"/>
          <w:sz w:val="16"/>
        </w:rPr>
        <w:t xml:space="preserve"> </w:t>
      </w:r>
      <w:r>
        <w:rPr>
          <w:sz w:val="16"/>
        </w:rPr>
        <w:t xml:space="preserve">1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2"/>
          <w:sz w:val="16"/>
        </w:rPr>
        <w:t xml:space="preserve"> </w:t>
      </w:r>
      <w:r>
        <w:rPr>
          <w:sz w:val="16"/>
        </w:rPr>
        <w:t>:</w:t>
      </w:r>
    </w:p>
    <w:p w:rsidR="00D81F69" w:rsidRDefault="00D81F69">
      <w:pPr>
        <w:spacing w:before="2" w:line="312" w:lineRule="auto"/>
        <w:ind w:left="100" w:right="252"/>
        <w:jc w:val="both"/>
        <w:rPr>
          <w:sz w:val="16"/>
        </w:rPr>
      </w:pPr>
      <w:hyperlink r:id="rId289">
        <w:r w:rsidR="00330118">
          <w:rPr>
            <w:sz w:val="16"/>
          </w:rPr>
          <w:t>&lt;http://economia.estadao.com.br/noticias/negocios+industria,vale-</w:t>
        </w:r>
      </w:hyperlink>
      <w:r w:rsidR="00330118">
        <w:rPr>
          <w:sz w:val="16"/>
        </w:rPr>
        <w:t xml:space="preserve"> descobre-terras-raras-em-salobo-na-amazonia,86669,0.htm&gt;. Acesso em: 09 ago. 2012.</w:t>
      </w:r>
    </w:p>
    <w:p w:rsidR="00D81F69" w:rsidRDefault="00330118">
      <w:pPr>
        <w:spacing w:before="2" w:line="312" w:lineRule="auto"/>
        <w:ind w:left="100" w:right="224"/>
        <w:jc w:val="both"/>
        <w:rPr>
          <w:sz w:val="16"/>
        </w:rPr>
      </w:pPr>
      <w:r>
        <w:rPr>
          <w:sz w:val="16"/>
        </w:rPr>
        <w:t xml:space="preserve">MENDES, Alana Feliciano; VIEIRA, Rafael. Gestão ambiental na indústria de mineração </w:t>
      </w:r>
      <w:r>
        <w:rPr>
          <w:sz w:val="16"/>
        </w:rPr>
        <w:t xml:space="preserve">no Brasil: Técnicas para minimizar potenciais impactos ambientais na extração do cobre. Instituto Brasileiro de Estudos Ambientais (Ibeas), Anais I Congresso Brasileiro de Gestão Ambiental, Bauru (SP), 21-24 nov. 2010. Disponível em: </w:t>
      </w:r>
    </w:p>
    <w:p w:rsidR="00D81F69" w:rsidRDefault="00D81F69">
      <w:pPr>
        <w:spacing w:before="5" w:line="312" w:lineRule="auto"/>
        <w:ind w:left="100" w:right="256"/>
        <w:jc w:val="both"/>
        <w:rPr>
          <w:sz w:val="16"/>
        </w:rPr>
      </w:pPr>
      <w:hyperlink r:id="rId290">
        <w:r w:rsidR="00330118">
          <w:rPr>
            <w:sz w:val="16"/>
          </w:rPr>
          <w:t xml:space="preserve">&lt;http://www.ibeas.org.br/congresso/congresso1.htm&gt;. </w:t>
        </w:r>
      </w:hyperlink>
      <w:r w:rsidR="00330118">
        <w:rPr>
          <w:sz w:val="16"/>
        </w:rPr>
        <w:t>Acesso em: 09 ago. 2011.</w:t>
      </w:r>
    </w:p>
    <w:p w:rsidR="00D81F69" w:rsidRDefault="00330118">
      <w:pPr>
        <w:spacing w:before="1" w:line="312" w:lineRule="auto"/>
        <w:ind w:left="100" w:right="168"/>
        <w:jc w:val="both"/>
        <w:rPr>
          <w:sz w:val="16"/>
        </w:rPr>
      </w:pPr>
      <w:r>
        <w:rPr>
          <w:sz w:val="16"/>
        </w:rPr>
        <w:t xml:space="preserve">MOVIMENTO XINGU VIVO. Vale concorre a prêmio de pior empresa  </w:t>
      </w:r>
      <w:r>
        <w:rPr>
          <w:spacing w:val="22"/>
          <w:sz w:val="16"/>
        </w:rPr>
        <w:t>d</w:t>
      </w:r>
      <w:r>
        <w:rPr>
          <w:sz w:val="16"/>
        </w:rPr>
        <w:t xml:space="preserve"> o</w:t>
      </w:r>
      <w:r>
        <w:rPr>
          <w:spacing w:val="3"/>
          <w:sz w:val="16"/>
        </w:rPr>
        <w:t xml:space="preserve"> </w:t>
      </w:r>
      <w:r>
        <w:rPr>
          <w:spacing w:val="22"/>
          <w:sz w:val="16"/>
        </w:rPr>
        <w:t>m</w:t>
      </w:r>
      <w:r>
        <w:rPr>
          <w:sz w:val="16"/>
        </w:rPr>
        <w:t xml:space="preserve"> </w:t>
      </w:r>
      <w:r>
        <w:rPr>
          <w:spacing w:val="22"/>
          <w:sz w:val="16"/>
        </w:rPr>
        <w:t>u</w:t>
      </w:r>
      <w:r>
        <w:rPr>
          <w:sz w:val="16"/>
        </w:rPr>
        <w:t xml:space="preserve"> </w:t>
      </w:r>
      <w:r>
        <w:rPr>
          <w:spacing w:val="22"/>
          <w:sz w:val="16"/>
        </w:rPr>
        <w:t>n</w:t>
      </w:r>
      <w:r>
        <w:rPr>
          <w:sz w:val="16"/>
        </w:rPr>
        <w:t xml:space="preserve"> </w:t>
      </w:r>
      <w:r>
        <w:rPr>
          <w:spacing w:val="22"/>
          <w:sz w:val="16"/>
        </w:rPr>
        <w:t>d</w:t>
      </w:r>
      <w:r>
        <w:rPr>
          <w:sz w:val="16"/>
        </w:rPr>
        <w:t xml:space="preserve"> </w:t>
      </w:r>
      <w:r>
        <w:rPr>
          <w:spacing w:val="22"/>
          <w:sz w:val="16"/>
        </w:rPr>
        <w:t>o</w:t>
      </w:r>
      <w:r>
        <w:rPr>
          <w:sz w:val="16"/>
        </w:rPr>
        <w:t xml:space="preserve"> ,</w:t>
      </w:r>
      <w:r>
        <w:rPr>
          <w:spacing w:val="3"/>
          <w:sz w:val="16"/>
        </w:rPr>
        <w:t xml:space="preserve"> </w:t>
      </w:r>
      <w:r>
        <w:rPr>
          <w:spacing w:val="22"/>
          <w:sz w:val="16"/>
        </w:rPr>
        <w:t>2</w:t>
      </w:r>
      <w:r>
        <w:rPr>
          <w:sz w:val="16"/>
        </w:rPr>
        <w:t xml:space="preserve"> </w:t>
      </w:r>
      <w:r>
        <w:rPr>
          <w:spacing w:val="22"/>
          <w:sz w:val="16"/>
        </w:rPr>
        <w:t>0</w:t>
      </w:r>
      <w:r>
        <w:rPr>
          <w:sz w:val="16"/>
        </w:rPr>
        <w:t xml:space="preserve"> </w:t>
      </w:r>
      <w:r>
        <w:rPr>
          <w:spacing w:val="22"/>
          <w:sz w:val="16"/>
        </w:rPr>
        <w:t>1</w:t>
      </w:r>
      <w:r>
        <w:rPr>
          <w:sz w:val="16"/>
        </w:rPr>
        <w:t xml:space="preserve"> </w:t>
      </w:r>
      <w:r>
        <w:rPr>
          <w:spacing w:val="22"/>
          <w:sz w:val="16"/>
        </w:rPr>
        <w:t>2</w:t>
      </w:r>
      <w:r>
        <w:rPr>
          <w:sz w:val="16"/>
        </w:rPr>
        <w:t xml:space="preserve"> .</w:t>
      </w:r>
      <w:r>
        <w:rPr>
          <w:spacing w:val="3"/>
          <w:sz w:val="16"/>
        </w:rPr>
        <w:t xml:space="preserve"> </w:t>
      </w:r>
      <w:r>
        <w:rPr>
          <w:spacing w:val="22"/>
          <w:sz w:val="16"/>
        </w:rPr>
        <w:t>D</w:t>
      </w:r>
      <w:r>
        <w:rPr>
          <w:sz w:val="16"/>
        </w:rPr>
        <w:t xml:space="preserve"> </w:t>
      </w:r>
      <w:r>
        <w:rPr>
          <w:spacing w:val="22"/>
          <w:sz w:val="16"/>
        </w:rPr>
        <w:t>i</w:t>
      </w:r>
      <w:r>
        <w:rPr>
          <w:sz w:val="16"/>
        </w:rPr>
        <w:t xml:space="preserve"> </w:t>
      </w:r>
      <w:r>
        <w:rPr>
          <w:spacing w:val="22"/>
          <w:sz w:val="16"/>
        </w:rPr>
        <w:t>s</w:t>
      </w:r>
      <w:r>
        <w:rPr>
          <w:sz w:val="16"/>
        </w:rPr>
        <w:t xml:space="preserve"> </w:t>
      </w:r>
      <w:r>
        <w:rPr>
          <w:spacing w:val="22"/>
          <w:sz w:val="16"/>
        </w:rPr>
        <w:t>p</w:t>
      </w:r>
      <w:r>
        <w:rPr>
          <w:sz w:val="16"/>
        </w:rPr>
        <w:t xml:space="preserve"> </w:t>
      </w:r>
      <w:r>
        <w:rPr>
          <w:spacing w:val="22"/>
          <w:sz w:val="16"/>
        </w:rPr>
        <w:t>o</w:t>
      </w:r>
      <w:r>
        <w:rPr>
          <w:sz w:val="16"/>
        </w:rPr>
        <w:t xml:space="preserve"> </w:t>
      </w:r>
      <w:r>
        <w:rPr>
          <w:spacing w:val="22"/>
          <w:sz w:val="16"/>
        </w:rPr>
        <w:t>n</w:t>
      </w:r>
      <w:r>
        <w:rPr>
          <w:sz w:val="16"/>
        </w:rPr>
        <w:t xml:space="preserve"> </w:t>
      </w:r>
      <w:r>
        <w:rPr>
          <w:spacing w:val="22"/>
          <w:sz w:val="16"/>
        </w:rPr>
        <w:t>í</w:t>
      </w:r>
      <w:r>
        <w:rPr>
          <w:sz w:val="16"/>
        </w:rPr>
        <w:t xml:space="preserve"> </w:t>
      </w:r>
      <w:r>
        <w:rPr>
          <w:spacing w:val="22"/>
          <w:sz w:val="16"/>
        </w:rPr>
        <w:t>v</w:t>
      </w:r>
      <w:r>
        <w:rPr>
          <w:sz w:val="16"/>
        </w:rPr>
        <w:t xml:space="preserve"> </w:t>
      </w:r>
      <w:r>
        <w:rPr>
          <w:spacing w:val="22"/>
          <w:sz w:val="16"/>
        </w:rPr>
        <w:t>e</w:t>
      </w:r>
      <w:r>
        <w:rPr>
          <w:sz w:val="16"/>
        </w:rPr>
        <w:t xml:space="preserve"> l</w:t>
      </w:r>
      <w:r>
        <w:rPr>
          <w:spacing w:val="3"/>
          <w:sz w:val="16"/>
        </w:rPr>
        <w:t xml:space="preserve"> </w:t>
      </w:r>
      <w:r>
        <w:rPr>
          <w:spacing w:val="22"/>
          <w:sz w:val="16"/>
        </w:rPr>
        <w:t>e</w:t>
      </w:r>
      <w:r>
        <w:rPr>
          <w:sz w:val="16"/>
        </w:rPr>
        <w:t xml:space="preserve"> </w:t>
      </w:r>
      <w:r>
        <w:rPr>
          <w:spacing w:val="22"/>
          <w:sz w:val="16"/>
        </w:rPr>
        <w:t>m</w:t>
      </w:r>
      <w:r>
        <w:rPr>
          <w:sz w:val="16"/>
        </w:rPr>
        <w:t xml:space="preserve"> : </w:t>
      </w:r>
      <w:r>
        <w:rPr>
          <w:spacing w:val="-20"/>
          <w:sz w:val="16"/>
        </w:rPr>
        <w:t xml:space="preserve"> </w:t>
      </w:r>
    </w:p>
    <w:p w:rsidR="00D81F69" w:rsidRDefault="00D81F69">
      <w:pPr>
        <w:spacing w:before="2" w:line="312" w:lineRule="auto"/>
        <w:ind w:left="100" w:right="234"/>
        <w:jc w:val="both"/>
        <w:rPr>
          <w:sz w:val="16"/>
        </w:rPr>
      </w:pPr>
      <w:hyperlink r:id="rId291">
        <w:r w:rsidR="00330118">
          <w:rPr>
            <w:sz w:val="16"/>
          </w:rPr>
          <w:t xml:space="preserve">&lt;http://forumcarajas.org.br/inicio.php&gt;. </w:t>
        </w:r>
      </w:hyperlink>
      <w:r w:rsidR="00330118">
        <w:rPr>
          <w:sz w:val="16"/>
        </w:rPr>
        <w:t xml:space="preserve">Acesso em: 09 ago. 2012. MST-PA. Ocupação da Estrada do Projeto Salobo, 28 out. 2010. Disponível em: </w:t>
      </w:r>
      <w:hyperlink r:id="rId292">
        <w:r w:rsidR="00330118">
          <w:rPr>
            <w:sz w:val="16"/>
          </w:rPr>
          <w:t>&lt;http://www.mstpara.com.br/2010/10/ocupacao-da-</w:t>
        </w:r>
      </w:hyperlink>
      <w:r w:rsidR="00330118">
        <w:rPr>
          <w:sz w:val="16"/>
        </w:rPr>
        <w:t xml:space="preserve"> estrada-do-projeto-salobo.html&gt;. Acesso em: 04 jan. 2010.</w:t>
      </w:r>
    </w:p>
    <w:p w:rsidR="00D81F69" w:rsidRDefault="00330118">
      <w:pPr>
        <w:spacing w:before="3" w:line="312" w:lineRule="auto"/>
        <w:ind w:left="100" w:right="212"/>
        <w:jc w:val="both"/>
        <w:rPr>
          <w:sz w:val="16"/>
        </w:rPr>
      </w:pPr>
      <w:r>
        <w:rPr>
          <w:spacing w:val="1"/>
          <w:sz w:val="16"/>
        </w:rPr>
        <w:t xml:space="preserve">MURPHY, Peter. Brasil mais </w:t>
      </w:r>
      <w:r>
        <w:rPr>
          <w:sz w:val="16"/>
        </w:rPr>
        <w:t xml:space="preserve">que </w:t>
      </w:r>
      <w:r>
        <w:rPr>
          <w:spacing w:val="1"/>
          <w:sz w:val="16"/>
        </w:rPr>
        <w:t xml:space="preserve">dobrará produção </w:t>
      </w:r>
      <w:r>
        <w:rPr>
          <w:sz w:val="16"/>
        </w:rPr>
        <w:t xml:space="preserve">de </w:t>
      </w:r>
      <w:r>
        <w:rPr>
          <w:spacing w:val="1"/>
          <w:sz w:val="16"/>
        </w:rPr>
        <w:t xml:space="preserve">cobre </w:t>
      </w:r>
      <w:r>
        <w:rPr>
          <w:spacing w:val="2"/>
          <w:sz w:val="16"/>
        </w:rPr>
        <w:t xml:space="preserve">até </w:t>
      </w:r>
      <w:r>
        <w:rPr>
          <w:spacing w:val="3"/>
          <w:sz w:val="16"/>
        </w:rPr>
        <w:t xml:space="preserve">2014, </w:t>
      </w:r>
      <w:r>
        <w:rPr>
          <w:spacing w:val="2"/>
          <w:sz w:val="16"/>
        </w:rPr>
        <w:t xml:space="preserve">diz </w:t>
      </w:r>
      <w:r>
        <w:rPr>
          <w:spacing w:val="3"/>
          <w:sz w:val="16"/>
        </w:rPr>
        <w:t xml:space="preserve">Ibram. </w:t>
      </w:r>
      <w:r>
        <w:rPr>
          <w:spacing w:val="2"/>
          <w:sz w:val="16"/>
        </w:rPr>
        <w:t xml:space="preserve">In: MSN </w:t>
      </w:r>
      <w:r>
        <w:rPr>
          <w:spacing w:val="3"/>
          <w:sz w:val="16"/>
        </w:rPr>
        <w:t xml:space="preserve">Notícias, </w:t>
      </w:r>
      <w:r>
        <w:rPr>
          <w:spacing w:val="1"/>
          <w:sz w:val="16"/>
        </w:rPr>
        <w:t xml:space="preserve">04 </w:t>
      </w:r>
      <w:r>
        <w:rPr>
          <w:spacing w:val="2"/>
          <w:sz w:val="16"/>
        </w:rPr>
        <w:t xml:space="preserve">out. </w:t>
      </w:r>
      <w:r>
        <w:rPr>
          <w:spacing w:val="3"/>
          <w:sz w:val="16"/>
        </w:rPr>
        <w:t xml:space="preserve">2010. Disponível </w:t>
      </w:r>
      <w:r>
        <w:rPr>
          <w:spacing w:val="5"/>
          <w:sz w:val="16"/>
        </w:rPr>
        <w:t xml:space="preserve">em: </w:t>
      </w:r>
      <w:hyperlink r:id="rId293">
        <w:r>
          <w:rPr>
            <w:spacing w:val="23"/>
            <w:sz w:val="16"/>
          </w:rPr>
          <w:t xml:space="preserve">http://noticias.br.msn.com/economia/artigo.aspx?cp- </w:t>
        </w:r>
      </w:hyperlink>
      <w:r>
        <w:rPr>
          <w:spacing w:val="20"/>
          <w:sz w:val="16"/>
        </w:rPr>
        <w:t xml:space="preserve">documentid=25827248&gt;. </w:t>
      </w:r>
      <w:r>
        <w:rPr>
          <w:spacing w:val="18"/>
          <w:sz w:val="16"/>
        </w:rPr>
        <w:t xml:space="preserve">Acesso </w:t>
      </w:r>
      <w:r>
        <w:rPr>
          <w:spacing w:val="15"/>
          <w:sz w:val="16"/>
        </w:rPr>
        <w:t xml:space="preserve">em: </w:t>
      </w:r>
      <w:r>
        <w:rPr>
          <w:spacing w:val="10"/>
          <w:sz w:val="16"/>
        </w:rPr>
        <w:t>04</w:t>
      </w:r>
      <w:r>
        <w:rPr>
          <w:spacing w:val="65"/>
          <w:sz w:val="16"/>
        </w:rPr>
        <w:t xml:space="preserve"> </w:t>
      </w:r>
      <w:r>
        <w:rPr>
          <w:spacing w:val="16"/>
          <w:sz w:val="16"/>
        </w:rPr>
        <w:t xml:space="preserve">jan. </w:t>
      </w:r>
      <w:r>
        <w:rPr>
          <w:spacing w:val="17"/>
          <w:sz w:val="16"/>
        </w:rPr>
        <w:t xml:space="preserve">2011. </w:t>
      </w:r>
      <w:r>
        <w:rPr>
          <w:spacing w:val="1"/>
          <w:sz w:val="16"/>
        </w:rPr>
        <w:t xml:space="preserve">PREFEITURA MUNICIPAL </w:t>
      </w:r>
      <w:r>
        <w:rPr>
          <w:sz w:val="16"/>
        </w:rPr>
        <w:t xml:space="preserve">DE </w:t>
      </w:r>
      <w:r>
        <w:rPr>
          <w:spacing w:val="1"/>
          <w:sz w:val="16"/>
        </w:rPr>
        <w:t xml:space="preserve">MARABÁ. Localização. </w:t>
      </w:r>
      <w:r>
        <w:rPr>
          <w:spacing w:val="2"/>
          <w:sz w:val="16"/>
        </w:rPr>
        <w:t xml:space="preserve">Disponível </w:t>
      </w:r>
      <w:r>
        <w:rPr>
          <w:sz w:val="16"/>
        </w:rPr>
        <w:t xml:space="preserve">em: </w:t>
      </w:r>
      <w:hyperlink r:id="rId294">
        <w:r>
          <w:rPr>
            <w:spacing w:val="2"/>
            <w:sz w:val="16"/>
          </w:rPr>
          <w:t>&lt;http://www.achetudoeregiao.com/PA/maraba/geografia.htm&gt;.</w:t>
        </w:r>
      </w:hyperlink>
      <w:r>
        <w:rPr>
          <w:spacing w:val="2"/>
          <w:sz w:val="16"/>
        </w:rPr>
        <w:t xml:space="preserve"> </w:t>
      </w:r>
      <w:r>
        <w:rPr>
          <w:spacing w:val="1"/>
          <w:sz w:val="16"/>
        </w:rPr>
        <w:t xml:space="preserve">Acesso </w:t>
      </w:r>
      <w:r>
        <w:rPr>
          <w:sz w:val="16"/>
        </w:rPr>
        <w:t xml:space="preserve">em: 02 </w:t>
      </w:r>
      <w:r>
        <w:rPr>
          <w:spacing w:val="1"/>
          <w:sz w:val="16"/>
        </w:rPr>
        <w:t>jan.</w:t>
      </w:r>
      <w:r>
        <w:rPr>
          <w:sz w:val="16"/>
        </w:rPr>
        <w:t xml:space="preserve"> </w:t>
      </w:r>
      <w:r>
        <w:rPr>
          <w:spacing w:val="2"/>
          <w:sz w:val="16"/>
        </w:rPr>
        <w:t>2011.</w:t>
      </w:r>
    </w:p>
    <w:p w:rsidR="00D81F69" w:rsidRDefault="00330118">
      <w:pPr>
        <w:spacing w:before="6" w:line="312" w:lineRule="auto"/>
        <w:ind w:left="100" w:right="236"/>
        <w:jc w:val="both"/>
        <w:rPr>
          <w:sz w:val="16"/>
        </w:rPr>
      </w:pPr>
      <w:r>
        <w:rPr>
          <w:sz w:val="16"/>
        </w:rPr>
        <w:t xml:space="preserve">REUTERS. Projeto de cobre da Vale no Pará atrasa para 2012. In: Instituto Brasileiro de Mineração (Ibram), 12 set. 2011. Disponível </w:t>
      </w:r>
      <w:hyperlink r:id="rId295">
        <w:r>
          <w:rPr>
            <w:sz w:val="16"/>
          </w:rPr>
          <w:t>em:&lt;http://www.ibram.org.br/150/15001002.asp?ttCD_CHAVE=14842</w:t>
        </w:r>
      </w:hyperlink>
      <w:r>
        <w:rPr>
          <w:sz w:val="16"/>
        </w:rPr>
        <w:t xml:space="preserve"> 5&gt;. Acesso em: 09 ago. 2012.</w:t>
      </w:r>
    </w:p>
    <w:p w:rsidR="00D81F69" w:rsidRDefault="00330118">
      <w:pPr>
        <w:spacing w:before="3" w:line="312" w:lineRule="auto"/>
        <w:ind w:left="100" w:right="202"/>
        <w:jc w:val="both"/>
        <w:rPr>
          <w:sz w:val="16"/>
        </w:rPr>
      </w:pPr>
      <w:r>
        <w:rPr>
          <w:sz w:val="16"/>
        </w:rPr>
        <w:t xml:space="preserve">SEVEP/IEC, Serviço de Epidemiologia do Instituto Evandro Chaves. Estudos ecoepidemiológicos </w:t>
      </w:r>
      <w:r>
        <w:rPr>
          <w:sz w:val="16"/>
        </w:rPr>
        <w:t xml:space="preserve">- a captura de mosquitos para estudo é feita nas áreas de mata. Disponível em: </w:t>
      </w:r>
    </w:p>
    <w:p w:rsidR="00D81F69" w:rsidRDefault="00D81F69">
      <w:pPr>
        <w:spacing w:before="3" w:line="312" w:lineRule="auto"/>
        <w:ind w:left="100" w:right="237"/>
        <w:jc w:val="both"/>
        <w:rPr>
          <w:sz w:val="16"/>
        </w:rPr>
      </w:pPr>
      <w:hyperlink r:id="rId296">
        <w:r w:rsidR="00330118">
          <w:rPr>
            <w:sz w:val="16"/>
          </w:rPr>
          <w:t xml:space="preserve">&lt;http://www.iec.pa.gov.br/sevep/pesquisa.htm&gt;. </w:t>
        </w:r>
      </w:hyperlink>
      <w:r w:rsidR="00330118">
        <w:rPr>
          <w:sz w:val="16"/>
        </w:rPr>
        <w:t>Acesso em: 04 jan. 2011.</w:t>
      </w:r>
    </w:p>
    <w:p w:rsidR="00D81F69" w:rsidRDefault="00330118">
      <w:pPr>
        <w:spacing w:before="1"/>
        <w:ind w:left="100"/>
        <w:jc w:val="both"/>
        <w:rPr>
          <w:sz w:val="16"/>
        </w:rPr>
      </w:pPr>
      <w:r>
        <w:rPr>
          <w:sz w:val="16"/>
        </w:rPr>
        <w:t>TOLEDO-GROKEL,  M.  C.;  MELFIA,  A.J.;  PARISOT,  J.  C.</w:t>
      </w:r>
    </w:p>
    <w:p w:rsidR="00D81F69" w:rsidRDefault="00330118">
      <w:pPr>
        <w:spacing w:before="56"/>
        <w:ind w:left="100"/>
        <w:jc w:val="both"/>
        <w:rPr>
          <w:sz w:val="16"/>
        </w:rPr>
      </w:pPr>
      <w:r>
        <w:rPr>
          <w:sz w:val="16"/>
        </w:rPr>
        <w:t>Comportamento do cobre durante o intemperismo das rochas xistosas</w:t>
      </w:r>
    </w:p>
    <w:p w:rsidR="00D81F69" w:rsidRDefault="00D81F69">
      <w:pPr>
        <w:jc w:val="both"/>
        <w:rPr>
          <w:sz w:val="16"/>
        </w:rPr>
        <w:sectPr w:rsidR="00D81F69">
          <w:pgSz w:w="11900" w:h="16840"/>
          <w:pgMar w:top="740" w:right="460" w:bottom="620" w:left="620" w:header="0" w:footer="402" w:gutter="0"/>
          <w:cols w:num="2" w:space="720" w:equalWidth="0">
            <w:col w:w="5201" w:space="269"/>
            <w:col w:w="5350"/>
          </w:cols>
        </w:sectPr>
      </w:pPr>
    </w:p>
    <w:p w:rsidR="00D81F69" w:rsidRDefault="00330118">
      <w:pPr>
        <w:spacing w:before="70" w:line="312" w:lineRule="auto"/>
        <w:ind w:left="100" w:right="91"/>
        <w:rPr>
          <w:sz w:val="16"/>
        </w:rPr>
      </w:pPr>
      <w:r>
        <w:rPr>
          <w:spacing w:val="6"/>
          <w:sz w:val="16"/>
        </w:rPr>
        <w:lastRenderedPageBreak/>
        <w:t xml:space="preserve">cupriferas </w:t>
      </w:r>
      <w:r>
        <w:rPr>
          <w:spacing w:val="3"/>
          <w:sz w:val="16"/>
        </w:rPr>
        <w:t xml:space="preserve">do </w:t>
      </w:r>
      <w:r>
        <w:rPr>
          <w:spacing w:val="5"/>
          <w:sz w:val="16"/>
        </w:rPr>
        <w:t xml:space="preserve">Salobo 3a, Serra dos </w:t>
      </w:r>
      <w:r>
        <w:rPr>
          <w:spacing w:val="6"/>
          <w:sz w:val="16"/>
        </w:rPr>
        <w:t xml:space="preserve">Carajás. </w:t>
      </w:r>
      <w:r>
        <w:rPr>
          <w:spacing w:val="5"/>
          <w:sz w:val="16"/>
        </w:rPr>
        <w:t xml:space="preserve">In: </w:t>
      </w:r>
      <w:r>
        <w:rPr>
          <w:spacing w:val="7"/>
          <w:sz w:val="16"/>
        </w:rPr>
        <w:t xml:space="preserve">Geochinzica </w:t>
      </w:r>
      <w:r>
        <w:rPr>
          <w:spacing w:val="22"/>
          <w:sz w:val="16"/>
        </w:rPr>
        <w:t xml:space="preserve">Brasilieizsis, </w:t>
      </w:r>
      <w:r>
        <w:rPr>
          <w:spacing w:val="20"/>
          <w:sz w:val="16"/>
        </w:rPr>
        <w:t>l(2): 187-200,</w:t>
      </w:r>
      <w:r>
        <w:rPr>
          <w:spacing w:val="85"/>
          <w:sz w:val="16"/>
        </w:rPr>
        <w:t xml:space="preserve"> </w:t>
      </w:r>
      <w:r>
        <w:rPr>
          <w:spacing w:val="20"/>
          <w:sz w:val="16"/>
        </w:rPr>
        <w:t xml:space="preserve">1987. </w:t>
      </w:r>
      <w:r>
        <w:rPr>
          <w:spacing w:val="21"/>
          <w:sz w:val="16"/>
        </w:rPr>
        <w:t>Disponí</w:t>
      </w:r>
      <w:r>
        <w:rPr>
          <w:spacing w:val="21"/>
          <w:sz w:val="16"/>
        </w:rPr>
        <w:t>vel</w:t>
      </w:r>
      <w:r>
        <w:rPr>
          <w:spacing w:val="20"/>
          <w:sz w:val="16"/>
        </w:rPr>
        <w:t xml:space="preserve"> </w:t>
      </w:r>
      <w:r>
        <w:rPr>
          <w:spacing w:val="15"/>
          <w:sz w:val="16"/>
        </w:rPr>
        <w:t>em:</w:t>
      </w:r>
      <w:r>
        <w:rPr>
          <w:spacing w:val="-19"/>
          <w:sz w:val="16"/>
        </w:rPr>
        <w:t xml:space="preserve"> </w:t>
      </w:r>
    </w:p>
    <w:p w:rsidR="00D81F69" w:rsidRDefault="00D81F69">
      <w:pPr>
        <w:spacing w:before="1" w:line="312" w:lineRule="auto"/>
        <w:ind w:left="100" w:right="91"/>
        <w:rPr>
          <w:sz w:val="16"/>
        </w:rPr>
      </w:pPr>
      <w:hyperlink r:id="rId297">
        <w:r w:rsidR="00330118">
          <w:rPr>
            <w:spacing w:val="10"/>
            <w:sz w:val="16"/>
          </w:rPr>
          <w:t>&lt;</w:t>
        </w:r>
        <w:r w:rsidR="00330118">
          <w:rPr>
            <w:sz w:val="16"/>
          </w:rPr>
          <w:t xml:space="preserve"> </w:t>
        </w:r>
        <w:r w:rsidR="00330118">
          <w:rPr>
            <w:spacing w:val="10"/>
            <w:sz w:val="16"/>
          </w:rPr>
          <w:t>h</w:t>
        </w:r>
        <w:r w:rsidR="00330118">
          <w:rPr>
            <w:sz w:val="16"/>
          </w:rPr>
          <w:t xml:space="preserve"> </w:t>
        </w:r>
        <w:r w:rsidR="00330118">
          <w:rPr>
            <w:spacing w:val="10"/>
            <w:sz w:val="16"/>
          </w:rPr>
          <w:t>t</w:t>
        </w:r>
        <w:r w:rsidR="00330118">
          <w:rPr>
            <w:sz w:val="16"/>
          </w:rPr>
          <w:t xml:space="preserve"> </w:t>
        </w:r>
        <w:r w:rsidR="00330118">
          <w:rPr>
            <w:spacing w:val="10"/>
            <w:sz w:val="16"/>
          </w:rPr>
          <w:t>t</w:t>
        </w:r>
        <w:r w:rsidR="00330118">
          <w:rPr>
            <w:sz w:val="16"/>
          </w:rPr>
          <w:t xml:space="preserve"> </w:t>
        </w:r>
        <w:r w:rsidR="00330118">
          <w:rPr>
            <w:spacing w:val="10"/>
            <w:sz w:val="16"/>
          </w:rPr>
          <w:t>p</w:t>
        </w:r>
        <w:r w:rsidR="00330118">
          <w:rPr>
            <w:sz w:val="16"/>
          </w:rPr>
          <w:t xml:space="preserve"> </w:t>
        </w:r>
        <w:r w:rsidR="00330118">
          <w:rPr>
            <w:spacing w:val="10"/>
            <w:sz w:val="16"/>
          </w:rPr>
          <w:t>:</w:t>
        </w:r>
        <w:r w:rsidR="00330118">
          <w:rPr>
            <w:sz w:val="16"/>
          </w:rPr>
          <w:t xml:space="preserve"> </w:t>
        </w:r>
        <w:r w:rsidR="00330118">
          <w:rPr>
            <w:spacing w:val="10"/>
            <w:sz w:val="16"/>
          </w:rPr>
          <w:t>/</w:t>
        </w:r>
        <w:r w:rsidR="00330118">
          <w:rPr>
            <w:sz w:val="16"/>
          </w:rPr>
          <w:t xml:space="preserve"> </w:t>
        </w:r>
        <w:r w:rsidR="00330118">
          <w:rPr>
            <w:spacing w:val="10"/>
            <w:sz w:val="16"/>
          </w:rPr>
          <w:t>/</w:t>
        </w:r>
        <w:r w:rsidR="00330118">
          <w:rPr>
            <w:sz w:val="16"/>
          </w:rPr>
          <w:t xml:space="preserve"> </w:t>
        </w:r>
        <w:r w:rsidR="00330118">
          <w:rPr>
            <w:spacing w:val="10"/>
            <w:sz w:val="16"/>
          </w:rPr>
          <w:t>h</w:t>
        </w:r>
        <w:r w:rsidR="00330118">
          <w:rPr>
            <w:sz w:val="16"/>
          </w:rPr>
          <w:t xml:space="preserve"> </w:t>
        </w:r>
        <w:r w:rsidR="00330118">
          <w:rPr>
            <w:spacing w:val="10"/>
            <w:sz w:val="16"/>
          </w:rPr>
          <w:t>o</w:t>
        </w:r>
        <w:r w:rsidR="00330118">
          <w:rPr>
            <w:sz w:val="16"/>
          </w:rPr>
          <w:t xml:space="preserve"> </w:t>
        </w:r>
        <w:r w:rsidR="00330118">
          <w:rPr>
            <w:spacing w:val="10"/>
            <w:sz w:val="16"/>
          </w:rPr>
          <w:t>r</w:t>
        </w:r>
        <w:r w:rsidR="00330118">
          <w:rPr>
            <w:sz w:val="16"/>
          </w:rPr>
          <w:t xml:space="preserve"> </w:t>
        </w:r>
        <w:r w:rsidR="00330118">
          <w:rPr>
            <w:spacing w:val="10"/>
            <w:sz w:val="16"/>
          </w:rPr>
          <w:t>i</w:t>
        </w:r>
        <w:r w:rsidR="00330118">
          <w:rPr>
            <w:sz w:val="16"/>
          </w:rPr>
          <w:t xml:space="preserve"> </w:t>
        </w:r>
        <w:r w:rsidR="00330118">
          <w:rPr>
            <w:spacing w:val="10"/>
            <w:sz w:val="16"/>
          </w:rPr>
          <w:t>z</w:t>
        </w:r>
        <w:r w:rsidR="00330118">
          <w:rPr>
            <w:sz w:val="16"/>
          </w:rPr>
          <w:t xml:space="preserve"> </w:t>
        </w:r>
        <w:r w:rsidR="00330118">
          <w:rPr>
            <w:spacing w:val="10"/>
            <w:sz w:val="16"/>
          </w:rPr>
          <w:t>o</w:t>
        </w:r>
        <w:r w:rsidR="00330118">
          <w:rPr>
            <w:sz w:val="16"/>
          </w:rPr>
          <w:t xml:space="preserve"> </w:t>
        </w:r>
        <w:r w:rsidR="00330118">
          <w:rPr>
            <w:spacing w:val="10"/>
            <w:sz w:val="16"/>
          </w:rPr>
          <w:t>n</w:t>
        </w:r>
        <w:r w:rsidR="00330118">
          <w:rPr>
            <w:sz w:val="16"/>
          </w:rPr>
          <w:t xml:space="preserve"> </w:t>
        </w:r>
        <w:r w:rsidR="00330118">
          <w:rPr>
            <w:spacing w:val="10"/>
            <w:sz w:val="16"/>
          </w:rPr>
          <w:t>.</w:t>
        </w:r>
        <w:r w:rsidR="00330118">
          <w:rPr>
            <w:sz w:val="16"/>
          </w:rPr>
          <w:t xml:space="preserve"> </w:t>
        </w:r>
        <w:r w:rsidR="00330118">
          <w:rPr>
            <w:spacing w:val="10"/>
            <w:sz w:val="16"/>
          </w:rPr>
          <w:t>d</w:t>
        </w:r>
        <w:r w:rsidR="00330118">
          <w:rPr>
            <w:sz w:val="16"/>
          </w:rPr>
          <w:t xml:space="preserve"> </w:t>
        </w:r>
        <w:r w:rsidR="00330118">
          <w:rPr>
            <w:spacing w:val="10"/>
            <w:sz w:val="16"/>
          </w:rPr>
          <w:t>o</w:t>
        </w:r>
        <w:r w:rsidR="00330118">
          <w:rPr>
            <w:sz w:val="16"/>
          </w:rPr>
          <w:t xml:space="preserve"> </w:t>
        </w:r>
        <w:r w:rsidR="00330118">
          <w:rPr>
            <w:spacing w:val="10"/>
            <w:sz w:val="16"/>
          </w:rPr>
          <w:t>c</w:t>
        </w:r>
        <w:r w:rsidR="00330118">
          <w:rPr>
            <w:sz w:val="16"/>
          </w:rPr>
          <w:t xml:space="preserve"> </w:t>
        </w:r>
        <w:r w:rsidR="00330118">
          <w:rPr>
            <w:spacing w:val="10"/>
            <w:sz w:val="16"/>
          </w:rPr>
          <w:t>u</w:t>
        </w:r>
        <w:r w:rsidR="00330118">
          <w:rPr>
            <w:sz w:val="16"/>
          </w:rPr>
          <w:t xml:space="preserve"> </w:t>
        </w:r>
        <w:r w:rsidR="00330118">
          <w:rPr>
            <w:spacing w:val="10"/>
            <w:sz w:val="16"/>
          </w:rPr>
          <w:t>m</w:t>
        </w:r>
        <w:r w:rsidR="00330118">
          <w:rPr>
            <w:sz w:val="16"/>
          </w:rPr>
          <w:t xml:space="preserve"> </w:t>
        </w:r>
        <w:r w:rsidR="00330118">
          <w:rPr>
            <w:spacing w:val="10"/>
            <w:sz w:val="16"/>
          </w:rPr>
          <w:t>e</w:t>
        </w:r>
        <w:r w:rsidR="00330118">
          <w:rPr>
            <w:sz w:val="16"/>
          </w:rPr>
          <w:t xml:space="preserve"> </w:t>
        </w:r>
        <w:r w:rsidR="00330118">
          <w:rPr>
            <w:spacing w:val="10"/>
            <w:sz w:val="16"/>
          </w:rPr>
          <w:t>n</w:t>
        </w:r>
        <w:r w:rsidR="00330118">
          <w:rPr>
            <w:sz w:val="16"/>
          </w:rPr>
          <w:t xml:space="preserve"> </w:t>
        </w:r>
        <w:r w:rsidR="00330118">
          <w:rPr>
            <w:spacing w:val="10"/>
            <w:sz w:val="16"/>
          </w:rPr>
          <w:t>t</w:t>
        </w:r>
        <w:r w:rsidR="00330118">
          <w:rPr>
            <w:sz w:val="16"/>
          </w:rPr>
          <w:t xml:space="preserve"> </w:t>
        </w:r>
        <w:r w:rsidR="00330118">
          <w:rPr>
            <w:spacing w:val="10"/>
            <w:sz w:val="16"/>
          </w:rPr>
          <w:t>a</w:t>
        </w:r>
        <w:r w:rsidR="00330118">
          <w:rPr>
            <w:sz w:val="16"/>
          </w:rPr>
          <w:t xml:space="preserve"> </w:t>
        </w:r>
        <w:r w:rsidR="00330118">
          <w:rPr>
            <w:spacing w:val="10"/>
            <w:sz w:val="16"/>
          </w:rPr>
          <w:t>t</w:t>
        </w:r>
        <w:r w:rsidR="00330118">
          <w:rPr>
            <w:sz w:val="16"/>
          </w:rPr>
          <w:t xml:space="preserve"> </w:t>
        </w:r>
        <w:r w:rsidR="00330118">
          <w:rPr>
            <w:spacing w:val="10"/>
            <w:sz w:val="16"/>
          </w:rPr>
          <w:t>i</w:t>
        </w:r>
        <w:r w:rsidR="00330118">
          <w:rPr>
            <w:sz w:val="16"/>
          </w:rPr>
          <w:t xml:space="preserve"> </w:t>
        </w:r>
        <w:r w:rsidR="00330118">
          <w:rPr>
            <w:spacing w:val="10"/>
            <w:sz w:val="16"/>
          </w:rPr>
          <w:t>o</w:t>
        </w:r>
        <w:r w:rsidR="00330118">
          <w:rPr>
            <w:sz w:val="16"/>
          </w:rPr>
          <w:t xml:space="preserve"> </w:t>
        </w:r>
        <w:r w:rsidR="00330118">
          <w:rPr>
            <w:spacing w:val="10"/>
            <w:sz w:val="16"/>
          </w:rPr>
          <w:t>n</w:t>
        </w:r>
        <w:r w:rsidR="00330118">
          <w:rPr>
            <w:sz w:val="16"/>
          </w:rPr>
          <w:t xml:space="preserve"> </w:t>
        </w:r>
        <w:r w:rsidR="00330118">
          <w:rPr>
            <w:spacing w:val="10"/>
            <w:sz w:val="16"/>
          </w:rPr>
          <w:t>.</w:t>
        </w:r>
        <w:r w:rsidR="00330118">
          <w:rPr>
            <w:sz w:val="16"/>
          </w:rPr>
          <w:t xml:space="preserve"> </w:t>
        </w:r>
        <w:r w:rsidR="00330118">
          <w:rPr>
            <w:spacing w:val="10"/>
            <w:sz w:val="16"/>
          </w:rPr>
          <w:t>i</w:t>
        </w:r>
        <w:r w:rsidR="00330118">
          <w:rPr>
            <w:sz w:val="16"/>
          </w:rPr>
          <w:t xml:space="preserve"> </w:t>
        </w:r>
        <w:r w:rsidR="00330118">
          <w:rPr>
            <w:spacing w:val="10"/>
            <w:sz w:val="16"/>
          </w:rPr>
          <w:t>r</w:t>
        </w:r>
        <w:r w:rsidR="00330118">
          <w:rPr>
            <w:sz w:val="16"/>
          </w:rPr>
          <w:t xml:space="preserve"> </w:t>
        </w:r>
        <w:r w:rsidR="00330118">
          <w:rPr>
            <w:spacing w:val="10"/>
            <w:sz w:val="16"/>
          </w:rPr>
          <w:t>d</w:t>
        </w:r>
        <w:r w:rsidR="00330118">
          <w:rPr>
            <w:sz w:val="16"/>
          </w:rPr>
          <w:t xml:space="preserve"> </w:t>
        </w:r>
        <w:r w:rsidR="00330118">
          <w:rPr>
            <w:spacing w:val="10"/>
            <w:sz w:val="16"/>
          </w:rPr>
          <w:t>.</w:t>
        </w:r>
        <w:r w:rsidR="00330118">
          <w:rPr>
            <w:sz w:val="16"/>
          </w:rPr>
          <w:t xml:space="preserve"> </w:t>
        </w:r>
        <w:r w:rsidR="00330118">
          <w:rPr>
            <w:spacing w:val="10"/>
            <w:sz w:val="16"/>
          </w:rPr>
          <w:t>f</w:t>
        </w:r>
        <w:r w:rsidR="00330118">
          <w:rPr>
            <w:sz w:val="16"/>
          </w:rPr>
          <w:t xml:space="preserve"> </w:t>
        </w:r>
        <w:r w:rsidR="00330118">
          <w:rPr>
            <w:spacing w:val="10"/>
            <w:sz w:val="16"/>
          </w:rPr>
          <w:t>r</w:t>
        </w:r>
        <w:r w:rsidR="00330118">
          <w:rPr>
            <w:sz w:val="16"/>
          </w:rPr>
          <w:t xml:space="preserve"> </w:t>
        </w:r>
        <w:r w:rsidR="00330118">
          <w:rPr>
            <w:spacing w:val="10"/>
            <w:sz w:val="16"/>
          </w:rPr>
          <w:t>/</w:t>
        </w:r>
        <w:r w:rsidR="00330118">
          <w:rPr>
            <w:sz w:val="16"/>
          </w:rPr>
          <w:t xml:space="preserve"> </w:t>
        </w:r>
        <w:r w:rsidR="00330118">
          <w:rPr>
            <w:spacing w:val="10"/>
            <w:sz w:val="16"/>
          </w:rPr>
          <w:t>e</w:t>
        </w:r>
        <w:r w:rsidR="00330118">
          <w:rPr>
            <w:sz w:val="16"/>
          </w:rPr>
          <w:t xml:space="preserve"> </w:t>
        </w:r>
        <w:r w:rsidR="00330118">
          <w:rPr>
            <w:spacing w:val="10"/>
            <w:sz w:val="16"/>
          </w:rPr>
          <w:t>x</w:t>
        </w:r>
        <w:r w:rsidR="00330118">
          <w:rPr>
            <w:sz w:val="16"/>
          </w:rPr>
          <w:t xml:space="preserve"> </w:t>
        </w:r>
        <w:r w:rsidR="00330118">
          <w:rPr>
            <w:spacing w:val="10"/>
            <w:sz w:val="16"/>
          </w:rPr>
          <w:t>l</w:t>
        </w:r>
        <w:r w:rsidR="00330118">
          <w:rPr>
            <w:sz w:val="16"/>
          </w:rPr>
          <w:t xml:space="preserve"> - </w:t>
        </w:r>
      </w:hyperlink>
      <w:r w:rsidR="00330118">
        <w:rPr>
          <w:sz w:val="16"/>
        </w:rPr>
        <w:t xml:space="preserve">doc/pleins_textes/pleins_textes_5/b_fdi_20-21/27569.pdf&gt;. </w:t>
      </w:r>
      <w:r w:rsidR="00330118">
        <w:rPr>
          <w:spacing w:val="1"/>
          <w:sz w:val="16"/>
        </w:rPr>
        <w:t xml:space="preserve">Acesso </w:t>
      </w:r>
      <w:r w:rsidR="00330118">
        <w:rPr>
          <w:sz w:val="16"/>
        </w:rPr>
        <w:t>em: 04 jan.</w:t>
      </w:r>
      <w:r w:rsidR="00330118">
        <w:rPr>
          <w:spacing w:val="5"/>
          <w:sz w:val="16"/>
        </w:rPr>
        <w:t xml:space="preserve"> </w:t>
      </w:r>
      <w:r w:rsidR="00330118">
        <w:rPr>
          <w:sz w:val="16"/>
        </w:rPr>
        <w:t>2011.</w:t>
      </w:r>
    </w:p>
    <w:p w:rsidR="00D81F69" w:rsidRDefault="00330118">
      <w:pPr>
        <w:tabs>
          <w:tab w:val="left" w:pos="1340"/>
          <w:tab w:val="left" w:pos="2695"/>
          <w:tab w:val="left" w:pos="4666"/>
        </w:tabs>
        <w:spacing w:before="3"/>
        <w:ind w:left="100"/>
        <w:rPr>
          <w:sz w:val="16"/>
        </w:rPr>
      </w:pPr>
      <w:r>
        <w:rPr>
          <w:spacing w:val="40"/>
          <w:sz w:val="16"/>
        </w:rPr>
        <w:t>V</w:t>
      </w:r>
      <w:r>
        <w:rPr>
          <w:sz w:val="16"/>
        </w:rPr>
        <w:t xml:space="preserve"> </w:t>
      </w:r>
      <w:r>
        <w:rPr>
          <w:spacing w:val="40"/>
          <w:sz w:val="16"/>
        </w:rPr>
        <w:t>A</w:t>
      </w:r>
      <w:r>
        <w:rPr>
          <w:sz w:val="16"/>
        </w:rPr>
        <w:t xml:space="preserve"> </w:t>
      </w:r>
      <w:r>
        <w:rPr>
          <w:spacing w:val="40"/>
          <w:sz w:val="16"/>
        </w:rPr>
        <w:t>L</w:t>
      </w:r>
      <w:r>
        <w:rPr>
          <w:sz w:val="16"/>
        </w:rPr>
        <w:t xml:space="preserve"> </w:t>
      </w:r>
      <w:r>
        <w:rPr>
          <w:spacing w:val="40"/>
          <w:sz w:val="16"/>
        </w:rPr>
        <w:t>E</w:t>
      </w:r>
      <w:r>
        <w:rPr>
          <w:sz w:val="16"/>
        </w:rPr>
        <w:t xml:space="preserve"> .</w:t>
      </w:r>
      <w:r>
        <w:rPr>
          <w:sz w:val="16"/>
        </w:rPr>
        <w:tab/>
      </w:r>
      <w:r>
        <w:rPr>
          <w:spacing w:val="40"/>
          <w:sz w:val="16"/>
        </w:rPr>
        <w:t>C</w:t>
      </w:r>
      <w:r>
        <w:rPr>
          <w:sz w:val="16"/>
        </w:rPr>
        <w:t xml:space="preserve"> </w:t>
      </w:r>
      <w:r>
        <w:rPr>
          <w:spacing w:val="40"/>
          <w:sz w:val="16"/>
        </w:rPr>
        <w:t>o</w:t>
      </w:r>
      <w:r>
        <w:rPr>
          <w:sz w:val="16"/>
        </w:rPr>
        <w:t xml:space="preserve"> </w:t>
      </w:r>
      <w:r>
        <w:rPr>
          <w:spacing w:val="40"/>
          <w:sz w:val="16"/>
        </w:rPr>
        <w:t>b</w:t>
      </w:r>
      <w:r>
        <w:rPr>
          <w:sz w:val="16"/>
        </w:rPr>
        <w:t xml:space="preserve"> </w:t>
      </w:r>
      <w:r>
        <w:rPr>
          <w:spacing w:val="40"/>
          <w:sz w:val="16"/>
        </w:rPr>
        <w:t>r</w:t>
      </w:r>
      <w:r>
        <w:rPr>
          <w:sz w:val="16"/>
        </w:rPr>
        <w:t xml:space="preserve"> </w:t>
      </w:r>
      <w:r>
        <w:rPr>
          <w:spacing w:val="40"/>
          <w:sz w:val="16"/>
        </w:rPr>
        <w:t>e</w:t>
      </w:r>
      <w:r>
        <w:rPr>
          <w:sz w:val="16"/>
        </w:rPr>
        <w:t xml:space="preserve"> .</w:t>
      </w:r>
      <w:r>
        <w:rPr>
          <w:sz w:val="16"/>
        </w:rPr>
        <w:tab/>
      </w:r>
      <w:r>
        <w:rPr>
          <w:spacing w:val="40"/>
          <w:sz w:val="16"/>
        </w:rPr>
        <w:t>D</w:t>
      </w:r>
      <w:r>
        <w:rPr>
          <w:sz w:val="16"/>
        </w:rPr>
        <w:t xml:space="preserve"> </w:t>
      </w:r>
      <w:r>
        <w:rPr>
          <w:spacing w:val="40"/>
          <w:sz w:val="16"/>
        </w:rPr>
        <w:t>i</w:t>
      </w:r>
      <w:r>
        <w:rPr>
          <w:sz w:val="16"/>
        </w:rPr>
        <w:t xml:space="preserve"> </w:t>
      </w:r>
      <w:r>
        <w:rPr>
          <w:spacing w:val="40"/>
          <w:sz w:val="16"/>
        </w:rPr>
        <w:t>s</w:t>
      </w:r>
      <w:r>
        <w:rPr>
          <w:sz w:val="16"/>
        </w:rPr>
        <w:t xml:space="preserve"> </w:t>
      </w:r>
      <w:r>
        <w:rPr>
          <w:spacing w:val="40"/>
          <w:sz w:val="16"/>
        </w:rPr>
        <w:t>p</w:t>
      </w:r>
      <w:r>
        <w:rPr>
          <w:sz w:val="16"/>
        </w:rPr>
        <w:t xml:space="preserve"> </w:t>
      </w:r>
      <w:r>
        <w:rPr>
          <w:spacing w:val="40"/>
          <w:sz w:val="16"/>
        </w:rPr>
        <w:t>o</w:t>
      </w:r>
      <w:r>
        <w:rPr>
          <w:sz w:val="16"/>
        </w:rPr>
        <w:t xml:space="preserve"> </w:t>
      </w:r>
      <w:r>
        <w:rPr>
          <w:spacing w:val="40"/>
          <w:sz w:val="16"/>
        </w:rPr>
        <w:t>n</w:t>
      </w:r>
      <w:r>
        <w:rPr>
          <w:sz w:val="16"/>
        </w:rPr>
        <w:t xml:space="preserve"> </w:t>
      </w:r>
      <w:r>
        <w:rPr>
          <w:spacing w:val="40"/>
          <w:sz w:val="16"/>
        </w:rPr>
        <w:t>í</w:t>
      </w:r>
      <w:r>
        <w:rPr>
          <w:sz w:val="16"/>
        </w:rPr>
        <w:t xml:space="preserve"> </w:t>
      </w:r>
      <w:r>
        <w:rPr>
          <w:spacing w:val="40"/>
          <w:sz w:val="16"/>
        </w:rPr>
        <w:t>v</w:t>
      </w:r>
      <w:r>
        <w:rPr>
          <w:sz w:val="16"/>
        </w:rPr>
        <w:t xml:space="preserve"> </w:t>
      </w:r>
      <w:r>
        <w:rPr>
          <w:spacing w:val="40"/>
          <w:sz w:val="16"/>
        </w:rPr>
        <w:t>e</w:t>
      </w:r>
      <w:r>
        <w:rPr>
          <w:sz w:val="16"/>
        </w:rPr>
        <w:t xml:space="preserve"> l</w:t>
      </w:r>
      <w:r>
        <w:rPr>
          <w:sz w:val="16"/>
        </w:rPr>
        <w:tab/>
      </w:r>
      <w:r>
        <w:rPr>
          <w:spacing w:val="40"/>
          <w:sz w:val="16"/>
        </w:rPr>
        <w:t>e</w:t>
      </w:r>
      <w:r>
        <w:rPr>
          <w:sz w:val="16"/>
        </w:rPr>
        <w:t xml:space="preserve"> </w:t>
      </w:r>
      <w:r>
        <w:rPr>
          <w:spacing w:val="40"/>
          <w:sz w:val="16"/>
        </w:rPr>
        <w:t>m</w:t>
      </w:r>
      <w:r>
        <w:rPr>
          <w:sz w:val="16"/>
        </w:rPr>
        <w:t xml:space="preserve"> : </w:t>
      </w:r>
      <w:r>
        <w:rPr>
          <w:spacing w:val="-2"/>
          <w:sz w:val="16"/>
        </w:rPr>
        <w:t xml:space="preserve"> </w:t>
      </w:r>
    </w:p>
    <w:p w:rsidR="00D81F69" w:rsidRDefault="00D81F69">
      <w:pPr>
        <w:spacing w:before="56" w:line="312" w:lineRule="auto"/>
        <w:ind w:left="100" w:right="91"/>
        <w:rPr>
          <w:sz w:val="16"/>
        </w:rPr>
      </w:pPr>
      <w:hyperlink r:id="rId298">
        <w:r w:rsidR="00330118">
          <w:rPr>
            <w:sz w:val="16"/>
          </w:rPr>
          <w:t>&lt;http://www.vale.com.br/vale/cgi/cgilua.exe/sys/start.htm?sid=44&gt;.</w:t>
        </w:r>
      </w:hyperlink>
      <w:r w:rsidR="00330118">
        <w:rPr>
          <w:sz w:val="16"/>
        </w:rPr>
        <w:t xml:space="preserve"> Acesso em: 02 jan. 2011.</w:t>
      </w:r>
    </w:p>
    <w:p w:rsidR="00D81F69" w:rsidRDefault="00330118">
      <w:pPr>
        <w:tabs>
          <w:tab w:val="left" w:pos="1005"/>
          <w:tab w:val="left" w:pos="1508"/>
          <w:tab w:val="left" w:pos="2238"/>
          <w:tab w:val="left" w:pos="3256"/>
          <w:tab w:val="left" w:pos="4736"/>
        </w:tabs>
        <w:spacing w:before="1" w:line="312" w:lineRule="auto"/>
        <w:ind w:left="100" w:right="91"/>
        <w:rPr>
          <w:sz w:val="16"/>
        </w:rPr>
      </w:pPr>
      <w:r>
        <w:rPr>
          <w:sz w:val="16"/>
        </w:rPr>
        <w:t xml:space="preserve">ZÉ DUDU. Vale e as indenizações do projeto Salobo. In: Blog do Zé   </w:t>
      </w:r>
      <w:r>
        <w:rPr>
          <w:spacing w:val="5"/>
          <w:sz w:val="16"/>
        </w:rPr>
        <w:t>D u d</w:t>
      </w:r>
      <w:r>
        <w:rPr>
          <w:spacing w:val="-9"/>
          <w:sz w:val="16"/>
        </w:rPr>
        <w:t xml:space="preserve"> </w:t>
      </w:r>
      <w:r>
        <w:rPr>
          <w:spacing w:val="5"/>
          <w:sz w:val="16"/>
        </w:rPr>
        <w:t>u</w:t>
      </w:r>
      <w:r>
        <w:rPr>
          <w:sz w:val="16"/>
        </w:rPr>
        <w:t xml:space="preserve"> ,</w:t>
      </w:r>
      <w:r>
        <w:rPr>
          <w:sz w:val="16"/>
        </w:rPr>
        <w:tab/>
      </w:r>
      <w:r>
        <w:rPr>
          <w:spacing w:val="5"/>
          <w:sz w:val="16"/>
        </w:rPr>
        <w:t>1</w:t>
      </w:r>
      <w:r>
        <w:rPr>
          <w:sz w:val="16"/>
        </w:rPr>
        <w:t xml:space="preserve"> 1</w:t>
      </w:r>
      <w:r>
        <w:rPr>
          <w:sz w:val="16"/>
        </w:rPr>
        <w:tab/>
      </w:r>
      <w:r>
        <w:rPr>
          <w:spacing w:val="5"/>
          <w:sz w:val="16"/>
        </w:rPr>
        <w:t>d e</w:t>
      </w:r>
      <w:r>
        <w:rPr>
          <w:spacing w:val="-4"/>
          <w:sz w:val="16"/>
        </w:rPr>
        <w:t xml:space="preserve"> </w:t>
      </w:r>
      <w:r>
        <w:rPr>
          <w:spacing w:val="5"/>
          <w:sz w:val="16"/>
        </w:rPr>
        <w:t>z</w:t>
      </w:r>
      <w:r>
        <w:rPr>
          <w:sz w:val="16"/>
        </w:rPr>
        <w:t xml:space="preserve"> .</w:t>
      </w:r>
      <w:r>
        <w:rPr>
          <w:sz w:val="16"/>
        </w:rPr>
        <w:tab/>
      </w:r>
      <w:r>
        <w:rPr>
          <w:spacing w:val="5"/>
          <w:sz w:val="16"/>
        </w:rPr>
        <w:t>2 0 0 8</w:t>
      </w:r>
      <w:r>
        <w:rPr>
          <w:spacing w:val="-13"/>
          <w:sz w:val="16"/>
        </w:rPr>
        <w:t xml:space="preserve"> </w:t>
      </w:r>
      <w:r>
        <w:rPr>
          <w:spacing w:val="5"/>
          <w:sz w:val="16"/>
        </w:rPr>
        <w:t>a</w:t>
      </w:r>
      <w:r>
        <w:rPr>
          <w:sz w:val="16"/>
        </w:rPr>
        <w:t xml:space="preserve"> .</w:t>
      </w:r>
      <w:r>
        <w:rPr>
          <w:sz w:val="16"/>
        </w:rPr>
        <w:tab/>
      </w:r>
      <w:r>
        <w:rPr>
          <w:spacing w:val="5"/>
          <w:sz w:val="16"/>
        </w:rPr>
        <w:t>D i s p o n í v</w:t>
      </w:r>
      <w:r>
        <w:rPr>
          <w:spacing w:val="-29"/>
          <w:sz w:val="16"/>
        </w:rPr>
        <w:t xml:space="preserve"> </w:t>
      </w:r>
      <w:r>
        <w:rPr>
          <w:spacing w:val="5"/>
          <w:sz w:val="16"/>
        </w:rPr>
        <w:t>e</w:t>
      </w:r>
      <w:r>
        <w:rPr>
          <w:sz w:val="16"/>
        </w:rPr>
        <w:t xml:space="preserve"> l</w:t>
      </w:r>
      <w:r>
        <w:rPr>
          <w:sz w:val="16"/>
        </w:rPr>
        <w:tab/>
      </w:r>
      <w:r>
        <w:rPr>
          <w:spacing w:val="5"/>
          <w:sz w:val="16"/>
        </w:rPr>
        <w:t>e m</w:t>
      </w:r>
      <w:r>
        <w:rPr>
          <w:spacing w:val="-4"/>
          <w:sz w:val="16"/>
        </w:rPr>
        <w:t xml:space="preserve"> </w:t>
      </w:r>
      <w:r>
        <w:rPr>
          <w:sz w:val="16"/>
        </w:rPr>
        <w:t>:</w:t>
      </w:r>
      <w:r>
        <w:rPr>
          <w:spacing w:val="5"/>
          <w:sz w:val="16"/>
        </w:rPr>
        <w:t xml:space="preserve"> </w:t>
      </w:r>
    </w:p>
    <w:p w:rsidR="00D81F69" w:rsidRDefault="00D81F69">
      <w:pPr>
        <w:spacing w:before="2"/>
        <w:ind w:left="100"/>
        <w:rPr>
          <w:sz w:val="16"/>
        </w:rPr>
      </w:pPr>
      <w:hyperlink r:id="rId299">
        <w:r w:rsidR="00330118">
          <w:rPr>
            <w:sz w:val="16"/>
          </w:rPr>
          <w:t>&lt;http://www.zedudu.com.br/?p=773&gt;.</w:t>
        </w:r>
      </w:hyperlink>
      <w:r w:rsidR="00330118">
        <w:rPr>
          <w:sz w:val="16"/>
        </w:rPr>
        <w:t xml:space="preserve">  Acesso  em:  04  jan. 2011.</w:t>
      </w:r>
    </w:p>
    <w:p w:rsidR="00D81F69" w:rsidRDefault="00330118">
      <w:pPr>
        <w:tabs>
          <w:tab w:val="left" w:pos="4331"/>
        </w:tabs>
        <w:spacing w:before="70" w:line="312" w:lineRule="auto"/>
        <w:ind w:left="100" w:right="233"/>
        <w:jc w:val="both"/>
        <w:rPr>
          <w:sz w:val="16"/>
        </w:rPr>
      </w:pPr>
      <w:r>
        <w:br w:type="column"/>
      </w:r>
      <w:r>
        <w:rPr>
          <w:spacing w:val="3"/>
          <w:sz w:val="16"/>
        </w:rPr>
        <w:lastRenderedPageBreak/>
        <w:t xml:space="preserve">______. Projetos </w:t>
      </w:r>
      <w:r>
        <w:rPr>
          <w:spacing w:val="1"/>
          <w:sz w:val="16"/>
        </w:rPr>
        <w:t xml:space="preserve">da </w:t>
      </w:r>
      <w:r>
        <w:rPr>
          <w:spacing w:val="3"/>
          <w:sz w:val="16"/>
        </w:rPr>
        <w:t xml:space="preserve">Vale. </w:t>
      </w:r>
      <w:r>
        <w:rPr>
          <w:spacing w:val="2"/>
          <w:sz w:val="16"/>
        </w:rPr>
        <w:t xml:space="preserve">In: Blog </w:t>
      </w:r>
      <w:r>
        <w:rPr>
          <w:spacing w:val="1"/>
          <w:sz w:val="16"/>
        </w:rPr>
        <w:t xml:space="preserve">do  Zé  </w:t>
      </w:r>
      <w:r>
        <w:rPr>
          <w:spacing w:val="3"/>
          <w:sz w:val="16"/>
        </w:rPr>
        <w:t xml:space="preserve">Dudu, </w:t>
      </w:r>
      <w:r>
        <w:rPr>
          <w:spacing w:val="1"/>
          <w:sz w:val="16"/>
        </w:rPr>
        <w:t xml:space="preserve">19  </w:t>
      </w:r>
      <w:r>
        <w:rPr>
          <w:spacing w:val="2"/>
          <w:sz w:val="16"/>
        </w:rPr>
        <w:t xml:space="preserve">dez. </w:t>
      </w:r>
      <w:r>
        <w:rPr>
          <w:spacing w:val="5"/>
          <w:sz w:val="16"/>
        </w:rPr>
        <w:t xml:space="preserve">2008b.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1" w:line="312" w:lineRule="auto"/>
        <w:ind w:left="100" w:right="256"/>
        <w:jc w:val="both"/>
        <w:rPr>
          <w:sz w:val="16"/>
        </w:rPr>
      </w:pPr>
      <w:hyperlink r:id="rId300">
        <w:r w:rsidR="00330118">
          <w:rPr>
            <w:sz w:val="16"/>
          </w:rPr>
          <w:t>&lt;http://www.zedudu.com.br/?category_name=p</w:t>
        </w:r>
        <w:r w:rsidR="00330118">
          <w:rPr>
            <w:sz w:val="16"/>
          </w:rPr>
          <w:t>arauapebas&amp;paged=1</w:t>
        </w:r>
      </w:hyperlink>
      <w:r w:rsidR="00330118">
        <w:rPr>
          <w:sz w:val="16"/>
        </w:rPr>
        <w:t xml:space="preserve"> 08+cobre&amp;aq=f&amp;aqi=&amp;aql=&amp;oq=o+que+quer+dizer+tpa+de+cobre&amp;gs</w:t>
      </w:r>
    </w:p>
    <w:p w:rsidR="00D81F69" w:rsidRDefault="00330118">
      <w:pPr>
        <w:spacing w:before="2"/>
        <w:ind w:left="100"/>
        <w:rPr>
          <w:sz w:val="16"/>
        </w:rPr>
      </w:pPr>
      <w:r>
        <w:rPr>
          <w:sz w:val="16"/>
        </w:rPr>
        <w:t>_rfai=&amp;fp=90f65ad7da748e6d&gt;. Acesso em: 05 jan. 2011.</w:t>
      </w:r>
    </w:p>
    <w:p w:rsidR="00D81F69" w:rsidRDefault="00330118">
      <w:pPr>
        <w:spacing w:before="56" w:line="312" w:lineRule="auto"/>
        <w:ind w:left="100" w:right="212"/>
        <w:jc w:val="both"/>
        <w:rPr>
          <w:sz w:val="16"/>
        </w:rPr>
      </w:pPr>
      <w:r>
        <w:rPr>
          <w:sz w:val="16"/>
        </w:rPr>
        <w:t>ZONTA, Marcio. Impactos da mineração no sul e sudeste do Pará. Impactos da Mineração no Sul e Sudeste do Pará. Comissão Pas</w:t>
      </w:r>
      <w:r>
        <w:rPr>
          <w:sz w:val="16"/>
        </w:rPr>
        <w:t xml:space="preserve">toral da Terra (CPT) e Centro de Educação, Pesquisa, Assessoria Sindical e </w:t>
      </w:r>
      <w:r>
        <w:rPr>
          <w:spacing w:val="21"/>
          <w:sz w:val="16"/>
        </w:rPr>
        <w:t xml:space="preserve">Popular </w:t>
      </w:r>
      <w:r>
        <w:rPr>
          <w:spacing w:val="22"/>
          <w:sz w:val="16"/>
        </w:rPr>
        <w:t xml:space="preserve">(CEPASP), </w:t>
      </w:r>
      <w:r>
        <w:rPr>
          <w:spacing w:val="18"/>
          <w:sz w:val="16"/>
        </w:rPr>
        <w:t xml:space="preserve">fev. </w:t>
      </w:r>
      <w:r>
        <w:rPr>
          <w:spacing w:val="20"/>
          <w:sz w:val="16"/>
        </w:rPr>
        <w:t xml:space="preserve">2011. </w:t>
      </w:r>
      <w:r>
        <w:rPr>
          <w:spacing w:val="22"/>
          <w:sz w:val="16"/>
        </w:rPr>
        <w:t>Disponível</w:t>
      </w:r>
      <w:r>
        <w:rPr>
          <w:spacing w:val="41"/>
          <w:sz w:val="16"/>
        </w:rPr>
        <w:t xml:space="preserve"> </w:t>
      </w:r>
      <w:r>
        <w:rPr>
          <w:spacing w:val="16"/>
          <w:sz w:val="16"/>
        </w:rPr>
        <w:t>em:</w:t>
      </w:r>
      <w:r>
        <w:rPr>
          <w:spacing w:val="-17"/>
          <w:sz w:val="16"/>
        </w:rPr>
        <w:t xml:space="preserve"> </w:t>
      </w:r>
    </w:p>
    <w:p w:rsidR="00D81F69" w:rsidRDefault="00D81F69">
      <w:pPr>
        <w:spacing w:before="3" w:line="312" w:lineRule="auto"/>
        <w:ind w:left="100" w:right="254"/>
        <w:jc w:val="both"/>
        <w:rPr>
          <w:sz w:val="16"/>
        </w:rPr>
      </w:pPr>
      <w:hyperlink r:id="rId301">
        <w:r w:rsidR="00330118">
          <w:rPr>
            <w:sz w:val="16"/>
          </w:rPr>
          <w:t>&lt;</w:t>
        </w:r>
        <w:r w:rsidR="00330118">
          <w:rPr>
            <w:sz w:val="16"/>
          </w:rPr>
          <w:t>http://mineracaosudesteparaense.wordpress.com/2011/02/02/vale-</w:t>
        </w:r>
      </w:hyperlink>
      <w:r w:rsidR="00330118">
        <w:rPr>
          <w:sz w:val="16"/>
        </w:rPr>
        <w:t xml:space="preserve"> inicia-obras-do-novo-carajas/&gt;. Acesso em: 09 ago. 2012.</w:t>
      </w:r>
    </w:p>
    <w:p w:rsidR="00D81F69" w:rsidRDefault="00D81F69">
      <w:pPr>
        <w:spacing w:line="312" w:lineRule="auto"/>
        <w:jc w:val="both"/>
        <w:rPr>
          <w:sz w:val="16"/>
        </w:rPr>
        <w:sectPr w:rsidR="00D81F69">
          <w:pgSz w:w="11900" w:h="16840"/>
          <w:pgMar w:top="740" w:right="460" w:bottom="720" w:left="620" w:header="0" w:footer="402" w:gutter="0"/>
          <w:cols w:num="2" w:space="720" w:equalWidth="0">
            <w:col w:w="5236" w:space="234"/>
            <w:col w:w="5350"/>
          </w:cols>
        </w:sectPr>
      </w:pPr>
    </w:p>
    <w:p w:rsidR="00D81F69" w:rsidRDefault="00330118">
      <w:pPr>
        <w:pStyle w:val="Heading1"/>
        <w:spacing w:line="208" w:lineRule="auto"/>
        <w:ind w:right="240"/>
      </w:pPr>
      <w:bookmarkStart w:id="27" w:name="_TOC_250006"/>
      <w:bookmarkEnd w:id="27"/>
      <w:r>
        <w:lastRenderedPageBreak/>
        <w:t>Impactos socioeconômicos da exploração de minério de cobre em Canaã dos Carajás (PA)</w:t>
      </w:r>
    </w:p>
    <w:p w:rsidR="00D81F69" w:rsidRDefault="00D81F69">
      <w:pPr>
        <w:pStyle w:val="Corpodetexto"/>
        <w:ind w:left="0"/>
        <w:jc w:val="left"/>
        <w:rPr>
          <w:b/>
          <w:sz w:val="20"/>
        </w:rPr>
      </w:pPr>
    </w:p>
    <w:p w:rsidR="00D81F69" w:rsidRDefault="00D81F69">
      <w:pPr>
        <w:rPr>
          <w:sz w:val="20"/>
        </w:rPr>
        <w:sectPr w:rsidR="00D81F69">
          <w:pgSz w:w="11900" w:h="16840"/>
          <w:pgMar w:top="1080" w:right="460" w:bottom="64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w:t>
      </w:r>
      <w:r>
        <w:rPr>
          <w:i/>
          <w:sz w:val="14"/>
        </w:rPr>
        <w:t>UNICÍPIOS</w:t>
      </w:r>
    </w:p>
    <w:p w:rsidR="00D81F69" w:rsidRDefault="00330118">
      <w:pPr>
        <w:spacing w:before="49"/>
        <w:ind w:left="135"/>
        <w:rPr>
          <w:i/>
          <w:sz w:val="14"/>
        </w:rPr>
      </w:pPr>
      <w:r>
        <w:rPr>
          <w:i/>
          <w:sz w:val="14"/>
        </w:rPr>
        <w:t>-</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-6,5461</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-49,6897</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8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A exploração do minério de cobre pela </w:t>
      </w:r>
      <w:r>
        <w:rPr>
          <w:i/>
          <w:spacing w:val="3"/>
          <w:sz w:val="16"/>
        </w:rPr>
        <w:t xml:space="preserve">Vale, </w:t>
      </w:r>
      <w:r>
        <w:rPr>
          <w:i/>
          <w:spacing w:val="1"/>
          <w:sz w:val="16"/>
        </w:rPr>
        <w:t xml:space="preserve">em </w:t>
      </w:r>
      <w:r>
        <w:rPr>
          <w:i/>
          <w:spacing w:val="3"/>
          <w:sz w:val="16"/>
        </w:rPr>
        <w:t xml:space="preserve">Canaã </w:t>
      </w:r>
      <w:r>
        <w:rPr>
          <w:i/>
          <w:spacing w:val="2"/>
          <w:sz w:val="16"/>
        </w:rPr>
        <w:t xml:space="preserve">dos </w:t>
      </w:r>
      <w:r>
        <w:rPr>
          <w:i/>
          <w:spacing w:val="3"/>
          <w:sz w:val="16"/>
        </w:rPr>
        <w:t xml:space="preserve">Carajás, </w:t>
      </w:r>
      <w:r>
        <w:rPr>
          <w:i/>
          <w:spacing w:val="5"/>
          <w:sz w:val="16"/>
        </w:rPr>
        <w:t xml:space="preserve">causou </w:t>
      </w:r>
      <w:r>
        <w:rPr>
          <w:i/>
          <w:sz w:val="16"/>
        </w:rPr>
        <w:t xml:space="preserve">acelerado crescimento populacional no </w:t>
      </w:r>
      <w:r>
        <w:rPr>
          <w:i/>
          <w:spacing w:val="3"/>
          <w:sz w:val="16"/>
        </w:rPr>
        <w:t xml:space="preserve">município, </w:t>
      </w:r>
      <w:r>
        <w:rPr>
          <w:i/>
          <w:spacing w:val="2"/>
          <w:sz w:val="16"/>
        </w:rPr>
        <w:t xml:space="preserve">com </w:t>
      </w:r>
      <w:r>
        <w:rPr>
          <w:i/>
          <w:spacing w:val="3"/>
          <w:sz w:val="16"/>
        </w:rPr>
        <w:t xml:space="preserve">consequências </w:t>
      </w:r>
      <w:r>
        <w:rPr>
          <w:i/>
          <w:spacing w:val="5"/>
          <w:sz w:val="16"/>
        </w:rPr>
        <w:t xml:space="preserve">como: </w:t>
      </w:r>
      <w:r>
        <w:rPr>
          <w:i/>
          <w:sz w:val="16"/>
        </w:rPr>
        <w:t xml:space="preserve">falta de serviços básicos para atender à </w:t>
      </w:r>
      <w:r>
        <w:rPr>
          <w:i/>
          <w:spacing w:val="8"/>
          <w:sz w:val="16"/>
        </w:rPr>
        <w:t xml:space="preserve">população; especulação </w:t>
      </w:r>
      <w:r>
        <w:rPr>
          <w:i/>
          <w:spacing w:val="10"/>
          <w:sz w:val="16"/>
        </w:rPr>
        <w:t xml:space="preserve">imobiliária, </w:t>
      </w:r>
      <w:r>
        <w:rPr>
          <w:i/>
          <w:sz w:val="16"/>
        </w:rPr>
        <w:t xml:space="preserve">ocupação irregular do solo, e aumento de doenças sexualmente transmissíveis e </w:t>
      </w:r>
      <w:r>
        <w:rPr>
          <w:i/>
          <w:spacing w:val="10"/>
          <w:sz w:val="16"/>
        </w:rPr>
        <w:t xml:space="preserve">da </w:t>
      </w:r>
      <w:r>
        <w:rPr>
          <w:i/>
          <w:spacing w:val="17"/>
          <w:sz w:val="16"/>
        </w:rPr>
        <w:t xml:space="preserve">violência. </w:t>
      </w:r>
      <w:r>
        <w:rPr>
          <w:i/>
          <w:spacing w:val="15"/>
          <w:sz w:val="16"/>
        </w:rPr>
        <w:t xml:space="preserve">Além </w:t>
      </w:r>
      <w:r>
        <w:rPr>
          <w:i/>
          <w:spacing w:val="16"/>
          <w:sz w:val="16"/>
        </w:rPr>
        <w:t xml:space="preserve">disso, </w:t>
      </w:r>
      <w:r>
        <w:rPr>
          <w:i/>
          <w:sz w:val="16"/>
        </w:rPr>
        <w:t>o beneficiamento do minério contaminou o solo da</w:t>
      </w:r>
      <w:r>
        <w:rPr>
          <w:i/>
          <w:spacing w:val="5"/>
          <w:sz w:val="16"/>
        </w:rPr>
        <w:t xml:space="preserve"> </w:t>
      </w:r>
      <w:r>
        <w:rPr>
          <w:i/>
          <w:sz w:val="16"/>
        </w:rPr>
        <w:t>região.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9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28"/>
      </w:pPr>
      <w:r>
        <w:t>analfabetismo, mortalidade infantil (sobretudo) e acess</w:t>
      </w:r>
      <w:r>
        <w:t xml:space="preserve">o à água encanada estavam abaixo das médias nacional e estadual. A infraestrutura de esgoto sanitário e o sistema de coleta de lixo praticamente não existiam, e o posto de saúde do município contava com apenas um médico, um enfermeiro e não possuía nenhum </w:t>
      </w:r>
      <w:r>
        <w:t>leito para internação (CABRAL; ENRÍQUEZ; SANTOS, 2011).</w:t>
      </w:r>
    </w:p>
    <w:p w:rsidR="00D81F69" w:rsidRDefault="00330118">
      <w:pPr>
        <w:pStyle w:val="Corpodetexto"/>
        <w:spacing w:before="136" w:line="312" w:lineRule="auto"/>
        <w:ind w:left="135" w:right="235"/>
      </w:pPr>
      <w:r>
        <w:t xml:space="preserve">A exploração do minério de </w:t>
      </w:r>
      <w:hyperlink r:id="rId302">
        <w:r>
          <w:t xml:space="preserve">cobre </w:t>
        </w:r>
      </w:hyperlink>
      <w:r>
        <w:t>pela Vale, em Canaã dos Carajás, começou na mina do Sossego, descoberta em 19</w:t>
      </w:r>
      <w:r>
        <w:t xml:space="preserve">97 e implementada a partir de 2002 (VALE, 2010). A mina, hoje, </w:t>
      </w:r>
      <w:r>
        <w:rPr>
          <w:spacing w:val="11"/>
        </w:rPr>
        <w:t xml:space="preserve">tem </w:t>
      </w:r>
      <w:r>
        <w:rPr>
          <w:spacing w:val="15"/>
        </w:rPr>
        <w:t xml:space="preserve">importância estratégica </w:t>
      </w:r>
      <w:r>
        <w:rPr>
          <w:spacing w:val="8"/>
        </w:rPr>
        <w:t xml:space="preserve">no </w:t>
      </w:r>
      <w:r>
        <w:rPr>
          <w:spacing w:val="15"/>
        </w:rPr>
        <w:t xml:space="preserve">suporte </w:t>
      </w:r>
      <w:r>
        <w:t xml:space="preserve">a </w:t>
      </w:r>
      <w:r>
        <w:rPr>
          <w:spacing w:val="15"/>
        </w:rPr>
        <w:t xml:space="preserve">outros </w:t>
      </w:r>
      <w:r>
        <w:t>empreendimentos</w:t>
      </w:r>
      <w:r>
        <w:rPr>
          <w:spacing w:val="12"/>
        </w:rPr>
        <w:t xml:space="preserve"> </w:t>
      </w:r>
      <w:r>
        <w:t>de</w:t>
      </w:r>
      <w:r>
        <w:rPr>
          <w:spacing w:val="12"/>
        </w:rPr>
        <w:t xml:space="preserve"> </w:t>
      </w:r>
      <w:r>
        <w:t>cobre</w:t>
      </w:r>
      <w:r>
        <w:rPr>
          <w:spacing w:val="12"/>
        </w:rPr>
        <w:t xml:space="preserve"> </w:t>
      </w:r>
      <w:r>
        <w:t>na</w:t>
      </w:r>
      <w:r>
        <w:rPr>
          <w:spacing w:val="12"/>
        </w:rPr>
        <w:t xml:space="preserve"> </w:t>
      </w:r>
      <w:r>
        <w:t>região,</w:t>
      </w:r>
      <w:r>
        <w:rPr>
          <w:spacing w:val="12"/>
        </w:rPr>
        <w:t xml:space="preserve"> </w:t>
      </w:r>
      <w:r>
        <w:t>como</w:t>
      </w:r>
      <w:r>
        <w:rPr>
          <w:spacing w:val="12"/>
        </w:rPr>
        <w:t xml:space="preserve"> </w:t>
      </w:r>
      <w:r>
        <w:t>Salobo,</w:t>
      </w:r>
      <w:r>
        <w:rPr>
          <w:spacing w:val="12"/>
        </w:rPr>
        <w:t xml:space="preserve"> </w:t>
      </w:r>
      <w:r>
        <w:t>Alemão</w:t>
      </w:r>
    </w:p>
    <w:p w:rsidR="00D81F69" w:rsidRDefault="00D81F69">
      <w:pPr>
        <w:spacing w:line="312" w:lineRule="auto"/>
        <w:sectPr w:rsidR="00D81F69">
          <w:type w:val="continuous"/>
          <w:pgSz w:w="11900" w:h="16840"/>
          <w:pgMar w:top="720" w:right="460" w:bottom="280" w:left="620" w:header="720" w:footer="720" w:gutter="0"/>
          <w:cols w:num="3" w:space="720" w:equalWidth="0">
            <w:col w:w="1008" w:space="992"/>
            <w:col w:w="3124" w:space="311"/>
            <w:col w:w="5385"/>
          </w:cols>
        </w:sectPr>
      </w:pPr>
    </w:p>
    <w:p w:rsidR="00D81F69" w:rsidRDefault="00330118">
      <w:pPr>
        <w:pStyle w:val="Heading4"/>
        <w:spacing w:before="58"/>
        <w:jc w:val="left"/>
      </w:pPr>
      <w:r>
        <w:lastRenderedPageBreak/>
        <w:t>APRESENTAÇÃO DE CASO</w:t>
      </w:r>
    </w:p>
    <w:p w:rsidR="00D81F69" w:rsidRDefault="00330118">
      <w:pPr>
        <w:pStyle w:val="Corpodetexto"/>
        <w:spacing w:before="171" w:line="312" w:lineRule="auto"/>
        <w:ind w:right="72"/>
      </w:pPr>
      <w:r>
        <w:t>Situado na chamada Província Mineral de Carajás, Canaã dos Carajás fica a 760 km de Belém, no sudeste do Pará, e possui</w:t>
      </w:r>
    </w:p>
    <w:p w:rsidR="00D81F69" w:rsidRDefault="00330118">
      <w:pPr>
        <w:pStyle w:val="Corpodetexto"/>
        <w:spacing w:before="2" w:line="312" w:lineRule="auto"/>
        <w:ind w:right="38"/>
      </w:pPr>
      <w:r>
        <w:t>3.146 km2 (IBGE, 2010). Seu povoamento iniciou-se nos anos 1980, fomentado por conjunto de assentamentos agrícolas, implantado pelo gove</w:t>
      </w:r>
      <w:r>
        <w:t>rno federal através do Grupo Executivo das Terras do Araguaia e Tocantins (Getat). Na época, 1.551 famílias oriundas das regiões Nordeste, Sul e Centro-Oeste foram contempladas com pequenos terrenos na área que se tornaria Canaã dos Carajás (CABRAL; ENRÍQU</w:t>
      </w:r>
      <w:r>
        <w:t>EZ; SANTOS, 2011).</w:t>
      </w:r>
    </w:p>
    <w:p w:rsidR="00D81F69" w:rsidRDefault="00330118">
      <w:pPr>
        <w:pStyle w:val="Corpodetexto"/>
        <w:spacing w:before="137" w:line="312" w:lineRule="auto"/>
        <w:ind w:right="45"/>
      </w:pPr>
      <w:r>
        <w:rPr>
          <w:spacing w:val="2"/>
        </w:rPr>
        <w:t xml:space="preserve">Nos </w:t>
      </w:r>
      <w:r>
        <w:rPr>
          <w:spacing w:val="3"/>
        </w:rPr>
        <w:t xml:space="preserve">primeiros anos, </w:t>
      </w:r>
      <w:r>
        <w:t xml:space="preserve">a </w:t>
      </w:r>
      <w:r>
        <w:rPr>
          <w:spacing w:val="3"/>
        </w:rPr>
        <w:t xml:space="preserve">recém-criada comunidade </w:t>
      </w:r>
      <w:r>
        <w:rPr>
          <w:spacing w:val="2"/>
        </w:rPr>
        <w:t xml:space="preserve">teve </w:t>
      </w:r>
      <w:r>
        <w:rPr>
          <w:spacing w:val="5"/>
        </w:rPr>
        <w:t xml:space="preserve">na </w:t>
      </w:r>
      <w:r>
        <w:rPr>
          <w:spacing w:val="8"/>
        </w:rPr>
        <w:t xml:space="preserve">agricultura </w:t>
      </w:r>
      <w:r>
        <w:rPr>
          <w:spacing w:val="5"/>
        </w:rPr>
        <w:t xml:space="preserve">seu </w:t>
      </w:r>
      <w:r>
        <w:rPr>
          <w:spacing w:val="6"/>
        </w:rPr>
        <w:t xml:space="preserve">foco </w:t>
      </w:r>
      <w:r>
        <w:rPr>
          <w:spacing w:val="8"/>
        </w:rPr>
        <w:t xml:space="preserve">produtivo, </w:t>
      </w:r>
      <w:r>
        <w:rPr>
          <w:spacing w:val="5"/>
        </w:rPr>
        <w:t xml:space="preserve">mas </w:t>
      </w:r>
      <w:r>
        <w:rPr>
          <w:spacing w:val="6"/>
        </w:rPr>
        <w:t xml:space="preserve">logo </w:t>
      </w:r>
      <w:r>
        <w:t xml:space="preserve">a </w:t>
      </w:r>
      <w:r>
        <w:rPr>
          <w:spacing w:val="7"/>
        </w:rPr>
        <w:t xml:space="preserve">criação </w:t>
      </w:r>
      <w:r>
        <w:rPr>
          <w:spacing w:val="10"/>
        </w:rPr>
        <w:t xml:space="preserve">de </w:t>
      </w:r>
      <w:r>
        <w:t>pastagens para a pecuária tomaria o espaço das plantações de arroz, feijão e milho. A falta de apoio do governo federal e da pref</w:t>
      </w:r>
      <w:r>
        <w:t xml:space="preserve">eitura de Parauapebas, município paraense ao qual a </w:t>
      </w:r>
      <w:r>
        <w:rPr>
          <w:spacing w:val="2"/>
        </w:rPr>
        <w:t xml:space="preserve">área </w:t>
      </w:r>
      <w:r>
        <w:rPr>
          <w:spacing w:val="3"/>
        </w:rPr>
        <w:t xml:space="preserve">pertencia, levou </w:t>
      </w:r>
      <w:r>
        <w:t xml:space="preserve">a </w:t>
      </w:r>
      <w:r>
        <w:rPr>
          <w:spacing w:val="1"/>
        </w:rPr>
        <w:t xml:space="preserve">um </w:t>
      </w:r>
      <w:r>
        <w:rPr>
          <w:spacing w:val="3"/>
        </w:rPr>
        <w:t xml:space="preserve">processo </w:t>
      </w:r>
      <w:r>
        <w:rPr>
          <w:spacing w:val="1"/>
        </w:rPr>
        <w:t xml:space="preserve">de </w:t>
      </w:r>
      <w:r>
        <w:rPr>
          <w:spacing w:val="3"/>
        </w:rPr>
        <w:t xml:space="preserve">mobilização </w:t>
      </w:r>
      <w:r>
        <w:rPr>
          <w:spacing w:val="5"/>
        </w:rPr>
        <w:t xml:space="preserve">pela </w:t>
      </w:r>
      <w:r>
        <w:rPr>
          <w:spacing w:val="3"/>
        </w:rPr>
        <w:t xml:space="preserve">emancipação </w:t>
      </w:r>
      <w:r>
        <w:rPr>
          <w:spacing w:val="1"/>
        </w:rPr>
        <w:t xml:space="preserve">de </w:t>
      </w:r>
      <w:r>
        <w:rPr>
          <w:spacing w:val="3"/>
        </w:rPr>
        <w:t xml:space="preserve">Canaã. </w:t>
      </w:r>
      <w:r>
        <w:rPr>
          <w:spacing w:val="1"/>
        </w:rPr>
        <w:t xml:space="preserve">Em </w:t>
      </w:r>
      <w:r>
        <w:rPr>
          <w:spacing w:val="3"/>
        </w:rPr>
        <w:t xml:space="preserve">abril </w:t>
      </w:r>
      <w:r>
        <w:rPr>
          <w:spacing w:val="1"/>
        </w:rPr>
        <w:t xml:space="preserve">de </w:t>
      </w:r>
      <w:r>
        <w:rPr>
          <w:spacing w:val="3"/>
        </w:rPr>
        <w:t xml:space="preserve">1994, </w:t>
      </w:r>
      <w:r>
        <w:rPr>
          <w:spacing w:val="1"/>
        </w:rPr>
        <w:t xml:space="preserve">um </w:t>
      </w:r>
      <w:r>
        <w:rPr>
          <w:spacing w:val="5"/>
        </w:rPr>
        <w:t xml:space="preserve">plebiscito </w:t>
      </w:r>
      <w:r>
        <w:t xml:space="preserve">popular garantiria a criação do novo município, que </w:t>
      </w:r>
      <w:r>
        <w:rPr>
          <w:spacing w:val="1"/>
        </w:rPr>
        <w:t xml:space="preserve">nasceu </w:t>
      </w:r>
      <w:r>
        <w:t>com uma estrutura fundiária caracte</w:t>
      </w:r>
      <w:r>
        <w:t xml:space="preserve">rizada pela coexistência </w:t>
      </w:r>
      <w:r>
        <w:rPr>
          <w:spacing w:val="1"/>
        </w:rPr>
        <w:t xml:space="preserve">de </w:t>
      </w:r>
      <w:r>
        <w:rPr>
          <w:spacing w:val="3"/>
        </w:rPr>
        <w:t xml:space="preserve">unidades camponesas (estabelecimentos </w:t>
      </w:r>
      <w:r>
        <w:rPr>
          <w:spacing w:val="2"/>
        </w:rPr>
        <w:t xml:space="preserve">com </w:t>
      </w:r>
      <w:r>
        <w:t xml:space="preserve">1 a </w:t>
      </w:r>
      <w:r>
        <w:rPr>
          <w:spacing w:val="5"/>
        </w:rPr>
        <w:t xml:space="preserve">200 </w:t>
      </w:r>
      <w:r>
        <w:t xml:space="preserve">hectares), pequenas e médias fazendas (entre 200 e 5.000 hectares) e grandes latifúndios. Predominavam os pequenos  e </w:t>
      </w:r>
      <w:r>
        <w:rPr>
          <w:spacing w:val="5"/>
        </w:rPr>
        <w:t xml:space="preserve">médios produtores </w:t>
      </w:r>
      <w:r>
        <w:rPr>
          <w:spacing w:val="2"/>
        </w:rPr>
        <w:t xml:space="preserve">de </w:t>
      </w:r>
      <w:r>
        <w:rPr>
          <w:spacing w:val="3"/>
        </w:rPr>
        <w:t xml:space="preserve">gado </w:t>
      </w:r>
      <w:r>
        <w:rPr>
          <w:spacing w:val="2"/>
        </w:rPr>
        <w:t xml:space="preserve">de </w:t>
      </w:r>
      <w:r>
        <w:rPr>
          <w:spacing w:val="3"/>
        </w:rPr>
        <w:t xml:space="preserve">corte </w:t>
      </w:r>
      <w:r>
        <w:t xml:space="preserve">e </w:t>
      </w:r>
      <w:r>
        <w:rPr>
          <w:spacing w:val="3"/>
        </w:rPr>
        <w:t xml:space="preserve">leite </w:t>
      </w:r>
      <w:r>
        <w:rPr>
          <w:spacing w:val="5"/>
        </w:rPr>
        <w:t>(CABRAL;</w:t>
      </w:r>
      <w:r>
        <w:rPr>
          <w:spacing w:val="61"/>
        </w:rPr>
        <w:t xml:space="preserve"> </w:t>
      </w:r>
      <w:r>
        <w:rPr>
          <w:spacing w:val="5"/>
        </w:rPr>
        <w:t>ENRÍQUEZ</w:t>
      </w:r>
      <w:r>
        <w:rPr>
          <w:spacing w:val="5"/>
        </w:rPr>
        <w:t>; SANTOS,</w:t>
      </w:r>
      <w:r>
        <w:rPr>
          <w:spacing w:val="6"/>
        </w:rPr>
        <w:t xml:space="preserve"> </w:t>
      </w:r>
      <w:r>
        <w:rPr>
          <w:spacing w:val="5"/>
        </w:rPr>
        <w:t>2011).</w:t>
      </w:r>
    </w:p>
    <w:p w:rsidR="00D81F69" w:rsidRDefault="00330118">
      <w:pPr>
        <w:pStyle w:val="Corpodetexto"/>
        <w:spacing w:before="143" w:line="312" w:lineRule="auto"/>
        <w:ind w:right="38"/>
      </w:pPr>
      <w:r>
        <w:t xml:space="preserve">Em 2000, a população de Canaã era de 10.922 habitantes, </w:t>
      </w:r>
      <w:r>
        <w:rPr>
          <w:spacing w:val="2"/>
        </w:rPr>
        <w:t xml:space="preserve">com 64% </w:t>
      </w:r>
      <w:r>
        <w:rPr>
          <w:spacing w:val="3"/>
        </w:rPr>
        <w:t xml:space="preserve">residindo </w:t>
      </w:r>
      <w:r>
        <w:rPr>
          <w:spacing w:val="1"/>
        </w:rPr>
        <w:t xml:space="preserve">na </w:t>
      </w:r>
      <w:r>
        <w:rPr>
          <w:spacing w:val="2"/>
        </w:rPr>
        <w:t xml:space="preserve">área </w:t>
      </w:r>
      <w:r>
        <w:rPr>
          <w:spacing w:val="3"/>
        </w:rPr>
        <w:t xml:space="preserve">rural </w:t>
      </w:r>
      <w:r>
        <w:t xml:space="preserve">e </w:t>
      </w:r>
      <w:r>
        <w:rPr>
          <w:spacing w:val="2"/>
        </w:rPr>
        <w:t xml:space="preserve">36%, </w:t>
      </w:r>
      <w:r>
        <w:rPr>
          <w:spacing w:val="1"/>
        </w:rPr>
        <w:t xml:space="preserve">na </w:t>
      </w:r>
      <w:r>
        <w:rPr>
          <w:spacing w:val="2"/>
        </w:rPr>
        <w:t xml:space="preserve">área </w:t>
      </w:r>
      <w:r>
        <w:rPr>
          <w:spacing w:val="5"/>
        </w:rPr>
        <w:t xml:space="preserve">urbana, </w:t>
      </w:r>
      <w:r>
        <w:t xml:space="preserve">embora à época fosse comum encontrar pequenas roças na área urbana, tornando a diferenciação entre cidade e campo </w:t>
      </w:r>
      <w:r>
        <w:rPr>
          <w:spacing w:val="1"/>
        </w:rPr>
        <w:t>difusa. Indepe</w:t>
      </w:r>
      <w:r>
        <w:rPr>
          <w:spacing w:val="1"/>
        </w:rPr>
        <w:t xml:space="preserve">ndentemente disso, </w:t>
      </w:r>
      <w:r>
        <w:t xml:space="preserve">o </w:t>
      </w:r>
      <w:r>
        <w:rPr>
          <w:spacing w:val="1"/>
        </w:rPr>
        <w:t xml:space="preserve">município </w:t>
      </w:r>
      <w:r>
        <w:rPr>
          <w:spacing w:val="2"/>
        </w:rPr>
        <w:t xml:space="preserve">apresentava </w:t>
      </w:r>
      <w:r>
        <w:rPr>
          <w:spacing w:val="10"/>
        </w:rPr>
        <w:t xml:space="preserve">sinais </w:t>
      </w:r>
      <w:r>
        <w:rPr>
          <w:spacing w:val="5"/>
        </w:rPr>
        <w:t xml:space="preserve">de </w:t>
      </w:r>
      <w:r>
        <w:rPr>
          <w:spacing w:val="10"/>
        </w:rPr>
        <w:t xml:space="preserve">pobreza, abandono </w:t>
      </w:r>
      <w:r>
        <w:t xml:space="preserve">e </w:t>
      </w:r>
      <w:r>
        <w:rPr>
          <w:spacing w:val="8"/>
        </w:rPr>
        <w:t xml:space="preserve">falta </w:t>
      </w:r>
      <w:r>
        <w:rPr>
          <w:spacing w:val="5"/>
        </w:rPr>
        <w:t xml:space="preserve">de </w:t>
      </w:r>
      <w:r>
        <w:rPr>
          <w:spacing w:val="11"/>
        </w:rPr>
        <w:t xml:space="preserve">governança, </w:t>
      </w:r>
      <w:r>
        <w:t xml:space="preserve">mostrando-se carente em uma série de quesitos básicos para </w:t>
      </w:r>
      <w:r>
        <w:rPr>
          <w:spacing w:val="5"/>
        </w:rPr>
        <w:t xml:space="preserve">um </w:t>
      </w:r>
      <w:r>
        <w:rPr>
          <w:spacing w:val="10"/>
        </w:rPr>
        <w:t xml:space="preserve">padrão mínimo </w:t>
      </w:r>
      <w:r>
        <w:rPr>
          <w:spacing w:val="5"/>
        </w:rPr>
        <w:t xml:space="preserve">de </w:t>
      </w:r>
      <w:r>
        <w:rPr>
          <w:spacing w:val="10"/>
        </w:rPr>
        <w:t xml:space="preserve">qualidade </w:t>
      </w:r>
      <w:r>
        <w:rPr>
          <w:spacing w:val="5"/>
        </w:rPr>
        <w:t xml:space="preserve">de </w:t>
      </w:r>
      <w:r>
        <w:rPr>
          <w:spacing w:val="8"/>
        </w:rPr>
        <w:t xml:space="preserve">vida </w:t>
      </w:r>
      <w:r>
        <w:rPr>
          <w:spacing w:val="12"/>
        </w:rPr>
        <w:t xml:space="preserve">(CABRAL; </w:t>
      </w:r>
      <w:r>
        <w:rPr>
          <w:spacing w:val="10"/>
        </w:rPr>
        <w:t>ENRÍQUEZ; SANTOS,</w:t>
      </w:r>
      <w:r>
        <w:rPr>
          <w:spacing w:val="61"/>
        </w:rPr>
        <w:t xml:space="preserve"> </w:t>
      </w:r>
      <w:r>
        <w:rPr>
          <w:spacing w:val="12"/>
        </w:rPr>
        <w:t>2011).</w:t>
      </w:r>
    </w:p>
    <w:p w:rsidR="00D81F69" w:rsidRDefault="00330118">
      <w:pPr>
        <w:pStyle w:val="Corpodetexto"/>
        <w:spacing w:before="75" w:line="270" w:lineRule="atLeast"/>
        <w:ind w:right="50"/>
      </w:pPr>
      <w:r>
        <w:t>Os indicadores sociais do município, medidos na época, eram preocupantes. Por exemplo, as taxas de frequência escolar,</w:t>
      </w:r>
    </w:p>
    <w:p w:rsidR="00D81F69" w:rsidRDefault="00330118">
      <w:pPr>
        <w:pStyle w:val="Corpodetexto"/>
        <w:spacing w:before="5" w:line="312" w:lineRule="auto"/>
        <w:ind w:right="254"/>
      </w:pPr>
      <w:r>
        <w:br w:type="column"/>
      </w:r>
      <w:r>
        <w:lastRenderedPageBreak/>
        <w:t>e Cristalino. Depois de implantadas, a previsão é de que as minas produzam, juntas, cerca de 700 mil toneladas anuais (HB, 2009), tornan</w:t>
      </w:r>
      <w:r>
        <w:t>do o Brasil um grande exportador de cobre (VALE, 2010).</w:t>
      </w:r>
    </w:p>
    <w:p w:rsidR="00D81F69" w:rsidRDefault="00330118">
      <w:pPr>
        <w:pStyle w:val="Corpodetexto"/>
        <w:spacing w:before="133" w:line="312" w:lineRule="auto"/>
        <w:ind w:right="234"/>
      </w:pPr>
      <w:r>
        <w:t>As mudanças no município começaram com a exploração da mina do Sossego. Canaã dos Carajás sofreu uma efervescência em sua economia, com aumento do comércio e da oferta de serviços em geral e, o conseq</w:t>
      </w:r>
      <w:r>
        <w:t>uente crescimento da arrecadação de impostos (DUARTE; SILVA; MATHEUS, 2008). No entanto, o empreendimento também trouxe impactos socioeconômicos negativos (FELIX, 2008).</w:t>
      </w:r>
    </w:p>
    <w:p w:rsidR="00D81F69" w:rsidRDefault="00330118">
      <w:pPr>
        <w:pStyle w:val="Corpodetexto"/>
        <w:spacing w:before="137" w:line="312" w:lineRule="auto"/>
        <w:ind w:right="249"/>
      </w:pPr>
      <w:r>
        <w:t xml:space="preserve">O </w:t>
      </w:r>
      <w:r>
        <w:rPr>
          <w:spacing w:val="5"/>
        </w:rPr>
        <w:t xml:space="preserve">depósito </w:t>
      </w:r>
      <w:r>
        <w:rPr>
          <w:spacing w:val="2"/>
        </w:rPr>
        <w:t xml:space="preserve">da </w:t>
      </w:r>
      <w:r>
        <w:rPr>
          <w:spacing w:val="3"/>
        </w:rPr>
        <w:t xml:space="preserve">mina </w:t>
      </w:r>
      <w:r>
        <w:rPr>
          <w:spacing w:val="2"/>
        </w:rPr>
        <w:t xml:space="preserve">do </w:t>
      </w:r>
      <w:r>
        <w:rPr>
          <w:spacing w:val="5"/>
        </w:rPr>
        <w:t xml:space="preserve">Sossego compreende </w:t>
      </w:r>
      <w:r>
        <w:rPr>
          <w:spacing w:val="2"/>
        </w:rPr>
        <w:t xml:space="preserve">os </w:t>
      </w:r>
      <w:r>
        <w:rPr>
          <w:spacing w:val="5"/>
        </w:rPr>
        <w:t xml:space="preserve">corpos </w:t>
      </w:r>
      <w:r>
        <w:t xml:space="preserve">denominados Sossego e Sequeirinho. </w:t>
      </w:r>
      <w:r>
        <w:t xml:space="preserve">A mina está localizada a </w:t>
      </w:r>
      <w:r>
        <w:rPr>
          <w:spacing w:val="3"/>
        </w:rPr>
        <w:t xml:space="preserve">aproximadamente </w:t>
      </w:r>
      <w:r>
        <w:rPr>
          <w:spacing w:val="1"/>
        </w:rPr>
        <w:t xml:space="preserve">70 km de </w:t>
      </w:r>
      <w:r>
        <w:rPr>
          <w:spacing w:val="3"/>
        </w:rPr>
        <w:t xml:space="preserve">Carajás. </w:t>
      </w:r>
      <w:r>
        <w:t xml:space="preserve">A </w:t>
      </w:r>
      <w:r>
        <w:rPr>
          <w:spacing w:val="2"/>
        </w:rPr>
        <w:t xml:space="preserve">Vale </w:t>
      </w:r>
      <w:r>
        <w:rPr>
          <w:spacing w:val="3"/>
        </w:rPr>
        <w:t xml:space="preserve">começou </w:t>
      </w:r>
      <w:r>
        <w:t>a operar uma usina de beneficiamento de cobre no local, em abril de 2004, com capacidade instalada de produção de 540 mil toneladas anuais de concentrado, com 30% de cobre e 8 gramas</w:t>
      </w:r>
      <w:r>
        <w:t xml:space="preserve"> por tonelada de ouro. A usina tem capacidade para processar 41 mil toneladas de minério por dia, o que equivale a 15 milhões de toneladas por ano, lavradas de cavas a céu aberto (BERGERMAN; DELBONI; NANKRAN,</w:t>
      </w:r>
      <w:r>
        <w:rPr>
          <w:spacing w:val="3"/>
        </w:rPr>
        <w:t xml:space="preserve"> </w:t>
      </w:r>
      <w:r>
        <w:t>2009).</w:t>
      </w:r>
    </w:p>
    <w:p w:rsidR="00D81F69" w:rsidRDefault="00330118">
      <w:pPr>
        <w:pStyle w:val="Corpodetexto"/>
        <w:spacing w:before="139" w:line="312" w:lineRule="auto"/>
        <w:ind w:right="245"/>
      </w:pPr>
      <w:r>
        <w:t>Após o processo de beneficiamento, o min</w:t>
      </w:r>
      <w:r>
        <w:t>ério, que sai da mina com teor médio de 1% de cobre, alcança uma concentração de 30%. A produção é transportada por caminhão até o Armazém de Cobre, em Parauapebas, depois segue pela Estrada de Ferro Carajás até o Terminal Marítimo de São Luís, no Maranhão</w:t>
      </w:r>
      <w:r>
        <w:t>, onde é embarcado para os mercados interno e externo (HB, 2009).</w:t>
      </w:r>
    </w:p>
    <w:p w:rsidR="00D81F69" w:rsidRDefault="00330118">
      <w:pPr>
        <w:pStyle w:val="Corpodetexto"/>
        <w:spacing w:before="136" w:line="312" w:lineRule="auto"/>
        <w:ind w:right="245"/>
      </w:pPr>
      <w:r>
        <w:t>A mina do Sossego também dá suporte para que a Vale teste novas tecnologias que possibilitem verticalizar sua produção de cobre, ganhando mais competitividade no mercado. Desde novembro de 2</w:t>
      </w:r>
      <w:r>
        <w:t>008, a empresa está testando, na Usina Hidrometalúrgica de Carajás (UHC), o processo de lixiviação sob pressão. A nova tecnologia consiste em transformar o concentrado de cobre sulfetado em placas metálicas (catodos), com 99,999% de pureza. A produção de p</w:t>
      </w:r>
      <w:r>
        <w:t>lacas</w:t>
      </w:r>
    </w:p>
    <w:p w:rsidR="00D81F69" w:rsidRDefault="00D81F69">
      <w:pPr>
        <w:spacing w:line="312" w:lineRule="auto"/>
        <w:sectPr w:rsidR="00D81F69">
          <w:type w:val="continuous"/>
          <w:pgSz w:w="11900" w:h="16840"/>
          <w:pgMar w:top="720" w:right="460" w:bottom="280" w:left="620" w:header="720" w:footer="720" w:gutter="0"/>
          <w:cols w:num="2" w:space="720" w:equalWidth="0">
            <w:col w:w="5166" w:space="304"/>
            <w:col w:w="5350"/>
          </w:cols>
        </w:sectPr>
      </w:pPr>
    </w:p>
    <w:p w:rsidR="00D81F69" w:rsidRDefault="00330118">
      <w:pPr>
        <w:pStyle w:val="Corpodetexto"/>
        <w:spacing w:before="81" w:line="312" w:lineRule="auto"/>
        <w:ind w:right="62"/>
      </w:pPr>
      <w:r>
        <w:lastRenderedPageBreak/>
        <w:t>gera produtos finais, como fios, cabos e componentes eletrônicos (HB, 2009).</w:t>
      </w:r>
    </w:p>
    <w:p w:rsidR="00D81F69" w:rsidRDefault="00330118">
      <w:pPr>
        <w:pStyle w:val="Corpodetexto"/>
        <w:spacing w:before="132" w:line="312" w:lineRule="auto"/>
        <w:ind w:right="59"/>
      </w:pPr>
      <w:r>
        <w:t>Não resta dúvida de que a mineração trouxe alguns benefícios consideráveis para o município. Comparando o Índice Firjan de Desenvolvimento Municipal (IFDM) de 2000 com o medido no ano de 2007, pode-se ter uma ideia clara de como a cidade se desenvolveu. Os</w:t>
      </w:r>
      <w:r>
        <w:t xml:space="preserve"> indicadores de emprego e renda, de educação e de saúde (ou seja, todos os quesitos analisados) apresentaram significativas melhorias. Para se ter uma ideia do salto no score obtido no IFDM, em apenas 7 anos, Canaã deixou o 82º lugar, avançando para um imp</w:t>
      </w:r>
      <w:r>
        <w:t>ressionante 7º lugar entre os 144 municípios paraenses (CABRAL; ENRÍQUEZ; SANTOS, 2011).</w:t>
      </w:r>
    </w:p>
    <w:p w:rsidR="00D81F69" w:rsidRDefault="00330118">
      <w:pPr>
        <w:pStyle w:val="Corpodetexto"/>
        <w:spacing w:before="140" w:line="312" w:lineRule="auto"/>
        <w:ind w:right="38"/>
      </w:pPr>
      <w:r>
        <w:t xml:space="preserve">Se comparado a outros municípios da região, verifica-se que se trata de um crescimento típico nas regiões onde houve um boom de empreendimentos mineradores. Por outro </w:t>
      </w:r>
      <w:r>
        <w:t>lado, um vasto trabalho de campo apresentado por pesquisadores da Universidade da Amazônia (Unama) demonstrou que, paralelamente, houve um forte aumento da desigualdade na região, caracterizando um crescimento econômico de perfil concentrador de renda. Alé</w:t>
      </w:r>
      <w:r>
        <w:t>m disso, aqueles que vivem em áreas rurais distantes da zona urbana encontram-se seriamente à margem da economia local (CABRAL; ENRÍQUEZ; SANTOS, 2011).</w:t>
      </w:r>
    </w:p>
    <w:p w:rsidR="00D81F69" w:rsidRDefault="00330118">
      <w:pPr>
        <w:pStyle w:val="Corpodetexto"/>
        <w:spacing w:before="140" w:line="312" w:lineRule="auto"/>
        <w:ind w:right="49"/>
      </w:pPr>
      <w:r>
        <w:rPr>
          <w:spacing w:val="3"/>
        </w:rPr>
        <w:t xml:space="preserve">Com </w:t>
      </w:r>
      <w:r>
        <w:t xml:space="preserve">a </w:t>
      </w:r>
      <w:r>
        <w:rPr>
          <w:spacing w:val="5"/>
        </w:rPr>
        <w:t xml:space="preserve">implementação </w:t>
      </w:r>
      <w:r>
        <w:rPr>
          <w:spacing w:val="2"/>
        </w:rPr>
        <w:t xml:space="preserve">do </w:t>
      </w:r>
      <w:r>
        <w:rPr>
          <w:spacing w:val="5"/>
        </w:rPr>
        <w:t>Projeto Sossego, milhares de</w:t>
      </w:r>
      <w:r>
        <w:rPr>
          <w:spacing w:val="61"/>
        </w:rPr>
        <w:t xml:space="preserve"> </w:t>
      </w:r>
      <w:r>
        <w:t>migrantes foram para a cidade em busca de oportunid</w:t>
      </w:r>
      <w:r>
        <w:t xml:space="preserve">ades, </w:t>
      </w:r>
      <w:r>
        <w:rPr>
          <w:spacing w:val="7"/>
        </w:rPr>
        <w:t xml:space="preserve">alterando </w:t>
      </w:r>
      <w:r>
        <w:rPr>
          <w:spacing w:val="5"/>
        </w:rPr>
        <w:t xml:space="preserve">sua </w:t>
      </w:r>
      <w:r>
        <w:rPr>
          <w:spacing w:val="8"/>
        </w:rPr>
        <w:t xml:space="preserve">concentração demográfica. </w:t>
      </w:r>
      <w:r>
        <w:rPr>
          <w:spacing w:val="5"/>
        </w:rPr>
        <w:t xml:space="preserve">Em </w:t>
      </w:r>
      <w:r>
        <w:rPr>
          <w:spacing w:val="7"/>
        </w:rPr>
        <w:t xml:space="preserve">2004, </w:t>
      </w:r>
      <w:r>
        <w:t xml:space="preserve">a estimativa era de que Canaã estivesse na casa dos </w:t>
      </w:r>
      <w:r>
        <w:rPr>
          <w:spacing w:val="1"/>
        </w:rPr>
        <w:t xml:space="preserve">28.136 </w:t>
      </w:r>
      <w:r>
        <w:rPr>
          <w:spacing w:val="3"/>
        </w:rPr>
        <w:t xml:space="preserve">habitantes (FELIX, 2008), quase </w:t>
      </w:r>
      <w:r>
        <w:t xml:space="preserve">o </w:t>
      </w:r>
      <w:r>
        <w:rPr>
          <w:spacing w:val="3"/>
        </w:rPr>
        <w:t xml:space="preserve">triplo </w:t>
      </w:r>
      <w:r>
        <w:rPr>
          <w:spacing w:val="1"/>
        </w:rPr>
        <w:t xml:space="preserve">da </w:t>
      </w:r>
      <w:r>
        <w:rPr>
          <w:spacing w:val="3"/>
        </w:rPr>
        <w:t xml:space="preserve">população </w:t>
      </w:r>
      <w:r>
        <w:rPr>
          <w:spacing w:val="5"/>
        </w:rPr>
        <w:t xml:space="preserve">de </w:t>
      </w:r>
      <w:r>
        <w:t>1994. De acordo com o censo 2010, hoje o município conta com 26.727 habitantes (IBGE,</w:t>
      </w:r>
      <w:r>
        <w:t xml:space="preserve"> 2010).</w:t>
      </w:r>
    </w:p>
    <w:p w:rsidR="00D81F69" w:rsidRDefault="00330118">
      <w:pPr>
        <w:pStyle w:val="Corpodetexto"/>
        <w:spacing w:before="136" w:line="312" w:lineRule="auto"/>
        <w:ind w:right="50"/>
      </w:pPr>
      <w:r>
        <w:t xml:space="preserve">Na última década, houve um grande inchaço da área urbana que representava 36% do município em 2000 e cresceu para 77,6% em 2010, gerando uma demanda por serviços sociais  e urbanos. A principal atividade rural, a pecuária, entrou em </w:t>
      </w:r>
      <w:r>
        <w:rPr>
          <w:spacing w:val="7"/>
        </w:rPr>
        <w:t>franco declínio</w:t>
      </w:r>
      <w:r>
        <w:rPr>
          <w:spacing w:val="7"/>
        </w:rPr>
        <w:t xml:space="preserve">, faturando </w:t>
      </w:r>
      <w:r>
        <w:rPr>
          <w:spacing w:val="5"/>
        </w:rPr>
        <w:t xml:space="preserve">em </w:t>
      </w:r>
      <w:r>
        <w:rPr>
          <w:spacing w:val="6"/>
        </w:rPr>
        <w:t xml:space="preserve">2009 </w:t>
      </w:r>
      <w:r>
        <w:rPr>
          <w:spacing w:val="7"/>
        </w:rPr>
        <w:t xml:space="preserve">apenas 47,6% </w:t>
      </w:r>
      <w:r>
        <w:rPr>
          <w:spacing w:val="10"/>
        </w:rPr>
        <w:t xml:space="preserve">do </w:t>
      </w:r>
      <w:r>
        <w:t>registrado</w:t>
      </w:r>
      <w:r>
        <w:rPr>
          <w:spacing w:val="21"/>
        </w:rPr>
        <w:t xml:space="preserve"> </w:t>
      </w:r>
      <w:r>
        <w:t>em</w:t>
      </w:r>
      <w:r>
        <w:rPr>
          <w:spacing w:val="21"/>
        </w:rPr>
        <w:t xml:space="preserve"> </w:t>
      </w:r>
      <w:r>
        <w:t>2004</w:t>
      </w:r>
      <w:r>
        <w:rPr>
          <w:spacing w:val="21"/>
        </w:rPr>
        <w:t xml:space="preserve"> </w:t>
      </w:r>
      <w:r>
        <w:t>(CABRAL;</w:t>
      </w:r>
      <w:r>
        <w:rPr>
          <w:spacing w:val="21"/>
        </w:rPr>
        <w:t xml:space="preserve"> </w:t>
      </w:r>
      <w:r>
        <w:t>ENRÍQUEZ;</w:t>
      </w:r>
      <w:r>
        <w:rPr>
          <w:spacing w:val="21"/>
        </w:rPr>
        <w:t xml:space="preserve"> </w:t>
      </w:r>
      <w:r>
        <w:t>SANTOS,</w:t>
      </w:r>
      <w:r>
        <w:rPr>
          <w:spacing w:val="21"/>
        </w:rPr>
        <w:t xml:space="preserve"> </w:t>
      </w:r>
      <w:r>
        <w:t>2011).</w:t>
      </w:r>
    </w:p>
    <w:p w:rsidR="00D81F69" w:rsidRDefault="00330118">
      <w:pPr>
        <w:pStyle w:val="Corpodetexto"/>
        <w:spacing w:before="6" w:line="312" w:lineRule="auto"/>
        <w:ind w:right="47"/>
      </w:pPr>
      <w:r>
        <w:t>Com o crescimento populacional da cidade, ficaram evidenciados problemas como: grande quantidade de loteamentos não planejados; especulação imobiliária (SOUZA; MIRANDA</w:t>
      </w:r>
      <w:r>
        <w:t>, 2009); más condições de saneamento básico e precariedade do sistema de saúde (LUZ; CORBETT; PETERSEN, 2006), o que gerou a necessidade de deslocamento dos moradores para outros municípios em busca de melhor atendimento (SOUZA; MIRANDA, 2009). Houve també</w:t>
      </w:r>
      <w:r>
        <w:t>m aumento da prostituição, especialmente de adolescentes, um dos fatores que contribuiu para que doenças sexualmente transmissíveis passassem a representar um problema de saúde pública na cidade (LUZ; CORBETT; PETERSEN, 2006).</w:t>
      </w:r>
    </w:p>
    <w:p w:rsidR="00D81F69" w:rsidRDefault="00330118">
      <w:pPr>
        <w:pStyle w:val="Corpodetexto"/>
        <w:spacing w:before="142" w:line="312" w:lineRule="auto"/>
        <w:ind w:right="40"/>
      </w:pPr>
      <w:r>
        <w:t>Para tentar resolver os problemas de saúde no município, a Universidade de São Paulo (USP) — em parceria com a Faculdade de Ciências Médicas da Santa Casa de São Paulo (FCMSC-SP), Universidade Federal do Pará (UFPA),</w:t>
      </w:r>
    </w:p>
    <w:p w:rsidR="00D81F69" w:rsidRDefault="00330118">
      <w:pPr>
        <w:pStyle w:val="Corpodetexto"/>
        <w:spacing w:before="81" w:line="312" w:lineRule="auto"/>
        <w:ind w:right="232"/>
      </w:pPr>
      <w:r>
        <w:br w:type="column"/>
      </w:r>
      <w:r>
        <w:lastRenderedPageBreak/>
        <w:t>Universidade do Estado do Pará (Uepa),</w:t>
      </w:r>
      <w:r>
        <w:t xml:space="preserve"> Instituto Evandro Chagas (IEC), Universidade Federal do Maranhão (UFMA) e Universidade Federal do Espírito Santo (Ufes) — implantou o projeto Saúde Canaã dos Carajás, que atua no Sistema Público de Saúde do município, visando proporcionar aos moradores ac</w:t>
      </w:r>
      <w:r>
        <w:t>esso integral às condições básicas de atendimento médico (LUZ; CORBETT; PETERSEN, 2006).</w:t>
      </w:r>
    </w:p>
    <w:p w:rsidR="00D81F69" w:rsidRDefault="00330118">
      <w:pPr>
        <w:pStyle w:val="Corpodetexto"/>
        <w:spacing w:before="136" w:line="312" w:lineRule="auto"/>
        <w:ind w:right="249"/>
      </w:pPr>
      <w:r>
        <w:t>A mineração e a expansão da economia aumentaram em muito a arrecadação por parte da prefeitura. Porém, há indícios de que o crescimento pode estar bancando o aumento d</w:t>
      </w:r>
      <w:r>
        <w:t>o empreguismo público, já que a administração pública responde por 41,3% dos empregos formais de Canaã (CABRAL; ENRÍQUEZ; SANTOS, 2011).</w:t>
      </w:r>
    </w:p>
    <w:p w:rsidR="00D81F69" w:rsidRDefault="00330118">
      <w:pPr>
        <w:pStyle w:val="Corpodetexto"/>
        <w:spacing w:before="136" w:line="312" w:lineRule="auto"/>
        <w:ind w:right="228"/>
      </w:pPr>
      <w:r>
        <w:t xml:space="preserve">Em </w:t>
      </w:r>
      <w:r>
        <w:rPr>
          <w:spacing w:val="1"/>
        </w:rPr>
        <w:t xml:space="preserve">relação </w:t>
      </w:r>
      <w:r>
        <w:t xml:space="preserve">ao </w:t>
      </w:r>
      <w:r>
        <w:rPr>
          <w:spacing w:val="1"/>
        </w:rPr>
        <w:t xml:space="preserve">meio ambiente, </w:t>
      </w:r>
      <w:r>
        <w:t xml:space="preserve">há uma </w:t>
      </w:r>
      <w:r>
        <w:rPr>
          <w:spacing w:val="1"/>
        </w:rPr>
        <w:t xml:space="preserve">série </w:t>
      </w:r>
      <w:r>
        <w:t xml:space="preserve">de </w:t>
      </w:r>
      <w:r>
        <w:rPr>
          <w:spacing w:val="1"/>
        </w:rPr>
        <w:t xml:space="preserve">conflitos </w:t>
      </w:r>
      <w:r>
        <w:t>e controvérsias envolvendo a mineração na região. Uma delas  é o</w:t>
      </w:r>
      <w:r>
        <w:t xml:space="preserve"> </w:t>
      </w:r>
      <w:r>
        <w:rPr>
          <w:spacing w:val="5"/>
        </w:rPr>
        <w:t xml:space="preserve">aumento </w:t>
      </w:r>
      <w:r>
        <w:rPr>
          <w:spacing w:val="3"/>
        </w:rPr>
        <w:t xml:space="preserve">das áreas </w:t>
      </w:r>
      <w:r>
        <w:rPr>
          <w:spacing w:val="5"/>
        </w:rPr>
        <w:t xml:space="preserve">desflorestadas </w:t>
      </w:r>
      <w:r>
        <w:rPr>
          <w:spacing w:val="2"/>
        </w:rPr>
        <w:t xml:space="preserve">em </w:t>
      </w:r>
      <w:r>
        <w:rPr>
          <w:spacing w:val="5"/>
        </w:rPr>
        <w:t xml:space="preserve">Canaã. Outra questão preocupante </w:t>
      </w:r>
      <w:r>
        <w:rPr>
          <w:spacing w:val="3"/>
        </w:rPr>
        <w:t xml:space="preserve">são </w:t>
      </w:r>
      <w:r>
        <w:rPr>
          <w:spacing w:val="2"/>
        </w:rPr>
        <w:t xml:space="preserve">as </w:t>
      </w:r>
      <w:r>
        <w:rPr>
          <w:spacing w:val="5"/>
        </w:rPr>
        <w:t>diversas queixas feitas por</w:t>
      </w:r>
      <w:r>
        <w:rPr>
          <w:spacing w:val="61"/>
        </w:rPr>
        <w:t xml:space="preserve"> </w:t>
      </w:r>
      <w:r>
        <w:rPr>
          <w:spacing w:val="1"/>
        </w:rPr>
        <w:t xml:space="preserve">moradores </w:t>
      </w:r>
      <w:r>
        <w:t xml:space="preserve">de </w:t>
      </w:r>
      <w:r>
        <w:rPr>
          <w:spacing w:val="1"/>
        </w:rPr>
        <w:t xml:space="preserve">comunidades próximas </w:t>
      </w:r>
      <w:r>
        <w:t xml:space="preserve">ao </w:t>
      </w:r>
      <w:r>
        <w:rPr>
          <w:spacing w:val="1"/>
        </w:rPr>
        <w:t xml:space="preserve">Projeto </w:t>
      </w:r>
      <w:r>
        <w:rPr>
          <w:spacing w:val="2"/>
        </w:rPr>
        <w:t xml:space="preserve">Sossego. </w:t>
      </w:r>
      <w:r>
        <w:t>Eles reclamam do incômodo e de danos materiais causados por vibrações e ruídos feitos por explosõ</w:t>
      </w:r>
      <w:r>
        <w:t xml:space="preserve">es com dinamite e </w:t>
      </w:r>
      <w:r>
        <w:rPr>
          <w:spacing w:val="7"/>
        </w:rPr>
        <w:t xml:space="preserve">máquinas. Alguns moradores relatam </w:t>
      </w:r>
      <w:r>
        <w:t xml:space="preserve">a </w:t>
      </w:r>
      <w:r>
        <w:rPr>
          <w:spacing w:val="8"/>
        </w:rPr>
        <w:t xml:space="preserve">ocorrência </w:t>
      </w:r>
      <w:r>
        <w:rPr>
          <w:spacing w:val="10"/>
        </w:rPr>
        <w:t xml:space="preserve">de </w:t>
      </w:r>
      <w:r>
        <w:rPr>
          <w:spacing w:val="1"/>
        </w:rPr>
        <w:t xml:space="preserve">rachaduras </w:t>
      </w:r>
      <w:r>
        <w:t xml:space="preserve">nas </w:t>
      </w:r>
      <w:r>
        <w:rPr>
          <w:spacing w:val="1"/>
        </w:rPr>
        <w:t xml:space="preserve">paredes que, </w:t>
      </w:r>
      <w:r>
        <w:t xml:space="preserve">em </w:t>
      </w:r>
      <w:r>
        <w:rPr>
          <w:spacing w:val="1"/>
        </w:rPr>
        <w:t xml:space="preserve">alguns casos, levaram </w:t>
      </w:r>
      <w:r>
        <w:t xml:space="preserve">à condenação das construções. Há relatos também de mortes, </w:t>
      </w:r>
      <w:r>
        <w:rPr>
          <w:spacing w:val="1"/>
        </w:rPr>
        <w:t xml:space="preserve">abortos </w:t>
      </w:r>
      <w:r>
        <w:t xml:space="preserve">e </w:t>
      </w:r>
      <w:r>
        <w:rPr>
          <w:spacing w:val="1"/>
        </w:rPr>
        <w:t xml:space="preserve">queda </w:t>
      </w:r>
      <w:r>
        <w:t xml:space="preserve">na </w:t>
      </w:r>
      <w:r>
        <w:rPr>
          <w:spacing w:val="1"/>
        </w:rPr>
        <w:t xml:space="preserve">taxa </w:t>
      </w:r>
      <w:r>
        <w:t xml:space="preserve">de </w:t>
      </w:r>
      <w:r>
        <w:rPr>
          <w:spacing w:val="1"/>
        </w:rPr>
        <w:t xml:space="preserve">fertilidade </w:t>
      </w:r>
      <w:r>
        <w:t xml:space="preserve">do </w:t>
      </w:r>
      <w:r>
        <w:rPr>
          <w:spacing w:val="1"/>
        </w:rPr>
        <w:t xml:space="preserve">gado, </w:t>
      </w:r>
      <w:r>
        <w:rPr>
          <w:spacing w:val="2"/>
        </w:rPr>
        <w:t xml:space="preserve">atribuídos </w:t>
      </w:r>
      <w:r>
        <w:rPr>
          <w:spacing w:val="1"/>
        </w:rPr>
        <w:t xml:space="preserve">pelos moradores </w:t>
      </w:r>
      <w:r>
        <w:t xml:space="preserve">ao </w:t>
      </w:r>
      <w:r>
        <w:rPr>
          <w:spacing w:val="1"/>
        </w:rPr>
        <w:t xml:space="preserve">estresse causado pelo barulho </w:t>
      </w:r>
      <w:r>
        <w:t xml:space="preserve">e </w:t>
      </w:r>
      <w:r>
        <w:rPr>
          <w:spacing w:val="2"/>
        </w:rPr>
        <w:t xml:space="preserve">pela </w:t>
      </w:r>
      <w:r>
        <w:rPr>
          <w:spacing w:val="5"/>
        </w:rPr>
        <w:t xml:space="preserve">movimentação </w:t>
      </w:r>
      <w:r>
        <w:rPr>
          <w:spacing w:val="2"/>
        </w:rPr>
        <w:t xml:space="preserve">no </w:t>
      </w:r>
      <w:r>
        <w:rPr>
          <w:spacing w:val="5"/>
        </w:rPr>
        <w:t xml:space="preserve">local (SANTOS, 2011 apud </w:t>
      </w:r>
      <w:r>
        <w:rPr>
          <w:spacing w:val="6"/>
        </w:rPr>
        <w:t xml:space="preserve">CABRAL; </w:t>
      </w:r>
      <w:r>
        <w:rPr>
          <w:spacing w:val="5"/>
        </w:rPr>
        <w:t>ENRÍQUEZ; SANTOS,</w:t>
      </w:r>
      <w:r>
        <w:rPr>
          <w:spacing w:val="16"/>
        </w:rPr>
        <w:t xml:space="preserve"> </w:t>
      </w:r>
      <w:r>
        <w:rPr>
          <w:spacing w:val="6"/>
        </w:rPr>
        <w:t>2011).</w:t>
      </w:r>
    </w:p>
    <w:p w:rsidR="00D81F69" w:rsidRDefault="00330118">
      <w:pPr>
        <w:pStyle w:val="Corpodetexto"/>
        <w:spacing w:before="143" w:line="312" w:lineRule="auto"/>
        <w:ind w:right="230"/>
      </w:pPr>
      <w:r>
        <w:t xml:space="preserve">Devastação do meio ambiente por conta de transbordamento de tanques de rejeitos do processo de extração do minério, assédio de empresas sobre </w:t>
      </w:r>
      <w:r>
        <w:t>camponeses assentados para aquisição de lotes, problema de abastecimento de água, violência, não democratização da informação são algumas das questões levantadas por associações ligadas ao Sindicato dos Trabalhadores Rurais (STR) (ALMEIDA, 2010). O crescim</w:t>
      </w:r>
      <w:r>
        <w:t>ento da mortalidade por agressão no município de Canaã dos Carajás, por exemplo, chegou a 449% (MILANEZ et al., 2010).</w:t>
      </w:r>
    </w:p>
    <w:p w:rsidR="00D81F69" w:rsidRDefault="00330118">
      <w:pPr>
        <w:pStyle w:val="Corpodetexto"/>
        <w:spacing w:before="139" w:line="312" w:lineRule="auto"/>
        <w:ind w:right="226"/>
      </w:pPr>
      <w:r>
        <w:t>Documentos sistematizados pelo Centro de Educação, Pesquisa e Assessoria Sindical e Popular (Cepasp) e pela Comissão Pastoral da Terra (C</w:t>
      </w:r>
      <w:r>
        <w:t xml:space="preserve">PT) descrevem situações de tensão entre as empresas mineradoras e os camponeses. Na Vila de Mozartinópolis, localmente chamada de Rachaplaca, 80 famílias de médias e pequenas propriedades estão envolvidas na disputa pelo território de interesse da Vale. O </w:t>
      </w:r>
      <w:r>
        <w:t>STR, em associação com a CPT e o Cepasp, realiza a mediação entre os interesses das famílias e da mineradora (ALMEIDA, 2010).</w:t>
      </w:r>
    </w:p>
    <w:p w:rsidR="00D81F69" w:rsidRDefault="00330118">
      <w:pPr>
        <w:pStyle w:val="Corpodetexto"/>
        <w:spacing w:before="139" w:line="312" w:lineRule="auto"/>
        <w:ind w:right="234"/>
      </w:pPr>
      <w:r>
        <w:t>Moradores da Vila Bom Jesus, comunidade rural de Canaã, queixaram-se de que estavam sendo impedidos de acessar o rio a partir de u</w:t>
      </w:r>
      <w:r>
        <w:t>m determinado trecho. Também em Bom Jesus, e em Vila Planalto, moradores relatam que os rios estão apresentando sinais de poluição e devastação como mudança de coloração na água, lama nos igarapés e diminuição dos peixes. Tais mudanças levariam a grandes</w:t>
      </w:r>
    </w:p>
    <w:p w:rsidR="00D81F69" w:rsidRDefault="00D81F69">
      <w:pPr>
        <w:spacing w:line="312" w:lineRule="auto"/>
        <w:sectPr w:rsidR="00D81F69">
          <w:pgSz w:w="11900" w:h="16840"/>
          <w:pgMar w:top="740" w:right="460" w:bottom="720" w:left="620" w:header="0" w:footer="402" w:gutter="0"/>
          <w:cols w:num="2" w:space="720" w:equalWidth="0">
            <w:col w:w="5166" w:space="304"/>
            <w:col w:w="5350"/>
          </w:cols>
        </w:sectPr>
      </w:pPr>
    </w:p>
    <w:p w:rsidR="00D81F69" w:rsidRDefault="00330118">
      <w:pPr>
        <w:pStyle w:val="Corpodetexto"/>
        <w:spacing w:before="81" w:line="312" w:lineRule="auto"/>
        <w:ind w:right="59"/>
      </w:pPr>
      <w:r>
        <w:lastRenderedPageBreak/>
        <w:t>impactos em populações que dependem dos rios para sobreviver (CABRAL; ENRÍQUEZ; SANTOS, 2011).</w:t>
      </w:r>
    </w:p>
    <w:p w:rsidR="00D81F69" w:rsidRDefault="00330118">
      <w:pPr>
        <w:pStyle w:val="Corpodetexto"/>
        <w:spacing w:before="132" w:line="312" w:lineRule="auto"/>
        <w:ind w:right="38"/>
      </w:pPr>
      <w:r>
        <w:t>Em maio de 2011, moradores da Vila Bom Jesus relataram ter perdido casas e lotes agrícolas, completamente alagados pelo rio Parauapebas no ano de 2009. Foi a segunda perda desses moradores, pois já haviam sido desalojados de suas propriedades anteriores pa</w:t>
      </w:r>
      <w:r>
        <w:t xml:space="preserve">ra a instalação do Projeto Sossego. Aqueles que tiveram os seus terrenos alagados acreditam que alterações topográficas, provocadas pela construção de diques de contenção d’água na área do Projeto Sossego, contribuíram para o alagamento (CABRAL; ENRÍQUEZ; </w:t>
      </w:r>
      <w:r>
        <w:t>SANTOS, 2011).</w:t>
      </w:r>
    </w:p>
    <w:p w:rsidR="00D81F69" w:rsidRDefault="00330118">
      <w:pPr>
        <w:pStyle w:val="Corpodetexto"/>
        <w:spacing w:before="139" w:line="312" w:lineRule="auto"/>
        <w:ind w:right="47"/>
      </w:pPr>
      <w:r>
        <w:t>Em Bom Jesus, moradores reclamaram, ainda, de emissões de poeira e mau cheiro pela mineração. Lideranças da área informaram que estariam realizando reuniões com representantes da Vale para tentar resolver as questões. Em Vila Planalto há que</w:t>
      </w:r>
      <w:r>
        <w:t>ixas sobre a poeira levantada pelos ruidosos caminhões que fazem o transporte dos minérios da mina até a rodovia PA-160 (SANTOS, 2011 apud CABRAL; ENRÍQUEZ; SANTOS, 2011).</w:t>
      </w:r>
    </w:p>
    <w:p w:rsidR="00D81F69" w:rsidRDefault="00330118">
      <w:pPr>
        <w:pStyle w:val="Corpodetexto"/>
        <w:spacing w:before="137" w:line="312" w:lineRule="auto"/>
        <w:ind w:right="48"/>
      </w:pPr>
      <w:r>
        <w:t>Há, ainda, em outras vilas reclamações sobre invasões de lotes por funcionários da V</w:t>
      </w:r>
      <w:r>
        <w:t>ale, para realização de pesquisas, sem autorização dos proprietários. A passagem de linhas de alta tensão em terrenos particulares é outro fator de incômodo (CABRAL; ENRÍQUEZ; SANTOS, 2011).</w:t>
      </w:r>
    </w:p>
    <w:p w:rsidR="00D81F69" w:rsidRDefault="00330118">
      <w:pPr>
        <w:pStyle w:val="Corpodetexto"/>
        <w:spacing w:before="135" w:line="312" w:lineRule="auto"/>
        <w:ind w:right="53"/>
      </w:pPr>
      <w:r>
        <w:rPr>
          <w:spacing w:val="2"/>
        </w:rPr>
        <w:t xml:space="preserve">Em </w:t>
      </w:r>
      <w:r>
        <w:rPr>
          <w:spacing w:val="3"/>
        </w:rPr>
        <w:t xml:space="preserve">2004, </w:t>
      </w:r>
      <w:r>
        <w:t xml:space="preserve">o </w:t>
      </w:r>
      <w:r>
        <w:rPr>
          <w:spacing w:val="5"/>
        </w:rPr>
        <w:t xml:space="preserve">Instituto Brasileiro </w:t>
      </w:r>
      <w:r>
        <w:rPr>
          <w:spacing w:val="2"/>
        </w:rPr>
        <w:t xml:space="preserve">do </w:t>
      </w:r>
      <w:r>
        <w:rPr>
          <w:spacing w:val="3"/>
        </w:rPr>
        <w:t xml:space="preserve">Meio </w:t>
      </w:r>
      <w:r>
        <w:rPr>
          <w:spacing w:val="5"/>
        </w:rPr>
        <w:t xml:space="preserve">Ambiente </w:t>
      </w:r>
      <w:r>
        <w:t xml:space="preserve">e </w:t>
      </w:r>
      <w:r>
        <w:rPr>
          <w:spacing w:val="5"/>
        </w:rPr>
        <w:t xml:space="preserve">dos </w:t>
      </w:r>
      <w:r>
        <w:t>Recursos N</w:t>
      </w:r>
      <w:r>
        <w:t xml:space="preserve">aturais Renováveis (Ibama) multou a Vale em R$ 2 </w:t>
      </w:r>
      <w:r>
        <w:rPr>
          <w:spacing w:val="3"/>
        </w:rPr>
        <w:t xml:space="preserve">milhões </w:t>
      </w:r>
      <w:r>
        <w:rPr>
          <w:spacing w:val="2"/>
        </w:rPr>
        <w:t xml:space="preserve">por ter </w:t>
      </w:r>
      <w:r>
        <w:rPr>
          <w:spacing w:val="3"/>
        </w:rPr>
        <w:t xml:space="preserve">provocado danos ambientais </w:t>
      </w:r>
      <w:r>
        <w:t xml:space="preserve">à </w:t>
      </w:r>
      <w:r>
        <w:rPr>
          <w:spacing w:val="5"/>
        </w:rPr>
        <w:t xml:space="preserve">Floresta </w:t>
      </w:r>
      <w:r>
        <w:rPr>
          <w:spacing w:val="13"/>
        </w:rPr>
        <w:t xml:space="preserve">Nacional </w:t>
      </w:r>
      <w:r>
        <w:rPr>
          <w:spacing w:val="7"/>
        </w:rPr>
        <w:t xml:space="preserve">do </w:t>
      </w:r>
      <w:r>
        <w:rPr>
          <w:spacing w:val="13"/>
        </w:rPr>
        <w:t xml:space="preserve">Carajás, </w:t>
      </w:r>
      <w:r>
        <w:rPr>
          <w:spacing w:val="11"/>
        </w:rPr>
        <w:t xml:space="preserve">pelo </w:t>
      </w:r>
      <w:r>
        <w:rPr>
          <w:spacing w:val="13"/>
        </w:rPr>
        <w:t xml:space="preserve">lançamento </w:t>
      </w:r>
      <w:r>
        <w:rPr>
          <w:spacing w:val="7"/>
        </w:rPr>
        <w:t xml:space="preserve">de </w:t>
      </w:r>
      <w:r>
        <w:rPr>
          <w:spacing w:val="13"/>
        </w:rPr>
        <w:t xml:space="preserve">rejeitos </w:t>
      </w:r>
      <w:r>
        <w:t xml:space="preserve">provenientes da usina de beneficiamento de cobre da Mina do Sossego, e por não ter atendido às condicionantes impostas na autorização de desmatamento. Segundo o Ibama, houve derramamento de grande quantidade de rejeitos diretamente </w:t>
      </w:r>
      <w:r>
        <w:rPr>
          <w:spacing w:val="2"/>
        </w:rPr>
        <w:t xml:space="preserve">no </w:t>
      </w:r>
      <w:r>
        <w:rPr>
          <w:spacing w:val="3"/>
        </w:rPr>
        <w:t xml:space="preserve">solo, sem </w:t>
      </w:r>
      <w:r>
        <w:rPr>
          <w:spacing w:val="5"/>
        </w:rPr>
        <w:t>qualquer im</w:t>
      </w:r>
      <w:r>
        <w:rPr>
          <w:spacing w:val="5"/>
        </w:rPr>
        <w:t xml:space="preserve">permeabilização </w:t>
      </w:r>
      <w:r>
        <w:rPr>
          <w:spacing w:val="2"/>
        </w:rPr>
        <w:t xml:space="preserve">ou </w:t>
      </w:r>
      <w:r>
        <w:rPr>
          <w:spacing w:val="5"/>
        </w:rPr>
        <w:t xml:space="preserve">tratamento prévio </w:t>
      </w:r>
      <w:r>
        <w:rPr>
          <w:spacing w:val="2"/>
        </w:rPr>
        <w:t xml:space="preserve">(O </w:t>
      </w:r>
      <w:r>
        <w:rPr>
          <w:spacing w:val="5"/>
        </w:rPr>
        <w:t xml:space="preserve">ESTADO </w:t>
      </w:r>
      <w:r>
        <w:rPr>
          <w:spacing w:val="2"/>
        </w:rPr>
        <w:t xml:space="preserve">DO </w:t>
      </w:r>
      <w:r>
        <w:rPr>
          <w:spacing w:val="5"/>
        </w:rPr>
        <w:t>PARANÁ,</w:t>
      </w:r>
      <w:r>
        <w:rPr>
          <w:spacing w:val="52"/>
        </w:rPr>
        <w:t xml:space="preserve"> </w:t>
      </w:r>
      <w:r>
        <w:rPr>
          <w:spacing w:val="5"/>
        </w:rPr>
        <w:t>2004).</w:t>
      </w:r>
    </w:p>
    <w:p w:rsidR="00D81F69" w:rsidRDefault="00330118">
      <w:pPr>
        <w:pStyle w:val="Corpodetexto"/>
        <w:spacing w:before="139" w:line="312" w:lineRule="auto"/>
        <w:ind w:right="66"/>
      </w:pPr>
      <w:r>
        <w:t>No entanto, a Vale ingressou, ainda em 2004, com um pedido para a redução da multa em 30%, por não ter recorrido de sua aplicação, o que foi concedido pelo Ibama. Além disso, foi fechado um a</w:t>
      </w:r>
      <w:r>
        <w:t>cordo para a conversão do valor da multa em prestação de serviços para o fortalecimento institucional do órgão na região (GAZETA MERCANTIL, 2004).</w:t>
      </w:r>
    </w:p>
    <w:p w:rsidR="00D81F69" w:rsidRDefault="00330118">
      <w:pPr>
        <w:pStyle w:val="Corpodetexto"/>
        <w:spacing w:before="136" w:line="312" w:lineRule="auto"/>
        <w:ind w:right="60"/>
      </w:pPr>
      <w:r>
        <w:t xml:space="preserve">Mas, até 2008, a multa ainda não havia sido paga, nem havia </w:t>
      </w:r>
      <w:r>
        <w:rPr>
          <w:spacing w:val="2"/>
        </w:rPr>
        <w:t xml:space="preserve">sido </w:t>
      </w:r>
      <w:r>
        <w:rPr>
          <w:spacing w:val="3"/>
        </w:rPr>
        <w:t xml:space="preserve">concretizado </w:t>
      </w:r>
      <w:r>
        <w:t xml:space="preserve">o </w:t>
      </w:r>
      <w:r>
        <w:rPr>
          <w:spacing w:val="3"/>
        </w:rPr>
        <w:t xml:space="preserve">acordo feito </w:t>
      </w:r>
      <w:r>
        <w:rPr>
          <w:spacing w:val="1"/>
        </w:rPr>
        <w:t xml:space="preserve">na </w:t>
      </w:r>
      <w:r>
        <w:rPr>
          <w:spacing w:val="3"/>
        </w:rPr>
        <w:t>Justiça Feder</w:t>
      </w:r>
      <w:r>
        <w:rPr>
          <w:spacing w:val="3"/>
        </w:rPr>
        <w:t xml:space="preserve">al </w:t>
      </w:r>
      <w:r>
        <w:rPr>
          <w:spacing w:val="5"/>
        </w:rPr>
        <w:t xml:space="preserve">para </w:t>
      </w:r>
      <w:r>
        <w:t xml:space="preserve">construção de dois centros de triagem de animais silvestres que seriam operados pelo Ibama. Também por conta desta </w:t>
      </w:r>
      <w:r>
        <w:rPr>
          <w:spacing w:val="7"/>
        </w:rPr>
        <w:t xml:space="preserve">multa, </w:t>
      </w:r>
      <w:r>
        <w:t xml:space="preserve">a </w:t>
      </w:r>
      <w:r>
        <w:rPr>
          <w:spacing w:val="7"/>
        </w:rPr>
        <w:t xml:space="preserve">empresa responde </w:t>
      </w:r>
      <w:r>
        <w:t xml:space="preserve">a </w:t>
      </w:r>
      <w:r>
        <w:rPr>
          <w:spacing w:val="6"/>
        </w:rPr>
        <w:t xml:space="preserve">duas </w:t>
      </w:r>
      <w:r>
        <w:rPr>
          <w:spacing w:val="7"/>
        </w:rPr>
        <w:t xml:space="preserve">ações públicas </w:t>
      </w:r>
      <w:r>
        <w:rPr>
          <w:spacing w:val="10"/>
        </w:rPr>
        <w:t xml:space="preserve">do </w:t>
      </w:r>
      <w:r>
        <w:rPr>
          <w:spacing w:val="1"/>
        </w:rPr>
        <w:t xml:space="preserve">Ministério Público Federal: </w:t>
      </w:r>
      <w:r>
        <w:t xml:space="preserve">uma </w:t>
      </w:r>
      <w:r>
        <w:rPr>
          <w:spacing w:val="1"/>
        </w:rPr>
        <w:t xml:space="preserve">civil, </w:t>
      </w:r>
      <w:r>
        <w:t xml:space="preserve">na </w:t>
      </w:r>
      <w:r>
        <w:rPr>
          <w:spacing w:val="1"/>
        </w:rPr>
        <w:t xml:space="preserve">qual </w:t>
      </w:r>
      <w:r>
        <w:t xml:space="preserve">se </w:t>
      </w:r>
      <w:r>
        <w:rPr>
          <w:spacing w:val="1"/>
        </w:rPr>
        <w:t xml:space="preserve">pede </w:t>
      </w:r>
      <w:r>
        <w:rPr>
          <w:spacing w:val="2"/>
        </w:rPr>
        <w:t xml:space="preserve">uma </w:t>
      </w:r>
      <w:r>
        <w:t>indenização de R$ 10 mi</w:t>
      </w:r>
      <w:r>
        <w:t>lhões, e outra criminal, aceita pelo juiz destacado para o caso (CARVALHO, 2008). O processo ainda está sendo julgado, e sua última movimentação ocorreu em 15 de outubro de 2010 (IBAMA,</w:t>
      </w:r>
      <w:r>
        <w:rPr>
          <w:spacing w:val="12"/>
        </w:rPr>
        <w:t xml:space="preserve"> </w:t>
      </w:r>
      <w:r>
        <w:t>2011).</w:t>
      </w:r>
    </w:p>
    <w:p w:rsidR="00D81F69" w:rsidRDefault="00330118">
      <w:pPr>
        <w:pStyle w:val="Corpodetexto"/>
        <w:spacing w:before="139" w:line="312" w:lineRule="auto"/>
        <w:ind w:right="55"/>
      </w:pPr>
      <w:r>
        <w:t xml:space="preserve">A </w:t>
      </w:r>
      <w:r>
        <w:rPr>
          <w:spacing w:val="8"/>
        </w:rPr>
        <w:t xml:space="preserve">Vale está </w:t>
      </w:r>
      <w:r>
        <w:rPr>
          <w:spacing w:val="10"/>
        </w:rPr>
        <w:t xml:space="preserve">implantando </w:t>
      </w:r>
      <w:r>
        <w:rPr>
          <w:spacing w:val="5"/>
        </w:rPr>
        <w:t xml:space="preserve">um </w:t>
      </w:r>
      <w:r>
        <w:rPr>
          <w:spacing w:val="10"/>
        </w:rPr>
        <w:t xml:space="preserve">segundo complexo </w:t>
      </w:r>
      <w:r>
        <w:rPr>
          <w:spacing w:val="12"/>
        </w:rPr>
        <w:t xml:space="preserve">de </w:t>
      </w:r>
      <w:r>
        <w:rPr>
          <w:spacing w:val="3"/>
        </w:rPr>
        <w:t xml:space="preserve">exploração </w:t>
      </w:r>
      <w:r>
        <w:rPr>
          <w:spacing w:val="1"/>
        </w:rPr>
        <w:t xml:space="preserve">de </w:t>
      </w:r>
      <w:r>
        <w:rPr>
          <w:spacing w:val="3"/>
        </w:rPr>
        <w:t>co</w:t>
      </w:r>
      <w:r>
        <w:rPr>
          <w:spacing w:val="3"/>
        </w:rPr>
        <w:t xml:space="preserve">bre </w:t>
      </w:r>
      <w:r>
        <w:rPr>
          <w:spacing w:val="1"/>
        </w:rPr>
        <w:t xml:space="preserve">na </w:t>
      </w:r>
      <w:r>
        <w:rPr>
          <w:spacing w:val="3"/>
        </w:rPr>
        <w:t xml:space="preserve">região </w:t>
      </w:r>
      <w:r>
        <w:rPr>
          <w:spacing w:val="1"/>
        </w:rPr>
        <w:t xml:space="preserve">do </w:t>
      </w:r>
      <w:r>
        <w:rPr>
          <w:spacing w:val="3"/>
        </w:rPr>
        <w:t>sudoeste paraense.</w:t>
      </w:r>
      <w:r>
        <w:rPr>
          <w:spacing w:val="55"/>
        </w:rPr>
        <w:t xml:space="preserve"> </w:t>
      </w:r>
      <w:r>
        <w:t>O</w:t>
      </w:r>
    </w:p>
    <w:p w:rsidR="00D81F69" w:rsidRDefault="00330118">
      <w:pPr>
        <w:pStyle w:val="Corpodetexto"/>
        <w:spacing w:before="81" w:line="312" w:lineRule="auto"/>
        <w:ind w:right="245"/>
      </w:pPr>
      <w:r>
        <w:br w:type="column"/>
      </w:r>
      <w:r>
        <w:lastRenderedPageBreak/>
        <w:t>Projeto Cristalino irá retirar o minério de uma mina localizada no município de Curionópolis, bem próximo de Canaã, que deve receber aproximadamente 4.500 pessoas, entre operários e seus familiares. Moradores, autorid</w:t>
      </w:r>
      <w:r>
        <w:t>ades e o Ministério Público do Pará cobram da empresa alguma forma de compensação socioambiental pelo impacto que o novo projeto irá gerar (CANAÃ DOS CARAJÁS, 2009).</w:t>
      </w:r>
    </w:p>
    <w:p w:rsidR="00D81F69" w:rsidRDefault="00330118">
      <w:pPr>
        <w:pStyle w:val="Corpodetexto"/>
        <w:spacing w:before="136" w:line="312" w:lineRule="auto"/>
        <w:ind w:right="235"/>
      </w:pPr>
      <w:r>
        <w:t>Nos próximos anos, a polêmica na região promete se acirrar, pois a Vale se prepara para ex</w:t>
      </w:r>
      <w:r>
        <w:t xml:space="preserve">plorar uma jazida de </w:t>
      </w:r>
      <w:r>
        <w:rPr>
          <w:spacing w:val="1"/>
        </w:rPr>
        <w:t xml:space="preserve">grande </w:t>
      </w:r>
      <w:r>
        <w:t xml:space="preserve">porte de minério de </w:t>
      </w:r>
      <w:hyperlink r:id="rId303">
        <w:r>
          <w:t xml:space="preserve">ferro </w:t>
        </w:r>
      </w:hyperlink>
      <w:r>
        <w:t xml:space="preserve">localizada na Serra Sul, na Floresta </w:t>
      </w:r>
      <w:r>
        <w:rPr>
          <w:spacing w:val="5"/>
        </w:rPr>
        <w:t xml:space="preserve">Nacional </w:t>
      </w:r>
      <w:r>
        <w:rPr>
          <w:spacing w:val="2"/>
        </w:rPr>
        <w:t xml:space="preserve">de </w:t>
      </w:r>
      <w:r>
        <w:rPr>
          <w:spacing w:val="5"/>
        </w:rPr>
        <w:t xml:space="preserve">Carajás, também </w:t>
      </w:r>
      <w:r>
        <w:rPr>
          <w:spacing w:val="2"/>
        </w:rPr>
        <w:t xml:space="preserve">em </w:t>
      </w:r>
      <w:r>
        <w:rPr>
          <w:spacing w:val="3"/>
        </w:rPr>
        <w:t xml:space="preserve">Canaã dos </w:t>
      </w:r>
      <w:r>
        <w:rPr>
          <w:spacing w:val="5"/>
        </w:rPr>
        <w:t xml:space="preserve">Carajás: </w:t>
      </w:r>
      <w:r>
        <w:t xml:space="preserve">o </w:t>
      </w:r>
      <w:r>
        <w:rPr>
          <w:spacing w:val="5"/>
        </w:rPr>
        <w:t xml:space="preserve">Projeto S11D. </w:t>
      </w:r>
      <w:r>
        <w:rPr>
          <w:spacing w:val="6"/>
        </w:rPr>
        <w:t xml:space="preserve">Trata-se </w:t>
      </w:r>
      <w:r>
        <w:rPr>
          <w:spacing w:val="3"/>
        </w:rPr>
        <w:t xml:space="preserve">do </w:t>
      </w:r>
      <w:r>
        <w:rPr>
          <w:spacing w:val="5"/>
        </w:rPr>
        <w:t xml:space="preserve">maior projeto </w:t>
      </w:r>
      <w:r>
        <w:rPr>
          <w:spacing w:val="3"/>
        </w:rPr>
        <w:t xml:space="preserve">da </w:t>
      </w:r>
      <w:r>
        <w:rPr>
          <w:spacing w:val="6"/>
        </w:rPr>
        <w:t xml:space="preserve">história </w:t>
      </w:r>
      <w:r>
        <w:rPr>
          <w:spacing w:val="7"/>
        </w:rPr>
        <w:t xml:space="preserve">da </w:t>
      </w:r>
      <w:r>
        <w:rPr>
          <w:spacing w:val="5"/>
        </w:rPr>
        <w:t xml:space="preserve">companhia </w:t>
      </w:r>
      <w:r>
        <w:t xml:space="preserve">e </w:t>
      </w:r>
      <w:r>
        <w:rPr>
          <w:spacing w:val="3"/>
        </w:rPr>
        <w:t xml:space="preserve">deve </w:t>
      </w:r>
      <w:r>
        <w:rPr>
          <w:spacing w:val="5"/>
        </w:rPr>
        <w:t xml:space="preserve">entrar </w:t>
      </w:r>
      <w:r>
        <w:rPr>
          <w:spacing w:val="2"/>
        </w:rPr>
        <w:t xml:space="preserve">em </w:t>
      </w:r>
      <w:r>
        <w:rPr>
          <w:spacing w:val="5"/>
        </w:rPr>
        <w:t xml:space="preserve">funcionamento </w:t>
      </w:r>
      <w:r>
        <w:rPr>
          <w:spacing w:val="2"/>
        </w:rPr>
        <w:t xml:space="preserve">em </w:t>
      </w:r>
      <w:r>
        <w:rPr>
          <w:spacing w:val="3"/>
        </w:rPr>
        <w:t xml:space="preserve">2014. </w:t>
      </w:r>
      <w:r>
        <w:t xml:space="preserve">A </w:t>
      </w:r>
      <w:r>
        <w:rPr>
          <w:spacing w:val="5"/>
        </w:rPr>
        <w:t xml:space="preserve">empresa </w:t>
      </w:r>
      <w:r>
        <w:rPr>
          <w:spacing w:val="3"/>
        </w:rPr>
        <w:t xml:space="preserve">irá </w:t>
      </w:r>
      <w:r>
        <w:rPr>
          <w:spacing w:val="5"/>
        </w:rPr>
        <w:t xml:space="preserve">investir </w:t>
      </w:r>
      <w:r>
        <w:rPr>
          <w:spacing w:val="3"/>
        </w:rPr>
        <w:t xml:space="preserve">US$ </w:t>
      </w:r>
      <w:r>
        <w:rPr>
          <w:spacing w:val="5"/>
        </w:rPr>
        <w:t xml:space="preserve">11,3 bilhões para produzir </w:t>
      </w:r>
      <w:r>
        <w:rPr>
          <w:spacing w:val="6"/>
        </w:rPr>
        <w:t xml:space="preserve">90 </w:t>
      </w:r>
      <w:r>
        <w:t xml:space="preserve">milhões de toneladas de minério de ferro por ano. O bloco da </w:t>
      </w:r>
      <w:r>
        <w:rPr>
          <w:spacing w:val="3"/>
        </w:rPr>
        <w:t xml:space="preserve">Serra Sul S11D </w:t>
      </w:r>
      <w:r>
        <w:t xml:space="preserve">é </w:t>
      </w:r>
      <w:r>
        <w:rPr>
          <w:spacing w:val="3"/>
        </w:rPr>
        <w:t xml:space="preserve">uma faixa </w:t>
      </w:r>
      <w:r>
        <w:rPr>
          <w:spacing w:val="2"/>
        </w:rPr>
        <w:t xml:space="preserve">de </w:t>
      </w:r>
      <w:r>
        <w:rPr>
          <w:spacing w:val="5"/>
        </w:rPr>
        <w:t xml:space="preserve">cordilheira </w:t>
      </w:r>
      <w:r>
        <w:rPr>
          <w:spacing w:val="2"/>
        </w:rPr>
        <w:t xml:space="preserve">de 30 km </w:t>
      </w:r>
      <w:r>
        <w:rPr>
          <w:spacing w:val="5"/>
        </w:rPr>
        <w:t>de</w:t>
      </w:r>
      <w:r>
        <w:rPr>
          <w:spacing w:val="61"/>
        </w:rPr>
        <w:t xml:space="preserve"> </w:t>
      </w:r>
      <w:r>
        <w:t>ex</w:t>
      </w:r>
      <w:r>
        <w:t>tensão por cerca de 1,8 km de largura (GÓES, 2011; VEJA, 2011).</w:t>
      </w:r>
    </w:p>
    <w:p w:rsidR="00D81F69" w:rsidRDefault="00330118">
      <w:pPr>
        <w:pStyle w:val="Corpodetexto"/>
        <w:spacing w:before="140" w:line="312" w:lineRule="auto"/>
        <w:ind w:right="228"/>
      </w:pPr>
      <w:r>
        <w:t>Entretanto, a existência de um conjunto de cavernas com vestígios arqueológicos milenares de ocupação humana na Amazônia é um impasse para a implementação imediata do projeto, pois a legislaçã</w:t>
      </w:r>
      <w:r>
        <w:t>o ambiental garante a preservação da área. Além disso, a Serra Sul se situa dentro da Floresta Nacional (Flona) de Carajás, unidade de proteção ambiental do governo gerida pelo Instituto Chico Mendes de Conservação da Biodiversidade (ICMBio) (VEJA, 2011).</w:t>
      </w:r>
    </w:p>
    <w:p w:rsidR="00D81F69" w:rsidRDefault="00D81F69">
      <w:pPr>
        <w:pStyle w:val="Corpodetexto"/>
        <w:spacing w:before="7"/>
        <w:ind w:left="0"/>
        <w:jc w:val="left"/>
        <w:rPr>
          <w:sz w:val="21"/>
        </w:rPr>
      </w:pPr>
    </w:p>
    <w:p w:rsidR="00D81F69" w:rsidRDefault="00330118">
      <w:pPr>
        <w:pStyle w:val="Heading7"/>
        <w:spacing w:before="1"/>
      </w:pPr>
      <w:r>
        <w:t>LOCALIZAÇÃO GEOGRÁFICA</w:t>
      </w:r>
    </w:p>
    <w:p w:rsidR="00D81F69" w:rsidRDefault="00330118">
      <w:pPr>
        <w:pStyle w:val="Corpodetexto"/>
        <w:spacing w:before="178" w:line="312" w:lineRule="auto"/>
        <w:ind w:right="251"/>
      </w:pPr>
      <w:r>
        <w:t>As ocorrências de cobre são denominadas Pium e Sossego e estão localizadas na sub-bacia do rio Parauapebas próximos ao canal principal. A sub-bacia do rio Parauapebas pertence à bacia do rio Itacaíunas que deságua na região da Ilha do Marajó. As minas se c</w:t>
      </w:r>
      <w:r>
        <w:t>oncentram entre as latitudes 6°32’46”S</w:t>
      </w:r>
    </w:p>
    <w:p w:rsidR="00D81F69" w:rsidRDefault="00330118">
      <w:pPr>
        <w:pStyle w:val="Corpodetexto"/>
        <w:spacing w:before="5"/>
      </w:pPr>
      <w:r>
        <w:t>– 6°23’2”S e longitudes 49°41’23”W – 50°16’57”W.</w:t>
      </w:r>
    </w:p>
    <w:p w:rsidR="00D81F69" w:rsidRDefault="00D81F69">
      <w:pPr>
        <w:pStyle w:val="Corpodetexto"/>
        <w:ind w:left="0"/>
        <w:jc w:val="left"/>
        <w:rPr>
          <w:sz w:val="20"/>
        </w:rPr>
      </w:pPr>
    </w:p>
    <w:p w:rsidR="00D81F69" w:rsidRDefault="00330118">
      <w:pPr>
        <w:pStyle w:val="Heading7"/>
        <w:spacing w:before="164"/>
      </w:pPr>
      <w:r>
        <w:t>REDATORES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237"/>
        <w:jc w:val="both"/>
        <w:rPr>
          <w:sz w:val="16"/>
        </w:rPr>
      </w:pPr>
      <w:r>
        <w:rPr>
          <w:sz w:val="16"/>
        </w:rPr>
        <w:t>ALMEIDA, Rogério. Carajás – interesses da Vale pressionam territórios de camponeses e indígenas. F</w:t>
      </w:r>
      <w:r>
        <w:rPr>
          <w:sz w:val="16"/>
        </w:rPr>
        <w:t xml:space="preserve">órum Carajás, 21 jul. 2010. Disponível </w:t>
      </w:r>
      <w:hyperlink r:id="rId304">
        <w:r>
          <w:rPr>
            <w:sz w:val="16"/>
          </w:rPr>
          <w:t xml:space="preserve">em:&lt;http://www.forumcarajas.org.br/&gt;. </w:t>
        </w:r>
      </w:hyperlink>
      <w:r>
        <w:rPr>
          <w:sz w:val="16"/>
        </w:rPr>
        <w:t>Acesso em: 23 ago. 2010.</w:t>
      </w:r>
    </w:p>
    <w:p w:rsidR="00D81F69" w:rsidRDefault="00330118">
      <w:pPr>
        <w:spacing w:before="3" w:line="312" w:lineRule="auto"/>
        <w:ind w:left="100" w:right="195"/>
        <w:jc w:val="both"/>
        <w:rPr>
          <w:sz w:val="16"/>
        </w:rPr>
      </w:pPr>
      <w:r>
        <w:rPr>
          <w:spacing w:val="3"/>
          <w:sz w:val="16"/>
        </w:rPr>
        <w:t xml:space="preserve">BERGERMAN, Maurício; DELBONI, Homero; NANKRAN, </w:t>
      </w:r>
      <w:r>
        <w:rPr>
          <w:spacing w:val="5"/>
          <w:sz w:val="16"/>
        </w:rPr>
        <w:t xml:space="preserve">Marco. </w:t>
      </w:r>
      <w:r>
        <w:rPr>
          <w:sz w:val="16"/>
        </w:rPr>
        <w:t>Estudo de variabilidade e otimização do circuito de</w:t>
      </w:r>
      <w:r>
        <w:rPr>
          <w:sz w:val="16"/>
        </w:rPr>
        <w:t xml:space="preserve"> moagem SAG da Usina do Sossego. Revista Escola de Minas, v. 62, n. 1, Ouro Preto </w:t>
      </w:r>
      <w:r>
        <w:rPr>
          <w:spacing w:val="33"/>
          <w:sz w:val="16"/>
        </w:rPr>
        <w:t xml:space="preserve">(MG), </w:t>
      </w:r>
      <w:r>
        <w:rPr>
          <w:spacing w:val="31"/>
          <w:sz w:val="16"/>
        </w:rPr>
        <w:t xml:space="preserve">jan. </w:t>
      </w:r>
      <w:r>
        <w:rPr>
          <w:sz w:val="16"/>
        </w:rPr>
        <w:t xml:space="preserve">- </w:t>
      </w:r>
      <w:r>
        <w:rPr>
          <w:spacing w:val="31"/>
          <w:sz w:val="16"/>
        </w:rPr>
        <w:t xml:space="preserve">mar. </w:t>
      </w:r>
      <w:r>
        <w:rPr>
          <w:spacing w:val="33"/>
          <w:sz w:val="16"/>
        </w:rPr>
        <w:t xml:space="preserve">2009. </w:t>
      </w:r>
      <w:r>
        <w:rPr>
          <w:spacing w:val="37"/>
          <w:sz w:val="16"/>
        </w:rPr>
        <w:t>Disponível</w:t>
      </w:r>
      <w:r>
        <w:rPr>
          <w:spacing w:val="36"/>
          <w:sz w:val="16"/>
        </w:rPr>
        <w:t xml:space="preserve"> </w:t>
      </w:r>
      <w:r>
        <w:rPr>
          <w:spacing w:val="27"/>
          <w:sz w:val="16"/>
        </w:rPr>
        <w:t>em:</w:t>
      </w:r>
      <w:r>
        <w:rPr>
          <w:spacing w:val="-1"/>
          <w:sz w:val="16"/>
        </w:rPr>
        <w:t xml:space="preserve"> </w:t>
      </w:r>
    </w:p>
    <w:p w:rsidR="00D81F69" w:rsidRDefault="00D81F69">
      <w:pPr>
        <w:spacing w:before="3" w:line="312" w:lineRule="auto"/>
        <w:ind w:left="100" w:right="215"/>
        <w:jc w:val="both"/>
        <w:rPr>
          <w:sz w:val="16"/>
        </w:rPr>
      </w:pPr>
      <w:hyperlink r:id="rId305">
        <w:r w:rsidR="00330118">
          <w:rPr>
            <w:sz w:val="16"/>
          </w:rPr>
          <w:t xml:space="preserve">&lt;http://www.scielo.br/scielo.php?pid=S0370- </w:t>
        </w:r>
      </w:hyperlink>
      <w:r w:rsidR="00330118">
        <w:rPr>
          <w:sz w:val="16"/>
        </w:rPr>
        <w:t>44672009000100013&amp;</w:t>
      </w:r>
      <w:r w:rsidR="00330118">
        <w:rPr>
          <w:sz w:val="16"/>
        </w:rPr>
        <w:t>script=sci_arttext&amp;tlng=pt&gt;. Acesso em: 17 ago. 2010.</w:t>
      </w:r>
    </w:p>
    <w:p w:rsidR="00D81F69" w:rsidRDefault="00330118">
      <w:pPr>
        <w:spacing w:before="3" w:line="312" w:lineRule="auto"/>
        <w:ind w:left="100" w:right="230"/>
        <w:jc w:val="both"/>
        <w:rPr>
          <w:sz w:val="16"/>
        </w:rPr>
      </w:pPr>
      <w:r>
        <w:rPr>
          <w:sz w:val="16"/>
        </w:rPr>
        <w:t>CABRAL, Eugênia Rosa; ENRÍQUEZ Maria Amélia Rodrigues da Silva; SANTOS, Dalva Vasconcelos. Canaã dos Carajás – do leite ao cobre: transformações estruturais do município após a implantação de uma grande</w:t>
      </w:r>
      <w:r>
        <w:rPr>
          <w:sz w:val="16"/>
        </w:rPr>
        <w:t xml:space="preserve"> mina. In: FERNANDES, Francisco Rego Chaves; ENRIQUEZ, Maria Amélia Rodrigues da Silva; ALAMINO, Renata de</w:t>
      </w:r>
    </w:p>
    <w:p w:rsidR="00D81F69" w:rsidRDefault="00330118">
      <w:pPr>
        <w:spacing w:before="4"/>
        <w:ind w:left="100"/>
        <w:jc w:val="both"/>
        <w:rPr>
          <w:sz w:val="16"/>
        </w:rPr>
      </w:pPr>
      <w:r>
        <w:rPr>
          <w:sz w:val="16"/>
        </w:rPr>
        <w:t>Carvalho Jimenez (Eds.). Recursos minerais e sustentabilidade</w:t>
      </w:r>
    </w:p>
    <w:p w:rsidR="00D81F69" w:rsidRDefault="00D81F69">
      <w:pPr>
        <w:jc w:val="both"/>
        <w:rPr>
          <w:sz w:val="16"/>
        </w:rPr>
        <w:sectPr w:rsidR="00D81F69">
          <w:pgSz w:w="11900" w:h="16840"/>
          <w:pgMar w:top="740" w:right="460" w:bottom="600" w:left="620" w:header="0" w:footer="402" w:gutter="0"/>
          <w:cols w:num="2" w:space="720" w:equalWidth="0">
            <w:col w:w="5164" w:space="306"/>
            <w:col w:w="5350"/>
          </w:cols>
        </w:sectPr>
      </w:pPr>
    </w:p>
    <w:p w:rsidR="00D81F69" w:rsidRDefault="00330118">
      <w:pPr>
        <w:tabs>
          <w:tab w:val="left" w:pos="4331"/>
        </w:tabs>
        <w:spacing w:before="70" w:line="312" w:lineRule="auto"/>
        <w:ind w:left="100" w:right="96"/>
        <w:jc w:val="both"/>
        <w:rPr>
          <w:sz w:val="16"/>
        </w:rPr>
      </w:pPr>
      <w:r>
        <w:rPr>
          <w:spacing w:val="3"/>
          <w:sz w:val="16"/>
        </w:rPr>
        <w:lastRenderedPageBreak/>
        <w:t xml:space="preserve">territorial. </w:t>
      </w:r>
      <w:r>
        <w:rPr>
          <w:spacing w:val="1"/>
          <w:sz w:val="16"/>
        </w:rPr>
        <w:t xml:space="preserve">v. 1, p. 39 </w:t>
      </w:r>
      <w:r>
        <w:rPr>
          <w:sz w:val="16"/>
        </w:rPr>
        <w:t xml:space="preserve">-  </w:t>
      </w:r>
      <w:r>
        <w:rPr>
          <w:spacing w:val="2"/>
          <w:sz w:val="16"/>
        </w:rPr>
        <w:t xml:space="preserve">68. Rio </w:t>
      </w:r>
      <w:r>
        <w:rPr>
          <w:spacing w:val="1"/>
          <w:sz w:val="16"/>
        </w:rPr>
        <w:t xml:space="preserve">de </w:t>
      </w:r>
      <w:r>
        <w:rPr>
          <w:spacing w:val="3"/>
          <w:sz w:val="16"/>
        </w:rPr>
        <w:t xml:space="preserve">Janeiro: CETEM/MCTI, </w:t>
      </w:r>
      <w:r>
        <w:rPr>
          <w:spacing w:val="5"/>
          <w:sz w:val="16"/>
        </w:rPr>
        <w:t xml:space="preserve">2011.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1"/>
        <w:ind w:left="100"/>
        <w:rPr>
          <w:sz w:val="16"/>
        </w:rPr>
      </w:pPr>
      <w:hyperlink r:id="rId306">
        <w:r w:rsidR="00330118">
          <w:rPr>
            <w:sz w:val="16"/>
          </w:rPr>
          <w:t>&lt;http://www.cetem.gov.br/publicacao/livros/Vol_1_GRANDES_MINAS</w:t>
        </w:r>
      </w:hyperlink>
    </w:p>
    <w:p w:rsidR="00D81F69" w:rsidRDefault="00330118">
      <w:pPr>
        <w:spacing w:before="56"/>
        <w:ind w:left="100"/>
        <w:rPr>
          <w:sz w:val="16"/>
        </w:rPr>
      </w:pPr>
      <w:r>
        <w:rPr>
          <w:sz w:val="16"/>
        </w:rPr>
        <w:t>_TOTAL.pdf&gt;. Ace</w:t>
      </w:r>
      <w:r>
        <w:rPr>
          <w:sz w:val="16"/>
        </w:rPr>
        <w:t>sso em: 26 nov. 2011.</w:t>
      </w:r>
    </w:p>
    <w:p w:rsidR="00D81F69" w:rsidRDefault="00330118">
      <w:pPr>
        <w:spacing w:before="56" w:line="312" w:lineRule="auto"/>
        <w:ind w:left="100" w:right="52"/>
        <w:jc w:val="both"/>
        <w:rPr>
          <w:sz w:val="16"/>
        </w:rPr>
      </w:pPr>
      <w:r>
        <w:rPr>
          <w:spacing w:val="3"/>
          <w:sz w:val="16"/>
        </w:rPr>
        <w:t xml:space="preserve">CANAÃ </w:t>
      </w:r>
      <w:r>
        <w:rPr>
          <w:spacing w:val="2"/>
          <w:sz w:val="16"/>
        </w:rPr>
        <w:t xml:space="preserve">DOS </w:t>
      </w:r>
      <w:r>
        <w:rPr>
          <w:spacing w:val="3"/>
          <w:sz w:val="16"/>
        </w:rPr>
        <w:t xml:space="preserve">CARAJÁS. Audiência pública </w:t>
      </w:r>
      <w:r>
        <w:rPr>
          <w:spacing w:val="2"/>
          <w:sz w:val="16"/>
        </w:rPr>
        <w:t xml:space="preserve">abre </w:t>
      </w:r>
      <w:r>
        <w:rPr>
          <w:spacing w:val="3"/>
          <w:sz w:val="16"/>
        </w:rPr>
        <w:t xml:space="preserve">discussões </w:t>
      </w:r>
      <w:r>
        <w:rPr>
          <w:spacing w:val="5"/>
          <w:sz w:val="16"/>
        </w:rPr>
        <w:t xml:space="preserve">do </w:t>
      </w:r>
      <w:r>
        <w:rPr>
          <w:spacing w:val="3"/>
          <w:sz w:val="16"/>
        </w:rPr>
        <w:t xml:space="preserve">Projeto Cristalino </w:t>
      </w:r>
      <w:r>
        <w:rPr>
          <w:spacing w:val="1"/>
          <w:sz w:val="16"/>
        </w:rPr>
        <w:t xml:space="preserve">da  </w:t>
      </w:r>
      <w:r>
        <w:rPr>
          <w:spacing w:val="3"/>
          <w:sz w:val="16"/>
        </w:rPr>
        <w:t xml:space="preserve">mineradora Vale. </w:t>
      </w:r>
      <w:r>
        <w:rPr>
          <w:spacing w:val="2"/>
          <w:sz w:val="16"/>
        </w:rPr>
        <w:t xml:space="preserve">Site </w:t>
      </w:r>
      <w:r>
        <w:rPr>
          <w:spacing w:val="3"/>
          <w:sz w:val="16"/>
        </w:rPr>
        <w:t xml:space="preserve">oficial </w:t>
      </w:r>
      <w:r>
        <w:rPr>
          <w:spacing w:val="1"/>
          <w:sz w:val="16"/>
        </w:rPr>
        <w:t xml:space="preserve">de  </w:t>
      </w:r>
      <w:r>
        <w:rPr>
          <w:spacing w:val="3"/>
          <w:sz w:val="16"/>
        </w:rPr>
        <w:t xml:space="preserve">Canaã </w:t>
      </w:r>
      <w:r>
        <w:rPr>
          <w:spacing w:val="5"/>
          <w:sz w:val="16"/>
        </w:rPr>
        <w:t xml:space="preserve">dos  </w:t>
      </w:r>
      <w:r>
        <w:rPr>
          <w:sz w:val="16"/>
        </w:rPr>
        <w:t>C a r a j á s , 2 0 a g o . 2 0 0 9 . D i s p o n í v e l e m</w:t>
      </w:r>
      <w:r>
        <w:rPr>
          <w:spacing w:val="-5"/>
          <w:sz w:val="16"/>
        </w:rPr>
        <w:t xml:space="preserve"> </w:t>
      </w:r>
      <w:r>
        <w:rPr>
          <w:sz w:val="16"/>
        </w:rPr>
        <w:t>:</w:t>
      </w:r>
      <w:r>
        <w:rPr>
          <w:spacing w:val="1"/>
          <w:sz w:val="16"/>
        </w:rPr>
        <w:t xml:space="preserve"> </w:t>
      </w:r>
    </w:p>
    <w:p w:rsidR="00D81F69" w:rsidRDefault="00D81F69">
      <w:pPr>
        <w:spacing w:before="3" w:line="312" w:lineRule="auto"/>
        <w:ind w:left="100" w:right="100"/>
        <w:jc w:val="both"/>
        <w:rPr>
          <w:sz w:val="16"/>
        </w:rPr>
      </w:pPr>
      <w:hyperlink r:id="rId307">
        <w:r w:rsidR="00330118">
          <w:rPr>
            <w:sz w:val="16"/>
          </w:rPr>
          <w:t>&lt;http://www.canaadoscarajas.pa.gov.br/news/2009-08-20-not-3.htm&gt;.</w:t>
        </w:r>
      </w:hyperlink>
      <w:r w:rsidR="00330118">
        <w:rPr>
          <w:sz w:val="16"/>
        </w:rPr>
        <w:t xml:space="preserve"> Acesso em: 26 nov. 2011.</w:t>
      </w:r>
    </w:p>
    <w:p w:rsidR="00D81F69" w:rsidRDefault="00330118">
      <w:pPr>
        <w:spacing w:before="1"/>
        <w:ind w:left="100"/>
        <w:rPr>
          <w:sz w:val="16"/>
        </w:rPr>
      </w:pPr>
      <w:r>
        <w:rPr>
          <w:sz w:val="16"/>
        </w:rPr>
        <w:t>CARVALHO, Luiz Maklouf. A Vale é verde? Adital, Fortaleza, 23 mar.</w:t>
      </w:r>
    </w:p>
    <w:p w:rsidR="00D81F69" w:rsidRDefault="00330118">
      <w:pPr>
        <w:tabs>
          <w:tab w:val="left" w:pos="1785"/>
          <w:tab w:val="left" w:pos="4548"/>
        </w:tabs>
        <w:spacing w:before="56"/>
        <w:ind w:left="100"/>
        <w:jc w:val="both"/>
        <w:rPr>
          <w:sz w:val="16"/>
        </w:rPr>
      </w:pPr>
      <w:r>
        <w:rPr>
          <w:sz w:val="16"/>
        </w:rPr>
        <w:t xml:space="preserve">2   0   0  </w:t>
      </w:r>
      <w:r>
        <w:rPr>
          <w:spacing w:val="35"/>
          <w:sz w:val="16"/>
        </w:rPr>
        <w:t xml:space="preserve"> </w:t>
      </w:r>
      <w:r>
        <w:rPr>
          <w:sz w:val="16"/>
        </w:rPr>
        <w:t xml:space="preserve">8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94"/>
        <w:jc w:val="both"/>
        <w:rPr>
          <w:sz w:val="16"/>
        </w:rPr>
      </w:pPr>
      <w:hyperlink r:id="rId308">
        <w:r w:rsidR="00330118">
          <w:rPr>
            <w:sz w:val="16"/>
          </w:rPr>
          <w:t>&lt;http://www.adital.com.br/site/noticia.asp?lang=PT&amp;cod=32287&gt;.</w:t>
        </w:r>
      </w:hyperlink>
      <w:r w:rsidR="00330118">
        <w:rPr>
          <w:sz w:val="16"/>
        </w:rPr>
        <w:t xml:space="preserve"> Acesso em: 31 ago. 2010.</w:t>
      </w:r>
    </w:p>
    <w:p w:rsidR="00D81F69" w:rsidRDefault="00330118">
      <w:pPr>
        <w:spacing w:before="2" w:line="312" w:lineRule="auto"/>
        <w:ind w:left="100" w:right="91"/>
        <w:jc w:val="both"/>
        <w:rPr>
          <w:sz w:val="16"/>
        </w:rPr>
      </w:pPr>
      <w:r>
        <w:rPr>
          <w:sz w:val="16"/>
        </w:rPr>
        <w:t>DUARTE, Luiscemir Leão; SILVA, Manoel do Carmo; MATHEUS, Vicente de Paulo. Canaã dos</w:t>
      </w:r>
      <w:r>
        <w:rPr>
          <w:sz w:val="16"/>
        </w:rPr>
        <w:t xml:space="preserve"> Carajás: a extração de cobre e ferro criou a cidade mais dinâmica do país, 2008. Disponível em:</w:t>
      </w:r>
    </w:p>
    <w:p w:rsidR="00D81F69" w:rsidRDefault="00D81F69">
      <w:pPr>
        <w:spacing w:before="3" w:line="312" w:lineRule="auto"/>
        <w:ind w:left="100" w:right="113"/>
        <w:jc w:val="both"/>
        <w:rPr>
          <w:sz w:val="16"/>
        </w:rPr>
      </w:pPr>
      <w:hyperlink r:id="rId309">
        <w:r w:rsidR="00330118">
          <w:rPr>
            <w:sz w:val="16"/>
          </w:rPr>
          <w:t>&lt;http://www.faad.icsa.ufpa.br/admead/documentos/uploaded/479-</w:t>
        </w:r>
      </w:hyperlink>
      <w:r w:rsidR="00330118">
        <w:rPr>
          <w:sz w:val="16"/>
        </w:rPr>
        <w:t xml:space="preserve"> 39.doc&gt;. Acesso em:</w:t>
      </w:r>
      <w:r w:rsidR="00330118">
        <w:rPr>
          <w:sz w:val="16"/>
        </w:rPr>
        <w:t xml:space="preserve"> 12 ago. 2010.</w:t>
      </w:r>
    </w:p>
    <w:p w:rsidR="00D81F69" w:rsidRDefault="00330118">
      <w:pPr>
        <w:spacing w:before="1" w:line="312" w:lineRule="auto"/>
        <w:ind w:left="100" w:right="99"/>
        <w:jc w:val="both"/>
        <w:rPr>
          <w:sz w:val="16"/>
        </w:rPr>
      </w:pPr>
      <w:r>
        <w:rPr>
          <w:sz w:val="16"/>
        </w:rPr>
        <w:t>FELIX, Gil Almeida. Desenraizamento social, superexploração do trabalho e mobilidade espacial no sudeste do Pará, XVI Encontro Nacional de Estudos Populacionais, Caxambu- MG, 29 set. - 03 out.</w:t>
      </w:r>
    </w:p>
    <w:p w:rsidR="00D81F69" w:rsidRDefault="00330118">
      <w:pPr>
        <w:tabs>
          <w:tab w:val="left" w:pos="1785"/>
          <w:tab w:val="left" w:pos="4548"/>
        </w:tabs>
        <w:spacing w:before="3"/>
        <w:ind w:left="100"/>
        <w:jc w:val="both"/>
        <w:rPr>
          <w:sz w:val="16"/>
        </w:rPr>
      </w:pPr>
      <w:r>
        <w:rPr>
          <w:sz w:val="16"/>
        </w:rPr>
        <w:t xml:space="preserve">2   0   0  </w:t>
      </w:r>
      <w:r>
        <w:rPr>
          <w:spacing w:val="35"/>
          <w:sz w:val="16"/>
        </w:rPr>
        <w:t xml:space="preserve"> </w:t>
      </w:r>
      <w:r>
        <w:rPr>
          <w:sz w:val="16"/>
        </w:rPr>
        <w:t xml:space="preserve">8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2"/>
          <w:sz w:val="16"/>
        </w:rPr>
        <w:t xml:space="preserve"> </w:t>
      </w:r>
      <w:r>
        <w:rPr>
          <w:sz w:val="16"/>
        </w:rPr>
        <w:t>:</w:t>
      </w:r>
    </w:p>
    <w:p w:rsidR="00D81F69" w:rsidRDefault="00D81F69">
      <w:pPr>
        <w:spacing w:before="56"/>
        <w:ind w:left="100"/>
        <w:rPr>
          <w:sz w:val="16"/>
        </w:rPr>
      </w:pPr>
      <w:hyperlink r:id="rId310">
        <w:r w:rsidR="00330118">
          <w:rPr>
            <w:sz w:val="16"/>
          </w:rPr>
          <w:t>&lt;http://www.abep.nepo.unicamp.br/encontro2008/docsPDF/abep2008</w:t>
        </w:r>
      </w:hyperlink>
    </w:p>
    <w:p w:rsidR="00D81F69" w:rsidRDefault="00330118">
      <w:pPr>
        <w:spacing w:before="56"/>
        <w:ind w:left="100"/>
        <w:rPr>
          <w:sz w:val="16"/>
        </w:rPr>
      </w:pPr>
      <w:r>
        <w:rPr>
          <w:sz w:val="16"/>
        </w:rPr>
        <w:t>_1296.pdf&gt;. Acesso em: 12 ago. 2010.</w:t>
      </w:r>
    </w:p>
    <w:p w:rsidR="00D81F69" w:rsidRDefault="00330118">
      <w:pPr>
        <w:spacing w:before="56" w:line="312" w:lineRule="auto"/>
        <w:ind w:left="100" w:right="83"/>
        <w:jc w:val="both"/>
        <w:rPr>
          <w:sz w:val="16"/>
        </w:rPr>
      </w:pPr>
      <w:r>
        <w:rPr>
          <w:sz w:val="16"/>
        </w:rPr>
        <w:t>GAZETA MERCANTIL. Vale fecha acordo com o Ibama e converte mu</w:t>
      </w:r>
      <w:r>
        <w:rPr>
          <w:sz w:val="16"/>
        </w:rPr>
        <w:t xml:space="preserve">lta. Gazeta Mercantil, Saneamento &amp; Meio Ambiente, p. A-9. In: Instituto Socioambiental, 22 jun. 2004. Disponível em: </w:t>
      </w:r>
    </w:p>
    <w:p w:rsidR="00D81F69" w:rsidRDefault="00D81F69">
      <w:pPr>
        <w:spacing w:before="2" w:line="312" w:lineRule="auto"/>
        <w:ind w:left="100" w:right="98"/>
        <w:jc w:val="both"/>
        <w:rPr>
          <w:sz w:val="16"/>
        </w:rPr>
      </w:pPr>
      <w:hyperlink r:id="rId311">
        <w:r w:rsidR="00330118">
          <w:rPr>
            <w:sz w:val="16"/>
          </w:rPr>
          <w:t xml:space="preserve">&lt;http://www.socioambiental.org/uc/1330/noticia/40257&gt;. </w:t>
        </w:r>
      </w:hyperlink>
      <w:r w:rsidR="00330118">
        <w:rPr>
          <w:sz w:val="16"/>
        </w:rPr>
        <w:t>Acesso em: 18</w:t>
      </w:r>
      <w:r w:rsidR="00330118">
        <w:rPr>
          <w:sz w:val="16"/>
        </w:rPr>
        <w:t xml:space="preserve"> ago. 2010.</w:t>
      </w:r>
    </w:p>
    <w:p w:rsidR="00D81F69" w:rsidRDefault="00330118">
      <w:pPr>
        <w:spacing w:before="2" w:line="312" w:lineRule="auto"/>
        <w:ind w:left="100" w:right="92"/>
        <w:jc w:val="both"/>
        <w:rPr>
          <w:sz w:val="16"/>
        </w:rPr>
      </w:pPr>
      <w:r>
        <w:rPr>
          <w:sz w:val="16"/>
        </w:rPr>
        <w:t xml:space="preserve">GÓES, Francisco. Vale importa tecnologia que tira caminhões de dentro das minas. Valor Econômico, São Paulo, 3 mar. 2011.  Disponível em: </w:t>
      </w:r>
      <w:hyperlink r:id="rId312">
        <w:r>
          <w:rPr>
            <w:sz w:val="16"/>
          </w:rPr>
          <w:t>&lt;http://www.valor.com.br/arquivo/875549/vale</w:t>
        </w:r>
        <w:r>
          <w:rPr>
            <w:sz w:val="16"/>
          </w:rPr>
          <w:t>-</w:t>
        </w:r>
      </w:hyperlink>
      <w:r>
        <w:rPr>
          <w:sz w:val="16"/>
        </w:rPr>
        <w:t xml:space="preserve"> importa-tecnologia-que-tira-caminhoes-de-dentro-das-minas&gt;. Acesso em: 25 nov. 2011.</w:t>
      </w:r>
    </w:p>
    <w:p w:rsidR="00D81F69" w:rsidRDefault="00330118">
      <w:pPr>
        <w:spacing w:before="4" w:line="312" w:lineRule="auto"/>
        <w:ind w:left="100" w:right="38"/>
        <w:jc w:val="both"/>
        <w:rPr>
          <w:sz w:val="16"/>
        </w:rPr>
      </w:pPr>
      <w:r>
        <w:rPr>
          <w:sz w:val="16"/>
        </w:rPr>
        <w:t xml:space="preserve">HB. Primeira mina de cobre da Vale completa cinco anos. Arara Azul  </w:t>
      </w:r>
      <w:r>
        <w:rPr>
          <w:spacing w:val="15"/>
          <w:sz w:val="16"/>
        </w:rPr>
        <w:t>F</w:t>
      </w:r>
      <w:r>
        <w:rPr>
          <w:sz w:val="16"/>
        </w:rPr>
        <w:t xml:space="preserve"> </w:t>
      </w:r>
      <w:r>
        <w:rPr>
          <w:spacing w:val="15"/>
          <w:sz w:val="16"/>
        </w:rPr>
        <w:t>M</w:t>
      </w:r>
      <w:r>
        <w:rPr>
          <w:sz w:val="16"/>
        </w:rPr>
        <w:t xml:space="preserve"> ,</w:t>
      </w:r>
      <w:r>
        <w:rPr>
          <w:spacing w:val="15"/>
          <w:sz w:val="16"/>
        </w:rPr>
        <w:t xml:space="preserve"> 0</w:t>
      </w:r>
      <w:r>
        <w:rPr>
          <w:sz w:val="16"/>
        </w:rPr>
        <w:t xml:space="preserve"> 3</w:t>
      </w:r>
      <w:r>
        <w:rPr>
          <w:spacing w:val="15"/>
          <w:sz w:val="16"/>
        </w:rPr>
        <w:t xml:space="preserve"> j</w:t>
      </w:r>
      <w:r>
        <w:rPr>
          <w:sz w:val="16"/>
        </w:rPr>
        <w:t xml:space="preserve"> </w:t>
      </w:r>
      <w:r>
        <w:rPr>
          <w:spacing w:val="15"/>
          <w:sz w:val="16"/>
        </w:rPr>
        <w:t>u</w:t>
      </w:r>
      <w:r>
        <w:rPr>
          <w:sz w:val="16"/>
        </w:rPr>
        <w:t xml:space="preserve"> </w:t>
      </w:r>
      <w:r>
        <w:rPr>
          <w:spacing w:val="15"/>
          <w:sz w:val="16"/>
        </w:rPr>
        <w:t>l</w:t>
      </w:r>
      <w:r>
        <w:rPr>
          <w:sz w:val="16"/>
        </w:rPr>
        <w:t xml:space="preserve"> .</w:t>
      </w:r>
      <w:r>
        <w:rPr>
          <w:spacing w:val="15"/>
          <w:sz w:val="16"/>
        </w:rPr>
        <w:t xml:space="preserve"> 2</w:t>
      </w:r>
      <w:r>
        <w:rPr>
          <w:sz w:val="16"/>
        </w:rPr>
        <w:t xml:space="preserve"> </w:t>
      </w:r>
      <w:r>
        <w:rPr>
          <w:spacing w:val="15"/>
          <w:sz w:val="16"/>
        </w:rPr>
        <w:t>0</w:t>
      </w:r>
      <w:r>
        <w:rPr>
          <w:sz w:val="16"/>
        </w:rPr>
        <w:t xml:space="preserve"> </w:t>
      </w:r>
      <w:r>
        <w:rPr>
          <w:spacing w:val="15"/>
          <w:sz w:val="16"/>
        </w:rPr>
        <w:t>0</w:t>
      </w:r>
      <w:r>
        <w:rPr>
          <w:sz w:val="16"/>
        </w:rPr>
        <w:t xml:space="preserve"> </w:t>
      </w:r>
      <w:r>
        <w:rPr>
          <w:spacing w:val="15"/>
          <w:sz w:val="16"/>
        </w:rPr>
        <w:t>9</w:t>
      </w:r>
      <w:r>
        <w:rPr>
          <w:sz w:val="16"/>
        </w:rPr>
        <w:t xml:space="preserve"> .</w:t>
      </w:r>
      <w:r>
        <w:rPr>
          <w:spacing w:val="15"/>
          <w:sz w:val="16"/>
        </w:rPr>
        <w:t xml:space="preserve"> D</w:t>
      </w:r>
      <w:r>
        <w:rPr>
          <w:sz w:val="16"/>
        </w:rPr>
        <w:t xml:space="preserve"> </w:t>
      </w:r>
      <w:r>
        <w:rPr>
          <w:spacing w:val="15"/>
          <w:sz w:val="16"/>
        </w:rPr>
        <w:t>i</w:t>
      </w:r>
      <w:r>
        <w:rPr>
          <w:sz w:val="16"/>
        </w:rPr>
        <w:t xml:space="preserve"> </w:t>
      </w:r>
      <w:r>
        <w:rPr>
          <w:spacing w:val="15"/>
          <w:sz w:val="16"/>
        </w:rPr>
        <w:t>s</w:t>
      </w:r>
      <w:r>
        <w:rPr>
          <w:sz w:val="16"/>
        </w:rPr>
        <w:t xml:space="preserve"> </w:t>
      </w:r>
      <w:r>
        <w:rPr>
          <w:spacing w:val="15"/>
          <w:sz w:val="16"/>
        </w:rPr>
        <w:t>p</w:t>
      </w:r>
      <w:r>
        <w:rPr>
          <w:sz w:val="16"/>
        </w:rPr>
        <w:t xml:space="preserve"> </w:t>
      </w:r>
      <w:r>
        <w:rPr>
          <w:spacing w:val="15"/>
          <w:sz w:val="16"/>
        </w:rPr>
        <w:t>o</w:t>
      </w:r>
      <w:r>
        <w:rPr>
          <w:sz w:val="16"/>
        </w:rPr>
        <w:t xml:space="preserve"> </w:t>
      </w:r>
      <w:r>
        <w:rPr>
          <w:spacing w:val="15"/>
          <w:sz w:val="16"/>
        </w:rPr>
        <w:t>n</w:t>
      </w:r>
      <w:r>
        <w:rPr>
          <w:sz w:val="16"/>
        </w:rPr>
        <w:t xml:space="preserve"> </w:t>
      </w:r>
      <w:r>
        <w:rPr>
          <w:spacing w:val="15"/>
          <w:sz w:val="16"/>
        </w:rPr>
        <w:t>í</w:t>
      </w:r>
      <w:r>
        <w:rPr>
          <w:sz w:val="16"/>
        </w:rPr>
        <w:t xml:space="preserve"> </w:t>
      </w:r>
      <w:r>
        <w:rPr>
          <w:spacing w:val="15"/>
          <w:sz w:val="16"/>
        </w:rPr>
        <w:t>v</w:t>
      </w:r>
      <w:r>
        <w:rPr>
          <w:sz w:val="16"/>
        </w:rPr>
        <w:t xml:space="preserve"> </w:t>
      </w:r>
      <w:r>
        <w:rPr>
          <w:spacing w:val="15"/>
          <w:sz w:val="16"/>
        </w:rPr>
        <w:t>e</w:t>
      </w:r>
      <w:r>
        <w:rPr>
          <w:sz w:val="16"/>
        </w:rPr>
        <w:t xml:space="preserve"> l</w:t>
      </w:r>
      <w:r>
        <w:rPr>
          <w:spacing w:val="15"/>
          <w:sz w:val="16"/>
        </w:rPr>
        <w:t xml:space="preserve"> e</w:t>
      </w:r>
      <w:r>
        <w:rPr>
          <w:sz w:val="16"/>
        </w:rPr>
        <w:t xml:space="preserve"> </w:t>
      </w:r>
      <w:r>
        <w:rPr>
          <w:spacing w:val="15"/>
          <w:sz w:val="16"/>
        </w:rPr>
        <w:t>m</w:t>
      </w:r>
      <w:r>
        <w:rPr>
          <w:sz w:val="16"/>
        </w:rPr>
        <w:t xml:space="preserve"> :</w:t>
      </w:r>
      <w:r>
        <w:rPr>
          <w:spacing w:val="16"/>
          <w:sz w:val="16"/>
        </w:rPr>
        <w:t xml:space="preserve"> </w:t>
      </w:r>
    </w:p>
    <w:p w:rsidR="00D81F69" w:rsidRDefault="00D81F69">
      <w:pPr>
        <w:spacing w:before="2" w:line="312" w:lineRule="auto"/>
        <w:ind w:left="100" w:right="117"/>
        <w:jc w:val="both"/>
        <w:rPr>
          <w:sz w:val="16"/>
        </w:rPr>
      </w:pPr>
      <w:hyperlink r:id="rId313">
        <w:r w:rsidR="00330118">
          <w:rPr>
            <w:sz w:val="16"/>
          </w:rPr>
          <w:t>&lt;http://www.araraazulfm.com.br/home.php?pag=noticias&amp;noticia=203</w:t>
        </w:r>
      </w:hyperlink>
      <w:r w:rsidR="00330118">
        <w:rPr>
          <w:sz w:val="16"/>
        </w:rPr>
        <w:t xml:space="preserve"> 6&gt;. Acesso em: 16 ago. 2010.</w:t>
      </w:r>
    </w:p>
    <w:p w:rsidR="00D81F69" w:rsidRDefault="00330118">
      <w:pPr>
        <w:spacing w:before="70" w:line="312" w:lineRule="auto"/>
        <w:ind w:left="100" w:right="234"/>
        <w:jc w:val="both"/>
        <w:rPr>
          <w:sz w:val="16"/>
        </w:rPr>
      </w:pPr>
      <w:r>
        <w:br w:type="column"/>
      </w:r>
      <w:r>
        <w:rPr>
          <w:sz w:val="16"/>
        </w:rPr>
        <w:lastRenderedPageBreak/>
        <w:t>IBAMA. Instituto Brasileiro do Meio Ambiente e dos Recursos Naturais Renovávei</w:t>
      </w:r>
      <w:r>
        <w:rPr>
          <w:sz w:val="16"/>
        </w:rPr>
        <w:t xml:space="preserve">s. Protocolo. Processo 02047.000455/2004-56. Ibama. Disponível em </w:t>
      </w:r>
      <w:hyperlink r:id="rId314">
        <w:r>
          <w:rPr>
            <w:sz w:val="16"/>
          </w:rPr>
          <w:t>&lt;http://www.ibama.gov.br/protocolo/proc_detalhe.php&gt;.</w:t>
        </w:r>
      </w:hyperlink>
      <w:r>
        <w:rPr>
          <w:sz w:val="16"/>
        </w:rPr>
        <w:t xml:space="preserve"> Acesso em: 13 mar. 2011.</w:t>
      </w:r>
    </w:p>
    <w:p w:rsidR="00D81F69" w:rsidRDefault="00330118">
      <w:pPr>
        <w:spacing w:before="3" w:line="312" w:lineRule="auto"/>
        <w:ind w:left="100" w:right="217"/>
        <w:jc w:val="both"/>
        <w:rPr>
          <w:sz w:val="16"/>
        </w:rPr>
      </w:pPr>
      <w:r>
        <w:rPr>
          <w:spacing w:val="3"/>
          <w:sz w:val="16"/>
        </w:rPr>
        <w:t xml:space="preserve">IBGE. Instituto Brasileiro </w:t>
      </w:r>
      <w:r>
        <w:rPr>
          <w:spacing w:val="1"/>
          <w:sz w:val="16"/>
        </w:rPr>
        <w:t xml:space="preserve">de </w:t>
      </w:r>
      <w:r>
        <w:rPr>
          <w:spacing w:val="3"/>
          <w:sz w:val="16"/>
        </w:rPr>
        <w:t xml:space="preserve">Geografia </w:t>
      </w:r>
      <w:r>
        <w:rPr>
          <w:sz w:val="16"/>
        </w:rPr>
        <w:t xml:space="preserve">e </w:t>
      </w:r>
      <w:r>
        <w:rPr>
          <w:spacing w:val="3"/>
          <w:sz w:val="16"/>
        </w:rPr>
        <w:t xml:space="preserve">Estatística. Canaã </w:t>
      </w:r>
      <w:r>
        <w:rPr>
          <w:spacing w:val="5"/>
          <w:sz w:val="16"/>
        </w:rPr>
        <w:t xml:space="preserve">dos </w:t>
      </w:r>
      <w:r>
        <w:rPr>
          <w:spacing w:val="20"/>
          <w:sz w:val="16"/>
        </w:rPr>
        <w:t xml:space="preserve">Carajás. </w:t>
      </w:r>
      <w:r>
        <w:rPr>
          <w:spacing w:val="15"/>
          <w:sz w:val="16"/>
        </w:rPr>
        <w:t>In:</w:t>
      </w:r>
      <w:r>
        <w:rPr>
          <w:spacing w:val="75"/>
          <w:sz w:val="16"/>
        </w:rPr>
        <w:t xml:space="preserve"> </w:t>
      </w:r>
      <w:r>
        <w:rPr>
          <w:spacing w:val="17"/>
          <w:sz w:val="16"/>
        </w:rPr>
        <w:t xml:space="preserve">IBGE </w:t>
      </w:r>
      <w:r>
        <w:rPr>
          <w:spacing w:val="20"/>
          <w:sz w:val="16"/>
        </w:rPr>
        <w:t xml:space="preserve">Cidades, 2010. </w:t>
      </w:r>
      <w:r>
        <w:rPr>
          <w:spacing w:val="21"/>
          <w:sz w:val="16"/>
        </w:rPr>
        <w:t>Disponível</w:t>
      </w:r>
      <w:r>
        <w:rPr>
          <w:spacing w:val="20"/>
          <w:sz w:val="16"/>
        </w:rPr>
        <w:t xml:space="preserve"> </w:t>
      </w:r>
      <w:r>
        <w:rPr>
          <w:spacing w:val="15"/>
          <w:sz w:val="16"/>
        </w:rPr>
        <w:t>em:</w:t>
      </w:r>
      <w:r>
        <w:rPr>
          <w:spacing w:val="-20"/>
          <w:sz w:val="16"/>
        </w:rPr>
        <w:t xml:space="preserve"> </w:t>
      </w:r>
    </w:p>
    <w:p w:rsidR="00D81F69" w:rsidRDefault="00D81F69">
      <w:pPr>
        <w:spacing w:before="2"/>
        <w:ind w:left="100"/>
        <w:rPr>
          <w:sz w:val="16"/>
        </w:rPr>
      </w:pPr>
      <w:hyperlink r:id="rId315">
        <w:r w:rsidR="00330118">
          <w:rPr>
            <w:sz w:val="16"/>
          </w:rPr>
          <w:t>&lt;http://www.ibge.gov.br/cidadesat/xtras/perfil.php?codmun=150215&amp;r</w:t>
        </w:r>
      </w:hyperlink>
    </w:p>
    <w:p w:rsidR="00D81F69" w:rsidRDefault="00330118">
      <w:pPr>
        <w:spacing w:before="56"/>
        <w:ind w:left="100"/>
        <w:rPr>
          <w:sz w:val="16"/>
        </w:rPr>
      </w:pPr>
      <w:r>
        <w:rPr>
          <w:sz w:val="16"/>
        </w:rPr>
        <w:t>=2&gt;. Acesso em: 13 mar. 2011.</w:t>
      </w:r>
    </w:p>
    <w:p w:rsidR="00D81F69" w:rsidRDefault="00330118">
      <w:pPr>
        <w:spacing w:before="56" w:line="312" w:lineRule="auto"/>
        <w:ind w:left="100" w:right="233"/>
        <w:jc w:val="both"/>
        <w:rPr>
          <w:sz w:val="16"/>
        </w:rPr>
      </w:pPr>
      <w:r>
        <w:rPr>
          <w:sz w:val="16"/>
        </w:rPr>
        <w:t>LUZ; Diogo Arantes P.; CORBETT, Julieta França; PETERSEN, Pedro Araujo. Projeto Saúde Canaã dos Carajás. 5º Prêmio Saúde Brasil, 2006. Disponível em:</w:t>
      </w:r>
    </w:p>
    <w:p w:rsidR="00D81F69" w:rsidRDefault="00D81F69">
      <w:pPr>
        <w:spacing w:before="2" w:line="312" w:lineRule="auto"/>
        <w:ind w:left="100" w:right="230"/>
        <w:jc w:val="both"/>
        <w:rPr>
          <w:sz w:val="16"/>
        </w:rPr>
      </w:pPr>
      <w:hyperlink r:id="rId316">
        <w:r w:rsidR="00330118">
          <w:rPr>
            <w:sz w:val="16"/>
          </w:rPr>
          <w:t>&lt;http://www.saudebrasilnet.com.</w:t>
        </w:r>
        <w:r w:rsidR="00330118">
          <w:rPr>
            <w:sz w:val="16"/>
          </w:rPr>
          <w:t>br/saude/trabalhos/017s.pdf&gt;.</w:t>
        </w:r>
      </w:hyperlink>
      <w:r w:rsidR="00330118">
        <w:rPr>
          <w:sz w:val="16"/>
        </w:rPr>
        <w:t xml:space="preserve"> Acesso em: 17 ago. 2010.</w:t>
      </w:r>
    </w:p>
    <w:p w:rsidR="00D81F69" w:rsidRDefault="00330118">
      <w:pPr>
        <w:spacing w:before="2"/>
        <w:ind w:left="100"/>
        <w:rPr>
          <w:sz w:val="16"/>
        </w:rPr>
      </w:pPr>
      <w:r>
        <w:rPr>
          <w:sz w:val="16"/>
        </w:rPr>
        <w:t>MILANEZ, Bruno; CHAMMAS, Danilo; BOSSI, Dario; MALERBA,</w:t>
      </w:r>
    </w:p>
    <w:p w:rsidR="00D81F69" w:rsidRDefault="00330118">
      <w:pPr>
        <w:spacing w:before="56" w:line="312" w:lineRule="auto"/>
        <w:ind w:left="100" w:right="220"/>
        <w:jc w:val="both"/>
        <w:rPr>
          <w:sz w:val="16"/>
        </w:rPr>
      </w:pPr>
      <w:r>
        <w:rPr>
          <w:sz w:val="16"/>
        </w:rPr>
        <w:t xml:space="preserve">Juliana; CASTURINO, Márcia. Impactos da mineração. In: Le Monde </w:t>
      </w:r>
      <w:r>
        <w:rPr>
          <w:spacing w:val="17"/>
          <w:sz w:val="16"/>
        </w:rPr>
        <w:t xml:space="preserve">Diplomatique  </w:t>
      </w:r>
      <w:r>
        <w:rPr>
          <w:sz w:val="16"/>
        </w:rPr>
        <w:t xml:space="preserve">–   </w:t>
      </w:r>
      <w:r>
        <w:rPr>
          <w:spacing w:val="16"/>
          <w:sz w:val="16"/>
        </w:rPr>
        <w:t xml:space="preserve">Brasil,  </w:t>
      </w:r>
      <w:r>
        <w:rPr>
          <w:spacing w:val="10"/>
          <w:sz w:val="16"/>
        </w:rPr>
        <w:t xml:space="preserve">10   </w:t>
      </w:r>
      <w:r>
        <w:rPr>
          <w:spacing w:val="15"/>
          <w:sz w:val="16"/>
        </w:rPr>
        <w:t xml:space="preserve">jul.   2010. </w:t>
      </w:r>
      <w:r>
        <w:rPr>
          <w:spacing w:val="75"/>
          <w:sz w:val="16"/>
        </w:rPr>
        <w:t xml:space="preserve"> </w:t>
      </w:r>
      <w:r>
        <w:rPr>
          <w:spacing w:val="17"/>
          <w:sz w:val="16"/>
        </w:rPr>
        <w:t>Disponível</w:t>
      </w:r>
      <w:r>
        <w:rPr>
          <w:spacing w:val="16"/>
          <w:sz w:val="16"/>
        </w:rPr>
        <w:t xml:space="preserve"> </w:t>
      </w:r>
      <w:r>
        <w:rPr>
          <w:spacing w:val="12"/>
          <w:sz w:val="16"/>
        </w:rPr>
        <w:t>em:</w:t>
      </w:r>
      <w:r>
        <w:rPr>
          <w:spacing w:val="-24"/>
          <w:sz w:val="16"/>
        </w:rPr>
        <w:t xml:space="preserve"> </w:t>
      </w:r>
    </w:p>
    <w:p w:rsidR="00D81F69" w:rsidRDefault="00D81F69">
      <w:pPr>
        <w:spacing w:before="1" w:line="312" w:lineRule="auto"/>
        <w:ind w:left="100" w:right="254"/>
        <w:jc w:val="both"/>
        <w:rPr>
          <w:sz w:val="16"/>
        </w:rPr>
      </w:pPr>
      <w:hyperlink r:id="rId317">
        <w:r w:rsidR="00330118">
          <w:rPr>
            <w:sz w:val="16"/>
          </w:rPr>
          <w:t xml:space="preserve">&lt;http://diplomatique.uol.com.br/artigo.php?id=733&gt;. </w:t>
        </w:r>
      </w:hyperlink>
      <w:r w:rsidR="00330118">
        <w:rPr>
          <w:sz w:val="16"/>
        </w:rPr>
        <w:t>Acesso em: 17 ago. 2010.</w:t>
      </w:r>
    </w:p>
    <w:p w:rsidR="00D81F69" w:rsidRDefault="00330118">
      <w:pPr>
        <w:spacing w:before="2" w:line="312" w:lineRule="auto"/>
        <w:ind w:left="100" w:right="190"/>
        <w:jc w:val="both"/>
        <w:rPr>
          <w:sz w:val="16"/>
        </w:rPr>
      </w:pPr>
      <w:r>
        <w:rPr>
          <w:sz w:val="16"/>
        </w:rPr>
        <w:t xml:space="preserve">O </w:t>
      </w:r>
      <w:r>
        <w:rPr>
          <w:spacing w:val="5"/>
          <w:sz w:val="16"/>
        </w:rPr>
        <w:t xml:space="preserve">ESTADO </w:t>
      </w:r>
      <w:r>
        <w:rPr>
          <w:spacing w:val="2"/>
          <w:sz w:val="16"/>
        </w:rPr>
        <w:t xml:space="preserve">DO </w:t>
      </w:r>
      <w:r>
        <w:rPr>
          <w:spacing w:val="5"/>
          <w:sz w:val="16"/>
        </w:rPr>
        <w:t xml:space="preserve">PARANÁ. </w:t>
      </w:r>
      <w:r>
        <w:rPr>
          <w:spacing w:val="3"/>
          <w:sz w:val="16"/>
        </w:rPr>
        <w:t xml:space="preserve">Vale </w:t>
      </w:r>
      <w:r>
        <w:rPr>
          <w:spacing w:val="2"/>
          <w:sz w:val="16"/>
        </w:rPr>
        <w:t xml:space="preserve">do </w:t>
      </w:r>
      <w:r>
        <w:rPr>
          <w:spacing w:val="3"/>
          <w:sz w:val="16"/>
        </w:rPr>
        <w:t xml:space="preserve">Rio Doce </w:t>
      </w:r>
      <w:r>
        <w:rPr>
          <w:spacing w:val="5"/>
          <w:sz w:val="16"/>
        </w:rPr>
        <w:t xml:space="preserve">multada </w:t>
      </w:r>
      <w:r>
        <w:rPr>
          <w:spacing w:val="2"/>
          <w:sz w:val="16"/>
        </w:rPr>
        <w:t xml:space="preserve">em R$ </w:t>
      </w:r>
      <w:r>
        <w:rPr>
          <w:sz w:val="16"/>
        </w:rPr>
        <w:t xml:space="preserve">2 </w:t>
      </w:r>
      <w:r>
        <w:rPr>
          <w:spacing w:val="1"/>
          <w:sz w:val="16"/>
        </w:rPr>
        <w:t xml:space="preserve">milhões </w:t>
      </w:r>
      <w:r>
        <w:rPr>
          <w:sz w:val="16"/>
        </w:rPr>
        <w:t xml:space="preserve">por </w:t>
      </w:r>
      <w:r>
        <w:rPr>
          <w:spacing w:val="1"/>
          <w:sz w:val="16"/>
        </w:rPr>
        <w:t xml:space="preserve">danos </w:t>
      </w:r>
      <w:r>
        <w:rPr>
          <w:sz w:val="16"/>
        </w:rPr>
        <w:t xml:space="preserve">em </w:t>
      </w:r>
      <w:r>
        <w:rPr>
          <w:spacing w:val="1"/>
          <w:sz w:val="16"/>
        </w:rPr>
        <w:t xml:space="preserve">Carajás. </w:t>
      </w:r>
      <w:r>
        <w:rPr>
          <w:sz w:val="16"/>
        </w:rPr>
        <w:t xml:space="preserve">In:  </w:t>
      </w:r>
      <w:r>
        <w:rPr>
          <w:spacing w:val="1"/>
          <w:sz w:val="16"/>
        </w:rPr>
        <w:t xml:space="preserve">Paraná </w:t>
      </w:r>
      <w:r>
        <w:rPr>
          <w:sz w:val="16"/>
        </w:rPr>
        <w:t xml:space="preserve">On  </w:t>
      </w:r>
      <w:r>
        <w:rPr>
          <w:spacing w:val="1"/>
          <w:sz w:val="16"/>
        </w:rPr>
        <w:t xml:space="preserve">line, </w:t>
      </w:r>
      <w:r>
        <w:rPr>
          <w:sz w:val="16"/>
        </w:rPr>
        <w:t xml:space="preserve">30  </w:t>
      </w:r>
      <w:r>
        <w:rPr>
          <w:spacing w:val="1"/>
          <w:sz w:val="16"/>
        </w:rPr>
        <w:t xml:space="preserve">mai. </w:t>
      </w:r>
      <w:r>
        <w:rPr>
          <w:spacing w:val="2"/>
          <w:sz w:val="16"/>
        </w:rPr>
        <w:t xml:space="preserve">2004.  </w:t>
      </w:r>
      <w:r>
        <w:rPr>
          <w:spacing w:val="20"/>
          <w:sz w:val="16"/>
        </w:rPr>
        <w:t>D</w:t>
      </w:r>
      <w:r>
        <w:rPr>
          <w:sz w:val="16"/>
        </w:rPr>
        <w:t xml:space="preserve"> </w:t>
      </w:r>
      <w:r>
        <w:rPr>
          <w:spacing w:val="20"/>
          <w:sz w:val="16"/>
        </w:rPr>
        <w:t>i</w:t>
      </w:r>
      <w:r>
        <w:rPr>
          <w:sz w:val="16"/>
        </w:rPr>
        <w:t xml:space="preserve"> </w:t>
      </w:r>
      <w:r>
        <w:rPr>
          <w:spacing w:val="20"/>
          <w:sz w:val="16"/>
        </w:rPr>
        <w:t>s</w:t>
      </w:r>
      <w:r>
        <w:rPr>
          <w:sz w:val="16"/>
        </w:rPr>
        <w:t xml:space="preserve"> </w:t>
      </w:r>
      <w:r>
        <w:rPr>
          <w:spacing w:val="20"/>
          <w:sz w:val="16"/>
        </w:rPr>
        <w:t>p</w:t>
      </w:r>
      <w:r>
        <w:rPr>
          <w:sz w:val="16"/>
        </w:rPr>
        <w:t xml:space="preserve"> </w:t>
      </w:r>
      <w:r>
        <w:rPr>
          <w:spacing w:val="20"/>
          <w:sz w:val="16"/>
        </w:rPr>
        <w:t>o</w:t>
      </w:r>
      <w:r>
        <w:rPr>
          <w:sz w:val="16"/>
        </w:rPr>
        <w:t xml:space="preserve"> </w:t>
      </w:r>
      <w:r>
        <w:rPr>
          <w:spacing w:val="20"/>
          <w:sz w:val="16"/>
        </w:rPr>
        <w:t>n</w:t>
      </w:r>
      <w:r>
        <w:rPr>
          <w:sz w:val="16"/>
        </w:rPr>
        <w:t xml:space="preserve"> </w:t>
      </w:r>
      <w:r>
        <w:rPr>
          <w:spacing w:val="20"/>
          <w:sz w:val="16"/>
        </w:rPr>
        <w:t>í</w:t>
      </w:r>
      <w:r>
        <w:rPr>
          <w:sz w:val="16"/>
        </w:rPr>
        <w:t xml:space="preserve"> </w:t>
      </w:r>
      <w:r>
        <w:rPr>
          <w:spacing w:val="20"/>
          <w:sz w:val="16"/>
        </w:rPr>
        <w:t>v</w:t>
      </w:r>
      <w:r>
        <w:rPr>
          <w:sz w:val="16"/>
        </w:rPr>
        <w:t xml:space="preserve"> </w:t>
      </w:r>
      <w:r>
        <w:rPr>
          <w:spacing w:val="20"/>
          <w:sz w:val="16"/>
        </w:rPr>
        <w:t>e</w:t>
      </w:r>
      <w:r>
        <w:rPr>
          <w:sz w:val="16"/>
        </w:rPr>
        <w:t xml:space="preserve"> l</w:t>
      </w:r>
      <w:r>
        <w:rPr>
          <w:spacing w:val="22"/>
          <w:sz w:val="16"/>
        </w:rPr>
        <w:t xml:space="preserve"> </w:t>
      </w:r>
      <w:r>
        <w:rPr>
          <w:spacing w:val="20"/>
          <w:sz w:val="16"/>
        </w:rPr>
        <w:t>e</w:t>
      </w:r>
      <w:r>
        <w:rPr>
          <w:sz w:val="16"/>
        </w:rPr>
        <w:t xml:space="preserve"> </w:t>
      </w:r>
      <w:r>
        <w:rPr>
          <w:spacing w:val="20"/>
          <w:sz w:val="16"/>
        </w:rPr>
        <w:t>m</w:t>
      </w:r>
      <w:r>
        <w:rPr>
          <w:sz w:val="16"/>
        </w:rPr>
        <w:t xml:space="preserve"> :</w:t>
      </w:r>
      <w:r>
        <w:rPr>
          <w:spacing w:val="22"/>
          <w:sz w:val="16"/>
        </w:rPr>
        <w:t xml:space="preserve"> </w:t>
      </w:r>
      <w:r>
        <w:rPr>
          <w:spacing w:val="20"/>
          <w:sz w:val="16"/>
        </w:rPr>
        <w:t>&lt;</w:t>
      </w:r>
      <w:r>
        <w:rPr>
          <w:sz w:val="16"/>
        </w:rPr>
        <w:t xml:space="preserve"> </w:t>
      </w:r>
      <w:r>
        <w:rPr>
          <w:spacing w:val="20"/>
          <w:sz w:val="16"/>
        </w:rPr>
        <w:t>h</w:t>
      </w:r>
      <w:r>
        <w:rPr>
          <w:sz w:val="16"/>
        </w:rPr>
        <w:t xml:space="preserve"> </w:t>
      </w:r>
      <w:r>
        <w:rPr>
          <w:spacing w:val="20"/>
          <w:sz w:val="16"/>
        </w:rPr>
        <w:t>t</w:t>
      </w:r>
      <w:r>
        <w:rPr>
          <w:sz w:val="16"/>
        </w:rPr>
        <w:t xml:space="preserve"> </w:t>
      </w:r>
      <w:r>
        <w:rPr>
          <w:spacing w:val="20"/>
          <w:sz w:val="16"/>
        </w:rPr>
        <w:t>t</w:t>
      </w:r>
      <w:r>
        <w:rPr>
          <w:sz w:val="16"/>
        </w:rPr>
        <w:t xml:space="preserve"> </w:t>
      </w:r>
      <w:r>
        <w:rPr>
          <w:spacing w:val="20"/>
          <w:sz w:val="16"/>
        </w:rPr>
        <w:t>p</w:t>
      </w:r>
      <w:r>
        <w:rPr>
          <w:sz w:val="16"/>
        </w:rPr>
        <w:t xml:space="preserve"> </w:t>
      </w:r>
      <w:r>
        <w:rPr>
          <w:spacing w:val="20"/>
          <w:sz w:val="16"/>
        </w:rPr>
        <w:t>:</w:t>
      </w:r>
      <w:r>
        <w:rPr>
          <w:sz w:val="16"/>
        </w:rPr>
        <w:t xml:space="preserve"> </w:t>
      </w:r>
      <w:r>
        <w:rPr>
          <w:spacing w:val="20"/>
          <w:sz w:val="16"/>
        </w:rPr>
        <w:t>/</w:t>
      </w:r>
      <w:r>
        <w:rPr>
          <w:sz w:val="16"/>
        </w:rPr>
        <w:t xml:space="preserve"> </w:t>
      </w:r>
      <w:r>
        <w:rPr>
          <w:spacing w:val="20"/>
          <w:sz w:val="16"/>
        </w:rPr>
        <w:t>/</w:t>
      </w:r>
      <w:r>
        <w:rPr>
          <w:sz w:val="16"/>
        </w:rPr>
        <w:t xml:space="preserve"> </w:t>
      </w:r>
      <w:r>
        <w:rPr>
          <w:spacing w:val="20"/>
          <w:sz w:val="16"/>
        </w:rPr>
        <w:t>w</w:t>
      </w:r>
      <w:r>
        <w:rPr>
          <w:sz w:val="16"/>
        </w:rPr>
        <w:t xml:space="preserve"> </w:t>
      </w:r>
      <w:r>
        <w:rPr>
          <w:spacing w:val="20"/>
          <w:sz w:val="16"/>
        </w:rPr>
        <w:t>w</w:t>
      </w:r>
      <w:r>
        <w:rPr>
          <w:sz w:val="16"/>
        </w:rPr>
        <w:t xml:space="preserve"> </w:t>
      </w:r>
      <w:r>
        <w:rPr>
          <w:spacing w:val="20"/>
          <w:sz w:val="16"/>
        </w:rPr>
        <w:t>w</w:t>
      </w:r>
      <w:r>
        <w:rPr>
          <w:sz w:val="16"/>
        </w:rPr>
        <w:t xml:space="preserve"> </w:t>
      </w:r>
      <w:r>
        <w:rPr>
          <w:spacing w:val="20"/>
          <w:sz w:val="16"/>
        </w:rPr>
        <w:t>.</w:t>
      </w:r>
      <w:r>
        <w:rPr>
          <w:sz w:val="16"/>
        </w:rPr>
        <w:t xml:space="preserve"> </w:t>
      </w:r>
      <w:r>
        <w:rPr>
          <w:spacing w:val="20"/>
          <w:sz w:val="16"/>
        </w:rPr>
        <w:t>p</w:t>
      </w:r>
      <w:r>
        <w:rPr>
          <w:sz w:val="16"/>
        </w:rPr>
        <w:t xml:space="preserve"> </w:t>
      </w:r>
      <w:r>
        <w:rPr>
          <w:spacing w:val="20"/>
          <w:sz w:val="16"/>
        </w:rPr>
        <w:t>a</w:t>
      </w:r>
      <w:r>
        <w:rPr>
          <w:sz w:val="16"/>
        </w:rPr>
        <w:t xml:space="preserve"> </w:t>
      </w:r>
      <w:r>
        <w:rPr>
          <w:spacing w:val="20"/>
          <w:sz w:val="16"/>
        </w:rPr>
        <w:t>r</w:t>
      </w:r>
      <w:r>
        <w:rPr>
          <w:sz w:val="16"/>
        </w:rPr>
        <w:t xml:space="preserve"> </w:t>
      </w:r>
      <w:r>
        <w:rPr>
          <w:spacing w:val="20"/>
          <w:sz w:val="16"/>
        </w:rPr>
        <w:t>a</w:t>
      </w:r>
      <w:r>
        <w:rPr>
          <w:sz w:val="16"/>
        </w:rPr>
        <w:t xml:space="preserve"> </w:t>
      </w:r>
      <w:r>
        <w:rPr>
          <w:spacing w:val="20"/>
          <w:sz w:val="16"/>
        </w:rPr>
        <w:t>n</w:t>
      </w:r>
      <w:r>
        <w:rPr>
          <w:sz w:val="16"/>
        </w:rPr>
        <w:t xml:space="preserve"> </w:t>
      </w:r>
      <w:r>
        <w:rPr>
          <w:spacing w:val="20"/>
          <w:sz w:val="16"/>
        </w:rPr>
        <w:t>a</w:t>
      </w:r>
      <w:r>
        <w:rPr>
          <w:sz w:val="16"/>
        </w:rPr>
        <w:t xml:space="preserve"> - </w:t>
      </w:r>
      <w:r>
        <w:rPr>
          <w:spacing w:val="1"/>
          <w:sz w:val="16"/>
        </w:rPr>
        <w:t xml:space="preserve">online.com.br/editoria/cidades/news/83388/&gt;. Acesso </w:t>
      </w:r>
      <w:r>
        <w:rPr>
          <w:sz w:val="16"/>
        </w:rPr>
        <w:t xml:space="preserve">em: 17 </w:t>
      </w:r>
      <w:r>
        <w:rPr>
          <w:spacing w:val="2"/>
          <w:sz w:val="16"/>
        </w:rPr>
        <w:t>ago. 2010.</w:t>
      </w:r>
    </w:p>
    <w:p w:rsidR="00D81F69" w:rsidRDefault="00330118">
      <w:pPr>
        <w:spacing w:before="4" w:line="312" w:lineRule="auto"/>
        <w:ind w:left="100" w:right="231"/>
        <w:jc w:val="both"/>
        <w:rPr>
          <w:sz w:val="16"/>
        </w:rPr>
      </w:pPr>
      <w:r>
        <w:rPr>
          <w:sz w:val="16"/>
        </w:rPr>
        <w:t>SOUZA, Rebeca; MIRANDA, Elaine. O processo de formação de novos territórios na Amazônia: o caso de Canaã dos Carajás. Universidade Federal do Pará. Belém do Pará, 2009. Disponível em:</w:t>
      </w:r>
    </w:p>
    <w:p w:rsidR="00D81F69" w:rsidRDefault="00D81F69">
      <w:pPr>
        <w:spacing w:before="3" w:line="312" w:lineRule="auto"/>
        <w:ind w:left="100" w:right="253"/>
        <w:jc w:val="both"/>
        <w:rPr>
          <w:sz w:val="16"/>
        </w:rPr>
      </w:pPr>
      <w:hyperlink r:id="rId318">
        <w:r w:rsidR="00330118">
          <w:rPr>
            <w:sz w:val="16"/>
          </w:rPr>
          <w:t xml:space="preserve">&lt;www.agb.org.br/evento/download.php?idTrabalho=3819&gt;. </w:t>
        </w:r>
      </w:hyperlink>
      <w:r w:rsidR="00330118">
        <w:rPr>
          <w:sz w:val="16"/>
        </w:rPr>
        <w:t>Acesso em: 17 ago. 2010.</w:t>
      </w:r>
    </w:p>
    <w:p w:rsidR="00D81F69" w:rsidRDefault="00330118">
      <w:pPr>
        <w:tabs>
          <w:tab w:val="left" w:pos="1099"/>
          <w:tab w:val="left" w:pos="2185"/>
          <w:tab w:val="left" w:pos="3131"/>
          <w:tab w:val="left" w:pos="4720"/>
        </w:tabs>
        <w:spacing w:before="1"/>
        <w:ind w:left="100"/>
        <w:rPr>
          <w:sz w:val="16"/>
        </w:rPr>
      </w:pPr>
      <w:r>
        <w:rPr>
          <w:spacing w:val="12"/>
          <w:sz w:val="16"/>
        </w:rPr>
        <w:t>V A L</w:t>
      </w:r>
      <w:r>
        <w:rPr>
          <w:spacing w:val="-25"/>
          <w:sz w:val="16"/>
        </w:rPr>
        <w:t xml:space="preserve"> </w:t>
      </w:r>
      <w:r>
        <w:rPr>
          <w:spacing w:val="12"/>
          <w:sz w:val="16"/>
        </w:rPr>
        <w:t>E</w:t>
      </w:r>
      <w:r>
        <w:rPr>
          <w:sz w:val="16"/>
        </w:rPr>
        <w:t xml:space="preserve"> .</w:t>
      </w:r>
      <w:r>
        <w:rPr>
          <w:sz w:val="16"/>
        </w:rPr>
        <w:tab/>
      </w:r>
      <w:r>
        <w:rPr>
          <w:spacing w:val="12"/>
          <w:sz w:val="16"/>
        </w:rPr>
        <w:t>C</w:t>
      </w:r>
      <w:r>
        <w:rPr>
          <w:sz w:val="16"/>
        </w:rPr>
        <w:t xml:space="preserve"> </w:t>
      </w:r>
      <w:r>
        <w:rPr>
          <w:spacing w:val="12"/>
          <w:sz w:val="16"/>
        </w:rPr>
        <w:t>o</w:t>
      </w:r>
      <w:r>
        <w:rPr>
          <w:sz w:val="16"/>
        </w:rPr>
        <w:t xml:space="preserve"> </w:t>
      </w:r>
      <w:r>
        <w:rPr>
          <w:spacing w:val="12"/>
          <w:sz w:val="16"/>
        </w:rPr>
        <w:t>b</w:t>
      </w:r>
      <w:r>
        <w:rPr>
          <w:sz w:val="16"/>
        </w:rPr>
        <w:t xml:space="preserve"> </w:t>
      </w:r>
      <w:r>
        <w:rPr>
          <w:spacing w:val="12"/>
          <w:sz w:val="16"/>
        </w:rPr>
        <w:t>r</w:t>
      </w:r>
      <w:r>
        <w:rPr>
          <w:sz w:val="16"/>
        </w:rPr>
        <w:t xml:space="preserve"> </w:t>
      </w:r>
      <w:r>
        <w:rPr>
          <w:spacing w:val="12"/>
          <w:sz w:val="16"/>
        </w:rPr>
        <w:t>e</w:t>
      </w:r>
      <w:r>
        <w:rPr>
          <w:sz w:val="16"/>
        </w:rPr>
        <w:t xml:space="preserve"> ,</w:t>
      </w:r>
      <w:r>
        <w:rPr>
          <w:sz w:val="16"/>
        </w:rPr>
        <w:tab/>
      </w:r>
      <w:r>
        <w:rPr>
          <w:spacing w:val="12"/>
          <w:sz w:val="16"/>
        </w:rPr>
        <w:t>2 0 1</w:t>
      </w:r>
      <w:r>
        <w:rPr>
          <w:spacing w:val="-25"/>
          <w:sz w:val="16"/>
        </w:rPr>
        <w:t xml:space="preserve"> </w:t>
      </w:r>
      <w:r>
        <w:rPr>
          <w:spacing w:val="12"/>
          <w:sz w:val="16"/>
        </w:rPr>
        <w:t>0</w:t>
      </w:r>
      <w:r>
        <w:rPr>
          <w:sz w:val="16"/>
        </w:rPr>
        <w:t xml:space="preserve"> .</w:t>
      </w:r>
      <w:r>
        <w:rPr>
          <w:sz w:val="16"/>
        </w:rPr>
        <w:tab/>
      </w:r>
      <w:r>
        <w:rPr>
          <w:spacing w:val="12"/>
          <w:sz w:val="16"/>
        </w:rPr>
        <w:t>D</w:t>
      </w:r>
      <w:r>
        <w:rPr>
          <w:sz w:val="16"/>
        </w:rPr>
        <w:t xml:space="preserve"> </w:t>
      </w:r>
      <w:r>
        <w:rPr>
          <w:spacing w:val="12"/>
          <w:sz w:val="16"/>
        </w:rPr>
        <w:t>i</w:t>
      </w:r>
      <w:r>
        <w:rPr>
          <w:sz w:val="16"/>
        </w:rPr>
        <w:t xml:space="preserve"> </w:t>
      </w:r>
      <w:r>
        <w:rPr>
          <w:spacing w:val="12"/>
          <w:sz w:val="16"/>
        </w:rPr>
        <w:t>s</w:t>
      </w:r>
      <w:r>
        <w:rPr>
          <w:sz w:val="16"/>
        </w:rPr>
        <w:t xml:space="preserve"> </w:t>
      </w:r>
      <w:r>
        <w:rPr>
          <w:spacing w:val="12"/>
          <w:sz w:val="16"/>
        </w:rPr>
        <w:t>p</w:t>
      </w:r>
      <w:r>
        <w:rPr>
          <w:sz w:val="16"/>
        </w:rPr>
        <w:t xml:space="preserve"> </w:t>
      </w:r>
      <w:r>
        <w:rPr>
          <w:spacing w:val="12"/>
          <w:sz w:val="16"/>
        </w:rPr>
        <w:t>o</w:t>
      </w:r>
      <w:r>
        <w:rPr>
          <w:sz w:val="16"/>
        </w:rPr>
        <w:t xml:space="preserve"> </w:t>
      </w:r>
      <w:r>
        <w:rPr>
          <w:spacing w:val="12"/>
          <w:sz w:val="16"/>
        </w:rPr>
        <w:t>n</w:t>
      </w:r>
      <w:r>
        <w:rPr>
          <w:sz w:val="16"/>
        </w:rPr>
        <w:t xml:space="preserve"> </w:t>
      </w:r>
      <w:r>
        <w:rPr>
          <w:spacing w:val="12"/>
          <w:sz w:val="16"/>
        </w:rPr>
        <w:t>í</w:t>
      </w:r>
      <w:r>
        <w:rPr>
          <w:sz w:val="16"/>
        </w:rPr>
        <w:t xml:space="preserve"> </w:t>
      </w:r>
      <w:r>
        <w:rPr>
          <w:spacing w:val="12"/>
          <w:sz w:val="16"/>
        </w:rPr>
        <w:t>v</w:t>
      </w:r>
      <w:r>
        <w:rPr>
          <w:sz w:val="16"/>
        </w:rPr>
        <w:t xml:space="preserve"> </w:t>
      </w:r>
      <w:r>
        <w:rPr>
          <w:spacing w:val="12"/>
          <w:sz w:val="16"/>
        </w:rPr>
        <w:t>e</w:t>
      </w:r>
      <w:r>
        <w:rPr>
          <w:sz w:val="16"/>
        </w:rPr>
        <w:t xml:space="preserve"> l</w:t>
      </w:r>
      <w:r>
        <w:rPr>
          <w:sz w:val="16"/>
        </w:rPr>
        <w:tab/>
      </w:r>
      <w:r>
        <w:rPr>
          <w:spacing w:val="12"/>
          <w:sz w:val="16"/>
        </w:rPr>
        <w:t>e m</w:t>
      </w:r>
      <w:r>
        <w:rPr>
          <w:spacing w:val="-13"/>
          <w:sz w:val="16"/>
        </w:rPr>
        <w:t xml:space="preserve"> </w:t>
      </w:r>
      <w:r>
        <w:rPr>
          <w:sz w:val="16"/>
        </w:rPr>
        <w:t>:</w:t>
      </w:r>
      <w:r>
        <w:rPr>
          <w:spacing w:val="13"/>
          <w:sz w:val="16"/>
        </w:rPr>
        <w:t xml:space="preserve"> </w:t>
      </w:r>
    </w:p>
    <w:p w:rsidR="00D81F69" w:rsidRDefault="00D81F69">
      <w:pPr>
        <w:spacing w:before="56" w:line="312" w:lineRule="auto"/>
        <w:ind w:left="100" w:right="235"/>
        <w:jc w:val="both"/>
        <w:rPr>
          <w:sz w:val="16"/>
        </w:rPr>
      </w:pPr>
      <w:hyperlink r:id="rId319">
        <w:r w:rsidR="00330118">
          <w:rPr>
            <w:sz w:val="16"/>
          </w:rPr>
          <w:t>&lt;http://www.vale.com.br/vale/cgi/cgilua.exe/sys/start.htm?sid=44&gt;.</w:t>
        </w:r>
      </w:hyperlink>
      <w:r w:rsidR="00330118">
        <w:rPr>
          <w:sz w:val="16"/>
        </w:rPr>
        <w:t xml:space="preserve"> Acesso em: 12 ago. 2010.</w:t>
      </w:r>
    </w:p>
    <w:p w:rsidR="00D81F69" w:rsidRDefault="00330118">
      <w:pPr>
        <w:spacing w:before="2" w:line="312" w:lineRule="auto"/>
        <w:ind w:left="100" w:right="182"/>
        <w:jc w:val="both"/>
        <w:rPr>
          <w:sz w:val="16"/>
        </w:rPr>
      </w:pPr>
      <w:r>
        <w:rPr>
          <w:spacing w:val="3"/>
          <w:sz w:val="16"/>
        </w:rPr>
        <w:t xml:space="preserve">VEJA. Conjunto </w:t>
      </w:r>
      <w:r>
        <w:rPr>
          <w:spacing w:val="1"/>
          <w:sz w:val="16"/>
        </w:rPr>
        <w:t xml:space="preserve">de  </w:t>
      </w:r>
      <w:r>
        <w:rPr>
          <w:spacing w:val="3"/>
          <w:sz w:val="16"/>
        </w:rPr>
        <w:t xml:space="preserve">cavernas impede </w:t>
      </w:r>
      <w:r>
        <w:rPr>
          <w:spacing w:val="2"/>
          <w:sz w:val="16"/>
        </w:rPr>
        <w:t xml:space="preserve">Vale  </w:t>
      </w:r>
      <w:r>
        <w:rPr>
          <w:spacing w:val="1"/>
          <w:sz w:val="16"/>
        </w:rPr>
        <w:t xml:space="preserve">de  </w:t>
      </w:r>
      <w:r>
        <w:rPr>
          <w:spacing w:val="3"/>
          <w:sz w:val="16"/>
        </w:rPr>
        <w:t xml:space="preserve">explorar ferro. </w:t>
      </w:r>
      <w:r>
        <w:rPr>
          <w:spacing w:val="5"/>
          <w:sz w:val="16"/>
        </w:rPr>
        <w:t xml:space="preserve">São </w:t>
      </w:r>
      <w:r>
        <w:rPr>
          <w:spacing w:val="10"/>
          <w:sz w:val="16"/>
        </w:rPr>
        <w:t xml:space="preserve">P a u l o </w:t>
      </w:r>
      <w:r>
        <w:rPr>
          <w:sz w:val="16"/>
        </w:rPr>
        <w:t xml:space="preserve">, 2 </w:t>
      </w:r>
      <w:r>
        <w:rPr>
          <w:spacing w:val="10"/>
          <w:sz w:val="16"/>
        </w:rPr>
        <w:t xml:space="preserve">n o v </w:t>
      </w:r>
      <w:r>
        <w:rPr>
          <w:sz w:val="16"/>
        </w:rPr>
        <w:t xml:space="preserve">. </w:t>
      </w:r>
      <w:r>
        <w:rPr>
          <w:spacing w:val="10"/>
          <w:sz w:val="16"/>
        </w:rPr>
        <w:t xml:space="preserve">2 0 1 1 </w:t>
      </w:r>
      <w:r>
        <w:rPr>
          <w:sz w:val="16"/>
        </w:rPr>
        <w:t xml:space="preserve">. </w:t>
      </w:r>
      <w:r>
        <w:rPr>
          <w:spacing w:val="10"/>
          <w:sz w:val="16"/>
        </w:rPr>
        <w:t xml:space="preserve">D i s p o n í v e </w:t>
      </w:r>
      <w:r>
        <w:rPr>
          <w:sz w:val="16"/>
        </w:rPr>
        <w:t>l</w:t>
      </w:r>
      <w:r>
        <w:rPr>
          <w:spacing w:val="17"/>
          <w:sz w:val="16"/>
        </w:rPr>
        <w:t xml:space="preserve"> </w:t>
      </w:r>
      <w:r>
        <w:rPr>
          <w:spacing w:val="10"/>
          <w:sz w:val="16"/>
        </w:rPr>
        <w:t xml:space="preserve">e m </w:t>
      </w:r>
      <w:r>
        <w:rPr>
          <w:sz w:val="16"/>
        </w:rPr>
        <w:t>:</w:t>
      </w:r>
      <w:r>
        <w:rPr>
          <w:spacing w:val="10"/>
          <w:sz w:val="16"/>
        </w:rPr>
        <w:t xml:space="preserve"> </w:t>
      </w:r>
    </w:p>
    <w:p w:rsidR="00D81F69" w:rsidRDefault="00D81F69">
      <w:pPr>
        <w:spacing w:before="1" w:line="312" w:lineRule="auto"/>
        <w:ind w:left="100" w:right="250"/>
        <w:jc w:val="both"/>
        <w:rPr>
          <w:sz w:val="16"/>
        </w:rPr>
      </w:pPr>
      <w:hyperlink r:id="rId320">
        <w:r w:rsidR="00330118">
          <w:rPr>
            <w:sz w:val="16"/>
          </w:rPr>
          <w:t>&lt;http://veja.abril.com.br/noticia/economia/conjunto-de-cavernas-</w:t>
        </w:r>
      </w:hyperlink>
      <w:r w:rsidR="00330118">
        <w:rPr>
          <w:sz w:val="16"/>
        </w:rPr>
        <w:t xml:space="preserve"> impede-vale-de-explorar-ferro &gt;. Acesso em: 26 nov. 2011.</w:t>
      </w:r>
    </w:p>
    <w:p w:rsidR="00D81F69" w:rsidRDefault="00D81F69">
      <w:pPr>
        <w:spacing w:line="312" w:lineRule="auto"/>
        <w:jc w:val="both"/>
        <w:rPr>
          <w:sz w:val="16"/>
        </w:rPr>
        <w:sectPr w:rsidR="00D81F69">
          <w:pgSz w:w="11900" w:h="16840"/>
          <w:pgMar w:top="740" w:right="460" w:bottom="720" w:left="620" w:header="0" w:footer="402" w:gutter="0"/>
          <w:cols w:num="2" w:space="720" w:equalWidth="0">
            <w:col w:w="5212" w:space="258"/>
            <w:col w:w="5350"/>
          </w:cols>
        </w:sectPr>
      </w:pPr>
    </w:p>
    <w:p w:rsidR="00D81F69" w:rsidRDefault="00330118">
      <w:pPr>
        <w:pStyle w:val="Heading1"/>
        <w:tabs>
          <w:tab w:val="left" w:pos="2667"/>
          <w:tab w:val="left" w:pos="2889"/>
          <w:tab w:val="left" w:pos="3367"/>
          <w:tab w:val="left" w:pos="4823"/>
          <w:tab w:val="left" w:pos="5523"/>
          <w:tab w:val="left" w:pos="5834"/>
          <w:tab w:val="left" w:pos="6645"/>
          <w:tab w:val="left" w:pos="6734"/>
          <w:tab w:val="left" w:pos="7546"/>
          <w:tab w:val="left" w:pos="9336"/>
          <w:tab w:val="left" w:pos="9569"/>
        </w:tabs>
        <w:spacing w:line="208" w:lineRule="auto"/>
        <w:ind w:right="236"/>
      </w:pPr>
      <w:bookmarkStart w:id="28" w:name="_TOC_250005"/>
      <w:r>
        <w:rPr>
          <w:spacing w:val="17"/>
        </w:rPr>
        <w:lastRenderedPageBreak/>
        <w:t>Exploração</w:t>
      </w:r>
      <w:r>
        <w:rPr>
          <w:spacing w:val="17"/>
        </w:rPr>
        <w:tab/>
      </w:r>
      <w:r>
        <w:rPr>
          <w:spacing w:val="10"/>
        </w:rPr>
        <w:t>de</w:t>
      </w:r>
      <w:r>
        <w:rPr>
          <w:spacing w:val="10"/>
        </w:rPr>
        <w:tab/>
      </w:r>
      <w:r>
        <w:rPr>
          <w:spacing w:val="15"/>
        </w:rPr>
        <w:t>minas</w:t>
      </w:r>
      <w:r>
        <w:rPr>
          <w:spacing w:val="15"/>
        </w:rPr>
        <w:tab/>
      </w:r>
      <w:r>
        <w:rPr>
          <w:spacing w:val="10"/>
        </w:rPr>
        <w:t>de</w:t>
      </w:r>
      <w:r>
        <w:rPr>
          <w:spacing w:val="10"/>
        </w:rPr>
        <w:tab/>
      </w:r>
      <w:r>
        <w:rPr>
          <w:spacing w:val="15"/>
        </w:rPr>
        <w:t>ferro</w:t>
      </w:r>
      <w:r>
        <w:rPr>
          <w:spacing w:val="15"/>
        </w:rPr>
        <w:tab/>
      </w:r>
      <w:r>
        <w:rPr>
          <w:spacing w:val="15"/>
        </w:rPr>
        <w:tab/>
      </w:r>
      <w:r>
        <w:rPr>
          <w:spacing w:val="10"/>
        </w:rPr>
        <w:t>em</w:t>
      </w:r>
      <w:r>
        <w:rPr>
          <w:spacing w:val="10"/>
        </w:rPr>
        <w:tab/>
      </w:r>
      <w:r>
        <w:rPr>
          <w:spacing w:val="17"/>
        </w:rPr>
        <w:t>Carajás</w:t>
      </w:r>
      <w:r>
        <w:rPr>
          <w:spacing w:val="17"/>
        </w:rPr>
        <w:tab/>
      </w:r>
      <w:r>
        <w:rPr>
          <w:spacing w:val="20"/>
        </w:rPr>
        <w:t xml:space="preserve">causa </w:t>
      </w:r>
      <w:r>
        <w:rPr>
          <w:spacing w:val="18"/>
        </w:rPr>
        <w:t>crescimento</w:t>
      </w:r>
      <w:r>
        <w:rPr>
          <w:spacing w:val="18"/>
        </w:rPr>
        <w:tab/>
      </w:r>
      <w:r>
        <w:rPr>
          <w:spacing w:val="18"/>
        </w:rPr>
        <w:tab/>
        <w:t>desordenado</w:t>
      </w:r>
      <w:r>
        <w:rPr>
          <w:spacing w:val="18"/>
        </w:rPr>
        <w:tab/>
      </w:r>
      <w:r>
        <w:rPr>
          <w:spacing w:val="10"/>
        </w:rPr>
        <w:t>em</w:t>
      </w:r>
      <w:r>
        <w:rPr>
          <w:spacing w:val="10"/>
        </w:rPr>
        <w:tab/>
      </w:r>
      <w:r>
        <w:rPr>
          <w:spacing w:val="18"/>
        </w:rPr>
        <w:t>Parauapebas</w:t>
      </w:r>
      <w:r>
        <w:rPr>
          <w:spacing w:val="18"/>
        </w:rPr>
        <w:tab/>
      </w:r>
      <w:bookmarkEnd w:id="28"/>
      <w:r>
        <w:rPr>
          <w:spacing w:val="20"/>
        </w:rPr>
        <w:t>(PA)</w:t>
      </w:r>
    </w:p>
    <w:p w:rsidR="00D81F69" w:rsidRDefault="00D81F69">
      <w:pPr>
        <w:pStyle w:val="Corpodetexto"/>
        <w:ind w:left="0"/>
        <w:jc w:val="left"/>
        <w:rPr>
          <w:b/>
          <w:sz w:val="20"/>
        </w:rPr>
      </w:pPr>
    </w:p>
    <w:p w:rsidR="00D81F69" w:rsidRDefault="00D81F69">
      <w:pPr>
        <w:rPr>
          <w:sz w:val="20"/>
        </w:rPr>
        <w:sectPr w:rsidR="00D81F69">
          <w:pgSz w:w="11900" w:h="16840"/>
          <w:pgMar w:top="1080" w:right="46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PA - Parauapebas</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-6,2177</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-50,0994</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9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Com o objetivo de explorar os recursos minerais presentes em Carajás, o governo brasileiro elaborou o Projeto Grande Carajás (PGC). As minas da Serra dos Carajás localizam-se no município de Parauapebas (PA) e são exploradas pela Vale. Apesar de o municípi</w:t>
      </w:r>
      <w:r>
        <w:rPr>
          <w:i/>
          <w:sz w:val="16"/>
        </w:rPr>
        <w:t xml:space="preserve">o ter um dos três maiores orçamentos do estado, devido aos royalties e impostos gerados pelas atividades da Vale em seu território, sofre com o crescimento desordenado e outros impactos socioambientais gerados pela exploração mineral. </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9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46"/>
      </w:pPr>
      <w:r>
        <w:t>Carajás (EFC), a</w:t>
      </w:r>
      <w:r>
        <w:t xml:space="preserve"> Hidrelétrica de Tucuruí, o Projeto Trombetas e a Alunorte (LAMOSO, 2001). A consolidação do PFC teve como principal exigência a construção de um sistema integrado mina-ferrovia-porto no sudeste paraense (VALE apud VERDE, 2009).</w:t>
      </w:r>
    </w:p>
    <w:p w:rsidR="00D81F69" w:rsidRDefault="00330118">
      <w:pPr>
        <w:pStyle w:val="Corpodetexto"/>
        <w:spacing w:before="134" w:line="312" w:lineRule="auto"/>
        <w:ind w:left="135" w:right="240"/>
      </w:pPr>
      <w:r>
        <w:t>Do total do minério de ferr</w:t>
      </w:r>
      <w:r>
        <w:t>o presente em Carajás, 6 bilhões de toneladas encontram-se na Serra Norte, região selecionada primeiramente para a lavra, devido à maior facilidade para o acesso ferroviário e ao baixo teor de substâncias contaminantes. A Norte-4-Este (N4E), nome da mina s</w:t>
      </w:r>
      <w:r>
        <w:t>ituada na Serra Norte, possui 1,2 bilhões de toneladas de reserva mineral lavrável e é caracterizada por custos de produção menores (SAMPAIO; JULIANELLI; PENNA; 2002).</w:t>
      </w:r>
    </w:p>
    <w:p w:rsidR="00D81F69" w:rsidRDefault="00330118">
      <w:pPr>
        <w:pStyle w:val="Corpodetexto"/>
        <w:spacing w:before="138"/>
        <w:ind w:left="135"/>
      </w:pPr>
      <w:r>
        <w:t>Apesar de trazer divisas para os estados do Pará e do</w:t>
      </w:r>
    </w:p>
    <w:p w:rsidR="00D81F69" w:rsidRDefault="00D81F69">
      <w:pPr>
        <w:sectPr w:rsidR="00D81F69">
          <w:type w:val="continuous"/>
          <w:pgSz w:w="11900" w:h="16840"/>
          <w:pgMar w:top="720" w:right="460" w:bottom="280" w:left="620" w:header="720" w:footer="720" w:gutter="0"/>
          <w:cols w:num="3" w:space="720" w:equalWidth="0">
            <w:col w:w="1320" w:space="680"/>
            <w:col w:w="3129" w:space="306"/>
            <w:col w:w="5385"/>
          </w:cols>
        </w:sectPr>
      </w:pPr>
    </w:p>
    <w:p w:rsidR="00D81F69" w:rsidRDefault="00330118">
      <w:pPr>
        <w:pStyle w:val="Heading4"/>
        <w:spacing w:before="166"/>
      </w:pPr>
      <w:r>
        <w:lastRenderedPageBreak/>
        <w:t>APRESENTAÇÃO DE CASO</w:t>
      </w:r>
    </w:p>
    <w:p w:rsidR="00D81F69" w:rsidRDefault="00330118">
      <w:pPr>
        <w:pStyle w:val="Corpodetexto"/>
        <w:spacing w:before="171" w:line="312" w:lineRule="auto"/>
        <w:ind w:right="48"/>
      </w:pPr>
      <w:r>
        <w:t xml:space="preserve">Em função da forte demanda internacional, o Brasil superou, em 2010, apenas com a venda externa de minério de </w:t>
      </w:r>
      <w:hyperlink r:id="rId321">
        <w:r>
          <w:t xml:space="preserve">ferro, </w:t>
        </w:r>
      </w:hyperlink>
      <w:r>
        <w:t>a cifra de US$ 20 bilhões. D</w:t>
      </w:r>
      <w:r>
        <w:t>e acordo com a Vale, a empresa respondeu por 80% desse total (BRASIL MINERAL, 2011).</w:t>
      </w:r>
    </w:p>
    <w:p w:rsidR="00D81F69" w:rsidRDefault="00330118">
      <w:pPr>
        <w:pStyle w:val="Corpodetexto"/>
        <w:spacing w:before="133" w:line="312" w:lineRule="auto"/>
        <w:ind w:right="45"/>
      </w:pPr>
      <w:r>
        <w:t>As reservas medidas de ferro no Brasil situam o país em quinto lugar em relação às reservas mundiais. Entretanto, considerando-se o teor de ferro encontrado no minério, ou</w:t>
      </w:r>
      <w:r>
        <w:t xml:space="preserve"> seja, sua qualidade, o Brasil assume posição de destaque, especialmente com o minério encontrado na Serra dos Carajás, no Pará (DNPM apud OLIVEIRA, 2008).</w:t>
      </w:r>
    </w:p>
    <w:p w:rsidR="00D81F69" w:rsidRDefault="00330118">
      <w:pPr>
        <w:pStyle w:val="Corpodetexto"/>
        <w:spacing w:before="136" w:line="312" w:lineRule="auto"/>
        <w:ind w:right="38"/>
      </w:pPr>
      <w:r>
        <w:t>Localizada no município de Parauapebas, entre os rios Itacaiúnas e Parauapebas (CUNHA JR.; ATZINGEN;</w:t>
      </w:r>
      <w:r>
        <w:t xml:space="preserve"> CRESCENCIO, 2007), a Serra dos Carajás é considerada a maior jazida de minério de ferro do planeta (SAMPAIO; JULIANELLI; PENNA, 2002), com produção anual de 110 milhões de toneladas (POLONI, 2010b), suficiente para garantir suprimento por 250 anos (SAMPAI</w:t>
      </w:r>
      <w:r>
        <w:t>O; JULIANELLI; PENNA, 2002). Por essas características, é considerada uma “Província Mineral” (CHAVES apud FRANKLIN, 2008).</w:t>
      </w:r>
    </w:p>
    <w:p w:rsidR="00D81F69" w:rsidRDefault="00330118">
      <w:pPr>
        <w:pStyle w:val="Corpodetexto"/>
        <w:spacing w:before="138" w:line="312" w:lineRule="auto"/>
        <w:ind w:right="43"/>
      </w:pPr>
      <w:r>
        <w:t>As minas de ferro da Serra dos Carajás foram descobertas na década de 1960 (POLONI, 2010a). Pesquisas geológicas posteriores comprov</w:t>
      </w:r>
      <w:r>
        <w:t>aram o alto teor dos 18 bilhões de toneladas de minério de ferro da região (66% de ferro). Dessa quantidade, 13 bilhões de toneladas consistiam em reservas com possibilidade de lavra (CETEM, 2002 apud VERDE, 2009).</w:t>
      </w:r>
    </w:p>
    <w:p w:rsidR="00D81F69" w:rsidRDefault="00330118">
      <w:pPr>
        <w:pStyle w:val="Corpodetexto"/>
        <w:spacing w:before="74" w:line="270" w:lineRule="atLeast"/>
        <w:ind w:right="49"/>
      </w:pPr>
      <w:r>
        <w:t>Para explorar os recursos minerais presen</w:t>
      </w:r>
      <w:r>
        <w:t>tes em Carajás, o governo brasileiro elaborou o Projeto Grande Carajás (PGC). A iniciativa consistiu na junção de alguns programas em prol do desenvolvimento do espaço que atualmente configura o arco do desmatamento na Amazônia Legal, sendo o principal o</w:t>
      </w:r>
      <w:r>
        <w:rPr>
          <w:spacing w:val="15"/>
        </w:rPr>
        <w:t xml:space="preserve"> </w:t>
      </w:r>
      <w:r>
        <w:t>P</w:t>
      </w:r>
      <w:r>
        <w:t>rojeto</w:t>
      </w:r>
      <w:r>
        <w:rPr>
          <w:spacing w:val="15"/>
        </w:rPr>
        <w:t xml:space="preserve"> </w:t>
      </w:r>
      <w:r>
        <w:t>Ferro</w:t>
      </w:r>
      <w:r>
        <w:rPr>
          <w:spacing w:val="15"/>
        </w:rPr>
        <w:t xml:space="preserve"> </w:t>
      </w:r>
      <w:r>
        <w:t>Carajás</w:t>
      </w:r>
      <w:r>
        <w:rPr>
          <w:spacing w:val="15"/>
        </w:rPr>
        <w:t xml:space="preserve"> </w:t>
      </w:r>
      <w:r>
        <w:t>(PFC),</w:t>
      </w:r>
      <w:r>
        <w:rPr>
          <w:spacing w:val="15"/>
        </w:rPr>
        <w:t xml:space="preserve"> </w:t>
      </w:r>
      <w:r>
        <w:t>que</w:t>
      </w:r>
      <w:r>
        <w:rPr>
          <w:spacing w:val="15"/>
        </w:rPr>
        <w:t xml:space="preserve"> </w:t>
      </w:r>
      <w:r>
        <w:t>inclui</w:t>
      </w:r>
      <w:r>
        <w:rPr>
          <w:spacing w:val="15"/>
        </w:rPr>
        <w:t xml:space="preserve"> </w:t>
      </w:r>
      <w:r>
        <w:t>a</w:t>
      </w:r>
      <w:r>
        <w:rPr>
          <w:spacing w:val="15"/>
        </w:rPr>
        <w:t xml:space="preserve"> </w:t>
      </w:r>
      <w:r>
        <w:t>Estrada</w:t>
      </w:r>
      <w:r>
        <w:rPr>
          <w:spacing w:val="15"/>
        </w:rPr>
        <w:t xml:space="preserve"> </w:t>
      </w:r>
      <w:r>
        <w:t>de</w:t>
      </w:r>
      <w:r>
        <w:rPr>
          <w:spacing w:val="15"/>
        </w:rPr>
        <w:t xml:space="preserve"> </w:t>
      </w:r>
      <w:r>
        <w:t>Ferro</w:t>
      </w:r>
    </w:p>
    <w:p w:rsidR="00D81F69" w:rsidRDefault="00330118">
      <w:pPr>
        <w:pStyle w:val="Corpodetexto"/>
        <w:spacing w:before="63" w:line="312" w:lineRule="auto"/>
        <w:ind w:right="235"/>
      </w:pPr>
      <w:r>
        <w:br w:type="column"/>
      </w:r>
      <w:r>
        <w:lastRenderedPageBreak/>
        <w:t>Maranhão, o PFC vem causando uma série de impactos socioambientais, não só na proximidade das minas, como também ao longo de todo o corredor da ferrovia (BRANDÃO, 2008).</w:t>
      </w:r>
    </w:p>
    <w:p w:rsidR="00D81F69" w:rsidRDefault="00330118">
      <w:pPr>
        <w:pStyle w:val="Corpodetexto"/>
        <w:spacing w:before="133" w:line="312" w:lineRule="auto"/>
        <w:ind w:right="225"/>
      </w:pPr>
      <w:r>
        <w:t xml:space="preserve">O </w:t>
      </w:r>
      <w:r>
        <w:rPr>
          <w:spacing w:val="1"/>
        </w:rPr>
        <w:t xml:space="preserve">município </w:t>
      </w:r>
      <w:r>
        <w:t xml:space="preserve">de </w:t>
      </w:r>
      <w:r>
        <w:rPr>
          <w:spacing w:val="1"/>
        </w:rPr>
        <w:t xml:space="preserve">Parauapebas, </w:t>
      </w:r>
      <w:r>
        <w:t xml:space="preserve">a 645 km da </w:t>
      </w:r>
      <w:r>
        <w:rPr>
          <w:spacing w:val="1"/>
        </w:rPr>
        <w:t xml:space="preserve">capital, </w:t>
      </w:r>
      <w:r>
        <w:rPr>
          <w:spacing w:val="2"/>
        </w:rPr>
        <w:t xml:space="preserve">Belém, </w:t>
      </w:r>
      <w:r>
        <w:rPr>
          <w:spacing w:val="5"/>
        </w:rPr>
        <w:t xml:space="preserve">localiza-se </w:t>
      </w:r>
      <w:r>
        <w:rPr>
          <w:spacing w:val="2"/>
        </w:rPr>
        <w:t xml:space="preserve">na </w:t>
      </w:r>
      <w:r>
        <w:rPr>
          <w:spacing w:val="5"/>
        </w:rPr>
        <w:t>mesorregião sudeste paraense. Surgiu no</w:t>
      </w:r>
      <w:r>
        <w:rPr>
          <w:spacing w:val="61"/>
        </w:rPr>
        <w:t xml:space="preserve"> </w:t>
      </w:r>
      <w:r>
        <w:t xml:space="preserve">contexto das ideologias econômicas que integravam a lógica </w:t>
      </w:r>
      <w:r>
        <w:rPr>
          <w:spacing w:val="5"/>
        </w:rPr>
        <w:t xml:space="preserve">do </w:t>
      </w:r>
      <w:r>
        <w:rPr>
          <w:spacing w:val="10"/>
        </w:rPr>
        <w:t xml:space="preserve">desenvolvimento </w:t>
      </w:r>
      <w:r>
        <w:rPr>
          <w:spacing w:val="8"/>
        </w:rPr>
        <w:t xml:space="preserve">regional </w:t>
      </w:r>
      <w:r>
        <w:rPr>
          <w:spacing w:val="5"/>
        </w:rPr>
        <w:t xml:space="preserve">em </w:t>
      </w:r>
      <w:r>
        <w:rPr>
          <w:spacing w:val="8"/>
        </w:rPr>
        <w:t xml:space="preserve">Carajás: </w:t>
      </w:r>
      <w:r>
        <w:rPr>
          <w:spacing w:val="10"/>
        </w:rPr>
        <w:t xml:space="preserve">mineração, </w:t>
      </w:r>
      <w:r>
        <w:rPr>
          <w:spacing w:val="3"/>
        </w:rPr>
        <w:t>extrativismo vegetal, agropecuária, produção energ</w:t>
      </w:r>
      <w:r>
        <w:rPr>
          <w:spacing w:val="3"/>
        </w:rPr>
        <w:t xml:space="preserve">ética </w:t>
      </w:r>
      <w:r>
        <w:t xml:space="preserve">e expansão da malha urbana. A urbanização ocorreu de forma </w:t>
      </w:r>
      <w:r>
        <w:rPr>
          <w:spacing w:val="6"/>
        </w:rPr>
        <w:t xml:space="preserve">acelerada </w:t>
      </w:r>
      <w:r>
        <w:rPr>
          <w:spacing w:val="3"/>
        </w:rPr>
        <w:t xml:space="preserve">no </w:t>
      </w:r>
      <w:r>
        <w:rPr>
          <w:spacing w:val="6"/>
        </w:rPr>
        <w:t xml:space="preserve">município, </w:t>
      </w:r>
      <w:r>
        <w:rPr>
          <w:spacing w:val="5"/>
        </w:rPr>
        <w:t xml:space="preserve">devido </w:t>
      </w:r>
      <w:r>
        <w:t xml:space="preserve">à </w:t>
      </w:r>
      <w:r>
        <w:rPr>
          <w:spacing w:val="5"/>
        </w:rPr>
        <w:t xml:space="preserve">intensa </w:t>
      </w:r>
      <w:r>
        <w:rPr>
          <w:spacing w:val="6"/>
        </w:rPr>
        <w:t xml:space="preserve">migração </w:t>
      </w:r>
      <w:r>
        <w:rPr>
          <w:spacing w:val="7"/>
        </w:rPr>
        <w:t xml:space="preserve">de </w:t>
      </w:r>
      <w:r>
        <w:rPr>
          <w:spacing w:val="5"/>
        </w:rPr>
        <w:t xml:space="preserve">pessoas </w:t>
      </w:r>
      <w:r>
        <w:rPr>
          <w:spacing w:val="3"/>
        </w:rPr>
        <w:t xml:space="preserve">em </w:t>
      </w:r>
      <w:r>
        <w:rPr>
          <w:spacing w:val="5"/>
        </w:rPr>
        <w:t xml:space="preserve">busca </w:t>
      </w:r>
      <w:r>
        <w:rPr>
          <w:spacing w:val="3"/>
        </w:rPr>
        <w:t xml:space="preserve">de </w:t>
      </w:r>
      <w:r>
        <w:rPr>
          <w:spacing w:val="6"/>
        </w:rPr>
        <w:t xml:space="preserve">trabalho </w:t>
      </w:r>
      <w:r>
        <w:rPr>
          <w:spacing w:val="5"/>
        </w:rPr>
        <w:t xml:space="preserve">nas obras </w:t>
      </w:r>
      <w:r>
        <w:rPr>
          <w:spacing w:val="3"/>
        </w:rPr>
        <w:t xml:space="preserve">do </w:t>
      </w:r>
      <w:r>
        <w:rPr>
          <w:spacing w:val="5"/>
        </w:rPr>
        <w:t xml:space="preserve">PGC </w:t>
      </w:r>
      <w:r>
        <w:rPr>
          <w:spacing w:val="7"/>
        </w:rPr>
        <w:t xml:space="preserve">nas </w:t>
      </w:r>
      <w:r>
        <w:rPr>
          <w:spacing w:val="5"/>
        </w:rPr>
        <w:t xml:space="preserve">décadas </w:t>
      </w:r>
      <w:r>
        <w:rPr>
          <w:spacing w:val="3"/>
        </w:rPr>
        <w:t xml:space="preserve">de </w:t>
      </w:r>
      <w:r>
        <w:rPr>
          <w:spacing w:val="5"/>
        </w:rPr>
        <w:t xml:space="preserve">1970 </w:t>
      </w:r>
      <w:r>
        <w:t xml:space="preserve">e </w:t>
      </w:r>
      <w:r>
        <w:rPr>
          <w:spacing w:val="5"/>
        </w:rPr>
        <w:t xml:space="preserve">1980 (VERDE, </w:t>
      </w:r>
      <w:r>
        <w:rPr>
          <w:spacing w:val="7"/>
        </w:rPr>
        <w:t>2009).</w:t>
      </w:r>
    </w:p>
    <w:p w:rsidR="00D81F69" w:rsidRDefault="00330118">
      <w:pPr>
        <w:pStyle w:val="Corpodetexto"/>
        <w:spacing w:before="139" w:line="312" w:lineRule="auto"/>
        <w:ind w:right="176"/>
        <w:jc w:val="left"/>
      </w:pPr>
      <w:r>
        <w:t>Com 153.942 habitantes e 6.957 km² (IBGE, 2010), P</w:t>
      </w:r>
      <w:r>
        <w:t>arauapebas limita-se ao norte com Marabá, ao sul com Curionópolis e a oeste, com São Félix do Xingu, todos municípios mineradores (PARAUAPEBAS ONLINE, 2011). O município apresenta um dos três maiores orçamentos do estado devido aos royalties e impostos ger</w:t>
      </w:r>
      <w:r>
        <w:t>ados pelas atividades da Vale em seu território (BARROS, 2007; VERDE, FERNANDES, 2009).</w:t>
      </w:r>
    </w:p>
    <w:p w:rsidR="00D81F69" w:rsidRDefault="00330118">
      <w:pPr>
        <w:pStyle w:val="Corpodetexto"/>
        <w:spacing w:before="137" w:line="312" w:lineRule="auto"/>
        <w:ind w:right="235"/>
      </w:pPr>
      <w:r>
        <w:t xml:space="preserve">No entanto, a cidade sofre com o crescimento desordenado.  A </w:t>
      </w:r>
      <w:r>
        <w:rPr>
          <w:spacing w:val="7"/>
        </w:rPr>
        <w:t xml:space="preserve">periferia aumenta </w:t>
      </w:r>
      <w:r>
        <w:rPr>
          <w:spacing w:val="8"/>
        </w:rPr>
        <w:t xml:space="preserve">rapidamente, </w:t>
      </w:r>
      <w:r>
        <w:t xml:space="preserve">e a </w:t>
      </w:r>
      <w:r>
        <w:rPr>
          <w:spacing w:val="7"/>
        </w:rPr>
        <w:t xml:space="preserve">maior parte </w:t>
      </w:r>
      <w:r>
        <w:rPr>
          <w:spacing w:val="10"/>
        </w:rPr>
        <w:t xml:space="preserve">das </w:t>
      </w:r>
      <w:r>
        <w:rPr>
          <w:spacing w:val="8"/>
        </w:rPr>
        <w:t xml:space="preserve">pessoas, vindas </w:t>
      </w:r>
      <w:r>
        <w:rPr>
          <w:spacing w:val="5"/>
        </w:rPr>
        <w:t xml:space="preserve">de </w:t>
      </w:r>
      <w:r>
        <w:rPr>
          <w:spacing w:val="8"/>
        </w:rPr>
        <w:t xml:space="preserve">regiões pobres </w:t>
      </w:r>
      <w:r>
        <w:rPr>
          <w:spacing w:val="5"/>
        </w:rPr>
        <w:t xml:space="preserve">do </w:t>
      </w:r>
      <w:r>
        <w:rPr>
          <w:spacing w:val="8"/>
        </w:rPr>
        <w:t xml:space="preserve">Maranhão, </w:t>
      </w:r>
      <w:r>
        <w:rPr>
          <w:spacing w:val="10"/>
        </w:rPr>
        <w:t xml:space="preserve">se </w:t>
      </w:r>
      <w:r>
        <w:t>estabe</w:t>
      </w:r>
      <w:r>
        <w:t>lece em moradias precárias (BARROS, 2007; VERDE, FERNANDES,</w:t>
      </w:r>
      <w:r>
        <w:rPr>
          <w:spacing w:val="6"/>
        </w:rPr>
        <w:t xml:space="preserve"> </w:t>
      </w:r>
      <w:r>
        <w:t>2009).</w:t>
      </w:r>
    </w:p>
    <w:p w:rsidR="00D81F69" w:rsidRDefault="00330118">
      <w:pPr>
        <w:pStyle w:val="Corpodetexto"/>
        <w:spacing w:before="72" w:line="270" w:lineRule="atLeast"/>
        <w:ind w:right="227"/>
      </w:pPr>
      <w:r>
        <w:t xml:space="preserve">A cidade não dispõe de infraestrutura adequada para atender </w:t>
      </w:r>
      <w:r>
        <w:rPr>
          <w:spacing w:val="3"/>
        </w:rPr>
        <w:t xml:space="preserve">às </w:t>
      </w:r>
      <w:r>
        <w:rPr>
          <w:spacing w:val="6"/>
        </w:rPr>
        <w:t xml:space="preserve">necessidades </w:t>
      </w:r>
      <w:r>
        <w:rPr>
          <w:spacing w:val="5"/>
        </w:rPr>
        <w:t xml:space="preserve">básicas </w:t>
      </w:r>
      <w:r>
        <w:rPr>
          <w:spacing w:val="3"/>
        </w:rPr>
        <w:t xml:space="preserve">da </w:t>
      </w:r>
      <w:r>
        <w:rPr>
          <w:spacing w:val="6"/>
        </w:rPr>
        <w:t xml:space="preserve">população </w:t>
      </w:r>
      <w:r>
        <w:rPr>
          <w:spacing w:val="5"/>
        </w:rPr>
        <w:t xml:space="preserve">(VERDE, </w:t>
      </w:r>
      <w:r>
        <w:rPr>
          <w:spacing w:val="7"/>
        </w:rPr>
        <w:t xml:space="preserve">2009; </w:t>
      </w:r>
      <w:r>
        <w:t>VERDE, FERNANDES, 2009). As áreas de expansão urbana do município têm avançado</w:t>
      </w:r>
      <w:r>
        <w:t xml:space="preserve"> sobre regiões impróprias ao uso do solo com finalidade residencial (SOUZA; PEREIRA, 2008 apud VERDE, 2009). Em paralelo ao processo de favelização, </w:t>
      </w:r>
      <w:r>
        <w:rPr>
          <w:spacing w:val="5"/>
        </w:rPr>
        <w:t xml:space="preserve">ocorre </w:t>
      </w:r>
      <w:r>
        <w:t xml:space="preserve">o </w:t>
      </w:r>
      <w:r>
        <w:rPr>
          <w:spacing w:val="5"/>
        </w:rPr>
        <w:t xml:space="preserve">descaso </w:t>
      </w:r>
      <w:r>
        <w:rPr>
          <w:spacing w:val="3"/>
        </w:rPr>
        <w:t xml:space="preserve">com </w:t>
      </w:r>
      <w:r>
        <w:t xml:space="preserve">o </w:t>
      </w:r>
      <w:r>
        <w:rPr>
          <w:spacing w:val="5"/>
        </w:rPr>
        <w:t xml:space="preserve">meio ambiente (VERDE, </w:t>
      </w:r>
      <w:r>
        <w:rPr>
          <w:spacing w:val="6"/>
        </w:rPr>
        <w:t xml:space="preserve">2009; </w:t>
      </w:r>
      <w:r>
        <w:rPr>
          <w:spacing w:val="5"/>
        </w:rPr>
        <w:t>VERDE, FERNANDES,</w:t>
      </w:r>
      <w:r>
        <w:rPr>
          <w:spacing w:val="15"/>
        </w:rPr>
        <w:t xml:space="preserve"> </w:t>
      </w:r>
      <w:r>
        <w:rPr>
          <w:spacing w:val="6"/>
        </w:rPr>
        <w:t>2009).</w:t>
      </w:r>
    </w:p>
    <w:p w:rsidR="00D81F69" w:rsidRDefault="00D81F69">
      <w:pPr>
        <w:spacing w:line="270" w:lineRule="atLeast"/>
        <w:sectPr w:rsidR="00D81F69">
          <w:type w:val="continuous"/>
          <w:pgSz w:w="11900" w:h="16840"/>
          <w:pgMar w:top="720" w:right="460" w:bottom="280" w:left="620" w:header="720" w:footer="720" w:gutter="0"/>
          <w:cols w:num="2" w:space="720" w:equalWidth="0">
            <w:col w:w="5164" w:space="306"/>
            <w:col w:w="5350"/>
          </w:cols>
        </w:sectPr>
      </w:pPr>
    </w:p>
    <w:p w:rsidR="00D81F69" w:rsidRDefault="00D81F69">
      <w:pPr>
        <w:pStyle w:val="Corpodetexto"/>
        <w:spacing w:before="5"/>
        <w:ind w:left="0"/>
        <w:jc w:val="left"/>
        <w:rPr>
          <w:sz w:val="24"/>
        </w:rPr>
      </w:pPr>
    </w:p>
    <w:p w:rsidR="00D81F69" w:rsidRDefault="00330118">
      <w:pPr>
        <w:pStyle w:val="Corpodetexto"/>
        <w:spacing w:line="312" w:lineRule="auto"/>
        <w:ind w:right="39"/>
      </w:pPr>
      <w:r>
        <w:t>O núcleo urbano de Carajás, construído para abrigar os funcionários mais antigos e de alta patente da Vale, representa um contraste à pobreza da periferia de Parauapebas. “A 25 km da portaria da Floresta Nacional dos Carajás, que dá acesso às minas de ferr</w:t>
      </w:r>
      <w:r>
        <w:t>o e por onde só se passa com autorização, o núcleo constitui um enclave de Primeiro Mundo no meio da Amazônia, com clube poliesportivo, restaurantes refinados e cinema” (BARROS, 2007), dentre outros serviços. Neste ponto da cidade, as ruas possuem paviment</w:t>
      </w:r>
      <w:r>
        <w:t>ação, água tratada, esgoto, coleta de lixo e boa sinalização (SOUZA; PEREIRA, 2008 apud VERDE, 2009).</w:t>
      </w:r>
    </w:p>
    <w:p w:rsidR="00D81F69" w:rsidRDefault="00330118">
      <w:pPr>
        <w:pStyle w:val="Corpodetexto"/>
        <w:spacing w:before="141" w:line="312" w:lineRule="auto"/>
        <w:ind w:right="39"/>
      </w:pPr>
      <w:r>
        <w:t>Na tentativa de conter os impactos socioambientais em Parauapebas, o poder público vem realizando a retirada e a indenização de famílias que moram às marg</w:t>
      </w:r>
      <w:r>
        <w:t>ens do rio Parauapebas e do igarapé da Ilha do Coco (SOUZA; PEREIRA, 2008 apud VERDE, 2009). Todavia, diariamente, muitos migrantes chegam à região e se alojam na periferia urbana que se expande em direção às áreas rurais (VERDE, 2009).</w:t>
      </w:r>
    </w:p>
    <w:p w:rsidR="00D81F69" w:rsidRDefault="00330118">
      <w:pPr>
        <w:pStyle w:val="Corpodetexto"/>
        <w:spacing w:before="137" w:line="312" w:lineRule="auto"/>
        <w:ind w:right="50"/>
      </w:pPr>
      <w:r>
        <w:t>Apesar de algumas o</w:t>
      </w:r>
      <w:r>
        <w:t>bras de infraestrutura já estarem em andamento, como a ampliação da rede de esgoto e da rede elétrica, principalmente para as partes mais elevadas da cidade, o lixo doméstico ainda é lançado diretamente nas águas fluviais e contribui para o aumento do núme</w:t>
      </w:r>
      <w:r>
        <w:t>ro de doenças, assoreamento e inundações, dentre outros impactos. A ausência da coleta pública de lixo gera também a proliferação de insetos prejudiciais à saúde humana (VERDE, 2009).</w:t>
      </w:r>
    </w:p>
    <w:p w:rsidR="00D81F69" w:rsidRDefault="00330118">
      <w:pPr>
        <w:pStyle w:val="Corpodetexto"/>
        <w:spacing w:before="139" w:line="312" w:lineRule="auto"/>
        <w:ind w:right="63"/>
      </w:pPr>
      <w:r>
        <w:t xml:space="preserve">Os problemas trabalhistas somam-se aos demais impactos socioambientais. </w:t>
      </w:r>
      <w:r>
        <w:t xml:space="preserve">Em 2010, a Justiça do Trabalho determinou </w:t>
      </w:r>
      <w:r>
        <w:rPr>
          <w:spacing w:val="3"/>
        </w:rPr>
        <w:t xml:space="preserve">que </w:t>
      </w:r>
      <w:r>
        <w:t xml:space="preserve">a </w:t>
      </w:r>
      <w:r>
        <w:rPr>
          <w:spacing w:val="3"/>
        </w:rPr>
        <w:t xml:space="preserve">Vale </w:t>
      </w:r>
      <w:r>
        <w:rPr>
          <w:spacing w:val="5"/>
        </w:rPr>
        <w:t xml:space="preserve">pagasse indenização </w:t>
      </w:r>
      <w:r>
        <w:rPr>
          <w:spacing w:val="2"/>
        </w:rPr>
        <w:t xml:space="preserve">de R$ </w:t>
      </w:r>
      <w:r>
        <w:rPr>
          <w:spacing w:val="3"/>
        </w:rPr>
        <w:t xml:space="preserve">200 </w:t>
      </w:r>
      <w:r>
        <w:rPr>
          <w:spacing w:val="5"/>
        </w:rPr>
        <w:t xml:space="preserve">milhões por </w:t>
      </w:r>
      <w:r>
        <w:t xml:space="preserve">dumping social [redução de custos da produção a partir da </w:t>
      </w:r>
      <w:r>
        <w:rPr>
          <w:spacing w:val="5"/>
        </w:rPr>
        <w:t xml:space="preserve">eliminação </w:t>
      </w:r>
      <w:r>
        <w:rPr>
          <w:spacing w:val="2"/>
        </w:rPr>
        <w:t xml:space="preserve">de </w:t>
      </w:r>
      <w:r>
        <w:rPr>
          <w:spacing w:val="5"/>
        </w:rPr>
        <w:t xml:space="preserve">direitos trabalhistas]. </w:t>
      </w:r>
      <w:r>
        <w:t xml:space="preserve">O </w:t>
      </w:r>
      <w:r>
        <w:rPr>
          <w:spacing w:val="5"/>
        </w:rPr>
        <w:t xml:space="preserve">motivo </w:t>
      </w:r>
      <w:r>
        <w:rPr>
          <w:spacing w:val="3"/>
        </w:rPr>
        <w:t xml:space="preserve">foi </w:t>
      </w:r>
      <w:r>
        <w:t xml:space="preserve">a </w:t>
      </w:r>
      <w:r>
        <w:rPr>
          <w:spacing w:val="6"/>
        </w:rPr>
        <w:t xml:space="preserve">não </w:t>
      </w:r>
      <w:r>
        <w:rPr>
          <w:spacing w:val="1"/>
        </w:rPr>
        <w:t xml:space="preserve">inclusão </w:t>
      </w:r>
      <w:r>
        <w:t xml:space="preserve">de </w:t>
      </w:r>
      <w:r>
        <w:rPr>
          <w:spacing w:val="1"/>
        </w:rPr>
        <w:t xml:space="preserve">horas </w:t>
      </w:r>
      <w:r>
        <w:t xml:space="preserve">de </w:t>
      </w:r>
      <w:r>
        <w:rPr>
          <w:spacing w:val="1"/>
        </w:rPr>
        <w:t xml:space="preserve">deslocamento </w:t>
      </w:r>
      <w:r>
        <w:t xml:space="preserve">– </w:t>
      </w:r>
      <w:r>
        <w:rPr>
          <w:spacing w:val="1"/>
        </w:rPr>
        <w:t xml:space="preserve">horas </w:t>
      </w:r>
      <w:r>
        <w:t xml:space="preserve">in </w:t>
      </w:r>
      <w:r>
        <w:rPr>
          <w:spacing w:val="1"/>
        </w:rPr>
        <w:t>i</w:t>
      </w:r>
      <w:r>
        <w:rPr>
          <w:spacing w:val="1"/>
        </w:rPr>
        <w:t xml:space="preserve">tinere </w:t>
      </w:r>
      <w:r>
        <w:t xml:space="preserve">– </w:t>
      </w:r>
      <w:r>
        <w:rPr>
          <w:spacing w:val="2"/>
        </w:rPr>
        <w:t xml:space="preserve">na </w:t>
      </w:r>
      <w:r>
        <w:t xml:space="preserve">jornada de trabalho de seus empregados terceirizados </w:t>
      </w:r>
      <w:r>
        <w:rPr>
          <w:spacing w:val="1"/>
        </w:rPr>
        <w:t xml:space="preserve">que </w:t>
      </w:r>
      <w:r>
        <w:t>atuam nas minas de Carajás. A companhia deveria a pagar R$ 100 milhões a título de danos morais coletivos (BRASIL MINERAL,</w:t>
      </w:r>
      <w:r>
        <w:rPr>
          <w:spacing w:val="15"/>
        </w:rPr>
        <w:t xml:space="preserve"> </w:t>
      </w:r>
      <w:r>
        <w:t>2010a).</w:t>
      </w:r>
    </w:p>
    <w:p w:rsidR="00D81F69" w:rsidRDefault="00330118">
      <w:pPr>
        <w:pStyle w:val="Corpodetexto"/>
        <w:spacing w:before="139" w:line="312" w:lineRule="auto"/>
        <w:ind w:right="46"/>
      </w:pPr>
      <w:r>
        <w:t>A Vale, no entanto, comprometeu-se a remunerar o tempo d</w:t>
      </w:r>
      <w:r>
        <w:t>e deslocamento que os trabalhadores gastavam até a mina, fixado em 44 minutos. Também se comprometeu a pagar os valores retroativos a fevereiro de 2007 e a implementar ações sociais em Carajás (BRASIL MINERAL, 2010b).</w:t>
      </w:r>
    </w:p>
    <w:p w:rsidR="00D81F69" w:rsidRDefault="00330118">
      <w:pPr>
        <w:pStyle w:val="Corpodetexto"/>
        <w:spacing w:before="134" w:line="312" w:lineRule="auto"/>
        <w:ind w:right="38"/>
      </w:pPr>
      <w:r>
        <w:t>Apesar dos impactos socioambientais ci</w:t>
      </w:r>
      <w:r>
        <w:t xml:space="preserve">tados, a Vale está expandindo sua atuação em Parauapebas. Um dos projetos em desenvolvimento é o de explotação de </w:t>
      </w:r>
      <w:hyperlink r:id="rId322">
        <w:r>
          <w:t xml:space="preserve">cobre </w:t>
        </w:r>
      </w:hyperlink>
      <w:r>
        <w:t>na mina do Alemão, que funcionará onde, até 20</w:t>
      </w:r>
      <w:r>
        <w:t>02, a empresa lavrava ouro — na antiga mina do igarapé Bahia (BALTAR; SAMPAIO; FERREIRA, 2002). O novo projeto da Vale tem previsão de implantação para 2014 e de operação, para 2016 (ACIP, 2011).</w:t>
      </w:r>
    </w:p>
    <w:p w:rsidR="00D81F69" w:rsidRDefault="00330118">
      <w:pPr>
        <w:pStyle w:val="Corpodetexto"/>
        <w:spacing w:before="138"/>
      </w:pPr>
      <w:r>
        <w:t>A Mina do Alemão, que terá exploração subterrânea, “tem</w:t>
      </w:r>
    </w:p>
    <w:p w:rsidR="00D81F69" w:rsidRDefault="00330118">
      <w:pPr>
        <w:pStyle w:val="Corpodetexto"/>
        <w:spacing w:before="81" w:line="312" w:lineRule="auto"/>
        <w:ind w:right="251"/>
      </w:pPr>
      <w:r>
        <w:br w:type="column"/>
      </w:r>
      <w:r>
        <w:lastRenderedPageBreak/>
        <w:t>cer</w:t>
      </w:r>
      <w:r>
        <w:t>ca de 106 milhões de toneladas de minério, sendo 1,5 toneladas de cobre, 80 toneladas de ouro, e o restante de outros concentrados. A exploração da mina está prevista para durar 22 anos”. (ACIP, 2011).</w:t>
      </w:r>
    </w:p>
    <w:p w:rsidR="00D81F69" w:rsidRDefault="00330118">
      <w:pPr>
        <w:pStyle w:val="Corpodetexto"/>
        <w:spacing w:before="134" w:line="312" w:lineRule="auto"/>
        <w:ind w:right="244"/>
      </w:pPr>
      <w:r>
        <w:t>A jazida de cobre, uma das maiores da mineradora, deve</w:t>
      </w:r>
      <w:r>
        <w:t xml:space="preserve"> contribuir para tornar a Vale a terceira ou quarta produtora do metal do mundo em 2016, produzindo um milhão de toneladas anuais do minério. Hoje, a empresa produz 250 mil toneladas por ano (ACIP, 2011).</w:t>
      </w:r>
    </w:p>
    <w:p w:rsidR="00D81F69" w:rsidRDefault="00330118">
      <w:pPr>
        <w:pStyle w:val="Corpodetexto"/>
        <w:spacing w:before="134" w:line="312" w:lineRule="auto"/>
        <w:ind w:right="232"/>
      </w:pPr>
      <w:r>
        <w:t xml:space="preserve">Em 2011, quando da audiência pública para discutir </w:t>
      </w:r>
      <w:r>
        <w:t>a implantação da Mina do Alemão, realizada sob responsabilidade do Instituto Brasileiro do Meio Ambiente e Recursos Naturais Renováveis (Ibama), a Associação Comercial, Industrial e Serviços de Parauapebas (Acip) entregou uma carta ao Instituto, demonstran</w:t>
      </w:r>
      <w:r>
        <w:t>do preocupação com os prováveis impactos do empreendimento (ACIP, 2011).</w:t>
      </w:r>
    </w:p>
    <w:p w:rsidR="00D81F69" w:rsidRDefault="00330118">
      <w:pPr>
        <w:pStyle w:val="Corpodetexto"/>
        <w:spacing w:before="137" w:line="312" w:lineRule="auto"/>
        <w:ind w:right="235"/>
      </w:pPr>
      <w:r>
        <w:t xml:space="preserve">A Vale também está expandindo sua operação com minério de ferro na região de Carajás. Desta vez, na Mina Serra Sul, no município de Canaã dos Carajás (PA). Com previsão para </w:t>
      </w:r>
      <w:r>
        <w:rPr>
          <w:spacing w:val="11"/>
        </w:rPr>
        <w:t xml:space="preserve">entrar </w:t>
      </w:r>
      <w:r>
        <w:rPr>
          <w:spacing w:val="6"/>
        </w:rPr>
        <w:t>em</w:t>
      </w:r>
      <w:r>
        <w:rPr>
          <w:spacing w:val="6"/>
        </w:rPr>
        <w:t xml:space="preserve"> </w:t>
      </w:r>
      <w:r>
        <w:rPr>
          <w:spacing w:val="12"/>
        </w:rPr>
        <w:t xml:space="preserve">operação </w:t>
      </w:r>
      <w:r>
        <w:rPr>
          <w:spacing w:val="6"/>
        </w:rPr>
        <w:t xml:space="preserve">em </w:t>
      </w:r>
      <w:r>
        <w:rPr>
          <w:spacing w:val="10"/>
        </w:rPr>
        <w:t xml:space="preserve">2016 </w:t>
      </w:r>
      <w:r>
        <w:rPr>
          <w:spacing w:val="12"/>
        </w:rPr>
        <w:t xml:space="preserve">(CIARELLI, </w:t>
      </w:r>
      <w:r>
        <w:rPr>
          <w:spacing w:val="11"/>
        </w:rPr>
        <w:t xml:space="preserve">2012), </w:t>
      </w:r>
      <w:r>
        <w:t xml:space="preserve">o empreendimento vem gerando críticas de grupos ambientais, dentre outros motivos, por estar sendo desenvolvido em uma área de preservação. A Mina Serra Sul, com capacidade para </w:t>
      </w:r>
      <w:r>
        <w:rPr>
          <w:spacing w:val="5"/>
        </w:rPr>
        <w:t xml:space="preserve">produzir </w:t>
      </w:r>
      <w:r>
        <w:rPr>
          <w:spacing w:val="2"/>
        </w:rPr>
        <w:t xml:space="preserve">90 </w:t>
      </w:r>
      <w:r>
        <w:rPr>
          <w:spacing w:val="5"/>
        </w:rPr>
        <w:t xml:space="preserve">milhões </w:t>
      </w:r>
      <w:r>
        <w:rPr>
          <w:spacing w:val="2"/>
        </w:rPr>
        <w:t xml:space="preserve">de </w:t>
      </w:r>
      <w:r>
        <w:rPr>
          <w:spacing w:val="5"/>
        </w:rPr>
        <w:t xml:space="preserve">toneladas </w:t>
      </w:r>
      <w:r>
        <w:rPr>
          <w:spacing w:val="3"/>
        </w:rPr>
        <w:t xml:space="preserve">por ano, </w:t>
      </w:r>
      <w:r>
        <w:rPr>
          <w:spacing w:val="5"/>
        </w:rPr>
        <w:t xml:space="preserve">praticamente </w:t>
      </w:r>
      <w:r>
        <w:t>dobrará a produção da Vale de minério de ferro com alto teor (MANGUEIRA,</w:t>
      </w:r>
      <w:r>
        <w:rPr>
          <w:spacing w:val="5"/>
        </w:rPr>
        <w:t xml:space="preserve"> </w:t>
      </w:r>
      <w:r>
        <w:t>2010).</w:t>
      </w:r>
    </w:p>
    <w:p w:rsidR="00D81F69" w:rsidRDefault="00D81F69">
      <w:pPr>
        <w:pStyle w:val="Corpodetexto"/>
        <w:spacing w:before="8"/>
        <w:ind w:left="0"/>
        <w:jc w:val="left"/>
        <w:rPr>
          <w:sz w:val="21"/>
        </w:rPr>
      </w:pPr>
    </w:p>
    <w:p w:rsidR="00D81F69" w:rsidRDefault="00330118">
      <w:pPr>
        <w:pStyle w:val="Heading7"/>
        <w:spacing w:before="1"/>
      </w:pPr>
      <w:r>
        <w:t>LOCALIZAÇÃO GEOGRÁFICA</w:t>
      </w:r>
    </w:p>
    <w:p w:rsidR="00D81F69" w:rsidRDefault="00330118">
      <w:pPr>
        <w:pStyle w:val="Corpodetexto"/>
        <w:spacing w:before="178" w:line="312" w:lineRule="auto"/>
        <w:ind w:right="254"/>
      </w:pPr>
      <w:r>
        <w:t>O município de Parauapebas possui diversas minas de ferro denominadas Serra Norte, todas na bacia do Rio Itacaíunas que deságua na região da Ilha de Marajó, entre as latitudes 6°13’4”S - 6°1’44”S e longitudes 50°5’58”W - 50°17’25”W.</w:t>
      </w:r>
    </w:p>
    <w:p w:rsidR="00D81F69" w:rsidRDefault="00D81F69">
      <w:pPr>
        <w:pStyle w:val="Corpodetexto"/>
        <w:spacing w:before="2"/>
        <w:ind w:left="0"/>
        <w:jc w:val="left"/>
        <w:rPr>
          <w:sz w:val="29"/>
        </w:rPr>
      </w:pPr>
    </w:p>
    <w:p w:rsidR="00D81F69" w:rsidRDefault="00330118">
      <w:pPr>
        <w:pStyle w:val="Heading7"/>
      </w:pPr>
      <w:r>
        <w:t>REDATORES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tabs>
          <w:tab w:val="left" w:pos="4331"/>
        </w:tabs>
        <w:spacing w:before="187" w:line="312" w:lineRule="auto"/>
        <w:ind w:left="100" w:right="233"/>
        <w:jc w:val="both"/>
        <w:rPr>
          <w:sz w:val="16"/>
        </w:rPr>
      </w:pPr>
      <w:r>
        <w:rPr>
          <w:sz w:val="16"/>
        </w:rPr>
        <w:t xml:space="preserve">ACIP, Associação Comercial, Industrial e Serviços de Parauapebas </w:t>
      </w:r>
      <w:r>
        <w:rPr>
          <w:spacing w:val="3"/>
          <w:sz w:val="16"/>
        </w:rPr>
        <w:t xml:space="preserve">(PA). </w:t>
      </w:r>
      <w:r>
        <w:rPr>
          <w:spacing w:val="2"/>
          <w:sz w:val="16"/>
        </w:rPr>
        <w:t xml:space="preserve">Mina </w:t>
      </w:r>
      <w:r>
        <w:rPr>
          <w:spacing w:val="1"/>
          <w:sz w:val="16"/>
        </w:rPr>
        <w:t xml:space="preserve">do  </w:t>
      </w:r>
      <w:r>
        <w:rPr>
          <w:spacing w:val="3"/>
          <w:sz w:val="16"/>
        </w:rPr>
        <w:t xml:space="preserve">Alemão: </w:t>
      </w:r>
      <w:r>
        <w:rPr>
          <w:spacing w:val="2"/>
          <w:sz w:val="16"/>
        </w:rPr>
        <w:t xml:space="preserve">Acip </w:t>
      </w:r>
      <w:r>
        <w:rPr>
          <w:spacing w:val="3"/>
          <w:sz w:val="16"/>
        </w:rPr>
        <w:t xml:space="preserve">entrega carta </w:t>
      </w:r>
      <w:r>
        <w:rPr>
          <w:spacing w:val="1"/>
          <w:sz w:val="16"/>
        </w:rPr>
        <w:t xml:space="preserve">ao  </w:t>
      </w:r>
      <w:r>
        <w:rPr>
          <w:spacing w:val="3"/>
          <w:sz w:val="16"/>
        </w:rPr>
        <w:t xml:space="preserve">Ibama, </w:t>
      </w:r>
      <w:r>
        <w:rPr>
          <w:spacing w:val="2"/>
          <w:sz w:val="16"/>
        </w:rPr>
        <w:t xml:space="preserve">abr. </w:t>
      </w:r>
      <w:r>
        <w:rPr>
          <w:spacing w:val="5"/>
          <w:sz w:val="16"/>
        </w:rPr>
        <w:t xml:space="preserve">2011.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 xml:space="preserve">e    </w:t>
      </w:r>
      <w:r>
        <w:rPr>
          <w:sz w:val="16"/>
        </w:rPr>
        <w:t xml:space="preserve">  m    </w:t>
      </w:r>
      <w:r>
        <w:rPr>
          <w:spacing w:val="20"/>
          <w:sz w:val="16"/>
        </w:rPr>
        <w:t xml:space="preserve"> </w:t>
      </w:r>
      <w:r>
        <w:rPr>
          <w:sz w:val="16"/>
        </w:rPr>
        <w:t>:</w:t>
      </w:r>
    </w:p>
    <w:p w:rsidR="00D81F69" w:rsidRDefault="00D81F69">
      <w:pPr>
        <w:spacing w:before="3"/>
        <w:ind w:left="100"/>
        <w:jc w:val="both"/>
        <w:rPr>
          <w:sz w:val="16"/>
        </w:rPr>
      </w:pPr>
      <w:hyperlink r:id="rId323">
        <w:r w:rsidR="00330118">
          <w:rPr>
            <w:sz w:val="16"/>
          </w:rPr>
          <w:t>&lt;http://www.acipnet.com.br/acip/index.php?option=com_content&amp;view</w:t>
        </w:r>
      </w:hyperlink>
    </w:p>
    <w:p w:rsidR="00D81F69" w:rsidRDefault="00330118">
      <w:pPr>
        <w:spacing w:before="56" w:line="312" w:lineRule="auto"/>
        <w:ind w:left="100" w:right="230"/>
        <w:jc w:val="both"/>
        <w:rPr>
          <w:sz w:val="16"/>
        </w:rPr>
      </w:pPr>
      <w:r>
        <w:rPr>
          <w:sz w:val="16"/>
        </w:rPr>
        <w:t>=article&amp;id=907:mina-do-alemao-acip-entrega-carta-ao- ibama&amp;catid=29:the-cms&amp;Itemid=169&gt;. Aces</w:t>
      </w:r>
      <w:r>
        <w:rPr>
          <w:sz w:val="16"/>
        </w:rPr>
        <w:t>so em: 13 ago. 2012. BALTAR, Carlos Adolpho Magalhães; SAMPAIO, João Alves; FERREIRA, Neuber Salgado. Ouro – Mina do Igarapé Bahia – Carajás / CVRD. Comunicação Técnica elaborada para o livro Usina de  Beneficiamento de  Minérios do  Brasil. Rio  de  Janei</w:t>
      </w:r>
      <w:r>
        <w:rPr>
          <w:sz w:val="16"/>
        </w:rPr>
        <w:t>ro/RJ, dez.</w:t>
      </w:r>
    </w:p>
    <w:p w:rsidR="00D81F69" w:rsidRDefault="00330118">
      <w:pPr>
        <w:tabs>
          <w:tab w:val="left" w:pos="1785"/>
          <w:tab w:val="left" w:pos="4548"/>
        </w:tabs>
        <w:spacing w:before="5"/>
        <w:ind w:left="100"/>
        <w:jc w:val="both"/>
        <w:rPr>
          <w:sz w:val="16"/>
        </w:rPr>
      </w:pPr>
      <w:r>
        <w:rPr>
          <w:sz w:val="16"/>
        </w:rPr>
        <w:t xml:space="preserve">2   0   0  </w:t>
      </w:r>
      <w:r>
        <w:rPr>
          <w:spacing w:val="35"/>
          <w:sz w:val="16"/>
        </w:rPr>
        <w:t xml:space="preserve"> </w:t>
      </w:r>
      <w:r>
        <w:rPr>
          <w:sz w:val="16"/>
        </w:rPr>
        <w:t xml:space="preserve">2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31"/>
        <w:jc w:val="both"/>
        <w:rPr>
          <w:sz w:val="16"/>
        </w:rPr>
      </w:pPr>
      <w:hyperlink r:id="rId324">
        <w:r w:rsidR="00330118">
          <w:rPr>
            <w:sz w:val="16"/>
          </w:rPr>
          <w:t>&lt;http://www.cetem.gov.br/publicacao/CTs/CT2002-161-00.pdf&gt;.</w:t>
        </w:r>
      </w:hyperlink>
      <w:r w:rsidR="00330118">
        <w:rPr>
          <w:sz w:val="16"/>
        </w:rPr>
        <w:t xml:space="preserve"> Acesso em: 13 ago. 2012.</w:t>
      </w:r>
    </w:p>
    <w:p w:rsidR="00D81F69" w:rsidRDefault="00330118">
      <w:pPr>
        <w:spacing w:before="2" w:line="312" w:lineRule="auto"/>
        <w:ind w:left="100" w:right="205"/>
        <w:jc w:val="both"/>
        <w:rPr>
          <w:sz w:val="16"/>
        </w:rPr>
      </w:pPr>
      <w:r>
        <w:rPr>
          <w:spacing w:val="3"/>
          <w:sz w:val="16"/>
        </w:rPr>
        <w:t xml:space="preserve">BARROS, Carlos Juliano. Parauapebas: entre </w:t>
      </w:r>
      <w:r>
        <w:rPr>
          <w:sz w:val="16"/>
        </w:rPr>
        <w:t xml:space="preserve">o </w:t>
      </w:r>
      <w:r>
        <w:rPr>
          <w:spacing w:val="2"/>
          <w:sz w:val="16"/>
        </w:rPr>
        <w:t xml:space="preserve">céu </w:t>
      </w:r>
      <w:r>
        <w:rPr>
          <w:sz w:val="16"/>
        </w:rPr>
        <w:t xml:space="preserve">e o </w:t>
      </w:r>
      <w:r>
        <w:rPr>
          <w:spacing w:val="5"/>
          <w:sz w:val="16"/>
        </w:rPr>
        <w:t xml:space="preserve">inferno. </w:t>
      </w:r>
      <w:r>
        <w:rPr>
          <w:spacing w:val="25"/>
          <w:sz w:val="16"/>
        </w:rPr>
        <w:t>Repórter</w:t>
      </w:r>
      <w:r>
        <w:rPr>
          <w:spacing w:val="95"/>
          <w:sz w:val="16"/>
        </w:rPr>
        <w:t xml:space="preserve"> </w:t>
      </w:r>
      <w:r>
        <w:rPr>
          <w:spacing w:val="25"/>
          <w:sz w:val="16"/>
        </w:rPr>
        <w:t xml:space="preserve">Brasil, </w:t>
      </w:r>
      <w:r>
        <w:rPr>
          <w:spacing w:val="15"/>
          <w:sz w:val="16"/>
        </w:rPr>
        <w:t xml:space="preserve">02 </w:t>
      </w:r>
      <w:r>
        <w:rPr>
          <w:spacing w:val="21"/>
          <w:sz w:val="16"/>
        </w:rPr>
        <w:t xml:space="preserve">jan. </w:t>
      </w:r>
      <w:r>
        <w:rPr>
          <w:spacing w:val="23"/>
          <w:sz w:val="16"/>
        </w:rPr>
        <w:t xml:space="preserve">2007. </w:t>
      </w:r>
      <w:r>
        <w:rPr>
          <w:spacing w:val="26"/>
          <w:sz w:val="16"/>
        </w:rPr>
        <w:t>Disponível</w:t>
      </w:r>
      <w:r>
        <w:rPr>
          <w:spacing w:val="88"/>
          <w:sz w:val="16"/>
        </w:rPr>
        <w:t xml:space="preserve"> </w:t>
      </w:r>
      <w:r>
        <w:rPr>
          <w:spacing w:val="20"/>
          <w:sz w:val="16"/>
        </w:rPr>
        <w:t>em:</w:t>
      </w:r>
      <w:r>
        <w:rPr>
          <w:spacing w:val="-14"/>
          <w:sz w:val="16"/>
        </w:rPr>
        <w:t xml:space="preserve"> </w:t>
      </w:r>
    </w:p>
    <w:p w:rsidR="00D81F69" w:rsidRDefault="00D81F69">
      <w:pPr>
        <w:spacing w:before="1" w:line="312" w:lineRule="auto"/>
        <w:ind w:left="100" w:right="256"/>
        <w:jc w:val="both"/>
        <w:rPr>
          <w:sz w:val="16"/>
        </w:rPr>
      </w:pPr>
      <w:hyperlink r:id="rId325">
        <w:r w:rsidR="00330118">
          <w:rPr>
            <w:sz w:val="16"/>
          </w:rPr>
          <w:t xml:space="preserve">&lt;http://www.reporterbrasil.com.br/exibe.php?id=831&gt;. </w:t>
        </w:r>
      </w:hyperlink>
      <w:r w:rsidR="00330118">
        <w:rPr>
          <w:sz w:val="16"/>
        </w:rPr>
        <w:t>Acesso em: 27 fev. 2011.</w:t>
      </w:r>
    </w:p>
    <w:p w:rsidR="00D81F69" w:rsidRDefault="00330118">
      <w:pPr>
        <w:spacing w:before="2"/>
        <w:ind w:left="100"/>
        <w:jc w:val="both"/>
        <w:rPr>
          <w:sz w:val="16"/>
        </w:rPr>
      </w:pPr>
      <w:r>
        <w:rPr>
          <w:sz w:val="16"/>
        </w:rPr>
        <w:t>BRANDÃO, Luiz Alberto. O sistema ferroviário brasileiro - Estrada de</w:t>
      </w:r>
    </w:p>
    <w:p w:rsidR="00D81F69" w:rsidRDefault="00D81F69">
      <w:pPr>
        <w:jc w:val="both"/>
        <w:rPr>
          <w:sz w:val="16"/>
        </w:rPr>
        <w:sectPr w:rsidR="00D81F69">
          <w:pgSz w:w="11900" w:h="16840"/>
          <w:pgMar w:top="740" w:right="460" w:bottom="700" w:left="620" w:header="0" w:footer="402" w:gutter="0"/>
          <w:cols w:num="2" w:space="720" w:equalWidth="0">
            <w:col w:w="5165" w:space="305"/>
            <w:col w:w="5350"/>
          </w:cols>
        </w:sectPr>
      </w:pPr>
    </w:p>
    <w:p w:rsidR="00D81F69" w:rsidRDefault="00330118">
      <w:pPr>
        <w:spacing w:before="70"/>
        <w:ind w:left="100"/>
        <w:rPr>
          <w:sz w:val="16"/>
        </w:rPr>
      </w:pPr>
      <w:r>
        <w:rPr>
          <w:spacing w:val="23"/>
          <w:sz w:val="16"/>
        </w:rPr>
        <w:lastRenderedPageBreak/>
        <w:t xml:space="preserve">Ferro   </w:t>
      </w:r>
      <w:r>
        <w:rPr>
          <w:spacing w:val="26"/>
          <w:sz w:val="16"/>
        </w:rPr>
        <w:t xml:space="preserve">Carajás,   </w:t>
      </w:r>
      <w:r>
        <w:rPr>
          <w:spacing w:val="15"/>
          <w:sz w:val="16"/>
        </w:rPr>
        <w:t xml:space="preserve">19    </w:t>
      </w:r>
      <w:r>
        <w:rPr>
          <w:spacing w:val="22"/>
          <w:sz w:val="16"/>
        </w:rPr>
        <w:t xml:space="preserve">mar.   </w:t>
      </w:r>
      <w:r>
        <w:rPr>
          <w:spacing w:val="23"/>
          <w:sz w:val="16"/>
        </w:rPr>
        <w:t xml:space="preserve">2008.   </w:t>
      </w:r>
      <w:r>
        <w:rPr>
          <w:spacing w:val="26"/>
          <w:sz w:val="16"/>
        </w:rPr>
        <w:t>Disponível</w:t>
      </w:r>
      <w:r>
        <w:rPr>
          <w:spacing w:val="80"/>
          <w:sz w:val="16"/>
        </w:rPr>
        <w:t xml:space="preserve"> </w:t>
      </w:r>
      <w:r>
        <w:rPr>
          <w:spacing w:val="20"/>
          <w:sz w:val="16"/>
        </w:rPr>
        <w:t>em:</w:t>
      </w:r>
      <w:r>
        <w:rPr>
          <w:spacing w:val="-13"/>
          <w:sz w:val="16"/>
        </w:rPr>
        <w:t xml:space="preserve"> </w:t>
      </w:r>
    </w:p>
    <w:p w:rsidR="00D81F69" w:rsidRDefault="00D81F69">
      <w:pPr>
        <w:spacing w:before="56" w:line="312" w:lineRule="auto"/>
        <w:ind w:left="100" w:right="48"/>
        <w:rPr>
          <w:sz w:val="16"/>
        </w:rPr>
      </w:pPr>
      <w:hyperlink r:id="rId326">
        <w:r w:rsidR="00330118">
          <w:rPr>
            <w:sz w:val="16"/>
          </w:rPr>
          <w:t>&lt;http://www.webartigos.com/arti</w:t>
        </w:r>
        <w:r w:rsidR="00330118">
          <w:rPr>
            <w:sz w:val="16"/>
          </w:rPr>
          <w:t xml:space="preserve">cles/2194/1/Transporte- </w:t>
        </w:r>
      </w:hyperlink>
      <w:r w:rsidR="00330118">
        <w:rPr>
          <w:sz w:val="16"/>
        </w:rPr>
        <w:t>Ferroviario/pagina1.html&gt;. Acesso em: 27 fev. 2011. BRASIL MINERAL. Carajás. Justiça condena Vale por dumping social. Brasil Mineral OnLine n.444, 26 mar. 2010a. Disponível em:</w:t>
      </w:r>
    </w:p>
    <w:p w:rsidR="00D81F69" w:rsidRDefault="00D81F69">
      <w:pPr>
        <w:spacing w:before="3" w:line="312" w:lineRule="auto"/>
        <w:ind w:left="100"/>
        <w:rPr>
          <w:sz w:val="16"/>
        </w:rPr>
      </w:pPr>
      <w:hyperlink r:id="rId327">
        <w:r w:rsidR="00330118">
          <w:rPr>
            <w:sz w:val="16"/>
          </w:rPr>
          <w:t>&lt;http://www.brasilmineral.com.br/BM/default.asp?COD=4795&amp;busca=</w:t>
        </w:r>
      </w:hyperlink>
      <w:r w:rsidR="00330118">
        <w:rPr>
          <w:sz w:val="16"/>
        </w:rPr>
        <w:t xml:space="preserve"> Parauapebas&amp;numero=490&gt;. Acesso em: 28 fev. 2011.</w:t>
      </w:r>
    </w:p>
    <w:p w:rsidR="00D81F69" w:rsidRDefault="00330118">
      <w:pPr>
        <w:tabs>
          <w:tab w:val="left" w:pos="641"/>
        </w:tabs>
        <w:spacing w:before="2" w:line="312" w:lineRule="auto"/>
        <w:ind w:left="100" w:right="48"/>
        <w:rPr>
          <w:sz w:val="16"/>
        </w:rPr>
      </w:pPr>
      <w:r>
        <w:rPr>
          <w:sz w:val="16"/>
          <w:u w:val="single"/>
        </w:rPr>
        <w:t xml:space="preserve"> </w:t>
      </w:r>
      <w:r>
        <w:rPr>
          <w:sz w:val="16"/>
          <w:u w:val="single"/>
        </w:rPr>
        <w:tab/>
      </w:r>
      <w:r>
        <w:rPr>
          <w:sz w:val="16"/>
        </w:rPr>
        <w:t xml:space="preserve">. Carajás. Vale fecha acordo para pagar trabalhadores. Brasil </w:t>
      </w:r>
      <w:r>
        <w:rPr>
          <w:spacing w:val="13"/>
          <w:sz w:val="16"/>
        </w:rPr>
        <w:t xml:space="preserve">Mineral OnLine </w:t>
      </w:r>
      <w:r>
        <w:rPr>
          <w:spacing w:val="7"/>
          <w:sz w:val="16"/>
        </w:rPr>
        <w:t xml:space="preserve">n. </w:t>
      </w:r>
      <w:r>
        <w:rPr>
          <w:spacing w:val="11"/>
          <w:sz w:val="16"/>
        </w:rPr>
        <w:t xml:space="preserve">462, </w:t>
      </w:r>
      <w:r>
        <w:rPr>
          <w:spacing w:val="7"/>
          <w:sz w:val="16"/>
        </w:rPr>
        <w:t xml:space="preserve">29 </w:t>
      </w:r>
      <w:r>
        <w:rPr>
          <w:spacing w:val="11"/>
          <w:sz w:val="16"/>
        </w:rPr>
        <w:t xml:space="preserve">jul. </w:t>
      </w:r>
      <w:r>
        <w:rPr>
          <w:spacing w:val="13"/>
          <w:sz w:val="16"/>
        </w:rPr>
        <w:t xml:space="preserve">2010b. </w:t>
      </w:r>
      <w:r>
        <w:rPr>
          <w:spacing w:val="15"/>
          <w:sz w:val="16"/>
        </w:rPr>
        <w:t>Disponível</w:t>
      </w:r>
      <w:r>
        <w:rPr>
          <w:spacing w:val="5"/>
          <w:sz w:val="16"/>
        </w:rPr>
        <w:t xml:space="preserve"> </w:t>
      </w:r>
      <w:r>
        <w:rPr>
          <w:spacing w:val="10"/>
          <w:sz w:val="16"/>
        </w:rPr>
        <w:t>e</w:t>
      </w:r>
      <w:r>
        <w:rPr>
          <w:spacing w:val="10"/>
          <w:sz w:val="16"/>
        </w:rPr>
        <w:t>m:</w:t>
      </w:r>
      <w:r>
        <w:rPr>
          <w:spacing w:val="-27"/>
          <w:sz w:val="16"/>
        </w:rPr>
        <w:t xml:space="preserve"> </w:t>
      </w:r>
    </w:p>
    <w:p w:rsidR="00D81F69" w:rsidRDefault="00D81F69">
      <w:pPr>
        <w:spacing w:before="1" w:line="312" w:lineRule="auto"/>
        <w:ind w:left="100"/>
        <w:rPr>
          <w:sz w:val="16"/>
        </w:rPr>
      </w:pPr>
      <w:hyperlink r:id="rId328">
        <w:r w:rsidR="00330118">
          <w:rPr>
            <w:sz w:val="16"/>
          </w:rPr>
          <w:t>&lt;http://www.brasilmineral.com.br/BM/default.asp?COD=5040&amp;busca=</w:t>
        </w:r>
      </w:hyperlink>
      <w:r w:rsidR="00330118">
        <w:rPr>
          <w:sz w:val="16"/>
        </w:rPr>
        <w:t xml:space="preserve"> Parauapebas&amp;numero=490&gt;. Acesso em: 28 fev. 2011.</w:t>
      </w:r>
    </w:p>
    <w:p w:rsidR="00D81F69" w:rsidRDefault="00330118">
      <w:pPr>
        <w:spacing w:before="2" w:line="312" w:lineRule="auto"/>
        <w:ind w:left="100"/>
        <w:rPr>
          <w:sz w:val="16"/>
        </w:rPr>
      </w:pPr>
      <w:r>
        <w:rPr>
          <w:sz w:val="16"/>
        </w:rPr>
        <w:t xml:space="preserve">______. Minério de Ferro. Brasil exporta mais de US$ 20 bi. Brasil Mineral OnLine n. 483, 06 jan. 2011. Disponível em: </w:t>
      </w:r>
    </w:p>
    <w:p w:rsidR="00D81F69" w:rsidRDefault="00D81F69">
      <w:pPr>
        <w:spacing w:before="1" w:line="312" w:lineRule="auto"/>
        <w:ind w:left="100"/>
        <w:rPr>
          <w:sz w:val="16"/>
        </w:rPr>
      </w:pPr>
      <w:hyperlink r:id="rId329">
        <w:r w:rsidR="00330118">
          <w:rPr>
            <w:sz w:val="16"/>
          </w:rPr>
          <w:t>&lt;http://www.brasilmineral.com.br/BM/default.asp?COD=5</w:t>
        </w:r>
        <w:r w:rsidR="00330118">
          <w:rPr>
            <w:sz w:val="16"/>
          </w:rPr>
          <w:t>296&amp;busca=</w:t>
        </w:r>
      </w:hyperlink>
      <w:r w:rsidR="00330118">
        <w:rPr>
          <w:sz w:val="16"/>
        </w:rPr>
        <w:t xml:space="preserve"> Vale&amp;numero=490&gt;. Acesso em: 28 fev. 2011.</w:t>
      </w:r>
    </w:p>
    <w:p w:rsidR="00D81F69" w:rsidRDefault="00330118">
      <w:pPr>
        <w:spacing w:before="2" w:line="312" w:lineRule="auto"/>
        <w:ind w:left="100" w:right="53"/>
        <w:jc w:val="both"/>
        <w:rPr>
          <w:sz w:val="16"/>
        </w:rPr>
      </w:pPr>
      <w:r>
        <w:rPr>
          <w:sz w:val="16"/>
        </w:rPr>
        <w:t xml:space="preserve">VERDE, Rodrigo Braga da Rocha Villa Verde. Parauapebas (PA): A mão de </w:t>
      </w:r>
      <w:r>
        <w:rPr>
          <w:spacing w:val="1"/>
          <w:sz w:val="16"/>
        </w:rPr>
        <w:t xml:space="preserve">ferro </w:t>
      </w:r>
      <w:r>
        <w:rPr>
          <w:sz w:val="16"/>
        </w:rPr>
        <w:t xml:space="preserve">do </w:t>
      </w:r>
      <w:r>
        <w:rPr>
          <w:spacing w:val="1"/>
          <w:sz w:val="16"/>
        </w:rPr>
        <w:t xml:space="preserve">Brasil </w:t>
      </w:r>
      <w:r>
        <w:rPr>
          <w:sz w:val="16"/>
        </w:rPr>
        <w:t xml:space="preserve">na </w:t>
      </w:r>
      <w:r>
        <w:rPr>
          <w:spacing w:val="1"/>
          <w:sz w:val="16"/>
        </w:rPr>
        <w:t xml:space="preserve">Implantação </w:t>
      </w:r>
      <w:r>
        <w:rPr>
          <w:sz w:val="16"/>
        </w:rPr>
        <w:t xml:space="preserve">do </w:t>
      </w:r>
      <w:r>
        <w:rPr>
          <w:spacing w:val="1"/>
          <w:sz w:val="16"/>
        </w:rPr>
        <w:t xml:space="preserve">projeto grande </w:t>
      </w:r>
      <w:r>
        <w:rPr>
          <w:spacing w:val="2"/>
          <w:sz w:val="16"/>
        </w:rPr>
        <w:t xml:space="preserve">Carajás. </w:t>
      </w:r>
      <w:r>
        <w:rPr>
          <w:spacing w:val="25"/>
          <w:sz w:val="16"/>
        </w:rPr>
        <w:t xml:space="preserve">CETEM, </w:t>
      </w:r>
      <w:r>
        <w:rPr>
          <w:spacing w:val="20"/>
          <w:sz w:val="16"/>
        </w:rPr>
        <w:t xml:space="preserve">Rio </w:t>
      </w:r>
      <w:r>
        <w:rPr>
          <w:spacing w:val="15"/>
          <w:sz w:val="16"/>
        </w:rPr>
        <w:t xml:space="preserve">de </w:t>
      </w:r>
      <w:r>
        <w:rPr>
          <w:spacing w:val="25"/>
          <w:sz w:val="16"/>
        </w:rPr>
        <w:t>Janeiro</w:t>
      </w:r>
      <w:r>
        <w:rPr>
          <w:spacing w:val="95"/>
          <w:sz w:val="16"/>
        </w:rPr>
        <w:t xml:space="preserve"> </w:t>
      </w:r>
      <w:r>
        <w:rPr>
          <w:spacing w:val="23"/>
          <w:sz w:val="16"/>
        </w:rPr>
        <w:t xml:space="preserve">2009. </w:t>
      </w:r>
      <w:r>
        <w:rPr>
          <w:spacing w:val="26"/>
          <w:sz w:val="16"/>
        </w:rPr>
        <w:t>Disponível</w:t>
      </w:r>
      <w:r>
        <w:rPr>
          <w:spacing w:val="25"/>
          <w:sz w:val="16"/>
        </w:rPr>
        <w:t xml:space="preserve"> </w:t>
      </w:r>
      <w:r>
        <w:rPr>
          <w:spacing w:val="15"/>
          <w:sz w:val="16"/>
        </w:rPr>
        <w:t>em</w:t>
      </w:r>
      <w:r>
        <w:rPr>
          <w:spacing w:val="-12"/>
          <w:sz w:val="16"/>
        </w:rPr>
        <w:t xml:space="preserve"> </w:t>
      </w:r>
    </w:p>
    <w:p w:rsidR="00D81F69" w:rsidRDefault="00D81F69">
      <w:pPr>
        <w:spacing w:before="3" w:line="312" w:lineRule="auto"/>
        <w:ind w:left="100"/>
        <w:rPr>
          <w:sz w:val="16"/>
        </w:rPr>
      </w:pPr>
      <w:hyperlink r:id="rId330">
        <w:r w:rsidR="00330118">
          <w:rPr>
            <w:sz w:val="16"/>
          </w:rPr>
          <w:t>&lt;http://www.cetem.gov.br/aquarios/documentos/2009/xii_egal/XII_EG</w:t>
        </w:r>
      </w:hyperlink>
      <w:r w:rsidR="00330118">
        <w:rPr>
          <w:sz w:val="16"/>
        </w:rPr>
        <w:t xml:space="preserve"> AL_Rodrigo_Villa_Verde.pdf&gt;. Acesso em 27 de novembro de 2012. CHAVES, Edna Maria de Carvalho. Projeto Grandes</w:t>
      </w:r>
      <w:r w:rsidR="00330118">
        <w:rPr>
          <w:sz w:val="16"/>
        </w:rPr>
        <w:t xml:space="preserve"> Carajás. Revista Nova  Atenas,  v.   7,   n.   2,   jul-dez,  2004.  Disponível em: </w:t>
      </w:r>
    </w:p>
    <w:p w:rsidR="00D81F69" w:rsidRDefault="00330118">
      <w:pPr>
        <w:tabs>
          <w:tab w:val="left" w:pos="470"/>
          <w:tab w:val="left" w:pos="760"/>
          <w:tab w:val="left" w:pos="1095"/>
          <w:tab w:val="left" w:pos="1439"/>
          <w:tab w:val="left" w:pos="1782"/>
          <w:tab w:val="left" w:pos="2126"/>
          <w:tab w:val="left" w:pos="2426"/>
          <w:tab w:val="left" w:pos="2760"/>
          <w:tab w:val="left" w:pos="3104"/>
          <w:tab w:val="left" w:pos="4331"/>
          <w:tab w:val="left" w:pos="4674"/>
          <w:tab w:val="left" w:pos="5063"/>
        </w:tabs>
        <w:spacing w:before="70"/>
        <w:ind w:left="100"/>
        <w:rPr>
          <w:sz w:val="16"/>
        </w:rPr>
      </w:pPr>
      <w:r>
        <w:br w:type="column"/>
      </w:r>
      <w:r>
        <w:rPr>
          <w:sz w:val="16"/>
        </w:rPr>
        <w:lastRenderedPageBreak/>
        <w:t>D</w:t>
      </w:r>
      <w:r>
        <w:rPr>
          <w:sz w:val="16"/>
        </w:rPr>
        <w:tab/>
        <w:t>i</w:t>
      </w:r>
      <w:r>
        <w:rPr>
          <w:sz w:val="16"/>
        </w:rPr>
        <w:tab/>
        <w:t>s</w:t>
      </w:r>
      <w:r>
        <w:rPr>
          <w:sz w:val="16"/>
        </w:rPr>
        <w:tab/>
        <w:t>p</w:t>
      </w:r>
      <w:r>
        <w:rPr>
          <w:sz w:val="16"/>
        </w:rPr>
        <w:tab/>
        <w:t>o</w:t>
      </w:r>
      <w:r>
        <w:rPr>
          <w:sz w:val="16"/>
        </w:rPr>
        <w:tab/>
        <w:t>n</w:t>
      </w:r>
      <w:r>
        <w:rPr>
          <w:sz w:val="16"/>
        </w:rPr>
        <w:tab/>
        <w:t>í</w:t>
      </w:r>
      <w:r>
        <w:rPr>
          <w:sz w:val="16"/>
        </w:rPr>
        <w:tab/>
        <w:t>v</w:t>
      </w:r>
      <w:r>
        <w:rPr>
          <w:sz w:val="16"/>
        </w:rPr>
        <w:tab/>
        <w:t>e</w:t>
      </w:r>
      <w:r>
        <w:rPr>
          <w:sz w:val="16"/>
        </w:rPr>
        <w:tab/>
        <w:t>l</w:t>
      </w:r>
      <w:r>
        <w:rPr>
          <w:sz w:val="16"/>
        </w:rPr>
        <w:tab/>
        <w:t>e</w:t>
      </w:r>
      <w:r>
        <w:rPr>
          <w:sz w:val="16"/>
        </w:rPr>
        <w:tab/>
        <w:t>m</w:t>
      </w:r>
      <w:r>
        <w:rPr>
          <w:sz w:val="16"/>
        </w:rPr>
        <w:tab/>
        <w:t>:</w:t>
      </w:r>
    </w:p>
    <w:p w:rsidR="00D81F69" w:rsidRDefault="00D81F69">
      <w:pPr>
        <w:spacing w:before="56" w:line="312" w:lineRule="auto"/>
        <w:ind w:left="100" w:right="257"/>
        <w:jc w:val="both"/>
        <w:rPr>
          <w:sz w:val="16"/>
        </w:rPr>
      </w:pPr>
      <w:hyperlink r:id="rId331">
        <w:r w:rsidR="00330118">
          <w:rPr>
            <w:sz w:val="16"/>
          </w:rPr>
          <w:t>&lt;http://egal2009.easyplanners.info/area07/7656_VERDE_RODRIGO_</w:t>
        </w:r>
      </w:hyperlink>
      <w:r w:rsidR="00330118">
        <w:rPr>
          <w:sz w:val="16"/>
        </w:rPr>
        <w:t xml:space="preserve"> BRA</w:t>
      </w:r>
      <w:r w:rsidR="00330118">
        <w:rPr>
          <w:sz w:val="16"/>
        </w:rPr>
        <w:t>GA_DA_ROCHA_VILLA.pdf&gt;. Acesso em: 27 fev. 2011.</w:t>
      </w:r>
    </w:p>
    <w:p w:rsidR="00D81F69" w:rsidRDefault="00330118">
      <w:pPr>
        <w:spacing w:before="1" w:line="312" w:lineRule="auto"/>
        <w:ind w:left="100" w:right="233"/>
        <w:jc w:val="both"/>
        <w:rPr>
          <w:sz w:val="16"/>
        </w:rPr>
      </w:pPr>
      <w:r>
        <w:rPr>
          <w:sz w:val="16"/>
        </w:rPr>
        <w:t>MANGUEIRA, Clarissa. Vale cumpre exigências para projeto de minério no Pará. Agência Estado, 23 nov. 2010. Disponível em:</w:t>
      </w:r>
    </w:p>
    <w:p w:rsidR="00D81F69" w:rsidRDefault="00D81F69">
      <w:pPr>
        <w:spacing w:before="2" w:line="312" w:lineRule="auto"/>
        <w:ind w:left="100" w:right="253"/>
        <w:jc w:val="both"/>
        <w:rPr>
          <w:sz w:val="16"/>
        </w:rPr>
      </w:pPr>
      <w:hyperlink r:id="rId332">
        <w:r w:rsidR="00330118">
          <w:rPr>
            <w:sz w:val="16"/>
          </w:rPr>
          <w:t>&lt;http://econom</w:t>
        </w:r>
        <w:r w:rsidR="00330118">
          <w:rPr>
            <w:sz w:val="16"/>
          </w:rPr>
          <w:t xml:space="preserve">ia.estadao.com.br/noticias/not_44507.htm&gt;. </w:t>
        </w:r>
      </w:hyperlink>
      <w:r w:rsidR="00330118">
        <w:rPr>
          <w:sz w:val="16"/>
        </w:rPr>
        <w:t>Acesso em: 13/05/2011.</w:t>
      </w:r>
    </w:p>
    <w:p w:rsidR="00D81F69" w:rsidRDefault="00330118">
      <w:pPr>
        <w:spacing w:before="2" w:line="312" w:lineRule="auto"/>
        <w:ind w:left="100" w:right="196"/>
        <w:jc w:val="both"/>
        <w:rPr>
          <w:sz w:val="16"/>
        </w:rPr>
      </w:pPr>
      <w:r>
        <w:rPr>
          <w:sz w:val="16"/>
        </w:rPr>
        <w:t xml:space="preserve">OLIVEIRA, Clariana Pinto. Políticas de estado e o grande capital na Amazônia: o caso da mineração no Pará, 2008. Monografia (Curso de </w:t>
      </w:r>
      <w:r>
        <w:rPr>
          <w:spacing w:val="3"/>
          <w:sz w:val="16"/>
        </w:rPr>
        <w:t xml:space="preserve">Ciências Econômicas), Universidade Federal </w:t>
      </w:r>
      <w:r>
        <w:rPr>
          <w:spacing w:val="1"/>
          <w:sz w:val="16"/>
        </w:rPr>
        <w:t xml:space="preserve">de </w:t>
      </w:r>
      <w:r>
        <w:rPr>
          <w:spacing w:val="3"/>
          <w:sz w:val="16"/>
        </w:rPr>
        <w:t xml:space="preserve">Santa </w:t>
      </w:r>
      <w:r>
        <w:rPr>
          <w:spacing w:val="5"/>
          <w:sz w:val="16"/>
        </w:rPr>
        <w:t>Cata</w:t>
      </w:r>
      <w:r>
        <w:rPr>
          <w:spacing w:val="5"/>
          <w:sz w:val="16"/>
        </w:rPr>
        <w:t xml:space="preserve">rina, </w:t>
      </w:r>
      <w:r>
        <w:rPr>
          <w:spacing w:val="37"/>
          <w:sz w:val="16"/>
        </w:rPr>
        <w:t xml:space="preserve">Florianópolis </w:t>
      </w:r>
      <w:r>
        <w:rPr>
          <w:spacing w:val="32"/>
          <w:sz w:val="16"/>
        </w:rPr>
        <w:t xml:space="preserve">(SC), </w:t>
      </w:r>
      <w:r>
        <w:rPr>
          <w:spacing w:val="20"/>
          <w:sz w:val="16"/>
        </w:rPr>
        <w:t xml:space="preserve">65 f. </w:t>
      </w:r>
      <w:r>
        <w:rPr>
          <w:spacing w:val="36"/>
          <w:sz w:val="16"/>
        </w:rPr>
        <w:t>Disponível</w:t>
      </w:r>
      <w:r>
        <w:rPr>
          <w:spacing w:val="108"/>
          <w:sz w:val="16"/>
        </w:rPr>
        <w:t xml:space="preserve"> </w:t>
      </w:r>
      <w:r>
        <w:rPr>
          <w:spacing w:val="27"/>
          <w:sz w:val="16"/>
        </w:rPr>
        <w:t>em:</w:t>
      </w:r>
      <w:r>
        <w:rPr>
          <w:spacing w:val="-2"/>
          <w:sz w:val="16"/>
        </w:rPr>
        <w:t xml:space="preserve"> </w:t>
      </w:r>
    </w:p>
    <w:p w:rsidR="00D81F69" w:rsidRDefault="00D81F69">
      <w:pPr>
        <w:spacing w:before="3" w:line="312" w:lineRule="auto"/>
        <w:ind w:left="100" w:right="239"/>
        <w:jc w:val="both"/>
        <w:rPr>
          <w:sz w:val="16"/>
        </w:rPr>
      </w:pPr>
      <w:hyperlink r:id="rId333">
        <w:r w:rsidR="00330118">
          <w:rPr>
            <w:sz w:val="16"/>
          </w:rPr>
          <w:t>&lt;http://www.portalcse.ufsc.br/gecon/coord_mono/2008.1/Clariana.prn.</w:t>
        </w:r>
      </w:hyperlink>
      <w:r w:rsidR="00330118">
        <w:rPr>
          <w:sz w:val="16"/>
        </w:rPr>
        <w:t xml:space="preserve"> pdf&gt;. Acesso em: 28 fev. 2011.</w:t>
      </w:r>
    </w:p>
    <w:p w:rsidR="00D81F69" w:rsidRDefault="00330118">
      <w:pPr>
        <w:spacing w:before="1"/>
        <w:ind w:left="100"/>
        <w:rPr>
          <w:sz w:val="16"/>
        </w:rPr>
      </w:pPr>
      <w:r>
        <w:rPr>
          <w:sz w:val="16"/>
        </w:rPr>
        <w:t xml:space="preserve">PARAUAPEBAS ONLINE. Localização. Disponível em: </w:t>
      </w:r>
    </w:p>
    <w:p w:rsidR="00D81F69" w:rsidRDefault="00D81F69">
      <w:pPr>
        <w:spacing w:before="56" w:line="312" w:lineRule="auto"/>
        <w:ind w:left="100" w:right="256"/>
        <w:jc w:val="both"/>
        <w:rPr>
          <w:sz w:val="16"/>
        </w:rPr>
      </w:pPr>
      <w:hyperlink r:id="rId334">
        <w:r w:rsidR="00330118">
          <w:rPr>
            <w:sz w:val="16"/>
          </w:rPr>
          <w:t xml:space="preserve">&lt;http://parauapebas.vilabol.uol.com.br/historia.html&gt;. </w:t>
        </w:r>
      </w:hyperlink>
      <w:r w:rsidR="00330118">
        <w:rPr>
          <w:sz w:val="16"/>
        </w:rPr>
        <w:t>Acesso em: 27 fev. 2011.</w:t>
      </w:r>
    </w:p>
    <w:p w:rsidR="00D81F69" w:rsidRDefault="00330118">
      <w:pPr>
        <w:tabs>
          <w:tab w:val="left" w:pos="4331"/>
        </w:tabs>
        <w:spacing w:before="2" w:line="312" w:lineRule="auto"/>
        <w:ind w:left="100" w:right="232"/>
        <w:jc w:val="both"/>
        <w:rPr>
          <w:sz w:val="16"/>
        </w:rPr>
      </w:pPr>
      <w:r>
        <w:rPr>
          <w:spacing w:val="3"/>
          <w:sz w:val="16"/>
        </w:rPr>
        <w:t xml:space="preserve">POLONI, Gustavo. Máquinas gigantes </w:t>
      </w:r>
      <w:r>
        <w:rPr>
          <w:sz w:val="16"/>
        </w:rPr>
        <w:t xml:space="preserve">e </w:t>
      </w:r>
      <w:r>
        <w:rPr>
          <w:spacing w:val="3"/>
          <w:sz w:val="16"/>
        </w:rPr>
        <w:t xml:space="preserve">paisagem marciana </w:t>
      </w:r>
      <w:r>
        <w:rPr>
          <w:spacing w:val="5"/>
          <w:sz w:val="16"/>
        </w:rPr>
        <w:t xml:space="preserve">nas </w:t>
      </w:r>
      <w:r>
        <w:rPr>
          <w:spacing w:val="3"/>
          <w:sz w:val="16"/>
        </w:rPr>
        <w:t xml:space="preserve">minas </w:t>
      </w:r>
      <w:r>
        <w:rPr>
          <w:spacing w:val="2"/>
          <w:sz w:val="16"/>
        </w:rPr>
        <w:t xml:space="preserve">de  </w:t>
      </w:r>
      <w:r>
        <w:rPr>
          <w:spacing w:val="3"/>
          <w:sz w:val="16"/>
        </w:rPr>
        <w:t xml:space="preserve">ferro </w:t>
      </w:r>
      <w:r>
        <w:rPr>
          <w:spacing w:val="2"/>
          <w:sz w:val="16"/>
        </w:rPr>
        <w:t xml:space="preserve">da  </w:t>
      </w:r>
      <w:r>
        <w:rPr>
          <w:spacing w:val="3"/>
          <w:sz w:val="16"/>
        </w:rPr>
        <w:t xml:space="preserve">Vale. In: </w:t>
      </w:r>
      <w:r>
        <w:rPr>
          <w:spacing w:val="5"/>
          <w:sz w:val="16"/>
        </w:rPr>
        <w:t xml:space="preserve">Economia.ig.com.br, </w:t>
      </w:r>
      <w:r>
        <w:rPr>
          <w:spacing w:val="2"/>
          <w:sz w:val="16"/>
        </w:rPr>
        <w:t xml:space="preserve">26  </w:t>
      </w:r>
      <w:r>
        <w:rPr>
          <w:spacing w:val="3"/>
          <w:sz w:val="16"/>
        </w:rPr>
        <w:t xml:space="preserve">jul. </w:t>
      </w:r>
      <w:r>
        <w:rPr>
          <w:spacing w:val="5"/>
          <w:sz w:val="16"/>
        </w:rPr>
        <w:t xml:space="preserve">2010a.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 xml:space="preserve">e      m    </w:t>
      </w:r>
      <w:r>
        <w:rPr>
          <w:spacing w:val="20"/>
          <w:sz w:val="16"/>
        </w:rPr>
        <w:t xml:space="preserve"> </w:t>
      </w:r>
      <w:r>
        <w:rPr>
          <w:sz w:val="16"/>
        </w:rPr>
        <w:t>:</w:t>
      </w:r>
    </w:p>
    <w:p w:rsidR="00D81F69" w:rsidRDefault="00D81F69">
      <w:pPr>
        <w:spacing w:before="3"/>
        <w:ind w:left="100"/>
        <w:rPr>
          <w:sz w:val="16"/>
        </w:rPr>
      </w:pPr>
      <w:hyperlink r:id="rId335">
        <w:r w:rsidR="00330118">
          <w:rPr>
            <w:sz w:val="16"/>
          </w:rPr>
          <w:t>&lt;http://economia.ig.co</w:t>
        </w:r>
        <w:r w:rsidR="00330118">
          <w:rPr>
            <w:sz w:val="16"/>
          </w:rPr>
          <w:t>m.br/empresas/industria/maquinas+gigantes+e</w:t>
        </w:r>
      </w:hyperlink>
    </w:p>
    <w:p w:rsidR="00D81F69" w:rsidRDefault="00330118">
      <w:pPr>
        <w:spacing w:before="56" w:line="312" w:lineRule="auto"/>
        <w:ind w:left="100" w:right="256"/>
        <w:jc w:val="both"/>
        <w:rPr>
          <w:sz w:val="16"/>
        </w:rPr>
      </w:pPr>
      <w:r>
        <w:rPr>
          <w:sz w:val="16"/>
        </w:rPr>
        <w:t>+paisagem+marciana+nas+minas+de+ferro+da+vale/n123772686443 4.html&gt;. Acesso em: 27 fev. 2011.</w:t>
      </w:r>
    </w:p>
    <w:p w:rsidR="00D81F69" w:rsidRDefault="00D81F69">
      <w:pPr>
        <w:spacing w:line="312" w:lineRule="auto"/>
        <w:jc w:val="both"/>
        <w:rPr>
          <w:sz w:val="16"/>
        </w:rPr>
        <w:sectPr w:rsidR="00D81F69">
          <w:pgSz w:w="11900" w:h="16840"/>
          <w:pgMar w:top="740" w:right="460" w:bottom="720" w:left="620" w:header="0" w:footer="402" w:gutter="0"/>
          <w:cols w:num="2" w:space="720" w:equalWidth="0">
            <w:col w:w="5178" w:space="292"/>
            <w:col w:w="5350"/>
          </w:cols>
        </w:sectPr>
      </w:pPr>
    </w:p>
    <w:p w:rsidR="00D81F69" w:rsidRDefault="00D81F69">
      <w:pPr>
        <w:tabs>
          <w:tab w:val="left" w:pos="5569"/>
          <w:tab w:val="left" w:pos="6107"/>
        </w:tabs>
        <w:spacing w:before="1"/>
        <w:ind w:left="100"/>
        <w:rPr>
          <w:sz w:val="16"/>
        </w:rPr>
      </w:pPr>
      <w:hyperlink r:id="rId336">
        <w:r w:rsidR="00330118">
          <w:rPr>
            <w:sz w:val="16"/>
          </w:rPr>
          <w:t>&lt;ht</w:t>
        </w:r>
        <w:r w:rsidR="00330118">
          <w:rPr>
            <w:sz w:val="16"/>
          </w:rPr>
          <w:t>tp://www.ifma.edu.br/SiteCefet/publicacoes/artigos/revista13.7.2/C</w:t>
        </w:r>
      </w:hyperlink>
      <w:r w:rsidR="00330118">
        <w:rPr>
          <w:sz w:val="16"/>
        </w:rPr>
        <w:tab/>
      </w:r>
      <w:r w:rsidR="00330118">
        <w:rPr>
          <w:sz w:val="16"/>
          <w:u w:val="single"/>
        </w:rPr>
        <w:t xml:space="preserve"> </w:t>
      </w:r>
      <w:r w:rsidR="00330118">
        <w:rPr>
          <w:sz w:val="16"/>
          <w:u w:val="single"/>
        </w:rPr>
        <w:tab/>
      </w:r>
      <w:r w:rsidR="00330118">
        <w:rPr>
          <w:sz w:val="16"/>
        </w:rPr>
        <w:t>. Saiba como funciona a mina de ferro da Vale em Carajás.</w:t>
      </w:r>
      <w:r w:rsidR="00330118">
        <w:rPr>
          <w:spacing w:val="22"/>
          <w:sz w:val="16"/>
        </w:rPr>
        <w:t xml:space="preserve"> </w:t>
      </w:r>
      <w:r w:rsidR="00330118">
        <w:rPr>
          <w:sz w:val="16"/>
        </w:rPr>
        <w:t>In:</w:t>
      </w:r>
    </w:p>
    <w:p w:rsidR="00D81F69" w:rsidRDefault="00D81F69">
      <w:pPr>
        <w:rPr>
          <w:sz w:val="16"/>
        </w:rPr>
        <w:sectPr w:rsidR="00D81F69">
          <w:type w:val="continuous"/>
          <w:pgSz w:w="11900" w:h="16840"/>
          <w:pgMar w:top="720" w:right="460" w:bottom="280" w:left="620" w:header="720" w:footer="720" w:gutter="0"/>
          <w:cols w:space="720"/>
        </w:sectPr>
      </w:pPr>
    </w:p>
    <w:p w:rsidR="00D81F69" w:rsidRDefault="00330118">
      <w:pPr>
        <w:spacing w:before="56"/>
        <w:ind w:left="100"/>
        <w:rPr>
          <w:sz w:val="16"/>
        </w:rPr>
      </w:pPr>
      <w:r>
        <w:rPr>
          <w:sz w:val="16"/>
        </w:rPr>
        <w:lastRenderedPageBreak/>
        <w:t>ap_XVIII.pdf&gt;. Acesso em: 27 fev. 2011.</w:t>
      </w:r>
    </w:p>
    <w:p w:rsidR="00D81F69" w:rsidRDefault="00330118">
      <w:pPr>
        <w:spacing w:before="56" w:line="312" w:lineRule="auto"/>
        <w:ind w:left="100" w:right="70"/>
        <w:jc w:val="both"/>
        <w:rPr>
          <w:sz w:val="16"/>
        </w:rPr>
      </w:pPr>
      <w:r>
        <w:rPr>
          <w:sz w:val="16"/>
        </w:rPr>
        <w:t>CIARELLI, Mônica. Vale quer aprovar projeto Serra Azul até julho. Agê</w:t>
      </w:r>
      <w:r>
        <w:rPr>
          <w:sz w:val="16"/>
        </w:rPr>
        <w:t>ncia Estado. In: Estadão.com.br, 10 abr. 2012. Disponível em:</w:t>
      </w:r>
    </w:p>
    <w:p w:rsidR="00D81F69" w:rsidRDefault="00D81F69">
      <w:pPr>
        <w:spacing w:before="2" w:line="312" w:lineRule="auto"/>
        <w:ind w:left="100" w:right="88"/>
        <w:jc w:val="both"/>
        <w:rPr>
          <w:sz w:val="16"/>
        </w:rPr>
      </w:pPr>
      <w:hyperlink r:id="rId337">
        <w:r w:rsidR="00330118">
          <w:rPr>
            <w:sz w:val="16"/>
          </w:rPr>
          <w:t>&lt;http://economia.estadao.com.br/noticias/neg%C3%B3cios,vale-quer-</w:t>
        </w:r>
      </w:hyperlink>
      <w:r w:rsidR="00330118">
        <w:rPr>
          <w:sz w:val="16"/>
        </w:rPr>
        <w:t xml:space="preserve"> aprovar-projeto-serra-azul-ate-julho,108905,</w:t>
      </w:r>
      <w:r w:rsidR="00330118">
        <w:rPr>
          <w:sz w:val="16"/>
        </w:rPr>
        <w:t>0.htm&gt;. Acesso em: 13 ago. 2012.</w:t>
      </w:r>
    </w:p>
    <w:p w:rsidR="00D81F69" w:rsidRDefault="00330118">
      <w:pPr>
        <w:spacing w:before="2" w:line="312" w:lineRule="auto"/>
        <w:ind w:left="100" w:right="68"/>
        <w:jc w:val="both"/>
        <w:rPr>
          <w:sz w:val="16"/>
        </w:rPr>
      </w:pPr>
      <w:r>
        <w:rPr>
          <w:sz w:val="16"/>
        </w:rPr>
        <w:t>CUNHA JR., Walter Roberto; ATZINGEN, Noé Von; CRESCENCIO, Genival. Estudos espeleológicos na Serra dos Carajás, município de Parauopebas (PA). In: Anais do XXIX Congresso Brasileiro de Espeleologia, Ouro Preto (MG), 07-10 j</w:t>
      </w:r>
      <w:r>
        <w:rPr>
          <w:sz w:val="16"/>
        </w:rPr>
        <w:t>un. 2007. Disponível em:</w:t>
      </w:r>
    </w:p>
    <w:p w:rsidR="00D81F69" w:rsidRDefault="00D81F69">
      <w:pPr>
        <w:spacing w:before="4" w:line="312" w:lineRule="auto"/>
        <w:ind w:left="100" w:right="73"/>
        <w:jc w:val="both"/>
        <w:rPr>
          <w:sz w:val="16"/>
        </w:rPr>
      </w:pPr>
      <w:hyperlink r:id="rId338">
        <w:r w:rsidR="00330118">
          <w:rPr>
            <w:sz w:val="16"/>
          </w:rPr>
          <w:t xml:space="preserve">&lt;http://www.sbe.com.br/anais29cbe/29cbe_097-103.pdf&gt;. </w:t>
        </w:r>
      </w:hyperlink>
      <w:r w:rsidR="00330118">
        <w:rPr>
          <w:sz w:val="16"/>
        </w:rPr>
        <w:t>Acesso em: 28 fev. 2011.</w:t>
      </w:r>
    </w:p>
    <w:p w:rsidR="00D81F69" w:rsidRDefault="00330118">
      <w:pPr>
        <w:spacing w:before="1" w:line="312" w:lineRule="auto"/>
        <w:ind w:left="100" w:right="69"/>
        <w:jc w:val="both"/>
        <w:rPr>
          <w:sz w:val="16"/>
        </w:rPr>
      </w:pPr>
      <w:r>
        <w:rPr>
          <w:sz w:val="16"/>
        </w:rPr>
        <w:t>FRANKLIN, Adalberto. Apontamentos e fontes para a História Econômica de Matriz. Imperatriz, MA: Ética, 2008. Disponível em:</w:t>
      </w:r>
    </w:p>
    <w:p w:rsidR="00D81F69" w:rsidRDefault="00D81F69">
      <w:pPr>
        <w:spacing w:before="2" w:line="312" w:lineRule="auto"/>
        <w:ind w:left="100" w:right="38"/>
        <w:rPr>
          <w:sz w:val="16"/>
        </w:rPr>
      </w:pPr>
      <w:hyperlink r:id="rId339">
        <w:r w:rsidR="00330118">
          <w:rPr>
            <w:sz w:val="16"/>
          </w:rPr>
          <w:t>&lt;</w:t>
        </w:r>
        <w:r w:rsidR="00330118">
          <w:rPr>
            <w:sz w:val="16"/>
          </w:rPr>
          <w:t xml:space="preserve"> h t t p : / / a d a l b e r t o f r a n k l i n . p o r . c o m . b r / w p - </w:t>
        </w:r>
      </w:hyperlink>
      <w:r w:rsidR="00330118">
        <w:rPr>
          <w:sz w:val="16"/>
        </w:rPr>
        <w:t>content/uploads/2012/03/AF_Hist-Econ-Imperatriz_livro.pdf&gt;. Acesso em 27 de novembro de 2012.</w:t>
      </w:r>
    </w:p>
    <w:p w:rsidR="00D81F69" w:rsidRDefault="00330118">
      <w:pPr>
        <w:spacing w:before="2" w:line="312" w:lineRule="auto"/>
        <w:ind w:left="100" w:right="40"/>
        <w:jc w:val="both"/>
        <w:rPr>
          <w:sz w:val="16"/>
        </w:rPr>
      </w:pPr>
      <w:r>
        <w:rPr>
          <w:sz w:val="16"/>
        </w:rPr>
        <w:t xml:space="preserve">IBGE, Instituto Brasileiro de Geografia e Estatística. Parauapebas </w:t>
      </w:r>
      <w:r>
        <w:rPr>
          <w:spacing w:val="23"/>
          <w:sz w:val="16"/>
        </w:rPr>
        <w:t xml:space="preserve">(PA). </w:t>
      </w:r>
      <w:r>
        <w:rPr>
          <w:spacing w:val="20"/>
          <w:sz w:val="16"/>
        </w:rPr>
        <w:t xml:space="preserve">In: </w:t>
      </w:r>
      <w:r>
        <w:rPr>
          <w:spacing w:val="21"/>
          <w:sz w:val="16"/>
        </w:rPr>
        <w:t xml:space="preserve">IBGE </w:t>
      </w:r>
      <w:r>
        <w:rPr>
          <w:spacing w:val="25"/>
          <w:sz w:val="16"/>
        </w:rPr>
        <w:t>C</w:t>
      </w:r>
      <w:r>
        <w:rPr>
          <w:spacing w:val="25"/>
          <w:sz w:val="16"/>
        </w:rPr>
        <w:t>idades,</w:t>
      </w:r>
      <w:r>
        <w:rPr>
          <w:spacing w:val="95"/>
          <w:sz w:val="16"/>
        </w:rPr>
        <w:t xml:space="preserve"> </w:t>
      </w:r>
      <w:r>
        <w:rPr>
          <w:spacing w:val="23"/>
          <w:sz w:val="16"/>
        </w:rPr>
        <w:t xml:space="preserve">2010. </w:t>
      </w:r>
      <w:r>
        <w:rPr>
          <w:spacing w:val="26"/>
          <w:sz w:val="16"/>
        </w:rPr>
        <w:t>Disponível</w:t>
      </w:r>
      <w:r>
        <w:rPr>
          <w:spacing w:val="25"/>
          <w:sz w:val="16"/>
        </w:rPr>
        <w:t xml:space="preserve"> </w:t>
      </w:r>
      <w:r>
        <w:rPr>
          <w:spacing w:val="20"/>
          <w:sz w:val="16"/>
        </w:rPr>
        <w:t>em:</w:t>
      </w:r>
      <w:r>
        <w:rPr>
          <w:spacing w:val="-14"/>
          <w:sz w:val="16"/>
        </w:rPr>
        <w:t xml:space="preserve"> </w:t>
      </w:r>
    </w:p>
    <w:p w:rsidR="00D81F69" w:rsidRDefault="00D81F69">
      <w:pPr>
        <w:spacing w:before="2"/>
        <w:ind w:left="100"/>
        <w:rPr>
          <w:sz w:val="16"/>
        </w:rPr>
      </w:pPr>
      <w:hyperlink r:id="rId340">
        <w:r w:rsidR="00330118">
          <w:rPr>
            <w:sz w:val="16"/>
          </w:rPr>
          <w:t>&lt;http://www.ibge.gov.br/cidadesat/xtras/perfil.php?codmun=150553&amp;r</w:t>
        </w:r>
      </w:hyperlink>
    </w:p>
    <w:p w:rsidR="00D81F69" w:rsidRDefault="00330118">
      <w:pPr>
        <w:spacing w:before="56"/>
        <w:ind w:left="100"/>
        <w:rPr>
          <w:sz w:val="16"/>
        </w:rPr>
      </w:pPr>
      <w:r>
        <w:rPr>
          <w:sz w:val="16"/>
        </w:rPr>
        <w:t>=2&gt;. Acesso em: 27 fev. 2011.</w:t>
      </w:r>
    </w:p>
    <w:p w:rsidR="00D81F69" w:rsidRDefault="00330118">
      <w:pPr>
        <w:spacing w:before="56" w:line="312" w:lineRule="auto"/>
        <w:ind w:left="100" w:right="72"/>
        <w:jc w:val="both"/>
        <w:rPr>
          <w:sz w:val="16"/>
        </w:rPr>
      </w:pPr>
      <w:r>
        <w:rPr>
          <w:sz w:val="16"/>
        </w:rPr>
        <w:t xml:space="preserve">LAMOSO, Lisandra Pereira. A exploração de </w:t>
      </w:r>
      <w:r>
        <w:rPr>
          <w:sz w:val="16"/>
        </w:rPr>
        <w:t>minério de ferro no Brasil e no Mato Grosso do Sul, 2001. Tese (Doutorado em Geografia), Universidade de São Paulo (USP), São Paulo (SP), 309f.</w:t>
      </w:r>
    </w:p>
    <w:p w:rsidR="00D81F69" w:rsidRDefault="00330118">
      <w:pPr>
        <w:spacing w:before="56"/>
        <w:ind w:left="100"/>
        <w:jc w:val="both"/>
        <w:rPr>
          <w:sz w:val="16"/>
        </w:rPr>
      </w:pPr>
      <w:r>
        <w:br w:type="column"/>
      </w:r>
      <w:r>
        <w:rPr>
          <w:spacing w:val="20"/>
          <w:sz w:val="16"/>
        </w:rPr>
        <w:lastRenderedPageBreak/>
        <w:t xml:space="preserve">Economia.ig.com.br, </w:t>
      </w:r>
      <w:r>
        <w:rPr>
          <w:spacing w:val="10"/>
          <w:sz w:val="16"/>
        </w:rPr>
        <w:t>26</w:t>
      </w:r>
      <w:r>
        <w:rPr>
          <w:spacing w:val="65"/>
          <w:sz w:val="16"/>
        </w:rPr>
        <w:t xml:space="preserve"> </w:t>
      </w:r>
      <w:r>
        <w:rPr>
          <w:spacing w:val="15"/>
          <w:sz w:val="16"/>
        </w:rPr>
        <w:t>jul.</w:t>
      </w:r>
      <w:r>
        <w:rPr>
          <w:spacing w:val="75"/>
          <w:sz w:val="16"/>
        </w:rPr>
        <w:t xml:space="preserve"> </w:t>
      </w:r>
      <w:r>
        <w:rPr>
          <w:spacing w:val="17"/>
          <w:sz w:val="16"/>
        </w:rPr>
        <w:t xml:space="preserve">2010b. </w:t>
      </w:r>
      <w:r>
        <w:rPr>
          <w:spacing w:val="18"/>
          <w:sz w:val="16"/>
        </w:rPr>
        <w:t>Disponível</w:t>
      </w:r>
      <w:r>
        <w:rPr>
          <w:spacing w:val="17"/>
          <w:sz w:val="16"/>
        </w:rPr>
        <w:t xml:space="preserve"> </w:t>
      </w:r>
      <w:r>
        <w:rPr>
          <w:spacing w:val="13"/>
          <w:sz w:val="16"/>
        </w:rPr>
        <w:t>em:</w:t>
      </w:r>
      <w:r>
        <w:rPr>
          <w:spacing w:val="-21"/>
          <w:sz w:val="16"/>
        </w:rPr>
        <w:t xml:space="preserve"> </w:t>
      </w:r>
    </w:p>
    <w:p w:rsidR="00D81F69" w:rsidRDefault="00D81F69">
      <w:pPr>
        <w:spacing w:before="56" w:line="312" w:lineRule="auto"/>
        <w:ind w:left="100" w:right="231"/>
        <w:jc w:val="both"/>
        <w:rPr>
          <w:sz w:val="16"/>
        </w:rPr>
      </w:pPr>
      <w:hyperlink r:id="rId341">
        <w:r w:rsidR="00330118">
          <w:rPr>
            <w:sz w:val="16"/>
          </w:rPr>
          <w:t>&lt;http://economia.ig.com.br/empresas/industria/saiba+como+funciona+</w:t>
        </w:r>
      </w:hyperlink>
      <w:r w:rsidR="00330118">
        <w:rPr>
          <w:sz w:val="16"/>
        </w:rPr>
        <w:t xml:space="preserve"> a+mina+de+ferro+da+vale+em+carajas/n1237726867589.html&gt;. Acesso em: 27 fev. 2011.</w:t>
      </w:r>
    </w:p>
    <w:p w:rsidR="00D81F69" w:rsidRDefault="00330118">
      <w:pPr>
        <w:spacing w:before="3" w:line="312" w:lineRule="auto"/>
        <w:ind w:left="100" w:right="227"/>
        <w:jc w:val="both"/>
        <w:rPr>
          <w:sz w:val="16"/>
        </w:rPr>
      </w:pPr>
      <w:r>
        <w:rPr>
          <w:sz w:val="16"/>
        </w:rPr>
        <w:t>SAMPAIO, João Alves. JULIANELLI, Kesley Medeiros e PENNA, Márcio Tôrres Moreir</w:t>
      </w:r>
      <w:r>
        <w:rPr>
          <w:sz w:val="16"/>
        </w:rPr>
        <w:t xml:space="preserve">a. Ferro – Mina N5 – Carajás/CVRD. Comunicação Técnica elaborada para o livro Usina de Beneficiamento de Minérios do Brasil. Rio de Janeiro/RJ, dez. 2002. Disponível em: </w:t>
      </w:r>
      <w:hyperlink r:id="rId342">
        <w:r>
          <w:rPr>
            <w:sz w:val="16"/>
          </w:rPr>
          <w:t>&lt;http://www.cetem.gov.</w:t>
        </w:r>
        <w:r>
          <w:rPr>
            <w:sz w:val="16"/>
          </w:rPr>
          <w:t>br/publicacao/CTs/CT2002-</w:t>
        </w:r>
      </w:hyperlink>
      <w:r>
        <w:rPr>
          <w:sz w:val="16"/>
        </w:rPr>
        <w:t xml:space="preserve"> 159-00.pdf&gt;. Acesso em: 28 fev. 2011.</w:t>
      </w:r>
    </w:p>
    <w:p w:rsidR="00D81F69" w:rsidRDefault="00330118">
      <w:pPr>
        <w:spacing w:before="5" w:line="312" w:lineRule="auto"/>
        <w:ind w:left="100" w:right="217"/>
        <w:jc w:val="both"/>
        <w:rPr>
          <w:sz w:val="16"/>
        </w:rPr>
      </w:pPr>
      <w:r>
        <w:rPr>
          <w:sz w:val="16"/>
        </w:rPr>
        <w:t xml:space="preserve">VALE. Transporte Ferroviário. Portal virtual da mineradora Vale. Nossos Negócios; Logística. 2008. Disponível em: </w:t>
      </w:r>
    </w:p>
    <w:p w:rsidR="00D81F69" w:rsidRDefault="00D81F69">
      <w:pPr>
        <w:spacing w:before="1" w:line="312" w:lineRule="auto"/>
        <w:ind w:left="100" w:right="232"/>
        <w:jc w:val="both"/>
        <w:rPr>
          <w:sz w:val="16"/>
        </w:rPr>
      </w:pPr>
      <w:hyperlink r:id="rId343">
        <w:r w:rsidR="00330118">
          <w:rPr>
            <w:sz w:val="16"/>
          </w:rPr>
          <w:t>&lt;http://www.vale.com/vale/cgi/cgilua.exe/sys/start.htm?sid=63&gt;.</w:t>
        </w:r>
      </w:hyperlink>
      <w:r w:rsidR="00330118">
        <w:rPr>
          <w:sz w:val="16"/>
        </w:rPr>
        <w:t xml:space="preserve"> Acesso em: 28 fev. 2011.</w:t>
      </w:r>
    </w:p>
    <w:p w:rsidR="00D81F69" w:rsidRDefault="00330118">
      <w:pPr>
        <w:spacing w:before="2" w:line="312" w:lineRule="auto"/>
        <w:ind w:left="100" w:right="233"/>
        <w:jc w:val="both"/>
        <w:rPr>
          <w:sz w:val="16"/>
        </w:rPr>
      </w:pPr>
      <w:r>
        <w:rPr>
          <w:sz w:val="16"/>
        </w:rPr>
        <w:t xml:space="preserve">VERDE, Rodrigo Braga da Rocha Villa. Parauapebas (PA): a mão de ferro do Brasil na implantação do Projeto Grande Carajás. XII Encontro de Geógrafos da América Latina </w:t>
      </w:r>
      <w:r>
        <w:rPr>
          <w:sz w:val="16"/>
        </w:rPr>
        <w:t>– EGAL, Montevidéu, Província de Montevidéu: Uruguai, 2009. p.1-15. Disponível em:</w:t>
      </w:r>
    </w:p>
    <w:p w:rsidR="00D81F69" w:rsidRDefault="00D81F69">
      <w:pPr>
        <w:spacing w:before="3" w:line="312" w:lineRule="auto"/>
        <w:ind w:left="100" w:right="257"/>
        <w:jc w:val="both"/>
        <w:rPr>
          <w:sz w:val="16"/>
        </w:rPr>
      </w:pPr>
      <w:hyperlink r:id="rId344">
        <w:r w:rsidR="00330118">
          <w:rPr>
            <w:sz w:val="16"/>
          </w:rPr>
          <w:t>&lt;http://egal2009.easyplanners.info/area07/7656_VERDE_RODRIGO_</w:t>
        </w:r>
      </w:hyperlink>
      <w:r w:rsidR="00330118">
        <w:rPr>
          <w:sz w:val="16"/>
        </w:rPr>
        <w:t xml:space="preserve"> BRAGA_DA_ROCHA_VILLA.pdf&gt;. Acesso</w:t>
      </w:r>
      <w:r w:rsidR="00330118">
        <w:rPr>
          <w:sz w:val="16"/>
        </w:rPr>
        <w:t xml:space="preserve"> em: 27 fev. 2011.</w:t>
      </w:r>
    </w:p>
    <w:p w:rsidR="00D81F69" w:rsidRDefault="00330118">
      <w:pPr>
        <w:spacing w:before="2" w:line="312" w:lineRule="auto"/>
        <w:ind w:left="100" w:right="237"/>
        <w:jc w:val="both"/>
        <w:rPr>
          <w:sz w:val="16"/>
        </w:rPr>
      </w:pPr>
      <w:r>
        <w:rPr>
          <w:sz w:val="16"/>
        </w:rPr>
        <w:t>VERDE, Rodrigo Braga da Rocha Villa; FERNANDES, Francisco do Rego Chaves. Panorama sócio-espacial de Parauapebas (PA) após a implantação da mina de ferro Carajás. Rio de Janeiro, CETEM, nov.</w:t>
      </w:r>
    </w:p>
    <w:p w:rsidR="00D81F69" w:rsidRDefault="00330118">
      <w:pPr>
        <w:tabs>
          <w:tab w:val="left" w:pos="1785"/>
          <w:tab w:val="left" w:pos="4548"/>
        </w:tabs>
        <w:spacing w:before="2"/>
        <w:ind w:left="100"/>
        <w:jc w:val="both"/>
        <w:rPr>
          <w:sz w:val="16"/>
        </w:rPr>
      </w:pPr>
      <w:r>
        <w:rPr>
          <w:sz w:val="16"/>
        </w:rPr>
        <w:t xml:space="preserve">2   0   0  </w:t>
      </w:r>
      <w:r>
        <w:rPr>
          <w:spacing w:val="35"/>
          <w:sz w:val="16"/>
        </w:rPr>
        <w:t xml:space="preserve"> </w:t>
      </w:r>
      <w:r>
        <w:rPr>
          <w:sz w:val="16"/>
        </w:rPr>
        <w:t xml:space="preserve">9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57"/>
        <w:jc w:val="both"/>
        <w:rPr>
          <w:sz w:val="16"/>
        </w:rPr>
      </w:pPr>
      <w:hyperlink r:id="rId345">
        <w:r w:rsidR="00330118">
          <w:rPr>
            <w:sz w:val="16"/>
          </w:rPr>
          <w:t>&lt;http://www.cetem.gov.br/publicacao/serie_anais_XVII_jic_2009/Rodri</w:t>
        </w:r>
      </w:hyperlink>
      <w:r w:rsidR="00330118">
        <w:rPr>
          <w:sz w:val="16"/>
        </w:rPr>
        <w:t xml:space="preserve"> go_Braga_da_Rocha_Villa_Verde.pdf&gt;. Acesso em: 13 ago. 2012.</w:t>
      </w:r>
    </w:p>
    <w:p w:rsidR="00D81F69" w:rsidRDefault="00D81F69">
      <w:pPr>
        <w:spacing w:line="312" w:lineRule="auto"/>
        <w:jc w:val="both"/>
        <w:rPr>
          <w:sz w:val="16"/>
        </w:rPr>
        <w:sectPr w:rsidR="00D81F69">
          <w:type w:val="continuous"/>
          <w:pgSz w:w="11900" w:h="16840"/>
          <w:pgMar w:top="720" w:right="460" w:bottom="280" w:left="620" w:header="720" w:footer="720" w:gutter="0"/>
          <w:cols w:num="2" w:space="720" w:equalWidth="0">
            <w:col w:w="5185" w:space="285"/>
            <w:col w:w="5350"/>
          </w:cols>
        </w:sectPr>
      </w:pPr>
    </w:p>
    <w:p w:rsidR="00D81F69" w:rsidRDefault="00330118">
      <w:pPr>
        <w:pStyle w:val="Heading1"/>
        <w:spacing w:line="208" w:lineRule="auto"/>
        <w:ind w:right="0"/>
      </w:pPr>
      <w:bookmarkStart w:id="29" w:name="_TOC_250004"/>
      <w:r>
        <w:rPr>
          <w:spacing w:val="3"/>
        </w:rPr>
        <w:lastRenderedPageBreak/>
        <w:t xml:space="preserve">Garimpo ilegal </w:t>
      </w:r>
      <w:r>
        <w:t xml:space="preserve">e </w:t>
      </w:r>
      <w:r>
        <w:rPr>
          <w:spacing w:val="3"/>
        </w:rPr>
        <w:t xml:space="preserve">outros conflitos socioambientais </w:t>
      </w:r>
      <w:r>
        <w:rPr>
          <w:spacing w:val="5"/>
        </w:rPr>
        <w:t xml:space="preserve">na </w:t>
      </w:r>
      <w:r>
        <w:rPr>
          <w:spacing w:val="3"/>
        </w:rPr>
        <w:t xml:space="preserve">Terra </w:t>
      </w:r>
      <w:r>
        <w:rPr>
          <w:spacing w:val="1"/>
        </w:rPr>
        <w:t xml:space="preserve">do </w:t>
      </w:r>
      <w:r>
        <w:rPr>
          <w:spacing w:val="2"/>
        </w:rPr>
        <w:t>Meio</w:t>
      </w:r>
      <w:r>
        <w:rPr>
          <w:spacing w:val="71"/>
        </w:rPr>
        <w:t xml:space="preserve"> </w:t>
      </w:r>
      <w:bookmarkEnd w:id="29"/>
      <w:r>
        <w:rPr>
          <w:spacing w:val="5"/>
        </w:rPr>
        <w:t>(PA)</w:t>
      </w:r>
    </w:p>
    <w:p w:rsidR="00D81F69" w:rsidRDefault="00D81F69">
      <w:pPr>
        <w:pStyle w:val="Corpodetexto"/>
        <w:ind w:left="0"/>
        <w:jc w:val="left"/>
        <w:rPr>
          <w:b/>
          <w:sz w:val="20"/>
        </w:rPr>
      </w:pPr>
    </w:p>
    <w:p w:rsidR="00D81F69" w:rsidRDefault="00D81F69">
      <w:pPr>
        <w:rPr>
          <w:sz w:val="20"/>
        </w:rPr>
        <w:sectPr w:rsidR="00D81F69">
          <w:pgSz w:w="11900" w:h="16840"/>
          <w:pgMar w:top="1080" w:right="460" w:bottom="7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PA - Altamira</w:t>
      </w:r>
    </w:p>
    <w:p w:rsidR="00D81F69" w:rsidRDefault="00330118">
      <w:pPr>
        <w:spacing w:before="49"/>
        <w:ind w:left="135"/>
        <w:rPr>
          <w:i/>
          <w:sz w:val="14"/>
        </w:rPr>
      </w:pPr>
      <w:r>
        <w:rPr>
          <w:i/>
          <w:sz w:val="14"/>
        </w:rPr>
        <w:t>PA - São Félix do Xingu</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-3,1946</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-52,2093</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9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Com mais de 8 milhões de hectares de área, a Terra do Meio, no centro do Pará, é uma das regiões mais importantes para conservação da sociobiodiversidade da Amazônia, sendo também palco de grandes conflitos fundiários. A área é alvo de grileiros, pistoleir</w:t>
      </w:r>
      <w:r>
        <w:rPr>
          <w:i/>
          <w:sz w:val="16"/>
        </w:rPr>
        <w:t>os, garimpeiros e madeireiras ilegais por causa de seus imensos estoques de madeiras de lei, minérios, terras públicas e devolutas.</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9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35"/>
      </w:pPr>
      <w:r>
        <w:t>entrada das madeireiras, de levas de migrantes e a formação de vários núcleos populacionais na Terra do Meio (ESCADA, et</w:t>
      </w:r>
      <w:r>
        <w:t xml:space="preserve"> al., 2005).</w:t>
      </w:r>
    </w:p>
    <w:p w:rsidR="00D81F69" w:rsidRDefault="00330118">
      <w:pPr>
        <w:pStyle w:val="Corpodetexto"/>
        <w:spacing w:before="132" w:line="312" w:lineRule="auto"/>
        <w:ind w:left="135" w:right="245"/>
      </w:pPr>
      <w:r>
        <w:t>O povoamento não indígena foi estimulado, sobretudo, pelo ciclo da extração do látex, entre o final do século XIX e os anos 1940. O declínio da economia extrativista e as dificuldades de acesso fizeram com que a região caísse na estagnação eco</w:t>
      </w:r>
      <w:r>
        <w:t>nômica e no esvaziamento demográfico até meados dos anos 1970 (ISA, 2006b).</w:t>
      </w:r>
    </w:p>
    <w:p w:rsidR="00D81F69" w:rsidRDefault="00330118">
      <w:pPr>
        <w:pStyle w:val="Corpodetexto"/>
        <w:spacing w:before="73" w:line="270" w:lineRule="atLeast"/>
        <w:ind w:left="135" w:right="233"/>
      </w:pPr>
      <w:r>
        <w:t>Entre o final dos anos 1970 e início dos anos 1980, os interesses econômicos voltaram-se para os minérios e para a madeira, em especial, o mogno (ISA, 2006b). No local, há,</w:t>
      </w:r>
    </w:p>
    <w:p w:rsidR="00D81F69" w:rsidRDefault="00D81F69">
      <w:pPr>
        <w:spacing w:line="270" w:lineRule="atLeast"/>
        <w:sectPr w:rsidR="00D81F69">
          <w:type w:val="continuous"/>
          <w:pgSz w:w="11900" w:h="16840"/>
          <w:pgMar w:top="720" w:right="460" w:bottom="280" w:left="620" w:header="720" w:footer="720" w:gutter="0"/>
          <w:cols w:num="3" w:space="720" w:equalWidth="0">
            <w:col w:w="1662" w:space="338"/>
            <w:col w:w="3120" w:space="315"/>
            <w:col w:w="5385"/>
          </w:cols>
        </w:sectPr>
      </w:pPr>
    </w:p>
    <w:p w:rsidR="00D81F69" w:rsidRDefault="00330118">
      <w:pPr>
        <w:pStyle w:val="Heading4"/>
        <w:spacing w:line="263" w:lineRule="exact"/>
      </w:pPr>
      <w:r>
        <w:lastRenderedPageBreak/>
        <w:t>APRESENTAÇÃO DE CASO</w:t>
      </w:r>
    </w:p>
    <w:p w:rsidR="00D81F69" w:rsidRDefault="00330118">
      <w:pPr>
        <w:pStyle w:val="Corpodetexto"/>
        <w:spacing w:before="170" w:line="312" w:lineRule="auto"/>
        <w:ind w:right="60"/>
      </w:pPr>
      <w:r>
        <w:t>Com mais de 8 milhões de hectares de área, a Terra do Meio, no centro do Pará, é uma das regiões mais importantes para conservação da sociobiodiversidade da Amazônia, sendo também palco de conflitos fun</w:t>
      </w:r>
      <w:r>
        <w:t>diários (ISA, 2006a; FUNDO VALE, 2011).</w:t>
      </w:r>
    </w:p>
    <w:p w:rsidR="00D81F69" w:rsidRDefault="00330118">
      <w:pPr>
        <w:pStyle w:val="Corpodetexto"/>
        <w:spacing w:before="135" w:line="312" w:lineRule="auto"/>
        <w:ind w:right="55"/>
      </w:pPr>
      <w:r>
        <w:t>A Terra do Meio é assim denominada por situar-se entre o rio Xingu e seu afluente, o rio Iriri, abrangendo ainda trechos dos municípios de Altamira e São Félix do Xingu (PONTES, et al., 2004) em meio a oito Terras In</w:t>
      </w:r>
      <w:r>
        <w:t>dígenas (TI’s). A região é reconhecida como uma das mais importantes para a conservação da Floresta Amazônica, com uma riqueza biológica e genética ainda pouco conhecida (ISA, 2006a).</w:t>
      </w:r>
    </w:p>
    <w:p w:rsidR="00D81F69" w:rsidRDefault="00330118">
      <w:pPr>
        <w:pStyle w:val="Corpodetexto"/>
        <w:spacing w:before="136" w:line="312" w:lineRule="auto"/>
        <w:ind w:right="58"/>
      </w:pPr>
      <w:r>
        <w:t>A Terra do Meio tem mais de 90% de seu território ainda bem conservados,</w:t>
      </w:r>
      <w:r>
        <w:t xml:space="preserve"> mas sofre com o avanço da fronteira agrícola e conflitos fundiários, que envolvem desde comunidades locais e fazendeiros até poderosos grupos econômicos nacionais. A área é alvo de grileiros, pistoleiros, garimpeiros e madeireiras ilegais, devido a seus g</w:t>
      </w:r>
      <w:r>
        <w:t>randes estoques de madeiras de lei, minérios,</w:t>
      </w:r>
      <w:r>
        <w:rPr>
          <w:spacing w:val="16"/>
        </w:rPr>
        <w:t xml:space="preserve"> </w:t>
      </w:r>
      <w:r>
        <w:t>terras</w:t>
      </w:r>
      <w:r>
        <w:rPr>
          <w:spacing w:val="16"/>
        </w:rPr>
        <w:t xml:space="preserve"> </w:t>
      </w:r>
      <w:r>
        <w:t>públicas</w:t>
      </w:r>
      <w:r>
        <w:rPr>
          <w:spacing w:val="16"/>
        </w:rPr>
        <w:t xml:space="preserve"> </w:t>
      </w:r>
      <w:r>
        <w:t>e</w:t>
      </w:r>
      <w:r>
        <w:rPr>
          <w:spacing w:val="16"/>
        </w:rPr>
        <w:t xml:space="preserve"> </w:t>
      </w:r>
      <w:r>
        <w:t>devolutas</w:t>
      </w:r>
      <w:r>
        <w:rPr>
          <w:spacing w:val="16"/>
        </w:rPr>
        <w:t xml:space="preserve"> </w:t>
      </w:r>
      <w:r>
        <w:t>(ISA,</w:t>
      </w:r>
      <w:r>
        <w:rPr>
          <w:spacing w:val="16"/>
        </w:rPr>
        <w:t xml:space="preserve"> </w:t>
      </w:r>
      <w:r>
        <w:t>2006a).</w:t>
      </w:r>
    </w:p>
    <w:p w:rsidR="00D81F69" w:rsidRDefault="00330118">
      <w:pPr>
        <w:pStyle w:val="Corpodetexto"/>
        <w:spacing w:before="137" w:line="312" w:lineRule="auto"/>
        <w:ind w:right="38"/>
      </w:pPr>
      <w:r>
        <w:t xml:space="preserve">A </w:t>
      </w:r>
      <w:r>
        <w:rPr>
          <w:spacing w:val="3"/>
        </w:rPr>
        <w:t xml:space="preserve">extensa </w:t>
      </w:r>
      <w:r>
        <w:rPr>
          <w:spacing w:val="2"/>
        </w:rPr>
        <w:t xml:space="preserve">rede </w:t>
      </w:r>
      <w:r>
        <w:rPr>
          <w:spacing w:val="1"/>
        </w:rPr>
        <w:t xml:space="preserve">de </w:t>
      </w:r>
      <w:r>
        <w:rPr>
          <w:spacing w:val="2"/>
        </w:rPr>
        <w:t xml:space="preserve">rios </w:t>
      </w:r>
      <w:r>
        <w:t xml:space="preserve">e </w:t>
      </w:r>
      <w:r>
        <w:rPr>
          <w:spacing w:val="3"/>
        </w:rPr>
        <w:t xml:space="preserve">igarapés </w:t>
      </w:r>
      <w:r>
        <w:rPr>
          <w:spacing w:val="2"/>
        </w:rPr>
        <w:t xml:space="preserve">que </w:t>
      </w:r>
      <w:r>
        <w:rPr>
          <w:spacing w:val="3"/>
        </w:rPr>
        <w:t xml:space="preserve">atravessa </w:t>
      </w:r>
      <w:r>
        <w:t xml:space="preserve">a </w:t>
      </w:r>
      <w:r>
        <w:rPr>
          <w:spacing w:val="5"/>
        </w:rPr>
        <w:t xml:space="preserve">região </w:t>
      </w:r>
      <w:r>
        <w:t>favoreceu a exploração pontual de seu interior, onde existem jazidas minerais, principalmente de ouro e estanho</w:t>
      </w:r>
      <w:r>
        <w:t xml:space="preserve">, e áreas  </w:t>
      </w:r>
      <w:r>
        <w:rPr>
          <w:spacing w:val="1"/>
        </w:rPr>
        <w:t xml:space="preserve">de </w:t>
      </w:r>
      <w:r>
        <w:rPr>
          <w:spacing w:val="3"/>
        </w:rPr>
        <w:t xml:space="preserve">concentração </w:t>
      </w:r>
      <w:r>
        <w:rPr>
          <w:spacing w:val="1"/>
        </w:rPr>
        <w:t xml:space="preserve">de </w:t>
      </w:r>
      <w:r>
        <w:rPr>
          <w:spacing w:val="3"/>
        </w:rPr>
        <w:t xml:space="preserve">mogno. </w:t>
      </w:r>
      <w:r>
        <w:rPr>
          <w:spacing w:val="1"/>
        </w:rPr>
        <w:t xml:space="preserve">Ao </w:t>
      </w:r>
      <w:r>
        <w:rPr>
          <w:spacing w:val="3"/>
        </w:rPr>
        <w:t xml:space="preserve">longo </w:t>
      </w:r>
      <w:r>
        <w:rPr>
          <w:spacing w:val="1"/>
        </w:rPr>
        <w:t xml:space="preserve">da </w:t>
      </w:r>
      <w:r>
        <w:rPr>
          <w:spacing w:val="3"/>
        </w:rPr>
        <w:t xml:space="preserve">rodovia </w:t>
      </w:r>
      <w:r>
        <w:rPr>
          <w:spacing w:val="1"/>
        </w:rPr>
        <w:t xml:space="preserve">BR </w:t>
      </w:r>
      <w:r>
        <w:rPr>
          <w:spacing w:val="5"/>
        </w:rPr>
        <w:t xml:space="preserve">163 </w:t>
      </w:r>
      <w:r>
        <w:rPr>
          <w:spacing w:val="1"/>
        </w:rPr>
        <w:t xml:space="preserve">(Cuiabá-Santarém) </w:t>
      </w:r>
      <w:r>
        <w:t xml:space="preserve">e da BR 230 </w:t>
      </w:r>
      <w:r>
        <w:rPr>
          <w:spacing w:val="1"/>
        </w:rPr>
        <w:t xml:space="preserve">(Transamazônica), </w:t>
      </w:r>
      <w:r>
        <w:rPr>
          <w:spacing w:val="2"/>
        </w:rPr>
        <w:t xml:space="preserve">novos </w:t>
      </w:r>
      <w:r>
        <w:rPr>
          <w:spacing w:val="6"/>
        </w:rPr>
        <w:t xml:space="preserve">municípios </w:t>
      </w:r>
      <w:r>
        <w:rPr>
          <w:spacing w:val="3"/>
        </w:rPr>
        <w:t xml:space="preserve">se </w:t>
      </w:r>
      <w:r>
        <w:rPr>
          <w:spacing w:val="6"/>
        </w:rPr>
        <w:t xml:space="preserve">desenvolveram, </w:t>
      </w:r>
      <w:r>
        <w:rPr>
          <w:spacing w:val="5"/>
        </w:rPr>
        <w:t xml:space="preserve">dos quais sete, além </w:t>
      </w:r>
      <w:r>
        <w:rPr>
          <w:spacing w:val="7"/>
        </w:rPr>
        <w:t xml:space="preserve">de </w:t>
      </w:r>
      <w:r>
        <w:rPr>
          <w:spacing w:val="1"/>
        </w:rPr>
        <w:t xml:space="preserve">Altamira, </w:t>
      </w:r>
      <w:r>
        <w:t xml:space="preserve">São </w:t>
      </w:r>
      <w:r>
        <w:rPr>
          <w:spacing w:val="1"/>
        </w:rPr>
        <w:t xml:space="preserve">Félix </w:t>
      </w:r>
      <w:r>
        <w:t xml:space="preserve">do </w:t>
      </w:r>
      <w:r>
        <w:rPr>
          <w:spacing w:val="1"/>
        </w:rPr>
        <w:t xml:space="preserve">Xingu </w:t>
      </w:r>
      <w:r>
        <w:t xml:space="preserve">e </w:t>
      </w:r>
      <w:r>
        <w:rPr>
          <w:spacing w:val="1"/>
        </w:rPr>
        <w:t xml:space="preserve">Trairão, exercem </w:t>
      </w:r>
      <w:r>
        <w:rPr>
          <w:spacing w:val="2"/>
        </w:rPr>
        <w:t xml:space="preserve">influência </w:t>
      </w:r>
      <w:r>
        <w:rPr>
          <w:spacing w:val="16"/>
        </w:rPr>
        <w:t xml:space="preserve">econômica </w:t>
      </w:r>
      <w:r>
        <w:rPr>
          <w:spacing w:val="15"/>
        </w:rPr>
        <w:t xml:space="preserve">sobre </w:t>
      </w:r>
      <w:r>
        <w:t xml:space="preserve">a </w:t>
      </w:r>
      <w:r>
        <w:rPr>
          <w:spacing w:val="15"/>
        </w:rPr>
        <w:t xml:space="preserve">região </w:t>
      </w:r>
      <w:r>
        <w:rPr>
          <w:spacing w:val="17"/>
        </w:rPr>
        <w:t xml:space="preserve">(VELÁSQUEZ; </w:t>
      </w:r>
      <w:r>
        <w:rPr>
          <w:spacing w:val="15"/>
        </w:rPr>
        <w:t xml:space="preserve">BOAS; </w:t>
      </w:r>
      <w:r>
        <w:rPr>
          <w:spacing w:val="17"/>
        </w:rPr>
        <w:t>SCHWARTZMAN,</w:t>
      </w:r>
      <w:r>
        <w:rPr>
          <w:spacing w:val="23"/>
        </w:rPr>
        <w:t xml:space="preserve"> </w:t>
      </w:r>
      <w:r>
        <w:rPr>
          <w:spacing w:val="15"/>
        </w:rPr>
        <w:t>2006).</w:t>
      </w:r>
      <w:r>
        <w:rPr>
          <w:spacing w:val="-30"/>
        </w:rPr>
        <w:t xml:space="preserve"> </w:t>
      </w:r>
    </w:p>
    <w:p w:rsidR="00D81F69" w:rsidRDefault="00330118">
      <w:pPr>
        <w:pStyle w:val="Corpodetexto"/>
        <w:spacing w:before="138" w:line="312" w:lineRule="auto"/>
        <w:ind w:right="76"/>
      </w:pPr>
      <w:r>
        <w:t>A história de ocupação da região está associada à presença de diferentes tipos de atores e atividades econômicas, que se sucederam no tempo, refletindo-se nas transformações da paisagem e na perda significativa da cob</w:t>
      </w:r>
      <w:r>
        <w:t>ertura florestal. A abertura da estrada da Companhia Mineradora Canopus, que explorou cassiterita em meados dos anos de 1980, permitiu a</w:t>
      </w:r>
    </w:p>
    <w:p w:rsidR="00D81F69" w:rsidRDefault="00330118">
      <w:pPr>
        <w:pStyle w:val="Corpodetexto"/>
        <w:spacing w:before="63" w:line="312" w:lineRule="auto"/>
        <w:ind w:right="252"/>
      </w:pPr>
      <w:r>
        <w:br w:type="column"/>
      </w:r>
      <w:r>
        <w:lastRenderedPageBreak/>
        <w:t xml:space="preserve">também, a presença de atividade garimpeira de ouro em São Félix do Xingu, além de atividades de pesquisa mineral para </w:t>
      </w:r>
      <w:r>
        <w:t xml:space="preserve">ferro (Fe), níquel (Ni) e </w:t>
      </w:r>
      <w:hyperlink r:id="rId346">
        <w:r>
          <w:t xml:space="preserve">cobre </w:t>
        </w:r>
      </w:hyperlink>
      <w:r>
        <w:t>(Cu). Atualmente, vivem na Terra do Meio em torno de 10 mil pessoas, metade indígena e metade constituída de populações tradicionais e</w:t>
      </w:r>
      <w:r>
        <w:t xml:space="preserve"> ribeirinhas (BRASIL, 2006).</w:t>
      </w:r>
    </w:p>
    <w:p w:rsidR="00D81F69" w:rsidRDefault="00330118">
      <w:pPr>
        <w:pStyle w:val="Corpodetexto"/>
        <w:spacing w:before="135" w:line="312" w:lineRule="auto"/>
        <w:ind w:right="232"/>
      </w:pPr>
      <w:r>
        <w:t>A atividade garimpeira surgiu, no final da década de 1970, com o descobrimento de ouro em algumas localidades do Riozinho do Anfrísio, em Altamira (PA), iniciando-se pelo Garimpo da Pesquisa, situado na localidade do Igarapé do</w:t>
      </w:r>
      <w:r>
        <w:t xml:space="preserve"> Pereira. No mesmo igarapé, também está localizado o Garimpo da Baiana. Nessa atividade foram envolvidas quase todas as famílias do Riozinho do Anfrísio. Muitos moradores foram temporariamente para outras regiões de garimpo, e garimpeiros de outras regiões</w:t>
      </w:r>
      <w:r>
        <w:t xml:space="preserve"> se instalaram no Riozinho e, alguns constituíram famílias no local (ROCHA; CARVALHO; SILVA, 2008).</w:t>
      </w:r>
    </w:p>
    <w:p w:rsidR="00D81F69" w:rsidRDefault="00330118">
      <w:pPr>
        <w:pStyle w:val="Corpodetexto"/>
        <w:spacing w:before="141" w:line="312" w:lineRule="auto"/>
        <w:ind w:right="236"/>
      </w:pPr>
      <w:r>
        <w:rPr>
          <w:spacing w:val="5"/>
        </w:rPr>
        <w:t xml:space="preserve">Até os </w:t>
      </w:r>
      <w:r>
        <w:rPr>
          <w:spacing w:val="6"/>
        </w:rPr>
        <w:t xml:space="preserve">anos </w:t>
      </w:r>
      <w:r>
        <w:rPr>
          <w:spacing w:val="7"/>
        </w:rPr>
        <w:t xml:space="preserve">1980, </w:t>
      </w:r>
      <w:r>
        <w:t xml:space="preserve">a </w:t>
      </w:r>
      <w:r>
        <w:rPr>
          <w:spacing w:val="7"/>
        </w:rPr>
        <w:t xml:space="preserve">ocupação </w:t>
      </w:r>
      <w:r>
        <w:rPr>
          <w:spacing w:val="5"/>
        </w:rPr>
        <w:t xml:space="preserve">foi </w:t>
      </w:r>
      <w:r>
        <w:rPr>
          <w:spacing w:val="8"/>
        </w:rPr>
        <w:t xml:space="preserve">influenciada </w:t>
      </w:r>
      <w:r>
        <w:rPr>
          <w:spacing w:val="10"/>
        </w:rPr>
        <w:t xml:space="preserve">pelas atividades </w:t>
      </w:r>
      <w:r>
        <w:rPr>
          <w:spacing w:val="5"/>
        </w:rPr>
        <w:t xml:space="preserve">de </w:t>
      </w:r>
      <w:r>
        <w:rPr>
          <w:spacing w:val="10"/>
        </w:rPr>
        <w:t xml:space="preserve">garimpo </w:t>
      </w:r>
      <w:r>
        <w:t xml:space="preserve">e </w:t>
      </w:r>
      <w:r>
        <w:rPr>
          <w:spacing w:val="8"/>
        </w:rPr>
        <w:t xml:space="preserve">pela </w:t>
      </w:r>
      <w:r>
        <w:rPr>
          <w:spacing w:val="10"/>
        </w:rPr>
        <w:t xml:space="preserve">abertura </w:t>
      </w:r>
      <w:r>
        <w:rPr>
          <w:spacing w:val="7"/>
        </w:rPr>
        <w:t xml:space="preserve">das </w:t>
      </w:r>
      <w:r>
        <w:rPr>
          <w:spacing w:val="11"/>
        </w:rPr>
        <w:t xml:space="preserve">rodovias </w:t>
      </w:r>
      <w:r>
        <w:rPr>
          <w:spacing w:val="10"/>
        </w:rPr>
        <w:t xml:space="preserve">Transamazônica </w:t>
      </w:r>
      <w:r>
        <w:t xml:space="preserve">e </w:t>
      </w:r>
      <w:r>
        <w:rPr>
          <w:spacing w:val="10"/>
        </w:rPr>
        <w:t xml:space="preserve">Cuiabá-Santarém. </w:t>
      </w:r>
      <w:r>
        <w:t xml:space="preserve">A </w:t>
      </w:r>
      <w:r>
        <w:rPr>
          <w:spacing w:val="7"/>
        </w:rPr>
        <w:t xml:space="preserve">nova leva </w:t>
      </w:r>
      <w:r>
        <w:rPr>
          <w:spacing w:val="10"/>
        </w:rPr>
        <w:t xml:space="preserve">de </w:t>
      </w:r>
      <w:r>
        <w:rPr>
          <w:spacing w:val="12"/>
        </w:rPr>
        <w:t>migr</w:t>
      </w:r>
      <w:r>
        <w:rPr>
          <w:spacing w:val="12"/>
        </w:rPr>
        <w:t xml:space="preserve">antes </w:t>
      </w:r>
      <w:r>
        <w:rPr>
          <w:spacing w:val="11"/>
        </w:rPr>
        <w:t xml:space="preserve">chegou </w:t>
      </w:r>
      <w:r>
        <w:rPr>
          <w:spacing w:val="10"/>
        </w:rPr>
        <w:t xml:space="preserve">com </w:t>
      </w:r>
      <w:r>
        <w:t xml:space="preserve">a </w:t>
      </w:r>
      <w:r>
        <w:rPr>
          <w:spacing w:val="12"/>
        </w:rPr>
        <w:t xml:space="preserve">exploração </w:t>
      </w:r>
      <w:r>
        <w:rPr>
          <w:spacing w:val="6"/>
        </w:rPr>
        <w:t xml:space="preserve">do </w:t>
      </w:r>
      <w:r>
        <w:rPr>
          <w:spacing w:val="10"/>
        </w:rPr>
        <w:t xml:space="preserve">ouro </w:t>
      </w:r>
      <w:r>
        <w:t xml:space="preserve">e </w:t>
      </w:r>
      <w:r>
        <w:rPr>
          <w:spacing w:val="15"/>
        </w:rPr>
        <w:t xml:space="preserve">foi </w:t>
      </w:r>
      <w:r>
        <w:t>numericamente inferior àquelas dos ciclos da borracha, mas encontrou um terreno já em parte esvaziado pelo êxodo rural, o que deixou muitos espaços vazios para ocupação. Alguns integrantes desta população flutuan</w:t>
      </w:r>
      <w:r>
        <w:t xml:space="preserve">te dos garimpos podem ser encontrados hoje morando ao longo dos rios Iriri e Curuá, vivendo da mesma maneira que a população originalmente vinculada à exploração da borracha. Uma parte da população </w:t>
      </w:r>
      <w:r>
        <w:rPr>
          <w:spacing w:val="8"/>
        </w:rPr>
        <w:t xml:space="preserve">tradicional ribeirinha </w:t>
      </w:r>
      <w:r>
        <w:rPr>
          <w:spacing w:val="7"/>
        </w:rPr>
        <w:t xml:space="preserve">também </w:t>
      </w:r>
      <w:r>
        <w:rPr>
          <w:spacing w:val="5"/>
        </w:rPr>
        <w:t xml:space="preserve">se </w:t>
      </w:r>
      <w:r>
        <w:rPr>
          <w:spacing w:val="7"/>
        </w:rPr>
        <w:t xml:space="preserve">engajou </w:t>
      </w:r>
      <w:r>
        <w:rPr>
          <w:spacing w:val="5"/>
        </w:rPr>
        <w:t xml:space="preserve">na </w:t>
      </w:r>
      <w:r>
        <w:rPr>
          <w:spacing w:val="10"/>
        </w:rPr>
        <w:t xml:space="preserve">atividade </w:t>
      </w:r>
      <w:r>
        <w:rPr>
          <w:spacing w:val="1"/>
        </w:rPr>
        <w:t>gari</w:t>
      </w:r>
      <w:r>
        <w:rPr>
          <w:spacing w:val="1"/>
        </w:rPr>
        <w:t xml:space="preserve">mpeira temporariamente, retornando </w:t>
      </w:r>
      <w:r>
        <w:t xml:space="preserve">aos </w:t>
      </w:r>
      <w:r>
        <w:rPr>
          <w:spacing w:val="1"/>
        </w:rPr>
        <w:t xml:space="preserve">seus locais </w:t>
      </w:r>
      <w:r>
        <w:t>e costumes antigos com o arrefecimento da atividade, no final dos anos 1980 (ISA,</w:t>
      </w:r>
      <w:r>
        <w:rPr>
          <w:spacing w:val="46"/>
        </w:rPr>
        <w:t xml:space="preserve"> </w:t>
      </w:r>
      <w:r>
        <w:t>2006c).</w:t>
      </w:r>
    </w:p>
    <w:p w:rsidR="00D81F69" w:rsidRDefault="00330118">
      <w:pPr>
        <w:pStyle w:val="Corpodetexto"/>
        <w:spacing w:before="80" w:line="270" w:lineRule="atLeast"/>
        <w:ind w:right="251"/>
      </w:pPr>
      <w:r>
        <w:t>A quase totalidade dos “beiradeiros”, como são conhecidos os ribeirinhos, mantém até hoje o modo de vida baseado no</w:t>
      </w:r>
      <w:r>
        <w:t xml:space="preserve"> extrativismo, na pesca, um pouco de caça e na agricultura de subsistência da mandioca, arroz, feijão, milho e abóbora. São</w:t>
      </w:r>
    </w:p>
    <w:p w:rsidR="00D81F69" w:rsidRDefault="00D81F69">
      <w:pPr>
        <w:spacing w:line="270" w:lineRule="atLeast"/>
        <w:sectPr w:rsidR="00D81F69">
          <w:type w:val="continuous"/>
          <w:pgSz w:w="11900" w:h="16840"/>
          <w:pgMar w:top="720" w:right="460" w:bottom="280" w:left="620" w:header="720" w:footer="720" w:gutter="0"/>
          <w:cols w:num="2" w:space="720" w:equalWidth="0">
            <w:col w:w="5174" w:space="296"/>
            <w:col w:w="5350"/>
          </w:cols>
        </w:sectPr>
      </w:pPr>
    </w:p>
    <w:p w:rsidR="00D81F69" w:rsidRDefault="00330118">
      <w:pPr>
        <w:pStyle w:val="Corpodetexto"/>
        <w:spacing w:before="81" w:line="312" w:lineRule="auto"/>
        <w:ind w:right="92"/>
      </w:pPr>
      <w:r>
        <w:lastRenderedPageBreak/>
        <w:t>plantados ainda laranja, café, caju e pimenta-do-reino. Suas casas, em geral, também continuam de pau-a-pique, algumas revestidas com barro branco e recobertas de palha de babaçu (ISA, 2006c).</w:t>
      </w:r>
    </w:p>
    <w:p w:rsidR="00D81F69" w:rsidRDefault="00330118">
      <w:pPr>
        <w:pStyle w:val="Corpodetexto"/>
        <w:spacing w:before="134" w:line="312" w:lineRule="auto"/>
        <w:ind w:right="90"/>
      </w:pPr>
      <w:r>
        <w:t xml:space="preserve">As relações de dependência econômica estabelecidas </w:t>
      </w:r>
      <w:r>
        <w:rPr>
          <w:spacing w:val="1"/>
        </w:rPr>
        <w:t xml:space="preserve">com </w:t>
      </w:r>
      <w:r>
        <w:t xml:space="preserve">alguns empresários continuam fazendo parte do dia a dia dos beiradeiros. A diferença é que, antes, as dívidas impagáveis eram firmadas com o seringalista e, hoje, os credores são os </w:t>
      </w:r>
      <w:r>
        <w:rPr>
          <w:spacing w:val="1"/>
        </w:rPr>
        <w:t xml:space="preserve">chamados “regatões”, comerciantes </w:t>
      </w:r>
      <w:r>
        <w:t xml:space="preserve">que </w:t>
      </w:r>
      <w:r>
        <w:rPr>
          <w:spacing w:val="1"/>
        </w:rPr>
        <w:t xml:space="preserve">cruzam </w:t>
      </w:r>
      <w:r>
        <w:t xml:space="preserve">os </w:t>
      </w:r>
      <w:r>
        <w:rPr>
          <w:spacing w:val="1"/>
        </w:rPr>
        <w:t xml:space="preserve">rios </w:t>
      </w:r>
      <w:r>
        <w:rPr>
          <w:spacing w:val="2"/>
        </w:rPr>
        <w:t xml:space="preserve">da </w:t>
      </w:r>
      <w:r>
        <w:t xml:space="preserve">região trocando a </w:t>
      </w:r>
      <w:r>
        <w:t>produção local de castanha, peixe e óleos de andiroba e copaíba por produtos de primeira necessidade a preços muito elevados (ISA,</w:t>
      </w:r>
      <w:r>
        <w:rPr>
          <w:spacing w:val="37"/>
        </w:rPr>
        <w:t xml:space="preserve"> </w:t>
      </w:r>
      <w:r>
        <w:t>2006c).</w:t>
      </w:r>
    </w:p>
    <w:p w:rsidR="00D81F69" w:rsidRDefault="00330118">
      <w:pPr>
        <w:pStyle w:val="Corpodetexto"/>
        <w:spacing w:before="137" w:line="312" w:lineRule="auto"/>
        <w:ind w:right="70"/>
      </w:pPr>
      <w:r>
        <w:t>Desde o fim da década de 1990, a terra tornou-se atrativa com o rápido crescimento do mercado ilegal de ocupação, com</w:t>
      </w:r>
      <w:r>
        <w:t>ércio e grilagem de áreas públicas, visando, sobretudo, à implantação de grandes fazendas de gado (ISA, 2006b).</w:t>
      </w:r>
    </w:p>
    <w:p w:rsidR="00D81F69" w:rsidRDefault="00D81F69">
      <w:pPr>
        <w:pStyle w:val="Corpodetexto"/>
        <w:spacing w:before="3"/>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86"/>
      </w:pPr>
      <w:r>
        <w:t xml:space="preserve">O estudo de caso da Terra do Meio tem como localização uma área que se estende desde o rio Xingu até o seu afluente rio </w:t>
      </w:r>
      <w:r>
        <w:t>Iriri. Abrange os municípios de Altamira (latitude 3°11’41”S e longitude 52°12’33”W) e São Félix do Xingu (latitude 6°38’29”S e longitude 51°58’44”W) e, em meio a oito terras indígenas, possui mais de 8 milhões de hectares.</w:t>
      </w:r>
    </w:p>
    <w:p w:rsidR="00D81F69" w:rsidRDefault="00D81F69">
      <w:pPr>
        <w:pStyle w:val="Corpodetexto"/>
        <w:spacing w:before="3"/>
        <w:ind w:left="0"/>
        <w:jc w:val="left"/>
        <w:rPr>
          <w:sz w:val="29"/>
        </w:rPr>
      </w:pPr>
    </w:p>
    <w:p w:rsidR="00D81F69" w:rsidRDefault="00330118">
      <w:pPr>
        <w:pStyle w:val="Heading7"/>
      </w:pPr>
      <w:r>
        <w:t>REDATORES</w:t>
      </w:r>
    </w:p>
    <w:p w:rsidR="00D81F69" w:rsidRDefault="00330118">
      <w:pPr>
        <w:pStyle w:val="Corpodetexto"/>
        <w:spacing w:before="179"/>
      </w:pPr>
      <w:r>
        <w:t>Renata de Carvalho Ji</w:t>
      </w:r>
      <w:r>
        <w:t>menez Alamino</w:t>
      </w:r>
    </w:p>
    <w:p w:rsidR="00D81F69" w:rsidRDefault="00D81F69">
      <w:pPr>
        <w:pStyle w:val="Corpodetexto"/>
        <w:ind w:left="0"/>
        <w:jc w:val="left"/>
        <w:rPr>
          <w:sz w:val="20"/>
        </w:rPr>
      </w:pPr>
    </w:p>
    <w:p w:rsidR="00D81F69" w:rsidRDefault="00330118">
      <w:pPr>
        <w:pStyle w:val="Heading7"/>
        <w:spacing w:before="165"/>
      </w:pPr>
      <w:r>
        <w:t>REFERÊNCIAS BIBLIOGRÁFICAS</w:t>
      </w:r>
    </w:p>
    <w:p w:rsidR="00D81F69" w:rsidRDefault="00330118">
      <w:pPr>
        <w:spacing w:before="187" w:line="312" w:lineRule="auto"/>
        <w:ind w:left="100" w:right="38"/>
        <w:jc w:val="both"/>
        <w:rPr>
          <w:sz w:val="16"/>
        </w:rPr>
      </w:pPr>
      <w:r>
        <w:rPr>
          <w:spacing w:val="7"/>
          <w:sz w:val="16"/>
        </w:rPr>
        <w:t xml:space="preserve">BRASIL. </w:t>
      </w:r>
      <w:r>
        <w:rPr>
          <w:spacing w:val="6"/>
          <w:sz w:val="16"/>
        </w:rPr>
        <w:t xml:space="preserve">Casa </w:t>
      </w:r>
      <w:r>
        <w:rPr>
          <w:spacing w:val="7"/>
          <w:sz w:val="16"/>
        </w:rPr>
        <w:t xml:space="preserve">Civil </w:t>
      </w:r>
      <w:r>
        <w:rPr>
          <w:spacing w:val="5"/>
          <w:sz w:val="16"/>
        </w:rPr>
        <w:t xml:space="preserve">da </w:t>
      </w:r>
      <w:r>
        <w:rPr>
          <w:spacing w:val="8"/>
          <w:sz w:val="16"/>
        </w:rPr>
        <w:t xml:space="preserve">Presidência </w:t>
      </w:r>
      <w:r>
        <w:rPr>
          <w:spacing w:val="5"/>
          <w:sz w:val="16"/>
        </w:rPr>
        <w:t xml:space="preserve">da </w:t>
      </w:r>
      <w:r>
        <w:rPr>
          <w:spacing w:val="8"/>
          <w:sz w:val="16"/>
        </w:rPr>
        <w:t xml:space="preserve">República. </w:t>
      </w:r>
      <w:r>
        <w:rPr>
          <w:spacing w:val="7"/>
          <w:sz w:val="16"/>
        </w:rPr>
        <w:t xml:space="preserve">Plano </w:t>
      </w:r>
      <w:r>
        <w:rPr>
          <w:spacing w:val="10"/>
          <w:sz w:val="16"/>
        </w:rPr>
        <w:t xml:space="preserve">de </w:t>
      </w:r>
      <w:r>
        <w:rPr>
          <w:sz w:val="16"/>
        </w:rPr>
        <w:t xml:space="preserve">Desenvolvimento Regional Sustentável para a Área de Influência da </w:t>
      </w:r>
      <w:r>
        <w:rPr>
          <w:spacing w:val="3"/>
          <w:sz w:val="16"/>
        </w:rPr>
        <w:t xml:space="preserve">Rodovia BR-163 </w:t>
      </w:r>
      <w:r>
        <w:rPr>
          <w:sz w:val="16"/>
        </w:rPr>
        <w:t xml:space="preserve">- </w:t>
      </w:r>
      <w:r>
        <w:rPr>
          <w:spacing w:val="3"/>
          <w:sz w:val="16"/>
        </w:rPr>
        <w:t xml:space="preserve">Trecho Cuiabá-Santarém. Grupo </w:t>
      </w:r>
      <w:r>
        <w:rPr>
          <w:spacing w:val="1"/>
          <w:sz w:val="16"/>
        </w:rPr>
        <w:t xml:space="preserve">de </w:t>
      </w:r>
      <w:r>
        <w:rPr>
          <w:spacing w:val="5"/>
          <w:sz w:val="16"/>
        </w:rPr>
        <w:t xml:space="preserve">Trabalho </w:t>
      </w:r>
      <w:r>
        <w:rPr>
          <w:spacing w:val="32"/>
          <w:sz w:val="16"/>
        </w:rPr>
        <w:t xml:space="preserve">Interministerial </w:t>
      </w:r>
      <w:r>
        <w:rPr>
          <w:spacing w:val="30"/>
          <w:sz w:val="16"/>
        </w:rPr>
        <w:t xml:space="preserve">(GTI), </w:t>
      </w:r>
      <w:r>
        <w:rPr>
          <w:spacing w:val="27"/>
          <w:sz w:val="16"/>
        </w:rPr>
        <w:t xml:space="preserve">2006. </w:t>
      </w:r>
      <w:r>
        <w:rPr>
          <w:spacing w:val="31"/>
          <w:sz w:val="16"/>
        </w:rPr>
        <w:t>Di</w:t>
      </w:r>
      <w:r>
        <w:rPr>
          <w:spacing w:val="31"/>
          <w:sz w:val="16"/>
        </w:rPr>
        <w:t>sponível</w:t>
      </w:r>
      <w:r>
        <w:rPr>
          <w:spacing w:val="98"/>
          <w:sz w:val="16"/>
        </w:rPr>
        <w:t xml:space="preserve"> </w:t>
      </w:r>
      <w:r>
        <w:rPr>
          <w:spacing w:val="23"/>
          <w:sz w:val="16"/>
        </w:rPr>
        <w:t>em:</w:t>
      </w:r>
      <w:r>
        <w:rPr>
          <w:spacing w:val="-8"/>
          <w:sz w:val="16"/>
        </w:rPr>
        <w:t xml:space="preserve"> </w:t>
      </w:r>
    </w:p>
    <w:p w:rsidR="00D81F69" w:rsidRDefault="00D81F69">
      <w:pPr>
        <w:spacing w:before="3" w:line="312" w:lineRule="auto"/>
        <w:ind w:left="100" w:right="68"/>
        <w:jc w:val="both"/>
        <w:rPr>
          <w:sz w:val="16"/>
        </w:rPr>
      </w:pPr>
      <w:hyperlink r:id="rId347">
        <w:r w:rsidR="00330118">
          <w:rPr>
            <w:sz w:val="16"/>
          </w:rPr>
          <w:t>&lt;http://www.planalto.gov.br/casacivil/arquivosPDF/BR163.pdf&gt;.</w:t>
        </w:r>
      </w:hyperlink>
      <w:r w:rsidR="00330118">
        <w:rPr>
          <w:sz w:val="16"/>
        </w:rPr>
        <w:t xml:space="preserve"> Acesso em: 20 dez. 2011.</w:t>
      </w:r>
    </w:p>
    <w:p w:rsidR="00D81F69" w:rsidRDefault="00330118">
      <w:pPr>
        <w:spacing w:before="2" w:line="312" w:lineRule="auto"/>
        <w:ind w:left="100" w:right="71"/>
        <w:jc w:val="both"/>
        <w:rPr>
          <w:sz w:val="16"/>
        </w:rPr>
      </w:pPr>
      <w:r>
        <w:rPr>
          <w:sz w:val="16"/>
        </w:rPr>
        <w:t xml:space="preserve">ESCADA, Maria Isabel Sobral; VIEIRA, Ima Célia G.; KAMPEL, Silvana A.; ARAÚJO, Roberto; VEIGA, Jonas Bastos; AGUIAR, Ana Paula Dutra; VEIGA, Iran; OLIVEIRA, Myriam; PEREIRA, Jorge Luís Gavina; CARNEIRO FILHO, Arnaldo; FEARNSIDE, Philip Martin; VENTURIERI, </w:t>
      </w:r>
      <w:r>
        <w:rPr>
          <w:sz w:val="16"/>
        </w:rPr>
        <w:t>Adriano;</w:t>
      </w:r>
    </w:p>
    <w:p w:rsidR="00D81F69" w:rsidRDefault="00330118">
      <w:pPr>
        <w:spacing w:before="70" w:line="312" w:lineRule="auto"/>
        <w:ind w:left="100" w:right="230"/>
        <w:jc w:val="both"/>
        <w:rPr>
          <w:sz w:val="16"/>
        </w:rPr>
      </w:pPr>
      <w:r>
        <w:br w:type="column"/>
      </w:r>
      <w:r>
        <w:rPr>
          <w:sz w:val="16"/>
        </w:rPr>
        <w:lastRenderedPageBreak/>
        <w:t>CARRIELLO, Felix; THALES, Marcelo; CARNEIRO, Tiago Senna G.; MONTEIRO, Antônio Miguel Vieira; CÂMARA, Gilberto. Processos de ocupação nas novas fronteiras da Amazônia (o interflúvio do Xingu/ Iriri). Estudos Avançados, n. 19, v. 54, 2005. Disponível em:</w:t>
      </w:r>
    </w:p>
    <w:p w:rsidR="00D81F69" w:rsidRDefault="00D81F69">
      <w:pPr>
        <w:spacing w:before="3" w:line="312" w:lineRule="auto"/>
        <w:ind w:left="100" w:right="234"/>
        <w:jc w:val="both"/>
        <w:rPr>
          <w:sz w:val="16"/>
        </w:rPr>
      </w:pPr>
      <w:hyperlink r:id="rId348">
        <w:r w:rsidR="00330118">
          <w:rPr>
            <w:sz w:val="16"/>
          </w:rPr>
          <w:t>&lt;http://www.scielo.br/pdf/ea/v19n54/01.pdf&gt;.</w:t>
        </w:r>
      </w:hyperlink>
      <w:r w:rsidR="00330118">
        <w:rPr>
          <w:sz w:val="16"/>
        </w:rPr>
        <w:t xml:space="preserve"> Acesso em: 20 dez. 2011.</w:t>
      </w:r>
    </w:p>
    <w:p w:rsidR="00D81F69" w:rsidRDefault="00330118">
      <w:pPr>
        <w:spacing w:before="2" w:line="312" w:lineRule="auto"/>
        <w:ind w:left="100" w:right="232"/>
        <w:jc w:val="both"/>
        <w:rPr>
          <w:sz w:val="16"/>
        </w:rPr>
      </w:pPr>
      <w:r>
        <w:rPr>
          <w:sz w:val="16"/>
        </w:rPr>
        <w:t>FUNDO VALE. Áreas Protegidas e Biodiversidade. Consolidação das Reservas Extrativistas da Terra do Meio. 2011. Disponível em:</w:t>
      </w:r>
    </w:p>
    <w:p w:rsidR="00D81F69" w:rsidRDefault="00D81F69">
      <w:pPr>
        <w:spacing w:before="1" w:line="312" w:lineRule="auto"/>
        <w:ind w:left="100" w:right="256"/>
        <w:jc w:val="both"/>
        <w:rPr>
          <w:sz w:val="16"/>
        </w:rPr>
      </w:pPr>
      <w:hyperlink r:id="rId349">
        <w:r w:rsidR="00330118">
          <w:rPr>
            <w:sz w:val="16"/>
          </w:rPr>
          <w:t>&lt;http://www.fundovale.org/categorias/nossas-acoes/areas-protegidas-</w:t>
        </w:r>
      </w:hyperlink>
      <w:r w:rsidR="00330118">
        <w:rPr>
          <w:sz w:val="16"/>
        </w:rPr>
        <w:t xml:space="preserve"> e-biodiversidade/consolidacao-das-reservas-extrativistas-da-terra-do- meio.aspx&gt;. Acesso em: 20 dez. 2011.</w:t>
      </w:r>
    </w:p>
    <w:p w:rsidR="00D81F69" w:rsidRDefault="00330118">
      <w:pPr>
        <w:spacing w:before="3" w:line="312" w:lineRule="auto"/>
        <w:ind w:left="100" w:right="239"/>
        <w:jc w:val="both"/>
        <w:rPr>
          <w:sz w:val="16"/>
        </w:rPr>
      </w:pPr>
      <w:r>
        <w:rPr>
          <w:sz w:val="16"/>
        </w:rPr>
        <w:t>ISA. Instituto Socioambiental. No centro do Pará, um desafio socioambiental ao Estado brasileiro. Notícias Socioambientais, 06 out.</w:t>
      </w:r>
    </w:p>
    <w:p w:rsidR="00D81F69" w:rsidRDefault="00330118">
      <w:pPr>
        <w:tabs>
          <w:tab w:val="left" w:pos="1931"/>
          <w:tab w:val="left" w:pos="4567"/>
        </w:tabs>
        <w:spacing w:before="1"/>
        <w:ind w:left="100"/>
        <w:jc w:val="both"/>
        <w:rPr>
          <w:sz w:val="16"/>
        </w:rPr>
      </w:pPr>
      <w:r>
        <w:rPr>
          <w:sz w:val="16"/>
        </w:rPr>
        <w:t xml:space="preserve">2   0   0   6  </w:t>
      </w:r>
      <w:r>
        <w:rPr>
          <w:spacing w:val="10"/>
          <w:sz w:val="16"/>
        </w:rPr>
        <w:t xml:space="preserve"> </w:t>
      </w:r>
      <w:r>
        <w:rPr>
          <w:sz w:val="16"/>
        </w:rPr>
        <w:t xml:space="preserve">a  </w:t>
      </w:r>
      <w:r>
        <w:rPr>
          <w:spacing w:val="1"/>
          <w:sz w:val="16"/>
        </w:rPr>
        <w:t xml:space="preserve"> </w:t>
      </w:r>
      <w:r>
        <w:rPr>
          <w:sz w:val="16"/>
        </w:rPr>
        <w:t>.</w:t>
      </w:r>
      <w:r>
        <w:rPr>
          <w:sz w:val="16"/>
        </w:rPr>
        <w:tab/>
        <w:t xml:space="preserve">D   i   s   p   o   n   í   v  </w:t>
      </w:r>
      <w:r>
        <w:rPr>
          <w:spacing w:val="22"/>
          <w:sz w:val="16"/>
        </w:rPr>
        <w:t xml:space="preserve"> </w:t>
      </w:r>
      <w:r>
        <w:rPr>
          <w:sz w:val="16"/>
        </w:rPr>
        <w:t xml:space="preserve">e  </w:t>
      </w:r>
      <w:r>
        <w:rPr>
          <w:spacing w:val="1"/>
          <w:sz w:val="16"/>
        </w:rPr>
        <w:t xml:space="preserve"> </w:t>
      </w:r>
      <w:r>
        <w:rPr>
          <w:sz w:val="16"/>
        </w:rPr>
        <w:t>l</w:t>
      </w:r>
      <w:r>
        <w:rPr>
          <w:sz w:val="16"/>
        </w:rPr>
        <w:tab/>
        <w:t xml:space="preserve">e   m  </w:t>
      </w:r>
      <w:r>
        <w:rPr>
          <w:spacing w:val="5"/>
          <w:sz w:val="16"/>
        </w:rPr>
        <w:t xml:space="preserve"> </w:t>
      </w:r>
      <w:r>
        <w:rPr>
          <w:sz w:val="16"/>
        </w:rPr>
        <w:t>:</w:t>
      </w:r>
    </w:p>
    <w:p w:rsidR="00D81F69" w:rsidRDefault="00D81F69">
      <w:pPr>
        <w:spacing w:before="56" w:line="312" w:lineRule="auto"/>
        <w:ind w:left="100" w:right="236"/>
        <w:jc w:val="both"/>
        <w:rPr>
          <w:sz w:val="16"/>
        </w:rPr>
      </w:pPr>
      <w:hyperlink r:id="rId350">
        <w:r w:rsidR="00330118">
          <w:rPr>
            <w:sz w:val="16"/>
          </w:rPr>
          <w:t xml:space="preserve">&lt;http://www.socioambiental.org/nsa/detalhe?id=2329&gt;. </w:t>
        </w:r>
      </w:hyperlink>
      <w:r w:rsidR="00330118">
        <w:rPr>
          <w:sz w:val="16"/>
        </w:rPr>
        <w:t xml:space="preserve">Acesso  </w:t>
      </w:r>
      <w:r w:rsidR="00330118">
        <w:rPr>
          <w:spacing w:val="1"/>
          <w:sz w:val="16"/>
        </w:rPr>
        <w:t xml:space="preserve">em: </w:t>
      </w:r>
      <w:r w:rsidR="00330118">
        <w:rPr>
          <w:sz w:val="16"/>
        </w:rPr>
        <w:t>20 dez.</w:t>
      </w:r>
      <w:r w:rsidR="00330118">
        <w:rPr>
          <w:spacing w:val="-14"/>
          <w:sz w:val="16"/>
        </w:rPr>
        <w:t xml:space="preserve"> </w:t>
      </w:r>
      <w:r w:rsidR="00330118">
        <w:rPr>
          <w:sz w:val="16"/>
        </w:rPr>
        <w:t>2011.</w:t>
      </w:r>
    </w:p>
    <w:p w:rsidR="00D81F69" w:rsidRDefault="00330118">
      <w:pPr>
        <w:spacing w:before="2" w:line="312" w:lineRule="auto"/>
        <w:ind w:left="100" w:right="210"/>
        <w:jc w:val="both"/>
        <w:rPr>
          <w:sz w:val="16"/>
        </w:rPr>
      </w:pPr>
      <w:r>
        <w:rPr>
          <w:spacing w:val="5"/>
          <w:sz w:val="16"/>
        </w:rPr>
        <w:t xml:space="preserve">______. </w:t>
      </w:r>
      <w:r>
        <w:rPr>
          <w:spacing w:val="3"/>
          <w:sz w:val="16"/>
        </w:rPr>
        <w:t xml:space="preserve">As </w:t>
      </w:r>
      <w:r>
        <w:rPr>
          <w:spacing w:val="5"/>
          <w:sz w:val="16"/>
        </w:rPr>
        <w:t xml:space="preserve">ameaças que rondam </w:t>
      </w:r>
      <w:r>
        <w:rPr>
          <w:sz w:val="16"/>
        </w:rPr>
        <w:t xml:space="preserve">a </w:t>
      </w:r>
      <w:r>
        <w:rPr>
          <w:spacing w:val="5"/>
          <w:sz w:val="16"/>
        </w:rPr>
        <w:t xml:space="preserve">Terra </w:t>
      </w:r>
      <w:r>
        <w:rPr>
          <w:spacing w:val="3"/>
          <w:sz w:val="16"/>
        </w:rPr>
        <w:t xml:space="preserve">do </w:t>
      </w:r>
      <w:r>
        <w:rPr>
          <w:spacing w:val="5"/>
          <w:sz w:val="16"/>
        </w:rPr>
        <w:t xml:space="preserve">Meio. </w:t>
      </w:r>
      <w:r>
        <w:rPr>
          <w:spacing w:val="7"/>
          <w:sz w:val="16"/>
        </w:rPr>
        <w:t xml:space="preserve">Notícias </w:t>
      </w:r>
      <w:r>
        <w:rPr>
          <w:spacing w:val="25"/>
          <w:sz w:val="16"/>
        </w:rPr>
        <w:t xml:space="preserve">Socioambientais, </w:t>
      </w:r>
      <w:r>
        <w:rPr>
          <w:spacing w:val="12"/>
          <w:sz w:val="16"/>
        </w:rPr>
        <w:t xml:space="preserve">07 </w:t>
      </w:r>
      <w:r>
        <w:rPr>
          <w:spacing w:val="20"/>
          <w:sz w:val="16"/>
        </w:rPr>
        <w:t xml:space="preserve">out. </w:t>
      </w:r>
      <w:r>
        <w:rPr>
          <w:spacing w:val="21"/>
          <w:sz w:val="16"/>
        </w:rPr>
        <w:t xml:space="preserve">2006b. </w:t>
      </w:r>
      <w:r>
        <w:rPr>
          <w:spacing w:val="23"/>
          <w:sz w:val="16"/>
        </w:rPr>
        <w:t>Disponível</w:t>
      </w:r>
      <w:r>
        <w:rPr>
          <w:spacing w:val="80"/>
          <w:sz w:val="16"/>
        </w:rPr>
        <w:t xml:space="preserve"> </w:t>
      </w:r>
      <w:r>
        <w:rPr>
          <w:spacing w:val="17"/>
          <w:sz w:val="16"/>
        </w:rPr>
        <w:t>em:</w:t>
      </w:r>
      <w:r>
        <w:rPr>
          <w:spacing w:val="-17"/>
          <w:sz w:val="16"/>
        </w:rPr>
        <w:t xml:space="preserve"> </w:t>
      </w:r>
    </w:p>
    <w:p w:rsidR="00D81F69" w:rsidRDefault="00D81F69">
      <w:pPr>
        <w:spacing w:before="2" w:line="312" w:lineRule="auto"/>
        <w:ind w:left="100" w:right="231"/>
        <w:jc w:val="both"/>
        <w:rPr>
          <w:sz w:val="16"/>
        </w:rPr>
      </w:pPr>
      <w:hyperlink r:id="rId351">
        <w:r w:rsidR="00330118">
          <w:rPr>
            <w:sz w:val="16"/>
          </w:rPr>
          <w:t>&lt;http://www.socioambiental.org/noticias/nsa/detalhe?id=2330&gt;.</w:t>
        </w:r>
      </w:hyperlink>
      <w:r w:rsidR="00330118">
        <w:rPr>
          <w:sz w:val="16"/>
        </w:rPr>
        <w:t xml:space="preserve"> Acesso em: 20 dez. 2011.</w:t>
      </w:r>
    </w:p>
    <w:p w:rsidR="00D81F69" w:rsidRDefault="00330118">
      <w:pPr>
        <w:spacing w:before="1" w:line="312" w:lineRule="auto"/>
        <w:ind w:left="100" w:right="207"/>
        <w:jc w:val="both"/>
        <w:rPr>
          <w:sz w:val="16"/>
        </w:rPr>
      </w:pPr>
      <w:r>
        <w:rPr>
          <w:spacing w:val="3"/>
          <w:sz w:val="16"/>
        </w:rPr>
        <w:t xml:space="preserve">_______. </w:t>
      </w:r>
      <w:r>
        <w:rPr>
          <w:sz w:val="16"/>
        </w:rPr>
        <w:t xml:space="preserve">A </w:t>
      </w:r>
      <w:r>
        <w:rPr>
          <w:spacing w:val="3"/>
          <w:sz w:val="16"/>
        </w:rPr>
        <w:t xml:space="preserve">ocupação não-indígena </w:t>
      </w:r>
      <w:r>
        <w:rPr>
          <w:spacing w:val="1"/>
          <w:sz w:val="16"/>
        </w:rPr>
        <w:t xml:space="preserve">na </w:t>
      </w:r>
      <w:r>
        <w:rPr>
          <w:spacing w:val="3"/>
          <w:sz w:val="16"/>
        </w:rPr>
        <w:t xml:space="preserve">Terra </w:t>
      </w:r>
      <w:r>
        <w:rPr>
          <w:spacing w:val="1"/>
          <w:sz w:val="16"/>
        </w:rPr>
        <w:t xml:space="preserve">do </w:t>
      </w:r>
      <w:r>
        <w:rPr>
          <w:spacing w:val="3"/>
          <w:sz w:val="16"/>
        </w:rPr>
        <w:t xml:space="preserve">Meio. </w:t>
      </w:r>
      <w:r>
        <w:rPr>
          <w:spacing w:val="5"/>
          <w:sz w:val="16"/>
        </w:rPr>
        <w:t xml:space="preserve">Notícias </w:t>
      </w:r>
      <w:r>
        <w:rPr>
          <w:spacing w:val="25"/>
          <w:sz w:val="16"/>
        </w:rPr>
        <w:t xml:space="preserve">Socioambientais, </w:t>
      </w:r>
      <w:r>
        <w:rPr>
          <w:spacing w:val="12"/>
          <w:sz w:val="16"/>
        </w:rPr>
        <w:t xml:space="preserve">10 </w:t>
      </w:r>
      <w:r>
        <w:rPr>
          <w:spacing w:val="20"/>
          <w:sz w:val="16"/>
        </w:rPr>
        <w:t xml:space="preserve">out. </w:t>
      </w:r>
      <w:r>
        <w:rPr>
          <w:spacing w:val="21"/>
          <w:sz w:val="16"/>
        </w:rPr>
        <w:t xml:space="preserve">2006c. </w:t>
      </w:r>
      <w:r>
        <w:rPr>
          <w:spacing w:val="23"/>
          <w:sz w:val="16"/>
        </w:rPr>
        <w:t>Disponível</w:t>
      </w:r>
      <w:r>
        <w:rPr>
          <w:spacing w:val="85"/>
          <w:sz w:val="16"/>
        </w:rPr>
        <w:t xml:space="preserve"> </w:t>
      </w:r>
      <w:r>
        <w:rPr>
          <w:spacing w:val="17"/>
          <w:sz w:val="16"/>
        </w:rPr>
        <w:t>em:</w:t>
      </w:r>
      <w:r>
        <w:rPr>
          <w:spacing w:val="-17"/>
          <w:sz w:val="16"/>
        </w:rPr>
        <w:t xml:space="preserve"> </w:t>
      </w:r>
    </w:p>
    <w:p w:rsidR="00D81F69" w:rsidRDefault="00D81F69">
      <w:pPr>
        <w:spacing w:before="2" w:line="312" w:lineRule="auto"/>
        <w:ind w:left="100" w:right="231"/>
        <w:jc w:val="both"/>
        <w:rPr>
          <w:sz w:val="16"/>
        </w:rPr>
      </w:pPr>
      <w:hyperlink r:id="rId352">
        <w:r w:rsidR="00330118">
          <w:rPr>
            <w:sz w:val="16"/>
          </w:rPr>
          <w:t>&lt;http://www.socioambiental.org/noticias/nsa/detalhe?id=2334&gt;.</w:t>
        </w:r>
      </w:hyperlink>
      <w:r w:rsidR="00330118">
        <w:rPr>
          <w:sz w:val="16"/>
        </w:rPr>
        <w:t xml:space="preserve"> Acesso em: 20 dez. 2011.</w:t>
      </w:r>
    </w:p>
    <w:p w:rsidR="00D81F69" w:rsidRDefault="00330118">
      <w:pPr>
        <w:spacing w:before="2" w:line="312" w:lineRule="auto"/>
        <w:ind w:left="100" w:right="225"/>
        <w:jc w:val="both"/>
        <w:rPr>
          <w:sz w:val="16"/>
        </w:rPr>
      </w:pPr>
      <w:r>
        <w:rPr>
          <w:sz w:val="16"/>
        </w:rPr>
        <w:t xml:space="preserve">PONTES Jr., Felício; CASTRO, Edna; ARAÚJO, Roberto; MENEZES, </w:t>
      </w:r>
      <w:r>
        <w:rPr>
          <w:spacing w:val="3"/>
          <w:sz w:val="16"/>
        </w:rPr>
        <w:t xml:space="preserve">Mário A.; </w:t>
      </w:r>
      <w:r>
        <w:rPr>
          <w:spacing w:val="5"/>
          <w:sz w:val="16"/>
        </w:rPr>
        <w:t xml:space="preserve">MEDEIRO, Paulo. </w:t>
      </w:r>
      <w:r>
        <w:rPr>
          <w:spacing w:val="3"/>
          <w:sz w:val="16"/>
        </w:rPr>
        <w:t xml:space="preserve">Terra </w:t>
      </w:r>
      <w:r>
        <w:rPr>
          <w:spacing w:val="2"/>
          <w:sz w:val="16"/>
        </w:rPr>
        <w:t>do</w:t>
      </w:r>
      <w:r>
        <w:rPr>
          <w:spacing w:val="2"/>
          <w:sz w:val="16"/>
        </w:rPr>
        <w:t xml:space="preserve"> </w:t>
      </w:r>
      <w:r>
        <w:rPr>
          <w:spacing w:val="3"/>
          <w:sz w:val="16"/>
        </w:rPr>
        <w:t xml:space="preserve">Meio: </w:t>
      </w:r>
      <w:r>
        <w:rPr>
          <w:spacing w:val="5"/>
          <w:sz w:val="16"/>
        </w:rPr>
        <w:t xml:space="preserve">poder, violência </w:t>
      </w:r>
      <w:r>
        <w:rPr>
          <w:sz w:val="16"/>
        </w:rPr>
        <w:t xml:space="preserve">e </w:t>
      </w:r>
      <w:r>
        <w:rPr>
          <w:spacing w:val="11"/>
          <w:sz w:val="16"/>
        </w:rPr>
        <w:t xml:space="preserve">desenvolvimento. </w:t>
      </w:r>
      <w:r>
        <w:rPr>
          <w:spacing w:val="10"/>
          <w:sz w:val="16"/>
        </w:rPr>
        <w:t xml:space="preserve">Belém: Museu Paraense Emílio Goeldi. </w:t>
      </w:r>
      <w:r>
        <w:rPr>
          <w:sz w:val="16"/>
        </w:rPr>
        <w:t>Coordenação de Pesquisa e Pós-graduação. Ideias e debates; v. 7, 35 p.,</w:t>
      </w:r>
      <w:r>
        <w:rPr>
          <w:spacing w:val="20"/>
          <w:sz w:val="16"/>
        </w:rPr>
        <w:t xml:space="preserve"> </w:t>
      </w:r>
      <w:r>
        <w:rPr>
          <w:sz w:val="16"/>
        </w:rPr>
        <w:t>2004</w:t>
      </w:r>
    </w:p>
    <w:p w:rsidR="00D81F69" w:rsidRDefault="00330118">
      <w:pPr>
        <w:spacing w:before="4" w:line="312" w:lineRule="auto"/>
        <w:ind w:left="100" w:right="230"/>
        <w:jc w:val="both"/>
        <w:rPr>
          <w:sz w:val="16"/>
        </w:rPr>
      </w:pPr>
      <w:r>
        <w:rPr>
          <w:sz w:val="16"/>
        </w:rPr>
        <w:t xml:space="preserve">ROCHA, Carla; CARVALHO, Soraya Abreu de; SILVA, Tarcísio Feitosa da. Conservação da biodiversidade </w:t>
      </w:r>
      <w:r>
        <w:rPr>
          <w:sz w:val="16"/>
        </w:rPr>
        <w:t>e as novas regras para os extrativistas da RESEX Riozinho do Anfrísio, Altamira, Pará. In: IV Encontro Nacional da Anppas. 2008. Anais... Disponível em:</w:t>
      </w:r>
    </w:p>
    <w:p w:rsidR="00D81F69" w:rsidRDefault="00D81F69">
      <w:pPr>
        <w:spacing w:before="3" w:line="312" w:lineRule="auto"/>
        <w:ind w:left="100" w:right="254"/>
        <w:jc w:val="both"/>
        <w:rPr>
          <w:sz w:val="16"/>
        </w:rPr>
      </w:pPr>
      <w:hyperlink r:id="rId353">
        <w:r w:rsidR="00330118">
          <w:rPr>
            <w:sz w:val="16"/>
          </w:rPr>
          <w:t>&lt;http://www.anppas.org.br/</w:t>
        </w:r>
        <w:r w:rsidR="00330118">
          <w:rPr>
            <w:sz w:val="16"/>
          </w:rPr>
          <w:t>encontro4/cd/ARQUIVOS/GT2-709-643-</w:t>
        </w:r>
      </w:hyperlink>
      <w:r w:rsidR="00330118">
        <w:rPr>
          <w:sz w:val="16"/>
        </w:rPr>
        <w:t xml:space="preserve"> 20080511083437.pdf&gt;. Acesso em: 20 dez. 2011.</w:t>
      </w:r>
    </w:p>
    <w:p w:rsidR="00D81F69" w:rsidRDefault="00330118">
      <w:pPr>
        <w:spacing w:before="2"/>
        <w:ind w:left="100"/>
        <w:jc w:val="both"/>
        <w:rPr>
          <w:sz w:val="16"/>
        </w:rPr>
      </w:pPr>
      <w:r>
        <w:rPr>
          <w:sz w:val="16"/>
        </w:rPr>
        <w:t>VELASQUEZ, Cristina; VILLAS BOAS, André; SCHWARTZMAN,</w:t>
      </w:r>
    </w:p>
    <w:p w:rsidR="00D81F69" w:rsidRDefault="00330118">
      <w:pPr>
        <w:spacing w:before="56" w:line="312" w:lineRule="auto"/>
        <w:ind w:left="100" w:right="211"/>
        <w:jc w:val="both"/>
        <w:rPr>
          <w:sz w:val="16"/>
        </w:rPr>
      </w:pPr>
      <w:r>
        <w:rPr>
          <w:sz w:val="16"/>
        </w:rPr>
        <w:t xml:space="preserve">Stephen. Desafio para a gestão ambiental integrada em território de </w:t>
      </w:r>
      <w:r>
        <w:rPr>
          <w:spacing w:val="3"/>
          <w:sz w:val="16"/>
        </w:rPr>
        <w:t xml:space="preserve">fronteira agrícola </w:t>
      </w:r>
      <w:r>
        <w:rPr>
          <w:spacing w:val="1"/>
          <w:sz w:val="16"/>
        </w:rPr>
        <w:t xml:space="preserve">no </w:t>
      </w:r>
      <w:r>
        <w:rPr>
          <w:spacing w:val="3"/>
          <w:sz w:val="16"/>
        </w:rPr>
        <w:t xml:space="preserve">oeste </w:t>
      </w:r>
      <w:r>
        <w:rPr>
          <w:spacing w:val="1"/>
          <w:sz w:val="16"/>
        </w:rPr>
        <w:t xml:space="preserve">do </w:t>
      </w:r>
      <w:r>
        <w:rPr>
          <w:spacing w:val="3"/>
          <w:sz w:val="16"/>
        </w:rPr>
        <w:t xml:space="preserve">Pará. </w:t>
      </w:r>
      <w:r>
        <w:rPr>
          <w:spacing w:val="2"/>
          <w:sz w:val="16"/>
        </w:rPr>
        <w:t xml:space="preserve">Rev. Adm. </w:t>
      </w:r>
      <w:r>
        <w:rPr>
          <w:spacing w:val="3"/>
          <w:sz w:val="16"/>
        </w:rPr>
        <w:t>Públic</w:t>
      </w:r>
      <w:r>
        <w:rPr>
          <w:spacing w:val="3"/>
          <w:sz w:val="16"/>
        </w:rPr>
        <w:t xml:space="preserve">a, </w:t>
      </w:r>
      <w:r>
        <w:rPr>
          <w:spacing w:val="2"/>
          <w:sz w:val="16"/>
        </w:rPr>
        <w:t xml:space="preserve">Rio </w:t>
      </w:r>
      <w:r>
        <w:rPr>
          <w:spacing w:val="5"/>
          <w:sz w:val="16"/>
        </w:rPr>
        <w:t xml:space="preserve">de </w:t>
      </w:r>
      <w:r>
        <w:rPr>
          <w:spacing w:val="20"/>
          <w:sz w:val="16"/>
        </w:rPr>
        <w:t xml:space="preserve">Janeiro, </w:t>
      </w:r>
      <w:r>
        <w:rPr>
          <w:spacing w:val="85"/>
          <w:sz w:val="16"/>
        </w:rPr>
        <w:t xml:space="preserve"> </w:t>
      </w:r>
      <w:r>
        <w:rPr>
          <w:spacing w:val="11"/>
          <w:sz w:val="16"/>
        </w:rPr>
        <w:t xml:space="preserve">v.   </w:t>
      </w:r>
      <w:r>
        <w:rPr>
          <w:spacing w:val="15"/>
          <w:sz w:val="16"/>
        </w:rPr>
        <w:t xml:space="preserve">40, </w:t>
      </w:r>
      <w:r>
        <w:rPr>
          <w:spacing w:val="75"/>
          <w:sz w:val="16"/>
        </w:rPr>
        <w:t xml:space="preserve"> </w:t>
      </w:r>
      <w:r>
        <w:rPr>
          <w:spacing w:val="11"/>
          <w:sz w:val="16"/>
        </w:rPr>
        <w:t xml:space="preserve">n.   6,   </w:t>
      </w:r>
      <w:r>
        <w:rPr>
          <w:spacing w:val="17"/>
          <w:sz w:val="16"/>
        </w:rPr>
        <w:t xml:space="preserve">dez.   </w:t>
      </w:r>
      <w:r>
        <w:rPr>
          <w:spacing w:val="20"/>
          <w:sz w:val="16"/>
        </w:rPr>
        <w:t xml:space="preserve">2006.   </w:t>
      </w:r>
      <w:r>
        <w:rPr>
          <w:spacing w:val="21"/>
          <w:sz w:val="16"/>
        </w:rPr>
        <w:t>Disponível</w:t>
      </w:r>
      <w:r>
        <w:rPr>
          <w:spacing w:val="20"/>
          <w:sz w:val="16"/>
        </w:rPr>
        <w:t xml:space="preserve"> </w:t>
      </w:r>
      <w:r>
        <w:rPr>
          <w:spacing w:val="15"/>
          <w:sz w:val="16"/>
        </w:rPr>
        <w:t>em:</w:t>
      </w:r>
      <w:r>
        <w:rPr>
          <w:spacing w:val="-18"/>
          <w:sz w:val="16"/>
        </w:rPr>
        <w:t xml:space="preserve"> </w:t>
      </w:r>
    </w:p>
    <w:p w:rsidR="00D81F69" w:rsidRDefault="00D81F69">
      <w:pPr>
        <w:spacing w:before="2" w:line="312" w:lineRule="auto"/>
        <w:ind w:left="100" w:right="236"/>
        <w:jc w:val="both"/>
        <w:rPr>
          <w:sz w:val="16"/>
        </w:rPr>
      </w:pPr>
      <w:hyperlink r:id="rId354">
        <w:r w:rsidR="00330118">
          <w:rPr>
            <w:sz w:val="16"/>
          </w:rPr>
          <w:t>&lt;http://www.scielo.br/scielo.php?script=sci_arttext&amp;pid=S0034-</w:t>
        </w:r>
      </w:hyperlink>
      <w:r w:rsidR="00330118">
        <w:rPr>
          <w:sz w:val="16"/>
        </w:rPr>
        <w:t xml:space="preserve"> 76122006000600007&amp;lng=en&amp;nrm=iso&gt;</w:t>
      </w:r>
      <w:r w:rsidR="00330118">
        <w:rPr>
          <w:sz w:val="16"/>
        </w:rPr>
        <w:t>.  Acesso  em:  20  dez. 2011.</w:t>
      </w:r>
    </w:p>
    <w:p w:rsidR="00D81F69" w:rsidRDefault="00D81F69">
      <w:pPr>
        <w:spacing w:line="312" w:lineRule="auto"/>
        <w:jc w:val="both"/>
        <w:rPr>
          <w:sz w:val="16"/>
        </w:rPr>
        <w:sectPr w:rsidR="00D81F69">
          <w:pgSz w:w="11900" w:h="16840"/>
          <w:pgMar w:top="740" w:right="460" w:bottom="720" w:left="620" w:header="0" w:footer="402" w:gutter="0"/>
          <w:cols w:num="2" w:space="720" w:equalWidth="0">
            <w:col w:w="5188" w:space="282"/>
            <w:col w:w="5350"/>
          </w:cols>
        </w:sectPr>
      </w:pPr>
    </w:p>
    <w:p w:rsidR="00D81F69" w:rsidRDefault="00330118">
      <w:pPr>
        <w:pStyle w:val="Heading1"/>
        <w:spacing w:line="208" w:lineRule="auto"/>
        <w:ind w:right="0"/>
      </w:pPr>
      <w:bookmarkStart w:id="30" w:name="_TOC_250003"/>
      <w:bookmarkEnd w:id="30"/>
      <w:r>
        <w:lastRenderedPageBreak/>
        <w:t>Rejeitos da exploração de manganês em Marabá (PA) alcançam rios</w:t>
      </w:r>
    </w:p>
    <w:p w:rsidR="00D81F69" w:rsidRDefault="00D81F69">
      <w:pPr>
        <w:pStyle w:val="Corpodetexto"/>
        <w:ind w:left="0"/>
        <w:jc w:val="left"/>
        <w:rPr>
          <w:b/>
          <w:sz w:val="20"/>
        </w:rPr>
      </w:pPr>
    </w:p>
    <w:p w:rsidR="00D81F69" w:rsidRDefault="00D81F69">
      <w:pPr>
        <w:rPr>
          <w:sz w:val="20"/>
        </w:rPr>
        <w:sectPr w:rsidR="00D81F69">
          <w:pgSz w:w="11900" w:h="16840"/>
          <w:pgMar w:top="1080" w:right="46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PA - Marabá</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-5,4877</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-49,4702</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0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A empresa Mineração Buritirama S/A </w:t>
      </w:r>
      <w:r>
        <w:rPr>
          <w:i/>
          <w:sz w:val="16"/>
        </w:rPr>
        <w:t>possui instalações industriais de lavra no distrito de Vila Nova União, município de Marabá, no Pará. Ela emprega apenas água para concentração dos minérios de manganês, não deixando que partículas sólidas, provenientes dos rejeitos, sejam carreadas para o</w:t>
      </w:r>
      <w:r>
        <w:rPr>
          <w:i/>
          <w:sz w:val="16"/>
        </w:rPr>
        <w:t>s corpos hídricos receptores. No entanto, nas chuvas, os rejeitos têm alcançado os cursos d’água impossibilitando o seu uso.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0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44"/>
      </w:pPr>
      <w:r>
        <w:t>município de Parauapebas), contribuiu com mais de 50% da extração nacional de manganês, dos 2,4 milhões de toneladas extraídas em 2008 (CRUZ NETO, 2009).</w:t>
      </w:r>
    </w:p>
    <w:p w:rsidR="00D81F69" w:rsidRDefault="00330118">
      <w:pPr>
        <w:pStyle w:val="Corpodetexto"/>
        <w:spacing w:before="132" w:line="312" w:lineRule="auto"/>
        <w:ind w:left="135" w:right="196"/>
      </w:pPr>
      <w:r>
        <w:t>A 485 km da capital Belém, Marabá encontra-se entre dois grandes rios, Itacaiúnas e Tocantins (PREFEIT</w:t>
      </w:r>
      <w:r>
        <w:t>URA MUNICIPAL DE MARABÁ, 2011). Com 15.128 km² e 233.462</w:t>
      </w:r>
    </w:p>
    <w:p w:rsidR="00D81F69" w:rsidRDefault="00330118">
      <w:pPr>
        <w:pStyle w:val="Corpodetexto"/>
        <w:spacing w:before="3" w:line="312" w:lineRule="auto"/>
        <w:ind w:left="135" w:right="223"/>
      </w:pPr>
      <w:r>
        <w:rPr>
          <w:spacing w:val="3"/>
        </w:rPr>
        <w:t xml:space="preserve">habitantes (IBGE, 2010), </w:t>
      </w:r>
      <w:r>
        <w:t xml:space="preserve">o </w:t>
      </w:r>
      <w:r>
        <w:rPr>
          <w:spacing w:val="3"/>
        </w:rPr>
        <w:t xml:space="preserve">município </w:t>
      </w:r>
      <w:r>
        <w:rPr>
          <w:spacing w:val="2"/>
        </w:rPr>
        <w:t xml:space="preserve">teve </w:t>
      </w:r>
      <w:r>
        <w:rPr>
          <w:spacing w:val="1"/>
        </w:rPr>
        <w:t xml:space="preserve">na </w:t>
      </w:r>
      <w:r>
        <w:rPr>
          <w:spacing w:val="3"/>
        </w:rPr>
        <w:t xml:space="preserve">extração </w:t>
      </w:r>
      <w:r>
        <w:rPr>
          <w:spacing w:val="5"/>
        </w:rPr>
        <w:t xml:space="preserve">do látex </w:t>
      </w:r>
      <w:r>
        <w:rPr>
          <w:spacing w:val="3"/>
        </w:rPr>
        <w:t xml:space="preserve">de </w:t>
      </w:r>
      <w:r>
        <w:rPr>
          <w:spacing w:val="5"/>
        </w:rPr>
        <w:t xml:space="preserve">caucho </w:t>
      </w:r>
      <w:r>
        <w:t xml:space="preserve">e </w:t>
      </w:r>
      <w:r>
        <w:rPr>
          <w:spacing w:val="3"/>
        </w:rPr>
        <w:t xml:space="preserve">na </w:t>
      </w:r>
      <w:r>
        <w:rPr>
          <w:spacing w:val="6"/>
        </w:rPr>
        <w:t xml:space="preserve">castanha-do-pará </w:t>
      </w:r>
      <w:r>
        <w:rPr>
          <w:spacing w:val="5"/>
        </w:rPr>
        <w:t xml:space="preserve">suas </w:t>
      </w:r>
      <w:r>
        <w:rPr>
          <w:spacing w:val="7"/>
        </w:rPr>
        <w:t xml:space="preserve">primeiras </w:t>
      </w:r>
      <w:r>
        <w:rPr>
          <w:spacing w:val="3"/>
        </w:rPr>
        <w:t xml:space="preserve">atividades econômicas. </w:t>
      </w:r>
      <w:r>
        <w:rPr>
          <w:spacing w:val="1"/>
        </w:rPr>
        <w:t xml:space="preserve">Em </w:t>
      </w:r>
      <w:r>
        <w:rPr>
          <w:spacing w:val="3"/>
        </w:rPr>
        <w:t xml:space="preserve">1920, </w:t>
      </w:r>
      <w:r>
        <w:t xml:space="preserve">a </w:t>
      </w:r>
      <w:r>
        <w:rPr>
          <w:spacing w:val="3"/>
        </w:rPr>
        <w:t xml:space="preserve">coleta </w:t>
      </w:r>
      <w:r>
        <w:rPr>
          <w:spacing w:val="1"/>
        </w:rPr>
        <w:t xml:space="preserve">da </w:t>
      </w:r>
      <w:r>
        <w:rPr>
          <w:spacing w:val="3"/>
        </w:rPr>
        <w:t xml:space="preserve">castanha </w:t>
      </w:r>
      <w:r>
        <w:rPr>
          <w:spacing w:val="5"/>
        </w:rPr>
        <w:t xml:space="preserve">já </w:t>
      </w:r>
      <w:r>
        <w:rPr>
          <w:spacing w:val="10"/>
        </w:rPr>
        <w:t xml:space="preserve">ultrapassaria </w:t>
      </w:r>
      <w:r>
        <w:t xml:space="preserve">a </w:t>
      </w:r>
      <w:r>
        <w:rPr>
          <w:spacing w:val="10"/>
        </w:rPr>
        <w:t xml:space="preserve">produção </w:t>
      </w:r>
      <w:r>
        <w:rPr>
          <w:spacing w:val="5"/>
        </w:rPr>
        <w:t xml:space="preserve">de </w:t>
      </w:r>
      <w:r>
        <w:rPr>
          <w:spacing w:val="10"/>
        </w:rPr>
        <w:t xml:space="preserve">caucho. </w:t>
      </w:r>
      <w:r>
        <w:rPr>
          <w:spacing w:val="5"/>
        </w:rPr>
        <w:t xml:space="preserve">Os </w:t>
      </w:r>
      <w:r>
        <w:rPr>
          <w:spacing w:val="11"/>
        </w:rPr>
        <w:t xml:space="preserve">castanhais, </w:t>
      </w:r>
      <w:r>
        <w:rPr>
          <w:spacing w:val="5"/>
        </w:rPr>
        <w:t xml:space="preserve">valorizados, deixaram </w:t>
      </w:r>
      <w:r>
        <w:rPr>
          <w:spacing w:val="2"/>
        </w:rPr>
        <w:t xml:space="preserve">de </w:t>
      </w:r>
      <w:r>
        <w:rPr>
          <w:spacing w:val="3"/>
        </w:rPr>
        <w:t xml:space="preserve">ser </w:t>
      </w:r>
      <w:r>
        <w:rPr>
          <w:spacing w:val="5"/>
        </w:rPr>
        <w:t xml:space="preserve">públicos </w:t>
      </w:r>
      <w:r>
        <w:t xml:space="preserve">e </w:t>
      </w:r>
      <w:r>
        <w:rPr>
          <w:spacing w:val="5"/>
        </w:rPr>
        <w:t xml:space="preserve">passaram </w:t>
      </w:r>
      <w:r>
        <w:t xml:space="preserve">a </w:t>
      </w:r>
      <w:r>
        <w:rPr>
          <w:spacing w:val="5"/>
        </w:rPr>
        <w:t>ser</w:t>
      </w:r>
      <w:r>
        <w:rPr>
          <w:spacing w:val="61"/>
        </w:rPr>
        <w:t xml:space="preserve"> </w:t>
      </w:r>
      <w:r>
        <w:rPr>
          <w:spacing w:val="5"/>
        </w:rPr>
        <w:t xml:space="preserve">apropriados privadamente, dando  início  </w:t>
      </w:r>
      <w:r>
        <w:rPr>
          <w:spacing w:val="2"/>
        </w:rPr>
        <w:t xml:space="preserve">ao  </w:t>
      </w:r>
      <w:r>
        <w:rPr>
          <w:spacing w:val="5"/>
        </w:rPr>
        <w:t xml:space="preserve">processo  </w:t>
      </w:r>
      <w:r>
        <w:rPr>
          <w:spacing w:val="6"/>
        </w:rPr>
        <w:t>de</w:t>
      </w:r>
    </w:p>
    <w:p w:rsidR="00D81F69" w:rsidRDefault="00D81F69">
      <w:pPr>
        <w:spacing w:line="312" w:lineRule="auto"/>
        <w:sectPr w:rsidR="00D81F69">
          <w:type w:val="continuous"/>
          <w:pgSz w:w="11900" w:h="16840"/>
          <w:pgMar w:top="720" w:right="460" w:bottom="280" w:left="620" w:header="720" w:footer="720" w:gutter="0"/>
          <w:cols w:num="3" w:space="720" w:equalWidth="0">
            <w:col w:w="1008" w:space="992"/>
            <w:col w:w="3108" w:space="327"/>
            <w:col w:w="5385"/>
          </w:cols>
        </w:sectPr>
      </w:pPr>
    </w:p>
    <w:p w:rsidR="00D81F69" w:rsidRDefault="00330118">
      <w:pPr>
        <w:pStyle w:val="Heading4"/>
        <w:spacing w:before="59"/>
      </w:pPr>
      <w:r>
        <w:lastRenderedPageBreak/>
        <w:t>APRESENTAÇÃO DE CASO</w:t>
      </w:r>
    </w:p>
    <w:p w:rsidR="00D81F69" w:rsidRDefault="00330118">
      <w:pPr>
        <w:pStyle w:val="Corpodetexto"/>
        <w:spacing w:before="171" w:line="312" w:lineRule="auto"/>
        <w:ind w:right="55"/>
      </w:pPr>
      <w:r>
        <w:rPr>
          <w:spacing w:val="3"/>
        </w:rPr>
        <w:t xml:space="preserve">De </w:t>
      </w:r>
      <w:r>
        <w:rPr>
          <w:spacing w:val="5"/>
        </w:rPr>
        <w:t xml:space="preserve">acordo com </w:t>
      </w:r>
      <w:r>
        <w:t xml:space="preserve">o </w:t>
      </w:r>
      <w:r>
        <w:rPr>
          <w:spacing w:val="6"/>
        </w:rPr>
        <w:t xml:space="preserve">Departamento Nacional </w:t>
      </w:r>
      <w:r>
        <w:rPr>
          <w:spacing w:val="3"/>
        </w:rPr>
        <w:t xml:space="preserve">de </w:t>
      </w:r>
      <w:r>
        <w:rPr>
          <w:spacing w:val="7"/>
        </w:rPr>
        <w:t xml:space="preserve">Produção </w:t>
      </w:r>
      <w:r>
        <w:t>Mineral (DNPM), o</w:t>
      </w:r>
      <w:r>
        <w:t xml:space="preserve"> Brasil detém reservas medidas e indicadas de 587,47 milhões de toneladas de </w:t>
      </w:r>
      <w:hyperlink r:id="rId355">
        <w:r>
          <w:t xml:space="preserve">manganês, </w:t>
        </w:r>
      </w:hyperlink>
      <w:r>
        <w:t xml:space="preserve">com teor de </w:t>
      </w:r>
      <w:r>
        <w:rPr>
          <w:spacing w:val="3"/>
        </w:rPr>
        <w:t xml:space="preserve">40% </w:t>
      </w:r>
      <w:r>
        <w:rPr>
          <w:spacing w:val="2"/>
        </w:rPr>
        <w:t xml:space="preserve">de </w:t>
      </w:r>
      <w:r>
        <w:rPr>
          <w:spacing w:val="3"/>
        </w:rPr>
        <w:t xml:space="preserve">metal </w:t>
      </w:r>
      <w:r>
        <w:rPr>
          <w:spacing w:val="5"/>
        </w:rPr>
        <w:t xml:space="preserve">contido (VALOR ECONÔMICO, 2010). As </w:t>
      </w:r>
      <w:r>
        <w:t>principais reserv</w:t>
      </w:r>
      <w:r>
        <w:t xml:space="preserve">as nacionais estão localizadas nos estados </w:t>
      </w:r>
      <w:r>
        <w:rPr>
          <w:spacing w:val="2"/>
        </w:rPr>
        <w:t xml:space="preserve">de </w:t>
      </w:r>
      <w:r>
        <w:rPr>
          <w:spacing w:val="5"/>
        </w:rPr>
        <w:t xml:space="preserve">Minas Gerais, Mato Grosso </w:t>
      </w:r>
      <w:r>
        <w:rPr>
          <w:spacing w:val="2"/>
        </w:rPr>
        <w:t xml:space="preserve">do </w:t>
      </w:r>
      <w:r>
        <w:rPr>
          <w:spacing w:val="5"/>
        </w:rPr>
        <w:t xml:space="preserve">Sul, Bahia </w:t>
      </w:r>
      <w:r>
        <w:t xml:space="preserve">e </w:t>
      </w:r>
      <w:r>
        <w:rPr>
          <w:spacing w:val="5"/>
        </w:rPr>
        <w:t xml:space="preserve">Pará. </w:t>
      </w:r>
      <w:r>
        <w:t>A reserva existente no estado do Amapá permanece inalterada em relação aos anos 2000, tendo em vista que as atividades de lavra foram encerradas em 1997. A produç</w:t>
      </w:r>
      <w:r>
        <w:t xml:space="preserve">ão brasileira de </w:t>
      </w:r>
      <w:r>
        <w:rPr>
          <w:spacing w:val="5"/>
        </w:rPr>
        <w:t xml:space="preserve">minério </w:t>
      </w:r>
      <w:r>
        <w:rPr>
          <w:spacing w:val="2"/>
        </w:rPr>
        <w:t xml:space="preserve">de </w:t>
      </w:r>
      <w:r>
        <w:rPr>
          <w:spacing w:val="5"/>
        </w:rPr>
        <w:t xml:space="preserve">manganês </w:t>
      </w:r>
      <w:r>
        <w:rPr>
          <w:spacing w:val="3"/>
        </w:rPr>
        <w:t xml:space="preserve">vem </w:t>
      </w:r>
      <w:r>
        <w:rPr>
          <w:spacing w:val="5"/>
        </w:rPr>
        <w:t xml:space="preserve">mantendo-se </w:t>
      </w:r>
      <w:r>
        <w:rPr>
          <w:spacing w:val="2"/>
        </w:rPr>
        <w:t xml:space="preserve">em 2º </w:t>
      </w:r>
      <w:r>
        <w:rPr>
          <w:spacing w:val="5"/>
        </w:rPr>
        <w:t xml:space="preserve">lugar </w:t>
      </w:r>
      <w:r>
        <w:rPr>
          <w:spacing w:val="6"/>
        </w:rPr>
        <w:t xml:space="preserve">no </w:t>
      </w:r>
      <w:r>
        <w:t>ranking mundial desde 2001. Em 2008, a produção nacional chegou</w:t>
      </w:r>
      <w:r>
        <w:rPr>
          <w:spacing w:val="15"/>
        </w:rPr>
        <w:t xml:space="preserve"> </w:t>
      </w:r>
      <w:r>
        <w:t>a</w:t>
      </w:r>
      <w:r>
        <w:rPr>
          <w:spacing w:val="15"/>
        </w:rPr>
        <w:t xml:space="preserve"> </w:t>
      </w:r>
      <w:r>
        <w:t>2,4</w:t>
      </w:r>
      <w:r>
        <w:rPr>
          <w:spacing w:val="15"/>
        </w:rPr>
        <w:t xml:space="preserve"> </w:t>
      </w:r>
      <w:r>
        <w:t>milhões</w:t>
      </w:r>
      <w:r>
        <w:rPr>
          <w:spacing w:val="15"/>
        </w:rPr>
        <w:t xml:space="preserve"> </w:t>
      </w:r>
      <w:r>
        <w:t>de</w:t>
      </w:r>
      <w:r>
        <w:rPr>
          <w:spacing w:val="15"/>
        </w:rPr>
        <w:t xml:space="preserve"> </w:t>
      </w:r>
      <w:r>
        <w:t>toneladas</w:t>
      </w:r>
      <w:r>
        <w:rPr>
          <w:spacing w:val="15"/>
        </w:rPr>
        <w:t xml:space="preserve"> </w:t>
      </w:r>
      <w:r>
        <w:t>(SANTANA,</w:t>
      </w:r>
      <w:r>
        <w:rPr>
          <w:spacing w:val="15"/>
        </w:rPr>
        <w:t xml:space="preserve"> </w:t>
      </w:r>
      <w:r>
        <w:t>2009).</w:t>
      </w:r>
    </w:p>
    <w:p w:rsidR="00D81F69" w:rsidRDefault="00330118">
      <w:pPr>
        <w:pStyle w:val="Corpodetexto"/>
        <w:spacing w:before="141" w:line="312" w:lineRule="auto"/>
        <w:ind w:right="43"/>
      </w:pPr>
      <w:r>
        <w:t xml:space="preserve">O minério de manganês é essencial para a produção do aço. É </w:t>
      </w:r>
      <w:r>
        <w:rPr>
          <w:spacing w:val="3"/>
        </w:rPr>
        <w:t xml:space="preserve">usado </w:t>
      </w:r>
      <w:r>
        <w:rPr>
          <w:spacing w:val="1"/>
        </w:rPr>
        <w:t xml:space="preserve">na </w:t>
      </w:r>
      <w:r>
        <w:rPr>
          <w:spacing w:val="3"/>
        </w:rPr>
        <w:t xml:space="preserve">forma </w:t>
      </w:r>
      <w:r>
        <w:rPr>
          <w:spacing w:val="1"/>
        </w:rPr>
        <w:t xml:space="preserve">de </w:t>
      </w:r>
      <w:r>
        <w:rPr>
          <w:spacing w:val="3"/>
        </w:rPr>
        <w:t xml:space="preserve">minério natural </w:t>
      </w:r>
      <w:r>
        <w:rPr>
          <w:spacing w:val="2"/>
        </w:rPr>
        <w:t xml:space="preserve">como </w:t>
      </w:r>
      <w:r>
        <w:rPr>
          <w:spacing w:val="3"/>
        </w:rPr>
        <w:t xml:space="preserve">adição </w:t>
      </w:r>
      <w:r>
        <w:rPr>
          <w:spacing w:val="1"/>
        </w:rPr>
        <w:t xml:space="preserve">no </w:t>
      </w:r>
      <w:r>
        <w:rPr>
          <w:spacing w:val="5"/>
        </w:rPr>
        <w:t xml:space="preserve">alto </w:t>
      </w:r>
      <w:r>
        <w:t xml:space="preserve">forno de gusa, e como adição nos fornos para a produção de </w:t>
      </w:r>
      <w:hyperlink r:id="rId356">
        <w:r>
          <w:t xml:space="preserve">ferroligas </w:t>
        </w:r>
      </w:hyperlink>
      <w:r>
        <w:t xml:space="preserve">à base de manganês. Estas, posteriormente, </w:t>
      </w:r>
      <w:r>
        <w:rPr>
          <w:spacing w:val="1"/>
        </w:rPr>
        <w:t xml:space="preserve">são </w:t>
      </w:r>
      <w:r>
        <w:t>consumidas na</w:t>
      </w:r>
      <w:r>
        <w:t xml:space="preserve"> indústria siderúrgica em praticamente todos  os tipos de aço e fundidos de ferro, devido à sua propriedade de dessulfurização (retirada do enxofre) (MME,</w:t>
      </w:r>
      <w:r>
        <w:rPr>
          <w:spacing w:val="43"/>
        </w:rPr>
        <w:t xml:space="preserve"> </w:t>
      </w:r>
      <w:r>
        <w:t>2009).</w:t>
      </w:r>
    </w:p>
    <w:p w:rsidR="00D81F69" w:rsidRDefault="00330118">
      <w:pPr>
        <w:pStyle w:val="Corpodetexto"/>
        <w:spacing w:before="136" w:line="312" w:lineRule="auto"/>
        <w:ind w:right="38"/>
      </w:pPr>
      <w:r>
        <w:t>O setor siderúrgico absorve pouco mais de 85% do minério de manganês, seja de forma natural ou</w:t>
      </w:r>
      <w:r>
        <w:t xml:space="preserve"> transformado em ligas à base de manganês. Dos15% restantes sob a forma de bióxido </w:t>
      </w:r>
      <w:r>
        <w:rPr>
          <w:spacing w:val="2"/>
        </w:rPr>
        <w:t xml:space="preserve">de </w:t>
      </w:r>
      <w:r>
        <w:rPr>
          <w:spacing w:val="5"/>
        </w:rPr>
        <w:t xml:space="preserve">manganês, </w:t>
      </w:r>
      <w:r>
        <w:rPr>
          <w:spacing w:val="3"/>
        </w:rPr>
        <w:t xml:space="preserve">10% são </w:t>
      </w:r>
      <w:r>
        <w:rPr>
          <w:spacing w:val="5"/>
        </w:rPr>
        <w:t xml:space="preserve">utilizados </w:t>
      </w:r>
      <w:r>
        <w:rPr>
          <w:spacing w:val="3"/>
        </w:rPr>
        <w:t xml:space="preserve">como </w:t>
      </w:r>
      <w:r>
        <w:rPr>
          <w:spacing w:val="5"/>
        </w:rPr>
        <w:t xml:space="preserve">componente de </w:t>
      </w:r>
      <w:r>
        <w:rPr>
          <w:spacing w:val="3"/>
        </w:rPr>
        <w:t xml:space="preserve">pilhas </w:t>
      </w:r>
      <w:r>
        <w:t xml:space="preserve">e </w:t>
      </w:r>
      <w:r>
        <w:rPr>
          <w:spacing w:val="2"/>
        </w:rPr>
        <w:t xml:space="preserve">5%, como </w:t>
      </w:r>
      <w:r>
        <w:rPr>
          <w:spacing w:val="3"/>
        </w:rPr>
        <w:t xml:space="preserve">insumo </w:t>
      </w:r>
      <w:r>
        <w:rPr>
          <w:spacing w:val="1"/>
        </w:rPr>
        <w:t xml:space="preserve">da </w:t>
      </w:r>
      <w:r>
        <w:rPr>
          <w:spacing w:val="3"/>
        </w:rPr>
        <w:t xml:space="preserve">indústria química </w:t>
      </w:r>
      <w:r>
        <w:rPr>
          <w:spacing w:val="5"/>
        </w:rPr>
        <w:t xml:space="preserve">(adubos, ração). </w:t>
      </w:r>
      <w:r>
        <w:t xml:space="preserve">A </w:t>
      </w:r>
      <w:r>
        <w:rPr>
          <w:spacing w:val="5"/>
        </w:rPr>
        <w:t xml:space="preserve">principal empresa produtora </w:t>
      </w:r>
      <w:r>
        <w:t xml:space="preserve">e </w:t>
      </w:r>
      <w:r>
        <w:rPr>
          <w:spacing w:val="5"/>
        </w:rPr>
        <w:t xml:space="preserve">exportadora de </w:t>
      </w:r>
      <w:r>
        <w:t>manganês e f</w:t>
      </w:r>
      <w:r>
        <w:t xml:space="preserve">erroligas é a Vale. O segundo grupo empresarial </w:t>
      </w:r>
      <w:r>
        <w:rPr>
          <w:spacing w:val="5"/>
        </w:rPr>
        <w:t xml:space="preserve">de </w:t>
      </w:r>
      <w:r>
        <w:rPr>
          <w:spacing w:val="10"/>
        </w:rPr>
        <w:t xml:space="preserve">importância </w:t>
      </w:r>
      <w:r>
        <w:rPr>
          <w:spacing w:val="5"/>
        </w:rPr>
        <w:t xml:space="preserve">na </w:t>
      </w:r>
      <w:r>
        <w:rPr>
          <w:spacing w:val="8"/>
        </w:rPr>
        <w:t xml:space="preserve">produção </w:t>
      </w:r>
      <w:r>
        <w:rPr>
          <w:spacing w:val="5"/>
        </w:rPr>
        <w:t xml:space="preserve">de </w:t>
      </w:r>
      <w:r>
        <w:rPr>
          <w:spacing w:val="8"/>
        </w:rPr>
        <w:t xml:space="preserve">manganês </w:t>
      </w:r>
      <w:r>
        <w:t xml:space="preserve">é o </w:t>
      </w:r>
      <w:r>
        <w:rPr>
          <w:spacing w:val="10"/>
        </w:rPr>
        <w:t xml:space="preserve">grupo </w:t>
      </w:r>
      <w:r>
        <w:rPr>
          <w:spacing w:val="5"/>
        </w:rPr>
        <w:t xml:space="preserve">Bonsucex (nacional), </w:t>
      </w:r>
      <w:r>
        <w:rPr>
          <w:spacing w:val="3"/>
        </w:rPr>
        <w:t xml:space="preserve">que </w:t>
      </w:r>
      <w:r>
        <w:rPr>
          <w:spacing w:val="5"/>
        </w:rPr>
        <w:t xml:space="preserve">controla </w:t>
      </w:r>
      <w:r>
        <w:t xml:space="preserve">a </w:t>
      </w:r>
      <w:r>
        <w:rPr>
          <w:spacing w:val="5"/>
        </w:rPr>
        <w:t>empresa Mineração</w:t>
      </w:r>
      <w:r>
        <w:rPr>
          <w:spacing w:val="61"/>
        </w:rPr>
        <w:t xml:space="preserve"> </w:t>
      </w:r>
      <w:r>
        <w:rPr>
          <w:spacing w:val="5"/>
        </w:rPr>
        <w:t xml:space="preserve">Buritirama </w:t>
      </w:r>
      <w:r>
        <w:rPr>
          <w:spacing w:val="3"/>
        </w:rPr>
        <w:t>S/A (MME,</w:t>
      </w:r>
      <w:r>
        <w:rPr>
          <w:spacing w:val="2"/>
        </w:rPr>
        <w:t xml:space="preserve"> </w:t>
      </w:r>
      <w:r>
        <w:rPr>
          <w:spacing w:val="5"/>
        </w:rPr>
        <w:t>2009).</w:t>
      </w:r>
    </w:p>
    <w:p w:rsidR="00D81F69" w:rsidRDefault="00330118">
      <w:pPr>
        <w:pStyle w:val="Corpodetexto"/>
        <w:spacing w:before="139" w:line="312" w:lineRule="auto"/>
        <w:ind w:right="42"/>
      </w:pPr>
      <w:r>
        <w:t>A Mineração Buritirama tem sede em São Paulo (SP) e possui instalações indust</w:t>
      </w:r>
      <w:r>
        <w:t>riais de lavra e beneficiamento no distrito de Vila Nova União, município de Marabá (PA), além de um escritório de apoio e pátio de estocagem na cidade de Marabá (MINERAÇÃO BURITIRAMA, 2011a). A mina da Buritirama, juntamente com a Mina do Azul (pertencent</w:t>
      </w:r>
      <w:r>
        <w:t>e à Vale, no</w:t>
      </w:r>
    </w:p>
    <w:p w:rsidR="00D81F69" w:rsidRDefault="00330118">
      <w:pPr>
        <w:pStyle w:val="Corpodetexto"/>
        <w:spacing w:before="6" w:line="312" w:lineRule="auto"/>
        <w:ind w:right="236"/>
      </w:pPr>
      <w:r>
        <w:br w:type="column"/>
      </w:r>
      <w:r>
        <w:lastRenderedPageBreak/>
        <w:t>concentração fundiária. A dinâmica populacional de Marabá variava conforme os ciclos de coleta, aumentando em volume nos períodos de safra e época de chuva (CORRÊA; CARMO, 2010).</w:t>
      </w:r>
    </w:p>
    <w:p w:rsidR="00D81F69" w:rsidRDefault="00330118">
      <w:pPr>
        <w:pStyle w:val="Corpodetexto"/>
        <w:spacing w:before="133" w:line="312" w:lineRule="auto"/>
        <w:ind w:right="217"/>
      </w:pPr>
      <w:r>
        <w:t>Somente a partir de 1935, com o advento da mineração, os trabal</w:t>
      </w:r>
      <w:r>
        <w:t>hadores começaram a permanecer na região em períodos de seca. A decadência dos castanhais ocorreu na década de 1970, com a demanda por terra para áreas de pastagem e indústrias de madeiras. O reconhecimento da existência de recursos minerais culminou na in</w:t>
      </w:r>
      <w:r>
        <w:t>iciativa do Estado, através do Programa Grande Carajás (PGC), para construção de grandes obras de infraestrutura. Recentemente, a instalação de siderúrgicas produtoras de ferro gusa expandiu a atividade mineradora da cidade (CORRÊA; CARMO, 2010).</w:t>
      </w:r>
    </w:p>
    <w:p w:rsidR="00D81F69" w:rsidRDefault="00330118">
      <w:pPr>
        <w:pStyle w:val="Corpodetexto"/>
        <w:spacing w:before="140" w:line="312" w:lineRule="auto"/>
        <w:ind w:right="237"/>
      </w:pPr>
      <w:r>
        <w:t>Descobert</w:t>
      </w:r>
      <w:r>
        <w:t>os em 1966, os depósitos de manganês de Marabá localizam-se na Serra de Buritirama e integram a grande província mineral da Serra de Carajás. As reservas totais foram estimadas em 18,4 milhões de toneladas de minério de manganês de alto teor, com 45% de ma</w:t>
      </w:r>
      <w:r>
        <w:t>nganês (Mn), baixos teores de fósforo (P) e relação Mn/Fe igual a 15 (MME, 2009). A Mineração Buritirama explora a mina desde a década de 1990 (DIÁRIO DO PARÁ, 2010), e tem licença de operação para produzir até 900 mil toneladas de produto granulado e sint</w:t>
      </w:r>
      <w:r>
        <w:t>er-feed (minério de granulometria entre 6,35 mm e 0,15mm). A mina possui Estudo e Relatório de Impacto Ambiental (EIA/RIMA), e está devidamente licenciada para operação pela Secretaria de Estado de Ciência, Tecnologia e Meio Ambiente (Sectam), do Estado do</w:t>
      </w:r>
      <w:r>
        <w:t xml:space="preserve"> Pará (MME, 2009).</w:t>
      </w:r>
    </w:p>
    <w:p w:rsidR="00D81F69" w:rsidRDefault="00330118">
      <w:pPr>
        <w:pStyle w:val="Corpodetexto"/>
        <w:spacing w:before="80" w:line="270" w:lineRule="atLeast"/>
        <w:ind w:right="229"/>
      </w:pPr>
      <w:r>
        <w:t>A Mineração Buritirama tem planta de beneficiamento, com as etapas de britagem, deslamagem, lavagem e classificação. Com recuperação dos finos, reduz o volume de rejeito para 10% a 15% do total da alimentação, restando lama e alguns contaminantes depositad</w:t>
      </w:r>
      <w:r>
        <w:t>os na barragem de rejeito (MME, 2009). De acordo com a empresa, o processo de beneficiamento empregado utiliza apenas água como agente para a concentração dos minérios de manganês, sendo,</w:t>
      </w:r>
    </w:p>
    <w:p w:rsidR="00D81F69" w:rsidRDefault="00D81F69">
      <w:pPr>
        <w:spacing w:line="270" w:lineRule="atLeast"/>
        <w:sectPr w:rsidR="00D81F69">
          <w:type w:val="continuous"/>
          <w:pgSz w:w="11900" w:h="16840"/>
          <w:pgMar w:top="720" w:right="460" w:bottom="280" w:left="620" w:header="720" w:footer="720" w:gutter="0"/>
          <w:cols w:num="2" w:space="720" w:equalWidth="0">
            <w:col w:w="5158" w:space="312"/>
            <w:col w:w="5350"/>
          </w:cols>
        </w:sectPr>
      </w:pPr>
    </w:p>
    <w:p w:rsidR="00D81F69" w:rsidRDefault="00330118">
      <w:pPr>
        <w:pStyle w:val="Corpodetexto"/>
        <w:spacing w:before="81" w:line="312" w:lineRule="auto"/>
        <w:ind w:right="42"/>
      </w:pPr>
      <w:r>
        <w:lastRenderedPageBreak/>
        <w:t>portanto, as barragens o ponto alto da pr</w:t>
      </w:r>
      <w:r>
        <w:t>eservação ambiental, já que não deixam que partículas sólidas, provenientes dos rejeitos, sejam carreadas para os corpos hídricos receptores, impedindo seu assoreamento e contaminação (MINERAÇÃO BURITIRAMA [s.d.]b). No entanto, trabalhadores do Assentament</w:t>
      </w:r>
      <w:r>
        <w:t>o Cinturão Verde, nas proximidades da mina, alegam que, no período chuvoso, os rejeitos provenientes da lavagem do minério de manganês têm alcançado os cursos d’água impossibilitando o seu uso (CRUZ NETO, 2009).</w:t>
      </w:r>
    </w:p>
    <w:p w:rsidR="00D81F69" w:rsidRDefault="00330118">
      <w:pPr>
        <w:pStyle w:val="Corpodetexto"/>
        <w:spacing w:before="138" w:line="312" w:lineRule="auto"/>
        <w:ind w:right="58"/>
      </w:pPr>
      <w:r>
        <w:t>De acordo com Jorge Bittencourt, professor d</w:t>
      </w:r>
      <w:r>
        <w:t xml:space="preserve">e Geologia da Universidade de São Paulo (USP), como o manganês não se encontra puro na natureza, pode haver no mineral a incidência de sulfetos de </w:t>
      </w:r>
      <w:hyperlink r:id="rId357">
        <w:r>
          <w:t>arsênio.</w:t>
        </w:r>
      </w:hyperlink>
      <w:r>
        <w:t xml:space="preserve"> Esses comp</w:t>
      </w:r>
      <w:r>
        <w:t>ostos são instáveis e, em condições extremas de temperatura ou devido a intempéries, podem ter sua estrutura cristalina rompida e liberar arsênio para o meio ambiente, como aconteceu durante a exploração do minério em Serra do Navio, Amapá (SAKAMOTO, 2001)</w:t>
      </w:r>
      <w:r>
        <w:t>.</w:t>
      </w:r>
    </w:p>
    <w:p w:rsidR="00D81F69" w:rsidRDefault="00330118">
      <w:pPr>
        <w:pStyle w:val="Corpodetexto"/>
        <w:spacing w:before="138" w:line="312" w:lineRule="auto"/>
        <w:ind w:right="39"/>
      </w:pPr>
      <w:r>
        <w:t xml:space="preserve">A </w:t>
      </w:r>
      <w:r>
        <w:rPr>
          <w:spacing w:val="1"/>
        </w:rPr>
        <w:t xml:space="preserve">empresa fornece manganês para </w:t>
      </w:r>
      <w:r>
        <w:t xml:space="preserve">os </w:t>
      </w:r>
      <w:r>
        <w:rPr>
          <w:spacing w:val="1"/>
        </w:rPr>
        <w:t xml:space="preserve">mercados interno </w:t>
      </w:r>
      <w:r>
        <w:t xml:space="preserve">e externo, e, para aumentar sua competitividade no mercado internacional e agregar valor ao produto, pretende verticalizar a </w:t>
      </w:r>
      <w:r>
        <w:rPr>
          <w:spacing w:val="5"/>
        </w:rPr>
        <w:t xml:space="preserve">produção, através </w:t>
      </w:r>
      <w:r>
        <w:rPr>
          <w:spacing w:val="2"/>
        </w:rPr>
        <w:t xml:space="preserve">da </w:t>
      </w:r>
      <w:r>
        <w:rPr>
          <w:spacing w:val="5"/>
        </w:rPr>
        <w:t xml:space="preserve">fabricação </w:t>
      </w:r>
      <w:r>
        <w:rPr>
          <w:spacing w:val="2"/>
        </w:rPr>
        <w:t xml:space="preserve">de </w:t>
      </w:r>
      <w:r>
        <w:rPr>
          <w:spacing w:val="3"/>
        </w:rPr>
        <w:t xml:space="preserve">ligas </w:t>
      </w:r>
      <w:r>
        <w:rPr>
          <w:spacing w:val="5"/>
        </w:rPr>
        <w:t>metálicas na</w:t>
      </w:r>
      <w:r>
        <w:rPr>
          <w:spacing w:val="61"/>
        </w:rPr>
        <w:t xml:space="preserve"> </w:t>
      </w:r>
      <w:r>
        <w:t xml:space="preserve">região da mina (TAVARES, 2008). Ou seja, pretende não ser apenas um produtor de manganês, mas trazer indústrias na área da metalurgia para o estado e expandir a utilização do manganês em outras formas, como o eletrolítico, usado na </w:t>
      </w:r>
      <w:r>
        <w:rPr>
          <w:spacing w:val="5"/>
        </w:rPr>
        <w:t xml:space="preserve">produção </w:t>
      </w:r>
      <w:r>
        <w:rPr>
          <w:spacing w:val="2"/>
        </w:rPr>
        <w:t xml:space="preserve">de </w:t>
      </w:r>
      <w:r>
        <w:rPr>
          <w:spacing w:val="5"/>
        </w:rPr>
        <w:t xml:space="preserve">pilhas, </w:t>
      </w:r>
      <w:r>
        <w:rPr>
          <w:spacing w:val="3"/>
        </w:rPr>
        <w:t>raçã</w:t>
      </w:r>
      <w:r>
        <w:rPr>
          <w:spacing w:val="3"/>
        </w:rPr>
        <w:t xml:space="preserve">o </w:t>
      </w:r>
      <w:r>
        <w:rPr>
          <w:spacing w:val="5"/>
        </w:rPr>
        <w:t xml:space="preserve">animal </w:t>
      </w:r>
      <w:r>
        <w:t xml:space="preserve">e </w:t>
      </w:r>
      <w:r>
        <w:rPr>
          <w:spacing w:val="5"/>
        </w:rPr>
        <w:t>agricultura (BIONDI, 2010).</w:t>
      </w:r>
    </w:p>
    <w:p w:rsidR="00D81F69" w:rsidRDefault="00330118">
      <w:pPr>
        <w:pStyle w:val="Corpodetexto"/>
        <w:spacing w:before="140" w:line="312" w:lineRule="auto"/>
        <w:ind w:right="38"/>
      </w:pPr>
      <w:r>
        <w:t xml:space="preserve">A Mineração Buritirama pretende investir cerca de US$ </w:t>
      </w:r>
      <w:r>
        <w:rPr>
          <w:spacing w:val="1"/>
        </w:rPr>
        <w:t xml:space="preserve">400 </w:t>
      </w:r>
      <w:r>
        <w:t>milhões no projeto integrado com reflorestamento, produção de carvão e usina de ferroliga em Marabá, com capacidade  de 120 mil toneladas de ferroliga, com pre</w:t>
      </w:r>
      <w:r>
        <w:t xml:space="preserve">visão de produção </w:t>
      </w:r>
      <w:r>
        <w:rPr>
          <w:spacing w:val="3"/>
        </w:rPr>
        <w:t xml:space="preserve">em </w:t>
      </w:r>
      <w:r>
        <w:rPr>
          <w:spacing w:val="5"/>
        </w:rPr>
        <w:t xml:space="preserve">2015 (MME, 2009). </w:t>
      </w:r>
      <w:r>
        <w:t xml:space="preserve">A </w:t>
      </w:r>
      <w:r>
        <w:rPr>
          <w:spacing w:val="5"/>
        </w:rPr>
        <w:t xml:space="preserve">futura unidade </w:t>
      </w:r>
      <w:r>
        <w:rPr>
          <w:spacing w:val="3"/>
        </w:rPr>
        <w:t xml:space="preserve">de </w:t>
      </w:r>
      <w:r>
        <w:rPr>
          <w:spacing w:val="6"/>
        </w:rPr>
        <w:t xml:space="preserve">ferroliga </w:t>
      </w:r>
      <w:r>
        <w:t xml:space="preserve">é </w:t>
      </w:r>
      <w:r>
        <w:rPr>
          <w:spacing w:val="3"/>
        </w:rPr>
        <w:t xml:space="preserve">candidata </w:t>
      </w:r>
      <w:r>
        <w:t xml:space="preserve">a </w:t>
      </w:r>
      <w:r>
        <w:rPr>
          <w:spacing w:val="2"/>
        </w:rPr>
        <w:t xml:space="preserve">usar </w:t>
      </w:r>
      <w:r>
        <w:rPr>
          <w:spacing w:val="3"/>
        </w:rPr>
        <w:t xml:space="preserve">energia </w:t>
      </w:r>
      <w:r>
        <w:rPr>
          <w:spacing w:val="1"/>
        </w:rPr>
        <w:t xml:space="preserve">da </w:t>
      </w:r>
      <w:r>
        <w:rPr>
          <w:spacing w:val="3"/>
        </w:rPr>
        <w:t xml:space="preserve">usina </w:t>
      </w:r>
      <w:r>
        <w:rPr>
          <w:spacing w:val="1"/>
        </w:rPr>
        <w:t xml:space="preserve">de </w:t>
      </w:r>
      <w:r>
        <w:rPr>
          <w:spacing w:val="2"/>
        </w:rPr>
        <w:t xml:space="preserve">Belo </w:t>
      </w:r>
      <w:r>
        <w:rPr>
          <w:spacing w:val="3"/>
        </w:rPr>
        <w:t xml:space="preserve">Monte </w:t>
      </w:r>
      <w:r>
        <w:t xml:space="preserve">e </w:t>
      </w:r>
      <w:r>
        <w:rPr>
          <w:spacing w:val="5"/>
        </w:rPr>
        <w:t xml:space="preserve">uma </w:t>
      </w:r>
      <w:r>
        <w:t xml:space="preserve">logística de transporte fluvial pela hidrovia do Tocantins para </w:t>
      </w:r>
      <w:r>
        <w:rPr>
          <w:spacing w:val="1"/>
        </w:rPr>
        <w:t xml:space="preserve">exportar </w:t>
      </w:r>
      <w:r>
        <w:t xml:space="preserve">a </w:t>
      </w:r>
      <w:r>
        <w:rPr>
          <w:spacing w:val="1"/>
        </w:rPr>
        <w:t xml:space="preserve">produção pelo porto </w:t>
      </w:r>
      <w:r>
        <w:t xml:space="preserve">de </w:t>
      </w:r>
      <w:r>
        <w:rPr>
          <w:spacing w:val="1"/>
        </w:rPr>
        <w:t xml:space="preserve">Vila </w:t>
      </w:r>
      <w:r>
        <w:t xml:space="preserve">do </w:t>
      </w:r>
      <w:r>
        <w:rPr>
          <w:spacing w:val="1"/>
        </w:rPr>
        <w:t xml:space="preserve">Conde </w:t>
      </w:r>
      <w:r>
        <w:rPr>
          <w:spacing w:val="2"/>
        </w:rPr>
        <w:t xml:space="preserve">(DURÃO, </w:t>
      </w:r>
      <w:r>
        <w:rPr>
          <w:spacing w:val="15"/>
        </w:rPr>
        <w:t xml:space="preserve">2009). </w:t>
      </w:r>
      <w:r>
        <w:t xml:space="preserve">O </w:t>
      </w:r>
      <w:r>
        <w:rPr>
          <w:spacing w:val="15"/>
        </w:rPr>
        <w:t>go</w:t>
      </w:r>
      <w:r>
        <w:rPr>
          <w:spacing w:val="15"/>
        </w:rPr>
        <w:t xml:space="preserve">verno federal deverá promover </w:t>
      </w:r>
      <w:r>
        <w:rPr>
          <w:spacing w:val="12"/>
        </w:rPr>
        <w:t xml:space="preserve">essa </w:t>
      </w:r>
      <w:r>
        <w:rPr>
          <w:spacing w:val="3"/>
        </w:rPr>
        <w:t xml:space="preserve">infraestrutura, </w:t>
      </w:r>
      <w:r>
        <w:rPr>
          <w:spacing w:val="2"/>
        </w:rPr>
        <w:t xml:space="preserve">que </w:t>
      </w:r>
      <w:r>
        <w:rPr>
          <w:spacing w:val="3"/>
        </w:rPr>
        <w:t xml:space="preserve">também </w:t>
      </w:r>
      <w:r>
        <w:rPr>
          <w:spacing w:val="2"/>
        </w:rPr>
        <w:t xml:space="preserve">será </w:t>
      </w:r>
      <w:r>
        <w:rPr>
          <w:spacing w:val="3"/>
        </w:rPr>
        <w:t xml:space="preserve">utilizada </w:t>
      </w:r>
      <w:r>
        <w:rPr>
          <w:spacing w:val="2"/>
        </w:rPr>
        <w:t xml:space="preserve">pela </w:t>
      </w:r>
      <w:r>
        <w:rPr>
          <w:spacing w:val="5"/>
        </w:rPr>
        <w:t xml:space="preserve">siderúrgica </w:t>
      </w:r>
      <w:r>
        <w:rPr>
          <w:spacing w:val="6"/>
        </w:rPr>
        <w:t xml:space="preserve">Aços </w:t>
      </w:r>
      <w:r>
        <w:rPr>
          <w:spacing w:val="7"/>
        </w:rPr>
        <w:t xml:space="preserve">Laminados </w:t>
      </w:r>
      <w:r>
        <w:rPr>
          <w:spacing w:val="5"/>
        </w:rPr>
        <w:t xml:space="preserve">do </w:t>
      </w:r>
      <w:r>
        <w:rPr>
          <w:spacing w:val="6"/>
        </w:rPr>
        <w:t xml:space="preserve">Pará </w:t>
      </w:r>
      <w:r>
        <w:rPr>
          <w:spacing w:val="7"/>
        </w:rPr>
        <w:t xml:space="preserve">(Alpa), </w:t>
      </w:r>
      <w:r>
        <w:rPr>
          <w:spacing w:val="5"/>
        </w:rPr>
        <w:t xml:space="preserve">da </w:t>
      </w:r>
      <w:r>
        <w:rPr>
          <w:spacing w:val="7"/>
        </w:rPr>
        <w:t xml:space="preserve">Vale, </w:t>
      </w:r>
      <w:r>
        <w:rPr>
          <w:spacing w:val="5"/>
        </w:rPr>
        <w:t xml:space="preserve">em </w:t>
      </w:r>
      <w:r>
        <w:rPr>
          <w:spacing w:val="10"/>
        </w:rPr>
        <w:t xml:space="preserve">Marabá. </w:t>
      </w:r>
      <w:r>
        <w:rPr>
          <w:spacing w:val="8"/>
        </w:rPr>
        <w:t xml:space="preserve">Segundo </w:t>
      </w:r>
      <w:r>
        <w:t xml:space="preserve">a </w:t>
      </w:r>
      <w:r>
        <w:rPr>
          <w:spacing w:val="10"/>
        </w:rPr>
        <w:t xml:space="preserve">Buritirama, </w:t>
      </w:r>
      <w:r>
        <w:t xml:space="preserve">a </w:t>
      </w:r>
      <w:r>
        <w:rPr>
          <w:spacing w:val="8"/>
        </w:rPr>
        <w:t xml:space="preserve">navegação </w:t>
      </w:r>
      <w:r>
        <w:rPr>
          <w:spacing w:val="7"/>
        </w:rPr>
        <w:t xml:space="preserve">pela </w:t>
      </w:r>
      <w:r>
        <w:rPr>
          <w:spacing w:val="8"/>
        </w:rPr>
        <w:t xml:space="preserve">hidrovia </w:t>
      </w:r>
      <w:r>
        <w:rPr>
          <w:spacing w:val="10"/>
        </w:rPr>
        <w:t xml:space="preserve">do </w:t>
      </w:r>
      <w:r>
        <w:t>Tocantins depende do término da eclusa de Tucuruí, obra do P</w:t>
      </w:r>
      <w:r>
        <w:t>rograma de Aceleração do Crescimento (PAC), tocada pela Camargo Corrêa (MINERAÇÃO BURITIRAMA,</w:t>
      </w:r>
      <w:r>
        <w:rPr>
          <w:spacing w:val="36"/>
        </w:rPr>
        <w:t xml:space="preserve"> </w:t>
      </w:r>
      <w:r>
        <w:t>2009).</w:t>
      </w:r>
    </w:p>
    <w:p w:rsidR="00D81F69" w:rsidRDefault="00330118">
      <w:pPr>
        <w:pStyle w:val="Corpodetexto"/>
        <w:spacing w:before="144" w:line="312" w:lineRule="auto"/>
        <w:ind w:right="42"/>
      </w:pPr>
      <w:r>
        <w:t>Atualmente, para escoar a produção da Buritirama até o Porto de Vila Conde – que fica a 631 km da mina, as margens do rio Pará, na Baia de Marajó (MME, 200</w:t>
      </w:r>
      <w:r>
        <w:t xml:space="preserve">9) –, é usado transporte rodoviário: a Estrada do Rio Preto (da mina até Marabá) e a rodovia PA-150 (de Marabá ao Porto de Vila do Conde (TAVARES, 2008). Isso representa um entrave à comercialização, segundo a Buritirama, pois torna necessária uma reserva </w:t>
      </w:r>
      <w:r>
        <w:t>de 70% para bancar os custos com transporte, o que acaba se refletindo no valor final do produto (BIONDI, 2010).</w:t>
      </w:r>
    </w:p>
    <w:p w:rsidR="00D81F69" w:rsidRDefault="00330118">
      <w:pPr>
        <w:pStyle w:val="Corpodetexto"/>
        <w:spacing w:before="139"/>
      </w:pPr>
      <w:r>
        <w:t>Construído ao longo de uma grande extensão de praia</w:t>
      </w:r>
    </w:p>
    <w:p w:rsidR="00D81F69" w:rsidRDefault="00330118">
      <w:pPr>
        <w:pStyle w:val="Corpodetexto"/>
        <w:spacing w:before="81" w:line="312" w:lineRule="auto"/>
        <w:ind w:right="232"/>
      </w:pPr>
      <w:r>
        <w:br w:type="column"/>
      </w:r>
      <w:r>
        <w:lastRenderedPageBreak/>
        <w:t>costeira, o Porto de Vila do Conde possui três berços para atracação e equipamentos para movimentação de carga a granel. O acesso é fluvial e marítimo com um canal de 13 metros de profundidade. Em 2009, o porto encontrava-se em expansão para permitir a ope</w:t>
      </w:r>
      <w:r>
        <w:t>ração simultânea de dois navios de 75.000 toneladas de granéis. A Mineração Buritirama opera seu próprio shiploader (maquinário para operações de carregamento contínuo de materiais a granel em terminal de barcaças), o que garante a confiabilidade dos embar</w:t>
      </w:r>
      <w:r>
        <w:t>ques com uma capacidade de carregamento de 6.000 toneladas/dia. Apesar disso, a empresa está investindo na construção de um porto próprio, localizado próximo ao Porto de Vila do Conde (MME, 2009).</w:t>
      </w:r>
    </w:p>
    <w:p w:rsidR="00D81F69" w:rsidRDefault="00330118">
      <w:pPr>
        <w:pStyle w:val="Corpodetexto"/>
        <w:spacing w:before="142" w:line="312" w:lineRule="auto"/>
        <w:ind w:right="233"/>
      </w:pPr>
      <w:r>
        <w:t xml:space="preserve">Em 2010, o projeto de implantação do Terminal Portuário da </w:t>
      </w:r>
      <w:r>
        <w:rPr>
          <w:spacing w:val="3"/>
        </w:rPr>
        <w:t xml:space="preserve">Mineração Buritirama </w:t>
      </w:r>
      <w:r>
        <w:rPr>
          <w:spacing w:val="2"/>
        </w:rPr>
        <w:t xml:space="preserve">foi </w:t>
      </w:r>
      <w:r>
        <w:rPr>
          <w:spacing w:val="3"/>
        </w:rPr>
        <w:t xml:space="preserve">apresentado </w:t>
      </w:r>
      <w:r>
        <w:rPr>
          <w:spacing w:val="2"/>
        </w:rPr>
        <w:t xml:space="preserve">pela </w:t>
      </w:r>
      <w:r>
        <w:rPr>
          <w:spacing w:val="3"/>
        </w:rPr>
        <w:t xml:space="preserve">Secretaria </w:t>
      </w:r>
      <w:r>
        <w:rPr>
          <w:spacing w:val="5"/>
        </w:rPr>
        <w:t xml:space="preserve">de </w:t>
      </w:r>
      <w:r>
        <w:t xml:space="preserve">Estado de Meio Ambiente (Sema), durante audiência pública, à população do município de Barcarena, a 87 km de Belém. Se aprovado, o terminal hidroviário atenderá às demandas da </w:t>
      </w:r>
      <w:r>
        <w:rPr>
          <w:spacing w:val="5"/>
        </w:rPr>
        <w:t xml:space="preserve">empresa para </w:t>
      </w:r>
      <w:r>
        <w:rPr>
          <w:spacing w:val="6"/>
        </w:rPr>
        <w:t>recebimento</w:t>
      </w:r>
      <w:r>
        <w:rPr>
          <w:spacing w:val="6"/>
        </w:rPr>
        <w:t xml:space="preserve">, estocagem </w:t>
      </w:r>
      <w:r>
        <w:t xml:space="preserve">e </w:t>
      </w:r>
      <w:r>
        <w:rPr>
          <w:spacing w:val="6"/>
        </w:rPr>
        <w:t xml:space="preserve">embarque </w:t>
      </w:r>
      <w:r>
        <w:rPr>
          <w:spacing w:val="7"/>
        </w:rPr>
        <w:t xml:space="preserve">de </w:t>
      </w:r>
      <w:r>
        <w:t xml:space="preserve">minério de manganês, com movimentação prevista para 1,2 </w:t>
      </w:r>
      <w:r>
        <w:rPr>
          <w:spacing w:val="7"/>
        </w:rPr>
        <w:t xml:space="preserve">milhão </w:t>
      </w:r>
      <w:r>
        <w:rPr>
          <w:spacing w:val="5"/>
        </w:rPr>
        <w:t xml:space="preserve">de </w:t>
      </w:r>
      <w:r>
        <w:rPr>
          <w:spacing w:val="8"/>
        </w:rPr>
        <w:t xml:space="preserve">toneladas/ano. </w:t>
      </w:r>
      <w:r>
        <w:rPr>
          <w:spacing w:val="7"/>
        </w:rPr>
        <w:t xml:space="preserve">Segundo </w:t>
      </w:r>
      <w:r>
        <w:rPr>
          <w:spacing w:val="8"/>
        </w:rPr>
        <w:t xml:space="preserve">representantes </w:t>
      </w:r>
      <w:r>
        <w:rPr>
          <w:spacing w:val="10"/>
        </w:rPr>
        <w:t xml:space="preserve">da </w:t>
      </w:r>
      <w:r>
        <w:t xml:space="preserve">empresa, que apresentaram o projeto a um público formado </w:t>
      </w:r>
      <w:r>
        <w:rPr>
          <w:spacing w:val="7"/>
        </w:rPr>
        <w:t xml:space="preserve">por </w:t>
      </w:r>
      <w:r>
        <w:rPr>
          <w:spacing w:val="8"/>
        </w:rPr>
        <w:t xml:space="preserve">mais </w:t>
      </w:r>
      <w:r>
        <w:rPr>
          <w:spacing w:val="5"/>
        </w:rPr>
        <w:t xml:space="preserve">de </w:t>
      </w:r>
      <w:r>
        <w:rPr>
          <w:spacing w:val="7"/>
        </w:rPr>
        <w:t xml:space="preserve">100 </w:t>
      </w:r>
      <w:r>
        <w:rPr>
          <w:spacing w:val="10"/>
        </w:rPr>
        <w:t xml:space="preserve">pessoas, </w:t>
      </w:r>
      <w:r>
        <w:rPr>
          <w:spacing w:val="8"/>
        </w:rPr>
        <w:t xml:space="preserve">entre </w:t>
      </w:r>
      <w:r>
        <w:rPr>
          <w:spacing w:val="10"/>
        </w:rPr>
        <w:t xml:space="preserve">representantes </w:t>
      </w:r>
      <w:r>
        <w:rPr>
          <w:spacing w:val="11"/>
        </w:rPr>
        <w:t xml:space="preserve">das </w:t>
      </w:r>
      <w:r>
        <w:t>comunidades loca</w:t>
      </w:r>
      <w:r>
        <w:t xml:space="preserve">is, autoridades e demais interessados, na etapa de implantação, o projeto deverá gerar 40 empregos, </w:t>
      </w:r>
      <w:r>
        <w:rPr>
          <w:spacing w:val="3"/>
        </w:rPr>
        <w:t xml:space="preserve">chegando </w:t>
      </w:r>
      <w:r>
        <w:t xml:space="preserve">a </w:t>
      </w:r>
      <w:r>
        <w:rPr>
          <w:spacing w:val="2"/>
        </w:rPr>
        <w:t xml:space="preserve">100 </w:t>
      </w:r>
      <w:r>
        <w:rPr>
          <w:spacing w:val="3"/>
        </w:rPr>
        <w:t xml:space="preserve">empregos terceirizados. </w:t>
      </w:r>
      <w:r>
        <w:rPr>
          <w:spacing w:val="1"/>
        </w:rPr>
        <w:t xml:space="preserve">Já na </w:t>
      </w:r>
      <w:r>
        <w:rPr>
          <w:spacing w:val="3"/>
        </w:rPr>
        <w:t xml:space="preserve">etapa </w:t>
      </w:r>
      <w:r>
        <w:rPr>
          <w:spacing w:val="5"/>
        </w:rPr>
        <w:t xml:space="preserve">de </w:t>
      </w:r>
      <w:r>
        <w:t>operação serão gerados 44 postos de trabalho diretos e 75 indiretos (ALMEIDA,</w:t>
      </w:r>
      <w:r>
        <w:rPr>
          <w:spacing w:val="-18"/>
        </w:rPr>
        <w:t xml:space="preserve"> </w:t>
      </w:r>
      <w:r>
        <w:rPr>
          <w:spacing w:val="1"/>
        </w:rPr>
        <w:t>2010).</w:t>
      </w:r>
    </w:p>
    <w:p w:rsidR="00D81F69" w:rsidRDefault="00330118">
      <w:pPr>
        <w:pStyle w:val="Corpodetexto"/>
        <w:spacing w:before="144" w:line="312" w:lineRule="auto"/>
        <w:ind w:right="245"/>
      </w:pPr>
      <w:r>
        <w:t>Durante a audiênc</w:t>
      </w:r>
      <w:r>
        <w:t>ia pública, os representantes comunitários disseram já ter recebido muitas propostas de implantação de projetos de outras empresas, por isso seriam cautelosos antes de aceitar qualquer empreendimento. Os moradores ressaltaram a necessidade de continuação d</w:t>
      </w:r>
      <w:r>
        <w:t>a fiscalização constante da Sema e dos órgãos municipais em todas as fases da obra, para garantir a qualidade de vida dos moradores e o desenvolvimento econômico do município (ALMEIDA, 2010).</w:t>
      </w:r>
    </w:p>
    <w:p w:rsidR="00D81F69" w:rsidRDefault="00330118">
      <w:pPr>
        <w:pStyle w:val="Corpodetexto"/>
        <w:spacing w:before="138" w:line="312" w:lineRule="auto"/>
        <w:ind w:right="229"/>
      </w:pPr>
      <w:r>
        <w:t>Em 2011, a Mineração Buritirama foi ao governo do estado de Toca</w:t>
      </w:r>
      <w:r>
        <w:t>ntins para tentar expandir suas atividades. De acordo com a empresa, a jazida em Carajás é explorada há mais de 30 anos, e o minério não possui a mesma qualidade dos anos anteriores, por isso há necessidade de expansão para outros estados a fim de continua</w:t>
      </w:r>
      <w:r>
        <w:t>r sendo uma grande fornecedora de matéria prima para a indústria siderúrgica no mundo. Um dos fatores que possibilita a instalação do projeto no Tocantins é a viabilidade da ferrovia Norte Sul, da Leste Oeste e da hidrovia Tocantins-Araguaia. A ideia é pro</w:t>
      </w:r>
      <w:r>
        <w:t>duzir 100 mil toneladas por ano. Mas, para esta produção são necessários 3.500 Kw por tonelada e uma área de 10 mil hectares para reflorestamento. A proposta feita ao governo do estado é ter a energia a um preço que seja subsidiado ao custo de R$ 100,00 po</w:t>
      </w:r>
      <w:r>
        <w:t>r Mw. O estado do Tocantins mostrou interesse no projeto e determinou que fosse estudado pelos setores do governo, para concluir sua viabilidade (ROBERTA TUM.COM.BR, 2011).</w:t>
      </w:r>
    </w:p>
    <w:p w:rsidR="00D81F69" w:rsidRDefault="00D81F69">
      <w:pPr>
        <w:spacing w:line="312" w:lineRule="auto"/>
        <w:sectPr w:rsidR="00D81F69">
          <w:pgSz w:w="11900" w:h="16840"/>
          <w:pgMar w:top="740" w:right="460" w:bottom="720" w:left="620" w:header="0" w:footer="402" w:gutter="0"/>
          <w:cols w:num="2" w:space="720" w:equalWidth="0">
            <w:col w:w="5160" w:space="310"/>
            <w:col w:w="5350"/>
          </w:cols>
        </w:sectPr>
      </w:pPr>
    </w:p>
    <w:p w:rsidR="00D81F69" w:rsidRDefault="00D81F69">
      <w:pPr>
        <w:pStyle w:val="Corpodetexto"/>
        <w:ind w:left="0"/>
        <w:jc w:val="left"/>
        <w:rPr>
          <w:sz w:val="22"/>
        </w:rPr>
      </w:pPr>
    </w:p>
    <w:p w:rsidR="00D81F69" w:rsidRDefault="00330118">
      <w:pPr>
        <w:pStyle w:val="Heading7"/>
        <w:spacing w:before="139"/>
      </w:pPr>
      <w:r>
        <w:t>LOCALIZAÇÃO GEOGRÁFICA</w:t>
      </w:r>
    </w:p>
    <w:p w:rsidR="00D81F69" w:rsidRDefault="00330118">
      <w:pPr>
        <w:pStyle w:val="Corpodetexto"/>
        <w:spacing w:before="179" w:line="312" w:lineRule="auto"/>
        <w:ind w:right="83"/>
      </w:pPr>
      <w:r>
        <w:t xml:space="preserve">As ocorrências de manganês no município de Marabá são denominadas: Serra do Buritirama próxima ao rio Itacaíunas, Armn 006/007/008 próxima ao rio Sapucaia e Serra do Sereno próxima ao rio Sereno. Todas as minas estão localizadas na bacia do Rio Itacaiúnas </w:t>
      </w:r>
      <w:r>
        <w:t>que deságua na região da Ilha de Marajó, entre as latitudes 5°29’16”S - 5°51’39”S e longitudes 49°28’13”W - 50°17’30”W.</w:t>
      </w:r>
    </w:p>
    <w:p w:rsidR="00D81F69" w:rsidRDefault="00D81F69">
      <w:pPr>
        <w:pStyle w:val="Corpodetexto"/>
        <w:spacing w:before="4"/>
        <w:ind w:left="0"/>
        <w:jc w:val="left"/>
        <w:rPr>
          <w:sz w:val="29"/>
        </w:rPr>
      </w:pPr>
    </w:p>
    <w:p w:rsidR="00D81F69" w:rsidRDefault="00330118">
      <w:pPr>
        <w:pStyle w:val="Heading7"/>
      </w:pPr>
      <w:r>
        <w:t>REDATORES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71"/>
        <w:jc w:val="both"/>
        <w:rPr>
          <w:sz w:val="16"/>
        </w:rPr>
      </w:pPr>
      <w:r>
        <w:rPr>
          <w:sz w:val="16"/>
        </w:rPr>
        <w:t xml:space="preserve">ALMEIDA, Luciana. Audiência Pública discute implantação de porto </w:t>
      </w:r>
      <w:r>
        <w:rPr>
          <w:spacing w:val="6"/>
          <w:sz w:val="16"/>
        </w:rPr>
        <w:t>e</w:t>
      </w:r>
      <w:r>
        <w:rPr>
          <w:spacing w:val="6"/>
          <w:sz w:val="16"/>
        </w:rPr>
        <w:t xml:space="preserve">m </w:t>
      </w:r>
      <w:r>
        <w:rPr>
          <w:spacing w:val="12"/>
          <w:sz w:val="16"/>
        </w:rPr>
        <w:t xml:space="preserve">Barcarena. </w:t>
      </w:r>
      <w:r>
        <w:rPr>
          <w:spacing w:val="6"/>
          <w:sz w:val="16"/>
        </w:rPr>
        <w:t xml:space="preserve">In </w:t>
      </w:r>
      <w:r>
        <w:rPr>
          <w:spacing w:val="12"/>
          <w:sz w:val="16"/>
        </w:rPr>
        <w:t xml:space="preserve">SEMA-PA, </w:t>
      </w:r>
      <w:r>
        <w:rPr>
          <w:spacing w:val="10"/>
          <w:sz w:val="16"/>
        </w:rPr>
        <w:t xml:space="preserve">fev. </w:t>
      </w:r>
      <w:r>
        <w:rPr>
          <w:spacing w:val="11"/>
          <w:sz w:val="16"/>
        </w:rPr>
        <w:t xml:space="preserve">2010. </w:t>
      </w:r>
      <w:r>
        <w:rPr>
          <w:spacing w:val="12"/>
          <w:sz w:val="16"/>
        </w:rPr>
        <w:t>Disponível</w:t>
      </w:r>
      <w:r>
        <w:rPr>
          <w:spacing w:val="67"/>
          <w:sz w:val="16"/>
        </w:rPr>
        <w:t xml:space="preserve"> </w:t>
      </w:r>
      <w:r>
        <w:rPr>
          <w:spacing w:val="10"/>
          <w:sz w:val="16"/>
        </w:rPr>
        <w:t>em:</w:t>
      </w:r>
      <w:r>
        <w:rPr>
          <w:spacing w:val="-28"/>
          <w:sz w:val="16"/>
        </w:rPr>
        <w:t xml:space="preserve"> </w:t>
      </w:r>
    </w:p>
    <w:p w:rsidR="00D81F69" w:rsidRDefault="00D81F69">
      <w:pPr>
        <w:spacing w:before="1" w:line="312" w:lineRule="auto"/>
        <w:ind w:left="100" w:right="101"/>
        <w:jc w:val="both"/>
        <w:rPr>
          <w:sz w:val="16"/>
        </w:rPr>
      </w:pPr>
      <w:hyperlink r:id="rId358">
        <w:r w:rsidR="00330118">
          <w:rPr>
            <w:sz w:val="16"/>
          </w:rPr>
          <w:t>&lt;http://webcache.googleusercontent.com/search?q=cache:Sncz8FbT</w:t>
        </w:r>
      </w:hyperlink>
      <w:r w:rsidR="00330118">
        <w:rPr>
          <w:sz w:val="16"/>
        </w:rPr>
        <w:t xml:space="preserve"> </w:t>
      </w:r>
      <w:hyperlink r:id="rId359">
        <w:r w:rsidR="00330118">
          <w:rPr>
            <w:sz w:val="16"/>
          </w:rPr>
          <w:t>DT4J:www.sema.pa.gov.br/interna.php%3Fidconteudocoluna%3D528</w:t>
        </w:r>
      </w:hyperlink>
      <w:r w:rsidR="00330118">
        <w:rPr>
          <w:sz w:val="16"/>
        </w:rPr>
        <w:t xml:space="preserve"> 0+Minera%C3%A7%C3%A3o+Buritirama+%2B+impactos&amp;cd=5&amp;hl=p </w:t>
      </w:r>
      <w:hyperlink r:id="rId360">
        <w:r w:rsidR="00330118">
          <w:rPr>
            <w:sz w:val="16"/>
          </w:rPr>
          <w:t>t-BR&amp;ct=clnk&amp;gl=br</w:t>
        </w:r>
        <w:r w:rsidR="00330118">
          <w:rPr>
            <w:sz w:val="16"/>
          </w:rPr>
          <w:t xml:space="preserve">&amp;source=www.google.com.br&gt;. </w:t>
        </w:r>
      </w:hyperlink>
      <w:r w:rsidR="00330118">
        <w:rPr>
          <w:sz w:val="16"/>
        </w:rPr>
        <w:t>Acesso em: 17 fev. 2011.</w:t>
      </w:r>
    </w:p>
    <w:p w:rsidR="00D81F69" w:rsidRDefault="00330118">
      <w:pPr>
        <w:tabs>
          <w:tab w:val="left" w:pos="1164"/>
          <w:tab w:val="left" w:pos="2473"/>
          <w:tab w:val="left" w:pos="4636"/>
        </w:tabs>
        <w:spacing w:before="4" w:line="312" w:lineRule="auto"/>
        <w:ind w:left="100" w:right="89"/>
        <w:jc w:val="both"/>
        <w:rPr>
          <w:sz w:val="16"/>
        </w:rPr>
      </w:pPr>
      <w:r>
        <w:rPr>
          <w:spacing w:val="5"/>
          <w:sz w:val="16"/>
        </w:rPr>
        <w:t xml:space="preserve">BIONDI, Renata. Parceria </w:t>
      </w:r>
      <w:r>
        <w:rPr>
          <w:spacing w:val="3"/>
          <w:sz w:val="16"/>
        </w:rPr>
        <w:t xml:space="preserve">entre </w:t>
      </w:r>
      <w:r>
        <w:rPr>
          <w:spacing w:val="5"/>
          <w:sz w:val="16"/>
        </w:rPr>
        <w:t xml:space="preserve">governo </w:t>
      </w:r>
      <w:r>
        <w:rPr>
          <w:sz w:val="16"/>
        </w:rPr>
        <w:t xml:space="preserve">e </w:t>
      </w:r>
      <w:r>
        <w:rPr>
          <w:spacing w:val="5"/>
          <w:sz w:val="16"/>
        </w:rPr>
        <w:t xml:space="preserve">mineradora </w:t>
      </w:r>
      <w:r>
        <w:rPr>
          <w:spacing w:val="3"/>
          <w:sz w:val="16"/>
        </w:rPr>
        <w:t xml:space="preserve">prevê </w:t>
      </w:r>
      <w:r>
        <w:rPr>
          <w:sz w:val="16"/>
        </w:rPr>
        <w:t xml:space="preserve">a criação de 3 mil postos de trabalho. In: Mineração Buritama S.A., 28    j  a </w:t>
      </w:r>
      <w:r>
        <w:rPr>
          <w:spacing w:val="22"/>
          <w:sz w:val="16"/>
        </w:rPr>
        <w:t xml:space="preserve"> </w:t>
      </w:r>
      <w:r>
        <w:rPr>
          <w:sz w:val="16"/>
        </w:rPr>
        <w:t xml:space="preserve">n </w:t>
      </w:r>
      <w:r>
        <w:rPr>
          <w:spacing w:val="10"/>
          <w:sz w:val="16"/>
        </w:rPr>
        <w:t xml:space="preserve"> </w:t>
      </w:r>
      <w:r>
        <w:rPr>
          <w:sz w:val="16"/>
        </w:rPr>
        <w:t>.</w:t>
      </w:r>
      <w:r>
        <w:rPr>
          <w:sz w:val="16"/>
        </w:rPr>
        <w:tab/>
        <w:t xml:space="preserve">2  0  1 </w:t>
      </w:r>
      <w:r>
        <w:rPr>
          <w:spacing w:val="35"/>
          <w:sz w:val="16"/>
        </w:rPr>
        <w:t xml:space="preserve"> </w:t>
      </w:r>
      <w:r>
        <w:rPr>
          <w:sz w:val="16"/>
        </w:rPr>
        <w:t xml:space="preserve">0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2"/>
          <w:sz w:val="16"/>
        </w:rPr>
        <w:t xml:space="preserve"> </w:t>
      </w:r>
      <w:r>
        <w:rPr>
          <w:sz w:val="16"/>
        </w:rPr>
        <w:t>:</w:t>
      </w:r>
    </w:p>
    <w:p w:rsidR="00D81F69" w:rsidRDefault="00D81F69">
      <w:pPr>
        <w:spacing w:before="3" w:line="312" w:lineRule="auto"/>
        <w:ind w:left="100" w:right="104"/>
        <w:jc w:val="both"/>
        <w:rPr>
          <w:sz w:val="16"/>
        </w:rPr>
      </w:pPr>
      <w:hyperlink r:id="rId361">
        <w:r w:rsidR="00330118">
          <w:rPr>
            <w:sz w:val="16"/>
          </w:rPr>
          <w:t xml:space="preserve">&lt;http://www.bonsucex.com.br/noticia_21_01_10.pdf&gt;. </w:t>
        </w:r>
      </w:hyperlink>
      <w:r w:rsidR="00330118">
        <w:rPr>
          <w:sz w:val="16"/>
        </w:rPr>
        <w:t>Acesso em: 16 fev. 2011.</w:t>
      </w:r>
    </w:p>
    <w:p w:rsidR="00D81F69" w:rsidRDefault="00330118">
      <w:pPr>
        <w:spacing w:before="2" w:line="312" w:lineRule="auto"/>
        <w:ind w:left="100" w:right="82"/>
        <w:jc w:val="both"/>
        <w:rPr>
          <w:sz w:val="16"/>
        </w:rPr>
      </w:pPr>
      <w:r>
        <w:rPr>
          <w:sz w:val="16"/>
        </w:rPr>
        <w:t>CORRÊA, Vinícius Moreno de Sousa; CARMO, Roberto Luiz do. Impactos socioambientais e demográficos do processo de ocupação da a</w:t>
      </w:r>
      <w:r>
        <w:rPr>
          <w:sz w:val="16"/>
        </w:rPr>
        <w:t>tividade mineradora na região sudeste do Pará nos Censos Demográficos de 1970 a 2000. Encontro Abep, 2010. Disponível em:</w:t>
      </w:r>
    </w:p>
    <w:p w:rsidR="00D81F69" w:rsidRDefault="00D81F69">
      <w:pPr>
        <w:spacing w:before="3" w:line="312" w:lineRule="auto"/>
        <w:ind w:left="100" w:right="104"/>
        <w:jc w:val="both"/>
        <w:rPr>
          <w:sz w:val="16"/>
        </w:rPr>
      </w:pPr>
      <w:hyperlink r:id="rId362">
        <w:r w:rsidR="00330118">
          <w:rPr>
            <w:sz w:val="16"/>
          </w:rPr>
          <w:t>&lt;http://www.abep.nepo.unicamp.br/encontro2010/docs_pd</w:t>
        </w:r>
        <w:r w:rsidR="00330118">
          <w:rPr>
            <w:sz w:val="16"/>
          </w:rPr>
          <w:t>f/eixo_1/ab</w:t>
        </w:r>
      </w:hyperlink>
      <w:r w:rsidR="00330118">
        <w:rPr>
          <w:sz w:val="16"/>
        </w:rPr>
        <w:t xml:space="preserve"> ep2010_2213.pdf&gt;. Acesso em: 16 fev. 2011.</w:t>
      </w:r>
    </w:p>
    <w:p w:rsidR="00D81F69" w:rsidRDefault="00330118">
      <w:pPr>
        <w:tabs>
          <w:tab w:val="left" w:pos="4331"/>
        </w:tabs>
        <w:spacing w:before="1" w:line="312" w:lineRule="auto"/>
        <w:ind w:left="100" w:right="83"/>
        <w:jc w:val="both"/>
        <w:rPr>
          <w:sz w:val="16"/>
        </w:rPr>
      </w:pPr>
      <w:r>
        <w:rPr>
          <w:spacing w:val="1"/>
          <w:sz w:val="16"/>
        </w:rPr>
        <w:t xml:space="preserve">CRUZ NETO, Raimundo. </w:t>
      </w:r>
      <w:r>
        <w:rPr>
          <w:sz w:val="16"/>
        </w:rPr>
        <w:t xml:space="preserve">A </w:t>
      </w:r>
      <w:r>
        <w:rPr>
          <w:spacing w:val="1"/>
          <w:sz w:val="16"/>
        </w:rPr>
        <w:t xml:space="preserve">expansão </w:t>
      </w:r>
      <w:r>
        <w:rPr>
          <w:sz w:val="16"/>
        </w:rPr>
        <w:t xml:space="preserve">da </w:t>
      </w:r>
      <w:r>
        <w:rPr>
          <w:spacing w:val="1"/>
          <w:sz w:val="16"/>
        </w:rPr>
        <w:t xml:space="preserve">exploração minerária </w:t>
      </w:r>
      <w:r>
        <w:rPr>
          <w:spacing w:val="2"/>
          <w:sz w:val="16"/>
        </w:rPr>
        <w:t xml:space="preserve">na </w:t>
      </w:r>
      <w:r>
        <w:rPr>
          <w:spacing w:val="1"/>
          <w:sz w:val="16"/>
        </w:rPr>
        <w:t xml:space="preserve">Amazônia </w:t>
      </w:r>
      <w:r>
        <w:rPr>
          <w:sz w:val="16"/>
        </w:rPr>
        <w:t xml:space="preserve">e </w:t>
      </w:r>
      <w:r>
        <w:rPr>
          <w:spacing w:val="1"/>
          <w:sz w:val="16"/>
        </w:rPr>
        <w:t xml:space="preserve">suas consequências, </w:t>
      </w:r>
      <w:r>
        <w:rPr>
          <w:sz w:val="16"/>
        </w:rPr>
        <w:t xml:space="preserve">In: </w:t>
      </w:r>
      <w:r>
        <w:rPr>
          <w:spacing w:val="1"/>
          <w:sz w:val="16"/>
        </w:rPr>
        <w:t xml:space="preserve">Fórum Carajás, </w:t>
      </w:r>
      <w:r>
        <w:rPr>
          <w:sz w:val="16"/>
        </w:rPr>
        <w:t xml:space="preserve">03  </w:t>
      </w:r>
      <w:r>
        <w:rPr>
          <w:spacing w:val="1"/>
          <w:sz w:val="16"/>
        </w:rPr>
        <w:t xml:space="preserve">jul. </w:t>
      </w:r>
      <w:r>
        <w:rPr>
          <w:spacing w:val="2"/>
          <w:sz w:val="16"/>
        </w:rPr>
        <w:t>2009.</w:t>
      </w:r>
      <w:r>
        <w:rPr>
          <w:spacing w:val="50"/>
          <w:sz w:val="16"/>
        </w:rPr>
        <w:t xml:space="preserve">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line="312" w:lineRule="auto"/>
        <w:ind w:left="100" w:right="83"/>
        <w:jc w:val="both"/>
        <w:rPr>
          <w:sz w:val="16"/>
        </w:rPr>
      </w:pPr>
      <w:hyperlink r:id="rId363">
        <w:r w:rsidR="00330118">
          <w:rPr>
            <w:sz w:val="16"/>
          </w:rPr>
          <w:t>&lt;http://www.forumcarajas.org.br/portal.php?artigo&amp;mostra&amp;2880&gt;.</w:t>
        </w:r>
      </w:hyperlink>
      <w:r w:rsidR="00330118">
        <w:rPr>
          <w:sz w:val="16"/>
        </w:rPr>
        <w:t xml:space="preserve"> Acesso em: 16 fev. 2011.</w:t>
      </w:r>
    </w:p>
    <w:p w:rsidR="00D81F69" w:rsidRDefault="00330118">
      <w:pPr>
        <w:spacing w:before="2" w:line="312" w:lineRule="auto"/>
        <w:ind w:left="100" w:right="38"/>
        <w:jc w:val="both"/>
        <w:rPr>
          <w:sz w:val="16"/>
        </w:rPr>
      </w:pPr>
      <w:r>
        <w:rPr>
          <w:spacing w:val="3"/>
          <w:sz w:val="16"/>
        </w:rPr>
        <w:t xml:space="preserve">DIÁRIO </w:t>
      </w:r>
      <w:r>
        <w:rPr>
          <w:spacing w:val="1"/>
          <w:sz w:val="16"/>
        </w:rPr>
        <w:t xml:space="preserve">DO  </w:t>
      </w:r>
      <w:r>
        <w:rPr>
          <w:spacing w:val="3"/>
          <w:sz w:val="16"/>
        </w:rPr>
        <w:t xml:space="preserve">PARÁ. Empresa </w:t>
      </w:r>
      <w:r>
        <w:rPr>
          <w:spacing w:val="2"/>
          <w:sz w:val="16"/>
        </w:rPr>
        <w:t xml:space="preserve">deve </w:t>
      </w:r>
      <w:r>
        <w:rPr>
          <w:spacing w:val="3"/>
          <w:sz w:val="16"/>
        </w:rPr>
        <w:t xml:space="preserve">construir terminal </w:t>
      </w:r>
      <w:r>
        <w:rPr>
          <w:spacing w:val="1"/>
          <w:sz w:val="16"/>
        </w:rPr>
        <w:t xml:space="preserve">em  </w:t>
      </w:r>
      <w:r>
        <w:rPr>
          <w:spacing w:val="2"/>
          <w:sz w:val="16"/>
        </w:rPr>
        <w:t xml:space="preserve">Vila </w:t>
      </w:r>
      <w:r>
        <w:rPr>
          <w:spacing w:val="5"/>
          <w:sz w:val="16"/>
        </w:rPr>
        <w:t xml:space="preserve">do   C o n d e </w:t>
      </w:r>
      <w:r>
        <w:rPr>
          <w:sz w:val="16"/>
        </w:rPr>
        <w:t xml:space="preserve">, </w:t>
      </w:r>
      <w:r>
        <w:rPr>
          <w:spacing w:val="5"/>
          <w:sz w:val="16"/>
        </w:rPr>
        <w:t xml:space="preserve">1 </w:t>
      </w:r>
      <w:r>
        <w:rPr>
          <w:sz w:val="16"/>
        </w:rPr>
        <w:t xml:space="preserve">8 </w:t>
      </w:r>
      <w:r>
        <w:rPr>
          <w:spacing w:val="5"/>
          <w:sz w:val="16"/>
        </w:rPr>
        <w:t xml:space="preserve">f e </w:t>
      </w:r>
      <w:r>
        <w:rPr>
          <w:spacing w:val="5"/>
          <w:sz w:val="16"/>
        </w:rPr>
        <w:t xml:space="preserve">v </w:t>
      </w:r>
      <w:r>
        <w:rPr>
          <w:sz w:val="16"/>
        </w:rPr>
        <w:t xml:space="preserve">. </w:t>
      </w:r>
      <w:r>
        <w:rPr>
          <w:spacing w:val="5"/>
          <w:sz w:val="16"/>
        </w:rPr>
        <w:t xml:space="preserve">2 0 1 0 </w:t>
      </w:r>
      <w:r>
        <w:rPr>
          <w:sz w:val="16"/>
        </w:rPr>
        <w:t xml:space="preserve">. </w:t>
      </w:r>
      <w:r>
        <w:rPr>
          <w:spacing w:val="5"/>
          <w:sz w:val="16"/>
        </w:rPr>
        <w:t xml:space="preserve">D i s p o n í v e </w:t>
      </w:r>
      <w:r>
        <w:rPr>
          <w:sz w:val="16"/>
        </w:rPr>
        <w:t>l</w:t>
      </w:r>
      <w:r>
        <w:rPr>
          <w:spacing w:val="22"/>
          <w:sz w:val="16"/>
        </w:rPr>
        <w:t xml:space="preserve"> </w:t>
      </w:r>
      <w:r>
        <w:rPr>
          <w:spacing w:val="5"/>
          <w:sz w:val="16"/>
        </w:rPr>
        <w:t xml:space="preserve">e m </w:t>
      </w:r>
      <w:r>
        <w:rPr>
          <w:sz w:val="16"/>
        </w:rPr>
        <w:t>:</w:t>
      </w:r>
      <w:r>
        <w:rPr>
          <w:spacing w:val="6"/>
          <w:sz w:val="16"/>
        </w:rPr>
        <w:t xml:space="preserve"> </w:t>
      </w:r>
    </w:p>
    <w:p w:rsidR="00D81F69" w:rsidRDefault="00D81F69">
      <w:pPr>
        <w:spacing w:before="1" w:line="312" w:lineRule="auto"/>
        <w:ind w:left="100" w:right="85"/>
        <w:jc w:val="both"/>
        <w:rPr>
          <w:sz w:val="16"/>
        </w:rPr>
      </w:pPr>
      <w:hyperlink r:id="rId364">
        <w:r w:rsidR="00330118">
          <w:rPr>
            <w:sz w:val="16"/>
          </w:rPr>
          <w:t xml:space="preserve">&lt;http://diariodopara.diarioonline.com.br/N-79522.html&gt;. </w:t>
        </w:r>
      </w:hyperlink>
      <w:r w:rsidR="00330118">
        <w:rPr>
          <w:sz w:val="16"/>
        </w:rPr>
        <w:t>Acesso em: 17 fev.</w:t>
      </w:r>
      <w:r w:rsidR="00330118">
        <w:rPr>
          <w:spacing w:val="25"/>
          <w:sz w:val="16"/>
        </w:rPr>
        <w:t xml:space="preserve"> </w:t>
      </w:r>
      <w:r w:rsidR="00330118">
        <w:rPr>
          <w:sz w:val="16"/>
        </w:rPr>
        <w:t>2011.</w:t>
      </w:r>
    </w:p>
    <w:p w:rsidR="00D81F69" w:rsidRDefault="00330118">
      <w:pPr>
        <w:spacing w:before="2" w:line="312" w:lineRule="auto"/>
        <w:ind w:left="100" w:right="80"/>
        <w:jc w:val="both"/>
        <w:rPr>
          <w:sz w:val="16"/>
        </w:rPr>
      </w:pPr>
      <w:r>
        <w:rPr>
          <w:sz w:val="16"/>
        </w:rPr>
        <w:t>DURÃO, Vera Saavedra. Buritirama investe em Manganês. In: Minera</w:t>
      </w:r>
      <w:r>
        <w:rPr>
          <w:sz w:val="16"/>
        </w:rPr>
        <w:t>ção Buritirama, 29 jul. 2009.</w:t>
      </w:r>
    </w:p>
    <w:p w:rsidR="00D81F69" w:rsidRDefault="00330118">
      <w:pPr>
        <w:spacing w:before="70" w:line="312" w:lineRule="auto"/>
        <w:ind w:left="100"/>
        <w:rPr>
          <w:sz w:val="16"/>
        </w:rPr>
      </w:pPr>
      <w:r>
        <w:br w:type="column"/>
      </w:r>
      <w:r>
        <w:rPr>
          <w:sz w:val="16"/>
        </w:rPr>
        <w:lastRenderedPageBreak/>
        <w:t xml:space="preserve">Disponível em: </w:t>
      </w:r>
      <w:hyperlink r:id="rId365">
        <w:r>
          <w:rPr>
            <w:sz w:val="16"/>
          </w:rPr>
          <w:t>&lt;http://www.bonsucex.com.br/noticia_29_07_09.pdf&gt;.</w:t>
        </w:r>
      </w:hyperlink>
      <w:r>
        <w:rPr>
          <w:sz w:val="16"/>
        </w:rPr>
        <w:t xml:space="preserve"> Acesso em 16 fev. 2011.</w:t>
      </w:r>
    </w:p>
    <w:p w:rsidR="00D81F69" w:rsidRDefault="00330118">
      <w:pPr>
        <w:tabs>
          <w:tab w:val="left" w:pos="945"/>
          <w:tab w:val="left" w:pos="2263"/>
          <w:tab w:val="left" w:pos="3182"/>
          <w:tab w:val="left" w:pos="4727"/>
        </w:tabs>
        <w:spacing w:before="1" w:line="312" w:lineRule="auto"/>
        <w:ind w:left="100" w:right="186"/>
        <w:rPr>
          <w:sz w:val="16"/>
        </w:rPr>
      </w:pPr>
      <w:r>
        <w:rPr>
          <w:sz w:val="16"/>
        </w:rPr>
        <w:t>IBGE, Instituto Brasileiro de Geografia e Estatística. Marabá (PA). In</w:t>
      </w:r>
      <w:r>
        <w:rPr>
          <w:sz w:val="16"/>
        </w:rPr>
        <w:t xml:space="preserve">:   </w:t>
      </w:r>
      <w:r>
        <w:rPr>
          <w:spacing w:val="10"/>
          <w:sz w:val="16"/>
        </w:rPr>
        <w:t>I B</w:t>
      </w:r>
      <w:r>
        <w:rPr>
          <w:spacing w:val="-9"/>
          <w:sz w:val="16"/>
        </w:rPr>
        <w:t xml:space="preserve"> </w:t>
      </w:r>
      <w:r>
        <w:rPr>
          <w:spacing w:val="10"/>
          <w:sz w:val="16"/>
        </w:rPr>
        <w:t>G</w:t>
      </w:r>
      <w:r>
        <w:rPr>
          <w:sz w:val="16"/>
        </w:rPr>
        <w:t xml:space="preserve"> E</w:t>
      </w:r>
      <w:r>
        <w:rPr>
          <w:sz w:val="16"/>
        </w:rPr>
        <w:tab/>
      </w:r>
      <w:r>
        <w:rPr>
          <w:spacing w:val="10"/>
          <w:sz w:val="16"/>
        </w:rPr>
        <w:t>C</w:t>
      </w:r>
      <w:r>
        <w:rPr>
          <w:sz w:val="16"/>
        </w:rPr>
        <w:t xml:space="preserve"> </w:t>
      </w:r>
      <w:r>
        <w:rPr>
          <w:spacing w:val="10"/>
          <w:sz w:val="16"/>
        </w:rPr>
        <w:t>i</w:t>
      </w:r>
      <w:r>
        <w:rPr>
          <w:sz w:val="16"/>
        </w:rPr>
        <w:t xml:space="preserve"> </w:t>
      </w:r>
      <w:r>
        <w:rPr>
          <w:spacing w:val="10"/>
          <w:sz w:val="16"/>
        </w:rPr>
        <w:t>d</w:t>
      </w:r>
      <w:r>
        <w:rPr>
          <w:sz w:val="16"/>
        </w:rPr>
        <w:t xml:space="preserve"> </w:t>
      </w:r>
      <w:r>
        <w:rPr>
          <w:spacing w:val="10"/>
          <w:sz w:val="16"/>
        </w:rPr>
        <w:t>a</w:t>
      </w:r>
      <w:r>
        <w:rPr>
          <w:sz w:val="16"/>
        </w:rPr>
        <w:t xml:space="preserve"> </w:t>
      </w:r>
      <w:r>
        <w:rPr>
          <w:spacing w:val="10"/>
          <w:sz w:val="16"/>
        </w:rPr>
        <w:t>d</w:t>
      </w:r>
      <w:r>
        <w:rPr>
          <w:sz w:val="16"/>
        </w:rPr>
        <w:t xml:space="preserve"> </w:t>
      </w:r>
      <w:r>
        <w:rPr>
          <w:spacing w:val="10"/>
          <w:sz w:val="16"/>
        </w:rPr>
        <w:t>e</w:t>
      </w:r>
      <w:r>
        <w:rPr>
          <w:sz w:val="16"/>
        </w:rPr>
        <w:t xml:space="preserve"> </w:t>
      </w:r>
      <w:r>
        <w:rPr>
          <w:spacing w:val="10"/>
          <w:sz w:val="16"/>
        </w:rPr>
        <w:t>s</w:t>
      </w:r>
      <w:r>
        <w:rPr>
          <w:sz w:val="16"/>
        </w:rPr>
        <w:t xml:space="preserve"> ,</w:t>
      </w:r>
      <w:r>
        <w:rPr>
          <w:sz w:val="16"/>
        </w:rPr>
        <w:tab/>
      </w:r>
      <w:r>
        <w:rPr>
          <w:spacing w:val="10"/>
          <w:sz w:val="16"/>
        </w:rPr>
        <w:t>2 0 1</w:t>
      </w:r>
      <w:r>
        <w:rPr>
          <w:spacing w:val="-19"/>
          <w:sz w:val="16"/>
        </w:rPr>
        <w:t xml:space="preserve"> </w:t>
      </w:r>
      <w:r>
        <w:rPr>
          <w:spacing w:val="10"/>
          <w:sz w:val="16"/>
        </w:rPr>
        <w:t>0</w:t>
      </w:r>
      <w:r>
        <w:rPr>
          <w:sz w:val="16"/>
        </w:rPr>
        <w:t xml:space="preserve"> .</w:t>
      </w:r>
      <w:r>
        <w:rPr>
          <w:sz w:val="16"/>
        </w:rPr>
        <w:tab/>
      </w:r>
      <w:r>
        <w:rPr>
          <w:spacing w:val="10"/>
          <w:sz w:val="16"/>
        </w:rPr>
        <w:t>D</w:t>
      </w:r>
      <w:r>
        <w:rPr>
          <w:sz w:val="16"/>
        </w:rPr>
        <w:t xml:space="preserve"> </w:t>
      </w:r>
      <w:r>
        <w:rPr>
          <w:spacing w:val="10"/>
          <w:sz w:val="16"/>
        </w:rPr>
        <w:t>i</w:t>
      </w:r>
      <w:r>
        <w:rPr>
          <w:sz w:val="16"/>
        </w:rPr>
        <w:t xml:space="preserve"> </w:t>
      </w:r>
      <w:r>
        <w:rPr>
          <w:spacing w:val="10"/>
          <w:sz w:val="16"/>
        </w:rPr>
        <w:t>s</w:t>
      </w:r>
      <w:r>
        <w:rPr>
          <w:sz w:val="16"/>
        </w:rPr>
        <w:t xml:space="preserve"> </w:t>
      </w:r>
      <w:r>
        <w:rPr>
          <w:spacing w:val="10"/>
          <w:sz w:val="16"/>
        </w:rPr>
        <w:t>p</w:t>
      </w:r>
      <w:r>
        <w:rPr>
          <w:sz w:val="16"/>
        </w:rPr>
        <w:t xml:space="preserve"> </w:t>
      </w:r>
      <w:r>
        <w:rPr>
          <w:spacing w:val="10"/>
          <w:sz w:val="16"/>
        </w:rPr>
        <w:t>o</w:t>
      </w:r>
      <w:r>
        <w:rPr>
          <w:sz w:val="16"/>
        </w:rPr>
        <w:t xml:space="preserve"> </w:t>
      </w:r>
      <w:r>
        <w:rPr>
          <w:spacing w:val="10"/>
          <w:sz w:val="16"/>
        </w:rPr>
        <w:t>n</w:t>
      </w:r>
      <w:r>
        <w:rPr>
          <w:sz w:val="16"/>
        </w:rPr>
        <w:t xml:space="preserve"> </w:t>
      </w:r>
      <w:r>
        <w:rPr>
          <w:spacing w:val="10"/>
          <w:sz w:val="16"/>
        </w:rPr>
        <w:t>í</w:t>
      </w:r>
      <w:r>
        <w:rPr>
          <w:sz w:val="16"/>
        </w:rPr>
        <w:t xml:space="preserve"> </w:t>
      </w:r>
      <w:r>
        <w:rPr>
          <w:spacing w:val="10"/>
          <w:sz w:val="16"/>
        </w:rPr>
        <w:t>v</w:t>
      </w:r>
      <w:r>
        <w:rPr>
          <w:sz w:val="16"/>
        </w:rPr>
        <w:t xml:space="preserve"> </w:t>
      </w:r>
      <w:r>
        <w:rPr>
          <w:spacing w:val="10"/>
          <w:sz w:val="16"/>
        </w:rPr>
        <w:t>e</w:t>
      </w:r>
      <w:r>
        <w:rPr>
          <w:sz w:val="16"/>
        </w:rPr>
        <w:t xml:space="preserve"> l</w:t>
      </w:r>
      <w:r>
        <w:rPr>
          <w:sz w:val="16"/>
        </w:rPr>
        <w:tab/>
      </w:r>
      <w:r>
        <w:rPr>
          <w:spacing w:val="10"/>
          <w:sz w:val="16"/>
        </w:rPr>
        <w:t>e m</w:t>
      </w:r>
      <w:r>
        <w:rPr>
          <w:spacing w:val="-9"/>
          <w:sz w:val="16"/>
        </w:rPr>
        <w:t xml:space="preserve"> </w:t>
      </w:r>
      <w:r>
        <w:rPr>
          <w:sz w:val="16"/>
        </w:rPr>
        <w:t>:</w:t>
      </w:r>
      <w:r>
        <w:rPr>
          <w:spacing w:val="10"/>
          <w:sz w:val="16"/>
        </w:rPr>
        <w:t xml:space="preserve"> </w:t>
      </w:r>
    </w:p>
    <w:p w:rsidR="00D81F69" w:rsidRDefault="00D81F69">
      <w:pPr>
        <w:spacing w:before="2"/>
        <w:ind w:left="100"/>
        <w:rPr>
          <w:sz w:val="16"/>
        </w:rPr>
      </w:pPr>
      <w:hyperlink r:id="rId366">
        <w:r w:rsidR="00330118">
          <w:rPr>
            <w:sz w:val="16"/>
          </w:rPr>
          <w:t>&lt;http://www.ibge.gov.br/cidadesat/xtras/perfil.php?codmun=150420&amp;r</w:t>
        </w:r>
      </w:hyperlink>
    </w:p>
    <w:p w:rsidR="00D81F69" w:rsidRDefault="00330118">
      <w:pPr>
        <w:spacing w:before="56"/>
        <w:ind w:left="100"/>
        <w:rPr>
          <w:sz w:val="16"/>
        </w:rPr>
      </w:pPr>
      <w:r>
        <w:rPr>
          <w:sz w:val="16"/>
        </w:rPr>
        <w:t>=2&gt;. Acesso em: 16 fev. 2011.</w:t>
      </w:r>
    </w:p>
    <w:p w:rsidR="00D81F69" w:rsidRDefault="00330118">
      <w:pPr>
        <w:spacing w:before="56"/>
        <w:ind w:left="100"/>
        <w:rPr>
          <w:sz w:val="16"/>
        </w:rPr>
      </w:pPr>
      <w:r>
        <w:rPr>
          <w:sz w:val="16"/>
        </w:rPr>
        <w:t>MINERAÇÃO BURITAMA S.A. A empresa, 2011a. Disponível em:</w:t>
      </w:r>
    </w:p>
    <w:p w:rsidR="00D81F69" w:rsidRDefault="00D81F69">
      <w:pPr>
        <w:spacing w:before="56" w:line="312" w:lineRule="auto"/>
        <w:ind w:left="100" w:right="287"/>
        <w:rPr>
          <w:sz w:val="16"/>
        </w:rPr>
      </w:pPr>
      <w:hyperlink r:id="rId367">
        <w:r w:rsidR="00330118">
          <w:rPr>
            <w:sz w:val="16"/>
          </w:rPr>
          <w:t xml:space="preserve">&lt;http://www.mineracaoburitirama.com.br/empresa.php&gt;. </w:t>
        </w:r>
      </w:hyperlink>
      <w:r w:rsidR="00330118">
        <w:rPr>
          <w:sz w:val="16"/>
        </w:rPr>
        <w:t>Acesso em: 16 fev. 2011.</w:t>
      </w:r>
    </w:p>
    <w:p w:rsidR="00D81F69" w:rsidRDefault="00330118">
      <w:pPr>
        <w:spacing w:before="2"/>
        <w:ind w:left="100"/>
        <w:rPr>
          <w:sz w:val="16"/>
        </w:rPr>
      </w:pPr>
      <w:r>
        <w:rPr>
          <w:sz w:val="16"/>
        </w:rPr>
        <w:t>______Meio Ambiente. 2011b. Partindo de Marabá. Disponível em:</w:t>
      </w:r>
    </w:p>
    <w:p w:rsidR="00D81F69" w:rsidRDefault="00D81F69">
      <w:pPr>
        <w:spacing w:before="56" w:line="312" w:lineRule="auto"/>
        <w:ind w:left="100" w:right="287"/>
        <w:rPr>
          <w:sz w:val="16"/>
        </w:rPr>
      </w:pPr>
      <w:hyperlink r:id="rId368">
        <w:r w:rsidR="00330118">
          <w:rPr>
            <w:sz w:val="16"/>
          </w:rPr>
          <w:t>&lt;http://www.mineracaoburitirama.com.br/meio_ambiente.php&gt;.</w:t>
        </w:r>
      </w:hyperlink>
      <w:r w:rsidR="00330118">
        <w:rPr>
          <w:sz w:val="16"/>
        </w:rPr>
        <w:t xml:space="preserve"> Acesso em: 16 fev. 2011.</w:t>
      </w:r>
    </w:p>
    <w:p w:rsidR="00D81F69" w:rsidRDefault="00330118">
      <w:pPr>
        <w:tabs>
          <w:tab w:val="left" w:pos="470"/>
          <w:tab w:val="left" w:pos="639"/>
          <w:tab w:val="left" w:pos="760"/>
          <w:tab w:val="left" w:pos="1095"/>
          <w:tab w:val="left" w:pos="1439"/>
          <w:tab w:val="left" w:pos="1782"/>
          <w:tab w:val="left" w:pos="2126"/>
          <w:tab w:val="left" w:pos="2426"/>
          <w:tab w:val="left" w:pos="2760"/>
          <w:tab w:val="left" w:pos="3104"/>
          <w:tab w:val="left" w:pos="4331"/>
          <w:tab w:val="left" w:pos="4674"/>
          <w:tab w:val="left" w:pos="5063"/>
        </w:tabs>
        <w:spacing w:before="1" w:line="312" w:lineRule="auto"/>
        <w:ind w:left="100" w:right="238"/>
        <w:rPr>
          <w:sz w:val="16"/>
        </w:rPr>
      </w:pPr>
      <w:r>
        <w:rPr>
          <w:sz w:val="16"/>
          <w:u w:val="single"/>
        </w:rPr>
        <w:t xml:space="preserve"> </w:t>
      </w:r>
      <w:r>
        <w:rPr>
          <w:sz w:val="16"/>
          <w:u w:val="single"/>
        </w:rPr>
        <w:tab/>
      </w:r>
      <w:r>
        <w:rPr>
          <w:sz w:val="16"/>
          <w:u w:val="single"/>
        </w:rPr>
        <w:tab/>
      </w:r>
      <w:r>
        <w:rPr>
          <w:sz w:val="16"/>
        </w:rPr>
        <w:t>. Buritirama planeja fazer metalu</w:t>
      </w:r>
      <w:r>
        <w:rPr>
          <w:sz w:val="16"/>
        </w:rPr>
        <w:t>rgia em Marabá, 29 jul. 2009. D</w:t>
      </w:r>
      <w:r>
        <w:rPr>
          <w:sz w:val="16"/>
        </w:rPr>
        <w:tab/>
        <w:t>i</w:t>
      </w:r>
      <w:r>
        <w:rPr>
          <w:sz w:val="16"/>
        </w:rPr>
        <w:tab/>
      </w:r>
      <w:r>
        <w:rPr>
          <w:sz w:val="16"/>
        </w:rPr>
        <w:tab/>
        <w:t>s</w:t>
      </w:r>
      <w:r>
        <w:rPr>
          <w:sz w:val="16"/>
        </w:rPr>
        <w:tab/>
        <w:t>p</w:t>
      </w:r>
      <w:r>
        <w:rPr>
          <w:sz w:val="16"/>
        </w:rPr>
        <w:tab/>
        <w:t>o</w:t>
      </w:r>
      <w:r>
        <w:rPr>
          <w:sz w:val="16"/>
        </w:rPr>
        <w:tab/>
        <w:t>n</w:t>
      </w:r>
      <w:r>
        <w:rPr>
          <w:sz w:val="16"/>
        </w:rPr>
        <w:tab/>
        <w:t>í</w:t>
      </w:r>
      <w:r>
        <w:rPr>
          <w:sz w:val="16"/>
        </w:rPr>
        <w:tab/>
        <w:t>v</w:t>
      </w:r>
      <w:r>
        <w:rPr>
          <w:sz w:val="16"/>
        </w:rPr>
        <w:tab/>
        <w:t>e</w:t>
      </w:r>
      <w:r>
        <w:rPr>
          <w:sz w:val="16"/>
        </w:rPr>
        <w:tab/>
        <w:t>l</w:t>
      </w:r>
      <w:r>
        <w:rPr>
          <w:sz w:val="16"/>
        </w:rPr>
        <w:tab/>
        <w:t>e</w:t>
      </w:r>
      <w:r>
        <w:rPr>
          <w:sz w:val="16"/>
        </w:rPr>
        <w:tab/>
        <w:t>m</w:t>
      </w:r>
      <w:r>
        <w:rPr>
          <w:sz w:val="16"/>
        </w:rPr>
        <w:tab/>
        <w:t>:</w:t>
      </w:r>
    </w:p>
    <w:p w:rsidR="00D81F69" w:rsidRDefault="00D81F69">
      <w:pPr>
        <w:spacing w:before="2" w:line="312" w:lineRule="auto"/>
        <w:ind w:left="100" w:right="287"/>
        <w:rPr>
          <w:sz w:val="16"/>
        </w:rPr>
      </w:pPr>
      <w:hyperlink r:id="rId369">
        <w:r w:rsidR="00330118">
          <w:rPr>
            <w:sz w:val="16"/>
          </w:rPr>
          <w:t xml:space="preserve">&lt;http://www.bonsucex.com.br/noticia_29_07_09_b.pdf&gt;. </w:t>
        </w:r>
      </w:hyperlink>
      <w:r w:rsidR="00330118">
        <w:rPr>
          <w:sz w:val="16"/>
        </w:rPr>
        <w:t>Acesso em: 16 fev. 2011.</w:t>
      </w:r>
    </w:p>
    <w:p w:rsidR="00D81F69" w:rsidRDefault="00330118">
      <w:pPr>
        <w:spacing w:before="2" w:line="312" w:lineRule="auto"/>
        <w:ind w:left="100" w:right="216"/>
        <w:jc w:val="both"/>
        <w:rPr>
          <w:sz w:val="16"/>
        </w:rPr>
      </w:pPr>
      <w:r>
        <w:rPr>
          <w:spacing w:val="5"/>
          <w:sz w:val="16"/>
        </w:rPr>
        <w:t xml:space="preserve">MME, Ministério </w:t>
      </w:r>
      <w:r>
        <w:rPr>
          <w:spacing w:val="2"/>
          <w:sz w:val="16"/>
        </w:rPr>
        <w:t xml:space="preserve">de </w:t>
      </w:r>
      <w:r>
        <w:rPr>
          <w:spacing w:val="5"/>
          <w:sz w:val="16"/>
        </w:rPr>
        <w:t xml:space="preserve">Minas </w:t>
      </w:r>
      <w:r>
        <w:rPr>
          <w:sz w:val="16"/>
        </w:rPr>
        <w:t xml:space="preserve">e </w:t>
      </w:r>
      <w:r>
        <w:rPr>
          <w:spacing w:val="5"/>
          <w:sz w:val="16"/>
        </w:rPr>
        <w:t xml:space="preserve">Energia. Produto </w:t>
      </w:r>
      <w:r>
        <w:rPr>
          <w:spacing w:val="3"/>
          <w:sz w:val="16"/>
        </w:rPr>
        <w:t xml:space="preserve">11: </w:t>
      </w:r>
      <w:r>
        <w:rPr>
          <w:spacing w:val="5"/>
          <w:sz w:val="16"/>
        </w:rPr>
        <w:t>Minéri</w:t>
      </w:r>
      <w:r>
        <w:rPr>
          <w:spacing w:val="5"/>
          <w:sz w:val="16"/>
        </w:rPr>
        <w:t xml:space="preserve">o </w:t>
      </w:r>
      <w:r>
        <w:rPr>
          <w:spacing w:val="6"/>
          <w:sz w:val="16"/>
        </w:rPr>
        <w:t xml:space="preserve">de </w:t>
      </w:r>
      <w:r>
        <w:rPr>
          <w:sz w:val="16"/>
        </w:rPr>
        <w:t xml:space="preserve">manganês, Consultor. Luiz Felipe Quaresma. Projeto de Assistência </w:t>
      </w:r>
      <w:r>
        <w:rPr>
          <w:spacing w:val="5"/>
          <w:sz w:val="16"/>
        </w:rPr>
        <w:t xml:space="preserve">Técnica </w:t>
      </w:r>
      <w:r>
        <w:rPr>
          <w:spacing w:val="2"/>
          <w:sz w:val="16"/>
        </w:rPr>
        <w:t xml:space="preserve">ao </w:t>
      </w:r>
      <w:r>
        <w:rPr>
          <w:spacing w:val="5"/>
          <w:sz w:val="16"/>
        </w:rPr>
        <w:t xml:space="preserve">Setor </w:t>
      </w:r>
      <w:r>
        <w:rPr>
          <w:spacing w:val="2"/>
          <w:sz w:val="16"/>
        </w:rPr>
        <w:t xml:space="preserve">de </w:t>
      </w:r>
      <w:r>
        <w:rPr>
          <w:spacing w:val="5"/>
          <w:sz w:val="16"/>
        </w:rPr>
        <w:t xml:space="preserve">Energia. Relatório Técnico </w:t>
      </w:r>
      <w:r>
        <w:rPr>
          <w:spacing w:val="3"/>
          <w:sz w:val="16"/>
        </w:rPr>
        <w:t xml:space="preserve">19, </w:t>
      </w:r>
      <w:r>
        <w:rPr>
          <w:spacing w:val="5"/>
          <w:sz w:val="16"/>
        </w:rPr>
        <w:t xml:space="preserve">Perfil </w:t>
      </w:r>
      <w:r>
        <w:rPr>
          <w:spacing w:val="6"/>
          <w:sz w:val="16"/>
        </w:rPr>
        <w:t xml:space="preserve">da </w:t>
      </w:r>
      <w:r>
        <w:rPr>
          <w:spacing w:val="16"/>
          <w:sz w:val="16"/>
        </w:rPr>
        <w:t xml:space="preserve">mineração  </w:t>
      </w:r>
      <w:r>
        <w:rPr>
          <w:spacing w:val="10"/>
          <w:sz w:val="16"/>
        </w:rPr>
        <w:t xml:space="preserve">de   </w:t>
      </w:r>
      <w:r>
        <w:rPr>
          <w:spacing w:val="16"/>
          <w:sz w:val="16"/>
        </w:rPr>
        <w:t xml:space="preserve">manganês,  </w:t>
      </w:r>
      <w:r>
        <w:rPr>
          <w:spacing w:val="15"/>
          <w:sz w:val="16"/>
        </w:rPr>
        <w:t xml:space="preserve">ago.   2009.  </w:t>
      </w:r>
      <w:r>
        <w:rPr>
          <w:spacing w:val="17"/>
          <w:sz w:val="16"/>
        </w:rPr>
        <w:t xml:space="preserve">Disponível </w:t>
      </w:r>
      <w:r>
        <w:rPr>
          <w:spacing w:val="16"/>
          <w:sz w:val="16"/>
        </w:rPr>
        <w:t xml:space="preserve"> </w:t>
      </w:r>
      <w:r>
        <w:rPr>
          <w:spacing w:val="12"/>
          <w:sz w:val="16"/>
        </w:rPr>
        <w:t>em:</w:t>
      </w:r>
      <w:r>
        <w:rPr>
          <w:spacing w:val="-24"/>
          <w:sz w:val="16"/>
        </w:rPr>
        <w:t xml:space="preserve"> </w:t>
      </w:r>
    </w:p>
    <w:p w:rsidR="00D81F69" w:rsidRDefault="00D81F69">
      <w:pPr>
        <w:spacing w:before="3"/>
        <w:ind w:left="100"/>
        <w:rPr>
          <w:sz w:val="16"/>
        </w:rPr>
      </w:pPr>
      <w:hyperlink r:id="rId370">
        <w:r w:rsidR="00330118">
          <w:rPr>
            <w:sz w:val="16"/>
          </w:rPr>
          <w:t>&lt;http://www.mme.gov.br/sgm/galerias/arquivos/plano_duo_decenal/a</w:t>
        </w:r>
      </w:hyperlink>
    </w:p>
    <w:p w:rsidR="00D81F69" w:rsidRDefault="00330118">
      <w:pPr>
        <w:spacing w:before="56" w:line="312" w:lineRule="auto"/>
        <w:ind w:left="100"/>
        <w:rPr>
          <w:sz w:val="16"/>
        </w:rPr>
      </w:pPr>
      <w:r>
        <w:rPr>
          <w:sz w:val="16"/>
        </w:rPr>
        <w:t>_mineracao_brasileira/P11_RT19_Perfil_da_mineraxo_de_manganxs. pdf&gt;. Acesso em: 17 fev. 2011.</w:t>
      </w:r>
    </w:p>
    <w:p w:rsidR="00D81F69" w:rsidRDefault="00330118">
      <w:pPr>
        <w:spacing w:before="1"/>
        <w:ind w:left="100"/>
        <w:rPr>
          <w:sz w:val="16"/>
        </w:rPr>
      </w:pPr>
      <w:r>
        <w:rPr>
          <w:sz w:val="16"/>
        </w:rPr>
        <w:t>PREFEITURA  MUNICI</w:t>
      </w:r>
      <w:r>
        <w:rPr>
          <w:sz w:val="16"/>
        </w:rPr>
        <w:t>PAL  DE  MARABÁ.  Localização, 2011.</w:t>
      </w:r>
    </w:p>
    <w:p w:rsidR="00D81F69" w:rsidRDefault="00330118">
      <w:pPr>
        <w:tabs>
          <w:tab w:val="left" w:pos="470"/>
          <w:tab w:val="left" w:pos="760"/>
          <w:tab w:val="left" w:pos="1095"/>
          <w:tab w:val="left" w:pos="1439"/>
          <w:tab w:val="left" w:pos="1782"/>
          <w:tab w:val="left" w:pos="2126"/>
          <w:tab w:val="left" w:pos="2426"/>
          <w:tab w:val="left" w:pos="2760"/>
          <w:tab w:val="left" w:pos="3104"/>
          <w:tab w:val="left" w:pos="4331"/>
          <w:tab w:val="left" w:pos="4674"/>
          <w:tab w:val="left" w:pos="5063"/>
        </w:tabs>
        <w:spacing w:before="56"/>
        <w:ind w:left="100"/>
        <w:rPr>
          <w:sz w:val="16"/>
        </w:rPr>
      </w:pPr>
      <w:r>
        <w:rPr>
          <w:sz w:val="16"/>
        </w:rPr>
        <w:t>D</w:t>
      </w:r>
      <w:r>
        <w:rPr>
          <w:sz w:val="16"/>
        </w:rPr>
        <w:tab/>
        <w:t>i</w:t>
      </w:r>
      <w:r>
        <w:rPr>
          <w:sz w:val="16"/>
        </w:rPr>
        <w:tab/>
        <w:t>s</w:t>
      </w:r>
      <w:r>
        <w:rPr>
          <w:sz w:val="16"/>
        </w:rPr>
        <w:tab/>
        <w:t>p</w:t>
      </w:r>
      <w:r>
        <w:rPr>
          <w:sz w:val="16"/>
        </w:rPr>
        <w:tab/>
        <w:t>o</w:t>
      </w:r>
      <w:r>
        <w:rPr>
          <w:sz w:val="16"/>
        </w:rPr>
        <w:tab/>
        <w:t>n</w:t>
      </w:r>
      <w:r>
        <w:rPr>
          <w:sz w:val="16"/>
        </w:rPr>
        <w:tab/>
        <w:t>í</w:t>
      </w:r>
      <w:r>
        <w:rPr>
          <w:sz w:val="16"/>
        </w:rPr>
        <w:tab/>
        <w:t>v</w:t>
      </w:r>
      <w:r>
        <w:rPr>
          <w:sz w:val="16"/>
        </w:rPr>
        <w:tab/>
        <w:t>e</w:t>
      </w:r>
      <w:r>
        <w:rPr>
          <w:sz w:val="16"/>
        </w:rPr>
        <w:tab/>
        <w:t>l</w:t>
      </w:r>
      <w:r>
        <w:rPr>
          <w:sz w:val="16"/>
        </w:rPr>
        <w:tab/>
        <w:t>e</w:t>
      </w:r>
      <w:r>
        <w:rPr>
          <w:sz w:val="16"/>
        </w:rPr>
        <w:tab/>
        <w:t>m</w:t>
      </w:r>
      <w:r>
        <w:rPr>
          <w:sz w:val="16"/>
        </w:rPr>
        <w:tab/>
        <w:t>:</w:t>
      </w:r>
    </w:p>
    <w:p w:rsidR="00D81F69" w:rsidRDefault="00D81F69">
      <w:pPr>
        <w:spacing w:before="56" w:line="312" w:lineRule="auto"/>
        <w:ind w:left="100" w:right="176"/>
        <w:rPr>
          <w:sz w:val="16"/>
        </w:rPr>
      </w:pPr>
      <w:hyperlink r:id="rId371">
        <w:r w:rsidR="00330118">
          <w:rPr>
            <w:sz w:val="16"/>
          </w:rPr>
          <w:t>&lt;http://www.achetudoeregiao.com/PA/maraba/geografia.htm&gt;.</w:t>
        </w:r>
      </w:hyperlink>
      <w:r w:rsidR="00330118">
        <w:rPr>
          <w:sz w:val="16"/>
        </w:rPr>
        <w:t xml:space="preserve"> Acesso em: 16 fev. 2011.</w:t>
      </w:r>
    </w:p>
    <w:p w:rsidR="00D81F69" w:rsidRDefault="00330118">
      <w:pPr>
        <w:spacing w:before="2" w:line="312" w:lineRule="auto"/>
        <w:ind w:left="100" w:right="239"/>
        <w:jc w:val="both"/>
        <w:rPr>
          <w:sz w:val="16"/>
        </w:rPr>
      </w:pPr>
      <w:r>
        <w:rPr>
          <w:sz w:val="16"/>
        </w:rPr>
        <w:t xml:space="preserve">ROBERTA TUM.COM.BR. Governador recebe empresários da Vale e SSI Inteligence para instalação de empreendimento no estado, 09 fev. 2011. Disponível em: </w:t>
      </w:r>
      <w:hyperlink r:id="rId372">
        <w:r>
          <w:rPr>
            <w:sz w:val="16"/>
          </w:rPr>
          <w:t>&lt;http://robertatum.com.br/noticia/governador</w:t>
        </w:r>
        <w:r>
          <w:rPr>
            <w:sz w:val="16"/>
          </w:rPr>
          <w:t>-</w:t>
        </w:r>
      </w:hyperlink>
      <w:r>
        <w:rPr>
          <w:sz w:val="16"/>
        </w:rPr>
        <w:t xml:space="preserve"> recebe-empresarios-da-vale-e-ssi-inteligence-para-instalacao-de- empreendimento-no-estado/9830&gt;. Acesso em: 17 fev. 2011.</w:t>
      </w:r>
    </w:p>
    <w:p w:rsidR="00D81F69" w:rsidRDefault="00330118">
      <w:pPr>
        <w:spacing w:before="4"/>
        <w:ind w:left="100"/>
        <w:rPr>
          <w:sz w:val="16"/>
        </w:rPr>
      </w:pPr>
      <w:r>
        <w:rPr>
          <w:sz w:val="16"/>
        </w:rPr>
        <w:t>SAKAMOTO, Leonardo. Triste Herança. In Repórter Brasil, 01 jan.</w:t>
      </w:r>
    </w:p>
    <w:p w:rsidR="00D81F69" w:rsidRDefault="00330118">
      <w:pPr>
        <w:tabs>
          <w:tab w:val="left" w:pos="1785"/>
          <w:tab w:val="left" w:pos="4548"/>
        </w:tabs>
        <w:spacing w:before="56"/>
        <w:ind w:left="100"/>
        <w:rPr>
          <w:sz w:val="16"/>
        </w:rPr>
      </w:pPr>
      <w:r>
        <w:rPr>
          <w:sz w:val="16"/>
        </w:rPr>
        <w:t xml:space="preserve">2   0   0  </w:t>
      </w:r>
      <w:r>
        <w:rPr>
          <w:spacing w:val="35"/>
          <w:sz w:val="16"/>
        </w:rPr>
        <w:t xml:space="preserve"> </w:t>
      </w:r>
      <w:r>
        <w:rPr>
          <w:sz w:val="16"/>
        </w:rPr>
        <w:t xml:space="preserve">1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87"/>
        <w:rPr>
          <w:sz w:val="16"/>
        </w:rPr>
      </w:pPr>
      <w:hyperlink r:id="rId373">
        <w:r w:rsidR="00330118">
          <w:rPr>
            <w:sz w:val="16"/>
          </w:rPr>
          <w:t xml:space="preserve">&lt;http://www.reporterbrasil.org.br/exibe.php?id=19&gt;. </w:t>
        </w:r>
      </w:hyperlink>
      <w:r w:rsidR="00330118">
        <w:rPr>
          <w:sz w:val="16"/>
        </w:rPr>
        <w:t>Acesso em: 17 fev. 2011.</w:t>
      </w:r>
    </w:p>
    <w:p w:rsidR="00D81F69" w:rsidRDefault="00330118">
      <w:pPr>
        <w:spacing w:before="2"/>
        <w:ind w:left="100"/>
        <w:rPr>
          <w:sz w:val="16"/>
        </w:rPr>
      </w:pPr>
      <w:r>
        <w:rPr>
          <w:sz w:val="16"/>
        </w:rPr>
        <w:t>SANTANA, André Luiz. Manganês. DNPM, 2009. Disponível em:</w:t>
      </w:r>
    </w:p>
    <w:p w:rsidR="00D81F69" w:rsidRDefault="00D81F69">
      <w:pPr>
        <w:spacing w:before="56" w:line="312" w:lineRule="auto"/>
        <w:ind w:left="100"/>
        <w:rPr>
          <w:sz w:val="16"/>
        </w:rPr>
      </w:pPr>
      <w:hyperlink r:id="rId374">
        <w:r w:rsidR="00330118">
          <w:rPr>
            <w:sz w:val="16"/>
          </w:rPr>
          <w:t>&lt;http://www.dnpm.gov.br/assets/galeriaDocumento/SumarioMineral20</w:t>
        </w:r>
      </w:hyperlink>
      <w:r w:rsidR="00330118">
        <w:rPr>
          <w:sz w:val="16"/>
        </w:rPr>
        <w:t xml:space="preserve"> 08/manganes.pdf&gt;. Acesso em: 17 fev. 2011.</w:t>
      </w:r>
    </w:p>
    <w:p w:rsidR="00D81F69" w:rsidRDefault="00330118">
      <w:pPr>
        <w:spacing w:before="2" w:line="312" w:lineRule="auto"/>
        <w:ind w:left="100" w:right="234"/>
        <w:jc w:val="both"/>
        <w:rPr>
          <w:sz w:val="16"/>
        </w:rPr>
      </w:pPr>
      <w:r>
        <w:rPr>
          <w:sz w:val="16"/>
        </w:rPr>
        <w:t>TAVARES, Gilberto. Da mina para o mundo. Minenorte, 28 nov. 2008. Dis</w:t>
      </w:r>
      <w:r>
        <w:rPr>
          <w:sz w:val="16"/>
        </w:rPr>
        <w:t xml:space="preserve">ponível em: </w:t>
      </w:r>
      <w:hyperlink r:id="rId375">
        <w:r>
          <w:rPr>
            <w:sz w:val="16"/>
          </w:rPr>
          <w:t>&lt;http://www.bonsucex.com.br/pdf-buritirama.pdf&gt;.</w:t>
        </w:r>
      </w:hyperlink>
      <w:r>
        <w:rPr>
          <w:sz w:val="16"/>
        </w:rPr>
        <w:t xml:space="preserve"> Acesso em 17 fev. 2011.</w:t>
      </w:r>
    </w:p>
    <w:p w:rsidR="00D81F69" w:rsidRDefault="00330118">
      <w:pPr>
        <w:spacing w:before="2" w:line="312" w:lineRule="auto"/>
        <w:ind w:left="100"/>
        <w:rPr>
          <w:sz w:val="16"/>
        </w:rPr>
      </w:pPr>
      <w:r>
        <w:rPr>
          <w:sz w:val="16"/>
        </w:rPr>
        <w:t>VALOR ECONÔMICO. Vendas de manganês e nióbio apresentam retomada,  22  nov.  2010.  In:  Mining.com  Notícia</w:t>
      </w:r>
      <w:r>
        <w:rPr>
          <w:sz w:val="16"/>
        </w:rPr>
        <w:t>s. Disponível:</w:t>
      </w:r>
    </w:p>
    <w:p w:rsidR="00D81F69" w:rsidRDefault="00D81F69">
      <w:pPr>
        <w:spacing w:before="2" w:line="312" w:lineRule="auto"/>
        <w:ind w:left="100" w:right="239"/>
        <w:rPr>
          <w:sz w:val="16"/>
        </w:rPr>
      </w:pPr>
      <w:hyperlink r:id="rId376">
        <w:r w:rsidR="00330118">
          <w:rPr>
            <w:sz w:val="16"/>
          </w:rPr>
          <w:t>&lt;http://noticiasmineracao.mining.com/2010/11/22/vendas-de-</w:t>
        </w:r>
      </w:hyperlink>
      <w:r w:rsidR="00330118">
        <w:rPr>
          <w:sz w:val="16"/>
        </w:rPr>
        <w:t xml:space="preserve"> manganes-e-niobio-apresentam-retomada/&gt;. Acesso em 16 fev. 2011.</w:t>
      </w:r>
    </w:p>
    <w:p w:rsidR="00D81F69" w:rsidRDefault="00D81F69">
      <w:pPr>
        <w:spacing w:line="312" w:lineRule="auto"/>
        <w:rPr>
          <w:sz w:val="16"/>
        </w:rPr>
        <w:sectPr w:rsidR="00D81F69">
          <w:pgSz w:w="11900" w:h="16840"/>
          <w:pgMar w:top="740" w:right="460" w:bottom="720" w:left="620" w:header="0" w:footer="402" w:gutter="0"/>
          <w:cols w:num="2" w:space="720" w:equalWidth="0">
            <w:col w:w="5199" w:space="271"/>
            <w:col w:w="5350"/>
          </w:cols>
        </w:sectPr>
      </w:pPr>
    </w:p>
    <w:p w:rsidR="00D81F69" w:rsidRDefault="00330118">
      <w:pPr>
        <w:pStyle w:val="Heading1"/>
        <w:tabs>
          <w:tab w:val="left" w:pos="2471"/>
          <w:tab w:val="left" w:pos="3174"/>
          <w:tab w:val="left" w:pos="3229"/>
          <w:tab w:val="left" w:pos="4666"/>
          <w:tab w:val="left" w:pos="5390"/>
          <w:tab w:val="left" w:pos="5914"/>
          <w:tab w:val="left" w:pos="7294"/>
          <w:tab w:val="left" w:pos="8018"/>
          <w:tab w:val="left" w:pos="8286"/>
          <w:tab w:val="left" w:pos="8988"/>
          <w:tab w:val="left" w:pos="10069"/>
        </w:tabs>
        <w:spacing w:line="208" w:lineRule="auto"/>
        <w:ind w:right="236"/>
      </w:pPr>
      <w:bookmarkStart w:id="31" w:name="_TOC_250002"/>
      <w:r>
        <w:rPr>
          <w:spacing w:val="17"/>
        </w:rPr>
        <w:lastRenderedPageBreak/>
        <w:t>Mineração</w:t>
      </w:r>
      <w:r>
        <w:rPr>
          <w:spacing w:val="17"/>
        </w:rPr>
        <w:tab/>
      </w:r>
      <w:r>
        <w:rPr>
          <w:spacing w:val="10"/>
        </w:rPr>
        <w:t>de</w:t>
      </w:r>
      <w:r>
        <w:rPr>
          <w:spacing w:val="10"/>
        </w:rPr>
        <w:tab/>
      </w:r>
      <w:r>
        <w:rPr>
          <w:spacing w:val="16"/>
        </w:rPr>
        <w:t>níquel</w:t>
      </w:r>
      <w:r>
        <w:rPr>
          <w:spacing w:val="16"/>
        </w:rPr>
        <w:tab/>
      </w:r>
      <w:r>
        <w:rPr>
          <w:spacing w:val="15"/>
        </w:rPr>
        <w:t>afeta</w:t>
      </w:r>
      <w:r>
        <w:rPr>
          <w:spacing w:val="15"/>
        </w:rPr>
        <w:tab/>
      </w:r>
      <w:r>
        <w:rPr>
          <w:spacing w:val="17"/>
        </w:rPr>
        <w:t>condições</w:t>
      </w:r>
      <w:r>
        <w:rPr>
          <w:spacing w:val="17"/>
        </w:rPr>
        <w:tab/>
      </w:r>
      <w:r>
        <w:rPr>
          <w:spacing w:val="10"/>
        </w:rPr>
        <w:t>de</w:t>
      </w:r>
      <w:r>
        <w:rPr>
          <w:spacing w:val="10"/>
        </w:rPr>
        <w:tab/>
      </w:r>
      <w:r>
        <w:rPr>
          <w:spacing w:val="15"/>
        </w:rPr>
        <w:t>vida</w:t>
      </w:r>
      <w:r>
        <w:rPr>
          <w:spacing w:val="15"/>
        </w:rPr>
        <w:tab/>
      </w:r>
      <w:r>
        <w:rPr>
          <w:spacing w:val="20"/>
        </w:rPr>
        <w:t xml:space="preserve">de </w:t>
      </w:r>
      <w:r>
        <w:rPr>
          <w:spacing w:val="18"/>
        </w:rPr>
        <w:t>trabalhadores</w:t>
      </w:r>
      <w:r>
        <w:rPr>
          <w:spacing w:val="18"/>
        </w:rPr>
        <w:tab/>
      </w:r>
      <w:r>
        <w:rPr>
          <w:spacing w:val="18"/>
        </w:rPr>
        <w:tab/>
      </w:r>
      <w:r>
        <w:rPr>
          <w:spacing w:val="16"/>
        </w:rPr>
        <w:t>rurais</w:t>
      </w:r>
      <w:r>
        <w:rPr>
          <w:spacing w:val="16"/>
        </w:rPr>
        <w:tab/>
      </w:r>
      <w:r>
        <w:rPr>
          <w:spacing w:val="10"/>
        </w:rPr>
        <w:t>no</w:t>
      </w:r>
      <w:r>
        <w:rPr>
          <w:spacing w:val="10"/>
        </w:rPr>
        <w:tab/>
      </w:r>
      <w:r>
        <w:rPr>
          <w:spacing w:val="17"/>
        </w:rPr>
        <w:t>Sudeste</w:t>
      </w:r>
      <w:r>
        <w:rPr>
          <w:spacing w:val="17"/>
        </w:rPr>
        <w:tab/>
      </w:r>
      <w:r>
        <w:rPr>
          <w:spacing w:val="10"/>
        </w:rPr>
        <w:t>do</w:t>
      </w:r>
      <w:r>
        <w:rPr>
          <w:spacing w:val="10"/>
        </w:rPr>
        <w:tab/>
      </w:r>
      <w:bookmarkEnd w:id="31"/>
      <w:r>
        <w:rPr>
          <w:spacing w:val="20"/>
        </w:rPr>
        <w:t>Pará</w:t>
      </w:r>
    </w:p>
    <w:p w:rsidR="00D81F69" w:rsidRDefault="00D81F69">
      <w:pPr>
        <w:pStyle w:val="Corpodetexto"/>
        <w:ind w:left="0"/>
        <w:jc w:val="left"/>
        <w:rPr>
          <w:b/>
          <w:sz w:val="20"/>
        </w:rPr>
      </w:pPr>
    </w:p>
    <w:p w:rsidR="00D81F69" w:rsidRDefault="00D81F69">
      <w:pPr>
        <w:rPr>
          <w:sz w:val="20"/>
        </w:rPr>
        <w:sectPr w:rsidR="00D81F69">
          <w:pgSz w:w="11900" w:h="16840"/>
          <w:pgMar w:top="1080" w:right="460" w:bottom="7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20"/>
        <w:rPr>
          <w:i/>
          <w:sz w:val="14"/>
        </w:rPr>
      </w:pPr>
      <w:r>
        <w:rPr>
          <w:i/>
          <w:sz w:val="14"/>
        </w:rPr>
        <w:t>PA - Ourilândia do Norte PA - Parauapebas</w:t>
      </w:r>
    </w:p>
    <w:p w:rsidR="00D81F69" w:rsidRDefault="00330118">
      <w:pPr>
        <w:spacing w:before="2" w:line="312" w:lineRule="auto"/>
        <w:ind w:left="135" w:right="59"/>
        <w:rPr>
          <w:i/>
          <w:sz w:val="14"/>
        </w:rPr>
      </w:pPr>
      <w:r>
        <w:rPr>
          <w:i/>
          <w:sz w:val="14"/>
        </w:rPr>
        <w:t>PA - São Félix do Xingu PA - Tucumã</w:t>
      </w:r>
    </w:p>
    <w:p w:rsidR="00D81F69" w:rsidRDefault="00D81F69">
      <w:pPr>
        <w:pStyle w:val="Corpodetexto"/>
        <w:spacing w:before="4"/>
        <w:ind w:left="0"/>
        <w:jc w:val="left"/>
        <w:rPr>
          <w:i/>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-6,5605</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-51,1644</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0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O município de Ourilândia do Norte, no sudeste do Pará, sofreu transformações nas relações sociais e impactos ambientais com o projeto de extração do níquel realizado pela Mineração Onça Puma Ltda., subsidiária da Vale, o projeto desalojou várias famílias </w:t>
      </w:r>
      <w:r>
        <w:rPr>
          <w:i/>
          <w:sz w:val="16"/>
        </w:rPr>
        <w:t>de assentamentos do Incra na região e atingiu a população indígena de Xikrin do Cateté, e seu entorno.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0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47"/>
      </w:pPr>
      <w:r>
        <w:t>Em 2003, a Mineradora Onça Puma Ltda. começou obras de infraestrutura para a lavra de minério de níquel na região. O Projeto Onça Puma atingiu direta</w:t>
      </w:r>
      <w:r>
        <w:t>mente três mil famílias de dois assentamentos do Instituto Nacional de Colonização e Reforma Agrária (Incra): o Campos Altos e o Tucumã (SUZUKI, 2009). Os assentamentos haviam sido criados, na década de 1980, para atender à reivindicação de posseiros (CRUZ</w:t>
      </w:r>
      <w:r>
        <w:t>, 2008).</w:t>
      </w:r>
    </w:p>
    <w:p w:rsidR="00D81F69" w:rsidRDefault="00330118">
      <w:pPr>
        <w:pStyle w:val="Corpodetexto"/>
        <w:spacing w:before="137" w:line="312" w:lineRule="auto"/>
        <w:ind w:left="135" w:right="228"/>
      </w:pPr>
      <w:r>
        <w:t>Também em 2003, a Canico do Brasil Mineração Ltda. requisitou à superintendência do Incra em Marabá (PA) que desafetasse [tornasse apropriável] uma área de 7.405</w:t>
      </w:r>
    </w:p>
    <w:p w:rsidR="00D81F69" w:rsidRDefault="00D81F69">
      <w:pPr>
        <w:spacing w:line="312" w:lineRule="auto"/>
        <w:sectPr w:rsidR="00D81F69">
          <w:type w:val="continuous"/>
          <w:pgSz w:w="11900" w:h="16840"/>
          <w:pgMar w:top="720" w:right="460" w:bottom="280" w:left="620" w:header="720" w:footer="720" w:gutter="0"/>
          <w:cols w:num="3" w:space="720" w:equalWidth="0">
            <w:col w:w="1701" w:space="299"/>
            <w:col w:w="3113" w:space="322"/>
            <w:col w:w="5385"/>
          </w:cols>
        </w:sectPr>
      </w:pPr>
    </w:p>
    <w:p w:rsidR="00D81F69" w:rsidRDefault="00330118">
      <w:pPr>
        <w:pStyle w:val="Heading4"/>
        <w:spacing w:before="86"/>
        <w:jc w:val="left"/>
      </w:pPr>
      <w:r>
        <w:lastRenderedPageBreak/>
        <w:t>APRESENTAÇÃO DE CASO</w:t>
      </w:r>
    </w:p>
    <w:p w:rsidR="00D81F69" w:rsidRDefault="00330118">
      <w:pPr>
        <w:pStyle w:val="Corpodetexto"/>
        <w:spacing w:before="171" w:line="312" w:lineRule="auto"/>
        <w:ind w:right="82"/>
      </w:pPr>
      <w:r>
        <w:t>O município de Ourilândia do Nor</w:t>
      </w:r>
      <w:r>
        <w:t>te, no sudeste do Pará, já passou por vários ciclos econômicos, a começar pela exploração de garimpos de ouro e da exploração madeireira. Com o fracasso das duas atividades, sua população passou a desenvolver a agropecuária baseada no gado leiteiro e o cul</w:t>
      </w:r>
      <w:r>
        <w:t>tivo de culturas alimentares, além de cacau (CRUZ, 2008).</w:t>
      </w:r>
    </w:p>
    <w:p w:rsidR="00D81F69" w:rsidRDefault="00330118">
      <w:pPr>
        <w:pStyle w:val="Corpodetexto"/>
        <w:spacing w:before="135" w:line="312" w:lineRule="auto"/>
        <w:ind w:right="68"/>
      </w:pPr>
      <w:r>
        <w:rPr>
          <w:spacing w:val="6"/>
        </w:rPr>
        <w:t xml:space="preserve">Em </w:t>
      </w:r>
      <w:r>
        <w:rPr>
          <w:spacing w:val="11"/>
        </w:rPr>
        <w:t xml:space="preserve">2002, </w:t>
      </w:r>
      <w:r>
        <w:t xml:space="preserve">a </w:t>
      </w:r>
      <w:r>
        <w:rPr>
          <w:spacing w:val="11"/>
        </w:rPr>
        <w:t xml:space="preserve">empresa </w:t>
      </w:r>
      <w:r>
        <w:rPr>
          <w:spacing w:val="12"/>
        </w:rPr>
        <w:t xml:space="preserve">Mineração </w:t>
      </w:r>
      <w:r>
        <w:rPr>
          <w:spacing w:val="10"/>
        </w:rPr>
        <w:t xml:space="preserve">Onça Puma </w:t>
      </w:r>
      <w:r>
        <w:rPr>
          <w:spacing w:val="15"/>
        </w:rPr>
        <w:t xml:space="preserve">Ltda., </w:t>
      </w:r>
      <w:r>
        <w:rPr>
          <w:spacing w:val="3"/>
        </w:rPr>
        <w:t xml:space="preserve">pertencente </w:t>
      </w:r>
      <w:r>
        <w:rPr>
          <w:spacing w:val="1"/>
        </w:rPr>
        <w:t xml:space="preserve">ao </w:t>
      </w:r>
      <w:r>
        <w:rPr>
          <w:spacing w:val="3"/>
        </w:rPr>
        <w:t xml:space="preserve">grupo canadense Canico Resource </w:t>
      </w:r>
      <w:r>
        <w:rPr>
          <w:spacing w:val="5"/>
        </w:rPr>
        <w:t xml:space="preserve">Corp., </w:t>
      </w:r>
      <w:r>
        <w:rPr>
          <w:spacing w:val="3"/>
        </w:rPr>
        <w:t xml:space="preserve">começou </w:t>
      </w:r>
      <w:r>
        <w:t xml:space="preserve">a </w:t>
      </w:r>
      <w:r>
        <w:rPr>
          <w:spacing w:val="3"/>
        </w:rPr>
        <w:t xml:space="preserve">desenvolver pesquisas minerárias </w:t>
      </w:r>
      <w:r>
        <w:rPr>
          <w:spacing w:val="2"/>
        </w:rPr>
        <w:t xml:space="preserve">nas </w:t>
      </w:r>
      <w:r>
        <w:rPr>
          <w:spacing w:val="5"/>
        </w:rPr>
        <w:t xml:space="preserve">serras </w:t>
      </w:r>
      <w:r>
        <w:rPr>
          <w:spacing w:val="1"/>
        </w:rPr>
        <w:t xml:space="preserve">Onça </w:t>
      </w:r>
      <w:r>
        <w:t xml:space="preserve">e </w:t>
      </w:r>
      <w:r>
        <w:rPr>
          <w:spacing w:val="1"/>
        </w:rPr>
        <w:t xml:space="preserve">Puma, localizadas </w:t>
      </w:r>
      <w:r>
        <w:t xml:space="preserve">nos </w:t>
      </w:r>
      <w:r>
        <w:rPr>
          <w:spacing w:val="1"/>
        </w:rPr>
        <w:t xml:space="preserve">municípios </w:t>
      </w:r>
      <w:r>
        <w:t>de S</w:t>
      </w:r>
      <w:r>
        <w:t xml:space="preserve">ão </w:t>
      </w:r>
      <w:r>
        <w:rPr>
          <w:spacing w:val="1"/>
        </w:rPr>
        <w:t xml:space="preserve">Félix </w:t>
      </w:r>
      <w:r>
        <w:rPr>
          <w:spacing w:val="2"/>
        </w:rPr>
        <w:t xml:space="preserve">do </w:t>
      </w:r>
      <w:r>
        <w:t xml:space="preserve">Xingu, Parauapebas e Ourilândia, e a região passou a sofrer vários impactos sociais e ambientais (CRUZ, 2008). Em 2005, </w:t>
      </w:r>
      <w:hyperlink r:id="rId377">
        <w:r>
          <w:t>a Vale adquiriu da Canico o direi</w:t>
        </w:r>
        <w:r>
          <w:t xml:space="preserve">to da exploração de níquel </w:t>
        </w:r>
      </w:hyperlink>
      <w:r>
        <w:t xml:space="preserve">no município (ALMEIDA, 2010). Seu objetivo era aproveitar os depósitos de níquel laterítico, um tipo de minério encontrado </w:t>
      </w:r>
      <w:r>
        <w:rPr>
          <w:spacing w:val="3"/>
        </w:rPr>
        <w:t xml:space="preserve">mais </w:t>
      </w:r>
      <w:r>
        <w:rPr>
          <w:spacing w:val="5"/>
        </w:rPr>
        <w:t xml:space="preserve">próximo </w:t>
      </w:r>
      <w:r>
        <w:t xml:space="preserve">à </w:t>
      </w:r>
      <w:r>
        <w:rPr>
          <w:spacing w:val="5"/>
        </w:rPr>
        <w:t xml:space="preserve">superfície </w:t>
      </w:r>
      <w:r>
        <w:rPr>
          <w:spacing w:val="2"/>
        </w:rPr>
        <w:t xml:space="preserve">em </w:t>
      </w:r>
      <w:r>
        <w:rPr>
          <w:spacing w:val="5"/>
        </w:rPr>
        <w:t xml:space="preserve">regiões quentes </w:t>
      </w:r>
      <w:r>
        <w:t xml:space="preserve">e </w:t>
      </w:r>
      <w:r>
        <w:rPr>
          <w:spacing w:val="5"/>
        </w:rPr>
        <w:t>úmidas</w:t>
      </w:r>
      <w:r>
        <w:rPr>
          <w:spacing w:val="61"/>
        </w:rPr>
        <w:t xml:space="preserve"> </w:t>
      </w:r>
      <w:r>
        <w:rPr>
          <w:spacing w:val="5"/>
        </w:rPr>
        <w:t>(FATOR BRASIL, 2011).</w:t>
      </w:r>
    </w:p>
    <w:p w:rsidR="00D81F69" w:rsidRDefault="00330118">
      <w:pPr>
        <w:pStyle w:val="Corpodetexto"/>
        <w:spacing w:before="140" w:line="312" w:lineRule="auto"/>
        <w:ind w:right="65"/>
        <w:jc w:val="left"/>
      </w:pPr>
      <w:r>
        <w:rPr>
          <w:spacing w:val="5"/>
        </w:rPr>
        <w:t xml:space="preserve">Ourilândia </w:t>
      </w:r>
      <w:r>
        <w:rPr>
          <w:spacing w:val="2"/>
        </w:rPr>
        <w:t xml:space="preserve">do </w:t>
      </w:r>
      <w:r>
        <w:rPr>
          <w:spacing w:val="3"/>
        </w:rPr>
        <w:t xml:space="preserve">Norte </w:t>
      </w:r>
      <w:r>
        <w:t xml:space="preserve">é </w:t>
      </w:r>
      <w:r>
        <w:rPr>
          <w:spacing w:val="2"/>
        </w:rPr>
        <w:t xml:space="preserve">um </w:t>
      </w:r>
      <w:r>
        <w:rPr>
          <w:spacing w:val="5"/>
        </w:rPr>
        <w:t>munic</w:t>
      </w:r>
      <w:r>
        <w:rPr>
          <w:spacing w:val="5"/>
        </w:rPr>
        <w:t xml:space="preserve">ípio atípico: </w:t>
      </w:r>
      <w:r>
        <w:rPr>
          <w:spacing w:val="3"/>
        </w:rPr>
        <w:t xml:space="preserve">com </w:t>
      </w:r>
      <w:r>
        <w:rPr>
          <w:spacing w:val="5"/>
        </w:rPr>
        <w:t>27.359</w:t>
      </w:r>
      <w:r>
        <w:rPr>
          <w:spacing w:val="61"/>
        </w:rPr>
        <w:t xml:space="preserve"> </w:t>
      </w:r>
      <w:r>
        <w:rPr>
          <w:spacing w:val="3"/>
        </w:rPr>
        <w:t xml:space="preserve">habitantes </w:t>
      </w:r>
      <w:r>
        <w:t xml:space="preserve">e </w:t>
      </w:r>
      <w:r>
        <w:rPr>
          <w:spacing w:val="3"/>
        </w:rPr>
        <w:t xml:space="preserve">14.339 </w:t>
      </w:r>
      <w:r>
        <w:rPr>
          <w:spacing w:val="2"/>
        </w:rPr>
        <w:t xml:space="preserve">km² </w:t>
      </w:r>
      <w:r>
        <w:rPr>
          <w:spacing w:val="3"/>
        </w:rPr>
        <w:t xml:space="preserve">(IBGE, 2010), </w:t>
      </w:r>
      <w:r>
        <w:rPr>
          <w:spacing w:val="2"/>
        </w:rPr>
        <w:t xml:space="preserve">seu </w:t>
      </w:r>
      <w:r>
        <w:rPr>
          <w:spacing w:val="3"/>
        </w:rPr>
        <w:t xml:space="preserve">território </w:t>
      </w:r>
      <w:r>
        <w:rPr>
          <w:spacing w:val="5"/>
        </w:rPr>
        <w:t xml:space="preserve">está </w:t>
      </w:r>
      <w:r>
        <w:rPr>
          <w:spacing w:val="3"/>
        </w:rPr>
        <w:t xml:space="preserve">totalmente inserido </w:t>
      </w:r>
      <w:r>
        <w:rPr>
          <w:spacing w:val="1"/>
        </w:rPr>
        <w:t xml:space="preserve">na </w:t>
      </w:r>
      <w:r>
        <w:rPr>
          <w:spacing w:val="3"/>
        </w:rPr>
        <w:t xml:space="preserve">Reserva Indígena Kaiapó, </w:t>
      </w:r>
      <w:r>
        <w:rPr>
          <w:spacing w:val="1"/>
        </w:rPr>
        <w:t xml:space="preserve">da </w:t>
      </w:r>
      <w:r>
        <w:rPr>
          <w:spacing w:val="5"/>
        </w:rPr>
        <w:t xml:space="preserve">qual </w:t>
      </w:r>
      <w:r>
        <w:t xml:space="preserve">ocupa no máximo 15% (Braz, 2007 apud FELIX, 2008). Na década de 1990, o município contava com uma taxa negativa </w:t>
      </w:r>
      <w:r>
        <w:rPr>
          <w:spacing w:val="2"/>
        </w:rPr>
        <w:t xml:space="preserve">de </w:t>
      </w:r>
      <w:r>
        <w:rPr>
          <w:spacing w:val="5"/>
        </w:rPr>
        <w:t xml:space="preserve">crescimento </w:t>
      </w:r>
      <w:r>
        <w:rPr>
          <w:spacing w:val="2"/>
        </w:rPr>
        <w:t xml:space="preserve">de </w:t>
      </w:r>
      <w:r>
        <w:rPr>
          <w:spacing w:val="3"/>
        </w:rPr>
        <w:t xml:space="preserve">4%. </w:t>
      </w:r>
      <w:r>
        <w:rPr>
          <w:spacing w:val="2"/>
        </w:rPr>
        <w:t xml:space="preserve">Em </w:t>
      </w:r>
      <w:r>
        <w:rPr>
          <w:spacing w:val="3"/>
        </w:rPr>
        <w:t xml:space="preserve">2000, sua </w:t>
      </w:r>
      <w:r>
        <w:rPr>
          <w:spacing w:val="5"/>
        </w:rPr>
        <w:t xml:space="preserve">população </w:t>
      </w:r>
      <w:r>
        <w:rPr>
          <w:spacing w:val="3"/>
        </w:rPr>
        <w:t xml:space="preserve">era </w:t>
      </w:r>
      <w:r>
        <w:rPr>
          <w:spacing w:val="5"/>
        </w:rPr>
        <w:t>de</w:t>
      </w:r>
      <w:r>
        <w:rPr>
          <w:spacing w:val="61"/>
        </w:rPr>
        <w:t xml:space="preserve"> </w:t>
      </w:r>
      <w:r>
        <w:t xml:space="preserve">19.763 habitantes, sendo que, de 2003 a 2008, o número de </w:t>
      </w:r>
      <w:r>
        <w:rPr>
          <w:spacing w:val="5"/>
        </w:rPr>
        <w:t xml:space="preserve">habitantes quase dobrou chegando </w:t>
      </w:r>
      <w:r>
        <w:t xml:space="preserve">a </w:t>
      </w:r>
      <w:r>
        <w:rPr>
          <w:spacing w:val="2"/>
        </w:rPr>
        <w:t xml:space="preserve">35 </w:t>
      </w:r>
      <w:r>
        <w:rPr>
          <w:spacing w:val="3"/>
        </w:rPr>
        <w:t xml:space="preserve">mil </w:t>
      </w:r>
      <w:r>
        <w:rPr>
          <w:spacing w:val="6"/>
        </w:rPr>
        <w:t xml:space="preserve">habitantes </w:t>
      </w:r>
      <w:r>
        <w:t xml:space="preserve">(CRUZ, 2008). A maioria vinda em busca de oportunidades no </w:t>
      </w:r>
      <w:r>
        <w:rPr>
          <w:spacing w:val="8"/>
        </w:rPr>
        <w:t xml:space="preserve">projeto </w:t>
      </w:r>
      <w:r>
        <w:rPr>
          <w:spacing w:val="5"/>
        </w:rPr>
        <w:t xml:space="preserve">de </w:t>
      </w:r>
      <w:r>
        <w:rPr>
          <w:spacing w:val="8"/>
        </w:rPr>
        <w:t xml:space="preserve">extração </w:t>
      </w:r>
      <w:r>
        <w:rPr>
          <w:spacing w:val="5"/>
        </w:rPr>
        <w:t xml:space="preserve">de </w:t>
      </w:r>
      <w:r>
        <w:rPr>
          <w:spacing w:val="8"/>
        </w:rPr>
        <w:t xml:space="preserve">níquel </w:t>
      </w:r>
      <w:r>
        <w:rPr>
          <w:spacing w:val="5"/>
        </w:rPr>
        <w:t xml:space="preserve">da </w:t>
      </w:r>
      <w:r>
        <w:rPr>
          <w:spacing w:val="7"/>
        </w:rPr>
        <w:t>Vale</w:t>
      </w:r>
      <w:r>
        <w:rPr>
          <w:spacing w:val="7"/>
        </w:rPr>
        <w:t xml:space="preserve">, </w:t>
      </w:r>
      <w:r>
        <w:rPr>
          <w:spacing w:val="6"/>
        </w:rPr>
        <w:t xml:space="preserve">nas </w:t>
      </w:r>
      <w:r>
        <w:rPr>
          <w:spacing w:val="10"/>
        </w:rPr>
        <w:t xml:space="preserve">reservas </w:t>
      </w:r>
      <w:r>
        <w:rPr>
          <w:spacing w:val="5"/>
        </w:rPr>
        <w:t xml:space="preserve">chamadas Onça Puma (Braz, 2007 apud FELIX, </w:t>
      </w:r>
      <w:r>
        <w:rPr>
          <w:spacing w:val="6"/>
        </w:rPr>
        <w:t>2008).</w:t>
      </w:r>
    </w:p>
    <w:p w:rsidR="00D81F69" w:rsidRDefault="00330118">
      <w:pPr>
        <w:pStyle w:val="Corpodetexto"/>
        <w:spacing w:before="141" w:line="312" w:lineRule="auto"/>
        <w:ind w:right="81"/>
      </w:pPr>
      <w:r>
        <w:t>A entrada dos investimentos mineradores de porte e de tecnologias com padrão internacional na região, que vivia em uma economia local tradicional, impôs à população “velocidades temporais” (T</w:t>
      </w:r>
      <w:r>
        <w:t>RINDADE, 2001 apud OLIVEIRA, 2008), que provocaram transformações nas relações sociais, na mobilidade espacial, e geraram impactos ambientais (OLIVEIRA, 2008).</w:t>
      </w:r>
    </w:p>
    <w:p w:rsidR="00D81F69" w:rsidRDefault="00330118">
      <w:pPr>
        <w:pStyle w:val="Corpodetexto"/>
        <w:spacing w:before="3" w:line="312" w:lineRule="auto"/>
        <w:ind w:right="257"/>
      </w:pPr>
      <w:r>
        <w:br w:type="column"/>
      </w:r>
      <w:r>
        <w:lastRenderedPageBreak/>
        <w:t>hectares pertencentes aos Projetos de Assentamento Tucumã e Campos Altos (CRUZ, 2008).</w:t>
      </w:r>
    </w:p>
    <w:p w:rsidR="00D81F69" w:rsidRDefault="00330118">
      <w:pPr>
        <w:pStyle w:val="Corpodetexto"/>
        <w:spacing w:before="132" w:line="312" w:lineRule="auto"/>
        <w:ind w:right="232"/>
      </w:pPr>
      <w:r>
        <w:t xml:space="preserve">Para realizar a desafetação, o Incra teria de considerar a área </w:t>
      </w:r>
      <w:r>
        <w:rPr>
          <w:spacing w:val="2"/>
        </w:rPr>
        <w:t xml:space="preserve">dos </w:t>
      </w:r>
      <w:r>
        <w:rPr>
          <w:spacing w:val="3"/>
        </w:rPr>
        <w:t xml:space="preserve">projetos </w:t>
      </w:r>
      <w:r>
        <w:rPr>
          <w:spacing w:val="1"/>
        </w:rPr>
        <w:t xml:space="preserve">de </w:t>
      </w:r>
      <w:r>
        <w:rPr>
          <w:spacing w:val="3"/>
        </w:rPr>
        <w:t xml:space="preserve">assentamentos imprópria </w:t>
      </w:r>
      <w:r>
        <w:rPr>
          <w:spacing w:val="2"/>
        </w:rPr>
        <w:t xml:space="preserve">para </w:t>
      </w:r>
      <w:r>
        <w:rPr>
          <w:spacing w:val="5"/>
        </w:rPr>
        <w:t xml:space="preserve">agricultura, retirar </w:t>
      </w:r>
      <w:r>
        <w:rPr>
          <w:spacing w:val="2"/>
        </w:rPr>
        <w:t xml:space="preserve">os </w:t>
      </w:r>
      <w:r>
        <w:rPr>
          <w:spacing w:val="5"/>
        </w:rPr>
        <w:t xml:space="preserve">assentados </w:t>
      </w:r>
      <w:r>
        <w:rPr>
          <w:spacing w:val="2"/>
        </w:rPr>
        <w:t xml:space="preserve">do </w:t>
      </w:r>
      <w:r>
        <w:rPr>
          <w:spacing w:val="3"/>
        </w:rPr>
        <w:t xml:space="preserve">local </w:t>
      </w:r>
      <w:r>
        <w:t xml:space="preserve">e </w:t>
      </w:r>
      <w:r>
        <w:rPr>
          <w:spacing w:val="5"/>
        </w:rPr>
        <w:t xml:space="preserve">repassar </w:t>
      </w:r>
      <w:r>
        <w:t xml:space="preserve">a </w:t>
      </w:r>
      <w:r>
        <w:rPr>
          <w:spacing w:val="3"/>
        </w:rPr>
        <w:t xml:space="preserve">área para </w:t>
      </w:r>
      <w:r>
        <w:t xml:space="preserve">a empresa de mineração. No entanto, mesmo sem que o Incra concluísse o processo </w:t>
      </w:r>
      <w:r>
        <w:t xml:space="preserve">e tomasse a decisão de desafetação </w:t>
      </w:r>
      <w:r>
        <w:rPr>
          <w:spacing w:val="3"/>
        </w:rPr>
        <w:t xml:space="preserve">da </w:t>
      </w:r>
      <w:r>
        <w:rPr>
          <w:spacing w:val="5"/>
        </w:rPr>
        <w:t xml:space="preserve">área, </w:t>
      </w:r>
      <w:r>
        <w:t xml:space="preserve">a </w:t>
      </w:r>
      <w:r>
        <w:rPr>
          <w:spacing w:val="5"/>
        </w:rPr>
        <w:t xml:space="preserve">Canico </w:t>
      </w:r>
      <w:r>
        <w:rPr>
          <w:spacing w:val="3"/>
        </w:rPr>
        <w:t xml:space="preserve">do </w:t>
      </w:r>
      <w:r>
        <w:rPr>
          <w:spacing w:val="5"/>
        </w:rPr>
        <w:t xml:space="preserve">Brasil </w:t>
      </w:r>
      <w:r>
        <w:rPr>
          <w:spacing w:val="6"/>
        </w:rPr>
        <w:t xml:space="preserve">Mineração </w:t>
      </w:r>
      <w:r>
        <w:rPr>
          <w:spacing w:val="5"/>
        </w:rPr>
        <w:t xml:space="preserve">Ltda. passou </w:t>
      </w:r>
      <w:r>
        <w:t xml:space="preserve">a comprar lotes de assentados no local; prática seguida pela </w:t>
      </w:r>
      <w:r>
        <w:rPr>
          <w:spacing w:val="2"/>
        </w:rPr>
        <w:t xml:space="preserve">Vale </w:t>
      </w:r>
      <w:r>
        <w:rPr>
          <w:spacing w:val="3"/>
        </w:rPr>
        <w:t xml:space="preserve">depois </w:t>
      </w:r>
      <w:r>
        <w:rPr>
          <w:spacing w:val="1"/>
        </w:rPr>
        <w:t xml:space="preserve">de </w:t>
      </w:r>
      <w:r>
        <w:rPr>
          <w:spacing w:val="3"/>
        </w:rPr>
        <w:t xml:space="preserve">assumir </w:t>
      </w:r>
      <w:r>
        <w:t xml:space="preserve">o </w:t>
      </w:r>
      <w:r>
        <w:rPr>
          <w:spacing w:val="3"/>
        </w:rPr>
        <w:t xml:space="preserve">projeto </w:t>
      </w:r>
      <w:r>
        <w:rPr>
          <w:spacing w:val="1"/>
        </w:rPr>
        <w:t xml:space="preserve">de </w:t>
      </w:r>
      <w:r>
        <w:rPr>
          <w:spacing w:val="3"/>
        </w:rPr>
        <w:t xml:space="preserve">mineração, </w:t>
      </w:r>
      <w:r>
        <w:rPr>
          <w:spacing w:val="1"/>
        </w:rPr>
        <w:t xml:space="preserve">em </w:t>
      </w:r>
      <w:r>
        <w:rPr>
          <w:spacing w:val="5"/>
        </w:rPr>
        <w:t xml:space="preserve">2007 </w:t>
      </w:r>
      <w:r>
        <w:rPr>
          <w:spacing w:val="3"/>
        </w:rPr>
        <w:t>(CRUZ,</w:t>
      </w:r>
      <w:r>
        <w:rPr>
          <w:spacing w:val="25"/>
        </w:rPr>
        <w:t xml:space="preserve"> </w:t>
      </w:r>
      <w:r>
        <w:rPr>
          <w:spacing w:val="5"/>
        </w:rPr>
        <w:t>2008).</w:t>
      </w:r>
    </w:p>
    <w:p w:rsidR="00D81F69" w:rsidRDefault="00330118">
      <w:pPr>
        <w:pStyle w:val="Corpodetexto"/>
        <w:spacing w:before="138" w:line="312" w:lineRule="auto"/>
        <w:ind w:right="229"/>
      </w:pPr>
      <w:r>
        <w:rPr>
          <w:spacing w:val="3"/>
        </w:rPr>
        <w:t xml:space="preserve">Cerca </w:t>
      </w:r>
      <w:r>
        <w:rPr>
          <w:spacing w:val="2"/>
        </w:rPr>
        <w:t xml:space="preserve">de 70 </w:t>
      </w:r>
      <w:r>
        <w:rPr>
          <w:spacing w:val="3"/>
        </w:rPr>
        <w:t xml:space="preserve">lotes foram </w:t>
      </w:r>
      <w:r>
        <w:rPr>
          <w:spacing w:val="5"/>
        </w:rPr>
        <w:t xml:space="preserve">comprados, </w:t>
      </w:r>
      <w:r>
        <w:rPr>
          <w:spacing w:val="2"/>
        </w:rPr>
        <w:t xml:space="preserve">na </w:t>
      </w:r>
      <w:r>
        <w:rPr>
          <w:spacing w:val="5"/>
        </w:rPr>
        <w:t>grande maioria,</w:t>
      </w:r>
      <w:r>
        <w:rPr>
          <w:spacing w:val="61"/>
        </w:rPr>
        <w:t xml:space="preserve"> </w:t>
      </w:r>
      <w:r>
        <w:rPr>
          <w:spacing w:val="5"/>
        </w:rPr>
        <w:t xml:space="preserve">através </w:t>
      </w:r>
      <w:r>
        <w:rPr>
          <w:spacing w:val="2"/>
        </w:rPr>
        <w:t xml:space="preserve">de </w:t>
      </w:r>
      <w:r>
        <w:rPr>
          <w:spacing w:val="5"/>
        </w:rPr>
        <w:t xml:space="preserve">contratos </w:t>
      </w:r>
      <w:r>
        <w:rPr>
          <w:spacing w:val="2"/>
        </w:rPr>
        <w:t xml:space="preserve">de </w:t>
      </w:r>
      <w:r>
        <w:rPr>
          <w:spacing w:val="5"/>
        </w:rPr>
        <w:t xml:space="preserve">compra </w:t>
      </w:r>
      <w:r>
        <w:t xml:space="preserve">e </w:t>
      </w:r>
      <w:r>
        <w:rPr>
          <w:spacing w:val="3"/>
        </w:rPr>
        <w:t xml:space="preserve">venda </w:t>
      </w:r>
      <w:r>
        <w:rPr>
          <w:spacing w:val="5"/>
        </w:rPr>
        <w:t>registrados em</w:t>
      </w:r>
      <w:r>
        <w:rPr>
          <w:spacing w:val="61"/>
        </w:rPr>
        <w:t xml:space="preserve"> </w:t>
      </w:r>
      <w:r>
        <w:rPr>
          <w:spacing w:val="3"/>
        </w:rPr>
        <w:t xml:space="preserve">cartório. </w:t>
      </w:r>
      <w:r>
        <w:rPr>
          <w:spacing w:val="2"/>
        </w:rPr>
        <w:t xml:space="preserve">Com </w:t>
      </w:r>
      <w:r>
        <w:rPr>
          <w:spacing w:val="3"/>
        </w:rPr>
        <w:t xml:space="preserve">isso, muitas famílias deixaram </w:t>
      </w:r>
      <w:r>
        <w:t xml:space="preserve">a </w:t>
      </w:r>
      <w:r>
        <w:rPr>
          <w:spacing w:val="2"/>
        </w:rPr>
        <w:t xml:space="preserve">área </w:t>
      </w:r>
      <w:r>
        <w:t xml:space="preserve">e </w:t>
      </w:r>
      <w:r>
        <w:rPr>
          <w:spacing w:val="5"/>
        </w:rPr>
        <w:t xml:space="preserve">se </w:t>
      </w:r>
      <w:r>
        <w:t>deslocaram para as cidades do entorno. As casas, os plantios e outras benfeitorias construídas pelo Incra e pelos próprios assent</w:t>
      </w:r>
      <w:r>
        <w:t>ados foram destruídas, inclusive cerca de 20 mil pés de cacau, financiados pelo Banco da Amazônia (Basa), com fins de reflorestamento (CRUZ, 2008).</w:t>
      </w:r>
    </w:p>
    <w:p w:rsidR="00D81F69" w:rsidRDefault="00330118">
      <w:pPr>
        <w:pStyle w:val="Corpodetexto"/>
        <w:spacing w:before="137" w:line="312" w:lineRule="auto"/>
        <w:ind w:right="229"/>
      </w:pPr>
      <w:r>
        <w:t xml:space="preserve">Só no Projeto de Assentamento Campos Altos, o Incra havia </w:t>
      </w:r>
      <w:r>
        <w:rPr>
          <w:spacing w:val="6"/>
        </w:rPr>
        <w:t xml:space="preserve">investido </w:t>
      </w:r>
      <w:r>
        <w:rPr>
          <w:spacing w:val="5"/>
        </w:rPr>
        <w:t xml:space="preserve">mais </w:t>
      </w:r>
      <w:r>
        <w:rPr>
          <w:spacing w:val="3"/>
        </w:rPr>
        <w:t xml:space="preserve">de R$ </w:t>
      </w:r>
      <w:r>
        <w:t xml:space="preserve">4 </w:t>
      </w:r>
      <w:r>
        <w:rPr>
          <w:spacing w:val="5"/>
        </w:rPr>
        <w:t xml:space="preserve">milhões </w:t>
      </w:r>
      <w:r>
        <w:rPr>
          <w:spacing w:val="3"/>
        </w:rPr>
        <w:t xml:space="preserve">em </w:t>
      </w:r>
      <w:r>
        <w:rPr>
          <w:spacing w:val="6"/>
        </w:rPr>
        <w:t xml:space="preserve">estrada, </w:t>
      </w:r>
      <w:r>
        <w:rPr>
          <w:spacing w:val="5"/>
        </w:rPr>
        <w:t xml:space="preserve">rede </w:t>
      </w:r>
      <w:r>
        <w:rPr>
          <w:spacing w:val="7"/>
        </w:rPr>
        <w:t>pa</w:t>
      </w:r>
      <w:r>
        <w:rPr>
          <w:spacing w:val="7"/>
        </w:rPr>
        <w:t xml:space="preserve">ra </w:t>
      </w:r>
      <w:r>
        <w:rPr>
          <w:spacing w:val="3"/>
        </w:rPr>
        <w:t xml:space="preserve">fornecimento </w:t>
      </w:r>
      <w:r>
        <w:rPr>
          <w:spacing w:val="1"/>
        </w:rPr>
        <w:t xml:space="preserve">de </w:t>
      </w:r>
      <w:r>
        <w:rPr>
          <w:spacing w:val="3"/>
        </w:rPr>
        <w:t xml:space="preserve">energia elétrica, construção </w:t>
      </w:r>
      <w:r>
        <w:rPr>
          <w:spacing w:val="1"/>
        </w:rPr>
        <w:t xml:space="preserve">de </w:t>
      </w:r>
      <w:r>
        <w:rPr>
          <w:spacing w:val="3"/>
        </w:rPr>
        <w:t xml:space="preserve">escolas </w:t>
      </w:r>
      <w:r>
        <w:t xml:space="preserve">e postos de saúde. Além disso, a partir de um convênio entre o </w:t>
      </w:r>
      <w:r>
        <w:rPr>
          <w:spacing w:val="5"/>
        </w:rPr>
        <w:t xml:space="preserve">instituto </w:t>
      </w:r>
      <w:r>
        <w:t xml:space="preserve">e o </w:t>
      </w:r>
      <w:r>
        <w:rPr>
          <w:spacing w:val="5"/>
        </w:rPr>
        <w:t xml:space="preserve">Conselho </w:t>
      </w:r>
      <w:r>
        <w:rPr>
          <w:spacing w:val="2"/>
        </w:rPr>
        <w:t xml:space="preserve">de </w:t>
      </w:r>
      <w:r>
        <w:rPr>
          <w:spacing w:val="5"/>
        </w:rPr>
        <w:t xml:space="preserve">Desenvolvimento Científico </w:t>
      </w:r>
      <w:r>
        <w:t xml:space="preserve">e Tecnológico (CNPq), também havia sido criado o Programa </w:t>
      </w:r>
      <w:r>
        <w:rPr>
          <w:spacing w:val="6"/>
        </w:rPr>
        <w:t xml:space="preserve">de </w:t>
      </w:r>
      <w:r>
        <w:rPr>
          <w:spacing w:val="11"/>
        </w:rPr>
        <w:t xml:space="preserve">Apoio </w:t>
      </w:r>
      <w:r>
        <w:rPr>
          <w:spacing w:val="12"/>
        </w:rPr>
        <w:t xml:space="preserve">Científico </w:t>
      </w:r>
      <w:r>
        <w:t xml:space="preserve">e </w:t>
      </w:r>
      <w:r>
        <w:rPr>
          <w:spacing w:val="12"/>
        </w:rPr>
        <w:t>T</w:t>
      </w:r>
      <w:r>
        <w:rPr>
          <w:spacing w:val="12"/>
        </w:rPr>
        <w:t xml:space="preserve">ecnológico </w:t>
      </w:r>
      <w:r>
        <w:rPr>
          <w:spacing w:val="10"/>
        </w:rPr>
        <w:t xml:space="preserve">aos </w:t>
      </w:r>
      <w:r>
        <w:rPr>
          <w:spacing w:val="12"/>
        </w:rPr>
        <w:t xml:space="preserve">Projetos </w:t>
      </w:r>
      <w:r>
        <w:rPr>
          <w:spacing w:val="15"/>
        </w:rPr>
        <w:t xml:space="preserve">de </w:t>
      </w:r>
      <w:r>
        <w:t xml:space="preserve">Assentamento, possibilitando às famílias dos trabalhadores </w:t>
      </w:r>
      <w:r>
        <w:rPr>
          <w:spacing w:val="5"/>
        </w:rPr>
        <w:t xml:space="preserve">rurais implantarem </w:t>
      </w:r>
      <w:r>
        <w:rPr>
          <w:spacing w:val="3"/>
        </w:rPr>
        <w:t xml:space="preserve">uma </w:t>
      </w:r>
      <w:r>
        <w:rPr>
          <w:spacing w:val="5"/>
        </w:rPr>
        <w:t xml:space="preserve">bacia leiteira, cultivarem </w:t>
      </w:r>
      <w:r>
        <w:rPr>
          <w:spacing w:val="6"/>
        </w:rPr>
        <w:t xml:space="preserve">grãos, </w:t>
      </w:r>
      <w:r>
        <w:rPr>
          <w:spacing w:val="12"/>
        </w:rPr>
        <w:t xml:space="preserve">hortaliças, </w:t>
      </w:r>
      <w:r>
        <w:rPr>
          <w:spacing w:val="11"/>
        </w:rPr>
        <w:t xml:space="preserve">banana </w:t>
      </w:r>
      <w:r>
        <w:t xml:space="preserve">e </w:t>
      </w:r>
      <w:r>
        <w:rPr>
          <w:spacing w:val="11"/>
        </w:rPr>
        <w:t xml:space="preserve">cacau. Apenas </w:t>
      </w:r>
      <w:r>
        <w:rPr>
          <w:spacing w:val="6"/>
        </w:rPr>
        <w:t xml:space="preserve">no </w:t>
      </w:r>
      <w:r>
        <w:rPr>
          <w:spacing w:val="11"/>
        </w:rPr>
        <w:t xml:space="preserve">Projeto </w:t>
      </w:r>
      <w:r>
        <w:rPr>
          <w:spacing w:val="15"/>
        </w:rPr>
        <w:t xml:space="preserve">de </w:t>
      </w:r>
      <w:r>
        <w:t>Assentamento Campos Altos havia cerca de 140 mil pés de cacau</w:t>
      </w:r>
      <w:r>
        <w:rPr>
          <w:spacing w:val="17"/>
        </w:rPr>
        <w:t xml:space="preserve"> </w:t>
      </w:r>
      <w:r>
        <w:t>pl</w:t>
      </w:r>
      <w:r>
        <w:t>antados,</w:t>
      </w:r>
      <w:r>
        <w:rPr>
          <w:spacing w:val="17"/>
        </w:rPr>
        <w:t xml:space="preserve"> </w:t>
      </w:r>
      <w:r>
        <w:t>sendo</w:t>
      </w:r>
      <w:r>
        <w:rPr>
          <w:spacing w:val="17"/>
        </w:rPr>
        <w:t xml:space="preserve"> </w:t>
      </w:r>
      <w:r>
        <w:t>90%</w:t>
      </w:r>
      <w:r>
        <w:rPr>
          <w:spacing w:val="17"/>
        </w:rPr>
        <w:t xml:space="preserve"> </w:t>
      </w:r>
      <w:r>
        <w:t>produtivos</w:t>
      </w:r>
      <w:r>
        <w:rPr>
          <w:spacing w:val="17"/>
        </w:rPr>
        <w:t xml:space="preserve"> </w:t>
      </w:r>
      <w:r>
        <w:t>(CRUZ,</w:t>
      </w:r>
      <w:r>
        <w:rPr>
          <w:spacing w:val="17"/>
        </w:rPr>
        <w:t xml:space="preserve"> </w:t>
      </w:r>
      <w:r>
        <w:t>2008).</w:t>
      </w:r>
    </w:p>
    <w:p w:rsidR="00D81F69" w:rsidRDefault="00330118">
      <w:pPr>
        <w:pStyle w:val="Corpodetexto"/>
        <w:spacing w:before="78" w:line="270" w:lineRule="atLeast"/>
        <w:ind w:right="240"/>
      </w:pPr>
      <w:r>
        <w:t>A compra irregular dos lotes dos assentados gerou a desestabilização da organização social e do sistema produtivo dos assentamentos. Os trabalhadores rurais que continuaram no local passaram a ser afetados pela p</w:t>
      </w:r>
      <w:r>
        <w:t>oluição sonora – barulho de máquinas, de escavações e explosões decorrentes das atividades de mineração – e ambiental</w:t>
      </w:r>
    </w:p>
    <w:p w:rsidR="00D81F69" w:rsidRDefault="00D81F69">
      <w:pPr>
        <w:spacing w:line="270" w:lineRule="atLeast"/>
        <w:sectPr w:rsidR="00D81F69">
          <w:type w:val="continuous"/>
          <w:pgSz w:w="11900" w:h="16840"/>
          <w:pgMar w:top="720" w:right="460" w:bottom="280" w:left="620" w:header="720" w:footer="720" w:gutter="0"/>
          <w:cols w:num="2" w:space="720" w:equalWidth="0">
            <w:col w:w="5198" w:space="272"/>
            <w:col w:w="5350"/>
          </w:cols>
        </w:sectPr>
      </w:pPr>
    </w:p>
    <w:p w:rsidR="00D81F69" w:rsidRDefault="00330118">
      <w:pPr>
        <w:pStyle w:val="Corpodetexto"/>
        <w:spacing w:before="81"/>
      </w:pPr>
      <w:r>
        <w:lastRenderedPageBreak/>
        <w:t>(SUZUKI, 2009).</w:t>
      </w:r>
    </w:p>
    <w:p w:rsidR="00D81F69" w:rsidRDefault="00D81F69">
      <w:pPr>
        <w:pStyle w:val="Corpodetexto"/>
        <w:spacing w:before="9"/>
        <w:ind w:left="0"/>
        <w:jc w:val="left"/>
        <w:rPr>
          <w:sz w:val="16"/>
        </w:rPr>
      </w:pPr>
    </w:p>
    <w:p w:rsidR="00D81F69" w:rsidRDefault="00330118">
      <w:pPr>
        <w:pStyle w:val="Corpodetexto"/>
        <w:spacing w:line="312" w:lineRule="auto"/>
        <w:ind w:right="60"/>
      </w:pPr>
      <w:r>
        <w:t>Com a compra de lotes e a realocação das famílias da área dos assentamentos, também foi desarticulada a cadeia produtiva leiteira, com uma queda de 10 mil litros de leite comercializados diariamente. Escolas foram fechadas por falta de alunos, e outras pas</w:t>
      </w:r>
      <w:r>
        <w:t>saram a funcionar com número reduzido de estudantes. Muitos destes começaram a enfrentar dificuldades para se deslocar devido à falta de transporte e à distância das escolas que ainda funcionavam (CRUZ, 2008).</w:t>
      </w:r>
    </w:p>
    <w:p w:rsidR="00D81F69" w:rsidRDefault="00330118">
      <w:pPr>
        <w:pStyle w:val="Corpodetexto"/>
        <w:spacing w:before="138" w:line="312" w:lineRule="auto"/>
        <w:ind w:right="65"/>
      </w:pPr>
      <w:r>
        <w:t>As populações indígenas Xikrin do Cateté e Kai</w:t>
      </w:r>
      <w:r>
        <w:t>apó também foram atingidas, pois o rio que banhava o território indígena tinha como afluentes alguns cursos d´água que desciam da serra onde o empreendimento foi instalado (CRUZ, 2008).</w:t>
      </w:r>
    </w:p>
    <w:p w:rsidR="00D81F69" w:rsidRDefault="00330118">
      <w:pPr>
        <w:pStyle w:val="Corpodetexto"/>
        <w:spacing w:before="134" w:line="312" w:lineRule="auto"/>
        <w:ind w:right="42"/>
      </w:pPr>
      <w:r>
        <w:t>Quanto às cidades do entorno do empreendimento, em especial Ourilândia</w:t>
      </w:r>
      <w:r>
        <w:t xml:space="preserve"> do Norte, não tiveram como absorver as pessoas que chegavam em busca de emprego, pois a oferta era menor do que a procura (CRUZ, 2008). O inchaço populacional aumentou a violência urbana, o consumo de álcool e drogas e a prostituição no município de Ouril</w:t>
      </w:r>
      <w:r>
        <w:t>ândia (SUZUKI, 2009; LIMA, 2011). Foram registrados também poluição do solo e da água, assoreamento de nascentes, focos de incêndios, desmatamento para construção de arrastões, barragens de contenção de água e aterros sanitários (LIMA, 2011).</w:t>
      </w:r>
    </w:p>
    <w:p w:rsidR="00D81F69" w:rsidRDefault="00330118">
      <w:pPr>
        <w:pStyle w:val="Corpodetexto"/>
        <w:spacing w:before="140" w:line="312" w:lineRule="auto"/>
        <w:ind w:right="41"/>
      </w:pPr>
      <w:r>
        <w:t>Para enfrenta</w:t>
      </w:r>
      <w:r>
        <w:t xml:space="preserve">r a situação, em 2008, a Comissão Pastoral da Terra (CPT), juntamente com os Sindicatos de Trabalhadores </w:t>
      </w:r>
      <w:r>
        <w:rPr>
          <w:spacing w:val="1"/>
        </w:rPr>
        <w:t xml:space="preserve">Rurais </w:t>
      </w:r>
      <w:r>
        <w:t xml:space="preserve">de </w:t>
      </w:r>
      <w:r>
        <w:rPr>
          <w:spacing w:val="1"/>
        </w:rPr>
        <w:t xml:space="preserve">Tucumã </w:t>
      </w:r>
      <w:r>
        <w:t xml:space="preserve">e </w:t>
      </w:r>
      <w:r>
        <w:rPr>
          <w:spacing w:val="1"/>
        </w:rPr>
        <w:t xml:space="preserve">Ourilândia </w:t>
      </w:r>
      <w:r>
        <w:t xml:space="preserve">do </w:t>
      </w:r>
      <w:r>
        <w:rPr>
          <w:spacing w:val="1"/>
        </w:rPr>
        <w:t xml:space="preserve">Norte </w:t>
      </w:r>
      <w:r>
        <w:t xml:space="preserve">e as </w:t>
      </w:r>
      <w:r>
        <w:rPr>
          <w:spacing w:val="2"/>
        </w:rPr>
        <w:t xml:space="preserve">Associações </w:t>
      </w:r>
      <w:r>
        <w:rPr>
          <w:spacing w:val="3"/>
        </w:rPr>
        <w:t xml:space="preserve">dos </w:t>
      </w:r>
      <w:r>
        <w:rPr>
          <w:spacing w:val="5"/>
        </w:rPr>
        <w:t xml:space="preserve">Projetos </w:t>
      </w:r>
      <w:r>
        <w:rPr>
          <w:spacing w:val="2"/>
        </w:rPr>
        <w:t xml:space="preserve">de </w:t>
      </w:r>
      <w:r>
        <w:rPr>
          <w:spacing w:val="5"/>
        </w:rPr>
        <w:t xml:space="preserve">Assentamento Campos </w:t>
      </w:r>
      <w:r>
        <w:rPr>
          <w:spacing w:val="3"/>
        </w:rPr>
        <w:t xml:space="preserve">Altos </w:t>
      </w:r>
      <w:r>
        <w:t xml:space="preserve">e </w:t>
      </w:r>
      <w:r>
        <w:rPr>
          <w:spacing w:val="5"/>
        </w:rPr>
        <w:t>Tucumã,</w:t>
      </w:r>
      <w:r>
        <w:rPr>
          <w:spacing w:val="61"/>
        </w:rPr>
        <w:t xml:space="preserve"> </w:t>
      </w:r>
      <w:r>
        <w:rPr>
          <w:spacing w:val="5"/>
        </w:rPr>
        <w:t xml:space="preserve">ingressou </w:t>
      </w:r>
      <w:r>
        <w:rPr>
          <w:spacing w:val="3"/>
        </w:rPr>
        <w:t xml:space="preserve">com uma </w:t>
      </w:r>
      <w:r>
        <w:rPr>
          <w:spacing w:val="5"/>
        </w:rPr>
        <w:t xml:space="preserve">representação </w:t>
      </w:r>
      <w:r>
        <w:rPr>
          <w:spacing w:val="2"/>
        </w:rPr>
        <w:t xml:space="preserve">no </w:t>
      </w:r>
      <w:r>
        <w:rPr>
          <w:spacing w:val="5"/>
        </w:rPr>
        <w:t>Ministér</w:t>
      </w:r>
      <w:r>
        <w:rPr>
          <w:spacing w:val="5"/>
        </w:rPr>
        <w:t xml:space="preserve">io Público Federal </w:t>
      </w:r>
      <w:r>
        <w:rPr>
          <w:spacing w:val="2"/>
        </w:rPr>
        <w:t xml:space="preserve">de </w:t>
      </w:r>
      <w:r>
        <w:rPr>
          <w:spacing w:val="5"/>
        </w:rPr>
        <w:t xml:space="preserve">Marabá </w:t>
      </w:r>
      <w:r>
        <w:t xml:space="preserve">e </w:t>
      </w:r>
      <w:r>
        <w:rPr>
          <w:spacing w:val="3"/>
        </w:rPr>
        <w:t xml:space="preserve">com uma </w:t>
      </w:r>
      <w:r>
        <w:rPr>
          <w:spacing w:val="5"/>
        </w:rPr>
        <w:t xml:space="preserve">queixa contra </w:t>
      </w:r>
      <w:r>
        <w:t xml:space="preserve">a </w:t>
      </w:r>
      <w:r>
        <w:rPr>
          <w:spacing w:val="3"/>
        </w:rPr>
        <w:t xml:space="preserve">Vale </w:t>
      </w:r>
      <w:r>
        <w:rPr>
          <w:spacing w:val="5"/>
        </w:rPr>
        <w:t xml:space="preserve">na </w:t>
      </w:r>
      <w:r>
        <w:rPr>
          <w:spacing w:val="3"/>
        </w:rPr>
        <w:t xml:space="preserve">Secretaria </w:t>
      </w:r>
      <w:r>
        <w:rPr>
          <w:spacing w:val="1"/>
        </w:rPr>
        <w:t xml:space="preserve">de </w:t>
      </w:r>
      <w:r>
        <w:rPr>
          <w:spacing w:val="2"/>
        </w:rPr>
        <w:t xml:space="preserve">Meio </w:t>
      </w:r>
      <w:r>
        <w:rPr>
          <w:spacing w:val="3"/>
        </w:rPr>
        <w:t xml:space="preserve">Ambiente </w:t>
      </w:r>
      <w:r>
        <w:rPr>
          <w:spacing w:val="1"/>
        </w:rPr>
        <w:t xml:space="preserve">do </w:t>
      </w:r>
      <w:r>
        <w:rPr>
          <w:spacing w:val="3"/>
        </w:rPr>
        <w:t xml:space="preserve">estado. Alegavam, </w:t>
      </w:r>
      <w:r>
        <w:rPr>
          <w:spacing w:val="5"/>
        </w:rPr>
        <w:t xml:space="preserve">para </w:t>
      </w:r>
      <w:r>
        <w:t xml:space="preserve">tanto, que a empresa vinha praticando ilegalidades contra as </w:t>
      </w:r>
      <w:r>
        <w:rPr>
          <w:spacing w:val="3"/>
        </w:rPr>
        <w:t xml:space="preserve">famílias </w:t>
      </w:r>
      <w:r>
        <w:rPr>
          <w:spacing w:val="2"/>
        </w:rPr>
        <w:t xml:space="preserve">dos </w:t>
      </w:r>
      <w:r>
        <w:rPr>
          <w:spacing w:val="3"/>
        </w:rPr>
        <w:t xml:space="preserve">assentamentos </w:t>
      </w:r>
      <w:r>
        <w:rPr>
          <w:spacing w:val="1"/>
        </w:rPr>
        <w:t xml:space="preserve">no </w:t>
      </w:r>
      <w:r>
        <w:rPr>
          <w:spacing w:val="3"/>
        </w:rPr>
        <w:t xml:space="preserve">processo </w:t>
      </w:r>
      <w:r>
        <w:rPr>
          <w:spacing w:val="1"/>
        </w:rPr>
        <w:t xml:space="preserve">de </w:t>
      </w:r>
      <w:r>
        <w:rPr>
          <w:spacing w:val="3"/>
        </w:rPr>
        <w:t xml:space="preserve">instalação </w:t>
      </w:r>
      <w:r>
        <w:rPr>
          <w:spacing w:val="5"/>
        </w:rPr>
        <w:t xml:space="preserve">do </w:t>
      </w:r>
      <w:r>
        <w:rPr>
          <w:spacing w:val="3"/>
        </w:rPr>
        <w:t xml:space="preserve">projeto </w:t>
      </w:r>
      <w:r>
        <w:rPr>
          <w:spacing w:val="1"/>
        </w:rPr>
        <w:t xml:space="preserve">de </w:t>
      </w:r>
      <w:r>
        <w:rPr>
          <w:spacing w:val="3"/>
        </w:rPr>
        <w:t xml:space="preserve">mineração </w:t>
      </w:r>
      <w:r>
        <w:rPr>
          <w:spacing w:val="2"/>
        </w:rPr>
        <w:t>O</w:t>
      </w:r>
      <w:r>
        <w:rPr>
          <w:spacing w:val="2"/>
        </w:rPr>
        <w:t>nça Puma</w:t>
      </w:r>
      <w:r>
        <w:rPr>
          <w:spacing w:val="1"/>
        </w:rPr>
        <w:t xml:space="preserve"> </w:t>
      </w:r>
      <w:r>
        <w:rPr>
          <w:spacing w:val="3"/>
        </w:rPr>
        <w:t xml:space="preserve">(CPT, </w:t>
      </w:r>
      <w:r>
        <w:rPr>
          <w:spacing w:val="5"/>
        </w:rPr>
        <w:t>2008).</w:t>
      </w:r>
    </w:p>
    <w:p w:rsidR="00D81F69" w:rsidRDefault="00330118">
      <w:pPr>
        <w:pStyle w:val="Corpodetexto"/>
        <w:spacing w:before="139" w:line="312" w:lineRule="auto"/>
        <w:ind w:right="38"/>
      </w:pPr>
      <w:r>
        <w:t>De acordo com a CPT, a Mineração Onça Puma havia se instalado em áreas de assentamento, tendo adquirido posses destinadas à reforma agrária sem devida autorização. Afirmava também que as atividades da mineradora estavam causando outro</w:t>
      </w:r>
      <w:r>
        <w:t>s danos à população e ao meio ambiente locais, como a poluição de grotas e de igarapés, o desvio de cursos d'água, a demolição de benfeitorias construídas com recursos públicos federais e a construção irregular de barragens de contenção de rejeitos (AMIGOS</w:t>
      </w:r>
      <w:r>
        <w:t xml:space="preserve"> DA TERRA AMAZÔNIA BRASILEIRA, 2008).</w:t>
      </w:r>
    </w:p>
    <w:p w:rsidR="00D81F69" w:rsidRDefault="00330118">
      <w:pPr>
        <w:pStyle w:val="Corpodetexto"/>
        <w:spacing w:before="140" w:line="312" w:lineRule="auto"/>
        <w:ind w:right="65"/>
      </w:pPr>
      <w:r>
        <w:t>Após os primeiros pedidos feitos pela Comissão Pastoral da Terra ao Ministério Público Federal para que apurasse todas as irregularidades, a Vale emitiu nota oficial, divulgada pela imprensa, negando todas as acusações (AMIGOS DA TERRA AMAZÔNIA BRASILEIRA,</w:t>
      </w:r>
      <w:r>
        <w:t xml:space="preserve"> 2008).</w:t>
      </w:r>
    </w:p>
    <w:p w:rsidR="00D81F69" w:rsidRDefault="00330118">
      <w:pPr>
        <w:pStyle w:val="Corpodetexto"/>
        <w:spacing w:before="134" w:line="312" w:lineRule="auto"/>
        <w:ind w:right="64"/>
      </w:pPr>
      <w:r>
        <w:t>Em abril de 2009, a Vale resolveu desacelerar o Projeto Onça Puma, previamente programado para iniciar operações em janeiro de 2010. A empresa alegou que a decisão foi tomada</w:t>
      </w:r>
    </w:p>
    <w:p w:rsidR="00D81F69" w:rsidRDefault="00330118">
      <w:pPr>
        <w:pStyle w:val="Corpodetexto"/>
        <w:spacing w:before="81" w:line="312" w:lineRule="auto"/>
        <w:ind w:right="248"/>
      </w:pPr>
      <w:r>
        <w:br w:type="column"/>
      </w:r>
      <w:r>
        <w:lastRenderedPageBreak/>
        <w:t>devido ao cenário recessivo global, com queda na demanda e no valor do m</w:t>
      </w:r>
      <w:r>
        <w:t>etal, e ao fato de a licença ambiental se encontrar pendente (O GLOBO, 2009).</w:t>
      </w:r>
    </w:p>
    <w:p w:rsidR="00D81F69" w:rsidRDefault="00330118">
      <w:pPr>
        <w:pStyle w:val="Corpodetexto"/>
        <w:spacing w:before="133" w:line="312" w:lineRule="auto"/>
        <w:ind w:right="242"/>
      </w:pPr>
      <w:r>
        <w:t>Porém, em março de 2011, a Vale deu início à operação da planta de níquel de Onça Puma (O GLOBO, 2011), utilizando minério oriundo de duas áreas nas Serras do Onça, perto da plan</w:t>
      </w:r>
      <w:r>
        <w:t>ta industrial, e do Puma, a cerca de 16 km (FATOR BRASIL, 2011). O empreendimento abrange as cidades de Ourilândia do Norte, Tucumã e Parauapebas e tem capacidade de produção anual de 220 mil toneladas de ferro- níquel, que contêm 53 mil toneladas de níque</w:t>
      </w:r>
      <w:r>
        <w:t>l. O empreendimento contou com investimento total de cerca de US$ 2,84 bilhões e consolidou a posição da empresa como segunda maior produtora mundial de níquel (VALE, 2011).</w:t>
      </w:r>
    </w:p>
    <w:p w:rsidR="00D81F69" w:rsidRDefault="00330118">
      <w:pPr>
        <w:pStyle w:val="Corpodetexto"/>
        <w:spacing w:before="140" w:line="312" w:lineRule="auto"/>
        <w:ind w:right="253"/>
      </w:pPr>
      <w:r>
        <w:t>Onça Puma é um dos maiores complexos de mina e usina de ferro-níquel do mundo e te</w:t>
      </w:r>
      <w:r>
        <w:t>m demandado investimentos em infraestrutura e logística. A planta conta com uma subestação de energia, cujo excedente de produção será cedido à concessionária de energia paraense para ampliar a oferta a municípios vizinhos ao projeto (FATOR BRASIL, 2011).</w:t>
      </w:r>
    </w:p>
    <w:p w:rsidR="00D81F69" w:rsidRDefault="00330118">
      <w:pPr>
        <w:pStyle w:val="Corpodetexto"/>
        <w:spacing w:before="135" w:line="312" w:lineRule="auto"/>
        <w:ind w:right="230"/>
      </w:pPr>
      <w:r>
        <w:t xml:space="preserve">O empreendimento também fez com que o Porto do Itaqui, no Maranhão, voltasse a ser um dos grandes movimentadores  </w:t>
      </w:r>
      <w:r>
        <w:rPr>
          <w:spacing w:val="5"/>
        </w:rPr>
        <w:t xml:space="preserve">de </w:t>
      </w:r>
      <w:r>
        <w:rPr>
          <w:spacing w:val="8"/>
        </w:rPr>
        <w:t xml:space="preserve">contêineres </w:t>
      </w:r>
      <w:r>
        <w:rPr>
          <w:spacing w:val="5"/>
        </w:rPr>
        <w:t xml:space="preserve">do </w:t>
      </w:r>
      <w:r>
        <w:rPr>
          <w:spacing w:val="7"/>
        </w:rPr>
        <w:t xml:space="preserve">país, </w:t>
      </w:r>
      <w:r>
        <w:rPr>
          <w:spacing w:val="5"/>
        </w:rPr>
        <w:t xml:space="preserve">uma vez que </w:t>
      </w:r>
      <w:r>
        <w:rPr>
          <w:spacing w:val="7"/>
        </w:rPr>
        <w:t xml:space="preserve">recebe </w:t>
      </w:r>
      <w:r>
        <w:t xml:space="preserve">o </w:t>
      </w:r>
      <w:r>
        <w:rPr>
          <w:spacing w:val="10"/>
        </w:rPr>
        <w:t xml:space="preserve">níquel </w:t>
      </w:r>
      <w:r>
        <w:rPr>
          <w:spacing w:val="1"/>
        </w:rPr>
        <w:t xml:space="preserve">embarcado </w:t>
      </w:r>
      <w:r>
        <w:t xml:space="preserve">em </w:t>
      </w:r>
      <w:r>
        <w:rPr>
          <w:spacing w:val="1"/>
        </w:rPr>
        <w:t xml:space="preserve">Parauapebas (PA) (VALE, 2011). Cerca </w:t>
      </w:r>
      <w:r>
        <w:rPr>
          <w:spacing w:val="2"/>
        </w:rPr>
        <w:t xml:space="preserve">de </w:t>
      </w:r>
      <w:r>
        <w:rPr>
          <w:spacing w:val="5"/>
        </w:rPr>
        <w:t xml:space="preserve">95% </w:t>
      </w:r>
      <w:r>
        <w:rPr>
          <w:spacing w:val="3"/>
        </w:rPr>
        <w:t xml:space="preserve">da </w:t>
      </w:r>
      <w:r>
        <w:rPr>
          <w:spacing w:val="6"/>
        </w:rPr>
        <w:t xml:space="preserve">produção </w:t>
      </w:r>
      <w:r>
        <w:rPr>
          <w:spacing w:val="3"/>
        </w:rPr>
        <w:t xml:space="preserve">de </w:t>
      </w:r>
      <w:r>
        <w:rPr>
          <w:spacing w:val="5"/>
        </w:rPr>
        <w:t xml:space="preserve">Onça Puma serão </w:t>
      </w:r>
      <w:r>
        <w:rPr>
          <w:spacing w:val="6"/>
        </w:rPr>
        <w:t xml:space="preserve">destinados </w:t>
      </w:r>
      <w:r>
        <w:rPr>
          <w:spacing w:val="7"/>
        </w:rPr>
        <w:t xml:space="preserve">ao </w:t>
      </w:r>
      <w:r>
        <w:rPr>
          <w:spacing w:val="5"/>
        </w:rPr>
        <w:t xml:space="preserve">mercado externo, visando atender </w:t>
      </w:r>
      <w:r>
        <w:t xml:space="preserve">a </w:t>
      </w:r>
      <w:r>
        <w:rPr>
          <w:spacing w:val="5"/>
        </w:rPr>
        <w:t xml:space="preserve">países </w:t>
      </w:r>
      <w:r>
        <w:rPr>
          <w:spacing w:val="3"/>
        </w:rPr>
        <w:t xml:space="preserve">como </w:t>
      </w:r>
      <w:r>
        <w:rPr>
          <w:spacing w:val="5"/>
        </w:rPr>
        <w:t xml:space="preserve">China, </w:t>
      </w:r>
      <w:r>
        <w:rPr>
          <w:spacing w:val="1"/>
        </w:rPr>
        <w:t xml:space="preserve">Japão, Alemanha, Finlândia, Itália </w:t>
      </w:r>
      <w:r>
        <w:t xml:space="preserve">e </w:t>
      </w:r>
      <w:r>
        <w:rPr>
          <w:spacing w:val="1"/>
        </w:rPr>
        <w:t xml:space="preserve">Estados Unidos, </w:t>
      </w:r>
      <w:r>
        <w:rPr>
          <w:spacing w:val="2"/>
        </w:rPr>
        <w:t xml:space="preserve">entre </w:t>
      </w:r>
      <w:r>
        <w:rPr>
          <w:spacing w:val="3"/>
        </w:rPr>
        <w:t xml:space="preserve">outros. </w:t>
      </w:r>
      <w:r>
        <w:t xml:space="preserve">A </w:t>
      </w:r>
      <w:r>
        <w:rPr>
          <w:spacing w:val="3"/>
        </w:rPr>
        <w:t xml:space="preserve">empresa também </w:t>
      </w:r>
      <w:r>
        <w:rPr>
          <w:spacing w:val="2"/>
        </w:rPr>
        <w:t xml:space="preserve">está </w:t>
      </w:r>
      <w:r>
        <w:rPr>
          <w:spacing w:val="3"/>
        </w:rPr>
        <w:t xml:space="preserve">adaptando parte </w:t>
      </w:r>
      <w:r>
        <w:rPr>
          <w:spacing w:val="1"/>
        </w:rPr>
        <w:t xml:space="preserve">de </w:t>
      </w:r>
      <w:r>
        <w:rPr>
          <w:spacing w:val="5"/>
        </w:rPr>
        <w:t xml:space="preserve">seus </w:t>
      </w:r>
      <w:r>
        <w:rPr>
          <w:spacing w:val="1"/>
        </w:rPr>
        <w:t xml:space="preserve">vagões </w:t>
      </w:r>
      <w:r>
        <w:t xml:space="preserve">na </w:t>
      </w:r>
      <w:r>
        <w:rPr>
          <w:spacing w:val="1"/>
        </w:rPr>
        <w:t xml:space="preserve">Estrada </w:t>
      </w:r>
      <w:r>
        <w:t xml:space="preserve">de </w:t>
      </w:r>
      <w:r>
        <w:rPr>
          <w:spacing w:val="1"/>
        </w:rPr>
        <w:t xml:space="preserve">Ferro Carajás (EFC) para atender </w:t>
      </w:r>
      <w:r>
        <w:t xml:space="preserve">à </w:t>
      </w:r>
      <w:r>
        <w:rPr>
          <w:spacing w:val="1"/>
        </w:rPr>
        <w:t>produção</w:t>
      </w:r>
      <w:r>
        <w:rPr>
          <w:spacing w:val="20"/>
        </w:rPr>
        <w:t xml:space="preserve"> </w:t>
      </w:r>
      <w:r>
        <w:t>de</w:t>
      </w:r>
      <w:r>
        <w:rPr>
          <w:spacing w:val="20"/>
        </w:rPr>
        <w:t xml:space="preserve"> </w:t>
      </w:r>
      <w:r>
        <w:rPr>
          <w:spacing w:val="1"/>
        </w:rPr>
        <w:t>Onça</w:t>
      </w:r>
      <w:r>
        <w:rPr>
          <w:spacing w:val="20"/>
        </w:rPr>
        <w:t xml:space="preserve"> </w:t>
      </w:r>
      <w:r>
        <w:rPr>
          <w:spacing w:val="1"/>
        </w:rPr>
        <w:t>Pu</w:t>
      </w:r>
      <w:r>
        <w:rPr>
          <w:spacing w:val="1"/>
        </w:rPr>
        <w:t>ma</w:t>
      </w:r>
      <w:r>
        <w:rPr>
          <w:spacing w:val="20"/>
        </w:rPr>
        <w:t xml:space="preserve"> </w:t>
      </w:r>
      <w:r>
        <w:rPr>
          <w:spacing w:val="1"/>
        </w:rPr>
        <w:t>(FATOR</w:t>
      </w:r>
      <w:r>
        <w:rPr>
          <w:spacing w:val="20"/>
        </w:rPr>
        <w:t xml:space="preserve"> </w:t>
      </w:r>
      <w:r>
        <w:rPr>
          <w:spacing w:val="1"/>
        </w:rPr>
        <w:t>BRASIL,</w:t>
      </w:r>
      <w:r>
        <w:rPr>
          <w:spacing w:val="20"/>
        </w:rPr>
        <w:t xml:space="preserve"> </w:t>
      </w:r>
      <w:r>
        <w:rPr>
          <w:spacing w:val="2"/>
        </w:rPr>
        <w:t>2011).</w:t>
      </w:r>
    </w:p>
    <w:p w:rsidR="00D81F69" w:rsidRDefault="00330118">
      <w:pPr>
        <w:pStyle w:val="Corpodetexto"/>
        <w:spacing w:before="140" w:line="312" w:lineRule="auto"/>
        <w:ind w:right="231"/>
      </w:pPr>
      <w:r>
        <w:t xml:space="preserve">No entanto, a mineração corre risco de ser paralisada, pois, em maio de 2012, o Ministério Público Federal (MPF) ajuizou ação civil pública contra a Vale, a Secretaria de Meio Ambiente do Pará (Sema) e a Fundação Nacional do Índio </w:t>
      </w:r>
      <w:r>
        <w:t>(Funai), pedindo suspensão liminar das atividades, alegando que a empresa não mitigara o impacto das atividades minerárias sobre povos indígenas na região (MPF, 2012).</w:t>
      </w:r>
    </w:p>
    <w:p w:rsidR="00D81F69" w:rsidRDefault="00330118">
      <w:pPr>
        <w:pStyle w:val="Corpodetexto"/>
        <w:spacing w:before="136" w:line="312" w:lineRule="auto"/>
        <w:ind w:right="232"/>
      </w:pPr>
      <w:r>
        <w:t xml:space="preserve">Além de interrupção das atividades, a ação judicial pede que  a </w:t>
      </w:r>
      <w:r>
        <w:rPr>
          <w:spacing w:val="5"/>
        </w:rPr>
        <w:t xml:space="preserve">mineradora </w:t>
      </w:r>
      <w:r>
        <w:rPr>
          <w:spacing w:val="3"/>
        </w:rPr>
        <w:t xml:space="preserve">pague </w:t>
      </w:r>
      <w:r>
        <w:rPr>
          <w:spacing w:val="5"/>
        </w:rPr>
        <w:t xml:space="preserve">"todos </w:t>
      </w:r>
      <w:r>
        <w:rPr>
          <w:spacing w:val="2"/>
        </w:rPr>
        <w:t xml:space="preserve">os </w:t>
      </w:r>
      <w:r>
        <w:rPr>
          <w:spacing w:val="3"/>
        </w:rPr>
        <w:t xml:space="preserve">danos </w:t>
      </w:r>
      <w:r>
        <w:rPr>
          <w:spacing w:val="5"/>
        </w:rPr>
        <w:t xml:space="preserve">materiais </w:t>
      </w:r>
      <w:r>
        <w:t xml:space="preserve">e </w:t>
      </w:r>
      <w:r>
        <w:rPr>
          <w:spacing w:val="5"/>
        </w:rPr>
        <w:t>morais</w:t>
      </w:r>
      <w:r>
        <w:rPr>
          <w:spacing w:val="61"/>
        </w:rPr>
        <w:t xml:space="preserve"> </w:t>
      </w:r>
      <w:r>
        <w:rPr>
          <w:spacing w:val="6"/>
        </w:rPr>
        <w:t xml:space="preserve">causados </w:t>
      </w:r>
      <w:r>
        <w:rPr>
          <w:spacing w:val="5"/>
        </w:rPr>
        <w:t xml:space="preserve">aos índios" nos últimos dois anos </w:t>
      </w:r>
      <w:r>
        <w:rPr>
          <w:spacing w:val="3"/>
        </w:rPr>
        <w:t xml:space="preserve">em </w:t>
      </w:r>
      <w:r>
        <w:rPr>
          <w:spacing w:val="5"/>
        </w:rPr>
        <w:t xml:space="preserve">que </w:t>
      </w:r>
      <w:r>
        <w:t xml:space="preserve">o </w:t>
      </w:r>
      <w:r>
        <w:rPr>
          <w:spacing w:val="8"/>
        </w:rPr>
        <w:t xml:space="preserve">empreendimento </w:t>
      </w:r>
      <w:r>
        <w:rPr>
          <w:spacing w:val="7"/>
        </w:rPr>
        <w:t xml:space="preserve">estaria </w:t>
      </w:r>
      <w:r>
        <w:rPr>
          <w:spacing w:val="5"/>
        </w:rPr>
        <w:t xml:space="preserve">em </w:t>
      </w:r>
      <w:r>
        <w:rPr>
          <w:spacing w:val="7"/>
        </w:rPr>
        <w:t xml:space="preserve">operação </w:t>
      </w:r>
      <w:r>
        <w:rPr>
          <w:spacing w:val="5"/>
        </w:rPr>
        <w:t xml:space="preserve">sem </w:t>
      </w:r>
      <w:r>
        <w:rPr>
          <w:spacing w:val="7"/>
        </w:rPr>
        <w:t xml:space="preserve">cumprir </w:t>
      </w:r>
      <w:r>
        <w:rPr>
          <w:spacing w:val="10"/>
        </w:rPr>
        <w:t xml:space="preserve">as </w:t>
      </w:r>
      <w:r>
        <w:rPr>
          <w:spacing w:val="3"/>
        </w:rPr>
        <w:t xml:space="preserve">medidas compensatórias. </w:t>
      </w:r>
      <w:r>
        <w:t xml:space="preserve">O </w:t>
      </w:r>
      <w:r>
        <w:rPr>
          <w:spacing w:val="2"/>
        </w:rPr>
        <w:t xml:space="preserve">MPF </w:t>
      </w:r>
      <w:r>
        <w:rPr>
          <w:spacing w:val="3"/>
        </w:rPr>
        <w:t xml:space="preserve">entende </w:t>
      </w:r>
      <w:r>
        <w:rPr>
          <w:spacing w:val="2"/>
        </w:rPr>
        <w:t xml:space="preserve">que </w:t>
      </w:r>
      <w:r>
        <w:rPr>
          <w:spacing w:val="1"/>
        </w:rPr>
        <w:t xml:space="preserve">os </w:t>
      </w:r>
      <w:r>
        <w:rPr>
          <w:spacing w:val="5"/>
        </w:rPr>
        <w:t xml:space="preserve">valores </w:t>
      </w:r>
      <w:r>
        <w:rPr>
          <w:spacing w:val="3"/>
        </w:rPr>
        <w:t xml:space="preserve">devem </w:t>
      </w:r>
      <w:r>
        <w:rPr>
          <w:spacing w:val="2"/>
        </w:rPr>
        <w:t xml:space="preserve">ser </w:t>
      </w:r>
      <w:r>
        <w:rPr>
          <w:spacing w:val="3"/>
        </w:rPr>
        <w:t xml:space="preserve">calculados </w:t>
      </w:r>
      <w:r>
        <w:rPr>
          <w:spacing w:val="1"/>
        </w:rPr>
        <w:t xml:space="preserve">de </w:t>
      </w:r>
      <w:r>
        <w:rPr>
          <w:spacing w:val="3"/>
        </w:rPr>
        <w:t xml:space="preserve">acordo </w:t>
      </w:r>
      <w:r>
        <w:rPr>
          <w:spacing w:val="2"/>
        </w:rPr>
        <w:t xml:space="preserve">com </w:t>
      </w:r>
      <w:r>
        <w:t xml:space="preserve">o </w:t>
      </w:r>
      <w:r>
        <w:rPr>
          <w:spacing w:val="3"/>
        </w:rPr>
        <w:t xml:space="preserve">tempo </w:t>
      </w:r>
      <w:r>
        <w:rPr>
          <w:spacing w:val="1"/>
        </w:rPr>
        <w:t xml:space="preserve">em </w:t>
      </w:r>
      <w:r>
        <w:rPr>
          <w:spacing w:val="2"/>
        </w:rPr>
        <w:t xml:space="preserve">que </w:t>
      </w:r>
      <w:r>
        <w:rPr>
          <w:spacing w:val="5"/>
        </w:rPr>
        <w:t xml:space="preserve">as </w:t>
      </w:r>
      <w:r>
        <w:rPr>
          <w:spacing w:val="10"/>
        </w:rPr>
        <w:t>atividades econômica</w:t>
      </w:r>
      <w:r>
        <w:rPr>
          <w:spacing w:val="10"/>
        </w:rPr>
        <w:t xml:space="preserve">s </w:t>
      </w:r>
      <w:r>
        <w:rPr>
          <w:spacing w:val="8"/>
        </w:rPr>
        <w:t xml:space="preserve">estão </w:t>
      </w:r>
      <w:r>
        <w:rPr>
          <w:spacing w:val="10"/>
        </w:rPr>
        <w:t xml:space="preserve">funcionando, </w:t>
      </w:r>
      <w:r>
        <w:rPr>
          <w:spacing w:val="11"/>
        </w:rPr>
        <w:t xml:space="preserve">causando </w:t>
      </w:r>
      <w:r>
        <w:t xml:space="preserve">impactos e gerando lucros sem compensação. Desde agosto de 2008, a empresa promove decapeamento do minério, lavra e </w:t>
      </w:r>
      <w:r>
        <w:rPr>
          <w:spacing w:val="1"/>
        </w:rPr>
        <w:t xml:space="preserve">formação </w:t>
      </w:r>
      <w:r>
        <w:t xml:space="preserve">de </w:t>
      </w:r>
      <w:r>
        <w:rPr>
          <w:spacing w:val="1"/>
        </w:rPr>
        <w:t xml:space="preserve">pilhas </w:t>
      </w:r>
      <w:r>
        <w:t xml:space="preserve">de </w:t>
      </w:r>
      <w:r>
        <w:rPr>
          <w:spacing w:val="1"/>
        </w:rPr>
        <w:t xml:space="preserve">estéril </w:t>
      </w:r>
      <w:r>
        <w:t xml:space="preserve">e </w:t>
      </w:r>
      <w:r>
        <w:rPr>
          <w:spacing w:val="1"/>
        </w:rPr>
        <w:t xml:space="preserve">minério </w:t>
      </w:r>
      <w:r>
        <w:t xml:space="preserve">no </w:t>
      </w:r>
      <w:r>
        <w:rPr>
          <w:spacing w:val="1"/>
        </w:rPr>
        <w:t xml:space="preserve">projeto </w:t>
      </w:r>
      <w:r>
        <w:rPr>
          <w:spacing w:val="2"/>
        </w:rPr>
        <w:t>(MPF, 2012).</w:t>
      </w:r>
    </w:p>
    <w:p w:rsidR="00D81F69" w:rsidRDefault="00330118">
      <w:pPr>
        <w:pStyle w:val="Corpodetexto"/>
        <w:spacing w:before="77" w:line="270" w:lineRule="atLeast"/>
        <w:ind w:right="241"/>
      </w:pPr>
      <w:r>
        <w:t xml:space="preserve">De acordo com o MPF, estudos feitos pela própria Vale, e aprovados pela Funai, enumeram impactos severos sobre a Terra Indígena Xikrin do Cateté, entre os quais: pressão de invasões sobre o território indígena, risco de contaminação no rio Cateté, de onde </w:t>
      </w:r>
      <w:r>
        <w:t>os Xikrin tiram o sustento, poluição sonora e do ar pela proximidade da usina metalúrgica do</w:t>
      </w:r>
    </w:p>
    <w:p w:rsidR="00D81F69" w:rsidRDefault="00D81F69">
      <w:pPr>
        <w:spacing w:line="270" w:lineRule="atLeast"/>
        <w:sectPr w:rsidR="00D81F69">
          <w:pgSz w:w="11900" w:h="16840"/>
          <w:pgMar w:top="740" w:right="460" w:bottom="640" w:left="620" w:header="0" w:footer="402" w:gutter="0"/>
          <w:cols w:num="2" w:space="720" w:equalWidth="0">
            <w:col w:w="5162" w:space="308"/>
            <w:col w:w="5350"/>
          </w:cols>
        </w:sectPr>
      </w:pPr>
    </w:p>
    <w:p w:rsidR="00D81F69" w:rsidRDefault="00330118">
      <w:pPr>
        <w:pStyle w:val="Corpodetexto"/>
        <w:spacing w:before="81" w:line="312" w:lineRule="auto"/>
        <w:ind w:right="149"/>
      </w:pPr>
      <w:r>
        <w:lastRenderedPageBreak/>
        <w:t xml:space="preserve">empreendimento. A Terra Indígena Kayapó também é afetada pela atividade de mineração de níquel, especialmente pelo fluxo migracional, </w:t>
      </w:r>
      <w:r>
        <w:t>que gera pressão de invasores e madeireiros sobre a terra (MPF, 2012).</w:t>
      </w:r>
    </w:p>
    <w:p w:rsidR="00D81F69" w:rsidRDefault="00330118">
      <w:pPr>
        <w:pStyle w:val="Corpodetexto"/>
        <w:spacing w:before="134" w:line="312" w:lineRule="auto"/>
        <w:ind w:right="135"/>
      </w:pPr>
      <w:r>
        <w:t>Na ocasião, a Vale afirmou que não foi citada na ação civil pública e que aguarda para conhecer os argumentos da ação e preparar sua defesa judicial. A assessoria de imprensa da empresa</w:t>
      </w:r>
      <w:r>
        <w:t xml:space="preserve"> também divulgou nota afirmando que “o empreendimento Onça Puma está regularmente licenciado e vem cumprindo com as condicionantes estabelecidas pelos órgãos competentes, não havendo qualquer comunicação oficial de descumprimento ou suspensão da Licença de</w:t>
      </w:r>
      <w:r>
        <w:t xml:space="preserve"> Operação” (MPF, 2012).</w:t>
      </w:r>
    </w:p>
    <w:p w:rsidR="00D81F69" w:rsidRDefault="00D81F69">
      <w:pPr>
        <w:pStyle w:val="Corpodetexto"/>
        <w:spacing w:before="7"/>
        <w:ind w:left="0"/>
        <w:jc w:val="left"/>
        <w:rPr>
          <w:sz w:val="21"/>
        </w:rPr>
      </w:pPr>
    </w:p>
    <w:p w:rsidR="00D81F69" w:rsidRDefault="00330118">
      <w:pPr>
        <w:pStyle w:val="Heading7"/>
        <w:spacing w:before="1"/>
      </w:pPr>
      <w:r>
        <w:t>LOCALIZAÇÃO GEOGRÁFICA</w:t>
      </w:r>
    </w:p>
    <w:p w:rsidR="00D81F69" w:rsidRDefault="00330118">
      <w:pPr>
        <w:pStyle w:val="Corpodetexto"/>
        <w:spacing w:before="178" w:line="312" w:lineRule="auto"/>
        <w:ind w:right="144"/>
      </w:pPr>
      <w:r>
        <w:t>Ourilândia do Norte possui uma concessão de lavra de extração de minério de níquel na mina Onça Puma, que está localizada entre as latitudes 6°33’38”S – 6°36”12”S e longitudes 51°9’52”W – 51°4’13”W, na sub-bacia do rio Catete, pertencente à bacia do rio It</w:t>
      </w:r>
      <w:r>
        <w:t>acaíunas que deságua no mar.</w:t>
      </w:r>
    </w:p>
    <w:p w:rsidR="00D81F69" w:rsidRDefault="00D81F69">
      <w:pPr>
        <w:pStyle w:val="Corpodetexto"/>
        <w:spacing w:before="4"/>
        <w:ind w:left="0"/>
        <w:jc w:val="left"/>
        <w:rPr>
          <w:sz w:val="29"/>
        </w:rPr>
      </w:pPr>
    </w:p>
    <w:p w:rsidR="00D81F69" w:rsidRDefault="00330118">
      <w:pPr>
        <w:pStyle w:val="Heading7"/>
      </w:pPr>
      <w:r>
        <w:t>REDATORES</w:t>
      </w:r>
    </w:p>
    <w:p w:rsidR="00D81F69" w:rsidRDefault="00330118">
      <w:pPr>
        <w:pStyle w:val="Corpodetexto"/>
        <w:spacing w:before="178"/>
      </w:pPr>
      <w:r>
        <w:t>Renata Olivieri; Eliane Araujo</w:t>
      </w:r>
    </w:p>
    <w:p w:rsidR="00D81F69" w:rsidRDefault="00D81F69">
      <w:pPr>
        <w:pStyle w:val="Corpodetexto"/>
        <w:ind w:left="0"/>
        <w:jc w:val="left"/>
        <w:rPr>
          <w:sz w:val="20"/>
        </w:rPr>
      </w:pPr>
    </w:p>
    <w:p w:rsidR="00D81F69" w:rsidRDefault="00330118">
      <w:pPr>
        <w:pStyle w:val="Heading7"/>
        <w:spacing w:before="165"/>
      </w:pPr>
      <w:r>
        <w:t>REFERÊNCIAS BIBLIOGRÁFICAS</w:t>
      </w:r>
    </w:p>
    <w:p w:rsidR="00D81F69" w:rsidRDefault="00330118">
      <w:pPr>
        <w:spacing w:before="187" w:line="312" w:lineRule="auto"/>
        <w:ind w:left="100" w:right="132"/>
        <w:jc w:val="both"/>
        <w:rPr>
          <w:sz w:val="16"/>
        </w:rPr>
      </w:pPr>
      <w:r>
        <w:rPr>
          <w:sz w:val="16"/>
        </w:rPr>
        <w:t xml:space="preserve">ALMEIDA, Rogério. Carajás - Interesses da Vale pressionam territórios de camponeses e indígenas. Fórum Carajás, 20 jul. 2010. Disponível em: </w:t>
      </w:r>
      <w:hyperlink r:id="rId378">
        <w:r>
          <w:rPr>
            <w:sz w:val="16"/>
          </w:rPr>
          <w:t>&lt;http://forumcarajas.org.br/?noticia&amp;mostra&amp;4222&gt;.</w:t>
        </w:r>
      </w:hyperlink>
      <w:r>
        <w:rPr>
          <w:sz w:val="16"/>
        </w:rPr>
        <w:t xml:space="preserve"> Acesso em: 06 ago. 2012.</w:t>
      </w:r>
    </w:p>
    <w:p w:rsidR="00D81F69" w:rsidRDefault="00330118">
      <w:pPr>
        <w:tabs>
          <w:tab w:val="left" w:pos="4331"/>
        </w:tabs>
        <w:spacing w:before="4" w:line="312" w:lineRule="auto"/>
        <w:ind w:left="100" w:right="129"/>
        <w:jc w:val="both"/>
        <w:rPr>
          <w:sz w:val="16"/>
        </w:rPr>
      </w:pPr>
      <w:r>
        <w:rPr>
          <w:sz w:val="16"/>
        </w:rPr>
        <w:t xml:space="preserve">AMIGOS DA TERRA AMAZÔNIA BRASILEIRA. Entidades requerem o </w:t>
      </w:r>
      <w:r>
        <w:rPr>
          <w:spacing w:val="3"/>
          <w:sz w:val="16"/>
        </w:rPr>
        <w:t xml:space="preserve">cancelamento </w:t>
      </w:r>
      <w:r>
        <w:rPr>
          <w:spacing w:val="1"/>
          <w:sz w:val="16"/>
        </w:rPr>
        <w:t xml:space="preserve">do </w:t>
      </w:r>
      <w:r>
        <w:rPr>
          <w:spacing w:val="3"/>
          <w:sz w:val="16"/>
        </w:rPr>
        <w:t xml:space="preserve">projeto </w:t>
      </w:r>
      <w:r>
        <w:rPr>
          <w:spacing w:val="1"/>
          <w:sz w:val="16"/>
        </w:rPr>
        <w:t xml:space="preserve">de </w:t>
      </w:r>
      <w:r>
        <w:rPr>
          <w:spacing w:val="3"/>
          <w:sz w:val="16"/>
        </w:rPr>
        <w:t xml:space="preserve">Mineração </w:t>
      </w:r>
      <w:r>
        <w:rPr>
          <w:spacing w:val="1"/>
          <w:sz w:val="16"/>
        </w:rPr>
        <w:t xml:space="preserve">da  </w:t>
      </w:r>
      <w:r>
        <w:rPr>
          <w:spacing w:val="3"/>
          <w:sz w:val="16"/>
        </w:rPr>
        <w:t xml:space="preserve">Vale, </w:t>
      </w:r>
      <w:r>
        <w:rPr>
          <w:spacing w:val="1"/>
          <w:sz w:val="16"/>
        </w:rPr>
        <w:t xml:space="preserve">29  </w:t>
      </w:r>
      <w:r>
        <w:rPr>
          <w:spacing w:val="2"/>
          <w:sz w:val="16"/>
        </w:rPr>
        <w:t xml:space="preserve">abr.  </w:t>
      </w:r>
      <w:r>
        <w:rPr>
          <w:spacing w:val="5"/>
          <w:sz w:val="16"/>
        </w:rPr>
        <w:t xml:space="preserve">2008. </w:t>
      </w:r>
      <w:r>
        <w:rPr>
          <w:sz w:val="16"/>
        </w:rPr>
        <w:t xml:space="preserve">D </w:t>
      </w:r>
      <w:r>
        <w:rPr>
          <w:sz w:val="16"/>
        </w:rPr>
        <w:t xml:space="preserve">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153"/>
        <w:jc w:val="both"/>
        <w:rPr>
          <w:sz w:val="16"/>
        </w:rPr>
      </w:pPr>
      <w:hyperlink r:id="rId379">
        <w:r w:rsidR="00330118">
          <w:rPr>
            <w:sz w:val="16"/>
          </w:rPr>
          <w:t xml:space="preserve">&lt;http://www.amazonia.org.br/noticias/noticia.cfm?id=268461&gt;. </w:t>
        </w:r>
      </w:hyperlink>
      <w:r w:rsidR="00330118">
        <w:rPr>
          <w:sz w:val="16"/>
        </w:rPr>
        <w:t>Acesso em: 24 mar. 2010.</w:t>
      </w:r>
    </w:p>
    <w:p w:rsidR="00D81F69" w:rsidRDefault="00330118">
      <w:pPr>
        <w:spacing w:before="2" w:line="312" w:lineRule="auto"/>
        <w:ind w:left="100" w:right="135"/>
        <w:jc w:val="both"/>
        <w:rPr>
          <w:sz w:val="16"/>
        </w:rPr>
      </w:pPr>
      <w:r>
        <w:rPr>
          <w:sz w:val="16"/>
        </w:rPr>
        <w:t>CPT, Comissão Pastoral da Terr</w:t>
      </w:r>
      <w:r>
        <w:rPr>
          <w:sz w:val="16"/>
        </w:rPr>
        <w:t>a das dioceses de Conceição do Araguaia, Marabá e Prelazia do Xingú. Caso da mineração Onça Puma e as mentiras da Vale. Correio da Cidadania, São Paulo 23 abr.</w:t>
      </w:r>
    </w:p>
    <w:p w:rsidR="00D81F69" w:rsidRDefault="00330118">
      <w:pPr>
        <w:tabs>
          <w:tab w:val="left" w:pos="1785"/>
          <w:tab w:val="left" w:pos="4548"/>
        </w:tabs>
        <w:spacing w:before="2"/>
        <w:ind w:left="100"/>
        <w:jc w:val="both"/>
        <w:rPr>
          <w:sz w:val="16"/>
        </w:rPr>
      </w:pPr>
      <w:r>
        <w:rPr>
          <w:sz w:val="16"/>
        </w:rPr>
        <w:t xml:space="preserve">2   0   0  </w:t>
      </w:r>
      <w:r>
        <w:rPr>
          <w:spacing w:val="35"/>
          <w:sz w:val="16"/>
        </w:rPr>
        <w:t xml:space="preserve"> </w:t>
      </w:r>
      <w:r>
        <w:rPr>
          <w:sz w:val="16"/>
        </w:rPr>
        <w:t xml:space="preserve">8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150"/>
        <w:jc w:val="both"/>
        <w:rPr>
          <w:sz w:val="16"/>
        </w:rPr>
      </w:pPr>
      <w:hyperlink r:id="rId380">
        <w:r w:rsidR="00330118">
          <w:rPr>
            <w:sz w:val="16"/>
          </w:rPr>
          <w:t xml:space="preserve">&lt;http://www.correiocidadania.com.br/content/view/1713/9/&gt;. </w:t>
        </w:r>
      </w:hyperlink>
      <w:r w:rsidR="00330118">
        <w:rPr>
          <w:sz w:val="16"/>
        </w:rPr>
        <w:t>Acesso em: 24 mar. 2010.</w:t>
      </w:r>
    </w:p>
    <w:p w:rsidR="00D81F69" w:rsidRDefault="00330118">
      <w:pPr>
        <w:spacing w:before="2" w:line="312" w:lineRule="auto"/>
        <w:ind w:left="100" w:right="141"/>
        <w:jc w:val="both"/>
        <w:rPr>
          <w:sz w:val="16"/>
        </w:rPr>
      </w:pPr>
      <w:r>
        <w:rPr>
          <w:sz w:val="16"/>
        </w:rPr>
        <w:t>CRUZ, Raimundo Gomes Neto da. Aspectos da mineração da Vale em Ourilândia, Pará. Portal Ecodebate, 20</w:t>
      </w:r>
      <w:r>
        <w:rPr>
          <w:sz w:val="16"/>
        </w:rPr>
        <w:t xml:space="preserve"> de jun. 2008. Disponível </w:t>
      </w:r>
      <w:r>
        <w:rPr>
          <w:spacing w:val="6"/>
          <w:sz w:val="16"/>
        </w:rPr>
        <w:t xml:space="preserve">em: </w:t>
      </w:r>
      <w:hyperlink r:id="rId381">
        <w:r>
          <w:rPr>
            <w:spacing w:val="10"/>
            <w:sz w:val="16"/>
          </w:rPr>
          <w:t>&lt;http://www.ecodebate.com.br/2008/06/20/aspectos-da-</w:t>
        </w:r>
      </w:hyperlink>
      <w:r>
        <w:rPr>
          <w:spacing w:val="10"/>
          <w:sz w:val="16"/>
        </w:rPr>
        <w:t xml:space="preserve"> </w:t>
      </w:r>
      <w:r>
        <w:rPr>
          <w:sz w:val="16"/>
        </w:rPr>
        <w:t>mineracao-da-vale-em-ourilandia-para-artigo-de-raimundo-gomes-da- cruz-neto&gt;. Acesso em: 24 mar.</w:t>
      </w:r>
      <w:r>
        <w:rPr>
          <w:spacing w:val="13"/>
          <w:sz w:val="16"/>
        </w:rPr>
        <w:t xml:space="preserve"> </w:t>
      </w:r>
      <w:r>
        <w:rPr>
          <w:sz w:val="16"/>
        </w:rPr>
        <w:t>2010.</w:t>
      </w:r>
    </w:p>
    <w:p w:rsidR="00D81F69" w:rsidRDefault="00330118">
      <w:pPr>
        <w:tabs>
          <w:tab w:val="left" w:pos="1232"/>
          <w:tab w:val="left" w:pos="2517"/>
          <w:tab w:val="left" w:pos="4642"/>
        </w:tabs>
        <w:spacing w:before="4" w:line="312" w:lineRule="auto"/>
        <w:ind w:left="100" w:right="38"/>
        <w:rPr>
          <w:sz w:val="16"/>
        </w:rPr>
      </w:pPr>
      <w:r>
        <w:rPr>
          <w:spacing w:val="1"/>
          <w:sz w:val="16"/>
        </w:rPr>
        <w:t>F</w:t>
      </w:r>
      <w:r>
        <w:rPr>
          <w:spacing w:val="1"/>
          <w:sz w:val="16"/>
        </w:rPr>
        <w:t xml:space="preserve">ATOR BRASIL. Vale inaugura </w:t>
      </w:r>
      <w:r>
        <w:rPr>
          <w:sz w:val="16"/>
        </w:rPr>
        <w:t xml:space="preserve">no </w:t>
      </w:r>
      <w:r>
        <w:rPr>
          <w:spacing w:val="1"/>
          <w:sz w:val="16"/>
        </w:rPr>
        <w:t xml:space="preserve">Pará primeira planta </w:t>
      </w:r>
      <w:r>
        <w:rPr>
          <w:sz w:val="16"/>
        </w:rPr>
        <w:t xml:space="preserve">de </w:t>
      </w:r>
      <w:r>
        <w:rPr>
          <w:spacing w:val="2"/>
          <w:sz w:val="16"/>
        </w:rPr>
        <w:t xml:space="preserve">ferro- </w:t>
      </w:r>
      <w:r>
        <w:rPr>
          <w:sz w:val="16"/>
        </w:rPr>
        <w:t xml:space="preserve">níquel do Brasil – Empreendimento é um dos maiores do mundo. 17   </w:t>
      </w:r>
      <w:r>
        <w:rPr>
          <w:spacing w:val="7"/>
          <w:sz w:val="16"/>
        </w:rPr>
        <w:t>m  a</w:t>
      </w:r>
      <w:r>
        <w:rPr>
          <w:spacing w:val="28"/>
          <w:sz w:val="16"/>
        </w:rPr>
        <w:t xml:space="preserve"> </w:t>
      </w:r>
      <w:r>
        <w:rPr>
          <w:spacing w:val="7"/>
          <w:sz w:val="16"/>
        </w:rPr>
        <w:t>i</w:t>
      </w:r>
      <w:r>
        <w:rPr>
          <w:spacing w:val="45"/>
          <w:sz w:val="16"/>
        </w:rPr>
        <w:t xml:space="preserve"> </w:t>
      </w:r>
      <w:r>
        <w:rPr>
          <w:sz w:val="16"/>
        </w:rPr>
        <w:t>o</w:t>
      </w:r>
      <w:r>
        <w:rPr>
          <w:sz w:val="16"/>
        </w:rPr>
        <w:tab/>
      </w:r>
      <w:r>
        <w:rPr>
          <w:spacing w:val="7"/>
          <w:sz w:val="16"/>
        </w:rPr>
        <w:t>2  0  1</w:t>
      </w:r>
      <w:r>
        <w:rPr>
          <w:spacing w:val="13"/>
          <w:sz w:val="16"/>
        </w:rPr>
        <w:t xml:space="preserve"> </w:t>
      </w:r>
      <w:r>
        <w:rPr>
          <w:spacing w:val="7"/>
          <w:sz w:val="16"/>
        </w:rPr>
        <w:t>1</w:t>
      </w:r>
      <w:r>
        <w:rPr>
          <w:spacing w:val="45"/>
          <w:sz w:val="16"/>
        </w:rPr>
        <w:t xml:space="preserve"> </w:t>
      </w:r>
      <w:r>
        <w:rPr>
          <w:sz w:val="16"/>
        </w:rPr>
        <w:t>.</w:t>
      </w:r>
      <w:r>
        <w:rPr>
          <w:sz w:val="16"/>
        </w:rPr>
        <w:tab/>
      </w:r>
      <w:r>
        <w:rPr>
          <w:spacing w:val="7"/>
          <w:sz w:val="16"/>
        </w:rPr>
        <w:t>D</w:t>
      </w:r>
      <w:r>
        <w:rPr>
          <w:spacing w:val="45"/>
          <w:sz w:val="16"/>
        </w:rPr>
        <w:t xml:space="preserve"> </w:t>
      </w:r>
      <w:r>
        <w:rPr>
          <w:spacing w:val="7"/>
          <w:sz w:val="16"/>
        </w:rPr>
        <w:t>i</w:t>
      </w:r>
      <w:r>
        <w:rPr>
          <w:spacing w:val="45"/>
          <w:sz w:val="16"/>
        </w:rPr>
        <w:t xml:space="preserve"> </w:t>
      </w:r>
      <w:r>
        <w:rPr>
          <w:spacing w:val="7"/>
          <w:sz w:val="16"/>
        </w:rPr>
        <w:t>s</w:t>
      </w:r>
      <w:r>
        <w:rPr>
          <w:spacing w:val="45"/>
          <w:sz w:val="16"/>
        </w:rPr>
        <w:t xml:space="preserve"> </w:t>
      </w:r>
      <w:r>
        <w:rPr>
          <w:spacing w:val="7"/>
          <w:sz w:val="16"/>
        </w:rPr>
        <w:t>p</w:t>
      </w:r>
      <w:r>
        <w:rPr>
          <w:spacing w:val="45"/>
          <w:sz w:val="16"/>
        </w:rPr>
        <w:t xml:space="preserve"> </w:t>
      </w:r>
      <w:r>
        <w:rPr>
          <w:spacing w:val="7"/>
          <w:sz w:val="16"/>
        </w:rPr>
        <w:t>o</w:t>
      </w:r>
      <w:r>
        <w:rPr>
          <w:spacing w:val="45"/>
          <w:sz w:val="16"/>
        </w:rPr>
        <w:t xml:space="preserve"> </w:t>
      </w:r>
      <w:r>
        <w:rPr>
          <w:spacing w:val="7"/>
          <w:sz w:val="16"/>
        </w:rPr>
        <w:t>n</w:t>
      </w:r>
      <w:r>
        <w:rPr>
          <w:spacing w:val="45"/>
          <w:sz w:val="16"/>
        </w:rPr>
        <w:t xml:space="preserve"> </w:t>
      </w:r>
      <w:r>
        <w:rPr>
          <w:spacing w:val="7"/>
          <w:sz w:val="16"/>
        </w:rPr>
        <w:t>í</w:t>
      </w:r>
      <w:r>
        <w:rPr>
          <w:spacing w:val="45"/>
          <w:sz w:val="16"/>
        </w:rPr>
        <w:t xml:space="preserve"> </w:t>
      </w:r>
      <w:r>
        <w:rPr>
          <w:spacing w:val="7"/>
          <w:sz w:val="16"/>
        </w:rPr>
        <w:t>v</w:t>
      </w:r>
      <w:r>
        <w:rPr>
          <w:spacing w:val="45"/>
          <w:sz w:val="16"/>
        </w:rPr>
        <w:t xml:space="preserve"> </w:t>
      </w:r>
      <w:r>
        <w:rPr>
          <w:spacing w:val="7"/>
          <w:sz w:val="16"/>
        </w:rPr>
        <w:t>e</w:t>
      </w:r>
      <w:r>
        <w:rPr>
          <w:spacing w:val="45"/>
          <w:sz w:val="16"/>
        </w:rPr>
        <w:t xml:space="preserve"> </w:t>
      </w:r>
      <w:r>
        <w:rPr>
          <w:sz w:val="16"/>
        </w:rPr>
        <w:t>l</w:t>
      </w:r>
      <w:r>
        <w:rPr>
          <w:sz w:val="16"/>
        </w:rPr>
        <w:tab/>
      </w:r>
      <w:r>
        <w:rPr>
          <w:spacing w:val="7"/>
          <w:sz w:val="16"/>
        </w:rPr>
        <w:t>e  m</w:t>
      </w:r>
      <w:r>
        <w:rPr>
          <w:spacing w:val="30"/>
          <w:sz w:val="16"/>
        </w:rPr>
        <w:t xml:space="preserve"> </w:t>
      </w:r>
      <w:r>
        <w:rPr>
          <w:sz w:val="16"/>
        </w:rPr>
        <w:t xml:space="preserve">: </w:t>
      </w:r>
      <w:r>
        <w:rPr>
          <w:spacing w:val="8"/>
          <w:sz w:val="16"/>
        </w:rPr>
        <w:t xml:space="preserve"> </w:t>
      </w:r>
    </w:p>
    <w:p w:rsidR="00D81F69" w:rsidRDefault="00D81F69">
      <w:pPr>
        <w:spacing w:before="2"/>
        <w:ind w:left="100"/>
        <w:jc w:val="both"/>
        <w:rPr>
          <w:sz w:val="16"/>
        </w:rPr>
      </w:pPr>
      <w:hyperlink r:id="rId382">
        <w:r w:rsidR="00330118">
          <w:rPr>
            <w:sz w:val="16"/>
          </w:rPr>
          <w:t>&lt;</w:t>
        </w:r>
        <w:r w:rsidR="00330118">
          <w:rPr>
            <w:sz w:val="16"/>
          </w:rPr>
          <w:t>http://www.revistafator.com.br/ver_noticia.php?not=158250&gt;.</w:t>
        </w:r>
      </w:hyperlink>
    </w:p>
    <w:p w:rsidR="00D81F69" w:rsidRDefault="00330118">
      <w:pPr>
        <w:spacing w:before="70"/>
        <w:ind w:left="100"/>
        <w:jc w:val="both"/>
        <w:rPr>
          <w:sz w:val="16"/>
        </w:rPr>
      </w:pPr>
      <w:r>
        <w:br w:type="column"/>
      </w:r>
      <w:r>
        <w:rPr>
          <w:sz w:val="16"/>
        </w:rPr>
        <w:lastRenderedPageBreak/>
        <w:t>Acesso em: 06 ago. 2012.</w:t>
      </w:r>
    </w:p>
    <w:p w:rsidR="00D81F69" w:rsidRDefault="00330118">
      <w:pPr>
        <w:spacing w:before="56" w:line="312" w:lineRule="auto"/>
        <w:ind w:left="100" w:right="191"/>
        <w:jc w:val="both"/>
        <w:rPr>
          <w:sz w:val="16"/>
        </w:rPr>
      </w:pPr>
      <w:r>
        <w:rPr>
          <w:spacing w:val="1"/>
          <w:sz w:val="16"/>
        </w:rPr>
        <w:t xml:space="preserve">FELIX, </w:t>
      </w:r>
      <w:r>
        <w:rPr>
          <w:sz w:val="16"/>
        </w:rPr>
        <w:t xml:space="preserve">Gil </w:t>
      </w:r>
      <w:r>
        <w:rPr>
          <w:spacing w:val="1"/>
          <w:sz w:val="16"/>
        </w:rPr>
        <w:t xml:space="preserve">Almeida. Desenraizamento social, superexploração </w:t>
      </w:r>
      <w:r>
        <w:rPr>
          <w:spacing w:val="2"/>
          <w:sz w:val="16"/>
        </w:rPr>
        <w:t xml:space="preserve">do </w:t>
      </w:r>
      <w:r>
        <w:rPr>
          <w:spacing w:val="5"/>
          <w:sz w:val="16"/>
        </w:rPr>
        <w:t xml:space="preserve">trabalho </w:t>
      </w:r>
      <w:r>
        <w:rPr>
          <w:sz w:val="16"/>
        </w:rPr>
        <w:t xml:space="preserve">e </w:t>
      </w:r>
      <w:r>
        <w:rPr>
          <w:spacing w:val="5"/>
          <w:sz w:val="16"/>
        </w:rPr>
        <w:t xml:space="preserve">mobilidade espacial </w:t>
      </w:r>
      <w:r>
        <w:rPr>
          <w:spacing w:val="2"/>
          <w:sz w:val="16"/>
        </w:rPr>
        <w:t xml:space="preserve">no </w:t>
      </w:r>
      <w:r>
        <w:rPr>
          <w:spacing w:val="5"/>
          <w:sz w:val="16"/>
        </w:rPr>
        <w:t xml:space="preserve">sudeste </w:t>
      </w:r>
      <w:r>
        <w:rPr>
          <w:spacing w:val="2"/>
          <w:sz w:val="16"/>
        </w:rPr>
        <w:t xml:space="preserve">do </w:t>
      </w:r>
      <w:r>
        <w:rPr>
          <w:spacing w:val="5"/>
          <w:sz w:val="16"/>
        </w:rPr>
        <w:t xml:space="preserve">Pará. </w:t>
      </w:r>
      <w:r>
        <w:rPr>
          <w:spacing w:val="6"/>
          <w:sz w:val="16"/>
        </w:rPr>
        <w:t xml:space="preserve">Trabalho </w:t>
      </w:r>
      <w:r>
        <w:rPr>
          <w:sz w:val="16"/>
        </w:rPr>
        <w:t>apresentado no XVI  Encontro  Nacional  de  Est</w:t>
      </w:r>
      <w:r>
        <w:rPr>
          <w:sz w:val="16"/>
        </w:rPr>
        <w:t>udos  Populacionais, C a x a m b u , 0 3 o u t . 2 0 0 8 . D i s p o n í v e l</w:t>
      </w:r>
      <w:r>
        <w:rPr>
          <w:spacing w:val="37"/>
          <w:sz w:val="16"/>
        </w:rPr>
        <w:t xml:space="preserve"> </w:t>
      </w:r>
      <w:r>
        <w:rPr>
          <w:sz w:val="16"/>
        </w:rPr>
        <w:t xml:space="preserve">e m : </w:t>
      </w:r>
    </w:p>
    <w:p w:rsidR="00D81F69" w:rsidRDefault="00D81F69">
      <w:pPr>
        <w:spacing w:before="3" w:line="312" w:lineRule="auto"/>
        <w:ind w:left="100" w:right="256"/>
        <w:jc w:val="both"/>
        <w:rPr>
          <w:sz w:val="16"/>
        </w:rPr>
      </w:pPr>
      <w:hyperlink r:id="rId383">
        <w:r w:rsidR="00330118">
          <w:rPr>
            <w:sz w:val="16"/>
          </w:rPr>
          <w:t>&lt;http://www.abep.nepo.unicamp.br/encontro2008/docsPDF/ABEP200</w:t>
        </w:r>
      </w:hyperlink>
      <w:r w:rsidR="00330118">
        <w:rPr>
          <w:sz w:val="16"/>
        </w:rPr>
        <w:t xml:space="preserve"> 8_1296.pdf &gt;. Acesso em: 24 ma</w:t>
      </w:r>
      <w:r w:rsidR="00330118">
        <w:rPr>
          <w:sz w:val="16"/>
        </w:rPr>
        <w:t>r. 2010.</w:t>
      </w:r>
    </w:p>
    <w:p w:rsidR="00D81F69" w:rsidRDefault="00330118">
      <w:pPr>
        <w:spacing w:before="2" w:line="312" w:lineRule="auto"/>
        <w:ind w:left="100" w:right="151"/>
        <w:jc w:val="both"/>
        <w:rPr>
          <w:sz w:val="16"/>
        </w:rPr>
      </w:pPr>
      <w:r>
        <w:rPr>
          <w:sz w:val="16"/>
        </w:rPr>
        <w:t>IBGE, Instituto  Brasileiro  de  Geografia  e  Estatística.  Ourilândia  do N o r t e , 2 0 1 0 . D i s p o n í v e l e m</w:t>
      </w:r>
      <w:r>
        <w:rPr>
          <w:spacing w:val="36"/>
          <w:sz w:val="16"/>
        </w:rPr>
        <w:t xml:space="preserve"> </w:t>
      </w:r>
      <w:r>
        <w:rPr>
          <w:sz w:val="16"/>
        </w:rPr>
        <w:t xml:space="preserve">: </w:t>
      </w:r>
      <w:r>
        <w:rPr>
          <w:sz w:val="16"/>
        </w:rPr>
        <w:t xml:space="preserve"> </w:t>
      </w:r>
    </w:p>
    <w:p w:rsidR="00D81F69" w:rsidRDefault="00D81F69">
      <w:pPr>
        <w:spacing w:before="1"/>
        <w:ind w:left="100"/>
        <w:jc w:val="both"/>
        <w:rPr>
          <w:sz w:val="16"/>
        </w:rPr>
      </w:pPr>
      <w:hyperlink r:id="rId384">
        <w:r w:rsidR="00330118">
          <w:rPr>
            <w:sz w:val="16"/>
          </w:rPr>
          <w:t>&lt;http://www.ibge.gov.br/cidadesat/paine</w:t>
        </w:r>
        <w:r w:rsidR="00330118">
          <w:rPr>
            <w:sz w:val="16"/>
          </w:rPr>
          <w:t>l/painel.php?codmun=150543</w:t>
        </w:r>
      </w:hyperlink>
    </w:p>
    <w:p w:rsidR="00D81F69" w:rsidRDefault="00330118">
      <w:pPr>
        <w:spacing w:before="56"/>
        <w:ind w:left="100"/>
        <w:jc w:val="both"/>
        <w:rPr>
          <w:sz w:val="16"/>
        </w:rPr>
      </w:pPr>
      <w:r>
        <w:rPr>
          <w:sz w:val="16"/>
        </w:rPr>
        <w:t>&gt;. Acesso em: 06 ago. 2012.</w:t>
      </w:r>
    </w:p>
    <w:p w:rsidR="00D81F69" w:rsidRDefault="00330118">
      <w:pPr>
        <w:spacing w:before="56" w:line="312" w:lineRule="auto"/>
        <w:ind w:left="100" w:right="216"/>
        <w:jc w:val="both"/>
        <w:rPr>
          <w:sz w:val="16"/>
        </w:rPr>
      </w:pPr>
      <w:r>
        <w:rPr>
          <w:sz w:val="16"/>
        </w:rPr>
        <w:t xml:space="preserve">LIMA, Hélio. Mineração em Ourilândia do Norte. Impactos da Mineração no Sul e Sudeste do Pará. Comissão Pastoral da Terra (CPT) e Centro de Educação, Pesquisa, Assessoria Sindical e Popular (CEPASP), 14 fev. 2011. Disponível em: </w:t>
      </w:r>
    </w:p>
    <w:p w:rsidR="00D81F69" w:rsidRDefault="00D81F69">
      <w:pPr>
        <w:spacing w:before="4" w:line="312" w:lineRule="auto"/>
        <w:ind w:left="100" w:right="237"/>
        <w:jc w:val="both"/>
        <w:rPr>
          <w:sz w:val="16"/>
        </w:rPr>
      </w:pPr>
      <w:hyperlink r:id="rId385">
        <w:r w:rsidR="00330118">
          <w:rPr>
            <w:sz w:val="16"/>
          </w:rPr>
          <w:t>&lt;http://mineracaosudesteparaense.wordpress.com/2011/02/page/2&gt;.</w:t>
        </w:r>
      </w:hyperlink>
      <w:r w:rsidR="00330118">
        <w:rPr>
          <w:sz w:val="16"/>
        </w:rPr>
        <w:t xml:space="preserve"> Acesso em: 06 ago. 2012.</w:t>
      </w:r>
    </w:p>
    <w:p w:rsidR="00D81F69" w:rsidRDefault="00330118">
      <w:pPr>
        <w:spacing w:before="1" w:line="312" w:lineRule="auto"/>
        <w:ind w:left="100" w:right="210"/>
        <w:jc w:val="both"/>
        <w:rPr>
          <w:sz w:val="16"/>
        </w:rPr>
      </w:pPr>
      <w:r>
        <w:rPr>
          <w:sz w:val="16"/>
        </w:rPr>
        <w:t xml:space="preserve">O GLOBO. Vale adia Onça Puma e suspende atividades em Sudbury. </w:t>
      </w:r>
      <w:r>
        <w:rPr>
          <w:spacing w:val="20"/>
          <w:sz w:val="16"/>
        </w:rPr>
        <w:t xml:space="preserve">Rio </w:t>
      </w:r>
      <w:r>
        <w:rPr>
          <w:spacing w:val="15"/>
          <w:sz w:val="16"/>
        </w:rPr>
        <w:t xml:space="preserve">de </w:t>
      </w:r>
      <w:r>
        <w:rPr>
          <w:spacing w:val="25"/>
          <w:sz w:val="16"/>
        </w:rPr>
        <w:t>Janeiro,</w:t>
      </w:r>
      <w:r>
        <w:rPr>
          <w:spacing w:val="95"/>
          <w:sz w:val="16"/>
        </w:rPr>
        <w:t xml:space="preserve"> </w:t>
      </w:r>
      <w:r>
        <w:rPr>
          <w:spacing w:val="15"/>
          <w:sz w:val="16"/>
        </w:rPr>
        <w:t xml:space="preserve">16 </w:t>
      </w:r>
      <w:r>
        <w:rPr>
          <w:spacing w:val="21"/>
          <w:sz w:val="16"/>
        </w:rPr>
        <w:t xml:space="preserve">abr. </w:t>
      </w:r>
      <w:r>
        <w:rPr>
          <w:spacing w:val="23"/>
          <w:sz w:val="16"/>
        </w:rPr>
        <w:t xml:space="preserve">2009. </w:t>
      </w:r>
      <w:r>
        <w:rPr>
          <w:spacing w:val="26"/>
          <w:sz w:val="16"/>
        </w:rPr>
        <w:t>Disponível</w:t>
      </w:r>
      <w:r>
        <w:rPr>
          <w:spacing w:val="25"/>
          <w:sz w:val="16"/>
        </w:rPr>
        <w:t xml:space="preserve"> </w:t>
      </w:r>
      <w:r>
        <w:rPr>
          <w:spacing w:val="20"/>
          <w:sz w:val="16"/>
        </w:rPr>
        <w:t>em:</w:t>
      </w:r>
      <w:r>
        <w:rPr>
          <w:spacing w:val="-15"/>
          <w:sz w:val="16"/>
        </w:rPr>
        <w:t xml:space="preserve"> </w:t>
      </w:r>
    </w:p>
    <w:p w:rsidR="00D81F69" w:rsidRDefault="00D81F69">
      <w:pPr>
        <w:spacing w:before="2" w:line="312" w:lineRule="auto"/>
        <w:ind w:left="100" w:right="252"/>
        <w:jc w:val="both"/>
        <w:rPr>
          <w:sz w:val="16"/>
        </w:rPr>
      </w:pPr>
      <w:hyperlink r:id="rId386">
        <w:r w:rsidR="00330118">
          <w:rPr>
            <w:sz w:val="16"/>
          </w:rPr>
          <w:t>&lt;http://oglobo.globo.com/economia/mat/2009/04/16/vale-adia-onca-</w:t>
        </w:r>
      </w:hyperlink>
      <w:r w:rsidR="00330118">
        <w:rPr>
          <w:sz w:val="16"/>
        </w:rPr>
        <w:t xml:space="preserve"> puma-suspende-atividades-em-sudbury-755307110.asp&gt;. Acesso em: 24 mar. 2010.</w:t>
      </w:r>
    </w:p>
    <w:p w:rsidR="00D81F69" w:rsidRDefault="00D81F69">
      <w:pPr>
        <w:spacing w:before="2" w:line="312" w:lineRule="auto"/>
        <w:ind w:left="100" w:right="287" w:firstLine="540"/>
        <w:rPr>
          <w:sz w:val="16"/>
        </w:rPr>
      </w:pPr>
      <w:r w:rsidRPr="00D81F69">
        <w:pict>
          <v:line id="_x0000_s1034" style="position:absolute;left:0;text-align:left;z-index:-353800;mso-position-horizontal-relative:page" from="309.5pt,8.95pt" to="336.55pt,8.95pt" strokeweight=".17781mm">
            <w10:wrap anchorx="page"/>
          </v:line>
        </w:pict>
      </w:r>
      <w:r w:rsidR="00330118">
        <w:rPr>
          <w:sz w:val="16"/>
        </w:rPr>
        <w:t>. MP do Pará pede suspensão das at</w:t>
      </w:r>
      <w:r w:rsidR="00330118">
        <w:rPr>
          <w:sz w:val="16"/>
        </w:rPr>
        <w:t xml:space="preserve">ividades de Onça Puma, da Vale. Rio de Janeiro, 30 maio 2012. Disponível em: </w:t>
      </w:r>
    </w:p>
    <w:p w:rsidR="00D81F69" w:rsidRDefault="00D81F69">
      <w:pPr>
        <w:spacing w:before="2" w:line="312" w:lineRule="auto"/>
        <w:ind w:left="100" w:right="234"/>
        <w:jc w:val="both"/>
        <w:rPr>
          <w:sz w:val="16"/>
        </w:rPr>
      </w:pPr>
      <w:hyperlink r:id="rId387">
        <w:r w:rsidR="00330118">
          <w:rPr>
            <w:sz w:val="16"/>
          </w:rPr>
          <w:t>&lt;http://oglobo.globo.com/economia/mp-do-para-pede-suspensao-das-</w:t>
        </w:r>
      </w:hyperlink>
      <w:r w:rsidR="00330118">
        <w:rPr>
          <w:sz w:val="16"/>
        </w:rPr>
        <w:t xml:space="preserve"> atividades-de-onca-puma-da-vale-</w:t>
      </w:r>
      <w:r w:rsidR="00330118">
        <w:rPr>
          <w:sz w:val="16"/>
        </w:rPr>
        <w:t>5069376&gt;. Acesso em: 24 mar. 2010.</w:t>
      </w:r>
    </w:p>
    <w:p w:rsidR="00D81F69" w:rsidRDefault="00330118">
      <w:pPr>
        <w:spacing w:before="2" w:line="312" w:lineRule="auto"/>
        <w:ind w:left="100" w:right="206"/>
        <w:jc w:val="both"/>
        <w:rPr>
          <w:sz w:val="16"/>
        </w:rPr>
      </w:pPr>
      <w:r>
        <w:rPr>
          <w:spacing w:val="5"/>
          <w:sz w:val="16"/>
        </w:rPr>
        <w:t xml:space="preserve">MPF, Ministério Público Federal. </w:t>
      </w:r>
      <w:r>
        <w:rPr>
          <w:spacing w:val="3"/>
          <w:sz w:val="16"/>
        </w:rPr>
        <w:t xml:space="preserve">MPF </w:t>
      </w:r>
      <w:r>
        <w:rPr>
          <w:spacing w:val="5"/>
          <w:sz w:val="16"/>
        </w:rPr>
        <w:t xml:space="preserve">pede </w:t>
      </w:r>
      <w:r>
        <w:rPr>
          <w:sz w:val="16"/>
        </w:rPr>
        <w:t xml:space="preserve">a </w:t>
      </w:r>
      <w:r>
        <w:rPr>
          <w:spacing w:val="5"/>
          <w:sz w:val="16"/>
        </w:rPr>
        <w:t xml:space="preserve">suspensão </w:t>
      </w:r>
      <w:r>
        <w:rPr>
          <w:spacing w:val="6"/>
          <w:sz w:val="16"/>
        </w:rPr>
        <w:t xml:space="preserve">das </w:t>
      </w:r>
      <w:r>
        <w:rPr>
          <w:sz w:val="16"/>
        </w:rPr>
        <w:t xml:space="preserve">atividades da Mineração Onça-Puma, subsidiária da Vale, no Pará. </w:t>
      </w:r>
      <w:r>
        <w:rPr>
          <w:spacing w:val="27"/>
          <w:sz w:val="16"/>
        </w:rPr>
        <w:t xml:space="preserve">Brasília </w:t>
      </w:r>
      <w:r>
        <w:rPr>
          <w:spacing w:val="25"/>
          <w:sz w:val="16"/>
        </w:rPr>
        <w:t xml:space="preserve">(DF), </w:t>
      </w:r>
      <w:r>
        <w:rPr>
          <w:spacing w:val="15"/>
          <w:sz w:val="16"/>
        </w:rPr>
        <w:t xml:space="preserve">28 </w:t>
      </w:r>
      <w:r>
        <w:rPr>
          <w:spacing w:val="23"/>
          <w:sz w:val="16"/>
        </w:rPr>
        <w:t xml:space="preserve">maio </w:t>
      </w:r>
      <w:r>
        <w:rPr>
          <w:spacing w:val="25"/>
          <w:sz w:val="16"/>
        </w:rPr>
        <w:t xml:space="preserve">2012. </w:t>
      </w:r>
      <w:r>
        <w:rPr>
          <w:spacing w:val="27"/>
          <w:sz w:val="16"/>
        </w:rPr>
        <w:t>Disponível</w:t>
      </w:r>
      <w:r>
        <w:rPr>
          <w:spacing w:val="85"/>
          <w:sz w:val="16"/>
        </w:rPr>
        <w:t xml:space="preserve"> </w:t>
      </w:r>
      <w:r>
        <w:rPr>
          <w:spacing w:val="20"/>
          <w:sz w:val="16"/>
        </w:rPr>
        <w:t>em:</w:t>
      </w:r>
      <w:r>
        <w:rPr>
          <w:spacing w:val="-12"/>
          <w:sz w:val="16"/>
        </w:rPr>
        <w:t xml:space="preserve"> </w:t>
      </w:r>
    </w:p>
    <w:p w:rsidR="00D81F69" w:rsidRDefault="00D81F69">
      <w:pPr>
        <w:spacing w:before="3" w:line="312" w:lineRule="auto"/>
        <w:ind w:left="100" w:right="236"/>
        <w:jc w:val="both"/>
        <w:rPr>
          <w:sz w:val="16"/>
        </w:rPr>
      </w:pPr>
      <w:hyperlink r:id="rId388">
        <w:r w:rsidR="00330118">
          <w:rPr>
            <w:sz w:val="16"/>
          </w:rPr>
          <w:t>&lt;http://noticias.pgr.mpf.gov.br/noticias/noticias-do-site/copy_of_indios-</w:t>
        </w:r>
      </w:hyperlink>
      <w:r w:rsidR="00330118">
        <w:rPr>
          <w:sz w:val="16"/>
        </w:rPr>
        <w:t xml:space="preserve"> e-minorias/mpf-pede-a-suspensao-das-atividades-da-mineracao- onca-puma-subsidiaria-da-vale-no-para/?searchterm=Onça-puma&gt;. Acesso em: 06 ago. 201</w:t>
      </w:r>
      <w:r w:rsidR="00330118">
        <w:rPr>
          <w:sz w:val="16"/>
        </w:rPr>
        <w:t>2.</w:t>
      </w:r>
    </w:p>
    <w:p w:rsidR="00D81F69" w:rsidRDefault="00330118">
      <w:pPr>
        <w:spacing w:before="3" w:line="312" w:lineRule="auto"/>
        <w:ind w:left="100" w:right="199"/>
        <w:jc w:val="both"/>
        <w:rPr>
          <w:sz w:val="16"/>
        </w:rPr>
      </w:pPr>
      <w:r>
        <w:rPr>
          <w:sz w:val="16"/>
        </w:rPr>
        <w:t xml:space="preserve">OLIVEIRA, Clariana Pinto. Políticas de Estado e o grande capital na Amazônia: o caso da mineração no Pará. Monografia, Curso de Ciências Econômicas, Universidade Federal de Santa Catarina, Florianópolis,   2008,   65    f.    Disponível  em: </w:t>
      </w:r>
    </w:p>
    <w:p w:rsidR="00D81F69" w:rsidRDefault="00D81F69">
      <w:pPr>
        <w:spacing w:before="3"/>
        <w:ind w:left="100"/>
        <w:jc w:val="both"/>
        <w:rPr>
          <w:sz w:val="16"/>
        </w:rPr>
      </w:pPr>
      <w:hyperlink r:id="rId389">
        <w:r w:rsidR="00330118">
          <w:rPr>
            <w:sz w:val="16"/>
          </w:rPr>
          <w:t>&lt;http://www.cse.ufsc.br/~gecon/coord_mono/2008.1/Clariana.prn.pdf&gt;</w:t>
        </w:r>
      </w:hyperlink>
    </w:p>
    <w:p w:rsidR="00D81F69" w:rsidRDefault="00330118">
      <w:pPr>
        <w:spacing w:before="56"/>
        <w:ind w:left="100"/>
        <w:jc w:val="both"/>
        <w:rPr>
          <w:sz w:val="16"/>
        </w:rPr>
      </w:pPr>
      <w:r>
        <w:rPr>
          <w:sz w:val="16"/>
        </w:rPr>
        <w:t>. Acesso em: 24 mar. 2010.</w:t>
      </w:r>
    </w:p>
    <w:p w:rsidR="00D81F69" w:rsidRDefault="00330118">
      <w:pPr>
        <w:spacing w:before="56" w:line="312" w:lineRule="auto"/>
        <w:ind w:left="100" w:right="239"/>
        <w:jc w:val="both"/>
        <w:rPr>
          <w:sz w:val="16"/>
        </w:rPr>
      </w:pPr>
      <w:r>
        <w:rPr>
          <w:sz w:val="16"/>
        </w:rPr>
        <w:t>SUZUKI, Natália. CPT-PA denuncia impactos negativos de mineradora no sul do Pará</w:t>
      </w:r>
      <w:r>
        <w:rPr>
          <w:sz w:val="16"/>
        </w:rPr>
        <w:t>. Fundo Brasil de Direitos Humanos, 13 fev.</w:t>
      </w:r>
    </w:p>
    <w:p w:rsidR="00D81F69" w:rsidRDefault="00330118">
      <w:pPr>
        <w:tabs>
          <w:tab w:val="left" w:pos="1785"/>
          <w:tab w:val="left" w:pos="4548"/>
        </w:tabs>
        <w:spacing w:before="2"/>
        <w:ind w:left="100"/>
        <w:jc w:val="both"/>
        <w:rPr>
          <w:sz w:val="16"/>
        </w:rPr>
      </w:pPr>
      <w:r>
        <w:rPr>
          <w:sz w:val="16"/>
        </w:rPr>
        <w:t xml:space="preserve">2   0   0  </w:t>
      </w:r>
      <w:r>
        <w:rPr>
          <w:spacing w:val="35"/>
          <w:sz w:val="16"/>
        </w:rPr>
        <w:t xml:space="preserve"> </w:t>
      </w:r>
      <w:r>
        <w:rPr>
          <w:sz w:val="16"/>
        </w:rPr>
        <w:t xml:space="preserve">9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39"/>
        <w:jc w:val="both"/>
        <w:rPr>
          <w:sz w:val="16"/>
        </w:rPr>
      </w:pPr>
      <w:hyperlink r:id="rId390">
        <w:r w:rsidR="00330118">
          <w:rPr>
            <w:sz w:val="16"/>
          </w:rPr>
          <w:t>&lt;http://www.fundodireitoshumanos.org.br/viewConteudoOut.no-</w:t>
        </w:r>
      </w:hyperlink>
      <w:r w:rsidR="00330118">
        <w:rPr>
          <w:sz w:val="16"/>
        </w:rPr>
        <w:t xml:space="preserve"> filter?pager.offset=20&amp;catTipo=NOT&amp;conID=74&gt;. Acesso em: 24 mar. 2010.</w:t>
      </w:r>
    </w:p>
    <w:p w:rsidR="00D81F69" w:rsidRDefault="00330118">
      <w:pPr>
        <w:spacing w:before="3" w:line="312" w:lineRule="auto"/>
        <w:ind w:left="100" w:right="238"/>
        <w:jc w:val="both"/>
        <w:rPr>
          <w:sz w:val="16"/>
        </w:rPr>
      </w:pPr>
      <w:r>
        <w:rPr>
          <w:sz w:val="16"/>
        </w:rPr>
        <w:t xml:space="preserve">VALE. Recrutamento Onça Puma/Pará. Oportunidades na Vale. 2010. Disponível em: </w:t>
      </w:r>
      <w:hyperlink r:id="rId391">
        <w:r>
          <w:rPr>
            <w:sz w:val="16"/>
          </w:rPr>
          <w:t>&lt;http://www.vale.com/pt-br/carreiras/</w:t>
        </w:r>
        <w:r>
          <w:rPr>
            <w:sz w:val="16"/>
          </w:rPr>
          <w:t>oportunidades-</w:t>
        </w:r>
      </w:hyperlink>
      <w:r>
        <w:rPr>
          <w:sz w:val="16"/>
        </w:rPr>
        <w:t xml:space="preserve"> na-vale/recrutamento-onca-puma/paginas/default.aspx&gt;. Acesso em: 8 mar.</w:t>
      </w:r>
      <w:r>
        <w:rPr>
          <w:spacing w:val="13"/>
          <w:sz w:val="16"/>
        </w:rPr>
        <w:t xml:space="preserve"> </w:t>
      </w:r>
      <w:r>
        <w:rPr>
          <w:sz w:val="16"/>
        </w:rPr>
        <w:t>2011.</w:t>
      </w:r>
    </w:p>
    <w:p w:rsidR="00D81F69" w:rsidRDefault="00330118">
      <w:pPr>
        <w:spacing w:before="3"/>
        <w:ind w:left="100"/>
        <w:jc w:val="both"/>
        <w:rPr>
          <w:sz w:val="16"/>
        </w:rPr>
      </w:pPr>
      <w:r>
        <w:rPr>
          <w:sz w:val="16"/>
        </w:rPr>
        <w:t xml:space="preserve">______. Produção e sustentabilidade. Disponível em: </w:t>
      </w:r>
    </w:p>
    <w:p w:rsidR="00D81F69" w:rsidRDefault="00D81F69">
      <w:pPr>
        <w:spacing w:before="56" w:line="312" w:lineRule="auto"/>
        <w:ind w:left="100" w:right="254"/>
        <w:jc w:val="both"/>
        <w:rPr>
          <w:sz w:val="16"/>
        </w:rPr>
      </w:pPr>
      <w:hyperlink r:id="rId392">
        <w:r w:rsidR="00330118">
          <w:rPr>
            <w:sz w:val="16"/>
          </w:rPr>
          <w:t>&lt;http://valeqvale.wordpress.</w:t>
        </w:r>
        <w:r w:rsidR="00330118">
          <w:rPr>
            <w:sz w:val="16"/>
          </w:rPr>
          <w:t>com/2012/06/26/mina-grande-conflitos-</w:t>
        </w:r>
      </w:hyperlink>
      <w:r w:rsidR="00330118">
        <w:rPr>
          <w:sz w:val="16"/>
        </w:rPr>
        <w:t xml:space="preserve"> gerais/&gt;. Acesso em: 06 ago. 2012.</w:t>
      </w:r>
    </w:p>
    <w:p w:rsidR="00D81F69" w:rsidRDefault="00D81F69">
      <w:pPr>
        <w:spacing w:line="312" w:lineRule="auto"/>
        <w:jc w:val="both"/>
        <w:rPr>
          <w:sz w:val="16"/>
        </w:rPr>
        <w:sectPr w:rsidR="00D81F69">
          <w:pgSz w:w="11900" w:h="16840"/>
          <w:pgMar w:top="740" w:right="460" w:bottom="720" w:left="620" w:header="0" w:footer="402" w:gutter="0"/>
          <w:cols w:num="2" w:space="720" w:equalWidth="0">
            <w:col w:w="5246" w:space="224"/>
            <w:col w:w="5350"/>
          </w:cols>
        </w:sectPr>
      </w:pPr>
    </w:p>
    <w:p w:rsidR="00D81F69" w:rsidRDefault="00330118">
      <w:pPr>
        <w:pStyle w:val="Heading1"/>
        <w:tabs>
          <w:tab w:val="left" w:pos="7521"/>
        </w:tabs>
        <w:spacing w:line="208" w:lineRule="auto"/>
        <w:ind w:right="240"/>
      </w:pPr>
      <w:bookmarkStart w:id="32" w:name="_TOC_250001"/>
      <w:r>
        <w:rPr>
          <w:spacing w:val="15"/>
        </w:rPr>
        <w:lastRenderedPageBreak/>
        <w:t xml:space="preserve">Décadas  </w:t>
      </w:r>
      <w:r>
        <w:rPr>
          <w:spacing w:val="8"/>
        </w:rPr>
        <w:t xml:space="preserve">de  </w:t>
      </w:r>
      <w:r>
        <w:rPr>
          <w:spacing w:val="15"/>
        </w:rPr>
        <w:t>garimpagem</w:t>
      </w:r>
      <w:r>
        <w:rPr>
          <w:spacing w:val="2"/>
        </w:rPr>
        <w:t xml:space="preserve"> </w:t>
      </w:r>
      <w:r>
        <w:rPr>
          <w:spacing w:val="8"/>
        </w:rPr>
        <w:t>do</w:t>
      </w:r>
      <w:r>
        <w:rPr>
          <w:spacing w:val="90"/>
        </w:rPr>
        <w:t xml:space="preserve"> </w:t>
      </w:r>
      <w:r>
        <w:rPr>
          <w:spacing w:val="12"/>
        </w:rPr>
        <w:t>ouro</w:t>
      </w:r>
      <w:r>
        <w:rPr>
          <w:spacing w:val="12"/>
        </w:rPr>
        <w:tab/>
      </w:r>
      <w:r>
        <w:rPr>
          <w:spacing w:val="15"/>
        </w:rPr>
        <w:t xml:space="preserve">causam </w:t>
      </w:r>
      <w:r>
        <w:rPr>
          <w:spacing w:val="17"/>
        </w:rPr>
        <w:t xml:space="preserve">danos </w:t>
      </w:r>
      <w:r>
        <w:rPr>
          <w:spacing w:val="15"/>
        </w:rPr>
        <w:t xml:space="preserve">socioambientais </w:t>
      </w:r>
      <w:r>
        <w:rPr>
          <w:spacing w:val="8"/>
        </w:rPr>
        <w:t xml:space="preserve">na </w:t>
      </w:r>
      <w:r>
        <w:rPr>
          <w:spacing w:val="15"/>
        </w:rPr>
        <w:t xml:space="preserve">Província </w:t>
      </w:r>
      <w:r>
        <w:rPr>
          <w:spacing w:val="8"/>
        </w:rPr>
        <w:t xml:space="preserve">do </w:t>
      </w:r>
      <w:r>
        <w:rPr>
          <w:spacing w:val="15"/>
        </w:rPr>
        <w:t>Tapajós</w:t>
      </w:r>
      <w:r>
        <w:rPr>
          <w:spacing w:val="42"/>
        </w:rPr>
        <w:t xml:space="preserve"> </w:t>
      </w:r>
      <w:bookmarkEnd w:id="32"/>
      <w:r>
        <w:rPr>
          <w:spacing w:val="17"/>
        </w:rPr>
        <w:t>(PA)</w:t>
      </w:r>
    </w:p>
    <w:p w:rsidR="00D81F69" w:rsidRDefault="00D81F69">
      <w:pPr>
        <w:pStyle w:val="Corpodetexto"/>
        <w:ind w:left="0"/>
        <w:jc w:val="left"/>
        <w:rPr>
          <w:b/>
          <w:sz w:val="20"/>
        </w:rPr>
      </w:pPr>
    </w:p>
    <w:p w:rsidR="00D81F69" w:rsidRDefault="00D81F69">
      <w:pPr>
        <w:rPr>
          <w:sz w:val="20"/>
        </w:rPr>
        <w:sectPr w:rsidR="00D81F69">
          <w:pgSz w:w="11900" w:h="16840"/>
          <w:pgMar w:top="1080" w:right="46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38"/>
        <w:rPr>
          <w:i/>
          <w:sz w:val="14"/>
        </w:rPr>
      </w:pPr>
      <w:r>
        <w:rPr>
          <w:i/>
          <w:sz w:val="14"/>
        </w:rPr>
        <w:t xml:space="preserve">PA - Aveiro </w:t>
      </w:r>
      <w:r>
        <w:rPr>
          <w:i/>
          <w:sz w:val="14"/>
        </w:rPr>
        <w:t>PA - Itaituba PA - Rurópolis PA - Santarém</w:t>
      </w:r>
    </w:p>
    <w:p w:rsidR="00D81F69" w:rsidRDefault="00D81F69">
      <w:pPr>
        <w:pStyle w:val="Corpodetexto"/>
        <w:spacing w:before="6"/>
        <w:ind w:left="0"/>
        <w:jc w:val="left"/>
        <w:rPr>
          <w:i/>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-4,26913</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-55,9897</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0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A garimpagem do ouro na Província do </w:t>
      </w:r>
      <w:r>
        <w:rPr>
          <w:i/>
          <w:sz w:val="16"/>
        </w:rPr>
        <w:t>Tapajós começou de forma rudimentar e foi incrementada ao longo dos anos, porém, não trouxe o desenvolvimento regional esperado. Em contrapartida, causou vários impactos socioambientais. Sem mitigação dos impactos causados, nos últimos anos, a região tem s</w:t>
      </w:r>
      <w:r>
        <w:rPr>
          <w:i/>
          <w:sz w:val="16"/>
        </w:rPr>
        <w:t>ido novamente alvo das mineradoras, o que prejudica ainda mais o quadro.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1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51"/>
      </w:pPr>
      <w:r>
        <w:t>habitantes (IBGE, 2010 a). A prática do garimpo individual seguiu até o final da década de 1970, utilizando instrumentos rudimentares, aparelhos manuais ou máquinas simples e port</w:t>
      </w:r>
      <w:r>
        <w:t>áteis para a extração do ouro nos alvéolos de cursos d'água ou nas margens e depósitos secundários ou chapadas (RODRIGUES et al., 1994).</w:t>
      </w:r>
    </w:p>
    <w:p w:rsidR="00D81F69" w:rsidRDefault="00330118">
      <w:pPr>
        <w:pStyle w:val="Corpodetexto"/>
        <w:spacing w:before="135" w:line="312" w:lineRule="auto"/>
        <w:ind w:left="135" w:right="236"/>
      </w:pPr>
      <w:r>
        <w:t>Ainda na década de 1970, com o Plano de Integração Nacional, iniciou-se a construção das Rodovias Transamazônica e Cuiabá-Santarém, gerando um incremento da atividade garimpeira com a chegada de grande contingente populacional — vindo principalmente do Nor</w:t>
      </w:r>
      <w:r>
        <w:t>deste</w:t>
      </w:r>
    </w:p>
    <w:p w:rsidR="00D81F69" w:rsidRDefault="00D81F69">
      <w:pPr>
        <w:spacing w:line="312" w:lineRule="auto"/>
        <w:sectPr w:rsidR="00D81F69">
          <w:type w:val="continuous"/>
          <w:pgSz w:w="11900" w:h="16840"/>
          <w:pgMar w:top="720" w:right="460" w:bottom="280" w:left="620" w:header="720" w:footer="720" w:gutter="0"/>
          <w:cols w:num="3" w:space="720" w:equalWidth="0">
            <w:col w:w="1094" w:space="906"/>
            <w:col w:w="3121" w:space="314"/>
            <w:col w:w="5385"/>
          </w:cols>
        </w:sectPr>
      </w:pPr>
    </w:p>
    <w:p w:rsidR="00D81F69" w:rsidRDefault="00330118">
      <w:pPr>
        <w:pStyle w:val="Heading4"/>
        <w:spacing w:before="88"/>
      </w:pPr>
      <w:r>
        <w:lastRenderedPageBreak/>
        <w:t>APRESENTAÇÃO DE CASO</w:t>
      </w:r>
    </w:p>
    <w:p w:rsidR="00D81F69" w:rsidRDefault="00330118">
      <w:pPr>
        <w:pStyle w:val="Corpodetexto"/>
        <w:spacing w:before="171" w:line="312" w:lineRule="auto"/>
        <w:ind w:right="84"/>
      </w:pPr>
      <w:r>
        <w:t>A garimpagem de ouro é a principal atividade econômica na bacia do rio Tapajós, no oeste do estado do Pará (BEZERRA; VERÍSSIMO; UHL, 1998). A atividade começou, efetivamente, na região, a partir do</w:t>
      </w:r>
      <w:r>
        <w:t>s anos 1950, quando foi descoberto ouro aluvionar no rio das Tropas, afluente da margem direita do rio Tapajós (RODRIGUES et al., 1994).</w:t>
      </w:r>
    </w:p>
    <w:p w:rsidR="00D81F69" w:rsidRDefault="00330118">
      <w:pPr>
        <w:pStyle w:val="Corpodetexto"/>
        <w:spacing w:before="135" w:line="312" w:lineRule="auto"/>
        <w:ind w:right="101"/>
      </w:pPr>
      <w:r>
        <w:t>Em três décadas, o processo de extração de ouro, que era feito através de equipamentos rudimentares, passou a usar nova</w:t>
      </w:r>
      <w:r>
        <w:t xml:space="preserve">s tecnologias para recuperar este bem mineral em maior quantidade. Tal inserção tecnológica, juntamente com o </w:t>
      </w:r>
      <w:hyperlink r:id="rId393">
        <w:r>
          <w:t xml:space="preserve">mercúrio </w:t>
        </w:r>
      </w:hyperlink>
      <w:r>
        <w:t>usado no processo de concentração e apuração d</w:t>
      </w:r>
      <w:r>
        <w:t>o ouro, vem provocando, ao longo dos anos, vários impactos socioambientais (RODRIGUES et al., 1994).</w:t>
      </w:r>
    </w:p>
    <w:p w:rsidR="00D81F69" w:rsidRDefault="00330118">
      <w:pPr>
        <w:pStyle w:val="Corpodetexto"/>
        <w:spacing w:before="137" w:line="312" w:lineRule="auto"/>
        <w:ind w:right="105"/>
        <w:jc w:val="left"/>
      </w:pPr>
      <w:r>
        <w:t xml:space="preserve">A região é drenada pela bacia do rio Tapajós, cuja área é de aproximadamente 105.000 km², abrangendo os municípios de </w:t>
      </w:r>
      <w:r>
        <w:rPr>
          <w:spacing w:val="3"/>
        </w:rPr>
        <w:t xml:space="preserve">Santarém, Itaituba, Aveiro </w:t>
      </w:r>
      <w:r>
        <w:t xml:space="preserve">e </w:t>
      </w:r>
      <w:r>
        <w:rPr>
          <w:spacing w:val="3"/>
        </w:rPr>
        <w:t>Rurópoli</w:t>
      </w:r>
      <w:r>
        <w:rPr>
          <w:spacing w:val="3"/>
        </w:rPr>
        <w:t xml:space="preserve">s (AMOT, 2010). </w:t>
      </w:r>
      <w:r>
        <w:rPr>
          <w:spacing w:val="5"/>
        </w:rPr>
        <w:t xml:space="preserve">No </w:t>
      </w:r>
      <w:r>
        <w:t>início da década de 1960, outras ocorrências de ouro foram encontradas no local, em especial ao longo das drenagens de grande porte, como nos rios Tapajós, Crepori e Jamanxim. A garimpagem local ganhou impulso com a abertura de pistas  d</w:t>
      </w:r>
      <w:r>
        <w:t>e</w:t>
      </w:r>
      <w:r>
        <w:rPr>
          <w:spacing w:val="15"/>
        </w:rPr>
        <w:t xml:space="preserve"> </w:t>
      </w:r>
      <w:r>
        <w:t>pouso,</w:t>
      </w:r>
      <w:r>
        <w:rPr>
          <w:spacing w:val="15"/>
        </w:rPr>
        <w:t xml:space="preserve"> </w:t>
      </w:r>
      <w:r>
        <w:t>a</w:t>
      </w:r>
      <w:r>
        <w:rPr>
          <w:spacing w:val="15"/>
        </w:rPr>
        <w:t xml:space="preserve"> </w:t>
      </w:r>
      <w:r>
        <w:t>partir</w:t>
      </w:r>
      <w:r>
        <w:rPr>
          <w:spacing w:val="15"/>
        </w:rPr>
        <w:t xml:space="preserve"> </w:t>
      </w:r>
      <w:r>
        <w:t>de</w:t>
      </w:r>
      <w:r>
        <w:rPr>
          <w:spacing w:val="15"/>
        </w:rPr>
        <w:t xml:space="preserve"> </w:t>
      </w:r>
      <w:r>
        <w:t>1962</w:t>
      </w:r>
      <w:r>
        <w:rPr>
          <w:spacing w:val="15"/>
        </w:rPr>
        <w:t xml:space="preserve"> </w:t>
      </w:r>
      <w:r>
        <w:t>(RODRIGUES</w:t>
      </w:r>
      <w:r>
        <w:rPr>
          <w:spacing w:val="15"/>
        </w:rPr>
        <w:t xml:space="preserve"> </w:t>
      </w:r>
      <w:r>
        <w:t>et</w:t>
      </w:r>
      <w:r>
        <w:rPr>
          <w:spacing w:val="15"/>
        </w:rPr>
        <w:t xml:space="preserve"> </w:t>
      </w:r>
      <w:r>
        <w:t>al.,</w:t>
      </w:r>
      <w:r>
        <w:rPr>
          <w:spacing w:val="15"/>
        </w:rPr>
        <w:t xml:space="preserve"> </w:t>
      </w:r>
      <w:r>
        <w:t>1994).</w:t>
      </w:r>
    </w:p>
    <w:p w:rsidR="00D81F69" w:rsidRDefault="00330118">
      <w:pPr>
        <w:pStyle w:val="Corpodetexto"/>
        <w:spacing w:before="137" w:line="312" w:lineRule="auto"/>
        <w:ind w:right="96"/>
      </w:pPr>
      <w:r>
        <w:t>No auge da produção garimpeira, entre 1982 e 1990, a Companhia de Pesquisa de Recursos Minerais (CPRM) chegou a catalogar, na Província Mineral do Tapajós, 432 pistas de pouso. Na província aurífera chega</w:t>
      </w:r>
      <w:r>
        <w:t>ram a funcionar mais de dois mil pontos de garimpo, cuja produção estima-se ter superado 700 toneladas de ouro (AMOT, 2010).</w:t>
      </w:r>
    </w:p>
    <w:p w:rsidR="00D81F69" w:rsidRDefault="00330118">
      <w:pPr>
        <w:pStyle w:val="Corpodetexto"/>
        <w:spacing w:before="136" w:line="312" w:lineRule="auto"/>
        <w:ind w:right="94"/>
      </w:pPr>
      <w:r>
        <w:t>Na primeira fase dos garimpos do Tapajós, que vai até o final dos anos 1960, a atividade garimpeira era basicamente manual (RODRIGU</w:t>
      </w:r>
      <w:r>
        <w:t>ES et al., 1994; AMOT, 2010). Os</w:t>
      </w:r>
    </w:p>
    <w:p w:rsidR="00D81F69" w:rsidRDefault="00330118">
      <w:pPr>
        <w:pStyle w:val="Corpodetexto"/>
        <w:spacing w:before="2" w:line="312" w:lineRule="auto"/>
        <w:ind w:right="38"/>
      </w:pPr>
      <w:r>
        <w:t xml:space="preserve">garimpeiros lavravam os pequenos igarapés na proximidade de suas cabeceiras. Estima-se que cerca de 70% da mão de obra do garimpo, à época, eram oriundos dos seringais, e os </w:t>
      </w:r>
      <w:r>
        <w:rPr>
          <w:spacing w:val="5"/>
        </w:rPr>
        <w:t xml:space="preserve">outros 30%, </w:t>
      </w:r>
      <w:r>
        <w:rPr>
          <w:spacing w:val="2"/>
        </w:rPr>
        <w:t xml:space="preserve">da </w:t>
      </w:r>
      <w:r>
        <w:rPr>
          <w:spacing w:val="5"/>
        </w:rPr>
        <w:t xml:space="preserve">área urbana, </w:t>
      </w:r>
      <w:r>
        <w:rPr>
          <w:spacing w:val="2"/>
        </w:rPr>
        <w:t xml:space="preserve">em </w:t>
      </w:r>
      <w:r>
        <w:rPr>
          <w:spacing w:val="5"/>
        </w:rPr>
        <w:t xml:space="preserve">especial </w:t>
      </w:r>
      <w:r>
        <w:rPr>
          <w:spacing w:val="2"/>
        </w:rPr>
        <w:t xml:space="preserve">de </w:t>
      </w:r>
      <w:r>
        <w:rPr>
          <w:spacing w:val="6"/>
        </w:rPr>
        <w:t xml:space="preserve">Santarém </w:t>
      </w:r>
      <w:r>
        <w:rPr>
          <w:spacing w:val="5"/>
        </w:rPr>
        <w:t>(RODRIGUES</w:t>
      </w:r>
      <w:r>
        <w:rPr>
          <w:spacing w:val="37"/>
        </w:rPr>
        <w:t xml:space="preserve"> </w:t>
      </w:r>
      <w:r>
        <w:rPr>
          <w:spacing w:val="2"/>
        </w:rPr>
        <w:t>et</w:t>
      </w:r>
      <w:r>
        <w:rPr>
          <w:spacing w:val="37"/>
        </w:rPr>
        <w:t xml:space="preserve"> </w:t>
      </w:r>
      <w:r>
        <w:rPr>
          <w:spacing w:val="3"/>
        </w:rPr>
        <w:t>al.,</w:t>
      </w:r>
      <w:r>
        <w:rPr>
          <w:spacing w:val="37"/>
        </w:rPr>
        <w:t xml:space="preserve"> </w:t>
      </w:r>
      <w:r>
        <w:rPr>
          <w:spacing w:val="3"/>
        </w:rPr>
        <w:t>1994)</w:t>
      </w:r>
      <w:r>
        <w:rPr>
          <w:spacing w:val="37"/>
        </w:rPr>
        <w:t xml:space="preserve"> </w:t>
      </w:r>
      <w:r>
        <w:t>—</w:t>
      </w:r>
      <w:r>
        <w:rPr>
          <w:spacing w:val="37"/>
        </w:rPr>
        <w:t xml:space="preserve"> </w:t>
      </w:r>
      <w:r>
        <w:rPr>
          <w:spacing w:val="5"/>
        </w:rPr>
        <w:t>22.886,761</w:t>
      </w:r>
      <w:r>
        <w:rPr>
          <w:spacing w:val="37"/>
        </w:rPr>
        <w:t xml:space="preserve"> </w:t>
      </w:r>
      <w:r>
        <w:rPr>
          <w:spacing w:val="3"/>
        </w:rPr>
        <w:t>km²</w:t>
      </w:r>
      <w:r>
        <w:rPr>
          <w:spacing w:val="37"/>
        </w:rPr>
        <w:t xml:space="preserve"> </w:t>
      </w:r>
      <w:r>
        <w:t>e</w:t>
      </w:r>
      <w:r>
        <w:rPr>
          <w:spacing w:val="37"/>
        </w:rPr>
        <w:t xml:space="preserve"> </w:t>
      </w:r>
      <w:r>
        <w:rPr>
          <w:spacing w:val="5"/>
        </w:rPr>
        <w:t>294.580</w:t>
      </w:r>
    </w:p>
    <w:p w:rsidR="00D81F69" w:rsidRDefault="00330118">
      <w:pPr>
        <w:pStyle w:val="Corpodetexto"/>
        <w:spacing w:before="5" w:line="312" w:lineRule="auto"/>
        <w:ind w:right="242"/>
      </w:pPr>
      <w:r>
        <w:br w:type="column"/>
      </w:r>
      <w:r>
        <w:lastRenderedPageBreak/>
        <w:t>— e com a diminuição dos custos de manutenção nos garimpos. Nesta década, empresas de mineração começaram a ser atraídas pelo ouro do Tapajós. Registros do Departamento Nacional de Produção Mine</w:t>
      </w:r>
      <w:r>
        <w:t>ral (DNPM) mostram que os pedidos de alvará de pesquisa se multiplicaram nas áreas de vários rios afluentes do Tapajós (RODRIGUES et al., 1994).</w:t>
      </w:r>
    </w:p>
    <w:p w:rsidR="00D81F69" w:rsidRDefault="00330118">
      <w:pPr>
        <w:pStyle w:val="Corpodetexto"/>
        <w:spacing w:before="136" w:line="312" w:lineRule="auto"/>
        <w:ind w:right="225"/>
      </w:pPr>
      <w:r>
        <w:t xml:space="preserve">A proliferação dos garimpos, acompanhada do aumento da </w:t>
      </w:r>
      <w:r>
        <w:rPr>
          <w:spacing w:val="8"/>
        </w:rPr>
        <w:t xml:space="preserve">concentração </w:t>
      </w:r>
      <w:r>
        <w:rPr>
          <w:spacing w:val="5"/>
        </w:rPr>
        <w:t xml:space="preserve">de </w:t>
      </w:r>
      <w:r>
        <w:rPr>
          <w:spacing w:val="8"/>
        </w:rPr>
        <w:t xml:space="preserve">garimpeiros </w:t>
      </w:r>
      <w:r>
        <w:t xml:space="preserve">e </w:t>
      </w:r>
      <w:r>
        <w:rPr>
          <w:spacing w:val="5"/>
        </w:rPr>
        <w:t xml:space="preserve">da </w:t>
      </w:r>
      <w:r>
        <w:rPr>
          <w:spacing w:val="7"/>
        </w:rPr>
        <w:t xml:space="preserve">produção </w:t>
      </w:r>
      <w:r>
        <w:rPr>
          <w:spacing w:val="5"/>
        </w:rPr>
        <w:t xml:space="preserve">de </w:t>
      </w:r>
      <w:r>
        <w:rPr>
          <w:spacing w:val="10"/>
        </w:rPr>
        <w:t xml:space="preserve">ouro, </w:t>
      </w:r>
      <w:r>
        <w:t>despe</w:t>
      </w:r>
      <w:r>
        <w:t>rtou a atenção das autoridades governamentais. Assim, em 1972, foi firmado convênio entre o DNPM e a Fundação  de Assistência ao Garimpeiro (FAG) para prestar assistência oficial aos garimpeiros do Tapajós e disciplinar as atividades de garimpagem. O progr</w:t>
      </w:r>
      <w:r>
        <w:t xml:space="preserve">ama, no entanto, não surtiu o efeito </w:t>
      </w:r>
      <w:r>
        <w:rPr>
          <w:spacing w:val="1"/>
        </w:rPr>
        <w:t xml:space="preserve">esperado </w:t>
      </w:r>
      <w:r>
        <w:t xml:space="preserve">e </w:t>
      </w:r>
      <w:r>
        <w:rPr>
          <w:spacing w:val="1"/>
        </w:rPr>
        <w:t xml:space="preserve">durou apenas dois anos. Somente </w:t>
      </w:r>
      <w:r>
        <w:t xml:space="preserve">em </w:t>
      </w:r>
      <w:r>
        <w:rPr>
          <w:spacing w:val="1"/>
        </w:rPr>
        <w:t xml:space="preserve">1977, </w:t>
      </w:r>
      <w:r>
        <w:t xml:space="preserve">o </w:t>
      </w:r>
      <w:r>
        <w:rPr>
          <w:spacing w:val="2"/>
        </w:rPr>
        <w:t xml:space="preserve">DNPM </w:t>
      </w:r>
      <w:r>
        <w:rPr>
          <w:spacing w:val="3"/>
        </w:rPr>
        <w:t xml:space="preserve">criou </w:t>
      </w:r>
      <w:r>
        <w:t xml:space="preserve">o </w:t>
      </w:r>
      <w:r>
        <w:rPr>
          <w:spacing w:val="3"/>
        </w:rPr>
        <w:t xml:space="preserve">Projeto Estudos </w:t>
      </w:r>
      <w:r>
        <w:rPr>
          <w:spacing w:val="2"/>
        </w:rPr>
        <w:t xml:space="preserve">dos </w:t>
      </w:r>
      <w:r>
        <w:rPr>
          <w:spacing w:val="3"/>
        </w:rPr>
        <w:t xml:space="preserve">Garimpos </w:t>
      </w:r>
      <w:r>
        <w:rPr>
          <w:spacing w:val="5"/>
        </w:rPr>
        <w:t xml:space="preserve">Brasileiros, </w:t>
      </w:r>
      <w:r>
        <w:t>visando resolver problemas entre garimpeiros e titulares de alvarás</w:t>
      </w:r>
      <w:r>
        <w:rPr>
          <w:spacing w:val="18"/>
        </w:rPr>
        <w:t xml:space="preserve"> </w:t>
      </w:r>
      <w:r>
        <w:t>de</w:t>
      </w:r>
      <w:r>
        <w:rPr>
          <w:spacing w:val="18"/>
        </w:rPr>
        <w:t xml:space="preserve"> </w:t>
      </w:r>
      <w:r>
        <w:t>pesquisa</w:t>
      </w:r>
      <w:r>
        <w:rPr>
          <w:spacing w:val="18"/>
        </w:rPr>
        <w:t xml:space="preserve"> </w:t>
      </w:r>
      <w:r>
        <w:t>(RODRIGUES</w:t>
      </w:r>
      <w:r>
        <w:rPr>
          <w:spacing w:val="18"/>
        </w:rPr>
        <w:t xml:space="preserve"> </w:t>
      </w:r>
      <w:r>
        <w:t>et</w:t>
      </w:r>
      <w:r>
        <w:rPr>
          <w:spacing w:val="18"/>
        </w:rPr>
        <w:t xml:space="preserve"> </w:t>
      </w:r>
      <w:r>
        <w:t>al.,</w:t>
      </w:r>
      <w:r>
        <w:rPr>
          <w:spacing w:val="18"/>
        </w:rPr>
        <w:t xml:space="preserve"> </w:t>
      </w:r>
      <w:r>
        <w:rPr>
          <w:spacing w:val="1"/>
        </w:rPr>
        <w:t>1994).</w:t>
      </w:r>
    </w:p>
    <w:p w:rsidR="00D81F69" w:rsidRDefault="00330118">
      <w:pPr>
        <w:pStyle w:val="Corpodetexto"/>
        <w:spacing w:before="140" w:line="312" w:lineRule="auto"/>
        <w:ind w:right="251"/>
      </w:pPr>
      <w:r>
        <w:t>A pa</w:t>
      </w:r>
      <w:r>
        <w:t>rtir de 1978, em virtude da elevação do preço do ouro no mercado internacional e interno, do contingente populacional dedicado à atividade e à exaustão dos depósitos aluvionares nas calhas ou drenagens menores, iniciou-se a mecanização da atividade garimpe</w:t>
      </w:r>
      <w:r>
        <w:t>ira. O trabalho, antes feito com pá e picareta, passou a ser realizado com motobomba de alta pressão. Até então, todo o material da região do Tapajós era sedimento passivo; depois, as atenções se voltaram para o leito ativo do rio, através do uso de dragas</w:t>
      </w:r>
      <w:r>
        <w:t xml:space="preserve"> rudimentares (RODRIGUES et al., 1994).</w:t>
      </w:r>
    </w:p>
    <w:p w:rsidR="00D81F69" w:rsidRDefault="00330118">
      <w:pPr>
        <w:pStyle w:val="Corpodetexto"/>
        <w:spacing w:before="77" w:line="270" w:lineRule="atLeast"/>
        <w:ind w:right="257"/>
        <w:jc w:val="left"/>
      </w:pPr>
      <w:r>
        <w:t xml:space="preserve">Em </w:t>
      </w:r>
      <w:r>
        <w:rPr>
          <w:spacing w:val="1"/>
        </w:rPr>
        <w:t xml:space="preserve">julho </w:t>
      </w:r>
      <w:r>
        <w:t xml:space="preserve">de </w:t>
      </w:r>
      <w:r>
        <w:rPr>
          <w:spacing w:val="1"/>
        </w:rPr>
        <w:t xml:space="preserve">1983, </w:t>
      </w:r>
      <w:r>
        <w:t xml:space="preserve">o </w:t>
      </w:r>
      <w:r>
        <w:rPr>
          <w:spacing w:val="1"/>
        </w:rPr>
        <w:t xml:space="preserve">Ministério </w:t>
      </w:r>
      <w:r>
        <w:t xml:space="preserve">de </w:t>
      </w:r>
      <w:r>
        <w:rPr>
          <w:spacing w:val="1"/>
        </w:rPr>
        <w:t xml:space="preserve">Minas </w:t>
      </w:r>
      <w:r>
        <w:t xml:space="preserve">e </w:t>
      </w:r>
      <w:r>
        <w:rPr>
          <w:spacing w:val="1"/>
        </w:rPr>
        <w:t xml:space="preserve">Energia </w:t>
      </w:r>
      <w:r>
        <w:rPr>
          <w:spacing w:val="2"/>
        </w:rPr>
        <w:t xml:space="preserve">(MME) </w:t>
      </w:r>
      <w:r>
        <w:t xml:space="preserve">baixou uma portaria, definindo uma área de 28.745 km2, no município de Itaituba — 62.040,111 km² e 97.493 habitantes (IBGE, 2010 b) — como de livre garimpagem. </w:t>
      </w:r>
      <w:r>
        <w:t xml:space="preserve">No mesmo ano, o Projeto Garimpo passou a atuar definitivamente na região  </w:t>
      </w:r>
      <w:r>
        <w:rPr>
          <w:spacing w:val="3"/>
        </w:rPr>
        <w:t xml:space="preserve">do </w:t>
      </w:r>
      <w:r>
        <w:rPr>
          <w:spacing w:val="6"/>
        </w:rPr>
        <w:t xml:space="preserve">Tapajós, </w:t>
      </w:r>
      <w:r>
        <w:rPr>
          <w:spacing w:val="5"/>
        </w:rPr>
        <w:t xml:space="preserve">com apoio </w:t>
      </w:r>
      <w:r>
        <w:rPr>
          <w:spacing w:val="3"/>
        </w:rPr>
        <w:t xml:space="preserve">na </w:t>
      </w:r>
      <w:r>
        <w:rPr>
          <w:spacing w:val="5"/>
        </w:rPr>
        <w:t xml:space="preserve">cidade </w:t>
      </w:r>
      <w:r>
        <w:rPr>
          <w:spacing w:val="3"/>
        </w:rPr>
        <w:t xml:space="preserve">de </w:t>
      </w:r>
      <w:r>
        <w:rPr>
          <w:spacing w:val="6"/>
        </w:rPr>
        <w:t xml:space="preserve">Itaituba </w:t>
      </w:r>
      <w:r>
        <w:t xml:space="preserve">e </w:t>
      </w:r>
      <w:r>
        <w:rPr>
          <w:spacing w:val="7"/>
        </w:rPr>
        <w:t xml:space="preserve">frentes </w:t>
      </w:r>
      <w:r>
        <w:t xml:space="preserve">avançadas de serviços nos garimpos do Cuiú-Cuiú e Marupá. Em 1984, o projeto sofreu alterações, passando a se chamar </w:t>
      </w:r>
      <w:r>
        <w:rPr>
          <w:spacing w:val="5"/>
        </w:rPr>
        <w:t>Projeto Our</w:t>
      </w:r>
      <w:r>
        <w:rPr>
          <w:spacing w:val="5"/>
        </w:rPr>
        <w:t xml:space="preserve">o. Após paralisação </w:t>
      </w:r>
      <w:r>
        <w:rPr>
          <w:spacing w:val="2"/>
        </w:rPr>
        <w:t xml:space="preserve">de um </w:t>
      </w:r>
      <w:r>
        <w:rPr>
          <w:spacing w:val="5"/>
        </w:rPr>
        <w:t xml:space="preserve">ano, devido </w:t>
      </w:r>
      <w:r>
        <w:rPr>
          <w:spacing w:val="6"/>
        </w:rPr>
        <w:t xml:space="preserve">aos </w:t>
      </w:r>
      <w:r>
        <w:rPr>
          <w:spacing w:val="5"/>
        </w:rPr>
        <w:t>poucos</w:t>
      </w:r>
      <w:r>
        <w:rPr>
          <w:spacing w:val="40"/>
        </w:rPr>
        <w:t xml:space="preserve"> </w:t>
      </w:r>
      <w:r>
        <w:rPr>
          <w:spacing w:val="5"/>
        </w:rPr>
        <w:t>recursos</w:t>
      </w:r>
      <w:r>
        <w:rPr>
          <w:spacing w:val="40"/>
        </w:rPr>
        <w:t xml:space="preserve"> </w:t>
      </w:r>
      <w:r>
        <w:rPr>
          <w:spacing w:val="5"/>
        </w:rPr>
        <w:t>disponíveis,</w:t>
      </w:r>
      <w:r>
        <w:rPr>
          <w:spacing w:val="40"/>
        </w:rPr>
        <w:t xml:space="preserve"> </w:t>
      </w:r>
      <w:r>
        <w:t>a</w:t>
      </w:r>
      <w:r>
        <w:rPr>
          <w:spacing w:val="40"/>
        </w:rPr>
        <w:t xml:space="preserve"> </w:t>
      </w:r>
      <w:r>
        <w:rPr>
          <w:spacing w:val="5"/>
        </w:rPr>
        <w:t>iniciativa</w:t>
      </w:r>
      <w:r>
        <w:rPr>
          <w:spacing w:val="40"/>
        </w:rPr>
        <w:t xml:space="preserve"> </w:t>
      </w:r>
      <w:r>
        <w:rPr>
          <w:spacing w:val="3"/>
        </w:rPr>
        <w:t>foi</w:t>
      </w:r>
      <w:r>
        <w:rPr>
          <w:spacing w:val="40"/>
        </w:rPr>
        <w:t xml:space="preserve"> </w:t>
      </w:r>
      <w:r>
        <w:rPr>
          <w:spacing w:val="5"/>
        </w:rPr>
        <w:t>retomada</w:t>
      </w:r>
      <w:r>
        <w:rPr>
          <w:spacing w:val="40"/>
        </w:rPr>
        <w:t xml:space="preserve"> </w:t>
      </w:r>
      <w:r>
        <w:t>e</w:t>
      </w:r>
    </w:p>
    <w:p w:rsidR="00D81F69" w:rsidRDefault="00D81F69">
      <w:pPr>
        <w:spacing w:line="270" w:lineRule="atLeast"/>
        <w:sectPr w:rsidR="00D81F69">
          <w:type w:val="continuous"/>
          <w:pgSz w:w="11900" w:h="16840"/>
          <w:pgMar w:top="720" w:right="460" w:bottom="280" w:left="620" w:header="720" w:footer="720" w:gutter="0"/>
          <w:cols w:num="2" w:space="720" w:equalWidth="0">
            <w:col w:w="5198" w:space="272"/>
            <w:col w:w="5350"/>
          </w:cols>
        </w:sectPr>
      </w:pPr>
    </w:p>
    <w:p w:rsidR="00D81F69" w:rsidRDefault="00330118">
      <w:pPr>
        <w:pStyle w:val="Corpodetexto"/>
        <w:spacing w:before="81" w:line="312" w:lineRule="auto"/>
        <w:ind w:right="49"/>
      </w:pPr>
      <w:r>
        <w:lastRenderedPageBreak/>
        <w:t>passou a se chamar Projeto Ouro e Gemas. No entanto, devido à precariedade de recursos, foi mais uma vez interrompida. A falta de orientação e assistência adequadas fez com que os garimpeiros usassem técnicas predatórias (RODRIGUES et al., 1994).</w:t>
      </w:r>
    </w:p>
    <w:p w:rsidR="00D81F69" w:rsidRDefault="00330118">
      <w:pPr>
        <w:pStyle w:val="Corpodetexto"/>
        <w:spacing w:before="134" w:line="312" w:lineRule="auto"/>
        <w:ind w:right="49"/>
      </w:pPr>
      <w:r>
        <w:t xml:space="preserve">Em 1989, </w:t>
      </w:r>
      <w:r>
        <w:t>a ilegalidade da mineração artesanal do ouro foi parcialmente resolvida pela legislação com a Permissão de Lavra Garimpeira (Lei n° 7.805 de 18/07/89) e com a criação das "reservas garimpeiras". Já em 1990, as atividades do Projeto Ouro e Gemas foram direc</w:t>
      </w:r>
      <w:r>
        <w:t>ionadas ao cadastramento nacional dos garimpos e garimpeiros, orientação e implantação do regime de permissão de lavra garimpeira e ao desenvolvimento de tecnologia para lavra e tratamento de ouro (RODRIGUES et al., 1994) “Na região do Tapajós, foram cadas</w:t>
      </w:r>
      <w:r>
        <w:t xml:space="preserve">trados 8.867 garimpeiros em 18 garimpos, o que projetou a estimativa de 88.870 garimpeiros e 600 pontos de garimpos na região do Tapajós-Parauari” (RODRIGUES et al., 1994, p. 15). A partir de agosto de 1991, o projeto passou a controlar e avaliar as áreas </w:t>
      </w:r>
      <w:r>
        <w:t>de ouro e gemas no país, com implantação de escritórios regionais em alguns locais de garimpagem e, dentre eles, Itaituba (RODRIGUES et al., 1994).</w:t>
      </w:r>
    </w:p>
    <w:p w:rsidR="00D81F69" w:rsidRDefault="00330118">
      <w:pPr>
        <w:pStyle w:val="Corpodetexto"/>
        <w:spacing w:before="146" w:line="312" w:lineRule="auto"/>
        <w:ind w:right="46"/>
      </w:pPr>
      <w:r>
        <w:t>Diante do quadro, a Secretaria de Estado de Indústria, Comércio e Mineração (Seicom), através da Diretoria d</w:t>
      </w:r>
      <w:r>
        <w:t>e Área de Mineração (Diram) elaborou, em 1989, o Programa de Controle Ambiental da Garimpagem no Rio Tapajós (Camga- Tapajós), visando encontrar alternativas para racionalizar a explotação de ouro por "garimpagem", maximizando a produção e minimizando seus</w:t>
      </w:r>
      <w:r>
        <w:t xml:space="preserve"> efeitos socioambientais negativos (RODRIGUES et al., 1994).</w:t>
      </w:r>
    </w:p>
    <w:p w:rsidR="00D81F69" w:rsidRDefault="00330118">
      <w:pPr>
        <w:pStyle w:val="Corpodetexto"/>
        <w:spacing w:before="138" w:line="312" w:lineRule="auto"/>
        <w:ind w:right="38"/>
      </w:pPr>
      <w:r>
        <w:t>O Programa Camga-Tapajós começou suas atividades em 1991. Dentre elas, podem-se citar: realização de diagnóstico socioeconômico e avaliação das potencialidades associativas; identificação e análi</w:t>
      </w:r>
      <w:r>
        <w:t>se dos fatores impactantes; desenvolvimento, aperfeiçoamento de tecnologias de extração, beneficiamento e recuperação de ouro e mercúrio; ocupação alternativa consorciada com extrativismo mineral; difusão de tecnologias, dados e informações necessárias à f</w:t>
      </w:r>
      <w:r>
        <w:t>ormação de uma consciência pública sobre a necessidade de preservação do meio ambiente (RODRIGUES et al., 1994).</w:t>
      </w:r>
    </w:p>
    <w:p w:rsidR="00D81F69" w:rsidRDefault="00330118">
      <w:pPr>
        <w:pStyle w:val="Corpodetexto"/>
        <w:spacing w:before="139" w:line="312" w:lineRule="auto"/>
        <w:ind w:right="48"/>
      </w:pPr>
      <w:r>
        <w:t xml:space="preserve">O </w:t>
      </w:r>
      <w:r>
        <w:rPr>
          <w:spacing w:val="7"/>
        </w:rPr>
        <w:t xml:space="preserve">programa detectou </w:t>
      </w:r>
      <w:r>
        <w:rPr>
          <w:spacing w:val="5"/>
        </w:rPr>
        <w:t xml:space="preserve">que </w:t>
      </w:r>
      <w:r>
        <w:rPr>
          <w:spacing w:val="7"/>
        </w:rPr>
        <w:t xml:space="preserve">grande parte </w:t>
      </w:r>
      <w:r>
        <w:rPr>
          <w:spacing w:val="5"/>
        </w:rPr>
        <w:t xml:space="preserve">dos </w:t>
      </w:r>
      <w:r>
        <w:rPr>
          <w:spacing w:val="10"/>
        </w:rPr>
        <w:t xml:space="preserve">impactos </w:t>
      </w:r>
      <w:r>
        <w:t>socioambientais devia-se à lavra e ao beneficiamento do ouro propriamente ditos, bem como à d</w:t>
      </w:r>
      <w:r>
        <w:t xml:space="preserve">esorganização social </w:t>
      </w:r>
      <w:r>
        <w:rPr>
          <w:spacing w:val="1"/>
        </w:rPr>
        <w:t xml:space="preserve">que </w:t>
      </w:r>
      <w:r>
        <w:t xml:space="preserve">prevalecia na atividade do garimpo. Como resultado, houve </w:t>
      </w:r>
      <w:r>
        <w:rPr>
          <w:spacing w:val="13"/>
        </w:rPr>
        <w:t xml:space="preserve">destruição </w:t>
      </w:r>
      <w:r>
        <w:rPr>
          <w:spacing w:val="7"/>
        </w:rPr>
        <w:t xml:space="preserve">de </w:t>
      </w:r>
      <w:r>
        <w:rPr>
          <w:spacing w:val="12"/>
        </w:rPr>
        <w:t xml:space="preserve">nichos </w:t>
      </w:r>
      <w:r>
        <w:rPr>
          <w:spacing w:val="13"/>
        </w:rPr>
        <w:t xml:space="preserve">ecológicos; assoreamento </w:t>
      </w:r>
      <w:r>
        <w:t xml:space="preserve">e </w:t>
      </w:r>
      <w:r>
        <w:rPr>
          <w:spacing w:val="6"/>
        </w:rPr>
        <w:t xml:space="preserve">recobrimento </w:t>
      </w:r>
      <w:r>
        <w:rPr>
          <w:spacing w:val="3"/>
        </w:rPr>
        <w:t xml:space="preserve">de </w:t>
      </w:r>
      <w:r>
        <w:rPr>
          <w:spacing w:val="6"/>
        </w:rPr>
        <w:t xml:space="preserve">várzeas; alteração </w:t>
      </w:r>
      <w:r>
        <w:rPr>
          <w:spacing w:val="5"/>
        </w:rPr>
        <w:t xml:space="preserve">nos cursos </w:t>
      </w:r>
      <w:r>
        <w:rPr>
          <w:spacing w:val="7"/>
        </w:rPr>
        <w:t xml:space="preserve">d´água; </w:t>
      </w:r>
      <w:r>
        <w:t>contaminação da biota; prejuízos à segurança alimentar e à subsistência</w:t>
      </w:r>
      <w:r>
        <w:t xml:space="preserve"> das populações ribeirinhas; aumento dos custos com tratamento de água pela população; geração de focos de </w:t>
      </w:r>
      <w:r>
        <w:rPr>
          <w:spacing w:val="13"/>
        </w:rPr>
        <w:t xml:space="preserve">doenças </w:t>
      </w:r>
      <w:r>
        <w:rPr>
          <w:spacing w:val="15"/>
        </w:rPr>
        <w:t xml:space="preserve">endêmicas; exposição </w:t>
      </w:r>
      <w:r>
        <w:rPr>
          <w:spacing w:val="10"/>
        </w:rPr>
        <w:t xml:space="preserve">das </w:t>
      </w:r>
      <w:r>
        <w:rPr>
          <w:spacing w:val="15"/>
        </w:rPr>
        <w:t xml:space="preserve">populações </w:t>
      </w:r>
      <w:r>
        <w:t xml:space="preserve">à contaminação por mercúrio; comprometimento das atividades </w:t>
      </w:r>
      <w:r>
        <w:rPr>
          <w:spacing w:val="3"/>
        </w:rPr>
        <w:t xml:space="preserve">econômicas; aumento </w:t>
      </w:r>
      <w:r>
        <w:rPr>
          <w:spacing w:val="1"/>
        </w:rPr>
        <w:t xml:space="preserve">de </w:t>
      </w:r>
      <w:r>
        <w:rPr>
          <w:spacing w:val="3"/>
        </w:rPr>
        <w:t xml:space="preserve">doenças ocupacionais; </w:t>
      </w:r>
      <w:r>
        <w:rPr>
          <w:spacing w:val="5"/>
        </w:rPr>
        <w:t xml:space="preserve">inchaço populacional </w:t>
      </w:r>
      <w:r>
        <w:rPr>
          <w:spacing w:val="3"/>
        </w:rPr>
        <w:t xml:space="preserve">nas áreas </w:t>
      </w:r>
      <w:r>
        <w:rPr>
          <w:spacing w:val="2"/>
        </w:rPr>
        <w:t xml:space="preserve">de </w:t>
      </w:r>
      <w:r>
        <w:rPr>
          <w:spacing w:val="5"/>
        </w:rPr>
        <w:t xml:space="preserve">garimpo (RODRIGUES </w:t>
      </w:r>
      <w:r>
        <w:rPr>
          <w:spacing w:val="2"/>
        </w:rPr>
        <w:t xml:space="preserve">et </w:t>
      </w:r>
      <w:r>
        <w:rPr>
          <w:spacing w:val="5"/>
        </w:rPr>
        <w:t>al.,</w:t>
      </w:r>
      <w:r>
        <w:rPr>
          <w:spacing w:val="61"/>
        </w:rPr>
        <w:t xml:space="preserve"> </w:t>
      </w:r>
      <w:r>
        <w:rPr>
          <w:spacing w:val="5"/>
        </w:rPr>
        <w:t>1994).</w:t>
      </w:r>
    </w:p>
    <w:p w:rsidR="00D81F69" w:rsidRDefault="00330118">
      <w:pPr>
        <w:pStyle w:val="Corpodetexto"/>
        <w:spacing w:before="81" w:line="312" w:lineRule="auto"/>
        <w:ind w:right="237"/>
      </w:pPr>
      <w:r>
        <w:br w:type="column"/>
      </w:r>
      <w:r>
        <w:rPr>
          <w:spacing w:val="1"/>
        </w:rPr>
        <w:lastRenderedPageBreak/>
        <w:t xml:space="preserve">Os </w:t>
      </w:r>
      <w:r>
        <w:rPr>
          <w:spacing w:val="3"/>
        </w:rPr>
        <w:t xml:space="preserve">processos tecnológicos usados </w:t>
      </w:r>
      <w:r>
        <w:rPr>
          <w:spacing w:val="2"/>
        </w:rPr>
        <w:t xml:space="preserve">para </w:t>
      </w:r>
      <w:r>
        <w:rPr>
          <w:spacing w:val="3"/>
        </w:rPr>
        <w:t xml:space="preserve">extração </w:t>
      </w:r>
      <w:r>
        <w:rPr>
          <w:spacing w:val="1"/>
        </w:rPr>
        <w:t xml:space="preserve">de </w:t>
      </w:r>
      <w:r>
        <w:rPr>
          <w:spacing w:val="5"/>
        </w:rPr>
        <w:t xml:space="preserve">ouro </w:t>
      </w:r>
      <w:r>
        <w:rPr>
          <w:spacing w:val="13"/>
        </w:rPr>
        <w:t xml:space="preserve">acabaram </w:t>
      </w:r>
      <w:r>
        <w:rPr>
          <w:spacing w:val="15"/>
        </w:rPr>
        <w:t xml:space="preserve">impactando </w:t>
      </w:r>
      <w:r>
        <w:t xml:space="preserve">o </w:t>
      </w:r>
      <w:r>
        <w:rPr>
          <w:spacing w:val="12"/>
        </w:rPr>
        <w:t xml:space="preserve">bioma </w:t>
      </w:r>
      <w:r>
        <w:rPr>
          <w:spacing w:val="10"/>
        </w:rPr>
        <w:t>com</w:t>
      </w:r>
      <w:r>
        <w:rPr>
          <w:spacing w:val="71"/>
        </w:rPr>
        <w:t xml:space="preserve"> </w:t>
      </w:r>
      <w:r>
        <w:rPr>
          <w:spacing w:val="13"/>
        </w:rPr>
        <w:t xml:space="preserve">emissões </w:t>
      </w:r>
      <w:r>
        <w:rPr>
          <w:spacing w:val="7"/>
        </w:rPr>
        <w:t xml:space="preserve">de </w:t>
      </w:r>
      <w:r>
        <w:t xml:space="preserve">aproximadamente 1,1 t de mercúrio/ano (SEMA, 1987 apud </w:t>
      </w:r>
      <w:r>
        <w:rPr>
          <w:spacing w:val="5"/>
        </w:rPr>
        <w:t xml:space="preserve">AMOT, 2010). Uma </w:t>
      </w:r>
      <w:r>
        <w:rPr>
          <w:spacing w:val="6"/>
        </w:rPr>
        <w:t>pesquisa realiza</w:t>
      </w:r>
      <w:r>
        <w:rPr>
          <w:spacing w:val="6"/>
        </w:rPr>
        <w:t xml:space="preserve">da </w:t>
      </w:r>
      <w:r>
        <w:rPr>
          <w:spacing w:val="5"/>
        </w:rPr>
        <w:t xml:space="preserve">pelo Centro </w:t>
      </w:r>
      <w:r>
        <w:rPr>
          <w:spacing w:val="7"/>
        </w:rPr>
        <w:t xml:space="preserve">de </w:t>
      </w:r>
      <w:r>
        <w:rPr>
          <w:spacing w:val="3"/>
        </w:rPr>
        <w:t xml:space="preserve">Tecnologia Mineral (Cetem), </w:t>
      </w:r>
      <w:r>
        <w:rPr>
          <w:spacing w:val="1"/>
        </w:rPr>
        <w:t xml:space="preserve">em </w:t>
      </w:r>
      <w:r>
        <w:rPr>
          <w:spacing w:val="3"/>
        </w:rPr>
        <w:t xml:space="preserve">parceria </w:t>
      </w:r>
      <w:r>
        <w:rPr>
          <w:spacing w:val="2"/>
        </w:rPr>
        <w:t xml:space="preserve">com </w:t>
      </w:r>
      <w:r>
        <w:t xml:space="preserve">o </w:t>
      </w:r>
      <w:r>
        <w:rPr>
          <w:spacing w:val="5"/>
        </w:rPr>
        <w:t xml:space="preserve">Instituto </w:t>
      </w:r>
      <w:r>
        <w:t>Evandro Chagas (IEC), revelou o alto índice de contaminação por mercúrio dos peixes do leito do rio Tapajós (AMOT, 2010).</w:t>
      </w:r>
    </w:p>
    <w:p w:rsidR="00D81F69" w:rsidRDefault="00330118">
      <w:pPr>
        <w:pStyle w:val="Corpodetexto"/>
        <w:spacing w:before="136" w:line="312" w:lineRule="auto"/>
        <w:ind w:right="230"/>
      </w:pPr>
      <w:r>
        <w:t xml:space="preserve">Os pesquisadores retiraram centenas de peixes de 30 espécies diferentes, todas bastante consumidas na região. Em 65% das amostras, havia índice de contaminação pelo metal acima do aceitável pela Organização Mundial de Saúde (OMS), que é de 0,5%. Os peixes </w:t>
      </w:r>
      <w:r>
        <w:t>foram apanhados em São Chico e Creporizinho, duas comunidades com grande concentração de garimpos. Em determinadas áreas pesquisadas, o teor de mercúrio encontrado em peixes chegou a ser 40 vezes maior do que o estipulado pela OMS. Na outra etapa do estudo</w:t>
      </w:r>
      <w:r>
        <w:t>, detectou-se que das 700 pessoas examinadas, 50% continham mercúrio no organismo em índices superiores aos aceitos pela OMS (AMOT, 2010).</w:t>
      </w:r>
    </w:p>
    <w:p w:rsidR="00D81F69" w:rsidRDefault="00330118">
      <w:pPr>
        <w:pStyle w:val="Corpodetexto"/>
        <w:spacing w:before="141" w:line="312" w:lineRule="auto"/>
        <w:ind w:right="238"/>
      </w:pPr>
      <w:r>
        <w:t>Assim, os pesquisadores sugeriram que a química de metais pesados em solos sob efeito dos processos tecnológicos de e</w:t>
      </w:r>
      <w:r>
        <w:t>xtração de ouro fosse mais um bioindicador de sustentabilidade ambiental em ecossistemas produtivos amazônicos (AMOT, 2010).</w:t>
      </w:r>
    </w:p>
    <w:p w:rsidR="00D81F69" w:rsidRDefault="00330118">
      <w:pPr>
        <w:pStyle w:val="Corpodetexto"/>
        <w:spacing w:before="135" w:line="312" w:lineRule="auto"/>
        <w:ind w:right="230"/>
      </w:pPr>
      <w:r>
        <w:t>Na realidade, a exploração do ouro do Tapajós não tem conduzido ao desenvolvimento regional. Parte da riqueza advinda da extração d</w:t>
      </w:r>
      <w:r>
        <w:t>o metal tem sido gasta em atividades efêmeras; parte está sendo utilizada para converter a floresta tropical em pastos e fazendas; o restante vem sendo aplicado fora da região, em investimentos financeiros (BEZERRA; VERÍSSIMO; UHL, 1998).</w:t>
      </w:r>
    </w:p>
    <w:p w:rsidR="00D81F69" w:rsidRDefault="00330118">
      <w:pPr>
        <w:pStyle w:val="Corpodetexto"/>
        <w:spacing w:before="136" w:line="312" w:lineRule="auto"/>
        <w:ind w:right="222"/>
      </w:pPr>
      <w:r>
        <w:t>Somente uma peque</w:t>
      </w:r>
      <w:r>
        <w:t>na parcela dos investimentos é direcionada à economia regional. Mesmo assim, esse dinheiro é utilizado para a criação de um serviço econômico precário. Por exemplo, Itaituba “era uma pacata cidade amazônica de apenas 2 mil habitantes em 1968 — antes do ‘bo</w:t>
      </w:r>
      <w:r>
        <w:t>om’ do ouro. Dez anos depois, ela foi transformada em uma cidade de aproximadamente 100 mil habitantes, repleta de compradores de ouro, lojas, bordéis e restaurantes” (BEZERRA; VERÍSSIMO; UHL, 1998, p. 20).</w:t>
      </w:r>
    </w:p>
    <w:p w:rsidR="00D81F69" w:rsidRDefault="00330118">
      <w:pPr>
        <w:pStyle w:val="Corpodetexto"/>
        <w:spacing w:before="139" w:line="312" w:lineRule="auto"/>
        <w:ind w:right="234"/>
      </w:pPr>
      <w:r>
        <w:t xml:space="preserve">O crescimento da cidade foi provocado pelo ouro; </w:t>
      </w:r>
      <w:r>
        <w:t>quase todas as lojas e serviços satisfazem, portanto, a esse setor. Muito pouco da riqueza gerada pelo metal foi investida em atividades econômicas voltadas à produção ou à criação de capital natural [rios, florestas de várzea, etc.] ou social (BEZERRA; VE</w:t>
      </w:r>
      <w:r>
        <w:t>RÍSSIMO; UHL, 1998).</w:t>
      </w:r>
    </w:p>
    <w:p w:rsidR="00D81F69" w:rsidRDefault="00330118">
      <w:pPr>
        <w:pStyle w:val="Corpodetexto"/>
        <w:spacing w:before="72" w:line="270" w:lineRule="atLeast"/>
        <w:ind w:right="242"/>
      </w:pPr>
      <w:r>
        <w:t xml:space="preserve">A partir da década de 2000, a região do Tapajós voltou a ser </w:t>
      </w:r>
      <w:r>
        <w:rPr>
          <w:spacing w:val="3"/>
        </w:rPr>
        <w:t xml:space="preserve">alvo </w:t>
      </w:r>
      <w:r>
        <w:rPr>
          <w:spacing w:val="2"/>
        </w:rPr>
        <w:t xml:space="preserve">de </w:t>
      </w:r>
      <w:r>
        <w:rPr>
          <w:spacing w:val="5"/>
        </w:rPr>
        <w:t xml:space="preserve">mineradoras. </w:t>
      </w:r>
      <w:r>
        <w:rPr>
          <w:spacing w:val="2"/>
        </w:rPr>
        <w:t xml:space="preserve">Em </w:t>
      </w:r>
      <w:r>
        <w:rPr>
          <w:spacing w:val="3"/>
        </w:rPr>
        <w:t xml:space="preserve">2003, </w:t>
      </w:r>
      <w:r>
        <w:t xml:space="preserve">a </w:t>
      </w:r>
      <w:r>
        <w:rPr>
          <w:spacing w:val="5"/>
        </w:rPr>
        <w:t>D´Gold inaugurou, em</w:t>
      </w:r>
      <w:r>
        <w:rPr>
          <w:spacing w:val="61"/>
        </w:rPr>
        <w:t xml:space="preserve"> </w:t>
      </w:r>
      <w:r>
        <w:t xml:space="preserve">Itaituba, a primeira purificadora de metais nobres da </w:t>
      </w:r>
      <w:r>
        <w:rPr>
          <w:spacing w:val="1"/>
        </w:rPr>
        <w:t xml:space="preserve">região </w:t>
      </w:r>
      <w:r>
        <w:t xml:space="preserve">Norte. A fábrica tem capacidade de produção de 350 kg/mês </w:t>
      </w:r>
      <w:r>
        <w:rPr>
          <w:spacing w:val="5"/>
        </w:rPr>
        <w:t>de</w:t>
      </w:r>
      <w:r>
        <w:rPr>
          <w:spacing w:val="5"/>
        </w:rPr>
        <w:t xml:space="preserve"> </w:t>
      </w:r>
      <w:r>
        <w:rPr>
          <w:spacing w:val="8"/>
        </w:rPr>
        <w:t xml:space="preserve">ouro puro </w:t>
      </w:r>
      <w:r>
        <w:t xml:space="preserve">e </w:t>
      </w:r>
      <w:r>
        <w:rPr>
          <w:spacing w:val="7"/>
        </w:rPr>
        <w:t xml:space="preserve">100 </w:t>
      </w:r>
      <w:r>
        <w:rPr>
          <w:spacing w:val="10"/>
        </w:rPr>
        <w:t xml:space="preserve">kg/mês </w:t>
      </w:r>
      <w:r>
        <w:rPr>
          <w:spacing w:val="5"/>
        </w:rPr>
        <w:t xml:space="preserve">de </w:t>
      </w:r>
      <w:r>
        <w:rPr>
          <w:spacing w:val="10"/>
        </w:rPr>
        <w:t xml:space="preserve">prata </w:t>
      </w:r>
      <w:r>
        <w:t xml:space="preserve">e </w:t>
      </w:r>
      <w:r>
        <w:rPr>
          <w:spacing w:val="10"/>
        </w:rPr>
        <w:t xml:space="preserve">contou </w:t>
      </w:r>
      <w:r>
        <w:rPr>
          <w:spacing w:val="12"/>
        </w:rPr>
        <w:t xml:space="preserve">com </w:t>
      </w:r>
      <w:r>
        <w:t xml:space="preserve">investimentos da ordem de R$ 400 mil, dos quais 40% foram </w:t>
      </w:r>
      <w:r>
        <w:rPr>
          <w:spacing w:val="3"/>
        </w:rPr>
        <w:t xml:space="preserve">aplicados </w:t>
      </w:r>
      <w:r>
        <w:rPr>
          <w:spacing w:val="1"/>
        </w:rPr>
        <w:t xml:space="preserve">em </w:t>
      </w:r>
      <w:r>
        <w:rPr>
          <w:spacing w:val="3"/>
        </w:rPr>
        <w:t xml:space="preserve">ações ambientais </w:t>
      </w:r>
      <w:r>
        <w:rPr>
          <w:spacing w:val="2"/>
        </w:rPr>
        <w:t xml:space="preserve">para </w:t>
      </w:r>
      <w:r>
        <w:rPr>
          <w:spacing w:val="3"/>
        </w:rPr>
        <w:t xml:space="preserve">preservação local </w:t>
      </w:r>
      <w:r>
        <w:rPr>
          <w:spacing w:val="5"/>
        </w:rPr>
        <w:t xml:space="preserve">do </w:t>
      </w:r>
      <w:r>
        <w:rPr>
          <w:spacing w:val="2"/>
        </w:rPr>
        <w:t xml:space="preserve">meio </w:t>
      </w:r>
      <w:r>
        <w:rPr>
          <w:spacing w:val="3"/>
        </w:rPr>
        <w:t>ambiente (BRASIL MINERAL,</w:t>
      </w:r>
      <w:r>
        <w:rPr>
          <w:spacing w:val="2"/>
        </w:rPr>
        <w:t xml:space="preserve"> </w:t>
      </w:r>
      <w:r>
        <w:rPr>
          <w:spacing w:val="5"/>
        </w:rPr>
        <w:t>2003).</w:t>
      </w:r>
    </w:p>
    <w:p w:rsidR="00D81F69" w:rsidRDefault="00D81F69">
      <w:pPr>
        <w:spacing w:line="270" w:lineRule="atLeast"/>
        <w:sectPr w:rsidR="00D81F69">
          <w:pgSz w:w="11900" w:h="16840"/>
          <w:pgMar w:top="740" w:right="460" w:bottom="640" w:left="620" w:header="0" w:footer="402" w:gutter="0"/>
          <w:cols w:num="2" w:space="720" w:equalWidth="0">
            <w:col w:w="5169" w:space="301"/>
            <w:col w:w="5350"/>
          </w:cols>
        </w:sectPr>
      </w:pPr>
    </w:p>
    <w:p w:rsidR="00D81F69" w:rsidRDefault="00D81F69">
      <w:pPr>
        <w:pStyle w:val="Corpodetexto"/>
        <w:spacing w:before="5"/>
        <w:ind w:left="0"/>
        <w:jc w:val="left"/>
        <w:rPr>
          <w:sz w:val="24"/>
        </w:rPr>
      </w:pPr>
    </w:p>
    <w:p w:rsidR="00D81F69" w:rsidRDefault="00330118">
      <w:pPr>
        <w:pStyle w:val="Corpodetexto"/>
        <w:spacing w:line="312" w:lineRule="auto"/>
        <w:ind w:right="91"/>
      </w:pPr>
      <w:r>
        <w:t>A fábrica está ligada ao polo joalheiro do Pará, projeto do governo estadual para verticalizar a produção mineral no estado. A empresa fornece ouro de alto teor aos produtores paraenses do polo, além de comercializar o produto para outros estados da federa</w:t>
      </w:r>
      <w:r>
        <w:t>ção (BRASIL MINERAL, 2003).</w:t>
      </w:r>
    </w:p>
    <w:p w:rsidR="00D81F69" w:rsidRDefault="00330118">
      <w:pPr>
        <w:pStyle w:val="Corpodetexto"/>
        <w:spacing w:before="134" w:line="312" w:lineRule="auto"/>
        <w:ind w:right="77"/>
      </w:pPr>
      <w:r>
        <w:t xml:space="preserve">Em 2004, a canadense Magellan Minerals adquiriu os direitos de exploração mineral do distrito aurífero Cuiú-Cuiú, a 180 km de Itaituba, próximo ao rio Crepori, que chegou a ter 10 mil pessoas em busca do ouro nos tempos áureos. </w:t>
      </w:r>
      <w:r>
        <w:t>No ano seguinte, a empresa celebrou um acordo os proprietários tradicionais das áreas que viviam e exploravam Cuiú-Cuiú. A empresa detém, hoje, 47 mil hectares de terras para exploração de ouro na região (RACISMO AMBIENTAL, 2012).</w:t>
      </w:r>
    </w:p>
    <w:p w:rsidR="00D81F69" w:rsidRDefault="00330118">
      <w:pPr>
        <w:pStyle w:val="Corpodetexto"/>
        <w:spacing w:before="138" w:line="312" w:lineRule="auto"/>
        <w:ind w:right="38"/>
      </w:pPr>
      <w:r>
        <w:t>Cuiú-Cuiú está localizada</w:t>
      </w:r>
      <w:r>
        <w:t xml:space="preserve"> entre os rios Crepori e o Jamanxim, onde é desenvolvido o projeto Tocantinzinho numa área de 140 km², da Eldorado Gold Corporation. Do Tocantinzinho, a Eldorado</w:t>
      </w:r>
      <w:r>
        <w:rPr>
          <w:spacing w:val="10"/>
        </w:rPr>
        <w:t xml:space="preserve"> </w:t>
      </w:r>
      <w:r>
        <w:t>pretende</w:t>
      </w:r>
      <w:r>
        <w:rPr>
          <w:spacing w:val="10"/>
        </w:rPr>
        <w:t xml:space="preserve"> </w:t>
      </w:r>
      <w:r>
        <w:t>extrair</w:t>
      </w:r>
      <w:r>
        <w:rPr>
          <w:spacing w:val="10"/>
        </w:rPr>
        <w:t xml:space="preserve"> </w:t>
      </w:r>
      <w:r>
        <w:t>cerca</w:t>
      </w:r>
      <w:r>
        <w:rPr>
          <w:spacing w:val="10"/>
        </w:rPr>
        <w:t xml:space="preserve"> </w:t>
      </w:r>
      <w:r>
        <w:t>de</w:t>
      </w:r>
      <w:r>
        <w:rPr>
          <w:spacing w:val="10"/>
        </w:rPr>
        <w:t xml:space="preserve"> </w:t>
      </w:r>
      <w:r>
        <w:t>160</w:t>
      </w:r>
      <w:r>
        <w:rPr>
          <w:spacing w:val="10"/>
        </w:rPr>
        <w:t xml:space="preserve"> </w:t>
      </w:r>
      <w:r>
        <w:t>mil</w:t>
      </w:r>
      <w:r>
        <w:rPr>
          <w:spacing w:val="10"/>
        </w:rPr>
        <w:t xml:space="preserve"> </w:t>
      </w:r>
      <w:r>
        <w:t>onças</w:t>
      </w:r>
      <w:r>
        <w:rPr>
          <w:spacing w:val="10"/>
        </w:rPr>
        <w:t xml:space="preserve"> </w:t>
      </w:r>
      <w:r>
        <w:t>de</w:t>
      </w:r>
      <w:r>
        <w:rPr>
          <w:spacing w:val="10"/>
        </w:rPr>
        <w:t xml:space="preserve"> </w:t>
      </w:r>
      <w:r>
        <w:t>ouro</w:t>
      </w:r>
      <w:r>
        <w:rPr>
          <w:spacing w:val="10"/>
        </w:rPr>
        <w:t xml:space="preserve"> </w:t>
      </w:r>
      <w:r>
        <w:t>de</w:t>
      </w:r>
    </w:p>
    <w:p w:rsidR="00D81F69" w:rsidRDefault="00330118">
      <w:pPr>
        <w:pStyle w:val="Corpodetexto"/>
        <w:spacing w:before="4" w:line="312" w:lineRule="auto"/>
        <w:ind w:right="95"/>
      </w:pPr>
      <w:r>
        <w:t>2.541 mil toneladas de rocha removida. Desd</w:t>
      </w:r>
      <w:r>
        <w:t>e 2010, o projeto tramita na Secretaria de Meio Ambiente do Pará (RACISMO AMBIENTAL, 2012).</w:t>
      </w:r>
    </w:p>
    <w:p w:rsidR="00D81F69" w:rsidRDefault="00330118">
      <w:pPr>
        <w:pStyle w:val="Corpodetexto"/>
        <w:spacing w:before="132" w:line="312" w:lineRule="auto"/>
        <w:ind w:right="88"/>
      </w:pPr>
      <w:r>
        <w:rPr>
          <w:spacing w:val="5"/>
        </w:rPr>
        <w:t xml:space="preserve">Em </w:t>
      </w:r>
      <w:r>
        <w:rPr>
          <w:spacing w:val="7"/>
        </w:rPr>
        <w:t xml:space="preserve">2012, </w:t>
      </w:r>
      <w:r>
        <w:t xml:space="preserve">a </w:t>
      </w:r>
      <w:r>
        <w:rPr>
          <w:spacing w:val="5"/>
        </w:rPr>
        <w:t xml:space="preserve">All Ore </w:t>
      </w:r>
      <w:r>
        <w:rPr>
          <w:spacing w:val="7"/>
        </w:rPr>
        <w:t xml:space="preserve">Mineração assinou contratos </w:t>
      </w:r>
      <w:r>
        <w:rPr>
          <w:spacing w:val="10"/>
        </w:rPr>
        <w:t xml:space="preserve">para </w:t>
      </w:r>
      <w:r>
        <w:rPr>
          <w:spacing w:val="5"/>
        </w:rPr>
        <w:t xml:space="preserve">aquisição </w:t>
      </w:r>
      <w:r>
        <w:rPr>
          <w:spacing w:val="2"/>
        </w:rPr>
        <w:t xml:space="preserve">de </w:t>
      </w:r>
      <w:r>
        <w:rPr>
          <w:spacing w:val="3"/>
        </w:rPr>
        <w:t xml:space="preserve">áreas para </w:t>
      </w:r>
      <w:r>
        <w:rPr>
          <w:spacing w:val="5"/>
        </w:rPr>
        <w:t xml:space="preserve">pesquisa </w:t>
      </w:r>
      <w:r>
        <w:rPr>
          <w:spacing w:val="2"/>
        </w:rPr>
        <w:t xml:space="preserve">de </w:t>
      </w:r>
      <w:r>
        <w:rPr>
          <w:spacing w:val="3"/>
        </w:rPr>
        <w:t xml:space="preserve">ouro </w:t>
      </w:r>
      <w:r>
        <w:rPr>
          <w:spacing w:val="2"/>
        </w:rPr>
        <w:t xml:space="preserve">no </w:t>
      </w:r>
      <w:r>
        <w:rPr>
          <w:spacing w:val="5"/>
        </w:rPr>
        <w:t>Brasil. Os</w:t>
      </w:r>
      <w:r>
        <w:rPr>
          <w:spacing w:val="61"/>
        </w:rPr>
        <w:t xml:space="preserve"> </w:t>
      </w:r>
      <w:r>
        <w:t xml:space="preserve">contratos lhe garantem o direito de pesquisar e adquirir áreas potenciais com cerca de 25 mil hectares na província mineral </w:t>
      </w:r>
      <w:r>
        <w:rPr>
          <w:spacing w:val="1"/>
        </w:rPr>
        <w:t xml:space="preserve">do </w:t>
      </w:r>
      <w:r>
        <w:rPr>
          <w:spacing w:val="3"/>
        </w:rPr>
        <w:t xml:space="preserve">Tapajós (PA). </w:t>
      </w:r>
      <w:r>
        <w:t xml:space="preserve">O </w:t>
      </w:r>
      <w:r>
        <w:rPr>
          <w:spacing w:val="3"/>
        </w:rPr>
        <w:t xml:space="preserve">valor </w:t>
      </w:r>
      <w:r>
        <w:rPr>
          <w:spacing w:val="2"/>
        </w:rPr>
        <w:t xml:space="preserve">das </w:t>
      </w:r>
      <w:r>
        <w:rPr>
          <w:spacing w:val="3"/>
        </w:rPr>
        <w:t xml:space="preserve">aquisições </w:t>
      </w:r>
      <w:r>
        <w:rPr>
          <w:spacing w:val="2"/>
        </w:rPr>
        <w:t xml:space="preserve">será </w:t>
      </w:r>
      <w:r>
        <w:rPr>
          <w:spacing w:val="3"/>
        </w:rPr>
        <w:t xml:space="preserve">definido </w:t>
      </w:r>
      <w:r>
        <w:rPr>
          <w:spacing w:val="5"/>
        </w:rPr>
        <w:t xml:space="preserve">de acordo </w:t>
      </w:r>
      <w:r>
        <w:rPr>
          <w:spacing w:val="3"/>
        </w:rPr>
        <w:t xml:space="preserve">com </w:t>
      </w:r>
      <w:r>
        <w:rPr>
          <w:spacing w:val="2"/>
        </w:rPr>
        <w:t xml:space="preserve">os </w:t>
      </w:r>
      <w:r>
        <w:rPr>
          <w:spacing w:val="5"/>
        </w:rPr>
        <w:t xml:space="preserve">recursos minerais encontrados durante </w:t>
      </w:r>
      <w:r>
        <w:t xml:space="preserve">a </w:t>
      </w:r>
      <w:r>
        <w:rPr>
          <w:spacing w:val="5"/>
        </w:rPr>
        <w:t>pesquisa geológica (B</w:t>
      </w:r>
      <w:r>
        <w:rPr>
          <w:spacing w:val="5"/>
        </w:rPr>
        <w:t>RASIL MINERAL, 2012).</w:t>
      </w:r>
    </w:p>
    <w:p w:rsidR="00D81F69" w:rsidRDefault="00D81F69">
      <w:pPr>
        <w:pStyle w:val="Corpodetexto"/>
        <w:spacing w:before="6"/>
        <w:ind w:left="0"/>
        <w:jc w:val="left"/>
        <w:rPr>
          <w:sz w:val="21"/>
        </w:rPr>
      </w:pPr>
    </w:p>
    <w:p w:rsidR="00D81F69" w:rsidRDefault="00330118">
      <w:pPr>
        <w:pStyle w:val="Heading7"/>
        <w:spacing w:before="1"/>
      </w:pPr>
      <w:r>
        <w:t>LOCALIZAÇÃO GEOGRÁFICA</w:t>
      </w:r>
    </w:p>
    <w:p w:rsidR="00D81F69" w:rsidRDefault="00330118">
      <w:pPr>
        <w:pStyle w:val="Corpodetexto"/>
        <w:spacing w:before="178" w:line="312" w:lineRule="auto"/>
        <w:ind w:right="90"/>
      </w:pPr>
      <w:r>
        <w:t>O município de Itaituba (PA), pertencente a área da bacia do Rio Tapajós, possui garimpos de ouro divididos entre as bacias do Rio Crepori e Tocantins, que são tributários da bacia do Rio Tapajós. Os garimpos S</w:t>
      </w:r>
      <w:r>
        <w:t>ão Domingo, Água Branca, Piranhas, Santa Tereza, Ratinho, Jari e Nove de Outubro localizam-se entre os Rios das Piranhas e o Tocantins, entre as latitudes 6°47’0”S – 5°52’31”S e longitudes 56°40’51”W – 56°13’4”W.</w:t>
      </w:r>
    </w:p>
    <w:p w:rsidR="00D81F69" w:rsidRDefault="00D81F69">
      <w:pPr>
        <w:pStyle w:val="Corpodetexto"/>
        <w:spacing w:before="5"/>
        <w:ind w:left="0"/>
        <w:jc w:val="left"/>
        <w:rPr>
          <w:sz w:val="29"/>
        </w:rPr>
      </w:pPr>
    </w:p>
    <w:p w:rsidR="00D81F69" w:rsidRDefault="00330118">
      <w:pPr>
        <w:pStyle w:val="Heading7"/>
      </w:pPr>
      <w:r>
        <w:t>REDATORES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5"/>
      </w:pPr>
      <w:r>
        <w:t>REFERÊNCIAS BIBLIOGRÁFICAS</w:t>
      </w:r>
    </w:p>
    <w:p w:rsidR="00D81F69" w:rsidRDefault="00330118">
      <w:pPr>
        <w:spacing w:before="187"/>
        <w:ind w:left="100"/>
        <w:jc w:val="both"/>
        <w:rPr>
          <w:sz w:val="16"/>
        </w:rPr>
      </w:pPr>
      <w:r>
        <w:rPr>
          <w:sz w:val="16"/>
        </w:rPr>
        <w:t>AMOT, Associação dos Mineradores de Ouro do Tapajós. Garimpos</w:t>
      </w:r>
    </w:p>
    <w:p w:rsidR="00D81F69" w:rsidRDefault="00330118">
      <w:pPr>
        <w:spacing w:before="70" w:line="312" w:lineRule="auto"/>
        <w:ind w:left="100" w:right="231"/>
        <w:jc w:val="both"/>
        <w:rPr>
          <w:sz w:val="16"/>
        </w:rPr>
      </w:pPr>
      <w:r>
        <w:br w:type="column"/>
      </w:r>
      <w:r>
        <w:rPr>
          <w:sz w:val="16"/>
        </w:rPr>
        <w:lastRenderedPageBreak/>
        <w:t xml:space="preserve">limpos no Tapajós. Santarém (PA), Universidade Federal do Oeste do </w:t>
      </w:r>
      <w:r>
        <w:rPr>
          <w:spacing w:val="11"/>
          <w:sz w:val="16"/>
        </w:rPr>
        <w:t xml:space="preserve">Pará </w:t>
      </w:r>
      <w:r>
        <w:rPr>
          <w:spacing w:val="13"/>
          <w:sz w:val="16"/>
        </w:rPr>
        <w:t xml:space="preserve">(Ufopa), </w:t>
      </w:r>
      <w:r>
        <w:rPr>
          <w:spacing w:val="11"/>
          <w:sz w:val="16"/>
        </w:rPr>
        <w:t xml:space="preserve">out. </w:t>
      </w:r>
      <w:r>
        <w:rPr>
          <w:spacing w:val="12"/>
          <w:sz w:val="16"/>
        </w:rPr>
        <w:t xml:space="preserve">2010. </w:t>
      </w:r>
      <w:r>
        <w:rPr>
          <w:spacing w:val="15"/>
          <w:sz w:val="16"/>
        </w:rPr>
        <w:t xml:space="preserve">Disponível </w:t>
      </w:r>
      <w:r>
        <w:rPr>
          <w:spacing w:val="10"/>
          <w:sz w:val="16"/>
        </w:rPr>
        <w:t>em:</w:t>
      </w:r>
      <w:r>
        <w:rPr>
          <w:spacing w:val="65"/>
          <w:sz w:val="16"/>
        </w:rPr>
        <w:t xml:space="preserve"> </w:t>
      </w:r>
      <w:hyperlink r:id="rId394">
        <w:r>
          <w:rPr>
            <w:spacing w:val="15"/>
            <w:sz w:val="16"/>
          </w:rPr>
          <w:t xml:space="preserve">&lt;http://amot- </w:t>
        </w:r>
      </w:hyperlink>
      <w:r>
        <w:rPr>
          <w:spacing w:val="5"/>
          <w:sz w:val="16"/>
        </w:rPr>
        <w:t xml:space="preserve">ouro.info/garimpo_limpos_14.html&gt;. Acesso </w:t>
      </w:r>
      <w:r>
        <w:rPr>
          <w:spacing w:val="3"/>
          <w:sz w:val="16"/>
        </w:rPr>
        <w:t xml:space="preserve">em: </w:t>
      </w:r>
      <w:r>
        <w:rPr>
          <w:spacing w:val="2"/>
          <w:sz w:val="16"/>
        </w:rPr>
        <w:t xml:space="preserve">26 </w:t>
      </w:r>
      <w:r>
        <w:rPr>
          <w:spacing w:val="5"/>
          <w:sz w:val="16"/>
        </w:rPr>
        <w:t xml:space="preserve">set. </w:t>
      </w:r>
      <w:r>
        <w:rPr>
          <w:spacing w:val="6"/>
          <w:sz w:val="16"/>
        </w:rPr>
        <w:t xml:space="preserve">2012. </w:t>
      </w:r>
      <w:r>
        <w:rPr>
          <w:spacing w:val="3"/>
          <w:sz w:val="16"/>
        </w:rPr>
        <w:t xml:space="preserve">BEZERRA, Oswaldo; VERÍSSIMO, Adalberto; </w:t>
      </w:r>
      <w:r>
        <w:rPr>
          <w:spacing w:val="2"/>
          <w:sz w:val="16"/>
        </w:rPr>
        <w:t xml:space="preserve">UHL, </w:t>
      </w:r>
      <w:r>
        <w:rPr>
          <w:spacing w:val="5"/>
          <w:sz w:val="16"/>
        </w:rPr>
        <w:t xml:space="preserve">Christopher. Impactos </w:t>
      </w:r>
      <w:r>
        <w:rPr>
          <w:spacing w:val="2"/>
          <w:sz w:val="16"/>
        </w:rPr>
        <w:t xml:space="preserve">da </w:t>
      </w:r>
      <w:r>
        <w:rPr>
          <w:spacing w:val="5"/>
          <w:sz w:val="16"/>
        </w:rPr>
        <w:t xml:space="preserve">garimpagem </w:t>
      </w:r>
      <w:r>
        <w:rPr>
          <w:spacing w:val="2"/>
          <w:sz w:val="16"/>
        </w:rPr>
        <w:t xml:space="preserve">de </w:t>
      </w:r>
      <w:r>
        <w:rPr>
          <w:spacing w:val="3"/>
          <w:sz w:val="16"/>
        </w:rPr>
        <w:t xml:space="preserve">ouro </w:t>
      </w:r>
      <w:r>
        <w:rPr>
          <w:spacing w:val="2"/>
          <w:sz w:val="16"/>
        </w:rPr>
        <w:t xml:space="preserve">na </w:t>
      </w:r>
      <w:r>
        <w:rPr>
          <w:spacing w:val="5"/>
          <w:sz w:val="16"/>
        </w:rPr>
        <w:t xml:space="preserve">Amazônia Oriental. Série Amazônia </w:t>
      </w:r>
      <w:r>
        <w:rPr>
          <w:spacing w:val="3"/>
          <w:sz w:val="16"/>
        </w:rPr>
        <w:t xml:space="preserve">II. Belém (PA): </w:t>
      </w:r>
      <w:r>
        <w:rPr>
          <w:spacing w:val="5"/>
          <w:sz w:val="16"/>
        </w:rPr>
        <w:t>Imazon, 1998.</w:t>
      </w:r>
    </w:p>
    <w:p w:rsidR="00D81F69" w:rsidRDefault="00330118">
      <w:pPr>
        <w:tabs>
          <w:tab w:val="left" w:pos="4331"/>
        </w:tabs>
        <w:spacing w:before="5" w:line="312" w:lineRule="auto"/>
        <w:ind w:left="100" w:right="232"/>
        <w:jc w:val="both"/>
        <w:rPr>
          <w:sz w:val="16"/>
        </w:rPr>
      </w:pPr>
      <w:r>
        <w:rPr>
          <w:sz w:val="16"/>
        </w:rPr>
        <w:t xml:space="preserve">BRASIL MINERAL. OURO I. All Ore assina contratos para áreas de </w:t>
      </w:r>
      <w:r>
        <w:rPr>
          <w:spacing w:val="5"/>
          <w:sz w:val="16"/>
        </w:rPr>
        <w:t xml:space="preserve">pesquisa </w:t>
      </w:r>
      <w:r>
        <w:rPr>
          <w:spacing w:val="2"/>
          <w:sz w:val="16"/>
        </w:rPr>
        <w:t xml:space="preserve">no </w:t>
      </w:r>
      <w:r>
        <w:rPr>
          <w:spacing w:val="3"/>
          <w:sz w:val="16"/>
        </w:rPr>
        <w:t xml:space="preserve">PA. In:  </w:t>
      </w:r>
      <w:r>
        <w:rPr>
          <w:spacing w:val="5"/>
          <w:sz w:val="16"/>
        </w:rPr>
        <w:t xml:space="preserve">Brasil Mineral OnLine </w:t>
      </w:r>
      <w:r>
        <w:rPr>
          <w:sz w:val="16"/>
        </w:rPr>
        <w:t xml:space="preserve">–  </w:t>
      </w:r>
      <w:r>
        <w:rPr>
          <w:spacing w:val="3"/>
          <w:sz w:val="16"/>
        </w:rPr>
        <w:t xml:space="preserve">559,  </w:t>
      </w:r>
      <w:r>
        <w:rPr>
          <w:spacing w:val="2"/>
          <w:sz w:val="16"/>
        </w:rPr>
        <w:t xml:space="preserve">04  </w:t>
      </w:r>
      <w:r>
        <w:rPr>
          <w:spacing w:val="3"/>
          <w:sz w:val="16"/>
        </w:rPr>
        <w:t xml:space="preserve">jul.  </w:t>
      </w:r>
      <w:r>
        <w:rPr>
          <w:spacing w:val="5"/>
          <w:sz w:val="16"/>
        </w:rPr>
        <w:t xml:space="preserve">2012.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256"/>
        <w:jc w:val="both"/>
        <w:rPr>
          <w:sz w:val="16"/>
        </w:rPr>
      </w:pPr>
      <w:hyperlink r:id="rId395">
        <w:r w:rsidR="00330118">
          <w:rPr>
            <w:sz w:val="16"/>
          </w:rPr>
          <w:t>&lt;http://www.brasilmineral.com.br/BM/default.asp?COD=6296&amp;busca=</w:t>
        </w:r>
      </w:hyperlink>
      <w:r w:rsidR="00330118">
        <w:rPr>
          <w:sz w:val="16"/>
        </w:rPr>
        <w:t xml:space="preserve"> &amp;numero=559&gt;. Acesso em: 25 set. 2012.</w:t>
      </w:r>
    </w:p>
    <w:p w:rsidR="00D81F69" w:rsidRDefault="00330118">
      <w:pPr>
        <w:tabs>
          <w:tab w:val="left" w:pos="638"/>
        </w:tabs>
        <w:spacing w:before="2" w:line="312" w:lineRule="auto"/>
        <w:ind w:left="100" w:right="230"/>
        <w:jc w:val="both"/>
        <w:rPr>
          <w:sz w:val="16"/>
        </w:rPr>
      </w:pPr>
      <w:r>
        <w:rPr>
          <w:sz w:val="16"/>
          <w:u w:val="single"/>
        </w:rPr>
        <w:t xml:space="preserve"> </w:t>
      </w:r>
      <w:r>
        <w:rPr>
          <w:sz w:val="16"/>
          <w:u w:val="single"/>
        </w:rPr>
        <w:tab/>
      </w:r>
      <w:r>
        <w:rPr>
          <w:sz w:val="16"/>
        </w:rPr>
        <w:t xml:space="preserve">. METAIS NOBRES. D’Gold inaugura purificadora em Itaituba. </w:t>
      </w:r>
      <w:r>
        <w:rPr>
          <w:spacing w:val="5"/>
          <w:sz w:val="16"/>
        </w:rPr>
        <w:t xml:space="preserve">In: Brasil Mineral OnLine </w:t>
      </w:r>
      <w:r>
        <w:rPr>
          <w:sz w:val="16"/>
        </w:rPr>
        <w:t xml:space="preserve">, </w:t>
      </w:r>
      <w:r>
        <w:rPr>
          <w:spacing w:val="5"/>
          <w:sz w:val="16"/>
        </w:rPr>
        <w:t xml:space="preserve">93, </w:t>
      </w:r>
      <w:r>
        <w:rPr>
          <w:spacing w:val="3"/>
          <w:sz w:val="16"/>
        </w:rPr>
        <w:t xml:space="preserve">08 </w:t>
      </w:r>
      <w:r>
        <w:rPr>
          <w:spacing w:val="5"/>
          <w:sz w:val="16"/>
        </w:rPr>
        <w:t xml:space="preserve">jan. 2003. </w:t>
      </w:r>
      <w:r>
        <w:rPr>
          <w:spacing w:val="6"/>
          <w:sz w:val="16"/>
        </w:rPr>
        <w:t>Disponível</w:t>
      </w:r>
      <w:r>
        <w:rPr>
          <w:spacing w:val="1"/>
          <w:sz w:val="16"/>
        </w:rPr>
        <w:t xml:space="preserve"> </w:t>
      </w:r>
      <w:r>
        <w:rPr>
          <w:spacing w:val="7"/>
          <w:sz w:val="16"/>
        </w:rPr>
        <w:t>em:</w:t>
      </w:r>
    </w:p>
    <w:p w:rsidR="00D81F69" w:rsidRDefault="00D81F69">
      <w:pPr>
        <w:spacing w:before="1" w:line="312" w:lineRule="auto"/>
        <w:ind w:left="100" w:right="257"/>
        <w:jc w:val="both"/>
        <w:rPr>
          <w:sz w:val="16"/>
        </w:rPr>
      </w:pPr>
      <w:hyperlink r:id="rId396">
        <w:r w:rsidR="00330118">
          <w:rPr>
            <w:sz w:val="16"/>
          </w:rPr>
          <w:t>&lt;http://www.brasilmineral.com.br/BM/default.asp?COD=296&amp;busca=&amp;</w:t>
        </w:r>
      </w:hyperlink>
      <w:r w:rsidR="00330118">
        <w:rPr>
          <w:sz w:val="16"/>
        </w:rPr>
        <w:t xml:space="preserve"> numero=93&gt;. Acesso em: 25 set. 2012.</w:t>
      </w:r>
    </w:p>
    <w:p w:rsidR="00D81F69" w:rsidRDefault="00330118">
      <w:pPr>
        <w:spacing w:before="2" w:line="312" w:lineRule="auto"/>
        <w:ind w:left="100" w:right="198"/>
        <w:jc w:val="both"/>
        <w:rPr>
          <w:sz w:val="16"/>
        </w:rPr>
      </w:pPr>
      <w:r>
        <w:rPr>
          <w:sz w:val="16"/>
        </w:rPr>
        <w:t xml:space="preserve">IBGE, Instituto Brasileiro de Geografia e Estatística. Santarém (PA). </w:t>
      </w:r>
      <w:r>
        <w:rPr>
          <w:spacing w:val="25"/>
          <w:sz w:val="16"/>
        </w:rPr>
        <w:t xml:space="preserve">In: </w:t>
      </w:r>
      <w:r>
        <w:rPr>
          <w:spacing w:val="30"/>
          <w:sz w:val="16"/>
        </w:rPr>
        <w:t xml:space="preserve">IBGE </w:t>
      </w:r>
      <w:r>
        <w:rPr>
          <w:spacing w:val="35"/>
          <w:sz w:val="16"/>
        </w:rPr>
        <w:t xml:space="preserve">Cidades, </w:t>
      </w:r>
      <w:r>
        <w:rPr>
          <w:spacing w:val="32"/>
          <w:sz w:val="16"/>
        </w:rPr>
        <w:t xml:space="preserve">2010a. </w:t>
      </w:r>
      <w:r>
        <w:rPr>
          <w:spacing w:val="35"/>
          <w:sz w:val="16"/>
        </w:rPr>
        <w:t xml:space="preserve">Disponível </w:t>
      </w:r>
      <w:r>
        <w:rPr>
          <w:spacing w:val="25"/>
          <w:sz w:val="16"/>
        </w:rPr>
        <w:t>em:</w:t>
      </w:r>
      <w:r>
        <w:rPr>
          <w:spacing w:val="-4"/>
          <w:sz w:val="16"/>
        </w:rPr>
        <w:t xml:space="preserve"> </w:t>
      </w:r>
    </w:p>
    <w:p w:rsidR="00D81F69" w:rsidRDefault="00D81F69">
      <w:pPr>
        <w:spacing w:before="2"/>
        <w:ind w:left="100"/>
        <w:jc w:val="both"/>
        <w:rPr>
          <w:sz w:val="16"/>
        </w:rPr>
      </w:pPr>
      <w:hyperlink r:id="rId397">
        <w:r w:rsidR="00330118">
          <w:rPr>
            <w:sz w:val="16"/>
          </w:rPr>
          <w:t>&lt;http://www.ibge.gov.br/cidadesat/xtras/perfil.php?codmun=150680&amp;r</w:t>
        </w:r>
      </w:hyperlink>
    </w:p>
    <w:p w:rsidR="00D81F69" w:rsidRDefault="00330118">
      <w:pPr>
        <w:spacing w:before="56"/>
        <w:ind w:left="100"/>
        <w:jc w:val="both"/>
        <w:rPr>
          <w:sz w:val="16"/>
        </w:rPr>
      </w:pPr>
      <w:r>
        <w:rPr>
          <w:sz w:val="16"/>
        </w:rPr>
        <w:t>=2&gt;. Acesso em: 26 set. 2012.</w:t>
      </w:r>
    </w:p>
    <w:p w:rsidR="00D81F69" w:rsidRDefault="00330118">
      <w:pPr>
        <w:spacing w:before="56"/>
        <w:ind w:left="100"/>
        <w:jc w:val="both"/>
        <w:rPr>
          <w:sz w:val="16"/>
        </w:rPr>
      </w:pPr>
      <w:r>
        <w:rPr>
          <w:sz w:val="16"/>
        </w:rPr>
        <w:t>______.Itaituba (PA). In: IBGE Cidades, 2010b. Disponível em:</w:t>
      </w:r>
    </w:p>
    <w:p w:rsidR="00D81F69" w:rsidRDefault="00D81F69">
      <w:pPr>
        <w:spacing w:before="56"/>
        <w:ind w:left="100"/>
        <w:jc w:val="both"/>
        <w:rPr>
          <w:sz w:val="16"/>
        </w:rPr>
      </w:pPr>
      <w:hyperlink r:id="rId398">
        <w:r w:rsidR="00330118">
          <w:rPr>
            <w:sz w:val="16"/>
          </w:rPr>
          <w:t>&lt;http://www.ibge.gov.br/cidadesat/xtras/perfil.php?codmun=150360&amp;r</w:t>
        </w:r>
      </w:hyperlink>
    </w:p>
    <w:p w:rsidR="00D81F69" w:rsidRDefault="00330118">
      <w:pPr>
        <w:spacing w:before="56"/>
        <w:ind w:left="100"/>
        <w:jc w:val="both"/>
        <w:rPr>
          <w:sz w:val="16"/>
        </w:rPr>
      </w:pPr>
      <w:r>
        <w:rPr>
          <w:sz w:val="16"/>
        </w:rPr>
        <w:t>=2&gt;. Acesso em: 24 set. 2012.</w:t>
      </w:r>
    </w:p>
    <w:p w:rsidR="00D81F69" w:rsidRDefault="00330118">
      <w:pPr>
        <w:spacing w:before="56" w:line="312" w:lineRule="auto"/>
        <w:ind w:left="100" w:right="237"/>
        <w:jc w:val="both"/>
        <w:rPr>
          <w:sz w:val="16"/>
        </w:rPr>
      </w:pPr>
      <w:r>
        <w:rPr>
          <w:sz w:val="16"/>
        </w:rPr>
        <w:t>RACISMO AMBIENTAL. Mineradoras valem ouro nos projetos hidrelétricos do Tapajós e Teles Pires. 28 set. 2012. Disponível em:</w:t>
      </w:r>
    </w:p>
    <w:p w:rsidR="00D81F69" w:rsidRDefault="00D81F69">
      <w:pPr>
        <w:spacing w:before="1" w:line="312" w:lineRule="auto"/>
        <w:ind w:left="100" w:right="237"/>
        <w:jc w:val="both"/>
        <w:rPr>
          <w:sz w:val="16"/>
        </w:rPr>
      </w:pPr>
      <w:hyperlink r:id="rId399">
        <w:r w:rsidR="00330118">
          <w:rPr>
            <w:sz w:val="16"/>
          </w:rPr>
          <w:t>&lt;http://racismoambiental.net.br/2012/09/minerado</w:t>
        </w:r>
        <w:r w:rsidR="00330118">
          <w:rPr>
            <w:sz w:val="16"/>
          </w:rPr>
          <w:t>ras-valem-ouro-nos-</w:t>
        </w:r>
      </w:hyperlink>
      <w:r w:rsidR="00330118">
        <w:rPr>
          <w:sz w:val="16"/>
        </w:rPr>
        <w:t xml:space="preserve"> projetos-hidreletricos-do-tapajos-e-teles-pires/&gt;. Acesso em: 28 set. 2012.</w:t>
      </w:r>
    </w:p>
    <w:p w:rsidR="00D81F69" w:rsidRDefault="00330118">
      <w:pPr>
        <w:spacing w:before="3"/>
        <w:ind w:left="100"/>
        <w:jc w:val="both"/>
        <w:rPr>
          <w:sz w:val="16"/>
        </w:rPr>
      </w:pPr>
      <w:r>
        <w:rPr>
          <w:sz w:val="16"/>
        </w:rPr>
        <w:t>RODRIGUES, Rita Maria; MASCARENHAS, Artur F. S.; ICHIHARA,</w:t>
      </w:r>
    </w:p>
    <w:p w:rsidR="00D81F69" w:rsidRDefault="00330118">
      <w:pPr>
        <w:spacing w:before="56" w:line="312" w:lineRule="auto"/>
        <w:ind w:left="100" w:right="253"/>
        <w:jc w:val="both"/>
        <w:rPr>
          <w:sz w:val="16"/>
        </w:rPr>
      </w:pPr>
      <w:r>
        <w:rPr>
          <w:sz w:val="16"/>
        </w:rPr>
        <w:t>Ambrósio Hajime; SOUZA, Terezinha Maria Cid; BIDONE, Edison Dausacker; BELLIA, Victor; HAGON, Sandra;</w:t>
      </w:r>
      <w:r>
        <w:rPr>
          <w:sz w:val="16"/>
        </w:rPr>
        <w:t xml:space="preserve"> SILVA, Alberto Rogério</w:t>
      </w:r>
    </w:p>
    <w:p w:rsidR="00D81F69" w:rsidRDefault="00330118">
      <w:pPr>
        <w:spacing w:before="1" w:line="312" w:lineRule="auto"/>
        <w:ind w:left="100" w:right="177"/>
        <w:jc w:val="both"/>
        <w:rPr>
          <w:sz w:val="16"/>
        </w:rPr>
      </w:pPr>
      <w:r>
        <w:rPr>
          <w:sz w:val="16"/>
        </w:rPr>
        <w:t xml:space="preserve">B. da; BRAGA, João Bosco P.; STILIANIDI FILHO, Bernard. Estudo </w:t>
      </w:r>
      <w:r>
        <w:rPr>
          <w:spacing w:val="2"/>
          <w:sz w:val="16"/>
        </w:rPr>
        <w:t xml:space="preserve">dos </w:t>
      </w:r>
      <w:r>
        <w:rPr>
          <w:spacing w:val="3"/>
          <w:sz w:val="16"/>
        </w:rPr>
        <w:t xml:space="preserve">impactos ambientais decorrentes </w:t>
      </w:r>
      <w:r>
        <w:rPr>
          <w:spacing w:val="1"/>
          <w:sz w:val="16"/>
        </w:rPr>
        <w:t xml:space="preserve">do </w:t>
      </w:r>
      <w:r>
        <w:rPr>
          <w:spacing w:val="3"/>
          <w:sz w:val="16"/>
        </w:rPr>
        <w:t xml:space="preserve">extrativismo mineral </w:t>
      </w:r>
      <w:r>
        <w:rPr>
          <w:sz w:val="16"/>
        </w:rPr>
        <w:t xml:space="preserve">e </w:t>
      </w:r>
      <w:r>
        <w:rPr>
          <w:spacing w:val="3"/>
          <w:sz w:val="16"/>
        </w:rPr>
        <w:t xml:space="preserve">poluição mercurial </w:t>
      </w:r>
      <w:r>
        <w:rPr>
          <w:spacing w:val="1"/>
          <w:sz w:val="16"/>
        </w:rPr>
        <w:t xml:space="preserve">no </w:t>
      </w:r>
      <w:r>
        <w:rPr>
          <w:spacing w:val="3"/>
          <w:sz w:val="16"/>
        </w:rPr>
        <w:t xml:space="preserve">Tapajós </w:t>
      </w:r>
      <w:r>
        <w:rPr>
          <w:sz w:val="16"/>
        </w:rPr>
        <w:t xml:space="preserve">– </w:t>
      </w:r>
      <w:r>
        <w:rPr>
          <w:spacing w:val="3"/>
          <w:sz w:val="16"/>
        </w:rPr>
        <w:t xml:space="preserve">pré-diagnóstico. </w:t>
      </w:r>
      <w:r>
        <w:rPr>
          <w:spacing w:val="2"/>
          <w:sz w:val="16"/>
        </w:rPr>
        <w:t xml:space="preserve">Rio </w:t>
      </w:r>
      <w:r>
        <w:rPr>
          <w:spacing w:val="1"/>
          <w:sz w:val="16"/>
        </w:rPr>
        <w:t xml:space="preserve">de  </w:t>
      </w:r>
      <w:r>
        <w:rPr>
          <w:spacing w:val="5"/>
          <w:sz w:val="16"/>
        </w:rPr>
        <w:t xml:space="preserve">Janeiro,  </w:t>
      </w:r>
      <w:r>
        <w:rPr>
          <w:spacing w:val="17"/>
          <w:sz w:val="16"/>
        </w:rPr>
        <w:t>C</w:t>
      </w:r>
      <w:r>
        <w:rPr>
          <w:sz w:val="16"/>
        </w:rPr>
        <w:t xml:space="preserve"> </w:t>
      </w:r>
      <w:r>
        <w:rPr>
          <w:spacing w:val="17"/>
          <w:sz w:val="16"/>
        </w:rPr>
        <w:t>e</w:t>
      </w:r>
      <w:r>
        <w:rPr>
          <w:sz w:val="16"/>
        </w:rPr>
        <w:t xml:space="preserve"> </w:t>
      </w:r>
      <w:r>
        <w:rPr>
          <w:spacing w:val="17"/>
          <w:sz w:val="16"/>
        </w:rPr>
        <w:t>t</w:t>
      </w:r>
      <w:r>
        <w:rPr>
          <w:sz w:val="16"/>
        </w:rPr>
        <w:t xml:space="preserve"> </w:t>
      </w:r>
      <w:r>
        <w:rPr>
          <w:spacing w:val="17"/>
          <w:sz w:val="16"/>
        </w:rPr>
        <w:t>e</w:t>
      </w:r>
      <w:r>
        <w:rPr>
          <w:sz w:val="16"/>
        </w:rPr>
        <w:t xml:space="preserve"> </w:t>
      </w:r>
      <w:r>
        <w:rPr>
          <w:spacing w:val="17"/>
          <w:sz w:val="16"/>
        </w:rPr>
        <w:t>m</w:t>
      </w:r>
      <w:r>
        <w:rPr>
          <w:sz w:val="16"/>
        </w:rPr>
        <w:t xml:space="preserve"> </w:t>
      </w:r>
      <w:r>
        <w:rPr>
          <w:spacing w:val="17"/>
          <w:sz w:val="16"/>
        </w:rPr>
        <w:t>/</w:t>
      </w:r>
      <w:r>
        <w:rPr>
          <w:sz w:val="16"/>
        </w:rPr>
        <w:t xml:space="preserve"> </w:t>
      </w:r>
      <w:r>
        <w:rPr>
          <w:spacing w:val="17"/>
          <w:sz w:val="16"/>
        </w:rPr>
        <w:t>C</w:t>
      </w:r>
      <w:r>
        <w:rPr>
          <w:sz w:val="16"/>
        </w:rPr>
        <w:t xml:space="preserve"> </w:t>
      </w:r>
      <w:r>
        <w:rPr>
          <w:spacing w:val="17"/>
          <w:sz w:val="16"/>
        </w:rPr>
        <w:t>N</w:t>
      </w:r>
      <w:r>
        <w:rPr>
          <w:sz w:val="16"/>
        </w:rPr>
        <w:t xml:space="preserve"> </w:t>
      </w:r>
      <w:r>
        <w:rPr>
          <w:spacing w:val="17"/>
          <w:sz w:val="16"/>
        </w:rPr>
        <w:t>P</w:t>
      </w:r>
      <w:r>
        <w:rPr>
          <w:sz w:val="16"/>
        </w:rPr>
        <w:t xml:space="preserve"> </w:t>
      </w:r>
      <w:r>
        <w:rPr>
          <w:spacing w:val="17"/>
          <w:sz w:val="16"/>
        </w:rPr>
        <w:t>q</w:t>
      </w:r>
      <w:r>
        <w:rPr>
          <w:sz w:val="16"/>
        </w:rPr>
        <w:t xml:space="preserve"> ,</w:t>
      </w:r>
      <w:r>
        <w:rPr>
          <w:spacing w:val="25"/>
          <w:sz w:val="16"/>
        </w:rPr>
        <w:t xml:space="preserve"> </w:t>
      </w:r>
      <w:r>
        <w:rPr>
          <w:spacing w:val="17"/>
          <w:sz w:val="16"/>
        </w:rPr>
        <w:t>1</w:t>
      </w:r>
      <w:r>
        <w:rPr>
          <w:sz w:val="16"/>
        </w:rPr>
        <w:t xml:space="preserve"> </w:t>
      </w:r>
      <w:r>
        <w:rPr>
          <w:spacing w:val="17"/>
          <w:sz w:val="16"/>
        </w:rPr>
        <w:t>9</w:t>
      </w:r>
      <w:r>
        <w:rPr>
          <w:sz w:val="16"/>
        </w:rPr>
        <w:t xml:space="preserve"> </w:t>
      </w:r>
      <w:r>
        <w:rPr>
          <w:spacing w:val="17"/>
          <w:sz w:val="16"/>
        </w:rPr>
        <w:t>9</w:t>
      </w:r>
      <w:r>
        <w:rPr>
          <w:sz w:val="16"/>
        </w:rPr>
        <w:t xml:space="preserve"> </w:t>
      </w:r>
      <w:r>
        <w:rPr>
          <w:spacing w:val="17"/>
          <w:sz w:val="16"/>
        </w:rPr>
        <w:t>4</w:t>
      </w:r>
      <w:r>
        <w:rPr>
          <w:sz w:val="16"/>
        </w:rPr>
        <w:t xml:space="preserve"> .</w:t>
      </w:r>
      <w:r>
        <w:rPr>
          <w:spacing w:val="25"/>
          <w:sz w:val="16"/>
        </w:rPr>
        <w:t xml:space="preserve"> </w:t>
      </w:r>
      <w:r>
        <w:rPr>
          <w:spacing w:val="17"/>
          <w:sz w:val="16"/>
        </w:rPr>
        <w:t>D</w:t>
      </w:r>
      <w:r>
        <w:rPr>
          <w:sz w:val="16"/>
        </w:rPr>
        <w:t xml:space="preserve"> </w:t>
      </w:r>
      <w:r>
        <w:rPr>
          <w:spacing w:val="17"/>
          <w:sz w:val="16"/>
        </w:rPr>
        <w:t>i</w:t>
      </w:r>
      <w:r>
        <w:rPr>
          <w:sz w:val="16"/>
        </w:rPr>
        <w:t xml:space="preserve"> </w:t>
      </w:r>
      <w:r>
        <w:rPr>
          <w:spacing w:val="17"/>
          <w:sz w:val="16"/>
        </w:rPr>
        <w:t>s</w:t>
      </w:r>
      <w:r>
        <w:rPr>
          <w:sz w:val="16"/>
        </w:rPr>
        <w:t xml:space="preserve"> </w:t>
      </w:r>
      <w:r>
        <w:rPr>
          <w:spacing w:val="17"/>
          <w:sz w:val="16"/>
        </w:rPr>
        <w:t>p</w:t>
      </w:r>
      <w:r>
        <w:rPr>
          <w:sz w:val="16"/>
        </w:rPr>
        <w:t xml:space="preserve"> </w:t>
      </w:r>
      <w:r>
        <w:rPr>
          <w:spacing w:val="17"/>
          <w:sz w:val="16"/>
        </w:rPr>
        <w:t>o</w:t>
      </w:r>
      <w:r>
        <w:rPr>
          <w:sz w:val="16"/>
        </w:rPr>
        <w:t xml:space="preserve"> </w:t>
      </w:r>
      <w:r>
        <w:rPr>
          <w:spacing w:val="17"/>
          <w:sz w:val="16"/>
        </w:rPr>
        <w:t>n</w:t>
      </w:r>
      <w:r>
        <w:rPr>
          <w:sz w:val="16"/>
        </w:rPr>
        <w:t xml:space="preserve"> </w:t>
      </w:r>
      <w:r>
        <w:rPr>
          <w:spacing w:val="17"/>
          <w:sz w:val="16"/>
        </w:rPr>
        <w:t>í</w:t>
      </w:r>
      <w:r>
        <w:rPr>
          <w:sz w:val="16"/>
        </w:rPr>
        <w:t xml:space="preserve"> </w:t>
      </w:r>
      <w:r>
        <w:rPr>
          <w:spacing w:val="17"/>
          <w:sz w:val="16"/>
        </w:rPr>
        <w:t>v</w:t>
      </w:r>
      <w:r>
        <w:rPr>
          <w:sz w:val="16"/>
        </w:rPr>
        <w:t xml:space="preserve"> </w:t>
      </w:r>
      <w:r>
        <w:rPr>
          <w:spacing w:val="17"/>
          <w:sz w:val="16"/>
        </w:rPr>
        <w:t>e</w:t>
      </w:r>
      <w:r>
        <w:rPr>
          <w:sz w:val="16"/>
        </w:rPr>
        <w:t xml:space="preserve"> l</w:t>
      </w:r>
      <w:r>
        <w:rPr>
          <w:spacing w:val="25"/>
          <w:sz w:val="16"/>
        </w:rPr>
        <w:t xml:space="preserve"> </w:t>
      </w:r>
      <w:r>
        <w:rPr>
          <w:spacing w:val="17"/>
          <w:sz w:val="16"/>
        </w:rPr>
        <w:t>e</w:t>
      </w:r>
      <w:r>
        <w:rPr>
          <w:sz w:val="16"/>
        </w:rPr>
        <w:t xml:space="preserve"> </w:t>
      </w:r>
      <w:r>
        <w:rPr>
          <w:spacing w:val="17"/>
          <w:sz w:val="16"/>
        </w:rPr>
        <w:t>m</w:t>
      </w:r>
      <w:r>
        <w:rPr>
          <w:sz w:val="16"/>
        </w:rPr>
        <w:t xml:space="preserve"> :</w:t>
      </w:r>
      <w:r>
        <w:rPr>
          <w:spacing w:val="18"/>
          <w:sz w:val="16"/>
        </w:rPr>
        <w:t xml:space="preserve"> </w:t>
      </w:r>
    </w:p>
    <w:p w:rsidR="00D81F69" w:rsidRDefault="00D81F69">
      <w:pPr>
        <w:spacing w:before="4" w:line="312" w:lineRule="auto"/>
        <w:ind w:left="100" w:right="255"/>
        <w:jc w:val="both"/>
        <w:rPr>
          <w:sz w:val="16"/>
        </w:rPr>
      </w:pPr>
      <w:hyperlink r:id="rId400">
        <w:r w:rsidR="00330118">
          <w:rPr>
            <w:sz w:val="16"/>
          </w:rPr>
          <w:t xml:space="preserve">&lt;http://www.cetem.gov.br/publicacao/series_sta/sta-04.pdf&gt;. </w:t>
        </w:r>
      </w:hyperlink>
      <w:r w:rsidR="00330118">
        <w:rPr>
          <w:sz w:val="16"/>
        </w:rPr>
        <w:t>Acesso em: 10 set. 2012.</w:t>
      </w:r>
    </w:p>
    <w:p w:rsidR="00D81F69" w:rsidRDefault="00D81F69">
      <w:pPr>
        <w:spacing w:line="312" w:lineRule="auto"/>
        <w:jc w:val="both"/>
        <w:rPr>
          <w:sz w:val="16"/>
        </w:rPr>
        <w:sectPr w:rsidR="00D81F69">
          <w:pgSz w:w="11900" w:h="16840"/>
          <w:pgMar w:top="740" w:right="460" w:bottom="720" w:left="620" w:header="0" w:footer="402" w:gutter="0"/>
          <w:cols w:num="2" w:space="720" w:equalWidth="0">
            <w:col w:w="5191" w:space="279"/>
            <w:col w:w="5350"/>
          </w:cols>
        </w:sectPr>
      </w:pPr>
    </w:p>
    <w:p w:rsidR="00D81F69" w:rsidRDefault="00330118">
      <w:pPr>
        <w:pStyle w:val="Heading1"/>
        <w:spacing w:line="208" w:lineRule="auto"/>
        <w:ind w:right="0"/>
      </w:pPr>
      <w:bookmarkStart w:id="33" w:name="_TOC_250000"/>
      <w:bookmarkEnd w:id="33"/>
      <w:r>
        <w:lastRenderedPageBreak/>
        <w:t>Índios Kaiapó lutam para preservar suas terras do garimpo ilegal de ouro</w:t>
      </w:r>
    </w:p>
    <w:p w:rsidR="00D81F69" w:rsidRDefault="00D81F69">
      <w:pPr>
        <w:pStyle w:val="Corpodetexto"/>
        <w:ind w:left="0"/>
        <w:jc w:val="left"/>
        <w:rPr>
          <w:b/>
          <w:sz w:val="20"/>
        </w:rPr>
      </w:pPr>
    </w:p>
    <w:p w:rsidR="00D81F69" w:rsidRDefault="00D81F69">
      <w:pPr>
        <w:rPr>
          <w:sz w:val="20"/>
        </w:rPr>
        <w:sectPr w:rsidR="00D81F69">
          <w:pgSz w:w="11900" w:h="16840"/>
          <w:pgMar w:top="1080" w:right="460" w:bottom="64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626" w:lineRule="auto"/>
        <w:ind w:left="135" w:right="176"/>
        <w:rPr>
          <w:i/>
          <w:sz w:val="14"/>
        </w:rPr>
      </w:pPr>
      <w:r>
        <w:rPr>
          <w:i/>
          <w:sz w:val="14"/>
        </w:rPr>
        <w:t>- LATITUDE</w:t>
      </w:r>
    </w:p>
    <w:p w:rsidR="00D81F69" w:rsidRDefault="00330118">
      <w:pPr>
        <w:spacing w:line="161" w:lineRule="exact"/>
        <w:ind w:left="135"/>
        <w:rPr>
          <w:i/>
          <w:sz w:val="14"/>
        </w:rPr>
      </w:pPr>
      <w:r>
        <w:rPr>
          <w:i/>
          <w:sz w:val="14"/>
        </w:rPr>
        <w:t>LONGITUDE</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1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As Terras Indígenas da etnia Kayapó localizam-se na região conhecida como "Arco do Desmatamento"</w:t>
      </w:r>
      <w:r>
        <w:rPr>
          <w:i/>
          <w:sz w:val="16"/>
        </w:rPr>
        <w:t>, no sul do estado do Pará e norte do Mato Grosso. Apesar dos impactos socioambientais causados pelo garimpo de ouro realizado de forma ilegal em suas terras, os índios Kaiapó vêm conseguindo preservar sua cultura e atividades tradicionais. Para tanto, con</w:t>
      </w:r>
      <w:r>
        <w:rPr>
          <w:i/>
          <w:sz w:val="16"/>
        </w:rPr>
        <w:t>tam com o apoio de várias entidades.</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1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ind w:left="135"/>
        <w:jc w:val="left"/>
      </w:pPr>
      <w:r>
        <w:t>dentre outros danos (VERDE; FERNANDES, 2009).</w:t>
      </w:r>
    </w:p>
    <w:p w:rsidR="00D81F69" w:rsidRDefault="00D81F69">
      <w:pPr>
        <w:pStyle w:val="Corpodetexto"/>
        <w:spacing w:before="8"/>
        <w:ind w:left="0"/>
        <w:jc w:val="left"/>
        <w:rPr>
          <w:sz w:val="16"/>
        </w:rPr>
      </w:pPr>
    </w:p>
    <w:p w:rsidR="00D81F69" w:rsidRDefault="00330118">
      <w:pPr>
        <w:pStyle w:val="Corpodetexto"/>
        <w:spacing w:before="1" w:line="312" w:lineRule="auto"/>
        <w:ind w:left="135" w:right="233"/>
      </w:pPr>
      <w:r>
        <w:t xml:space="preserve">No ciclo econômico da borracha, a relação dos índios Put- Karôt com o homem branco foi deteriorada, fazendo com que migrassem para as cabeceiras do Itacaiúnas. Na nova </w:t>
      </w:r>
      <w:r>
        <w:t>aldeia, um grupo reduzido dos Kokorekré se uniu aos Put-Karôt. O último deslocamento realizado pelos Put-Karôt teve como destino a região do rio Bacajá, por volta de 1926 (VERDE; FERNANDES, 2009).</w:t>
      </w:r>
    </w:p>
    <w:p w:rsidR="00D81F69" w:rsidRDefault="00330118">
      <w:pPr>
        <w:pStyle w:val="Corpodetexto"/>
        <w:spacing w:before="73" w:line="270" w:lineRule="atLeast"/>
        <w:ind w:left="135" w:right="254"/>
      </w:pPr>
      <w:r>
        <w:t>Os Xikrin do Catete se comunicaram pela primeira vez com nã</w:t>
      </w:r>
      <w:r>
        <w:t>o índios em agosto de 1952, numa região próxima à vila de Conceição do Araguaia. Já os Xikrin do Bacajá estabeleceram primeiro contato com o homem branco apenas em novembro</w:t>
      </w:r>
    </w:p>
    <w:p w:rsidR="00D81F69" w:rsidRDefault="00D81F69">
      <w:pPr>
        <w:spacing w:line="270" w:lineRule="atLeast"/>
        <w:sectPr w:rsidR="00D81F69">
          <w:type w:val="continuous"/>
          <w:pgSz w:w="11900" w:h="16840"/>
          <w:pgMar w:top="720" w:right="460" w:bottom="280" w:left="620" w:header="720" w:footer="720" w:gutter="0"/>
          <w:cols w:num="3" w:space="720" w:equalWidth="0">
            <w:col w:w="1008" w:space="992"/>
            <w:col w:w="3115" w:space="320"/>
            <w:col w:w="5385"/>
          </w:cols>
        </w:sectPr>
      </w:pPr>
    </w:p>
    <w:p w:rsidR="00D81F69" w:rsidRDefault="00330118">
      <w:pPr>
        <w:pStyle w:val="Heading4"/>
        <w:spacing w:line="263" w:lineRule="exact"/>
      </w:pPr>
      <w:r>
        <w:lastRenderedPageBreak/>
        <w:t>APRESENTAÇÃO DE CASO</w:t>
      </w:r>
    </w:p>
    <w:p w:rsidR="00D81F69" w:rsidRDefault="00330118">
      <w:pPr>
        <w:pStyle w:val="Corpodetexto"/>
        <w:spacing w:before="170" w:line="312" w:lineRule="auto"/>
        <w:ind w:right="67"/>
      </w:pPr>
      <w:r>
        <w:rPr>
          <w:spacing w:val="1"/>
        </w:rPr>
        <w:t xml:space="preserve">As </w:t>
      </w:r>
      <w:r>
        <w:rPr>
          <w:spacing w:val="3"/>
        </w:rPr>
        <w:t xml:space="preserve">Terras Indígenas </w:t>
      </w:r>
      <w:r>
        <w:rPr>
          <w:spacing w:val="2"/>
        </w:rPr>
        <w:t xml:space="preserve">(TI) </w:t>
      </w:r>
      <w:r>
        <w:rPr>
          <w:spacing w:val="1"/>
        </w:rPr>
        <w:t xml:space="preserve">da </w:t>
      </w:r>
      <w:r>
        <w:rPr>
          <w:spacing w:val="3"/>
        </w:rPr>
        <w:t xml:space="preserve">etnia Kayapó localizam-se </w:t>
      </w:r>
      <w:r>
        <w:rPr>
          <w:spacing w:val="5"/>
        </w:rPr>
        <w:t xml:space="preserve">na </w:t>
      </w:r>
      <w:r>
        <w:t xml:space="preserve">região conhecida como "Arco do Desmatamento", no sul do estado do Pará e norte do Mato Grosso. Ocupam cerca de 13 </w:t>
      </w:r>
      <w:r>
        <w:rPr>
          <w:spacing w:val="3"/>
        </w:rPr>
        <w:t xml:space="preserve">milhões </w:t>
      </w:r>
      <w:r>
        <w:rPr>
          <w:spacing w:val="1"/>
        </w:rPr>
        <w:t xml:space="preserve">de </w:t>
      </w:r>
      <w:r>
        <w:rPr>
          <w:spacing w:val="3"/>
        </w:rPr>
        <w:t xml:space="preserve">hectares. Enquanto </w:t>
      </w:r>
      <w:r>
        <w:rPr>
          <w:spacing w:val="2"/>
        </w:rPr>
        <w:t xml:space="preserve">fora </w:t>
      </w:r>
      <w:r>
        <w:rPr>
          <w:spacing w:val="1"/>
        </w:rPr>
        <w:t xml:space="preserve">de </w:t>
      </w:r>
      <w:r>
        <w:rPr>
          <w:spacing w:val="2"/>
        </w:rPr>
        <w:t xml:space="preserve">seus </w:t>
      </w:r>
      <w:r>
        <w:rPr>
          <w:spacing w:val="3"/>
        </w:rPr>
        <w:t xml:space="preserve">territórios </w:t>
      </w:r>
      <w:r>
        <w:t>a vegetação original foi bastante alterada devido às ativi</w:t>
      </w:r>
      <w:r>
        <w:t xml:space="preserve">dades </w:t>
      </w:r>
      <w:r>
        <w:rPr>
          <w:spacing w:val="5"/>
        </w:rPr>
        <w:t xml:space="preserve">madeireiras, </w:t>
      </w:r>
      <w:r>
        <w:rPr>
          <w:spacing w:val="2"/>
        </w:rPr>
        <w:t xml:space="preserve">de </w:t>
      </w:r>
      <w:r>
        <w:rPr>
          <w:spacing w:val="5"/>
        </w:rPr>
        <w:t xml:space="preserve">pecuária </w:t>
      </w:r>
      <w:r>
        <w:t xml:space="preserve">e </w:t>
      </w:r>
      <w:r>
        <w:rPr>
          <w:spacing w:val="5"/>
        </w:rPr>
        <w:t xml:space="preserve">agricultura extensiva, </w:t>
      </w:r>
      <w:r>
        <w:rPr>
          <w:spacing w:val="3"/>
        </w:rPr>
        <w:t xml:space="preserve">nas </w:t>
      </w:r>
      <w:r>
        <w:rPr>
          <w:spacing w:val="5"/>
        </w:rPr>
        <w:t>TI</w:t>
      </w:r>
      <w:r>
        <w:rPr>
          <w:spacing w:val="61"/>
        </w:rPr>
        <w:t xml:space="preserve"> </w:t>
      </w:r>
      <w:r>
        <w:rPr>
          <w:spacing w:val="5"/>
        </w:rPr>
        <w:t xml:space="preserve">Kayapó, ainda estão </w:t>
      </w:r>
      <w:r>
        <w:rPr>
          <w:spacing w:val="3"/>
        </w:rPr>
        <w:t xml:space="preserve">as </w:t>
      </w:r>
      <w:r>
        <w:rPr>
          <w:spacing w:val="6"/>
        </w:rPr>
        <w:t xml:space="preserve">florestas </w:t>
      </w:r>
      <w:r>
        <w:t xml:space="preserve">e </w:t>
      </w:r>
      <w:r>
        <w:rPr>
          <w:spacing w:val="6"/>
        </w:rPr>
        <w:t xml:space="preserve">cerrados </w:t>
      </w:r>
      <w:r>
        <w:rPr>
          <w:spacing w:val="5"/>
        </w:rPr>
        <w:t xml:space="preserve">mais </w:t>
      </w:r>
      <w:r>
        <w:rPr>
          <w:spacing w:val="7"/>
        </w:rPr>
        <w:t xml:space="preserve">bem </w:t>
      </w:r>
      <w:r>
        <w:rPr>
          <w:spacing w:val="6"/>
        </w:rPr>
        <w:t xml:space="preserve">preservados </w:t>
      </w:r>
      <w:r>
        <w:rPr>
          <w:spacing w:val="3"/>
        </w:rPr>
        <w:t xml:space="preserve">da </w:t>
      </w:r>
      <w:r>
        <w:rPr>
          <w:spacing w:val="5"/>
        </w:rPr>
        <w:t xml:space="preserve">região </w:t>
      </w:r>
      <w:r>
        <w:rPr>
          <w:spacing w:val="6"/>
        </w:rPr>
        <w:t>(CI-BRASIL,</w:t>
      </w:r>
      <w:r>
        <w:rPr>
          <w:spacing w:val="5"/>
        </w:rPr>
        <w:t xml:space="preserve"> </w:t>
      </w:r>
      <w:r>
        <w:rPr>
          <w:spacing w:val="7"/>
        </w:rPr>
        <w:t>2003).</w:t>
      </w:r>
    </w:p>
    <w:p w:rsidR="00D81F69" w:rsidRDefault="00330118">
      <w:pPr>
        <w:pStyle w:val="Corpodetexto"/>
        <w:spacing w:before="137" w:line="312" w:lineRule="auto"/>
        <w:ind w:right="38"/>
      </w:pPr>
      <w:r>
        <w:t xml:space="preserve">A comunidade indígena Kayapó ou Caiapó subdivide-se em 14 grupos, dentre eles: Gorotire, Xikrin do </w:t>
      </w:r>
      <w:r>
        <w:t xml:space="preserve">Cateté, Xikrin do Bacajá, A’Ukre, Kararaô, Kikretum, Metuktire (Txu-kurramãe), </w:t>
      </w:r>
      <w:r>
        <w:rPr>
          <w:spacing w:val="1"/>
        </w:rPr>
        <w:t xml:space="preserve">Kokraimoro, Kubenkran-kén </w:t>
      </w:r>
      <w:r>
        <w:t xml:space="preserve">e </w:t>
      </w:r>
      <w:r>
        <w:rPr>
          <w:spacing w:val="1"/>
        </w:rPr>
        <w:t xml:space="preserve">Mekragnotí. Acredita-se </w:t>
      </w:r>
      <w:r>
        <w:rPr>
          <w:spacing w:val="2"/>
        </w:rPr>
        <w:t xml:space="preserve">que </w:t>
      </w:r>
      <w:r>
        <w:rPr>
          <w:spacing w:val="1"/>
        </w:rPr>
        <w:t xml:space="preserve">pelo menos três desses grupos nunca tenham tido </w:t>
      </w:r>
      <w:r>
        <w:rPr>
          <w:spacing w:val="2"/>
        </w:rPr>
        <w:t xml:space="preserve">contato </w:t>
      </w:r>
      <w:r>
        <w:rPr>
          <w:spacing w:val="10"/>
        </w:rPr>
        <w:t>com</w:t>
      </w:r>
      <w:r>
        <w:rPr>
          <w:spacing w:val="71"/>
        </w:rPr>
        <w:t xml:space="preserve"> </w:t>
      </w:r>
      <w:r>
        <w:t xml:space="preserve">o </w:t>
      </w:r>
      <w:r>
        <w:rPr>
          <w:spacing w:val="13"/>
        </w:rPr>
        <w:t xml:space="preserve">restante </w:t>
      </w:r>
      <w:r>
        <w:rPr>
          <w:spacing w:val="7"/>
        </w:rPr>
        <w:t xml:space="preserve">da </w:t>
      </w:r>
      <w:r>
        <w:rPr>
          <w:spacing w:val="15"/>
        </w:rPr>
        <w:t xml:space="preserve">sociedade brasileira </w:t>
      </w:r>
      <w:r>
        <w:rPr>
          <w:spacing w:val="13"/>
        </w:rPr>
        <w:t xml:space="preserve">(VERDE; </w:t>
      </w:r>
      <w:r>
        <w:rPr>
          <w:spacing w:val="15"/>
        </w:rPr>
        <w:t>FERNANDES,</w:t>
      </w:r>
      <w:r>
        <w:rPr>
          <w:spacing w:val="20"/>
        </w:rPr>
        <w:t xml:space="preserve"> </w:t>
      </w:r>
      <w:r>
        <w:rPr>
          <w:spacing w:val="13"/>
        </w:rPr>
        <w:t>2009).</w:t>
      </w:r>
      <w:r>
        <w:rPr>
          <w:spacing w:val="-32"/>
        </w:rPr>
        <w:t xml:space="preserve"> </w:t>
      </w:r>
    </w:p>
    <w:p w:rsidR="00D81F69" w:rsidRDefault="00330118">
      <w:pPr>
        <w:pStyle w:val="Corpodetexto"/>
        <w:spacing w:before="137" w:line="312" w:lineRule="auto"/>
        <w:ind w:right="52"/>
      </w:pPr>
      <w:r>
        <w:t>Devido às pressões causadas pelos não indígenas, os grupos Kaiapó realizaram, ao longo da história de colonização amazônica, constante fluxo migratório, embrenhando-se nas matas para fugir das doenças e da ambição sobre as riquezas naturais de suas terras</w:t>
      </w:r>
      <w:r>
        <w:t>, em especial os recursos minerais. Vale ressaltar, no entanto, que os Kayapó divergiam entre si na questão do contato com o homem branco: um grupo era contra, e outro, a favor, acreditando numa possível relação harmoniosa (VERDE; FERNANDES, 2009).</w:t>
      </w:r>
    </w:p>
    <w:p w:rsidR="00D81F69" w:rsidRDefault="00330118">
      <w:pPr>
        <w:pStyle w:val="Corpodetexto"/>
        <w:spacing w:before="75" w:line="270" w:lineRule="atLeast"/>
        <w:ind w:right="46"/>
      </w:pPr>
      <w:r>
        <w:t>A divis</w:t>
      </w:r>
      <w:r>
        <w:t xml:space="preserve">ão entre os Kayapó ocorreu ainda no século XVIII. O grupo original não migrou da região Pau d’Arco, afluente do  rio </w:t>
      </w:r>
      <w:r>
        <w:rPr>
          <w:spacing w:val="1"/>
        </w:rPr>
        <w:t xml:space="preserve">Araguaia, enquanto </w:t>
      </w:r>
      <w:r>
        <w:t xml:space="preserve">que o </w:t>
      </w:r>
      <w:r>
        <w:rPr>
          <w:spacing w:val="1"/>
        </w:rPr>
        <w:t xml:space="preserve">grupo denominado </w:t>
      </w:r>
      <w:r>
        <w:rPr>
          <w:spacing w:val="2"/>
        </w:rPr>
        <w:t xml:space="preserve">Poke-kru </w:t>
      </w:r>
      <w:r>
        <w:t xml:space="preserve">(ancestrais dos atuais Xikrin) se deslocou para a região norte, </w:t>
      </w:r>
      <w:r>
        <w:rPr>
          <w:spacing w:val="6"/>
        </w:rPr>
        <w:t xml:space="preserve">onde </w:t>
      </w:r>
      <w:r>
        <w:rPr>
          <w:spacing w:val="5"/>
        </w:rPr>
        <w:t xml:space="preserve">se </w:t>
      </w:r>
      <w:r>
        <w:rPr>
          <w:spacing w:val="7"/>
        </w:rPr>
        <w:t xml:space="preserve">encontram </w:t>
      </w:r>
      <w:r>
        <w:rPr>
          <w:spacing w:val="5"/>
        </w:rPr>
        <w:t xml:space="preserve">os </w:t>
      </w:r>
      <w:r>
        <w:rPr>
          <w:spacing w:val="6"/>
        </w:rPr>
        <w:t>rio</w:t>
      </w:r>
      <w:r>
        <w:rPr>
          <w:spacing w:val="6"/>
        </w:rPr>
        <w:t xml:space="preserve">s </w:t>
      </w:r>
      <w:r>
        <w:rPr>
          <w:spacing w:val="8"/>
        </w:rPr>
        <w:t xml:space="preserve">Parauapebas </w:t>
      </w:r>
      <w:r>
        <w:t xml:space="preserve">e </w:t>
      </w:r>
      <w:r>
        <w:rPr>
          <w:spacing w:val="10"/>
        </w:rPr>
        <w:t xml:space="preserve">Itacaiúnas. </w:t>
      </w:r>
      <w:r>
        <w:rPr>
          <w:spacing w:val="6"/>
        </w:rPr>
        <w:t xml:space="preserve">Posteriormente, </w:t>
      </w:r>
      <w:r>
        <w:rPr>
          <w:spacing w:val="3"/>
        </w:rPr>
        <w:t xml:space="preserve">os </w:t>
      </w:r>
      <w:r>
        <w:rPr>
          <w:spacing w:val="6"/>
        </w:rPr>
        <w:t xml:space="preserve">Poke-kru sofreram </w:t>
      </w:r>
      <w:r>
        <w:rPr>
          <w:spacing w:val="5"/>
        </w:rPr>
        <w:t xml:space="preserve">nova </w:t>
      </w:r>
      <w:r>
        <w:rPr>
          <w:spacing w:val="7"/>
        </w:rPr>
        <w:t xml:space="preserve">separação, </w:t>
      </w:r>
      <w:r>
        <w:rPr>
          <w:spacing w:val="8"/>
        </w:rPr>
        <w:t xml:space="preserve">originando </w:t>
      </w:r>
      <w:r>
        <w:rPr>
          <w:spacing w:val="5"/>
        </w:rPr>
        <w:t xml:space="preserve">as </w:t>
      </w:r>
      <w:r>
        <w:rPr>
          <w:spacing w:val="8"/>
        </w:rPr>
        <w:t xml:space="preserve">comunidades </w:t>
      </w:r>
      <w:r>
        <w:rPr>
          <w:spacing w:val="7"/>
        </w:rPr>
        <w:t xml:space="preserve">Kokorekré </w:t>
      </w:r>
      <w:r>
        <w:t xml:space="preserve">e </w:t>
      </w:r>
      <w:r>
        <w:rPr>
          <w:spacing w:val="6"/>
        </w:rPr>
        <w:t xml:space="preserve">Put- </w:t>
      </w:r>
      <w:r>
        <w:rPr>
          <w:spacing w:val="7"/>
        </w:rPr>
        <w:t xml:space="preserve">Karôt. </w:t>
      </w:r>
      <w:r>
        <w:t xml:space="preserve">A </w:t>
      </w:r>
      <w:r>
        <w:rPr>
          <w:spacing w:val="12"/>
        </w:rPr>
        <w:t xml:space="preserve">primeira, </w:t>
      </w:r>
      <w:r>
        <w:rPr>
          <w:spacing w:val="10"/>
        </w:rPr>
        <w:t xml:space="preserve">que </w:t>
      </w:r>
      <w:r>
        <w:rPr>
          <w:spacing w:val="12"/>
        </w:rPr>
        <w:t xml:space="preserve">permanece </w:t>
      </w:r>
      <w:r>
        <w:rPr>
          <w:spacing w:val="10"/>
        </w:rPr>
        <w:t xml:space="preserve">nas </w:t>
      </w:r>
      <w:r>
        <w:rPr>
          <w:spacing w:val="12"/>
        </w:rPr>
        <w:t xml:space="preserve">proximidades </w:t>
      </w:r>
      <w:r>
        <w:rPr>
          <w:spacing w:val="6"/>
        </w:rPr>
        <w:t xml:space="preserve">do </w:t>
      </w:r>
      <w:r>
        <w:rPr>
          <w:spacing w:val="10"/>
        </w:rPr>
        <w:t xml:space="preserve">rio </w:t>
      </w:r>
      <w:r>
        <w:rPr>
          <w:spacing w:val="5"/>
        </w:rPr>
        <w:t xml:space="preserve">Parauapebas, promoveu aproximação </w:t>
      </w:r>
      <w:r>
        <w:rPr>
          <w:spacing w:val="3"/>
        </w:rPr>
        <w:t xml:space="preserve">com </w:t>
      </w:r>
      <w:r>
        <w:t xml:space="preserve">a </w:t>
      </w:r>
      <w:r>
        <w:rPr>
          <w:spacing w:val="5"/>
        </w:rPr>
        <w:t xml:space="preserve">cultura </w:t>
      </w:r>
      <w:r>
        <w:rPr>
          <w:spacing w:val="6"/>
        </w:rPr>
        <w:t xml:space="preserve">do </w:t>
      </w:r>
      <w:r>
        <w:rPr>
          <w:spacing w:val="1"/>
        </w:rPr>
        <w:t xml:space="preserve">homem branco, realizando </w:t>
      </w:r>
      <w:r>
        <w:t xml:space="preserve">um </w:t>
      </w:r>
      <w:r>
        <w:rPr>
          <w:spacing w:val="1"/>
        </w:rPr>
        <w:t xml:space="preserve">sistema </w:t>
      </w:r>
      <w:r>
        <w:t xml:space="preserve">de </w:t>
      </w:r>
      <w:r>
        <w:rPr>
          <w:spacing w:val="1"/>
        </w:rPr>
        <w:t xml:space="preserve">trocas </w:t>
      </w:r>
      <w:r>
        <w:t xml:space="preserve">com </w:t>
      </w:r>
      <w:r>
        <w:rPr>
          <w:spacing w:val="2"/>
        </w:rPr>
        <w:t xml:space="preserve">não </w:t>
      </w:r>
      <w:r>
        <w:t>indígenas</w:t>
      </w:r>
      <w:r>
        <w:rPr>
          <w:spacing w:val="11"/>
        </w:rPr>
        <w:t xml:space="preserve"> </w:t>
      </w:r>
      <w:r>
        <w:t>que</w:t>
      </w:r>
      <w:r>
        <w:rPr>
          <w:spacing w:val="11"/>
        </w:rPr>
        <w:t xml:space="preserve"> </w:t>
      </w:r>
      <w:r>
        <w:t>acabou</w:t>
      </w:r>
      <w:r>
        <w:rPr>
          <w:spacing w:val="11"/>
        </w:rPr>
        <w:t xml:space="preserve"> </w:t>
      </w:r>
      <w:r>
        <w:t>lhe</w:t>
      </w:r>
      <w:r>
        <w:rPr>
          <w:spacing w:val="11"/>
        </w:rPr>
        <w:t xml:space="preserve"> </w:t>
      </w:r>
      <w:r>
        <w:t>rendendo</w:t>
      </w:r>
      <w:r>
        <w:rPr>
          <w:spacing w:val="11"/>
        </w:rPr>
        <w:t xml:space="preserve"> </w:t>
      </w:r>
      <w:r>
        <w:t>doenças</w:t>
      </w:r>
      <w:r>
        <w:rPr>
          <w:spacing w:val="11"/>
        </w:rPr>
        <w:t xml:space="preserve"> </w:t>
      </w:r>
      <w:r>
        <w:t>desconhecidas,</w:t>
      </w:r>
    </w:p>
    <w:p w:rsidR="00D81F69" w:rsidRDefault="00330118">
      <w:pPr>
        <w:pStyle w:val="Corpodetexto"/>
        <w:spacing w:before="63" w:line="312" w:lineRule="auto"/>
        <w:ind w:right="217"/>
      </w:pPr>
      <w:r>
        <w:br w:type="column"/>
      </w:r>
      <w:r>
        <w:lastRenderedPageBreak/>
        <w:t xml:space="preserve">de 1959, sendo vitimados por doenças que se alastravam como epidemias entre seu povo nativo (VERDE; FERNANDES, 2009). </w:t>
      </w:r>
    </w:p>
    <w:p w:rsidR="00D81F69" w:rsidRDefault="00330118">
      <w:pPr>
        <w:pStyle w:val="Corpodetexto"/>
        <w:spacing w:before="133" w:line="312" w:lineRule="auto"/>
        <w:ind w:right="248"/>
      </w:pPr>
      <w:r>
        <w:t>Hoje em dia, no territóri</w:t>
      </w:r>
      <w:r>
        <w:t>o paraense, os Xikrin ocupam duas Tis, ambas homologadas e registradas: TI Catete e TI Trincheira Bacajá. Os Xikrin do Catete habitam área de terra firme, que não sofre alagamento durante a época das cheias dos rios, com uma vegetação tipicamente tropical,</w:t>
      </w:r>
      <w:r>
        <w:t xml:space="preserve"> conhecida como mata de cipó. Localizam-se no interior da jurisdição do município de Parauapebas, próximo à zona urbanizada de Carajás, uma das maiores províncias minerais do mundo, o que os coloca em constantes conflitos, em especial com a Vale, que adqui</w:t>
      </w:r>
      <w:r>
        <w:t xml:space="preserve">riu a exclusividade de explorar minério de </w:t>
      </w:r>
      <w:hyperlink r:id="rId401">
        <w:r>
          <w:t xml:space="preserve">ferro, </w:t>
        </w:r>
      </w:hyperlink>
      <w:r>
        <w:t xml:space="preserve">ouro e </w:t>
      </w:r>
      <w:hyperlink r:id="rId402">
        <w:r>
          <w:t xml:space="preserve">manganês </w:t>
        </w:r>
      </w:hyperlink>
      <w:r>
        <w:t>no local,</w:t>
      </w:r>
      <w:r>
        <w:t xml:space="preserve"> em 1981, dando início ao Projeto Ferro Carajás (VERDE; FERNANDES, 2009).</w:t>
      </w:r>
    </w:p>
    <w:p w:rsidR="00D81F69" w:rsidRDefault="00330118">
      <w:pPr>
        <w:pStyle w:val="Corpodetexto"/>
        <w:spacing w:before="141" w:line="312" w:lineRule="auto"/>
        <w:ind w:right="227"/>
      </w:pPr>
      <w:r>
        <w:t>A exploração de recursos nas TI Kaiapó ganhou impulso em 1980. Fazendeiros, colonos, madeireiros, garimpeiros e especuladores de terra, incentivados pela construção de estradas começ</w:t>
      </w:r>
      <w:r>
        <w:t>aram a invadir as terras indígenas (SCHWARTZMAN; ZIMMERMAN, 2005), com a abertura de fazendas, seguida da exploração de ouro a céu aberto (garimpos) e da exploração madeireira, atividade esta intensificada a partir da década de 1990 (MACHADO, 2012). Por su</w:t>
      </w:r>
      <w:r>
        <w:t>a vez, o governo não fez cumprir as leis que protegem as terras indígenas de invasão, usurpação e extração de recursos de terceiros (SCHWARTZMAN; ZIMMERMAN, 2005).</w:t>
      </w:r>
    </w:p>
    <w:p w:rsidR="00D81F69" w:rsidRDefault="00330118">
      <w:pPr>
        <w:pStyle w:val="Corpodetexto"/>
        <w:spacing w:before="141" w:line="312" w:lineRule="auto"/>
        <w:ind w:right="228"/>
      </w:pPr>
      <w:r>
        <w:t xml:space="preserve">A </w:t>
      </w:r>
      <w:r>
        <w:rPr>
          <w:spacing w:val="6"/>
        </w:rPr>
        <w:t xml:space="preserve">Constituição Brasileira </w:t>
      </w:r>
      <w:r>
        <w:rPr>
          <w:spacing w:val="3"/>
        </w:rPr>
        <w:t xml:space="preserve">de </w:t>
      </w:r>
      <w:r>
        <w:rPr>
          <w:spacing w:val="5"/>
        </w:rPr>
        <w:t xml:space="preserve">1988, </w:t>
      </w:r>
      <w:r>
        <w:rPr>
          <w:spacing w:val="3"/>
        </w:rPr>
        <w:t xml:space="preserve">em </w:t>
      </w:r>
      <w:r>
        <w:rPr>
          <w:spacing w:val="5"/>
        </w:rPr>
        <w:t xml:space="preserve">seu artigo </w:t>
      </w:r>
      <w:r>
        <w:rPr>
          <w:spacing w:val="7"/>
        </w:rPr>
        <w:t xml:space="preserve">231°, </w:t>
      </w:r>
      <w:r>
        <w:t>assegura direitos aos povos indígenas</w:t>
      </w:r>
      <w:r>
        <w:t xml:space="preserve">, dentre eles o direito  </w:t>
      </w:r>
      <w:r>
        <w:rPr>
          <w:spacing w:val="3"/>
        </w:rPr>
        <w:t xml:space="preserve">às </w:t>
      </w:r>
      <w:r>
        <w:rPr>
          <w:spacing w:val="5"/>
        </w:rPr>
        <w:t xml:space="preserve">terras que </w:t>
      </w:r>
      <w:r>
        <w:rPr>
          <w:spacing w:val="6"/>
        </w:rPr>
        <w:t xml:space="preserve">tradicionalmente </w:t>
      </w:r>
      <w:r>
        <w:rPr>
          <w:spacing w:val="5"/>
        </w:rPr>
        <w:t xml:space="preserve">ocupam. Embora </w:t>
      </w:r>
      <w:r>
        <w:rPr>
          <w:spacing w:val="7"/>
        </w:rPr>
        <w:t xml:space="preserve">sejam </w:t>
      </w:r>
      <w:r>
        <w:rPr>
          <w:spacing w:val="3"/>
        </w:rPr>
        <w:t xml:space="preserve">propriedades </w:t>
      </w:r>
      <w:r>
        <w:rPr>
          <w:spacing w:val="1"/>
        </w:rPr>
        <w:t xml:space="preserve">do </w:t>
      </w:r>
      <w:r>
        <w:rPr>
          <w:spacing w:val="3"/>
        </w:rPr>
        <w:t xml:space="preserve">governo federal, ficaram estabelecidos </w:t>
      </w:r>
      <w:r>
        <w:t>a ocupação permanente e os direitos exclusivos de usufruto ao povo indígena, com exceção aos direitos minerais e hídricos, q</w:t>
      </w:r>
      <w:r>
        <w:t xml:space="preserve">ue permanecem sob o controle governamental. No entanto,  a </w:t>
      </w:r>
      <w:r>
        <w:rPr>
          <w:spacing w:val="5"/>
        </w:rPr>
        <w:t xml:space="preserve">extração </w:t>
      </w:r>
      <w:r>
        <w:rPr>
          <w:spacing w:val="2"/>
        </w:rPr>
        <w:t xml:space="preserve">de </w:t>
      </w:r>
      <w:r>
        <w:rPr>
          <w:spacing w:val="5"/>
        </w:rPr>
        <w:t xml:space="preserve">recurso </w:t>
      </w:r>
      <w:r>
        <w:rPr>
          <w:spacing w:val="3"/>
        </w:rPr>
        <w:t xml:space="preserve">nas áreas </w:t>
      </w:r>
      <w:r>
        <w:rPr>
          <w:spacing w:val="5"/>
        </w:rPr>
        <w:t xml:space="preserve">indígenas </w:t>
      </w:r>
      <w:r>
        <w:rPr>
          <w:spacing w:val="2"/>
        </w:rPr>
        <w:t xml:space="preserve">é, em </w:t>
      </w:r>
      <w:r>
        <w:rPr>
          <w:spacing w:val="5"/>
        </w:rPr>
        <w:t xml:space="preserve">geral, </w:t>
      </w:r>
      <w:r>
        <w:rPr>
          <w:spacing w:val="3"/>
        </w:rPr>
        <w:t>conduzida</w:t>
      </w:r>
      <w:r>
        <w:rPr>
          <w:spacing w:val="26"/>
        </w:rPr>
        <w:t xml:space="preserve"> </w:t>
      </w:r>
      <w:r>
        <w:rPr>
          <w:spacing w:val="1"/>
        </w:rPr>
        <w:t>de</w:t>
      </w:r>
      <w:r>
        <w:rPr>
          <w:spacing w:val="26"/>
        </w:rPr>
        <w:t xml:space="preserve"> </w:t>
      </w:r>
      <w:r>
        <w:rPr>
          <w:spacing w:val="3"/>
        </w:rPr>
        <w:t>forma</w:t>
      </w:r>
      <w:r>
        <w:rPr>
          <w:spacing w:val="26"/>
        </w:rPr>
        <w:t xml:space="preserve"> </w:t>
      </w:r>
      <w:r>
        <w:rPr>
          <w:spacing w:val="2"/>
        </w:rPr>
        <w:t>não</w:t>
      </w:r>
      <w:r>
        <w:rPr>
          <w:spacing w:val="26"/>
        </w:rPr>
        <w:t xml:space="preserve"> </w:t>
      </w:r>
      <w:r>
        <w:rPr>
          <w:spacing w:val="3"/>
        </w:rPr>
        <w:t>regulamentada,</w:t>
      </w:r>
      <w:r>
        <w:rPr>
          <w:spacing w:val="26"/>
        </w:rPr>
        <w:t xml:space="preserve"> </w:t>
      </w:r>
      <w:r>
        <w:t>e</w:t>
      </w:r>
      <w:r>
        <w:rPr>
          <w:spacing w:val="26"/>
        </w:rPr>
        <w:t xml:space="preserve"> </w:t>
      </w:r>
      <w:r>
        <w:rPr>
          <w:spacing w:val="2"/>
        </w:rPr>
        <w:t>até</w:t>
      </w:r>
      <w:r>
        <w:rPr>
          <w:spacing w:val="26"/>
        </w:rPr>
        <w:t xml:space="preserve"> </w:t>
      </w:r>
      <w:r>
        <w:rPr>
          <w:spacing w:val="3"/>
        </w:rPr>
        <w:t>mesmo</w:t>
      </w:r>
      <w:r>
        <w:rPr>
          <w:spacing w:val="26"/>
        </w:rPr>
        <w:t xml:space="preserve"> </w:t>
      </w:r>
      <w:r>
        <w:rPr>
          <w:spacing w:val="5"/>
        </w:rPr>
        <w:t>de</w:t>
      </w:r>
    </w:p>
    <w:p w:rsidR="00D81F69" w:rsidRDefault="00D81F69">
      <w:pPr>
        <w:spacing w:line="312" w:lineRule="auto"/>
        <w:sectPr w:rsidR="00D81F69">
          <w:type w:val="continuous"/>
          <w:pgSz w:w="11900" w:h="16840"/>
          <w:pgMar w:top="720" w:right="460" w:bottom="280" w:left="620" w:header="720" w:footer="720" w:gutter="0"/>
          <w:cols w:num="2" w:space="720" w:equalWidth="0">
            <w:col w:w="5170" w:space="300"/>
            <w:col w:w="5350"/>
          </w:cols>
        </w:sectPr>
      </w:pPr>
    </w:p>
    <w:p w:rsidR="00D81F69" w:rsidRDefault="00330118">
      <w:pPr>
        <w:pStyle w:val="Corpodetexto"/>
        <w:spacing w:before="81"/>
      </w:pPr>
      <w:r>
        <w:lastRenderedPageBreak/>
        <w:t>modo ilegal (SCHWARTZMAN; ZIMMERMAN, 2005).</w:t>
      </w:r>
    </w:p>
    <w:p w:rsidR="00D81F69" w:rsidRDefault="00D81F69">
      <w:pPr>
        <w:pStyle w:val="Corpodetexto"/>
        <w:spacing w:before="9"/>
        <w:ind w:left="0"/>
        <w:jc w:val="left"/>
        <w:rPr>
          <w:sz w:val="16"/>
        </w:rPr>
      </w:pPr>
    </w:p>
    <w:p w:rsidR="00D81F69" w:rsidRDefault="00330118">
      <w:pPr>
        <w:pStyle w:val="Corpodetexto"/>
        <w:spacing w:line="312" w:lineRule="auto"/>
        <w:ind w:right="44"/>
      </w:pPr>
      <w:r>
        <w:t xml:space="preserve">No final da década de 1980 e início da seguinte, os </w:t>
      </w:r>
      <w:r>
        <w:rPr>
          <w:spacing w:val="1"/>
        </w:rPr>
        <w:t xml:space="preserve">chefes </w:t>
      </w:r>
      <w:r>
        <w:t xml:space="preserve">Kayapós começaram a permitir concessões a exploradores de mogno e garimpeiros em troca de dinheiro (SCHWARTZMAN; ZIMMERMAN, 2005). “Ironicamente, o corte ilegal de mogno </w:t>
      </w:r>
      <w:r>
        <w:rPr>
          <w:spacing w:val="5"/>
        </w:rPr>
        <w:t xml:space="preserve">contribuiu </w:t>
      </w:r>
      <w:r>
        <w:rPr>
          <w:spacing w:val="3"/>
        </w:rPr>
        <w:t xml:space="preserve">para </w:t>
      </w:r>
      <w:r>
        <w:t xml:space="preserve">a </w:t>
      </w:r>
      <w:r>
        <w:rPr>
          <w:spacing w:val="5"/>
        </w:rPr>
        <w:t>persistên</w:t>
      </w:r>
      <w:r>
        <w:rPr>
          <w:spacing w:val="5"/>
        </w:rPr>
        <w:t xml:space="preserve">cia </w:t>
      </w:r>
      <w:r>
        <w:rPr>
          <w:spacing w:val="2"/>
        </w:rPr>
        <w:t xml:space="preserve">da </w:t>
      </w:r>
      <w:r>
        <w:rPr>
          <w:spacing w:val="5"/>
        </w:rPr>
        <w:t xml:space="preserve">floresta </w:t>
      </w:r>
      <w:r>
        <w:rPr>
          <w:spacing w:val="2"/>
        </w:rPr>
        <w:t xml:space="preserve">no </w:t>
      </w:r>
      <w:r>
        <w:rPr>
          <w:spacing w:val="5"/>
        </w:rPr>
        <w:t xml:space="preserve">sudeste da Amazônia </w:t>
      </w:r>
      <w:r>
        <w:t xml:space="preserve">– </w:t>
      </w:r>
      <w:r>
        <w:rPr>
          <w:spacing w:val="2"/>
        </w:rPr>
        <w:t xml:space="preserve">os </w:t>
      </w:r>
      <w:r>
        <w:rPr>
          <w:spacing w:val="5"/>
        </w:rPr>
        <w:t xml:space="preserve">Kayapós investiram </w:t>
      </w:r>
      <w:r>
        <w:rPr>
          <w:spacing w:val="3"/>
        </w:rPr>
        <w:t xml:space="preserve">parte </w:t>
      </w:r>
      <w:r>
        <w:rPr>
          <w:spacing w:val="2"/>
        </w:rPr>
        <w:t xml:space="preserve">do </w:t>
      </w:r>
      <w:r>
        <w:rPr>
          <w:spacing w:val="5"/>
        </w:rPr>
        <w:t>dinheiro na</w:t>
      </w:r>
      <w:r>
        <w:rPr>
          <w:spacing w:val="61"/>
        </w:rPr>
        <w:t xml:space="preserve"> </w:t>
      </w:r>
      <w:r>
        <w:rPr>
          <w:spacing w:val="1"/>
        </w:rPr>
        <w:t xml:space="preserve">proteção </w:t>
      </w:r>
      <w:r>
        <w:t xml:space="preserve">de </w:t>
      </w:r>
      <w:r>
        <w:rPr>
          <w:spacing w:val="1"/>
        </w:rPr>
        <w:t xml:space="preserve">suas terras” (SCHWARTZMAN; </w:t>
      </w:r>
      <w:r>
        <w:rPr>
          <w:spacing w:val="2"/>
        </w:rPr>
        <w:t xml:space="preserve">ZIMMERMAN, </w:t>
      </w:r>
      <w:r>
        <w:rPr>
          <w:spacing w:val="1"/>
        </w:rPr>
        <w:t xml:space="preserve">2005, </w:t>
      </w:r>
      <w:r>
        <w:t xml:space="preserve">p. </w:t>
      </w:r>
      <w:r>
        <w:rPr>
          <w:spacing w:val="2"/>
        </w:rPr>
        <w:t>167).</w:t>
      </w:r>
    </w:p>
    <w:p w:rsidR="00D81F69" w:rsidRDefault="00330118">
      <w:pPr>
        <w:pStyle w:val="Corpodetexto"/>
        <w:spacing w:before="137" w:line="312" w:lineRule="auto"/>
        <w:ind w:right="47"/>
      </w:pPr>
      <w:r>
        <w:t>O envolvimento com as atividades garimpeira e madeireira acabou por gerar, no entanto, um quadro de conflitos e desunião entre os indígenas, além de progressivo distanciamento das atividades produtivas tradicionais e dependência de alimentos oriundos das c</w:t>
      </w:r>
      <w:r>
        <w:t>idades (MACHADO, 2012).</w:t>
      </w:r>
    </w:p>
    <w:p w:rsidR="00D81F69" w:rsidRDefault="00330118">
      <w:pPr>
        <w:pStyle w:val="Corpodetexto"/>
        <w:spacing w:before="136" w:line="312" w:lineRule="auto"/>
        <w:ind w:right="38"/>
      </w:pPr>
      <w:r>
        <w:t>Na tentativa de proporcionar uma alternativa econômica à venda do mogno, em 1992, a Conservação Internacional (CI- Brasil) começou a trabalhar com os Kayapós na comunidade A'Ukre, uma estação de pesquisa ecológica e reserva biológic</w:t>
      </w:r>
      <w:r>
        <w:t>a, que atrai pesquisadores por ser intacta e com uma extensa variedade de espécies. As atividades de pesquisa na comunidade vêm gerando benefícios diretos, na forma de taxas de uso público, emprego, treinamento, apoio técnico e administrativo no ambiente e</w:t>
      </w:r>
      <w:r>
        <w:t>xterno (SCHWARTZMAN; ZIMMERMAN, 2005).</w:t>
      </w:r>
    </w:p>
    <w:p w:rsidR="00D81F69" w:rsidRDefault="00330118">
      <w:pPr>
        <w:pStyle w:val="Corpodetexto"/>
        <w:spacing w:before="139" w:line="312" w:lineRule="auto"/>
        <w:ind w:right="42"/>
      </w:pPr>
      <w:r>
        <w:t xml:space="preserve">Reconhecendo os benefícios, a comunidade A'Ukre optou por manter uma reserva de pesquisa ecológica, com 8 mil ha com mogno, em vez de continuar a vender a madeira para ganhos a </w:t>
      </w:r>
      <w:r>
        <w:rPr>
          <w:spacing w:val="15"/>
        </w:rPr>
        <w:t xml:space="preserve">curto prazo </w:t>
      </w:r>
      <w:r>
        <w:rPr>
          <w:spacing w:val="17"/>
        </w:rPr>
        <w:t xml:space="preserve">(ZIMMERMAN </w:t>
      </w:r>
      <w:r>
        <w:rPr>
          <w:spacing w:val="10"/>
        </w:rPr>
        <w:t xml:space="preserve">et </w:t>
      </w:r>
      <w:r>
        <w:rPr>
          <w:spacing w:val="15"/>
        </w:rPr>
        <w:t>al., 2001 apud</w:t>
      </w:r>
      <w:r>
        <w:rPr>
          <w:spacing w:val="15"/>
        </w:rPr>
        <w:t xml:space="preserve"> </w:t>
      </w:r>
      <w:r>
        <w:rPr>
          <w:spacing w:val="18"/>
        </w:rPr>
        <w:t xml:space="preserve">SCHWARTZMAN; </w:t>
      </w:r>
      <w:r>
        <w:rPr>
          <w:spacing w:val="17"/>
        </w:rPr>
        <w:t xml:space="preserve">ZIMMERMAN, </w:t>
      </w:r>
      <w:r>
        <w:rPr>
          <w:spacing w:val="15"/>
        </w:rPr>
        <w:t>2005</w:t>
      </w:r>
      <w:r>
        <w:rPr>
          <w:spacing w:val="76"/>
        </w:rPr>
        <w:t xml:space="preserve"> </w:t>
      </w:r>
      <w:r>
        <w:rPr>
          <w:spacing w:val="10"/>
        </w:rPr>
        <w:t>).</w:t>
      </w:r>
      <w:r>
        <w:rPr>
          <w:spacing w:val="-28"/>
        </w:rPr>
        <w:t xml:space="preserve"> </w:t>
      </w:r>
    </w:p>
    <w:p w:rsidR="00D81F69" w:rsidRDefault="00330118">
      <w:pPr>
        <w:pStyle w:val="Corpodetexto"/>
        <w:spacing w:before="135" w:line="312" w:lineRule="auto"/>
        <w:ind w:right="45"/>
      </w:pPr>
      <w:r>
        <w:t>Quando o garimpo e o corte de mogno em suas terras foram interrompidos, os Kayapós começaram a organizar associações para ter acesso aos itens de primeira necessidade da comunidade. A Conservação Internacional fornece apoi</w:t>
      </w:r>
      <w:r>
        <w:t>o técnico, administrativo e financeiro para implantação de projetos das duas principais ONGs Kaiapós: Associação Floresta Protegida (AFP), no estado do Pará, e Instituto Raoni (IR), no Mato Grosso. Ambas as organizações realizam vigilância territorial, pro</w:t>
      </w:r>
      <w:r>
        <w:t>jetos de desenvolvimento e conservação com recursos obtidos principalmente da CI- Brasil, em parceria com a Fundação Nacional do Índio (Funai) (SCHWARTZMAN; ZIMMERMAN, 2005).</w:t>
      </w:r>
    </w:p>
    <w:p w:rsidR="00D81F69" w:rsidRDefault="00330118">
      <w:pPr>
        <w:pStyle w:val="Corpodetexto"/>
        <w:spacing w:before="141" w:line="312" w:lineRule="auto"/>
        <w:ind w:right="58"/>
      </w:pPr>
      <w:r>
        <w:rPr>
          <w:spacing w:val="1"/>
        </w:rPr>
        <w:t xml:space="preserve">Sendo assim, juntos, CI-Brasil, Instituto Raoni, </w:t>
      </w:r>
      <w:r>
        <w:rPr>
          <w:spacing w:val="2"/>
        </w:rPr>
        <w:t xml:space="preserve">Associação </w:t>
      </w:r>
      <w:r>
        <w:rPr>
          <w:spacing w:val="3"/>
        </w:rPr>
        <w:t xml:space="preserve">Floresta Protegida </w:t>
      </w:r>
      <w:r>
        <w:t xml:space="preserve">e </w:t>
      </w:r>
      <w:r>
        <w:rPr>
          <w:spacing w:val="3"/>
        </w:rPr>
        <w:t xml:space="preserve">Funai desenvolvem várias </w:t>
      </w:r>
      <w:r>
        <w:rPr>
          <w:spacing w:val="5"/>
        </w:rPr>
        <w:t xml:space="preserve">iniciativas </w:t>
      </w:r>
      <w:r>
        <w:rPr>
          <w:spacing w:val="6"/>
        </w:rPr>
        <w:t xml:space="preserve">para </w:t>
      </w:r>
      <w:r>
        <w:rPr>
          <w:spacing w:val="7"/>
        </w:rPr>
        <w:t xml:space="preserve">fornecer </w:t>
      </w:r>
      <w:r>
        <w:rPr>
          <w:spacing w:val="8"/>
        </w:rPr>
        <w:t xml:space="preserve">alternativas econômicas sustentáveis </w:t>
      </w:r>
      <w:r>
        <w:rPr>
          <w:spacing w:val="10"/>
        </w:rPr>
        <w:t xml:space="preserve">às </w:t>
      </w:r>
      <w:r>
        <w:rPr>
          <w:spacing w:val="6"/>
        </w:rPr>
        <w:t xml:space="preserve">comunidades </w:t>
      </w:r>
      <w:r>
        <w:rPr>
          <w:spacing w:val="5"/>
        </w:rPr>
        <w:t xml:space="preserve">Kayapó para que possam fazer frente </w:t>
      </w:r>
      <w:r>
        <w:rPr>
          <w:spacing w:val="7"/>
        </w:rPr>
        <w:t xml:space="preserve">às </w:t>
      </w:r>
      <w:r>
        <w:t>atividades de maior impacto ambiental em suas terras, como  a</w:t>
      </w:r>
      <w:r>
        <w:rPr>
          <w:spacing w:val="10"/>
        </w:rPr>
        <w:t xml:space="preserve"> </w:t>
      </w:r>
      <w:r>
        <w:t>exploração</w:t>
      </w:r>
      <w:r>
        <w:rPr>
          <w:spacing w:val="10"/>
        </w:rPr>
        <w:t xml:space="preserve"> </w:t>
      </w:r>
      <w:r>
        <w:t>madeireira</w:t>
      </w:r>
      <w:r>
        <w:rPr>
          <w:spacing w:val="10"/>
        </w:rPr>
        <w:t xml:space="preserve"> </w:t>
      </w:r>
      <w:r>
        <w:t>e</w:t>
      </w:r>
      <w:r>
        <w:rPr>
          <w:spacing w:val="10"/>
        </w:rPr>
        <w:t xml:space="preserve"> </w:t>
      </w:r>
      <w:r>
        <w:t>o</w:t>
      </w:r>
      <w:r>
        <w:rPr>
          <w:spacing w:val="10"/>
        </w:rPr>
        <w:t xml:space="preserve"> </w:t>
      </w:r>
      <w:r>
        <w:t>garimpo</w:t>
      </w:r>
      <w:r>
        <w:rPr>
          <w:spacing w:val="10"/>
        </w:rPr>
        <w:t xml:space="preserve"> </w:t>
      </w:r>
      <w:r>
        <w:t>(CI-BRASIL,</w:t>
      </w:r>
      <w:r>
        <w:rPr>
          <w:spacing w:val="10"/>
        </w:rPr>
        <w:t xml:space="preserve"> </w:t>
      </w:r>
      <w:r>
        <w:t>2003).</w:t>
      </w:r>
    </w:p>
    <w:p w:rsidR="00D81F69" w:rsidRDefault="00330118">
      <w:pPr>
        <w:pStyle w:val="Corpodetexto"/>
        <w:spacing w:before="135" w:line="312" w:lineRule="auto"/>
        <w:ind w:right="52"/>
      </w:pPr>
      <w:r>
        <w:t>Atualmente, a presença de grandes empreendimentos em curso na região (hidroelétricas, mineração e abertura de estradas), e a decorrente entrada de recursos de compensação, tem exigido novas estratégias para garantir a autonomia indígena e a valorização de</w:t>
      </w:r>
      <w:r>
        <w:t xml:space="preserve"> suas atividades</w:t>
      </w:r>
    </w:p>
    <w:p w:rsidR="00D81F69" w:rsidRDefault="00330118">
      <w:pPr>
        <w:pStyle w:val="Corpodetexto"/>
        <w:spacing w:before="81"/>
      </w:pPr>
      <w:r>
        <w:br w:type="column"/>
      </w:r>
      <w:r>
        <w:lastRenderedPageBreak/>
        <w:t>produtivas tradicionais (MACHADO, 2012).</w:t>
      </w:r>
    </w:p>
    <w:p w:rsidR="00D81F69" w:rsidRDefault="00D81F69">
      <w:pPr>
        <w:pStyle w:val="Corpodetexto"/>
        <w:spacing w:before="9"/>
        <w:ind w:left="0"/>
        <w:jc w:val="left"/>
        <w:rPr>
          <w:sz w:val="16"/>
        </w:rPr>
      </w:pPr>
    </w:p>
    <w:p w:rsidR="00D81F69" w:rsidRDefault="00330118">
      <w:pPr>
        <w:pStyle w:val="Corpodetexto"/>
        <w:spacing w:line="312" w:lineRule="auto"/>
        <w:ind w:right="251"/>
      </w:pPr>
      <w:r>
        <w:t>Para que ações de fiscalização em terras indígenas e em áreas do entorno sejam efetivas, vêm sendo estabelecidas parcerias locais. Desta forma, a Coordenação Regional da Funai em Tucumã tem buscad</w:t>
      </w:r>
      <w:r>
        <w:t>o ampliar as relações com parceiros, colaboradores e protetores do meio ambiente (CR TUCUMÃ, 2012).</w:t>
      </w:r>
    </w:p>
    <w:p w:rsidR="00D81F69" w:rsidRDefault="00330118">
      <w:pPr>
        <w:pStyle w:val="Corpodetexto"/>
        <w:spacing w:before="135" w:line="312" w:lineRule="auto"/>
        <w:ind w:right="233"/>
      </w:pPr>
      <w:r>
        <w:t xml:space="preserve">Além da fiscalização realizada no interior das terras, o seu entorno é considerado área de amortecimento e tratado de maneira diferenciada, pois são locais </w:t>
      </w:r>
      <w:r>
        <w:t>onde, em geral, ocorre todo o suporte logístico das atividades ilegais e onde as informações de ilícitos são coletadas (CR TUCUMÃ, 2012).</w:t>
      </w:r>
    </w:p>
    <w:p w:rsidR="00D81F69" w:rsidRDefault="00330118">
      <w:pPr>
        <w:pStyle w:val="Corpodetexto"/>
        <w:spacing w:before="135" w:line="312" w:lineRule="auto"/>
        <w:ind w:right="247"/>
      </w:pPr>
      <w:r>
        <w:t>A ideia das ações integradas de fiscalização é também incentivar novas estratégias de prevenção de ilícitos através de</w:t>
      </w:r>
      <w:r>
        <w:t xml:space="preserve"> ações de conscientização, além da realização de projetos de recuperação de áreas degradadas e apoio à realização de atividades produtivas. Como resultado final, espera-se atingir uma gestão integrada do território indígena, contribuindo para a execução da</w:t>
      </w:r>
      <w:r>
        <w:t xml:space="preserve"> Política Nacional de Gestão Ambiental e Territorial Indígena (PNGATI) nos municípios onde se encontram as terras indígenas sob jurisdição da CR de Tucumã, no Pará (CR TUCUMÃ, 2012).</w:t>
      </w:r>
    </w:p>
    <w:p w:rsidR="00D81F69" w:rsidRDefault="00330118">
      <w:pPr>
        <w:pStyle w:val="Corpodetexto"/>
        <w:spacing w:before="139" w:line="312" w:lineRule="auto"/>
        <w:ind w:right="233"/>
      </w:pPr>
      <w:r>
        <w:t>No início de junho de 2012, uma equipe do Serviço de Gestão Ambiental e T</w:t>
      </w:r>
      <w:r>
        <w:t>erritorial da Coordenação Regional da Funai em Tucumã começou a investigar a logística usada na atividade ilegal de garimpo no interior de terras indígenas da região. Monitorou a mobilização, no município de São Félix do Xingu (PA), de garimpeiros que pret</w:t>
      </w:r>
      <w:r>
        <w:t>endiam invadir a TI Kayapó para desenvolver atividade clandestina nas proximidades da aldeia Gorotire (CR TUCUMÃ, 2012).</w:t>
      </w:r>
    </w:p>
    <w:p w:rsidR="00D81F69" w:rsidRDefault="00330118">
      <w:pPr>
        <w:pStyle w:val="Corpodetexto"/>
        <w:spacing w:before="138" w:line="312" w:lineRule="auto"/>
        <w:ind w:right="248"/>
      </w:pPr>
      <w:r>
        <w:t xml:space="preserve">No dia 21 de junho, a equipe apreendeu uma balsa carregada com escavadeira hidráulica; trator com carreta; sete motores </w:t>
      </w:r>
      <w:r>
        <w:rPr>
          <w:spacing w:val="3"/>
        </w:rPr>
        <w:t xml:space="preserve">com </w:t>
      </w:r>
      <w:r>
        <w:rPr>
          <w:spacing w:val="5"/>
        </w:rPr>
        <w:t xml:space="preserve">bombas </w:t>
      </w:r>
      <w:r>
        <w:rPr>
          <w:spacing w:val="2"/>
        </w:rPr>
        <w:t xml:space="preserve">de </w:t>
      </w:r>
      <w:r>
        <w:rPr>
          <w:spacing w:val="5"/>
        </w:rPr>
        <w:t>s</w:t>
      </w:r>
      <w:r>
        <w:rPr>
          <w:spacing w:val="5"/>
        </w:rPr>
        <w:t xml:space="preserve">ucção acopladas; </w:t>
      </w:r>
      <w:r>
        <w:rPr>
          <w:spacing w:val="2"/>
        </w:rPr>
        <w:t xml:space="preserve">15 </w:t>
      </w:r>
      <w:r>
        <w:rPr>
          <w:spacing w:val="3"/>
        </w:rPr>
        <w:t xml:space="preserve">mil </w:t>
      </w:r>
      <w:r>
        <w:rPr>
          <w:spacing w:val="5"/>
        </w:rPr>
        <w:t xml:space="preserve">litros </w:t>
      </w:r>
      <w:r>
        <w:rPr>
          <w:spacing w:val="2"/>
        </w:rPr>
        <w:t xml:space="preserve">de </w:t>
      </w:r>
      <w:r>
        <w:rPr>
          <w:spacing w:val="5"/>
        </w:rPr>
        <w:t>óleo</w:t>
      </w:r>
      <w:r>
        <w:rPr>
          <w:spacing w:val="61"/>
        </w:rPr>
        <w:t xml:space="preserve"> </w:t>
      </w:r>
      <w:r>
        <w:rPr>
          <w:spacing w:val="5"/>
        </w:rPr>
        <w:t xml:space="preserve">diesel; barco </w:t>
      </w:r>
      <w:r>
        <w:rPr>
          <w:spacing w:val="2"/>
        </w:rPr>
        <w:t xml:space="preserve">de </w:t>
      </w:r>
      <w:hyperlink r:id="rId403">
        <w:r>
          <w:rPr>
            <w:spacing w:val="5"/>
          </w:rPr>
          <w:t>alumínio</w:t>
        </w:r>
      </w:hyperlink>
      <w:r>
        <w:rPr>
          <w:spacing w:val="5"/>
        </w:rPr>
        <w:t xml:space="preserve"> </w:t>
      </w:r>
      <w:r>
        <w:rPr>
          <w:spacing w:val="3"/>
        </w:rPr>
        <w:t xml:space="preserve">com </w:t>
      </w:r>
      <w:r>
        <w:rPr>
          <w:spacing w:val="5"/>
        </w:rPr>
        <w:t xml:space="preserve">motor </w:t>
      </w:r>
      <w:r>
        <w:rPr>
          <w:spacing w:val="2"/>
        </w:rPr>
        <w:t xml:space="preserve">de </w:t>
      </w:r>
      <w:r>
        <w:rPr>
          <w:spacing w:val="5"/>
        </w:rPr>
        <w:t xml:space="preserve">popa; </w:t>
      </w:r>
      <w:r>
        <w:rPr>
          <w:spacing w:val="6"/>
        </w:rPr>
        <w:t xml:space="preserve">gêneros </w:t>
      </w:r>
      <w:r>
        <w:t xml:space="preserve">alimentícios; e materiais diversos utilizados no garimpo ilegal </w:t>
      </w:r>
      <w:r>
        <w:rPr>
          <w:spacing w:val="2"/>
        </w:rPr>
        <w:t xml:space="preserve">de </w:t>
      </w:r>
      <w:r>
        <w:rPr>
          <w:spacing w:val="5"/>
        </w:rPr>
        <w:t xml:space="preserve">ouro </w:t>
      </w:r>
      <w:r>
        <w:rPr>
          <w:spacing w:val="2"/>
        </w:rPr>
        <w:t>na</w:t>
      </w:r>
      <w:r>
        <w:rPr>
          <w:spacing w:val="2"/>
        </w:rPr>
        <w:t xml:space="preserve"> TI </w:t>
      </w:r>
      <w:r>
        <w:rPr>
          <w:spacing w:val="5"/>
        </w:rPr>
        <w:t xml:space="preserve">Kaiapó. </w:t>
      </w:r>
      <w:r>
        <w:t xml:space="preserve">O </w:t>
      </w:r>
      <w:r>
        <w:rPr>
          <w:spacing w:val="5"/>
        </w:rPr>
        <w:t xml:space="preserve">objetivo inicial </w:t>
      </w:r>
      <w:r>
        <w:rPr>
          <w:spacing w:val="2"/>
        </w:rPr>
        <w:t xml:space="preserve">do </w:t>
      </w:r>
      <w:r>
        <w:rPr>
          <w:spacing w:val="5"/>
        </w:rPr>
        <w:t xml:space="preserve">grupo </w:t>
      </w:r>
      <w:r>
        <w:rPr>
          <w:spacing w:val="6"/>
        </w:rPr>
        <w:t xml:space="preserve">cujos </w:t>
      </w:r>
      <w:r>
        <w:rPr>
          <w:spacing w:val="5"/>
        </w:rPr>
        <w:t xml:space="preserve">equipamentos foram apreendidos </w:t>
      </w:r>
      <w:r>
        <w:rPr>
          <w:spacing w:val="3"/>
        </w:rPr>
        <w:t xml:space="preserve">era </w:t>
      </w:r>
      <w:r>
        <w:rPr>
          <w:spacing w:val="5"/>
        </w:rPr>
        <w:t xml:space="preserve">deslocar-se </w:t>
      </w:r>
      <w:r>
        <w:rPr>
          <w:spacing w:val="3"/>
        </w:rPr>
        <w:t xml:space="preserve">até </w:t>
      </w:r>
      <w:r>
        <w:t>a localidade denominada garimpo Santilli, no interior da TI (CR TUCUMÃ, 2012).</w:t>
      </w:r>
    </w:p>
    <w:p w:rsidR="00D81F69" w:rsidRDefault="00330118">
      <w:pPr>
        <w:pStyle w:val="Corpodetexto"/>
        <w:spacing w:before="138" w:line="312" w:lineRule="auto"/>
        <w:ind w:right="247"/>
      </w:pPr>
      <w:r>
        <w:t xml:space="preserve">Os garimpeiros pretendiam garimpar por seis meses. Durante a apreensão, estavam presentes dois índios da aldeia Gorotire que, de acordo com relatos, foram contratados para acompanhar o transporte dos maquinários em troca de mil reais, quantia que, segundo </w:t>
      </w:r>
      <w:r>
        <w:t>eles, seria repartida entre os membros da família (CR TUCUMÃ, 2012).</w:t>
      </w:r>
    </w:p>
    <w:p w:rsidR="00D81F69" w:rsidRDefault="00330118">
      <w:pPr>
        <w:pStyle w:val="Corpodetexto"/>
        <w:spacing w:before="136" w:line="312" w:lineRule="auto"/>
        <w:ind w:right="251"/>
      </w:pPr>
      <w:r>
        <w:t>As pessoas e os materiais apreendidos foram conduzidos até a cidade de São Félix do Xingu e apresentados à Polícia Federal. A Secretaria Municipal de Meio Ambiente e Saneamento (Semas) de</w:t>
      </w:r>
      <w:r>
        <w:t xml:space="preserve"> São Félix do Xingu realizou o termo de apreensão de todos os equipamentos, maquinários e combustível, que ficaram sob a responsabilidade da prefeitura (CR TUCUMÃ, 2012).</w:t>
      </w:r>
    </w:p>
    <w:p w:rsidR="00D81F69" w:rsidRDefault="00330118">
      <w:pPr>
        <w:pStyle w:val="Corpodetexto"/>
        <w:spacing w:before="136"/>
      </w:pPr>
      <w:r>
        <w:t>Também em junho de 2012, agentes do Instituto Brasileiro do</w:t>
      </w:r>
    </w:p>
    <w:p w:rsidR="00D81F69" w:rsidRDefault="00D81F69">
      <w:pPr>
        <w:sectPr w:rsidR="00D81F69">
          <w:pgSz w:w="11900" w:h="16840"/>
          <w:pgMar w:top="740" w:right="460" w:bottom="640" w:left="620" w:header="0" w:footer="402" w:gutter="0"/>
          <w:cols w:num="2" w:space="720" w:equalWidth="0">
            <w:col w:w="5162" w:space="308"/>
            <w:col w:w="5350"/>
          </w:cols>
        </w:sectPr>
      </w:pPr>
    </w:p>
    <w:p w:rsidR="00D81F69" w:rsidRDefault="00330118">
      <w:pPr>
        <w:pStyle w:val="Corpodetexto"/>
        <w:spacing w:before="81" w:line="312" w:lineRule="auto"/>
        <w:ind w:right="55"/>
      </w:pPr>
      <w:r>
        <w:lastRenderedPageBreak/>
        <w:t xml:space="preserve">Meio Ambiente e dos Recursos Naturais Renováveis (Ibama) apreenderam 19 bombas-hidráulicas, usadas na extração ilegal de ouro, e meio quilo de </w:t>
      </w:r>
      <w:hyperlink r:id="rId404">
        <w:r>
          <w:t xml:space="preserve">mercúrio, </w:t>
        </w:r>
      </w:hyperlink>
      <w:r>
        <w:t>nas proximidades da TI Kayapó, em Cumaru do Norte (PA). A apreensão foi feita durante a operação Soberania, e o responsável pela atividade irregular foi multado em R$ 378 mil e teve a propriedade embargada pelo instituto. Além da desativa</w:t>
      </w:r>
      <w:r>
        <w:t>ção do garimpo ilegal de ouro, foram flagradas também duas serrarias clandestinas a 10 km da reserva indígena (G1, 2012).</w:t>
      </w:r>
    </w:p>
    <w:p w:rsidR="00D81F69" w:rsidRDefault="00D81F69">
      <w:pPr>
        <w:pStyle w:val="Corpodetexto"/>
        <w:spacing w:before="8"/>
        <w:ind w:left="0"/>
        <w:jc w:val="left"/>
        <w:rPr>
          <w:sz w:val="21"/>
        </w:rPr>
      </w:pPr>
    </w:p>
    <w:p w:rsidR="00D81F69" w:rsidRDefault="00330118">
      <w:pPr>
        <w:pStyle w:val="Heading7"/>
        <w:jc w:val="left"/>
      </w:pPr>
      <w:r>
        <w:t>LOCALIZAÇÃO GEOGRÁFICA</w:t>
      </w:r>
    </w:p>
    <w:p w:rsidR="00D81F69" w:rsidRDefault="00330118">
      <w:pPr>
        <w:pStyle w:val="Corpodetexto"/>
        <w:spacing w:before="179" w:line="312" w:lineRule="auto"/>
        <w:ind w:right="38"/>
      </w:pPr>
      <w:r>
        <w:t>O recorte geográfico do estudo acerca dos índios Kaiapó e do garimpo ilegal de ouro, abarcando os estados do P</w:t>
      </w:r>
      <w:r>
        <w:t>ará e do Mato Grosso, corresponde aos municípios de São Félix do Xingu (latitude 6°38'29''S e longitude 51°58'44''W) e Parauapebas (latitude 6°4'15''S e longitude 49°54'15''W).</w:t>
      </w:r>
    </w:p>
    <w:p w:rsidR="00D81F69" w:rsidRDefault="00D81F69">
      <w:pPr>
        <w:pStyle w:val="Corpodetexto"/>
        <w:spacing w:before="2"/>
        <w:ind w:left="0"/>
        <w:jc w:val="left"/>
        <w:rPr>
          <w:sz w:val="29"/>
        </w:rPr>
      </w:pPr>
    </w:p>
    <w:p w:rsidR="00D81F69" w:rsidRDefault="00330118">
      <w:pPr>
        <w:pStyle w:val="Heading7"/>
      </w:pPr>
      <w:r>
        <w:t>REDATORES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ind w:left="100"/>
        <w:jc w:val="both"/>
        <w:rPr>
          <w:sz w:val="16"/>
        </w:rPr>
      </w:pPr>
      <w:r>
        <w:rPr>
          <w:sz w:val="16"/>
        </w:rPr>
        <w:t>CI-BRASIL</w:t>
      </w:r>
      <w:r>
        <w:rPr>
          <w:sz w:val="16"/>
        </w:rPr>
        <w:t>. Amazônia. Projeto Kayapó, 2003. Disponível em:</w:t>
      </w:r>
    </w:p>
    <w:p w:rsidR="00D81F69" w:rsidRDefault="00D81F69">
      <w:pPr>
        <w:spacing w:before="56" w:line="312" w:lineRule="auto"/>
        <w:ind w:left="100" w:right="44"/>
        <w:jc w:val="both"/>
        <w:rPr>
          <w:sz w:val="16"/>
        </w:rPr>
      </w:pPr>
      <w:hyperlink r:id="rId405">
        <w:r w:rsidR="00330118">
          <w:rPr>
            <w:sz w:val="16"/>
          </w:rPr>
          <w:t>&lt;http://www.conservation.org.br/onde/amazonia/index.php?id=137&gt;.</w:t>
        </w:r>
      </w:hyperlink>
      <w:r w:rsidR="00330118">
        <w:rPr>
          <w:sz w:val="16"/>
        </w:rPr>
        <w:t xml:space="preserve"> Acesso em: 09 out. 2012.</w:t>
      </w:r>
    </w:p>
    <w:p w:rsidR="00D81F69" w:rsidRDefault="00330118">
      <w:pPr>
        <w:spacing w:before="1" w:line="312" w:lineRule="auto"/>
        <w:ind w:left="100" w:right="56"/>
        <w:jc w:val="both"/>
        <w:rPr>
          <w:sz w:val="16"/>
        </w:rPr>
      </w:pPr>
      <w:r>
        <w:rPr>
          <w:sz w:val="16"/>
        </w:rPr>
        <w:t>CR TUCUMÃ. Funai Tucumã - PA apreende equipamentos de garimpo ilegal, 31 jul. 2012. Disponível em:</w:t>
      </w:r>
    </w:p>
    <w:p w:rsidR="00D81F69" w:rsidRDefault="00330118">
      <w:pPr>
        <w:spacing w:before="70" w:line="312" w:lineRule="auto"/>
        <w:ind w:left="100" w:right="256"/>
        <w:jc w:val="both"/>
        <w:rPr>
          <w:sz w:val="16"/>
        </w:rPr>
      </w:pPr>
      <w:r>
        <w:br w:type="column"/>
      </w:r>
      <w:hyperlink r:id="rId406">
        <w:r>
          <w:rPr>
            <w:sz w:val="16"/>
          </w:rPr>
          <w:t>&lt;http://crtucuma.blogspot.com.br/2012/07/funai-tucuma-pa-apreende-</w:t>
        </w:r>
      </w:hyperlink>
      <w:r>
        <w:rPr>
          <w:sz w:val="16"/>
        </w:rPr>
        <w:t xml:space="preserve"> equipa</w:t>
      </w:r>
      <w:r>
        <w:rPr>
          <w:sz w:val="16"/>
        </w:rPr>
        <w:t>mentos.html&gt;. Acesso em: 10 out. 2012.</w:t>
      </w:r>
    </w:p>
    <w:p w:rsidR="00D81F69" w:rsidRDefault="00330118">
      <w:pPr>
        <w:spacing w:before="1" w:line="312" w:lineRule="auto"/>
        <w:ind w:left="100" w:right="207"/>
        <w:jc w:val="both"/>
        <w:rPr>
          <w:sz w:val="16"/>
        </w:rPr>
      </w:pPr>
      <w:r>
        <w:rPr>
          <w:sz w:val="16"/>
        </w:rPr>
        <w:t xml:space="preserve">G1. Ibama desativa garimpo ilegal de ouro próximo a reserva Kayapó, </w:t>
      </w:r>
      <w:r>
        <w:rPr>
          <w:spacing w:val="16"/>
          <w:sz w:val="16"/>
        </w:rPr>
        <w:t xml:space="preserve">no </w:t>
      </w:r>
      <w:r>
        <w:rPr>
          <w:spacing w:val="27"/>
          <w:sz w:val="16"/>
        </w:rPr>
        <w:t xml:space="preserve">Pará. </w:t>
      </w:r>
      <w:r>
        <w:rPr>
          <w:spacing w:val="22"/>
          <w:sz w:val="16"/>
        </w:rPr>
        <w:t xml:space="preserve">G1, </w:t>
      </w:r>
      <w:r>
        <w:rPr>
          <w:spacing w:val="16"/>
          <w:sz w:val="16"/>
        </w:rPr>
        <w:t xml:space="preserve">24 </w:t>
      </w:r>
      <w:r>
        <w:rPr>
          <w:spacing w:val="25"/>
          <w:sz w:val="16"/>
        </w:rPr>
        <w:t>jun.</w:t>
      </w:r>
      <w:r>
        <w:rPr>
          <w:spacing w:val="95"/>
          <w:sz w:val="16"/>
        </w:rPr>
        <w:t xml:space="preserve"> </w:t>
      </w:r>
      <w:r>
        <w:rPr>
          <w:spacing w:val="27"/>
          <w:sz w:val="16"/>
        </w:rPr>
        <w:t xml:space="preserve">2012. </w:t>
      </w:r>
      <w:r>
        <w:rPr>
          <w:spacing w:val="30"/>
          <w:sz w:val="16"/>
        </w:rPr>
        <w:t xml:space="preserve">Disponível </w:t>
      </w:r>
      <w:r>
        <w:rPr>
          <w:spacing w:val="22"/>
          <w:sz w:val="16"/>
        </w:rPr>
        <w:t>em:</w:t>
      </w:r>
      <w:r>
        <w:rPr>
          <w:spacing w:val="-10"/>
          <w:sz w:val="16"/>
        </w:rPr>
        <w:t xml:space="preserve"> </w:t>
      </w:r>
    </w:p>
    <w:p w:rsidR="00D81F69" w:rsidRDefault="00D81F69">
      <w:pPr>
        <w:spacing w:before="2" w:line="312" w:lineRule="auto"/>
        <w:ind w:left="100" w:right="256"/>
        <w:jc w:val="both"/>
        <w:rPr>
          <w:sz w:val="16"/>
        </w:rPr>
      </w:pPr>
      <w:hyperlink r:id="rId407">
        <w:r w:rsidR="00330118">
          <w:rPr>
            <w:sz w:val="16"/>
          </w:rPr>
          <w:t>&lt;http://g1.globo.com/</w:t>
        </w:r>
        <w:r w:rsidR="00330118">
          <w:rPr>
            <w:sz w:val="16"/>
          </w:rPr>
          <w:t>pa/para/noticia/2012/06/ibama-desativa-garimpo-</w:t>
        </w:r>
      </w:hyperlink>
      <w:r w:rsidR="00330118">
        <w:rPr>
          <w:sz w:val="16"/>
        </w:rPr>
        <w:t xml:space="preserve"> ilegal-de-ouro-proximo-reserva-kayapo-no-para.html&gt;. Acesso em: 09 out. 2012.</w:t>
      </w:r>
    </w:p>
    <w:p w:rsidR="00D81F69" w:rsidRDefault="00330118">
      <w:pPr>
        <w:spacing w:before="2" w:line="312" w:lineRule="auto"/>
        <w:ind w:left="100" w:right="237"/>
        <w:jc w:val="both"/>
        <w:rPr>
          <w:sz w:val="16"/>
        </w:rPr>
      </w:pPr>
      <w:r>
        <w:rPr>
          <w:sz w:val="16"/>
        </w:rPr>
        <w:t>MACHADO, Altino. PA: Índios promovem feira de sementes por manutenção da agrobiodiversidade amazônica. Terra Magazine, set.</w:t>
      </w:r>
    </w:p>
    <w:p w:rsidR="00D81F69" w:rsidRDefault="00330118">
      <w:pPr>
        <w:tabs>
          <w:tab w:val="left" w:pos="1785"/>
          <w:tab w:val="left" w:pos="4548"/>
        </w:tabs>
        <w:spacing w:before="2" w:line="312" w:lineRule="auto"/>
        <w:ind w:left="100" w:right="240"/>
        <w:jc w:val="both"/>
        <w:rPr>
          <w:sz w:val="16"/>
        </w:rPr>
      </w:pPr>
      <w:r>
        <w:rPr>
          <w:sz w:val="16"/>
        </w:rPr>
        <w:t xml:space="preserve">2   0 </w:t>
      </w:r>
      <w:r>
        <w:rPr>
          <w:sz w:val="16"/>
        </w:rPr>
        <w:t xml:space="preserve">  1  </w:t>
      </w:r>
      <w:r>
        <w:rPr>
          <w:spacing w:val="35"/>
          <w:sz w:val="16"/>
        </w:rPr>
        <w:t xml:space="preserve"> </w:t>
      </w:r>
      <w:r>
        <w:rPr>
          <w:sz w:val="16"/>
        </w:rPr>
        <w:t xml:space="preserve">2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 </w:t>
      </w:r>
      <w:hyperlink r:id="rId408">
        <w:r>
          <w:rPr>
            <w:sz w:val="16"/>
          </w:rPr>
          <w:t>http://terramagazine.terra.com.br/blogdaamazonia/blog/2012/09/03/pa</w:t>
        </w:r>
      </w:hyperlink>
    </w:p>
    <w:p w:rsidR="00D81F69" w:rsidRDefault="00330118">
      <w:pPr>
        <w:spacing w:before="2" w:line="312" w:lineRule="auto"/>
        <w:ind w:left="100" w:right="180"/>
        <w:jc w:val="both"/>
        <w:rPr>
          <w:sz w:val="16"/>
        </w:rPr>
      </w:pPr>
      <w:r>
        <w:rPr>
          <w:spacing w:val="13"/>
          <w:sz w:val="16"/>
        </w:rPr>
        <w:t>-indios-promovem-feira-de-sementes-por-manutenc</w:t>
      </w:r>
      <w:r>
        <w:rPr>
          <w:spacing w:val="13"/>
          <w:sz w:val="16"/>
        </w:rPr>
        <w:t xml:space="preserve">ao-da- </w:t>
      </w:r>
      <w:r>
        <w:rPr>
          <w:spacing w:val="10"/>
          <w:sz w:val="16"/>
        </w:rPr>
        <w:t xml:space="preserve">agrobiodiversidade-amazonica/. Acesso </w:t>
      </w:r>
      <w:r>
        <w:rPr>
          <w:spacing w:val="7"/>
          <w:sz w:val="16"/>
        </w:rPr>
        <w:t xml:space="preserve">em: </w:t>
      </w:r>
      <w:r>
        <w:rPr>
          <w:spacing w:val="5"/>
          <w:sz w:val="16"/>
        </w:rPr>
        <w:t xml:space="preserve">09 </w:t>
      </w:r>
      <w:r>
        <w:rPr>
          <w:spacing w:val="8"/>
          <w:sz w:val="16"/>
        </w:rPr>
        <w:t xml:space="preserve">out. </w:t>
      </w:r>
      <w:r>
        <w:rPr>
          <w:spacing w:val="11"/>
          <w:sz w:val="16"/>
        </w:rPr>
        <w:t xml:space="preserve">2012. </w:t>
      </w:r>
      <w:r>
        <w:rPr>
          <w:spacing w:val="3"/>
          <w:sz w:val="16"/>
        </w:rPr>
        <w:t xml:space="preserve">SCHWARTZMAN, Stephan; ZIMMERMAN Barbara. Alianças </w:t>
      </w:r>
      <w:r>
        <w:rPr>
          <w:spacing w:val="5"/>
          <w:sz w:val="16"/>
        </w:rPr>
        <w:t xml:space="preserve">de </w:t>
      </w:r>
      <w:r>
        <w:rPr>
          <w:sz w:val="16"/>
        </w:rPr>
        <w:t xml:space="preserve">conservação com povos indígenas da Amazônia. Megadiversidade, v. </w:t>
      </w:r>
      <w:r>
        <w:rPr>
          <w:spacing w:val="10"/>
          <w:sz w:val="16"/>
        </w:rPr>
        <w:t xml:space="preserve">1 </w:t>
      </w:r>
      <w:r>
        <w:rPr>
          <w:sz w:val="16"/>
        </w:rPr>
        <w:t xml:space="preserve">,      </w:t>
      </w:r>
      <w:r>
        <w:rPr>
          <w:spacing w:val="10"/>
          <w:sz w:val="16"/>
        </w:rPr>
        <w:t xml:space="preserve">n </w:t>
      </w:r>
      <w:r>
        <w:rPr>
          <w:sz w:val="16"/>
        </w:rPr>
        <w:t xml:space="preserve">.      </w:t>
      </w:r>
      <w:r>
        <w:rPr>
          <w:spacing w:val="10"/>
          <w:sz w:val="16"/>
        </w:rPr>
        <w:t xml:space="preserve">1 </w:t>
      </w:r>
      <w:r>
        <w:rPr>
          <w:sz w:val="16"/>
        </w:rPr>
        <w:t xml:space="preserve">,      </w:t>
      </w:r>
      <w:r>
        <w:rPr>
          <w:spacing w:val="10"/>
          <w:sz w:val="16"/>
        </w:rPr>
        <w:t xml:space="preserve">j u l </w:t>
      </w:r>
      <w:r>
        <w:rPr>
          <w:sz w:val="16"/>
        </w:rPr>
        <w:t xml:space="preserve">.      </w:t>
      </w:r>
      <w:r>
        <w:rPr>
          <w:spacing w:val="10"/>
          <w:sz w:val="16"/>
        </w:rPr>
        <w:t xml:space="preserve">2 0 0 5 </w:t>
      </w:r>
      <w:r>
        <w:rPr>
          <w:sz w:val="16"/>
        </w:rPr>
        <w:t xml:space="preserve">.      </w:t>
      </w:r>
      <w:r>
        <w:rPr>
          <w:spacing w:val="10"/>
          <w:sz w:val="16"/>
        </w:rPr>
        <w:t xml:space="preserve">D i s p o n í v e </w:t>
      </w:r>
      <w:r>
        <w:rPr>
          <w:sz w:val="16"/>
        </w:rPr>
        <w:t xml:space="preserve">l      </w:t>
      </w:r>
      <w:r>
        <w:rPr>
          <w:spacing w:val="10"/>
          <w:sz w:val="16"/>
        </w:rPr>
        <w:t>e m</w:t>
      </w:r>
      <w:r>
        <w:rPr>
          <w:spacing w:val="-5"/>
          <w:sz w:val="16"/>
        </w:rPr>
        <w:t xml:space="preserve"> </w:t>
      </w:r>
      <w:r>
        <w:rPr>
          <w:sz w:val="16"/>
        </w:rPr>
        <w:t>:</w:t>
      </w:r>
      <w:r>
        <w:rPr>
          <w:spacing w:val="11"/>
          <w:sz w:val="16"/>
        </w:rPr>
        <w:t xml:space="preserve"> </w:t>
      </w:r>
    </w:p>
    <w:p w:rsidR="00D81F69" w:rsidRDefault="00D81F69">
      <w:pPr>
        <w:spacing w:before="4" w:line="312" w:lineRule="auto"/>
        <w:ind w:left="100" w:right="256"/>
        <w:jc w:val="both"/>
        <w:rPr>
          <w:sz w:val="16"/>
        </w:rPr>
      </w:pPr>
      <w:hyperlink r:id="rId409">
        <w:r w:rsidR="00330118">
          <w:rPr>
            <w:sz w:val="16"/>
          </w:rPr>
          <w:t>&lt;http://www.conservacao.org/publicacoes/files/22_Schwartzman_Zim</w:t>
        </w:r>
      </w:hyperlink>
      <w:r w:rsidR="00330118">
        <w:rPr>
          <w:sz w:val="16"/>
        </w:rPr>
        <w:t xml:space="preserve"> merman.pdf&gt;. Acesso em: 11 out. 2012.</w:t>
      </w:r>
    </w:p>
    <w:p w:rsidR="00D81F69" w:rsidRDefault="00330118">
      <w:pPr>
        <w:spacing w:before="1" w:line="312" w:lineRule="auto"/>
        <w:ind w:left="100" w:right="235"/>
        <w:jc w:val="both"/>
        <w:rPr>
          <w:sz w:val="16"/>
        </w:rPr>
      </w:pPr>
      <w:r>
        <w:rPr>
          <w:sz w:val="16"/>
        </w:rPr>
        <w:t xml:space="preserve">VERDE, Rodrigo Braga da Rocha Villa; FERNANDES, Francisco </w:t>
      </w:r>
      <w:r>
        <w:rPr>
          <w:sz w:val="16"/>
        </w:rPr>
        <w:t>Rego Chaves. Povos indígenas de Carajás: conflito que vale ouro e sangue no município de Parauapebas (PA), 2009. Disponível em:</w:t>
      </w:r>
    </w:p>
    <w:p w:rsidR="00D81F69" w:rsidRDefault="00D81F69">
      <w:pPr>
        <w:spacing w:before="3" w:line="312" w:lineRule="auto"/>
        <w:ind w:left="100" w:right="252"/>
        <w:jc w:val="both"/>
        <w:rPr>
          <w:sz w:val="16"/>
        </w:rPr>
      </w:pPr>
      <w:hyperlink r:id="rId410">
        <w:r w:rsidR="00330118">
          <w:rPr>
            <w:sz w:val="16"/>
          </w:rPr>
          <w:t>&lt;</w:t>
        </w:r>
        <w:r w:rsidR="00330118">
          <w:rPr>
            <w:sz w:val="16"/>
          </w:rPr>
          <w:t>http://www2.cetem.gov.br/aquarios/documentos/2009/x_conf_geo_P</w:t>
        </w:r>
      </w:hyperlink>
      <w:r w:rsidR="00330118">
        <w:rPr>
          <w:sz w:val="16"/>
        </w:rPr>
        <w:t xml:space="preserve"> UC/X_Conf_Geo_PUC_Rodrigo_Villa_Verde.pdf&gt;. Acesso em: 11 out. 2012.</w:t>
      </w:r>
    </w:p>
    <w:p w:rsidR="00D81F69" w:rsidRDefault="00D81F69">
      <w:pPr>
        <w:spacing w:line="312" w:lineRule="auto"/>
        <w:jc w:val="both"/>
        <w:rPr>
          <w:sz w:val="16"/>
        </w:rPr>
        <w:sectPr w:rsidR="00D81F69">
          <w:pgSz w:w="11900" w:h="16840"/>
          <w:pgMar w:top="740" w:right="460" w:bottom="720" w:left="620" w:header="0" w:footer="402" w:gutter="0"/>
          <w:cols w:num="2" w:space="720" w:equalWidth="0">
            <w:col w:w="5158" w:space="312"/>
            <w:col w:w="5350"/>
          </w:cols>
        </w:sectPr>
      </w:pPr>
    </w:p>
    <w:p w:rsidR="00D81F69" w:rsidRDefault="00330118">
      <w:pPr>
        <w:pStyle w:val="Heading1"/>
        <w:spacing w:line="208" w:lineRule="auto"/>
        <w:ind w:right="242"/>
        <w:jc w:val="both"/>
      </w:pPr>
      <w:r>
        <w:lastRenderedPageBreak/>
        <w:t>Novo ciclo do ouro em Serra Pelada (PA) promete recuperar parte de danos ambientais causados po</w:t>
      </w:r>
      <w:r>
        <w:t>r antigo garimpo</w:t>
      </w:r>
    </w:p>
    <w:p w:rsidR="00D81F69" w:rsidRDefault="00D81F69">
      <w:pPr>
        <w:pStyle w:val="Corpodetexto"/>
        <w:ind w:left="0"/>
        <w:jc w:val="left"/>
        <w:rPr>
          <w:b/>
          <w:sz w:val="20"/>
        </w:rPr>
      </w:pPr>
    </w:p>
    <w:p w:rsidR="00D81F69" w:rsidRDefault="00D81F69">
      <w:pPr>
        <w:rPr>
          <w:sz w:val="20"/>
        </w:rPr>
        <w:sectPr w:rsidR="00D81F69">
          <w:pgSz w:w="11900" w:h="16840"/>
          <w:pgMar w:top="1080" w:right="46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PA - Curionópolis</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-6,0661</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-49,5611</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1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O garimpo de Serra Pelada, no sudeste </w:t>
      </w:r>
      <w:r>
        <w:rPr>
          <w:i/>
          <w:spacing w:val="7"/>
          <w:sz w:val="16"/>
        </w:rPr>
        <w:t xml:space="preserve">do </w:t>
      </w:r>
      <w:r>
        <w:rPr>
          <w:i/>
          <w:spacing w:val="12"/>
          <w:sz w:val="16"/>
        </w:rPr>
        <w:t xml:space="preserve">Pará, </w:t>
      </w:r>
      <w:r>
        <w:rPr>
          <w:i/>
          <w:spacing w:val="7"/>
          <w:sz w:val="16"/>
        </w:rPr>
        <w:t xml:space="preserve">no </w:t>
      </w:r>
      <w:r>
        <w:rPr>
          <w:i/>
          <w:spacing w:val="12"/>
          <w:sz w:val="16"/>
        </w:rPr>
        <w:t xml:space="preserve">atual </w:t>
      </w:r>
      <w:r>
        <w:rPr>
          <w:i/>
          <w:spacing w:val="15"/>
          <w:sz w:val="16"/>
        </w:rPr>
        <w:t xml:space="preserve">município </w:t>
      </w:r>
      <w:r>
        <w:rPr>
          <w:i/>
          <w:spacing w:val="7"/>
          <w:sz w:val="16"/>
        </w:rPr>
        <w:t xml:space="preserve">de </w:t>
      </w:r>
      <w:r>
        <w:rPr>
          <w:i/>
          <w:sz w:val="16"/>
        </w:rPr>
        <w:t xml:space="preserve">Curionópolis, será retomado. A extração </w:t>
      </w:r>
      <w:r>
        <w:rPr>
          <w:i/>
          <w:spacing w:val="5"/>
          <w:sz w:val="16"/>
        </w:rPr>
        <w:t xml:space="preserve">de </w:t>
      </w:r>
      <w:r>
        <w:rPr>
          <w:i/>
          <w:spacing w:val="10"/>
          <w:sz w:val="16"/>
        </w:rPr>
        <w:t xml:space="preserve">minérios </w:t>
      </w:r>
      <w:r>
        <w:rPr>
          <w:i/>
          <w:spacing w:val="8"/>
          <w:sz w:val="16"/>
        </w:rPr>
        <w:t xml:space="preserve">será </w:t>
      </w:r>
      <w:r>
        <w:rPr>
          <w:i/>
          <w:spacing w:val="10"/>
          <w:sz w:val="16"/>
        </w:rPr>
        <w:t xml:space="preserve">mecanizada </w:t>
      </w:r>
      <w:r>
        <w:rPr>
          <w:i/>
          <w:sz w:val="16"/>
        </w:rPr>
        <w:t xml:space="preserve">e a expectativa é retirar cerca de 4 milhões de toneladas de ouro, platina e paládio </w:t>
      </w:r>
      <w:r>
        <w:rPr>
          <w:i/>
          <w:spacing w:val="5"/>
          <w:sz w:val="16"/>
        </w:rPr>
        <w:t xml:space="preserve">nos </w:t>
      </w:r>
      <w:r>
        <w:rPr>
          <w:i/>
          <w:spacing w:val="6"/>
          <w:sz w:val="16"/>
        </w:rPr>
        <w:t xml:space="preserve">próximos </w:t>
      </w:r>
      <w:r>
        <w:rPr>
          <w:i/>
          <w:spacing w:val="5"/>
          <w:sz w:val="16"/>
        </w:rPr>
        <w:t xml:space="preserve">oito anos. </w:t>
      </w:r>
      <w:r>
        <w:rPr>
          <w:i/>
          <w:sz w:val="16"/>
        </w:rPr>
        <w:t xml:space="preserve">A </w:t>
      </w:r>
      <w:r>
        <w:rPr>
          <w:i/>
          <w:spacing w:val="7"/>
          <w:sz w:val="16"/>
        </w:rPr>
        <w:t xml:space="preserve">empresa </w:t>
      </w:r>
      <w:r>
        <w:rPr>
          <w:i/>
          <w:spacing w:val="20"/>
          <w:sz w:val="16"/>
        </w:rPr>
        <w:t>Serra</w:t>
      </w:r>
      <w:r>
        <w:rPr>
          <w:i/>
          <w:spacing w:val="85"/>
          <w:sz w:val="16"/>
        </w:rPr>
        <w:t xml:space="preserve"> </w:t>
      </w:r>
      <w:r>
        <w:rPr>
          <w:i/>
          <w:spacing w:val="21"/>
          <w:sz w:val="16"/>
        </w:rPr>
        <w:t xml:space="preserve">Pelada </w:t>
      </w:r>
      <w:r>
        <w:rPr>
          <w:i/>
          <w:spacing w:val="23"/>
          <w:sz w:val="16"/>
        </w:rPr>
        <w:t xml:space="preserve">Companhia </w:t>
      </w:r>
      <w:r>
        <w:rPr>
          <w:i/>
          <w:spacing w:val="12"/>
          <w:sz w:val="16"/>
        </w:rPr>
        <w:t xml:space="preserve">de </w:t>
      </w:r>
      <w:r>
        <w:rPr>
          <w:i/>
          <w:spacing w:val="27"/>
          <w:sz w:val="16"/>
        </w:rPr>
        <w:t xml:space="preserve">Desenvolvimento </w:t>
      </w:r>
      <w:r>
        <w:rPr>
          <w:i/>
          <w:spacing w:val="25"/>
          <w:sz w:val="16"/>
        </w:rPr>
        <w:t xml:space="preserve">Mineral </w:t>
      </w:r>
      <w:r>
        <w:rPr>
          <w:i/>
          <w:spacing w:val="15"/>
          <w:sz w:val="16"/>
        </w:rPr>
        <w:t xml:space="preserve">se </w:t>
      </w:r>
      <w:r>
        <w:rPr>
          <w:i/>
          <w:sz w:val="16"/>
        </w:rPr>
        <w:t>comprometeu a preservar as condições locais.</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1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line="312" w:lineRule="auto"/>
        <w:ind w:left="135" w:right="234"/>
      </w:pPr>
      <w:r>
        <w:t>da Estrada de Ferro Carajás-Ponta d</w:t>
      </w:r>
      <w:r>
        <w:t xml:space="preserve">a Madeira ou na busca de ouro nos pequenos garimpos que proliferavam na região. Com a </w:t>
      </w:r>
      <w:r>
        <w:rPr>
          <w:spacing w:val="1"/>
        </w:rPr>
        <w:t xml:space="preserve">descoberta </w:t>
      </w:r>
      <w:r>
        <w:t xml:space="preserve">de </w:t>
      </w:r>
      <w:r>
        <w:rPr>
          <w:spacing w:val="1"/>
        </w:rPr>
        <w:t xml:space="preserve">ouro </w:t>
      </w:r>
      <w:r>
        <w:t xml:space="preserve">em </w:t>
      </w:r>
      <w:r>
        <w:rPr>
          <w:spacing w:val="1"/>
        </w:rPr>
        <w:t xml:space="preserve">Serra Pelada, </w:t>
      </w:r>
      <w:r>
        <w:t xml:space="preserve">no </w:t>
      </w:r>
      <w:r>
        <w:rPr>
          <w:spacing w:val="1"/>
        </w:rPr>
        <w:t xml:space="preserve">início </w:t>
      </w:r>
      <w:r>
        <w:rPr>
          <w:spacing w:val="2"/>
        </w:rPr>
        <w:t xml:space="preserve">dos </w:t>
      </w:r>
      <w:r>
        <w:t xml:space="preserve">anos1980, Curionópolis consolidou-se como núcleo de apoio  à atividade extrativa e como local de residência de mulheres </w:t>
      </w:r>
      <w:r>
        <w:t xml:space="preserve">e </w:t>
      </w:r>
      <w:r>
        <w:rPr>
          <w:spacing w:val="5"/>
        </w:rPr>
        <w:t xml:space="preserve">filhos </w:t>
      </w:r>
      <w:r>
        <w:rPr>
          <w:spacing w:val="3"/>
        </w:rPr>
        <w:t xml:space="preserve">dos </w:t>
      </w:r>
      <w:r>
        <w:rPr>
          <w:spacing w:val="5"/>
        </w:rPr>
        <w:t xml:space="preserve">garimpeiros, </w:t>
      </w:r>
      <w:r>
        <w:rPr>
          <w:spacing w:val="3"/>
        </w:rPr>
        <w:t xml:space="preserve">que, </w:t>
      </w:r>
      <w:r>
        <w:t xml:space="preserve">à </w:t>
      </w:r>
      <w:r>
        <w:rPr>
          <w:spacing w:val="5"/>
        </w:rPr>
        <w:t xml:space="preserve">época, </w:t>
      </w:r>
      <w:r>
        <w:rPr>
          <w:spacing w:val="3"/>
        </w:rPr>
        <w:t xml:space="preserve">eram </w:t>
      </w:r>
      <w:r>
        <w:rPr>
          <w:spacing w:val="5"/>
        </w:rPr>
        <w:t xml:space="preserve">proibidos de </w:t>
      </w:r>
      <w:r>
        <w:rPr>
          <w:spacing w:val="7"/>
        </w:rPr>
        <w:t xml:space="preserve">ingressar </w:t>
      </w:r>
      <w:r>
        <w:rPr>
          <w:spacing w:val="5"/>
        </w:rPr>
        <w:t xml:space="preserve">em </w:t>
      </w:r>
      <w:r>
        <w:rPr>
          <w:spacing w:val="7"/>
        </w:rPr>
        <w:t xml:space="preserve">Serra Pelada. </w:t>
      </w:r>
      <w:r>
        <w:rPr>
          <w:spacing w:val="8"/>
        </w:rPr>
        <w:t xml:space="preserve">Curionópolis </w:t>
      </w:r>
      <w:r>
        <w:rPr>
          <w:spacing w:val="10"/>
        </w:rPr>
        <w:t xml:space="preserve">desenvolveu </w:t>
      </w:r>
      <w:r>
        <w:t xml:space="preserve">comércio diversificado e setor de serviços bem equipado, o que contribuiu para sua elevação à condição de município em </w:t>
      </w:r>
      <w:r>
        <w:rPr>
          <w:spacing w:val="3"/>
        </w:rPr>
        <w:t xml:space="preserve">1988. </w:t>
      </w:r>
      <w:r>
        <w:rPr>
          <w:spacing w:val="1"/>
        </w:rPr>
        <w:t xml:space="preserve">Em </w:t>
      </w:r>
      <w:r>
        <w:rPr>
          <w:spacing w:val="3"/>
        </w:rPr>
        <w:t xml:space="preserve">1991, </w:t>
      </w:r>
      <w:r>
        <w:rPr>
          <w:spacing w:val="2"/>
        </w:rPr>
        <w:t xml:space="preserve">teve seu </w:t>
      </w:r>
      <w:r>
        <w:rPr>
          <w:spacing w:val="3"/>
        </w:rPr>
        <w:t xml:space="preserve">território desmembrado, </w:t>
      </w:r>
      <w:r>
        <w:rPr>
          <w:spacing w:val="5"/>
        </w:rPr>
        <w:t xml:space="preserve">dando </w:t>
      </w:r>
      <w:r>
        <w:t>origem ao município de Eldorado do Carajás, com o qual se limita a leste (IAHIEC-PA,</w:t>
      </w:r>
      <w:r>
        <w:rPr>
          <w:spacing w:val="47"/>
        </w:rPr>
        <w:t xml:space="preserve"> </w:t>
      </w:r>
      <w:r>
        <w:t>2009).</w:t>
      </w:r>
    </w:p>
    <w:p w:rsidR="00D81F69" w:rsidRDefault="00D81F69">
      <w:pPr>
        <w:spacing w:line="312" w:lineRule="auto"/>
        <w:sectPr w:rsidR="00D81F69">
          <w:type w:val="continuous"/>
          <w:pgSz w:w="11900" w:h="16840"/>
          <w:pgMar w:top="720" w:right="460" w:bottom="280" w:left="620" w:header="720" w:footer="720" w:gutter="0"/>
          <w:cols w:num="3" w:space="720" w:equalWidth="0">
            <w:col w:w="1265" w:space="735"/>
            <w:col w:w="3127" w:space="308"/>
            <w:col w:w="5385"/>
          </w:cols>
        </w:sectPr>
      </w:pPr>
    </w:p>
    <w:p w:rsidR="00D81F69" w:rsidRDefault="00330118">
      <w:pPr>
        <w:pStyle w:val="Heading4"/>
        <w:spacing w:before="195"/>
        <w:jc w:val="left"/>
      </w:pPr>
      <w:r>
        <w:lastRenderedPageBreak/>
        <w:t>APRESENTAÇÃO DE CASO</w:t>
      </w:r>
    </w:p>
    <w:p w:rsidR="00D81F69" w:rsidRDefault="00330118">
      <w:pPr>
        <w:pStyle w:val="Corpodetexto"/>
        <w:spacing w:before="171" w:line="312" w:lineRule="auto"/>
        <w:ind w:right="104"/>
      </w:pPr>
      <w:r>
        <w:t xml:space="preserve">Em </w:t>
      </w:r>
      <w:r>
        <w:rPr>
          <w:spacing w:val="1"/>
        </w:rPr>
        <w:t xml:space="preserve">maio </w:t>
      </w:r>
      <w:r>
        <w:t xml:space="preserve">de </w:t>
      </w:r>
      <w:r>
        <w:rPr>
          <w:spacing w:val="1"/>
        </w:rPr>
        <w:t xml:space="preserve">2010, </w:t>
      </w:r>
      <w:r>
        <w:t xml:space="preserve">o </w:t>
      </w:r>
      <w:r>
        <w:rPr>
          <w:spacing w:val="1"/>
        </w:rPr>
        <w:t xml:space="preserve">Ministério </w:t>
      </w:r>
      <w:r>
        <w:t xml:space="preserve">de </w:t>
      </w:r>
      <w:r>
        <w:rPr>
          <w:spacing w:val="1"/>
        </w:rPr>
        <w:t xml:space="preserve">Minas </w:t>
      </w:r>
      <w:r>
        <w:t xml:space="preserve">e </w:t>
      </w:r>
      <w:r>
        <w:rPr>
          <w:spacing w:val="1"/>
        </w:rPr>
        <w:t xml:space="preserve">Energia </w:t>
      </w:r>
      <w:r>
        <w:rPr>
          <w:spacing w:val="2"/>
        </w:rPr>
        <w:t xml:space="preserve">(MME) </w:t>
      </w:r>
      <w:r>
        <w:rPr>
          <w:spacing w:val="1"/>
        </w:rPr>
        <w:t xml:space="preserve">assinou concessão </w:t>
      </w:r>
      <w:r>
        <w:t xml:space="preserve">de </w:t>
      </w:r>
      <w:r>
        <w:rPr>
          <w:spacing w:val="1"/>
        </w:rPr>
        <w:t>lavra</w:t>
      </w:r>
      <w:r>
        <w:rPr>
          <w:spacing w:val="1"/>
        </w:rPr>
        <w:t xml:space="preserve"> para retomada </w:t>
      </w:r>
      <w:r>
        <w:t xml:space="preserve">do </w:t>
      </w:r>
      <w:r>
        <w:rPr>
          <w:spacing w:val="1"/>
        </w:rPr>
        <w:t xml:space="preserve">garimpo </w:t>
      </w:r>
      <w:r>
        <w:rPr>
          <w:spacing w:val="2"/>
        </w:rPr>
        <w:t xml:space="preserve">na </w:t>
      </w:r>
      <w:r>
        <w:t xml:space="preserve">mina de Serra Pelada (AGÊNCIA BRASIL, 2010a), localizada </w:t>
      </w:r>
      <w:r>
        <w:rPr>
          <w:spacing w:val="3"/>
        </w:rPr>
        <w:t xml:space="preserve">no </w:t>
      </w:r>
      <w:r>
        <w:rPr>
          <w:spacing w:val="5"/>
        </w:rPr>
        <w:t xml:space="preserve">estado </w:t>
      </w:r>
      <w:r>
        <w:rPr>
          <w:spacing w:val="3"/>
        </w:rPr>
        <w:t xml:space="preserve">do </w:t>
      </w:r>
      <w:r>
        <w:rPr>
          <w:spacing w:val="5"/>
        </w:rPr>
        <w:t xml:space="preserve">Pará, </w:t>
      </w:r>
      <w:r>
        <w:rPr>
          <w:spacing w:val="3"/>
        </w:rPr>
        <w:t xml:space="preserve">no </w:t>
      </w:r>
      <w:r>
        <w:rPr>
          <w:spacing w:val="5"/>
        </w:rPr>
        <w:t xml:space="preserve">atual </w:t>
      </w:r>
      <w:r>
        <w:rPr>
          <w:spacing w:val="6"/>
        </w:rPr>
        <w:t xml:space="preserve">município </w:t>
      </w:r>
      <w:r>
        <w:rPr>
          <w:spacing w:val="3"/>
        </w:rPr>
        <w:t xml:space="preserve">de </w:t>
      </w:r>
      <w:r>
        <w:rPr>
          <w:spacing w:val="7"/>
        </w:rPr>
        <w:t xml:space="preserve">Curionópolis </w:t>
      </w:r>
      <w:r>
        <w:rPr>
          <w:spacing w:val="1"/>
        </w:rPr>
        <w:t xml:space="preserve">(PASCARELLI FILHO, 2009). Desativado oficialmente, </w:t>
      </w:r>
      <w:r>
        <w:rPr>
          <w:spacing w:val="2"/>
        </w:rPr>
        <w:t xml:space="preserve">em </w:t>
      </w:r>
      <w:r>
        <w:rPr>
          <w:spacing w:val="3"/>
        </w:rPr>
        <w:t xml:space="preserve">1992, </w:t>
      </w:r>
      <w:r>
        <w:rPr>
          <w:spacing w:val="2"/>
        </w:rPr>
        <w:t xml:space="preserve">por </w:t>
      </w:r>
      <w:r>
        <w:rPr>
          <w:spacing w:val="1"/>
        </w:rPr>
        <w:t xml:space="preserve">um </w:t>
      </w:r>
      <w:r>
        <w:rPr>
          <w:spacing w:val="3"/>
        </w:rPr>
        <w:t xml:space="preserve">decreto </w:t>
      </w:r>
      <w:r>
        <w:rPr>
          <w:spacing w:val="1"/>
        </w:rPr>
        <w:t xml:space="preserve">da </w:t>
      </w:r>
      <w:r>
        <w:rPr>
          <w:spacing w:val="3"/>
        </w:rPr>
        <w:t xml:space="preserve">Presidência </w:t>
      </w:r>
      <w:r>
        <w:rPr>
          <w:spacing w:val="1"/>
        </w:rPr>
        <w:t xml:space="preserve">da </w:t>
      </w:r>
      <w:r>
        <w:rPr>
          <w:spacing w:val="3"/>
        </w:rPr>
        <w:t xml:space="preserve">República, </w:t>
      </w:r>
      <w:r>
        <w:rPr>
          <w:spacing w:val="5"/>
        </w:rPr>
        <w:t xml:space="preserve">Serra </w:t>
      </w:r>
      <w:r>
        <w:t>Pelada</w:t>
      </w:r>
      <w:r>
        <w:t xml:space="preserve"> atraiu milhares de garimpeiros, na década de 1980, </w:t>
      </w:r>
      <w:r>
        <w:rPr>
          <w:spacing w:val="3"/>
        </w:rPr>
        <w:t xml:space="preserve">em </w:t>
      </w:r>
      <w:r>
        <w:rPr>
          <w:spacing w:val="5"/>
        </w:rPr>
        <w:t xml:space="preserve">uma </w:t>
      </w:r>
      <w:r>
        <w:rPr>
          <w:spacing w:val="6"/>
        </w:rPr>
        <w:t xml:space="preserve">"corrida </w:t>
      </w:r>
      <w:r>
        <w:rPr>
          <w:spacing w:val="3"/>
        </w:rPr>
        <w:t xml:space="preserve">ao </w:t>
      </w:r>
      <w:r>
        <w:rPr>
          <w:spacing w:val="5"/>
        </w:rPr>
        <w:t xml:space="preserve">ouro" </w:t>
      </w:r>
      <w:r>
        <w:rPr>
          <w:spacing w:val="6"/>
        </w:rPr>
        <w:t xml:space="preserve">(AGÊNCIA </w:t>
      </w:r>
      <w:r>
        <w:rPr>
          <w:spacing w:val="5"/>
        </w:rPr>
        <w:t xml:space="preserve">BRASIL, </w:t>
      </w:r>
      <w:r>
        <w:rPr>
          <w:spacing w:val="7"/>
        </w:rPr>
        <w:t xml:space="preserve">2010a). </w:t>
      </w:r>
      <w:r>
        <w:rPr>
          <w:spacing w:val="3"/>
        </w:rPr>
        <w:t xml:space="preserve">Estima-se </w:t>
      </w:r>
      <w:r>
        <w:rPr>
          <w:spacing w:val="2"/>
        </w:rPr>
        <w:t xml:space="preserve">que, até </w:t>
      </w:r>
      <w:r>
        <w:rPr>
          <w:spacing w:val="3"/>
        </w:rPr>
        <w:t xml:space="preserve">1985, cerca </w:t>
      </w:r>
      <w:r>
        <w:rPr>
          <w:spacing w:val="1"/>
        </w:rPr>
        <w:t xml:space="preserve">de 37 </w:t>
      </w:r>
      <w:r>
        <w:rPr>
          <w:spacing w:val="3"/>
        </w:rPr>
        <w:t xml:space="preserve">toneladas </w:t>
      </w:r>
      <w:r>
        <w:rPr>
          <w:spacing w:val="1"/>
        </w:rPr>
        <w:t xml:space="preserve">de </w:t>
      </w:r>
      <w:r>
        <w:rPr>
          <w:spacing w:val="5"/>
        </w:rPr>
        <w:t xml:space="preserve">ouro </w:t>
      </w:r>
      <w:r>
        <w:rPr>
          <w:spacing w:val="7"/>
        </w:rPr>
        <w:t xml:space="preserve">tenham </w:t>
      </w:r>
      <w:r>
        <w:rPr>
          <w:spacing w:val="6"/>
        </w:rPr>
        <w:t xml:space="preserve">sido </w:t>
      </w:r>
      <w:r>
        <w:rPr>
          <w:spacing w:val="7"/>
        </w:rPr>
        <w:t xml:space="preserve">extraídas </w:t>
      </w:r>
      <w:r>
        <w:rPr>
          <w:spacing w:val="5"/>
        </w:rPr>
        <w:t xml:space="preserve">na </w:t>
      </w:r>
      <w:r>
        <w:rPr>
          <w:spacing w:val="7"/>
        </w:rPr>
        <w:t xml:space="preserve">região (COSTA, </w:t>
      </w:r>
      <w:r>
        <w:rPr>
          <w:spacing w:val="6"/>
        </w:rPr>
        <w:t xml:space="preserve">2007 </w:t>
      </w:r>
      <w:r>
        <w:rPr>
          <w:spacing w:val="10"/>
        </w:rPr>
        <w:t xml:space="preserve">apud </w:t>
      </w:r>
      <w:r>
        <w:rPr>
          <w:spacing w:val="7"/>
        </w:rPr>
        <w:t xml:space="preserve">MONTEIRO </w:t>
      </w:r>
      <w:r>
        <w:rPr>
          <w:spacing w:val="5"/>
        </w:rPr>
        <w:t xml:space="preserve">et </w:t>
      </w:r>
      <w:r>
        <w:rPr>
          <w:spacing w:val="6"/>
        </w:rPr>
        <w:t>al.,</w:t>
      </w:r>
      <w:r>
        <w:rPr>
          <w:spacing w:val="25"/>
        </w:rPr>
        <w:t xml:space="preserve"> </w:t>
      </w:r>
      <w:r>
        <w:rPr>
          <w:spacing w:val="10"/>
        </w:rPr>
        <w:t>2010).</w:t>
      </w:r>
    </w:p>
    <w:p w:rsidR="00D81F69" w:rsidRDefault="00330118">
      <w:pPr>
        <w:pStyle w:val="Corpodetexto"/>
        <w:spacing w:before="140" w:line="312" w:lineRule="auto"/>
        <w:ind w:right="103"/>
      </w:pPr>
      <w:r>
        <w:t xml:space="preserve">O </w:t>
      </w:r>
      <w:r>
        <w:rPr>
          <w:spacing w:val="6"/>
        </w:rPr>
        <w:t xml:space="preserve">processo </w:t>
      </w:r>
      <w:r>
        <w:rPr>
          <w:spacing w:val="3"/>
        </w:rPr>
        <w:t xml:space="preserve">de </w:t>
      </w:r>
      <w:r>
        <w:rPr>
          <w:spacing w:val="6"/>
        </w:rPr>
        <w:t xml:space="preserve">retomada </w:t>
      </w:r>
      <w:r>
        <w:rPr>
          <w:spacing w:val="3"/>
        </w:rPr>
        <w:t xml:space="preserve">do </w:t>
      </w:r>
      <w:r>
        <w:rPr>
          <w:spacing w:val="5"/>
        </w:rPr>
        <w:t xml:space="preserve">garimpo teve início com </w:t>
      </w:r>
      <w:r>
        <w:t xml:space="preserve">a solicitação da Cooperativa de Mineração dos Garimpeiros de </w:t>
      </w:r>
      <w:r>
        <w:rPr>
          <w:spacing w:val="1"/>
        </w:rPr>
        <w:t xml:space="preserve">Serra Pelada (Coomigasp) </w:t>
      </w:r>
      <w:r>
        <w:t xml:space="preserve">do </w:t>
      </w:r>
      <w:r>
        <w:rPr>
          <w:spacing w:val="1"/>
        </w:rPr>
        <w:t xml:space="preserve">alvará </w:t>
      </w:r>
      <w:r>
        <w:t xml:space="preserve">de </w:t>
      </w:r>
      <w:r>
        <w:rPr>
          <w:spacing w:val="1"/>
        </w:rPr>
        <w:t xml:space="preserve">pesquisa, </w:t>
      </w:r>
      <w:r>
        <w:rPr>
          <w:spacing w:val="2"/>
        </w:rPr>
        <w:t xml:space="preserve">deferido </w:t>
      </w:r>
      <w:r>
        <w:t>pelo Departamento Nacional de Produção Mineral (DNPM), em 2007 (BRASIL MINERAL, 2010). A extração de minérios s</w:t>
      </w:r>
      <w:r>
        <w:t xml:space="preserve">erá mecanizada, e a expectativa é retirar cerca de 4 milhões </w:t>
      </w:r>
      <w:r>
        <w:rPr>
          <w:spacing w:val="1"/>
        </w:rPr>
        <w:t xml:space="preserve">de </w:t>
      </w:r>
      <w:r>
        <w:rPr>
          <w:spacing w:val="3"/>
        </w:rPr>
        <w:t xml:space="preserve">toneladas </w:t>
      </w:r>
      <w:r>
        <w:rPr>
          <w:spacing w:val="1"/>
        </w:rPr>
        <w:t xml:space="preserve">de </w:t>
      </w:r>
      <w:r>
        <w:rPr>
          <w:spacing w:val="3"/>
        </w:rPr>
        <w:t xml:space="preserve">ouro, platina </w:t>
      </w:r>
      <w:r>
        <w:t xml:space="preserve">e </w:t>
      </w:r>
      <w:r>
        <w:rPr>
          <w:spacing w:val="3"/>
        </w:rPr>
        <w:t xml:space="preserve">paládio </w:t>
      </w:r>
      <w:r>
        <w:rPr>
          <w:spacing w:val="2"/>
        </w:rPr>
        <w:t xml:space="preserve">nos </w:t>
      </w:r>
      <w:r>
        <w:rPr>
          <w:spacing w:val="3"/>
        </w:rPr>
        <w:t xml:space="preserve">próximos </w:t>
      </w:r>
      <w:r>
        <w:rPr>
          <w:spacing w:val="5"/>
        </w:rPr>
        <w:t xml:space="preserve">oito </w:t>
      </w:r>
      <w:r>
        <w:t xml:space="preserve">anos. A permissão para exploração foi concedida à empresa Serra Pelada Companhia de Desenvolvimento Mineral, uma </w:t>
      </w:r>
      <w:r>
        <w:rPr>
          <w:spacing w:val="8"/>
        </w:rPr>
        <w:t xml:space="preserve">associação </w:t>
      </w:r>
      <w:r>
        <w:rPr>
          <w:spacing w:val="7"/>
        </w:rPr>
        <w:t xml:space="preserve">entre </w:t>
      </w:r>
      <w:r>
        <w:t xml:space="preserve">a </w:t>
      </w:r>
      <w:r>
        <w:rPr>
          <w:spacing w:val="7"/>
        </w:rPr>
        <w:t>canad</w:t>
      </w:r>
      <w:r>
        <w:rPr>
          <w:spacing w:val="7"/>
        </w:rPr>
        <w:t xml:space="preserve">ense Colossus Minerals </w:t>
      </w:r>
      <w:r>
        <w:rPr>
          <w:spacing w:val="10"/>
        </w:rPr>
        <w:t xml:space="preserve">Inc. </w:t>
      </w:r>
      <w:r>
        <w:t xml:space="preserve">(AGÊNCIA BRASIL, 2010a), especializada em exploração de ouro (IN, 2010), que tem 75% da sociedade, e a Coomigasp, com 45 mil garimpeiros associados, que terá 25% (AGÊNCIA </w:t>
      </w:r>
      <w:r>
        <w:rPr>
          <w:spacing w:val="1"/>
        </w:rPr>
        <w:t xml:space="preserve">BRASIL, 2010a). </w:t>
      </w:r>
      <w:r>
        <w:t xml:space="preserve">A </w:t>
      </w:r>
      <w:r>
        <w:rPr>
          <w:spacing w:val="1"/>
        </w:rPr>
        <w:t xml:space="preserve">Colossus descobriu </w:t>
      </w:r>
      <w:r>
        <w:t xml:space="preserve">um </w:t>
      </w:r>
      <w:r>
        <w:rPr>
          <w:spacing w:val="1"/>
        </w:rPr>
        <w:t xml:space="preserve">veio </w:t>
      </w:r>
      <w:r>
        <w:t xml:space="preserve">de 50 t </w:t>
      </w:r>
      <w:r>
        <w:rPr>
          <w:spacing w:val="2"/>
        </w:rPr>
        <w:t xml:space="preserve">de </w:t>
      </w:r>
      <w:r>
        <w:t>m</w:t>
      </w:r>
      <w:r>
        <w:t xml:space="preserve">inério na região, sendo 33 t de ouro; 6,7 t, de platina; e 10,6 t, de </w:t>
      </w:r>
      <w:r>
        <w:rPr>
          <w:spacing w:val="1"/>
        </w:rPr>
        <w:t xml:space="preserve">paládio. </w:t>
      </w:r>
      <w:r>
        <w:t xml:space="preserve">Só o </w:t>
      </w:r>
      <w:r>
        <w:rPr>
          <w:spacing w:val="1"/>
        </w:rPr>
        <w:t xml:space="preserve">ouro vale </w:t>
      </w:r>
      <w:r>
        <w:t xml:space="preserve">R$ </w:t>
      </w:r>
      <w:r>
        <w:rPr>
          <w:spacing w:val="1"/>
        </w:rPr>
        <w:t xml:space="preserve">2,28 bilhões </w:t>
      </w:r>
      <w:r>
        <w:rPr>
          <w:spacing w:val="2"/>
        </w:rPr>
        <w:t>(CHIARETTI, 2010).</w:t>
      </w:r>
    </w:p>
    <w:p w:rsidR="00D81F69" w:rsidRDefault="00330118">
      <w:pPr>
        <w:pStyle w:val="Corpodetexto"/>
        <w:spacing w:before="145" w:line="312" w:lineRule="auto"/>
        <w:ind w:right="38"/>
        <w:jc w:val="left"/>
      </w:pPr>
      <w:r>
        <w:t>Com 2.369 km² e 18.295 habitantes (IBGE, 2010), Curionópolis fica no sudeste paraense, na microrregião de Parauapebas. Surgiu d</w:t>
      </w:r>
      <w:r>
        <w:t>o desmembramento das terras do município de Marabá e de uma aglomeração humana que se estabeleceu no km 30 da Rodovia PA-275, no final da década de 1970, na expectativa de conseguir trabalho na construção</w:t>
      </w:r>
    </w:p>
    <w:p w:rsidR="00D81F69" w:rsidRDefault="00330118">
      <w:pPr>
        <w:pStyle w:val="Corpodetexto"/>
        <w:spacing w:before="141" w:line="312" w:lineRule="auto"/>
        <w:ind w:right="231"/>
      </w:pPr>
      <w:r>
        <w:br w:type="column"/>
      </w:r>
      <w:r>
        <w:lastRenderedPageBreak/>
        <w:t>O depósito de ouro de Serra Pelada está localizado</w:t>
      </w:r>
      <w:r>
        <w:t xml:space="preserve"> em um “espigão” (interflúvio) da província mineral de Carajás (MEIRELES; SILVA, 1988 apud MONTEIRO et al., 2010),</w:t>
      </w:r>
    </w:p>
    <w:p w:rsidR="00D81F69" w:rsidRDefault="00330118">
      <w:pPr>
        <w:pStyle w:val="Corpodetexto"/>
        <w:spacing w:before="3" w:line="312" w:lineRule="auto"/>
        <w:ind w:right="225"/>
      </w:pPr>
      <w:r>
        <w:t>entre as serras Leste e do Sereno. O local é drenado pelo igarapé do Sereno, afluente da margem esquerda do rio Parauapebas. A concessão de l</w:t>
      </w:r>
      <w:r>
        <w:t xml:space="preserve">avra para minério de </w:t>
      </w:r>
      <w:hyperlink r:id="rId411">
        <w:r>
          <w:t xml:space="preserve">ferro </w:t>
        </w:r>
      </w:hyperlink>
      <w:r>
        <w:t>na área havia sido outorgada [no primeiro ciclo do ouro] à Amazônia Mineração S.A. (AMZA), em 1974, sendo estes direitos minerários posteri</w:t>
      </w:r>
      <w:r>
        <w:t>ormente transferidos à Vale [à época Companhia Vale do Rio Doce], que, em 1980, comunicou ao DNPM a ocorrência de ouro em Serra Pelada, após várias toneladas já terem sido exploradas pelos garimpeiros (MONTEIRO et al., 2010).</w:t>
      </w:r>
    </w:p>
    <w:p w:rsidR="00D81F69" w:rsidRDefault="00330118">
      <w:pPr>
        <w:pStyle w:val="Corpodetexto"/>
        <w:spacing w:before="139" w:line="312" w:lineRule="auto"/>
        <w:ind w:right="232"/>
      </w:pPr>
      <w:r>
        <w:t xml:space="preserve">Entre fevereiro e março de 1980, mais de 60 mil homens chegaram à Serra Pelada e deu-se início à corrida pelo ouro, sem qualquer organização ou preocupação com os riscos à saúde e ao ambiente, movidos apenas pela busca da riqueza. Os lucros e os custos do </w:t>
      </w:r>
      <w:r>
        <w:t>ouro ficavam para os sócios, donos de fazenda. O garimpeiro ganhava muito pouco pela exploração, mesmo trabalhando dia e noite para obter algumas gramas de ouro (VIEIRA). À época, a cava da mina foi construída pelo trabalho manual de escavação em bancadas,</w:t>
      </w:r>
      <w:r>
        <w:t xml:space="preserve"> “barrancos” ou “catas”, com uso de equipamentos de baixa tecnologia (SILVA, 1999 apud MONTEIRO et al., 2010). Por ordem do governo federal, a Vale atuou diversas vezes na terraplenagem do garimpo, visando ao rebaixamento dos taludes construídos nas cavas,</w:t>
      </w:r>
      <w:r>
        <w:t xml:space="preserve"> o que permitia continuidade e proporcionava maior segurança aos trabalhos de explotação. Porém, uma vez atingido o lençol freático, a explotação se tornou impraticável na época chuvosa, o que conduziu os trabalhos a um regime sazonal e levou à formação do</w:t>
      </w:r>
      <w:r>
        <w:t xml:space="preserve"> profundo lago que existe hoje na região (AB’SÁBER, 1996 apud MONTEIRO et al., 2010).</w:t>
      </w:r>
    </w:p>
    <w:p w:rsidR="00D81F69" w:rsidRDefault="00330118">
      <w:pPr>
        <w:pStyle w:val="Corpodetexto"/>
        <w:spacing w:before="86" w:line="270" w:lineRule="atLeast"/>
        <w:ind w:right="235"/>
      </w:pPr>
      <w:r>
        <w:t xml:space="preserve">Ainda em 1980, o governo federal decidiu iniciar um processo de intervenção em Serra Pelada para garantir o controle sobre a força de trabalho e sobre o destino do ouro. </w:t>
      </w:r>
      <w:r>
        <w:t>Passou,</w:t>
      </w:r>
    </w:p>
    <w:p w:rsidR="00D81F69" w:rsidRDefault="00D81F69">
      <w:pPr>
        <w:spacing w:line="270" w:lineRule="atLeast"/>
        <w:sectPr w:rsidR="00D81F69">
          <w:type w:val="continuous"/>
          <w:pgSz w:w="11900" w:h="16840"/>
          <w:pgMar w:top="720" w:right="460" w:bottom="280" w:left="620" w:header="720" w:footer="720" w:gutter="0"/>
          <w:cols w:num="2" w:space="720" w:equalWidth="0">
            <w:col w:w="5227" w:space="243"/>
            <w:col w:w="5350"/>
          </w:cols>
        </w:sectPr>
      </w:pPr>
    </w:p>
    <w:p w:rsidR="00D81F69" w:rsidRDefault="00330118">
      <w:pPr>
        <w:pStyle w:val="Corpodetexto"/>
        <w:spacing w:before="81" w:line="312" w:lineRule="auto"/>
        <w:ind w:right="43"/>
      </w:pPr>
      <w:r>
        <w:lastRenderedPageBreak/>
        <w:t>então, a administrar diretamente o garimpo e a efetivar a compra do metal, por meio da Caixa Econômica Federal (CEF). A Vale, por sua vez, manteve-se na disputa pela área, e, em agosto de 1983, teve o seu relatório de pes</w:t>
      </w:r>
      <w:r>
        <w:t>quisa de ouro aprovado pelo DNPM. No mesmo ano, a mobilização garimpeira contra o fechamento de Serra Pelada ganhou força. Em face à resistência, o Congresso Nacional concedeu a prorrogação do garimpo por três anos, sob coordenação do DNPM, que, em 1984, a</w:t>
      </w:r>
      <w:r>
        <w:t>provou o “Plano de Aproveitamento Econômico”, que visava passar a mina à exploração mecanizada da Vale. Este plano, no entanto, não pôde ser viabilizado devido aos conflitos com a comunidade garimpeira (BRASIL, 1983 apud MONTEIRO et al., 2010).</w:t>
      </w:r>
    </w:p>
    <w:p w:rsidR="00D81F69" w:rsidRDefault="00330118">
      <w:pPr>
        <w:pStyle w:val="Corpodetexto"/>
        <w:spacing w:before="142" w:line="312" w:lineRule="auto"/>
        <w:ind w:right="43"/>
      </w:pPr>
      <w:r>
        <w:t xml:space="preserve">Em </w:t>
      </w:r>
      <w:r>
        <w:rPr>
          <w:spacing w:val="1"/>
        </w:rPr>
        <w:t xml:space="preserve">1985, </w:t>
      </w:r>
      <w:r>
        <w:t xml:space="preserve">o </w:t>
      </w:r>
      <w:r>
        <w:rPr>
          <w:spacing w:val="1"/>
        </w:rPr>
        <w:t xml:space="preserve">governo federal decidiu retirar-se </w:t>
      </w:r>
      <w:r>
        <w:t xml:space="preserve">do </w:t>
      </w:r>
      <w:r>
        <w:rPr>
          <w:spacing w:val="1"/>
        </w:rPr>
        <w:t xml:space="preserve">papel </w:t>
      </w:r>
      <w:r>
        <w:rPr>
          <w:spacing w:val="2"/>
        </w:rPr>
        <w:t xml:space="preserve">de </w:t>
      </w:r>
      <w:r>
        <w:t>gestor de Serra Pelada em virtude do declínio do volume do ouro mercantilizado, da ampliação da declividade da cava e dos acidentes fatais, dentre outros fatores (MONTEIRO et al., 2010). Em setembro do mesmo a</w:t>
      </w:r>
      <w:r>
        <w:t>no, a Coomigasp assumiu o comando do garimpo. Em outubro, o DNPM e a Companhia de Pesquisa de Recursos Minerais (CPRM) anunciaram que a cava havia atingido profundidade intolerável para operação nos moldes em que se processava, devido ao afloramento do len</w:t>
      </w:r>
      <w:r>
        <w:t xml:space="preserve">çol freático e, por isso, algumas “catas” foram interditadas. Diante da discordância da cooperativa, o DNPM retirou </w:t>
      </w:r>
      <w:r>
        <w:rPr>
          <w:spacing w:val="1"/>
        </w:rPr>
        <w:t xml:space="preserve">seu pessoal </w:t>
      </w:r>
      <w:r>
        <w:t xml:space="preserve">do </w:t>
      </w:r>
      <w:r>
        <w:rPr>
          <w:spacing w:val="1"/>
        </w:rPr>
        <w:t xml:space="preserve">garimpo. </w:t>
      </w:r>
      <w:r>
        <w:t xml:space="preserve">Em </w:t>
      </w:r>
      <w:r>
        <w:rPr>
          <w:spacing w:val="1"/>
        </w:rPr>
        <w:t xml:space="preserve">1987, </w:t>
      </w:r>
      <w:r>
        <w:t xml:space="preserve">o </w:t>
      </w:r>
      <w:r>
        <w:rPr>
          <w:spacing w:val="1"/>
        </w:rPr>
        <w:t xml:space="preserve">tempo </w:t>
      </w:r>
      <w:r>
        <w:t xml:space="preserve">de </w:t>
      </w:r>
      <w:r>
        <w:rPr>
          <w:spacing w:val="1"/>
        </w:rPr>
        <w:t xml:space="preserve">garimpagem </w:t>
      </w:r>
      <w:r>
        <w:rPr>
          <w:spacing w:val="2"/>
        </w:rPr>
        <w:t xml:space="preserve">foi </w:t>
      </w:r>
      <w:r>
        <w:t xml:space="preserve">novamente prorrogado até quando fosse possível garantir o </w:t>
      </w:r>
      <w:r>
        <w:rPr>
          <w:spacing w:val="1"/>
        </w:rPr>
        <w:t xml:space="preserve">trabalho </w:t>
      </w:r>
      <w:r>
        <w:t xml:space="preserve">em </w:t>
      </w:r>
      <w:r>
        <w:rPr>
          <w:spacing w:val="1"/>
        </w:rPr>
        <w:t xml:space="preserve">condições </w:t>
      </w:r>
      <w:r>
        <w:t xml:space="preserve">de </w:t>
      </w:r>
      <w:r>
        <w:rPr>
          <w:spacing w:val="1"/>
        </w:rPr>
        <w:t xml:space="preserve">segurança (BRASIL, 1987 </w:t>
      </w:r>
      <w:r>
        <w:rPr>
          <w:spacing w:val="2"/>
        </w:rPr>
        <w:t xml:space="preserve">apud </w:t>
      </w:r>
      <w:r>
        <w:t xml:space="preserve">MONTEIRO et al., 2010 ). Em novembro do mesmo ano, em função da constatação de irregularidades, a cooperativa </w:t>
      </w:r>
      <w:r>
        <w:rPr>
          <w:spacing w:val="1"/>
        </w:rPr>
        <w:t xml:space="preserve">foi </w:t>
      </w:r>
      <w:r>
        <w:t>submetida</w:t>
      </w:r>
      <w:r>
        <w:rPr>
          <w:spacing w:val="27"/>
        </w:rPr>
        <w:t xml:space="preserve"> </w:t>
      </w:r>
      <w:r>
        <w:t>à</w:t>
      </w:r>
      <w:r>
        <w:rPr>
          <w:spacing w:val="27"/>
        </w:rPr>
        <w:t xml:space="preserve"> </w:t>
      </w:r>
      <w:r>
        <w:t>intervenção</w:t>
      </w:r>
      <w:r>
        <w:rPr>
          <w:spacing w:val="27"/>
        </w:rPr>
        <w:t xml:space="preserve"> </w:t>
      </w:r>
      <w:r>
        <w:t>federal</w:t>
      </w:r>
      <w:r>
        <w:rPr>
          <w:spacing w:val="27"/>
        </w:rPr>
        <w:t xml:space="preserve"> </w:t>
      </w:r>
      <w:r>
        <w:t>(MONTEIRO</w:t>
      </w:r>
      <w:r>
        <w:rPr>
          <w:spacing w:val="27"/>
        </w:rPr>
        <w:t xml:space="preserve"> </w:t>
      </w:r>
      <w:r>
        <w:t>et</w:t>
      </w:r>
      <w:r>
        <w:rPr>
          <w:spacing w:val="27"/>
        </w:rPr>
        <w:t xml:space="preserve"> </w:t>
      </w:r>
      <w:r>
        <w:t>al.,</w:t>
      </w:r>
      <w:r>
        <w:rPr>
          <w:spacing w:val="27"/>
        </w:rPr>
        <w:t xml:space="preserve"> </w:t>
      </w:r>
      <w:r>
        <w:rPr>
          <w:spacing w:val="1"/>
        </w:rPr>
        <w:t>2010).</w:t>
      </w:r>
    </w:p>
    <w:p w:rsidR="00D81F69" w:rsidRDefault="00330118">
      <w:pPr>
        <w:pStyle w:val="Corpodetexto"/>
        <w:spacing w:before="146" w:line="312" w:lineRule="auto"/>
        <w:ind w:right="46"/>
      </w:pPr>
      <w:r>
        <w:t>O “direito de lavra” continuou a ser reivindicado pel</w:t>
      </w:r>
      <w:r>
        <w:t>a Vale, que o obteve em 1990. Sucessivos decretos presidenciais e uma portaria do DNPM prorrogaram a garimpagem em Serra Pelada até fevereiro de 1992, quando o garimpo foi fechado definitivamente. Nesse meio tempo, o Ministério de Infraestrutura editou Not</w:t>
      </w:r>
      <w:r>
        <w:t>a Técnica, que retirava o controle de Serra Pelada da cooperativa de garimpeiros e o transferia à Vale. Com o ouro escasseando, a comunidade garimpeira ficou incerta quanto ao futuro. Alguns garimpeiros ficaram em Serra Pelada; outros se dirigiram a cidade</w:t>
      </w:r>
      <w:r>
        <w:t xml:space="preserve">s como Marabá (PA) e Imperatriz (MA), assumindo a condição de pequenos comerciantes, porém sem perder de vista a perspectiva de retornar ao garimpo, quando não deixavam lá seus representantes. Alguns se mantiveram em sítios nas redondezas. Muitos voltaram </w:t>
      </w:r>
      <w:r>
        <w:t>para as atividades rurais ou procuraram trabalho, nas imediações, como empregados nas fazendas ou em firmas contratadas pela Vale. Os demais se dirigiram a novos garimpos da Amazônia. Os ex- trabalhadores de garimpo (“formigas”, “meia-praças” e “requeiros”</w:t>
      </w:r>
      <w:r>
        <w:t>), não sendo legítimos garimpeiros, tentavam sobreviver de “biscates” nas periferias das cidades vizinhas (MONTEIRO et al., 2010).</w:t>
      </w:r>
    </w:p>
    <w:p w:rsidR="00D81F69" w:rsidRDefault="00330118">
      <w:pPr>
        <w:pStyle w:val="Corpodetexto"/>
        <w:spacing w:before="87" w:line="270" w:lineRule="atLeast"/>
        <w:ind w:right="38"/>
      </w:pPr>
      <w:r>
        <w:t>Em meados de 1996, a Vale, que realizava trabalhos de sondagem na serra Leste, começou a comprar barracos dos antigos garimpe</w:t>
      </w:r>
      <w:r>
        <w:t>iros, objetivando a desocupação da área.</w:t>
      </w:r>
    </w:p>
    <w:p w:rsidR="00D81F69" w:rsidRDefault="00330118">
      <w:pPr>
        <w:pStyle w:val="Corpodetexto"/>
        <w:spacing w:before="81" w:line="312" w:lineRule="auto"/>
        <w:ind w:right="234"/>
      </w:pPr>
      <w:r>
        <w:br w:type="column"/>
      </w:r>
      <w:r>
        <w:rPr>
          <w:spacing w:val="6"/>
        </w:rPr>
        <w:lastRenderedPageBreak/>
        <w:t xml:space="preserve">Após </w:t>
      </w:r>
      <w:r>
        <w:rPr>
          <w:spacing w:val="8"/>
        </w:rPr>
        <w:t xml:space="preserve">derrubá-los, </w:t>
      </w:r>
      <w:r>
        <w:rPr>
          <w:spacing w:val="7"/>
        </w:rPr>
        <w:t xml:space="preserve">cercava </w:t>
      </w:r>
      <w:r>
        <w:t xml:space="preserve">a </w:t>
      </w:r>
      <w:r>
        <w:rPr>
          <w:spacing w:val="7"/>
        </w:rPr>
        <w:t xml:space="preserve">região </w:t>
      </w:r>
      <w:r>
        <w:rPr>
          <w:spacing w:val="6"/>
        </w:rPr>
        <w:t xml:space="preserve">para </w:t>
      </w:r>
      <w:r>
        <w:rPr>
          <w:spacing w:val="7"/>
        </w:rPr>
        <w:t xml:space="preserve">impedir </w:t>
      </w:r>
      <w:r>
        <w:rPr>
          <w:spacing w:val="10"/>
        </w:rPr>
        <w:t xml:space="preserve">sua </w:t>
      </w:r>
      <w:r>
        <w:rPr>
          <w:spacing w:val="5"/>
        </w:rPr>
        <w:t xml:space="preserve">reocupação. </w:t>
      </w:r>
      <w:r>
        <w:rPr>
          <w:spacing w:val="2"/>
        </w:rPr>
        <w:t xml:space="preserve">No </w:t>
      </w:r>
      <w:r>
        <w:rPr>
          <w:spacing w:val="5"/>
        </w:rPr>
        <w:t xml:space="preserve">entanto, diante </w:t>
      </w:r>
      <w:r>
        <w:rPr>
          <w:spacing w:val="2"/>
        </w:rPr>
        <w:t xml:space="preserve">da </w:t>
      </w:r>
      <w:r>
        <w:rPr>
          <w:spacing w:val="5"/>
        </w:rPr>
        <w:t xml:space="preserve">pressão </w:t>
      </w:r>
      <w:r>
        <w:rPr>
          <w:spacing w:val="2"/>
        </w:rPr>
        <w:t xml:space="preserve">do </w:t>
      </w:r>
      <w:r>
        <w:rPr>
          <w:spacing w:val="5"/>
        </w:rPr>
        <w:t xml:space="preserve">Governo </w:t>
      </w:r>
      <w:r>
        <w:t>Federal, em 2007, a empresa acabou cedendo à cooperativa seus direitos de lavra e pesquisa, abrangendo a área</w:t>
      </w:r>
      <w:r>
        <w:t xml:space="preserve"> de 100 ha definida ainda nos anos 1990 (MONTEIRO et al., </w:t>
      </w:r>
      <w:r>
        <w:rPr>
          <w:spacing w:val="1"/>
        </w:rPr>
        <w:t xml:space="preserve">2010). </w:t>
      </w:r>
      <w:r>
        <w:t>Em contrapartida, a cooperativa cedeu à Vale uma área de 49 ha para exploração de calcário, a ser utilizado na produção de ferro-gusa. Na verdade, o terreno cedido pela Vale foi apenas uma pa</w:t>
      </w:r>
      <w:r>
        <w:t>rte da sua área de concessão para exploração de ferro na região, que é de 10 mil ha (ZIMMERMANN, 2007).</w:t>
      </w:r>
    </w:p>
    <w:p w:rsidR="00D81F69" w:rsidRDefault="00330118">
      <w:pPr>
        <w:pStyle w:val="Corpodetexto"/>
        <w:spacing w:before="139" w:line="312" w:lineRule="auto"/>
        <w:ind w:right="218"/>
      </w:pPr>
      <w:r>
        <w:t xml:space="preserve">Com a cessão dos direitos de lavra e pesquisa à Coomigasp, a </w:t>
      </w:r>
      <w:r>
        <w:rPr>
          <w:spacing w:val="1"/>
        </w:rPr>
        <w:t xml:space="preserve">ideia </w:t>
      </w:r>
      <w:r>
        <w:t xml:space="preserve">era a </w:t>
      </w:r>
      <w:r>
        <w:rPr>
          <w:spacing w:val="1"/>
        </w:rPr>
        <w:t xml:space="preserve">elaboração </w:t>
      </w:r>
      <w:r>
        <w:t xml:space="preserve">de um </w:t>
      </w:r>
      <w:r>
        <w:rPr>
          <w:spacing w:val="1"/>
        </w:rPr>
        <w:t xml:space="preserve">projeto para </w:t>
      </w:r>
      <w:r>
        <w:t xml:space="preserve">a </w:t>
      </w:r>
      <w:r>
        <w:rPr>
          <w:spacing w:val="1"/>
        </w:rPr>
        <w:t xml:space="preserve">extração </w:t>
      </w:r>
      <w:r>
        <w:rPr>
          <w:spacing w:val="2"/>
        </w:rPr>
        <w:t xml:space="preserve">de </w:t>
      </w:r>
      <w:r>
        <w:t>ouro em moldes industriais, por mei</w:t>
      </w:r>
      <w:r>
        <w:t xml:space="preserve">o da associação entre a </w:t>
      </w:r>
      <w:r>
        <w:rPr>
          <w:spacing w:val="15"/>
        </w:rPr>
        <w:t xml:space="preserve">cooperativa </w:t>
      </w:r>
      <w:r>
        <w:t xml:space="preserve">e </w:t>
      </w:r>
      <w:r>
        <w:rPr>
          <w:spacing w:val="15"/>
        </w:rPr>
        <w:t xml:space="preserve">alguma empresa </w:t>
      </w:r>
      <w:r>
        <w:rPr>
          <w:spacing w:val="8"/>
        </w:rPr>
        <w:t xml:space="preserve">do </w:t>
      </w:r>
      <w:r>
        <w:rPr>
          <w:spacing w:val="13"/>
        </w:rPr>
        <w:t xml:space="preserve">setor </w:t>
      </w:r>
      <w:r>
        <w:rPr>
          <w:spacing w:val="15"/>
        </w:rPr>
        <w:t xml:space="preserve">mineral, </w:t>
      </w:r>
      <w:r>
        <w:rPr>
          <w:spacing w:val="5"/>
        </w:rPr>
        <w:t xml:space="preserve">considerando-se </w:t>
      </w:r>
      <w:r>
        <w:rPr>
          <w:spacing w:val="3"/>
        </w:rPr>
        <w:t xml:space="preserve">que </w:t>
      </w:r>
      <w:r>
        <w:rPr>
          <w:spacing w:val="2"/>
        </w:rPr>
        <w:t xml:space="preserve">os </w:t>
      </w:r>
      <w:r>
        <w:rPr>
          <w:spacing w:val="5"/>
        </w:rPr>
        <w:t xml:space="preserve">garimpeiros </w:t>
      </w:r>
      <w:r>
        <w:rPr>
          <w:spacing w:val="3"/>
        </w:rPr>
        <w:t xml:space="preserve">não </w:t>
      </w:r>
      <w:r>
        <w:rPr>
          <w:spacing w:val="5"/>
        </w:rPr>
        <w:t xml:space="preserve">dispunham </w:t>
      </w:r>
      <w:r>
        <w:rPr>
          <w:spacing w:val="6"/>
        </w:rPr>
        <w:t xml:space="preserve">de </w:t>
      </w:r>
      <w:r>
        <w:rPr>
          <w:spacing w:val="12"/>
        </w:rPr>
        <w:t xml:space="preserve">recursos </w:t>
      </w:r>
      <w:r>
        <w:rPr>
          <w:spacing w:val="10"/>
        </w:rPr>
        <w:t xml:space="preserve">para </w:t>
      </w:r>
      <w:r>
        <w:rPr>
          <w:spacing w:val="12"/>
        </w:rPr>
        <w:t xml:space="preserve">realizar investimentos </w:t>
      </w:r>
      <w:r>
        <w:rPr>
          <w:spacing w:val="6"/>
        </w:rPr>
        <w:t xml:space="preserve">em </w:t>
      </w:r>
      <w:r>
        <w:rPr>
          <w:spacing w:val="12"/>
        </w:rPr>
        <w:t xml:space="preserve">pesquisa, </w:t>
      </w:r>
      <w:r>
        <w:rPr>
          <w:spacing w:val="5"/>
        </w:rPr>
        <w:t xml:space="preserve">infraestrutura </w:t>
      </w:r>
      <w:r>
        <w:rPr>
          <w:spacing w:val="2"/>
        </w:rPr>
        <w:t xml:space="preserve">de </w:t>
      </w:r>
      <w:r>
        <w:rPr>
          <w:spacing w:val="5"/>
        </w:rPr>
        <w:t xml:space="preserve">mineração (industrial) </w:t>
      </w:r>
      <w:r>
        <w:t xml:space="preserve">e </w:t>
      </w:r>
      <w:r>
        <w:rPr>
          <w:spacing w:val="5"/>
        </w:rPr>
        <w:t xml:space="preserve">todo </w:t>
      </w:r>
      <w:r>
        <w:t xml:space="preserve">o </w:t>
      </w:r>
      <w:r>
        <w:rPr>
          <w:spacing w:val="6"/>
        </w:rPr>
        <w:t xml:space="preserve">trâmite </w:t>
      </w:r>
      <w:r>
        <w:rPr>
          <w:spacing w:val="3"/>
        </w:rPr>
        <w:t xml:space="preserve">exigido </w:t>
      </w:r>
      <w:r>
        <w:rPr>
          <w:spacing w:val="2"/>
        </w:rPr>
        <w:t xml:space="preserve">para </w:t>
      </w:r>
      <w:r>
        <w:t xml:space="preserve">a </w:t>
      </w:r>
      <w:r>
        <w:rPr>
          <w:spacing w:val="3"/>
        </w:rPr>
        <w:t xml:space="preserve">concessão </w:t>
      </w:r>
      <w:r>
        <w:rPr>
          <w:spacing w:val="1"/>
        </w:rPr>
        <w:t xml:space="preserve">de </w:t>
      </w:r>
      <w:r>
        <w:rPr>
          <w:spacing w:val="3"/>
        </w:rPr>
        <w:t xml:space="preserve">lavra. </w:t>
      </w:r>
      <w:r>
        <w:rPr>
          <w:spacing w:val="2"/>
        </w:rPr>
        <w:t xml:space="preserve">Para </w:t>
      </w:r>
      <w:r>
        <w:rPr>
          <w:spacing w:val="3"/>
        </w:rPr>
        <w:t xml:space="preserve">execução </w:t>
      </w:r>
      <w:r>
        <w:rPr>
          <w:spacing w:val="5"/>
        </w:rPr>
        <w:t xml:space="preserve">deste </w:t>
      </w:r>
      <w:r>
        <w:rPr>
          <w:spacing w:val="7"/>
        </w:rPr>
        <w:t xml:space="preserve">objetivo, várias medidas </w:t>
      </w:r>
      <w:r>
        <w:rPr>
          <w:spacing w:val="8"/>
        </w:rPr>
        <w:t xml:space="preserve">institucionais </w:t>
      </w:r>
      <w:r>
        <w:rPr>
          <w:spacing w:val="7"/>
        </w:rPr>
        <w:t xml:space="preserve">tiveram </w:t>
      </w:r>
      <w:r>
        <w:rPr>
          <w:spacing w:val="5"/>
        </w:rPr>
        <w:t xml:space="preserve">de </w:t>
      </w:r>
      <w:r>
        <w:rPr>
          <w:spacing w:val="10"/>
        </w:rPr>
        <w:t xml:space="preserve">ser </w:t>
      </w:r>
      <w:r>
        <w:t>tomadas. Em junho de 2007, foi publicado aviso em jornais de grande circulação, divulgando a eventuais interessados que a entidade receberia propostas para realização de pesquisas e eventual implantação da mina. Em julho do mesmo ano, ficou decidida a part</w:t>
      </w:r>
      <w:r>
        <w:t xml:space="preserve">icipação da canadense Colossus, representada no </w:t>
      </w:r>
      <w:r>
        <w:rPr>
          <w:spacing w:val="1"/>
        </w:rPr>
        <w:t xml:space="preserve">Brasil pela Colossus Geologia </w:t>
      </w:r>
      <w:r>
        <w:t xml:space="preserve">e </w:t>
      </w:r>
      <w:r>
        <w:rPr>
          <w:spacing w:val="1"/>
        </w:rPr>
        <w:t xml:space="preserve">Participações, </w:t>
      </w:r>
      <w:r>
        <w:t xml:space="preserve">no </w:t>
      </w:r>
      <w:r>
        <w:rPr>
          <w:spacing w:val="2"/>
        </w:rPr>
        <w:t xml:space="preserve">novo </w:t>
      </w:r>
      <w:r>
        <w:rPr>
          <w:spacing w:val="1"/>
        </w:rPr>
        <w:t xml:space="preserve">ciclo </w:t>
      </w:r>
      <w:r>
        <w:t xml:space="preserve">do </w:t>
      </w:r>
      <w:r>
        <w:rPr>
          <w:spacing w:val="1"/>
        </w:rPr>
        <w:t xml:space="preserve">ouro </w:t>
      </w:r>
      <w:r>
        <w:t xml:space="preserve">em </w:t>
      </w:r>
      <w:r>
        <w:rPr>
          <w:spacing w:val="1"/>
        </w:rPr>
        <w:t xml:space="preserve">Serra Pelada. Para oficializar </w:t>
      </w:r>
      <w:r>
        <w:t xml:space="preserve">a </w:t>
      </w:r>
      <w:r>
        <w:rPr>
          <w:spacing w:val="1"/>
        </w:rPr>
        <w:t xml:space="preserve">união </w:t>
      </w:r>
      <w:r>
        <w:t xml:space="preserve">e a </w:t>
      </w:r>
      <w:r>
        <w:rPr>
          <w:spacing w:val="5"/>
        </w:rPr>
        <w:t xml:space="preserve">Coomigasp poder funcionar </w:t>
      </w:r>
      <w:r>
        <w:t xml:space="preserve">e </w:t>
      </w:r>
      <w:r>
        <w:rPr>
          <w:spacing w:val="5"/>
        </w:rPr>
        <w:t xml:space="preserve">gerir recursos como </w:t>
      </w:r>
      <w:r>
        <w:rPr>
          <w:spacing w:val="6"/>
        </w:rPr>
        <w:t xml:space="preserve">uma </w:t>
      </w:r>
      <w:r>
        <w:rPr>
          <w:spacing w:val="8"/>
        </w:rPr>
        <w:t xml:space="preserve">mineradora, </w:t>
      </w:r>
      <w:r>
        <w:rPr>
          <w:spacing w:val="5"/>
        </w:rPr>
        <w:t xml:space="preserve">foi </w:t>
      </w:r>
      <w:r>
        <w:rPr>
          <w:spacing w:val="7"/>
        </w:rPr>
        <w:t xml:space="preserve">criada </w:t>
      </w:r>
      <w:r>
        <w:t xml:space="preserve">a </w:t>
      </w:r>
      <w:r>
        <w:rPr>
          <w:spacing w:val="7"/>
        </w:rPr>
        <w:t>Serra Pelada Com</w:t>
      </w:r>
      <w:r>
        <w:rPr>
          <w:spacing w:val="7"/>
        </w:rPr>
        <w:t xml:space="preserve">panhia </w:t>
      </w:r>
      <w:r>
        <w:rPr>
          <w:spacing w:val="10"/>
        </w:rPr>
        <w:t xml:space="preserve">de </w:t>
      </w:r>
      <w:r>
        <w:t xml:space="preserve">Desenvolvimento Mineral. Por sua vez, a cooperativa, apesar </w:t>
      </w:r>
      <w:r>
        <w:rPr>
          <w:spacing w:val="2"/>
        </w:rPr>
        <w:t xml:space="preserve">de </w:t>
      </w:r>
      <w:r>
        <w:rPr>
          <w:spacing w:val="3"/>
        </w:rPr>
        <w:t xml:space="preserve">ter sido </w:t>
      </w:r>
      <w:r>
        <w:rPr>
          <w:spacing w:val="5"/>
        </w:rPr>
        <w:t xml:space="preserve">criada </w:t>
      </w:r>
      <w:r>
        <w:rPr>
          <w:spacing w:val="2"/>
        </w:rPr>
        <w:t xml:space="preserve">em </w:t>
      </w:r>
      <w:r>
        <w:rPr>
          <w:spacing w:val="3"/>
        </w:rPr>
        <w:t xml:space="preserve">1983, foi </w:t>
      </w:r>
      <w:r>
        <w:rPr>
          <w:spacing w:val="5"/>
        </w:rPr>
        <w:t xml:space="preserve">registrada </w:t>
      </w:r>
      <w:r>
        <w:rPr>
          <w:spacing w:val="3"/>
        </w:rPr>
        <w:t xml:space="preserve">como </w:t>
      </w:r>
      <w:r>
        <w:rPr>
          <w:spacing w:val="5"/>
        </w:rPr>
        <w:t xml:space="preserve">pessoa </w:t>
      </w:r>
      <w:r>
        <w:t>jurídica em 2007, sendo certificada, em 2009, pelo Sindicato das Cooperativas Brasileiras do Estado do Pará (MONTEIRO et al.,</w:t>
      </w:r>
      <w:r>
        <w:rPr>
          <w:spacing w:val="7"/>
        </w:rPr>
        <w:t xml:space="preserve"> </w:t>
      </w:r>
      <w:r>
        <w:t>2010)</w:t>
      </w:r>
      <w:r>
        <w:t>.</w:t>
      </w:r>
    </w:p>
    <w:p w:rsidR="00D81F69" w:rsidRDefault="00330118">
      <w:pPr>
        <w:pStyle w:val="Corpodetexto"/>
        <w:spacing w:before="151" w:line="312" w:lineRule="auto"/>
        <w:ind w:right="234"/>
      </w:pPr>
      <w:r>
        <w:t xml:space="preserve">O </w:t>
      </w:r>
      <w:r>
        <w:rPr>
          <w:spacing w:val="3"/>
        </w:rPr>
        <w:t xml:space="preserve">processo </w:t>
      </w:r>
      <w:r>
        <w:rPr>
          <w:spacing w:val="2"/>
        </w:rPr>
        <w:t xml:space="preserve">que </w:t>
      </w:r>
      <w:r>
        <w:rPr>
          <w:spacing w:val="3"/>
        </w:rPr>
        <w:t xml:space="preserve">levou </w:t>
      </w:r>
      <w:r>
        <w:t xml:space="preserve">à </w:t>
      </w:r>
      <w:r>
        <w:rPr>
          <w:spacing w:val="3"/>
        </w:rPr>
        <w:t xml:space="preserve">parceria entre </w:t>
      </w:r>
      <w:r>
        <w:t xml:space="preserve">a </w:t>
      </w:r>
      <w:r>
        <w:rPr>
          <w:spacing w:val="3"/>
        </w:rPr>
        <w:t xml:space="preserve">Coomigasp </w:t>
      </w:r>
      <w:r>
        <w:t xml:space="preserve">e a </w:t>
      </w:r>
      <w:r>
        <w:rPr>
          <w:spacing w:val="5"/>
        </w:rPr>
        <w:t xml:space="preserve">Colossus </w:t>
      </w:r>
      <w:r>
        <w:rPr>
          <w:spacing w:val="3"/>
        </w:rPr>
        <w:t xml:space="preserve">foi </w:t>
      </w:r>
      <w:r>
        <w:rPr>
          <w:spacing w:val="5"/>
        </w:rPr>
        <w:t xml:space="preserve">marcado </w:t>
      </w:r>
      <w:r>
        <w:rPr>
          <w:spacing w:val="3"/>
        </w:rPr>
        <w:t xml:space="preserve">por </w:t>
      </w:r>
      <w:r>
        <w:rPr>
          <w:spacing w:val="5"/>
        </w:rPr>
        <w:t xml:space="preserve">conflitos, principalmente entre grupos rivais </w:t>
      </w:r>
      <w:r>
        <w:rPr>
          <w:spacing w:val="2"/>
        </w:rPr>
        <w:t xml:space="preserve">de </w:t>
      </w:r>
      <w:r>
        <w:rPr>
          <w:spacing w:val="5"/>
        </w:rPr>
        <w:t xml:space="preserve">garimpeiros. </w:t>
      </w:r>
      <w:r>
        <w:rPr>
          <w:spacing w:val="3"/>
        </w:rPr>
        <w:t xml:space="preserve">Havia </w:t>
      </w:r>
      <w:r>
        <w:rPr>
          <w:spacing w:val="5"/>
        </w:rPr>
        <w:t xml:space="preserve">disputas internas na </w:t>
      </w:r>
      <w:r>
        <w:t xml:space="preserve">cooperativa, e desta com o Sindicato de Garimpeiros de Serra </w:t>
      </w:r>
      <w:r>
        <w:rPr>
          <w:spacing w:val="5"/>
        </w:rPr>
        <w:t xml:space="preserve">Pelada (Singasp) </w:t>
      </w:r>
      <w:r>
        <w:t xml:space="preserve">e o </w:t>
      </w:r>
      <w:r>
        <w:rPr>
          <w:spacing w:val="5"/>
        </w:rPr>
        <w:t>Movi</w:t>
      </w:r>
      <w:r>
        <w:rPr>
          <w:spacing w:val="5"/>
        </w:rPr>
        <w:t xml:space="preserve">mento </w:t>
      </w:r>
      <w:r>
        <w:rPr>
          <w:spacing w:val="3"/>
        </w:rPr>
        <w:t xml:space="preserve">dos </w:t>
      </w:r>
      <w:r>
        <w:rPr>
          <w:spacing w:val="5"/>
        </w:rPr>
        <w:t xml:space="preserve">Trabalhadores </w:t>
      </w:r>
      <w:r>
        <w:rPr>
          <w:spacing w:val="6"/>
        </w:rPr>
        <w:t xml:space="preserve">da </w:t>
      </w:r>
      <w:r>
        <w:t xml:space="preserve">Mineração. Algumas irregularidades no contrato, e na própria condução do processo – que envolveu disputas pela direção </w:t>
      </w:r>
      <w:r>
        <w:rPr>
          <w:spacing w:val="1"/>
        </w:rPr>
        <w:t xml:space="preserve">da </w:t>
      </w:r>
      <w:r>
        <w:rPr>
          <w:spacing w:val="3"/>
        </w:rPr>
        <w:t xml:space="preserve">Coomigasp </w:t>
      </w:r>
      <w:r>
        <w:t xml:space="preserve">– </w:t>
      </w:r>
      <w:r>
        <w:rPr>
          <w:spacing w:val="3"/>
        </w:rPr>
        <w:t xml:space="preserve">foram apontadas </w:t>
      </w:r>
      <w:r>
        <w:rPr>
          <w:spacing w:val="1"/>
        </w:rPr>
        <w:t xml:space="preserve">em </w:t>
      </w:r>
      <w:r>
        <w:rPr>
          <w:spacing w:val="3"/>
        </w:rPr>
        <w:t xml:space="preserve">Representação </w:t>
      </w:r>
      <w:r>
        <w:rPr>
          <w:spacing w:val="5"/>
        </w:rPr>
        <w:t xml:space="preserve">do </w:t>
      </w:r>
      <w:r>
        <w:t>Singasp ao Ministério Público. Além disso, em julho de 2009</w:t>
      </w:r>
      <w:r>
        <w:t xml:space="preserve">, o </w:t>
      </w:r>
      <w:r>
        <w:rPr>
          <w:spacing w:val="7"/>
        </w:rPr>
        <w:t xml:space="preserve">mesmo sindicato enviou </w:t>
      </w:r>
      <w:r>
        <w:rPr>
          <w:spacing w:val="5"/>
        </w:rPr>
        <w:t xml:space="preserve">ao </w:t>
      </w:r>
      <w:r>
        <w:rPr>
          <w:spacing w:val="7"/>
        </w:rPr>
        <w:t xml:space="preserve">governo </w:t>
      </w:r>
      <w:r>
        <w:rPr>
          <w:spacing w:val="5"/>
        </w:rPr>
        <w:t xml:space="preserve">do </w:t>
      </w:r>
      <w:r>
        <w:rPr>
          <w:spacing w:val="6"/>
        </w:rPr>
        <w:t xml:space="preserve">Pará </w:t>
      </w:r>
      <w:r>
        <w:rPr>
          <w:spacing w:val="10"/>
        </w:rPr>
        <w:t xml:space="preserve">ofício </w:t>
      </w:r>
      <w:r>
        <w:rPr>
          <w:spacing w:val="3"/>
        </w:rPr>
        <w:t xml:space="preserve">solicitando </w:t>
      </w:r>
      <w:r>
        <w:t xml:space="preserve">a </w:t>
      </w:r>
      <w:r>
        <w:rPr>
          <w:spacing w:val="2"/>
        </w:rPr>
        <w:t xml:space="preserve">não </w:t>
      </w:r>
      <w:r>
        <w:rPr>
          <w:spacing w:val="3"/>
        </w:rPr>
        <w:t xml:space="preserve">liberação </w:t>
      </w:r>
      <w:r>
        <w:rPr>
          <w:spacing w:val="1"/>
        </w:rPr>
        <w:t xml:space="preserve">de </w:t>
      </w:r>
      <w:r>
        <w:rPr>
          <w:spacing w:val="3"/>
        </w:rPr>
        <w:t xml:space="preserve">Licença Ambiental </w:t>
      </w:r>
      <w:r>
        <w:rPr>
          <w:spacing w:val="2"/>
        </w:rPr>
        <w:t xml:space="preserve">(LA) </w:t>
      </w:r>
      <w:r>
        <w:rPr>
          <w:spacing w:val="5"/>
        </w:rPr>
        <w:t xml:space="preserve">ao </w:t>
      </w:r>
      <w:r>
        <w:t xml:space="preserve">empreendimento em Serra Pelada. No entanto, em fevereiro de 2010, o Conselho Estadual de Meio Ambiente concedeu a Licença Prévia (LP) (MONTEIRO et al., 2010) e, em maio do </w:t>
      </w:r>
      <w:r>
        <w:rPr>
          <w:spacing w:val="7"/>
        </w:rPr>
        <w:t xml:space="preserve">mesmo </w:t>
      </w:r>
      <w:r>
        <w:rPr>
          <w:spacing w:val="6"/>
        </w:rPr>
        <w:t xml:space="preserve">ano, </w:t>
      </w:r>
      <w:r>
        <w:t xml:space="preserve">o </w:t>
      </w:r>
      <w:r>
        <w:rPr>
          <w:spacing w:val="8"/>
        </w:rPr>
        <w:t xml:space="preserve">Ministério </w:t>
      </w:r>
      <w:r>
        <w:rPr>
          <w:spacing w:val="5"/>
        </w:rPr>
        <w:t xml:space="preserve">de </w:t>
      </w:r>
      <w:r>
        <w:rPr>
          <w:spacing w:val="7"/>
        </w:rPr>
        <w:t xml:space="preserve">Minas </w:t>
      </w:r>
      <w:r>
        <w:t xml:space="preserve">e </w:t>
      </w:r>
      <w:r>
        <w:rPr>
          <w:spacing w:val="7"/>
        </w:rPr>
        <w:t xml:space="preserve">Energia </w:t>
      </w:r>
      <w:r>
        <w:rPr>
          <w:spacing w:val="10"/>
        </w:rPr>
        <w:t xml:space="preserve">assinou </w:t>
      </w:r>
      <w:r>
        <w:rPr>
          <w:spacing w:val="3"/>
        </w:rPr>
        <w:t xml:space="preserve">concessão </w:t>
      </w:r>
      <w:r>
        <w:rPr>
          <w:spacing w:val="1"/>
        </w:rPr>
        <w:t xml:space="preserve">de </w:t>
      </w:r>
      <w:r>
        <w:rPr>
          <w:spacing w:val="3"/>
        </w:rPr>
        <w:t xml:space="preserve">lavra </w:t>
      </w:r>
      <w:r>
        <w:rPr>
          <w:spacing w:val="2"/>
        </w:rPr>
        <w:t xml:space="preserve">para </w:t>
      </w:r>
      <w:r>
        <w:rPr>
          <w:spacing w:val="3"/>
        </w:rPr>
        <w:t xml:space="preserve">retomada </w:t>
      </w:r>
      <w:r>
        <w:rPr>
          <w:spacing w:val="1"/>
        </w:rPr>
        <w:t xml:space="preserve">do </w:t>
      </w:r>
      <w:r>
        <w:rPr>
          <w:spacing w:val="3"/>
        </w:rPr>
        <w:t xml:space="preserve">garimpo </w:t>
      </w:r>
      <w:r>
        <w:rPr>
          <w:spacing w:val="5"/>
        </w:rPr>
        <w:t xml:space="preserve">(AGÊNCIA </w:t>
      </w:r>
      <w:r>
        <w:t xml:space="preserve">BRASIL, 2010a). Levando-se em consideração os trabalhos de prospecção da Colossus, o desenho do atual projeto prevê exploração por oito anos (MONTEIRO et al., 2010). A mina, bem próxima ao antigo garimpo, deve produzir 1.000 t/dia de </w:t>
      </w:r>
      <w:r>
        <w:rPr>
          <w:spacing w:val="5"/>
        </w:rPr>
        <w:t>mi</w:t>
      </w:r>
      <w:r>
        <w:rPr>
          <w:spacing w:val="5"/>
        </w:rPr>
        <w:t xml:space="preserve">nério </w:t>
      </w:r>
      <w:r>
        <w:rPr>
          <w:spacing w:val="3"/>
        </w:rPr>
        <w:t xml:space="preserve">que </w:t>
      </w:r>
      <w:r>
        <w:rPr>
          <w:spacing w:val="5"/>
        </w:rPr>
        <w:t xml:space="preserve">serão beneficiados </w:t>
      </w:r>
      <w:r>
        <w:rPr>
          <w:spacing w:val="2"/>
        </w:rPr>
        <w:t xml:space="preserve">em </w:t>
      </w:r>
      <w:r>
        <w:rPr>
          <w:spacing w:val="5"/>
        </w:rPr>
        <w:t xml:space="preserve">planta </w:t>
      </w:r>
      <w:r>
        <w:rPr>
          <w:spacing w:val="6"/>
        </w:rPr>
        <w:t xml:space="preserve">convencional </w:t>
      </w:r>
      <w:r>
        <w:rPr>
          <w:spacing w:val="5"/>
        </w:rPr>
        <w:t xml:space="preserve">construída perto </w:t>
      </w:r>
      <w:r>
        <w:rPr>
          <w:spacing w:val="2"/>
        </w:rPr>
        <w:t xml:space="preserve">da </w:t>
      </w:r>
      <w:r>
        <w:rPr>
          <w:spacing w:val="5"/>
        </w:rPr>
        <w:t>mina (JORNOW,</w:t>
      </w:r>
      <w:r>
        <w:rPr>
          <w:spacing w:val="8"/>
        </w:rPr>
        <w:t xml:space="preserve"> </w:t>
      </w:r>
      <w:r>
        <w:rPr>
          <w:spacing w:val="6"/>
        </w:rPr>
        <w:t>2010).</w:t>
      </w:r>
    </w:p>
    <w:p w:rsidR="00D81F69" w:rsidRDefault="00D81F69">
      <w:pPr>
        <w:spacing w:line="312" w:lineRule="auto"/>
        <w:sectPr w:rsidR="00D81F69">
          <w:pgSz w:w="11900" w:h="16840"/>
          <w:pgMar w:top="740" w:right="460" w:bottom="720" w:left="620" w:header="0" w:footer="402" w:gutter="0"/>
          <w:cols w:num="2" w:space="720" w:equalWidth="0">
            <w:col w:w="5157" w:space="313"/>
            <w:col w:w="5350"/>
          </w:cols>
        </w:sectPr>
      </w:pPr>
    </w:p>
    <w:p w:rsidR="00D81F69" w:rsidRDefault="00330118">
      <w:pPr>
        <w:pStyle w:val="Corpodetexto"/>
        <w:spacing w:before="81" w:line="312" w:lineRule="auto"/>
        <w:ind w:right="53"/>
      </w:pPr>
      <w:r>
        <w:lastRenderedPageBreak/>
        <w:t>O primeiro ciclo do ouro em Serra Pelada deixou grande passivo socioambiental (JORNOW, 2010). As condições de trabalho no garimpo eram</w:t>
      </w:r>
      <w:r>
        <w:t xml:space="preserve"> precárias, e vários garimpeiros morreram em soterramentos, devido à quebra de escadas e barrancos, e tiveram problemas respiratórios em decorrência da queima do ouro com </w:t>
      </w:r>
      <w:hyperlink r:id="rId412">
        <w:r>
          <w:t>mercúrio</w:t>
        </w:r>
      </w:hyperlink>
      <w:r>
        <w:t xml:space="preserve"> (PORTAL ORIGINAL DESIGNER, 2010). Com a desativação da mina, restou a desestruturada Vila de Serra Pelada, com moradores que não usufruíram das riquezas proporcionadas pelos metais (JORNOW, 2010). Cerca de 6 mil pessoas vivem na periferia da</w:t>
      </w:r>
      <w:r>
        <w:t xml:space="preserve"> antiga cava em situação de miséria, em barracos de madeira, sem água encanada, saúde ou saneamento (AGÊNCIA BRASIL, 2010b). O garimpo artesanal impactou negativamente o meio ambiente (JORNOW, 2010). Após quatro anos de extração, onde havia morro, surgiu u</w:t>
      </w:r>
      <w:r>
        <w:t>ma cratera com 200 metros de profundidade (PASCARELLI FILHO, 2009). Muito mercúrio foi usado, seja na cratera formada na cava principal, seja nos vilarejos nas suas imediações, mesmo considerando-se o período em que seu uso foi proibido (CAHETÉ, 1995).</w:t>
      </w:r>
    </w:p>
    <w:p w:rsidR="00D81F69" w:rsidRDefault="00330118">
      <w:pPr>
        <w:pStyle w:val="Corpodetexto"/>
        <w:spacing w:before="148" w:line="312" w:lineRule="auto"/>
        <w:ind w:right="38"/>
      </w:pPr>
      <w:r>
        <w:t>Com</w:t>
      </w:r>
      <w:r>
        <w:t xml:space="preserve"> a retomada do garimpo, a Colossus se comprometeu a recuperar toda a área degradada pelo garimpo e levar água </w:t>
      </w:r>
      <w:r>
        <w:rPr>
          <w:spacing w:val="1"/>
        </w:rPr>
        <w:t xml:space="preserve">encanada para </w:t>
      </w:r>
      <w:r>
        <w:t xml:space="preserve">as </w:t>
      </w:r>
      <w:r>
        <w:rPr>
          <w:spacing w:val="1"/>
        </w:rPr>
        <w:t xml:space="preserve">famílias residentes </w:t>
      </w:r>
      <w:r>
        <w:t xml:space="preserve">no </w:t>
      </w:r>
      <w:r>
        <w:rPr>
          <w:spacing w:val="1"/>
        </w:rPr>
        <w:t xml:space="preserve">local </w:t>
      </w:r>
      <w:r>
        <w:rPr>
          <w:spacing w:val="2"/>
        </w:rPr>
        <w:t xml:space="preserve">(REDAÇÃO </w:t>
      </w:r>
      <w:r>
        <w:rPr>
          <w:spacing w:val="3"/>
        </w:rPr>
        <w:t xml:space="preserve">SP, </w:t>
      </w:r>
      <w:r>
        <w:rPr>
          <w:spacing w:val="5"/>
        </w:rPr>
        <w:t xml:space="preserve">2010). Muitas obras foram </w:t>
      </w:r>
      <w:r>
        <w:t xml:space="preserve">e </w:t>
      </w:r>
      <w:r>
        <w:rPr>
          <w:spacing w:val="5"/>
        </w:rPr>
        <w:t xml:space="preserve">estão sendo feitas </w:t>
      </w:r>
      <w:r>
        <w:rPr>
          <w:spacing w:val="6"/>
        </w:rPr>
        <w:t xml:space="preserve">ou </w:t>
      </w:r>
      <w:r>
        <w:t>custeadas pela mineradora em parceria</w:t>
      </w:r>
      <w:r>
        <w:t xml:space="preserve"> com a prefeitura de </w:t>
      </w:r>
      <w:r>
        <w:rPr>
          <w:spacing w:val="3"/>
        </w:rPr>
        <w:t xml:space="preserve">Curionópolis. </w:t>
      </w:r>
      <w:r>
        <w:t xml:space="preserve">A </w:t>
      </w:r>
      <w:r>
        <w:rPr>
          <w:spacing w:val="3"/>
        </w:rPr>
        <w:t xml:space="preserve">estrada </w:t>
      </w:r>
      <w:r>
        <w:rPr>
          <w:spacing w:val="1"/>
        </w:rPr>
        <w:t xml:space="preserve">de </w:t>
      </w:r>
      <w:r>
        <w:rPr>
          <w:spacing w:val="2"/>
        </w:rPr>
        <w:t xml:space="preserve">chão que liga </w:t>
      </w:r>
      <w:r>
        <w:t xml:space="preserve">a </w:t>
      </w:r>
      <w:r>
        <w:rPr>
          <w:spacing w:val="2"/>
        </w:rPr>
        <w:t xml:space="preserve">Vila </w:t>
      </w:r>
      <w:r>
        <w:rPr>
          <w:spacing w:val="1"/>
        </w:rPr>
        <w:t xml:space="preserve">de </w:t>
      </w:r>
      <w:r>
        <w:rPr>
          <w:spacing w:val="5"/>
        </w:rPr>
        <w:t xml:space="preserve">Serra </w:t>
      </w:r>
      <w:r>
        <w:rPr>
          <w:spacing w:val="10"/>
        </w:rPr>
        <w:t xml:space="preserve">Pelada </w:t>
      </w:r>
      <w:r>
        <w:t xml:space="preserve">à </w:t>
      </w:r>
      <w:r>
        <w:rPr>
          <w:spacing w:val="10"/>
        </w:rPr>
        <w:t xml:space="preserve">rodovia PA-275 </w:t>
      </w:r>
      <w:r>
        <w:t xml:space="preserve">e </w:t>
      </w:r>
      <w:r>
        <w:rPr>
          <w:spacing w:val="5"/>
        </w:rPr>
        <w:t xml:space="preserve">às </w:t>
      </w:r>
      <w:r>
        <w:rPr>
          <w:spacing w:val="10"/>
        </w:rPr>
        <w:t xml:space="preserve">cidades próximas </w:t>
      </w:r>
      <w:r>
        <w:rPr>
          <w:spacing w:val="11"/>
        </w:rPr>
        <w:t xml:space="preserve">foi </w:t>
      </w:r>
      <w:r>
        <w:t xml:space="preserve">recuperada. As escolas públicas e o posto de saúde da vila </w:t>
      </w:r>
      <w:r>
        <w:rPr>
          <w:spacing w:val="3"/>
        </w:rPr>
        <w:t xml:space="preserve">também receberam obras </w:t>
      </w:r>
      <w:r>
        <w:rPr>
          <w:spacing w:val="1"/>
        </w:rPr>
        <w:t xml:space="preserve">de </w:t>
      </w:r>
      <w:r>
        <w:rPr>
          <w:spacing w:val="3"/>
        </w:rPr>
        <w:t xml:space="preserve">recuperação. </w:t>
      </w:r>
      <w:r>
        <w:t xml:space="preserve">A </w:t>
      </w:r>
      <w:r>
        <w:rPr>
          <w:spacing w:val="5"/>
        </w:rPr>
        <w:t>mineradora sustenta campanha</w:t>
      </w:r>
      <w:r>
        <w:rPr>
          <w:spacing w:val="5"/>
        </w:rPr>
        <w:t xml:space="preserve">s </w:t>
      </w:r>
      <w:r>
        <w:rPr>
          <w:spacing w:val="2"/>
        </w:rPr>
        <w:t xml:space="preserve">de </w:t>
      </w:r>
      <w:r>
        <w:rPr>
          <w:spacing w:val="5"/>
        </w:rPr>
        <w:t xml:space="preserve">assistência </w:t>
      </w:r>
      <w:r>
        <w:t xml:space="preserve">à </w:t>
      </w:r>
      <w:r>
        <w:rPr>
          <w:spacing w:val="5"/>
        </w:rPr>
        <w:t xml:space="preserve">população </w:t>
      </w:r>
      <w:r>
        <w:rPr>
          <w:spacing w:val="2"/>
        </w:rPr>
        <w:t xml:space="preserve">da </w:t>
      </w:r>
      <w:r>
        <w:rPr>
          <w:spacing w:val="5"/>
        </w:rPr>
        <w:t xml:space="preserve">vila, </w:t>
      </w:r>
      <w:r>
        <w:t>conduz programas de requalificação profissional, entre outras ações voltadas a promover saúde, educação e infraestrutura. Além disso, em vez do mercúrio que poluiu rios e a terra em Serra Pelada, na fase final do garim</w:t>
      </w:r>
      <w:r>
        <w:t xml:space="preserve">po, a companhia utilizará </w:t>
      </w:r>
      <w:r>
        <w:rPr>
          <w:spacing w:val="10"/>
        </w:rPr>
        <w:t xml:space="preserve">tecnologia </w:t>
      </w:r>
      <w:r>
        <w:rPr>
          <w:spacing w:val="5"/>
        </w:rPr>
        <w:t xml:space="preserve">de </w:t>
      </w:r>
      <w:r>
        <w:rPr>
          <w:spacing w:val="10"/>
        </w:rPr>
        <w:t xml:space="preserve">ponta </w:t>
      </w:r>
      <w:r>
        <w:rPr>
          <w:spacing w:val="8"/>
        </w:rPr>
        <w:t xml:space="preserve">para </w:t>
      </w:r>
      <w:r>
        <w:rPr>
          <w:spacing w:val="10"/>
        </w:rPr>
        <w:t xml:space="preserve">evitar danos </w:t>
      </w:r>
      <w:r>
        <w:rPr>
          <w:spacing w:val="5"/>
        </w:rPr>
        <w:t xml:space="preserve">ao </w:t>
      </w:r>
      <w:r>
        <w:rPr>
          <w:spacing w:val="12"/>
        </w:rPr>
        <w:t xml:space="preserve">ambiente </w:t>
      </w:r>
      <w:r>
        <w:rPr>
          <w:spacing w:val="10"/>
        </w:rPr>
        <w:t>(JORNOW,</w:t>
      </w:r>
      <w:r>
        <w:rPr>
          <w:spacing w:val="63"/>
        </w:rPr>
        <w:t xml:space="preserve"> </w:t>
      </w:r>
      <w:r>
        <w:rPr>
          <w:spacing w:val="12"/>
        </w:rPr>
        <w:t>2010).</w:t>
      </w:r>
    </w:p>
    <w:p w:rsidR="00D81F69" w:rsidRDefault="00330118">
      <w:pPr>
        <w:pStyle w:val="Corpodetexto"/>
        <w:spacing w:before="145" w:line="312" w:lineRule="auto"/>
        <w:ind w:right="46"/>
      </w:pPr>
      <w:r>
        <w:t>Os trabalhos de implementação da nova Mina Serra Pelada ganharam reforço, em dezembro de 2010, com a chegada das road headers, conhecidas como "tatus de túnel"</w:t>
      </w:r>
      <w:r>
        <w:t>, que vão impulsionar escavações, que devem atingir 3.930 m de plano inclinado com profundidade de 400 m. Uma das preocupações é a segurança dos operários que trabalham direta e indiretamente na escavação e a fortificação da rampa de acesso ao subsolo (O L</w:t>
      </w:r>
      <w:r>
        <w:t>IBERAL, 2010). O empreendimento deve gerar 2 mil empregos diretos e indiretos na fase de implantação (AGÊNCIA BRASIL, 2010a).</w:t>
      </w:r>
    </w:p>
    <w:p w:rsidR="00D81F69" w:rsidRDefault="00D81F69">
      <w:pPr>
        <w:pStyle w:val="Corpodetexto"/>
        <w:spacing w:before="9"/>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50"/>
      </w:pPr>
      <w:r>
        <w:rPr>
          <w:spacing w:val="12"/>
        </w:rPr>
        <w:t xml:space="preserve">Curionópolis, </w:t>
      </w:r>
      <w:r>
        <w:rPr>
          <w:spacing w:val="10"/>
        </w:rPr>
        <w:t xml:space="preserve">cuja </w:t>
      </w:r>
      <w:r>
        <w:rPr>
          <w:spacing w:val="12"/>
        </w:rPr>
        <w:t xml:space="preserve">latitude </w:t>
      </w:r>
      <w:r>
        <w:t xml:space="preserve">é </w:t>
      </w:r>
      <w:r>
        <w:rPr>
          <w:spacing w:val="12"/>
        </w:rPr>
        <w:t xml:space="preserve">6°03’58”S </w:t>
      </w:r>
      <w:r>
        <w:t xml:space="preserve">e </w:t>
      </w:r>
      <w:r>
        <w:rPr>
          <w:spacing w:val="15"/>
        </w:rPr>
        <w:t xml:space="preserve">longitude </w:t>
      </w:r>
      <w:r>
        <w:t>49°33’40”W, é o município que abriga atualmente o gari</w:t>
      </w:r>
      <w:r>
        <w:t>mpo de Serra Pelada, no sudeste do</w:t>
      </w:r>
      <w:r>
        <w:rPr>
          <w:spacing w:val="22"/>
        </w:rPr>
        <w:t xml:space="preserve"> </w:t>
      </w:r>
      <w:r>
        <w:t>Pará.</w:t>
      </w:r>
    </w:p>
    <w:p w:rsidR="00D81F69" w:rsidRDefault="00D81F69">
      <w:pPr>
        <w:pStyle w:val="Corpodetexto"/>
        <w:ind w:left="0"/>
        <w:jc w:val="left"/>
        <w:rPr>
          <w:sz w:val="29"/>
        </w:rPr>
      </w:pPr>
    </w:p>
    <w:p w:rsidR="00D81F69" w:rsidRDefault="00330118">
      <w:pPr>
        <w:pStyle w:val="Heading7"/>
      </w:pPr>
      <w:r>
        <w:t>REDATORES</w:t>
      </w:r>
    </w:p>
    <w:p w:rsidR="00D81F69" w:rsidRDefault="00330118">
      <w:pPr>
        <w:pStyle w:val="Corpodetexto"/>
        <w:spacing w:before="179"/>
      </w:pPr>
      <w:r>
        <w:t>Renata Olivieri; Eliane Araujo</w:t>
      </w:r>
    </w:p>
    <w:p w:rsidR="00D81F69" w:rsidRDefault="00330118">
      <w:pPr>
        <w:pStyle w:val="Corpodetexto"/>
        <w:ind w:left="0"/>
        <w:jc w:val="left"/>
        <w:rPr>
          <w:sz w:val="22"/>
        </w:rPr>
      </w:pPr>
      <w:r>
        <w:br w:type="column"/>
      </w:r>
    </w:p>
    <w:p w:rsidR="00D81F69" w:rsidRDefault="00330118">
      <w:pPr>
        <w:pStyle w:val="Heading7"/>
        <w:spacing w:before="139"/>
      </w:pPr>
      <w:r>
        <w:t>REFERÊNCIAS BIBLIOGRÁFICAS</w:t>
      </w:r>
    </w:p>
    <w:p w:rsidR="00D81F69" w:rsidRDefault="00330118">
      <w:pPr>
        <w:spacing w:before="188" w:line="312" w:lineRule="auto"/>
        <w:ind w:left="100" w:right="220"/>
        <w:jc w:val="both"/>
        <w:rPr>
          <w:sz w:val="16"/>
        </w:rPr>
      </w:pPr>
      <w:r>
        <w:rPr>
          <w:sz w:val="16"/>
        </w:rPr>
        <w:t xml:space="preserve">AGÊNCIA BRASIL. Governo vai liberar concessão da mina de Serra Pelada. Valor Online, 05 mai. 2010a. Disponível em: </w:t>
      </w:r>
    </w:p>
    <w:p w:rsidR="00D81F69" w:rsidRDefault="00D81F69">
      <w:pPr>
        <w:spacing w:before="1" w:line="312" w:lineRule="auto"/>
        <w:ind w:left="100" w:right="234"/>
        <w:jc w:val="both"/>
        <w:rPr>
          <w:sz w:val="16"/>
        </w:rPr>
      </w:pPr>
      <w:hyperlink r:id="rId413">
        <w:r w:rsidR="00330118">
          <w:rPr>
            <w:sz w:val="16"/>
          </w:rPr>
          <w:t>&lt;http://www.valoronline.com.br/online/brasil/1/295802/governo-vai-</w:t>
        </w:r>
      </w:hyperlink>
      <w:r w:rsidR="00330118">
        <w:rPr>
          <w:sz w:val="16"/>
        </w:rPr>
        <w:t xml:space="preserve"> liberar-concessao-da-mina-de-serra-pelada&gt;. Acesso em: 08 jan. 2011.</w:t>
      </w:r>
    </w:p>
    <w:p w:rsidR="00D81F69" w:rsidRDefault="00330118">
      <w:pPr>
        <w:tabs>
          <w:tab w:val="left" w:pos="726"/>
        </w:tabs>
        <w:spacing w:before="3" w:line="312" w:lineRule="auto"/>
        <w:ind w:left="100" w:right="229"/>
        <w:jc w:val="both"/>
        <w:rPr>
          <w:sz w:val="16"/>
        </w:rPr>
      </w:pPr>
      <w:r>
        <w:rPr>
          <w:sz w:val="16"/>
          <w:u w:val="single"/>
        </w:rPr>
        <w:t xml:space="preserve"> </w:t>
      </w:r>
      <w:r>
        <w:rPr>
          <w:sz w:val="16"/>
          <w:u w:val="single"/>
        </w:rPr>
        <w:tab/>
      </w:r>
      <w:r>
        <w:rPr>
          <w:sz w:val="16"/>
        </w:rPr>
        <w:t xml:space="preserve">. Garimpeiros ainda têm esperança de "bamburrar" em Serra </w:t>
      </w:r>
      <w:r>
        <w:rPr>
          <w:spacing w:val="7"/>
          <w:sz w:val="16"/>
        </w:rPr>
        <w:t>Pelad</w:t>
      </w:r>
      <w:r>
        <w:rPr>
          <w:spacing w:val="7"/>
          <w:sz w:val="16"/>
        </w:rPr>
        <w:t xml:space="preserve">a. Correio </w:t>
      </w:r>
      <w:r>
        <w:rPr>
          <w:spacing w:val="8"/>
          <w:sz w:val="16"/>
        </w:rPr>
        <w:t xml:space="preserve">Braziliense, </w:t>
      </w:r>
      <w:r>
        <w:rPr>
          <w:spacing w:val="5"/>
          <w:sz w:val="16"/>
        </w:rPr>
        <w:t xml:space="preserve">07 </w:t>
      </w:r>
      <w:r>
        <w:rPr>
          <w:spacing w:val="6"/>
          <w:sz w:val="16"/>
        </w:rPr>
        <w:t xml:space="preserve">mai. </w:t>
      </w:r>
      <w:r>
        <w:rPr>
          <w:spacing w:val="7"/>
          <w:sz w:val="16"/>
        </w:rPr>
        <w:t xml:space="preserve">2010b. </w:t>
      </w:r>
      <w:r>
        <w:rPr>
          <w:spacing w:val="8"/>
          <w:sz w:val="16"/>
        </w:rPr>
        <w:t>Disponível</w:t>
      </w:r>
      <w:r>
        <w:rPr>
          <w:spacing w:val="38"/>
          <w:sz w:val="16"/>
        </w:rPr>
        <w:t xml:space="preserve"> </w:t>
      </w:r>
      <w:r>
        <w:rPr>
          <w:spacing w:val="10"/>
          <w:sz w:val="16"/>
        </w:rPr>
        <w:t>em:</w:t>
      </w:r>
    </w:p>
    <w:p w:rsidR="00D81F69" w:rsidRDefault="00D81F69">
      <w:pPr>
        <w:spacing w:before="1" w:line="312" w:lineRule="auto"/>
        <w:ind w:left="100" w:right="257"/>
        <w:jc w:val="both"/>
        <w:rPr>
          <w:sz w:val="16"/>
        </w:rPr>
      </w:pPr>
      <w:hyperlink r:id="rId414">
        <w:r w:rsidR="00330118">
          <w:rPr>
            <w:sz w:val="16"/>
          </w:rPr>
          <w:t>&lt;http://www.correiobraziliense.com.br/app/noticia/brasil/2010/05/07/int</w:t>
        </w:r>
      </w:hyperlink>
      <w:r w:rsidR="00330118">
        <w:rPr>
          <w:sz w:val="16"/>
        </w:rPr>
        <w:t xml:space="preserve"> erna_brasil,191070/index.shtml&gt;. Acesso em</w:t>
      </w:r>
      <w:r w:rsidR="00330118">
        <w:rPr>
          <w:sz w:val="16"/>
        </w:rPr>
        <w:t>: 10 jan. 2011.</w:t>
      </w:r>
    </w:p>
    <w:p w:rsidR="00D81F69" w:rsidRDefault="00330118">
      <w:pPr>
        <w:spacing w:before="2" w:line="312" w:lineRule="auto"/>
        <w:ind w:left="100" w:right="238"/>
        <w:jc w:val="both"/>
        <w:rPr>
          <w:sz w:val="16"/>
        </w:rPr>
      </w:pPr>
      <w:r>
        <w:rPr>
          <w:sz w:val="16"/>
        </w:rPr>
        <w:t>BRASIL MINERAL. Garimpo: MME esclarece situação em Serra Pelada. In: Brasil Mineral OnLine n°462, 29 jul. 2010. Disponível em:</w:t>
      </w:r>
    </w:p>
    <w:p w:rsidR="00D81F69" w:rsidRDefault="00D81F69">
      <w:pPr>
        <w:spacing w:before="2" w:line="312" w:lineRule="auto"/>
        <w:ind w:left="100" w:right="256"/>
        <w:jc w:val="both"/>
        <w:rPr>
          <w:sz w:val="16"/>
        </w:rPr>
      </w:pPr>
      <w:hyperlink r:id="rId415">
        <w:r w:rsidR="00330118">
          <w:rPr>
            <w:sz w:val="16"/>
          </w:rPr>
          <w:t>&lt;</w:t>
        </w:r>
        <w:r w:rsidR="00330118">
          <w:rPr>
            <w:sz w:val="16"/>
          </w:rPr>
          <w:t>http://www.brasilmineral.com.br/BM/default.asp?COD=5035&amp;busca=</w:t>
        </w:r>
      </w:hyperlink>
      <w:r w:rsidR="00330118">
        <w:rPr>
          <w:sz w:val="16"/>
        </w:rPr>
        <w:t xml:space="preserve"> &amp;numero=462&gt;. Acesso em: 07 jan. 2011.</w:t>
      </w:r>
    </w:p>
    <w:p w:rsidR="00D81F69" w:rsidRDefault="00330118">
      <w:pPr>
        <w:spacing w:before="1" w:line="312" w:lineRule="auto"/>
        <w:ind w:left="100" w:right="231"/>
        <w:jc w:val="both"/>
        <w:rPr>
          <w:sz w:val="16"/>
        </w:rPr>
      </w:pPr>
      <w:r>
        <w:rPr>
          <w:sz w:val="16"/>
        </w:rPr>
        <w:t>CAHETÉ, Frederico Luiz Silva. A extração do ouro na Amazônia e suas implicações para o meio ambiente, 1995. Disponível em:</w:t>
      </w:r>
    </w:p>
    <w:p w:rsidR="00D81F69" w:rsidRDefault="00D81F69">
      <w:pPr>
        <w:spacing w:before="2" w:line="312" w:lineRule="auto"/>
        <w:ind w:left="100" w:right="237"/>
        <w:jc w:val="both"/>
        <w:rPr>
          <w:sz w:val="16"/>
        </w:rPr>
      </w:pPr>
      <w:hyperlink r:id="rId416">
        <w:r w:rsidR="00330118">
          <w:rPr>
            <w:sz w:val="16"/>
          </w:rPr>
          <w:t>&lt;http://www.periodicos.ufpa.br/index.php/ncn/article/viewFile/14/13&gt;.</w:t>
        </w:r>
      </w:hyperlink>
      <w:r w:rsidR="00330118">
        <w:rPr>
          <w:sz w:val="16"/>
        </w:rPr>
        <w:t xml:space="preserve"> Acesso em: 10 jan. 2011.</w:t>
      </w:r>
    </w:p>
    <w:p w:rsidR="00D81F69" w:rsidRDefault="00330118">
      <w:pPr>
        <w:spacing w:before="2" w:line="312" w:lineRule="auto"/>
        <w:ind w:left="100" w:right="241"/>
        <w:jc w:val="both"/>
        <w:rPr>
          <w:sz w:val="16"/>
        </w:rPr>
      </w:pPr>
      <w:r>
        <w:rPr>
          <w:sz w:val="16"/>
        </w:rPr>
        <w:t xml:space="preserve">CHIARETTI, Daniela. Serra Pelada inicia seu 2º ciclo do ouro. Quarto Poder, 26 </w:t>
      </w:r>
      <w:r>
        <w:rPr>
          <w:sz w:val="16"/>
        </w:rPr>
        <w:t xml:space="preserve">abr. 2010. Disponível em: </w:t>
      </w:r>
      <w:hyperlink r:id="rId417">
        <w:r>
          <w:rPr>
            <w:sz w:val="16"/>
          </w:rPr>
          <w:t xml:space="preserve">&lt;http://quarto- </w:t>
        </w:r>
      </w:hyperlink>
      <w:r>
        <w:rPr>
          <w:sz w:val="16"/>
        </w:rPr>
        <w:t>poder.blogspot.com/2010/04/serra-pelada-inicia-seu-2-ciclo-do- ouro.html&gt;. Acesso em: 08 jan. 2011.</w:t>
      </w:r>
    </w:p>
    <w:p w:rsidR="00D81F69" w:rsidRDefault="00330118">
      <w:pPr>
        <w:tabs>
          <w:tab w:val="left" w:pos="4331"/>
        </w:tabs>
        <w:spacing w:before="3" w:line="312" w:lineRule="auto"/>
        <w:ind w:left="100" w:right="230"/>
        <w:jc w:val="both"/>
        <w:rPr>
          <w:sz w:val="16"/>
        </w:rPr>
      </w:pPr>
      <w:r>
        <w:rPr>
          <w:spacing w:val="5"/>
          <w:sz w:val="16"/>
        </w:rPr>
        <w:t xml:space="preserve">IAHIEC-PA, Instituto </w:t>
      </w:r>
      <w:r>
        <w:rPr>
          <w:spacing w:val="2"/>
          <w:sz w:val="16"/>
        </w:rPr>
        <w:t xml:space="preserve">de </w:t>
      </w:r>
      <w:r>
        <w:rPr>
          <w:spacing w:val="5"/>
          <w:sz w:val="16"/>
        </w:rPr>
        <w:t xml:space="preserve">Desenvolvimento Econômico, Social </w:t>
      </w:r>
      <w:r>
        <w:rPr>
          <w:sz w:val="16"/>
        </w:rPr>
        <w:t xml:space="preserve">e </w:t>
      </w:r>
      <w:r>
        <w:rPr>
          <w:spacing w:val="6"/>
          <w:sz w:val="16"/>
        </w:rPr>
        <w:t xml:space="preserve">Ambiental </w:t>
      </w:r>
      <w:r>
        <w:rPr>
          <w:spacing w:val="3"/>
          <w:sz w:val="16"/>
        </w:rPr>
        <w:t xml:space="preserve">do  </w:t>
      </w:r>
      <w:r>
        <w:rPr>
          <w:spacing w:val="5"/>
          <w:sz w:val="16"/>
        </w:rPr>
        <w:t xml:space="preserve">Pará.  </w:t>
      </w:r>
      <w:r>
        <w:rPr>
          <w:spacing w:val="6"/>
          <w:sz w:val="16"/>
        </w:rPr>
        <w:t xml:space="preserve">Estatística Municipal, Curionópolis, </w:t>
      </w:r>
      <w:r>
        <w:rPr>
          <w:spacing w:val="7"/>
          <w:sz w:val="16"/>
        </w:rPr>
        <w:t>2009.</w:t>
      </w:r>
      <w:r>
        <w:rPr>
          <w:spacing w:val="60"/>
          <w:sz w:val="16"/>
        </w:rPr>
        <w:t xml:space="preserve">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256"/>
        <w:jc w:val="both"/>
        <w:rPr>
          <w:sz w:val="16"/>
        </w:rPr>
      </w:pPr>
      <w:hyperlink r:id="rId418">
        <w:r w:rsidR="00330118">
          <w:rPr>
            <w:sz w:val="16"/>
          </w:rPr>
          <w:t>&lt;http://iah.iec.pa.gov.br/iah/fulltext/georeferenciamento</w:t>
        </w:r>
        <w:r w:rsidR="00330118">
          <w:rPr>
            <w:sz w:val="16"/>
          </w:rPr>
          <w:t>/curionopolis.p</w:t>
        </w:r>
      </w:hyperlink>
      <w:r w:rsidR="00330118">
        <w:rPr>
          <w:sz w:val="16"/>
        </w:rPr>
        <w:t xml:space="preserve"> df&gt;. Acesso em: 10 jan. 2011.</w:t>
      </w:r>
    </w:p>
    <w:p w:rsidR="00D81F69" w:rsidRDefault="00330118">
      <w:pPr>
        <w:spacing w:before="2" w:line="312" w:lineRule="auto"/>
        <w:ind w:left="100" w:right="206"/>
        <w:jc w:val="both"/>
        <w:rPr>
          <w:sz w:val="16"/>
        </w:rPr>
      </w:pPr>
      <w:r>
        <w:rPr>
          <w:spacing w:val="1"/>
          <w:sz w:val="16"/>
        </w:rPr>
        <w:t xml:space="preserve">IBGE, Instituto Brasileiro </w:t>
      </w:r>
      <w:r>
        <w:rPr>
          <w:sz w:val="16"/>
        </w:rPr>
        <w:t xml:space="preserve">de </w:t>
      </w:r>
      <w:r>
        <w:rPr>
          <w:spacing w:val="1"/>
          <w:sz w:val="16"/>
        </w:rPr>
        <w:t xml:space="preserve">Geografia </w:t>
      </w:r>
      <w:r>
        <w:rPr>
          <w:sz w:val="16"/>
        </w:rPr>
        <w:t xml:space="preserve">e </w:t>
      </w:r>
      <w:r>
        <w:rPr>
          <w:spacing w:val="1"/>
          <w:sz w:val="16"/>
        </w:rPr>
        <w:t xml:space="preserve">Estatística. </w:t>
      </w:r>
      <w:r>
        <w:rPr>
          <w:spacing w:val="2"/>
          <w:sz w:val="16"/>
        </w:rPr>
        <w:t xml:space="preserve">Curionópolis </w:t>
      </w:r>
      <w:r>
        <w:rPr>
          <w:spacing w:val="23"/>
          <w:sz w:val="16"/>
        </w:rPr>
        <w:t xml:space="preserve">(PA). </w:t>
      </w:r>
      <w:r>
        <w:rPr>
          <w:spacing w:val="20"/>
          <w:sz w:val="16"/>
        </w:rPr>
        <w:t xml:space="preserve">In: </w:t>
      </w:r>
      <w:r>
        <w:rPr>
          <w:spacing w:val="21"/>
          <w:sz w:val="16"/>
        </w:rPr>
        <w:t xml:space="preserve">IBGE </w:t>
      </w:r>
      <w:r>
        <w:rPr>
          <w:spacing w:val="25"/>
          <w:sz w:val="16"/>
        </w:rPr>
        <w:t>Cidades,</w:t>
      </w:r>
      <w:r>
        <w:rPr>
          <w:spacing w:val="95"/>
          <w:sz w:val="16"/>
        </w:rPr>
        <w:t xml:space="preserve"> </w:t>
      </w:r>
      <w:r>
        <w:rPr>
          <w:spacing w:val="23"/>
          <w:sz w:val="16"/>
        </w:rPr>
        <w:t xml:space="preserve">2010. </w:t>
      </w:r>
      <w:r>
        <w:rPr>
          <w:spacing w:val="26"/>
          <w:sz w:val="16"/>
        </w:rPr>
        <w:t>Disponível</w:t>
      </w:r>
      <w:r>
        <w:rPr>
          <w:spacing w:val="25"/>
          <w:sz w:val="16"/>
        </w:rPr>
        <w:t xml:space="preserve"> </w:t>
      </w:r>
      <w:r>
        <w:rPr>
          <w:spacing w:val="20"/>
          <w:sz w:val="16"/>
        </w:rPr>
        <w:t>em:</w:t>
      </w:r>
      <w:r>
        <w:rPr>
          <w:spacing w:val="-14"/>
          <w:sz w:val="16"/>
        </w:rPr>
        <w:t xml:space="preserve"> </w:t>
      </w:r>
    </w:p>
    <w:p w:rsidR="00D81F69" w:rsidRDefault="00D81F69">
      <w:pPr>
        <w:spacing w:before="2"/>
        <w:ind w:left="100"/>
        <w:jc w:val="both"/>
        <w:rPr>
          <w:sz w:val="16"/>
        </w:rPr>
      </w:pPr>
      <w:hyperlink r:id="rId419">
        <w:r w:rsidR="00330118">
          <w:rPr>
            <w:sz w:val="16"/>
          </w:rPr>
          <w:t>&lt;http://w</w:t>
        </w:r>
        <w:r w:rsidR="00330118">
          <w:rPr>
            <w:sz w:val="16"/>
          </w:rPr>
          <w:t>ww.ibge.gov.br/cidadesat/xtras/perfil.php?codmun=150277&amp;r</w:t>
        </w:r>
      </w:hyperlink>
    </w:p>
    <w:p w:rsidR="00D81F69" w:rsidRDefault="00330118">
      <w:pPr>
        <w:spacing w:before="56"/>
        <w:ind w:left="100"/>
        <w:jc w:val="both"/>
        <w:rPr>
          <w:sz w:val="16"/>
        </w:rPr>
      </w:pPr>
      <w:r>
        <w:rPr>
          <w:sz w:val="16"/>
        </w:rPr>
        <w:t>=2&gt;. Acesso em: 11 jan. 2011.</w:t>
      </w:r>
    </w:p>
    <w:p w:rsidR="00D81F69" w:rsidRDefault="00330118">
      <w:pPr>
        <w:spacing w:before="56" w:line="312" w:lineRule="auto"/>
        <w:ind w:left="100" w:right="193"/>
        <w:jc w:val="both"/>
        <w:rPr>
          <w:sz w:val="16"/>
        </w:rPr>
      </w:pPr>
      <w:r>
        <w:rPr>
          <w:sz w:val="16"/>
        </w:rPr>
        <w:t>IN, Investimentos e Notícias. Serra Pelada ainda vale R$ 2,31 bilhões e m o u r o , 0 4 j a n . 2 0 1 0 . D i s p o n í v e l</w:t>
      </w:r>
      <w:r>
        <w:rPr>
          <w:spacing w:val="18"/>
          <w:sz w:val="16"/>
        </w:rPr>
        <w:t xml:space="preserve"> </w:t>
      </w:r>
      <w:r>
        <w:rPr>
          <w:sz w:val="16"/>
        </w:rPr>
        <w:t xml:space="preserve">e m : </w:t>
      </w:r>
    </w:p>
    <w:p w:rsidR="00D81F69" w:rsidRDefault="00D81F69">
      <w:pPr>
        <w:spacing w:before="1" w:line="312" w:lineRule="auto"/>
        <w:ind w:left="100" w:right="249"/>
        <w:jc w:val="both"/>
        <w:rPr>
          <w:sz w:val="16"/>
        </w:rPr>
      </w:pPr>
      <w:hyperlink r:id="rId420">
        <w:r w:rsidR="00330118">
          <w:rPr>
            <w:sz w:val="16"/>
          </w:rPr>
          <w:t>&lt;http://www.investimentosenoticias.com.br/setoriais/mineracao-</w:t>
        </w:r>
      </w:hyperlink>
      <w:r w:rsidR="00330118">
        <w:rPr>
          <w:sz w:val="16"/>
        </w:rPr>
        <w:t xml:space="preserve"> metalurgia-e-siderurgia/serra-pelada-ainda-vale-rs-2-31-bilhoes-em- ouro.html&gt;. Acesso em: 10 jan. 2011.</w:t>
      </w:r>
    </w:p>
    <w:p w:rsidR="00D81F69" w:rsidRDefault="00330118">
      <w:pPr>
        <w:spacing w:before="3" w:line="312" w:lineRule="auto"/>
        <w:ind w:left="100" w:right="233"/>
        <w:jc w:val="both"/>
        <w:rPr>
          <w:sz w:val="16"/>
        </w:rPr>
      </w:pPr>
      <w:r>
        <w:rPr>
          <w:sz w:val="16"/>
        </w:rPr>
        <w:t>JORNOW. Tún</w:t>
      </w:r>
      <w:r>
        <w:rPr>
          <w:sz w:val="16"/>
        </w:rPr>
        <w:t>el da mina Nova Serra Pelada avança. In: Instituto Brasileiro de Mineração (IBRAM), 26 nov. 2010. Disponível em:</w:t>
      </w:r>
    </w:p>
    <w:p w:rsidR="00D81F69" w:rsidRDefault="00D81F69">
      <w:pPr>
        <w:spacing w:before="1" w:line="312" w:lineRule="auto"/>
        <w:ind w:left="100" w:right="238"/>
        <w:jc w:val="both"/>
        <w:rPr>
          <w:sz w:val="16"/>
        </w:rPr>
      </w:pPr>
      <w:hyperlink r:id="rId421">
        <w:r w:rsidR="00330118">
          <w:rPr>
            <w:sz w:val="16"/>
          </w:rPr>
          <w:t>&lt;http://www.ibram.org.br/150/15001002.asp?ttCD_CHAVE=127844&gt;.</w:t>
        </w:r>
      </w:hyperlink>
      <w:r w:rsidR="00330118">
        <w:rPr>
          <w:sz w:val="16"/>
        </w:rPr>
        <w:t xml:space="preserve"> Acess</w:t>
      </w:r>
      <w:r w:rsidR="00330118">
        <w:rPr>
          <w:sz w:val="16"/>
        </w:rPr>
        <w:t>o em: 11 jan. 2011.</w:t>
      </w:r>
    </w:p>
    <w:p w:rsidR="00D81F69" w:rsidRDefault="00330118">
      <w:pPr>
        <w:tabs>
          <w:tab w:val="left" w:pos="2559"/>
          <w:tab w:val="left" w:pos="5063"/>
        </w:tabs>
        <w:spacing w:before="2" w:line="312" w:lineRule="auto"/>
        <w:ind w:left="100" w:right="229"/>
        <w:jc w:val="both"/>
        <w:rPr>
          <w:sz w:val="16"/>
        </w:rPr>
      </w:pPr>
      <w:r>
        <w:rPr>
          <w:sz w:val="16"/>
        </w:rPr>
        <w:t xml:space="preserve">MONTEIRO, Maurílio de Abreu; COELHO, Maria Célia Nunes; COTA, </w:t>
      </w:r>
      <w:r>
        <w:rPr>
          <w:spacing w:val="6"/>
          <w:sz w:val="16"/>
        </w:rPr>
        <w:t xml:space="preserve">Raymundo </w:t>
      </w:r>
      <w:r>
        <w:rPr>
          <w:spacing w:val="5"/>
          <w:sz w:val="16"/>
        </w:rPr>
        <w:t xml:space="preserve">Garcia; </w:t>
      </w:r>
      <w:r>
        <w:rPr>
          <w:spacing w:val="6"/>
          <w:sz w:val="16"/>
        </w:rPr>
        <w:t xml:space="preserve">BARBOSA, </w:t>
      </w:r>
      <w:r>
        <w:rPr>
          <w:spacing w:val="5"/>
          <w:sz w:val="16"/>
        </w:rPr>
        <w:t xml:space="preserve">Estêvão José </w:t>
      </w:r>
      <w:r>
        <w:rPr>
          <w:spacing w:val="3"/>
          <w:sz w:val="16"/>
        </w:rPr>
        <w:t xml:space="preserve">da </w:t>
      </w:r>
      <w:r>
        <w:rPr>
          <w:spacing w:val="5"/>
          <w:sz w:val="16"/>
        </w:rPr>
        <w:t xml:space="preserve">Silva. </w:t>
      </w:r>
      <w:r>
        <w:rPr>
          <w:spacing w:val="7"/>
          <w:sz w:val="16"/>
        </w:rPr>
        <w:t xml:space="preserve">Ouro, </w:t>
      </w:r>
      <w:r>
        <w:rPr>
          <w:sz w:val="16"/>
        </w:rPr>
        <w:t>empresas e garimpeiros na Amazônia: o caso emblemático de Serra Pelada. In: Revista Pós Ciências Sociais v.7, n.13, 201</w:t>
      </w:r>
      <w:r>
        <w:rPr>
          <w:sz w:val="16"/>
        </w:rPr>
        <w:t>0. Disponível   e</w:t>
      </w:r>
      <w:r>
        <w:rPr>
          <w:sz w:val="16"/>
        </w:rPr>
        <w:tab/>
        <w:t>m</w:t>
      </w:r>
      <w:r>
        <w:rPr>
          <w:sz w:val="16"/>
        </w:rPr>
        <w:tab/>
        <w:t>:</w:t>
      </w:r>
    </w:p>
    <w:p w:rsidR="00D81F69" w:rsidRDefault="00D81F69">
      <w:pPr>
        <w:spacing w:before="4" w:line="312" w:lineRule="auto"/>
        <w:ind w:left="100" w:right="256"/>
        <w:jc w:val="both"/>
        <w:rPr>
          <w:sz w:val="16"/>
        </w:rPr>
      </w:pPr>
      <w:hyperlink r:id="rId422">
        <w:r w:rsidR="00330118">
          <w:rPr>
            <w:sz w:val="16"/>
          </w:rPr>
          <w:t>&lt;http://www.periodicoseletronicos.ufma.br/index.php/rpcsoc/article/vie</w:t>
        </w:r>
      </w:hyperlink>
      <w:r w:rsidR="00330118">
        <w:rPr>
          <w:sz w:val="16"/>
        </w:rPr>
        <w:t xml:space="preserve"> wFile/176/124&gt;. Acesso em: 11 jan. 2011.</w:t>
      </w:r>
    </w:p>
    <w:p w:rsidR="00D81F69" w:rsidRDefault="00330118">
      <w:pPr>
        <w:spacing w:before="2" w:line="312" w:lineRule="auto"/>
        <w:ind w:left="100" w:right="232"/>
        <w:jc w:val="both"/>
        <w:rPr>
          <w:sz w:val="16"/>
        </w:rPr>
      </w:pPr>
      <w:r>
        <w:rPr>
          <w:sz w:val="16"/>
        </w:rPr>
        <w:t>O LIBERAL. Serra Pelada reforça seg</w:t>
      </w:r>
      <w:r>
        <w:rPr>
          <w:sz w:val="16"/>
        </w:rPr>
        <w:t>urança de trabalhadores na área de escavação. In: IBRAM, 10 dez. 2010. Disponível em:</w:t>
      </w:r>
    </w:p>
    <w:p w:rsidR="00D81F69" w:rsidRDefault="00D81F69">
      <w:pPr>
        <w:spacing w:before="1" w:line="312" w:lineRule="auto"/>
        <w:ind w:left="100" w:right="238"/>
        <w:jc w:val="both"/>
        <w:rPr>
          <w:sz w:val="16"/>
        </w:rPr>
      </w:pPr>
      <w:hyperlink r:id="rId423">
        <w:r w:rsidR="00330118">
          <w:rPr>
            <w:sz w:val="16"/>
          </w:rPr>
          <w:t>&lt;http://www.ibram.org.br/150/15001002.asp?ttCD_CHAVE=128516&gt;.</w:t>
        </w:r>
      </w:hyperlink>
      <w:r w:rsidR="00330118">
        <w:rPr>
          <w:sz w:val="16"/>
        </w:rPr>
        <w:t xml:space="preserve"> Acesso em: 11 jan. 2011.</w:t>
      </w:r>
    </w:p>
    <w:p w:rsidR="00D81F69" w:rsidRDefault="00330118">
      <w:pPr>
        <w:spacing w:before="2" w:line="312" w:lineRule="auto"/>
        <w:ind w:left="100" w:right="204"/>
        <w:jc w:val="both"/>
        <w:rPr>
          <w:sz w:val="16"/>
        </w:rPr>
      </w:pPr>
      <w:r>
        <w:rPr>
          <w:sz w:val="16"/>
        </w:rPr>
        <w:t>PASCARE</w:t>
      </w:r>
      <w:r>
        <w:rPr>
          <w:sz w:val="16"/>
        </w:rPr>
        <w:t xml:space="preserve">LLI FILHO, Nelson. Revisitando Serra Pelada, In: shvoong.com, 03 maio, 2009. Disponível em: </w:t>
      </w:r>
    </w:p>
    <w:p w:rsidR="00D81F69" w:rsidRDefault="00D81F69">
      <w:pPr>
        <w:spacing w:before="2" w:line="312" w:lineRule="auto"/>
        <w:ind w:left="100" w:right="249"/>
        <w:jc w:val="both"/>
        <w:rPr>
          <w:sz w:val="16"/>
        </w:rPr>
      </w:pPr>
      <w:hyperlink r:id="rId424">
        <w:r w:rsidR="00330118">
          <w:rPr>
            <w:sz w:val="16"/>
          </w:rPr>
          <w:t>&lt;http://pt.shvoong.com/exact-sciences/earth-sciences/1894769-</w:t>
        </w:r>
      </w:hyperlink>
      <w:r w:rsidR="00330118">
        <w:rPr>
          <w:sz w:val="16"/>
        </w:rPr>
        <w:t xml:space="preserve"> revisitando-serra-pelad</w:t>
      </w:r>
      <w:r w:rsidR="00330118">
        <w:rPr>
          <w:sz w:val="16"/>
        </w:rPr>
        <w:t>a/&gt;. Acesso em: 10 jan. 2011.</w:t>
      </w:r>
    </w:p>
    <w:p w:rsidR="00D81F69" w:rsidRDefault="00330118">
      <w:pPr>
        <w:spacing w:before="1"/>
        <w:ind w:left="100"/>
        <w:jc w:val="both"/>
        <w:rPr>
          <w:sz w:val="16"/>
        </w:rPr>
      </w:pPr>
      <w:r>
        <w:rPr>
          <w:sz w:val="16"/>
        </w:rPr>
        <w:t>PORTAL ORIGINAL DESIGNER. Garimpo de Serra Pelada, 23 jun.</w:t>
      </w:r>
    </w:p>
    <w:p w:rsidR="00D81F69" w:rsidRDefault="00330118">
      <w:pPr>
        <w:tabs>
          <w:tab w:val="left" w:pos="1785"/>
          <w:tab w:val="left" w:pos="4548"/>
        </w:tabs>
        <w:spacing w:before="56"/>
        <w:ind w:left="100"/>
        <w:jc w:val="both"/>
        <w:rPr>
          <w:sz w:val="16"/>
        </w:rPr>
      </w:pPr>
      <w:r>
        <w:rPr>
          <w:sz w:val="16"/>
        </w:rPr>
        <w:t xml:space="preserve">2   0   1  </w:t>
      </w:r>
      <w:r>
        <w:rPr>
          <w:spacing w:val="35"/>
          <w:sz w:val="16"/>
        </w:rPr>
        <w:t xml:space="preserve"> </w:t>
      </w:r>
      <w:r>
        <w:rPr>
          <w:sz w:val="16"/>
        </w:rPr>
        <w:t xml:space="preserve">0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33"/>
        <w:jc w:val="both"/>
        <w:rPr>
          <w:sz w:val="16"/>
        </w:rPr>
      </w:pPr>
      <w:hyperlink r:id="rId425">
        <w:r w:rsidR="00330118">
          <w:rPr>
            <w:sz w:val="16"/>
          </w:rPr>
          <w:t>&lt;</w:t>
        </w:r>
        <w:r w:rsidR="00330118">
          <w:rPr>
            <w:sz w:val="16"/>
          </w:rPr>
          <w:t>http://www.originaldesigner.com.br/index.php/atualidades/meio-</w:t>
        </w:r>
      </w:hyperlink>
      <w:r w:rsidR="00330118">
        <w:rPr>
          <w:sz w:val="16"/>
        </w:rPr>
        <w:t xml:space="preserve"> ambiente/65-garimpo-de-serra-pelada.html&gt;. Acesso em: 11 jan. 2011.</w:t>
      </w:r>
    </w:p>
    <w:p w:rsidR="00D81F69" w:rsidRDefault="00330118">
      <w:pPr>
        <w:spacing w:before="3"/>
        <w:ind w:left="100"/>
        <w:jc w:val="both"/>
        <w:rPr>
          <w:sz w:val="16"/>
        </w:rPr>
      </w:pPr>
      <w:r>
        <w:rPr>
          <w:sz w:val="16"/>
        </w:rPr>
        <w:t>REDAÇÃO SP. Exploração de ouro em Serra Pelada recomeça no</w:t>
      </w:r>
    </w:p>
    <w:p w:rsidR="00D81F69" w:rsidRDefault="00330118">
      <w:pPr>
        <w:spacing w:before="56"/>
        <w:ind w:left="100"/>
        <w:jc w:val="both"/>
        <w:rPr>
          <w:sz w:val="16"/>
        </w:rPr>
      </w:pPr>
      <w:r>
        <w:rPr>
          <w:sz w:val="16"/>
        </w:rPr>
        <w:t>segundo semestre. Ucho.info, A Marca da Notícia. Disponível em:</w:t>
      </w:r>
    </w:p>
    <w:p w:rsidR="00D81F69" w:rsidRDefault="00D81F69">
      <w:pPr>
        <w:jc w:val="both"/>
        <w:rPr>
          <w:sz w:val="16"/>
        </w:rPr>
        <w:sectPr w:rsidR="00D81F69">
          <w:pgSz w:w="11900" w:h="16840"/>
          <w:pgMar w:top="740" w:right="460" w:bottom="620" w:left="620" w:header="0" w:footer="402" w:gutter="0"/>
          <w:cols w:num="2" w:space="720" w:equalWidth="0">
            <w:col w:w="5158" w:space="312"/>
            <w:col w:w="5350"/>
          </w:cols>
        </w:sectPr>
      </w:pPr>
    </w:p>
    <w:p w:rsidR="00D81F69" w:rsidRDefault="00D81F69">
      <w:pPr>
        <w:spacing w:before="70" w:line="312" w:lineRule="auto"/>
        <w:ind w:left="100" w:right="38"/>
        <w:jc w:val="both"/>
        <w:rPr>
          <w:sz w:val="16"/>
        </w:rPr>
      </w:pPr>
      <w:hyperlink r:id="rId426">
        <w:r w:rsidR="00330118">
          <w:rPr>
            <w:sz w:val="16"/>
          </w:rPr>
          <w:t>&lt;http://ucho.info/exploracao-de-ouro-em-serra-pelada-recomeca-na-</w:t>
        </w:r>
      </w:hyperlink>
      <w:r w:rsidR="00330118">
        <w:rPr>
          <w:sz w:val="16"/>
        </w:rPr>
        <w:t xml:space="preserve"> segundo-semestre&gt; Acesso em: 10 jan. 2011.</w:t>
      </w:r>
    </w:p>
    <w:p w:rsidR="00D81F69" w:rsidRDefault="00330118">
      <w:pPr>
        <w:spacing w:before="1" w:line="312" w:lineRule="auto"/>
        <w:ind w:left="100" w:right="38"/>
        <w:jc w:val="both"/>
        <w:rPr>
          <w:sz w:val="16"/>
        </w:rPr>
      </w:pPr>
      <w:r>
        <w:rPr>
          <w:sz w:val="16"/>
        </w:rPr>
        <w:t>VIEIRA, Mariana Antunes. Ouro e Ser</w:t>
      </w:r>
      <w:r>
        <w:rPr>
          <w:sz w:val="16"/>
        </w:rPr>
        <w:t xml:space="preserve">ra Pelada (A Corrida pelo Ouro e a problemática ambiental). Disponível em: </w:t>
      </w:r>
      <w:hyperlink r:id="rId427">
        <w:r>
          <w:rPr>
            <w:sz w:val="16"/>
          </w:rPr>
          <w:t>&lt;http://web.ccead.puc-</w:t>
        </w:r>
      </w:hyperlink>
      <w:r>
        <w:rPr>
          <w:sz w:val="16"/>
        </w:rPr>
        <w:t xml:space="preserve"> rio.br/condigital/mvsl/linha%20tempo/Ouro_Serra_Pelada/pdf_LT/LT_</w:t>
      </w:r>
    </w:p>
    <w:p w:rsidR="00D81F69" w:rsidRDefault="00330118">
      <w:pPr>
        <w:spacing w:before="70"/>
        <w:ind w:left="100"/>
        <w:rPr>
          <w:sz w:val="16"/>
        </w:rPr>
      </w:pPr>
      <w:r>
        <w:br w:type="column"/>
      </w:r>
      <w:r>
        <w:rPr>
          <w:sz w:val="16"/>
        </w:rPr>
        <w:lastRenderedPageBreak/>
        <w:t>ouro_e_serrapelada.pdf&gt;. Acesso em: 11 jan. 2011.</w:t>
      </w:r>
    </w:p>
    <w:p w:rsidR="00D81F69" w:rsidRDefault="00330118">
      <w:pPr>
        <w:tabs>
          <w:tab w:val="left" w:pos="4331"/>
        </w:tabs>
        <w:spacing w:before="56" w:line="312" w:lineRule="auto"/>
        <w:ind w:left="100" w:right="236"/>
        <w:jc w:val="both"/>
        <w:rPr>
          <w:sz w:val="16"/>
        </w:rPr>
      </w:pPr>
      <w:r>
        <w:rPr>
          <w:sz w:val="16"/>
        </w:rPr>
        <w:t>Z</w:t>
      </w:r>
      <w:r>
        <w:rPr>
          <w:sz w:val="16"/>
        </w:rPr>
        <w:t xml:space="preserve">IMMERMANN, Patrícia. Acordo entre Vale e garimpeiros viabiliza extração de ouro em Serra Pelada. In: Folha Online, 27 fev. 2007.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234"/>
        <w:jc w:val="both"/>
        <w:rPr>
          <w:sz w:val="16"/>
        </w:rPr>
      </w:pPr>
      <w:hyperlink r:id="rId428">
        <w:r w:rsidR="00330118">
          <w:rPr>
            <w:sz w:val="16"/>
          </w:rPr>
          <w:t>&lt;http://www1.folha.uol.com.br/folha/dinheiro/ult91u114747.shtml&gt;.</w:t>
        </w:r>
      </w:hyperlink>
      <w:r w:rsidR="00330118">
        <w:rPr>
          <w:sz w:val="16"/>
        </w:rPr>
        <w:t xml:space="preserve"> Acesso em: 10 jan. 2011.</w:t>
      </w:r>
    </w:p>
    <w:p w:rsidR="00D81F69" w:rsidRDefault="00D81F69">
      <w:pPr>
        <w:spacing w:line="312" w:lineRule="auto"/>
        <w:jc w:val="both"/>
        <w:rPr>
          <w:sz w:val="16"/>
        </w:rPr>
        <w:sectPr w:rsidR="00D81F69">
          <w:pgSz w:w="11900" w:h="16840"/>
          <w:pgMar w:top="740" w:right="460" w:bottom="720" w:left="620" w:header="0" w:footer="402" w:gutter="0"/>
          <w:cols w:num="2" w:space="720" w:equalWidth="0">
            <w:col w:w="5133" w:space="337"/>
            <w:col w:w="5350"/>
          </w:cols>
        </w:sectPr>
      </w:pPr>
    </w:p>
    <w:p w:rsidR="00D81F69" w:rsidRDefault="00330118">
      <w:pPr>
        <w:pStyle w:val="Heading1"/>
        <w:spacing w:line="208" w:lineRule="auto"/>
        <w:ind w:right="0"/>
      </w:pPr>
      <w:r>
        <w:lastRenderedPageBreak/>
        <w:t>Cadeia produtiva do ferro-gusa no Pará (PA) possui irregularidades</w:t>
      </w:r>
    </w:p>
    <w:p w:rsidR="00D81F69" w:rsidRDefault="00D81F69">
      <w:pPr>
        <w:pStyle w:val="Corpodetexto"/>
        <w:ind w:left="0"/>
        <w:jc w:val="left"/>
        <w:rPr>
          <w:b/>
          <w:sz w:val="20"/>
        </w:rPr>
      </w:pPr>
    </w:p>
    <w:p w:rsidR="00D81F69" w:rsidRDefault="00D81F69">
      <w:pPr>
        <w:pStyle w:val="Corpodetexto"/>
        <w:spacing w:before="7"/>
        <w:ind w:left="0"/>
        <w:jc w:val="left"/>
        <w:rPr>
          <w:b/>
          <w:sz w:val="23"/>
        </w:rPr>
      </w:pPr>
    </w:p>
    <w:p w:rsidR="00D81F69" w:rsidRDefault="00330118">
      <w:pPr>
        <w:pStyle w:val="Corpodetexto"/>
        <w:spacing w:line="20" w:lineRule="exact"/>
        <w:ind w:left="2164"/>
        <w:jc w:val="left"/>
        <w:rPr>
          <w:sz w:val="2"/>
        </w:rPr>
      </w:pPr>
      <w:r>
        <w:rPr>
          <w:noProof/>
          <w:sz w:val="2"/>
          <w:lang w:val="pt-BR" w:eastAsia="pt-BR"/>
        </w:rPr>
        <w:drawing>
          <wp:inline distT="0" distB="0" distL="0" distR="0">
            <wp:extent cx="1811385" cy="9334"/>
            <wp:effectExtent l="0" t="0" r="0" b="0"/>
            <wp:docPr id="12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D81F69">
      <w:pPr>
        <w:spacing w:line="20" w:lineRule="exact"/>
        <w:rPr>
          <w:sz w:val="2"/>
        </w:rPr>
        <w:sectPr w:rsidR="00D81F69">
          <w:pgSz w:w="11900" w:h="16840"/>
          <w:pgMar w:top="1080" w:right="460" w:bottom="620" w:left="620" w:header="0" w:footer="402" w:gutter="0"/>
          <w:cols w:space="720"/>
        </w:sectPr>
      </w:pPr>
    </w:p>
    <w:p w:rsidR="00D81F69" w:rsidRDefault="00D81F69">
      <w:pPr>
        <w:pStyle w:val="Corpodetexto"/>
        <w:ind w:left="0"/>
        <w:jc w:val="left"/>
        <w:rPr>
          <w:b/>
          <w:sz w:val="15"/>
        </w:rPr>
      </w:pPr>
    </w:p>
    <w:p w:rsidR="00D81F69" w:rsidRDefault="00330118">
      <w:pPr>
        <w:ind w:left="135"/>
        <w:rPr>
          <w:i/>
          <w:sz w:val="14"/>
        </w:rPr>
      </w:pPr>
      <w:r>
        <w:rPr>
          <w:i/>
          <w:sz w:val="14"/>
        </w:rPr>
        <w:t>MUNICÍPIOS</w:t>
      </w:r>
    </w:p>
    <w:p w:rsidR="00D81F69" w:rsidRDefault="00330118">
      <w:pPr>
        <w:spacing w:before="49" w:line="312" w:lineRule="auto"/>
        <w:ind w:left="135" w:right="38"/>
        <w:rPr>
          <w:i/>
          <w:sz w:val="14"/>
        </w:rPr>
      </w:pPr>
      <w:r>
        <w:rPr>
          <w:i/>
          <w:sz w:val="14"/>
        </w:rPr>
        <w:t>MA - Açailândia MA - Bacabeira MA - Pindaré-Mirim MA - São Luís</w:t>
      </w:r>
    </w:p>
    <w:p w:rsidR="00D81F69" w:rsidRDefault="00330118">
      <w:pPr>
        <w:spacing w:before="3"/>
        <w:ind w:left="135"/>
        <w:rPr>
          <w:i/>
          <w:sz w:val="14"/>
        </w:rPr>
      </w:pPr>
      <w:r>
        <w:rPr>
          <w:i/>
          <w:sz w:val="14"/>
        </w:rPr>
        <w:t>PA - Marabá</w:t>
      </w:r>
    </w:p>
    <w:p w:rsidR="00D81F69" w:rsidRDefault="00330118">
      <w:pPr>
        <w:spacing w:before="49"/>
        <w:ind w:left="135"/>
        <w:rPr>
          <w:i/>
          <w:sz w:val="14"/>
        </w:rPr>
      </w:pPr>
      <w:r>
        <w:rPr>
          <w:i/>
          <w:sz w:val="14"/>
        </w:rPr>
        <w:t>PA - Parauapebas</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-2,75</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-51,4</w:t>
      </w:r>
    </w:p>
    <w:p w:rsidR="00D81F69" w:rsidRDefault="00330118">
      <w:pPr>
        <w:spacing w:before="25"/>
        <w:ind w:left="135"/>
        <w:rPr>
          <w:i/>
          <w:sz w:val="18"/>
        </w:rPr>
      </w:pPr>
      <w:r>
        <w:br w:type="column"/>
      </w:r>
      <w:r>
        <w:rPr>
          <w:i/>
          <w:sz w:val="18"/>
        </w:rPr>
        <w:lastRenderedPageBreak/>
        <w:t>SÍNTESE</w:t>
      </w:r>
    </w:p>
    <w:p w:rsidR="00D81F69" w:rsidRDefault="00330118">
      <w:pPr>
        <w:spacing w:before="52" w:line="312" w:lineRule="auto"/>
        <w:ind w:left="135" w:right="38"/>
        <w:jc w:val="both"/>
        <w:rPr>
          <w:i/>
          <w:sz w:val="16"/>
        </w:rPr>
      </w:pPr>
      <w:r>
        <w:rPr>
          <w:i/>
          <w:spacing w:val="2"/>
          <w:sz w:val="16"/>
        </w:rPr>
        <w:t xml:space="preserve">As </w:t>
      </w:r>
      <w:r>
        <w:rPr>
          <w:i/>
          <w:spacing w:val="5"/>
          <w:sz w:val="16"/>
        </w:rPr>
        <w:t xml:space="preserve">empresas </w:t>
      </w:r>
      <w:r>
        <w:rPr>
          <w:i/>
          <w:spacing w:val="2"/>
          <w:sz w:val="16"/>
        </w:rPr>
        <w:t xml:space="preserve">do </w:t>
      </w:r>
      <w:r>
        <w:rPr>
          <w:i/>
          <w:spacing w:val="3"/>
          <w:sz w:val="16"/>
        </w:rPr>
        <w:t xml:space="preserve">Polo </w:t>
      </w:r>
      <w:r>
        <w:rPr>
          <w:i/>
          <w:spacing w:val="5"/>
          <w:sz w:val="16"/>
        </w:rPr>
        <w:t xml:space="preserve">Siderúrgico de </w:t>
      </w:r>
      <w:r>
        <w:rPr>
          <w:i/>
          <w:spacing w:val="3"/>
          <w:sz w:val="16"/>
        </w:rPr>
        <w:t xml:space="preserve">Carajás produzem ferro-gusa, </w:t>
      </w:r>
      <w:r>
        <w:rPr>
          <w:i/>
          <w:spacing w:val="5"/>
          <w:sz w:val="16"/>
        </w:rPr>
        <w:t xml:space="preserve">matéria </w:t>
      </w:r>
      <w:r>
        <w:rPr>
          <w:i/>
          <w:spacing w:val="8"/>
          <w:sz w:val="16"/>
        </w:rPr>
        <w:t xml:space="preserve">prima para </w:t>
      </w:r>
      <w:r>
        <w:rPr>
          <w:i/>
          <w:sz w:val="16"/>
        </w:rPr>
        <w:t xml:space="preserve">a </w:t>
      </w:r>
      <w:r>
        <w:rPr>
          <w:i/>
          <w:spacing w:val="10"/>
          <w:sz w:val="16"/>
        </w:rPr>
        <w:t xml:space="preserve">produção </w:t>
      </w:r>
      <w:r>
        <w:rPr>
          <w:i/>
          <w:spacing w:val="5"/>
          <w:sz w:val="16"/>
        </w:rPr>
        <w:t xml:space="preserve">do </w:t>
      </w:r>
      <w:r>
        <w:rPr>
          <w:i/>
          <w:spacing w:val="8"/>
          <w:sz w:val="16"/>
        </w:rPr>
        <w:t xml:space="preserve">aço. </w:t>
      </w:r>
      <w:r>
        <w:rPr>
          <w:i/>
          <w:sz w:val="16"/>
        </w:rPr>
        <w:t xml:space="preserve">A </w:t>
      </w:r>
      <w:r>
        <w:rPr>
          <w:i/>
          <w:spacing w:val="5"/>
          <w:sz w:val="16"/>
        </w:rPr>
        <w:t xml:space="preserve">atividade utiliza trabalho análogo ao </w:t>
      </w:r>
      <w:r>
        <w:rPr>
          <w:i/>
          <w:spacing w:val="3"/>
          <w:sz w:val="16"/>
        </w:rPr>
        <w:t xml:space="preserve">escravo </w:t>
      </w:r>
      <w:r>
        <w:rPr>
          <w:i/>
          <w:spacing w:val="1"/>
          <w:sz w:val="16"/>
        </w:rPr>
        <w:t xml:space="preserve">em </w:t>
      </w:r>
      <w:r>
        <w:rPr>
          <w:i/>
          <w:spacing w:val="3"/>
          <w:sz w:val="16"/>
        </w:rPr>
        <w:t xml:space="preserve">carvoarias localizadas </w:t>
      </w:r>
      <w:r>
        <w:rPr>
          <w:i/>
          <w:spacing w:val="5"/>
          <w:sz w:val="16"/>
        </w:rPr>
        <w:t xml:space="preserve">na </w:t>
      </w:r>
      <w:r>
        <w:rPr>
          <w:i/>
          <w:sz w:val="16"/>
        </w:rPr>
        <w:t>Floresta Amazônica e extração ilegal de madeira da mata nativa para produção de carvão vegetal, usado como fonte de energia térmica para produzir ferro-gusa a partir do minério de</w:t>
      </w:r>
      <w:r>
        <w:rPr>
          <w:i/>
          <w:spacing w:val="27"/>
          <w:sz w:val="16"/>
        </w:rPr>
        <w:t xml:space="preserve"> </w:t>
      </w:r>
      <w:r>
        <w:rPr>
          <w:i/>
          <w:sz w:val="16"/>
        </w:rPr>
        <w:t>f</w:t>
      </w:r>
      <w:r>
        <w:rPr>
          <w:i/>
          <w:sz w:val="16"/>
        </w:rPr>
        <w:t>erro.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2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145" w:line="312" w:lineRule="auto"/>
        <w:ind w:left="135" w:right="231"/>
      </w:pPr>
      <w:r>
        <w:br w:type="column"/>
      </w:r>
      <w:r>
        <w:lastRenderedPageBreak/>
        <w:t>Com 892 km, a EFC liga Parauapebas, no Pará, a São Luís, no Maranhão. Controlada pela Vale, a ferrovia iniciou suas atividades em 1985. A estrada de ferro, que corta 22 municípios nos dois estados, foi construída para escoar principalmente o minér</w:t>
      </w:r>
      <w:r>
        <w:t xml:space="preserve">io de ferro proveniente da maior província mineral do mundo, a Serra dos Carajás, que detém, dentre outros metais, níquel, </w:t>
      </w:r>
      <w:hyperlink r:id="rId429">
        <w:r>
          <w:t xml:space="preserve">cobre </w:t>
        </w:r>
      </w:hyperlink>
      <w:r>
        <w:t xml:space="preserve">e </w:t>
      </w:r>
      <w:hyperlink r:id="rId430">
        <w:r>
          <w:t xml:space="preserve">manganês. </w:t>
        </w:r>
      </w:hyperlink>
      <w:r>
        <w:t>Os vagões também transportam carregamentos diversos, como soja, combustível e fertilizantes até a capital maranhense, de onde são exportados para o mundo inteiro através dos portos de Itaqui</w:t>
      </w:r>
      <w:r>
        <w:t xml:space="preserve"> e Ponta da Madeira (BARROS, 2007).</w:t>
      </w:r>
    </w:p>
    <w:p w:rsidR="00D81F69" w:rsidRDefault="00D81F69">
      <w:pPr>
        <w:spacing w:line="312" w:lineRule="auto"/>
        <w:sectPr w:rsidR="00D81F69">
          <w:type w:val="continuous"/>
          <w:pgSz w:w="11900" w:h="16840"/>
          <w:pgMar w:top="720" w:right="460" w:bottom="280" w:left="620" w:header="720" w:footer="720" w:gutter="0"/>
          <w:cols w:num="3" w:space="720" w:equalWidth="0">
            <w:col w:w="1381" w:space="619"/>
            <w:col w:w="3104" w:space="331"/>
            <w:col w:w="5385"/>
          </w:cols>
        </w:sectPr>
      </w:pPr>
    </w:p>
    <w:p w:rsidR="00D81F69" w:rsidRDefault="00330118">
      <w:pPr>
        <w:pStyle w:val="Heading4"/>
        <w:spacing w:before="24"/>
      </w:pPr>
      <w:r>
        <w:lastRenderedPageBreak/>
        <w:t>APRESENTAÇÃO DE CASO</w:t>
      </w:r>
    </w:p>
    <w:p w:rsidR="00D81F69" w:rsidRDefault="00330118">
      <w:pPr>
        <w:pStyle w:val="Corpodetexto"/>
        <w:spacing w:before="171" w:line="312" w:lineRule="auto"/>
        <w:ind w:right="38"/>
      </w:pPr>
      <w:r>
        <w:rPr>
          <w:spacing w:val="1"/>
        </w:rPr>
        <w:t xml:space="preserve">Antes </w:t>
      </w:r>
      <w:r>
        <w:t xml:space="preserve">de </w:t>
      </w:r>
      <w:r>
        <w:rPr>
          <w:spacing w:val="1"/>
        </w:rPr>
        <w:t xml:space="preserve">virar aço, </w:t>
      </w:r>
      <w:r>
        <w:t xml:space="preserve">a </w:t>
      </w:r>
      <w:r>
        <w:rPr>
          <w:spacing w:val="1"/>
        </w:rPr>
        <w:t xml:space="preserve">maior parte </w:t>
      </w:r>
      <w:r>
        <w:t xml:space="preserve">dos </w:t>
      </w:r>
      <w:r>
        <w:rPr>
          <w:spacing w:val="1"/>
        </w:rPr>
        <w:t xml:space="preserve">compostos </w:t>
      </w:r>
      <w:r>
        <w:rPr>
          <w:spacing w:val="2"/>
        </w:rPr>
        <w:t xml:space="preserve">ferríferos </w:t>
      </w:r>
      <w:r>
        <w:t xml:space="preserve">tem de ser transformada em ferro-gusa (ferro primário). Esse </w:t>
      </w:r>
      <w:r>
        <w:rPr>
          <w:spacing w:val="1"/>
        </w:rPr>
        <w:t xml:space="preserve">processo </w:t>
      </w:r>
      <w:r>
        <w:t xml:space="preserve">de </w:t>
      </w:r>
      <w:r>
        <w:rPr>
          <w:spacing w:val="1"/>
        </w:rPr>
        <w:t xml:space="preserve">produção pode </w:t>
      </w:r>
      <w:r>
        <w:t xml:space="preserve">ser </w:t>
      </w:r>
      <w:r>
        <w:rPr>
          <w:spacing w:val="1"/>
        </w:rPr>
        <w:t xml:space="preserve">feito </w:t>
      </w:r>
      <w:r>
        <w:t xml:space="preserve">de </w:t>
      </w:r>
      <w:r>
        <w:rPr>
          <w:spacing w:val="1"/>
        </w:rPr>
        <w:t>diferent</w:t>
      </w:r>
      <w:r>
        <w:rPr>
          <w:spacing w:val="1"/>
        </w:rPr>
        <w:t xml:space="preserve">es </w:t>
      </w:r>
      <w:r>
        <w:rPr>
          <w:spacing w:val="2"/>
        </w:rPr>
        <w:t xml:space="preserve">formas: </w:t>
      </w:r>
      <w:r>
        <w:t xml:space="preserve">redução em alto-fornos, em fornos elétricos em leito fluidizado ou em </w:t>
      </w:r>
      <w:r>
        <w:rPr>
          <w:spacing w:val="1"/>
        </w:rPr>
        <w:t xml:space="preserve">fornos rotativos. </w:t>
      </w:r>
      <w:r>
        <w:t xml:space="preserve">A </w:t>
      </w:r>
      <w:r>
        <w:rPr>
          <w:spacing w:val="1"/>
        </w:rPr>
        <w:t xml:space="preserve">redução </w:t>
      </w:r>
      <w:r>
        <w:t xml:space="preserve">em </w:t>
      </w:r>
      <w:r>
        <w:rPr>
          <w:spacing w:val="1"/>
        </w:rPr>
        <w:t xml:space="preserve">alto-fornos </w:t>
      </w:r>
      <w:r>
        <w:t xml:space="preserve">é a </w:t>
      </w:r>
      <w:r>
        <w:rPr>
          <w:spacing w:val="2"/>
        </w:rPr>
        <w:t xml:space="preserve">mais </w:t>
      </w:r>
      <w:r>
        <w:t>utilizada em todo o mundo, sendo que algumas usinas usam  o coque mineral como redutor, enquanto outras se valem do carvão vegetal (MONTEIRO,</w:t>
      </w:r>
      <w:r>
        <w:rPr>
          <w:spacing w:val="33"/>
        </w:rPr>
        <w:t xml:space="preserve"> </w:t>
      </w:r>
      <w:r>
        <w:t>2004).</w:t>
      </w:r>
    </w:p>
    <w:p w:rsidR="00D81F69" w:rsidRDefault="00330118">
      <w:pPr>
        <w:pStyle w:val="Corpodetexto"/>
        <w:spacing w:before="137" w:line="312" w:lineRule="auto"/>
        <w:ind w:right="48"/>
      </w:pPr>
      <w:r>
        <w:t xml:space="preserve">O </w:t>
      </w:r>
      <w:hyperlink r:id="rId431">
        <w:r>
          <w:t xml:space="preserve">ferro </w:t>
        </w:r>
      </w:hyperlink>
      <w:r>
        <w:t>obtido no</w:t>
      </w:r>
      <w:r>
        <w:t xml:space="preserve">s alto-fornos pode ser de dois tipos: gusa de aciaria, que é utilizado como matéria prima para produção do aço, e gusa de fundição, que apresenta teor de silício 2% a 3% </w:t>
      </w:r>
      <w:r>
        <w:rPr>
          <w:spacing w:val="1"/>
        </w:rPr>
        <w:t xml:space="preserve">superior </w:t>
      </w:r>
      <w:r>
        <w:t xml:space="preserve">ao </w:t>
      </w:r>
      <w:r>
        <w:rPr>
          <w:spacing w:val="1"/>
        </w:rPr>
        <w:t xml:space="preserve">gusa </w:t>
      </w:r>
      <w:r>
        <w:t xml:space="preserve">de </w:t>
      </w:r>
      <w:r>
        <w:rPr>
          <w:spacing w:val="1"/>
        </w:rPr>
        <w:t xml:space="preserve">aciaria </w:t>
      </w:r>
      <w:r>
        <w:t xml:space="preserve">e é </w:t>
      </w:r>
      <w:r>
        <w:rPr>
          <w:spacing w:val="1"/>
        </w:rPr>
        <w:t xml:space="preserve">usado </w:t>
      </w:r>
      <w:r>
        <w:t xml:space="preserve">na </w:t>
      </w:r>
      <w:r>
        <w:rPr>
          <w:spacing w:val="1"/>
        </w:rPr>
        <w:t xml:space="preserve">produção </w:t>
      </w:r>
      <w:r>
        <w:rPr>
          <w:spacing w:val="2"/>
        </w:rPr>
        <w:t xml:space="preserve">de </w:t>
      </w:r>
      <w:r>
        <w:rPr>
          <w:spacing w:val="10"/>
        </w:rPr>
        <w:t xml:space="preserve">peças </w:t>
      </w:r>
      <w:r>
        <w:rPr>
          <w:spacing w:val="8"/>
        </w:rPr>
        <w:t xml:space="preserve">para </w:t>
      </w:r>
      <w:r>
        <w:rPr>
          <w:spacing w:val="5"/>
        </w:rPr>
        <w:t xml:space="preserve">as </w:t>
      </w:r>
      <w:r>
        <w:rPr>
          <w:spacing w:val="10"/>
        </w:rPr>
        <w:t xml:space="preserve">indústrias </w:t>
      </w:r>
      <w:r>
        <w:rPr>
          <w:spacing w:val="11"/>
        </w:rPr>
        <w:t>automobi</w:t>
      </w:r>
      <w:r>
        <w:rPr>
          <w:spacing w:val="11"/>
        </w:rPr>
        <w:t xml:space="preserve">lística </w:t>
      </w:r>
      <w:r>
        <w:t xml:space="preserve">e </w:t>
      </w:r>
      <w:r>
        <w:rPr>
          <w:spacing w:val="12"/>
        </w:rPr>
        <w:t xml:space="preserve">agrícola </w:t>
      </w:r>
      <w:r>
        <w:t xml:space="preserve">(FERREIRA et al., 2006). Da mesma forma, existem dois tipos </w:t>
      </w:r>
      <w:r>
        <w:rPr>
          <w:spacing w:val="1"/>
        </w:rPr>
        <w:t xml:space="preserve">de </w:t>
      </w:r>
      <w:r>
        <w:rPr>
          <w:spacing w:val="3"/>
        </w:rPr>
        <w:t xml:space="preserve">siderúrgicas: independentes, </w:t>
      </w:r>
      <w:r>
        <w:rPr>
          <w:spacing w:val="2"/>
        </w:rPr>
        <w:t xml:space="preserve">que </w:t>
      </w:r>
      <w:r>
        <w:rPr>
          <w:spacing w:val="1"/>
        </w:rPr>
        <w:t xml:space="preserve">se </w:t>
      </w:r>
      <w:r>
        <w:rPr>
          <w:spacing w:val="3"/>
        </w:rPr>
        <w:t xml:space="preserve">caracterizam </w:t>
      </w:r>
      <w:r>
        <w:rPr>
          <w:spacing w:val="5"/>
        </w:rPr>
        <w:t xml:space="preserve">pelo </w:t>
      </w:r>
      <w:r>
        <w:rPr>
          <w:spacing w:val="3"/>
        </w:rPr>
        <w:t xml:space="preserve">pequeno porte </w:t>
      </w:r>
      <w:r>
        <w:t xml:space="preserve">e </w:t>
      </w:r>
      <w:r>
        <w:rPr>
          <w:spacing w:val="3"/>
        </w:rPr>
        <w:t xml:space="preserve">dedicam-se apenas </w:t>
      </w:r>
      <w:r>
        <w:t xml:space="preserve">à </w:t>
      </w:r>
      <w:r>
        <w:rPr>
          <w:spacing w:val="3"/>
        </w:rPr>
        <w:t xml:space="preserve">produção </w:t>
      </w:r>
      <w:r>
        <w:rPr>
          <w:spacing w:val="1"/>
        </w:rPr>
        <w:t xml:space="preserve">do </w:t>
      </w:r>
      <w:r>
        <w:rPr>
          <w:spacing w:val="5"/>
        </w:rPr>
        <w:t xml:space="preserve">ferro- </w:t>
      </w:r>
      <w:r>
        <w:rPr>
          <w:spacing w:val="7"/>
        </w:rPr>
        <w:t xml:space="preserve">gusa, </w:t>
      </w:r>
      <w:r>
        <w:rPr>
          <w:spacing w:val="5"/>
        </w:rPr>
        <w:t xml:space="preserve">ou </w:t>
      </w:r>
      <w:r>
        <w:rPr>
          <w:spacing w:val="8"/>
        </w:rPr>
        <w:t xml:space="preserve">integradas, </w:t>
      </w:r>
      <w:r>
        <w:rPr>
          <w:spacing w:val="5"/>
        </w:rPr>
        <w:t xml:space="preserve">que se </w:t>
      </w:r>
      <w:r>
        <w:rPr>
          <w:spacing w:val="7"/>
        </w:rPr>
        <w:t xml:space="preserve">dedicam </w:t>
      </w:r>
      <w:r>
        <w:t xml:space="preserve">à </w:t>
      </w:r>
      <w:r>
        <w:rPr>
          <w:spacing w:val="8"/>
        </w:rPr>
        <w:t xml:space="preserve">fabricação </w:t>
      </w:r>
      <w:r>
        <w:rPr>
          <w:spacing w:val="10"/>
        </w:rPr>
        <w:t xml:space="preserve">de </w:t>
      </w:r>
      <w:r>
        <w:t>diferentes pr</w:t>
      </w:r>
      <w:r>
        <w:t>odutos de aço, numa elevada escala de produção (MONTEIRO, 2004).</w:t>
      </w:r>
    </w:p>
    <w:p w:rsidR="00D81F69" w:rsidRDefault="00330118">
      <w:pPr>
        <w:pStyle w:val="Corpodetexto"/>
        <w:spacing w:before="140" w:line="312" w:lineRule="auto"/>
        <w:ind w:right="40"/>
      </w:pPr>
      <w:r>
        <w:t xml:space="preserve">A Amazônia brasileira produz o melhor ferro-gusa do mundo, </w:t>
      </w:r>
      <w:r>
        <w:rPr>
          <w:spacing w:val="3"/>
        </w:rPr>
        <w:t xml:space="preserve">usado principalmente </w:t>
      </w:r>
      <w:r>
        <w:rPr>
          <w:spacing w:val="1"/>
        </w:rPr>
        <w:t xml:space="preserve">na </w:t>
      </w:r>
      <w:r>
        <w:rPr>
          <w:spacing w:val="3"/>
        </w:rPr>
        <w:t xml:space="preserve">fabricação </w:t>
      </w:r>
      <w:r>
        <w:rPr>
          <w:spacing w:val="1"/>
        </w:rPr>
        <w:t xml:space="preserve">de </w:t>
      </w:r>
      <w:r>
        <w:rPr>
          <w:spacing w:val="3"/>
        </w:rPr>
        <w:t xml:space="preserve">peças </w:t>
      </w:r>
      <w:r>
        <w:rPr>
          <w:spacing w:val="5"/>
        </w:rPr>
        <w:t xml:space="preserve">automotivas </w:t>
      </w:r>
      <w:r>
        <w:t>(VERAS; CASARA, 2004). A maior parte das siderúrgicas da região é independen</w:t>
      </w:r>
      <w:r>
        <w:t xml:space="preserve">te e utiliza o carvão vegetal como redutor (MONTEIRO, 2004). A produção, contudo, tem tido na base de sua cadeia de valor o trabalho análogo ao escravo, </w:t>
      </w:r>
      <w:r>
        <w:rPr>
          <w:spacing w:val="1"/>
        </w:rPr>
        <w:t xml:space="preserve">que </w:t>
      </w:r>
      <w:r>
        <w:t>acontece em carvoarias localizadas na Floresta Amazônica, e a extração ilegal de madeira da mata na</w:t>
      </w:r>
      <w:r>
        <w:t>tiva, para produção  de carvão vegetal (VERAS; CASARA,</w:t>
      </w:r>
      <w:r>
        <w:rPr>
          <w:spacing w:val="25"/>
        </w:rPr>
        <w:t xml:space="preserve"> </w:t>
      </w:r>
      <w:r>
        <w:t>2004).</w:t>
      </w:r>
    </w:p>
    <w:p w:rsidR="00D81F69" w:rsidRDefault="00330118">
      <w:pPr>
        <w:pStyle w:val="Corpodetexto"/>
        <w:spacing w:before="75" w:line="270" w:lineRule="atLeast"/>
        <w:ind w:right="39"/>
      </w:pPr>
      <w:r>
        <w:t>Nas últimas décadas, diversas siderúrgicas que se dedicam à produção de ferro-gusa instalaram-se na Amazônia Oriental brasileira. A implantação destas indústrias foi impulsionada, nos anos 1980,</w:t>
      </w:r>
      <w:r>
        <w:t xml:space="preserve"> por políticas de incentivo fiscal e creditício implementadas pelo extinto Programa Grande Carajás (PGC). Os planos estatais do período previam o surgimento de um complexo industrial no corredor da Estrada de Ferro Carajás (EFC) (MONTEIRO, 2004; MONTEIRO, </w:t>
      </w:r>
      <w:r>
        <w:t>2006).</w:t>
      </w:r>
    </w:p>
    <w:p w:rsidR="00D81F69" w:rsidRDefault="00330118">
      <w:pPr>
        <w:pStyle w:val="Corpodetexto"/>
        <w:spacing w:before="141" w:line="312" w:lineRule="auto"/>
        <w:ind w:right="232"/>
      </w:pPr>
      <w:r>
        <w:br w:type="column"/>
      </w:r>
      <w:r>
        <w:lastRenderedPageBreak/>
        <w:t xml:space="preserve">O Polo Siderúrgico de Carajás estende-se ao longo da EFC.  A </w:t>
      </w:r>
      <w:r>
        <w:rPr>
          <w:spacing w:val="3"/>
        </w:rPr>
        <w:t xml:space="preserve">maioria </w:t>
      </w:r>
      <w:r>
        <w:rPr>
          <w:spacing w:val="2"/>
        </w:rPr>
        <w:t xml:space="preserve">das </w:t>
      </w:r>
      <w:r>
        <w:rPr>
          <w:spacing w:val="3"/>
        </w:rPr>
        <w:t xml:space="preserve">siderúrgicas </w:t>
      </w:r>
      <w:r>
        <w:rPr>
          <w:spacing w:val="2"/>
        </w:rPr>
        <w:t xml:space="preserve">fica </w:t>
      </w:r>
      <w:r>
        <w:rPr>
          <w:spacing w:val="1"/>
        </w:rPr>
        <w:t xml:space="preserve">em </w:t>
      </w:r>
      <w:r>
        <w:rPr>
          <w:spacing w:val="3"/>
        </w:rPr>
        <w:t xml:space="preserve">Marabá, </w:t>
      </w:r>
      <w:r>
        <w:rPr>
          <w:spacing w:val="1"/>
        </w:rPr>
        <w:t xml:space="preserve">no </w:t>
      </w:r>
      <w:r>
        <w:rPr>
          <w:spacing w:val="3"/>
        </w:rPr>
        <w:t xml:space="preserve">Pará, </w:t>
      </w:r>
      <w:r>
        <w:t xml:space="preserve">e </w:t>
      </w:r>
      <w:r>
        <w:rPr>
          <w:spacing w:val="5"/>
        </w:rPr>
        <w:t xml:space="preserve">as outras </w:t>
      </w:r>
      <w:r>
        <w:rPr>
          <w:spacing w:val="3"/>
        </w:rPr>
        <w:t xml:space="preserve">se </w:t>
      </w:r>
      <w:r>
        <w:rPr>
          <w:spacing w:val="6"/>
        </w:rPr>
        <w:t xml:space="preserve">encontram </w:t>
      </w:r>
      <w:r>
        <w:rPr>
          <w:spacing w:val="3"/>
        </w:rPr>
        <w:t xml:space="preserve">no </w:t>
      </w:r>
      <w:r>
        <w:rPr>
          <w:spacing w:val="6"/>
        </w:rPr>
        <w:t xml:space="preserve">Maranhão, </w:t>
      </w:r>
      <w:r>
        <w:rPr>
          <w:spacing w:val="5"/>
        </w:rPr>
        <w:t xml:space="preserve">das quais cinco </w:t>
      </w:r>
      <w:r>
        <w:rPr>
          <w:spacing w:val="7"/>
        </w:rPr>
        <w:t xml:space="preserve">no </w:t>
      </w:r>
      <w:r>
        <w:rPr>
          <w:spacing w:val="5"/>
        </w:rPr>
        <w:t xml:space="preserve">Pequiá, distrito </w:t>
      </w:r>
      <w:r>
        <w:rPr>
          <w:spacing w:val="2"/>
        </w:rPr>
        <w:t xml:space="preserve">de </w:t>
      </w:r>
      <w:r>
        <w:rPr>
          <w:spacing w:val="5"/>
        </w:rPr>
        <w:t xml:space="preserve">Açailândia (BARROS, 2007), </w:t>
      </w:r>
      <w:r>
        <w:rPr>
          <w:spacing w:val="3"/>
        </w:rPr>
        <w:t xml:space="preserve">uma </w:t>
      </w:r>
      <w:r>
        <w:rPr>
          <w:spacing w:val="5"/>
        </w:rPr>
        <w:t xml:space="preserve">em </w:t>
      </w:r>
      <w:r>
        <w:rPr>
          <w:spacing w:val="1"/>
        </w:rPr>
        <w:t xml:space="preserve">Pindaré Mirim, </w:t>
      </w:r>
      <w:r>
        <w:t xml:space="preserve">e </w:t>
      </w:r>
      <w:r>
        <w:rPr>
          <w:spacing w:val="1"/>
        </w:rPr>
        <w:t xml:space="preserve">outra, </w:t>
      </w:r>
      <w:r>
        <w:t xml:space="preserve">em </w:t>
      </w:r>
      <w:r>
        <w:rPr>
          <w:spacing w:val="1"/>
        </w:rPr>
        <w:t xml:space="preserve">Bacabeira (MONTEIRO, </w:t>
      </w:r>
      <w:r>
        <w:rPr>
          <w:spacing w:val="2"/>
        </w:rPr>
        <w:t xml:space="preserve">2004). </w:t>
      </w:r>
      <w:r>
        <w:t>Essas indústrias utilizam a linha de trem tanto para receber seu principal insumo, o minério de ferro, quanto para escoar o ferro-gusa até São Luís (BARROS,</w:t>
      </w:r>
      <w:r>
        <w:rPr>
          <w:spacing w:val="3"/>
        </w:rPr>
        <w:t xml:space="preserve"> </w:t>
      </w:r>
      <w:r>
        <w:t>2007).</w:t>
      </w:r>
    </w:p>
    <w:p w:rsidR="00D81F69" w:rsidRDefault="00330118">
      <w:pPr>
        <w:pStyle w:val="Corpodetexto"/>
        <w:spacing w:before="137" w:line="312" w:lineRule="auto"/>
        <w:ind w:right="226"/>
        <w:jc w:val="left"/>
      </w:pPr>
      <w:r>
        <w:t xml:space="preserve">Com 15.128 km² e 233.462 habitantes (IBGE, 2010a), Marabá se </w:t>
      </w:r>
      <w:r>
        <w:t xml:space="preserve">localiza no Sudeste paraense, distando 485 km de Belém. O município vivenciou vários ciclos econômicos, e hoje é o </w:t>
      </w:r>
      <w:r>
        <w:rPr>
          <w:spacing w:val="3"/>
        </w:rPr>
        <w:t xml:space="preserve">centro econômico-administrativo </w:t>
      </w:r>
      <w:r>
        <w:rPr>
          <w:spacing w:val="1"/>
        </w:rPr>
        <w:t xml:space="preserve">de </w:t>
      </w:r>
      <w:r>
        <w:rPr>
          <w:spacing w:val="2"/>
        </w:rPr>
        <w:t xml:space="preserve">uma </w:t>
      </w:r>
      <w:r>
        <w:rPr>
          <w:spacing w:val="3"/>
        </w:rPr>
        <w:t xml:space="preserve">vasta região </w:t>
      </w:r>
      <w:r>
        <w:rPr>
          <w:spacing w:val="5"/>
        </w:rPr>
        <w:t xml:space="preserve">da </w:t>
      </w:r>
      <w:r>
        <w:t xml:space="preserve">“fronteira agrícola amazônica”, além de contar com mais de 200 </w:t>
      </w:r>
      <w:r>
        <w:rPr>
          <w:spacing w:val="1"/>
        </w:rPr>
        <w:t xml:space="preserve">indústrias, sendo </w:t>
      </w:r>
      <w:r>
        <w:t xml:space="preserve">a </w:t>
      </w:r>
      <w:r>
        <w:rPr>
          <w:spacing w:val="1"/>
        </w:rPr>
        <w:t>sid</w:t>
      </w:r>
      <w:r>
        <w:rPr>
          <w:spacing w:val="1"/>
        </w:rPr>
        <w:t xml:space="preserve">erurgia </w:t>
      </w:r>
      <w:r>
        <w:t xml:space="preserve">e as </w:t>
      </w:r>
      <w:r>
        <w:rPr>
          <w:spacing w:val="1"/>
        </w:rPr>
        <w:t xml:space="preserve">indústrias </w:t>
      </w:r>
      <w:r>
        <w:t xml:space="preserve">de </w:t>
      </w:r>
      <w:r>
        <w:rPr>
          <w:spacing w:val="2"/>
        </w:rPr>
        <w:t xml:space="preserve">ferro- gusa </w:t>
      </w:r>
      <w:r>
        <w:rPr>
          <w:spacing w:val="1"/>
        </w:rPr>
        <w:t xml:space="preserve">as </w:t>
      </w:r>
      <w:r>
        <w:rPr>
          <w:spacing w:val="2"/>
        </w:rPr>
        <w:t xml:space="preserve">mais </w:t>
      </w:r>
      <w:r>
        <w:rPr>
          <w:spacing w:val="3"/>
        </w:rPr>
        <w:t xml:space="preserve">importantes (PREFEITURA MUNICIPAL </w:t>
      </w:r>
      <w:r>
        <w:rPr>
          <w:spacing w:val="5"/>
        </w:rPr>
        <w:t xml:space="preserve">DE </w:t>
      </w:r>
      <w:r>
        <w:rPr>
          <w:spacing w:val="3"/>
        </w:rPr>
        <w:t>MARABÁ,</w:t>
      </w:r>
      <w:r>
        <w:rPr>
          <w:spacing w:val="25"/>
        </w:rPr>
        <w:t xml:space="preserve"> </w:t>
      </w:r>
      <w:r>
        <w:rPr>
          <w:spacing w:val="5"/>
        </w:rPr>
        <w:t>2010).</w:t>
      </w:r>
    </w:p>
    <w:p w:rsidR="00D81F69" w:rsidRDefault="00330118">
      <w:pPr>
        <w:pStyle w:val="Corpodetexto"/>
        <w:spacing w:before="137" w:line="312" w:lineRule="auto"/>
        <w:ind w:right="230"/>
      </w:pPr>
      <w:r>
        <w:t xml:space="preserve">Toda a área do Distrito Industrial (DI) de Marabá, implantado em 1987, a 6 km da sede urbana do município, está sendo </w:t>
      </w:r>
      <w:r>
        <w:rPr>
          <w:spacing w:val="6"/>
        </w:rPr>
        <w:t xml:space="preserve">ampliada </w:t>
      </w:r>
      <w:r>
        <w:t xml:space="preserve">e </w:t>
      </w:r>
      <w:r>
        <w:rPr>
          <w:spacing w:val="6"/>
        </w:rPr>
        <w:t xml:space="preserve">revitalizada. </w:t>
      </w:r>
      <w:r>
        <w:t xml:space="preserve">A </w:t>
      </w:r>
      <w:r>
        <w:rPr>
          <w:spacing w:val="6"/>
        </w:rPr>
        <w:t xml:space="preserve">primeira </w:t>
      </w:r>
      <w:r>
        <w:rPr>
          <w:spacing w:val="5"/>
        </w:rPr>
        <w:t>fas</w:t>
      </w:r>
      <w:r>
        <w:rPr>
          <w:spacing w:val="5"/>
        </w:rPr>
        <w:t xml:space="preserve">e das obras </w:t>
      </w:r>
      <w:r>
        <w:rPr>
          <w:spacing w:val="7"/>
        </w:rPr>
        <w:t xml:space="preserve">vai </w:t>
      </w:r>
      <w:r>
        <w:t xml:space="preserve">contemplar as 11 siderúrgicas que já estão instaladas no DI. Em abril de 2010, começaram as obras da segunda fase, que </w:t>
      </w:r>
      <w:r>
        <w:rPr>
          <w:spacing w:val="3"/>
        </w:rPr>
        <w:t xml:space="preserve">compreende </w:t>
      </w:r>
      <w:r>
        <w:t xml:space="preserve">a </w:t>
      </w:r>
      <w:r>
        <w:rPr>
          <w:spacing w:val="3"/>
        </w:rPr>
        <w:t xml:space="preserve">ampliação </w:t>
      </w:r>
      <w:r>
        <w:rPr>
          <w:spacing w:val="1"/>
        </w:rPr>
        <w:t xml:space="preserve">do </w:t>
      </w:r>
      <w:r>
        <w:rPr>
          <w:spacing w:val="3"/>
        </w:rPr>
        <w:t xml:space="preserve">distrito </w:t>
      </w:r>
      <w:r>
        <w:rPr>
          <w:spacing w:val="1"/>
        </w:rPr>
        <w:t xml:space="preserve">em </w:t>
      </w:r>
      <w:r>
        <w:rPr>
          <w:spacing w:val="2"/>
        </w:rPr>
        <w:t xml:space="preserve">1,1 mil </w:t>
      </w:r>
      <w:r>
        <w:rPr>
          <w:spacing w:val="5"/>
        </w:rPr>
        <w:t xml:space="preserve">hectares. </w:t>
      </w:r>
      <w:r>
        <w:rPr>
          <w:spacing w:val="3"/>
        </w:rPr>
        <w:t xml:space="preserve">Nesta área, serão </w:t>
      </w:r>
      <w:r>
        <w:rPr>
          <w:spacing w:val="5"/>
        </w:rPr>
        <w:t xml:space="preserve">abertos </w:t>
      </w:r>
      <w:r>
        <w:rPr>
          <w:spacing w:val="3"/>
        </w:rPr>
        <w:t xml:space="preserve">cerca </w:t>
      </w:r>
      <w:r>
        <w:rPr>
          <w:spacing w:val="2"/>
        </w:rPr>
        <w:t xml:space="preserve">de </w:t>
      </w:r>
      <w:r>
        <w:rPr>
          <w:spacing w:val="3"/>
        </w:rPr>
        <w:t xml:space="preserve">150 lotes </w:t>
      </w:r>
      <w:r>
        <w:rPr>
          <w:spacing w:val="5"/>
        </w:rPr>
        <w:t xml:space="preserve">industriais </w:t>
      </w:r>
      <w:r>
        <w:rPr>
          <w:spacing w:val="3"/>
        </w:rPr>
        <w:t>destinad</w:t>
      </w:r>
      <w:r>
        <w:rPr>
          <w:spacing w:val="3"/>
        </w:rPr>
        <w:t xml:space="preserve">os </w:t>
      </w:r>
      <w:r>
        <w:t xml:space="preserve">a </w:t>
      </w:r>
      <w:r>
        <w:rPr>
          <w:spacing w:val="3"/>
        </w:rPr>
        <w:t xml:space="preserve">diversos segmentos produtivos, </w:t>
      </w:r>
      <w:r>
        <w:rPr>
          <w:spacing w:val="2"/>
        </w:rPr>
        <w:t xml:space="preserve">como </w:t>
      </w:r>
      <w:r>
        <w:rPr>
          <w:spacing w:val="5"/>
        </w:rPr>
        <w:t xml:space="preserve">fibras </w:t>
      </w:r>
      <w:r>
        <w:rPr>
          <w:spacing w:val="1"/>
        </w:rPr>
        <w:t xml:space="preserve">ópticas, indústria metal-mecânica, movelaria, derivados </w:t>
      </w:r>
      <w:r>
        <w:rPr>
          <w:spacing w:val="2"/>
        </w:rPr>
        <w:t xml:space="preserve">de </w:t>
      </w:r>
      <w:r>
        <w:t xml:space="preserve">petróleo entre outros. A última etapa das obras de ampliação </w:t>
      </w:r>
      <w:r>
        <w:rPr>
          <w:spacing w:val="2"/>
        </w:rPr>
        <w:t xml:space="preserve">do DI </w:t>
      </w:r>
      <w:r>
        <w:rPr>
          <w:spacing w:val="3"/>
        </w:rPr>
        <w:t xml:space="preserve">vai </w:t>
      </w:r>
      <w:r>
        <w:rPr>
          <w:spacing w:val="5"/>
        </w:rPr>
        <w:t xml:space="preserve">contemplar </w:t>
      </w:r>
      <w:r>
        <w:rPr>
          <w:spacing w:val="2"/>
        </w:rPr>
        <w:t xml:space="preserve">as </w:t>
      </w:r>
      <w:r>
        <w:rPr>
          <w:spacing w:val="5"/>
        </w:rPr>
        <w:t xml:space="preserve">atividades </w:t>
      </w:r>
      <w:r>
        <w:rPr>
          <w:spacing w:val="2"/>
        </w:rPr>
        <w:t xml:space="preserve">da </w:t>
      </w:r>
      <w:r>
        <w:rPr>
          <w:spacing w:val="5"/>
        </w:rPr>
        <w:t>Siderúrgica Aços</w:t>
      </w:r>
      <w:r>
        <w:rPr>
          <w:spacing w:val="61"/>
        </w:rPr>
        <w:t xml:space="preserve"> </w:t>
      </w:r>
      <w:r>
        <w:t>Laminados do Pará (Alpa), da Vale</w:t>
      </w:r>
      <w:r>
        <w:t>, prevista para entrar em operação em 2013. Outros empreendimentos de produção de gusa, aciaria e indústria metal-mecânica também deverão ser implantados na área (AGÊNCIA PARÁ DE NOTÍCIAS, 2010).</w:t>
      </w:r>
    </w:p>
    <w:p w:rsidR="00D81F69" w:rsidRDefault="00330118">
      <w:pPr>
        <w:pStyle w:val="Corpodetexto"/>
        <w:spacing w:before="144" w:line="312" w:lineRule="auto"/>
        <w:ind w:right="176"/>
        <w:jc w:val="left"/>
      </w:pPr>
      <w:r>
        <w:rPr>
          <w:spacing w:val="1"/>
        </w:rPr>
        <w:t xml:space="preserve">Já </w:t>
      </w:r>
      <w:r>
        <w:rPr>
          <w:spacing w:val="3"/>
        </w:rPr>
        <w:t xml:space="preserve">Açailândia, </w:t>
      </w:r>
      <w:r>
        <w:rPr>
          <w:spacing w:val="2"/>
        </w:rPr>
        <w:t xml:space="preserve">com </w:t>
      </w:r>
      <w:r>
        <w:rPr>
          <w:spacing w:val="3"/>
        </w:rPr>
        <w:t xml:space="preserve">5.806 </w:t>
      </w:r>
      <w:r>
        <w:rPr>
          <w:spacing w:val="2"/>
        </w:rPr>
        <w:t xml:space="preserve">km² </w:t>
      </w:r>
      <w:r>
        <w:t xml:space="preserve">e </w:t>
      </w:r>
      <w:r>
        <w:rPr>
          <w:spacing w:val="3"/>
        </w:rPr>
        <w:t xml:space="preserve">104.013 habitantes </w:t>
      </w:r>
      <w:r>
        <w:rPr>
          <w:spacing w:val="5"/>
        </w:rPr>
        <w:t xml:space="preserve">(IBGE, </w:t>
      </w:r>
      <w:r>
        <w:t xml:space="preserve">2010b), fica a 445 km de São Luís, no oeste do Maranhão. Com a queda da indústria madeireira, a siderurgia tem sido o </w:t>
      </w:r>
      <w:r>
        <w:rPr>
          <w:spacing w:val="3"/>
        </w:rPr>
        <w:t xml:space="preserve">setor </w:t>
      </w:r>
      <w:r>
        <w:rPr>
          <w:spacing w:val="2"/>
        </w:rPr>
        <w:t xml:space="preserve">que mais gera </w:t>
      </w:r>
      <w:r>
        <w:rPr>
          <w:spacing w:val="3"/>
        </w:rPr>
        <w:t xml:space="preserve">emprego </w:t>
      </w:r>
      <w:r>
        <w:t xml:space="preserve">e </w:t>
      </w:r>
      <w:r>
        <w:rPr>
          <w:spacing w:val="3"/>
        </w:rPr>
        <w:t xml:space="preserve">divisas </w:t>
      </w:r>
      <w:r>
        <w:rPr>
          <w:spacing w:val="2"/>
        </w:rPr>
        <w:t xml:space="preserve">para </w:t>
      </w:r>
      <w:r>
        <w:t xml:space="preserve">o </w:t>
      </w:r>
      <w:r>
        <w:rPr>
          <w:spacing w:val="5"/>
        </w:rPr>
        <w:t xml:space="preserve">município </w:t>
      </w:r>
      <w:r>
        <w:t>(PREFEITURA</w:t>
      </w:r>
      <w:r>
        <w:rPr>
          <w:spacing w:val="20"/>
        </w:rPr>
        <w:t xml:space="preserve"> </w:t>
      </w:r>
      <w:r>
        <w:t>MUNICIPAL</w:t>
      </w:r>
      <w:r>
        <w:rPr>
          <w:spacing w:val="20"/>
        </w:rPr>
        <w:t xml:space="preserve"> </w:t>
      </w:r>
      <w:r>
        <w:t>DE</w:t>
      </w:r>
      <w:r>
        <w:rPr>
          <w:spacing w:val="20"/>
        </w:rPr>
        <w:t xml:space="preserve"> </w:t>
      </w:r>
      <w:r>
        <w:t>AÇAILÂNDIA,</w:t>
      </w:r>
      <w:r>
        <w:rPr>
          <w:spacing w:val="20"/>
        </w:rPr>
        <w:t xml:space="preserve"> </w:t>
      </w:r>
      <w:r>
        <w:t>2010).</w:t>
      </w:r>
      <w:r>
        <w:rPr>
          <w:spacing w:val="20"/>
        </w:rPr>
        <w:t xml:space="preserve"> </w:t>
      </w:r>
      <w:r>
        <w:t>Com</w:t>
      </w:r>
      <w:r>
        <w:rPr>
          <w:spacing w:val="20"/>
        </w:rPr>
        <w:t xml:space="preserve"> </w:t>
      </w:r>
      <w:r>
        <w:t>a</w:t>
      </w:r>
    </w:p>
    <w:p w:rsidR="00D81F69" w:rsidRDefault="00330118">
      <w:pPr>
        <w:pStyle w:val="Corpodetexto"/>
        <w:spacing w:before="5"/>
        <w:jc w:val="left"/>
      </w:pPr>
      <w:r>
        <w:t>conclusão da Aciaria Gusa Nordeste, no Distrito Industrial de</w:t>
      </w:r>
    </w:p>
    <w:p w:rsidR="00D81F69" w:rsidRDefault="00D81F69">
      <w:pPr>
        <w:sectPr w:rsidR="00D81F69">
          <w:type w:val="continuous"/>
          <w:pgSz w:w="11900" w:h="16840"/>
          <w:pgMar w:top="720" w:right="460" w:bottom="280" w:left="620" w:header="720" w:footer="720" w:gutter="0"/>
          <w:cols w:num="2" w:space="720" w:equalWidth="0">
            <w:col w:w="5155" w:space="315"/>
            <w:col w:w="5350"/>
          </w:cols>
        </w:sectPr>
      </w:pPr>
    </w:p>
    <w:p w:rsidR="00D81F69" w:rsidRDefault="00330118">
      <w:pPr>
        <w:pStyle w:val="Corpodetexto"/>
        <w:spacing w:before="81" w:line="312" w:lineRule="auto"/>
        <w:ind w:right="100"/>
      </w:pPr>
      <w:r>
        <w:lastRenderedPageBreak/>
        <w:t>Pequiá, em março de 2011, a expectativa é de que a produção de ferro-gusa das cinco siderúrgicas seja destinada justamente para esse novo empreendimento, absorvendo pe</w:t>
      </w:r>
      <w:r>
        <w:t>lo menos 520 mil toneladas anuais de ferro-gusa em estado líquido. A ideia é que as siderúrgicas do polo de Açailândia passem a ter condições de trabalhar toda sua capacidade de produção, algo que não ocorre hoje pelo alto preço do minério e baixo valor do</w:t>
      </w:r>
      <w:r>
        <w:t xml:space="preserve"> dólar (LIMA, 2010).</w:t>
      </w:r>
    </w:p>
    <w:p w:rsidR="00D81F69" w:rsidRDefault="00330118">
      <w:pPr>
        <w:pStyle w:val="Corpodetexto"/>
        <w:spacing w:before="137" w:line="312" w:lineRule="auto"/>
        <w:ind w:right="84"/>
      </w:pPr>
      <w:r>
        <w:t>Afirmava-se que a constituição de um primeiro estágio da indústria siderúrgica (a produção de ferro-gusa) na Amazônia iria levar naturalmente ao surgimento do restante da cadeia, formando um complexo industrial e dinamizando a economia</w:t>
      </w:r>
      <w:r>
        <w:t xml:space="preserve"> local. Entretanto, quase 30 anos depois, o polo Carajás reúne apenas guseiras, cuja produção é exportada em quase sua totalidade. Além deste baixo retorno econômico, a atividade gerou uma série de problemas ambientais e sociais na região (MILANEZ; PORTO, </w:t>
      </w:r>
      <w:r>
        <w:t>2008).</w:t>
      </w:r>
    </w:p>
    <w:p w:rsidR="00D81F69" w:rsidRDefault="00330118">
      <w:pPr>
        <w:pStyle w:val="Corpodetexto"/>
        <w:spacing w:before="139" w:line="312" w:lineRule="auto"/>
        <w:ind w:right="127"/>
        <w:jc w:val="left"/>
      </w:pPr>
      <w:r>
        <w:rPr>
          <w:spacing w:val="5"/>
        </w:rPr>
        <w:t xml:space="preserve">Quando </w:t>
      </w:r>
      <w:r>
        <w:rPr>
          <w:spacing w:val="2"/>
        </w:rPr>
        <w:t xml:space="preserve">as </w:t>
      </w:r>
      <w:r>
        <w:rPr>
          <w:spacing w:val="5"/>
        </w:rPr>
        <w:t xml:space="preserve">primeiras siderúrgicas </w:t>
      </w:r>
      <w:r>
        <w:rPr>
          <w:spacing w:val="3"/>
        </w:rPr>
        <w:t xml:space="preserve">foram </w:t>
      </w:r>
      <w:r>
        <w:rPr>
          <w:spacing w:val="5"/>
        </w:rPr>
        <w:t xml:space="preserve">implantadas, as </w:t>
      </w:r>
      <w:r>
        <w:t xml:space="preserve">empresas afirmaram que o carvão seria obtido em grandes áreas reflorestadas. Porém, isso não ocorreu, já que obter o carvão a partir da mata nativa é bem mais barato (VERAS; </w:t>
      </w:r>
      <w:r>
        <w:rPr>
          <w:spacing w:val="3"/>
        </w:rPr>
        <w:t>CASARA, 2004). Levan</w:t>
      </w:r>
      <w:r>
        <w:rPr>
          <w:spacing w:val="3"/>
        </w:rPr>
        <w:t xml:space="preserve">tamentos feitos </w:t>
      </w:r>
      <w:r>
        <w:rPr>
          <w:spacing w:val="2"/>
        </w:rPr>
        <w:t xml:space="preserve">pelo </w:t>
      </w:r>
      <w:r>
        <w:rPr>
          <w:spacing w:val="3"/>
        </w:rPr>
        <w:t xml:space="preserve">Ibama </w:t>
      </w:r>
      <w:r>
        <w:t xml:space="preserve">e </w:t>
      </w:r>
      <w:r>
        <w:rPr>
          <w:spacing w:val="5"/>
        </w:rPr>
        <w:t xml:space="preserve">pela </w:t>
      </w:r>
      <w:r>
        <w:t xml:space="preserve">Secretaria de Estado de Meio Ambiente (Sema), entre 2005 e 2008, sobre o uso de carvão no polo siderúrgico de Marabá, </w:t>
      </w:r>
      <w:r>
        <w:rPr>
          <w:spacing w:val="3"/>
        </w:rPr>
        <w:t xml:space="preserve">comprovaram </w:t>
      </w:r>
      <w:r>
        <w:rPr>
          <w:spacing w:val="2"/>
        </w:rPr>
        <w:t xml:space="preserve">que </w:t>
      </w:r>
      <w:r>
        <w:rPr>
          <w:spacing w:val="3"/>
        </w:rPr>
        <w:t xml:space="preserve">grandes siderúrgicas </w:t>
      </w:r>
      <w:r>
        <w:rPr>
          <w:spacing w:val="1"/>
        </w:rPr>
        <w:t xml:space="preserve">do </w:t>
      </w:r>
      <w:r>
        <w:rPr>
          <w:spacing w:val="2"/>
        </w:rPr>
        <w:t xml:space="preserve">Pará </w:t>
      </w:r>
      <w:r>
        <w:rPr>
          <w:spacing w:val="3"/>
        </w:rPr>
        <w:t xml:space="preserve">foram </w:t>
      </w:r>
      <w:r>
        <w:t xml:space="preserve">o </w:t>
      </w:r>
      <w:r>
        <w:rPr>
          <w:spacing w:val="11"/>
        </w:rPr>
        <w:t xml:space="preserve">destino </w:t>
      </w:r>
      <w:r>
        <w:rPr>
          <w:spacing w:val="6"/>
        </w:rPr>
        <w:t xml:space="preserve">do </w:t>
      </w:r>
      <w:r>
        <w:rPr>
          <w:spacing w:val="11"/>
        </w:rPr>
        <w:t xml:space="preserve">carvão </w:t>
      </w:r>
      <w:r>
        <w:rPr>
          <w:spacing w:val="12"/>
        </w:rPr>
        <w:t xml:space="preserve">produzido </w:t>
      </w:r>
      <w:r>
        <w:rPr>
          <w:spacing w:val="10"/>
        </w:rPr>
        <w:t xml:space="preserve">com </w:t>
      </w:r>
      <w:r>
        <w:rPr>
          <w:spacing w:val="11"/>
        </w:rPr>
        <w:t xml:space="preserve">madeira </w:t>
      </w:r>
      <w:r>
        <w:rPr>
          <w:spacing w:val="15"/>
        </w:rPr>
        <w:t xml:space="preserve">extraída </w:t>
      </w:r>
      <w:r>
        <w:rPr>
          <w:spacing w:val="1"/>
        </w:rPr>
        <w:t>il</w:t>
      </w:r>
      <w:r>
        <w:rPr>
          <w:spacing w:val="1"/>
        </w:rPr>
        <w:t xml:space="preserve">egalmente </w:t>
      </w:r>
      <w:r>
        <w:t xml:space="preserve">na </w:t>
      </w:r>
      <w:r>
        <w:rPr>
          <w:spacing w:val="1"/>
        </w:rPr>
        <w:t xml:space="preserve">Amazônia. </w:t>
      </w:r>
      <w:r>
        <w:t xml:space="preserve">A </w:t>
      </w:r>
      <w:r>
        <w:rPr>
          <w:spacing w:val="1"/>
        </w:rPr>
        <w:t xml:space="preserve">estimativa </w:t>
      </w:r>
      <w:r>
        <w:t xml:space="preserve">é </w:t>
      </w:r>
      <w:r>
        <w:rPr>
          <w:spacing w:val="1"/>
        </w:rPr>
        <w:t xml:space="preserve">que, </w:t>
      </w:r>
      <w:r>
        <w:rPr>
          <w:spacing w:val="2"/>
        </w:rPr>
        <w:t xml:space="preserve">anualmente, </w:t>
      </w:r>
      <w:r>
        <w:rPr>
          <w:spacing w:val="5"/>
        </w:rPr>
        <w:t xml:space="preserve">sejam desmatados </w:t>
      </w:r>
      <w:r>
        <w:rPr>
          <w:spacing w:val="3"/>
        </w:rPr>
        <w:t xml:space="preserve">até </w:t>
      </w:r>
      <w:r>
        <w:rPr>
          <w:spacing w:val="5"/>
        </w:rPr>
        <w:t xml:space="preserve">cinco milhões </w:t>
      </w:r>
      <w:r>
        <w:rPr>
          <w:spacing w:val="2"/>
        </w:rPr>
        <w:t xml:space="preserve">de m³ de </w:t>
      </w:r>
      <w:r>
        <w:rPr>
          <w:spacing w:val="6"/>
        </w:rPr>
        <w:t xml:space="preserve">florestas </w:t>
      </w:r>
      <w:r>
        <w:t xml:space="preserve">nativas no Pará para produção de carvão vegetal. Segundo </w:t>
      </w:r>
      <w:r>
        <w:rPr>
          <w:spacing w:val="5"/>
        </w:rPr>
        <w:t xml:space="preserve">parâmetros </w:t>
      </w:r>
      <w:r>
        <w:rPr>
          <w:spacing w:val="2"/>
        </w:rPr>
        <w:t xml:space="preserve">do </w:t>
      </w:r>
      <w:r>
        <w:rPr>
          <w:spacing w:val="5"/>
        </w:rPr>
        <w:t xml:space="preserve">Ministério </w:t>
      </w:r>
      <w:r>
        <w:rPr>
          <w:spacing w:val="2"/>
        </w:rPr>
        <w:t xml:space="preserve">do </w:t>
      </w:r>
      <w:r>
        <w:rPr>
          <w:spacing w:val="5"/>
        </w:rPr>
        <w:t xml:space="preserve">Meio Ambiente (MMA) </w:t>
      </w:r>
      <w:r>
        <w:rPr>
          <w:spacing w:val="6"/>
        </w:rPr>
        <w:t xml:space="preserve">são </w:t>
      </w:r>
      <w:r>
        <w:t>necessárias 48 árvores para produzir a</w:t>
      </w:r>
      <w:r>
        <w:t>penas uma tonelada   de carvão (CASARA; VIGNES,</w:t>
      </w:r>
      <w:r>
        <w:rPr>
          <w:spacing w:val="12"/>
        </w:rPr>
        <w:t xml:space="preserve"> </w:t>
      </w:r>
      <w:r>
        <w:rPr>
          <w:spacing w:val="1"/>
        </w:rPr>
        <w:t>2011).</w:t>
      </w:r>
    </w:p>
    <w:p w:rsidR="00D81F69" w:rsidRDefault="00330118">
      <w:pPr>
        <w:pStyle w:val="Corpodetexto"/>
        <w:spacing w:before="143" w:line="312" w:lineRule="auto"/>
        <w:ind w:right="78"/>
      </w:pPr>
      <w:r>
        <w:t>Na produção do ferro-gusa são utilizados, principalmente, carvão e minério de ferro. O carvão vegetal é usado no início da cadeia produtiva do aço, como fonte de energia térmica e redutor, para produzi</w:t>
      </w:r>
      <w:r>
        <w:t>r ferro-gusa a partir do minério de ferro. Como não há enxofre em sua composição, o carvão vegetal melhora a qualidade do ferro-gusa e do aço produzido, aumentando, consequentemente, o preço final do produto (UHLIG; GOLDEMBERG; COELHO, 2008).</w:t>
      </w:r>
    </w:p>
    <w:p w:rsidR="00D81F69" w:rsidRDefault="00330118">
      <w:pPr>
        <w:pStyle w:val="Corpodetexto"/>
        <w:spacing w:before="138" w:line="312" w:lineRule="auto"/>
        <w:ind w:right="83"/>
      </w:pPr>
      <w:r>
        <w:t>O carvão vege</w:t>
      </w:r>
      <w:r>
        <w:t>tal vem de pequenas carvoarias que queimam madeira da floresta nativa. O minério é fornecido pela Vale, que também é responsável pela logística para exportação do gusa: além da ferrovia, a empresa possui um terminal portuário no litoral do Maranhão (VERAS;</w:t>
      </w:r>
      <w:r>
        <w:t xml:space="preserve"> CASARA, 2004).</w:t>
      </w:r>
    </w:p>
    <w:p w:rsidR="00D81F69" w:rsidRDefault="00330118">
      <w:pPr>
        <w:pStyle w:val="Corpodetexto"/>
        <w:spacing w:before="134" w:line="312" w:lineRule="auto"/>
        <w:ind w:right="81"/>
      </w:pPr>
      <w:r>
        <w:t>A produção de carvão vegetal ocorre pela carbonização da madeira em fornos de alvenaria, em processos dispersos, pouco mecanizados e altamente dependentes de trabalho humano (UHLIG; GOLDEMBERG; COELHO, 2008). Para</w:t>
      </w:r>
    </w:p>
    <w:p w:rsidR="00D81F69" w:rsidRDefault="00330118">
      <w:pPr>
        <w:pStyle w:val="Corpodetexto"/>
        <w:spacing w:before="4" w:line="312" w:lineRule="auto"/>
        <w:ind w:right="40"/>
      </w:pPr>
      <w:r>
        <w:t>produção de uma tonelada d</w:t>
      </w:r>
      <w:r>
        <w:t>e ferro gusa são necessários, em média, 875 kg de carvão vegetal (CEMIG, 1988 apud MONTEIRO, 2004), cuja produção, por sua vez, requer utilização de cerca de 2.600 kg de madeira seca, gerando um desmatamento de pelo menos 600 m² de matas primárias</w:t>
      </w:r>
    </w:p>
    <w:p w:rsidR="00D81F69" w:rsidRDefault="00330118">
      <w:pPr>
        <w:pStyle w:val="Corpodetexto"/>
        <w:spacing w:before="81"/>
      </w:pPr>
      <w:r>
        <w:br w:type="column"/>
      </w:r>
      <w:r>
        <w:lastRenderedPageBreak/>
        <w:t>(MONTEI</w:t>
      </w:r>
      <w:r>
        <w:t>RO, 2004).</w:t>
      </w:r>
    </w:p>
    <w:p w:rsidR="00D81F69" w:rsidRDefault="00D81F69">
      <w:pPr>
        <w:pStyle w:val="Corpodetexto"/>
        <w:spacing w:before="9"/>
        <w:ind w:left="0"/>
        <w:jc w:val="left"/>
        <w:rPr>
          <w:sz w:val="16"/>
        </w:rPr>
      </w:pPr>
    </w:p>
    <w:p w:rsidR="00D81F69" w:rsidRDefault="00330118">
      <w:pPr>
        <w:pStyle w:val="Corpodetexto"/>
        <w:spacing w:line="312" w:lineRule="auto"/>
        <w:ind w:right="237"/>
      </w:pPr>
      <w:r>
        <w:t>Na Amazônia Oriental, as carvoarias são controladas pelas siderúrgicas do polo Carajás. Algumas siderúrgicas são de propriedade de grandes grupos econômicos, com atuação em quase todo o território brasileiro e também no exterior. O grupo Queiroz Galvão, po</w:t>
      </w:r>
      <w:r>
        <w:t>r exemplo, é dono da Siderúrgica do Maranhão S.A. (Simasa) e da Companhia Siderúrgica Vale do Pindaré, em Açailândia. Já o grupo Gerdau controla a Maranhão Gusa S.A. (Margusa), em Bacabeira (MA) (VERAS; CASARA, 2004).</w:t>
      </w:r>
    </w:p>
    <w:p w:rsidR="00D81F69" w:rsidRDefault="00330118">
      <w:pPr>
        <w:pStyle w:val="Corpodetexto"/>
        <w:spacing w:before="138" w:line="312" w:lineRule="auto"/>
        <w:ind w:right="235"/>
      </w:pPr>
      <w:r>
        <w:t xml:space="preserve">A </w:t>
      </w:r>
      <w:r>
        <w:rPr>
          <w:spacing w:val="1"/>
        </w:rPr>
        <w:t xml:space="preserve">siderurgia favoreceu </w:t>
      </w:r>
      <w:r>
        <w:t xml:space="preserve">a </w:t>
      </w:r>
      <w:r>
        <w:rPr>
          <w:spacing w:val="1"/>
        </w:rPr>
        <w:t xml:space="preserve">concentração fundiária, </w:t>
      </w:r>
      <w:r>
        <w:t xml:space="preserve">de </w:t>
      </w:r>
      <w:r>
        <w:rPr>
          <w:spacing w:val="2"/>
        </w:rPr>
        <w:t xml:space="preserve">forma </w:t>
      </w:r>
      <w:r>
        <w:t xml:space="preserve">direta, uma vez que muitas empresas na região acabam por </w:t>
      </w:r>
      <w:r>
        <w:rPr>
          <w:spacing w:val="7"/>
        </w:rPr>
        <w:t xml:space="preserve">adquirir largas extensões </w:t>
      </w:r>
      <w:r>
        <w:rPr>
          <w:spacing w:val="5"/>
        </w:rPr>
        <w:t xml:space="preserve">de </w:t>
      </w:r>
      <w:r>
        <w:rPr>
          <w:spacing w:val="7"/>
        </w:rPr>
        <w:t xml:space="preserve">terra </w:t>
      </w:r>
      <w:r>
        <w:rPr>
          <w:spacing w:val="6"/>
        </w:rPr>
        <w:t xml:space="preserve">para </w:t>
      </w:r>
      <w:r>
        <w:rPr>
          <w:spacing w:val="8"/>
        </w:rPr>
        <w:t xml:space="preserve">instalação </w:t>
      </w:r>
      <w:r>
        <w:rPr>
          <w:spacing w:val="10"/>
        </w:rPr>
        <w:t xml:space="preserve">de </w:t>
      </w:r>
      <w:r>
        <w:rPr>
          <w:spacing w:val="1"/>
        </w:rPr>
        <w:t xml:space="preserve">monoculturas. </w:t>
      </w:r>
      <w:r>
        <w:t xml:space="preserve">De </w:t>
      </w:r>
      <w:r>
        <w:rPr>
          <w:spacing w:val="1"/>
        </w:rPr>
        <w:t xml:space="preserve">acordo </w:t>
      </w:r>
      <w:r>
        <w:t xml:space="preserve">com </w:t>
      </w:r>
      <w:r>
        <w:rPr>
          <w:spacing w:val="1"/>
        </w:rPr>
        <w:t xml:space="preserve">movimentos sociais </w:t>
      </w:r>
      <w:r>
        <w:t xml:space="preserve">e </w:t>
      </w:r>
      <w:r>
        <w:rPr>
          <w:spacing w:val="2"/>
        </w:rPr>
        <w:t xml:space="preserve">casos </w:t>
      </w:r>
      <w:r>
        <w:rPr>
          <w:spacing w:val="5"/>
        </w:rPr>
        <w:t xml:space="preserve">relatados </w:t>
      </w:r>
      <w:r>
        <w:rPr>
          <w:spacing w:val="2"/>
        </w:rPr>
        <w:t xml:space="preserve">na </w:t>
      </w:r>
      <w:r>
        <w:rPr>
          <w:spacing w:val="5"/>
        </w:rPr>
        <w:t xml:space="preserve">mídia, muitas dessas aquisições </w:t>
      </w:r>
      <w:r>
        <w:rPr>
          <w:spacing w:val="3"/>
        </w:rPr>
        <w:t xml:space="preserve">são </w:t>
      </w:r>
      <w:r>
        <w:rPr>
          <w:spacing w:val="5"/>
        </w:rPr>
        <w:t>feitas</w:t>
      </w:r>
      <w:r>
        <w:rPr>
          <w:spacing w:val="61"/>
        </w:rPr>
        <w:t xml:space="preserve"> </w:t>
      </w:r>
      <w:r>
        <w:t>a</w:t>
      </w:r>
      <w:r>
        <w:t xml:space="preserve">través de grilagem e violência contra posseiros. E também de forma indireta, pois, como compram madeira de terceiros, as carvoarias barateiam o custo da limpeza dos terrenos [para </w:t>
      </w:r>
      <w:r>
        <w:rPr>
          <w:spacing w:val="2"/>
        </w:rPr>
        <w:t xml:space="preserve">os </w:t>
      </w:r>
      <w:r>
        <w:rPr>
          <w:spacing w:val="5"/>
        </w:rPr>
        <w:t xml:space="preserve">pecuaristas], favorecendo </w:t>
      </w:r>
      <w:r>
        <w:t xml:space="preserve">a </w:t>
      </w:r>
      <w:r>
        <w:rPr>
          <w:spacing w:val="5"/>
        </w:rPr>
        <w:t xml:space="preserve">expansão </w:t>
      </w:r>
      <w:r>
        <w:rPr>
          <w:spacing w:val="3"/>
        </w:rPr>
        <w:t xml:space="preserve">das </w:t>
      </w:r>
      <w:r>
        <w:rPr>
          <w:spacing w:val="5"/>
        </w:rPr>
        <w:t xml:space="preserve">pastagens (MONTEIRO, </w:t>
      </w:r>
      <w:r>
        <w:rPr>
          <w:spacing w:val="3"/>
        </w:rPr>
        <w:t xml:space="preserve">2004 apud </w:t>
      </w:r>
      <w:r>
        <w:rPr>
          <w:spacing w:val="5"/>
        </w:rPr>
        <w:t>M</w:t>
      </w:r>
      <w:r>
        <w:rPr>
          <w:spacing w:val="5"/>
        </w:rPr>
        <w:t>ILANEZ; PORTO,</w:t>
      </w:r>
      <w:r>
        <w:rPr>
          <w:spacing w:val="53"/>
        </w:rPr>
        <w:t xml:space="preserve"> </w:t>
      </w:r>
      <w:r>
        <w:rPr>
          <w:spacing w:val="5"/>
        </w:rPr>
        <w:t>2008).</w:t>
      </w:r>
    </w:p>
    <w:p w:rsidR="00D81F69" w:rsidRDefault="00330118">
      <w:pPr>
        <w:pStyle w:val="Corpodetexto"/>
        <w:spacing w:before="139" w:line="312" w:lineRule="auto"/>
        <w:ind w:right="230"/>
      </w:pPr>
      <w:r>
        <w:t xml:space="preserve">Mesmo nas carvoarias onde não existe trabalho análogo ao escravo, a legislação é sistematicamente descumprida, pois </w:t>
      </w:r>
      <w:r>
        <w:rPr>
          <w:spacing w:val="1"/>
        </w:rPr>
        <w:t xml:space="preserve">os </w:t>
      </w:r>
      <w:r>
        <w:rPr>
          <w:spacing w:val="3"/>
        </w:rPr>
        <w:t xml:space="preserve">trabalhadores </w:t>
      </w:r>
      <w:r>
        <w:rPr>
          <w:spacing w:val="2"/>
        </w:rPr>
        <w:t xml:space="preserve">não </w:t>
      </w:r>
      <w:r>
        <w:rPr>
          <w:spacing w:val="3"/>
        </w:rPr>
        <w:t xml:space="preserve">recebem equipamentos </w:t>
      </w:r>
      <w:r>
        <w:rPr>
          <w:spacing w:val="1"/>
        </w:rPr>
        <w:t xml:space="preserve">de </w:t>
      </w:r>
      <w:r>
        <w:rPr>
          <w:spacing w:val="5"/>
        </w:rPr>
        <w:t xml:space="preserve">proteção individual, </w:t>
      </w:r>
      <w:r>
        <w:rPr>
          <w:spacing w:val="3"/>
        </w:rPr>
        <w:t xml:space="preserve">não têm </w:t>
      </w:r>
      <w:r>
        <w:rPr>
          <w:spacing w:val="5"/>
        </w:rPr>
        <w:t xml:space="preserve">alojamento, </w:t>
      </w:r>
      <w:r>
        <w:rPr>
          <w:spacing w:val="3"/>
        </w:rPr>
        <w:t xml:space="preserve">nem </w:t>
      </w:r>
      <w:r>
        <w:rPr>
          <w:spacing w:val="5"/>
        </w:rPr>
        <w:t xml:space="preserve">assistência médica. Também </w:t>
      </w:r>
      <w:r>
        <w:rPr>
          <w:spacing w:val="3"/>
        </w:rPr>
        <w:t>n</w:t>
      </w:r>
      <w:r>
        <w:rPr>
          <w:spacing w:val="3"/>
        </w:rPr>
        <w:t xml:space="preserve">ão são </w:t>
      </w:r>
      <w:r>
        <w:rPr>
          <w:spacing w:val="5"/>
        </w:rPr>
        <w:t xml:space="preserve">registrados </w:t>
      </w:r>
      <w:r>
        <w:rPr>
          <w:spacing w:val="2"/>
        </w:rPr>
        <w:t xml:space="preserve">em </w:t>
      </w:r>
      <w:r>
        <w:rPr>
          <w:spacing w:val="5"/>
        </w:rPr>
        <w:t xml:space="preserve">Carteira </w:t>
      </w:r>
      <w:r>
        <w:rPr>
          <w:spacing w:val="2"/>
        </w:rPr>
        <w:t xml:space="preserve">de </w:t>
      </w:r>
      <w:r>
        <w:rPr>
          <w:spacing w:val="5"/>
        </w:rPr>
        <w:t xml:space="preserve">Trabalho </w:t>
      </w:r>
      <w:r>
        <w:t>e Previdência Social e, portanto, não têm direito aos benefícios sociais previstos na legislação trabalhista (VERAS; CASARA, 2004).</w:t>
      </w:r>
    </w:p>
    <w:p w:rsidR="00D81F69" w:rsidRDefault="00330118">
      <w:pPr>
        <w:pStyle w:val="Corpodetexto"/>
        <w:spacing w:before="138" w:line="312" w:lineRule="auto"/>
        <w:ind w:right="235"/>
      </w:pPr>
      <w:r>
        <w:t>A alegação das siderúrgicas de que as carvoarias são apenas fornecedoras não é ac</w:t>
      </w:r>
      <w:r>
        <w:t>eita pelo Ministério Público do Trabalho (MPT) nem pelo Ministério do Trabalho. Os órgãos entendem que as siderúrgicas são diretamente responsáveis por tudo o que acontece nas carvoarias, pois são elas que constroem os fornos usados na queima da madeira qu</w:t>
      </w:r>
      <w:r>
        <w:t>e produz o carvão e porque exigem exclusividade na entrega do insumo (VERAS; CASARA, 2004).</w:t>
      </w:r>
    </w:p>
    <w:p w:rsidR="00D81F69" w:rsidRDefault="00330118">
      <w:pPr>
        <w:pStyle w:val="Corpodetexto"/>
        <w:spacing w:before="137" w:line="312" w:lineRule="auto"/>
        <w:ind w:right="234"/>
      </w:pPr>
      <w:r>
        <w:t>O Ministério do Trabalho e Emprego (MTE) iniciou, em 1996, um trabalho intensivo de fiscalizações nas carvoarias que resultou, em 1999, no Termo de Ajuste de Condut</w:t>
      </w:r>
      <w:r>
        <w:t>a (TAC) firmado entre as siderúrgicas, o MPT e o MTE. Houve, a partir do TAC, uma evolução nas relações trabalhistas entre produtores de carvão vegetal e seus empregados. Entretanto, nos últimos anos, motivados pelo crescimento da atividade de carvoejament</w:t>
      </w:r>
      <w:r>
        <w:t>o, dentre outras razões, gerou-se, novamente, desordem nas relações trabalhistas (ICC, 2010).</w:t>
      </w:r>
    </w:p>
    <w:p w:rsidR="00D81F69" w:rsidRDefault="00330118">
      <w:pPr>
        <w:pStyle w:val="Corpodetexto"/>
        <w:spacing w:before="139" w:line="312" w:lineRule="auto"/>
        <w:ind w:right="253"/>
      </w:pPr>
      <w:r>
        <w:t xml:space="preserve">Como as usinas não cumpriram o TAC, a partir de 2003, o MPT passou a responsabilizar as siderúrgicas por trabalho escravo, tendo autuado a maior parte delas mais </w:t>
      </w:r>
      <w:r>
        <w:t>de uma vez (CAMARGO, 2006 apud MILANEZ; PORTO, 2008). O</w:t>
      </w:r>
    </w:p>
    <w:p w:rsidR="00D81F69" w:rsidRDefault="00330118">
      <w:pPr>
        <w:pStyle w:val="Corpodetexto"/>
        <w:spacing w:before="3" w:line="312" w:lineRule="auto"/>
        <w:ind w:right="249"/>
      </w:pPr>
      <w:r>
        <w:t>Instituto Carvão Cidadão (ICC) foi criado com o objetivo principal de auxiliá-las no cumprimento do TAC e da Carta Compromisso — firmada em agosto de 2004 por vários setores produtivos, inclusive o si</w:t>
      </w:r>
      <w:r>
        <w:t>derúrgico — de eliminação do</w:t>
      </w:r>
    </w:p>
    <w:p w:rsidR="00D81F69" w:rsidRDefault="00330118">
      <w:pPr>
        <w:pStyle w:val="Corpodetexto"/>
        <w:spacing w:before="4"/>
      </w:pPr>
      <w:r>
        <w:t>trabalho escravo na produção do carvão vegetal e de</w:t>
      </w:r>
    </w:p>
    <w:p w:rsidR="00D81F69" w:rsidRDefault="00D81F69">
      <w:pPr>
        <w:sectPr w:rsidR="00D81F69">
          <w:pgSz w:w="11900" w:h="16840"/>
          <w:pgMar w:top="740" w:right="460" w:bottom="640" w:left="620" w:header="0" w:footer="402" w:gutter="0"/>
          <w:cols w:num="2" w:space="720" w:equalWidth="0">
            <w:col w:w="5200" w:space="270"/>
            <w:col w:w="5350"/>
          </w:cols>
        </w:sectPr>
      </w:pPr>
    </w:p>
    <w:p w:rsidR="00D81F69" w:rsidRDefault="00330118">
      <w:pPr>
        <w:pStyle w:val="Corpodetexto"/>
        <w:spacing w:before="81" w:line="312" w:lineRule="auto"/>
        <w:ind w:right="69"/>
      </w:pPr>
      <w:r>
        <w:lastRenderedPageBreak/>
        <w:t>formalização e modernização do trabalho na cadeia produtiva do ferro-gusa (ICC, 2010).</w:t>
      </w:r>
    </w:p>
    <w:p w:rsidR="00D81F69" w:rsidRDefault="00330118">
      <w:pPr>
        <w:pStyle w:val="Corpodetexto"/>
        <w:spacing w:before="132" w:line="312" w:lineRule="auto"/>
        <w:ind w:right="38"/>
      </w:pPr>
      <w:r>
        <w:t>Pesquisadores da Universidade Federal do Pará (UFPA) relata</w:t>
      </w:r>
      <w:r>
        <w:t>ram que cerca de 60% do carvão que abastece as guseiras da região são produzidos sem o devido licenciamento (CAMARGO, 2006 apud MILANEZ; PORTO, 2008). O Instituto Brasileiro do Meio Ambiente e dos Recursos Naturais Renováveis (Ibama) estima que esse percen</w:t>
      </w:r>
      <w:r>
        <w:t>tual chegue a quase 80% (BRASIL, 2005 apud MILANEZ; PORTO, 2008).</w:t>
      </w:r>
    </w:p>
    <w:p w:rsidR="00D81F69" w:rsidRDefault="00330118">
      <w:pPr>
        <w:pStyle w:val="Corpodetexto"/>
        <w:spacing w:before="137" w:line="312" w:lineRule="auto"/>
        <w:ind w:right="43"/>
      </w:pPr>
      <w:r>
        <w:rPr>
          <w:spacing w:val="1"/>
        </w:rPr>
        <w:t xml:space="preserve">Entre 2005 </w:t>
      </w:r>
      <w:r>
        <w:t xml:space="preserve">e </w:t>
      </w:r>
      <w:r>
        <w:rPr>
          <w:spacing w:val="1"/>
        </w:rPr>
        <w:t xml:space="preserve">2007, </w:t>
      </w:r>
      <w:r>
        <w:t xml:space="preserve">o </w:t>
      </w:r>
      <w:r>
        <w:rPr>
          <w:spacing w:val="1"/>
        </w:rPr>
        <w:t xml:space="preserve">Ibama visitou diferentes </w:t>
      </w:r>
      <w:r>
        <w:rPr>
          <w:spacing w:val="2"/>
        </w:rPr>
        <w:t xml:space="preserve">siderúrgicas nos </w:t>
      </w:r>
      <w:r>
        <w:rPr>
          <w:spacing w:val="3"/>
        </w:rPr>
        <w:t xml:space="preserve">estados </w:t>
      </w:r>
      <w:r>
        <w:rPr>
          <w:spacing w:val="1"/>
        </w:rPr>
        <w:t xml:space="preserve">do </w:t>
      </w:r>
      <w:r>
        <w:rPr>
          <w:spacing w:val="3"/>
        </w:rPr>
        <w:t xml:space="preserve">Maranhão </w:t>
      </w:r>
      <w:r>
        <w:t xml:space="preserve">e </w:t>
      </w:r>
      <w:r>
        <w:rPr>
          <w:spacing w:val="1"/>
        </w:rPr>
        <w:t xml:space="preserve">do </w:t>
      </w:r>
      <w:r>
        <w:rPr>
          <w:spacing w:val="3"/>
        </w:rPr>
        <w:t xml:space="preserve">Pará, encontrando </w:t>
      </w:r>
      <w:r>
        <w:rPr>
          <w:spacing w:val="5"/>
        </w:rPr>
        <w:t xml:space="preserve">várias </w:t>
      </w:r>
      <w:r>
        <w:rPr>
          <w:spacing w:val="1"/>
        </w:rPr>
        <w:t xml:space="preserve">irregularidades, como recebimento </w:t>
      </w:r>
      <w:r>
        <w:t xml:space="preserve">de </w:t>
      </w:r>
      <w:r>
        <w:rPr>
          <w:spacing w:val="1"/>
        </w:rPr>
        <w:t xml:space="preserve">carga </w:t>
      </w:r>
      <w:r>
        <w:t xml:space="preserve">de </w:t>
      </w:r>
      <w:r>
        <w:rPr>
          <w:spacing w:val="2"/>
        </w:rPr>
        <w:t xml:space="preserve">caminhões </w:t>
      </w:r>
      <w:r>
        <w:t xml:space="preserve">sem Autorização de Transporte de Produto Florestal (ATPF), utilização de carvão de áreas sem plano de manejo, e carvão </w:t>
      </w:r>
      <w:r>
        <w:rPr>
          <w:spacing w:val="1"/>
        </w:rPr>
        <w:t xml:space="preserve">produzido </w:t>
      </w:r>
      <w:r>
        <w:t xml:space="preserve">sem </w:t>
      </w:r>
      <w:r>
        <w:rPr>
          <w:spacing w:val="1"/>
        </w:rPr>
        <w:t xml:space="preserve">autorização </w:t>
      </w:r>
      <w:r>
        <w:t xml:space="preserve">de </w:t>
      </w:r>
      <w:r>
        <w:rPr>
          <w:spacing w:val="1"/>
        </w:rPr>
        <w:t xml:space="preserve">desmatamento. Além </w:t>
      </w:r>
      <w:r>
        <w:rPr>
          <w:spacing w:val="2"/>
        </w:rPr>
        <w:t xml:space="preserve">disso, </w:t>
      </w:r>
      <w:r>
        <w:t xml:space="preserve">descobriram empresas funcionando sem licença de operação e </w:t>
      </w:r>
      <w:r>
        <w:rPr>
          <w:spacing w:val="5"/>
        </w:rPr>
        <w:t xml:space="preserve">empresas fantasmas </w:t>
      </w:r>
      <w:r>
        <w:rPr>
          <w:spacing w:val="3"/>
        </w:rPr>
        <w:t>(SAT</w:t>
      </w:r>
      <w:r>
        <w:rPr>
          <w:spacing w:val="3"/>
        </w:rPr>
        <w:t xml:space="preserve">O </w:t>
      </w:r>
      <w:r>
        <w:t xml:space="preserve">e </w:t>
      </w:r>
      <w:r>
        <w:rPr>
          <w:spacing w:val="5"/>
        </w:rPr>
        <w:t xml:space="preserve">COSTA, </w:t>
      </w:r>
      <w:r>
        <w:rPr>
          <w:spacing w:val="3"/>
        </w:rPr>
        <w:t xml:space="preserve">2005; </w:t>
      </w:r>
      <w:r>
        <w:rPr>
          <w:spacing w:val="5"/>
        </w:rPr>
        <w:t>BRASIL,</w:t>
      </w:r>
      <w:r>
        <w:rPr>
          <w:spacing w:val="61"/>
        </w:rPr>
        <w:t xml:space="preserve"> </w:t>
      </w:r>
      <w:r>
        <w:rPr>
          <w:spacing w:val="5"/>
        </w:rPr>
        <w:t xml:space="preserve">2006; 2007; </w:t>
      </w:r>
      <w:r>
        <w:rPr>
          <w:spacing w:val="6"/>
        </w:rPr>
        <w:t xml:space="preserve">HASHIZUME, </w:t>
      </w:r>
      <w:r>
        <w:rPr>
          <w:spacing w:val="5"/>
        </w:rPr>
        <w:t>2007; MACEDO, 2007</w:t>
      </w:r>
      <w:r>
        <w:rPr>
          <w:spacing w:val="-11"/>
        </w:rPr>
        <w:t xml:space="preserve"> </w:t>
      </w:r>
      <w:r>
        <w:rPr>
          <w:spacing w:val="7"/>
        </w:rPr>
        <w:t>apud</w:t>
      </w:r>
    </w:p>
    <w:p w:rsidR="00D81F69" w:rsidRDefault="00330118">
      <w:pPr>
        <w:pStyle w:val="Corpodetexto"/>
        <w:spacing w:before="8"/>
      </w:pPr>
      <w:r>
        <w:t>MILANEZ; PORTO, 2008).</w:t>
      </w:r>
    </w:p>
    <w:p w:rsidR="00D81F69" w:rsidRDefault="00D81F69">
      <w:pPr>
        <w:pStyle w:val="Corpodetexto"/>
        <w:spacing w:before="9"/>
        <w:ind w:left="0"/>
        <w:jc w:val="left"/>
        <w:rPr>
          <w:sz w:val="16"/>
        </w:rPr>
      </w:pPr>
    </w:p>
    <w:p w:rsidR="00D81F69" w:rsidRDefault="00330118">
      <w:pPr>
        <w:pStyle w:val="Corpodetexto"/>
        <w:spacing w:line="312" w:lineRule="auto"/>
        <w:ind w:right="46"/>
      </w:pPr>
      <w:r>
        <w:t>Em 2007, a Associação das Siderúrgicas de Carajás (Asica) anunciou a criação de um fundo financeiro – Fundo Florestal Carajás - para o reflorestamento da mata n</w:t>
      </w:r>
      <w:r>
        <w:t xml:space="preserve">ativa da região. A Companhia Siderúrgica do Pará S/A (Cosipar), Terra Norte, Cosima e Gusa Nordeste estão no grupo das empresas que participam do projeto de reflorestamento. O fundo tem como objetivo plantar árvores ao longo de toda a extensão da ferrovia </w:t>
      </w:r>
      <w:r>
        <w:t>que escoa a produção de gusa de Carajás para o porto de Itaqui (BRASIL MINERAL, 2007a).</w:t>
      </w:r>
    </w:p>
    <w:p w:rsidR="00D81F69" w:rsidRDefault="00330118">
      <w:pPr>
        <w:pStyle w:val="Corpodetexto"/>
        <w:spacing w:before="139" w:line="312" w:lineRule="auto"/>
        <w:ind w:right="41"/>
      </w:pPr>
      <w:r>
        <w:rPr>
          <w:spacing w:val="2"/>
        </w:rPr>
        <w:t xml:space="preserve">No </w:t>
      </w:r>
      <w:r>
        <w:rPr>
          <w:spacing w:val="3"/>
        </w:rPr>
        <w:t xml:space="preserve">final </w:t>
      </w:r>
      <w:r>
        <w:rPr>
          <w:spacing w:val="2"/>
        </w:rPr>
        <w:t xml:space="preserve">de </w:t>
      </w:r>
      <w:r>
        <w:rPr>
          <w:spacing w:val="3"/>
        </w:rPr>
        <w:t xml:space="preserve">2007, </w:t>
      </w:r>
      <w:r>
        <w:t xml:space="preserve">a </w:t>
      </w:r>
      <w:r>
        <w:rPr>
          <w:spacing w:val="3"/>
        </w:rPr>
        <w:t xml:space="preserve">Vale </w:t>
      </w:r>
      <w:r>
        <w:rPr>
          <w:spacing w:val="5"/>
        </w:rPr>
        <w:t xml:space="preserve">interrompeu </w:t>
      </w:r>
      <w:r>
        <w:t xml:space="preserve">o </w:t>
      </w:r>
      <w:r>
        <w:rPr>
          <w:spacing w:val="5"/>
        </w:rPr>
        <w:t>fornecimento de</w:t>
      </w:r>
      <w:r>
        <w:rPr>
          <w:spacing w:val="61"/>
        </w:rPr>
        <w:t xml:space="preserve"> </w:t>
      </w:r>
      <w:r>
        <w:rPr>
          <w:spacing w:val="3"/>
        </w:rPr>
        <w:t xml:space="preserve">minério </w:t>
      </w:r>
      <w:r>
        <w:rPr>
          <w:spacing w:val="1"/>
        </w:rPr>
        <w:t xml:space="preserve">de </w:t>
      </w:r>
      <w:r>
        <w:rPr>
          <w:spacing w:val="3"/>
        </w:rPr>
        <w:t xml:space="preserve">ferro </w:t>
      </w:r>
      <w:r>
        <w:rPr>
          <w:spacing w:val="2"/>
        </w:rPr>
        <w:t xml:space="preserve">para </w:t>
      </w:r>
      <w:r>
        <w:rPr>
          <w:spacing w:val="3"/>
        </w:rPr>
        <w:t xml:space="preserve">produtores </w:t>
      </w:r>
      <w:r>
        <w:rPr>
          <w:spacing w:val="1"/>
        </w:rPr>
        <w:t xml:space="preserve">de </w:t>
      </w:r>
      <w:r>
        <w:rPr>
          <w:spacing w:val="3"/>
        </w:rPr>
        <w:t xml:space="preserve">ferro-gusa </w:t>
      </w:r>
      <w:r>
        <w:rPr>
          <w:spacing w:val="1"/>
        </w:rPr>
        <w:t xml:space="preserve">do </w:t>
      </w:r>
      <w:r>
        <w:rPr>
          <w:spacing w:val="2"/>
        </w:rPr>
        <w:t xml:space="preserve">Pará </w:t>
      </w:r>
      <w:r>
        <w:t xml:space="preserve">e Maranhão que utilizavam carvão vegetal produzido em áreas </w:t>
      </w:r>
      <w:r>
        <w:rPr>
          <w:spacing w:val="5"/>
        </w:rPr>
        <w:t xml:space="preserve">que </w:t>
      </w:r>
      <w:r>
        <w:rPr>
          <w:spacing w:val="6"/>
        </w:rPr>
        <w:t xml:space="preserve">contribuíssem </w:t>
      </w:r>
      <w:r>
        <w:rPr>
          <w:spacing w:val="5"/>
        </w:rPr>
        <w:t xml:space="preserve">para </w:t>
      </w:r>
      <w:r>
        <w:t xml:space="preserve">o </w:t>
      </w:r>
      <w:r>
        <w:rPr>
          <w:spacing w:val="6"/>
        </w:rPr>
        <w:t xml:space="preserve">desmatamento </w:t>
      </w:r>
      <w:r>
        <w:rPr>
          <w:spacing w:val="3"/>
        </w:rPr>
        <w:t xml:space="preserve">da </w:t>
      </w:r>
      <w:r>
        <w:rPr>
          <w:spacing w:val="7"/>
        </w:rPr>
        <w:t xml:space="preserve">Amazônia </w:t>
      </w:r>
      <w:r>
        <w:t xml:space="preserve">(BRASIL MINERAL, 2007b; Hashizume, 2007). A suspensão no fornecimento da matéria prima atingiu a Cosipar, a Ferro </w:t>
      </w:r>
      <w:r>
        <w:rPr>
          <w:spacing w:val="5"/>
        </w:rPr>
        <w:t xml:space="preserve">Gusa </w:t>
      </w:r>
      <w:r>
        <w:rPr>
          <w:spacing w:val="3"/>
        </w:rPr>
        <w:t xml:space="preserve">do </w:t>
      </w:r>
      <w:r>
        <w:rPr>
          <w:spacing w:val="6"/>
        </w:rPr>
        <w:t xml:space="preserve">Maranhão </w:t>
      </w:r>
      <w:r>
        <w:rPr>
          <w:spacing w:val="5"/>
        </w:rPr>
        <w:t xml:space="preserve">Ltda. </w:t>
      </w:r>
      <w:r>
        <w:rPr>
          <w:spacing w:val="6"/>
        </w:rPr>
        <w:t>(Fergumar</w:t>
      </w:r>
      <w:r>
        <w:rPr>
          <w:spacing w:val="6"/>
        </w:rPr>
        <w:t xml:space="preserve">), </w:t>
      </w:r>
      <w:r>
        <w:t xml:space="preserve">a </w:t>
      </w:r>
      <w:r>
        <w:rPr>
          <w:spacing w:val="6"/>
        </w:rPr>
        <w:t xml:space="preserve">Siderúrgica </w:t>
      </w:r>
      <w:r>
        <w:rPr>
          <w:spacing w:val="7"/>
        </w:rPr>
        <w:t xml:space="preserve">do </w:t>
      </w:r>
      <w:r>
        <w:rPr>
          <w:spacing w:val="3"/>
        </w:rPr>
        <w:t xml:space="preserve">Maranhão </w:t>
      </w:r>
      <w:r>
        <w:rPr>
          <w:spacing w:val="2"/>
        </w:rPr>
        <w:t xml:space="preserve">S/A </w:t>
      </w:r>
      <w:r>
        <w:rPr>
          <w:spacing w:val="3"/>
        </w:rPr>
        <w:t xml:space="preserve">(Simasa) </w:t>
      </w:r>
      <w:r>
        <w:t xml:space="preserve">e a </w:t>
      </w:r>
      <w:r>
        <w:rPr>
          <w:spacing w:val="3"/>
        </w:rPr>
        <w:t xml:space="preserve">Usina Siderúrgica </w:t>
      </w:r>
      <w:r>
        <w:rPr>
          <w:spacing w:val="1"/>
        </w:rPr>
        <w:t xml:space="preserve">de </w:t>
      </w:r>
      <w:r>
        <w:rPr>
          <w:spacing w:val="5"/>
        </w:rPr>
        <w:t xml:space="preserve">Marabá Ltda. </w:t>
      </w:r>
      <w:r>
        <w:rPr>
          <w:spacing w:val="6"/>
        </w:rPr>
        <w:t xml:space="preserve">(Usimar) </w:t>
      </w:r>
      <w:r>
        <w:rPr>
          <w:spacing w:val="5"/>
        </w:rPr>
        <w:t xml:space="preserve">(PARÁ </w:t>
      </w:r>
      <w:r>
        <w:rPr>
          <w:spacing w:val="6"/>
        </w:rPr>
        <w:t xml:space="preserve">NEGÓCIOS, </w:t>
      </w:r>
      <w:r>
        <w:rPr>
          <w:spacing w:val="5"/>
        </w:rPr>
        <w:t xml:space="preserve">2007; </w:t>
      </w:r>
      <w:r>
        <w:rPr>
          <w:spacing w:val="7"/>
        </w:rPr>
        <w:t>HASHIZUME, 2007).</w:t>
      </w:r>
    </w:p>
    <w:p w:rsidR="00D81F69" w:rsidRDefault="00330118">
      <w:pPr>
        <w:pStyle w:val="Corpodetexto"/>
        <w:spacing w:before="139" w:line="312" w:lineRule="auto"/>
        <w:ind w:right="47"/>
      </w:pPr>
      <w:r>
        <w:t>Além dos problemas trabalhistas e da exploração ilegal de madeira nativa, a região sofre com outros problemas. As emissões atmo</w:t>
      </w:r>
      <w:r>
        <w:t>sféricas estão entre os principais impactos ambientais ocasionados pela siderurgia. Na produção do ferro-gusa é gerado o gás de alto-forno composto por CO2, carbono, nitrogênio e hidrogênio. A emissão de CO2 e de metano é decorrente, sobretudo, da queima d</w:t>
      </w:r>
      <w:r>
        <w:t>o carvão na redução do minério de ferro. Ao aumentar a quantidade de carbono na atmosfera, estes gases contribuem para as mudanças climáticas (MIRANDA, et al., 1999 apud MILANEZ; PORTO, 2009).</w:t>
      </w:r>
    </w:p>
    <w:p w:rsidR="00D81F69" w:rsidRDefault="00330118">
      <w:pPr>
        <w:pStyle w:val="Corpodetexto"/>
        <w:spacing w:before="77" w:line="270" w:lineRule="atLeast"/>
        <w:ind w:right="45"/>
      </w:pPr>
      <w:r>
        <w:rPr>
          <w:spacing w:val="3"/>
        </w:rPr>
        <w:t xml:space="preserve">Uma </w:t>
      </w:r>
      <w:r>
        <w:rPr>
          <w:spacing w:val="5"/>
        </w:rPr>
        <w:t xml:space="preserve">alternativa </w:t>
      </w:r>
      <w:r>
        <w:rPr>
          <w:spacing w:val="3"/>
        </w:rPr>
        <w:t xml:space="preserve">aos </w:t>
      </w:r>
      <w:r>
        <w:rPr>
          <w:spacing w:val="5"/>
        </w:rPr>
        <w:t xml:space="preserve">problemas socioambientais seria </w:t>
      </w:r>
      <w:r>
        <w:t xml:space="preserve">a </w:t>
      </w:r>
      <w:r>
        <w:rPr>
          <w:spacing w:val="1"/>
        </w:rPr>
        <w:t xml:space="preserve">criação </w:t>
      </w:r>
      <w:r>
        <w:t xml:space="preserve">do </w:t>
      </w:r>
      <w:r>
        <w:rPr>
          <w:spacing w:val="1"/>
        </w:rPr>
        <w:t xml:space="preserve">Distrito Florestal Sustentável (DFS) </w:t>
      </w:r>
      <w:r>
        <w:t xml:space="preserve">de </w:t>
      </w:r>
      <w:r>
        <w:rPr>
          <w:spacing w:val="2"/>
        </w:rPr>
        <w:t xml:space="preserve">Carajás, </w:t>
      </w:r>
      <w:r>
        <w:rPr>
          <w:spacing w:val="3"/>
        </w:rPr>
        <w:t xml:space="preserve">com área </w:t>
      </w:r>
      <w:r>
        <w:rPr>
          <w:spacing w:val="2"/>
        </w:rPr>
        <w:t xml:space="preserve">de </w:t>
      </w:r>
      <w:r>
        <w:rPr>
          <w:spacing w:val="3"/>
        </w:rPr>
        <w:t xml:space="preserve">cerca </w:t>
      </w:r>
      <w:r>
        <w:rPr>
          <w:spacing w:val="2"/>
        </w:rPr>
        <w:t xml:space="preserve">de 25 </w:t>
      </w:r>
      <w:r>
        <w:rPr>
          <w:spacing w:val="5"/>
        </w:rPr>
        <w:t xml:space="preserve">milhões </w:t>
      </w:r>
      <w:r>
        <w:rPr>
          <w:spacing w:val="2"/>
        </w:rPr>
        <w:t xml:space="preserve">de </w:t>
      </w:r>
      <w:r>
        <w:rPr>
          <w:spacing w:val="5"/>
        </w:rPr>
        <w:t xml:space="preserve">hectares, </w:t>
      </w:r>
      <w:r>
        <w:rPr>
          <w:spacing w:val="3"/>
        </w:rPr>
        <w:t xml:space="preserve">entre </w:t>
      </w:r>
      <w:r>
        <w:rPr>
          <w:spacing w:val="5"/>
        </w:rPr>
        <w:t>os</w:t>
      </w:r>
      <w:r>
        <w:rPr>
          <w:spacing w:val="61"/>
        </w:rPr>
        <w:t xml:space="preserve"> </w:t>
      </w:r>
      <w:r>
        <w:t>estados do Pará, Maranhão e Tocantins. Segundo a proposta,</w:t>
      </w:r>
    </w:p>
    <w:p w:rsidR="00D81F69" w:rsidRDefault="00330118">
      <w:pPr>
        <w:pStyle w:val="Corpodetexto"/>
        <w:spacing w:before="81" w:line="312" w:lineRule="auto"/>
        <w:ind w:right="237"/>
      </w:pPr>
      <w:r>
        <w:br w:type="column"/>
      </w:r>
      <w:r>
        <w:lastRenderedPageBreak/>
        <w:t xml:space="preserve">apresentada em 2006 pelo Serviço Florestal Brasileiro (SFB), o </w:t>
      </w:r>
      <w:r>
        <w:rPr>
          <w:spacing w:val="10"/>
        </w:rPr>
        <w:t xml:space="preserve">DFS </w:t>
      </w:r>
      <w:r>
        <w:rPr>
          <w:spacing w:val="11"/>
        </w:rPr>
        <w:t xml:space="preserve">seria </w:t>
      </w:r>
      <w:r>
        <w:rPr>
          <w:spacing w:val="6"/>
        </w:rPr>
        <w:t xml:space="preserve">um </w:t>
      </w:r>
      <w:r>
        <w:rPr>
          <w:spacing w:val="12"/>
        </w:rPr>
        <w:t>“complexo geoe</w:t>
      </w:r>
      <w:r>
        <w:rPr>
          <w:spacing w:val="12"/>
        </w:rPr>
        <w:t xml:space="preserve">conômico </w:t>
      </w:r>
      <w:r>
        <w:t xml:space="preserve">e </w:t>
      </w:r>
      <w:r>
        <w:rPr>
          <w:spacing w:val="15"/>
        </w:rPr>
        <w:t xml:space="preserve">social </w:t>
      </w:r>
      <w:r>
        <w:t xml:space="preserve">estabelecido com a finalidade de definir territórios onde será </w:t>
      </w:r>
      <w:r>
        <w:rPr>
          <w:spacing w:val="8"/>
        </w:rPr>
        <w:t xml:space="preserve">priorizada </w:t>
      </w:r>
      <w:r>
        <w:t xml:space="preserve">a </w:t>
      </w:r>
      <w:r>
        <w:rPr>
          <w:spacing w:val="8"/>
        </w:rPr>
        <w:t xml:space="preserve">implementação </w:t>
      </w:r>
      <w:r>
        <w:rPr>
          <w:spacing w:val="5"/>
        </w:rPr>
        <w:t xml:space="preserve">de </w:t>
      </w:r>
      <w:r>
        <w:rPr>
          <w:spacing w:val="7"/>
        </w:rPr>
        <w:t xml:space="preserve">políticas publicas </w:t>
      </w:r>
      <w:r>
        <w:rPr>
          <w:spacing w:val="10"/>
        </w:rPr>
        <w:t xml:space="preserve">que </w:t>
      </w:r>
      <w:r>
        <w:rPr>
          <w:spacing w:val="1"/>
        </w:rPr>
        <w:t xml:space="preserve">estimulem </w:t>
      </w:r>
      <w:r>
        <w:t xml:space="preserve">o </w:t>
      </w:r>
      <w:r>
        <w:rPr>
          <w:spacing w:val="1"/>
        </w:rPr>
        <w:t xml:space="preserve">desenvolvimento integrado </w:t>
      </w:r>
      <w:r>
        <w:t xml:space="preserve">com </w:t>
      </w:r>
      <w:r>
        <w:rPr>
          <w:spacing w:val="1"/>
        </w:rPr>
        <w:t xml:space="preserve">atividades </w:t>
      </w:r>
      <w:r>
        <w:rPr>
          <w:spacing w:val="2"/>
        </w:rPr>
        <w:t xml:space="preserve">de </w:t>
      </w:r>
      <w:r>
        <w:t>base florestal" (MAPA DA INJUSTIÇA ABIENTAL E SAÚDE NO BRASIL, 200</w:t>
      </w:r>
      <w:r>
        <w:t>9; MMA,</w:t>
      </w:r>
      <w:r>
        <w:t xml:space="preserve"> </w:t>
      </w:r>
      <w:r>
        <w:t>2010).</w:t>
      </w:r>
    </w:p>
    <w:p w:rsidR="00D81F69" w:rsidRDefault="00330118">
      <w:pPr>
        <w:pStyle w:val="Corpodetexto"/>
        <w:spacing w:before="136" w:line="312" w:lineRule="auto"/>
        <w:ind w:right="248"/>
      </w:pPr>
      <w:r>
        <w:t>A implantação do DFS está sendo planejada para recuperar a cobertura vegetal da região e garantir a existência de um polo e de uma economia florestal sustentável, com máxima inclusão social. As ações estratégicas a serem priorizadas serão ba</w:t>
      </w:r>
      <w:r>
        <w:t>seadas no reflorestamento e na recuperação de áreas degradadas (MMA, 2010).</w:t>
      </w:r>
    </w:p>
    <w:p w:rsidR="00D81F69" w:rsidRDefault="00330118">
      <w:pPr>
        <w:pStyle w:val="Corpodetexto"/>
        <w:spacing w:before="136" w:line="312" w:lineRule="auto"/>
        <w:ind w:right="176"/>
        <w:jc w:val="left"/>
      </w:pPr>
      <w:r>
        <w:t>O DFS de Carajás teria capacidade de produzir 5 milhões de toras para a indústria e 17 milhões de m³ de madeira para a produção de carvão. Nesta perspectiva, o DFS Carajás atenderi</w:t>
      </w:r>
      <w:r>
        <w:t xml:space="preserve">a à demanda de carvão vegetal pelas siderurgias do Corredor Carajás, sem agravar o desmatamento da vegetação nativa para sua produção (MMA, 2010). Sua implementação é vista como uma possibilidade de redimir boa parcela dos habitantes locais da dependência </w:t>
      </w:r>
      <w:r>
        <w:t>da matriz mínero-siderúrgica que vem ditando o desenvolvimento local (MAPA DA INJUSTIÇA ABIENTAL E SAÚDE NO BRASIL, 2009).</w:t>
      </w:r>
    </w:p>
    <w:p w:rsidR="00D81F69" w:rsidRDefault="00330118">
      <w:pPr>
        <w:pStyle w:val="Corpodetexto"/>
        <w:spacing w:before="140" w:line="312" w:lineRule="auto"/>
        <w:ind w:right="254"/>
      </w:pPr>
      <w:r>
        <w:t>Apesar dos esforços de diferentes atores, as irregularidades continuam na região. Em 2010, fiscais do Ibama apreenderam 27,7 tonelada</w:t>
      </w:r>
      <w:r>
        <w:t>s de ferro-gusa, fabricado com carvão ilegal pela Siderurgia do Pará (Sidepar), em Marabá. A siderúrgica teve seu acesso ao Sistema de Comercialização e Transporte de Produtos Florestais (Sisflora) bloqueado e foi multada. Até a suspensão da sanção pelo Ib</w:t>
      </w:r>
      <w:r>
        <w:t>ama, a indústria está impedida de</w:t>
      </w:r>
      <w:r>
        <w:rPr>
          <w:spacing w:val="18"/>
        </w:rPr>
        <w:t xml:space="preserve"> </w:t>
      </w:r>
      <w:r>
        <w:t>adquirir</w:t>
      </w:r>
      <w:r>
        <w:rPr>
          <w:spacing w:val="18"/>
        </w:rPr>
        <w:t xml:space="preserve"> </w:t>
      </w:r>
      <w:r>
        <w:t>produtos</w:t>
      </w:r>
      <w:r>
        <w:rPr>
          <w:spacing w:val="18"/>
        </w:rPr>
        <w:t xml:space="preserve"> </w:t>
      </w:r>
      <w:r>
        <w:t>florestais</w:t>
      </w:r>
      <w:r>
        <w:rPr>
          <w:spacing w:val="18"/>
        </w:rPr>
        <w:t xml:space="preserve"> </w:t>
      </w:r>
      <w:r>
        <w:t>(BRASIL</w:t>
      </w:r>
      <w:r>
        <w:rPr>
          <w:spacing w:val="18"/>
        </w:rPr>
        <w:t xml:space="preserve"> </w:t>
      </w:r>
      <w:r>
        <w:t>MINERAL,</w:t>
      </w:r>
      <w:r>
        <w:rPr>
          <w:spacing w:val="18"/>
        </w:rPr>
        <w:t xml:space="preserve"> </w:t>
      </w:r>
      <w:r>
        <w:t>2010).</w:t>
      </w:r>
    </w:p>
    <w:p w:rsidR="00D81F69" w:rsidRDefault="00330118">
      <w:pPr>
        <w:pStyle w:val="Corpodetexto"/>
        <w:spacing w:before="137" w:line="312" w:lineRule="auto"/>
        <w:ind w:right="246"/>
      </w:pPr>
      <w:r>
        <w:t>Reportagem do Instituto Observatório Social, realizada em 2011 na região, mostra que a cadeia produtiva do aço permanece com problemas. Agora, as siderúrgicas se benefic</w:t>
      </w:r>
      <w:r>
        <w:t>iam de processos predatórios para garantir o suprimento de carvão vegetal, produzido com madeira retirada de áreas de preservação ambiental. O esquema só é possível graças à corrupção, que garante a manutenção do fluxo predatório (CASARA; VIGNES, 2011).</w:t>
      </w:r>
    </w:p>
    <w:p w:rsidR="00D81F69" w:rsidRDefault="00D81F69">
      <w:pPr>
        <w:pStyle w:val="Corpodetexto"/>
        <w:spacing w:before="7"/>
        <w:ind w:left="0"/>
        <w:jc w:val="left"/>
        <w:rPr>
          <w:sz w:val="21"/>
        </w:rPr>
      </w:pPr>
    </w:p>
    <w:p w:rsidR="00D81F69" w:rsidRDefault="00330118">
      <w:pPr>
        <w:pStyle w:val="Heading7"/>
        <w:spacing w:before="1"/>
      </w:pPr>
      <w:r>
        <w:t>L</w:t>
      </w:r>
      <w:r>
        <w:t>OCALIZAÇÃO GEOGRÁFICA</w:t>
      </w:r>
    </w:p>
    <w:p w:rsidR="00D81F69" w:rsidRDefault="00330118">
      <w:pPr>
        <w:pStyle w:val="Corpodetexto"/>
        <w:spacing w:before="178" w:line="312" w:lineRule="auto"/>
        <w:ind w:right="232"/>
      </w:pPr>
      <w:r>
        <w:t>A cadeia de ferro-gusa engloba quatro municípios: Açailândia, Bacabeira, Pindaré Mirim no Maranhão e Marabá no Pará, localizados entre as latitudes 6°12’23”S – 2°45’22”S e longitudes 51°24’19”W – 44°15’50”W. Nestes municípios são dest</w:t>
      </w:r>
      <w:r>
        <w:t>acadas as bacias do rio Tocantins (entre o Rio Araguaia e a foz), do rio Guama, do rio Pindaré, do rio Itapecuru, do rio Mearim e das áreas litorâneas do Pará e Maranhão.</w:t>
      </w:r>
    </w:p>
    <w:p w:rsidR="00D81F69" w:rsidRDefault="00D81F69">
      <w:pPr>
        <w:pStyle w:val="Corpodetexto"/>
        <w:spacing w:before="4"/>
        <w:ind w:left="0"/>
        <w:jc w:val="left"/>
        <w:rPr>
          <w:sz w:val="29"/>
        </w:rPr>
      </w:pPr>
    </w:p>
    <w:p w:rsidR="00D81F69" w:rsidRDefault="00330118">
      <w:pPr>
        <w:pStyle w:val="Heading7"/>
        <w:spacing w:before="1"/>
      </w:pPr>
      <w:r>
        <w:t>REDATORES</w:t>
      </w:r>
    </w:p>
    <w:p w:rsidR="00D81F69" w:rsidRDefault="00330118">
      <w:pPr>
        <w:pStyle w:val="Corpodetexto"/>
        <w:spacing w:before="178"/>
      </w:pPr>
      <w:r>
        <w:t>Renata Olivieri; Eliane Araujo</w:t>
      </w:r>
    </w:p>
    <w:p w:rsidR="00D81F69" w:rsidRDefault="00D81F69">
      <w:pPr>
        <w:sectPr w:rsidR="00D81F69">
          <w:pgSz w:w="11900" w:h="16840"/>
          <w:pgMar w:top="740" w:right="460" w:bottom="640" w:left="620" w:header="0" w:footer="402" w:gutter="0"/>
          <w:cols w:num="2" w:space="720" w:equalWidth="0">
            <w:col w:w="5163" w:space="307"/>
            <w:col w:w="5350"/>
          </w:cols>
        </w:sectPr>
      </w:pPr>
    </w:p>
    <w:p w:rsidR="00D81F69" w:rsidRDefault="00330118">
      <w:pPr>
        <w:pStyle w:val="Heading7"/>
        <w:spacing w:before="92"/>
      </w:pPr>
      <w:r>
        <w:lastRenderedPageBreak/>
        <w:t>REFERÊNCIAS BIBLIOGRÁFICAS</w:t>
      </w:r>
    </w:p>
    <w:p w:rsidR="00D81F69" w:rsidRDefault="00330118">
      <w:pPr>
        <w:spacing w:before="188" w:line="312" w:lineRule="auto"/>
        <w:ind w:left="100" w:right="43"/>
        <w:jc w:val="both"/>
        <w:rPr>
          <w:sz w:val="16"/>
        </w:rPr>
      </w:pPr>
      <w:r>
        <w:rPr>
          <w:sz w:val="16"/>
        </w:rPr>
        <w:t xml:space="preserve">AGÊNCIA PARÁ DE NOTÍCIAS. Distrito industrial de Marabá atrai </w:t>
      </w:r>
      <w:r>
        <w:rPr>
          <w:spacing w:val="5"/>
          <w:sz w:val="16"/>
        </w:rPr>
        <w:t xml:space="preserve">novos  empreendimentos.  </w:t>
      </w:r>
      <w:r>
        <w:rPr>
          <w:spacing w:val="3"/>
          <w:sz w:val="16"/>
        </w:rPr>
        <w:t xml:space="preserve">In:  </w:t>
      </w:r>
      <w:r>
        <w:rPr>
          <w:spacing w:val="5"/>
          <w:sz w:val="16"/>
        </w:rPr>
        <w:t xml:space="preserve">Instituto  Brasileiro  </w:t>
      </w:r>
      <w:r>
        <w:rPr>
          <w:spacing w:val="2"/>
          <w:sz w:val="16"/>
        </w:rPr>
        <w:t xml:space="preserve">de  </w:t>
      </w:r>
      <w:r>
        <w:rPr>
          <w:spacing w:val="6"/>
          <w:sz w:val="16"/>
        </w:rPr>
        <w:t xml:space="preserve">Mineração </w:t>
      </w:r>
      <w:r>
        <w:rPr>
          <w:sz w:val="16"/>
        </w:rPr>
        <w:t>( I B R A M ) , 2 8 j a n . 2 0 1 0 . D i s p o n í v e l e m</w:t>
      </w:r>
      <w:r>
        <w:rPr>
          <w:spacing w:val="-5"/>
          <w:sz w:val="16"/>
        </w:rPr>
        <w:t xml:space="preserve"> </w:t>
      </w:r>
      <w:r>
        <w:rPr>
          <w:sz w:val="16"/>
        </w:rPr>
        <w:t>:</w:t>
      </w:r>
      <w:r>
        <w:rPr>
          <w:spacing w:val="1"/>
          <w:sz w:val="16"/>
        </w:rPr>
        <w:t xml:space="preserve"> </w:t>
      </w:r>
    </w:p>
    <w:p w:rsidR="00D81F69" w:rsidRDefault="00D81F69">
      <w:pPr>
        <w:spacing w:before="2" w:line="312" w:lineRule="auto"/>
        <w:ind w:left="100" w:right="89"/>
        <w:jc w:val="both"/>
        <w:rPr>
          <w:sz w:val="16"/>
        </w:rPr>
      </w:pPr>
      <w:hyperlink r:id="rId432">
        <w:r w:rsidR="00330118">
          <w:rPr>
            <w:sz w:val="16"/>
          </w:rPr>
          <w:t>&lt;http://www.ibram.org.br/150/15001002.asp?ttCD_CHAVE=100310&gt;.</w:t>
        </w:r>
      </w:hyperlink>
      <w:r w:rsidR="00330118">
        <w:rPr>
          <w:sz w:val="16"/>
        </w:rPr>
        <w:t xml:space="preserve"> Acesso em: 15 out. 2010.</w:t>
      </w:r>
    </w:p>
    <w:p w:rsidR="00D81F69" w:rsidRDefault="00330118">
      <w:pPr>
        <w:spacing w:before="2" w:line="312" w:lineRule="auto"/>
        <w:ind w:left="100" w:right="40"/>
        <w:jc w:val="both"/>
        <w:rPr>
          <w:sz w:val="16"/>
        </w:rPr>
      </w:pPr>
      <w:r>
        <w:rPr>
          <w:sz w:val="16"/>
        </w:rPr>
        <w:t xml:space="preserve">BARROS, Carlos Juliano. O efeito colateral do progresso. Repórter     </w:t>
      </w:r>
      <w:r>
        <w:rPr>
          <w:spacing w:val="5"/>
          <w:sz w:val="16"/>
        </w:rPr>
        <w:t xml:space="preserve">B r a s i l </w:t>
      </w:r>
      <w:r>
        <w:rPr>
          <w:sz w:val="16"/>
        </w:rPr>
        <w:t xml:space="preserve">, </w:t>
      </w:r>
      <w:r>
        <w:rPr>
          <w:spacing w:val="5"/>
          <w:sz w:val="16"/>
        </w:rPr>
        <w:t xml:space="preserve">0 </w:t>
      </w:r>
      <w:r>
        <w:rPr>
          <w:sz w:val="16"/>
        </w:rPr>
        <w:t xml:space="preserve">4 </w:t>
      </w:r>
      <w:r>
        <w:rPr>
          <w:spacing w:val="5"/>
          <w:sz w:val="16"/>
        </w:rPr>
        <w:t xml:space="preserve">j a n </w:t>
      </w:r>
      <w:r>
        <w:rPr>
          <w:sz w:val="16"/>
        </w:rPr>
        <w:t>.</w:t>
      </w:r>
      <w:r>
        <w:rPr>
          <w:sz w:val="16"/>
        </w:rPr>
        <w:t xml:space="preserve"> </w:t>
      </w:r>
      <w:r>
        <w:rPr>
          <w:spacing w:val="5"/>
          <w:sz w:val="16"/>
        </w:rPr>
        <w:t xml:space="preserve">2 0 0 7 </w:t>
      </w:r>
      <w:r>
        <w:rPr>
          <w:sz w:val="16"/>
        </w:rPr>
        <w:t xml:space="preserve">. </w:t>
      </w:r>
      <w:r>
        <w:rPr>
          <w:spacing w:val="5"/>
          <w:sz w:val="16"/>
        </w:rPr>
        <w:t xml:space="preserve">D i s p o n í v e </w:t>
      </w:r>
      <w:r>
        <w:rPr>
          <w:sz w:val="16"/>
        </w:rPr>
        <w:t>l</w:t>
      </w:r>
      <w:r>
        <w:rPr>
          <w:spacing w:val="26"/>
          <w:sz w:val="16"/>
        </w:rPr>
        <w:t xml:space="preserve"> </w:t>
      </w:r>
      <w:r>
        <w:rPr>
          <w:spacing w:val="5"/>
          <w:sz w:val="16"/>
        </w:rPr>
        <w:t xml:space="preserve">e m </w:t>
      </w:r>
      <w:r>
        <w:rPr>
          <w:sz w:val="16"/>
        </w:rPr>
        <w:t>:</w:t>
      </w:r>
      <w:r>
        <w:rPr>
          <w:spacing w:val="6"/>
          <w:sz w:val="16"/>
        </w:rPr>
        <w:t xml:space="preserve"> </w:t>
      </w:r>
    </w:p>
    <w:p w:rsidR="00D81F69" w:rsidRDefault="00D81F69">
      <w:pPr>
        <w:spacing w:before="1" w:line="312" w:lineRule="auto"/>
        <w:ind w:left="100" w:right="106"/>
        <w:jc w:val="both"/>
        <w:rPr>
          <w:sz w:val="16"/>
        </w:rPr>
      </w:pPr>
      <w:hyperlink r:id="rId433">
        <w:r w:rsidR="00330118">
          <w:rPr>
            <w:sz w:val="16"/>
          </w:rPr>
          <w:t xml:space="preserve">&lt;http://www.reporterbrasil.org.br/exibe.php?id=833&gt;. </w:t>
        </w:r>
      </w:hyperlink>
      <w:r w:rsidR="00330118">
        <w:rPr>
          <w:sz w:val="16"/>
        </w:rPr>
        <w:t>Acesso em: 13 out. 2010.</w:t>
      </w:r>
    </w:p>
    <w:p w:rsidR="00D81F69" w:rsidRDefault="00330118">
      <w:pPr>
        <w:tabs>
          <w:tab w:val="left" w:pos="4331"/>
        </w:tabs>
        <w:spacing w:before="2" w:line="312" w:lineRule="auto"/>
        <w:ind w:left="100" w:right="89"/>
        <w:jc w:val="both"/>
        <w:rPr>
          <w:sz w:val="16"/>
        </w:rPr>
      </w:pPr>
      <w:r>
        <w:rPr>
          <w:sz w:val="16"/>
        </w:rPr>
        <w:t>BRASIL MINERAL. Reflorestamento. Produtores de gusa criam fundo financeir</w:t>
      </w:r>
      <w:r>
        <w:rPr>
          <w:sz w:val="16"/>
        </w:rPr>
        <w:t xml:space="preserve">o para Carajás. Brasil Mineral OnLine n. 292, 8 mar. 2007a.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108"/>
        <w:jc w:val="both"/>
        <w:rPr>
          <w:sz w:val="16"/>
        </w:rPr>
      </w:pPr>
      <w:hyperlink r:id="rId434">
        <w:r w:rsidR="00330118">
          <w:rPr>
            <w:sz w:val="16"/>
          </w:rPr>
          <w:t>&lt;http://www.brasilmineral.com.br/BM/default.a</w:t>
        </w:r>
        <w:r w:rsidR="00330118">
          <w:rPr>
            <w:sz w:val="16"/>
          </w:rPr>
          <w:t>sp?COD=2838&amp;busca=</w:t>
        </w:r>
      </w:hyperlink>
      <w:r w:rsidR="00330118">
        <w:rPr>
          <w:sz w:val="16"/>
        </w:rPr>
        <w:t xml:space="preserve"> &amp;numero=292&gt;. Acesso em: 15 out. 2010.</w:t>
      </w:r>
    </w:p>
    <w:p w:rsidR="00D81F69" w:rsidRDefault="00330118">
      <w:pPr>
        <w:spacing w:before="2" w:line="312" w:lineRule="auto"/>
        <w:ind w:left="100" w:right="103"/>
        <w:jc w:val="both"/>
        <w:rPr>
          <w:sz w:val="16"/>
        </w:rPr>
      </w:pPr>
      <w:r>
        <w:rPr>
          <w:sz w:val="16"/>
        </w:rPr>
        <w:t xml:space="preserve">_______. Ferro-gusa. CVRD corta fornecimento para produtores irregulares. Brasil Mineral OnLine n. 312 , 25 jul. 2007b. Disponível em: </w:t>
      </w:r>
      <w:hyperlink r:id="rId435">
        <w:r>
          <w:rPr>
            <w:sz w:val="16"/>
          </w:rPr>
          <w:t>&lt;http://www.brasilmineral.com.br/BM/default.asp?numero=312&gt;</w:t>
        </w:r>
      </w:hyperlink>
      <w:r>
        <w:rPr>
          <w:sz w:val="16"/>
        </w:rPr>
        <w:t xml:space="preserve"> Acesso em: 15 out. 2010.</w:t>
      </w:r>
    </w:p>
    <w:p w:rsidR="00D81F69" w:rsidRDefault="00330118">
      <w:pPr>
        <w:spacing w:before="3" w:line="312" w:lineRule="auto"/>
        <w:ind w:left="100" w:right="87"/>
        <w:jc w:val="both"/>
        <w:rPr>
          <w:sz w:val="16"/>
        </w:rPr>
      </w:pPr>
      <w:r>
        <w:rPr>
          <w:sz w:val="16"/>
        </w:rPr>
        <w:t>_______. Ferro-gusa. Ficais do Ibama apreendem carvão ilegal na Sidepar. Brasil Mineral OnLine n. 445, 4 jan. 2010. Disponível em:</w:t>
      </w:r>
    </w:p>
    <w:p w:rsidR="00D81F69" w:rsidRDefault="00D81F69">
      <w:pPr>
        <w:spacing w:before="2" w:line="312" w:lineRule="auto"/>
        <w:ind w:left="100" w:right="108"/>
        <w:jc w:val="both"/>
        <w:rPr>
          <w:sz w:val="16"/>
        </w:rPr>
      </w:pPr>
      <w:hyperlink r:id="rId436">
        <w:r w:rsidR="00330118">
          <w:rPr>
            <w:sz w:val="16"/>
          </w:rPr>
          <w:t>&lt;http://www.brasilmineral.com.br/BM/default.asp?COD=4808&amp;busca=</w:t>
        </w:r>
      </w:hyperlink>
      <w:r w:rsidR="00330118">
        <w:rPr>
          <w:sz w:val="16"/>
        </w:rPr>
        <w:t xml:space="preserve"> &amp;numero=445&gt;. Acesso em: 15 out. 2010.</w:t>
      </w:r>
    </w:p>
    <w:p w:rsidR="00D81F69" w:rsidRDefault="00330118">
      <w:pPr>
        <w:spacing w:before="2" w:line="312" w:lineRule="auto"/>
        <w:ind w:left="100" w:right="84"/>
        <w:jc w:val="both"/>
        <w:rPr>
          <w:sz w:val="16"/>
        </w:rPr>
      </w:pPr>
      <w:r>
        <w:rPr>
          <w:sz w:val="16"/>
        </w:rPr>
        <w:t>CASARA, Marques; VIGNES, Sérgio. A floresta que virou cinza. Observatório Social, fev. 2011, edição especial. Disponível em:</w:t>
      </w:r>
    </w:p>
    <w:p w:rsidR="00D81F69" w:rsidRDefault="00D81F69">
      <w:pPr>
        <w:spacing w:before="1" w:line="312" w:lineRule="auto"/>
        <w:ind w:left="100" w:right="108"/>
        <w:jc w:val="both"/>
        <w:rPr>
          <w:sz w:val="16"/>
        </w:rPr>
      </w:pPr>
      <w:hyperlink r:id="rId437">
        <w:r w:rsidR="00330118">
          <w:rPr>
            <w:sz w:val="16"/>
          </w:rPr>
          <w:t>&lt;http://www.observatoriosocial.org.br/portal</w:t>
        </w:r>
        <w:r w:rsidR="00330118">
          <w:rPr>
            <w:sz w:val="16"/>
          </w:rPr>
          <w:t>/images/stories/publicacoe</w:t>
        </w:r>
      </w:hyperlink>
      <w:r w:rsidR="00330118">
        <w:rPr>
          <w:sz w:val="16"/>
        </w:rPr>
        <w:t xml:space="preserve"> s/revista_especial_por.pdf&gt;. Acesso em: 06 abr. 2011.</w:t>
      </w:r>
    </w:p>
    <w:p w:rsidR="00D81F69" w:rsidRDefault="00330118">
      <w:pPr>
        <w:spacing w:before="2" w:line="312" w:lineRule="auto"/>
        <w:ind w:left="100" w:right="63"/>
        <w:jc w:val="both"/>
        <w:rPr>
          <w:sz w:val="16"/>
        </w:rPr>
      </w:pPr>
      <w:r>
        <w:rPr>
          <w:sz w:val="16"/>
        </w:rPr>
        <w:t>FERREIRA,Gilson Ezequiel; CALAES, Gilberto Dias; AMARAL, José Alexandre Gurgel do; KRUGER,Paulo Von. A Indústria Brasileira de Gusa de Mercado. Livro da Série Estudos e Docume</w:t>
      </w:r>
      <w:r>
        <w:rPr>
          <w:sz w:val="16"/>
        </w:rPr>
        <w:t xml:space="preserve">ntos n. 66. Rio  </w:t>
      </w:r>
      <w:r>
        <w:rPr>
          <w:spacing w:val="12"/>
          <w:sz w:val="16"/>
        </w:rPr>
        <w:t xml:space="preserve">de </w:t>
      </w:r>
      <w:r>
        <w:rPr>
          <w:spacing w:val="21"/>
          <w:sz w:val="16"/>
        </w:rPr>
        <w:t xml:space="preserve">Janeiro, </w:t>
      </w:r>
      <w:r>
        <w:rPr>
          <w:spacing w:val="20"/>
          <w:sz w:val="16"/>
        </w:rPr>
        <w:t>CETEM,</w:t>
      </w:r>
      <w:r>
        <w:rPr>
          <w:spacing w:val="85"/>
          <w:sz w:val="16"/>
        </w:rPr>
        <w:t xml:space="preserve"> </w:t>
      </w:r>
      <w:r>
        <w:rPr>
          <w:spacing w:val="20"/>
          <w:sz w:val="16"/>
        </w:rPr>
        <w:t xml:space="preserve">nov., 2006. </w:t>
      </w:r>
      <w:r>
        <w:rPr>
          <w:spacing w:val="22"/>
          <w:sz w:val="16"/>
        </w:rPr>
        <w:t>Disponível</w:t>
      </w:r>
      <w:r>
        <w:rPr>
          <w:spacing w:val="58"/>
          <w:sz w:val="16"/>
        </w:rPr>
        <w:t xml:space="preserve"> </w:t>
      </w:r>
      <w:r>
        <w:rPr>
          <w:spacing w:val="16"/>
          <w:sz w:val="16"/>
        </w:rPr>
        <w:t>em:</w:t>
      </w:r>
      <w:r>
        <w:rPr>
          <w:spacing w:val="-17"/>
          <w:sz w:val="16"/>
        </w:rPr>
        <w:t xml:space="preserve"> </w:t>
      </w:r>
    </w:p>
    <w:p w:rsidR="00D81F69" w:rsidRDefault="00D81F69">
      <w:pPr>
        <w:spacing w:before="3" w:line="312" w:lineRule="auto"/>
        <w:ind w:left="100" w:right="82"/>
        <w:jc w:val="both"/>
        <w:rPr>
          <w:sz w:val="16"/>
        </w:rPr>
      </w:pPr>
      <w:hyperlink r:id="rId438">
        <w:r w:rsidR="00330118">
          <w:rPr>
            <w:sz w:val="16"/>
          </w:rPr>
          <w:t>&lt;http://www.cetem.gov.br/publicacao/CTs/CT2006-071-00.pdf&gt;.</w:t>
        </w:r>
      </w:hyperlink>
      <w:r w:rsidR="00330118">
        <w:rPr>
          <w:sz w:val="16"/>
        </w:rPr>
        <w:t xml:space="preserve"> Acesso em: 23 jul. 2012.</w:t>
      </w:r>
    </w:p>
    <w:p w:rsidR="00D81F69" w:rsidRDefault="00330118">
      <w:pPr>
        <w:spacing w:before="2" w:line="312" w:lineRule="auto"/>
        <w:ind w:left="100" w:right="85"/>
        <w:jc w:val="both"/>
        <w:rPr>
          <w:sz w:val="16"/>
        </w:rPr>
      </w:pPr>
      <w:r>
        <w:rPr>
          <w:sz w:val="16"/>
        </w:rPr>
        <w:t>HASHIZUME, Maurício. Combinação de cadeias produtivas define quadro socioambiental. Parte 2: As Cadeias (Ferro-gusa, Carvão, Gado e Madeira). Repórter Brasil, 29 nov. 2007. Disponível em:</w:t>
      </w:r>
    </w:p>
    <w:p w:rsidR="00D81F69" w:rsidRDefault="00D81F69">
      <w:pPr>
        <w:spacing w:before="2" w:line="312" w:lineRule="auto"/>
        <w:ind w:left="100" w:right="108"/>
        <w:jc w:val="both"/>
        <w:rPr>
          <w:sz w:val="16"/>
        </w:rPr>
      </w:pPr>
      <w:hyperlink r:id="rId439">
        <w:r w:rsidR="00330118">
          <w:rPr>
            <w:sz w:val="16"/>
          </w:rPr>
          <w:t xml:space="preserve">&lt;http://www.reporterbrasil.org.br/exibe.php?id=1238&gt;. </w:t>
        </w:r>
      </w:hyperlink>
      <w:r w:rsidR="00330118">
        <w:rPr>
          <w:sz w:val="16"/>
        </w:rPr>
        <w:t>Acesso em: 25 out. 2010.</w:t>
      </w:r>
    </w:p>
    <w:p w:rsidR="00D81F69" w:rsidRDefault="00330118">
      <w:pPr>
        <w:spacing w:before="2" w:line="312" w:lineRule="auto"/>
        <w:ind w:left="100" w:right="38"/>
        <w:jc w:val="both"/>
        <w:rPr>
          <w:sz w:val="16"/>
        </w:rPr>
      </w:pPr>
      <w:r>
        <w:rPr>
          <w:sz w:val="16"/>
        </w:rPr>
        <w:t xml:space="preserve">IBGE. Instituto Brasileiro de Geografia e Estatística. Marabá (PA). In:   </w:t>
      </w:r>
      <w:r>
        <w:rPr>
          <w:spacing w:val="6"/>
          <w:sz w:val="16"/>
        </w:rPr>
        <w:t xml:space="preserve">I B G </w:t>
      </w:r>
      <w:r>
        <w:rPr>
          <w:sz w:val="16"/>
        </w:rPr>
        <w:t xml:space="preserve">E </w:t>
      </w:r>
      <w:r>
        <w:rPr>
          <w:spacing w:val="6"/>
          <w:sz w:val="16"/>
        </w:rPr>
        <w:t xml:space="preserve">C i d a d e s </w:t>
      </w:r>
      <w:r>
        <w:rPr>
          <w:sz w:val="16"/>
        </w:rPr>
        <w:t xml:space="preserve">, </w:t>
      </w:r>
      <w:r>
        <w:rPr>
          <w:spacing w:val="6"/>
          <w:sz w:val="16"/>
        </w:rPr>
        <w:t xml:space="preserve">2 0 1 0 a </w:t>
      </w:r>
      <w:r>
        <w:rPr>
          <w:sz w:val="16"/>
        </w:rPr>
        <w:t xml:space="preserve">. </w:t>
      </w:r>
      <w:r>
        <w:rPr>
          <w:spacing w:val="6"/>
          <w:sz w:val="16"/>
        </w:rPr>
        <w:t xml:space="preserve">D i s p o n í v e </w:t>
      </w:r>
      <w:r>
        <w:rPr>
          <w:sz w:val="16"/>
        </w:rPr>
        <w:t>l</w:t>
      </w:r>
      <w:r>
        <w:rPr>
          <w:spacing w:val="31"/>
          <w:sz w:val="16"/>
        </w:rPr>
        <w:t xml:space="preserve"> </w:t>
      </w:r>
      <w:r>
        <w:rPr>
          <w:spacing w:val="6"/>
          <w:sz w:val="16"/>
        </w:rPr>
        <w:t xml:space="preserve">e m </w:t>
      </w:r>
      <w:r>
        <w:rPr>
          <w:sz w:val="16"/>
        </w:rPr>
        <w:t>:</w:t>
      </w:r>
      <w:r>
        <w:rPr>
          <w:spacing w:val="7"/>
          <w:sz w:val="16"/>
        </w:rPr>
        <w:t xml:space="preserve"> </w:t>
      </w:r>
    </w:p>
    <w:p w:rsidR="00D81F69" w:rsidRDefault="00D81F69">
      <w:pPr>
        <w:spacing w:before="2"/>
        <w:ind w:left="100"/>
        <w:jc w:val="both"/>
        <w:rPr>
          <w:sz w:val="16"/>
        </w:rPr>
      </w:pPr>
      <w:hyperlink r:id="rId440">
        <w:r w:rsidR="00330118">
          <w:rPr>
            <w:sz w:val="16"/>
          </w:rPr>
          <w:t>&lt;http://www.ibge.gov.br/cidadesat/xtras/perfil.php?codmun=150420&amp;r</w:t>
        </w:r>
      </w:hyperlink>
    </w:p>
    <w:p w:rsidR="00D81F69" w:rsidRDefault="00330118">
      <w:pPr>
        <w:spacing w:before="56"/>
        <w:ind w:left="100"/>
        <w:jc w:val="both"/>
        <w:rPr>
          <w:sz w:val="16"/>
        </w:rPr>
      </w:pPr>
      <w:r>
        <w:rPr>
          <w:sz w:val="16"/>
        </w:rPr>
        <w:t>=2&gt;. Acesso em: 08 fev. 2011.</w:t>
      </w:r>
    </w:p>
    <w:p w:rsidR="00D81F69" w:rsidRDefault="00330118">
      <w:pPr>
        <w:tabs>
          <w:tab w:val="left" w:pos="634"/>
          <w:tab w:val="left" w:pos="2559"/>
          <w:tab w:val="left" w:pos="5063"/>
        </w:tabs>
        <w:spacing w:before="56" w:line="312" w:lineRule="auto"/>
        <w:ind w:left="100" w:right="91"/>
        <w:jc w:val="both"/>
        <w:rPr>
          <w:sz w:val="16"/>
        </w:rPr>
      </w:pPr>
      <w:r>
        <w:rPr>
          <w:sz w:val="16"/>
          <w:u w:val="single"/>
        </w:rPr>
        <w:t xml:space="preserve"> </w:t>
      </w:r>
      <w:r>
        <w:rPr>
          <w:sz w:val="16"/>
          <w:u w:val="single"/>
        </w:rPr>
        <w:tab/>
      </w:r>
      <w:r>
        <w:rPr>
          <w:sz w:val="16"/>
        </w:rPr>
        <w:t>. Açailândia (MA), 2010b. In: IBGE Cidades, 2010a. Disponível e</w:t>
      </w:r>
      <w:r>
        <w:rPr>
          <w:sz w:val="16"/>
        </w:rPr>
        <w:tab/>
      </w:r>
      <w:r>
        <w:rPr>
          <w:sz w:val="16"/>
        </w:rPr>
        <w:tab/>
        <w:t>m</w:t>
      </w:r>
      <w:r>
        <w:rPr>
          <w:sz w:val="16"/>
        </w:rPr>
        <w:tab/>
        <w:t>:</w:t>
      </w:r>
    </w:p>
    <w:p w:rsidR="00D81F69" w:rsidRDefault="00D81F69">
      <w:pPr>
        <w:spacing w:before="1"/>
        <w:ind w:left="100"/>
        <w:jc w:val="both"/>
        <w:rPr>
          <w:sz w:val="16"/>
        </w:rPr>
      </w:pPr>
      <w:hyperlink r:id="rId441">
        <w:r w:rsidR="00330118">
          <w:rPr>
            <w:sz w:val="16"/>
          </w:rPr>
          <w:t>&lt;http://www.ibge.gov.br/cidadesat/xtras/perfil.php?codmun=210005&amp;r</w:t>
        </w:r>
      </w:hyperlink>
    </w:p>
    <w:p w:rsidR="00D81F69" w:rsidRDefault="00330118">
      <w:pPr>
        <w:spacing w:before="56"/>
        <w:ind w:left="100"/>
        <w:jc w:val="both"/>
        <w:rPr>
          <w:sz w:val="16"/>
        </w:rPr>
      </w:pPr>
      <w:r>
        <w:rPr>
          <w:sz w:val="16"/>
        </w:rPr>
        <w:t>=2&gt;. Acesso em: 08 fev. 2011.</w:t>
      </w:r>
    </w:p>
    <w:p w:rsidR="00D81F69" w:rsidRDefault="00330118">
      <w:pPr>
        <w:spacing w:before="56"/>
        <w:ind w:left="100"/>
        <w:jc w:val="both"/>
        <w:rPr>
          <w:sz w:val="16"/>
        </w:rPr>
      </w:pPr>
      <w:r>
        <w:rPr>
          <w:sz w:val="16"/>
        </w:rPr>
        <w:t>ICC, Instituto Carvão Cidadão. A empresa. Disponível em:</w:t>
      </w:r>
    </w:p>
    <w:p w:rsidR="00D81F69" w:rsidRDefault="00D81F69">
      <w:pPr>
        <w:spacing w:before="56" w:line="312" w:lineRule="auto"/>
        <w:ind w:left="100" w:right="86"/>
        <w:jc w:val="both"/>
        <w:rPr>
          <w:sz w:val="16"/>
        </w:rPr>
      </w:pPr>
      <w:hyperlink r:id="rId442">
        <w:r w:rsidR="00330118">
          <w:rPr>
            <w:sz w:val="16"/>
          </w:rPr>
          <w:t>&lt;http://www.carvaocidadao.org.br/empresa/&gt;.</w:t>
        </w:r>
      </w:hyperlink>
      <w:r w:rsidR="00330118">
        <w:rPr>
          <w:sz w:val="16"/>
        </w:rPr>
        <w:t xml:space="preserve"> Acesso em: 25 out. 2010.</w:t>
      </w:r>
    </w:p>
    <w:p w:rsidR="00D81F69" w:rsidRDefault="00330118">
      <w:pPr>
        <w:tabs>
          <w:tab w:val="left" w:pos="2559"/>
          <w:tab w:val="left" w:pos="5063"/>
        </w:tabs>
        <w:spacing w:before="2" w:line="312" w:lineRule="auto"/>
        <w:ind w:left="100" w:right="91"/>
        <w:jc w:val="both"/>
        <w:rPr>
          <w:sz w:val="16"/>
        </w:rPr>
      </w:pPr>
      <w:r>
        <w:rPr>
          <w:sz w:val="16"/>
        </w:rPr>
        <w:t>LIMA, Wilson. Açailândia atrai investimentos e se torna metrópole do futuro. Prefeitura Municipal de Açailândia, 08 set. 2010. Disponível     e</w:t>
      </w:r>
      <w:r>
        <w:rPr>
          <w:sz w:val="16"/>
        </w:rPr>
        <w:tab/>
        <w:t>m</w:t>
      </w:r>
      <w:r>
        <w:rPr>
          <w:sz w:val="16"/>
        </w:rPr>
        <w:tab/>
      </w:r>
      <w:r>
        <w:rPr>
          <w:sz w:val="16"/>
        </w:rPr>
        <w:t>:</w:t>
      </w:r>
    </w:p>
    <w:p w:rsidR="00D81F69" w:rsidRDefault="00D81F69">
      <w:pPr>
        <w:spacing w:before="2"/>
        <w:ind w:left="100"/>
        <w:jc w:val="both"/>
        <w:rPr>
          <w:sz w:val="16"/>
        </w:rPr>
      </w:pPr>
      <w:hyperlink r:id="rId443">
        <w:r w:rsidR="00330118">
          <w:rPr>
            <w:sz w:val="16"/>
          </w:rPr>
          <w:t>&lt;http://www.acailandia.ma.gov.br/2010/index.php?op=noticia&amp;id=134</w:t>
        </w:r>
      </w:hyperlink>
    </w:p>
    <w:p w:rsidR="00D81F69" w:rsidRDefault="00330118">
      <w:pPr>
        <w:spacing w:before="56"/>
        <w:ind w:left="100"/>
        <w:jc w:val="both"/>
        <w:rPr>
          <w:sz w:val="16"/>
        </w:rPr>
      </w:pPr>
      <w:r>
        <w:rPr>
          <w:sz w:val="16"/>
        </w:rPr>
        <w:t>&gt;. Acesso em: 14 out. 2010.</w:t>
      </w:r>
    </w:p>
    <w:p w:rsidR="00D81F69" w:rsidRDefault="00330118">
      <w:pPr>
        <w:spacing w:before="56"/>
        <w:ind w:left="100"/>
        <w:jc w:val="both"/>
        <w:rPr>
          <w:sz w:val="16"/>
        </w:rPr>
      </w:pPr>
      <w:r>
        <w:rPr>
          <w:sz w:val="16"/>
        </w:rPr>
        <w:t>MAPA DA INJUSTIÇA ABIENTAL E SAÚDE NO BRASIL. Indústria</w:t>
      </w:r>
    </w:p>
    <w:p w:rsidR="00D81F69" w:rsidRDefault="00330118">
      <w:pPr>
        <w:spacing w:before="70" w:line="312" w:lineRule="auto"/>
        <w:ind w:left="100" w:right="251"/>
        <w:jc w:val="both"/>
        <w:rPr>
          <w:sz w:val="16"/>
        </w:rPr>
      </w:pPr>
      <w:r>
        <w:br w:type="column"/>
      </w:r>
      <w:r>
        <w:rPr>
          <w:sz w:val="16"/>
        </w:rPr>
        <w:lastRenderedPageBreak/>
        <w:t>guseira, contaminação da água, falta de segurança e condições impróprias à vida e à saúde</w:t>
      </w:r>
    </w:p>
    <w:p w:rsidR="00D81F69" w:rsidRDefault="00330118">
      <w:pPr>
        <w:spacing w:before="1"/>
        <w:ind w:left="100"/>
        <w:jc w:val="both"/>
        <w:rPr>
          <w:sz w:val="16"/>
        </w:rPr>
      </w:pPr>
      <w:r>
        <w:rPr>
          <w:sz w:val="16"/>
        </w:rPr>
        <w:t>dos moradores do Distrito Industrial de Pequiá (Açailândia), 04 out.</w:t>
      </w:r>
    </w:p>
    <w:p w:rsidR="00D81F69" w:rsidRDefault="00330118">
      <w:pPr>
        <w:tabs>
          <w:tab w:val="left" w:pos="1785"/>
          <w:tab w:val="left" w:pos="4548"/>
        </w:tabs>
        <w:spacing w:before="56"/>
        <w:ind w:left="100"/>
        <w:jc w:val="both"/>
        <w:rPr>
          <w:sz w:val="16"/>
        </w:rPr>
      </w:pPr>
      <w:r>
        <w:rPr>
          <w:sz w:val="16"/>
        </w:rPr>
        <w:t xml:space="preserve">2   0   0  </w:t>
      </w:r>
      <w:r>
        <w:rPr>
          <w:spacing w:val="35"/>
          <w:sz w:val="16"/>
        </w:rPr>
        <w:t xml:space="preserve"> </w:t>
      </w:r>
      <w:r>
        <w:rPr>
          <w:sz w:val="16"/>
        </w:rPr>
        <w:t xml:space="preserve">9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56"/>
        <w:jc w:val="both"/>
        <w:rPr>
          <w:sz w:val="16"/>
        </w:rPr>
      </w:pPr>
      <w:hyperlink r:id="rId444">
        <w:r w:rsidR="00330118">
          <w:rPr>
            <w:sz w:val="16"/>
          </w:rPr>
          <w:t>&lt;http://www.conflitoambiental.icict.fiocruz.br/index.php?pag=ficha&amp;co</w:t>
        </w:r>
      </w:hyperlink>
      <w:r w:rsidR="00330118">
        <w:rPr>
          <w:sz w:val="16"/>
        </w:rPr>
        <w:t xml:space="preserve"> d=50&gt;. Acesso em: 14 out. 2010.</w:t>
      </w:r>
    </w:p>
    <w:p w:rsidR="00D81F69" w:rsidRDefault="00330118">
      <w:pPr>
        <w:spacing w:before="2" w:line="312" w:lineRule="auto"/>
        <w:ind w:left="100" w:right="203"/>
        <w:jc w:val="both"/>
        <w:rPr>
          <w:sz w:val="16"/>
        </w:rPr>
      </w:pPr>
      <w:r>
        <w:rPr>
          <w:sz w:val="16"/>
        </w:rPr>
        <w:t xml:space="preserve">MILANEZ, Bruno; PORTO, Marcelo Firpo de Souza. A ferro e fogo: </w:t>
      </w:r>
      <w:r>
        <w:rPr>
          <w:spacing w:val="5"/>
          <w:sz w:val="16"/>
        </w:rPr>
        <w:t>imp</w:t>
      </w:r>
      <w:r>
        <w:rPr>
          <w:spacing w:val="5"/>
          <w:sz w:val="16"/>
        </w:rPr>
        <w:t xml:space="preserve">actos </w:t>
      </w:r>
      <w:r>
        <w:rPr>
          <w:spacing w:val="2"/>
          <w:sz w:val="16"/>
        </w:rPr>
        <w:t xml:space="preserve">da </w:t>
      </w:r>
      <w:r>
        <w:rPr>
          <w:spacing w:val="5"/>
          <w:sz w:val="16"/>
        </w:rPr>
        <w:t xml:space="preserve">siderurgia </w:t>
      </w:r>
      <w:r>
        <w:rPr>
          <w:spacing w:val="3"/>
          <w:sz w:val="16"/>
        </w:rPr>
        <w:t xml:space="preserve">para </w:t>
      </w:r>
      <w:r>
        <w:rPr>
          <w:sz w:val="16"/>
        </w:rPr>
        <w:t xml:space="preserve">o </w:t>
      </w:r>
      <w:r>
        <w:rPr>
          <w:spacing w:val="5"/>
          <w:sz w:val="16"/>
        </w:rPr>
        <w:t xml:space="preserve">ambiente </w:t>
      </w:r>
      <w:r>
        <w:rPr>
          <w:sz w:val="16"/>
        </w:rPr>
        <w:t xml:space="preserve">e a </w:t>
      </w:r>
      <w:r>
        <w:rPr>
          <w:spacing w:val="5"/>
          <w:sz w:val="16"/>
        </w:rPr>
        <w:t xml:space="preserve">sociedade </w:t>
      </w:r>
      <w:r>
        <w:rPr>
          <w:spacing w:val="3"/>
          <w:sz w:val="16"/>
        </w:rPr>
        <w:t xml:space="preserve">após </w:t>
      </w:r>
      <w:r>
        <w:rPr>
          <w:sz w:val="16"/>
        </w:rPr>
        <w:t xml:space="preserve">a reestruturação dos anos 1990, IV Encontro Nacional da Anppas, 4 a 6 </w:t>
      </w:r>
      <w:r>
        <w:rPr>
          <w:spacing w:val="25"/>
          <w:sz w:val="16"/>
        </w:rPr>
        <w:t>jun.</w:t>
      </w:r>
      <w:r>
        <w:rPr>
          <w:spacing w:val="95"/>
          <w:sz w:val="16"/>
        </w:rPr>
        <w:t xml:space="preserve"> </w:t>
      </w:r>
      <w:r>
        <w:rPr>
          <w:spacing w:val="16"/>
          <w:sz w:val="16"/>
        </w:rPr>
        <w:t xml:space="preserve">de </w:t>
      </w:r>
      <w:r>
        <w:rPr>
          <w:spacing w:val="27"/>
          <w:sz w:val="16"/>
        </w:rPr>
        <w:t xml:space="preserve">2008, </w:t>
      </w:r>
      <w:r>
        <w:rPr>
          <w:spacing w:val="30"/>
          <w:sz w:val="16"/>
        </w:rPr>
        <w:t xml:space="preserve">Brasília </w:t>
      </w:r>
      <w:r>
        <w:rPr>
          <w:spacing w:val="27"/>
          <w:sz w:val="16"/>
        </w:rPr>
        <w:t xml:space="preserve">(DF). </w:t>
      </w:r>
      <w:r>
        <w:rPr>
          <w:spacing w:val="30"/>
          <w:sz w:val="16"/>
        </w:rPr>
        <w:t xml:space="preserve">Disponível </w:t>
      </w:r>
      <w:r>
        <w:rPr>
          <w:spacing w:val="22"/>
          <w:sz w:val="16"/>
        </w:rPr>
        <w:t>em:</w:t>
      </w:r>
      <w:r>
        <w:rPr>
          <w:spacing w:val="-10"/>
          <w:sz w:val="16"/>
        </w:rPr>
        <w:t xml:space="preserve"> </w:t>
      </w:r>
    </w:p>
    <w:p w:rsidR="00D81F69" w:rsidRDefault="00D81F69">
      <w:pPr>
        <w:spacing w:before="3" w:line="312" w:lineRule="auto"/>
        <w:ind w:left="100" w:right="249"/>
        <w:jc w:val="both"/>
        <w:rPr>
          <w:sz w:val="16"/>
        </w:rPr>
      </w:pPr>
      <w:hyperlink r:id="rId445">
        <w:r w:rsidR="00330118">
          <w:rPr>
            <w:sz w:val="16"/>
          </w:rPr>
          <w:t>&lt;http://www.</w:t>
        </w:r>
        <w:r w:rsidR="00330118">
          <w:rPr>
            <w:sz w:val="16"/>
          </w:rPr>
          <w:t>anppas.org.br/encontro4/cd/ARQUIVOS/GT6-61-8-</w:t>
        </w:r>
      </w:hyperlink>
      <w:r w:rsidR="00330118">
        <w:rPr>
          <w:sz w:val="16"/>
        </w:rPr>
        <w:t xml:space="preserve"> 20080509163054.pdf&gt;. Acesso em: 14 out. 2010.</w:t>
      </w:r>
    </w:p>
    <w:p w:rsidR="00D81F69" w:rsidRDefault="00330118">
      <w:pPr>
        <w:tabs>
          <w:tab w:val="left" w:pos="2559"/>
          <w:tab w:val="left" w:pos="5063"/>
        </w:tabs>
        <w:spacing w:before="2" w:line="312" w:lineRule="auto"/>
        <w:ind w:left="100" w:right="240"/>
        <w:jc w:val="both"/>
        <w:rPr>
          <w:sz w:val="16"/>
        </w:rPr>
      </w:pPr>
      <w:r>
        <w:rPr>
          <w:sz w:val="16"/>
        </w:rPr>
        <w:t>MMA – MINISTÉRIO DO MEIO AMBIENTE. DFS Carajás. Disponível e</w:t>
      </w:r>
      <w:r>
        <w:rPr>
          <w:sz w:val="16"/>
        </w:rPr>
        <w:tab/>
        <w:t>m</w:t>
      </w:r>
      <w:r>
        <w:rPr>
          <w:sz w:val="16"/>
        </w:rPr>
        <w:tab/>
        <w:t>:</w:t>
      </w:r>
    </w:p>
    <w:p w:rsidR="00D81F69" w:rsidRDefault="00D81F69">
      <w:pPr>
        <w:spacing w:before="1" w:line="312" w:lineRule="auto"/>
        <w:ind w:left="100" w:right="257"/>
        <w:jc w:val="both"/>
        <w:rPr>
          <w:sz w:val="16"/>
        </w:rPr>
      </w:pPr>
      <w:hyperlink r:id="rId446">
        <w:r w:rsidR="00330118">
          <w:rPr>
            <w:sz w:val="16"/>
          </w:rPr>
          <w:t>&lt;http://www.mma</w:t>
        </w:r>
        <w:r w:rsidR="00330118">
          <w:rPr>
            <w:sz w:val="16"/>
          </w:rPr>
          <w:t>.gov.br/index.php?ido=conteudo.monta&amp;idEstrutura=</w:t>
        </w:r>
      </w:hyperlink>
      <w:r w:rsidR="00330118">
        <w:rPr>
          <w:sz w:val="16"/>
        </w:rPr>
        <w:t xml:space="preserve"> 95&amp;idMenu=4881&gt;. Acesso em: 25 out. 2010.</w:t>
      </w:r>
    </w:p>
    <w:p w:rsidR="00D81F69" w:rsidRDefault="00330118">
      <w:pPr>
        <w:spacing w:before="2" w:line="312" w:lineRule="auto"/>
        <w:ind w:left="100" w:right="236"/>
        <w:jc w:val="both"/>
        <w:rPr>
          <w:sz w:val="16"/>
        </w:rPr>
      </w:pPr>
      <w:r>
        <w:rPr>
          <w:sz w:val="16"/>
        </w:rPr>
        <w:t>MONTEIRO, Maurílio de Abreu. Siderurgia na Amazônia Oriental brasileira e a pressão sobre a floresta primária. II Encontro da Anppas, 26 a 29 mai. 2004, Indaiatuba, São Paulo. Disponível em:</w:t>
      </w:r>
    </w:p>
    <w:p w:rsidR="00D81F69" w:rsidRDefault="00D81F69">
      <w:pPr>
        <w:spacing w:before="3" w:line="312" w:lineRule="auto"/>
        <w:ind w:left="100" w:right="256"/>
        <w:jc w:val="both"/>
        <w:rPr>
          <w:sz w:val="16"/>
        </w:rPr>
      </w:pPr>
      <w:hyperlink r:id="rId447">
        <w:r w:rsidR="00330118">
          <w:rPr>
            <w:sz w:val="16"/>
          </w:rPr>
          <w:t>&lt;http://www.anppas.org.br/encontro_anual/encontro2/GT/GT16/gt16_</w:t>
        </w:r>
      </w:hyperlink>
      <w:r w:rsidR="00330118">
        <w:rPr>
          <w:sz w:val="16"/>
        </w:rPr>
        <w:t xml:space="preserve"> maurilio.pdf&gt;. Acesso em: 14 out. 2010.</w:t>
      </w:r>
    </w:p>
    <w:p w:rsidR="00D81F69" w:rsidRDefault="00330118">
      <w:pPr>
        <w:spacing w:before="1" w:line="312" w:lineRule="auto"/>
        <w:ind w:left="100" w:right="232"/>
        <w:jc w:val="both"/>
        <w:rPr>
          <w:sz w:val="16"/>
        </w:rPr>
      </w:pPr>
      <w:r>
        <w:rPr>
          <w:sz w:val="16"/>
        </w:rPr>
        <w:t>______. Em busca de carvão vegetal barato: o deslocamento de siderúrgicas para a Amazônia. Novos Cadernos do Núcleo de Altos Estudos Am</w:t>
      </w:r>
      <w:r>
        <w:rPr>
          <w:sz w:val="16"/>
        </w:rPr>
        <w:t>azônicos (NAEA), v. 9, n. 2, 2006. Disponível em:</w:t>
      </w:r>
    </w:p>
    <w:p w:rsidR="00D81F69" w:rsidRDefault="00D81F69">
      <w:pPr>
        <w:spacing w:before="3" w:line="312" w:lineRule="auto"/>
        <w:ind w:left="100" w:right="248"/>
        <w:jc w:val="both"/>
        <w:rPr>
          <w:sz w:val="16"/>
        </w:rPr>
      </w:pPr>
      <w:hyperlink r:id="rId448">
        <w:r w:rsidR="00330118">
          <w:rPr>
            <w:sz w:val="16"/>
          </w:rPr>
          <w:t>&lt;http://www3.ufpa.br/projetomineracao/docs/estrut/NCN-2007-</w:t>
        </w:r>
      </w:hyperlink>
      <w:r w:rsidR="00330118">
        <w:rPr>
          <w:sz w:val="16"/>
        </w:rPr>
        <w:t xml:space="preserve"> 87.pdf&gt;. Acesso em: 14 out. 2010.</w:t>
      </w:r>
    </w:p>
    <w:p w:rsidR="00D81F69" w:rsidRDefault="00330118">
      <w:pPr>
        <w:spacing w:before="1" w:line="312" w:lineRule="auto"/>
        <w:ind w:left="100" w:right="195"/>
        <w:jc w:val="both"/>
        <w:rPr>
          <w:sz w:val="16"/>
        </w:rPr>
      </w:pPr>
      <w:r>
        <w:rPr>
          <w:sz w:val="16"/>
        </w:rPr>
        <w:t xml:space="preserve">______. A produção de carvão vegetal na Amazônia: realidades e alternativas. Paper do Núcleo de Altos Estudos Amazônicos (NAEA), Edição n. 1, junho 2004. Disponível em: </w:t>
      </w:r>
    </w:p>
    <w:p w:rsidR="00D81F69" w:rsidRDefault="00D81F69">
      <w:pPr>
        <w:spacing w:before="3" w:line="312" w:lineRule="auto"/>
        <w:ind w:left="100" w:right="238"/>
        <w:jc w:val="both"/>
        <w:rPr>
          <w:sz w:val="16"/>
        </w:rPr>
      </w:pPr>
      <w:hyperlink r:id="rId449">
        <w:r w:rsidR="00330118">
          <w:rPr>
            <w:sz w:val="16"/>
          </w:rPr>
          <w:t>&lt;http://www.ufpa.br/naea/</w:t>
        </w:r>
        <w:r w:rsidR="00330118">
          <w:rPr>
            <w:sz w:val="16"/>
          </w:rPr>
          <w:t xml:space="preserve">papers.php?mvitem=3&gt;. </w:t>
        </w:r>
      </w:hyperlink>
      <w:r w:rsidR="00330118">
        <w:rPr>
          <w:sz w:val="16"/>
        </w:rPr>
        <w:t>Acesso em: 23 jul. 2012.</w:t>
      </w:r>
    </w:p>
    <w:p w:rsidR="00D81F69" w:rsidRDefault="00330118">
      <w:pPr>
        <w:spacing w:before="1" w:line="312" w:lineRule="auto"/>
        <w:ind w:left="100" w:right="221"/>
        <w:jc w:val="both"/>
        <w:rPr>
          <w:sz w:val="16"/>
        </w:rPr>
      </w:pPr>
      <w:r>
        <w:rPr>
          <w:sz w:val="16"/>
        </w:rPr>
        <w:t xml:space="preserve">PARANEGÓCIOS. Vale corta o fornecimento de minério de ferro para as primeiras quatro guseiras do pólo de Carajás. In: Instituto Brasileiro de Mineração (IBRAM), 26 out. 2007. Disponível em: </w:t>
      </w:r>
    </w:p>
    <w:p w:rsidR="00D81F69" w:rsidRDefault="00D81F69">
      <w:pPr>
        <w:spacing w:before="3" w:line="312" w:lineRule="auto"/>
        <w:ind w:left="100" w:right="236"/>
        <w:jc w:val="both"/>
        <w:rPr>
          <w:sz w:val="16"/>
        </w:rPr>
      </w:pPr>
      <w:hyperlink r:id="rId450">
        <w:r w:rsidR="00330118">
          <w:rPr>
            <w:sz w:val="16"/>
          </w:rPr>
          <w:t>&lt;http://www.ibram.org.br/150/15001002.asp?ttCD_CHAVE=45918&gt;.</w:t>
        </w:r>
      </w:hyperlink>
      <w:r w:rsidR="00330118">
        <w:rPr>
          <w:sz w:val="16"/>
        </w:rPr>
        <w:t xml:space="preserve"> Acesso em: 15 out. 2010.</w:t>
      </w:r>
    </w:p>
    <w:p w:rsidR="00D81F69" w:rsidRDefault="00330118">
      <w:pPr>
        <w:spacing w:before="2"/>
        <w:ind w:left="100"/>
        <w:jc w:val="both"/>
        <w:rPr>
          <w:sz w:val="16"/>
        </w:rPr>
      </w:pPr>
      <w:r>
        <w:rPr>
          <w:sz w:val="16"/>
        </w:rPr>
        <w:t>PREFEITURA MUNICIPAL DE  AÇAILÂNDIA. Histórico   da  cidade,</w:t>
      </w:r>
    </w:p>
    <w:p w:rsidR="00D81F69" w:rsidRDefault="00330118">
      <w:pPr>
        <w:tabs>
          <w:tab w:val="left" w:pos="1785"/>
          <w:tab w:val="left" w:pos="4548"/>
        </w:tabs>
        <w:spacing w:before="56"/>
        <w:ind w:left="100"/>
        <w:jc w:val="both"/>
        <w:rPr>
          <w:sz w:val="16"/>
        </w:rPr>
      </w:pPr>
      <w:r>
        <w:rPr>
          <w:sz w:val="16"/>
        </w:rPr>
        <w:t xml:space="preserve">2   0   1  </w:t>
      </w:r>
      <w:r>
        <w:rPr>
          <w:spacing w:val="35"/>
          <w:sz w:val="16"/>
        </w:rPr>
        <w:t xml:space="preserve"> </w:t>
      </w:r>
      <w:r>
        <w:rPr>
          <w:sz w:val="16"/>
        </w:rPr>
        <w:t xml:space="preserve">0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z w:val="16"/>
        </w:rPr>
        <w:t xml:space="preserv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31"/>
        <w:jc w:val="both"/>
        <w:rPr>
          <w:sz w:val="16"/>
        </w:rPr>
      </w:pPr>
      <w:hyperlink r:id="rId451">
        <w:r w:rsidR="00330118">
          <w:rPr>
            <w:sz w:val="16"/>
          </w:rPr>
          <w:t>&lt;http://www.acailandia.ma.gov.br/2010/index.php?op=historia&gt;.</w:t>
        </w:r>
      </w:hyperlink>
      <w:r w:rsidR="00330118">
        <w:rPr>
          <w:sz w:val="16"/>
        </w:rPr>
        <w:t xml:space="preserve"> Acesso em: 14 out. 2010.</w:t>
      </w:r>
    </w:p>
    <w:p w:rsidR="00D81F69" w:rsidRDefault="00330118">
      <w:pPr>
        <w:spacing w:before="1"/>
        <w:ind w:left="100"/>
        <w:jc w:val="both"/>
        <w:rPr>
          <w:sz w:val="16"/>
        </w:rPr>
      </w:pPr>
      <w:r>
        <w:rPr>
          <w:sz w:val="16"/>
        </w:rPr>
        <w:t>PREFEITURA  MUNICIPAL  DE  MARABÁ.  A  Cidade -  Histórico,</w:t>
      </w:r>
    </w:p>
    <w:p w:rsidR="00D81F69" w:rsidRDefault="00330118">
      <w:pPr>
        <w:spacing w:before="56"/>
        <w:ind w:left="100"/>
        <w:jc w:val="both"/>
        <w:rPr>
          <w:sz w:val="16"/>
        </w:rPr>
      </w:pPr>
      <w:r>
        <w:rPr>
          <w:spacing w:val="22"/>
          <w:sz w:val="16"/>
        </w:rPr>
        <w:t xml:space="preserve">Localização,   </w:t>
      </w:r>
      <w:r>
        <w:rPr>
          <w:spacing w:val="20"/>
          <w:sz w:val="16"/>
        </w:rPr>
        <w:t>Dado</w:t>
      </w:r>
      <w:r>
        <w:rPr>
          <w:spacing w:val="20"/>
          <w:sz w:val="16"/>
        </w:rPr>
        <w:t xml:space="preserve">s   </w:t>
      </w:r>
      <w:r>
        <w:rPr>
          <w:sz w:val="16"/>
        </w:rPr>
        <w:t xml:space="preserve">e    </w:t>
      </w:r>
      <w:r>
        <w:rPr>
          <w:spacing w:val="22"/>
          <w:sz w:val="16"/>
        </w:rPr>
        <w:t>Economia.   Disponível</w:t>
      </w:r>
      <w:r>
        <w:rPr>
          <w:spacing w:val="81"/>
          <w:sz w:val="16"/>
        </w:rPr>
        <w:t xml:space="preserve"> </w:t>
      </w:r>
      <w:r>
        <w:rPr>
          <w:spacing w:val="16"/>
          <w:sz w:val="16"/>
        </w:rPr>
        <w:t>em:</w:t>
      </w:r>
      <w:r>
        <w:rPr>
          <w:spacing w:val="-17"/>
          <w:sz w:val="16"/>
        </w:rPr>
        <w:t xml:space="preserve"> </w:t>
      </w:r>
    </w:p>
    <w:p w:rsidR="00D81F69" w:rsidRDefault="00D81F69">
      <w:pPr>
        <w:spacing w:before="56" w:line="312" w:lineRule="auto"/>
        <w:ind w:left="100" w:right="235"/>
        <w:jc w:val="both"/>
        <w:rPr>
          <w:sz w:val="16"/>
        </w:rPr>
      </w:pPr>
      <w:hyperlink r:id="rId452">
        <w:r w:rsidR="00330118">
          <w:rPr>
            <w:sz w:val="16"/>
          </w:rPr>
          <w:t xml:space="preserve">&lt;http://www.maraba.pa.gov.br/a_cidade.htm&gt;. </w:t>
        </w:r>
      </w:hyperlink>
      <w:r w:rsidR="00330118">
        <w:rPr>
          <w:sz w:val="16"/>
        </w:rPr>
        <w:t>Acesso em: 14 out. 2010.</w:t>
      </w:r>
    </w:p>
    <w:p w:rsidR="00D81F69" w:rsidRDefault="00330118">
      <w:pPr>
        <w:spacing w:before="2" w:line="312" w:lineRule="auto"/>
        <w:ind w:left="100" w:right="220"/>
        <w:jc w:val="both"/>
        <w:rPr>
          <w:sz w:val="16"/>
        </w:rPr>
      </w:pPr>
      <w:r>
        <w:rPr>
          <w:sz w:val="16"/>
        </w:rPr>
        <w:t xml:space="preserve">UHLIG, Alexandre; GOLDEMBERG, José; COELHO, Suani Teixeira. O </w:t>
      </w:r>
      <w:r>
        <w:rPr>
          <w:spacing w:val="2"/>
          <w:sz w:val="16"/>
        </w:rPr>
        <w:t xml:space="preserve">uso </w:t>
      </w:r>
      <w:r>
        <w:rPr>
          <w:spacing w:val="1"/>
          <w:sz w:val="16"/>
        </w:rPr>
        <w:t xml:space="preserve">de </w:t>
      </w:r>
      <w:r>
        <w:rPr>
          <w:spacing w:val="3"/>
          <w:sz w:val="16"/>
        </w:rPr>
        <w:t xml:space="preserve">carvão vegetal </w:t>
      </w:r>
      <w:r>
        <w:rPr>
          <w:spacing w:val="1"/>
          <w:sz w:val="16"/>
        </w:rPr>
        <w:t xml:space="preserve">na </w:t>
      </w:r>
      <w:r>
        <w:rPr>
          <w:spacing w:val="3"/>
          <w:sz w:val="16"/>
        </w:rPr>
        <w:t xml:space="preserve">indústria siderúrgica brasileira </w:t>
      </w:r>
      <w:r>
        <w:rPr>
          <w:sz w:val="16"/>
        </w:rPr>
        <w:t xml:space="preserve">e o impacto sobre as mudanças climáticas. Revista Brasileira de Energia, </w:t>
      </w:r>
      <w:r>
        <w:rPr>
          <w:spacing w:val="8"/>
          <w:sz w:val="16"/>
        </w:rPr>
        <w:t xml:space="preserve">v. </w:t>
      </w:r>
      <w:r>
        <w:rPr>
          <w:spacing w:val="11"/>
          <w:sz w:val="16"/>
        </w:rPr>
        <w:t xml:space="preserve">14, </w:t>
      </w:r>
      <w:r>
        <w:rPr>
          <w:spacing w:val="8"/>
          <w:sz w:val="16"/>
        </w:rPr>
        <w:t xml:space="preserve">n. 2, 2º </w:t>
      </w:r>
      <w:r>
        <w:rPr>
          <w:spacing w:val="12"/>
          <w:sz w:val="16"/>
        </w:rPr>
        <w:t xml:space="preserve">Sem. </w:t>
      </w:r>
      <w:r>
        <w:rPr>
          <w:spacing w:val="13"/>
          <w:sz w:val="16"/>
        </w:rPr>
        <w:t xml:space="preserve">2008, </w:t>
      </w:r>
      <w:r>
        <w:rPr>
          <w:spacing w:val="8"/>
          <w:sz w:val="16"/>
        </w:rPr>
        <w:t xml:space="preserve">p. </w:t>
      </w:r>
      <w:r>
        <w:rPr>
          <w:spacing w:val="15"/>
          <w:sz w:val="16"/>
        </w:rPr>
        <w:t>67-85. Disponível</w:t>
      </w:r>
      <w:r>
        <w:rPr>
          <w:spacing w:val="17"/>
          <w:sz w:val="16"/>
        </w:rPr>
        <w:t xml:space="preserve"> </w:t>
      </w:r>
      <w:r>
        <w:rPr>
          <w:spacing w:val="11"/>
          <w:sz w:val="16"/>
        </w:rPr>
        <w:t>em:</w:t>
      </w:r>
      <w:r>
        <w:rPr>
          <w:spacing w:val="-26"/>
          <w:sz w:val="16"/>
        </w:rPr>
        <w:t xml:space="preserve"> </w:t>
      </w:r>
    </w:p>
    <w:p w:rsidR="00D81F69" w:rsidRDefault="00D81F69">
      <w:pPr>
        <w:spacing w:before="3" w:line="312" w:lineRule="auto"/>
        <w:ind w:left="100" w:right="250"/>
        <w:jc w:val="both"/>
        <w:rPr>
          <w:sz w:val="16"/>
        </w:rPr>
      </w:pPr>
      <w:hyperlink r:id="rId453">
        <w:r w:rsidR="00330118">
          <w:rPr>
            <w:sz w:val="16"/>
          </w:rPr>
          <w:t>&lt;http://www.acen</w:t>
        </w:r>
        <w:r w:rsidR="00330118">
          <w:rPr>
            <w:sz w:val="16"/>
          </w:rPr>
          <w:t>debrasil.com.br/archives/v14n02_o-uso-de-carvao-</w:t>
        </w:r>
      </w:hyperlink>
      <w:r w:rsidR="00330118">
        <w:rPr>
          <w:sz w:val="16"/>
        </w:rPr>
        <w:t xml:space="preserve"> vegetal-na-industria-siderurgica-brasileira-e-o-impacto-sobre-as- mudancas-climaticas_1.pdf&gt;. Acesso em: 14 out. 2010.</w:t>
      </w:r>
    </w:p>
    <w:p w:rsidR="00D81F69" w:rsidRDefault="00330118">
      <w:pPr>
        <w:spacing w:before="3" w:line="312" w:lineRule="auto"/>
        <w:ind w:left="100" w:right="228"/>
        <w:jc w:val="both"/>
        <w:rPr>
          <w:sz w:val="16"/>
        </w:rPr>
      </w:pPr>
      <w:r>
        <w:rPr>
          <w:sz w:val="16"/>
        </w:rPr>
        <w:t xml:space="preserve">VERAS, Dauros; CASARA, Marques. Escravos do Aço. In: Observatório Social, Florianópolis </w:t>
      </w:r>
      <w:r>
        <w:rPr>
          <w:sz w:val="16"/>
        </w:rPr>
        <w:t>- SC, jun. 2004. Disponível em:</w:t>
      </w:r>
    </w:p>
    <w:p w:rsidR="00D81F69" w:rsidRDefault="00D81F69">
      <w:pPr>
        <w:spacing w:before="1" w:line="312" w:lineRule="auto"/>
        <w:ind w:left="100" w:right="256"/>
        <w:jc w:val="both"/>
        <w:rPr>
          <w:sz w:val="16"/>
        </w:rPr>
      </w:pPr>
      <w:hyperlink r:id="rId454">
        <w:r w:rsidR="00330118">
          <w:rPr>
            <w:sz w:val="16"/>
          </w:rPr>
          <w:t>&lt;http://www.os.org.br/arquivos_biblioteca/conteudo/1634revista6_2.p</w:t>
        </w:r>
      </w:hyperlink>
      <w:r w:rsidR="00330118">
        <w:rPr>
          <w:sz w:val="16"/>
        </w:rPr>
        <w:t xml:space="preserve"> df&gt;. Acesso em: 14 out. 2010.</w:t>
      </w:r>
    </w:p>
    <w:p w:rsidR="00D81F69" w:rsidRDefault="00D81F69">
      <w:pPr>
        <w:spacing w:line="312" w:lineRule="auto"/>
        <w:jc w:val="both"/>
        <w:rPr>
          <w:sz w:val="16"/>
        </w:rPr>
        <w:sectPr w:rsidR="00D81F69">
          <w:pgSz w:w="11900" w:h="16840"/>
          <w:pgMar w:top="740" w:right="460" w:bottom="720" w:left="620" w:header="0" w:footer="402" w:gutter="0"/>
          <w:cols w:num="2" w:space="720" w:equalWidth="0">
            <w:col w:w="5202" w:space="268"/>
            <w:col w:w="5350"/>
          </w:cols>
        </w:sectPr>
      </w:pPr>
    </w:p>
    <w:p w:rsidR="00D81F69" w:rsidRDefault="00330118">
      <w:pPr>
        <w:pStyle w:val="Heading1"/>
        <w:spacing w:line="208" w:lineRule="auto"/>
        <w:ind w:right="253"/>
        <w:jc w:val="both"/>
      </w:pPr>
      <w:r>
        <w:lastRenderedPageBreak/>
        <w:t>Garimpos ileg</w:t>
      </w:r>
      <w:r>
        <w:t>ais na região de Alto Alegre dos Parecis (RO) podem comprometer sítio arqueológico de valor histórico</w:t>
      </w:r>
    </w:p>
    <w:p w:rsidR="00D81F69" w:rsidRDefault="00D81F69">
      <w:pPr>
        <w:pStyle w:val="Corpodetexto"/>
        <w:ind w:left="0"/>
        <w:jc w:val="left"/>
        <w:rPr>
          <w:b/>
          <w:sz w:val="20"/>
        </w:rPr>
      </w:pPr>
    </w:p>
    <w:p w:rsidR="00D81F69" w:rsidRDefault="00D81F69">
      <w:pPr>
        <w:rPr>
          <w:sz w:val="20"/>
        </w:rPr>
        <w:sectPr w:rsidR="00D81F69">
          <w:pgSz w:w="11900" w:h="16840"/>
          <w:pgMar w:top="1080" w:right="460" w:bottom="7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20"/>
        <w:rPr>
          <w:i/>
          <w:sz w:val="14"/>
        </w:rPr>
      </w:pPr>
      <w:r>
        <w:rPr>
          <w:i/>
          <w:sz w:val="14"/>
        </w:rPr>
        <w:t>RO - Alta Floresta D'Oeste RO - Alto Alegre dos Parecis</w:t>
      </w:r>
    </w:p>
    <w:p w:rsidR="00D81F69" w:rsidRDefault="00D81F69">
      <w:pPr>
        <w:pStyle w:val="Corpodetexto"/>
        <w:spacing w:before="4"/>
        <w:ind w:left="0"/>
        <w:jc w:val="left"/>
        <w:rPr>
          <w:i/>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-12,1284</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-61,8515</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2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Em 2000, garimpeiros descobriram ocorrências de cobre em Alto Alegre dos Parecis (RO). Concomitantemente, as empresas Vale, Phelps Dodge e a Mineração Maracá obtiveram autorização do DNPM para pesquisar as reservas no local. Desde então, vêm sendo registra</w:t>
      </w:r>
      <w:r>
        <w:rPr>
          <w:i/>
          <w:sz w:val="16"/>
        </w:rPr>
        <w:t>das práticas de garimpo ilegal na região. A atividade compromete o sítio arqueológico que poderá ajudar a confirmar a presença do povo Inca na região.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2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line="312" w:lineRule="auto"/>
        <w:ind w:left="135" w:right="238"/>
      </w:pPr>
      <w:r>
        <w:t>representa apenas 1,7% das reservas mundiais (RODRIGUES; HEIDER; FONSECA, 2009). A produção</w:t>
      </w:r>
    </w:p>
    <w:p w:rsidR="00D81F69" w:rsidRDefault="00330118">
      <w:pPr>
        <w:pStyle w:val="Corpodetexto"/>
        <w:spacing w:before="2" w:line="312" w:lineRule="auto"/>
        <w:ind w:left="135" w:right="236"/>
      </w:pPr>
      <w:r>
        <w:t>brasileir</w:t>
      </w:r>
      <w:r>
        <w:t>a no mesmo ano ultrapassou 220 mil toneladas anuais de cobre contido em concentrado, sendo a maior parte oriunda de apenas dois estados, Pará e Goiás, que juntos respondem por cerca de 85% da produção nacional (FARIAS, 2009).</w:t>
      </w:r>
    </w:p>
    <w:p w:rsidR="00D81F69" w:rsidRDefault="00330118">
      <w:pPr>
        <w:pStyle w:val="Corpodetexto"/>
        <w:spacing w:before="135" w:line="312" w:lineRule="auto"/>
        <w:ind w:left="135" w:right="235"/>
      </w:pPr>
      <w:r>
        <w:t>Ainda em 2000, quando a jazida</w:t>
      </w:r>
      <w:r>
        <w:t xml:space="preserve"> de Rondônia foi descoberta, a </w:t>
      </w:r>
      <w:r>
        <w:rPr>
          <w:spacing w:val="10"/>
        </w:rPr>
        <w:t xml:space="preserve">Vale </w:t>
      </w:r>
      <w:r>
        <w:t xml:space="preserve">– </w:t>
      </w:r>
      <w:r>
        <w:rPr>
          <w:spacing w:val="11"/>
        </w:rPr>
        <w:t xml:space="preserve">então </w:t>
      </w:r>
      <w:r>
        <w:rPr>
          <w:spacing w:val="12"/>
        </w:rPr>
        <w:t xml:space="preserve">Companhia </w:t>
      </w:r>
      <w:r>
        <w:rPr>
          <w:spacing w:val="10"/>
        </w:rPr>
        <w:t xml:space="preserve">Vale </w:t>
      </w:r>
      <w:r>
        <w:rPr>
          <w:spacing w:val="6"/>
        </w:rPr>
        <w:t xml:space="preserve">do </w:t>
      </w:r>
      <w:r>
        <w:rPr>
          <w:spacing w:val="10"/>
        </w:rPr>
        <w:t xml:space="preserve">Rio Doce </w:t>
      </w:r>
      <w:r>
        <w:rPr>
          <w:spacing w:val="6"/>
        </w:rPr>
        <w:t xml:space="preserve">–, </w:t>
      </w:r>
      <w:r>
        <w:t xml:space="preserve">a norteamericana Phelps Dodge e a Mineração Maracá, ligada ao grupo Santa Elina, obtiveram autorização do DNPM para pesquisar as reservas no local. Na ocasião, nem o governo </w:t>
      </w:r>
      <w:r>
        <w:rPr>
          <w:spacing w:val="7"/>
        </w:rPr>
        <w:t>estadual</w:t>
      </w:r>
      <w:r>
        <w:rPr>
          <w:spacing w:val="7"/>
        </w:rPr>
        <w:t xml:space="preserve"> </w:t>
      </w:r>
      <w:r>
        <w:rPr>
          <w:spacing w:val="5"/>
        </w:rPr>
        <w:t xml:space="preserve">ou </w:t>
      </w:r>
      <w:r>
        <w:t xml:space="preserve">a </w:t>
      </w:r>
      <w:r>
        <w:rPr>
          <w:spacing w:val="7"/>
        </w:rPr>
        <w:t xml:space="preserve">Federação </w:t>
      </w:r>
      <w:r>
        <w:rPr>
          <w:spacing w:val="5"/>
        </w:rPr>
        <w:t xml:space="preserve">das </w:t>
      </w:r>
      <w:r>
        <w:rPr>
          <w:spacing w:val="8"/>
        </w:rPr>
        <w:t xml:space="preserve">Indústrias </w:t>
      </w:r>
      <w:r>
        <w:rPr>
          <w:spacing w:val="5"/>
        </w:rPr>
        <w:t xml:space="preserve">do </w:t>
      </w:r>
      <w:r>
        <w:rPr>
          <w:spacing w:val="7"/>
        </w:rPr>
        <w:t>Estado</w:t>
      </w:r>
      <w:r>
        <w:rPr>
          <w:spacing w:val="11"/>
        </w:rPr>
        <w:t xml:space="preserve"> </w:t>
      </w:r>
      <w:r>
        <w:rPr>
          <w:spacing w:val="10"/>
        </w:rPr>
        <w:t>de</w:t>
      </w:r>
    </w:p>
    <w:p w:rsidR="00D81F69" w:rsidRDefault="00D81F69">
      <w:pPr>
        <w:spacing w:line="312" w:lineRule="auto"/>
        <w:sectPr w:rsidR="00D81F69">
          <w:type w:val="continuous"/>
          <w:pgSz w:w="11900" w:h="16840"/>
          <w:pgMar w:top="720" w:right="460" w:bottom="280" w:left="620" w:header="720" w:footer="720" w:gutter="0"/>
          <w:cols w:num="3" w:space="720" w:equalWidth="0">
            <w:col w:w="1925" w:space="75"/>
            <w:col w:w="3122" w:space="313"/>
            <w:col w:w="5385"/>
          </w:cols>
        </w:sectPr>
      </w:pPr>
    </w:p>
    <w:p w:rsidR="00D81F69" w:rsidRDefault="00330118">
      <w:pPr>
        <w:pStyle w:val="Heading4"/>
        <w:spacing w:before="29"/>
      </w:pPr>
      <w:r>
        <w:lastRenderedPageBreak/>
        <w:t>APRESENTAÇÃO DE CASO</w:t>
      </w:r>
    </w:p>
    <w:p w:rsidR="00D81F69" w:rsidRDefault="00330118">
      <w:pPr>
        <w:pStyle w:val="Corpodetexto"/>
        <w:spacing w:before="170" w:line="312" w:lineRule="auto"/>
        <w:ind w:right="50"/>
      </w:pPr>
      <w:r>
        <w:t xml:space="preserve">A mineração de </w:t>
      </w:r>
      <w:hyperlink r:id="rId455">
        <w:r>
          <w:t xml:space="preserve">cobre </w:t>
        </w:r>
      </w:hyperlink>
      <w:r>
        <w:t xml:space="preserve">no Brasil está sob controle de apenas três empresas mineradoras: Vale, que em 2008 respondia por 56,9% da oferta, seguida pela Mineração Maracá S/A (28,5%) e </w:t>
      </w:r>
      <w:r>
        <w:rPr>
          <w:spacing w:val="5"/>
        </w:rPr>
        <w:t xml:space="preserve">Mineração Caraíba (12,1%). </w:t>
      </w:r>
      <w:r>
        <w:t xml:space="preserve">A </w:t>
      </w:r>
      <w:r>
        <w:rPr>
          <w:spacing w:val="5"/>
        </w:rPr>
        <w:t xml:space="preserve">partir </w:t>
      </w:r>
      <w:r>
        <w:rPr>
          <w:spacing w:val="2"/>
        </w:rPr>
        <w:t xml:space="preserve">de </w:t>
      </w:r>
      <w:r>
        <w:rPr>
          <w:spacing w:val="5"/>
        </w:rPr>
        <w:t xml:space="preserve">2016, </w:t>
      </w:r>
      <w:r>
        <w:rPr>
          <w:spacing w:val="3"/>
        </w:rPr>
        <w:t xml:space="preserve">com </w:t>
      </w:r>
      <w:r>
        <w:t>a entrada em operação de novos projetos em Carajá</w:t>
      </w:r>
      <w:r>
        <w:t xml:space="preserve">s, a Vale </w:t>
      </w:r>
      <w:r>
        <w:rPr>
          <w:spacing w:val="6"/>
        </w:rPr>
        <w:t xml:space="preserve">concentrará </w:t>
      </w:r>
      <w:r>
        <w:rPr>
          <w:spacing w:val="5"/>
        </w:rPr>
        <w:t xml:space="preserve">mais </w:t>
      </w:r>
      <w:r>
        <w:rPr>
          <w:spacing w:val="3"/>
        </w:rPr>
        <w:t xml:space="preserve">de </w:t>
      </w:r>
      <w:r>
        <w:rPr>
          <w:spacing w:val="5"/>
        </w:rPr>
        <w:t xml:space="preserve">80% </w:t>
      </w:r>
      <w:r>
        <w:rPr>
          <w:spacing w:val="3"/>
        </w:rPr>
        <w:t xml:space="preserve">da </w:t>
      </w:r>
      <w:r>
        <w:rPr>
          <w:spacing w:val="6"/>
        </w:rPr>
        <w:t xml:space="preserve">produção </w:t>
      </w:r>
      <w:r>
        <w:rPr>
          <w:spacing w:val="3"/>
        </w:rPr>
        <w:t xml:space="preserve">de </w:t>
      </w:r>
      <w:r>
        <w:rPr>
          <w:spacing w:val="7"/>
        </w:rPr>
        <w:t xml:space="preserve">concentrado </w:t>
      </w:r>
      <w:r>
        <w:rPr>
          <w:spacing w:val="1"/>
        </w:rPr>
        <w:t xml:space="preserve">(FARIAS, 2009). </w:t>
      </w:r>
      <w:r>
        <w:t xml:space="preserve">A </w:t>
      </w:r>
      <w:r>
        <w:rPr>
          <w:spacing w:val="1"/>
        </w:rPr>
        <w:t xml:space="preserve">meta </w:t>
      </w:r>
      <w:r>
        <w:t xml:space="preserve">da </w:t>
      </w:r>
      <w:r>
        <w:rPr>
          <w:spacing w:val="1"/>
        </w:rPr>
        <w:t xml:space="preserve">empresa </w:t>
      </w:r>
      <w:r>
        <w:t xml:space="preserve">é </w:t>
      </w:r>
      <w:r>
        <w:rPr>
          <w:spacing w:val="1"/>
        </w:rPr>
        <w:t xml:space="preserve">alcançar, </w:t>
      </w:r>
      <w:r>
        <w:t xml:space="preserve">até </w:t>
      </w:r>
      <w:r>
        <w:rPr>
          <w:spacing w:val="2"/>
        </w:rPr>
        <w:t xml:space="preserve">2017, </w:t>
      </w:r>
      <w:r>
        <w:t xml:space="preserve">produção anual de 1 milhão de toneladas de cobre contido, </w:t>
      </w:r>
      <w:r>
        <w:rPr>
          <w:spacing w:val="2"/>
        </w:rPr>
        <w:t xml:space="preserve">em </w:t>
      </w:r>
      <w:r>
        <w:rPr>
          <w:spacing w:val="5"/>
        </w:rPr>
        <w:t xml:space="preserve">suas diversas minas dentro </w:t>
      </w:r>
      <w:r>
        <w:rPr>
          <w:spacing w:val="2"/>
        </w:rPr>
        <w:t xml:space="preserve">do </w:t>
      </w:r>
      <w:r>
        <w:rPr>
          <w:spacing w:val="5"/>
        </w:rPr>
        <w:t xml:space="preserve">Brasil </w:t>
      </w:r>
      <w:r>
        <w:t xml:space="preserve">e </w:t>
      </w:r>
      <w:r>
        <w:rPr>
          <w:spacing w:val="5"/>
        </w:rPr>
        <w:t xml:space="preserve">também </w:t>
      </w:r>
      <w:r>
        <w:rPr>
          <w:spacing w:val="6"/>
        </w:rPr>
        <w:t xml:space="preserve">no </w:t>
      </w:r>
      <w:r>
        <w:rPr>
          <w:spacing w:val="5"/>
        </w:rPr>
        <w:t>exterior (DIÁRIO ONLINE,</w:t>
      </w:r>
      <w:r>
        <w:rPr>
          <w:spacing w:val="-1"/>
        </w:rPr>
        <w:t xml:space="preserve"> </w:t>
      </w:r>
      <w:r>
        <w:rPr>
          <w:spacing w:val="6"/>
        </w:rPr>
        <w:t>2011).</w:t>
      </w:r>
    </w:p>
    <w:p w:rsidR="00D81F69" w:rsidRDefault="00330118">
      <w:pPr>
        <w:pStyle w:val="Corpodetexto"/>
        <w:spacing w:before="140" w:line="312" w:lineRule="auto"/>
        <w:ind w:right="38"/>
      </w:pPr>
      <w:r>
        <w:t xml:space="preserve">O cobre é o metal não ferroso mais utilizado, depois do </w:t>
      </w:r>
      <w:hyperlink r:id="rId456">
        <w:r>
          <w:t xml:space="preserve">alumínio, </w:t>
        </w:r>
      </w:hyperlink>
      <w:r>
        <w:t>por ser excelente condutor de eletricidade e calor (GUEDES, 2008). Mais da metade do cobre pr</w:t>
      </w:r>
      <w:r>
        <w:t>oduzido é utilizado nas indústrias de fios e cabos elétricos; além disso, o metal tem aplicação em vários setores industriais, com destaque para construção civil, telecomunicações, eletroeletrônica, transmissão e distribuição de energia (CRUZ, 2007).</w:t>
      </w:r>
    </w:p>
    <w:p w:rsidR="00D81F69" w:rsidRDefault="00330118">
      <w:pPr>
        <w:pStyle w:val="Corpodetexto"/>
        <w:spacing w:before="137" w:line="312" w:lineRule="auto"/>
        <w:ind w:right="53"/>
      </w:pPr>
      <w:r>
        <w:t>No an</w:t>
      </w:r>
      <w:r>
        <w:t>o de 2000, garimpeiros descobriram ocorrências de cobre na borda norte do Graben Colorado, próximo do município de Alta Floresta d’Oeste, a 541 km de Porto Velho, capital de Rondônia. O metal está localizado na Bacia dos Parecis, que integra o Cráton Amazô</w:t>
      </w:r>
      <w:r>
        <w:t xml:space="preserve">nico, uma das áreas estáveis mais antigas do Brasil (DARDENNE et al., 2005). A mineralização de cobre no local tem espessuras entre 2 e 4 metros e ocorre na base de calcários dolomíticos (RODRIGUES; HEIDER; FONSECA, 2009). </w:t>
      </w:r>
    </w:p>
    <w:p w:rsidR="00D81F69" w:rsidRDefault="00330118">
      <w:pPr>
        <w:pStyle w:val="Corpodetexto"/>
        <w:spacing w:before="138" w:line="312" w:lineRule="auto"/>
        <w:ind w:right="62"/>
      </w:pPr>
      <w:r>
        <w:rPr>
          <w:spacing w:val="5"/>
        </w:rPr>
        <w:t xml:space="preserve">Segundo </w:t>
      </w:r>
      <w:r>
        <w:t xml:space="preserve">o </w:t>
      </w:r>
      <w:r>
        <w:rPr>
          <w:spacing w:val="5"/>
        </w:rPr>
        <w:t xml:space="preserve">Departamento Nacional </w:t>
      </w:r>
      <w:r>
        <w:rPr>
          <w:spacing w:val="2"/>
        </w:rPr>
        <w:t xml:space="preserve">de </w:t>
      </w:r>
      <w:r>
        <w:rPr>
          <w:spacing w:val="5"/>
        </w:rPr>
        <w:t>Produção Mineral</w:t>
      </w:r>
      <w:r>
        <w:rPr>
          <w:spacing w:val="61"/>
        </w:rPr>
        <w:t xml:space="preserve"> </w:t>
      </w:r>
      <w:r>
        <w:t xml:space="preserve">(DNPM), a jazida de cobre, uma das maiores do estado, pode render cerca de R$ 13 milhões (SÓTER, 2008) e aumentar as </w:t>
      </w:r>
      <w:r>
        <w:rPr>
          <w:spacing w:val="3"/>
        </w:rPr>
        <w:t xml:space="preserve">reservas nacionais </w:t>
      </w:r>
      <w:r>
        <w:rPr>
          <w:spacing w:val="2"/>
        </w:rPr>
        <w:t xml:space="preserve">que, </w:t>
      </w:r>
      <w:r>
        <w:rPr>
          <w:spacing w:val="1"/>
        </w:rPr>
        <w:t xml:space="preserve">em </w:t>
      </w:r>
      <w:r>
        <w:rPr>
          <w:spacing w:val="3"/>
        </w:rPr>
        <w:t xml:space="preserve">2008, totalizaram </w:t>
      </w:r>
      <w:r>
        <w:rPr>
          <w:spacing w:val="2"/>
        </w:rPr>
        <w:t xml:space="preserve">17,3 </w:t>
      </w:r>
      <w:r>
        <w:rPr>
          <w:spacing w:val="1"/>
        </w:rPr>
        <w:t xml:space="preserve">Mt </w:t>
      </w:r>
      <w:r>
        <w:rPr>
          <w:spacing w:val="5"/>
        </w:rPr>
        <w:t xml:space="preserve">de </w:t>
      </w:r>
      <w:r>
        <w:rPr>
          <w:spacing w:val="7"/>
        </w:rPr>
        <w:t xml:space="preserve">cobre contido (reservas medidas </w:t>
      </w:r>
      <w:r>
        <w:t xml:space="preserve">e </w:t>
      </w:r>
      <w:r>
        <w:rPr>
          <w:spacing w:val="8"/>
        </w:rPr>
        <w:t xml:space="preserve">indicadas), </w:t>
      </w:r>
      <w:r>
        <w:t xml:space="preserve">o </w:t>
      </w:r>
      <w:r>
        <w:rPr>
          <w:spacing w:val="10"/>
        </w:rPr>
        <w:t>que</w:t>
      </w:r>
    </w:p>
    <w:p w:rsidR="00D81F69" w:rsidRDefault="00330118">
      <w:pPr>
        <w:pStyle w:val="Corpodetexto"/>
        <w:spacing w:before="5" w:line="312" w:lineRule="auto"/>
        <w:ind w:right="251"/>
      </w:pPr>
      <w:r>
        <w:br w:type="column"/>
      </w:r>
      <w:r>
        <w:lastRenderedPageBreak/>
        <w:t>Rondônia i</w:t>
      </w:r>
      <w:r>
        <w:t>nformavam sobre o andamento das pesquisas, e o assunto não despertava o interesse da Assembleia Legislativa ou dos representantes do estado no Congresso Nacional (CRUZ, 2007).</w:t>
      </w:r>
    </w:p>
    <w:p w:rsidR="00D81F69" w:rsidRDefault="00330118">
      <w:pPr>
        <w:pStyle w:val="Corpodetexto"/>
        <w:spacing w:before="134" w:line="312" w:lineRule="auto"/>
        <w:ind w:right="287"/>
        <w:jc w:val="left"/>
      </w:pPr>
      <w:r>
        <w:t>A jazida está localizada no município de Alto Alegre dos Parecis - 3.958,279 km²</w:t>
      </w:r>
      <w:r>
        <w:t xml:space="preserve"> e 12.816 habitantes (IBGE, 2010a) – que foi distrito de Alta Floresta d’Oeste – 7.067,036 km² e</w:t>
      </w:r>
    </w:p>
    <w:p w:rsidR="00D81F69" w:rsidRDefault="00330118">
      <w:pPr>
        <w:pStyle w:val="Corpodetexto"/>
        <w:spacing w:before="3" w:line="312" w:lineRule="auto"/>
        <w:ind w:right="228"/>
      </w:pPr>
      <w:r>
        <w:t xml:space="preserve">24.392 habitantes (IBGE, 2010b) – até 1994. A área do atual município pertencia a uma única pessoa, que a perdeu </w:t>
      </w:r>
      <w:r>
        <w:rPr>
          <w:spacing w:val="1"/>
        </w:rPr>
        <w:t xml:space="preserve">por </w:t>
      </w:r>
      <w:r>
        <w:t>não cumprir os termos do contrato de ocupa</w:t>
      </w:r>
      <w:r>
        <w:t>ção assinado com o Instituto Nacional de Colonização e Reforma Agrária (Incra). O local foi, então, entregue a vários posseiros que já o haviam ocupado, e a cidade se desenvolveu nesses lotes. Até hoje, os moradores não possuem título de propriedade das te</w:t>
      </w:r>
      <w:r>
        <w:t xml:space="preserve">rras, </w:t>
      </w:r>
      <w:r>
        <w:rPr>
          <w:spacing w:val="11"/>
        </w:rPr>
        <w:t xml:space="preserve">apenas recibos </w:t>
      </w:r>
      <w:r>
        <w:rPr>
          <w:spacing w:val="6"/>
        </w:rPr>
        <w:t xml:space="preserve">de </w:t>
      </w:r>
      <w:r>
        <w:rPr>
          <w:spacing w:val="11"/>
        </w:rPr>
        <w:t xml:space="preserve">compra </w:t>
      </w:r>
      <w:r>
        <w:t xml:space="preserve">e </w:t>
      </w:r>
      <w:r>
        <w:rPr>
          <w:spacing w:val="11"/>
        </w:rPr>
        <w:t xml:space="preserve">venda </w:t>
      </w:r>
      <w:r>
        <w:rPr>
          <w:spacing w:val="15"/>
        </w:rPr>
        <w:t xml:space="preserve">(PREFEITURA </w:t>
      </w:r>
      <w:r>
        <w:rPr>
          <w:spacing w:val="6"/>
        </w:rPr>
        <w:t xml:space="preserve">MUNICIPAL </w:t>
      </w:r>
      <w:r>
        <w:rPr>
          <w:spacing w:val="3"/>
        </w:rPr>
        <w:t xml:space="preserve">DE </w:t>
      </w:r>
      <w:r>
        <w:rPr>
          <w:spacing w:val="5"/>
        </w:rPr>
        <w:t xml:space="preserve">ALTO ALEGRE DOS </w:t>
      </w:r>
      <w:r>
        <w:rPr>
          <w:spacing w:val="6"/>
        </w:rPr>
        <w:t>PARECIS,</w:t>
      </w:r>
      <w:r>
        <w:rPr>
          <w:spacing w:val="32"/>
        </w:rPr>
        <w:t xml:space="preserve"> </w:t>
      </w:r>
      <w:r>
        <w:rPr>
          <w:spacing w:val="7"/>
        </w:rPr>
        <w:t>2009).</w:t>
      </w:r>
    </w:p>
    <w:p w:rsidR="00D81F69" w:rsidRDefault="00330118">
      <w:pPr>
        <w:pStyle w:val="Corpodetexto"/>
        <w:spacing w:before="138" w:line="312" w:lineRule="auto"/>
        <w:ind w:right="242"/>
      </w:pPr>
      <w:r>
        <w:t>Na área dos dois municípios, no sul de Rondônia, foram encontradas áreas georreferenciadas de geoglifos [vestígios arqueológicos representados por desenhos geom</w:t>
      </w:r>
      <w:r>
        <w:t>étricos] e sítio arqueológico com características de cemitério indígena que poderão ajudar a confirmar a presença do povo Inca na região onde o estado surgiu, no início do milênio passado. Os geoglifos espalham-se pelo estado, seguindo a falha magnética do</w:t>
      </w:r>
      <w:r>
        <w:t xml:space="preserve"> Cânion Buraco da Velha, onde está localizada a jazida de minério de cobre. Apesar de sua relevância histórica, o local tem sofrido degradação ambiental constatada pelo farmacêutico e bioquímico Joaquim Cunha da Silva durante pesquisas em busca por pistas </w:t>
      </w:r>
      <w:r>
        <w:t>do Eldorado Paititi, que teria sido o maior abrigo do povo Inca. As informações sobre desmatamentos e queimadas no local, que abriga índios isolados, foram encaminhadas pelo pesquisador ao Ministério Público Federal (MPF) (CRUZ, 2009).</w:t>
      </w:r>
    </w:p>
    <w:p w:rsidR="00D81F69" w:rsidRDefault="00330118">
      <w:pPr>
        <w:pStyle w:val="Corpodetexto"/>
        <w:spacing w:before="82" w:line="270" w:lineRule="atLeast"/>
        <w:ind w:right="246"/>
      </w:pPr>
      <w:r>
        <w:t>No mesmo local, em 2</w:t>
      </w:r>
      <w:r>
        <w:t>008, a Secretaria de Estado de Desenvolvimento Ambiental (Sedam-RO), unidade Pimenta</w:t>
      </w:r>
    </w:p>
    <w:p w:rsidR="00D81F69" w:rsidRDefault="00D81F69">
      <w:pPr>
        <w:spacing w:line="270" w:lineRule="atLeast"/>
        <w:sectPr w:rsidR="00D81F69">
          <w:type w:val="continuous"/>
          <w:pgSz w:w="11900" w:h="16840"/>
          <w:pgMar w:top="720" w:right="460" w:bottom="280" w:left="620" w:header="720" w:footer="720" w:gutter="0"/>
          <w:cols w:num="2" w:space="720" w:equalWidth="0">
            <w:col w:w="5168" w:space="302"/>
            <w:col w:w="5350"/>
          </w:cols>
        </w:sectPr>
      </w:pPr>
    </w:p>
    <w:p w:rsidR="00D81F69" w:rsidRDefault="00330118">
      <w:pPr>
        <w:pStyle w:val="Corpodetexto"/>
        <w:spacing w:before="81" w:line="312" w:lineRule="auto"/>
        <w:ind w:right="38"/>
      </w:pPr>
      <w:r>
        <w:lastRenderedPageBreak/>
        <w:t>Bueno [também município rondoniense], e policiais do Batalhão de Polícia Ambiental de Alta Floresta d’Oeste flagraram, a partir de informações d</w:t>
      </w:r>
      <w:r>
        <w:t>e moradores, uma equipe de garimpeiros explorando ilegalmente lavra de cobre num terreno particular. Foram encontradas grotas abertas em diversos locais, num indício de exploração desenfreada e reincidente, numa área que antes era coberta pela Floresta Ama</w:t>
      </w:r>
      <w:r>
        <w:t>zônica. O garimpo havia sido fechado pela Sedam-RO cerca de três meses antes, ocasião em foram apreendidos aproximadamente 3 mil kg de cobre. A polícia desconfiou que</w:t>
      </w:r>
    </w:p>
    <w:p w:rsidR="00D81F69" w:rsidRDefault="00330118">
      <w:pPr>
        <w:pStyle w:val="Corpodetexto"/>
        <w:ind w:left="0"/>
        <w:jc w:val="left"/>
        <w:rPr>
          <w:sz w:val="22"/>
        </w:rPr>
      </w:pPr>
      <w:r>
        <w:br w:type="column"/>
      </w:r>
    </w:p>
    <w:p w:rsidR="00D81F69" w:rsidRDefault="00330118">
      <w:pPr>
        <w:pStyle w:val="Heading7"/>
        <w:spacing w:before="139"/>
        <w:jc w:val="left"/>
      </w:pPr>
      <w:r>
        <w:t>REDATORES</w:t>
      </w:r>
    </w:p>
    <w:p w:rsidR="00D81F69" w:rsidRDefault="00330118">
      <w:pPr>
        <w:pStyle w:val="Corpodetexto"/>
        <w:spacing w:before="179"/>
        <w:jc w:val="left"/>
      </w:pPr>
      <w:r>
        <w:t>Renata Olivieri; Eliane Araujo</w:t>
      </w:r>
    </w:p>
    <w:p w:rsidR="00D81F69" w:rsidRDefault="00D81F69">
      <w:pPr>
        <w:pStyle w:val="Corpodetexto"/>
        <w:ind w:left="0"/>
        <w:jc w:val="left"/>
        <w:rPr>
          <w:sz w:val="20"/>
        </w:rPr>
      </w:pPr>
    </w:p>
    <w:p w:rsidR="00D81F69" w:rsidRDefault="00330118">
      <w:pPr>
        <w:pStyle w:val="Heading7"/>
        <w:spacing w:before="164"/>
        <w:jc w:val="left"/>
      </w:pPr>
      <w:r>
        <w:t>REFERÊNCIAS BIBLIOGRÁFICAS</w:t>
      </w:r>
    </w:p>
    <w:p w:rsidR="00D81F69" w:rsidRDefault="00330118">
      <w:pPr>
        <w:spacing w:before="188" w:line="312" w:lineRule="auto"/>
        <w:ind w:left="100"/>
        <w:rPr>
          <w:sz w:val="16"/>
        </w:rPr>
      </w:pPr>
      <w:r>
        <w:rPr>
          <w:sz w:val="16"/>
        </w:rPr>
        <w:t>CRUZ, Montezuma. Empresa norte-americana pesquisa cobre na Amazônia. Agência Amazônia, 12 mar. 2007. Disponível em:</w:t>
      </w:r>
    </w:p>
    <w:p w:rsidR="00D81F69" w:rsidRDefault="00D81F69">
      <w:pPr>
        <w:spacing w:before="1" w:line="312" w:lineRule="auto"/>
        <w:ind w:left="100" w:right="287"/>
        <w:rPr>
          <w:sz w:val="16"/>
        </w:rPr>
      </w:pPr>
      <w:hyperlink r:id="rId457">
        <w:r w:rsidR="00330118">
          <w:rPr>
            <w:sz w:val="16"/>
          </w:rPr>
          <w:t xml:space="preserve">&lt;http://agenciameios.com.br/noticias/noticia/284&gt;. </w:t>
        </w:r>
      </w:hyperlink>
      <w:r w:rsidR="00330118">
        <w:rPr>
          <w:sz w:val="16"/>
        </w:rPr>
        <w:t>Acesso em: 14 dez. 2011.</w:t>
      </w:r>
    </w:p>
    <w:p w:rsidR="00D81F69" w:rsidRDefault="00D81F69">
      <w:pPr>
        <w:spacing w:line="312" w:lineRule="auto"/>
        <w:rPr>
          <w:sz w:val="16"/>
        </w:rPr>
        <w:sectPr w:rsidR="00D81F69">
          <w:pgSz w:w="11900" w:h="16840"/>
          <w:pgMar w:top="740" w:right="460" w:bottom="640" w:left="620" w:header="0" w:footer="402" w:gutter="0"/>
          <w:cols w:num="2" w:space="720" w:equalWidth="0">
            <w:col w:w="5142" w:space="328"/>
            <w:col w:w="5350"/>
          </w:cols>
        </w:sectPr>
      </w:pPr>
    </w:p>
    <w:p w:rsidR="00D81F69" w:rsidRDefault="00330118">
      <w:pPr>
        <w:tabs>
          <w:tab w:val="left" w:pos="5569"/>
          <w:tab w:val="left" w:pos="6206"/>
        </w:tabs>
        <w:spacing w:before="2"/>
        <w:ind w:left="100"/>
        <w:rPr>
          <w:sz w:val="16"/>
        </w:rPr>
      </w:pPr>
      <w:r>
        <w:rPr>
          <w:sz w:val="18"/>
        </w:rPr>
        <w:lastRenderedPageBreak/>
        <w:t>uma</w:t>
      </w:r>
      <w:r>
        <w:rPr>
          <w:spacing w:val="20"/>
          <w:sz w:val="18"/>
        </w:rPr>
        <w:t xml:space="preserve"> </w:t>
      </w:r>
      <w:r>
        <w:rPr>
          <w:sz w:val="18"/>
        </w:rPr>
        <w:t>quadrilha</w:t>
      </w:r>
      <w:r>
        <w:rPr>
          <w:spacing w:val="20"/>
          <w:sz w:val="18"/>
        </w:rPr>
        <w:t xml:space="preserve"> </w:t>
      </w:r>
      <w:r>
        <w:rPr>
          <w:sz w:val="18"/>
        </w:rPr>
        <w:t>de</w:t>
      </w:r>
      <w:r>
        <w:rPr>
          <w:spacing w:val="20"/>
          <w:sz w:val="18"/>
        </w:rPr>
        <w:t xml:space="preserve"> </w:t>
      </w:r>
      <w:r>
        <w:rPr>
          <w:sz w:val="18"/>
        </w:rPr>
        <w:t>exploração</w:t>
      </w:r>
      <w:r>
        <w:rPr>
          <w:spacing w:val="20"/>
          <w:sz w:val="18"/>
        </w:rPr>
        <w:t xml:space="preserve"> </w:t>
      </w:r>
      <w:r>
        <w:rPr>
          <w:sz w:val="18"/>
        </w:rPr>
        <w:t>de</w:t>
      </w:r>
      <w:r>
        <w:rPr>
          <w:spacing w:val="20"/>
          <w:sz w:val="18"/>
        </w:rPr>
        <w:t xml:space="preserve"> </w:t>
      </w:r>
      <w:r>
        <w:rPr>
          <w:sz w:val="18"/>
        </w:rPr>
        <w:t>minérios</w:t>
      </w:r>
      <w:r>
        <w:rPr>
          <w:spacing w:val="20"/>
          <w:sz w:val="18"/>
        </w:rPr>
        <w:t xml:space="preserve"> </w:t>
      </w:r>
      <w:r>
        <w:rPr>
          <w:sz w:val="18"/>
        </w:rPr>
        <w:t>estivesse</w:t>
      </w:r>
      <w:r>
        <w:rPr>
          <w:spacing w:val="20"/>
          <w:sz w:val="18"/>
        </w:rPr>
        <w:t xml:space="preserve"> </w:t>
      </w:r>
      <w:r>
        <w:rPr>
          <w:sz w:val="18"/>
        </w:rPr>
        <w:t>atuando</w:t>
      </w:r>
      <w:r>
        <w:rPr>
          <w:sz w:val="18"/>
        </w:rPr>
        <w:tab/>
      </w:r>
      <w:r>
        <w:rPr>
          <w:sz w:val="18"/>
          <w:u w:val="single"/>
        </w:rPr>
        <w:t xml:space="preserve"> </w:t>
      </w:r>
      <w:r>
        <w:rPr>
          <w:sz w:val="18"/>
          <w:u w:val="single"/>
        </w:rPr>
        <w:tab/>
      </w:r>
      <w:r>
        <w:rPr>
          <w:position w:val="2"/>
          <w:sz w:val="16"/>
        </w:rPr>
        <w:t>.</w:t>
      </w:r>
      <w:r>
        <w:rPr>
          <w:spacing w:val="10"/>
          <w:position w:val="2"/>
          <w:sz w:val="16"/>
        </w:rPr>
        <w:t xml:space="preserve"> </w:t>
      </w:r>
      <w:r>
        <w:rPr>
          <w:position w:val="2"/>
          <w:sz w:val="16"/>
        </w:rPr>
        <w:t>Rondônia</w:t>
      </w:r>
      <w:r>
        <w:rPr>
          <w:spacing w:val="10"/>
          <w:position w:val="2"/>
          <w:sz w:val="16"/>
        </w:rPr>
        <w:t xml:space="preserve"> </w:t>
      </w:r>
      <w:r>
        <w:rPr>
          <w:position w:val="2"/>
          <w:sz w:val="16"/>
        </w:rPr>
        <w:t>Inca:</w:t>
      </w:r>
      <w:r>
        <w:rPr>
          <w:spacing w:val="10"/>
          <w:position w:val="2"/>
          <w:sz w:val="16"/>
        </w:rPr>
        <w:t xml:space="preserve"> </w:t>
      </w:r>
      <w:r>
        <w:rPr>
          <w:position w:val="2"/>
          <w:sz w:val="16"/>
        </w:rPr>
        <w:t>Ibama</w:t>
      </w:r>
      <w:r>
        <w:rPr>
          <w:spacing w:val="10"/>
          <w:position w:val="2"/>
          <w:sz w:val="16"/>
        </w:rPr>
        <w:t xml:space="preserve"> </w:t>
      </w:r>
      <w:r>
        <w:rPr>
          <w:position w:val="2"/>
          <w:sz w:val="16"/>
        </w:rPr>
        <w:t>vai</w:t>
      </w:r>
      <w:r>
        <w:rPr>
          <w:spacing w:val="10"/>
          <w:position w:val="2"/>
          <w:sz w:val="16"/>
        </w:rPr>
        <w:t xml:space="preserve"> </w:t>
      </w:r>
      <w:r>
        <w:rPr>
          <w:position w:val="2"/>
          <w:sz w:val="16"/>
        </w:rPr>
        <w:t>constatar</w:t>
      </w:r>
      <w:r>
        <w:rPr>
          <w:spacing w:val="10"/>
          <w:position w:val="2"/>
          <w:sz w:val="16"/>
        </w:rPr>
        <w:t xml:space="preserve"> </w:t>
      </w:r>
      <w:r>
        <w:rPr>
          <w:position w:val="2"/>
          <w:sz w:val="16"/>
        </w:rPr>
        <w:t>degradação</w:t>
      </w:r>
      <w:r>
        <w:rPr>
          <w:spacing w:val="10"/>
          <w:position w:val="2"/>
          <w:sz w:val="16"/>
        </w:rPr>
        <w:t xml:space="preserve"> </w:t>
      </w:r>
      <w:r>
        <w:rPr>
          <w:position w:val="2"/>
          <w:sz w:val="16"/>
        </w:rPr>
        <w:t>em</w:t>
      </w:r>
      <w:r>
        <w:rPr>
          <w:spacing w:val="10"/>
          <w:position w:val="2"/>
          <w:sz w:val="16"/>
        </w:rPr>
        <w:t xml:space="preserve"> </w:t>
      </w:r>
      <w:r>
        <w:rPr>
          <w:position w:val="2"/>
          <w:sz w:val="16"/>
        </w:rPr>
        <w:t>áreas</w:t>
      </w:r>
    </w:p>
    <w:p w:rsidR="00D81F69" w:rsidRDefault="00D81F69">
      <w:pPr>
        <w:rPr>
          <w:sz w:val="16"/>
        </w:rPr>
        <w:sectPr w:rsidR="00D81F69">
          <w:type w:val="continuous"/>
          <w:pgSz w:w="11900" w:h="16840"/>
          <w:pgMar w:top="720" w:right="460" w:bottom="280" w:left="620" w:header="720" w:footer="720" w:gutter="0"/>
          <w:cols w:space="720"/>
        </w:sectPr>
      </w:pPr>
    </w:p>
    <w:p w:rsidR="00D81F69" w:rsidRDefault="00330118">
      <w:pPr>
        <w:pStyle w:val="Corpodetexto"/>
        <w:spacing w:before="63" w:line="312" w:lineRule="auto"/>
        <w:ind w:right="39"/>
      </w:pPr>
      <w:r>
        <w:lastRenderedPageBreak/>
        <w:t>na região, a serviço de mineradoras de fora do estado, que estariam se aproveitando da mão de</w:t>
      </w:r>
      <w:r>
        <w:t xml:space="preserve"> obra barata e da disponibilidade do minério de cobre (SÓTER, 2008; GUEDES, 2008; TUDO RONDÔNIA.COM, 2008).</w:t>
      </w:r>
    </w:p>
    <w:p w:rsidR="00D81F69" w:rsidRDefault="00330118">
      <w:pPr>
        <w:pStyle w:val="Corpodetexto"/>
        <w:spacing w:before="134" w:line="312" w:lineRule="auto"/>
        <w:ind w:right="38"/>
      </w:pPr>
      <w:r>
        <w:t>No local, foram apreendidas 8 toneladas de minério de cobre, além de diversos equipamentos e objetos utilizados na lavra, avaliados em cerca de R$32</w:t>
      </w:r>
      <w:r>
        <w:t>9 mil reais, como uma retroescavadeira, dois automóveis, uma motocicleta, rádios transmissores, dois grupos geradores de energia movido a gasolina e uma britadeira (SÓTER, 2008; GUEDES, 2008). O material apreendido e os envolvidos foram encaminhados à Dele</w:t>
      </w:r>
      <w:r>
        <w:t>gacia de Polícia Civil de Alta Floresta D'Oeste, onde os responsáveis foram atuados no art. 55 da lei 9.605/98, que determina detenção de seis meses a um ano e multa para execução de pesquisa, lavra ou extração de recursos minerais sem permissão. A polícia</w:t>
      </w:r>
      <w:r>
        <w:t xml:space="preserve"> também investiga a possível utilização de trabalho infantil no local, considerado insalubre e perigoso (GUEDES, 2008).</w:t>
      </w:r>
    </w:p>
    <w:p w:rsidR="00D81F69" w:rsidRDefault="00330118">
      <w:pPr>
        <w:pStyle w:val="Corpodetexto"/>
        <w:spacing w:before="143" w:line="312" w:lineRule="auto"/>
        <w:ind w:right="55"/>
      </w:pPr>
      <w:r>
        <w:t>As redondezas da jazida têm sido procuradas por diversas pessoas, de garimpeiros a arqueólogos e geólogos, fato que tem incomodado os mo</w:t>
      </w:r>
      <w:r>
        <w:t>radores. Um sitiante, cuja propriedade está situada no cânion Buraco da Velha, em Alto Alegre dos Parecis, relata as diversas visitas que sua propriedade tem recebido desde o início dos anos 2000, o que já provocou danos à propriedade, além de ferimentos e</w:t>
      </w:r>
      <w:r>
        <w:t xml:space="preserve"> morte de algumas reses, que ficaram enroscadas no arame farpado da cerca do pasto, arrebentada por garimpeiros (CRUZ, 2011).</w:t>
      </w:r>
    </w:p>
    <w:p w:rsidR="00D81F69" w:rsidRDefault="00330118">
      <w:pPr>
        <w:pStyle w:val="Corpodetexto"/>
        <w:spacing w:before="138" w:line="312" w:lineRule="auto"/>
        <w:ind w:right="38"/>
      </w:pPr>
      <w:r>
        <w:t>A mineração predatória e irregular, sem orientação e planos de manejo, causa danos quase sempre irreparáveis ao meio ambiente. Pod</w:t>
      </w:r>
      <w:r>
        <w:t xml:space="preserve">e ocasionar assoreamento e contaminação de rios com produtos químicos, destruição da fauna e flora local pela entrada de tratores e máquinas na área de floresta, além erosão do solo pela abertura de valetas e crateras. Em geral, </w:t>
      </w:r>
      <w:r>
        <w:rPr>
          <w:spacing w:val="5"/>
        </w:rPr>
        <w:t xml:space="preserve">também </w:t>
      </w:r>
      <w:r>
        <w:t xml:space="preserve">é </w:t>
      </w:r>
      <w:r>
        <w:rPr>
          <w:spacing w:val="6"/>
        </w:rPr>
        <w:t xml:space="preserve">registrado </w:t>
      </w:r>
      <w:r>
        <w:rPr>
          <w:spacing w:val="5"/>
        </w:rPr>
        <w:t>aumento</w:t>
      </w:r>
      <w:r>
        <w:rPr>
          <w:spacing w:val="5"/>
        </w:rPr>
        <w:t xml:space="preserve"> </w:t>
      </w:r>
      <w:r>
        <w:rPr>
          <w:spacing w:val="3"/>
        </w:rPr>
        <w:t xml:space="preserve">da </w:t>
      </w:r>
      <w:r>
        <w:rPr>
          <w:spacing w:val="6"/>
        </w:rPr>
        <w:t xml:space="preserve">criminalidade </w:t>
      </w:r>
      <w:r>
        <w:rPr>
          <w:spacing w:val="7"/>
        </w:rPr>
        <w:t xml:space="preserve">nessas </w:t>
      </w:r>
      <w:r>
        <w:rPr>
          <w:spacing w:val="5"/>
        </w:rPr>
        <w:t xml:space="preserve">localidades, gerando </w:t>
      </w:r>
      <w:r>
        <w:rPr>
          <w:spacing w:val="3"/>
        </w:rPr>
        <w:t xml:space="preserve">uma </w:t>
      </w:r>
      <w:r>
        <w:rPr>
          <w:spacing w:val="5"/>
        </w:rPr>
        <w:t xml:space="preserve">sensação </w:t>
      </w:r>
      <w:r>
        <w:rPr>
          <w:spacing w:val="2"/>
        </w:rPr>
        <w:t xml:space="preserve">de </w:t>
      </w:r>
      <w:r>
        <w:rPr>
          <w:spacing w:val="5"/>
        </w:rPr>
        <w:t xml:space="preserve">insegurança </w:t>
      </w:r>
      <w:r>
        <w:rPr>
          <w:spacing w:val="6"/>
        </w:rPr>
        <w:t xml:space="preserve">na </w:t>
      </w:r>
      <w:r>
        <w:rPr>
          <w:spacing w:val="5"/>
        </w:rPr>
        <w:t>população (GUEDES,</w:t>
      </w:r>
      <w:r>
        <w:rPr>
          <w:spacing w:val="16"/>
        </w:rPr>
        <w:t xml:space="preserve"> </w:t>
      </w:r>
      <w:r>
        <w:rPr>
          <w:spacing w:val="6"/>
        </w:rPr>
        <w:t>2008).</w:t>
      </w:r>
    </w:p>
    <w:p w:rsidR="00D81F69" w:rsidRDefault="00D81F69">
      <w:pPr>
        <w:pStyle w:val="Corpodetexto"/>
        <w:spacing w:before="8"/>
        <w:ind w:left="0"/>
        <w:jc w:val="left"/>
        <w:rPr>
          <w:sz w:val="21"/>
        </w:rPr>
      </w:pPr>
    </w:p>
    <w:p w:rsidR="00D81F69" w:rsidRDefault="00330118">
      <w:pPr>
        <w:pStyle w:val="Heading7"/>
      </w:pPr>
      <w:r>
        <w:t>LOCALIZAÇÃO GEOGRÁFICA</w:t>
      </w:r>
    </w:p>
    <w:p w:rsidR="00D81F69" w:rsidRDefault="00330118">
      <w:pPr>
        <w:pStyle w:val="Corpodetexto"/>
        <w:spacing w:before="116" w:line="270" w:lineRule="atLeast"/>
        <w:ind w:right="50"/>
      </w:pPr>
      <w:r>
        <w:t>Os garimpos ilegais do estudo de caso situam-se nos municípios de Alto Alegre dos Parecis (latitude 12°07’42”S e longitude 61°51’05”W) e de Alta Floresta d'Oeste (latitude 11°58’05”S e longitude 61°57’15”W), distantes cerca de 541 km da capital do estado d</w:t>
      </w:r>
      <w:r>
        <w:t>e Rondônia, município de Porto Velho.</w:t>
      </w:r>
    </w:p>
    <w:p w:rsidR="00D81F69" w:rsidRDefault="00330118">
      <w:pPr>
        <w:spacing w:before="32" w:line="312" w:lineRule="auto"/>
        <w:ind w:left="100" w:right="238"/>
        <w:jc w:val="both"/>
        <w:rPr>
          <w:sz w:val="16"/>
        </w:rPr>
      </w:pPr>
      <w:r>
        <w:br w:type="column"/>
      </w:r>
      <w:r>
        <w:rPr>
          <w:sz w:val="16"/>
        </w:rPr>
        <w:lastRenderedPageBreak/>
        <w:t>com vestígios do Paititi - Ministério Público dá prazo de 15 dias para se apurar denúncias de queimadas e há vestígios históricos milenares no sul rondoniense. Agência Amazônia, 04 set. 2009. Disponível em:</w:t>
      </w:r>
    </w:p>
    <w:p w:rsidR="00D81F69" w:rsidRDefault="00D81F69">
      <w:pPr>
        <w:spacing w:before="2"/>
        <w:ind w:left="100"/>
        <w:jc w:val="both"/>
        <w:rPr>
          <w:sz w:val="16"/>
        </w:rPr>
      </w:pPr>
      <w:hyperlink r:id="rId458">
        <w:r w:rsidR="00330118">
          <w:rPr>
            <w:sz w:val="16"/>
          </w:rPr>
          <w:t>&lt;http://www.gentedeopiniao.com/hotsite/conteudo.php?news=48881&gt;</w:t>
        </w:r>
      </w:hyperlink>
    </w:p>
    <w:p w:rsidR="00D81F69" w:rsidRDefault="00330118">
      <w:pPr>
        <w:spacing w:before="56"/>
        <w:ind w:left="100"/>
        <w:jc w:val="both"/>
        <w:rPr>
          <w:sz w:val="16"/>
        </w:rPr>
      </w:pPr>
      <w:r>
        <w:rPr>
          <w:sz w:val="16"/>
        </w:rPr>
        <w:t>. Acesso em: 14 dez. 2011.</w:t>
      </w:r>
    </w:p>
    <w:p w:rsidR="00D81F69" w:rsidRDefault="00330118">
      <w:pPr>
        <w:tabs>
          <w:tab w:val="left" w:pos="644"/>
        </w:tabs>
        <w:spacing w:before="56" w:line="312" w:lineRule="auto"/>
        <w:ind w:left="100" w:right="229"/>
        <w:jc w:val="both"/>
        <w:rPr>
          <w:sz w:val="16"/>
        </w:rPr>
      </w:pPr>
      <w:r>
        <w:rPr>
          <w:sz w:val="16"/>
          <w:u w:val="single"/>
        </w:rPr>
        <w:t xml:space="preserve"> </w:t>
      </w:r>
      <w:r>
        <w:rPr>
          <w:sz w:val="16"/>
          <w:u w:val="single"/>
        </w:rPr>
        <w:tab/>
      </w:r>
      <w:r>
        <w:rPr>
          <w:sz w:val="16"/>
        </w:rPr>
        <w:t xml:space="preserve">. No reino das pedras, garimpeiros tiram sossego de sitiante. </w:t>
      </w:r>
      <w:r>
        <w:rPr>
          <w:spacing w:val="7"/>
          <w:sz w:val="16"/>
        </w:rPr>
        <w:t xml:space="preserve">Portal </w:t>
      </w:r>
      <w:r>
        <w:rPr>
          <w:spacing w:val="6"/>
          <w:sz w:val="16"/>
        </w:rPr>
        <w:t xml:space="preserve">Luis </w:t>
      </w:r>
      <w:r>
        <w:rPr>
          <w:spacing w:val="7"/>
          <w:sz w:val="16"/>
        </w:rPr>
        <w:t xml:space="preserve">Nassif, </w:t>
      </w:r>
      <w:r>
        <w:rPr>
          <w:spacing w:val="8"/>
          <w:sz w:val="16"/>
        </w:rPr>
        <w:t>cons</w:t>
      </w:r>
      <w:r>
        <w:rPr>
          <w:spacing w:val="8"/>
          <w:sz w:val="16"/>
        </w:rPr>
        <w:t xml:space="preserve">truindo conhecimento. </w:t>
      </w:r>
      <w:r>
        <w:rPr>
          <w:spacing w:val="5"/>
          <w:sz w:val="16"/>
        </w:rPr>
        <w:t xml:space="preserve">11 </w:t>
      </w:r>
      <w:r>
        <w:rPr>
          <w:spacing w:val="6"/>
          <w:sz w:val="16"/>
        </w:rPr>
        <w:t xml:space="preserve">jan. </w:t>
      </w:r>
      <w:r>
        <w:rPr>
          <w:spacing w:val="10"/>
          <w:sz w:val="16"/>
        </w:rPr>
        <w:t xml:space="preserve">2011. </w:t>
      </w:r>
      <w:hyperlink r:id="rId459">
        <w:r>
          <w:rPr>
            <w:sz w:val="16"/>
          </w:rPr>
          <w:t>Disponível em: &lt;http://www.luisnassif.com/profiles/blogs/no-reino-das-</w:t>
        </w:r>
      </w:hyperlink>
      <w:r>
        <w:rPr>
          <w:sz w:val="16"/>
        </w:rPr>
        <w:t xml:space="preserve"> pedras&gt;. Acesso em: 14 dez. 2011.</w:t>
      </w:r>
    </w:p>
    <w:p w:rsidR="00D81F69" w:rsidRDefault="00330118">
      <w:pPr>
        <w:spacing w:before="4" w:line="312" w:lineRule="auto"/>
        <w:ind w:left="100" w:right="167"/>
        <w:jc w:val="both"/>
        <w:rPr>
          <w:sz w:val="16"/>
        </w:rPr>
      </w:pPr>
      <w:r>
        <w:rPr>
          <w:sz w:val="16"/>
        </w:rPr>
        <w:t>DARDENNE, Marcel Auguste; ALVARENGA, Carlos</w:t>
      </w:r>
      <w:r>
        <w:rPr>
          <w:sz w:val="16"/>
        </w:rPr>
        <w:t xml:space="preserve"> José Souza de; </w:t>
      </w:r>
      <w:r>
        <w:rPr>
          <w:spacing w:val="5"/>
          <w:sz w:val="16"/>
        </w:rPr>
        <w:t xml:space="preserve">OLIVEIRA, Claudinei Oliveira </w:t>
      </w:r>
      <w:r>
        <w:rPr>
          <w:spacing w:val="3"/>
          <w:sz w:val="16"/>
        </w:rPr>
        <w:t xml:space="preserve">de; </w:t>
      </w:r>
      <w:r>
        <w:rPr>
          <w:spacing w:val="5"/>
          <w:sz w:val="16"/>
        </w:rPr>
        <w:t xml:space="preserve">LENHARO, </w:t>
      </w:r>
      <w:r>
        <w:rPr>
          <w:spacing w:val="3"/>
          <w:sz w:val="16"/>
        </w:rPr>
        <w:t xml:space="preserve">Sara Lais </w:t>
      </w:r>
      <w:r>
        <w:rPr>
          <w:spacing w:val="5"/>
          <w:sz w:val="16"/>
        </w:rPr>
        <w:t xml:space="preserve">Hahal. </w:t>
      </w:r>
      <w:r>
        <w:rPr>
          <w:sz w:val="16"/>
        </w:rPr>
        <w:t xml:space="preserve">Geologia e metalogenia do depósito de cobre no Graben do Colorado, fossa tectônica de Rondônia, Brasil. In: Marini, O.J, Queiróz, E.T. de, </w:t>
      </w:r>
      <w:r>
        <w:rPr>
          <w:spacing w:val="3"/>
          <w:sz w:val="16"/>
        </w:rPr>
        <w:t xml:space="preserve">Ramos, </w:t>
      </w:r>
      <w:r>
        <w:rPr>
          <w:spacing w:val="1"/>
          <w:sz w:val="16"/>
        </w:rPr>
        <w:t xml:space="preserve">B. W. </w:t>
      </w:r>
      <w:r>
        <w:rPr>
          <w:spacing w:val="3"/>
          <w:sz w:val="16"/>
        </w:rPr>
        <w:t xml:space="preserve">(Org.). Caracterização </w:t>
      </w:r>
      <w:r>
        <w:rPr>
          <w:spacing w:val="1"/>
          <w:sz w:val="16"/>
        </w:rPr>
        <w:t xml:space="preserve">de </w:t>
      </w:r>
      <w:r>
        <w:rPr>
          <w:spacing w:val="3"/>
          <w:sz w:val="16"/>
        </w:rPr>
        <w:t>dep</w:t>
      </w:r>
      <w:r>
        <w:rPr>
          <w:spacing w:val="3"/>
          <w:sz w:val="16"/>
        </w:rPr>
        <w:t xml:space="preserve">ósitos minerais </w:t>
      </w:r>
      <w:r>
        <w:rPr>
          <w:spacing w:val="5"/>
          <w:sz w:val="16"/>
        </w:rPr>
        <w:t xml:space="preserve">em </w:t>
      </w:r>
      <w:r>
        <w:rPr>
          <w:sz w:val="16"/>
        </w:rPr>
        <w:t xml:space="preserve">distritos mineiros da Amazônia. Brasília: ADIMB/DNPM, 2005, Cap.      </w:t>
      </w:r>
      <w:r>
        <w:rPr>
          <w:spacing w:val="26"/>
          <w:sz w:val="16"/>
        </w:rPr>
        <w:t>I</w:t>
      </w:r>
      <w:r>
        <w:rPr>
          <w:sz w:val="16"/>
        </w:rPr>
        <w:t xml:space="preserve"> </w:t>
      </w:r>
      <w:r>
        <w:rPr>
          <w:spacing w:val="26"/>
          <w:sz w:val="16"/>
        </w:rPr>
        <w:t>X</w:t>
      </w:r>
      <w:r>
        <w:rPr>
          <w:sz w:val="16"/>
        </w:rPr>
        <w:t xml:space="preserve"> ,</w:t>
      </w:r>
      <w:r>
        <w:rPr>
          <w:spacing w:val="20"/>
          <w:sz w:val="16"/>
        </w:rPr>
        <w:t xml:space="preserve"> </w:t>
      </w:r>
      <w:r>
        <w:rPr>
          <w:spacing w:val="26"/>
          <w:sz w:val="16"/>
        </w:rPr>
        <w:t>p</w:t>
      </w:r>
      <w:r>
        <w:rPr>
          <w:sz w:val="16"/>
        </w:rPr>
        <w:t xml:space="preserve"> .</w:t>
      </w:r>
      <w:r>
        <w:rPr>
          <w:spacing w:val="20"/>
          <w:sz w:val="16"/>
        </w:rPr>
        <w:t xml:space="preserve"> </w:t>
      </w:r>
      <w:r>
        <w:rPr>
          <w:spacing w:val="26"/>
          <w:sz w:val="16"/>
        </w:rPr>
        <w:t>5</w:t>
      </w:r>
      <w:r>
        <w:rPr>
          <w:sz w:val="16"/>
        </w:rPr>
        <w:t xml:space="preserve"> </w:t>
      </w:r>
      <w:r>
        <w:rPr>
          <w:spacing w:val="26"/>
          <w:sz w:val="16"/>
        </w:rPr>
        <w:t>5</w:t>
      </w:r>
      <w:r>
        <w:rPr>
          <w:sz w:val="16"/>
        </w:rPr>
        <w:t xml:space="preserve"> </w:t>
      </w:r>
      <w:r>
        <w:rPr>
          <w:spacing w:val="26"/>
          <w:sz w:val="16"/>
        </w:rPr>
        <w:t>3</w:t>
      </w:r>
      <w:r>
        <w:rPr>
          <w:sz w:val="16"/>
        </w:rPr>
        <w:t xml:space="preserve"> </w:t>
      </w:r>
      <w:r>
        <w:rPr>
          <w:spacing w:val="26"/>
          <w:sz w:val="16"/>
        </w:rPr>
        <w:t>-</w:t>
      </w:r>
      <w:r>
        <w:rPr>
          <w:sz w:val="16"/>
        </w:rPr>
        <w:t xml:space="preserve"> </w:t>
      </w:r>
      <w:r>
        <w:rPr>
          <w:spacing w:val="26"/>
          <w:sz w:val="16"/>
        </w:rPr>
        <w:t>5</w:t>
      </w:r>
      <w:r>
        <w:rPr>
          <w:sz w:val="16"/>
        </w:rPr>
        <w:t xml:space="preserve"> </w:t>
      </w:r>
      <w:r>
        <w:rPr>
          <w:spacing w:val="26"/>
          <w:sz w:val="16"/>
        </w:rPr>
        <w:t>9</w:t>
      </w:r>
      <w:r>
        <w:rPr>
          <w:sz w:val="16"/>
        </w:rPr>
        <w:t xml:space="preserve"> </w:t>
      </w:r>
      <w:r>
        <w:rPr>
          <w:spacing w:val="26"/>
          <w:sz w:val="16"/>
        </w:rPr>
        <w:t>6</w:t>
      </w:r>
      <w:r>
        <w:rPr>
          <w:sz w:val="16"/>
        </w:rPr>
        <w:t xml:space="preserve"> .</w:t>
      </w:r>
      <w:r>
        <w:rPr>
          <w:spacing w:val="20"/>
          <w:sz w:val="16"/>
        </w:rPr>
        <w:t xml:space="preserve"> </w:t>
      </w:r>
      <w:r>
        <w:rPr>
          <w:spacing w:val="26"/>
          <w:sz w:val="16"/>
        </w:rPr>
        <w:t>D</w:t>
      </w:r>
      <w:r>
        <w:rPr>
          <w:sz w:val="16"/>
        </w:rPr>
        <w:t xml:space="preserve"> </w:t>
      </w:r>
      <w:r>
        <w:rPr>
          <w:spacing w:val="26"/>
          <w:sz w:val="16"/>
        </w:rPr>
        <w:t>i</w:t>
      </w:r>
      <w:r>
        <w:rPr>
          <w:sz w:val="16"/>
        </w:rPr>
        <w:t xml:space="preserve"> </w:t>
      </w:r>
      <w:r>
        <w:rPr>
          <w:spacing w:val="26"/>
          <w:sz w:val="16"/>
        </w:rPr>
        <w:t>s</w:t>
      </w:r>
      <w:r>
        <w:rPr>
          <w:sz w:val="16"/>
        </w:rPr>
        <w:t xml:space="preserve"> </w:t>
      </w:r>
      <w:r>
        <w:rPr>
          <w:spacing w:val="26"/>
          <w:sz w:val="16"/>
        </w:rPr>
        <w:t>p</w:t>
      </w:r>
      <w:r>
        <w:rPr>
          <w:sz w:val="16"/>
        </w:rPr>
        <w:t xml:space="preserve"> </w:t>
      </w:r>
      <w:r>
        <w:rPr>
          <w:spacing w:val="26"/>
          <w:sz w:val="16"/>
        </w:rPr>
        <w:t>o</w:t>
      </w:r>
      <w:r>
        <w:rPr>
          <w:sz w:val="16"/>
        </w:rPr>
        <w:t xml:space="preserve"> </w:t>
      </w:r>
      <w:r>
        <w:rPr>
          <w:spacing w:val="26"/>
          <w:sz w:val="16"/>
        </w:rPr>
        <w:t>n</w:t>
      </w:r>
      <w:r>
        <w:rPr>
          <w:sz w:val="16"/>
        </w:rPr>
        <w:t xml:space="preserve"> </w:t>
      </w:r>
      <w:r>
        <w:rPr>
          <w:spacing w:val="26"/>
          <w:sz w:val="16"/>
        </w:rPr>
        <w:t>í</w:t>
      </w:r>
      <w:r>
        <w:rPr>
          <w:sz w:val="16"/>
        </w:rPr>
        <w:t xml:space="preserve"> </w:t>
      </w:r>
      <w:r>
        <w:rPr>
          <w:spacing w:val="26"/>
          <w:sz w:val="16"/>
        </w:rPr>
        <w:t>v</w:t>
      </w:r>
      <w:r>
        <w:rPr>
          <w:sz w:val="16"/>
        </w:rPr>
        <w:t xml:space="preserve"> </w:t>
      </w:r>
      <w:r>
        <w:rPr>
          <w:spacing w:val="26"/>
          <w:sz w:val="16"/>
        </w:rPr>
        <w:t>e</w:t>
      </w:r>
      <w:r>
        <w:rPr>
          <w:sz w:val="16"/>
        </w:rPr>
        <w:t xml:space="preserve"> l</w:t>
      </w:r>
      <w:r>
        <w:rPr>
          <w:spacing w:val="20"/>
          <w:sz w:val="16"/>
        </w:rPr>
        <w:t xml:space="preserve"> </w:t>
      </w:r>
      <w:r>
        <w:rPr>
          <w:spacing w:val="26"/>
          <w:sz w:val="16"/>
        </w:rPr>
        <w:t>e</w:t>
      </w:r>
      <w:r>
        <w:rPr>
          <w:sz w:val="16"/>
        </w:rPr>
        <w:t xml:space="preserve"> </w:t>
      </w:r>
      <w:r>
        <w:rPr>
          <w:spacing w:val="26"/>
          <w:sz w:val="16"/>
        </w:rPr>
        <w:t>m</w:t>
      </w:r>
      <w:r>
        <w:rPr>
          <w:sz w:val="16"/>
        </w:rPr>
        <w:t xml:space="preserve"> : </w:t>
      </w:r>
      <w:r>
        <w:rPr>
          <w:spacing w:val="-16"/>
          <w:sz w:val="16"/>
        </w:rPr>
        <w:t xml:space="preserve"> </w:t>
      </w:r>
    </w:p>
    <w:p w:rsidR="00D81F69" w:rsidRDefault="00D81F69">
      <w:pPr>
        <w:spacing w:before="5" w:line="312" w:lineRule="auto"/>
        <w:ind w:left="100" w:right="239"/>
        <w:jc w:val="both"/>
        <w:rPr>
          <w:sz w:val="16"/>
        </w:rPr>
      </w:pPr>
      <w:hyperlink r:id="rId460">
        <w:r w:rsidR="00330118">
          <w:rPr>
            <w:sz w:val="16"/>
          </w:rPr>
          <w:t>&lt;</w:t>
        </w:r>
        <w:r w:rsidR="00330118">
          <w:rPr>
            <w:sz w:val="16"/>
          </w:rPr>
          <w:t>http://www.adimb.com.br/publicacoes_amazonia/Indice/Cap_IX.pdf&gt;.</w:t>
        </w:r>
      </w:hyperlink>
      <w:r w:rsidR="00330118">
        <w:rPr>
          <w:sz w:val="16"/>
        </w:rPr>
        <w:t xml:space="preserve"> Acesso em: 14 dez. 2011.</w:t>
      </w:r>
    </w:p>
    <w:p w:rsidR="00D81F69" w:rsidRDefault="00330118">
      <w:pPr>
        <w:spacing w:before="2" w:line="312" w:lineRule="auto"/>
        <w:ind w:left="100" w:right="235"/>
        <w:jc w:val="both"/>
        <w:rPr>
          <w:sz w:val="16"/>
        </w:rPr>
      </w:pPr>
      <w:r>
        <w:rPr>
          <w:sz w:val="16"/>
        </w:rPr>
        <w:t xml:space="preserve">DIÁRIO ONLINE. Pará na liderança mineral com o cobre, 20 abr. 2011. Disponível em: </w:t>
      </w:r>
      <w:hyperlink r:id="rId461">
        <w:r>
          <w:rPr>
            <w:sz w:val="16"/>
          </w:rPr>
          <w:t>&lt;http://www.diarioo</w:t>
        </w:r>
        <w:r>
          <w:rPr>
            <w:sz w:val="16"/>
          </w:rPr>
          <w:t>nline.com.br/noticia-144398-</w:t>
        </w:r>
      </w:hyperlink>
    </w:p>
    <w:p w:rsidR="00D81F69" w:rsidRDefault="00330118">
      <w:pPr>
        <w:spacing w:before="2"/>
        <w:ind w:left="100"/>
        <w:jc w:val="both"/>
        <w:rPr>
          <w:sz w:val="16"/>
        </w:rPr>
      </w:pPr>
      <w:r>
        <w:rPr>
          <w:sz w:val="16"/>
        </w:rPr>
        <w:t>.html&gt;. Acesso em: 14 dez. 2011.</w:t>
      </w:r>
    </w:p>
    <w:p w:rsidR="00D81F69" w:rsidRDefault="00330118">
      <w:pPr>
        <w:spacing w:before="56" w:line="312" w:lineRule="auto"/>
        <w:ind w:left="100" w:right="232"/>
        <w:jc w:val="both"/>
        <w:rPr>
          <w:sz w:val="16"/>
        </w:rPr>
      </w:pPr>
      <w:r>
        <w:rPr>
          <w:sz w:val="16"/>
        </w:rPr>
        <w:t xml:space="preserve">FARIAS, José Osael Gonçalves de. Produto 14, Minério de </w:t>
      </w:r>
      <w:r>
        <w:rPr>
          <w:spacing w:val="1"/>
          <w:sz w:val="16"/>
        </w:rPr>
        <w:t xml:space="preserve">Cobre. </w:t>
      </w:r>
      <w:r>
        <w:rPr>
          <w:sz w:val="16"/>
        </w:rPr>
        <w:t xml:space="preserve">Relatório Técnico 23, Perfil da Mineração de Cobre. Projeto </w:t>
      </w:r>
      <w:r>
        <w:rPr>
          <w:spacing w:val="1"/>
          <w:sz w:val="16"/>
        </w:rPr>
        <w:t xml:space="preserve">Estal, </w:t>
      </w:r>
      <w:r>
        <w:rPr>
          <w:spacing w:val="2"/>
          <w:sz w:val="16"/>
        </w:rPr>
        <w:t xml:space="preserve">ago. </w:t>
      </w:r>
      <w:r>
        <w:rPr>
          <w:spacing w:val="3"/>
          <w:sz w:val="16"/>
        </w:rPr>
        <w:t xml:space="preserve">2009. Ministério </w:t>
      </w:r>
      <w:r>
        <w:rPr>
          <w:spacing w:val="1"/>
          <w:sz w:val="16"/>
        </w:rPr>
        <w:t xml:space="preserve">de </w:t>
      </w:r>
      <w:r>
        <w:rPr>
          <w:spacing w:val="3"/>
          <w:sz w:val="16"/>
        </w:rPr>
        <w:t xml:space="preserve">Minas </w:t>
      </w:r>
      <w:r>
        <w:rPr>
          <w:sz w:val="16"/>
        </w:rPr>
        <w:t xml:space="preserve">e </w:t>
      </w:r>
      <w:r>
        <w:rPr>
          <w:spacing w:val="3"/>
          <w:sz w:val="16"/>
        </w:rPr>
        <w:t xml:space="preserve">Energia, Secretaria </w:t>
      </w:r>
      <w:r>
        <w:rPr>
          <w:spacing w:val="5"/>
          <w:sz w:val="16"/>
        </w:rPr>
        <w:t xml:space="preserve">Geologia, </w:t>
      </w:r>
      <w:r>
        <w:rPr>
          <w:sz w:val="16"/>
        </w:rPr>
        <w:t>Mineração</w:t>
      </w:r>
      <w:r>
        <w:rPr>
          <w:spacing w:val="13"/>
          <w:sz w:val="16"/>
        </w:rPr>
        <w:t xml:space="preserve"> </w:t>
      </w:r>
      <w:r>
        <w:rPr>
          <w:sz w:val="16"/>
        </w:rPr>
        <w:t>e</w:t>
      </w:r>
      <w:r>
        <w:rPr>
          <w:spacing w:val="13"/>
          <w:sz w:val="16"/>
        </w:rPr>
        <w:t xml:space="preserve"> </w:t>
      </w:r>
      <w:r>
        <w:rPr>
          <w:sz w:val="16"/>
        </w:rPr>
        <w:t>Transformação</w:t>
      </w:r>
      <w:r>
        <w:rPr>
          <w:spacing w:val="13"/>
          <w:sz w:val="16"/>
        </w:rPr>
        <w:t xml:space="preserve"> </w:t>
      </w:r>
      <w:r>
        <w:rPr>
          <w:sz w:val="16"/>
        </w:rPr>
        <w:t>Mineral,</w:t>
      </w:r>
      <w:r>
        <w:rPr>
          <w:spacing w:val="13"/>
          <w:sz w:val="16"/>
        </w:rPr>
        <w:t xml:space="preserve"> </w:t>
      </w:r>
      <w:r>
        <w:rPr>
          <w:sz w:val="16"/>
        </w:rPr>
        <w:t>Banco</w:t>
      </w:r>
      <w:r>
        <w:rPr>
          <w:spacing w:val="13"/>
          <w:sz w:val="16"/>
        </w:rPr>
        <w:t xml:space="preserve"> </w:t>
      </w:r>
      <w:r>
        <w:rPr>
          <w:sz w:val="16"/>
        </w:rPr>
        <w:t>Mundial.</w:t>
      </w:r>
      <w:r>
        <w:rPr>
          <w:spacing w:val="13"/>
          <w:sz w:val="16"/>
        </w:rPr>
        <w:t xml:space="preserve"> </w:t>
      </w:r>
      <w:r>
        <w:rPr>
          <w:sz w:val="16"/>
        </w:rPr>
        <w:t>Disponível</w:t>
      </w:r>
      <w:r>
        <w:rPr>
          <w:spacing w:val="13"/>
          <w:sz w:val="16"/>
        </w:rPr>
        <w:t xml:space="preserve"> </w:t>
      </w:r>
      <w:r>
        <w:rPr>
          <w:sz w:val="16"/>
        </w:rPr>
        <w:t>em:</w:t>
      </w:r>
    </w:p>
    <w:p w:rsidR="00D81F69" w:rsidRDefault="00D81F69">
      <w:pPr>
        <w:spacing w:before="3"/>
        <w:ind w:left="100"/>
        <w:jc w:val="both"/>
        <w:rPr>
          <w:sz w:val="16"/>
        </w:rPr>
      </w:pPr>
      <w:hyperlink r:id="rId462">
        <w:r w:rsidR="00330118">
          <w:rPr>
            <w:sz w:val="16"/>
          </w:rPr>
          <w:t>&lt;http://www.mme.gov.br/sgm/galerias/arquivos/plano_duo_decenal/a</w:t>
        </w:r>
      </w:hyperlink>
    </w:p>
    <w:p w:rsidR="00D81F69" w:rsidRDefault="00330118">
      <w:pPr>
        <w:spacing w:before="56"/>
        <w:ind w:left="100"/>
        <w:jc w:val="both"/>
        <w:rPr>
          <w:sz w:val="16"/>
        </w:rPr>
      </w:pPr>
      <w:r>
        <w:rPr>
          <w:sz w:val="16"/>
        </w:rPr>
        <w:t>_mineracao_brasileira/P14_RT23_Perfil_da_Mine</w:t>
      </w:r>
      <w:r>
        <w:rPr>
          <w:sz w:val="16"/>
        </w:rPr>
        <w:t>raxo_de_Cobre.pdf</w:t>
      </w:r>
    </w:p>
    <w:p w:rsidR="00D81F69" w:rsidRDefault="00330118">
      <w:pPr>
        <w:spacing w:before="56"/>
        <w:ind w:left="100"/>
        <w:jc w:val="both"/>
        <w:rPr>
          <w:sz w:val="16"/>
        </w:rPr>
      </w:pPr>
      <w:r>
        <w:rPr>
          <w:sz w:val="16"/>
        </w:rPr>
        <w:t>&gt;. Acesso em: 14 dez. 2011.</w:t>
      </w:r>
    </w:p>
    <w:p w:rsidR="00D81F69" w:rsidRDefault="00330118">
      <w:pPr>
        <w:tabs>
          <w:tab w:val="left" w:pos="1164"/>
          <w:tab w:val="left" w:pos="2473"/>
          <w:tab w:val="left" w:pos="4636"/>
        </w:tabs>
        <w:spacing w:before="56" w:line="312" w:lineRule="auto"/>
        <w:ind w:left="100" w:right="241"/>
        <w:jc w:val="both"/>
        <w:rPr>
          <w:sz w:val="16"/>
        </w:rPr>
      </w:pPr>
      <w:r>
        <w:rPr>
          <w:sz w:val="16"/>
        </w:rPr>
        <w:t xml:space="preserve">GUEDES, Lenilson. Polícia de Rondônia fecha garimpo e apreende oito toneladas de minério de cobre 2008. Notícia na hora.com.br, 02    f  e </w:t>
      </w:r>
      <w:r>
        <w:rPr>
          <w:spacing w:val="22"/>
          <w:sz w:val="16"/>
        </w:rPr>
        <w:t xml:space="preserve"> </w:t>
      </w:r>
      <w:r>
        <w:rPr>
          <w:sz w:val="16"/>
        </w:rPr>
        <w:t xml:space="preserve">v </w:t>
      </w:r>
      <w:r>
        <w:rPr>
          <w:spacing w:val="10"/>
          <w:sz w:val="16"/>
        </w:rPr>
        <w:t xml:space="preserve"> </w:t>
      </w:r>
      <w:r>
        <w:rPr>
          <w:sz w:val="16"/>
        </w:rPr>
        <w:t>.</w:t>
      </w:r>
      <w:r>
        <w:rPr>
          <w:sz w:val="16"/>
        </w:rPr>
        <w:tab/>
        <w:t xml:space="preserve">2  0  0 </w:t>
      </w:r>
      <w:r>
        <w:rPr>
          <w:spacing w:val="35"/>
          <w:sz w:val="16"/>
        </w:rPr>
        <w:t xml:space="preserve"> </w:t>
      </w:r>
      <w:r>
        <w:rPr>
          <w:sz w:val="16"/>
        </w:rPr>
        <w:t xml:space="preserve">8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2"/>
          <w:sz w:val="16"/>
        </w:rPr>
        <w:t xml:space="preserve"> </w:t>
      </w:r>
      <w:r>
        <w:rPr>
          <w:sz w:val="16"/>
        </w:rPr>
        <w:t>:</w:t>
      </w:r>
    </w:p>
    <w:p w:rsidR="00D81F69" w:rsidRDefault="00D81F69">
      <w:pPr>
        <w:spacing w:before="2" w:line="312" w:lineRule="auto"/>
        <w:ind w:left="100" w:right="225"/>
        <w:jc w:val="both"/>
        <w:rPr>
          <w:sz w:val="16"/>
        </w:rPr>
      </w:pPr>
      <w:hyperlink r:id="rId463">
        <w:r w:rsidR="00330118">
          <w:rPr>
            <w:sz w:val="16"/>
          </w:rPr>
          <w:t>&lt;http://webcache.googleusercontent.com/search?q=cache:VZ4Fgvty5</w:t>
        </w:r>
      </w:hyperlink>
      <w:r w:rsidR="00330118">
        <w:rPr>
          <w:sz w:val="16"/>
        </w:rPr>
        <w:t xml:space="preserve"> NUJ:noticianahora.com.br/RO/noticia/policia-de-rondonia-fecha- garimpo-e-apreende-oito-toneladas-de-minerio-de- </w:t>
      </w:r>
      <w:r w:rsidR="00330118">
        <w:rPr>
          <w:sz w:val="16"/>
        </w:rPr>
        <w:t>cobre/12415+min%C3%A9rio+%2B+COBRE+%2B+sul+%2B+Rond% C3%B4nia&amp;cd=7&amp;hl=pt-BR&amp;ct=clnk&amp;gl=br&gt;. Acesso em: 14 dez. 2011.</w:t>
      </w:r>
    </w:p>
    <w:p w:rsidR="00D81F69" w:rsidRDefault="00330118">
      <w:pPr>
        <w:spacing w:before="5" w:line="312" w:lineRule="auto"/>
        <w:ind w:left="100" w:right="224"/>
        <w:jc w:val="both"/>
        <w:rPr>
          <w:sz w:val="16"/>
        </w:rPr>
      </w:pPr>
      <w:r>
        <w:rPr>
          <w:sz w:val="16"/>
        </w:rPr>
        <w:t xml:space="preserve">IBGE, Instituto Brasileiro de Geografia e Estatística. Alto Alegre dos Parecis (RO). In: IBGE Cidades, 2010a. Disponível em: </w:t>
      </w:r>
    </w:p>
    <w:p w:rsidR="00D81F69" w:rsidRDefault="00D81F69">
      <w:pPr>
        <w:spacing w:before="2"/>
        <w:ind w:left="100"/>
        <w:jc w:val="both"/>
        <w:rPr>
          <w:sz w:val="16"/>
        </w:rPr>
      </w:pPr>
      <w:hyperlink r:id="rId464">
        <w:r w:rsidR="00330118">
          <w:rPr>
            <w:sz w:val="16"/>
          </w:rPr>
          <w:t>&lt;http://www.ibge.gov.br/cidadesat/xtras/perfil.php?codmun=110037&amp;r</w:t>
        </w:r>
      </w:hyperlink>
    </w:p>
    <w:p w:rsidR="00D81F69" w:rsidRDefault="00330118">
      <w:pPr>
        <w:spacing w:before="56"/>
        <w:ind w:left="100"/>
        <w:jc w:val="both"/>
        <w:rPr>
          <w:sz w:val="16"/>
        </w:rPr>
      </w:pPr>
      <w:r>
        <w:rPr>
          <w:sz w:val="16"/>
        </w:rPr>
        <w:t>=2&gt;. Acesso em: 14 dez. 2011.</w:t>
      </w:r>
    </w:p>
    <w:p w:rsidR="00D81F69" w:rsidRDefault="00330118">
      <w:pPr>
        <w:tabs>
          <w:tab w:val="left" w:pos="4331"/>
        </w:tabs>
        <w:spacing w:before="56" w:line="312" w:lineRule="auto"/>
        <w:ind w:left="100" w:right="232"/>
        <w:jc w:val="both"/>
        <w:rPr>
          <w:sz w:val="16"/>
        </w:rPr>
      </w:pPr>
      <w:r>
        <w:rPr>
          <w:spacing w:val="5"/>
          <w:sz w:val="16"/>
        </w:rPr>
        <w:t xml:space="preserve">______. </w:t>
      </w:r>
      <w:r>
        <w:rPr>
          <w:spacing w:val="3"/>
          <w:sz w:val="16"/>
        </w:rPr>
        <w:t xml:space="preserve">Alta </w:t>
      </w:r>
      <w:r>
        <w:rPr>
          <w:spacing w:val="5"/>
          <w:sz w:val="16"/>
        </w:rPr>
        <w:t xml:space="preserve">Floresta D’Oeste </w:t>
      </w:r>
      <w:r>
        <w:rPr>
          <w:spacing w:val="3"/>
          <w:sz w:val="16"/>
        </w:rPr>
        <w:t xml:space="preserve">(RO). In:  IBGE  </w:t>
      </w:r>
      <w:r>
        <w:rPr>
          <w:spacing w:val="5"/>
          <w:sz w:val="16"/>
        </w:rPr>
        <w:t xml:space="preserve">Cidades, 2010b.  </w:t>
      </w:r>
      <w:r>
        <w:rPr>
          <w:sz w:val="16"/>
        </w:rPr>
        <w:t xml:space="preserve">D      i      s      </w:t>
      </w:r>
      <w:r>
        <w:rPr>
          <w:sz w:val="16"/>
        </w:rPr>
        <w:t xml:space="preserve">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ind w:left="100"/>
        <w:jc w:val="both"/>
        <w:rPr>
          <w:sz w:val="16"/>
        </w:rPr>
      </w:pPr>
      <w:hyperlink r:id="rId465">
        <w:r w:rsidR="00330118">
          <w:rPr>
            <w:sz w:val="16"/>
          </w:rPr>
          <w:t>&lt;http://www.ibge.gov.br/cidadesat/xtras/perfil.php?codmun=110001&amp;r</w:t>
        </w:r>
      </w:hyperlink>
    </w:p>
    <w:p w:rsidR="00D81F69" w:rsidRDefault="00330118">
      <w:pPr>
        <w:spacing w:before="56"/>
        <w:ind w:left="100"/>
        <w:jc w:val="both"/>
        <w:rPr>
          <w:sz w:val="16"/>
        </w:rPr>
      </w:pPr>
      <w:r>
        <w:rPr>
          <w:sz w:val="16"/>
        </w:rPr>
        <w:t>=2&gt;. Acesso em: 14 dez. 2011.</w:t>
      </w:r>
    </w:p>
    <w:p w:rsidR="00D81F69" w:rsidRDefault="00330118">
      <w:pPr>
        <w:spacing w:before="56" w:line="312" w:lineRule="auto"/>
        <w:ind w:left="100" w:right="186"/>
        <w:jc w:val="both"/>
        <w:rPr>
          <w:sz w:val="16"/>
        </w:rPr>
      </w:pPr>
      <w:r>
        <w:rPr>
          <w:spacing w:val="6"/>
          <w:sz w:val="16"/>
        </w:rPr>
        <w:t xml:space="preserve">RODRIGUES, </w:t>
      </w:r>
      <w:r>
        <w:rPr>
          <w:spacing w:val="5"/>
          <w:sz w:val="16"/>
        </w:rPr>
        <w:t xml:space="preserve">Antônio </w:t>
      </w:r>
      <w:r>
        <w:rPr>
          <w:spacing w:val="6"/>
          <w:sz w:val="16"/>
        </w:rPr>
        <w:t xml:space="preserve">Fernando </w:t>
      </w:r>
      <w:r>
        <w:rPr>
          <w:spacing w:val="3"/>
          <w:sz w:val="16"/>
        </w:rPr>
        <w:t xml:space="preserve">da </w:t>
      </w:r>
      <w:r>
        <w:rPr>
          <w:spacing w:val="5"/>
          <w:sz w:val="16"/>
        </w:rPr>
        <w:t xml:space="preserve">Silva; HEIDER, </w:t>
      </w:r>
      <w:r>
        <w:rPr>
          <w:spacing w:val="7"/>
          <w:sz w:val="16"/>
        </w:rPr>
        <w:t xml:space="preserve">Mathias; </w:t>
      </w:r>
      <w:r>
        <w:rPr>
          <w:sz w:val="16"/>
        </w:rPr>
        <w:t xml:space="preserve">FONSECA,   David Siqueira. Cobre. Economia Mineral do Brasil, p.     </w:t>
      </w:r>
      <w:r>
        <w:rPr>
          <w:spacing w:val="5"/>
          <w:sz w:val="16"/>
        </w:rPr>
        <w:t xml:space="preserve">2 1 6 - 2 3 4 </w:t>
      </w:r>
      <w:r>
        <w:rPr>
          <w:sz w:val="16"/>
        </w:rPr>
        <w:t xml:space="preserve">. </w:t>
      </w:r>
      <w:r>
        <w:rPr>
          <w:spacing w:val="5"/>
          <w:sz w:val="16"/>
        </w:rPr>
        <w:t xml:space="preserve">D N P M </w:t>
      </w:r>
      <w:r>
        <w:rPr>
          <w:sz w:val="16"/>
        </w:rPr>
        <w:t xml:space="preserve">, </w:t>
      </w:r>
      <w:r>
        <w:rPr>
          <w:spacing w:val="5"/>
          <w:sz w:val="16"/>
        </w:rPr>
        <w:t xml:space="preserve">2 0 0 9 </w:t>
      </w:r>
      <w:r>
        <w:rPr>
          <w:sz w:val="16"/>
        </w:rPr>
        <w:t xml:space="preserve">. </w:t>
      </w:r>
      <w:r>
        <w:rPr>
          <w:spacing w:val="5"/>
          <w:sz w:val="16"/>
        </w:rPr>
        <w:t xml:space="preserve">D i s p o n í v e </w:t>
      </w:r>
      <w:r>
        <w:rPr>
          <w:sz w:val="16"/>
        </w:rPr>
        <w:t>l</w:t>
      </w:r>
      <w:r>
        <w:rPr>
          <w:spacing w:val="37"/>
          <w:sz w:val="16"/>
        </w:rPr>
        <w:t xml:space="preserve"> </w:t>
      </w:r>
      <w:r>
        <w:rPr>
          <w:spacing w:val="5"/>
          <w:sz w:val="16"/>
        </w:rPr>
        <w:t xml:space="preserve">e m </w:t>
      </w:r>
      <w:r>
        <w:rPr>
          <w:sz w:val="16"/>
        </w:rPr>
        <w:t>:</w:t>
      </w:r>
      <w:r>
        <w:rPr>
          <w:spacing w:val="6"/>
          <w:sz w:val="16"/>
        </w:rPr>
        <w:t xml:space="preserve"> </w:t>
      </w:r>
    </w:p>
    <w:p w:rsidR="00D81F69" w:rsidRDefault="00330118">
      <w:pPr>
        <w:spacing w:before="2" w:line="312" w:lineRule="auto"/>
        <w:ind w:left="100" w:right="257"/>
        <w:jc w:val="both"/>
        <w:rPr>
          <w:sz w:val="16"/>
        </w:rPr>
      </w:pPr>
      <w:r>
        <w:rPr>
          <w:sz w:val="16"/>
        </w:rPr>
        <w:t>&lt;https://sistemas.dnpm.gov.br/publicacao/mostra_imagem.asp?IDBan coArquivoArquivo=3982&gt;</w:t>
      </w:r>
      <w:r>
        <w:rPr>
          <w:sz w:val="16"/>
        </w:rPr>
        <w:t>. Acesso em: 14 dez. 2011.</w:t>
      </w:r>
    </w:p>
    <w:p w:rsidR="00D81F69" w:rsidRDefault="00330118">
      <w:pPr>
        <w:spacing w:before="2"/>
        <w:ind w:left="100"/>
        <w:jc w:val="both"/>
        <w:rPr>
          <w:sz w:val="16"/>
        </w:rPr>
      </w:pPr>
      <w:r>
        <w:rPr>
          <w:sz w:val="16"/>
        </w:rPr>
        <w:t>SÓTER, Marcos Antéro. Sedam e Polícia Ambiental de RO</w:t>
      </w:r>
    </w:p>
    <w:p w:rsidR="00D81F69" w:rsidRDefault="00D81F69">
      <w:pPr>
        <w:jc w:val="both"/>
        <w:rPr>
          <w:sz w:val="16"/>
        </w:rPr>
        <w:sectPr w:rsidR="00D81F69">
          <w:type w:val="continuous"/>
          <w:pgSz w:w="11900" w:h="16840"/>
          <w:pgMar w:top="720" w:right="460" w:bottom="280" w:left="620" w:header="720" w:footer="720" w:gutter="0"/>
          <w:cols w:num="2" w:space="720" w:equalWidth="0">
            <w:col w:w="5153" w:space="317"/>
            <w:col w:w="5350"/>
          </w:cols>
        </w:sectPr>
      </w:pPr>
    </w:p>
    <w:p w:rsidR="00D81F69" w:rsidRDefault="00330118">
      <w:pPr>
        <w:spacing w:before="70" w:line="312" w:lineRule="auto"/>
        <w:ind w:left="100" w:right="85"/>
        <w:rPr>
          <w:sz w:val="16"/>
        </w:rPr>
      </w:pPr>
      <w:r>
        <w:rPr>
          <w:sz w:val="16"/>
        </w:rPr>
        <w:lastRenderedPageBreak/>
        <w:t>apreendem cobre em mina ilegal. Blog do Antéro, 03 mar. 2008. Disponível em:</w:t>
      </w:r>
    </w:p>
    <w:p w:rsidR="00D81F69" w:rsidRDefault="00D81F69">
      <w:pPr>
        <w:spacing w:before="1" w:line="312" w:lineRule="auto"/>
        <w:ind w:left="100" w:right="85"/>
        <w:rPr>
          <w:sz w:val="16"/>
        </w:rPr>
      </w:pPr>
      <w:hyperlink r:id="rId466">
        <w:r w:rsidR="00330118">
          <w:rPr>
            <w:sz w:val="16"/>
          </w:rPr>
          <w:t>&lt;http://blogdomarcantero.blogspot.com.br/2008/03/sedam-e-polcia-</w:t>
        </w:r>
      </w:hyperlink>
      <w:r w:rsidR="00330118">
        <w:rPr>
          <w:sz w:val="16"/>
        </w:rPr>
        <w:t xml:space="preserve"> ambiental-de-ro.html&gt;. Acesso em: 14 dez. 2011.</w:t>
      </w:r>
    </w:p>
    <w:p w:rsidR="00D81F69" w:rsidRDefault="00330118">
      <w:pPr>
        <w:spacing w:before="2"/>
        <w:ind w:left="100"/>
        <w:rPr>
          <w:sz w:val="16"/>
        </w:rPr>
      </w:pPr>
      <w:r>
        <w:rPr>
          <w:sz w:val="16"/>
        </w:rPr>
        <w:t>PREFEITURA  MUNICIPAL  DE  ALTO  ALEGRE DOS  PARECIS.</w:t>
      </w:r>
    </w:p>
    <w:p w:rsidR="00D81F69" w:rsidRDefault="00330118">
      <w:pPr>
        <w:spacing w:before="56"/>
        <w:ind w:left="100"/>
        <w:rPr>
          <w:sz w:val="16"/>
        </w:rPr>
      </w:pPr>
      <w:r>
        <w:rPr>
          <w:spacing w:val="27"/>
          <w:sz w:val="16"/>
        </w:rPr>
        <w:t xml:space="preserve">Histórico   </w:t>
      </w:r>
      <w:r>
        <w:rPr>
          <w:spacing w:val="15"/>
          <w:sz w:val="16"/>
        </w:rPr>
        <w:t xml:space="preserve">do    </w:t>
      </w:r>
      <w:r>
        <w:rPr>
          <w:spacing w:val="27"/>
          <w:sz w:val="16"/>
        </w:rPr>
        <w:t xml:space="preserve">município,   </w:t>
      </w:r>
      <w:r>
        <w:rPr>
          <w:spacing w:val="25"/>
          <w:sz w:val="16"/>
        </w:rPr>
        <w:t xml:space="preserve">2009.   </w:t>
      </w:r>
      <w:r>
        <w:rPr>
          <w:spacing w:val="27"/>
          <w:sz w:val="16"/>
        </w:rPr>
        <w:t>Disponível</w:t>
      </w:r>
      <w:r>
        <w:rPr>
          <w:spacing w:val="95"/>
          <w:sz w:val="16"/>
        </w:rPr>
        <w:t xml:space="preserve"> </w:t>
      </w:r>
      <w:r>
        <w:rPr>
          <w:spacing w:val="20"/>
          <w:sz w:val="16"/>
        </w:rPr>
        <w:t>em:</w:t>
      </w:r>
      <w:r>
        <w:rPr>
          <w:spacing w:val="-12"/>
          <w:sz w:val="16"/>
        </w:rPr>
        <w:t xml:space="preserve"> </w:t>
      </w:r>
    </w:p>
    <w:p w:rsidR="00D81F69" w:rsidRDefault="00D81F69">
      <w:pPr>
        <w:spacing w:before="56" w:line="312" w:lineRule="auto"/>
        <w:ind w:left="100" w:right="85"/>
        <w:rPr>
          <w:sz w:val="16"/>
        </w:rPr>
      </w:pPr>
      <w:hyperlink r:id="rId467">
        <w:r w:rsidR="00330118">
          <w:rPr>
            <w:sz w:val="16"/>
          </w:rPr>
          <w:t xml:space="preserve">&lt;http://altoalegre.ro.gov.br/simbolos-municipais.php&gt;. </w:t>
        </w:r>
      </w:hyperlink>
      <w:r w:rsidR="00330118">
        <w:rPr>
          <w:sz w:val="16"/>
        </w:rPr>
        <w:t>Acesso em: 14 dez. 2011.</w:t>
      </w:r>
    </w:p>
    <w:p w:rsidR="00D81F69" w:rsidRDefault="00330118">
      <w:pPr>
        <w:spacing w:before="70" w:line="312" w:lineRule="auto"/>
        <w:ind w:left="100" w:right="239"/>
        <w:jc w:val="both"/>
        <w:rPr>
          <w:sz w:val="16"/>
        </w:rPr>
      </w:pPr>
      <w:r>
        <w:br w:type="column"/>
      </w:r>
      <w:r>
        <w:rPr>
          <w:sz w:val="16"/>
        </w:rPr>
        <w:lastRenderedPageBreak/>
        <w:t xml:space="preserve">TUDO RONDÔNIA.COM. Polícia de Rondônia fecha garimpo e apreende oito toneladas de minério de cobre, 27 fev. 2008. Disponível em: </w:t>
      </w:r>
      <w:hyperlink r:id="rId468">
        <w:r>
          <w:rPr>
            <w:sz w:val="16"/>
          </w:rPr>
          <w:t>&lt;http://www.tudorondonia.com/noticias/policia-de-rondonia-fecha-</w:t>
        </w:r>
      </w:hyperlink>
      <w:r>
        <w:rPr>
          <w:sz w:val="16"/>
        </w:rPr>
        <w:t xml:space="preserve"> garimpo-e-apreende-oito-toneladas-de-minerio-de-cobre- </w:t>
      </w:r>
    </w:p>
    <w:p w:rsidR="00D81F69" w:rsidRDefault="00330118">
      <w:pPr>
        <w:spacing w:before="3"/>
        <w:ind w:left="100"/>
        <w:jc w:val="both"/>
        <w:rPr>
          <w:sz w:val="16"/>
        </w:rPr>
      </w:pPr>
      <w:r>
        <w:rPr>
          <w:sz w:val="16"/>
        </w:rPr>
        <w:t xml:space="preserve">,5688.shtml&gt;. Acesso em: 14 dez. 2011. </w:t>
      </w:r>
    </w:p>
    <w:p w:rsidR="00D81F69" w:rsidRDefault="00D81F69">
      <w:pPr>
        <w:jc w:val="both"/>
        <w:rPr>
          <w:sz w:val="16"/>
        </w:rPr>
        <w:sectPr w:rsidR="00D81F69">
          <w:pgSz w:w="11900" w:h="16840"/>
          <w:pgMar w:top="740" w:right="460" w:bottom="720" w:left="620" w:header="0" w:footer="402" w:gutter="0"/>
          <w:cols w:num="2" w:space="720" w:equalWidth="0">
            <w:col w:w="5182" w:space="288"/>
            <w:col w:w="5350"/>
          </w:cols>
        </w:sectPr>
      </w:pPr>
    </w:p>
    <w:p w:rsidR="00D81F69" w:rsidRDefault="00330118">
      <w:pPr>
        <w:pStyle w:val="Heading1"/>
        <w:spacing w:before="65"/>
        <w:ind w:right="0"/>
      </w:pPr>
      <w:r>
        <w:lastRenderedPageBreak/>
        <w:t>Garimpo ilegal na Terra Indígena Roosevelt (RO)</w:t>
      </w:r>
    </w:p>
    <w:p w:rsidR="00D81F69" w:rsidRDefault="00D81F69">
      <w:pPr>
        <w:pStyle w:val="Corpodetexto"/>
        <w:ind w:left="0"/>
        <w:jc w:val="left"/>
        <w:rPr>
          <w:b/>
          <w:sz w:val="20"/>
        </w:rPr>
      </w:pPr>
    </w:p>
    <w:p w:rsidR="00D81F69" w:rsidRDefault="00D81F69">
      <w:pPr>
        <w:rPr>
          <w:sz w:val="20"/>
        </w:rPr>
        <w:sectPr w:rsidR="00D81F69">
          <w:pgSz w:w="11900" w:h="16840"/>
          <w:pgMar w:top="1080" w:right="46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spacing w:before="5"/>
        <w:ind w:left="0"/>
        <w:jc w:val="left"/>
        <w:rPr>
          <w:b/>
          <w:sz w:val="23"/>
        </w:rPr>
      </w:pPr>
    </w:p>
    <w:p w:rsidR="00D81F69" w:rsidRDefault="00330118">
      <w:pPr>
        <w:ind w:left="135"/>
        <w:rPr>
          <w:i/>
          <w:sz w:val="14"/>
        </w:rPr>
      </w:pPr>
      <w:r>
        <w:rPr>
          <w:i/>
          <w:sz w:val="14"/>
        </w:rPr>
        <w:t>MUNICÍPIOS</w:t>
      </w:r>
    </w:p>
    <w:p w:rsidR="00D81F69" w:rsidRDefault="00330118">
      <w:pPr>
        <w:spacing w:before="49"/>
        <w:ind w:left="135"/>
        <w:rPr>
          <w:i/>
          <w:sz w:val="14"/>
        </w:rPr>
      </w:pPr>
      <w:r>
        <w:rPr>
          <w:i/>
          <w:sz w:val="14"/>
        </w:rPr>
        <w:t>RO - Cacoal</w:t>
      </w:r>
    </w:p>
    <w:p w:rsidR="00D81F69" w:rsidRDefault="00330118">
      <w:pPr>
        <w:spacing w:before="49"/>
        <w:ind w:left="135"/>
        <w:rPr>
          <w:i/>
          <w:sz w:val="14"/>
        </w:rPr>
      </w:pPr>
      <w:r>
        <w:rPr>
          <w:i/>
          <w:sz w:val="14"/>
        </w:rPr>
        <w:t>RO - Espigão D'Oeste</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-11,498</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-61,3463</w:t>
      </w:r>
    </w:p>
    <w:p w:rsidR="00D81F69" w:rsidRDefault="00330118">
      <w:pPr>
        <w:pStyle w:val="Corpodetexto"/>
        <w:spacing w:before="3" w:after="39"/>
        <w:ind w:left="0"/>
        <w:jc w:val="left"/>
        <w:rPr>
          <w:i/>
          <w:sz w:val="19"/>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2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A Terra Indígena (TI) Roosevelt, tradicionalmente ocupada pelos índios Cinta Larga, compõe uma das quatro aldeias do Parque Indígena Aripuanã, situado em Rondônia e Mato Grosso. Desde 2000, a área tem sido palco de conflitos entre garimpeiros e indígenas p</w:t>
      </w:r>
      <w:r>
        <w:rPr>
          <w:i/>
          <w:sz w:val="16"/>
        </w:rPr>
        <w:t>ela disputa de minérios (ouro, cassiterita e, em especial, diamantes). A entrada ilegal de não índios vem gerando impactos socioambientais.</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3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19"/>
        </w:rPr>
      </w:pPr>
      <w:r>
        <w:br w:type="column"/>
      </w:r>
    </w:p>
    <w:p w:rsidR="00D81F69" w:rsidRDefault="00330118">
      <w:pPr>
        <w:pStyle w:val="Corpodetexto"/>
        <w:spacing w:line="312" w:lineRule="auto"/>
        <w:ind w:left="135" w:right="223"/>
      </w:pPr>
      <w:r>
        <w:t xml:space="preserve">(CURI, 2005). Na bacia do rio Roosevelt foi constatada a ocorrência frequente de diamantes de 4 a 5 quilates [1 </w:t>
      </w:r>
      <w:r>
        <w:t>quilate é igual a 200 mg] alojados em níveis de cascalho integrantes de depósitos aluvionares, em associação com ouro, cassiterita, piropo, ilmenita e rutilo (PINTO FILHO, 1977 apud CURI, 2005).</w:t>
      </w:r>
    </w:p>
    <w:p w:rsidR="00D81F69" w:rsidRDefault="00330118">
      <w:pPr>
        <w:pStyle w:val="Corpodetexto"/>
        <w:spacing w:before="136" w:line="312" w:lineRule="auto"/>
        <w:ind w:left="135" w:right="233"/>
      </w:pPr>
      <w:r>
        <w:t>Segundo o estudo da Companhia de Pesquisa e Recursos Minerais</w:t>
      </w:r>
      <w:r>
        <w:t xml:space="preserve"> (CPRM), o kimberlito tem capacidade para produzir, no mínimo, um milhão de quilates de pedras preciosas, o que representa uma receita anual de mais de US$ 200 milhões. Estes dados colocam a reserva Roosevelt entre as cinco maiores minas de diamantes do mu</w:t>
      </w:r>
      <w:r>
        <w:t>ndo. A extração de</w:t>
      </w:r>
    </w:p>
    <w:p w:rsidR="00D81F69" w:rsidRDefault="00D81F69">
      <w:pPr>
        <w:spacing w:line="312" w:lineRule="auto"/>
        <w:sectPr w:rsidR="00D81F69">
          <w:type w:val="continuous"/>
          <w:pgSz w:w="11900" w:h="16840"/>
          <w:pgMar w:top="720" w:right="460" w:bottom="280" w:left="620" w:header="720" w:footer="720" w:gutter="0"/>
          <w:cols w:num="3" w:space="720" w:equalWidth="0">
            <w:col w:w="1556" w:space="444"/>
            <w:col w:w="3132" w:space="303"/>
            <w:col w:w="5385"/>
          </w:cols>
        </w:sectPr>
      </w:pPr>
    </w:p>
    <w:p w:rsidR="00D81F69" w:rsidRDefault="00330118">
      <w:pPr>
        <w:pStyle w:val="Heading4"/>
        <w:spacing w:before="59"/>
        <w:jc w:val="left"/>
      </w:pPr>
      <w:r>
        <w:lastRenderedPageBreak/>
        <w:t>APRESENTAÇÃO DE CASO</w:t>
      </w:r>
    </w:p>
    <w:p w:rsidR="00D81F69" w:rsidRDefault="00330118">
      <w:pPr>
        <w:pStyle w:val="Corpodetexto"/>
        <w:spacing w:before="171" w:line="312" w:lineRule="auto"/>
        <w:ind w:right="19"/>
        <w:jc w:val="left"/>
      </w:pPr>
      <w:r>
        <w:t>A Terra Indígena (TI) Roosevelt é uma das quatro aldeias do Parque Indígena Aripuanã, localizado entre os estados de Rondônia e Mato Grosso. A TI, tradicionalmente ocupada pelos índios</w:t>
      </w:r>
      <w:r>
        <w:t xml:space="preserve"> Cinta Larga, vem sendo alvo da invasão ilegal de garimpeiros em busca de minérios, especialmente ouro, cassiterita e diamantes. Essas invasões têm gerado diversos impactos socioambientais não só na TI, mas também nos municípios rondonienses que abrigam a </w:t>
      </w:r>
      <w:r>
        <w:t>maioria dos garimpeiros que foram para a região (CURI, 2005): Espigão d´Oeste, que conta com 4.518 km² e 28.729 habitantes (IBGE, 2010a), e Cacoal, com 3.792, 805 km² e 78.574 habitantes (IBGE, 2010b).</w:t>
      </w:r>
    </w:p>
    <w:p w:rsidR="00D81F69" w:rsidRDefault="00330118">
      <w:pPr>
        <w:pStyle w:val="Corpodetexto"/>
        <w:spacing w:before="141" w:line="312" w:lineRule="auto"/>
        <w:ind w:right="100"/>
      </w:pPr>
      <w:r>
        <w:t>Essa está longe de ser a primeira vez que atividades e</w:t>
      </w:r>
      <w:r>
        <w:t>conômicas extrativistas afetam o habitat e a vida dos Cinta Larga. Data do ano de 1920 o início da invasão dos territórios indígenas por forasteiros em busca de seringueiras para produzir borracha (VILLAS BÔAS, 2005). Os primeiros garimpeiros seguiram as t</w:t>
      </w:r>
      <w:r>
        <w:t>rilhas percorridas pelos seringueiros. Durante a década de 1950 houve diversos conflitos entre os Cinta Larga e garimpeiros e seringueiros. A inauguração da estrada Cuiabá-Porto Velho (BR 364), em 1960, agravou a situação na região (MAPA DA INJUSTIÇA AMBIE</w:t>
      </w:r>
      <w:r>
        <w:t>NTAL E SAÚDE NO BRASIL, 2009).</w:t>
      </w:r>
    </w:p>
    <w:p w:rsidR="00D81F69" w:rsidRDefault="00330118">
      <w:pPr>
        <w:pStyle w:val="Corpodetexto"/>
        <w:spacing w:before="140" w:line="312" w:lineRule="auto"/>
        <w:ind w:right="97"/>
      </w:pPr>
      <w:r>
        <w:t xml:space="preserve">A </w:t>
      </w:r>
      <w:r>
        <w:rPr>
          <w:spacing w:val="10"/>
        </w:rPr>
        <w:t xml:space="preserve">fartura </w:t>
      </w:r>
      <w:r>
        <w:rPr>
          <w:spacing w:val="5"/>
        </w:rPr>
        <w:t xml:space="preserve">da </w:t>
      </w:r>
      <w:r>
        <w:rPr>
          <w:spacing w:val="10"/>
        </w:rPr>
        <w:t xml:space="preserve">região </w:t>
      </w:r>
      <w:r>
        <w:rPr>
          <w:spacing w:val="8"/>
        </w:rPr>
        <w:t xml:space="preserve">logo </w:t>
      </w:r>
      <w:r>
        <w:rPr>
          <w:spacing w:val="10"/>
        </w:rPr>
        <w:t xml:space="preserve">despertaria </w:t>
      </w:r>
      <w:r>
        <w:t xml:space="preserve">o </w:t>
      </w:r>
      <w:r>
        <w:rPr>
          <w:spacing w:val="10"/>
        </w:rPr>
        <w:t xml:space="preserve">interesse </w:t>
      </w:r>
      <w:r>
        <w:rPr>
          <w:spacing w:val="11"/>
        </w:rPr>
        <w:t xml:space="preserve">de </w:t>
      </w:r>
      <w:r>
        <w:rPr>
          <w:spacing w:val="1"/>
        </w:rPr>
        <w:t xml:space="preserve">corporações </w:t>
      </w:r>
      <w:r>
        <w:t xml:space="preserve">do </w:t>
      </w:r>
      <w:r>
        <w:rPr>
          <w:spacing w:val="1"/>
        </w:rPr>
        <w:t xml:space="preserve">ramo. </w:t>
      </w:r>
      <w:r>
        <w:t xml:space="preserve">Na </w:t>
      </w:r>
      <w:r>
        <w:rPr>
          <w:spacing w:val="1"/>
        </w:rPr>
        <w:t xml:space="preserve">década </w:t>
      </w:r>
      <w:r>
        <w:t xml:space="preserve">de </w:t>
      </w:r>
      <w:r>
        <w:rPr>
          <w:spacing w:val="1"/>
        </w:rPr>
        <w:t xml:space="preserve">1960, </w:t>
      </w:r>
      <w:r>
        <w:t xml:space="preserve">o </w:t>
      </w:r>
      <w:r>
        <w:rPr>
          <w:spacing w:val="1"/>
        </w:rPr>
        <w:t xml:space="preserve">conflito </w:t>
      </w:r>
      <w:r>
        <w:rPr>
          <w:spacing w:val="2"/>
        </w:rPr>
        <w:t xml:space="preserve">entre </w:t>
      </w:r>
      <w:r>
        <w:t xml:space="preserve">uma empresa produtora de borracha e os índios culminou no Massacre do Paralelo 11, quando um número desconhecido de </w:t>
      </w:r>
      <w:r>
        <w:t xml:space="preserve">índios Cinta-Larga morreu após sua aldeia ser literalmente dinamitada. Por conta do ataque, organismos internacionais chegaram a acusar o Brasil de genocídio. Ao longo dos anos, os confrontos na TI Roosevelt se alastrariam com a chegada dos </w:t>
      </w:r>
      <w:r>
        <w:rPr>
          <w:spacing w:val="1"/>
        </w:rPr>
        <w:t xml:space="preserve">madeireiros, </w:t>
      </w:r>
      <w:r>
        <w:t>qu</w:t>
      </w:r>
      <w:r>
        <w:t xml:space="preserve">e </w:t>
      </w:r>
      <w:r>
        <w:rPr>
          <w:spacing w:val="1"/>
        </w:rPr>
        <w:t xml:space="preserve">trouxeram consigo </w:t>
      </w:r>
      <w:r>
        <w:t xml:space="preserve">a </w:t>
      </w:r>
      <w:r>
        <w:rPr>
          <w:spacing w:val="1"/>
        </w:rPr>
        <w:t xml:space="preserve">devastação </w:t>
      </w:r>
      <w:r>
        <w:rPr>
          <w:spacing w:val="2"/>
        </w:rPr>
        <w:t xml:space="preserve">das </w:t>
      </w:r>
      <w:r>
        <w:rPr>
          <w:spacing w:val="1"/>
        </w:rPr>
        <w:t>florestas indígenas (VILLAS BÔAS,</w:t>
      </w:r>
      <w:r>
        <w:rPr>
          <w:spacing w:val="30"/>
        </w:rPr>
        <w:t xml:space="preserve"> </w:t>
      </w:r>
      <w:r>
        <w:rPr>
          <w:spacing w:val="2"/>
        </w:rPr>
        <w:t>2005).</w:t>
      </w:r>
    </w:p>
    <w:p w:rsidR="00D81F69" w:rsidRDefault="00330118">
      <w:pPr>
        <w:pStyle w:val="Corpodetexto"/>
        <w:spacing w:before="139" w:line="312" w:lineRule="auto"/>
        <w:ind w:right="116"/>
      </w:pPr>
      <w:r>
        <w:t>A TI está disposta em uma zona cratônica, ou seja, em uma região propícia à ocorrência de intrusões kimberlíticas [rochas de origem vulcânica das quais pode ser extraído o diaman</w:t>
      </w:r>
      <w:r>
        <w:t>te]</w:t>
      </w:r>
    </w:p>
    <w:p w:rsidR="00D81F69" w:rsidRDefault="00330118">
      <w:pPr>
        <w:pStyle w:val="Corpodetexto"/>
        <w:spacing w:before="6" w:line="312" w:lineRule="auto"/>
        <w:ind w:right="255"/>
      </w:pPr>
      <w:r>
        <w:br w:type="column"/>
      </w:r>
      <w:r>
        <w:lastRenderedPageBreak/>
        <w:t>mineral em terra indígena, no entanto, é ilegal e depende de regulamentação do Congresso (BLOSFELD, 2008).</w:t>
      </w:r>
    </w:p>
    <w:p w:rsidR="00D81F69" w:rsidRDefault="00330118">
      <w:pPr>
        <w:pStyle w:val="Corpodetexto"/>
        <w:spacing w:before="131" w:line="312" w:lineRule="auto"/>
        <w:ind w:right="219"/>
      </w:pPr>
      <w:r>
        <w:t>Dentre os impactos ambientais causados pelo garimpo ilegal na TI, destacam-se a destruição da mata ciliar e das margens do igarapé Lajes — afluente do rio Roosevelt, localizado a aproximadamente 36 km da TI — desmatamento, assoreamento, turbidez e poluição</w:t>
      </w:r>
      <w:r>
        <w:t xml:space="preserve"> das águas (CURI, 2005).</w:t>
      </w:r>
    </w:p>
    <w:p w:rsidR="00D81F69" w:rsidRDefault="00330118">
      <w:pPr>
        <w:pStyle w:val="Corpodetexto"/>
        <w:spacing w:before="135" w:line="312" w:lineRule="auto"/>
        <w:ind w:right="228"/>
      </w:pPr>
      <w:r>
        <w:rPr>
          <w:spacing w:val="8"/>
        </w:rPr>
        <w:t xml:space="preserve">Dentre </w:t>
      </w:r>
      <w:r>
        <w:rPr>
          <w:spacing w:val="5"/>
        </w:rPr>
        <w:t xml:space="preserve">os </w:t>
      </w:r>
      <w:r>
        <w:rPr>
          <w:spacing w:val="8"/>
        </w:rPr>
        <w:t xml:space="preserve">impactos sociais, podem-se </w:t>
      </w:r>
      <w:r>
        <w:rPr>
          <w:spacing w:val="7"/>
        </w:rPr>
        <w:t xml:space="preserve">citar </w:t>
      </w:r>
      <w:r>
        <w:rPr>
          <w:spacing w:val="10"/>
        </w:rPr>
        <w:t xml:space="preserve">doenças </w:t>
      </w:r>
      <w:r>
        <w:t xml:space="preserve">introduzidas entre os índios, como as Doenças Sexualmente </w:t>
      </w:r>
      <w:r>
        <w:rPr>
          <w:spacing w:val="5"/>
        </w:rPr>
        <w:t xml:space="preserve">Transmissíveis (DSTs), contraídas devido </w:t>
      </w:r>
      <w:r>
        <w:t xml:space="preserve">à </w:t>
      </w:r>
      <w:r>
        <w:rPr>
          <w:spacing w:val="5"/>
        </w:rPr>
        <w:t xml:space="preserve">prostituição </w:t>
      </w:r>
      <w:r>
        <w:t>dentro da terra indígena, o alcoolismo e a utilização de outras dr</w:t>
      </w:r>
      <w:r>
        <w:t xml:space="preserve">ogas (CURI, 2005). Prostitutas de várias cidades foram para a região interessadas na "fortuna" dos garimpeiros, e, assim,  o </w:t>
      </w:r>
      <w:r>
        <w:rPr>
          <w:spacing w:val="7"/>
        </w:rPr>
        <w:t xml:space="preserve">número </w:t>
      </w:r>
      <w:r>
        <w:rPr>
          <w:spacing w:val="5"/>
        </w:rPr>
        <w:t xml:space="preserve">de DST </w:t>
      </w:r>
      <w:r>
        <w:rPr>
          <w:spacing w:val="7"/>
        </w:rPr>
        <w:t xml:space="preserve">também aumentou </w:t>
      </w:r>
      <w:r>
        <w:rPr>
          <w:spacing w:val="5"/>
        </w:rPr>
        <w:t xml:space="preserve">no </w:t>
      </w:r>
      <w:r>
        <w:rPr>
          <w:spacing w:val="7"/>
        </w:rPr>
        <w:t xml:space="preserve">município </w:t>
      </w:r>
      <w:r>
        <w:rPr>
          <w:spacing w:val="10"/>
        </w:rPr>
        <w:t xml:space="preserve">de </w:t>
      </w:r>
      <w:r>
        <w:rPr>
          <w:spacing w:val="3"/>
        </w:rPr>
        <w:t xml:space="preserve">Espigão d´Oeste, </w:t>
      </w:r>
      <w:r>
        <w:t xml:space="preserve">a </w:t>
      </w:r>
      <w:r>
        <w:rPr>
          <w:spacing w:val="1"/>
        </w:rPr>
        <w:t xml:space="preserve">90 km da </w:t>
      </w:r>
      <w:r>
        <w:rPr>
          <w:spacing w:val="2"/>
        </w:rPr>
        <w:t xml:space="preserve">TI. </w:t>
      </w:r>
      <w:r>
        <w:rPr>
          <w:spacing w:val="1"/>
        </w:rPr>
        <w:t xml:space="preserve">Na </w:t>
      </w:r>
      <w:r>
        <w:rPr>
          <w:spacing w:val="3"/>
        </w:rPr>
        <w:t xml:space="preserve">cidade </w:t>
      </w:r>
      <w:r>
        <w:rPr>
          <w:spacing w:val="1"/>
        </w:rPr>
        <w:t xml:space="preserve">de </w:t>
      </w:r>
      <w:r>
        <w:rPr>
          <w:spacing w:val="3"/>
        </w:rPr>
        <w:t xml:space="preserve">Cacoal, </w:t>
      </w:r>
      <w:r>
        <w:t xml:space="preserve">a Secretaria Municipal de Saúde constatou que a maioria das pessoas infectadas pelo vírus da AIDS, nos últimos meses de </w:t>
      </w:r>
      <w:r>
        <w:rPr>
          <w:spacing w:val="10"/>
        </w:rPr>
        <w:t xml:space="preserve">2002 </w:t>
      </w:r>
      <w:r>
        <w:t xml:space="preserve">e </w:t>
      </w:r>
      <w:r>
        <w:rPr>
          <w:spacing w:val="10"/>
        </w:rPr>
        <w:t xml:space="preserve">nos </w:t>
      </w:r>
      <w:r>
        <w:rPr>
          <w:spacing w:val="12"/>
        </w:rPr>
        <w:t xml:space="preserve">primeiros </w:t>
      </w:r>
      <w:r>
        <w:rPr>
          <w:spacing w:val="11"/>
        </w:rPr>
        <w:t xml:space="preserve">cinco meses </w:t>
      </w:r>
      <w:r>
        <w:rPr>
          <w:spacing w:val="6"/>
        </w:rPr>
        <w:t xml:space="preserve">de </w:t>
      </w:r>
      <w:r>
        <w:rPr>
          <w:spacing w:val="11"/>
        </w:rPr>
        <w:t xml:space="preserve">2003, </w:t>
      </w:r>
      <w:r>
        <w:rPr>
          <w:spacing w:val="10"/>
        </w:rPr>
        <w:t xml:space="preserve">eram </w:t>
      </w:r>
      <w:r>
        <w:rPr>
          <w:spacing w:val="5"/>
        </w:rPr>
        <w:t xml:space="preserve">provenientes  </w:t>
      </w:r>
      <w:r>
        <w:rPr>
          <w:spacing w:val="2"/>
        </w:rPr>
        <w:t xml:space="preserve">do  </w:t>
      </w:r>
      <w:r>
        <w:rPr>
          <w:spacing w:val="5"/>
        </w:rPr>
        <w:t>garimpo  Roosevelt  (BLOSFELD,</w:t>
      </w:r>
      <w:r>
        <w:rPr>
          <w:spacing w:val="-6"/>
        </w:rPr>
        <w:t xml:space="preserve"> </w:t>
      </w:r>
      <w:r>
        <w:rPr>
          <w:spacing w:val="6"/>
        </w:rPr>
        <w:t>2008).</w:t>
      </w:r>
    </w:p>
    <w:p w:rsidR="00D81F69" w:rsidRDefault="00330118">
      <w:pPr>
        <w:pStyle w:val="Corpodetexto"/>
        <w:spacing w:before="141" w:line="312" w:lineRule="auto"/>
        <w:ind w:right="235"/>
      </w:pPr>
      <w:r>
        <w:t xml:space="preserve">A </w:t>
      </w:r>
      <w:r>
        <w:rPr>
          <w:spacing w:val="5"/>
        </w:rPr>
        <w:t>comunidade indígena também sofr</w:t>
      </w:r>
      <w:r>
        <w:rPr>
          <w:spacing w:val="5"/>
        </w:rPr>
        <w:t xml:space="preserve">eu </w:t>
      </w:r>
      <w:r>
        <w:rPr>
          <w:spacing w:val="2"/>
        </w:rPr>
        <w:t xml:space="preserve">um </w:t>
      </w:r>
      <w:r>
        <w:rPr>
          <w:spacing w:val="5"/>
        </w:rPr>
        <w:t xml:space="preserve">processo de </w:t>
      </w:r>
      <w:r>
        <w:t xml:space="preserve">desintegração pela morte de inúmeros índios em conflito com garimpeiros (CURI, 2005). A exploração do garimpo provocou </w:t>
      </w:r>
      <w:r>
        <w:rPr>
          <w:spacing w:val="5"/>
        </w:rPr>
        <w:t xml:space="preserve">grande violência </w:t>
      </w:r>
      <w:r>
        <w:rPr>
          <w:spacing w:val="2"/>
        </w:rPr>
        <w:t xml:space="preserve">na </w:t>
      </w:r>
      <w:r>
        <w:rPr>
          <w:spacing w:val="3"/>
        </w:rPr>
        <w:t xml:space="preserve">área </w:t>
      </w:r>
      <w:r>
        <w:rPr>
          <w:spacing w:val="5"/>
        </w:rPr>
        <w:t xml:space="preserve">indígena </w:t>
      </w:r>
      <w:r>
        <w:t xml:space="preserve">e </w:t>
      </w:r>
      <w:r>
        <w:rPr>
          <w:spacing w:val="5"/>
        </w:rPr>
        <w:t>arredores. Espigão</w:t>
      </w:r>
      <w:r>
        <w:rPr>
          <w:spacing w:val="61"/>
        </w:rPr>
        <w:t xml:space="preserve"> </w:t>
      </w:r>
      <w:r>
        <w:t>d´Oeste sentiu de perto estes efeitos. A cidade, que antes da ga</w:t>
      </w:r>
      <w:r>
        <w:t xml:space="preserve">rimpagem tinha pouco mais de 25 mil habitantes, sofreu um inchaço populacional com a chegada de garimpeiros de vários estados. No auge do garimpo de diamantes, de 2001 a 2002, nos hotéis de Espigão d´Oeste e do município vizinho Cacoal, </w:t>
      </w:r>
      <w:r>
        <w:rPr>
          <w:spacing w:val="1"/>
        </w:rPr>
        <w:t>havia muitos estran</w:t>
      </w:r>
      <w:r>
        <w:rPr>
          <w:spacing w:val="1"/>
        </w:rPr>
        <w:t xml:space="preserve">geiros, </w:t>
      </w:r>
      <w:r>
        <w:t xml:space="preserve">em sua </w:t>
      </w:r>
      <w:r>
        <w:rPr>
          <w:spacing w:val="1"/>
        </w:rPr>
        <w:t xml:space="preserve">maioria </w:t>
      </w:r>
      <w:r>
        <w:rPr>
          <w:spacing w:val="2"/>
        </w:rPr>
        <w:t xml:space="preserve">contrabandistas </w:t>
      </w:r>
      <w:r>
        <w:rPr>
          <w:spacing w:val="5"/>
        </w:rPr>
        <w:t xml:space="preserve">que </w:t>
      </w:r>
      <w:r>
        <w:rPr>
          <w:spacing w:val="7"/>
        </w:rPr>
        <w:t xml:space="preserve">compravam </w:t>
      </w:r>
      <w:r>
        <w:t xml:space="preserve">o </w:t>
      </w:r>
      <w:r>
        <w:rPr>
          <w:spacing w:val="7"/>
        </w:rPr>
        <w:t xml:space="preserve">diamante </w:t>
      </w:r>
      <w:r>
        <w:rPr>
          <w:spacing w:val="5"/>
        </w:rPr>
        <w:t xml:space="preserve">por um </w:t>
      </w:r>
      <w:r>
        <w:rPr>
          <w:spacing w:val="7"/>
        </w:rPr>
        <w:t xml:space="preserve">preço barato </w:t>
      </w:r>
      <w:r>
        <w:t>e o revendiam para fora do Brasil, principalmente para a Europa (BLOSFELD, 2008).</w:t>
      </w:r>
    </w:p>
    <w:p w:rsidR="00D81F69" w:rsidRDefault="00330118">
      <w:pPr>
        <w:pStyle w:val="Corpodetexto"/>
        <w:spacing w:before="79" w:line="270" w:lineRule="atLeast"/>
        <w:ind w:right="248"/>
      </w:pPr>
      <w:r>
        <w:t>Além de garimpeiros, aventureiros e bandidos foram para a região. Os furtos de veículos, a</w:t>
      </w:r>
      <w:r>
        <w:t xml:space="preserve">ssaltos à mão armada e tráfico </w:t>
      </w:r>
      <w:r>
        <w:rPr>
          <w:spacing w:val="3"/>
        </w:rPr>
        <w:t xml:space="preserve">de </w:t>
      </w:r>
      <w:r>
        <w:rPr>
          <w:spacing w:val="5"/>
        </w:rPr>
        <w:t xml:space="preserve">drogas </w:t>
      </w:r>
      <w:r>
        <w:rPr>
          <w:spacing w:val="6"/>
        </w:rPr>
        <w:t xml:space="preserve">aumentaram consideravelmente </w:t>
      </w:r>
      <w:r>
        <w:rPr>
          <w:spacing w:val="3"/>
        </w:rPr>
        <w:t xml:space="preserve">em </w:t>
      </w:r>
      <w:r>
        <w:rPr>
          <w:spacing w:val="7"/>
        </w:rPr>
        <w:t xml:space="preserve">Espigão </w:t>
      </w:r>
      <w:r>
        <w:t xml:space="preserve">d´Oeste. Ocorreram roubos e assaltos em fazendas e </w:t>
      </w:r>
      <w:r>
        <w:rPr>
          <w:spacing w:val="1"/>
        </w:rPr>
        <w:t xml:space="preserve">sítios </w:t>
      </w:r>
      <w:r>
        <w:rPr>
          <w:spacing w:val="5"/>
        </w:rPr>
        <w:t xml:space="preserve">próximos </w:t>
      </w:r>
      <w:r>
        <w:t xml:space="preserve">à </w:t>
      </w:r>
      <w:r>
        <w:rPr>
          <w:spacing w:val="5"/>
        </w:rPr>
        <w:t xml:space="preserve">reserva indígena Roosevelt. </w:t>
      </w:r>
      <w:r>
        <w:t xml:space="preserve">A </w:t>
      </w:r>
      <w:r>
        <w:rPr>
          <w:spacing w:val="5"/>
        </w:rPr>
        <w:t>população do</w:t>
      </w:r>
      <w:r>
        <w:rPr>
          <w:spacing w:val="61"/>
        </w:rPr>
        <w:t xml:space="preserve"> </w:t>
      </w:r>
      <w:r>
        <w:t>município ficou assustada, e, em outubro de 2002, houve um</w:t>
      </w:r>
    </w:p>
    <w:p w:rsidR="00D81F69" w:rsidRDefault="00D81F69">
      <w:pPr>
        <w:spacing w:line="270" w:lineRule="atLeast"/>
        <w:sectPr w:rsidR="00D81F69">
          <w:type w:val="continuous"/>
          <w:pgSz w:w="11900" w:h="16840"/>
          <w:pgMar w:top="720" w:right="460" w:bottom="280" w:left="620" w:header="720" w:footer="720" w:gutter="0"/>
          <w:cols w:num="2" w:space="720" w:equalWidth="0">
            <w:col w:w="5212" w:space="258"/>
            <w:col w:w="5350"/>
          </w:cols>
        </w:sectPr>
      </w:pPr>
    </w:p>
    <w:p w:rsidR="00D81F69" w:rsidRDefault="00330118">
      <w:pPr>
        <w:pStyle w:val="Corpodetexto"/>
        <w:spacing w:before="81" w:line="312" w:lineRule="auto"/>
        <w:ind w:right="56"/>
      </w:pPr>
      <w:r>
        <w:lastRenderedPageBreak/>
        <w:t>manifesto contra a violência, no centro da cidade. As ocorrências policiais aumentaram muito: a polícia apreendeu armas sem documento e vários foragidos da Justiça de outras localidades foram presos. O presídio de Espigão d´Oest</w:t>
      </w:r>
      <w:r>
        <w:t>e ficou lotado (BLOSFELD, 2008).</w:t>
      </w:r>
    </w:p>
    <w:p w:rsidR="00D81F69" w:rsidRDefault="00330118">
      <w:pPr>
        <w:pStyle w:val="Corpodetexto"/>
        <w:spacing w:before="134" w:line="312" w:lineRule="auto"/>
        <w:ind w:right="46"/>
      </w:pPr>
      <w:r>
        <w:t xml:space="preserve">A </w:t>
      </w:r>
      <w:r>
        <w:rPr>
          <w:spacing w:val="3"/>
        </w:rPr>
        <w:t xml:space="preserve">descoberta </w:t>
      </w:r>
      <w:r>
        <w:t xml:space="preserve">e a </w:t>
      </w:r>
      <w:r>
        <w:rPr>
          <w:spacing w:val="3"/>
        </w:rPr>
        <w:t xml:space="preserve">exploração </w:t>
      </w:r>
      <w:r>
        <w:rPr>
          <w:spacing w:val="1"/>
        </w:rPr>
        <w:t xml:space="preserve">de </w:t>
      </w:r>
      <w:r>
        <w:rPr>
          <w:spacing w:val="2"/>
        </w:rPr>
        <w:t xml:space="preserve">ouro </w:t>
      </w:r>
      <w:r>
        <w:rPr>
          <w:spacing w:val="1"/>
        </w:rPr>
        <w:t xml:space="preserve">na </w:t>
      </w:r>
      <w:r>
        <w:rPr>
          <w:spacing w:val="3"/>
        </w:rPr>
        <w:t xml:space="preserve">região </w:t>
      </w:r>
      <w:r>
        <w:rPr>
          <w:spacing w:val="2"/>
        </w:rPr>
        <w:t xml:space="preserve">dos </w:t>
      </w:r>
      <w:r>
        <w:rPr>
          <w:spacing w:val="5"/>
        </w:rPr>
        <w:t xml:space="preserve">Cinta </w:t>
      </w:r>
      <w:r>
        <w:t>Larga teve início em 1976. O garimpo se iniciou em um dos córregos do rio Branco e pouco depois foi transferido para o igarapé Jurema, afluente do rio Ouro Preto. A at</w:t>
      </w:r>
      <w:r>
        <w:t xml:space="preserve">ividade atraiu a atenção dos índios, que, morando a poucos quilômetros da </w:t>
      </w:r>
      <w:r>
        <w:rPr>
          <w:spacing w:val="3"/>
        </w:rPr>
        <w:t xml:space="preserve">região, passaram </w:t>
      </w:r>
      <w:r>
        <w:t xml:space="preserve">a </w:t>
      </w:r>
      <w:r>
        <w:rPr>
          <w:spacing w:val="3"/>
        </w:rPr>
        <w:t xml:space="preserve">frequentar </w:t>
      </w:r>
      <w:r>
        <w:t xml:space="preserve">o </w:t>
      </w:r>
      <w:r>
        <w:rPr>
          <w:spacing w:val="3"/>
        </w:rPr>
        <w:t xml:space="preserve">local. </w:t>
      </w:r>
      <w:r>
        <w:rPr>
          <w:spacing w:val="1"/>
        </w:rPr>
        <w:t xml:space="preserve">Em </w:t>
      </w:r>
      <w:r>
        <w:rPr>
          <w:spacing w:val="3"/>
        </w:rPr>
        <w:t xml:space="preserve">1984, houve </w:t>
      </w:r>
      <w:r>
        <w:t xml:space="preserve">a retirada do garimpo dessa área e a instalação de um posto indígena da Fundação Nacional do Índio (Funai). Em meados de 1987, os garimpeiros voltaram para região e, para garantir a </w:t>
      </w:r>
      <w:r>
        <w:rPr>
          <w:spacing w:val="12"/>
        </w:rPr>
        <w:t xml:space="preserve">exploração, passaram </w:t>
      </w:r>
      <w:r>
        <w:t xml:space="preserve">a </w:t>
      </w:r>
      <w:r>
        <w:rPr>
          <w:spacing w:val="12"/>
        </w:rPr>
        <w:t xml:space="preserve">subornar </w:t>
      </w:r>
      <w:r>
        <w:rPr>
          <w:spacing w:val="6"/>
        </w:rPr>
        <w:t xml:space="preserve">os </w:t>
      </w:r>
      <w:r>
        <w:rPr>
          <w:spacing w:val="11"/>
        </w:rPr>
        <w:t xml:space="preserve">índios </w:t>
      </w:r>
      <w:r>
        <w:rPr>
          <w:spacing w:val="15"/>
        </w:rPr>
        <w:t xml:space="preserve">com </w:t>
      </w:r>
      <w:r>
        <w:t>mercadorias e participação n</w:t>
      </w:r>
      <w:r>
        <w:t>a extração do ouro (CURI,</w:t>
      </w:r>
      <w:r>
        <w:rPr>
          <w:spacing w:val="15"/>
        </w:rPr>
        <w:t xml:space="preserve"> </w:t>
      </w:r>
      <w:r>
        <w:t>2005).</w:t>
      </w:r>
    </w:p>
    <w:p w:rsidR="00D81F69" w:rsidRDefault="00330118">
      <w:pPr>
        <w:pStyle w:val="Corpodetexto"/>
        <w:spacing w:before="141" w:line="312" w:lineRule="auto"/>
        <w:ind w:right="44"/>
      </w:pPr>
      <w:r>
        <w:t xml:space="preserve">Já a descoberta oficial de diamantes na TI ocorreu em 1999.  A partir de 2000, o garimpo por não índios começou de fato, </w:t>
      </w:r>
      <w:r>
        <w:rPr>
          <w:spacing w:val="2"/>
        </w:rPr>
        <w:t xml:space="preserve">não </w:t>
      </w:r>
      <w:r>
        <w:rPr>
          <w:spacing w:val="3"/>
        </w:rPr>
        <w:t xml:space="preserve">ficando restrito </w:t>
      </w:r>
      <w:r>
        <w:t xml:space="preserve">à </w:t>
      </w:r>
      <w:r>
        <w:rPr>
          <w:spacing w:val="3"/>
        </w:rPr>
        <w:t xml:space="preserve">região </w:t>
      </w:r>
      <w:r>
        <w:rPr>
          <w:spacing w:val="1"/>
        </w:rPr>
        <w:t xml:space="preserve">da </w:t>
      </w:r>
      <w:r>
        <w:rPr>
          <w:spacing w:val="3"/>
        </w:rPr>
        <w:t xml:space="preserve">Roosevelt (foco </w:t>
      </w:r>
      <w:r>
        <w:rPr>
          <w:spacing w:val="5"/>
        </w:rPr>
        <w:t xml:space="preserve">principal) </w:t>
      </w:r>
      <w:r>
        <w:t>(CURI, 2005). Logo, o garimpo se alastrari</w:t>
      </w:r>
      <w:r>
        <w:t xml:space="preserve">a para outras TIs </w:t>
      </w:r>
      <w:r>
        <w:rPr>
          <w:spacing w:val="2"/>
        </w:rPr>
        <w:t xml:space="preserve">dos </w:t>
      </w:r>
      <w:r>
        <w:rPr>
          <w:spacing w:val="3"/>
        </w:rPr>
        <w:t xml:space="preserve">Cinta Larga, </w:t>
      </w:r>
      <w:r>
        <w:rPr>
          <w:spacing w:val="2"/>
        </w:rPr>
        <w:t xml:space="preserve">como </w:t>
      </w:r>
      <w:r>
        <w:rPr>
          <w:spacing w:val="3"/>
        </w:rPr>
        <w:t xml:space="preserve">Aripuanã, Serra Morena </w:t>
      </w:r>
      <w:r>
        <w:t xml:space="preserve">e </w:t>
      </w:r>
      <w:r>
        <w:rPr>
          <w:spacing w:val="5"/>
        </w:rPr>
        <w:t xml:space="preserve">Parque </w:t>
      </w:r>
      <w:r>
        <w:t>Aripuanã (MAPA DA INJUSTIÇA AMBIENTAL E SAÚDE NO BRASIL,</w:t>
      </w:r>
      <w:r>
        <w:rPr>
          <w:spacing w:val="8"/>
        </w:rPr>
        <w:t xml:space="preserve"> </w:t>
      </w:r>
      <w:r>
        <w:t>2009).</w:t>
      </w:r>
    </w:p>
    <w:p w:rsidR="00D81F69" w:rsidRDefault="00330118">
      <w:pPr>
        <w:pStyle w:val="Corpodetexto"/>
        <w:spacing w:before="136" w:line="312" w:lineRule="auto"/>
        <w:ind w:right="38"/>
      </w:pPr>
      <w:r>
        <w:t>No início da exploração, os garimpeiros faziam acordos financeiros com os índios para entrarem na TI, e cada líder indíg</w:t>
      </w:r>
      <w:r>
        <w:t xml:space="preserve">ena ficava responsável por proteger um grupo de garimpeiros. A conivência se dava pelo fato de os indígenas, apesar de saberem da existência dos diamantes, não possuírem maquinários e conhecimentos técnicos para a exploração mineral. Assim, os garimpeiros </w:t>
      </w:r>
      <w:r>
        <w:t>entravam com a experiência e os equipamentos (máquinas resumidoras, mangueiras, dezenas de motores e tratores), bancados geralmente por empresários do garimpo, e os índios entravam com a permissão de garimpo em suas terras. Em troca, os garimpeiros davam u</w:t>
      </w:r>
      <w:r>
        <w:t>ma porcentagem para os índios, que se iniciava já com o pagamento de um pedágio para ultrapassar as fronteiras de suas terras (CURI, 2005).</w:t>
      </w:r>
    </w:p>
    <w:p w:rsidR="00D81F69" w:rsidRDefault="00330118">
      <w:pPr>
        <w:pStyle w:val="Corpodetexto"/>
        <w:spacing w:before="143" w:line="312" w:lineRule="auto"/>
        <w:ind w:right="43"/>
      </w:pPr>
      <w:r>
        <w:rPr>
          <w:spacing w:val="3"/>
        </w:rPr>
        <w:t xml:space="preserve">No </w:t>
      </w:r>
      <w:r>
        <w:rPr>
          <w:spacing w:val="5"/>
        </w:rPr>
        <w:t xml:space="preserve">ano </w:t>
      </w:r>
      <w:r>
        <w:rPr>
          <w:spacing w:val="3"/>
        </w:rPr>
        <w:t xml:space="preserve">de </w:t>
      </w:r>
      <w:r>
        <w:rPr>
          <w:spacing w:val="5"/>
        </w:rPr>
        <w:t xml:space="preserve">2001, através </w:t>
      </w:r>
      <w:r>
        <w:rPr>
          <w:spacing w:val="3"/>
        </w:rPr>
        <w:t xml:space="preserve">de </w:t>
      </w:r>
      <w:r>
        <w:rPr>
          <w:spacing w:val="6"/>
        </w:rPr>
        <w:t xml:space="preserve">operações </w:t>
      </w:r>
      <w:r>
        <w:rPr>
          <w:spacing w:val="3"/>
        </w:rPr>
        <w:t xml:space="preserve">de </w:t>
      </w:r>
      <w:r>
        <w:rPr>
          <w:spacing w:val="7"/>
        </w:rPr>
        <w:t xml:space="preserve">desintrusão </w:t>
      </w:r>
      <w:r>
        <w:rPr>
          <w:spacing w:val="12"/>
        </w:rPr>
        <w:t xml:space="preserve">[remoção </w:t>
      </w:r>
      <w:r>
        <w:rPr>
          <w:spacing w:val="10"/>
        </w:rPr>
        <w:t xml:space="preserve">dos </w:t>
      </w:r>
      <w:r>
        <w:rPr>
          <w:spacing w:val="12"/>
        </w:rPr>
        <w:t xml:space="preserve">ocupantes </w:t>
      </w:r>
      <w:r>
        <w:rPr>
          <w:spacing w:val="10"/>
        </w:rPr>
        <w:t xml:space="preserve">não </w:t>
      </w:r>
      <w:r>
        <w:rPr>
          <w:spacing w:val="12"/>
        </w:rPr>
        <w:t xml:space="preserve">indígenas </w:t>
      </w:r>
      <w:r>
        <w:rPr>
          <w:spacing w:val="10"/>
        </w:rPr>
        <w:t xml:space="preserve">das </w:t>
      </w:r>
      <w:r>
        <w:rPr>
          <w:spacing w:val="11"/>
        </w:rPr>
        <w:t xml:space="preserve">terras </w:t>
      </w:r>
      <w:r>
        <w:t>demarcadas] real</w:t>
      </w:r>
      <w:r>
        <w:t xml:space="preserve">izadas pela Polícia Federal, Polícia Militar, Funai, Departamento Nacional de Produção Mineral (DNPM)  e </w:t>
      </w:r>
      <w:r>
        <w:rPr>
          <w:spacing w:val="5"/>
        </w:rPr>
        <w:t xml:space="preserve">Instituto Brasileiro </w:t>
      </w:r>
      <w:r>
        <w:rPr>
          <w:spacing w:val="2"/>
        </w:rPr>
        <w:t xml:space="preserve">do </w:t>
      </w:r>
      <w:r>
        <w:rPr>
          <w:spacing w:val="5"/>
        </w:rPr>
        <w:t xml:space="preserve">Meio Ambiente </w:t>
      </w:r>
      <w:r>
        <w:t xml:space="preserve">e </w:t>
      </w:r>
      <w:r>
        <w:rPr>
          <w:spacing w:val="3"/>
        </w:rPr>
        <w:t xml:space="preserve">dos </w:t>
      </w:r>
      <w:r>
        <w:rPr>
          <w:spacing w:val="6"/>
        </w:rPr>
        <w:t xml:space="preserve">Recursos </w:t>
      </w:r>
      <w:r>
        <w:rPr>
          <w:spacing w:val="3"/>
        </w:rPr>
        <w:t xml:space="preserve">Naturais (Ibama), foram retirados </w:t>
      </w:r>
      <w:r>
        <w:rPr>
          <w:spacing w:val="1"/>
        </w:rPr>
        <w:t xml:space="preserve">da </w:t>
      </w:r>
      <w:r>
        <w:rPr>
          <w:spacing w:val="2"/>
        </w:rPr>
        <w:t xml:space="preserve">área </w:t>
      </w:r>
      <w:r>
        <w:rPr>
          <w:spacing w:val="3"/>
        </w:rPr>
        <w:t xml:space="preserve">cerca </w:t>
      </w:r>
      <w:r>
        <w:rPr>
          <w:spacing w:val="1"/>
        </w:rPr>
        <w:t xml:space="preserve">de </w:t>
      </w:r>
      <w:r>
        <w:t xml:space="preserve">2 </w:t>
      </w:r>
      <w:r>
        <w:rPr>
          <w:spacing w:val="5"/>
        </w:rPr>
        <w:t xml:space="preserve">mil </w:t>
      </w:r>
      <w:r>
        <w:t>garimpeiros e apreendidos cerca de 200 eq</w:t>
      </w:r>
      <w:r>
        <w:t>uipamentos. No ano seguinte, o número de pessoas retiradas dobrou e o de equipamentos apreendidos também (CURI,</w:t>
      </w:r>
      <w:r>
        <w:rPr>
          <w:spacing w:val="13"/>
        </w:rPr>
        <w:t xml:space="preserve"> </w:t>
      </w:r>
      <w:r>
        <w:t>2005).</w:t>
      </w:r>
    </w:p>
    <w:p w:rsidR="00D81F69" w:rsidRDefault="00330118">
      <w:pPr>
        <w:pStyle w:val="Corpodetexto"/>
        <w:spacing w:before="138" w:line="312" w:lineRule="auto"/>
        <w:ind w:right="41"/>
      </w:pPr>
      <w:r>
        <w:t xml:space="preserve">Diversos crimes de pistolagem ocorreram na região durante o </w:t>
      </w:r>
      <w:r>
        <w:rPr>
          <w:spacing w:val="1"/>
        </w:rPr>
        <w:t xml:space="preserve">período. </w:t>
      </w:r>
      <w:r>
        <w:t xml:space="preserve">No </w:t>
      </w:r>
      <w:r>
        <w:rPr>
          <w:spacing w:val="1"/>
        </w:rPr>
        <w:t xml:space="preserve">final </w:t>
      </w:r>
      <w:r>
        <w:t xml:space="preserve">de </w:t>
      </w:r>
      <w:r>
        <w:rPr>
          <w:spacing w:val="1"/>
        </w:rPr>
        <w:t xml:space="preserve">2001, Carlito Cinta Larga, filho </w:t>
      </w:r>
      <w:r>
        <w:t xml:space="preserve">de </w:t>
      </w:r>
      <w:r>
        <w:rPr>
          <w:spacing w:val="2"/>
        </w:rPr>
        <w:t xml:space="preserve">um </w:t>
      </w:r>
      <w:r>
        <w:t>cacique da TI Roo</w:t>
      </w:r>
      <w:r>
        <w:t xml:space="preserve">sevelt, foi assassinado após denunciar ao Ministério Público a exploração ilegal de madeira nas terras  da etnia. Pouco antes, uma grande operação conjunta da PF, junto com a Funai, o DNPM e o Ibama havia encontrado na TI </w:t>
      </w:r>
      <w:r>
        <w:rPr>
          <w:spacing w:val="1"/>
        </w:rPr>
        <w:t xml:space="preserve">Roosevelt sete caminhões </w:t>
      </w:r>
      <w:r>
        <w:t xml:space="preserve">que </w:t>
      </w:r>
      <w:r>
        <w:rPr>
          <w:spacing w:val="1"/>
        </w:rPr>
        <w:t>trans</w:t>
      </w:r>
      <w:r>
        <w:rPr>
          <w:spacing w:val="1"/>
        </w:rPr>
        <w:t xml:space="preserve">portavam </w:t>
      </w:r>
      <w:r>
        <w:rPr>
          <w:spacing w:val="2"/>
        </w:rPr>
        <w:t xml:space="preserve">mangueiras, </w:t>
      </w:r>
      <w:r>
        <w:t>tubulações, motores, tambores de óleo diesel, tratores, fogões</w:t>
      </w:r>
    </w:p>
    <w:p w:rsidR="00D81F69" w:rsidRDefault="00330118">
      <w:pPr>
        <w:pStyle w:val="Corpodetexto"/>
        <w:spacing w:before="81" w:line="312" w:lineRule="auto"/>
        <w:ind w:right="238"/>
      </w:pPr>
      <w:r>
        <w:br w:type="column"/>
      </w:r>
      <w:r>
        <w:lastRenderedPageBreak/>
        <w:t xml:space="preserve">e </w:t>
      </w:r>
      <w:r>
        <w:rPr>
          <w:spacing w:val="5"/>
        </w:rPr>
        <w:t xml:space="preserve">11 </w:t>
      </w:r>
      <w:r>
        <w:rPr>
          <w:spacing w:val="7"/>
        </w:rPr>
        <w:t xml:space="preserve">mil </w:t>
      </w:r>
      <w:r>
        <w:rPr>
          <w:spacing w:val="10"/>
        </w:rPr>
        <w:t xml:space="preserve">metros </w:t>
      </w:r>
      <w:r>
        <w:rPr>
          <w:spacing w:val="5"/>
        </w:rPr>
        <w:t xml:space="preserve">de </w:t>
      </w:r>
      <w:r>
        <w:rPr>
          <w:spacing w:val="10"/>
        </w:rPr>
        <w:t xml:space="preserve">tubos. Assassinatos </w:t>
      </w:r>
      <w:r>
        <w:rPr>
          <w:spacing w:val="8"/>
        </w:rPr>
        <w:t xml:space="preserve">como </w:t>
      </w:r>
      <w:r>
        <w:rPr>
          <w:spacing w:val="12"/>
        </w:rPr>
        <w:t xml:space="preserve">esse </w:t>
      </w:r>
      <w:r>
        <w:rPr>
          <w:spacing w:val="15"/>
        </w:rPr>
        <w:t xml:space="preserve">continuariam </w:t>
      </w:r>
      <w:r>
        <w:t xml:space="preserve">a </w:t>
      </w:r>
      <w:r>
        <w:rPr>
          <w:spacing w:val="15"/>
        </w:rPr>
        <w:t xml:space="preserve">acontecer </w:t>
      </w:r>
      <w:r>
        <w:rPr>
          <w:spacing w:val="13"/>
        </w:rPr>
        <w:t xml:space="preserve">(MAPA </w:t>
      </w:r>
      <w:r>
        <w:rPr>
          <w:spacing w:val="8"/>
        </w:rPr>
        <w:t xml:space="preserve">DA </w:t>
      </w:r>
      <w:r>
        <w:rPr>
          <w:spacing w:val="15"/>
        </w:rPr>
        <w:t xml:space="preserve">INJUSTIÇA AMBIENTAL </w:t>
      </w:r>
      <w:r>
        <w:t xml:space="preserve">E </w:t>
      </w:r>
      <w:r>
        <w:rPr>
          <w:spacing w:val="13"/>
        </w:rPr>
        <w:t xml:space="preserve">SAÚDE </w:t>
      </w:r>
      <w:r>
        <w:rPr>
          <w:spacing w:val="8"/>
        </w:rPr>
        <w:t xml:space="preserve">NO </w:t>
      </w:r>
      <w:r>
        <w:rPr>
          <w:spacing w:val="15"/>
        </w:rPr>
        <w:t>BRASIL,</w:t>
      </w:r>
      <w:r>
        <w:rPr>
          <w:spacing w:val="66"/>
        </w:rPr>
        <w:t xml:space="preserve"> </w:t>
      </w:r>
      <w:r>
        <w:rPr>
          <w:spacing w:val="15"/>
        </w:rPr>
        <w:t>2009).</w:t>
      </w:r>
      <w:r>
        <w:rPr>
          <w:spacing w:val="-31"/>
        </w:rPr>
        <w:t xml:space="preserve"> </w:t>
      </w:r>
    </w:p>
    <w:p w:rsidR="00D81F69" w:rsidRDefault="00330118">
      <w:pPr>
        <w:pStyle w:val="Corpodetexto"/>
        <w:spacing w:before="133" w:line="312" w:lineRule="auto"/>
        <w:ind w:right="244"/>
      </w:pPr>
      <w:r>
        <w:t xml:space="preserve">Em 2002, foi assassinado, perto de Espigão d`Oeste, um outro índio Cinta Larga. No mesmo ano, representantes da Funai, Ibama, Ministério da Justiça, Procuradoria da República e Secretaria de Direitos Humanos fizeram reunião para discutir o caso, e a Funai </w:t>
      </w:r>
      <w:r>
        <w:t>determinou o fechamento e a desintrusão oficial do garimpo, que seria realizado por um grupo-tarefa especialmente criado com este propósito (ENCICLOPÉDIA DOS POVOS INDÍGENAS, 2003 apud CURI, 2005).</w:t>
      </w:r>
    </w:p>
    <w:p w:rsidR="00D81F69" w:rsidRDefault="00330118">
      <w:pPr>
        <w:pStyle w:val="Corpodetexto"/>
        <w:spacing w:before="138" w:line="312" w:lineRule="auto"/>
        <w:ind w:right="247"/>
      </w:pPr>
      <w:r>
        <w:t>Com a criação da força-tarefa, os índios passaram a aderir à operação de fechamento do garimpo e à retirada dos garimpeiros de suas terras, iniciando, assim, um processo de tomada de consciência dos prejuízos sociais e ambientais que tal atividade estava o</w:t>
      </w:r>
      <w:r>
        <w:t>casionando. O intercâmbio com outros povos indígenas atingidos pelo garimpo, como os da TI Raposa do Sol, em Roraima, também foi relevante para que a comunidade se fortalecesse e se organizasse para lutar por seus direitos (CURI, 2005).</w:t>
      </w:r>
    </w:p>
    <w:p w:rsidR="00D81F69" w:rsidRDefault="00330118">
      <w:pPr>
        <w:pStyle w:val="Corpodetexto"/>
        <w:spacing w:before="138" w:line="312" w:lineRule="auto"/>
        <w:ind w:right="249"/>
      </w:pPr>
      <w:r>
        <w:t>Com a paralisação d</w:t>
      </w:r>
      <w:r>
        <w:t>o garimpo, o governo criou um Plano Emergencial para os povos Cinta Larga, no qual estava prevista a liberação de recursos para a criação de projetos alternativos visando à subsistência dos indígenas. O plano não foi implementado, e as verbas não foram lib</w:t>
      </w:r>
      <w:r>
        <w:t>eradas. Na ausência do governo, os Cinta Larga utilizaram os recursos financeiros obtidos com o garimpo para concretizar projetos em benefício da comunidade, como a piscicultura, o plantio de palmito e a criação de gado (CURI, 2005).</w:t>
      </w:r>
    </w:p>
    <w:p w:rsidR="00D81F69" w:rsidRDefault="00330118">
      <w:pPr>
        <w:pStyle w:val="Corpodetexto"/>
        <w:spacing w:before="139" w:line="312" w:lineRule="auto"/>
        <w:ind w:right="250"/>
      </w:pPr>
      <w:r>
        <w:t>No primeiro semestre d</w:t>
      </w:r>
      <w:r>
        <w:t>e 2003, a força-tarefa conseguiu finalizar a desintrusão do garimpo. Entretanto, a partir de agosto do mesmo ano, o garimpo foi reativado pelos próprios indígenas que alegaram precisar de recursos para sustentar suas comunidades. Iniciou-se também uma camp</w:t>
      </w:r>
      <w:r>
        <w:t>anha para a regulamentação da exploração mineral com exclusividade para os índios (CURI, 2005).</w:t>
      </w:r>
    </w:p>
    <w:p w:rsidR="00D81F69" w:rsidRDefault="00330118">
      <w:pPr>
        <w:pStyle w:val="Corpodetexto"/>
        <w:spacing w:before="136" w:line="312" w:lineRule="auto"/>
        <w:ind w:right="250"/>
      </w:pPr>
      <w:r>
        <w:t>Apesar de a força tarefa ter conseguido completar a retirada dos garimpeiros, os riscos de novas invasões não foram eliminados, e cerca de 5 mil garimpeiros que</w:t>
      </w:r>
      <w:r>
        <w:t xml:space="preserve"> foram para a região permaneceram próximos à TI, em Espigão d´Oeste e Cacoal (CURI, 2005).</w:t>
      </w:r>
    </w:p>
    <w:p w:rsidR="00D81F69" w:rsidRDefault="00330118">
      <w:pPr>
        <w:pStyle w:val="Corpodetexto"/>
        <w:spacing w:before="135" w:line="312" w:lineRule="auto"/>
        <w:ind w:right="247"/>
      </w:pPr>
      <w:r>
        <w:t>Também em 2003, o governo brasileiro instituiu o Sistema de Certificação do Processo de Kimberley (SCPK), através da  Lei 10.743, de 9 de outubro (CURI, 2005). Trata</w:t>
      </w:r>
      <w:r>
        <w:t xml:space="preserve">va-se de um </w:t>
      </w:r>
      <w:r>
        <w:rPr>
          <w:spacing w:val="7"/>
        </w:rPr>
        <w:t xml:space="preserve">mecanismo </w:t>
      </w:r>
      <w:r>
        <w:rPr>
          <w:spacing w:val="8"/>
        </w:rPr>
        <w:t xml:space="preserve">internacional </w:t>
      </w:r>
      <w:r>
        <w:rPr>
          <w:spacing w:val="5"/>
        </w:rPr>
        <w:t xml:space="preserve">de </w:t>
      </w:r>
      <w:r>
        <w:rPr>
          <w:spacing w:val="8"/>
        </w:rPr>
        <w:t xml:space="preserve">certificação </w:t>
      </w:r>
      <w:r>
        <w:rPr>
          <w:spacing w:val="5"/>
        </w:rPr>
        <w:t xml:space="preserve">de </w:t>
      </w:r>
      <w:r>
        <w:rPr>
          <w:spacing w:val="7"/>
        </w:rPr>
        <w:t xml:space="preserve">origem </w:t>
      </w:r>
      <w:r>
        <w:rPr>
          <w:spacing w:val="10"/>
        </w:rPr>
        <w:t xml:space="preserve">de </w:t>
      </w:r>
      <w:r>
        <w:t xml:space="preserve">diamantes brutos destinados à exportação e importação. Na </w:t>
      </w:r>
      <w:r>
        <w:rPr>
          <w:spacing w:val="6"/>
        </w:rPr>
        <w:t xml:space="preserve">exportação, </w:t>
      </w:r>
      <w:r>
        <w:t xml:space="preserve">o </w:t>
      </w:r>
      <w:r>
        <w:rPr>
          <w:spacing w:val="6"/>
        </w:rPr>
        <w:t xml:space="preserve">Processo </w:t>
      </w:r>
      <w:r>
        <w:rPr>
          <w:spacing w:val="3"/>
        </w:rPr>
        <w:t xml:space="preserve">de </w:t>
      </w:r>
      <w:r>
        <w:rPr>
          <w:spacing w:val="6"/>
        </w:rPr>
        <w:t xml:space="preserve">Kimberley </w:t>
      </w:r>
      <w:r>
        <w:rPr>
          <w:spacing w:val="5"/>
        </w:rPr>
        <w:t xml:space="preserve">visava impedir </w:t>
      </w:r>
      <w:r>
        <w:t xml:space="preserve">a remessa de diamantes extraídos de áreas de conflito ou de </w:t>
      </w:r>
      <w:r>
        <w:rPr>
          <w:spacing w:val="5"/>
        </w:rPr>
        <w:t xml:space="preserve">qualquer </w:t>
      </w:r>
      <w:r>
        <w:rPr>
          <w:spacing w:val="3"/>
        </w:rPr>
        <w:t xml:space="preserve">área não </w:t>
      </w:r>
      <w:r>
        <w:rPr>
          <w:spacing w:val="5"/>
        </w:rPr>
        <w:t>lega</w:t>
      </w:r>
      <w:r>
        <w:rPr>
          <w:spacing w:val="5"/>
        </w:rPr>
        <w:t xml:space="preserve">lizada perante </w:t>
      </w:r>
      <w:r>
        <w:t xml:space="preserve">o </w:t>
      </w:r>
      <w:r>
        <w:rPr>
          <w:spacing w:val="3"/>
        </w:rPr>
        <w:t xml:space="preserve">DNPM </w:t>
      </w:r>
      <w:r>
        <w:rPr>
          <w:spacing w:val="5"/>
        </w:rPr>
        <w:t xml:space="preserve">(POVOS INDÍGENAS </w:t>
      </w:r>
      <w:r>
        <w:rPr>
          <w:spacing w:val="2"/>
        </w:rPr>
        <w:t xml:space="preserve">NO </w:t>
      </w:r>
      <w:r>
        <w:rPr>
          <w:spacing w:val="5"/>
        </w:rPr>
        <w:t>BRASIL,</w:t>
      </w:r>
      <w:r>
        <w:rPr>
          <w:spacing w:val="-9"/>
        </w:rPr>
        <w:t xml:space="preserve"> </w:t>
      </w:r>
      <w:r>
        <w:rPr>
          <w:spacing w:val="5"/>
        </w:rPr>
        <w:t>2010).</w:t>
      </w:r>
    </w:p>
    <w:p w:rsidR="00D81F69" w:rsidRDefault="00330118">
      <w:pPr>
        <w:pStyle w:val="Corpodetexto"/>
        <w:spacing w:before="138" w:line="312" w:lineRule="auto"/>
        <w:ind w:right="249"/>
      </w:pPr>
      <w:r>
        <w:t>Ainda em 2003, a Assembléia Legislativa do Estado de Rondônia criou uma Comissão Parlamentar de Inquérito (CPI)</w:t>
      </w:r>
    </w:p>
    <w:p w:rsidR="00D81F69" w:rsidRDefault="00D81F69">
      <w:pPr>
        <w:spacing w:line="312" w:lineRule="auto"/>
        <w:sectPr w:rsidR="00D81F69">
          <w:pgSz w:w="11900" w:h="16840"/>
          <w:pgMar w:top="740" w:right="460" w:bottom="720" w:left="620" w:header="0" w:footer="402" w:gutter="0"/>
          <w:cols w:num="2" w:space="720" w:equalWidth="0">
            <w:col w:w="5160" w:space="310"/>
            <w:col w:w="5350"/>
          </w:cols>
        </w:sectPr>
      </w:pPr>
    </w:p>
    <w:p w:rsidR="00D81F69" w:rsidRDefault="00330118">
      <w:pPr>
        <w:pStyle w:val="Corpodetexto"/>
        <w:spacing w:before="81" w:line="312" w:lineRule="auto"/>
        <w:ind w:right="56"/>
      </w:pPr>
      <w:r>
        <w:lastRenderedPageBreak/>
        <w:t>para investigar as mortes e o garimpo clandestino na TI. E</w:t>
      </w:r>
      <w:r>
        <w:t>m novembro do mesmo ano, a CPI sugeriu ao Ministério da Justiça uma intervenção federal, com uso do Exército, para fechar o garimpo alegando a presença de garimpeiros não índios e contrabandistas na área. No final de 2003 e início de 2004, a Polícia Federa</w:t>
      </w:r>
      <w:r>
        <w:t>l prendeu várias pessoas sob a acusação de explorarem ilegalmente o garimpo de diamantes na TI (CURI, 2005).</w:t>
      </w:r>
    </w:p>
    <w:p w:rsidR="00D81F69" w:rsidRDefault="00330118">
      <w:pPr>
        <w:pStyle w:val="Corpodetexto"/>
        <w:spacing w:before="137" w:line="312" w:lineRule="auto"/>
        <w:ind w:right="40"/>
      </w:pPr>
      <w:r>
        <w:t>O dia 7 de abril de 2004 ficou marcado nacionalmente como a data da suposta chacina cometida por índios Cinta Larga contra 29 garimpeiros, que esta</w:t>
      </w:r>
      <w:r>
        <w:t>vam explorando diamantes em um garimpo ilegal dentro da TI, em uma área denominada Grota do Sossego. Pela apuração judicial do fato, os índios não negaram o crime. Segundo eles, estavam defendendo seu território, suas mulheres e suas crianças, porque mesmo</w:t>
      </w:r>
      <w:r>
        <w:t xml:space="preserve"> após a desintrusão da área, por diversas vezes garimpeiros invadiram a região, sendo retirados pelos órgãos responsáveis de fiscalização ou pelos próprios índios (CURI, 2005).</w:t>
      </w:r>
    </w:p>
    <w:p w:rsidR="00D81F69" w:rsidRDefault="00330118">
      <w:pPr>
        <w:pStyle w:val="Corpodetexto"/>
        <w:spacing w:before="140" w:line="312" w:lineRule="auto"/>
        <w:ind w:right="40"/>
      </w:pPr>
      <w:r>
        <w:t>Após a chacina dos garimpeiros, as autoridades locais e federais começaram a in</w:t>
      </w:r>
      <w:r>
        <w:t>vestigar mais profundamente o mecanismo do garimpo na região. Então, começaram a surgir vínculos entre funcionários públicos, políticos e contrabandistas em torno da exploração da TI Roosevelt (MAPA DA INJUSTIÇA AMBIENTAL E SAÚDE NO BRASIL, 2009).</w:t>
      </w:r>
    </w:p>
    <w:p w:rsidR="00D81F69" w:rsidRDefault="00330118">
      <w:pPr>
        <w:pStyle w:val="Corpodetexto"/>
        <w:spacing w:before="137" w:line="312" w:lineRule="auto"/>
        <w:ind w:right="47"/>
      </w:pPr>
      <w:r>
        <w:rPr>
          <w:spacing w:val="1"/>
        </w:rPr>
        <w:t xml:space="preserve">No </w:t>
      </w:r>
      <w:r>
        <w:rPr>
          <w:spacing w:val="2"/>
        </w:rPr>
        <w:t xml:space="preserve">dia </w:t>
      </w:r>
      <w:r>
        <w:rPr>
          <w:spacing w:val="1"/>
        </w:rPr>
        <w:t>1</w:t>
      </w:r>
      <w:r>
        <w:rPr>
          <w:spacing w:val="1"/>
        </w:rPr>
        <w:t xml:space="preserve">0 de </w:t>
      </w:r>
      <w:r>
        <w:rPr>
          <w:spacing w:val="3"/>
        </w:rPr>
        <w:t xml:space="preserve">abril </w:t>
      </w:r>
      <w:r>
        <w:rPr>
          <w:spacing w:val="1"/>
        </w:rPr>
        <w:t xml:space="preserve">de </w:t>
      </w:r>
      <w:r>
        <w:rPr>
          <w:spacing w:val="3"/>
        </w:rPr>
        <w:t xml:space="preserve">2004, </w:t>
      </w:r>
      <w:r>
        <w:rPr>
          <w:spacing w:val="1"/>
        </w:rPr>
        <w:t xml:space="preserve">em </w:t>
      </w:r>
      <w:r>
        <w:rPr>
          <w:spacing w:val="3"/>
        </w:rPr>
        <w:t xml:space="preserve">represália </w:t>
      </w:r>
      <w:r>
        <w:rPr>
          <w:spacing w:val="1"/>
        </w:rPr>
        <w:t xml:space="preserve">às </w:t>
      </w:r>
      <w:r>
        <w:rPr>
          <w:spacing w:val="3"/>
        </w:rPr>
        <w:t xml:space="preserve">mortes </w:t>
      </w:r>
      <w:r>
        <w:rPr>
          <w:spacing w:val="5"/>
        </w:rPr>
        <w:t xml:space="preserve">dos </w:t>
      </w:r>
      <w:r>
        <w:t xml:space="preserve">garimpeiros, um índio foi espancado, violentado e amarrado em uma praça da cidade de Espigão d´Oeste. Em agosto do </w:t>
      </w:r>
      <w:r>
        <w:rPr>
          <w:spacing w:val="11"/>
        </w:rPr>
        <w:t xml:space="preserve">mesmo </w:t>
      </w:r>
      <w:r>
        <w:rPr>
          <w:spacing w:val="10"/>
        </w:rPr>
        <w:t xml:space="preserve">ano, </w:t>
      </w:r>
      <w:r>
        <w:t xml:space="preserve">a </w:t>
      </w:r>
      <w:r>
        <w:rPr>
          <w:spacing w:val="12"/>
        </w:rPr>
        <w:t xml:space="preserve">Associação </w:t>
      </w:r>
      <w:r>
        <w:rPr>
          <w:spacing w:val="11"/>
        </w:rPr>
        <w:t xml:space="preserve">Pamaré </w:t>
      </w:r>
      <w:r>
        <w:rPr>
          <w:spacing w:val="12"/>
        </w:rPr>
        <w:t xml:space="preserve">apresentou </w:t>
      </w:r>
      <w:r>
        <w:rPr>
          <w:spacing w:val="15"/>
        </w:rPr>
        <w:t xml:space="preserve">aos </w:t>
      </w:r>
      <w:r>
        <w:t xml:space="preserve">representantes do Governo Federal e da Frente Parlamentar em Defesa dos Povos Indígenas uma proposta de legalização da atividade garimpeira pelos índios. No dia 17 de setembro de 2004, o Governo Federal criou um Grupo Operacional para </w:t>
      </w:r>
      <w:r>
        <w:rPr>
          <w:spacing w:val="5"/>
        </w:rPr>
        <w:t xml:space="preserve">fiscalizar </w:t>
      </w:r>
      <w:r>
        <w:t xml:space="preserve">e </w:t>
      </w:r>
      <w:r>
        <w:rPr>
          <w:spacing w:val="5"/>
        </w:rPr>
        <w:t>garantir</w:t>
      </w:r>
      <w:r>
        <w:rPr>
          <w:spacing w:val="5"/>
        </w:rPr>
        <w:t xml:space="preserve"> </w:t>
      </w:r>
      <w:r>
        <w:t xml:space="preserve">a </w:t>
      </w:r>
      <w:r>
        <w:rPr>
          <w:spacing w:val="5"/>
        </w:rPr>
        <w:t xml:space="preserve">adoção </w:t>
      </w:r>
      <w:r>
        <w:rPr>
          <w:spacing w:val="2"/>
        </w:rPr>
        <w:t xml:space="preserve">de </w:t>
      </w:r>
      <w:r>
        <w:rPr>
          <w:spacing w:val="5"/>
        </w:rPr>
        <w:t xml:space="preserve">medidas necessárias </w:t>
      </w:r>
      <w:r>
        <w:t xml:space="preserve">e cabíveis para coibir toda e qualquer exploração mineral em terras indígenas, em especial nas áreas Roosevelt, até que a </w:t>
      </w:r>
      <w:r>
        <w:rPr>
          <w:spacing w:val="5"/>
        </w:rPr>
        <w:t xml:space="preserve">exploração fosse regulamentada </w:t>
      </w:r>
      <w:r>
        <w:rPr>
          <w:spacing w:val="3"/>
        </w:rPr>
        <w:t xml:space="preserve">por lei </w:t>
      </w:r>
      <w:r>
        <w:t xml:space="preserve">e </w:t>
      </w:r>
      <w:r>
        <w:rPr>
          <w:spacing w:val="5"/>
        </w:rPr>
        <w:t xml:space="preserve">também </w:t>
      </w:r>
      <w:r>
        <w:rPr>
          <w:spacing w:val="6"/>
        </w:rPr>
        <w:t xml:space="preserve">para </w:t>
      </w:r>
      <w:r>
        <w:rPr>
          <w:spacing w:val="5"/>
        </w:rPr>
        <w:t>preservar</w:t>
      </w:r>
      <w:r>
        <w:rPr>
          <w:spacing w:val="42"/>
        </w:rPr>
        <w:t xml:space="preserve"> </w:t>
      </w:r>
      <w:r>
        <w:t>a</w:t>
      </w:r>
      <w:r>
        <w:rPr>
          <w:spacing w:val="42"/>
        </w:rPr>
        <w:t xml:space="preserve"> </w:t>
      </w:r>
      <w:r>
        <w:rPr>
          <w:spacing w:val="5"/>
        </w:rPr>
        <w:t>ordem</w:t>
      </w:r>
      <w:r>
        <w:rPr>
          <w:spacing w:val="42"/>
        </w:rPr>
        <w:t xml:space="preserve"> </w:t>
      </w:r>
      <w:r>
        <w:rPr>
          <w:spacing w:val="5"/>
        </w:rPr>
        <w:t>pública</w:t>
      </w:r>
      <w:r>
        <w:rPr>
          <w:spacing w:val="42"/>
        </w:rPr>
        <w:t xml:space="preserve"> </w:t>
      </w:r>
      <w:r>
        <w:rPr>
          <w:spacing w:val="2"/>
        </w:rPr>
        <w:t>na</w:t>
      </w:r>
      <w:r>
        <w:rPr>
          <w:spacing w:val="42"/>
        </w:rPr>
        <w:t xml:space="preserve"> </w:t>
      </w:r>
      <w:r>
        <w:rPr>
          <w:spacing w:val="5"/>
        </w:rPr>
        <w:t>localidade</w:t>
      </w:r>
      <w:r>
        <w:rPr>
          <w:spacing w:val="42"/>
        </w:rPr>
        <w:t xml:space="preserve"> </w:t>
      </w:r>
      <w:r>
        <w:rPr>
          <w:spacing w:val="5"/>
        </w:rPr>
        <w:t>(CURI,</w:t>
      </w:r>
      <w:r>
        <w:rPr>
          <w:spacing w:val="42"/>
        </w:rPr>
        <w:t xml:space="preserve"> </w:t>
      </w:r>
      <w:r>
        <w:rPr>
          <w:spacing w:val="6"/>
        </w:rPr>
        <w:t>2</w:t>
      </w:r>
      <w:r>
        <w:rPr>
          <w:spacing w:val="6"/>
        </w:rPr>
        <w:t>005).</w:t>
      </w:r>
    </w:p>
    <w:p w:rsidR="00D81F69" w:rsidRDefault="00330118">
      <w:pPr>
        <w:pStyle w:val="Corpodetexto"/>
        <w:spacing w:before="142" w:line="312" w:lineRule="auto"/>
        <w:ind w:right="38"/>
      </w:pPr>
      <w:r>
        <w:t>No dia 22 de novembro de 2004, o governo editou a Medida Provisória (MP) 225/04 que autorizava a Caixa Econômica Federal (CEF), em caráter excepcional e por tempo indeterminado, a arrecadar e alienar os diamantes brutos em poder dos índios Cinta Larg</w:t>
      </w:r>
      <w:r>
        <w:t>a. Estava previsto que o valor obtido com a alienação dos diamantes brutos e o adiantamento efetuado seriam depositados em conta individual ou conjunta, solidária ou não solidária, a ser indicada pelos indígenas ou suas associações, diretamente à CEF, desc</w:t>
      </w:r>
      <w:r>
        <w:t>ontados os custos operacionais, as tarifas e os encargos a ela devidos e os tributos e preços públicos incidentes. O DNPM ficou autorizado a emitir o Certificado de Kimberley em favor dos adquirentes dos diamantes (CURI, 2005).</w:t>
      </w:r>
    </w:p>
    <w:p w:rsidR="00D81F69" w:rsidRDefault="00330118">
      <w:pPr>
        <w:pStyle w:val="Corpodetexto"/>
        <w:spacing w:before="143"/>
      </w:pPr>
      <w:r>
        <w:t xml:space="preserve">A procuradoria da República </w:t>
      </w:r>
      <w:r>
        <w:t>impetrou ação contra a MP do</w:t>
      </w:r>
    </w:p>
    <w:p w:rsidR="00D81F69" w:rsidRDefault="00330118">
      <w:pPr>
        <w:pStyle w:val="Corpodetexto"/>
        <w:spacing w:before="81" w:line="312" w:lineRule="auto"/>
        <w:ind w:right="249"/>
      </w:pPr>
      <w:r>
        <w:br w:type="column"/>
      </w:r>
      <w:r>
        <w:lastRenderedPageBreak/>
        <w:t>governo, declarando inconstitucionalidade do ato. Com isso, a Segunda Vara Federal de Rondônia decretou a proibição da coleta de diamantes que já estava sendo realizada pela Caixa. A Advocacia Geral da União, no entanto, conte</w:t>
      </w:r>
      <w:r>
        <w:t>stou a liminar e garantiu a arrecadação dos diamantes em posse dos índios Cinta Larga pela Caixa, e os diamantes foram a leilão em 2005 (CURI, 2005).</w:t>
      </w:r>
    </w:p>
    <w:p w:rsidR="00D81F69" w:rsidRDefault="00330118">
      <w:pPr>
        <w:pStyle w:val="Corpodetexto"/>
        <w:spacing w:before="136" w:line="312" w:lineRule="auto"/>
        <w:ind w:right="252"/>
      </w:pPr>
      <w:r>
        <w:t xml:space="preserve">No dia 01 de março de 2005, foi publicado no Diário Oficial da União a prorrogação por 60 dias da MP 225. No dia 10 de abril de 2005, com a conclusão do Inquérito Policial sobre a morte dos 29 garimpeiros, foram indiciados pelo crime 23 índios Cinta Larga </w:t>
      </w:r>
      <w:r>
        <w:t>e um funcionário da Funai, coordenador da força-tarefa na época do ocorrido (CURI, 2005).</w:t>
      </w:r>
    </w:p>
    <w:p w:rsidR="00D81F69" w:rsidRDefault="00330118">
      <w:pPr>
        <w:pStyle w:val="Corpodetexto"/>
        <w:spacing w:before="136" w:line="312" w:lineRule="auto"/>
        <w:ind w:right="249"/>
      </w:pPr>
      <w:r>
        <w:rPr>
          <w:spacing w:val="2"/>
        </w:rPr>
        <w:t xml:space="preserve">Em </w:t>
      </w:r>
      <w:r>
        <w:rPr>
          <w:spacing w:val="5"/>
        </w:rPr>
        <w:t xml:space="preserve">relação </w:t>
      </w:r>
      <w:r>
        <w:rPr>
          <w:spacing w:val="3"/>
        </w:rPr>
        <w:t xml:space="preserve">aos </w:t>
      </w:r>
      <w:r>
        <w:rPr>
          <w:spacing w:val="5"/>
        </w:rPr>
        <w:t xml:space="preserve">diamantes explorados </w:t>
      </w:r>
      <w:r>
        <w:rPr>
          <w:spacing w:val="2"/>
        </w:rPr>
        <w:t xml:space="preserve">na </w:t>
      </w:r>
      <w:r>
        <w:rPr>
          <w:spacing w:val="3"/>
        </w:rPr>
        <w:t xml:space="preserve">TI, </w:t>
      </w:r>
      <w:r>
        <w:t xml:space="preserve">a </w:t>
      </w:r>
      <w:r>
        <w:rPr>
          <w:spacing w:val="6"/>
        </w:rPr>
        <w:t xml:space="preserve">Agência </w:t>
      </w:r>
      <w:r>
        <w:t xml:space="preserve">Brasileira de Inteligência (ABIN) e o serviço de inteligência da </w:t>
      </w:r>
      <w:r>
        <w:rPr>
          <w:spacing w:val="3"/>
        </w:rPr>
        <w:t xml:space="preserve">Polícia Federal calculam </w:t>
      </w:r>
      <w:r>
        <w:rPr>
          <w:spacing w:val="2"/>
        </w:rPr>
        <w:t xml:space="preserve">que US$ </w:t>
      </w:r>
      <w:r>
        <w:rPr>
          <w:spacing w:val="1"/>
        </w:rPr>
        <w:t xml:space="preserve">20 </w:t>
      </w:r>
      <w:r>
        <w:rPr>
          <w:spacing w:val="3"/>
        </w:rPr>
        <w:t xml:space="preserve">milhões </w:t>
      </w:r>
      <w:r>
        <w:rPr>
          <w:spacing w:val="1"/>
        </w:rPr>
        <w:t xml:space="preserve">em </w:t>
      </w:r>
      <w:r>
        <w:rPr>
          <w:spacing w:val="5"/>
        </w:rPr>
        <w:t>p</w:t>
      </w:r>
      <w:r>
        <w:rPr>
          <w:spacing w:val="5"/>
        </w:rPr>
        <w:t xml:space="preserve">edras </w:t>
      </w:r>
      <w:r>
        <w:t xml:space="preserve">preciosas saíram ilegalmente do país (RIBEIRO, 2004 apud CURI, 2005). As investigações de contrabando pela Polícia </w:t>
      </w:r>
      <w:r>
        <w:rPr>
          <w:spacing w:val="1"/>
        </w:rPr>
        <w:t xml:space="preserve">Federal recaíram também sobre empresas estrangeiras </w:t>
      </w:r>
      <w:r>
        <w:rPr>
          <w:spacing w:val="2"/>
        </w:rPr>
        <w:t xml:space="preserve">de </w:t>
      </w:r>
      <w:r>
        <w:rPr>
          <w:spacing w:val="3"/>
        </w:rPr>
        <w:t xml:space="preserve">mineração. </w:t>
      </w:r>
      <w:r>
        <w:t xml:space="preserve">A </w:t>
      </w:r>
      <w:r>
        <w:rPr>
          <w:spacing w:val="3"/>
        </w:rPr>
        <w:t xml:space="preserve">primeira empresa intimada </w:t>
      </w:r>
      <w:r>
        <w:rPr>
          <w:spacing w:val="2"/>
        </w:rPr>
        <w:t xml:space="preserve">foi </w:t>
      </w:r>
      <w:r>
        <w:t xml:space="preserve">a </w:t>
      </w:r>
      <w:r>
        <w:rPr>
          <w:spacing w:val="5"/>
        </w:rPr>
        <w:t xml:space="preserve">Mineração </w:t>
      </w:r>
      <w:r>
        <w:rPr>
          <w:spacing w:val="1"/>
        </w:rPr>
        <w:t xml:space="preserve">Paraguaçu, </w:t>
      </w:r>
      <w:r>
        <w:t xml:space="preserve">que tem </w:t>
      </w:r>
      <w:r>
        <w:rPr>
          <w:spacing w:val="1"/>
        </w:rPr>
        <w:t>como a</w:t>
      </w:r>
      <w:r>
        <w:rPr>
          <w:spacing w:val="1"/>
        </w:rPr>
        <w:t xml:space="preserve">cionista </w:t>
      </w:r>
      <w:r>
        <w:t xml:space="preserve">a </w:t>
      </w:r>
      <w:r>
        <w:rPr>
          <w:spacing w:val="1"/>
        </w:rPr>
        <w:t xml:space="preserve">empresa </w:t>
      </w:r>
      <w:r>
        <w:rPr>
          <w:spacing w:val="2"/>
        </w:rPr>
        <w:t xml:space="preserve">canadense </w:t>
      </w:r>
      <w:r>
        <w:rPr>
          <w:spacing w:val="1"/>
        </w:rPr>
        <w:t>Vaaldiam Resources (CURI,</w:t>
      </w:r>
      <w:r>
        <w:rPr>
          <w:spacing w:val="52"/>
        </w:rPr>
        <w:t xml:space="preserve"> </w:t>
      </w:r>
      <w:r>
        <w:rPr>
          <w:spacing w:val="2"/>
        </w:rPr>
        <w:t>2005).</w:t>
      </w:r>
    </w:p>
    <w:p w:rsidR="00D81F69" w:rsidRDefault="00330118">
      <w:pPr>
        <w:pStyle w:val="Corpodetexto"/>
        <w:spacing w:before="138" w:line="312" w:lineRule="auto"/>
        <w:ind w:right="223"/>
      </w:pPr>
      <w:r>
        <w:t>Em 2008, o garimpo da TI Roosevelt permaneceu fechado. A Funai de Cacoal, responsável pela reserva indígena Roosevelt, afirmou que o garimpo não seria reaberto, e o seu futuro seria decidido pel</w:t>
      </w:r>
      <w:r>
        <w:t>o Governo Federal. À época, os índios Cinta Larga reclamaram da falta de assistência da Funai, e os caciques disseram que os recursos da fundação não chegavam às aldeias, e por isso, muitos índios viviam em situação precária, passando dia e noite no garimp</w:t>
      </w:r>
      <w:r>
        <w:t>o, carregando motores sobre os ombros e escavando a região à procura de minérios, que continuavam a ser vendidos a preços irrisórios aos atravessadores, que levavam as riquezas sem pagar qualquer imposto (BLOSFELD, 2008).</w:t>
      </w:r>
    </w:p>
    <w:p w:rsidR="00D81F69" w:rsidRDefault="00330118">
      <w:pPr>
        <w:pStyle w:val="Corpodetexto"/>
        <w:spacing w:before="141" w:line="312" w:lineRule="auto"/>
        <w:ind w:right="237"/>
      </w:pPr>
      <w:r>
        <w:t>Em maio de 2010, a Polícia Federal</w:t>
      </w:r>
      <w:r>
        <w:t xml:space="preserve"> em Rondônia apreendeu 460 pedras de diamantes, equivalente a 258 quilates, na cidade de Cacoal. Tais diamantes foram adquiridos em Espigão d'Oeste e seriam oriundos do Garimpo Lajes, situado no interior da Reserva Indígena Roosevelt. As pedras apreendidas</w:t>
      </w:r>
      <w:r>
        <w:t>, que estariam sendo negociadas na cidade de Cacoal por aproximadamente R$ 300 mil, foram encaminhadas para perícia na Superintendência de Polícia Federal, na capital do estado, Porto Velho (FUNAI, 2010).</w:t>
      </w:r>
    </w:p>
    <w:p w:rsidR="00D81F69" w:rsidRDefault="00330118">
      <w:pPr>
        <w:pStyle w:val="Corpodetexto"/>
        <w:spacing w:before="139" w:line="312" w:lineRule="auto"/>
        <w:ind w:right="247"/>
      </w:pPr>
      <w:r>
        <w:t xml:space="preserve">Essa foi a segunda maior apreensão de diamantes na </w:t>
      </w:r>
      <w:r>
        <w:t>Operação Roosevelt, que já apreendeu aproximadamente</w:t>
      </w:r>
    </w:p>
    <w:p w:rsidR="00D81F69" w:rsidRDefault="00330118">
      <w:pPr>
        <w:pStyle w:val="Corpodetexto"/>
        <w:spacing w:before="1" w:line="312" w:lineRule="auto"/>
        <w:ind w:right="251"/>
      </w:pPr>
      <w:r>
        <w:t>3.000 quilates em diamantes desde a sua criação, através do Decreto Presidencial de 17/09/2004, exercendo fiscalização fixa nos acessos de entrada/saída e fiscalização móvel nas vias vicinais da Terra In</w:t>
      </w:r>
      <w:r>
        <w:t>dígena Roosevelt, adotando medidas para coibir toda e qualquer exploração ilegal de minérios (FUNAI, 2010).</w:t>
      </w:r>
    </w:p>
    <w:p w:rsidR="00D81F69" w:rsidRDefault="00330118">
      <w:pPr>
        <w:pStyle w:val="Corpodetexto"/>
        <w:spacing w:before="73" w:line="270" w:lineRule="atLeast"/>
        <w:ind w:right="252"/>
      </w:pPr>
      <w:r>
        <w:t>Tramita há mais de 15 anos na Câmara dos Deputados um projeto de lei que passa a permitir a entrada de mineradoras em terras indígenas. Um dos muito</w:t>
      </w:r>
      <w:r>
        <w:t>s pontos polêmicos do</w:t>
      </w:r>
    </w:p>
    <w:p w:rsidR="00D81F69" w:rsidRDefault="00D81F69">
      <w:pPr>
        <w:spacing w:line="270" w:lineRule="atLeast"/>
        <w:sectPr w:rsidR="00D81F69">
          <w:pgSz w:w="11900" w:h="16840"/>
          <w:pgMar w:top="740" w:right="460" w:bottom="640" w:left="620" w:header="0" w:footer="402" w:gutter="0"/>
          <w:cols w:num="2" w:space="720" w:equalWidth="0">
            <w:col w:w="5155" w:space="315"/>
            <w:col w:w="5350"/>
          </w:cols>
        </w:sectPr>
      </w:pPr>
    </w:p>
    <w:p w:rsidR="00D81F69" w:rsidRDefault="00330118">
      <w:pPr>
        <w:pStyle w:val="Corpodetexto"/>
        <w:spacing w:before="81" w:line="312" w:lineRule="auto"/>
        <w:ind w:right="43"/>
      </w:pPr>
      <w:r>
        <w:lastRenderedPageBreak/>
        <w:t>projeto, já aprovado pelo Senado em 1996, é o fato de não zelar pela obrigatoriedade do Estudo e Relatório de Impacto Ambiental (EIA/Rima), levantamento dos possíveis efeitos físicos, ecológicos, econômico</w:t>
      </w:r>
      <w:r>
        <w:t>s, sociais e culturais, a ser entregue pelas empresas interessadas em explorar uma determinada região. O projeto de lei ainda estabelece um limite de 2,25% para participação dos índios nos resultados financeiros da mineração, cota que desagrada indígenas e</w:t>
      </w:r>
      <w:r>
        <w:t xml:space="preserve"> associações que defendem os seus direitos (VILLAS BÔAS, 2005).</w:t>
      </w:r>
    </w:p>
    <w:p w:rsidR="00D81F69" w:rsidRDefault="00330118">
      <w:pPr>
        <w:pStyle w:val="Corpodetexto"/>
        <w:spacing w:before="139" w:line="312" w:lineRule="auto"/>
        <w:ind w:right="54"/>
      </w:pPr>
      <w:r>
        <w:t>Mesmo antes de uma decisão definitiva por parte do Congresso e do Planalto, até o ano de 2005, mais de 70 mineradoras já haviam solicitado ao DNPM permissão para pesquisa geológica e exploraçã</w:t>
      </w:r>
      <w:r>
        <w:t>o na área Roosevelt (VILLAS- BÔAS, 2005).</w:t>
      </w:r>
    </w:p>
    <w:p w:rsidR="00D81F69" w:rsidRDefault="00330118">
      <w:pPr>
        <w:pStyle w:val="Corpodetexto"/>
        <w:spacing w:before="135" w:line="312" w:lineRule="auto"/>
        <w:ind w:right="43"/>
      </w:pPr>
      <w:r>
        <w:t>Recentemente, em um encontro entre parlamentares federais de Rondônia e do Mato Grosso, lideranças do Povo Cinta Larga e representantes do Ministério Público Federal (MPF), realizado em agosto de 2011, ficou demons</w:t>
      </w:r>
      <w:r>
        <w:t xml:space="preserve">trado o receio geral em relação ao recomeço dos conflitos (O RONDONIENSE, 2011). </w:t>
      </w:r>
    </w:p>
    <w:p w:rsidR="00D81F69" w:rsidRDefault="00330118">
      <w:pPr>
        <w:pStyle w:val="Corpodetexto"/>
        <w:spacing w:before="135" w:line="312" w:lineRule="auto"/>
        <w:ind w:right="53"/>
      </w:pPr>
      <w:r>
        <w:t>Na pauta da reunião constaram os temas que mais afligem os Cinta Larga atualmente, como o garimpo de diamantes e a necessidade de alternativas econômicas, sociais e culturais para os índios. O Governo Federal e a Funai sofreram duras críticas por, na visão</w:t>
      </w:r>
      <w:r>
        <w:t xml:space="preserve"> dos líderes indígenas e do MPF de Rondônia, não implementarem as medidas necessárias para fomentar a melhoria da situação da população da TI Roosevelt (MPF, 2011).</w:t>
      </w:r>
    </w:p>
    <w:p w:rsidR="00D81F69" w:rsidRDefault="00330118">
      <w:pPr>
        <w:pStyle w:val="Corpodetexto"/>
        <w:spacing w:before="138" w:line="312" w:lineRule="auto"/>
        <w:ind w:right="49"/>
      </w:pPr>
      <w:r>
        <w:t>No fim da reunião, todas as partes presentes se comprometeram a somar esforços para garanti</w:t>
      </w:r>
      <w:r>
        <w:t>r melhorias de vida e soluções para os problemas que atingem os Cinta Larga (MPF, 2011).</w:t>
      </w:r>
    </w:p>
    <w:p w:rsidR="00D81F69" w:rsidRDefault="00D81F69">
      <w:pPr>
        <w:pStyle w:val="Corpodetexto"/>
        <w:spacing w:before="3"/>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38"/>
      </w:pPr>
      <w:r>
        <w:t>As ocorrências de diamante do município de Cacoal estão compreendidas entre as latitudes 11°29’53”S - 11°36’22”S e longitudes 61°20’47”W - 61°33’7”W. As minas Riozinho, Fazenda Fortaleza e Vila Riozinho localizam-se na sub-bacia do rio Jiparaná ou Machado,</w:t>
      </w:r>
      <w:r>
        <w:t xml:space="preserve"> afluente da bacia do rio Madeira. Os rios mais próximos são os Rolim de Moura e Riozinho. As ocorrências de diamante do município de Espigão D’Oeste estão dentro dos limites da reserva indígena Roosevelt, entre as latitudes 11°30’12”S – 10°59’37”S e longi</w:t>
      </w:r>
      <w:r>
        <w:t>tudes 60°31’18”W</w:t>
      </w:r>
    </w:p>
    <w:p w:rsidR="00D81F69" w:rsidRDefault="00330118">
      <w:pPr>
        <w:pStyle w:val="Corpodetexto"/>
        <w:spacing w:before="8" w:line="312" w:lineRule="auto"/>
        <w:ind w:right="59"/>
      </w:pPr>
      <w:r>
        <w:t>– 60°45’10”W, localizadas na bacia do rio Roosevelt que deságua no rio Madeira.</w:t>
      </w:r>
    </w:p>
    <w:p w:rsidR="00D81F69" w:rsidRDefault="00D81F69">
      <w:pPr>
        <w:pStyle w:val="Corpodetexto"/>
        <w:ind w:left="0"/>
        <w:jc w:val="left"/>
        <w:rPr>
          <w:sz w:val="29"/>
        </w:rPr>
      </w:pPr>
    </w:p>
    <w:p w:rsidR="00D81F69" w:rsidRDefault="00330118">
      <w:pPr>
        <w:pStyle w:val="Heading7"/>
      </w:pPr>
      <w:r>
        <w:t>REDATORES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31" w:line="240" w:lineRule="atLeast"/>
        <w:ind w:left="100" w:right="56"/>
        <w:jc w:val="both"/>
        <w:rPr>
          <w:sz w:val="16"/>
        </w:rPr>
      </w:pPr>
      <w:r>
        <w:rPr>
          <w:sz w:val="16"/>
        </w:rPr>
        <w:t>BLOSFELD, Wolney. A Extração Clandestina de Diamantes na Reserva Indígena Roosevelt e sua</w:t>
      </w:r>
      <w:r>
        <w:rPr>
          <w:sz w:val="16"/>
        </w:rPr>
        <w:t xml:space="preserve"> Influência na Cidade Mais</w:t>
      </w:r>
    </w:p>
    <w:p w:rsidR="00D81F69" w:rsidRDefault="00330118">
      <w:pPr>
        <w:spacing w:before="70" w:line="312" w:lineRule="auto"/>
        <w:ind w:left="100" w:right="237"/>
        <w:jc w:val="both"/>
        <w:rPr>
          <w:sz w:val="16"/>
        </w:rPr>
      </w:pPr>
      <w:r>
        <w:br w:type="column"/>
      </w:r>
      <w:r>
        <w:rPr>
          <w:sz w:val="16"/>
        </w:rPr>
        <w:lastRenderedPageBreak/>
        <w:t xml:space="preserve">Próxima, Espigão do Oeste (RO). In: Webartigos.com, 20 jan. 2008. Disponível em: </w:t>
      </w:r>
      <w:hyperlink r:id="rId469">
        <w:r>
          <w:rPr>
            <w:sz w:val="16"/>
          </w:rPr>
          <w:t>&lt;http://www.webartigos.com/articles/3811/1/A-</w:t>
        </w:r>
      </w:hyperlink>
      <w:r>
        <w:rPr>
          <w:sz w:val="16"/>
        </w:rPr>
        <w:t xml:space="preserve"> Extracao-Clandestina-De-Diamantes-Na-Re</w:t>
      </w:r>
      <w:r>
        <w:rPr>
          <w:sz w:val="16"/>
        </w:rPr>
        <w:t>serva-Indigena- Roosevelt-E-Sua-Influencia-Na-Cidade-Mais-Proxima-Espigao-Do- Oeste--Ro/pagina1.html&gt;. Acesso em: 04 jun. 2010.</w:t>
      </w:r>
    </w:p>
    <w:p w:rsidR="00D81F69" w:rsidRDefault="00330118">
      <w:pPr>
        <w:spacing w:before="4" w:line="312" w:lineRule="auto"/>
        <w:ind w:left="100" w:right="185"/>
        <w:jc w:val="both"/>
        <w:rPr>
          <w:sz w:val="16"/>
        </w:rPr>
      </w:pPr>
      <w:r>
        <w:rPr>
          <w:sz w:val="16"/>
        </w:rPr>
        <w:t xml:space="preserve">CURI, Melissa Volpato. Mineração em Terras Indígenas: Caso Terra </w:t>
      </w:r>
      <w:r>
        <w:rPr>
          <w:spacing w:val="7"/>
          <w:sz w:val="16"/>
        </w:rPr>
        <w:t xml:space="preserve">Indígena </w:t>
      </w:r>
      <w:r>
        <w:rPr>
          <w:spacing w:val="8"/>
          <w:sz w:val="16"/>
        </w:rPr>
        <w:t xml:space="preserve">Roosevelt, </w:t>
      </w:r>
      <w:r>
        <w:rPr>
          <w:spacing w:val="6"/>
          <w:sz w:val="16"/>
        </w:rPr>
        <w:t xml:space="preserve">Nov. </w:t>
      </w:r>
      <w:r>
        <w:rPr>
          <w:spacing w:val="7"/>
          <w:sz w:val="16"/>
        </w:rPr>
        <w:t xml:space="preserve">2005. </w:t>
      </w:r>
      <w:r>
        <w:rPr>
          <w:spacing w:val="8"/>
          <w:sz w:val="16"/>
        </w:rPr>
        <w:t xml:space="preserve">Dissertação (Mestrado) </w:t>
      </w:r>
      <w:r>
        <w:rPr>
          <w:spacing w:val="10"/>
          <w:sz w:val="16"/>
        </w:rPr>
        <w:t xml:space="preserve">em </w:t>
      </w:r>
      <w:r>
        <w:rPr>
          <w:spacing w:val="3"/>
          <w:sz w:val="16"/>
        </w:rPr>
        <w:t>Geociê</w:t>
      </w:r>
      <w:r>
        <w:rPr>
          <w:spacing w:val="3"/>
          <w:sz w:val="16"/>
        </w:rPr>
        <w:t xml:space="preserve">ncias, Instituto </w:t>
      </w:r>
      <w:r>
        <w:rPr>
          <w:spacing w:val="1"/>
          <w:sz w:val="16"/>
        </w:rPr>
        <w:t xml:space="preserve">de  </w:t>
      </w:r>
      <w:r>
        <w:rPr>
          <w:spacing w:val="3"/>
          <w:sz w:val="16"/>
        </w:rPr>
        <w:t xml:space="preserve">Geociências, Universidade Estadual </w:t>
      </w:r>
      <w:r>
        <w:rPr>
          <w:spacing w:val="5"/>
          <w:sz w:val="16"/>
        </w:rPr>
        <w:t xml:space="preserve">de  </w:t>
      </w:r>
      <w:r>
        <w:rPr>
          <w:spacing w:val="7"/>
          <w:sz w:val="16"/>
        </w:rPr>
        <w:t xml:space="preserve">C a m p i n a </w:t>
      </w:r>
      <w:r>
        <w:rPr>
          <w:sz w:val="16"/>
        </w:rPr>
        <w:t xml:space="preserve">s </w:t>
      </w:r>
      <w:r>
        <w:rPr>
          <w:spacing w:val="7"/>
          <w:sz w:val="16"/>
        </w:rPr>
        <w:t xml:space="preserve">( S P ) </w:t>
      </w:r>
      <w:r>
        <w:rPr>
          <w:sz w:val="16"/>
        </w:rPr>
        <w:t xml:space="preserve">, </w:t>
      </w:r>
      <w:r>
        <w:rPr>
          <w:spacing w:val="7"/>
          <w:sz w:val="16"/>
        </w:rPr>
        <w:t xml:space="preserve">2 0 6 f </w:t>
      </w:r>
      <w:r>
        <w:rPr>
          <w:sz w:val="16"/>
        </w:rPr>
        <w:t xml:space="preserve">. </w:t>
      </w:r>
      <w:r>
        <w:rPr>
          <w:spacing w:val="7"/>
          <w:sz w:val="16"/>
        </w:rPr>
        <w:t xml:space="preserve">D i s p o n í v e </w:t>
      </w:r>
      <w:r>
        <w:rPr>
          <w:sz w:val="16"/>
        </w:rPr>
        <w:t>l</w:t>
      </w:r>
      <w:r>
        <w:rPr>
          <w:spacing w:val="30"/>
          <w:sz w:val="16"/>
        </w:rPr>
        <w:t xml:space="preserve"> </w:t>
      </w:r>
      <w:r>
        <w:rPr>
          <w:spacing w:val="7"/>
          <w:sz w:val="16"/>
        </w:rPr>
        <w:t xml:space="preserve">e m </w:t>
      </w:r>
      <w:r>
        <w:rPr>
          <w:sz w:val="16"/>
        </w:rPr>
        <w:t>:</w:t>
      </w:r>
      <w:r>
        <w:rPr>
          <w:spacing w:val="8"/>
          <w:sz w:val="16"/>
        </w:rPr>
        <w:t xml:space="preserve"> </w:t>
      </w:r>
    </w:p>
    <w:p w:rsidR="00D81F69" w:rsidRDefault="00D81F69">
      <w:pPr>
        <w:spacing w:before="3" w:line="312" w:lineRule="auto"/>
        <w:ind w:left="100" w:right="254"/>
        <w:jc w:val="both"/>
        <w:rPr>
          <w:sz w:val="16"/>
        </w:rPr>
      </w:pPr>
      <w:hyperlink r:id="rId470">
        <w:r w:rsidR="00330118">
          <w:rPr>
            <w:sz w:val="16"/>
          </w:rPr>
          <w:t xml:space="preserve">&lt;http://libdigi.unicamp.br/document/?code=vtls000375632&gt;. </w:t>
        </w:r>
      </w:hyperlink>
      <w:r w:rsidR="00330118">
        <w:rPr>
          <w:sz w:val="16"/>
        </w:rPr>
        <w:t>Ace</w:t>
      </w:r>
      <w:r w:rsidR="00330118">
        <w:rPr>
          <w:sz w:val="16"/>
        </w:rPr>
        <w:t>sso em: 04 jun. 2010.</w:t>
      </w:r>
    </w:p>
    <w:p w:rsidR="00D81F69" w:rsidRDefault="00330118">
      <w:pPr>
        <w:spacing w:before="2" w:line="312" w:lineRule="auto"/>
        <w:ind w:left="100" w:right="238"/>
        <w:jc w:val="both"/>
        <w:rPr>
          <w:sz w:val="16"/>
        </w:rPr>
      </w:pPr>
      <w:r>
        <w:rPr>
          <w:sz w:val="16"/>
        </w:rPr>
        <w:t xml:space="preserve">FUNAI. Nota da Polícia Federal sobre a apreensão de diamantes em Cacoal/RO, In: Povos Indígenas no Brasil, 20 mai. 2010. Disponível em: </w:t>
      </w:r>
      <w:hyperlink r:id="rId471">
        <w:r>
          <w:rPr>
            <w:sz w:val="16"/>
          </w:rPr>
          <w:t>&lt;</w:t>
        </w:r>
        <w:r>
          <w:rPr>
            <w:sz w:val="16"/>
          </w:rPr>
          <w:t>http://pib.socioambiental.org/pt/noticias?id=85399&amp;id_pov=48&gt;.</w:t>
        </w:r>
      </w:hyperlink>
      <w:r>
        <w:rPr>
          <w:sz w:val="16"/>
        </w:rPr>
        <w:t xml:space="preserve"> Acesso em: 02 jun. 2010.</w:t>
      </w:r>
    </w:p>
    <w:p w:rsidR="00D81F69" w:rsidRDefault="00330118">
      <w:pPr>
        <w:spacing w:before="3" w:line="312" w:lineRule="auto"/>
        <w:ind w:left="100" w:right="207"/>
        <w:jc w:val="both"/>
        <w:rPr>
          <w:sz w:val="16"/>
        </w:rPr>
      </w:pPr>
      <w:r>
        <w:rPr>
          <w:sz w:val="16"/>
        </w:rPr>
        <w:t xml:space="preserve">IBGE, Instituto Brasileiro de Geografia e Estatística. Espigão d’Oeste </w:t>
      </w:r>
      <w:r>
        <w:rPr>
          <w:spacing w:val="21"/>
          <w:sz w:val="16"/>
        </w:rPr>
        <w:t xml:space="preserve">(RO). </w:t>
      </w:r>
      <w:r>
        <w:rPr>
          <w:spacing w:val="17"/>
          <w:sz w:val="16"/>
        </w:rPr>
        <w:t xml:space="preserve">In: </w:t>
      </w:r>
      <w:r>
        <w:rPr>
          <w:spacing w:val="20"/>
          <w:sz w:val="16"/>
        </w:rPr>
        <w:t>IBGE</w:t>
      </w:r>
      <w:r>
        <w:rPr>
          <w:spacing w:val="85"/>
          <w:sz w:val="16"/>
        </w:rPr>
        <w:t xml:space="preserve"> </w:t>
      </w:r>
      <w:r>
        <w:rPr>
          <w:spacing w:val="23"/>
          <w:sz w:val="16"/>
        </w:rPr>
        <w:t xml:space="preserve">Cidades </w:t>
      </w:r>
      <w:r>
        <w:rPr>
          <w:spacing w:val="22"/>
          <w:sz w:val="16"/>
        </w:rPr>
        <w:t xml:space="preserve">2010a. </w:t>
      </w:r>
      <w:r>
        <w:rPr>
          <w:spacing w:val="25"/>
          <w:sz w:val="16"/>
        </w:rPr>
        <w:t xml:space="preserve">Disponível </w:t>
      </w:r>
      <w:r>
        <w:rPr>
          <w:spacing w:val="17"/>
          <w:sz w:val="16"/>
        </w:rPr>
        <w:t>em:</w:t>
      </w:r>
      <w:r>
        <w:rPr>
          <w:spacing w:val="-16"/>
          <w:sz w:val="16"/>
        </w:rPr>
        <w:t xml:space="preserve"> </w:t>
      </w:r>
    </w:p>
    <w:p w:rsidR="00D81F69" w:rsidRDefault="00D81F69">
      <w:pPr>
        <w:spacing w:before="2"/>
        <w:ind w:left="100"/>
        <w:jc w:val="both"/>
        <w:rPr>
          <w:sz w:val="16"/>
        </w:rPr>
      </w:pPr>
      <w:hyperlink r:id="rId472">
        <w:r w:rsidR="00330118">
          <w:rPr>
            <w:sz w:val="16"/>
          </w:rPr>
          <w:t>&lt;http://www.ibge.gov.br/cidadesat/xtras/perfil.php?codmun=110009&amp;r</w:t>
        </w:r>
      </w:hyperlink>
    </w:p>
    <w:p w:rsidR="00D81F69" w:rsidRDefault="00330118">
      <w:pPr>
        <w:spacing w:before="56"/>
        <w:ind w:left="100"/>
        <w:jc w:val="both"/>
        <w:rPr>
          <w:sz w:val="16"/>
        </w:rPr>
      </w:pPr>
      <w:r>
        <w:rPr>
          <w:sz w:val="16"/>
        </w:rPr>
        <w:t>=2&gt;. Acesso em: 24 out. 2011.</w:t>
      </w:r>
    </w:p>
    <w:p w:rsidR="00D81F69" w:rsidRDefault="00330118">
      <w:pPr>
        <w:tabs>
          <w:tab w:val="left" w:pos="633"/>
        </w:tabs>
        <w:spacing w:before="56"/>
        <w:ind w:left="100"/>
        <w:jc w:val="both"/>
        <w:rPr>
          <w:sz w:val="16"/>
        </w:rPr>
      </w:pPr>
      <w:r>
        <w:rPr>
          <w:sz w:val="16"/>
          <w:u w:val="single"/>
        </w:rPr>
        <w:t xml:space="preserve"> </w:t>
      </w:r>
      <w:r>
        <w:rPr>
          <w:sz w:val="16"/>
          <w:u w:val="single"/>
        </w:rPr>
        <w:tab/>
      </w:r>
      <w:r>
        <w:rPr>
          <w:sz w:val="16"/>
        </w:rPr>
        <w:t>. Cacoal (RO). In: IBGE Cidades 2010b. Disponível em:</w:t>
      </w:r>
    </w:p>
    <w:p w:rsidR="00D81F69" w:rsidRDefault="00D81F69">
      <w:pPr>
        <w:spacing w:before="56"/>
        <w:ind w:left="100"/>
        <w:jc w:val="both"/>
        <w:rPr>
          <w:sz w:val="16"/>
        </w:rPr>
      </w:pPr>
      <w:hyperlink r:id="rId473">
        <w:r w:rsidR="00330118">
          <w:rPr>
            <w:sz w:val="16"/>
          </w:rPr>
          <w:t>&lt;http://www.ibge.gov.br/cidadesat/xtras/perfil.php?codmun=110004&amp;r</w:t>
        </w:r>
      </w:hyperlink>
    </w:p>
    <w:p w:rsidR="00D81F69" w:rsidRDefault="00330118">
      <w:pPr>
        <w:spacing w:before="56"/>
        <w:ind w:left="100"/>
        <w:jc w:val="both"/>
        <w:rPr>
          <w:sz w:val="16"/>
        </w:rPr>
      </w:pPr>
      <w:r>
        <w:rPr>
          <w:sz w:val="16"/>
        </w:rPr>
        <w:t>=2&gt;. Acesso em: 24 out. 2011.</w:t>
      </w:r>
    </w:p>
    <w:p w:rsidR="00D81F69" w:rsidRDefault="00330118">
      <w:pPr>
        <w:spacing w:before="56"/>
        <w:ind w:left="100"/>
        <w:jc w:val="both"/>
        <w:rPr>
          <w:sz w:val="16"/>
        </w:rPr>
      </w:pPr>
      <w:r>
        <w:rPr>
          <w:sz w:val="16"/>
        </w:rPr>
        <w:t>MAPA DA INUSTIÇA AMBIENAL E SAÚDE NO BRASIL. A terrível</w:t>
      </w:r>
    </w:p>
    <w:p w:rsidR="00D81F69" w:rsidRDefault="00330118">
      <w:pPr>
        <w:spacing w:before="56"/>
        <w:ind w:left="100"/>
        <w:jc w:val="both"/>
        <w:rPr>
          <w:sz w:val="16"/>
        </w:rPr>
      </w:pPr>
      <w:r>
        <w:rPr>
          <w:sz w:val="16"/>
        </w:rPr>
        <w:t xml:space="preserve">história dos Cinta Larga. Base de </w:t>
      </w:r>
      <w:r>
        <w:rPr>
          <w:sz w:val="16"/>
        </w:rPr>
        <w:t>dados, 2009. Disponível em:</w:t>
      </w:r>
    </w:p>
    <w:p w:rsidR="00D81F69" w:rsidRDefault="00D81F69">
      <w:pPr>
        <w:spacing w:before="56" w:line="312" w:lineRule="auto"/>
        <w:ind w:left="100" w:right="256"/>
        <w:jc w:val="both"/>
        <w:rPr>
          <w:sz w:val="16"/>
        </w:rPr>
      </w:pPr>
      <w:hyperlink r:id="rId474">
        <w:r w:rsidR="00330118">
          <w:rPr>
            <w:sz w:val="16"/>
          </w:rPr>
          <w:t>&lt;http://www.conflitoambiental.icict.fiocruz.br/index.php?pag=ficha&amp;co</w:t>
        </w:r>
      </w:hyperlink>
      <w:r w:rsidR="00330118">
        <w:rPr>
          <w:sz w:val="16"/>
        </w:rPr>
        <w:t xml:space="preserve"> d=154&gt;. Acesso em: 24 out. 2011.</w:t>
      </w:r>
    </w:p>
    <w:p w:rsidR="00D81F69" w:rsidRDefault="00330118">
      <w:pPr>
        <w:spacing w:before="1" w:line="312" w:lineRule="auto"/>
        <w:ind w:left="100" w:right="237"/>
        <w:jc w:val="both"/>
        <w:rPr>
          <w:sz w:val="16"/>
        </w:rPr>
      </w:pPr>
      <w:r>
        <w:rPr>
          <w:sz w:val="16"/>
        </w:rPr>
        <w:t>MPF. Ministério Público Federal. MP</w:t>
      </w:r>
      <w:r>
        <w:rPr>
          <w:sz w:val="16"/>
        </w:rPr>
        <w:t xml:space="preserve">F-RO bancada federal e líderes indígenas discutem questão Cinta Larga. Brasília (DF), 22 ago. 2011. Disponível em: </w:t>
      </w:r>
      <w:hyperlink r:id="rId475">
        <w:r>
          <w:rPr>
            <w:sz w:val="16"/>
          </w:rPr>
          <w:t>&lt;http://noticias.pgr.mpf.gov.br/noticias/noticias-do-</w:t>
        </w:r>
      </w:hyperlink>
      <w:r>
        <w:rPr>
          <w:sz w:val="16"/>
        </w:rPr>
        <w:t xml:space="preserve"> site/copy_of_indi</w:t>
      </w:r>
      <w:r>
        <w:rPr>
          <w:sz w:val="16"/>
        </w:rPr>
        <w:t>os-e-minorias/mpf-ro-bancada-federal-e-lideres- indigenas-discutem-a-questao-cinta-larga/?searchterm=cinta larga&gt;. Acesso em: 18 out. 2011.</w:t>
      </w:r>
    </w:p>
    <w:p w:rsidR="00D81F69" w:rsidRDefault="00330118">
      <w:pPr>
        <w:spacing w:before="5" w:line="312" w:lineRule="auto"/>
        <w:ind w:left="100" w:right="237"/>
        <w:jc w:val="both"/>
        <w:rPr>
          <w:sz w:val="16"/>
        </w:rPr>
      </w:pPr>
      <w:r>
        <w:rPr>
          <w:sz w:val="16"/>
        </w:rPr>
        <w:t>O RONDONIENSE. Garimpo de Roosevelt é uma bomba prestes a explodir, alerta MPF/RO. Porto Velho, 22 ago. 2011. Dispon</w:t>
      </w:r>
      <w:r>
        <w:rPr>
          <w:sz w:val="16"/>
        </w:rPr>
        <w:t>ível em:</w:t>
      </w:r>
    </w:p>
    <w:p w:rsidR="00D81F69" w:rsidRDefault="00D81F69">
      <w:pPr>
        <w:spacing w:before="2" w:line="312" w:lineRule="auto"/>
        <w:ind w:left="100" w:right="239"/>
        <w:jc w:val="both"/>
        <w:rPr>
          <w:sz w:val="16"/>
        </w:rPr>
      </w:pPr>
      <w:hyperlink r:id="rId476">
        <w:r w:rsidR="00330118">
          <w:rPr>
            <w:sz w:val="16"/>
          </w:rPr>
          <w:t xml:space="preserve">&lt;http://www.orondoniense.com.br/textos.asp?cd=35085&gt;. </w:t>
        </w:r>
      </w:hyperlink>
      <w:r w:rsidR="00330118">
        <w:rPr>
          <w:sz w:val="16"/>
        </w:rPr>
        <w:t>Acesso em: 18 out. 2011.</w:t>
      </w:r>
    </w:p>
    <w:p w:rsidR="00D81F69" w:rsidRDefault="00330118">
      <w:pPr>
        <w:spacing w:before="2" w:line="312" w:lineRule="auto"/>
        <w:ind w:left="100" w:right="198"/>
        <w:jc w:val="both"/>
        <w:rPr>
          <w:sz w:val="16"/>
        </w:rPr>
      </w:pPr>
      <w:r>
        <w:rPr>
          <w:sz w:val="16"/>
        </w:rPr>
        <w:t xml:space="preserve">POVOS INDÍGENAS NO BRASIL. Os Cinta Larga, os diamantes e os conflitos: uma cronologia. Disponível em: </w:t>
      </w:r>
    </w:p>
    <w:p w:rsidR="00D81F69" w:rsidRDefault="00D81F69">
      <w:pPr>
        <w:spacing w:before="1" w:line="312" w:lineRule="auto"/>
        <w:ind w:left="100" w:right="257"/>
        <w:jc w:val="both"/>
        <w:rPr>
          <w:sz w:val="16"/>
        </w:rPr>
      </w:pPr>
      <w:hyperlink r:id="rId477">
        <w:r w:rsidR="00330118">
          <w:rPr>
            <w:sz w:val="16"/>
          </w:rPr>
          <w:t>&lt;http://pib.socioambiental.org/files/file/PIB_verbetes/cinta_la</w:t>
        </w:r>
        <w:r w:rsidR="00330118">
          <w:rPr>
            <w:sz w:val="16"/>
          </w:rPr>
          <w:t>rga/diama</w:t>
        </w:r>
      </w:hyperlink>
      <w:r w:rsidR="00330118">
        <w:rPr>
          <w:sz w:val="16"/>
        </w:rPr>
        <w:t xml:space="preserve"> ntes_e_os_conflitos.pdf&gt;. Acesso em: 06 jun. 2010.</w:t>
      </w:r>
    </w:p>
    <w:p w:rsidR="00D81F69" w:rsidRDefault="00330118">
      <w:pPr>
        <w:spacing w:before="2" w:line="312" w:lineRule="auto"/>
        <w:ind w:left="100" w:right="257"/>
        <w:jc w:val="both"/>
        <w:rPr>
          <w:sz w:val="16"/>
        </w:rPr>
      </w:pPr>
      <w:r>
        <w:rPr>
          <w:sz w:val="16"/>
        </w:rPr>
        <w:t>VILLAS BÔAS, Hariessa Cristina. Mineração em terras indígenas: a procura de um marco legal. Rio de Janeiro: CETEM/MCT, 2005.</w:t>
      </w:r>
    </w:p>
    <w:p w:rsidR="00D81F69" w:rsidRDefault="00D81F69">
      <w:pPr>
        <w:spacing w:line="312" w:lineRule="auto"/>
        <w:jc w:val="both"/>
        <w:rPr>
          <w:sz w:val="16"/>
        </w:rPr>
        <w:sectPr w:rsidR="00D81F69">
          <w:pgSz w:w="11900" w:h="16840"/>
          <w:pgMar w:top="740" w:right="460" w:bottom="700" w:left="620" w:header="0" w:footer="402" w:gutter="0"/>
          <w:cols w:num="2" w:space="720" w:equalWidth="0">
            <w:col w:w="5159" w:space="311"/>
            <w:col w:w="5350"/>
          </w:cols>
        </w:sectPr>
      </w:pPr>
    </w:p>
    <w:p w:rsidR="00D81F69" w:rsidRDefault="00330118">
      <w:pPr>
        <w:pStyle w:val="Heading1"/>
        <w:spacing w:line="208" w:lineRule="auto"/>
        <w:ind w:right="0"/>
      </w:pPr>
      <w:r>
        <w:rPr>
          <w:spacing w:val="5"/>
        </w:rPr>
        <w:lastRenderedPageBreak/>
        <w:t xml:space="preserve">Impactos socioambientais </w:t>
      </w:r>
      <w:r>
        <w:rPr>
          <w:spacing w:val="2"/>
        </w:rPr>
        <w:t xml:space="preserve">da </w:t>
      </w:r>
      <w:r>
        <w:rPr>
          <w:spacing w:val="5"/>
        </w:rPr>
        <w:t xml:space="preserve">exploração </w:t>
      </w:r>
      <w:r>
        <w:rPr>
          <w:spacing w:val="2"/>
        </w:rPr>
        <w:t>de</w:t>
      </w:r>
      <w:r>
        <w:rPr>
          <w:spacing w:val="2"/>
        </w:rPr>
        <w:t xml:space="preserve"> </w:t>
      </w:r>
      <w:r>
        <w:rPr>
          <w:spacing w:val="5"/>
        </w:rPr>
        <w:t xml:space="preserve">estanho </w:t>
      </w:r>
      <w:r>
        <w:rPr>
          <w:spacing w:val="2"/>
        </w:rPr>
        <w:t xml:space="preserve">em </w:t>
      </w:r>
      <w:r>
        <w:rPr>
          <w:spacing w:val="3"/>
        </w:rPr>
        <w:t>Monte Negro</w:t>
      </w:r>
      <w:r>
        <w:rPr>
          <w:spacing w:val="90"/>
        </w:rPr>
        <w:t xml:space="preserve"> </w:t>
      </w:r>
      <w:r>
        <w:rPr>
          <w:spacing w:val="5"/>
        </w:rPr>
        <w:t>(RO)</w:t>
      </w:r>
    </w:p>
    <w:p w:rsidR="00D81F69" w:rsidRDefault="00D81F69">
      <w:pPr>
        <w:pStyle w:val="Corpodetexto"/>
        <w:ind w:left="0"/>
        <w:jc w:val="left"/>
        <w:rPr>
          <w:b/>
          <w:sz w:val="20"/>
        </w:rPr>
      </w:pPr>
    </w:p>
    <w:p w:rsidR="00D81F69" w:rsidRDefault="00D81F69">
      <w:pPr>
        <w:rPr>
          <w:sz w:val="20"/>
        </w:rPr>
        <w:sectPr w:rsidR="00D81F69">
          <w:pgSz w:w="11900" w:h="16840"/>
          <w:pgMar w:top="1080" w:right="46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RO - Monte Negro</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-10,2516</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-63,2872</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3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A exploração de estanho se concentra </w:t>
      </w:r>
      <w:r>
        <w:rPr>
          <w:i/>
          <w:spacing w:val="3"/>
          <w:sz w:val="16"/>
        </w:rPr>
        <w:t xml:space="preserve">no </w:t>
      </w:r>
      <w:r>
        <w:rPr>
          <w:i/>
          <w:spacing w:val="6"/>
          <w:sz w:val="16"/>
        </w:rPr>
        <w:t xml:space="preserve">distrito </w:t>
      </w:r>
      <w:r>
        <w:rPr>
          <w:i/>
          <w:spacing w:val="3"/>
          <w:sz w:val="16"/>
        </w:rPr>
        <w:t xml:space="preserve">de </w:t>
      </w:r>
      <w:r>
        <w:rPr>
          <w:i/>
          <w:spacing w:val="5"/>
          <w:sz w:val="16"/>
        </w:rPr>
        <w:t xml:space="preserve">Vila </w:t>
      </w:r>
      <w:r>
        <w:rPr>
          <w:i/>
          <w:spacing w:val="6"/>
          <w:sz w:val="16"/>
        </w:rPr>
        <w:t xml:space="preserve">Massangana </w:t>
      </w:r>
      <w:r>
        <w:rPr>
          <w:i/>
          <w:sz w:val="16"/>
        </w:rPr>
        <w:t xml:space="preserve">e a </w:t>
      </w:r>
      <w:r>
        <w:rPr>
          <w:i/>
          <w:spacing w:val="10"/>
          <w:sz w:val="16"/>
        </w:rPr>
        <w:t xml:space="preserve">região enfrenta diversos </w:t>
      </w:r>
      <w:r>
        <w:rPr>
          <w:i/>
          <w:spacing w:val="11"/>
          <w:sz w:val="16"/>
        </w:rPr>
        <w:t xml:space="preserve">impactos </w:t>
      </w:r>
      <w:r>
        <w:rPr>
          <w:i/>
          <w:sz w:val="16"/>
        </w:rPr>
        <w:t xml:space="preserve">decorrentes da falta de infraestrutura de </w:t>
      </w:r>
      <w:r>
        <w:rPr>
          <w:i/>
          <w:spacing w:val="1"/>
          <w:sz w:val="16"/>
        </w:rPr>
        <w:t xml:space="preserve">suporte </w:t>
      </w:r>
      <w:r>
        <w:rPr>
          <w:i/>
          <w:sz w:val="16"/>
        </w:rPr>
        <w:t xml:space="preserve">à </w:t>
      </w:r>
      <w:r>
        <w:rPr>
          <w:i/>
          <w:spacing w:val="1"/>
          <w:sz w:val="16"/>
        </w:rPr>
        <w:t xml:space="preserve">mineração, como </w:t>
      </w:r>
      <w:r>
        <w:rPr>
          <w:i/>
          <w:spacing w:val="2"/>
          <w:sz w:val="16"/>
        </w:rPr>
        <w:t xml:space="preserve">exposição </w:t>
      </w:r>
      <w:r>
        <w:rPr>
          <w:i/>
          <w:sz w:val="16"/>
        </w:rPr>
        <w:t xml:space="preserve">da população à contaminação ambiental e </w:t>
      </w:r>
      <w:r>
        <w:rPr>
          <w:i/>
          <w:spacing w:val="5"/>
          <w:sz w:val="16"/>
        </w:rPr>
        <w:t xml:space="preserve">problemas </w:t>
      </w:r>
      <w:r>
        <w:rPr>
          <w:i/>
          <w:spacing w:val="2"/>
          <w:sz w:val="16"/>
        </w:rPr>
        <w:t xml:space="preserve">de </w:t>
      </w:r>
      <w:r>
        <w:rPr>
          <w:i/>
          <w:spacing w:val="5"/>
          <w:sz w:val="16"/>
        </w:rPr>
        <w:t xml:space="preserve">saúde </w:t>
      </w:r>
      <w:r>
        <w:rPr>
          <w:i/>
          <w:spacing w:val="3"/>
          <w:sz w:val="16"/>
        </w:rPr>
        <w:t xml:space="preserve">dos </w:t>
      </w:r>
      <w:r>
        <w:rPr>
          <w:i/>
          <w:spacing w:val="6"/>
          <w:sz w:val="16"/>
        </w:rPr>
        <w:t xml:space="preserve">mineiros </w:t>
      </w:r>
      <w:r>
        <w:rPr>
          <w:i/>
          <w:sz w:val="16"/>
        </w:rPr>
        <w:t xml:space="preserve">decorrentes das condições de trabalho. A </w:t>
      </w:r>
      <w:r>
        <w:rPr>
          <w:i/>
          <w:spacing w:val="7"/>
          <w:sz w:val="16"/>
        </w:rPr>
        <w:t xml:space="preserve">região também enfrenta falta </w:t>
      </w:r>
      <w:r>
        <w:rPr>
          <w:i/>
          <w:spacing w:val="10"/>
          <w:sz w:val="16"/>
        </w:rPr>
        <w:t xml:space="preserve">de </w:t>
      </w:r>
      <w:r>
        <w:rPr>
          <w:i/>
          <w:sz w:val="16"/>
        </w:rPr>
        <w:t>infraestrutura urbana, educaciona</w:t>
      </w:r>
      <w:r>
        <w:rPr>
          <w:i/>
          <w:sz w:val="16"/>
        </w:rPr>
        <w:t>l e de saúde.</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3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ind w:left="135"/>
        <w:jc w:val="left"/>
      </w:pPr>
      <w:r>
        <w:t>mineradora (AZEVEDO, 2009).</w:t>
      </w:r>
    </w:p>
    <w:p w:rsidR="00D81F69" w:rsidRDefault="00D81F69">
      <w:pPr>
        <w:pStyle w:val="Corpodetexto"/>
        <w:spacing w:before="8"/>
        <w:ind w:left="0"/>
        <w:jc w:val="left"/>
        <w:rPr>
          <w:sz w:val="16"/>
        </w:rPr>
      </w:pPr>
    </w:p>
    <w:p w:rsidR="00D81F69" w:rsidRDefault="00330118">
      <w:pPr>
        <w:pStyle w:val="Corpodetexto"/>
        <w:spacing w:before="1" w:line="312" w:lineRule="auto"/>
        <w:ind w:left="135" w:right="226"/>
        <w:jc w:val="left"/>
      </w:pPr>
      <w:r>
        <w:t xml:space="preserve">O </w:t>
      </w:r>
      <w:r>
        <w:rPr>
          <w:spacing w:val="7"/>
        </w:rPr>
        <w:t xml:space="preserve">município </w:t>
      </w:r>
      <w:r>
        <w:rPr>
          <w:spacing w:val="5"/>
        </w:rPr>
        <w:t xml:space="preserve">de </w:t>
      </w:r>
      <w:r>
        <w:rPr>
          <w:spacing w:val="7"/>
        </w:rPr>
        <w:t xml:space="preserve">Monte Negro possui 1.931 </w:t>
      </w:r>
      <w:r>
        <w:rPr>
          <w:spacing w:val="5"/>
        </w:rPr>
        <w:t xml:space="preserve">km² </w:t>
      </w:r>
      <w:r>
        <w:t xml:space="preserve">e </w:t>
      </w:r>
      <w:r>
        <w:rPr>
          <w:spacing w:val="10"/>
        </w:rPr>
        <w:t xml:space="preserve">uma </w:t>
      </w:r>
      <w:r>
        <w:rPr>
          <w:spacing w:val="3"/>
        </w:rPr>
        <w:t xml:space="preserve">população </w:t>
      </w:r>
      <w:r>
        <w:rPr>
          <w:spacing w:val="1"/>
        </w:rPr>
        <w:t xml:space="preserve">de </w:t>
      </w:r>
      <w:r>
        <w:rPr>
          <w:spacing w:val="3"/>
        </w:rPr>
        <w:t xml:space="preserve">aproximadamente 14.091 habitantes </w:t>
      </w:r>
      <w:r>
        <w:rPr>
          <w:spacing w:val="5"/>
        </w:rPr>
        <w:t xml:space="preserve">(IBGE, </w:t>
      </w:r>
      <w:r>
        <w:t xml:space="preserve">2010). Vila Massangana faz parte da zona rural do município </w:t>
      </w:r>
      <w:r>
        <w:rPr>
          <w:spacing w:val="5"/>
        </w:rPr>
        <w:t xml:space="preserve">e, em </w:t>
      </w:r>
      <w:r>
        <w:rPr>
          <w:spacing w:val="7"/>
        </w:rPr>
        <w:t xml:space="preserve">2011, </w:t>
      </w:r>
      <w:r>
        <w:rPr>
          <w:spacing w:val="5"/>
        </w:rPr>
        <w:t xml:space="preserve">foi </w:t>
      </w:r>
      <w:r>
        <w:rPr>
          <w:spacing w:val="7"/>
        </w:rPr>
        <w:t xml:space="preserve">elevada </w:t>
      </w:r>
      <w:r>
        <w:t xml:space="preserve">à </w:t>
      </w:r>
      <w:r>
        <w:rPr>
          <w:spacing w:val="7"/>
        </w:rPr>
        <w:t xml:space="preserve">categoria </w:t>
      </w:r>
      <w:r>
        <w:rPr>
          <w:spacing w:val="5"/>
        </w:rPr>
        <w:t xml:space="preserve">de </w:t>
      </w:r>
      <w:r>
        <w:rPr>
          <w:spacing w:val="7"/>
        </w:rPr>
        <w:t xml:space="preserve">distrito </w:t>
      </w:r>
      <w:r>
        <w:rPr>
          <w:spacing w:val="5"/>
        </w:rPr>
        <w:t xml:space="preserve">com </w:t>
      </w:r>
      <w:r>
        <w:t xml:space="preserve">a aprovação do Projeto de Lei da Câmara Municipal de Monte Negro. É considerada uma das regiões ligadas diretamente à </w:t>
      </w:r>
      <w:r>
        <w:rPr>
          <w:spacing w:val="3"/>
        </w:rPr>
        <w:t xml:space="preserve">mineração </w:t>
      </w:r>
      <w:r>
        <w:rPr>
          <w:spacing w:val="2"/>
        </w:rPr>
        <w:t xml:space="preserve">mais </w:t>
      </w:r>
      <w:r>
        <w:rPr>
          <w:spacing w:val="3"/>
        </w:rPr>
        <w:t xml:space="preserve">dinâmicas </w:t>
      </w:r>
      <w:r>
        <w:t xml:space="preserve">e </w:t>
      </w:r>
      <w:r>
        <w:rPr>
          <w:spacing w:val="2"/>
        </w:rPr>
        <w:t xml:space="preserve">com </w:t>
      </w:r>
      <w:r>
        <w:rPr>
          <w:spacing w:val="3"/>
        </w:rPr>
        <w:t xml:space="preserve">maior </w:t>
      </w:r>
      <w:r>
        <w:rPr>
          <w:spacing w:val="5"/>
        </w:rPr>
        <w:t xml:space="preserve">desenvolvimento </w:t>
      </w:r>
      <w:r>
        <w:t xml:space="preserve">socioeconômico da Amazônia (MARINI, 2007). É o primeiro </w:t>
      </w:r>
      <w:r>
        <w:rPr>
          <w:spacing w:val="1"/>
        </w:rPr>
        <w:t xml:space="preserve">distrito </w:t>
      </w:r>
      <w:r>
        <w:t xml:space="preserve">do </w:t>
      </w:r>
      <w:r>
        <w:rPr>
          <w:spacing w:val="1"/>
        </w:rPr>
        <w:t>muni</w:t>
      </w:r>
      <w:r>
        <w:rPr>
          <w:spacing w:val="1"/>
        </w:rPr>
        <w:t xml:space="preserve">cípio </w:t>
      </w:r>
      <w:r>
        <w:t xml:space="preserve">que </w:t>
      </w:r>
      <w:r>
        <w:rPr>
          <w:spacing w:val="1"/>
        </w:rPr>
        <w:t xml:space="preserve">passou </w:t>
      </w:r>
      <w:r>
        <w:t xml:space="preserve">a </w:t>
      </w:r>
      <w:r>
        <w:rPr>
          <w:spacing w:val="1"/>
        </w:rPr>
        <w:t xml:space="preserve">possuir administrador </w:t>
      </w:r>
      <w:r>
        <w:t xml:space="preserve">e orçamento próprios vinculados à prefeitura. É também </w:t>
      </w:r>
      <w:r>
        <w:rPr>
          <w:spacing w:val="1"/>
        </w:rPr>
        <w:t xml:space="preserve">uma </w:t>
      </w:r>
      <w:r>
        <w:t>região que possui um forte setor produtivo mineral, com várias</w:t>
      </w:r>
    </w:p>
    <w:p w:rsidR="00D81F69" w:rsidRDefault="00D81F69">
      <w:pPr>
        <w:spacing w:line="312" w:lineRule="auto"/>
        <w:sectPr w:rsidR="00D81F69">
          <w:type w:val="continuous"/>
          <w:pgSz w:w="11900" w:h="16840"/>
          <w:pgMar w:top="720" w:right="460" w:bottom="280" w:left="620" w:header="720" w:footer="720" w:gutter="0"/>
          <w:cols w:num="3" w:space="720" w:equalWidth="0">
            <w:col w:w="1319" w:space="681"/>
            <w:col w:w="3117" w:space="318"/>
            <w:col w:w="5385"/>
          </w:cols>
        </w:sectPr>
      </w:pPr>
    </w:p>
    <w:p w:rsidR="00D81F69" w:rsidRDefault="00330118">
      <w:pPr>
        <w:pStyle w:val="Heading4"/>
        <w:spacing w:before="63"/>
      </w:pPr>
      <w:r>
        <w:lastRenderedPageBreak/>
        <w:t>APRESENTAÇÃO DE CASO</w:t>
      </w:r>
    </w:p>
    <w:p w:rsidR="00D81F69" w:rsidRDefault="00330118">
      <w:pPr>
        <w:pStyle w:val="Corpodetexto"/>
        <w:spacing w:before="171" w:line="312" w:lineRule="auto"/>
        <w:ind w:right="67"/>
      </w:pPr>
      <w:r>
        <w:t xml:space="preserve">O estanho é um dos mais antigos metais conhecidos pelo homem. Inicialmente, foi aplicado na manufatura de armas e ferramentas, atualmente, é amplamente utilizado na indústria por possuir características como baixo ponto de fusão e resistência à corrosão e </w:t>
      </w:r>
      <w:r>
        <w:t xml:space="preserve">oxidação (AZEVEDO, 2009). É usado para revestimento de placas metálicas e formação de ligas com outros metais como chumbo e </w:t>
      </w:r>
      <w:hyperlink r:id="rId478">
        <w:r>
          <w:t>cobre.</w:t>
        </w:r>
      </w:hyperlink>
      <w:r>
        <w:t xml:space="preserve"> É considerado relativamente escasso</w:t>
      </w:r>
      <w:r>
        <w:t>, ocorrendo muito raramente na forma isolada (RODRIGUES, 2001).</w:t>
      </w:r>
    </w:p>
    <w:p w:rsidR="00D81F69" w:rsidRDefault="00330118">
      <w:pPr>
        <w:pStyle w:val="Corpodetexto"/>
        <w:spacing w:before="138" w:line="312" w:lineRule="auto"/>
        <w:ind w:right="38"/>
      </w:pPr>
      <w:r>
        <w:t xml:space="preserve">A </w:t>
      </w:r>
      <w:r>
        <w:rPr>
          <w:spacing w:val="3"/>
        </w:rPr>
        <w:t xml:space="preserve">contaminação ambiental </w:t>
      </w:r>
      <w:r>
        <w:rPr>
          <w:spacing w:val="2"/>
        </w:rPr>
        <w:t xml:space="preserve">por </w:t>
      </w:r>
      <w:r>
        <w:rPr>
          <w:spacing w:val="3"/>
        </w:rPr>
        <w:t xml:space="preserve">estanho </w:t>
      </w:r>
      <w:r>
        <w:t xml:space="preserve">é </w:t>
      </w:r>
      <w:r>
        <w:rPr>
          <w:spacing w:val="3"/>
        </w:rPr>
        <w:t xml:space="preserve">pouco </w:t>
      </w:r>
      <w:r>
        <w:rPr>
          <w:spacing w:val="5"/>
        </w:rPr>
        <w:t xml:space="preserve">estudada, </w:t>
      </w:r>
      <w:r>
        <w:t xml:space="preserve">mas a preocupação com o efeito tóxico desse metal vem de </w:t>
      </w:r>
      <w:r>
        <w:rPr>
          <w:spacing w:val="7"/>
        </w:rPr>
        <w:t xml:space="preserve">longa data. </w:t>
      </w:r>
      <w:r>
        <w:t xml:space="preserve">O </w:t>
      </w:r>
      <w:r>
        <w:rPr>
          <w:spacing w:val="8"/>
        </w:rPr>
        <w:t xml:space="preserve">estanho </w:t>
      </w:r>
      <w:r>
        <w:t xml:space="preserve">e </w:t>
      </w:r>
      <w:r>
        <w:rPr>
          <w:spacing w:val="7"/>
        </w:rPr>
        <w:t xml:space="preserve">seus </w:t>
      </w:r>
      <w:r>
        <w:rPr>
          <w:spacing w:val="8"/>
        </w:rPr>
        <w:t xml:space="preserve">compostos entram </w:t>
      </w:r>
      <w:r>
        <w:rPr>
          <w:spacing w:val="10"/>
        </w:rPr>
        <w:t xml:space="preserve">no </w:t>
      </w:r>
      <w:r>
        <w:rPr>
          <w:spacing w:val="1"/>
        </w:rPr>
        <w:t xml:space="preserve">organismo </w:t>
      </w:r>
      <w:r>
        <w:t xml:space="preserve">por </w:t>
      </w:r>
      <w:r>
        <w:rPr>
          <w:spacing w:val="1"/>
        </w:rPr>
        <w:t xml:space="preserve">inalação </w:t>
      </w:r>
      <w:r>
        <w:t xml:space="preserve">ou </w:t>
      </w:r>
      <w:r>
        <w:rPr>
          <w:spacing w:val="1"/>
        </w:rPr>
        <w:t>inges</w:t>
      </w:r>
      <w:r>
        <w:rPr>
          <w:spacing w:val="1"/>
        </w:rPr>
        <w:t xml:space="preserve">tão, rota predominante </w:t>
      </w:r>
      <w:r>
        <w:rPr>
          <w:spacing w:val="2"/>
        </w:rPr>
        <w:t xml:space="preserve">na </w:t>
      </w:r>
      <w:r>
        <w:t xml:space="preserve">população em geral. A exposição alimentar pode ser oriunda </w:t>
      </w:r>
      <w:r>
        <w:rPr>
          <w:spacing w:val="3"/>
        </w:rPr>
        <w:t xml:space="preserve">de </w:t>
      </w:r>
      <w:r>
        <w:rPr>
          <w:spacing w:val="5"/>
        </w:rPr>
        <w:t xml:space="preserve">consumo </w:t>
      </w:r>
      <w:r>
        <w:rPr>
          <w:spacing w:val="3"/>
        </w:rPr>
        <w:t xml:space="preserve">de </w:t>
      </w:r>
      <w:r>
        <w:rPr>
          <w:spacing w:val="5"/>
        </w:rPr>
        <w:t xml:space="preserve">carne </w:t>
      </w:r>
      <w:r>
        <w:t xml:space="preserve">e </w:t>
      </w:r>
      <w:r>
        <w:rPr>
          <w:spacing w:val="5"/>
        </w:rPr>
        <w:t xml:space="preserve">peixes </w:t>
      </w:r>
      <w:r>
        <w:rPr>
          <w:spacing w:val="6"/>
        </w:rPr>
        <w:t xml:space="preserve">contaminados. </w:t>
      </w:r>
      <w:r>
        <w:rPr>
          <w:spacing w:val="7"/>
        </w:rPr>
        <w:t xml:space="preserve">Estudos </w:t>
      </w:r>
      <w:r>
        <w:rPr>
          <w:spacing w:val="5"/>
        </w:rPr>
        <w:t xml:space="preserve">relacionando </w:t>
      </w:r>
      <w:r>
        <w:t xml:space="preserve">o </w:t>
      </w:r>
      <w:r>
        <w:rPr>
          <w:spacing w:val="5"/>
        </w:rPr>
        <w:t xml:space="preserve">estanho </w:t>
      </w:r>
      <w:r>
        <w:t xml:space="preserve">à </w:t>
      </w:r>
      <w:r>
        <w:rPr>
          <w:spacing w:val="3"/>
        </w:rPr>
        <w:t xml:space="preserve">saúde </w:t>
      </w:r>
      <w:r>
        <w:rPr>
          <w:spacing w:val="5"/>
        </w:rPr>
        <w:t xml:space="preserve">humana </w:t>
      </w:r>
      <w:r>
        <w:rPr>
          <w:spacing w:val="3"/>
        </w:rPr>
        <w:t xml:space="preserve">são </w:t>
      </w:r>
      <w:r>
        <w:rPr>
          <w:spacing w:val="5"/>
        </w:rPr>
        <w:t>incipientes</w:t>
      </w:r>
      <w:r>
        <w:rPr>
          <w:spacing w:val="61"/>
        </w:rPr>
        <w:t xml:space="preserve"> </w:t>
      </w:r>
      <w:r>
        <w:t xml:space="preserve">devido à escassez de experimentos em fluidos biológicos de interesse, como sangue e urina. A exposição ao estanho pode </w:t>
      </w:r>
      <w:r>
        <w:rPr>
          <w:spacing w:val="10"/>
        </w:rPr>
        <w:t xml:space="preserve">produzir diversos efeitos </w:t>
      </w:r>
      <w:r>
        <w:rPr>
          <w:spacing w:val="7"/>
        </w:rPr>
        <w:t xml:space="preserve">nos </w:t>
      </w:r>
      <w:r>
        <w:rPr>
          <w:spacing w:val="10"/>
        </w:rPr>
        <w:t xml:space="preserve">sistemas </w:t>
      </w:r>
      <w:r>
        <w:rPr>
          <w:spacing w:val="12"/>
        </w:rPr>
        <w:t xml:space="preserve">neurológico, </w:t>
      </w:r>
      <w:r>
        <w:t>hematológico e imunológico, além de causar danos ao fígado e aos rins, entre outros ó</w:t>
      </w:r>
      <w:r>
        <w:t>rgãos (AZEVEDO,</w:t>
      </w:r>
      <w:r>
        <w:rPr>
          <w:spacing w:val="43"/>
        </w:rPr>
        <w:t xml:space="preserve"> </w:t>
      </w:r>
      <w:r>
        <w:t>2009).</w:t>
      </w:r>
    </w:p>
    <w:p w:rsidR="00D81F69" w:rsidRDefault="00330118">
      <w:pPr>
        <w:pStyle w:val="Corpodetexto"/>
        <w:spacing w:before="141" w:line="312" w:lineRule="auto"/>
        <w:ind w:right="51"/>
      </w:pPr>
      <w:r>
        <w:t>As primeiras reservas brasileiras foram localizadas na região Amazônica, principalmente na Província Mineral do Mapuera. Contudo, a produção de estanho no Brasil mudou de origem e o estado de Rondônia tornou-se o principal produtor c</w:t>
      </w:r>
      <w:r>
        <w:t>om a descoberta da Província Estanífera, que está localizada na região central do estado, distante cerca de 220 km da capital Porto Velho, ao sul (SOUZA; PONTES; MOURA, 2003).</w:t>
      </w:r>
    </w:p>
    <w:p w:rsidR="00D81F69" w:rsidRDefault="00330118">
      <w:pPr>
        <w:pStyle w:val="Corpodetexto"/>
        <w:spacing w:before="137" w:line="312" w:lineRule="auto"/>
        <w:ind w:right="57"/>
      </w:pPr>
      <w:r>
        <w:t xml:space="preserve">Em 1952, pequenas empresas de mineração iniciaram a construção de assentamentos </w:t>
      </w:r>
      <w:r>
        <w:t>em Rondônia, entre eles está o de Vila Massangana no município de Monte Negro, construído pela Mineração Taboca S.A. O local está situado no complexo granítico estanífero de Massangana que abriga importantes depósitos de estanho. Por cerca de 40 anos, Vila</w:t>
      </w:r>
      <w:r>
        <w:t xml:space="preserve"> Massangana foi parte de um cenário de intensa atividade</w:t>
      </w:r>
    </w:p>
    <w:p w:rsidR="00D81F69" w:rsidRDefault="00330118">
      <w:pPr>
        <w:pStyle w:val="Corpodetexto"/>
        <w:spacing w:before="10" w:line="312" w:lineRule="auto"/>
        <w:ind w:right="255"/>
      </w:pPr>
      <w:r>
        <w:br w:type="column"/>
      </w:r>
      <w:r>
        <w:lastRenderedPageBreak/>
        <w:t>empresas trabalhando na extração de minérios (RONDÔNIA MANCHETE, 2011a; RONDÔNIA MANCHETE, 2011b).</w:t>
      </w:r>
    </w:p>
    <w:p w:rsidR="00D81F69" w:rsidRDefault="00330118">
      <w:pPr>
        <w:pStyle w:val="Corpodetexto"/>
        <w:spacing w:before="132" w:line="312" w:lineRule="auto"/>
        <w:ind w:right="243"/>
      </w:pPr>
      <w:r>
        <w:rPr>
          <w:spacing w:val="1"/>
        </w:rPr>
        <w:t xml:space="preserve">Atualmente, </w:t>
      </w:r>
      <w:r>
        <w:t xml:space="preserve">a </w:t>
      </w:r>
      <w:r>
        <w:rPr>
          <w:spacing w:val="1"/>
        </w:rPr>
        <w:t xml:space="preserve">mineração </w:t>
      </w:r>
      <w:r>
        <w:t xml:space="preserve">em </w:t>
      </w:r>
      <w:r>
        <w:rPr>
          <w:spacing w:val="1"/>
        </w:rPr>
        <w:t xml:space="preserve">Vila Massangana </w:t>
      </w:r>
      <w:r>
        <w:t xml:space="preserve">é </w:t>
      </w:r>
      <w:r>
        <w:rPr>
          <w:spacing w:val="1"/>
        </w:rPr>
        <w:t xml:space="preserve">feita </w:t>
      </w:r>
      <w:r>
        <w:rPr>
          <w:spacing w:val="2"/>
        </w:rPr>
        <w:t xml:space="preserve">pela </w:t>
      </w:r>
      <w:r>
        <w:t>Cooperativa Estanífera de Mineradores da Am</w:t>
      </w:r>
      <w:r>
        <w:t xml:space="preserve">azônia Legal (Cemal). A cooperativa tem sua base operacional na mina de </w:t>
      </w:r>
      <w:r>
        <w:rPr>
          <w:spacing w:val="8"/>
        </w:rPr>
        <w:t xml:space="preserve">Massangana, </w:t>
      </w:r>
      <w:r>
        <w:rPr>
          <w:spacing w:val="7"/>
        </w:rPr>
        <w:t xml:space="preserve">agregando diversas frentes </w:t>
      </w:r>
      <w:r>
        <w:rPr>
          <w:spacing w:val="5"/>
        </w:rPr>
        <w:t xml:space="preserve">de </w:t>
      </w:r>
      <w:r>
        <w:rPr>
          <w:spacing w:val="7"/>
        </w:rPr>
        <w:t xml:space="preserve">lavra </w:t>
      </w:r>
      <w:r>
        <w:rPr>
          <w:spacing w:val="10"/>
        </w:rPr>
        <w:t xml:space="preserve">no </w:t>
      </w:r>
      <w:r>
        <w:t xml:space="preserve">município de Monte Negro (LIMA, 2009). Segundo o Sumário Mineral Brasileiro de 2007, Massangana respondia por 12% </w:t>
      </w:r>
      <w:r>
        <w:rPr>
          <w:spacing w:val="5"/>
        </w:rPr>
        <w:t xml:space="preserve">da </w:t>
      </w:r>
      <w:r>
        <w:rPr>
          <w:spacing w:val="10"/>
        </w:rPr>
        <w:t xml:space="preserve">produção </w:t>
      </w:r>
      <w:r>
        <w:rPr>
          <w:spacing w:val="5"/>
        </w:rPr>
        <w:t xml:space="preserve">do </w:t>
      </w:r>
      <w:r>
        <w:rPr>
          <w:spacing w:val="10"/>
        </w:rPr>
        <w:t>Parq</w:t>
      </w:r>
      <w:r>
        <w:rPr>
          <w:spacing w:val="10"/>
        </w:rPr>
        <w:t xml:space="preserve">ue </w:t>
      </w:r>
      <w:r>
        <w:rPr>
          <w:spacing w:val="11"/>
        </w:rPr>
        <w:t xml:space="preserve">Minero-Estanífero </w:t>
      </w:r>
      <w:r>
        <w:rPr>
          <w:spacing w:val="12"/>
        </w:rPr>
        <w:t xml:space="preserve">Nacional </w:t>
      </w:r>
      <w:r>
        <w:rPr>
          <w:spacing w:val="5"/>
        </w:rPr>
        <w:t xml:space="preserve">(AZEVEDO, 2009). </w:t>
      </w:r>
      <w:r>
        <w:t xml:space="preserve">A </w:t>
      </w:r>
      <w:r>
        <w:rPr>
          <w:spacing w:val="5"/>
        </w:rPr>
        <w:t xml:space="preserve">Cemal também </w:t>
      </w:r>
      <w:r>
        <w:rPr>
          <w:spacing w:val="3"/>
        </w:rPr>
        <w:t xml:space="preserve">tem uma </w:t>
      </w:r>
      <w:r>
        <w:rPr>
          <w:spacing w:val="6"/>
        </w:rPr>
        <w:t xml:space="preserve">fundição </w:t>
      </w:r>
      <w:r>
        <w:t xml:space="preserve">própria — a Cooperativa dos Fundidores de Cassiterita (CFC) da Amazônia — que absorve a quase totalidade da produção </w:t>
      </w:r>
      <w:r>
        <w:rPr>
          <w:spacing w:val="1"/>
        </w:rPr>
        <w:t xml:space="preserve">da </w:t>
      </w:r>
      <w:r>
        <w:rPr>
          <w:spacing w:val="3"/>
        </w:rPr>
        <w:t xml:space="preserve">cooperativa </w:t>
      </w:r>
      <w:r>
        <w:rPr>
          <w:spacing w:val="2"/>
        </w:rPr>
        <w:t xml:space="preserve">dos </w:t>
      </w:r>
      <w:r>
        <w:rPr>
          <w:spacing w:val="3"/>
        </w:rPr>
        <w:t xml:space="preserve">mineradores. </w:t>
      </w:r>
      <w:r>
        <w:rPr>
          <w:spacing w:val="1"/>
        </w:rPr>
        <w:t xml:space="preserve">Em </w:t>
      </w:r>
      <w:r>
        <w:rPr>
          <w:spacing w:val="3"/>
        </w:rPr>
        <w:t xml:space="preserve">2009, </w:t>
      </w:r>
      <w:r>
        <w:t xml:space="preserve">a </w:t>
      </w:r>
      <w:r>
        <w:rPr>
          <w:spacing w:val="5"/>
        </w:rPr>
        <w:t xml:space="preserve">cooperativa </w:t>
      </w:r>
      <w:r>
        <w:t>ocupo</w:t>
      </w:r>
      <w:r>
        <w:t>u a terceira posição entre os mineradores de estanho  do país (LIMA,</w:t>
      </w:r>
      <w:r>
        <w:rPr>
          <w:spacing w:val="42"/>
        </w:rPr>
        <w:t xml:space="preserve"> </w:t>
      </w:r>
      <w:r>
        <w:rPr>
          <w:spacing w:val="1"/>
        </w:rPr>
        <w:t>2009).</w:t>
      </w:r>
    </w:p>
    <w:p w:rsidR="00D81F69" w:rsidRDefault="00330118">
      <w:pPr>
        <w:pStyle w:val="Corpodetexto"/>
        <w:spacing w:before="142" w:line="312" w:lineRule="auto"/>
        <w:ind w:right="229"/>
      </w:pPr>
      <w:r>
        <w:t>A mina é a céu aberto, e os trabalhadores sofrem com lesões devido à exposição excessiva ao sol, postura inadequada, esforço físico excessivo e ruídos oriundos dos maquinários rela</w:t>
      </w:r>
      <w:r>
        <w:t>cionados aos processos do garimpo. Nesse ambiente, a população residente se expõe frequentemente a doenças infecciosas e parasitárias como: leishmaniose, cólera e, principalmente, malária. A exposição às doenças ocorre em função da ingestão de água contami</w:t>
      </w:r>
      <w:r>
        <w:t>nada oriunda de poços ou por meio de contato direto, pois os trabalhadores utilizam a água para desmoronar os barrancos e, assim, possibilitar a extração do metal. Há também acidentes com os trabalhadores devido às longas jornadas de trabalho e ao curto pe</w:t>
      </w:r>
      <w:r>
        <w:t>ríodo de descanso semanal. Esses trabalhadores não têm vínculo empregatício, contam com baixa remuneração e se alimentam de maneira inadequada (AZEVEDO, 2009).</w:t>
      </w:r>
    </w:p>
    <w:p w:rsidR="00D81F69" w:rsidRDefault="00330118">
      <w:pPr>
        <w:pStyle w:val="Corpodetexto"/>
        <w:spacing w:before="80" w:line="270" w:lineRule="atLeast"/>
        <w:ind w:right="231"/>
      </w:pPr>
      <w:r>
        <w:t xml:space="preserve">Os efeitos negativos para a saúde são potencializados devido às más condições de vida oferecida </w:t>
      </w:r>
      <w:r>
        <w:t>aos moradores de Vila Massangana (RONDÔNIA MANCHETE, 2011b). O distrito possui uma infraestrutura precária, com a existência de moradias improvisadas com folhas de babaçu e plásticos. Não possui saneamento básico (coleta de lixo, rede de água e esgoto), tr</w:t>
      </w:r>
      <w:r>
        <w:t>ansporte coletivo ou pavimentação nas ruas. A</w:t>
      </w:r>
    </w:p>
    <w:p w:rsidR="00D81F69" w:rsidRDefault="00D81F69">
      <w:pPr>
        <w:spacing w:line="270" w:lineRule="atLeast"/>
        <w:sectPr w:rsidR="00D81F69">
          <w:type w:val="continuous"/>
          <w:pgSz w:w="11900" w:h="16840"/>
          <w:pgMar w:top="720" w:right="460" w:bottom="280" w:left="620" w:header="720" w:footer="720" w:gutter="0"/>
          <w:cols w:num="2" w:space="720" w:equalWidth="0">
            <w:col w:w="5166" w:space="304"/>
            <w:col w:w="5350"/>
          </w:cols>
        </w:sectPr>
      </w:pPr>
    </w:p>
    <w:p w:rsidR="00D81F69" w:rsidRDefault="00330118">
      <w:pPr>
        <w:pStyle w:val="Corpodetexto"/>
        <w:spacing w:before="81" w:line="312" w:lineRule="auto"/>
        <w:ind w:right="47"/>
      </w:pPr>
      <w:r>
        <w:rPr>
          <w:spacing w:val="8"/>
        </w:rPr>
        <w:lastRenderedPageBreak/>
        <w:t xml:space="preserve">escola existente </w:t>
      </w:r>
      <w:r>
        <w:rPr>
          <w:spacing w:val="5"/>
        </w:rPr>
        <w:t xml:space="preserve">se </w:t>
      </w:r>
      <w:r>
        <w:rPr>
          <w:spacing w:val="8"/>
        </w:rPr>
        <w:t xml:space="preserve">encontra </w:t>
      </w:r>
      <w:r>
        <w:rPr>
          <w:spacing w:val="5"/>
        </w:rPr>
        <w:t xml:space="preserve">em </w:t>
      </w:r>
      <w:r>
        <w:rPr>
          <w:spacing w:val="8"/>
        </w:rPr>
        <w:t xml:space="preserve">péssimo estado </w:t>
      </w:r>
      <w:r>
        <w:rPr>
          <w:spacing w:val="10"/>
        </w:rPr>
        <w:t xml:space="preserve">de </w:t>
      </w:r>
      <w:r>
        <w:t xml:space="preserve">conservação. Ainda, segundo relatos de moradores, o posto de saúde do distrito não funciona todos os dias e os recursos </w:t>
      </w:r>
      <w:r>
        <w:rPr>
          <w:spacing w:val="10"/>
        </w:rPr>
        <w:t>disponibiliza</w:t>
      </w:r>
      <w:r>
        <w:rPr>
          <w:spacing w:val="10"/>
        </w:rPr>
        <w:t xml:space="preserve">dos </w:t>
      </w:r>
      <w:r>
        <w:rPr>
          <w:spacing w:val="7"/>
        </w:rPr>
        <w:t xml:space="preserve">são </w:t>
      </w:r>
      <w:r>
        <w:rPr>
          <w:spacing w:val="10"/>
        </w:rPr>
        <w:t xml:space="preserve">ruins, havendo necessidade </w:t>
      </w:r>
      <w:r>
        <w:rPr>
          <w:spacing w:val="11"/>
        </w:rPr>
        <w:t xml:space="preserve">de </w:t>
      </w:r>
      <w:r>
        <w:rPr>
          <w:spacing w:val="10"/>
        </w:rPr>
        <w:t xml:space="preserve">deslocamento </w:t>
      </w:r>
      <w:r>
        <w:rPr>
          <w:spacing w:val="5"/>
        </w:rPr>
        <w:t xml:space="preserve">em </w:t>
      </w:r>
      <w:r>
        <w:rPr>
          <w:spacing w:val="10"/>
        </w:rPr>
        <w:t xml:space="preserve">busca </w:t>
      </w:r>
      <w:r>
        <w:rPr>
          <w:spacing w:val="5"/>
        </w:rPr>
        <w:t xml:space="preserve">de um </w:t>
      </w:r>
      <w:r>
        <w:rPr>
          <w:spacing w:val="10"/>
        </w:rPr>
        <w:t xml:space="preserve">melhor </w:t>
      </w:r>
      <w:r>
        <w:rPr>
          <w:spacing w:val="12"/>
        </w:rPr>
        <w:t xml:space="preserve">atendimento </w:t>
      </w:r>
      <w:r>
        <w:rPr>
          <w:spacing w:val="10"/>
        </w:rPr>
        <w:t>(AZEVEDO,</w:t>
      </w:r>
      <w:r>
        <w:rPr>
          <w:spacing w:val="62"/>
        </w:rPr>
        <w:t xml:space="preserve"> </w:t>
      </w:r>
      <w:r>
        <w:rPr>
          <w:spacing w:val="12"/>
        </w:rPr>
        <w:t>2009).</w:t>
      </w:r>
    </w:p>
    <w:p w:rsidR="00D81F69" w:rsidRDefault="00330118">
      <w:pPr>
        <w:pStyle w:val="Corpodetexto"/>
        <w:spacing w:before="135" w:line="312" w:lineRule="auto"/>
        <w:ind w:right="38"/>
      </w:pPr>
      <w:r>
        <w:t xml:space="preserve">Outro problema enfrentado no distrito é a questão fundiária. Há relatos de que a Cemal já invadiu terras, com a introdução de maquinários e veículos utilizados na extração de minério, e </w:t>
      </w:r>
      <w:r>
        <w:rPr>
          <w:spacing w:val="2"/>
        </w:rPr>
        <w:t xml:space="preserve">de </w:t>
      </w:r>
      <w:r>
        <w:rPr>
          <w:spacing w:val="3"/>
        </w:rPr>
        <w:t xml:space="preserve">que </w:t>
      </w:r>
      <w:r>
        <w:rPr>
          <w:spacing w:val="5"/>
        </w:rPr>
        <w:t xml:space="preserve">desviou </w:t>
      </w:r>
      <w:r>
        <w:t xml:space="preserve">o </w:t>
      </w:r>
      <w:r>
        <w:rPr>
          <w:spacing w:val="5"/>
        </w:rPr>
        <w:t xml:space="preserve">curso </w:t>
      </w:r>
      <w:r>
        <w:rPr>
          <w:spacing w:val="2"/>
        </w:rPr>
        <w:t xml:space="preserve">de </w:t>
      </w:r>
      <w:r>
        <w:rPr>
          <w:spacing w:val="5"/>
        </w:rPr>
        <w:t xml:space="preserve">córregos </w:t>
      </w:r>
      <w:r>
        <w:rPr>
          <w:spacing w:val="3"/>
        </w:rPr>
        <w:t xml:space="preserve">sem </w:t>
      </w:r>
      <w:r>
        <w:rPr>
          <w:spacing w:val="6"/>
        </w:rPr>
        <w:t xml:space="preserve">planejamento </w:t>
      </w:r>
      <w:r>
        <w:t>ambiental</w:t>
      </w:r>
      <w:r>
        <w:rPr>
          <w:spacing w:val="28"/>
        </w:rPr>
        <w:t xml:space="preserve"> </w:t>
      </w:r>
      <w:r>
        <w:t>(TRIBUNA</w:t>
      </w:r>
      <w:r>
        <w:t>L</w:t>
      </w:r>
      <w:r>
        <w:rPr>
          <w:spacing w:val="28"/>
        </w:rPr>
        <w:t xml:space="preserve"> </w:t>
      </w:r>
      <w:r>
        <w:t>DE</w:t>
      </w:r>
      <w:r>
        <w:rPr>
          <w:spacing w:val="28"/>
        </w:rPr>
        <w:t xml:space="preserve"> </w:t>
      </w:r>
      <w:r>
        <w:t>JUSTIÇA</w:t>
      </w:r>
      <w:r>
        <w:rPr>
          <w:spacing w:val="28"/>
        </w:rPr>
        <w:t xml:space="preserve"> </w:t>
      </w:r>
      <w:r>
        <w:t>DE</w:t>
      </w:r>
      <w:r>
        <w:rPr>
          <w:spacing w:val="28"/>
        </w:rPr>
        <w:t xml:space="preserve"> </w:t>
      </w:r>
      <w:r>
        <w:t>RONDÔNIA,</w:t>
      </w:r>
      <w:r>
        <w:rPr>
          <w:spacing w:val="28"/>
        </w:rPr>
        <w:t xml:space="preserve"> </w:t>
      </w:r>
      <w:r>
        <w:rPr>
          <w:spacing w:val="1"/>
        </w:rPr>
        <w:t>2010).</w:t>
      </w:r>
    </w:p>
    <w:p w:rsidR="00D81F69" w:rsidRDefault="00330118">
      <w:pPr>
        <w:pStyle w:val="Corpodetexto"/>
        <w:spacing w:before="5" w:line="312" w:lineRule="auto"/>
        <w:ind w:right="39"/>
      </w:pPr>
      <w:r>
        <w:t>Além disso, o acesso ao distrito é dificultado pelo fato de a localidade ser rodeada por rios, o que faz com que o local fique isolado quando ocorrem chuvas intensas, prejudicando os produtores rurais no escoamento de sua p</w:t>
      </w:r>
      <w:r>
        <w:t>rodução e a locomoção da população (RONDÔNIA MANCHETE, 2011a).</w:t>
      </w:r>
    </w:p>
    <w:p w:rsidR="00D81F69" w:rsidRDefault="00330118">
      <w:pPr>
        <w:pStyle w:val="Corpodetexto"/>
        <w:spacing w:before="135" w:line="312" w:lineRule="auto"/>
        <w:ind w:right="48"/>
      </w:pPr>
      <w:r>
        <w:t>Os residentes da Vila Massangana também sofrem com a exposição ao estanho. Uma pesquisa, feita em 2009, sobre os níveis de exposição da população de Vila Massangana aponta que o aumento dos níveis desse metal no sangue e na urina da população é consequênci</w:t>
      </w:r>
      <w:r>
        <w:t>a do processo de mineração, pois, além da ocorrência natural do estanho, há uma indústria de beneficiamento do minério no distrito (AZEVEDO, 2009).</w:t>
      </w:r>
    </w:p>
    <w:p w:rsidR="00D81F69" w:rsidRDefault="00330118">
      <w:pPr>
        <w:pStyle w:val="Corpodetexto"/>
        <w:spacing w:before="137" w:line="312" w:lineRule="auto"/>
        <w:ind w:right="38"/>
      </w:pPr>
      <w:r>
        <w:t>Ações de vigilância epidemiológica e implantação de programas de saúde pública são apontadas como fundamenta</w:t>
      </w:r>
      <w:r>
        <w:t>is para melhoria das condições de saúde desta população, uma vez que a exposição ao estanho não é o único problema existente em Vila Massangana (AZEVEDO, 2009).</w:t>
      </w:r>
    </w:p>
    <w:p w:rsidR="00D81F69" w:rsidRDefault="00D81F69">
      <w:pPr>
        <w:pStyle w:val="Corpodetexto"/>
        <w:spacing w:before="5"/>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55"/>
      </w:pPr>
      <w:r>
        <w:t>O município de Monte Negro (latitude 10°15’06”S e longitude 63°17’14”W)</w:t>
      </w:r>
      <w:r>
        <w:t xml:space="preserve"> corresponde à área impactada por conta da exploração do estanho no estado de Rondônia.</w:t>
      </w:r>
    </w:p>
    <w:p w:rsidR="00D81F69" w:rsidRDefault="00D81F69">
      <w:pPr>
        <w:pStyle w:val="Corpodetexto"/>
        <w:ind w:left="0"/>
        <w:jc w:val="left"/>
        <w:rPr>
          <w:sz w:val="29"/>
        </w:rPr>
      </w:pPr>
    </w:p>
    <w:p w:rsidR="00D81F69" w:rsidRDefault="00330118">
      <w:pPr>
        <w:pStyle w:val="Heading7"/>
        <w:spacing w:before="1"/>
      </w:pPr>
      <w:r>
        <w:t>REDATORES</w:t>
      </w:r>
    </w:p>
    <w:p w:rsidR="00D81F69" w:rsidRDefault="00330118">
      <w:pPr>
        <w:pStyle w:val="Corpodetexto"/>
        <w:spacing w:before="178"/>
      </w:pPr>
      <w:r>
        <w:t>Keila Valente de Souza</w:t>
      </w:r>
    </w:p>
    <w:p w:rsidR="00D81F69" w:rsidRDefault="00D81F69">
      <w:pPr>
        <w:pStyle w:val="Corpodetexto"/>
        <w:ind w:left="0"/>
        <w:jc w:val="left"/>
        <w:rPr>
          <w:sz w:val="20"/>
        </w:rPr>
      </w:pPr>
    </w:p>
    <w:p w:rsidR="00D81F69" w:rsidRDefault="00330118">
      <w:pPr>
        <w:pStyle w:val="Heading7"/>
        <w:spacing w:before="165"/>
      </w:pPr>
      <w:r>
        <w:t>REFERÊNCIAS BIBLIOGRÁFICAS</w:t>
      </w:r>
    </w:p>
    <w:p w:rsidR="00D81F69" w:rsidRDefault="00330118">
      <w:pPr>
        <w:spacing w:before="187" w:line="312" w:lineRule="auto"/>
        <w:ind w:left="100" w:right="59"/>
        <w:jc w:val="both"/>
        <w:rPr>
          <w:sz w:val="16"/>
        </w:rPr>
      </w:pPr>
      <w:r>
        <w:rPr>
          <w:sz w:val="16"/>
        </w:rPr>
        <w:t>AZEVEDO, Sayonara Vieira de. Determinação dos níveis de estanho em fluidos biológicos de população exposta</w:t>
      </w:r>
      <w:r>
        <w:rPr>
          <w:sz w:val="16"/>
        </w:rPr>
        <w:t xml:space="preserve"> ambientalmente na Vila Massangana, 2009, 98 f.</w:t>
      </w:r>
    </w:p>
    <w:p w:rsidR="00D81F69" w:rsidRDefault="00330118">
      <w:pPr>
        <w:tabs>
          <w:tab w:val="left" w:pos="4331"/>
        </w:tabs>
        <w:spacing w:before="70" w:line="312" w:lineRule="auto"/>
        <w:ind w:left="100" w:right="233"/>
        <w:jc w:val="both"/>
        <w:rPr>
          <w:sz w:val="16"/>
        </w:rPr>
      </w:pPr>
      <w:r>
        <w:br w:type="column"/>
      </w:r>
      <w:r>
        <w:rPr>
          <w:spacing w:val="3"/>
          <w:sz w:val="16"/>
        </w:rPr>
        <w:lastRenderedPageBreak/>
        <w:t xml:space="preserve">Dissertação (Mestrado </w:t>
      </w:r>
      <w:r>
        <w:rPr>
          <w:spacing w:val="1"/>
          <w:sz w:val="16"/>
        </w:rPr>
        <w:t xml:space="preserve">em </w:t>
      </w:r>
      <w:r>
        <w:rPr>
          <w:spacing w:val="3"/>
          <w:sz w:val="16"/>
        </w:rPr>
        <w:t xml:space="preserve">Ciências </w:t>
      </w:r>
      <w:r>
        <w:rPr>
          <w:spacing w:val="1"/>
          <w:sz w:val="16"/>
        </w:rPr>
        <w:t xml:space="preserve">na </w:t>
      </w:r>
      <w:r>
        <w:rPr>
          <w:spacing w:val="2"/>
          <w:sz w:val="16"/>
        </w:rPr>
        <w:t xml:space="preserve">Área </w:t>
      </w:r>
      <w:r>
        <w:rPr>
          <w:spacing w:val="1"/>
          <w:sz w:val="16"/>
        </w:rPr>
        <w:t xml:space="preserve">de </w:t>
      </w:r>
      <w:r>
        <w:rPr>
          <w:spacing w:val="3"/>
          <w:sz w:val="16"/>
        </w:rPr>
        <w:t xml:space="preserve">Saúde </w:t>
      </w:r>
      <w:r>
        <w:rPr>
          <w:spacing w:val="5"/>
          <w:sz w:val="16"/>
        </w:rPr>
        <w:t xml:space="preserve">Pública), </w:t>
      </w:r>
      <w:r>
        <w:rPr>
          <w:sz w:val="16"/>
        </w:rPr>
        <w:t xml:space="preserve">Escola Nacional de Saúde Pública/ Fiocruz, Rio de Janeiro, 2009.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ind w:left="100"/>
        <w:rPr>
          <w:sz w:val="16"/>
        </w:rPr>
      </w:pPr>
      <w:hyperlink r:id="rId479">
        <w:r w:rsidR="00330118">
          <w:rPr>
            <w:sz w:val="16"/>
          </w:rPr>
          <w:t>&lt;http://www.arca.fiocruz.br/bitstream/icict/2426/1/ENSP_Disserta%C3</w:t>
        </w:r>
      </w:hyperlink>
    </w:p>
    <w:p w:rsidR="00D81F69" w:rsidRDefault="00330118">
      <w:pPr>
        <w:spacing w:before="56" w:line="312" w:lineRule="auto"/>
        <w:ind w:left="100" w:right="238"/>
        <w:jc w:val="both"/>
        <w:rPr>
          <w:sz w:val="16"/>
        </w:rPr>
      </w:pPr>
      <w:r>
        <w:rPr>
          <w:sz w:val="16"/>
        </w:rPr>
        <w:t>%A7%C3%A3o_Azevedo_Sayonara_Vieira.pdf&gt;. Acesso em: 13 dez. 2011.</w:t>
      </w:r>
    </w:p>
    <w:p w:rsidR="00D81F69" w:rsidRDefault="00330118">
      <w:pPr>
        <w:spacing w:before="2" w:line="312" w:lineRule="auto"/>
        <w:ind w:left="100" w:right="213"/>
        <w:jc w:val="both"/>
        <w:rPr>
          <w:sz w:val="16"/>
        </w:rPr>
      </w:pPr>
      <w:r>
        <w:rPr>
          <w:spacing w:val="1"/>
          <w:sz w:val="16"/>
        </w:rPr>
        <w:t xml:space="preserve">IBGE, Instituto Brasileiro </w:t>
      </w:r>
      <w:r>
        <w:rPr>
          <w:sz w:val="16"/>
        </w:rPr>
        <w:t xml:space="preserve">de </w:t>
      </w:r>
      <w:r>
        <w:rPr>
          <w:spacing w:val="1"/>
          <w:sz w:val="16"/>
        </w:rPr>
        <w:t xml:space="preserve">Geografia </w:t>
      </w:r>
      <w:r>
        <w:rPr>
          <w:sz w:val="16"/>
        </w:rPr>
        <w:t xml:space="preserve">e </w:t>
      </w:r>
      <w:r>
        <w:rPr>
          <w:spacing w:val="1"/>
          <w:sz w:val="16"/>
        </w:rPr>
        <w:t xml:space="preserve">Estatística. Monte </w:t>
      </w:r>
      <w:r>
        <w:rPr>
          <w:spacing w:val="2"/>
          <w:sz w:val="16"/>
        </w:rPr>
        <w:t xml:space="preserve">Negro </w:t>
      </w:r>
      <w:r>
        <w:rPr>
          <w:spacing w:val="23"/>
          <w:sz w:val="16"/>
        </w:rPr>
        <w:t xml:space="preserve">(RO). </w:t>
      </w:r>
      <w:r>
        <w:rPr>
          <w:spacing w:val="20"/>
          <w:sz w:val="16"/>
        </w:rPr>
        <w:t xml:space="preserve">In: </w:t>
      </w:r>
      <w:r>
        <w:rPr>
          <w:spacing w:val="21"/>
          <w:sz w:val="16"/>
        </w:rPr>
        <w:t xml:space="preserve">IBGE </w:t>
      </w:r>
      <w:r>
        <w:rPr>
          <w:spacing w:val="25"/>
          <w:sz w:val="16"/>
        </w:rPr>
        <w:t>Cidades.</w:t>
      </w:r>
      <w:r>
        <w:rPr>
          <w:spacing w:val="95"/>
          <w:sz w:val="16"/>
        </w:rPr>
        <w:t xml:space="preserve"> </w:t>
      </w:r>
      <w:r>
        <w:rPr>
          <w:spacing w:val="23"/>
          <w:sz w:val="16"/>
        </w:rPr>
        <w:t xml:space="preserve">2010. </w:t>
      </w:r>
      <w:r>
        <w:rPr>
          <w:spacing w:val="26"/>
          <w:sz w:val="16"/>
        </w:rPr>
        <w:t>Disponível</w:t>
      </w:r>
      <w:r>
        <w:rPr>
          <w:spacing w:val="25"/>
          <w:sz w:val="16"/>
        </w:rPr>
        <w:t xml:space="preserve"> </w:t>
      </w:r>
      <w:r>
        <w:rPr>
          <w:spacing w:val="20"/>
          <w:sz w:val="16"/>
        </w:rPr>
        <w:t>em:</w:t>
      </w:r>
      <w:r>
        <w:rPr>
          <w:spacing w:val="-15"/>
          <w:sz w:val="16"/>
        </w:rPr>
        <w:t xml:space="preserve"> </w:t>
      </w:r>
    </w:p>
    <w:p w:rsidR="00D81F69" w:rsidRDefault="00D81F69">
      <w:pPr>
        <w:spacing w:before="1" w:line="312" w:lineRule="auto"/>
        <w:ind w:left="100" w:right="256"/>
        <w:jc w:val="both"/>
        <w:rPr>
          <w:sz w:val="16"/>
        </w:rPr>
      </w:pPr>
      <w:hyperlink r:id="rId480">
        <w:r w:rsidR="00330118">
          <w:rPr>
            <w:sz w:val="16"/>
          </w:rPr>
          <w:t xml:space="preserve">&lt;http://www.ibge.gov.br/cidadesat/topwindow.htm?1&gt;. </w:t>
        </w:r>
      </w:hyperlink>
      <w:r w:rsidR="00330118">
        <w:rPr>
          <w:sz w:val="16"/>
        </w:rPr>
        <w:t>Acesso em: 13 dez. 2011.</w:t>
      </w:r>
    </w:p>
    <w:p w:rsidR="00D81F69" w:rsidRDefault="00330118">
      <w:pPr>
        <w:tabs>
          <w:tab w:val="left" w:pos="4331"/>
        </w:tabs>
        <w:spacing w:before="2" w:line="312" w:lineRule="auto"/>
        <w:ind w:left="100" w:right="236"/>
        <w:jc w:val="both"/>
        <w:rPr>
          <w:sz w:val="16"/>
        </w:rPr>
      </w:pPr>
      <w:r>
        <w:rPr>
          <w:sz w:val="16"/>
        </w:rPr>
        <w:t>LIMA, José Maria Gonçalves de. Projeto d</w:t>
      </w:r>
      <w:r>
        <w:rPr>
          <w:sz w:val="16"/>
        </w:rPr>
        <w:t xml:space="preserve">e assistência técnica ao setor de energia. Ministério de Minas e Energia (MME), ago. 2009.    D      i      s      p      o      n      í      v  </w:t>
      </w:r>
      <w:r>
        <w:rPr>
          <w:spacing w:val="36"/>
          <w:sz w:val="16"/>
        </w:rPr>
        <w:t xml:space="preserve"> </w:t>
      </w:r>
      <w:r>
        <w:rPr>
          <w:sz w:val="16"/>
        </w:rPr>
        <w:t xml:space="preserve">e    </w:t>
      </w:r>
      <w:r>
        <w:rPr>
          <w:spacing w:val="31"/>
          <w:sz w:val="16"/>
        </w:rPr>
        <w:t xml:space="preserve"> </w:t>
      </w:r>
      <w:r>
        <w:rPr>
          <w:sz w:val="16"/>
        </w:rPr>
        <w:t>l</w:t>
      </w:r>
      <w:r>
        <w:rPr>
          <w:sz w:val="16"/>
        </w:rPr>
        <w:tab/>
        <w:t xml:space="preserve">e      m    </w:t>
      </w:r>
      <w:r>
        <w:rPr>
          <w:spacing w:val="20"/>
          <w:sz w:val="16"/>
        </w:rPr>
        <w:t xml:space="preserve"> </w:t>
      </w:r>
      <w:r>
        <w:rPr>
          <w:sz w:val="16"/>
        </w:rPr>
        <w:t>:</w:t>
      </w:r>
    </w:p>
    <w:p w:rsidR="00D81F69" w:rsidRDefault="00D81F69">
      <w:pPr>
        <w:spacing w:before="2"/>
        <w:ind w:left="100"/>
        <w:rPr>
          <w:sz w:val="16"/>
        </w:rPr>
      </w:pPr>
      <w:hyperlink r:id="rId481">
        <w:r w:rsidR="00330118">
          <w:rPr>
            <w:sz w:val="16"/>
          </w:rPr>
          <w:t>&lt;http</w:t>
        </w:r>
        <w:r w:rsidR="00330118">
          <w:rPr>
            <w:sz w:val="16"/>
          </w:rPr>
          <w:t>://www.mme.gov.br/sgm/galerias/arquivos/plano_duo_decenal/a</w:t>
        </w:r>
      </w:hyperlink>
    </w:p>
    <w:p w:rsidR="00D81F69" w:rsidRDefault="00330118">
      <w:pPr>
        <w:spacing w:before="56" w:line="312" w:lineRule="auto"/>
        <w:ind w:left="100" w:right="256"/>
        <w:jc w:val="both"/>
        <w:rPr>
          <w:sz w:val="16"/>
        </w:rPr>
      </w:pPr>
      <w:r>
        <w:rPr>
          <w:sz w:val="16"/>
        </w:rPr>
        <w:t>_mineracao_brasileira/P18_RT27_Perfil_da_Mineraxo_do_Estanho.p df&gt;. Acesso em: 13 dez. 2011.</w:t>
      </w:r>
    </w:p>
    <w:p w:rsidR="00D81F69" w:rsidRDefault="00330118">
      <w:pPr>
        <w:spacing w:before="2" w:line="312" w:lineRule="auto"/>
        <w:ind w:left="100" w:right="232"/>
        <w:jc w:val="both"/>
        <w:rPr>
          <w:sz w:val="16"/>
        </w:rPr>
      </w:pPr>
      <w:r>
        <w:rPr>
          <w:sz w:val="16"/>
        </w:rPr>
        <w:t>MARINI, João Onildo. Mineração e mapeamento das províncias minerais da Amazônia. Agência para o Desenvo</w:t>
      </w:r>
      <w:r>
        <w:rPr>
          <w:sz w:val="16"/>
        </w:rPr>
        <w:t>lvimento Tecnológico da Indústria Mineral Brasileira, 59ª Reunião Anual da SBPC Amazônia – Desafio Nacional, GT.3 Mapeamento das Províncias Minerais da Amazônia. Belém, 10-12 jul. 2007. Disponível em:</w:t>
      </w:r>
    </w:p>
    <w:p w:rsidR="00D81F69" w:rsidRDefault="00D81F69">
      <w:pPr>
        <w:spacing w:before="4" w:line="312" w:lineRule="auto"/>
        <w:ind w:left="100" w:right="257"/>
        <w:jc w:val="both"/>
        <w:rPr>
          <w:sz w:val="16"/>
        </w:rPr>
      </w:pPr>
      <w:hyperlink r:id="rId482">
        <w:r w:rsidR="00330118">
          <w:rPr>
            <w:sz w:val="16"/>
          </w:rPr>
          <w:t>&lt;http://www.adimb.com.br/site/arquivos/palestra_formatada_NOVA.pd</w:t>
        </w:r>
      </w:hyperlink>
      <w:r w:rsidR="00330118">
        <w:rPr>
          <w:sz w:val="16"/>
        </w:rPr>
        <w:t xml:space="preserve"> f&gt;. Acesso em: 13 dez. 2011.</w:t>
      </w:r>
    </w:p>
    <w:p w:rsidR="00D81F69" w:rsidRDefault="00330118">
      <w:pPr>
        <w:spacing w:before="2" w:line="312" w:lineRule="auto"/>
        <w:ind w:left="100" w:right="168"/>
        <w:jc w:val="both"/>
        <w:rPr>
          <w:sz w:val="16"/>
        </w:rPr>
      </w:pPr>
      <w:r>
        <w:rPr>
          <w:sz w:val="16"/>
        </w:rPr>
        <w:t xml:space="preserve">RODRIGUES, Antônio Fernando da Silva. Estanho. Balanço Mineral   </w:t>
      </w:r>
      <w:r>
        <w:rPr>
          <w:spacing w:val="27"/>
          <w:sz w:val="16"/>
        </w:rPr>
        <w:t>B</w:t>
      </w:r>
      <w:r>
        <w:rPr>
          <w:sz w:val="16"/>
        </w:rPr>
        <w:t xml:space="preserve"> </w:t>
      </w:r>
      <w:r>
        <w:rPr>
          <w:spacing w:val="27"/>
          <w:sz w:val="16"/>
        </w:rPr>
        <w:t>r</w:t>
      </w:r>
      <w:r>
        <w:rPr>
          <w:sz w:val="16"/>
        </w:rPr>
        <w:t xml:space="preserve"> </w:t>
      </w:r>
      <w:r>
        <w:rPr>
          <w:spacing w:val="27"/>
          <w:sz w:val="16"/>
        </w:rPr>
        <w:t>a</w:t>
      </w:r>
      <w:r>
        <w:rPr>
          <w:sz w:val="16"/>
        </w:rPr>
        <w:t xml:space="preserve"> </w:t>
      </w:r>
      <w:r>
        <w:rPr>
          <w:spacing w:val="27"/>
          <w:sz w:val="16"/>
        </w:rPr>
        <w:t>s</w:t>
      </w:r>
      <w:r>
        <w:rPr>
          <w:sz w:val="16"/>
        </w:rPr>
        <w:t xml:space="preserve"> </w:t>
      </w:r>
      <w:r>
        <w:rPr>
          <w:spacing w:val="27"/>
          <w:sz w:val="16"/>
        </w:rPr>
        <w:t>i</w:t>
      </w:r>
      <w:r>
        <w:rPr>
          <w:sz w:val="16"/>
        </w:rPr>
        <w:t xml:space="preserve"> </w:t>
      </w:r>
      <w:r>
        <w:rPr>
          <w:spacing w:val="27"/>
          <w:sz w:val="16"/>
        </w:rPr>
        <w:t>l</w:t>
      </w:r>
      <w:r>
        <w:rPr>
          <w:sz w:val="16"/>
        </w:rPr>
        <w:t xml:space="preserve"> </w:t>
      </w:r>
      <w:r>
        <w:rPr>
          <w:spacing w:val="27"/>
          <w:sz w:val="16"/>
        </w:rPr>
        <w:t>e</w:t>
      </w:r>
      <w:r>
        <w:rPr>
          <w:sz w:val="16"/>
        </w:rPr>
        <w:t xml:space="preserve"> </w:t>
      </w:r>
      <w:r>
        <w:rPr>
          <w:spacing w:val="27"/>
          <w:sz w:val="16"/>
        </w:rPr>
        <w:t>i</w:t>
      </w:r>
      <w:r>
        <w:rPr>
          <w:sz w:val="16"/>
        </w:rPr>
        <w:t xml:space="preserve"> </w:t>
      </w:r>
      <w:r>
        <w:rPr>
          <w:spacing w:val="27"/>
          <w:sz w:val="16"/>
        </w:rPr>
        <w:t>r</w:t>
      </w:r>
      <w:r>
        <w:rPr>
          <w:sz w:val="16"/>
        </w:rPr>
        <w:t xml:space="preserve"> o</w:t>
      </w:r>
      <w:r>
        <w:rPr>
          <w:spacing w:val="26"/>
          <w:sz w:val="16"/>
        </w:rPr>
        <w:t xml:space="preserve"> </w:t>
      </w:r>
      <w:r>
        <w:rPr>
          <w:spacing w:val="27"/>
          <w:sz w:val="16"/>
        </w:rPr>
        <w:t>2</w:t>
      </w:r>
      <w:r>
        <w:rPr>
          <w:sz w:val="16"/>
        </w:rPr>
        <w:t xml:space="preserve"> </w:t>
      </w:r>
      <w:r>
        <w:rPr>
          <w:spacing w:val="27"/>
          <w:sz w:val="16"/>
        </w:rPr>
        <w:t>0</w:t>
      </w:r>
      <w:r>
        <w:rPr>
          <w:sz w:val="16"/>
        </w:rPr>
        <w:t xml:space="preserve"> </w:t>
      </w:r>
      <w:r>
        <w:rPr>
          <w:spacing w:val="27"/>
          <w:sz w:val="16"/>
        </w:rPr>
        <w:t>0</w:t>
      </w:r>
      <w:r>
        <w:rPr>
          <w:sz w:val="16"/>
        </w:rPr>
        <w:t xml:space="preserve"> </w:t>
      </w:r>
      <w:r>
        <w:rPr>
          <w:spacing w:val="27"/>
          <w:sz w:val="16"/>
        </w:rPr>
        <w:t>1</w:t>
      </w:r>
      <w:r>
        <w:rPr>
          <w:sz w:val="16"/>
        </w:rPr>
        <w:t xml:space="preserve"> .</w:t>
      </w:r>
      <w:r>
        <w:rPr>
          <w:spacing w:val="26"/>
          <w:sz w:val="16"/>
        </w:rPr>
        <w:t xml:space="preserve"> </w:t>
      </w:r>
      <w:r>
        <w:rPr>
          <w:spacing w:val="27"/>
          <w:sz w:val="16"/>
        </w:rPr>
        <w:t>D</w:t>
      </w:r>
      <w:r>
        <w:rPr>
          <w:sz w:val="16"/>
        </w:rPr>
        <w:t xml:space="preserve"> </w:t>
      </w:r>
      <w:r>
        <w:rPr>
          <w:spacing w:val="27"/>
          <w:sz w:val="16"/>
        </w:rPr>
        <w:t>i</w:t>
      </w:r>
      <w:r>
        <w:rPr>
          <w:sz w:val="16"/>
        </w:rPr>
        <w:t xml:space="preserve"> </w:t>
      </w:r>
      <w:r>
        <w:rPr>
          <w:spacing w:val="27"/>
          <w:sz w:val="16"/>
        </w:rPr>
        <w:t>s</w:t>
      </w:r>
      <w:r>
        <w:rPr>
          <w:sz w:val="16"/>
        </w:rPr>
        <w:t xml:space="preserve"> </w:t>
      </w:r>
      <w:r>
        <w:rPr>
          <w:spacing w:val="27"/>
          <w:sz w:val="16"/>
        </w:rPr>
        <w:t>p</w:t>
      </w:r>
      <w:r>
        <w:rPr>
          <w:sz w:val="16"/>
        </w:rPr>
        <w:t xml:space="preserve"> </w:t>
      </w:r>
      <w:r>
        <w:rPr>
          <w:spacing w:val="27"/>
          <w:sz w:val="16"/>
        </w:rPr>
        <w:t>o</w:t>
      </w:r>
      <w:r>
        <w:rPr>
          <w:sz w:val="16"/>
        </w:rPr>
        <w:t xml:space="preserve"> </w:t>
      </w:r>
      <w:r>
        <w:rPr>
          <w:spacing w:val="27"/>
          <w:sz w:val="16"/>
        </w:rPr>
        <w:t>n</w:t>
      </w:r>
      <w:r>
        <w:rPr>
          <w:sz w:val="16"/>
        </w:rPr>
        <w:t xml:space="preserve"> </w:t>
      </w:r>
      <w:r>
        <w:rPr>
          <w:spacing w:val="27"/>
          <w:sz w:val="16"/>
        </w:rPr>
        <w:t>í</w:t>
      </w:r>
      <w:r>
        <w:rPr>
          <w:sz w:val="16"/>
        </w:rPr>
        <w:t xml:space="preserve"> </w:t>
      </w:r>
      <w:r>
        <w:rPr>
          <w:spacing w:val="27"/>
          <w:sz w:val="16"/>
        </w:rPr>
        <w:t>v</w:t>
      </w:r>
      <w:r>
        <w:rPr>
          <w:sz w:val="16"/>
        </w:rPr>
        <w:t xml:space="preserve"> </w:t>
      </w:r>
      <w:r>
        <w:rPr>
          <w:spacing w:val="27"/>
          <w:sz w:val="16"/>
        </w:rPr>
        <w:t>e</w:t>
      </w:r>
      <w:r>
        <w:rPr>
          <w:sz w:val="16"/>
        </w:rPr>
        <w:t xml:space="preserve"> l</w:t>
      </w:r>
      <w:r>
        <w:rPr>
          <w:spacing w:val="26"/>
          <w:sz w:val="16"/>
        </w:rPr>
        <w:t xml:space="preserve"> </w:t>
      </w:r>
      <w:r>
        <w:rPr>
          <w:spacing w:val="27"/>
          <w:sz w:val="16"/>
        </w:rPr>
        <w:t>e</w:t>
      </w:r>
      <w:r>
        <w:rPr>
          <w:sz w:val="16"/>
        </w:rPr>
        <w:t xml:space="preserve"> </w:t>
      </w:r>
      <w:r>
        <w:rPr>
          <w:spacing w:val="27"/>
          <w:sz w:val="16"/>
        </w:rPr>
        <w:t>m</w:t>
      </w:r>
      <w:r>
        <w:rPr>
          <w:sz w:val="16"/>
        </w:rPr>
        <w:t xml:space="preserve"> : </w:t>
      </w:r>
      <w:r>
        <w:rPr>
          <w:spacing w:val="-15"/>
          <w:sz w:val="16"/>
        </w:rPr>
        <w:t xml:space="preserve"> </w:t>
      </w:r>
    </w:p>
    <w:p w:rsidR="00D81F69" w:rsidRDefault="00D81F69">
      <w:pPr>
        <w:spacing w:before="2" w:line="312" w:lineRule="auto"/>
        <w:ind w:left="100" w:right="256"/>
        <w:jc w:val="both"/>
        <w:rPr>
          <w:sz w:val="16"/>
        </w:rPr>
      </w:pPr>
      <w:hyperlink r:id="rId483">
        <w:r w:rsidR="00330118">
          <w:rPr>
            <w:sz w:val="16"/>
          </w:rPr>
          <w:t>&lt;http://www.dnpm.gov.br/assets/galeriadocumento/balancomineral20</w:t>
        </w:r>
      </w:hyperlink>
      <w:r w:rsidR="00330118">
        <w:rPr>
          <w:sz w:val="16"/>
        </w:rPr>
        <w:t xml:space="preserve"> 01/estanho.pdf&gt;. Acesso em: 13 dez. 2011.</w:t>
      </w:r>
    </w:p>
    <w:p w:rsidR="00D81F69" w:rsidRDefault="00330118">
      <w:pPr>
        <w:spacing w:before="1"/>
        <w:ind w:left="100"/>
        <w:rPr>
          <w:sz w:val="16"/>
        </w:rPr>
      </w:pPr>
      <w:r>
        <w:rPr>
          <w:sz w:val="16"/>
        </w:rPr>
        <w:t>RONDONIA MANCHETE. Vila Massangana agora é distrito. 13 jul.</w:t>
      </w:r>
    </w:p>
    <w:p w:rsidR="00D81F69" w:rsidRDefault="00330118">
      <w:pPr>
        <w:tabs>
          <w:tab w:val="left" w:pos="1931"/>
          <w:tab w:val="left" w:pos="4567"/>
        </w:tabs>
        <w:spacing w:before="56"/>
        <w:ind w:left="100"/>
        <w:jc w:val="both"/>
        <w:rPr>
          <w:sz w:val="16"/>
        </w:rPr>
      </w:pPr>
      <w:r>
        <w:rPr>
          <w:sz w:val="16"/>
        </w:rPr>
        <w:t xml:space="preserve">2   0   1   1  </w:t>
      </w:r>
      <w:r>
        <w:rPr>
          <w:spacing w:val="10"/>
          <w:sz w:val="16"/>
        </w:rPr>
        <w:t xml:space="preserve"> </w:t>
      </w:r>
      <w:r>
        <w:rPr>
          <w:sz w:val="16"/>
        </w:rPr>
        <w:t xml:space="preserve">a  </w:t>
      </w:r>
      <w:r>
        <w:rPr>
          <w:spacing w:val="1"/>
          <w:sz w:val="16"/>
        </w:rPr>
        <w:t xml:space="preserve"> </w:t>
      </w:r>
      <w:r>
        <w:rPr>
          <w:sz w:val="16"/>
        </w:rPr>
        <w:t>.</w:t>
      </w:r>
      <w:r>
        <w:rPr>
          <w:sz w:val="16"/>
        </w:rPr>
        <w:tab/>
        <w:t xml:space="preserve">D   i   s   p   o   n   í   v  </w:t>
      </w:r>
      <w:r>
        <w:rPr>
          <w:spacing w:val="22"/>
          <w:sz w:val="16"/>
        </w:rPr>
        <w:t xml:space="preserve"> </w:t>
      </w:r>
      <w:r>
        <w:rPr>
          <w:sz w:val="16"/>
        </w:rPr>
        <w:t xml:space="preserve">e  </w:t>
      </w:r>
      <w:r>
        <w:rPr>
          <w:spacing w:val="1"/>
          <w:sz w:val="16"/>
        </w:rPr>
        <w:t xml:space="preserve"> </w:t>
      </w:r>
      <w:r>
        <w:rPr>
          <w:sz w:val="16"/>
        </w:rPr>
        <w:t>l</w:t>
      </w:r>
      <w:r>
        <w:rPr>
          <w:sz w:val="16"/>
        </w:rPr>
        <w:tab/>
        <w:t xml:space="preserve">e   m  </w:t>
      </w:r>
      <w:r>
        <w:rPr>
          <w:spacing w:val="5"/>
          <w:sz w:val="16"/>
        </w:rPr>
        <w:t xml:space="preserve"> </w:t>
      </w:r>
      <w:r>
        <w:rPr>
          <w:sz w:val="16"/>
        </w:rPr>
        <w:t>:</w:t>
      </w:r>
    </w:p>
    <w:p w:rsidR="00D81F69" w:rsidRDefault="00D81F69">
      <w:pPr>
        <w:spacing w:before="56" w:line="312" w:lineRule="auto"/>
        <w:ind w:left="100" w:right="252"/>
        <w:jc w:val="both"/>
        <w:rPr>
          <w:sz w:val="16"/>
        </w:rPr>
      </w:pPr>
      <w:hyperlink r:id="rId484">
        <w:r w:rsidR="00330118">
          <w:rPr>
            <w:sz w:val="16"/>
          </w:rPr>
          <w:t>&lt;http://rondoniamanchete.com.br/geral/2011/07/vila-massangana-</w:t>
        </w:r>
      </w:hyperlink>
      <w:r w:rsidR="00330118">
        <w:rPr>
          <w:sz w:val="16"/>
        </w:rPr>
        <w:t xml:space="preserve"> agora-e-distrito/&gt;. Acesso em: 13 dez. 2011.</w:t>
      </w:r>
    </w:p>
    <w:p w:rsidR="00D81F69" w:rsidRDefault="00330118">
      <w:pPr>
        <w:spacing w:before="2" w:line="312" w:lineRule="auto"/>
        <w:ind w:left="100" w:right="236"/>
        <w:jc w:val="both"/>
        <w:rPr>
          <w:sz w:val="16"/>
        </w:rPr>
      </w:pPr>
      <w:r>
        <w:rPr>
          <w:sz w:val="16"/>
        </w:rPr>
        <w:t>______. Monte Negro: Os vereadores Pedro Bertolli e João osso estão satisfeito com a criação distrital da Vila Massangana. 22 jul.</w:t>
      </w:r>
    </w:p>
    <w:p w:rsidR="00D81F69" w:rsidRDefault="00330118">
      <w:pPr>
        <w:tabs>
          <w:tab w:val="left" w:pos="1931"/>
          <w:tab w:val="left" w:pos="4567"/>
        </w:tabs>
        <w:spacing w:before="1"/>
        <w:ind w:left="100"/>
        <w:jc w:val="both"/>
        <w:rPr>
          <w:sz w:val="16"/>
        </w:rPr>
      </w:pPr>
      <w:r>
        <w:rPr>
          <w:sz w:val="16"/>
        </w:rPr>
        <w:t xml:space="preserve">2   0   1   1  </w:t>
      </w:r>
      <w:r>
        <w:rPr>
          <w:spacing w:val="10"/>
          <w:sz w:val="16"/>
        </w:rPr>
        <w:t xml:space="preserve"> </w:t>
      </w:r>
      <w:r>
        <w:rPr>
          <w:sz w:val="16"/>
        </w:rPr>
        <w:t xml:space="preserve">b  </w:t>
      </w:r>
      <w:r>
        <w:rPr>
          <w:spacing w:val="1"/>
          <w:sz w:val="16"/>
        </w:rPr>
        <w:t xml:space="preserve"> </w:t>
      </w:r>
      <w:r>
        <w:rPr>
          <w:sz w:val="16"/>
        </w:rPr>
        <w:t>.</w:t>
      </w:r>
      <w:r>
        <w:rPr>
          <w:sz w:val="16"/>
        </w:rPr>
        <w:tab/>
        <w:t xml:space="preserve">D   i   s   p   o   n   í   v  </w:t>
      </w:r>
      <w:r>
        <w:rPr>
          <w:spacing w:val="22"/>
          <w:sz w:val="16"/>
        </w:rPr>
        <w:t xml:space="preserve"> </w:t>
      </w:r>
      <w:r>
        <w:rPr>
          <w:sz w:val="16"/>
        </w:rPr>
        <w:t xml:space="preserve">e  </w:t>
      </w:r>
      <w:r>
        <w:rPr>
          <w:spacing w:val="1"/>
          <w:sz w:val="16"/>
        </w:rPr>
        <w:t xml:space="preserve"> </w:t>
      </w:r>
      <w:r>
        <w:rPr>
          <w:sz w:val="16"/>
        </w:rPr>
        <w:t>l</w:t>
      </w:r>
      <w:r>
        <w:rPr>
          <w:sz w:val="16"/>
        </w:rPr>
        <w:tab/>
        <w:t xml:space="preserve">e   m  </w:t>
      </w:r>
      <w:r>
        <w:rPr>
          <w:spacing w:val="5"/>
          <w:sz w:val="16"/>
        </w:rPr>
        <w:t xml:space="preserve"> </w:t>
      </w:r>
      <w:r>
        <w:rPr>
          <w:sz w:val="16"/>
        </w:rPr>
        <w:t>:</w:t>
      </w:r>
    </w:p>
    <w:p w:rsidR="00D81F69" w:rsidRDefault="00D81F69">
      <w:pPr>
        <w:spacing w:before="56" w:line="312" w:lineRule="auto"/>
        <w:ind w:left="100" w:right="251"/>
        <w:jc w:val="both"/>
        <w:rPr>
          <w:sz w:val="16"/>
        </w:rPr>
      </w:pPr>
      <w:hyperlink r:id="rId485">
        <w:r w:rsidR="00330118">
          <w:rPr>
            <w:sz w:val="16"/>
          </w:rPr>
          <w:t>&lt;http://rondoniamanchete.com.br/politica/2011/07/os-vereadores-</w:t>
        </w:r>
      </w:hyperlink>
      <w:r w:rsidR="00330118">
        <w:rPr>
          <w:sz w:val="16"/>
        </w:rPr>
        <w:t xml:space="preserve"> pedro-bertolli-e-joao-osso-estao-satisfeito-com-a-criacao-distrital-da- vila-massangana/&gt;. Acesso em: 13 dez. 2011.</w:t>
      </w:r>
    </w:p>
    <w:p w:rsidR="00D81F69" w:rsidRDefault="00330118">
      <w:pPr>
        <w:spacing w:before="3" w:line="312" w:lineRule="auto"/>
        <w:ind w:left="100" w:right="234"/>
        <w:jc w:val="both"/>
        <w:rPr>
          <w:sz w:val="16"/>
        </w:rPr>
      </w:pPr>
      <w:r>
        <w:rPr>
          <w:sz w:val="16"/>
        </w:rPr>
        <w:t>SOUZA, Valmir da Silva; PONTES, Rodrigo Malheiros; MOURA, Márcia Abrahão. Inclusões fluidas em topázio do Complexo Granítico Estanífero de Massangana (RO). Revista da Escola de Minas (REM).</w:t>
      </w:r>
    </w:p>
    <w:p w:rsidR="00D81F69" w:rsidRDefault="00330118">
      <w:pPr>
        <w:spacing w:before="2"/>
        <w:ind w:left="100"/>
        <w:jc w:val="both"/>
        <w:rPr>
          <w:sz w:val="16"/>
        </w:rPr>
      </w:pPr>
      <w:r>
        <w:rPr>
          <w:sz w:val="16"/>
        </w:rPr>
        <w:t>v.  56.  n.  4.  Ouro  Preto.  out.-  dez.  2003.  Disponível  em:</w:t>
      </w:r>
    </w:p>
    <w:p w:rsidR="00D81F69" w:rsidRDefault="00D81F69">
      <w:pPr>
        <w:spacing w:before="56" w:line="312" w:lineRule="auto"/>
        <w:ind w:left="100" w:right="255"/>
        <w:jc w:val="both"/>
        <w:rPr>
          <w:sz w:val="16"/>
        </w:rPr>
      </w:pPr>
      <w:hyperlink r:id="rId486">
        <w:r w:rsidR="00330118">
          <w:rPr>
            <w:sz w:val="16"/>
          </w:rPr>
          <w:t xml:space="preserve">&lt;http://www.scielo.br/pdf/rem/v56n4/v56n4a03.pdf&gt;. </w:t>
        </w:r>
      </w:hyperlink>
      <w:r w:rsidR="00330118">
        <w:rPr>
          <w:sz w:val="16"/>
        </w:rPr>
        <w:t>Acesso em: 13 dez. 2011.</w:t>
      </w:r>
    </w:p>
    <w:p w:rsidR="00D81F69" w:rsidRDefault="00330118">
      <w:pPr>
        <w:spacing w:before="2" w:line="312" w:lineRule="auto"/>
        <w:ind w:left="100" w:right="223"/>
        <w:jc w:val="both"/>
        <w:rPr>
          <w:sz w:val="16"/>
        </w:rPr>
      </w:pPr>
      <w:r>
        <w:rPr>
          <w:sz w:val="16"/>
        </w:rPr>
        <w:t xml:space="preserve">TRIBUNAL DE JUSTIÇA DE RONDÔNIA. Reintegração/ Manutenção de Posse. Rondônia, 29 de nov. 2010. Disponível em: </w:t>
      </w:r>
    </w:p>
    <w:p w:rsidR="00D81F69" w:rsidRDefault="00D81F69">
      <w:pPr>
        <w:spacing w:before="2" w:line="312" w:lineRule="auto"/>
        <w:ind w:left="100" w:right="253"/>
        <w:jc w:val="both"/>
        <w:rPr>
          <w:sz w:val="16"/>
        </w:rPr>
      </w:pPr>
      <w:hyperlink r:id="rId487">
        <w:r w:rsidR="00330118">
          <w:rPr>
            <w:sz w:val="16"/>
          </w:rPr>
          <w:t>&lt;http://www.jusbrasil.com.br/diarios/23465088/djro-29-11-2010-pg-</w:t>
        </w:r>
      </w:hyperlink>
      <w:r w:rsidR="00330118">
        <w:rPr>
          <w:sz w:val="16"/>
        </w:rPr>
        <w:t xml:space="preserve"> 224&gt;. Acesso em 13 dez. 2011.</w:t>
      </w:r>
    </w:p>
    <w:p w:rsidR="00D81F69" w:rsidRDefault="00D81F69">
      <w:pPr>
        <w:spacing w:line="312" w:lineRule="auto"/>
        <w:jc w:val="both"/>
        <w:rPr>
          <w:sz w:val="16"/>
        </w:rPr>
        <w:sectPr w:rsidR="00D81F69">
          <w:pgSz w:w="11900" w:h="16840"/>
          <w:pgMar w:top="740" w:right="460" w:bottom="720" w:left="620" w:header="0" w:footer="402" w:gutter="0"/>
          <w:cols w:num="2" w:space="720" w:equalWidth="0">
            <w:col w:w="5155" w:space="315"/>
            <w:col w:w="5350"/>
          </w:cols>
        </w:sectPr>
      </w:pPr>
    </w:p>
    <w:p w:rsidR="00D81F69" w:rsidRDefault="00330118">
      <w:pPr>
        <w:pStyle w:val="Heading1"/>
        <w:spacing w:line="208" w:lineRule="auto"/>
        <w:ind w:right="293"/>
      </w:pPr>
      <w:r>
        <w:lastRenderedPageBreak/>
        <w:t xml:space="preserve">Extração de cassiterita gera danos socioambientais </w:t>
      </w:r>
      <w:r>
        <w:t>em Ariquemes (RO)</w:t>
      </w:r>
    </w:p>
    <w:p w:rsidR="00D81F69" w:rsidRDefault="00D81F69">
      <w:pPr>
        <w:pStyle w:val="Corpodetexto"/>
        <w:ind w:left="0"/>
        <w:jc w:val="left"/>
        <w:rPr>
          <w:b/>
          <w:sz w:val="20"/>
        </w:rPr>
      </w:pPr>
    </w:p>
    <w:p w:rsidR="00D81F69" w:rsidRDefault="00D81F69">
      <w:pPr>
        <w:rPr>
          <w:sz w:val="20"/>
        </w:rPr>
        <w:sectPr w:rsidR="00D81F69">
          <w:pgSz w:w="11900" w:h="16840"/>
          <w:pgMar w:top="1080" w:right="460" w:bottom="7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RO - Ariquemes</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-9,9137</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-63,044</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ind w:left="135"/>
        <w:rPr>
          <w:i/>
          <w:sz w:val="16"/>
        </w:rPr>
      </w:pPr>
      <w:r>
        <w:rPr>
          <w:i/>
          <w:sz w:val="16"/>
        </w:rPr>
        <w:t>Ariquemes, no norte de Rondônia, fica a</w:t>
      </w:r>
    </w:p>
    <w:p w:rsidR="00D81F69" w:rsidRDefault="00330118">
      <w:pPr>
        <w:spacing w:before="56" w:line="312" w:lineRule="auto"/>
        <w:ind w:left="135" w:right="38"/>
        <w:jc w:val="both"/>
        <w:rPr>
          <w:i/>
          <w:sz w:val="16"/>
        </w:rPr>
      </w:pPr>
      <w:r>
        <w:rPr>
          <w:i/>
          <w:sz w:val="16"/>
        </w:rPr>
        <w:t xml:space="preserve">198 km da capital Porto Velho. O </w:t>
      </w:r>
      <w:r>
        <w:rPr>
          <w:i/>
          <w:sz w:val="16"/>
        </w:rPr>
        <w:t>município tem um longo histórico de extração mineral, especialmente de cassiterita (minério de estanho), indispensável ao entendimento de sua própria história e de suas principais problemáticas socioambientais.</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3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27"/>
      </w:pPr>
      <w:r>
        <w:t>em 2007, entre os metálicos, foram cassit</w:t>
      </w:r>
      <w:r>
        <w:t xml:space="preserve">erita (concentrado </w:t>
      </w:r>
      <w:r>
        <w:rPr>
          <w:spacing w:val="1"/>
        </w:rPr>
        <w:t xml:space="preserve">de </w:t>
      </w:r>
      <w:r>
        <w:rPr>
          <w:spacing w:val="3"/>
        </w:rPr>
        <w:t xml:space="preserve">estanho) </w:t>
      </w:r>
      <w:r>
        <w:rPr>
          <w:spacing w:val="2"/>
        </w:rPr>
        <w:t xml:space="preserve">com </w:t>
      </w:r>
      <w:r>
        <w:rPr>
          <w:spacing w:val="3"/>
        </w:rPr>
        <w:t xml:space="preserve">produção </w:t>
      </w:r>
      <w:r>
        <w:rPr>
          <w:spacing w:val="1"/>
        </w:rPr>
        <w:t xml:space="preserve">de </w:t>
      </w:r>
      <w:r>
        <w:rPr>
          <w:spacing w:val="2"/>
        </w:rPr>
        <w:t xml:space="preserve">2,6 </w:t>
      </w:r>
      <w:r>
        <w:rPr>
          <w:spacing w:val="3"/>
        </w:rPr>
        <w:t xml:space="preserve">milhões </w:t>
      </w:r>
      <w:r>
        <w:rPr>
          <w:spacing w:val="1"/>
        </w:rPr>
        <w:t xml:space="preserve">de </w:t>
      </w:r>
      <w:r>
        <w:rPr>
          <w:spacing w:val="2"/>
        </w:rPr>
        <w:t xml:space="preserve">kg, </w:t>
      </w:r>
      <w:r>
        <w:rPr>
          <w:spacing w:val="5"/>
        </w:rPr>
        <w:t xml:space="preserve">quando </w:t>
      </w:r>
      <w:r>
        <w:rPr>
          <w:spacing w:val="6"/>
        </w:rPr>
        <w:t xml:space="preserve">apresentou </w:t>
      </w:r>
      <w:r>
        <w:rPr>
          <w:spacing w:val="5"/>
        </w:rPr>
        <w:t xml:space="preserve">queda </w:t>
      </w:r>
      <w:r>
        <w:rPr>
          <w:spacing w:val="3"/>
        </w:rPr>
        <w:t xml:space="preserve">de </w:t>
      </w:r>
      <w:r>
        <w:rPr>
          <w:spacing w:val="5"/>
        </w:rPr>
        <w:t xml:space="preserve">59% </w:t>
      </w:r>
      <w:r>
        <w:rPr>
          <w:spacing w:val="3"/>
        </w:rPr>
        <w:t xml:space="preserve">em </w:t>
      </w:r>
      <w:r>
        <w:rPr>
          <w:spacing w:val="5"/>
        </w:rPr>
        <w:t xml:space="preserve">relação </w:t>
      </w:r>
      <w:r>
        <w:rPr>
          <w:spacing w:val="3"/>
        </w:rPr>
        <w:t xml:space="preserve">ao </w:t>
      </w:r>
      <w:r>
        <w:rPr>
          <w:spacing w:val="5"/>
        </w:rPr>
        <w:t xml:space="preserve">ano </w:t>
      </w:r>
      <w:r>
        <w:rPr>
          <w:spacing w:val="7"/>
        </w:rPr>
        <w:t xml:space="preserve">anterior, </w:t>
      </w:r>
      <w:r>
        <w:t xml:space="preserve">seguida do concentrado de nióbio (Nb2O5), que passou de 719 mil kg para 1,3 mil kg, além de tungstênio, com 39 t de concentrado. O valor de bens comercializados foi de R$ 106 </w:t>
      </w:r>
      <w:r>
        <w:rPr>
          <w:spacing w:val="5"/>
        </w:rPr>
        <w:t xml:space="preserve">milhões, </w:t>
      </w:r>
      <w:r>
        <w:rPr>
          <w:spacing w:val="3"/>
        </w:rPr>
        <w:t xml:space="preserve">dos </w:t>
      </w:r>
      <w:r>
        <w:rPr>
          <w:spacing w:val="5"/>
        </w:rPr>
        <w:t xml:space="preserve">quais </w:t>
      </w:r>
      <w:r>
        <w:rPr>
          <w:spacing w:val="3"/>
        </w:rPr>
        <w:t xml:space="preserve">71% </w:t>
      </w:r>
      <w:r>
        <w:rPr>
          <w:spacing w:val="5"/>
        </w:rPr>
        <w:t xml:space="preserve">referem-se </w:t>
      </w:r>
      <w:r>
        <w:t xml:space="preserve">a </w:t>
      </w:r>
      <w:r>
        <w:rPr>
          <w:spacing w:val="5"/>
        </w:rPr>
        <w:t xml:space="preserve">metálicos, </w:t>
      </w:r>
      <w:r>
        <w:rPr>
          <w:spacing w:val="3"/>
        </w:rPr>
        <w:t xml:space="preserve">com </w:t>
      </w:r>
      <w:r>
        <w:t xml:space="preserve">a cassiterita respondendo por </w:t>
      </w:r>
      <w:r>
        <w:t xml:space="preserve">93%. Entre os não metálicos, as </w:t>
      </w:r>
      <w:r>
        <w:rPr>
          <w:spacing w:val="5"/>
        </w:rPr>
        <w:t xml:space="preserve">rochas </w:t>
      </w:r>
      <w:r>
        <w:rPr>
          <w:spacing w:val="6"/>
        </w:rPr>
        <w:t xml:space="preserve">britadas representaram </w:t>
      </w:r>
      <w:r>
        <w:rPr>
          <w:spacing w:val="5"/>
        </w:rPr>
        <w:t xml:space="preserve">68%, </w:t>
      </w:r>
      <w:r>
        <w:rPr>
          <w:spacing w:val="6"/>
        </w:rPr>
        <w:t xml:space="preserve">seguidas </w:t>
      </w:r>
      <w:r>
        <w:rPr>
          <w:spacing w:val="3"/>
        </w:rPr>
        <w:t xml:space="preserve">de </w:t>
      </w:r>
      <w:r>
        <w:rPr>
          <w:spacing w:val="7"/>
        </w:rPr>
        <w:t xml:space="preserve">água </w:t>
      </w:r>
      <w:r>
        <w:rPr>
          <w:spacing w:val="6"/>
        </w:rPr>
        <w:t xml:space="preserve">mineral, </w:t>
      </w:r>
      <w:r>
        <w:rPr>
          <w:spacing w:val="5"/>
        </w:rPr>
        <w:t>com 19% (DNPM,</w:t>
      </w:r>
      <w:r>
        <w:rPr>
          <w:spacing w:val="-12"/>
        </w:rPr>
        <w:t xml:space="preserve"> </w:t>
      </w:r>
      <w:r>
        <w:rPr>
          <w:spacing w:val="7"/>
        </w:rPr>
        <w:t>2008).</w:t>
      </w:r>
    </w:p>
    <w:p w:rsidR="00D81F69" w:rsidRDefault="00D81F69">
      <w:pPr>
        <w:spacing w:line="312" w:lineRule="auto"/>
        <w:sectPr w:rsidR="00D81F69">
          <w:type w:val="continuous"/>
          <w:pgSz w:w="11900" w:h="16840"/>
          <w:pgMar w:top="720" w:right="460" w:bottom="280" w:left="620" w:header="720" w:footer="720" w:gutter="0"/>
          <w:cols w:num="3" w:space="720" w:equalWidth="0">
            <w:col w:w="1179" w:space="821"/>
            <w:col w:w="3130" w:space="305"/>
            <w:col w:w="5385"/>
          </w:cols>
        </w:sectPr>
      </w:pPr>
    </w:p>
    <w:p w:rsidR="00D81F69" w:rsidRDefault="00330118">
      <w:pPr>
        <w:pStyle w:val="Heading4"/>
        <w:spacing w:before="13"/>
        <w:jc w:val="left"/>
      </w:pPr>
      <w:r>
        <w:lastRenderedPageBreak/>
        <w:t>APRESENTAÇÃO DE CASO</w:t>
      </w:r>
    </w:p>
    <w:p w:rsidR="00D81F69" w:rsidRDefault="00330118">
      <w:pPr>
        <w:pStyle w:val="Corpodetexto"/>
        <w:spacing w:before="170" w:line="312" w:lineRule="auto"/>
        <w:ind w:right="91"/>
      </w:pPr>
      <w:r>
        <w:t>O país possui cerca de 12% das reservas mundiais de estanho contido. As reservas brasile</w:t>
      </w:r>
      <w:r>
        <w:t xml:space="preserve">iras estão localizadas na região Amazônica: Província Mineral do Mapuera, no estado do Amazonas (mina do Pitinga – no município de Presidente Figueiredo) e na Província Estanífera de Rondônia – mina de Santa Bárbara e mina de Cachoeirinha (ambas em Itapuã </w:t>
      </w:r>
      <w:r>
        <w:t>do Oeste) e mina de Bom Futuro e Massangana (município de Ariquemes) (DNPM, 2010).</w:t>
      </w:r>
    </w:p>
    <w:p w:rsidR="00D81F69" w:rsidRDefault="00330118">
      <w:pPr>
        <w:pStyle w:val="Corpodetexto"/>
        <w:spacing w:before="137" w:line="312" w:lineRule="auto"/>
        <w:ind w:right="92"/>
      </w:pPr>
      <w:r>
        <w:t xml:space="preserve">Ariquemes – que como todo o estado de Rondônia teve como principal atividade econômica a extração de látex, durante o 1º e 2º ciclos da borracha (TEIXEIRA, 2008) – passou a </w:t>
      </w:r>
      <w:r>
        <w:rPr>
          <w:spacing w:val="1"/>
        </w:rPr>
        <w:t xml:space="preserve">ter </w:t>
      </w:r>
      <w:r>
        <w:t xml:space="preserve">sua economia voltada para a exploração mineral a partir da década de 1950 (RODRIGUES, 2001). Até o final dos anos </w:t>
      </w:r>
      <w:r>
        <w:rPr>
          <w:spacing w:val="5"/>
        </w:rPr>
        <w:t xml:space="preserve">1970, </w:t>
      </w:r>
      <w:r>
        <w:rPr>
          <w:spacing w:val="3"/>
        </w:rPr>
        <w:t xml:space="preserve">com </w:t>
      </w:r>
      <w:r>
        <w:t xml:space="preserve">a </w:t>
      </w:r>
      <w:r>
        <w:rPr>
          <w:spacing w:val="5"/>
        </w:rPr>
        <w:t xml:space="preserve">descoberta </w:t>
      </w:r>
      <w:r>
        <w:rPr>
          <w:spacing w:val="2"/>
        </w:rPr>
        <w:t xml:space="preserve">de </w:t>
      </w:r>
      <w:r>
        <w:rPr>
          <w:spacing w:val="5"/>
        </w:rPr>
        <w:t xml:space="preserve">minérios, principalmente </w:t>
      </w:r>
      <w:r>
        <w:rPr>
          <w:spacing w:val="6"/>
        </w:rPr>
        <w:t xml:space="preserve">de </w:t>
      </w:r>
      <w:r>
        <w:rPr>
          <w:spacing w:val="5"/>
        </w:rPr>
        <w:t xml:space="preserve">cassiterita </w:t>
      </w:r>
      <w:r>
        <w:t xml:space="preserve">– </w:t>
      </w:r>
      <w:r>
        <w:rPr>
          <w:spacing w:val="5"/>
        </w:rPr>
        <w:t xml:space="preserve">minério </w:t>
      </w:r>
      <w:r>
        <w:rPr>
          <w:spacing w:val="2"/>
        </w:rPr>
        <w:t xml:space="preserve">de </w:t>
      </w:r>
      <w:r>
        <w:rPr>
          <w:spacing w:val="5"/>
        </w:rPr>
        <w:t xml:space="preserve">estanho </w:t>
      </w:r>
      <w:r>
        <w:rPr>
          <w:spacing w:val="2"/>
        </w:rPr>
        <w:t xml:space="preserve">–, </w:t>
      </w:r>
      <w:r>
        <w:t xml:space="preserve">e </w:t>
      </w:r>
      <w:r>
        <w:rPr>
          <w:spacing w:val="3"/>
        </w:rPr>
        <w:t xml:space="preserve">com </w:t>
      </w:r>
      <w:r>
        <w:t xml:space="preserve">a </w:t>
      </w:r>
      <w:r>
        <w:rPr>
          <w:spacing w:val="5"/>
        </w:rPr>
        <w:t xml:space="preserve">abertura da </w:t>
      </w:r>
      <w:r>
        <w:rPr>
          <w:spacing w:val="3"/>
        </w:rPr>
        <w:t xml:space="preserve">rodovia BR-364 (Cuiabá </w:t>
      </w:r>
      <w:r>
        <w:t xml:space="preserve">- </w:t>
      </w:r>
      <w:r>
        <w:rPr>
          <w:spacing w:val="3"/>
        </w:rPr>
        <w:t>Por</w:t>
      </w:r>
      <w:r>
        <w:rPr>
          <w:spacing w:val="3"/>
        </w:rPr>
        <w:t xml:space="preserve">to Velho), </w:t>
      </w:r>
      <w:r>
        <w:t xml:space="preserve">a </w:t>
      </w:r>
      <w:r>
        <w:rPr>
          <w:spacing w:val="3"/>
        </w:rPr>
        <w:t xml:space="preserve">região </w:t>
      </w:r>
      <w:r>
        <w:rPr>
          <w:spacing w:val="5"/>
        </w:rPr>
        <w:t xml:space="preserve">recebeu </w:t>
      </w:r>
      <w:r>
        <w:t xml:space="preserve">novos contingentes migratórios vindos de diversos pontos do </w:t>
      </w:r>
      <w:r>
        <w:rPr>
          <w:spacing w:val="3"/>
        </w:rPr>
        <w:t xml:space="preserve">país, </w:t>
      </w:r>
      <w:r>
        <w:rPr>
          <w:spacing w:val="2"/>
        </w:rPr>
        <w:t xml:space="preserve">que </w:t>
      </w:r>
      <w:r>
        <w:rPr>
          <w:spacing w:val="3"/>
        </w:rPr>
        <w:t xml:space="preserve">formaram grandes agrupamentos humanos </w:t>
      </w:r>
      <w:r>
        <w:rPr>
          <w:spacing w:val="5"/>
        </w:rPr>
        <w:t xml:space="preserve">em </w:t>
      </w:r>
      <w:r>
        <w:t>meio à floresta (TEIXEIRA, 2008; FERNANDES, 2008). Já em 1971, o governo federal lançara um programa de exploração mi</w:t>
      </w:r>
      <w:r>
        <w:t xml:space="preserve">neral para avaliar o potencial estanífero de Rondônia que </w:t>
      </w:r>
      <w:r>
        <w:rPr>
          <w:spacing w:val="2"/>
        </w:rPr>
        <w:t xml:space="preserve">teve como </w:t>
      </w:r>
      <w:r>
        <w:rPr>
          <w:spacing w:val="3"/>
        </w:rPr>
        <w:t xml:space="preserve">resultado </w:t>
      </w:r>
      <w:r>
        <w:t xml:space="preserve">a </w:t>
      </w:r>
      <w:r>
        <w:rPr>
          <w:spacing w:val="3"/>
        </w:rPr>
        <w:t xml:space="preserve">criação </w:t>
      </w:r>
      <w:r>
        <w:rPr>
          <w:spacing w:val="1"/>
        </w:rPr>
        <w:t xml:space="preserve">da </w:t>
      </w:r>
      <w:r>
        <w:rPr>
          <w:spacing w:val="3"/>
        </w:rPr>
        <w:t xml:space="preserve">Província Estanífera </w:t>
      </w:r>
      <w:r>
        <w:rPr>
          <w:spacing w:val="5"/>
        </w:rPr>
        <w:t xml:space="preserve">de </w:t>
      </w:r>
      <w:r>
        <w:rPr>
          <w:spacing w:val="1"/>
        </w:rPr>
        <w:t xml:space="preserve">Rondônia, compreendendo </w:t>
      </w:r>
      <w:r>
        <w:t xml:space="preserve">uma </w:t>
      </w:r>
      <w:r>
        <w:rPr>
          <w:spacing w:val="1"/>
        </w:rPr>
        <w:t xml:space="preserve">área </w:t>
      </w:r>
      <w:r>
        <w:t>de</w:t>
      </w:r>
      <w:r>
        <w:t xml:space="preserve"> </w:t>
      </w:r>
      <w:r>
        <w:rPr>
          <w:spacing w:val="2"/>
        </w:rPr>
        <w:t>aproximadamente</w:t>
      </w:r>
    </w:p>
    <w:p w:rsidR="00D81F69" w:rsidRDefault="00330118">
      <w:pPr>
        <w:pStyle w:val="Corpodetexto"/>
        <w:spacing w:before="14" w:line="312" w:lineRule="auto"/>
        <w:ind w:right="38"/>
      </w:pPr>
      <w:r>
        <w:t xml:space="preserve">87.000 km² no estado e em parte do Amazonas, Acre e Mato Grosso do Sul (PORSANI et. al., </w:t>
      </w:r>
      <w:r>
        <w:t>2004).</w:t>
      </w:r>
    </w:p>
    <w:p w:rsidR="00D81F69" w:rsidRDefault="00330118">
      <w:pPr>
        <w:pStyle w:val="Corpodetexto"/>
        <w:spacing w:before="132" w:line="312" w:lineRule="auto"/>
        <w:ind w:right="67"/>
      </w:pPr>
      <w:r>
        <w:rPr>
          <w:spacing w:val="5"/>
        </w:rPr>
        <w:t xml:space="preserve">Nesta época, </w:t>
      </w:r>
      <w:r>
        <w:rPr>
          <w:spacing w:val="6"/>
        </w:rPr>
        <w:t xml:space="preserve">empresas mineradoras instalaram-se </w:t>
      </w:r>
      <w:r>
        <w:rPr>
          <w:spacing w:val="7"/>
        </w:rPr>
        <w:t xml:space="preserve">em </w:t>
      </w:r>
      <w:r>
        <w:rPr>
          <w:spacing w:val="8"/>
        </w:rPr>
        <w:t xml:space="preserve">Rondônia, </w:t>
      </w:r>
      <w:r>
        <w:rPr>
          <w:spacing w:val="6"/>
        </w:rPr>
        <w:t xml:space="preserve">com </w:t>
      </w:r>
      <w:r>
        <w:rPr>
          <w:spacing w:val="8"/>
        </w:rPr>
        <w:t xml:space="preserve">objetivo </w:t>
      </w:r>
      <w:r>
        <w:rPr>
          <w:spacing w:val="5"/>
        </w:rPr>
        <w:t xml:space="preserve">de </w:t>
      </w:r>
      <w:r>
        <w:rPr>
          <w:spacing w:val="8"/>
        </w:rPr>
        <w:t xml:space="preserve">explorar </w:t>
      </w:r>
      <w:r>
        <w:rPr>
          <w:spacing w:val="7"/>
        </w:rPr>
        <w:t xml:space="preserve">ouro, </w:t>
      </w:r>
      <w:r>
        <w:rPr>
          <w:spacing w:val="10"/>
        </w:rPr>
        <w:t xml:space="preserve">diamantes, </w:t>
      </w:r>
      <w:r>
        <w:rPr>
          <w:spacing w:val="5"/>
        </w:rPr>
        <w:t xml:space="preserve">esmeraldas </w:t>
      </w:r>
      <w:r>
        <w:t xml:space="preserve">e </w:t>
      </w:r>
      <w:r>
        <w:rPr>
          <w:spacing w:val="5"/>
        </w:rPr>
        <w:t xml:space="preserve">cassiterita (MATOS, 2007). Porém, </w:t>
      </w:r>
      <w:r>
        <w:rPr>
          <w:spacing w:val="6"/>
        </w:rPr>
        <w:t xml:space="preserve">muito </w:t>
      </w:r>
      <w:r>
        <w:t xml:space="preserve">embora o ouro seja listado, há décadas, como presente no </w:t>
      </w:r>
      <w:r>
        <w:rPr>
          <w:spacing w:val="7"/>
        </w:rPr>
        <w:t xml:space="preserve">subsolo </w:t>
      </w:r>
      <w:r>
        <w:rPr>
          <w:spacing w:val="8"/>
        </w:rPr>
        <w:t xml:space="preserve">rondoniense </w:t>
      </w:r>
      <w:r>
        <w:t xml:space="preserve">e </w:t>
      </w:r>
      <w:r>
        <w:rPr>
          <w:spacing w:val="5"/>
        </w:rPr>
        <w:t xml:space="preserve">até </w:t>
      </w:r>
      <w:r>
        <w:rPr>
          <w:spacing w:val="6"/>
        </w:rPr>
        <w:t xml:space="preserve">hoje </w:t>
      </w:r>
      <w:r>
        <w:rPr>
          <w:spacing w:val="7"/>
        </w:rPr>
        <w:t xml:space="preserve">empresas solicitem </w:t>
      </w:r>
      <w:r>
        <w:t xml:space="preserve">e recebam permissão para a lavra deste minério, sua extração  é insignificante. Portanto, não há dados sobre a exploração  do minério na região. A bibliografia a respeito da história da </w:t>
      </w:r>
      <w:r>
        <w:rPr>
          <w:spacing w:val="6"/>
        </w:rPr>
        <w:t xml:space="preserve">mineração </w:t>
      </w:r>
      <w:r>
        <w:rPr>
          <w:spacing w:val="3"/>
        </w:rPr>
        <w:t xml:space="preserve">em </w:t>
      </w:r>
      <w:r>
        <w:rPr>
          <w:spacing w:val="6"/>
        </w:rPr>
        <w:t xml:space="preserve">Rondônia </w:t>
      </w:r>
      <w:r>
        <w:rPr>
          <w:spacing w:val="5"/>
        </w:rPr>
        <w:t xml:space="preserve">revela que, ainda </w:t>
      </w:r>
      <w:r>
        <w:rPr>
          <w:spacing w:val="3"/>
        </w:rPr>
        <w:t xml:space="preserve">em </w:t>
      </w:r>
      <w:r>
        <w:rPr>
          <w:spacing w:val="5"/>
        </w:rPr>
        <w:t xml:space="preserve">1915, </w:t>
      </w:r>
      <w:r>
        <w:t xml:space="preserve">o </w:t>
      </w:r>
      <w:r>
        <w:t>marechal Rondon referiu-se às minas de ouro de Urucumacuã como um mito, afirmando que não existiam (TEIXEIRA,</w:t>
      </w:r>
      <w:r>
        <w:rPr>
          <w:spacing w:val="6"/>
        </w:rPr>
        <w:t xml:space="preserve"> </w:t>
      </w:r>
      <w:r>
        <w:t>1999).</w:t>
      </w:r>
    </w:p>
    <w:p w:rsidR="00D81F69" w:rsidRDefault="00330118">
      <w:pPr>
        <w:pStyle w:val="Corpodetexto"/>
        <w:spacing w:before="140"/>
      </w:pPr>
      <w:r>
        <w:t>As principais substâncias minerais produzidas em Rondônia,</w:t>
      </w:r>
    </w:p>
    <w:p w:rsidR="00D81F69" w:rsidRDefault="00330118">
      <w:pPr>
        <w:pStyle w:val="Corpodetexto"/>
        <w:spacing w:before="139" w:line="312" w:lineRule="auto"/>
        <w:ind w:right="287"/>
        <w:jc w:val="left"/>
      </w:pPr>
      <w:r>
        <w:br w:type="column"/>
      </w:r>
      <w:r>
        <w:lastRenderedPageBreak/>
        <w:t>Com 4.426,576 km² e 90.353 habitantes (IBGE, 2010), Ariquemes fica no norte de Rondônia, a 198 km da capital, Porto Velho (PREFEITURA MUNICIPAL DE ARIQUEMES,</w:t>
      </w:r>
    </w:p>
    <w:p w:rsidR="00D81F69" w:rsidRDefault="00330118">
      <w:pPr>
        <w:pStyle w:val="Corpodetexto"/>
        <w:spacing w:before="3" w:line="312" w:lineRule="auto"/>
        <w:ind w:right="230"/>
      </w:pPr>
      <w:r>
        <w:rPr>
          <w:spacing w:val="5"/>
        </w:rPr>
        <w:t xml:space="preserve">2011a). </w:t>
      </w:r>
      <w:r>
        <w:t xml:space="preserve">O </w:t>
      </w:r>
      <w:r>
        <w:rPr>
          <w:spacing w:val="6"/>
        </w:rPr>
        <w:t xml:space="preserve">município </w:t>
      </w:r>
      <w:r>
        <w:rPr>
          <w:spacing w:val="5"/>
        </w:rPr>
        <w:t xml:space="preserve">abriga </w:t>
      </w:r>
      <w:r>
        <w:t xml:space="preserve">a </w:t>
      </w:r>
      <w:r>
        <w:rPr>
          <w:spacing w:val="5"/>
        </w:rPr>
        <w:t xml:space="preserve">mais </w:t>
      </w:r>
      <w:r>
        <w:rPr>
          <w:spacing w:val="6"/>
        </w:rPr>
        <w:t xml:space="preserve">importante </w:t>
      </w:r>
      <w:r>
        <w:rPr>
          <w:spacing w:val="5"/>
        </w:rPr>
        <w:t xml:space="preserve">mina </w:t>
      </w:r>
      <w:r>
        <w:rPr>
          <w:spacing w:val="7"/>
        </w:rPr>
        <w:t xml:space="preserve">de </w:t>
      </w:r>
      <w:r>
        <w:t>cassiterita do estado, conhecida como Garimpo</w:t>
      </w:r>
      <w:r>
        <w:t xml:space="preserve"> Bom Futuro, </w:t>
      </w:r>
      <w:r>
        <w:rPr>
          <w:spacing w:val="8"/>
        </w:rPr>
        <w:t xml:space="preserve">localizada </w:t>
      </w:r>
      <w:r>
        <w:rPr>
          <w:spacing w:val="5"/>
        </w:rPr>
        <w:t xml:space="preserve">no </w:t>
      </w:r>
      <w:r>
        <w:rPr>
          <w:spacing w:val="7"/>
        </w:rPr>
        <w:t xml:space="preserve">distrito </w:t>
      </w:r>
      <w:r>
        <w:rPr>
          <w:spacing w:val="5"/>
        </w:rPr>
        <w:t xml:space="preserve">de Bom </w:t>
      </w:r>
      <w:r>
        <w:rPr>
          <w:spacing w:val="7"/>
        </w:rPr>
        <w:t xml:space="preserve">Futuro. </w:t>
      </w:r>
      <w:r>
        <w:rPr>
          <w:spacing w:val="6"/>
        </w:rPr>
        <w:t xml:space="preserve">Este </w:t>
      </w:r>
      <w:r>
        <w:t xml:space="preserve">é </w:t>
      </w:r>
      <w:r>
        <w:rPr>
          <w:spacing w:val="10"/>
        </w:rPr>
        <w:t xml:space="preserve">também </w:t>
      </w:r>
      <w:r>
        <w:t xml:space="preserve">denominado o maior garimpo de cassiterita a céu aberto do </w:t>
      </w:r>
      <w:r>
        <w:rPr>
          <w:spacing w:val="10"/>
        </w:rPr>
        <w:t xml:space="preserve">mundo, portanto, </w:t>
      </w:r>
      <w:r>
        <w:rPr>
          <w:spacing w:val="5"/>
        </w:rPr>
        <w:t xml:space="preserve">de </w:t>
      </w:r>
      <w:r>
        <w:rPr>
          <w:spacing w:val="10"/>
        </w:rPr>
        <w:t xml:space="preserve">grande importância histórica </w:t>
      </w:r>
      <w:r>
        <w:t xml:space="preserve">e </w:t>
      </w:r>
      <w:r>
        <w:rPr>
          <w:spacing w:val="12"/>
        </w:rPr>
        <w:t xml:space="preserve">econômica </w:t>
      </w:r>
      <w:r>
        <w:rPr>
          <w:spacing w:val="10"/>
        </w:rPr>
        <w:t xml:space="preserve">para </w:t>
      </w:r>
      <w:r>
        <w:t xml:space="preserve">a </w:t>
      </w:r>
      <w:r>
        <w:rPr>
          <w:spacing w:val="11"/>
        </w:rPr>
        <w:t xml:space="preserve">região </w:t>
      </w:r>
      <w:r>
        <w:rPr>
          <w:spacing w:val="12"/>
        </w:rPr>
        <w:t xml:space="preserve">(MUZZOLON, </w:t>
      </w:r>
      <w:r>
        <w:rPr>
          <w:spacing w:val="10"/>
        </w:rPr>
        <w:t xml:space="preserve">1996 apud </w:t>
      </w:r>
      <w:r>
        <w:t>RODRIGUES, 2009). Os principais alvos</w:t>
      </w:r>
      <w:r>
        <w:t xml:space="preserve"> de garimpagem em Bom Futuro têm sido os leques aluviais e o sistema filoneano </w:t>
      </w:r>
      <w:r>
        <w:rPr>
          <w:spacing w:val="2"/>
        </w:rPr>
        <w:t xml:space="preserve">que </w:t>
      </w:r>
      <w:r>
        <w:rPr>
          <w:spacing w:val="3"/>
        </w:rPr>
        <w:t xml:space="preserve">entrecorta </w:t>
      </w:r>
      <w:r>
        <w:rPr>
          <w:spacing w:val="1"/>
        </w:rPr>
        <w:t xml:space="preserve">as </w:t>
      </w:r>
      <w:r>
        <w:rPr>
          <w:spacing w:val="3"/>
        </w:rPr>
        <w:t xml:space="preserve">rochas gnáissicas capeadoras </w:t>
      </w:r>
      <w:r>
        <w:rPr>
          <w:spacing w:val="1"/>
        </w:rPr>
        <w:t xml:space="preserve">do </w:t>
      </w:r>
      <w:r>
        <w:rPr>
          <w:spacing w:val="5"/>
        </w:rPr>
        <w:t xml:space="preserve">anel (“Ring Dyke”) </w:t>
      </w:r>
      <w:r>
        <w:rPr>
          <w:spacing w:val="2"/>
        </w:rPr>
        <w:t xml:space="preserve">de </w:t>
      </w:r>
      <w:r>
        <w:rPr>
          <w:spacing w:val="5"/>
        </w:rPr>
        <w:t xml:space="preserve">rochas vulcânicas </w:t>
      </w:r>
      <w:r>
        <w:t xml:space="preserve">e </w:t>
      </w:r>
      <w:r>
        <w:rPr>
          <w:spacing w:val="5"/>
        </w:rPr>
        <w:t>brechas intrusivas.</w:t>
      </w:r>
      <w:r>
        <w:rPr>
          <w:spacing w:val="61"/>
        </w:rPr>
        <w:t xml:space="preserve"> </w:t>
      </w:r>
      <w:r>
        <w:t xml:space="preserve">Neste sentido, verifica-se o alto grau de intemperização do </w:t>
      </w:r>
      <w:r>
        <w:rPr>
          <w:spacing w:val="13"/>
        </w:rPr>
        <w:t>gnais</w:t>
      </w:r>
      <w:r>
        <w:rPr>
          <w:spacing w:val="13"/>
        </w:rPr>
        <w:t xml:space="preserve">se. Contudo, </w:t>
      </w:r>
      <w:r>
        <w:rPr>
          <w:spacing w:val="10"/>
        </w:rPr>
        <w:t xml:space="preserve">não </w:t>
      </w:r>
      <w:r>
        <w:rPr>
          <w:spacing w:val="13"/>
        </w:rPr>
        <w:t xml:space="preserve">obstante </w:t>
      </w:r>
      <w:r>
        <w:t xml:space="preserve">o </w:t>
      </w:r>
      <w:r>
        <w:rPr>
          <w:spacing w:val="11"/>
        </w:rPr>
        <w:t xml:space="preserve">menor grau </w:t>
      </w:r>
      <w:r>
        <w:rPr>
          <w:spacing w:val="7"/>
        </w:rPr>
        <w:t xml:space="preserve">de </w:t>
      </w:r>
      <w:r>
        <w:rPr>
          <w:spacing w:val="5"/>
        </w:rPr>
        <w:t xml:space="preserve">intemperização </w:t>
      </w:r>
      <w:r>
        <w:rPr>
          <w:spacing w:val="3"/>
        </w:rPr>
        <w:t xml:space="preserve">das </w:t>
      </w:r>
      <w:r>
        <w:rPr>
          <w:spacing w:val="5"/>
        </w:rPr>
        <w:t xml:space="preserve">rochas </w:t>
      </w:r>
      <w:r>
        <w:rPr>
          <w:spacing w:val="2"/>
        </w:rPr>
        <w:t xml:space="preserve">e, </w:t>
      </w:r>
      <w:r>
        <w:rPr>
          <w:spacing w:val="5"/>
        </w:rPr>
        <w:t xml:space="preserve">consequentemente, </w:t>
      </w:r>
      <w:r>
        <w:rPr>
          <w:spacing w:val="6"/>
        </w:rPr>
        <w:t xml:space="preserve">maior </w:t>
      </w:r>
      <w:r>
        <w:rPr>
          <w:spacing w:val="5"/>
        </w:rPr>
        <w:t xml:space="preserve">dificuldade </w:t>
      </w:r>
      <w:r>
        <w:rPr>
          <w:spacing w:val="2"/>
        </w:rPr>
        <w:t xml:space="preserve">de </w:t>
      </w:r>
      <w:r>
        <w:rPr>
          <w:spacing w:val="5"/>
        </w:rPr>
        <w:t xml:space="preserve">garimpagem, </w:t>
      </w:r>
      <w:r>
        <w:rPr>
          <w:spacing w:val="2"/>
        </w:rPr>
        <w:t xml:space="preserve">as </w:t>
      </w:r>
      <w:r>
        <w:rPr>
          <w:spacing w:val="5"/>
        </w:rPr>
        <w:t xml:space="preserve">subvulcânicas </w:t>
      </w:r>
      <w:r>
        <w:t xml:space="preserve">e </w:t>
      </w:r>
      <w:r>
        <w:rPr>
          <w:spacing w:val="5"/>
        </w:rPr>
        <w:t xml:space="preserve">brechas </w:t>
      </w:r>
      <w:r>
        <w:t xml:space="preserve">também têm sido alvo de exploração (RODRIGUES, </w:t>
      </w:r>
      <w:r>
        <w:rPr>
          <w:spacing w:val="1"/>
        </w:rPr>
        <w:t>2009).</w:t>
      </w:r>
    </w:p>
    <w:p w:rsidR="00D81F69" w:rsidRDefault="00330118">
      <w:pPr>
        <w:pStyle w:val="Corpodetexto"/>
        <w:spacing w:before="143" w:line="312" w:lineRule="auto"/>
        <w:ind w:right="230"/>
      </w:pPr>
      <w:r>
        <w:t>Em plena atividade nos anos 1980, o garimpo Bom Futuro recebeu cerca de 30.000 garimpeiros. Eram agricultores, madeireiros, comerciantes, de vários pontos do país, que trocaram suas atividades pelo garimpo (MATOS, 2007). No auge do ciclo de exploração, a e</w:t>
      </w:r>
      <w:r>
        <w:t>xtração do garimpo correspondia a 80% da produção no país. Sua cassiterita – de alto teor – ajudou a elevar o Brasil à posição de maior produtor mundial de estanho no triênio 1988-1990 (RODRIGUES, 2001). Hoje, o país não ocupa mais o primeiro lugar na prod</w:t>
      </w:r>
      <w:r>
        <w:t>ução – é o quinto maior produtor mundial, com 13.899 toneladas produzidas em 2009 (DNPM, 2010) – mas o estanho retirado nessa área ainda é uma grande fonte de riqueza para Rondônia (J. MENDO CONSULTORIA, 2009).</w:t>
      </w:r>
    </w:p>
    <w:p w:rsidR="00D81F69" w:rsidRDefault="00330118">
      <w:pPr>
        <w:pStyle w:val="Corpodetexto"/>
        <w:spacing w:before="79" w:line="270" w:lineRule="atLeast"/>
        <w:ind w:right="232"/>
      </w:pPr>
      <w:r>
        <w:t>Em que pese o potencial estanífero de Rondôni</w:t>
      </w:r>
      <w:r>
        <w:t xml:space="preserve">a – associado à estrutura mínero-empresarial desenvolvida e consolidada durante a década de 1970 –, uma crise do mercado estanífero </w:t>
      </w:r>
      <w:r>
        <w:rPr>
          <w:spacing w:val="3"/>
        </w:rPr>
        <w:t xml:space="preserve">(estanho metálico) internacional, deflagrada </w:t>
      </w:r>
      <w:r>
        <w:rPr>
          <w:spacing w:val="1"/>
        </w:rPr>
        <w:t xml:space="preserve">já </w:t>
      </w:r>
      <w:r>
        <w:t xml:space="preserve">a </w:t>
      </w:r>
      <w:r>
        <w:rPr>
          <w:spacing w:val="3"/>
        </w:rPr>
        <w:t xml:space="preserve">partir </w:t>
      </w:r>
      <w:r>
        <w:rPr>
          <w:spacing w:val="5"/>
        </w:rPr>
        <w:t xml:space="preserve">de </w:t>
      </w:r>
      <w:r>
        <w:rPr>
          <w:spacing w:val="7"/>
        </w:rPr>
        <w:t xml:space="preserve">1985, </w:t>
      </w:r>
      <w:r>
        <w:rPr>
          <w:spacing w:val="5"/>
        </w:rPr>
        <w:t xml:space="preserve">se </w:t>
      </w:r>
      <w:r>
        <w:rPr>
          <w:spacing w:val="7"/>
        </w:rPr>
        <w:t xml:space="preserve">refletiu </w:t>
      </w:r>
      <w:r>
        <w:rPr>
          <w:spacing w:val="5"/>
        </w:rPr>
        <w:t xml:space="preserve">na </w:t>
      </w:r>
      <w:r>
        <w:rPr>
          <w:spacing w:val="8"/>
        </w:rPr>
        <w:t xml:space="preserve">diminuição </w:t>
      </w:r>
      <w:r>
        <w:rPr>
          <w:spacing w:val="5"/>
        </w:rPr>
        <w:t xml:space="preserve">dos </w:t>
      </w:r>
      <w:r>
        <w:rPr>
          <w:spacing w:val="8"/>
        </w:rPr>
        <w:t xml:space="preserve">investimentos </w:t>
      </w:r>
      <w:r>
        <w:rPr>
          <w:spacing w:val="10"/>
        </w:rPr>
        <w:t xml:space="preserve">em </w:t>
      </w:r>
      <w:r>
        <w:t>pesquisa mi</w:t>
      </w:r>
      <w:r>
        <w:t xml:space="preserve">neral sistemática na região, condição fundamental ao </w:t>
      </w:r>
      <w:r>
        <w:rPr>
          <w:spacing w:val="1"/>
        </w:rPr>
        <w:t xml:space="preserve">redimensionamento, reposição </w:t>
      </w:r>
      <w:r>
        <w:t xml:space="preserve">e </w:t>
      </w:r>
      <w:r>
        <w:rPr>
          <w:spacing w:val="1"/>
        </w:rPr>
        <w:t xml:space="preserve">definição </w:t>
      </w:r>
      <w:r>
        <w:t xml:space="preserve">de </w:t>
      </w:r>
      <w:r>
        <w:rPr>
          <w:spacing w:val="2"/>
        </w:rPr>
        <w:t xml:space="preserve">reservas. </w:t>
      </w:r>
      <w:r>
        <w:t>Essa</w:t>
      </w:r>
      <w:r>
        <w:rPr>
          <w:spacing w:val="23"/>
        </w:rPr>
        <w:t xml:space="preserve"> </w:t>
      </w:r>
      <w:r>
        <w:t>complicada</w:t>
      </w:r>
      <w:r>
        <w:rPr>
          <w:spacing w:val="23"/>
        </w:rPr>
        <w:t xml:space="preserve"> </w:t>
      </w:r>
      <w:r>
        <w:t>situação</w:t>
      </w:r>
      <w:r>
        <w:rPr>
          <w:spacing w:val="23"/>
        </w:rPr>
        <w:t xml:space="preserve"> </w:t>
      </w:r>
      <w:r>
        <w:t>econômica</w:t>
      </w:r>
      <w:r>
        <w:rPr>
          <w:spacing w:val="23"/>
        </w:rPr>
        <w:t xml:space="preserve"> </w:t>
      </w:r>
      <w:r>
        <w:t>(desarranjo</w:t>
      </w:r>
      <w:r>
        <w:rPr>
          <w:spacing w:val="23"/>
        </w:rPr>
        <w:t xml:space="preserve"> </w:t>
      </w:r>
      <w:r>
        <w:t>de</w:t>
      </w:r>
      <w:r>
        <w:rPr>
          <w:spacing w:val="23"/>
        </w:rPr>
        <w:t xml:space="preserve"> </w:t>
      </w:r>
      <w:r>
        <w:t>preços,</w:t>
      </w:r>
    </w:p>
    <w:p w:rsidR="00D81F69" w:rsidRDefault="00D81F69">
      <w:pPr>
        <w:spacing w:line="270" w:lineRule="atLeast"/>
        <w:sectPr w:rsidR="00D81F69">
          <w:type w:val="continuous"/>
          <w:pgSz w:w="11900" w:h="16840"/>
          <w:pgMar w:top="720" w:right="460" w:bottom="280" w:left="620" w:header="720" w:footer="720" w:gutter="0"/>
          <w:cols w:num="2" w:space="720" w:equalWidth="0">
            <w:col w:w="5193" w:space="277"/>
            <w:col w:w="5350"/>
          </w:cols>
        </w:sectPr>
      </w:pPr>
    </w:p>
    <w:p w:rsidR="00D81F69" w:rsidRDefault="00330118">
      <w:pPr>
        <w:pStyle w:val="Corpodetexto"/>
        <w:spacing w:before="81" w:line="312" w:lineRule="auto"/>
        <w:ind w:right="38"/>
      </w:pPr>
      <w:r>
        <w:rPr>
          <w:spacing w:val="7"/>
        </w:rPr>
        <w:lastRenderedPageBreak/>
        <w:t xml:space="preserve">etc.), </w:t>
      </w:r>
      <w:r>
        <w:rPr>
          <w:spacing w:val="5"/>
        </w:rPr>
        <w:t xml:space="preserve">na </w:t>
      </w:r>
      <w:r>
        <w:rPr>
          <w:spacing w:val="7"/>
        </w:rPr>
        <w:t xml:space="preserve">década </w:t>
      </w:r>
      <w:r>
        <w:rPr>
          <w:spacing w:val="5"/>
        </w:rPr>
        <w:t xml:space="preserve">de </w:t>
      </w:r>
      <w:r>
        <w:rPr>
          <w:spacing w:val="7"/>
        </w:rPr>
        <w:t xml:space="preserve">1990, provocou </w:t>
      </w:r>
      <w:r>
        <w:rPr>
          <w:spacing w:val="5"/>
        </w:rPr>
        <w:t xml:space="preserve">uma </w:t>
      </w:r>
      <w:r>
        <w:rPr>
          <w:spacing w:val="7"/>
        </w:rPr>
        <w:t xml:space="preserve">retração </w:t>
      </w:r>
      <w:r>
        <w:rPr>
          <w:spacing w:val="10"/>
        </w:rPr>
        <w:t xml:space="preserve">das </w:t>
      </w:r>
      <w:r>
        <w:rPr>
          <w:spacing w:val="5"/>
        </w:rPr>
        <w:t xml:space="preserve">atividades </w:t>
      </w:r>
      <w:r>
        <w:rPr>
          <w:spacing w:val="2"/>
        </w:rPr>
        <w:t>d</w:t>
      </w:r>
      <w:r>
        <w:rPr>
          <w:spacing w:val="2"/>
        </w:rPr>
        <w:t xml:space="preserve">o </w:t>
      </w:r>
      <w:r>
        <w:rPr>
          <w:spacing w:val="5"/>
        </w:rPr>
        <w:t xml:space="preserve">segmento mínero-estanífero </w:t>
      </w:r>
      <w:r>
        <w:rPr>
          <w:spacing w:val="6"/>
        </w:rPr>
        <w:t xml:space="preserve">rondoniense, </w:t>
      </w:r>
      <w:r>
        <w:t xml:space="preserve">implicando o fechamento de minas, saída e falência até de diversos grupos empresariais precursores da mineração de </w:t>
      </w:r>
      <w:r>
        <w:rPr>
          <w:spacing w:val="20"/>
        </w:rPr>
        <w:t xml:space="preserve">cassiterita </w:t>
      </w:r>
      <w:r>
        <w:rPr>
          <w:spacing w:val="10"/>
        </w:rPr>
        <w:t>na</w:t>
      </w:r>
      <w:r>
        <w:rPr>
          <w:spacing w:val="71"/>
        </w:rPr>
        <w:t xml:space="preserve"> </w:t>
      </w:r>
      <w:r>
        <w:rPr>
          <w:spacing w:val="17"/>
        </w:rPr>
        <w:t xml:space="preserve">região, </w:t>
      </w:r>
      <w:r>
        <w:rPr>
          <w:spacing w:val="15"/>
        </w:rPr>
        <w:t>como</w:t>
      </w:r>
      <w:r>
        <w:rPr>
          <w:spacing w:val="81"/>
        </w:rPr>
        <w:t xml:space="preserve"> </w:t>
      </w:r>
      <w:r>
        <w:rPr>
          <w:spacing w:val="16"/>
        </w:rPr>
        <w:t xml:space="preserve">Best, </w:t>
      </w:r>
      <w:r>
        <w:rPr>
          <w:spacing w:val="20"/>
        </w:rPr>
        <w:t xml:space="preserve">Brumadinho, </w:t>
      </w:r>
      <w:r>
        <w:t xml:space="preserve">Cesbra/Brascan e Paranapanema (RODRIGUES, 2009). Na </w:t>
      </w:r>
      <w:r>
        <w:rPr>
          <w:spacing w:val="3"/>
        </w:rPr>
        <w:t>ú</w:t>
      </w:r>
      <w:r>
        <w:rPr>
          <w:spacing w:val="3"/>
        </w:rPr>
        <w:t xml:space="preserve">ltima década, tem-se </w:t>
      </w:r>
      <w:r>
        <w:rPr>
          <w:spacing w:val="2"/>
        </w:rPr>
        <w:t xml:space="preserve">como </w:t>
      </w:r>
      <w:r>
        <w:rPr>
          <w:spacing w:val="3"/>
        </w:rPr>
        <w:t xml:space="preserve">ponto </w:t>
      </w:r>
      <w:r>
        <w:rPr>
          <w:spacing w:val="1"/>
        </w:rPr>
        <w:t xml:space="preserve">de </w:t>
      </w:r>
      <w:r>
        <w:rPr>
          <w:spacing w:val="3"/>
        </w:rPr>
        <w:t xml:space="preserve">destaque </w:t>
      </w:r>
      <w:r>
        <w:rPr>
          <w:spacing w:val="1"/>
        </w:rPr>
        <w:t xml:space="preserve">um </w:t>
      </w:r>
      <w:r>
        <w:rPr>
          <w:spacing w:val="5"/>
        </w:rPr>
        <w:t xml:space="preserve">forte </w:t>
      </w:r>
      <w:r>
        <w:t xml:space="preserve">declínio na produção mundial no 4º trimestre de 2008: 29,7%; muito embora, mesmo diante do ambiente de arrefecimento  </w:t>
      </w:r>
      <w:r>
        <w:rPr>
          <w:spacing w:val="1"/>
        </w:rPr>
        <w:t xml:space="preserve">do </w:t>
      </w:r>
      <w:r>
        <w:rPr>
          <w:spacing w:val="3"/>
        </w:rPr>
        <w:t xml:space="preserve">mercado estanífero internacional, </w:t>
      </w:r>
      <w:r>
        <w:t xml:space="preserve">o </w:t>
      </w:r>
      <w:r>
        <w:rPr>
          <w:spacing w:val="3"/>
        </w:rPr>
        <w:t xml:space="preserve">Brasil ainda </w:t>
      </w:r>
      <w:r>
        <w:rPr>
          <w:spacing w:val="5"/>
        </w:rPr>
        <w:t xml:space="preserve">tenha </w:t>
      </w:r>
      <w:r>
        <w:t xml:space="preserve">apresentado leve aumento de 9,8% na produção (13.000 </w:t>
      </w:r>
      <w:r>
        <w:rPr>
          <w:spacing w:val="1"/>
        </w:rPr>
        <w:t xml:space="preserve">t), </w:t>
      </w:r>
      <w:r>
        <w:t>assegurando</w:t>
      </w:r>
      <w:r>
        <w:rPr>
          <w:spacing w:val="30"/>
        </w:rPr>
        <w:t xml:space="preserve"> </w:t>
      </w:r>
      <w:r>
        <w:t>a</w:t>
      </w:r>
      <w:r>
        <w:rPr>
          <w:spacing w:val="30"/>
        </w:rPr>
        <w:t xml:space="preserve"> </w:t>
      </w:r>
      <w:r>
        <w:t>provisão</w:t>
      </w:r>
      <w:r>
        <w:rPr>
          <w:spacing w:val="30"/>
        </w:rPr>
        <w:t xml:space="preserve"> </w:t>
      </w:r>
      <w:r>
        <w:t>da</w:t>
      </w:r>
      <w:r>
        <w:rPr>
          <w:spacing w:val="30"/>
        </w:rPr>
        <w:t xml:space="preserve"> </w:t>
      </w:r>
      <w:r>
        <w:t>demanda</w:t>
      </w:r>
      <w:r>
        <w:rPr>
          <w:spacing w:val="30"/>
        </w:rPr>
        <w:t xml:space="preserve"> </w:t>
      </w:r>
      <w:r>
        <w:t>interna</w:t>
      </w:r>
      <w:r>
        <w:rPr>
          <w:spacing w:val="30"/>
        </w:rPr>
        <w:t xml:space="preserve"> </w:t>
      </w:r>
      <w:r>
        <w:t>(estimada</w:t>
      </w:r>
      <w:r>
        <w:rPr>
          <w:spacing w:val="30"/>
        </w:rPr>
        <w:t xml:space="preserve"> </w:t>
      </w:r>
      <w:r>
        <w:t>em</w:t>
      </w:r>
    </w:p>
    <w:p w:rsidR="00D81F69" w:rsidRDefault="00330118">
      <w:pPr>
        <w:pStyle w:val="Corpodetexto"/>
        <w:spacing w:before="11"/>
      </w:pPr>
      <w:r>
        <w:t>6.500 t de estanho metálico) (DNPM, 2009).</w:t>
      </w:r>
    </w:p>
    <w:p w:rsidR="00D81F69" w:rsidRDefault="00D81F69">
      <w:pPr>
        <w:pStyle w:val="Corpodetexto"/>
        <w:spacing w:before="9"/>
        <w:ind w:left="0"/>
        <w:jc w:val="left"/>
        <w:rPr>
          <w:sz w:val="16"/>
        </w:rPr>
      </w:pPr>
    </w:p>
    <w:p w:rsidR="00D81F69" w:rsidRDefault="00330118">
      <w:pPr>
        <w:pStyle w:val="Corpodetexto"/>
        <w:spacing w:line="312" w:lineRule="auto"/>
        <w:ind w:right="53"/>
      </w:pPr>
      <w:r>
        <w:t>Inicialmente, a garimpagem da cassiterita se dava de forma clandestina e manual. Os garimpos eram de</w:t>
      </w:r>
      <w:r>
        <w:t>nsamente povoados, e, através desta povoação, se desenvolveram as primeiras pistas de pouso, e alguma infraestrutura nestas localidades (moradias e estabelecimentos comerciais) (PREFEITURA MUNICIPAL DE ARIQUEMES, 2011a),</w:t>
      </w:r>
    </w:p>
    <w:p w:rsidR="00D81F69" w:rsidRDefault="00330118">
      <w:pPr>
        <w:pStyle w:val="Corpodetexto"/>
        <w:spacing w:before="6" w:line="312" w:lineRule="auto"/>
        <w:ind w:right="55"/>
      </w:pPr>
      <w:r>
        <w:t>embora sem planejamento, de forma d</w:t>
      </w:r>
      <w:r>
        <w:t>esorganizada, gerando grandes problemas (típicos de aglomerações desordenadas, como uso predatório de recursos naturais, saneamento precário, difusão de doenças epidêmicas, etc.) para a região (AZEVEDO; DELGADO, 2002). Atualmente, tem-se notícia de uma mai</w:t>
      </w:r>
      <w:r>
        <w:t xml:space="preserve">or organização, inclusive de sindicatos e cooperativas de trabalhadores. Há cooperativas de antigos garimpeiros, hoje empresários no ramo da mineração, associações de empresas, e diversificação de atividade – como a fundição, além da extração do metal (J. </w:t>
      </w:r>
      <w:r>
        <w:t>MENDO CONSULTORIA, 2009).</w:t>
      </w:r>
    </w:p>
    <w:p w:rsidR="00D81F69" w:rsidRDefault="00330118">
      <w:pPr>
        <w:pStyle w:val="Corpodetexto"/>
        <w:spacing w:before="140" w:line="312" w:lineRule="auto"/>
        <w:ind w:right="75"/>
      </w:pPr>
      <w:r>
        <w:t>Dentre as principais produtoras de Rondônia, estão as empresas cooperativadas e, entre as cinco primeiras em valor da comercialização, três são de extração de cassiterita, sendo que as duas primeiras assumem também as duas primeir</w:t>
      </w:r>
      <w:r>
        <w:t>as posições no universo de todas as empresas produtoras de minério do estado. São elas, em valor decrescente de comercialização: Cooperativa Estanífera de Minério da Amazônia Legal, Estanho de Rondônia S/A, e Mineradora Xacriabá Ltda (DNPM, 2008).</w:t>
      </w:r>
    </w:p>
    <w:p w:rsidR="00D81F69" w:rsidRDefault="00330118">
      <w:pPr>
        <w:pStyle w:val="Corpodetexto"/>
        <w:spacing w:before="138" w:line="312" w:lineRule="auto"/>
        <w:ind w:right="51"/>
      </w:pPr>
      <w:r>
        <w:t>Quanto à</w:t>
      </w:r>
      <w:r>
        <w:t>s consequências geradas pelo histórico de mineração em Ariquemes, tem-se um quadro de danos ambientais bem característico de áreas de extração mineral (considerando-se para isto as técnicas locais empregadas): desmatamento, escavações e deposição de rejeit</w:t>
      </w:r>
      <w:r>
        <w:t>os (gerando mudança na paisagem e alteração do terreno do local de lavra); abertura de estradas, construção de acampamentos e moradias em cavas de lavras (AZEVEDO; DELGADO, 2002; UNICAMP, 2004). Focando especificamente Bom Futuro, há registros importantes,</w:t>
      </w:r>
      <w:r>
        <w:t xml:space="preserve"> como o que mostra que a extração de cassiterita, já na última década, seria feita com bomba que transporta água dos rios até o jigue [uma grande batéia mecânica], separando o minério da argila, e depois despejando toneladas de melechete [um tipo de lama p</w:t>
      </w:r>
      <w:r>
        <w:t>roveniente da lavagem da terra, em garimpos], levando ao assoreamento de rios, lagos e igarapés (AZEVEDO;</w:t>
      </w:r>
    </w:p>
    <w:p w:rsidR="00D81F69" w:rsidRDefault="00330118">
      <w:pPr>
        <w:pStyle w:val="Corpodetexto"/>
        <w:spacing w:before="81" w:line="312" w:lineRule="auto"/>
        <w:ind w:right="251"/>
      </w:pPr>
      <w:r>
        <w:br w:type="column"/>
      </w:r>
      <w:r>
        <w:lastRenderedPageBreak/>
        <w:t>DELGADO, 2002), comprometendo todo o sistema fluvial da região. Além disto, a mineração sem controle ambiental gera áreas de risco para as próprias p</w:t>
      </w:r>
      <w:r>
        <w:t>essoas que moram e/ou transitam no local em razão do aumento de erosão provocado (PREFEITURA DE ARIQUEMES, 2011b).</w:t>
      </w:r>
    </w:p>
    <w:p w:rsidR="00D81F69" w:rsidRDefault="00330118">
      <w:pPr>
        <w:pStyle w:val="Corpodetexto"/>
        <w:spacing w:before="134" w:line="312" w:lineRule="auto"/>
        <w:ind w:right="254"/>
        <w:jc w:val="left"/>
      </w:pPr>
      <w:r>
        <w:t>Acrescenta-se a estes danos, e mais especificamente ao desmatamento, os já produzidos por outras atividades de monta na região – sendo a mais expressiva a extração madeireira. Em 2008, a Floresta Nacional do Bom Futuro, na região do garimpo, sofreu um desm</w:t>
      </w:r>
      <w:r>
        <w:t>atamento de 9,3 km². Isto, somado a tudo o que já foi derrubado ao longo dos anos (REINACH, 2009), permitiria dizer que 28% da área de mata desta reserva já não mais existem – em razão da própria atividade madeireira (OLHO VIVO RONDÔNIA, 2009). Esses númer</w:t>
      </w:r>
      <w:r>
        <w:t>os chamam a atenção para o complicado quadro de degradação ambiental da localidade. O garimpo Bom Futuro hoje está cercado de uma área totalmente desmatada (REINACH, 2009).</w:t>
      </w:r>
    </w:p>
    <w:p w:rsidR="00D81F69" w:rsidRDefault="00330118">
      <w:pPr>
        <w:pStyle w:val="Corpodetexto"/>
        <w:spacing w:before="142" w:line="312" w:lineRule="auto"/>
        <w:ind w:right="231"/>
      </w:pPr>
      <w:r>
        <w:t xml:space="preserve">Além dos danos à saúde ambiental citados, há aqueles mais </w:t>
      </w:r>
      <w:r>
        <w:rPr>
          <w:spacing w:val="5"/>
        </w:rPr>
        <w:t xml:space="preserve">diretamente ligados </w:t>
      </w:r>
      <w:r>
        <w:rPr>
          <w:spacing w:val="2"/>
        </w:rPr>
        <w:t xml:space="preserve">às </w:t>
      </w:r>
      <w:r>
        <w:rPr>
          <w:spacing w:val="5"/>
        </w:rPr>
        <w:t>te</w:t>
      </w:r>
      <w:r>
        <w:rPr>
          <w:spacing w:val="5"/>
        </w:rPr>
        <w:t xml:space="preserve">nsões sociais diárias, </w:t>
      </w:r>
      <w:r>
        <w:rPr>
          <w:spacing w:val="3"/>
        </w:rPr>
        <w:t xml:space="preserve">como </w:t>
      </w:r>
      <w:r>
        <w:rPr>
          <w:spacing w:val="5"/>
        </w:rPr>
        <w:t>os</w:t>
      </w:r>
      <w:r>
        <w:rPr>
          <w:spacing w:val="61"/>
        </w:rPr>
        <w:t xml:space="preserve"> </w:t>
      </w:r>
      <w:r>
        <w:rPr>
          <w:spacing w:val="6"/>
        </w:rPr>
        <w:t xml:space="preserve">problemas relacionados </w:t>
      </w:r>
      <w:r>
        <w:rPr>
          <w:spacing w:val="3"/>
        </w:rPr>
        <w:t xml:space="preserve">às </w:t>
      </w:r>
      <w:r>
        <w:rPr>
          <w:spacing w:val="5"/>
        </w:rPr>
        <w:t xml:space="preserve">más </w:t>
      </w:r>
      <w:r>
        <w:rPr>
          <w:spacing w:val="6"/>
        </w:rPr>
        <w:t xml:space="preserve">condições </w:t>
      </w:r>
      <w:r>
        <w:rPr>
          <w:spacing w:val="3"/>
        </w:rPr>
        <w:t xml:space="preserve">de </w:t>
      </w:r>
      <w:r>
        <w:rPr>
          <w:spacing w:val="5"/>
        </w:rPr>
        <w:t xml:space="preserve">vida </w:t>
      </w:r>
      <w:r>
        <w:rPr>
          <w:spacing w:val="7"/>
        </w:rPr>
        <w:t xml:space="preserve">dos </w:t>
      </w:r>
      <w:r>
        <w:t xml:space="preserve">garimpeiros: exploração do trabalho (inclusive com difusão de </w:t>
      </w:r>
      <w:r>
        <w:rPr>
          <w:spacing w:val="5"/>
        </w:rPr>
        <w:t xml:space="preserve">trabalho infantil), subemprego, prostituição, elevação da </w:t>
      </w:r>
      <w:r>
        <w:t>criminalidade e deterioração da saúde pública. A malá</w:t>
      </w:r>
      <w:r>
        <w:t xml:space="preserve">ria, por exemplo, é citada como um grave problema no garimpo de </w:t>
      </w:r>
      <w:r>
        <w:rPr>
          <w:spacing w:val="5"/>
        </w:rPr>
        <w:t xml:space="preserve">Bom </w:t>
      </w:r>
      <w:r>
        <w:rPr>
          <w:spacing w:val="7"/>
        </w:rPr>
        <w:t xml:space="preserve">Futuro (AZEVEDO; DELGADO, 2002). Quanto </w:t>
      </w:r>
      <w:r>
        <w:t xml:space="preserve">à </w:t>
      </w:r>
      <w:r>
        <w:rPr>
          <w:spacing w:val="5"/>
        </w:rPr>
        <w:t xml:space="preserve">criminalidade, existe </w:t>
      </w:r>
      <w:r>
        <w:rPr>
          <w:spacing w:val="3"/>
        </w:rPr>
        <w:t xml:space="preserve">uma </w:t>
      </w:r>
      <w:r>
        <w:rPr>
          <w:spacing w:val="5"/>
        </w:rPr>
        <w:t xml:space="preserve">constante preocupação </w:t>
      </w:r>
      <w:r>
        <w:rPr>
          <w:spacing w:val="3"/>
        </w:rPr>
        <w:t xml:space="preserve">com </w:t>
      </w:r>
      <w:r>
        <w:t xml:space="preserve">a </w:t>
      </w:r>
      <w:r>
        <w:rPr>
          <w:spacing w:val="5"/>
        </w:rPr>
        <w:t xml:space="preserve">segurança </w:t>
      </w:r>
      <w:r>
        <w:rPr>
          <w:spacing w:val="2"/>
        </w:rPr>
        <w:t xml:space="preserve">da </w:t>
      </w:r>
      <w:r>
        <w:rPr>
          <w:spacing w:val="5"/>
        </w:rPr>
        <w:t xml:space="preserve">população </w:t>
      </w:r>
      <w:r>
        <w:rPr>
          <w:spacing w:val="3"/>
        </w:rPr>
        <w:t xml:space="preserve">que vive </w:t>
      </w:r>
      <w:r>
        <w:t xml:space="preserve">e </w:t>
      </w:r>
      <w:r>
        <w:rPr>
          <w:spacing w:val="2"/>
        </w:rPr>
        <w:t xml:space="preserve">se </w:t>
      </w:r>
      <w:r>
        <w:rPr>
          <w:spacing w:val="5"/>
        </w:rPr>
        <w:t xml:space="preserve">relaciona </w:t>
      </w:r>
      <w:r>
        <w:rPr>
          <w:spacing w:val="3"/>
        </w:rPr>
        <w:t xml:space="preserve">com </w:t>
      </w:r>
      <w:r>
        <w:t xml:space="preserve">a localidade. Recentemente, foi atendida </w:t>
      </w:r>
      <w:r>
        <w:t xml:space="preserve">uma reivindicação dos moradores por incremento de policiamento. O 7º Batalhão de </w:t>
      </w:r>
      <w:r>
        <w:rPr>
          <w:spacing w:val="3"/>
        </w:rPr>
        <w:t xml:space="preserve">Polícia Militar </w:t>
      </w:r>
      <w:r>
        <w:rPr>
          <w:spacing w:val="1"/>
        </w:rPr>
        <w:t xml:space="preserve">em </w:t>
      </w:r>
      <w:r>
        <w:rPr>
          <w:spacing w:val="3"/>
        </w:rPr>
        <w:t xml:space="preserve">Ariquemes implantou </w:t>
      </w:r>
      <w:r>
        <w:rPr>
          <w:spacing w:val="1"/>
        </w:rPr>
        <w:t xml:space="preserve">no </w:t>
      </w:r>
      <w:r>
        <w:rPr>
          <w:spacing w:val="3"/>
        </w:rPr>
        <w:t xml:space="preserve">Garimpo </w:t>
      </w:r>
      <w:r>
        <w:rPr>
          <w:spacing w:val="5"/>
        </w:rPr>
        <w:t xml:space="preserve">Bom </w:t>
      </w:r>
      <w:r>
        <w:rPr>
          <w:spacing w:val="11"/>
        </w:rPr>
        <w:t xml:space="preserve">Futuro </w:t>
      </w:r>
      <w:r>
        <w:rPr>
          <w:spacing w:val="6"/>
        </w:rPr>
        <w:t xml:space="preserve">um </w:t>
      </w:r>
      <w:r>
        <w:rPr>
          <w:spacing w:val="12"/>
        </w:rPr>
        <w:t xml:space="preserve">Grupamento </w:t>
      </w:r>
      <w:r>
        <w:rPr>
          <w:spacing w:val="6"/>
        </w:rPr>
        <w:t xml:space="preserve">de </w:t>
      </w:r>
      <w:r>
        <w:rPr>
          <w:spacing w:val="12"/>
        </w:rPr>
        <w:t xml:space="preserve">Policiamento Ostensivo </w:t>
      </w:r>
      <w:r>
        <w:rPr>
          <w:spacing w:val="8"/>
        </w:rPr>
        <w:t xml:space="preserve">permanente. </w:t>
      </w:r>
      <w:r>
        <w:t xml:space="preserve">A </w:t>
      </w:r>
      <w:r>
        <w:rPr>
          <w:spacing w:val="7"/>
        </w:rPr>
        <w:t xml:space="preserve">região </w:t>
      </w:r>
      <w:r>
        <w:t xml:space="preserve">é </w:t>
      </w:r>
      <w:r>
        <w:rPr>
          <w:spacing w:val="7"/>
        </w:rPr>
        <w:t xml:space="preserve">conhecida </w:t>
      </w:r>
      <w:r>
        <w:rPr>
          <w:spacing w:val="6"/>
        </w:rPr>
        <w:t xml:space="preserve">como </w:t>
      </w:r>
      <w:r>
        <w:rPr>
          <w:spacing w:val="5"/>
        </w:rPr>
        <w:t xml:space="preserve">um </w:t>
      </w:r>
      <w:r>
        <w:rPr>
          <w:spacing w:val="7"/>
        </w:rPr>
        <w:t xml:space="preserve">ponto </w:t>
      </w:r>
      <w:r>
        <w:rPr>
          <w:spacing w:val="10"/>
        </w:rPr>
        <w:t xml:space="preserve">de </w:t>
      </w:r>
      <w:r>
        <w:rPr>
          <w:spacing w:val="1"/>
        </w:rPr>
        <w:t xml:space="preserve">ocorrência </w:t>
      </w:r>
      <w:r>
        <w:t xml:space="preserve">de </w:t>
      </w:r>
      <w:r>
        <w:rPr>
          <w:spacing w:val="1"/>
        </w:rPr>
        <w:t xml:space="preserve">delitos. </w:t>
      </w:r>
      <w:r>
        <w:t xml:space="preserve">Os </w:t>
      </w:r>
      <w:r>
        <w:rPr>
          <w:spacing w:val="1"/>
        </w:rPr>
        <w:t xml:space="preserve">crimes mais comuns </w:t>
      </w:r>
      <w:r>
        <w:rPr>
          <w:spacing w:val="2"/>
        </w:rPr>
        <w:t xml:space="preserve">registrados </w:t>
      </w:r>
      <w:r>
        <w:t xml:space="preserve">são homicídios e roubos (principalmente de cargas), além de </w:t>
      </w:r>
      <w:r>
        <w:rPr>
          <w:spacing w:val="3"/>
        </w:rPr>
        <w:t xml:space="preserve">porte </w:t>
      </w:r>
      <w:r>
        <w:rPr>
          <w:spacing w:val="1"/>
        </w:rPr>
        <w:t xml:space="preserve">de </w:t>
      </w:r>
      <w:r>
        <w:rPr>
          <w:spacing w:val="3"/>
        </w:rPr>
        <w:t xml:space="preserve">armas </w:t>
      </w:r>
      <w:r>
        <w:t xml:space="preserve">e </w:t>
      </w:r>
      <w:r>
        <w:rPr>
          <w:spacing w:val="3"/>
        </w:rPr>
        <w:t xml:space="preserve">pequenos furtos (PORTAL </w:t>
      </w:r>
      <w:r>
        <w:rPr>
          <w:spacing w:val="5"/>
        </w:rPr>
        <w:t>RONDÔNIA, 2010).</w:t>
      </w:r>
    </w:p>
    <w:p w:rsidR="00D81F69" w:rsidRDefault="00330118">
      <w:pPr>
        <w:pStyle w:val="Corpodetexto"/>
        <w:spacing w:before="148" w:line="312" w:lineRule="auto"/>
        <w:ind w:right="253"/>
      </w:pPr>
      <w:r>
        <w:t>Observa-se, ainda, que os estudos para composição do Plano Diretor da Cidade destacam o garimpo Bom Futu</w:t>
      </w:r>
      <w:r>
        <w:t>ro como área de grande impacto ambiental, no qual caberia processo de recuperação em minas exauridas, que, inclusive, apresentam potencial turístico, abrindo alternativa de renda à população local (PREFEITURA DE ARIQUEMES, 2011b).</w:t>
      </w:r>
    </w:p>
    <w:p w:rsidR="00D81F69" w:rsidRDefault="00D81F69">
      <w:pPr>
        <w:pStyle w:val="Corpodetexto"/>
        <w:spacing w:before="5"/>
        <w:ind w:left="0"/>
        <w:jc w:val="left"/>
        <w:rPr>
          <w:sz w:val="21"/>
        </w:rPr>
      </w:pPr>
    </w:p>
    <w:p w:rsidR="00D81F69" w:rsidRDefault="00330118">
      <w:pPr>
        <w:pStyle w:val="Heading7"/>
        <w:jc w:val="left"/>
      </w:pPr>
      <w:r>
        <w:t>LOCALIZAÇÃO GEOGRÁFICA</w:t>
      </w:r>
    </w:p>
    <w:p w:rsidR="00D81F69" w:rsidRDefault="00330118">
      <w:pPr>
        <w:pStyle w:val="Corpodetexto"/>
        <w:spacing w:before="179" w:line="312" w:lineRule="auto"/>
        <w:ind w:right="251"/>
      </w:pPr>
      <w:r>
        <w:t>O</w:t>
      </w:r>
      <w:r>
        <w:t xml:space="preserve"> município de Ariquemes (latitude 9°54’50”S e longitude 63°02’38”W) localiza-se ao norte de Rondônia a 198 km de distância de Porto Velho.</w:t>
      </w:r>
    </w:p>
    <w:p w:rsidR="00D81F69" w:rsidRDefault="00D81F69">
      <w:pPr>
        <w:pStyle w:val="Corpodetexto"/>
        <w:ind w:left="0"/>
        <w:jc w:val="left"/>
        <w:rPr>
          <w:sz w:val="29"/>
        </w:rPr>
      </w:pPr>
    </w:p>
    <w:p w:rsidR="00D81F69" w:rsidRDefault="00330118">
      <w:pPr>
        <w:pStyle w:val="Heading7"/>
        <w:spacing w:before="1"/>
      </w:pPr>
      <w:r>
        <w:t>REDATORES</w:t>
      </w:r>
    </w:p>
    <w:p w:rsidR="00D81F69" w:rsidRDefault="00330118">
      <w:pPr>
        <w:pStyle w:val="Corpodetexto"/>
        <w:spacing w:before="178"/>
      </w:pPr>
      <w:r>
        <w:t>Laura Maul C. Costa</w:t>
      </w:r>
    </w:p>
    <w:p w:rsidR="00D81F69" w:rsidRDefault="00D81F69">
      <w:pPr>
        <w:pStyle w:val="Corpodetexto"/>
        <w:ind w:left="0"/>
        <w:jc w:val="left"/>
        <w:rPr>
          <w:sz w:val="20"/>
        </w:rPr>
      </w:pPr>
    </w:p>
    <w:p w:rsidR="00D81F69" w:rsidRDefault="00330118">
      <w:pPr>
        <w:pStyle w:val="Heading7"/>
        <w:spacing w:before="165"/>
      </w:pPr>
      <w:r>
        <w:t>REFERÊNCIAS BIBLIOGRÁFICAS</w:t>
      </w:r>
    </w:p>
    <w:p w:rsidR="00D81F69" w:rsidRDefault="00D81F69">
      <w:pPr>
        <w:sectPr w:rsidR="00D81F69">
          <w:pgSz w:w="11900" w:h="16840"/>
          <w:pgMar w:top="740" w:right="460" w:bottom="720" w:left="620" w:header="0" w:footer="402" w:gutter="0"/>
          <w:cols w:num="2" w:space="720" w:equalWidth="0">
            <w:col w:w="5178" w:space="292"/>
            <w:col w:w="5350"/>
          </w:cols>
        </w:sectPr>
      </w:pPr>
    </w:p>
    <w:p w:rsidR="00D81F69" w:rsidRDefault="00330118">
      <w:pPr>
        <w:spacing w:before="70" w:line="312" w:lineRule="auto"/>
        <w:ind w:left="100" w:right="50"/>
        <w:jc w:val="both"/>
        <w:rPr>
          <w:sz w:val="16"/>
        </w:rPr>
      </w:pPr>
      <w:r>
        <w:rPr>
          <w:spacing w:val="1"/>
          <w:sz w:val="16"/>
        </w:rPr>
        <w:lastRenderedPageBreak/>
        <w:t xml:space="preserve">AZEVEDO, Adalberto Mantovani </w:t>
      </w:r>
      <w:r>
        <w:rPr>
          <w:spacing w:val="1"/>
          <w:sz w:val="16"/>
        </w:rPr>
        <w:t xml:space="preserve">Martiniano </w:t>
      </w:r>
      <w:r>
        <w:rPr>
          <w:sz w:val="16"/>
        </w:rPr>
        <w:t xml:space="preserve">de; </w:t>
      </w:r>
      <w:r>
        <w:rPr>
          <w:spacing w:val="1"/>
          <w:sz w:val="16"/>
        </w:rPr>
        <w:t xml:space="preserve">DELGADO, </w:t>
      </w:r>
      <w:r>
        <w:rPr>
          <w:spacing w:val="2"/>
          <w:sz w:val="16"/>
        </w:rPr>
        <w:t xml:space="preserve">Célio </w:t>
      </w:r>
      <w:r>
        <w:rPr>
          <w:sz w:val="16"/>
        </w:rPr>
        <w:t xml:space="preserve">Cristiano. Mineração, Meio Ambiente e Mobilidade Populacional: um levantamento nos estados do Centro-Oeste expandido. XIII Encontro </w:t>
      </w:r>
      <w:r>
        <w:rPr>
          <w:spacing w:val="1"/>
          <w:sz w:val="16"/>
        </w:rPr>
        <w:t xml:space="preserve">da </w:t>
      </w:r>
      <w:r>
        <w:rPr>
          <w:spacing w:val="3"/>
          <w:sz w:val="16"/>
        </w:rPr>
        <w:t xml:space="preserve">Associação Brasileira </w:t>
      </w:r>
      <w:r>
        <w:rPr>
          <w:spacing w:val="1"/>
          <w:sz w:val="16"/>
        </w:rPr>
        <w:t xml:space="preserve">de </w:t>
      </w:r>
      <w:r>
        <w:rPr>
          <w:spacing w:val="3"/>
          <w:sz w:val="16"/>
        </w:rPr>
        <w:t xml:space="preserve">Estudos Populacionais, </w:t>
      </w:r>
      <w:r>
        <w:rPr>
          <w:spacing w:val="2"/>
          <w:sz w:val="16"/>
        </w:rPr>
        <w:t xml:space="preserve">Ouro </w:t>
      </w:r>
      <w:r>
        <w:rPr>
          <w:spacing w:val="5"/>
          <w:sz w:val="16"/>
        </w:rPr>
        <w:t xml:space="preserve">Preto, </w:t>
      </w:r>
      <w:r>
        <w:rPr>
          <w:spacing w:val="23"/>
          <w:sz w:val="16"/>
        </w:rPr>
        <w:t xml:space="preserve">Minas </w:t>
      </w:r>
      <w:r>
        <w:rPr>
          <w:spacing w:val="25"/>
          <w:sz w:val="16"/>
        </w:rPr>
        <w:t>Gerais,</w:t>
      </w:r>
      <w:r>
        <w:rPr>
          <w:spacing w:val="95"/>
          <w:sz w:val="16"/>
        </w:rPr>
        <w:t xml:space="preserve"> </w:t>
      </w:r>
      <w:r>
        <w:rPr>
          <w:spacing w:val="20"/>
          <w:sz w:val="16"/>
        </w:rPr>
        <w:t xml:space="preserve">4-8 </w:t>
      </w:r>
      <w:r>
        <w:rPr>
          <w:spacing w:val="22"/>
          <w:sz w:val="16"/>
        </w:rPr>
        <w:t xml:space="preserve">nov. </w:t>
      </w:r>
      <w:r>
        <w:rPr>
          <w:spacing w:val="23"/>
          <w:sz w:val="16"/>
        </w:rPr>
        <w:t xml:space="preserve">2002. </w:t>
      </w:r>
      <w:r>
        <w:rPr>
          <w:spacing w:val="26"/>
          <w:sz w:val="16"/>
        </w:rPr>
        <w:t>Di</w:t>
      </w:r>
      <w:r>
        <w:rPr>
          <w:spacing w:val="26"/>
          <w:sz w:val="16"/>
        </w:rPr>
        <w:t>sponível</w:t>
      </w:r>
      <w:r>
        <w:rPr>
          <w:spacing w:val="25"/>
          <w:sz w:val="16"/>
        </w:rPr>
        <w:t xml:space="preserve"> </w:t>
      </w:r>
      <w:r>
        <w:rPr>
          <w:spacing w:val="20"/>
          <w:sz w:val="16"/>
        </w:rPr>
        <w:t>em:</w:t>
      </w:r>
      <w:r>
        <w:rPr>
          <w:spacing w:val="-13"/>
          <w:sz w:val="16"/>
        </w:rPr>
        <w:t xml:space="preserve"> </w:t>
      </w:r>
    </w:p>
    <w:p w:rsidR="00D81F69" w:rsidRDefault="00D81F69">
      <w:pPr>
        <w:spacing w:before="4" w:line="312" w:lineRule="auto"/>
        <w:ind w:left="100" w:right="97"/>
        <w:jc w:val="both"/>
        <w:rPr>
          <w:sz w:val="16"/>
        </w:rPr>
      </w:pPr>
      <w:hyperlink r:id="rId488">
        <w:r w:rsidR="00330118">
          <w:rPr>
            <w:sz w:val="16"/>
          </w:rPr>
          <w:t>&lt;http://www.abep.nepo.unicamp.br/docs/anais/pdf/2002/GT_MA_PO3</w:t>
        </w:r>
      </w:hyperlink>
      <w:r w:rsidR="00330118">
        <w:rPr>
          <w:sz w:val="16"/>
        </w:rPr>
        <w:t xml:space="preserve"> 0_Azevedo_texto.pdf&gt;. Acesso em: 19 fev. 2011.</w:t>
      </w:r>
    </w:p>
    <w:p w:rsidR="00D81F69" w:rsidRDefault="00330118">
      <w:pPr>
        <w:spacing w:before="1" w:line="312" w:lineRule="auto"/>
        <w:ind w:left="100" w:right="73"/>
        <w:jc w:val="both"/>
        <w:rPr>
          <w:sz w:val="16"/>
        </w:rPr>
      </w:pPr>
      <w:r>
        <w:rPr>
          <w:sz w:val="16"/>
        </w:rPr>
        <w:t>DNPM, Departamento Nacional de Produção Mineral. Informe Mineral Regional Norte-Amazônia 2008-2007. [2008]. Analista Coordenador Raimundo Augusto Corrêa Mártires (DNPM/PA). Disponível em:</w:t>
      </w:r>
    </w:p>
    <w:p w:rsidR="00D81F69" w:rsidRDefault="00D81F69">
      <w:pPr>
        <w:spacing w:before="3" w:line="312" w:lineRule="auto"/>
        <w:ind w:left="100" w:right="96"/>
        <w:jc w:val="both"/>
        <w:rPr>
          <w:sz w:val="16"/>
        </w:rPr>
      </w:pPr>
      <w:hyperlink r:id="rId489">
        <w:r w:rsidR="00330118">
          <w:rPr>
            <w:sz w:val="16"/>
          </w:rPr>
          <w:t>&lt;http://www.dnpm.gov.br/mostra_arquivo.asp?IDBancoArquivoArquiv</w:t>
        </w:r>
      </w:hyperlink>
      <w:r w:rsidR="00330118">
        <w:rPr>
          <w:sz w:val="16"/>
        </w:rPr>
        <w:t xml:space="preserve"> o=2742&gt;. Acesso em: 20 fev. 2011.</w:t>
      </w:r>
    </w:p>
    <w:p w:rsidR="00D81F69" w:rsidRDefault="00330118">
      <w:pPr>
        <w:spacing w:before="1"/>
        <w:ind w:left="100"/>
        <w:jc w:val="both"/>
        <w:rPr>
          <w:sz w:val="16"/>
        </w:rPr>
      </w:pPr>
      <w:r>
        <w:rPr>
          <w:sz w:val="16"/>
        </w:rPr>
        <w:t>_______. Informe Mineral 2009. Brasília: DNPM, v.8, 1º semestre</w:t>
      </w:r>
    </w:p>
    <w:p w:rsidR="00D81F69" w:rsidRDefault="00330118">
      <w:pPr>
        <w:tabs>
          <w:tab w:val="left" w:pos="1785"/>
          <w:tab w:val="left" w:pos="4548"/>
        </w:tabs>
        <w:spacing w:before="56"/>
        <w:ind w:left="100"/>
        <w:jc w:val="both"/>
        <w:rPr>
          <w:sz w:val="16"/>
        </w:rPr>
      </w:pPr>
      <w:r>
        <w:rPr>
          <w:sz w:val="16"/>
        </w:rPr>
        <w:t xml:space="preserve">2   0   0  </w:t>
      </w:r>
      <w:r>
        <w:rPr>
          <w:spacing w:val="35"/>
          <w:sz w:val="16"/>
        </w:rPr>
        <w:t xml:space="preserve"> </w:t>
      </w:r>
      <w:r>
        <w:rPr>
          <w:sz w:val="16"/>
        </w:rPr>
        <w:t xml:space="preserve">9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96"/>
        <w:jc w:val="both"/>
        <w:rPr>
          <w:sz w:val="16"/>
        </w:rPr>
      </w:pPr>
      <w:hyperlink r:id="rId490">
        <w:r w:rsidR="00330118">
          <w:rPr>
            <w:sz w:val="16"/>
          </w:rPr>
          <w:t>&lt;http://www.dnpm.gov.br/mostra</w:t>
        </w:r>
      </w:hyperlink>
      <w:r w:rsidR="00330118">
        <w:rPr>
          <w:sz w:val="16"/>
        </w:rPr>
        <w:t>_</w:t>
      </w:r>
      <w:hyperlink r:id="rId491">
        <w:r w:rsidR="00330118">
          <w:rPr>
            <w:sz w:val="16"/>
          </w:rPr>
          <w:t>arquivo.asp?IDBancoArquivoArquiv</w:t>
        </w:r>
      </w:hyperlink>
      <w:r w:rsidR="00330118">
        <w:rPr>
          <w:sz w:val="16"/>
        </w:rPr>
        <w:t xml:space="preserve"> o=3601&gt;. Acesso em: 19 fev. 2011.</w:t>
      </w:r>
    </w:p>
    <w:p w:rsidR="00D81F69" w:rsidRDefault="00330118">
      <w:pPr>
        <w:tabs>
          <w:tab w:val="left" w:pos="1164"/>
          <w:tab w:val="left" w:pos="2473"/>
          <w:tab w:val="left" w:pos="4636"/>
        </w:tabs>
        <w:spacing w:before="2" w:line="312" w:lineRule="auto"/>
        <w:ind w:left="100" w:right="76"/>
        <w:jc w:val="both"/>
        <w:rPr>
          <w:sz w:val="16"/>
        </w:rPr>
      </w:pPr>
      <w:r>
        <w:rPr>
          <w:sz w:val="16"/>
        </w:rPr>
        <w:t>________. Sumá</w:t>
      </w:r>
      <w:r>
        <w:rPr>
          <w:sz w:val="16"/>
        </w:rPr>
        <w:t xml:space="preserve">rio Mineral Brasileiro 2009. Brasília: DNPM, v. </w:t>
      </w:r>
      <w:r>
        <w:rPr>
          <w:spacing w:val="1"/>
          <w:sz w:val="16"/>
        </w:rPr>
        <w:t xml:space="preserve">29,      </w:t>
      </w:r>
      <w:r>
        <w:rPr>
          <w:sz w:val="16"/>
        </w:rPr>
        <w:t xml:space="preserve">j  u </w:t>
      </w:r>
      <w:r>
        <w:rPr>
          <w:spacing w:val="22"/>
          <w:sz w:val="16"/>
        </w:rPr>
        <w:t xml:space="preserve"> </w:t>
      </w:r>
      <w:r>
        <w:rPr>
          <w:sz w:val="16"/>
        </w:rPr>
        <w:t xml:space="preserve">n </w:t>
      </w:r>
      <w:r>
        <w:rPr>
          <w:spacing w:val="10"/>
          <w:sz w:val="16"/>
        </w:rPr>
        <w:t xml:space="preserve"> </w:t>
      </w:r>
      <w:r>
        <w:rPr>
          <w:sz w:val="16"/>
        </w:rPr>
        <w:t>.</w:t>
      </w:r>
      <w:r>
        <w:rPr>
          <w:sz w:val="16"/>
        </w:rPr>
        <w:tab/>
        <w:t xml:space="preserve">2  0  1 </w:t>
      </w:r>
      <w:r>
        <w:rPr>
          <w:spacing w:val="35"/>
          <w:sz w:val="16"/>
        </w:rPr>
        <w:t xml:space="preserve"> </w:t>
      </w:r>
      <w:r>
        <w:rPr>
          <w:sz w:val="16"/>
        </w:rPr>
        <w:t xml:space="preserve">0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2"/>
          <w:sz w:val="16"/>
        </w:rPr>
        <w:t xml:space="preserve"> </w:t>
      </w:r>
      <w:r>
        <w:rPr>
          <w:sz w:val="16"/>
        </w:rPr>
        <w:t>:</w:t>
      </w:r>
    </w:p>
    <w:p w:rsidR="00D81F69" w:rsidRDefault="00330118">
      <w:pPr>
        <w:spacing w:before="2" w:line="312" w:lineRule="auto"/>
        <w:ind w:left="100" w:right="97"/>
        <w:jc w:val="both"/>
        <w:rPr>
          <w:sz w:val="16"/>
        </w:rPr>
      </w:pPr>
      <w:r>
        <w:rPr>
          <w:sz w:val="16"/>
        </w:rPr>
        <w:t>&lt;https://sistemas.dnpm.gov.br/publicacao/mostra_imagem.asp?IDBan coArquivoArquivo=4544&gt;. Acesso em: 16 fev. 2011.</w:t>
      </w:r>
    </w:p>
    <w:p w:rsidR="00D81F69" w:rsidRDefault="00330118">
      <w:pPr>
        <w:tabs>
          <w:tab w:val="left" w:pos="4331"/>
        </w:tabs>
        <w:spacing w:before="1" w:line="312" w:lineRule="auto"/>
        <w:ind w:left="100" w:right="77"/>
        <w:jc w:val="both"/>
        <w:rPr>
          <w:sz w:val="16"/>
        </w:rPr>
      </w:pPr>
      <w:r>
        <w:rPr>
          <w:sz w:val="16"/>
        </w:rPr>
        <w:t xml:space="preserve">FERNANDES, Luiz Claudio. Estudo multi-temporal do uso, ocupação e perda de solos em projetos de assentamentos em Rondônia. Tese (Doutorado em Geociências e Meio Ambiente). Rio Claro, SP, 2008.  D      i      s      p      o      n      í      v  </w:t>
      </w:r>
      <w:r>
        <w:rPr>
          <w:spacing w:val="36"/>
          <w:sz w:val="16"/>
        </w:rPr>
        <w:t xml:space="preserve"> </w:t>
      </w:r>
      <w:r>
        <w:rPr>
          <w:sz w:val="16"/>
        </w:rPr>
        <w:t xml:space="preserve">e    </w:t>
      </w:r>
      <w:r>
        <w:rPr>
          <w:spacing w:val="31"/>
          <w:sz w:val="16"/>
        </w:rPr>
        <w:t xml:space="preserve"> </w:t>
      </w:r>
      <w:r>
        <w:rPr>
          <w:sz w:val="16"/>
        </w:rPr>
        <w:t>l</w:t>
      </w:r>
      <w:r>
        <w:rPr>
          <w:sz w:val="16"/>
        </w:rPr>
        <w:tab/>
        <w:t>e</w:t>
      </w:r>
      <w:r>
        <w:rPr>
          <w:sz w:val="16"/>
        </w:rPr>
        <w:t xml:space="preserve"> m</w:t>
      </w:r>
      <w:r>
        <w:rPr>
          <w:spacing w:val="20"/>
          <w:sz w:val="16"/>
        </w:rPr>
        <w:t xml:space="preserve"> </w:t>
      </w:r>
      <w:r>
        <w:rPr>
          <w:sz w:val="16"/>
        </w:rPr>
        <w:t>:</w:t>
      </w:r>
    </w:p>
    <w:p w:rsidR="00D81F69" w:rsidRDefault="00D81F69">
      <w:pPr>
        <w:spacing w:before="4" w:line="312" w:lineRule="auto"/>
        <w:ind w:left="100" w:right="96"/>
        <w:jc w:val="both"/>
        <w:rPr>
          <w:sz w:val="16"/>
        </w:rPr>
      </w:pPr>
      <w:hyperlink r:id="rId492">
        <w:r w:rsidR="00330118">
          <w:rPr>
            <w:sz w:val="16"/>
          </w:rPr>
          <w:t>&lt;http://www.athena.biblioteca.unesp.br/exlibris/bd/brc/33004137036P</w:t>
        </w:r>
      </w:hyperlink>
      <w:r w:rsidR="00330118">
        <w:rPr>
          <w:sz w:val="16"/>
        </w:rPr>
        <w:t xml:space="preserve"> 9/2008/fernandes_lc_dr_rcla.pdf&gt;. Acesso em: 15 fev. 2011.</w:t>
      </w:r>
    </w:p>
    <w:p w:rsidR="00D81F69" w:rsidRDefault="00330118">
      <w:pPr>
        <w:spacing w:before="1" w:line="312" w:lineRule="auto"/>
        <w:ind w:left="100" w:right="38"/>
        <w:jc w:val="both"/>
        <w:rPr>
          <w:sz w:val="16"/>
        </w:rPr>
      </w:pPr>
      <w:r>
        <w:rPr>
          <w:sz w:val="16"/>
        </w:rPr>
        <w:t xml:space="preserve">IBGE, Instituto Brasileiro de Geografia e Estatística. Ariquemes (RO). In: IBGE Cidades, 2010. Disponível em: </w:t>
      </w:r>
    </w:p>
    <w:p w:rsidR="00D81F69" w:rsidRDefault="00D81F69">
      <w:pPr>
        <w:spacing w:before="2" w:line="312" w:lineRule="auto"/>
        <w:ind w:left="100" w:right="97"/>
        <w:jc w:val="both"/>
        <w:rPr>
          <w:sz w:val="16"/>
        </w:rPr>
      </w:pPr>
      <w:hyperlink r:id="rId493">
        <w:r w:rsidR="00330118">
          <w:rPr>
            <w:sz w:val="16"/>
          </w:rPr>
          <w:t xml:space="preserve">&lt;http://www.ibge.gov.br/cidadesat/topwindow.htm?1&gt;. </w:t>
        </w:r>
      </w:hyperlink>
      <w:r w:rsidR="00330118">
        <w:rPr>
          <w:sz w:val="16"/>
        </w:rPr>
        <w:t>Acesso em: 17 fev. 2011.</w:t>
      </w:r>
    </w:p>
    <w:p w:rsidR="00D81F69" w:rsidRDefault="00330118">
      <w:pPr>
        <w:spacing w:before="2" w:line="312" w:lineRule="auto"/>
        <w:ind w:left="100" w:right="62"/>
        <w:jc w:val="both"/>
        <w:rPr>
          <w:sz w:val="16"/>
        </w:rPr>
      </w:pPr>
      <w:r>
        <w:rPr>
          <w:sz w:val="16"/>
        </w:rPr>
        <w:t>J.</w:t>
      </w:r>
      <w:r>
        <w:rPr>
          <w:sz w:val="16"/>
        </w:rPr>
        <w:t xml:space="preserve"> MENDO CONSULTORIA – Relatório Técnico 27 Perfil da Mineração do Estanho - Contrato Nº 48000.003007-17: Desenvolvimento de estudos para elaboração do Plano Duodecenal (2010 - 2030) de Geologia, Mineração e Transformação Mineral. Ministério de Minas e Energ</w:t>
      </w:r>
      <w:r>
        <w:rPr>
          <w:sz w:val="16"/>
        </w:rPr>
        <w:t xml:space="preserve">ia (MME), ago. 2009. Disponível </w:t>
      </w:r>
      <w:hyperlink r:id="rId494">
        <w:r>
          <w:rPr>
            <w:sz w:val="16"/>
          </w:rPr>
          <w:t>em:&lt;http://www.mme.gov.br/sgm/galerias/arquivos/plano_duo_decen</w:t>
        </w:r>
      </w:hyperlink>
      <w:r>
        <w:rPr>
          <w:sz w:val="16"/>
        </w:rPr>
        <w:t xml:space="preserve"> al/a_mineracao_brasileira/P18_RT27_Perfil_da_Mineraxo_do_Estanh o.pdf&gt;. Acesso em: </w:t>
      </w:r>
      <w:r>
        <w:rPr>
          <w:sz w:val="16"/>
        </w:rPr>
        <w:t>20 fev. 2011.</w:t>
      </w:r>
    </w:p>
    <w:p w:rsidR="00D81F69" w:rsidRDefault="00330118">
      <w:pPr>
        <w:spacing w:before="6" w:line="312" w:lineRule="auto"/>
        <w:ind w:left="100" w:right="66"/>
        <w:jc w:val="both"/>
        <w:rPr>
          <w:sz w:val="16"/>
        </w:rPr>
      </w:pPr>
      <w:r>
        <w:rPr>
          <w:sz w:val="16"/>
        </w:rPr>
        <w:t xml:space="preserve">MATOS, Carlos Alberto de. Os descaminhos da implementação do SUS em Rondônia: contexto de federalismo predatório, de reformas </w:t>
      </w:r>
      <w:r>
        <w:rPr>
          <w:spacing w:val="3"/>
          <w:sz w:val="16"/>
        </w:rPr>
        <w:t xml:space="preserve">gerenciais </w:t>
      </w:r>
      <w:r>
        <w:rPr>
          <w:sz w:val="16"/>
        </w:rPr>
        <w:t xml:space="preserve">e </w:t>
      </w:r>
      <w:r>
        <w:rPr>
          <w:spacing w:val="1"/>
          <w:sz w:val="16"/>
        </w:rPr>
        <w:t xml:space="preserve">de </w:t>
      </w:r>
      <w:r>
        <w:rPr>
          <w:spacing w:val="2"/>
          <w:sz w:val="16"/>
        </w:rPr>
        <w:t xml:space="preserve">maus </w:t>
      </w:r>
      <w:r>
        <w:rPr>
          <w:spacing w:val="3"/>
          <w:sz w:val="16"/>
        </w:rPr>
        <w:t xml:space="preserve">governos </w:t>
      </w:r>
      <w:r>
        <w:rPr>
          <w:spacing w:val="1"/>
          <w:sz w:val="16"/>
        </w:rPr>
        <w:t xml:space="preserve">na </w:t>
      </w:r>
      <w:r>
        <w:rPr>
          <w:spacing w:val="3"/>
          <w:sz w:val="16"/>
        </w:rPr>
        <w:t xml:space="preserve">floresta. </w:t>
      </w:r>
      <w:r>
        <w:rPr>
          <w:spacing w:val="2"/>
          <w:sz w:val="16"/>
        </w:rPr>
        <w:t xml:space="preserve">Tese </w:t>
      </w:r>
      <w:r>
        <w:rPr>
          <w:spacing w:val="3"/>
          <w:sz w:val="16"/>
        </w:rPr>
        <w:t xml:space="preserve">(Doutorado </w:t>
      </w:r>
      <w:r>
        <w:rPr>
          <w:spacing w:val="5"/>
          <w:sz w:val="16"/>
        </w:rPr>
        <w:t xml:space="preserve">em Saúde Pública). Escola Nacional </w:t>
      </w:r>
      <w:r>
        <w:rPr>
          <w:spacing w:val="2"/>
          <w:sz w:val="16"/>
        </w:rPr>
        <w:t xml:space="preserve">de </w:t>
      </w:r>
      <w:r>
        <w:rPr>
          <w:spacing w:val="5"/>
          <w:sz w:val="16"/>
        </w:rPr>
        <w:t xml:space="preserve">Saúde </w:t>
      </w:r>
      <w:r>
        <w:rPr>
          <w:spacing w:val="6"/>
          <w:sz w:val="16"/>
        </w:rPr>
        <w:t>Pública/Funda</w:t>
      </w:r>
      <w:r>
        <w:rPr>
          <w:spacing w:val="6"/>
          <w:sz w:val="16"/>
        </w:rPr>
        <w:t xml:space="preserve">ção </w:t>
      </w:r>
      <w:r>
        <w:rPr>
          <w:spacing w:val="10"/>
          <w:sz w:val="16"/>
        </w:rPr>
        <w:t xml:space="preserve">Oswaldo </w:t>
      </w:r>
      <w:r>
        <w:rPr>
          <w:spacing w:val="11"/>
          <w:sz w:val="16"/>
        </w:rPr>
        <w:t xml:space="preserve">Cruz/Ministério </w:t>
      </w:r>
      <w:r>
        <w:rPr>
          <w:spacing w:val="5"/>
          <w:sz w:val="16"/>
        </w:rPr>
        <w:t xml:space="preserve">da </w:t>
      </w:r>
      <w:r>
        <w:rPr>
          <w:spacing w:val="10"/>
          <w:sz w:val="16"/>
        </w:rPr>
        <w:t>Saúde, 2007. Disponível</w:t>
      </w:r>
      <w:r>
        <w:rPr>
          <w:spacing w:val="61"/>
          <w:sz w:val="16"/>
        </w:rPr>
        <w:t xml:space="preserve"> </w:t>
      </w:r>
      <w:r>
        <w:rPr>
          <w:spacing w:val="12"/>
          <w:sz w:val="16"/>
        </w:rPr>
        <w:t>em:</w:t>
      </w:r>
    </w:p>
    <w:p w:rsidR="00D81F69" w:rsidRDefault="00D81F69">
      <w:pPr>
        <w:spacing w:before="4" w:line="312" w:lineRule="auto"/>
        <w:ind w:left="100" w:right="77"/>
        <w:jc w:val="both"/>
        <w:rPr>
          <w:sz w:val="16"/>
        </w:rPr>
      </w:pPr>
      <w:hyperlink r:id="rId495">
        <w:r w:rsidR="00330118">
          <w:rPr>
            <w:sz w:val="16"/>
          </w:rPr>
          <w:t>&lt;http://www.planejamento.gov.br/secretarias/upload/Arquivos/seges/E</w:t>
        </w:r>
      </w:hyperlink>
      <w:r w:rsidR="00330118">
        <w:rPr>
          <w:sz w:val="16"/>
        </w:rPr>
        <w:t xml:space="preserve"> PPGG/producaoAcademica/Tese_Carlos%20Alberto%</w:t>
      </w:r>
      <w:r w:rsidR="00330118">
        <w:rPr>
          <w:sz w:val="16"/>
        </w:rPr>
        <w:t>20Matos.pdf&gt;. Acesso em: 15 fev. 2011.</w:t>
      </w:r>
    </w:p>
    <w:p w:rsidR="00D81F69" w:rsidRDefault="00330118">
      <w:pPr>
        <w:tabs>
          <w:tab w:val="left" w:pos="4331"/>
        </w:tabs>
        <w:spacing w:before="3" w:line="312" w:lineRule="auto"/>
        <w:ind w:left="100" w:right="42"/>
        <w:jc w:val="both"/>
        <w:rPr>
          <w:sz w:val="16"/>
        </w:rPr>
      </w:pPr>
      <w:r>
        <w:rPr>
          <w:sz w:val="16"/>
        </w:rPr>
        <w:t xml:space="preserve">OLHO VIVO RONDÔNIA. Reservas de Rondônia perderam 178 km² </w:t>
      </w:r>
      <w:r>
        <w:rPr>
          <w:spacing w:val="1"/>
          <w:sz w:val="16"/>
        </w:rPr>
        <w:t xml:space="preserve">de  </w:t>
      </w:r>
      <w:r>
        <w:rPr>
          <w:spacing w:val="3"/>
          <w:sz w:val="16"/>
        </w:rPr>
        <w:t xml:space="preserve">florestas </w:t>
      </w:r>
      <w:r>
        <w:rPr>
          <w:spacing w:val="1"/>
          <w:sz w:val="16"/>
        </w:rPr>
        <w:t xml:space="preserve">em  </w:t>
      </w:r>
      <w:r>
        <w:rPr>
          <w:spacing w:val="3"/>
          <w:sz w:val="16"/>
        </w:rPr>
        <w:t xml:space="preserve">2008, aponta Sipam. Cidade, </w:t>
      </w:r>
      <w:r>
        <w:rPr>
          <w:spacing w:val="2"/>
          <w:sz w:val="16"/>
        </w:rPr>
        <w:t xml:space="preserve">RO, </w:t>
      </w:r>
      <w:r>
        <w:rPr>
          <w:spacing w:val="1"/>
          <w:sz w:val="16"/>
        </w:rPr>
        <w:t xml:space="preserve">01  </w:t>
      </w:r>
      <w:r>
        <w:rPr>
          <w:spacing w:val="2"/>
          <w:sz w:val="16"/>
        </w:rPr>
        <w:t xml:space="preserve">jun. </w:t>
      </w:r>
      <w:r>
        <w:rPr>
          <w:spacing w:val="5"/>
          <w:sz w:val="16"/>
        </w:rPr>
        <w:t xml:space="preserve">2009.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74"/>
        <w:jc w:val="both"/>
        <w:rPr>
          <w:sz w:val="16"/>
        </w:rPr>
      </w:pPr>
      <w:hyperlink r:id="rId496">
        <w:r w:rsidR="00330118">
          <w:rPr>
            <w:sz w:val="16"/>
          </w:rPr>
          <w:t>&lt;http://www.olhovivorondonia.com.br/noticias.php?news=12846&gt;.</w:t>
        </w:r>
      </w:hyperlink>
      <w:r w:rsidR="00330118">
        <w:rPr>
          <w:sz w:val="16"/>
        </w:rPr>
        <w:t xml:space="preserve"> Acesso em: 31 maio 2011.</w:t>
      </w:r>
    </w:p>
    <w:p w:rsidR="00D81F69" w:rsidRDefault="00330118">
      <w:pPr>
        <w:spacing w:before="2" w:line="312" w:lineRule="auto"/>
        <w:ind w:left="100" w:right="53"/>
        <w:jc w:val="both"/>
        <w:rPr>
          <w:sz w:val="16"/>
        </w:rPr>
      </w:pPr>
      <w:r>
        <w:rPr>
          <w:spacing w:val="17"/>
          <w:sz w:val="16"/>
        </w:rPr>
        <w:t xml:space="preserve">PORSANI, </w:t>
      </w:r>
      <w:r>
        <w:rPr>
          <w:spacing w:val="15"/>
          <w:sz w:val="16"/>
        </w:rPr>
        <w:t>Jorge</w:t>
      </w:r>
      <w:r>
        <w:rPr>
          <w:spacing w:val="75"/>
          <w:sz w:val="16"/>
        </w:rPr>
        <w:t xml:space="preserve"> </w:t>
      </w:r>
      <w:r>
        <w:rPr>
          <w:spacing w:val="15"/>
          <w:sz w:val="16"/>
        </w:rPr>
        <w:t>Luís;</w:t>
      </w:r>
      <w:r>
        <w:rPr>
          <w:spacing w:val="75"/>
          <w:sz w:val="16"/>
        </w:rPr>
        <w:t xml:space="preserve"> </w:t>
      </w:r>
      <w:r>
        <w:rPr>
          <w:spacing w:val="17"/>
          <w:sz w:val="16"/>
        </w:rPr>
        <w:t xml:space="preserve">MENDONÇA, </w:t>
      </w:r>
      <w:r>
        <w:rPr>
          <w:spacing w:val="16"/>
          <w:sz w:val="16"/>
        </w:rPr>
        <w:t xml:space="preserve">Carlos </w:t>
      </w:r>
      <w:r>
        <w:rPr>
          <w:spacing w:val="17"/>
          <w:sz w:val="16"/>
        </w:rPr>
        <w:t xml:space="preserve">Alberto; </w:t>
      </w:r>
      <w:r>
        <w:rPr>
          <w:sz w:val="16"/>
        </w:rPr>
        <w:t>BETTENCOURT, Jorge Silva; HIODO, Francisco Yukio</w:t>
      </w:r>
      <w:r>
        <w:rPr>
          <w:sz w:val="16"/>
        </w:rPr>
        <w:t xml:space="preserve">; VIAN, José Antonio Jerônymo; SILVA, Jorge Eduardo da. Investigações GPR nos </w:t>
      </w:r>
      <w:r>
        <w:rPr>
          <w:spacing w:val="6"/>
          <w:sz w:val="16"/>
        </w:rPr>
        <w:t xml:space="preserve">distritos mineiros </w:t>
      </w:r>
      <w:r>
        <w:rPr>
          <w:spacing w:val="3"/>
          <w:sz w:val="16"/>
        </w:rPr>
        <w:t xml:space="preserve">de </w:t>
      </w:r>
      <w:r>
        <w:rPr>
          <w:spacing w:val="5"/>
          <w:sz w:val="16"/>
        </w:rPr>
        <w:t xml:space="preserve">Santa Bárbara </w:t>
      </w:r>
      <w:r>
        <w:rPr>
          <w:sz w:val="16"/>
        </w:rPr>
        <w:t xml:space="preserve">e </w:t>
      </w:r>
      <w:r>
        <w:rPr>
          <w:spacing w:val="5"/>
          <w:sz w:val="16"/>
        </w:rPr>
        <w:t xml:space="preserve">Bom Futuro: </w:t>
      </w:r>
      <w:r>
        <w:rPr>
          <w:spacing w:val="7"/>
          <w:sz w:val="16"/>
        </w:rPr>
        <w:t xml:space="preserve">Província </w:t>
      </w:r>
      <w:r>
        <w:rPr>
          <w:sz w:val="16"/>
        </w:rPr>
        <w:t>Estanífera de Rondônia. Revista Brasileira de Geofísica. v. 22 n.1 São</w:t>
      </w:r>
    </w:p>
    <w:p w:rsidR="00D81F69" w:rsidRDefault="00330118">
      <w:pPr>
        <w:spacing w:before="70"/>
        <w:ind w:left="100"/>
        <w:jc w:val="both"/>
        <w:rPr>
          <w:sz w:val="16"/>
        </w:rPr>
      </w:pPr>
      <w:r>
        <w:br w:type="column"/>
      </w:r>
      <w:r>
        <w:rPr>
          <w:sz w:val="16"/>
        </w:rPr>
        <w:lastRenderedPageBreak/>
        <w:t xml:space="preserve">Paulo, SP, jan-abr. 2004. Disponível em: </w:t>
      </w:r>
    </w:p>
    <w:p w:rsidR="00D81F69" w:rsidRDefault="00D81F69">
      <w:pPr>
        <w:spacing w:before="56" w:line="312" w:lineRule="auto"/>
        <w:ind w:left="100" w:right="248"/>
        <w:jc w:val="both"/>
        <w:rPr>
          <w:sz w:val="16"/>
        </w:rPr>
      </w:pPr>
      <w:hyperlink r:id="rId497">
        <w:r w:rsidR="00330118">
          <w:rPr>
            <w:sz w:val="16"/>
          </w:rPr>
          <w:t>&lt;http://www.scielo.br/scielo.php?script=sci_arttext&amp;pid=S0102-</w:t>
        </w:r>
      </w:hyperlink>
      <w:r w:rsidR="00330118">
        <w:rPr>
          <w:sz w:val="16"/>
        </w:rPr>
        <w:t xml:space="preserve"> 261X2004000100005&gt;. Acesso em: 05 jun. 2011.</w:t>
      </w:r>
    </w:p>
    <w:p w:rsidR="00D81F69" w:rsidRDefault="00330118">
      <w:pPr>
        <w:spacing w:before="1" w:line="312" w:lineRule="auto"/>
        <w:ind w:left="100" w:right="237"/>
        <w:jc w:val="both"/>
        <w:rPr>
          <w:sz w:val="16"/>
        </w:rPr>
      </w:pPr>
      <w:r>
        <w:rPr>
          <w:sz w:val="16"/>
        </w:rPr>
        <w:t>PORTAL RONDÔNIA. 7º BPM implanta GPPO no garimpo de Bom Futuro. Por</w:t>
      </w:r>
      <w:r>
        <w:rPr>
          <w:sz w:val="16"/>
        </w:rPr>
        <w:t>tal de Rondônia - Notícias/Segurança. Rondônia, 28 jan.</w:t>
      </w:r>
    </w:p>
    <w:p w:rsidR="00D81F69" w:rsidRDefault="00330118">
      <w:pPr>
        <w:tabs>
          <w:tab w:val="left" w:pos="1785"/>
          <w:tab w:val="left" w:pos="4548"/>
        </w:tabs>
        <w:spacing w:before="2"/>
        <w:ind w:left="100"/>
        <w:jc w:val="both"/>
        <w:rPr>
          <w:sz w:val="16"/>
        </w:rPr>
      </w:pPr>
      <w:r>
        <w:rPr>
          <w:sz w:val="16"/>
        </w:rPr>
        <w:t xml:space="preserve">2   0   1  </w:t>
      </w:r>
      <w:r>
        <w:rPr>
          <w:spacing w:val="35"/>
          <w:sz w:val="16"/>
        </w:rPr>
        <w:t xml:space="preserve"> </w:t>
      </w:r>
      <w:r>
        <w:rPr>
          <w:sz w:val="16"/>
        </w:rPr>
        <w:t xml:space="preserve">0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38"/>
        <w:jc w:val="both"/>
        <w:rPr>
          <w:sz w:val="16"/>
        </w:rPr>
      </w:pPr>
      <w:hyperlink r:id="rId498">
        <w:r w:rsidR="00330118">
          <w:rPr>
            <w:sz w:val="16"/>
          </w:rPr>
          <w:t>&lt;http://www.portalrondonia.com/site/seguranca,</w:t>
        </w:r>
        <w:r w:rsidR="00330118">
          <w:rPr>
            <w:sz w:val="16"/>
          </w:rPr>
          <w:t>7%C2%BA,,bpm,impl</w:t>
        </w:r>
      </w:hyperlink>
      <w:r w:rsidR="00330118">
        <w:rPr>
          <w:sz w:val="16"/>
        </w:rPr>
        <w:t xml:space="preserve"> anta,gppo,no,garimpo,de,bom,futuro,20858.htm&gt;. Acesso em: 17 fev. 2011.</w:t>
      </w:r>
    </w:p>
    <w:p w:rsidR="00D81F69" w:rsidRDefault="00330118">
      <w:pPr>
        <w:spacing w:before="2"/>
        <w:ind w:left="100"/>
        <w:jc w:val="both"/>
        <w:rPr>
          <w:sz w:val="16"/>
        </w:rPr>
      </w:pPr>
      <w:r>
        <w:rPr>
          <w:sz w:val="16"/>
        </w:rPr>
        <w:t>PREFEITURA  MUNICIPAL  DE  ARIQUEMES.  Site  da Prefeitura</w:t>
      </w:r>
    </w:p>
    <w:p w:rsidR="00D81F69" w:rsidRDefault="00330118">
      <w:pPr>
        <w:spacing w:before="56"/>
        <w:ind w:left="100"/>
        <w:jc w:val="both"/>
        <w:rPr>
          <w:sz w:val="16"/>
        </w:rPr>
      </w:pPr>
      <w:r>
        <w:rPr>
          <w:sz w:val="16"/>
        </w:rPr>
        <w:t>Municipal  de  Ariquemes  (RO).  Localização,  2011a.  Disponível em:</w:t>
      </w:r>
    </w:p>
    <w:p w:rsidR="00D81F69" w:rsidRDefault="00D81F69">
      <w:pPr>
        <w:spacing w:before="56"/>
        <w:ind w:left="100"/>
        <w:jc w:val="both"/>
        <w:rPr>
          <w:sz w:val="16"/>
        </w:rPr>
      </w:pPr>
      <w:hyperlink r:id="rId499">
        <w:r w:rsidR="00330118">
          <w:rPr>
            <w:sz w:val="16"/>
          </w:rPr>
          <w:t>&lt;http://www.ariquemes.ro.gov.br/default.asp?secao=conteudo.asp&amp;tb</w:t>
        </w:r>
      </w:hyperlink>
    </w:p>
    <w:p w:rsidR="00D81F69" w:rsidRDefault="00330118">
      <w:pPr>
        <w:spacing w:before="56" w:line="312" w:lineRule="auto"/>
        <w:ind w:left="100" w:right="238"/>
        <w:jc w:val="both"/>
        <w:rPr>
          <w:sz w:val="16"/>
        </w:rPr>
      </w:pPr>
      <w:r>
        <w:rPr>
          <w:sz w:val="16"/>
        </w:rPr>
        <w:t>=pt_ariquemes&amp;tit=Localização&amp;cp=localizacao&gt;. Acesso em: 17 fev. 2011.</w:t>
      </w:r>
    </w:p>
    <w:p w:rsidR="00D81F69" w:rsidRDefault="00330118">
      <w:pPr>
        <w:tabs>
          <w:tab w:val="left" w:pos="996"/>
        </w:tabs>
        <w:spacing w:before="2" w:line="312" w:lineRule="auto"/>
        <w:ind w:left="100" w:right="185"/>
        <w:jc w:val="both"/>
        <w:rPr>
          <w:sz w:val="16"/>
        </w:rPr>
      </w:pPr>
      <w:r>
        <w:rPr>
          <w:sz w:val="16"/>
          <w:u w:val="single"/>
        </w:rPr>
        <w:t xml:space="preserve"> </w:t>
      </w:r>
      <w:r>
        <w:rPr>
          <w:sz w:val="16"/>
          <w:u w:val="single"/>
        </w:rPr>
        <w:tab/>
      </w:r>
      <w:r>
        <w:rPr>
          <w:sz w:val="16"/>
        </w:rPr>
        <w:t xml:space="preserve">. Site da Prefeitura Municipal de Ariquemes (RO). Leitura Técnica para Elaboração do Plano Diretor Participativo do Município   </w:t>
      </w:r>
      <w:r>
        <w:rPr>
          <w:spacing w:val="6"/>
          <w:sz w:val="16"/>
        </w:rPr>
        <w:t xml:space="preserve">d </w:t>
      </w:r>
      <w:r>
        <w:rPr>
          <w:sz w:val="16"/>
        </w:rPr>
        <w:t xml:space="preserve">e </w:t>
      </w:r>
      <w:r>
        <w:rPr>
          <w:spacing w:val="6"/>
          <w:sz w:val="16"/>
        </w:rPr>
        <w:t xml:space="preserve">A r i q u e m e s </w:t>
      </w:r>
      <w:r>
        <w:rPr>
          <w:sz w:val="16"/>
        </w:rPr>
        <w:t xml:space="preserve">, </w:t>
      </w:r>
      <w:r>
        <w:rPr>
          <w:spacing w:val="6"/>
          <w:sz w:val="16"/>
        </w:rPr>
        <w:t xml:space="preserve">2 0 1 1 b </w:t>
      </w:r>
      <w:r>
        <w:rPr>
          <w:sz w:val="16"/>
        </w:rPr>
        <w:t xml:space="preserve">. </w:t>
      </w:r>
      <w:r>
        <w:rPr>
          <w:spacing w:val="6"/>
          <w:sz w:val="16"/>
        </w:rPr>
        <w:t xml:space="preserve">D i s p o n í v e </w:t>
      </w:r>
      <w:r>
        <w:rPr>
          <w:sz w:val="16"/>
        </w:rPr>
        <w:t>l</w:t>
      </w:r>
      <w:r>
        <w:rPr>
          <w:spacing w:val="43"/>
          <w:sz w:val="16"/>
        </w:rPr>
        <w:t xml:space="preserve"> </w:t>
      </w:r>
      <w:r>
        <w:rPr>
          <w:spacing w:val="6"/>
          <w:sz w:val="16"/>
        </w:rPr>
        <w:t xml:space="preserve">e m </w:t>
      </w:r>
      <w:r>
        <w:rPr>
          <w:sz w:val="16"/>
        </w:rPr>
        <w:t>:</w:t>
      </w:r>
      <w:r>
        <w:rPr>
          <w:spacing w:val="7"/>
          <w:sz w:val="16"/>
        </w:rPr>
        <w:t xml:space="preserve"> </w:t>
      </w:r>
    </w:p>
    <w:p w:rsidR="00D81F69" w:rsidRDefault="00D81F69">
      <w:pPr>
        <w:spacing w:before="3" w:line="312" w:lineRule="auto"/>
        <w:ind w:left="100" w:right="256"/>
        <w:jc w:val="both"/>
        <w:rPr>
          <w:sz w:val="16"/>
        </w:rPr>
      </w:pPr>
      <w:hyperlink r:id="rId500">
        <w:r w:rsidR="00330118">
          <w:rPr>
            <w:sz w:val="16"/>
          </w:rPr>
          <w:t>&lt;http://www.ariquemes.ro.gov.br/imagens/anexos/3360Diagn%C3%B</w:t>
        </w:r>
      </w:hyperlink>
      <w:r w:rsidR="00330118">
        <w:rPr>
          <w:sz w:val="16"/>
        </w:rPr>
        <w:t xml:space="preserve"> 3sticoPlanoDiretor.pdf&gt;. Acesso em: 31 maio 2011.</w:t>
      </w:r>
    </w:p>
    <w:p w:rsidR="00D81F69" w:rsidRDefault="00330118">
      <w:pPr>
        <w:spacing w:before="1" w:line="312" w:lineRule="auto"/>
        <w:ind w:left="100" w:right="233"/>
        <w:jc w:val="both"/>
        <w:rPr>
          <w:sz w:val="16"/>
        </w:rPr>
      </w:pPr>
      <w:r>
        <w:rPr>
          <w:sz w:val="16"/>
        </w:rPr>
        <w:t xml:space="preserve">REINACH, Fernando. Desmatamento em Ariquemes. O Estado de </w:t>
      </w:r>
      <w:r>
        <w:rPr>
          <w:spacing w:val="2"/>
          <w:sz w:val="16"/>
        </w:rPr>
        <w:t xml:space="preserve">São </w:t>
      </w:r>
      <w:r>
        <w:rPr>
          <w:spacing w:val="3"/>
          <w:sz w:val="16"/>
        </w:rPr>
        <w:t xml:space="preserve">Paulo Online, </w:t>
      </w:r>
      <w:r>
        <w:rPr>
          <w:spacing w:val="2"/>
          <w:sz w:val="16"/>
        </w:rPr>
        <w:t xml:space="preserve">São </w:t>
      </w:r>
      <w:r>
        <w:rPr>
          <w:spacing w:val="3"/>
          <w:sz w:val="16"/>
        </w:rPr>
        <w:t xml:space="preserve">Paulo, </w:t>
      </w:r>
      <w:r>
        <w:rPr>
          <w:spacing w:val="2"/>
          <w:sz w:val="16"/>
        </w:rPr>
        <w:t xml:space="preserve">SP, </w:t>
      </w:r>
      <w:r>
        <w:rPr>
          <w:spacing w:val="1"/>
          <w:sz w:val="16"/>
        </w:rPr>
        <w:t xml:space="preserve">19 </w:t>
      </w:r>
      <w:r>
        <w:rPr>
          <w:spacing w:val="2"/>
          <w:sz w:val="16"/>
        </w:rPr>
        <w:t xml:space="preserve">fev. </w:t>
      </w:r>
      <w:r>
        <w:rPr>
          <w:spacing w:val="3"/>
          <w:sz w:val="16"/>
        </w:rPr>
        <w:t xml:space="preserve">2009. Disponível </w:t>
      </w:r>
      <w:r>
        <w:rPr>
          <w:spacing w:val="5"/>
          <w:sz w:val="16"/>
        </w:rPr>
        <w:t>em:</w:t>
      </w:r>
    </w:p>
    <w:p w:rsidR="00D81F69" w:rsidRDefault="00D81F69">
      <w:pPr>
        <w:spacing w:before="2" w:line="312" w:lineRule="auto"/>
        <w:ind w:left="100" w:right="256"/>
        <w:jc w:val="both"/>
        <w:rPr>
          <w:sz w:val="16"/>
        </w:rPr>
      </w:pPr>
      <w:hyperlink r:id="rId501">
        <w:r w:rsidR="00330118">
          <w:rPr>
            <w:sz w:val="16"/>
          </w:rPr>
          <w:t>&lt;http://www.estadao.com.br/noticia_imp.php?req=not_imp326495,0.p</w:t>
        </w:r>
      </w:hyperlink>
      <w:r w:rsidR="00330118">
        <w:rPr>
          <w:sz w:val="16"/>
        </w:rPr>
        <w:t xml:space="preserve"> hp&gt;. Acesso em: 05 jun. 2011.</w:t>
      </w:r>
    </w:p>
    <w:p w:rsidR="00D81F69" w:rsidRDefault="00330118">
      <w:pPr>
        <w:spacing w:before="1" w:line="312" w:lineRule="auto"/>
        <w:ind w:left="100" w:right="229"/>
        <w:jc w:val="both"/>
        <w:rPr>
          <w:sz w:val="16"/>
        </w:rPr>
      </w:pPr>
      <w:r>
        <w:rPr>
          <w:sz w:val="16"/>
        </w:rPr>
        <w:t xml:space="preserve">RODRIGUES, Antônio Fernando da Silva. Estanho. Balanço Mineral Brasileiro 2001. </w:t>
      </w:r>
      <w:r>
        <w:rPr>
          <w:sz w:val="16"/>
        </w:rPr>
        <w:t>DNPM, Departamento Nacional de Produção Mineral. Ministério de Minas e Energia, Brasil, 2001. Disponível em:</w:t>
      </w:r>
    </w:p>
    <w:p w:rsidR="00D81F69" w:rsidRDefault="00D81F69">
      <w:pPr>
        <w:spacing w:before="3" w:line="312" w:lineRule="auto"/>
        <w:ind w:left="100" w:right="256"/>
        <w:jc w:val="both"/>
        <w:rPr>
          <w:sz w:val="16"/>
        </w:rPr>
      </w:pPr>
      <w:hyperlink r:id="rId502">
        <w:r w:rsidR="00330118">
          <w:rPr>
            <w:sz w:val="16"/>
          </w:rPr>
          <w:t>&lt;http://www.dnpm.gov.br/assets/galeriadocumento/balancomineral20</w:t>
        </w:r>
      </w:hyperlink>
      <w:r w:rsidR="00330118">
        <w:rPr>
          <w:sz w:val="16"/>
        </w:rPr>
        <w:t xml:space="preserve"> 0</w:t>
      </w:r>
      <w:r w:rsidR="00330118">
        <w:rPr>
          <w:sz w:val="16"/>
        </w:rPr>
        <w:t>1/estanho.pdf&gt;. Acesso em: 05 jun. 2011.</w:t>
      </w:r>
    </w:p>
    <w:p w:rsidR="00D81F69" w:rsidRDefault="00330118">
      <w:pPr>
        <w:spacing w:before="2" w:line="312" w:lineRule="auto"/>
        <w:ind w:left="100" w:right="233"/>
        <w:jc w:val="both"/>
        <w:rPr>
          <w:sz w:val="16"/>
        </w:rPr>
      </w:pPr>
      <w:r>
        <w:rPr>
          <w:sz w:val="16"/>
        </w:rPr>
        <w:t>_________. Estanho. Economia Mineral do Brasil 2009 (Cap. 4: Mineração de metais não ferrosos, Item 4.4). DNPM, Departamento Nacional de Produção Mineral. Ministério de Minas e Energia, Brasil,</w:t>
      </w:r>
    </w:p>
    <w:p w:rsidR="00D81F69" w:rsidRDefault="00330118">
      <w:pPr>
        <w:tabs>
          <w:tab w:val="left" w:pos="1785"/>
          <w:tab w:val="left" w:pos="4548"/>
        </w:tabs>
        <w:spacing w:before="2"/>
        <w:ind w:left="100"/>
        <w:jc w:val="both"/>
        <w:rPr>
          <w:sz w:val="16"/>
        </w:rPr>
      </w:pPr>
      <w:r>
        <w:rPr>
          <w:sz w:val="16"/>
        </w:rPr>
        <w:t xml:space="preserve">2   0   0  </w:t>
      </w:r>
      <w:r>
        <w:rPr>
          <w:spacing w:val="35"/>
          <w:sz w:val="16"/>
        </w:rPr>
        <w:t xml:space="preserve"> </w:t>
      </w:r>
      <w:r>
        <w:rPr>
          <w:sz w:val="16"/>
        </w:rPr>
        <w:t xml:space="preserve">9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330118">
      <w:pPr>
        <w:spacing w:before="56" w:line="312" w:lineRule="auto"/>
        <w:ind w:left="100" w:right="257"/>
        <w:jc w:val="both"/>
        <w:rPr>
          <w:sz w:val="16"/>
        </w:rPr>
      </w:pPr>
      <w:r>
        <w:rPr>
          <w:sz w:val="16"/>
        </w:rPr>
        <w:t>&lt;https://sistemas.dnpm.gov.br/publicacao/mostra_imagem.asp?IDBan coArquivoArquivo=3983&gt;. Acesso em: 20 fev. 2011.</w:t>
      </w:r>
    </w:p>
    <w:p w:rsidR="00D81F69" w:rsidRDefault="00330118">
      <w:pPr>
        <w:spacing w:before="2" w:line="312" w:lineRule="auto"/>
        <w:ind w:left="100" w:right="253"/>
        <w:jc w:val="both"/>
        <w:rPr>
          <w:sz w:val="16"/>
        </w:rPr>
      </w:pPr>
      <w:r>
        <w:rPr>
          <w:sz w:val="16"/>
        </w:rPr>
        <w:t>TEIXEIRA, Carlos Correa. Visões da Natureza: seringueiros e colonos em Rondônia. São Paulo: EDUC, 1999. 338p. Cap. II – O intervalo da mineração, p. 90-98. Tese (Doutorado Ciências Sociais), Unicamp</w:t>
      </w:r>
    </w:p>
    <w:p w:rsidR="00D81F69" w:rsidRDefault="00330118">
      <w:pPr>
        <w:pStyle w:val="PargrafodaLista"/>
        <w:numPr>
          <w:ilvl w:val="0"/>
          <w:numId w:val="4"/>
        </w:numPr>
        <w:tabs>
          <w:tab w:val="left" w:pos="335"/>
          <w:tab w:val="left" w:pos="1785"/>
          <w:tab w:val="left" w:pos="4548"/>
        </w:tabs>
        <w:ind w:hanging="234"/>
        <w:jc w:val="both"/>
        <w:rPr>
          <w:sz w:val="16"/>
        </w:rPr>
      </w:pPr>
      <w:r>
        <w:rPr>
          <w:sz w:val="16"/>
        </w:rPr>
        <w:t xml:space="preserve">9   9  </w:t>
      </w:r>
      <w:r>
        <w:rPr>
          <w:spacing w:val="22"/>
          <w:sz w:val="16"/>
        </w:rPr>
        <w:t xml:space="preserve"> </w:t>
      </w:r>
      <w:r>
        <w:rPr>
          <w:sz w:val="16"/>
        </w:rPr>
        <w:t xml:space="preserve">6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2"/>
          <w:sz w:val="16"/>
        </w:rPr>
        <w:t xml:space="preserve"> </w:t>
      </w:r>
      <w:r>
        <w:rPr>
          <w:sz w:val="16"/>
        </w:rPr>
        <w:t>:</w:t>
      </w:r>
    </w:p>
    <w:p w:rsidR="00D81F69" w:rsidRDefault="00D81F69">
      <w:pPr>
        <w:spacing w:before="56" w:line="312" w:lineRule="auto"/>
        <w:ind w:left="100" w:right="238"/>
        <w:rPr>
          <w:sz w:val="16"/>
        </w:rPr>
      </w:pPr>
      <w:hyperlink r:id="rId503">
        <w:r w:rsidR="00330118">
          <w:rPr>
            <w:sz w:val="16"/>
          </w:rPr>
          <w:t>&lt;http://books.google.com.br/books?id=ZtQfoolZ9NMC&amp;printsec=front</w:t>
        </w:r>
      </w:hyperlink>
      <w:r w:rsidR="00330118">
        <w:rPr>
          <w:sz w:val="16"/>
        </w:rPr>
        <w:t xml:space="preserve">  </w:t>
      </w:r>
      <w:r w:rsidR="00330118">
        <w:rPr>
          <w:spacing w:val="7"/>
          <w:sz w:val="16"/>
        </w:rPr>
        <w:t>c</w:t>
      </w:r>
      <w:r w:rsidR="00330118">
        <w:rPr>
          <w:sz w:val="16"/>
        </w:rPr>
        <w:t xml:space="preserve"> </w:t>
      </w:r>
      <w:r w:rsidR="00330118">
        <w:rPr>
          <w:spacing w:val="7"/>
          <w:sz w:val="16"/>
        </w:rPr>
        <w:t>o</w:t>
      </w:r>
      <w:r w:rsidR="00330118">
        <w:rPr>
          <w:sz w:val="16"/>
        </w:rPr>
        <w:t xml:space="preserve"> </w:t>
      </w:r>
      <w:r w:rsidR="00330118">
        <w:rPr>
          <w:spacing w:val="7"/>
          <w:sz w:val="16"/>
        </w:rPr>
        <w:t>v</w:t>
      </w:r>
      <w:r w:rsidR="00330118">
        <w:rPr>
          <w:sz w:val="16"/>
        </w:rPr>
        <w:t xml:space="preserve"> </w:t>
      </w:r>
      <w:r w:rsidR="00330118">
        <w:rPr>
          <w:spacing w:val="7"/>
          <w:sz w:val="16"/>
        </w:rPr>
        <w:t>e</w:t>
      </w:r>
      <w:r w:rsidR="00330118">
        <w:rPr>
          <w:sz w:val="16"/>
        </w:rPr>
        <w:t xml:space="preserve"> </w:t>
      </w:r>
      <w:r w:rsidR="00330118">
        <w:rPr>
          <w:spacing w:val="7"/>
          <w:sz w:val="16"/>
        </w:rPr>
        <w:t>r</w:t>
      </w:r>
      <w:r w:rsidR="00330118">
        <w:rPr>
          <w:sz w:val="16"/>
        </w:rPr>
        <w:t xml:space="preserve"> </w:t>
      </w:r>
      <w:r w:rsidR="00330118">
        <w:rPr>
          <w:spacing w:val="7"/>
          <w:sz w:val="16"/>
        </w:rPr>
        <w:t>&amp;</w:t>
      </w:r>
      <w:r w:rsidR="00330118">
        <w:rPr>
          <w:sz w:val="16"/>
        </w:rPr>
        <w:t xml:space="preserve"> </w:t>
      </w:r>
      <w:r w:rsidR="00330118">
        <w:rPr>
          <w:spacing w:val="7"/>
          <w:sz w:val="16"/>
        </w:rPr>
        <w:t>d</w:t>
      </w:r>
      <w:r w:rsidR="00330118">
        <w:rPr>
          <w:sz w:val="16"/>
        </w:rPr>
        <w:t xml:space="preserve"> </w:t>
      </w:r>
      <w:r w:rsidR="00330118">
        <w:rPr>
          <w:spacing w:val="7"/>
          <w:sz w:val="16"/>
        </w:rPr>
        <w:t>q</w:t>
      </w:r>
      <w:r w:rsidR="00330118">
        <w:rPr>
          <w:sz w:val="16"/>
        </w:rPr>
        <w:t xml:space="preserve"> </w:t>
      </w:r>
      <w:r w:rsidR="00330118">
        <w:rPr>
          <w:spacing w:val="7"/>
          <w:sz w:val="16"/>
        </w:rPr>
        <w:t>=</w:t>
      </w:r>
      <w:r w:rsidR="00330118">
        <w:rPr>
          <w:sz w:val="16"/>
        </w:rPr>
        <w:t xml:space="preserve"> </w:t>
      </w:r>
      <w:r w:rsidR="00330118">
        <w:rPr>
          <w:spacing w:val="7"/>
          <w:sz w:val="16"/>
        </w:rPr>
        <w:t>C</w:t>
      </w:r>
      <w:r w:rsidR="00330118">
        <w:rPr>
          <w:sz w:val="16"/>
        </w:rPr>
        <w:t xml:space="preserve"> </w:t>
      </w:r>
      <w:r w:rsidR="00330118">
        <w:rPr>
          <w:spacing w:val="7"/>
          <w:sz w:val="16"/>
        </w:rPr>
        <w:t>a</w:t>
      </w:r>
      <w:r w:rsidR="00330118">
        <w:rPr>
          <w:sz w:val="16"/>
        </w:rPr>
        <w:t xml:space="preserve"> </w:t>
      </w:r>
      <w:r w:rsidR="00330118">
        <w:rPr>
          <w:spacing w:val="7"/>
          <w:sz w:val="16"/>
        </w:rPr>
        <w:t>r</w:t>
      </w:r>
      <w:r w:rsidR="00330118">
        <w:rPr>
          <w:sz w:val="16"/>
        </w:rPr>
        <w:t xml:space="preserve"> </w:t>
      </w:r>
      <w:r w:rsidR="00330118">
        <w:rPr>
          <w:spacing w:val="7"/>
          <w:sz w:val="16"/>
        </w:rPr>
        <w:t>l</w:t>
      </w:r>
      <w:r w:rsidR="00330118">
        <w:rPr>
          <w:sz w:val="16"/>
        </w:rPr>
        <w:t xml:space="preserve"> </w:t>
      </w:r>
      <w:r w:rsidR="00330118">
        <w:rPr>
          <w:spacing w:val="7"/>
          <w:sz w:val="16"/>
        </w:rPr>
        <w:t>o</w:t>
      </w:r>
      <w:r w:rsidR="00330118">
        <w:rPr>
          <w:sz w:val="16"/>
        </w:rPr>
        <w:t xml:space="preserve"> </w:t>
      </w:r>
      <w:r w:rsidR="00330118">
        <w:rPr>
          <w:spacing w:val="7"/>
          <w:sz w:val="16"/>
        </w:rPr>
        <w:t>s</w:t>
      </w:r>
      <w:r w:rsidR="00330118">
        <w:rPr>
          <w:sz w:val="16"/>
        </w:rPr>
        <w:t xml:space="preserve"> </w:t>
      </w:r>
      <w:r w:rsidR="00330118">
        <w:rPr>
          <w:spacing w:val="7"/>
          <w:sz w:val="16"/>
        </w:rPr>
        <w:t>+</w:t>
      </w:r>
      <w:r w:rsidR="00330118">
        <w:rPr>
          <w:sz w:val="16"/>
        </w:rPr>
        <w:t xml:space="preserve"> </w:t>
      </w:r>
      <w:r w:rsidR="00330118">
        <w:rPr>
          <w:spacing w:val="7"/>
          <w:sz w:val="16"/>
        </w:rPr>
        <w:t>C</w:t>
      </w:r>
      <w:r w:rsidR="00330118">
        <w:rPr>
          <w:sz w:val="16"/>
        </w:rPr>
        <w:t xml:space="preserve"> </w:t>
      </w:r>
      <w:r w:rsidR="00330118">
        <w:rPr>
          <w:spacing w:val="7"/>
          <w:sz w:val="16"/>
        </w:rPr>
        <w:t>o</w:t>
      </w:r>
      <w:r w:rsidR="00330118">
        <w:rPr>
          <w:sz w:val="16"/>
        </w:rPr>
        <w:t xml:space="preserve"> </w:t>
      </w:r>
      <w:r w:rsidR="00330118">
        <w:rPr>
          <w:spacing w:val="7"/>
          <w:sz w:val="16"/>
        </w:rPr>
        <w:t>r</w:t>
      </w:r>
      <w:r w:rsidR="00330118">
        <w:rPr>
          <w:sz w:val="16"/>
        </w:rPr>
        <w:t xml:space="preserve"> </w:t>
      </w:r>
      <w:r w:rsidR="00330118">
        <w:rPr>
          <w:spacing w:val="7"/>
          <w:sz w:val="16"/>
        </w:rPr>
        <w:t>r</w:t>
      </w:r>
      <w:r w:rsidR="00330118">
        <w:rPr>
          <w:sz w:val="16"/>
        </w:rPr>
        <w:t xml:space="preserve"> </w:t>
      </w:r>
      <w:r w:rsidR="00330118">
        <w:rPr>
          <w:spacing w:val="7"/>
          <w:sz w:val="16"/>
        </w:rPr>
        <w:t>e</w:t>
      </w:r>
      <w:r w:rsidR="00330118">
        <w:rPr>
          <w:sz w:val="16"/>
        </w:rPr>
        <w:t xml:space="preserve"> </w:t>
      </w:r>
      <w:r w:rsidR="00330118">
        <w:rPr>
          <w:spacing w:val="7"/>
          <w:sz w:val="16"/>
        </w:rPr>
        <w:t>a</w:t>
      </w:r>
      <w:r w:rsidR="00330118">
        <w:rPr>
          <w:sz w:val="16"/>
        </w:rPr>
        <w:t xml:space="preserve"> </w:t>
      </w:r>
      <w:r w:rsidR="00330118">
        <w:rPr>
          <w:spacing w:val="7"/>
          <w:sz w:val="16"/>
        </w:rPr>
        <w:t>+</w:t>
      </w:r>
      <w:r w:rsidR="00330118">
        <w:rPr>
          <w:sz w:val="16"/>
        </w:rPr>
        <w:t xml:space="preserve"> </w:t>
      </w:r>
      <w:r w:rsidR="00330118">
        <w:rPr>
          <w:spacing w:val="7"/>
          <w:sz w:val="16"/>
        </w:rPr>
        <w:t>T</w:t>
      </w:r>
      <w:r w:rsidR="00330118">
        <w:rPr>
          <w:sz w:val="16"/>
        </w:rPr>
        <w:t xml:space="preserve"> </w:t>
      </w:r>
      <w:r w:rsidR="00330118">
        <w:rPr>
          <w:spacing w:val="7"/>
          <w:sz w:val="16"/>
        </w:rPr>
        <w:t>e</w:t>
      </w:r>
      <w:r w:rsidR="00330118">
        <w:rPr>
          <w:sz w:val="16"/>
        </w:rPr>
        <w:t xml:space="preserve"> </w:t>
      </w:r>
      <w:r w:rsidR="00330118">
        <w:rPr>
          <w:spacing w:val="7"/>
          <w:sz w:val="16"/>
        </w:rPr>
        <w:t>i</w:t>
      </w:r>
      <w:r w:rsidR="00330118">
        <w:rPr>
          <w:sz w:val="16"/>
        </w:rPr>
        <w:t xml:space="preserve"> </w:t>
      </w:r>
      <w:r w:rsidR="00330118">
        <w:rPr>
          <w:spacing w:val="7"/>
          <w:sz w:val="16"/>
        </w:rPr>
        <w:t>x</w:t>
      </w:r>
      <w:r w:rsidR="00330118">
        <w:rPr>
          <w:sz w:val="16"/>
        </w:rPr>
        <w:t xml:space="preserve"> </w:t>
      </w:r>
      <w:r w:rsidR="00330118">
        <w:rPr>
          <w:spacing w:val="7"/>
          <w:sz w:val="16"/>
        </w:rPr>
        <w:t>e</w:t>
      </w:r>
      <w:r w:rsidR="00330118">
        <w:rPr>
          <w:sz w:val="16"/>
        </w:rPr>
        <w:t xml:space="preserve"> </w:t>
      </w:r>
      <w:r w:rsidR="00330118">
        <w:rPr>
          <w:spacing w:val="7"/>
          <w:sz w:val="16"/>
        </w:rPr>
        <w:t>i</w:t>
      </w:r>
      <w:r w:rsidR="00330118">
        <w:rPr>
          <w:sz w:val="16"/>
        </w:rPr>
        <w:t xml:space="preserve"> </w:t>
      </w:r>
      <w:r w:rsidR="00330118">
        <w:rPr>
          <w:spacing w:val="7"/>
          <w:sz w:val="16"/>
        </w:rPr>
        <w:t>r</w:t>
      </w:r>
      <w:r w:rsidR="00330118">
        <w:rPr>
          <w:sz w:val="16"/>
        </w:rPr>
        <w:t xml:space="preserve"> </w:t>
      </w:r>
      <w:r w:rsidR="00330118">
        <w:rPr>
          <w:spacing w:val="7"/>
          <w:sz w:val="16"/>
        </w:rPr>
        <w:t>a</w:t>
      </w:r>
      <w:r w:rsidR="00330118">
        <w:rPr>
          <w:sz w:val="16"/>
        </w:rPr>
        <w:t xml:space="preserve"> </w:t>
      </w:r>
      <w:r w:rsidR="00330118">
        <w:rPr>
          <w:spacing w:val="7"/>
          <w:sz w:val="16"/>
        </w:rPr>
        <w:t>&amp;</w:t>
      </w:r>
      <w:r w:rsidR="00330118">
        <w:rPr>
          <w:sz w:val="16"/>
        </w:rPr>
        <w:t xml:space="preserve"> </w:t>
      </w:r>
      <w:r w:rsidR="00330118">
        <w:rPr>
          <w:spacing w:val="7"/>
          <w:sz w:val="16"/>
        </w:rPr>
        <w:t>h</w:t>
      </w:r>
      <w:r w:rsidR="00330118">
        <w:rPr>
          <w:sz w:val="16"/>
        </w:rPr>
        <w:t xml:space="preserve"> </w:t>
      </w:r>
      <w:r w:rsidR="00330118">
        <w:rPr>
          <w:spacing w:val="7"/>
          <w:sz w:val="16"/>
        </w:rPr>
        <w:t>l</w:t>
      </w:r>
      <w:r w:rsidR="00330118">
        <w:rPr>
          <w:sz w:val="16"/>
        </w:rPr>
        <w:t xml:space="preserve"> </w:t>
      </w:r>
      <w:r w:rsidR="00330118">
        <w:rPr>
          <w:spacing w:val="7"/>
          <w:sz w:val="16"/>
        </w:rPr>
        <w:t>=</w:t>
      </w:r>
      <w:r w:rsidR="00330118">
        <w:rPr>
          <w:sz w:val="16"/>
        </w:rPr>
        <w:t xml:space="preserve"> </w:t>
      </w:r>
      <w:r w:rsidR="00330118">
        <w:rPr>
          <w:spacing w:val="7"/>
          <w:sz w:val="16"/>
        </w:rPr>
        <w:t>p</w:t>
      </w:r>
      <w:r w:rsidR="00330118">
        <w:rPr>
          <w:sz w:val="16"/>
        </w:rPr>
        <w:t xml:space="preserve"> </w:t>
      </w:r>
      <w:r w:rsidR="00330118">
        <w:rPr>
          <w:spacing w:val="7"/>
          <w:sz w:val="16"/>
        </w:rPr>
        <w:t>t</w:t>
      </w:r>
      <w:r w:rsidR="00330118">
        <w:rPr>
          <w:sz w:val="16"/>
        </w:rPr>
        <w:t xml:space="preserve"> - BR&amp;ei=l8_kTduyLIT1gAf1rfW_Bg</w:t>
      </w:r>
      <w:r w:rsidR="00330118">
        <w:rPr>
          <w:sz w:val="16"/>
        </w:rPr>
        <w:t>&amp;sa=X&amp;oi=book_result&amp;ct=result&amp;re snum=1&amp;ved=0CC4Q6AEwAA#v=onepage&amp;q&amp;f=false&gt;. Acesso em: 20 fev.</w:t>
      </w:r>
      <w:r w:rsidR="00330118">
        <w:rPr>
          <w:spacing w:val="17"/>
          <w:sz w:val="16"/>
        </w:rPr>
        <w:t xml:space="preserve"> </w:t>
      </w:r>
      <w:r w:rsidR="00330118">
        <w:rPr>
          <w:sz w:val="16"/>
        </w:rPr>
        <w:t>2011.</w:t>
      </w:r>
    </w:p>
    <w:p w:rsidR="00D81F69" w:rsidRDefault="00330118">
      <w:pPr>
        <w:tabs>
          <w:tab w:val="left" w:pos="4331"/>
        </w:tabs>
        <w:spacing w:before="4" w:line="312" w:lineRule="auto"/>
        <w:ind w:left="100" w:right="234"/>
        <w:jc w:val="both"/>
        <w:rPr>
          <w:sz w:val="16"/>
        </w:rPr>
      </w:pPr>
      <w:r>
        <w:rPr>
          <w:sz w:val="16"/>
        </w:rPr>
        <w:t xml:space="preserve">TEIXEIRA, Luiz Sertório. Territorialidades no centro de Rondônia – Brasil. Informe final del concurso: Las deudas abiertas en América </w:t>
      </w:r>
      <w:r>
        <w:rPr>
          <w:spacing w:val="1"/>
          <w:sz w:val="16"/>
        </w:rPr>
        <w:t xml:space="preserve">Latina </w:t>
      </w:r>
      <w:r>
        <w:rPr>
          <w:sz w:val="16"/>
        </w:rPr>
        <w:t xml:space="preserve">y el  </w:t>
      </w:r>
      <w:r>
        <w:rPr>
          <w:spacing w:val="1"/>
          <w:sz w:val="16"/>
        </w:rPr>
        <w:t xml:space="preserve">Caribe. Programa Regional </w:t>
      </w:r>
      <w:r>
        <w:rPr>
          <w:sz w:val="16"/>
        </w:rPr>
        <w:t xml:space="preserve">de  </w:t>
      </w:r>
      <w:r>
        <w:rPr>
          <w:spacing w:val="1"/>
          <w:sz w:val="16"/>
        </w:rPr>
        <w:t xml:space="preserve">Becas CLACSO, </w:t>
      </w:r>
      <w:r>
        <w:rPr>
          <w:spacing w:val="2"/>
          <w:sz w:val="16"/>
        </w:rPr>
        <w:t>2008.</w:t>
      </w:r>
      <w:r>
        <w:rPr>
          <w:spacing w:val="50"/>
          <w:sz w:val="16"/>
        </w:rPr>
        <w:t xml:space="preserve">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4" w:line="312" w:lineRule="auto"/>
        <w:ind w:left="100" w:right="239"/>
        <w:jc w:val="both"/>
        <w:rPr>
          <w:sz w:val="16"/>
        </w:rPr>
      </w:pPr>
      <w:hyperlink r:id="rId504">
        <w:r w:rsidR="00330118">
          <w:rPr>
            <w:sz w:val="16"/>
          </w:rPr>
          <w:t>&lt;http://bibliotecavirtual.clacso.org.ar/ar/libros/</w:t>
        </w:r>
        <w:r w:rsidR="00330118">
          <w:rPr>
            <w:sz w:val="16"/>
          </w:rPr>
          <w:t>becas/2008/deuda/serto.</w:t>
        </w:r>
      </w:hyperlink>
      <w:r w:rsidR="00330118">
        <w:rPr>
          <w:sz w:val="16"/>
        </w:rPr>
        <w:t xml:space="preserve"> pdf&gt;. Acesso em: 13 fev. 2011.</w:t>
      </w:r>
    </w:p>
    <w:p w:rsidR="00D81F69" w:rsidRDefault="00330118">
      <w:pPr>
        <w:tabs>
          <w:tab w:val="left" w:pos="4331"/>
        </w:tabs>
        <w:spacing w:before="1" w:line="312" w:lineRule="auto"/>
        <w:ind w:left="100" w:right="232"/>
        <w:jc w:val="both"/>
        <w:rPr>
          <w:sz w:val="16"/>
        </w:rPr>
      </w:pPr>
      <w:r>
        <w:rPr>
          <w:spacing w:val="5"/>
          <w:sz w:val="16"/>
        </w:rPr>
        <w:t xml:space="preserve">UNICAMP, Universidade Estadual </w:t>
      </w:r>
      <w:r>
        <w:rPr>
          <w:spacing w:val="2"/>
          <w:sz w:val="16"/>
        </w:rPr>
        <w:t xml:space="preserve">de </w:t>
      </w:r>
      <w:r>
        <w:rPr>
          <w:spacing w:val="5"/>
          <w:sz w:val="16"/>
        </w:rPr>
        <w:t xml:space="preserve">Campinas. Faculdade de Engenharia Mecânica. Imagens </w:t>
      </w:r>
      <w:r>
        <w:rPr>
          <w:spacing w:val="2"/>
          <w:sz w:val="16"/>
        </w:rPr>
        <w:t xml:space="preserve">de </w:t>
      </w:r>
      <w:r>
        <w:rPr>
          <w:spacing w:val="5"/>
          <w:sz w:val="16"/>
        </w:rPr>
        <w:t xml:space="preserve">problemas ambientais </w:t>
      </w:r>
      <w:r>
        <w:rPr>
          <w:spacing w:val="6"/>
          <w:sz w:val="16"/>
        </w:rPr>
        <w:t xml:space="preserve">nas </w:t>
      </w:r>
      <w:r>
        <w:rPr>
          <w:spacing w:val="8"/>
          <w:sz w:val="16"/>
        </w:rPr>
        <w:t xml:space="preserve">minerações </w:t>
      </w:r>
      <w:r>
        <w:rPr>
          <w:spacing w:val="5"/>
          <w:sz w:val="16"/>
        </w:rPr>
        <w:t xml:space="preserve">de </w:t>
      </w:r>
      <w:r>
        <w:rPr>
          <w:spacing w:val="7"/>
          <w:sz w:val="16"/>
        </w:rPr>
        <w:t xml:space="preserve">ferro </w:t>
      </w:r>
      <w:r>
        <w:rPr>
          <w:spacing w:val="6"/>
          <w:sz w:val="16"/>
        </w:rPr>
        <w:t xml:space="preserve">(MG) </w:t>
      </w:r>
      <w:r>
        <w:rPr>
          <w:sz w:val="16"/>
        </w:rPr>
        <w:t xml:space="preserve">e </w:t>
      </w:r>
      <w:r>
        <w:rPr>
          <w:spacing w:val="7"/>
          <w:sz w:val="16"/>
        </w:rPr>
        <w:t xml:space="preserve">estanho (RO), </w:t>
      </w:r>
      <w:r>
        <w:rPr>
          <w:sz w:val="16"/>
        </w:rPr>
        <w:t xml:space="preserve">e </w:t>
      </w:r>
      <w:r>
        <w:rPr>
          <w:spacing w:val="5"/>
          <w:sz w:val="16"/>
        </w:rPr>
        <w:t xml:space="preserve">nas </w:t>
      </w:r>
      <w:r>
        <w:rPr>
          <w:spacing w:val="10"/>
          <w:sz w:val="16"/>
        </w:rPr>
        <w:t xml:space="preserve">indústrias </w:t>
      </w:r>
      <w:r>
        <w:rPr>
          <w:spacing w:val="5"/>
          <w:sz w:val="16"/>
        </w:rPr>
        <w:t xml:space="preserve">metalúrgica </w:t>
      </w:r>
      <w:r>
        <w:rPr>
          <w:sz w:val="16"/>
        </w:rPr>
        <w:t xml:space="preserve">e  </w:t>
      </w:r>
      <w:r>
        <w:rPr>
          <w:spacing w:val="5"/>
          <w:sz w:val="16"/>
        </w:rPr>
        <w:t xml:space="preserve">siderúrgica </w:t>
      </w:r>
      <w:r>
        <w:rPr>
          <w:spacing w:val="3"/>
          <w:sz w:val="16"/>
        </w:rPr>
        <w:t>(M</w:t>
      </w:r>
      <w:r>
        <w:rPr>
          <w:spacing w:val="3"/>
          <w:sz w:val="16"/>
        </w:rPr>
        <w:t xml:space="preserve">G, SP, RS). </w:t>
      </w:r>
      <w:r>
        <w:rPr>
          <w:spacing w:val="5"/>
          <w:sz w:val="16"/>
        </w:rPr>
        <w:t xml:space="preserve">Campinas, </w:t>
      </w:r>
      <w:r>
        <w:rPr>
          <w:spacing w:val="3"/>
          <w:sz w:val="16"/>
        </w:rPr>
        <w:t xml:space="preserve">SP, </w:t>
      </w:r>
      <w:r>
        <w:rPr>
          <w:spacing w:val="5"/>
          <w:sz w:val="16"/>
        </w:rPr>
        <w:t xml:space="preserve">2004.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4" w:line="312" w:lineRule="auto"/>
        <w:ind w:left="100" w:right="257"/>
        <w:jc w:val="both"/>
        <w:rPr>
          <w:sz w:val="16"/>
        </w:rPr>
      </w:pPr>
      <w:hyperlink r:id="rId505">
        <w:r w:rsidR="00330118">
          <w:rPr>
            <w:sz w:val="16"/>
          </w:rPr>
          <w:t>&lt;http://www.fem.unicamp.br/~seva/pdf_slides_serie2_miner_metalurgi</w:t>
        </w:r>
      </w:hyperlink>
      <w:r w:rsidR="00330118">
        <w:rPr>
          <w:sz w:val="16"/>
        </w:rPr>
        <w:t xml:space="preserve"> a.pdf&gt;. Acesso em: 20 fev. 2011.</w:t>
      </w:r>
    </w:p>
    <w:p w:rsidR="00D81F69" w:rsidRDefault="00D81F69">
      <w:pPr>
        <w:spacing w:line="312" w:lineRule="auto"/>
        <w:jc w:val="both"/>
        <w:rPr>
          <w:sz w:val="16"/>
        </w:rPr>
        <w:sectPr w:rsidR="00D81F69">
          <w:pgSz w:w="11900" w:h="16840"/>
          <w:pgMar w:top="740" w:right="460" w:bottom="720" w:left="620" w:header="0" w:footer="402" w:gutter="0"/>
          <w:cols w:num="2" w:space="720" w:equalWidth="0">
            <w:col w:w="5191" w:space="279"/>
            <w:col w:w="5350"/>
          </w:cols>
        </w:sectPr>
      </w:pPr>
    </w:p>
    <w:p w:rsidR="00D81F69" w:rsidRDefault="00330118">
      <w:pPr>
        <w:pStyle w:val="Heading1"/>
        <w:spacing w:line="208" w:lineRule="auto"/>
        <w:ind w:right="0"/>
      </w:pPr>
      <w:r>
        <w:lastRenderedPageBreak/>
        <w:t>Garimpo ilegal na Terra Indígena Raposa Serra do Sol (RR)</w:t>
      </w:r>
    </w:p>
    <w:p w:rsidR="00D81F69" w:rsidRDefault="00D81F69">
      <w:pPr>
        <w:pStyle w:val="Corpodetexto"/>
        <w:ind w:left="0"/>
        <w:jc w:val="left"/>
        <w:rPr>
          <w:b/>
          <w:sz w:val="20"/>
        </w:rPr>
      </w:pPr>
    </w:p>
    <w:p w:rsidR="00D81F69" w:rsidRDefault="00D81F69">
      <w:pPr>
        <w:rPr>
          <w:sz w:val="20"/>
        </w:rPr>
        <w:sectPr w:rsidR="00D81F69">
          <w:pgSz w:w="11900" w:h="16840"/>
          <w:pgMar w:top="1080" w:right="46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38"/>
        <w:jc w:val="both"/>
        <w:rPr>
          <w:i/>
          <w:sz w:val="14"/>
        </w:rPr>
      </w:pPr>
      <w:r>
        <w:rPr>
          <w:i/>
          <w:sz w:val="14"/>
        </w:rPr>
        <w:t>RR - Normandia RR - Pacaraima RR - Uiramutã</w:t>
      </w:r>
    </w:p>
    <w:p w:rsidR="00D81F69" w:rsidRDefault="00D81F69">
      <w:pPr>
        <w:pStyle w:val="Corpodetexto"/>
        <w:spacing w:before="5"/>
        <w:ind w:left="0"/>
        <w:jc w:val="left"/>
        <w:rPr>
          <w:i/>
        </w:rPr>
      </w:pPr>
    </w:p>
    <w:p w:rsidR="00D81F69" w:rsidRDefault="00330118">
      <w:pPr>
        <w:spacing w:line="312" w:lineRule="auto"/>
        <w:ind w:left="135" w:right="355"/>
        <w:rPr>
          <w:i/>
          <w:sz w:val="14"/>
        </w:rPr>
      </w:pPr>
      <w:r>
        <w:rPr>
          <w:i/>
          <w:sz w:val="14"/>
        </w:rPr>
        <w:t>LATITUDE 4,417</w:t>
      </w:r>
    </w:p>
    <w:p w:rsidR="00D81F69" w:rsidRDefault="00D81F69">
      <w:pPr>
        <w:pStyle w:val="Corpodetexto"/>
        <w:spacing w:before="5"/>
        <w:ind w:left="0"/>
        <w:jc w:val="left"/>
        <w:rPr>
          <w:i/>
        </w:rPr>
      </w:pPr>
    </w:p>
    <w:p w:rsidR="00D81F69" w:rsidRDefault="00330118">
      <w:pPr>
        <w:ind w:left="135"/>
        <w:jc w:val="both"/>
        <w:rPr>
          <w:i/>
          <w:sz w:val="14"/>
        </w:rPr>
      </w:pPr>
      <w:r>
        <w:rPr>
          <w:i/>
          <w:sz w:val="14"/>
        </w:rPr>
        <w:t>LONGITUDE</w:t>
      </w:r>
    </w:p>
    <w:p w:rsidR="00D81F69" w:rsidRDefault="00330118">
      <w:pPr>
        <w:spacing w:before="49"/>
        <w:ind w:left="135"/>
        <w:jc w:val="both"/>
        <w:rPr>
          <w:i/>
          <w:sz w:val="14"/>
        </w:rPr>
      </w:pPr>
      <w:r>
        <w:rPr>
          <w:i/>
          <w:sz w:val="14"/>
        </w:rPr>
        <w:t>-61,1408</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4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A Terra Indígena Raposa Serra do </w:t>
      </w:r>
      <w:r>
        <w:rPr>
          <w:i/>
          <w:spacing w:val="1"/>
          <w:sz w:val="16"/>
        </w:rPr>
        <w:t xml:space="preserve">Sol </w:t>
      </w:r>
      <w:r>
        <w:rPr>
          <w:i/>
          <w:sz w:val="16"/>
        </w:rPr>
        <w:t xml:space="preserve">se situa em Roraima numa área rica em </w:t>
      </w:r>
      <w:r>
        <w:rPr>
          <w:i/>
          <w:spacing w:val="12"/>
          <w:sz w:val="16"/>
        </w:rPr>
        <w:t xml:space="preserve">minérios. </w:t>
      </w:r>
      <w:r>
        <w:rPr>
          <w:i/>
          <w:spacing w:val="10"/>
          <w:sz w:val="16"/>
        </w:rPr>
        <w:t xml:space="preserve">Lá, </w:t>
      </w:r>
      <w:r>
        <w:rPr>
          <w:i/>
          <w:spacing w:val="6"/>
          <w:sz w:val="16"/>
        </w:rPr>
        <w:t xml:space="preserve">os </w:t>
      </w:r>
      <w:r>
        <w:rPr>
          <w:i/>
          <w:spacing w:val="11"/>
          <w:sz w:val="16"/>
        </w:rPr>
        <w:t xml:space="preserve">índios </w:t>
      </w:r>
      <w:r>
        <w:rPr>
          <w:i/>
          <w:spacing w:val="12"/>
          <w:sz w:val="16"/>
        </w:rPr>
        <w:t xml:space="preserve">praticam </w:t>
      </w:r>
      <w:r>
        <w:rPr>
          <w:i/>
          <w:sz w:val="16"/>
        </w:rPr>
        <w:t xml:space="preserve">atividades tradicionais, como a pesca e  a </w:t>
      </w:r>
      <w:r>
        <w:rPr>
          <w:i/>
          <w:spacing w:val="7"/>
          <w:sz w:val="16"/>
        </w:rPr>
        <w:t xml:space="preserve">colheita. Porém, </w:t>
      </w:r>
      <w:r>
        <w:rPr>
          <w:i/>
          <w:spacing w:val="5"/>
          <w:sz w:val="16"/>
        </w:rPr>
        <w:t xml:space="preserve">há </w:t>
      </w:r>
      <w:r>
        <w:rPr>
          <w:i/>
          <w:spacing w:val="7"/>
          <w:sz w:val="16"/>
        </w:rPr>
        <w:t xml:space="preserve">registros </w:t>
      </w:r>
      <w:r>
        <w:rPr>
          <w:i/>
          <w:spacing w:val="10"/>
          <w:sz w:val="16"/>
        </w:rPr>
        <w:t xml:space="preserve">de </w:t>
      </w:r>
      <w:r>
        <w:rPr>
          <w:i/>
          <w:sz w:val="16"/>
        </w:rPr>
        <w:t xml:space="preserve">atividade garimpeira de ouro e diamante </w:t>
      </w:r>
      <w:r>
        <w:rPr>
          <w:i/>
          <w:spacing w:val="5"/>
          <w:sz w:val="16"/>
        </w:rPr>
        <w:t xml:space="preserve">na </w:t>
      </w:r>
      <w:r>
        <w:rPr>
          <w:i/>
          <w:spacing w:val="10"/>
          <w:sz w:val="16"/>
        </w:rPr>
        <w:t xml:space="preserve">região, prática ilegal </w:t>
      </w:r>
      <w:r>
        <w:rPr>
          <w:i/>
          <w:spacing w:val="7"/>
          <w:sz w:val="16"/>
        </w:rPr>
        <w:t xml:space="preserve">que </w:t>
      </w:r>
      <w:r>
        <w:rPr>
          <w:i/>
          <w:spacing w:val="12"/>
          <w:sz w:val="16"/>
        </w:rPr>
        <w:t xml:space="preserve">traz </w:t>
      </w:r>
      <w:r>
        <w:rPr>
          <w:i/>
          <w:spacing w:val="3"/>
          <w:sz w:val="16"/>
        </w:rPr>
        <w:t xml:space="preserve">consequências </w:t>
      </w:r>
      <w:r>
        <w:rPr>
          <w:i/>
          <w:spacing w:val="2"/>
          <w:sz w:val="16"/>
        </w:rPr>
        <w:t xml:space="preserve">para </w:t>
      </w:r>
      <w:r>
        <w:rPr>
          <w:i/>
          <w:sz w:val="16"/>
        </w:rPr>
        <w:t xml:space="preserve">o </w:t>
      </w:r>
      <w:r>
        <w:rPr>
          <w:i/>
          <w:spacing w:val="2"/>
          <w:sz w:val="16"/>
        </w:rPr>
        <w:t>meio</w:t>
      </w:r>
      <w:r>
        <w:rPr>
          <w:i/>
          <w:spacing w:val="7"/>
          <w:sz w:val="16"/>
        </w:rPr>
        <w:t xml:space="preserve"> </w:t>
      </w:r>
      <w:r>
        <w:rPr>
          <w:i/>
          <w:spacing w:val="5"/>
          <w:sz w:val="16"/>
        </w:rPr>
        <w:t>ambiente.</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4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24"/>
      </w:pPr>
      <w:r>
        <w:t>O processo de demarcação da reserva, que teve início no final da década de 1970, foi conflituoso e demorado (COSTA, 2009). Houve um intenso debate sobre a maneira como se faria a delimitação da reserva, se por i</w:t>
      </w:r>
      <w:r>
        <w:t>lhas, preservando as áreas dos rizicultores e demais fazendeiros, ou se de maneira contínua, tornando tudo uma grande terra indígena, englobando as terras de posseiros, garimpeiros e rizicultores da região. No modelo ilha, o objetivo era permitir o contato</w:t>
      </w:r>
      <w:r>
        <w:t xml:space="preserve"> entre índios e não índios, garantindo o comércio e as trocas entre eles, e também evitar a redução das atividades</w:t>
      </w:r>
    </w:p>
    <w:p w:rsidR="00D81F69" w:rsidRDefault="00D81F69">
      <w:pPr>
        <w:spacing w:line="312" w:lineRule="auto"/>
        <w:sectPr w:rsidR="00D81F69">
          <w:type w:val="continuous"/>
          <w:pgSz w:w="11900" w:h="16840"/>
          <w:pgMar w:top="720" w:right="460" w:bottom="280" w:left="620" w:header="720" w:footer="720" w:gutter="0"/>
          <w:cols w:num="3" w:space="720" w:equalWidth="0">
            <w:col w:w="1187" w:space="813"/>
            <w:col w:w="3119" w:space="316"/>
            <w:col w:w="5385"/>
          </w:cols>
        </w:sectPr>
      </w:pPr>
    </w:p>
    <w:p w:rsidR="00D81F69" w:rsidRDefault="00330118">
      <w:pPr>
        <w:pStyle w:val="Heading4"/>
        <w:spacing w:before="13"/>
      </w:pPr>
      <w:r>
        <w:lastRenderedPageBreak/>
        <w:t>APRESENTAÇÃO DE CASO</w:t>
      </w:r>
    </w:p>
    <w:p w:rsidR="00D81F69" w:rsidRDefault="00330118">
      <w:pPr>
        <w:pStyle w:val="Corpodetexto"/>
        <w:spacing w:before="170" w:line="312" w:lineRule="auto"/>
        <w:ind w:right="40"/>
      </w:pPr>
      <w:r>
        <w:t>A reserva indígena Raposa Serra do Sol se situa na divisa de Roraima com a Venezuela e a Guiana Inglesa, e comporta os municípios de Pacaraima, Uiramutã e Normandia. Juntos, eles somam uma grande extensão de terra, num total de 1,7 mil hectares — 7,7% do e</w:t>
      </w:r>
      <w:r>
        <w:t>stado de Roraima —, abrangendo a área da Serra da Raposa até a Serra do Sol. Vem daí a origem do nome, “Raposa Serra do Sol”. A reserva é a segunda em extensão do estado, e é a mais populosa. Lá habitam 17 mil indígenas, cujas origens étnicas são variadas.</w:t>
      </w:r>
      <w:r>
        <w:t xml:space="preserve"> Ao todo, são cinco etnias: Macuxi, Wapixana, Ingarikó, Taurepang e Patamona. Com tradições, costumes e idiomas diferentes, os conflitos e disputas no interior da reserva são comuns (COSTA, 2009).</w:t>
      </w:r>
    </w:p>
    <w:p w:rsidR="00D81F69" w:rsidRDefault="00330118">
      <w:pPr>
        <w:pStyle w:val="Corpodetexto"/>
        <w:spacing w:before="142" w:line="312" w:lineRule="auto"/>
        <w:ind w:right="38"/>
      </w:pPr>
      <w:r>
        <w:t>Além de ser a segunda maior reserva de urânio do mundo, a r</w:t>
      </w:r>
      <w:r>
        <w:t xml:space="preserve">egião é muito rica em minérios e metais. Estanho, diamante, zinco, caulim, ametista, </w:t>
      </w:r>
      <w:hyperlink r:id="rId506">
        <w:r>
          <w:t>cobre,</w:t>
        </w:r>
      </w:hyperlink>
      <w:r>
        <w:t xml:space="preserve"> ouro, diatomito, barita, molibdênio, titânio, calcário e também nióbio são</w:t>
      </w:r>
      <w:r>
        <w:t xml:space="preserve"> alguns dos exemplos lá encontrados (COSTA, 2009).</w:t>
      </w:r>
    </w:p>
    <w:p w:rsidR="00D81F69" w:rsidRDefault="00330118">
      <w:pPr>
        <w:pStyle w:val="Corpodetexto"/>
        <w:spacing w:before="134" w:line="312" w:lineRule="auto"/>
        <w:ind w:right="60"/>
      </w:pPr>
      <w:r>
        <w:rPr>
          <w:spacing w:val="2"/>
        </w:rPr>
        <w:t xml:space="preserve">Os </w:t>
      </w:r>
      <w:r>
        <w:rPr>
          <w:spacing w:val="5"/>
        </w:rPr>
        <w:t xml:space="preserve">índios </w:t>
      </w:r>
      <w:r>
        <w:rPr>
          <w:spacing w:val="2"/>
        </w:rPr>
        <w:t xml:space="preserve">da </w:t>
      </w:r>
      <w:r>
        <w:rPr>
          <w:spacing w:val="5"/>
        </w:rPr>
        <w:t xml:space="preserve">Raposa Serra </w:t>
      </w:r>
      <w:r>
        <w:rPr>
          <w:spacing w:val="2"/>
        </w:rPr>
        <w:t xml:space="preserve">do </w:t>
      </w:r>
      <w:r>
        <w:rPr>
          <w:spacing w:val="3"/>
        </w:rPr>
        <w:t xml:space="preserve">Sol </w:t>
      </w:r>
      <w:r>
        <w:rPr>
          <w:spacing w:val="5"/>
        </w:rPr>
        <w:t xml:space="preserve">vivem </w:t>
      </w:r>
      <w:r>
        <w:rPr>
          <w:spacing w:val="2"/>
        </w:rPr>
        <w:t xml:space="preserve">de </w:t>
      </w:r>
      <w:r>
        <w:rPr>
          <w:spacing w:val="6"/>
        </w:rPr>
        <w:t xml:space="preserve">atividades </w:t>
      </w:r>
      <w:r>
        <w:t xml:space="preserve">econômicas tradicionais, como, caça, pesca, coleta de frutos e de outros produtos usados na construção de suas casas e para a sua sobrevivência (SILVA; </w:t>
      </w:r>
      <w:r>
        <w:t>BRAGA,</w:t>
      </w:r>
      <w:r>
        <w:rPr>
          <w:spacing w:val="21"/>
        </w:rPr>
        <w:t xml:space="preserve"> </w:t>
      </w:r>
      <w:r>
        <w:t>2011).</w:t>
      </w:r>
    </w:p>
    <w:p w:rsidR="00D81F69" w:rsidRDefault="00330118">
      <w:pPr>
        <w:pStyle w:val="Corpodetexto"/>
        <w:spacing w:before="134" w:line="312" w:lineRule="auto"/>
        <w:ind w:right="42"/>
      </w:pPr>
      <w:r>
        <w:t>Devido ao garimpo e ao desmatamento provocado pelas fazendas de rizicultura, houve uma diminuição dos animais na região, fato que reduziu bastante a caça entre os índios. Por isso, a pecuária, a criação de galinhas, de peixes, porcos e de out</w:t>
      </w:r>
      <w:r>
        <w:t>ros animais vem se tornando um hábito cada vez mais comum, prática essa considerada influência branca. Estes também praticam o garimpo manual de ouro e de diamantes, que é realizado de maneira ilegal, pois eles apenas detêm a posse da terra. Para extrair d</w:t>
      </w:r>
      <w:r>
        <w:t>ela suas riquezas minerais, precisam de autorização da União. Muitas Organizações Não Governamentais (ONGs) patrocinadas por países estrangeiros atuam na região, na defesa do meio ambiente e dos direitos indígenas. Entretanto, sua presença gera alguma desc</w:t>
      </w:r>
      <w:r>
        <w:t>onfiança, já que a reserva é rica não só em minérios, mas também em fauna e flora (SILVA; BRAGA, 2011).</w:t>
      </w:r>
    </w:p>
    <w:p w:rsidR="00D81F69" w:rsidRDefault="00330118">
      <w:pPr>
        <w:pStyle w:val="Corpodetexto"/>
        <w:spacing w:before="9" w:line="312" w:lineRule="auto"/>
        <w:ind w:right="231"/>
      </w:pPr>
      <w:r>
        <w:br w:type="column"/>
      </w:r>
      <w:r>
        <w:lastRenderedPageBreak/>
        <w:t xml:space="preserve">produtivas do estado, já que a região possui um subsolo rico  e </w:t>
      </w:r>
      <w:r>
        <w:rPr>
          <w:spacing w:val="7"/>
        </w:rPr>
        <w:t xml:space="preserve">terras </w:t>
      </w:r>
      <w:r>
        <w:rPr>
          <w:spacing w:val="8"/>
        </w:rPr>
        <w:t xml:space="preserve">cultiváveis, </w:t>
      </w:r>
      <w:r>
        <w:rPr>
          <w:spacing w:val="7"/>
        </w:rPr>
        <w:t xml:space="preserve">sobretudo </w:t>
      </w:r>
      <w:r>
        <w:rPr>
          <w:spacing w:val="6"/>
        </w:rPr>
        <w:t xml:space="preserve">para </w:t>
      </w:r>
      <w:r>
        <w:t xml:space="preserve">o </w:t>
      </w:r>
      <w:r>
        <w:rPr>
          <w:spacing w:val="7"/>
        </w:rPr>
        <w:t xml:space="preserve">arroz. </w:t>
      </w:r>
      <w:r>
        <w:rPr>
          <w:spacing w:val="5"/>
        </w:rPr>
        <w:t xml:space="preserve">As </w:t>
      </w:r>
      <w:r>
        <w:rPr>
          <w:spacing w:val="10"/>
        </w:rPr>
        <w:t xml:space="preserve">ilhas </w:t>
      </w:r>
      <w:r>
        <w:rPr>
          <w:spacing w:val="8"/>
        </w:rPr>
        <w:t xml:space="preserve">permitiriam </w:t>
      </w:r>
      <w:r>
        <w:rPr>
          <w:spacing w:val="5"/>
        </w:rPr>
        <w:t xml:space="preserve">um </w:t>
      </w:r>
      <w:r>
        <w:rPr>
          <w:spacing w:val="7"/>
        </w:rPr>
        <w:t xml:space="preserve">maior acesso </w:t>
      </w:r>
      <w:r>
        <w:rPr>
          <w:spacing w:val="5"/>
        </w:rPr>
        <w:t xml:space="preserve">por </w:t>
      </w:r>
      <w:r>
        <w:rPr>
          <w:spacing w:val="7"/>
        </w:rPr>
        <w:t xml:space="preserve">parte </w:t>
      </w:r>
      <w:r>
        <w:rPr>
          <w:spacing w:val="5"/>
        </w:rPr>
        <w:t xml:space="preserve">do </w:t>
      </w:r>
      <w:r>
        <w:rPr>
          <w:spacing w:val="7"/>
        </w:rPr>
        <w:t xml:space="preserve">Estado </w:t>
      </w:r>
      <w:r>
        <w:t xml:space="preserve">e a </w:t>
      </w:r>
      <w:r>
        <w:rPr>
          <w:spacing w:val="3"/>
        </w:rPr>
        <w:t xml:space="preserve">permanência </w:t>
      </w:r>
      <w:r>
        <w:rPr>
          <w:spacing w:val="1"/>
        </w:rPr>
        <w:t xml:space="preserve">da </w:t>
      </w:r>
      <w:r>
        <w:rPr>
          <w:spacing w:val="3"/>
        </w:rPr>
        <w:t xml:space="preserve">população </w:t>
      </w:r>
      <w:r>
        <w:rPr>
          <w:spacing w:val="2"/>
        </w:rPr>
        <w:t xml:space="preserve">ali </w:t>
      </w:r>
      <w:r>
        <w:rPr>
          <w:spacing w:val="3"/>
        </w:rPr>
        <w:t xml:space="preserve">residente (SILVA; </w:t>
      </w:r>
      <w:r>
        <w:rPr>
          <w:spacing w:val="5"/>
        </w:rPr>
        <w:t>BRAGA, 2011).</w:t>
      </w:r>
    </w:p>
    <w:p w:rsidR="00D81F69" w:rsidRDefault="00330118">
      <w:pPr>
        <w:pStyle w:val="Corpodetexto"/>
        <w:spacing w:before="134" w:line="312" w:lineRule="auto"/>
        <w:ind w:right="241"/>
      </w:pPr>
      <w:r>
        <w:t>Muitas organizações se posicionaram contra as ilhas, pois consideravam que esse tipo de demarcação dificultava o acesso dos índios a rios e áreas de caça, e lutaram pela demar</w:t>
      </w:r>
      <w:r>
        <w:t>cação contínua. A ocupação pelos não índios era justificada não só pelo argumento de desenvolver economicamente a região, mas também pela defesa da soberania nacional, já que sua permanência não só tornaria a área mais habitada, como também facilitaria o a</w:t>
      </w:r>
      <w:r>
        <w:t>cesso em caso de defesa das fronteiras (SILVA; BRAGA, 2011).</w:t>
      </w:r>
    </w:p>
    <w:p w:rsidR="00D81F69" w:rsidRDefault="00330118">
      <w:pPr>
        <w:pStyle w:val="Corpodetexto"/>
        <w:spacing w:before="139" w:line="312" w:lineRule="auto"/>
        <w:ind w:right="252"/>
      </w:pPr>
      <w:r>
        <w:t>O governo do estado de Roraima promoveu várias ações na Justiça, de maneira a impedir a demarcação contínua das terras, e criou o município de Uiramutã, em 1995, na área central da reserva. A cid</w:t>
      </w:r>
      <w:r>
        <w:t>ade foi estabelecida numa antiga vila de garimpo praticamente abandonada (LAURIOLA, 2003).</w:t>
      </w:r>
    </w:p>
    <w:p w:rsidR="00D81F69" w:rsidRDefault="00330118">
      <w:pPr>
        <w:pStyle w:val="Corpodetexto"/>
        <w:spacing w:before="134" w:line="312" w:lineRule="auto"/>
        <w:ind w:right="230"/>
      </w:pPr>
      <w:r>
        <w:t>Em 2005, no entanto, um decreto do então presidente da República, Luiz Inácio Lula da Silva, homologou a região, sob o modelo de demarcação contínua. Desde então, co</w:t>
      </w:r>
      <w:r>
        <w:t>meçou o processo de negociação para a retirada dos não índios da área (SILVA; BRAGA, 2011). A homologação foi posteriormente respaldada pelo Supremo Tribunal Federal (STF), no dia 20 de março de 2009. O STF determinou que a reserva fosse estabelecida no mo</w:t>
      </w:r>
      <w:r>
        <w:t>delo contínuo, uma vitória para os índios, mas estabeleceu 19 condições em troca. Essas condições podem abrir prerrogativa legal para alterar a maneira como se fazem as demarcações e homologações das terras indígenas no Brasil (SUSUKY, 2009).</w:t>
      </w:r>
    </w:p>
    <w:p w:rsidR="00D81F69" w:rsidRDefault="00330118">
      <w:pPr>
        <w:pStyle w:val="Corpodetexto"/>
        <w:spacing w:before="78" w:line="270" w:lineRule="atLeast"/>
        <w:ind w:right="243"/>
      </w:pPr>
      <w:r>
        <w:t>Uma das ressa</w:t>
      </w:r>
      <w:r>
        <w:t>lvas mais polêmicas do Supremo foi determinar que os índios não precisariam ser consultados em caso de haver interesse no usufruto das riquezas naturais em suas áreas. A medida é polêmica porque o Brasil acatou as normas da Convenção 169 da Organização Int</w:t>
      </w:r>
      <w:r>
        <w:t>ernacional do Trabalho (OIT), da qual é membro. Uma delas estabelece justamente o dever de consultar previamente os índios, caso haja a intenção de explorar as riquezas situadas em suas</w:t>
      </w:r>
    </w:p>
    <w:p w:rsidR="00D81F69" w:rsidRDefault="00D81F69">
      <w:pPr>
        <w:spacing w:line="270" w:lineRule="atLeast"/>
        <w:sectPr w:rsidR="00D81F69">
          <w:type w:val="continuous"/>
          <w:pgSz w:w="11900" w:h="16840"/>
          <w:pgMar w:top="720" w:right="460" w:bottom="280" w:left="620" w:header="720" w:footer="720" w:gutter="0"/>
          <w:cols w:num="2" w:space="720" w:equalWidth="0">
            <w:col w:w="5162" w:space="308"/>
            <w:col w:w="5350"/>
          </w:cols>
        </w:sectPr>
      </w:pPr>
    </w:p>
    <w:p w:rsidR="00D81F69" w:rsidRDefault="00330118">
      <w:pPr>
        <w:pStyle w:val="Corpodetexto"/>
        <w:spacing w:before="81"/>
      </w:pPr>
      <w:r>
        <w:lastRenderedPageBreak/>
        <w:t>terras (SUSUKY, 2009).</w:t>
      </w:r>
    </w:p>
    <w:p w:rsidR="00D81F69" w:rsidRDefault="00D81F69">
      <w:pPr>
        <w:pStyle w:val="Corpodetexto"/>
        <w:spacing w:before="9"/>
        <w:ind w:left="0"/>
        <w:jc w:val="left"/>
        <w:rPr>
          <w:sz w:val="16"/>
        </w:rPr>
      </w:pPr>
    </w:p>
    <w:p w:rsidR="00D81F69" w:rsidRDefault="00330118">
      <w:pPr>
        <w:pStyle w:val="Corpodetexto"/>
        <w:spacing w:line="312" w:lineRule="auto"/>
        <w:ind w:right="39"/>
      </w:pPr>
      <w:r>
        <w:t>Outra é a impossibi</w:t>
      </w:r>
      <w:r>
        <w:t xml:space="preserve">lidade de revisão de terras demarcadas antes de 1988, quando foi promulgada a Constituição, a qual incluiu os direitos indígenas. Há casos em que a demarcação não obedece fielmente à configuração natural de ocupação </w:t>
      </w:r>
      <w:r>
        <w:rPr>
          <w:spacing w:val="3"/>
        </w:rPr>
        <w:t xml:space="preserve">das </w:t>
      </w:r>
      <w:r>
        <w:rPr>
          <w:spacing w:val="5"/>
        </w:rPr>
        <w:t xml:space="preserve">comunidades indígenas, </w:t>
      </w:r>
      <w:r>
        <w:t xml:space="preserve">o </w:t>
      </w:r>
      <w:r>
        <w:rPr>
          <w:spacing w:val="3"/>
        </w:rPr>
        <w:t xml:space="preserve">que </w:t>
      </w:r>
      <w:r>
        <w:rPr>
          <w:spacing w:val="5"/>
        </w:rPr>
        <w:t>constit</w:t>
      </w:r>
      <w:r>
        <w:rPr>
          <w:spacing w:val="5"/>
        </w:rPr>
        <w:t xml:space="preserve">ui sempre um </w:t>
      </w:r>
      <w:r>
        <w:rPr>
          <w:spacing w:val="3"/>
        </w:rPr>
        <w:t xml:space="preserve">motivo </w:t>
      </w:r>
      <w:r>
        <w:rPr>
          <w:spacing w:val="1"/>
        </w:rPr>
        <w:t xml:space="preserve">de </w:t>
      </w:r>
      <w:r>
        <w:rPr>
          <w:spacing w:val="3"/>
        </w:rPr>
        <w:t xml:space="preserve">reivindicação </w:t>
      </w:r>
      <w:r>
        <w:t xml:space="preserve">e </w:t>
      </w:r>
      <w:r>
        <w:rPr>
          <w:spacing w:val="1"/>
        </w:rPr>
        <w:t xml:space="preserve">de </w:t>
      </w:r>
      <w:r>
        <w:rPr>
          <w:spacing w:val="3"/>
        </w:rPr>
        <w:t xml:space="preserve">debate </w:t>
      </w:r>
      <w:r>
        <w:rPr>
          <w:spacing w:val="2"/>
        </w:rPr>
        <w:t xml:space="preserve">por </w:t>
      </w:r>
      <w:r>
        <w:rPr>
          <w:spacing w:val="3"/>
        </w:rPr>
        <w:t xml:space="preserve">parte </w:t>
      </w:r>
      <w:r>
        <w:rPr>
          <w:spacing w:val="2"/>
        </w:rPr>
        <w:t xml:space="preserve">dos </w:t>
      </w:r>
      <w:r>
        <w:rPr>
          <w:spacing w:val="5"/>
        </w:rPr>
        <w:t xml:space="preserve">índios. </w:t>
      </w:r>
      <w:r>
        <w:rPr>
          <w:spacing w:val="3"/>
        </w:rPr>
        <w:t xml:space="preserve">Ainda assim, </w:t>
      </w:r>
      <w:r>
        <w:t xml:space="preserve">a </w:t>
      </w:r>
      <w:r>
        <w:rPr>
          <w:spacing w:val="3"/>
        </w:rPr>
        <w:t xml:space="preserve">decisão </w:t>
      </w:r>
      <w:r>
        <w:rPr>
          <w:spacing w:val="1"/>
        </w:rPr>
        <w:t xml:space="preserve">de </w:t>
      </w:r>
      <w:r>
        <w:rPr>
          <w:spacing w:val="3"/>
        </w:rPr>
        <w:t xml:space="preserve">reconhecer </w:t>
      </w:r>
      <w:r>
        <w:t xml:space="preserve">a </w:t>
      </w:r>
      <w:r>
        <w:rPr>
          <w:spacing w:val="3"/>
        </w:rPr>
        <w:t xml:space="preserve">homologação </w:t>
      </w:r>
      <w:r>
        <w:rPr>
          <w:spacing w:val="5"/>
        </w:rPr>
        <w:t xml:space="preserve">da </w:t>
      </w:r>
      <w:r>
        <w:rPr>
          <w:spacing w:val="1"/>
        </w:rPr>
        <w:t xml:space="preserve">Terra Indígena Raposa Serra </w:t>
      </w:r>
      <w:r>
        <w:t xml:space="preserve">do Sol de </w:t>
      </w:r>
      <w:r>
        <w:rPr>
          <w:spacing w:val="1"/>
        </w:rPr>
        <w:t xml:space="preserve">maneira </w:t>
      </w:r>
      <w:r>
        <w:rPr>
          <w:spacing w:val="2"/>
        </w:rPr>
        <w:t xml:space="preserve">contínua, </w:t>
      </w:r>
      <w:r>
        <w:t>ampliando seus limites, foi considerada uma inegável vitória para o movimen</w:t>
      </w:r>
      <w:r>
        <w:t>to indígena. Por 30 anos, essas terras foram alvo de disputas violentas entre índios e grandes produtores de arroz, principalmente (SUSUKY,</w:t>
      </w:r>
      <w:r>
        <w:rPr>
          <w:spacing w:val="47"/>
        </w:rPr>
        <w:t xml:space="preserve"> </w:t>
      </w:r>
      <w:r>
        <w:t>2009).</w:t>
      </w:r>
    </w:p>
    <w:p w:rsidR="00D81F69" w:rsidRDefault="00330118">
      <w:pPr>
        <w:pStyle w:val="Corpodetexto"/>
        <w:spacing w:before="141" w:line="312" w:lineRule="auto"/>
        <w:ind w:right="38"/>
      </w:pPr>
      <w:r>
        <w:t xml:space="preserve">A </w:t>
      </w:r>
      <w:r>
        <w:rPr>
          <w:spacing w:val="5"/>
        </w:rPr>
        <w:t xml:space="preserve">demora </w:t>
      </w:r>
      <w:r>
        <w:rPr>
          <w:spacing w:val="2"/>
        </w:rPr>
        <w:t xml:space="preserve">na </w:t>
      </w:r>
      <w:r>
        <w:rPr>
          <w:spacing w:val="5"/>
        </w:rPr>
        <w:t xml:space="preserve">homologação </w:t>
      </w:r>
      <w:r>
        <w:rPr>
          <w:spacing w:val="2"/>
        </w:rPr>
        <w:t xml:space="preserve">da </w:t>
      </w:r>
      <w:r>
        <w:rPr>
          <w:spacing w:val="5"/>
        </w:rPr>
        <w:t xml:space="preserve">Raposa </w:t>
      </w:r>
      <w:r>
        <w:rPr>
          <w:spacing w:val="3"/>
        </w:rPr>
        <w:t xml:space="preserve">Serra </w:t>
      </w:r>
      <w:r>
        <w:rPr>
          <w:spacing w:val="2"/>
        </w:rPr>
        <w:t xml:space="preserve">do </w:t>
      </w:r>
      <w:r>
        <w:rPr>
          <w:spacing w:val="3"/>
        </w:rPr>
        <w:t xml:space="preserve">Sol </w:t>
      </w:r>
      <w:r>
        <w:t xml:space="preserve">e a </w:t>
      </w:r>
      <w:r>
        <w:rPr>
          <w:spacing w:val="8"/>
        </w:rPr>
        <w:t xml:space="preserve">indecisão </w:t>
      </w:r>
      <w:r>
        <w:rPr>
          <w:spacing w:val="7"/>
        </w:rPr>
        <w:t xml:space="preserve">sobre </w:t>
      </w:r>
      <w:r>
        <w:t xml:space="preserve">o </w:t>
      </w:r>
      <w:r>
        <w:rPr>
          <w:spacing w:val="8"/>
        </w:rPr>
        <w:t xml:space="preserve">modelo </w:t>
      </w:r>
      <w:r>
        <w:rPr>
          <w:spacing w:val="5"/>
        </w:rPr>
        <w:t xml:space="preserve">de </w:t>
      </w:r>
      <w:r>
        <w:rPr>
          <w:spacing w:val="8"/>
        </w:rPr>
        <w:t xml:space="preserve">demarcação </w:t>
      </w:r>
      <w:r>
        <w:rPr>
          <w:spacing w:val="7"/>
        </w:rPr>
        <w:t xml:space="preserve">podem </w:t>
      </w:r>
      <w:r>
        <w:rPr>
          <w:spacing w:val="10"/>
        </w:rPr>
        <w:t xml:space="preserve">ter </w:t>
      </w:r>
      <w:r>
        <w:rPr>
          <w:spacing w:val="3"/>
        </w:rPr>
        <w:t xml:space="preserve">contribuído, </w:t>
      </w:r>
      <w:r>
        <w:rPr>
          <w:spacing w:val="2"/>
        </w:rPr>
        <w:t xml:space="preserve">além </w:t>
      </w:r>
      <w:r>
        <w:rPr>
          <w:spacing w:val="1"/>
        </w:rPr>
        <w:t xml:space="preserve">de </w:t>
      </w:r>
      <w:r>
        <w:rPr>
          <w:spacing w:val="3"/>
        </w:rPr>
        <w:t xml:space="preserve">tudo, </w:t>
      </w:r>
      <w:r>
        <w:rPr>
          <w:spacing w:val="2"/>
        </w:rPr>
        <w:t xml:space="preserve">para </w:t>
      </w:r>
      <w:r>
        <w:rPr>
          <w:spacing w:val="1"/>
        </w:rPr>
        <w:t xml:space="preserve">os </w:t>
      </w:r>
      <w:r>
        <w:rPr>
          <w:spacing w:val="3"/>
        </w:rPr>
        <w:t xml:space="preserve">impactos ambientais </w:t>
      </w:r>
      <w:r>
        <w:t xml:space="preserve">e </w:t>
      </w:r>
      <w:r>
        <w:rPr>
          <w:spacing w:val="5"/>
        </w:rPr>
        <w:t xml:space="preserve">humanos </w:t>
      </w:r>
      <w:r>
        <w:rPr>
          <w:spacing w:val="3"/>
        </w:rPr>
        <w:t xml:space="preserve">na </w:t>
      </w:r>
      <w:r>
        <w:rPr>
          <w:spacing w:val="5"/>
        </w:rPr>
        <w:t xml:space="preserve">região. Segundo uma </w:t>
      </w:r>
      <w:r>
        <w:rPr>
          <w:spacing w:val="6"/>
        </w:rPr>
        <w:t xml:space="preserve">avaliação </w:t>
      </w:r>
      <w:r>
        <w:rPr>
          <w:spacing w:val="5"/>
        </w:rPr>
        <w:t xml:space="preserve">feita </w:t>
      </w:r>
      <w:r>
        <w:rPr>
          <w:spacing w:val="7"/>
        </w:rPr>
        <w:t xml:space="preserve">pelo </w:t>
      </w:r>
      <w:r>
        <w:t xml:space="preserve">Conselho Indígena de Roraima (CIR), em 2003, essa demora </w:t>
      </w:r>
      <w:r>
        <w:rPr>
          <w:spacing w:val="5"/>
        </w:rPr>
        <w:t xml:space="preserve">pode </w:t>
      </w:r>
      <w:r>
        <w:rPr>
          <w:spacing w:val="3"/>
        </w:rPr>
        <w:t xml:space="preserve">ter </w:t>
      </w:r>
      <w:r>
        <w:rPr>
          <w:spacing w:val="5"/>
        </w:rPr>
        <w:t xml:space="preserve">funcionado como incentivo para </w:t>
      </w:r>
      <w:r>
        <w:t xml:space="preserve">o </w:t>
      </w:r>
      <w:r>
        <w:rPr>
          <w:spacing w:val="5"/>
        </w:rPr>
        <w:t xml:space="preserve">retorno </w:t>
      </w:r>
      <w:r>
        <w:rPr>
          <w:spacing w:val="6"/>
        </w:rPr>
        <w:t xml:space="preserve">dos </w:t>
      </w:r>
      <w:r>
        <w:t xml:space="preserve">garimpeiros ao rio Maú, situado na divisa da Guiana com a Venezuela. A base de apoio ao garimpo, segundo o CIR, teria ganhado força nos grupos inimigos dos índios, favoráveis, à época, à demarcação da reserva em modelo ilha. Políticos, </w:t>
      </w:r>
      <w:r>
        <w:rPr>
          <w:spacing w:val="1"/>
        </w:rPr>
        <w:t>fazendeiros, rizicul</w:t>
      </w:r>
      <w:r>
        <w:rPr>
          <w:spacing w:val="1"/>
        </w:rPr>
        <w:t xml:space="preserve">tores </w:t>
      </w:r>
      <w:r>
        <w:t xml:space="preserve">e </w:t>
      </w:r>
      <w:r>
        <w:rPr>
          <w:spacing w:val="1"/>
        </w:rPr>
        <w:t xml:space="preserve">militares pretendiam excluir </w:t>
      </w:r>
      <w:r>
        <w:rPr>
          <w:spacing w:val="2"/>
        </w:rPr>
        <w:t xml:space="preserve">das </w:t>
      </w:r>
      <w:r>
        <w:t xml:space="preserve">áreas de demarcação as ‘corrutelas’ de Socó, Uiramutã, Água </w:t>
      </w:r>
      <w:r>
        <w:rPr>
          <w:spacing w:val="3"/>
        </w:rPr>
        <w:t xml:space="preserve">Fria, </w:t>
      </w:r>
      <w:r>
        <w:rPr>
          <w:spacing w:val="5"/>
        </w:rPr>
        <w:t xml:space="preserve">Surumu </w:t>
      </w:r>
      <w:r>
        <w:t xml:space="preserve">e </w:t>
      </w:r>
      <w:r>
        <w:rPr>
          <w:spacing w:val="5"/>
        </w:rPr>
        <w:t xml:space="preserve">Mutum, </w:t>
      </w:r>
      <w:r>
        <w:rPr>
          <w:spacing w:val="3"/>
        </w:rPr>
        <w:t xml:space="preserve">além </w:t>
      </w:r>
      <w:r>
        <w:rPr>
          <w:spacing w:val="2"/>
        </w:rPr>
        <w:t xml:space="preserve">de </w:t>
      </w:r>
      <w:r>
        <w:rPr>
          <w:spacing w:val="3"/>
        </w:rPr>
        <w:t xml:space="preserve">suas </w:t>
      </w:r>
      <w:r>
        <w:rPr>
          <w:spacing w:val="5"/>
        </w:rPr>
        <w:t xml:space="preserve">lavouras </w:t>
      </w:r>
      <w:r>
        <w:rPr>
          <w:spacing w:val="2"/>
        </w:rPr>
        <w:t xml:space="preserve">de </w:t>
      </w:r>
      <w:r>
        <w:rPr>
          <w:spacing w:val="5"/>
        </w:rPr>
        <w:t>arroz,</w:t>
      </w:r>
      <w:r>
        <w:rPr>
          <w:spacing w:val="61"/>
        </w:rPr>
        <w:t xml:space="preserve"> </w:t>
      </w:r>
      <w:r>
        <w:rPr>
          <w:spacing w:val="3"/>
        </w:rPr>
        <w:t xml:space="preserve">estradas, </w:t>
      </w:r>
      <w:r>
        <w:rPr>
          <w:spacing w:val="2"/>
        </w:rPr>
        <w:t xml:space="preserve">sede </w:t>
      </w:r>
      <w:r>
        <w:rPr>
          <w:spacing w:val="3"/>
        </w:rPr>
        <w:t xml:space="preserve">municipal </w:t>
      </w:r>
      <w:r>
        <w:t xml:space="preserve">e </w:t>
      </w:r>
      <w:r>
        <w:rPr>
          <w:spacing w:val="3"/>
        </w:rPr>
        <w:t xml:space="preserve">fazendas tituladas </w:t>
      </w:r>
      <w:r>
        <w:rPr>
          <w:spacing w:val="2"/>
        </w:rPr>
        <w:t xml:space="preserve">pelo </w:t>
      </w:r>
      <w:r>
        <w:rPr>
          <w:spacing w:val="5"/>
        </w:rPr>
        <w:t xml:space="preserve">Incra. </w:t>
      </w:r>
      <w:r>
        <w:rPr>
          <w:spacing w:val="1"/>
        </w:rPr>
        <w:t xml:space="preserve">Seria </w:t>
      </w:r>
      <w:r>
        <w:t xml:space="preserve">uma </w:t>
      </w:r>
      <w:r>
        <w:rPr>
          <w:spacing w:val="1"/>
        </w:rPr>
        <w:t xml:space="preserve">maneira </w:t>
      </w:r>
      <w:r>
        <w:t xml:space="preserve">de </w:t>
      </w:r>
      <w:r>
        <w:rPr>
          <w:spacing w:val="1"/>
        </w:rPr>
        <w:t xml:space="preserve">garantir suas posses </w:t>
      </w:r>
      <w:r>
        <w:t>e</w:t>
      </w:r>
      <w:r>
        <w:t xml:space="preserve"> </w:t>
      </w:r>
      <w:r>
        <w:rPr>
          <w:spacing w:val="1"/>
        </w:rPr>
        <w:t xml:space="preserve">presença </w:t>
      </w:r>
      <w:r>
        <w:rPr>
          <w:spacing w:val="2"/>
        </w:rPr>
        <w:t xml:space="preserve">no </w:t>
      </w:r>
      <w:r>
        <w:t>local. Na avaliação do CIR, no entanto, esses vilarejos teriam sido os principais responsáveis pelo retorno de garimpeiros à Raposa Serra do Sol, já que estes lhes serviriam de ponto de suprimento. A presença de balsas de garimpo no entorno do</w:t>
      </w:r>
      <w:r>
        <w:t>s vilarejos seria a prova disso (CIR, 2003a).</w:t>
      </w:r>
    </w:p>
    <w:p w:rsidR="00D81F69" w:rsidRDefault="00330118">
      <w:pPr>
        <w:pStyle w:val="Corpodetexto"/>
        <w:spacing w:before="148" w:line="312" w:lineRule="auto"/>
        <w:ind w:right="43"/>
      </w:pPr>
      <w:r>
        <w:rPr>
          <w:spacing w:val="10"/>
        </w:rPr>
        <w:t xml:space="preserve">Independentemente </w:t>
      </w:r>
      <w:r>
        <w:rPr>
          <w:spacing w:val="5"/>
        </w:rPr>
        <w:t xml:space="preserve">da </w:t>
      </w:r>
      <w:r>
        <w:rPr>
          <w:spacing w:val="8"/>
        </w:rPr>
        <w:t xml:space="preserve">maneira </w:t>
      </w:r>
      <w:r>
        <w:rPr>
          <w:spacing w:val="7"/>
        </w:rPr>
        <w:t xml:space="preserve">como </w:t>
      </w:r>
      <w:r>
        <w:t xml:space="preserve">a </w:t>
      </w:r>
      <w:r>
        <w:rPr>
          <w:spacing w:val="8"/>
        </w:rPr>
        <w:t xml:space="preserve">reserva </w:t>
      </w:r>
      <w:r>
        <w:rPr>
          <w:spacing w:val="10"/>
        </w:rPr>
        <w:t xml:space="preserve">fora </w:t>
      </w:r>
      <w:r>
        <w:rPr>
          <w:spacing w:val="8"/>
        </w:rPr>
        <w:t xml:space="preserve">demarcada, </w:t>
      </w:r>
      <w:r>
        <w:rPr>
          <w:spacing w:val="5"/>
        </w:rPr>
        <w:t xml:space="preserve">há </w:t>
      </w:r>
      <w:r>
        <w:rPr>
          <w:spacing w:val="8"/>
        </w:rPr>
        <w:t xml:space="preserve">carência </w:t>
      </w:r>
      <w:r>
        <w:rPr>
          <w:spacing w:val="5"/>
        </w:rPr>
        <w:t xml:space="preserve">de </w:t>
      </w:r>
      <w:r>
        <w:rPr>
          <w:spacing w:val="6"/>
        </w:rPr>
        <w:t xml:space="preserve">uma </w:t>
      </w:r>
      <w:r>
        <w:rPr>
          <w:spacing w:val="8"/>
        </w:rPr>
        <w:t xml:space="preserve">legislação </w:t>
      </w:r>
      <w:r>
        <w:rPr>
          <w:spacing w:val="6"/>
        </w:rPr>
        <w:t xml:space="preserve">que </w:t>
      </w:r>
      <w:r>
        <w:rPr>
          <w:spacing w:val="10"/>
        </w:rPr>
        <w:t>trate</w:t>
      </w:r>
      <w:r>
        <w:rPr>
          <w:spacing w:val="71"/>
        </w:rPr>
        <w:t xml:space="preserve"> </w:t>
      </w:r>
      <w:r>
        <w:t xml:space="preserve">especificamente da atividade garimpeira em terras indígenas. </w:t>
      </w:r>
      <w:r>
        <w:rPr>
          <w:spacing w:val="3"/>
        </w:rPr>
        <w:t xml:space="preserve">Atualmente, </w:t>
      </w:r>
      <w:r>
        <w:t xml:space="preserve">o </w:t>
      </w:r>
      <w:r>
        <w:rPr>
          <w:spacing w:val="3"/>
        </w:rPr>
        <w:t xml:space="preserve">garimpo depende </w:t>
      </w:r>
      <w:r>
        <w:rPr>
          <w:spacing w:val="1"/>
        </w:rPr>
        <w:t xml:space="preserve">da </w:t>
      </w:r>
      <w:r>
        <w:rPr>
          <w:spacing w:val="3"/>
        </w:rPr>
        <w:t xml:space="preserve">autorização </w:t>
      </w:r>
      <w:r>
        <w:rPr>
          <w:spacing w:val="1"/>
        </w:rPr>
        <w:t xml:space="preserve">do </w:t>
      </w:r>
      <w:r>
        <w:rPr>
          <w:spacing w:val="5"/>
        </w:rPr>
        <w:t>e</w:t>
      </w:r>
      <w:r>
        <w:rPr>
          <w:spacing w:val="5"/>
        </w:rPr>
        <w:t xml:space="preserve">stado </w:t>
      </w:r>
      <w:r>
        <w:rPr>
          <w:spacing w:val="3"/>
        </w:rPr>
        <w:t xml:space="preserve">brasileiro, </w:t>
      </w:r>
      <w:r>
        <w:rPr>
          <w:spacing w:val="2"/>
        </w:rPr>
        <w:t xml:space="preserve">não </w:t>
      </w:r>
      <w:r>
        <w:rPr>
          <w:spacing w:val="3"/>
        </w:rPr>
        <w:t xml:space="preserve">sendo permitida </w:t>
      </w:r>
      <w:r>
        <w:rPr>
          <w:spacing w:val="2"/>
        </w:rPr>
        <w:t xml:space="preserve">sua </w:t>
      </w:r>
      <w:r>
        <w:rPr>
          <w:spacing w:val="3"/>
        </w:rPr>
        <w:t xml:space="preserve">exploração </w:t>
      </w:r>
      <w:r>
        <w:rPr>
          <w:spacing w:val="2"/>
        </w:rPr>
        <w:t xml:space="preserve">nem </w:t>
      </w:r>
      <w:r>
        <w:rPr>
          <w:spacing w:val="5"/>
        </w:rPr>
        <w:t xml:space="preserve">pelos </w:t>
      </w:r>
      <w:r>
        <w:rPr>
          <w:spacing w:val="3"/>
        </w:rPr>
        <w:t xml:space="preserve">próprios índios, </w:t>
      </w:r>
      <w:r>
        <w:t xml:space="preserve">a </w:t>
      </w:r>
      <w:r>
        <w:rPr>
          <w:spacing w:val="2"/>
        </w:rPr>
        <w:t xml:space="preserve">não ser </w:t>
      </w:r>
      <w:r>
        <w:rPr>
          <w:spacing w:val="1"/>
        </w:rPr>
        <w:t xml:space="preserve">em </w:t>
      </w:r>
      <w:r>
        <w:rPr>
          <w:spacing w:val="3"/>
        </w:rPr>
        <w:t xml:space="preserve">casos autorizados </w:t>
      </w:r>
      <w:r>
        <w:rPr>
          <w:spacing w:val="5"/>
        </w:rPr>
        <w:t xml:space="preserve">(POVOS </w:t>
      </w:r>
      <w:r>
        <w:rPr>
          <w:spacing w:val="3"/>
        </w:rPr>
        <w:t xml:space="preserve">INDÍGENAS </w:t>
      </w:r>
      <w:r>
        <w:rPr>
          <w:spacing w:val="1"/>
        </w:rPr>
        <w:t xml:space="preserve">NO </w:t>
      </w:r>
      <w:r>
        <w:rPr>
          <w:spacing w:val="3"/>
        </w:rPr>
        <w:t>BRASIL,</w:t>
      </w:r>
      <w:r>
        <w:rPr>
          <w:spacing w:val="2"/>
        </w:rPr>
        <w:t xml:space="preserve"> </w:t>
      </w:r>
      <w:r>
        <w:rPr>
          <w:spacing w:val="5"/>
        </w:rPr>
        <w:t>2011).</w:t>
      </w:r>
    </w:p>
    <w:p w:rsidR="00D81F69" w:rsidRDefault="00330118">
      <w:pPr>
        <w:pStyle w:val="Corpodetexto"/>
        <w:spacing w:before="137" w:line="312" w:lineRule="auto"/>
        <w:ind w:right="44"/>
      </w:pPr>
      <w:r>
        <w:t xml:space="preserve">A </w:t>
      </w:r>
      <w:r>
        <w:rPr>
          <w:spacing w:val="3"/>
        </w:rPr>
        <w:t xml:space="preserve">Constituição </w:t>
      </w:r>
      <w:r>
        <w:rPr>
          <w:spacing w:val="1"/>
        </w:rPr>
        <w:t xml:space="preserve">de </w:t>
      </w:r>
      <w:r>
        <w:rPr>
          <w:spacing w:val="2"/>
        </w:rPr>
        <w:t xml:space="preserve">1988 </w:t>
      </w:r>
      <w:r>
        <w:rPr>
          <w:spacing w:val="3"/>
        </w:rPr>
        <w:t xml:space="preserve">manteve </w:t>
      </w:r>
      <w:r>
        <w:t xml:space="preserve">o </w:t>
      </w:r>
      <w:r>
        <w:rPr>
          <w:spacing w:val="3"/>
        </w:rPr>
        <w:t xml:space="preserve">usufruto exclusivo </w:t>
      </w:r>
      <w:r>
        <w:rPr>
          <w:spacing w:val="5"/>
        </w:rPr>
        <w:t xml:space="preserve">das </w:t>
      </w:r>
      <w:r>
        <w:rPr>
          <w:spacing w:val="3"/>
        </w:rPr>
        <w:t xml:space="preserve">comunidades indígenas sobre </w:t>
      </w:r>
      <w:r>
        <w:rPr>
          <w:spacing w:val="1"/>
        </w:rPr>
        <w:t xml:space="preserve">os </w:t>
      </w:r>
      <w:r>
        <w:rPr>
          <w:spacing w:val="3"/>
        </w:rPr>
        <w:t xml:space="preserve">recursos </w:t>
      </w:r>
      <w:r>
        <w:rPr>
          <w:spacing w:val="1"/>
        </w:rPr>
        <w:t xml:space="preserve">do </w:t>
      </w:r>
      <w:r>
        <w:rPr>
          <w:spacing w:val="3"/>
        </w:rPr>
        <w:t xml:space="preserve">solo. </w:t>
      </w:r>
      <w:r>
        <w:rPr>
          <w:spacing w:val="5"/>
        </w:rPr>
        <w:t xml:space="preserve">Esse </w:t>
      </w:r>
      <w:r>
        <w:t>direito também está expresso no Estatuto do Índio, no artigo 39, que reitera o usufruto exclusivo, e também no artigo 44, o qual determina que as riquezas do solo em áreas indígenas  só podem ser exploradas pelos próprios índios, cabendo-lhes com exclusivi</w:t>
      </w:r>
      <w:r>
        <w:t xml:space="preserve">dade o exercício da garimpagem, faiscação e </w:t>
      </w:r>
      <w:r>
        <w:rPr>
          <w:spacing w:val="3"/>
        </w:rPr>
        <w:t xml:space="preserve">cata. </w:t>
      </w:r>
      <w:r>
        <w:rPr>
          <w:spacing w:val="1"/>
        </w:rPr>
        <w:t xml:space="preserve">Lá </w:t>
      </w:r>
      <w:r>
        <w:rPr>
          <w:spacing w:val="3"/>
        </w:rPr>
        <w:t xml:space="preserve">também </w:t>
      </w:r>
      <w:r>
        <w:rPr>
          <w:spacing w:val="2"/>
        </w:rPr>
        <w:t xml:space="preserve">está </w:t>
      </w:r>
      <w:r>
        <w:rPr>
          <w:spacing w:val="3"/>
        </w:rPr>
        <w:t xml:space="preserve">especificado, </w:t>
      </w:r>
      <w:r>
        <w:rPr>
          <w:spacing w:val="1"/>
        </w:rPr>
        <w:t xml:space="preserve">no </w:t>
      </w:r>
      <w:r>
        <w:rPr>
          <w:spacing w:val="3"/>
        </w:rPr>
        <w:t xml:space="preserve">artigo </w:t>
      </w:r>
      <w:r>
        <w:rPr>
          <w:spacing w:val="2"/>
        </w:rPr>
        <w:t xml:space="preserve">45, que </w:t>
      </w:r>
      <w:r>
        <w:rPr>
          <w:spacing w:val="5"/>
        </w:rPr>
        <w:t xml:space="preserve">os </w:t>
      </w:r>
      <w:r>
        <w:t>índios devem ser participados não só de qualquer exploração, mas também incluídos na divisão dessa riqueza (ESTATUTO DO ÍNDIO,</w:t>
      </w:r>
      <w:r>
        <w:rPr>
          <w:spacing w:val="10"/>
        </w:rPr>
        <w:t xml:space="preserve"> </w:t>
      </w:r>
      <w:r>
        <w:t>2011).</w:t>
      </w:r>
    </w:p>
    <w:p w:rsidR="00D81F69" w:rsidRDefault="00330118">
      <w:pPr>
        <w:pStyle w:val="Corpodetexto"/>
        <w:spacing w:before="140" w:line="312" w:lineRule="auto"/>
        <w:ind w:right="60"/>
      </w:pPr>
      <w:r>
        <w:t>A legislação sobre min</w:t>
      </w:r>
      <w:r>
        <w:t>eração e garimpo não é a mesma. A cada uma é dedicada um artigo específico. A mineração é regulada pelo artigo 231, parágrafo 3º da Constituição, ao</w:t>
      </w:r>
    </w:p>
    <w:p w:rsidR="00D81F69" w:rsidRDefault="00330118">
      <w:pPr>
        <w:pStyle w:val="Corpodetexto"/>
        <w:spacing w:before="81" w:line="312" w:lineRule="auto"/>
        <w:ind w:right="236"/>
      </w:pPr>
      <w:r>
        <w:br w:type="column"/>
      </w:r>
      <w:r>
        <w:lastRenderedPageBreak/>
        <w:t>passo que o dispositivo que se refere ao garimpo é o 7º. Nele, exclui-se a possibilidade de garimpagem por</w:t>
      </w:r>
      <w:r>
        <w:t xml:space="preserve"> terceiros em terras indígenas. As normas constitucionais que estabelecem condições específicas para a mineração em terras indígenas</w:t>
      </w:r>
    </w:p>
    <w:p w:rsidR="00D81F69" w:rsidRDefault="00330118">
      <w:pPr>
        <w:pStyle w:val="PargrafodaLista"/>
        <w:numPr>
          <w:ilvl w:val="0"/>
          <w:numId w:val="3"/>
        </w:numPr>
        <w:tabs>
          <w:tab w:val="left" w:pos="296"/>
        </w:tabs>
        <w:spacing w:before="4" w:line="312" w:lineRule="auto"/>
        <w:ind w:right="226" w:firstLine="0"/>
        <w:rPr>
          <w:sz w:val="18"/>
        </w:rPr>
      </w:pPr>
      <w:r>
        <w:rPr>
          <w:spacing w:val="6"/>
          <w:sz w:val="18"/>
        </w:rPr>
        <w:t xml:space="preserve">necessidade </w:t>
      </w:r>
      <w:r>
        <w:rPr>
          <w:spacing w:val="3"/>
          <w:sz w:val="18"/>
        </w:rPr>
        <w:t xml:space="preserve">de </w:t>
      </w:r>
      <w:r>
        <w:rPr>
          <w:spacing w:val="6"/>
          <w:sz w:val="18"/>
        </w:rPr>
        <w:t xml:space="preserve">autorização </w:t>
      </w:r>
      <w:r>
        <w:rPr>
          <w:spacing w:val="3"/>
          <w:sz w:val="18"/>
        </w:rPr>
        <w:t xml:space="preserve">do </w:t>
      </w:r>
      <w:r>
        <w:rPr>
          <w:spacing w:val="6"/>
          <w:sz w:val="18"/>
        </w:rPr>
        <w:t xml:space="preserve">Congresso </w:t>
      </w:r>
      <w:r>
        <w:rPr>
          <w:spacing w:val="7"/>
          <w:sz w:val="18"/>
        </w:rPr>
        <w:t xml:space="preserve">Nacional, </w:t>
      </w:r>
      <w:r>
        <w:rPr>
          <w:spacing w:val="3"/>
          <w:sz w:val="18"/>
        </w:rPr>
        <w:t xml:space="preserve">consulta </w:t>
      </w:r>
      <w:r>
        <w:rPr>
          <w:spacing w:val="1"/>
          <w:sz w:val="18"/>
        </w:rPr>
        <w:t xml:space="preserve">às </w:t>
      </w:r>
      <w:r>
        <w:rPr>
          <w:spacing w:val="3"/>
          <w:sz w:val="18"/>
        </w:rPr>
        <w:t xml:space="preserve">comunidades afetadas </w:t>
      </w:r>
      <w:r>
        <w:rPr>
          <w:sz w:val="18"/>
        </w:rPr>
        <w:t xml:space="preserve">e </w:t>
      </w:r>
      <w:r>
        <w:rPr>
          <w:spacing w:val="2"/>
          <w:sz w:val="18"/>
        </w:rPr>
        <w:t xml:space="preserve">sua </w:t>
      </w:r>
      <w:r>
        <w:rPr>
          <w:spacing w:val="3"/>
          <w:sz w:val="18"/>
        </w:rPr>
        <w:t xml:space="preserve">participação </w:t>
      </w:r>
      <w:r>
        <w:rPr>
          <w:spacing w:val="5"/>
          <w:sz w:val="18"/>
        </w:rPr>
        <w:t xml:space="preserve">nos </w:t>
      </w:r>
      <w:r>
        <w:rPr>
          <w:spacing w:val="1"/>
          <w:sz w:val="18"/>
        </w:rPr>
        <w:t xml:space="preserve">resultados </w:t>
      </w:r>
      <w:r>
        <w:rPr>
          <w:sz w:val="18"/>
        </w:rPr>
        <w:t xml:space="preserve">da </w:t>
      </w:r>
      <w:r>
        <w:rPr>
          <w:spacing w:val="1"/>
          <w:sz w:val="18"/>
        </w:rPr>
        <w:t>lav</w:t>
      </w:r>
      <w:r>
        <w:rPr>
          <w:spacing w:val="1"/>
          <w:sz w:val="18"/>
        </w:rPr>
        <w:t xml:space="preserve">ra </w:t>
      </w:r>
      <w:r>
        <w:rPr>
          <w:sz w:val="18"/>
        </w:rPr>
        <w:t xml:space="preserve">– não se </w:t>
      </w:r>
      <w:r>
        <w:rPr>
          <w:spacing w:val="1"/>
          <w:sz w:val="18"/>
        </w:rPr>
        <w:t xml:space="preserve">aplicam </w:t>
      </w:r>
      <w:r>
        <w:rPr>
          <w:sz w:val="18"/>
        </w:rPr>
        <w:t xml:space="preserve">à </w:t>
      </w:r>
      <w:r>
        <w:rPr>
          <w:spacing w:val="1"/>
          <w:sz w:val="18"/>
        </w:rPr>
        <w:t xml:space="preserve">garimpagem </w:t>
      </w:r>
      <w:r>
        <w:rPr>
          <w:spacing w:val="2"/>
          <w:sz w:val="18"/>
        </w:rPr>
        <w:t xml:space="preserve">pelos </w:t>
      </w:r>
      <w:r>
        <w:rPr>
          <w:spacing w:val="1"/>
          <w:sz w:val="18"/>
        </w:rPr>
        <w:t xml:space="preserve">índios (POVOS INDÍGENAS </w:t>
      </w:r>
      <w:r>
        <w:rPr>
          <w:sz w:val="18"/>
        </w:rPr>
        <w:t xml:space="preserve">NO </w:t>
      </w:r>
      <w:r>
        <w:rPr>
          <w:spacing w:val="1"/>
          <w:sz w:val="18"/>
        </w:rPr>
        <w:t>BRASIL,</w:t>
      </w:r>
      <w:r>
        <w:rPr>
          <w:spacing w:val="15"/>
          <w:sz w:val="18"/>
        </w:rPr>
        <w:t xml:space="preserve"> </w:t>
      </w:r>
      <w:r>
        <w:rPr>
          <w:spacing w:val="2"/>
          <w:sz w:val="18"/>
        </w:rPr>
        <w:t>2011).</w:t>
      </w:r>
    </w:p>
    <w:p w:rsidR="00D81F69" w:rsidRDefault="00330118">
      <w:pPr>
        <w:pStyle w:val="Corpodetexto"/>
        <w:spacing w:before="133" w:line="312" w:lineRule="auto"/>
        <w:ind w:right="235"/>
      </w:pPr>
      <w:r>
        <w:t>As condições para o exercício de atividades garimpeiras pelos próprios índios devem ser editadas pelo Poder Público. Para tanto, em decreto em 17 de setembro de 2004, o Govern</w:t>
      </w:r>
      <w:r>
        <w:t>o Federal criou um Grupo Operacional responsável por fiscalizar e coibir a exploração mineral em terras indígenas localizadas nos estados de Rondônia e Mato Grosso. A medida durará até que a matéria seja regulamentada por lei, nos termos do artigo 231, par</w:t>
      </w:r>
      <w:r>
        <w:t>ágrafo 3º da Constituição (POVOS INDÍGENAS NO BRASIL, 2011).</w:t>
      </w:r>
    </w:p>
    <w:p w:rsidR="00D81F69" w:rsidRDefault="00330118">
      <w:pPr>
        <w:pStyle w:val="Corpodetexto"/>
        <w:spacing w:before="139" w:line="312" w:lineRule="auto"/>
        <w:ind w:right="235"/>
      </w:pPr>
      <w:r>
        <w:t>O assunto é confuso, uma vez que os índios não podem ser impedidos de exercer um direito legal (ao usufruto exclusivo de seus recursos naturais e à garimpagem, faiscação e cata, atividades permit</w:t>
      </w:r>
      <w:r>
        <w:t xml:space="preserve">idas pela Constituição e pelo atual Estatuto do Índio), mas não há esclarecimento sobre os procedimentos e </w:t>
      </w:r>
      <w:r>
        <w:rPr>
          <w:spacing w:val="3"/>
        </w:rPr>
        <w:t xml:space="preserve">as </w:t>
      </w:r>
      <w:r>
        <w:rPr>
          <w:spacing w:val="6"/>
        </w:rPr>
        <w:t xml:space="preserve">exigências </w:t>
      </w:r>
      <w:r>
        <w:rPr>
          <w:spacing w:val="5"/>
        </w:rPr>
        <w:t xml:space="preserve">que </w:t>
      </w:r>
      <w:r>
        <w:rPr>
          <w:spacing w:val="3"/>
        </w:rPr>
        <w:t xml:space="preserve">as </w:t>
      </w:r>
      <w:r>
        <w:rPr>
          <w:spacing w:val="6"/>
        </w:rPr>
        <w:t xml:space="preserve">comunidades indígenas </w:t>
      </w:r>
      <w:r>
        <w:rPr>
          <w:spacing w:val="7"/>
        </w:rPr>
        <w:t xml:space="preserve">devem </w:t>
      </w:r>
      <w:r>
        <w:rPr>
          <w:spacing w:val="5"/>
        </w:rPr>
        <w:t xml:space="preserve">cumprir para requerer autorização </w:t>
      </w:r>
      <w:r>
        <w:rPr>
          <w:spacing w:val="2"/>
        </w:rPr>
        <w:t xml:space="preserve">de </w:t>
      </w:r>
      <w:r>
        <w:rPr>
          <w:spacing w:val="5"/>
        </w:rPr>
        <w:t xml:space="preserve">garimpo </w:t>
      </w:r>
      <w:r>
        <w:rPr>
          <w:spacing w:val="2"/>
        </w:rPr>
        <w:t xml:space="preserve">ao </w:t>
      </w:r>
      <w:r>
        <w:rPr>
          <w:spacing w:val="6"/>
        </w:rPr>
        <w:t xml:space="preserve">poder </w:t>
      </w:r>
      <w:r>
        <w:rPr>
          <w:spacing w:val="5"/>
        </w:rPr>
        <w:t xml:space="preserve">público (POVOS INDÍGENAS </w:t>
      </w:r>
      <w:r>
        <w:rPr>
          <w:spacing w:val="2"/>
        </w:rPr>
        <w:t xml:space="preserve">NO </w:t>
      </w:r>
      <w:r>
        <w:rPr>
          <w:spacing w:val="5"/>
        </w:rPr>
        <w:t>BRASIL,</w:t>
      </w:r>
      <w:r>
        <w:rPr>
          <w:spacing w:val="10"/>
        </w:rPr>
        <w:t xml:space="preserve"> </w:t>
      </w:r>
      <w:r>
        <w:rPr>
          <w:spacing w:val="6"/>
        </w:rPr>
        <w:t>2011).</w:t>
      </w:r>
    </w:p>
    <w:p w:rsidR="00D81F69" w:rsidRDefault="00330118">
      <w:pPr>
        <w:pStyle w:val="Corpodetexto"/>
        <w:spacing w:before="137" w:line="312" w:lineRule="auto"/>
        <w:ind w:right="236"/>
      </w:pPr>
      <w:r>
        <w:t xml:space="preserve">Até que exista uma regulamentação legal específica para a garimpagem em Terras Indígenas, feita pelos próprios índios, os projetos experimentais de garimpo em nestes locais devem </w:t>
      </w:r>
      <w:r>
        <w:rPr>
          <w:spacing w:val="7"/>
        </w:rPr>
        <w:t xml:space="preserve">ser </w:t>
      </w:r>
      <w:r>
        <w:rPr>
          <w:spacing w:val="10"/>
        </w:rPr>
        <w:t xml:space="preserve">objeto </w:t>
      </w:r>
      <w:r>
        <w:rPr>
          <w:spacing w:val="5"/>
        </w:rPr>
        <w:t xml:space="preserve">de </w:t>
      </w:r>
      <w:r>
        <w:rPr>
          <w:spacing w:val="10"/>
        </w:rPr>
        <w:t xml:space="preserve">autorizações </w:t>
      </w:r>
      <w:r>
        <w:rPr>
          <w:spacing w:val="5"/>
        </w:rPr>
        <w:t xml:space="preserve">ad </w:t>
      </w:r>
      <w:r>
        <w:rPr>
          <w:spacing w:val="8"/>
        </w:rPr>
        <w:t xml:space="preserve">hoc, </w:t>
      </w:r>
      <w:r>
        <w:rPr>
          <w:spacing w:val="10"/>
        </w:rPr>
        <w:t xml:space="preserve">concedidas </w:t>
      </w:r>
      <w:r>
        <w:rPr>
          <w:spacing w:val="11"/>
        </w:rPr>
        <w:t xml:space="preserve">pelo </w:t>
      </w:r>
      <w:r>
        <w:t>Departamento Nacional de P</w:t>
      </w:r>
      <w:r>
        <w:t xml:space="preserve">rodução Mineral (DNPM), caso a caso. E, no processo, dever-se-á ouvir o órgão ambiental, nos termos da legislação pertinente, e consultar também o órgão </w:t>
      </w:r>
      <w:r>
        <w:rPr>
          <w:spacing w:val="8"/>
        </w:rPr>
        <w:t xml:space="preserve">indigenista </w:t>
      </w:r>
      <w:r>
        <w:rPr>
          <w:spacing w:val="7"/>
        </w:rPr>
        <w:t xml:space="preserve">sobre </w:t>
      </w:r>
      <w:r>
        <w:rPr>
          <w:spacing w:val="5"/>
        </w:rPr>
        <w:t xml:space="preserve">os </w:t>
      </w:r>
      <w:r>
        <w:rPr>
          <w:spacing w:val="7"/>
        </w:rPr>
        <w:t xml:space="preserve">possíveis impactos </w:t>
      </w:r>
      <w:r>
        <w:rPr>
          <w:spacing w:val="5"/>
        </w:rPr>
        <w:t xml:space="preserve">do </w:t>
      </w:r>
      <w:r>
        <w:rPr>
          <w:spacing w:val="7"/>
        </w:rPr>
        <w:t xml:space="preserve">projeto </w:t>
      </w:r>
      <w:r>
        <w:rPr>
          <w:spacing w:val="10"/>
        </w:rPr>
        <w:t xml:space="preserve">de garimpagem sobre </w:t>
      </w:r>
      <w:r>
        <w:t xml:space="preserve">a </w:t>
      </w:r>
      <w:r>
        <w:rPr>
          <w:spacing w:val="10"/>
        </w:rPr>
        <w:t xml:space="preserve">comunidade indígena </w:t>
      </w:r>
      <w:r>
        <w:rPr>
          <w:spacing w:val="12"/>
        </w:rPr>
        <w:t xml:space="preserve">(POVOS </w:t>
      </w:r>
      <w:r>
        <w:rPr>
          <w:spacing w:val="10"/>
        </w:rPr>
        <w:t>IND</w:t>
      </w:r>
      <w:r>
        <w:rPr>
          <w:spacing w:val="10"/>
        </w:rPr>
        <w:t xml:space="preserve">ÍGENAS </w:t>
      </w:r>
      <w:r>
        <w:rPr>
          <w:spacing w:val="5"/>
        </w:rPr>
        <w:t xml:space="preserve">NO </w:t>
      </w:r>
      <w:r>
        <w:rPr>
          <w:spacing w:val="10"/>
        </w:rPr>
        <w:t>BRASIL,</w:t>
      </w:r>
      <w:r>
        <w:rPr>
          <w:spacing w:val="65"/>
        </w:rPr>
        <w:t xml:space="preserve"> </w:t>
      </w:r>
      <w:r>
        <w:rPr>
          <w:spacing w:val="12"/>
        </w:rPr>
        <w:t>2011).</w:t>
      </w:r>
    </w:p>
    <w:p w:rsidR="00D81F69" w:rsidRDefault="00330118">
      <w:pPr>
        <w:pStyle w:val="Corpodetexto"/>
        <w:spacing w:before="139" w:line="312" w:lineRule="auto"/>
        <w:ind w:right="247"/>
      </w:pPr>
      <w:r>
        <w:t>Alguns parlamentares do estado de Roraima apontaram a política indigenista de ineficiente, e as organizações não governamentais de corrupção, mas também alegaram haver omissão do poder público em relação aos indígenas. Segundo eles</w:t>
      </w:r>
      <w:r>
        <w:t>, esses três fatores levariam à “associação de indígenas com garimpeiros”, à miséria dos povos indígenas e ao bloqueio do desenvolvimento do estado. Eles defendem a exploração do garimpo nas terras indígenas, conforme projeto de lei que está em discussão n</w:t>
      </w:r>
      <w:r>
        <w:t>a Câmara dos Deputados. Pela previsão constitucional, os indígenas deverão ser consultados sobre a mineração nas suas terras, dando sua autorização prévia. Nos lugares em que há índios isolados, a atividade mineradora se manteria proibida (CAPIBERIBE, 2011</w:t>
      </w:r>
      <w:r>
        <w:t>).</w:t>
      </w:r>
    </w:p>
    <w:p w:rsidR="00D81F69" w:rsidRDefault="00330118">
      <w:pPr>
        <w:pStyle w:val="Corpodetexto"/>
        <w:spacing w:before="142" w:line="312" w:lineRule="auto"/>
        <w:ind w:right="255"/>
      </w:pPr>
      <w:r>
        <w:t>Na Raposa Serra do Sol, a atividade mineradora chegou a ser reprimida por uma operação especial organizada pela Polícia Federal e pelo exército, em 2009. A operação foi batizada de Escudo Dourado, e teve repercussões na imprensa, trazendo à tona a neces</w:t>
      </w:r>
      <w:r>
        <w:t>sidade do garimpo para o sustento das famílias indígenas e o inevitável perigo de desmatamento advindo da</w:t>
      </w:r>
    </w:p>
    <w:p w:rsidR="00D81F69" w:rsidRDefault="00D81F69">
      <w:pPr>
        <w:spacing w:line="312" w:lineRule="auto"/>
        <w:sectPr w:rsidR="00D81F69">
          <w:pgSz w:w="11900" w:h="16840"/>
          <w:pgMar w:top="740" w:right="460" w:bottom="720" w:left="620" w:header="0" w:footer="402" w:gutter="0"/>
          <w:cols w:num="2" w:space="720" w:equalWidth="0">
            <w:col w:w="5158" w:space="312"/>
            <w:col w:w="5350"/>
          </w:cols>
        </w:sectPr>
      </w:pPr>
    </w:p>
    <w:p w:rsidR="00D81F69" w:rsidRDefault="00330118">
      <w:pPr>
        <w:pStyle w:val="Corpodetexto"/>
        <w:spacing w:before="81"/>
      </w:pPr>
      <w:r>
        <w:lastRenderedPageBreak/>
        <w:t>atividade (RAMOS, 2011).</w:t>
      </w:r>
    </w:p>
    <w:p w:rsidR="00D81F69" w:rsidRDefault="00D81F69">
      <w:pPr>
        <w:pStyle w:val="Corpodetexto"/>
        <w:spacing w:before="9"/>
        <w:ind w:left="0"/>
        <w:jc w:val="left"/>
        <w:rPr>
          <w:sz w:val="16"/>
        </w:rPr>
      </w:pPr>
    </w:p>
    <w:p w:rsidR="00D81F69" w:rsidRDefault="00330118">
      <w:pPr>
        <w:pStyle w:val="Corpodetexto"/>
        <w:spacing w:line="312" w:lineRule="auto"/>
        <w:ind w:right="49"/>
      </w:pPr>
      <w:r>
        <w:t xml:space="preserve">Na época, o presidente da Câmara de Municipal de Uiramutã, vereador Milton Dário, confirmou a prática do garimpo entre  os índios, e admitiu que a atividade era uma das maneiras de a </w:t>
      </w:r>
      <w:r>
        <w:rPr>
          <w:spacing w:val="3"/>
        </w:rPr>
        <w:t xml:space="preserve">população local garantir </w:t>
      </w:r>
      <w:r>
        <w:rPr>
          <w:spacing w:val="2"/>
        </w:rPr>
        <w:t xml:space="preserve">sua </w:t>
      </w:r>
      <w:r>
        <w:rPr>
          <w:spacing w:val="3"/>
        </w:rPr>
        <w:t xml:space="preserve">sobrevivência: </w:t>
      </w:r>
      <w:r>
        <w:rPr>
          <w:spacing w:val="2"/>
        </w:rPr>
        <w:t xml:space="preserve">“50 </w:t>
      </w:r>
      <w:r>
        <w:rPr>
          <w:spacing w:val="5"/>
        </w:rPr>
        <w:t xml:space="preserve">famílias </w:t>
      </w:r>
      <w:r>
        <w:t>sobrevivem da at</w:t>
      </w:r>
      <w:r>
        <w:t xml:space="preserve">ividade de garimpo na região do Mutum e da </w:t>
      </w:r>
      <w:r>
        <w:rPr>
          <w:spacing w:val="10"/>
        </w:rPr>
        <w:t xml:space="preserve">comunidade Flexal”. </w:t>
      </w:r>
      <w:r>
        <w:rPr>
          <w:spacing w:val="5"/>
        </w:rPr>
        <w:t xml:space="preserve">Os </w:t>
      </w:r>
      <w:r>
        <w:rPr>
          <w:spacing w:val="10"/>
        </w:rPr>
        <w:t xml:space="preserve">próprios índios admitiam </w:t>
      </w:r>
      <w:r>
        <w:t>a importância da garimpagem para a população da reserva. Há relato de que o garimpo de ouro e de diamante sustentava ao menos 72 famílias na área do Flexal. Na época</w:t>
      </w:r>
      <w:r>
        <w:t xml:space="preserve">, o secretário de </w:t>
      </w:r>
      <w:r>
        <w:rPr>
          <w:spacing w:val="1"/>
        </w:rPr>
        <w:t xml:space="preserve">estado </w:t>
      </w:r>
      <w:r>
        <w:t xml:space="preserve">do </w:t>
      </w:r>
      <w:r>
        <w:rPr>
          <w:spacing w:val="1"/>
        </w:rPr>
        <w:t xml:space="preserve">Índio, </w:t>
      </w:r>
      <w:r>
        <w:t xml:space="preserve">de </w:t>
      </w:r>
      <w:r>
        <w:rPr>
          <w:spacing w:val="1"/>
        </w:rPr>
        <w:t xml:space="preserve">Roraima, Jonas Marcolino, </w:t>
      </w:r>
      <w:r>
        <w:rPr>
          <w:spacing w:val="2"/>
        </w:rPr>
        <w:t xml:space="preserve">também </w:t>
      </w:r>
      <w:r>
        <w:t xml:space="preserve">confirmou a existência dos garimpos na reserva, e defendeu a atividade como meio de sobrevivência das comunidades. “A </w:t>
      </w:r>
      <w:r>
        <w:rPr>
          <w:spacing w:val="3"/>
        </w:rPr>
        <w:t xml:space="preserve">garimpagem </w:t>
      </w:r>
      <w:r>
        <w:t xml:space="preserve">é </w:t>
      </w:r>
      <w:r>
        <w:rPr>
          <w:spacing w:val="1"/>
        </w:rPr>
        <w:t xml:space="preserve">um </w:t>
      </w:r>
      <w:r>
        <w:rPr>
          <w:spacing w:val="2"/>
        </w:rPr>
        <w:t xml:space="preserve">meio </w:t>
      </w:r>
      <w:r>
        <w:rPr>
          <w:spacing w:val="1"/>
        </w:rPr>
        <w:t xml:space="preserve">de </w:t>
      </w:r>
      <w:r>
        <w:rPr>
          <w:spacing w:val="3"/>
        </w:rPr>
        <w:t xml:space="preserve">sobrevivência </w:t>
      </w:r>
      <w:r>
        <w:rPr>
          <w:spacing w:val="2"/>
        </w:rPr>
        <w:t xml:space="preserve">como </w:t>
      </w:r>
      <w:r>
        <w:rPr>
          <w:spacing w:val="5"/>
        </w:rPr>
        <w:t xml:space="preserve">qualquer </w:t>
      </w:r>
      <w:r>
        <w:t>outra que os in</w:t>
      </w:r>
      <w:r>
        <w:t>dígenas exercem, como a caça e a pesca, por exemplo” (RAMOS,</w:t>
      </w:r>
      <w:r>
        <w:rPr>
          <w:spacing w:val="10"/>
        </w:rPr>
        <w:t xml:space="preserve"> </w:t>
      </w:r>
      <w:r>
        <w:t>2011).</w:t>
      </w:r>
    </w:p>
    <w:p w:rsidR="00D81F69" w:rsidRDefault="00330118">
      <w:pPr>
        <w:pStyle w:val="Corpodetexto"/>
        <w:spacing w:before="144" w:line="312" w:lineRule="auto"/>
        <w:ind w:right="46"/>
      </w:pPr>
      <w:r>
        <w:rPr>
          <w:spacing w:val="1"/>
        </w:rPr>
        <w:t xml:space="preserve">Os </w:t>
      </w:r>
      <w:r>
        <w:rPr>
          <w:spacing w:val="3"/>
        </w:rPr>
        <w:t xml:space="preserve">índios </w:t>
      </w:r>
      <w:r>
        <w:rPr>
          <w:spacing w:val="1"/>
        </w:rPr>
        <w:t xml:space="preserve">se </w:t>
      </w:r>
      <w:r>
        <w:rPr>
          <w:spacing w:val="3"/>
        </w:rPr>
        <w:t xml:space="preserve">queixaram </w:t>
      </w:r>
      <w:r>
        <w:rPr>
          <w:spacing w:val="1"/>
        </w:rPr>
        <w:t xml:space="preserve">da </w:t>
      </w:r>
      <w:r>
        <w:rPr>
          <w:spacing w:val="3"/>
        </w:rPr>
        <w:t xml:space="preserve">maneira </w:t>
      </w:r>
      <w:r>
        <w:rPr>
          <w:spacing w:val="2"/>
        </w:rPr>
        <w:t xml:space="preserve">como </w:t>
      </w:r>
      <w:r>
        <w:t xml:space="preserve">a </w:t>
      </w:r>
      <w:r>
        <w:rPr>
          <w:spacing w:val="3"/>
        </w:rPr>
        <w:t xml:space="preserve">operação </w:t>
      </w:r>
      <w:r>
        <w:rPr>
          <w:spacing w:val="5"/>
        </w:rPr>
        <w:t xml:space="preserve">foi </w:t>
      </w:r>
      <w:r>
        <w:t xml:space="preserve">posta em prática, e relataram que não só seus instrumentos </w:t>
      </w:r>
      <w:r>
        <w:rPr>
          <w:spacing w:val="1"/>
        </w:rPr>
        <w:t xml:space="preserve">de </w:t>
      </w:r>
      <w:r>
        <w:rPr>
          <w:spacing w:val="3"/>
        </w:rPr>
        <w:t xml:space="preserve">garimpo foram quebrados </w:t>
      </w:r>
      <w:r>
        <w:t xml:space="preserve">e </w:t>
      </w:r>
      <w:r>
        <w:rPr>
          <w:spacing w:val="3"/>
        </w:rPr>
        <w:t xml:space="preserve">queimados, </w:t>
      </w:r>
      <w:r>
        <w:rPr>
          <w:spacing w:val="2"/>
        </w:rPr>
        <w:t xml:space="preserve">mas </w:t>
      </w:r>
      <w:r>
        <w:rPr>
          <w:spacing w:val="5"/>
        </w:rPr>
        <w:t xml:space="preserve">também </w:t>
      </w:r>
      <w:r>
        <w:rPr>
          <w:spacing w:val="10"/>
        </w:rPr>
        <w:t xml:space="preserve">alguns utensílios </w:t>
      </w:r>
      <w:r>
        <w:rPr>
          <w:spacing w:val="5"/>
        </w:rPr>
        <w:t xml:space="preserve">de </w:t>
      </w:r>
      <w:r>
        <w:rPr>
          <w:spacing w:val="10"/>
        </w:rPr>
        <w:t xml:space="preserve">cozinha. </w:t>
      </w:r>
      <w:r>
        <w:rPr>
          <w:spacing w:val="5"/>
        </w:rPr>
        <w:t xml:space="preserve">Na </w:t>
      </w:r>
      <w:r>
        <w:rPr>
          <w:spacing w:val="10"/>
        </w:rPr>
        <w:t xml:space="preserve">ocasião, </w:t>
      </w:r>
      <w:r>
        <w:rPr>
          <w:spacing w:val="5"/>
        </w:rPr>
        <w:t xml:space="preserve">os </w:t>
      </w:r>
      <w:r>
        <w:rPr>
          <w:spacing w:val="11"/>
        </w:rPr>
        <w:t xml:space="preserve">índios </w:t>
      </w:r>
      <w:r>
        <w:t xml:space="preserve">explicavam que a garimpagem era feita no igarapé do Sol, e </w:t>
      </w:r>
      <w:r>
        <w:rPr>
          <w:spacing w:val="5"/>
        </w:rPr>
        <w:t xml:space="preserve">que </w:t>
      </w:r>
      <w:r>
        <w:rPr>
          <w:spacing w:val="6"/>
        </w:rPr>
        <w:t xml:space="preserve">todo </w:t>
      </w:r>
      <w:r>
        <w:t xml:space="preserve">o </w:t>
      </w:r>
      <w:r>
        <w:rPr>
          <w:spacing w:val="8"/>
        </w:rPr>
        <w:t xml:space="preserve">equipamento </w:t>
      </w:r>
      <w:r>
        <w:rPr>
          <w:spacing w:val="7"/>
        </w:rPr>
        <w:t xml:space="preserve">utilizado </w:t>
      </w:r>
      <w:r>
        <w:rPr>
          <w:spacing w:val="5"/>
        </w:rPr>
        <w:t xml:space="preserve">era de </w:t>
      </w:r>
      <w:r>
        <w:rPr>
          <w:spacing w:val="10"/>
        </w:rPr>
        <w:t xml:space="preserve">propriedade </w:t>
      </w:r>
      <w:r>
        <w:rPr>
          <w:spacing w:val="1"/>
        </w:rPr>
        <w:t xml:space="preserve">indígena, comprado </w:t>
      </w:r>
      <w:r>
        <w:t xml:space="preserve">com seu </w:t>
      </w:r>
      <w:r>
        <w:rPr>
          <w:spacing w:val="1"/>
        </w:rPr>
        <w:t xml:space="preserve">dinheiro </w:t>
      </w:r>
      <w:r>
        <w:t xml:space="preserve">e </w:t>
      </w:r>
      <w:r>
        <w:rPr>
          <w:spacing w:val="1"/>
        </w:rPr>
        <w:t xml:space="preserve">trabalho. </w:t>
      </w:r>
      <w:r>
        <w:rPr>
          <w:spacing w:val="2"/>
        </w:rPr>
        <w:t xml:space="preserve">Segundo </w:t>
      </w:r>
      <w:r>
        <w:t>relatos da época, em média, cinco índios garimpavam no rio</w:t>
      </w:r>
      <w:r>
        <w:t xml:space="preserve"> diariamente. O lucro, segundo eles, era repartido por todos os </w:t>
      </w:r>
      <w:r>
        <w:rPr>
          <w:spacing w:val="10"/>
        </w:rPr>
        <w:t xml:space="preserve">índios, depois </w:t>
      </w:r>
      <w:r>
        <w:rPr>
          <w:spacing w:val="5"/>
        </w:rPr>
        <w:t xml:space="preserve">de </w:t>
      </w:r>
      <w:r>
        <w:rPr>
          <w:spacing w:val="10"/>
        </w:rPr>
        <w:t xml:space="preserve">serem retirados </w:t>
      </w:r>
      <w:r>
        <w:rPr>
          <w:spacing w:val="5"/>
        </w:rPr>
        <w:t xml:space="preserve">os </w:t>
      </w:r>
      <w:r>
        <w:rPr>
          <w:spacing w:val="10"/>
        </w:rPr>
        <w:t xml:space="preserve">recursos </w:t>
      </w:r>
      <w:r>
        <w:rPr>
          <w:spacing w:val="12"/>
        </w:rPr>
        <w:t xml:space="preserve">para </w:t>
      </w:r>
      <w:r>
        <w:t xml:space="preserve">manutenção dos equipamentos e aquisição de </w:t>
      </w:r>
      <w:r>
        <w:rPr>
          <w:spacing w:val="1"/>
        </w:rPr>
        <w:t xml:space="preserve">combustível. </w:t>
      </w:r>
      <w:r>
        <w:t>Retirava-se do garimpo, por semana, cerca de cinco gramas de ouro (CORREIA,</w:t>
      </w:r>
      <w:r>
        <w:rPr>
          <w:spacing w:val="28"/>
        </w:rPr>
        <w:t xml:space="preserve"> </w:t>
      </w:r>
      <w:r>
        <w:t>2009).</w:t>
      </w:r>
    </w:p>
    <w:p w:rsidR="00D81F69" w:rsidRDefault="00330118">
      <w:pPr>
        <w:pStyle w:val="Corpodetexto"/>
        <w:spacing w:before="142" w:line="312" w:lineRule="auto"/>
        <w:ind w:right="38"/>
      </w:pPr>
      <w:r>
        <w:t xml:space="preserve">A </w:t>
      </w:r>
      <w:r>
        <w:t>questão do garimpo na reserva fica ainda mais complexa pela presença de garimpeiros vindos de fora — mapas do Instituto Brasileiro de Geografia e Estatística (IBGE) produzidos em 2005 apontavam a existência de 26 áreas ativas de garimpo de diamante no inte</w:t>
      </w:r>
      <w:r>
        <w:t>rior da reserva (COSTA, 2008). Além dos próprios índios garimpando, há relatos de homens não índios e até de estrangeiros praticando a atividade na reserva (TRAJANO, 2009).</w:t>
      </w:r>
    </w:p>
    <w:p w:rsidR="00D81F69" w:rsidRDefault="00330118">
      <w:pPr>
        <w:pStyle w:val="Corpodetexto"/>
        <w:spacing w:before="137" w:line="312" w:lineRule="auto"/>
        <w:ind w:right="48"/>
      </w:pPr>
      <w:r>
        <w:t>Segundo o delegado Alan Gonçalves, titular da Delegacia de Repressão aos Crimes Con</w:t>
      </w:r>
      <w:r>
        <w:t>tra o Meio Ambiente (Delemaph), em 2009, alguns estrangeiros foram retirados da região da reserva, sendo quatro europeus e um asiático, todos suspeitos de estarem vinculados à extração. Na época, eles diziam ser missionários, mas portavam instrumentos e fe</w:t>
      </w:r>
      <w:r>
        <w:t>rramentas suspeitas, e não possuíam autorização legal para circular na região indígena (TRAJANO, 2009).</w:t>
      </w:r>
    </w:p>
    <w:p w:rsidR="00D81F69" w:rsidRDefault="00330118">
      <w:pPr>
        <w:pStyle w:val="Corpodetexto"/>
        <w:spacing w:before="138" w:line="312" w:lineRule="auto"/>
        <w:ind w:right="47"/>
      </w:pPr>
      <w:r>
        <w:rPr>
          <w:spacing w:val="3"/>
        </w:rPr>
        <w:t xml:space="preserve">Por </w:t>
      </w:r>
      <w:r>
        <w:rPr>
          <w:spacing w:val="5"/>
        </w:rPr>
        <w:t xml:space="preserve">tratar-se </w:t>
      </w:r>
      <w:r>
        <w:rPr>
          <w:spacing w:val="2"/>
        </w:rPr>
        <w:t xml:space="preserve">de </w:t>
      </w:r>
      <w:r>
        <w:rPr>
          <w:spacing w:val="3"/>
        </w:rPr>
        <w:t xml:space="preserve">uma </w:t>
      </w:r>
      <w:r>
        <w:rPr>
          <w:spacing w:val="5"/>
        </w:rPr>
        <w:t xml:space="preserve">zona </w:t>
      </w:r>
      <w:r>
        <w:rPr>
          <w:spacing w:val="2"/>
        </w:rPr>
        <w:t xml:space="preserve">de </w:t>
      </w:r>
      <w:r>
        <w:rPr>
          <w:spacing w:val="5"/>
        </w:rPr>
        <w:t xml:space="preserve">fronteira, </w:t>
      </w:r>
      <w:r>
        <w:rPr>
          <w:spacing w:val="3"/>
        </w:rPr>
        <w:t xml:space="preserve">com </w:t>
      </w:r>
      <w:r>
        <w:rPr>
          <w:spacing w:val="5"/>
        </w:rPr>
        <w:t xml:space="preserve">países </w:t>
      </w:r>
      <w:r>
        <w:rPr>
          <w:spacing w:val="6"/>
        </w:rPr>
        <w:t xml:space="preserve">de </w:t>
      </w:r>
      <w:r>
        <w:rPr>
          <w:spacing w:val="3"/>
        </w:rPr>
        <w:t xml:space="preserve">legislações diferentes, </w:t>
      </w:r>
      <w:r>
        <w:t xml:space="preserve">a </w:t>
      </w:r>
      <w:r>
        <w:rPr>
          <w:spacing w:val="3"/>
        </w:rPr>
        <w:t xml:space="preserve">repressão </w:t>
      </w:r>
      <w:r>
        <w:rPr>
          <w:spacing w:val="1"/>
        </w:rPr>
        <w:t xml:space="preserve">ao </w:t>
      </w:r>
      <w:r>
        <w:rPr>
          <w:spacing w:val="3"/>
        </w:rPr>
        <w:t xml:space="preserve">garimpo </w:t>
      </w:r>
      <w:r>
        <w:rPr>
          <w:spacing w:val="1"/>
        </w:rPr>
        <w:t xml:space="preserve">em </w:t>
      </w:r>
      <w:r>
        <w:rPr>
          <w:spacing w:val="5"/>
        </w:rPr>
        <w:t xml:space="preserve">terras </w:t>
      </w:r>
      <w:r>
        <w:t>indígenas torna-se ainda mais difícil. Em</w:t>
      </w:r>
      <w:r>
        <w:t xml:space="preserve"> 2003, por exemplo, quando um conjunto de garimpeiros foi flagrado no rio Maú, um dos </w:t>
      </w:r>
      <w:r>
        <w:rPr>
          <w:spacing w:val="1"/>
        </w:rPr>
        <w:t xml:space="preserve">pontos </w:t>
      </w:r>
      <w:r>
        <w:t xml:space="preserve">de </w:t>
      </w:r>
      <w:r>
        <w:rPr>
          <w:spacing w:val="1"/>
        </w:rPr>
        <w:t xml:space="preserve">garimpo </w:t>
      </w:r>
      <w:r>
        <w:t xml:space="preserve">na </w:t>
      </w:r>
      <w:r>
        <w:rPr>
          <w:spacing w:val="1"/>
        </w:rPr>
        <w:t xml:space="preserve">reserva, </w:t>
      </w:r>
      <w:r>
        <w:t xml:space="preserve">o </w:t>
      </w:r>
      <w:r>
        <w:rPr>
          <w:spacing w:val="1"/>
        </w:rPr>
        <w:t xml:space="preserve">grupo logo </w:t>
      </w:r>
      <w:r>
        <w:t xml:space="preserve">foi </w:t>
      </w:r>
      <w:r>
        <w:rPr>
          <w:spacing w:val="2"/>
        </w:rPr>
        <w:t xml:space="preserve">se </w:t>
      </w:r>
      <w:r>
        <w:t xml:space="preserve">ancorar na margem esquerda do rio, do lado da Guiana – país </w:t>
      </w:r>
      <w:r>
        <w:rPr>
          <w:spacing w:val="6"/>
        </w:rPr>
        <w:t xml:space="preserve">onde </w:t>
      </w:r>
      <w:r>
        <w:t xml:space="preserve">a </w:t>
      </w:r>
      <w:r>
        <w:rPr>
          <w:spacing w:val="7"/>
        </w:rPr>
        <w:t xml:space="preserve">extração </w:t>
      </w:r>
      <w:r>
        <w:t xml:space="preserve">é </w:t>
      </w:r>
      <w:r>
        <w:rPr>
          <w:spacing w:val="7"/>
        </w:rPr>
        <w:t xml:space="preserve">permitida </w:t>
      </w:r>
      <w:r>
        <w:rPr>
          <w:spacing w:val="5"/>
        </w:rPr>
        <w:t xml:space="preserve">por </w:t>
      </w:r>
      <w:r>
        <w:rPr>
          <w:spacing w:val="6"/>
        </w:rPr>
        <w:t xml:space="preserve">lei. </w:t>
      </w:r>
      <w:r>
        <w:rPr>
          <w:spacing w:val="7"/>
        </w:rPr>
        <w:t xml:space="preserve">Apesar </w:t>
      </w:r>
      <w:r>
        <w:rPr>
          <w:spacing w:val="5"/>
        </w:rPr>
        <w:t xml:space="preserve">de </w:t>
      </w:r>
      <w:r>
        <w:rPr>
          <w:spacing w:val="10"/>
        </w:rPr>
        <w:t xml:space="preserve">serem </w:t>
      </w:r>
      <w:r>
        <w:rPr>
          <w:spacing w:val="5"/>
        </w:rPr>
        <w:t>brasile</w:t>
      </w:r>
      <w:r>
        <w:rPr>
          <w:spacing w:val="5"/>
        </w:rPr>
        <w:t xml:space="preserve">iros, </w:t>
      </w:r>
      <w:r>
        <w:rPr>
          <w:spacing w:val="3"/>
        </w:rPr>
        <w:t xml:space="preserve">ali, </w:t>
      </w:r>
      <w:r>
        <w:rPr>
          <w:spacing w:val="2"/>
        </w:rPr>
        <w:t xml:space="preserve">do </w:t>
      </w:r>
      <w:r>
        <w:rPr>
          <w:spacing w:val="3"/>
        </w:rPr>
        <w:t xml:space="preserve">outro lado </w:t>
      </w:r>
      <w:r>
        <w:rPr>
          <w:spacing w:val="2"/>
        </w:rPr>
        <w:t xml:space="preserve">do </w:t>
      </w:r>
      <w:r>
        <w:rPr>
          <w:spacing w:val="3"/>
        </w:rPr>
        <w:t xml:space="preserve">rio, eles </w:t>
      </w:r>
      <w:r>
        <w:rPr>
          <w:spacing w:val="5"/>
        </w:rPr>
        <w:t xml:space="preserve">continuaram </w:t>
      </w:r>
      <w:r>
        <w:t xml:space="preserve">a </w:t>
      </w:r>
      <w:r>
        <w:rPr>
          <w:spacing w:val="8"/>
        </w:rPr>
        <w:t>prospecção</w:t>
      </w:r>
      <w:r>
        <w:rPr>
          <w:spacing w:val="47"/>
        </w:rPr>
        <w:t xml:space="preserve"> </w:t>
      </w:r>
      <w:r>
        <w:t>e</w:t>
      </w:r>
      <w:r>
        <w:rPr>
          <w:spacing w:val="47"/>
        </w:rPr>
        <w:t xml:space="preserve"> </w:t>
      </w:r>
      <w:r>
        <w:rPr>
          <w:spacing w:val="7"/>
        </w:rPr>
        <w:t>lavra</w:t>
      </w:r>
      <w:r>
        <w:rPr>
          <w:spacing w:val="47"/>
        </w:rPr>
        <w:t xml:space="preserve"> </w:t>
      </w:r>
      <w:r>
        <w:rPr>
          <w:spacing w:val="5"/>
        </w:rPr>
        <w:t>de</w:t>
      </w:r>
      <w:r>
        <w:rPr>
          <w:spacing w:val="47"/>
        </w:rPr>
        <w:t xml:space="preserve"> </w:t>
      </w:r>
      <w:r>
        <w:rPr>
          <w:spacing w:val="7"/>
        </w:rPr>
        <w:t>cascalho,</w:t>
      </w:r>
      <w:r>
        <w:rPr>
          <w:spacing w:val="47"/>
        </w:rPr>
        <w:t xml:space="preserve"> </w:t>
      </w:r>
      <w:r>
        <w:rPr>
          <w:spacing w:val="7"/>
        </w:rPr>
        <w:t>usando</w:t>
      </w:r>
      <w:r>
        <w:rPr>
          <w:spacing w:val="47"/>
        </w:rPr>
        <w:t xml:space="preserve"> </w:t>
      </w:r>
      <w:r>
        <w:t>o</w:t>
      </w:r>
      <w:r>
        <w:rPr>
          <w:spacing w:val="47"/>
        </w:rPr>
        <w:t xml:space="preserve"> </w:t>
      </w:r>
      <w:r>
        <w:rPr>
          <w:spacing w:val="7"/>
        </w:rPr>
        <w:t>vilarejo</w:t>
      </w:r>
      <w:r>
        <w:rPr>
          <w:spacing w:val="47"/>
        </w:rPr>
        <w:t xml:space="preserve"> </w:t>
      </w:r>
      <w:r>
        <w:rPr>
          <w:spacing w:val="10"/>
        </w:rPr>
        <w:t>de</w:t>
      </w:r>
    </w:p>
    <w:p w:rsidR="00D81F69" w:rsidRDefault="00330118">
      <w:pPr>
        <w:pStyle w:val="Corpodetexto"/>
        <w:spacing w:before="81" w:line="312" w:lineRule="auto"/>
        <w:ind w:right="242"/>
      </w:pPr>
      <w:r>
        <w:br w:type="column"/>
      </w:r>
      <w:r>
        <w:lastRenderedPageBreak/>
        <w:t>Uiramutã como ponto de apoio para suprimento de mercadorias necessárias para a atividade ilegal que exercem (CIR, 2003b).</w:t>
      </w:r>
    </w:p>
    <w:p w:rsidR="00D81F69" w:rsidRDefault="00330118">
      <w:pPr>
        <w:pStyle w:val="Corpodetexto"/>
        <w:spacing w:before="133" w:line="312" w:lineRule="auto"/>
        <w:ind w:right="223"/>
      </w:pPr>
      <w:r>
        <w:t xml:space="preserve">Na época, o CIR, através de sua assessoria jurídica, comunicou crimes ambientais à Funai, Ministério Público, Instituto Brasileiro do Meio Ambiente e dos Recursos Renováveis (Ibama) e à Delegacia Federal da Agricultura. A expectativa era que os tuxauas se </w:t>
      </w:r>
      <w:r>
        <w:t>reunissem com líderes das comunidades macuxi, da Guiana, para discutir a fiscalização da presença de garimpeiros no Brasil e na Guiana, respeitando um acordo firmado entre as aldeias para coibir a garimpagem na região (CIR, 2003b).</w:t>
      </w:r>
    </w:p>
    <w:p w:rsidR="00D81F69" w:rsidRDefault="00330118">
      <w:pPr>
        <w:pStyle w:val="Corpodetexto"/>
        <w:spacing w:before="138" w:line="312" w:lineRule="auto"/>
        <w:ind w:right="235"/>
      </w:pPr>
      <w:r>
        <w:t>É comum índios fazerem “</w:t>
      </w:r>
      <w:r>
        <w:t xml:space="preserve">patrulhas” contra os garimpeiros em pontos da reserva, principalmente nos locais mais próximos à </w:t>
      </w:r>
      <w:r>
        <w:rPr>
          <w:spacing w:val="6"/>
        </w:rPr>
        <w:t xml:space="preserve">fronteira </w:t>
      </w:r>
      <w:r>
        <w:rPr>
          <w:spacing w:val="5"/>
        </w:rPr>
        <w:t xml:space="preserve">com </w:t>
      </w:r>
      <w:r>
        <w:t xml:space="preserve">a </w:t>
      </w:r>
      <w:r>
        <w:rPr>
          <w:spacing w:val="5"/>
        </w:rPr>
        <w:t xml:space="preserve">Guiana Inglesa </w:t>
      </w:r>
      <w:r>
        <w:t xml:space="preserve">e a </w:t>
      </w:r>
      <w:r>
        <w:rPr>
          <w:spacing w:val="6"/>
        </w:rPr>
        <w:t xml:space="preserve">Venezuela, </w:t>
      </w:r>
      <w:r>
        <w:rPr>
          <w:spacing w:val="5"/>
        </w:rPr>
        <w:t xml:space="preserve">onde </w:t>
      </w:r>
      <w:r>
        <w:t>a atividade continua a ser exercida. Comunidades que vivem ali se revezam no patrulhamento das áreas, na exp</w:t>
      </w:r>
      <w:r>
        <w:t xml:space="preserve">ectativa de </w:t>
      </w:r>
      <w:r>
        <w:rPr>
          <w:spacing w:val="3"/>
        </w:rPr>
        <w:t xml:space="preserve">combater </w:t>
      </w:r>
      <w:r>
        <w:t xml:space="preserve">o </w:t>
      </w:r>
      <w:r>
        <w:rPr>
          <w:spacing w:val="3"/>
        </w:rPr>
        <w:t xml:space="preserve">garimpo. </w:t>
      </w:r>
      <w:r>
        <w:t xml:space="preserve">A </w:t>
      </w:r>
      <w:r>
        <w:rPr>
          <w:spacing w:val="3"/>
        </w:rPr>
        <w:t xml:space="preserve">fiscalização constante </w:t>
      </w:r>
      <w:r>
        <w:rPr>
          <w:spacing w:val="2"/>
        </w:rPr>
        <w:t xml:space="preserve">dos </w:t>
      </w:r>
      <w:r>
        <w:rPr>
          <w:spacing w:val="5"/>
        </w:rPr>
        <w:t xml:space="preserve">índios </w:t>
      </w:r>
      <w:r>
        <w:rPr>
          <w:spacing w:val="1"/>
        </w:rPr>
        <w:t xml:space="preserve">contrasta </w:t>
      </w:r>
      <w:r>
        <w:t xml:space="preserve">com o </w:t>
      </w:r>
      <w:r>
        <w:rPr>
          <w:spacing w:val="1"/>
        </w:rPr>
        <w:t xml:space="preserve">fato </w:t>
      </w:r>
      <w:r>
        <w:t xml:space="preserve">de </w:t>
      </w:r>
      <w:r>
        <w:rPr>
          <w:spacing w:val="1"/>
        </w:rPr>
        <w:t xml:space="preserve">haver casos </w:t>
      </w:r>
      <w:r>
        <w:t xml:space="preserve">em que </w:t>
      </w:r>
      <w:r>
        <w:rPr>
          <w:spacing w:val="1"/>
        </w:rPr>
        <w:t xml:space="preserve">eles </w:t>
      </w:r>
      <w:r>
        <w:rPr>
          <w:spacing w:val="2"/>
        </w:rPr>
        <w:t xml:space="preserve">próprios </w:t>
      </w:r>
      <w:r>
        <w:t xml:space="preserve">trabalham e garimpam para brancos – e até para si próprios, conforme já exposto. Na região de Urucá, próxima à </w:t>
      </w:r>
      <w:r>
        <w:rPr>
          <w:spacing w:val="1"/>
        </w:rPr>
        <w:t xml:space="preserve">cidade </w:t>
      </w:r>
      <w:r>
        <w:t xml:space="preserve">de Uiramutã, </w:t>
      </w:r>
      <w:r>
        <w:t xml:space="preserve">retira-se, do garimpo, até três gramas de ouro por dia, o equivalente a R$ 120,00 – atividade que, para os índios, torna-se muito mais rentável que a roça (CARNEIRO, </w:t>
      </w:r>
      <w:r>
        <w:rPr>
          <w:spacing w:val="5"/>
        </w:rPr>
        <w:t xml:space="preserve">2008). </w:t>
      </w:r>
      <w:r>
        <w:t xml:space="preserve">O </w:t>
      </w:r>
      <w:r>
        <w:rPr>
          <w:spacing w:val="5"/>
        </w:rPr>
        <w:t xml:space="preserve">ponto </w:t>
      </w:r>
      <w:r>
        <w:rPr>
          <w:spacing w:val="2"/>
        </w:rPr>
        <w:t xml:space="preserve">de </w:t>
      </w:r>
      <w:r>
        <w:rPr>
          <w:spacing w:val="5"/>
        </w:rPr>
        <w:t xml:space="preserve">garimpo </w:t>
      </w:r>
      <w:r>
        <w:rPr>
          <w:spacing w:val="2"/>
        </w:rPr>
        <w:t xml:space="preserve">em </w:t>
      </w:r>
      <w:r>
        <w:rPr>
          <w:spacing w:val="5"/>
        </w:rPr>
        <w:t xml:space="preserve">Uiramutã fica próximo </w:t>
      </w:r>
      <w:r>
        <w:t>à Cachoeira do Urucá, um dos pontos tur</w:t>
      </w:r>
      <w:r>
        <w:t>ísticos mais bonitos de Roraima. O estrago à paisagem e o dano ao meio ambiente já são visíveis (FATO REAL, 2009).</w:t>
      </w:r>
    </w:p>
    <w:p w:rsidR="00D81F69" w:rsidRDefault="00330118">
      <w:pPr>
        <w:pStyle w:val="Corpodetexto"/>
        <w:spacing w:before="145" w:line="312" w:lineRule="auto"/>
        <w:ind w:right="233"/>
      </w:pPr>
      <w:r>
        <w:t>A falta de legislação sobre o garimpo em terras indígenas, seja ele praticado pelos próprios índios ou por homens brancos, já inspirou a elab</w:t>
      </w:r>
      <w:r>
        <w:t>oração de um projeto de lei, que prevê repasse de ao menos 4% da receita proveniente de atividades de mineração a comunidades indígenas (COSTA, 2008).</w:t>
      </w:r>
    </w:p>
    <w:p w:rsidR="00D81F69" w:rsidRDefault="00D81F69">
      <w:pPr>
        <w:pStyle w:val="Corpodetexto"/>
        <w:spacing w:before="5"/>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231"/>
      </w:pPr>
      <w:r>
        <w:t xml:space="preserve">A terra indígena Raposa Serra do Sol situa-se na divisa do estado de Roraima com </w:t>
      </w:r>
      <w:r>
        <w:t>a Venezuela e a Guiana Inglesa, comportando uma área entre três municípios: Pacaraima (latitude 4°25’01”N e longitude 61°08’27”W), Uiramutã (latitude 4°35’60”N e longitude 60°09’29”W) e Normandia (latitude 4°12’16”S e longitude 59°51’54”W).</w:t>
      </w:r>
    </w:p>
    <w:p w:rsidR="00D81F69" w:rsidRDefault="00D81F69">
      <w:pPr>
        <w:pStyle w:val="Corpodetexto"/>
        <w:spacing w:before="3"/>
        <w:ind w:left="0"/>
        <w:jc w:val="left"/>
        <w:rPr>
          <w:sz w:val="29"/>
        </w:rPr>
      </w:pPr>
    </w:p>
    <w:p w:rsidR="00D81F69" w:rsidRDefault="00330118">
      <w:pPr>
        <w:pStyle w:val="Heading7"/>
      </w:pPr>
      <w:r>
        <w:t>REDATORES</w:t>
      </w:r>
    </w:p>
    <w:p w:rsidR="00D81F69" w:rsidRDefault="00330118">
      <w:pPr>
        <w:pStyle w:val="Corpodetexto"/>
        <w:spacing w:before="179"/>
      </w:pPr>
      <w:r>
        <w:t>Pedro Schprejer</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232"/>
        <w:jc w:val="both"/>
        <w:rPr>
          <w:sz w:val="16"/>
        </w:rPr>
      </w:pPr>
      <w:r>
        <w:rPr>
          <w:sz w:val="16"/>
        </w:rPr>
        <w:t>CARNEIRO, Fausto. Índios fazem 'patrulha antigarimpo' na Raposa Serra  do  Sol.  In:  G1,  Globo.com, 01  jan  2008.  Disponível em:</w:t>
      </w:r>
    </w:p>
    <w:p w:rsidR="00D81F69" w:rsidRDefault="00D81F69">
      <w:pPr>
        <w:spacing w:before="1" w:line="312" w:lineRule="auto"/>
        <w:ind w:left="100" w:right="245"/>
        <w:jc w:val="both"/>
        <w:rPr>
          <w:sz w:val="16"/>
        </w:rPr>
      </w:pPr>
      <w:hyperlink r:id="rId507">
        <w:r w:rsidR="00330118">
          <w:rPr>
            <w:sz w:val="16"/>
          </w:rPr>
          <w:t>&lt;http://g1.globo.com/Noticias/Brasil/0,,MUL741085-5598,00-</w:t>
        </w:r>
      </w:hyperlink>
      <w:r w:rsidR="00330118">
        <w:rPr>
          <w:sz w:val="16"/>
        </w:rPr>
        <w:t xml:space="preserve"> INDIOS+FAZEM+PATRULHA+ANTIGARIMPO+NA+RAPOSA+SERR</w:t>
      </w:r>
    </w:p>
    <w:p w:rsidR="00D81F69" w:rsidRDefault="00330118">
      <w:pPr>
        <w:spacing w:before="2"/>
        <w:ind w:left="100"/>
        <w:jc w:val="both"/>
        <w:rPr>
          <w:sz w:val="16"/>
        </w:rPr>
      </w:pPr>
      <w:r>
        <w:rPr>
          <w:sz w:val="16"/>
        </w:rPr>
        <w:t>A+DO+SOL.html&gt;. Acesso em: 22 dez. 2011.</w:t>
      </w:r>
    </w:p>
    <w:p w:rsidR="00D81F69" w:rsidRDefault="00330118">
      <w:pPr>
        <w:spacing w:line="240" w:lineRule="atLeast"/>
        <w:ind w:left="100" w:right="238"/>
        <w:jc w:val="both"/>
        <w:rPr>
          <w:sz w:val="16"/>
        </w:rPr>
      </w:pPr>
      <w:r>
        <w:rPr>
          <w:sz w:val="16"/>
        </w:rPr>
        <w:t>CAPIBERIBE, Janete. Deputado</w:t>
      </w:r>
      <w:r>
        <w:rPr>
          <w:sz w:val="16"/>
        </w:rPr>
        <w:t>s cobrarão do Governo medidas para estrangular garimpo ilegal na Terra Yanomami. Amapá, 28 out 2011.</w:t>
      </w:r>
    </w:p>
    <w:p w:rsidR="00D81F69" w:rsidRDefault="00D81F69">
      <w:pPr>
        <w:spacing w:line="240" w:lineRule="atLeast"/>
        <w:jc w:val="both"/>
        <w:rPr>
          <w:sz w:val="16"/>
        </w:rPr>
        <w:sectPr w:rsidR="00D81F69">
          <w:pgSz w:w="11900" w:h="16840"/>
          <w:pgMar w:top="740" w:right="460" w:bottom="700" w:left="620" w:header="0" w:footer="402" w:gutter="0"/>
          <w:cols w:num="2" w:space="720" w:equalWidth="0">
            <w:col w:w="5163" w:space="307"/>
            <w:col w:w="5350"/>
          </w:cols>
        </w:sectPr>
      </w:pPr>
    </w:p>
    <w:p w:rsidR="00D81F69" w:rsidRDefault="00330118">
      <w:pPr>
        <w:spacing w:before="70"/>
        <w:ind w:left="100"/>
        <w:rPr>
          <w:sz w:val="16"/>
        </w:rPr>
      </w:pPr>
      <w:r>
        <w:rPr>
          <w:sz w:val="16"/>
        </w:rPr>
        <w:lastRenderedPageBreak/>
        <w:t>Disponível em:</w:t>
      </w:r>
    </w:p>
    <w:p w:rsidR="00D81F69" w:rsidRDefault="00D81F69">
      <w:pPr>
        <w:spacing w:before="56" w:line="312" w:lineRule="auto"/>
        <w:ind w:left="100" w:right="126"/>
        <w:jc w:val="both"/>
        <w:rPr>
          <w:sz w:val="16"/>
        </w:rPr>
      </w:pPr>
      <w:hyperlink r:id="rId508">
        <w:r w:rsidR="00330118">
          <w:rPr>
            <w:sz w:val="16"/>
          </w:rPr>
          <w:t xml:space="preserve">&lt;http://www.correaneto.com.br/site/?p=16247&gt;. </w:t>
        </w:r>
      </w:hyperlink>
      <w:r w:rsidR="00330118">
        <w:rPr>
          <w:sz w:val="16"/>
        </w:rPr>
        <w:t>Acess</w:t>
      </w:r>
      <w:r w:rsidR="00330118">
        <w:rPr>
          <w:sz w:val="16"/>
        </w:rPr>
        <w:t>o em: 22 dez. 2011.</w:t>
      </w:r>
    </w:p>
    <w:p w:rsidR="00D81F69" w:rsidRDefault="00330118">
      <w:pPr>
        <w:spacing w:before="1" w:line="312" w:lineRule="auto"/>
        <w:ind w:left="100" w:right="122"/>
        <w:jc w:val="both"/>
        <w:rPr>
          <w:sz w:val="16"/>
        </w:rPr>
      </w:pPr>
      <w:r>
        <w:rPr>
          <w:sz w:val="16"/>
        </w:rPr>
        <w:t xml:space="preserve">COSTA, Breno. Reserva abriga 26 áreas de garimpo ilegal de diamante. Folha de São Paulo, São Paulo, 29 ago. 2008. Disponível em: </w:t>
      </w:r>
      <w:hyperlink r:id="rId509">
        <w:r>
          <w:rPr>
            <w:sz w:val="16"/>
          </w:rPr>
          <w:t>&lt;</w:t>
        </w:r>
        <w:r>
          <w:rPr>
            <w:sz w:val="16"/>
          </w:rPr>
          <w:t>http://www1.folha.uol.com.br/fsp/brasil/fc2908200802.htm&gt;.</w:t>
        </w:r>
      </w:hyperlink>
      <w:r>
        <w:rPr>
          <w:sz w:val="16"/>
        </w:rPr>
        <w:t xml:space="preserve"> Acesso em: 06 ago. 2013.</w:t>
      </w:r>
    </w:p>
    <w:p w:rsidR="00D81F69" w:rsidRDefault="00330118">
      <w:pPr>
        <w:spacing w:before="4" w:line="312" w:lineRule="auto"/>
        <w:ind w:left="100" w:right="116"/>
        <w:jc w:val="both"/>
        <w:rPr>
          <w:sz w:val="16"/>
        </w:rPr>
      </w:pPr>
      <w:r>
        <w:rPr>
          <w:sz w:val="16"/>
        </w:rPr>
        <w:t>COSTA, Lucio Augusto Villela da. A exploração ilegal dos minérios na Reserva Indígena Raposa Serra do Sol. In: Âmbito Jurídico, Rio Grande, n. 71. Rio Grande, 01 dez. 2009.</w:t>
      </w:r>
      <w:r>
        <w:rPr>
          <w:sz w:val="16"/>
        </w:rPr>
        <w:t xml:space="preserve"> Disponível em:</w:t>
      </w:r>
    </w:p>
    <w:p w:rsidR="00D81F69" w:rsidRDefault="00330118">
      <w:pPr>
        <w:spacing w:before="2" w:line="312" w:lineRule="auto"/>
        <w:ind w:left="100" w:right="145"/>
        <w:jc w:val="both"/>
        <w:rPr>
          <w:sz w:val="16"/>
        </w:rPr>
      </w:pPr>
      <w:r>
        <w:rPr>
          <w:sz w:val="16"/>
        </w:rPr>
        <w:t>&lt; h t t p : / / w w w . a m b i t o - juridico.com.br/site/index.php?n_link=revista_artigos_leitura&amp;artigo_id</w:t>
      </w:r>
    </w:p>
    <w:p w:rsidR="00D81F69" w:rsidRDefault="00330118">
      <w:pPr>
        <w:spacing w:before="2"/>
        <w:ind w:left="100"/>
        <w:rPr>
          <w:sz w:val="16"/>
        </w:rPr>
      </w:pPr>
      <w:r>
        <w:rPr>
          <w:sz w:val="16"/>
        </w:rPr>
        <w:t>=6974&gt;. Acesso em: 22 dez. 2011.</w:t>
      </w:r>
    </w:p>
    <w:p w:rsidR="00D81F69" w:rsidRDefault="00330118">
      <w:pPr>
        <w:spacing w:before="56" w:line="312" w:lineRule="auto"/>
        <w:ind w:left="100" w:right="117"/>
        <w:jc w:val="both"/>
        <w:rPr>
          <w:sz w:val="16"/>
        </w:rPr>
      </w:pPr>
      <w:r>
        <w:rPr>
          <w:sz w:val="16"/>
        </w:rPr>
        <w:t>CORREIA, Cyneida. Direito amazônico. Garimpos foram destruídos com granadas. Boa Vista, 15 out. d</w:t>
      </w:r>
      <w:r>
        <w:rPr>
          <w:sz w:val="16"/>
        </w:rPr>
        <w:t>e 2009. Disponível em:</w:t>
      </w:r>
    </w:p>
    <w:p w:rsidR="00D81F69" w:rsidRDefault="00D81F69">
      <w:pPr>
        <w:spacing w:before="1" w:line="312" w:lineRule="auto"/>
        <w:ind w:left="100" w:right="128"/>
        <w:jc w:val="both"/>
        <w:rPr>
          <w:sz w:val="16"/>
        </w:rPr>
      </w:pPr>
      <w:hyperlink r:id="rId510">
        <w:r w:rsidR="00330118">
          <w:rPr>
            <w:sz w:val="16"/>
          </w:rPr>
          <w:t xml:space="preserve">&lt;http://direitoamazonico.blogspot.com/2009/10/indigena- </w:t>
        </w:r>
      </w:hyperlink>
      <w:r w:rsidR="00330118">
        <w:rPr>
          <w:sz w:val="16"/>
        </w:rPr>
        <w:t xml:space="preserve">garimpo_15.html&gt;. Acesso em: 22 dez. 2011. </w:t>
      </w:r>
    </w:p>
    <w:p w:rsidR="00D81F69" w:rsidRDefault="00330118">
      <w:pPr>
        <w:tabs>
          <w:tab w:val="left" w:pos="1188"/>
          <w:tab w:val="left" w:pos="2606"/>
          <w:tab w:val="left" w:pos="4653"/>
        </w:tabs>
        <w:spacing w:before="2" w:line="312" w:lineRule="auto"/>
        <w:ind w:left="100" w:right="38"/>
        <w:rPr>
          <w:sz w:val="16"/>
        </w:rPr>
      </w:pPr>
      <w:r>
        <w:rPr>
          <w:spacing w:val="3"/>
          <w:sz w:val="16"/>
        </w:rPr>
        <w:t xml:space="preserve">CIR, </w:t>
      </w:r>
      <w:r>
        <w:rPr>
          <w:spacing w:val="5"/>
          <w:sz w:val="16"/>
        </w:rPr>
        <w:t xml:space="preserve">Conselho Indígena </w:t>
      </w:r>
      <w:r>
        <w:rPr>
          <w:spacing w:val="2"/>
          <w:sz w:val="16"/>
        </w:rPr>
        <w:t xml:space="preserve">de </w:t>
      </w:r>
      <w:r>
        <w:rPr>
          <w:spacing w:val="5"/>
          <w:sz w:val="16"/>
        </w:rPr>
        <w:t xml:space="preserve">Roraima. Demora </w:t>
      </w:r>
      <w:r>
        <w:rPr>
          <w:spacing w:val="2"/>
          <w:sz w:val="16"/>
        </w:rPr>
        <w:t xml:space="preserve">na </w:t>
      </w:r>
      <w:r>
        <w:rPr>
          <w:spacing w:val="5"/>
          <w:sz w:val="16"/>
        </w:rPr>
        <w:t xml:space="preserve">homologação </w:t>
      </w:r>
      <w:r>
        <w:rPr>
          <w:sz w:val="16"/>
        </w:rPr>
        <w:t>favo</w:t>
      </w:r>
      <w:r>
        <w:rPr>
          <w:sz w:val="16"/>
        </w:rPr>
        <w:t xml:space="preserve">rece retorno de garimpeiros à Raposa Serra do Sol. Roraima, 27  </w:t>
      </w:r>
      <w:r>
        <w:rPr>
          <w:spacing w:val="2"/>
          <w:sz w:val="16"/>
        </w:rPr>
        <w:t>m  a</w:t>
      </w:r>
      <w:r>
        <w:rPr>
          <w:spacing w:val="38"/>
          <w:sz w:val="16"/>
        </w:rPr>
        <w:t xml:space="preserve"> </w:t>
      </w:r>
      <w:r>
        <w:rPr>
          <w:spacing w:val="2"/>
          <w:sz w:val="16"/>
        </w:rPr>
        <w:t>i</w:t>
      </w:r>
      <w:r>
        <w:rPr>
          <w:spacing w:val="45"/>
          <w:sz w:val="16"/>
        </w:rPr>
        <w:t xml:space="preserve"> </w:t>
      </w:r>
      <w:r>
        <w:rPr>
          <w:sz w:val="16"/>
        </w:rPr>
        <w:t>o</w:t>
      </w:r>
      <w:r>
        <w:rPr>
          <w:sz w:val="16"/>
        </w:rPr>
        <w:tab/>
      </w:r>
      <w:r>
        <w:rPr>
          <w:spacing w:val="2"/>
          <w:sz w:val="16"/>
        </w:rPr>
        <w:t>2  0  0  3</w:t>
      </w:r>
      <w:r>
        <w:rPr>
          <w:spacing w:val="28"/>
          <w:sz w:val="16"/>
        </w:rPr>
        <w:t xml:space="preserve"> </w:t>
      </w:r>
      <w:r>
        <w:rPr>
          <w:spacing w:val="2"/>
          <w:sz w:val="16"/>
        </w:rPr>
        <w:t>a</w:t>
      </w:r>
      <w:r>
        <w:rPr>
          <w:spacing w:val="45"/>
          <w:sz w:val="16"/>
        </w:rPr>
        <w:t xml:space="preserve"> </w:t>
      </w:r>
      <w:r>
        <w:rPr>
          <w:sz w:val="16"/>
        </w:rPr>
        <w:t>.</w:t>
      </w:r>
      <w:r>
        <w:rPr>
          <w:sz w:val="16"/>
        </w:rPr>
        <w:tab/>
      </w:r>
      <w:r>
        <w:rPr>
          <w:spacing w:val="2"/>
          <w:sz w:val="16"/>
        </w:rPr>
        <w:t>D  i  s  p  o  n  í  v</w:t>
      </w:r>
      <w:r>
        <w:rPr>
          <w:spacing w:val="8"/>
          <w:sz w:val="16"/>
        </w:rPr>
        <w:t xml:space="preserve"> </w:t>
      </w:r>
      <w:r>
        <w:rPr>
          <w:spacing w:val="2"/>
          <w:sz w:val="16"/>
        </w:rPr>
        <w:t>e</w:t>
      </w:r>
      <w:r>
        <w:rPr>
          <w:spacing w:val="45"/>
          <w:sz w:val="16"/>
        </w:rPr>
        <w:t xml:space="preserve"> </w:t>
      </w:r>
      <w:r>
        <w:rPr>
          <w:sz w:val="16"/>
        </w:rPr>
        <w:t>l</w:t>
      </w:r>
      <w:r>
        <w:rPr>
          <w:sz w:val="16"/>
        </w:rPr>
        <w:tab/>
      </w:r>
      <w:r>
        <w:rPr>
          <w:spacing w:val="2"/>
          <w:sz w:val="16"/>
        </w:rPr>
        <w:t>e  m</w:t>
      </w:r>
      <w:r>
        <w:rPr>
          <w:spacing w:val="40"/>
          <w:sz w:val="16"/>
        </w:rPr>
        <w:t xml:space="preserve"> </w:t>
      </w:r>
      <w:r>
        <w:rPr>
          <w:sz w:val="16"/>
        </w:rPr>
        <w:t xml:space="preserve">: </w:t>
      </w:r>
      <w:r>
        <w:rPr>
          <w:spacing w:val="3"/>
          <w:sz w:val="16"/>
        </w:rPr>
        <w:t xml:space="preserve"> </w:t>
      </w:r>
    </w:p>
    <w:p w:rsidR="00D81F69" w:rsidRDefault="00D81F69">
      <w:pPr>
        <w:spacing w:before="2"/>
        <w:ind w:left="100"/>
        <w:rPr>
          <w:sz w:val="16"/>
        </w:rPr>
      </w:pPr>
      <w:hyperlink r:id="rId511">
        <w:r w:rsidR="00330118">
          <w:rPr>
            <w:sz w:val="16"/>
          </w:rPr>
          <w:t>&lt;http://www.fase.org.br/v2/admin/anexos/acervo/17_</w:t>
        </w:r>
        <w:r w:rsidR="00330118">
          <w:rPr>
            <w:sz w:val="16"/>
          </w:rPr>
          <w:t>homologacao.pdf</w:t>
        </w:r>
      </w:hyperlink>
    </w:p>
    <w:p w:rsidR="00D81F69" w:rsidRDefault="00330118">
      <w:pPr>
        <w:spacing w:before="56"/>
        <w:ind w:left="100"/>
        <w:rPr>
          <w:sz w:val="16"/>
        </w:rPr>
      </w:pPr>
      <w:r>
        <w:rPr>
          <w:sz w:val="16"/>
        </w:rPr>
        <w:t>&gt;. Acesso em: 22 dez. 2011.</w:t>
      </w:r>
    </w:p>
    <w:p w:rsidR="00D81F69" w:rsidRDefault="00330118">
      <w:pPr>
        <w:spacing w:before="56" w:line="312" w:lineRule="auto"/>
        <w:ind w:left="100" w:right="125"/>
        <w:jc w:val="both"/>
        <w:rPr>
          <w:sz w:val="16"/>
        </w:rPr>
      </w:pPr>
      <w:r>
        <w:rPr>
          <w:sz w:val="16"/>
        </w:rPr>
        <w:t>______. Flagrante: documentados crimes ambientais na terra indígena Raposa Serra do Sol. Roraima, 29 abr. 2003b. Disponível em: &lt;http://www.cir.org.br/portal/?q=node/75&gt;. Acesso em: 22 dez. 2011.</w:t>
      </w:r>
    </w:p>
    <w:p w:rsidR="00D81F69" w:rsidRDefault="00330118">
      <w:pPr>
        <w:tabs>
          <w:tab w:val="left" w:pos="1609"/>
          <w:tab w:val="left" w:pos="2186"/>
          <w:tab w:val="left" w:pos="3225"/>
          <w:tab w:val="left" w:pos="4735"/>
        </w:tabs>
        <w:spacing w:before="4"/>
        <w:ind w:left="100"/>
        <w:rPr>
          <w:sz w:val="16"/>
        </w:rPr>
      </w:pPr>
      <w:r>
        <w:rPr>
          <w:spacing w:val="6"/>
          <w:sz w:val="16"/>
        </w:rPr>
        <w:t>E S T A T U</w:t>
      </w:r>
      <w:r>
        <w:rPr>
          <w:spacing w:val="-31"/>
          <w:sz w:val="16"/>
        </w:rPr>
        <w:t xml:space="preserve"> </w:t>
      </w:r>
      <w:r>
        <w:rPr>
          <w:spacing w:val="6"/>
          <w:sz w:val="16"/>
        </w:rPr>
        <w:t>T</w:t>
      </w:r>
      <w:r>
        <w:rPr>
          <w:sz w:val="16"/>
        </w:rPr>
        <w:t xml:space="preserve"> O</w:t>
      </w:r>
      <w:r>
        <w:rPr>
          <w:sz w:val="16"/>
        </w:rPr>
        <w:tab/>
      </w:r>
      <w:r>
        <w:rPr>
          <w:spacing w:val="6"/>
          <w:sz w:val="16"/>
        </w:rPr>
        <w:t>D</w:t>
      </w:r>
      <w:r>
        <w:rPr>
          <w:sz w:val="16"/>
        </w:rPr>
        <w:t xml:space="preserve"> O</w:t>
      </w:r>
      <w:r>
        <w:rPr>
          <w:sz w:val="16"/>
        </w:rPr>
        <w:tab/>
      </w:r>
      <w:r>
        <w:rPr>
          <w:spacing w:val="6"/>
          <w:sz w:val="16"/>
        </w:rPr>
        <w:t>Í N D I</w:t>
      </w:r>
      <w:r>
        <w:rPr>
          <w:spacing w:val="-19"/>
          <w:sz w:val="16"/>
        </w:rPr>
        <w:t xml:space="preserve"> </w:t>
      </w:r>
      <w:r>
        <w:rPr>
          <w:spacing w:val="6"/>
          <w:sz w:val="16"/>
        </w:rPr>
        <w:t>O</w:t>
      </w:r>
      <w:r>
        <w:rPr>
          <w:sz w:val="16"/>
        </w:rPr>
        <w:t xml:space="preserve"> .</w:t>
      </w:r>
      <w:r>
        <w:rPr>
          <w:sz w:val="16"/>
        </w:rPr>
        <w:tab/>
      </w:r>
      <w:r>
        <w:rPr>
          <w:spacing w:val="6"/>
          <w:sz w:val="16"/>
        </w:rPr>
        <w:t>D</w:t>
      </w:r>
      <w:r>
        <w:rPr>
          <w:sz w:val="16"/>
        </w:rPr>
        <w:t xml:space="preserve"> </w:t>
      </w:r>
      <w:r>
        <w:rPr>
          <w:spacing w:val="6"/>
          <w:sz w:val="16"/>
        </w:rPr>
        <w:t>i</w:t>
      </w:r>
      <w:r>
        <w:rPr>
          <w:sz w:val="16"/>
        </w:rPr>
        <w:t xml:space="preserve"> </w:t>
      </w:r>
      <w:r>
        <w:rPr>
          <w:spacing w:val="6"/>
          <w:sz w:val="16"/>
        </w:rPr>
        <w:t>s</w:t>
      </w:r>
      <w:r>
        <w:rPr>
          <w:sz w:val="16"/>
        </w:rPr>
        <w:t xml:space="preserve"> </w:t>
      </w:r>
      <w:r>
        <w:rPr>
          <w:spacing w:val="6"/>
          <w:sz w:val="16"/>
        </w:rPr>
        <w:t>p</w:t>
      </w:r>
      <w:r>
        <w:rPr>
          <w:sz w:val="16"/>
        </w:rPr>
        <w:t xml:space="preserve"> </w:t>
      </w:r>
      <w:r>
        <w:rPr>
          <w:spacing w:val="6"/>
          <w:sz w:val="16"/>
        </w:rPr>
        <w:t>o</w:t>
      </w:r>
      <w:r>
        <w:rPr>
          <w:sz w:val="16"/>
        </w:rPr>
        <w:t xml:space="preserve"> </w:t>
      </w:r>
      <w:r>
        <w:rPr>
          <w:spacing w:val="6"/>
          <w:sz w:val="16"/>
        </w:rPr>
        <w:t>n</w:t>
      </w:r>
      <w:r>
        <w:rPr>
          <w:sz w:val="16"/>
        </w:rPr>
        <w:t xml:space="preserve"> </w:t>
      </w:r>
      <w:r>
        <w:rPr>
          <w:spacing w:val="6"/>
          <w:sz w:val="16"/>
        </w:rPr>
        <w:t>í</w:t>
      </w:r>
      <w:r>
        <w:rPr>
          <w:sz w:val="16"/>
        </w:rPr>
        <w:t xml:space="preserve"> </w:t>
      </w:r>
      <w:r>
        <w:rPr>
          <w:spacing w:val="6"/>
          <w:sz w:val="16"/>
        </w:rPr>
        <w:t>v</w:t>
      </w:r>
      <w:r>
        <w:rPr>
          <w:sz w:val="16"/>
        </w:rPr>
        <w:t xml:space="preserve"> </w:t>
      </w:r>
      <w:r>
        <w:rPr>
          <w:spacing w:val="6"/>
          <w:sz w:val="16"/>
        </w:rPr>
        <w:t>e</w:t>
      </w:r>
      <w:r>
        <w:rPr>
          <w:sz w:val="16"/>
        </w:rPr>
        <w:t xml:space="preserve"> l</w:t>
      </w:r>
      <w:r>
        <w:rPr>
          <w:sz w:val="16"/>
        </w:rPr>
        <w:tab/>
      </w:r>
      <w:r>
        <w:rPr>
          <w:spacing w:val="6"/>
          <w:sz w:val="16"/>
        </w:rPr>
        <w:t>e m</w:t>
      </w:r>
      <w:r>
        <w:rPr>
          <w:spacing w:val="-7"/>
          <w:sz w:val="16"/>
        </w:rPr>
        <w:t xml:space="preserve"> </w:t>
      </w:r>
      <w:r>
        <w:rPr>
          <w:sz w:val="16"/>
        </w:rPr>
        <w:t>:</w:t>
      </w:r>
      <w:r>
        <w:rPr>
          <w:spacing w:val="7"/>
          <w:sz w:val="16"/>
        </w:rPr>
        <w:t xml:space="preserve"> </w:t>
      </w:r>
    </w:p>
    <w:p w:rsidR="00D81F69" w:rsidRDefault="00D81F69">
      <w:pPr>
        <w:spacing w:before="56" w:line="312" w:lineRule="auto"/>
        <w:ind w:left="100" w:right="144"/>
        <w:jc w:val="both"/>
        <w:rPr>
          <w:sz w:val="16"/>
        </w:rPr>
      </w:pPr>
      <w:hyperlink r:id="rId512">
        <w:r w:rsidR="00330118">
          <w:rPr>
            <w:sz w:val="16"/>
          </w:rPr>
          <w:t xml:space="preserve">&lt;http://www.planalto.gov.br/CCivil_03/LEIS/L6001.htm&gt;. </w:t>
        </w:r>
      </w:hyperlink>
      <w:r w:rsidR="00330118">
        <w:rPr>
          <w:sz w:val="16"/>
        </w:rPr>
        <w:t>Acesso em 22 dez. 2011.</w:t>
      </w:r>
    </w:p>
    <w:p w:rsidR="00D81F69" w:rsidRDefault="00330118">
      <w:pPr>
        <w:spacing w:before="1" w:line="312" w:lineRule="auto"/>
        <w:ind w:left="100" w:right="95"/>
        <w:jc w:val="both"/>
        <w:rPr>
          <w:sz w:val="16"/>
        </w:rPr>
      </w:pPr>
      <w:r>
        <w:rPr>
          <w:spacing w:val="2"/>
          <w:sz w:val="16"/>
        </w:rPr>
        <w:t xml:space="preserve">FATO </w:t>
      </w:r>
      <w:r>
        <w:rPr>
          <w:spacing w:val="3"/>
          <w:sz w:val="16"/>
        </w:rPr>
        <w:t xml:space="preserve">REAL. Turistas denunciam garimpagem </w:t>
      </w:r>
      <w:r>
        <w:rPr>
          <w:spacing w:val="1"/>
          <w:sz w:val="16"/>
        </w:rPr>
        <w:t xml:space="preserve">na </w:t>
      </w:r>
      <w:r>
        <w:rPr>
          <w:spacing w:val="3"/>
          <w:sz w:val="16"/>
        </w:rPr>
        <w:t xml:space="preserve">Cachoeira </w:t>
      </w:r>
      <w:r>
        <w:rPr>
          <w:spacing w:val="5"/>
          <w:sz w:val="16"/>
        </w:rPr>
        <w:t xml:space="preserve">do </w:t>
      </w:r>
      <w:r>
        <w:rPr>
          <w:spacing w:val="25"/>
          <w:sz w:val="16"/>
        </w:rPr>
        <w:t>Urucá. R</w:t>
      </w:r>
      <w:r>
        <w:rPr>
          <w:spacing w:val="25"/>
          <w:sz w:val="16"/>
        </w:rPr>
        <w:t>oraima,</w:t>
      </w:r>
      <w:r>
        <w:rPr>
          <w:spacing w:val="95"/>
          <w:sz w:val="16"/>
        </w:rPr>
        <w:t xml:space="preserve"> </w:t>
      </w:r>
      <w:r>
        <w:rPr>
          <w:spacing w:val="15"/>
          <w:sz w:val="16"/>
        </w:rPr>
        <w:t xml:space="preserve">28 </w:t>
      </w:r>
      <w:r>
        <w:rPr>
          <w:spacing w:val="21"/>
          <w:sz w:val="16"/>
        </w:rPr>
        <w:t xml:space="preserve">set. </w:t>
      </w:r>
      <w:r>
        <w:rPr>
          <w:spacing w:val="23"/>
          <w:sz w:val="16"/>
        </w:rPr>
        <w:t xml:space="preserve">2009. </w:t>
      </w:r>
      <w:r>
        <w:rPr>
          <w:spacing w:val="26"/>
          <w:sz w:val="16"/>
        </w:rPr>
        <w:t>Disponível</w:t>
      </w:r>
      <w:r>
        <w:rPr>
          <w:spacing w:val="25"/>
          <w:sz w:val="16"/>
        </w:rPr>
        <w:t xml:space="preserve"> </w:t>
      </w:r>
      <w:r>
        <w:rPr>
          <w:spacing w:val="20"/>
          <w:sz w:val="16"/>
        </w:rPr>
        <w:t>em:</w:t>
      </w:r>
      <w:r>
        <w:rPr>
          <w:spacing w:val="-14"/>
          <w:sz w:val="16"/>
        </w:rPr>
        <w:t xml:space="preserve"> </w:t>
      </w:r>
    </w:p>
    <w:p w:rsidR="00D81F69" w:rsidRDefault="00D81F69">
      <w:pPr>
        <w:spacing w:before="2" w:line="312" w:lineRule="auto"/>
        <w:ind w:left="100" w:right="137"/>
        <w:jc w:val="both"/>
        <w:rPr>
          <w:sz w:val="16"/>
        </w:rPr>
      </w:pPr>
      <w:hyperlink r:id="rId513">
        <w:r w:rsidR="00330118">
          <w:rPr>
            <w:sz w:val="16"/>
          </w:rPr>
          <w:t>&lt;http://www.fatoreal.blog.br/geral/raposa-serra-do-sol-turistas-</w:t>
        </w:r>
      </w:hyperlink>
      <w:r w:rsidR="00330118">
        <w:rPr>
          <w:sz w:val="16"/>
        </w:rPr>
        <w:t xml:space="preserve"> denunciam-garimpagem-na-cachoeira-do-uruca/&gt; Acesso em: 22 dez 2011.</w:t>
      </w:r>
    </w:p>
    <w:p w:rsidR="00D81F69" w:rsidRDefault="00330118">
      <w:pPr>
        <w:spacing w:before="70" w:line="312" w:lineRule="auto"/>
        <w:ind w:left="100" w:right="229"/>
        <w:jc w:val="both"/>
        <w:rPr>
          <w:sz w:val="16"/>
        </w:rPr>
      </w:pPr>
      <w:r>
        <w:br w:type="column"/>
      </w:r>
      <w:r>
        <w:rPr>
          <w:sz w:val="16"/>
        </w:rPr>
        <w:lastRenderedPageBreak/>
        <w:t>LA</w:t>
      </w:r>
      <w:r>
        <w:rPr>
          <w:sz w:val="16"/>
        </w:rPr>
        <w:t>URIOLA, Vincenzo. Ecologia global contra diversidade cultural? Conservação da natureza e povos indígenas no Brasil: O Monte Roraima entre Parque Nacional e terra indígena Raposa-Serra do Sol. Ambient. soc. vol.5, n.2, pp. 165-189, 2003. Disponível em:</w:t>
      </w:r>
    </w:p>
    <w:p w:rsidR="00D81F69" w:rsidRDefault="00D81F69">
      <w:pPr>
        <w:spacing w:before="3" w:line="312" w:lineRule="auto"/>
        <w:ind w:left="100" w:right="253"/>
        <w:jc w:val="both"/>
        <w:rPr>
          <w:sz w:val="16"/>
        </w:rPr>
      </w:pPr>
      <w:hyperlink r:id="rId514">
        <w:r w:rsidR="00330118">
          <w:rPr>
            <w:sz w:val="16"/>
          </w:rPr>
          <w:t xml:space="preserve">&lt;http://www.scielo.br/pdf/asoc/v5n2/a10v5n2.pdf&gt;. </w:t>
        </w:r>
      </w:hyperlink>
      <w:r w:rsidR="00330118">
        <w:rPr>
          <w:sz w:val="16"/>
        </w:rPr>
        <w:t>Acesso em: 06 Jun. 2013.</w:t>
      </w:r>
    </w:p>
    <w:p w:rsidR="00D81F69" w:rsidRDefault="00330118">
      <w:pPr>
        <w:spacing w:before="2" w:line="312" w:lineRule="auto"/>
        <w:ind w:left="100" w:right="210"/>
        <w:jc w:val="both"/>
        <w:rPr>
          <w:sz w:val="16"/>
        </w:rPr>
      </w:pPr>
      <w:r>
        <w:rPr>
          <w:sz w:val="16"/>
        </w:rPr>
        <w:t xml:space="preserve">POVOS INDÍGENAS NO BRASIL. Garimpagem pelos próprios índios. </w:t>
      </w:r>
      <w:r>
        <w:rPr>
          <w:spacing w:val="25"/>
          <w:sz w:val="16"/>
        </w:rPr>
        <w:t>Instituto</w:t>
      </w:r>
      <w:r>
        <w:rPr>
          <w:spacing w:val="95"/>
          <w:sz w:val="16"/>
        </w:rPr>
        <w:t xml:space="preserve"> </w:t>
      </w:r>
      <w:r>
        <w:rPr>
          <w:spacing w:val="27"/>
          <w:sz w:val="16"/>
        </w:rPr>
        <w:t xml:space="preserve">Socioambiental, </w:t>
      </w:r>
      <w:r>
        <w:rPr>
          <w:spacing w:val="23"/>
          <w:sz w:val="16"/>
        </w:rPr>
        <w:t xml:space="preserve">2011. </w:t>
      </w:r>
      <w:r>
        <w:rPr>
          <w:spacing w:val="26"/>
          <w:sz w:val="16"/>
        </w:rPr>
        <w:t>Disponível</w:t>
      </w:r>
      <w:r>
        <w:rPr>
          <w:spacing w:val="25"/>
          <w:sz w:val="16"/>
        </w:rPr>
        <w:t xml:space="preserve"> </w:t>
      </w:r>
      <w:r>
        <w:rPr>
          <w:spacing w:val="20"/>
          <w:sz w:val="16"/>
        </w:rPr>
        <w:t>em:</w:t>
      </w:r>
      <w:r>
        <w:rPr>
          <w:spacing w:val="-14"/>
          <w:sz w:val="16"/>
        </w:rPr>
        <w:t xml:space="preserve"> </w:t>
      </w:r>
    </w:p>
    <w:p w:rsidR="00D81F69" w:rsidRDefault="00D81F69">
      <w:pPr>
        <w:spacing w:before="1" w:line="312" w:lineRule="auto"/>
        <w:ind w:left="100" w:right="248"/>
        <w:jc w:val="both"/>
        <w:rPr>
          <w:sz w:val="16"/>
        </w:rPr>
      </w:pPr>
      <w:hyperlink r:id="rId515">
        <w:r w:rsidR="00330118">
          <w:rPr>
            <w:sz w:val="16"/>
          </w:rPr>
          <w:t>&lt;http://pib.socioambiental.org/pt/c/terras-indigenas/atividades-</w:t>
        </w:r>
      </w:hyperlink>
      <w:r w:rsidR="00330118">
        <w:rPr>
          <w:sz w:val="16"/>
        </w:rPr>
        <w:t xml:space="preserve"> economicas/garimpagem-pelos-proprios-indios&gt;. Acesso em: 22 de dez. 2011.</w:t>
      </w:r>
    </w:p>
    <w:p w:rsidR="00D81F69" w:rsidRDefault="00330118">
      <w:pPr>
        <w:spacing w:before="3" w:line="312" w:lineRule="auto"/>
        <w:ind w:left="100" w:right="226"/>
        <w:jc w:val="both"/>
        <w:rPr>
          <w:sz w:val="16"/>
        </w:rPr>
      </w:pPr>
      <w:r>
        <w:rPr>
          <w:sz w:val="16"/>
        </w:rPr>
        <w:t>RAMOS, Wirismar. Escudo Dourado – Exército e P</w:t>
      </w:r>
      <w:r>
        <w:rPr>
          <w:sz w:val="16"/>
        </w:rPr>
        <w:t>F contra garimpos ilegais em áreas indígenas. In: Fato Real. Disponível em:</w:t>
      </w:r>
    </w:p>
    <w:p w:rsidR="00D81F69" w:rsidRDefault="00D81F69">
      <w:pPr>
        <w:spacing w:before="1" w:line="312" w:lineRule="auto"/>
        <w:ind w:left="100" w:right="239"/>
        <w:jc w:val="both"/>
        <w:rPr>
          <w:sz w:val="16"/>
        </w:rPr>
      </w:pPr>
      <w:hyperlink r:id="rId516">
        <w:r w:rsidR="00330118">
          <w:rPr>
            <w:sz w:val="16"/>
          </w:rPr>
          <w:t>&lt;http://www.fatoreal.blog.br/geral/escudo-dourado-exercito-e-pf-</w:t>
        </w:r>
      </w:hyperlink>
      <w:r w:rsidR="00330118">
        <w:rPr>
          <w:sz w:val="16"/>
        </w:rPr>
        <w:t xml:space="preserve"> contra-garimpos-ilegais-em-areas-indigenas/&gt;. Acesso em: 22 de dez. 2011.</w:t>
      </w:r>
    </w:p>
    <w:p w:rsidR="00D81F69" w:rsidRDefault="00330118">
      <w:pPr>
        <w:spacing w:before="3" w:line="312" w:lineRule="auto"/>
        <w:ind w:left="100" w:right="233"/>
        <w:jc w:val="both"/>
        <w:rPr>
          <w:sz w:val="16"/>
        </w:rPr>
      </w:pPr>
      <w:r>
        <w:rPr>
          <w:sz w:val="16"/>
        </w:rPr>
        <w:t>ROSENFIELD, Denis Lerrer. Estado de Direito e questão indígena. O Estado de  São  Paulo, São  Paulo, 12  set.  2011. Disponível  em:</w:t>
      </w:r>
    </w:p>
    <w:p w:rsidR="00D81F69" w:rsidRDefault="00D81F69">
      <w:pPr>
        <w:spacing w:before="1" w:line="312" w:lineRule="auto"/>
        <w:ind w:left="100" w:right="211"/>
        <w:rPr>
          <w:sz w:val="16"/>
        </w:rPr>
      </w:pPr>
      <w:hyperlink r:id="rId517">
        <w:r w:rsidR="00330118">
          <w:rPr>
            <w:sz w:val="16"/>
          </w:rPr>
          <w:t>&lt;http://www.estadao.com.br/noticias/impresso,estado-de-direito-e-</w:t>
        </w:r>
      </w:hyperlink>
      <w:r w:rsidR="00330118">
        <w:rPr>
          <w:sz w:val="16"/>
        </w:rPr>
        <w:t xml:space="preserve"> questao-indigena,771265,0.htm&gt;. Acesso em: 22 de dez. 2011. SILVA, Luis Cláudio; BRAGA, Yaharra da Costa. Terra indígena Raposa Serra do Sol. As estratégi</w:t>
      </w:r>
      <w:r w:rsidR="00330118">
        <w:rPr>
          <w:sz w:val="16"/>
        </w:rPr>
        <w:t xml:space="preserve">as das ONGs indígenas no setentrião brasileiro. Revista de Administração de Roraima. Roraima, Ed.   1,   v.   11,   p.   121-144,   2011.   Disponível em: </w:t>
      </w:r>
    </w:p>
    <w:p w:rsidR="00D81F69" w:rsidRDefault="00D81F69">
      <w:pPr>
        <w:spacing w:before="5" w:line="312" w:lineRule="auto"/>
        <w:ind w:left="100" w:right="233"/>
        <w:jc w:val="both"/>
        <w:rPr>
          <w:sz w:val="16"/>
        </w:rPr>
      </w:pPr>
      <w:hyperlink r:id="rId518">
        <w:r w:rsidR="00330118">
          <w:rPr>
            <w:sz w:val="16"/>
          </w:rPr>
          <w:t>&lt;http://ufrr.br/r</w:t>
        </w:r>
        <w:r w:rsidR="00330118">
          <w:rPr>
            <w:sz w:val="16"/>
          </w:rPr>
          <w:t>evista/index.php/adminrr/article/viewFile/579/596&gt;.</w:t>
        </w:r>
      </w:hyperlink>
      <w:r w:rsidR="00330118">
        <w:rPr>
          <w:sz w:val="16"/>
        </w:rPr>
        <w:t xml:space="preserve"> Acesso em: 22 de dez. 2011.</w:t>
      </w:r>
    </w:p>
    <w:p w:rsidR="00D81F69" w:rsidRDefault="00330118">
      <w:pPr>
        <w:spacing w:before="2" w:line="312" w:lineRule="auto"/>
        <w:ind w:left="100" w:right="205"/>
        <w:jc w:val="both"/>
        <w:rPr>
          <w:sz w:val="16"/>
        </w:rPr>
      </w:pPr>
      <w:r>
        <w:rPr>
          <w:sz w:val="16"/>
        </w:rPr>
        <w:t xml:space="preserve">SUSUKY, Natália. As condições da Raposa Serra do Sol. Le Monde </w:t>
      </w:r>
      <w:r>
        <w:rPr>
          <w:spacing w:val="31"/>
          <w:sz w:val="16"/>
        </w:rPr>
        <w:t xml:space="preserve">Diplomatique, </w:t>
      </w:r>
      <w:r>
        <w:rPr>
          <w:spacing w:val="16"/>
          <w:sz w:val="16"/>
        </w:rPr>
        <w:t xml:space="preserve">24 </w:t>
      </w:r>
      <w:r>
        <w:rPr>
          <w:spacing w:val="25"/>
          <w:sz w:val="16"/>
        </w:rPr>
        <w:t>mar.</w:t>
      </w:r>
      <w:r>
        <w:rPr>
          <w:spacing w:val="95"/>
          <w:sz w:val="16"/>
        </w:rPr>
        <w:t xml:space="preserve"> </w:t>
      </w:r>
      <w:r>
        <w:rPr>
          <w:spacing w:val="27"/>
          <w:sz w:val="16"/>
        </w:rPr>
        <w:t xml:space="preserve">2009. </w:t>
      </w:r>
      <w:r>
        <w:rPr>
          <w:spacing w:val="30"/>
          <w:sz w:val="16"/>
        </w:rPr>
        <w:t xml:space="preserve">Disponível </w:t>
      </w:r>
      <w:r>
        <w:rPr>
          <w:spacing w:val="22"/>
          <w:sz w:val="16"/>
        </w:rPr>
        <w:t>em:</w:t>
      </w:r>
      <w:r>
        <w:rPr>
          <w:spacing w:val="-10"/>
          <w:sz w:val="16"/>
        </w:rPr>
        <w:t xml:space="preserve"> </w:t>
      </w:r>
    </w:p>
    <w:p w:rsidR="00D81F69" w:rsidRDefault="00D81F69">
      <w:pPr>
        <w:spacing w:before="2" w:line="312" w:lineRule="auto"/>
        <w:ind w:left="100" w:right="239"/>
        <w:jc w:val="both"/>
        <w:rPr>
          <w:sz w:val="16"/>
        </w:rPr>
      </w:pPr>
      <w:hyperlink r:id="rId519">
        <w:r w:rsidR="00330118">
          <w:rPr>
            <w:sz w:val="16"/>
          </w:rPr>
          <w:t>&lt;http://d</w:t>
        </w:r>
        <w:r w:rsidR="00330118">
          <w:rPr>
            <w:sz w:val="16"/>
          </w:rPr>
          <w:t xml:space="preserve">iplo.wordpress.com/2009/03/24/487/&gt;. </w:t>
        </w:r>
      </w:hyperlink>
      <w:r w:rsidR="00330118">
        <w:rPr>
          <w:sz w:val="16"/>
        </w:rPr>
        <w:t>Acesso em: 22 de dez. 2011.</w:t>
      </w:r>
    </w:p>
    <w:p w:rsidR="00D81F69" w:rsidRDefault="00330118">
      <w:pPr>
        <w:spacing w:before="1" w:line="312" w:lineRule="auto"/>
        <w:ind w:left="100" w:right="223"/>
        <w:jc w:val="both"/>
        <w:rPr>
          <w:sz w:val="16"/>
        </w:rPr>
      </w:pPr>
      <w:r>
        <w:rPr>
          <w:sz w:val="16"/>
        </w:rPr>
        <w:t xml:space="preserve">TRAJANO, Andrezza. Operação retira estrangeiros de reserva. Folha de Boa Vista. Boa Vista, 22 set. 2009. Disponível em: </w:t>
      </w:r>
    </w:p>
    <w:p w:rsidR="00D81F69" w:rsidRDefault="00D81F69">
      <w:pPr>
        <w:spacing w:before="2" w:line="312" w:lineRule="auto"/>
        <w:ind w:left="100" w:right="256"/>
        <w:jc w:val="both"/>
        <w:rPr>
          <w:sz w:val="16"/>
        </w:rPr>
      </w:pPr>
      <w:hyperlink r:id="rId520">
        <w:r w:rsidR="00330118">
          <w:rPr>
            <w:sz w:val="16"/>
          </w:rPr>
          <w:t xml:space="preserve">&lt;http://www.folhabv.com.br/Noticia_Impressa.php?id=72676&gt; </w:t>
        </w:r>
      </w:hyperlink>
      <w:r w:rsidR="00330118">
        <w:rPr>
          <w:sz w:val="16"/>
        </w:rPr>
        <w:t>Acesso em: 22 de dez. 2011.</w:t>
      </w:r>
    </w:p>
    <w:p w:rsidR="00D81F69" w:rsidRDefault="00D81F69">
      <w:pPr>
        <w:spacing w:line="312" w:lineRule="auto"/>
        <w:jc w:val="both"/>
        <w:rPr>
          <w:sz w:val="16"/>
        </w:rPr>
        <w:sectPr w:rsidR="00D81F69">
          <w:pgSz w:w="11900" w:h="16840"/>
          <w:pgMar w:top="740" w:right="460" w:bottom="720" w:left="620" w:header="0" w:footer="402" w:gutter="0"/>
          <w:cols w:num="2" w:space="720" w:equalWidth="0">
            <w:col w:w="5240" w:space="230"/>
            <w:col w:w="5350"/>
          </w:cols>
        </w:sectPr>
      </w:pPr>
    </w:p>
    <w:p w:rsidR="00D81F69" w:rsidRDefault="00330118">
      <w:pPr>
        <w:pStyle w:val="Heading1"/>
        <w:tabs>
          <w:tab w:val="left" w:pos="2088"/>
          <w:tab w:val="left" w:pos="2489"/>
          <w:tab w:val="left" w:pos="3300"/>
          <w:tab w:val="left" w:pos="3433"/>
          <w:tab w:val="left" w:pos="4133"/>
          <w:tab w:val="left" w:pos="5245"/>
          <w:tab w:val="left" w:pos="5300"/>
          <w:tab w:val="left" w:pos="6534"/>
          <w:tab w:val="left" w:pos="8812"/>
          <w:tab w:val="left" w:pos="9534"/>
        </w:tabs>
        <w:spacing w:line="208" w:lineRule="auto"/>
        <w:ind w:right="239"/>
      </w:pPr>
      <w:r>
        <w:rPr>
          <w:spacing w:val="17"/>
        </w:rPr>
        <w:lastRenderedPageBreak/>
        <w:t>Garimpo</w:t>
      </w:r>
      <w:r>
        <w:rPr>
          <w:spacing w:val="17"/>
        </w:rPr>
        <w:tab/>
      </w:r>
      <w:r>
        <w:rPr>
          <w:spacing w:val="16"/>
        </w:rPr>
        <w:t>ilegal</w:t>
      </w:r>
      <w:r>
        <w:rPr>
          <w:spacing w:val="16"/>
        </w:rPr>
        <w:tab/>
      </w:r>
      <w:r>
        <w:rPr>
          <w:spacing w:val="16"/>
        </w:rPr>
        <w:tab/>
      </w:r>
      <w:r>
        <w:rPr>
          <w:spacing w:val="10"/>
        </w:rPr>
        <w:t>de</w:t>
      </w:r>
      <w:r>
        <w:rPr>
          <w:spacing w:val="10"/>
        </w:rPr>
        <w:tab/>
      </w:r>
      <w:r>
        <w:rPr>
          <w:spacing w:val="15"/>
        </w:rPr>
        <w:t>ouro</w:t>
      </w:r>
      <w:r>
        <w:rPr>
          <w:spacing w:val="15"/>
        </w:rPr>
        <w:tab/>
      </w:r>
      <w:r>
        <w:rPr>
          <w:spacing w:val="15"/>
        </w:rPr>
        <w:tab/>
        <w:t>afeta</w:t>
      </w:r>
      <w:r>
        <w:rPr>
          <w:spacing w:val="15"/>
        </w:rPr>
        <w:tab/>
      </w:r>
      <w:r>
        <w:rPr>
          <w:spacing w:val="17"/>
        </w:rPr>
        <w:t>soberania</w:t>
      </w:r>
      <w:r>
        <w:rPr>
          <w:spacing w:val="17"/>
        </w:rPr>
        <w:tab/>
      </w:r>
      <w:r>
        <w:rPr>
          <w:spacing w:val="10"/>
        </w:rPr>
        <w:t>do</w:t>
      </w:r>
      <w:r>
        <w:rPr>
          <w:spacing w:val="10"/>
        </w:rPr>
        <w:tab/>
      </w:r>
      <w:r>
        <w:rPr>
          <w:spacing w:val="20"/>
        </w:rPr>
        <w:t xml:space="preserve">povo </w:t>
      </w:r>
      <w:r>
        <w:rPr>
          <w:spacing w:val="17"/>
        </w:rPr>
        <w:t>Yanomami</w:t>
      </w:r>
      <w:r>
        <w:rPr>
          <w:spacing w:val="17"/>
        </w:rPr>
        <w:tab/>
      </w:r>
      <w:r>
        <w:rPr>
          <w:spacing w:val="10"/>
        </w:rPr>
        <w:t>em</w:t>
      </w:r>
      <w:r>
        <w:rPr>
          <w:spacing w:val="10"/>
        </w:rPr>
        <w:tab/>
      </w:r>
      <w:r>
        <w:rPr>
          <w:spacing w:val="17"/>
        </w:rPr>
        <w:t>Roraima</w:t>
      </w:r>
      <w:r>
        <w:rPr>
          <w:spacing w:val="17"/>
        </w:rPr>
        <w:tab/>
      </w:r>
      <w:r>
        <w:rPr>
          <w:spacing w:val="20"/>
        </w:rPr>
        <w:t>(RR)</w:t>
      </w:r>
    </w:p>
    <w:p w:rsidR="00D81F69" w:rsidRDefault="00D81F69">
      <w:pPr>
        <w:pStyle w:val="Corpodetexto"/>
        <w:ind w:left="0"/>
        <w:jc w:val="left"/>
        <w:rPr>
          <w:b/>
          <w:sz w:val="20"/>
        </w:rPr>
      </w:pPr>
    </w:p>
    <w:p w:rsidR="00D81F69" w:rsidRDefault="00D81F69">
      <w:pPr>
        <w:rPr>
          <w:sz w:val="20"/>
        </w:rPr>
        <w:sectPr w:rsidR="00D81F69">
          <w:pgSz w:w="11900" w:h="16840"/>
          <w:pgMar w:top="1080" w:right="460" w:bottom="6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38"/>
        <w:rPr>
          <w:i/>
          <w:sz w:val="14"/>
        </w:rPr>
      </w:pPr>
      <w:r>
        <w:rPr>
          <w:i/>
          <w:sz w:val="14"/>
        </w:rPr>
        <w:t xml:space="preserve">RR - Alto Alegre </w:t>
      </w:r>
      <w:r>
        <w:rPr>
          <w:i/>
          <w:sz w:val="14"/>
        </w:rPr>
        <w:t>RR - Amajari RR - Caracaraí RR - Iracema RR - Mucajaí</w:t>
      </w:r>
    </w:p>
    <w:p w:rsidR="00D81F69" w:rsidRDefault="00D81F69">
      <w:pPr>
        <w:pStyle w:val="Corpodetexto"/>
        <w:spacing w:before="7"/>
        <w:ind w:left="0"/>
        <w:jc w:val="left"/>
        <w:rPr>
          <w:i/>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-3,3505</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-61,9908</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4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pacing w:val="2"/>
          <w:sz w:val="16"/>
        </w:rPr>
        <w:t xml:space="preserve">Os </w:t>
      </w:r>
      <w:r>
        <w:rPr>
          <w:i/>
          <w:spacing w:val="5"/>
          <w:sz w:val="16"/>
        </w:rPr>
        <w:t xml:space="preserve">Yanomami ocupam </w:t>
      </w:r>
      <w:r>
        <w:rPr>
          <w:i/>
          <w:spacing w:val="3"/>
          <w:sz w:val="16"/>
        </w:rPr>
        <w:t xml:space="preserve">uma </w:t>
      </w:r>
      <w:r>
        <w:rPr>
          <w:i/>
          <w:spacing w:val="5"/>
          <w:sz w:val="16"/>
        </w:rPr>
        <w:t xml:space="preserve">área </w:t>
      </w:r>
      <w:r>
        <w:rPr>
          <w:i/>
          <w:spacing w:val="6"/>
          <w:sz w:val="16"/>
        </w:rPr>
        <w:t xml:space="preserve">de </w:t>
      </w:r>
      <w:r>
        <w:rPr>
          <w:i/>
          <w:spacing w:val="5"/>
          <w:sz w:val="16"/>
        </w:rPr>
        <w:t xml:space="preserve">9.664.975 hectares, </w:t>
      </w:r>
      <w:r>
        <w:rPr>
          <w:i/>
          <w:spacing w:val="3"/>
          <w:sz w:val="16"/>
        </w:rPr>
        <w:t xml:space="preserve">nos </w:t>
      </w:r>
      <w:r>
        <w:rPr>
          <w:i/>
          <w:spacing w:val="5"/>
          <w:sz w:val="16"/>
        </w:rPr>
        <w:t xml:space="preserve">estados </w:t>
      </w:r>
      <w:r>
        <w:rPr>
          <w:i/>
          <w:spacing w:val="6"/>
          <w:sz w:val="16"/>
        </w:rPr>
        <w:t xml:space="preserve">do </w:t>
      </w:r>
      <w:r>
        <w:rPr>
          <w:i/>
          <w:spacing w:val="3"/>
          <w:sz w:val="16"/>
        </w:rPr>
        <w:t xml:space="preserve">Amazonas </w:t>
      </w:r>
      <w:r>
        <w:rPr>
          <w:i/>
          <w:sz w:val="16"/>
        </w:rPr>
        <w:t xml:space="preserve">e </w:t>
      </w:r>
      <w:r>
        <w:rPr>
          <w:i/>
          <w:spacing w:val="1"/>
          <w:sz w:val="16"/>
        </w:rPr>
        <w:t xml:space="preserve">de </w:t>
      </w:r>
      <w:r>
        <w:rPr>
          <w:i/>
          <w:spacing w:val="3"/>
          <w:sz w:val="16"/>
        </w:rPr>
        <w:t xml:space="preserve">Roraima, </w:t>
      </w:r>
      <w:r>
        <w:rPr>
          <w:i/>
          <w:spacing w:val="5"/>
          <w:sz w:val="16"/>
        </w:rPr>
        <w:t xml:space="preserve">abrangendo </w:t>
      </w:r>
      <w:r>
        <w:rPr>
          <w:i/>
          <w:spacing w:val="7"/>
          <w:sz w:val="16"/>
        </w:rPr>
        <w:t xml:space="preserve">neste último </w:t>
      </w:r>
      <w:r>
        <w:rPr>
          <w:i/>
          <w:spacing w:val="5"/>
          <w:sz w:val="16"/>
        </w:rPr>
        <w:t xml:space="preserve">os </w:t>
      </w:r>
      <w:r>
        <w:rPr>
          <w:i/>
          <w:spacing w:val="8"/>
          <w:sz w:val="16"/>
        </w:rPr>
        <w:t xml:space="preserve">municípios </w:t>
      </w:r>
      <w:r>
        <w:rPr>
          <w:i/>
          <w:spacing w:val="5"/>
          <w:sz w:val="16"/>
        </w:rPr>
        <w:t xml:space="preserve">de </w:t>
      </w:r>
      <w:r>
        <w:rPr>
          <w:i/>
          <w:spacing w:val="10"/>
          <w:sz w:val="16"/>
        </w:rPr>
        <w:t xml:space="preserve">Alto </w:t>
      </w:r>
      <w:r>
        <w:rPr>
          <w:i/>
          <w:spacing w:val="1"/>
          <w:sz w:val="16"/>
        </w:rPr>
        <w:t xml:space="preserve">Alegre, Mucajaí, Iracema, Caracaraí </w:t>
      </w:r>
      <w:r>
        <w:rPr>
          <w:i/>
          <w:sz w:val="16"/>
        </w:rPr>
        <w:t xml:space="preserve">e Amajari. Suas terras foram demarcadas e homologadas em 1992, mas, até hoje, são invadidas por garimpeiros em busca </w:t>
      </w:r>
      <w:r>
        <w:rPr>
          <w:i/>
          <w:spacing w:val="6"/>
          <w:sz w:val="16"/>
        </w:rPr>
        <w:t xml:space="preserve">de </w:t>
      </w:r>
      <w:r>
        <w:rPr>
          <w:i/>
          <w:spacing w:val="11"/>
          <w:sz w:val="16"/>
        </w:rPr>
        <w:t xml:space="preserve">ouro, </w:t>
      </w:r>
      <w:r>
        <w:rPr>
          <w:i/>
          <w:spacing w:val="12"/>
          <w:sz w:val="16"/>
        </w:rPr>
        <w:t xml:space="preserve">impactando </w:t>
      </w:r>
      <w:r>
        <w:rPr>
          <w:i/>
          <w:sz w:val="16"/>
        </w:rPr>
        <w:t xml:space="preserve">a </w:t>
      </w:r>
      <w:r>
        <w:rPr>
          <w:i/>
          <w:spacing w:val="11"/>
          <w:sz w:val="16"/>
        </w:rPr>
        <w:t xml:space="preserve">saúde, </w:t>
      </w:r>
      <w:r>
        <w:rPr>
          <w:i/>
          <w:sz w:val="16"/>
        </w:rPr>
        <w:t>a subsistência</w:t>
      </w:r>
      <w:r>
        <w:rPr>
          <w:i/>
          <w:spacing w:val="15"/>
          <w:sz w:val="16"/>
        </w:rPr>
        <w:t xml:space="preserve"> </w:t>
      </w:r>
      <w:r>
        <w:rPr>
          <w:i/>
          <w:sz w:val="16"/>
        </w:rPr>
        <w:t>e</w:t>
      </w:r>
      <w:r>
        <w:rPr>
          <w:i/>
          <w:spacing w:val="15"/>
          <w:sz w:val="16"/>
        </w:rPr>
        <w:t xml:space="preserve"> </w:t>
      </w:r>
      <w:r>
        <w:rPr>
          <w:i/>
          <w:sz w:val="16"/>
        </w:rPr>
        <w:t>o</w:t>
      </w:r>
      <w:r>
        <w:rPr>
          <w:i/>
          <w:spacing w:val="15"/>
          <w:sz w:val="16"/>
        </w:rPr>
        <w:t xml:space="preserve"> </w:t>
      </w:r>
      <w:r>
        <w:rPr>
          <w:i/>
          <w:sz w:val="16"/>
        </w:rPr>
        <w:t>modo</w:t>
      </w:r>
      <w:r>
        <w:rPr>
          <w:i/>
          <w:spacing w:val="15"/>
          <w:sz w:val="16"/>
        </w:rPr>
        <w:t xml:space="preserve"> </w:t>
      </w:r>
      <w:r>
        <w:rPr>
          <w:i/>
          <w:sz w:val="16"/>
        </w:rPr>
        <w:t>de</w:t>
      </w:r>
      <w:r>
        <w:rPr>
          <w:i/>
          <w:spacing w:val="15"/>
          <w:sz w:val="16"/>
        </w:rPr>
        <w:t xml:space="preserve"> </w:t>
      </w:r>
      <w:r>
        <w:rPr>
          <w:i/>
          <w:sz w:val="16"/>
        </w:rPr>
        <w:t>vida</w:t>
      </w:r>
      <w:r>
        <w:rPr>
          <w:i/>
          <w:spacing w:val="15"/>
          <w:sz w:val="16"/>
        </w:rPr>
        <w:t xml:space="preserve"> </w:t>
      </w:r>
      <w:r>
        <w:rPr>
          <w:i/>
          <w:sz w:val="16"/>
        </w:rPr>
        <w:t>da</w:t>
      </w:r>
      <w:r>
        <w:rPr>
          <w:i/>
          <w:spacing w:val="15"/>
          <w:sz w:val="16"/>
        </w:rPr>
        <w:t xml:space="preserve"> </w:t>
      </w:r>
      <w:r>
        <w:rPr>
          <w:i/>
          <w:sz w:val="16"/>
        </w:rPr>
        <w:t>etnia.</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4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ind w:left="135"/>
        <w:jc w:val="left"/>
      </w:pPr>
      <w:r>
        <w:t>e 1991 (MACMILLAN, 1995 apud</w:t>
      </w:r>
      <w:r>
        <w:t xml:space="preserve"> SANTOS; DINIZ, 2004).</w:t>
      </w:r>
    </w:p>
    <w:p w:rsidR="00D81F69" w:rsidRDefault="00D81F69">
      <w:pPr>
        <w:pStyle w:val="Corpodetexto"/>
        <w:spacing w:before="8"/>
        <w:ind w:left="0"/>
        <w:jc w:val="left"/>
        <w:rPr>
          <w:sz w:val="16"/>
        </w:rPr>
      </w:pPr>
    </w:p>
    <w:p w:rsidR="00D81F69" w:rsidRDefault="00330118">
      <w:pPr>
        <w:pStyle w:val="Corpodetexto"/>
        <w:spacing w:before="1" w:line="312" w:lineRule="auto"/>
        <w:ind w:left="135" w:right="234"/>
      </w:pPr>
      <w:r>
        <w:t>O ingresso de milhares de garimpeiros em território Yanomami teve grande impacto sobre a etnia, não só por causa da violência e do choque epidemiológico que causou, mas também pelas transformações do modo de vida e do sistema produt</w:t>
      </w:r>
      <w:r>
        <w:t>ivo que induziram (ALBERT 1990, 1994 apud LE TOURNEAU; ALBERT, 2005).</w:t>
      </w:r>
    </w:p>
    <w:p w:rsidR="00D81F69" w:rsidRDefault="00330118">
      <w:pPr>
        <w:pStyle w:val="Corpodetexto"/>
        <w:spacing w:before="135" w:line="312" w:lineRule="auto"/>
        <w:ind w:left="135" w:right="219"/>
      </w:pPr>
      <w:r>
        <w:t xml:space="preserve">No aspecto de saúde, o reflexo imediato foi o brusco aumento do fluxo de pacientes da etnia para atendimento médico na Casa do Índio de Boa Vista (CIBV), pertencente à Fundação </w:t>
      </w:r>
      <w:r>
        <w:rPr>
          <w:spacing w:val="13"/>
        </w:rPr>
        <w:t xml:space="preserve">Nacional </w:t>
      </w:r>
      <w:r>
        <w:rPr>
          <w:spacing w:val="7"/>
        </w:rPr>
        <w:t xml:space="preserve">do </w:t>
      </w:r>
      <w:r>
        <w:rPr>
          <w:spacing w:val="12"/>
        </w:rPr>
        <w:t xml:space="preserve">Índio </w:t>
      </w:r>
      <w:r>
        <w:rPr>
          <w:spacing w:val="13"/>
        </w:rPr>
        <w:t xml:space="preserve">(Funai), </w:t>
      </w:r>
      <w:r>
        <w:rPr>
          <w:spacing w:val="7"/>
        </w:rPr>
        <w:t xml:space="preserve">em </w:t>
      </w:r>
      <w:r>
        <w:rPr>
          <w:spacing w:val="13"/>
        </w:rPr>
        <w:t>Roraima</w:t>
      </w:r>
      <w:r>
        <w:rPr>
          <w:spacing w:val="71"/>
        </w:rPr>
        <w:t xml:space="preserve"> </w:t>
      </w:r>
      <w:r>
        <w:rPr>
          <w:spacing w:val="13"/>
        </w:rPr>
        <w:t>(PITHAN,</w:t>
      </w:r>
      <w:r>
        <w:rPr>
          <w:spacing w:val="-32"/>
        </w:rPr>
        <w:t xml:space="preserve"> </w:t>
      </w:r>
    </w:p>
    <w:p w:rsidR="00D81F69" w:rsidRDefault="00D81F69">
      <w:pPr>
        <w:spacing w:line="312" w:lineRule="auto"/>
        <w:sectPr w:rsidR="00D81F69">
          <w:type w:val="continuous"/>
          <w:pgSz w:w="11900" w:h="16840"/>
          <w:pgMar w:top="720" w:right="460" w:bottom="280" w:left="620" w:header="720" w:footer="720" w:gutter="0"/>
          <w:cols w:num="3" w:space="720" w:equalWidth="0">
            <w:col w:w="1187" w:space="813"/>
            <w:col w:w="3116" w:space="319"/>
            <w:col w:w="5385"/>
          </w:cols>
        </w:sectPr>
      </w:pPr>
    </w:p>
    <w:p w:rsidR="00D81F69" w:rsidRDefault="00330118">
      <w:pPr>
        <w:pStyle w:val="Heading4"/>
        <w:spacing w:line="234" w:lineRule="exact"/>
        <w:jc w:val="left"/>
      </w:pPr>
      <w:r>
        <w:lastRenderedPageBreak/>
        <w:t>APRESENTAÇÃO DE CASO</w:t>
      </w:r>
    </w:p>
    <w:p w:rsidR="00D81F69" w:rsidRDefault="00330118">
      <w:pPr>
        <w:pStyle w:val="Corpodetexto"/>
        <w:spacing w:before="170" w:line="312" w:lineRule="auto"/>
        <w:ind w:right="94"/>
      </w:pPr>
      <w:r>
        <w:t>No estado de Roraima, 90% dos recursos minerais ocorrem em parques florestais, reservas ecológicas e terras indígenas. Estas ocupam 45,18% da área total do estado (</w:t>
      </w:r>
      <w:r>
        <w:t xml:space="preserve">IBGE, 2009).  A </w:t>
      </w:r>
      <w:r>
        <w:rPr>
          <w:spacing w:val="3"/>
        </w:rPr>
        <w:t xml:space="preserve">área </w:t>
      </w:r>
      <w:r>
        <w:rPr>
          <w:spacing w:val="5"/>
        </w:rPr>
        <w:t xml:space="preserve">indígena Yanomami, </w:t>
      </w:r>
      <w:r>
        <w:rPr>
          <w:spacing w:val="3"/>
        </w:rPr>
        <w:t xml:space="preserve">com </w:t>
      </w:r>
      <w:r>
        <w:rPr>
          <w:spacing w:val="5"/>
        </w:rPr>
        <w:t xml:space="preserve">extensão </w:t>
      </w:r>
      <w:r>
        <w:rPr>
          <w:spacing w:val="2"/>
        </w:rPr>
        <w:t xml:space="preserve">de </w:t>
      </w:r>
      <w:r>
        <w:rPr>
          <w:spacing w:val="5"/>
        </w:rPr>
        <w:t>9.664.975</w:t>
      </w:r>
      <w:r>
        <w:rPr>
          <w:spacing w:val="61"/>
        </w:rPr>
        <w:t xml:space="preserve"> </w:t>
      </w:r>
      <w:r>
        <w:rPr>
          <w:spacing w:val="6"/>
        </w:rPr>
        <w:t xml:space="preserve">hectares, </w:t>
      </w:r>
      <w:r>
        <w:rPr>
          <w:spacing w:val="5"/>
        </w:rPr>
        <w:t xml:space="preserve">está </w:t>
      </w:r>
      <w:r>
        <w:rPr>
          <w:spacing w:val="6"/>
        </w:rPr>
        <w:t xml:space="preserve">localizada </w:t>
      </w:r>
      <w:r>
        <w:rPr>
          <w:spacing w:val="3"/>
        </w:rPr>
        <w:t xml:space="preserve">no </w:t>
      </w:r>
      <w:r>
        <w:rPr>
          <w:spacing w:val="6"/>
        </w:rPr>
        <w:t xml:space="preserve">Amazonas </w:t>
      </w:r>
      <w:r>
        <w:t xml:space="preserve">e </w:t>
      </w:r>
      <w:r>
        <w:rPr>
          <w:spacing w:val="3"/>
        </w:rPr>
        <w:t xml:space="preserve">em </w:t>
      </w:r>
      <w:r>
        <w:rPr>
          <w:spacing w:val="7"/>
        </w:rPr>
        <w:t xml:space="preserve">Roraima, </w:t>
      </w:r>
      <w:r>
        <w:rPr>
          <w:spacing w:val="6"/>
        </w:rPr>
        <w:t xml:space="preserve">ocupando, </w:t>
      </w:r>
      <w:r>
        <w:rPr>
          <w:spacing w:val="5"/>
        </w:rPr>
        <w:t xml:space="preserve">neste estado, </w:t>
      </w:r>
      <w:r>
        <w:rPr>
          <w:spacing w:val="3"/>
        </w:rPr>
        <w:t xml:space="preserve">os </w:t>
      </w:r>
      <w:r>
        <w:rPr>
          <w:spacing w:val="6"/>
        </w:rPr>
        <w:t xml:space="preserve">municípios </w:t>
      </w:r>
      <w:r>
        <w:rPr>
          <w:spacing w:val="3"/>
        </w:rPr>
        <w:t xml:space="preserve">de </w:t>
      </w:r>
      <w:r>
        <w:rPr>
          <w:spacing w:val="5"/>
        </w:rPr>
        <w:t xml:space="preserve">Alto </w:t>
      </w:r>
      <w:r>
        <w:rPr>
          <w:spacing w:val="7"/>
        </w:rPr>
        <w:t xml:space="preserve">Alegre, </w:t>
      </w:r>
      <w:r>
        <w:rPr>
          <w:spacing w:val="1"/>
        </w:rPr>
        <w:t xml:space="preserve">Mucajaí, Iracema, Caracaraí </w:t>
      </w:r>
      <w:r>
        <w:t xml:space="preserve">e </w:t>
      </w:r>
      <w:r>
        <w:rPr>
          <w:spacing w:val="1"/>
        </w:rPr>
        <w:t xml:space="preserve">Amajari, </w:t>
      </w:r>
      <w:r>
        <w:t xml:space="preserve">na </w:t>
      </w:r>
      <w:r>
        <w:rPr>
          <w:spacing w:val="1"/>
        </w:rPr>
        <w:t xml:space="preserve">fronteira </w:t>
      </w:r>
      <w:r>
        <w:t xml:space="preserve">com a </w:t>
      </w:r>
      <w:r>
        <w:rPr>
          <w:spacing w:val="1"/>
        </w:rPr>
        <w:t>Venezuela (PORTAL RORAIMA,</w:t>
      </w:r>
      <w:r>
        <w:rPr>
          <w:spacing w:val="10"/>
        </w:rPr>
        <w:t xml:space="preserve"> </w:t>
      </w:r>
      <w:r>
        <w:rPr>
          <w:spacing w:val="2"/>
        </w:rPr>
        <w:t>2010).</w:t>
      </w:r>
    </w:p>
    <w:p w:rsidR="00D81F69" w:rsidRDefault="00330118">
      <w:pPr>
        <w:pStyle w:val="Corpodetexto"/>
        <w:spacing w:before="137" w:line="312" w:lineRule="auto"/>
        <w:ind w:right="164"/>
        <w:jc w:val="left"/>
      </w:pPr>
      <w:r>
        <w:t xml:space="preserve">Os Yanomami somam cerca de 30 mil integrantes (dos quais 14 mil no Brasil), ocupando uma área de aproximadamente </w:t>
      </w:r>
      <w:r>
        <w:rPr>
          <w:spacing w:val="2"/>
        </w:rPr>
        <w:t xml:space="preserve">192 mil km², nos dois </w:t>
      </w:r>
      <w:r>
        <w:rPr>
          <w:spacing w:val="3"/>
        </w:rPr>
        <w:t xml:space="preserve">lados </w:t>
      </w:r>
      <w:r>
        <w:rPr>
          <w:spacing w:val="1"/>
        </w:rPr>
        <w:t xml:space="preserve">da </w:t>
      </w:r>
      <w:r>
        <w:rPr>
          <w:spacing w:val="3"/>
        </w:rPr>
        <w:t xml:space="preserve">fronteira </w:t>
      </w:r>
      <w:r>
        <w:rPr>
          <w:spacing w:val="5"/>
        </w:rPr>
        <w:t xml:space="preserve">Brasil-Venezuela. </w:t>
      </w:r>
      <w:r>
        <w:rPr>
          <w:spacing w:val="2"/>
        </w:rPr>
        <w:t xml:space="preserve">Esse </w:t>
      </w:r>
      <w:r>
        <w:rPr>
          <w:spacing w:val="3"/>
        </w:rPr>
        <w:t xml:space="preserve">território </w:t>
      </w:r>
      <w:r>
        <w:t xml:space="preserve">é </w:t>
      </w:r>
      <w:r>
        <w:rPr>
          <w:spacing w:val="3"/>
        </w:rPr>
        <w:t xml:space="preserve">formado </w:t>
      </w:r>
      <w:r>
        <w:rPr>
          <w:spacing w:val="2"/>
        </w:rPr>
        <w:t xml:space="preserve">por </w:t>
      </w:r>
      <w:r>
        <w:rPr>
          <w:spacing w:val="3"/>
        </w:rPr>
        <w:t xml:space="preserve">regiões </w:t>
      </w:r>
      <w:r>
        <w:rPr>
          <w:spacing w:val="2"/>
        </w:rPr>
        <w:t xml:space="preserve">cujo </w:t>
      </w:r>
      <w:r>
        <w:rPr>
          <w:spacing w:val="3"/>
        </w:rPr>
        <w:t xml:space="preserve">ambiente </w:t>
      </w:r>
      <w:r>
        <w:t xml:space="preserve">é </w:t>
      </w:r>
      <w:r>
        <w:rPr>
          <w:spacing w:val="5"/>
        </w:rPr>
        <w:t xml:space="preserve">de </w:t>
      </w:r>
      <w:r>
        <w:t xml:space="preserve">floresta amazônica </w:t>
      </w:r>
      <w:r>
        <w:t xml:space="preserve">de várzea – na bacia dos rios Orinoco e   </w:t>
      </w:r>
      <w:r>
        <w:rPr>
          <w:spacing w:val="5"/>
        </w:rPr>
        <w:t xml:space="preserve">do </w:t>
      </w:r>
      <w:r>
        <w:rPr>
          <w:spacing w:val="8"/>
        </w:rPr>
        <w:t xml:space="preserve">Amazonas </w:t>
      </w:r>
      <w:r>
        <w:t xml:space="preserve">– </w:t>
      </w:r>
      <w:r>
        <w:rPr>
          <w:spacing w:val="6"/>
        </w:rPr>
        <w:t xml:space="preserve">até </w:t>
      </w:r>
      <w:r>
        <w:rPr>
          <w:spacing w:val="7"/>
        </w:rPr>
        <w:t xml:space="preserve">áreas </w:t>
      </w:r>
      <w:r>
        <w:rPr>
          <w:spacing w:val="10"/>
        </w:rPr>
        <w:t xml:space="preserve">inteiramente montanhosas </w:t>
      </w:r>
      <w:r>
        <w:rPr>
          <w:spacing w:val="8"/>
        </w:rPr>
        <w:t>(SOMAIN,</w:t>
      </w:r>
      <w:r>
        <w:rPr>
          <w:spacing w:val="55"/>
        </w:rPr>
        <w:t xml:space="preserve"> </w:t>
      </w:r>
      <w:r>
        <w:rPr>
          <w:spacing w:val="10"/>
        </w:rPr>
        <w:t>2011).</w:t>
      </w:r>
    </w:p>
    <w:p w:rsidR="00D81F69" w:rsidRDefault="00330118">
      <w:pPr>
        <w:pStyle w:val="Corpodetexto"/>
        <w:spacing w:before="137" w:line="312" w:lineRule="auto"/>
        <w:ind w:right="100"/>
      </w:pPr>
      <w:r>
        <w:t xml:space="preserve">As </w:t>
      </w:r>
      <w:r>
        <w:rPr>
          <w:spacing w:val="1"/>
        </w:rPr>
        <w:t xml:space="preserve">comunidades Yanomami </w:t>
      </w:r>
      <w:r>
        <w:t xml:space="preserve">são </w:t>
      </w:r>
      <w:r>
        <w:rPr>
          <w:spacing w:val="1"/>
        </w:rPr>
        <w:t xml:space="preserve">autônomas entre </w:t>
      </w:r>
      <w:r>
        <w:t xml:space="preserve">si e </w:t>
      </w:r>
      <w:r>
        <w:rPr>
          <w:spacing w:val="2"/>
        </w:rPr>
        <w:t xml:space="preserve">não </w:t>
      </w:r>
      <w:r>
        <w:t>possuem uma estrutura única de governo, mantendo relativa estabilidade econômica e autossuficiência. Tal estabilidade, no entanto, vem sendo ameaçada pelas sucessivas invasões de suas terras, especialmente por garimpeiros em busca de minerais</w:t>
      </w:r>
      <w:r>
        <w:rPr>
          <w:spacing w:val="12"/>
        </w:rPr>
        <w:t xml:space="preserve"> </w:t>
      </w:r>
      <w:r>
        <w:t>valiosos</w:t>
      </w:r>
      <w:r>
        <w:rPr>
          <w:spacing w:val="12"/>
        </w:rPr>
        <w:t xml:space="preserve"> </w:t>
      </w:r>
      <w:r>
        <w:t>e</w:t>
      </w:r>
      <w:r>
        <w:rPr>
          <w:spacing w:val="12"/>
        </w:rPr>
        <w:t xml:space="preserve"> </w:t>
      </w:r>
      <w:r>
        <w:t>de</w:t>
      </w:r>
      <w:r>
        <w:rPr>
          <w:spacing w:val="12"/>
        </w:rPr>
        <w:t xml:space="preserve"> </w:t>
      </w:r>
      <w:r>
        <w:t>ouro</w:t>
      </w:r>
      <w:r>
        <w:rPr>
          <w:spacing w:val="12"/>
        </w:rPr>
        <w:t xml:space="preserve"> </w:t>
      </w:r>
      <w:r>
        <w:t>(CIDH,</w:t>
      </w:r>
      <w:r>
        <w:rPr>
          <w:spacing w:val="12"/>
        </w:rPr>
        <w:t xml:space="preserve"> </w:t>
      </w:r>
      <w:r>
        <w:t>1997).</w:t>
      </w:r>
    </w:p>
    <w:p w:rsidR="00D81F69" w:rsidRDefault="00330118">
      <w:pPr>
        <w:pStyle w:val="Corpodetexto"/>
        <w:spacing w:before="135" w:line="312" w:lineRule="auto"/>
        <w:ind w:right="113"/>
      </w:pPr>
      <w:r>
        <w:t>Os Yanomami mantiveram-se praticamente isolados do contato com o restante da sociedade brasileira até a década de 1970 (PORTAL RORAIMA, 2010), mas, a partir de sucessivas descobertas de jazidas de minerais valiosos em suas terras (CIDH,</w:t>
      </w:r>
      <w:r>
        <w:t xml:space="preserve"> 1997), e com a alta da cotação do ouro no início dos anos 1980, iniciaram-se várias corridas atrás do metal na Amazônia brasileira (CLEARY 1990 apud LE TOURNEAU; ALBERT, 2005).</w:t>
      </w:r>
    </w:p>
    <w:p w:rsidR="00D81F69" w:rsidRDefault="00330118">
      <w:pPr>
        <w:pStyle w:val="Corpodetexto"/>
        <w:spacing w:before="138" w:line="312" w:lineRule="auto"/>
        <w:ind w:right="101"/>
      </w:pPr>
      <w:r>
        <w:t>Uma destas corridas ocorreu em Roraima de 1987 a 1989 (MAC MILLAN 1995 apud LE</w:t>
      </w:r>
      <w:r>
        <w:t xml:space="preserve"> TOURNEAU; ALBERT, 2005),</w:t>
      </w:r>
    </w:p>
    <w:p w:rsidR="00D81F69" w:rsidRDefault="00330118">
      <w:pPr>
        <w:pStyle w:val="Corpodetexto"/>
        <w:spacing w:before="2" w:line="312" w:lineRule="auto"/>
        <w:ind w:right="95"/>
      </w:pPr>
      <w:r>
        <w:t>causando uma grande invasão no território dos índios Yanomami  (ALBERT  1990,  1994  apud  LE TOURNEAU;</w:t>
      </w:r>
    </w:p>
    <w:p w:rsidR="00D81F69" w:rsidRDefault="00330118">
      <w:pPr>
        <w:pStyle w:val="Corpodetexto"/>
        <w:spacing w:before="1" w:line="312" w:lineRule="auto"/>
        <w:ind w:right="116"/>
      </w:pPr>
      <w:r>
        <w:t>ALBERT, 2005). Estima-se que mais de 40 mil pessoas estiveram envolvidas diretamente na empreitada, entre 1987</w:t>
      </w:r>
    </w:p>
    <w:p w:rsidR="00D81F69" w:rsidRDefault="00330118">
      <w:pPr>
        <w:pStyle w:val="Corpodetexto"/>
        <w:spacing w:before="4" w:line="312" w:lineRule="auto"/>
        <w:ind w:right="235"/>
      </w:pPr>
      <w:r>
        <w:br w:type="column"/>
      </w:r>
      <w:r>
        <w:rPr>
          <w:spacing w:val="10"/>
        </w:rPr>
        <w:lastRenderedPageBreak/>
        <w:t xml:space="preserve">CONFALONIERI, </w:t>
      </w:r>
      <w:r>
        <w:rPr>
          <w:spacing w:val="10"/>
        </w:rPr>
        <w:t xml:space="preserve">MORGADO, 1991). </w:t>
      </w:r>
      <w:r>
        <w:rPr>
          <w:spacing w:val="5"/>
        </w:rPr>
        <w:t xml:space="preserve">Os </w:t>
      </w:r>
      <w:r>
        <w:rPr>
          <w:spacing w:val="11"/>
        </w:rPr>
        <w:t xml:space="preserve">garimpeiros </w:t>
      </w:r>
      <w:r>
        <w:rPr>
          <w:spacing w:val="8"/>
        </w:rPr>
        <w:t xml:space="preserve">introduziram </w:t>
      </w:r>
      <w:r>
        <w:rPr>
          <w:spacing w:val="7"/>
        </w:rPr>
        <w:t xml:space="preserve">novas doenças entre </w:t>
      </w:r>
      <w:r>
        <w:rPr>
          <w:spacing w:val="5"/>
        </w:rPr>
        <w:t xml:space="preserve">os </w:t>
      </w:r>
      <w:r>
        <w:rPr>
          <w:spacing w:val="8"/>
        </w:rPr>
        <w:t xml:space="preserve">indígenas, </w:t>
      </w:r>
      <w:r>
        <w:rPr>
          <w:spacing w:val="10"/>
        </w:rPr>
        <w:t xml:space="preserve">como </w:t>
      </w:r>
      <w:r>
        <w:rPr>
          <w:spacing w:val="5"/>
        </w:rPr>
        <w:t xml:space="preserve">malária, tuberculose </w:t>
      </w:r>
      <w:r>
        <w:t xml:space="preserve">e </w:t>
      </w:r>
      <w:r>
        <w:rPr>
          <w:spacing w:val="5"/>
        </w:rPr>
        <w:t xml:space="preserve">varíola (CIDH, 1997). Começou </w:t>
      </w:r>
      <w:r>
        <w:t>a haver também casos de prostituição de mulheres Yanomami, com transmissão de doenças sexuais e consequências para as co</w:t>
      </w:r>
      <w:r>
        <w:t>munidades (YANOMAMI,</w:t>
      </w:r>
      <w:r>
        <w:rPr>
          <w:spacing w:val="36"/>
        </w:rPr>
        <w:t xml:space="preserve"> </w:t>
      </w:r>
      <w:r>
        <w:t>2010).</w:t>
      </w:r>
    </w:p>
    <w:p w:rsidR="00D81F69" w:rsidRDefault="00330118">
      <w:pPr>
        <w:pStyle w:val="Corpodetexto"/>
        <w:spacing w:before="135" w:line="312" w:lineRule="auto"/>
        <w:ind w:right="220"/>
      </w:pPr>
      <w:r>
        <w:t xml:space="preserve">Muitos Yanomami que não faleceram em virtude das doenças </w:t>
      </w:r>
      <w:r>
        <w:rPr>
          <w:spacing w:val="1"/>
        </w:rPr>
        <w:t xml:space="preserve">ficaram enfraquecidos, impossibilitados </w:t>
      </w:r>
      <w:r>
        <w:t xml:space="preserve">de </w:t>
      </w:r>
      <w:r>
        <w:rPr>
          <w:spacing w:val="1"/>
        </w:rPr>
        <w:t xml:space="preserve">caçar </w:t>
      </w:r>
      <w:r>
        <w:t xml:space="preserve">e </w:t>
      </w:r>
      <w:r>
        <w:rPr>
          <w:spacing w:val="2"/>
        </w:rPr>
        <w:t xml:space="preserve">pescar, </w:t>
      </w:r>
      <w:r>
        <w:t xml:space="preserve">gerando um ciclo de desnutrição e morte (YANOMAMI, 2010) e </w:t>
      </w:r>
      <w:r>
        <w:rPr>
          <w:spacing w:val="5"/>
        </w:rPr>
        <w:t xml:space="preserve">causando </w:t>
      </w:r>
      <w:r>
        <w:t xml:space="preserve">a </w:t>
      </w:r>
      <w:r>
        <w:rPr>
          <w:spacing w:val="5"/>
        </w:rPr>
        <w:t xml:space="preserve">desorganização </w:t>
      </w:r>
      <w:r>
        <w:rPr>
          <w:spacing w:val="3"/>
        </w:rPr>
        <w:t xml:space="preserve">das </w:t>
      </w:r>
      <w:r>
        <w:rPr>
          <w:spacing w:val="5"/>
        </w:rPr>
        <w:t xml:space="preserve">comunidades. </w:t>
      </w:r>
      <w:r>
        <w:rPr>
          <w:spacing w:val="3"/>
        </w:rPr>
        <w:t xml:space="preserve">Com </w:t>
      </w:r>
      <w:r>
        <w:t xml:space="preserve">o </w:t>
      </w:r>
      <w:r>
        <w:rPr>
          <w:spacing w:val="8"/>
        </w:rPr>
        <w:t>comp</w:t>
      </w:r>
      <w:r>
        <w:rPr>
          <w:spacing w:val="8"/>
        </w:rPr>
        <w:t xml:space="preserve">rometimento </w:t>
      </w:r>
      <w:r>
        <w:rPr>
          <w:spacing w:val="5"/>
        </w:rPr>
        <w:t xml:space="preserve">do </w:t>
      </w:r>
      <w:r>
        <w:rPr>
          <w:spacing w:val="7"/>
        </w:rPr>
        <w:t xml:space="preserve">acesso </w:t>
      </w:r>
      <w:r>
        <w:rPr>
          <w:spacing w:val="5"/>
        </w:rPr>
        <w:t xml:space="preserve">às </w:t>
      </w:r>
      <w:r>
        <w:rPr>
          <w:spacing w:val="7"/>
        </w:rPr>
        <w:t xml:space="preserve">fontes </w:t>
      </w:r>
      <w:r>
        <w:rPr>
          <w:spacing w:val="8"/>
        </w:rPr>
        <w:t xml:space="preserve">tradicionais </w:t>
      </w:r>
      <w:r>
        <w:rPr>
          <w:spacing w:val="10"/>
        </w:rPr>
        <w:t xml:space="preserve">de </w:t>
      </w:r>
      <w:r>
        <w:rPr>
          <w:spacing w:val="6"/>
        </w:rPr>
        <w:t xml:space="preserve">subsistência, </w:t>
      </w:r>
      <w:r>
        <w:rPr>
          <w:spacing w:val="3"/>
        </w:rPr>
        <w:t xml:space="preserve">os </w:t>
      </w:r>
      <w:r>
        <w:rPr>
          <w:spacing w:val="5"/>
        </w:rPr>
        <w:t xml:space="preserve">hábitos </w:t>
      </w:r>
      <w:r>
        <w:rPr>
          <w:spacing w:val="6"/>
        </w:rPr>
        <w:t xml:space="preserve">alimentares </w:t>
      </w:r>
      <w:r>
        <w:rPr>
          <w:spacing w:val="3"/>
        </w:rPr>
        <w:t xml:space="preserve">da </w:t>
      </w:r>
      <w:r>
        <w:rPr>
          <w:spacing w:val="5"/>
        </w:rPr>
        <w:t xml:space="preserve">etnia </w:t>
      </w:r>
      <w:r>
        <w:rPr>
          <w:spacing w:val="7"/>
        </w:rPr>
        <w:t xml:space="preserve">sofreram </w:t>
      </w:r>
      <w:r>
        <w:t xml:space="preserve">modificações, e a principal alternativa passou a ser o alimento </w:t>
      </w:r>
      <w:r>
        <w:rPr>
          <w:spacing w:val="17"/>
        </w:rPr>
        <w:t xml:space="preserve">industrializado </w:t>
      </w:r>
      <w:r>
        <w:rPr>
          <w:spacing w:val="15"/>
        </w:rPr>
        <w:t xml:space="preserve">levado </w:t>
      </w:r>
      <w:r>
        <w:rPr>
          <w:spacing w:val="12"/>
        </w:rPr>
        <w:t xml:space="preserve">por </w:t>
      </w:r>
      <w:r>
        <w:rPr>
          <w:spacing w:val="17"/>
        </w:rPr>
        <w:t xml:space="preserve">garimpeiros </w:t>
      </w:r>
      <w:r>
        <w:rPr>
          <w:spacing w:val="16"/>
        </w:rPr>
        <w:t xml:space="preserve">(PITHAN, </w:t>
      </w:r>
      <w:r>
        <w:rPr>
          <w:spacing w:val="17"/>
        </w:rPr>
        <w:t xml:space="preserve">CONFALONIERI, </w:t>
      </w:r>
      <w:r>
        <w:rPr>
          <w:spacing w:val="16"/>
        </w:rPr>
        <w:t>MORGADO,</w:t>
      </w:r>
      <w:r>
        <w:rPr>
          <w:spacing w:val="32"/>
        </w:rPr>
        <w:t xml:space="preserve"> </w:t>
      </w:r>
      <w:r>
        <w:rPr>
          <w:spacing w:val="15"/>
        </w:rPr>
        <w:t>1991).</w:t>
      </w:r>
      <w:r>
        <w:rPr>
          <w:spacing w:val="-30"/>
        </w:rPr>
        <w:t xml:space="preserve"> </w:t>
      </w:r>
    </w:p>
    <w:p w:rsidR="00D81F69" w:rsidRDefault="00330118">
      <w:pPr>
        <w:pStyle w:val="Corpodetexto"/>
        <w:spacing w:before="139" w:line="312" w:lineRule="auto"/>
        <w:ind w:right="224"/>
      </w:pPr>
      <w:r>
        <w:t>Além disso</w:t>
      </w:r>
      <w:r>
        <w:t xml:space="preserve">, o uso de máquinas no garimpo destruiu as barrancas dos rios e afetou a qualidade das águas, prejudicando a pesca e, portanto, a alimentação do povo. As águas dos rios foram também contaminadas pelo </w:t>
      </w:r>
      <w:hyperlink r:id="rId521">
        <w:r>
          <w:t>mercúrio</w:t>
        </w:r>
      </w:hyperlink>
      <w:r>
        <w:t xml:space="preserve"> (YANOMAMI, 2010) utilizado para separar o ouro das impurezas.</w:t>
      </w:r>
    </w:p>
    <w:p w:rsidR="00D81F69" w:rsidRDefault="00330118">
      <w:pPr>
        <w:pStyle w:val="Corpodetexto"/>
        <w:spacing w:before="135" w:line="312" w:lineRule="auto"/>
        <w:ind w:right="241"/>
      </w:pPr>
      <w:r>
        <w:t>Em dezembro de 1980, a Comissão Interamericana de Direitos Humanos já havia recebido relatos de construção de estradas, concessão de licenças de miner</w:t>
      </w:r>
      <w:r>
        <w:t>ação e falta de vacinação dos indígenas, tudo isso em transgressão aos direitos que lhes eram garantidos pela Convenção Interamericana. Após diversos trâmites processuais, incluindo audiências com peritos e representantes governamentais, a comissão emitiu,</w:t>
      </w:r>
      <w:r>
        <w:t xml:space="preserve"> em 5 de março de 1985, uma resolução em que assinalava a ocorrência de graves violações dos direitos humanos dos Yanomami, especialmente na época da construção da Perimetral Norte para o transporte de minerais (CIDH, 1997).</w:t>
      </w:r>
    </w:p>
    <w:p w:rsidR="00D81F69" w:rsidRDefault="00330118">
      <w:pPr>
        <w:pStyle w:val="Corpodetexto"/>
        <w:spacing w:before="78" w:line="270" w:lineRule="atLeast"/>
        <w:ind w:right="248"/>
      </w:pPr>
      <w:r>
        <w:t xml:space="preserve">A rodovia chegou a invadir 225 </w:t>
      </w:r>
      <w:r>
        <w:t>km de área Yanomami. Além disso, os operários da empresa construtora não estavam vacinados e também não foram fornecidas vacinas aos indígenas, o que fez com que a população de 13 aldeias, ao</w:t>
      </w:r>
    </w:p>
    <w:p w:rsidR="00D81F69" w:rsidRDefault="00D81F69">
      <w:pPr>
        <w:spacing w:line="270" w:lineRule="atLeast"/>
        <w:sectPr w:rsidR="00D81F69">
          <w:type w:val="continuous"/>
          <w:pgSz w:w="11900" w:h="16840"/>
          <w:pgMar w:top="720" w:right="460" w:bottom="280" w:left="620" w:header="720" w:footer="720" w:gutter="0"/>
          <w:cols w:num="2" w:space="720" w:equalWidth="0">
            <w:col w:w="5217" w:space="253"/>
            <w:col w:w="5350"/>
          </w:cols>
        </w:sectPr>
      </w:pPr>
    </w:p>
    <w:p w:rsidR="00D81F69" w:rsidRDefault="00330118">
      <w:pPr>
        <w:pStyle w:val="Corpodetexto"/>
        <w:spacing w:before="81" w:line="312" w:lineRule="auto"/>
        <w:ind w:right="44"/>
      </w:pPr>
      <w:r>
        <w:lastRenderedPageBreak/>
        <w:t>longo dos primeiros quilômetros da co</w:t>
      </w:r>
      <w:r>
        <w:t>nstrução da estrada, fosse assolada por epidemias que resultaram na morte de um em cada quatro índios. A incidência de conflitos entre colonos e indígenas também se intensificou, resultando num número desconhecido de mortes (CIDH, 1997).</w:t>
      </w:r>
    </w:p>
    <w:p w:rsidR="00D81F69" w:rsidRDefault="00330118">
      <w:pPr>
        <w:pStyle w:val="Corpodetexto"/>
        <w:spacing w:before="134" w:line="312" w:lineRule="auto"/>
        <w:ind w:right="46"/>
      </w:pPr>
      <w:r>
        <w:t>De 1987 a 1990, pa</w:t>
      </w:r>
      <w:r>
        <w:t xml:space="preserve">ra implementação do Projeto Calha Norte </w:t>
      </w:r>
      <w:r>
        <w:rPr>
          <w:spacing w:val="1"/>
        </w:rPr>
        <w:t xml:space="preserve">[instituído para proteger </w:t>
      </w:r>
      <w:r>
        <w:t xml:space="preserve">uma </w:t>
      </w:r>
      <w:r>
        <w:rPr>
          <w:spacing w:val="1"/>
        </w:rPr>
        <w:t xml:space="preserve">extensa faixa </w:t>
      </w:r>
      <w:r>
        <w:t xml:space="preserve">de </w:t>
      </w:r>
      <w:r>
        <w:rPr>
          <w:spacing w:val="1"/>
        </w:rPr>
        <w:t xml:space="preserve">fronteira </w:t>
      </w:r>
      <w:r>
        <w:rPr>
          <w:spacing w:val="2"/>
        </w:rPr>
        <w:t xml:space="preserve">na </w:t>
      </w:r>
      <w:r>
        <w:t xml:space="preserve">Amazônia], o território dos Yanomami, que era de 9,5 milhões de hectares, sofreu uma redução de 70% e foi dividido em 19 </w:t>
      </w:r>
      <w:r>
        <w:rPr>
          <w:spacing w:val="3"/>
        </w:rPr>
        <w:t xml:space="preserve">territórios isolados entre </w:t>
      </w:r>
      <w:r>
        <w:rPr>
          <w:spacing w:val="2"/>
        </w:rPr>
        <w:t xml:space="preserve">si. </w:t>
      </w:r>
      <w:r>
        <w:rPr>
          <w:spacing w:val="1"/>
        </w:rPr>
        <w:t xml:space="preserve">Um </w:t>
      </w:r>
      <w:r>
        <w:rPr>
          <w:spacing w:val="2"/>
        </w:rPr>
        <w:t xml:space="preserve">dos </w:t>
      </w:r>
      <w:r>
        <w:rPr>
          <w:spacing w:val="3"/>
        </w:rPr>
        <w:t xml:space="preserve">efeitos colaterais </w:t>
      </w:r>
      <w:r>
        <w:rPr>
          <w:spacing w:val="5"/>
        </w:rPr>
        <w:t xml:space="preserve">do </w:t>
      </w:r>
      <w:r>
        <w:t xml:space="preserve">projeto foi deixar como “herança” para os garimpeiros pistas </w:t>
      </w:r>
      <w:r>
        <w:rPr>
          <w:spacing w:val="1"/>
        </w:rPr>
        <w:t xml:space="preserve">de </w:t>
      </w:r>
      <w:r>
        <w:rPr>
          <w:spacing w:val="3"/>
        </w:rPr>
        <w:t xml:space="preserve">pouso construídas pelos militares </w:t>
      </w:r>
      <w:r>
        <w:rPr>
          <w:spacing w:val="1"/>
        </w:rPr>
        <w:t xml:space="preserve">no </w:t>
      </w:r>
      <w:r>
        <w:rPr>
          <w:spacing w:val="2"/>
        </w:rPr>
        <w:t xml:space="preserve">meio </w:t>
      </w:r>
      <w:r>
        <w:rPr>
          <w:spacing w:val="1"/>
        </w:rPr>
        <w:t xml:space="preserve">da </w:t>
      </w:r>
      <w:r>
        <w:rPr>
          <w:spacing w:val="5"/>
        </w:rPr>
        <w:t xml:space="preserve">floresta </w:t>
      </w:r>
      <w:r>
        <w:t>(MAPA</w:t>
      </w:r>
      <w:r>
        <w:rPr>
          <w:spacing w:val="21"/>
        </w:rPr>
        <w:t xml:space="preserve"> </w:t>
      </w:r>
      <w:r>
        <w:t>DA</w:t>
      </w:r>
      <w:r>
        <w:rPr>
          <w:spacing w:val="21"/>
        </w:rPr>
        <w:t xml:space="preserve"> </w:t>
      </w:r>
      <w:r>
        <w:t>INJUSTIÇA</w:t>
      </w:r>
      <w:r>
        <w:rPr>
          <w:spacing w:val="21"/>
        </w:rPr>
        <w:t xml:space="preserve"> </w:t>
      </w:r>
      <w:r>
        <w:t>AMBIENTAL</w:t>
      </w:r>
      <w:r>
        <w:rPr>
          <w:spacing w:val="21"/>
        </w:rPr>
        <w:t xml:space="preserve"> </w:t>
      </w:r>
      <w:r>
        <w:t>E</w:t>
      </w:r>
      <w:r>
        <w:rPr>
          <w:spacing w:val="21"/>
        </w:rPr>
        <w:t xml:space="preserve"> </w:t>
      </w:r>
      <w:r>
        <w:t>SAÚDE</w:t>
      </w:r>
      <w:r>
        <w:rPr>
          <w:spacing w:val="21"/>
        </w:rPr>
        <w:t xml:space="preserve"> </w:t>
      </w:r>
      <w:r>
        <w:t>NO</w:t>
      </w:r>
      <w:r>
        <w:rPr>
          <w:spacing w:val="21"/>
        </w:rPr>
        <w:t xml:space="preserve"> </w:t>
      </w:r>
      <w:r>
        <w:t>BRASIL,</w:t>
      </w:r>
    </w:p>
    <w:p w:rsidR="00D81F69" w:rsidRDefault="00330118">
      <w:pPr>
        <w:pStyle w:val="Corpodetexto"/>
        <w:spacing w:before="8" w:line="312" w:lineRule="auto"/>
        <w:ind w:right="48"/>
      </w:pPr>
      <w:r>
        <w:t>2009). Dois terços do território original foram abertos à exploração mineira, especialmente de ouro. Os garimpeiros penetraram aos milhares nas terras Yanomami (CIDH, 1997).</w:t>
      </w:r>
    </w:p>
    <w:p w:rsidR="00D81F69" w:rsidRDefault="00330118">
      <w:pPr>
        <w:pStyle w:val="Corpodetexto"/>
        <w:spacing w:before="133" w:line="312" w:lineRule="auto"/>
        <w:ind w:right="47"/>
      </w:pPr>
      <w:r>
        <w:t xml:space="preserve">A partir de 1988, os tribunais federais anularam a desintegração da área contínua </w:t>
      </w:r>
      <w:r>
        <w:t>dos Yanomami em "reservas" separadas ("arquipélagos"). Os tribunais também se pronunciaram a favor de que os territórios não fossem objeto de usurpação por garimpeiros e madeireiros ilegais, e determinaram a adoção de medidas para desalojá-los (CIDH, 1997)</w:t>
      </w:r>
      <w:r>
        <w:t>.</w:t>
      </w:r>
    </w:p>
    <w:p w:rsidR="00D81F69" w:rsidRDefault="00330118">
      <w:pPr>
        <w:pStyle w:val="Corpodetexto"/>
        <w:spacing w:before="136" w:line="312" w:lineRule="auto"/>
        <w:ind w:right="38"/>
      </w:pPr>
      <w:r>
        <w:t xml:space="preserve">Com a consagração dos direitos dos índios na </w:t>
      </w:r>
      <w:r>
        <w:rPr>
          <w:spacing w:val="1"/>
        </w:rPr>
        <w:t xml:space="preserve">Constituição  </w:t>
      </w:r>
      <w:r>
        <w:t xml:space="preserve">de 1988 (CIDH, 1997) e, após um intenso debate político, o governo federal resolveu, em 1990, expulsar os milhares de garimpeiros que atuavam na área indígena e homologou, em </w:t>
      </w:r>
      <w:r>
        <w:rPr>
          <w:spacing w:val="7"/>
        </w:rPr>
        <w:t xml:space="preserve">1992, </w:t>
      </w:r>
      <w:r>
        <w:t xml:space="preserve">a </w:t>
      </w:r>
      <w:r>
        <w:rPr>
          <w:spacing w:val="7"/>
        </w:rPr>
        <w:t>Terra Indíge</w:t>
      </w:r>
      <w:r>
        <w:rPr>
          <w:spacing w:val="7"/>
        </w:rPr>
        <w:t xml:space="preserve">na </w:t>
      </w:r>
      <w:r>
        <w:rPr>
          <w:spacing w:val="6"/>
        </w:rPr>
        <w:t xml:space="preserve">(TI) </w:t>
      </w:r>
      <w:r>
        <w:rPr>
          <w:spacing w:val="7"/>
        </w:rPr>
        <w:t xml:space="preserve">Yanomami. Mesmo </w:t>
      </w:r>
      <w:r>
        <w:rPr>
          <w:spacing w:val="10"/>
        </w:rPr>
        <w:t xml:space="preserve">assim, </w:t>
      </w:r>
      <w:r>
        <w:rPr>
          <w:spacing w:val="1"/>
        </w:rPr>
        <w:t xml:space="preserve">invasões </w:t>
      </w:r>
      <w:r>
        <w:t xml:space="preserve">de </w:t>
      </w:r>
      <w:r>
        <w:rPr>
          <w:spacing w:val="1"/>
        </w:rPr>
        <w:t xml:space="preserve">garimpeiros ocorreram regularmente </w:t>
      </w:r>
      <w:r>
        <w:t xml:space="preserve">até </w:t>
      </w:r>
      <w:r>
        <w:rPr>
          <w:spacing w:val="2"/>
        </w:rPr>
        <w:t xml:space="preserve">1998 </w:t>
      </w:r>
      <w:r>
        <w:t xml:space="preserve">(LE </w:t>
      </w:r>
      <w:r>
        <w:rPr>
          <w:spacing w:val="1"/>
        </w:rPr>
        <w:t>TOURNEAU; ALBERT,</w:t>
      </w:r>
      <w:r>
        <w:rPr>
          <w:spacing w:val="10"/>
        </w:rPr>
        <w:t xml:space="preserve"> </w:t>
      </w:r>
      <w:r>
        <w:rPr>
          <w:spacing w:val="2"/>
        </w:rPr>
        <w:t>2005).</w:t>
      </w:r>
    </w:p>
    <w:p w:rsidR="00D81F69" w:rsidRDefault="00330118">
      <w:pPr>
        <w:pStyle w:val="Corpodetexto"/>
        <w:spacing w:before="137" w:line="312" w:lineRule="auto"/>
        <w:ind w:right="38"/>
      </w:pPr>
      <w:r>
        <w:t xml:space="preserve">A vigilância do território Yanomami exercida pela Funai e por órgãos federais sofreu contínuos percalços desde então (CIDH, 1997). Em 1993, </w:t>
      </w:r>
      <w:r>
        <w:t>22 garimpeiros foram acusados de executar 12 índios Yanomami da comunidade Haximu, na serra Parima. Entre os índios executados, havia cinco crianças com menos de oito anos, dois adolescentes, mulheres e idosos. Os homens adultos estavam longe do local, num</w:t>
      </w:r>
      <w:r>
        <w:t>a festa de outra tribo (SUZUKI, 2006).</w:t>
      </w:r>
    </w:p>
    <w:p w:rsidR="00D81F69" w:rsidRDefault="00330118">
      <w:pPr>
        <w:pStyle w:val="Corpodetexto"/>
        <w:spacing w:before="137" w:line="312" w:lineRule="auto"/>
        <w:ind w:right="60"/>
      </w:pPr>
      <w:r>
        <w:t xml:space="preserve">A primeira sentença, em 1996, condenou apenas cinco garimpeiros (um morreu antes de ser preso). Os outros continuaram livres por falta de provas. Somente em 2006, a chacina de 1993, conhecida como Massacre de Haximu, </w:t>
      </w:r>
      <w:r>
        <w:t>foi confirmada como crime de genocídio pelo Supremo Tribunal Federal (STF), encerrando a disputa jurídica que ameaçava pôr em liberdade os quatro únicos garimpeiros que estavam presos pelo crime (SUZUKI, 2006).</w:t>
      </w:r>
    </w:p>
    <w:p w:rsidR="00D81F69" w:rsidRDefault="00330118">
      <w:pPr>
        <w:pStyle w:val="Corpodetexto"/>
        <w:spacing w:before="74" w:line="270" w:lineRule="atLeast"/>
        <w:ind w:right="44"/>
      </w:pPr>
      <w:r>
        <w:t>Mais de uma década após o massacre, no entant</w:t>
      </w:r>
      <w:r>
        <w:t>o, os Yanomami continuam a sofrer as consequências do garimpo ilegal (SUZUKI, 2006). Nos últimos anos, a Hutukara Associação Yanomami (HAY) vem, juntamente com o Instituto Socioambiental (ISA), a Rainforest e a Survival International, documentando o cresce</w:t>
      </w:r>
      <w:r>
        <w:t>nte número de garimpeiros que invadem a Terra Indígena Yanomami (YANOMAMI, 2010). Como efeito da onda de conflitos e violência, o número de</w:t>
      </w:r>
    </w:p>
    <w:p w:rsidR="00D81F69" w:rsidRDefault="00330118">
      <w:pPr>
        <w:pStyle w:val="Corpodetexto"/>
        <w:spacing w:before="81" w:line="312" w:lineRule="auto"/>
        <w:ind w:right="251"/>
      </w:pPr>
      <w:r>
        <w:br w:type="column"/>
      </w:r>
      <w:r>
        <w:lastRenderedPageBreak/>
        <w:t>armas de fogo prolifera na região (MAPA DA INJUSTIÇA AMBIENTAL E SAÚDE NO BRASIL, 2010).</w:t>
      </w:r>
    </w:p>
    <w:p w:rsidR="00D81F69" w:rsidRDefault="00330118">
      <w:pPr>
        <w:pStyle w:val="Corpodetexto"/>
        <w:spacing w:before="132" w:line="312" w:lineRule="auto"/>
        <w:ind w:right="229"/>
      </w:pPr>
      <w:r>
        <w:t>A associação protocolou um</w:t>
      </w:r>
      <w:r>
        <w:t xml:space="preserve">a série de documentos perante </w:t>
      </w:r>
      <w:r>
        <w:rPr>
          <w:spacing w:val="7"/>
        </w:rPr>
        <w:t xml:space="preserve">vários órgãos federais, </w:t>
      </w:r>
      <w:r>
        <w:rPr>
          <w:spacing w:val="8"/>
        </w:rPr>
        <w:t xml:space="preserve">principalmente </w:t>
      </w:r>
      <w:r>
        <w:rPr>
          <w:spacing w:val="7"/>
        </w:rPr>
        <w:t xml:space="preserve">Funai </w:t>
      </w:r>
      <w:r>
        <w:t xml:space="preserve">e </w:t>
      </w:r>
      <w:r>
        <w:rPr>
          <w:spacing w:val="10"/>
        </w:rPr>
        <w:t xml:space="preserve">Polícia </w:t>
      </w:r>
      <w:r>
        <w:t xml:space="preserve">Federal, solicitando a retirada dos garimpeiros, a paralisação do garimpo nos seus acampamentos e a desestruturação de </w:t>
      </w:r>
      <w:r>
        <w:rPr>
          <w:spacing w:val="3"/>
        </w:rPr>
        <w:t xml:space="preserve">atividades </w:t>
      </w:r>
      <w:r>
        <w:rPr>
          <w:spacing w:val="1"/>
        </w:rPr>
        <w:t xml:space="preserve">de </w:t>
      </w:r>
      <w:r>
        <w:rPr>
          <w:spacing w:val="3"/>
        </w:rPr>
        <w:t xml:space="preserve">apoio </w:t>
      </w:r>
      <w:r>
        <w:rPr>
          <w:spacing w:val="1"/>
        </w:rPr>
        <w:t xml:space="preserve">ao </w:t>
      </w:r>
      <w:r>
        <w:rPr>
          <w:spacing w:val="3"/>
        </w:rPr>
        <w:t xml:space="preserve">garimpo </w:t>
      </w:r>
      <w:r>
        <w:rPr>
          <w:spacing w:val="1"/>
        </w:rPr>
        <w:t xml:space="preserve">na </w:t>
      </w:r>
      <w:r>
        <w:rPr>
          <w:spacing w:val="3"/>
        </w:rPr>
        <w:t xml:space="preserve">capital </w:t>
      </w:r>
      <w:r>
        <w:rPr>
          <w:spacing w:val="1"/>
        </w:rPr>
        <w:t xml:space="preserve">do </w:t>
      </w:r>
      <w:r>
        <w:rPr>
          <w:spacing w:val="3"/>
        </w:rPr>
        <w:t>estado,</w:t>
      </w:r>
      <w:r>
        <w:rPr>
          <w:spacing w:val="3"/>
        </w:rPr>
        <w:t xml:space="preserve"> </w:t>
      </w:r>
      <w:r>
        <w:rPr>
          <w:spacing w:val="5"/>
        </w:rPr>
        <w:t xml:space="preserve">Boa </w:t>
      </w:r>
      <w:r>
        <w:rPr>
          <w:spacing w:val="7"/>
        </w:rPr>
        <w:t xml:space="preserve">Vista. </w:t>
      </w:r>
      <w:r>
        <w:rPr>
          <w:spacing w:val="5"/>
        </w:rPr>
        <w:t xml:space="preserve">No </w:t>
      </w:r>
      <w:r>
        <w:rPr>
          <w:spacing w:val="7"/>
        </w:rPr>
        <w:t xml:space="preserve">entanto, desde 2007, quando </w:t>
      </w:r>
      <w:r>
        <w:t xml:space="preserve">a </w:t>
      </w:r>
      <w:r>
        <w:rPr>
          <w:spacing w:val="7"/>
        </w:rPr>
        <w:t xml:space="preserve">invasão </w:t>
      </w:r>
      <w:r>
        <w:rPr>
          <w:spacing w:val="10"/>
        </w:rPr>
        <w:t xml:space="preserve">de </w:t>
      </w:r>
      <w:r>
        <w:rPr>
          <w:spacing w:val="8"/>
        </w:rPr>
        <w:t xml:space="preserve">garimpeiros </w:t>
      </w:r>
      <w:r>
        <w:rPr>
          <w:spacing w:val="7"/>
        </w:rPr>
        <w:t xml:space="preserve">começou </w:t>
      </w:r>
      <w:r>
        <w:t xml:space="preserve">a </w:t>
      </w:r>
      <w:r>
        <w:rPr>
          <w:spacing w:val="7"/>
        </w:rPr>
        <w:t xml:space="preserve">aumentar, </w:t>
      </w:r>
      <w:r>
        <w:rPr>
          <w:spacing w:val="5"/>
        </w:rPr>
        <w:t xml:space="preserve">as </w:t>
      </w:r>
      <w:r>
        <w:rPr>
          <w:spacing w:val="8"/>
        </w:rPr>
        <w:t xml:space="preserve">autoridades </w:t>
      </w:r>
      <w:r>
        <w:rPr>
          <w:spacing w:val="10"/>
        </w:rPr>
        <w:t xml:space="preserve">não </w:t>
      </w:r>
      <w:r>
        <w:rPr>
          <w:spacing w:val="5"/>
        </w:rPr>
        <w:t xml:space="preserve">realizaram nenhuma operação para fechar </w:t>
      </w:r>
      <w:r>
        <w:rPr>
          <w:spacing w:val="2"/>
        </w:rPr>
        <w:t xml:space="preserve">os </w:t>
      </w:r>
      <w:r>
        <w:rPr>
          <w:spacing w:val="6"/>
        </w:rPr>
        <w:t xml:space="preserve">garimpos, </w:t>
      </w:r>
      <w:r>
        <w:t xml:space="preserve">impedir os garimpeiros de entrar na terra indígena e reprimir </w:t>
      </w:r>
      <w:r>
        <w:rPr>
          <w:spacing w:val="5"/>
        </w:rPr>
        <w:t xml:space="preserve">as </w:t>
      </w:r>
      <w:r>
        <w:rPr>
          <w:spacing w:val="10"/>
        </w:rPr>
        <w:t xml:space="preserve">operações </w:t>
      </w:r>
      <w:r>
        <w:rPr>
          <w:spacing w:val="5"/>
        </w:rPr>
        <w:t xml:space="preserve">de </w:t>
      </w:r>
      <w:r>
        <w:rPr>
          <w:spacing w:val="10"/>
        </w:rPr>
        <w:t xml:space="preserve">suporte </w:t>
      </w:r>
      <w:r>
        <w:rPr>
          <w:spacing w:val="5"/>
        </w:rPr>
        <w:t xml:space="preserve">ao </w:t>
      </w:r>
      <w:r>
        <w:rPr>
          <w:spacing w:val="10"/>
        </w:rPr>
        <w:t xml:space="preserve">garimpo </w:t>
      </w:r>
      <w:r>
        <w:rPr>
          <w:spacing w:val="5"/>
        </w:rPr>
        <w:t xml:space="preserve">em </w:t>
      </w:r>
      <w:r>
        <w:rPr>
          <w:spacing w:val="7"/>
        </w:rPr>
        <w:t xml:space="preserve">Boa </w:t>
      </w:r>
      <w:r>
        <w:rPr>
          <w:spacing w:val="12"/>
        </w:rPr>
        <w:t xml:space="preserve">Vista </w:t>
      </w:r>
      <w:r>
        <w:rPr>
          <w:spacing w:val="10"/>
        </w:rPr>
        <w:t>(YANOMAMI,</w:t>
      </w:r>
      <w:r>
        <w:rPr>
          <w:spacing w:val="63"/>
        </w:rPr>
        <w:t xml:space="preserve"> </w:t>
      </w:r>
      <w:r>
        <w:rPr>
          <w:spacing w:val="12"/>
        </w:rPr>
        <w:t>2010).</w:t>
      </w:r>
    </w:p>
    <w:p w:rsidR="00D81F69" w:rsidRDefault="00330118">
      <w:pPr>
        <w:pStyle w:val="Corpodetexto"/>
        <w:spacing w:before="140" w:line="312" w:lineRule="auto"/>
        <w:ind w:right="244"/>
      </w:pPr>
      <w:r>
        <w:t>De acordo com a Coordenadoria Regional da Funai no estado, a instituição tem participação importante na fiscalização, mas precisa do apoio do Ministério Público Federal (MPF) e da Polícia Federal. Segundo o órgão, des</w:t>
      </w:r>
      <w:r>
        <w:t>de 2002, não houve mais qualquer operação para retirada de garimpeiros, mas apenas ações pontuais, e o número de garimpeiros, madeireiros e grileiros em terras Yanomami vêm aumentando, com vários casos de invasão, inclusive, na região do Amajari (CIR, 2010</w:t>
      </w:r>
      <w:r>
        <w:t>).</w:t>
      </w:r>
    </w:p>
    <w:p w:rsidR="00D81F69" w:rsidRDefault="00330118">
      <w:pPr>
        <w:pStyle w:val="Corpodetexto"/>
        <w:spacing w:before="138" w:line="312" w:lineRule="auto"/>
        <w:ind w:right="234"/>
      </w:pPr>
      <w:r>
        <w:t xml:space="preserve">Uma destas invasões foi flagrada, em 2009, pela Delegacia  de </w:t>
      </w:r>
      <w:r>
        <w:rPr>
          <w:spacing w:val="1"/>
        </w:rPr>
        <w:t xml:space="preserve">Combate </w:t>
      </w:r>
      <w:r>
        <w:t xml:space="preserve">aos </w:t>
      </w:r>
      <w:r>
        <w:rPr>
          <w:spacing w:val="1"/>
        </w:rPr>
        <w:t xml:space="preserve">Crimes Ambientais </w:t>
      </w:r>
      <w:r>
        <w:t xml:space="preserve">da </w:t>
      </w:r>
      <w:r>
        <w:rPr>
          <w:spacing w:val="1"/>
        </w:rPr>
        <w:t xml:space="preserve">Polícia Federal </w:t>
      </w:r>
      <w:r>
        <w:rPr>
          <w:spacing w:val="2"/>
        </w:rPr>
        <w:t xml:space="preserve">na </w:t>
      </w:r>
      <w:r>
        <w:t>Operação Aracaça. A ação foi desencadeada para combater  o garimpo ilegal na região do Uraricuera, a noroeste da Terra Indígena Yanomami, n</w:t>
      </w:r>
      <w:r>
        <w:t xml:space="preserve">o município de Amajari. Na operação, </w:t>
      </w:r>
      <w:r>
        <w:rPr>
          <w:spacing w:val="5"/>
        </w:rPr>
        <w:t xml:space="preserve">houve </w:t>
      </w:r>
      <w:r>
        <w:t xml:space="preserve">a </w:t>
      </w:r>
      <w:r>
        <w:rPr>
          <w:spacing w:val="6"/>
        </w:rPr>
        <w:t xml:space="preserve">apreensão </w:t>
      </w:r>
      <w:r>
        <w:rPr>
          <w:spacing w:val="3"/>
        </w:rPr>
        <w:t xml:space="preserve">de </w:t>
      </w:r>
      <w:r>
        <w:rPr>
          <w:spacing w:val="6"/>
        </w:rPr>
        <w:t xml:space="preserve">equipamentos utilizados </w:t>
      </w:r>
      <w:r>
        <w:rPr>
          <w:spacing w:val="5"/>
        </w:rPr>
        <w:t xml:space="preserve">para </w:t>
      </w:r>
      <w:r>
        <w:t xml:space="preserve">a garimpagem, dentre os quais um motor a diesel, galões com </w:t>
      </w:r>
      <w:r>
        <w:rPr>
          <w:spacing w:val="8"/>
        </w:rPr>
        <w:t xml:space="preserve">combustível, mangueiras </w:t>
      </w:r>
      <w:r>
        <w:rPr>
          <w:spacing w:val="5"/>
        </w:rPr>
        <w:t xml:space="preserve">de </w:t>
      </w:r>
      <w:r>
        <w:rPr>
          <w:spacing w:val="7"/>
        </w:rPr>
        <w:t xml:space="preserve">garimpo, bomba d’água </w:t>
      </w:r>
      <w:r>
        <w:t xml:space="preserve">e </w:t>
      </w:r>
      <w:r>
        <w:rPr>
          <w:spacing w:val="8"/>
        </w:rPr>
        <w:t xml:space="preserve">ferramentas </w:t>
      </w:r>
      <w:r>
        <w:rPr>
          <w:spacing w:val="7"/>
        </w:rPr>
        <w:t xml:space="preserve">(FOLHA </w:t>
      </w:r>
      <w:r>
        <w:rPr>
          <w:spacing w:val="5"/>
        </w:rPr>
        <w:t xml:space="preserve">DE BOA </w:t>
      </w:r>
      <w:r>
        <w:rPr>
          <w:spacing w:val="7"/>
        </w:rPr>
        <w:t>VISTA,</w:t>
      </w:r>
      <w:r>
        <w:rPr>
          <w:spacing w:val="30"/>
        </w:rPr>
        <w:t xml:space="preserve"> </w:t>
      </w:r>
      <w:r>
        <w:rPr>
          <w:spacing w:val="10"/>
        </w:rPr>
        <w:t>2009).</w:t>
      </w:r>
    </w:p>
    <w:p w:rsidR="00D81F69" w:rsidRDefault="00330118">
      <w:pPr>
        <w:pStyle w:val="Corpodetexto"/>
        <w:spacing w:before="138" w:line="312" w:lineRule="auto"/>
        <w:ind w:right="247"/>
      </w:pPr>
      <w:r>
        <w:rPr>
          <w:spacing w:val="2"/>
        </w:rPr>
        <w:t xml:space="preserve">Em </w:t>
      </w:r>
      <w:r>
        <w:rPr>
          <w:spacing w:val="3"/>
        </w:rPr>
        <w:t xml:space="preserve">abril </w:t>
      </w:r>
      <w:r>
        <w:rPr>
          <w:spacing w:val="2"/>
        </w:rPr>
        <w:t xml:space="preserve">de </w:t>
      </w:r>
      <w:r>
        <w:rPr>
          <w:spacing w:val="3"/>
        </w:rPr>
        <w:t xml:space="preserve">2010, </w:t>
      </w:r>
      <w:r>
        <w:rPr>
          <w:spacing w:val="3"/>
        </w:rPr>
        <w:t xml:space="preserve">uma </w:t>
      </w:r>
      <w:r>
        <w:rPr>
          <w:spacing w:val="5"/>
        </w:rPr>
        <w:t xml:space="preserve">manifestação </w:t>
      </w:r>
      <w:r>
        <w:rPr>
          <w:spacing w:val="3"/>
        </w:rPr>
        <w:t xml:space="preserve">dos </w:t>
      </w:r>
      <w:r>
        <w:rPr>
          <w:spacing w:val="5"/>
        </w:rPr>
        <w:t xml:space="preserve">Yanomami em frente </w:t>
      </w:r>
      <w:r>
        <w:t xml:space="preserve">à </w:t>
      </w:r>
      <w:r>
        <w:rPr>
          <w:spacing w:val="5"/>
        </w:rPr>
        <w:t xml:space="preserve">sede </w:t>
      </w:r>
      <w:r>
        <w:rPr>
          <w:spacing w:val="2"/>
        </w:rPr>
        <w:t xml:space="preserve">da </w:t>
      </w:r>
      <w:r>
        <w:rPr>
          <w:spacing w:val="5"/>
        </w:rPr>
        <w:t xml:space="preserve">Funai </w:t>
      </w:r>
      <w:r>
        <w:rPr>
          <w:spacing w:val="2"/>
        </w:rPr>
        <w:t xml:space="preserve">em </w:t>
      </w:r>
      <w:r>
        <w:rPr>
          <w:spacing w:val="3"/>
        </w:rPr>
        <w:t xml:space="preserve">Boa </w:t>
      </w:r>
      <w:r>
        <w:rPr>
          <w:spacing w:val="5"/>
        </w:rPr>
        <w:t xml:space="preserve">Vista (RR), solicitava </w:t>
      </w:r>
      <w:r>
        <w:t xml:space="preserve">a retirada de garimpeiros que trabalhavam ilegalmente </w:t>
      </w:r>
      <w:r>
        <w:rPr>
          <w:spacing w:val="1"/>
        </w:rPr>
        <w:t xml:space="preserve">dentro </w:t>
      </w:r>
      <w:r>
        <w:t xml:space="preserve">de suas terras. A coordenadoria do órgão federal reconheceu a </w:t>
      </w:r>
      <w:r>
        <w:rPr>
          <w:spacing w:val="6"/>
        </w:rPr>
        <w:t xml:space="preserve">legitimidade </w:t>
      </w:r>
      <w:r>
        <w:rPr>
          <w:spacing w:val="3"/>
        </w:rPr>
        <w:t xml:space="preserve">do </w:t>
      </w:r>
      <w:r>
        <w:rPr>
          <w:spacing w:val="5"/>
        </w:rPr>
        <w:t xml:space="preserve">pedido </w:t>
      </w:r>
      <w:r>
        <w:t xml:space="preserve">e </w:t>
      </w:r>
      <w:r>
        <w:rPr>
          <w:spacing w:val="5"/>
        </w:rPr>
        <w:t xml:space="preserve">afirmou que faltava </w:t>
      </w:r>
      <w:r>
        <w:rPr>
          <w:spacing w:val="7"/>
        </w:rPr>
        <w:t>ap</w:t>
      </w:r>
      <w:r>
        <w:rPr>
          <w:spacing w:val="7"/>
        </w:rPr>
        <w:t xml:space="preserve">enas </w:t>
      </w:r>
      <w:r>
        <w:rPr>
          <w:spacing w:val="6"/>
        </w:rPr>
        <w:t xml:space="preserve">programar </w:t>
      </w:r>
      <w:r>
        <w:t xml:space="preserve">a </w:t>
      </w:r>
      <w:r>
        <w:rPr>
          <w:spacing w:val="6"/>
        </w:rPr>
        <w:t xml:space="preserve">retirada </w:t>
      </w:r>
      <w:r>
        <w:rPr>
          <w:spacing w:val="5"/>
        </w:rPr>
        <w:t xml:space="preserve">dos </w:t>
      </w:r>
      <w:r>
        <w:rPr>
          <w:spacing w:val="6"/>
        </w:rPr>
        <w:t xml:space="preserve">garimpeiros </w:t>
      </w:r>
      <w:r>
        <w:rPr>
          <w:spacing w:val="5"/>
        </w:rPr>
        <w:t>(ISA,</w:t>
      </w:r>
      <w:r>
        <w:rPr>
          <w:spacing w:val="26"/>
        </w:rPr>
        <w:t xml:space="preserve"> </w:t>
      </w:r>
      <w:r>
        <w:rPr>
          <w:spacing w:val="7"/>
        </w:rPr>
        <w:t>2010).</w:t>
      </w:r>
    </w:p>
    <w:p w:rsidR="00D81F69" w:rsidRDefault="00330118">
      <w:pPr>
        <w:pStyle w:val="Corpodetexto"/>
        <w:spacing w:before="136" w:line="312" w:lineRule="auto"/>
        <w:ind w:right="231"/>
      </w:pPr>
      <w:r>
        <w:t>Especialistas, no entanto, afirmam que esta contenção só será possível com ações efetivas, como o controle da venda de combustíveis de aviação, a repressão às pistas clandestinas localizadas fora da te</w:t>
      </w:r>
      <w:r>
        <w:t>rra indígena e o controle do tráfego aéreo, ações que não dependem dos índios (ISA, 2010).</w:t>
      </w:r>
    </w:p>
    <w:p w:rsidR="00D81F69" w:rsidRDefault="00330118">
      <w:pPr>
        <w:pStyle w:val="Corpodetexto"/>
        <w:spacing w:before="136" w:line="312" w:lineRule="auto"/>
        <w:ind w:right="234"/>
      </w:pPr>
      <w:r>
        <w:t>Em uma entrevista concedida à Folha de Boa Vista, o presidente da HAY afirma que a principal ameaça ao povo Yanomami é a mineração (e não o garimpo), pois nesta prática, “não são pessoas que entram na floresta e degradam apenas algumas regiões. A mineração</w:t>
      </w:r>
      <w:r>
        <w:t xml:space="preserve"> precisa de estradas para transportar os minérios, precisa de grandes áreas para guardar a produção, precisa de locais para alojar os funcionários e, com isso, fará grandes buracos na terra que não deixarão a nossa terra se recuperar” (TARGINO, 2010).</w:t>
      </w:r>
    </w:p>
    <w:p w:rsidR="00D81F69" w:rsidRDefault="00330118">
      <w:pPr>
        <w:pStyle w:val="Corpodetexto"/>
        <w:spacing w:before="138"/>
      </w:pPr>
      <w:r>
        <w:t xml:space="preserve">Ao  </w:t>
      </w:r>
      <w:r>
        <w:t>tomar conhecimento de  um  processo de Licenciamento</w:t>
      </w:r>
    </w:p>
    <w:p w:rsidR="00D81F69" w:rsidRDefault="00D81F69">
      <w:pPr>
        <w:sectPr w:rsidR="00D81F69">
          <w:pgSz w:w="11900" w:h="16840"/>
          <w:pgMar w:top="740" w:right="460" w:bottom="640" w:left="620" w:header="0" w:footer="402" w:gutter="0"/>
          <w:cols w:num="2" w:space="720" w:equalWidth="0">
            <w:col w:w="5162" w:space="308"/>
            <w:col w:w="5350"/>
          </w:cols>
        </w:sectPr>
      </w:pPr>
    </w:p>
    <w:p w:rsidR="00D81F69" w:rsidRDefault="00330118">
      <w:pPr>
        <w:pStyle w:val="Corpodetexto"/>
        <w:spacing w:before="81" w:line="312" w:lineRule="auto"/>
        <w:ind w:right="60"/>
      </w:pPr>
      <w:r>
        <w:lastRenderedPageBreak/>
        <w:t>Ambiental que está sendo realizado pela Fundação Estadual de Meio Ambiente, Ciência e Tecnologia de Roraima (Femact) para a atividade de extração de ouro, numa área de 900 he</w:t>
      </w:r>
      <w:r>
        <w:t>ctares, nos limites da TI Yanomami, o presidente da HAY reclama que as autoridades não consultaram os índios, nem realizaram qualquer estudo que mostre os impactos negativos que certamente existirão. Por conta disso, documentos foram enviados, pela associa</w:t>
      </w:r>
      <w:r>
        <w:t>ção, ao Departamento Nacional de Produção Mineral (DNPM), à Femact-RR e ao Instituto Chico Mendes de Conservação da Biodiversidade (ICMBio) (TARGINO, 2010).</w:t>
      </w:r>
    </w:p>
    <w:p w:rsidR="00D81F69" w:rsidRDefault="00330118">
      <w:pPr>
        <w:pStyle w:val="Corpodetexto"/>
        <w:spacing w:before="140" w:line="312" w:lineRule="auto"/>
        <w:ind w:right="51"/>
      </w:pPr>
      <w:r>
        <w:t>A Femact informou, por meio da assessoria de comunicação, que não existe qualquer precesso nesse se</w:t>
      </w:r>
      <w:r>
        <w:t>ntido e que desconhece totalmente o assunto (SOARES, 2010).</w:t>
      </w:r>
    </w:p>
    <w:p w:rsidR="00D81F69" w:rsidRDefault="00330118">
      <w:pPr>
        <w:pStyle w:val="Corpodetexto"/>
        <w:spacing w:before="133" w:line="312" w:lineRule="auto"/>
        <w:ind w:right="51"/>
      </w:pPr>
      <w:r>
        <w:t>O Superintendente do DNPM, por sua vez, confirmou que existe um processo para licença ambiental para pesquisa mineral na região do rio Uraricuera, no município de Amajari, requerido por uma pessoa física, para a exploração de ouro (SOARES, 2010).</w:t>
      </w:r>
    </w:p>
    <w:p w:rsidR="00D81F69" w:rsidRDefault="00330118">
      <w:pPr>
        <w:pStyle w:val="Corpodetexto"/>
        <w:spacing w:before="134" w:line="312" w:lineRule="auto"/>
        <w:ind w:right="64"/>
      </w:pPr>
      <w:r>
        <w:t>Em outubr</w:t>
      </w:r>
      <w:r>
        <w:t xml:space="preserve">o de 2011, uma equipe de televisão esteve na TI Yanomami fazendo uma reportagem sobre a volta do garimpo ilegal ao território. Ouvindo índios, garimpeiros, funcionários da Funai e comerciantes de joias, os repórteres constataram que a situação na região é </w:t>
      </w:r>
      <w:r>
        <w:t xml:space="preserve">preocupante e há temor de </w:t>
      </w:r>
      <w:r>
        <w:rPr>
          <w:spacing w:val="1"/>
        </w:rPr>
        <w:t xml:space="preserve">que </w:t>
      </w:r>
      <w:r>
        <w:t xml:space="preserve">ocorra uma nova invasão, como a dos anos 1980, estimulada </w:t>
      </w:r>
      <w:r>
        <w:rPr>
          <w:spacing w:val="5"/>
        </w:rPr>
        <w:t xml:space="preserve">pela alta dos preços </w:t>
      </w:r>
      <w:r>
        <w:rPr>
          <w:spacing w:val="3"/>
        </w:rPr>
        <w:t xml:space="preserve">do </w:t>
      </w:r>
      <w:r>
        <w:rPr>
          <w:spacing w:val="5"/>
        </w:rPr>
        <w:t xml:space="preserve">ouro </w:t>
      </w:r>
      <w:r>
        <w:rPr>
          <w:spacing w:val="3"/>
        </w:rPr>
        <w:t xml:space="preserve">no </w:t>
      </w:r>
      <w:r>
        <w:rPr>
          <w:spacing w:val="5"/>
        </w:rPr>
        <w:t xml:space="preserve">mercado </w:t>
      </w:r>
      <w:r>
        <w:rPr>
          <w:spacing w:val="7"/>
        </w:rPr>
        <w:t xml:space="preserve">internacional </w:t>
      </w:r>
      <w:r>
        <w:rPr>
          <w:spacing w:val="6"/>
        </w:rPr>
        <w:t>(FANTÁSTICO,</w:t>
      </w:r>
      <w:r>
        <w:rPr>
          <w:spacing w:val="40"/>
        </w:rPr>
        <w:t xml:space="preserve"> </w:t>
      </w:r>
      <w:r>
        <w:rPr>
          <w:spacing w:val="7"/>
        </w:rPr>
        <w:t>2011).</w:t>
      </w:r>
    </w:p>
    <w:p w:rsidR="00D81F69" w:rsidRPr="00392EAD" w:rsidRDefault="00330118">
      <w:pPr>
        <w:pStyle w:val="Corpodetexto"/>
        <w:spacing w:before="138" w:line="312" w:lineRule="auto"/>
        <w:ind w:right="48"/>
        <w:rPr>
          <w:lang w:val="pt-BR"/>
        </w:rPr>
      </w:pPr>
      <w:r w:rsidRPr="00392EAD">
        <w:rPr>
          <w:lang w:val="pt-BR"/>
        </w:rPr>
        <w:t>A equipe de reportagem localizou facilmente um acampamento de garimpeiros na beira do rio Cout</w:t>
      </w:r>
      <w:r w:rsidRPr="00392EAD">
        <w:rPr>
          <w:lang w:val="pt-BR"/>
        </w:rPr>
        <w:t>o Magalhães, a apenas dez minutos de barco de uma aldeia Yanomami. Um pouco mais acima no rio foi encontrada uma balsa com mais três garimpeiros, munida de equipamento para mineração. O patrão, dono da balsa e do maquinário, ficaria na cidade de Boa Vista,</w:t>
      </w:r>
      <w:r w:rsidRPr="00392EAD">
        <w:rPr>
          <w:lang w:val="pt-BR"/>
        </w:rPr>
        <w:t xml:space="preserve"> segundo eles. Analfabeto e pai de dois filhos, um dos garimpeiros declarou que não cogita deixar o garimpo: “Se a polícia nos levar e nós pudermos voltar, voltamos”, declarou (FANTÁSTICO, 2011).</w:t>
      </w:r>
    </w:p>
    <w:p w:rsidR="00D81F69" w:rsidRDefault="00330118">
      <w:pPr>
        <w:pStyle w:val="Corpodetexto"/>
        <w:spacing w:before="139" w:line="312" w:lineRule="auto"/>
        <w:ind w:right="38"/>
      </w:pPr>
      <w:r>
        <w:t>Na aldeia indígena de Papiú, as lideranças se mostraram enfu</w:t>
      </w:r>
      <w:r>
        <w:t>recidas com o retorno dos garimpeiros. Há o risco iminente de mais conflitos. Mas os índios já começaram essa batalha perdendo: no Centro de Atendimento de Saúde Indígena em Boa Vista, 53 índios encontrava-se internados com doenças que podem ter sido trans</w:t>
      </w:r>
      <w:r>
        <w:t xml:space="preserve">mitidas por garimpeiros. No início de 2011, em uma aldeia Yanomami próxima à Venezuela, 23 índios morreram de malária. Ouvida pela reportagem, uma médica que esteve na aldeia acredita que a epidemia foi levada por garimpeiros que haviam passado por ali. O </w:t>
      </w:r>
      <w:r>
        <w:t xml:space="preserve">número de óbitos é alarmante, considerando que em 2010 o Ministério da Saúde registrou apenas 72 mortes por malária em todo o Brasil (FANTÁSTICO, 2011). </w:t>
      </w:r>
    </w:p>
    <w:p w:rsidR="00D81F69" w:rsidRDefault="00330118">
      <w:pPr>
        <w:pStyle w:val="Corpodetexto"/>
        <w:spacing w:before="80" w:line="270" w:lineRule="atLeast"/>
        <w:ind w:right="64"/>
      </w:pPr>
      <w:r>
        <w:t>Sobrevoando o território, a Funai encontrou 110 pistas clandestinas de avião, pelo menos 15 delas func</w:t>
      </w:r>
      <w:r>
        <w:t>ionando a pleno vapor. Uma das pistas está localizada em uma área</w:t>
      </w:r>
    </w:p>
    <w:p w:rsidR="00D81F69" w:rsidRDefault="00330118">
      <w:pPr>
        <w:pStyle w:val="Corpodetexto"/>
        <w:spacing w:before="81" w:line="312" w:lineRule="auto"/>
        <w:ind w:right="250"/>
      </w:pPr>
      <w:r>
        <w:br w:type="column"/>
      </w:r>
      <w:r>
        <w:rPr>
          <w:spacing w:val="3"/>
        </w:rPr>
        <w:lastRenderedPageBreak/>
        <w:t xml:space="preserve">muito próxima </w:t>
      </w:r>
      <w:r>
        <w:t xml:space="preserve">à </w:t>
      </w:r>
      <w:r>
        <w:rPr>
          <w:spacing w:val="3"/>
        </w:rPr>
        <w:t xml:space="preserve">aldeia </w:t>
      </w:r>
      <w:r>
        <w:rPr>
          <w:spacing w:val="2"/>
        </w:rPr>
        <w:t xml:space="preserve">dos Moxi </w:t>
      </w:r>
      <w:r>
        <w:rPr>
          <w:spacing w:val="3"/>
        </w:rPr>
        <w:t xml:space="preserve">Hatetemes, </w:t>
      </w:r>
      <w:r>
        <w:rPr>
          <w:spacing w:val="1"/>
        </w:rPr>
        <w:t xml:space="preserve">um </w:t>
      </w:r>
      <w:r>
        <w:rPr>
          <w:spacing w:val="3"/>
        </w:rPr>
        <w:t xml:space="preserve">grupo </w:t>
      </w:r>
      <w:r>
        <w:rPr>
          <w:spacing w:val="5"/>
        </w:rPr>
        <w:t xml:space="preserve">de Yanomami isolado </w:t>
      </w:r>
      <w:r>
        <w:rPr>
          <w:spacing w:val="2"/>
        </w:rPr>
        <w:t xml:space="preserve">de </w:t>
      </w:r>
      <w:r>
        <w:rPr>
          <w:spacing w:val="5"/>
        </w:rPr>
        <w:t xml:space="preserve">outros índios. </w:t>
      </w:r>
      <w:r>
        <w:rPr>
          <w:spacing w:val="2"/>
        </w:rPr>
        <w:t xml:space="preserve">Um </w:t>
      </w:r>
      <w:r>
        <w:rPr>
          <w:spacing w:val="5"/>
        </w:rPr>
        <w:t xml:space="preserve">contato </w:t>
      </w:r>
      <w:r>
        <w:rPr>
          <w:spacing w:val="3"/>
        </w:rPr>
        <w:t xml:space="preserve">com </w:t>
      </w:r>
      <w:r>
        <w:rPr>
          <w:spacing w:val="5"/>
        </w:rPr>
        <w:t>os</w:t>
      </w:r>
      <w:r>
        <w:rPr>
          <w:spacing w:val="61"/>
        </w:rPr>
        <w:t xml:space="preserve"> </w:t>
      </w:r>
      <w:r>
        <w:rPr>
          <w:spacing w:val="3"/>
        </w:rPr>
        <w:t xml:space="preserve">garimpeiros poderia </w:t>
      </w:r>
      <w:r>
        <w:rPr>
          <w:spacing w:val="2"/>
        </w:rPr>
        <w:t xml:space="preserve">ser </w:t>
      </w:r>
      <w:r>
        <w:rPr>
          <w:spacing w:val="3"/>
        </w:rPr>
        <w:t xml:space="preserve">fatal </w:t>
      </w:r>
      <w:r>
        <w:rPr>
          <w:spacing w:val="2"/>
        </w:rPr>
        <w:t xml:space="preserve">para </w:t>
      </w:r>
      <w:r>
        <w:t xml:space="preserve">a </w:t>
      </w:r>
      <w:r>
        <w:rPr>
          <w:spacing w:val="3"/>
        </w:rPr>
        <w:t xml:space="preserve">tribo, cujos </w:t>
      </w:r>
      <w:r>
        <w:rPr>
          <w:spacing w:val="5"/>
        </w:rPr>
        <w:t xml:space="preserve">membros </w:t>
      </w:r>
      <w:r>
        <w:t>provavelmente carecem d</w:t>
      </w:r>
      <w:r>
        <w:t xml:space="preserve">e defesa imunológica contra </w:t>
      </w:r>
      <w:r>
        <w:rPr>
          <w:spacing w:val="1"/>
        </w:rPr>
        <w:t xml:space="preserve">uma </w:t>
      </w:r>
      <w:r>
        <w:t xml:space="preserve">série de doenças (FANTÁSTICO, </w:t>
      </w:r>
      <w:r>
        <w:rPr>
          <w:spacing w:val="1"/>
        </w:rPr>
        <w:t>2011).</w:t>
      </w:r>
    </w:p>
    <w:p w:rsidR="00D81F69" w:rsidRDefault="00330118">
      <w:pPr>
        <w:pStyle w:val="Corpodetexto"/>
        <w:spacing w:before="134" w:line="312" w:lineRule="auto"/>
        <w:ind w:right="236"/>
      </w:pPr>
      <w:r>
        <w:t>Um ex-dono de garimpos ouvido pela reportagem afirmou serem necessários R$ 200 mil para dar início à atividade. Um dono de avião que leva garimpeiros para a região chega a ganhar entre R$</w:t>
      </w:r>
      <w:r>
        <w:t>60 mil e R$70 mil por mês. A Funai reconheceu a ausência do Estado na TI e prometeu que irá instalar bases de vigilância na reserva (FANTÁSTICO, 2011).</w:t>
      </w:r>
    </w:p>
    <w:p w:rsidR="00D81F69" w:rsidRDefault="00330118">
      <w:pPr>
        <w:pStyle w:val="Corpodetexto"/>
        <w:spacing w:before="136" w:line="312" w:lineRule="auto"/>
        <w:ind w:right="237"/>
      </w:pPr>
      <w:r>
        <w:t>A reportagem também esteve em uma avenida no centro de Boa Vista, conhecida como a Rua do Ouro, onde cer</w:t>
      </w:r>
      <w:r>
        <w:t>ca de 40 lojas, todas registradas no Sindicato dos Joalheiros da cidade, compram e vendem ouro. Embora parte dessa atividade seja ilegal, ela é feita às claras, sem qualquer preocupação por parte dos comerciantes, que, inclusive, concederam entrevistas nas</w:t>
      </w:r>
      <w:r>
        <w:t xml:space="preserve"> quais confessavam seus negócios. Um empresário do ramo joalheiro, agente aposentado da Polícia Federal, declarou: “Tem colegas nossos que falam até mesmo em invadir, como ocorreu nos anos 1980. Mas ficamos controlando, dizendo para eles que estamos em pro</w:t>
      </w:r>
      <w:r>
        <w:t>cesso de legalização” (FANTÁSTICO, 2011).</w:t>
      </w:r>
    </w:p>
    <w:p w:rsidR="00D81F69" w:rsidRDefault="00330118">
      <w:pPr>
        <w:pStyle w:val="Corpodetexto"/>
        <w:spacing w:before="141" w:line="312" w:lineRule="auto"/>
        <w:ind w:right="254"/>
      </w:pPr>
      <w:r>
        <w:t>Tramita há mais de 15 anos na Câmara dos Deputados um projeto de lei que passa a permitir a entrada de mineradoras e garimpeiros em terras indígenas (VILLAS BÔAS, 2005).</w:t>
      </w:r>
    </w:p>
    <w:p w:rsidR="00D81F69" w:rsidRDefault="00D81F69">
      <w:pPr>
        <w:pStyle w:val="Corpodetexto"/>
        <w:spacing w:before="2"/>
        <w:ind w:left="0"/>
        <w:jc w:val="left"/>
        <w:rPr>
          <w:sz w:val="21"/>
        </w:rPr>
      </w:pPr>
    </w:p>
    <w:p w:rsidR="00D81F69" w:rsidRDefault="00330118">
      <w:pPr>
        <w:pStyle w:val="Heading7"/>
        <w:spacing w:before="1"/>
      </w:pPr>
      <w:r>
        <w:t>LOCALIZAÇÃO GEOGRÁFICA</w:t>
      </w:r>
    </w:p>
    <w:p w:rsidR="00D81F69" w:rsidRDefault="00330118">
      <w:pPr>
        <w:pStyle w:val="Corpodetexto"/>
        <w:spacing w:before="178" w:line="312" w:lineRule="auto"/>
        <w:ind w:right="247"/>
      </w:pPr>
      <w:r>
        <w:t>As ocorrências de ouro do município de Amajari estão localizadas na sub-bacia do rio Uraricuera, afluente da bacia do ro Preto, entre as latitudes 3°21’2,45”N – 3°53’26,13”N e longitudes 61º59’27,88”W – 62°1’39,24”W, ao redor dos rios Amajari, Traírão e Ur</w:t>
      </w:r>
      <w:r>
        <w:t>aricaá.</w:t>
      </w:r>
    </w:p>
    <w:p w:rsidR="00D81F69" w:rsidRDefault="00D81F69">
      <w:pPr>
        <w:pStyle w:val="Corpodetexto"/>
        <w:spacing w:before="3"/>
        <w:ind w:left="0"/>
        <w:jc w:val="left"/>
        <w:rPr>
          <w:sz w:val="29"/>
        </w:rPr>
      </w:pPr>
    </w:p>
    <w:p w:rsidR="00D81F69" w:rsidRDefault="00330118">
      <w:pPr>
        <w:pStyle w:val="Heading7"/>
      </w:pPr>
      <w:r>
        <w:t>REDATORES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7" w:line="312" w:lineRule="auto"/>
        <w:ind w:left="100" w:right="233"/>
        <w:jc w:val="both"/>
        <w:rPr>
          <w:sz w:val="16"/>
        </w:rPr>
      </w:pPr>
      <w:r>
        <w:rPr>
          <w:sz w:val="16"/>
        </w:rPr>
        <w:t>CIDH, Comissão Interamericana de Direitos Humanos. Relatório Sobre a Situação dos Direitos Humanos no Brasil, Capítulo VI: Os Direitos Humanos dos Povos Indígenas do Brasil, 29 s</w:t>
      </w:r>
      <w:r>
        <w:rPr>
          <w:sz w:val="16"/>
        </w:rPr>
        <w:t xml:space="preserve">et. 1997. Disponível em: </w:t>
      </w:r>
      <w:hyperlink r:id="rId522">
        <w:r>
          <w:rPr>
            <w:sz w:val="16"/>
          </w:rPr>
          <w:t>&lt;http://www.cidh.org/countryrep/brazil-port/Pag%206-</w:t>
        </w:r>
      </w:hyperlink>
      <w:r>
        <w:rPr>
          <w:sz w:val="16"/>
        </w:rPr>
        <w:t xml:space="preserve"> 1.htm&gt;. Acesso em: 29 mai. 2010.</w:t>
      </w:r>
    </w:p>
    <w:p w:rsidR="00D81F69" w:rsidRDefault="00330118">
      <w:pPr>
        <w:tabs>
          <w:tab w:val="left" w:pos="1211"/>
          <w:tab w:val="left" w:pos="2503"/>
          <w:tab w:val="left" w:pos="4639"/>
        </w:tabs>
        <w:spacing w:before="4" w:line="312" w:lineRule="auto"/>
        <w:ind w:left="100" w:right="254"/>
        <w:rPr>
          <w:sz w:val="16"/>
        </w:rPr>
      </w:pPr>
      <w:r>
        <w:rPr>
          <w:sz w:val="16"/>
        </w:rPr>
        <w:t xml:space="preserve">CIR, Conselho Indígena de Roraima. Funai diz que invasão à reserva Yanomami </w:t>
      </w:r>
      <w:r>
        <w:rPr>
          <w:sz w:val="16"/>
        </w:rPr>
        <w:t xml:space="preserve">chegou a grandes proporções em Roraima. Roraima, 08    </w:t>
      </w:r>
      <w:r>
        <w:rPr>
          <w:spacing w:val="10"/>
          <w:sz w:val="16"/>
        </w:rPr>
        <w:t>m  a</w:t>
      </w:r>
      <w:r>
        <w:rPr>
          <w:spacing w:val="23"/>
          <w:sz w:val="16"/>
        </w:rPr>
        <w:t xml:space="preserve"> </w:t>
      </w:r>
      <w:r>
        <w:rPr>
          <w:spacing w:val="10"/>
          <w:sz w:val="16"/>
        </w:rPr>
        <w:t>r</w:t>
      </w:r>
      <w:r>
        <w:rPr>
          <w:spacing w:val="43"/>
          <w:sz w:val="16"/>
        </w:rPr>
        <w:t xml:space="preserve"> </w:t>
      </w:r>
      <w:r>
        <w:rPr>
          <w:sz w:val="16"/>
        </w:rPr>
        <w:t>.</w:t>
      </w:r>
      <w:r>
        <w:rPr>
          <w:sz w:val="16"/>
        </w:rPr>
        <w:tab/>
      </w:r>
      <w:r>
        <w:rPr>
          <w:spacing w:val="10"/>
          <w:sz w:val="16"/>
        </w:rPr>
        <w:t>2  0  1</w:t>
      </w:r>
      <w:r>
        <w:rPr>
          <w:spacing w:val="3"/>
          <w:sz w:val="16"/>
        </w:rPr>
        <w:t xml:space="preserve"> </w:t>
      </w:r>
      <w:r>
        <w:rPr>
          <w:spacing w:val="10"/>
          <w:sz w:val="16"/>
        </w:rPr>
        <w:t>0</w:t>
      </w:r>
      <w:r>
        <w:rPr>
          <w:spacing w:val="43"/>
          <w:sz w:val="16"/>
        </w:rPr>
        <w:t xml:space="preserve"> </w:t>
      </w:r>
      <w:r>
        <w:rPr>
          <w:sz w:val="16"/>
        </w:rPr>
        <w:t>.</w:t>
      </w:r>
      <w:r>
        <w:rPr>
          <w:sz w:val="16"/>
        </w:rPr>
        <w:tab/>
      </w:r>
      <w:r>
        <w:rPr>
          <w:spacing w:val="10"/>
          <w:sz w:val="16"/>
        </w:rPr>
        <w:t>D</w:t>
      </w:r>
      <w:r>
        <w:rPr>
          <w:spacing w:val="43"/>
          <w:sz w:val="16"/>
        </w:rPr>
        <w:t xml:space="preserve"> </w:t>
      </w:r>
      <w:r>
        <w:rPr>
          <w:spacing w:val="10"/>
          <w:sz w:val="16"/>
        </w:rPr>
        <w:t>i</w:t>
      </w:r>
      <w:r>
        <w:rPr>
          <w:spacing w:val="43"/>
          <w:sz w:val="16"/>
        </w:rPr>
        <w:t xml:space="preserve"> </w:t>
      </w:r>
      <w:r>
        <w:rPr>
          <w:spacing w:val="10"/>
          <w:sz w:val="16"/>
        </w:rPr>
        <w:t>s</w:t>
      </w:r>
      <w:r>
        <w:rPr>
          <w:spacing w:val="43"/>
          <w:sz w:val="16"/>
        </w:rPr>
        <w:t xml:space="preserve"> </w:t>
      </w:r>
      <w:r>
        <w:rPr>
          <w:spacing w:val="10"/>
          <w:sz w:val="16"/>
        </w:rPr>
        <w:t>p</w:t>
      </w:r>
      <w:r>
        <w:rPr>
          <w:spacing w:val="43"/>
          <w:sz w:val="16"/>
        </w:rPr>
        <w:t xml:space="preserve"> </w:t>
      </w:r>
      <w:r>
        <w:rPr>
          <w:spacing w:val="10"/>
          <w:sz w:val="16"/>
        </w:rPr>
        <w:t>o</w:t>
      </w:r>
      <w:r>
        <w:rPr>
          <w:spacing w:val="43"/>
          <w:sz w:val="16"/>
        </w:rPr>
        <w:t xml:space="preserve"> </w:t>
      </w:r>
      <w:r>
        <w:rPr>
          <w:spacing w:val="10"/>
          <w:sz w:val="16"/>
        </w:rPr>
        <w:t>n</w:t>
      </w:r>
      <w:r>
        <w:rPr>
          <w:spacing w:val="43"/>
          <w:sz w:val="16"/>
        </w:rPr>
        <w:t xml:space="preserve"> </w:t>
      </w:r>
      <w:r>
        <w:rPr>
          <w:spacing w:val="10"/>
          <w:sz w:val="16"/>
        </w:rPr>
        <w:t>í</w:t>
      </w:r>
      <w:r>
        <w:rPr>
          <w:spacing w:val="43"/>
          <w:sz w:val="16"/>
        </w:rPr>
        <w:t xml:space="preserve"> </w:t>
      </w:r>
      <w:r>
        <w:rPr>
          <w:spacing w:val="10"/>
          <w:sz w:val="16"/>
        </w:rPr>
        <w:t>v</w:t>
      </w:r>
      <w:r>
        <w:rPr>
          <w:spacing w:val="43"/>
          <w:sz w:val="16"/>
        </w:rPr>
        <w:t xml:space="preserve"> </w:t>
      </w:r>
      <w:r>
        <w:rPr>
          <w:spacing w:val="10"/>
          <w:sz w:val="16"/>
        </w:rPr>
        <w:t>e</w:t>
      </w:r>
      <w:r>
        <w:rPr>
          <w:spacing w:val="43"/>
          <w:sz w:val="16"/>
        </w:rPr>
        <w:t xml:space="preserve"> </w:t>
      </w:r>
      <w:r>
        <w:rPr>
          <w:sz w:val="16"/>
        </w:rPr>
        <w:t>l</w:t>
      </w:r>
      <w:r>
        <w:rPr>
          <w:sz w:val="16"/>
        </w:rPr>
        <w:tab/>
      </w:r>
      <w:r>
        <w:rPr>
          <w:spacing w:val="10"/>
          <w:sz w:val="16"/>
        </w:rPr>
        <w:t>e m</w:t>
      </w:r>
      <w:r>
        <w:rPr>
          <w:spacing w:val="23"/>
          <w:sz w:val="16"/>
        </w:rPr>
        <w:t xml:space="preserve"> </w:t>
      </w:r>
      <w:r>
        <w:rPr>
          <w:sz w:val="16"/>
        </w:rPr>
        <w:t xml:space="preserve">: </w:t>
      </w:r>
      <w:r>
        <w:rPr>
          <w:spacing w:val="10"/>
          <w:sz w:val="16"/>
        </w:rPr>
        <w:t xml:space="preserve"> </w:t>
      </w:r>
    </w:p>
    <w:p w:rsidR="00D81F69" w:rsidRDefault="00D81F69">
      <w:pPr>
        <w:spacing w:before="3" w:line="312" w:lineRule="auto"/>
        <w:ind w:left="100" w:right="233"/>
        <w:jc w:val="both"/>
        <w:rPr>
          <w:sz w:val="16"/>
        </w:rPr>
      </w:pPr>
      <w:hyperlink r:id="rId523">
        <w:r w:rsidR="00330118">
          <w:rPr>
            <w:sz w:val="16"/>
          </w:rPr>
          <w:t>&lt;http://www.cir.org.br/noticias.php?id=692&gt;.</w:t>
        </w:r>
      </w:hyperlink>
      <w:r w:rsidR="00330118">
        <w:rPr>
          <w:sz w:val="16"/>
        </w:rPr>
        <w:t xml:space="preserve"> Acesso em: 29 mai. 2010.</w:t>
      </w:r>
    </w:p>
    <w:p w:rsidR="00D81F69" w:rsidRDefault="00330118">
      <w:pPr>
        <w:tabs>
          <w:tab w:val="left" w:pos="1171"/>
          <w:tab w:val="left" w:pos="2478"/>
          <w:tab w:val="left" w:pos="4638"/>
        </w:tabs>
        <w:spacing w:before="2" w:line="312" w:lineRule="auto"/>
        <w:ind w:left="100" w:right="239"/>
        <w:jc w:val="both"/>
        <w:rPr>
          <w:sz w:val="16"/>
        </w:rPr>
      </w:pPr>
      <w:r>
        <w:rPr>
          <w:sz w:val="16"/>
        </w:rPr>
        <w:t xml:space="preserve">FANTÁSTICO. Garimpo ilegal invade reserva de índios Yanomami, 9 o  u </w:t>
      </w:r>
      <w:r>
        <w:rPr>
          <w:spacing w:val="22"/>
          <w:sz w:val="16"/>
        </w:rPr>
        <w:t xml:space="preserve"> </w:t>
      </w:r>
      <w:r>
        <w:rPr>
          <w:sz w:val="16"/>
        </w:rPr>
        <w:t xml:space="preserve">t </w:t>
      </w:r>
      <w:r>
        <w:rPr>
          <w:spacing w:val="10"/>
          <w:sz w:val="16"/>
        </w:rPr>
        <w:t xml:space="preserve"> </w:t>
      </w:r>
      <w:r>
        <w:rPr>
          <w:sz w:val="16"/>
        </w:rPr>
        <w:t>.</w:t>
      </w:r>
      <w:r>
        <w:rPr>
          <w:sz w:val="16"/>
        </w:rPr>
        <w:tab/>
        <w:t xml:space="preserve">2  0  1 </w:t>
      </w:r>
      <w:r>
        <w:rPr>
          <w:spacing w:val="35"/>
          <w:sz w:val="16"/>
        </w:rPr>
        <w:t xml:space="preserve"> </w:t>
      </w:r>
      <w:r>
        <w:rPr>
          <w:sz w:val="16"/>
        </w:rPr>
        <w:t xml:space="preserve">1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tabs>
          <w:tab w:val="left" w:pos="2559"/>
          <w:tab w:val="left" w:pos="5063"/>
        </w:tabs>
        <w:spacing w:before="1" w:line="312" w:lineRule="auto"/>
        <w:ind w:left="100" w:right="224"/>
        <w:jc w:val="both"/>
        <w:rPr>
          <w:sz w:val="16"/>
        </w:rPr>
      </w:pPr>
      <w:hyperlink r:id="rId524">
        <w:r w:rsidR="00330118">
          <w:rPr>
            <w:spacing w:val="13"/>
            <w:sz w:val="16"/>
          </w:rPr>
          <w:t>&lt;http://fantastico.globo.com/Jornalismo/FANT/0,,15605</w:t>
        </w:r>
        <w:r w:rsidR="00330118">
          <w:rPr>
            <w:spacing w:val="13"/>
            <w:sz w:val="16"/>
          </w:rPr>
          <w:t xml:space="preserve">-p- </w:t>
        </w:r>
      </w:hyperlink>
      <w:r w:rsidR="00330118">
        <w:rPr>
          <w:spacing w:val="13"/>
          <w:sz w:val="16"/>
        </w:rPr>
        <w:t xml:space="preserve">09%7C10%7C2011,00.html </w:t>
      </w:r>
      <w:r w:rsidR="00330118">
        <w:rPr>
          <w:spacing w:val="6"/>
          <w:sz w:val="16"/>
        </w:rPr>
        <w:t xml:space="preserve">&gt;. </w:t>
      </w:r>
      <w:r w:rsidR="00330118">
        <w:rPr>
          <w:spacing w:val="11"/>
          <w:sz w:val="16"/>
        </w:rPr>
        <w:t xml:space="preserve">Acesso </w:t>
      </w:r>
      <w:r w:rsidR="00330118">
        <w:rPr>
          <w:spacing w:val="10"/>
          <w:sz w:val="16"/>
        </w:rPr>
        <w:t xml:space="preserve">em: </w:t>
      </w:r>
      <w:r w:rsidR="00330118">
        <w:rPr>
          <w:spacing w:val="6"/>
          <w:sz w:val="16"/>
        </w:rPr>
        <w:t xml:space="preserve">19 </w:t>
      </w:r>
      <w:r w:rsidR="00330118">
        <w:rPr>
          <w:spacing w:val="10"/>
          <w:sz w:val="16"/>
        </w:rPr>
        <w:t xml:space="preserve">out. </w:t>
      </w:r>
      <w:r w:rsidR="00330118">
        <w:rPr>
          <w:spacing w:val="11"/>
          <w:sz w:val="16"/>
        </w:rPr>
        <w:t xml:space="preserve">2011. </w:t>
      </w:r>
      <w:r w:rsidR="00330118">
        <w:rPr>
          <w:sz w:val="16"/>
        </w:rPr>
        <w:t>FOLHA DE BOA VISTA. PF faz operação para desativar garimpos em Roraima. In: Portal Amazônia.com, Manaus, 6 mai. 2009. Disponível  e</w:t>
      </w:r>
      <w:r w:rsidR="00330118">
        <w:rPr>
          <w:sz w:val="16"/>
        </w:rPr>
        <w:tab/>
        <w:t>m</w:t>
      </w:r>
      <w:r w:rsidR="00330118">
        <w:rPr>
          <w:sz w:val="16"/>
        </w:rPr>
        <w:tab/>
        <w:t>:</w:t>
      </w:r>
    </w:p>
    <w:p w:rsidR="00D81F69" w:rsidRDefault="00D81F69">
      <w:pPr>
        <w:spacing w:line="312" w:lineRule="auto"/>
        <w:jc w:val="both"/>
        <w:rPr>
          <w:sz w:val="16"/>
        </w:rPr>
        <w:sectPr w:rsidR="00D81F69">
          <w:pgSz w:w="11900" w:h="16840"/>
          <w:pgMar w:top="740" w:right="460" w:bottom="640" w:left="620" w:header="0" w:footer="402" w:gutter="0"/>
          <w:cols w:num="2" w:space="720" w:equalWidth="0">
            <w:col w:w="5166" w:space="304"/>
            <w:col w:w="5350"/>
          </w:cols>
        </w:sectPr>
      </w:pPr>
    </w:p>
    <w:p w:rsidR="00D81F69" w:rsidRPr="00392EAD" w:rsidRDefault="00D81F69">
      <w:pPr>
        <w:spacing w:before="70" w:line="312" w:lineRule="auto"/>
        <w:ind w:left="100" w:right="87"/>
        <w:jc w:val="both"/>
        <w:rPr>
          <w:sz w:val="16"/>
          <w:lang w:val="pt-BR"/>
        </w:rPr>
      </w:pPr>
      <w:hyperlink r:id="rId525">
        <w:r w:rsidR="00330118">
          <w:rPr>
            <w:sz w:val="16"/>
          </w:rPr>
          <w:t>&lt;http://portalamazonia.globo.com/pscript/noticias/noticias.php?pag=ol</w:t>
        </w:r>
      </w:hyperlink>
      <w:r w:rsidR="00330118">
        <w:rPr>
          <w:sz w:val="16"/>
        </w:rPr>
        <w:t xml:space="preserve"> d&amp;idN=83313&gt;. </w:t>
      </w:r>
      <w:r w:rsidR="00330118" w:rsidRPr="00392EAD">
        <w:rPr>
          <w:sz w:val="16"/>
          <w:lang w:val="pt-BR"/>
        </w:rPr>
        <w:t>Acesso em: 27 mai. 2010.</w:t>
      </w:r>
    </w:p>
    <w:p w:rsidR="00D81F69" w:rsidRPr="00392EAD" w:rsidRDefault="00330118">
      <w:pPr>
        <w:spacing w:before="1" w:line="312" w:lineRule="auto"/>
        <w:ind w:left="100" w:right="58"/>
        <w:jc w:val="both"/>
        <w:rPr>
          <w:sz w:val="16"/>
          <w:lang w:val="pt-BR"/>
        </w:rPr>
      </w:pPr>
      <w:r w:rsidRPr="00392EAD">
        <w:rPr>
          <w:sz w:val="16"/>
          <w:lang w:val="pt-BR"/>
        </w:rPr>
        <w:t>IBGE, Instituto Brasileiro de Geografia e Estatística. Uso da T</w:t>
      </w:r>
      <w:r w:rsidRPr="00392EAD">
        <w:rPr>
          <w:sz w:val="16"/>
          <w:lang w:val="pt-BR"/>
        </w:rPr>
        <w:t>erra e a Gestão do Território no Estado de Roraima. Relatório Técnico, Diretoria de Geociências Coordenação de Recursos Naturais e Estudos Ambientais. Rio de Janeiro, 2009. Disponível em:</w:t>
      </w:r>
    </w:p>
    <w:p w:rsidR="00D81F69" w:rsidRPr="00392EAD" w:rsidRDefault="00330118">
      <w:pPr>
        <w:spacing w:before="4"/>
        <w:ind w:left="100"/>
        <w:rPr>
          <w:sz w:val="16"/>
          <w:lang w:val="pt-BR"/>
        </w:rPr>
      </w:pPr>
      <w:r w:rsidRPr="00392EAD">
        <w:rPr>
          <w:sz w:val="16"/>
          <w:lang w:val="pt-BR"/>
        </w:rPr>
        <w:t>&lt;ftp://geoftp.ibge.gov.br/documentos/recursosnaturais/usodaterra/uso</w:t>
      </w:r>
    </w:p>
    <w:p w:rsidR="00D81F69" w:rsidRPr="00392EAD" w:rsidRDefault="00330118">
      <w:pPr>
        <w:spacing w:before="56"/>
        <w:ind w:left="100"/>
        <w:rPr>
          <w:sz w:val="16"/>
          <w:lang w:val="pt-BR"/>
        </w:rPr>
      </w:pPr>
      <w:r w:rsidRPr="00392EAD">
        <w:rPr>
          <w:sz w:val="16"/>
          <w:lang w:val="pt-BR"/>
        </w:rPr>
        <w:t>_terra_e_a_gestao_RR.pdf&gt;. Acesso em: 27 mai. 2010.</w:t>
      </w:r>
    </w:p>
    <w:p w:rsidR="00D81F69" w:rsidRPr="00392EAD" w:rsidRDefault="00330118">
      <w:pPr>
        <w:spacing w:before="56" w:line="312" w:lineRule="auto"/>
        <w:ind w:left="100" w:right="38"/>
        <w:jc w:val="both"/>
        <w:rPr>
          <w:sz w:val="16"/>
          <w:lang w:val="pt-BR"/>
        </w:rPr>
      </w:pPr>
      <w:r w:rsidRPr="00392EAD">
        <w:rPr>
          <w:sz w:val="16"/>
          <w:lang w:val="pt-BR"/>
        </w:rPr>
        <w:t xml:space="preserve">ISA, Instituto Socioambiental. Garimpo ilegal em área Yanomami. In: </w:t>
      </w:r>
      <w:r w:rsidRPr="00392EAD">
        <w:rPr>
          <w:spacing w:val="21"/>
          <w:sz w:val="16"/>
          <w:lang w:val="pt-BR"/>
        </w:rPr>
        <w:t xml:space="preserve">Terra </w:t>
      </w:r>
      <w:r w:rsidRPr="00392EAD">
        <w:rPr>
          <w:spacing w:val="13"/>
          <w:sz w:val="16"/>
          <w:lang w:val="pt-BR"/>
        </w:rPr>
        <w:t xml:space="preserve">da </w:t>
      </w:r>
      <w:r w:rsidRPr="00392EAD">
        <w:rPr>
          <w:spacing w:val="22"/>
          <w:sz w:val="16"/>
          <w:lang w:val="pt-BR"/>
        </w:rPr>
        <w:t xml:space="preserve">Gente, </w:t>
      </w:r>
      <w:r w:rsidRPr="00392EAD">
        <w:rPr>
          <w:spacing w:val="13"/>
          <w:sz w:val="16"/>
          <w:lang w:val="pt-BR"/>
        </w:rPr>
        <w:t xml:space="preserve">09 </w:t>
      </w:r>
      <w:r w:rsidRPr="00392EAD">
        <w:rPr>
          <w:spacing w:val="20"/>
          <w:sz w:val="16"/>
          <w:lang w:val="pt-BR"/>
        </w:rPr>
        <w:t>abr.</w:t>
      </w:r>
      <w:r w:rsidRPr="00392EAD">
        <w:rPr>
          <w:spacing w:val="85"/>
          <w:sz w:val="16"/>
          <w:lang w:val="pt-BR"/>
        </w:rPr>
        <w:t xml:space="preserve"> </w:t>
      </w:r>
      <w:r w:rsidRPr="00392EAD">
        <w:rPr>
          <w:spacing w:val="21"/>
          <w:sz w:val="16"/>
          <w:lang w:val="pt-BR"/>
        </w:rPr>
        <w:t xml:space="preserve">2010. </w:t>
      </w:r>
      <w:r w:rsidRPr="00392EAD">
        <w:rPr>
          <w:spacing w:val="25"/>
          <w:sz w:val="16"/>
          <w:lang w:val="pt-BR"/>
        </w:rPr>
        <w:t>Disponível</w:t>
      </w:r>
      <w:r w:rsidRPr="00392EAD">
        <w:rPr>
          <w:spacing w:val="80"/>
          <w:sz w:val="16"/>
          <w:lang w:val="pt-BR"/>
        </w:rPr>
        <w:t xml:space="preserve"> </w:t>
      </w:r>
      <w:r w:rsidRPr="00392EAD">
        <w:rPr>
          <w:spacing w:val="17"/>
          <w:sz w:val="16"/>
          <w:lang w:val="pt-BR"/>
        </w:rPr>
        <w:t>em:</w:t>
      </w:r>
      <w:r w:rsidRPr="00392EAD">
        <w:rPr>
          <w:spacing w:val="-15"/>
          <w:sz w:val="16"/>
          <w:lang w:val="pt-BR"/>
        </w:rPr>
        <w:t xml:space="preserve"> </w:t>
      </w:r>
    </w:p>
    <w:p w:rsidR="00D81F69" w:rsidRPr="00392EAD" w:rsidRDefault="00D81F69">
      <w:pPr>
        <w:spacing w:before="1" w:line="312" w:lineRule="auto"/>
        <w:ind w:left="100" w:right="87"/>
        <w:jc w:val="both"/>
        <w:rPr>
          <w:sz w:val="16"/>
          <w:lang w:val="pt-BR"/>
        </w:rPr>
      </w:pPr>
      <w:hyperlink r:id="rId526">
        <w:r w:rsidR="00330118" w:rsidRPr="00392EAD">
          <w:rPr>
            <w:sz w:val="16"/>
            <w:lang w:val="pt-BR"/>
          </w:rPr>
          <w:t>&lt;http</w:t>
        </w:r>
        <w:r w:rsidR="00330118" w:rsidRPr="00392EAD">
          <w:rPr>
            <w:sz w:val="16"/>
            <w:lang w:val="pt-BR"/>
          </w:rPr>
          <w:t>://eptv.globo.com/terradagente/terradagente_interna.aspx?29462</w:t>
        </w:r>
      </w:hyperlink>
      <w:r w:rsidR="00330118" w:rsidRPr="00392EAD">
        <w:rPr>
          <w:sz w:val="16"/>
          <w:lang w:val="pt-BR"/>
        </w:rPr>
        <w:t xml:space="preserve"> 8&gt;. Acesso em: 28 mai. 2010</w:t>
      </w:r>
    </w:p>
    <w:p w:rsidR="00D81F69" w:rsidRPr="00392EAD" w:rsidRDefault="00330118">
      <w:pPr>
        <w:tabs>
          <w:tab w:val="left" w:pos="1593"/>
          <w:tab w:val="left" w:pos="2242"/>
        </w:tabs>
        <w:spacing w:before="2" w:line="312" w:lineRule="auto"/>
        <w:ind w:left="100" w:right="38"/>
        <w:rPr>
          <w:sz w:val="16"/>
          <w:lang w:val="pt-BR"/>
        </w:rPr>
      </w:pPr>
      <w:r w:rsidRPr="00392EAD">
        <w:rPr>
          <w:sz w:val="16"/>
          <w:lang w:val="pt-BR"/>
        </w:rPr>
        <w:t xml:space="preserve">LE TOURNEAU, François-Michel; ALBERT, Bruce. Sensoriamento remoto num contexto multidisciplinar: atividade garimpeira, agricultura </w:t>
      </w:r>
      <w:r w:rsidRPr="00392EAD">
        <w:rPr>
          <w:spacing w:val="5"/>
          <w:sz w:val="16"/>
          <w:lang w:val="pt-BR"/>
        </w:rPr>
        <w:t xml:space="preserve">ameríndia </w:t>
      </w:r>
      <w:r w:rsidRPr="00392EAD">
        <w:rPr>
          <w:sz w:val="16"/>
          <w:lang w:val="pt-BR"/>
        </w:rPr>
        <w:t xml:space="preserve">e </w:t>
      </w:r>
      <w:r w:rsidRPr="00392EAD">
        <w:rPr>
          <w:spacing w:val="5"/>
          <w:sz w:val="16"/>
          <w:lang w:val="pt-BR"/>
        </w:rPr>
        <w:t xml:space="preserve">regeneração natural </w:t>
      </w:r>
      <w:r w:rsidRPr="00392EAD">
        <w:rPr>
          <w:spacing w:val="2"/>
          <w:sz w:val="16"/>
          <w:lang w:val="pt-BR"/>
        </w:rPr>
        <w:t>na</w:t>
      </w:r>
      <w:r w:rsidRPr="00392EAD">
        <w:rPr>
          <w:spacing w:val="2"/>
          <w:sz w:val="16"/>
          <w:lang w:val="pt-BR"/>
        </w:rPr>
        <w:t xml:space="preserve"> </w:t>
      </w:r>
      <w:r w:rsidRPr="00392EAD">
        <w:rPr>
          <w:spacing w:val="3"/>
          <w:sz w:val="16"/>
          <w:lang w:val="pt-BR"/>
        </w:rPr>
        <w:t xml:space="preserve">Terra </w:t>
      </w:r>
      <w:r w:rsidRPr="00392EAD">
        <w:rPr>
          <w:spacing w:val="5"/>
          <w:sz w:val="16"/>
          <w:lang w:val="pt-BR"/>
        </w:rPr>
        <w:t xml:space="preserve">Indígena Yanomami (Roraima). </w:t>
      </w:r>
      <w:r w:rsidRPr="00392EAD">
        <w:rPr>
          <w:spacing w:val="3"/>
          <w:sz w:val="16"/>
          <w:lang w:val="pt-BR"/>
        </w:rPr>
        <w:t xml:space="preserve">In: Anais XII </w:t>
      </w:r>
      <w:r w:rsidRPr="00392EAD">
        <w:rPr>
          <w:spacing w:val="5"/>
          <w:sz w:val="16"/>
          <w:lang w:val="pt-BR"/>
        </w:rPr>
        <w:t xml:space="preserve">Simpósio Brasileiro </w:t>
      </w:r>
      <w:r w:rsidRPr="00392EAD">
        <w:rPr>
          <w:spacing w:val="2"/>
          <w:sz w:val="16"/>
          <w:lang w:val="pt-BR"/>
        </w:rPr>
        <w:t xml:space="preserve">de </w:t>
      </w:r>
      <w:r w:rsidRPr="00392EAD">
        <w:rPr>
          <w:spacing w:val="5"/>
          <w:sz w:val="16"/>
          <w:lang w:val="pt-BR"/>
        </w:rPr>
        <w:t xml:space="preserve">Sensoriamento Remoto, </w:t>
      </w:r>
      <w:r w:rsidRPr="00392EAD">
        <w:rPr>
          <w:spacing w:val="6"/>
          <w:sz w:val="16"/>
          <w:lang w:val="pt-BR"/>
        </w:rPr>
        <w:t xml:space="preserve">Goiânia, </w:t>
      </w:r>
      <w:r w:rsidRPr="00392EAD">
        <w:rPr>
          <w:spacing w:val="5"/>
          <w:sz w:val="16"/>
          <w:lang w:val="pt-BR"/>
        </w:rPr>
        <w:t xml:space="preserve">Brasil, 16-21  abr.  </w:t>
      </w:r>
      <w:r>
        <w:rPr>
          <w:spacing w:val="5"/>
          <w:sz w:val="16"/>
        </w:rPr>
        <w:t xml:space="preserve">2005,  INPE,  </w:t>
      </w:r>
      <w:r>
        <w:rPr>
          <w:spacing w:val="3"/>
          <w:sz w:val="16"/>
        </w:rPr>
        <w:t xml:space="preserve">p.  </w:t>
      </w:r>
      <w:r>
        <w:rPr>
          <w:spacing w:val="7"/>
          <w:sz w:val="16"/>
        </w:rPr>
        <w:t xml:space="preserve">583-591. </w:t>
      </w:r>
      <w:r w:rsidRPr="00392EAD">
        <w:rPr>
          <w:spacing w:val="5"/>
          <w:sz w:val="16"/>
          <w:lang w:val="pt-BR"/>
        </w:rPr>
        <w:t>D</w:t>
      </w:r>
      <w:r w:rsidRPr="00392EAD">
        <w:rPr>
          <w:sz w:val="16"/>
          <w:lang w:val="pt-BR"/>
        </w:rPr>
        <w:t xml:space="preserve"> </w:t>
      </w:r>
      <w:r w:rsidRPr="00392EAD">
        <w:rPr>
          <w:spacing w:val="5"/>
          <w:sz w:val="16"/>
          <w:lang w:val="pt-BR"/>
        </w:rPr>
        <w:t>i</w:t>
      </w:r>
      <w:r w:rsidRPr="00392EAD">
        <w:rPr>
          <w:sz w:val="16"/>
          <w:lang w:val="pt-BR"/>
        </w:rPr>
        <w:t xml:space="preserve"> </w:t>
      </w:r>
      <w:r w:rsidRPr="00392EAD">
        <w:rPr>
          <w:spacing w:val="5"/>
          <w:sz w:val="16"/>
          <w:lang w:val="pt-BR"/>
        </w:rPr>
        <w:t>s</w:t>
      </w:r>
      <w:r w:rsidRPr="00392EAD">
        <w:rPr>
          <w:sz w:val="16"/>
          <w:lang w:val="pt-BR"/>
        </w:rPr>
        <w:t xml:space="preserve"> </w:t>
      </w:r>
      <w:r w:rsidRPr="00392EAD">
        <w:rPr>
          <w:spacing w:val="5"/>
          <w:sz w:val="16"/>
          <w:lang w:val="pt-BR"/>
        </w:rPr>
        <w:t>p</w:t>
      </w:r>
      <w:r w:rsidRPr="00392EAD">
        <w:rPr>
          <w:sz w:val="16"/>
          <w:lang w:val="pt-BR"/>
        </w:rPr>
        <w:t xml:space="preserve"> </w:t>
      </w:r>
      <w:r w:rsidRPr="00392EAD">
        <w:rPr>
          <w:spacing w:val="5"/>
          <w:sz w:val="16"/>
          <w:lang w:val="pt-BR"/>
        </w:rPr>
        <w:t>o</w:t>
      </w:r>
      <w:r w:rsidRPr="00392EAD">
        <w:rPr>
          <w:sz w:val="16"/>
          <w:lang w:val="pt-BR"/>
        </w:rPr>
        <w:t xml:space="preserve"> </w:t>
      </w:r>
      <w:r w:rsidRPr="00392EAD">
        <w:rPr>
          <w:spacing w:val="5"/>
          <w:sz w:val="16"/>
          <w:lang w:val="pt-BR"/>
        </w:rPr>
        <w:t>n</w:t>
      </w:r>
      <w:r w:rsidRPr="00392EAD">
        <w:rPr>
          <w:sz w:val="16"/>
          <w:lang w:val="pt-BR"/>
        </w:rPr>
        <w:t xml:space="preserve"> </w:t>
      </w:r>
      <w:r w:rsidRPr="00392EAD">
        <w:rPr>
          <w:spacing w:val="5"/>
          <w:sz w:val="16"/>
          <w:lang w:val="pt-BR"/>
        </w:rPr>
        <w:t>í</w:t>
      </w:r>
      <w:r w:rsidRPr="00392EAD">
        <w:rPr>
          <w:sz w:val="16"/>
          <w:lang w:val="pt-BR"/>
        </w:rPr>
        <w:t xml:space="preserve"> </w:t>
      </w:r>
      <w:r w:rsidRPr="00392EAD">
        <w:rPr>
          <w:spacing w:val="5"/>
          <w:sz w:val="16"/>
          <w:lang w:val="pt-BR"/>
        </w:rPr>
        <w:t>v</w:t>
      </w:r>
      <w:r w:rsidRPr="00392EAD">
        <w:rPr>
          <w:sz w:val="16"/>
          <w:lang w:val="pt-BR"/>
        </w:rPr>
        <w:t xml:space="preserve"> </w:t>
      </w:r>
      <w:r w:rsidRPr="00392EAD">
        <w:rPr>
          <w:spacing w:val="5"/>
          <w:sz w:val="16"/>
          <w:lang w:val="pt-BR"/>
        </w:rPr>
        <w:t>e</w:t>
      </w:r>
      <w:r w:rsidRPr="00392EAD">
        <w:rPr>
          <w:sz w:val="16"/>
          <w:lang w:val="pt-BR"/>
        </w:rPr>
        <w:t xml:space="preserve"> l</w:t>
      </w:r>
      <w:r w:rsidRPr="00392EAD">
        <w:rPr>
          <w:sz w:val="16"/>
          <w:lang w:val="pt-BR"/>
        </w:rPr>
        <w:tab/>
      </w:r>
      <w:r w:rsidRPr="00392EAD">
        <w:rPr>
          <w:spacing w:val="5"/>
          <w:sz w:val="16"/>
          <w:lang w:val="pt-BR"/>
        </w:rPr>
        <w:t>e</w:t>
      </w:r>
      <w:r w:rsidRPr="00392EAD">
        <w:rPr>
          <w:sz w:val="16"/>
          <w:lang w:val="pt-BR"/>
        </w:rPr>
        <w:t xml:space="preserve"> </w:t>
      </w:r>
      <w:r w:rsidRPr="00392EAD">
        <w:rPr>
          <w:spacing w:val="5"/>
          <w:sz w:val="16"/>
          <w:lang w:val="pt-BR"/>
        </w:rPr>
        <w:t>m</w:t>
      </w:r>
      <w:r w:rsidRPr="00392EAD">
        <w:rPr>
          <w:sz w:val="16"/>
          <w:lang w:val="pt-BR"/>
        </w:rPr>
        <w:t xml:space="preserve"> :</w:t>
      </w:r>
      <w:r w:rsidRPr="00392EAD">
        <w:rPr>
          <w:sz w:val="16"/>
          <w:lang w:val="pt-BR"/>
        </w:rPr>
        <w:tab/>
      </w:r>
      <w:hyperlink r:id="rId527">
        <w:r w:rsidRPr="00392EAD">
          <w:rPr>
            <w:spacing w:val="5"/>
            <w:sz w:val="16"/>
            <w:lang w:val="pt-BR"/>
          </w:rPr>
          <w:t>&lt;</w:t>
        </w:r>
        <w:r w:rsidRPr="00392EAD">
          <w:rPr>
            <w:sz w:val="16"/>
            <w:lang w:val="pt-BR"/>
          </w:rPr>
          <w:t xml:space="preserve"> </w:t>
        </w:r>
        <w:r w:rsidRPr="00392EAD">
          <w:rPr>
            <w:spacing w:val="5"/>
            <w:sz w:val="16"/>
            <w:lang w:val="pt-BR"/>
          </w:rPr>
          <w:t>h</w:t>
        </w:r>
        <w:r w:rsidRPr="00392EAD">
          <w:rPr>
            <w:sz w:val="16"/>
            <w:lang w:val="pt-BR"/>
          </w:rPr>
          <w:t xml:space="preserve"> </w:t>
        </w:r>
        <w:r w:rsidRPr="00392EAD">
          <w:rPr>
            <w:spacing w:val="5"/>
            <w:sz w:val="16"/>
            <w:lang w:val="pt-BR"/>
          </w:rPr>
          <w:t>t</w:t>
        </w:r>
        <w:r w:rsidRPr="00392EAD">
          <w:rPr>
            <w:sz w:val="16"/>
            <w:lang w:val="pt-BR"/>
          </w:rPr>
          <w:t xml:space="preserve"> </w:t>
        </w:r>
        <w:r w:rsidRPr="00392EAD">
          <w:rPr>
            <w:spacing w:val="5"/>
            <w:sz w:val="16"/>
            <w:lang w:val="pt-BR"/>
          </w:rPr>
          <w:t>t</w:t>
        </w:r>
        <w:r w:rsidRPr="00392EAD">
          <w:rPr>
            <w:sz w:val="16"/>
            <w:lang w:val="pt-BR"/>
          </w:rPr>
          <w:t xml:space="preserve"> </w:t>
        </w:r>
        <w:r w:rsidRPr="00392EAD">
          <w:rPr>
            <w:spacing w:val="5"/>
            <w:sz w:val="16"/>
            <w:lang w:val="pt-BR"/>
          </w:rPr>
          <w:t>p</w:t>
        </w:r>
        <w:r w:rsidRPr="00392EAD">
          <w:rPr>
            <w:sz w:val="16"/>
            <w:lang w:val="pt-BR"/>
          </w:rPr>
          <w:t xml:space="preserve"> </w:t>
        </w:r>
        <w:r w:rsidRPr="00392EAD">
          <w:rPr>
            <w:spacing w:val="5"/>
            <w:sz w:val="16"/>
            <w:lang w:val="pt-BR"/>
          </w:rPr>
          <w:t>:</w:t>
        </w:r>
        <w:r w:rsidRPr="00392EAD">
          <w:rPr>
            <w:sz w:val="16"/>
            <w:lang w:val="pt-BR"/>
          </w:rPr>
          <w:t xml:space="preserve"> </w:t>
        </w:r>
        <w:r w:rsidRPr="00392EAD">
          <w:rPr>
            <w:spacing w:val="5"/>
            <w:sz w:val="16"/>
            <w:lang w:val="pt-BR"/>
          </w:rPr>
          <w:t>/</w:t>
        </w:r>
        <w:r w:rsidRPr="00392EAD">
          <w:rPr>
            <w:sz w:val="16"/>
            <w:lang w:val="pt-BR"/>
          </w:rPr>
          <w:t xml:space="preserve"> </w:t>
        </w:r>
        <w:r w:rsidRPr="00392EAD">
          <w:rPr>
            <w:spacing w:val="5"/>
            <w:sz w:val="16"/>
            <w:lang w:val="pt-BR"/>
          </w:rPr>
          <w:t>/</w:t>
        </w:r>
        <w:r w:rsidRPr="00392EAD">
          <w:rPr>
            <w:sz w:val="16"/>
            <w:lang w:val="pt-BR"/>
          </w:rPr>
          <w:t xml:space="preserve"> </w:t>
        </w:r>
        <w:r w:rsidRPr="00392EAD">
          <w:rPr>
            <w:spacing w:val="5"/>
            <w:sz w:val="16"/>
            <w:lang w:val="pt-BR"/>
          </w:rPr>
          <w:t>h</w:t>
        </w:r>
        <w:r w:rsidRPr="00392EAD">
          <w:rPr>
            <w:sz w:val="16"/>
            <w:lang w:val="pt-BR"/>
          </w:rPr>
          <w:t xml:space="preserve"> </w:t>
        </w:r>
        <w:r w:rsidRPr="00392EAD">
          <w:rPr>
            <w:spacing w:val="5"/>
            <w:sz w:val="16"/>
            <w:lang w:val="pt-BR"/>
          </w:rPr>
          <w:t>a</w:t>
        </w:r>
        <w:r w:rsidRPr="00392EAD">
          <w:rPr>
            <w:sz w:val="16"/>
            <w:lang w:val="pt-BR"/>
          </w:rPr>
          <w:t xml:space="preserve"> </w:t>
        </w:r>
        <w:r w:rsidRPr="00392EAD">
          <w:rPr>
            <w:spacing w:val="5"/>
            <w:sz w:val="16"/>
            <w:lang w:val="pt-BR"/>
          </w:rPr>
          <w:t>l</w:t>
        </w:r>
        <w:r w:rsidRPr="00392EAD">
          <w:rPr>
            <w:sz w:val="16"/>
            <w:lang w:val="pt-BR"/>
          </w:rPr>
          <w:t xml:space="preserve"> </w:t>
        </w:r>
        <w:r w:rsidRPr="00392EAD">
          <w:rPr>
            <w:spacing w:val="5"/>
            <w:sz w:val="16"/>
            <w:lang w:val="pt-BR"/>
          </w:rPr>
          <w:t>s</w:t>
        </w:r>
        <w:r w:rsidRPr="00392EAD">
          <w:rPr>
            <w:sz w:val="16"/>
            <w:lang w:val="pt-BR"/>
          </w:rPr>
          <w:t xml:space="preserve"> </w:t>
        </w:r>
        <w:r w:rsidRPr="00392EAD">
          <w:rPr>
            <w:spacing w:val="5"/>
            <w:sz w:val="16"/>
            <w:lang w:val="pt-BR"/>
          </w:rPr>
          <w:t>h</w:t>
        </w:r>
        <w:r w:rsidRPr="00392EAD">
          <w:rPr>
            <w:sz w:val="16"/>
            <w:lang w:val="pt-BR"/>
          </w:rPr>
          <w:t xml:space="preserve"> </w:t>
        </w:r>
        <w:r w:rsidRPr="00392EAD">
          <w:rPr>
            <w:spacing w:val="5"/>
            <w:sz w:val="16"/>
            <w:lang w:val="pt-BR"/>
          </w:rPr>
          <w:t>s</w:t>
        </w:r>
        <w:r w:rsidRPr="00392EAD">
          <w:rPr>
            <w:sz w:val="16"/>
            <w:lang w:val="pt-BR"/>
          </w:rPr>
          <w:t xml:space="preserve"> </w:t>
        </w:r>
        <w:r w:rsidRPr="00392EAD">
          <w:rPr>
            <w:spacing w:val="5"/>
            <w:sz w:val="16"/>
            <w:lang w:val="pt-BR"/>
          </w:rPr>
          <w:t>.</w:t>
        </w:r>
        <w:r w:rsidRPr="00392EAD">
          <w:rPr>
            <w:sz w:val="16"/>
            <w:lang w:val="pt-BR"/>
          </w:rPr>
          <w:t xml:space="preserve"> </w:t>
        </w:r>
        <w:r w:rsidRPr="00392EAD">
          <w:rPr>
            <w:spacing w:val="5"/>
            <w:sz w:val="16"/>
            <w:lang w:val="pt-BR"/>
          </w:rPr>
          <w:t>a</w:t>
        </w:r>
        <w:r w:rsidRPr="00392EAD">
          <w:rPr>
            <w:sz w:val="16"/>
            <w:lang w:val="pt-BR"/>
          </w:rPr>
          <w:t xml:space="preserve"> </w:t>
        </w:r>
        <w:r w:rsidRPr="00392EAD">
          <w:rPr>
            <w:spacing w:val="5"/>
            <w:sz w:val="16"/>
            <w:lang w:val="pt-BR"/>
          </w:rPr>
          <w:t>r</w:t>
        </w:r>
        <w:r w:rsidRPr="00392EAD">
          <w:rPr>
            <w:sz w:val="16"/>
            <w:lang w:val="pt-BR"/>
          </w:rPr>
          <w:t xml:space="preserve"> </w:t>
        </w:r>
        <w:r w:rsidRPr="00392EAD">
          <w:rPr>
            <w:spacing w:val="5"/>
            <w:sz w:val="16"/>
            <w:lang w:val="pt-BR"/>
          </w:rPr>
          <w:t>c</w:t>
        </w:r>
        <w:r w:rsidRPr="00392EAD">
          <w:rPr>
            <w:sz w:val="16"/>
            <w:lang w:val="pt-BR"/>
          </w:rPr>
          <w:t xml:space="preserve"> </w:t>
        </w:r>
        <w:r w:rsidRPr="00392EAD">
          <w:rPr>
            <w:spacing w:val="5"/>
            <w:sz w:val="16"/>
            <w:lang w:val="pt-BR"/>
          </w:rPr>
          <w:t>h</w:t>
        </w:r>
        <w:r w:rsidRPr="00392EAD">
          <w:rPr>
            <w:sz w:val="16"/>
            <w:lang w:val="pt-BR"/>
          </w:rPr>
          <w:t xml:space="preserve"> </w:t>
        </w:r>
        <w:r w:rsidRPr="00392EAD">
          <w:rPr>
            <w:spacing w:val="5"/>
            <w:sz w:val="16"/>
            <w:lang w:val="pt-BR"/>
          </w:rPr>
          <w:t>i</w:t>
        </w:r>
        <w:r w:rsidRPr="00392EAD">
          <w:rPr>
            <w:sz w:val="16"/>
            <w:lang w:val="pt-BR"/>
          </w:rPr>
          <w:t xml:space="preserve"> </w:t>
        </w:r>
        <w:r w:rsidRPr="00392EAD">
          <w:rPr>
            <w:spacing w:val="5"/>
            <w:sz w:val="16"/>
            <w:lang w:val="pt-BR"/>
          </w:rPr>
          <w:t>v</w:t>
        </w:r>
        <w:r w:rsidRPr="00392EAD">
          <w:rPr>
            <w:sz w:val="16"/>
            <w:lang w:val="pt-BR"/>
          </w:rPr>
          <w:t xml:space="preserve"> </w:t>
        </w:r>
        <w:r w:rsidRPr="00392EAD">
          <w:rPr>
            <w:spacing w:val="5"/>
            <w:sz w:val="16"/>
            <w:lang w:val="pt-BR"/>
          </w:rPr>
          <w:t>e</w:t>
        </w:r>
        <w:r w:rsidRPr="00392EAD">
          <w:rPr>
            <w:sz w:val="16"/>
            <w:lang w:val="pt-BR"/>
          </w:rPr>
          <w:t xml:space="preserve"> </w:t>
        </w:r>
        <w:r w:rsidRPr="00392EAD">
          <w:rPr>
            <w:spacing w:val="5"/>
            <w:sz w:val="16"/>
            <w:lang w:val="pt-BR"/>
          </w:rPr>
          <w:t>s</w:t>
        </w:r>
        <w:r w:rsidRPr="00392EAD">
          <w:rPr>
            <w:sz w:val="16"/>
            <w:lang w:val="pt-BR"/>
          </w:rPr>
          <w:t xml:space="preserve"> - </w:t>
        </w:r>
      </w:hyperlink>
      <w:r w:rsidRPr="00392EAD">
        <w:rPr>
          <w:sz w:val="16"/>
          <w:lang w:val="pt-BR"/>
        </w:rPr>
        <w:t>ouvertes.fr/docs/00/05/16/28/PDF/FMLT_BA_orpaillage_et_teledetecti on.pdf&gt; Acesso em: 28 mai. 2010.</w:t>
      </w:r>
    </w:p>
    <w:p w:rsidR="00D81F69" w:rsidRDefault="00330118">
      <w:pPr>
        <w:spacing w:before="6"/>
        <w:ind w:left="100"/>
        <w:rPr>
          <w:sz w:val="16"/>
        </w:rPr>
      </w:pPr>
      <w:r w:rsidRPr="00392EAD">
        <w:rPr>
          <w:sz w:val="16"/>
          <w:lang w:val="pt-BR"/>
        </w:rPr>
        <w:t xml:space="preserve">MAPA DA INUSTIÇA AMBIENAL E SAÚDE NO BRASIL. </w:t>
      </w:r>
      <w:r>
        <w:rPr>
          <w:sz w:val="16"/>
        </w:rPr>
        <w:t>Invasão de</w:t>
      </w:r>
    </w:p>
    <w:p w:rsidR="00D81F69" w:rsidRPr="00392EAD" w:rsidRDefault="00330118">
      <w:pPr>
        <w:tabs>
          <w:tab w:val="left" w:pos="4331"/>
        </w:tabs>
        <w:spacing w:before="56" w:line="312" w:lineRule="auto"/>
        <w:ind w:left="100" w:right="68"/>
        <w:jc w:val="both"/>
        <w:rPr>
          <w:sz w:val="16"/>
          <w:lang w:val="pt-BR"/>
        </w:rPr>
      </w:pPr>
      <w:r w:rsidRPr="00392EAD">
        <w:rPr>
          <w:sz w:val="16"/>
          <w:lang w:val="pt-BR"/>
        </w:rPr>
        <w:t xml:space="preserve">posseiros e garimpeiros em terra Yanomami.  Base de dados, 2010.  D      i      s      p      o      n      í      v  </w:t>
      </w:r>
      <w:r w:rsidRPr="00392EAD">
        <w:rPr>
          <w:spacing w:val="36"/>
          <w:sz w:val="16"/>
          <w:lang w:val="pt-BR"/>
        </w:rPr>
        <w:t xml:space="preserve"> </w:t>
      </w:r>
      <w:r w:rsidRPr="00392EAD">
        <w:rPr>
          <w:sz w:val="16"/>
          <w:lang w:val="pt-BR"/>
        </w:rPr>
        <w:t xml:space="preserve">e    </w:t>
      </w:r>
      <w:r w:rsidRPr="00392EAD">
        <w:rPr>
          <w:spacing w:val="31"/>
          <w:sz w:val="16"/>
          <w:lang w:val="pt-BR"/>
        </w:rPr>
        <w:t xml:space="preserve"> </w:t>
      </w:r>
      <w:r w:rsidRPr="00392EAD">
        <w:rPr>
          <w:sz w:val="16"/>
          <w:lang w:val="pt-BR"/>
        </w:rPr>
        <w:t>l</w:t>
      </w:r>
      <w:r w:rsidRPr="00392EAD">
        <w:rPr>
          <w:sz w:val="16"/>
          <w:lang w:val="pt-BR"/>
        </w:rPr>
        <w:tab/>
        <w:t xml:space="preserve">e      m    </w:t>
      </w:r>
      <w:r w:rsidRPr="00392EAD">
        <w:rPr>
          <w:spacing w:val="20"/>
          <w:sz w:val="16"/>
          <w:lang w:val="pt-BR"/>
        </w:rPr>
        <w:t xml:space="preserve"> </w:t>
      </w:r>
      <w:r w:rsidRPr="00392EAD">
        <w:rPr>
          <w:sz w:val="16"/>
          <w:lang w:val="pt-BR"/>
        </w:rPr>
        <w:t>:</w:t>
      </w:r>
    </w:p>
    <w:p w:rsidR="00D81F69" w:rsidRDefault="00D81F69">
      <w:pPr>
        <w:spacing w:before="2" w:line="312" w:lineRule="auto"/>
        <w:ind w:left="100" w:right="87"/>
        <w:jc w:val="both"/>
        <w:rPr>
          <w:sz w:val="16"/>
        </w:rPr>
      </w:pPr>
      <w:hyperlink r:id="rId528">
        <w:r w:rsidR="00330118" w:rsidRPr="00392EAD">
          <w:rPr>
            <w:sz w:val="16"/>
            <w:lang w:val="pt-BR"/>
          </w:rPr>
          <w:t>&lt;http://www.conflitoambi</w:t>
        </w:r>
        <w:r w:rsidR="00330118" w:rsidRPr="00392EAD">
          <w:rPr>
            <w:sz w:val="16"/>
            <w:lang w:val="pt-BR"/>
          </w:rPr>
          <w:t>ental.icict.fiocruz.br/index.php?pag=ficha&amp;co</w:t>
        </w:r>
      </w:hyperlink>
      <w:r w:rsidR="00330118" w:rsidRPr="00392EAD">
        <w:rPr>
          <w:sz w:val="16"/>
          <w:lang w:val="pt-BR"/>
        </w:rPr>
        <w:t xml:space="preserve"> d=272 &gt;. </w:t>
      </w:r>
      <w:r w:rsidR="00330118">
        <w:rPr>
          <w:sz w:val="16"/>
        </w:rPr>
        <w:t>Acesso em: 24 out. 2011</w:t>
      </w:r>
    </w:p>
    <w:p w:rsidR="00D81F69" w:rsidRDefault="00330118">
      <w:pPr>
        <w:spacing w:before="2"/>
        <w:ind w:left="100"/>
        <w:rPr>
          <w:sz w:val="16"/>
        </w:rPr>
      </w:pPr>
      <w:r>
        <w:rPr>
          <w:sz w:val="16"/>
        </w:rPr>
        <w:t>PITHAN,  Oneron;  CONFALONIERI,  Ulisses  E.  C.; MORGADO,</w:t>
      </w:r>
    </w:p>
    <w:p w:rsidR="00D81F69" w:rsidRDefault="00330118">
      <w:pPr>
        <w:spacing w:before="56" w:line="312" w:lineRule="auto"/>
        <w:ind w:left="100" w:right="69"/>
        <w:jc w:val="both"/>
        <w:rPr>
          <w:sz w:val="16"/>
        </w:rPr>
      </w:pPr>
      <w:r>
        <w:rPr>
          <w:sz w:val="16"/>
        </w:rPr>
        <w:t>Anastácio F. A situação de saúde dos índios Yanomami: diagnóstico  a partir da Casa do Índio de Boa Vista, Roraima, 19</w:t>
      </w:r>
      <w:r>
        <w:rPr>
          <w:sz w:val="16"/>
        </w:rPr>
        <w:t>87-1989. In: Cad. Saúde Pública v.7, n.4., Rio de Janeiro, out-dez 1991. Disponível</w:t>
      </w:r>
      <w:r>
        <w:rPr>
          <w:spacing w:val="28"/>
          <w:sz w:val="16"/>
        </w:rPr>
        <w:t xml:space="preserve"> </w:t>
      </w:r>
      <w:r>
        <w:rPr>
          <w:sz w:val="16"/>
        </w:rPr>
        <w:t>em:</w:t>
      </w:r>
    </w:p>
    <w:p w:rsidR="00D81F69" w:rsidRDefault="00D81F69">
      <w:pPr>
        <w:spacing w:before="2" w:line="312" w:lineRule="auto"/>
        <w:ind w:left="100" w:right="46"/>
        <w:jc w:val="both"/>
        <w:rPr>
          <w:sz w:val="16"/>
        </w:rPr>
      </w:pPr>
      <w:hyperlink r:id="rId529">
        <w:r w:rsidR="00330118">
          <w:rPr>
            <w:sz w:val="16"/>
          </w:rPr>
          <w:t xml:space="preserve">&lt;http://www.scielo.br/scielo.php?pid=S0102- </w:t>
        </w:r>
      </w:hyperlink>
      <w:r w:rsidR="00330118">
        <w:rPr>
          <w:sz w:val="16"/>
        </w:rPr>
        <w:t>311X1991000400007&amp;script=sci_arttext&amp;tlng=pt&gt;</w:t>
      </w:r>
      <w:r w:rsidR="00330118">
        <w:rPr>
          <w:sz w:val="16"/>
        </w:rPr>
        <w:t>. Acesso em: 28 mai. 2010</w:t>
      </w:r>
    </w:p>
    <w:p w:rsidR="00D81F69" w:rsidRDefault="00330118">
      <w:pPr>
        <w:spacing w:before="3"/>
        <w:ind w:left="100"/>
        <w:jc w:val="both"/>
        <w:rPr>
          <w:sz w:val="16"/>
        </w:rPr>
      </w:pPr>
      <w:r>
        <w:rPr>
          <w:sz w:val="16"/>
        </w:rPr>
        <w:t>PORTAL RORAIMA. Povos Indígenas - Yanomami. Disponível em:</w:t>
      </w:r>
    </w:p>
    <w:p w:rsidR="00D81F69" w:rsidRDefault="00D81F69">
      <w:pPr>
        <w:spacing w:before="56"/>
        <w:ind w:left="100"/>
        <w:jc w:val="both"/>
        <w:rPr>
          <w:sz w:val="16"/>
        </w:rPr>
      </w:pPr>
      <w:hyperlink r:id="rId530">
        <w:r w:rsidR="00330118">
          <w:rPr>
            <w:sz w:val="16"/>
          </w:rPr>
          <w:t>&lt;http://www.portalroraima.rr.gov.br/index.php?id=91&amp;itemid=1&amp;option</w:t>
        </w:r>
      </w:hyperlink>
    </w:p>
    <w:p w:rsidR="00D81F69" w:rsidRDefault="00330118">
      <w:pPr>
        <w:spacing w:before="56"/>
        <w:ind w:left="100"/>
        <w:jc w:val="both"/>
        <w:rPr>
          <w:sz w:val="16"/>
        </w:rPr>
      </w:pPr>
      <w:r>
        <w:rPr>
          <w:sz w:val="16"/>
        </w:rPr>
        <w:t>=com_conten</w:t>
      </w:r>
      <w:r>
        <w:rPr>
          <w:sz w:val="16"/>
        </w:rPr>
        <w:t>t&amp;task=view&gt;. Acesso em: 30 mai. 2010.</w:t>
      </w:r>
    </w:p>
    <w:p w:rsidR="00D81F69" w:rsidRDefault="00330118">
      <w:pPr>
        <w:spacing w:before="70" w:line="312" w:lineRule="auto"/>
        <w:ind w:left="100" w:right="234"/>
        <w:jc w:val="both"/>
        <w:rPr>
          <w:sz w:val="16"/>
        </w:rPr>
      </w:pPr>
      <w:r>
        <w:br w:type="column"/>
      </w:r>
      <w:r>
        <w:rPr>
          <w:sz w:val="16"/>
        </w:rPr>
        <w:lastRenderedPageBreak/>
        <w:t>SANTOS, Reinaldo O. dos; DINIZ, Alexandre M. A. Impactos sócio- ambientais na Fronteira Agrícola de Roraima. XIV Encontro Nacional de Estudos Populacionais, Associação Brasileira de Estudos Populacionais, Caxambu (MG</w:t>
      </w:r>
      <w:r>
        <w:rPr>
          <w:sz w:val="16"/>
        </w:rPr>
        <w:t>), 20- 24 set. 2004. Disponível em:</w:t>
      </w:r>
    </w:p>
    <w:p w:rsidR="00D81F69" w:rsidRDefault="00D81F69">
      <w:pPr>
        <w:spacing w:before="3" w:line="312" w:lineRule="auto"/>
        <w:ind w:left="100" w:right="257"/>
        <w:jc w:val="both"/>
        <w:rPr>
          <w:sz w:val="16"/>
        </w:rPr>
      </w:pPr>
      <w:hyperlink r:id="rId531">
        <w:r w:rsidR="00330118">
          <w:rPr>
            <w:sz w:val="16"/>
          </w:rPr>
          <w:t>&lt;http://www.abep.nepo.unicamp.br/site_eventos_abep/PDF/ABEP200</w:t>
        </w:r>
      </w:hyperlink>
      <w:r w:rsidR="00330118">
        <w:rPr>
          <w:sz w:val="16"/>
        </w:rPr>
        <w:t xml:space="preserve"> 4_734.pdf&gt;. Acesso em: 28 mai. 2010.</w:t>
      </w:r>
    </w:p>
    <w:p w:rsidR="00D81F69" w:rsidRDefault="00330118">
      <w:pPr>
        <w:spacing w:before="2" w:line="312" w:lineRule="auto"/>
        <w:ind w:left="100" w:right="218"/>
        <w:jc w:val="both"/>
        <w:rPr>
          <w:sz w:val="16"/>
        </w:rPr>
      </w:pPr>
      <w:r>
        <w:rPr>
          <w:spacing w:val="3"/>
          <w:sz w:val="16"/>
        </w:rPr>
        <w:t xml:space="preserve">SOARES, Neuraci. Mineração </w:t>
      </w:r>
      <w:r>
        <w:rPr>
          <w:spacing w:val="1"/>
          <w:sz w:val="16"/>
        </w:rPr>
        <w:t xml:space="preserve">em </w:t>
      </w:r>
      <w:r>
        <w:rPr>
          <w:spacing w:val="3"/>
          <w:sz w:val="16"/>
        </w:rPr>
        <w:t xml:space="preserve">reserva preocupa </w:t>
      </w:r>
      <w:r>
        <w:rPr>
          <w:spacing w:val="5"/>
          <w:sz w:val="16"/>
        </w:rPr>
        <w:t xml:space="preserve">Yanomami. </w:t>
      </w:r>
      <w:r>
        <w:rPr>
          <w:spacing w:val="15"/>
          <w:sz w:val="16"/>
        </w:rPr>
        <w:t>Folha</w:t>
      </w:r>
      <w:r>
        <w:rPr>
          <w:spacing w:val="75"/>
          <w:sz w:val="16"/>
        </w:rPr>
        <w:t xml:space="preserve"> </w:t>
      </w:r>
      <w:r>
        <w:rPr>
          <w:spacing w:val="10"/>
          <w:sz w:val="16"/>
        </w:rPr>
        <w:t xml:space="preserve">de </w:t>
      </w:r>
      <w:r>
        <w:rPr>
          <w:spacing w:val="13"/>
          <w:sz w:val="16"/>
        </w:rPr>
        <w:t xml:space="preserve">Boa </w:t>
      </w:r>
      <w:r>
        <w:rPr>
          <w:spacing w:val="16"/>
          <w:sz w:val="16"/>
        </w:rPr>
        <w:t xml:space="preserve">Vista, </w:t>
      </w:r>
      <w:r>
        <w:rPr>
          <w:spacing w:val="10"/>
          <w:sz w:val="16"/>
        </w:rPr>
        <w:t xml:space="preserve">30 </w:t>
      </w:r>
      <w:r>
        <w:rPr>
          <w:spacing w:val="15"/>
          <w:sz w:val="16"/>
        </w:rPr>
        <w:t>out. 2010.</w:t>
      </w:r>
      <w:r>
        <w:rPr>
          <w:spacing w:val="75"/>
          <w:sz w:val="16"/>
        </w:rPr>
        <w:t xml:space="preserve"> </w:t>
      </w:r>
      <w:r>
        <w:rPr>
          <w:spacing w:val="17"/>
          <w:sz w:val="16"/>
        </w:rPr>
        <w:t>Disponível</w:t>
      </w:r>
      <w:r>
        <w:rPr>
          <w:spacing w:val="16"/>
          <w:sz w:val="16"/>
        </w:rPr>
        <w:t xml:space="preserve"> </w:t>
      </w:r>
      <w:r>
        <w:rPr>
          <w:spacing w:val="13"/>
          <w:sz w:val="16"/>
        </w:rPr>
        <w:t>em:</w:t>
      </w:r>
      <w:r>
        <w:rPr>
          <w:spacing w:val="-22"/>
          <w:sz w:val="16"/>
        </w:rPr>
        <w:t xml:space="preserve"> </w:t>
      </w:r>
    </w:p>
    <w:p w:rsidR="00D81F69" w:rsidRDefault="00D81F69">
      <w:pPr>
        <w:spacing w:before="1" w:line="312" w:lineRule="auto"/>
        <w:ind w:left="100" w:right="255"/>
        <w:jc w:val="both"/>
        <w:rPr>
          <w:sz w:val="16"/>
        </w:rPr>
      </w:pPr>
      <w:hyperlink r:id="rId532">
        <w:r w:rsidR="00330118">
          <w:rPr>
            <w:sz w:val="16"/>
          </w:rPr>
          <w:t xml:space="preserve">&lt;http://www.folhabv.com.br/Imprimir_noticia.php?id=97173&gt;. </w:t>
        </w:r>
      </w:hyperlink>
      <w:r w:rsidR="00330118">
        <w:rPr>
          <w:sz w:val="16"/>
        </w:rPr>
        <w:t>Acesso em: 12 mar. 2011.</w:t>
      </w:r>
    </w:p>
    <w:p w:rsidR="00D81F69" w:rsidRDefault="00330118">
      <w:pPr>
        <w:tabs>
          <w:tab w:val="left" w:pos="2559"/>
          <w:tab w:val="left" w:pos="5063"/>
        </w:tabs>
        <w:spacing w:before="2" w:line="312" w:lineRule="auto"/>
        <w:ind w:left="100" w:right="239"/>
        <w:jc w:val="both"/>
        <w:rPr>
          <w:sz w:val="16"/>
        </w:rPr>
      </w:pPr>
      <w:r>
        <w:rPr>
          <w:sz w:val="16"/>
        </w:rPr>
        <w:t>SUZUKI, Natália. Justi</w:t>
      </w:r>
      <w:r>
        <w:rPr>
          <w:sz w:val="16"/>
        </w:rPr>
        <w:t>ça confirma Massacre de Haximu, em Roraima, como genocídio. Carta Maior, São Paulo, 16 ago. 2006. Disponível     e</w:t>
      </w:r>
      <w:r>
        <w:rPr>
          <w:sz w:val="16"/>
        </w:rPr>
        <w:tab/>
        <w:t>m</w:t>
      </w:r>
      <w:r>
        <w:rPr>
          <w:sz w:val="16"/>
        </w:rPr>
        <w:tab/>
        <w:t>:</w:t>
      </w:r>
    </w:p>
    <w:p w:rsidR="00D81F69" w:rsidRDefault="00D81F69">
      <w:pPr>
        <w:spacing w:before="2"/>
        <w:ind w:left="100"/>
        <w:jc w:val="both"/>
        <w:rPr>
          <w:sz w:val="16"/>
        </w:rPr>
      </w:pPr>
      <w:hyperlink r:id="rId533">
        <w:r w:rsidR="00330118">
          <w:rPr>
            <w:sz w:val="16"/>
          </w:rPr>
          <w:t>&lt;http://www.cartamaior.com.br/templates/materiaMostrar</w:t>
        </w:r>
        <w:r w:rsidR="00330118">
          <w:rPr>
            <w:sz w:val="16"/>
          </w:rPr>
          <w:t>.cfm?materia</w:t>
        </w:r>
      </w:hyperlink>
    </w:p>
    <w:p w:rsidR="00D81F69" w:rsidRDefault="00330118">
      <w:pPr>
        <w:spacing w:before="56"/>
        <w:ind w:left="100"/>
        <w:jc w:val="both"/>
        <w:rPr>
          <w:sz w:val="16"/>
        </w:rPr>
      </w:pPr>
      <w:r>
        <w:rPr>
          <w:sz w:val="16"/>
        </w:rPr>
        <w:t>_id=11991&gt;. Acesso em: 29 mai. 2010.</w:t>
      </w:r>
    </w:p>
    <w:p w:rsidR="00D81F69" w:rsidRDefault="00330118">
      <w:pPr>
        <w:spacing w:before="56" w:line="312" w:lineRule="auto"/>
        <w:ind w:left="100" w:right="239"/>
        <w:jc w:val="both"/>
        <w:rPr>
          <w:sz w:val="16"/>
        </w:rPr>
      </w:pPr>
      <w:r>
        <w:rPr>
          <w:sz w:val="16"/>
        </w:rPr>
        <w:t xml:space="preserve">SOMAIN, René. Uma geografia dos Yanomami. Portal Confins, 27 mar. 2011. Disponível em: </w:t>
      </w:r>
      <w:hyperlink r:id="rId534">
        <w:r>
          <w:rPr>
            <w:sz w:val="16"/>
          </w:rPr>
          <w:t xml:space="preserve">http://confins.revues.org/7010. </w:t>
        </w:r>
      </w:hyperlink>
      <w:r>
        <w:rPr>
          <w:sz w:val="16"/>
        </w:rPr>
        <w:t>Acesso em: 24 out. 2011.</w:t>
      </w:r>
    </w:p>
    <w:p w:rsidR="00D81F69" w:rsidRDefault="00330118">
      <w:pPr>
        <w:spacing w:before="3" w:line="312" w:lineRule="auto"/>
        <w:ind w:left="100" w:right="232"/>
        <w:jc w:val="both"/>
        <w:rPr>
          <w:sz w:val="16"/>
        </w:rPr>
      </w:pPr>
      <w:r>
        <w:rPr>
          <w:sz w:val="16"/>
        </w:rPr>
        <w:t>TARGINO, Vanez</w:t>
      </w:r>
      <w:r>
        <w:rPr>
          <w:sz w:val="16"/>
        </w:rPr>
        <w:t>a. Índios Yanomamis se opõem à mineração em suas terras. Folha de Boa Vista, 31 out. 2010. Disponível em:</w:t>
      </w:r>
    </w:p>
    <w:p w:rsidR="00D81F69" w:rsidRDefault="00D81F69">
      <w:pPr>
        <w:spacing w:before="1" w:line="312" w:lineRule="auto"/>
        <w:ind w:left="100" w:right="255"/>
        <w:jc w:val="both"/>
        <w:rPr>
          <w:sz w:val="16"/>
        </w:rPr>
      </w:pPr>
      <w:hyperlink r:id="rId535">
        <w:r w:rsidR="00330118">
          <w:rPr>
            <w:sz w:val="16"/>
          </w:rPr>
          <w:t xml:space="preserve">&lt;http://www.folhabv.com.br/Imprimir_noticia.php?id=97256&gt;. </w:t>
        </w:r>
      </w:hyperlink>
      <w:r w:rsidR="00330118">
        <w:rPr>
          <w:sz w:val="16"/>
        </w:rPr>
        <w:t>Acesso em: 12 mar.</w:t>
      </w:r>
      <w:r w:rsidR="00330118">
        <w:rPr>
          <w:sz w:val="16"/>
        </w:rPr>
        <w:t xml:space="preserve"> 2011.</w:t>
      </w:r>
    </w:p>
    <w:p w:rsidR="00D81F69" w:rsidRDefault="00330118">
      <w:pPr>
        <w:spacing w:before="2" w:line="312" w:lineRule="auto"/>
        <w:ind w:left="100" w:right="257"/>
        <w:jc w:val="both"/>
        <w:rPr>
          <w:sz w:val="16"/>
        </w:rPr>
      </w:pPr>
      <w:r>
        <w:rPr>
          <w:sz w:val="16"/>
        </w:rPr>
        <w:t>VILLAS BÔAS, Hariessa Cristina. Mineração em terras indígenas: a procura de um marco legal. Rio de Janeiro: CETEM/MCT, 2005.</w:t>
      </w:r>
    </w:p>
    <w:p w:rsidR="00D81F69" w:rsidRDefault="00330118">
      <w:pPr>
        <w:tabs>
          <w:tab w:val="left" w:pos="4331"/>
        </w:tabs>
        <w:spacing w:before="2" w:line="312" w:lineRule="auto"/>
        <w:ind w:left="100" w:right="232"/>
        <w:jc w:val="both"/>
        <w:rPr>
          <w:sz w:val="16"/>
        </w:rPr>
      </w:pPr>
      <w:r>
        <w:rPr>
          <w:sz w:val="16"/>
        </w:rPr>
        <w:t>YANOMAMI, Davi Kopenawa. Ofício n° 14/HAY2010. Requerimento ao Relator [da ONU] para Providências contra o garimpo ilegal na</w:t>
      </w:r>
      <w:r>
        <w:rPr>
          <w:sz w:val="16"/>
        </w:rPr>
        <w:t xml:space="preserve"> </w:t>
      </w:r>
      <w:r>
        <w:rPr>
          <w:spacing w:val="3"/>
          <w:sz w:val="16"/>
        </w:rPr>
        <w:t xml:space="preserve">Terra </w:t>
      </w:r>
      <w:r>
        <w:rPr>
          <w:spacing w:val="5"/>
          <w:sz w:val="16"/>
        </w:rPr>
        <w:t xml:space="preserve">Indígena Yanomami, </w:t>
      </w:r>
      <w:r>
        <w:rPr>
          <w:spacing w:val="2"/>
          <w:sz w:val="16"/>
        </w:rPr>
        <w:t xml:space="preserve">no  </w:t>
      </w:r>
      <w:r>
        <w:rPr>
          <w:spacing w:val="5"/>
          <w:sz w:val="16"/>
        </w:rPr>
        <w:t xml:space="preserve">Brasil, </w:t>
      </w:r>
      <w:r>
        <w:rPr>
          <w:spacing w:val="3"/>
          <w:sz w:val="16"/>
        </w:rPr>
        <w:t xml:space="preserve">Boa  </w:t>
      </w:r>
      <w:r>
        <w:rPr>
          <w:spacing w:val="5"/>
          <w:sz w:val="16"/>
        </w:rPr>
        <w:t xml:space="preserve">Vista, </w:t>
      </w:r>
      <w:r>
        <w:rPr>
          <w:spacing w:val="2"/>
          <w:sz w:val="16"/>
        </w:rPr>
        <w:t xml:space="preserve">16  </w:t>
      </w:r>
      <w:r>
        <w:rPr>
          <w:spacing w:val="3"/>
          <w:sz w:val="16"/>
        </w:rPr>
        <w:t xml:space="preserve">abr.  </w:t>
      </w:r>
      <w:r>
        <w:rPr>
          <w:spacing w:val="5"/>
          <w:sz w:val="16"/>
        </w:rPr>
        <w:t xml:space="preserve">2010.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line="312" w:lineRule="auto"/>
        <w:ind w:left="100" w:right="255"/>
        <w:jc w:val="both"/>
        <w:rPr>
          <w:sz w:val="16"/>
        </w:rPr>
      </w:pPr>
      <w:hyperlink r:id="rId536">
        <w:r w:rsidR="00330118">
          <w:rPr>
            <w:sz w:val="16"/>
          </w:rPr>
          <w:t>&lt;</w:t>
        </w:r>
        <w:r w:rsidR="00330118">
          <w:rPr>
            <w:sz w:val="16"/>
          </w:rPr>
          <w:t>http://www.socioambiental.org/banco_imagens/pdfs/Carta%20da%2</w:t>
        </w:r>
      </w:hyperlink>
      <w:r w:rsidR="00330118">
        <w:rPr>
          <w:sz w:val="16"/>
        </w:rPr>
        <w:t xml:space="preserve"> 0HAY%20para%20James%20Anaya%20abril%202010.pdf&gt;. Acesso em: 29 mai. 2010.</w:t>
      </w:r>
    </w:p>
    <w:p w:rsidR="00D81F69" w:rsidRDefault="00D81F69">
      <w:pPr>
        <w:spacing w:line="312" w:lineRule="auto"/>
        <w:jc w:val="both"/>
        <w:rPr>
          <w:sz w:val="16"/>
        </w:rPr>
        <w:sectPr w:rsidR="00D81F69">
          <w:pgSz w:w="11900" w:h="16840"/>
          <w:pgMar w:top="740" w:right="460" w:bottom="720" w:left="620" w:header="0" w:footer="402" w:gutter="0"/>
          <w:cols w:num="2" w:space="720" w:equalWidth="0">
            <w:col w:w="5181" w:space="289"/>
            <w:col w:w="5350"/>
          </w:cols>
        </w:sectPr>
      </w:pPr>
    </w:p>
    <w:p w:rsidR="00D81F69" w:rsidRPr="00392EAD" w:rsidRDefault="00330118">
      <w:pPr>
        <w:spacing w:before="65"/>
        <w:ind w:right="117"/>
        <w:jc w:val="right"/>
        <w:rPr>
          <w:lang w:val="pt-BR"/>
        </w:rPr>
      </w:pPr>
      <w:r w:rsidRPr="00392EAD">
        <w:rPr>
          <w:lang w:val="pt-BR"/>
        </w:rPr>
        <w:lastRenderedPageBreak/>
        <w:t>REGIÃO NORDESTE</w:t>
      </w:r>
    </w:p>
    <w:p w:rsidR="00D81F69" w:rsidRPr="00392EAD" w:rsidRDefault="00D81F69">
      <w:pPr>
        <w:pStyle w:val="Corpodetexto"/>
        <w:ind w:left="0"/>
        <w:jc w:val="left"/>
        <w:rPr>
          <w:sz w:val="24"/>
          <w:lang w:val="pt-BR"/>
        </w:rPr>
      </w:pPr>
    </w:p>
    <w:p w:rsidR="00D81F69" w:rsidRPr="00392EAD" w:rsidRDefault="00330118">
      <w:pPr>
        <w:spacing w:before="182"/>
        <w:ind w:left="3497" w:right="631" w:hanging="2871"/>
        <w:rPr>
          <w:b/>
          <w:sz w:val="28"/>
          <w:lang w:val="pt-BR"/>
        </w:rPr>
      </w:pPr>
      <w:r w:rsidRPr="00392EAD">
        <w:rPr>
          <w:b/>
          <w:sz w:val="28"/>
          <w:lang w:val="pt-BR"/>
        </w:rPr>
        <w:t>Mineração na Região Nordeste do Brasil: quadro atual e perspectivas</w:t>
      </w:r>
    </w:p>
    <w:p w:rsidR="00D81F69" w:rsidRPr="00392EAD" w:rsidRDefault="00D81F69">
      <w:pPr>
        <w:pStyle w:val="Corpodetexto"/>
        <w:spacing w:before="11"/>
        <w:ind w:left="0"/>
        <w:jc w:val="left"/>
        <w:rPr>
          <w:b/>
          <w:sz w:val="27"/>
          <w:lang w:val="pt-BR"/>
        </w:rPr>
      </w:pPr>
    </w:p>
    <w:p w:rsidR="00D81F69" w:rsidRPr="00392EAD" w:rsidRDefault="00330118">
      <w:pPr>
        <w:ind w:left="5176" w:right="116" w:firstLine="1278"/>
        <w:jc w:val="right"/>
        <w:rPr>
          <w:i/>
          <w:sz w:val="20"/>
          <w:lang w:val="pt-BR"/>
        </w:rPr>
      </w:pPr>
      <w:r w:rsidRPr="00392EAD">
        <w:rPr>
          <w:i/>
          <w:sz w:val="20"/>
          <w:lang w:val="pt-BR"/>
        </w:rPr>
        <w:t>Keila</w:t>
      </w:r>
      <w:r w:rsidRPr="00392EAD">
        <w:rPr>
          <w:i/>
          <w:sz w:val="20"/>
          <w:lang w:val="pt-BR"/>
        </w:rPr>
        <w:t xml:space="preserve"> Valente de Souza</w:t>
      </w:r>
      <w:r w:rsidRPr="00392EAD">
        <w:rPr>
          <w:i/>
          <w:sz w:val="20"/>
          <w:vertAlign w:val="superscript"/>
          <w:lang w:val="pt-BR"/>
        </w:rPr>
        <w:t>1</w:t>
      </w:r>
      <w:r w:rsidRPr="00392EAD">
        <w:rPr>
          <w:i/>
          <w:w w:val="106"/>
          <w:sz w:val="20"/>
          <w:lang w:val="pt-BR"/>
        </w:rPr>
        <w:t xml:space="preserve"> </w:t>
      </w:r>
      <w:r w:rsidRPr="00392EAD">
        <w:rPr>
          <w:i/>
          <w:sz w:val="20"/>
          <w:lang w:val="pt-BR"/>
        </w:rPr>
        <w:t>Rodrigo Braga da Rocha Villa Verde</w:t>
      </w:r>
      <w:r w:rsidRPr="00392EAD">
        <w:rPr>
          <w:i/>
          <w:sz w:val="20"/>
          <w:vertAlign w:val="superscript"/>
          <w:lang w:val="pt-BR"/>
        </w:rPr>
        <w:t>2</w:t>
      </w:r>
      <w:r w:rsidRPr="00392EAD">
        <w:rPr>
          <w:i/>
          <w:w w:val="106"/>
          <w:sz w:val="20"/>
          <w:lang w:val="pt-BR"/>
        </w:rPr>
        <w:t xml:space="preserve"> </w:t>
      </w:r>
      <w:r w:rsidRPr="00392EAD">
        <w:rPr>
          <w:i/>
          <w:sz w:val="20"/>
          <w:lang w:val="pt-BR"/>
        </w:rPr>
        <w:t>Renata de Carvalho Jimenez Alamino</w:t>
      </w:r>
      <w:r w:rsidRPr="00392EAD">
        <w:rPr>
          <w:i/>
          <w:sz w:val="20"/>
          <w:vertAlign w:val="superscript"/>
          <w:lang w:val="pt-BR"/>
        </w:rPr>
        <w:t>3</w:t>
      </w:r>
      <w:r w:rsidRPr="00392EAD">
        <w:rPr>
          <w:i/>
          <w:w w:val="106"/>
          <w:sz w:val="20"/>
          <w:lang w:val="pt-BR"/>
        </w:rPr>
        <w:t xml:space="preserve"> </w:t>
      </w:r>
      <w:r w:rsidRPr="00392EAD">
        <w:rPr>
          <w:i/>
          <w:sz w:val="20"/>
          <w:lang w:val="pt-BR"/>
        </w:rPr>
        <w:t>Francisco Rego Chaves Fernandes</w:t>
      </w:r>
      <w:r w:rsidRPr="00392EAD">
        <w:rPr>
          <w:i/>
          <w:sz w:val="20"/>
          <w:vertAlign w:val="superscript"/>
          <w:lang w:val="pt-BR"/>
        </w:rPr>
        <w:t>4</w:t>
      </w:r>
    </w:p>
    <w:p w:rsidR="00D81F69" w:rsidRPr="00392EAD" w:rsidRDefault="00D81F69">
      <w:pPr>
        <w:pStyle w:val="Corpodetexto"/>
        <w:spacing w:before="10"/>
        <w:ind w:left="0"/>
        <w:jc w:val="left"/>
        <w:rPr>
          <w:i/>
          <w:sz w:val="21"/>
          <w:lang w:val="pt-BR"/>
        </w:rPr>
      </w:pPr>
    </w:p>
    <w:p w:rsidR="00D81F69" w:rsidRPr="00392EAD" w:rsidRDefault="00330118">
      <w:pPr>
        <w:pStyle w:val="Heading5"/>
        <w:rPr>
          <w:lang w:val="pt-BR"/>
        </w:rPr>
      </w:pPr>
      <w:r w:rsidRPr="00392EAD">
        <w:rPr>
          <w:lang w:val="pt-BR"/>
        </w:rPr>
        <w:t>A região Nordeste apresenta 20% dos estudos de casos listados no livro, com 21 verbetes, de um total nacional de 105 casos. A miner</w:t>
      </w:r>
      <w:r w:rsidRPr="00392EAD">
        <w:rPr>
          <w:lang w:val="pt-BR"/>
        </w:rPr>
        <w:t xml:space="preserve">ação é uma atividade econômica tradicional na região, sendo que mais de 50% desses estabelecimentos minerários  têm mais de 20 anos de funcionamento. A população residente no entorno dos estudos de casos encontra-se em cidades de pequeno porte, com até 50 </w:t>
      </w:r>
      <w:r w:rsidRPr="00392EAD">
        <w:rPr>
          <w:lang w:val="pt-BR"/>
        </w:rPr>
        <w:t>mil habitantes.</w:t>
      </w:r>
    </w:p>
    <w:p w:rsidR="00D81F69" w:rsidRPr="00392EAD" w:rsidRDefault="00D81F69">
      <w:pPr>
        <w:pStyle w:val="Corpodetexto"/>
        <w:ind w:left="0"/>
        <w:jc w:val="left"/>
        <w:rPr>
          <w:sz w:val="22"/>
          <w:lang w:val="pt-BR"/>
        </w:rPr>
      </w:pPr>
    </w:p>
    <w:p w:rsidR="00D81F69" w:rsidRPr="00392EAD" w:rsidRDefault="00330118">
      <w:pPr>
        <w:ind w:left="101" w:right="114"/>
        <w:jc w:val="both"/>
        <w:rPr>
          <w:lang w:val="pt-BR"/>
        </w:rPr>
      </w:pPr>
      <w:r w:rsidRPr="00392EAD">
        <w:rPr>
          <w:lang w:val="pt-BR"/>
        </w:rPr>
        <w:t xml:space="preserve">Dentre os impactos negativos avistados, figuram, em primeiro lugar, os relatos de danos à saúde, seguidos de problemas trabalhistas e questões fundiárias. A poluição da água se configura como outro importante impacto negativo da mineração </w:t>
      </w:r>
      <w:r w:rsidRPr="00392EAD">
        <w:rPr>
          <w:lang w:val="pt-BR"/>
        </w:rPr>
        <w:t xml:space="preserve">no ecossistema local, sendo um desafio para a região. Contudo, o Nordeste possui algumas grandes minas, que estão entre as 200 maiores do Brasil, entre elas, as de ouro, em Jacobina (BA), de urânio, em Caetité (BA), de potássio, em Rosário do Catete (SE), </w:t>
      </w:r>
      <w:r w:rsidRPr="00392EAD">
        <w:rPr>
          <w:lang w:val="pt-BR"/>
        </w:rPr>
        <w:t>de talco, em Brumado (BA), e de cobre, em Jaguarari (BA) (MINÉRIOS &amp; MINERALES,</w:t>
      </w:r>
      <w:r w:rsidRPr="00392EAD">
        <w:rPr>
          <w:spacing w:val="-1"/>
          <w:lang w:val="pt-BR"/>
        </w:rPr>
        <w:t xml:space="preserve"> </w:t>
      </w:r>
      <w:r w:rsidRPr="00392EAD">
        <w:rPr>
          <w:lang w:val="pt-BR"/>
        </w:rPr>
        <w:t>2012).</w:t>
      </w:r>
    </w:p>
    <w:p w:rsidR="00D81F69" w:rsidRPr="00392EAD" w:rsidRDefault="00D81F69">
      <w:pPr>
        <w:pStyle w:val="Corpodetexto"/>
        <w:ind w:left="0"/>
        <w:jc w:val="left"/>
        <w:rPr>
          <w:sz w:val="22"/>
          <w:lang w:val="pt-BR"/>
        </w:rPr>
      </w:pPr>
    </w:p>
    <w:p w:rsidR="00D81F69" w:rsidRPr="00392EAD" w:rsidRDefault="00330118">
      <w:pPr>
        <w:ind w:left="101" w:right="114"/>
        <w:jc w:val="both"/>
        <w:rPr>
          <w:lang w:val="pt-BR"/>
        </w:rPr>
      </w:pPr>
      <w:r w:rsidRPr="00392EAD">
        <w:rPr>
          <w:lang w:val="pt-BR"/>
        </w:rPr>
        <w:t>Em Jacobina, o destaque é a mina de ouro que é administrada pelo grupo canadense Yamana Gold. A mineração de urânio em Caetité provoca elevada incorporação média de urâ</w:t>
      </w:r>
      <w:r w:rsidRPr="00392EAD">
        <w:rPr>
          <w:lang w:val="pt-BR"/>
        </w:rPr>
        <w:t xml:space="preserve">nio na população, cerca de 100 vezes maior do que a média mundial </w:t>
      </w:r>
      <w:r w:rsidRPr="00392EAD">
        <w:rPr>
          <w:sz w:val="24"/>
          <w:lang w:val="pt-BR"/>
        </w:rPr>
        <w:t xml:space="preserve">(PLATAFORMA DHESCA, 2013). </w:t>
      </w:r>
      <w:r w:rsidRPr="00392EAD">
        <w:rPr>
          <w:lang w:val="pt-BR"/>
        </w:rPr>
        <w:t>Em Brumado, a exploração de magnesita e talco, juntamente com outras atividades antrópicas, é apontada como uma das responsáveis pela degradação ambiental da microbacia do rio do Antônio, e a mineração de cobre em Jaguarari contribui para a contaminação da</w:t>
      </w:r>
      <w:r w:rsidRPr="00392EAD">
        <w:rPr>
          <w:lang w:val="pt-BR"/>
        </w:rPr>
        <w:t xml:space="preserve"> Caatinga por ácido sulfúrico, rejeito de cobre e por emissões de pó. Entretanto, o uso de alta tecnologia em tais atividades de mineração tem, em período recente, reduzido os impactos ambientais negativos, como é o caso da mina de potássio em Rosário do C</w:t>
      </w:r>
      <w:r w:rsidRPr="00392EAD">
        <w:rPr>
          <w:lang w:val="pt-BR"/>
        </w:rPr>
        <w:t>atete, onde houve o desenvolvimento de uma complexa tecnologia de lavra</w:t>
      </w:r>
      <w:r w:rsidRPr="00392EAD">
        <w:rPr>
          <w:spacing w:val="-1"/>
          <w:lang w:val="pt-BR"/>
        </w:rPr>
        <w:t xml:space="preserve"> </w:t>
      </w:r>
      <w:r w:rsidRPr="00392EAD">
        <w:rPr>
          <w:lang w:val="pt-BR"/>
        </w:rPr>
        <w:t>subterrânea.</w:t>
      </w:r>
    </w:p>
    <w:p w:rsidR="00D81F69" w:rsidRPr="00392EAD" w:rsidRDefault="00D81F69">
      <w:pPr>
        <w:pStyle w:val="Corpodetexto"/>
        <w:ind w:left="0"/>
        <w:jc w:val="left"/>
        <w:rPr>
          <w:sz w:val="22"/>
          <w:lang w:val="pt-BR"/>
        </w:rPr>
      </w:pPr>
    </w:p>
    <w:p w:rsidR="00D81F69" w:rsidRPr="00392EAD" w:rsidRDefault="00330118">
      <w:pPr>
        <w:ind w:left="101" w:right="116"/>
        <w:jc w:val="both"/>
        <w:rPr>
          <w:lang w:val="pt-BR"/>
        </w:rPr>
      </w:pPr>
      <w:r w:rsidRPr="00392EAD">
        <w:rPr>
          <w:lang w:val="pt-BR"/>
        </w:rPr>
        <w:t>Dos 11 casos publicados no livro, dentre os Arranjos Produtivos Locais (APLs), quatro estão na região Nordeste. Os APLs contribuem positivamente para a construção de uma infraestrutura econômica local, com o aumento da oferta de emprego e a melhoria na ren</w:t>
      </w:r>
      <w:r w:rsidRPr="00392EAD">
        <w:rPr>
          <w:lang w:val="pt-BR"/>
        </w:rPr>
        <w:t>da familiar (SOUZA et al., 2011). Tal situação é observada no APL de opalas de Pedro II (PI), onde, entre os principais benefícios de sua formação, estão as alterações nas condições e rotinas de trabalho que passaram a ser feitas com mais segurança. Contud</w:t>
      </w:r>
      <w:r w:rsidRPr="00392EAD">
        <w:rPr>
          <w:lang w:val="pt-BR"/>
        </w:rPr>
        <w:t>o, em outros APLs da região ocorrem práticas que não estão em conformidade com a regulamentação ambiental. Por exemplo, no APL de rochas ornamentais, em Jacobina, ocorrem problemas como desmatamento, assoreamento de rios, extinção</w:t>
      </w:r>
    </w:p>
    <w:p w:rsidR="00D81F69" w:rsidRPr="00392EAD" w:rsidRDefault="00D81F69">
      <w:pPr>
        <w:pStyle w:val="Corpodetexto"/>
        <w:spacing w:before="5"/>
        <w:ind w:left="0"/>
        <w:jc w:val="left"/>
        <w:rPr>
          <w:sz w:val="23"/>
          <w:lang w:val="pt-BR"/>
        </w:rPr>
      </w:pPr>
      <w:r w:rsidRPr="00D81F69">
        <w:pict>
          <v:line id="_x0000_s1033" style="position:absolute;z-index:5872;mso-wrap-distance-left:0;mso-wrap-distance-right:0;mso-position-horizontal-relative:page" from="85.1pt,15.75pt" to="229.1pt,15.75pt" strokeweight=".54pt">
            <w10:wrap type="topAndBottom" anchorx="page"/>
          </v:line>
        </w:pict>
      </w:r>
    </w:p>
    <w:p w:rsidR="00D81F69" w:rsidRPr="00392EAD" w:rsidRDefault="00330118">
      <w:pPr>
        <w:pStyle w:val="Corpodetexto"/>
        <w:spacing w:before="29"/>
        <w:ind w:left="101" w:right="631" w:hanging="1"/>
        <w:jc w:val="left"/>
        <w:rPr>
          <w:lang w:val="pt-BR"/>
        </w:rPr>
      </w:pPr>
      <w:r w:rsidRPr="00392EAD">
        <w:rPr>
          <w:position w:val="9"/>
          <w:sz w:val="12"/>
          <w:lang w:val="pt-BR"/>
        </w:rPr>
        <w:t xml:space="preserve">1 </w:t>
      </w:r>
      <w:r w:rsidRPr="00392EAD">
        <w:rPr>
          <w:lang w:val="pt-BR"/>
        </w:rPr>
        <w:t>Pós-graduação em Anál</w:t>
      </w:r>
      <w:r w:rsidRPr="00392EAD">
        <w:rPr>
          <w:lang w:val="pt-BR"/>
        </w:rPr>
        <w:t xml:space="preserve">ise Ambiental e Gestão do Território pela Escola Nacional de Ciências Estatísticas (ENCE/IBGE). Contato: </w:t>
      </w:r>
      <w:hyperlink r:id="rId537">
        <w:r w:rsidRPr="00392EAD">
          <w:rPr>
            <w:lang w:val="pt-BR"/>
          </w:rPr>
          <w:t>keilavalente21@gmail.com</w:t>
        </w:r>
      </w:hyperlink>
    </w:p>
    <w:p w:rsidR="00D81F69" w:rsidRPr="00392EAD" w:rsidRDefault="00330118">
      <w:pPr>
        <w:pStyle w:val="Corpodetexto"/>
        <w:spacing w:before="4" w:line="206" w:lineRule="exact"/>
        <w:ind w:left="101"/>
        <w:jc w:val="left"/>
        <w:rPr>
          <w:lang w:val="pt-BR"/>
        </w:rPr>
      </w:pPr>
      <w:r w:rsidRPr="00392EAD">
        <w:rPr>
          <w:position w:val="9"/>
          <w:sz w:val="12"/>
          <w:lang w:val="pt-BR"/>
        </w:rPr>
        <w:t xml:space="preserve">2 </w:t>
      </w:r>
      <w:r w:rsidRPr="00392EAD">
        <w:rPr>
          <w:lang w:val="pt-BR"/>
        </w:rPr>
        <w:t>Geógrafo pela Universidade Federal do Rio de Janeiro (UFRJ). Historiador pe</w:t>
      </w:r>
      <w:r w:rsidRPr="00392EAD">
        <w:rPr>
          <w:lang w:val="pt-BR"/>
        </w:rPr>
        <w:t>la Universidade Federal do Estado do Rio de Janeiro (UNIRIO). Bolsista do Programa de Capacitação Institucional do Ministério da</w:t>
      </w:r>
    </w:p>
    <w:p w:rsidR="00D81F69" w:rsidRPr="00392EAD" w:rsidRDefault="00330118">
      <w:pPr>
        <w:pStyle w:val="Corpodetexto"/>
        <w:spacing w:line="188" w:lineRule="exact"/>
        <w:ind w:left="101"/>
        <w:jc w:val="left"/>
        <w:rPr>
          <w:lang w:val="pt-BR"/>
        </w:rPr>
      </w:pPr>
      <w:r w:rsidRPr="00392EAD">
        <w:rPr>
          <w:lang w:val="pt-BR"/>
        </w:rPr>
        <w:t xml:space="preserve">Ciência, Tecnologia e Inovação / CNPq-CETEM. Contato: </w:t>
      </w:r>
      <w:hyperlink r:id="rId538">
        <w:r w:rsidRPr="00392EAD">
          <w:rPr>
            <w:lang w:val="pt-BR"/>
          </w:rPr>
          <w:t>rrocha@cetem.gov.br</w:t>
        </w:r>
      </w:hyperlink>
    </w:p>
    <w:p w:rsidR="00D81F69" w:rsidRPr="00392EAD" w:rsidRDefault="00330118">
      <w:pPr>
        <w:pStyle w:val="Corpodetexto"/>
        <w:spacing w:line="224" w:lineRule="exact"/>
        <w:ind w:left="101" w:hanging="1"/>
        <w:jc w:val="left"/>
        <w:rPr>
          <w:lang w:val="pt-BR"/>
        </w:rPr>
      </w:pPr>
      <w:r w:rsidRPr="00392EAD">
        <w:rPr>
          <w:position w:val="9"/>
          <w:sz w:val="12"/>
          <w:lang w:val="pt-BR"/>
        </w:rPr>
        <w:t xml:space="preserve">3 </w:t>
      </w:r>
      <w:r w:rsidRPr="00392EAD">
        <w:rPr>
          <w:lang w:val="pt-BR"/>
        </w:rPr>
        <w:t>Doutora</w:t>
      </w:r>
      <w:r w:rsidRPr="00392EAD">
        <w:rPr>
          <w:lang w:val="pt-BR"/>
        </w:rPr>
        <w:t>do em Geologia pela Universidade Federal do Rio de Janeiro (UFRJ). Bolsista do Programa de</w:t>
      </w:r>
    </w:p>
    <w:p w:rsidR="00D81F69" w:rsidRPr="00392EAD" w:rsidRDefault="00330118">
      <w:pPr>
        <w:pStyle w:val="Corpodetexto"/>
        <w:spacing w:before="1"/>
        <w:ind w:left="101"/>
        <w:jc w:val="left"/>
        <w:rPr>
          <w:lang w:val="pt-BR"/>
        </w:rPr>
      </w:pPr>
      <w:r w:rsidRPr="00392EAD">
        <w:rPr>
          <w:lang w:val="pt-BR"/>
        </w:rPr>
        <w:t xml:space="preserve">Capacitação Institucional do Ministério da Ciência, Tecnologia e Inovação / CNPq-CETEM. Contato: </w:t>
      </w:r>
      <w:hyperlink r:id="rId539">
        <w:r w:rsidRPr="00392EAD">
          <w:rPr>
            <w:lang w:val="pt-BR"/>
          </w:rPr>
          <w:t>ralamino@cetem.gov.br</w:t>
        </w:r>
      </w:hyperlink>
    </w:p>
    <w:p w:rsidR="00D81F69" w:rsidRPr="00392EAD" w:rsidRDefault="00330118">
      <w:pPr>
        <w:pStyle w:val="Corpodetexto"/>
        <w:spacing w:before="4" w:line="206" w:lineRule="exact"/>
        <w:ind w:left="101"/>
        <w:jc w:val="left"/>
        <w:rPr>
          <w:lang w:val="pt-BR"/>
        </w:rPr>
      </w:pPr>
      <w:r w:rsidRPr="00392EAD">
        <w:rPr>
          <w:position w:val="9"/>
          <w:sz w:val="12"/>
          <w:lang w:val="pt-BR"/>
        </w:rPr>
        <w:t xml:space="preserve">4 </w:t>
      </w:r>
      <w:r w:rsidRPr="00392EAD">
        <w:rPr>
          <w:lang w:val="pt-BR"/>
        </w:rPr>
        <w:t xml:space="preserve">Pós-Doutorado em Desenvolvimento Sustentável e Recursos Minerais pela Universidade do Porto. Tecnologista Sênior do Centro de Tecnologia Mineral – CETEM. Contato: </w:t>
      </w:r>
      <w:hyperlink r:id="rId540">
        <w:r w:rsidRPr="00392EAD">
          <w:rPr>
            <w:lang w:val="pt-BR"/>
          </w:rPr>
          <w:t>ffernandes@cetem.gov.br</w:t>
        </w:r>
      </w:hyperlink>
    </w:p>
    <w:p w:rsidR="00D81F69" w:rsidRPr="00392EAD" w:rsidRDefault="00D81F69">
      <w:pPr>
        <w:spacing w:line="206" w:lineRule="exact"/>
        <w:rPr>
          <w:lang w:val="pt-BR"/>
        </w:rPr>
        <w:sectPr w:rsidR="00D81F69" w:rsidRPr="00392EAD">
          <w:pgSz w:w="11910" w:h="16840"/>
          <w:pgMar w:top="640" w:right="1580" w:bottom="720" w:left="1600" w:header="0" w:footer="402" w:gutter="0"/>
          <w:cols w:space="720"/>
        </w:sectPr>
      </w:pPr>
    </w:p>
    <w:p w:rsidR="00D81F69" w:rsidRPr="00392EAD" w:rsidRDefault="00330118">
      <w:pPr>
        <w:pStyle w:val="Heading5"/>
        <w:spacing w:before="65"/>
        <w:ind w:left="6467" w:right="0"/>
        <w:jc w:val="left"/>
        <w:rPr>
          <w:lang w:val="pt-BR"/>
        </w:rPr>
      </w:pPr>
      <w:r w:rsidRPr="00392EAD">
        <w:rPr>
          <w:lang w:val="pt-BR"/>
        </w:rPr>
        <w:lastRenderedPageBreak/>
        <w:t>R</w:t>
      </w:r>
      <w:r w:rsidRPr="00392EAD">
        <w:rPr>
          <w:lang w:val="pt-BR"/>
        </w:rPr>
        <w:t>EGIÃO NORDESTE</w:t>
      </w:r>
    </w:p>
    <w:p w:rsidR="00D81F69" w:rsidRPr="00392EAD" w:rsidRDefault="00D81F69">
      <w:pPr>
        <w:pStyle w:val="Corpodetexto"/>
        <w:ind w:left="0"/>
        <w:jc w:val="left"/>
        <w:rPr>
          <w:sz w:val="24"/>
          <w:lang w:val="pt-BR"/>
        </w:rPr>
      </w:pPr>
    </w:p>
    <w:p w:rsidR="00D81F69" w:rsidRPr="00392EAD" w:rsidRDefault="00330118">
      <w:pPr>
        <w:spacing w:before="180"/>
        <w:ind w:left="101" w:right="116"/>
        <w:jc w:val="both"/>
        <w:rPr>
          <w:lang w:val="pt-BR"/>
        </w:rPr>
      </w:pPr>
      <w:r w:rsidRPr="00392EAD">
        <w:rPr>
          <w:lang w:val="pt-BR"/>
        </w:rPr>
        <w:t>das nascentes, alteração da qualidade e quantidade da água e doenças veiculadas ao consumo de água. Esses impactos se assemelham aos problemas vistos no Seridó Potiguar (RN), onde são encontrados problemas de desertificação causados pelo pr</w:t>
      </w:r>
      <w:r w:rsidRPr="00392EAD">
        <w:rPr>
          <w:lang w:val="pt-BR"/>
        </w:rPr>
        <w:t>óprio clima da região, mas agravados pela atividade de extração.</w:t>
      </w:r>
    </w:p>
    <w:p w:rsidR="00D81F69" w:rsidRPr="00392EAD" w:rsidRDefault="00D81F69">
      <w:pPr>
        <w:pStyle w:val="Corpodetexto"/>
        <w:ind w:left="0"/>
        <w:jc w:val="left"/>
        <w:rPr>
          <w:sz w:val="22"/>
          <w:lang w:val="pt-BR"/>
        </w:rPr>
      </w:pPr>
    </w:p>
    <w:p w:rsidR="00D81F69" w:rsidRPr="00392EAD" w:rsidRDefault="00330118">
      <w:pPr>
        <w:ind w:left="101" w:right="116"/>
        <w:jc w:val="both"/>
        <w:rPr>
          <w:lang w:val="pt-BR"/>
        </w:rPr>
      </w:pPr>
      <w:r w:rsidRPr="00392EAD">
        <w:rPr>
          <w:lang w:val="pt-BR"/>
        </w:rPr>
        <w:t>No Ceará, nos municípios de Nova Olinda, Santana do Cariri, Crato e Barbalha, o APL é apontado como um dos responsáveis por diversos impactos ambientais negativos, incluindo o acúmulo de toneladas de rejeitos nas margens dos riachos e nas frentes de lavra.</w:t>
      </w:r>
      <w:r w:rsidRPr="00392EAD">
        <w:rPr>
          <w:lang w:val="pt-BR"/>
        </w:rPr>
        <w:t xml:space="preserve"> Muitos desses problemas se devem ao fato de a extração ser conduzida sem técnicas e segurança adequadas, além da baixa recuperação da rocha ornamental, extraída com perdas elevadas no beneficiamento (SDLR-CE, 2013).</w:t>
      </w:r>
    </w:p>
    <w:p w:rsidR="00D81F69" w:rsidRPr="00392EAD" w:rsidRDefault="00D81F69">
      <w:pPr>
        <w:pStyle w:val="Corpodetexto"/>
        <w:ind w:left="0"/>
        <w:jc w:val="left"/>
        <w:rPr>
          <w:sz w:val="22"/>
          <w:lang w:val="pt-BR"/>
        </w:rPr>
      </w:pPr>
    </w:p>
    <w:p w:rsidR="00D81F69" w:rsidRPr="00392EAD" w:rsidRDefault="00330118">
      <w:pPr>
        <w:ind w:left="101" w:right="116"/>
        <w:jc w:val="both"/>
        <w:rPr>
          <w:lang w:val="pt-BR"/>
        </w:rPr>
      </w:pPr>
      <w:r w:rsidRPr="00392EAD">
        <w:rPr>
          <w:lang w:val="pt-BR"/>
        </w:rPr>
        <w:t xml:space="preserve">Outras situações que chamam a atenção </w:t>
      </w:r>
      <w:r w:rsidRPr="00392EAD">
        <w:rPr>
          <w:lang w:val="pt-BR"/>
        </w:rPr>
        <w:t>na região Nordeste são os casos de minas ou usinas abandonadas. Entre as causas que levam ao abandono da pequena mina ou garimpo estão: falta de obtenção de recursos para aquisição de equipamentos e maquinaria para continuar a exploração em camadas com mai</w:t>
      </w:r>
      <w:r w:rsidRPr="00392EAD">
        <w:rPr>
          <w:lang w:val="pt-BR"/>
        </w:rPr>
        <w:t>or profundidade, falta de mercado consumidor e exaustão dos bens minerais que possam ser extraídos nos níveis mais superficiais e, com isso, exigem o emprego de tecnologias mais complexas (DNPM, 2009). Contudo, observam-se também casos de abandono de grand</w:t>
      </w:r>
      <w:r w:rsidRPr="00392EAD">
        <w:rPr>
          <w:lang w:val="pt-BR"/>
        </w:rPr>
        <w:t>es minas, como em Boquira (BA), e na metalurgia em Santo Amaro (BA), onde existem enormes passivos, com mina e usina abandonadas e grande quantidade de resíduos tóxicos e perigosos. Parte da população desses municípios, dentre ela ex-funcionários da minera</w:t>
      </w:r>
      <w:r w:rsidRPr="00392EAD">
        <w:rPr>
          <w:lang w:val="pt-BR"/>
        </w:rPr>
        <w:t>dora, bem como o solo, os sedimentos e a biota, foi contaminada com resíduos da mineração. Outro importante caso é o encerramento da exploração do amianto em Bom Jesus da Serra e em Simões Filho, na Bahia, que também deixou rastro de degradação socioambien</w:t>
      </w:r>
      <w:r w:rsidRPr="00392EAD">
        <w:rPr>
          <w:lang w:val="pt-BR"/>
        </w:rPr>
        <w:t>tal. Além da cratera aberta e cheia de água contaminada, a população local convive com doenças, como câncer, em função do prolongado contato com o</w:t>
      </w:r>
      <w:r w:rsidRPr="00392EAD">
        <w:rPr>
          <w:spacing w:val="-1"/>
          <w:lang w:val="pt-BR"/>
        </w:rPr>
        <w:t xml:space="preserve"> </w:t>
      </w:r>
      <w:r w:rsidRPr="00392EAD">
        <w:rPr>
          <w:lang w:val="pt-BR"/>
        </w:rPr>
        <w:t>amianto.</w:t>
      </w:r>
    </w:p>
    <w:p w:rsidR="00D81F69" w:rsidRPr="00392EAD" w:rsidRDefault="00D81F69">
      <w:pPr>
        <w:pStyle w:val="Corpodetexto"/>
        <w:spacing w:before="10"/>
        <w:ind w:left="0"/>
        <w:jc w:val="left"/>
        <w:rPr>
          <w:sz w:val="21"/>
          <w:lang w:val="pt-BR"/>
        </w:rPr>
      </w:pPr>
    </w:p>
    <w:p w:rsidR="00D81F69" w:rsidRPr="00392EAD" w:rsidRDefault="00330118">
      <w:pPr>
        <w:ind w:left="101" w:right="115"/>
        <w:jc w:val="both"/>
        <w:rPr>
          <w:lang w:val="pt-BR"/>
        </w:rPr>
      </w:pPr>
      <w:r w:rsidRPr="00392EAD">
        <w:rPr>
          <w:lang w:val="pt-BR"/>
        </w:rPr>
        <w:t>Entre os casos que não envolvem diretamente uma mina, estão os relacionados à instalação da termelé</w:t>
      </w:r>
      <w:r w:rsidRPr="00392EAD">
        <w:rPr>
          <w:lang w:val="pt-BR"/>
        </w:rPr>
        <w:t>trica no município de São Gonçalo do Amarante (CE), movida a carvão mineral. A opção pelo carvão mineral como combustível é impactante tanto do ponto de vista ambiental, causando poluição atmosférica nas comunidades do entorno, quanto da saúde humana (RIGO</w:t>
      </w:r>
      <w:r w:rsidRPr="00392EAD">
        <w:rPr>
          <w:lang w:val="pt-BR"/>
        </w:rPr>
        <w:t>TTO, 2009). Também são encontradas referências de impactos ambientais negativos por lançamento de efluentes domésticos, industriais e a prática de atividades de subsistência, como o caso de Mossoró, Areia Branca, Grossos, Felipe Guerra, Apodi, Pau dos Ferr</w:t>
      </w:r>
      <w:r w:rsidRPr="00392EAD">
        <w:rPr>
          <w:lang w:val="pt-BR"/>
        </w:rPr>
        <w:t>os, no Rio Grande do Norte, demonstrando a falta de uma infraestrutura urbana que dê suporte à atividade industrial. Outro caso que chama atenção é o de poluição atmosférica em Simões Filho, onde a produção de ferro-ligas de manganês impacta diretamente o</w:t>
      </w:r>
      <w:r w:rsidRPr="00392EAD">
        <w:rPr>
          <w:spacing w:val="-15"/>
          <w:lang w:val="pt-BR"/>
        </w:rPr>
        <w:t xml:space="preserve"> </w:t>
      </w:r>
      <w:r w:rsidRPr="00392EAD">
        <w:rPr>
          <w:lang w:val="pt-BR"/>
        </w:rPr>
        <w:t>ambiente.</w:t>
      </w:r>
    </w:p>
    <w:p w:rsidR="00D81F69" w:rsidRPr="00392EAD" w:rsidRDefault="00D81F69">
      <w:pPr>
        <w:pStyle w:val="Corpodetexto"/>
        <w:ind w:left="0"/>
        <w:jc w:val="left"/>
        <w:rPr>
          <w:sz w:val="22"/>
          <w:lang w:val="pt-BR"/>
        </w:rPr>
      </w:pPr>
    </w:p>
    <w:p w:rsidR="00D81F69" w:rsidRPr="00392EAD" w:rsidRDefault="00330118">
      <w:pPr>
        <w:ind w:left="101" w:right="116"/>
        <w:jc w:val="both"/>
        <w:rPr>
          <w:lang w:val="pt-BR"/>
        </w:rPr>
      </w:pPr>
      <w:r w:rsidRPr="00392EAD">
        <w:rPr>
          <w:lang w:val="pt-BR"/>
        </w:rPr>
        <w:t>A extração ilegal em Terras Indígenas na região acontece no município de Centro do Guilherme (MA). A reserva é alvo de exploradores de ouro, extração ilegal de madeira nativa, e convive com a extinção de espécies vegetais e/ou animais. No Piauí,</w:t>
      </w:r>
      <w:r w:rsidRPr="00392EAD">
        <w:rPr>
          <w:lang w:val="pt-BR"/>
        </w:rPr>
        <w:t xml:space="preserve"> nos municípios de Castelo do Piauí e Juazeiro do Piauí, a extração ilegal de</w:t>
      </w:r>
      <w:r w:rsidRPr="00392EAD">
        <w:rPr>
          <w:spacing w:val="26"/>
          <w:lang w:val="pt-BR"/>
        </w:rPr>
        <w:t xml:space="preserve"> </w:t>
      </w:r>
      <w:r w:rsidRPr="00392EAD">
        <w:rPr>
          <w:lang w:val="pt-BR"/>
        </w:rPr>
        <w:t>rochas ornamentais vem gerando vários impactos socioambientais negativos. Desta forma, o acúmulo de rejeitos, lançados aleatoriamente no ambiente, demonstra ser um problema crôni</w:t>
      </w:r>
      <w:r w:rsidRPr="00392EAD">
        <w:rPr>
          <w:lang w:val="pt-BR"/>
        </w:rPr>
        <w:t>co na atividade de mineração quando ocorre sem a necessária fiscalização. Esse é o caso de Pindobaçu e Campo Formoso, na Bahia, onde</w:t>
      </w:r>
      <w:r w:rsidRPr="00392EAD">
        <w:rPr>
          <w:spacing w:val="33"/>
          <w:lang w:val="pt-BR"/>
        </w:rPr>
        <w:t xml:space="preserve"> </w:t>
      </w:r>
      <w:r w:rsidRPr="00392EAD">
        <w:rPr>
          <w:lang w:val="pt-BR"/>
        </w:rPr>
        <w:t>a mineração de esmeralda tem gerado vários impactos ambientais</w:t>
      </w:r>
      <w:r w:rsidRPr="00392EAD">
        <w:rPr>
          <w:spacing w:val="-5"/>
          <w:lang w:val="pt-BR"/>
        </w:rPr>
        <w:t xml:space="preserve"> </w:t>
      </w:r>
      <w:r w:rsidRPr="00392EAD">
        <w:rPr>
          <w:lang w:val="pt-BR"/>
        </w:rPr>
        <w:t>negativos.</w:t>
      </w:r>
    </w:p>
    <w:p w:rsidR="00D81F69" w:rsidRPr="00392EAD" w:rsidRDefault="00D81F69">
      <w:pPr>
        <w:pStyle w:val="Corpodetexto"/>
        <w:ind w:left="0"/>
        <w:jc w:val="left"/>
        <w:rPr>
          <w:sz w:val="22"/>
          <w:lang w:val="pt-BR"/>
        </w:rPr>
      </w:pPr>
    </w:p>
    <w:p w:rsidR="00D81F69" w:rsidRPr="00392EAD" w:rsidRDefault="00330118">
      <w:pPr>
        <w:ind w:left="101" w:right="115"/>
        <w:jc w:val="both"/>
        <w:rPr>
          <w:lang w:val="pt-BR"/>
        </w:rPr>
      </w:pPr>
      <w:r w:rsidRPr="00392EAD">
        <w:rPr>
          <w:lang w:val="pt-BR"/>
        </w:rPr>
        <w:t xml:space="preserve">É visto que a pressão exercida pela comunidade local pode provocar modificações no projeto original que levem a menos impactos negativos ao meio ambiente. Esse é o caso do polo que teria três usinas siderúrgicas e duas guseiras em São Luiz (MA). A pressão </w:t>
      </w:r>
      <w:r w:rsidRPr="00392EAD">
        <w:rPr>
          <w:lang w:val="pt-BR"/>
        </w:rPr>
        <w:t>de entidades e grupos sociais contrários à implantação do empreendimento</w:t>
      </w:r>
    </w:p>
    <w:p w:rsidR="00D81F69" w:rsidRPr="00392EAD" w:rsidRDefault="00D81F69">
      <w:pPr>
        <w:jc w:val="both"/>
        <w:rPr>
          <w:lang w:val="pt-BR"/>
        </w:rPr>
        <w:sectPr w:rsidR="00D81F69" w:rsidRPr="00392EAD">
          <w:pgSz w:w="11910" w:h="16840"/>
          <w:pgMar w:top="640" w:right="1580" w:bottom="720" w:left="1600" w:header="0" w:footer="402" w:gutter="0"/>
          <w:cols w:space="720"/>
        </w:sectPr>
      </w:pPr>
    </w:p>
    <w:p w:rsidR="00D81F69" w:rsidRPr="00392EAD" w:rsidRDefault="00330118">
      <w:pPr>
        <w:spacing w:before="65"/>
        <w:ind w:left="6467"/>
        <w:rPr>
          <w:lang w:val="pt-BR"/>
        </w:rPr>
      </w:pPr>
      <w:r w:rsidRPr="00392EAD">
        <w:rPr>
          <w:lang w:val="pt-BR"/>
        </w:rPr>
        <w:lastRenderedPageBreak/>
        <w:t>REGIÃO NORDESTE</w:t>
      </w:r>
    </w:p>
    <w:p w:rsidR="00D81F69" w:rsidRPr="00392EAD" w:rsidRDefault="00D81F69">
      <w:pPr>
        <w:pStyle w:val="Corpodetexto"/>
        <w:ind w:left="0"/>
        <w:jc w:val="left"/>
        <w:rPr>
          <w:sz w:val="24"/>
          <w:lang w:val="pt-BR"/>
        </w:rPr>
      </w:pPr>
    </w:p>
    <w:p w:rsidR="00D81F69" w:rsidRPr="00392EAD" w:rsidRDefault="00330118">
      <w:pPr>
        <w:spacing w:before="180"/>
        <w:ind w:left="101" w:right="116"/>
        <w:jc w:val="both"/>
        <w:rPr>
          <w:lang w:val="pt-BR"/>
        </w:rPr>
      </w:pPr>
      <w:r w:rsidRPr="00392EAD">
        <w:rPr>
          <w:lang w:val="pt-BR"/>
        </w:rPr>
        <w:t>levou à transferência do investimento para outro local. Já no caso de Santa Quitéria (CE), a mineração de fosfato-uranífero, que leva à previsível g</w:t>
      </w:r>
      <w:r w:rsidRPr="00392EAD">
        <w:rPr>
          <w:lang w:val="pt-BR"/>
        </w:rPr>
        <w:t>eração de rejeitos radioativos de minério de urânio, fez com que o empreendimento, previsto para começar a operar em 2012, sofresse alterações em seu planejamento.</w:t>
      </w:r>
    </w:p>
    <w:p w:rsidR="00D81F69" w:rsidRPr="00392EAD" w:rsidRDefault="00D81F69">
      <w:pPr>
        <w:pStyle w:val="Corpodetexto"/>
        <w:ind w:left="0"/>
        <w:jc w:val="left"/>
        <w:rPr>
          <w:sz w:val="22"/>
          <w:lang w:val="pt-BR"/>
        </w:rPr>
      </w:pPr>
    </w:p>
    <w:p w:rsidR="00D81F69" w:rsidRPr="00392EAD" w:rsidRDefault="00330118">
      <w:pPr>
        <w:ind w:left="101" w:right="116"/>
        <w:jc w:val="both"/>
        <w:rPr>
          <w:lang w:val="pt-BR"/>
        </w:rPr>
      </w:pPr>
      <w:r w:rsidRPr="00392EAD">
        <w:rPr>
          <w:lang w:val="pt-BR"/>
        </w:rPr>
        <w:t>Em Caetité, a abertura de uma mina de ferro promete deixar a Bahia em posição de destaque n</w:t>
      </w:r>
      <w:r w:rsidRPr="00392EAD">
        <w:rPr>
          <w:lang w:val="pt-BR"/>
        </w:rPr>
        <w:t>a mineração nacional, trazendo para o município avanço econômico, com oferta de empregos e atração de capitais, importante para o desenvolvimento da região. Contudo, a população local teme desastres ambientais e sociais graves. Em Juazeiro (BA), as deficiê</w:t>
      </w:r>
      <w:r w:rsidRPr="00392EAD">
        <w:rPr>
          <w:lang w:val="pt-BR"/>
        </w:rPr>
        <w:t>ncias em infraestrutura não impedem as perspectivas de novas explorações minerais na localidade. A possibilidade de ocorrerem impactos negativos, como assoreamento de rios e deposição de rejeitos em locais inadequados, pode ocasionar prejuízo a outras ativ</w:t>
      </w:r>
      <w:r w:rsidRPr="00392EAD">
        <w:rPr>
          <w:lang w:val="pt-BR"/>
        </w:rPr>
        <w:t>idades econômicas, como a agrária e a pastoril. Abalos sísmicos gerados pela explosão de rochas, comprometendo as edificações existentes, e poluição atmosférica, em razão da poeira proveniente da atividade de mineração, também preocupam moradores.</w:t>
      </w:r>
    </w:p>
    <w:p w:rsidR="00D81F69" w:rsidRPr="00392EAD" w:rsidRDefault="00D81F69">
      <w:pPr>
        <w:pStyle w:val="Corpodetexto"/>
        <w:ind w:left="0"/>
        <w:jc w:val="left"/>
        <w:rPr>
          <w:sz w:val="22"/>
          <w:lang w:val="pt-BR"/>
        </w:rPr>
      </w:pPr>
    </w:p>
    <w:p w:rsidR="00D81F69" w:rsidRPr="00392EAD" w:rsidRDefault="00330118">
      <w:pPr>
        <w:ind w:left="101" w:right="114"/>
        <w:jc w:val="both"/>
        <w:rPr>
          <w:lang w:val="pt-BR"/>
        </w:rPr>
      </w:pPr>
      <w:r w:rsidRPr="00392EAD">
        <w:rPr>
          <w:lang w:val="pt-BR"/>
        </w:rPr>
        <w:t>Tais pe</w:t>
      </w:r>
      <w:r w:rsidRPr="00392EAD">
        <w:rPr>
          <w:lang w:val="pt-BR"/>
        </w:rPr>
        <w:t>rspectivas demonstram a necessidade da incorporação de princípios de responsabilidade social por parte das mineradoras. Mais do que realizar boas práticas, a transparência na comunicação dos riscos para a comunidade local, a transferência dos benefícios ec</w:t>
      </w:r>
      <w:r w:rsidRPr="00392EAD">
        <w:rPr>
          <w:lang w:val="pt-BR"/>
        </w:rPr>
        <w:t>onômicos, com educação e emprego para a população, devem ser acompanhadas de capacitação profissional, para que as gerações, presente e futura, usufruam dos benefícios destas práticas. O desenvolvimento de uma tecnologia socioambiental que vise mais do que</w:t>
      </w:r>
      <w:r w:rsidRPr="00392EAD">
        <w:rPr>
          <w:lang w:val="pt-BR"/>
        </w:rPr>
        <w:t xml:space="preserve"> à mitigação dos impactos ambientais negativos e assegure o bem-estar da população, com uma infraestrutura adequada, demonstra ser uma necessidade presente e urgente.</w:t>
      </w:r>
    </w:p>
    <w:p w:rsidR="00D81F69" w:rsidRPr="00392EAD" w:rsidRDefault="00D81F69">
      <w:pPr>
        <w:pStyle w:val="Corpodetexto"/>
        <w:spacing w:before="1"/>
        <w:ind w:left="0"/>
        <w:jc w:val="left"/>
        <w:rPr>
          <w:sz w:val="22"/>
          <w:lang w:val="pt-BR"/>
        </w:rPr>
      </w:pPr>
    </w:p>
    <w:p w:rsidR="00D81F69" w:rsidRPr="00392EAD" w:rsidRDefault="00330118">
      <w:pPr>
        <w:ind w:left="101"/>
        <w:jc w:val="both"/>
        <w:rPr>
          <w:b/>
          <w:lang w:val="pt-BR"/>
        </w:rPr>
      </w:pPr>
      <w:r w:rsidRPr="00392EAD">
        <w:rPr>
          <w:b/>
          <w:lang w:val="pt-BR"/>
        </w:rPr>
        <w:t>Um perfil da mineração do estado da Bahia</w:t>
      </w:r>
    </w:p>
    <w:p w:rsidR="00D81F69" w:rsidRPr="00392EAD" w:rsidRDefault="00D81F69">
      <w:pPr>
        <w:pStyle w:val="Corpodetexto"/>
        <w:spacing w:before="9"/>
        <w:ind w:left="0"/>
        <w:jc w:val="left"/>
        <w:rPr>
          <w:b/>
          <w:sz w:val="21"/>
          <w:lang w:val="pt-BR"/>
        </w:rPr>
      </w:pPr>
    </w:p>
    <w:p w:rsidR="00D81F69" w:rsidRPr="00392EAD" w:rsidRDefault="00330118">
      <w:pPr>
        <w:spacing w:before="1"/>
        <w:ind w:left="101" w:right="117"/>
        <w:jc w:val="both"/>
        <w:rPr>
          <w:lang w:val="pt-BR"/>
        </w:rPr>
      </w:pPr>
      <w:r w:rsidRPr="00392EAD">
        <w:rPr>
          <w:lang w:val="pt-BR"/>
        </w:rPr>
        <w:t>A Bahia ocupa a quinta posição entre os maiores produtores de bens minerais brasileiros. Apenas em 2011, o estado contribuiu com R$ 2,1 bilhões na Produção Mineral Brasileira. A diversidade geológica de seu território permite a exploração de aproximadament</w:t>
      </w:r>
      <w:r w:rsidRPr="00392EAD">
        <w:rPr>
          <w:lang w:val="pt-BR"/>
        </w:rPr>
        <w:t>e 40 substâncias minerais, com destaque para o ferro, ouro, alumínio e cobre. É importante destacar também a liderança nacional na produção de urânio, cromo, magnesita e talco (SICM, 2013).</w:t>
      </w:r>
    </w:p>
    <w:p w:rsidR="00D81F69" w:rsidRPr="00392EAD" w:rsidRDefault="00D81F69">
      <w:pPr>
        <w:pStyle w:val="Corpodetexto"/>
        <w:ind w:left="0"/>
        <w:jc w:val="left"/>
        <w:rPr>
          <w:sz w:val="22"/>
          <w:lang w:val="pt-BR"/>
        </w:rPr>
      </w:pPr>
    </w:p>
    <w:p w:rsidR="00D81F69" w:rsidRPr="00392EAD" w:rsidRDefault="00330118">
      <w:pPr>
        <w:ind w:left="101" w:right="115"/>
        <w:jc w:val="both"/>
        <w:rPr>
          <w:lang w:val="pt-BR"/>
        </w:rPr>
      </w:pPr>
      <w:r w:rsidRPr="00392EAD">
        <w:rPr>
          <w:lang w:val="pt-BR"/>
        </w:rPr>
        <w:t>O subsolo do estado da Baia apresenta um dos maiores potenciais a</w:t>
      </w:r>
      <w:r w:rsidRPr="00392EAD">
        <w:rPr>
          <w:lang w:val="pt-BR"/>
        </w:rPr>
        <w:t>inda não explorados pela indústria extrativa mineral. Até 2015, o estado tem a perspectiva de receber cerca de R$ 20 bilhões em novos empreendimentos mineradores (SICM, 2013). Há ainda uma empresa pública sob a esfera do governo estadual dedicada à pesquis</w:t>
      </w:r>
      <w:r w:rsidRPr="00392EAD">
        <w:rPr>
          <w:lang w:val="pt-BR"/>
        </w:rPr>
        <w:t>a e desenvolvimento de processos do setor mineral da Baia, trata-se da Companhia Baiana de Pesquisa Mineral (CBPM) (CBPM, 2013).</w:t>
      </w:r>
    </w:p>
    <w:p w:rsidR="00D81F69" w:rsidRPr="00392EAD" w:rsidRDefault="00D81F69">
      <w:pPr>
        <w:pStyle w:val="Corpodetexto"/>
        <w:ind w:left="0"/>
        <w:jc w:val="left"/>
        <w:rPr>
          <w:sz w:val="22"/>
          <w:lang w:val="pt-BR"/>
        </w:rPr>
      </w:pPr>
    </w:p>
    <w:p w:rsidR="00D81F69" w:rsidRPr="00392EAD" w:rsidRDefault="00330118">
      <w:pPr>
        <w:ind w:left="101" w:right="117"/>
        <w:jc w:val="both"/>
        <w:rPr>
          <w:lang w:val="pt-BR"/>
        </w:rPr>
      </w:pPr>
      <w:r w:rsidRPr="00392EAD">
        <w:rPr>
          <w:lang w:val="pt-BR"/>
        </w:rPr>
        <w:t xml:space="preserve">Foi possível identificar, dentre os 21 verbetes deste capítulo que tratam da mineração no estado da Bahia, a data de fundação </w:t>
      </w:r>
      <w:r w:rsidRPr="00392EAD">
        <w:rPr>
          <w:lang w:val="pt-BR"/>
        </w:rPr>
        <w:t>de 10 deles. Nestes, a maioria dos empreendimentos estudados tem mais de duas décadas de atividade (Gráfico 1).</w:t>
      </w:r>
    </w:p>
    <w:p w:rsidR="00D81F69" w:rsidRPr="00392EAD" w:rsidRDefault="00D81F69">
      <w:pPr>
        <w:jc w:val="both"/>
        <w:rPr>
          <w:lang w:val="pt-BR"/>
        </w:rPr>
        <w:sectPr w:rsidR="00D81F69" w:rsidRPr="00392EAD">
          <w:pgSz w:w="11910" w:h="16840"/>
          <w:pgMar w:top="640" w:right="1580" w:bottom="720" w:left="1600" w:header="0" w:footer="402" w:gutter="0"/>
          <w:cols w:space="720"/>
        </w:sectPr>
      </w:pPr>
    </w:p>
    <w:p w:rsidR="00D81F69" w:rsidRPr="00392EAD" w:rsidRDefault="00330118">
      <w:pPr>
        <w:spacing w:before="65"/>
        <w:ind w:right="117"/>
        <w:jc w:val="right"/>
        <w:rPr>
          <w:lang w:val="pt-BR"/>
        </w:rPr>
      </w:pPr>
      <w:r w:rsidRPr="00392EAD">
        <w:rPr>
          <w:lang w:val="pt-BR"/>
        </w:rPr>
        <w:lastRenderedPageBreak/>
        <w:t>REGIÃO NORDESTE</w:t>
      </w:r>
    </w:p>
    <w:p w:rsidR="00D81F69" w:rsidRPr="00392EAD" w:rsidRDefault="00D81F69">
      <w:pPr>
        <w:pStyle w:val="Corpodetexto"/>
        <w:ind w:left="0"/>
        <w:jc w:val="left"/>
        <w:rPr>
          <w:sz w:val="20"/>
          <w:lang w:val="pt-BR"/>
        </w:rPr>
      </w:pPr>
    </w:p>
    <w:p w:rsidR="00D81F69" w:rsidRPr="00392EAD" w:rsidRDefault="00330118">
      <w:pPr>
        <w:pStyle w:val="Corpodetexto"/>
        <w:spacing w:before="9"/>
        <w:ind w:left="0"/>
        <w:jc w:val="left"/>
        <w:rPr>
          <w:sz w:val="17"/>
          <w:lang w:val="pt-BR"/>
        </w:rPr>
      </w:pPr>
      <w:r>
        <w:rPr>
          <w:noProof/>
          <w:lang w:val="pt-BR" w:eastAsia="pt-BR"/>
        </w:rPr>
        <w:drawing>
          <wp:anchor distT="0" distB="0" distL="0" distR="0" simplePos="0" relativeHeight="5896" behindDoc="0" locked="0" layoutInCell="1" allowOverlap="1">
            <wp:simplePos x="0" y="0"/>
            <wp:positionH relativeFrom="page">
              <wp:posOffset>1108903</wp:posOffset>
            </wp:positionH>
            <wp:positionV relativeFrom="paragraph">
              <wp:posOffset>154902</wp:posOffset>
            </wp:positionV>
            <wp:extent cx="5359521" cy="1960245"/>
            <wp:effectExtent l="0" t="0" r="0" b="0"/>
            <wp:wrapTopAndBottom/>
            <wp:docPr id="14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20.png"/>
                    <pic:cNvPicPr/>
                  </pic:nvPicPr>
                  <pic:blipFill>
                    <a:blip r:embed="rId541" cstate="print"/>
                    <a:stretch>
                      <a:fillRect/>
                    </a:stretch>
                  </pic:blipFill>
                  <pic:spPr>
                    <a:xfrm>
                      <a:off x="0" y="0"/>
                      <a:ext cx="5359521" cy="1960245"/>
                    </a:xfrm>
                    <a:prstGeom prst="rect">
                      <a:avLst/>
                    </a:prstGeom>
                  </pic:spPr>
                </pic:pic>
              </a:graphicData>
            </a:graphic>
          </wp:anchor>
        </w:drawing>
      </w:r>
    </w:p>
    <w:p w:rsidR="00D81F69" w:rsidRPr="00392EAD" w:rsidRDefault="00330118">
      <w:pPr>
        <w:pStyle w:val="Corpodetexto"/>
        <w:spacing w:line="191" w:lineRule="exact"/>
        <w:ind w:left="101"/>
        <w:jc w:val="left"/>
        <w:rPr>
          <w:lang w:val="pt-BR"/>
        </w:rPr>
      </w:pPr>
      <w:r w:rsidRPr="00392EAD">
        <w:rPr>
          <w:lang w:val="pt-BR"/>
        </w:rPr>
        <w:t>Gráfico 1. Tempo de funcionamento dos empreendimentos do estado da Bahia.</w:t>
      </w:r>
    </w:p>
    <w:p w:rsidR="00D81F69" w:rsidRPr="00392EAD" w:rsidRDefault="00D81F69">
      <w:pPr>
        <w:pStyle w:val="Corpodetexto"/>
        <w:ind w:left="0"/>
        <w:jc w:val="left"/>
        <w:rPr>
          <w:sz w:val="20"/>
          <w:lang w:val="pt-BR"/>
        </w:rPr>
      </w:pPr>
    </w:p>
    <w:p w:rsidR="00D81F69" w:rsidRPr="00392EAD" w:rsidRDefault="00D81F69">
      <w:pPr>
        <w:pStyle w:val="Corpodetexto"/>
        <w:spacing w:before="8"/>
        <w:ind w:left="0"/>
        <w:jc w:val="left"/>
        <w:rPr>
          <w:sz w:val="22"/>
          <w:lang w:val="pt-BR"/>
        </w:rPr>
      </w:pPr>
    </w:p>
    <w:p w:rsidR="00D81F69" w:rsidRPr="00392EAD" w:rsidRDefault="00330118">
      <w:pPr>
        <w:pStyle w:val="Heading5"/>
        <w:rPr>
          <w:lang w:val="pt-BR"/>
        </w:rPr>
      </w:pPr>
      <w:r w:rsidRPr="00392EAD">
        <w:rPr>
          <w:lang w:val="pt-BR"/>
        </w:rPr>
        <w:t>Ainda que a maioria dos estudos</w:t>
      </w:r>
      <w:r w:rsidRPr="00392EAD">
        <w:rPr>
          <w:lang w:val="pt-BR"/>
        </w:rPr>
        <w:t xml:space="preserve"> de casostrate de empreendimentos do setor mineral em funcionamento ou em fase de projeto, há ainda três recortes que abordam atividades mineradoras já encerradas (Gráfico 2).</w:t>
      </w:r>
    </w:p>
    <w:p w:rsidR="00D81F69" w:rsidRPr="00392EAD" w:rsidRDefault="00330118">
      <w:pPr>
        <w:pStyle w:val="Corpodetexto"/>
        <w:spacing w:before="2"/>
        <w:ind w:left="0"/>
        <w:jc w:val="left"/>
        <w:rPr>
          <w:sz w:val="20"/>
          <w:lang w:val="pt-BR"/>
        </w:rPr>
      </w:pPr>
      <w:r>
        <w:rPr>
          <w:noProof/>
          <w:lang w:val="pt-BR" w:eastAsia="pt-BR"/>
        </w:rPr>
        <w:drawing>
          <wp:anchor distT="0" distB="0" distL="0" distR="0" simplePos="0" relativeHeight="5920" behindDoc="0" locked="0" layoutInCell="1" allowOverlap="1">
            <wp:simplePos x="0" y="0"/>
            <wp:positionH relativeFrom="page">
              <wp:posOffset>1108913</wp:posOffset>
            </wp:positionH>
            <wp:positionV relativeFrom="paragraph">
              <wp:posOffset>172158</wp:posOffset>
            </wp:positionV>
            <wp:extent cx="5319729" cy="1586864"/>
            <wp:effectExtent l="0" t="0" r="0" b="0"/>
            <wp:wrapTopAndBottom/>
            <wp:docPr id="15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21.png"/>
                    <pic:cNvPicPr/>
                  </pic:nvPicPr>
                  <pic:blipFill>
                    <a:blip r:embed="rId542" cstate="print"/>
                    <a:stretch>
                      <a:fillRect/>
                    </a:stretch>
                  </pic:blipFill>
                  <pic:spPr>
                    <a:xfrm>
                      <a:off x="0" y="0"/>
                      <a:ext cx="5319729" cy="1586864"/>
                    </a:xfrm>
                    <a:prstGeom prst="rect">
                      <a:avLst/>
                    </a:prstGeom>
                  </pic:spPr>
                </pic:pic>
              </a:graphicData>
            </a:graphic>
          </wp:anchor>
        </w:drawing>
      </w:r>
    </w:p>
    <w:p w:rsidR="00D81F69" w:rsidRPr="00392EAD" w:rsidRDefault="00330118">
      <w:pPr>
        <w:pStyle w:val="Corpodetexto"/>
        <w:ind w:left="101"/>
        <w:jc w:val="left"/>
        <w:rPr>
          <w:lang w:val="pt-BR"/>
        </w:rPr>
      </w:pPr>
      <w:r w:rsidRPr="00392EAD">
        <w:rPr>
          <w:lang w:val="pt-BR"/>
        </w:rPr>
        <w:t>Gráfico 2. Situação dos empreendimentos do setor mineral na Bahia.</w:t>
      </w:r>
    </w:p>
    <w:p w:rsidR="00D81F69" w:rsidRPr="00392EAD" w:rsidRDefault="00D81F69">
      <w:pPr>
        <w:pStyle w:val="Corpodetexto"/>
        <w:ind w:left="0"/>
        <w:jc w:val="left"/>
        <w:rPr>
          <w:sz w:val="20"/>
          <w:lang w:val="pt-BR"/>
        </w:rPr>
      </w:pPr>
    </w:p>
    <w:p w:rsidR="00D81F69" w:rsidRPr="00392EAD" w:rsidRDefault="00D81F69">
      <w:pPr>
        <w:pStyle w:val="Corpodetexto"/>
        <w:spacing w:before="8"/>
        <w:ind w:left="0"/>
        <w:jc w:val="left"/>
        <w:rPr>
          <w:sz w:val="22"/>
          <w:lang w:val="pt-BR"/>
        </w:rPr>
      </w:pPr>
    </w:p>
    <w:p w:rsidR="00D81F69" w:rsidRPr="00392EAD" w:rsidRDefault="00330118">
      <w:pPr>
        <w:pStyle w:val="Heading5"/>
        <w:ind w:right="114"/>
        <w:rPr>
          <w:lang w:val="pt-BR"/>
        </w:rPr>
      </w:pPr>
      <w:r w:rsidRPr="00392EAD">
        <w:rPr>
          <w:lang w:val="pt-BR"/>
        </w:rPr>
        <w:t>Quanto aos habitantes impactados negativamente pela atividade mineral baiana, é possível identificar a população urbana local como os principais sujeitos, seguidos de comunidades ribeirinhas, quilombolas e pescadores, e povos indígenas (Gráfico 3).</w:t>
      </w:r>
    </w:p>
    <w:p w:rsidR="00D81F69" w:rsidRPr="00392EAD" w:rsidRDefault="00330118">
      <w:pPr>
        <w:pStyle w:val="Corpodetexto"/>
        <w:ind w:left="0"/>
        <w:jc w:val="left"/>
        <w:rPr>
          <w:sz w:val="20"/>
          <w:lang w:val="pt-BR"/>
        </w:rPr>
      </w:pPr>
      <w:r>
        <w:rPr>
          <w:noProof/>
          <w:lang w:val="pt-BR" w:eastAsia="pt-BR"/>
        </w:rPr>
        <w:drawing>
          <wp:anchor distT="0" distB="0" distL="0" distR="0" simplePos="0" relativeHeight="5944" behindDoc="0" locked="0" layoutInCell="1" allowOverlap="1">
            <wp:simplePos x="0" y="0"/>
            <wp:positionH relativeFrom="page">
              <wp:posOffset>1108917</wp:posOffset>
            </wp:positionH>
            <wp:positionV relativeFrom="paragraph">
              <wp:posOffset>171401</wp:posOffset>
            </wp:positionV>
            <wp:extent cx="5356394" cy="1960245"/>
            <wp:effectExtent l="0" t="0" r="0" b="0"/>
            <wp:wrapTopAndBottom/>
            <wp:docPr id="15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22.png"/>
                    <pic:cNvPicPr/>
                  </pic:nvPicPr>
                  <pic:blipFill>
                    <a:blip r:embed="rId543" cstate="print"/>
                    <a:stretch>
                      <a:fillRect/>
                    </a:stretch>
                  </pic:blipFill>
                  <pic:spPr>
                    <a:xfrm>
                      <a:off x="0" y="0"/>
                      <a:ext cx="5356394" cy="1960245"/>
                    </a:xfrm>
                    <a:prstGeom prst="rect">
                      <a:avLst/>
                    </a:prstGeom>
                  </pic:spPr>
                </pic:pic>
              </a:graphicData>
            </a:graphic>
          </wp:anchor>
        </w:drawing>
      </w:r>
    </w:p>
    <w:p w:rsidR="00D81F69" w:rsidRPr="00392EAD" w:rsidRDefault="00330118">
      <w:pPr>
        <w:pStyle w:val="Corpodetexto"/>
        <w:ind w:left="101"/>
        <w:jc w:val="left"/>
        <w:rPr>
          <w:lang w:val="pt-BR"/>
        </w:rPr>
      </w:pPr>
      <w:r w:rsidRPr="00392EAD">
        <w:rPr>
          <w:lang w:val="pt-BR"/>
        </w:rPr>
        <w:t>Gráfi</w:t>
      </w:r>
      <w:r w:rsidRPr="00392EAD">
        <w:rPr>
          <w:lang w:val="pt-BR"/>
        </w:rPr>
        <w:t>co 3. Populações impactadas pela exploração mineral nos estudos de casospara o estado da Bahia.</w:t>
      </w:r>
    </w:p>
    <w:p w:rsidR="00D81F69" w:rsidRPr="00392EAD" w:rsidRDefault="00D81F69">
      <w:pPr>
        <w:pStyle w:val="Corpodetexto"/>
        <w:ind w:left="0"/>
        <w:jc w:val="left"/>
        <w:rPr>
          <w:sz w:val="20"/>
          <w:lang w:val="pt-BR"/>
        </w:rPr>
      </w:pPr>
    </w:p>
    <w:p w:rsidR="00D81F69" w:rsidRPr="00392EAD" w:rsidRDefault="00D81F69">
      <w:pPr>
        <w:pStyle w:val="Corpodetexto"/>
        <w:spacing w:before="6"/>
        <w:ind w:left="0"/>
        <w:jc w:val="left"/>
        <w:rPr>
          <w:sz w:val="22"/>
          <w:lang w:val="pt-BR"/>
        </w:rPr>
      </w:pPr>
    </w:p>
    <w:p w:rsidR="00D81F69" w:rsidRPr="00392EAD" w:rsidRDefault="00330118">
      <w:pPr>
        <w:pStyle w:val="Heading5"/>
        <w:spacing w:before="1"/>
        <w:rPr>
          <w:lang w:val="pt-BR"/>
        </w:rPr>
      </w:pPr>
      <w:r w:rsidRPr="00392EAD">
        <w:rPr>
          <w:lang w:val="pt-BR"/>
        </w:rPr>
        <w:t>As indústrias extrativas e as indústrias de transformação são as principais atividades que foram objetos de estudo no recorte geográfico da Bahia. Entretanto,</w:t>
      </w:r>
      <w:r w:rsidRPr="00392EAD">
        <w:rPr>
          <w:lang w:val="pt-BR"/>
        </w:rPr>
        <w:t xml:space="preserve"> é possível apontar também a exploração ilegal de recursos minerais, o garimpo e o APL. O Gráfico 4 ilustra a distribuição de casos por atividades.</w:t>
      </w:r>
    </w:p>
    <w:p w:rsidR="00D81F69" w:rsidRPr="00392EAD" w:rsidRDefault="00D81F69">
      <w:pPr>
        <w:rPr>
          <w:lang w:val="pt-BR"/>
        </w:rPr>
        <w:sectPr w:rsidR="00D81F69" w:rsidRPr="00392EAD">
          <w:pgSz w:w="11910" w:h="16840"/>
          <w:pgMar w:top="640" w:right="1580" w:bottom="720" w:left="1600" w:header="0" w:footer="402" w:gutter="0"/>
          <w:cols w:space="720"/>
        </w:sectPr>
      </w:pPr>
    </w:p>
    <w:p w:rsidR="00D81F69" w:rsidRPr="00392EAD" w:rsidRDefault="00330118">
      <w:pPr>
        <w:spacing w:before="65"/>
        <w:ind w:left="6467"/>
        <w:rPr>
          <w:lang w:val="pt-BR"/>
        </w:rPr>
      </w:pPr>
      <w:r w:rsidRPr="00392EAD">
        <w:rPr>
          <w:lang w:val="pt-BR"/>
        </w:rPr>
        <w:lastRenderedPageBreak/>
        <w:t>REGIÃO NORDESTE</w:t>
      </w:r>
    </w:p>
    <w:p w:rsidR="00D81F69" w:rsidRPr="00392EAD" w:rsidRDefault="00D81F69">
      <w:pPr>
        <w:pStyle w:val="Corpodetexto"/>
        <w:ind w:left="0"/>
        <w:jc w:val="left"/>
        <w:rPr>
          <w:sz w:val="20"/>
          <w:lang w:val="pt-BR"/>
        </w:rPr>
      </w:pPr>
    </w:p>
    <w:p w:rsidR="00D81F69" w:rsidRPr="00392EAD" w:rsidRDefault="00D81F69">
      <w:pPr>
        <w:pStyle w:val="Corpodetexto"/>
        <w:ind w:left="0"/>
        <w:jc w:val="left"/>
        <w:rPr>
          <w:sz w:val="20"/>
          <w:lang w:val="pt-BR"/>
        </w:rPr>
      </w:pPr>
    </w:p>
    <w:p w:rsidR="00D81F69" w:rsidRPr="00392EAD" w:rsidRDefault="00330118">
      <w:pPr>
        <w:pStyle w:val="Corpodetexto"/>
        <w:spacing w:before="8"/>
        <w:ind w:left="0"/>
        <w:jc w:val="left"/>
        <w:rPr>
          <w:sz w:val="19"/>
          <w:lang w:val="pt-BR"/>
        </w:rPr>
      </w:pPr>
      <w:r>
        <w:rPr>
          <w:noProof/>
          <w:lang w:val="pt-BR" w:eastAsia="pt-BR"/>
        </w:rPr>
        <w:drawing>
          <wp:anchor distT="0" distB="0" distL="0" distR="0" simplePos="0" relativeHeight="5968" behindDoc="0" locked="0" layoutInCell="1" allowOverlap="1">
            <wp:simplePos x="0" y="0"/>
            <wp:positionH relativeFrom="page">
              <wp:posOffset>1108309</wp:posOffset>
            </wp:positionH>
            <wp:positionV relativeFrom="paragraph">
              <wp:posOffset>169059</wp:posOffset>
            </wp:positionV>
            <wp:extent cx="5369514" cy="2120646"/>
            <wp:effectExtent l="0" t="0" r="0" b="0"/>
            <wp:wrapTopAndBottom/>
            <wp:docPr id="15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23.png"/>
                    <pic:cNvPicPr/>
                  </pic:nvPicPr>
                  <pic:blipFill>
                    <a:blip r:embed="rId544" cstate="print"/>
                    <a:stretch>
                      <a:fillRect/>
                    </a:stretch>
                  </pic:blipFill>
                  <pic:spPr>
                    <a:xfrm>
                      <a:off x="0" y="0"/>
                      <a:ext cx="5369514" cy="2120646"/>
                    </a:xfrm>
                    <a:prstGeom prst="rect">
                      <a:avLst/>
                    </a:prstGeom>
                  </pic:spPr>
                </pic:pic>
              </a:graphicData>
            </a:graphic>
          </wp:anchor>
        </w:drawing>
      </w:r>
    </w:p>
    <w:p w:rsidR="00D81F69" w:rsidRPr="00392EAD" w:rsidRDefault="00330118">
      <w:pPr>
        <w:pStyle w:val="Corpodetexto"/>
        <w:ind w:left="101" w:right="117"/>
        <w:rPr>
          <w:lang w:val="pt-BR"/>
        </w:rPr>
      </w:pPr>
      <w:r w:rsidRPr="00392EAD">
        <w:rPr>
          <w:lang w:val="pt-BR"/>
        </w:rPr>
        <w:t>Gráfico 4. Classificações das diferentes atividades produtivas no âmbi</w:t>
      </w:r>
      <w:r w:rsidRPr="00392EAD">
        <w:rPr>
          <w:lang w:val="pt-BR"/>
        </w:rPr>
        <w:t>to dos recursos minerais no estado da Bahia.</w:t>
      </w:r>
    </w:p>
    <w:p w:rsidR="00D81F69" w:rsidRPr="00392EAD" w:rsidRDefault="00D81F69">
      <w:pPr>
        <w:pStyle w:val="Corpodetexto"/>
        <w:ind w:left="0"/>
        <w:jc w:val="left"/>
        <w:rPr>
          <w:sz w:val="20"/>
          <w:lang w:val="pt-BR"/>
        </w:rPr>
      </w:pPr>
    </w:p>
    <w:p w:rsidR="00D81F69" w:rsidRPr="00392EAD" w:rsidRDefault="00D81F69">
      <w:pPr>
        <w:pStyle w:val="Corpodetexto"/>
        <w:spacing w:before="7"/>
        <w:ind w:left="0"/>
        <w:jc w:val="left"/>
        <w:rPr>
          <w:sz w:val="22"/>
          <w:lang w:val="pt-BR"/>
        </w:rPr>
      </w:pPr>
    </w:p>
    <w:p w:rsidR="00D81F69" w:rsidRPr="00392EAD" w:rsidRDefault="00330118">
      <w:pPr>
        <w:pStyle w:val="Heading5"/>
        <w:rPr>
          <w:lang w:val="pt-BR"/>
        </w:rPr>
      </w:pPr>
      <w:r w:rsidRPr="00392EAD">
        <w:rPr>
          <w:lang w:val="pt-BR"/>
        </w:rPr>
        <w:t>Os principais impactos negativos das atividades relacionadas à exploração dos recursos minerais da Baia e que atingem as comunidades locais são as doenças e as questões trabalhistas. A outra metade de casos menciona questões como conflitos fundiários, empo</w:t>
      </w:r>
      <w:r w:rsidRPr="00392EAD">
        <w:rPr>
          <w:lang w:val="pt-BR"/>
        </w:rPr>
        <w:t>brecimento da população e problemas correlacionados à urbanização sem planejamento, como, por exemplo, o crescimento desordenado, o inchaço populacional e uma infraestrutura deficiente (Gráfico 5).</w:t>
      </w:r>
    </w:p>
    <w:p w:rsidR="00D81F69" w:rsidRPr="00392EAD" w:rsidRDefault="00330118">
      <w:pPr>
        <w:pStyle w:val="Corpodetexto"/>
        <w:spacing w:before="1"/>
        <w:ind w:left="0"/>
        <w:jc w:val="left"/>
        <w:rPr>
          <w:sz w:val="20"/>
          <w:lang w:val="pt-BR"/>
        </w:rPr>
      </w:pPr>
      <w:r>
        <w:rPr>
          <w:noProof/>
          <w:lang w:val="pt-BR" w:eastAsia="pt-BR"/>
        </w:rPr>
        <w:drawing>
          <wp:anchor distT="0" distB="0" distL="0" distR="0" simplePos="0" relativeHeight="5992" behindDoc="0" locked="0" layoutInCell="1" allowOverlap="1">
            <wp:simplePos x="0" y="0"/>
            <wp:positionH relativeFrom="page">
              <wp:posOffset>1108804</wp:posOffset>
            </wp:positionH>
            <wp:positionV relativeFrom="paragraph">
              <wp:posOffset>171956</wp:posOffset>
            </wp:positionV>
            <wp:extent cx="5358623" cy="3557111"/>
            <wp:effectExtent l="0" t="0" r="0" b="0"/>
            <wp:wrapTopAndBottom/>
            <wp:docPr id="15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24.png"/>
                    <pic:cNvPicPr/>
                  </pic:nvPicPr>
                  <pic:blipFill>
                    <a:blip r:embed="rId545" cstate="print"/>
                    <a:stretch>
                      <a:fillRect/>
                    </a:stretch>
                  </pic:blipFill>
                  <pic:spPr>
                    <a:xfrm>
                      <a:off x="0" y="0"/>
                      <a:ext cx="5358623" cy="3557111"/>
                    </a:xfrm>
                    <a:prstGeom prst="rect">
                      <a:avLst/>
                    </a:prstGeom>
                  </pic:spPr>
                </pic:pic>
              </a:graphicData>
            </a:graphic>
          </wp:anchor>
        </w:drawing>
      </w:r>
    </w:p>
    <w:p w:rsidR="00D81F69" w:rsidRPr="00392EAD" w:rsidRDefault="00330118">
      <w:pPr>
        <w:pStyle w:val="Corpodetexto"/>
        <w:ind w:left="101"/>
        <w:jc w:val="left"/>
        <w:rPr>
          <w:lang w:val="pt-BR"/>
        </w:rPr>
      </w:pPr>
      <w:r w:rsidRPr="00392EAD">
        <w:rPr>
          <w:lang w:val="pt-BR"/>
        </w:rPr>
        <w:t>Gráfico 5. Impactos negativos na exploração mineral no e</w:t>
      </w:r>
      <w:r w:rsidRPr="00392EAD">
        <w:rPr>
          <w:lang w:val="pt-BR"/>
        </w:rPr>
        <w:t>stado da Bahia.</w:t>
      </w:r>
    </w:p>
    <w:p w:rsidR="00D81F69" w:rsidRPr="00392EAD" w:rsidRDefault="00D81F69">
      <w:pPr>
        <w:pStyle w:val="Corpodetexto"/>
        <w:spacing w:before="11"/>
        <w:ind w:left="0"/>
        <w:jc w:val="left"/>
        <w:rPr>
          <w:sz w:val="15"/>
          <w:lang w:val="pt-BR"/>
        </w:rPr>
      </w:pPr>
    </w:p>
    <w:p w:rsidR="00D81F69" w:rsidRPr="00392EAD" w:rsidRDefault="00330118">
      <w:pPr>
        <w:pStyle w:val="Heading5"/>
        <w:ind w:right="117"/>
        <w:rPr>
          <w:lang w:val="pt-BR"/>
        </w:rPr>
      </w:pPr>
      <w:r w:rsidRPr="00392EAD">
        <w:rPr>
          <w:lang w:val="pt-BR"/>
        </w:rPr>
        <w:t>No que tange ao meio ambiente do estado da Bahia e à exploração mineral no estado, verifica-se uma variedade de impactos negativos que tem colocado em xeque a sustentabilidade dos empreendimentos. Alguns importantes desafios precisam ser superados a fim de</w:t>
      </w:r>
      <w:r w:rsidRPr="00392EAD">
        <w:rPr>
          <w:lang w:val="pt-BR"/>
        </w:rPr>
        <w:t xml:space="preserve"> mitigar ou findar definitivamente problemas como a poluição dos recursos hídricos, do ar e do solo, o assoreamento dos rios, e para que se obtenha o</w:t>
      </w:r>
    </w:p>
    <w:p w:rsidR="00D81F69" w:rsidRPr="00392EAD" w:rsidRDefault="00D81F69">
      <w:pPr>
        <w:rPr>
          <w:lang w:val="pt-BR"/>
        </w:rPr>
        <w:sectPr w:rsidR="00D81F69" w:rsidRPr="00392EAD">
          <w:pgSz w:w="11910" w:h="16840"/>
          <w:pgMar w:top="640" w:right="1580" w:bottom="720" w:left="1600" w:header="0" w:footer="402" w:gutter="0"/>
          <w:cols w:space="720"/>
        </w:sectPr>
      </w:pPr>
    </w:p>
    <w:p w:rsidR="00D81F69" w:rsidRPr="00392EAD" w:rsidRDefault="00330118">
      <w:pPr>
        <w:spacing w:before="65"/>
        <w:ind w:left="6467"/>
        <w:rPr>
          <w:lang w:val="pt-BR"/>
        </w:rPr>
      </w:pPr>
      <w:r w:rsidRPr="00392EAD">
        <w:rPr>
          <w:lang w:val="pt-BR"/>
        </w:rPr>
        <w:lastRenderedPageBreak/>
        <w:t>REGIÃO NORDESTE</w:t>
      </w:r>
    </w:p>
    <w:p w:rsidR="00D81F69" w:rsidRPr="00392EAD" w:rsidRDefault="00D81F69">
      <w:pPr>
        <w:pStyle w:val="Corpodetexto"/>
        <w:ind w:left="0"/>
        <w:jc w:val="left"/>
        <w:rPr>
          <w:sz w:val="24"/>
          <w:lang w:val="pt-BR"/>
        </w:rPr>
      </w:pPr>
    </w:p>
    <w:p w:rsidR="00D81F69" w:rsidRDefault="00330118">
      <w:pPr>
        <w:spacing w:before="180" w:after="17"/>
        <w:ind w:left="101" w:right="117"/>
        <w:jc w:val="both"/>
      </w:pPr>
      <w:r w:rsidRPr="00392EAD">
        <w:rPr>
          <w:lang w:val="pt-BR"/>
        </w:rPr>
        <w:t xml:space="preserve">correto fechamento das minas na forma da lei, evitando os prejuízos ao </w:t>
      </w:r>
      <w:r w:rsidRPr="00392EAD">
        <w:rPr>
          <w:lang w:val="pt-BR"/>
        </w:rPr>
        <w:t xml:space="preserve">ecossistema local. </w:t>
      </w:r>
      <w:r>
        <w:t>O Gráfico 6, a seguir, pontua detalhadamente esse panorama.</w:t>
      </w:r>
    </w:p>
    <w:p w:rsidR="00D81F69" w:rsidRDefault="00330118">
      <w:pPr>
        <w:pStyle w:val="Corpodetexto"/>
        <w:ind w:left="144"/>
        <w:jc w:val="left"/>
        <w:rPr>
          <w:sz w:val="20"/>
        </w:rPr>
      </w:pPr>
      <w:r>
        <w:rPr>
          <w:noProof/>
          <w:sz w:val="20"/>
          <w:lang w:val="pt-BR" w:eastAsia="pt-BR"/>
        </w:rPr>
        <w:drawing>
          <wp:inline distT="0" distB="0" distL="0" distR="0">
            <wp:extent cx="5316190" cy="3301174"/>
            <wp:effectExtent l="0" t="0" r="0" b="0"/>
            <wp:docPr id="15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25.png"/>
                    <pic:cNvPicPr/>
                  </pic:nvPicPr>
                  <pic:blipFill>
                    <a:blip r:embed="rId546" cstate="print"/>
                    <a:stretch>
                      <a:fillRect/>
                    </a:stretch>
                  </pic:blipFill>
                  <pic:spPr>
                    <a:xfrm>
                      <a:off x="0" y="0"/>
                      <a:ext cx="5316190" cy="3301174"/>
                    </a:xfrm>
                    <a:prstGeom prst="rect">
                      <a:avLst/>
                    </a:prstGeom>
                  </pic:spPr>
                </pic:pic>
              </a:graphicData>
            </a:graphic>
          </wp:inline>
        </w:drawing>
      </w:r>
    </w:p>
    <w:p w:rsidR="00D81F69" w:rsidRDefault="00D81F69">
      <w:pPr>
        <w:pStyle w:val="Corpodetexto"/>
        <w:spacing w:before="5"/>
        <w:ind w:left="0"/>
        <w:jc w:val="left"/>
        <w:rPr>
          <w:sz w:val="20"/>
        </w:rPr>
      </w:pPr>
    </w:p>
    <w:p w:rsidR="00D81F69" w:rsidRPr="00392EAD" w:rsidRDefault="00330118">
      <w:pPr>
        <w:pStyle w:val="Corpodetexto"/>
        <w:ind w:left="101"/>
        <w:jc w:val="left"/>
        <w:rPr>
          <w:lang w:val="pt-BR"/>
        </w:rPr>
      </w:pPr>
      <w:r w:rsidRPr="00392EAD">
        <w:rPr>
          <w:lang w:val="pt-BR"/>
        </w:rPr>
        <w:t>Gráfico 6. Impactos ambientais negativos da exploração mineral listados nos estudos de casosda Bahia.</w:t>
      </w:r>
    </w:p>
    <w:p w:rsidR="00D81F69" w:rsidRPr="00392EAD" w:rsidRDefault="00D81F69">
      <w:pPr>
        <w:pStyle w:val="Corpodetexto"/>
        <w:ind w:left="0"/>
        <w:jc w:val="left"/>
        <w:rPr>
          <w:sz w:val="20"/>
          <w:lang w:val="pt-BR"/>
        </w:rPr>
      </w:pPr>
    </w:p>
    <w:p w:rsidR="00D81F69" w:rsidRPr="00392EAD" w:rsidRDefault="00D81F69">
      <w:pPr>
        <w:pStyle w:val="Corpodetexto"/>
        <w:spacing w:before="7"/>
        <w:ind w:left="0"/>
        <w:jc w:val="left"/>
        <w:rPr>
          <w:sz w:val="22"/>
          <w:lang w:val="pt-BR"/>
        </w:rPr>
      </w:pPr>
    </w:p>
    <w:p w:rsidR="00D81F69" w:rsidRPr="00392EAD" w:rsidRDefault="00330118">
      <w:pPr>
        <w:pStyle w:val="Heading5"/>
        <w:ind w:right="117"/>
        <w:rPr>
          <w:lang w:val="pt-BR"/>
        </w:rPr>
      </w:pPr>
      <w:r w:rsidRPr="00392EAD">
        <w:rPr>
          <w:lang w:val="pt-BR"/>
        </w:rPr>
        <w:t>Um agravante aos problemas ambientais que a exploração mineral tem oca</w:t>
      </w:r>
      <w:r w:rsidRPr="00392EAD">
        <w:rPr>
          <w:lang w:val="pt-BR"/>
        </w:rPr>
        <w:t>sionado na Bahia é a deposição no meio ambiente de resíduos que contenham substâncias altamente nocivas à saúde. O caso mais preocupante é a incidência de metais pesados que foram identificados ao longo dos estudos de casos(Gráfico</w:t>
      </w:r>
      <w:r w:rsidRPr="00392EAD">
        <w:rPr>
          <w:spacing w:val="-7"/>
          <w:lang w:val="pt-BR"/>
        </w:rPr>
        <w:t xml:space="preserve"> </w:t>
      </w:r>
      <w:r w:rsidRPr="00392EAD">
        <w:rPr>
          <w:lang w:val="pt-BR"/>
        </w:rPr>
        <w:t>7).</w:t>
      </w:r>
    </w:p>
    <w:p w:rsidR="00D81F69" w:rsidRPr="00392EAD" w:rsidRDefault="00330118">
      <w:pPr>
        <w:pStyle w:val="Corpodetexto"/>
        <w:ind w:left="0"/>
        <w:jc w:val="left"/>
        <w:rPr>
          <w:sz w:val="20"/>
          <w:lang w:val="pt-BR"/>
        </w:rPr>
      </w:pPr>
      <w:r>
        <w:rPr>
          <w:noProof/>
          <w:lang w:val="pt-BR" w:eastAsia="pt-BR"/>
        </w:rPr>
        <w:drawing>
          <wp:anchor distT="0" distB="0" distL="0" distR="0" simplePos="0" relativeHeight="6016" behindDoc="0" locked="0" layoutInCell="1" allowOverlap="1">
            <wp:simplePos x="0" y="0"/>
            <wp:positionH relativeFrom="page">
              <wp:posOffset>1107962</wp:posOffset>
            </wp:positionH>
            <wp:positionV relativeFrom="paragraph">
              <wp:posOffset>171356</wp:posOffset>
            </wp:positionV>
            <wp:extent cx="5319125" cy="1274064"/>
            <wp:effectExtent l="0" t="0" r="0" b="0"/>
            <wp:wrapTopAndBottom/>
            <wp:docPr id="16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26.png"/>
                    <pic:cNvPicPr/>
                  </pic:nvPicPr>
                  <pic:blipFill>
                    <a:blip r:embed="rId547" cstate="print"/>
                    <a:stretch>
                      <a:fillRect/>
                    </a:stretch>
                  </pic:blipFill>
                  <pic:spPr>
                    <a:xfrm>
                      <a:off x="0" y="0"/>
                      <a:ext cx="5319125" cy="1274064"/>
                    </a:xfrm>
                    <a:prstGeom prst="rect">
                      <a:avLst/>
                    </a:prstGeom>
                  </pic:spPr>
                </pic:pic>
              </a:graphicData>
            </a:graphic>
          </wp:anchor>
        </w:drawing>
      </w:r>
    </w:p>
    <w:p w:rsidR="00D81F69" w:rsidRPr="00392EAD" w:rsidRDefault="00330118">
      <w:pPr>
        <w:pStyle w:val="Corpodetexto"/>
        <w:ind w:left="101"/>
        <w:jc w:val="left"/>
        <w:rPr>
          <w:lang w:val="pt-BR"/>
        </w:rPr>
      </w:pPr>
      <w:r w:rsidRPr="00392EAD">
        <w:rPr>
          <w:lang w:val="pt-BR"/>
        </w:rPr>
        <w:t>Gráfico 7. Tipos d</w:t>
      </w:r>
      <w:r w:rsidRPr="00392EAD">
        <w:rPr>
          <w:lang w:val="pt-BR"/>
        </w:rPr>
        <w:t>e contaminantes decorrentes da extração mineral no estado da Bahia.</w:t>
      </w:r>
    </w:p>
    <w:p w:rsidR="00D81F69" w:rsidRPr="00392EAD" w:rsidRDefault="00D81F69">
      <w:pPr>
        <w:pStyle w:val="Corpodetexto"/>
        <w:spacing w:before="10"/>
        <w:ind w:left="0"/>
        <w:jc w:val="left"/>
        <w:rPr>
          <w:sz w:val="21"/>
          <w:lang w:val="pt-BR"/>
        </w:rPr>
      </w:pPr>
    </w:p>
    <w:p w:rsidR="00D81F69" w:rsidRPr="00392EAD" w:rsidRDefault="00330118">
      <w:pPr>
        <w:pStyle w:val="Heading5"/>
        <w:spacing w:before="1"/>
        <w:rPr>
          <w:lang w:val="pt-BR"/>
        </w:rPr>
      </w:pPr>
      <w:r w:rsidRPr="00392EAD">
        <w:rPr>
          <w:lang w:val="pt-BR"/>
        </w:rPr>
        <w:t>No intuito de associar exploração dos recursos minerais da Bahia e desenvolvimento econômico centrado na sustentabilidade dos empreendimentos, por quatro vezes o Ministério Público foi acionado. Entretanto, apenas uma situação culminou com assinatura de Te</w:t>
      </w:r>
      <w:r w:rsidRPr="00392EAD">
        <w:rPr>
          <w:lang w:val="pt-BR"/>
        </w:rPr>
        <w:t>rmo de Ajuste de Conduta (TAC).</w:t>
      </w:r>
    </w:p>
    <w:p w:rsidR="00D81F69" w:rsidRPr="00392EAD" w:rsidRDefault="00D81F69">
      <w:pPr>
        <w:pStyle w:val="Corpodetexto"/>
        <w:spacing w:before="11"/>
        <w:ind w:left="0"/>
        <w:jc w:val="left"/>
        <w:rPr>
          <w:sz w:val="21"/>
          <w:lang w:val="pt-BR"/>
        </w:rPr>
      </w:pPr>
    </w:p>
    <w:p w:rsidR="00D81F69" w:rsidRPr="00392EAD" w:rsidRDefault="00330118">
      <w:pPr>
        <w:ind w:left="101" w:right="116"/>
        <w:jc w:val="both"/>
        <w:rPr>
          <w:lang w:val="pt-BR"/>
        </w:rPr>
      </w:pPr>
      <w:r w:rsidRPr="00392EAD">
        <w:rPr>
          <w:lang w:val="pt-BR"/>
        </w:rPr>
        <w:t>O papel que a atividade minerária exerce na economia do estado da Bahia é muito relevante. Sendo assim, a expansão desse setor deve também ser pautada em experiências pretéritas a fim de conciliar o desenvolvimento sustentá</w:t>
      </w:r>
      <w:r w:rsidRPr="00392EAD">
        <w:rPr>
          <w:lang w:val="pt-BR"/>
        </w:rPr>
        <w:t>vel com a viabilidade dessa importante atividade econômica que é a mineração.</w:t>
      </w:r>
    </w:p>
    <w:p w:rsidR="00D81F69" w:rsidRPr="00392EAD" w:rsidRDefault="00D81F69">
      <w:pPr>
        <w:pStyle w:val="Corpodetexto"/>
        <w:ind w:left="0"/>
        <w:jc w:val="left"/>
        <w:rPr>
          <w:sz w:val="22"/>
          <w:lang w:val="pt-BR"/>
        </w:rPr>
      </w:pPr>
    </w:p>
    <w:p w:rsidR="00D81F69" w:rsidRPr="00392EAD" w:rsidRDefault="00330118">
      <w:pPr>
        <w:pStyle w:val="Heading6"/>
        <w:spacing w:before="1" w:line="240" w:lineRule="auto"/>
        <w:ind w:left="101"/>
        <w:jc w:val="both"/>
        <w:rPr>
          <w:lang w:val="pt-BR"/>
        </w:rPr>
      </w:pPr>
      <w:r w:rsidRPr="00392EAD">
        <w:rPr>
          <w:lang w:val="pt-BR"/>
        </w:rPr>
        <w:t>Referências bibliográficas</w:t>
      </w:r>
    </w:p>
    <w:p w:rsidR="00D81F69" w:rsidRPr="00392EAD" w:rsidRDefault="00D81F69">
      <w:pPr>
        <w:pStyle w:val="Corpodetexto"/>
        <w:spacing w:before="9"/>
        <w:ind w:left="0"/>
        <w:jc w:val="left"/>
        <w:rPr>
          <w:b/>
          <w:sz w:val="19"/>
          <w:lang w:val="pt-BR"/>
        </w:rPr>
      </w:pPr>
    </w:p>
    <w:p w:rsidR="00D81F69" w:rsidRDefault="00330118">
      <w:pPr>
        <w:pStyle w:val="Heading7"/>
        <w:spacing w:before="1"/>
        <w:ind w:left="101"/>
      </w:pPr>
      <w:r w:rsidRPr="00392EAD">
        <w:rPr>
          <w:lang w:val="pt-BR"/>
        </w:rPr>
        <w:t xml:space="preserve">CBPM, Companhia Baiana de Pesquisa Mineral. </w:t>
      </w:r>
      <w:r>
        <w:t>Institucional. 2013. Disponível em:</w:t>
      </w:r>
    </w:p>
    <w:p w:rsidR="00D81F69" w:rsidRPr="00392EAD" w:rsidRDefault="00D81F69">
      <w:pPr>
        <w:ind w:left="101"/>
        <w:jc w:val="both"/>
        <w:rPr>
          <w:sz w:val="20"/>
          <w:lang w:val="pt-BR"/>
        </w:rPr>
      </w:pPr>
      <w:hyperlink r:id="rId548">
        <w:r w:rsidR="00330118">
          <w:rPr>
            <w:sz w:val="20"/>
          </w:rPr>
          <w:t>&lt;ht</w:t>
        </w:r>
        <w:r w:rsidR="00330118">
          <w:rPr>
            <w:sz w:val="20"/>
          </w:rPr>
          <w:t xml:space="preserve">tp://www.cbpm.com.br/paginas/institucional.php&gt;. </w:t>
        </w:r>
      </w:hyperlink>
      <w:r w:rsidR="00330118" w:rsidRPr="00392EAD">
        <w:rPr>
          <w:sz w:val="20"/>
          <w:lang w:val="pt-BR"/>
        </w:rPr>
        <w:t>Acesso em: 23 out. 2013.</w:t>
      </w:r>
    </w:p>
    <w:p w:rsidR="00D81F69" w:rsidRPr="00392EAD" w:rsidRDefault="00D81F69">
      <w:pPr>
        <w:jc w:val="both"/>
        <w:rPr>
          <w:sz w:val="20"/>
          <w:lang w:val="pt-BR"/>
        </w:rPr>
        <w:sectPr w:rsidR="00D81F69" w:rsidRPr="00392EAD">
          <w:pgSz w:w="11910" w:h="16840"/>
          <w:pgMar w:top="640" w:right="1580" w:bottom="720" w:left="1600" w:header="0" w:footer="402" w:gutter="0"/>
          <w:cols w:space="720"/>
        </w:sectPr>
      </w:pPr>
    </w:p>
    <w:p w:rsidR="00D81F69" w:rsidRPr="00392EAD" w:rsidRDefault="00330118">
      <w:pPr>
        <w:spacing w:before="65"/>
        <w:ind w:left="6467"/>
        <w:rPr>
          <w:lang w:val="pt-BR"/>
        </w:rPr>
      </w:pPr>
      <w:r w:rsidRPr="00392EAD">
        <w:rPr>
          <w:lang w:val="pt-BR"/>
        </w:rPr>
        <w:lastRenderedPageBreak/>
        <w:t>REGIÃO NORDESTE</w:t>
      </w:r>
    </w:p>
    <w:p w:rsidR="00D81F69" w:rsidRPr="00392EAD" w:rsidRDefault="00D81F69">
      <w:pPr>
        <w:pStyle w:val="Corpodetexto"/>
        <w:ind w:left="0"/>
        <w:jc w:val="left"/>
        <w:rPr>
          <w:sz w:val="24"/>
          <w:lang w:val="pt-BR"/>
        </w:rPr>
      </w:pPr>
    </w:p>
    <w:p w:rsidR="00D81F69" w:rsidRDefault="00330118">
      <w:pPr>
        <w:tabs>
          <w:tab w:val="left" w:pos="2166"/>
          <w:tab w:val="left" w:pos="4153"/>
          <w:tab w:val="left" w:pos="5996"/>
          <w:tab w:val="left" w:pos="8273"/>
        </w:tabs>
        <w:spacing w:before="180"/>
        <w:ind w:left="101" w:right="114"/>
        <w:jc w:val="both"/>
        <w:rPr>
          <w:sz w:val="20"/>
        </w:rPr>
      </w:pPr>
      <w:r w:rsidRPr="00392EAD">
        <w:rPr>
          <w:sz w:val="20"/>
          <w:lang w:val="pt-BR"/>
        </w:rPr>
        <w:t>DNPM, Departamento Nacional de Produção Mineral. Mineração no semiárido brasileiro. Brasília:</w:t>
      </w:r>
      <w:r w:rsidRPr="00392EAD">
        <w:rPr>
          <w:sz w:val="20"/>
          <w:lang w:val="pt-BR"/>
        </w:rPr>
        <w:tab/>
        <w:t>DNPM.</w:t>
      </w:r>
      <w:r w:rsidRPr="00392EAD">
        <w:rPr>
          <w:sz w:val="20"/>
          <w:lang w:val="pt-BR"/>
        </w:rPr>
        <w:tab/>
        <w:t>2009.</w:t>
      </w:r>
      <w:r w:rsidRPr="00392EAD">
        <w:rPr>
          <w:sz w:val="20"/>
          <w:lang w:val="pt-BR"/>
        </w:rPr>
        <w:tab/>
      </w:r>
      <w:r>
        <w:rPr>
          <w:sz w:val="20"/>
        </w:rPr>
        <w:t>Disponível</w:t>
      </w:r>
      <w:r>
        <w:rPr>
          <w:sz w:val="20"/>
        </w:rPr>
        <w:tab/>
        <w:t>em:</w:t>
      </w:r>
    </w:p>
    <w:p w:rsidR="00D81F69" w:rsidRPr="00392EAD" w:rsidRDefault="00330118">
      <w:pPr>
        <w:ind w:left="101" w:right="117"/>
        <w:jc w:val="both"/>
        <w:rPr>
          <w:sz w:val="20"/>
          <w:lang w:val="pt-BR"/>
        </w:rPr>
      </w:pPr>
      <w:r>
        <w:rPr>
          <w:sz w:val="20"/>
        </w:rPr>
        <w:t>&lt;</w:t>
      </w:r>
      <w:hyperlink r:id="rId549">
        <w:r>
          <w:rPr>
            <w:sz w:val="20"/>
          </w:rPr>
          <w:t>http://www.dnpm.gov.br/mostra_arquivo.asp?IDBancoArquivoArquivo=3194&gt;</w:t>
        </w:r>
      </w:hyperlink>
      <w:r>
        <w:rPr>
          <w:sz w:val="20"/>
        </w:rPr>
        <w:t xml:space="preserve">. </w:t>
      </w:r>
      <w:r w:rsidRPr="00392EAD">
        <w:rPr>
          <w:sz w:val="20"/>
          <w:lang w:val="pt-BR"/>
        </w:rPr>
        <w:t>Acesso em: 23 jul. 2013.</w:t>
      </w:r>
    </w:p>
    <w:p w:rsidR="00D81F69" w:rsidRPr="00392EAD" w:rsidRDefault="00330118">
      <w:pPr>
        <w:tabs>
          <w:tab w:val="left" w:pos="4052"/>
          <w:tab w:val="left" w:pos="7670"/>
        </w:tabs>
        <w:ind w:left="101" w:right="116"/>
        <w:jc w:val="both"/>
        <w:rPr>
          <w:sz w:val="20"/>
          <w:lang w:val="pt-BR"/>
        </w:rPr>
      </w:pPr>
      <w:r w:rsidRPr="00392EAD">
        <w:rPr>
          <w:sz w:val="20"/>
          <w:lang w:val="pt-BR"/>
        </w:rPr>
        <w:t xml:space="preserve">MINÉRIO &amp; MINERALES. 200 maiores minas brasileiras. São Paulo: Lithos Ed. </w:t>
      </w:r>
      <w:r>
        <w:rPr>
          <w:sz w:val="20"/>
        </w:rPr>
        <w:t>Lt</w:t>
      </w:r>
      <w:r>
        <w:rPr>
          <w:sz w:val="20"/>
        </w:rPr>
        <w:t>da., n. 345, out.2012.</w:t>
      </w:r>
      <w:r>
        <w:rPr>
          <w:sz w:val="20"/>
        </w:rPr>
        <w:tab/>
        <w:t>194p.</w:t>
      </w:r>
      <w:r>
        <w:rPr>
          <w:sz w:val="20"/>
        </w:rPr>
        <w:tab/>
        <w:t xml:space="preserve">Disponível </w:t>
      </w:r>
      <w:hyperlink r:id="rId550">
        <w:r>
          <w:rPr>
            <w:sz w:val="20"/>
          </w:rPr>
          <w:t>em:&lt;http://www.revistaminerios.com.br/Edicoes/</w:t>
        </w:r>
      </w:hyperlink>
      <w:r>
        <w:rPr>
          <w:sz w:val="20"/>
        </w:rPr>
        <w:t>209/</w:t>
      </w:r>
      <w:hyperlink r:id="rId551">
        <w:r>
          <w:rPr>
            <w:sz w:val="20"/>
          </w:rPr>
          <w:t>Outu</w:t>
        </w:r>
        <w:r>
          <w:rPr>
            <w:sz w:val="20"/>
          </w:rPr>
          <w:t>bro_2012.aspx</w:t>
        </w:r>
      </w:hyperlink>
      <w:r>
        <w:rPr>
          <w:sz w:val="20"/>
        </w:rPr>
        <w:t xml:space="preserve">&gt;. </w:t>
      </w:r>
      <w:r w:rsidRPr="00392EAD">
        <w:rPr>
          <w:sz w:val="20"/>
          <w:lang w:val="pt-BR"/>
        </w:rPr>
        <w:t>Acesso em: 23 jul. 2013.</w:t>
      </w:r>
    </w:p>
    <w:p w:rsidR="00D81F69" w:rsidRPr="00392EAD" w:rsidRDefault="00330118">
      <w:pPr>
        <w:tabs>
          <w:tab w:val="left" w:pos="1191"/>
          <w:tab w:val="left" w:pos="2022"/>
          <w:tab w:val="left" w:pos="3146"/>
          <w:tab w:val="left" w:pos="3612"/>
          <w:tab w:val="left" w:pos="5032"/>
          <w:tab w:val="left" w:pos="5452"/>
          <w:tab w:val="left" w:pos="5669"/>
          <w:tab w:val="left" w:pos="6282"/>
          <w:tab w:val="left" w:pos="7323"/>
          <w:tab w:val="left" w:pos="8271"/>
          <w:tab w:val="left" w:pos="8505"/>
        </w:tabs>
        <w:spacing w:before="60"/>
        <w:ind w:left="101" w:right="115" w:hanging="1"/>
        <w:rPr>
          <w:sz w:val="20"/>
          <w:lang w:val="pt-BR"/>
        </w:rPr>
      </w:pPr>
      <w:r w:rsidRPr="00392EAD">
        <w:rPr>
          <w:sz w:val="18"/>
          <w:lang w:val="pt-BR"/>
        </w:rPr>
        <w:t xml:space="preserve">PLATAFORMA DHESCA. </w:t>
      </w:r>
      <w:r w:rsidRPr="00392EAD">
        <w:rPr>
          <w:sz w:val="20"/>
          <w:lang w:val="pt-BR"/>
        </w:rPr>
        <w:t>Mina de urânio pode transformar Caetité em cidade fantasma</w:t>
      </w:r>
      <w:r w:rsidRPr="00392EAD">
        <w:rPr>
          <w:sz w:val="18"/>
          <w:lang w:val="pt-BR"/>
        </w:rPr>
        <w:t>. Plataforma</w:t>
      </w:r>
      <w:r w:rsidRPr="00392EAD">
        <w:rPr>
          <w:sz w:val="18"/>
          <w:lang w:val="pt-BR"/>
        </w:rPr>
        <w:tab/>
        <w:t>Dhesca</w:t>
      </w:r>
      <w:r w:rsidRPr="00392EAD">
        <w:rPr>
          <w:sz w:val="18"/>
          <w:lang w:val="pt-BR"/>
        </w:rPr>
        <w:tab/>
        <w:t>Brasil/Plataforma</w:t>
      </w:r>
      <w:r w:rsidRPr="00392EAD">
        <w:rPr>
          <w:sz w:val="18"/>
          <w:lang w:val="pt-BR"/>
        </w:rPr>
        <w:tab/>
        <w:t>Interamericana</w:t>
      </w:r>
      <w:r w:rsidRPr="00392EAD">
        <w:rPr>
          <w:sz w:val="18"/>
          <w:lang w:val="pt-BR"/>
        </w:rPr>
        <w:tab/>
        <w:t>de</w:t>
      </w:r>
      <w:r w:rsidRPr="00392EAD">
        <w:rPr>
          <w:sz w:val="18"/>
          <w:lang w:val="pt-BR"/>
        </w:rPr>
        <w:tab/>
        <w:t>Direitos</w:t>
      </w:r>
      <w:r w:rsidRPr="00392EAD">
        <w:rPr>
          <w:sz w:val="18"/>
          <w:lang w:val="pt-BR"/>
        </w:rPr>
        <w:tab/>
        <w:t>Humanos,</w:t>
      </w:r>
      <w:r w:rsidRPr="00392EAD">
        <w:rPr>
          <w:sz w:val="18"/>
          <w:lang w:val="pt-BR"/>
        </w:rPr>
        <w:tab/>
        <w:t>Democracia</w:t>
      </w:r>
      <w:r w:rsidRPr="00392EAD">
        <w:rPr>
          <w:sz w:val="18"/>
          <w:lang w:val="pt-BR"/>
        </w:rPr>
        <w:tab/>
        <w:t>e Desenvolvimento</w:t>
      </w:r>
      <w:r w:rsidRPr="00392EAD">
        <w:rPr>
          <w:sz w:val="18"/>
          <w:lang w:val="pt-BR"/>
        </w:rPr>
        <w:tab/>
      </w:r>
      <w:r w:rsidRPr="00392EAD">
        <w:rPr>
          <w:sz w:val="18"/>
          <w:lang w:val="pt-BR"/>
        </w:rPr>
        <w:tab/>
        <w:t>(PIDHDD).</w:t>
      </w:r>
      <w:r w:rsidRPr="00392EAD">
        <w:rPr>
          <w:sz w:val="18"/>
          <w:lang w:val="pt-BR"/>
        </w:rPr>
        <w:tab/>
      </w:r>
      <w:r w:rsidRPr="00392EAD">
        <w:rPr>
          <w:sz w:val="18"/>
          <w:lang w:val="pt-BR"/>
        </w:rPr>
        <w:tab/>
      </w:r>
      <w:r w:rsidRPr="00392EAD">
        <w:rPr>
          <w:sz w:val="18"/>
          <w:lang w:val="pt-BR"/>
        </w:rPr>
        <w:tab/>
      </w:r>
      <w:r w:rsidRPr="00392EAD">
        <w:rPr>
          <w:sz w:val="20"/>
          <w:lang w:val="pt-BR"/>
        </w:rPr>
        <w:t>Disponível</w:t>
      </w:r>
      <w:r w:rsidRPr="00392EAD">
        <w:rPr>
          <w:sz w:val="20"/>
          <w:lang w:val="pt-BR"/>
        </w:rPr>
        <w:tab/>
      </w:r>
      <w:r w:rsidRPr="00392EAD">
        <w:rPr>
          <w:sz w:val="20"/>
          <w:lang w:val="pt-BR"/>
        </w:rPr>
        <w:tab/>
        <w:t xml:space="preserve">em: </w:t>
      </w:r>
      <w:hyperlink r:id="rId552">
        <w:r w:rsidRPr="00392EAD">
          <w:rPr>
            <w:sz w:val="20"/>
            <w:lang w:val="pt-BR"/>
          </w:rPr>
          <w:t>http://www.dhescbrasil.org.br/index.php?option=com_content&amp;view=article&amp;id=346:mina-de-</w:t>
        </w:r>
      </w:hyperlink>
      <w:r w:rsidRPr="00392EAD">
        <w:rPr>
          <w:sz w:val="20"/>
          <w:lang w:val="pt-BR"/>
        </w:rPr>
        <w:t xml:space="preserve"> uranio-pode-transformar-caetite-em-cidade-fantasma&amp;cati</w:t>
      </w:r>
      <w:r w:rsidRPr="00392EAD">
        <w:rPr>
          <w:sz w:val="20"/>
          <w:lang w:val="pt-BR"/>
        </w:rPr>
        <w:t>d=149:noticias- biblioteca&amp;Itemid=189. Acesso em:15 de dez. de</w:t>
      </w:r>
      <w:r w:rsidRPr="00392EAD">
        <w:rPr>
          <w:spacing w:val="-9"/>
          <w:sz w:val="20"/>
          <w:lang w:val="pt-BR"/>
        </w:rPr>
        <w:t xml:space="preserve"> </w:t>
      </w:r>
      <w:r w:rsidRPr="00392EAD">
        <w:rPr>
          <w:sz w:val="20"/>
          <w:lang w:val="pt-BR"/>
        </w:rPr>
        <w:t>2013.</w:t>
      </w:r>
    </w:p>
    <w:p w:rsidR="00D81F69" w:rsidRPr="00392EAD" w:rsidRDefault="00330118">
      <w:pPr>
        <w:pStyle w:val="Heading7"/>
        <w:spacing w:before="60"/>
        <w:ind w:left="101" w:right="117"/>
        <w:rPr>
          <w:lang w:val="pt-BR"/>
        </w:rPr>
      </w:pPr>
      <w:r w:rsidRPr="00392EAD">
        <w:rPr>
          <w:lang w:val="pt-BR"/>
        </w:rPr>
        <w:t xml:space="preserve">RIGOTTO, R. M. Inserção da saúde nos estudos de impacto ambiental: o caso de uma termelétrica a carvão mineral no Ceará. </w:t>
      </w:r>
      <w:r>
        <w:t>Ciência &amp; Saúde Coletiva, v.14, n.6, Rio de Janeiro, dez. 2009. Di</w:t>
      </w:r>
      <w:r>
        <w:t xml:space="preserve">sponível em: </w:t>
      </w:r>
      <w:hyperlink r:id="rId553">
        <w:r>
          <w:t>&lt;http://www.sciel</w:t>
        </w:r>
      </w:hyperlink>
      <w:r>
        <w:t>o</w:t>
      </w:r>
      <w:hyperlink r:id="rId554">
        <w:r>
          <w:t>sp.org/scielo.php?pid=S1413-</w:t>
        </w:r>
      </w:hyperlink>
      <w:r>
        <w:t xml:space="preserve"> 81232009000600012&amp;script=sci_arttext&amp;tlng=pt&gt;. </w:t>
      </w:r>
      <w:r w:rsidRPr="00392EAD">
        <w:rPr>
          <w:lang w:val="pt-BR"/>
        </w:rPr>
        <w:t>Acesso em: 21 jul. 2013</w:t>
      </w:r>
      <w:r w:rsidRPr="00392EAD">
        <w:rPr>
          <w:lang w:val="pt-BR"/>
        </w:rPr>
        <w:t>.</w:t>
      </w:r>
    </w:p>
    <w:p w:rsidR="00D81F69" w:rsidRDefault="00330118">
      <w:pPr>
        <w:tabs>
          <w:tab w:val="left" w:pos="1651"/>
        </w:tabs>
        <w:ind w:left="101" w:right="115"/>
        <w:jc w:val="both"/>
        <w:rPr>
          <w:sz w:val="20"/>
        </w:rPr>
      </w:pPr>
      <w:r w:rsidRPr="00392EAD">
        <w:rPr>
          <w:sz w:val="20"/>
          <w:lang w:val="pt-BR"/>
        </w:rPr>
        <w:t xml:space="preserve">SDLR-CE, Secretaria do Desenvolvimento Local e Regional do Estado do Ceará. Arranjo Produtivo Local de pedras ornamentais em Nova Olinda e Santana do Cariri. </w:t>
      </w:r>
      <w:r>
        <w:rPr>
          <w:sz w:val="20"/>
        </w:rPr>
        <w:t>2013. Disponível em:</w:t>
      </w:r>
      <w:r>
        <w:rPr>
          <w:sz w:val="20"/>
        </w:rPr>
        <w:tab/>
      </w:r>
      <w:r>
        <w:rPr>
          <w:spacing w:val="-1"/>
          <w:sz w:val="20"/>
        </w:rPr>
        <w:t>&lt;</w:t>
      </w:r>
      <w:hyperlink r:id="rId555">
        <w:r>
          <w:rPr>
            <w:spacing w:val="-1"/>
            <w:sz w:val="20"/>
          </w:rPr>
          <w:t>http://conteudo.ceara.gov.br/content/aplicacao/sdlr/_includes/PDFs/APL%20-</w:t>
        </w:r>
      </w:hyperlink>
    </w:p>
    <w:p w:rsidR="00D81F69" w:rsidRPr="00392EAD" w:rsidRDefault="00330118">
      <w:pPr>
        <w:ind w:left="101"/>
        <w:rPr>
          <w:sz w:val="20"/>
          <w:lang w:val="pt-BR"/>
        </w:rPr>
      </w:pPr>
      <w:r w:rsidRPr="00392EAD">
        <w:rPr>
          <w:sz w:val="20"/>
          <w:lang w:val="pt-BR"/>
        </w:rPr>
        <w:t>%20Cariri%20-%20Pedras.pdf&gt;. Acesso em: 24 jul. 2013.</w:t>
      </w:r>
    </w:p>
    <w:p w:rsidR="00D81F69" w:rsidRPr="00392EAD" w:rsidRDefault="00330118">
      <w:pPr>
        <w:spacing w:before="1"/>
        <w:ind w:left="101"/>
        <w:rPr>
          <w:sz w:val="20"/>
          <w:lang w:val="pt-BR"/>
        </w:rPr>
      </w:pPr>
      <w:r w:rsidRPr="00392EAD">
        <w:rPr>
          <w:sz w:val="20"/>
          <w:lang w:val="pt-BR"/>
        </w:rPr>
        <w:t>SICM, Secretaria da Indústria, Comércio e Mineração da Bahia. Mineração. Disponível em:</w:t>
      </w:r>
    </w:p>
    <w:p w:rsidR="00D81F69" w:rsidRPr="00392EAD" w:rsidRDefault="00D81F69">
      <w:pPr>
        <w:ind w:left="101" w:right="116"/>
        <w:jc w:val="both"/>
        <w:rPr>
          <w:sz w:val="20"/>
          <w:lang w:val="pt-BR"/>
        </w:rPr>
      </w:pPr>
      <w:hyperlink r:id="rId556">
        <w:r w:rsidR="00330118" w:rsidRPr="00392EAD">
          <w:rPr>
            <w:sz w:val="20"/>
            <w:lang w:val="pt-BR"/>
          </w:rPr>
          <w:t xml:space="preserve">&lt;http://www.sicm.ba.gov.br/Pagina.aspx?pagina=mineracao&gt;. </w:t>
        </w:r>
      </w:hyperlink>
      <w:r w:rsidR="00330118">
        <w:rPr>
          <w:sz w:val="20"/>
        </w:rPr>
        <w:t xml:space="preserve">2013. Acesso em: 23 out. 2013. SOUZA, K. V.; TEIXEIRA, N. S.; LIMA, M. H. M.  </w:t>
      </w:r>
      <w:r w:rsidR="00330118" w:rsidRPr="00392EAD">
        <w:rPr>
          <w:sz w:val="20"/>
          <w:lang w:val="pt-BR"/>
        </w:rPr>
        <w:t>R.;  BEZERRA,  M.  S.Os  Arranjos Produtivos</w:t>
      </w:r>
    </w:p>
    <w:p w:rsidR="00D81F69" w:rsidRPr="00392EAD" w:rsidRDefault="00330118">
      <w:pPr>
        <w:spacing w:line="230" w:lineRule="exact"/>
        <w:ind w:left="101"/>
        <w:jc w:val="both"/>
        <w:rPr>
          <w:sz w:val="20"/>
          <w:lang w:val="pt-BR"/>
        </w:rPr>
      </w:pPr>
      <w:r w:rsidRPr="00392EAD">
        <w:rPr>
          <w:sz w:val="20"/>
          <w:lang w:val="pt-BR"/>
        </w:rPr>
        <w:t>Locais (APLs) de base mi</w:t>
      </w:r>
      <w:r w:rsidRPr="00392EAD">
        <w:rPr>
          <w:sz w:val="20"/>
          <w:lang w:val="pt-BR"/>
        </w:rPr>
        <w:t>neral e a sustentabilidade.In: FERNANDES, F. R. C.; ENRIQUEZ, M.</w:t>
      </w:r>
    </w:p>
    <w:p w:rsidR="00D81F69" w:rsidRDefault="00330118">
      <w:pPr>
        <w:spacing w:before="1" w:line="230" w:lineRule="exact"/>
        <w:ind w:left="101"/>
        <w:jc w:val="both"/>
        <w:rPr>
          <w:sz w:val="20"/>
        </w:rPr>
      </w:pPr>
      <w:r w:rsidRPr="00392EAD">
        <w:rPr>
          <w:sz w:val="20"/>
          <w:lang w:val="pt-BR"/>
        </w:rPr>
        <w:t xml:space="preserve">A. R. S.; ALAMINO, R. C. J. (Eds.). Recursos Minerais e Sustentabilidade Territorial v.2, p.  </w:t>
      </w:r>
      <w:r>
        <w:rPr>
          <w:sz w:val="20"/>
        </w:rPr>
        <w:t>69-</w:t>
      </w:r>
    </w:p>
    <w:p w:rsidR="00D81F69" w:rsidRPr="00392EAD" w:rsidRDefault="00330118">
      <w:pPr>
        <w:spacing w:line="230" w:lineRule="exact"/>
        <w:ind w:left="101"/>
        <w:jc w:val="both"/>
        <w:rPr>
          <w:sz w:val="20"/>
          <w:lang w:val="pt-BR"/>
        </w:rPr>
      </w:pPr>
      <w:r w:rsidRPr="00392EAD">
        <w:rPr>
          <w:sz w:val="20"/>
          <w:lang w:val="pt-BR"/>
        </w:rPr>
        <w:t>88. Rio de Janeiro: CETEM/MCTI, 2011. Disponível em:</w:t>
      </w:r>
    </w:p>
    <w:p w:rsidR="00D81F69" w:rsidRDefault="00D81F69">
      <w:pPr>
        <w:ind w:left="101"/>
        <w:jc w:val="both"/>
        <w:rPr>
          <w:sz w:val="20"/>
        </w:rPr>
      </w:pPr>
      <w:hyperlink r:id="rId557">
        <w:r w:rsidR="00330118" w:rsidRPr="00392EAD">
          <w:rPr>
            <w:sz w:val="20"/>
            <w:lang w:val="pt-BR"/>
          </w:rPr>
          <w:t>&lt;http://www.cetem.gov.br/publicacao/livros/Vol_2_APL_TOTA</w:t>
        </w:r>
      </w:hyperlink>
      <w:r w:rsidR="00330118" w:rsidRPr="00392EAD">
        <w:rPr>
          <w:sz w:val="20"/>
          <w:lang w:val="pt-BR"/>
        </w:rPr>
        <w:t>L</w:t>
      </w:r>
      <w:hyperlink r:id="rId558">
        <w:r w:rsidR="00330118" w:rsidRPr="00392EAD">
          <w:rPr>
            <w:sz w:val="20"/>
            <w:lang w:val="pt-BR"/>
          </w:rPr>
          <w:t>.pdf</w:t>
        </w:r>
      </w:hyperlink>
      <w:r w:rsidR="00330118" w:rsidRPr="00392EAD">
        <w:rPr>
          <w:sz w:val="20"/>
          <w:lang w:val="pt-BR"/>
        </w:rPr>
        <w:t xml:space="preserve">&gt;. </w:t>
      </w:r>
      <w:r w:rsidR="00330118">
        <w:rPr>
          <w:sz w:val="20"/>
        </w:rPr>
        <w:t>Acesso em: 20 jul. 2013.</w:t>
      </w:r>
    </w:p>
    <w:p w:rsidR="00D81F69" w:rsidRDefault="00D81F69">
      <w:pPr>
        <w:jc w:val="both"/>
        <w:rPr>
          <w:sz w:val="20"/>
        </w:rPr>
        <w:sectPr w:rsidR="00D81F69">
          <w:pgSz w:w="11910" w:h="16840"/>
          <w:pgMar w:top="640" w:right="1580" w:bottom="720" w:left="1600" w:header="0" w:footer="402" w:gutter="0"/>
          <w:cols w:space="720"/>
        </w:sectPr>
      </w:pPr>
    </w:p>
    <w:p w:rsidR="00D81F69" w:rsidRDefault="00330118">
      <w:pPr>
        <w:spacing w:before="113" w:line="208" w:lineRule="auto"/>
        <w:ind w:left="100" w:right="183"/>
        <w:rPr>
          <w:b/>
          <w:sz w:val="40"/>
        </w:rPr>
      </w:pPr>
      <w:r>
        <w:rPr>
          <w:b/>
          <w:sz w:val="40"/>
        </w:rPr>
        <w:lastRenderedPageBreak/>
        <w:t>Consequências do encerramento da exploração do amianto em Bom Jesus da Serra (BA)</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20"/>
        <w:rPr>
          <w:i/>
          <w:sz w:val="14"/>
        </w:rPr>
      </w:pPr>
      <w:r>
        <w:rPr>
          <w:i/>
          <w:sz w:val="14"/>
        </w:rPr>
        <w:t>BA - Bom Jesus da Serra BA - Simões Filho</w:t>
      </w:r>
    </w:p>
    <w:p w:rsidR="00D81F69" w:rsidRDefault="00D81F69">
      <w:pPr>
        <w:pStyle w:val="Corpodetexto"/>
        <w:spacing w:before="4"/>
        <w:ind w:left="0"/>
        <w:jc w:val="left"/>
        <w:rPr>
          <w:i/>
        </w:rPr>
      </w:pPr>
    </w:p>
    <w:p w:rsidR="00D81F69" w:rsidRDefault="00330118">
      <w:pPr>
        <w:spacing w:before="1"/>
        <w:ind w:left="135"/>
        <w:rPr>
          <w:i/>
          <w:sz w:val="14"/>
        </w:rPr>
      </w:pPr>
      <w:r>
        <w:rPr>
          <w:i/>
          <w:sz w:val="14"/>
        </w:rPr>
        <w:t>LATITUDE</w:t>
      </w:r>
    </w:p>
    <w:p w:rsidR="00D81F69" w:rsidRDefault="00330118">
      <w:pPr>
        <w:spacing w:before="49"/>
        <w:ind w:left="135"/>
        <w:rPr>
          <w:i/>
          <w:sz w:val="14"/>
        </w:rPr>
      </w:pPr>
      <w:r>
        <w:rPr>
          <w:i/>
          <w:sz w:val="14"/>
        </w:rPr>
        <w:t>-14,4277</w:t>
      </w:r>
    </w:p>
    <w:p w:rsidR="00D81F69" w:rsidRDefault="00D81F69">
      <w:pPr>
        <w:pStyle w:val="Corpodetexto"/>
        <w:spacing w:before="5"/>
        <w:ind w:left="0"/>
        <w:jc w:val="left"/>
        <w:rPr>
          <w:i/>
          <w:sz w:val="22"/>
        </w:rPr>
      </w:pPr>
    </w:p>
    <w:p w:rsidR="00D81F69" w:rsidRDefault="00330118">
      <w:pPr>
        <w:spacing w:before="1"/>
        <w:ind w:left="135"/>
        <w:rPr>
          <w:i/>
          <w:sz w:val="14"/>
        </w:rPr>
      </w:pPr>
      <w:r>
        <w:rPr>
          <w:i/>
          <w:sz w:val="14"/>
        </w:rPr>
        <w:t>LONGITUDE</w:t>
      </w:r>
    </w:p>
    <w:p w:rsidR="00D81F69" w:rsidRDefault="00330118">
      <w:pPr>
        <w:spacing w:before="49"/>
        <w:ind w:left="135"/>
        <w:rPr>
          <w:i/>
          <w:sz w:val="14"/>
        </w:rPr>
      </w:pPr>
      <w:r>
        <w:rPr>
          <w:i/>
          <w:sz w:val="14"/>
        </w:rPr>
        <w:t>-40,3958</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6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pacing w:val="2"/>
          <w:sz w:val="16"/>
        </w:rPr>
        <w:t xml:space="preserve">Após </w:t>
      </w:r>
      <w:r>
        <w:rPr>
          <w:i/>
          <w:spacing w:val="3"/>
          <w:sz w:val="16"/>
        </w:rPr>
        <w:t xml:space="preserve">explorar </w:t>
      </w:r>
      <w:r>
        <w:rPr>
          <w:i/>
          <w:spacing w:val="2"/>
          <w:sz w:val="16"/>
        </w:rPr>
        <w:t xml:space="preserve">por </w:t>
      </w:r>
      <w:r>
        <w:rPr>
          <w:i/>
          <w:spacing w:val="1"/>
          <w:sz w:val="16"/>
        </w:rPr>
        <w:t xml:space="preserve">30 </w:t>
      </w:r>
      <w:r>
        <w:rPr>
          <w:i/>
          <w:spacing w:val="2"/>
          <w:sz w:val="16"/>
        </w:rPr>
        <w:t xml:space="preserve">anos </w:t>
      </w:r>
      <w:r>
        <w:rPr>
          <w:i/>
          <w:sz w:val="16"/>
        </w:rPr>
        <w:t xml:space="preserve">a </w:t>
      </w:r>
      <w:r>
        <w:rPr>
          <w:i/>
          <w:spacing w:val="2"/>
          <w:sz w:val="16"/>
        </w:rPr>
        <w:t xml:space="preserve">mina </w:t>
      </w:r>
      <w:r>
        <w:rPr>
          <w:i/>
          <w:spacing w:val="5"/>
          <w:sz w:val="16"/>
        </w:rPr>
        <w:t xml:space="preserve">de </w:t>
      </w:r>
      <w:r>
        <w:rPr>
          <w:i/>
          <w:spacing w:val="3"/>
          <w:sz w:val="16"/>
        </w:rPr>
        <w:t xml:space="preserve">amianto </w:t>
      </w:r>
      <w:r>
        <w:rPr>
          <w:i/>
          <w:spacing w:val="1"/>
          <w:sz w:val="16"/>
        </w:rPr>
        <w:t xml:space="preserve">em </w:t>
      </w:r>
      <w:r>
        <w:rPr>
          <w:i/>
          <w:spacing w:val="2"/>
          <w:sz w:val="16"/>
        </w:rPr>
        <w:t xml:space="preserve">Bom </w:t>
      </w:r>
      <w:r>
        <w:rPr>
          <w:i/>
          <w:spacing w:val="3"/>
          <w:sz w:val="16"/>
        </w:rPr>
        <w:t xml:space="preserve">Jesus </w:t>
      </w:r>
      <w:r>
        <w:rPr>
          <w:i/>
          <w:spacing w:val="1"/>
          <w:sz w:val="16"/>
        </w:rPr>
        <w:t xml:space="preserve">da </w:t>
      </w:r>
      <w:r>
        <w:rPr>
          <w:i/>
          <w:spacing w:val="3"/>
          <w:sz w:val="16"/>
        </w:rPr>
        <w:t xml:space="preserve">Serra, </w:t>
      </w:r>
      <w:r>
        <w:rPr>
          <w:i/>
          <w:spacing w:val="5"/>
          <w:sz w:val="16"/>
        </w:rPr>
        <w:t xml:space="preserve">na </w:t>
      </w:r>
      <w:r>
        <w:rPr>
          <w:i/>
          <w:sz w:val="16"/>
        </w:rPr>
        <w:t xml:space="preserve">Bahia, a Sociedade Anônima Mineração de Amianto (Sama), hoje controlada pelo </w:t>
      </w:r>
      <w:r>
        <w:rPr>
          <w:i/>
          <w:spacing w:val="8"/>
          <w:sz w:val="16"/>
        </w:rPr>
        <w:t xml:space="preserve">Grupo </w:t>
      </w:r>
      <w:r>
        <w:rPr>
          <w:i/>
          <w:spacing w:val="10"/>
          <w:sz w:val="16"/>
        </w:rPr>
        <w:t xml:space="preserve">Eternit, deixou </w:t>
      </w:r>
      <w:r>
        <w:rPr>
          <w:i/>
          <w:spacing w:val="5"/>
          <w:sz w:val="16"/>
        </w:rPr>
        <w:t xml:space="preserve">um </w:t>
      </w:r>
      <w:r>
        <w:rPr>
          <w:i/>
          <w:spacing w:val="11"/>
          <w:sz w:val="16"/>
        </w:rPr>
        <w:t xml:space="preserve">passivo </w:t>
      </w:r>
      <w:r>
        <w:rPr>
          <w:i/>
          <w:sz w:val="16"/>
        </w:rPr>
        <w:t>socioambiental de grandes proporções. Além da cratera aberta e cheia de água contaminada, a população lo</w:t>
      </w:r>
      <w:r>
        <w:rPr>
          <w:i/>
          <w:sz w:val="16"/>
        </w:rPr>
        <w:t xml:space="preserve">cal convive com doenças como câncer, em </w:t>
      </w:r>
      <w:r>
        <w:rPr>
          <w:i/>
          <w:spacing w:val="1"/>
          <w:sz w:val="16"/>
        </w:rPr>
        <w:t xml:space="preserve">função </w:t>
      </w:r>
      <w:r>
        <w:rPr>
          <w:i/>
          <w:sz w:val="16"/>
        </w:rPr>
        <w:t>do</w:t>
      </w:r>
      <w:r>
        <w:rPr>
          <w:i/>
          <w:spacing w:val="30"/>
          <w:sz w:val="16"/>
        </w:rPr>
        <w:t xml:space="preserve"> </w:t>
      </w:r>
      <w:r>
        <w:rPr>
          <w:i/>
          <w:sz w:val="16"/>
        </w:rPr>
        <w:t>prolongado</w:t>
      </w:r>
      <w:r>
        <w:rPr>
          <w:i/>
          <w:spacing w:val="30"/>
          <w:sz w:val="16"/>
        </w:rPr>
        <w:t xml:space="preserve"> </w:t>
      </w:r>
      <w:r>
        <w:rPr>
          <w:i/>
          <w:sz w:val="16"/>
        </w:rPr>
        <w:t>contato</w:t>
      </w:r>
      <w:r>
        <w:rPr>
          <w:i/>
          <w:spacing w:val="30"/>
          <w:sz w:val="16"/>
        </w:rPr>
        <w:t xml:space="preserve"> </w:t>
      </w:r>
      <w:r>
        <w:rPr>
          <w:i/>
          <w:sz w:val="16"/>
        </w:rPr>
        <w:t>com</w:t>
      </w:r>
      <w:r>
        <w:rPr>
          <w:i/>
          <w:spacing w:val="30"/>
          <w:sz w:val="16"/>
        </w:rPr>
        <w:t xml:space="preserve"> </w:t>
      </w:r>
      <w:r>
        <w:rPr>
          <w:i/>
          <w:sz w:val="16"/>
        </w:rPr>
        <w:t>o</w:t>
      </w:r>
      <w:r>
        <w:rPr>
          <w:i/>
          <w:spacing w:val="30"/>
          <w:sz w:val="16"/>
        </w:rPr>
        <w:t xml:space="preserve"> </w:t>
      </w:r>
      <w:r>
        <w:rPr>
          <w:i/>
          <w:sz w:val="16"/>
        </w:rPr>
        <w:t>amianto.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6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93"/>
      </w:pPr>
      <w:r>
        <w:rPr>
          <w:spacing w:val="10"/>
        </w:rPr>
        <w:t xml:space="preserve">pessoas </w:t>
      </w:r>
      <w:r>
        <w:t xml:space="preserve">e </w:t>
      </w:r>
      <w:r>
        <w:rPr>
          <w:spacing w:val="10"/>
        </w:rPr>
        <w:t xml:space="preserve">manteve </w:t>
      </w:r>
      <w:r>
        <w:rPr>
          <w:spacing w:val="7"/>
        </w:rPr>
        <w:t xml:space="preserve">uma </w:t>
      </w:r>
      <w:r>
        <w:rPr>
          <w:spacing w:val="8"/>
        </w:rPr>
        <w:t xml:space="preserve">vila </w:t>
      </w:r>
      <w:r>
        <w:rPr>
          <w:spacing w:val="10"/>
        </w:rPr>
        <w:t xml:space="preserve">operária </w:t>
      </w:r>
      <w:r>
        <w:rPr>
          <w:spacing w:val="5"/>
        </w:rPr>
        <w:t xml:space="preserve">no </w:t>
      </w:r>
      <w:r>
        <w:rPr>
          <w:spacing w:val="10"/>
        </w:rPr>
        <w:t xml:space="preserve">local, </w:t>
      </w:r>
      <w:r>
        <w:rPr>
          <w:spacing w:val="11"/>
        </w:rPr>
        <w:t xml:space="preserve">com </w:t>
      </w:r>
      <w:r>
        <w:rPr>
          <w:spacing w:val="17"/>
        </w:rPr>
        <w:t xml:space="preserve">aproximadamente </w:t>
      </w:r>
      <w:r>
        <w:rPr>
          <w:spacing w:val="10"/>
        </w:rPr>
        <w:t xml:space="preserve">30 </w:t>
      </w:r>
      <w:r>
        <w:rPr>
          <w:spacing w:val="15"/>
        </w:rPr>
        <w:t xml:space="preserve">casas, </w:t>
      </w:r>
      <w:r>
        <w:rPr>
          <w:spacing w:val="17"/>
        </w:rPr>
        <w:t xml:space="preserve">alojamento </w:t>
      </w:r>
      <w:r>
        <w:rPr>
          <w:spacing w:val="15"/>
        </w:rPr>
        <w:t xml:space="preserve">para </w:t>
      </w:r>
      <w:r>
        <w:rPr>
          <w:spacing w:val="10"/>
        </w:rPr>
        <w:t xml:space="preserve">os </w:t>
      </w:r>
      <w:r>
        <w:t>trabalhadores, barracão para venda de mantimentos, quadra poliesportiva, escola, cinema, restaurante, cemitério, igreja, marcenaria, oficina mecânica e um campo de pouso. Apesar da estrutura oferecida, o meio ambiente e a qualidade de vida dos trabalhadore</w:t>
      </w:r>
      <w:r>
        <w:t xml:space="preserve">s e de suas famílias eram afetados pelo pó </w:t>
      </w:r>
      <w:r>
        <w:rPr>
          <w:spacing w:val="2"/>
        </w:rPr>
        <w:t xml:space="preserve">de </w:t>
      </w:r>
      <w:r>
        <w:rPr>
          <w:spacing w:val="5"/>
        </w:rPr>
        <w:t xml:space="preserve">amianto </w:t>
      </w:r>
      <w:r>
        <w:rPr>
          <w:spacing w:val="3"/>
        </w:rPr>
        <w:t xml:space="preserve">que </w:t>
      </w:r>
      <w:r>
        <w:rPr>
          <w:spacing w:val="5"/>
        </w:rPr>
        <w:t xml:space="preserve">dominava </w:t>
      </w:r>
      <w:r>
        <w:t xml:space="preserve">a </w:t>
      </w:r>
      <w:r>
        <w:rPr>
          <w:spacing w:val="5"/>
        </w:rPr>
        <w:t xml:space="preserve">paisagem, tornando todo </w:t>
      </w:r>
      <w:r>
        <w:t xml:space="preserve">o </w:t>
      </w:r>
      <w:r>
        <w:rPr>
          <w:spacing w:val="3"/>
        </w:rPr>
        <w:t xml:space="preserve">ambiente esbranquiçado, </w:t>
      </w:r>
      <w:r>
        <w:t xml:space="preserve">e </w:t>
      </w:r>
      <w:r>
        <w:rPr>
          <w:spacing w:val="3"/>
        </w:rPr>
        <w:t xml:space="preserve">pelas precárias condições </w:t>
      </w:r>
      <w:r>
        <w:rPr>
          <w:spacing w:val="5"/>
        </w:rPr>
        <w:t xml:space="preserve">de </w:t>
      </w:r>
      <w:r>
        <w:rPr>
          <w:spacing w:val="3"/>
        </w:rPr>
        <w:t xml:space="preserve">trabalho. </w:t>
      </w:r>
      <w:r>
        <w:rPr>
          <w:spacing w:val="2"/>
        </w:rPr>
        <w:t xml:space="preserve">Não </w:t>
      </w:r>
      <w:r>
        <w:rPr>
          <w:spacing w:val="3"/>
        </w:rPr>
        <w:t xml:space="preserve">havia cuidados específicos </w:t>
      </w:r>
      <w:r>
        <w:rPr>
          <w:spacing w:val="2"/>
        </w:rPr>
        <w:t xml:space="preserve">para </w:t>
      </w:r>
      <w:r>
        <w:rPr>
          <w:spacing w:val="3"/>
        </w:rPr>
        <w:t xml:space="preserve">garantir </w:t>
      </w:r>
      <w:r>
        <w:t xml:space="preserve">a </w:t>
      </w:r>
      <w:r>
        <w:rPr>
          <w:spacing w:val="3"/>
        </w:rPr>
        <w:t xml:space="preserve">saúde dos </w:t>
      </w:r>
      <w:r>
        <w:rPr>
          <w:spacing w:val="5"/>
        </w:rPr>
        <w:t xml:space="preserve">trabalhadores, </w:t>
      </w:r>
      <w:r>
        <w:t xml:space="preserve">e </w:t>
      </w:r>
      <w:r>
        <w:rPr>
          <w:spacing w:val="2"/>
        </w:rPr>
        <w:t xml:space="preserve">as </w:t>
      </w:r>
      <w:r>
        <w:rPr>
          <w:spacing w:val="5"/>
        </w:rPr>
        <w:t>crianças, adolescen</w:t>
      </w:r>
      <w:r>
        <w:rPr>
          <w:spacing w:val="5"/>
        </w:rPr>
        <w:t xml:space="preserve">tes </w:t>
      </w:r>
      <w:r>
        <w:t>e mulheres</w:t>
      </w:r>
      <w:r>
        <w:rPr>
          <w:spacing w:val="11"/>
        </w:rPr>
        <w:t xml:space="preserve"> </w:t>
      </w:r>
      <w:r>
        <w:t>extraíam</w:t>
      </w:r>
      <w:r>
        <w:rPr>
          <w:spacing w:val="11"/>
        </w:rPr>
        <w:t xml:space="preserve"> </w:t>
      </w:r>
      <w:r>
        <w:t>a</w:t>
      </w:r>
      <w:r>
        <w:rPr>
          <w:spacing w:val="11"/>
        </w:rPr>
        <w:t xml:space="preserve"> </w:t>
      </w:r>
      <w:r>
        <w:t>mão</w:t>
      </w:r>
      <w:r>
        <w:rPr>
          <w:spacing w:val="11"/>
        </w:rPr>
        <w:t xml:space="preserve"> </w:t>
      </w:r>
      <w:r>
        <w:t>o</w:t>
      </w:r>
      <w:r>
        <w:rPr>
          <w:spacing w:val="11"/>
        </w:rPr>
        <w:t xml:space="preserve"> </w:t>
      </w:r>
      <w:r>
        <w:t>amianto</w:t>
      </w:r>
      <w:r>
        <w:rPr>
          <w:spacing w:val="11"/>
        </w:rPr>
        <w:t xml:space="preserve"> </w:t>
      </w:r>
      <w:r>
        <w:t>das</w:t>
      </w:r>
      <w:r>
        <w:rPr>
          <w:spacing w:val="11"/>
        </w:rPr>
        <w:t xml:space="preserve"> </w:t>
      </w:r>
      <w:r>
        <w:t>rochas</w:t>
      </w:r>
      <w:r>
        <w:rPr>
          <w:spacing w:val="11"/>
        </w:rPr>
        <w:t xml:space="preserve"> </w:t>
      </w:r>
      <w:r>
        <w:t>descartadas</w:t>
      </w:r>
    </w:p>
    <w:p w:rsidR="00D81F69" w:rsidRDefault="00D81F69">
      <w:pPr>
        <w:spacing w:line="312" w:lineRule="auto"/>
        <w:sectPr w:rsidR="00D81F69">
          <w:type w:val="continuous"/>
          <w:pgSz w:w="11900" w:h="16840"/>
          <w:pgMar w:top="720" w:right="500" w:bottom="280" w:left="620" w:header="720" w:footer="720" w:gutter="0"/>
          <w:cols w:num="3" w:space="720" w:equalWidth="0">
            <w:col w:w="1755" w:space="245"/>
            <w:col w:w="3117" w:space="318"/>
            <w:col w:w="5345"/>
          </w:cols>
        </w:sectPr>
      </w:pPr>
    </w:p>
    <w:p w:rsidR="00D81F69" w:rsidRDefault="00330118">
      <w:pPr>
        <w:pStyle w:val="Heading4"/>
        <w:spacing w:line="231" w:lineRule="exact"/>
        <w:jc w:val="left"/>
      </w:pPr>
      <w:r>
        <w:lastRenderedPageBreak/>
        <w:t>APRESENTAÇÃO DE CASO</w:t>
      </w:r>
    </w:p>
    <w:p w:rsidR="00D81F69" w:rsidRDefault="00330118">
      <w:pPr>
        <w:pStyle w:val="Corpodetexto"/>
        <w:spacing w:before="170" w:line="312" w:lineRule="auto"/>
        <w:ind w:right="43"/>
      </w:pPr>
      <w:r>
        <w:t xml:space="preserve">São Félix do Amianto foi a primeira mina de </w:t>
      </w:r>
      <w:hyperlink r:id="rId559">
        <w:r>
          <w:t>amiant</w:t>
        </w:r>
        <w:r>
          <w:t xml:space="preserve">o </w:t>
        </w:r>
      </w:hyperlink>
      <w:r>
        <w:t xml:space="preserve">brasileira e permitiu que o país deixasse de ser totalmente dependente da </w:t>
      </w:r>
      <w:r>
        <w:rPr>
          <w:spacing w:val="1"/>
        </w:rPr>
        <w:t xml:space="preserve">importação deste minério. Instalada, </w:t>
      </w:r>
      <w:r>
        <w:t xml:space="preserve">em </w:t>
      </w:r>
      <w:r>
        <w:rPr>
          <w:spacing w:val="1"/>
        </w:rPr>
        <w:t xml:space="preserve">1937, </w:t>
      </w:r>
      <w:r>
        <w:t xml:space="preserve">em </w:t>
      </w:r>
      <w:r>
        <w:rPr>
          <w:spacing w:val="2"/>
        </w:rPr>
        <w:t xml:space="preserve">Bom </w:t>
      </w:r>
      <w:r>
        <w:t xml:space="preserve">Jesus da Serra, distrito do município de Poções, no sudoeste </w:t>
      </w:r>
      <w:r>
        <w:rPr>
          <w:spacing w:val="2"/>
        </w:rPr>
        <w:t xml:space="preserve">da </w:t>
      </w:r>
      <w:r>
        <w:rPr>
          <w:spacing w:val="5"/>
        </w:rPr>
        <w:t xml:space="preserve">Bahia, </w:t>
      </w:r>
      <w:r>
        <w:t xml:space="preserve">a </w:t>
      </w:r>
      <w:r>
        <w:rPr>
          <w:spacing w:val="3"/>
        </w:rPr>
        <w:t xml:space="preserve">mina foi </w:t>
      </w:r>
      <w:r>
        <w:rPr>
          <w:spacing w:val="5"/>
        </w:rPr>
        <w:t xml:space="preserve">explorada </w:t>
      </w:r>
      <w:r>
        <w:rPr>
          <w:spacing w:val="3"/>
        </w:rPr>
        <w:t xml:space="preserve">pela </w:t>
      </w:r>
      <w:r>
        <w:rPr>
          <w:spacing w:val="5"/>
        </w:rPr>
        <w:t xml:space="preserve">Sociedade Anônima </w:t>
      </w:r>
      <w:r>
        <w:t>Mineração de</w:t>
      </w:r>
      <w:r>
        <w:t xml:space="preserve"> Amianto (Sama), a partir de 1939. Mas, apesar </w:t>
      </w:r>
      <w:r>
        <w:rPr>
          <w:spacing w:val="1"/>
        </w:rPr>
        <w:t xml:space="preserve">do </w:t>
      </w:r>
      <w:r>
        <w:rPr>
          <w:spacing w:val="3"/>
        </w:rPr>
        <w:t xml:space="preserve">desenvolvimento </w:t>
      </w:r>
      <w:r>
        <w:rPr>
          <w:spacing w:val="2"/>
        </w:rPr>
        <w:t xml:space="preserve">que </w:t>
      </w:r>
      <w:r>
        <w:rPr>
          <w:spacing w:val="3"/>
        </w:rPr>
        <w:t xml:space="preserve">levou </w:t>
      </w:r>
      <w:r>
        <w:t xml:space="preserve">à </w:t>
      </w:r>
      <w:r>
        <w:rPr>
          <w:spacing w:val="3"/>
        </w:rPr>
        <w:t xml:space="preserve">região, quando </w:t>
      </w:r>
      <w:r>
        <w:rPr>
          <w:spacing w:val="5"/>
        </w:rPr>
        <w:t xml:space="preserve">encerrou </w:t>
      </w:r>
      <w:r>
        <w:t xml:space="preserve">suas atividades, em 1967, após o esgotamento das reservas, a </w:t>
      </w:r>
      <w:r>
        <w:rPr>
          <w:spacing w:val="5"/>
        </w:rPr>
        <w:t xml:space="preserve">Sama deixou </w:t>
      </w:r>
      <w:r>
        <w:rPr>
          <w:spacing w:val="3"/>
        </w:rPr>
        <w:t xml:space="preserve">um </w:t>
      </w:r>
      <w:r>
        <w:rPr>
          <w:spacing w:val="5"/>
        </w:rPr>
        <w:t xml:space="preserve">passivo </w:t>
      </w:r>
      <w:r>
        <w:rPr>
          <w:spacing w:val="6"/>
        </w:rPr>
        <w:t xml:space="preserve">socioambiental </w:t>
      </w:r>
      <w:r>
        <w:rPr>
          <w:spacing w:val="3"/>
        </w:rPr>
        <w:t xml:space="preserve">de </w:t>
      </w:r>
      <w:r>
        <w:rPr>
          <w:spacing w:val="7"/>
        </w:rPr>
        <w:t xml:space="preserve">grandes </w:t>
      </w:r>
      <w:r>
        <w:t xml:space="preserve">proporções (PAIXÃO; QUEIROZ, 2009). Como a extração de amianto aproveita apenas 5% a 10% da rocha, restou no local </w:t>
      </w:r>
      <w:r>
        <w:rPr>
          <w:spacing w:val="3"/>
        </w:rPr>
        <w:t xml:space="preserve">grande quantidade </w:t>
      </w:r>
      <w:r>
        <w:rPr>
          <w:spacing w:val="1"/>
        </w:rPr>
        <w:t xml:space="preserve">de </w:t>
      </w:r>
      <w:r>
        <w:rPr>
          <w:spacing w:val="3"/>
        </w:rPr>
        <w:t xml:space="preserve">rejeitos, </w:t>
      </w:r>
      <w:r>
        <w:rPr>
          <w:spacing w:val="2"/>
        </w:rPr>
        <w:t xml:space="preserve">que </w:t>
      </w:r>
      <w:r>
        <w:rPr>
          <w:spacing w:val="3"/>
        </w:rPr>
        <w:t xml:space="preserve">contaminaram </w:t>
      </w:r>
      <w:r>
        <w:t xml:space="preserve">o </w:t>
      </w:r>
      <w:r>
        <w:rPr>
          <w:spacing w:val="5"/>
        </w:rPr>
        <w:t xml:space="preserve">meio </w:t>
      </w:r>
      <w:r>
        <w:t>ambiente, as águas, os animais e a população local (FOLHA DO MEIO AMBIENTE,</w:t>
      </w:r>
      <w:r>
        <w:rPr>
          <w:spacing w:val="25"/>
        </w:rPr>
        <w:t xml:space="preserve"> </w:t>
      </w:r>
      <w:r>
        <w:t>2008).</w:t>
      </w:r>
    </w:p>
    <w:p w:rsidR="00D81F69" w:rsidRDefault="00330118">
      <w:pPr>
        <w:pStyle w:val="Corpodetexto"/>
        <w:spacing w:before="143" w:line="312" w:lineRule="auto"/>
        <w:ind w:right="38"/>
      </w:pPr>
      <w:r>
        <w:t>A e</w:t>
      </w:r>
      <w:r>
        <w:t>xtração mineral no local deixou também uma grande cava, com 4 km de extensão e 200 m de altura, que, ao longo do tempo, foi preenchida com águas contaminadas do lençol freático e das chuvas, formando um lago que permanece cheio o ano inteiro e é usado pela</w:t>
      </w:r>
      <w:r>
        <w:t xml:space="preserve"> população como área de lazer. Nos tempos de seca, suas águas se destinam também ao abastecimento de caminhões pipa, utilizados por diversos municípios e vilarejos da região (FOLHA DO MEIO AMBIENTE, 2008). Além das águas da cratera, o açude, única vertente</w:t>
      </w:r>
      <w:r>
        <w:t xml:space="preserve"> de água potável da localidade, também está contaminado por resíduos de amianto e de explosivos usados na extração da rocha. Apesar dos riscos à saúde, no local não existe nenhuma sinalização alertando a população (IDEC, 2005).</w:t>
      </w:r>
    </w:p>
    <w:p w:rsidR="00D81F69" w:rsidRDefault="00330118">
      <w:pPr>
        <w:pStyle w:val="Corpodetexto"/>
        <w:spacing w:before="143" w:line="312" w:lineRule="auto"/>
        <w:ind w:right="39"/>
      </w:pPr>
      <w:r>
        <w:t>Até o final dos anos 1990, a</w:t>
      </w:r>
      <w:r>
        <w:t xml:space="preserve"> Sama tinha como acionista o grupo francês Saint Gobain, proprietário da marca Brasilit, empresa que, após o banimento de todos os tipos de amianto na França, em 1997, anunciou que iria substituir o mineral cancerígeno também no Brasil e deixou a participa</w:t>
      </w:r>
      <w:r>
        <w:t>ção acionária. Em 1998, a Sama passou a ser controlada pelo Grupo Eternit, o maior do setor no país (A&amp;R, 2008).</w:t>
      </w:r>
    </w:p>
    <w:p w:rsidR="00D81F69" w:rsidRDefault="00330118">
      <w:pPr>
        <w:pStyle w:val="Corpodetexto"/>
        <w:spacing w:before="136"/>
      </w:pPr>
      <w:r>
        <w:t>Enquanto explorou a mina, a Sama empregou cerca de 540</w:t>
      </w:r>
    </w:p>
    <w:p w:rsidR="00D81F69" w:rsidRDefault="00330118">
      <w:pPr>
        <w:pStyle w:val="Corpodetexto"/>
        <w:spacing w:before="11" w:line="312" w:lineRule="auto"/>
        <w:ind w:right="205"/>
      </w:pPr>
      <w:r>
        <w:br w:type="column"/>
      </w:r>
      <w:r>
        <w:lastRenderedPageBreak/>
        <w:t>pela usina (D´AREDE, 2009). Na ocasião em que a Sama operou no local, o Brasil não disp</w:t>
      </w:r>
      <w:r>
        <w:t>unha de leis que regulassem esse tipo de atividade. Também não existiam leis que obrigassem a empresa a garantir a saúde do trabalhador e da população da região minerada e a recuperar a área degradada (MAPA DA INJUSTIÇA AMBIENTAL E SAÚDE NO BRASIL, 2009).</w:t>
      </w:r>
    </w:p>
    <w:p w:rsidR="00D81F69" w:rsidRDefault="00330118">
      <w:pPr>
        <w:pStyle w:val="Corpodetexto"/>
        <w:spacing w:before="136" w:line="312" w:lineRule="auto"/>
        <w:ind w:right="227"/>
        <w:jc w:val="left"/>
      </w:pPr>
      <w:r>
        <w:t xml:space="preserve">Como extensão da vila operária, foi criada a vila Bonfim do </w:t>
      </w:r>
      <w:r>
        <w:rPr>
          <w:spacing w:val="5"/>
        </w:rPr>
        <w:t xml:space="preserve">Amianto, onde </w:t>
      </w:r>
      <w:r>
        <w:t xml:space="preserve">a </w:t>
      </w:r>
      <w:r>
        <w:rPr>
          <w:spacing w:val="5"/>
        </w:rPr>
        <w:t xml:space="preserve">maior parte </w:t>
      </w:r>
      <w:r>
        <w:rPr>
          <w:spacing w:val="3"/>
        </w:rPr>
        <w:t xml:space="preserve">dos </w:t>
      </w:r>
      <w:r>
        <w:rPr>
          <w:spacing w:val="5"/>
        </w:rPr>
        <w:t xml:space="preserve">moradores </w:t>
      </w:r>
      <w:r>
        <w:rPr>
          <w:spacing w:val="3"/>
        </w:rPr>
        <w:t xml:space="preserve">era </w:t>
      </w:r>
      <w:r>
        <w:rPr>
          <w:spacing w:val="2"/>
        </w:rPr>
        <w:t xml:space="preserve">de </w:t>
      </w:r>
      <w:r>
        <w:rPr>
          <w:spacing w:val="6"/>
        </w:rPr>
        <w:t xml:space="preserve">ex- </w:t>
      </w:r>
      <w:r>
        <w:t xml:space="preserve">trabalhadores da mina, filhos e viúvas. Outros trabalhadores ocuparam a Vila de Bom Jesus da Serra, que, em 1989, </w:t>
      </w:r>
      <w:r>
        <w:rPr>
          <w:spacing w:val="1"/>
        </w:rPr>
        <w:t xml:space="preserve">foi </w:t>
      </w:r>
      <w:r>
        <w:t>desmembrada de Poções e t</w:t>
      </w:r>
      <w:r>
        <w:t xml:space="preserve">ornou-se município (D´AREDE, 2009), hoje com 421,517 km² (IBGE, 2010a). Nas décadas de </w:t>
      </w:r>
      <w:r>
        <w:rPr>
          <w:spacing w:val="7"/>
        </w:rPr>
        <w:t xml:space="preserve">1970 </w:t>
      </w:r>
      <w:r>
        <w:t xml:space="preserve">e </w:t>
      </w:r>
      <w:r>
        <w:rPr>
          <w:spacing w:val="7"/>
        </w:rPr>
        <w:t xml:space="preserve">1980, </w:t>
      </w:r>
      <w:r>
        <w:t xml:space="preserve">o </w:t>
      </w:r>
      <w:r>
        <w:rPr>
          <w:spacing w:val="8"/>
        </w:rPr>
        <w:t xml:space="preserve">amianto </w:t>
      </w:r>
      <w:r>
        <w:t xml:space="preserve">e o </w:t>
      </w:r>
      <w:r>
        <w:rPr>
          <w:spacing w:val="5"/>
        </w:rPr>
        <w:t xml:space="preserve">pó </w:t>
      </w:r>
      <w:r>
        <w:rPr>
          <w:spacing w:val="6"/>
        </w:rPr>
        <w:t xml:space="preserve">que </w:t>
      </w:r>
      <w:r>
        <w:rPr>
          <w:spacing w:val="8"/>
        </w:rPr>
        <w:t xml:space="preserve">restaram </w:t>
      </w:r>
      <w:r>
        <w:rPr>
          <w:spacing w:val="10"/>
        </w:rPr>
        <w:t xml:space="preserve">foram </w:t>
      </w:r>
      <w:r>
        <w:t>comercializados por duas empresas: Arizona e Nardelli, que deixaram a usina em ruínas e modificaram a paisagem local.  A</w:t>
      </w:r>
      <w:r>
        <w:t xml:space="preserve"> vila operária e a usina foram saqueadas, sobrando apenas algumas casas, a escola, o cinema, o campo de futebol e a igreja (D´AREDE,</w:t>
      </w:r>
      <w:r>
        <w:rPr>
          <w:spacing w:val="26"/>
        </w:rPr>
        <w:t xml:space="preserve"> </w:t>
      </w:r>
      <w:r>
        <w:rPr>
          <w:spacing w:val="1"/>
        </w:rPr>
        <w:t>2009).</w:t>
      </w:r>
    </w:p>
    <w:p w:rsidR="00D81F69" w:rsidRDefault="00330118">
      <w:pPr>
        <w:pStyle w:val="Corpodetexto"/>
        <w:spacing w:before="141" w:line="312" w:lineRule="auto"/>
        <w:ind w:right="208"/>
      </w:pPr>
      <w:r>
        <w:t>Quando a mina de São Félix do Amianto foi desativada, a Sama seguiu para Goiás, onde identificara a jazida de Canabr</w:t>
      </w:r>
      <w:r>
        <w:t>ava, no município de Minaçu (SANTOS, 2008).</w:t>
      </w:r>
    </w:p>
    <w:p w:rsidR="00D81F69" w:rsidRDefault="00330118">
      <w:pPr>
        <w:pStyle w:val="Corpodetexto"/>
        <w:spacing w:before="133" w:line="312" w:lineRule="auto"/>
        <w:ind w:right="195"/>
      </w:pPr>
      <w:r>
        <w:t xml:space="preserve">Alguns trabalhadores foram para a nova mina, e aqueles que permaneceram no local foram demitidos pela empresa. Como a região não possuía nenhuma outra forma de geração de trabalho e renda, a não ser a exploração </w:t>
      </w:r>
      <w:r>
        <w:t>da mina, a população local teve de buscar trabalho em outras localidades, especialmente em São Paulo. Os que ficaram passaram a se dedicar a atividades rurais (D´AREDE, 2009).</w:t>
      </w:r>
    </w:p>
    <w:p w:rsidR="00D81F69" w:rsidRDefault="00330118">
      <w:pPr>
        <w:pStyle w:val="Corpodetexto"/>
        <w:spacing w:before="73" w:line="270" w:lineRule="atLeast"/>
        <w:ind w:right="195"/>
      </w:pPr>
      <w:r>
        <w:t xml:space="preserve">Ainda hoje, mais de 40 anos depois do fechamento da mina, pedras com a fibra do </w:t>
      </w:r>
      <w:r>
        <w:t>amianto são vendidas à população que as utilizam na construção de casas, muros e calçadas. O mineral é usado também para pavimentação de ruas e praças e está presente até no muro das escolas. Isso significa que toda população do município (FOLHA DO MEIO AM</w:t>
      </w:r>
      <w:r>
        <w:t>BIENTE, 2008), estimada em 10.113 habitantes (IBGE, 2010a), está sujeita  à   contaminação  pela  fibra,  sem  que esteja</w:t>
      </w:r>
    </w:p>
    <w:p w:rsidR="00D81F69" w:rsidRDefault="00D81F69">
      <w:pPr>
        <w:spacing w:line="270" w:lineRule="atLeast"/>
        <w:sectPr w:rsidR="00D81F69">
          <w:type w:val="continuous"/>
          <w:pgSz w:w="11900" w:h="16840"/>
          <w:pgMar w:top="720" w:right="500" w:bottom="280" w:left="620" w:header="720" w:footer="720" w:gutter="0"/>
          <w:cols w:num="2" w:space="720" w:equalWidth="0">
            <w:col w:w="5158" w:space="312"/>
            <w:col w:w="5310"/>
          </w:cols>
        </w:sectPr>
      </w:pPr>
    </w:p>
    <w:p w:rsidR="00D81F69" w:rsidRDefault="00330118">
      <w:pPr>
        <w:pStyle w:val="Corpodetexto"/>
        <w:spacing w:before="81" w:line="312" w:lineRule="auto"/>
        <w:ind w:right="77"/>
      </w:pPr>
      <w:r>
        <w:lastRenderedPageBreak/>
        <w:t>devidamente informada disso (FOLHA DO MEIO AMBIENTE, 2008).</w:t>
      </w:r>
    </w:p>
    <w:p w:rsidR="00D81F69" w:rsidRDefault="00330118">
      <w:pPr>
        <w:pStyle w:val="Corpodetexto"/>
        <w:spacing w:before="132" w:line="312" w:lineRule="auto"/>
        <w:ind w:right="70"/>
      </w:pPr>
      <w:r>
        <w:t>Os trabalhadores em contato com amianto, também</w:t>
      </w:r>
      <w:r>
        <w:t xml:space="preserve"> conhecido como asbesto [nome de origem grega que significa imortal e indestrutível] (SANTOS, 2008), correm risco de desenvolver diversos tipos de câncer, como de pulmão, pleura [membrana que envolve os pulmões], peritônio, laringe, rim e trato gastrointes</w:t>
      </w:r>
      <w:r>
        <w:t>tinal, além da asbestose, uma lesão do tecido pulmonar causada pelo acúmulo de fibras no sistema respiratório, que não são expelidas naturalmente pelo organismo em função de seu tamanho, e fazem o pulmão empedrar (PAIXÃO; QUEIROZ, 2009; SANTOS, 2008). O</w:t>
      </w:r>
    </w:p>
    <w:p w:rsidR="00D81F69" w:rsidRDefault="00330118">
      <w:pPr>
        <w:pStyle w:val="Corpodetexto"/>
        <w:spacing w:before="9" w:line="312" w:lineRule="auto"/>
        <w:ind w:right="72"/>
      </w:pPr>
      <w:r>
        <w:rPr>
          <w:spacing w:val="5"/>
        </w:rPr>
        <w:t>tr</w:t>
      </w:r>
      <w:r>
        <w:rPr>
          <w:spacing w:val="5"/>
        </w:rPr>
        <w:t xml:space="preserve">atamento </w:t>
      </w:r>
      <w:r>
        <w:rPr>
          <w:spacing w:val="2"/>
        </w:rPr>
        <w:t xml:space="preserve">se </w:t>
      </w:r>
      <w:r>
        <w:rPr>
          <w:spacing w:val="5"/>
        </w:rPr>
        <w:t xml:space="preserve">resume </w:t>
      </w:r>
      <w:r>
        <w:rPr>
          <w:spacing w:val="2"/>
        </w:rPr>
        <w:t xml:space="preserve">em </w:t>
      </w:r>
      <w:r>
        <w:rPr>
          <w:spacing w:val="5"/>
        </w:rPr>
        <w:t xml:space="preserve">aliviar sintomas </w:t>
      </w:r>
      <w:r>
        <w:rPr>
          <w:spacing w:val="2"/>
        </w:rPr>
        <w:t xml:space="preserve">de </w:t>
      </w:r>
      <w:r>
        <w:rPr>
          <w:spacing w:val="3"/>
        </w:rPr>
        <w:t xml:space="preserve">falta </w:t>
      </w:r>
      <w:r>
        <w:rPr>
          <w:spacing w:val="2"/>
        </w:rPr>
        <w:t xml:space="preserve">de </w:t>
      </w:r>
      <w:r>
        <w:rPr>
          <w:spacing w:val="5"/>
        </w:rPr>
        <w:t>ar</w:t>
      </w:r>
      <w:r>
        <w:rPr>
          <w:spacing w:val="61"/>
        </w:rPr>
        <w:t xml:space="preserve"> </w:t>
      </w:r>
      <w:r>
        <w:t xml:space="preserve">(dispnéia progressiva), que vão se acentuando com o tempo, mesmo que os trabalhadores sejam afastados da exposição </w:t>
      </w:r>
      <w:r>
        <w:rPr>
          <w:spacing w:val="1"/>
        </w:rPr>
        <w:t xml:space="preserve">ao pó </w:t>
      </w:r>
      <w:r>
        <w:rPr>
          <w:spacing w:val="3"/>
        </w:rPr>
        <w:t xml:space="preserve">(MEIO AMBIENTE </w:t>
      </w:r>
      <w:r>
        <w:t xml:space="preserve">E </w:t>
      </w:r>
      <w:r>
        <w:rPr>
          <w:spacing w:val="3"/>
        </w:rPr>
        <w:t xml:space="preserve">ANIMAIS, 2009). Todas </w:t>
      </w:r>
      <w:r>
        <w:rPr>
          <w:spacing w:val="5"/>
        </w:rPr>
        <w:t xml:space="preserve">essas </w:t>
      </w:r>
      <w:r>
        <w:t>doenças têm um período de latência q</w:t>
      </w:r>
      <w:r>
        <w:t xml:space="preserve">ue varia em torno de 30 anos (PAIXÃO; QUEIROZ, 2009) e, por isso, começaram a se </w:t>
      </w:r>
      <w:r>
        <w:rPr>
          <w:spacing w:val="3"/>
        </w:rPr>
        <w:t xml:space="preserve">manifestar </w:t>
      </w:r>
      <w:r>
        <w:rPr>
          <w:spacing w:val="2"/>
        </w:rPr>
        <w:t xml:space="preserve">com mais </w:t>
      </w:r>
      <w:r>
        <w:rPr>
          <w:spacing w:val="3"/>
        </w:rPr>
        <w:t xml:space="preserve">intensidade </w:t>
      </w:r>
      <w:r>
        <w:t xml:space="preserve">a </w:t>
      </w:r>
      <w:r>
        <w:rPr>
          <w:spacing w:val="3"/>
        </w:rPr>
        <w:t xml:space="preserve">partir </w:t>
      </w:r>
      <w:r>
        <w:rPr>
          <w:spacing w:val="2"/>
        </w:rPr>
        <w:t xml:space="preserve">dos anos </w:t>
      </w:r>
      <w:r>
        <w:rPr>
          <w:spacing w:val="5"/>
        </w:rPr>
        <w:t xml:space="preserve">1980, </w:t>
      </w:r>
      <w:r>
        <w:rPr>
          <w:spacing w:val="1"/>
        </w:rPr>
        <w:t xml:space="preserve">quando </w:t>
      </w:r>
      <w:r>
        <w:t xml:space="preserve">a </w:t>
      </w:r>
      <w:r>
        <w:rPr>
          <w:spacing w:val="1"/>
        </w:rPr>
        <w:t xml:space="preserve">maioria </w:t>
      </w:r>
      <w:r>
        <w:t xml:space="preserve">dos </w:t>
      </w:r>
      <w:r>
        <w:rPr>
          <w:spacing w:val="1"/>
        </w:rPr>
        <w:t xml:space="preserve">trabalhadores </w:t>
      </w:r>
      <w:r>
        <w:t xml:space="preserve">já </w:t>
      </w:r>
      <w:r>
        <w:rPr>
          <w:spacing w:val="1"/>
        </w:rPr>
        <w:t xml:space="preserve">estava </w:t>
      </w:r>
      <w:r>
        <w:rPr>
          <w:spacing w:val="2"/>
        </w:rPr>
        <w:t xml:space="preserve">aposentada </w:t>
      </w:r>
      <w:r>
        <w:rPr>
          <w:spacing w:val="1"/>
        </w:rPr>
        <w:t>(D´AREDE,</w:t>
      </w:r>
      <w:r>
        <w:rPr>
          <w:spacing w:val="20"/>
        </w:rPr>
        <w:t xml:space="preserve"> </w:t>
      </w:r>
      <w:r>
        <w:rPr>
          <w:spacing w:val="2"/>
        </w:rPr>
        <w:t>2009).</w:t>
      </w:r>
    </w:p>
    <w:p w:rsidR="00D81F69" w:rsidRDefault="00330118">
      <w:pPr>
        <w:pStyle w:val="Corpodetexto"/>
        <w:spacing w:before="138" w:line="312" w:lineRule="auto"/>
        <w:ind w:right="58"/>
      </w:pPr>
      <w:r>
        <w:t xml:space="preserve">Em 1998, a Universidade Estadual de Campinas (Unicamp), a Universidade de São Paulo (USP) e a Universidade Federal  de São Paulo (Unifesp) iniciaram o “Estudo de morbidade e </w:t>
      </w:r>
      <w:r>
        <w:rPr>
          <w:spacing w:val="1"/>
        </w:rPr>
        <w:t xml:space="preserve">mortalidade entre trabalhadores </w:t>
      </w:r>
      <w:r>
        <w:t xml:space="preserve">e </w:t>
      </w:r>
      <w:r>
        <w:rPr>
          <w:spacing w:val="1"/>
        </w:rPr>
        <w:t xml:space="preserve">expostos </w:t>
      </w:r>
      <w:r>
        <w:t xml:space="preserve">ao </w:t>
      </w:r>
      <w:r>
        <w:rPr>
          <w:spacing w:val="1"/>
        </w:rPr>
        <w:t xml:space="preserve">asbesto </w:t>
      </w:r>
      <w:r>
        <w:rPr>
          <w:spacing w:val="2"/>
        </w:rPr>
        <w:t xml:space="preserve">na </w:t>
      </w:r>
      <w:r>
        <w:t>atividade de mineração 19</w:t>
      </w:r>
      <w:r>
        <w:t xml:space="preserve">40-1996”. Nesta ocasião, a Sama </w:t>
      </w:r>
      <w:r>
        <w:rPr>
          <w:spacing w:val="13"/>
        </w:rPr>
        <w:t xml:space="preserve">abriu </w:t>
      </w:r>
      <w:r>
        <w:rPr>
          <w:spacing w:val="8"/>
        </w:rPr>
        <w:t xml:space="preserve">um </w:t>
      </w:r>
      <w:r>
        <w:rPr>
          <w:spacing w:val="15"/>
        </w:rPr>
        <w:t xml:space="preserve">escritório </w:t>
      </w:r>
      <w:r>
        <w:rPr>
          <w:spacing w:val="8"/>
        </w:rPr>
        <w:t xml:space="preserve">em </w:t>
      </w:r>
      <w:r>
        <w:rPr>
          <w:spacing w:val="15"/>
        </w:rPr>
        <w:t xml:space="preserve">Poções </w:t>
      </w:r>
      <w:r>
        <w:rPr>
          <w:spacing w:val="12"/>
        </w:rPr>
        <w:t xml:space="preserve">para </w:t>
      </w:r>
      <w:r>
        <w:rPr>
          <w:spacing w:val="15"/>
        </w:rPr>
        <w:t xml:space="preserve">localização, </w:t>
      </w:r>
      <w:r>
        <w:rPr>
          <w:spacing w:val="5"/>
        </w:rPr>
        <w:t xml:space="preserve">cadastramento </w:t>
      </w:r>
      <w:r>
        <w:t xml:space="preserve">e </w:t>
      </w:r>
      <w:r>
        <w:rPr>
          <w:spacing w:val="5"/>
        </w:rPr>
        <w:t xml:space="preserve">realização </w:t>
      </w:r>
      <w:r>
        <w:rPr>
          <w:spacing w:val="2"/>
        </w:rPr>
        <w:t xml:space="preserve">de </w:t>
      </w:r>
      <w:r>
        <w:rPr>
          <w:spacing w:val="5"/>
        </w:rPr>
        <w:t xml:space="preserve">exames </w:t>
      </w:r>
      <w:r>
        <w:rPr>
          <w:spacing w:val="2"/>
        </w:rPr>
        <w:t xml:space="preserve">de </w:t>
      </w:r>
      <w:r>
        <w:rPr>
          <w:spacing w:val="5"/>
        </w:rPr>
        <w:t xml:space="preserve">avaliação de </w:t>
      </w:r>
      <w:r>
        <w:t>saúde de ex-trabalhadores, que hoje têm em média 75 anos. Segundo os ex-trabalhadores, os exames feitos pela empresa não sã</w:t>
      </w:r>
      <w:r>
        <w:t xml:space="preserve">o confiáveis porque os médicos, em geral, afirmam que </w:t>
      </w:r>
      <w:r>
        <w:rPr>
          <w:spacing w:val="3"/>
        </w:rPr>
        <w:t xml:space="preserve">eles não têm </w:t>
      </w:r>
      <w:r>
        <w:rPr>
          <w:spacing w:val="5"/>
        </w:rPr>
        <w:t xml:space="preserve">nenhum problema </w:t>
      </w:r>
      <w:r>
        <w:rPr>
          <w:spacing w:val="2"/>
        </w:rPr>
        <w:t xml:space="preserve">de </w:t>
      </w:r>
      <w:r>
        <w:rPr>
          <w:spacing w:val="3"/>
        </w:rPr>
        <w:t xml:space="preserve">saúde </w:t>
      </w:r>
      <w:r>
        <w:rPr>
          <w:spacing w:val="5"/>
        </w:rPr>
        <w:t xml:space="preserve">decorrente da </w:t>
      </w:r>
      <w:r>
        <w:t xml:space="preserve">exposição ao amianto e pelo fato de os laudos médicos serem </w:t>
      </w:r>
      <w:r>
        <w:rPr>
          <w:spacing w:val="3"/>
        </w:rPr>
        <w:t xml:space="preserve">imprecisos, </w:t>
      </w:r>
      <w:r>
        <w:t xml:space="preserve">e </w:t>
      </w:r>
      <w:r>
        <w:rPr>
          <w:spacing w:val="1"/>
        </w:rPr>
        <w:t xml:space="preserve">os </w:t>
      </w:r>
      <w:r>
        <w:rPr>
          <w:spacing w:val="3"/>
        </w:rPr>
        <w:t xml:space="preserve">exames feitos </w:t>
      </w:r>
      <w:r>
        <w:rPr>
          <w:spacing w:val="2"/>
        </w:rPr>
        <w:t xml:space="preserve">não </w:t>
      </w:r>
      <w:r>
        <w:rPr>
          <w:spacing w:val="3"/>
        </w:rPr>
        <w:t xml:space="preserve">serem devolvidos </w:t>
      </w:r>
      <w:r>
        <w:rPr>
          <w:spacing w:val="5"/>
        </w:rPr>
        <w:t xml:space="preserve">aos </w:t>
      </w:r>
      <w:r>
        <w:t>pacientes. Para os casos confirmad</w:t>
      </w:r>
      <w:r>
        <w:t xml:space="preserve">os de adoecimento pelo </w:t>
      </w:r>
      <w:r>
        <w:rPr>
          <w:spacing w:val="8"/>
        </w:rPr>
        <w:t xml:space="preserve">contato </w:t>
      </w:r>
      <w:r>
        <w:rPr>
          <w:spacing w:val="6"/>
        </w:rPr>
        <w:t xml:space="preserve">com </w:t>
      </w:r>
      <w:r>
        <w:t xml:space="preserve">o </w:t>
      </w:r>
      <w:r>
        <w:rPr>
          <w:spacing w:val="8"/>
        </w:rPr>
        <w:t xml:space="preserve">amianto, </w:t>
      </w:r>
      <w:r>
        <w:t xml:space="preserve">a </w:t>
      </w:r>
      <w:r>
        <w:rPr>
          <w:spacing w:val="8"/>
        </w:rPr>
        <w:t xml:space="preserve">empresa </w:t>
      </w:r>
      <w:r>
        <w:rPr>
          <w:spacing w:val="10"/>
        </w:rPr>
        <w:t xml:space="preserve">estabeleceu uma indenização arbitrária, </w:t>
      </w:r>
      <w:r>
        <w:rPr>
          <w:spacing w:val="8"/>
        </w:rPr>
        <w:t xml:space="preserve">concedendo </w:t>
      </w:r>
      <w:r>
        <w:rPr>
          <w:spacing w:val="5"/>
        </w:rPr>
        <w:t xml:space="preserve">R$ </w:t>
      </w:r>
      <w:r>
        <w:t xml:space="preserve">7 </w:t>
      </w:r>
      <w:r>
        <w:rPr>
          <w:spacing w:val="6"/>
        </w:rPr>
        <w:t xml:space="preserve">mil aos </w:t>
      </w:r>
      <w:r>
        <w:rPr>
          <w:spacing w:val="10"/>
        </w:rPr>
        <w:t xml:space="preserve">ex- </w:t>
      </w:r>
      <w:r>
        <w:rPr>
          <w:spacing w:val="3"/>
        </w:rPr>
        <w:t xml:space="preserve">trabalhadores </w:t>
      </w:r>
      <w:r>
        <w:rPr>
          <w:spacing w:val="2"/>
        </w:rPr>
        <w:t xml:space="preserve">com </w:t>
      </w:r>
      <w:r>
        <w:rPr>
          <w:spacing w:val="3"/>
        </w:rPr>
        <w:t xml:space="preserve">placa pleural; </w:t>
      </w:r>
      <w:r>
        <w:rPr>
          <w:spacing w:val="1"/>
        </w:rPr>
        <w:t xml:space="preserve">R$ 12 </w:t>
      </w:r>
      <w:r>
        <w:rPr>
          <w:spacing w:val="2"/>
        </w:rPr>
        <w:t xml:space="preserve">mil, aos que </w:t>
      </w:r>
      <w:r>
        <w:rPr>
          <w:spacing w:val="5"/>
        </w:rPr>
        <w:t xml:space="preserve">têm asbestose; </w:t>
      </w:r>
      <w:r>
        <w:t xml:space="preserve">e </w:t>
      </w:r>
      <w:r>
        <w:rPr>
          <w:spacing w:val="2"/>
        </w:rPr>
        <w:t xml:space="preserve">R$ 20 </w:t>
      </w:r>
      <w:r>
        <w:rPr>
          <w:spacing w:val="3"/>
        </w:rPr>
        <w:t xml:space="preserve">mil </w:t>
      </w:r>
      <w:r>
        <w:rPr>
          <w:spacing w:val="2"/>
        </w:rPr>
        <w:t xml:space="preserve">ao </w:t>
      </w:r>
      <w:r>
        <w:rPr>
          <w:spacing w:val="3"/>
        </w:rPr>
        <w:t xml:space="preserve">que são </w:t>
      </w:r>
      <w:r>
        <w:rPr>
          <w:spacing w:val="5"/>
        </w:rPr>
        <w:t xml:space="preserve">diagnosticados com </w:t>
      </w:r>
      <w:r>
        <w:t>mesotelioma [um tumor m</w:t>
      </w:r>
      <w:r>
        <w:t>aligno] de pleura (D´AREDE,</w:t>
      </w:r>
      <w:r>
        <w:rPr>
          <w:spacing w:val="26"/>
        </w:rPr>
        <w:t xml:space="preserve"> </w:t>
      </w:r>
      <w:r>
        <w:t>2009).</w:t>
      </w:r>
    </w:p>
    <w:p w:rsidR="00D81F69" w:rsidRDefault="00330118">
      <w:pPr>
        <w:pStyle w:val="Corpodetexto"/>
        <w:spacing w:before="148" w:line="312" w:lineRule="auto"/>
        <w:ind w:right="38"/>
      </w:pPr>
      <w:r>
        <w:t>O médico e professor adjunto do Departamento de Medicina Preventiva da Faculdade de Medicina da Universidade Federal da Bahia, Paulo Pena, alega existir uma epidemia invisível de câncer no estado. Ele explica que, por fal</w:t>
      </w:r>
      <w:r>
        <w:t>ta de dados estatísticos sobre a saúde dos moradores e ex- trabalhadores, que se dispersaram pelo estado, e devido ao longo período de latência das doenças, não é possível fazer um diagnóstico completo da extensão e da gravidade da epidemia. Os atingidos e</w:t>
      </w:r>
      <w:r>
        <w:t>stão não apenas em Bom Jesus da Serra, como no município baiano de Simões Filho (COALIZÃO RIOS VIVOS, 2004). Com 201,222 km² e 586,65</w:t>
      </w:r>
    </w:p>
    <w:p w:rsidR="00D81F69" w:rsidRDefault="00330118">
      <w:pPr>
        <w:pStyle w:val="Corpodetexto"/>
        <w:spacing w:before="10" w:line="312" w:lineRule="auto"/>
        <w:ind w:right="91"/>
      </w:pPr>
      <w:r>
        <w:t>habitantes (IBGE, 2010b), Simões Filho localiza-se na zona metropolitana de Salvador, onde o Grupo Eternit manteve uma fáb</w:t>
      </w:r>
      <w:r>
        <w:t>rica de artigos derivados do amianto com 2.500 trabalhadores (COALIZÃO RIOS VIVOS, 2004).</w:t>
      </w:r>
    </w:p>
    <w:p w:rsidR="00D81F69" w:rsidRDefault="00330118">
      <w:pPr>
        <w:pStyle w:val="Corpodetexto"/>
        <w:spacing w:before="5"/>
        <w:ind w:left="0"/>
        <w:jc w:val="left"/>
        <w:rPr>
          <w:sz w:val="24"/>
        </w:rPr>
      </w:pPr>
      <w:r>
        <w:br w:type="column"/>
      </w:r>
    </w:p>
    <w:p w:rsidR="00D81F69" w:rsidRDefault="00330118">
      <w:pPr>
        <w:pStyle w:val="Corpodetexto"/>
        <w:spacing w:line="312" w:lineRule="auto"/>
        <w:ind w:right="193"/>
      </w:pPr>
      <w:r>
        <w:t>Técnicos do Centro de Estudos da Saúde do Trabalhador (Cesat) e do Centro de Recursos Ambientais (CRA) da Bahia afirmam ser possível a existência de ex-trabalhadore</w:t>
      </w:r>
      <w:r>
        <w:t>s e familiares que apresentem patologias relacionadas à exposição ao amianto, ainda não identificados. O Ministério Público de Simões Filho e a Associação Baiana de Expostos ao Amianto (Abea) fizeram um levantamento dos casos de doença entre os ex-trabalha</w:t>
      </w:r>
      <w:r>
        <w:t>dores da Eternit e, segundo a promotora de Justiça de Meio Ambiente, Hortência Gomes, dos primeiros 200 examinados, 20 tiveram diagnóstico confirmado para doenças como asbestose e calcificações pleurais (COALIZÃO RIOS VIVOS, 2004).</w:t>
      </w:r>
    </w:p>
    <w:p w:rsidR="00D81F69" w:rsidRDefault="00330118">
      <w:pPr>
        <w:pStyle w:val="Corpodetexto"/>
        <w:spacing w:before="141" w:line="312" w:lineRule="auto"/>
        <w:ind w:right="214"/>
      </w:pPr>
      <w:r>
        <w:t xml:space="preserve">As ameaças à saúde decorrente da exposição ambiental ao amianto se tornam ainda mais graves em Bom Jesus da Serra pelo fato de a maioria dos moradores não perceber que estão em contato com o amianto em todos os lugares do município e não terem consciência </w:t>
      </w:r>
      <w:r>
        <w:t>do risco que isso representa. Para a grande maioria, o risco fica restrito às pessoas que residem próximo à mina (MONIZ,</w:t>
      </w:r>
      <w:r>
        <w:t xml:space="preserve"> </w:t>
      </w:r>
      <w:r>
        <w:t>2010).</w:t>
      </w:r>
    </w:p>
    <w:p w:rsidR="00D81F69" w:rsidRDefault="00330118">
      <w:pPr>
        <w:pStyle w:val="Corpodetexto"/>
        <w:spacing w:before="136" w:line="312" w:lineRule="auto"/>
        <w:ind w:right="185"/>
      </w:pPr>
      <w:r>
        <w:t>Tendo em vista as dimensões do impacto socioambiental causado pela mineração na localidade, que deixou solo, vegetação e água contaminados, a Abea do município de Poções e do vizinho Bom Jesus da Serra reivindica que a Eternit recupere a área (SANTOS, 2008</w:t>
      </w:r>
      <w:r>
        <w:t>). Há um pleito também para que o local seja cercado e sinalizado para impedir o contato de pessoas e animais com os rejeitos de amianto, e para que as famílias sejam removidas, já que a água disponível é inadequada ao consumo (PAIXÃO; QUEIROZ, 2009).</w:t>
      </w:r>
    </w:p>
    <w:p w:rsidR="00D81F69" w:rsidRDefault="00330118">
      <w:pPr>
        <w:pStyle w:val="Corpodetexto"/>
        <w:spacing w:before="140" w:line="312" w:lineRule="auto"/>
        <w:ind w:right="205"/>
      </w:pPr>
      <w:r>
        <w:t>Após</w:t>
      </w:r>
      <w:r>
        <w:t xml:space="preserve"> oito anos de negociações, a Sama se negou a formalizar um Termo de Ajuste de Conduta (TAC), assumindo seu passivo socioambiental. Em função da recusa, Ministérios Públicos Federal (MPF-BA) e Estadual (MPE) decidiram mover uma ação civil pública contra a e</w:t>
      </w:r>
      <w:r>
        <w:t>mpresa, reivindicando uma indenização de R$ 20 milhões à população local e a realização de um estudo de impacto e um plano de recuperação ambiental da área em que a mina funcionou (MPF, 2009)</w:t>
      </w:r>
    </w:p>
    <w:p w:rsidR="00D81F69" w:rsidRDefault="00D81F69">
      <w:pPr>
        <w:pStyle w:val="Corpodetexto"/>
        <w:spacing w:before="8"/>
        <w:ind w:left="0"/>
        <w:jc w:val="left"/>
        <w:rPr>
          <w:sz w:val="21"/>
        </w:rPr>
      </w:pPr>
    </w:p>
    <w:p w:rsidR="00D81F69" w:rsidRDefault="00330118">
      <w:pPr>
        <w:pStyle w:val="Heading7"/>
      </w:pPr>
      <w:r>
        <w:t>LOCALIZAÇÃO GEOGRÁFICA</w:t>
      </w:r>
    </w:p>
    <w:p w:rsidR="00D81F69" w:rsidRDefault="00330118">
      <w:pPr>
        <w:pStyle w:val="Corpodetexto"/>
        <w:spacing w:before="178" w:line="312" w:lineRule="auto"/>
        <w:ind w:right="211"/>
      </w:pPr>
      <w:r>
        <w:t>O município de Bom Jesus da Serra possui</w:t>
      </w:r>
      <w:r>
        <w:t xml:space="preserve"> uma mina de amianto, denominada Mina de São Félix/Vila Amianto. Está localizada próximo ao ribeirão de Bom Jesus na bacia do rio de Contas que deságua no mar. A mina é encontrada na latitude 14°25’40”S e longitude 40°23’45”W.</w:t>
      </w:r>
    </w:p>
    <w:p w:rsidR="00D81F69" w:rsidRDefault="00D81F69">
      <w:pPr>
        <w:pStyle w:val="Corpodetexto"/>
        <w:spacing w:before="3"/>
        <w:ind w:left="0"/>
        <w:jc w:val="left"/>
        <w:rPr>
          <w:sz w:val="29"/>
        </w:rPr>
      </w:pPr>
    </w:p>
    <w:p w:rsidR="00D81F69" w:rsidRDefault="00330118">
      <w:pPr>
        <w:pStyle w:val="Heading7"/>
      </w:pPr>
      <w:r>
        <w:t>REDATORES</w:t>
      </w:r>
    </w:p>
    <w:p w:rsidR="00D81F69" w:rsidRDefault="00330118">
      <w:pPr>
        <w:pStyle w:val="Corpodetexto"/>
        <w:spacing w:before="179"/>
      </w:pPr>
      <w:r>
        <w:t>Renata Olivieri; E</w:t>
      </w:r>
      <w:r>
        <w:t>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7" w:line="312" w:lineRule="auto"/>
        <w:ind w:left="100" w:right="169"/>
        <w:jc w:val="both"/>
        <w:rPr>
          <w:sz w:val="16"/>
        </w:rPr>
      </w:pPr>
      <w:r>
        <w:rPr>
          <w:sz w:val="16"/>
        </w:rPr>
        <w:t xml:space="preserve">A&amp;R - Alino &amp; Roberto e Advogados. Apertem o cinto, denúncia sobre </w:t>
      </w:r>
      <w:r>
        <w:rPr>
          <w:spacing w:val="20"/>
          <w:sz w:val="16"/>
        </w:rPr>
        <w:t xml:space="preserve">amianto </w:t>
      </w:r>
      <w:r>
        <w:rPr>
          <w:spacing w:val="85"/>
          <w:sz w:val="16"/>
        </w:rPr>
        <w:t xml:space="preserve"> </w:t>
      </w:r>
      <w:r>
        <w:rPr>
          <w:spacing w:val="21"/>
          <w:sz w:val="16"/>
        </w:rPr>
        <w:t xml:space="preserve">evaporou.   </w:t>
      </w:r>
      <w:r>
        <w:rPr>
          <w:spacing w:val="11"/>
          <w:sz w:val="16"/>
        </w:rPr>
        <w:t xml:space="preserve">24   </w:t>
      </w:r>
      <w:r>
        <w:rPr>
          <w:spacing w:val="17"/>
          <w:sz w:val="16"/>
        </w:rPr>
        <w:t xml:space="preserve">nov.   </w:t>
      </w:r>
      <w:r>
        <w:rPr>
          <w:spacing w:val="20"/>
          <w:sz w:val="16"/>
        </w:rPr>
        <w:t xml:space="preserve">2008.   </w:t>
      </w:r>
      <w:r>
        <w:rPr>
          <w:spacing w:val="21"/>
          <w:sz w:val="16"/>
        </w:rPr>
        <w:t>Disponível</w:t>
      </w:r>
      <w:r>
        <w:rPr>
          <w:spacing w:val="20"/>
          <w:sz w:val="16"/>
        </w:rPr>
        <w:t xml:space="preserve"> </w:t>
      </w:r>
      <w:r>
        <w:rPr>
          <w:spacing w:val="15"/>
          <w:sz w:val="16"/>
        </w:rPr>
        <w:t>em:</w:t>
      </w:r>
      <w:r>
        <w:rPr>
          <w:spacing w:val="-19"/>
          <w:sz w:val="16"/>
        </w:rPr>
        <w:t xml:space="preserve"> </w:t>
      </w:r>
    </w:p>
    <w:p w:rsidR="00D81F69" w:rsidRDefault="00D81F69">
      <w:pPr>
        <w:spacing w:before="2"/>
        <w:ind w:left="100"/>
        <w:jc w:val="both"/>
        <w:rPr>
          <w:sz w:val="16"/>
        </w:rPr>
      </w:pPr>
      <w:hyperlink r:id="rId560">
        <w:r w:rsidR="00330118">
          <w:rPr>
            <w:sz w:val="16"/>
          </w:rPr>
          <w:t>&lt;http://www.</w:t>
        </w:r>
        <w:r w:rsidR="00330118">
          <w:rPr>
            <w:sz w:val="16"/>
          </w:rPr>
          <w:t>aer.adv.br/noticiasMidia.php?numNoticia=0000002992&gt;</w:t>
        </w:r>
      </w:hyperlink>
    </w:p>
    <w:p w:rsidR="00D81F69" w:rsidRDefault="00D81F69">
      <w:pPr>
        <w:jc w:val="both"/>
        <w:rPr>
          <w:sz w:val="16"/>
        </w:rPr>
        <w:sectPr w:rsidR="00D81F69">
          <w:pgSz w:w="11900" w:h="16840"/>
          <w:pgMar w:top="740" w:right="500" w:bottom="660" w:left="620" w:header="0" w:footer="402" w:gutter="0"/>
          <w:cols w:num="2" w:space="720" w:equalWidth="0">
            <w:col w:w="5192" w:space="278"/>
            <w:col w:w="5310"/>
          </w:cols>
        </w:sectPr>
      </w:pPr>
    </w:p>
    <w:p w:rsidR="00D81F69" w:rsidRDefault="00330118">
      <w:pPr>
        <w:spacing w:before="70"/>
        <w:ind w:left="100"/>
        <w:jc w:val="both"/>
        <w:rPr>
          <w:sz w:val="16"/>
        </w:rPr>
      </w:pPr>
      <w:r>
        <w:rPr>
          <w:sz w:val="16"/>
        </w:rPr>
        <w:lastRenderedPageBreak/>
        <w:t>Acesso em: 11 abr. 2010.</w:t>
      </w:r>
    </w:p>
    <w:p w:rsidR="00D81F69" w:rsidRDefault="00330118">
      <w:pPr>
        <w:tabs>
          <w:tab w:val="left" w:pos="4331"/>
        </w:tabs>
        <w:spacing w:before="56" w:line="312" w:lineRule="auto"/>
        <w:ind w:left="100" w:right="50"/>
        <w:jc w:val="both"/>
        <w:rPr>
          <w:sz w:val="16"/>
        </w:rPr>
      </w:pPr>
      <w:r>
        <w:rPr>
          <w:spacing w:val="7"/>
          <w:sz w:val="16"/>
        </w:rPr>
        <w:t xml:space="preserve">COALIZÃO </w:t>
      </w:r>
      <w:r>
        <w:rPr>
          <w:spacing w:val="6"/>
          <w:sz w:val="16"/>
        </w:rPr>
        <w:t xml:space="preserve">RIOS </w:t>
      </w:r>
      <w:r>
        <w:rPr>
          <w:spacing w:val="7"/>
          <w:sz w:val="16"/>
        </w:rPr>
        <w:t xml:space="preserve">VIVOS. </w:t>
      </w:r>
      <w:r>
        <w:rPr>
          <w:spacing w:val="8"/>
          <w:sz w:val="16"/>
        </w:rPr>
        <w:t xml:space="preserve">Trabalhadores </w:t>
      </w:r>
      <w:r>
        <w:rPr>
          <w:spacing w:val="7"/>
          <w:sz w:val="16"/>
        </w:rPr>
        <w:t xml:space="preserve">sofrem </w:t>
      </w:r>
      <w:r>
        <w:rPr>
          <w:spacing w:val="5"/>
          <w:sz w:val="16"/>
        </w:rPr>
        <w:t xml:space="preserve">de </w:t>
      </w:r>
      <w:r>
        <w:rPr>
          <w:spacing w:val="10"/>
          <w:sz w:val="16"/>
        </w:rPr>
        <w:t xml:space="preserve">doenças </w:t>
      </w:r>
      <w:r>
        <w:rPr>
          <w:spacing w:val="3"/>
          <w:sz w:val="16"/>
        </w:rPr>
        <w:t xml:space="preserve">adquiridas </w:t>
      </w:r>
      <w:r>
        <w:rPr>
          <w:spacing w:val="1"/>
          <w:sz w:val="16"/>
        </w:rPr>
        <w:t xml:space="preserve">no  </w:t>
      </w:r>
      <w:r>
        <w:rPr>
          <w:spacing w:val="3"/>
          <w:sz w:val="16"/>
        </w:rPr>
        <w:t xml:space="preserve">contato </w:t>
      </w:r>
      <w:r>
        <w:rPr>
          <w:spacing w:val="2"/>
          <w:sz w:val="16"/>
        </w:rPr>
        <w:t xml:space="preserve">com </w:t>
      </w:r>
      <w:r>
        <w:rPr>
          <w:spacing w:val="1"/>
          <w:sz w:val="16"/>
        </w:rPr>
        <w:t xml:space="preserve">as  </w:t>
      </w:r>
      <w:r>
        <w:rPr>
          <w:spacing w:val="3"/>
          <w:sz w:val="16"/>
        </w:rPr>
        <w:t xml:space="preserve">fibras </w:t>
      </w:r>
      <w:r>
        <w:rPr>
          <w:spacing w:val="1"/>
          <w:sz w:val="16"/>
        </w:rPr>
        <w:t xml:space="preserve">de  </w:t>
      </w:r>
      <w:r>
        <w:rPr>
          <w:spacing w:val="3"/>
          <w:sz w:val="16"/>
        </w:rPr>
        <w:t xml:space="preserve">amianto. </w:t>
      </w:r>
      <w:r>
        <w:rPr>
          <w:spacing w:val="1"/>
          <w:sz w:val="16"/>
        </w:rPr>
        <w:t xml:space="preserve">27  </w:t>
      </w:r>
      <w:r>
        <w:rPr>
          <w:spacing w:val="2"/>
          <w:sz w:val="16"/>
        </w:rPr>
        <w:t xml:space="preserve">ago. </w:t>
      </w:r>
      <w:r>
        <w:rPr>
          <w:spacing w:val="5"/>
          <w:sz w:val="16"/>
        </w:rPr>
        <w:t xml:space="preserve">2004.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51"/>
        <w:jc w:val="both"/>
        <w:rPr>
          <w:sz w:val="16"/>
        </w:rPr>
      </w:pPr>
      <w:hyperlink r:id="rId561">
        <w:r w:rsidR="00330118">
          <w:rPr>
            <w:sz w:val="16"/>
          </w:rPr>
          <w:t>&lt;http://www.riosvivos.org.br/canal.php?canal=167&amp;mat_id=4038&gt;.</w:t>
        </w:r>
      </w:hyperlink>
      <w:r w:rsidR="00330118">
        <w:rPr>
          <w:sz w:val="16"/>
        </w:rPr>
        <w:t xml:space="preserve"> Acesso em: 19 abr. 2010.</w:t>
      </w:r>
    </w:p>
    <w:p w:rsidR="00D81F69" w:rsidRDefault="00330118">
      <w:pPr>
        <w:spacing w:before="2" w:line="312" w:lineRule="auto"/>
        <w:ind w:left="100" w:right="52"/>
        <w:jc w:val="both"/>
        <w:rPr>
          <w:sz w:val="16"/>
        </w:rPr>
      </w:pPr>
      <w:r>
        <w:rPr>
          <w:sz w:val="16"/>
        </w:rPr>
        <w:t xml:space="preserve">D´AREDE, Cláudia de </w:t>
      </w:r>
      <w:r>
        <w:rPr>
          <w:sz w:val="16"/>
        </w:rPr>
        <w:t xml:space="preserve">Oliveira. O tempo das águas e dos ventos: significações do asbesto atribuídas às viúvas e ex-trabalhadores da mina de São Félix, em Bom Jesus da Serra, Bahia, Brasil. 2009. 179f. Dissertação (Mestrado em Saúde, Ambiente e Trabalho) - Faculdade de Medicina </w:t>
      </w:r>
      <w:r>
        <w:rPr>
          <w:sz w:val="16"/>
        </w:rPr>
        <w:t>da Bahia, Universidade Federal da Bahia, Salvador, BA,</w:t>
      </w:r>
    </w:p>
    <w:p w:rsidR="00D81F69" w:rsidRDefault="00330118">
      <w:pPr>
        <w:pStyle w:val="PargrafodaLista"/>
        <w:numPr>
          <w:ilvl w:val="0"/>
          <w:numId w:val="4"/>
        </w:numPr>
        <w:tabs>
          <w:tab w:val="left" w:pos="335"/>
          <w:tab w:val="left" w:pos="1785"/>
          <w:tab w:val="left" w:pos="4548"/>
        </w:tabs>
        <w:spacing w:before="4"/>
        <w:ind w:hanging="234"/>
        <w:jc w:val="both"/>
        <w:rPr>
          <w:sz w:val="16"/>
        </w:rPr>
      </w:pPr>
      <w:r>
        <w:rPr>
          <w:sz w:val="16"/>
        </w:rPr>
        <w:t xml:space="preserve">0   0  </w:t>
      </w:r>
      <w:r>
        <w:rPr>
          <w:spacing w:val="22"/>
          <w:sz w:val="16"/>
        </w:rPr>
        <w:t xml:space="preserve"> </w:t>
      </w:r>
      <w:r>
        <w:rPr>
          <w:sz w:val="16"/>
        </w:rPr>
        <w:t xml:space="preserve">9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52"/>
        <w:jc w:val="both"/>
        <w:rPr>
          <w:sz w:val="16"/>
        </w:rPr>
      </w:pPr>
      <w:hyperlink r:id="rId562">
        <w:r w:rsidR="00330118">
          <w:rPr>
            <w:sz w:val="16"/>
          </w:rPr>
          <w:t>&lt;http://www.sat.ufba.br/site/db/dissertacoes/1982009114626.p</w:t>
        </w:r>
        <w:r w:rsidR="00330118">
          <w:rPr>
            <w:sz w:val="16"/>
          </w:rPr>
          <w:t>df&gt;.</w:t>
        </w:r>
      </w:hyperlink>
      <w:r w:rsidR="00330118">
        <w:rPr>
          <w:sz w:val="16"/>
        </w:rPr>
        <w:t xml:space="preserve"> Acesso em: 10 abr. 2010.</w:t>
      </w:r>
    </w:p>
    <w:p w:rsidR="00D81F69" w:rsidRDefault="00330118">
      <w:pPr>
        <w:tabs>
          <w:tab w:val="left" w:pos="1164"/>
          <w:tab w:val="left" w:pos="2473"/>
          <w:tab w:val="left" w:pos="4636"/>
        </w:tabs>
        <w:spacing w:before="1" w:line="312" w:lineRule="auto"/>
        <w:ind w:left="100" w:right="58"/>
        <w:jc w:val="both"/>
        <w:rPr>
          <w:sz w:val="16"/>
        </w:rPr>
      </w:pPr>
      <w:r>
        <w:rPr>
          <w:sz w:val="16"/>
        </w:rPr>
        <w:t xml:space="preserve">FOLHA DO MEIO AMBIENTE. A morte branca do sertão: há 40 anos está sendo praticado um crime contra o meio ambiente. Brasília, 18    s  e </w:t>
      </w:r>
      <w:r>
        <w:rPr>
          <w:spacing w:val="22"/>
          <w:sz w:val="16"/>
        </w:rPr>
        <w:t xml:space="preserve"> </w:t>
      </w:r>
      <w:r>
        <w:rPr>
          <w:sz w:val="16"/>
        </w:rPr>
        <w:t xml:space="preserve">t </w:t>
      </w:r>
      <w:r>
        <w:rPr>
          <w:spacing w:val="10"/>
          <w:sz w:val="16"/>
        </w:rPr>
        <w:t xml:space="preserve"> </w:t>
      </w:r>
      <w:r>
        <w:rPr>
          <w:sz w:val="16"/>
        </w:rPr>
        <w:t>.</w:t>
      </w:r>
      <w:r>
        <w:rPr>
          <w:sz w:val="16"/>
        </w:rPr>
        <w:tab/>
        <w:t xml:space="preserve">2  0  0 </w:t>
      </w:r>
      <w:r>
        <w:rPr>
          <w:spacing w:val="35"/>
          <w:sz w:val="16"/>
        </w:rPr>
        <w:t xml:space="preserve"> </w:t>
      </w:r>
      <w:r>
        <w:rPr>
          <w:sz w:val="16"/>
        </w:rPr>
        <w:t xml:space="preserve">8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2"/>
          <w:sz w:val="16"/>
        </w:rPr>
        <w:t xml:space="preserve"> </w:t>
      </w:r>
      <w:r>
        <w:rPr>
          <w:sz w:val="16"/>
        </w:rPr>
        <w:t>:</w:t>
      </w:r>
    </w:p>
    <w:p w:rsidR="00D81F69" w:rsidRDefault="00D81F69">
      <w:pPr>
        <w:spacing w:before="3" w:line="312" w:lineRule="auto"/>
        <w:ind w:left="100" w:right="73"/>
        <w:jc w:val="both"/>
        <w:rPr>
          <w:sz w:val="16"/>
        </w:rPr>
      </w:pPr>
      <w:hyperlink r:id="rId563">
        <w:r w:rsidR="00330118">
          <w:rPr>
            <w:sz w:val="16"/>
          </w:rPr>
          <w:t>&lt;http://www.folhadomeio.com.br/publix/fma/folha/2008/09/1amianto19</w:t>
        </w:r>
      </w:hyperlink>
      <w:r w:rsidR="00330118">
        <w:rPr>
          <w:sz w:val="16"/>
        </w:rPr>
        <w:t xml:space="preserve"> 2.html&gt;. Acesso em: 19 abr. 2010.</w:t>
      </w:r>
    </w:p>
    <w:p w:rsidR="00D81F69" w:rsidRDefault="00330118">
      <w:pPr>
        <w:spacing w:before="2" w:line="312" w:lineRule="auto"/>
        <w:ind w:left="100" w:right="38"/>
        <w:jc w:val="both"/>
        <w:rPr>
          <w:sz w:val="16"/>
        </w:rPr>
      </w:pPr>
      <w:r>
        <w:rPr>
          <w:sz w:val="16"/>
        </w:rPr>
        <w:t xml:space="preserve">IBGE, Instituto Brasileiro de Geografia e Estatística. Bom Jesus da </w:t>
      </w:r>
      <w:r>
        <w:rPr>
          <w:spacing w:val="12"/>
          <w:sz w:val="16"/>
        </w:rPr>
        <w:t xml:space="preserve">Serra </w:t>
      </w:r>
      <w:r>
        <w:rPr>
          <w:spacing w:val="12"/>
          <w:sz w:val="16"/>
        </w:rPr>
        <w:t xml:space="preserve">(BA). </w:t>
      </w:r>
      <w:r>
        <w:rPr>
          <w:spacing w:val="10"/>
          <w:sz w:val="16"/>
        </w:rPr>
        <w:t>In:</w:t>
      </w:r>
      <w:r>
        <w:rPr>
          <w:spacing w:val="65"/>
          <w:sz w:val="16"/>
        </w:rPr>
        <w:t xml:space="preserve"> </w:t>
      </w:r>
      <w:r>
        <w:rPr>
          <w:spacing w:val="11"/>
          <w:sz w:val="16"/>
        </w:rPr>
        <w:t xml:space="preserve">IBGE </w:t>
      </w:r>
      <w:r>
        <w:rPr>
          <w:spacing w:val="13"/>
          <w:sz w:val="16"/>
        </w:rPr>
        <w:t xml:space="preserve">Cidades, 2010a. </w:t>
      </w:r>
      <w:r>
        <w:rPr>
          <w:spacing w:val="15"/>
          <w:sz w:val="16"/>
        </w:rPr>
        <w:t xml:space="preserve">Disponível </w:t>
      </w:r>
      <w:r>
        <w:rPr>
          <w:spacing w:val="10"/>
          <w:sz w:val="16"/>
        </w:rPr>
        <w:t>em:</w:t>
      </w:r>
      <w:r>
        <w:rPr>
          <w:spacing w:val="-26"/>
          <w:sz w:val="16"/>
        </w:rPr>
        <w:t xml:space="preserve"> </w:t>
      </w:r>
    </w:p>
    <w:p w:rsidR="00D81F69" w:rsidRDefault="00D81F69">
      <w:pPr>
        <w:spacing w:before="1"/>
        <w:ind w:left="100"/>
        <w:jc w:val="both"/>
        <w:rPr>
          <w:sz w:val="16"/>
        </w:rPr>
      </w:pPr>
      <w:hyperlink r:id="rId564">
        <w:r w:rsidR="00330118">
          <w:rPr>
            <w:sz w:val="16"/>
          </w:rPr>
          <w:t>&lt;http://www.ibge.gov.br/cidadesat/xtras/perfil.php?codmun=290395&amp;r</w:t>
        </w:r>
      </w:hyperlink>
    </w:p>
    <w:p w:rsidR="00D81F69" w:rsidRDefault="00330118">
      <w:pPr>
        <w:spacing w:before="56"/>
        <w:ind w:left="100"/>
        <w:jc w:val="both"/>
        <w:rPr>
          <w:sz w:val="16"/>
        </w:rPr>
      </w:pPr>
      <w:r>
        <w:rPr>
          <w:sz w:val="16"/>
        </w:rPr>
        <w:t>=2&gt;. Acesso em: 27 out. 2011.</w:t>
      </w:r>
    </w:p>
    <w:p w:rsidR="00D81F69" w:rsidRDefault="00330118">
      <w:pPr>
        <w:tabs>
          <w:tab w:val="left" w:pos="639"/>
        </w:tabs>
        <w:spacing w:before="56"/>
        <w:ind w:left="100"/>
        <w:jc w:val="both"/>
        <w:rPr>
          <w:sz w:val="16"/>
        </w:rPr>
      </w:pPr>
      <w:r>
        <w:rPr>
          <w:sz w:val="16"/>
          <w:u w:val="single"/>
        </w:rPr>
        <w:t xml:space="preserve"> </w:t>
      </w:r>
      <w:r>
        <w:rPr>
          <w:sz w:val="16"/>
          <w:u w:val="single"/>
        </w:rPr>
        <w:tab/>
      </w:r>
      <w:r>
        <w:rPr>
          <w:sz w:val="16"/>
        </w:rPr>
        <w:t>.</w:t>
      </w:r>
      <w:r>
        <w:rPr>
          <w:spacing w:val="7"/>
          <w:sz w:val="16"/>
        </w:rPr>
        <w:t xml:space="preserve"> </w:t>
      </w:r>
      <w:r>
        <w:rPr>
          <w:sz w:val="16"/>
        </w:rPr>
        <w:t>Simões</w:t>
      </w:r>
      <w:r>
        <w:rPr>
          <w:spacing w:val="7"/>
          <w:sz w:val="16"/>
        </w:rPr>
        <w:t xml:space="preserve"> </w:t>
      </w:r>
      <w:r>
        <w:rPr>
          <w:sz w:val="16"/>
        </w:rPr>
        <w:t>Filho</w:t>
      </w:r>
      <w:r>
        <w:rPr>
          <w:spacing w:val="7"/>
          <w:sz w:val="16"/>
        </w:rPr>
        <w:t xml:space="preserve"> </w:t>
      </w:r>
      <w:r>
        <w:rPr>
          <w:sz w:val="16"/>
        </w:rPr>
        <w:t>(BA).</w:t>
      </w:r>
      <w:r>
        <w:rPr>
          <w:spacing w:val="7"/>
          <w:sz w:val="16"/>
        </w:rPr>
        <w:t xml:space="preserve"> </w:t>
      </w:r>
      <w:r>
        <w:rPr>
          <w:sz w:val="16"/>
        </w:rPr>
        <w:t>In:</w:t>
      </w:r>
      <w:r>
        <w:rPr>
          <w:spacing w:val="7"/>
          <w:sz w:val="16"/>
        </w:rPr>
        <w:t xml:space="preserve"> </w:t>
      </w:r>
      <w:r>
        <w:rPr>
          <w:sz w:val="16"/>
        </w:rPr>
        <w:t>IBGE</w:t>
      </w:r>
      <w:r>
        <w:rPr>
          <w:spacing w:val="7"/>
          <w:sz w:val="16"/>
        </w:rPr>
        <w:t xml:space="preserve"> </w:t>
      </w:r>
      <w:r>
        <w:rPr>
          <w:sz w:val="16"/>
        </w:rPr>
        <w:t>Cidades,</w:t>
      </w:r>
      <w:r>
        <w:rPr>
          <w:spacing w:val="7"/>
          <w:sz w:val="16"/>
        </w:rPr>
        <w:t xml:space="preserve"> </w:t>
      </w:r>
      <w:r>
        <w:rPr>
          <w:sz w:val="16"/>
        </w:rPr>
        <w:t>2010b.</w:t>
      </w:r>
      <w:r>
        <w:rPr>
          <w:spacing w:val="7"/>
          <w:sz w:val="16"/>
        </w:rPr>
        <w:t xml:space="preserve"> </w:t>
      </w:r>
      <w:r>
        <w:rPr>
          <w:sz w:val="16"/>
        </w:rPr>
        <w:t>Disponível</w:t>
      </w:r>
      <w:r>
        <w:rPr>
          <w:spacing w:val="7"/>
          <w:sz w:val="16"/>
        </w:rPr>
        <w:t xml:space="preserve"> </w:t>
      </w:r>
      <w:r>
        <w:rPr>
          <w:sz w:val="16"/>
        </w:rPr>
        <w:t>em:</w:t>
      </w:r>
    </w:p>
    <w:p w:rsidR="00D81F69" w:rsidRDefault="00D81F69">
      <w:pPr>
        <w:spacing w:before="56"/>
        <w:ind w:left="100"/>
        <w:jc w:val="both"/>
        <w:rPr>
          <w:sz w:val="16"/>
        </w:rPr>
      </w:pPr>
      <w:hyperlink r:id="rId565">
        <w:r w:rsidR="00330118">
          <w:rPr>
            <w:sz w:val="16"/>
          </w:rPr>
          <w:t>&lt;http://www.ibge.gov.br/cidadesat/xtras/perfil.php?codmun=293070&amp;r</w:t>
        </w:r>
      </w:hyperlink>
    </w:p>
    <w:p w:rsidR="00D81F69" w:rsidRDefault="00330118">
      <w:pPr>
        <w:spacing w:before="56"/>
        <w:ind w:left="100"/>
        <w:jc w:val="both"/>
        <w:rPr>
          <w:sz w:val="16"/>
        </w:rPr>
      </w:pPr>
      <w:r>
        <w:rPr>
          <w:sz w:val="16"/>
        </w:rPr>
        <w:t>=2&gt;. Acesso em: 27 out. 2011.</w:t>
      </w:r>
    </w:p>
    <w:p w:rsidR="00D81F69" w:rsidRDefault="00330118">
      <w:pPr>
        <w:spacing w:before="56" w:line="312" w:lineRule="auto"/>
        <w:ind w:left="100" w:right="38"/>
        <w:jc w:val="both"/>
        <w:rPr>
          <w:sz w:val="16"/>
        </w:rPr>
      </w:pPr>
      <w:r>
        <w:rPr>
          <w:sz w:val="16"/>
        </w:rPr>
        <w:t>IDEC, Instituto de Defesa do Con</w:t>
      </w:r>
      <w:r>
        <w:rPr>
          <w:sz w:val="16"/>
        </w:rPr>
        <w:t xml:space="preserve">sumidor. Sama (amianto) na Bahia: morte de pessoas e contaminação de águas. 12 jan. 2005. In: Centro </w:t>
      </w:r>
      <w:r>
        <w:rPr>
          <w:spacing w:val="7"/>
          <w:sz w:val="16"/>
        </w:rPr>
        <w:t xml:space="preserve">de </w:t>
      </w:r>
      <w:r>
        <w:rPr>
          <w:spacing w:val="12"/>
          <w:sz w:val="16"/>
        </w:rPr>
        <w:t xml:space="preserve">Mídia </w:t>
      </w:r>
      <w:r>
        <w:rPr>
          <w:spacing w:val="15"/>
          <w:sz w:val="16"/>
        </w:rPr>
        <w:t xml:space="preserve">Independente, </w:t>
      </w:r>
      <w:r>
        <w:rPr>
          <w:spacing w:val="7"/>
          <w:sz w:val="16"/>
        </w:rPr>
        <w:t xml:space="preserve">10 </w:t>
      </w:r>
      <w:r>
        <w:rPr>
          <w:spacing w:val="11"/>
          <w:sz w:val="16"/>
        </w:rPr>
        <w:t xml:space="preserve">out. </w:t>
      </w:r>
      <w:r>
        <w:rPr>
          <w:spacing w:val="12"/>
          <w:sz w:val="16"/>
        </w:rPr>
        <w:t xml:space="preserve">2008. </w:t>
      </w:r>
      <w:r>
        <w:rPr>
          <w:spacing w:val="15"/>
          <w:sz w:val="16"/>
        </w:rPr>
        <w:t>Disponível</w:t>
      </w:r>
      <w:r>
        <w:rPr>
          <w:spacing w:val="70"/>
          <w:sz w:val="16"/>
        </w:rPr>
        <w:t xml:space="preserve"> </w:t>
      </w:r>
      <w:r>
        <w:rPr>
          <w:spacing w:val="10"/>
          <w:sz w:val="16"/>
        </w:rPr>
        <w:t>em:</w:t>
      </w:r>
      <w:r>
        <w:rPr>
          <w:spacing w:val="-26"/>
          <w:sz w:val="16"/>
        </w:rPr>
        <w:t xml:space="preserve"> </w:t>
      </w:r>
    </w:p>
    <w:p w:rsidR="00D81F69" w:rsidRDefault="00330118">
      <w:pPr>
        <w:spacing w:before="3" w:line="312" w:lineRule="auto"/>
        <w:ind w:left="100" w:right="56"/>
        <w:jc w:val="both"/>
        <w:rPr>
          <w:sz w:val="16"/>
        </w:rPr>
      </w:pPr>
      <w:r>
        <w:rPr>
          <w:sz w:val="16"/>
        </w:rPr>
        <w:t xml:space="preserve">&lt;http://74.125.93.132/search?q=cache:http://www.midiaindependente. org/pt/blue/2008/10/430542.shtml&gt;. </w:t>
      </w:r>
      <w:r>
        <w:rPr>
          <w:sz w:val="16"/>
        </w:rPr>
        <w:t>Acesso em: 19 abr. 2010.</w:t>
      </w:r>
    </w:p>
    <w:p w:rsidR="00D81F69" w:rsidRDefault="00330118">
      <w:pPr>
        <w:spacing w:before="1"/>
        <w:ind w:left="100"/>
        <w:jc w:val="both"/>
        <w:rPr>
          <w:sz w:val="16"/>
        </w:rPr>
      </w:pPr>
      <w:r>
        <w:rPr>
          <w:sz w:val="16"/>
        </w:rPr>
        <w:t>MAPA DA INJUSTIÇA AMBIENTAL E SAÚDE NO BRASIL. Epidemia</w:t>
      </w:r>
    </w:p>
    <w:p w:rsidR="00D81F69" w:rsidRDefault="00330118">
      <w:pPr>
        <w:tabs>
          <w:tab w:val="left" w:pos="1198"/>
          <w:tab w:val="left" w:pos="2495"/>
          <w:tab w:val="left" w:pos="4639"/>
        </w:tabs>
        <w:spacing w:before="56" w:line="312" w:lineRule="auto"/>
        <w:ind w:left="100" w:right="58"/>
        <w:jc w:val="both"/>
        <w:rPr>
          <w:sz w:val="16"/>
        </w:rPr>
      </w:pPr>
      <w:r>
        <w:rPr>
          <w:spacing w:val="5"/>
          <w:sz w:val="16"/>
        </w:rPr>
        <w:t xml:space="preserve">do </w:t>
      </w:r>
      <w:r>
        <w:rPr>
          <w:spacing w:val="10"/>
          <w:sz w:val="16"/>
        </w:rPr>
        <w:t xml:space="preserve">Amianto </w:t>
      </w:r>
      <w:r>
        <w:rPr>
          <w:spacing w:val="8"/>
          <w:sz w:val="16"/>
        </w:rPr>
        <w:t xml:space="preserve">pode </w:t>
      </w:r>
      <w:r>
        <w:rPr>
          <w:spacing w:val="10"/>
          <w:sz w:val="16"/>
        </w:rPr>
        <w:t xml:space="preserve">afetar </w:t>
      </w:r>
      <w:r>
        <w:rPr>
          <w:spacing w:val="5"/>
          <w:sz w:val="16"/>
        </w:rPr>
        <w:t xml:space="preserve">de </w:t>
      </w:r>
      <w:r>
        <w:rPr>
          <w:spacing w:val="8"/>
          <w:sz w:val="16"/>
        </w:rPr>
        <w:t xml:space="preserve">forma </w:t>
      </w:r>
      <w:r>
        <w:rPr>
          <w:spacing w:val="10"/>
          <w:sz w:val="16"/>
        </w:rPr>
        <w:t xml:space="preserve">irreparável </w:t>
      </w:r>
      <w:r>
        <w:rPr>
          <w:sz w:val="16"/>
        </w:rPr>
        <w:t xml:space="preserve">a </w:t>
      </w:r>
      <w:r>
        <w:rPr>
          <w:spacing w:val="8"/>
          <w:sz w:val="16"/>
        </w:rPr>
        <w:t xml:space="preserve">saúde </w:t>
      </w:r>
      <w:r>
        <w:rPr>
          <w:spacing w:val="11"/>
          <w:sz w:val="16"/>
        </w:rPr>
        <w:t xml:space="preserve">de </w:t>
      </w:r>
      <w:r>
        <w:rPr>
          <w:spacing w:val="1"/>
          <w:sz w:val="16"/>
        </w:rPr>
        <w:t xml:space="preserve">trabalhadores </w:t>
      </w:r>
      <w:r>
        <w:rPr>
          <w:sz w:val="16"/>
        </w:rPr>
        <w:t xml:space="preserve">e </w:t>
      </w:r>
      <w:r>
        <w:rPr>
          <w:spacing w:val="1"/>
          <w:sz w:val="16"/>
        </w:rPr>
        <w:t xml:space="preserve">ex-trabalhadores </w:t>
      </w:r>
      <w:r>
        <w:rPr>
          <w:sz w:val="16"/>
        </w:rPr>
        <w:t xml:space="preserve">do </w:t>
      </w:r>
      <w:r>
        <w:rPr>
          <w:spacing w:val="1"/>
          <w:sz w:val="16"/>
        </w:rPr>
        <w:t xml:space="preserve">setor, porém vários </w:t>
      </w:r>
      <w:r>
        <w:rPr>
          <w:spacing w:val="2"/>
          <w:sz w:val="16"/>
        </w:rPr>
        <w:t xml:space="preserve">estados </w:t>
      </w:r>
      <w:r>
        <w:rPr>
          <w:sz w:val="16"/>
        </w:rPr>
        <w:t xml:space="preserve">brasileiros, inclusive a Bahia, continuam permitindo sua produção, 25 n  o </w:t>
      </w:r>
      <w:r>
        <w:rPr>
          <w:spacing w:val="20"/>
          <w:sz w:val="16"/>
        </w:rPr>
        <w:t xml:space="preserve"> </w:t>
      </w:r>
      <w:r>
        <w:rPr>
          <w:sz w:val="16"/>
        </w:rPr>
        <w:t xml:space="preserve">v </w:t>
      </w:r>
      <w:r>
        <w:rPr>
          <w:spacing w:val="10"/>
          <w:sz w:val="16"/>
        </w:rPr>
        <w:t xml:space="preserve"> </w:t>
      </w:r>
      <w:r>
        <w:rPr>
          <w:sz w:val="16"/>
        </w:rPr>
        <w:t>.</w:t>
      </w:r>
      <w:r>
        <w:rPr>
          <w:sz w:val="16"/>
        </w:rPr>
        <w:tab/>
        <w:t xml:space="preserve">2  0  0 </w:t>
      </w:r>
      <w:r>
        <w:rPr>
          <w:spacing w:val="31"/>
          <w:sz w:val="16"/>
        </w:rPr>
        <w:t xml:space="preserve"> </w:t>
      </w:r>
      <w:r>
        <w:rPr>
          <w:sz w:val="16"/>
        </w:rPr>
        <w:t xml:space="preserve">9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0"/>
          <w:sz w:val="16"/>
        </w:rPr>
        <w:t xml:space="preserve"> </w:t>
      </w:r>
      <w:r>
        <w:rPr>
          <w:sz w:val="16"/>
        </w:rPr>
        <w:t>:</w:t>
      </w:r>
    </w:p>
    <w:p w:rsidR="00D81F69" w:rsidRDefault="00D81F69">
      <w:pPr>
        <w:spacing w:before="4" w:line="312" w:lineRule="auto"/>
        <w:ind w:left="100" w:right="73"/>
        <w:jc w:val="both"/>
        <w:rPr>
          <w:sz w:val="16"/>
        </w:rPr>
      </w:pPr>
      <w:hyperlink r:id="rId566">
        <w:r w:rsidR="00330118">
          <w:rPr>
            <w:sz w:val="16"/>
          </w:rPr>
          <w:t>&lt;http://www.conflitoambiental.icict.</w:t>
        </w:r>
        <w:r w:rsidR="00330118">
          <w:rPr>
            <w:sz w:val="16"/>
          </w:rPr>
          <w:t>fiocruz.br/index.php?pag=ficha&amp;co</w:t>
        </w:r>
      </w:hyperlink>
      <w:r w:rsidR="00330118">
        <w:rPr>
          <w:sz w:val="16"/>
        </w:rPr>
        <w:t xml:space="preserve"> d=37&gt;.</w:t>
      </w:r>
    </w:p>
    <w:p w:rsidR="00D81F69" w:rsidRDefault="00330118">
      <w:pPr>
        <w:spacing w:before="70"/>
        <w:ind w:left="100"/>
        <w:jc w:val="both"/>
        <w:rPr>
          <w:sz w:val="16"/>
        </w:rPr>
      </w:pPr>
      <w:r>
        <w:br w:type="column"/>
      </w:r>
      <w:r>
        <w:rPr>
          <w:sz w:val="16"/>
        </w:rPr>
        <w:lastRenderedPageBreak/>
        <w:t>Acesso em: 27 out. 2011.</w:t>
      </w:r>
    </w:p>
    <w:p w:rsidR="00D81F69" w:rsidRDefault="00330118">
      <w:pPr>
        <w:tabs>
          <w:tab w:val="left" w:pos="1164"/>
          <w:tab w:val="left" w:pos="2473"/>
          <w:tab w:val="left" w:pos="4636"/>
        </w:tabs>
        <w:spacing w:before="56" w:line="312" w:lineRule="auto"/>
        <w:ind w:left="100" w:right="201"/>
        <w:jc w:val="both"/>
        <w:rPr>
          <w:sz w:val="16"/>
        </w:rPr>
      </w:pPr>
      <w:r>
        <w:rPr>
          <w:sz w:val="16"/>
        </w:rPr>
        <w:t xml:space="preserve">MEIO AMBIENTE E ANIMAIS. Amianto: O que é preciso saber. 08      j  u </w:t>
      </w:r>
      <w:r>
        <w:rPr>
          <w:spacing w:val="22"/>
          <w:sz w:val="16"/>
        </w:rPr>
        <w:t xml:space="preserve"> </w:t>
      </w:r>
      <w:r>
        <w:rPr>
          <w:sz w:val="16"/>
        </w:rPr>
        <w:t xml:space="preserve">n </w:t>
      </w:r>
      <w:r>
        <w:rPr>
          <w:spacing w:val="10"/>
          <w:sz w:val="16"/>
        </w:rPr>
        <w:t xml:space="preserve"> </w:t>
      </w:r>
      <w:r>
        <w:rPr>
          <w:sz w:val="16"/>
        </w:rPr>
        <w:t>.</w:t>
      </w:r>
      <w:r>
        <w:rPr>
          <w:sz w:val="16"/>
        </w:rPr>
        <w:tab/>
        <w:t xml:space="preserve">2  0  0 </w:t>
      </w:r>
      <w:r>
        <w:rPr>
          <w:spacing w:val="35"/>
          <w:sz w:val="16"/>
        </w:rPr>
        <w:t xml:space="preserve"> </w:t>
      </w:r>
      <w:r>
        <w:rPr>
          <w:sz w:val="16"/>
        </w:rPr>
        <w:t xml:space="preserve">9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2"/>
          <w:sz w:val="16"/>
        </w:rPr>
        <w:t xml:space="preserve"> </w:t>
      </w:r>
      <w:r>
        <w:rPr>
          <w:sz w:val="16"/>
        </w:rPr>
        <w:t>:</w:t>
      </w:r>
    </w:p>
    <w:p w:rsidR="00D81F69" w:rsidRDefault="00D81F69">
      <w:pPr>
        <w:spacing w:before="1" w:line="312" w:lineRule="auto"/>
        <w:ind w:left="100" w:right="191"/>
        <w:jc w:val="both"/>
        <w:rPr>
          <w:sz w:val="16"/>
        </w:rPr>
      </w:pPr>
      <w:hyperlink r:id="rId567">
        <w:r w:rsidR="00330118">
          <w:rPr>
            <w:sz w:val="16"/>
          </w:rPr>
          <w:t>&lt;http://www.meioambienteeanimais.com.br/SiteMeioAmbienteEAnima</w:t>
        </w:r>
      </w:hyperlink>
      <w:r w:rsidR="00330118">
        <w:rPr>
          <w:sz w:val="16"/>
        </w:rPr>
        <w:t xml:space="preserve"> is/sistema/materia.asp?pint_IdCaderno=6&gt;. Acesso em: 11 abr. 2010. MPF/ MP-BA, Ministério Público Federal e Ministér</w:t>
      </w:r>
      <w:r w:rsidR="00330118">
        <w:rPr>
          <w:sz w:val="16"/>
        </w:rPr>
        <w:t xml:space="preserve">io Público Estadual da Bahia. Documento para ação civil pública contra a empresa Sama S/A Minerações Associadas. Vitória da Conquista (BA), 04 fev. 2009. Disponível em: </w:t>
      </w:r>
      <w:hyperlink r:id="rId568">
        <w:r w:rsidR="00330118">
          <w:rPr>
            <w:sz w:val="16"/>
          </w:rPr>
          <w:t xml:space="preserve">&lt;http://www.prba.mpf.gov.br/links- </w:t>
        </w:r>
      </w:hyperlink>
      <w:r w:rsidR="00330118">
        <w:rPr>
          <w:sz w:val="16"/>
        </w:rPr>
        <w:t>u</w:t>
      </w:r>
      <w:r w:rsidR="00330118">
        <w:rPr>
          <w:sz w:val="16"/>
        </w:rPr>
        <w:t>teis/manifestacoes/acoes/acp.sama_versao_para_impressao.pdf&gt;. Acesso em: 10 nov. 2011.</w:t>
      </w:r>
    </w:p>
    <w:p w:rsidR="00D81F69" w:rsidRDefault="00330118">
      <w:pPr>
        <w:tabs>
          <w:tab w:val="left" w:pos="4331"/>
        </w:tabs>
        <w:spacing w:before="7" w:line="312" w:lineRule="auto"/>
        <w:ind w:left="100" w:right="188"/>
        <w:jc w:val="both"/>
        <w:rPr>
          <w:sz w:val="16"/>
        </w:rPr>
      </w:pPr>
      <w:r>
        <w:rPr>
          <w:spacing w:val="7"/>
          <w:sz w:val="16"/>
        </w:rPr>
        <w:t xml:space="preserve">MONIZ, Marcela </w:t>
      </w:r>
      <w:r>
        <w:rPr>
          <w:spacing w:val="5"/>
          <w:sz w:val="16"/>
        </w:rPr>
        <w:t xml:space="preserve">de </w:t>
      </w:r>
      <w:r>
        <w:rPr>
          <w:spacing w:val="7"/>
          <w:sz w:val="16"/>
        </w:rPr>
        <w:t xml:space="preserve">Abreu. Amianto, Perigo </w:t>
      </w:r>
      <w:r>
        <w:rPr>
          <w:sz w:val="16"/>
        </w:rPr>
        <w:t xml:space="preserve">e </w:t>
      </w:r>
      <w:r>
        <w:rPr>
          <w:spacing w:val="10"/>
          <w:sz w:val="16"/>
        </w:rPr>
        <w:t xml:space="preserve">invisibilidade: </w:t>
      </w:r>
      <w:r>
        <w:rPr>
          <w:sz w:val="16"/>
        </w:rPr>
        <w:t>percepção de riscos ambientais e à saúde de moradores do município de Bom Jesus da Serra/ Bahia. 2010. 199f. D</w:t>
      </w:r>
      <w:r>
        <w:rPr>
          <w:sz w:val="16"/>
        </w:rPr>
        <w:t xml:space="preserve">issertação (Mestrado em </w:t>
      </w:r>
      <w:r>
        <w:rPr>
          <w:spacing w:val="5"/>
          <w:sz w:val="16"/>
        </w:rPr>
        <w:t xml:space="preserve">Ciências </w:t>
      </w:r>
      <w:r>
        <w:rPr>
          <w:spacing w:val="2"/>
          <w:sz w:val="16"/>
        </w:rPr>
        <w:t xml:space="preserve">na </w:t>
      </w:r>
      <w:r>
        <w:rPr>
          <w:spacing w:val="3"/>
          <w:sz w:val="16"/>
        </w:rPr>
        <w:t xml:space="preserve">área </w:t>
      </w:r>
      <w:r>
        <w:rPr>
          <w:spacing w:val="2"/>
          <w:sz w:val="16"/>
        </w:rPr>
        <w:t xml:space="preserve">de </w:t>
      </w:r>
      <w:r>
        <w:rPr>
          <w:spacing w:val="3"/>
          <w:sz w:val="16"/>
        </w:rPr>
        <w:t xml:space="preserve">Saúde </w:t>
      </w:r>
      <w:r>
        <w:rPr>
          <w:spacing w:val="5"/>
          <w:sz w:val="16"/>
        </w:rPr>
        <w:t xml:space="preserve">Pública </w:t>
      </w:r>
      <w:r>
        <w:rPr>
          <w:sz w:val="16"/>
        </w:rPr>
        <w:t xml:space="preserve">e </w:t>
      </w:r>
      <w:r>
        <w:rPr>
          <w:spacing w:val="3"/>
          <w:sz w:val="16"/>
        </w:rPr>
        <w:t xml:space="preserve">Meio </w:t>
      </w:r>
      <w:r>
        <w:rPr>
          <w:spacing w:val="5"/>
          <w:sz w:val="16"/>
        </w:rPr>
        <w:t xml:space="preserve">Ambiente). Escola </w:t>
      </w:r>
      <w:r>
        <w:rPr>
          <w:sz w:val="16"/>
        </w:rPr>
        <w:t xml:space="preserve">Nacional de Saúde Pública Sérgio Arouca, Rio de Janeiro, RJ, 2010.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5" w:line="312" w:lineRule="auto"/>
        <w:ind w:left="100" w:right="197"/>
        <w:jc w:val="both"/>
        <w:rPr>
          <w:sz w:val="16"/>
        </w:rPr>
      </w:pPr>
      <w:hyperlink r:id="rId569">
        <w:r w:rsidR="00330118">
          <w:rPr>
            <w:sz w:val="16"/>
          </w:rPr>
          <w:t>&lt;http://www.bvssp.icict.fiocruz.br/lildbi/docsonline/get.php?id=2335&gt;.</w:t>
        </w:r>
      </w:hyperlink>
      <w:r w:rsidR="00330118">
        <w:rPr>
          <w:sz w:val="16"/>
        </w:rPr>
        <w:t xml:space="preserve"> Acesso em: 10 nov. 2011.</w:t>
      </w:r>
    </w:p>
    <w:p w:rsidR="00D81F69" w:rsidRDefault="00330118">
      <w:pPr>
        <w:spacing w:before="1" w:line="312" w:lineRule="auto"/>
        <w:ind w:left="100" w:right="199"/>
        <w:jc w:val="both"/>
        <w:rPr>
          <w:sz w:val="16"/>
        </w:rPr>
      </w:pPr>
      <w:r>
        <w:rPr>
          <w:sz w:val="16"/>
        </w:rPr>
        <w:t>PAIXÃO, Manuela Rocha; QUEIROZ, Rosana Moura de. Impactos ambientais e danos humanos causados pela extração de ami</w:t>
      </w:r>
      <w:r>
        <w:rPr>
          <w:sz w:val="16"/>
        </w:rPr>
        <w:t>anto no município de Poções - BA - a legislação brasileira e o controle da exploração de amianto. Webartigos.com, 10 set. 2009. Disponível em:</w:t>
      </w:r>
    </w:p>
    <w:p w:rsidR="00D81F69" w:rsidRDefault="00D81F69">
      <w:pPr>
        <w:spacing w:before="4" w:line="312" w:lineRule="auto"/>
        <w:ind w:left="100" w:right="192"/>
        <w:jc w:val="both"/>
        <w:rPr>
          <w:sz w:val="16"/>
        </w:rPr>
      </w:pPr>
      <w:hyperlink r:id="rId570">
        <w:r w:rsidR="00330118">
          <w:rPr>
            <w:sz w:val="16"/>
          </w:rPr>
          <w:t>&lt;http://www.webartigos.com/articles/24591/1</w:t>
        </w:r>
        <w:r w:rsidR="00330118">
          <w:rPr>
            <w:sz w:val="16"/>
          </w:rPr>
          <w:t xml:space="preserve">/IMPACTOS- </w:t>
        </w:r>
      </w:hyperlink>
      <w:r w:rsidR="00330118">
        <w:rPr>
          <w:sz w:val="16"/>
        </w:rPr>
        <w:t>AMBIENTAIS-E-DANOS-HUMANOS-CAUSADOS-PELA- EXTRACAO-DE-AMIANTO-NO-MUNICIPIO-DE-POCOES---BA-</w:t>
      </w:r>
    </w:p>
    <w:p w:rsidR="00D81F69" w:rsidRDefault="00330118">
      <w:pPr>
        <w:spacing w:before="2"/>
        <w:ind w:left="100"/>
        <w:jc w:val="both"/>
        <w:rPr>
          <w:sz w:val="16"/>
        </w:rPr>
      </w:pPr>
      <w:r>
        <w:rPr>
          <w:sz w:val="16"/>
        </w:rPr>
        <w:t>/pagina1.html&gt;. Acesso em: 11 abr. 2010.</w:t>
      </w:r>
    </w:p>
    <w:p w:rsidR="00D81F69" w:rsidRDefault="00330118">
      <w:pPr>
        <w:spacing w:before="56" w:line="312" w:lineRule="auto"/>
        <w:ind w:left="100" w:right="164"/>
        <w:jc w:val="both"/>
        <w:rPr>
          <w:sz w:val="16"/>
        </w:rPr>
      </w:pPr>
      <w:r>
        <w:rPr>
          <w:sz w:val="16"/>
        </w:rPr>
        <w:t>SANTOS, Marcelo. Amianto, a fibra que destrói o pulmão: abolido em muitos países, o asbesto resiste no Brasil, um</w:t>
      </w:r>
      <w:r>
        <w:rPr>
          <w:sz w:val="16"/>
        </w:rPr>
        <w:t xml:space="preserve"> dos maiores produtores. Revista Problemas Brasileiros, n. 389, set.-out. 2008. In: Portal SESC-SP, São Paulo. Disponível em: </w:t>
      </w:r>
    </w:p>
    <w:p w:rsidR="00D81F69" w:rsidRDefault="00D81F69">
      <w:pPr>
        <w:spacing w:before="3" w:line="312" w:lineRule="auto"/>
        <w:ind w:left="100" w:right="216"/>
        <w:jc w:val="both"/>
        <w:rPr>
          <w:sz w:val="16"/>
        </w:rPr>
      </w:pPr>
      <w:hyperlink r:id="rId571">
        <w:r w:rsidR="00330118">
          <w:rPr>
            <w:sz w:val="16"/>
          </w:rPr>
          <w:t>&lt;http://www.sescsp.org.br/sesc/revistas_sesc/</w:t>
        </w:r>
        <w:r w:rsidR="00330118">
          <w:rPr>
            <w:sz w:val="16"/>
          </w:rPr>
          <w:t>pb/artigo.cfm?Edicao_I</w:t>
        </w:r>
      </w:hyperlink>
      <w:r w:rsidR="00330118">
        <w:rPr>
          <w:sz w:val="16"/>
        </w:rPr>
        <w:t xml:space="preserve"> d=318&amp;breadcrumb=1&amp;Artigo_ID=5005&amp;IDCategoria=5725&amp;reftype= 1&gt;. Acesso em: 11 abr. 2010.</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68" w:space="302"/>
            <w:col w:w="5310"/>
          </w:cols>
        </w:sectPr>
      </w:pPr>
    </w:p>
    <w:p w:rsidR="00D81F69" w:rsidRDefault="00330118">
      <w:pPr>
        <w:pStyle w:val="Heading1"/>
        <w:tabs>
          <w:tab w:val="left" w:pos="1837"/>
          <w:tab w:val="left" w:pos="3730"/>
          <w:tab w:val="left" w:pos="4183"/>
          <w:tab w:val="left" w:pos="5094"/>
          <w:tab w:val="left" w:pos="5140"/>
          <w:tab w:val="left" w:pos="6959"/>
          <w:tab w:val="left" w:pos="7377"/>
          <w:tab w:val="left" w:pos="8705"/>
        </w:tabs>
        <w:spacing w:line="208" w:lineRule="auto"/>
      </w:pPr>
      <w:r>
        <w:rPr>
          <w:spacing w:val="47"/>
        </w:rPr>
        <w:lastRenderedPageBreak/>
        <w:t>Santo</w:t>
      </w:r>
      <w:r>
        <w:rPr>
          <w:spacing w:val="47"/>
        </w:rPr>
        <w:tab/>
        <w:t>Amaro</w:t>
      </w:r>
      <w:r>
        <w:rPr>
          <w:spacing w:val="47"/>
        </w:rPr>
        <w:tab/>
      </w:r>
      <w:r>
        <w:rPr>
          <w:spacing w:val="45"/>
        </w:rPr>
        <w:t>(BA)</w:t>
      </w:r>
      <w:r>
        <w:rPr>
          <w:spacing w:val="45"/>
        </w:rPr>
        <w:tab/>
      </w:r>
      <w:r>
        <w:rPr>
          <w:spacing w:val="45"/>
        </w:rPr>
        <w:tab/>
      </w:r>
      <w:r>
        <w:rPr>
          <w:spacing w:val="50"/>
        </w:rPr>
        <w:t>convive</w:t>
      </w:r>
      <w:r>
        <w:rPr>
          <w:spacing w:val="50"/>
        </w:rPr>
        <w:tab/>
      </w:r>
      <w:r>
        <w:rPr>
          <w:spacing w:val="40"/>
        </w:rPr>
        <w:t>com</w:t>
      </w:r>
      <w:r>
        <w:rPr>
          <w:spacing w:val="40"/>
        </w:rPr>
        <w:tab/>
      </w:r>
      <w:r>
        <w:rPr>
          <w:spacing w:val="50"/>
        </w:rPr>
        <w:t xml:space="preserve">passivo </w:t>
      </w:r>
      <w:r>
        <w:rPr>
          <w:spacing w:val="55"/>
        </w:rPr>
        <w:t>socioambiental</w:t>
      </w:r>
      <w:r>
        <w:rPr>
          <w:spacing w:val="55"/>
        </w:rPr>
        <w:tab/>
      </w:r>
      <w:r>
        <w:rPr>
          <w:spacing w:val="30"/>
        </w:rPr>
        <w:t>de</w:t>
      </w:r>
      <w:r>
        <w:rPr>
          <w:spacing w:val="30"/>
        </w:rPr>
        <w:tab/>
      </w:r>
      <w:r>
        <w:rPr>
          <w:spacing w:val="50"/>
        </w:rPr>
        <w:t>antiga</w:t>
      </w:r>
      <w:r>
        <w:rPr>
          <w:spacing w:val="50"/>
        </w:rPr>
        <w:tab/>
      </w:r>
      <w:r>
        <w:rPr>
          <w:spacing w:val="53"/>
        </w:rPr>
        <w:t>metalúrgica</w:t>
      </w:r>
      <w:r>
        <w:rPr>
          <w:spacing w:val="-51"/>
        </w:rPr>
        <w:t xml:space="preserve"> </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7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BA - Santo Amaro</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-12,5044</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-38,8138</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6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A população da cidade de Santo Amaro </w:t>
      </w:r>
      <w:r>
        <w:rPr>
          <w:i/>
          <w:sz w:val="16"/>
        </w:rPr>
        <w:t>convive com um passivo ambiental de cerca de 500 mil toneladas de resíduo contaminado com metais pesados advindo da companhia Plumbum, que encerrou suas atividades em 1993. Considerada uma das cidades mais poluídas por chumbo no mundo, o município é aponta</w:t>
      </w:r>
      <w:r>
        <w:rPr>
          <w:i/>
          <w:sz w:val="16"/>
        </w:rPr>
        <w:t>do como referência na literatura para estudar a contaminação por chumbo e cádmio.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6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93"/>
      </w:pPr>
      <w:r>
        <w:t>assim como, a população local, principalmente as crianças, fossem contaminadas por chumbo e cádmio (CARVALHO et al., 2003).</w:t>
      </w:r>
    </w:p>
    <w:p w:rsidR="00D81F69" w:rsidRDefault="00330118">
      <w:pPr>
        <w:pStyle w:val="Corpodetexto"/>
        <w:spacing w:before="132" w:line="312" w:lineRule="auto"/>
        <w:ind w:left="135" w:right="206"/>
      </w:pPr>
      <w:r>
        <w:t>Em 1989, a usina foi vendida à empresa Plumbum</w:t>
      </w:r>
      <w:r>
        <w:t xml:space="preserve"> Mineração e </w:t>
      </w:r>
      <w:r>
        <w:rPr>
          <w:spacing w:val="3"/>
        </w:rPr>
        <w:t xml:space="preserve">Metalurgia Ltda., pertencente </w:t>
      </w:r>
      <w:r>
        <w:rPr>
          <w:spacing w:val="1"/>
        </w:rPr>
        <w:t xml:space="preserve">ao </w:t>
      </w:r>
      <w:r>
        <w:rPr>
          <w:spacing w:val="3"/>
        </w:rPr>
        <w:t xml:space="preserve">grupo brasileiro </w:t>
      </w:r>
      <w:r>
        <w:rPr>
          <w:spacing w:val="5"/>
        </w:rPr>
        <w:t xml:space="preserve">Trevo </w:t>
      </w:r>
      <w:r>
        <w:rPr>
          <w:spacing w:val="3"/>
        </w:rPr>
        <w:t xml:space="preserve">(ANJOS; SÁNCHEZ, 2001). </w:t>
      </w:r>
      <w:r>
        <w:rPr>
          <w:spacing w:val="2"/>
        </w:rPr>
        <w:t xml:space="preserve">Dois anos </w:t>
      </w:r>
      <w:r>
        <w:rPr>
          <w:spacing w:val="3"/>
        </w:rPr>
        <w:t xml:space="preserve">depois, </w:t>
      </w:r>
      <w:r>
        <w:t xml:space="preserve">a </w:t>
      </w:r>
      <w:r>
        <w:rPr>
          <w:spacing w:val="5"/>
        </w:rPr>
        <w:t xml:space="preserve">empresa </w:t>
      </w:r>
      <w:r>
        <w:rPr>
          <w:spacing w:val="3"/>
        </w:rPr>
        <w:t xml:space="preserve">solicitou </w:t>
      </w:r>
      <w:r>
        <w:rPr>
          <w:spacing w:val="1"/>
        </w:rPr>
        <w:t xml:space="preserve">ao </w:t>
      </w:r>
      <w:r>
        <w:rPr>
          <w:spacing w:val="3"/>
        </w:rPr>
        <w:t xml:space="preserve">Centro </w:t>
      </w:r>
      <w:r>
        <w:rPr>
          <w:spacing w:val="1"/>
        </w:rPr>
        <w:t xml:space="preserve">de </w:t>
      </w:r>
      <w:r>
        <w:rPr>
          <w:spacing w:val="3"/>
        </w:rPr>
        <w:t xml:space="preserve">Recursos Ambientais (CRA), </w:t>
      </w:r>
      <w:r>
        <w:rPr>
          <w:spacing w:val="5"/>
        </w:rPr>
        <w:t xml:space="preserve">órgão ambiental </w:t>
      </w:r>
      <w:r>
        <w:rPr>
          <w:spacing w:val="2"/>
        </w:rPr>
        <w:t xml:space="preserve">da </w:t>
      </w:r>
      <w:r>
        <w:rPr>
          <w:spacing w:val="5"/>
        </w:rPr>
        <w:t xml:space="preserve">Bahia, licença </w:t>
      </w:r>
      <w:r>
        <w:rPr>
          <w:spacing w:val="2"/>
        </w:rPr>
        <w:t xml:space="preserve">de </w:t>
      </w:r>
      <w:r>
        <w:rPr>
          <w:spacing w:val="5"/>
        </w:rPr>
        <w:t xml:space="preserve">operação. </w:t>
      </w:r>
      <w:r>
        <w:t xml:space="preserve">O </w:t>
      </w:r>
      <w:r>
        <w:rPr>
          <w:spacing w:val="3"/>
        </w:rPr>
        <w:t xml:space="preserve">CRA </w:t>
      </w:r>
      <w:r>
        <w:rPr>
          <w:spacing w:val="5"/>
        </w:rPr>
        <w:t>emitiu</w:t>
      </w:r>
      <w:r>
        <w:rPr>
          <w:spacing w:val="61"/>
        </w:rPr>
        <w:t xml:space="preserve"> </w:t>
      </w:r>
      <w:r>
        <w:t xml:space="preserve">parecer com 27 condicionantes para a liberação da licença </w:t>
      </w:r>
      <w:r>
        <w:rPr>
          <w:spacing w:val="2"/>
        </w:rPr>
        <w:t xml:space="preserve">por três </w:t>
      </w:r>
      <w:r>
        <w:rPr>
          <w:spacing w:val="3"/>
        </w:rPr>
        <w:t xml:space="preserve">anos. </w:t>
      </w:r>
      <w:r>
        <w:rPr>
          <w:spacing w:val="1"/>
        </w:rPr>
        <w:t xml:space="preserve">No </w:t>
      </w:r>
      <w:r>
        <w:rPr>
          <w:spacing w:val="3"/>
        </w:rPr>
        <w:t xml:space="preserve">entanto, </w:t>
      </w:r>
      <w:r>
        <w:rPr>
          <w:spacing w:val="2"/>
        </w:rPr>
        <w:t xml:space="preserve">“os </w:t>
      </w:r>
      <w:r>
        <w:rPr>
          <w:spacing w:val="3"/>
        </w:rPr>
        <w:t xml:space="preserve">condicionantes </w:t>
      </w:r>
      <w:r>
        <w:rPr>
          <w:spacing w:val="2"/>
        </w:rPr>
        <w:t xml:space="preserve">não </w:t>
      </w:r>
      <w:r>
        <w:rPr>
          <w:spacing w:val="5"/>
        </w:rPr>
        <w:t xml:space="preserve">foram </w:t>
      </w:r>
      <w:r>
        <w:rPr>
          <w:spacing w:val="3"/>
        </w:rPr>
        <w:t xml:space="preserve">atendidos </w:t>
      </w:r>
      <w:r>
        <w:rPr>
          <w:spacing w:val="1"/>
        </w:rPr>
        <w:t xml:space="preserve">e, em </w:t>
      </w:r>
      <w:r>
        <w:rPr>
          <w:spacing w:val="3"/>
        </w:rPr>
        <w:t xml:space="preserve">dezembro </w:t>
      </w:r>
      <w:r>
        <w:rPr>
          <w:spacing w:val="1"/>
        </w:rPr>
        <w:t xml:space="preserve">de </w:t>
      </w:r>
      <w:r>
        <w:rPr>
          <w:spacing w:val="3"/>
        </w:rPr>
        <w:t xml:space="preserve">1993, </w:t>
      </w:r>
      <w:r>
        <w:t xml:space="preserve">a </w:t>
      </w:r>
      <w:r>
        <w:rPr>
          <w:spacing w:val="3"/>
        </w:rPr>
        <w:t xml:space="preserve">Plumbum </w:t>
      </w:r>
      <w:r>
        <w:rPr>
          <w:spacing w:val="5"/>
        </w:rPr>
        <w:t xml:space="preserve">encerrou </w:t>
      </w:r>
      <w:r>
        <w:rPr>
          <w:spacing w:val="6"/>
        </w:rPr>
        <w:t xml:space="preserve">suas </w:t>
      </w:r>
      <w:r>
        <w:rPr>
          <w:spacing w:val="8"/>
        </w:rPr>
        <w:t xml:space="preserve">atividades </w:t>
      </w:r>
      <w:r>
        <w:rPr>
          <w:spacing w:val="5"/>
        </w:rPr>
        <w:t xml:space="preserve">em </w:t>
      </w:r>
      <w:r>
        <w:rPr>
          <w:spacing w:val="7"/>
        </w:rPr>
        <w:t xml:space="preserve">Santo Amaro” (PNUD, </w:t>
      </w:r>
      <w:r>
        <w:rPr>
          <w:spacing w:val="6"/>
        </w:rPr>
        <w:t>2003</w:t>
      </w:r>
      <w:r>
        <w:t xml:space="preserve"> </w:t>
      </w:r>
      <w:r>
        <w:rPr>
          <w:spacing w:val="10"/>
        </w:rPr>
        <w:t>apud</w:t>
      </w:r>
    </w:p>
    <w:p w:rsidR="00D81F69" w:rsidRDefault="00D81F69">
      <w:pPr>
        <w:spacing w:line="312" w:lineRule="auto"/>
        <w:sectPr w:rsidR="00D81F69">
          <w:type w:val="continuous"/>
          <w:pgSz w:w="11900" w:h="16840"/>
          <w:pgMar w:top="720" w:right="500" w:bottom="280" w:left="620" w:header="720" w:footer="720" w:gutter="0"/>
          <w:cols w:num="3" w:space="720" w:equalWidth="0">
            <w:col w:w="1304" w:space="696"/>
            <w:col w:w="3124" w:space="311"/>
            <w:col w:w="5345"/>
          </w:cols>
        </w:sectPr>
      </w:pPr>
    </w:p>
    <w:p w:rsidR="00D81F69" w:rsidRDefault="00330118">
      <w:pPr>
        <w:pStyle w:val="Heading4"/>
        <w:spacing w:before="62"/>
        <w:jc w:val="left"/>
      </w:pPr>
      <w:r>
        <w:lastRenderedPageBreak/>
        <w:t>APRESENT</w:t>
      </w:r>
      <w:r>
        <w:t>AÇÃO DE CASO</w:t>
      </w:r>
    </w:p>
    <w:p w:rsidR="00D81F69" w:rsidRDefault="00330118">
      <w:pPr>
        <w:pStyle w:val="Corpodetexto"/>
        <w:spacing w:before="171" w:line="312" w:lineRule="auto"/>
        <w:ind w:right="73"/>
      </w:pPr>
      <w:r>
        <w:t>As instalações da Plumbum Mineração e Metalurgia Ltda., localizadas no município de Santo Amaro [antigamente chamado de Santo Amaro da Purificação], no Recôncavo Baiano, foram abandonadas em 1993, deixando um passivo com 490 mil toneladas de r</w:t>
      </w:r>
      <w:r>
        <w:t xml:space="preserve">esíduo contaminado com metais pesados, em especial chumbo e </w:t>
      </w:r>
      <w:hyperlink r:id="rId572">
        <w:r>
          <w:t>cádmio.</w:t>
        </w:r>
      </w:hyperlink>
      <w:r>
        <w:t xml:space="preserve"> Boa parte da população da região, dentre eles ex-funcionários da metalúrgica, bem como o solo, os </w:t>
      </w:r>
      <w:r>
        <w:t>sedimentos, a fauna e os mariscos do estuário do rio Subaé foram contaminados com resíduos industriais (ANJOS; SÁNCHEZ, 2001).</w:t>
      </w:r>
    </w:p>
    <w:p w:rsidR="00D81F69" w:rsidRDefault="00330118">
      <w:pPr>
        <w:pStyle w:val="Corpodetexto"/>
        <w:spacing w:before="139" w:line="312" w:lineRule="auto"/>
        <w:jc w:val="left"/>
      </w:pPr>
      <w:r>
        <w:t>Com 492,912 km² e 57.800 habitantes (IBGE, 2010), o município histórico de Santo Amaro localiza-se a 100 km da capital, Salvador,</w:t>
      </w:r>
      <w:r>
        <w:t xml:space="preserve"> e tem no setor de serviços a base de sua economia (MANZONI; MINAS, 2009).</w:t>
      </w:r>
    </w:p>
    <w:p w:rsidR="00D81F69" w:rsidRDefault="00330118">
      <w:pPr>
        <w:pStyle w:val="Corpodetexto"/>
        <w:spacing w:before="134" w:line="312" w:lineRule="auto"/>
        <w:ind w:right="74"/>
      </w:pPr>
      <w:r>
        <w:t>Tudo começou em 1960, quando a Companhia Brasileira de Chumbo (Cobrac), à época pertencente ao grupo multinacional Penarroya Oxide S.A. (hoje Metaleurop S.A.), começou a produzir li</w:t>
      </w:r>
      <w:r>
        <w:t xml:space="preserve">ngotes de </w:t>
      </w:r>
      <w:hyperlink r:id="rId573">
        <w:r>
          <w:t>chumbo</w:t>
        </w:r>
      </w:hyperlink>
      <w:r>
        <w:t xml:space="preserve"> em Santo Amaro (ANJOS; SÁNCHEZ, 2001).</w:t>
      </w:r>
    </w:p>
    <w:p w:rsidR="00D81F69" w:rsidRDefault="00330118">
      <w:pPr>
        <w:pStyle w:val="Corpodetexto"/>
        <w:spacing w:before="134" w:line="312" w:lineRule="auto"/>
        <w:ind w:right="69"/>
      </w:pPr>
      <w:r>
        <w:t>Em 1974, a Cobrac fez o primeiro pedido de licenciamento, com o objetivo de aumentar sua capacidade de produç</w:t>
      </w:r>
      <w:r>
        <w:t xml:space="preserve">ão de 30 mil toneladas de chumbo metálico para 45 mil t/ano, bem </w:t>
      </w:r>
      <w:r>
        <w:rPr>
          <w:spacing w:val="10"/>
        </w:rPr>
        <w:t xml:space="preserve">como para </w:t>
      </w:r>
      <w:r>
        <w:rPr>
          <w:spacing w:val="12"/>
        </w:rPr>
        <w:t xml:space="preserve">modernizar </w:t>
      </w:r>
      <w:r>
        <w:rPr>
          <w:spacing w:val="6"/>
        </w:rPr>
        <w:t xml:space="preserve">as </w:t>
      </w:r>
      <w:r>
        <w:rPr>
          <w:spacing w:val="12"/>
        </w:rPr>
        <w:t xml:space="preserve">instalações </w:t>
      </w:r>
      <w:r>
        <w:rPr>
          <w:spacing w:val="6"/>
        </w:rPr>
        <w:t xml:space="preserve">do </w:t>
      </w:r>
      <w:r>
        <w:rPr>
          <w:spacing w:val="15"/>
        </w:rPr>
        <w:t xml:space="preserve">complexo </w:t>
      </w:r>
      <w:r>
        <w:rPr>
          <w:spacing w:val="5"/>
        </w:rPr>
        <w:t xml:space="preserve">metalúrgico (OLIVEIRA, 1977 apud ANJOS; </w:t>
      </w:r>
      <w:r>
        <w:rPr>
          <w:spacing w:val="6"/>
        </w:rPr>
        <w:t xml:space="preserve">SÁNCHEZ, </w:t>
      </w:r>
      <w:r>
        <w:t>2001). O governo do estado da Bahia, no entanto, indeferiu o pedido (MANZONI; MINAS, 2009) e s</w:t>
      </w:r>
      <w:r>
        <w:t xml:space="preserve">ugeriu a transferência  do empreendimento para o Centro Industrial de Aratu (CIA), </w:t>
      </w:r>
      <w:r>
        <w:rPr>
          <w:spacing w:val="7"/>
        </w:rPr>
        <w:t xml:space="preserve">na </w:t>
      </w:r>
      <w:r>
        <w:rPr>
          <w:spacing w:val="12"/>
        </w:rPr>
        <w:t xml:space="preserve">região </w:t>
      </w:r>
      <w:r>
        <w:rPr>
          <w:spacing w:val="13"/>
        </w:rPr>
        <w:t xml:space="preserve">metropolitana </w:t>
      </w:r>
      <w:r>
        <w:rPr>
          <w:spacing w:val="7"/>
        </w:rPr>
        <w:t xml:space="preserve">de </w:t>
      </w:r>
      <w:r>
        <w:rPr>
          <w:spacing w:val="13"/>
        </w:rPr>
        <w:t xml:space="preserve">Salvador, </w:t>
      </w:r>
      <w:r>
        <w:rPr>
          <w:spacing w:val="12"/>
        </w:rPr>
        <w:t xml:space="preserve">levando </w:t>
      </w:r>
      <w:r>
        <w:rPr>
          <w:spacing w:val="7"/>
        </w:rPr>
        <w:t xml:space="preserve">em </w:t>
      </w:r>
      <w:r>
        <w:rPr>
          <w:spacing w:val="10"/>
        </w:rPr>
        <w:t xml:space="preserve">consideração </w:t>
      </w:r>
      <w:r>
        <w:rPr>
          <w:spacing w:val="5"/>
        </w:rPr>
        <w:t xml:space="preserve">os </w:t>
      </w:r>
      <w:r>
        <w:rPr>
          <w:spacing w:val="8"/>
        </w:rPr>
        <w:t xml:space="preserve">aspectos ambientais </w:t>
      </w:r>
      <w:r>
        <w:t xml:space="preserve">e o </w:t>
      </w:r>
      <w:r>
        <w:rPr>
          <w:spacing w:val="8"/>
        </w:rPr>
        <w:t xml:space="preserve">estado </w:t>
      </w:r>
      <w:r>
        <w:rPr>
          <w:spacing w:val="10"/>
        </w:rPr>
        <w:t xml:space="preserve">de </w:t>
      </w:r>
      <w:r>
        <w:rPr>
          <w:spacing w:val="6"/>
        </w:rPr>
        <w:t xml:space="preserve">deterioração </w:t>
      </w:r>
      <w:r>
        <w:rPr>
          <w:spacing w:val="3"/>
        </w:rPr>
        <w:t xml:space="preserve">em </w:t>
      </w:r>
      <w:r>
        <w:rPr>
          <w:spacing w:val="5"/>
        </w:rPr>
        <w:t xml:space="preserve">que </w:t>
      </w:r>
      <w:r>
        <w:t xml:space="preserve">o </w:t>
      </w:r>
      <w:r>
        <w:rPr>
          <w:spacing w:val="6"/>
        </w:rPr>
        <w:t xml:space="preserve">empreendimento </w:t>
      </w:r>
      <w:r>
        <w:rPr>
          <w:spacing w:val="3"/>
        </w:rPr>
        <w:t xml:space="preserve">se </w:t>
      </w:r>
      <w:r>
        <w:rPr>
          <w:spacing w:val="7"/>
        </w:rPr>
        <w:t xml:space="preserve">encontrava </w:t>
      </w:r>
      <w:r>
        <w:rPr>
          <w:spacing w:val="6"/>
        </w:rPr>
        <w:t xml:space="preserve">(OLIVEIRA, </w:t>
      </w:r>
      <w:r>
        <w:rPr>
          <w:spacing w:val="5"/>
        </w:rPr>
        <w:t>1977 apud ANJ</w:t>
      </w:r>
      <w:r>
        <w:rPr>
          <w:spacing w:val="5"/>
        </w:rPr>
        <w:t xml:space="preserve">OS; </w:t>
      </w:r>
      <w:r>
        <w:rPr>
          <w:spacing w:val="6"/>
        </w:rPr>
        <w:t>SÁNCHEZ,</w:t>
      </w:r>
      <w:r>
        <w:rPr>
          <w:spacing w:val="-21"/>
        </w:rPr>
        <w:t xml:space="preserve"> </w:t>
      </w:r>
      <w:r>
        <w:rPr>
          <w:spacing w:val="7"/>
        </w:rPr>
        <w:t>2001).</w:t>
      </w:r>
    </w:p>
    <w:p w:rsidR="00D81F69" w:rsidRDefault="00330118">
      <w:pPr>
        <w:pStyle w:val="Corpodetexto"/>
        <w:spacing w:before="141" w:line="312" w:lineRule="auto"/>
        <w:ind w:right="64"/>
      </w:pPr>
      <w:r>
        <w:t>A permanência da metalúrgica no local condenado causou a continuidade do processo de degradação ambiental, contribuindo para que as águas, o solo, a flora e a fauna,</w:t>
      </w:r>
    </w:p>
    <w:p w:rsidR="00D81F69" w:rsidRDefault="00330118">
      <w:pPr>
        <w:pStyle w:val="Corpodetexto"/>
        <w:spacing w:before="9"/>
      </w:pPr>
      <w:r>
        <w:br w:type="column"/>
      </w:r>
      <w:r>
        <w:lastRenderedPageBreak/>
        <w:t>MEYER; GENERINO; CRISTANI, 2007, p. 3).</w:t>
      </w:r>
    </w:p>
    <w:p w:rsidR="00D81F69" w:rsidRDefault="00D81F69">
      <w:pPr>
        <w:pStyle w:val="Corpodetexto"/>
        <w:spacing w:before="8"/>
        <w:ind w:left="0"/>
        <w:jc w:val="left"/>
        <w:rPr>
          <w:sz w:val="16"/>
        </w:rPr>
      </w:pPr>
    </w:p>
    <w:p w:rsidR="00D81F69" w:rsidRDefault="00330118">
      <w:pPr>
        <w:pStyle w:val="Corpodetexto"/>
        <w:spacing w:before="1" w:line="312" w:lineRule="auto"/>
        <w:ind w:right="211"/>
      </w:pPr>
      <w:r>
        <w:t>Para produzir as ligas de chumbo em Santo Amaro, a metalúrgica usava o minério de chumbo lavrado e beneficiado no município de Boquira, no sudoeste do estado da Bahia (MANZONI; MINAS, 2009). Com a exaustão da mina, em Boquira, a Plumbum passou a importar o</w:t>
      </w:r>
      <w:r>
        <w:t xml:space="preserve"> minério do Peru (MACHADO et al., 2004).</w:t>
      </w:r>
    </w:p>
    <w:p w:rsidR="00D81F69" w:rsidRDefault="00330118">
      <w:pPr>
        <w:pStyle w:val="Corpodetexto"/>
        <w:spacing w:before="135" w:line="312" w:lineRule="auto"/>
        <w:ind w:right="189"/>
      </w:pPr>
      <w:r>
        <w:t xml:space="preserve">Durante o processo de beneficiamento havia pouco controle </w:t>
      </w:r>
      <w:r>
        <w:rPr>
          <w:spacing w:val="2"/>
        </w:rPr>
        <w:t xml:space="preserve">do </w:t>
      </w:r>
      <w:r>
        <w:rPr>
          <w:spacing w:val="5"/>
        </w:rPr>
        <w:t xml:space="preserve">manejo </w:t>
      </w:r>
      <w:r>
        <w:rPr>
          <w:spacing w:val="3"/>
        </w:rPr>
        <w:t xml:space="preserve">dos </w:t>
      </w:r>
      <w:r>
        <w:rPr>
          <w:spacing w:val="5"/>
        </w:rPr>
        <w:t xml:space="preserve">danos </w:t>
      </w:r>
      <w:r>
        <w:rPr>
          <w:spacing w:val="2"/>
        </w:rPr>
        <w:t xml:space="preserve">ao </w:t>
      </w:r>
      <w:r>
        <w:rPr>
          <w:spacing w:val="5"/>
        </w:rPr>
        <w:t xml:space="preserve">meio ambiente, </w:t>
      </w:r>
      <w:r>
        <w:rPr>
          <w:spacing w:val="3"/>
        </w:rPr>
        <w:t xml:space="preserve">bem </w:t>
      </w:r>
      <w:r>
        <w:rPr>
          <w:spacing w:val="5"/>
        </w:rPr>
        <w:t xml:space="preserve">como </w:t>
      </w:r>
      <w:r>
        <w:rPr>
          <w:spacing w:val="6"/>
        </w:rPr>
        <w:t xml:space="preserve">de </w:t>
      </w:r>
      <w:r>
        <w:rPr>
          <w:spacing w:val="11"/>
        </w:rPr>
        <w:t xml:space="preserve">medidas </w:t>
      </w:r>
      <w:r>
        <w:rPr>
          <w:spacing w:val="6"/>
        </w:rPr>
        <w:t xml:space="preserve">de </w:t>
      </w:r>
      <w:r>
        <w:rPr>
          <w:spacing w:val="12"/>
        </w:rPr>
        <w:t xml:space="preserve">proteção </w:t>
      </w:r>
      <w:r>
        <w:t xml:space="preserve">e </w:t>
      </w:r>
      <w:r>
        <w:rPr>
          <w:spacing w:val="12"/>
        </w:rPr>
        <w:t xml:space="preserve">segurança destinadas </w:t>
      </w:r>
      <w:r>
        <w:rPr>
          <w:spacing w:val="10"/>
        </w:rPr>
        <w:t xml:space="preserve">aos </w:t>
      </w:r>
      <w:r>
        <w:t>funcionários e moradores. A escória era considerada inócua e</w:t>
      </w:r>
      <w:r>
        <w:t xml:space="preserve"> amontoada no terreno no entorno da usina e ainda havia o </w:t>
      </w:r>
      <w:r>
        <w:rPr>
          <w:spacing w:val="10"/>
        </w:rPr>
        <w:t xml:space="preserve">particulado </w:t>
      </w:r>
      <w:r>
        <w:rPr>
          <w:spacing w:val="5"/>
        </w:rPr>
        <w:t xml:space="preserve">de </w:t>
      </w:r>
      <w:r>
        <w:rPr>
          <w:spacing w:val="10"/>
        </w:rPr>
        <w:t xml:space="preserve">chumbo </w:t>
      </w:r>
      <w:r>
        <w:t xml:space="preserve">- </w:t>
      </w:r>
      <w:r>
        <w:rPr>
          <w:spacing w:val="10"/>
        </w:rPr>
        <w:t xml:space="preserve">decorrente </w:t>
      </w:r>
      <w:r>
        <w:rPr>
          <w:spacing w:val="5"/>
        </w:rPr>
        <w:t xml:space="preserve">do </w:t>
      </w:r>
      <w:r>
        <w:rPr>
          <w:spacing w:val="10"/>
        </w:rPr>
        <w:t xml:space="preserve">processo </w:t>
      </w:r>
      <w:r>
        <w:rPr>
          <w:spacing w:val="11"/>
        </w:rPr>
        <w:t xml:space="preserve">de </w:t>
      </w:r>
      <w:r>
        <w:rPr>
          <w:spacing w:val="5"/>
        </w:rPr>
        <w:t xml:space="preserve">sinterização </w:t>
      </w:r>
      <w:r>
        <w:t xml:space="preserve">- </w:t>
      </w:r>
      <w:r>
        <w:rPr>
          <w:spacing w:val="3"/>
        </w:rPr>
        <w:t xml:space="preserve">que era </w:t>
      </w:r>
      <w:r>
        <w:rPr>
          <w:spacing w:val="5"/>
        </w:rPr>
        <w:t xml:space="preserve">expelido </w:t>
      </w:r>
      <w:r>
        <w:rPr>
          <w:spacing w:val="3"/>
        </w:rPr>
        <w:t xml:space="preserve">pela </w:t>
      </w:r>
      <w:r>
        <w:rPr>
          <w:spacing w:val="5"/>
        </w:rPr>
        <w:t xml:space="preserve">chaminé (SOBRAL, </w:t>
      </w:r>
      <w:r>
        <w:t>2008). A partir do fechamento da empresa, a escória e o solo contaminado passaram a ser as pri</w:t>
      </w:r>
      <w:r>
        <w:t xml:space="preserve">ncipais fontes de poluição </w:t>
      </w:r>
      <w:r>
        <w:rPr>
          <w:spacing w:val="5"/>
        </w:rPr>
        <w:t xml:space="preserve">ambiental </w:t>
      </w:r>
      <w:r>
        <w:rPr>
          <w:spacing w:val="3"/>
        </w:rPr>
        <w:t xml:space="preserve">por </w:t>
      </w:r>
      <w:r>
        <w:rPr>
          <w:spacing w:val="5"/>
        </w:rPr>
        <w:t xml:space="preserve">chumbo </w:t>
      </w:r>
      <w:r>
        <w:rPr>
          <w:spacing w:val="2"/>
        </w:rPr>
        <w:t xml:space="preserve">no </w:t>
      </w:r>
      <w:r>
        <w:rPr>
          <w:spacing w:val="5"/>
        </w:rPr>
        <w:t xml:space="preserve">município (CARVALHO </w:t>
      </w:r>
      <w:r>
        <w:rPr>
          <w:spacing w:val="2"/>
        </w:rPr>
        <w:t xml:space="preserve">et </w:t>
      </w:r>
      <w:r>
        <w:rPr>
          <w:spacing w:val="6"/>
        </w:rPr>
        <w:t>al., 2003).</w:t>
      </w:r>
    </w:p>
    <w:p w:rsidR="00D81F69" w:rsidRDefault="00330118">
      <w:pPr>
        <w:pStyle w:val="Corpodetexto"/>
        <w:spacing w:before="140" w:line="312" w:lineRule="auto"/>
        <w:ind w:right="206"/>
      </w:pPr>
      <w:r>
        <w:t>Durante os anos de operação da Plumbum Mineração e Metalurgia Ltda., foram produzidas aproximadamente 900 mil toneladas de concentrado de chumbo, gerando milhões de tonel</w:t>
      </w:r>
      <w:r>
        <w:t>adas de resíduos e cerca de 500 mil toneladas de escória (MANZONI; MINAS, 2009). Desde o início do funcionamento da metalúrgica, o município apresentou sinais de contaminação, com a morte de animais nas áreas próximas ao empreendimento (ANJOS, 2001), local</w:t>
      </w:r>
      <w:r>
        <w:t>izado a noroeste da área urbana de Santo Amaro, a 300 metros do rio Subaé, principal rio da bacia hidrográfica de mesmo nome (MANZONI; MINAS, 2009).</w:t>
      </w:r>
    </w:p>
    <w:p w:rsidR="00D81F69" w:rsidRDefault="00330118">
      <w:pPr>
        <w:pStyle w:val="Corpodetexto"/>
        <w:spacing w:before="77" w:line="270" w:lineRule="atLeast"/>
        <w:ind w:right="194"/>
      </w:pPr>
      <w:r>
        <w:rPr>
          <w:spacing w:val="5"/>
        </w:rPr>
        <w:t xml:space="preserve">Dentre </w:t>
      </w:r>
      <w:r>
        <w:rPr>
          <w:spacing w:val="2"/>
        </w:rPr>
        <w:t xml:space="preserve">os </w:t>
      </w:r>
      <w:r>
        <w:rPr>
          <w:spacing w:val="5"/>
        </w:rPr>
        <w:t>principais impactos socioambientais causados</w:t>
      </w:r>
      <w:r>
        <w:rPr>
          <w:spacing w:val="61"/>
        </w:rPr>
        <w:t xml:space="preserve"> </w:t>
      </w:r>
      <w:r>
        <w:t>pelas atividades da metalúrgica no município baiano,</w:t>
      </w:r>
      <w:r>
        <w:t xml:space="preserve"> podem- </w:t>
      </w:r>
      <w:r>
        <w:rPr>
          <w:spacing w:val="5"/>
        </w:rPr>
        <w:t xml:space="preserve">se </w:t>
      </w:r>
      <w:r>
        <w:rPr>
          <w:spacing w:val="7"/>
        </w:rPr>
        <w:t xml:space="preserve">citar: </w:t>
      </w:r>
      <w:r>
        <w:t xml:space="preserve">a </w:t>
      </w:r>
      <w:r>
        <w:rPr>
          <w:spacing w:val="8"/>
        </w:rPr>
        <w:t xml:space="preserve">contaminação </w:t>
      </w:r>
      <w:r>
        <w:rPr>
          <w:spacing w:val="5"/>
        </w:rPr>
        <w:t xml:space="preserve">das </w:t>
      </w:r>
      <w:r>
        <w:rPr>
          <w:spacing w:val="7"/>
        </w:rPr>
        <w:t xml:space="preserve">águas </w:t>
      </w:r>
      <w:r>
        <w:rPr>
          <w:spacing w:val="5"/>
        </w:rPr>
        <w:t xml:space="preserve">do rio </w:t>
      </w:r>
      <w:r>
        <w:rPr>
          <w:spacing w:val="7"/>
        </w:rPr>
        <w:t xml:space="preserve">Subaé </w:t>
      </w:r>
      <w:r>
        <w:rPr>
          <w:spacing w:val="10"/>
        </w:rPr>
        <w:t xml:space="preserve">por </w:t>
      </w:r>
      <w:r>
        <w:t xml:space="preserve">substâncias tóxicas, impactando diversas comunidades </w:t>
      </w:r>
      <w:r>
        <w:rPr>
          <w:spacing w:val="1"/>
        </w:rPr>
        <w:t xml:space="preserve">que </w:t>
      </w:r>
      <w:r>
        <w:t xml:space="preserve">tiravam seu sustento do rio; a poluição do ar pela fumaça da </w:t>
      </w:r>
      <w:r>
        <w:rPr>
          <w:spacing w:val="5"/>
        </w:rPr>
        <w:t xml:space="preserve">indústria, </w:t>
      </w:r>
      <w:r>
        <w:rPr>
          <w:spacing w:val="3"/>
        </w:rPr>
        <w:t xml:space="preserve">que </w:t>
      </w:r>
      <w:r>
        <w:rPr>
          <w:spacing w:val="5"/>
        </w:rPr>
        <w:t xml:space="preserve">somente, </w:t>
      </w:r>
      <w:r>
        <w:rPr>
          <w:spacing w:val="2"/>
        </w:rPr>
        <w:t xml:space="preserve">em </w:t>
      </w:r>
      <w:r>
        <w:rPr>
          <w:spacing w:val="3"/>
        </w:rPr>
        <w:t xml:space="preserve">1989, após </w:t>
      </w:r>
      <w:r>
        <w:rPr>
          <w:spacing w:val="5"/>
        </w:rPr>
        <w:t xml:space="preserve">determinação da </w:t>
      </w:r>
      <w:r>
        <w:t>Justiça, passou a usar f</w:t>
      </w:r>
      <w:r>
        <w:t>iltro em sua chaminé (ALCÂNTARA,</w:t>
      </w:r>
    </w:p>
    <w:p w:rsidR="00D81F69" w:rsidRDefault="00D81F69">
      <w:pPr>
        <w:spacing w:line="270" w:lineRule="atLeast"/>
        <w:sectPr w:rsidR="00D81F69">
          <w:type w:val="continuous"/>
          <w:pgSz w:w="11900" w:h="16840"/>
          <w:pgMar w:top="720" w:right="500" w:bottom="280" w:left="620" w:header="720" w:footer="720" w:gutter="0"/>
          <w:cols w:num="2" w:space="720" w:equalWidth="0">
            <w:col w:w="5191" w:space="279"/>
            <w:col w:w="5310"/>
          </w:cols>
        </w:sectPr>
      </w:pPr>
    </w:p>
    <w:p w:rsidR="00D81F69" w:rsidRDefault="00330118">
      <w:pPr>
        <w:pStyle w:val="Corpodetexto"/>
        <w:spacing w:before="81" w:line="312" w:lineRule="auto"/>
        <w:ind w:right="50"/>
      </w:pPr>
      <w:r>
        <w:lastRenderedPageBreak/>
        <w:t>2010); o depósito de grandes pilhas de escória diretamente sobre o solo, a céu aberto, ameaçando as águas subterrâneas e o rio Subaé (CARVALHO et al., 2003); a distribuição pela empresa da escória</w:t>
      </w:r>
      <w:r>
        <w:t xml:space="preserve"> contaminada com 2% a 3% de chumbo para uso como aterro pela população e pela prefeitura na pavimentação de ruas e construções públicas, como creches e escolas; e a contaminação do solo por grande quantidade de soluções com contaminantes que se infiltrou n</w:t>
      </w:r>
      <w:r>
        <w:t>o subsolo durante os anos de funcionamento da usina (ALCÂNTARA, 2010).</w:t>
      </w:r>
    </w:p>
    <w:p w:rsidR="00D81F69" w:rsidRDefault="00330118">
      <w:pPr>
        <w:pStyle w:val="Corpodetexto"/>
        <w:spacing w:before="139" w:line="312" w:lineRule="auto"/>
        <w:ind w:right="44"/>
      </w:pPr>
      <w:r>
        <w:t>O alto nível de chumbo e cádmio, no ar, na água e no solo, também prejudicou as atividades econômicas na região, como a pesca (ALCÂNTARA, 2010), a produção hortifrutigranjeira e a criaç</w:t>
      </w:r>
      <w:r>
        <w:t>ão de gado, e ainda causou danos à saúde da população (MANZONI; MINAS, 2009), em especial aos trabalhadores, que não usaram, em nenhum momento, proteção adequada para o manuseio da matéria prima considerada altamente tóxica pela Organização Mundial de Saúd</w:t>
      </w:r>
      <w:r>
        <w:t>e (OMS) (ALCÂNTARA, 2010; SOBRAL, 2008).</w:t>
      </w:r>
    </w:p>
    <w:p w:rsidR="00D81F69" w:rsidRDefault="00330118">
      <w:pPr>
        <w:pStyle w:val="Corpodetexto"/>
        <w:spacing w:before="138" w:line="312" w:lineRule="auto"/>
        <w:ind w:right="38"/>
      </w:pPr>
      <w:r>
        <w:t xml:space="preserve">A partir de 1975, pesquisas desenvolvidas pela Universidade </w:t>
      </w:r>
      <w:r>
        <w:rPr>
          <w:spacing w:val="11"/>
        </w:rPr>
        <w:t xml:space="preserve">Federal </w:t>
      </w:r>
      <w:r>
        <w:rPr>
          <w:spacing w:val="6"/>
        </w:rPr>
        <w:t xml:space="preserve">da </w:t>
      </w:r>
      <w:r>
        <w:rPr>
          <w:spacing w:val="11"/>
        </w:rPr>
        <w:t xml:space="preserve">Bahia (UFBA), </w:t>
      </w:r>
      <w:r>
        <w:rPr>
          <w:spacing w:val="6"/>
        </w:rPr>
        <w:t xml:space="preserve">na </w:t>
      </w:r>
      <w:r>
        <w:rPr>
          <w:spacing w:val="11"/>
        </w:rPr>
        <w:t xml:space="preserve">bacia </w:t>
      </w:r>
      <w:r>
        <w:rPr>
          <w:spacing w:val="6"/>
        </w:rPr>
        <w:t xml:space="preserve">do </w:t>
      </w:r>
      <w:r>
        <w:rPr>
          <w:spacing w:val="10"/>
        </w:rPr>
        <w:t xml:space="preserve">rio </w:t>
      </w:r>
      <w:r>
        <w:rPr>
          <w:spacing w:val="11"/>
        </w:rPr>
        <w:t xml:space="preserve">Subaé, </w:t>
      </w:r>
      <w:r>
        <w:t>identificaram como causas da contaminação: a instalação da metalurgia em uma área onde predominavam ventos de baixa velocidade e constantes inversões térmicas, prejudicando a dispersão e facilitando a deposição dos particulados na área urbana; a proximidad</w:t>
      </w:r>
      <w:r>
        <w:t xml:space="preserve">e da empresa do leito do rio Subaé, bem </w:t>
      </w:r>
      <w:r>
        <w:rPr>
          <w:spacing w:val="2"/>
        </w:rPr>
        <w:t xml:space="preserve">como </w:t>
      </w:r>
      <w:r>
        <w:rPr>
          <w:spacing w:val="1"/>
        </w:rPr>
        <w:t xml:space="preserve">de </w:t>
      </w:r>
      <w:r>
        <w:rPr>
          <w:spacing w:val="2"/>
        </w:rPr>
        <w:t xml:space="preserve">suas </w:t>
      </w:r>
      <w:r>
        <w:rPr>
          <w:spacing w:val="3"/>
        </w:rPr>
        <w:t xml:space="preserve">áreas </w:t>
      </w:r>
      <w:r>
        <w:rPr>
          <w:spacing w:val="1"/>
        </w:rPr>
        <w:t xml:space="preserve">de </w:t>
      </w:r>
      <w:r>
        <w:rPr>
          <w:spacing w:val="3"/>
        </w:rPr>
        <w:t xml:space="preserve">inundação; </w:t>
      </w:r>
      <w:r>
        <w:t xml:space="preserve">o </w:t>
      </w:r>
      <w:r>
        <w:rPr>
          <w:spacing w:val="3"/>
        </w:rPr>
        <w:t xml:space="preserve">transbordamento </w:t>
      </w:r>
      <w:r>
        <w:rPr>
          <w:spacing w:val="5"/>
        </w:rPr>
        <w:t xml:space="preserve">da </w:t>
      </w:r>
      <w:r>
        <w:t xml:space="preserve">bacia de rejeito em períodos de muita chuva; a baixa vazão  </w:t>
      </w:r>
      <w:r>
        <w:rPr>
          <w:spacing w:val="2"/>
        </w:rPr>
        <w:t xml:space="preserve">do </w:t>
      </w:r>
      <w:r>
        <w:rPr>
          <w:spacing w:val="3"/>
        </w:rPr>
        <w:t xml:space="preserve">rio </w:t>
      </w:r>
      <w:r>
        <w:rPr>
          <w:spacing w:val="5"/>
        </w:rPr>
        <w:t xml:space="preserve">Subaé, prejudicando </w:t>
      </w:r>
      <w:r>
        <w:t xml:space="preserve">a </w:t>
      </w:r>
      <w:r>
        <w:rPr>
          <w:spacing w:val="5"/>
        </w:rPr>
        <w:t xml:space="preserve">diluição </w:t>
      </w:r>
      <w:r>
        <w:t xml:space="preserve">e a </w:t>
      </w:r>
      <w:r>
        <w:rPr>
          <w:spacing w:val="5"/>
        </w:rPr>
        <w:t>dispersão dos</w:t>
      </w:r>
      <w:r>
        <w:rPr>
          <w:spacing w:val="61"/>
        </w:rPr>
        <w:t xml:space="preserve"> </w:t>
      </w:r>
      <w:r>
        <w:rPr>
          <w:spacing w:val="3"/>
        </w:rPr>
        <w:t xml:space="preserve">efluentes líquidos lançados </w:t>
      </w:r>
      <w:r>
        <w:rPr>
          <w:spacing w:val="2"/>
        </w:rPr>
        <w:t xml:space="preserve">sem </w:t>
      </w:r>
      <w:r>
        <w:rPr>
          <w:spacing w:val="3"/>
        </w:rPr>
        <w:t xml:space="preserve">tratamento; </w:t>
      </w:r>
      <w:r>
        <w:t xml:space="preserve">a </w:t>
      </w:r>
      <w:r>
        <w:rPr>
          <w:spacing w:val="5"/>
        </w:rPr>
        <w:t xml:space="preserve">deposição inadequada </w:t>
      </w:r>
      <w:r>
        <w:rPr>
          <w:spacing w:val="2"/>
        </w:rPr>
        <w:t xml:space="preserve">da </w:t>
      </w:r>
      <w:r>
        <w:rPr>
          <w:spacing w:val="5"/>
        </w:rPr>
        <w:t xml:space="preserve">escória </w:t>
      </w:r>
      <w:r>
        <w:rPr>
          <w:spacing w:val="2"/>
        </w:rPr>
        <w:t xml:space="preserve">em </w:t>
      </w:r>
      <w:r>
        <w:rPr>
          <w:spacing w:val="5"/>
        </w:rPr>
        <w:t xml:space="preserve">aterros, </w:t>
      </w:r>
      <w:r>
        <w:t xml:space="preserve">e </w:t>
      </w:r>
      <w:r>
        <w:rPr>
          <w:spacing w:val="3"/>
        </w:rPr>
        <w:t xml:space="preserve">seu </w:t>
      </w:r>
      <w:r>
        <w:rPr>
          <w:spacing w:val="5"/>
        </w:rPr>
        <w:t xml:space="preserve">reuso para </w:t>
      </w:r>
      <w:r>
        <w:t xml:space="preserve">a </w:t>
      </w:r>
      <w:r>
        <w:rPr>
          <w:spacing w:val="8"/>
        </w:rPr>
        <w:t xml:space="preserve">construção </w:t>
      </w:r>
      <w:r>
        <w:rPr>
          <w:spacing w:val="5"/>
        </w:rPr>
        <w:t xml:space="preserve">de </w:t>
      </w:r>
      <w:r>
        <w:rPr>
          <w:spacing w:val="7"/>
        </w:rPr>
        <w:t xml:space="preserve">estradas, casas </w:t>
      </w:r>
      <w:r>
        <w:rPr>
          <w:spacing w:val="6"/>
        </w:rPr>
        <w:t xml:space="preserve">etc, </w:t>
      </w:r>
      <w:r>
        <w:t xml:space="preserve">o </w:t>
      </w:r>
      <w:r>
        <w:rPr>
          <w:spacing w:val="5"/>
        </w:rPr>
        <w:t xml:space="preserve">que </w:t>
      </w:r>
      <w:r>
        <w:rPr>
          <w:spacing w:val="7"/>
        </w:rPr>
        <w:t xml:space="preserve">aumentou </w:t>
      </w:r>
      <w:r>
        <w:t>a contaminação do solo, de águas superficiais, subterrâneas e da população residente nos arredores do empreendimento; a alta concentração dos m</w:t>
      </w:r>
      <w:r>
        <w:t xml:space="preserve">etais nos manguezais do estuário do rio Subaé, contaminando os moluscos e prejudicando a base </w:t>
      </w:r>
      <w:r>
        <w:rPr>
          <w:spacing w:val="6"/>
        </w:rPr>
        <w:t xml:space="preserve">alimentar </w:t>
      </w:r>
      <w:r>
        <w:rPr>
          <w:spacing w:val="3"/>
        </w:rPr>
        <w:t xml:space="preserve">da </w:t>
      </w:r>
      <w:r>
        <w:rPr>
          <w:spacing w:val="6"/>
        </w:rPr>
        <w:t xml:space="preserve">população; </w:t>
      </w:r>
      <w:r>
        <w:rPr>
          <w:spacing w:val="3"/>
        </w:rPr>
        <w:t xml:space="preserve">os </w:t>
      </w:r>
      <w:r>
        <w:rPr>
          <w:spacing w:val="6"/>
        </w:rPr>
        <w:t xml:space="preserve">particulados lançados </w:t>
      </w:r>
      <w:r>
        <w:rPr>
          <w:spacing w:val="7"/>
        </w:rPr>
        <w:t xml:space="preserve">pela </w:t>
      </w:r>
      <w:r>
        <w:t>chaminé da metalúrgica; e o fato de a empresa considerar a escória inócua, depositando-a sem critérios técni</w:t>
      </w:r>
      <w:r>
        <w:t>cos (ANJOS; SÁNCHEZ,</w:t>
      </w:r>
      <w:r>
        <w:rPr>
          <w:spacing w:val="2"/>
        </w:rPr>
        <w:t xml:space="preserve"> </w:t>
      </w:r>
      <w:r>
        <w:t>2001).</w:t>
      </w:r>
    </w:p>
    <w:p w:rsidR="00D81F69" w:rsidRDefault="00330118">
      <w:pPr>
        <w:pStyle w:val="Corpodetexto"/>
        <w:spacing w:before="150" w:line="312" w:lineRule="auto"/>
        <w:ind w:right="63"/>
      </w:pPr>
      <w:r>
        <w:t>Em 1980, novo estudo da UFBA constatou que 96% das crianças residindo a menos de 900 m da chaminé da companhia apresentavam níveis de chumbo e cádmio no sangue acima do limite de toxicidade. Detectou também que o nível de metais</w:t>
      </w:r>
      <w:r>
        <w:t xml:space="preserve"> no sangue da população crescia à medida que seu local de residência se aproximava das instalações da metalúrgica (MACHADO et al., 2004).</w:t>
      </w:r>
    </w:p>
    <w:p w:rsidR="00D81F69" w:rsidRDefault="00330118">
      <w:pPr>
        <w:pStyle w:val="Corpodetexto"/>
        <w:spacing w:before="136"/>
      </w:pPr>
      <w:r>
        <w:t>Em 1998, outro estudo realizado pela UFBA, com crianças de</w:t>
      </w:r>
    </w:p>
    <w:p w:rsidR="00D81F69" w:rsidRDefault="00330118">
      <w:pPr>
        <w:pStyle w:val="Corpodetexto"/>
        <w:spacing w:line="270" w:lineRule="atLeast"/>
        <w:ind w:right="49"/>
      </w:pPr>
      <w:r>
        <w:t>1 a 4 anos de idade, nascidas após o fechamento da metalúrg</w:t>
      </w:r>
      <w:r>
        <w:t>ica, constatou que o passivo ambiental deixado pela Plumbum permanecia como uma fonte de exposição relevante para a intoxicação pelo chumbo (CARVALHO et al., 2003). Provavelmente em consequência da contaminação, muitas pessoas foram acometidas por saturnis</w:t>
      </w:r>
      <w:r>
        <w:t>mo, doença que fragiliza os ossos, paralisa as mãos, provoca dores</w:t>
      </w:r>
    </w:p>
    <w:p w:rsidR="00D81F69" w:rsidRDefault="00330118">
      <w:pPr>
        <w:pStyle w:val="Corpodetexto"/>
        <w:spacing w:before="81" w:line="312" w:lineRule="auto"/>
        <w:ind w:right="196"/>
      </w:pPr>
      <w:r>
        <w:br w:type="column"/>
      </w:r>
      <w:r>
        <w:lastRenderedPageBreak/>
        <w:t>agudas, causa impotência sexual nos homens e aborto em mulheres e má formação fetal nos bebês. Devido ao excesso de metais na água e no solo, a incidência de outras doenças, como anemia, l</w:t>
      </w:r>
      <w:r>
        <w:t>esões renais, hipertensão arterial, câncer de pulmão etc., também aumentou (BAHIA JÁ, 2011).</w:t>
      </w:r>
    </w:p>
    <w:p w:rsidR="00D81F69" w:rsidRDefault="00330118">
      <w:pPr>
        <w:pStyle w:val="Corpodetexto"/>
        <w:spacing w:before="134" w:line="312" w:lineRule="auto"/>
        <w:ind w:right="189"/>
      </w:pPr>
      <w:r>
        <w:t>Em função do grande passivo deixado e de seu impacto, nos anos de 1994 e 1995, o CRA classificou a escória da Plumbum como resíduo perigoso devido à sua toxidade. Foram solicitadas à empresa, então, medidas mitigadoras, que incluíam, inicialmente, a coloca</w:t>
      </w:r>
      <w:r>
        <w:t xml:space="preserve">ção de cercas e a sinalização de toda a área onde se encontravam depositados os resíduos. Além disso, foi indicado que a metalúrgica elaborasse um plano de disposição adequada para a escória, fizesse a instalação de poços de monitoramento para detecção de </w:t>
      </w:r>
      <w:r>
        <w:t>possíveis poluentes no lençol freático, e realizasse estudos que impedissem a propagação da contaminação e possibilitasse o encapsulamento da escória (ANJOS; SÁNCHEZ, 2001).</w:t>
      </w:r>
    </w:p>
    <w:p w:rsidR="00D81F69" w:rsidRDefault="00330118">
      <w:pPr>
        <w:pStyle w:val="Corpodetexto"/>
        <w:spacing w:before="142" w:line="312" w:lineRule="auto"/>
        <w:ind w:right="212"/>
      </w:pPr>
      <w:r>
        <w:t>Diante da recusa da Plumbum em atender às exigências do órgão ambiental, foram tom</w:t>
      </w:r>
      <w:r>
        <w:t xml:space="preserve">adas medidas jurídicas pelo CRA e </w:t>
      </w:r>
      <w:r>
        <w:rPr>
          <w:spacing w:val="3"/>
        </w:rPr>
        <w:t xml:space="preserve">iniciada, </w:t>
      </w:r>
      <w:r>
        <w:rPr>
          <w:spacing w:val="1"/>
        </w:rPr>
        <w:t xml:space="preserve">em </w:t>
      </w:r>
      <w:r>
        <w:rPr>
          <w:spacing w:val="3"/>
        </w:rPr>
        <w:t xml:space="preserve">parceria </w:t>
      </w:r>
      <w:r>
        <w:rPr>
          <w:spacing w:val="2"/>
        </w:rPr>
        <w:t xml:space="preserve">com </w:t>
      </w:r>
      <w:r>
        <w:t xml:space="preserve">a </w:t>
      </w:r>
      <w:r>
        <w:rPr>
          <w:spacing w:val="3"/>
        </w:rPr>
        <w:t xml:space="preserve">Universidade </w:t>
      </w:r>
      <w:r>
        <w:rPr>
          <w:spacing w:val="1"/>
        </w:rPr>
        <w:t xml:space="preserve">de </w:t>
      </w:r>
      <w:r>
        <w:rPr>
          <w:spacing w:val="2"/>
        </w:rPr>
        <w:t xml:space="preserve">São </w:t>
      </w:r>
      <w:r>
        <w:rPr>
          <w:spacing w:val="5"/>
        </w:rPr>
        <w:t xml:space="preserve">Paulo </w:t>
      </w:r>
      <w:r>
        <w:t xml:space="preserve">(USP), a Fundação de Amparo à Pesquisa do Estado de São Paulo (Fapesp) e a Superintendência de Geologia e Recursos </w:t>
      </w:r>
      <w:r>
        <w:rPr>
          <w:spacing w:val="1"/>
        </w:rPr>
        <w:t xml:space="preserve">Minerais (SGM), </w:t>
      </w:r>
      <w:r>
        <w:t xml:space="preserve">uma </w:t>
      </w:r>
      <w:r>
        <w:rPr>
          <w:spacing w:val="1"/>
        </w:rPr>
        <w:t xml:space="preserve">pesquisa para implementação </w:t>
      </w:r>
      <w:r>
        <w:t xml:space="preserve">de </w:t>
      </w:r>
      <w:r>
        <w:rPr>
          <w:spacing w:val="2"/>
        </w:rPr>
        <w:t>um</w:t>
      </w:r>
      <w:r>
        <w:rPr>
          <w:spacing w:val="2"/>
        </w:rPr>
        <w:t xml:space="preserve"> </w:t>
      </w:r>
      <w:r>
        <w:t>plano de gestão ambiental destinado aos sítios contaminados com resíduos industriais no local (ANJOS; SÁNCHEZ,</w:t>
      </w:r>
      <w:r>
        <w:rPr>
          <w:spacing w:val="26"/>
        </w:rPr>
        <w:t xml:space="preserve"> </w:t>
      </w:r>
      <w:r>
        <w:t>2001).</w:t>
      </w:r>
    </w:p>
    <w:p w:rsidR="00D81F69" w:rsidRDefault="00330118">
      <w:pPr>
        <w:pStyle w:val="Corpodetexto"/>
        <w:spacing w:before="138" w:line="312" w:lineRule="auto"/>
        <w:ind w:right="184"/>
      </w:pPr>
      <w:r>
        <w:t xml:space="preserve">A pesquisa acabou gerando o projeto Purifica, financiado pela Financiadora de Estudos e Projetos (Finep) e </w:t>
      </w:r>
      <w:r>
        <w:rPr>
          <w:spacing w:val="1"/>
        </w:rPr>
        <w:t xml:space="preserve">desenvolvido </w:t>
      </w:r>
      <w:r>
        <w:rPr>
          <w:spacing w:val="2"/>
        </w:rPr>
        <w:t xml:space="preserve">pela </w:t>
      </w:r>
      <w:r>
        <w:rPr>
          <w:spacing w:val="3"/>
        </w:rPr>
        <w:t xml:space="preserve">UFBA, </w:t>
      </w:r>
      <w:r>
        <w:rPr>
          <w:spacing w:val="2"/>
        </w:rPr>
        <w:t xml:space="preserve">USP, CRA </w:t>
      </w:r>
      <w:r>
        <w:t xml:space="preserve">e </w:t>
      </w:r>
      <w:r>
        <w:rPr>
          <w:spacing w:val="3"/>
        </w:rPr>
        <w:t xml:space="preserve">Centro </w:t>
      </w:r>
      <w:r>
        <w:rPr>
          <w:spacing w:val="1"/>
        </w:rPr>
        <w:t xml:space="preserve">de </w:t>
      </w:r>
      <w:r>
        <w:rPr>
          <w:spacing w:val="3"/>
        </w:rPr>
        <w:t xml:space="preserve">Estudos, Pesquisas </w:t>
      </w:r>
      <w:r>
        <w:t xml:space="preserve">e Desenvolvimento do Estado da Bahia. Com início em 2000, o projeto diagnosticou a contaminação de toda a zona urbana </w:t>
      </w:r>
      <w:r>
        <w:rPr>
          <w:spacing w:val="7"/>
        </w:rPr>
        <w:t xml:space="preserve">de </w:t>
      </w:r>
      <w:r>
        <w:rPr>
          <w:spacing w:val="11"/>
        </w:rPr>
        <w:t xml:space="preserve">Santo Amaro </w:t>
      </w:r>
      <w:r>
        <w:t xml:space="preserve">e </w:t>
      </w:r>
      <w:r>
        <w:rPr>
          <w:spacing w:val="12"/>
        </w:rPr>
        <w:t xml:space="preserve">ampliou </w:t>
      </w:r>
      <w:r>
        <w:rPr>
          <w:spacing w:val="7"/>
        </w:rPr>
        <w:t xml:space="preserve">as </w:t>
      </w:r>
      <w:r>
        <w:rPr>
          <w:spacing w:val="13"/>
        </w:rPr>
        <w:t xml:space="preserve">pesquisas </w:t>
      </w:r>
      <w:r>
        <w:rPr>
          <w:spacing w:val="11"/>
        </w:rPr>
        <w:t xml:space="preserve">sobre </w:t>
      </w:r>
      <w:r>
        <w:t xml:space="preserve">a </w:t>
      </w:r>
      <w:r>
        <w:rPr>
          <w:spacing w:val="10"/>
        </w:rPr>
        <w:t xml:space="preserve">contaminação </w:t>
      </w:r>
      <w:r>
        <w:rPr>
          <w:spacing w:val="7"/>
        </w:rPr>
        <w:t xml:space="preserve">nas </w:t>
      </w:r>
      <w:r>
        <w:rPr>
          <w:spacing w:val="10"/>
        </w:rPr>
        <w:t xml:space="preserve">instalações </w:t>
      </w:r>
      <w:r>
        <w:rPr>
          <w:spacing w:val="5"/>
        </w:rPr>
        <w:t xml:space="preserve">da </w:t>
      </w:r>
      <w:r>
        <w:rPr>
          <w:spacing w:val="10"/>
        </w:rPr>
        <w:t xml:space="preserve">Plumbum </w:t>
      </w:r>
      <w:r>
        <w:rPr>
          <w:spacing w:val="11"/>
        </w:rPr>
        <w:t xml:space="preserve">(ANJOS; </w:t>
      </w:r>
      <w:r>
        <w:rPr>
          <w:spacing w:val="10"/>
        </w:rPr>
        <w:t>SÁNC</w:t>
      </w:r>
      <w:r>
        <w:rPr>
          <w:spacing w:val="10"/>
        </w:rPr>
        <w:t>HEZ,</w:t>
      </w:r>
      <w:r>
        <w:rPr>
          <w:spacing w:val="58"/>
        </w:rPr>
        <w:t xml:space="preserve"> </w:t>
      </w:r>
      <w:r>
        <w:rPr>
          <w:spacing w:val="11"/>
        </w:rPr>
        <w:t>2001).</w:t>
      </w:r>
    </w:p>
    <w:p w:rsidR="00D81F69" w:rsidRDefault="00330118">
      <w:pPr>
        <w:pStyle w:val="Corpodetexto"/>
        <w:spacing w:before="137" w:line="312" w:lineRule="auto"/>
        <w:ind w:right="193"/>
      </w:pPr>
      <w:r>
        <w:rPr>
          <w:spacing w:val="2"/>
        </w:rPr>
        <w:t xml:space="preserve">Além </w:t>
      </w:r>
      <w:r>
        <w:rPr>
          <w:spacing w:val="3"/>
        </w:rPr>
        <w:t xml:space="preserve">disso, sugeriu várias medidas </w:t>
      </w:r>
      <w:r>
        <w:rPr>
          <w:spacing w:val="1"/>
        </w:rPr>
        <w:t xml:space="preserve">de </w:t>
      </w:r>
      <w:r>
        <w:rPr>
          <w:spacing w:val="3"/>
        </w:rPr>
        <w:t xml:space="preserve">mitigação, </w:t>
      </w:r>
      <w:r>
        <w:rPr>
          <w:spacing w:val="2"/>
        </w:rPr>
        <w:t xml:space="preserve">como </w:t>
      </w:r>
      <w:r>
        <w:t xml:space="preserve">a elaboração de um plano de remediação para a área </w:t>
      </w:r>
      <w:r>
        <w:rPr>
          <w:spacing w:val="1"/>
        </w:rPr>
        <w:t xml:space="preserve">urbana do </w:t>
      </w:r>
      <w:r>
        <w:rPr>
          <w:spacing w:val="3"/>
        </w:rPr>
        <w:t xml:space="preserve">município, </w:t>
      </w:r>
      <w:r>
        <w:rPr>
          <w:spacing w:val="2"/>
        </w:rPr>
        <w:t xml:space="preserve">com </w:t>
      </w:r>
      <w:r>
        <w:t xml:space="preserve">a </w:t>
      </w:r>
      <w:r>
        <w:rPr>
          <w:spacing w:val="3"/>
        </w:rPr>
        <w:t xml:space="preserve">definição </w:t>
      </w:r>
      <w:r>
        <w:rPr>
          <w:spacing w:val="2"/>
        </w:rPr>
        <w:t xml:space="preserve">das </w:t>
      </w:r>
      <w:r>
        <w:rPr>
          <w:spacing w:val="3"/>
        </w:rPr>
        <w:t xml:space="preserve">áreas prioritárias </w:t>
      </w:r>
      <w:r>
        <w:rPr>
          <w:spacing w:val="5"/>
        </w:rPr>
        <w:t xml:space="preserve">para </w:t>
      </w:r>
      <w:r>
        <w:t xml:space="preserve">intervenção, estimativa da quantidade de escória disposta na </w:t>
      </w:r>
      <w:r>
        <w:rPr>
          <w:spacing w:val="5"/>
        </w:rPr>
        <w:t>cidade, plano</w:t>
      </w:r>
      <w:r>
        <w:rPr>
          <w:spacing w:val="5"/>
        </w:rPr>
        <w:t xml:space="preserve"> </w:t>
      </w:r>
      <w:r>
        <w:rPr>
          <w:spacing w:val="3"/>
        </w:rPr>
        <w:t xml:space="preserve">de </w:t>
      </w:r>
      <w:r>
        <w:rPr>
          <w:spacing w:val="5"/>
        </w:rPr>
        <w:t xml:space="preserve">ação </w:t>
      </w:r>
      <w:r>
        <w:t xml:space="preserve">e </w:t>
      </w:r>
      <w:r>
        <w:rPr>
          <w:spacing w:val="6"/>
        </w:rPr>
        <w:t xml:space="preserve">previsão </w:t>
      </w:r>
      <w:r>
        <w:rPr>
          <w:spacing w:val="3"/>
        </w:rPr>
        <w:t xml:space="preserve">de </w:t>
      </w:r>
      <w:r>
        <w:rPr>
          <w:spacing w:val="5"/>
        </w:rPr>
        <w:t xml:space="preserve">custos. </w:t>
      </w:r>
      <w:r>
        <w:t xml:space="preserve">O </w:t>
      </w:r>
      <w:r>
        <w:rPr>
          <w:spacing w:val="7"/>
        </w:rPr>
        <w:t xml:space="preserve">projeto </w:t>
      </w:r>
      <w:r>
        <w:t xml:space="preserve">recomendou a raspagem do solo superficial para remover a escória depositada de forma aleatória no entorno da </w:t>
      </w:r>
      <w:r>
        <w:rPr>
          <w:spacing w:val="1"/>
        </w:rPr>
        <w:t xml:space="preserve">usina, </w:t>
      </w:r>
      <w:r>
        <w:rPr>
          <w:spacing w:val="3"/>
        </w:rPr>
        <w:t xml:space="preserve">bem como </w:t>
      </w:r>
      <w:r>
        <w:rPr>
          <w:spacing w:val="2"/>
        </w:rPr>
        <w:t xml:space="preserve">do </w:t>
      </w:r>
      <w:r>
        <w:rPr>
          <w:spacing w:val="3"/>
        </w:rPr>
        <w:t xml:space="preserve">solo </w:t>
      </w:r>
      <w:r>
        <w:rPr>
          <w:spacing w:val="5"/>
        </w:rPr>
        <w:t xml:space="preserve">superficial </w:t>
      </w:r>
      <w:r>
        <w:rPr>
          <w:spacing w:val="3"/>
        </w:rPr>
        <w:t xml:space="preserve">que foi mais </w:t>
      </w:r>
      <w:r>
        <w:rPr>
          <w:spacing w:val="5"/>
        </w:rPr>
        <w:t xml:space="preserve">impactado, </w:t>
      </w:r>
      <w:r>
        <w:t xml:space="preserve">e </w:t>
      </w:r>
      <w:r>
        <w:rPr>
          <w:spacing w:val="5"/>
        </w:rPr>
        <w:t xml:space="preserve">posterior tratamento </w:t>
      </w:r>
      <w:r>
        <w:rPr>
          <w:spacing w:val="3"/>
        </w:rPr>
        <w:t xml:space="preserve">para </w:t>
      </w:r>
      <w:r>
        <w:rPr>
          <w:spacing w:val="5"/>
        </w:rPr>
        <w:t xml:space="preserve">separar </w:t>
      </w:r>
      <w:r>
        <w:t xml:space="preserve">a </w:t>
      </w:r>
      <w:r>
        <w:rPr>
          <w:spacing w:val="5"/>
        </w:rPr>
        <w:t xml:space="preserve">escória </w:t>
      </w:r>
      <w:r>
        <w:rPr>
          <w:spacing w:val="2"/>
        </w:rPr>
        <w:t xml:space="preserve">do </w:t>
      </w:r>
      <w:r>
        <w:rPr>
          <w:spacing w:val="3"/>
        </w:rPr>
        <w:t xml:space="preserve">solo. </w:t>
      </w:r>
      <w:r>
        <w:rPr>
          <w:spacing w:val="5"/>
        </w:rPr>
        <w:t xml:space="preserve">Foi </w:t>
      </w:r>
      <w:r>
        <w:t xml:space="preserve">sugerido ainda que o solo contaminado fosse utilizado para </w:t>
      </w:r>
      <w:r>
        <w:rPr>
          <w:spacing w:val="3"/>
        </w:rPr>
        <w:t xml:space="preserve">fabricação </w:t>
      </w:r>
      <w:r>
        <w:rPr>
          <w:spacing w:val="1"/>
        </w:rPr>
        <w:t xml:space="preserve">de </w:t>
      </w:r>
      <w:r>
        <w:rPr>
          <w:spacing w:val="3"/>
        </w:rPr>
        <w:t xml:space="preserve">telhas </w:t>
      </w:r>
      <w:r>
        <w:t xml:space="preserve">e </w:t>
      </w:r>
      <w:r>
        <w:rPr>
          <w:spacing w:val="3"/>
        </w:rPr>
        <w:t xml:space="preserve">blocos cerâmicos </w:t>
      </w:r>
      <w:r>
        <w:t xml:space="preserve">- </w:t>
      </w:r>
      <w:r>
        <w:rPr>
          <w:spacing w:val="2"/>
        </w:rPr>
        <w:t xml:space="preserve">uma vez que </w:t>
      </w:r>
      <w:r>
        <w:t xml:space="preserve">o </w:t>
      </w:r>
      <w:r>
        <w:rPr>
          <w:spacing w:val="1"/>
        </w:rPr>
        <w:t xml:space="preserve">processo demonstrou alta capacidade </w:t>
      </w:r>
      <w:r>
        <w:t xml:space="preserve">de </w:t>
      </w:r>
      <w:r>
        <w:rPr>
          <w:spacing w:val="1"/>
        </w:rPr>
        <w:t xml:space="preserve">imobilização </w:t>
      </w:r>
      <w:r>
        <w:rPr>
          <w:spacing w:val="2"/>
        </w:rPr>
        <w:t xml:space="preserve">dos </w:t>
      </w:r>
      <w:r>
        <w:rPr>
          <w:spacing w:val="1"/>
        </w:rPr>
        <w:t xml:space="preserve">poluentes, além </w:t>
      </w:r>
      <w:r>
        <w:t xml:space="preserve">de </w:t>
      </w:r>
      <w:r>
        <w:rPr>
          <w:spacing w:val="1"/>
        </w:rPr>
        <w:t xml:space="preserve">envolver baixo custo </w:t>
      </w:r>
      <w:r>
        <w:t xml:space="preserve">- e </w:t>
      </w:r>
      <w:r>
        <w:rPr>
          <w:spacing w:val="2"/>
        </w:rPr>
        <w:t xml:space="preserve">recomendado </w:t>
      </w:r>
      <w:r>
        <w:t>que, até que a remoção do solo superficial e da escória fosse concluída, se deixasse intacta a zona alagadiça (PROJETO PURIFICA,</w:t>
      </w:r>
      <w:r>
        <w:rPr>
          <w:spacing w:val="12"/>
        </w:rPr>
        <w:t xml:space="preserve"> </w:t>
      </w:r>
      <w:r>
        <w:rPr>
          <w:spacing w:val="1"/>
        </w:rPr>
        <w:t>2003).</w:t>
      </w:r>
    </w:p>
    <w:p w:rsidR="00D81F69" w:rsidRDefault="00330118">
      <w:pPr>
        <w:pStyle w:val="Corpodetexto"/>
        <w:spacing w:before="145" w:line="312" w:lineRule="auto"/>
        <w:ind w:right="210"/>
      </w:pPr>
      <w:r>
        <w:rPr>
          <w:spacing w:val="2"/>
        </w:rPr>
        <w:t xml:space="preserve">Esta zona </w:t>
      </w:r>
      <w:r>
        <w:rPr>
          <w:spacing w:val="3"/>
        </w:rPr>
        <w:t xml:space="preserve">alagadiça </w:t>
      </w:r>
      <w:r>
        <w:rPr>
          <w:spacing w:val="2"/>
        </w:rPr>
        <w:t xml:space="preserve">(ou </w:t>
      </w:r>
      <w:r>
        <w:rPr>
          <w:spacing w:val="3"/>
        </w:rPr>
        <w:t xml:space="preserve">“wetland”), situada </w:t>
      </w:r>
      <w:r>
        <w:t xml:space="preserve">a </w:t>
      </w:r>
      <w:r>
        <w:rPr>
          <w:spacing w:val="3"/>
        </w:rPr>
        <w:t xml:space="preserve">jusante </w:t>
      </w:r>
      <w:r>
        <w:rPr>
          <w:spacing w:val="5"/>
        </w:rPr>
        <w:t xml:space="preserve">do </w:t>
      </w:r>
      <w:r>
        <w:t xml:space="preserve">principal barramento de escória e com extensão de cerca de </w:t>
      </w:r>
      <w:r>
        <w:rPr>
          <w:spacing w:val="2"/>
        </w:rPr>
        <w:t xml:space="preserve">90 </w:t>
      </w:r>
      <w:r>
        <w:rPr>
          <w:spacing w:val="5"/>
        </w:rPr>
        <w:t>m</w:t>
      </w:r>
      <w:r>
        <w:rPr>
          <w:spacing w:val="5"/>
        </w:rPr>
        <w:t xml:space="preserve">etros, </w:t>
      </w:r>
      <w:r>
        <w:rPr>
          <w:spacing w:val="3"/>
        </w:rPr>
        <w:t xml:space="preserve">teve </w:t>
      </w:r>
      <w:r>
        <w:rPr>
          <w:spacing w:val="5"/>
        </w:rPr>
        <w:t xml:space="preserve">origem </w:t>
      </w:r>
      <w:r>
        <w:rPr>
          <w:spacing w:val="3"/>
        </w:rPr>
        <w:t xml:space="preserve">num </w:t>
      </w:r>
      <w:r>
        <w:rPr>
          <w:spacing w:val="5"/>
        </w:rPr>
        <w:t xml:space="preserve">aterro </w:t>
      </w:r>
      <w:r>
        <w:rPr>
          <w:spacing w:val="2"/>
        </w:rPr>
        <w:t xml:space="preserve">de </w:t>
      </w:r>
      <w:r>
        <w:rPr>
          <w:spacing w:val="3"/>
        </w:rPr>
        <w:t xml:space="preserve">águas </w:t>
      </w:r>
      <w:r>
        <w:rPr>
          <w:spacing w:val="5"/>
        </w:rPr>
        <w:t>pluviais do</w:t>
      </w:r>
      <w:r>
        <w:rPr>
          <w:spacing w:val="61"/>
        </w:rPr>
        <w:t xml:space="preserve"> </w:t>
      </w:r>
      <w:r>
        <w:t>empreendimento e tem se mostrado eficaz para o controle da</w:t>
      </w:r>
    </w:p>
    <w:p w:rsidR="00D81F69" w:rsidRDefault="00D81F69">
      <w:pPr>
        <w:spacing w:line="312" w:lineRule="auto"/>
        <w:sectPr w:rsidR="00D81F69">
          <w:pgSz w:w="11900" w:h="16840"/>
          <w:pgMar w:top="740" w:right="500" w:bottom="620" w:left="620" w:header="0" w:footer="402" w:gutter="0"/>
          <w:cols w:num="2" w:space="720" w:equalWidth="0">
            <w:col w:w="5167" w:space="303"/>
            <w:col w:w="5310"/>
          </w:cols>
        </w:sectPr>
      </w:pPr>
    </w:p>
    <w:p w:rsidR="00D81F69" w:rsidRDefault="00330118">
      <w:pPr>
        <w:pStyle w:val="Corpodetexto"/>
        <w:spacing w:before="81" w:line="312" w:lineRule="auto"/>
        <w:ind w:right="65"/>
      </w:pPr>
      <w:r>
        <w:lastRenderedPageBreak/>
        <w:t>contaminação das águas superficiais, uma vez que retém a grande maioria dos metais pesados (ANJOS, 2003).</w:t>
      </w:r>
    </w:p>
    <w:p w:rsidR="00D81F69" w:rsidRDefault="00330118">
      <w:pPr>
        <w:pStyle w:val="Corpodetexto"/>
        <w:spacing w:before="132" w:line="312" w:lineRule="auto"/>
        <w:ind w:right="38"/>
      </w:pPr>
      <w:r>
        <w:t>Em 2004, os</w:t>
      </w:r>
      <w:r>
        <w:t xml:space="preserve"> riscos de contaminação por via aérea já estavam mais reduzidos na área urbana de Santo Amaro, devido ao fato de quase todos os pontos de lançamento da escória de chumbo estarem recobertos com paralelepípedo ou asfalto. “A </w:t>
      </w:r>
      <w:r>
        <w:rPr>
          <w:spacing w:val="3"/>
        </w:rPr>
        <w:t xml:space="preserve">impermeabilização promovida </w:t>
      </w:r>
      <w:r>
        <w:rPr>
          <w:spacing w:val="2"/>
        </w:rPr>
        <w:t>por e</w:t>
      </w:r>
      <w:r>
        <w:rPr>
          <w:spacing w:val="2"/>
        </w:rPr>
        <w:t xml:space="preserve">sse tipo </w:t>
      </w:r>
      <w:r>
        <w:rPr>
          <w:spacing w:val="1"/>
        </w:rPr>
        <w:t xml:space="preserve">de </w:t>
      </w:r>
      <w:r>
        <w:rPr>
          <w:spacing w:val="5"/>
        </w:rPr>
        <w:t xml:space="preserve">cobertura </w:t>
      </w:r>
      <w:r>
        <w:t xml:space="preserve">diminui a infiltração das águas das chuvas no solo, reduzindo a lixiviação da escória depositada e o espalhamento e arraste de partículas de poluentes pelo vento. Contudo, esse resíduo </w:t>
      </w:r>
      <w:r>
        <w:rPr>
          <w:spacing w:val="2"/>
        </w:rPr>
        <w:t xml:space="preserve">é, de </w:t>
      </w:r>
      <w:r>
        <w:rPr>
          <w:spacing w:val="5"/>
        </w:rPr>
        <w:t xml:space="preserve">tempos </w:t>
      </w:r>
      <w:r>
        <w:rPr>
          <w:spacing w:val="2"/>
        </w:rPr>
        <w:t xml:space="preserve">em </w:t>
      </w:r>
      <w:r>
        <w:rPr>
          <w:spacing w:val="5"/>
        </w:rPr>
        <w:t xml:space="preserve">tempos, trazido </w:t>
      </w:r>
      <w:r>
        <w:t xml:space="preserve">à </w:t>
      </w:r>
      <w:r>
        <w:rPr>
          <w:spacing w:val="3"/>
        </w:rPr>
        <w:t xml:space="preserve">tona por </w:t>
      </w:r>
      <w:r>
        <w:rPr>
          <w:spacing w:val="5"/>
        </w:rPr>
        <w:t>serviç</w:t>
      </w:r>
      <w:r>
        <w:rPr>
          <w:spacing w:val="5"/>
        </w:rPr>
        <w:t xml:space="preserve">os de reparos </w:t>
      </w:r>
      <w:r>
        <w:rPr>
          <w:spacing w:val="2"/>
        </w:rPr>
        <w:t xml:space="preserve">na </w:t>
      </w:r>
      <w:r>
        <w:rPr>
          <w:spacing w:val="3"/>
        </w:rPr>
        <w:t xml:space="preserve">rede </w:t>
      </w:r>
      <w:r>
        <w:rPr>
          <w:spacing w:val="2"/>
        </w:rPr>
        <w:t xml:space="preserve">de </w:t>
      </w:r>
      <w:r>
        <w:rPr>
          <w:spacing w:val="3"/>
        </w:rPr>
        <w:t xml:space="preserve">água </w:t>
      </w:r>
      <w:r>
        <w:t xml:space="preserve">e </w:t>
      </w:r>
      <w:r>
        <w:rPr>
          <w:spacing w:val="5"/>
        </w:rPr>
        <w:t xml:space="preserve">esgoto, instalação </w:t>
      </w:r>
      <w:r>
        <w:rPr>
          <w:spacing w:val="2"/>
        </w:rPr>
        <w:t xml:space="preserve">de </w:t>
      </w:r>
      <w:r>
        <w:rPr>
          <w:spacing w:val="5"/>
        </w:rPr>
        <w:t xml:space="preserve">dutos, </w:t>
      </w:r>
      <w:r>
        <w:t>reativando diversas rotas de contaminação” (MACHADO et  al., 2004, p.</w:t>
      </w:r>
      <w:r>
        <w:rPr>
          <w:spacing w:val="2"/>
        </w:rPr>
        <w:t xml:space="preserve"> </w:t>
      </w:r>
      <w:r>
        <w:t>142).</w:t>
      </w:r>
    </w:p>
    <w:p w:rsidR="00D81F69" w:rsidRDefault="00330118">
      <w:pPr>
        <w:pStyle w:val="Corpodetexto"/>
        <w:spacing w:before="141"/>
      </w:pPr>
      <w:r>
        <w:t>Ao longo dos anos, foram realizadas diversas análises de</w:t>
      </w:r>
    </w:p>
    <w:p w:rsidR="00D81F69" w:rsidRDefault="00330118">
      <w:pPr>
        <w:pStyle w:val="Corpodetexto"/>
        <w:spacing w:before="81"/>
      </w:pPr>
      <w:r>
        <w:br w:type="column"/>
      </w:r>
      <w:r>
        <w:lastRenderedPageBreak/>
        <w:t>Eliane Araujo; Renata Olivieri</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ind w:left="100"/>
        <w:jc w:val="both"/>
        <w:rPr>
          <w:sz w:val="16"/>
        </w:rPr>
      </w:pPr>
      <w:r>
        <w:rPr>
          <w:sz w:val="16"/>
        </w:rPr>
        <w:t>AG</w:t>
      </w:r>
      <w:r>
        <w:rPr>
          <w:sz w:val="16"/>
        </w:rPr>
        <w:t>ÊNCIA SENADO. Dilma diz que vai resolver desastre ambiental,</w:t>
      </w:r>
    </w:p>
    <w:p w:rsidR="00D81F69" w:rsidRDefault="00330118">
      <w:pPr>
        <w:spacing w:before="56"/>
        <w:ind w:left="100"/>
        <w:jc w:val="both"/>
        <w:rPr>
          <w:sz w:val="16"/>
        </w:rPr>
      </w:pPr>
      <w:r>
        <w:rPr>
          <w:sz w:val="16"/>
        </w:rPr>
        <w:t xml:space="preserve">26  maio  2011.  In:  Senador  Paulo  Paim.  Disponível  em: </w:t>
      </w:r>
    </w:p>
    <w:p w:rsidR="00D81F69" w:rsidRDefault="00D81F69">
      <w:pPr>
        <w:spacing w:before="56" w:line="312" w:lineRule="auto"/>
        <w:ind w:left="100" w:right="217"/>
        <w:jc w:val="both"/>
        <w:rPr>
          <w:sz w:val="16"/>
        </w:rPr>
      </w:pPr>
      <w:hyperlink r:id="rId574">
        <w:r w:rsidR="00330118">
          <w:rPr>
            <w:sz w:val="16"/>
          </w:rPr>
          <w:t xml:space="preserve">&lt;http://www.senadorpaim.com.br/verImprensa.php?id=1795&gt;. </w:t>
        </w:r>
      </w:hyperlink>
      <w:r w:rsidR="00330118">
        <w:rPr>
          <w:sz w:val="16"/>
        </w:rPr>
        <w:t>Acesso em: 01 jun. 2011.</w:t>
      </w:r>
    </w:p>
    <w:p w:rsidR="00D81F69" w:rsidRDefault="00330118">
      <w:pPr>
        <w:spacing w:before="1" w:line="312" w:lineRule="auto"/>
        <w:ind w:left="100" w:right="181"/>
        <w:jc w:val="both"/>
        <w:rPr>
          <w:sz w:val="16"/>
        </w:rPr>
      </w:pPr>
      <w:r>
        <w:rPr>
          <w:spacing w:val="5"/>
          <w:sz w:val="16"/>
        </w:rPr>
        <w:t xml:space="preserve">ALCÂNTARA, Mariana Menezes. </w:t>
      </w:r>
      <w:r>
        <w:rPr>
          <w:spacing w:val="2"/>
          <w:sz w:val="16"/>
        </w:rPr>
        <w:t xml:space="preserve">C. </w:t>
      </w:r>
      <w:r>
        <w:rPr>
          <w:spacing w:val="5"/>
          <w:sz w:val="16"/>
        </w:rPr>
        <w:t xml:space="preserve">Cidade </w:t>
      </w:r>
      <w:r>
        <w:rPr>
          <w:spacing w:val="2"/>
          <w:sz w:val="16"/>
        </w:rPr>
        <w:t xml:space="preserve">de </w:t>
      </w:r>
      <w:r>
        <w:rPr>
          <w:spacing w:val="5"/>
          <w:sz w:val="16"/>
        </w:rPr>
        <w:t xml:space="preserve">Chumbo: </w:t>
      </w:r>
      <w:r>
        <w:rPr>
          <w:spacing w:val="6"/>
          <w:sz w:val="16"/>
        </w:rPr>
        <w:t xml:space="preserve">uma </w:t>
      </w:r>
      <w:r>
        <w:rPr>
          <w:sz w:val="16"/>
        </w:rPr>
        <w:t xml:space="preserve">experiência de divulgação em vídeo sobre a contaminação ambiental na cidade de Santo Amaro da Purificação. Diálogos &amp; Ciência, Ano </w:t>
      </w:r>
      <w:r>
        <w:rPr>
          <w:spacing w:val="12"/>
          <w:sz w:val="16"/>
        </w:rPr>
        <w:t xml:space="preserve">IV, </w:t>
      </w:r>
      <w:r>
        <w:rPr>
          <w:spacing w:val="10"/>
          <w:sz w:val="16"/>
        </w:rPr>
        <w:t xml:space="preserve">nº </w:t>
      </w:r>
      <w:r>
        <w:rPr>
          <w:spacing w:val="12"/>
          <w:sz w:val="16"/>
        </w:rPr>
        <w:t xml:space="preserve">12, </w:t>
      </w:r>
      <w:r>
        <w:rPr>
          <w:spacing w:val="10"/>
          <w:sz w:val="16"/>
        </w:rPr>
        <w:t xml:space="preserve">p. </w:t>
      </w:r>
      <w:r>
        <w:rPr>
          <w:spacing w:val="12"/>
          <w:sz w:val="16"/>
        </w:rPr>
        <w:t xml:space="preserve">107 </w:t>
      </w:r>
      <w:r>
        <w:rPr>
          <w:spacing w:val="15"/>
          <w:sz w:val="16"/>
        </w:rPr>
        <w:t xml:space="preserve">-118, mar. 2010. </w:t>
      </w:r>
      <w:r>
        <w:rPr>
          <w:spacing w:val="17"/>
          <w:sz w:val="16"/>
        </w:rPr>
        <w:t>Disponível</w:t>
      </w:r>
      <w:r>
        <w:rPr>
          <w:spacing w:val="5"/>
          <w:sz w:val="16"/>
        </w:rPr>
        <w:t xml:space="preserve"> </w:t>
      </w:r>
      <w:r>
        <w:rPr>
          <w:spacing w:val="12"/>
          <w:sz w:val="16"/>
        </w:rPr>
        <w:t>em:</w:t>
      </w:r>
      <w:r>
        <w:rPr>
          <w:spacing w:val="-23"/>
          <w:sz w:val="16"/>
        </w:rPr>
        <w:t xml:space="preserve"> </w:t>
      </w:r>
    </w:p>
    <w:p w:rsidR="00D81F69" w:rsidRDefault="00D81F69">
      <w:pPr>
        <w:spacing w:before="4" w:line="312" w:lineRule="auto"/>
        <w:ind w:left="100" w:right="217"/>
        <w:jc w:val="both"/>
        <w:rPr>
          <w:sz w:val="16"/>
        </w:rPr>
      </w:pPr>
      <w:hyperlink r:id="rId575">
        <w:r w:rsidR="00330118">
          <w:rPr>
            <w:sz w:val="16"/>
          </w:rPr>
          <w:t>&lt;http://dialogos.ftc.br/index.php?option=com_content&amp;task=view&amp;id=2</w:t>
        </w:r>
      </w:hyperlink>
      <w:r w:rsidR="00330118">
        <w:rPr>
          <w:sz w:val="16"/>
        </w:rPr>
        <w:t xml:space="preserve"> 13&amp;Itemid=1&gt;. Acesso em: 02 jul. 2010.</w:t>
      </w:r>
    </w:p>
    <w:p w:rsidR="00D81F69" w:rsidRDefault="00330118">
      <w:pPr>
        <w:spacing w:before="1" w:line="312" w:lineRule="auto"/>
        <w:ind w:left="100" w:right="192"/>
        <w:jc w:val="both"/>
        <w:rPr>
          <w:sz w:val="16"/>
        </w:rPr>
      </w:pPr>
      <w:r>
        <w:rPr>
          <w:sz w:val="16"/>
        </w:rPr>
        <w:t>ANJOS, José Ângelo Sebastião Araújo dos. Cobrac, Plu</w:t>
      </w:r>
      <w:r>
        <w:rPr>
          <w:sz w:val="16"/>
        </w:rPr>
        <w:t>mbum, Trevisan – Estudo do passivo Ambiental. In: Seminário sobre a contaminação por metais pesados em Santo Amaro da Purificação- BA. In: Bahia Análise &amp; Dados, Salvador/BA,v.2, 2001.</w:t>
      </w:r>
    </w:p>
    <w:p w:rsidR="00D81F69" w:rsidRDefault="00D81F69">
      <w:pPr>
        <w:spacing w:line="312" w:lineRule="auto"/>
        <w:jc w:val="both"/>
        <w:rPr>
          <w:sz w:val="16"/>
        </w:rPr>
        <w:sectPr w:rsidR="00D81F69">
          <w:pgSz w:w="11900" w:h="16840"/>
          <w:pgMar w:top="740" w:right="500" w:bottom="700" w:left="620" w:header="0" w:footer="402" w:gutter="0"/>
          <w:cols w:num="2" w:space="720" w:equalWidth="0">
            <w:col w:w="5159" w:space="311"/>
            <w:col w:w="5310"/>
          </w:cols>
        </w:sectPr>
      </w:pPr>
    </w:p>
    <w:p w:rsidR="00D81F69" w:rsidRDefault="00330118">
      <w:pPr>
        <w:tabs>
          <w:tab w:val="left" w:pos="5569"/>
          <w:tab w:val="left" w:pos="6159"/>
        </w:tabs>
        <w:spacing w:line="188" w:lineRule="exact"/>
        <w:ind w:left="100"/>
        <w:rPr>
          <w:sz w:val="16"/>
        </w:rPr>
      </w:pPr>
      <w:r>
        <w:rPr>
          <w:spacing w:val="3"/>
          <w:position w:val="5"/>
          <w:sz w:val="18"/>
        </w:rPr>
        <w:lastRenderedPageBreak/>
        <w:t xml:space="preserve">caracterização </w:t>
      </w:r>
      <w:r>
        <w:rPr>
          <w:spacing w:val="1"/>
          <w:position w:val="5"/>
          <w:sz w:val="18"/>
        </w:rPr>
        <w:t xml:space="preserve">de  </w:t>
      </w:r>
      <w:r>
        <w:rPr>
          <w:spacing w:val="3"/>
          <w:position w:val="5"/>
          <w:sz w:val="18"/>
        </w:rPr>
        <w:t xml:space="preserve">chumbo </w:t>
      </w:r>
      <w:r>
        <w:rPr>
          <w:position w:val="5"/>
          <w:sz w:val="18"/>
        </w:rPr>
        <w:t xml:space="preserve">e  </w:t>
      </w:r>
      <w:r>
        <w:rPr>
          <w:spacing w:val="1"/>
          <w:position w:val="5"/>
          <w:sz w:val="18"/>
        </w:rPr>
        <w:t xml:space="preserve">de  </w:t>
      </w:r>
      <w:r>
        <w:rPr>
          <w:spacing w:val="3"/>
          <w:position w:val="5"/>
          <w:sz w:val="18"/>
        </w:rPr>
        <w:t>outros me</w:t>
      </w:r>
      <w:r>
        <w:rPr>
          <w:spacing w:val="3"/>
          <w:position w:val="5"/>
          <w:sz w:val="18"/>
        </w:rPr>
        <w:t>tais</w:t>
      </w:r>
      <w:r>
        <w:rPr>
          <w:spacing w:val="-4"/>
          <w:position w:val="5"/>
          <w:sz w:val="18"/>
        </w:rPr>
        <w:t xml:space="preserve"> </w:t>
      </w:r>
      <w:r>
        <w:rPr>
          <w:spacing w:val="3"/>
          <w:position w:val="5"/>
          <w:sz w:val="18"/>
        </w:rPr>
        <w:t>pesados</w:t>
      </w:r>
      <w:r>
        <w:rPr>
          <w:spacing w:val="22"/>
          <w:position w:val="5"/>
          <w:sz w:val="18"/>
        </w:rPr>
        <w:t xml:space="preserve"> </w:t>
      </w:r>
      <w:r>
        <w:rPr>
          <w:spacing w:val="1"/>
          <w:position w:val="5"/>
          <w:sz w:val="18"/>
        </w:rPr>
        <w:t>no</w:t>
      </w:r>
      <w:r>
        <w:rPr>
          <w:spacing w:val="1"/>
          <w:position w:val="5"/>
          <w:sz w:val="18"/>
        </w:rPr>
        <w:tab/>
      </w:r>
      <w:r>
        <w:rPr>
          <w:spacing w:val="1"/>
          <w:position w:val="5"/>
          <w:sz w:val="18"/>
          <w:u w:val="single"/>
        </w:rPr>
        <w:t xml:space="preserve"> </w:t>
      </w:r>
      <w:r>
        <w:rPr>
          <w:spacing w:val="1"/>
          <w:position w:val="5"/>
          <w:sz w:val="18"/>
          <w:u w:val="single"/>
        </w:rPr>
        <w:tab/>
      </w:r>
      <w:r>
        <w:rPr>
          <w:sz w:val="16"/>
        </w:rPr>
        <w:t>Avaliação</w:t>
      </w:r>
      <w:r>
        <w:rPr>
          <w:spacing w:val="10"/>
          <w:sz w:val="16"/>
        </w:rPr>
        <w:t xml:space="preserve"> </w:t>
      </w:r>
      <w:r>
        <w:rPr>
          <w:sz w:val="16"/>
        </w:rPr>
        <w:t>da</w:t>
      </w:r>
      <w:r>
        <w:rPr>
          <w:spacing w:val="10"/>
          <w:sz w:val="16"/>
        </w:rPr>
        <w:t xml:space="preserve"> </w:t>
      </w:r>
      <w:r>
        <w:rPr>
          <w:sz w:val="16"/>
        </w:rPr>
        <w:t>eficiência</w:t>
      </w:r>
      <w:r>
        <w:rPr>
          <w:spacing w:val="10"/>
          <w:sz w:val="16"/>
        </w:rPr>
        <w:t xml:space="preserve"> </w:t>
      </w:r>
      <w:r>
        <w:rPr>
          <w:sz w:val="16"/>
        </w:rPr>
        <w:t>de</w:t>
      </w:r>
      <w:r>
        <w:rPr>
          <w:spacing w:val="10"/>
          <w:sz w:val="16"/>
        </w:rPr>
        <w:t xml:space="preserve"> </w:t>
      </w:r>
      <w:r>
        <w:rPr>
          <w:sz w:val="16"/>
        </w:rPr>
        <w:t>uma</w:t>
      </w:r>
      <w:r>
        <w:rPr>
          <w:spacing w:val="10"/>
          <w:sz w:val="16"/>
        </w:rPr>
        <w:t xml:space="preserve"> </w:t>
      </w:r>
      <w:r>
        <w:rPr>
          <w:sz w:val="16"/>
        </w:rPr>
        <w:t>zona</w:t>
      </w:r>
      <w:r>
        <w:rPr>
          <w:spacing w:val="10"/>
          <w:sz w:val="16"/>
        </w:rPr>
        <w:t xml:space="preserve"> </w:t>
      </w:r>
      <w:r>
        <w:rPr>
          <w:sz w:val="16"/>
        </w:rPr>
        <w:t>alagadiça</w:t>
      </w:r>
      <w:r>
        <w:rPr>
          <w:spacing w:val="10"/>
          <w:sz w:val="16"/>
        </w:rPr>
        <w:t xml:space="preserve"> </w:t>
      </w:r>
      <w:r>
        <w:rPr>
          <w:sz w:val="16"/>
        </w:rPr>
        <w:t>(wetland)</w:t>
      </w:r>
      <w:r>
        <w:rPr>
          <w:spacing w:val="10"/>
          <w:sz w:val="16"/>
        </w:rPr>
        <w:t xml:space="preserve"> </w:t>
      </w:r>
      <w:r>
        <w:rPr>
          <w:sz w:val="16"/>
        </w:rPr>
        <w:t>no</w:t>
      </w:r>
    </w:p>
    <w:p w:rsidR="00D81F69" w:rsidRDefault="00D81F69">
      <w:pPr>
        <w:spacing w:line="188" w:lineRule="exact"/>
        <w:rPr>
          <w:sz w:val="16"/>
        </w:rPr>
        <w:sectPr w:rsidR="00D81F69">
          <w:type w:val="continuous"/>
          <w:pgSz w:w="11900" w:h="16840"/>
          <w:pgMar w:top="720" w:right="500" w:bottom="280" w:left="620" w:header="720" w:footer="720" w:gutter="0"/>
          <w:cols w:space="720"/>
        </w:sectPr>
      </w:pPr>
    </w:p>
    <w:p w:rsidR="00D81F69" w:rsidRDefault="00330118">
      <w:pPr>
        <w:pStyle w:val="Corpodetexto"/>
        <w:spacing w:before="17" w:line="312" w:lineRule="auto"/>
        <w:ind w:right="39"/>
      </w:pPr>
      <w:r>
        <w:lastRenderedPageBreak/>
        <w:t xml:space="preserve">resíduo metalúrgico em Santo Amaro (LIMA; BERNARDEZ, 2010, 2011a e 2011b) e, até 2010, aproximadamente 500 mil </w:t>
      </w:r>
      <w:r>
        <w:rPr>
          <w:spacing w:val="10"/>
        </w:rPr>
        <w:t xml:space="preserve">toneladas </w:t>
      </w:r>
      <w:r>
        <w:rPr>
          <w:spacing w:val="5"/>
        </w:rPr>
        <w:t xml:space="preserve">de </w:t>
      </w:r>
      <w:r>
        <w:rPr>
          <w:spacing w:val="10"/>
        </w:rPr>
        <w:t xml:space="preserve">escória encontravam-se </w:t>
      </w:r>
      <w:r>
        <w:rPr>
          <w:spacing w:val="5"/>
        </w:rPr>
        <w:t xml:space="preserve">no </w:t>
      </w:r>
      <w:r>
        <w:rPr>
          <w:spacing w:val="10"/>
        </w:rPr>
        <w:t xml:space="preserve">terreno </w:t>
      </w:r>
      <w:r>
        <w:rPr>
          <w:spacing w:val="11"/>
        </w:rPr>
        <w:t xml:space="preserve">da </w:t>
      </w:r>
      <w:r>
        <w:rPr>
          <w:spacing w:val="1"/>
        </w:rPr>
        <w:t>me</w:t>
      </w:r>
      <w:r>
        <w:rPr>
          <w:spacing w:val="1"/>
        </w:rPr>
        <w:t xml:space="preserve">talúrgica, </w:t>
      </w:r>
      <w:r>
        <w:t xml:space="preserve">sem o </w:t>
      </w:r>
      <w:r>
        <w:rPr>
          <w:spacing w:val="1"/>
        </w:rPr>
        <w:t xml:space="preserve">devido encapsulamento </w:t>
      </w:r>
      <w:r>
        <w:rPr>
          <w:spacing w:val="2"/>
        </w:rPr>
        <w:t xml:space="preserve">(ALCÂNTARA, </w:t>
      </w:r>
      <w:r>
        <w:rPr>
          <w:spacing w:val="3"/>
        </w:rPr>
        <w:t xml:space="preserve">2010). Muitos </w:t>
      </w:r>
      <w:r>
        <w:rPr>
          <w:spacing w:val="2"/>
        </w:rPr>
        <w:t xml:space="preserve">dos </w:t>
      </w:r>
      <w:r>
        <w:rPr>
          <w:spacing w:val="3"/>
        </w:rPr>
        <w:t xml:space="preserve">ex-funcionários apresentavam </w:t>
      </w:r>
      <w:r>
        <w:rPr>
          <w:spacing w:val="5"/>
        </w:rPr>
        <w:t xml:space="preserve">doenças </w:t>
      </w:r>
      <w:r>
        <w:t xml:space="preserve">ocupacionais, recebendo apenas aposentadorias do Instituto Nacional do Seguro Social (INSS) ou auxílio-doença. Embora a </w:t>
      </w:r>
      <w:r>
        <w:rPr>
          <w:spacing w:val="3"/>
        </w:rPr>
        <w:t xml:space="preserve">empresa tenha pagado algumas indenizações, </w:t>
      </w:r>
      <w:r>
        <w:rPr>
          <w:spacing w:val="5"/>
        </w:rPr>
        <w:t xml:space="preserve">existiam </w:t>
      </w:r>
      <w:r>
        <w:t xml:space="preserve">ainda “cerca de dois mil processos individuais tramitando na </w:t>
      </w:r>
      <w:r>
        <w:rPr>
          <w:spacing w:val="3"/>
        </w:rPr>
        <w:t xml:space="preserve">Delegacia Regional </w:t>
      </w:r>
      <w:r>
        <w:rPr>
          <w:spacing w:val="1"/>
        </w:rPr>
        <w:t xml:space="preserve">do </w:t>
      </w:r>
      <w:r>
        <w:rPr>
          <w:spacing w:val="3"/>
        </w:rPr>
        <w:t xml:space="preserve">Trabalho </w:t>
      </w:r>
      <w:r>
        <w:rPr>
          <w:spacing w:val="1"/>
        </w:rPr>
        <w:t xml:space="preserve">de </w:t>
      </w:r>
      <w:r>
        <w:rPr>
          <w:spacing w:val="3"/>
        </w:rPr>
        <w:t xml:space="preserve">Santo Amaro. </w:t>
      </w:r>
      <w:r>
        <w:rPr>
          <w:spacing w:val="1"/>
        </w:rPr>
        <w:t xml:space="preserve">E, </w:t>
      </w:r>
      <w:r>
        <w:rPr>
          <w:spacing w:val="5"/>
        </w:rPr>
        <w:t xml:space="preserve">com </w:t>
      </w:r>
      <w:r>
        <w:t xml:space="preserve">relação aos danos ambientais, nada foi feito” (ALCÂNTARA, </w:t>
      </w:r>
      <w:r>
        <w:rPr>
          <w:spacing w:val="7"/>
        </w:rPr>
        <w:t xml:space="preserve">2010, </w:t>
      </w:r>
      <w:r>
        <w:rPr>
          <w:spacing w:val="5"/>
        </w:rPr>
        <w:t xml:space="preserve">p. </w:t>
      </w:r>
      <w:r>
        <w:rPr>
          <w:spacing w:val="7"/>
        </w:rPr>
        <w:t xml:space="preserve">109). </w:t>
      </w:r>
      <w:r>
        <w:rPr>
          <w:spacing w:val="6"/>
        </w:rPr>
        <w:t xml:space="preserve">Cabe </w:t>
      </w:r>
      <w:r>
        <w:rPr>
          <w:spacing w:val="7"/>
        </w:rPr>
        <w:t xml:space="preserve">mencionar </w:t>
      </w:r>
      <w:r>
        <w:rPr>
          <w:spacing w:val="5"/>
        </w:rPr>
        <w:t>q</w:t>
      </w:r>
      <w:r>
        <w:rPr>
          <w:spacing w:val="5"/>
        </w:rPr>
        <w:t xml:space="preserve">ue </w:t>
      </w:r>
      <w:r>
        <w:rPr>
          <w:spacing w:val="7"/>
        </w:rPr>
        <w:t xml:space="preserve">recente </w:t>
      </w:r>
      <w:r>
        <w:rPr>
          <w:spacing w:val="10"/>
        </w:rPr>
        <w:t xml:space="preserve">pesquisa </w:t>
      </w:r>
      <w:r>
        <w:rPr>
          <w:spacing w:val="7"/>
        </w:rPr>
        <w:t xml:space="preserve">realizada </w:t>
      </w:r>
      <w:r>
        <w:t xml:space="preserve">a </w:t>
      </w:r>
      <w:r>
        <w:rPr>
          <w:spacing w:val="7"/>
        </w:rPr>
        <w:t xml:space="preserve">partir </w:t>
      </w:r>
      <w:r>
        <w:rPr>
          <w:spacing w:val="5"/>
        </w:rPr>
        <w:t xml:space="preserve">de </w:t>
      </w:r>
      <w:r>
        <w:rPr>
          <w:spacing w:val="7"/>
        </w:rPr>
        <w:t xml:space="preserve">amostras </w:t>
      </w:r>
      <w:r>
        <w:rPr>
          <w:spacing w:val="5"/>
        </w:rPr>
        <w:t xml:space="preserve">da </w:t>
      </w:r>
      <w:r>
        <w:rPr>
          <w:spacing w:val="7"/>
        </w:rPr>
        <w:t xml:space="preserve">escória diverge </w:t>
      </w:r>
      <w:r>
        <w:rPr>
          <w:spacing w:val="10"/>
        </w:rPr>
        <w:t xml:space="preserve">das </w:t>
      </w:r>
      <w:r>
        <w:t xml:space="preserve">anteriormente realizadas em Santo Amaro por considerar que </w:t>
      </w:r>
      <w:r>
        <w:rPr>
          <w:spacing w:val="2"/>
        </w:rPr>
        <w:t xml:space="preserve">não </w:t>
      </w:r>
      <w:r>
        <w:rPr>
          <w:spacing w:val="3"/>
        </w:rPr>
        <w:t xml:space="preserve">constitui fonte </w:t>
      </w:r>
      <w:r>
        <w:rPr>
          <w:spacing w:val="1"/>
        </w:rPr>
        <w:t xml:space="preserve">de </w:t>
      </w:r>
      <w:r>
        <w:rPr>
          <w:spacing w:val="3"/>
        </w:rPr>
        <w:t xml:space="preserve">contaminação (LIMA; </w:t>
      </w:r>
      <w:r>
        <w:rPr>
          <w:spacing w:val="5"/>
        </w:rPr>
        <w:t xml:space="preserve">BERNARDEZ, </w:t>
      </w:r>
      <w:r>
        <w:rPr>
          <w:spacing w:val="3"/>
        </w:rPr>
        <w:t xml:space="preserve">2010, 2011a </w:t>
      </w:r>
      <w:r>
        <w:t>e</w:t>
      </w:r>
      <w:r>
        <w:rPr>
          <w:spacing w:val="6"/>
        </w:rPr>
        <w:t xml:space="preserve"> </w:t>
      </w:r>
      <w:r>
        <w:rPr>
          <w:spacing w:val="5"/>
        </w:rPr>
        <w:t>2011b).</w:t>
      </w:r>
    </w:p>
    <w:p w:rsidR="00D81F69" w:rsidRDefault="00330118">
      <w:pPr>
        <w:pStyle w:val="Corpodetexto"/>
        <w:spacing w:before="145" w:line="312" w:lineRule="auto"/>
        <w:ind w:right="38"/>
      </w:pPr>
      <w:r>
        <w:t>Independente de quais sejam as vias de contamin</w:t>
      </w:r>
      <w:r>
        <w:t xml:space="preserve">ação, no entanto, especialistas alertam que o município de Santo Amaro precisa não só de um plano de gestão ambiental, como também de uma comunicação e governança de risco eficazes, que possibilitem um diálogo participativo com as comunidades afetadas e a </w:t>
      </w:r>
      <w:r>
        <w:t>divulgação de dados para mídia e órgãos governamentais (DI GIULIO et al., 2010). Por sua vez, em 26 de maio de 2011, a Presidenta da Republica Dilma Rousseff determinou providências ao governo para resolução do passivo do município (AGÊNCIA SENADO, 2011).</w:t>
      </w:r>
    </w:p>
    <w:p w:rsidR="00D81F69" w:rsidRDefault="00330118">
      <w:pPr>
        <w:pStyle w:val="Corpodetexto"/>
        <w:spacing w:before="139" w:line="312" w:lineRule="auto"/>
        <w:ind w:right="56"/>
      </w:pPr>
      <w:r>
        <w:t>“Santo Amaro é considerada uma das cidades mais poluídas por chumbo no mundo. Na literatura mundial, é o caso- referência para estudar a contaminação por chumbo e cádmio” (ALCÂNTARA, 2010, p.114).</w:t>
      </w:r>
    </w:p>
    <w:p w:rsidR="00D81F69" w:rsidRDefault="00D81F69">
      <w:pPr>
        <w:pStyle w:val="Corpodetexto"/>
        <w:spacing w:before="3"/>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59"/>
      </w:pPr>
      <w:r>
        <w:t>A produção de ligas de chumbo no município de Santo Amaro (BA) localiza-se aproximadamente na latitude 12°30’16”S e na longitude 38°48’50”W. Situa-se na bacia do rio Subaé que pertence à região costeira leste.</w:t>
      </w:r>
    </w:p>
    <w:p w:rsidR="00D81F69" w:rsidRDefault="00D81F69">
      <w:pPr>
        <w:pStyle w:val="Corpodetexto"/>
        <w:spacing w:before="1"/>
        <w:ind w:left="0"/>
        <w:jc w:val="left"/>
        <w:rPr>
          <w:sz w:val="29"/>
        </w:rPr>
      </w:pPr>
    </w:p>
    <w:p w:rsidR="00D81F69" w:rsidRDefault="00330118">
      <w:pPr>
        <w:pStyle w:val="Heading7"/>
        <w:spacing w:before="1"/>
      </w:pPr>
      <w:r>
        <w:t>REDATORES</w:t>
      </w:r>
    </w:p>
    <w:p w:rsidR="00D81F69" w:rsidRDefault="00330118">
      <w:pPr>
        <w:spacing w:before="56" w:line="312" w:lineRule="auto"/>
        <w:ind w:left="100" w:right="159"/>
        <w:rPr>
          <w:sz w:val="16"/>
        </w:rPr>
      </w:pPr>
      <w:r>
        <w:br w:type="column"/>
      </w:r>
      <w:r>
        <w:rPr>
          <w:sz w:val="16"/>
        </w:rPr>
        <w:lastRenderedPageBreak/>
        <w:t>controle da poluição por metais pe</w:t>
      </w:r>
      <w:r>
        <w:rPr>
          <w:sz w:val="16"/>
        </w:rPr>
        <w:t xml:space="preserve">sados: O caso Plumbum em Santo Amaro/BA. 2003, 327f. Tese (Doutorado em Engenharia Mineral) - Universidade de São Paulo, Escola Politécnica, São Paulo. Disponível </w:t>
      </w:r>
      <w:hyperlink r:id="rId576">
        <w:r>
          <w:rPr>
            <w:sz w:val="16"/>
          </w:rPr>
          <w:t>em: &lt;http://jangello.unifacs.br/teses.h</w:t>
        </w:r>
        <w:r>
          <w:rPr>
            <w:sz w:val="16"/>
          </w:rPr>
          <w:t xml:space="preserve">tm&gt;. </w:t>
        </w:r>
      </w:hyperlink>
      <w:r>
        <w:rPr>
          <w:sz w:val="16"/>
        </w:rPr>
        <w:t>Acesso em: 18 nov. 2011. ANJOS, José Ângelo Sebastião Araújo dos; SANCHEZ, Luis Enrique. Plano de Gestão ambiental para sítios contaminados com resíduos industriais: o caso da Plumbum em Santo Amaro da Purificação - BA. In: Bahia Análise &amp; Dados, Salv</w:t>
      </w:r>
      <w:r>
        <w:rPr>
          <w:sz w:val="16"/>
        </w:rPr>
        <w:t>ador/BA, v.10 n. 4 p.306-309, mar.</w:t>
      </w:r>
    </w:p>
    <w:p w:rsidR="00D81F69" w:rsidRDefault="00330118">
      <w:pPr>
        <w:tabs>
          <w:tab w:val="left" w:pos="1785"/>
          <w:tab w:val="left" w:pos="4548"/>
        </w:tabs>
        <w:spacing w:before="6"/>
        <w:ind w:left="100"/>
        <w:rPr>
          <w:sz w:val="16"/>
        </w:rPr>
      </w:pPr>
      <w:r>
        <w:rPr>
          <w:sz w:val="16"/>
        </w:rPr>
        <w:t xml:space="preserve">2   0   0  </w:t>
      </w:r>
      <w:r>
        <w:rPr>
          <w:spacing w:val="35"/>
          <w:sz w:val="16"/>
        </w:rPr>
        <w:t xml:space="preserve"> </w:t>
      </w:r>
      <w:r>
        <w:rPr>
          <w:sz w:val="16"/>
        </w:rPr>
        <w:t xml:space="preserve">1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13"/>
        <w:jc w:val="both"/>
        <w:rPr>
          <w:sz w:val="16"/>
        </w:rPr>
      </w:pPr>
      <w:hyperlink r:id="rId577">
        <w:r w:rsidR="00330118">
          <w:rPr>
            <w:sz w:val="16"/>
          </w:rPr>
          <w:t xml:space="preserve">&lt;http://jangello.unifacs.br/downloads/Projeto_Purifica.pdf&gt;. </w:t>
        </w:r>
      </w:hyperlink>
      <w:r w:rsidR="00330118">
        <w:rPr>
          <w:sz w:val="16"/>
        </w:rPr>
        <w:t>Acesso em: 02 jul. 2010.</w:t>
      </w:r>
    </w:p>
    <w:p w:rsidR="00D81F69" w:rsidRDefault="00330118">
      <w:pPr>
        <w:spacing w:before="2" w:line="312" w:lineRule="auto"/>
        <w:ind w:left="100" w:right="195"/>
        <w:jc w:val="both"/>
        <w:rPr>
          <w:sz w:val="16"/>
        </w:rPr>
      </w:pPr>
      <w:r>
        <w:rPr>
          <w:sz w:val="16"/>
        </w:rPr>
        <w:t>ANJOS, José Ângelo Sebastião Araújo dos; SANCHEZ, Luis Enrique. Estratégias para remediação de sítios: o caso da usina metalúrgica da Plumbum, na Bahia. In: Brasil Mineral, São Paulo/SP, ano XVI, n. 175, p. 38-44, ago. 1999.</w:t>
      </w:r>
    </w:p>
    <w:p w:rsidR="00D81F69" w:rsidRDefault="00330118">
      <w:pPr>
        <w:spacing w:before="3" w:line="312" w:lineRule="auto"/>
        <w:ind w:left="100" w:right="194"/>
        <w:jc w:val="both"/>
        <w:rPr>
          <w:sz w:val="16"/>
        </w:rPr>
      </w:pPr>
      <w:r>
        <w:rPr>
          <w:sz w:val="16"/>
        </w:rPr>
        <w:t xml:space="preserve">BAHIA </w:t>
      </w:r>
      <w:r>
        <w:rPr>
          <w:sz w:val="16"/>
        </w:rPr>
        <w:t xml:space="preserve">JÁ. Contaminação de chumbo em Santo Amaro será debatida no Senado, 14 maio 2011. In: JusBrasil. Disponível em: </w:t>
      </w:r>
      <w:hyperlink r:id="rId578">
        <w:r>
          <w:rPr>
            <w:sz w:val="16"/>
          </w:rPr>
          <w:t>&lt;http://bahia-</w:t>
        </w:r>
      </w:hyperlink>
      <w:r>
        <w:rPr>
          <w:sz w:val="16"/>
        </w:rPr>
        <w:t xml:space="preserve"> ja.jusbrasil.com.br/politica/6970655/contaminacao-de-chumbo-em- santo-amaro-sera-debatida-no-senad</w:t>
      </w:r>
      <w:r>
        <w:rPr>
          <w:sz w:val="16"/>
        </w:rPr>
        <w:t>o&gt;. Acesso em: 13 out. 2011. CARVALHO, Fernando Martins; SILVANY NETO, Annibal Muniz; TAVARES, Tania Mascarenhas; COSTA, Ângela Cristina Andrade; CHAVES, Carolina d´El Rei; NASCIMENTO, Luciano Dias; REIS, Márcia de Andrade. Chumbo no sangue de crianças e p</w:t>
      </w:r>
      <w:r>
        <w:rPr>
          <w:sz w:val="16"/>
        </w:rPr>
        <w:t xml:space="preserve">assivo ambiental de uma fundição de chumbo no Brasil. In: Revista Panamericana de Salud Pública, vol.13 nº1, Washington (EUA), jan. 2003. Disponível em: </w:t>
      </w:r>
      <w:hyperlink r:id="rId579">
        <w:r>
          <w:rPr>
            <w:sz w:val="16"/>
          </w:rPr>
          <w:t>&lt;http://www.scielosp.org/scielo.php?pid=</w:t>
        </w:r>
        <w:r>
          <w:rPr>
            <w:sz w:val="16"/>
          </w:rPr>
          <w:t>S1020-</w:t>
        </w:r>
      </w:hyperlink>
      <w:r>
        <w:rPr>
          <w:sz w:val="16"/>
        </w:rPr>
        <w:t xml:space="preserve"> 49892003000100003&amp;script=sci_arttext&gt;. Acesso em: 01 jul. 2010.</w:t>
      </w:r>
    </w:p>
    <w:p w:rsidR="00D81F69" w:rsidRDefault="00330118">
      <w:pPr>
        <w:spacing w:before="10" w:line="312" w:lineRule="auto"/>
        <w:ind w:left="100" w:right="194"/>
        <w:jc w:val="both"/>
        <w:rPr>
          <w:sz w:val="16"/>
        </w:rPr>
      </w:pPr>
      <w:r>
        <w:rPr>
          <w:sz w:val="16"/>
        </w:rPr>
        <w:t>DI GIULIO, Gabriela Marques; FIGUEIREDO, Bernardino Ribeiro; FERREIRA, Lúcia da Costa; ANJOS, José Ângelo Sebastião Araújo dos. Comunicação e governança do risco: A experiência brasilei</w:t>
      </w:r>
      <w:r>
        <w:rPr>
          <w:sz w:val="16"/>
        </w:rPr>
        <w:t>ra em áreas contaminadas por chumbo. In: Revista Ambiente &amp; Sociedade. Campinas v. XIII, n. 2. p. 283-297. jul-dez. 2010. Disponível em:</w:t>
      </w:r>
    </w:p>
    <w:p w:rsidR="00D81F69" w:rsidRDefault="00D81F69">
      <w:pPr>
        <w:spacing w:before="4" w:line="312" w:lineRule="auto"/>
        <w:ind w:left="100" w:right="215"/>
        <w:jc w:val="both"/>
        <w:rPr>
          <w:sz w:val="16"/>
        </w:rPr>
      </w:pPr>
      <w:hyperlink r:id="rId580">
        <w:r w:rsidR="00330118">
          <w:rPr>
            <w:sz w:val="16"/>
          </w:rPr>
          <w:t xml:space="preserve">&lt;http://www.scielo.br/pdf/asoc/v13n2/v13n2a05.pdf&gt;. </w:t>
        </w:r>
      </w:hyperlink>
      <w:r w:rsidR="00330118">
        <w:rPr>
          <w:sz w:val="16"/>
        </w:rPr>
        <w:t>A</w:t>
      </w:r>
      <w:r w:rsidR="00330118">
        <w:rPr>
          <w:sz w:val="16"/>
        </w:rPr>
        <w:t>cesso em: 18 nov. 2011.</w:t>
      </w:r>
    </w:p>
    <w:p w:rsidR="00D81F69" w:rsidRDefault="00330118">
      <w:pPr>
        <w:spacing w:before="2" w:line="312" w:lineRule="auto"/>
        <w:ind w:left="100" w:right="166"/>
        <w:jc w:val="both"/>
        <w:rPr>
          <w:sz w:val="16"/>
        </w:rPr>
      </w:pPr>
      <w:r>
        <w:rPr>
          <w:sz w:val="16"/>
        </w:rPr>
        <w:t xml:space="preserve">IBGE, Instituto Brasileiro de Geografia e Estatística. Santo Amaro </w:t>
      </w:r>
      <w:r>
        <w:rPr>
          <w:spacing w:val="23"/>
          <w:sz w:val="16"/>
        </w:rPr>
        <w:t xml:space="preserve">(BA). </w:t>
      </w:r>
      <w:r>
        <w:rPr>
          <w:spacing w:val="20"/>
          <w:sz w:val="16"/>
        </w:rPr>
        <w:t xml:space="preserve">In: </w:t>
      </w:r>
      <w:r>
        <w:rPr>
          <w:spacing w:val="21"/>
          <w:sz w:val="16"/>
        </w:rPr>
        <w:t xml:space="preserve">IBGE </w:t>
      </w:r>
      <w:r>
        <w:rPr>
          <w:spacing w:val="25"/>
          <w:sz w:val="16"/>
        </w:rPr>
        <w:t>Cidades.</w:t>
      </w:r>
      <w:r>
        <w:rPr>
          <w:spacing w:val="95"/>
          <w:sz w:val="16"/>
        </w:rPr>
        <w:t xml:space="preserve"> </w:t>
      </w:r>
      <w:r>
        <w:rPr>
          <w:spacing w:val="23"/>
          <w:sz w:val="16"/>
        </w:rPr>
        <w:t xml:space="preserve">2010. </w:t>
      </w:r>
      <w:r>
        <w:rPr>
          <w:spacing w:val="26"/>
          <w:sz w:val="16"/>
        </w:rPr>
        <w:t>Disponível</w:t>
      </w:r>
      <w:r>
        <w:rPr>
          <w:spacing w:val="25"/>
          <w:sz w:val="16"/>
        </w:rPr>
        <w:t xml:space="preserve"> </w:t>
      </w:r>
      <w:r>
        <w:rPr>
          <w:spacing w:val="20"/>
          <w:sz w:val="16"/>
        </w:rPr>
        <w:t>em:</w:t>
      </w:r>
      <w:r>
        <w:rPr>
          <w:spacing w:val="-14"/>
          <w:sz w:val="16"/>
        </w:rPr>
        <w:t xml:space="preserve"> </w:t>
      </w:r>
    </w:p>
    <w:p w:rsidR="00D81F69" w:rsidRDefault="00D81F69">
      <w:pPr>
        <w:spacing w:before="1"/>
        <w:ind w:left="100"/>
        <w:rPr>
          <w:sz w:val="16"/>
        </w:rPr>
      </w:pPr>
      <w:hyperlink r:id="rId581">
        <w:r w:rsidR="00330118">
          <w:rPr>
            <w:sz w:val="16"/>
          </w:rPr>
          <w:t>&lt;</w:t>
        </w:r>
        <w:r w:rsidR="00330118">
          <w:rPr>
            <w:sz w:val="16"/>
          </w:rPr>
          <w:t>http://www.ibge.gov.br/cidadesat/xtras/perfil.php?codmun=292860&amp;r</w:t>
        </w:r>
      </w:hyperlink>
    </w:p>
    <w:p w:rsidR="00D81F69" w:rsidRDefault="00330118">
      <w:pPr>
        <w:spacing w:before="56"/>
        <w:ind w:left="100"/>
        <w:rPr>
          <w:sz w:val="16"/>
        </w:rPr>
      </w:pPr>
      <w:r>
        <w:rPr>
          <w:sz w:val="16"/>
        </w:rPr>
        <w:t>=2&gt;. Acesso em: 12 out. 2011.</w:t>
      </w:r>
    </w:p>
    <w:p w:rsidR="00D81F69" w:rsidRDefault="00330118">
      <w:pPr>
        <w:spacing w:before="56" w:line="312" w:lineRule="auto"/>
        <w:ind w:left="100" w:right="184"/>
        <w:jc w:val="both"/>
        <w:rPr>
          <w:sz w:val="16"/>
        </w:rPr>
      </w:pPr>
      <w:r>
        <w:rPr>
          <w:sz w:val="16"/>
        </w:rPr>
        <w:t>LIMA, Luiz R. P. de Andrade; BERNARDEZ, Letícia. A. Characterization of the heavy metals contamination due to a lead smelting in Bahia, Brazil. In: A. Siegmund,</w:t>
      </w:r>
      <w:r>
        <w:rPr>
          <w:sz w:val="16"/>
        </w:rPr>
        <w:t xml:space="preserve"> L. Centomo, C.Geenen, N.Piret, G. Richards, R. Stephens. (Org.). Lead-Zinc 2010: John Wiley &amp; Sons and The Metals &amp; Materials Society (TMS), 2010, p. 917-927.</w:t>
      </w:r>
    </w:p>
    <w:p w:rsidR="00D81F69" w:rsidRDefault="00330118">
      <w:pPr>
        <w:spacing w:before="5"/>
        <w:ind w:left="100"/>
        <w:jc w:val="both"/>
        <w:rPr>
          <w:sz w:val="16"/>
        </w:rPr>
      </w:pPr>
      <w:r>
        <w:rPr>
          <w:sz w:val="16"/>
          <w:u w:val="single"/>
        </w:rPr>
        <w:t xml:space="preserve">          </w:t>
      </w:r>
      <w:r>
        <w:rPr>
          <w:sz w:val="16"/>
        </w:rPr>
        <w:t>. Isotope Source Signatures for a Primary Lead Smelter Located</w:t>
      </w:r>
    </w:p>
    <w:p w:rsidR="00D81F69" w:rsidRDefault="00D81F69">
      <w:pPr>
        <w:jc w:val="both"/>
        <w:rPr>
          <w:sz w:val="16"/>
        </w:rPr>
        <w:sectPr w:rsidR="00D81F69">
          <w:type w:val="continuous"/>
          <w:pgSz w:w="11900" w:h="16840"/>
          <w:pgMar w:top="720" w:right="500" w:bottom="280" w:left="620" w:header="720" w:footer="720" w:gutter="0"/>
          <w:cols w:num="2" w:space="720" w:equalWidth="0">
            <w:col w:w="5158" w:space="312"/>
            <w:col w:w="5310"/>
          </w:cols>
        </w:sectPr>
      </w:pPr>
    </w:p>
    <w:p w:rsidR="00D81F69" w:rsidRDefault="00330118">
      <w:pPr>
        <w:spacing w:before="70" w:line="312" w:lineRule="auto"/>
        <w:ind w:left="100" w:right="38"/>
        <w:jc w:val="both"/>
        <w:rPr>
          <w:sz w:val="16"/>
        </w:rPr>
      </w:pPr>
      <w:r>
        <w:rPr>
          <w:sz w:val="16"/>
        </w:rPr>
        <w:lastRenderedPageBreak/>
        <w:t xml:space="preserve">Close to Todos os Santos Bay, Brazil. Soil &amp; Sediment Contamination, </w:t>
      </w:r>
      <w:r>
        <w:rPr>
          <w:spacing w:val="18"/>
          <w:sz w:val="16"/>
        </w:rPr>
        <w:t xml:space="preserve">v. </w:t>
      </w:r>
      <w:r>
        <w:rPr>
          <w:spacing w:val="25"/>
          <w:sz w:val="16"/>
        </w:rPr>
        <w:t xml:space="preserve">20, </w:t>
      </w:r>
      <w:r>
        <w:rPr>
          <w:spacing w:val="18"/>
          <w:sz w:val="16"/>
        </w:rPr>
        <w:t xml:space="preserve">p. </w:t>
      </w:r>
      <w:r>
        <w:rPr>
          <w:spacing w:val="32"/>
          <w:sz w:val="16"/>
        </w:rPr>
        <w:t xml:space="preserve">672-687, </w:t>
      </w:r>
      <w:r>
        <w:rPr>
          <w:spacing w:val="30"/>
          <w:sz w:val="16"/>
        </w:rPr>
        <w:t>2011a.</w:t>
      </w:r>
      <w:r>
        <w:rPr>
          <w:spacing w:val="105"/>
          <w:sz w:val="16"/>
        </w:rPr>
        <w:t xml:space="preserve"> </w:t>
      </w:r>
      <w:r>
        <w:rPr>
          <w:spacing w:val="33"/>
          <w:sz w:val="16"/>
        </w:rPr>
        <w:t>Disponível</w:t>
      </w:r>
      <w:r>
        <w:rPr>
          <w:spacing w:val="32"/>
          <w:sz w:val="16"/>
        </w:rPr>
        <w:t xml:space="preserve"> </w:t>
      </w:r>
      <w:r>
        <w:rPr>
          <w:spacing w:val="25"/>
          <w:sz w:val="16"/>
        </w:rPr>
        <w:t>em:</w:t>
      </w:r>
      <w:r>
        <w:rPr>
          <w:spacing w:val="-6"/>
          <w:sz w:val="16"/>
        </w:rPr>
        <w:t xml:space="preserve"> </w:t>
      </w:r>
    </w:p>
    <w:p w:rsidR="00D81F69" w:rsidRDefault="00D81F69">
      <w:pPr>
        <w:spacing w:before="1"/>
        <w:ind w:left="100"/>
        <w:rPr>
          <w:sz w:val="16"/>
        </w:rPr>
      </w:pPr>
      <w:hyperlink r:id="rId582">
        <w:r w:rsidR="00330118">
          <w:rPr>
            <w:sz w:val="16"/>
          </w:rPr>
          <w:t>&lt;</w:t>
        </w:r>
        <w:r w:rsidR="00330118">
          <w:rPr>
            <w:sz w:val="16"/>
          </w:rPr>
          <w:t>http://www.tandfonline.com/doi/abs/10.1080/15320383.2011.594109</w:t>
        </w:r>
      </w:hyperlink>
    </w:p>
    <w:p w:rsidR="00D81F69" w:rsidRDefault="00330118">
      <w:pPr>
        <w:spacing w:before="56"/>
        <w:ind w:left="100"/>
        <w:rPr>
          <w:sz w:val="16"/>
        </w:rPr>
      </w:pPr>
      <w:r>
        <w:rPr>
          <w:sz w:val="16"/>
        </w:rPr>
        <w:t>#preview&gt;. Acesso em: 18 nov. 2011.</w:t>
      </w:r>
    </w:p>
    <w:p w:rsidR="00D81F69" w:rsidRDefault="00330118">
      <w:pPr>
        <w:spacing w:before="56" w:line="312" w:lineRule="auto"/>
        <w:ind w:left="100" w:right="73"/>
        <w:jc w:val="both"/>
        <w:rPr>
          <w:sz w:val="16"/>
        </w:rPr>
      </w:pPr>
      <w:r>
        <w:rPr>
          <w:sz w:val="16"/>
        </w:rPr>
        <w:t>_____. Characterization of the lead smelter slag in Santo Amaro, Bahia, Brazil. Journal of Hazardous Materials (Print), v. 189, p. 692- 699, 2011b.</w:t>
      </w:r>
    </w:p>
    <w:p w:rsidR="00D81F69" w:rsidRDefault="00330118">
      <w:pPr>
        <w:spacing w:before="3" w:line="312" w:lineRule="auto"/>
        <w:ind w:left="100" w:right="62"/>
        <w:jc w:val="both"/>
        <w:rPr>
          <w:sz w:val="16"/>
        </w:rPr>
      </w:pPr>
      <w:r>
        <w:rPr>
          <w:sz w:val="16"/>
        </w:rPr>
        <w:t>MACHADO,</w:t>
      </w:r>
      <w:r>
        <w:rPr>
          <w:sz w:val="16"/>
        </w:rPr>
        <w:t xml:space="preserve"> Sandro Lemos; RIBEIRO, Laelson Dourado; KIPERSTOK, Asher; BOTELHO, Marco Antônio Barsotelli; CARVALHO, Miriam de Fátima. Diagnóstico da Contaminação por Metais Pesados em Santo Amaro - Bahia. In: Engenharia Sanitária e Ambiental, v. 9 – n. 2, abr-jun 2004</w:t>
      </w:r>
      <w:r>
        <w:rPr>
          <w:sz w:val="16"/>
        </w:rPr>
        <w:t>, p.140-155. Disponível em:</w:t>
      </w:r>
    </w:p>
    <w:p w:rsidR="00D81F69" w:rsidRDefault="00D81F69">
      <w:pPr>
        <w:spacing w:before="4" w:line="312" w:lineRule="auto"/>
        <w:ind w:left="100" w:right="94"/>
        <w:jc w:val="both"/>
        <w:rPr>
          <w:sz w:val="16"/>
        </w:rPr>
      </w:pPr>
      <w:hyperlink r:id="rId583">
        <w:r w:rsidR="00330118">
          <w:rPr>
            <w:sz w:val="16"/>
          </w:rPr>
          <w:t>&lt;https://www.abesdn.org.br/publicacoes/engenharia/resaonline/v9n2/</w:t>
        </w:r>
      </w:hyperlink>
      <w:r w:rsidR="00330118">
        <w:rPr>
          <w:sz w:val="16"/>
        </w:rPr>
        <w:t xml:space="preserve"> p140a155.pdf&gt;. Acesso em: 01 jul. 2010.</w:t>
      </w:r>
    </w:p>
    <w:p w:rsidR="00D81F69" w:rsidRDefault="00330118">
      <w:pPr>
        <w:spacing w:before="1" w:line="312" w:lineRule="auto"/>
        <w:ind w:left="100" w:right="77"/>
        <w:jc w:val="both"/>
        <w:rPr>
          <w:sz w:val="16"/>
        </w:rPr>
      </w:pPr>
      <w:r>
        <w:rPr>
          <w:sz w:val="16"/>
        </w:rPr>
        <w:t>MANZONI, Patrícia; MINAS, Raul. Poluição por chumbo em Santo Amaro da Purificação. In: Instituto para o Desenvolvimento Ambiental, jul. 2002, atualizada em mar 2009.</w:t>
      </w:r>
    </w:p>
    <w:p w:rsidR="00D81F69" w:rsidRDefault="00330118">
      <w:pPr>
        <w:spacing w:before="70" w:line="312" w:lineRule="auto"/>
        <w:ind w:left="100" w:right="196"/>
        <w:jc w:val="both"/>
        <w:rPr>
          <w:sz w:val="16"/>
        </w:rPr>
      </w:pPr>
      <w:r>
        <w:br w:type="column"/>
      </w:r>
      <w:r>
        <w:rPr>
          <w:spacing w:val="1"/>
          <w:sz w:val="16"/>
        </w:rPr>
        <w:lastRenderedPageBreak/>
        <w:t xml:space="preserve">Disponível </w:t>
      </w:r>
      <w:r>
        <w:rPr>
          <w:sz w:val="16"/>
        </w:rPr>
        <w:t xml:space="preserve">em: </w:t>
      </w:r>
      <w:hyperlink r:id="rId584">
        <w:r>
          <w:rPr>
            <w:spacing w:val="2"/>
            <w:sz w:val="16"/>
          </w:rPr>
          <w:t>&lt;http://</w:t>
        </w:r>
        <w:r>
          <w:rPr>
            <w:spacing w:val="2"/>
            <w:sz w:val="16"/>
          </w:rPr>
          <w:t>www.ida.org.br/denuncias/77-poluicao/173-</w:t>
        </w:r>
      </w:hyperlink>
      <w:r>
        <w:rPr>
          <w:spacing w:val="2"/>
          <w:sz w:val="16"/>
        </w:rPr>
        <w:t xml:space="preserve"> </w:t>
      </w:r>
      <w:r>
        <w:rPr>
          <w:sz w:val="16"/>
        </w:rPr>
        <w:t xml:space="preserve">poluicao-por-chumbo-em-santo-amaro-da-purificacao&gt;. Acesso </w:t>
      </w:r>
      <w:r>
        <w:rPr>
          <w:spacing w:val="1"/>
          <w:sz w:val="16"/>
        </w:rPr>
        <w:t xml:space="preserve">em: </w:t>
      </w:r>
      <w:r>
        <w:rPr>
          <w:sz w:val="16"/>
        </w:rPr>
        <w:t>01 jul.</w:t>
      </w:r>
      <w:r>
        <w:rPr>
          <w:spacing w:val="-18"/>
          <w:sz w:val="16"/>
        </w:rPr>
        <w:t xml:space="preserve"> </w:t>
      </w:r>
      <w:r>
        <w:rPr>
          <w:sz w:val="16"/>
        </w:rPr>
        <w:t>2010.</w:t>
      </w:r>
    </w:p>
    <w:p w:rsidR="00D81F69" w:rsidRDefault="00330118">
      <w:pPr>
        <w:spacing w:before="2" w:line="312" w:lineRule="auto"/>
        <w:ind w:left="100" w:right="192"/>
        <w:jc w:val="both"/>
        <w:rPr>
          <w:sz w:val="16"/>
        </w:rPr>
      </w:pPr>
      <w:r>
        <w:rPr>
          <w:sz w:val="16"/>
        </w:rPr>
        <w:t>MEYER, Sheila Telles; GENERINO, Regina Coeli Montenegro; CRISTANI, Cláudio Valentim. Áreas contaminadas pela disposição irregular de resí</w:t>
      </w:r>
      <w:r>
        <w:rPr>
          <w:sz w:val="16"/>
        </w:rPr>
        <w:t xml:space="preserve">duos industriais perigosos – estudo de caso em Santa Catarina. In: 24º Congresso Brasileiro de Engenharia Sanitária e Ambiental, 02 -07 set. 2007, Belo Horizonte, Minas Gerais. Disponível em: </w:t>
      </w:r>
      <w:hyperlink r:id="rId585">
        <w:r>
          <w:rPr>
            <w:sz w:val="16"/>
          </w:rPr>
          <w:t>&lt;http://www.abes-dn.org.br/eventos/abes/24cbes/Posters.pdf&gt;.</w:t>
        </w:r>
      </w:hyperlink>
      <w:r>
        <w:rPr>
          <w:sz w:val="16"/>
        </w:rPr>
        <w:t xml:space="preserve"> Acesso em: 12 out. 2011.</w:t>
      </w:r>
    </w:p>
    <w:p w:rsidR="00D81F69" w:rsidRDefault="00330118">
      <w:pPr>
        <w:spacing w:before="6" w:line="312" w:lineRule="auto"/>
        <w:ind w:left="100" w:right="196"/>
        <w:jc w:val="both"/>
        <w:rPr>
          <w:sz w:val="16"/>
        </w:rPr>
      </w:pPr>
      <w:r>
        <w:rPr>
          <w:sz w:val="16"/>
        </w:rPr>
        <w:t xml:space="preserve">PROJETO PURIFICA. Resumo das conclusões do projeto Purifica. Proposta para remediação de áreas degradadas pela atividade extrativa do chumbo em Santo Amaro da </w:t>
      </w:r>
      <w:r>
        <w:rPr>
          <w:sz w:val="16"/>
        </w:rPr>
        <w:t>Purificação. 2003.</w:t>
      </w:r>
    </w:p>
    <w:p w:rsidR="00D81F69" w:rsidRDefault="00330118">
      <w:pPr>
        <w:spacing w:before="2" w:line="312" w:lineRule="auto"/>
        <w:ind w:left="100" w:right="193"/>
        <w:jc w:val="both"/>
        <w:rPr>
          <w:sz w:val="16"/>
        </w:rPr>
      </w:pPr>
      <w:r>
        <w:rPr>
          <w:sz w:val="16"/>
        </w:rPr>
        <w:t>SOBRAL, Luis Gonzaga Santos. Relatório de viagem a salvador – BA 24 a 26 mar. 2008. Palestra sobre a hidrometalurgia do chumbo no fórum de "Tecnologia Limpa para Santo Amaro da Purificação”. Relatório de viagem elaborado para o CETEM/MCT</w:t>
      </w:r>
      <w:r>
        <w:rPr>
          <w:sz w:val="16"/>
        </w:rPr>
        <w:t>, mar. 2008.</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89" w:space="281"/>
            <w:col w:w="5310"/>
          </w:cols>
        </w:sectPr>
      </w:pPr>
    </w:p>
    <w:p w:rsidR="00D81F69" w:rsidRDefault="00330118">
      <w:pPr>
        <w:pStyle w:val="Heading1"/>
        <w:spacing w:line="208" w:lineRule="auto"/>
      </w:pPr>
      <w:r>
        <w:rPr>
          <w:spacing w:val="5"/>
        </w:rPr>
        <w:lastRenderedPageBreak/>
        <w:t xml:space="preserve">Lavra </w:t>
      </w:r>
      <w:r>
        <w:rPr>
          <w:spacing w:val="3"/>
        </w:rPr>
        <w:t xml:space="preserve">de </w:t>
      </w:r>
      <w:r>
        <w:rPr>
          <w:spacing w:val="5"/>
        </w:rPr>
        <w:t xml:space="preserve">minério </w:t>
      </w:r>
      <w:r>
        <w:rPr>
          <w:spacing w:val="3"/>
        </w:rPr>
        <w:t xml:space="preserve">de </w:t>
      </w:r>
      <w:r>
        <w:rPr>
          <w:spacing w:val="5"/>
        </w:rPr>
        <w:t xml:space="preserve">chumbo </w:t>
      </w:r>
      <w:r>
        <w:rPr>
          <w:spacing w:val="3"/>
        </w:rPr>
        <w:t xml:space="preserve">em </w:t>
      </w:r>
      <w:r>
        <w:rPr>
          <w:spacing w:val="5"/>
        </w:rPr>
        <w:t xml:space="preserve">Boquira (BA) </w:t>
      </w:r>
      <w:r>
        <w:rPr>
          <w:spacing w:val="7"/>
        </w:rPr>
        <w:t xml:space="preserve">deixa </w:t>
      </w:r>
      <w:r>
        <w:rPr>
          <w:spacing w:val="6"/>
        </w:rPr>
        <w:t xml:space="preserve">rejeitos </w:t>
      </w:r>
      <w:r>
        <w:rPr>
          <w:spacing w:val="5"/>
        </w:rPr>
        <w:t xml:space="preserve">com teores </w:t>
      </w:r>
      <w:r>
        <w:rPr>
          <w:spacing w:val="3"/>
        </w:rPr>
        <w:t xml:space="preserve">de </w:t>
      </w:r>
      <w:r>
        <w:rPr>
          <w:spacing w:val="5"/>
        </w:rPr>
        <w:t>metais</w:t>
      </w:r>
      <w:r>
        <w:rPr>
          <w:spacing w:val="72"/>
        </w:rPr>
        <w:t xml:space="preserve"> </w:t>
      </w:r>
      <w:r>
        <w:rPr>
          <w:spacing w:val="7"/>
        </w:rPr>
        <w:t>pesados</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7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BA - Boquira</w:t>
      </w:r>
    </w:p>
    <w:p w:rsidR="00D81F69" w:rsidRDefault="00330118">
      <w:pPr>
        <w:spacing w:before="49"/>
        <w:ind w:left="135"/>
        <w:rPr>
          <w:i/>
          <w:sz w:val="14"/>
        </w:rPr>
      </w:pPr>
      <w:r>
        <w:rPr>
          <w:i/>
          <w:sz w:val="14"/>
        </w:rPr>
        <w:t>BA - Santo Amaro</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-12,8625</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-42,506389</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7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No município de Boquira (BA), a disposição dos rejeitos da lavra de minério de chumbo (contendo zinco, cádmio, arsênio, prata, chumbo e outros metais), desenvolvida por mais de três décadas, coloca em risco os mananciais e os solos da região. O minério era</w:t>
      </w:r>
      <w:r>
        <w:rPr>
          <w:i/>
          <w:sz w:val="16"/>
        </w:rPr>
        <w:t xml:space="preserve"> usado pela Plumbum Mineração e Metalurgia Ltda. para produzir ligas de chumbo no também município baiano de Santo Amaro.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7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08"/>
      </w:pPr>
      <w:r>
        <w:t xml:space="preserve">contato com a fábrica de baterias Prest-o-Lite, sediada em São Paulo, que se mostrou interessada em comprar o minério alterado do </w:t>
      </w:r>
      <w:r>
        <w:t>Morro Pelado, constituído de cerussita, carbonato de chumbo de fácil fusão e redução. A empresa iniciou a operação subterrânea, abrindo galeria no Morro Pelado e obtendo rapidamente galena [minério de chumbo] por debaixo do afloramento de cerussita, e ao m</w:t>
      </w:r>
      <w:r>
        <w:t>esmo tempo iniciou a montagem de usina de flotação na frente do morro do Cruzeiro (FERRAN, 2007).</w:t>
      </w:r>
    </w:p>
    <w:p w:rsidR="00D81F69" w:rsidRDefault="00330118">
      <w:pPr>
        <w:pStyle w:val="Corpodetexto"/>
        <w:spacing w:before="138" w:line="312" w:lineRule="auto"/>
        <w:ind w:left="135" w:right="211"/>
      </w:pPr>
      <w:r>
        <w:t xml:space="preserve">O minério extraído tinha 9% de chumbo, 3% de </w:t>
      </w:r>
      <w:hyperlink r:id="rId586">
        <w:r>
          <w:t xml:space="preserve">zinco </w:t>
        </w:r>
      </w:hyperlink>
      <w:r>
        <w:t>e 32 gramas de p</w:t>
      </w:r>
      <w:r>
        <w:t>rata por tonelada, e era beneficiado em dois concentrados de flotação, o de chumbo, com 70% do metal, e</w:t>
      </w:r>
    </w:p>
    <w:p w:rsidR="00D81F69" w:rsidRDefault="00D81F69">
      <w:pPr>
        <w:spacing w:line="312" w:lineRule="auto"/>
        <w:sectPr w:rsidR="00D81F69">
          <w:type w:val="continuous"/>
          <w:pgSz w:w="11900" w:h="16840"/>
          <w:pgMar w:top="720" w:right="500" w:bottom="280" w:left="620" w:header="720" w:footer="720" w:gutter="0"/>
          <w:cols w:num="3" w:space="720" w:equalWidth="0">
            <w:col w:w="1304" w:space="696"/>
            <w:col w:w="3122" w:space="313"/>
            <w:col w:w="5345"/>
          </w:cols>
        </w:sectPr>
      </w:pPr>
    </w:p>
    <w:p w:rsidR="00D81F69" w:rsidRDefault="00330118">
      <w:pPr>
        <w:pStyle w:val="Heading4"/>
        <w:spacing w:before="56"/>
        <w:jc w:val="left"/>
      </w:pPr>
      <w:r>
        <w:lastRenderedPageBreak/>
        <w:t>APRESENTAÇÃO DE CASO</w:t>
      </w:r>
    </w:p>
    <w:p w:rsidR="00D81F69" w:rsidRDefault="00330118">
      <w:pPr>
        <w:pStyle w:val="Corpodetexto"/>
        <w:spacing w:before="171" w:line="312" w:lineRule="auto"/>
        <w:ind w:right="71"/>
      </w:pPr>
      <w:r>
        <w:t xml:space="preserve">A exemplo do que ocorreu no município de Santo Amaro [antes denominado Santo Amaro da Purificação], no Recôncavo Baiano, os moradores do município de Boquira, localizado no sudoeste da Bahia, estiveram expostos à contaminação por </w:t>
      </w:r>
      <w:hyperlink r:id="rId587">
        <w:r>
          <w:t>chumbo</w:t>
        </w:r>
      </w:hyperlink>
      <w:r>
        <w:t xml:space="preserve"> durante décadas (BARRERO, 2008).</w:t>
      </w:r>
    </w:p>
    <w:p w:rsidR="00D81F69" w:rsidRDefault="00330118">
      <w:pPr>
        <w:pStyle w:val="Corpodetexto"/>
        <w:spacing w:before="135" w:line="312" w:lineRule="auto"/>
        <w:ind w:right="29"/>
        <w:jc w:val="left"/>
      </w:pPr>
      <w:r>
        <w:t>A exploração do minério de chumbo em Boquira – 1.482,704 km² e 22.037 habitantes (IBGE, 2010a) – começou no final da década de 1950 pela Penarroya S.A,</w:t>
      </w:r>
      <w:r>
        <w:t xml:space="preserve"> que criou a Companhia Brasileira de Chumbo (Cobrac) para atuar no Brasil como sua subsidiária. Posteriormente, a empresa foi incorporada à Plumbum Mineração e Metalurgia Ltda. (MANZONI; MINAS, 2009), pertencente ao Grupo Trevo (ANJOS; SÁNCHEZ, 2001; CAMEL</w:t>
      </w:r>
      <w:r>
        <w:t>O, 2006; BARRERO, 2008). O minério de</w:t>
      </w:r>
    </w:p>
    <w:p w:rsidR="00D81F69" w:rsidRDefault="00330118">
      <w:pPr>
        <w:pStyle w:val="Corpodetexto"/>
        <w:spacing w:before="8" w:line="312" w:lineRule="auto"/>
        <w:ind w:right="76"/>
      </w:pPr>
      <w:r>
        <w:t>chumbo lavrado e beneficiado em Boquira era usado para produzir ligas de chumbo em Santo Amaro (CAMELO, 2006; BARRERO, 2008; MANZONI; MINAS, 2009), município com</w:t>
      </w:r>
    </w:p>
    <w:p w:rsidR="00D81F69" w:rsidRDefault="00330118">
      <w:pPr>
        <w:pStyle w:val="Corpodetexto"/>
        <w:spacing w:before="2"/>
        <w:jc w:val="left"/>
      </w:pPr>
      <w:r>
        <w:t>492.912 km² e 57.800 habitantes (IBGE, 2010b).</w:t>
      </w:r>
    </w:p>
    <w:p w:rsidR="00D81F69" w:rsidRDefault="00D81F69">
      <w:pPr>
        <w:pStyle w:val="Corpodetexto"/>
        <w:spacing w:before="9"/>
        <w:ind w:left="0"/>
        <w:jc w:val="left"/>
        <w:rPr>
          <w:sz w:val="16"/>
        </w:rPr>
      </w:pPr>
    </w:p>
    <w:p w:rsidR="00D81F69" w:rsidRDefault="00330118">
      <w:pPr>
        <w:pStyle w:val="Corpodetexto"/>
        <w:spacing w:line="312" w:lineRule="auto"/>
        <w:ind w:right="86"/>
      </w:pPr>
      <w:r>
        <w:t xml:space="preserve">Boquira </w:t>
      </w:r>
      <w:r>
        <w:t>nasceu do antigo distrito Assunção, no município de Macaúbas. Com o início da exploração do minério de chumbo, na década de 1950, o distrito de Assunção desenvolveu-se tanto que representantes do povo na Câmara de Vereadores de Macaúbas entraram com um pro</w:t>
      </w:r>
      <w:r>
        <w:t>jeto de emancipação política, dando origem, em 1962, ao município de Boquira (ARAÚJO; PINHEIRO, 2004).</w:t>
      </w:r>
    </w:p>
    <w:p w:rsidR="00D81F69" w:rsidRDefault="00330118">
      <w:pPr>
        <w:pStyle w:val="Corpodetexto"/>
        <w:spacing w:before="137" w:line="312" w:lineRule="auto"/>
        <w:ind w:right="87"/>
      </w:pPr>
      <w:r>
        <w:t>O minério de chumbo foi descoberto por acaso por um padre chamado Macário que procurava um local para instalar uma paróquia em Macaúbas. Em suas andanças</w:t>
      </w:r>
      <w:r>
        <w:t>, recolheu amostras de minério que ocorriam a céu aberto, nas proximidades do povoado de Boquira. Análises laboratoriais das amostras, realizadas no Rio de Janeiro, comprovaram as suspeitas do padre de que se tratava de minério de chumbo (FERRAN, 2007).</w:t>
      </w:r>
    </w:p>
    <w:p w:rsidR="00D81F69" w:rsidRDefault="00330118">
      <w:pPr>
        <w:pStyle w:val="Corpodetexto"/>
        <w:spacing w:before="137"/>
      </w:pPr>
      <w:r>
        <w:t xml:space="preserve">O </w:t>
      </w:r>
      <w:r>
        <w:t>padre, então, largou a batina e começou um negócio. Fez</w:t>
      </w:r>
    </w:p>
    <w:p w:rsidR="00D81F69" w:rsidRDefault="00330118">
      <w:pPr>
        <w:pStyle w:val="Corpodetexto"/>
        <w:spacing w:before="3" w:line="312" w:lineRule="auto"/>
        <w:ind w:right="196"/>
      </w:pPr>
      <w:r>
        <w:br w:type="column"/>
      </w:r>
      <w:r>
        <w:lastRenderedPageBreak/>
        <w:t>o de zinco, com 51%. Estes concentrados eram encaminhados de caminhão para a Cobrac, em Santo Amaro, a 500 km da mina onde, depois de ustulação [queima de sulfeto] e fusão, viravam chumbo com pratica</w:t>
      </w:r>
      <w:r>
        <w:t>mente 100% de pureza, prontos para entrarem no mercado. Os concentrados de zinco eram exportados (FERRAN, 2007).</w:t>
      </w:r>
    </w:p>
    <w:p w:rsidR="00D81F69" w:rsidRDefault="00330118">
      <w:pPr>
        <w:pStyle w:val="Corpodetexto"/>
        <w:spacing w:before="135" w:line="312" w:lineRule="auto"/>
        <w:ind w:right="200"/>
      </w:pPr>
      <w:r>
        <w:t xml:space="preserve">Como a operação de flotação não estava dando os resultados </w:t>
      </w:r>
      <w:r>
        <w:rPr>
          <w:spacing w:val="1"/>
        </w:rPr>
        <w:t xml:space="preserve">esperados, Macário entrou </w:t>
      </w:r>
      <w:r>
        <w:t xml:space="preserve">em </w:t>
      </w:r>
      <w:r>
        <w:rPr>
          <w:spacing w:val="1"/>
        </w:rPr>
        <w:t xml:space="preserve">contato </w:t>
      </w:r>
      <w:r>
        <w:t xml:space="preserve">com a </w:t>
      </w:r>
      <w:r>
        <w:rPr>
          <w:spacing w:val="1"/>
        </w:rPr>
        <w:t xml:space="preserve">Plumbum </w:t>
      </w:r>
      <w:r>
        <w:t xml:space="preserve">— </w:t>
      </w:r>
      <w:r>
        <w:rPr>
          <w:spacing w:val="10"/>
        </w:rPr>
        <w:t xml:space="preserve">uma </w:t>
      </w:r>
      <w:r>
        <w:rPr>
          <w:spacing w:val="12"/>
        </w:rPr>
        <w:t xml:space="preserve">associação </w:t>
      </w:r>
      <w:r>
        <w:rPr>
          <w:spacing w:val="6"/>
        </w:rPr>
        <w:t xml:space="preserve">da </w:t>
      </w:r>
      <w:r>
        <w:rPr>
          <w:spacing w:val="12"/>
        </w:rPr>
        <w:t xml:space="preserve">Peñarroya francesa, </w:t>
      </w:r>
      <w:r>
        <w:rPr>
          <w:spacing w:val="6"/>
        </w:rPr>
        <w:t xml:space="preserve">na </w:t>
      </w:r>
      <w:r>
        <w:rPr>
          <w:spacing w:val="11"/>
        </w:rPr>
        <w:t xml:space="preserve">época </w:t>
      </w:r>
      <w:r>
        <w:t xml:space="preserve">especialista em chumbo e zinco — que operava as minas de </w:t>
      </w:r>
      <w:r>
        <w:rPr>
          <w:spacing w:val="5"/>
        </w:rPr>
        <w:t xml:space="preserve">chumbo </w:t>
      </w:r>
      <w:r>
        <w:rPr>
          <w:spacing w:val="2"/>
        </w:rPr>
        <w:t xml:space="preserve">do </w:t>
      </w:r>
      <w:r>
        <w:rPr>
          <w:spacing w:val="3"/>
        </w:rPr>
        <w:t xml:space="preserve">Vale </w:t>
      </w:r>
      <w:r>
        <w:rPr>
          <w:spacing w:val="2"/>
        </w:rPr>
        <w:t xml:space="preserve">do </w:t>
      </w:r>
      <w:r>
        <w:rPr>
          <w:spacing w:val="5"/>
        </w:rPr>
        <w:t xml:space="preserve">Ribeira, </w:t>
      </w:r>
      <w:r>
        <w:rPr>
          <w:spacing w:val="2"/>
        </w:rPr>
        <w:t xml:space="preserve">em </w:t>
      </w:r>
      <w:r>
        <w:rPr>
          <w:spacing w:val="3"/>
        </w:rPr>
        <w:t xml:space="preserve">São Paulo </w:t>
      </w:r>
      <w:r>
        <w:t xml:space="preserve">e </w:t>
      </w:r>
      <w:r>
        <w:rPr>
          <w:spacing w:val="2"/>
        </w:rPr>
        <w:t xml:space="preserve">no </w:t>
      </w:r>
      <w:r>
        <w:rPr>
          <w:spacing w:val="5"/>
        </w:rPr>
        <w:t>Paraná</w:t>
      </w:r>
      <w:r>
        <w:rPr>
          <w:spacing w:val="61"/>
        </w:rPr>
        <w:t xml:space="preserve"> </w:t>
      </w:r>
      <w:r>
        <w:rPr>
          <w:spacing w:val="5"/>
        </w:rPr>
        <w:t>(FERRAN, 2007).</w:t>
      </w:r>
    </w:p>
    <w:p w:rsidR="00D81F69" w:rsidRDefault="00330118">
      <w:pPr>
        <w:pStyle w:val="Corpodetexto"/>
        <w:spacing w:before="136" w:line="312" w:lineRule="auto"/>
        <w:ind w:right="193"/>
      </w:pPr>
      <w:r>
        <w:t>Durante o período de operação da mina, Boquira conheceu a prosperidade. A mina atingiu seu auge de pro</w:t>
      </w:r>
      <w:r>
        <w:t xml:space="preserve">dução nos anos </w:t>
      </w:r>
      <w:r>
        <w:rPr>
          <w:spacing w:val="16"/>
        </w:rPr>
        <w:t xml:space="preserve">1970 </w:t>
      </w:r>
      <w:r>
        <w:rPr>
          <w:spacing w:val="18"/>
        </w:rPr>
        <w:t xml:space="preserve">(DNPM, 2006). </w:t>
      </w:r>
      <w:r>
        <w:rPr>
          <w:spacing w:val="10"/>
        </w:rPr>
        <w:t>No</w:t>
      </w:r>
      <w:r>
        <w:rPr>
          <w:spacing w:val="71"/>
        </w:rPr>
        <w:t xml:space="preserve"> </w:t>
      </w:r>
      <w:r>
        <w:rPr>
          <w:spacing w:val="20"/>
        </w:rPr>
        <w:t xml:space="preserve">entanto, </w:t>
      </w:r>
      <w:r>
        <w:rPr>
          <w:spacing w:val="10"/>
        </w:rPr>
        <w:t>as</w:t>
      </w:r>
      <w:r>
        <w:rPr>
          <w:spacing w:val="71"/>
        </w:rPr>
        <w:t xml:space="preserve"> </w:t>
      </w:r>
      <w:r>
        <w:rPr>
          <w:spacing w:val="20"/>
        </w:rPr>
        <w:t xml:space="preserve">reservas </w:t>
      </w:r>
      <w:r>
        <w:t xml:space="preserve">economicamente mais viáveis se esgotaram, e a Mineração Boquira foi vendida, em 1986, aos grupos brasileiros CMP e </w:t>
      </w:r>
      <w:r>
        <w:rPr>
          <w:spacing w:val="5"/>
        </w:rPr>
        <w:t xml:space="preserve">Luxma. </w:t>
      </w:r>
      <w:r>
        <w:rPr>
          <w:spacing w:val="2"/>
        </w:rPr>
        <w:t xml:space="preserve">As </w:t>
      </w:r>
      <w:r>
        <w:rPr>
          <w:spacing w:val="5"/>
        </w:rPr>
        <w:t xml:space="preserve">empresas passaram </w:t>
      </w:r>
      <w:r>
        <w:t xml:space="preserve">a </w:t>
      </w:r>
      <w:r>
        <w:rPr>
          <w:spacing w:val="5"/>
        </w:rPr>
        <w:t xml:space="preserve">explorar </w:t>
      </w:r>
      <w:r>
        <w:rPr>
          <w:spacing w:val="2"/>
        </w:rPr>
        <w:t xml:space="preserve">os </w:t>
      </w:r>
      <w:r>
        <w:rPr>
          <w:spacing w:val="5"/>
        </w:rPr>
        <w:t>pilares de</w:t>
      </w:r>
      <w:r>
        <w:rPr>
          <w:spacing w:val="61"/>
        </w:rPr>
        <w:t xml:space="preserve"> </w:t>
      </w:r>
      <w:r>
        <w:t>sustentação da mina de Boquira</w:t>
      </w:r>
      <w:r>
        <w:t xml:space="preserve"> — áreas que tinham de ser poupadas para assegurar a sustentação das galerias abertas no </w:t>
      </w:r>
      <w:r>
        <w:rPr>
          <w:spacing w:val="1"/>
        </w:rPr>
        <w:t xml:space="preserve">subsolo. Porém, </w:t>
      </w:r>
      <w:r>
        <w:t xml:space="preserve">os </w:t>
      </w:r>
      <w:r>
        <w:rPr>
          <w:spacing w:val="1"/>
        </w:rPr>
        <w:t xml:space="preserve">custos </w:t>
      </w:r>
      <w:r>
        <w:t xml:space="preserve">da </w:t>
      </w:r>
      <w:r>
        <w:rPr>
          <w:spacing w:val="1"/>
        </w:rPr>
        <w:t xml:space="preserve">atividade inviabilizaram </w:t>
      </w:r>
      <w:r>
        <w:t xml:space="preserve">o </w:t>
      </w:r>
      <w:r>
        <w:rPr>
          <w:spacing w:val="1"/>
        </w:rPr>
        <w:t xml:space="preserve">negócio, pois, para cada pilar </w:t>
      </w:r>
      <w:r>
        <w:t xml:space="preserve">de </w:t>
      </w:r>
      <w:r>
        <w:rPr>
          <w:spacing w:val="1"/>
        </w:rPr>
        <w:t xml:space="preserve">sustentação explorado, </w:t>
      </w:r>
      <w:r>
        <w:t xml:space="preserve">a </w:t>
      </w:r>
      <w:r>
        <w:rPr>
          <w:spacing w:val="1"/>
        </w:rPr>
        <w:t xml:space="preserve">empresa tinha </w:t>
      </w:r>
      <w:r>
        <w:t xml:space="preserve">de </w:t>
      </w:r>
      <w:r>
        <w:rPr>
          <w:spacing w:val="1"/>
        </w:rPr>
        <w:t xml:space="preserve">construir, </w:t>
      </w:r>
      <w:r>
        <w:t xml:space="preserve">por </w:t>
      </w:r>
      <w:r>
        <w:rPr>
          <w:spacing w:val="1"/>
        </w:rPr>
        <w:t xml:space="preserve">questão </w:t>
      </w:r>
      <w:r>
        <w:t xml:space="preserve">de </w:t>
      </w:r>
      <w:r>
        <w:rPr>
          <w:spacing w:val="1"/>
        </w:rPr>
        <w:t>segurança</w:t>
      </w:r>
      <w:r>
        <w:rPr>
          <w:spacing w:val="1"/>
        </w:rPr>
        <w:t xml:space="preserve">, </w:t>
      </w:r>
      <w:r>
        <w:rPr>
          <w:spacing w:val="2"/>
        </w:rPr>
        <w:t xml:space="preserve">um </w:t>
      </w:r>
      <w:r>
        <w:t>novo pilar artificial, com material trazido de fora para dentro  da terra (FERRAN,</w:t>
      </w:r>
      <w:r>
        <w:rPr>
          <w:spacing w:val="40"/>
        </w:rPr>
        <w:t xml:space="preserve"> </w:t>
      </w:r>
      <w:r>
        <w:t>2007).</w:t>
      </w:r>
    </w:p>
    <w:p w:rsidR="00D81F69" w:rsidRDefault="00330118">
      <w:pPr>
        <w:pStyle w:val="Corpodetexto"/>
        <w:spacing w:before="142" w:line="312" w:lineRule="auto"/>
        <w:ind w:right="195"/>
      </w:pPr>
      <w:r>
        <w:t>Somado aos altos custos de operação, o excesso de oferta internacional de chumbo fez com que as cotações do minério caíssem, o que levou ao fechamento da mina de</w:t>
      </w:r>
      <w:r>
        <w:t xml:space="preserve"> Boquira (FERRAN, 2007). A mina foi desativada em 1992 (CAMELO, 2006). Hoje, a cidade está à espera de um Plano de Recuperação de Áreas Degradadas (PRAD) e de um projeto que permita que toda a infraestrutura da mina seja aproveitada por atividades compatív</w:t>
      </w:r>
      <w:r>
        <w:t>eis com a localidade (FERRAN, 2007).</w:t>
      </w:r>
    </w:p>
    <w:p w:rsidR="00D81F69" w:rsidRDefault="00330118">
      <w:pPr>
        <w:pStyle w:val="Corpodetexto"/>
        <w:spacing w:before="75" w:line="270" w:lineRule="atLeast"/>
        <w:ind w:right="205"/>
      </w:pPr>
      <w:r>
        <w:t>Em Santo Amaro, as instalações da Plumbum foram abandonadas em 1993, deixando um passivo com 490 mil</w:t>
      </w:r>
    </w:p>
    <w:p w:rsidR="00D81F69" w:rsidRDefault="00D81F69">
      <w:pPr>
        <w:spacing w:line="270" w:lineRule="atLeast"/>
        <w:sectPr w:rsidR="00D81F69">
          <w:type w:val="continuous"/>
          <w:pgSz w:w="11900" w:h="16840"/>
          <w:pgMar w:top="720" w:right="500" w:bottom="280" w:left="620" w:header="720" w:footer="720" w:gutter="0"/>
          <w:cols w:num="2" w:space="720" w:equalWidth="0">
            <w:col w:w="5192" w:space="278"/>
            <w:col w:w="5310"/>
          </w:cols>
        </w:sectPr>
      </w:pPr>
    </w:p>
    <w:p w:rsidR="00D81F69" w:rsidRDefault="00330118">
      <w:pPr>
        <w:pStyle w:val="Corpodetexto"/>
        <w:spacing w:before="81" w:line="312" w:lineRule="auto"/>
        <w:ind w:right="58"/>
      </w:pPr>
      <w:r>
        <w:lastRenderedPageBreak/>
        <w:t xml:space="preserve">toneladas de material contaminado com metais pesados, em </w:t>
      </w:r>
      <w:r>
        <w:rPr>
          <w:spacing w:val="5"/>
        </w:rPr>
        <w:t xml:space="preserve">especial chumbo </w:t>
      </w:r>
      <w:r>
        <w:t xml:space="preserve">e </w:t>
      </w:r>
      <w:hyperlink r:id="rId588">
        <w:r>
          <w:rPr>
            <w:spacing w:val="5"/>
          </w:rPr>
          <w:t>cádmio.</w:t>
        </w:r>
      </w:hyperlink>
      <w:r>
        <w:rPr>
          <w:spacing w:val="5"/>
        </w:rPr>
        <w:t xml:space="preserve"> </w:t>
      </w:r>
      <w:r>
        <w:rPr>
          <w:spacing w:val="3"/>
        </w:rPr>
        <w:t xml:space="preserve">Boa </w:t>
      </w:r>
      <w:r>
        <w:rPr>
          <w:spacing w:val="5"/>
        </w:rPr>
        <w:t xml:space="preserve">parte </w:t>
      </w:r>
      <w:r>
        <w:rPr>
          <w:spacing w:val="2"/>
        </w:rPr>
        <w:t xml:space="preserve">da </w:t>
      </w:r>
      <w:r>
        <w:rPr>
          <w:spacing w:val="5"/>
        </w:rPr>
        <w:t xml:space="preserve">população </w:t>
      </w:r>
      <w:r>
        <w:rPr>
          <w:spacing w:val="6"/>
        </w:rPr>
        <w:t xml:space="preserve">da </w:t>
      </w:r>
      <w:r>
        <w:t xml:space="preserve">região, bem como o solo, a fauna e os mariscos do estuário do rio </w:t>
      </w:r>
      <w:r>
        <w:rPr>
          <w:spacing w:val="1"/>
        </w:rPr>
        <w:t xml:space="preserve">Subaé foram contaminados </w:t>
      </w:r>
      <w:r>
        <w:t xml:space="preserve">com </w:t>
      </w:r>
      <w:r>
        <w:rPr>
          <w:spacing w:val="1"/>
        </w:rPr>
        <w:t xml:space="preserve">resíduos </w:t>
      </w:r>
      <w:r>
        <w:rPr>
          <w:spacing w:val="2"/>
        </w:rPr>
        <w:t xml:space="preserve">industriais </w:t>
      </w:r>
      <w:r>
        <w:rPr>
          <w:spacing w:val="1"/>
        </w:rPr>
        <w:t>(ANJOS; SÁNCHEZ,</w:t>
      </w:r>
      <w:r>
        <w:rPr>
          <w:spacing w:val="-17"/>
        </w:rPr>
        <w:t xml:space="preserve"> </w:t>
      </w:r>
      <w:r>
        <w:rPr>
          <w:spacing w:val="2"/>
        </w:rPr>
        <w:t>2001).</w:t>
      </w:r>
    </w:p>
    <w:p w:rsidR="00D81F69" w:rsidRDefault="00330118">
      <w:pPr>
        <w:pStyle w:val="Corpodetexto"/>
        <w:spacing w:before="134" w:line="312" w:lineRule="auto"/>
        <w:ind w:right="57"/>
      </w:pPr>
      <w:r>
        <w:t xml:space="preserve">Em Boquira, uma das maiores preocupações é com a disposição dos rejeitos do beneficiamento desenvolvido ao longo de mais de três décadas. Os rejeitos do beneficiamento apresentam teores de zinco, cádmio, </w:t>
      </w:r>
      <w:hyperlink r:id="rId589">
        <w:r>
          <w:t xml:space="preserve">arsênio, </w:t>
        </w:r>
      </w:hyperlink>
      <w:r>
        <w:t>prata, além de chumbo e outros metais, e não foram dispostos segundo parâmetros ambientais aceitáveis, colocando em risco os mananciais e solos após o rompimento de uma antiga barragem de contenção (DNP</w:t>
      </w:r>
      <w:r>
        <w:t>M, 2006)</w:t>
      </w:r>
    </w:p>
    <w:p w:rsidR="00D81F69" w:rsidRDefault="00330118">
      <w:pPr>
        <w:pStyle w:val="Corpodetexto"/>
        <w:spacing w:before="138" w:line="312" w:lineRule="auto"/>
        <w:ind w:right="40"/>
      </w:pPr>
      <w:r>
        <w:rPr>
          <w:spacing w:val="1"/>
        </w:rPr>
        <w:t xml:space="preserve">Peritos </w:t>
      </w:r>
      <w:r>
        <w:t xml:space="preserve">do </w:t>
      </w:r>
      <w:r>
        <w:rPr>
          <w:spacing w:val="1"/>
        </w:rPr>
        <w:t xml:space="preserve">Programa </w:t>
      </w:r>
      <w:r>
        <w:t xml:space="preserve">de </w:t>
      </w:r>
      <w:r>
        <w:rPr>
          <w:spacing w:val="1"/>
        </w:rPr>
        <w:t xml:space="preserve">Fiscalização Preventiva </w:t>
      </w:r>
      <w:r>
        <w:rPr>
          <w:spacing w:val="2"/>
        </w:rPr>
        <w:t xml:space="preserve">Integrada, </w:t>
      </w:r>
      <w:r>
        <w:t xml:space="preserve">coordenado por órgãos ambientais e de fiscalização estaduais e </w:t>
      </w:r>
      <w:r>
        <w:rPr>
          <w:spacing w:val="5"/>
        </w:rPr>
        <w:t xml:space="preserve">federais </w:t>
      </w:r>
      <w:r>
        <w:t xml:space="preserve">e </w:t>
      </w:r>
      <w:r>
        <w:rPr>
          <w:spacing w:val="3"/>
        </w:rPr>
        <w:t xml:space="preserve">pelo </w:t>
      </w:r>
      <w:r>
        <w:rPr>
          <w:spacing w:val="5"/>
        </w:rPr>
        <w:t xml:space="preserve">Ministério Público </w:t>
      </w:r>
      <w:r>
        <w:rPr>
          <w:spacing w:val="2"/>
        </w:rPr>
        <w:t xml:space="preserve">do </w:t>
      </w:r>
      <w:r>
        <w:rPr>
          <w:spacing w:val="5"/>
        </w:rPr>
        <w:t xml:space="preserve">Estado </w:t>
      </w:r>
      <w:r>
        <w:rPr>
          <w:spacing w:val="2"/>
        </w:rPr>
        <w:t xml:space="preserve">da </w:t>
      </w:r>
      <w:r>
        <w:rPr>
          <w:spacing w:val="5"/>
        </w:rPr>
        <w:t xml:space="preserve">Bahia, </w:t>
      </w:r>
      <w:r>
        <w:t>estiveram, em 2008, em Boquira para avaliar a situação das antigas gale</w:t>
      </w:r>
      <w:r>
        <w:t xml:space="preserve">rias no Morro Pelado — hoje interditadas —, da </w:t>
      </w:r>
      <w:r>
        <w:rPr>
          <w:spacing w:val="7"/>
        </w:rPr>
        <w:t xml:space="preserve">pilha </w:t>
      </w:r>
      <w:r>
        <w:rPr>
          <w:spacing w:val="5"/>
        </w:rPr>
        <w:t xml:space="preserve">com </w:t>
      </w:r>
      <w:r>
        <w:rPr>
          <w:spacing w:val="7"/>
        </w:rPr>
        <w:t xml:space="preserve">reserva </w:t>
      </w:r>
      <w:r>
        <w:rPr>
          <w:spacing w:val="5"/>
        </w:rPr>
        <w:t xml:space="preserve">de </w:t>
      </w:r>
      <w:r>
        <w:rPr>
          <w:spacing w:val="7"/>
        </w:rPr>
        <w:t xml:space="preserve">minério </w:t>
      </w:r>
      <w:r>
        <w:t xml:space="preserve">e </w:t>
      </w:r>
      <w:r>
        <w:rPr>
          <w:spacing w:val="5"/>
        </w:rPr>
        <w:t xml:space="preserve">da </w:t>
      </w:r>
      <w:r>
        <w:rPr>
          <w:spacing w:val="7"/>
        </w:rPr>
        <w:t xml:space="preserve">pilha </w:t>
      </w:r>
      <w:r>
        <w:rPr>
          <w:spacing w:val="5"/>
        </w:rPr>
        <w:t xml:space="preserve">de </w:t>
      </w:r>
      <w:r>
        <w:rPr>
          <w:spacing w:val="7"/>
        </w:rPr>
        <w:t xml:space="preserve">rejeito </w:t>
      </w:r>
      <w:r>
        <w:rPr>
          <w:spacing w:val="10"/>
        </w:rPr>
        <w:t xml:space="preserve">do </w:t>
      </w:r>
      <w:r>
        <w:t xml:space="preserve">beneficiamento, sobre a qual, há anos, foi instalado o lixão </w:t>
      </w:r>
      <w:r>
        <w:rPr>
          <w:spacing w:val="3"/>
        </w:rPr>
        <w:t xml:space="preserve">municipal. </w:t>
      </w:r>
      <w:r>
        <w:t xml:space="preserve">À </w:t>
      </w:r>
      <w:r>
        <w:rPr>
          <w:spacing w:val="3"/>
        </w:rPr>
        <w:t xml:space="preserve">época, constataram instabilidade </w:t>
      </w:r>
      <w:r>
        <w:rPr>
          <w:spacing w:val="1"/>
        </w:rPr>
        <w:t xml:space="preserve">do </w:t>
      </w:r>
      <w:r>
        <w:rPr>
          <w:spacing w:val="5"/>
        </w:rPr>
        <w:t xml:space="preserve">material </w:t>
      </w:r>
      <w:r>
        <w:rPr>
          <w:spacing w:val="1"/>
        </w:rPr>
        <w:t xml:space="preserve">contido </w:t>
      </w:r>
      <w:r>
        <w:t xml:space="preserve">na </w:t>
      </w:r>
      <w:r>
        <w:rPr>
          <w:spacing w:val="1"/>
        </w:rPr>
        <w:t xml:space="preserve">pilha </w:t>
      </w:r>
      <w:r>
        <w:t xml:space="preserve">de </w:t>
      </w:r>
      <w:r>
        <w:rPr>
          <w:spacing w:val="1"/>
        </w:rPr>
        <w:t xml:space="preserve">rejeito, </w:t>
      </w:r>
      <w:r>
        <w:t xml:space="preserve">com </w:t>
      </w:r>
      <w:r>
        <w:rPr>
          <w:spacing w:val="1"/>
        </w:rPr>
        <w:t>div</w:t>
      </w:r>
      <w:r>
        <w:rPr>
          <w:spacing w:val="1"/>
        </w:rPr>
        <w:t xml:space="preserve">ersos canais </w:t>
      </w:r>
      <w:r>
        <w:t xml:space="preserve">de </w:t>
      </w:r>
      <w:r>
        <w:rPr>
          <w:spacing w:val="2"/>
        </w:rPr>
        <w:t xml:space="preserve">erosão </w:t>
      </w:r>
      <w:r>
        <w:t xml:space="preserve">conduzindo sedimentos e contaminando, há décadas, águas </w:t>
      </w:r>
      <w:r>
        <w:rPr>
          <w:spacing w:val="10"/>
        </w:rPr>
        <w:t xml:space="preserve">superficiais </w:t>
      </w:r>
      <w:r>
        <w:t xml:space="preserve">e </w:t>
      </w:r>
      <w:r>
        <w:rPr>
          <w:spacing w:val="10"/>
        </w:rPr>
        <w:t xml:space="preserve">subterrâneas </w:t>
      </w:r>
      <w:r>
        <w:rPr>
          <w:spacing w:val="7"/>
        </w:rPr>
        <w:t xml:space="preserve">com </w:t>
      </w:r>
      <w:r>
        <w:rPr>
          <w:spacing w:val="10"/>
        </w:rPr>
        <w:t xml:space="preserve">resíduo </w:t>
      </w:r>
      <w:r>
        <w:rPr>
          <w:spacing w:val="5"/>
        </w:rPr>
        <w:t xml:space="preserve">de </w:t>
      </w:r>
      <w:r>
        <w:rPr>
          <w:spacing w:val="11"/>
        </w:rPr>
        <w:t xml:space="preserve">chumbo </w:t>
      </w:r>
      <w:r>
        <w:rPr>
          <w:spacing w:val="10"/>
        </w:rPr>
        <w:t>(BARRERO,</w:t>
      </w:r>
      <w:r>
        <w:rPr>
          <w:spacing w:val="60"/>
        </w:rPr>
        <w:t xml:space="preserve"> </w:t>
      </w:r>
      <w:r>
        <w:rPr>
          <w:spacing w:val="11"/>
        </w:rPr>
        <w:t>2008).</w:t>
      </w:r>
    </w:p>
    <w:p w:rsidR="00D81F69" w:rsidRDefault="00330118">
      <w:pPr>
        <w:pStyle w:val="Corpodetexto"/>
        <w:spacing w:before="141" w:line="312" w:lineRule="auto"/>
        <w:ind w:right="64"/>
      </w:pPr>
      <w:r>
        <w:t>De acordo com o parecer técnico, não foi observada qualquer ação para contenção de enxurradas ou reparo dos im</w:t>
      </w:r>
      <w:r>
        <w:t>pactos negativos causados pela pilha de rejeito, embora estivesse previsto um plano de recuperação da área degradada. Outra constatação foi a presença de catadores de material reciclável no lixão instalado sobre a pilha de rejeito (BARRERO, 2008).</w:t>
      </w:r>
    </w:p>
    <w:p w:rsidR="00D81F69" w:rsidRDefault="00330118">
      <w:pPr>
        <w:pStyle w:val="Corpodetexto"/>
        <w:spacing w:before="135" w:line="312" w:lineRule="auto"/>
        <w:ind w:right="38"/>
      </w:pPr>
      <w:r>
        <w:t xml:space="preserve">O plano </w:t>
      </w:r>
      <w:r>
        <w:t>de recuperação estaria a cargo da empresa Bolland do Brasil (BARRERO, 2008), a mesma que, em 2007, apresentara, ao Departamento Nacional de Produção Mineral (DNPM), um estudo de viabilidade para reativação da mina de chumbo no município e da fundição de ch</w:t>
      </w:r>
      <w:r>
        <w:t>umbo em Santo Amaro. O projeto previa, dentre outras ações, o processamento dos rejeitos estocados na antiga mina e a exploração de 900 mil toneladas de minério contendo chumbo (REUTERS, 2007). De acordo com a Bolland, o chumbo seria extraído da pilha de r</w:t>
      </w:r>
      <w:r>
        <w:t>ejeitos através do processo químico de lixiviação. (BRASIL MINERAL, 2007).</w:t>
      </w:r>
    </w:p>
    <w:p w:rsidR="00D81F69" w:rsidRDefault="00330118">
      <w:pPr>
        <w:pStyle w:val="Corpodetexto"/>
        <w:spacing w:before="141" w:line="312" w:lineRule="auto"/>
        <w:ind w:right="39"/>
      </w:pPr>
      <w:r>
        <w:t>Em 2007 o DNPM informou que a Bolland já detinha autorização para pesquisa de minério de chumbo em quatro áreas de Boquira (JORNAL A TARDE, 2007). Contudo, posteriormente, a Bolland</w:t>
      </w:r>
      <w:r>
        <w:t xml:space="preserve"> desistiu do empreendimento, e a Mineração Cruzeiro Ltda., subsidiária da Metal Data S.A., assumiu os direitos da concessão da Plumbum Mineração e Metalurgia S.A. para iniciar o projeto de reavaliação da mina de Boquira e aproveitamento do rejeito. A empre</w:t>
      </w:r>
      <w:r>
        <w:t xml:space="preserve">sa investirá, inicialmente, US$ 18 milhões em pesquisa mineral visando diagnosticar a reserva de chumbo, os subprodutos conhecidos, bem como a quantidade de </w:t>
      </w:r>
      <w:hyperlink r:id="rId590">
        <w:r>
          <w:t xml:space="preserve">ferro </w:t>
        </w:r>
      </w:hyperlink>
      <w:r>
        <w:t>que</w:t>
      </w:r>
      <w:r>
        <w:t xml:space="preserve"> ocorre na área da concessão. Está prevista no projeto a construção de</w:t>
      </w:r>
    </w:p>
    <w:p w:rsidR="00D81F69" w:rsidRDefault="00330118">
      <w:pPr>
        <w:pStyle w:val="Corpodetexto"/>
        <w:spacing w:before="81" w:line="312" w:lineRule="auto"/>
        <w:ind w:right="190"/>
      </w:pPr>
      <w:r>
        <w:br w:type="column"/>
      </w:r>
      <w:r>
        <w:lastRenderedPageBreak/>
        <w:t>uma usina siderúrgica em Boquira para verticalizar a produção no estado da Bahia (SILVA; TEIXEIRA, 2009).</w:t>
      </w:r>
    </w:p>
    <w:p w:rsidR="00D81F69" w:rsidRDefault="00D81F69">
      <w:pPr>
        <w:pStyle w:val="Corpodetexto"/>
        <w:spacing w:before="1"/>
        <w:ind w:left="0"/>
        <w:jc w:val="left"/>
        <w:rPr>
          <w:sz w:val="21"/>
        </w:rPr>
      </w:pPr>
    </w:p>
    <w:p w:rsidR="00D81F69" w:rsidRDefault="00330118">
      <w:pPr>
        <w:pStyle w:val="Heading7"/>
        <w:jc w:val="left"/>
      </w:pPr>
      <w:r>
        <w:t>LOCALIZAÇÃO GEOGRÁFICA</w:t>
      </w:r>
    </w:p>
    <w:p w:rsidR="00D81F69" w:rsidRDefault="00330118">
      <w:pPr>
        <w:pStyle w:val="Corpodetexto"/>
        <w:spacing w:before="179" w:line="312" w:lineRule="auto"/>
        <w:ind w:right="195"/>
      </w:pPr>
      <w:r>
        <w:t>A mina de chumbo do município de Boquira (BA) localiza-se, aproximadamente, na latitude 12°51'45"S e na longitude 42°30'23"W. Situa-se na bacia do rio São Francisco que pertence à região costeira do Atlântico Sul.</w:t>
      </w:r>
    </w:p>
    <w:p w:rsidR="00D81F69" w:rsidRDefault="00D81F69">
      <w:pPr>
        <w:pStyle w:val="Corpodetexto"/>
        <w:spacing w:before="2"/>
        <w:ind w:left="0"/>
        <w:jc w:val="left"/>
        <w:rPr>
          <w:sz w:val="29"/>
        </w:rPr>
      </w:pPr>
    </w:p>
    <w:p w:rsidR="00D81F69" w:rsidRDefault="00330118">
      <w:pPr>
        <w:pStyle w:val="Heading7"/>
        <w:jc w:val="left"/>
      </w:pPr>
      <w:r>
        <w:t>REDATORES</w:t>
      </w:r>
    </w:p>
    <w:p w:rsidR="00D81F69" w:rsidRDefault="00330118">
      <w:pPr>
        <w:pStyle w:val="Corpodetexto"/>
        <w:spacing w:before="178"/>
        <w:jc w:val="left"/>
      </w:pPr>
      <w:r>
        <w:t>Renata Olivieri; Eliane Araujo</w:t>
      </w:r>
    </w:p>
    <w:p w:rsidR="00D81F69" w:rsidRDefault="00D81F69">
      <w:pPr>
        <w:pStyle w:val="Corpodetexto"/>
        <w:ind w:left="0"/>
        <w:jc w:val="left"/>
        <w:rPr>
          <w:sz w:val="20"/>
        </w:rPr>
      </w:pPr>
    </w:p>
    <w:p w:rsidR="00D81F69" w:rsidRDefault="00330118">
      <w:pPr>
        <w:pStyle w:val="Heading7"/>
        <w:spacing w:before="165"/>
        <w:jc w:val="left"/>
      </w:pPr>
      <w:r>
        <w:t>REFERÊNCIAS BIBLIOGRÁFICAS</w:t>
      </w:r>
    </w:p>
    <w:p w:rsidR="00D81F69" w:rsidRDefault="00330118">
      <w:pPr>
        <w:spacing w:before="187" w:line="312" w:lineRule="auto"/>
        <w:ind w:left="100" w:right="196"/>
        <w:jc w:val="both"/>
        <w:rPr>
          <w:sz w:val="16"/>
        </w:rPr>
      </w:pPr>
      <w:r>
        <w:rPr>
          <w:sz w:val="16"/>
        </w:rPr>
        <w:t>ANJOS, José Ângelo Sebastião Araújo dos; SANCHEZ, Luis Enrique. Plano de Gestão ambiental para sítios contaminados com resíduos industriais: o caso da Plumbum em Santo Amaro da Purificação - BA. In: Bahia Análise &amp; Dados, Salvad</w:t>
      </w:r>
      <w:r>
        <w:rPr>
          <w:sz w:val="16"/>
        </w:rPr>
        <w:t>or/BA, v.10 n. 4 p.306-309, mar.</w:t>
      </w:r>
    </w:p>
    <w:p w:rsidR="00D81F69" w:rsidRDefault="00330118">
      <w:pPr>
        <w:tabs>
          <w:tab w:val="left" w:pos="1785"/>
          <w:tab w:val="left" w:pos="4548"/>
        </w:tabs>
        <w:spacing w:before="4"/>
        <w:ind w:left="100"/>
        <w:jc w:val="both"/>
        <w:rPr>
          <w:sz w:val="16"/>
        </w:rPr>
      </w:pPr>
      <w:r>
        <w:rPr>
          <w:sz w:val="16"/>
        </w:rPr>
        <w:t xml:space="preserve">2   0   0  </w:t>
      </w:r>
      <w:r>
        <w:rPr>
          <w:spacing w:val="35"/>
          <w:sz w:val="16"/>
        </w:rPr>
        <w:t xml:space="preserve"> </w:t>
      </w:r>
      <w:r>
        <w:rPr>
          <w:sz w:val="16"/>
        </w:rPr>
        <w:t xml:space="preserve">1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13"/>
        <w:jc w:val="both"/>
        <w:rPr>
          <w:sz w:val="16"/>
        </w:rPr>
      </w:pPr>
      <w:hyperlink r:id="rId591">
        <w:r w:rsidR="00330118">
          <w:rPr>
            <w:sz w:val="16"/>
          </w:rPr>
          <w:t xml:space="preserve">&lt;http://jangello.unifacs.br/downloads/Projeto_Purifica.pdf&gt;. </w:t>
        </w:r>
      </w:hyperlink>
      <w:r w:rsidR="00330118">
        <w:rPr>
          <w:sz w:val="16"/>
        </w:rPr>
        <w:t>Acesso em: 23 set. 20</w:t>
      </w:r>
      <w:r w:rsidR="00330118">
        <w:rPr>
          <w:sz w:val="16"/>
        </w:rPr>
        <w:t>12.</w:t>
      </w:r>
    </w:p>
    <w:p w:rsidR="00D81F69" w:rsidRDefault="00330118">
      <w:pPr>
        <w:spacing w:before="1" w:line="312" w:lineRule="auto"/>
        <w:ind w:left="100" w:right="198"/>
        <w:jc w:val="both"/>
        <w:rPr>
          <w:sz w:val="16"/>
        </w:rPr>
      </w:pPr>
      <w:r>
        <w:rPr>
          <w:sz w:val="16"/>
        </w:rPr>
        <w:t xml:space="preserve">ARAÚJO, Otavio; PINHEIRO, Carlos. História. Boquira Online, 2004. Disponível em: </w:t>
      </w:r>
      <w:hyperlink r:id="rId592">
        <w:r>
          <w:rPr>
            <w:sz w:val="16"/>
          </w:rPr>
          <w:t xml:space="preserve">&lt;http://www.boquiraonline.com.br/&gt;. </w:t>
        </w:r>
      </w:hyperlink>
      <w:r>
        <w:rPr>
          <w:sz w:val="16"/>
        </w:rPr>
        <w:t>Acesso em: 18 set. 2012.</w:t>
      </w:r>
    </w:p>
    <w:p w:rsidR="00D81F69" w:rsidRDefault="00330118">
      <w:pPr>
        <w:tabs>
          <w:tab w:val="left" w:pos="1164"/>
          <w:tab w:val="left" w:pos="2473"/>
          <w:tab w:val="left" w:pos="4636"/>
        </w:tabs>
        <w:spacing w:before="3" w:line="312" w:lineRule="auto"/>
        <w:ind w:left="100" w:right="196"/>
        <w:jc w:val="both"/>
        <w:rPr>
          <w:sz w:val="16"/>
        </w:rPr>
      </w:pPr>
      <w:r>
        <w:rPr>
          <w:sz w:val="16"/>
        </w:rPr>
        <w:t>BARRERO, Flávio Marques Castanho. Análise de áreas degradada</w:t>
      </w:r>
      <w:r>
        <w:rPr>
          <w:sz w:val="16"/>
        </w:rPr>
        <w:t xml:space="preserve">s pós mineração em municípios da Bacia do rio Paramirim. Salvador,     j  u </w:t>
      </w:r>
      <w:r>
        <w:rPr>
          <w:spacing w:val="22"/>
          <w:sz w:val="16"/>
        </w:rPr>
        <w:t xml:space="preserve"> </w:t>
      </w:r>
      <w:r>
        <w:rPr>
          <w:sz w:val="16"/>
        </w:rPr>
        <w:t xml:space="preserve">n </w:t>
      </w:r>
      <w:r>
        <w:rPr>
          <w:spacing w:val="10"/>
          <w:sz w:val="16"/>
        </w:rPr>
        <w:t xml:space="preserve"> </w:t>
      </w:r>
      <w:r>
        <w:rPr>
          <w:sz w:val="16"/>
        </w:rPr>
        <w:t>.</w:t>
      </w:r>
      <w:r>
        <w:rPr>
          <w:sz w:val="16"/>
        </w:rPr>
        <w:tab/>
        <w:t xml:space="preserve">2  0  0 </w:t>
      </w:r>
      <w:r>
        <w:rPr>
          <w:spacing w:val="35"/>
          <w:sz w:val="16"/>
        </w:rPr>
        <w:t xml:space="preserve"> </w:t>
      </w:r>
      <w:r>
        <w:rPr>
          <w:sz w:val="16"/>
        </w:rPr>
        <w:t xml:space="preserve">8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2" w:line="312" w:lineRule="auto"/>
        <w:ind w:left="100" w:right="217"/>
        <w:jc w:val="both"/>
        <w:rPr>
          <w:sz w:val="16"/>
        </w:rPr>
      </w:pPr>
      <w:hyperlink r:id="rId593">
        <w:r w:rsidR="00330118">
          <w:rPr>
            <w:sz w:val="16"/>
          </w:rPr>
          <w:t>&lt;</w:t>
        </w:r>
        <w:r w:rsidR="00330118">
          <w:rPr>
            <w:sz w:val="16"/>
          </w:rPr>
          <w:t>http://www.iica.int/Esp/regiones/sur/brasil/Lists/DocumentosTecnicos</w:t>
        </w:r>
      </w:hyperlink>
      <w:r w:rsidR="00330118">
        <w:rPr>
          <w:sz w:val="16"/>
        </w:rPr>
        <w:t xml:space="preserve"> Abertos/Attachments/489/Fl%C3%A1vio_Marques_Castanho_Barrero</w:t>
      </w:r>
    </w:p>
    <w:p w:rsidR="00D81F69" w:rsidRDefault="00330118">
      <w:pPr>
        <w:spacing w:before="2"/>
        <w:ind w:left="100"/>
        <w:rPr>
          <w:sz w:val="16"/>
        </w:rPr>
      </w:pPr>
      <w:r>
        <w:rPr>
          <w:sz w:val="16"/>
        </w:rPr>
        <w:t>_-_107444_-_ING%C3%81.pdf&gt;. Acesso em: 13 set. 2012.</w:t>
      </w:r>
    </w:p>
    <w:p w:rsidR="00D81F69" w:rsidRDefault="00330118">
      <w:pPr>
        <w:tabs>
          <w:tab w:val="left" w:pos="4331"/>
        </w:tabs>
        <w:spacing w:before="56" w:line="312" w:lineRule="auto"/>
        <w:ind w:left="100" w:right="193"/>
        <w:jc w:val="both"/>
        <w:rPr>
          <w:sz w:val="16"/>
        </w:rPr>
      </w:pPr>
      <w:r>
        <w:rPr>
          <w:spacing w:val="1"/>
          <w:sz w:val="16"/>
        </w:rPr>
        <w:t xml:space="preserve">BRASIL MINERAL. Chumbo. Bolland investe </w:t>
      </w:r>
      <w:r>
        <w:rPr>
          <w:sz w:val="16"/>
        </w:rPr>
        <w:t xml:space="preserve">US$ 10 </w:t>
      </w:r>
      <w:r>
        <w:rPr>
          <w:spacing w:val="1"/>
          <w:sz w:val="16"/>
        </w:rPr>
        <w:t xml:space="preserve">milhões </w:t>
      </w:r>
      <w:r>
        <w:rPr>
          <w:spacing w:val="2"/>
          <w:sz w:val="16"/>
        </w:rPr>
        <w:t xml:space="preserve">em </w:t>
      </w:r>
      <w:r>
        <w:rPr>
          <w:spacing w:val="3"/>
          <w:sz w:val="16"/>
        </w:rPr>
        <w:t xml:space="preserve">reserva baiana. </w:t>
      </w:r>
      <w:r>
        <w:rPr>
          <w:spacing w:val="2"/>
          <w:sz w:val="16"/>
        </w:rPr>
        <w:t xml:space="preserve">In: </w:t>
      </w:r>
      <w:r>
        <w:rPr>
          <w:spacing w:val="3"/>
          <w:sz w:val="16"/>
        </w:rPr>
        <w:t xml:space="preserve">Brasil Mineral Online, </w:t>
      </w:r>
      <w:r>
        <w:rPr>
          <w:spacing w:val="1"/>
          <w:sz w:val="16"/>
        </w:rPr>
        <w:t xml:space="preserve">n.  </w:t>
      </w:r>
      <w:r>
        <w:rPr>
          <w:spacing w:val="2"/>
          <w:sz w:val="16"/>
        </w:rPr>
        <w:t xml:space="preserve">295, </w:t>
      </w:r>
      <w:r>
        <w:rPr>
          <w:spacing w:val="1"/>
          <w:sz w:val="16"/>
        </w:rPr>
        <w:t xml:space="preserve">29  </w:t>
      </w:r>
      <w:r>
        <w:rPr>
          <w:spacing w:val="2"/>
          <w:sz w:val="16"/>
        </w:rPr>
        <w:t xml:space="preserve">mar. </w:t>
      </w:r>
      <w:r>
        <w:rPr>
          <w:spacing w:val="5"/>
          <w:sz w:val="16"/>
        </w:rPr>
        <w:t xml:space="preserve">2007.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217"/>
        <w:jc w:val="both"/>
        <w:rPr>
          <w:sz w:val="16"/>
        </w:rPr>
      </w:pPr>
      <w:hyperlink r:id="rId594">
        <w:r w:rsidR="00330118">
          <w:rPr>
            <w:sz w:val="16"/>
          </w:rPr>
          <w:t>&lt;http://www.signuseditora.com.br/bm/d</w:t>
        </w:r>
        <w:r w:rsidR="00330118">
          <w:rPr>
            <w:sz w:val="16"/>
          </w:rPr>
          <w:t>efault.asp?COD=2882&amp;busca=</w:t>
        </w:r>
      </w:hyperlink>
      <w:r w:rsidR="00330118">
        <w:rPr>
          <w:sz w:val="16"/>
        </w:rPr>
        <w:t xml:space="preserve"> &amp;numero=295&gt;. Acesso em: 14 set. 2012.</w:t>
      </w:r>
    </w:p>
    <w:p w:rsidR="00D81F69" w:rsidRDefault="00330118">
      <w:pPr>
        <w:spacing w:before="2" w:line="312" w:lineRule="auto"/>
        <w:ind w:left="100" w:right="131"/>
        <w:jc w:val="both"/>
        <w:rPr>
          <w:sz w:val="16"/>
        </w:rPr>
      </w:pPr>
      <w:r>
        <w:rPr>
          <w:sz w:val="16"/>
        </w:rPr>
        <w:t>CAMELO, Marta Sawaya Miranda. Fechamento de mina: análise de casos selecionados sob os focos ambiental, econômico e social, 2006, 127 f. Dissertação (Mestrado em Engenharia Geotécnica). Núcl</w:t>
      </w:r>
      <w:r>
        <w:rPr>
          <w:sz w:val="16"/>
        </w:rPr>
        <w:t xml:space="preserve">eo de Geotecnia da Escola de Minas da Universidade Federal de O u r o P r e t o ( M G ) . D i s p o n í v e l e m :  </w:t>
      </w:r>
    </w:p>
    <w:p w:rsidR="00D81F69" w:rsidRDefault="00D81F69">
      <w:pPr>
        <w:spacing w:before="4" w:line="312" w:lineRule="auto"/>
        <w:ind w:left="100" w:right="217"/>
        <w:jc w:val="both"/>
        <w:rPr>
          <w:sz w:val="16"/>
        </w:rPr>
      </w:pPr>
      <w:hyperlink r:id="rId595">
        <w:r w:rsidR="00330118">
          <w:rPr>
            <w:sz w:val="16"/>
          </w:rPr>
          <w:t>&lt;http://www.nugeo.ufop.br/joomla/attachments/article/1</w:t>
        </w:r>
        <w:r w:rsidR="00330118">
          <w:rPr>
            <w:sz w:val="16"/>
          </w:rPr>
          <w:t>1/PaginasArqu</w:t>
        </w:r>
      </w:hyperlink>
      <w:r w:rsidR="00330118">
        <w:rPr>
          <w:sz w:val="16"/>
        </w:rPr>
        <w:t xml:space="preserve"> ivos_16_76.pdf&gt;. Acesso em: 14 set. 2012.</w:t>
      </w:r>
    </w:p>
    <w:p w:rsidR="00D81F69" w:rsidRDefault="00330118">
      <w:pPr>
        <w:tabs>
          <w:tab w:val="left" w:pos="1211"/>
          <w:tab w:val="left" w:pos="2503"/>
          <w:tab w:val="left" w:pos="4639"/>
        </w:tabs>
        <w:spacing w:before="2" w:line="312" w:lineRule="auto"/>
        <w:ind w:left="100" w:right="159"/>
        <w:rPr>
          <w:sz w:val="16"/>
        </w:rPr>
      </w:pPr>
      <w:r>
        <w:rPr>
          <w:spacing w:val="3"/>
          <w:sz w:val="16"/>
        </w:rPr>
        <w:t xml:space="preserve">DNPM, </w:t>
      </w:r>
      <w:r>
        <w:rPr>
          <w:spacing w:val="5"/>
          <w:sz w:val="16"/>
        </w:rPr>
        <w:t xml:space="preserve">Departamento Nacional </w:t>
      </w:r>
      <w:r>
        <w:rPr>
          <w:spacing w:val="2"/>
          <w:sz w:val="16"/>
        </w:rPr>
        <w:t xml:space="preserve">de </w:t>
      </w:r>
      <w:r>
        <w:rPr>
          <w:spacing w:val="5"/>
          <w:sz w:val="16"/>
        </w:rPr>
        <w:t xml:space="preserve">Produção Mineral. </w:t>
      </w:r>
      <w:r>
        <w:rPr>
          <w:spacing w:val="3"/>
          <w:sz w:val="16"/>
        </w:rPr>
        <w:t xml:space="preserve">DNPM </w:t>
      </w:r>
      <w:r>
        <w:rPr>
          <w:sz w:val="16"/>
        </w:rPr>
        <w:t xml:space="preserve">e Secretaria de Meio Ambiente da Bahia se reúnem em Salvador, 16     </w:t>
      </w:r>
      <w:r>
        <w:rPr>
          <w:spacing w:val="10"/>
          <w:sz w:val="16"/>
        </w:rPr>
        <w:t>m  a</w:t>
      </w:r>
      <w:r>
        <w:rPr>
          <w:spacing w:val="23"/>
          <w:sz w:val="16"/>
        </w:rPr>
        <w:t xml:space="preserve"> </w:t>
      </w:r>
      <w:r>
        <w:rPr>
          <w:spacing w:val="10"/>
          <w:sz w:val="16"/>
        </w:rPr>
        <w:t>r</w:t>
      </w:r>
      <w:r>
        <w:rPr>
          <w:spacing w:val="43"/>
          <w:sz w:val="16"/>
        </w:rPr>
        <w:t xml:space="preserve"> </w:t>
      </w:r>
      <w:r>
        <w:rPr>
          <w:sz w:val="16"/>
        </w:rPr>
        <w:t>.</w:t>
      </w:r>
      <w:r>
        <w:rPr>
          <w:sz w:val="16"/>
        </w:rPr>
        <w:tab/>
      </w:r>
      <w:r>
        <w:rPr>
          <w:spacing w:val="10"/>
          <w:sz w:val="16"/>
        </w:rPr>
        <w:t>2  0  0</w:t>
      </w:r>
      <w:r>
        <w:rPr>
          <w:spacing w:val="3"/>
          <w:sz w:val="16"/>
        </w:rPr>
        <w:t xml:space="preserve"> </w:t>
      </w:r>
      <w:r>
        <w:rPr>
          <w:spacing w:val="10"/>
          <w:sz w:val="16"/>
        </w:rPr>
        <w:t>6</w:t>
      </w:r>
      <w:r>
        <w:rPr>
          <w:spacing w:val="43"/>
          <w:sz w:val="16"/>
        </w:rPr>
        <w:t xml:space="preserve"> </w:t>
      </w:r>
      <w:r>
        <w:rPr>
          <w:sz w:val="16"/>
        </w:rPr>
        <w:t>.</w:t>
      </w:r>
      <w:r>
        <w:rPr>
          <w:sz w:val="16"/>
        </w:rPr>
        <w:tab/>
      </w:r>
      <w:r>
        <w:rPr>
          <w:spacing w:val="10"/>
          <w:sz w:val="16"/>
        </w:rPr>
        <w:t>D</w:t>
      </w:r>
      <w:r>
        <w:rPr>
          <w:spacing w:val="43"/>
          <w:sz w:val="16"/>
        </w:rPr>
        <w:t xml:space="preserve"> </w:t>
      </w:r>
      <w:r>
        <w:rPr>
          <w:spacing w:val="10"/>
          <w:sz w:val="16"/>
        </w:rPr>
        <w:t>i</w:t>
      </w:r>
      <w:r>
        <w:rPr>
          <w:spacing w:val="43"/>
          <w:sz w:val="16"/>
        </w:rPr>
        <w:t xml:space="preserve"> </w:t>
      </w:r>
      <w:r>
        <w:rPr>
          <w:spacing w:val="10"/>
          <w:sz w:val="16"/>
        </w:rPr>
        <w:t>s</w:t>
      </w:r>
      <w:r>
        <w:rPr>
          <w:spacing w:val="43"/>
          <w:sz w:val="16"/>
        </w:rPr>
        <w:t xml:space="preserve"> </w:t>
      </w:r>
      <w:r>
        <w:rPr>
          <w:spacing w:val="10"/>
          <w:sz w:val="16"/>
        </w:rPr>
        <w:t>p</w:t>
      </w:r>
      <w:r>
        <w:rPr>
          <w:spacing w:val="43"/>
          <w:sz w:val="16"/>
        </w:rPr>
        <w:t xml:space="preserve"> </w:t>
      </w:r>
      <w:r>
        <w:rPr>
          <w:spacing w:val="10"/>
          <w:sz w:val="16"/>
        </w:rPr>
        <w:t>o</w:t>
      </w:r>
      <w:r>
        <w:rPr>
          <w:spacing w:val="43"/>
          <w:sz w:val="16"/>
        </w:rPr>
        <w:t xml:space="preserve"> </w:t>
      </w:r>
      <w:r>
        <w:rPr>
          <w:spacing w:val="10"/>
          <w:sz w:val="16"/>
        </w:rPr>
        <w:t>n</w:t>
      </w:r>
      <w:r>
        <w:rPr>
          <w:spacing w:val="43"/>
          <w:sz w:val="16"/>
        </w:rPr>
        <w:t xml:space="preserve"> </w:t>
      </w:r>
      <w:r>
        <w:rPr>
          <w:spacing w:val="10"/>
          <w:sz w:val="16"/>
        </w:rPr>
        <w:t>í</w:t>
      </w:r>
      <w:r>
        <w:rPr>
          <w:spacing w:val="43"/>
          <w:sz w:val="16"/>
        </w:rPr>
        <w:t xml:space="preserve"> </w:t>
      </w:r>
      <w:r>
        <w:rPr>
          <w:spacing w:val="10"/>
          <w:sz w:val="16"/>
        </w:rPr>
        <w:t>v</w:t>
      </w:r>
      <w:r>
        <w:rPr>
          <w:spacing w:val="43"/>
          <w:sz w:val="16"/>
        </w:rPr>
        <w:t xml:space="preserve"> </w:t>
      </w:r>
      <w:r>
        <w:rPr>
          <w:spacing w:val="10"/>
          <w:sz w:val="16"/>
        </w:rPr>
        <w:t>e</w:t>
      </w:r>
      <w:r>
        <w:rPr>
          <w:spacing w:val="43"/>
          <w:sz w:val="16"/>
        </w:rPr>
        <w:t xml:space="preserve"> </w:t>
      </w:r>
      <w:r>
        <w:rPr>
          <w:sz w:val="16"/>
        </w:rPr>
        <w:t>l</w:t>
      </w:r>
      <w:r>
        <w:rPr>
          <w:sz w:val="16"/>
        </w:rPr>
        <w:tab/>
      </w:r>
      <w:r>
        <w:rPr>
          <w:spacing w:val="10"/>
          <w:sz w:val="16"/>
        </w:rPr>
        <w:t>e m</w:t>
      </w:r>
      <w:r>
        <w:rPr>
          <w:spacing w:val="23"/>
          <w:sz w:val="16"/>
        </w:rPr>
        <w:t xml:space="preserve"> </w:t>
      </w:r>
      <w:r>
        <w:rPr>
          <w:sz w:val="16"/>
        </w:rPr>
        <w:t xml:space="preserve">: </w:t>
      </w:r>
      <w:r>
        <w:rPr>
          <w:spacing w:val="10"/>
          <w:sz w:val="16"/>
        </w:rPr>
        <w:t xml:space="preserve"> </w:t>
      </w:r>
    </w:p>
    <w:p w:rsidR="00D81F69" w:rsidRDefault="00D81F69">
      <w:pPr>
        <w:spacing w:before="2" w:line="312" w:lineRule="auto"/>
        <w:ind w:left="100" w:right="216"/>
        <w:jc w:val="both"/>
        <w:rPr>
          <w:sz w:val="16"/>
        </w:rPr>
      </w:pPr>
      <w:hyperlink r:id="rId596">
        <w:r w:rsidR="00330118">
          <w:rPr>
            <w:sz w:val="16"/>
          </w:rPr>
          <w:t>&lt;http://www.dnpm.gov.br/conteudo.asp?IDSecao=99&amp;IDPagina=72&amp;I</w:t>
        </w:r>
      </w:hyperlink>
      <w:r w:rsidR="00330118">
        <w:rPr>
          <w:sz w:val="16"/>
        </w:rPr>
        <w:t xml:space="preserve"> DNoticiaNoticia=196&gt;. Acesso em: 13 set. 2012.</w:t>
      </w:r>
    </w:p>
    <w:p w:rsidR="00D81F69" w:rsidRDefault="00330118">
      <w:pPr>
        <w:spacing w:before="2" w:line="312" w:lineRule="auto"/>
        <w:ind w:left="100" w:right="198"/>
        <w:jc w:val="both"/>
        <w:rPr>
          <w:sz w:val="16"/>
        </w:rPr>
      </w:pPr>
      <w:r>
        <w:rPr>
          <w:sz w:val="16"/>
        </w:rPr>
        <w:t>FERRAN, Axel Paul Noël de. A Mineração e a flotação no Brasil -</w:t>
      </w:r>
      <w:r>
        <w:rPr>
          <w:sz w:val="16"/>
        </w:rPr>
        <w:t xml:space="preserve"> </w:t>
      </w:r>
      <w:r>
        <w:rPr>
          <w:spacing w:val="2"/>
          <w:sz w:val="16"/>
        </w:rPr>
        <w:t xml:space="preserve">Uma </w:t>
      </w:r>
      <w:r>
        <w:rPr>
          <w:spacing w:val="3"/>
          <w:sz w:val="16"/>
        </w:rPr>
        <w:t xml:space="preserve">perspectiva histórica. Departamento Nacional </w:t>
      </w:r>
      <w:r>
        <w:rPr>
          <w:spacing w:val="1"/>
          <w:sz w:val="16"/>
        </w:rPr>
        <w:t xml:space="preserve">de </w:t>
      </w:r>
      <w:r>
        <w:rPr>
          <w:spacing w:val="5"/>
          <w:sz w:val="16"/>
        </w:rPr>
        <w:t xml:space="preserve">Produção </w:t>
      </w:r>
      <w:r>
        <w:rPr>
          <w:sz w:val="16"/>
        </w:rPr>
        <w:t>Mineral (DNPM), Ministério de Minas e Energia, 2007. Disponível</w:t>
      </w:r>
      <w:r>
        <w:rPr>
          <w:spacing w:val="25"/>
          <w:sz w:val="16"/>
        </w:rPr>
        <w:t xml:space="preserve"> </w:t>
      </w:r>
      <w:r>
        <w:rPr>
          <w:sz w:val="16"/>
        </w:rPr>
        <w:t>em:</w:t>
      </w:r>
    </w:p>
    <w:p w:rsidR="00D81F69" w:rsidRDefault="00D81F69">
      <w:pPr>
        <w:spacing w:before="2"/>
        <w:ind w:left="100"/>
        <w:rPr>
          <w:sz w:val="16"/>
        </w:rPr>
      </w:pPr>
      <w:hyperlink r:id="rId597">
        <w:r w:rsidR="00330118">
          <w:rPr>
            <w:sz w:val="16"/>
          </w:rPr>
          <w:t>&lt;http://www.google.com.br/u</w:t>
        </w:r>
        <w:r w:rsidR="00330118">
          <w:rPr>
            <w:sz w:val="16"/>
          </w:rPr>
          <w:t>rl?sa=t&amp;rct=j&amp;q=&amp;esrc=s&amp;frm=1&amp;source</w:t>
        </w:r>
      </w:hyperlink>
    </w:p>
    <w:p w:rsidR="00D81F69" w:rsidRDefault="00D81F69">
      <w:pPr>
        <w:tabs>
          <w:tab w:val="left" w:pos="647"/>
          <w:tab w:val="left" w:pos="885"/>
          <w:tab w:val="left" w:pos="1159"/>
          <w:tab w:val="left" w:pos="1715"/>
          <w:tab w:val="left" w:pos="2110"/>
          <w:tab w:val="left" w:pos="2281"/>
          <w:tab w:val="left" w:pos="2855"/>
          <w:tab w:val="left" w:pos="3310"/>
          <w:tab w:val="left" w:pos="3438"/>
          <w:tab w:val="left" w:pos="3976"/>
          <w:tab w:val="left" w:pos="4479"/>
          <w:tab w:val="left" w:pos="4746"/>
          <w:tab w:val="left" w:pos="5036"/>
        </w:tabs>
        <w:spacing w:before="56" w:line="312" w:lineRule="auto"/>
        <w:ind w:left="100" w:right="159"/>
        <w:rPr>
          <w:sz w:val="16"/>
        </w:rPr>
      </w:pPr>
      <w:hyperlink r:id="rId598">
        <w:r w:rsidR="00330118">
          <w:rPr>
            <w:sz w:val="16"/>
          </w:rPr>
          <w:t>=web&amp;cd=7&amp;ved=0CE8QFjAG&amp;url=http%3A%2F%2Fwww.dnpm.gov.</w:t>
        </w:r>
      </w:hyperlink>
      <w:r w:rsidR="00330118">
        <w:rPr>
          <w:sz w:val="16"/>
        </w:rPr>
        <w:t xml:space="preserve"> br%2Fmostra_arquivo.asp%3FIDBancoArquivoArquivo%3D2483&amp;ei= a</w:t>
      </w:r>
      <w:r w:rsidR="00330118">
        <w:rPr>
          <w:sz w:val="16"/>
        </w:rPr>
        <w:tab/>
        <w:t>r</w:t>
      </w:r>
      <w:r w:rsidR="00330118">
        <w:rPr>
          <w:sz w:val="16"/>
        </w:rPr>
        <w:tab/>
      </w:r>
      <w:r w:rsidR="00330118">
        <w:rPr>
          <w:sz w:val="16"/>
        </w:rPr>
        <w:tab/>
        <w:t>F</w:t>
      </w:r>
      <w:r w:rsidR="00330118">
        <w:rPr>
          <w:sz w:val="16"/>
        </w:rPr>
        <w:tab/>
        <w:t>X</w:t>
      </w:r>
      <w:r w:rsidR="00330118">
        <w:rPr>
          <w:sz w:val="16"/>
        </w:rPr>
        <w:tab/>
      </w:r>
      <w:r w:rsidR="00330118">
        <w:rPr>
          <w:sz w:val="16"/>
        </w:rPr>
        <w:tab/>
        <w:t>U</w:t>
      </w:r>
      <w:r w:rsidR="00330118">
        <w:rPr>
          <w:sz w:val="16"/>
        </w:rPr>
        <w:tab/>
        <w:t>O</w:t>
      </w:r>
      <w:r w:rsidR="00330118">
        <w:rPr>
          <w:sz w:val="16"/>
        </w:rPr>
        <w:tab/>
      </w:r>
      <w:r w:rsidR="00330118">
        <w:rPr>
          <w:sz w:val="16"/>
        </w:rPr>
        <w:tab/>
        <w:t>v</w:t>
      </w:r>
      <w:r w:rsidR="00330118">
        <w:rPr>
          <w:sz w:val="16"/>
        </w:rPr>
        <w:tab/>
        <w:t>t</w:t>
      </w:r>
      <w:r w:rsidR="00330118">
        <w:rPr>
          <w:sz w:val="16"/>
        </w:rPr>
        <w:tab/>
        <w:t>F</w:t>
      </w:r>
      <w:r w:rsidR="00330118">
        <w:rPr>
          <w:sz w:val="16"/>
        </w:rPr>
        <w:tab/>
      </w:r>
      <w:r w:rsidR="00330118">
        <w:rPr>
          <w:sz w:val="16"/>
        </w:rPr>
        <w:tab/>
        <w:t>- SvyQHmsoGABA&amp;</w:t>
      </w:r>
      <w:r w:rsidR="00330118">
        <w:rPr>
          <w:sz w:val="16"/>
        </w:rPr>
        <w:t>usg=AFQjCNEHodX0y3Tzq7oQxImMx5_yjqmQD Q&amp;sig2=hNYFMnEW7CplLEg14Zdi1g&gt;. Acesso em: 17 set. 2012. IBGE, Instituto Brasileiro de Geografia e Estatística. Boquira (BA). In:   I B</w:t>
      </w:r>
      <w:r w:rsidR="00330118">
        <w:rPr>
          <w:spacing w:val="5"/>
          <w:sz w:val="16"/>
        </w:rPr>
        <w:t xml:space="preserve"> </w:t>
      </w:r>
      <w:r w:rsidR="00330118">
        <w:rPr>
          <w:sz w:val="16"/>
        </w:rPr>
        <w:t>G</w:t>
      </w:r>
      <w:r w:rsidR="00330118">
        <w:rPr>
          <w:spacing w:val="1"/>
          <w:sz w:val="16"/>
        </w:rPr>
        <w:t xml:space="preserve"> </w:t>
      </w:r>
      <w:r w:rsidR="00330118">
        <w:rPr>
          <w:sz w:val="16"/>
        </w:rPr>
        <w:t>E</w:t>
      </w:r>
      <w:r w:rsidR="00330118">
        <w:rPr>
          <w:sz w:val="16"/>
        </w:rPr>
        <w:tab/>
      </w:r>
      <w:r w:rsidR="00330118">
        <w:rPr>
          <w:sz w:val="16"/>
        </w:rPr>
        <w:tab/>
        <w:t>C i d a d e</w:t>
      </w:r>
      <w:r w:rsidR="00330118">
        <w:rPr>
          <w:spacing w:val="15"/>
          <w:sz w:val="16"/>
        </w:rPr>
        <w:t xml:space="preserve"> </w:t>
      </w:r>
      <w:r w:rsidR="00330118">
        <w:rPr>
          <w:sz w:val="16"/>
        </w:rPr>
        <w:t>s</w:t>
      </w:r>
      <w:r w:rsidR="00330118">
        <w:rPr>
          <w:spacing w:val="1"/>
          <w:sz w:val="16"/>
        </w:rPr>
        <w:t xml:space="preserve"> </w:t>
      </w:r>
      <w:r w:rsidR="00330118">
        <w:rPr>
          <w:sz w:val="16"/>
        </w:rPr>
        <w:t>,</w:t>
      </w:r>
      <w:r w:rsidR="00330118">
        <w:rPr>
          <w:sz w:val="16"/>
        </w:rPr>
        <w:tab/>
        <w:t>2 0</w:t>
      </w:r>
      <w:r w:rsidR="00330118">
        <w:rPr>
          <w:spacing w:val="5"/>
          <w:sz w:val="16"/>
        </w:rPr>
        <w:t xml:space="preserve"> </w:t>
      </w:r>
      <w:r w:rsidR="00330118">
        <w:rPr>
          <w:sz w:val="16"/>
        </w:rPr>
        <w:t>1</w:t>
      </w:r>
      <w:r w:rsidR="00330118">
        <w:rPr>
          <w:spacing w:val="1"/>
          <w:sz w:val="16"/>
        </w:rPr>
        <w:t xml:space="preserve"> </w:t>
      </w:r>
      <w:r w:rsidR="00330118">
        <w:rPr>
          <w:sz w:val="16"/>
        </w:rPr>
        <w:t>0</w:t>
      </w:r>
      <w:r w:rsidR="00330118">
        <w:rPr>
          <w:sz w:val="16"/>
        </w:rPr>
        <w:tab/>
        <w:t>a .</w:t>
      </w:r>
      <w:r w:rsidR="00330118">
        <w:rPr>
          <w:sz w:val="16"/>
        </w:rPr>
        <w:tab/>
        <w:t>D i s p o n í v</w:t>
      </w:r>
      <w:r w:rsidR="00330118">
        <w:rPr>
          <w:spacing w:val="21"/>
          <w:sz w:val="16"/>
        </w:rPr>
        <w:t xml:space="preserve"> </w:t>
      </w:r>
      <w:r w:rsidR="00330118">
        <w:rPr>
          <w:sz w:val="16"/>
        </w:rPr>
        <w:t>e</w:t>
      </w:r>
      <w:r w:rsidR="00330118">
        <w:rPr>
          <w:spacing w:val="1"/>
          <w:sz w:val="16"/>
        </w:rPr>
        <w:t xml:space="preserve"> </w:t>
      </w:r>
      <w:r w:rsidR="00330118">
        <w:rPr>
          <w:sz w:val="16"/>
        </w:rPr>
        <w:t>l</w:t>
      </w:r>
      <w:r w:rsidR="00330118">
        <w:rPr>
          <w:sz w:val="16"/>
        </w:rPr>
        <w:tab/>
        <w:t>e m</w:t>
      </w:r>
      <w:r w:rsidR="00330118">
        <w:rPr>
          <w:spacing w:val="5"/>
          <w:sz w:val="16"/>
        </w:rPr>
        <w:t xml:space="preserve"> </w:t>
      </w:r>
      <w:r w:rsidR="00330118">
        <w:rPr>
          <w:sz w:val="16"/>
        </w:rPr>
        <w:t>:</w:t>
      </w:r>
      <w:r w:rsidR="00330118">
        <w:rPr>
          <w:spacing w:val="2"/>
          <w:sz w:val="16"/>
        </w:rPr>
        <w:t xml:space="preserve"> </w:t>
      </w:r>
    </w:p>
    <w:p w:rsidR="00D81F69" w:rsidRDefault="00D81F69">
      <w:pPr>
        <w:spacing w:before="6"/>
        <w:ind w:left="100"/>
        <w:jc w:val="both"/>
        <w:rPr>
          <w:sz w:val="16"/>
        </w:rPr>
      </w:pPr>
      <w:hyperlink r:id="rId599">
        <w:r w:rsidR="00330118">
          <w:rPr>
            <w:sz w:val="16"/>
          </w:rPr>
          <w:t>&lt;http://www.ibge.gov.br/cidadesat/xtras/perfil.php?codmun=290410&amp;r</w:t>
        </w:r>
      </w:hyperlink>
    </w:p>
    <w:p w:rsidR="00D81F69" w:rsidRDefault="00330118">
      <w:pPr>
        <w:spacing w:before="56"/>
        <w:ind w:left="100"/>
        <w:jc w:val="both"/>
        <w:rPr>
          <w:sz w:val="16"/>
        </w:rPr>
      </w:pPr>
      <w:r>
        <w:rPr>
          <w:sz w:val="16"/>
        </w:rPr>
        <w:t>=2&gt;. Acesso em: 13 set. 2012.</w:t>
      </w:r>
    </w:p>
    <w:p w:rsidR="00D81F69" w:rsidRDefault="00330118">
      <w:pPr>
        <w:tabs>
          <w:tab w:val="left" w:pos="636"/>
        </w:tabs>
        <w:spacing w:before="56"/>
        <w:ind w:left="100"/>
        <w:jc w:val="both"/>
        <w:rPr>
          <w:sz w:val="16"/>
        </w:rPr>
      </w:pPr>
      <w:r>
        <w:rPr>
          <w:sz w:val="16"/>
          <w:u w:val="single"/>
        </w:rPr>
        <w:t xml:space="preserve"> </w:t>
      </w:r>
      <w:r>
        <w:rPr>
          <w:sz w:val="16"/>
          <w:u w:val="single"/>
        </w:rPr>
        <w:tab/>
      </w:r>
      <w:r>
        <w:rPr>
          <w:sz w:val="16"/>
        </w:rPr>
        <w:t>. Santo Amaro (BA). In: IBGE Cidades, 2010 b. Disponível</w:t>
      </w:r>
      <w:r>
        <w:rPr>
          <w:spacing w:val="8"/>
          <w:sz w:val="16"/>
        </w:rPr>
        <w:t xml:space="preserve"> </w:t>
      </w:r>
      <w:r>
        <w:rPr>
          <w:sz w:val="16"/>
        </w:rPr>
        <w:t>em:</w:t>
      </w:r>
    </w:p>
    <w:p w:rsidR="00D81F69" w:rsidRDefault="00D81F69">
      <w:pPr>
        <w:jc w:val="both"/>
        <w:rPr>
          <w:sz w:val="16"/>
        </w:rPr>
        <w:sectPr w:rsidR="00D81F69">
          <w:pgSz w:w="11900" w:h="16840"/>
          <w:pgMar w:top="740" w:right="500" w:bottom="680" w:left="620" w:header="0" w:footer="402" w:gutter="0"/>
          <w:cols w:num="2" w:space="720" w:equalWidth="0">
            <w:col w:w="5161" w:space="309"/>
            <w:col w:w="5310"/>
          </w:cols>
        </w:sectPr>
      </w:pPr>
    </w:p>
    <w:p w:rsidR="00D81F69" w:rsidRDefault="00D81F69">
      <w:pPr>
        <w:spacing w:before="70"/>
        <w:ind w:left="100"/>
        <w:rPr>
          <w:sz w:val="16"/>
        </w:rPr>
      </w:pPr>
      <w:hyperlink r:id="rId600">
        <w:r w:rsidR="00330118">
          <w:rPr>
            <w:sz w:val="16"/>
          </w:rPr>
          <w:t>&lt;http://www.ibge.gov.br/cidadesat/xtras/perfil.php?codmun=292860&amp;r</w:t>
        </w:r>
      </w:hyperlink>
    </w:p>
    <w:p w:rsidR="00D81F69" w:rsidRDefault="00330118">
      <w:pPr>
        <w:spacing w:before="56"/>
        <w:ind w:left="100"/>
        <w:rPr>
          <w:sz w:val="16"/>
        </w:rPr>
      </w:pPr>
      <w:r>
        <w:rPr>
          <w:sz w:val="16"/>
        </w:rPr>
        <w:t>=2&gt;. Acesso em: 12 set. 2012.</w:t>
      </w:r>
    </w:p>
    <w:p w:rsidR="00D81F69" w:rsidRDefault="00330118">
      <w:pPr>
        <w:tabs>
          <w:tab w:val="left" w:pos="585"/>
          <w:tab w:val="left" w:pos="1491"/>
          <w:tab w:val="left" w:pos="1950"/>
          <w:tab w:val="left" w:pos="2575"/>
          <w:tab w:val="left" w:pos="3385"/>
          <w:tab w:val="left" w:pos="4757"/>
        </w:tabs>
        <w:spacing w:before="56" w:line="312" w:lineRule="auto"/>
        <w:ind w:left="100" w:right="38"/>
        <w:rPr>
          <w:sz w:val="16"/>
        </w:rPr>
      </w:pPr>
      <w:r>
        <w:rPr>
          <w:sz w:val="16"/>
        </w:rPr>
        <w:t xml:space="preserve">JORNAL A TARDE. Chumbo voltará a ser explorado. In: Liderança do </w:t>
      </w:r>
      <w:r>
        <w:rPr>
          <w:spacing w:val="20"/>
          <w:sz w:val="16"/>
        </w:rPr>
        <w:t>PT</w:t>
      </w:r>
      <w:r>
        <w:rPr>
          <w:spacing w:val="20"/>
          <w:sz w:val="16"/>
        </w:rPr>
        <w:tab/>
      </w:r>
      <w:r>
        <w:rPr>
          <w:spacing w:val="35"/>
          <w:sz w:val="16"/>
        </w:rPr>
        <w:t>Bahia,</w:t>
      </w:r>
      <w:r>
        <w:rPr>
          <w:spacing w:val="35"/>
          <w:sz w:val="16"/>
        </w:rPr>
        <w:tab/>
      </w:r>
      <w:r>
        <w:rPr>
          <w:spacing w:val="20"/>
          <w:sz w:val="16"/>
        </w:rPr>
        <w:t>24</w:t>
      </w:r>
      <w:r>
        <w:rPr>
          <w:spacing w:val="20"/>
          <w:sz w:val="16"/>
        </w:rPr>
        <w:tab/>
      </w:r>
      <w:r>
        <w:rPr>
          <w:spacing w:val="30"/>
          <w:sz w:val="16"/>
        </w:rPr>
        <w:t>set.</w:t>
      </w:r>
      <w:r>
        <w:rPr>
          <w:spacing w:val="30"/>
          <w:sz w:val="16"/>
        </w:rPr>
        <w:tab/>
      </w:r>
      <w:r>
        <w:rPr>
          <w:spacing w:val="32"/>
          <w:sz w:val="16"/>
        </w:rPr>
        <w:t>2007.</w:t>
      </w:r>
      <w:r>
        <w:rPr>
          <w:spacing w:val="32"/>
          <w:sz w:val="16"/>
        </w:rPr>
        <w:tab/>
      </w:r>
      <w:r>
        <w:rPr>
          <w:spacing w:val="36"/>
          <w:sz w:val="16"/>
        </w:rPr>
        <w:t>Disponível</w:t>
      </w:r>
      <w:r>
        <w:rPr>
          <w:spacing w:val="36"/>
          <w:sz w:val="16"/>
        </w:rPr>
        <w:tab/>
      </w:r>
      <w:r>
        <w:rPr>
          <w:spacing w:val="27"/>
          <w:sz w:val="16"/>
        </w:rPr>
        <w:t xml:space="preserve">em: </w:t>
      </w:r>
      <w:hyperlink r:id="rId601">
        <w:r>
          <w:rPr>
            <w:spacing w:val="5"/>
            <w:sz w:val="16"/>
          </w:rPr>
          <w:t>http://liderancadoptbahia.com/novo/noticias.php?id_noticia=8033.</w:t>
        </w:r>
      </w:hyperlink>
      <w:r>
        <w:rPr>
          <w:spacing w:val="5"/>
          <w:sz w:val="16"/>
        </w:rPr>
        <w:t xml:space="preserve"> </w:t>
      </w:r>
      <w:r>
        <w:rPr>
          <w:spacing w:val="3"/>
          <w:sz w:val="16"/>
        </w:rPr>
        <w:t xml:space="preserve">Acesso </w:t>
      </w:r>
      <w:r>
        <w:rPr>
          <w:spacing w:val="2"/>
          <w:sz w:val="16"/>
        </w:rPr>
        <w:t xml:space="preserve">em: </w:t>
      </w:r>
      <w:r>
        <w:rPr>
          <w:spacing w:val="1"/>
          <w:sz w:val="16"/>
        </w:rPr>
        <w:t xml:space="preserve">14 </w:t>
      </w:r>
      <w:r>
        <w:rPr>
          <w:spacing w:val="2"/>
          <w:sz w:val="16"/>
        </w:rPr>
        <w:t>set.</w:t>
      </w:r>
      <w:r>
        <w:rPr>
          <w:spacing w:val="45"/>
          <w:sz w:val="16"/>
        </w:rPr>
        <w:t xml:space="preserve"> </w:t>
      </w:r>
      <w:r>
        <w:rPr>
          <w:spacing w:val="5"/>
          <w:sz w:val="16"/>
        </w:rPr>
        <w:t>2012.</w:t>
      </w:r>
    </w:p>
    <w:p w:rsidR="00D81F69" w:rsidRDefault="00330118">
      <w:pPr>
        <w:spacing w:before="3" w:line="312" w:lineRule="auto"/>
        <w:ind w:left="100" w:right="82"/>
        <w:jc w:val="both"/>
        <w:rPr>
          <w:sz w:val="16"/>
        </w:rPr>
      </w:pPr>
      <w:r>
        <w:rPr>
          <w:sz w:val="16"/>
        </w:rPr>
        <w:t xml:space="preserve">MANZONI, Patrícia; MINAS, Raul. Poluição por chumbo em </w:t>
      </w:r>
      <w:r>
        <w:rPr>
          <w:sz w:val="16"/>
        </w:rPr>
        <w:t>Santo Amaro da Purificação. In: Instituto para o Desenvolvimento Ambiental, jul. 2002, atualizada em mar 2009. Disponível em:</w:t>
      </w:r>
    </w:p>
    <w:p w:rsidR="00D81F69" w:rsidRDefault="00D81F69">
      <w:pPr>
        <w:spacing w:before="2" w:line="312" w:lineRule="auto"/>
        <w:ind w:left="100" w:right="92"/>
        <w:rPr>
          <w:sz w:val="16"/>
        </w:rPr>
      </w:pPr>
      <w:hyperlink r:id="rId602">
        <w:r w:rsidR="00330118">
          <w:rPr>
            <w:sz w:val="16"/>
          </w:rPr>
          <w:t>&lt;http://www.ida.org.br/denuncias/77-poluicao/173-po</w:t>
        </w:r>
        <w:r w:rsidR="00330118">
          <w:rPr>
            <w:sz w:val="16"/>
          </w:rPr>
          <w:t>luicao-por-</w:t>
        </w:r>
      </w:hyperlink>
      <w:r w:rsidR="00330118">
        <w:rPr>
          <w:sz w:val="16"/>
        </w:rPr>
        <w:t xml:space="preserve"> chumbo-em-santo-amaro-da-purificacao&gt;.</w:t>
      </w:r>
    </w:p>
    <w:p w:rsidR="00D81F69" w:rsidRDefault="00330118">
      <w:pPr>
        <w:spacing w:before="70"/>
        <w:ind w:left="100"/>
        <w:rPr>
          <w:sz w:val="16"/>
        </w:rPr>
      </w:pPr>
      <w:r>
        <w:br w:type="column"/>
      </w:r>
      <w:r>
        <w:rPr>
          <w:sz w:val="16"/>
        </w:rPr>
        <w:lastRenderedPageBreak/>
        <w:t>Acesso em: 23 set. 2012.</w:t>
      </w:r>
    </w:p>
    <w:p w:rsidR="00D81F69" w:rsidRDefault="00330118">
      <w:pPr>
        <w:spacing w:before="56" w:line="312" w:lineRule="auto"/>
        <w:ind w:left="100" w:right="148"/>
        <w:jc w:val="both"/>
        <w:rPr>
          <w:sz w:val="16"/>
        </w:rPr>
      </w:pPr>
      <w:r>
        <w:rPr>
          <w:spacing w:val="1"/>
          <w:sz w:val="16"/>
        </w:rPr>
        <w:t xml:space="preserve">REUTERS. Empresa quer reabrir mina </w:t>
      </w:r>
      <w:r>
        <w:rPr>
          <w:sz w:val="16"/>
        </w:rPr>
        <w:t xml:space="preserve">e  </w:t>
      </w:r>
      <w:r>
        <w:rPr>
          <w:spacing w:val="1"/>
          <w:sz w:val="16"/>
        </w:rPr>
        <w:t xml:space="preserve">fundição </w:t>
      </w:r>
      <w:r>
        <w:rPr>
          <w:sz w:val="16"/>
        </w:rPr>
        <w:t xml:space="preserve">de  </w:t>
      </w:r>
      <w:r>
        <w:rPr>
          <w:spacing w:val="1"/>
          <w:sz w:val="16"/>
        </w:rPr>
        <w:t xml:space="preserve">chumbo </w:t>
      </w:r>
      <w:r>
        <w:rPr>
          <w:spacing w:val="2"/>
          <w:sz w:val="16"/>
        </w:rPr>
        <w:t xml:space="preserve">na    </w:t>
      </w:r>
      <w:r>
        <w:rPr>
          <w:spacing w:val="5"/>
          <w:sz w:val="16"/>
        </w:rPr>
        <w:t xml:space="preserve">B a h i a </w:t>
      </w:r>
      <w:r>
        <w:rPr>
          <w:sz w:val="16"/>
        </w:rPr>
        <w:t xml:space="preserve">, </w:t>
      </w:r>
      <w:r>
        <w:rPr>
          <w:spacing w:val="5"/>
          <w:sz w:val="16"/>
        </w:rPr>
        <w:t xml:space="preserve">0 </w:t>
      </w:r>
      <w:r>
        <w:rPr>
          <w:sz w:val="16"/>
        </w:rPr>
        <w:t xml:space="preserve">8 </w:t>
      </w:r>
      <w:r>
        <w:rPr>
          <w:spacing w:val="5"/>
          <w:sz w:val="16"/>
        </w:rPr>
        <w:t xml:space="preserve">m a r </w:t>
      </w:r>
      <w:r>
        <w:rPr>
          <w:sz w:val="16"/>
        </w:rPr>
        <w:t xml:space="preserve">. </w:t>
      </w:r>
      <w:r>
        <w:rPr>
          <w:spacing w:val="5"/>
          <w:sz w:val="16"/>
        </w:rPr>
        <w:t xml:space="preserve">2 0 0 7 </w:t>
      </w:r>
      <w:r>
        <w:rPr>
          <w:sz w:val="16"/>
        </w:rPr>
        <w:t xml:space="preserve">. </w:t>
      </w:r>
      <w:r>
        <w:rPr>
          <w:spacing w:val="5"/>
          <w:sz w:val="16"/>
        </w:rPr>
        <w:t xml:space="preserve">D i s p o n í v e </w:t>
      </w:r>
      <w:r>
        <w:rPr>
          <w:sz w:val="16"/>
        </w:rPr>
        <w:t>l</w:t>
      </w:r>
      <w:r>
        <w:rPr>
          <w:spacing w:val="22"/>
          <w:sz w:val="16"/>
        </w:rPr>
        <w:t xml:space="preserve"> </w:t>
      </w:r>
      <w:r>
        <w:rPr>
          <w:spacing w:val="5"/>
          <w:sz w:val="16"/>
        </w:rPr>
        <w:t xml:space="preserve">e m </w:t>
      </w:r>
      <w:r>
        <w:rPr>
          <w:sz w:val="16"/>
        </w:rPr>
        <w:t>:</w:t>
      </w:r>
      <w:r>
        <w:rPr>
          <w:spacing w:val="6"/>
          <w:sz w:val="16"/>
        </w:rPr>
        <w:t xml:space="preserve"> </w:t>
      </w:r>
    </w:p>
    <w:p w:rsidR="00D81F69" w:rsidRDefault="00D81F69">
      <w:pPr>
        <w:spacing w:before="1" w:line="312" w:lineRule="auto"/>
        <w:ind w:left="100" w:right="217"/>
        <w:jc w:val="both"/>
        <w:rPr>
          <w:sz w:val="16"/>
        </w:rPr>
      </w:pPr>
      <w:hyperlink r:id="rId603">
        <w:r w:rsidR="00330118">
          <w:rPr>
            <w:sz w:val="16"/>
          </w:rPr>
          <w:t>&lt;http://noticias.uol.com.br/economia/ultnot/2007/03/08/ult29u54091.jht</w:t>
        </w:r>
      </w:hyperlink>
      <w:r w:rsidR="00330118">
        <w:rPr>
          <w:sz w:val="16"/>
        </w:rPr>
        <w:t xml:space="preserve"> m&gt;. Acesso em: 13 set. 2012.</w:t>
      </w:r>
    </w:p>
    <w:p w:rsidR="00D81F69" w:rsidRDefault="00330118">
      <w:pPr>
        <w:spacing w:before="2" w:line="312" w:lineRule="auto"/>
        <w:ind w:left="100" w:right="149"/>
        <w:jc w:val="both"/>
        <w:rPr>
          <w:sz w:val="16"/>
        </w:rPr>
      </w:pPr>
      <w:r>
        <w:rPr>
          <w:sz w:val="16"/>
        </w:rPr>
        <w:t>SILVA, Benedito Célio Eugênio; TEIXEIRA, Juliana Ayres de A. Bião. Chum</w:t>
      </w:r>
      <w:r>
        <w:rPr>
          <w:sz w:val="16"/>
        </w:rPr>
        <w:t xml:space="preserve">bo. Departamento Nacional de Produção Mineral, seção Bahia, </w:t>
      </w:r>
      <w:r>
        <w:rPr>
          <w:spacing w:val="5"/>
          <w:sz w:val="16"/>
        </w:rPr>
        <w:t xml:space="preserve">S u m á r i </w:t>
      </w:r>
      <w:r>
        <w:rPr>
          <w:sz w:val="16"/>
        </w:rPr>
        <w:t xml:space="preserve">o </w:t>
      </w:r>
      <w:r>
        <w:rPr>
          <w:spacing w:val="5"/>
          <w:sz w:val="16"/>
        </w:rPr>
        <w:t xml:space="preserve">M i n e r a </w:t>
      </w:r>
      <w:r>
        <w:rPr>
          <w:sz w:val="16"/>
        </w:rPr>
        <w:t xml:space="preserve">l </w:t>
      </w:r>
      <w:r>
        <w:rPr>
          <w:spacing w:val="5"/>
          <w:sz w:val="16"/>
        </w:rPr>
        <w:t xml:space="preserve">2 0 0 9 </w:t>
      </w:r>
      <w:r>
        <w:rPr>
          <w:sz w:val="16"/>
        </w:rPr>
        <w:t xml:space="preserve">. </w:t>
      </w:r>
      <w:r>
        <w:rPr>
          <w:spacing w:val="5"/>
          <w:sz w:val="16"/>
        </w:rPr>
        <w:t xml:space="preserve">D i s p o n í v e </w:t>
      </w:r>
      <w:r>
        <w:rPr>
          <w:sz w:val="16"/>
        </w:rPr>
        <w:t>l</w:t>
      </w:r>
      <w:r>
        <w:rPr>
          <w:spacing w:val="6"/>
          <w:sz w:val="16"/>
        </w:rPr>
        <w:t xml:space="preserve"> </w:t>
      </w:r>
      <w:r>
        <w:rPr>
          <w:spacing w:val="5"/>
          <w:sz w:val="16"/>
        </w:rPr>
        <w:t xml:space="preserve">e m </w:t>
      </w:r>
      <w:r>
        <w:rPr>
          <w:sz w:val="16"/>
        </w:rPr>
        <w:t>:</w:t>
      </w:r>
      <w:r>
        <w:rPr>
          <w:spacing w:val="5"/>
          <w:sz w:val="16"/>
        </w:rPr>
        <w:t xml:space="preserve"> </w:t>
      </w:r>
    </w:p>
    <w:p w:rsidR="00D81F69" w:rsidRDefault="00D81F69">
      <w:pPr>
        <w:spacing w:before="2" w:line="312" w:lineRule="auto"/>
        <w:ind w:left="100" w:right="217"/>
        <w:jc w:val="both"/>
        <w:rPr>
          <w:sz w:val="16"/>
        </w:rPr>
      </w:pPr>
      <w:hyperlink r:id="rId604">
        <w:r w:rsidR="00330118">
          <w:rPr>
            <w:sz w:val="16"/>
          </w:rPr>
          <w:t>&lt;</w:t>
        </w:r>
        <w:r w:rsidR="00330118">
          <w:rPr>
            <w:sz w:val="16"/>
          </w:rPr>
          <w:t>http://www.dnpm.gov.br/assets/galeriaDocumento/SumarioMineral20</w:t>
        </w:r>
      </w:hyperlink>
      <w:r w:rsidR="00330118">
        <w:rPr>
          <w:sz w:val="16"/>
        </w:rPr>
        <w:t xml:space="preserve"> 08/chumbo.pdf&gt;. Acesso em: 17 set. 2012.</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94" w:space="276"/>
            <w:col w:w="5310"/>
          </w:cols>
        </w:sectPr>
      </w:pPr>
    </w:p>
    <w:p w:rsidR="00D81F69" w:rsidRDefault="00330118">
      <w:pPr>
        <w:pStyle w:val="Heading1"/>
        <w:spacing w:line="208" w:lineRule="auto"/>
      </w:pPr>
      <w:r>
        <w:lastRenderedPageBreak/>
        <w:t>Exploração de cobre em Jaguarari (BA) causa danos ambientais</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BA - Jaguarari</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-10,2436</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-40,1844</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7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O município de Jaguarari (BA) tem na mineração de cobre sua principal atividade econômica e abriga a terceira maior mineradora de cobre do país, a Mineração Caraíba. Apesar de vir modernizando suas unidades produtiv</w:t>
      </w:r>
      <w:r>
        <w:rPr>
          <w:i/>
          <w:sz w:val="16"/>
        </w:rPr>
        <w:t>as, inclusive no que tange aos efeitos ambientais de sua atividade, a população local afirma que a empresa tem provocado danos ambientais na região.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7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175" w:line="270" w:lineRule="atLeast"/>
        <w:ind w:left="135" w:right="190"/>
      </w:pPr>
      <w:r>
        <w:br w:type="column"/>
      </w:r>
      <w:r>
        <w:lastRenderedPageBreak/>
        <w:t xml:space="preserve">A Mineração Caraíba está localizada a nordeste do estado da </w:t>
      </w:r>
      <w:r>
        <w:rPr>
          <w:spacing w:val="5"/>
        </w:rPr>
        <w:t xml:space="preserve">Bahia (FILHO, 2011), </w:t>
      </w:r>
      <w:r>
        <w:rPr>
          <w:spacing w:val="2"/>
        </w:rPr>
        <w:t xml:space="preserve">no </w:t>
      </w:r>
      <w:r>
        <w:rPr>
          <w:spacing w:val="5"/>
        </w:rPr>
        <w:t xml:space="preserve">Vale </w:t>
      </w:r>
      <w:r>
        <w:rPr>
          <w:spacing w:val="2"/>
        </w:rPr>
        <w:t xml:space="preserve">do </w:t>
      </w:r>
      <w:r>
        <w:rPr>
          <w:spacing w:val="5"/>
        </w:rPr>
        <w:t xml:space="preserve">Curaçá, </w:t>
      </w:r>
      <w:r>
        <w:rPr>
          <w:spacing w:val="2"/>
        </w:rPr>
        <w:t xml:space="preserve">no </w:t>
      </w:r>
      <w:r>
        <w:rPr>
          <w:spacing w:val="6"/>
        </w:rPr>
        <w:t>s</w:t>
      </w:r>
      <w:r>
        <w:rPr>
          <w:spacing w:val="6"/>
        </w:rPr>
        <w:t xml:space="preserve">emiárido </w:t>
      </w:r>
      <w:r>
        <w:rPr>
          <w:spacing w:val="5"/>
        </w:rPr>
        <w:t xml:space="preserve">(ALMÉRI, 2009), </w:t>
      </w:r>
      <w:r>
        <w:t xml:space="preserve">a </w:t>
      </w:r>
      <w:r>
        <w:rPr>
          <w:spacing w:val="5"/>
        </w:rPr>
        <w:t xml:space="preserve">aproximadamente </w:t>
      </w:r>
      <w:r>
        <w:rPr>
          <w:spacing w:val="3"/>
        </w:rPr>
        <w:t xml:space="preserve">500 </w:t>
      </w:r>
      <w:r>
        <w:rPr>
          <w:spacing w:val="2"/>
        </w:rPr>
        <w:t xml:space="preserve">km da </w:t>
      </w:r>
      <w:r>
        <w:rPr>
          <w:spacing w:val="5"/>
        </w:rPr>
        <w:t xml:space="preserve">capital, </w:t>
      </w:r>
      <w:r>
        <w:t>Salvador. Sua produção anual é de 1,1 milhão de toneladas de sulfeto, e 70 mil toneladas de concentrado, com teor médio de 37% de cobre (FILHO, 2011). O atual site de exploração  da Mineração Caraíba foi descoberto em 1874, mas somente em 1969 teve estudos</w:t>
      </w:r>
      <w:r>
        <w:t xml:space="preserve"> de viabilidade econômica. No final da década de 1980, a empresa instalou, no Polo Petroquímico de Camaçari (BA), a única planta metalúrgica do país para cobre eletrolítico. Em 1988, a empresa passou a pertencer ao grupo da Caraíba Metais, ocasião em que h</w:t>
      </w:r>
      <w:r>
        <w:t>ouve desmembramento das atividades de mina e metalurgia. (ALMÉRI,</w:t>
      </w:r>
      <w:r>
        <w:rPr>
          <w:spacing w:val="5"/>
        </w:rPr>
        <w:t xml:space="preserve"> </w:t>
      </w:r>
      <w:r>
        <w:t>2009).</w:t>
      </w:r>
    </w:p>
    <w:p w:rsidR="00D81F69" w:rsidRDefault="00D81F69">
      <w:pPr>
        <w:spacing w:line="270" w:lineRule="atLeast"/>
        <w:sectPr w:rsidR="00D81F69">
          <w:type w:val="continuous"/>
          <w:pgSz w:w="11900" w:h="16840"/>
          <w:pgMar w:top="720" w:right="500" w:bottom="280" w:left="620" w:header="720" w:footer="720" w:gutter="0"/>
          <w:cols w:num="3" w:space="720" w:equalWidth="0">
            <w:col w:w="1070" w:space="930"/>
            <w:col w:w="3114" w:space="321"/>
            <w:col w:w="5345"/>
          </w:cols>
        </w:sectPr>
      </w:pPr>
    </w:p>
    <w:p w:rsidR="00D81F69" w:rsidRDefault="00330118">
      <w:pPr>
        <w:pStyle w:val="Heading4"/>
        <w:spacing w:line="253" w:lineRule="exact"/>
        <w:jc w:val="left"/>
      </w:pPr>
      <w:r>
        <w:lastRenderedPageBreak/>
        <w:t>APRESENTAÇÃO DE CASO</w:t>
      </w:r>
    </w:p>
    <w:p w:rsidR="00D81F69" w:rsidRDefault="00330118">
      <w:pPr>
        <w:pStyle w:val="Corpodetexto"/>
        <w:spacing w:before="170" w:line="312" w:lineRule="auto"/>
        <w:ind w:right="111"/>
      </w:pPr>
      <w:r>
        <w:t xml:space="preserve">Apesar de o Brasil responder por apenas 1,7% das reservas </w:t>
      </w:r>
      <w:r>
        <w:rPr>
          <w:spacing w:val="3"/>
        </w:rPr>
        <w:t xml:space="preserve">mundiais </w:t>
      </w:r>
      <w:r>
        <w:rPr>
          <w:spacing w:val="1"/>
        </w:rPr>
        <w:t xml:space="preserve">de </w:t>
      </w:r>
      <w:hyperlink r:id="rId605">
        <w:r>
          <w:rPr>
            <w:spacing w:val="3"/>
          </w:rPr>
          <w:t xml:space="preserve">cobre </w:t>
        </w:r>
      </w:hyperlink>
      <w:r>
        <w:t xml:space="preserve">— </w:t>
      </w:r>
      <w:r>
        <w:rPr>
          <w:spacing w:val="2"/>
        </w:rPr>
        <w:t xml:space="preserve">17,3 </w:t>
      </w:r>
      <w:r>
        <w:rPr>
          <w:spacing w:val="3"/>
        </w:rPr>
        <w:t xml:space="preserve">milhões </w:t>
      </w:r>
      <w:r>
        <w:rPr>
          <w:spacing w:val="1"/>
        </w:rPr>
        <w:t xml:space="preserve">de </w:t>
      </w:r>
      <w:r>
        <w:rPr>
          <w:spacing w:val="3"/>
        </w:rPr>
        <w:t xml:space="preserve">toneladas </w:t>
      </w:r>
      <w:r>
        <w:rPr>
          <w:spacing w:val="1"/>
        </w:rPr>
        <w:t xml:space="preserve">de </w:t>
      </w:r>
      <w:r>
        <w:rPr>
          <w:spacing w:val="5"/>
        </w:rPr>
        <w:t xml:space="preserve">cobre </w:t>
      </w:r>
      <w:r>
        <w:t xml:space="preserve">contido (reservas medidas e indicadas) em 2008 – houve um </w:t>
      </w:r>
      <w:r>
        <w:rPr>
          <w:spacing w:val="5"/>
        </w:rPr>
        <w:t xml:space="preserve">incremento significativo </w:t>
      </w:r>
      <w:r>
        <w:rPr>
          <w:spacing w:val="2"/>
        </w:rPr>
        <w:t xml:space="preserve">na </w:t>
      </w:r>
      <w:r>
        <w:rPr>
          <w:spacing w:val="5"/>
        </w:rPr>
        <w:t xml:space="preserve">produção </w:t>
      </w:r>
      <w:r>
        <w:rPr>
          <w:spacing w:val="2"/>
        </w:rPr>
        <w:t xml:space="preserve">do </w:t>
      </w:r>
      <w:r>
        <w:rPr>
          <w:spacing w:val="3"/>
        </w:rPr>
        <w:t xml:space="preserve">setor </w:t>
      </w:r>
      <w:r>
        <w:rPr>
          <w:spacing w:val="5"/>
        </w:rPr>
        <w:t>devido às</w:t>
      </w:r>
      <w:r>
        <w:rPr>
          <w:spacing w:val="61"/>
        </w:rPr>
        <w:t xml:space="preserve"> </w:t>
      </w:r>
      <w:r>
        <w:rPr>
          <w:spacing w:val="3"/>
        </w:rPr>
        <w:t xml:space="preserve">reservas aprovadas, </w:t>
      </w:r>
      <w:r>
        <w:rPr>
          <w:spacing w:val="1"/>
        </w:rPr>
        <w:t xml:space="preserve">em </w:t>
      </w:r>
      <w:r>
        <w:rPr>
          <w:spacing w:val="3"/>
        </w:rPr>
        <w:t xml:space="preserve">2008, </w:t>
      </w:r>
      <w:r>
        <w:rPr>
          <w:spacing w:val="1"/>
        </w:rPr>
        <w:t xml:space="preserve">no </w:t>
      </w:r>
      <w:r>
        <w:rPr>
          <w:spacing w:val="2"/>
        </w:rPr>
        <w:t xml:space="preserve">Pará </w:t>
      </w:r>
      <w:r>
        <w:t xml:space="preserve">e </w:t>
      </w:r>
      <w:r>
        <w:rPr>
          <w:spacing w:val="1"/>
        </w:rPr>
        <w:t xml:space="preserve">no </w:t>
      </w:r>
      <w:r>
        <w:rPr>
          <w:spacing w:val="2"/>
        </w:rPr>
        <w:t xml:space="preserve">Mato </w:t>
      </w:r>
      <w:r>
        <w:rPr>
          <w:spacing w:val="5"/>
        </w:rPr>
        <w:t xml:space="preserve">Grosso </w:t>
      </w:r>
      <w:r>
        <w:rPr>
          <w:spacing w:val="3"/>
        </w:rPr>
        <w:t>(RODRIGUES, HEI</w:t>
      </w:r>
      <w:r>
        <w:rPr>
          <w:spacing w:val="3"/>
        </w:rPr>
        <w:t>DER, FINSECA,</w:t>
      </w:r>
      <w:r>
        <w:rPr>
          <w:spacing w:val="2"/>
        </w:rPr>
        <w:t xml:space="preserve"> </w:t>
      </w:r>
      <w:r>
        <w:rPr>
          <w:spacing w:val="5"/>
        </w:rPr>
        <w:t>2009).</w:t>
      </w:r>
    </w:p>
    <w:p w:rsidR="00D81F69" w:rsidRDefault="00330118">
      <w:pPr>
        <w:pStyle w:val="Corpodetexto"/>
        <w:spacing w:before="136" w:line="312" w:lineRule="auto"/>
        <w:ind w:right="94"/>
      </w:pPr>
      <w:r>
        <w:t xml:space="preserve">Com essas reservas, que significaram um crescimento total  de 18%, a expectativa é de que o país alcance a condição de </w:t>
      </w:r>
      <w:r>
        <w:rPr>
          <w:spacing w:val="1"/>
        </w:rPr>
        <w:t xml:space="preserve">autossuficiência </w:t>
      </w:r>
      <w:r>
        <w:t xml:space="preserve">no </w:t>
      </w:r>
      <w:r>
        <w:rPr>
          <w:spacing w:val="1"/>
        </w:rPr>
        <w:t xml:space="preserve">metal </w:t>
      </w:r>
      <w:r>
        <w:t xml:space="preserve">em </w:t>
      </w:r>
      <w:r>
        <w:rPr>
          <w:spacing w:val="1"/>
        </w:rPr>
        <w:t xml:space="preserve">2013. </w:t>
      </w:r>
      <w:r>
        <w:t xml:space="preserve">Os </w:t>
      </w:r>
      <w:r>
        <w:rPr>
          <w:spacing w:val="1"/>
        </w:rPr>
        <w:t xml:space="preserve">estados </w:t>
      </w:r>
      <w:r>
        <w:rPr>
          <w:spacing w:val="2"/>
        </w:rPr>
        <w:t xml:space="preserve">brasileiros </w:t>
      </w:r>
      <w:r>
        <w:t xml:space="preserve">que </w:t>
      </w:r>
      <w:r>
        <w:rPr>
          <w:spacing w:val="1"/>
        </w:rPr>
        <w:t xml:space="preserve">possuem reservas são: Alagoas, Bahia, Ceará, </w:t>
      </w:r>
      <w:r>
        <w:rPr>
          <w:spacing w:val="2"/>
        </w:rPr>
        <w:t xml:space="preserve">Goiás, </w:t>
      </w:r>
      <w:r>
        <w:t>Ma</w:t>
      </w:r>
      <w:r>
        <w:t>to Grosso, Minas Gerais, Pará, Rio Grande do Sul e São Paulo. Entretanto, é no estado do Pará que se concentram mais de 85% dessas reservas, e é lá que estão os maiores e os mais importantes depósitos econômicos de cobre do país (RODRIGUES, HEIDER, FINSECA</w:t>
      </w:r>
      <w:r>
        <w:t>,</w:t>
      </w:r>
      <w:r>
        <w:rPr>
          <w:spacing w:val="32"/>
        </w:rPr>
        <w:t xml:space="preserve"> </w:t>
      </w:r>
      <w:r>
        <w:t>2009).</w:t>
      </w:r>
    </w:p>
    <w:p w:rsidR="00D81F69" w:rsidRDefault="00330118">
      <w:pPr>
        <w:pStyle w:val="Corpodetexto"/>
        <w:spacing w:before="138" w:line="312" w:lineRule="auto"/>
        <w:ind w:right="107"/>
      </w:pPr>
      <w:r>
        <w:t>A mineração de cobre brasileira está concentrada entre três empresas mineradoras, que oferecem a quase totalidade da oferta de concentrado de cobre no país: a Vale, com cerca de 56,9% da oferta, seguida pela Mineração Maracá S/A (28,5%) e a Mineração Caraí</w:t>
      </w:r>
      <w:r>
        <w:t>ba (12,1%), empresa situada no município de Jaguararí, na Bahia (FARIAS, 2009).</w:t>
      </w:r>
    </w:p>
    <w:p w:rsidR="00D81F69" w:rsidRDefault="00330118">
      <w:pPr>
        <w:pStyle w:val="Corpodetexto"/>
        <w:spacing w:before="135" w:line="312" w:lineRule="auto"/>
        <w:ind w:right="38"/>
        <w:jc w:val="left"/>
      </w:pPr>
      <w:r>
        <w:t>Jaguarari – 30.343 habitantes; 2456.548 km² (IBGE, 2010) —, responde pela terceira maior extração de cobre do país e tem na mineração a principal fonte de renda municipal (PREF</w:t>
      </w:r>
      <w:r>
        <w:t>EITURA MUNICIPAL DE JAGUARARÍ, 2011). A</w:t>
      </w:r>
    </w:p>
    <w:p w:rsidR="00D81F69" w:rsidRDefault="00330118">
      <w:pPr>
        <w:pStyle w:val="Corpodetexto"/>
        <w:spacing w:before="4" w:line="312" w:lineRule="auto"/>
        <w:ind w:right="93"/>
      </w:pPr>
      <w:r>
        <w:rPr>
          <w:spacing w:val="3"/>
        </w:rPr>
        <w:t xml:space="preserve">Mineração Caraíba desenvolveu </w:t>
      </w:r>
      <w:r>
        <w:rPr>
          <w:spacing w:val="2"/>
        </w:rPr>
        <w:t xml:space="preserve">ali uma </w:t>
      </w:r>
      <w:r>
        <w:rPr>
          <w:spacing w:val="3"/>
        </w:rPr>
        <w:t xml:space="preserve">grande </w:t>
      </w:r>
      <w:r>
        <w:rPr>
          <w:spacing w:val="5"/>
        </w:rPr>
        <w:t xml:space="preserve">estrutura, fazendo surgir </w:t>
      </w:r>
      <w:r>
        <w:rPr>
          <w:spacing w:val="3"/>
        </w:rPr>
        <w:t xml:space="preserve">um </w:t>
      </w:r>
      <w:r>
        <w:rPr>
          <w:spacing w:val="6"/>
        </w:rPr>
        <w:t xml:space="preserve">distrito </w:t>
      </w:r>
      <w:r>
        <w:rPr>
          <w:spacing w:val="5"/>
        </w:rPr>
        <w:t xml:space="preserve">inteiro </w:t>
      </w:r>
      <w:r>
        <w:rPr>
          <w:spacing w:val="3"/>
        </w:rPr>
        <w:t xml:space="preserve">só </w:t>
      </w:r>
      <w:r>
        <w:rPr>
          <w:spacing w:val="5"/>
        </w:rPr>
        <w:t xml:space="preserve">para abrigar </w:t>
      </w:r>
      <w:r>
        <w:rPr>
          <w:spacing w:val="7"/>
        </w:rPr>
        <w:t xml:space="preserve">seus </w:t>
      </w:r>
      <w:r>
        <w:rPr>
          <w:spacing w:val="5"/>
        </w:rPr>
        <w:t xml:space="preserve">empregados, </w:t>
      </w:r>
      <w:r>
        <w:t xml:space="preserve">o </w:t>
      </w:r>
      <w:r>
        <w:rPr>
          <w:spacing w:val="5"/>
        </w:rPr>
        <w:t xml:space="preserve">Distrito </w:t>
      </w:r>
      <w:r>
        <w:rPr>
          <w:spacing w:val="2"/>
        </w:rPr>
        <w:t xml:space="preserve">de </w:t>
      </w:r>
      <w:r>
        <w:rPr>
          <w:spacing w:val="5"/>
        </w:rPr>
        <w:t xml:space="preserve">Pilar, </w:t>
      </w:r>
      <w:r>
        <w:rPr>
          <w:spacing w:val="2"/>
        </w:rPr>
        <w:t xml:space="preserve">em </w:t>
      </w:r>
      <w:r>
        <w:rPr>
          <w:spacing w:val="5"/>
        </w:rPr>
        <w:t xml:space="preserve">Jaguararí. Pilar </w:t>
      </w:r>
      <w:r>
        <w:rPr>
          <w:spacing w:val="6"/>
        </w:rPr>
        <w:t xml:space="preserve">foi </w:t>
      </w:r>
      <w:r>
        <w:rPr>
          <w:spacing w:val="12"/>
        </w:rPr>
        <w:t xml:space="preserve">construído </w:t>
      </w:r>
      <w:r>
        <w:rPr>
          <w:spacing w:val="6"/>
        </w:rPr>
        <w:t xml:space="preserve">no </w:t>
      </w:r>
      <w:r>
        <w:rPr>
          <w:spacing w:val="11"/>
        </w:rPr>
        <w:t xml:space="preserve">final </w:t>
      </w:r>
      <w:r>
        <w:rPr>
          <w:spacing w:val="6"/>
        </w:rPr>
        <w:t xml:space="preserve">da </w:t>
      </w:r>
      <w:r>
        <w:rPr>
          <w:spacing w:val="11"/>
        </w:rPr>
        <w:t xml:space="preserve">década </w:t>
      </w:r>
      <w:r>
        <w:rPr>
          <w:spacing w:val="6"/>
        </w:rPr>
        <w:t xml:space="preserve">de </w:t>
      </w:r>
      <w:r>
        <w:rPr>
          <w:spacing w:val="11"/>
        </w:rPr>
        <w:t xml:space="preserve">1970, </w:t>
      </w:r>
      <w:r>
        <w:rPr>
          <w:spacing w:val="15"/>
        </w:rPr>
        <w:t xml:space="preserve">recebendo </w:t>
      </w:r>
      <w:r>
        <w:rPr>
          <w:spacing w:val="5"/>
        </w:rPr>
        <w:t xml:space="preserve">empregados, seus familiares </w:t>
      </w:r>
      <w:r>
        <w:t xml:space="preserve">e </w:t>
      </w:r>
      <w:r>
        <w:rPr>
          <w:spacing w:val="5"/>
        </w:rPr>
        <w:t xml:space="preserve">prestadores indiretos </w:t>
      </w:r>
      <w:r>
        <w:rPr>
          <w:spacing w:val="6"/>
        </w:rPr>
        <w:t xml:space="preserve">de </w:t>
      </w:r>
      <w:r>
        <w:t xml:space="preserve">serviço. Com ruas asfaltadas, estação de tratamento de água e </w:t>
      </w:r>
      <w:r>
        <w:rPr>
          <w:spacing w:val="5"/>
        </w:rPr>
        <w:t xml:space="preserve">esgoto, iluminação pública, </w:t>
      </w:r>
      <w:r>
        <w:rPr>
          <w:spacing w:val="3"/>
        </w:rPr>
        <w:t xml:space="preserve">rede </w:t>
      </w:r>
      <w:r>
        <w:rPr>
          <w:spacing w:val="5"/>
        </w:rPr>
        <w:t xml:space="preserve">telefônica, drenagem </w:t>
      </w:r>
      <w:r>
        <w:t>pluvial, hospitais, clubes sociais, estádio, igrejas e agências bancárias (</w:t>
      </w:r>
      <w:r>
        <w:t>MATA,</w:t>
      </w:r>
      <w:r>
        <w:rPr>
          <w:spacing w:val="25"/>
        </w:rPr>
        <w:t xml:space="preserve"> </w:t>
      </w:r>
      <w:r>
        <w:t>2001).</w:t>
      </w:r>
    </w:p>
    <w:p w:rsidR="00D81F69" w:rsidRDefault="00330118">
      <w:pPr>
        <w:pStyle w:val="Corpodetexto"/>
        <w:spacing w:before="8"/>
        <w:ind w:left="0"/>
        <w:jc w:val="left"/>
        <w:rPr>
          <w:sz w:val="16"/>
        </w:rPr>
      </w:pPr>
      <w:r>
        <w:br w:type="column"/>
      </w:r>
    </w:p>
    <w:p w:rsidR="00D81F69" w:rsidRDefault="00330118">
      <w:pPr>
        <w:pStyle w:val="Corpodetexto"/>
        <w:spacing w:before="1" w:line="312" w:lineRule="auto"/>
        <w:ind w:right="183"/>
      </w:pPr>
      <w:r>
        <w:t>A empresa teve vários métodos de extração ao longo de sua história. No período de 1978 a 1996, a lavra da jazida era feita a céu aberto, utilizando bancadas de 15 m de altura até a profundidade de 300 m. O minério era retirado por meio de ex</w:t>
      </w:r>
      <w:r>
        <w:t>plosões, e caminhões transportavam o material até a britagem primária. A lavra subterrânea foi iniciada em outubro de 1996, já com o método de realce aberto (sublevel stopping), numa profundidade de 350 m (SAMPAIO; CARVALHO; ANDRADE, 2002).</w:t>
      </w:r>
    </w:p>
    <w:p w:rsidR="00D81F69" w:rsidRDefault="00330118">
      <w:pPr>
        <w:pStyle w:val="Corpodetexto"/>
        <w:spacing w:before="138" w:line="312" w:lineRule="auto"/>
        <w:ind w:right="186"/>
      </w:pPr>
      <w:r>
        <w:t>A partir de 199</w:t>
      </w:r>
      <w:r>
        <w:t>8, passou-se a utilizar o método modificado VCR (vertical crater retreated), que permitiu lavrar o minério com maior recuperação, segurança e menor custo, tendo em vista o seu desenvolvimento em apenas dois níveis, um para perfuração e outro, para produção</w:t>
      </w:r>
      <w:r>
        <w:t>. A vantagem para a empresa foi a obtenção de um produto lavrado mais homogêneo, que facilitou o processo de concentração, sem necessidade de pilha de homogeneização (SAMPAIO; CARVALHO; ANDRADE, 2002). O minério extraído pela Mineração Caraíba é constituíd</w:t>
      </w:r>
      <w:r>
        <w:t>o basicamente de calcopirita e bornita, e é o segundo do país, nos níveis de concentração de cobre (FILHO, 2011).</w:t>
      </w:r>
    </w:p>
    <w:p w:rsidR="00D81F69" w:rsidRDefault="00330118">
      <w:pPr>
        <w:pStyle w:val="Corpodetexto"/>
        <w:spacing w:before="141" w:line="312" w:lineRule="auto"/>
        <w:ind w:right="192"/>
      </w:pPr>
      <w:r>
        <w:t xml:space="preserve">A mineração de cobre brasileira se alterou um pouco com a </w:t>
      </w:r>
      <w:r>
        <w:rPr>
          <w:spacing w:val="1"/>
        </w:rPr>
        <w:t xml:space="preserve">supremacia </w:t>
      </w:r>
      <w:r>
        <w:t xml:space="preserve">da </w:t>
      </w:r>
      <w:r>
        <w:rPr>
          <w:spacing w:val="1"/>
        </w:rPr>
        <w:t xml:space="preserve">Vale, </w:t>
      </w:r>
      <w:r>
        <w:t xml:space="preserve">que </w:t>
      </w:r>
      <w:r>
        <w:rPr>
          <w:spacing w:val="1"/>
        </w:rPr>
        <w:t xml:space="preserve">promoveu </w:t>
      </w:r>
      <w:r>
        <w:t xml:space="preserve">a </w:t>
      </w:r>
      <w:r>
        <w:rPr>
          <w:spacing w:val="1"/>
        </w:rPr>
        <w:t xml:space="preserve">introdução </w:t>
      </w:r>
      <w:r>
        <w:t xml:space="preserve">de </w:t>
      </w:r>
      <w:r>
        <w:rPr>
          <w:spacing w:val="2"/>
        </w:rPr>
        <w:t xml:space="preserve">novas </w:t>
      </w:r>
      <w:r>
        <w:t>tecnologias no setor, especia</w:t>
      </w:r>
      <w:r>
        <w:t xml:space="preserve">lmente nos processos de lavra e </w:t>
      </w:r>
      <w:r>
        <w:rPr>
          <w:spacing w:val="8"/>
        </w:rPr>
        <w:t xml:space="preserve">concentração. </w:t>
      </w:r>
      <w:r>
        <w:rPr>
          <w:spacing w:val="5"/>
        </w:rPr>
        <w:t xml:space="preserve">Por </w:t>
      </w:r>
      <w:r>
        <w:rPr>
          <w:spacing w:val="7"/>
        </w:rPr>
        <w:t xml:space="preserve">causa dela, outras empresas </w:t>
      </w:r>
      <w:r>
        <w:rPr>
          <w:spacing w:val="10"/>
        </w:rPr>
        <w:t xml:space="preserve">foram </w:t>
      </w:r>
      <w:r>
        <w:rPr>
          <w:spacing w:val="1"/>
        </w:rPr>
        <w:t xml:space="preserve">induzidas </w:t>
      </w:r>
      <w:r>
        <w:t xml:space="preserve">a </w:t>
      </w:r>
      <w:r>
        <w:rPr>
          <w:spacing w:val="1"/>
        </w:rPr>
        <w:t xml:space="preserve">modernizar suas unidades produtivas, caso </w:t>
      </w:r>
      <w:r>
        <w:rPr>
          <w:spacing w:val="2"/>
        </w:rPr>
        <w:t xml:space="preserve">da </w:t>
      </w:r>
      <w:r>
        <w:rPr>
          <w:spacing w:val="1"/>
        </w:rPr>
        <w:t xml:space="preserve">Mineração Caraíba, que, mesmo sendo </w:t>
      </w:r>
      <w:r>
        <w:t xml:space="preserve">a </w:t>
      </w:r>
      <w:r>
        <w:rPr>
          <w:spacing w:val="1"/>
        </w:rPr>
        <w:t xml:space="preserve">mineradora </w:t>
      </w:r>
      <w:r>
        <w:rPr>
          <w:spacing w:val="2"/>
        </w:rPr>
        <w:t xml:space="preserve">mais </w:t>
      </w:r>
      <w:r>
        <w:rPr>
          <w:spacing w:val="8"/>
        </w:rPr>
        <w:t xml:space="preserve">antiga </w:t>
      </w:r>
      <w:r>
        <w:t xml:space="preserve">e </w:t>
      </w:r>
      <w:r>
        <w:rPr>
          <w:spacing w:val="10"/>
        </w:rPr>
        <w:t xml:space="preserve">tradicional </w:t>
      </w:r>
      <w:r>
        <w:rPr>
          <w:spacing w:val="5"/>
        </w:rPr>
        <w:t xml:space="preserve">do </w:t>
      </w:r>
      <w:r>
        <w:rPr>
          <w:spacing w:val="8"/>
        </w:rPr>
        <w:t xml:space="preserve">Brasil, começou </w:t>
      </w:r>
      <w:r>
        <w:t xml:space="preserve">a </w:t>
      </w:r>
      <w:r>
        <w:rPr>
          <w:spacing w:val="8"/>
        </w:rPr>
        <w:t xml:space="preserve">investir </w:t>
      </w:r>
      <w:r>
        <w:rPr>
          <w:spacing w:val="10"/>
        </w:rPr>
        <w:t xml:space="preserve">na </w:t>
      </w:r>
      <w:r>
        <w:rPr>
          <w:spacing w:val="5"/>
        </w:rPr>
        <w:t>moderni</w:t>
      </w:r>
      <w:r>
        <w:rPr>
          <w:spacing w:val="5"/>
        </w:rPr>
        <w:t xml:space="preserve">zação </w:t>
      </w:r>
      <w:r>
        <w:rPr>
          <w:spacing w:val="2"/>
        </w:rPr>
        <w:t xml:space="preserve">de </w:t>
      </w:r>
      <w:r>
        <w:rPr>
          <w:spacing w:val="3"/>
        </w:rPr>
        <w:t xml:space="preserve">sua </w:t>
      </w:r>
      <w:r>
        <w:rPr>
          <w:spacing w:val="5"/>
        </w:rPr>
        <w:t xml:space="preserve">extração. </w:t>
      </w:r>
      <w:r>
        <w:rPr>
          <w:spacing w:val="3"/>
        </w:rPr>
        <w:t xml:space="preserve">Sua </w:t>
      </w:r>
      <w:r>
        <w:rPr>
          <w:spacing w:val="5"/>
        </w:rPr>
        <w:t xml:space="preserve">modernização </w:t>
      </w:r>
      <w:r>
        <w:t xml:space="preserve">é </w:t>
      </w:r>
      <w:r>
        <w:rPr>
          <w:spacing w:val="5"/>
        </w:rPr>
        <w:t>no</w:t>
      </w:r>
      <w:r>
        <w:rPr>
          <w:spacing w:val="61"/>
        </w:rPr>
        <w:t xml:space="preserve"> </w:t>
      </w:r>
      <w:r>
        <w:t xml:space="preserve">sentido de aumentar a vida útil de suas reservas e de tratar </w:t>
      </w:r>
      <w:r>
        <w:rPr>
          <w:spacing w:val="5"/>
        </w:rPr>
        <w:t xml:space="preserve">minérios </w:t>
      </w:r>
      <w:r>
        <w:rPr>
          <w:spacing w:val="3"/>
        </w:rPr>
        <w:t xml:space="preserve">até então </w:t>
      </w:r>
      <w:r>
        <w:rPr>
          <w:spacing w:val="5"/>
        </w:rPr>
        <w:t xml:space="preserve">antieconômicos </w:t>
      </w:r>
      <w:r>
        <w:rPr>
          <w:spacing w:val="2"/>
        </w:rPr>
        <w:t xml:space="preserve">ou </w:t>
      </w:r>
      <w:r>
        <w:rPr>
          <w:spacing w:val="3"/>
        </w:rPr>
        <w:t xml:space="preserve">não </w:t>
      </w:r>
      <w:r>
        <w:rPr>
          <w:spacing w:val="5"/>
        </w:rPr>
        <w:t xml:space="preserve">suscetíveis </w:t>
      </w:r>
      <w:r>
        <w:t xml:space="preserve">à </w:t>
      </w:r>
      <w:r>
        <w:rPr>
          <w:spacing w:val="1"/>
        </w:rPr>
        <w:t xml:space="preserve">concentração convencional </w:t>
      </w:r>
      <w:r>
        <w:t xml:space="preserve">por </w:t>
      </w:r>
      <w:r>
        <w:rPr>
          <w:spacing w:val="1"/>
        </w:rPr>
        <w:t xml:space="preserve">meio </w:t>
      </w:r>
      <w:r>
        <w:t xml:space="preserve">da </w:t>
      </w:r>
      <w:r>
        <w:rPr>
          <w:spacing w:val="1"/>
        </w:rPr>
        <w:t xml:space="preserve">flotação </w:t>
      </w:r>
      <w:r>
        <w:rPr>
          <w:spacing w:val="2"/>
        </w:rPr>
        <w:t>(FARIAS, 2009).</w:t>
      </w:r>
    </w:p>
    <w:p w:rsidR="00D81F69" w:rsidRDefault="00330118">
      <w:pPr>
        <w:pStyle w:val="Corpodetexto"/>
        <w:spacing w:before="78" w:line="270" w:lineRule="atLeast"/>
        <w:ind w:right="213"/>
      </w:pPr>
      <w:r>
        <w:t xml:space="preserve">A mineração de cobre é tida por </w:t>
      </w:r>
      <w:r>
        <w:t>uma das menos prejudiciais ao meio ambiente. Segundo um relatório desenvolvido pelo Ministério de Minas e Energia (MME), em parceria com o</w:t>
      </w:r>
    </w:p>
    <w:p w:rsidR="00D81F69" w:rsidRDefault="00D81F69">
      <w:pPr>
        <w:spacing w:line="270" w:lineRule="atLeast"/>
        <w:sectPr w:rsidR="00D81F69">
          <w:type w:val="continuous"/>
          <w:pgSz w:w="11900" w:h="16840"/>
          <w:pgMar w:top="720" w:right="500" w:bottom="280" w:left="620" w:header="720" w:footer="720" w:gutter="0"/>
          <w:cols w:num="2" w:space="720" w:equalWidth="0">
            <w:col w:w="5212" w:space="258"/>
            <w:col w:w="5310"/>
          </w:cols>
        </w:sectPr>
      </w:pPr>
    </w:p>
    <w:p w:rsidR="00D81F69" w:rsidRDefault="00330118">
      <w:pPr>
        <w:pStyle w:val="Corpodetexto"/>
        <w:spacing w:before="81" w:line="312" w:lineRule="auto"/>
        <w:ind w:right="40"/>
      </w:pPr>
      <w:r>
        <w:lastRenderedPageBreak/>
        <w:t>Banco Mundial, este tipo de mineração traria menos efeitos  ao meio por apresentar uma est</w:t>
      </w:r>
      <w:r>
        <w:t xml:space="preserve">rutura industrial nova, e com </w:t>
      </w:r>
      <w:r>
        <w:rPr>
          <w:spacing w:val="1"/>
        </w:rPr>
        <w:t xml:space="preserve">alta tecnologia. </w:t>
      </w:r>
      <w:r>
        <w:t xml:space="preserve">A </w:t>
      </w:r>
      <w:r>
        <w:rPr>
          <w:spacing w:val="1"/>
        </w:rPr>
        <w:t xml:space="preserve">Mineração Caraíba, segundo </w:t>
      </w:r>
      <w:r>
        <w:t xml:space="preserve">o </w:t>
      </w:r>
      <w:r>
        <w:rPr>
          <w:spacing w:val="2"/>
        </w:rPr>
        <w:t xml:space="preserve">relatório, </w:t>
      </w:r>
      <w:r>
        <w:rPr>
          <w:spacing w:val="3"/>
        </w:rPr>
        <w:t xml:space="preserve">estaria incluída neste perfil, </w:t>
      </w:r>
      <w:r>
        <w:rPr>
          <w:spacing w:val="2"/>
        </w:rPr>
        <w:t xml:space="preserve">por </w:t>
      </w:r>
      <w:r>
        <w:rPr>
          <w:spacing w:val="3"/>
        </w:rPr>
        <w:t xml:space="preserve">empregar </w:t>
      </w:r>
      <w:r>
        <w:rPr>
          <w:spacing w:val="5"/>
        </w:rPr>
        <w:t xml:space="preserve">equipamentos </w:t>
      </w:r>
      <w:r>
        <w:rPr>
          <w:spacing w:val="10"/>
        </w:rPr>
        <w:t xml:space="preserve">modernos, </w:t>
      </w:r>
      <w:r>
        <w:rPr>
          <w:spacing w:val="7"/>
        </w:rPr>
        <w:t xml:space="preserve">com </w:t>
      </w:r>
      <w:r>
        <w:rPr>
          <w:spacing w:val="10"/>
        </w:rPr>
        <w:t xml:space="preserve">instalações </w:t>
      </w:r>
      <w:r>
        <w:t xml:space="preserve">e </w:t>
      </w:r>
      <w:r>
        <w:rPr>
          <w:spacing w:val="10"/>
        </w:rPr>
        <w:t xml:space="preserve">técnicas </w:t>
      </w:r>
      <w:r>
        <w:rPr>
          <w:spacing w:val="12"/>
        </w:rPr>
        <w:t xml:space="preserve">operacionais </w:t>
      </w:r>
      <w:r>
        <w:t xml:space="preserve">objetivando mitigar os impactos ambientais causados por sua </w:t>
      </w:r>
      <w:r>
        <w:rPr>
          <w:spacing w:val="5"/>
        </w:rPr>
        <w:t xml:space="preserve">atividade, além </w:t>
      </w:r>
      <w:r>
        <w:rPr>
          <w:spacing w:val="2"/>
        </w:rPr>
        <w:t xml:space="preserve">de </w:t>
      </w:r>
      <w:r>
        <w:rPr>
          <w:spacing w:val="5"/>
        </w:rPr>
        <w:t xml:space="preserve">contar </w:t>
      </w:r>
      <w:r>
        <w:rPr>
          <w:spacing w:val="3"/>
        </w:rPr>
        <w:t xml:space="preserve">com </w:t>
      </w:r>
      <w:r>
        <w:rPr>
          <w:spacing w:val="2"/>
        </w:rPr>
        <w:t xml:space="preserve">um </w:t>
      </w:r>
      <w:r>
        <w:rPr>
          <w:spacing w:val="5"/>
        </w:rPr>
        <w:t xml:space="preserve">modelo </w:t>
      </w:r>
      <w:r>
        <w:rPr>
          <w:spacing w:val="2"/>
        </w:rPr>
        <w:t xml:space="preserve">de </w:t>
      </w:r>
      <w:r>
        <w:rPr>
          <w:spacing w:val="5"/>
        </w:rPr>
        <w:t xml:space="preserve">lavra </w:t>
      </w:r>
      <w:r>
        <w:rPr>
          <w:spacing w:val="6"/>
        </w:rPr>
        <w:t xml:space="preserve">que </w:t>
      </w:r>
      <w:r>
        <w:rPr>
          <w:spacing w:val="1"/>
        </w:rPr>
        <w:t xml:space="preserve">devolve </w:t>
      </w:r>
      <w:r>
        <w:t xml:space="preserve">os </w:t>
      </w:r>
      <w:r>
        <w:rPr>
          <w:spacing w:val="1"/>
        </w:rPr>
        <w:t xml:space="preserve">rejeitos </w:t>
      </w:r>
      <w:r>
        <w:t xml:space="preserve">da </w:t>
      </w:r>
      <w:r>
        <w:rPr>
          <w:spacing w:val="1"/>
        </w:rPr>
        <w:t xml:space="preserve">concentração </w:t>
      </w:r>
      <w:r>
        <w:t xml:space="preserve">à </w:t>
      </w:r>
      <w:r>
        <w:rPr>
          <w:spacing w:val="1"/>
        </w:rPr>
        <w:t xml:space="preserve">mina, graças </w:t>
      </w:r>
      <w:r>
        <w:t xml:space="preserve">a </w:t>
      </w:r>
      <w:r>
        <w:rPr>
          <w:spacing w:val="2"/>
        </w:rPr>
        <w:t xml:space="preserve">uma </w:t>
      </w:r>
      <w:r>
        <w:t>mistura de cimento e água, que preenche os pilares e realces da lavra subterrânea (FARIAS,</w:t>
      </w:r>
      <w:r>
        <w:rPr>
          <w:spacing w:val="10"/>
        </w:rPr>
        <w:t xml:space="preserve"> </w:t>
      </w:r>
      <w:r>
        <w:t>2009).</w:t>
      </w:r>
    </w:p>
    <w:p w:rsidR="00D81F69" w:rsidRDefault="00330118">
      <w:pPr>
        <w:pStyle w:val="Corpodetexto"/>
        <w:spacing w:before="139" w:line="312" w:lineRule="auto"/>
        <w:ind w:right="48"/>
      </w:pPr>
      <w:r>
        <w:t>Em 2007, a Mineração Caraíba começou uma gradati</w:t>
      </w:r>
      <w:r>
        <w:t xml:space="preserve">va substituição do processo pirometalúrgico (queima de sulfetos de cobre em altas temperaturas) pelo bio-hidrometalúrgico (lixiviação bacteriana). Uma biolixivação, que minimiza a emissão de gases poluentes na atmosfera. A Caraíba foi a primeira empresa a </w:t>
      </w:r>
      <w:r>
        <w:t xml:space="preserve">colocá-lo em prática no Brasil. Nos moldes convencionais, a extração de cobre é feita a partir de um minério primário, localizado no interior de rochas, que, por causa da ausência de oxigênio, ainda não sofreu transformações oxidativas (ROMERO, 2007). </w:t>
      </w:r>
    </w:p>
    <w:p w:rsidR="00D81F69" w:rsidRDefault="00330118">
      <w:pPr>
        <w:pStyle w:val="Corpodetexto"/>
        <w:spacing w:before="139" w:line="312" w:lineRule="auto"/>
        <w:ind w:right="39"/>
      </w:pPr>
      <w:r>
        <w:t>Com</w:t>
      </w:r>
      <w:r>
        <w:t xml:space="preserve"> a flotação, técnica mais usada, dois sulfetos com teores distintos de cobre, a calcopirita e a bornita, são extraídos da rocha, e separados do resto dos minerais, desprezados. O produto final desse processo, o concentrado de flotação de sulfeto de cobre, </w:t>
      </w:r>
      <w:r>
        <w:t>é enviado para indústrias metalúrgicas, para lá ser transformado, sob efeito de altas temperaturas, em cobre metálico impuro (cobre blister). Durante o processo pirometalúrgico, em que o cobre blister é refinado para a obtenção de cobre eletrolítico (mater</w:t>
      </w:r>
      <w:r>
        <w:t xml:space="preserve">ial comercialmente puro), são emitidos na natureza gases que podem conter metais pesados, como cádmio (Cd), </w:t>
      </w:r>
      <w:hyperlink r:id="rId606">
        <w:r>
          <w:t>arsênio</w:t>
        </w:r>
      </w:hyperlink>
      <w:r>
        <w:t xml:space="preserve"> (As), </w:t>
      </w:r>
      <w:hyperlink r:id="rId607">
        <w:r>
          <w:t>mercúrio</w:t>
        </w:r>
      </w:hyperlink>
      <w:r>
        <w:t xml:space="preserve"> (Hg), bismuto (Bi) e </w:t>
      </w:r>
      <w:hyperlink r:id="rId608">
        <w:r>
          <w:t>chumbo</w:t>
        </w:r>
      </w:hyperlink>
      <w:r>
        <w:t xml:space="preserve"> (Pb). Estes metais podem causar distúrbios nos microrganismos e na vegetação, dim</w:t>
      </w:r>
      <w:r>
        <w:t>inuindo a ciclagem de nutrientes do ecossistema (ROMERO, 2007).</w:t>
      </w:r>
    </w:p>
    <w:p w:rsidR="00D81F69" w:rsidRDefault="00330118">
      <w:pPr>
        <w:pStyle w:val="Corpodetexto"/>
        <w:spacing w:before="143" w:line="312" w:lineRule="auto"/>
        <w:ind w:right="38"/>
      </w:pPr>
      <w:r>
        <w:t xml:space="preserve">No processo biológico de lixiviação, iniciada pela Caraíba em </w:t>
      </w:r>
      <w:r>
        <w:rPr>
          <w:spacing w:val="5"/>
        </w:rPr>
        <w:t xml:space="preserve">2007, </w:t>
      </w:r>
      <w:r>
        <w:rPr>
          <w:spacing w:val="2"/>
        </w:rPr>
        <w:t xml:space="preserve">em </w:t>
      </w:r>
      <w:r>
        <w:rPr>
          <w:spacing w:val="5"/>
        </w:rPr>
        <w:t xml:space="preserve">parceria </w:t>
      </w:r>
      <w:r>
        <w:rPr>
          <w:spacing w:val="3"/>
        </w:rPr>
        <w:t xml:space="preserve">com </w:t>
      </w:r>
      <w:r>
        <w:t xml:space="preserve">o </w:t>
      </w:r>
      <w:r>
        <w:rPr>
          <w:spacing w:val="5"/>
        </w:rPr>
        <w:t xml:space="preserve">Centro </w:t>
      </w:r>
      <w:r>
        <w:rPr>
          <w:spacing w:val="2"/>
        </w:rPr>
        <w:t xml:space="preserve">de </w:t>
      </w:r>
      <w:r>
        <w:rPr>
          <w:spacing w:val="5"/>
        </w:rPr>
        <w:t xml:space="preserve">Tecnologia </w:t>
      </w:r>
      <w:r>
        <w:rPr>
          <w:spacing w:val="6"/>
        </w:rPr>
        <w:t xml:space="preserve">Mineral </w:t>
      </w:r>
      <w:r>
        <w:t xml:space="preserve">(Cetem/MCT), o cobre eletrolítico é retirado do concentrado  de flotação por </w:t>
      </w:r>
      <w:r>
        <w:t xml:space="preserve">um processo biológico. Bactérias nativas são </w:t>
      </w:r>
      <w:r>
        <w:rPr>
          <w:spacing w:val="5"/>
        </w:rPr>
        <w:t xml:space="preserve">extraídas </w:t>
      </w:r>
      <w:r>
        <w:rPr>
          <w:spacing w:val="2"/>
        </w:rPr>
        <w:t xml:space="preserve">do </w:t>
      </w:r>
      <w:r>
        <w:rPr>
          <w:spacing w:val="5"/>
        </w:rPr>
        <w:t xml:space="preserve">próprio minério </w:t>
      </w:r>
      <w:r>
        <w:t xml:space="preserve">e </w:t>
      </w:r>
      <w:r>
        <w:rPr>
          <w:spacing w:val="5"/>
        </w:rPr>
        <w:t xml:space="preserve">cultivadas </w:t>
      </w:r>
      <w:r>
        <w:rPr>
          <w:spacing w:val="2"/>
        </w:rPr>
        <w:t xml:space="preserve">em </w:t>
      </w:r>
      <w:r>
        <w:rPr>
          <w:spacing w:val="5"/>
        </w:rPr>
        <w:t xml:space="preserve">laboratório. </w:t>
      </w:r>
      <w:r>
        <w:t xml:space="preserve">Essas bactérias permitem que os dois sulfetos, a calcopirita e a bornita, sejam dissolvidos em solução e purificados para a </w:t>
      </w:r>
      <w:r>
        <w:rPr>
          <w:spacing w:val="10"/>
        </w:rPr>
        <w:t xml:space="preserve">obtenção </w:t>
      </w:r>
      <w:r>
        <w:rPr>
          <w:spacing w:val="5"/>
        </w:rPr>
        <w:t xml:space="preserve">do </w:t>
      </w:r>
      <w:r>
        <w:rPr>
          <w:spacing w:val="10"/>
        </w:rPr>
        <w:t xml:space="preserve">cobre </w:t>
      </w:r>
      <w:r>
        <w:rPr>
          <w:spacing w:val="11"/>
        </w:rPr>
        <w:t>eletrolític</w:t>
      </w:r>
      <w:r>
        <w:rPr>
          <w:spacing w:val="11"/>
        </w:rPr>
        <w:t xml:space="preserve">o. </w:t>
      </w:r>
      <w:r>
        <w:rPr>
          <w:spacing w:val="8"/>
        </w:rPr>
        <w:t xml:space="preserve">Esse </w:t>
      </w:r>
      <w:r>
        <w:rPr>
          <w:spacing w:val="10"/>
        </w:rPr>
        <w:t xml:space="preserve">processo </w:t>
      </w:r>
      <w:r>
        <w:rPr>
          <w:spacing w:val="12"/>
        </w:rPr>
        <w:t xml:space="preserve">teria </w:t>
      </w:r>
      <w:r>
        <w:rPr>
          <w:spacing w:val="1"/>
        </w:rPr>
        <w:t xml:space="preserve">implicações diretas </w:t>
      </w:r>
      <w:r>
        <w:t xml:space="preserve">na </w:t>
      </w:r>
      <w:r>
        <w:rPr>
          <w:spacing w:val="1"/>
        </w:rPr>
        <w:t xml:space="preserve">relação </w:t>
      </w:r>
      <w:r>
        <w:t xml:space="preserve">da </w:t>
      </w:r>
      <w:r>
        <w:rPr>
          <w:spacing w:val="1"/>
        </w:rPr>
        <w:t xml:space="preserve">empresa </w:t>
      </w:r>
      <w:r>
        <w:t xml:space="preserve">com o </w:t>
      </w:r>
      <w:r>
        <w:rPr>
          <w:spacing w:val="1"/>
        </w:rPr>
        <w:t xml:space="preserve">meio, </w:t>
      </w:r>
      <w:r>
        <w:rPr>
          <w:spacing w:val="2"/>
        </w:rPr>
        <w:t xml:space="preserve">já </w:t>
      </w:r>
      <w:r>
        <w:rPr>
          <w:spacing w:val="3"/>
        </w:rPr>
        <w:t xml:space="preserve">que, pelo </w:t>
      </w:r>
      <w:r>
        <w:rPr>
          <w:spacing w:val="5"/>
        </w:rPr>
        <w:t xml:space="preserve">processo biológico </w:t>
      </w:r>
      <w:r>
        <w:rPr>
          <w:spacing w:val="2"/>
        </w:rPr>
        <w:t xml:space="preserve">de </w:t>
      </w:r>
      <w:r>
        <w:rPr>
          <w:spacing w:val="5"/>
        </w:rPr>
        <w:t xml:space="preserve">lixiviação, </w:t>
      </w:r>
      <w:r>
        <w:rPr>
          <w:spacing w:val="3"/>
        </w:rPr>
        <w:t xml:space="preserve">não </w:t>
      </w:r>
      <w:r>
        <w:rPr>
          <w:spacing w:val="2"/>
        </w:rPr>
        <w:t xml:space="preserve">se </w:t>
      </w:r>
      <w:r>
        <w:rPr>
          <w:spacing w:val="5"/>
        </w:rPr>
        <w:t xml:space="preserve">emite </w:t>
      </w:r>
      <w:r>
        <w:rPr>
          <w:spacing w:val="1"/>
        </w:rPr>
        <w:t xml:space="preserve">poluentes tóxicos, </w:t>
      </w:r>
      <w:r>
        <w:t xml:space="preserve">já que a </w:t>
      </w:r>
      <w:r>
        <w:rPr>
          <w:spacing w:val="1"/>
        </w:rPr>
        <w:t xml:space="preserve">decomposição </w:t>
      </w:r>
      <w:r>
        <w:t xml:space="preserve">de </w:t>
      </w:r>
      <w:r>
        <w:rPr>
          <w:spacing w:val="1"/>
        </w:rPr>
        <w:t xml:space="preserve">sulfetos </w:t>
      </w:r>
      <w:r>
        <w:rPr>
          <w:spacing w:val="2"/>
        </w:rPr>
        <w:t xml:space="preserve">com </w:t>
      </w:r>
      <w:r>
        <w:t xml:space="preserve">metais pesados não requer altas temperaturas. (ROMERO, </w:t>
      </w:r>
      <w:r>
        <w:rPr>
          <w:spacing w:val="1"/>
        </w:rPr>
        <w:t>2007).</w:t>
      </w:r>
    </w:p>
    <w:p w:rsidR="00D81F69" w:rsidRDefault="00330118">
      <w:pPr>
        <w:pStyle w:val="Corpodetexto"/>
        <w:spacing w:before="142" w:line="312" w:lineRule="auto"/>
        <w:ind w:right="60"/>
      </w:pPr>
      <w:r>
        <w:t>A despeito de seu investimento em tecnologia ecológica, dos métodos de redução na emissão de metais pesados, e das efetivas iniciativas de redução dos impactos ambientais, a Mineração Caraíba tem contra si um histórico de impactos ambientais (ICAD, 2010).</w:t>
      </w:r>
    </w:p>
    <w:p w:rsidR="00D81F69" w:rsidRDefault="00330118">
      <w:pPr>
        <w:pStyle w:val="Corpodetexto"/>
        <w:spacing w:before="135" w:line="312" w:lineRule="auto"/>
        <w:ind w:right="61"/>
      </w:pPr>
      <w:r>
        <w:t>Em 2007, a empresa recebeu uma denúncia-crime, movida pela Federação das Associações e Entidades para o</w:t>
      </w:r>
    </w:p>
    <w:p w:rsidR="00D81F69" w:rsidRDefault="00330118">
      <w:pPr>
        <w:pStyle w:val="Corpodetexto"/>
        <w:spacing w:before="81" w:line="312" w:lineRule="auto"/>
        <w:ind w:right="196"/>
      </w:pPr>
      <w:r>
        <w:br w:type="column"/>
      </w:r>
      <w:r>
        <w:lastRenderedPageBreak/>
        <w:t>Desenvolvimento do Semiárido (Faesa), por queixa das comunidades que vivem na região de Pilar, distrito do município de Jaguararí, (a 400 km de Salvado</w:t>
      </w:r>
      <w:r>
        <w:t>r, na região norte). De acordo com o documento enviado ao Ministério Público, a mineradora estaria poluindo e causando desequilíbrio ambiental em riachos, rios e nas áreas de Caatinga. O rejeito do cobre seria jogado em barragens de despejo numa área de 50</w:t>
      </w:r>
      <w:r>
        <w:t>0 hectares e, quando as barragens transbordam, toda a borra de cobre escorreria para os riachos Santa Fé e Sulapa, que desaguam no Açude de Pinhões. No local, haveria vaqueiros, criação de caprinos, ovinos e bovinos, além de pescadores e caçadores, que con</w:t>
      </w:r>
      <w:r>
        <w:t>somem a água que recebe os rejeitos de cobre. A empresa, na ocasião, admitiu erro numa manobra, mas garantiu que providências haviam sido tomadas, inclusive no controle do pH da água (LAURA, 2007).</w:t>
      </w:r>
    </w:p>
    <w:p w:rsidR="00D81F69" w:rsidRDefault="00330118">
      <w:pPr>
        <w:pStyle w:val="Corpodetexto"/>
        <w:spacing w:before="145" w:line="312" w:lineRule="auto"/>
        <w:ind w:right="188"/>
      </w:pPr>
      <w:r>
        <w:t xml:space="preserve">O documento mencionava contaminação da Caatinga por ácido </w:t>
      </w:r>
      <w:r>
        <w:t>sulfúrico, rejeito de cobre e por emissões de pó, provocada pela bacia de rejeitos da Mineração Caraíba, e da situação do riacho Sulapa, transformado, segundo a mesma denúncia, em esgoto industrial da empresa (ICAD, 2009). Em sua defesa, a empresa divulgou</w:t>
      </w:r>
      <w:r>
        <w:t xml:space="preserve"> um estudo técnico feito pelo laboratório Cetrel – um dos mais conceituados do país na área ambiental —, que constatou a não reatividade do material vazado (BRITO, 2011).</w:t>
      </w:r>
    </w:p>
    <w:p w:rsidR="00D81F69" w:rsidRDefault="00330118">
      <w:pPr>
        <w:pStyle w:val="Corpodetexto"/>
        <w:spacing w:before="138" w:line="312" w:lineRule="auto"/>
        <w:ind w:right="203"/>
      </w:pPr>
      <w:r>
        <w:t>Nesse mesmo ano (2007), uma comissão de deputados estaduais, de representantes da Ass</w:t>
      </w:r>
      <w:r>
        <w:t>embleia Legislativa do estado da Bahia e da Comissão do Meio Ambiente comprovou a degradação ambiental de toda a área, o que levava à necessidade de uso de máscara, devido ao alto grau de poluição do ar. Apesar disso, houve o arquivamento do processo de de</w:t>
      </w:r>
      <w:r>
        <w:t>gradação contra a empresa (ICAD, 2009).</w:t>
      </w:r>
    </w:p>
    <w:p w:rsidR="00D81F69" w:rsidRDefault="00330118">
      <w:pPr>
        <w:pStyle w:val="Corpodetexto"/>
        <w:spacing w:before="136" w:line="312" w:lineRule="auto"/>
        <w:ind w:right="187"/>
      </w:pPr>
      <w:r>
        <w:t>Em 2009, moradores do entorno da Mineração Caraíba, numa área de Caatinga, revoltaram-se por causa da derrubada de uma centena de árvores nobres, sob justificativa de ampliar uma antiga estrada. A região fica na área</w:t>
      </w:r>
      <w:r>
        <w:t xml:space="preserve"> de reserva da empresa, e o desmatamento teria sido feito com o objetivo de alargar uma estrada, atingindo uma região de reserva legal da própria Caraíba. Ironicamente, a área era utilizada pela empresa para fazer propaganda sobre sua ação cidadã e ecologi</w:t>
      </w:r>
      <w:r>
        <w:t>camente correta. A população afetada, habitante dos fundos dos pastos da região, questionou os órgãos de controle ambiental se o desmatamento teria sido feito com licença ambiental. Pela dimensão da devastação, suspeitava- se que a área seria destinada a u</w:t>
      </w:r>
      <w:r>
        <w:t>ma pista de pouso. Segundo eles, o desmatamento e a ampliação da pista seriam desnecessários, já que, no tamanho original, a estrada parecia satisfazer o tráfego local (ICAD, 2010).</w:t>
      </w:r>
    </w:p>
    <w:p w:rsidR="00D81F69" w:rsidRDefault="00330118">
      <w:pPr>
        <w:pStyle w:val="Corpodetexto"/>
        <w:spacing w:before="82" w:line="270" w:lineRule="atLeast"/>
        <w:ind w:right="192"/>
      </w:pPr>
      <w:r>
        <w:t xml:space="preserve">Em </w:t>
      </w:r>
      <w:r>
        <w:rPr>
          <w:spacing w:val="1"/>
        </w:rPr>
        <w:t xml:space="preserve">2010, </w:t>
      </w:r>
      <w:r>
        <w:t xml:space="preserve">a </w:t>
      </w:r>
      <w:r>
        <w:rPr>
          <w:spacing w:val="1"/>
        </w:rPr>
        <w:t xml:space="preserve">empresa causou </w:t>
      </w:r>
      <w:r>
        <w:t xml:space="preserve">um </w:t>
      </w:r>
      <w:r>
        <w:rPr>
          <w:spacing w:val="1"/>
        </w:rPr>
        <w:t xml:space="preserve">impacto ambiental </w:t>
      </w:r>
      <w:r>
        <w:rPr>
          <w:spacing w:val="2"/>
        </w:rPr>
        <w:t xml:space="preserve">grave, </w:t>
      </w:r>
      <w:r>
        <w:t>quando os rejeitos d</w:t>
      </w:r>
      <w:r>
        <w:t xml:space="preserve">e cobre invadiram novamente a Caatinga e </w:t>
      </w:r>
      <w:r>
        <w:rPr>
          <w:spacing w:val="7"/>
        </w:rPr>
        <w:t xml:space="preserve">também pastos </w:t>
      </w:r>
      <w:r>
        <w:rPr>
          <w:spacing w:val="5"/>
        </w:rPr>
        <w:t xml:space="preserve">de </w:t>
      </w:r>
      <w:r>
        <w:rPr>
          <w:spacing w:val="7"/>
        </w:rPr>
        <w:t xml:space="preserve">caprinos </w:t>
      </w:r>
      <w:r>
        <w:t xml:space="preserve">e </w:t>
      </w:r>
      <w:r>
        <w:rPr>
          <w:spacing w:val="8"/>
        </w:rPr>
        <w:t xml:space="preserve">vinicultores </w:t>
      </w:r>
      <w:r>
        <w:rPr>
          <w:spacing w:val="5"/>
        </w:rPr>
        <w:t xml:space="preserve">da </w:t>
      </w:r>
      <w:r>
        <w:rPr>
          <w:spacing w:val="10"/>
        </w:rPr>
        <w:t xml:space="preserve">região </w:t>
      </w:r>
      <w:r>
        <w:t xml:space="preserve">(SANTANA, 2010). O vazamento teria ocorrido devido a uma chuva forte, que fez transbordar uma bacia de contenção de </w:t>
      </w:r>
      <w:r>
        <w:rPr>
          <w:spacing w:val="1"/>
        </w:rPr>
        <w:t xml:space="preserve">rejeitos </w:t>
      </w:r>
      <w:r>
        <w:t xml:space="preserve">de </w:t>
      </w:r>
      <w:r>
        <w:rPr>
          <w:spacing w:val="1"/>
        </w:rPr>
        <w:t xml:space="preserve">cobre. </w:t>
      </w:r>
      <w:r>
        <w:t xml:space="preserve">Os </w:t>
      </w:r>
      <w:r>
        <w:rPr>
          <w:spacing w:val="1"/>
        </w:rPr>
        <w:t xml:space="preserve">efluentes </w:t>
      </w:r>
      <w:r>
        <w:t xml:space="preserve">do </w:t>
      </w:r>
      <w:r>
        <w:rPr>
          <w:spacing w:val="1"/>
        </w:rPr>
        <w:t>tratamento in</w:t>
      </w:r>
      <w:r>
        <w:rPr>
          <w:spacing w:val="1"/>
        </w:rPr>
        <w:t xml:space="preserve">dustrial </w:t>
      </w:r>
      <w:r>
        <w:rPr>
          <w:spacing w:val="2"/>
        </w:rPr>
        <w:t xml:space="preserve">da </w:t>
      </w:r>
      <w:r>
        <w:rPr>
          <w:spacing w:val="3"/>
        </w:rPr>
        <w:t>empresa</w:t>
      </w:r>
      <w:r>
        <w:rPr>
          <w:spacing w:val="27"/>
        </w:rPr>
        <w:t xml:space="preserve"> </w:t>
      </w:r>
      <w:r>
        <w:rPr>
          <w:spacing w:val="3"/>
        </w:rPr>
        <w:t>ficam</w:t>
      </w:r>
      <w:r>
        <w:rPr>
          <w:spacing w:val="27"/>
        </w:rPr>
        <w:t xml:space="preserve"> </w:t>
      </w:r>
      <w:r>
        <w:rPr>
          <w:spacing w:val="3"/>
        </w:rPr>
        <w:t>reservados</w:t>
      </w:r>
      <w:r>
        <w:rPr>
          <w:spacing w:val="27"/>
        </w:rPr>
        <w:t xml:space="preserve"> </w:t>
      </w:r>
      <w:r>
        <w:rPr>
          <w:spacing w:val="2"/>
        </w:rPr>
        <w:t>numa</w:t>
      </w:r>
      <w:r>
        <w:rPr>
          <w:spacing w:val="27"/>
        </w:rPr>
        <w:t xml:space="preserve"> </w:t>
      </w:r>
      <w:r>
        <w:rPr>
          <w:spacing w:val="2"/>
        </w:rPr>
        <w:t>área</w:t>
      </w:r>
      <w:r>
        <w:rPr>
          <w:spacing w:val="27"/>
        </w:rPr>
        <w:t xml:space="preserve"> </w:t>
      </w:r>
      <w:r>
        <w:rPr>
          <w:spacing w:val="1"/>
        </w:rPr>
        <w:t>de</w:t>
      </w:r>
      <w:r>
        <w:rPr>
          <w:spacing w:val="27"/>
        </w:rPr>
        <w:t xml:space="preserve"> </w:t>
      </w:r>
      <w:r>
        <w:rPr>
          <w:spacing w:val="2"/>
        </w:rPr>
        <w:t>653</w:t>
      </w:r>
      <w:r>
        <w:rPr>
          <w:spacing w:val="27"/>
        </w:rPr>
        <w:t xml:space="preserve"> </w:t>
      </w:r>
      <w:r>
        <w:rPr>
          <w:spacing w:val="3"/>
        </w:rPr>
        <w:t>hectares,</w:t>
      </w:r>
      <w:r>
        <w:rPr>
          <w:spacing w:val="27"/>
        </w:rPr>
        <w:t xml:space="preserve"> </w:t>
      </w:r>
      <w:r>
        <w:t>e</w:t>
      </w:r>
    </w:p>
    <w:p w:rsidR="00D81F69" w:rsidRDefault="00D81F69">
      <w:pPr>
        <w:spacing w:line="270" w:lineRule="atLeast"/>
        <w:sectPr w:rsidR="00D81F69">
          <w:pgSz w:w="11900" w:h="16840"/>
          <w:pgMar w:top="740" w:right="500" w:bottom="620" w:left="620" w:header="0" w:footer="402" w:gutter="0"/>
          <w:cols w:num="2" w:space="720" w:equalWidth="0">
            <w:col w:w="5158" w:space="312"/>
            <w:col w:w="5310"/>
          </w:cols>
        </w:sectPr>
      </w:pPr>
    </w:p>
    <w:p w:rsidR="00D81F69" w:rsidRDefault="00330118">
      <w:pPr>
        <w:pStyle w:val="Corpodetexto"/>
        <w:spacing w:before="81" w:line="312" w:lineRule="auto"/>
        <w:ind w:right="79"/>
      </w:pPr>
      <w:r>
        <w:lastRenderedPageBreak/>
        <w:t>teriam sido levados pelas águas das chuvas, contaminando áreas de fundos dos pastos, onde os caprinovinocultores e agricultores de Jaguarari, Uauá, Juazeiro e Cu</w:t>
      </w:r>
      <w:r>
        <w:t>ruçá criam seus rebanhos de subsistência. Parece ter havido um segundo vazamento na planta de oxidado de cobre, liberando um líquido de cor verde por uma via pública onde passam pessoas e animais. Segundo os moradores, aquele ano era o terceiro ano consecu</w:t>
      </w:r>
      <w:r>
        <w:t>tivo em que ocorriam vazamentos de ácido sulfúrico na região de Caatinga (ICAD, 2009).</w:t>
      </w:r>
    </w:p>
    <w:p w:rsidR="00D81F69" w:rsidRDefault="00330118">
      <w:pPr>
        <w:pStyle w:val="Corpodetexto"/>
        <w:spacing w:before="138" w:line="312" w:lineRule="auto"/>
        <w:ind w:right="79"/>
      </w:pPr>
      <w:r>
        <w:t>Houve relato também de que teria havido manipulação por parte da Mineração Caraíba, a qual teria recolhido e enterrado peixes mortos, passado máquinas nos solos contamin</w:t>
      </w:r>
      <w:r>
        <w:t xml:space="preserve">ados pelos efluentes, com o objetivo de alterar o cenário da degradação ambiental. O relato fala de 30 anos de destruição e de danos por parte da empresa à região de Fundo de Pastos e aos riachos intermitentes da região, em particular ao açude de Pinhões, </w:t>
      </w:r>
      <w:r>
        <w:t>e menciona o descaso dos órgãos competentes e das autoridades públicas com relação ao fato (ICAD, 2009).</w:t>
      </w:r>
    </w:p>
    <w:p w:rsidR="00D81F69" w:rsidRDefault="00330118">
      <w:pPr>
        <w:pStyle w:val="Corpodetexto"/>
        <w:spacing w:before="139" w:line="312" w:lineRule="auto"/>
        <w:ind w:right="68"/>
      </w:pPr>
      <w:r>
        <w:t>Em 2011, no distrito de Pinhões, localizado a 72 km de Juazeiro, também houve relatos de problemas ambientais envolvendo a Mineradora Caraíba. O distri</w:t>
      </w:r>
      <w:r>
        <w:t>to, que vive da agricultura, e cuja população é formada por produtores rurais, vem sofrendo com a retirada de grande volume de água do “Açude de Pinhões”. A água, que originalmente servia para criar animais e regar plantações, vem sendo utilizada pela empr</w:t>
      </w:r>
      <w:r>
        <w:t>esa como forma de impedir a disseminação da poeira proveniente da mineração. Um produtor local dizia-se prejudicado, juntamente com cerca de 100 famílias: a ação dos carros pipa teria impedido que a água chegasse às fazendas locais, matando plantações e de</w:t>
      </w:r>
      <w:r>
        <w:t>zenas de animais (FERREIRA, 2011).</w:t>
      </w:r>
    </w:p>
    <w:p w:rsidR="00D81F69" w:rsidRDefault="00D81F69">
      <w:pPr>
        <w:pStyle w:val="Corpodetexto"/>
        <w:ind w:left="0"/>
        <w:jc w:val="left"/>
        <w:rPr>
          <w:sz w:val="22"/>
        </w:rPr>
      </w:pPr>
    </w:p>
    <w:p w:rsidR="00D81F69" w:rsidRDefault="00330118">
      <w:pPr>
        <w:pStyle w:val="Heading7"/>
        <w:spacing w:before="1"/>
      </w:pPr>
      <w:r>
        <w:t>LOCALIZAÇÃO GEOGRÁFICA</w:t>
      </w:r>
    </w:p>
    <w:p w:rsidR="00D81F69" w:rsidRDefault="00330118">
      <w:pPr>
        <w:pStyle w:val="Corpodetexto"/>
        <w:spacing w:before="178" w:line="312" w:lineRule="auto"/>
        <w:ind w:right="88"/>
      </w:pPr>
      <w:r>
        <w:t>O município de Jaguari está localizado na latitude 10°14’37”S e longitude 40°11’04”W.</w:t>
      </w:r>
    </w:p>
    <w:p w:rsidR="00D81F69" w:rsidRDefault="00D81F69">
      <w:pPr>
        <w:pStyle w:val="Corpodetexto"/>
        <w:ind w:left="0"/>
        <w:jc w:val="left"/>
        <w:rPr>
          <w:sz w:val="29"/>
        </w:rPr>
      </w:pPr>
    </w:p>
    <w:p w:rsidR="00D81F69" w:rsidRDefault="00330118">
      <w:pPr>
        <w:pStyle w:val="Heading7"/>
      </w:pPr>
      <w:r>
        <w:t>REDATORES</w:t>
      </w:r>
    </w:p>
    <w:p w:rsidR="00D81F69" w:rsidRDefault="00330118">
      <w:pPr>
        <w:pStyle w:val="Corpodetexto"/>
        <w:spacing w:before="179"/>
      </w:pPr>
      <w:r>
        <w:t>Pedro Schprejer</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38"/>
        <w:jc w:val="both"/>
        <w:rPr>
          <w:sz w:val="16"/>
        </w:rPr>
      </w:pPr>
      <w:r>
        <w:rPr>
          <w:spacing w:val="3"/>
          <w:sz w:val="16"/>
        </w:rPr>
        <w:t xml:space="preserve">ALMÉRI, Nairo. Caraíba </w:t>
      </w:r>
      <w:r>
        <w:rPr>
          <w:spacing w:val="2"/>
          <w:sz w:val="16"/>
        </w:rPr>
        <w:t xml:space="preserve">usa </w:t>
      </w:r>
      <w:r>
        <w:rPr>
          <w:spacing w:val="3"/>
          <w:sz w:val="16"/>
        </w:rPr>
        <w:t xml:space="preserve">lixiviação </w:t>
      </w:r>
      <w:r>
        <w:rPr>
          <w:spacing w:val="2"/>
          <w:sz w:val="16"/>
        </w:rPr>
        <w:t xml:space="preserve">para </w:t>
      </w:r>
      <w:r>
        <w:rPr>
          <w:spacing w:val="3"/>
          <w:sz w:val="16"/>
        </w:rPr>
        <w:t xml:space="preserve">extrair </w:t>
      </w:r>
      <w:r>
        <w:rPr>
          <w:spacing w:val="2"/>
          <w:sz w:val="16"/>
        </w:rPr>
        <w:t xml:space="preserve">mais </w:t>
      </w:r>
      <w:r>
        <w:rPr>
          <w:spacing w:val="5"/>
          <w:sz w:val="16"/>
        </w:rPr>
        <w:t xml:space="preserve">cobre. </w:t>
      </w:r>
      <w:r>
        <w:rPr>
          <w:spacing w:val="26"/>
          <w:sz w:val="16"/>
        </w:rPr>
        <w:t xml:space="preserve">Negócios </w:t>
      </w:r>
      <w:r>
        <w:rPr>
          <w:spacing w:val="23"/>
          <w:sz w:val="16"/>
        </w:rPr>
        <w:t xml:space="preserve">S.A., </w:t>
      </w:r>
      <w:r>
        <w:rPr>
          <w:spacing w:val="15"/>
          <w:sz w:val="16"/>
        </w:rPr>
        <w:t xml:space="preserve">03 </w:t>
      </w:r>
      <w:r>
        <w:rPr>
          <w:spacing w:val="22"/>
          <w:sz w:val="16"/>
        </w:rPr>
        <w:t xml:space="preserve">out. </w:t>
      </w:r>
      <w:r>
        <w:rPr>
          <w:spacing w:val="23"/>
          <w:sz w:val="16"/>
        </w:rPr>
        <w:t xml:space="preserve">2009. </w:t>
      </w:r>
      <w:r>
        <w:rPr>
          <w:spacing w:val="26"/>
          <w:sz w:val="16"/>
        </w:rPr>
        <w:t>Disponível</w:t>
      </w:r>
      <w:r>
        <w:rPr>
          <w:spacing w:val="90"/>
          <w:sz w:val="16"/>
        </w:rPr>
        <w:t xml:space="preserve"> </w:t>
      </w:r>
      <w:r>
        <w:rPr>
          <w:spacing w:val="20"/>
          <w:sz w:val="16"/>
        </w:rPr>
        <w:t>em:</w:t>
      </w:r>
      <w:r>
        <w:rPr>
          <w:spacing w:val="-12"/>
          <w:sz w:val="16"/>
        </w:rPr>
        <w:t xml:space="preserve"> </w:t>
      </w:r>
    </w:p>
    <w:p w:rsidR="00D81F69" w:rsidRDefault="00D81F69">
      <w:pPr>
        <w:spacing w:before="1" w:line="312" w:lineRule="auto"/>
        <w:ind w:left="100" w:right="56"/>
        <w:jc w:val="both"/>
        <w:rPr>
          <w:sz w:val="16"/>
        </w:rPr>
      </w:pPr>
      <w:hyperlink r:id="rId609">
        <w:r w:rsidR="00330118">
          <w:rPr>
            <w:sz w:val="16"/>
          </w:rPr>
          <w:t xml:space="preserve">&lt;http://www.hojeemdia.com.br/colunas-artigos-e- </w:t>
        </w:r>
      </w:hyperlink>
      <w:r w:rsidR="00330118">
        <w:rPr>
          <w:sz w:val="16"/>
        </w:rPr>
        <w:t>blogs/diarios/negocios-s-a-1.11090/caraiba-usa-lixiviac-o-para-extrair- mais-cobre-1.20128&gt;.</w:t>
      </w:r>
      <w:r w:rsidR="00330118">
        <w:rPr>
          <w:sz w:val="16"/>
        </w:rPr>
        <w:t xml:space="preserve"> Acesso em: 28 dez. 2011.</w:t>
      </w:r>
    </w:p>
    <w:p w:rsidR="00D81F69" w:rsidRDefault="00330118">
      <w:pPr>
        <w:spacing w:before="3" w:line="312" w:lineRule="auto"/>
        <w:ind w:left="100" w:right="66"/>
        <w:jc w:val="both"/>
        <w:rPr>
          <w:sz w:val="16"/>
        </w:rPr>
      </w:pPr>
      <w:r>
        <w:rPr>
          <w:sz w:val="16"/>
        </w:rPr>
        <w:t xml:space="preserve">BRITO, Carlos. Presidente da Mineração Caraíba garante que vazamento em barragem não ameaça meio ambiente. In: Blog do Carlos Brito. Petrolina, 22 jan. 2011. Disponível </w:t>
      </w:r>
      <w:hyperlink r:id="rId610">
        <w:r>
          <w:rPr>
            <w:sz w:val="16"/>
          </w:rPr>
          <w:t>em:&lt;http://www.carlosbritto.com/presidente-da-mineracao-caraiba-</w:t>
        </w:r>
      </w:hyperlink>
      <w:r>
        <w:rPr>
          <w:sz w:val="16"/>
        </w:rPr>
        <w:t xml:space="preserve"> garante-que-vazamento-em-barragem-nao-ameaca-meio-ambiente/&gt;. Acesso em: 28 dez. 2011.</w:t>
      </w:r>
    </w:p>
    <w:p w:rsidR="00D81F69" w:rsidRDefault="00330118">
      <w:pPr>
        <w:spacing w:before="70" w:line="312" w:lineRule="auto"/>
        <w:ind w:left="100" w:right="155"/>
        <w:jc w:val="both"/>
        <w:rPr>
          <w:sz w:val="16"/>
        </w:rPr>
      </w:pPr>
      <w:r>
        <w:br w:type="column"/>
      </w:r>
      <w:r>
        <w:rPr>
          <w:spacing w:val="3"/>
          <w:sz w:val="16"/>
        </w:rPr>
        <w:lastRenderedPageBreak/>
        <w:t xml:space="preserve">FARIAS. </w:t>
      </w:r>
      <w:r>
        <w:rPr>
          <w:spacing w:val="2"/>
          <w:sz w:val="16"/>
        </w:rPr>
        <w:t xml:space="preserve">José  </w:t>
      </w:r>
      <w:r>
        <w:rPr>
          <w:spacing w:val="3"/>
          <w:sz w:val="16"/>
        </w:rPr>
        <w:t xml:space="preserve">Osael Gonçalves </w:t>
      </w:r>
      <w:r>
        <w:rPr>
          <w:spacing w:val="2"/>
          <w:sz w:val="16"/>
        </w:rPr>
        <w:t xml:space="preserve">de.  </w:t>
      </w:r>
      <w:r>
        <w:rPr>
          <w:spacing w:val="3"/>
          <w:sz w:val="16"/>
        </w:rPr>
        <w:t xml:space="preserve">Minério </w:t>
      </w:r>
      <w:r>
        <w:rPr>
          <w:spacing w:val="1"/>
          <w:sz w:val="16"/>
        </w:rPr>
        <w:t xml:space="preserve">de  </w:t>
      </w:r>
      <w:r>
        <w:rPr>
          <w:spacing w:val="3"/>
          <w:sz w:val="16"/>
        </w:rPr>
        <w:t xml:space="preserve">cobre. </w:t>
      </w:r>
      <w:r>
        <w:rPr>
          <w:spacing w:val="5"/>
          <w:sz w:val="16"/>
        </w:rPr>
        <w:t xml:space="preserve">Relatório   </w:t>
      </w:r>
      <w:r>
        <w:rPr>
          <w:sz w:val="16"/>
        </w:rPr>
        <w:t>t é c n i c o      2</w:t>
      </w:r>
      <w:r>
        <w:rPr>
          <w:sz w:val="16"/>
        </w:rPr>
        <w:t xml:space="preserve"> 3 .      A g o .      2 0 0 9 .      D i s p o n í v e l      e m</w:t>
      </w:r>
      <w:r>
        <w:rPr>
          <w:spacing w:val="36"/>
          <w:sz w:val="16"/>
        </w:rPr>
        <w:t xml:space="preserve"> </w:t>
      </w:r>
      <w:r>
        <w:rPr>
          <w:sz w:val="16"/>
        </w:rPr>
        <w:t>:</w:t>
      </w:r>
      <w:r>
        <w:rPr>
          <w:spacing w:val="2"/>
          <w:sz w:val="16"/>
        </w:rPr>
        <w:t xml:space="preserve"> </w:t>
      </w:r>
    </w:p>
    <w:p w:rsidR="00D81F69" w:rsidRDefault="00D81F69">
      <w:pPr>
        <w:spacing w:before="1"/>
        <w:ind w:left="100"/>
        <w:jc w:val="both"/>
        <w:rPr>
          <w:sz w:val="16"/>
        </w:rPr>
      </w:pPr>
      <w:hyperlink r:id="rId611">
        <w:r w:rsidR="00330118">
          <w:rPr>
            <w:sz w:val="16"/>
          </w:rPr>
          <w:t>&lt;http://www.mme.gov.br/sgm/galerias/arquivos/plano_duo_decenal/a</w:t>
        </w:r>
      </w:hyperlink>
    </w:p>
    <w:p w:rsidR="00D81F69" w:rsidRDefault="00330118">
      <w:pPr>
        <w:spacing w:before="56"/>
        <w:ind w:left="100"/>
        <w:jc w:val="both"/>
        <w:rPr>
          <w:sz w:val="16"/>
        </w:rPr>
      </w:pPr>
      <w:r>
        <w:rPr>
          <w:sz w:val="16"/>
        </w:rPr>
        <w:t>_mineracao_brasileira/P14_RT23_Perfil_da</w:t>
      </w:r>
      <w:r>
        <w:rPr>
          <w:sz w:val="16"/>
        </w:rPr>
        <w:t>_Mineraxo_de_Cobre.pdf</w:t>
      </w:r>
    </w:p>
    <w:p w:rsidR="00D81F69" w:rsidRDefault="00330118">
      <w:pPr>
        <w:spacing w:before="56"/>
        <w:ind w:left="100"/>
        <w:jc w:val="both"/>
        <w:rPr>
          <w:sz w:val="16"/>
        </w:rPr>
      </w:pPr>
      <w:r>
        <w:rPr>
          <w:sz w:val="16"/>
        </w:rPr>
        <w:t>&gt;. Acesso em: 28 dez. 2011.</w:t>
      </w:r>
    </w:p>
    <w:p w:rsidR="00D81F69" w:rsidRDefault="00330118">
      <w:pPr>
        <w:tabs>
          <w:tab w:val="left" w:pos="1198"/>
          <w:tab w:val="left" w:pos="2495"/>
          <w:tab w:val="left" w:pos="4639"/>
        </w:tabs>
        <w:spacing w:before="56" w:line="312" w:lineRule="auto"/>
        <w:ind w:left="100" w:right="201"/>
        <w:jc w:val="both"/>
        <w:rPr>
          <w:sz w:val="16"/>
        </w:rPr>
      </w:pPr>
      <w:r>
        <w:rPr>
          <w:spacing w:val="1"/>
          <w:sz w:val="16"/>
        </w:rPr>
        <w:t xml:space="preserve">FERREIRA, Kelly. Produtores </w:t>
      </w:r>
      <w:r>
        <w:rPr>
          <w:sz w:val="16"/>
        </w:rPr>
        <w:t xml:space="preserve">do </w:t>
      </w:r>
      <w:r>
        <w:rPr>
          <w:spacing w:val="1"/>
          <w:sz w:val="16"/>
        </w:rPr>
        <w:t xml:space="preserve">Distrito </w:t>
      </w:r>
      <w:r>
        <w:rPr>
          <w:sz w:val="16"/>
        </w:rPr>
        <w:t xml:space="preserve">de </w:t>
      </w:r>
      <w:r>
        <w:rPr>
          <w:spacing w:val="1"/>
          <w:sz w:val="16"/>
        </w:rPr>
        <w:t xml:space="preserve">Pinhões afirmam </w:t>
      </w:r>
      <w:r>
        <w:rPr>
          <w:spacing w:val="2"/>
          <w:sz w:val="16"/>
        </w:rPr>
        <w:t xml:space="preserve">ser </w:t>
      </w:r>
      <w:r>
        <w:rPr>
          <w:sz w:val="16"/>
        </w:rPr>
        <w:t xml:space="preserve">prejudicados pela Mineração Caraíba. In: Diário da região. Juazeiro, 2 d  e </w:t>
      </w:r>
      <w:r>
        <w:rPr>
          <w:spacing w:val="20"/>
          <w:sz w:val="16"/>
        </w:rPr>
        <w:t xml:space="preserve"> </w:t>
      </w:r>
      <w:r>
        <w:rPr>
          <w:sz w:val="16"/>
        </w:rPr>
        <w:t xml:space="preserve">z </w:t>
      </w:r>
      <w:r>
        <w:rPr>
          <w:spacing w:val="10"/>
          <w:sz w:val="16"/>
        </w:rPr>
        <w:t xml:space="preserve"> </w:t>
      </w:r>
      <w:r>
        <w:rPr>
          <w:sz w:val="16"/>
        </w:rPr>
        <w:t>.</w:t>
      </w:r>
      <w:r>
        <w:rPr>
          <w:sz w:val="16"/>
        </w:rPr>
        <w:tab/>
        <w:t xml:space="preserve">2  0  1 </w:t>
      </w:r>
      <w:r>
        <w:rPr>
          <w:spacing w:val="31"/>
          <w:sz w:val="16"/>
        </w:rPr>
        <w:t xml:space="preserve"> </w:t>
      </w:r>
      <w:r>
        <w:rPr>
          <w:sz w:val="16"/>
        </w:rPr>
        <w:t xml:space="preserve">1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line="312" w:lineRule="auto"/>
        <w:ind w:left="100" w:right="214"/>
        <w:jc w:val="both"/>
        <w:rPr>
          <w:sz w:val="16"/>
        </w:rPr>
      </w:pPr>
      <w:hyperlink r:id="rId612">
        <w:r w:rsidR="00330118">
          <w:rPr>
            <w:sz w:val="16"/>
          </w:rPr>
          <w:t>&lt;http://www.odiariodaregiao.com/produtores-do-distrito-de-pinhoes-</w:t>
        </w:r>
      </w:hyperlink>
      <w:r w:rsidR="00330118">
        <w:rPr>
          <w:sz w:val="16"/>
        </w:rPr>
        <w:t xml:space="preserve"> afirmam-ser-prejudicados-pela-mineracao-caraiba/&gt;. Acesso em: 28 dez. 2011.</w:t>
      </w:r>
    </w:p>
    <w:p w:rsidR="00D81F69" w:rsidRDefault="00330118">
      <w:pPr>
        <w:spacing w:before="2" w:line="312" w:lineRule="auto"/>
        <w:ind w:left="100" w:right="185"/>
        <w:jc w:val="both"/>
        <w:rPr>
          <w:sz w:val="16"/>
        </w:rPr>
      </w:pPr>
      <w:r>
        <w:rPr>
          <w:sz w:val="16"/>
        </w:rPr>
        <w:t xml:space="preserve">FILHO, Hugo Ribeiro de Andrade. </w:t>
      </w:r>
      <w:r>
        <w:rPr>
          <w:sz w:val="16"/>
        </w:rPr>
        <w:t>Aumento da Recuperação de lavra na mineração Caraíba S/A Jaguari-Bahia. Disponível em:</w:t>
      </w:r>
    </w:p>
    <w:p w:rsidR="00D81F69" w:rsidRDefault="00D81F69">
      <w:pPr>
        <w:spacing w:before="2" w:line="312" w:lineRule="auto"/>
        <w:ind w:left="100" w:right="217"/>
        <w:jc w:val="both"/>
        <w:rPr>
          <w:sz w:val="16"/>
        </w:rPr>
      </w:pPr>
      <w:hyperlink r:id="rId613">
        <w:r w:rsidR="00330118">
          <w:rPr>
            <w:sz w:val="16"/>
          </w:rPr>
          <w:t xml:space="preserve">&lt;http://www.brasilminingsite.com.br/anexos/artigos/16_0.pdf&gt;. </w:t>
        </w:r>
      </w:hyperlink>
      <w:r w:rsidR="00330118">
        <w:rPr>
          <w:sz w:val="16"/>
        </w:rPr>
        <w:t>Acesso em: 28 dez. 2011.</w:t>
      </w:r>
    </w:p>
    <w:p w:rsidR="00D81F69" w:rsidRDefault="00330118">
      <w:pPr>
        <w:spacing w:before="2" w:line="312" w:lineRule="auto"/>
        <w:ind w:left="100" w:right="156"/>
        <w:jc w:val="both"/>
        <w:rPr>
          <w:sz w:val="16"/>
        </w:rPr>
      </w:pPr>
      <w:r>
        <w:rPr>
          <w:sz w:val="16"/>
        </w:rPr>
        <w:t xml:space="preserve">IBGE, </w:t>
      </w:r>
      <w:r>
        <w:rPr>
          <w:sz w:val="16"/>
        </w:rPr>
        <w:t>Instituto Brasileiro de Geografia e Estatística. Jaguararí (BA).     I n : I B G E C i d a d e s 2 0 1 0 . D i s p o n í v e l</w:t>
      </w:r>
      <w:r>
        <w:rPr>
          <w:spacing w:val="28"/>
          <w:sz w:val="16"/>
        </w:rPr>
        <w:t xml:space="preserve"> </w:t>
      </w:r>
      <w:r>
        <w:rPr>
          <w:sz w:val="16"/>
        </w:rPr>
        <w:t>e m :</w:t>
      </w:r>
      <w:r>
        <w:rPr>
          <w:sz w:val="16"/>
        </w:rPr>
        <w:t xml:space="preserve"> </w:t>
      </w:r>
    </w:p>
    <w:p w:rsidR="00D81F69" w:rsidRDefault="00D81F69">
      <w:pPr>
        <w:spacing w:before="1" w:line="312" w:lineRule="auto"/>
        <w:ind w:left="100" w:right="216"/>
        <w:jc w:val="both"/>
        <w:rPr>
          <w:sz w:val="16"/>
        </w:rPr>
      </w:pPr>
      <w:hyperlink r:id="rId614">
        <w:r w:rsidR="00330118">
          <w:rPr>
            <w:sz w:val="16"/>
          </w:rPr>
          <w:t>&lt;http://www.ibge.gov.br/cidadesat/x</w:t>
        </w:r>
        <w:r w:rsidR="00330118">
          <w:rPr>
            <w:sz w:val="16"/>
          </w:rPr>
          <w:t>tras/perfil.php?r=2&amp;codmun=2917</w:t>
        </w:r>
      </w:hyperlink>
      <w:r w:rsidR="00330118">
        <w:rPr>
          <w:sz w:val="16"/>
        </w:rPr>
        <w:t xml:space="preserve"> 70&gt;. Acesso em: 28 dez. 2011.</w:t>
      </w:r>
    </w:p>
    <w:p w:rsidR="00D81F69" w:rsidRDefault="00330118">
      <w:pPr>
        <w:spacing w:before="2" w:line="312" w:lineRule="auto"/>
        <w:ind w:left="100" w:right="182"/>
        <w:jc w:val="both"/>
        <w:rPr>
          <w:sz w:val="16"/>
        </w:rPr>
      </w:pPr>
      <w:r>
        <w:rPr>
          <w:sz w:val="16"/>
        </w:rPr>
        <w:t xml:space="preserve">ICAD, Instituto Caatinga Densa Agroecologia. Desmatamento na reserva legal da Mineração Caraíba para ampliação da estrada de Pilar a Poço de Fora. 01 jan. 2010. Disponível em: </w:t>
      </w:r>
    </w:p>
    <w:p w:rsidR="00D81F69" w:rsidRDefault="00D81F69">
      <w:pPr>
        <w:spacing w:before="2" w:line="312" w:lineRule="auto"/>
        <w:ind w:left="100" w:right="197"/>
        <w:jc w:val="both"/>
        <w:rPr>
          <w:sz w:val="16"/>
        </w:rPr>
      </w:pPr>
      <w:hyperlink r:id="rId615">
        <w:r w:rsidR="00330118">
          <w:rPr>
            <w:sz w:val="16"/>
          </w:rPr>
          <w:t xml:space="preserve">&lt;http://icadsa.blogspot.com/2010_01_01_archive.html&gt;. </w:t>
        </w:r>
      </w:hyperlink>
      <w:r w:rsidR="00330118">
        <w:rPr>
          <w:sz w:val="16"/>
        </w:rPr>
        <w:t>Acesso em: 28 dez. 2011.</w:t>
      </w:r>
    </w:p>
    <w:p w:rsidR="00D81F69" w:rsidRDefault="00330118">
      <w:pPr>
        <w:tabs>
          <w:tab w:val="left" w:pos="4331"/>
        </w:tabs>
        <w:spacing w:before="2" w:line="312" w:lineRule="auto"/>
        <w:ind w:left="100" w:right="193"/>
        <w:jc w:val="both"/>
        <w:rPr>
          <w:sz w:val="16"/>
        </w:rPr>
      </w:pPr>
      <w:r>
        <w:rPr>
          <w:spacing w:val="5"/>
          <w:sz w:val="16"/>
        </w:rPr>
        <w:t xml:space="preserve">______. </w:t>
      </w:r>
      <w:r>
        <w:rPr>
          <w:spacing w:val="3"/>
          <w:sz w:val="16"/>
        </w:rPr>
        <w:t xml:space="preserve">Mais uma grave </w:t>
      </w:r>
      <w:r>
        <w:rPr>
          <w:spacing w:val="5"/>
          <w:sz w:val="16"/>
        </w:rPr>
        <w:t xml:space="preserve">ocorrência impactante contra </w:t>
      </w:r>
      <w:r>
        <w:rPr>
          <w:sz w:val="16"/>
        </w:rPr>
        <w:t xml:space="preserve">o </w:t>
      </w:r>
      <w:r>
        <w:rPr>
          <w:spacing w:val="5"/>
          <w:sz w:val="16"/>
        </w:rPr>
        <w:t xml:space="preserve">meio </w:t>
      </w:r>
      <w:r>
        <w:rPr>
          <w:spacing w:val="3"/>
          <w:sz w:val="16"/>
        </w:rPr>
        <w:t xml:space="preserve">ambiente causada </w:t>
      </w:r>
      <w:r>
        <w:rPr>
          <w:spacing w:val="2"/>
          <w:sz w:val="16"/>
        </w:rPr>
        <w:t xml:space="preserve">pela </w:t>
      </w:r>
      <w:r>
        <w:rPr>
          <w:spacing w:val="3"/>
          <w:sz w:val="16"/>
        </w:rPr>
        <w:t xml:space="preserve">Mineração Caraíba </w:t>
      </w:r>
      <w:r>
        <w:rPr>
          <w:spacing w:val="2"/>
          <w:sz w:val="16"/>
        </w:rPr>
        <w:t xml:space="preserve">S.A. 01, maio </w:t>
      </w:r>
      <w:r>
        <w:rPr>
          <w:spacing w:val="5"/>
          <w:sz w:val="16"/>
        </w:rPr>
        <w:t xml:space="preserve">2009.    </w:t>
      </w:r>
      <w:r>
        <w:rPr>
          <w:sz w:val="16"/>
        </w:rPr>
        <w:t xml:space="preserve">D   </w:t>
      </w:r>
      <w:r>
        <w:rPr>
          <w:sz w:val="16"/>
        </w:rPr>
        <w:t xml:space="preserve">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215"/>
        <w:jc w:val="both"/>
        <w:rPr>
          <w:sz w:val="16"/>
        </w:rPr>
      </w:pPr>
      <w:hyperlink r:id="rId616" w:anchor="15150590177">
        <w:r w:rsidR="00330118">
          <w:rPr>
            <w:sz w:val="16"/>
          </w:rPr>
          <w:t>&lt;http://icadsa.blogspot.com/2009_04_01_archive.html#15150590177</w:t>
        </w:r>
      </w:hyperlink>
      <w:r w:rsidR="00330118">
        <w:rPr>
          <w:sz w:val="16"/>
        </w:rPr>
        <w:t xml:space="preserve"> 04832666&gt;. Acesso em: 26 dez. 2011.</w:t>
      </w:r>
    </w:p>
    <w:p w:rsidR="00D81F69" w:rsidRDefault="00330118">
      <w:pPr>
        <w:spacing w:before="2" w:line="312" w:lineRule="auto"/>
        <w:ind w:left="100" w:right="183"/>
        <w:jc w:val="both"/>
        <w:rPr>
          <w:sz w:val="16"/>
        </w:rPr>
      </w:pPr>
      <w:r>
        <w:rPr>
          <w:sz w:val="16"/>
        </w:rPr>
        <w:t xml:space="preserve">LAURA, Cristina. Mineradora é acusada de poluição em Jaguarari. Jornal A Tarde, Salvador, 9 maio 2007. Disponível em: </w:t>
      </w:r>
    </w:p>
    <w:p w:rsidR="00D81F69" w:rsidRDefault="00D81F69">
      <w:pPr>
        <w:spacing w:before="2" w:line="312" w:lineRule="auto"/>
        <w:ind w:left="100" w:right="197"/>
        <w:jc w:val="both"/>
        <w:rPr>
          <w:sz w:val="16"/>
        </w:rPr>
      </w:pPr>
      <w:hyperlink r:id="rId617">
        <w:r w:rsidR="00330118">
          <w:rPr>
            <w:sz w:val="16"/>
          </w:rPr>
          <w:t>&lt;http://www.seagri.ba.gov.br/noticias.asp?qact=view&amp;n</w:t>
        </w:r>
        <w:r w:rsidR="00330118">
          <w:rPr>
            <w:sz w:val="16"/>
          </w:rPr>
          <w:t>otid=10131&gt;.</w:t>
        </w:r>
      </w:hyperlink>
      <w:r w:rsidR="00330118">
        <w:rPr>
          <w:sz w:val="16"/>
        </w:rPr>
        <w:t xml:space="preserve"> Acesso em: 28 dez. 2011.</w:t>
      </w:r>
    </w:p>
    <w:p w:rsidR="00D81F69" w:rsidRDefault="00330118">
      <w:pPr>
        <w:tabs>
          <w:tab w:val="left" w:pos="4331"/>
        </w:tabs>
        <w:spacing w:before="1" w:line="312" w:lineRule="auto"/>
        <w:ind w:left="100" w:right="196"/>
        <w:jc w:val="both"/>
        <w:rPr>
          <w:sz w:val="16"/>
        </w:rPr>
      </w:pPr>
      <w:r>
        <w:rPr>
          <w:sz w:val="16"/>
        </w:rPr>
        <w:t xml:space="preserve">MATA, Paulo Magno. Reflexo da mineração na qualidade ambiental das cidades. Universidade Federal da Bahia. Salvador, mar. 2001.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line="312" w:lineRule="auto"/>
        <w:ind w:left="100" w:right="216"/>
        <w:jc w:val="both"/>
        <w:rPr>
          <w:sz w:val="16"/>
        </w:rPr>
      </w:pPr>
      <w:hyperlink r:id="rId618">
        <w:r w:rsidR="00330118">
          <w:rPr>
            <w:sz w:val="16"/>
          </w:rPr>
          <w:t>&lt;http://www.dnpm.gov.br/mostra_arquivo.asp?IDBancoArquivoArquiv</w:t>
        </w:r>
      </w:hyperlink>
      <w:r w:rsidR="00330118">
        <w:rPr>
          <w:sz w:val="16"/>
        </w:rPr>
        <w:t xml:space="preserve"> o=2065&gt;. Acesso em: 28 dez. 2011.</w:t>
      </w:r>
    </w:p>
    <w:p w:rsidR="00D81F69" w:rsidRDefault="00330118">
      <w:pPr>
        <w:tabs>
          <w:tab w:val="left" w:pos="4331"/>
        </w:tabs>
        <w:spacing w:before="1" w:line="312" w:lineRule="auto"/>
        <w:ind w:left="100" w:right="196"/>
        <w:jc w:val="both"/>
        <w:rPr>
          <w:sz w:val="16"/>
        </w:rPr>
      </w:pPr>
      <w:r>
        <w:rPr>
          <w:sz w:val="16"/>
        </w:rPr>
        <w:t xml:space="preserve">PREFEITURA MUNICIPAL DE JAGUARARI.  Economia.  Jaguararí. D      i      s      p      o      n   </w:t>
      </w:r>
      <w:r>
        <w:rPr>
          <w:sz w:val="16"/>
        </w:rPr>
        <w:t xml:space="preserve">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216"/>
        <w:jc w:val="both"/>
        <w:rPr>
          <w:sz w:val="16"/>
        </w:rPr>
      </w:pPr>
      <w:hyperlink r:id="rId619">
        <w:r w:rsidR="00330118">
          <w:rPr>
            <w:sz w:val="16"/>
          </w:rPr>
          <w:t>&lt;http://www.jaguarari.ba.gov.br/site/internas.php?pagina=Municipio&amp;i</w:t>
        </w:r>
      </w:hyperlink>
      <w:r w:rsidR="00330118">
        <w:rPr>
          <w:sz w:val="16"/>
        </w:rPr>
        <w:t xml:space="preserve"> dSecao=9&gt;. Acesso em: 26 dez. 2011.</w:t>
      </w:r>
    </w:p>
    <w:p w:rsidR="00D81F69" w:rsidRDefault="00330118">
      <w:pPr>
        <w:spacing w:before="2" w:line="312" w:lineRule="auto"/>
        <w:ind w:left="100" w:right="109"/>
        <w:jc w:val="both"/>
        <w:rPr>
          <w:sz w:val="16"/>
        </w:rPr>
      </w:pPr>
      <w:r>
        <w:rPr>
          <w:spacing w:val="5"/>
          <w:sz w:val="16"/>
        </w:rPr>
        <w:t xml:space="preserve">RODRIGUES, Antônio Fernando </w:t>
      </w:r>
      <w:r>
        <w:rPr>
          <w:spacing w:val="2"/>
          <w:sz w:val="16"/>
        </w:rPr>
        <w:t xml:space="preserve">da </w:t>
      </w:r>
      <w:r>
        <w:rPr>
          <w:spacing w:val="5"/>
          <w:sz w:val="16"/>
        </w:rPr>
        <w:t>Sil</w:t>
      </w:r>
      <w:r>
        <w:rPr>
          <w:spacing w:val="5"/>
          <w:sz w:val="16"/>
        </w:rPr>
        <w:t xml:space="preserve">va; HEIDER, Mathias </w:t>
      </w:r>
      <w:r>
        <w:rPr>
          <w:sz w:val="16"/>
        </w:rPr>
        <w:t>e FONSECA, David Siqueira. Cobre.  In:  Economia  Mineral  do  Brasil. D N P M , 2 0 0 9 . D i s p o n í v e l e m</w:t>
      </w:r>
      <w:r>
        <w:rPr>
          <w:spacing w:val="38"/>
          <w:sz w:val="16"/>
        </w:rPr>
        <w:t xml:space="preserve"> </w:t>
      </w:r>
      <w:r>
        <w:rPr>
          <w:sz w:val="16"/>
        </w:rPr>
        <w:t xml:space="preserve">: </w:t>
      </w:r>
      <w:r>
        <w:rPr>
          <w:sz w:val="16"/>
        </w:rPr>
        <w:t xml:space="preserve"> </w:t>
      </w:r>
    </w:p>
    <w:p w:rsidR="00D81F69" w:rsidRDefault="00330118">
      <w:pPr>
        <w:spacing w:before="2" w:line="312" w:lineRule="auto"/>
        <w:ind w:left="100" w:right="217"/>
        <w:jc w:val="both"/>
        <w:rPr>
          <w:sz w:val="16"/>
        </w:rPr>
      </w:pPr>
      <w:r>
        <w:rPr>
          <w:sz w:val="16"/>
        </w:rPr>
        <w:t>&lt;https://sistemas.dnpm.gov.br/publicacao/mostra_imagem.asp?IDBan coArquivoArquivo=3982&gt;. Acesso em: 28 dez. 2011.</w:t>
      </w:r>
    </w:p>
    <w:p w:rsidR="00D81F69" w:rsidRDefault="00330118">
      <w:pPr>
        <w:spacing w:before="2" w:line="312" w:lineRule="auto"/>
        <w:ind w:left="100" w:right="192"/>
        <w:jc w:val="both"/>
        <w:rPr>
          <w:sz w:val="16"/>
        </w:rPr>
      </w:pPr>
      <w:r>
        <w:rPr>
          <w:sz w:val="16"/>
        </w:rPr>
        <w:t>ROM</w:t>
      </w:r>
      <w:r>
        <w:rPr>
          <w:sz w:val="16"/>
        </w:rPr>
        <w:t>ERO, Tiago. Extração de cobre será feita por processo biológico. Inovação tecnológica. São Paulo, 27 fev. 2007. Disponível em:</w:t>
      </w:r>
    </w:p>
    <w:p w:rsidR="00D81F69" w:rsidRDefault="00D81F69">
      <w:pPr>
        <w:spacing w:before="1" w:line="312" w:lineRule="auto"/>
        <w:ind w:left="100" w:right="216"/>
        <w:jc w:val="both"/>
        <w:rPr>
          <w:sz w:val="16"/>
        </w:rPr>
      </w:pPr>
      <w:hyperlink r:id="rId620">
        <w:r w:rsidR="00330118">
          <w:rPr>
            <w:sz w:val="16"/>
          </w:rPr>
          <w:t>&lt;</w:t>
        </w:r>
        <w:r w:rsidR="00330118">
          <w:rPr>
            <w:sz w:val="16"/>
          </w:rPr>
          <w:t>http://www.inovacaotecnologica.com.br/noticias/noticia.php?artigo=0</w:t>
        </w:r>
      </w:hyperlink>
      <w:r w:rsidR="00330118">
        <w:rPr>
          <w:sz w:val="16"/>
        </w:rPr>
        <w:t xml:space="preserve"> 10125070227&gt;. Acesso em: 27 dez. 2011.</w:t>
      </w:r>
    </w:p>
    <w:p w:rsidR="00D81F69" w:rsidRDefault="00330118">
      <w:pPr>
        <w:tabs>
          <w:tab w:val="left" w:pos="1647"/>
          <w:tab w:val="left" w:pos="2477"/>
          <w:tab w:val="left" w:pos="3612"/>
        </w:tabs>
        <w:spacing w:before="2" w:line="312" w:lineRule="auto"/>
        <w:ind w:left="100" w:right="136"/>
        <w:rPr>
          <w:sz w:val="16"/>
        </w:rPr>
      </w:pPr>
      <w:r>
        <w:rPr>
          <w:sz w:val="16"/>
        </w:rPr>
        <w:t xml:space="preserve">SAMPAIO, João Alves; CARVALHO, Eduardo Augusto e ANDRADE, </w:t>
      </w:r>
      <w:r>
        <w:rPr>
          <w:spacing w:val="3"/>
          <w:sz w:val="16"/>
        </w:rPr>
        <w:t xml:space="preserve">Darlylson Geraldo. Cobre </w:t>
      </w:r>
      <w:r>
        <w:rPr>
          <w:sz w:val="16"/>
        </w:rPr>
        <w:t xml:space="preserve">–  </w:t>
      </w:r>
      <w:r>
        <w:rPr>
          <w:spacing w:val="3"/>
          <w:sz w:val="16"/>
        </w:rPr>
        <w:t xml:space="preserve">Mineração  Caraíba.  Cetem,  </w:t>
      </w:r>
      <w:r>
        <w:rPr>
          <w:spacing w:val="2"/>
          <w:sz w:val="16"/>
        </w:rPr>
        <w:t xml:space="preserve">Rio  </w:t>
      </w:r>
      <w:r>
        <w:rPr>
          <w:spacing w:val="5"/>
          <w:sz w:val="16"/>
        </w:rPr>
        <w:t xml:space="preserve">de </w:t>
      </w:r>
      <w:r>
        <w:rPr>
          <w:spacing w:val="35"/>
          <w:sz w:val="16"/>
        </w:rPr>
        <w:t>J</w:t>
      </w:r>
      <w:r>
        <w:rPr>
          <w:sz w:val="16"/>
        </w:rPr>
        <w:t xml:space="preserve"> </w:t>
      </w:r>
      <w:r>
        <w:rPr>
          <w:spacing w:val="35"/>
          <w:sz w:val="16"/>
        </w:rPr>
        <w:t>a</w:t>
      </w:r>
      <w:r>
        <w:rPr>
          <w:sz w:val="16"/>
        </w:rPr>
        <w:t xml:space="preserve"> </w:t>
      </w:r>
      <w:r>
        <w:rPr>
          <w:spacing w:val="35"/>
          <w:sz w:val="16"/>
        </w:rPr>
        <w:t>n</w:t>
      </w:r>
      <w:r>
        <w:rPr>
          <w:sz w:val="16"/>
        </w:rPr>
        <w:t xml:space="preserve"> </w:t>
      </w:r>
      <w:r>
        <w:rPr>
          <w:spacing w:val="35"/>
          <w:sz w:val="16"/>
        </w:rPr>
        <w:t>e</w:t>
      </w:r>
      <w:r>
        <w:rPr>
          <w:sz w:val="16"/>
        </w:rPr>
        <w:t xml:space="preserve"> </w:t>
      </w:r>
      <w:r>
        <w:rPr>
          <w:spacing w:val="35"/>
          <w:sz w:val="16"/>
        </w:rPr>
        <w:t>i</w:t>
      </w:r>
      <w:r>
        <w:rPr>
          <w:sz w:val="16"/>
        </w:rPr>
        <w:t xml:space="preserve"> </w:t>
      </w:r>
      <w:r>
        <w:rPr>
          <w:spacing w:val="35"/>
          <w:sz w:val="16"/>
        </w:rPr>
        <w:t>r</w:t>
      </w:r>
      <w:r>
        <w:rPr>
          <w:sz w:val="16"/>
        </w:rPr>
        <w:t xml:space="preserve"> </w:t>
      </w:r>
      <w:r>
        <w:rPr>
          <w:spacing w:val="35"/>
          <w:sz w:val="16"/>
        </w:rPr>
        <w:t>o</w:t>
      </w:r>
      <w:r>
        <w:rPr>
          <w:sz w:val="16"/>
        </w:rPr>
        <w:t xml:space="preserve"> ,</w:t>
      </w:r>
      <w:r>
        <w:rPr>
          <w:sz w:val="16"/>
        </w:rPr>
        <w:tab/>
      </w:r>
      <w:r>
        <w:rPr>
          <w:spacing w:val="35"/>
          <w:sz w:val="16"/>
        </w:rPr>
        <w:t>d</w:t>
      </w:r>
      <w:r>
        <w:rPr>
          <w:sz w:val="16"/>
        </w:rPr>
        <w:t xml:space="preserve"> </w:t>
      </w:r>
      <w:r>
        <w:rPr>
          <w:spacing w:val="35"/>
          <w:sz w:val="16"/>
        </w:rPr>
        <w:t>e</w:t>
      </w:r>
      <w:r>
        <w:rPr>
          <w:sz w:val="16"/>
        </w:rPr>
        <w:t xml:space="preserve"> z</w:t>
      </w:r>
      <w:r>
        <w:rPr>
          <w:sz w:val="16"/>
        </w:rPr>
        <w:tab/>
      </w:r>
      <w:r>
        <w:rPr>
          <w:spacing w:val="35"/>
          <w:sz w:val="16"/>
        </w:rPr>
        <w:t>2</w:t>
      </w:r>
      <w:r>
        <w:rPr>
          <w:sz w:val="16"/>
        </w:rPr>
        <w:t xml:space="preserve"> </w:t>
      </w:r>
      <w:r>
        <w:rPr>
          <w:spacing w:val="35"/>
          <w:sz w:val="16"/>
        </w:rPr>
        <w:t>0</w:t>
      </w:r>
      <w:r>
        <w:rPr>
          <w:sz w:val="16"/>
        </w:rPr>
        <w:t xml:space="preserve"> </w:t>
      </w:r>
      <w:r>
        <w:rPr>
          <w:spacing w:val="35"/>
          <w:sz w:val="16"/>
        </w:rPr>
        <w:t>0</w:t>
      </w:r>
      <w:r>
        <w:rPr>
          <w:sz w:val="16"/>
        </w:rPr>
        <w:t xml:space="preserve"> </w:t>
      </w:r>
      <w:r>
        <w:rPr>
          <w:spacing w:val="35"/>
          <w:sz w:val="16"/>
        </w:rPr>
        <w:t>2</w:t>
      </w:r>
      <w:r>
        <w:rPr>
          <w:sz w:val="16"/>
        </w:rPr>
        <w:t xml:space="preserve"> .</w:t>
      </w:r>
      <w:r>
        <w:rPr>
          <w:sz w:val="16"/>
        </w:rPr>
        <w:tab/>
      </w:r>
      <w:r>
        <w:rPr>
          <w:spacing w:val="35"/>
          <w:sz w:val="16"/>
        </w:rPr>
        <w:t>D</w:t>
      </w:r>
      <w:r>
        <w:rPr>
          <w:sz w:val="16"/>
        </w:rPr>
        <w:t xml:space="preserve"> </w:t>
      </w:r>
      <w:r>
        <w:rPr>
          <w:spacing w:val="35"/>
          <w:sz w:val="16"/>
        </w:rPr>
        <w:t>i</w:t>
      </w:r>
      <w:r>
        <w:rPr>
          <w:sz w:val="16"/>
        </w:rPr>
        <w:t xml:space="preserve"> </w:t>
      </w:r>
      <w:r>
        <w:rPr>
          <w:spacing w:val="35"/>
          <w:sz w:val="16"/>
        </w:rPr>
        <w:t>s</w:t>
      </w:r>
      <w:r>
        <w:rPr>
          <w:sz w:val="16"/>
        </w:rPr>
        <w:t xml:space="preserve"> </w:t>
      </w:r>
      <w:r>
        <w:rPr>
          <w:spacing w:val="35"/>
          <w:sz w:val="16"/>
        </w:rPr>
        <w:t>p</w:t>
      </w:r>
      <w:r>
        <w:rPr>
          <w:sz w:val="16"/>
        </w:rPr>
        <w:t xml:space="preserve"> </w:t>
      </w:r>
      <w:r>
        <w:rPr>
          <w:spacing w:val="35"/>
          <w:sz w:val="16"/>
        </w:rPr>
        <w:t>o</w:t>
      </w:r>
      <w:r>
        <w:rPr>
          <w:sz w:val="16"/>
        </w:rPr>
        <w:t xml:space="preserve"> </w:t>
      </w:r>
      <w:r>
        <w:rPr>
          <w:spacing w:val="35"/>
          <w:sz w:val="16"/>
        </w:rPr>
        <w:t>n</w:t>
      </w:r>
      <w:r>
        <w:rPr>
          <w:sz w:val="16"/>
        </w:rPr>
        <w:t xml:space="preserve"> </w:t>
      </w:r>
      <w:r>
        <w:rPr>
          <w:spacing w:val="35"/>
          <w:sz w:val="16"/>
        </w:rPr>
        <w:t>í</w:t>
      </w:r>
      <w:r>
        <w:rPr>
          <w:sz w:val="16"/>
        </w:rPr>
        <w:t xml:space="preserve"> </w:t>
      </w:r>
      <w:r>
        <w:rPr>
          <w:spacing w:val="35"/>
          <w:sz w:val="16"/>
        </w:rPr>
        <w:t>v</w:t>
      </w:r>
      <w:r>
        <w:rPr>
          <w:sz w:val="16"/>
        </w:rPr>
        <w:t xml:space="preserve"> </w:t>
      </w:r>
      <w:r>
        <w:rPr>
          <w:spacing w:val="35"/>
          <w:sz w:val="16"/>
        </w:rPr>
        <w:t>e</w:t>
      </w:r>
      <w:r>
        <w:rPr>
          <w:sz w:val="16"/>
        </w:rPr>
        <w:t xml:space="preserve"> l </w:t>
      </w:r>
      <w:hyperlink r:id="rId621">
        <w:r>
          <w:rPr>
            <w:sz w:val="16"/>
          </w:rPr>
          <w:t>em:&lt;http://www.cetem.gov.br/publicacao/CTs/CT2002-180-00.pdf&gt;.</w:t>
        </w:r>
      </w:hyperlink>
      <w:r>
        <w:rPr>
          <w:sz w:val="16"/>
        </w:rPr>
        <w:t xml:space="preserve"> Acesso em: 26 dez.</w:t>
      </w:r>
      <w:r>
        <w:rPr>
          <w:spacing w:val="17"/>
          <w:sz w:val="16"/>
        </w:rPr>
        <w:t xml:space="preserve"> </w:t>
      </w:r>
      <w:r>
        <w:rPr>
          <w:sz w:val="16"/>
        </w:rPr>
        <w:t>2011.</w:t>
      </w:r>
    </w:p>
    <w:p w:rsidR="00D81F69" w:rsidRDefault="00330118">
      <w:pPr>
        <w:spacing w:before="4" w:line="312" w:lineRule="auto"/>
        <w:ind w:left="100" w:right="162"/>
        <w:jc w:val="both"/>
        <w:rPr>
          <w:sz w:val="16"/>
        </w:rPr>
      </w:pPr>
      <w:r>
        <w:rPr>
          <w:sz w:val="16"/>
        </w:rPr>
        <w:t>SANTANA, Maria do Remédio Leite. Cobre contamina Caatinga. BlogFolha</w:t>
      </w:r>
      <w:r>
        <w:rPr>
          <w:sz w:val="16"/>
        </w:rPr>
        <w:t xml:space="preserve">.com,   22    out.   2010.   Disponível  em: </w:t>
      </w:r>
    </w:p>
    <w:p w:rsidR="00D81F69" w:rsidRDefault="00D81F69">
      <w:pPr>
        <w:spacing w:before="2"/>
        <w:ind w:left="100"/>
        <w:jc w:val="both"/>
        <w:rPr>
          <w:sz w:val="16"/>
        </w:rPr>
      </w:pPr>
      <w:hyperlink r:id="rId622">
        <w:r w:rsidR="00330118">
          <w:rPr>
            <w:sz w:val="16"/>
          </w:rPr>
          <w:t>&lt;http://blogfolha.com/?p=18681&gt;.</w:t>
        </w:r>
      </w:hyperlink>
      <w:r w:rsidR="00330118">
        <w:rPr>
          <w:sz w:val="16"/>
        </w:rPr>
        <w:t xml:space="preserve">  Acesso  em:  27  dez. 2011.</w:t>
      </w:r>
    </w:p>
    <w:p w:rsidR="00D81F69" w:rsidRDefault="00D81F69">
      <w:pPr>
        <w:jc w:val="both"/>
        <w:rPr>
          <w:sz w:val="16"/>
        </w:rPr>
        <w:sectPr w:rsidR="00D81F69">
          <w:pgSz w:w="11900" w:h="16840"/>
          <w:pgMar w:top="740" w:right="500" w:bottom="720" w:left="620" w:header="0" w:footer="402" w:gutter="0"/>
          <w:cols w:num="2" w:space="720" w:equalWidth="0">
            <w:col w:w="5182" w:space="288"/>
            <w:col w:w="5310"/>
          </w:cols>
        </w:sectPr>
      </w:pPr>
    </w:p>
    <w:p w:rsidR="00D81F69" w:rsidRDefault="00330118">
      <w:pPr>
        <w:pStyle w:val="Heading1"/>
        <w:spacing w:line="208" w:lineRule="auto"/>
      </w:pPr>
      <w:r>
        <w:lastRenderedPageBreak/>
        <w:t>Exploração de esmeraldas na Serra da Carnaíba (BA) causa danos ambientai</w:t>
      </w:r>
      <w:r>
        <w:t>s</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7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20"/>
        <w:rPr>
          <w:i/>
          <w:sz w:val="14"/>
        </w:rPr>
      </w:pPr>
      <w:r>
        <w:rPr>
          <w:i/>
          <w:sz w:val="14"/>
        </w:rPr>
        <w:t>BA - Campo Formoso BA - Pindobaçu</w:t>
      </w:r>
    </w:p>
    <w:p w:rsidR="00D81F69" w:rsidRDefault="00D81F69">
      <w:pPr>
        <w:pStyle w:val="Corpodetexto"/>
        <w:spacing w:before="4"/>
        <w:ind w:left="0"/>
        <w:jc w:val="left"/>
        <w:rPr>
          <w:i/>
        </w:rPr>
      </w:pPr>
    </w:p>
    <w:p w:rsidR="00D81F69" w:rsidRDefault="00330118">
      <w:pPr>
        <w:spacing w:before="1"/>
        <w:ind w:left="135"/>
        <w:rPr>
          <w:i/>
          <w:sz w:val="14"/>
        </w:rPr>
      </w:pPr>
      <w:r>
        <w:rPr>
          <w:i/>
          <w:sz w:val="14"/>
        </w:rPr>
        <w:t>LATITUDE</w:t>
      </w:r>
    </w:p>
    <w:p w:rsidR="00D81F69" w:rsidRDefault="00330118">
      <w:pPr>
        <w:spacing w:before="49"/>
        <w:ind w:left="135"/>
        <w:rPr>
          <w:i/>
          <w:sz w:val="14"/>
        </w:rPr>
      </w:pPr>
      <w:r>
        <w:rPr>
          <w:i/>
          <w:sz w:val="14"/>
        </w:rPr>
        <w:t>-10,003</w:t>
      </w:r>
    </w:p>
    <w:p w:rsidR="00D81F69" w:rsidRDefault="00D81F69">
      <w:pPr>
        <w:pStyle w:val="Corpodetexto"/>
        <w:spacing w:before="5"/>
        <w:ind w:left="0"/>
        <w:jc w:val="left"/>
        <w:rPr>
          <w:i/>
          <w:sz w:val="22"/>
        </w:rPr>
      </w:pPr>
    </w:p>
    <w:p w:rsidR="00D81F69" w:rsidRDefault="00330118">
      <w:pPr>
        <w:spacing w:before="1"/>
        <w:ind w:left="135"/>
        <w:rPr>
          <w:i/>
          <w:sz w:val="14"/>
        </w:rPr>
      </w:pPr>
      <w:r>
        <w:rPr>
          <w:i/>
          <w:sz w:val="14"/>
        </w:rPr>
        <w:t>LONGITUDE</w:t>
      </w:r>
    </w:p>
    <w:p w:rsidR="00D81F69" w:rsidRDefault="00330118">
      <w:pPr>
        <w:spacing w:before="49"/>
        <w:ind w:left="135"/>
        <w:rPr>
          <w:i/>
          <w:sz w:val="14"/>
        </w:rPr>
      </w:pPr>
      <w:r>
        <w:rPr>
          <w:i/>
          <w:sz w:val="14"/>
        </w:rPr>
        <w:t>-41,7727</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7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A exploração de esmeraldas nos municípios de Pindobaçu e Campo </w:t>
      </w:r>
      <w:r>
        <w:rPr>
          <w:i/>
          <w:sz w:val="16"/>
        </w:rPr>
        <w:t>Formoso, no norte da Bahia, gera vários impactos ambientais. Uma das saídas para a grande quantidade de rejeitos é a recuperação da molibdenita contida nos veios minerais para uso comercial. A molibdenita pode ser aplicada em vários setores produtivos, den</w:t>
      </w:r>
      <w:r>
        <w:rPr>
          <w:i/>
          <w:sz w:val="16"/>
        </w:rPr>
        <w:t xml:space="preserve">tre eles a cerâmica de revestimento. </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8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91"/>
      </w:pPr>
      <w:r>
        <w:t>governo do estado (SILVA, 2006 apud CAVALCANTE, 2010). De acordo com dados da Companhia Mineral da Bahia (CMB), existem cadastrados, em Carnaíba e Socotó, 161 frentes de trabalho, mantidas por 600 investidores loca</w:t>
      </w:r>
      <w:r>
        <w:t>is, regionais e nacionais. Atuam, no local, cerca de 1.600 trabalhadores braçais (CAVALCANTE, 2010).</w:t>
      </w:r>
    </w:p>
    <w:p w:rsidR="00D81F69" w:rsidRDefault="00330118">
      <w:pPr>
        <w:pStyle w:val="Corpodetexto"/>
        <w:spacing w:before="135" w:line="312" w:lineRule="auto"/>
        <w:ind w:left="135" w:right="202"/>
      </w:pPr>
      <w:r>
        <w:t>Para a retirada do material do interior das minas, os mineradores entram em um shaft [poço vertical de 60 a 500 m de profundidade] pendurados em um cabo de</w:t>
      </w:r>
      <w:r>
        <w:t xml:space="preserve"> aço sustentado por um guincho simples, chamado de carretel. Os trabalhadores sentam-se em tiras de borracha de pneus</w:t>
      </w:r>
    </w:p>
    <w:p w:rsidR="00D81F69" w:rsidRDefault="00D81F69">
      <w:pPr>
        <w:spacing w:line="312" w:lineRule="auto"/>
        <w:sectPr w:rsidR="00D81F69">
          <w:type w:val="continuous"/>
          <w:pgSz w:w="11900" w:h="16840"/>
          <w:pgMar w:top="720" w:right="500" w:bottom="280" w:left="620" w:header="720" w:footer="720" w:gutter="0"/>
          <w:cols w:num="3" w:space="720" w:equalWidth="0">
            <w:col w:w="1529" w:space="471"/>
            <w:col w:w="3111" w:space="324"/>
            <w:col w:w="5345"/>
          </w:cols>
        </w:sectPr>
      </w:pPr>
    </w:p>
    <w:p w:rsidR="00D81F69" w:rsidRDefault="00330118">
      <w:pPr>
        <w:pStyle w:val="Heading4"/>
        <w:spacing w:before="88"/>
        <w:jc w:val="left"/>
      </w:pPr>
      <w:r>
        <w:lastRenderedPageBreak/>
        <w:t>APRESENTAÇÃO DE CASO</w:t>
      </w:r>
    </w:p>
    <w:p w:rsidR="00D81F69" w:rsidRDefault="00330118">
      <w:pPr>
        <w:pStyle w:val="Corpodetexto"/>
        <w:spacing w:before="171" w:line="312" w:lineRule="auto"/>
        <w:ind w:right="101"/>
      </w:pPr>
      <w:r>
        <w:t>A Serra da Jacobina, localizada na microrregião de Senhor do Bonfim, no norte do estado da Bahia, congrega um complexo de serras, que se prolongam por 220 km de extensão. O local apresenta grande potencial para produção de minérios e pedras preciosas, send</w:t>
      </w:r>
      <w:r>
        <w:t>o as atividades minerais mais representativas as ligadas ao garimpo de esmeraldas, nos municípios de Pindobaçu e Campo Formoso (DIAS NETO, 2005 apud VALE, 2005).</w:t>
      </w:r>
    </w:p>
    <w:p w:rsidR="00D81F69" w:rsidRDefault="00330118">
      <w:pPr>
        <w:pStyle w:val="Corpodetexto"/>
        <w:spacing w:before="137" w:line="312" w:lineRule="auto"/>
        <w:ind w:right="136"/>
        <w:jc w:val="left"/>
      </w:pPr>
      <w:r>
        <w:rPr>
          <w:spacing w:val="5"/>
        </w:rPr>
        <w:t xml:space="preserve">Pindobaçu </w:t>
      </w:r>
      <w:r>
        <w:rPr>
          <w:spacing w:val="3"/>
        </w:rPr>
        <w:t xml:space="preserve">tem </w:t>
      </w:r>
      <w:r>
        <w:rPr>
          <w:spacing w:val="5"/>
        </w:rPr>
        <w:t xml:space="preserve">496,279 </w:t>
      </w:r>
      <w:r>
        <w:rPr>
          <w:spacing w:val="3"/>
        </w:rPr>
        <w:t xml:space="preserve">km² </w:t>
      </w:r>
      <w:r>
        <w:t xml:space="preserve">e </w:t>
      </w:r>
      <w:r>
        <w:rPr>
          <w:spacing w:val="5"/>
        </w:rPr>
        <w:t xml:space="preserve">20.121 habitantes </w:t>
      </w:r>
      <w:r>
        <w:rPr>
          <w:spacing w:val="6"/>
        </w:rPr>
        <w:t xml:space="preserve">(IBGE, </w:t>
      </w:r>
      <w:r>
        <w:rPr>
          <w:spacing w:val="8"/>
        </w:rPr>
        <w:t xml:space="preserve">2010a). </w:t>
      </w:r>
      <w:r>
        <w:rPr>
          <w:spacing w:val="5"/>
        </w:rPr>
        <w:t xml:space="preserve">Já </w:t>
      </w:r>
      <w:r>
        <w:rPr>
          <w:spacing w:val="7"/>
        </w:rPr>
        <w:t xml:space="preserve">Campo </w:t>
      </w:r>
      <w:r>
        <w:rPr>
          <w:spacing w:val="8"/>
        </w:rPr>
        <w:t xml:space="preserve">Formoso, 7.258,574 </w:t>
      </w:r>
      <w:r>
        <w:rPr>
          <w:spacing w:val="6"/>
        </w:rPr>
        <w:t xml:space="preserve">km² </w:t>
      </w:r>
      <w:r>
        <w:t>e</w:t>
      </w:r>
      <w:r>
        <w:t xml:space="preserve"> </w:t>
      </w:r>
      <w:r>
        <w:rPr>
          <w:spacing w:val="10"/>
        </w:rPr>
        <w:t xml:space="preserve">66.616 </w:t>
      </w:r>
      <w:r>
        <w:t xml:space="preserve">habitantes (IBGE, 2010b). Assim como outros municípios da região, ambos foram inicialmente povoados por bandeirantes  à procura de riquezas. A economia dos municípios limítrofes </w:t>
      </w:r>
      <w:r>
        <w:rPr>
          <w:spacing w:val="2"/>
        </w:rPr>
        <w:t xml:space="preserve">gira </w:t>
      </w:r>
      <w:r>
        <w:rPr>
          <w:spacing w:val="3"/>
        </w:rPr>
        <w:t xml:space="preserve">basicamente </w:t>
      </w:r>
      <w:r>
        <w:rPr>
          <w:spacing w:val="1"/>
        </w:rPr>
        <w:t xml:space="preserve">em </w:t>
      </w:r>
      <w:r>
        <w:rPr>
          <w:spacing w:val="3"/>
        </w:rPr>
        <w:t xml:space="preserve">torno </w:t>
      </w:r>
      <w:r>
        <w:rPr>
          <w:spacing w:val="1"/>
        </w:rPr>
        <w:t xml:space="preserve">da </w:t>
      </w:r>
      <w:r>
        <w:rPr>
          <w:spacing w:val="3"/>
        </w:rPr>
        <w:t xml:space="preserve">agricultura, </w:t>
      </w:r>
      <w:r>
        <w:rPr>
          <w:spacing w:val="1"/>
        </w:rPr>
        <w:t xml:space="preserve">em </w:t>
      </w:r>
      <w:r>
        <w:rPr>
          <w:spacing w:val="3"/>
        </w:rPr>
        <w:t xml:space="preserve">especial </w:t>
      </w:r>
      <w:r>
        <w:rPr>
          <w:spacing w:val="5"/>
        </w:rPr>
        <w:t xml:space="preserve">da </w:t>
      </w:r>
      <w:r>
        <w:t>mandioca, e n</w:t>
      </w:r>
      <w:r>
        <w:t>ão atende às necessidades da população no  que diz respeito à oferta de empregos. As constantes secas e a falta de investimentos também atrapalham o crescimento econômico dos municípios (VALE,</w:t>
      </w:r>
      <w:r>
        <w:rPr>
          <w:spacing w:val="27"/>
        </w:rPr>
        <w:t xml:space="preserve"> </w:t>
      </w:r>
      <w:r>
        <w:rPr>
          <w:spacing w:val="1"/>
        </w:rPr>
        <w:t>2005).</w:t>
      </w:r>
    </w:p>
    <w:p w:rsidR="00D81F69" w:rsidRDefault="00330118">
      <w:pPr>
        <w:pStyle w:val="Corpodetexto"/>
        <w:spacing w:before="139" w:line="312" w:lineRule="auto"/>
        <w:ind w:right="103"/>
      </w:pPr>
      <w:r>
        <w:t>Os veios de esmeralda e os minerais a ela associados – b</w:t>
      </w:r>
      <w:r>
        <w:t>erilo, talco, alga-marinha, molibdênio, etc. – são conhecidos, na região, desde a década de 1960, quando se formou o Garimpo da Serra da Carnaíba, no município de Pindobaçu. Posteriormente, formou-se o Garimpo de Socotó, em Campo Formoso, a 50 km de Pindob</w:t>
      </w:r>
      <w:r>
        <w:t>açu (CAVALCANTE, 2010).</w:t>
      </w:r>
    </w:p>
    <w:p w:rsidR="00D81F69" w:rsidRDefault="00330118">
      <w:pPr>
        <w:pStyle w:val="Corpodetexto"/>
        <w:spacing w:before="136" w:line="312" w:lineRule="auto"/>
        <w:ind w:right="119"/>
      </w:pPr>
      <w:r>
        <w:t xml:space="preserve">Em 1963, começaram as escavações em Pindobaçu, no setor </w:t>
      </w:r>
      <w:r>
        <w:rPr>
          <w:spacing w:val="5"/>
        </w:rPr>
        <w:t xml:space="preserve">conhecido </w:t>
      </w:r>
      <w:r>
        <w:rPr>
          <w:spacing w:val="3"/>
        </w:rPr>
        <w:t xml:space="preserve">como </w:t>
      </w:r>
      <w:r>
        <w:rPr>
          <w:spacing w:val="5"/>
        </w:rPr>
        <w:t xml:space="preserve">Bráulia, </w:t>
      </w:r>
      <w:r>
        <w:rPr>
          <w:spacing w:val="2"/>
        </w:rPr>
        <w:t xml:space="preserve">na </w:t>
      </w:r>
      <w:r>
        <w:rPr>
          <w:spacing w:val="5"/>
        </w:rPr>
        <w:t xml:space="preserve">Carnaíba </w:t>
      </w:r>
      <w:r>
        <w:rPr>
          <w:spacing w:val="2"/>
        </w:rPr>
        <w:t xml:space="preserve">de </w:t>
      </w:r>
      <w:r>
        <w:rPr>
          <w:spacing w:val="5"/>
        </w:rPr>
        <w:t xml:space="preserve">Baixo. </w:t>
      </w:r>
      <w:r>
        <w:rPr>
          <w:spacing w:val="2"/>
        </w:rPr>
        <w:t xml:space="preserve">Um </w:t>
      </w:r>
      <w:r>
        <w:rPr>
          <w:spacing w:val="5"/>
        </w:rPr>
        <w:t xml:space="preserve">ano </w:t>
      </w:r>
      <w:r>
        <w:rPr>
          <w:spacing w:val="1"/>
        </w:rPr>
        <w:t xml:space="preserve">depois, foram descobertas mineralizações </w:t>
      </w:r>
      <w:r>
        <w:t xml:space="preserve">em </w:t>
      </w:r>
      <w:r>
        <w:rPr>
          <w:spacing w:val="1"/>
        </w:rPr>
        <w:t xml:space="preserve">Carnaíba </w:t>
      </w:r>
      <w:r>
        <w:rPr>
          <w:spacing w:val="2"/>
        </w:rPr>
        <w:t xml:space="preserve">de </w:t>
      </w:r>
      <w:r>
        <w:t>Cima, a partir de rolados de berilos encontrados na encosta da Serr</w:t>
      </w:r>
      <w:r>
        <w:t>a da Jacobina, formando o setor de extração chamado de Trecho Velho (CAVALCANTE,</w:t>
      </w:r>
      <w:r>
        <w:rPr>
          <w:spacing w:val="6"/>
        </w:rPr>
        <w:t xml:space="preserve"> </w:t>
      </w:r>
      <w:r>
        <w:t>2010).</w:t>
      </w:r>
    </w:p>
    <w:p w:rsidR="00D81F69" w:rsidRDefault="00330118">
      <w:pPr>
        <w:pStyle w:val="Corpodetexto"/>
        <w:spacing w:before="135" w:line="312" w:lineRule="auto"/>
        <w:ind w:right="102"/>
      </w:pPr>
      <w:r>
        <w:t>No final da década de 1960, foram localizadas mineralizações de esmeralda na Marota (Carnaíba de Baixo) e, em 1972, no Trecho Novo, na Carnaíba de Cima (CAVALCANTE, 201</w:t>
      </w:r>
      <w:r>
        <w:t>0). Ainda existem áreas potenciais a serem descobertas, e, para detectá-las, novos mapeamentos vêm sendo solicitados ao</w:t>
      </w:r>
    </w:p>
    <w:p w:rsidR="00D81F69" w:rsidRDefault="00330118">
      <w:pPr>
        <w:pStyle w:val="Corpodetexto"/>
        <w:spacing w:before="5"/>
      </w:pPr>
      <w:r>
        <w:br w:type="column"/>
      </w:r>
      <w:r>
        <w:lastRenderedPageBreak/>
        <w:t>velhos, denominadas cavalos (CAVALCANTE, 2010).</w:t>
      </w:r>
    </w:p>
    <w:p w:rsidR="00D81F69" w:rsidRDefault="00D81F69">
      <w:pPr>
        <w:pStyle w:val="Corpodetexto"/>
        <w:spacing w:before="9"/>
        <w:ind w:left="0"/>
        <w:jc w:val="left"/>
        <w:rPr>
          <w:sz w:val="16"/>
        </w:rPr>
      </w:pPr>
    </w:p>
    <w:p w:rsidR="00D81F69" w:rsidRDefault="00330118">
      <w:pPr>
        <w:pStyle w:val="Corpodetexto"/>
        <w:spacing w:line="312" w:lineRule="auto"/>
        <w:ind w:right="192"/>
      </w:pPr>
      <w:r>
        <w:t>São usados explosivos para retirada dos blocos de rocha, abertura de galerias, ou grunas, e de shafts mais profundos onde o minério, contendo esmeralda, alexandrita e molibdenita, é lavrado de forma mais rigorosa e armazenado em local próprio para ser bene</w:t>
      </w:r>
      <w:r>
        <w:t>ficiado (CAVALCANTE, 2010). Nestes shafts, a temperatura beira os 40 graus. Os trabalhadores manipulam dinamite e respiram fuligem o tempo todo. Além disso, ficam sujeitos a desabamentos (FERREIRA, 2010).</w:t>
      </w:r>
    </w:p>
    <w:p w:rsidR="00D81F69" w:rsidRDefault="00330118">
      <w:pPr>
        <w:pStyle w:val="Corpodetexto"/>
        <w:spacing w:before="138" w:line="312" w:lineRule="auto"/>
        <w:ind w:right="193"/>
      </w:pPr>
      <w:r>
        <w:t>Os blocos retirados são levados para o exterior atr</w:t>
      </w:r>
      <w:r>
        <w:t xml:space="preserve">avés de um </w:t>
      </w:r>
      <w:r>
        <w:rPr>
          <w:spacing w:val="1"/>
        </w:rPr>
        <w:t xml:space="preserve">guincho </w:t>
      </w:r>
      <w:r>
        <w:t xml:space="preserve">e </w:t>
      </w:r>
      <w:r>
        <w:rPr>
          <w:spacing w:val="1"/>
        </w:rPr>
        <w:t xml:space="preserve">analisados pelo proprietário </w:t>
      </w:r>
      <w:r>
        <w:t xml:space="preserve">do </w:t>
      </w:r>
      <w:r>
        <w:rPr>
          <w:spacing w:val="1"/>
        </w:rPr>
        <w:t xml:space="preserve">corte. </w:t>
      </w:r>
      <w:r>
        <w:t xml:space="preserve">Os </w:t>
      </w:r>
      <w:r>
        <w:rPr>
          <w:spacing w:val="2"/>
        </w:rPr>
        <w:t xml:space="preserve">blocos </w:t>
      </w:r>
      <w:r>
        <w:t xml:space="preserve">grandes, com esmeraldas brutas incrustadas, chamados de </w:t>
      </w:r>
      <w:r>
        <w:rPr>
          <w:spacing w:val="10"/>
        </w:rPr>
        <w:t xml:space="preserve">gangas, </w:t>
      </w:r>
      <w:r>
        <w:rPr>
          <w:spacing w:val="7"/>
        </w:rPr>
        <w:t xml:space="preserve">são </w:t>
      </w:r>
      <w:r>
        <w:rPr>
          <w:spacing w:val="5"/>
        </w:rPr>
        <w:t xml:space="preserve">os de </w:t>
      </w:r>
      <w:r>
        <w:rPr>
          <w:spacing w:val="8"/>
        </w:rPr>
        <w:t xml:space="preserve">maior </w:t>
      </w:r>
      <w:r>
        <w:rPr>
          <w:spacing w:val="10"/>
        </w:rPr>
        <w:t xml:space="preserve">valor, </w:t>
      </w:r>
      <w:r>
        <w:rPr>
          <w:spacing w:val="8"/>
        </w:rPr>
        <w:t xml:space="preserve">sendo </w:t>
      </w:r>
      <w:r>
        <w:rPr>
          <w:spacing w:val="11"/>
        </w:rPr>
        <w:t xml:space="preserve">normalmente </w:t>
      </w:r>
      <w:r>
        <w:t>comprados por colecionadores. Já os minerais como a biotita e o quartzo são vendi</w:t>
      </w:r>
      <w:r>
        <w:t xml:space="preserve">dos para artesãos. Cerca de 50% </w:t>
      </w:r>
      <w:r>
        <w:rPr>
          <w:spacing w:val="1"/>
        </w:rPr>
        <w:t xml:space="preserve">dos </w:t>
      </w:r>
      <w:r>
        <w:t xml:space="preserve">minérios, devido à sua baixa concentração e distribuição na </w:t>
      </w:r>
      <w:r>
        <w:rPr>
          <w:spacing w:val="1"/>
        </w:rPr>
        <w:t xml:space="preserve">massa rochosa, </w:t>
      </w:r>
      <w:r>
        <w:t xml:space="preserve">são </w:t>
      </w:r>
      <w:r>
        <w:rPr>
          <w:spacing w:val="1"/>
        </w:rPr>
        <w:t xml:space="preserve">encaminhados para </w:t>
      </w:r>
      <w:r>
        <w:t xml:space="preserve">o </w:t>
      </w:r>
      <w:r>
        <w:rPr>
          <w:spacing w:val="1"/>
        </w:rPr>
        <w:t xml:space="preserve">bota fora, </w:t>
      </w:r>
      <w:r>
        <w:rPr>
          <w:spacing w:val="2"/>
        </w:rPr>
        <w:t xml:space="preserve">onde </w:t>
      </w:r>
      <w:r>
        <w:t>são trabalhados por quijilas – grupo formado por senhoras, anciãos e homens desempregados. Os quijilas pa</w:t>
      </w:r>
      <w:r>
        <w:t>rtem cada um dos blocos de rocha à procura de uma esmeralda para ser trocada, em geral, por comida. Devido à falta de emprego na região, cerca de 1.500 pessoas se dedicam a esta atividade no</w:t>
      </w:r>
      <w:r>
        <w:rPr>
          <w:spacing w:val="15"/>
        </w:rPr>
        <w:t xml:space="preserve"> </w:t>
      </w:r>
      <w:r>
        <w:t>entorno</w:t>
      </w:r>
      <w:r>
        <w:rPr>
          <w:spacing w:val="15"/>
        </w:rPr>
        <w:t xml:space="preserve"> </w:t>
      </w:r>
      <w:r>
        <w:t>da</w:t>
      </w:r>
      <w:r>
        <w:rPr>
          <w:spacing w:val="15"/>
        </w:rPr>
        <w:t xml:space="preserve"> </w:t>
      </w:r>
      <w:r>
        <w:t>área</w:t>
      </w:r>
      <w:r>
        <w:rPr>
          <w:spacing w:val="15"/>
        </w:rPr>
        <w:t xml:space="preserve"> </w:t>
      </w:r>
      <w:r>
        <w:t>garimpeira</w:t>
      </w:r>
      <w:r>
        <w:rPr>
          <w:spacing w:val="15"/>
        </w:rPr>
        <w:t xml:space="preserve"> </w:t>
      </w:r>
      <w:r>
        <w:t>(CAVALCANTE,</w:t>
      </w:r>
      <w:r>
        <w:rPr>
          <w:spacing w:val="15"/>
        </w:rPr>
        <w:t xml:space="preserve"> </w:t>
      </w:r>
      <w:r>
        <w:t>2010).</w:t>
      </w:r>
    </w:p>
    <w:p w:rsidR="00D81F69" w:rsidRDefault="00330118">
      <w:pPr>
        <w:pStyle w:val="Corpodetexto"/>
        <w:spacing w:before="143" w:line="312" w:lineRule="auto"/>
        <w:ind w:right="191"/>
      </w:pPr>
      <w:r>
        <w:t>Vários são os impa</w:t>
      </w:r>
      <w:r>
        <w:t>ctos socioambientais causados pela extração e beneficiamento de esmeraldas nos garimpos da Serra da Carnaíba, explorados de maneira desordenada e sem estudos prévios e técnicas especializadas (CAVALCANTE, 2010). Um dele é o acúmulo de rejeitos, lançados al</w:t>
      </w:r>
      <w:r>
        <w:t>eatoriamente no ambiente (CALMON et al., 2004; BRAGA, 2007; CAVALCANTE, 2010).</w:t>
      </w:r>
    </w:p>
    <w:p w:rsidR="00D81F69" w:rsidRDefault="00330118">
      <w:pPr>
        <w:pStyle w:val="Corpodetexto"/>
        <w:spacing w:before="73" w:line="270" w:lineRule="atLeast"/>
        <w:ind w:right="196"/>
      </w:pPr>
      <w:r>
        <w:t>Uma das soluções encontradas para equacionar a quantidade de rejeitos sem destinação apropriada foi a recuperação da molibdenita contida no estéril da lavra de esmeralda (BRAGA,</w:t>
      </w:r>
      <w:r>
        <w:t xml:space="preserve"> 2007; CAVALCANTE, 2010). O preço do molibdênio no mercado internacional (US$ 35/kg) acabou incentivando a busca por esse bem de base mineral (BRAGA, 2007), cujas</w:t>
      </w:r>
    </w:p>
    <w:p w:rsidR="00D81F69" w:rsidRDefault="00D81F69">
      <w:pPr>
        <w:spacing w:line="270" w:lineRule="atLeast"/>
        <w:sectPr w:rsidR="00D81F69">
          <w:type w:val="continuous"/>
          <w:pgSz w:w="11900" w:h="16840"/>
          <w:pgMar w:top="720" w:right="500" w:bottom="280" w:left="620" w:header="720" w:footer="720" w:gutter="0"/>
          <w:cols w:num="2" w:space="720" w:equalWidth="0">
            <w:col w:w="5219" w:space="251"/>
            <w:col w:w="5310"/>
          </w:cols>
        </w:sectPr>
      </w:pPr>
    </w:p>
    <w:p w:rsidR="00D81F69" w:rsidRDefault="00330118">
      <w:pPr>
        <w:pStyle w:val="Corpodetexto"/>
        <w:spacing w:before="81" w:line="312" w:lineRule="auto"/>
        <w:ind w:right="64"/>
      </w:pPr>
      <w:r>
        <w:lastRenderedPageBreak/>
        <w:t>reservas não oficiais, no Brasil, são modestas (NESI, 2007 apud BR</w:t>
      </w:r>
      <w:r>
        <w:t>AGA, 2007; ANUÁRIO MINERAL BRASILEIRO, 2006 apud BRAGA, 2007).</w:t>
      </w:r>
    </w:p>
    <w:p w:rsidR="00D81F69" w:rsidRDefault="00330118">
      <w:pPr>
        <w:pStyle w:val="Corpodetexto"/>
        <w:spacing w:before="133" w:line="312" w:lineRule="auto"/>
        <w:ind w:right="38"/>
      </w:pPr>
      <w:r>
        <w:t>Com a detecção de molibdenita nas rochas onde eram encontradas esmeraldas e berilo (CAVALCANTE, 2010), tanto no garimpo da Carnaíba, quanto no garimpo de Socotó (BRAGA, 2007), os próprios garimpeiros viram a possibilidade de extrair o mineral comercialment</w:t>
      </w:r>
      <w:r>
        <w:t>e. Assim, em 1985, instalaram uma pequena unidade rústica de flotação [processo de separação de partículas minerais] para aproveitamento artesanal do dissulfeto de molibdênio. Chegaram a ter 10 unidades produzindo até 15.000 kg do produto por mês. Em 2010,</w:t>
      </w:r>
      <w:r>
        <w:t xml:space="preserve"> havia cinco unidades de flotação artesanais processando minérios com teor acima de 0,5% e gerando aproximadamente quatro toneladas de molibdênio concentrado ao mês (CAVALCANTE, 2010).</w:t>
      </w:r>
    </w:p>
    <w:p w:rsidR="00D81F69" w:rsidRDefault="00330118">
      <w:pPr>
        <w:pStyle w:val="Corpodetexto"/>
        <w:spacing w:before="142" w:line="312" w:lineRule="auto"/>
        <w:ind w:right="61"/>
      </w:pPr>
      <w:r>
        <w:t>Após a lavra do minério de molibdenita, os garimpeiros separam manualme</w:t>
      </w:r>
      <w:r>
        <w:t>nte os minérios de interesse dos que não são, e vendem o produto obtido para outros garimpos, os quais realizam seu beneficiamento, recebendo, ao final do processo, o preço combinado (BRAGA, 2007).</w:t>
      </w:r>
    </w:p>
    <w:p w:rsidR="00D81F69" w:rsidRDefault="00330118">
      <w:pPr>
        <w:pStyle w:val="Corpodetexto"/>
        <w:spacing w:before="134" w:line="312" w:lineRule="auto"/>
        <w:ind w:right="42"/>
      </w:pPr>
      <w:r>
        <w:t>Dentre outras aplicações, o molibdênio pode ser usado na f</w:t>
      </w:r>
      <w:r>
        <w:t>abricação de peças de aviões, contatos elétricos e motores industriais; em filamentos elétricos; na produção de aços inoxidáveis e em superligas para alta temperatura (OLIVARES, 2005; MAGYAR, 2007 apud BRAGA, 2007).</w:t>
      </w:r>
    </w:p>
    <w:p w:rsidR="00D81F69" w:rsidRDefault="00330118">
      <w:pPr>
        <w:pStyle w:val="Corpodetexto"/>
        <w:spacing w:before="5" w:line="312" w:lineRule="auto"/>
        <w:ind w:right="59"/>
      </w:pPr>
      <w:r>
        <w:t>Além disso, vem sendo estudada sua aplic</w:t>
      </w:r>
      <w:r>
        <w:t>abilidade na construção civil, incorporado em cerâmica vermelha para fabricação de tijolos e telhas especiais ou ainda como matéria prima alternativa ao feldspato na fabricação de cerâmica de revestimento, setor em franco desenvolvimento no Brasil (CAVALCA</w:t>
      </w:r>
      <w:r>
        <w:t>NTE, 2010).</w:t>
      </w:r>
    </w:p>
    <w:p w:rsidR="00D81F69" w:rsidRDefault="00330118">
      <w:pPr>
        <w:pStyle w:val="Corpodetexto"/>
        <w:spacing w:before="135" w:line="312" w:lineRule="auto"/>
        <w:ind w:right="42"/>
      </w:pPr>
      <w:r>
        <w:t xml:space="preserve">Em 2007, o Centro de Tecnologia Mineral (Cetem) realizou  um trabalho pioneiro para recuperação da molibdenita contida </w:t>
      </w:r>
      <w:r>
        <w:rPr>
          <w:spacing w:val="3"/>
        </w:rPr>
        <w:t xml:space="preserve">nos </w:t>
      </w:r>
      <w:r>
        <w:rPr>
          <w:spacing w:val="5"/>
        </w:rPr>
        <w:t xml:space="preserve">rejeitos </w:t>
      </w:r>
      <w:r>
        <w:rPr>
          <w:spacing w:val="2"/>
        </w:rPr>
        <w:t xml:space="preserve">de </w:t>
      </w:r>
      <w:r>
        <w:rPr>
          <w:spacing w:val="5"/>
        </w:rPr>
        <w:t xml:space="preserve">esmeralda/berilo </w:t>
      </w:r>
      <w:r>
        <w:rPr>
          <w:spacing w:val="2"/>
        </w:rPr>
        <w:t xml:space="preserve">da </w:t>
      </w:r>
      <w:r>
        <w:rPr>
          <w:spacing w:val="5"/>
        </w:rPr>
        <w:t xml:space="preserve">região </w:t>
      </w:r>
      <w:r>
        <w:rPr>
          <w:spacing w:val="2"/>
        </w:rPr>
        <w:t xml:space="preserve">da </w:t>
      </w:r>
      <w:r>
        <w:rPr>
          <w:spacing w:val="5"/>
        </w:rPr>
        <w:t xml:space="preserve">Serra </w:t>
      </w:r>
      <w:r>
        <w:rPr>
          <w:spacing w:val="6"/>
        </w:rPr>
        <w:t xml:space="preserve">de </w:t>
      </w:r>
      <w:r>
        <w:t xml:space="preserve">Carnaíba. O projeto de pesquisa se insere no Planejamento Estratégico </w:t>
      </w:r>
      <w:r>
        <w:t xml:space="preserve">do Ministério de Ciência, Tecnologia e Inovação (MCTI) e no Plano Plurianual do governo federal. O objetivo é universalizar o acesso aos bens gerados pela ciência e pela tecnologia e ampliar a capacidade local e regional de gerar e </w:t>
      </w:r>
      <w:r>
        <w:rPr>
          <w:spacing w:val="5"/>
        </w:rPr>
        <w:t xml:space="preserve">difundir </w:t>
      </w:r>
      <w:r>
        <w:t xml:space="preserve">o </w:t>
      </w:r>
      <w:r>
        <w:rPr>
          <w:spacing w:val="5"/>
        </w:rPr>
        <w:t>progresso téc</w:t>
      </w:r>
      <w:r>
        <w:rPr>
          <w:spacing w:val="5"/>
        </w:rPr>
        <w:t xml:space="preserve">nico, visando </w:t>
      </w:r>
      <w:r>
        <w:t xml:space="preserve">à </w:t>
      </w:r>
      <w:r>
        <w:rPr>
          <w:spacing w:val="6"/>
        </w:rPr>
        <w:t xml:space="preserve">competitividade </w:t>
      </w:r>
      <w:r>
        <w:rPr>
          <w:spacing w:val="3"/>
        </w:rPr>
        <w:t xml:space="preserve">econômica </w:t>
      </w:r>
      <w:r>
        <w:t xml:space="preserve">e à </w:t>
      </w:r>
      <w:r>
        <w:rPr>
          <w:spacing w:val="3"/>
        </w:rPr>
        <w:t xml:space="preserve">qualidade </w:t>
      </w:r>
      <w:r>
        <w:rPr>
          <w:spacing w:val="1"/>
        </w:rPr>
        <w:t xml:space="preserve">de </w:t>
      </w:r>
      <w:r>
        <w:rPr>
          <w:spacing w:val="2"/>
        </w:rPr>
        <w:t xml:space="preserve">vida </w:t>
      </w:r>
      <w:r>
        <w:rPr>
          <w:spacing w:val="1"/>
        </w:rPr>
        <w:t xml:space="preserve">da </w:t>
      </w:r>
      <w:r>
        <w:rPr>
          <w:spacing w:val="3"/>
        </w:rPr>
        <w:t xml:space="preserve">população </w:t>
      </w:r>
      <w:r>
        <w:rPr>
          <w:spacing w:val="5"/>
        </w:rPr>
        <w:t>(BRAGA, 2007).</w:t>
      </w:r>
    </w:p>
    <w:p w:rsidR="00D81F69" w:rsidRDefault="00330118">
      <w:pPr>
        <w:pStyle w:val="Corpodetexto"/>
        <w:spacing w:before="141" w:line="312" w:lineRule="auto"/>
        <w:ind w:right="54"/>
      </w:pPr>
      <w:r>
        <w:t>Para tanto, o Cetem, primeiramente, coletou amostras das minas. Depois, procedeu, em seus laboratórios, às caracterizações mineralógica e química do estéril da lavr</w:t>
      </w:r>
      <w:r>
        <w:t>a de esmeralda e dos concentrados e rejeitos de molibdenita resultante dos processos de concentração existentes na localidade de Pindobaçu (BRAGA, 2007).</w:t>
      </w:r>
    </w:p>
    <w:p w:rsidR="00D81F69" w:rsidRDefault="00330118">
      <w:pPr>
        <w:pStyle w:val="Corpodetexto"/>
        <w:spacing w:before="72" w:line="270" w:lineRule="atLeast"/>
        <w:ind w:right="40"/>
      </w:pPr>
      <w:r>
        <w:rPr>
          <w:spacing w:val="5"/>
        </w:rPr>
        <w:t xml:space="preserve">Os </w:t>
      </w:r>
      <w:r>
        <w:rPr>
          <w:spacing w:val="8"/>
        </w:rPr>
        <w:t xml:space="preserve">estudos </w:t>
      </w:r>
      <w:r>
        <w:rPr>
          <w:spacing w:val="10"/>
        </w:rPr>
        <w:t xml:space="preserve">possibilitaram </w:t>
      </w:r>
      <w:r>
        <w:t xml:space="preserve">a </w:t>
      </w:r>
      <w:r>
        <w:rPr>
          <w:spacing w:val="8"/>
        </w:rPr>
        <w:t xml:space="preserve">elaboração </w:t>
      </w:r>
      <w:r>
        <w:rPr>
          <w:spacing w:val="5"/>
        </w:rPr>
        <w:t xml:space="preserve">de </w:t>
      </w:r>
      <w:r>
        <w:rPr>
          <w:spacing w:val="6"/>
        </w:rPr>
        <w:t xml:space="preserve">uma </w:t>
      </w:r>
      <w:r>
        <w:rPr>
          <w:spacing w:val="10"/>
        </w:rPr>
        <w:t xml:space="preserve">rota </w:t>
      </w:r>
      <w:r>
        <w:rPr>
          <w:spacing w:val="12"/>
        </w:rPr>
        <w:t xml:space="preserve">preliminar </w:t>
      </w:r>
      <w:r>
        <w:rPr>
          <w:spacing w:val="6"/>
        </w:rPr>
        <w:t xml:space="preserve">de </w:t>
      </w:r>
      <w:r>
        <w:rPr>
          <w:spacing w:val="12"/>
        </w:rPr>
        <w:t xml:space="preserve">beneficiamento </w:t>
      </w:r>
      <w:r>
        <w:rPr>
          <w:spacing w:val="10"/>
        </w:rPr>
        <w:t xml:space="preserve">para </w:t>
      </w:r>
      <w:r>
        <w:rPr>
          <w:spacing w:val="12"/>
        </w:rPr>
        <w:t xml:space="preserve">recuperação </w:t>
      </w:r>
      <w:r>
        <w:rPr>
          <w:spacing w:val="6"/>
        </w:rPr>
        <w:t xml:space="preserve">da </w:t>
      </w:r>
      <w:r>
        <w:t xml:space="preserve">molibdenita contida no estéril da lavra de esmeralda. Chegou- se à conclusão de que o beneficiamento do minério deveria </w:t>
      </w:r>
      <w:r>
        <w:rPr>
          <w:spacing w:val="3"/>
        </w:rPr>
        <w:t>ser</w:t>
      </w:r>
      <w:r>
        <w:rPr>
          <w:spacing w:val="40"/>
        </w:rPr>
        <w:t xml:space="preserve"> </w:t>
      </w:r>
      <w:r>
        <w:rPr>
          <w:spacing w:val="5"/>
        </w:rPr>
        <w:t>constituído,</w:t>
      </w:r>
      <w:r>
        <w:rPr>
          <w:spacing w:val="40"/>
        </w:rPr>
        <w:t xml:space="preserve"> </w:t>
      </w:r>
      <w:r>
        <w:rPr>
          <w:spacing w:val="2"/>
        </w:rPr>
        <w:t>em</w:t>
      </w:r>
      <w:r>
        <w:rPr>
          <w:spacing w:val="40"/>
        </w:rPr>
        <w:t xml:space="preserve"> </w:t>
      </w:r>
      <w:r>
        <w:rPr>
          <w:spacing w:val="5"/>
        </w:rPr>
        <w:t>linhas</w:t>
      </w:r>
      <w:r>
        <w:rPr>
          <w:spacing w:val="40"/>
        </w:rPr>
        <w:t xml:space="preserve"> </w:t>
      </w:r>
      <w:r>
        <w:rPr>
          <w:spacing w:val="5"/>
        </w:rPr>
        <w:t>gerais,</w:t>
      </w:r>
      <w:r>
        <w:rPr>
          <w:spacing w:val="40"/>
        </w:rPr>
        <w:t xml:space="preserve"> </w:t>
      </w:r>
      <w:r>
        <w:rPr>
          <w:spacing w:val="3"/>
        </w:rPr>
        <w:t>das</w:t>
      </w:r>
      <w:r>
        <w:rPr>
          <w:spacing w:val="40"/>
        </w:rPr>
        <w:t xml:space="preserve"> </w:t>
      </w:r>
      <w:r>
        <w:rPr>
          <w:spacing w:val="5"/>
        </w:rPr>
        <w:t>seguintes</w:t>
      </w:r>
      <w:r>
        <w:rPr>
          <w:spacing w:val="40"/>
        </w:rPr>
        <w:t xml:space="preserve"> </w:t>
      </w:r>
      <w:r>
        <w:rPr>
          <w:spacing w:val="5"/>
        </w:rPr>
        <w:t>etapas:</w:t>
      </w:r>
    </w:p>
    <w:p w:rsidR="00D81F69" w:rsidRDefault="00330118">
      <w:pPr>
        <w:pStyle w:val="Corpodetexto"/>
        <w:spacing w:before="81" w:line="312" w:lineRule="auto"/>
        <w:ind w:right="196"/>
      </w:pPr>
      <w:r>
        <w:br w:type="column"/>
      </w:r>
      <w:r>
        <w:lastRenderedPageBreak/>
        <w:t>britagem, moagem, separação gravítica em mesas oscilatórias/espirais concentra</w:t>
      </w:r>
      <w:r>
        <w:t>doras [método que apresenta bons resultados com baixo custo. O processo se baseia na diferença de densidade existente entre os minerais presentes, utilizando-se um meio fluido — água ou ar — para efetivar a separação/concentração] e flotação rougher e clea</w:t>
      </w:r>
      <w:r>
        <w:t>ner (BRAGA, 2007).</w:t>
      </w:r>
    </w:p>
    <w:p w:rsidR="00D81F69" w:rsidRDefault="00330118">
      <w:pPr>
        <w:pStyle w:val="Corpodetexto"/>
        <w:spacing w:before="136" w:line="312" w:lineRule="auto"/>
        <w:ind w:right="209"/>
      </w:pPr>
      <w:r>
        <w:t xml:space="preserve">Em 2008, foi instalada, em caráter experimental, uma planta </w:t>
      </w:r>
      <w:r>
        <w:rPr>
          <w:spacing w:val="5"/>
        </w:rPr>
        <w:t xml:space="preserve">industrial </w:t>
      </w:r>
      <w:r>
        <w:rPr>
          <w:spacing w:val="2"/>
        </w:rPr>
        <w:t xml:space="preserve">em </w:t>
      </w:r>
      <w:r>
        <w:rPr>
          <w:spacing w:val="5"/>
        </w:rPr>
        <w:t xml:space="preserve">Pindobaçu, </w:t>
      </w:r>
      <w:r>
        <w:rPr>
          <w:spacing w:val="3"/>
        </w:rPr>
        <w:t xml:space="preserve">com </w:t>
      </w:r>
      <w:r>
        <w:rPr>
          <w:spacing w:val="5"/>
        </w:rPr>
        <w:t xml:space="preserve">participação </w:t>
      </w:r>
      <w:r>
        <w:rPr>
          <w:spacing w:val="2"/>
        </w:rPr>
        <w:t xml:space="preserve">de </w:t>
      </w:r>
      <w:r>
        <w:rPr>
          <w:spacing w:val="5"/>
        </w:rPr>
        <w:t>empresas</w:t>
      </w:r>
      <w:r>
        <w:rPr>
          <w:spacing w:val="61"/>
        </w:rPr>
        <w:t xml:space="preserve"> </w:t>
      </w:r>
      <w:r>
        <w:rPr>
          <w:spacing w:val="3"/>
        </w:rPr>
        <w:t xml:space="preserve">estrangeiras, </w:t>
      </w:r>
      <w:r>
        <w:rPr>
          <w:spacing w:val="2"/>
        </w:rPr>
        <w:t xml:space="preserve">para </w:t>
      </w:r>
      <w:r>
        <w:rPr>
          <w:spacing w:val="3"/>
        </w:rPr>
        <w:t xml:space="preserve">processar </w:t>
      </w:r>
      <w:r>
        <w:t xml:space="preserve">o </w:t>
      </w:r>
      <w:r>
        <w:rPr>
          <w:spacing w:val="3"/>
        </w:rPr>
        <w:t xml:space="preserve">molibdênio, </w:t>
      </w:r>
      <w:r>
        <w:rPr>
          <w:spacing w:val="2"/>
        </w:rPr>
        <w:t xml:space="preserve">que </w:t>
      </w:r>
      <w:r>
        <w:rPr>
          <w:spacing w:val="3"/>
        </w:rPr>
        <w:t xml:space="preserve">utiliza </w:t>
      </w:r>
      <w:r>
        <w:rPr>
          <w:spacing w:val="5"/>
        </w:rPr>
        <w:t xml:space="preserve">as </w:t>
      </w:r>
      <w:r>
        <w:t>gangas e blocos de rocha dos mineradores e dos pequenos produtore</w:t>
      </w:r>
      <w:r>
        <w:t xml:space="preserve">s do metal. A planta já produz cinco toneladas do produto por mês (CAVALCANTE, </w:t>
      </w:r>
      <w:r>
        <w:rPr>
          <w:spacing w:val="1"/>
        </w:rPr>
        <w:t>2010).</w:t>
      </w:r>
    </w:p>
    <w:p w:rsidR="00D81F69" w:rsidRDefault="00D81F69">
      <w:pPr>
        <w:pStyle w:val="Corpodetexto"/>
        <w:spacing w:before="5"/>
        <w:ind w:left="0"/>
        <w:jc w:val="left"/>
        <w:rPr>
          <w:sz w:val="21"/>
        </w:rPr>
      </w:pPr>
    </w:p>
    <w:p w:rsidR="00D81F69" w:rsidRDefault="00330118">
      <w:pPr>
        <w:pStyle w:val="Heading7"/>
        <w:spacing w:before="1"/>
      </w:pPr>
      <w:r>
        <w:t>LOCALIZAÇÃO GEOGRÁFICA</w:t>
      </w:r>
    </w:p>
    <w:p w:rsidR="00D81F69" w:rsidRDefault="00330118">
      <w:pPr>
        <w:pStyle w:val="Corpodetexto"/>
        <w:spacing w:before="178" w:line="312" w:lineRule="auto"/>
        <w:ind w:right="212"/>
      </w:pPr>
      <w:r>
        <w:t>A exploração de esmeraldas na Serra da Carnaíba tem como localização geográfica os municípios de Pindobaçu (latitude 10°44’34”S e longitude 40°21’</w:t>
      </w:r>
      <w:r>
        <w:t>46”W) e de Campo Formoso (latitude 10°30’41”S e longitude 40°19’21”W).</w:t>
      </w:r>
    </w:p>
    <w:p w:rsidR="00D81F69" w:rsidRDefault="00D81F69">
      <w:pPr>
        <w:pStyle w:val="Corpodetexto"/>
        <w:spacing w:before="2"/>
        <w:ind w:left="0"/>
        <w:jc w:val="left"/>
        <w:rPr>
          <w:sz w:val="29"/>
        </w:rPr>
      </w:pPr>
    </w:p>
    <w:p w:rsidR="00D81F69" w:rsidRDefault="00330118">
      <w:pPr>
        <w:pStyle w:val="Heading7"/>
      </w:pPr>
      <w:r>
        <w:t>REDATORES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7" w:line="312" w:lineRule="auto"/>
        <w:ind w:left="100" w:right="189"/>
        <w:jc w:val="both"/>
        <w:rPr>
          <w:sz w:val="16"/>
        </w:rPr>
      </w:pPr>
      <w:r>
        <w:rPr>
          <w:sz w:val="16"/>
        </w:rPr>
        <w:t>BRAGA, Paulo Fernando Almeida. Recuperação de molibdenita em rejeitos de garimpo. I Jornada do Programa de Capacitação Interna – Centro de Tecnologia Mineral (Cetem), 2007. Disponível em:</w:t>
      </w:r>
    </w:p>
    <w:p w:rsidR="00D81F69" w:rsidRDefault="00D81F69">
      <w:pPr>
        <w:spacing w:before="3" w:line="312" w:lineRule="auto"/>
        <w:ind w:left="100" w:right="191"/>
        <w:jc w:val="both"/>
        <w:rPr>
          <w:sz w:val="16"/>
        </w:rPr>
      </w:pPr>
      <w:hyperlink r:id="rId623">
        <w:r w:rsidR="00330118">
          <w:rPr>
            <w:sz w:val="16"/>
          </w:rPr>
          <w:t>&lt;http://www.cetem.gov.br/publicacao/CTs/CT2008-078-00.pdf&gt;.</w:t>
        </w:r>
      </w:hyperlink>
      <w:r w:rsidR="00330118">
        <w:rPr>
          <w:sz w:val="16"/>
        </w:rPr>
        <w:t xml:space="preserve"> Acesso em: 01 dez. 2011.</w:t>
      </w:r>
    </w:p>
    <w:p w:rsidR="00D81F69" w:rsidRDefault="00330118">
      <w:pPr>
        <w:tabs>
          <w:tab w:val="left" w:pos="4331"/>
        </w:tabs>
        <w:spacing w:before="2" w:line="312" w:lineRule="auto"/>
        <w:ind w:left="100" w:right="193"/>
        <w:jc w:val="both"/>
        <w:rPr>
          <w:sz w:val="16"/>
        </w:rPr>
      </w:pPr>
      <w:r>
        <w:rPr>
          <w:spacing w:val="1"/>
          <w:sz w:val="16"/>
        </w:rPr>
        <w:t xml:space="preserve">CALMON, Valéria Catarine Alves; ARAÚJO, Atailson </w:t>
      </w:r>
      <w:r>
        <w:rPr>
          <w:spacing w:val="2"/>
          <w:sz w:val="16"/>
        </w:rPr>
        <w:t xml:space="preserve">Sacramento; </w:t>
      </w:r>
      <w:r>
        <w:rPr>
          <w:spacing w:val="3"/>
          <w:sz w:val="16"/>
        </w:rPr>
        <w:t xml:space="preserve">FIGUEIREDO, Sandra Regina Cerqueira; SANTOS, Leila </w:t>
      </w:r>
      <w:r>
        <w:rPr>
          <w:spacing w:val="5"/>
          <w:sz w:val="16"/>
        </w:rPr>
        <w:t xml:space="preserve">Karina </w:t>
      </w:r>
      <w:r>
        <w:rPr>
          <w:spacing w:val="1"/>
          <w:sz w:val="16"/>
        </w:rPr>
        <w:t xml:space="preserve">Modesta dos; SAMPAIO, Flávio José; PEREIRA, Antônio </w:t>
      </w:r>
      <w:r>
        <w:rPr>
          <w:spacing w:val="2"/>
          <w:sz w:val="16"/>
        </w:rPr>
        <w:t xml:space="preserve">Marcos </w:t>
      </w:r>
      <w:r>
        <w:rPr>
          <w:spacing w:val="5"/>
          <w:sz w:val="16"/>
        </w:rPr>
        <w:t xml:space="preserve">Santos. </w:t>
      </w:r>
      <w:r>
        <w:rPr>
          <w:spacing w:val="6"/>
          <w:sz w:val="16"/>
        </w:rPr>
        <w:t xml:space="preserve">Problemas ambientais </w:t>
      </w:r>
      <w:r>
        <w:rPr>
          <w:spacing w:val="3"/>
          <w:sz w:val="16"/>
        </w:rPr>
        <w:t xml:space="preserve">da </w:t>
      </w:r>
      <w:r>
        <w:rPr>
          <w:spacing w:val="5"/>
          <w:sz w:val="16"/>
        </w:rPr>
        <w:t xml:space="preserve">área urbana </w:t>
      </w:r>
      <w:r>
        <w:rPr>
          <w:sz w:val="16"/>
        </w:rPr>
        <w:t xml:space="preserve">e </w:t>
      </w:r>
      <w:r>
        <w:rPr>
          <w:spacing w:val="5"/>
          <w:sz w:val="16"/>
        </w:rPr>
        <w:t xml:space="preserve">garimpo </w:t>
      </w:r>
      <w:r>
        <w:rPr>
          <w:spacing w:val="7"/>
          <w:sz w:val="16"/>
        </w:rPr>
        <w:t xml:space="preserve">de </w:t>
      </w:r>
      <w:r>
        <w:rPr>
          <w:spacing w:val="3"/>
          <w:sz w:val="16"/>
        </w:rPr>
        <w:t xml:space="preserve">esmeralda </w:t>
      </w:r>
      <w:r>
        <w:rPr>
          <w:spacing w:val="1"/>
          <w:sz w:val="16"/>
        </w:rPr>
        <w:t xml:space="preserve">da </w:t>
      </w:r>
      <w:r>
        <w:rPr>
          <w:spacing w:val="2"/>
          <w:sz w:val="16"/>
        </w:rPr>
        <w:t xml:space="preserve">Vila </w:t>
      </w:r>
      <w:r>
        <w:rPr>
          <w:spacing w:val="1"/>
          <w:sz w:val="16"/>
        </w:rPr>
        <w:t xml:space="preserve">de </w:t>
      </w:r>
      <w:r>
        <w:rPr>
          <w:spacing w:val="3"/>
          <w:sz w:val="16"/>
        </w:rPr>
        <w:t xml:space="preserve">Carnaíba </w:t>
      </w:r>
      <w:r>
        <w:rPr>
          <w:spacing w:val="1"/>
          <w:sz w:val="16"/>
        </w:rPr>
        <w:t xml:space="preserve">de </w:t>
      </w:r>
      <w:r>
        <w:rPr>
          <w:spacing w:val="3"/>
          <w:sz w:val="16"/>
        </w:rPr>
        <w:t xml:space="preserve">Cima, Pindobaçu </w:t>
      </w:r>
      <w:r>
        <w:rPr>
          <w:sz w:val="16"/>
        </w:rPr>
        <w:t xml:space="preserve">– </w:t>
      </w:r>
      <w:r>
        <w:rPr>
          <w:spacing w:val="2"/>
          <w:sz w:val="16"/>
        </w:rPr>
        <w:t xml:space="preserve">BA, </w:t>
      </w:r>
      <w:r>
        <w:rPr>
          <w:spacing w:val="5"/>
          <w:sz w:val="16"/>
        </w:rPr>
        <w:t xml:space="preserve">2004. </w:t>
      </w:r>
      <w:r>
        <w:rPr>
          <w:spacing w:val="15"/>
          <w:sz w:val="16"/>
        </w:rPr>
        <w:t xml:space="preserve">Disponível </w:t>
      </w:r>
      <w:r>
        <w:rPr>
          <w:spacing w:val="10"/>
          <w:sz w:val="16"/>
        </w:rPr>
        <w:t>em:</w:t>
      </w:r>
      <w:r>
        <w:rPr>
          <w:spacing w:val="65"/>
          <w:sz w:val="16"/>
        </w:rPr>
        <w:t xml:space="preserve"> </w:t>
      </w:r>
      <w:hyperlink r:id="rId624">
        <w:r>
          <w:rPr>
            <w:spacing w:val="15"/>
            <w:sz w:val="16"/>
          </w:rPr>
          <w:t>&lt;http://s</w:t>
        </w:r>
        <w:r>
          <w:rPr>
            <w:spacing w:val="15"/>
            <w:sz w:val="16"/>
          </w:rPr>
          <w:t xml:space="preserve">bgeo.org.br/pub_sbg/cbg/2004- </w:t>
        </w:r>
      </w:hyperlink>
      <w:r>
        <w:rPr>
          <w:spacing w:val="3"/>
          <w:sz w:val="16"/>
        </w:rPr>
        <w:t xml:space="preserve">ARAXA/04_1078_CALMONVCA.pdf&gt;. Acesso </w:t>
      </w:r>
      <w:r>
        <w:rPr>
          <w:spacing w:val="2"/>
          <w:sz w:val="16"/>
        </w:rPr>
        <w:t xml:space="preserve">em: </w:t>
      </w:r>
      <w:r>
        <w:rPr>
          <w:spacing w:val="1"/>
          <w:sz w:val="16"/>
        </w:rPr>
        <w:t xml:space="preserve">01 </w:t>
      </w:r>
      <w:r>
        <w:rPr>
          <w:spacing w:val="2"/>
          <w:sz w:val="16"/>
        </w:rPr>
        <w:t xml:space="preserve">dez. </w:t>
      </w:r>
      <w:r>
        <w:rPr>
          <w:spacing w:val="5"/>
          <w:sz w:val="16"/>
        </w:rPr>
        <w:t xml:space="preserve">2011. </w:t>
      </w:r>
      <w:r>
        <w:rPr>
          <w:sz w:val="16"/>
        </w:rPr>
        <w:t xml:space="preserve">CAVALCANTE, Ronaldo Fonseca. Estudo do potencial de utilização do resíduo da extração de esmeraldas na fabricação de cerâmica de </w:t>
      </w:r>
      <w:r>
        <w:rPr>
          <w:spacing w:val="3"/>
          <w:sz w:val="16"/>
        </w:rPr>
        <w:t>revestimento. 2010, 103f. Dissertação (Mes</w:t>
      </w:r>
      <w:r>
        <w:rPr>
          <w:spacing w:val="3"/>
          <w:sz w:val="16"/>
        </w:rPr>
        <w:t xml:space="preserve">trado </w:t>
      </w:r>
      <w:r>
        <w:rPr>
          <w:spacing w:val="1"/>
          <w:sz w:val="16"/>
        </w:rPr>
        <w:t xml:space="preserve">em </w:t>
      </w:r>
      <w:r>
        <w:rPr>
          <w:spacing w:val="5"/>
          <w:sz w:val="16"/>
        </w:rPr>
        <w:t xml:space="preserve">Engenharia </w:t>
      </w:r>
      <w:r>
        <w:rPr>
          <w:sz w:val="16"/>
        </w:rPr>
        <w:t xml:space="preserve">Mecânica). Universidade Federal do Rio Grande do Norte, Natal (RN).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9" w:line="312" w:lineRule="auto"/>
        <w:ind w:left="100" w:right="212"/>
        <w:jc w:val="both"/>
        <w:rPr>
          <w:sz w:val="16"/>
        </w:rPr>
      </w:pPr>
      <w:hyperlink r:id="rId625">
        <w:r w:rsidR="00330118">
          <w:rPr>
            <w:sz w:val="16"/>
          </w:rPr>
          <w:t>&lt;http://bdtd.bcz</w:t>
        </w:r>
        <w:r w:rsidR="00330118">
          <w:rPr>
            <w:sz w:val="16"/>
          </w:rPr>
          <w:t>m.ufrn.br/tedesimplificado/tde_arquivos/10/TDE-2010-</w:t>
        </w:r>
      </w:hyperlink>
      <w:r w:rsidR="00330118">
        <w:rPr>
          <w:sz w:val="16"/>
        </w:rPr>
        <w:t xml:space="preserve"> 06-15T094130Z-2681/Publico/RonaldoFC_DISSERT.pdf&gt;. Acesso em: 01 dez. 2011.</w:t>
      </w:r>
    </w:p>
    <w:p w:rsidR="00D81F69" w:rsidRDefault="00330118">
      <w:pPr>
        <w:tabs>
          <w:tab w:val="left" w:pos="1171"/>
          <w:tab w:val="left" w:pos="2478"/>
          <w:tab w:val="left" w:pos="4638"/>
        </w:tabs>
        <w:spacing w:before="3" w:line="312" w:lineRule="auto"/>
        <w:ind w:left="100" w:right="199"/>
        <w:jc w:val="both"/>
        <w:rPr>
          <w:sz w:val="16"/>
        </w:rPr>
      </w:pPr>
      <w:r>
        <w:rPr>
          <w:spacing w:val="7"/>
          <w:sz w:val="16"/>
        </w:rPr>
        <w:t xml:space="preserve">FERREIRA, </w:t>
      </w:r>
      <w:r>
        <w:rPr>
          <w:spacing w:val="6"/>
          <w:sz w:val="16"/>
        </w:rPr>
        <w:t xml:space="preserve">João </w:t>
      </w:r>
      <w:r>
        <w:rPr>
          <w:spacing w:val="7"/>
          <w:sz w:val="16"/>
        </w:rPr>
        <w:t xml:space="preserve">Batista. Serra </w:t>
      </w:r>
      <w:r>
        <w:rPr>
          <w:spacing w:val="5"/>
          <w:sz w:val="16"/>
        </w:rPr>
        <w:t xml:space="preserve">de </w:t>
      </w:r>
      <w:r>
        <w:rPr>
          <w:spacing w:val="7"/>
          <w:sz w:val="16"/>
        </w:rPr>
        <w:t xml:space="preserve">Carnaíba: Caçadores </w:t>
      </w:r>
      <w:r>
        <w:rPr>
          <w:spacing w:val="10"/>
          <w:sz w:val="16"/>
        </w:rPr>
        <w:t xml:space="preserve">de </w:t>
      </w:r>
      <w:r>
        <w:rPr>
          <w:sz w:val="16"/>
        </w:rPr>
        <w:t>esmeraldas mantém vivo o sonho de ficar milionário. Notícia Livre, 18 o</w:t>
      </w:r>
      <w:r>
        <w:rPr>
          <w:sz w:val="16"/>
        </w:rPr>
        <w:t xml:space="preserve">  u </w:t>
      </w:r>
      <w:r>
        <w:rPr>
          <w:spacing w:val="22"/>
          <w:sz w:val="16"/>
        </w:rPr>
        <w:t xml:space="preserve"> </w:t>
      </w:r>
      <w:r>
        <w:rPr>
          <w:sz w:val="16"/>
        </w:rPr>
        <w:t xml:space="preserve">t </w:t>
      </w:r>
      <w:r>
        <w:rPr>
          <w:spacing w:val="10"/>
          <w:sz w:val="16"/>
        </w:rPr>
        <w:t xml:space="preserve"> </w:t>
      </w:r>
      <w:r>
        <w:rPr>
          <w:sz w:val="16"/>
        </w:rPr>
        <w:t>.</w:t>
      </w:r>
      <w:r>
        <w:rPr>
          <w:sz w:val="16"/>
        </w:rPr>
        <w:tab/>
        <w:t xml:space="preserve">2  0  1 </w:t>
      </w:r>
      <w:r>
        <w:rPr>
          <w:spacing w:val="35"/>
          <w:sz w:val="16"/>
        </w:rPr>
        <w:t xml:space="preserve"> </w:t>
      </w:r>
      <w:r>
        <w:rPr>
          <w:sz w:val="16"/>
        </w:rPr>
        <w:t xml:space="preserve">0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2"/>
          <w:sz w:val="16"/>
        </w:rPr>
        <w:t xml:space="preserve"> </w:t>
      </w:r>
      <w:r>
        <w:rPr>
          <w:sz w:val="16"/>
        </w:rPr>
        <w:t>:</w:t>
      </w:r>
    </w:p>
    <w:p w:rsidR="00D81F69" w:rsidRDefault="00D81F69">
      <w:pPr>
        <w:spacing w:before="2" w:line="312" w:lineRule="auto"/>
        <w:ind w:left="100" w:right="215"/>
        <w:jc w:val="both"/>
        <w:rPr>
          <w:sz w:val="16"/>
        </w:rPr>
      </w:pPr>
      <w:hyperlink r:id="rId626">
        <w:r w:rsidR="00330118">
          <w:rPr>
            <w:sz w:val="16"/>
          </w:rPr>
          <w:t>&lt;http://noticialivre.com/index.php?option=com_content&amp;view=article&amp;i</w:t>
        </w:r>
      </w:hyperlink>
      <w:r w:rsidR="00330118">
        <w:rPr>
          <w:sz w:val="16"/>
        </w:rPr>
        <w:t xml:space="preserve"> d=1607:serra-de-carnaiba-cacadores-de-esmeraldas-mantem-vivo-o- sonho-de-ficar-milionario-&amp;catid=39:noticia-livre&amp;Itemid=56&gt;. Acesso em: 01 dez. 2011.</w:t>
      </w:r>
    </w:p>
    <w:p w:rsidR="00D81F69" w:rsidRDefault="00330118">
      <w:pPr>
        <w:spacing w:before="4" w:line="312" w:lineRule="auto"/>
        <w:ind w:left="100" w:right="158"/>
        <w:jc w:val="both"/>
        <w:rPr>
          <w:sz w:val="16"/>
        </w:rPr>
      </w:pPr>
      <w:r>
        <w:rPr>
          <w:sz w:val="16"/>
        </w:rPr>
        <w:t xml:space="preserve">IBGE, Instituto Brasileiro de Geografia e Estatística. Pindobaçu (BA). </w:t>
      </w:r>
      <w:r>
        <w:rPr>
          <w:spacing w:val="25"/>
          <w:sz w:val="16"/>
        </w:rPr>
        <w:t xml:space="preserve">In: </w:t>
      </w:r>
      <w:r>
        <w:rPr>
          <w:spacing w:val="30"/>
          <w:sz w:val="16"/>
        </w:rPr>
        <w:t xml:space="preserve">IBGE </w:t>
      </w:r>
      <w:r>
        <w:rPr>
          <w:spacing w:val="35"/>
          <w:sz w:val="16"/>
        </w:rPr>
        <w:t xml:space="preserve">Cidades, </w:t>
      </w:r>
      <w:r>
        <w:rPr>
          <w:spacing w:val="32"/>
          <w:sz w:val="16"/>
        </w:rPr>
        <w:t xml:space="preserve">2010a. </w:t>
      </w:r>
      <w:r>
        <w:rPr>
          <w:spacing w:val="35"/>
          <w:sz w:val="16"/>
        </w:rPr>
        <w:t>Disponív</w:t>
      </w:r>
      <w:r>
        <w:rPr>
          <w:spacing w:val="35"/>
          <w:sz w:val="16"/>
        </w:rPr>
        <w:t xml:space="preserve">el </w:t>
      </w:r>
      <w:r>
        <w:rPr>
          <w:spacing w:val="25"/>
          <w:sz w:val="16"/>
        </w:rPr>
        <w:t>em:</w:t>
      </w:r>
      <w:r>
        <w:rPr>
          <w:spacing w:val="-4"/>
          <w:sz w:val="16"/>
        </w:rPr>
        <w:t xml:space="preserve"> </w:t>
      </w:r>
    </w:p>
    <w:p w:rsidR="00D81F69" w:rsidRDefault="00D81F69">
      <w:pPr>
        <w:spacing w:before="1"/>
        <w:ind w:left="100"/>
        <w:jc w:val="both"/>
        <w:rPr>
          <w:sz w:val="16"/>
        </w:rPr>
      </w:pPr>
      <w:hyperlink r:id="rId627">
        <w:r w:rsidR="00330118">
          <w:rPr>
            <w:sz w:val="16"/>
          </w:rPr>
          <w:t>&lt;http://www.ibge.gov.br/cidadesat/xtras/perfil.php?codmun=292460&amp;r</w:t>
        </w:r>
      </w:hyperlink>
    </w:p>
    <w:p w:rsidR="00D81F69" w:rsidRDefault="00330118">
      <w:pPr>
        <w:spacing w:before="56"/>
        <w:ind w:left="100"/>
        <w:jc w:val="both"/>
        <w:rPr>
          <w:sz w:val="16"/>
        </w:rPr>
      </w:pPr>
      <w:r>
        <w:rPr>
          <w:sz w:val="16"/>
        </w:rPr>
        <w:t>=2&gt;. Acesso em: 01 dez. 2011.</w:t>
      </w:r>
    </w:p>
    <w:p w:rsidR="00D81F69" w:rsidRDefault="00330118">
      <w:pPr>
        <w:tabs>
          <w:tab w:val="left" w:pos="642"/>
          <w:tab w:val="left" w:pos="2559"/>
          <w:tab w:val="left" w:pos="5063"/>
        </w:tabs>
        <w:spacing w:before="56" w:line="312" w:lineRule="auto"/>
        <w:ind w:left="100" w:right="200"/>
        <w:jc w:val="both"/>
        <w:rPr>
          <w:sz w:val="16"/>
        </w:rPr>
      </w:pPr>
      <w:r>
        <w:rPr>
          <w:sz w:val="16"/>
          <w:u w:val="single"/>
        </w:rPr>
        <w:t xml:space="preserve"> </w:t>
      </w:r>
      <w:r>
        <w:rPr>
          <w:sz w:val="16"/>
          <w:u w:val="single"/>
        </w:rPr>
        <w:tab/>
      </w:r>
      <w:r>
        <w:rPr>
          <w:sz w:val="16"/>
        </w:rPr>
        <w:t>. Campo Formoso (BA). In: IBGE Cidades, 2010b. Disponível e</w:t>
      </w:r>
      <w:r>
        <w:rPr>
          <w:sz w:val="16"/>
        </w:rPr>
        <w:tab/>
      </w:r>
      <w:r>
        <w:rPr>
          <w:sz w:val="16"/>
        </w:rPr>
        <w:tab/>
        <w:t>m</w:t>
      </w:r>
      <w:r>
        <w:rPr>
          <w:sz w:val="16"/>
        </w:rPr>
        <w:tab/>
        <w:t>:</w:t>
      </w:r>
    </w:p>
    <w:p w:rsidR="00D81F69" w:rsidRDefault="00D81F69">
      <w:pPr>
        <w:spacing w:before="2"/>
        <w:ind w:left="100"/>
        <w:jc w:val="both"/>
        <w:rPr>
          <w:sz w:val="16"/>
        </w:rPr>
      </w:pPr>
      <w:hyperlink r:id="rId628">
        <w:r w:rsidR="00330118">
          <w:rPr>
            <w:sz w:val="16"/>
          </w:rPr>
          <w:t>&lt;http://www.ibge.gov.br/cidadesat/xtras/perfil.php?codmun=290600&amp;r</w:t>
        </w:r>
      </w:hyperlink>
    </w:p>
    <w:p w:rsidR="00D81F69" w:rsidRDefault="00D81F69">
      <w:pPr>
        <w:jc w:val="both"/>
        <w:rPr>
          <w:sz w:val="16"/>
        </w:rPr>
        <w:sectPr w:rsidR="00D81F69">
          <w:pgSz w:w="11900" w:h="16840"/>
          <w:pgMar w:top="740" w:right="500" w:bottom="640" w:left="620" w:header="0" w:footer="402" w:gutter="0"/>
          <w:cols w:num="2" w:space="720" w:equalWidth="0">
            <w:col w:w="5162" w:space="308"/>
            <w:col w:w="5310"/>
          </w:cols>
        </w:sectPr>
      </w:pPr>
    </w:p>
    <w:p w:rsidR="00D81F69" w:rsidRDefault="00330118">
      <w:pPr>
        <w:spacing w:before="70"/>
        <w:ind w:left="100"/>
        <w:rPr>
          <w:sz w:val="16"/>
        </w:rPr>
      </w:pPr>
      <w:r>
        <w:rPr>
          <w:sz w:val="16"/>
        </w:rPr>
        <w:lastRenderedPageBreak/>
        <w:t>=2&gt;. Acesso em: 01 dez. 2011.</w:t>
      </w:r>
    </w:p>
    <w:p w:rsidR="00D81F69" w:rsidRDefault="00330118">
      <w:pPr>
        <w:spacing w:before="56" w:line="312" w:lineRule="auto"/>
        <w:ind w:left="100" w:right="38"/>
        <w:jc w:val="both"/>
        <w:rPr>
          <w:sz w:val="16"/>
        </w:rPr>
      </w:pPr>
      <w:r>
        <w:rPr>
          <w:sz w:val="16"/>
        </w:rPr>
        <w:t xml:space="preserve">VALE, Marcelo Fabiane Silva do. Análise </w:t>
      </w:r>
      <w:r>
        <w:rPr>
          <w:sz w:val="16"/>
        </w:rPr>
        <w:t>da percepção dos moradores da Serra da Jacobina em relação ao desenvolvimento do ecoturismo associado à educação ambiental. Dissertação (Mestrado em Ecologia e Biomonitoramento) 160f. 2005,</w:t>
      </w:r>
    </w:p>
    <w:p w:rsidR="00D81F69" w:rsidRDefault="00330118">
      <w:pPr>
        <w:spacing w:before="70"/>
        <w:ind w:left="100"/>
        <w:rPr>
          <w:sz w:val="16"/>
        </w:rPr>
      </w:pPr>
      <w:r>
        <w:br w:type="column"/>
      </w:r>
      <w:r>
        <w:rPr>
          <w:sz w:val="16"/>
        </w:rPr>
        <w:lastRenderedPageBreak/>
        <w:t>Universidade Federal da Bahia, Salvador (BA). Disponível em:</w:t>
      </w:r>
    </w:p>
    <w:p w:rsidR="00D81F69" w:rsidRDefault="00D81F69">
      <w:pPr>
        <w:spacing w:before="56" w:line="312" w:lineRule="auto"/>
        <w:ind w:left="100" w:right="196"/>
        <w:jc w:val="both"/>
        <w:rPr>
          <w:sz w:val="16"/>
        </w:rPr>
      </w:pPr>
      <w:hyperlink r:id="rId629">
        <w:r w:rsidR="00330118">
          <w:rPr>
            <w:sz w:val="16"/>
          </w:rPr>
          <w:t>&lt;http://www.bibliotecadigital.ufba.br/tde_arquivos/37/TDE-2006-10-</w:t>
        </w:r>
      </w:hyperlink>
      <w:r w:rsidR="00330118">
        <w:rPr>
          <w:sz w:val="16"/>
        </w:rPr>
        <w:t xml:space="preserve"> 30T082551Z-320/Publico/Dissert%20seg.pdf&gt;. Acesso em: 01 dez. 2011.</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41" w:space="329"/>
            <w:col w:w="5310"/>
          </w:cols>
        </w:sectPr>
      </w:pPr>
    </w:p>
    <w:p w:rsidR="00D81F69" w:rsidRDefault="00330118">
      <w:pPr>
        <w:pStyle w:val="Heading1"/>
        <w:spacing w:line="208" w:lineRule="auto"/>
      </w:pPr>
      <w:r>
        <w:rPr>
          <w:spacing w:val="3"/>
        </w:rPr>
        <w:lastRenderedPageBreak/>
        <w:t xml:space="preserve">Exploração </w:t>
      </w:r>
      <w:r>
        <w:rPr>
          <w:spacing w:val="1"/>
        </w:rPr>
        <w:t>de</w:t>
      </w:r>
      <w:r>
        <w:rPr>
          <w:spacing w:val="1"/>
        </w:rPr>
        <w:t xml:space="preserve"> </w:t>
      </w:r>
      <w:r>
        <w:rPr>
          <w:spacing w:val="3"/>
        </w:rPr>
        <w:t xml:space="preserve">minério </w:t>
      </w:r>
      <w:r>
        <w:rPr>
          <w:spacing w:val="1"/>
        </w:rPr>
        <w:t xml:space="preserve">de </w:t>
      </w:r>
      <w:r>
        <w:rPr>
          <w:spacing w:val="3"/>
        </w:rPr>
        <w:t xml:space="preserve">ferro </w:t>
      </w:r>
      <w:r>
        <w:rPr>
          <w:spacing w:val="1"/>
        </w:rPr>
        <w:t xml:space="preserve">em </w:t>
      </w:r>
      <w:r>
        <w:rPr>
          <w:spacing w:val="3"/>
        </w:rPr>
        <w:t xml:space="preserve">Caetité </w:t>
      </w:r>
      <w:r>
        <w:rPr>
          <w:spacing w:val="2"/>
        </w:rPr>
        <w:t xml:space="preserve">(BA) </w:t>
      </w:r>
      <w:r>
        <w:rPr>
          <w:spacing w:val="5"/>
        </w:rPr>
        <w:t xml:space="preserve">afeta </w:t>
      </w:r>
      <w:r>
        <w:rPr>
          <w:spacing w:val="2"/>
        </w:rPr>
        <w:t xml:space="preserve">meio </w:t>
      </w:r>
      <w:r>
        <w:rPr>
          <w:spacing w:val="3"/>
        </w:rPr>
        <w:t xml:space="preserve">ambiente </w:t>
      </w:r>
      <w:r>
        <w:t xml:space="preserve">e </w:t>
      </w:r>
      <w:r>
        <w:rPr>
          <w:spacing w:val="3"/>
        </w:rPr>
        <w:t>comunidades</w:t>
      </w:r>
      <w:r>
        <w:rPr>
          <w:spacing w:val="105"/>
        </w:rPr>
        <w:t xml:space="preserve"> </w:t>
      </w:r>
      <w:r>
        <w:rPr>
          <w:spacing w:val="5"/>
        </w:rPr>
        <w:t>locais</w:t>
      </w:r>
    </w:p>
    <w:p w:rsidR="00D81F69" w:rsidRDefault="00D81F69">
      <w:pPr>
        <w:pStyle w:val="Corpodetexto"/>
        <w:ind w:left="0"/>
        <w:jc w:val="left"/>
        <w:rPr>
          <w:b/>
          <w:sz w:val="20"/>
        </w:rPr>
      </w:pPr>
    </w:p>
    <w:p w:rsidR="00D81F69" w:rsidRDefault="00D81F69">
      <w:pPr>
        <w:pStyle w:val="Corpodetexto"/>
        <w:spacing w:before="7"/>
        <w:ind w:left="0"/>
        <w:jc w:val="left"/>
        <w:rPr>
          <w:b/>
          <w:sz w:val="23"/>
        </w:rPr>
      </w:pPr>
    </w:p>
    <w:p w:rsidR="00D81F69" w:rsidRDefault="00330118">
      <w:pPr>
        <w:pStyle w:val="Corpodetexto"/>
        <w:spacing w:line="20" w:lineRule="exact"/>
        <w:ind w:left="2164"/>
        <w:jc w:val="left"/>
        <w:rPr>
          <w:sz w:val="2"/>
        </w:rPr>
      </w:pPr>
      <w:r>
        <w:rPr>
          <w:noProof/>
          <w:sz w:val="2"/>
          <w:lang w:val="pt-BR" w:eastAsia="pt-BR"/>
        </w:rPr>
        <w:drawing>
          <wp:inline distT="0" distB="0" distL="0" distR="0">
            <wp:extent cx="1811385" cy="9334"/>
            <wp:effectExtent l="0" t="0" r="0" b="0"/>
            <wp:docPr id="18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D81F69">
      <w:pPr>
        <w:spacing w:line="20" w:lineRule="exact"/>
        <w:rPr>
          <w:sz w:val="2"/>
        </w:rPr>
        <w:sectPr w:rsidR="00D81F69">
          <w:pgSz w:w="11900" w:h="16840"/>
          <w:pgMar w:top="1080" w:right="500" w:bottom="680" w:left="620" w:header="0" w:footer="402" w:gutter="0"/>
          <w:cols w:space="720"/>
        </w:sectPr>
      </w:pPr>
    </w:p>
    <w:p w:rsidR="00D81F69" w:rsidRDefault="00D81F69">
      <w:pPr>
        <w:pStyle w:val="Corpodetexto"/>
        <w:ind w:left="0"/>
        <w:jc w:val="left"/>
        <w:rPr>
          <w:b/>
          <w:sz w:val="15"/>
        </w:rPr>
      </w:pPr>
    </w:p>
    <w:p w:rsidR="00D81F69" w:rsidRDefault="00330118">
      <w:pPr>
        <w:ind w:left="135"/>
        <w:rPr>
          <w:i/>
          <w:sz w:val="14"/>
        </w:rPr>
      </w:pPr>
      <w:r>
        <w:rPr>
          <w:i/>
          <w:sz w:val="14"/>
        </w:rPr>
        <w:t>MUNICÍPIOS</w:t>
      </w:r>
    </w:p>
    <w:p w:rsidR="00D81F69" w:rsidRDefault="00330118">
      <w:pPr>
        <w:spacing w:before="49"/>
        <w:ind w:left="135"/>
        <w:rPr>
          <w:i/>
          <w:sz w:val="14"/>
        </w:rPr>
      </w:pPr>
      <w:r>
        <w:rPr>
          <w:i/>
          <w:sz w:val="14"/>
        </w:rPr>
        <w:t>-</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-14,0547</w:t>
      </w:r>
    </w:p>
    <w:p w:rsidR="00D81F69" w:rsidRDefault="00D81F69">
      <w:pPr>
        <w:pStyle w:val="Corpodetexto"/>
        <w:spacing w:before="6"/>
        <w:ind w:left="0"/>
        <w:jc w:val="left"/>
        <w:rPr>
          <w:i/>
          <w:sz w:val="22"/>
        </w:rPr>
      </w:pPr>
    </w:p>
    <w:p w:rsidR="00D81F69" w:rsidRDefault="00330118">
      <w:pPr>
        <w:spacing w:before="1"/>
        <w:ind w:left="135"/>
        <w:rPr>
          <w:i/>
          <w:sz w:val="14"/>
        </w:rPr>
      </w:pPr>
      <w:r>
        <w:rPr>
          <w:i/>
          <w:sz w:val="14"/>
        </w:rPr>
        <w:t>LONGITUDE</w:t>
      </w:r>
    </w:p>
    <w:p w:rsidR="00D81F69" w:rsidRDefault="00330118">
      <w:pPr>
        <w:spacing w:before="49"/>
        <w:ind w:left="135"/>
        <w:rPr>
          <w:i/>
          <w:sz w:val="14"/>
        </w:rPr>
      </w:pPr>
      <w:r>
        <w:rPr>
          <w:i/>
          <w:sz w:val="14"/>
        </w:rPr>
        <w:t>-42,4744</w:t>
      </w:r>
    </w:p>
    <w:p w:rsidR="00D81F69" w:rsidRDefault="00330118">
      <w:pPr>
        <w:spacing w:before="25"/>
        <w:ind w:left="135"/>
        <w:rPr>
          <w:i/>
          <w:sz w:val="18"/>
        </w:rPr>
      </w:pPr>
      <w:r>
        <w:br w:type="column"/>
      </w:r>
      <w:r>
        <w:rPr>
          <w:i/>
          <w:sz w:val="18"/>
        </w:rPr>
        <w:lastRenderedPageBreak/>
        <w:t>SÍNTESE</w:t>
      </w:r>
    </w:p>
    <w:p w:rsidR="00D81F69" w:rsidRDefault="00330118">
      <w:pPr>
        <w:spacing w:before="52" w:line="312" w:lineRule="auto"/>
        <w:ind w:left="135" w:right="38"/>
        <w:jc w:val="both"/>
        <w:rPr>
          <w:i/>
          <w:sz w:val="16"/>
        </w:rPr>
      </w:pPr>
      <w:r>
        <w:rPr>
          <w:i/>
          <w:sz w:val="16"/>
        </w:rPr>
        <w:t xml:space="preserve">A Bahia Mineração (Bamin) descobriu </w:t>
      </w:r>
      <w:r>
        <w:rPr>
          <w:i/>
          <w:sz w:val="16"/>
        </w:rPr>
        <w:t>uma extensa reserva de minério de ferro na cidade de Caetité, Bahia. A reserva poderá deixar o estado em posição de destaque na mineração nacional, trazendo para Caetité um grande avanço econômico, com oferta de empregos e atração de capitais, importante p</w:t>
      </w:r>
      <w:r>
        <w:rPr>
          <w:i/>
          <w:sz w:val="16"/>
        </w:rPr>
        <w:t xml:space="preserve">ara o desenvolvimento da região. Contudo, a população local teme desastres ambientais e sociais graves. </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8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145" w:line="312" w:lineRule="auto"/>
        <w:ind w:left="135" w:right="195"/>
      </w:pPr>
      <w:r>
        <w:br w:type="column"/>
      </w:r>
      <w:r>
        <w:lastRenderedPageBreak/>
        <w:t xml:space="preserve">Na área social, a empresa promete uso de mão de obra da região, o que geraria impacto econômico significativo, não só em Caetité, mas em pelo menos </w:t>
      </w:r>
      <w:r>
        <w:t>três municípios do entorno, particularmente nas cidades de Ilhéus, Malhada e Guanambi. Além disso, a Bamin promete oferecer aos moradores da região o Programa de Cidadania e Qualificação Profissional (BAMIN, 2011).</w:t>
      </w:r>
    </w:p>
    <w:p w:rsidR="00D81F69" w:rsidRDefault="00330118">
      <w:pPr>
        <w:pStyle w:val="Corpodetexto"/>
        <w:spacing w:before="74" w:line="270" w:lineRule="atLeast"/>
        <w:ind w:left="135" w:right="201"/>
      </w:pPr>
      <w:r>
        <w:t>A despeito disso, a Igreja Católica e os ambientalistas destacam não só os possíveis impactos negativos ao ambiente e o crescimento desordenado da região, mas também a pressão psicológica do projeto sobre os agricultores, numa campanha frequente para que a</w:t>
      </w:r>
      <w:r>
        <w:t xml:space="preserve"> população</w:t>
      </w:r>
    </w:p>
    <w:p w:rsidR="00D81F69" w:rsidRDefault="00D81F69">
      <w:pPr>
        <w:spacing w:line="270" w:lineRule="atLeast"/>
        <w:sectPr w:rsidR="00D81F69">
          <w:type w:val="continuous"/>
          <w:pgSz w:w="11900" w:h="16840"/>
          <w:pgMar w:top="720" w:right="500" w:bottom="280" w:left="620" w:header="720" w:footer="720" w:gutter="0"/>
          <w:cols w:num="3" w:space="720" w:equalWidth="0">
            <w:col w:w="1008" w:space="992"/>
            <w:col w:w="3129" w:space="306"/>
            <w:col w:w="5345"/>
          </w:cols>
        </w:sectPr>
      </w:pPr>
    </w:p>
    <w:p w:rsidR="00D81F69" w:rsidRDefault="00330118">
      <w:pPr>
        <w:pStyle w:val="Heading4"/>
        <w:spacing w:line="193" w:lineRule="exact"/>
      </w:pPr>
      <w:r>
        <w:lastRenderedPageBreak/>
        <w:t>APRESENTAÇÃO DE CASO</w:t>
      </w:r>
    </w:p>
    <w:p w:rsidR="00D81F69" w:rsidRDefault="00330118">
      <w:pPr>
        <w:pStyle w:val="Corpodetexto"/>
        <w:spacing w:before="170" w:line="312" w:lineRule="auto"/>
        <w:ind w:right="72"/>
      </w:pPr>
      <w:r>
        <w:t xml:space="preserve">A importância do minério de </w:t>
      </w:r>
      <w:hyperlink r:id="rId630">
        <w:r>
          <w:t>ferro</w:t>
        </w:r>
      </w:hyperlink>
      <w:r>
        <w:t xml:space="preserve"> para a indústria é inquestionável; ele é matéria-prima essencial na </w:t>
      </w:r>
      <w:r>
        <w:t>produção do aço – quase 98% do que é extraído se aplica a este fim. Por seu destino, o minério de ferro torna-se indispensável às indústrias, principalmente para a automobilística (BAMIN, 2011).</w:t>
      </w:r>
    </w:p>
    <w:p w:rsidR="00D81F69" w:rsidRDefault="00330118">
      <w:pPr>
        <w:pStyle w:val="Corpodetexto"/>
        <w:spacing w:before="136"/>
      </w:pPr>
      <w:r>
        <w:t>Em Caetité – 2.442,887 km² e 47.515 habitantes (IBGE, 2010)</w:t>
      </w:r>
    </w:p>
    <w:p w:rsidR="00D81F69" w:rsidRDefault="00330118">
      <w:pPr>
        <w:pStyle w:val="PargrafodaLista"/>
        <w:numPr>
          <w:ilvl w:val="0"/>
          <w:numId w:val="3"/>
        </w:numPr>
        <w:tabs>
          <w:tab w:val="left" w:pos="294"/>
        </w:tabs>
        <w:spacing w:before="63" w:line="312" w:lineRule="auto"/>
        <w:ind w:right="77" w:firstLine="0"/>
        <w:rPr>
          <w:sz w:val="18"/>
        </w:rPr>
      </w:pPr>
      <w:r>
        <w:rPr>
          <w:spacing w:val="6"/>
          <w:sz w:val="18"/>
        </w:rPr>
        <w:t>m</w:t>
      </w:r>
      <w:r>
        <w:rPr>
          <w:spacing w:val="6"/>
          <w:sz w:val="18"/>
        </w:rPr>
        <w:t xml:space="preserve">unicípio localizado </w:t>
      </w:r>
      <w:r>
        <w:rPr>
          <w:sz w:val="18"/>
        </w:rPr>
        <w:t xml:space="preserve">a </w:t>
      </w:r>
      <w:r>
        <w:rPr>
          <w:spacing w:val="5"/>
          <w:sz w:val="18"/>
        </w:rPr>
        <w:t xml:space="preserve">757 </w:t>
      </w:r>
      <w:r>
        <w:rPr>
          <w:spacing w:val="3"/>
          <w:sz w:val="18"/>
        </w:rPr>
        <w:t xml:space="preserve">km de </w:t>
      </w:r>
      <w:r>
        <w:rPr>
          <w:spacing w:val="6"/>
          <w:sz w:val="18"/>
        </w:rPr>
        <w:t xml:space="preserve">Salvador, </w:t>
      </w:r>
      <w:r>
        <w:rPr>
          <w:sz w:val="18"/>
        </w:rPr>
        <w:t xml:space="preserve">a </w:t>
      </w:r>
      <w:r>
        <w:rPr>
          <w:spacing w:val="7"/>
          <w:sz w:val="18"/>
        </w:rPr>
        <w:t xml:space="preserve">Bahia </w:t>
      </w:r>
      <w:r>
        <w:rPr>
          <w:sz w:val="18"/>
        </w:rPr>
        <w:t xml:space="preserve">Mineração (Bamin) encontrou reservas de minério de ferro – algo próximo a 10 bilhões de toneladas de concentrado. Esta quantidade seria capaz de fazer da Bahia o terceiro </w:t>
      </w:r>
      <w:r>
        <w:rPr>
          <w:spacing w:val="1"/>
          <w:sz w:val="18"/>
        </w:rPr>
        <w:t xml:space="preserve">estado </w:t>
      </w:r>
      <w:r>
        <w:rPr>
          <w:sz w:val="18"/>
        </w:rPr>
        <w:t xml:space="preserve">em produção do minério no Brasil – atrás apenas de Carajás, </w:t>
      </w:r>
      <w:r>
        <w:rPr>
          <w:spacing w:val="3"/>
          <w:sz w:val="18"/>
        </w:rPr>
        <w:t xml:space="preserve">no </w:t>
      </w:r>
      <w:r>
        <w:rPr>
          <w:spacing w:val="5"/>
          <w:sz w:val="18"/>
        </w:rPr>
        <w:t xml:space="preserve">Pará, </w:t>
      </w:r>
      <w:r>
        <w:rPr>
          <w:sz w:val="18"/>
        </w:rPr>
        <w:t xml:space="preserve">e </w:t>
      </w:r>
      <w:r>
        <w:rPr>
          <w:spacing w:val="3"/>
          <w:sz w:val="18"/>
        </w:rPr>
        <w:t xml:space="preserve">do </w:t>
      </w:r>
      <w:r>
        <w:rPr>
          <w:spacing w:val="6"/>
          <w:sz w:val="18"/>
        </w:rPr>
        <w:t xml:space="preserve">Quadrilátero Ferrífero, </w:t>
      </w:r>
      <w:r>
        <w:rPr>
          <w:spacing w:val="3"/>
          <w:sz w:val="18"/>
        </w:rPr>
        <w:t xml:space="preserve">em </w:t>
      </w:r>
      <w:r>
        <w:rPr>
          <w:spacing w:val="5"/>
          <w:sz w:val="18"/>
        </w:rPr>
        <w:t xml:space="preserve">Minas </w:t>
      </w:r>
      <w:r>
        <w:rPr>
          <w:spacing w:val="7"/>
          <w:sz w:val="18"/>
        </w:rPr>
        <w:t xml:space="preserve">Gerais </w:t>
      </w:r>
      <w:r>
        <w:rPr>
          <w:spacing w:val="5"/>
          <w:sz w:val="18"/>
        </w:rPr>
        <w:t>(BAMIN,</w:t>
      </w:r>
      <w:r>
        <w:rPr>
          <w:spacing w:val="40"/>
          <w:sz w:val="18"/>
        </w:rPr>
        <w:t xml:space="preserve"> </w:t>
      </w:r>
      <w:r>
        <w:rPr>
          <w:spacing w:val="7"/>
          <w:sz w:val="18"/>
        </w:rPr>
        <w:t>2011).</w:t>
      </w:r>
    </w:p>
    <w:p w:rsidR="00D81F69" w:rsidRDefault="00330118">
      <w:pPr>
        <w:pStyle w:val="Corpodetexto"/>
        <w:spacing w:before="136" w:line="312" w:lineRule="auto"/>
        <w:ind w:right="87"/>
      </w:pPr>
      <w:r>
        <w:t>A empresa prepara-se para iniciar a extração e beneficiamento do minério por meio do Projeto Pedra de Ferro, o qual, apesar das</w:t>
      </w:r>
      <w:r>
        <w:t xml:space="preserve"> promessas e garantias de infraestrutura, emprego e capitais, tem gerado polêmica entre ambientalistas e populações ribeirinhas, pelas transformações que acarretará ao meio ambiente e à qualidade de vida local (BAMIN, 2011).</w:t>
      </w:r>
    </w:p>
    <w:p w:rsidR="00D81F69" w:rsidRDefault="00330118">
      <w:pPr>
        <w:pStyle w:val="Corpodetexto"/>
        <w:spacing w:before="136" w:line="312" w:lineRule="auto"/>
        <w:ind w:right="83"/>
      </w:pPr>
      <w:r>
        <w:t xml:space="preserve">A </w:t>
      </w:r>
      <w:r>
        <w:rPr>
          <w:spacing w:val="5"/>
        </w:rPr>
        <w:t xml:space="preserve">Bamin, </w:t>
      </w:r>
      <w:r>
        <w:rPr>
          <w:spacing w:val="2"/>
        </w:rPr>
        <w:t xml:space="preserve">no </w:t>
      </w:r>
      <w:r>
        <w:rPr>
          <w:spacing w:val="5"/>
        </w:rPr>
        <w:t xml:space="preserve">entanto, garante </w:t>
      </w:r>
      <w:r>
        <w:rPr>
          <w:spacing w:val="2"/>
        </w:rPr>
        <w:t>se</w:t>
      </w:r>
      <w:r>
        <w:rPr>
          <w:spacing w:val="2"/>
        </w:rPr>
        <w:t xml:space="preserve"> </w:t>
      </w:r>
      <w:r>
        <w:rPr>
          <w:spacing w:val="5"/>
        </w:rPr>
        <w:t xml:space="preserve">orientar </w:t>
      </w:r>
      <w:r>
        <w:rPr>
          <w:spacing w:val="3"/>
        </w:rPr>
        <w:t xml:space="preserve">pela </w:t>
      </w:r>
      <w:r>
        <w:rPr>
          <w:spacing w:val="5"/>
        </w:rPr>
        <w:t>lógica do</w:t>
      </w:r>
      <w:r>
        <w:rPr>
          <w:spacing w:val="61"/>
        </w:rPr>
        <w:t xml:space="preserve"> </w:t>
      </w:r>
      <w:r>
        <w:rPr>
          <w:spacing w:val="1"/>
        </w:rPr>
        <w:t xml:space="preserve">desenvolvimento sustentável </w:t>
      </w:r>
      <w:r>
        <w:t xml:space="preserve">nas </w:t>
      </w:r>
      <w:r>
        <w:rPr>
          <w:spacing w:val="1"/>
        </w:rPr>
        <w:t xml:space="preserve">localidades onde atua, </w:t>
      </w:r>
      <w:r>
        <w:t xml:space="preserve">e assume compromisso de produzir e comercializar o minério </w:t>
      </w:r>
      <w:r>
        <w:rPr>
          <w:spacing w:val="6"/>
        </w:rPr>
        <w:t xml:space="preserve">de </w:t>
      </w:r>
      <w:r>
        <w:rPr>
          <w:spacing w:val="11"/>
        </w:rPr>
        <w:t xml:space="preserve">ferro </w:t>
      </w:r>
      <w:r>
        <w:rPr>
          <w:spacing w:val="12"/>
        </w:rPr>
        <w:t xml:space="preserve">seguindo </w:t>
      </w:r>
      <w:r>
        <w:rPr>
          <w:spacing w:val="11"/>
        </w:rPr>
        <w:t xml:space="preserve">ética </w:t>
      </w:r>
      <w:r>
        <w:t xml:space="preserve">e </w:t>
      </w:r>
      <w:r>
        <w:rPr>
          <w:spacing w:val="12"/>
        </w:rPr>
        <w:t xml:space="preserve">atitudes </w:t>
      </w:r>
      <w:r>
        <w:rPr>
          <w:spacing w:val="15"/>
        </w:rPr>
        <w:t xml:space="preserve">socioambientais </w:t>
      </w:r>
      <w:r>
        <w:rPr>
          <w:spacing w:val="12"/>
        </w:rPr>
        <w:t xml:space="preserve">responsáveis </w:t>
      </w:r>
      <w:r>
        <w:rPr>
          <w:spacing w:val="11"/>
        </w:rPr>
        <w:t>(BAMIN,</w:t>
      </w:r>
      <w:r>
        <w:rPr>
          <w:spacing w:val="62"/>
        </w:rPr>
        <w:t xml:space="preserve"> </w:t>
      </w:r>
      <w:r>
        <w:rPr>
          <w:spacing w:val="15"/>
        </w:rPr>
        <w:t>2011).</w:t>
      </w:r>
    </w:p>
    <w:p w:rsidR="00D81F69" w:rsidRDefault="00330118">
      <w:pPr>
        <w:pStyle w:val="Corpodetexto"/>
        <w:spacing w:before="135" w:line="312" w:lineRule="auto"/>
        <w:ind w:right="69"/>
      </w:pPr>
      <w:r>
        <w:t>Segundo a empresa, seu projeto procura</w:t>
      </w:r>
      <w:r>
        <w:t>rá minimizar qualquer tipo de impacto na instalação da mina, além de buscar medidas compensatórias para o meio ambiente: recolocação das espécies; análise da qualidade do ar e da água superficial e subterrânea; desenvolvimento de estudos sobre o consumo de</w:t>
      </w:r>
      <w:r>
        <w:t xml:space="preserve"> energia; da água; direção e velocidade dos ventos; ruídos e demais impactos ambientais potenciais (BAMIN, 2011).</w:t>
      </w:r>
    </w:p>
    <w:p w:rsidR="00D81F69" w:rsidRDefault="00330118">
      <w:pPr>
        <w:pStyle w:val="Corpodetexto"/>
        <w:spacing w:before="63" w:line="312" w:lineRule="auto"/>
        <w:ind w:right="211"/>
      </w:pPr>
      <w:r>
        <w:br w:type="column"/>
      </w:r>
      <w:r>
        <w:lastRenderedPageBreak/>
        <w:t>saia da região e venda suas casas e propriedades para a empresa. A planta da Bamin ocupa 1.820 hectares de área construída e mais 2.106 hecta</w:t>
      </w:r>
      <w:r>
        <w:t>res, afetando, inclusive, as comunidades quilombolas da região (A TARDE, 2009).</w:t>
      </w:r>
    </w:p>
    <w:p w:rsidR="00D81F69" w:rsidRDefault="00330118">
      <w:pPr>
        <w:pStyle w:val="Corpodetexto"/>
        <w:spacing w:before="134" w:line="312" w:lineRule="auto"/>
        <w:ind w:right="199"/>
      </w:pPr>
      <w:r>
        <w:rPr>
          <w:spacing w:val="5"/>
        </w:rPr>
        <w:t xml:space="preserve">Segundo </w:t>
      </w:r>
      <w:r>
        <w:t xml:space="preserve">a </w:t>
      </w:r>
      <w:r>
        <w:rPr>
          <w:spacing w:val="5"/>
        </w:rPr>
        <w:t xml:space="preserve">empresa, </w:t>
      </w:r>
      <w:r>
        <w:rPr>
          <w:spacing w:val="2"/>
        </w:rPr>
        <w:t xml:space="preserve">os </w:t>
      </w:r>
      <w:r>
        <w:rPr>
          <w:spacing w:val="5"/>
        </w:rPr>
        <w:t xml:space="preserve">proprietários teriam </w:t>
      </w:r>
      <w:r>
        <w:t xml:space="preserve">a </w:t>
      </w:r>
      <w:r>
        <w:rPr>
          <w:spacing w:val="3"/>
        </w:rPr>
        <w:t xml:space="preserve">opção </w:t>
      </w:r>
      <w:r>
        <w:rPr>
          <w:spacing w:val="5"/>
        </w:rPr>
        <w:t>de</w:t>
      </w:r>
      <w:r>
        <w:rPr>
          <w:spacing w:val="61"/>
        </w:rPr>
        <w:t xml:space="preserve"> </w:t>
      </w:r>
      <w:r>
        <w:rPr>
          <w:spacing w:val="1"/>
        </w:rPr>
        <w:t xml:space="preserve">receber royalties </w:t>
      </w:r>
      <w:r>
        <w:t xml:space="preserve">– 1% do </w:t>
      </w:r>
      <w:r>
        <w:rPr>
          <w:spacing w:val="1"/>
        </w:rPr>
        <w:t xml:space="preserve">lavrado </w:t>
      </w:r>
      <w:r>
        <w:t xml:space="preserve">por dia – </w:t>
      </w:r>
      <w:r>
        <w:rPr>
          <w:spacing w:val="1"/>
        </w:rPr>
        <w:t xml:space="preserve">pela venda </w:t>
      </w:r>
      <w:r>
        <w:rPr>
          <w:spacing w:val="2"/>
        </w:rPr>
        <w:t xml:space="preserve">de </w:t>
      </w:r>
      <w:r>
        <w:rPr>
          <w:spacing w:val="1"/>
        </w:rPr>
        <w:t xml:space="preserve">suas terras. Segundo ela, </w:t>
      </w:r>
      <w:r>
        <w:t xml:space="preserve">não há </w:t>
      </w:r>
      <w:r>
        <w:rPr>
          <w:spacing w:val="1"/>
        </w:rPr>
        <w:t xml:space="preserve">qualquer pressão para </w:t>
      </w:r>
      <w:r>
        <w:t xml:space="preserve">a </w:t>
      </w:r>
      <w:r>
        <w:rPr>
          <w:spacing w:val="5"/>
        </w:rPr>
        <w:t xml:space="preserve">venda </w:t>
      </w:r>
      <w:r>
        <w:t>e</w:t>
      </w:r>
      <w:r>
        <w:t xml:space="preserve"> o </w:t>
      </w:r>
      <w:r>
        <w:rPr>
          <w:spacing w:val="5"/>
        </w:rPr>
        <w:t xml:space="preserve">abandono </w:t>
      </w:r>
      <w:r>
        <w:rPr>
          <w:spacing w:val="3"/>
        </w:rPr>
        <w:t xml:space="preserve">das </w:t>
      </w:r>
      <w:r>
        <w:rPr>
          <w:spacing w:val="5"/>
        </w:rPr>
        <w:t xml:space="preserve">casas; </w:t>
      </w:r>
      <w:r>
        <w:t xml:space="preserve">a </w:t>
      </w:r>
      <w:r>
        <w:rPr>
          <w:spacing w:val="5"/>
        </w:rPr>
        <w:t xml:space="preserve">Bamin alega </w:t>
      </w:r>
      <w:r>
        <w:rPr>
          <w:spacing w:val="3"/>
        </w:rPr>
        <w:t xml:space="preserve">que </w:t>
      </w:r>
      <w:r>
        <w:rPr>
          <w:spacing w:val="6"/>
        </w:rPr>
        <w:t xml:space="preserve">vai </w:t>
      </w:r>
      <w:r>
        <w:rPr>
          <w:spacing w:val="3"/>
        </w:rPr>
        <w:t xml:space="preserve">trabalhar </w:t>
      </w:r>
      <w:r>
        <w:rPr>
          <w:spacing w:val="2"/>
        </w:rPr>
        <w:t xml:space="preserve">com mão </w:t>
      </w:r>
      <w:r>
        <w:rPr>
          <w:spacing w:val="1"/>
        </w:rPr>
        <w:t xml:space="preserve">de </w:t>
      </w:r>
      <w:r>
        <w:rPr>
          <w:spacing w:val="2"/>
        </w:rPr>
        <w:t xml:space="preserve">obra </w:t>
      </w:r>
      <w:r>
        <w:rPr>
          <w:spacing w:val="1"/>
        </w:rPr>
        <w:t xml:space="preserve">de </w:t>
      </w:r>
      <w:r>
        <w:rPr>
          <w:spacing w:val="3"/>
        </w:rPr>
        <w:t xml:space="preserve">Caetité, </w:t>
      </w:r>
      <w:r>
        <w:rPr>
          <w:spacing w:val="2"/>
        </w:rPr>
        <w:t xml:space="preserve">por isso não </w:t>
      </w:r>
      <w:r>
        <w:rPr>
          <w:spacing w:val="5"/>
        </w:rPr>
        <w:t xml:space="preserve">teria sentido obrigar </w:t>
      </w:r>
      <w:r>
        <w:rPr>
          <w:spacing w:val="3"/>
        </w:rPr>
        <w:t xml:space="preserve">as </w:t>
      </w:r>
      <w:r>
        <w:rPr>
          <w:spacing w:val="5"/>
        </w:rPr>
        <w:t xml:space="preserve">pessoas </w:t>
      </w:r>
      <w:r>
        <w:t xml:space="preserve">a </w:t>
      </w:r>
      <w:r>
        <w:rPr>
          <w:spacing w:val="5"/>
        </w:rPr>
        <w:t xml:space="preserve">saírem </w:t>
      </w:r>
      <w:r>
        <w:rPr>
          <w:spacing w:val="3"/>
        </w:rPr>
        <w:t xml:space="preserve">de </w:t>
      </w:r>
      <w:r>
        <w:rPr>
          <w:spacing w:val="5"/>
        </w:rPr>
        <w:t xml:space="preserve">onde estão </w:t>
      </w:r>
      <w:r>
        <w:rPr>
          <w:spacing w:val="7"/>
        </w:rPr>
        <w:t xml:space="preserve">(A </w:t>
      </w:r>
      <w:r>
        <w:t xml:space="preserve">TARDE, 2009). Há relatos, no entanto, de que famílias teriam </w:t>
      </w:r>
      <w:r>
        <w:rPr>
          <w:spacing w:val="5"/>
        </w:rPr>
        <w:t xml:space="preserve">deixado suas casas, sob </w:t>
      </w:r>
      <w:r>
        <w:t xml:space="preserve">a </w:t>
      </w:r>
      <w:r>
        <w:rPr>
          <w:spacing w:val="5"/>
        </w:rPr>
        <w:t xml:space="preserve">ameaça </w:t>
      </w:r>
      <w:r>
        <w:rPr>
          <w:spacing w:val="3"/>
        </w:rPr>
        <w:t xml:space="preserve">de </w:t>
      </w:r>
      <w:r>
        <w:rPr>
          <w:spacing w:val="5"/>
        </w:rPr>
        <w:t xml:space="preserve">que, </w:t>
      </w:r>
      <w:r>
        <w:rPr>
          <w:spacing w:val="3"/>
        </w:rPr>
        <w:t xml:space="preserve">se </w:t>
      </w:r>
      <w:r>
        <w:rPr>
          <w:spacing w:val="5"/>
        </w:rPr>
        <w:t xml:space="preserve">não </w:t>
      </w:r>
      <w:r>
        <w:rPr>
          <w:spacing w:val="7"/>
        </w:rPr>
        <w:t xml:space="preserve">as </w:t>
      </w:r>
      <w:r>
        <w:rPr>
          <w:spacing w:val="15"/>
        </w:rPr>
        <w:t xml:space="preserve">vendessem, </w:t>
      </w:r>
      <w:r>
        <w:rPr>
          <w:spacing w:val="13"/>
        </w:rPr>
        <w:t xml:space="preserve">ficariam ilhadas, </w:t>
      </w:r>
      <w:r>
        <w:rPr>
          <w:spacing w:val="7"/>
        </w:rPr>
        <w:t xml:space="preserve">no </w:t>
      </w:r>
      <w:r>
        <w:rPr>
          <w:spacing w:val="11"/>
        </w:rPr>
        <w:t xml:space="preserve">meio </w:t>
      </w:r>
      <w:r>
        <w:rPr>
          <w:spacing w:val="7"/>
        </w:rPr>
        <w:t xml:space="preserve">do </w:t>
      </w:r>
      <w:r>
        <w:rPr>
          <w:spacing w:val="13"/>
        </w:rPr>
        <w:t xml:space="preserve">projeto </w:t>
      </w:r>
      <w:r>
        <w:rPr>
          <w:spacing w:val="15"/>
        </w:rPr>
        <w:t xml:space="preserve">(BENVENUTI, </w:t>
      </w:r>
      <w:r>
        <w:rPr>
          <w:spacing w:val="13"/>
        </w:rPr>
        <w:t>2011).</w:t>
      </w:r>
      <w:r>
        <w:rPr>
          <w:spacing w:val="-32"/>
        </w:rPr>
        <w:t xml:space="preserve"> </w:t>
      </w:r>
    </w:p>
    <w:p w:rsidR="00D81F69" w:rsidRDefault="00330118">
      <w:pPr>
        <w:pStyle w:val="Corpodetexto"/>
        <w:spacing w:before="139" w:line="312" w:lineRule="auto"/>
        <w:ind w:right="193"/>
      </w:pPr>
      <w:r>
        <w:t xml:space="preserve">A </w:t>
      </w:r>
      <w:r>
        <w:rPr>
          <w:spacing w:val="8"/>
        </w:rPr>
        <w:t xml:space="preserve">Bamin teria </w:t>
      </w:r>
      <w:r>
        <w:rPr>
          <w:spacing w:val="10"/>
        </w:rPr>
        <w:t xml:space="preserve">também afetado comunidades </w:t>
      </w:r>
      <w:r>
        <w:rPr>
          <w:spacing w:val="11"/>
        </w:rPr>
        <w:t xml:space="preserve">negras </w:t>
      </w:r>
      <w:r>
        <w:rPr>
          <w:spacing w:val="5"/>
        </w:rPr>
        <w:t xml:space="preserve">tradicionais </w:t>
      </w:r>
      <w:r>
        <w:rPr>
          <w:spacing w:val="3"/>
        </w:rPr>
        <w:t xml:space="preserve">não </w:t>
      </w:r>
      <w:r>
        <w:rPr>
          <w:spacing w:val="2"/>
        </w:rPr>
        <w:t xml:space="preserve">só em </w:t>
      </w:r>
      <w:r>
        <w:rPr>
          <w:spacing w:val="5"/>
        </w:rPr>
        <w:t xml:space="preserve">Caetité, </w:t>
      </w:r>
      <w:r>
        <w:rPr>
          <w:spacing w:val="3"/>
        </w:rPr>
        <w:t xml:space="preserve">mas </w:t>
      </w:r>
      <w:r>
        <w:rPr>
          <w:spacing w:val="5"/>
        </w:rPr>
        <w:t xml:space="preserve">também </w:t>
      </w:r>
      <w:r>
        <w:rPr>
          <w:spacing w:val="2"/>
        </w:rPr>
        <w:t xml:space="preserve">em </w:t>
      </w:r>
      <w:r>
        <w:rPr>
          <w:spacing w:val="6"/>
        </w:rPr>
        <w:t xml:space="preserve">Pindaí </w:t>
      </w:r>
      <w:r>
        <w:t>(Antas Velhas e Palmitos), e teria causado derramamento de óleo em um po</w:t>
      </w:r>
      <w:r>
        <w:t xml:space="preserve">ço que abastece a Comunidade de Cachoeira. A reclamação foi feita por moradores da comunidade, durante </w:t>
      </w:r>
      <w:r>
        <w:rPr>
          <w:spacing w:val="5"/>
        </w:rPr>
        <w:t xml:space="preserve">uma </w:t>
      </w:r>
      <w:r>
        <w:rPr>
          <w:spacing w:val="6"/>
        </w:rPr>
        <w:t xml:space="preserve">audiência pública. Alega-se </w:t>
      </w:r>
      <w:r>
        <w:rPr>
          <w:spacing w:val="5"/>
        </w:rPr>
        <w:t xml:space="preserve">ainda que </w:t>
      </w:r>
      <w:r>
        <w:t xml:space="preserve">a </w:t>
      </w:r>
      <w:r>
        <w:rPr>
          <w:spacing w:val="7"/>
        </w:rPr>
        <w:t xml:space="preserve">empresa </w:t>
      </w:r>
      <w:r>
        <w:rPr>
          <w:spacing w:val="1"/>
        </w:rPr>
        <w:t xml:space="preserve">adquiriu terras </w:t>
      </w:r>
      <w:r>
        <w:t xml:space="preserve">de uso </w:t>
      </w:r>
      <w:r>
        <w:rPr>
          <w:spacing w:val="1"/>
        </w:rPr>
        <w:t xml:space="preserve">comum </w:t>
      </w:r>
      <w:r>
        <w:t xml:space="preserve">das </w:t>
      </w:r>
      <w:r>
        <w:rPr>
          <w:spacing w:val="1"/>
        </w:rPr>
        <w:t xml:space="preserve">populações </w:t>
      </w:r>
      <w:r>
        <w:rPr>
          <w:spacing w:val="2"/>
        </w:rPr>
        <w:t xml:space="preserve">tradicionais, </w:t>
      </w:r>
      <w:r>
        <w:rPr>
          <w:spacing w:val="11"/>
        </w:rPr>
        <w:t xml:space="preserve">terras </w:t>
      </w:r>
      <w:r>
        <w:rPr>
          <w:spacing w:val="12"/>
        </w:rPr>
        <w:t xml:space="preserve">públicas, comprometendo </w:t>
      </w:r>
      <w:r>
        <w:t xml:space="preserve">a </w:t>
      </w:r>
      <w:r>
        <w:rPr>
          <w:spacing w:val="11"/>
        </w:rPr>
        <w:t xml:space="preserve">criação </w:t>
      </w:r>
      <w:r>
        <w:rPr>
          <w:spacing w:val="6"/>
        </w:rPr>
        <w:t>de</w:t>
      </w:r>
      <w:r>
        <w:rPr>
          <w:spacing w:val="6"/>
        </w:rPr>
        <w:t xml:space="preserve"> </w:t>
      </w:r>
      <w:r>
        <w:rPr>
          <w:spacing w:val="15"/>
        </w:rPr>
        <w:t xml:space="preserve">gado </w:t>
      </w:r>
      <w:r>
        <w:rPr>
          <w:spacing w:val="12"/>
        </w:rPr>
        <w:t>(VILASBOAS,</w:t>
      </w:r>
      <w:r>
        <w:rPr>
          <w:spacing w:val="67"/>
        </w:rPr>
        <w:t xml:space="preserve"> </w:t>
      </w:r>
      <w:r>
        <w:rPr>
          <w:spacing w:val="15"/>
        </w:rPr>
        <w:t>2009).</w:t>
      </w:r>
    </w:p>
    <w:p w:rsidR="00D81F69" w:rsidRDefault="00330118">
      <w:pPr>
        <w:pStyle w:val="Corpodetexto"/>
        <w:spacing w:before="75" w:line="270" w:lineRule="atLeast"/>
        <w:ind w:right="191"/>
      </w:pPr>
      <w:r>
        <w:rPr>
          <w:spacing w:val="1"/>
        </w:rPr>
        <w:t xml:space="preserve">Em </w:t>
      </w:r>
      <w:r>
        <w:rPr>
          <w:spacing w:val="3"/>
        </w:rPr>
        <w:t xml:space="preserve">2011, </w:t>
      </w:r>
      <w:r>
        <w:rPr>
          <w:spacing w:val="2"/>
        </w:rPr>
        <w:t xml:space="preserve">uma </w:t>
      </w:r>
      <w:r>
        <w:rPr>
          <w:spacing w:val="3"/>
        </w:rPr>
        <w:t xml:space="preserve">carta </w:t>
      </w:r>
      <w:r>
        <w:rPr>
          <w:spacing w:val="2"/>
        </w:rPr>
        <w:t xml:space="preserve">dos </w:t>
      </w:r>
      <w:r>
        <w:rPr>
          <w:spacing w:val="3"/>
        </w:rPr>
        <w:t xml:space="preserve">representantes </w:t>
      </w:r>
      <w:r>
        <w:rPr>
          <w:spacing w:val="2"/>
        </w:rPr>
        <w:t xml:space="preserve">das </w:t>
      </w:r>
      <w:r>
        <w:rPr>
          <w:spacing w:val="5"/>
        </w:rPr>
        <w:t xml:space="preserve">populações </w:t>
      </w:r>
      <w:r>
        <w:t xml:space="preserve">atingidas pelas empresas Bamin, Fiol e Porto Sul, oriundas das regiões de Bom Jesus da Lapa, Caetité, Norte de Minas </w:t>
      </w:r>
      <w:r>
        <w:rPr>
          <w:spacing w:val="7"/>
        </w:rPr>
        <w:t xml:space="preserve">Gerais </w:t>
      </w:r>
      <w:r>
        <w:t xml:space="preserve">e </w:t>
      </w:r>
      <w:r>
        <w:rPr>
          <w:spacing w:val="7"/>
        </w:rPr>
        <w:t xml:space="preserve">Ilhéus, relatava </w:t>
      </w:r>
      <w:r>
        <w:t xml:space="preserve">a </w:t>
      </w:r>
      <w:r>
        <w:rPr>
          <w:spacing w:val="8"/>
        </w:rPr>
        <w:t xml:space="preserve">indignação </w:t>
      </w:r>
      <w:r>
        <w:rPr>
          <w:spacing w:val="7"/>
        </w:rPr>
        <w:t xml:space="preserve">local diante </w:t>
      </w:r>
      <w:r>
        <w:rPr>
          <w:spacing w:val="10"/>
        </w:rPr>
        <w:t xml:space="preserve">da </w:t>
      </w:r>
      <w:r>
        <w:rPr>
          <w:spacing w:val="10"/>
        </w:rPr>
        <w:t xml:space="preserve">degradação </w:t>
      </w:r>
      <w:r>
        <w:rPr>
          <w:spacing w:val="11"/>
        </w:rPr>
        <w:t xml:space="preserve">socioambiental </w:t>
      </w:r>
      <w:r>
        <w:rPr>
          <w:spacing w:val="10"/>
        </w:rPr>
        <w:t xml:space="preserve">causada </w:t>
      </w:r>
      <w:r>
        <w:rPr>
          <w:spacing w:val="7"/>
        </w:rPr>
        <w:t xml:space="preserve">por </w:t>
      </w:r>
      <w:r>
        <w:rPr>
          <w:spacing w:val="10"/>
        </w:rPr>
        <w:t xml:space="preserve">essas </w:t>
      </w:r>
      <w:r>
        <w:rPr>
          <w:spacing w:val="12"/>
        </w:rPr>
        <w:t xml:space="preserve">três </w:t>
      </w:r>
      <w:r>
        <w:t xml:space="preserve">empresas, particularmente a Bamin. Segundo o documento, </w:t>
      </w:r>
      <w:r>
        <w:rPr>
          <w:spacing w:val="2"/>
        </w:rPr>
        <w:t xml:space="preserve">as </w:t>
      </w:r>
      <w:r>
        <w:rPr>
          <w:spacing w:val="5"/>
        </w:rPr>
        <w:t xml:space="preserve">obras estariam sendo licenciadas </w:t>
      </w:r>
      <w:r>
        <w:t xml:space="preserve">e </w:t>
      </w:r>
      <w:r>
        <w:rPr>
          <w:spacing w:val="5"/>
        </w:rPr>
        <w:t xml:space="preserve">executadas </w:t>
      </w:r>
      <w:r>
        <w:rPr>
          <w:spacing w:val="6"/>
        </w:rPr>
        <w:t xml:space="preserve">com </w:t>
      </w:r>
      <w:r>
        <w:rPr>
          <w:spacing w:val="5"/>
        </w:rPr>
        <w:t xml:space="preserve">desrespeito </w:t>
      </w:r>
      <w:r>
        <w:t xml:space="preserve">à </w:t>
      </w:r>
      <w:r>
        <w:rPr>
          <w:spacing w:val="5"/>
        </w:rPr>
        <w:t xml:space="preserve">natureza </w:t>
      </w:r>
      <w:r>
        <w:t xml:space="preserve">e à </w:t>
      </w:r>
      <w:r>
        <w:rPr>
          <w:spacing w:val="3"/>
        </w:rPr>
        <w:t xml:space="preserve">vida das </w:t>
      </w:r>
      <w:r>
        <w:rPr>
          <w:spacing w:val="5"/>
        </w:rPr>
        <w:t xml:space="preserve">populações </w:t>
      </w:r>
      <w:r>
        <w:rPr>
          <w:spacing w:val="2"/>
        </w:rPr>
        <w:t xml:space="preserve">do </w:t>
      </w:r>
      <w:r>
        <w:rPr>
          <w:spacing w:val="5"/>
        </w:rPr>
        <w:t>seu</w:t>
      </w:r>
      <w:r>
        <w:rPr>
          <w:spacing w:val="61"/>
        </w:rPr>
        <w:t xml:space="preserve"> </w:t>
      </w:r>
      <w:r>
        <w:t>entorno. Desmatamento, poluição, extinção de</w:t>
      </w:r>
      <w:r>
        <w:t xml:space="preserve"> ecossistemas </w:t>
      </w:r>
      <w:r>
        <w:rPr>
          <w:spacing w:val="3"/>
        </w:rPr>
        <w:t xml:space="preserve">raros </w:t>
      </w:r>
      <w:r>
        <w:t xml:space="preserve">e </w:t>
      </w:r>
      <w:r>
        <w:rPr>
          <w:spacing w:val="3"/>
        </w:rPr>
        <w:t xml:space="preserve">expulsão </w:t>
      </w:r>
      <w:r>
        <w:rPr>
          <w:spacing w:val="1"/>
        </w:rPr>
        <w:t xml:space="preserve">de </w:t>
      </w:r>
      <w:r>
        <w:rPr>
          <w:spacing w:val="3"/>
        </w:rPr>
        <w:t xml:space="preserve">comunidades inteiras </w:t>
      </w:r>
      <w:r>
        <w:rPr>
          <w:spacing w:val="1"/>
        </w:rPr>
        <w:t xml:space="preserve">de </w:t>
      </w:r>
      <w:r>
        <w:rPr>
          <w:spacing w:val="5"/>
        </w:rPr>
        <w:t xml:space="preserve">pescadores, </w:t>
      </w:r>
      <w:r>
        <w:t xml:space="preserve">índios, quilombolas, assentados e camponeses seriam sinais </w:t>
      </w:r>
      <w:r>
        <w:rPr>
          <w:spacing w:val="1"/>
        </w:rPr>
        <w:t xml:space="preserve">de um </w:t>
      </w:r>
      <w:r>
        <w:rPr>
          <w:spacing w:val="3"/>
        </w:rPr>
        <w:t xml:space="preserve">grande desastre (CARTA </w:t>
      </w:r>
      <w:r>
        <w:rPr>
          <w:spacing w:val="2"/>
        </w:rPr>
        <w:t xml:space="preserve">DOS </w:t>
      </w:r>
      <w:r>
        <w:rPr>
          <w:spacing w:val="3"/>
        </w:rPr>
        <w:t xml:space="preserve">ATINGIDOS </w:t>
      </w:r>
      <w:r>
        <w:rPr>
          <w:spacing w:val="5"/>
        </w:rPr>
        <w:t xml:space="preserve">PELA </w:t>
      </w:r>
      <w:r>
        <w:rPr>
          <w:spacing w:val="3"/>
        </w:rPr>
        <w:t xml:space="preserve">BAMIN-FIOL-PORTO </w:t>
      </w:r>
      <w:r>
        <w:rPr>
          <w:spacing w:val="2"/>
        </w:rPr>
        <w:t>SUL,</w:t>
      </w:r>
      <w:r>
        <w:rPr>
          <w:spacing w:val="3"/>
        </w:rPr>
        <w:t xml:space="preserve"> </w:t>
      </w:r>
      <w:r>
        <w:rPr>
          <w:spacing w:val="5"/>
        </w:rPr>
        <w:t>2011).</w:t>
      </w:r>
    </w:p>
    <w:p w:rsidR="00D81F69" w:rsidRDefault="00D81F69">
      <w:pPr>
        <w:spacing w:line="270" w:lineRule="atLeast"/>
        <w:sectPr w:rsidR="00D81F69">
          <w:type w:val="continuous"/>
          <w:pgSz w:w="11900" w:h="16840"/>
          <w:pgMar w:top="720" w:right="500" w:bottom="280" w:left="620" w:header="720" w:footer="720" w:gutter="0"/>
          <w:cols w:num="2" w:space="720" w:equalWidth="0">
            <w:col w:w="5192" w:space="278"/>
            <w:col w:w="5310"/>
          </w:cols>
        </w:sectPr>
      </w:pPr>
    </w:p>
    <w:p w:rsidR="00D81F69" w:rsidRDefault="00330118">
      <w:pPr>
        <w:pStyle w:val="Corpodetexto"/>
        <w:spacing w:before="81" w:line="312" w:lineRule="auto"/>
        <w:ind w:right="105"/>
      </w:pPr>
      <w:r>
        <w:lastRenderedPageBreak/>
        <w:t>A carta chamava atenção para a situação de insegurança de milhares de famílias de Caetité até Ilhéus, todas ameaçadas de perder suas casas e campos de trabalho, para a execução dos projetos da empresa, os quais, segundo os representantes, beneficiariam úni</w:t>
      </w:r>
      <w:r>
        <w:t>ca e exclusivamente a ela (CARTA DOS ATINGIDOS PELA BAMIN-FIOL-PORTO SUL, 2011).</w:t>
      </w:r>
    </w:p>
    <w:p w:rsidR="00D81F69" w:rsidRDefault="00330118">
      <w:pPr>
        <w:pStyle w:val="Corpodetexto"/>
        <w:spacing w:before="136" w:line="312" w:lineRule="auto"/>
        <w:ind w:right="105"/>
      </w:pPr>
      <w:r>
        <w:rPr>
          <w:spacing w:val="7"/>
        </w:rPr>
        <w:t xml:space="preserve">Todo </w:t>
      </w:r>
      <w:r>
        <w:t xml:space="preserve">o </w:t>
      </w:r>
      <w:r>
        <w:rPr>
          <w:spacing w:val="8"/>
        </w:rPr>
        <w:t xml:space="preserve">aparato logístico criado </w:t>
      </w:r>
      <w:r>
        <w:rPr>
          <w:spacing w:val="7"/>
        </w:rPr>
        <w:t xml:space="preserve">para </w:t>
      </w:r>
      <w:r>
        <w:rPr>
          <w:spacing w:val="8"/>
        </w:rPr>
        <w:t xml:space="preserve">escoamento </w:t>
      </w:r>
      <w:r>
        <w:rPr>
          <w:spacing w:val="10"/>
        </w:rPr>
        <w:t xml:space="preserve">da </w:t>
      </w:r>
      <w:r>
        <w:rPr>
          <w:spacing w:val="3"/>
        </w:rPr>
        <w:t xml:space="preserve">produção, </w:t>
      </w:r>
      <w:r>
        <w:t xml:space="preserve">a </w:t>
      </w:r>
      <w:r>
        <w:rPr>
          <w:spacing w:val="3"/>
        </w:rPr>
        <w:t xml:space="preserve">construção </w:t>
      </w:r>
      <w:r>
        <w:rPr>
          <w:spacing w:val="1"/>
        </w:rPr>
        <w:t xml:space="preserve">da </w:t>
      </w:r>
      <w:r>
        <w:rPr>
          <w:spacing w:val="3"/>
        </w:rPr>
        <w:t xml:space="preserve">Ferrovia </w:t>
      </w:r>
      <w:r>
        <w:rPr>
          <w:spacing w:val="1"/>
        </w:rPr>
        <w:t xml:space="preserve">de </w:t>
      </w:r>
      <w:r>
        <w:rPr>
          <w:spacing w:val="3"/>
        </w:rPr>
        <w:t xml:space="preserve">Integração </w:t>
      </w:r>
      <w:r>
        <w:rPr>
          <w:spacing w:val="5"/>
        </w:rPr>
        <w:t xml:space="preserve">Oeste- </w:t>
      </w:r>
      <w:r>
        <w:t>Leste (Fiol), e também do aqueduto para obtenção de água  no rio São</w:t>
      </w:r>
      <w:r>
        <w:t xml:space="preserve"> Francisco e do Porto Sul em Aritaguá, no município de Ilhéus, provocaria, segundo a carta, estragos enormes em </w:t>
      </w:r>
      <w:r>
        <w:rPr>
          <w:spacing w:val="3"/>
        </w:rPr>
        <w:t xml:space="preserve">Caetité. </w:t>
      </w:r>
      <w:r>
        <w:t xml:space="preserve">A </w:t>
      </w:r>
      <w:r>
        <w:rPr>
          <w:spacing w:val="3"/>
        </w:rPr>
        <w:t xml:space="preserve">carta afirma </w:t>
      </w:r>
      <w:r>
        <w:rPr>
          <w:spacing w:val="2"/>
        </w:rPr>
        <w:t xml:space="preserve">que </w:t>
      </w:r>
      <w:r>
        <w:rPr>
          <w:spacing w:val="1"/>
        </w:rPr>
        <w:t xml:space="preserve">as </w:t>
      </w:r>
      <w:r>
        <w:rPr>
          <w:spacing w:val="3"/>
        </w:rPr>
        <w:t xml:space="preserve">promessas </w:t>
      </w:r>
      <w:r>
        <w:rPr>
          <w:spacing w:val="1"/>
        </w:rPr>
        <w:t xml:space="preserve">de </w:t>
      </w:r>
      <w:r>
        <w:rPr>
          <w:spacing w:val="3"/>
        </w:rPr>
        <w:t xml:space="preserve">progresso </w:t>
      </w:r>
      <w:r>
        <w:t xml:space="preserve">e emprego não foram cumpridas, e que o complexo de obras demonstra uma visão ultrapassada </w:t>
      </w:r>
      <w:r>
        <w:t>de desenvolvimento, que não corresponde ao progresso desejado pelas comunidades (CARTA DOS ATINGIDOS PELA BAMIN-FIOL-PORTO SUL, 2011).</w:t>
      </w:r>
    </w:p>
    <w:p w:rsidR="00D81F69" w:rsidRDefault="00330118">
      <w:pPr>
        <w:pStyle w:val="Corpodetexto"/>
        <w:spacing w:before="140" w:line="312" w:lineRule="auto"/>
        <w:ind w:right="137"/>
        <w:jc w:val="left"/>
      </w:pPr>
      <w:r>
        <w:t xml:space="preserve">Além dos problemas sociais, o projeto da Bamin </w:t>
      </w:r>
      <w:r>
        <w:rPr>
          <w:spacing w:val="1"/>
        </w:rPr>
        <w:t xml:space="preserve">significaria </w:t>
      </w:r>
      <w:r>
        <w:rPr>
          <w:spacing w:val="5"/>
        </w:rPr>
        <w:t xml:space="preserve">também, segundo ambientalistas, transtorno </w:t>
      </w:r>
      <w:r>
        <w:rPr>
          <w:spacing w:val="2"/>
        </w:rPr>
        <w:t xml:space="preserve">ao </w:t>
      </w:r>
      <w:r>
        <w:rPr>
          <w:spacing w:val="3"/>
        </w:rPr>
        <w:t xml:space="preserve">rio </w:t>
      </w:r>
      <w:r>
        <w:rPr>
          <w:spacing w:val="6"/>
        </w:rPr>
        <w:t>São Francis</w:t>
      </w:r>
      <w:r>
        <w:rPr>
          <w:spacing w:val="6"/>
        </w:rPr>
        <w:t xml:space="preserve">co, </w:t>
      </w:r>
      <w:r>
        <w:rPr>
          <w:spacing w:val="5"/>
        </w:rPr>
        <w:t xml:space="preserve">que deverá ceder 765 </w:t>
      </w:r>
      <w:r>
        <w:rPr>
          <w:spacing w:val="3"/>
        </w:rPr>
        <w:t xml:space="preserve">m³ de </w:t>
      </w:r>
      <w:r>
        <w:rPr>
          <w:spacing w:val="5"/>
        </w:rPr>
        <w:t xml:space="preserve">água por </w:t>
      </w:r>
      <w:r>
        <w:rPr>
          <w:spacing w:val="7"/>
        </w:rPr>
        <w:t xml:space="preserve">hora, </w:t>
      </w:r>
      <w:r>
        <w:t xml:space="preserve">canalizadas num imenso duto com 150 km de extensão, indo até Malhada (BA). Para os ambientalistas, isso acarretará não só uma perda de volume de água significativo, mas também a </w:t>
      </w:r>
      <w:r>
        <w:rPr>
          <w:spacing w:val="3"/>
        </w:rPr>
        <w:t xml:space="preserve">poluição </w:t>
      </w:r>
      <w:r>
        <w:t xml:space="preserve">e o </w:t>
      </w:r>
      <w:r>
        <w:rPr>
          <w:spacing w:val="3"/>
        </w:rPr>
        <w:t xml:space="preserve">rebaixamento </w:t>
      </w:r>
      <w:r>
        <w:rPr>
          <w:spacing w:val="2"/>
        </w:rPr>
        <w:t xml:space="preserve">dos </w:t>
      </w:r>
      <w:r>
        <w:rPr>
          <w:spacing w:val="3"/>
        </w:rPr>
        <w:t xml:space="preserve">lençóis freáticos </w:t>
      </w:r>
      <w:r>
        <w:rPr>
          <w:spacing w:val="1"/>
        </w:rPr>
        <w:t xml:space="preserve">do </w:t>
      </w:r>
      <w:r>
        <w:rPr>
          <w:spacing w:val="5"/>
        </w:rPr>
        <w:t xml:space="preserve">Velho </w:t>
      </w:r>
      <w:r>
        <w:t xml:space="preserve">Chico – para a extração de ferro, a empresa terá de rebaixar   a </w:t>
      </w:r>
      <w:r>
        <w:rPr>
          <w:spacing w:val="2"/>
        </w:rPr>
        <w:t xml:space="preserve">água </w:t>
      </w:r>
      <w:r>
        <w:rPr>
          <w:spacing w:val="3"/>
        </w:rPr>
        <w:t xml:space="preserve">subterrânea </w:t>
      </w:r>
      <w:r>
        <w:rPr>
          <w:spacing w:val="1"/>
        </w:rPr>
        <w:t xml:space="preserve">em </w:t>
      </w:r>
      <w:r>
        <w:rPr>
          <w:spacing w:val="2"/>
        </w:rPr>
        <w:t xml:space="preserve">300 </w:t>
      </w:r>
      <w:r>
        <w:rPr>
          <w:spacing w:val="3"/>
        </w:rPr>
        <w:t xml:space="preserve">metros, reduzindo </w:t>
      </w:r>
      <w:r>
        <w:rPr>
          <w:spacing w:val="1"/>
        </w:rPr>
        <w:t xml:space="preserve">os </w:t>
      </w:r>
      <w:r>
        <w:rPr>
          <w:spacing w:val="5"/>
        </w:rPr>
        <w:t xml:space="preserve">lençóis </w:t>
      </w:r>
      <w:r>
        <w:rPr>
          <w:spacing w:val="3"/>
        </w:rPr>
        <w:t xml:space="preserve">freáticos </w:t>
      </w:r>
      <w:r>
        <w:rPr>
          <w:spacing w:val="1"/>
        </w:rPr>
        <w:t xml:space="preserve">em </w:t>
      </w:r>
      <w:r>
        <w:rPr>
          <w:spacing w:val="2"/>
        </w:rPr>
        <w:t xml:space="preserve">até 33%. </w:t>
      </w:r>
      <w:r>
        <w:rPr>
          <w:spacing w:val="3"/>
        </w:rPr>
        <w:t xml:space="preserve">Mesmo </w:t>
      </w:r>
      <w:r>
        <w:t xml:space="preserve">a </w:t>
      </w:r>
      <w:r>
        <w:rPr>
          <w:spacing w:val="3"/>
        </w:rPr>
        <w:t xml:space="preserve">Prefeitura </w:t>
      </w:r>
      <w:r>
        <w:rPr>
          <w:spacing w:val="1"/>
        </w:rPr>
        <w:t xml:space="preserve">de </w:t>
      </w:r>
      <w:r>
        <w:rPr>
          <w:spacing w:val="3"/>
        </w:rPr>
        <w:t xml:space="preserve">Caetité </w:t>
      </w:r>
      <w:r>
        <w:rPr>
          <w:spacing w:val="5"/>
        </w:rPr>
        <w:t xml:space="preserve">vê </w:t>
      </w:r>
      <w:r>
        <w:rPr>
          <w:spacing w:val="1"/>
        </w:rPr>
        <w:t xml:space="preserve">problemas </w:t>
      </w:r>
      <w:r>
        <w:t xml:space="preserve">na </w:t>
      </w:r>
      <w:r>
        <w:rPr>
          <w:spacing w:val="1"/>
        </w:rPr>
        <w:t xml:space="preserve">construção </w:t>
      </w:r>
      <w:r>
        <w:t xml:space="preserve">do </w:t>
      </w:r>
      <w:r>
        <w:rPr>
          <w:spacing w:val="1"/>
        </w:rPr>
        <w:t xml:space="preserve">duto. Trata-se </w:t>
      </w:r>
      <w:r>
        <w:t xml:space="preserve">de uma </w:t>
      </w:r>
      <w:r>
        <w:rPr>
          <w:spacing w:val="2"/>
        </w:rPr>
        <w:t xml:space="preserve">região </w:t>
      </w:r>
      <w:r>
        <w:t xml:space="preserve">que </w:t>
      </w:r>
      <w:r>
        <w:rPr>
          <w:spacing w:val="1"/>
        </w:rPr>
        <w:t xml:space="preserve">sofre </w:t>
      </w:r>
      <w:r>
        <w:t xml:space="preserve">de </w:t>
      </w:r>
      <w:r>
        <w:rPr>
          <w:spacing w:val="1"/>
        </w:rPr>
        <w:t xml:space="preserve">escassez </w:t>
      </w:r>
      <w:r>
        <w:t xml:space="preserve">de </w:t>
      </w:r>
      <w:r>
        <w:rPr>
          <w:spacing w:val="1"/>
        </w:rPr>
        <w:t xml:space="preserve">água, onde </w:t>
      </w:r>
      <w:r>
        <w:t xml:space="preserve">só os que </w:t>
      </w:r>
      <w:r>
        <w:rPr>
          <w:spacing w:val="2"/>
        </w:rPr>
        <w:t xml:space="preserve">possuem </w:t>
      </w:r>
      <w:r>
        <w:t xml:space="preserve">reservatórios conseguem lidar com os problemas da seca. Os </w:t>
      </w:r>
      <w:r>
        <w:rPr>
          <w:spacing w:val="3"/>
        </w:rPr>
        <w:t xml:space="preserve">que não </w:t>
      </w:r>
      <w:r>
        <w:rPr>
          <w:spacing w:val="5"/>
        </w:rPr>
        <w:t xml:space="preserve">possuem, sofreriam consequências ainda </w:t>
      </w:r>
      <w:r>
        <w:rPr>
          <w:spacing w:val="6"/>
        </w:rPr>
        <w:t xml:space="preserve">mais </w:t>
      </w:r>
      <w:r>
        <w:rPr>
          <w:spacing w:val="5"/>
        </w:rPr>
        <w:t xml:space="preserve">pesadas </w:t>
      </w:r>
      <w:r>
        <w:rPr>
          <w:spacing w:val="3"/>
        </w:rPr>
        <w:t xml:space="preserve">com </w:t>
      </w:r>
      <w:r>
        <w:t xml:space="preserve">a </w:t>
      </w:r>
      <w:r>
        <w:rPr>
          <w:spacing w:val="5"/>
        </w:rPr>
        <w:t xml:space="preserve">falta </w:t>
      </w:r>
      <w:r>
        <w:rPr>
          <w:spacing w:val="2"/>
        </w:rPr>
        <w:t xml:space="preserve">de </w:t>
      </w:r>
      <w:r>
        <w:rPr>
          <w:spacing w:val="5"/>
        </w:rPr>
        <w:t xml:space="preserve">água </w:t>
      </w:r>
      <w:r>
        <w:rPr>
          <w:spacing w:val="2"/>
        </w:rPr>
        <w:t xml:space="preserve">(A </w:t>
      </w:r>
      <w:r>
        <w:rPr>
          <w:spacing w:val="5"/>
        </w:rPr>
        <w:t>TARDE,</w:t>
      </w:r>
      <w:r>
        <w:rPr>
          <w:spacing w:val="23"/>
        </w:rPr>
        <w:t xml:space="preserve"> </w:t>
      </w:r>
      <w:r>
        <w:rPr>
          <w:spacing w:val="6"/>
        </w:rPr>
        <w:t>2009).</w:t>
      </w:r>
    </w:p>
    <w:p w:rsidR="00D81F69" w:rsidRDefault="00330118">
      <w:pPr>
        <w:pStyle w:val="Corpodetexto"/>
        <w:spacing w:before="144" w:line="312" w:lineRule="auto"/>
        <w:ind w:right="105"/>
      </w:pPr>
      <w:r>
        <w:t>Estima-se que as construções da mina, do tanqu</w:t>
      </w:r>
      <w:r>
        <w:t xml:space="preserve">e de rejeito e </w:t>
      </w:r>
      <w:r>
        <w:rPr>
          <w:spacing w:val="5"/>
        </w:rPr>
        <w:t xml:space="preserve">da </w:t>
      </w:r>
      <w:r>
        <w:rPr>
          <w:spacing w:val="6"/>
        </w:rPr>
        <w:t xml:space="preserve">área </w:t>
      </w:r>
      <w:r>
        <w:rPr>
          <w:spacing w:val="5"/>
        </w:rPr>
        <w:t xml:space="preserve">de </w:t>
      </w:r>
      <w:r>
        <w:rPr>
          <w:spacing w:val="7"/>
        </w:rPr>
        <w:t xml:space="preserve">depósito </w:t>
      </w:r>
      <w:r>
        <w:rPr>
          <w:spacing w:val="5"/>
        </w:rPr>
        <w:t xml:space="preserve">da </w:t>
      </w:r>
      <w:r>
        <w:rPr>
          <w:spacing w:val="7"/>
        </w:rPr>
        <w:t xml:space="preserve">pilha </w:t>
      </w:r>
      <w:r>
        <w:rPr>
          <w:spacing w:val="5"/>
        </w:rPr>
        <w:t xml:space="preserve">de </w:t>
      </w:r>
      <w:r>
        <w:rPr>
          <w:spacing w:val="7"/>
        </w:rPr>
        <w:t xml:space="preserve">estéril iriam </w:t>
      </w:r>
      <w:r>
        <w:rPr>
          <w:spacing w:val="10"/>
        </w:rPr>
        <w:t xml:space="preserve">destruir </w:t>
      </w:r>
      <w:r>
        <w:t xml:space="preserve">nascentes, parques paleontológicos, fauna e flora local – e provocar a contaminação e morte de aguadas, dentre outros. O tanque de rejeito seria construído na área de nascentes e </w:t>
      </w:r>
      <w:r>
        <w:rPr>
          <w:spacing w:val="3"/>
        </w:rPr>
        <w:t xml:space="preserve">sobre </w:t>
      </w:r>
      <w:r>
        <w:t>o</w:t>
      </w:r>
      <w:r>
        <w:t xml:space="preserve"> </w:t>
      </w:r>
      <w:r>
        <w:rPr>
          <w:spacing w:val="3"/>
        </w:rPr>
        <w:t xml:space="preserve">leito </w:t>
      </w:r>
      <w:r>
        <w:rPr>
          <w:spacing w:val="1"/>
        </w:rPr>
        <w:t xml:space="preserve">do </w:t>
      </w:r>
      <w:r>
        <w:rPr>
          <w:spacing w:val="2"/>
        </w:rPr>
        <w:t xml:space="preserve">rio </w:t>
      </w:r>
      <w:r>
        <w:rPr>
          <w:spacing w:val="3"/>
        </w:rPr>
        <w:t xml:space="preserve">Pedra </w:t>
      </w:r>
      <w:r>
        <w:rPr>
          <w:spacing w:val="1"/>
        </w:rPr>
        <w:t xml:space="preserve">de </w:t>
      </w:r>
      <w:r>
        <w:rPr>
          <w:spacing w:val="3"/>
        </w:rPr>
        <w:t xml:space="preserve">Ferro, deixando </w:t>
      </w:r>
      <w:r>
        <w:rPr>
          <w:spacing w:val="2"/>
        </w:rPr>
        <w:t xml:space="preserve">sob </w:t>
      </w:r>
      <w:r>
        <w:rPr>
          <w:spacing w:val="3"/>
        </w:rPr>
        <w:t xml:space="preserve">risco </w:t>
      </w:r>
      <w:r>
        <w:t xml:space="preserve">o abastecimento de várias comunidades do entorno, sobretudo a </w:t>
      </w:r>
      <w:r>
        <w:rPr>
          <w:spacing w:val="3"/>
        </w:rPr>
        <w:t xml:space="preserve">região </w:t>
      </w:r>
      <w:r>
        <w:rPr>
          <w:spacing w:val="1"/>
        </w:rPr>
        <w:t xml:space="preserve">de </w:t>
      </w:r>
      <w:r>
        <w:rPr>
          <w:spacing w:val="3"/>
        </w:rPr>
        <w:t xml:space="preserve">Guirapá, </w:t>
      </w:r>
      <w:r>
        <w:rPr>
          <w:spacing w:val="2"/>
        </w:rPr>
        <w:t xml:space="preserve">que tem como </w:t>
      </w:r>
      <w:r>
        <w:rPr>
          <w:spacing w:val="3"/>
        </w:rPr>
        <w:t xml:space="preserve">principal atividade </w:t>
      </w:r>
      <w:r>
        <w:t xml:space="preserve">a agricultura irrigada do alho e outras culturas. O perigo poderá </w:t>
      </w:r>
      <w:r>
        <w:rPr>
          <w:spacing w:val="2"/>
        </w:rPr>
        <w:t xml:space="preserve">se </w:t>
      </w:r>
      <w:r>
        <w:rPr>
          <w:spacing w:val="5"/>
        </w:rPr>
        <w:t xml:space="preserve">estender </w:t>
      </w:r>
      <w:r>
        <w:rPr>
          <w:spacing w:val="3"/>
        </w:rPr>
        <w:t xml:space="preserve">aos </w:t>
      </w:r>
      <w:r>
        <w:rPr>
          <w:spacing w:val="5"/>
        </w:rPr>
        <w:t xml:space="preserve">rios </w:t>
      </w:r>
      <w:r>
        <w:rPr>
          <w:spacing w:val="3"/>
        </w:rPr>
        <w:t xml:space="preserve">que </w:t>
      </w:r>
      <w:r>
        <w:rPr>
          <w:spacing w:val="5"/>
        </w:rPr>
        <w:t>fa</w:t>
      </w:r>
      <w:r>
        <w:rPr>
          <w:spacing w:val="5"/>
        </w:rPr>
        <w:t xml:space="preserve">zem parte </w:t>
      </w:r>
      <w:r>
        <w:rPr>
          <w:spacing w:val="2"/>
        </w:rPr>
        <w:t xml:space="preserve">da </w:t>
      </w:r>
      <w:r>
        <w:rPr>
          <w:spacing w:val="5"/>
        </w:rPr>
        <w:t xml:space="preserve">Bacia </w:t>
      </w:r>
      <w:r>
        <w:rPr>
          <w:spacing w:val="2"/>
        </w:rPr>
        <w:t xml:space="preserve">do </w:t>
      </w:r>
      <w:r>
        <w:rPr>
          <w:spacing w:val="6"/>
        </w:rPr>
        <w:t xml:space="preserve">São </w:t>
      </w:r>
      <w:r>
        <w:rPr>
          <w:spacing w:val="5"/>
        </w:rPr>
        <w:t>Francisco (VILASBOAS,</w:t>
      </w:r>
      <w:r>
        <w:rPr>
          <w:spacing w:val="15"/>
        </w:rPr>
        <w:t xml:space="preserve"> </w:t>
      </w:r>
      <w:r>
        <w:rPr>
          <w:spacing w:val="6"/>
        </w:rPr>
        <w:t>2009).</w:t>
      </w:r>
    </w:p>
    <w:p w:rsidR="00D81F69" w:rsidRDefault="00330118">
      <w:pPr>
        <w:pStyle w:val="Corpodetexto"/>
        <w:spacing w:before="77" w:line="270" w:lineRule="atLeast"/>
        <w:ind w:right="121"/>
      </w:pPr>
      <w:r>
        <w:t xml:space="preserve">Outro ponto de desacordo entre empresa e ambientalistas: a Bamin reivindica 80 hectares ao norte de Ilhéus, numa área próxima ao porto, onde há uma reserva de Mata Atlântica. A empresa argumenta que as reservas preservadas não só em Mata Atlântica, mas no </w:t>
      </w:r>
      <w:r>
        <w:t>Cerrado e na Caatinga, estão em regiões da mineradora. As demais teriam sido profundamente afetadas pela criação de gado (A TARDE, 2009). O projeto incluiria, além do duto e das demais estruturas, a construção de uma ferrovia entre Ilhéus (BA) e Alvorada (</w:t>
      </w:r>
      <w:r>
        <w:t>TO), necessária para o escoamento do minério (A TARDE, 2009).</w:t>
      </w:r>
    </w:p>
    <w:p w:rsidR="00D81F69" w:rsidRDefault="00330118">
      <w:pPr>
        <w:pStyle w:val="Corpodetexto"/>
        <w:spacing w:before="81" w:line="312" w:lineRule="auto"/>
        <w:ind w:right="209"/>
      </w:pPr>
      <w:r>
        <w:br w:type="column"/>
      </w:r>
      <w:r>
        <w:lastRenderedPageBreak/>
        <w:t>Mesmo a oferta de emprego garantida pela empresa não deixa os críticos do projeto satisfeitos. A Articulação no Semiárido (ASA) e o Movimento Porto Sul argumentam que a oferta inicial de empreg</w:t>
      </w:r>
      <w:r>
        <w:t>os seria alta, mas logo se veria reduzida, deixando como subproduto uma grande parcela de desempregados (A TARDE, 2009).</w:t>
      </w:r>
    </w:p>
    <w:p w:rsidR="00D81F69" w:rsidRDefault="00330118">
      <w:pPr>
        <w:pStyle w:val="Corpodetexto"/>
        <w:spacing w:before="135" w:line="312" w:lineRule="auto"/>
        <w:ind w:right="187"/>
      </w:pPr>
      <w:r>
        <w:rPr>
          <w:spacing w:val="20"/>
        </w:rPr>
        <w:t xml:space="preserve">Calcula-se </w:t>
      </w:r>
      <w:r>
        <w:rPr>
          <w:spacing w:val="15"/>
        </w:rPr>
        <w:t xml:space="preserve">que </w:t>
      </w:r>
      <w:r>
        <w:rPr>
          <w:spacing w:val="10"/>
        </w:rPr>
        <w:t>os</w:t>
      </w:r>
      <w:r>
        <w:rPr>
          <w:spacing w:val="71"/>
        </w:rPr>
        <w:t xml:space="preserve"> </w:t>
      </w:r>
      <w:r>
        <w:rPr>
          <w:spacing w:val="20"/>
        </w:rPr>
        <w:t xml:space="preserve">empregos previstos </w:t>
      </w:r>
      <w:r>
        <w:rPr>
          <w:spacing w:val="15"/>
        </w:rPr>
        <w:t xml:space="preserve">com </w:t>
      </w:r>
      <w:r>
        <w:t xml:space="preserve">o </w:t>
      </w:r>
      <w:r>
        <w:rPr>
          <w:spacing w:val="5"/>
        </w:rPr>
        <w:t xml:space="preserve">empreendimento </w:t>
      </w:r>
      <w:r>
        <w:rPr>
          <w:spacing w:val="2"/>
        </w:rPr>
        <w:t xml:space="preserve">da </w:t>
      </w:r>
      <w:r>
        <w:rPr>
          <w:spacing w:val="3"/>
        </w:rPr>
        <w:t xml:space="preserve">Bamin </w:t>
      </w:r>
      <w:r>
        <w:rPr>
          <w:spacing w:val="5"/>
        </w:rPr>
        <w:t xml:space="preserve">seriam irrelevantes frente ao número </w:t>
      </w:r>
      <w:r>
        <w:rPr>
          <w:spacing w:val="3"/>
        </w:rPr>
        <w:t xml:space="preserve">de </w:t>
      </w:r>
      <w:r>
        <w:rPr>
          <w:spacing w:val="6"/>
        </w:rPr>
        <w:t xml:space="preserve">empregos </w:t>
      </w:r>
      <w:r>
        <w:rPr>
          <w:spacing w:val="5"/>
        </w:rPr>
        <w:t xml:space="preserve">gerados pela </w:t>
      </w:r>
      <w:r>
        <w:rPr>
          <w:spacing w:val="6"/>
        </w:rPr>
        <w:t>agricu</w:t>
      </w:r>
      <w:r>
        <w:rPr>
          <w:spacing w:val="6"/>
        </w:rPr>
        <w:t xml:space="preserve">ltura </w:t>
      </w:r>
      <w:r>
        <w:rPr>
          <w:spacing w:val="7"/>
        </w:rPr>
        <w:t xml:space="preserve">familiar, </w:t>
      </w:r>
      <w:r>
        <w:rPr>
          <w:spacing w:val="6"/>
        </w:rPr>
        <w:t xml:space="preserve">prejudicada </w:t>
      </w:r>
      <w:r>
        <w:rPr>
          <w:spacing w:val="5"/>
        </w:rPr>
        <w:t xml:space="preserve">com </w:t>
      </w:r>
      <w:r>
        <w:t xml:space="preserve">o </w:t>
      </w:r>
      <w:r>
        <w:rPr>
          <w:spacing w:val="5"/>
        </w:rPr>
        <w:t xml:space="preserve">projeto </w:t>
      </w:r>
      <w:r>
        <w:rPr>
          <w:spacing w:val="6"/>
        </w:rPr>
        <w:t>(VILASBOAS,</w:t>
      </w:r>
      <w:r>
        <w:rPr>
          <w:spacing w:val="5"/>
        </w:rPr>
        <w:t xml:space="preserve"> </w:t>
      </w:r>
      <w:r>
        <w:rPr>
          <w:spacing w:val="7"/>
        </w:rPr>
        <w:t>2009).</w:t>
      </w:r>
    </w:p>
    <w:p w:rsidR="00D81F69" w:rsidRDefault="00330118">
      <w:pPr>
        <w:pStyle w:val="Corpodetexto"/>
        <w:spacing w:before="134" w:line="312" w:lineRule="auto"/>
        <w:ind w:right="208"/>
      </w:pPr>
      <w:r>
        <w:t>A empresa argumenta, no entanto, que o excedente de mão de obra seria absorvido, já que o projeto incluiria um curso de capacitação profissional. Só a construção e a operação prevêem a absorção d</w:t>
      </w:r>
      <w:r>
        <w:t>e 85% e 70% de trabalhadores da região (A TARDE, 2009).</w:t>
      </w:r>
    </w:p>
    <w:p w:rsidR="00D81F69" w:rsidRDefault="00330118">
      <w:pPr>
        <w:pStyle w:val="Corpodetexto"/>
        <w:spacing w:before="135" w:line="312" w:lineRule="auto"/>
        <w:ind w:right="202"/>
      </w:pPr>
      <w:r>
        <w:rPr>
          <w:spacing w:val="6"/>
        </w:rPr>
        <w:t xml:space="preserve">Os </w:t>
      </w:r>
      <w:r>
        <w:rPr>
          <w:spacing w:val="11"/>
        </w:rPr>
        <w:t xml:space="preserve">efeitos </w:t>
      </w:r>
      <w:r>
        <w:rPr>
          <w:spacing w:val="6"/>
        </w:rPr>
        <w:t xml:space="preserve">da </w:t>
      </w:r>
      <w:r>
        <w:rPr>
          <w:spacing w:val="11"/>
        </w:rPr>
        <w:t xml:space="preserve">Bamin </w:t>
      </w:r>
      <w:r>
        <w:rPr>
          <w:spacing w:val="6"/>
        </w:rPr>
        <w:t xml:space="preserve">já se </w:t>
      </w:r>
      <w:r>
        <w:rPr>
          <w:spacing w:val="11"/>
        </w:rPr>
        <w:t xml:space="preserve">fazem sentir. </w:t>
      </w:r>
      <w:r>
        <w:rPr>
          <w:spacing w:val="6"/>
        </w:rPr>
        <w:t xml:space="preserve">Em </w:t>
      </w:r>
      <w:r>
        <w:rPr>
          <w:spacing w:val="10"/>
        </w:rPr>
        <w:t xml:space="preserve">suas </w:t>
      </w:r>
      <w:r>
        <w:t xml:space="preserve">propriedades, há casas em ruínas, escolas abandonadas e criações largadas para trás. Comunidades quilombolas </w:t>
      </w:r>
      <w:r>
        <w:rPr>
          <w:spacing w:val="1"/>
        </w:rPr>
        <w:t xml:space="preserve">que </w:t>
      </w:r>
      <w:r>
        <w:t xml:space="preserve">resistem parecem tentadas a aceitar as </w:t>
      </w:r>
      <w:r>
        <w:t xml:space="preserve">ofertas da empresa. A Bamin já comprou algumas propriedades, fazendo com </w:t>
      </w:r>
      <w:r>
        <w:rPr>
          <w:spacing w:val="1"/>
        </w:rPr>
        <w:t xml:space="preserve">que </w:t>
      </w:r>
      <w:r>
        <w:t xml:space="preserve">os moradores se movam para a cidade, onde, a despeito de </w:t>
      </w:r>
      <w:r>
        <w:rPr>
          <w:spacing w:val="5"/>
        </w:rPr>
        <w:t xml:space="preserve">estarem </w:t>
      </w:r>
      <w:r>
        <w:rPr>
          <w:spacing w:val="2"/>
        </w:rPr>
        <w:t xml:space="preserve">em </w:t>
      </w:r>
      <w:r>
        <w:rPr>
          <w:spacing w:val="3"/>
        </w:rPr>
        <w:t xml:space="preserve">novas </w:t>
      </w:r>
      <w:r>
        <w:rPr>
          <w:spacing w:val="5"/>
        </w:rPr>
        <w:t xml:space="preserve">moradias, obtidas </w:t>
      </w:r>
      <w:r>
        <w:rPr>
          <w:spacing w:val="3"/>
        </w:rPr>
        <w:t xml:space="preserve">com </w:t>
      </w:r>
      <w:r>
        <w:t xml:space="preserve">o </w:t>
      </w:r>
      <w:r>
        <w:rPr>
          <w:spacing w:val="5"/>
        </w:rPr>
        <w:t xml:space="preserve">dinheiro da </w:t>
      </w:r>
      <w:r>
        <w:rPr>
          <w:spacing w:val="3"/>
        </w:rPr>
        <w:t xml:space="preserve">compra </w:t>
      </w:r>
      <w:r>
        <w:rPr>
          <w:spacing w:val="1"/>
        </w:rPr>
        <w:t xml:space="preserve">de </w:t>
      </w:r>
      <w:r>
        <w:rPr>
          <w:spacing w:val="2"/>
        </w:rPr>
        <w:t xml:space="preserve">suas </w:t>
      </w:r>
      <w:r>
        <w:rPr>
          <w:spacing w:val="3"/>
        </w:rPr>
        <w:t xml:space="preserve">antigas casas, vivem </w:t>
      </w:r>
      <w:r>
        <w:rPr>
          <w:spacing w:val="2"/>
        </w:rPr>
        <w:t xml:space="preserve">sem </w:t>
      </w:r>
      <w:r>
        <w:rPr>
          <w:spacing w:val="3"/>
        </w:rPr>
        <w:t xml:space="preserve">poder roçar </w:t>
      </w:r>
      <w:r>
        <w:rPr>
          <w:spacing w:val="5"/>
        </w:rPr>
        <w:t xml:space="preserve">ou </w:t>
      </w:r>
      <w:r>
        <w:rPr>
          <w:spacing w:val="3"/>
        </w:rPr>
        <w:t>garantir</w:t>
      </w:r>
      <w:r>
        <w:rPr>
          <w:spacing w:val="23"/>
        </w:rPr>
        <w:t xml:space="preserve"> </w:t>
      </w:r>
      <w:r>
        <w:rPr>
          <w:spacing w:val="2"/>
        </w:rPr>
        <w:t>uma</w:t>
      </w:r>
      <w:r>
        <w:rPr>
          <w:spacing w:val="23"/>
        </w:rPr>
        <w:t xml:space="preserve"> </w:t>
      </w:r>
      <w:r>
        <w:rPr>
          <w:spacing w:val="3"/>
        </w:rPr>
        <w:t>s</w:t>
      </w:r>
      <w:r>
        <w:rPr>
          <w:spacing w:val="3"/>
        </w:rPr>
        <w:t>obrevivência</w:t>
      </w:r>
      <w:r>
        <w:rPr>
          <w:spacing w:val="23"/>
        </w:rPr>
        <w:t xml:space="preserve"> </w:t>
      </w:r>
      <w:r>
        <w:rPr>
          <w:spacing w:val="3"/>
        </w:rPr>
        <w:t>autônoma</w:t>
      </w:r>
      <w:r>
        <w:rPr>
          <w:spacing w:val="23"/>
        </w:rPr>
        <w:t xml:space="preserve"> </w:t>
      </w:r>
      <w:r>
        <w:rPr>
          <w:spacing w:val="1"/>
        </w:rPr>
        <w:t>(A</w:t>
      </w:r>
      <w:r>
        <w:rPr>
          <w:spacing w:val="23"/>
        </w:rPr>
        <w:t xml:space="preserve"> </w:t>
      </w:r>
      <w:r>
        <w:rPr>
          <w:spacing w:val="3"/>
        </w:rPr>
        <w:t>TARDE,</w:t>
      </w:r>
      <w:r>
        <w:rPr>
          <w:spacing w:val="23"/>
        </w:rPr>
        <w:t xml:space="preserve"> </w:t>
      </w:r>
      <w:r>
        <w:rPr>
          <w:spacing w:val="5"/>
        </w:rPr>
        <w:t>2009).</w:t>
      </w:r>
    </w:p>
    <w:p w:rsidR="00D81F69" w:rsidRDefault="00330118">
      <w:pPr>
        <w:pStyle w:val="Corpodetexto"/>
        <w:spacing w:before="138" w:line="312" w:lineRule="auto"/>
        <w:ind w:right="208"/>
      </w:pPr>
      <w:r>
        <w:t>Dentre as condicionantes sociais impostas à empresa, estava o reassentamento das 30 famílias deslocadas de Antas Velhas e Palmitos. Segundo um dos moradores, a empresa teria prometido trabalho, cesta básica, médico, m</w:t>
      </w:r>
      <w:r>
        <w:t>as nada havia sido feito (BENVENUTI, 2011).</w:t>
      </w:r>
    </w:p>
    <w:p w:rsidR="00D81F69" w:rsidRDefault="00330118">
      <w:pPr>
        <w:pStyle w:val="Corpodetexto"/>
        <w:spacing w:before="135" w:line="312" w:lineRule="auto"/>
        <w:ind w:right="208"/>
      </w:pPr>
      <w:r>
        <w:t>Esse mesmo morador recebeu uma indenização no valor R$ 100 mil, quantia suficiente apenas para comprar um terreno e construir uma nova casa. A promessa da empresa era não só garantir a compra do terreno e da casa</w:t>
      </w:r>
      <w:r>
        <w:t xml:space="preserve">, mas dar condições para que as famílias mantivessem suas plantações – garantir o </w:t>
      </w:r>
      <w:r>
        <w:rPr>
          <w:spacing w:val="6"/>
        </w:rPr>
        <w:t xml:space="preserve">sustento </w:t>
      </w:r>
      <w:r>
        <w:rPr>
          <w:spacing w:val="5"/>
        </w:rPr>
        <w:t xml:space="preserve">delas. </w:t>
      </w:r>
      <w:r>
        <w:rPr>
          <w:spacing w:val="3"/>
        </w:rPr>
        <w:t xml:space="preserve">No </w:t>
      </w:r>
      <w:r>
        <w:rPr>
          <w:spacing w:val="6"/>
        </w:rPr>
        <w:t xml:space="preserve">entanto, </w:t>
      </w:r>
      <w:r>
        <w:rPr>
          <w:spacing w:val="5"/>
        </w:rPr>
        <w:t xml:space="preserve">muitas delas não </w:t>
      </w:r>
      <w:r>
        <w:rPr>
          <w:spacing w:val="7"/>
        </w:rPr>
        <w:t xml:space="preserve">teriam </w:t>
      </w:r>
      <w:r>
        <w:rPr>
          <w:spacing w:val="6"/>
        </w:rPr>
        <w:t xml:space="preserve">recebido </w:t>
      </w:r>
      <w:r>
        <w:rPr>
          <w:spacing w:val="5"/>
        </w:rPr>
        <w:t xml:space="preserve">sequer </w:t>
      </w:r>
      <w:r>
        <w:t xml:space="preserve">a </w:t>
      </w:r>
      <w:r>
        <w:rPr>
          <w:spacing w:val="5"/>
        </w:rPr>
        <w:t xml:space="preserve">terra </w:t>
      </w:r>
      <w:r>
        <w:rPr>
          <w:spacing w:val="6"/>
        </w:rPr>
        <w:t>(BENVENUTI,</w:t>
      </w:r>
      <w:r>
        <w:rPr>
          <w:spacing w:val="-15"/>
        </w:rPr>
        <w:t xml:space="preserve"> </w:t>
      </w:r>
      <w:r>
        <w:rPr>
          <w:spacing w:val="7"/>
        </w:rPr>
        <w:t>2011).</w:t>
      </w:r>
    </w:p>
    <w:p w:rsidR="00D81F69" w:rsidRDefault="00330118">
      <w:pPr>
        <w:pStyle w:val="Corpodetexto"/>
        <w:spacing w:before="136" w:line="312" w:lineRule="auto"/>
        <w:ind w:right="189"/>
      </w:pPr>
      <w:r>
        <w:t xml:space="preserve">A despeito de toda a polêmica e discussão, a futura extração de minério de ferro em Caetité já teria ajudado o governo da Bahia a viabilizar economicamente duas das principais obras </w:t>
      </w:r>
      <w:r>
        <w:rPr>
          <w:spacing w:val="5"/>
        </w:rPr>
        <w:t xml:space="preserve">do </w:t>
      </w:r>
      <w:r>
        <w:rPr>
          <w:spacing w:val="7"/>
        </w:rPr>
        <w:t xml:space="preserve">Programa </w:t>
      </w:r>
      <w:r>
        <w:rPr>
          <w:spacing w:val="5"/>
        </w:rPr>
        <w:t xml:space="preserve">de </w:t>
      </w:r>
      <w:r>
        <w:rPr>
          <w:spacing w:val="8"/>
        </w:rPr>
        <w:t xml:space="preserve">Aceleração </w:t>
      </w:r>
      <w:r>
        <w:rPr>
          <w:spacing w:val="5"/>
        </w:rPr>
        <w:t xml:space="preserve">do </w:t>
      </w:r>
      <w:r>
        <w:rPr>
          <w:spacing w:val="8"/>
        </w:rPr>
        <w:t xml:space="preserve">Crescimento </w:t>
      </w:r>
      <w:r>
        <w:rPr>
          <w:spacing w:val="7"/>
        </w:rPr>
        <w:t xml:space="preserve">(PAC): </w:t>
      </w:r>
      <w:r>
        <w:t xml:space="preserve">a </w:t>
      </w:r>
      <w:r>
        <w:rPr>
          <w:spacing w:val="1"/>
        </w:rPr>
        <w:t xml:space="preserve">Ferrovia </w:t>
      </w:r>
      <w:r>
        <w:t xml:space="preserve">de </w:t>
      </w:r>
      <w:r>
        <w:rPr>
          <w:spacing w:val="1"/>
        </w:rPr>
        <w:t>Integração O</w:t>
      </w:r>
      <w:r>
        <w:rPr>
          <w:spacing w:val="1"/>
        </w:rPr>
        <w:t xml:space="preserve">este-Leste (Fiol) </w:t>
      </w:r>
      <w:r>
        <w:t xml:space="preserve">e o </w:t>
      </w:r>
      <w:r>
        <w:rPr>
          <w:spacing w:val="1"/>
        </w:rPr>
        <w:t xml:space="preserve">Porto Sul. </w:t>
      </w:r>
      <w:r>
        <w:t xml:space="preserve">A </w:t>
      </w:r>
      <w:r>
        <w:rPr>
          <w:spacing w:val="5"/>
        </w:rPr>
        <w:t xml:space="preserve">ferrovia, </w:t>
      </w:r>
      <w:r>
        <w:rPr>
          <w:spacing w:val="3"/>
        </w:rPr>
        <w:t xml:space="preserve">com 1,527 mil km, </w:t>
      </w:r>
      <w:r>
        <w:rPr>
          <w:spacing w:val="5"/>
        </w:rPr>
        <w:t xml:space="preserve">ligará </w:t>
      </w:r>
      <w:r>
        <w:rPr>
          <w:spacing w:val="2"/>
        </w:rPr>
        <w:t xml:space="preserve">as </w:t>
      </w:r>
      <w:r>
        <w:rPr>
          <w:spacing w:val="5"/>
        </w:rPr>
        <w:t xml:space="preserve">cidades </w:t>
      </w:r>
      <w:r>
        <w:rPr>
          <w:spacing w:val="2"/>
        </w:rPr>
        <w:t xml:space="preserve">de </w:t>
      </w:r>
      <w:r>
        <w:rPr>
          <w:spacing w:val="5"/>
        </w:rPr>
        <w:t xml:space="preserve">Ilhéus, </w:t>
      </w:r>
      <w:r>
        <w:t xml:space="preserve">Caetité e Barreiras, na Bahia, a Figueirópolis, em Tocantins.  O complexo portuário de Ilhéus inclui o terminal ferroviário da </w:t>
      </w:r>
      <w:r>
        <w:rPr>
          <w:spacing w:val="5"/>
        </w:rPr>
        <w:t xml:space="preserve">Fiol, </w:t>
      </w:r>
      <w:r>
        <w:rPr>
          <w:spacing w:val="3"/>
        </w:rPr>
        <w:t xml:space="preserve">um </w:t>
      </w:r>
      <w:r>
        <w:rPr>
          <w:spacing w:val="5"/>
        </w:rPr>
        <w:t xml:space="preserve">porto </w:t>
      </w:r>
      <w:r>
        <w:rPr>
          <w:spacing w:val="6"/>
        </w:rPr>
        <w:t xml:space="preserve">offshore, </w:t>
      </w:r>
      <w:r>
        <w:t xml:space="preserve">o </w:t>
      </w:r>
      <w:r>
        <w:rPr>
          <w:spacing w:val="6"/>
        </w:rPr>
        <w:t>retroporto</w:t>
      </w:r>
      <w:r>
        <w:rPr>
          <w:spacing w:val="6"/>
        </w:rPr>
        <w:t xml:space="preserve">, </w:t>
      </w:r>
      <w:r>
        <w:rPr>
          <w:spacing w:val="5"/>
        </w:rPr>
        <w:t xml:space="preserve">uma </w:t>
      </w:r>
      <w:r>
        <w:rPr>
          <w:spacing w:val="6"/>
        </w:rPr>
        <w:t xml:space="preserve">rodovia, </w:t>
      </w:r>
      <w:r>
        <w:rPr>
          <w:spacing w:val="7"/>
        </w:rPr>
        <w:t xml:space="preserve">um </w:t>
      </w:r>
      <w:r>
        <w:rPr>
          <w:spacing w:val="5"/>
        </w:rPr>
        <w:t xml:space="preserve">aeroporto internacional </w:t>
      </w:r>
      <w:r>
        <w:t xml:space="preserve">e o </w:t>
      </w:r>
      <w:r>
        <w:rPr>
          <w:spacing w:val="5"/>
        </w:rPr>
        <w:t xml:space="preserve">terminal privativo </w:t>
      </w:r>
      <w:r>
        <w:rPr>
          <w:spacing w:val="2"/>
        </w:rPr>
        <w:t xml:space="preserve">da </w:t>
      </w:r>
      <w:r>
        <w:rPr>
          <w:spacing w:val="6"/>
        </w:rPr>
        <w:t xml:space="preserve">Bamin </w:t>
      </w:r>
      <w:r>
        <w:rPr>
          <w:spacing w:val="5"/>
        </w:rPr>
        <w:t xml:space="preserve">(MINERIOS </w:t>
      </w:r>
      <w:r>
        <w:t xml:space="preserve">e </w:t>
      </w:r>
      <w:r>
        <w:rPr>
          <w:spacing w:val="5"/>
        </w:rPr>
        <w:t>MINERALIS,</w:t>
      </w:r>
      <w:r>
        <w:rPr>
          <w:spacing w:val="7"/>
        </w:rPr>
        <w:t xml:space="preserve"> </w:t>
      </w:r>
      <w:r>
        <w:rPr>
          <w:spacing w:val="6"/>
        </w:rPr>
        <w:t>2011).</w:t>
      </w:r>
    </w:p>
    <w:p w:rsidR="00D81F69" w:rsidRDefault="00330118">
      <w:pPr>
        <w:pStyle w:val="Corpodetexto"/>
        <w:spacing w:before="140" w:line="312" w:lineRule="auto"/>
        <w:ind w:right="202"/>
      </w:pPr>
      <w:r>
        <w:t>Para a bióloga Susana Pádua, a Bamin estaria se beneficiando gratuitamente de uma infraestrutura que consumiu R$ 6 bilhões em dinheiro público, recursos que equivalem a aproximadamente um terço do orçamento anual do estado (PÁDUA, 2011).</w:t>
      </w:r>
    </w:p>
    <w:p w:rsidR="00D81F69" w:rsidRDefault="00D81F69">
      <w:pPr>
        <w:spacing w:line="312" w:lineRule="auto"/>
        <w:sectPr w:rsidR="00D81F69">
          <w:pgSz w:w="11900" w:h="16840"/>
          <w:pgMar w:top="940" w:right="500" w:bottom="700" w:left="620" w:header="0" w:footer="402" w:gutter="0"/>
          <w:cols w:num="2" w:space="720" w:equalWidth="0">
            <w:col w:w="5220" w:space="250"/>
            <w:col w:w="5310"/>
          </w:cols>
        </w:sectPr>
      </w:pPr>
    </w:p>
    <w:p w:rsidR="00D81F69" w:rsidRDefault="00330118">
      <w:pPr>
        <w:pStyle w:val="Corpodetexto"/>
        <w:spacing w:before="81" w:line="312" w:lineRule="auto"/>
        <w:ind w:right="38"/>
      </w:pPr>
      <w:r>
        <w:lastRenderedPageBreak/>
        <w:t>Segundo ela, mesmo o porto significaria um grande problema ambiental. Para atracar navios do tamanho necessário para o carregamento de minério, seriam necessários um píer offshore com um quebra-mar de 1 km de extensão, com 366</w:t>
      </w:r>
      <w:r>
        <w:t xml:space="preserve"> metros de largura na base, e 24 metros de altura (dos quais 2 ou 3 metros acima do nível do mar), numa distância de 3 km da praia. Todo esse conjunto de obras causaria um imenso impacto ecológico, pois, alteraria o movimento das marés, gerando assoreament</w:t>
      </w:r>
      <w:r>
        <w:t>o em determinados locais, e a invasão do mar sobre o continente, em outros, acabando com as praias e com casas localizadas à beira-mar (PÁDUA, 2011).</w:t>
      </w:r>
    </w:p>
    <w:p w:rsidR="00D81F69" w:rsidRDefault="00D81F69">
      <w:pPr>
        <w:pStyle w:val="Corpodetexto"/>
        <w:spacing w:before="10"/>
        <w:ind w:left="0"/>
        <w:jc w:val="left"/>
        <w:rPr>
          <w:sz w:val="21"/>
        </w:rPr>
      </w:pPr>
    </w:p>
    <w:p w:rsidR="00D81F69" w:rsidRDefault="00330118">
      <w:pPr>
        <w:pStyle w:val="Heading7"/>
        <w:jc w:val="left"/>
      </w:pPr>
      <w:r>
        <w:t>LOCALIZAÇÃO GEOGRÁFICA</w:t>
      </w:r>
    </w:p>
    <w:p w:rsidR="00D81F69" w:rsidRDefault="00330118">
      <w:pPr>
        <w:pStyle w:val="Corpodetexto"/>
        <w:spacing w:before="179" w:line="312" w:lineRule="auto"/>
        <w:ind w:right="53"/>
      </w:pPr>
      <w:r>
        <w:t>A exploração do minério de ferro em Caetité (latitude 14°3'17''S e longitude 42°28</w:t>
      </w:r>
      <w:r>
        <w:t>'28''W) situa-se numa área inserida na bacia hidrográfica do rio São Francisco.</w:t>
      </w:r>
    </w:p>
    <w:p w:rsidR="00D81F69" w:rsidRDefault="00D81F69">
      <w:pPr>
        <w:pStyle w:val="Corpodetexto"/>
        <w:ind w:left="0"/>
        <w:jc w:val="left"/>
        <w:rPr>
          <w:sz w:val="29"/>
        </w:rPr>
      </w:pPr>
    </w:p>
    <w:p w:rsidR="00D81F69" w:rsidRDefault="00330118">
      <w:pPr>
        <w:pStyle w:val="Heading7"/>
        <w:jc w:val="left"/>
      </w:pPr>
      <w:r>
        <w:t>REDATORES</w:t>
      </w:r>
    </w:p>
    <w:p w:rsidR="00D81F69" w:rsidRDefault="00330118">
      <w:pPr>
        <w:pStyle w:val="Corpodetexto"/>
        <w:spacing w:before="179"/>
        <w:jc w:val="left"/>
      </w:pPr>
      <w:r>
        <w:t>Pedro Schprejer</w:t>
      </w:r>
    </w:p>
    <w:p w:rsidR="00D81F69" w:rsidRDefault="00D81F69">
      <w:pPr>
        <w:pStyle w:val="Corpodetexto"/>
        <w:ind w:left="0"/>
        <w:jc w:val="left"/>
        <w:rPr>
          <w:sz w:val="20"/>
        </w:rPr>
      </w:pPr>
    </w:p>
    <w:p w:rsidR="00D81F69" w:rsidRDefault="00330118">
      <w:pPr>
        <w:pStyle w:val="Heading7"/>
        <w:spacing w:before="164"/>
        <w:jc w:val="left"/>
      </w:pPr>
      <w:r>
        <w:t>REFERÊNCIAS BIBLIOGRÁFICAS</w:t>
      </w:r>
    </w:p>
    <w:p w:rsidR="00D81F69" w:rsidRDefault="00330118">
      <w:pPr>
        <w:tabs>
          <w:tab w:val="left" w:pos="4331"/>
        </w:tabs>
        <w:spacing w:before="188" w:line="312" w:lineRule="auto"/>
        <w:ind w:left="100" w:right="41"/>
        <w:jc w:val="both"/>
        <w:rPr>
          <w:sz w:val="16"/>
        </w:rPr>
      </w:pPr>
      <w:r>
        <w:rPr>
          <w:sz w:val="16"/>
        </w:rPr>
        <w:t xml:space="preserve">A </w:t>
      </w:r>
      <w:r>
        <w:rPr>
          <w:spacing w:val="1"/>
          <w:sz w:val="16"/>
        </w:rPr>
        <w:t xml:space="preserve">TARDE. Bahia, Mineração traz medo </w:t>
      </w:r>
      <w:r>
        <w:rPr>
          <w:sz w:val="16"/>
        </w:rPr>
        <w:t xml:space="preserve">e </w:t>
      </w:r>
      <w:r>
        <w:rPr>
          <w:spacing w:val="1"/>
          <w:sz w:val="16"/>
        </w:rPr>
        <w:t xml:space="preserve">esperança para </w:t>
      </w:r>
      <w:r>
        <w:rPr>
          <w:spacing w:val="2"/>
          <w:sz w:val="16"/>
        </w:rPr>
        <w:t xml:space="preserve">Caetité. </w:t>
      </w:r>
      <w:r>
        <w:rPr>
          <w:sz w:val="16"/>
        </w:rPr>
        <w:t xml:space="preserve">CPT (Comissão Pastoral da Terra), Bahia. Salvador, 17 ago. </w:t>
      </w:r>
      <w:r>
        <w:rPr>
          <w:sz w:val="16"/>
        </w:rPr>
        <w:t xml:space="preserve">2009.    D      i      s      p      o      n      í      v  </w:t>
      </w:r>
      <w:r>
        <w:rPr>
          <w:spacing w:val="36"/>
          <w:sz w:val="16"/>
        </w:rPr>
        <w:t xml:space="preserve"> </w:t>
      </w:r>
      <w:r>
        <w:rPr>
          <w:sz w:val="16"/>
        </w:rPr>
        <w:t xml:space="preserve">e    </w:t>
      </w:r>
      <w:r>
        <w:rPr>
          <w:spacing w:val="31"/>
          <w:sz w:val="16"/>
        </w:rPr>
        <w:t xml:space="preserve"> </w:t>
      </w:r>
      <w:r>
        <w:rPr>
          <w:sz w:val="16"/>
        </w:rPr>
        <w:t>l</w:t>
      </w:r>
      <w:r>
        <w:rPr>
          <w:sz w:val="16"/>
        </w:rPr>
        <w:tab/>
        <w:t xml:space="preserve">e      m    </w:t>
      </w:r>
      <w:r>
        <w:rPr>
          <w:spacing w:val="20"/>
          <w:sz w:val="16"/>
        </w:rPr>
        <w:t xml:space="preserve"> </w:t>
      </w:r>
      <w:r>
        <w:rPr>
          <w:sz w:val="16"/>
        </w:rPr>
        <w:t>:</w:t>
      </w:r>
    </w:p>
    <w:p w:rsidR="00D81F69" w:rsidRDefault="00D81F69">
      <w:pPr>
        <w:spacing w:before="2" w:line="312" w:lineRule="auto"/>
        <w:ind w:left="100" w:right="40"/>
        <w:jc w:val="both"/>
        <w:rPr>
          <w:sz w:val="16"/>
        </w:rPr>
      </w:pPr>
      <w:hyperlink r:id="rId631">
        <w:r w:rsidR="00330118">
          <w:rPr>
            <w:sz w:val="16"/>
          </w:rPr>
          <w:t>&lt;http://www.cptba.org.br/joomla15/index.php?option=com_content&amp;vi</w:t>
        </w:r>
      </w:hyperlink>
      <w:r w:rsidR="00330118">
        <w:rPr>
          <w:sz w:val="16"/>
        </w:rPr>
        <w:t xml:space="preserve"> ew=article&amp;</w:t>
      </w:r>
      <w:r w:rsidR="00330118">
        <w:rPr>
          <w:sz w:val="16"/>
        </w:rPr>
        <w:t>id=183:mineracao-traz-medo-e-esperanca-para- caetite&amp;catid=10:clipping&amp;Itemid=27&gt;. Acesso em:  15  dez. 2011.</w:t>
      </w:r>
    </w:p>
    <w:p w:rsidR="00D81F69" w:rsidRDefault="00330118">
      <w:pPr>
        <w:tabs>
          <w:tab w:val="left" w:pos="4331"/>
        </w:tabs>
        <w:spacing w:before="70" w:line="312" w:lineRule="auto"/>
        <w:ind w:left="100" w:right="191"/>
        <w:jc w:val="both"/>
        <w:rPr>
          <w:sz w:val="16"/>
        </w:rPr>
      </w:pPr>
      <w:r>
        <w:br w:type="column"/>
      </w:r>
      <w:r>
        <w:rPr>
          <w:sz w:val="16"/>
        </w:rPr>
        <w:lastRenderedPageBreak/>
        <w:t xml:space="preserve">BAMIN, Bahia Mineração. Bahia Mineração transformará estado em </w:t>
      </w:r>
      <w:r>
        <w:rPr>
          <w:spacing w:val="5"/>
          <w:sz w:val="16"/>
        </w:rPr>
        <w:t xml:space="preserve">terceiro produtor </w:t>
      </w:r>
      <w:r>
        <w:rPr>
          <w:spacing w:val="2"/>
          <w:sz w:val="16"/>
        </w:rPr>
        <w:t xml:space="preserve">de </w:t>
      </w:r>
      <w:r>
        <w:rPr>
          <w:spacing w:val="5"/>
          <w:sz w:val="16"/>
        </w:rPr>
        <w:t xml:space="preserve">minério </w:t>
      </w:r>
      <w:r>
        <w:rPr>
          <w:spacing w:val="2"/>
          <w:sz w:val="16"/>
        </w:rPr>
        <w:t xml:space="preserve">de </w:t>
      </w:r>
      <w:r>
        <w:rPr>
          <w:spacing w:val="5"/>
          <w:sz w:val="16"/>
        </w:rPr>
        <w:t xml:space="preserve">ferro  </w:t>
      </w:r>
      <w:r>
        <w:rPr>
          <w:spacing w:val="2"/>
          <w:sz w:val="16"/>
        </w:rPr>
        <w:t xml:space="preserve">do  </w:t>
      </w:r>
      <w:r>
        <w:rPr>
          <w:spacing w:val="5"/>
          <w:sz w:val="16"/>
        </w:rPr>
        <w:t xml:space="preserve">país.  Salvador, </w:t>
      </w:r>
      <w:r>
        <w:rPr>
          <w:spacing w:val="6"/>
          <w:sz w:val="16"/>
        </w:rPr>
        <w:t xml:space="preserve">2011.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215"/>
        <w:jc w:val="both"/>
        <w:rPr>
          <w:sz w:val="16"/>
        </w:rPr>
      </w:pPr>
      <w:hyperlink r:id="rId632">
        <w:r w:rsidR="00330118">
          <w:rPr>
            <w:sz w:val="16"/>
          </w:rPr>
          <w:t>&lt;http://www.bamin.com.br/artigos/Release%20Institucional%20BAMI</w:t>
        </w:r>
      </w:hyperlink>
      <w:r w:rsidR="00330118">
        <w:rPr>
          <w:sz w:val="16"/>
        </w:rPr>
        <w:t xml:space="preserve"> N.pdf&gt; Acesso em: 15 dez. 2011.</w:t>
      </w:r>
    </w:p>
    <w:p w:rsidR="00D81F69" w:rsidRDefault="00330118">
      <w:pPr>
        <w:spacing w:before="2" w:line="312" w:lineRule="auto"/>
        <w:ind w:left="100" w:right="198"/>
        <w:jc w:val="both"/>
        <w:rPr>
          <w:sz w:val="16"/>
        </w:rPr>
      </w:pPr>
      <w:r>
        <w:rPr>
          <w:sz w:val="16"/>
        </w:rPr>
        <w:t>BENVENUTI, Pa</w:t>
      </w:r>
      <w:r>
        <w:rPr>
          <w:sz w:val="16"/>
        </w:rPr>
        <w:t>trícia. Famílias reassentadas reclamam de falta de assistência. Brasil de Fato, São Paulo, 23 dez. 2011. Disponível em:</w:t>
      </w:r>
    </w:p>
    <w:p w:rsidR="00D81F69" w:rsidRDefault="00D81F69">
      <w:pPr>
        <w:spacing w:before="1" w:line="312" w:lineRule="auto"/>
        <w:ind w:left="100" w:right="193"/>
        <w:jc w:val="both"/>
        <w:rPr>
          <w:sz w:val="16"/>
        </w:rPr>
      </w:pPr>
      <w:hyperlink r:id="rId633">
        <w:r w:rsidR="00330118">
          <w:rPr>
            <w:sz w:val="16"/>
          </w:rPr>
          <w:t>&lt;http://www.brasildefato.com.br/node/8553&gt;</w:t>
        </w:r>
      </w:hyperlink>
      <w:r w:rsidR="00330118">
        <w:rPr>
          <w:sz w:val="16"/>
        </w:rPr>
        <w:t xml:space="preserve"> Acesso em: 22 dez. 2011.</w:t>
      </w:r>
    </w:p>
    <w:p w:rsidR="00D81F69" w:rsidRDefault="00330118">
      <w:pPr>
        <w:spacing w:before="2"/>
        <w:ind w:left="100"/>
        <w:rPr>
          <w:sz w:val="16"/>
        </w:rPr>
      </w:pPr>
      <w:r>
        <w:rPr>
          <w:sz w:val="16"/>
        </w:rPr>
        <w:t xml:space="preserve">CARTA DOS </w:t>
      </w:r>
      <w:r>
        <w:rPr>
          <w:sz w:val="16"/>
        </w:rPr>
        <w:t>ATINGIDOS PELA BAMIN-FIOL-PORTO SUL (BA).</w:t>
      </w:r>
    </w:p>
    <w:p w:rsidR="00D81F69" w:rsidRDefault="00330118">
      <w:pPr>
        <w:spacing w:before="56"/>
        <w:ind w:left="100"/>
        <w:rPr>
          <w:sz w:val="16"/>
        </w:rPr>
      </w:pPr>
      <w:r>
        <w:rPr>
          <w:sz w:val="16"/>
        </w:rPr>
        <w:t xml:space="preserve">Justiça  nos  trilhos.  Ilhéus,  28   out.  2011.  Disponível  em: </w:t>
      </w:r>
    </w:p>
    <w:p w:rsidR="00D81F69" w:rsidRDefault="00D81F69">
      <w:pPr>
        <w:spacing w:before="56" w:line="312" w:lineRule="auto"/>
        <w:ind w:left="100" w:right="193"/>
        <w:jc w:val="both"/>
        <w:rPr>
          <w:sz w:val="16"/>
        </w:rPr>
      </w:pPr>
      <w:hyperlink r:id="rId634">
        <w:r w:rsidR="00330118">
          <w:rPr>
            <w:sz w:val="16"/>
          </w:rPr>
          <w:t>&lt;http://www.justicanostrilhos.org/nota/836&gt;.</w:t>
        </w:r>
      </w:hyperlink>
      <w:r w:rsidR="00330118">
        <w:rPr>
          <w:sz w:val="16"/>
        </w:rPr>
        <w:t xml:space="preserve"> Acesso em: 15 dez. 2011.</w:t>
      </w:r>
    </w:p>
    <w:p w:rsidR="00D81F69" w:rsidRDefault="00330118">
      <w:pPr>
        <w:spacing w:before="2" w:line="312" w:lineRule="auto"/>
        <w:ind w:left="100" w:right="143"/>
        <w:jc w:val="both"/>
        <w:rPr>
          <w:sz w:val="16"/>
        </w:rPr>
      </w:pPr>
      <w:r>
        <w:rPr>
          <w:sz w:val="16"/>
        </w:rPr>
        <w:t>IBGE, Instituto B</w:t>
      </w:r>
      <w:r>
        <w:rPr>
          <w:sz w:val="16"/>
        </w:rPr>
        <w:t xml:space="preserve">rasileiro de Geografia e Estatística. Caetité (BA). In:    </w:t>
      </w:r>
      <w:r>
        <w:rPr>
          <w:spacing w:val="11"/>
          <w:sz w:val="16"/>
        </w:rPr>
        <w:t>I</w:t>
      </w:r>
      <w:r>
        <w:rPr>
          <w:sz w:val="16"/>
        </w:rPr>
        <w:t xml:space="preserve"> </w:t>
      </w:r>
      <w:r>
        <w:rPr>
          <w:spacing w:val="11"/>
          <w:sz w:val="16"/>
        </w:rPr>
        <w:t>B</w:t>
      </w:r>
      <w:r>
        <w:rPr>
          <w:sz w:val="16"/>
        </w:rPr>
        <w:t xml:space="preserve"> </w:t>
      </w:r>
      <w:r>
        <w:rPr>
          <w:spacing w:val="11"/>
          <w:sz w:val="16"/>
        </w:rPr>
        <w:t>G</w:t>
      </w:r>
      <w:r>
        <w:rPr>
          <w:sz w:val="16"/>
        </w:rPr>
        <w:t xml:space="preserve"> E</w:t>
      </w:r>
      <w:r>
        <w:rPr>
          <w:spacing w:val="41"/>
          <w:sz w:val="16"/>
        </w:rPr>
        <w:t xml:space="preserve"> </w:t>
      </w:r>
      <w:r>
        <w:rPr>
          <w:spacing w:val="11"/>
          <w:sz w:val="16"/>
        </w:rPr>
        <w:t>C</w:t>
      </w:r>
      <w:r>
        <w:rPr>
          <w:sz w:val="16"/>
        </w:rPr>
        <w:t xml:space="preserve"> </w:t>
      </w:r>
      <w:r>
        <w:rPr>
          <w:spacing w:val="11"/>
          <w:sz w:val="16"/>
        </w:rPr>
        <w:t>i</w:t>
      </w:r>
      <w:r>
        <w:rPr>
          <w:sz w:val="16"/>
        </w:rPr>
        <w:t xml:space="preserve"> </w:t>
      </w:r>
      <w:r>
        <w:rPr>
          <w:spacing w:val="11"/>
          <w:sz w:val="16"/>
        </w:rPr>
        <w:t>d</w:t>
      </w:r>
      <w:r>
        <w:rPr>
          <w:sz w:val="16"/>
        </w:rPr>
        <w:t xml:space="preserve"> </w:t>
      </w:r>
      <w:r>
        <w:rPr>
          <w:spacing w:val="11"/>
          <w:sz w:val="16"/>
        </w:rPr>
        <w:t>a</w:t>
      </w:r>
      <w:r>
        <w:rPr>
          <w:sz w:val="16"/>
        </w:rPr>
        <w:t xml:space="preserve"> </w:t>
      </w:r>
      <w:r>
        <w:rPr>
          <w:spacing w:val="11"/>
          <w:sz w:val="16"/>
        </w:rPr>
        <w:t>d</w:t>
      </w:r>
      <w:r>
        <w:rPr>
          <w:sz w:val="16"/>
        </w:rPr>
        <w:t xml:space="preserve"> </w:t>
      </w:r>
      <w:r>
        <w:rPr>
          <w:spacing w:val="11"/>
          <w:sz w:val="16"/>
        </w:rPr>
        <w:t>e</w:t>
      </w:r>
      <w:r>
        <w:rPr>
          <w:sz w:val="16"/>
        </w:rPr>
        <w:t xml:space="preserve"> s</w:t>
      </w:r>
      <w:r>
        <w:rPr>
          <w:spacing w:val="41"/>
          <w:sz w:val="16"/>
        </w:rPr>
        <w:t xml:space="preserve"> </w:t>
      </w:r>
      <w:r>
        <w:rPr>
          <w:spacing w:val="11"/>
          <w:sz w:val="16"/>
        </w:rPr>
        <w:t>2</w:t>
      </w:r>
      <w:r>
        <w:rPr>
          <w:sz w:val="16"/>
        </w:rPr>
        <w:t xml:space="preserve"> </w:t>
      </w:r>
      <w:r>
        <w:rPr>
          <w:spacing w:val="11"/>
          <w:sz w:val="16"/>
        </w:rPr>
        <w:t>0</w:t>
      </w:r>
      <w:r>
        <w:rPr>
          <w:sz w:val="16"/>
        </w:rPr>
        <w:t xml:space="preserve"> </w:t>
      </w:r>
      <w:r>
        <w:rPr>
          <w:spacing w:val="11"/>
          <w:sz w:val="16"/>
        </w:rPr>
        <w:t>1</w:t>
      </w:r>
      <w:r>
        <w:rPr>
          <w:sz w:val="16"/>
        </w:rPr>
        <w:t xml:space="preserve"> </w:t>
      </w:r>
      <w:r>
        <w:rPr>
          <w:spacing w:val="11"/>
          <w:sz w:val="16"/>
        </w:rPr>
        <w:t>0</w:t>
      </w:r>
      <w:r>
        <w:rPr>
          <w:sz w:val="16"/>
        </w:rPr>
        <w:t xml:space="preserve"> .</w:t>
      </w:r>
      <w:r>
        <w:rPr>
          <w:spacing w:val="41"/>
          <w:sz w:val="16"/>
        </w:rPr>
        <w:t xml:space="preserve"> </w:t>
      </w:r>
      <w:r>
        <w:rPr>
          <w:spacing w:val="11"/>
          <w:sz w:val="16"/>
        </w:rPr>
        <w:t>D</w:t>
      </w:r>
      <w:r>
        <w:rPr>
          <w:sz w:val="16"/>
        </w:rPr>
        <w:t xml:space="preserve"> </w:t>
      </w:r>
      <w:r>
        <w:rPr>
          <w:spacing w:val="11"/>
          <w:sz w:val="16"/>
        </w:rPr>
        <w:t>i</w:t>
      </w:r>
      <w:r>
        <w:rPr>
          <w:sz w:val="16"/>
        </w:rPr>
        <w:t xml:space="preserve"> </w:t>
      </w:r>
      <w:r>
        <w:rPr>
          <w:spacing w:val="11"/>
          <w:sz w:val="16"/>
        </w:rPr>
        <w:t>s</w:t>
      </w:r>
      <w:r>
        <w:rPr>
          <w:sz w:val="16"/>
        </w:rPr>
        <w:t xml:space="preserve"> </w:t>
      </w:r>
      <w:r>
        <w:rPr>
          <w:spacing w:val="11"/>
          <w:sz w:val="16"/>
        </w:rPr>
        <w:t>p</w:t>
      </w:r>
      <w:r>
        <w:rPr>
          <w:sz w:val="16"/>
        </w:rPr>
        <w:t xml:space="preserve"> </w:t>
      </w:r>
      <w:r>
        <w:rPr>
          <w:spacing w:val="11"/>
          <w:sz w:val="16"/>
        </w:rPr>
        <w:t>o</w:t>
      </w:r>
      <w:r>
        <w:rPr>
          <w:sz w:val="16"/>
        </w:rPr>
        <w:t xml:space="preserve"> </w:t>
      </w:r>
      <w:r>
        <w:rPr>
          <w:spacing w:val="11"/>
          <w:sz w:val="16"/>
        </w:rPr>
        <w:t>n</w:t>
      </w:r>
      <w:r>
        <w:rPr>
          <w:sz w:val="16"/>
        </w:rPr>
        <w:t xml:space="preserve"> </w:t>
      </w:r>
      <w:r>
        <w:rPr>
          <w:spacing w:val="11"/>
          <w:sz w:val="16"/>
        </w:rPr>
        <w:t>í</w:t>
      </w:r>
      <w:r>
        <w:rPr>
          <w:sz w:val="16"/>
        </w:rPr>
        <w:t xml:space="preserve"> </w:t>
      </w:r>
      <w:r>
        <w:rPr>
          <w:spacing w:val="11"/>
          <w:sz w:val="16"/>
        </w:rPr>
        <w:t>v</w:t>
      </w:r>
      <w:r>
        <w:rPr>
          <w:sz w:val="16"/>
        </w:rPr>
        <w:t xml:space="preserve"> </w:t>
      </w:r>
      <w:r>
        <w:rPr>
          <w:spacing w:val="11"/>
          <w:sz w:val="16"/>
        </w:rPr>
        <w:t>e</w:t>
      </w:r>
      <w:r>
        <w:rPr>
          <w:sz w:val="16"/>
        </w:rPr>
        <w:t xml:space="preserve"> l</w:t>
      </w:r>
      <w:r>
        <w:rPr>
          <w:spacing w:val="41"/>
          <w:sz w:val="16"/>
        </w:rPr>
        <w:t xml:space="preserve"> </w:t>
      </w:r>
      <w:r>
        <w:rPr>
          <w:spacing w:val="11"/>
          <w:sz w:val="16"/>
        </w:rPr>
        <w:t>e</w:t>
      </w:r>
      <w:r>
        <w:rPr>
          <w:sz w:val="16"/>
        </w:rPr>
        <w:t xml:space="preserve"> </w:t>
      </w:r>
      <w:r>
        <w:rPr>
          <w:spacing w:val="11"/>
          <w:sz w:val="16"/>
        </w:rPr>
        <w:t>m</w:t>
      </w:r>
      <w:r>
        <w:rPr>
          <w:sz w:val="16"/>
        </w:rPr>
        <w:t xml:space="preserve"> :</w:t>
      </w:r>
      <w:r>
        <w:rPr>
          <w:spacing w:val="12"/>
          <w:sz w:val="16"/>
        </w:rPr>
        <w:t xml:space="preserve"> </w:t>
      </w:r>
    </w:p>
    <w:p w:rsidR="00D81F69" w:rsidRDefault="00D81F69">
      <w:pPr>
        <w:spacing w:before="1"/>
        <w:ind w:left="100"/>
        <w:rPr>
          <w:sz w:val="16"/>
        </w:rPr>
      </w:pPr>
      <w:hyperlink r:id="rId635">
        <w:r w:rsidR="00330118">
          <w:rPr>
            <w:sz w:val="16"/>
          </w:rPr>
          <w:t>&lt;</w:t>
        </w:r>
        <w:r w:rsidR="00330118">
          <w:rPr>
            <w:sz w:val="16"/>
          </w:rPr>
          <w:t>http://www.ibge.gov.br/cidadesat/xtras/perfil.php?codmun=290520&amp;r</w:t>
        </w:r>
      </w:hyperlink>
    </w:p>
    <w:p w:rsidR="00D81F69" w:rsidRDefault="00330118">
      <w:pPr>
        <w:spacing w:before="56"/>
        <w:ind w:left="100"/>
        <w:rPr>
          <w:sz w:val="16"/>
        </w:rPr>
      </w:pPr>
      <w:r>
        <w:rPr>
          <w:sz w:val="16"/>
        </w:rPr>
        <w:t>=2&gt;. Acesso em: 22 dez. 2011.</w:t>
      </w:r>
    </w:p>
    <w:p w:rsidR="00D81F69" w:rsidRDefault="00330118">
      <w:pPr>
        <w:spacing w:before="56" w:line="312" w:lineRule="auto"/>
        <w:ind w:left="100" w:right="163"/>
        <w:jc w:val="both"/>
        <w:rPr>
          <w:sz w:val="16"/>
        </w:rPr>
      </w:pPr>
      <w:r>
        <w:rPr>
          <w:sz w:val="16"/>
        </w:rPr>
        <w:t xml:space="preserve">MINÉRIOS &amp; MINERALIS. Bahia de todos os minérios. In: Mining.com, 11 out. 2011. Disponível em: </w:t>
      </w:r>
    </w:p>
    <w:p w:rsidR="00D81F69" w:rsidRDefault="00D81F69">
      <w:pPr>
        <w:spacing w:before="2" w:line="312" w:lineRule="auto"/>
        <w:ind w:left="100" w:right="215"/>
        <w:jc w:val="both"/>
        <w:rPr>
          <w:sz w:val="16"/>
        </w:rPr>
      </w:pPr>
      <w:hyperlink r:id="rId636">
        <w:r w:rsidR="00330118">
          <w:rPr>
            <w:sz w:val="16"/>
          </w:rPr>
          <w:t>&lt;http://noticiasmineracao.mining.com/2011/10/11/bahia-de-todos-os-</w:t>
        </w:r>
      </w:hyperlink>
      <w:r w:rsidR="00330118">
        <w:rPr>
          <w:sz w:val="16"/>
        </w:rPr>
        <w:t xml:space="preserve"> minerios/&gt;. Acesso em: 15 dez. 2011.</w:t>
      </w:r>
    </w:p>
    <w:p w:rsidR="00D81F69" w:rsidRDefault="00330118">
      <w:pPr>
        <w:spacing w:before="2" w:line="312" w:lineRule="auto"/>
        <w:ind w:left="100" w:right="190"/>
        <w:jc w:val="both"/>
        <w:rPr>
          <w:sz w:val="16"/>
        </w:rPr>
      </w:pPr>
      <w:r>
        <w:rPr>
          <w:sz w:val="16"/>
        </w:rPr>
        <w:t xml:space="preserve">PÁDUA, Suzana. Porto Sul - Ganhos para quem? Perdas para todos? </w:t>
      </w:r>
      <w:hyperlink r:id="rId637">
        <w:r>
          <w:rPr>
            <w:sz w:val="16"/>
          </w:rPr>
          <w:t>O Eco, 11 jun. 2010. Disponível em: &lt;http://www.oeco.com.br/suzana-</w:t>
        </w:r>
      </w:hyperlink>
      <w:r>
        <w:rPr>
          <w:sz w:val="16"/>
        </w:rPr>
        <w:t xml:space="preserve"> padua/24046-porto-sul-ganhos-para-quem-perdas-para-todos&gt;. Acesso em: 15 dez. 2011.</w:t>
      </w:r>
    </w:p>
    <w:p w:rsidR="00D81F69" w:rsidRDefault="00330118">
      <w:pPr>
        <w:spacing w:before="3" w:line="312" w:lineRule="auto"/>
        <w:ind w:left="100" w:right="195"/>
        <w:jc w:val="both"/>
        <w:rPr>
          <w:sz w:val="16"/>
        </w:rPr>
      </w:pPr>
      <w:r>
        <w:rPr>
          <w:sz w:val="16"/>
        </w:rPr>
        <w:t>VILASBOAS, Zoraide. Adiada a discussão do licenciamento da expl</w:t>
      </w:r>
      <w:r>
        <w:rPr>
          <w:sz w:val="16"/>
        </w:rPr>
        <w:t xml:space="preserve">oração de ferro em Caetité. Ecodebate, Bahia, 22 dez. 2009. Disponível em: </w:t>
      </w:r>
      <w:hyperlink r:id="rId638">
        <w:r>
          <w:rPr>
            <w:sz w:val="16"/>
          </w:rPr>
          <w:t>&lt;http://www.ecodebate.com.br/2009/12/22/adiada-a-</w:t>
        </w:r>
      </w:hyperlink>
      <w:r>
        <w:rPr>
          <w:sz w:val="16"/>
        </w:rPr>
        <w:t xml:space="preserve"> discussao-do-licenciamento-da-exploracao-de-ferro-em-caetite- bah</w:t>
      </w:r>
      <w:r>
        <w:rPr>
          <w:sz w:val="16"/>
        </w:rPr>
        <w:t>ia/&gt;. Acesso em: 22 dez. 2011.</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56" w:space="314"/>
            <w:col w:w="5310"/>
          </w:cols>
        </w:sectPr>
      </w:pPr>
    </w:p>
    <w:p w:rsidR="00D81F69" w:rsidRDefault="00330118">
      <w:pPr>
        <w:pStyle w:val="Heading1"/>
        <w:spacing w:line="208" w:lineRule="auto"/>
        <w:ind w:right="301"/>
      </w:pPr>
      <w:r>
        <w:lastRenderedPageBreak/>
        <w:t>Extração de magnesita e talco em Brumado (BA) causa danos ambientais</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7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626" w:lineRule="auto"/>
        <w:ind w:left="135" w:right="20"/>
        <w:rPr>
          <w:i/>
          <w:sz w:val="14"/>
        </w:rPr>
      </w:pPr>
      <w:r>
        <w:rPr>
          <w:i/>
          <w:sz w:val="14"/>
        </w:rPr>
        <w:t>BA - Brumado LATITUDE LONGITUDE</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8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O município de Brumado, na Bahia, </w:t>
      </w:r>
      <w:r>
        <w:rPr>
          <w:i/>
          <w:sz w:val="16"/>
        </w:rPr>
        <w:t>possui a terceira maior mina de magnesita a céu aberto do mundo. A mina fica na Serra das Éguas, onde também ocorrem jazidas de talco. Várias mineradoras exploram a região, com destaque para a Magnesita S.A. A exploração de magnesita e talco, juntamente co</w:t>
      </w:r>
      <w:r>
        <w:rPr>
          <w:i/>
          <w:sz w:val="16"/>
        </w:rPr>
        <w:t>m outras atividades antrópicas, é responsável pela degradação ambiental da microbacia do Rio do Antônio.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8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96"/>
      </w:pPr>
      <w:r>
        <w:t>magnésio, produto obtido por meio da calcinação controlada do minério de magnesita e usado na indústria de fertilizantes, abrasivos, nutrição anima</w:t>
      </w:r>
      <w:r>
        <w:t>l e química (MAGNESITA, 2010c).</w:t>
      </w:r>
    </w:p>
    <w:p w:rsidR="00D81F69" w:rsidRDefault="00330118">
      <w:pPr>
        <w:pStyle w:val="Corpodetexto"/>
        <w:spacing w:before="132" w:line="312" w:lineRule="auto"/>
        <w:ind w:left="135" w:right="186"/>
      </w:pPr>
      <w:r>
        <w:t xml:space="preserve">Além das jazidas de magnesita e talco de Brumado, a Magnesita S.A. detém jazimentos de grafita, cromita, dolomita, pirofilita, argila e minério de </w:t>
      </w:r>
      <w:hyperlink r:id="rId639">
        <w:r>
          <w:t>ferro</w:t>
        </w:r>
      </w:hyperlink>
      <w:r>
        <w:t xml:space="preserve"> no país. No exterior, é proprietária de minas de dolomita, todas com mais de 30 anos de vida útil (D&amp;R NEGÓCIOS EMPRESARIAIS, 2011).</w:t>
      </w:r>
    </w:p>
    <w:p w:rsidR="00D81F69" w:rsidRDefault="00330118">
      <w:pPr>
        <w:pStyle w:val="Corpodetexto"/>
        <w:spacing w:before="73" w:line="270" w:lineRule="atLeast"/>
        <w:ind w:left="135" w:right="205"/>
      </w:pPr>
      <w:r>
        <w:t>As principais minas de magnesita da mineradora, em Brumado, são Pedra Preta e Pomba, com método de lavra</w:t>
      </w:r>
      <w:r>
        <w:t xml:space="preserve"> a céu aberto (SAMPAIO; ALMEIDA; FERES, 2002a). A mina de Pedra Preta produz a chamada magnesita gran grossa, em</w:t>
      </w:r>
    </w:p>
    <w:p w:rsidR="00D81F69" w:rsidRDefault="00D81F69">
      <w:pPr>
        <w:spacing w:line="270" w:lineRule="atLeast"/>
        <w:sectPr w:rsidR="00D81F69">
          <w:type w:val="continuous"/>
          <w:pgSz w:w="11900" w:h="16840"/>
          <w:pgMar w:top="720" w:right="500" w:bottom="280" w:left="620" w:header="720" w:footer="720" w:gutter="0"/>
          <w:cols w:num="3" w:space="720" w:equalWidth="0">
            <w:col w:w="1055" w:space="945"/>
            <w:col w:w="3128" w:space="307"/>
            <w:col w:w="5345"/>
          </w:cols>
        </w:sectPr>
      </w:pPr>
    </w:p>
    <w:p w:rsidR="00D81F69" w:rsidRDefault="00330118">
      <w:pPr>
        <w:pStyle w:val="Heading4"/>
        <w:spacing w:line="233" w:lineRule="exact"/>
        <w:jc w:val="left"/>
      </w:pPr>
      <w:r>
        <w:lastRenderedPageBreak/>
        <w:t>APRESENTAÇÃO DE CASO</w:t>
      </w:r>
    </w:p>
    <w:p w:rsidR="00D81F69" w:rsidRDefault="00330118">
      <w:pPr>
        <w:pStyle w:val="Corpodetexto"/>
        <w:spacing w:before="170" w:line="312" w:lineRule="auto"/>
        <w:ind w:right="112"/>
      </w:pPr>
      <w:r>
        <w:t>Os principais depósitos de talco e magnesita do Brasil estão localizados na Serra das Égua</w:t>
      </w:r>
      <w:r>
        <w:t xml:space="preserve">s, município de Brumado, no sudoeste da Bahia (MAGNESITA, 2010a). Apesar de gerar </w:t>
      </w:r>
      <w:r>
        <w:rPr>
          <w:spacing w:val="10"/>
        </w:rPr>
        <w:t xml:space="preserve">riquezas </w:t>
      </w:r>
      <w:r>
        <w:rPr>
          <w:spacing w:val="8"/>
        </w:rPr>
        <w:t xml:space="preserve">para </w:t>
      </w:r>
      <w:r>
        <w:t xml:space="preserve">o </w:t>
      </w:r>
      <w:r>
        <w:rPr>
          <w:spacing w:val="10"/>
        </w:rPr>
        <w:t xml:space="preserve">município, </w:t>
      </w:r>
      <w:r>
        <w:t xml:space="preserve">a </w:t>
      </w:r>
      <w:r>
        <w:rPr>
          <w:spacing w:val="10"/>
        </w:rPr>
        <w:t xml:space="preserve">mineração </w:t>
      </w:r>
      <w:r>
        <w:rPr>
          <w:spacing w:val="7"/>
        </w:rPr>
        <w:t xml:space="preserve">tem </w:t>
      </w:r>
      <w:r>
        <w:rPr>
          <w:spacing w:val="11"/>
        </w:rPr>
        <w:t xml:space="preserve">gerado </w:t>
      </w:r>
      <w:r>
        <w:t>problemas socioambientais, como crescimento desordenado  e degradação ambiental (MESSIAS,</w:t>
      </w:r>
      <w:r>
        <w:rPr>
          <w:spacing w:val="47"/>
        </w:rPr>
        <w:t xml:space="preserve"> </w:t>
      </w:r>
      <w:r>
        <w:t>2010).</w:t>
      </w:r>
    </w:p>
    <w:p w:rsidR="00D81F69" w:rsidRDefault="00330118">
      <w:pPr>
        <w:pStyle w:val="Corpodetexto"/>
        <w:spacing w:before="136" w:line="312" w:lineRule="auto"/>
        <w:ind w:right="37"/>
        <w:jc w:val="left"/>
      </w:pPr>
      <w:r>
        <w:t>Localizado a 660 km de Salv</w:t>
      </w:r>
      <w:r>
        <w:t>ador (MAGNESITA, 2010a), Brumado tem 2.226,818 km² e 64.602 habitantes (IBGE, 2010). O município destaca-se, no estado, como importante polo comercial e industrial (MESSIAS, 2010), apresentando, com exceção de Vitória da Conquista, os melhores índices de d</w:t>
      </w:r>
      <w:r>
        <w:t>esenvolvimento social e econômico da região (BIBLIOTECA MUNICIPAL DO IBGE, 2011).</w:t>
      </w:r>
    </w:p>
    <w:p w:rsidR="00D81F69" w:rsidRDefault="00330118">
      <w:pPr>
        <w:pStyle w:val="Corpodetexto"/>
        <w:spacing w:before="136" w:line="312" w:lineRule="auto"/>
        <w:ind w:right="123"/>
      </w:pPr>
      <w:r>
        <w:t>Até a década de 1940, a produção de algodão foi a principal atividade econômica do município. Após esta década, foram fomentadas atividades comerciais e de serviços, bem como</w:t>
      </w:r>
      <w:r>
        <w:t xml:space="preserve"> investimentos na mineração, que é, hoje, importante fonte de riqueza local, sendo o setor que mais emprega a população (MESSIAS, 2010).</w:t>
      </w:r>
    </w:p>
    <w:p w:rsidR="00D81F69" w:rsidRDefault="00330118">
      <w:pPr>
        <w:pStyle w:val="Corpodetexto"/>
        <w:spacing w:before="136" w:line="312" w:lineRule="auto"/>
        <w:ind w:right="99"/>
      </w:pPr>
      <w:r>
        <w:t xml:space="preserve">Os Greenstones Belts (GB) de Brumado — onde se localiza a Serra das Éguas — são bastante favoráveis a diversos depósitos minerais. Além de magnesita e talco, ocorrem, na região, depósitos de vermiculita, calcários e dolomitos, bem como de pedras preciosas </w:t>
      </w:r>
      <w:r>
        <w:t>e ornamentais (VIANA,2009). Dentre as mineradoras instaladas no município, destacam-se: Magnesita S.A.; Xilolite S.A; Ibar Nordeste S.A; e Cimentos Portugal (CIMPOR) (MESSIAS, 2010).</w:t>
      </w:r>
    </w:p>
    <w:p w:rsidR="00D81F69" w:rsidRDefault="00330118">
      <w:pPr>
        <w:pStyle w:val="Corpodetexto"/>
        <w:spacing w:before="137" w:line="312" w:lineRule="auto"/>
        <w:ind w:right="97"/>
      </w:pPr>
      <w:r>
        <w:t>Na região da Serra das Éguas, a mineradora Magnesita S.A. (MAGNESITA, 201</w:t>
      </w:r>
      <w:r>
        <w:t>0 b) — criada em 1939, após a descoberta de depósitos de magnesita no município (MAGNESITA, 2010d) — possui a terceira maior mina de magnesita a céu aberto do mundo, de onde extrai matéria prima para produção de tijolos refratários (MAGNESITA, 2010b) e óxi</w:t>
      </w:r>
      <w:r>
        <w:t>do de</w:t>
      </w:r>
    </w:p>
    <w:p w:rsidR="00D81F69" w:rsidRDefault="00330118">
      <w:pPr>
        <w:pStyle w:val="Corpodetexto"/>
        <w:spacing w:before="63" w:line="312" w:lineRule="auto"/>
        <w:ind w:right="192"/>
      </w:pPr>
      <w:r>
        <w:br w:type="column"/>
      </w:r>
      <w:r>
        <w:lastRenderedPageBreak/>
        <w:t>referência à sua granulometria, que possui coloração escura. Já a mina de Pomba produz magnesita de cor mais clara, chamada de gran fina, devido ao caráter mais homogêneo da mineralização (VIANA, 2009).</w:t>
      </w:r>
    </w:p>
    <w:p w:rsidR="00D81F69" w:rsidRDefault="00330118">
      <w:pPr>
        <w:pStyle w:val="Corpodetexto"/>
        <w:spacing w:before="134" w:line="312" w:lineRule="auto"/>
        <w:ind w:right="193"/>
      </w:pPr>
      <w:r>
        <w:rPr>
          <w:spacing w:val="5"/>
        </w:rPr>
        <w:t xml:space="preserve">Só no </w:t>
      </w:r>
      <w:r>
        <w:rPr>
          <w:spacing w:val="8"/>
        </w:rPr>
        <w:t xml:space="preserve">município </w:t>
      </w:r>
      <w:r>
        <w:rPr>
          <w:spacing w:val="5"/>
        </w:rPr>
        <w:t xml:space="preserve">de </w:t>
      </w:r>
      <w:r>
        <w:rPr>
          <w:spacing w:val="8"/>
        </w:rPr>
        <w:t xml:space="preserve">Brumado, </w:t>
      </w:r>
      <w:r>
        <w:t xml:space="preserve">a </w:t>
      </w:r>
      <w:r>
        <w:rPr>
          <w:spacing w:val="8"/>
        </w:rPr>
        <w:t xml:space="preserve">Magnesita </w:t>
      </w:r>
      <w:r>
        <w:rPr>
          <w:spacing w:val="7"/>
        </w:rPr>
        <w:t xml:space="preserve">S.A. </w:t>
      </w:r>
      <w:r>
        <w:rPr>
          <w:spacing w:val="10"/>
        </w:rPr>
        <w:t>t</w:t>
      </w:r>
      <w:r>
        <w:rPr>
          <w:spacing w:val="10"/>
        </w:rPr>
        <w:t xml:space="preserve">em </w:t>
      </w:r>
      <w:r>
        <w:rPr>
          <w:spacing w:val="8"/>
        </w:rPr>
        <w:t xml:space="preserve">capacidade </w:t>
      </w:r>
      <w:r>
        <w:rPr>
          <w:spacing w:val="7"/>
        </w:rPr>
        <w:t xml:space="preserve">nominal </w:t>
      </w:r>
      <w:r>
        <w:rPr>
          <w:spacing w:val="5"/>
        </w:rPr>
        <w:t xml:space="preserve">de </w:t>
      </w:r>
      <w:r>
        <w:rPr>
          <w:spacing w:val="7"/>
        </w:rPr>
        <w:t xml:space="preserve">produção </w:t>
      </w:r>
      <w:r>
        <w:rPr>
          <w:spacing w:val="5"/>
        </w:rPr>
        <w:t xml:space="preserve">de </w:t>
      </w:r>
      <w:r>
        <w:rPr>
          <w:spacing w:val="7"/>
        </w:rPr>
        <w:t xml:space="preserve">285.000 t/ano </w:t>
      </w:r>
      <w:r>
        <w:rPr>
          <w:spacing w:val="10"/>
        </w:rPr>
        <w:t xml:space="preserve">de </w:t>
      </w:r>
      <w:r>
        <w:t xml:space="preserve">magnésia sinterizada e 67.000 t/ano de magnésia cáustica. </w:t>
      </w:r>
      <w:r>
        <w:rPr>
          <w:spacing w:val="2"/>
        </w:rPr>
        <w:t xml:space="preserve">Os </w:t>
      </w:r>
      <w:r>
        <w:rPr>
          <w:spacing w:val="5"/>
        </w:rPr>
        <w:t xml:space="preserve">produtos </w:t>
      </w:r>
      <w:r>
        <w:rPr>
          <w:spacing w:val="3"/>
        </w:rPr>
        <w:t xml:space="preserve">das </w:t>
      </w:r>
      <w:r>
        <w:rPr>
          <w:spacing w:val="5"/>
        </w:rPr>
        <w:t xml:space="preserve">usinas </w:t>
      </w:r>
      <w:r>
        <w:rPr>
          <w:spacing w:val="2"/>
        </w:rPr>
        <w:t xml:space="preserve">de </w:t>
      </w:r>
      <w:r>
        <w:rPr>
          <w:spacing w:val="5"/>
        </w:rPr>
        <w:t xml:space="preserve">sinterização </w:t>
      </w:r>
      <w:r>
        <w:rPr>
          <w:spacing w:val="3"/>
        </w:rPr>
        <w:t xml:space="preserve">são </w:t>
      </w:r>
      <w:r>
        <w:rPr>
          <w:spacing w:val="5"/>
        </w:rPr>
        <w:t xml:space="preserve">usados </w:t>
      </w:r>
      <w:r>
        <w:rPr>
          <w:spacing w:val="6"/>
        </w:rPr>
        <w:t xml:space="preserve">na </w:t>
      </w:r>
      <w:r>
        <w:rPr>
          <w:spacing w:val="5"/>
        </w:rPr>
        <w:t xml:space="preserve">fabricação </w:t>
      </w:r>
      <w:r>
        <w:rPr>
          <w:spacing w:val="2"/>
        </w:rPr>
        <w:t xml:space="preserve">de </w:t>
      </w:r>
      <w:r>
        <w:rPr>
          <w:spacing w:val="5"/>
        </w:rPr>
        <w:t xml:space="preserve">refratários básicos </w:t>
      </w:r>
      <w:r>
        <w:rPr>
          <w:spacing w:val="3"/>
        </w:rPr>
        <w:t xml:space="preserve">nas </w:t>
      </w:r>
      <w:r>
        <w:rPr>
          <w:spacing w:val="5"/>
        </w:rPr>
        <w:t>unidades fabris da</w:t>
      </w:r>
      <w:r>
        <w:rPr>
          <w:spacing w:val="61"/>
        </w:rPr>
        <w:t xml:space="preserve"> </w:t>
      </w:r>
      <w:r>
        <w:t xml:space="preserve">mineradora, localizadas em Contagem (MG) e São Caetano </w:t>
      </w:r>
      <w:r>
        <w:rPr>
          <w:spacing w:val="5"/>
        </w:rPr>
        <w:t xml:space="preserve">do Sul </w:t>
      </w:r>
      <w:r>
        <w:rPr>
          <w:spacing w:val="6"/>
        </w:rPr>
        <w:t xml:space="preserve">(SP) </w:t>
      </w:r>
      <w:r>
        <w:rPr>
          <w:spacing w:val="5"/>
        </w:rPr>
        <w:t xml:space="preserve">e, </w:t>
      </w:r>
      <w:r>
        <w:rPr>
          <w:spacing w:val="7"/>
        </w:rPr>
        <w:t xml:space="preserve">também, pelas </w:t>
      </w:r>
      <w:r>
        <w:rPr>
          <w:spacing w:val="6"/>
        </w:rPr>
        <w:t xml:space="preserve">suas </w:t>
      </w:r>
      <w:r>
        <w:rPr>
          <w:spacing w:val="8"/>
        </w:rPr>
        <w:t xml:space="preserve">controladas, </w:t>
      </w:r>
      <w:r>
        <w:rPr>
          <w:spacing w:val="10"/>
        </w:rPr>
        <w:t xml:space="preserve">Risa </w:t>
      </w:r>
      <w:r>
        <w:rPr>
          <w:spacing w:val="8"/>
        </w:rPr>
        <w:t xml:space="preserve">(Contagem-MG) </w:t>
      </w:r>
      <w:r>
        <w:t xml:space="preserve">e </w:t>
      </w:r>
      <w:r>
        <w:rPr>
          <w:spacing w:val="6"/>
        </w:rPr>
        <w:t xml:space="preserve">Rasa </w:t>
      </w:r>
      <w:r>
        <w:rPr>
          <w:spacing w:val="8"/>
        </w:rPr>
        <w:t xml:space="preserve">(Argentina). </w:t>
      </w:r>
      <w:r>
        <w:rPr>
          <w:spacing w:val="6"/>
        </w:rPr>
        <w:t xml:space="preserve">Além </w:t>
      </w:r>
      <w:r>
        <w:rPr>
          <w:spacing w:val="7"/>
        </w:rPr>
        <w:t xml:space="preserve">disso, </w:t>
      </w:r>
      <w:r>
        <w:rPr>
          <w:spacing w:val="10"/>
        </w:rPr>
        <w:t xml:space="preserve">boa </w:t>
      </w:r>
      <w:r>
        <w:t>quantidade de magnesita sinterizada é exportada (SAMPAIO; ALMEIDA; FERES,</w:t>
      </w:r>
      <w:r>
        <w:rPr>
          <w:spacing w:val="10"/>
        </w:rPr>
        <w:t xml:space="preserve"> </w:t>
      </w:r>
      <w:r>
        <w:t>2002a).</w:t>
      </w:r>
    </w:p>
    <w:p w:rsidR="00D81F69" w:rsidRDefault="00330118">
      <w:pPr>
        <w:pStyle w:val="Corpodetexto"/>
        <w:spacing w:before="139" w:line="312" w:lineRule="auto"/>
        <w:ind w:right="185"/>
      </w:pPr>
      <w:r>
        <w:t>Já os maiores dep</w:t>
      </w:r>
      <w:r>
        <w:t>ósitos de talco existentes na Serra das Éguas ocorrem, em forma de veios ou pequenos bolsões, nos maciços de magnesita (CAMARA, 2003). As principais minas de talco da Magnesita S.A. são Cabeceiras e Cordeiro. O método de lavra do talco também é a céu abert</w:t>
      </w:r>
      <w:r>
        <w:t xml:space="preserve">o. As reservas totais da empresa na região chegam a 3 milhões de toneladas. A produção de minério bruto é de 98.400 t/ano, com produção anual de 25.000 t de talco (SAMPAIO; ALMEIDA; FERES, 2002b). O mineral é usado, em especial, na indústria de plásticos; </w:t>
      </w:r>
      <w:r>
        <w:t>cosméticos e farmacêutica; alimentos; agronegócio; produtos químicos para agricultura; fertilizantes; indústria cerâmica; e de papel e celulose (MAGNESITA, 2010a).</w:t>
      </w:r>
    </w:p>
    <w:p w:rsidR="00D81F69" w:rsidRDefault="00330118">
      <w:pPr>
        <w:pStyle w:val="Corpodetexto"/>
        <w:spacing w:before="79" w:line="270" w:lineRule="atLeast"/>
        <w:ind w:right="195"/>
      </w:pPr>
      <w:r>
        <w:t xml:space="preserve">Um dos </w:t>
      </w:r>
      <w:r>
        <w:rPr>
          <w:spacing w:val="1"/>
        </w:rPr>
        <w:t xml:space="preserve">grandes problemas enfrentados </w:t>
      </w:r>
      <w:r>
        <w:t xml:space="preserve">por </w:t>
      </w:r>
      <w:r>
        <w:rPr>
          <w:spacing w:val="1"/>
        </w:rPr>
        <w:t xml:space="preserve">Brumado, </w:t>
      </w:r>
      <w:r>
        <w:rPr>
          <w:spacing w:val="2"/>
        </w:rPr>
        <w:t xml:space="preserve">nas </w:t>
      </w:r>
      <w:r>
        <w:rPr>
          <w:spacing w:val="3"/>
        </w:rPr>
        <w:t xml:space="preserve">últimas décadas, </w:t>
      </w:r>
      <w:r>
        <w:rPr>
          <w:spacing w:val="2"/>
        </w:rPr>
        <w:t xml:space="preserve">está </w:t>
      </w:r>
      <w:r>
        <w:rPr>
          <w:spacing w:val="3"/>
        </w:rPr>
        <w:t xml:space="preserve">justamente </w:t>
      </w:r>
      <w:r>
        <w:rPr>
          <w:spacing w:val="1"/>
        </w:rPr>
        <w:t xml:space="preserve">na </w:t>
      </w:r>
      <w:r>
        <w:rPr>
          <w:spacing w:val="3"/>
        </w:rPr>
        <w:t>re</w:t>
      </w:r>
      <w:r>
        <w:rPr>
          <w:spacing w:val="3"/>
        </w:rPr>
        <w:t xml:space="preserve">gião </w:t>
      </w:r>
      <w:r>
        <w:rPr>
          <w:spacing w:val="1"/>
        </w:rPr>
        <w:t xml:space="preserve">da </w:t>
      </w:r>
      <w:r>
        <w:rPr>
          <w:spacing w:val="3"/>
        </w:rPr>
        <w:t xml:space="preserve">Serra </w:t>
      </w:r>
      <w:r>
        <w:rPr>
          <w:spacing w:val="5"/>
        </w:rPr>
        <w:t xml:space="preserve">das </w:t>
      </w:r>
      <w:r>
        <w:rPr>
          <w:spacing w:val="1"/>
        </w:rPr>
        <w:t xml:space="preserve">Éguas. </w:t>
      </w:r>
      <w:r>
        <w:t xml:space="preserve">Ela é </w:t>
      </w:r>
      <w:r>
        <w:rPr>
          <w:spacing w:val="1"/>
        </w:rPr>
        <w:t xml:space="preserve">cortada pelo </w:t>
      </w:r>
      <w:r>
        <w:t xml:space="preserve">rio do </w:t>
      </w:r>
      <w:r>
        <w:rPr>
          <w:spacing w:val="1"/>
        </w:rPr>
        <w:t xml:space="preserve">Antônio, </w:t>
      </w:r>
      <w:r>
        <w:t xml:space="preserve">que faz </w:t>
      </w:r>
      <w:r>
        <w:rPr>
          <w:spacing w:val="1"/>
        </w:rPr>
        <w:t xml:space="preserve">parte </w:t>
      </w:r>
      <w:r>
        <w:rPr>
          <w:spacing w:val="2"/>
        </w:rPr>
        <w:t xml:space="preserve">da </w:t>
      </w:r>
      <w:r>
        <w:t xml:space="preserve">microbacia Hidrográfica do Rio do Antônio, inserida na Bacia Hidrográfica do Rio das Contas. O rio é uma das fontes de água para abastecimento doméstico e industrial. No entanto, </w:t>
      </w:r>
      <w:r>
        <w:t>desde sua nascente, no município de Licínio de Almeida, até  o rio Brumado, apresenta sinais de degradação, com</w:t>
      </w:r>
      <w:r>
        <w:rPr>
          <w:spacing w:val="15"/>
        </w:rPr>
        <w:t xml:space="preserve"> </w:t>
      </w:r>
      <w:r>
        <w:t>emissão</w:t>
      </w:r>
    </w:p>
    <w:p w:rsidR="00D81F69" w:rsidRDefault="00D81F69">
      <w:pPr>
        <w:spacing w:line="270" w:lineRule="atLeast"/>
        <w:sectPr w:rsidR="00D81F69">
          <w:type w:val="continuous"/>
          <w:pgSz w:w="11900" w:h="16840"/>
          <w:pgMar w:top="720" w:right="500" w:bottom="280" w:left="620" w:header="720" w:footer="720" w:gutter="0"/>
          <w:cols w:num="2" w:space="720" w:equalWidth="0">
            <w:col w:w="5220" w:space="250"/>
            <w:col w:w="5310"/>
          </w:cols>
        </w:sectPr>
      </w:pPr>
    </w:p>
    <w:p w:rsidR="00D81F69" w:rsidRDefault="00330118">
      <w:pPr>
        <w:pStyle w:val="Corpodetexto"/>
        <w:spacing w:before="81" w:line="312" w:lineRule="auto"/>
        <w:ind w:right="55"/>
      </w:pPr>
      <w:r>
        <w:lastRenderedPageBreak/>
        <w:t>de águas residuais e lixo. As mais importantes atividades econômicas da microbacia são a extração e o benefic</w:t>
      </w:r>
      <w:r>
        <w:t>iamento de minérios, o que coloca a mineração como uma das principais fontes de poluição local (MESSIAS, 2010).</w:t>
      </w:r>
    </w:p>
    <w:p w:rsidR="00D81F69" w:rsidRDefault="00330118">
      <w:pPr>
        <w:pStyle w:val="Corpodetexto"/>
        <w:spacing w:before="134" w:line="312" w:lineRule="auto"/>
        <w:ind w:right="38"/>
      </w:pPr>
      <w:r>
        <w:t>Um relatório, de 2002, da Geohidro — empresa de engenharia consultiva que atua principalmente nas áreas de infraestrutura, meio ambiente, saneam</w:t>
      </w:r>
      <w:r>
        <w:t xml:space="preserve">ento básico, recursos hídricos e gerenciamento de obras — aponta como problemas da microbacia: a exploração de </w:t>
      </w:r>
      <w:hyperlink r:id="rId640">
        <w:r>
          <w:t>manganês</w:t>
        </w:r>
      </w:hyperlink>
      <w:r>
        <w:t xml:space="preserve"> em Licínio de Almeida; o garimpo de ametistas</w:t>
      </w:r>
      <w:r>
        <w:t xml:space="preserve"> no rio do Salto; lançamentos de esgoto e lixo; proliferação de plantas aquáticas; erosão; assoreamento; queimada e ausência de vegetação ciliar, dentre outros. Destes, apenas o garimpo de ametistas não diz respeito a Brumado. Os demais são desenvolvidos n</w:t>
      </w:r>
      <w:r>
        <w:t>o município, sendo que a exploração de manganês o afeta, através de escoamento do minério pelas águas do rio do Antônio, chegando até o reservatório da Barragem da Cidade de Brumado (GEOHIDRO et al., 2002 apud BRUMADO EM DESTAQUE, 2004).</w:t>
      </w:r>
    </w:p>
    <w:p w:rsidR="00D81F69" w:rsidRDefault="00330118">
      <w:pPr>
        <w:pStyle w:val="Corpodetexto"/>
        <w:spacing w:before="143" w:line="312" w:lineRule="auto"/>
        <w:ind w:right="40"/>
      </w:pPr>
      <w:r>
        <w:t xml:space="preserve">O </w:t>
      </w:r>
      <w:r>
        <w:rPr>
          <w:spacing w:val="1"/>
        </w:rPr>
        <w:t>relatório aponto</w:t>
      </w:r>
      <w:r>
        <w:rPr>
          <w:spacing w:val="1"/>
        </w:rPr>
        <w:t xml:space="preserve">u que, </w:t>
      </w:r>
      <w:r>
        <w:t xml:space="preserve">em </w:t>
      </w:r>
      <w:r>
        <w:rPr>
          <w:spacing w:val="1"/>
        </w:rPr>
        <w:t xml:space="preserve">novembro </w:t>
      </w:r>
      <w:r>
        <w:t xml:space="preserve">de </w:t>
      </w:r>
      <w:r>
        <w:rPr>
          <w:spacing w:val="1"/>
        </w:rPr>
        <w:t xml:space="preserve">2001, </w:t>
      </w:r>
      <w:r>
        <w:t xml:space="preserve">o </w:t>
      </w:r>
      <w:r>
        <w:rPr>
          <w:spacing w:val="1"/>
        </w:rPr>
        <w:t xml:space="preserve">teor </w:t>
      </w:r>
      <w:r>
        <w:rPr>
          <w:spacing w:val="2"/>
        </w:rPr>
        <w:t xml:space="preserve">de </w:t>
      </w:r>
      <w:r>
        <w:t xml:space="preserve">manganês no fundo da Barragem de Brumado chegou a mais de 800 mg/l e na superfície a mais de 1300 mg/l, tendo sido registrados os índices mais altos do período de outubro de 2001 a janeiro de 2003. Como a água captada </w:t>
      </w:r>
      <w:r>
        <w:t xml:space="preserve">da barragem é </w:t>
      </w:r>
      <w:r>
        <w:rPr>
          <w:spacing w:val="7"/>
        </w:rPr>
        <w:t xml:space="preserve">usada para </w:t>
      </w:r>
      <w:r>
        <w:t xml:space="preserve">o </w:t>
      </w:r>
      <w:r>
        <w:rPr>
          <w:spacing w:val="10"/>
        </w:rPr>
        <w:t xml:space="preserve">abastecimento </w:t>
      </w:r>
      <w:r>
        <w:rPr>
          <w:spacing w:val="8"/>
        </w:rPr>
        <w:t xml:space="preserve">humano, </w:t>
      </w:r>
      <w:r>
        <w:t xml:space="preserve">a </w:t>
      </w:r>
      <w:r>
        <w:rPr>
          <w:spacing w:val="8"/>
        </w:rPr>
        <w:t xml:space="preserve">presença </w:t>
      </w:r>
      <w:r>
        <w:rPr>
          <w:spacing w:val="10"/>
        </w:rPr>
        <w:t xml:space="preserve">de </w:t>
      </w:r>
      <w:r>
        <w:rPr>
          <w:spacing w:val="5"/>
        </w:rPr>
        <w:t xml:space="preserve">manganês demandaria </w:t>
      </w:r>
      <w:r>
        <w:t xml:space="preserve">a </w:t>
      </w:r>
      <w:r>
        <w:rPr>
          <w:spacing w:val="5"/>
        </w:rPr>
        <w:t xml:space="preserve">implementação </w:t>
      </w:r>
      <w:r>
        <w:rPr>
          <w:spacing w:val="2"/>
        </w:rPr>
        <w:t xml:space="preserve">de </w:t>
      </w:r>
      <w:r>
        <w:rPr>
          <w:spacing w:val="5"/>
        </w:rPr>
        <w:t>processo de</w:t>
      </w:r>
      <w:r>
        <w:rPr>
          <w:spacing w:val="61"/>
        </w:rPr>
        <w:t xml:space="preserve"> </w:t>
      </w:r>
      <w:r>
        <w:rPr>
          <w:spacing w:val="7"/>
        </w:rPr>
        <w:t xml:space="preserve">flotação </w:t>
      </w:r>
      <w:r>
        <w:rPr>
          <w:spacing w:val="5"/>
        </w:rPr>
        <w:t xml:space="preserve">por ar </w:t>
      </w:r>
      <w:r>
        <w:rPr>
          <w:spacing w:val="8"/>
        </w:rPr>
        <w:t xml:space="preserve">dissolvido </w:t>
      </w:r>
      <w:r>
        <w:rPr>
          <w:spacing w:val="5"/>
        </w:rPr>
        <w:t xml:space="preserve">(um </w:t>
      </w:r>
      <w:r>
        <w:rPr>
          <w:spacing w:val="7"/>
        </w:rPr>
        <w:t xml:space="preserve">sistema </w:t>
      </w:r>
      <w:r>
        <w:rPr>
          <w:spacing w:val="5"/>
        </w:rPr>
        <w:t xml:space="preserve">de </w:t>
      </w:r>
      <w:r>
        <w:rPr>
          <w:spacing w:val="7"/>
        </w:rPr>
        <w:t xml:space="preserve">remoção </w:t>
      </w:r>
      <w:r>
        <w:rPr>
          <w:spacing w:val="10"/>
        </w:rPr>
        <w:t xml:space="preserve">de </w:t>
      </w:r>
      <w:r>
        <w:rPr>
          <w:spacing w:val="5"/>
        </w:rPr>
        <w:t xml:space="preserve">impurezas </w:t>
      </w:r>
      <w:r>
        <w:rPr>
          <w:spacing w:val="2"/>
        </w:rPr>
        <w:t xml:space="preserve">da </w:t>
      </w:r>
      <w:r>
        <w:rPr>
          <w:spacing w:val="3"/>
        </w:rPr>
        <w:t xml:space="preserve">água, por meio </w:t>
      </w:r>
      <w:r>
        <w:rPr>
          <w:spacing w:val="2"/>
        </w:rPr>
        <w:t xml:space="preserve">de </w:t>
      </w:r>
      <w:r>
        <w:rPr>
          <w:spacing w:val="5"/>
        </w:rPr>
        <w:t xml:space="preserve">microbolhas </w:t>
      </w:r>
      <w:r>
        <w:rPr>
          <w:spacing w:val="2"/>
        </w:rPr>
        <w:t xml:space="preserve">de </w:t>
      </w:r>
      <w:r>
        <w:rPr>
          <w:spacing w:val="3"/>
        </w:rPr>
        <w:t xml:space="preserve">ar, </w:t>
      </w:r>
      <w:r>
        <w:rPr>
          <w:spacing w:val="5"/>
        </w:rPr>
        <w:t>que</w:t>
      </w:r>
      <w:r>
        <w:rPr>
          <w:spacing w:val="61"/>
        </w:rPr>
        <w:t xml:space="preserve"> </w:t>
      </w:r>
      <w:r>
        <w:t xml:space="preserve">arrastam partículas de diversos tamanhos até à superfície da </w:t>
      </w:r>
      <w:r>
        <w:rPr>
          <w:spacing w:val="1"/>
        </w:rPr>
        <w:t xml:space="preserve">água, </w:t>
      </w:r>
      <w:r>
        <w:t xml:space="preserve">de </w:t>
      </w:r>
      <w:r>
        <w:rPr>
          <w:spacing w:val="1"/>
        </w:rPr>
        <w:t xml:space="preserve">onde </w:t>
      </w:r>
      <w:r>
        <w:t xml:space="preserve">são </w:t>
      </w:r>
      <w:r>
        <w:rPr>
          <w:spacing w:val="1"/>
        </w:rPr>
        <w:t xml:space="preserve">removidas </w:t>
      </w:r>
      <w:r>
        <w:t xml:space="preserve">por </w:t>
      </w:r>
      <w:r>
        <w:rPr>
          <w:spacing w:val="1"/>
        </w:rPr>
        <w:t xml:space="preserve">dispositivos </w:t>
      </w:r>
      <w:r>
        <w:rPr>
          <w:spacing w:val="2"/>
        </w:rPr>
        <w:t xml:space="preserve">mecânicos), </w:t>
      </w:r>
      <w:r>
        <w:t xml:space="preserve">para realizar a oxidação do metal “por aeração forçada com microbolhas de ar comprimido” (GEOHIDRO et al., 2002 apud BRUMADO EM DESTAQUE, </w:t>
      </w:r>
      <w:r>
        <w:t>2004, p. 2).</w:t>
      </w:r>
    </w:p>
    <w:p w:rsidR="00D81F69" w:rsidRDefault="00330118">
      <w:pPr>
        <w:pStyle w:val="Corpodetexto"/>
        <w:spacing w:before="143" w:line="312" w:lineRule="auto"/>
        <w:ind w:right="55"/>
      </w:pPr>
      <w:r>
        <w:t>De acordo com carta de cobertura vegetal do município de Brumado, elaborada pela Diretoria de Desenvolvimento Florestal (DDF), da Secretaria de Agricultura, Irrigação e Reforma Agrária (Seagri), de 1995-1998, a maior parte do território do mun</w:t>
      </w:r>
      <w:r>
        <w:t>icípio já foi modificada pelo homem. O desmatamento da vegetação nativa deve-se, em grande parte, à extração de lenha para a atividade industrial da mineração, bem como à formação de pasto e de culturas agrícolas (BRUMADO EM DESTAQUE, 2004).</w:t>
      </w:r>
    </w:p>
    <w:p w:rsidR="00D81F69" w:rsidRDefault="00330118">
      <w:pPr>
        <w:pStyle w:val="Corpodetexto"/>
        <w:spacing w:before="139" w:line="312" w:lineRule="auto"/>
        <w:ind w:right="57"/>
      </w:pPr>
      <w:r>
        <w:t xml:space="preserve">De acordo com </w:t>
      </w:r>
      <w:r>
        <w:t>Wagner Martins Pinchemel Amorim (2011), no artigo “Formação Sócio-Territorial de Brumado – BA”, a Magnesita S.A. vem tentando conciliar sua atuação com o desenvolvimento sustentável. Para tanto, apoia diversas atividades voltadas à preservação do meio ambi</w:t>
      </w:r>
      <w:r>
        <w:t>ente nas comunidades onde está inserida (AMORIM, 2011).</w:t>
      </w:r>
    </w:p>
    <w:p w:rsidR="00D81F69" w:rsidRDefault="00330118">
      <w:pPr>
        <w:pStyle w:val="Corpodetexto"/>
        <w:spacing w:before="135" w:line="312" w:lineRule="auto"/>
        <w:ind w:right="54"/>
      </w:pPr>
      <w:r>
        <w:t>Superada a queda na demanda por produtos refratários pelas indústrias do cimento no mercado externo (COSTA, 2011), a Magnesita S.A. anunciou, recentemente, aporte em dois projetos: um destina-se à exp</w:t>
      </w:r>
      <w:r>
        <w:t>ansão da capacidade de produção de sínter de magnesita em Brumado e, o outro, à expansão da mina de grafita em Almenara (MG) (BRASIL</w:t>
      </w:r>
    </w:p>
    <w:p w:rsidR="00D81F69" w:rsidRDefault="00330118">
      <w:pPr>
        <w:pStyle w:val="Corpodetexto"/>
        <w:spacing w:before="81"/>
      </w:pPr>
      <w:r>
        <w:br w:type="column"/>
      </w:r>
      <w:r>
        <w:lastRenderedPageBreak/>
        <w:t>MINERAL, 2011).</w:t>
      </w:r>
    </w:p>
    <w:p w:rsidR="00D81F69" w:rsidRDefault="00D81F69">
      <w:pPr>
        <w:pStyle w:val="Corpodetexto"/>
        <w:spacing w:before="9"/>
        <w:ind w:left="0"/>
        <w:jc w:val="left"/>
        <w:rPr>
          <w:sz w:val="16"/>
        </w:rPr>
      </w:pPr>
    </w:p>
    <w:p w:rsidR="00D81F69" w:rsidRDefault="00330118">
      <w:pPr>
        <w:pStyle w:val="Corpodetexto"/>
        <w:spacing w:line="312" w:lineRule="auto"/>
        <w:ind w:right="189"/>
      </w:pPr>
      <w:r>
        <w:t>Em Brumado, dois novos fornos estão previstos até 2013. Um deles vai começar a operar em 2012. Quando os dois estiverem funcionando, vão adicionar 120 mil toneladas de produção anual do produto M-30, de alto valor agregado. Grande parte do material vai sup</w:t>
      </w:r>
      <w:r>
        <w:t>rir unidades da empresa na Europa e novas fábricas (prensas) de tijolos nos Estados Unidos e Alemanha (D&amp;R NEGÓCIOS EMPRESARIAIS, 2011).</w:t>
      </w:r>
    </w:p>
    <w:p w:rsidR="00D81F69" w:rsidRDefault="00D81F69">
      <w:pPr>
        <w:pStyle w:val="Corpodetexto"/>
        <w:spacing w:before="7"/>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208"/>
      </w:pPr>
      <w:r>
        <w:t>O município de Brumado (latitude 14°11’50”S e longitude 41°40’09”W) está localizado na Serra da</w:t>
      </w:r>
      <w:r>
        <w:t>s Éguas, distante 660 km de Salvador. Na região encontram-se depósitos de magnesita, talco, vermiculita, calcários, dolomitos, pedras preciosas e ornamentais.</w:t>
      </w:r>
    </w:p>
    <w:p w:rsidR="00D81F69" w:rsidRDefault="00D81F69">
      <w:pPr>
        <w:pStyle w:val="Corpodetexto"/>
        <w:spacing w:before="2"/>
        <w:ind w:left="0"/>
        <w:jc w:val="left"/>
        <w:rPr>
          <w:sz w:val="29"/>
        </w:rPr>
      </w:pPr>
    </w:p>
    <w:p w:rsidR="00D81F69" w:rsidRDefault="00330118">
      <w:pPr>
        <w:pStyle w:val="Heading7"/>
      </w:pPr>
      <w:r>
        <w:t>REDATORES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180"/>
        <w:jc w:val="both"/>
        <w:rPr>
          <w:sz w:val="16"/>
        </w:rPr>
      </w:pPr>
      <w:r>
        <w:rPr>
          <w:sz w:val="16"/>
        </w:rPr>
        <w:t>AMORIM, Wagner Martins Pinc</w:t>
      </w:r>
      <w:r>
        <w:rPr>
          <w:sz w:val="16"/>
        </w:rPr>
        <w:t xml:space="preserve">hemel. Formação Sócio-Territorial de Brumado  –   BA.   In:   NetSaber  Artigos.  Disponível  em: </w:t>
      </w:r>
    </w:p>
    <w:p w:rsidR="00D81F69" w:rsidRDefault="00D81F69">
      <w:pPr>
        <w:spacing w:before="1" w:line="312" w:lineRule="auto"/>
        <w:ind w:left="100" w:right="171"/>
        <w:rPr>
          <w:sz w:val="16"/>
        </w:rPr>
      </w:pPr>
      <w:hyperlink r:id="rId641">
        <w:r w:rsidR="00330118">
          <w:rPr>
            <w:sz w:val="16"/>
          </w:rPr>
          <w:t>&lt;http://artigos.netsaber.com.br/resumo_artigo_10644/artigo_sobre_for</w:t>
        </w:r>
      </w:hyperlink>
      <w:r w:rsidR="00330118">
        <w:rPr>
          <w:sz w:val="16"/>
        </w:rPr>
        <w:t xml:space="preserve"> mac</w:t>
      </w:r>
      <w:r w:rsidR="00330118">
        <w:rPr>
          <w:sz w:val="16"/>
        </w:rPr>
        <w:t xml:space="preserve">ao_socio-territorial_de_brumado_-_ba&gt;. Acesso em: 05/10/2011. </w:t>
      </w:r>
      <w:r w:rsidR="00330118">
        <w:rPr>
          <w:spacing w:val="3"/>
          <w:sz w:val="16"/>
        </w:rPr>
        <w:t xml:space="preserve">BIBLIOTECA MUNICIPAL </w:t>
      </w:r>
      <w:r w:rsidR="00330118">
        <w:rPr>
          <w:spacing w:val="1"/>
          <w:sz w:val="16"/>
        </w:rPr>
        <w:t xml:space="preserve">DO </w:t>
      </w:r>
      <w:r w:rsidR="00330118">
        <w:rPr>
          <w:spacing w:val="3"/>
          <w:sz w:val="16"/>
        </w:rPr>
        <w:t xml:space="preserve">IBGE. </w:t>
      </w:r>
      <w:r w:rsidR="00330118">
        <w:rPr>
          <w:spacing w:val="2"/>
          <w:sz w:val="16"/>
        </w:rPr>
        <w:t xml:space="preserve">In: </w:t>
      </w:r>
      <w:r w:rsidR="00330118">
        <w:rPr>
          <w:spacing w:val="3"/>
          <w:sz w:val="16"/>
        </w:rPr>
        <w:t xml:space="preserve">Prefeitura Municipal </w:t>
      </w:r>
      <w:r w:rsidR="00330118">
        <w:rPr>
          <w:spacing w:val="5"/>
          <w:sz w:val="16"/>
        </w:rPr>
        <w:t xml:space="preserve">de Brumado </w:t>
      </w:r>
      <w:r w:rsidR="00330118">
        <w:rPr>
          <w:sz w:val="16"/>
        </w:rPr>
        <w:t xml:space="preserve">– </w:t>
      </w:r>
      <w:r w:rsidR="00330118">
        <w:rPr>
          <w:spacing w:val="5"/>
          <w:sz w:val="16"/>
        </w:rPr>
        <w:t xml:space="preserve">Desenvolvimento </w:t>
      </w:r>
      <w:r w:rsidR="00330118">
        <w:rPr>
          <w:sz w:val="16"/>
        </w:rPr>
        <w:t xml:space="preserve">e </w:t>
      </w:r>
      <w:r w:rsidR="00330118">
        <w:rPr>
          <w:spacing w:val="5"/>
          <w:sz w:val="16"/>
        </w:rPr>
        <w:t xml:space="preserve">Compromisso Social, </w:t>
      </w:r>
      <w:r w:rsidR="00330118">
        <w:rPr>
          <w:spacing w:val="6"/>
          <w:sz w:val="16"/>
        </w:rPr>
        <w:t xml:space="preserve">História. </w:t>
      </w:r>
      <w:r w:rsidR="00330118">
        <w:rPr>
          <w:spacing w:val="20"/>
          <w:sz w:val="16"/>
        </w:rPr>
        <w:t xml:space="preserve">Caracterização   </w:t>
      </w:r>
      <w:r w:rsidR="00330118">
        <w:rPr>
          <w:spacing w:val="16"/>
          <w:sz w:val="16"/>
        </w:rPr>
        <w:t xml:space="preserve">Geral   </w:t>
      </w:r>
      <w:r w:rsidR="00330118">
        <w:rPr>
          <w:spacing w:val="10"/>
          <w:sz w:val="16"/>
        </w:rPr>
        <w:t xml:space="preserve">do </w:t>
      </w:r>
      <w:r w:rsidR="00330118">
        <w:rPr>
          <w:spacing w:val="65"/>
          <w:sz w:val="16"/>
        </w:rPr>
        <w:t xml:space="preserve"> </w:t>
      </w:r>
      <w:r w:rsidR="00330118">
        <w:rPr>
          <w:spacing w:val="18"/>
          <w:sz w:val="16"/>
        </w:rPr>
        <w:t>Município.   Disponível</w:t>
      </w:r>
      <w:r w:rsidR="00330118">
        <w:rPr>
          <w:spacing w:val="17"/>
          <w:sz w:val="16"/>
        </w:rPr>
        <w:t xml:space="preserve"> </w:t>
      </w:r>
      <w:r w:rsidR="00330118">
        <w:rPr>
          <w:spacing w:val="13"/>
          <w:sz w:val="16"/>
        </w:rPr>
        <w:t>em:</w:t>
      </w:r>
      <w:r w:rsidR="00330118">
        <w:rPr>
          <w:spacing w:val="-22"/>
          <w:sz w:val="16"/>
        </w:rPr>
        <w:t xml:space="preserve"> </w:t>
      </w:r>
    </w:p>
    <w:p w:rsidR="00D81F69" w:rsidRDefault="00D81F69">
      <w:pPr>
        <w:tabs>
          <w:tab w:val="left" w:pos="4331"/>
        </w:tabs>
        <w:spacing w:before="5" w:line="312" w:lineRule="auto"/>
        <w:ind w:left="100" w:right="193"/>
        <w:jc w:val="both"/>
        <w:rPr>
          <w:sz w:val="16"/>
        </w:rPr>
      </w:pPr>
      <w:hyperlink r:id="rId642">
        <w:r w:rsidR="00330118">
          <w:rPr>
            <w:sz w:val="16"/>
          </w:rPr>
          <w:t xml:space="preserve">&lt;http://www.brumado.ba.gov.br/historia.php&gt;. </w:t>
        </w:r>
      </w:hyperlink>
      <w:r w:rsidR="00330118">
        <w:rPr>
          <w:sz w:val="16"/>
        </w:rPr>
        <w:t xml:space="preserve">Acesso em: 04/0/2011. </w:t>
      </w:r>
      <w:r w:rsidR="00330118">
        <w:rPr>
          <w:spacing w:val="1"/>
          <w:sz w:val="16"/>
        </w:rPr>
        <w:t xml:space="preserve">BRASIL MINERAL. Refratários. Inema concede licença </w:t>
      </w:r>
      <w:r w:rsidR="00330118">
        <w:rPr>
          <w:spacing w:val="2"/>
          <w:sz w:val="16"/>
        </w:rPr>
        <w:t xml:space="preserve">ambiental para </w:t>
      </w:r>
      <w:r w:rsidR="00330118">
        <w:rPr>
          <w:spacing w:val="3"/>
          <w:sz w:val="16"/>
        </w:rPr>
        <w:t xml:space="preserve">Magnesita. </w:t>
      </w:r>
      <w:r w:rsidR="00330118">
        <w:rPr>
          <w:spacing w:val="2"/>
          <w:sz w:val="16"/>
        </w:rPr>
        <w:t xml:space="preserve">In: </w:t>
      </w:r>
      <w:r w:rsidR="00330118">
        <w:rPr>
          <w:spacing w:val="3"/>
          <w:sz w:val="16"/>
        </w:rPr>
        <w:t xml:space="preserve">Brasil Mineral Online, </w:t>
      </w:r>
      <w:r w:rsidR="00330118">
        <w:rPr>
          <w:spacing w:val="1"/>
          <w:sz w:val="16"/>
        </w:rPr>
        <w:t xml:space="preserve">n.  </w:t>
      </w:r>
      <w:r w:rsidR="00330118">
        <w:rPr>
          <w:spacing w:val="2"/>
          <w:sz w:val="16"/>
        </w:rPr>
        <w:t xml:space="preserve">508,  </w:t>
      </w:r>
      <w:r w:rsidR="00330118">
        <w:rPr>
          <w:spacing w:val="1"/>
          <w:sz w:val="16"/>
        </w:rPr>
        <w:t xml:space="preserve">30  </w:t>
      </w:r>
      <w:r w:rsidR="00330118">
        <w:rPr>
          <w:spacing w:val="2"/>
          <w:sz w:val="16"/>
        </w:rPr>
        <w:t xml:space="preserve">jun.  </w:t>
      </w:r>
      <w:r w:rsidR="00330118">
        <w:rPr>
          <w:spacing w:val="5"/>
          <w:sz w:val="16"/>
        </w:rPr>
        <w:t xml:space="preserve">2011. </w:t>
      </w:r>
      <w:r w:rsidR="00330118">
        <w:rPr>
          <w:sz w:val="16"/>
        </w:rPr>
        <w:t xml:space="preserve">D </w:t>
      </w:r>
      <w:r w:rsidR="00330118">
        <w:rPr>
          <w:sz w:val="16"/>
        </w:rPr>
        <w:t xml:space="preserve">     i      s      p      o      n      í      v  </w:t>
      </w:r>
      <w:r w:rsidR="00330118">
        <w:rPr>
          <w:spacing w:val="36"/>
          <w:sz w:val="16"/>
        </w:rPr>
        <w:t xml:space="preserve"> </w:t>
      </w:r>
      <w:r w:rsidR="00330118">
        <w:rPr>
          <w:sz w:val="16"/>
        </w:rPr>
        <w:t xml:space="preserve">e    </w:t>
      </w:r>
      <w:r w:rsidR="00330118">
        <w:rPr>
          <w:spacing w:val="31"/>
          <w:sz w:val="16"/>
        </w:rPr>
        <w:t xml:space="preserve"> </w:t>
      </w:r>
      <w:r w:rsidR="00330118">
        <w:rPr>
          <w:sz w:val="16"/>
        </w:rPr>
        <w:t>l</w:t>
      </w:r>
      <w:r w:rsidR="00330118">
        <w:rPr>
          <w:sz w:val="16"/>
        </w:rPr>
        <w:tab/>
        <w:t xml:space="preserve">e      m    </w:t>
      </w:r>
      <w:r w:rsidR="00330118">
        <w:rPr>
          <w:spacing w:val="20"/>
          <w:sz w:val="16"/>
        </w:rPr>
        <w:t xml:space="preserve"> </w:t>
      </w:r>
      <w:r w:rsidR="00330118">
        <w:rPr>
          <w:sz w:val="16"/>
        </w:rPr>
        <w:t>:</w:t>
      </w:r>
    </w:p>
    <w:p w:rsidR="00D81F69" w:rsidRDefault="00D81F69">
      <w:pPr>
        <w:spacing w:before="3" w:line="312" w:lineRule="auto"/>
        <w:ind w:left="100" w:right="216"/>
        <w:jc w:val="both"/>
        <w:rPr>
          <w:sz w:val="16"/>
        </w:rPr>
      </w:pPr>
      <w:hyperlink r:id="rId643">
        <w:r w:rsidR="00330118">
          <w:rPr>
            <w:sz w:val="16"/>
          </w:rPr>
          <w:t>&lt;http://www.brasilmineral.com.br/BM/default.asp?COD=5605&amp;busca=</w:t>
        </w:r>
      </w:hyperlink>
      <w:r w:rsidR="00330118">
        <w:rPr>
          <w:sz w:val="16"/>
        </w:rPr>
        <w:t xml:space="preserve"> &amp;numero=508&gt;</w:t>
      </w:r>
      <w:r w:rsidR="00330118">
        <w:rPr>
          <w:sz w:val="16"/>
        </w:rPr>
        <w:t>. Acesso em: 05/10/2011.</w:t>
      </w:r>
    </w:p>
    <w:p w:rsidR="00D81F69" w:rsidRDefault="00330118">
      <w:pPr>
        <w:spacing w:before="1" w:line="312" w:lineRule="auto"/>
        <w:ind w:left="100" w:right="191"/>
        <w:jc w:val="both"/>
        <w:rPr>
          <w:sz w:val="16"/>
        </w:rPr>
      </w:pPr>
      <w:r>
        <w:rPr>
          <w:sz w:val="16"/>
        </w:rPr>
        <w:t>BRUMADO EM DESTAQUE. Problemática do Rio do Antônio, Caetité, Universidade do Estado da Bahia (Uneb), 2004. In: Blog do Modera - Em defesa da Bacia do Rio do Antônio. Disponível em:</w:t>
      </w:r>
    </w:p>
    <w:p w:rsidR="00D81F69" w:rsidRDefault="00D81F69">
      <w:pPr>
        <w:spacing w:before="3" w:line="312" w:lineRule="auto"/>
        <w:ind w:left="100" w:right="196"/>
        <w:jc w:val="both"/>
        <w:rPr>
          <w:sz w:val="16"/>
        </w:rPr>
      </w:pPr>
      <w:hyperlink r:id="rId644">
        <w:r w:rsidR="00330118">
          <w:rPr>
            <w:sz w:val="16"/>
          </w:rPr>
          <w:t>&lt;http://moderamovimento.wordpress.com/bacia-do-rio-do-antonio&gt;.</w:t>
        </w:r>
      </w:hyperlink>
      <w:r w:rsidR="00330118">
        <w:rPr>
          <w:sz w:val="16"/>
        </w:rPr>
        <w:t xml:space="preserve"> Acesso em: 06/10/2011.</w:t>
      </w:r>
    </w:p>
    <w:p w:rsidR="00D81F69" w:rsidRDefault="00330118">
      <w:pPr>
        <w:spacing w:before="2" w:line="312" w:lineRule="auto"/>
        <w:ind w:left="100" w:right="156"/>
        <w:jc w:val="both"/>
        <w:rPr>
          <w:sz w:val="16"/>
        </w:rPr>
      </w:pPr>
      <w:r>
        <w:rPr>
          <w:spacing w:val="3"/>
          <w:sz w:val="16"/>
        </w:rPr>
        <w:t xml:space="preserve">CAMARA, Arnaldo Lentinida.Uso </w:t>
      </w:r>
      <w:r>
        <w:rPr>
          <w:spacing w:val="1"/>
          <w:sz w:val="16"/>
        </w:rPr>
        <w:t xml:space="preserve">de </w:t>
      </w:r>
      <w:r>
        <w:rPr>
          <w:spacing w:val="3"/>
          <w:sz w:val="16"/>
        </w:rPr>
        <w:t xml:space="preserve">talco nacional </w:t>
      </w:r>
      <w:r>
        <w:rPr>
          <w:spacing w:val="2"/>
          <w:sz w:val="16"/>
        </w:rPr>
        <w:t xml:space="preserve">como </w:t>
      </w:r>
      <w:r>
        <w:rPr>
          <w:spacing w:val="5"/>
          <w:sz w:val="16"/>
        </w:rPr>
        <w:t xml:space="preserve">aditivo </w:t>
      </w:r>
      <w:r>
        <w:rPr>
          <w:spacing w:val="6"/>
          <w:sz w:val="16"/>
        </w:rPr>
        <w:t xml:space="preserve">absorvente </w:t>
      </w:r>
      <w:r>
        <w:rPr>
          <w:spacing w:val="3"/>
          <w:sz w:val="16"/>
        </w:rPr>
        <w:t xml:space="preserve">de </w:t>
      </w:r>
      <w:r>
        <w:rPr>
          <w:spacing w:val="5"/>
          <w:sz w:val="16"/>
        </w:rPr>
        <w:t xml:space="preserve">piches </w:t>
      </w:r>
      <w:r>
        <w:rPr>
          <w:sz w:val="16"/>
        </w:rPr>
        <w:t xml:space="preserve">e </w:t>
      </w:r>
      <w:r>
        <w:rPr>
          <w:spacing w:val="6"/>
          <w:sz w:val="16"/>
        </w:rPr>
        <w:t xml:space="preserve">materiais pegajosos </w:t>
      </w:r>
      <w:r>
        <w:rPr>
          <w:spacing w:val="3"/>
          <w:sz w:val="16"/>
        </w:rPr>
        <w:t xml:space="preserve">no </w:t>
      </w:r>
      <w:r>
        <w:rPr>
          <w:spacing w:val="6"/>
          <w:sz w:val="16"/>
        </w:rPr>
        <w:t xml:space="preserve">processo </w:t>
      </w:r>
      <w:r>
        <w:rPr>
          <w:spacing w:val="7"/>
          <w:sz w:val="16"/>
        </w:rPr>
        <w:t xml:space="preserve">de </w:t>
      </w:r>
      <w:r>
        <w:rPr>
          <w:spacing w:val="1"/>
          <w:sz w:val="16"/>
        </w:rPr>
        <w:t xml:space="preserve">fabricação </w:t>
      </w:r>
      <w:r>
        <w:rPr>
          <w:sz w:val="16"/>
        </w:rPr>
        <w:t xml:space="preserve">do </w:t>
      </w:r>
      <w:r>
        <w:rPr>
          <w:spacing w:val="1"/>
          <w:sz w:val="16"/>
        </w:rPr>
        <w:t xml:space="preserve">papel.162 </w:t>
      </w:r>
      <w:r>
        <w:rPr>
          <w:sz w:val="16"/>
        </w:rPr>
        <w:t xml:space="preserve">f. </w:t>
      </w:r>
      <w:r>
        <w:rPr>
          <w:spacing w:val="1"/>
          <w:sz w:val="16"/>
        </w:rPr>
        <w:t xml:space="preserve">Dissertação (Mestrado </w:t>
      </w:r>
      <w:r>
        <w:rPr>
          <w:sz w:val="16"/>
        </w:rPr>
        <w:t xml:space="preserve">em </w:t>
      </w:r>
      <w:r>
        <w:rPr>
          <w:spacing w:val="2"/>
          <w:sz w:val="16"/>
        </w:rPr>
        <w:t xml:space="preserve">Engenharia </w:t>
      </w:r>
      <w:r>
        <w:rPr>
          <w:spacing w:val="1"/>
          <w:sz w:val="16"/>
        </w:rPr>
        <w:t xml:space="preserve">Metalúrgica </w:t>
      </w:r>
      <w:r>
        <w:rPr>
          <w:sz w:val="16"/>
        </w:rPr>
        <w:t xml:space="preserve">e de </w:t>
      </w:r>
      <w:r>
        <w:rPr>
          <w:spacing w:val="1"/>
          <w:sz w:val="16"/>
        </w:rPr>
        <w:t xml:space="preserve">Minas), fev. 2003. Belo Horizonte: </w:t>
      </w:r>
      <w:r>
        <w:rPr>
          <w:spacing w:val="2"/>
          <w:sz w:val="16"/>
        </w:rPr>
        <w:t xml:space="preserve">Universidade </w:t>
      </w:r>
      <w:r>
        <w:rPr>
          <w:spacing w:val="33"/>
          <w:sz w:val="16"/>
        </w:rPr>
        <w:t xml:space="preserve">Federal   </w:t>
      </w:r>
      <w:r>
        <w:rPr>
          <w:spacing w:val="20"/>
          <w:sz w:val="16"/>
        </w:rPr>
        <w:t xml:space="preserve">de    </w:t>
      </w:r>
      <w:r>
        <w:rPr>
          <w:spacing w:val="31"/>
          <w:sz w:val="16"/>
        </w:rPr>
        <w:t xml:space="preserve">Minas   </w:t>
      </w:r>
      <w:r>
        <w:rPr>
          <w:spacing w:val="33"/>
          <w:sz w:val="16"/>
        </w:rPr>
        <w:t xml:space="preserve">Gerais.   </w:t>
      </w:r>
      <w:r>
        <w:rPr>
          <w:spacing w:val="35"/>
          <w:sz w:val="16"/>
        </w:rPr>
        <w:t xml:space="preserve">Disponível </w:t>
      </w:r>
      <w:r>
        <w:rPr>
          <w:spacing w:val="111"/>
          <w:sz w:val="16"/>
        </w:rPr>
        <w:t xml:space="preserve"> </w:t>
      </w:r>
      <w:r>
        <w:rPr>
          <w:spacing w:val="25"/>
          <w:sz w:val="16"/>
        </w:rPr>
        <w:t>em:</w:t>
      </w:r>
      <w:r>
        <w:rPr>
          <w:spacing w:val="-3"/>
          <w:sz w:val="16"/>
        </w:rPr>
        <w:t xml:space="preserve"> </w:t>
      </w:r>
    </w:p>
    <w:p w:rsidR="00D81F69" w:rsidRDefault="00D81F69">
      <w:pPr>
        <w:spacing w:before="4" w:line="312" w:lineRule="auto"/>
        <w:ind w:left="100" w:right="191"/>
        <w:jc w:val="both"/>
        <w:rPr>
          <w:sz w:val="16"/>
        </w:rPr>
      </w:pPr>
      <w:hyperlink r:id="rId645">
        <w:r w:rsidR="00330118">
          <w:rPr>
            <w:sz w:val="16"/>
          </w:rPr>
          <w:t>&lt;http://w</w:t>
        </w:r>
        <w:r w:rsidR="00330118">
          <w:rPr>
            <w:sz w:val="16"/>
          </w:rPr>
          <w:t>ww.bibliotecadigital.ufmg.br/dspace/bitstream/1843/BUOS-</w:t>
        </w:r>
      </w:hyperlink>
      <w:r w:rsidR="00330118">
        <w:rPr>
          <w:sz w:val="16"/>
        </w:rPr>
        <w:t xml:space="preserve"> 8DQF4P/1/arnaldo_lentini_da_camara.pdf&gt;. Acesso em: 06/10/2011. COSTA,  Augusto  César  da  Matta.  Magnesita.  Disponível em:</w:t>
      </w:r>
    </w:p>
    <w:p w:rsidR="00D81F69" w:rsidRDefault="00330118">
      <w:pPr>
        <w:spacing w:before="2" w:line="312" w:lineRule="auto"/>
        <w:ind w:left="100" w:right="217"/>
        <w:jc w:val="both"/>
        <w:rPr>
          <w:sz w:val="16"/>
        </w:rPr>
      </w:pPr>
      <w:r>
        <w:rPr>
          <w:sz w:val="16"/>
        </w:rPr>
        <w:t>&lt;https://sistemas.dnpm.gov.br/publicacao/mostra_imagem.asp?IDBan coArqui</w:t>
      </w:r>
      <w:r>
        <w:rPr>
          <w:sz w:val="16"/>
        </w:rPr>
        <w:t>voArquivo=5477&gt;. Acesso em: 05/10/2011.</w:t>
      </w:r>
    </w:p>
    <w:p w:rsidR="00D81F69" w:rsidRDefault="00330118">
      <w:pPr>
        <w:spacing w:before="2" w:line="312" w:lineRule="auto"/>
        <w:ind w:left="100" w:right="195"/>
        <w:jc w:val="both"/>
        <w:rPr>
          <w:sz w:val="16"/>
        </w:rPr>
      </w:pPr>
      <w:r>
        <w:rPr>
          <w:sz w:val="16"/>
        </w:rPr>
        <w:t>D&amp;R NEGÓCIOS EMPRESARIAIS. Enxuta e com caixa, Magnesita já pensa em aquisições para ser líder, 02 set. 2011. Disponível em:</w:t>
      </w:r>
    </w:p>
    <w:p w:rsidR="00D81F69" w:rsidRDefault="00D81F69">
      <w:pPr>
        <w:spacing w:before="1" w:line="312" w:lineRule="auto"/>
        <w:ind w:left="100" w:right="198"/>
        <w:jc w:val="both"/>
        <w:rPr>
          <w:sz w:val="16"/>
        </w:rPr>
      </w:pPr>
      <w:hyperlink r:id="rId646">
        <w:r w:rsidR="00330118">
          <w:rPr>
            <w:sz w:val="16"/>
          </w:rPr>
          <w:t>&lt;http://www.dernegoc</w:t>
        </w:r>
        <w:r w:rsidR="00330118">
          <w:rPr>
            <w:sz w:val="16"/>
          </w:rPr>
          <w:t xml:space="preserve">ios.com.br/noticias/noticia/id/230&gt;. </w:t>
        </w:r>
      </w:hyperlink>
      <w:r w:rsidR="00330118">
        <w:rPr>
          <w:sz w:val="16"/>
        </w:rPr>
        <w:t>Acesso em: 05/10/2011.</w:t>
      </w:r>
    </w:p>
    <w:p w:rsidR="00D81F69" w:rsidRDefault="00330118">
      <w:pPr>
        <w:spacing w:before="2" w:line="312" w:lineRule="auto"/>
        <w:ind w:left="100" w:right="157"/>
        <w:jc w:val="both"/>
        <w:rPr>
          <w:sz w:val="16"/>
        </w:rPr>
      </w:pPr>
      <w:r>
        <w:rPr>
          <w:sz w:val="16"/>
        </w:rPr>
        <w:t xml:space="preserve">IBGE, Instituto Brasileiro de Geografia e Estatística. Brumado (BA). </w:t>
      </w:r>
      <w:r>
        <w:rPr>
          <w:spacing w:val="27"/>
          <w:sz w:val="16"/>
        </w:rPr>
        <w:t xml:space="preserve">In: </w:t>
      </w:r>
      <w:r>
        <w:rPr>
          <w:spacing w:val="31"/>
          <w:sz w:val="16"/>
        </w:rPr>
        <w:t xml:space="preserve">IBGE </w:t>
      </w:r>
      <w:r>
        <w:rPr>
          <w:spacing w:val="36"/>
          <w:sz w:val="16"/>
        </w:rPr>
        <w:t xml:space="preserve">Cidades, </w:t>
      </w:r>
      <w:r>
        <w:rPr>
          <w:spacing w:val="33"/>
          <w:sz w:val="16"/>
        </w:rPr>
        <w:t xml:space="preserve">2010. </w:t>
      </w:r>
      <w:r>
        <w:rPr>
          <w:spacing w:val="37"/>
          <w:sz w:val="16"/>
        </w:rPr>
        <w:t>Disponível</w:t>
      </w:r>
      <w:r>
        <w:rPr>
          <w:spacing w:val="45"/>
          <w:sz w:val="16"/>
        </w:rPr>
        <w:t xml:space="preserve"> </w:t>
      </w:r>
      <w:r>
        <w:rPr>
          <w:spacing w:val="27"/>
          <w:sz w:val="16"/>
        </w:rPr>
        <w:t>em:</w:t>
      </w:r>
      <w:r>
        <w:rPr>
          <w:spacing w:val="-1"/>
          <w:sz w:val="16"/>
        </w:rPr>
        <w:t xml:space="preserve"> </w:t>
      </w:r>
    </w:p>
    <w:p w:rsidR="00D81F69" w:rsidRDefault="00D81F69">
      <w:pPr>
        <w:spacing w:before="2"/>
        <w:ind w:left="100"/>
        <w:jc w:val="both"/>
        <w:rPr>
          <w:sz w:val="16"/>
        </w:rPr>
      </w:pPr>
      <w:hyperlink r:id="rId647">
        <w:r w:rsidR="00330118">
          <w:rPr>
            <w:sz w:val="16"/>
          </w:rPr>
          <w:t>&lt;http://www.ibge.gov.br/cidadesat/xtras/perfil.php?codmun=290460&amp;r</w:t>
        </w:r>
      </w:hyperlink>
    </w:p>
    <w:p w:rsidR="00D81F69" w:rsidRDefault="00330118">
      <w:pPr>
        <w:spacing w:before="56"/>
        <w:ind w:left="100"/>
        <w:jc w:val="both"/>
        <w:rPr>
          <w:sz w:val="16"/>
        </w:rPr>
      </w:pPr>
      <w:r>
        <w:rPr>
          <w:sz w:val="16"/>
        </w:rPr>
        <w:t>=2&gt;. Acesso em: 04/10/2011.</w:t>
      </w:r>
    </w:p>
    <w:p w:rsidR="00D81F69" w:rsidRDefault="00330118">
      <w:pPr>
        <w:spacing w:before="56"/>
        <w:ind w:left="100"/>
        <w:jc w:val="both"/>
        <w:rPr>
          <w:sz w:val="16"/>
        </w:rPr>
      </w:pPr>
      <w:r>
        <w:rPr>
          <w:spacing w:val="23"/>
          <w:sz w:val="16"/>
        </w:rPr>
        <w:t xml:space="preserve">MAGNESITA </w:t>
      </w:r>
      <w:r>
        <w:rPr>
          <w:spacing w:val="20"/>
          <w:sz w:val="16"/>
        </w:rPr>
        <w:t>S.A.</w:t>
      </w:r>
      <w:r>
        <w:rPr>
          <w:spacing w:val="85"/>
          <w:sz w:val="16"/>
        </w:rPr>
        <w:t xml:space="preserve"> </w:t>
      </w:r>
      <w:r>
        <w:rPr>
          <w:spacing w:val="22"/>
          <w:sz w:val="16"/>
        </w:rPr>
        <w:t xml:space="preserve">Talco, 2010a. </w:t>
      </w:r>
      <w:r>
        <w:rPr>
          <w:spacing w:val="25"/>
          <w:sz w:val="16"/>
        </w:rPr>
        <w:t xml:space="preserve">Disponível </w:t>
      </w:r>
      <w:r>
        <w:rPr>
          <w:spacing w:val="17"/>
          <w:sz w:val="16"/>
        </w:rPr>
        <w:t>em:</w:t>
      </w:r>
      <w:r>
        <w:rPr>
          <w:spacing w:val="-16"/>
          <w:sz w:val="16"/>
        </w:rPr>
        <w:t xml:space="preserve"> </w:t>
      </w:r>
    </w:p>
    <w:p w:rsidR="00D81F69" w:rsidRDefault="00D81F69">
      <w:pPr>
        <w:jc w:val="both"/>
        <w:rPr>
          <w:sz w:val="16"/>
        </w:rPr>
        <w:sectPr w:rsidR="00D81F69">
          <w:pgSz w:w="11900" w:h="16840"/>
          <w:pgMar w:top="740" w:right="500" w:bottom="720" w:left="620" w:header="0" w:footer="402" w:gutter="0"/>
          <w:cols w:num="2" w:space="720" w:equalWidth="0">
            <w:col w:w="5158" w:space="312"/>
            <w:col w:w="5310"/>
          </w:cols>
        </w:sectPr>
      </w:pPr>
    </w:p>
    <w:p w:rsidR="00D81F69" w:rsidRDefault="00D81F69">
      <w:pPr>
        <w:spacing w:before="70" w:line="312" w:lineRule="auto"/>
        <w:ind w:left="100" w:right="85"/>
        <w:rPr>
          <w:sz w:val="16"/>
        </w:rPr>
      </w:pPr>
      <w:hyperlink r:id="rId648">
        <w:r w:rsidR="00330118">
          <w:rPr>
            <w:sz w:val="16"/>
          </w:rPr>
          <w:t>&lt;</w:t>
        </w:r>
        <w:r w:rsidR="00330118">
          <w:rPr>
            <w:sz w:val="16"/>
          </w:rPr>
          <w:t>http://www.magnesita.com.br/minerais/talco&gt;.</w:t>
        </w:r>
      </w:hyperlink>
      <w:r w:rsidR="00330118">
        <w:rPr>
          <w:sz w:val="16"/>
        </w:rPr>
        <w:t xml:space="preserve"> Acesso em: 06/10/2011</w:t>
      </w:r>
    </w:p>
    <w:p w:rsidR="00D81F69" w:rsidRDefault="00330118">
      <w:pPr>
        <w:tabs>
          <w:tab w:val="left" w:pos="1092"/>
          <w:tab w:val="left" w:pos="1978"/>
          <w:tab w:val="left" w:pos="3502"/>
          <w:tab w:val="left" w:pos="4769"/>
        </w:tabs>
        <w:spacing w:before="1"/>
        <w:ind w:left="100"/>
        <w:rPr>
          <w:sz w:val="16"/>
        </w:rPr>
      </w:pPr>
      <w:r>
        <w:rPr>
          <w:spacing w:val="30"/>
          <w:sz w:val="16"/>
        </w:rPr>
        <w:t>______.</w:t>
      </w:r>
      <w:r>
        <w:rPr>
          <w:spacing w:val="30"/>
          <w:sz w:val="16"/>
        </w:rPr>
        <w:tab/>
        <w:t>Sínter,</w:t>
      </w:r>
      <w:r>
        <w:rPr>
          <w:spacing w:val="30"/>
          <w:sz w:val="16"/>
        </w:rPr>
        <w:tab/>
      </w:r>
      <w:r>
        <w:rPr>
          <w:spacing w:val="31"/>
          <w:sz w:val="16"/>
        </w:rPr>
        <w:t>06/10/2011b.</w:t>
      </w:r>
      <w:r>
        <w:rPr>
          <w:spacing w:val="31"/>
          <w:sz w:val="16"/>
        </w:rPr>
        <w:tab/>
      </w:r>
      <w:r>
        <w:rPr>
          <w:spacing w:val="30"/>
          <w:sz w:val="16"/>
        </w:rPr>
        <w:t>Disponível</w:t>
      </w:r>
      <w:r>
        <w:rPr>
          <w:spacing w:val="30"/>
          <w:sz w:val="16"/>
        </w:rPr>
        <w:tab/>
      </w:r>
      <w:r>
        <w:rPr>
          <w:spacing w:val="22"/>
          <w:sz w:val="16"/>
        </w:rPr>
        <w:t>em:</w:t>
      </w:r>
      <w:r>
        <w:rPr>
          <w:spacing w:val="-10"/>
          <w:sz w:val="16"/>
        </w:rPr>
        <w:t xml:space="preserve"> </w:t>
      </w:r>
    </w:p>
    <w:p w:rsidR="00D81F69" w:rsidRDefault="00D81F69">
      <w:pPr>
        <w:spacing w:before="56" w:line="312" w:lineRule="auto"/>
        <w:ind w:left="100" w:right="85"/>
        <w:rPr>
          <w:sz w:val="16"/>
        </w:rPr>
      </w:pPr>
      <w:hyperlink r:id="rId649">
        <w:r w:rsidR="00330118">
          <w:rPr>
            <w:sz w:val="16"/>
          </w:rPr>
          <w:t>&lt;http://www.magnesita.com.br/minerais/sinter&gt;.</w:t>
        </w:r>
      </w:hyperlink>
      <w:r w:rsidR="00330118">
        <w:rPr>
          <w:sz w:val="16"/>
        </w:rPr>
        <w:t xml:space="preserve"> Acesso em: 06/10/2011</w:t>
      </w:r>
    </w:p>
    <w:p w:rsidR="00D81F69" w:rsidRDefault="00330118">
      <w:pPr>
        <w:spacing w:before="2"/>
        <w:ind w:left="100"/>
        <w:rPr>
          <w:sz w:val="16"/>
        </w:rPr>
      </w:pPr>
      <w:r>
        <w:rPr>
          <w:sz w:val="16"/>
        </w:rPr>
        <w:t xml:space="preserve">______. Óxido </w:t>
      </w:r>
      <w:r>
        <w:rPr>
          <w:sz w:val="16"/>
        </w:rPr>
        <w:t>de magnésio, 06/10/2011c. Disponível em:</w:t>
      </w:r>
    </w:p>
    <w:p w:rsidR="00D81F69" w:rsidRDefault="00D81F69">
      <w:pPr>
        <w:spacing w:before="56" w:line="312" w:lineRule="auto"/>
        <w:ind w:left="100" w:right="85"/>
        <w:rPr>
          <w:sz w:val="16"/>
        </w:rPr>
      </w:pPr>
      <w:hyperlink r:id="rId650">
        <w:r w:rsidR="00330118">
          <w:rPr>
            <w:sz w:val="16"/>
          </w:rPr>
          <w:t xml:space="preserve">&lt;http://www.magnesita.com.br/minerais/oxido-de-magnesio&gt; </w:t>
        </w:r>
      </w:hyperlink>
      <w:r w:rsidR="00330118">
        <w:rPr>
          <w:sz w:val="16"/>
        </w:rPr>
        <w:t>Acesso em: 06/10/2011</w:t>
      </w:r>
    </w:p>
    <w:p w:rsidR="00D81F69" w:rsidRDefault="00330118">
      <w:pPr>
        <w:spacing w:before="2"/>
        <w:ind w:left="100"/>
        <w:rPr>
          <w:sz w:val="16"/>
        </w:rPr>
      </w:pPr>
      <w:r>
        <w:rPr>
          <w:spacing w:val="25"/>
          <w:sz w:val="16"/>
        </w:rPr>
        <w:t>______. História,</w:t>
      </w:r>
      <w:r>
        <w:rPr>
          <w:spacing w:val="95"/>
          <w:sz w:val="16"/>
        </w:rPr>
        <w:t xml:space="preserve"> </w:t>
      </w:r>
      <w:r>
        <w:rPr>
          <w:spacing w:val="26"/>
          <w:sz w:val="16"/>
        </w:rPr>
        <w:t>06/10/2011d. Disponível</w:t>
      </w:r>
      <w:r>
        <w:rPr>
          <w:spacing w:val="25"/>
          <w:sz w:val="16"/>
        </w:rPr>
        <w:t xml:space="preserve"> </w:t>
      </w:r>
      <w:r>
        <w:rPr>
          <w:spacing w:val="20"/>
          <w:sz w:val="16"/>
        </w:rPr>
        <w:t>em:</w:t>
      </w:r>
      <w:r>
        <w:rPr>
          <w:spacing w:val="-13"/>
          <w:sz w:val="16"/>
        </w:rPr>
        <w:t xml:space="preserve"> </w:t>
      </w:r>
    </w:p>
    <w:p w:rsidR="00D81F69" w:rsidRDefault="00D81F69">
      <w:pPr>
        <w:spacing w:before="56" w:line="312" w:lineRule="auto"/>
        <w:ind w:left="100" w:right="85"/>
        <w:rPr>
          <w:sz w:val="16"/>
        </w:rPr>
      </w:pPr>
      <w:hyperlink r:id="rId651">
        <w:r w:rsidR="00330118">
          <w:rPr>
            <w:sz w:val="16"/>
          </w:rPr>
          <w:t>&lt;http://www.magnesita.com.br/a-empresa/historia&gt;</w:t>
        </w:r>
      </w:hyperlink>
      <w:r w:rsidR="00330118">
        <w:rPr>
          <w:sz w:val="16"/>
        </w:rPr>
        <w:t xml:space="preserve"> Acesso em: 06/10/2011</w:t>
      </w:r>
    </w:p>
    <w:p w:rsidR="00D81F69" w:rsidRDefault="00330118">
      <w:pPr>
        <w:spacing w:before="1" w:line="312" w:lineRule="auto"/>
        <w:ind w:left="100" w:right="59"/>
        <w:jc w:val="both"/>
        <w:rPr>
          <w:sz w:val="16"/>
        </w:rPr>
      </w:pPr>
      <w:r>
        <w:rPr>
          <w:sz w:val="16"/>
        </w:rPr>
        <w:t>MESSIAS, Carina Gomes. Análise da degradação ambiental da micro-bacia do rio do Antônio em Brumado-BA: Contribuições para o desenvolviment</w:t>
      </w:r>
      <w:r>
        <w:rPr>
          <w:sz w:val="16"/>
        </w:rPr>
        <w:t>o de programas de educação ambiental. 141f. Dissertação (Mestrado em Geografia), mai. 2010. Brasília: Universidade de Brasília. Disponível em:</w:t>
      </w:r>
    </w:p>
    <w:p w:rsidR="00D81F69" w:rsidRDefault="00D81F69">
      <w:pPr>
        <w:spacing w:before="4"/>
        <w:ind w:left="100"/>
        <w:rPr>
          <w:sz w:val="16"/>
        </w:rPr>
      </w:pPr>
      <w:hyperlink r:id="rId652">
        <w:r w:rsidR="00330118">
          <w:rPr>
            <w:sz w:val="16"/>
          </w:rPr>
          <w:t>&lt;http://repositorio.bce.unb.br/bitstr</w:t>
        </w:r>
        <w:r w:rsidR="00330118">
          <w:rPr>
            <w:sz w:val="16"/>
          </w:rPr>
          <w:t>eam/10482/8309/1/2010_</w:t>
        </w:r>
      </w:hyperlink>
    </w:p>
    <w:p w:rsidR="00D81F69" w:rsidRDefault="00330118">
      <w:pPr>
        <w:spacing w:before="70"/>
        <w:ind w:left="100"/>
        <w:rPr>
          <w:sz w:val="16"/>
        </w:rPr>
      </w:pPr>
      <w:r>
        <w:br w:type="column"/>
      </w:r>
      <w:r>
        <w:rPr>
          <w:sz w:val="16"/>
        </w:rPr>
        <w:lastRenderedPageBreak/>
        <w:t>CarinaGomesMessias.pdf&gt;. Acesso em: 05/10/2011.</w:t>
      </w:r>
    </w:p>
    <w:p w:rsidR="00D81F69" w:rsidRDefault="00330118">
      <w:pPr>
        <w:spacing w:before="56" w:line="312" w:lineRule="auto"/>
        <w:ind w:left="100" w:right="194"/>
        <w:jc w:val="both"/>
        <w:rPr>
          <w:sz w:val="16"/>
        </w:rPr>
      </w:pPr>
      <w:r>
        <w:rPr>
          <w:sz w:val="16"/>
        </w:rPr>
        <w:t>SAMPAIO, João Alves; ALMEIDA, Salvador Luiz Matos de; FERES, Elias Salomão. Magnesita - Mina de Brumado - Magnesita S. A. Comunicação técnica elaborada para o livro Usina de beneficiamento de minérios do Brasil. p.213-218. Rio de Janeiro: CETEM, 23 dez.</w:t>
      </w:r>
    </w:p>
    <w:p w:rsidR="00D81F69" w:rsidRDefault="00330118">
      <w:pPr>
        <w:tabs>
          <w:tab w:val="left" w:pos="1931"/>
          <w:tab w:val="left" w:pos="4567"/>
        </w:tabs>
        <w:spacing w:before="3"/>
        <w:ind w:left="100"/>
        <w:rPr>
          <w:sz w:val="16"/>
        </w:rPr>
      </w:pPr>
      <w:r>
        <w:rPr>
          <w:sz w:val="16"/>
        </w:rPr>
        <w:t xml:space="preserve">2 </w:t>
      </w:r>
      <w:r>
        <w:rPr>
          <w:sz w:val="16"/>
        </w:rPr>
        <w:t xml:space="preserve">  0   0   2  </w:t>
      </w:r>
      <w:r>
        <w:rPr>
          <w:spacing w:val="10"/>
          <w:sz w:val="16"/>
        </w:rPr>
        <w:t xml:space="preserve"> </w:t>
      </w:r>
      <w:r>
        <w:rPr>
          <w:sz w:val="16"/>
        </w:rPr>
        <w:t xml:space="preserve">a  </w:t>
      </w:r>
      <w:r>
        <w:rPr>
          <w:spacing w:val="1"/>
          <w:sz w:val="16"/>
        </w:rPr>
        <w:t xml:space="preserve"> </w:t>
      </w:r>
      <w:r>
        <w:rPr>
          <w:sz w:val="16"/>
        </w:rPr>
        <w:t>.</w:t>
      </w:r>
      <w:r>
        <w:rPr>
          <w:sz w:val="16"/>
        </w:rPr>
        <w:tab/>
        <w:t xml:space="preserve">D   i   s   p   o   n   í   v  </w:t>
      </w:r>
      <w:r>
        <w:rPr>
          <w:spacing w:val="22"/>
          <w:sz w:val="16"/>
        </w:rPr>
        <w:t xml:space="preserve"> </w:t>
      </w:r>
      <w:r>
        <w:rPr>
          <w:sz w:val="16"/>
        </w:rPr>
        <w:t xml:space="preserve">e  </w:t>
      </w:r>
      <w:r>
        <w:rPr>
          <w:spacing w:val="1"/>
          <w:sz w:val="16"/>
        </w:rPr>
        <w:t xml:space="preserve"> </w:t>
      </w:r>
      <w:r>
        <w:rPr>
          <w:sz w:val="16"/>
        </w:rPr>
        <w:t>l</w:t>
      </w:r>
      <w:r>
        <w:rPr>
          <w:sz w:val="16"/>
        </w:rPr>
        <w:tab/>
        <w:t xml:space="preserve">e   m  </w:t>
      </w:r>
      <w:r>
        <w:rPr>
          <w:spacing w:val="5"/>
          <w:sz w:val="16"/>
        </w:rPr>
        <w:t xml:space="preserve"> </w:t>
      </w:r>
      <w:r>
        <w:rPr>
          <w:sz w:val="16"/>
        </w:rPr>
        <w:t>:</w:t>
      </w:r>
    </w:p>
    <w:p w:rsidR="00D81F69" w:rsidRDefault="00D81F69">
      <w:pPr>
        <w:spacing w:before="56" w:line="312" w:lineRule="auto"/>
        <w:ind w:left="100" w:right="191"/>
        <w:jc w:val="both"/>
        <w:rPr>
          <w:sz w:val="16"/>
        </w:rPr>
      </w:pPr>
      <w:hyperlink r:id="rId653">
        <w:r w:rsidR="00330118">
          <w:rPr>
            <w:sz w:val="16"/>
          </w:rPr>
          <w:t>&lt;http://www.cetem.gov.br/publicacao/CTs/CT2002-170-00.pdf&gt;.</w:t>
        </w:r>
      </w:hyperlink>
      <w:r w:rsidR="00330118">
        <w:rPr>
          <w:sz w:val="16"/>
        </w:rPr>
        <w:t xml:space="preserve"> Acesso em: 04/10/2011.</w:t>
      </w:r>
    </w:p>
    <w:p w:rsidR="00D81F69" w:rsidRDefault="00330118">
      <w:pPr>
        <w:spacing w:before="2" w:line="312" w:lineRule="auto"/>
        <w:ind w:left="100" w:right="192"/>
        <w:jc w:val="both"/>
        <w:rPr>
          <w:sz w:val="16"/>
        </w:rPr>
      </w:pPr>
      <w:r>
        <w:rPr>
          <w:sz w:val="16"/>
        </w:rPr>
        <w:t>______. Talco - Mina de Brumado</w:t>
      </w:r>
      <w:r>
        <w:rPr>
          <w:sz w:val="16"/>
        </w:rPr>
        <w:t xml:space="preserve"> - Magnesita S. A. Comunicação técnica elaborada para o livro Usina de beneficiamento de minérios  </w:t>
      </w:r>
      <w:r>
        <w:rPr>
          <w:spacing w:val="2"/>
          <w:sz w:val="16"/>
        </w:rPr>
        <w:t xml:space="preserve">do </w:t>
      </w:r>
      <w:r>
        <w:rPr>
          <w:spacing w:val="5"/>
          <w:sz w:val="16"/>
        </w:rPr>
        <w:t xml:space="preserve">Brasil. p.219-221. </w:t>
      </w:r>
      <w:r>
        <w:rPr>
          <w:spacing w:val="3"/>
          <w:sz w:val="16"/>
        </w:rPr>
        <w:t xml:space="preserve">Rio </w:t>
      </w:r>
      <w:r>
        <w:rPr>
          <w:spacing w:val="2"/>
          <w:sz w:val="16"/>
        </w:rPr>
        <w:t xml:space="preserve">de </w:t>
      </w:r>
      <w:r>
        <w:rPr>
          <w:spacing w:val="5"/>
          <w:sz w:val="16"/>
        </w:rPr>
        <w:t xml:space="preserve">Janeiro: CETEM, </w:t>
      </w:r>
      <w:r>
        <w:rPr>
          <w:spacing w:val="2"/>
          <w:sz w:val="16"/>
        </w:rPr>
        <w:t xml:space="preserve">23 </w:t>
      </w:r>
      <w:r>
        <w:rPr>
          <w:spacing w:val="5"/>
          <w:sz w:val="16"/>
        </w:rPr>
        <w:t xml:space="preserve">dez. </w:t>
      </w:r>
      <w:r>
        <w:rPr>
          <w:spacing w:val="6"/>
          <w:sz w:val="16"/>
        </w:rPr>
        <w:t xml:space="preserve">2002b. </w:t>
      </w:r>
      <w:r>
        <w:rPr>
          <w:spacing w:val="5"/>
          <w:sz w:val="16"/>
        </w:rPr>
        <w:t>Disponível</w:t>
      </w:r>
      <w:r>
        <w:rPr>
          <w:spacing w:val="35"/>
          <w:sz w:val="16"/>
        </w:rPr>
        <w:t xml:space="preserve"> </w:t>
      </w:r>
      <w:r>
        <w:rPr>
          <w:spacing w:val="6"/>
          <w:sz w:val="16"/>
        </w:rPr>
        <w:t>em:</w:t>
      </w:r>
    </w:p>
    <w:p w:rsidR="00D81F69" w:rsidRDefault="00D81F69">
      <w:pPr>
        <w:spacing w:before="3" w:line="312" w:lineRule="auto"/>
        <w:ind w:left="100" w:right="191"/>
        <w:jc w:val="both"/>
        <w:rPr>
          <w:sz w:val="16"/>
        </w:rPr>
      </w:pPr>
      <w:hyperlink r:id="rId654">
        <w:r w:rsidR="00330118">
          <w:rPr>
            <w:sz w:val="16"/>
          </w:rPr>
          <w:t>&lt;</w:t>
        </w:r>
        <w:r w:rsidR="00330118">
          <w:rPr>
            <w:sz w:val="16"/>
          </w:rPr>
          <w:t>http://www.cetem.gov.br/publicacao/CTs/CT2002-193-00.pdf&gt;.</w:t>
        </w:r>
      </w:hyperlink>
      <w:r w:rsidR="00330118">
        <w:rPr>
          <w:sz w:val="16"/>
        </w:rPr>
        <w:t xml:space="preserve"> Acesso em: 04/10/2011.</w:t>
      </w:r>
    </w:p>
    <w:p w:rsidR="00D81F69" w:rsidRDefault="00330118">
      <w:pPr>
        <w:spacing w:before="1" w:line="312" w:lineRule="auto"/>
        <w:ind w:left="100" w:right="162"/>
        <w:jc w:val="both"/>
        <w:rPr>
          <w:sz w:val="16"/>
        </w:rPr>
      </w:pPr>
      <w:r>
        <w:rPr>
          <w:sz w:val="16"/>
        </w:rPr>
        <w:t xml:space="preserve">VIANA, Vitor Ferraz. Manuscrito de atividade de campo 2009.1 Geo </w:t>
      </w:r>
      <w:r>
        <w:rPr>
          <w:spacing w:val="32"/>
          <w:sz w:val="16"/>
        </w:rPr>
        <w:t xml:space="preserve">158-pesquisa </w:t>
      </w:r>
      <w:r>
        <w:rPr>
          <w:spacing w:val="30"/>
          <w:sz w:val="16"/>
        </w:rPr>
        <w:t>mineral,</w:t>
      </w:r>
      <w:r>
        <w:rPr>
          <w:spacing w:val="105"/>
          <w:sz w:val="16"/>
        </w:rPr>
        <w:t xml:space="preserve"> </w:t>
      </w:r>
      <w:r>
        <w:rPr>
          <w:spacing w:val="27"/>
          <w:sz w:val="16"/>
        </w:rPr>
        <w:t xml:space="preserve">2009. </w:t>
      </w:r>
      <w:r>
        <w:rPr>
          <w:spacing w:val="31"/>
          <w:sz w:val="16"/>
        </w:rPr>
        <w:t>Disponível</w:t>
      </w:r>
      <w:r>
        <w:rPr>
          <w:spacing w:val="85"/>
          <w:sz w:val="16"/>
        </w:rPr>
        <w:t xml:space="preserve"> </w:t>
      </w:r>
      <w:r>
        <w:rPr>
          <w:spacing w:val="23"/>
          <w:sz w:val="16"/>
        </w:rPr>
        <w:t>em:</w:t>
      </w:r>
      <w:r>
        <w:rPr>
          <w:spacing w:val="-8"/>
          <w:sz w:val="16"/>
        </w:rPr>
        <w:t xml:space="preserve"> </w:t>
      </w:r>
    </w:p>
    <w:p w:rsidR="00D81F69" w:rsidRDefault="00D81F69">
      <w:pPr>
        <w:spacing w:before="2" w:line="312" w:lineRule="auto"/>
        <w:ind w:left="100" w:right="217"/>
        <w:jc w:val="both"/>
        <w:rPr>
          <w:sz w:val="16"/>
        </w:rPr>
      </w:pPr>
      <w:hyperlink r:id="rId655">
        <w:r w:rsidR="00330118">
          <w:rPr>
            <w:sz w:val="16"/>
          </w:rPr>
          <w:t>&lt;http://www.moodle.ufba.br/file.php/8828/moddata/forum/4338/96335/</w:t>
        </w:r>
      </w:hyperlink>
      <w:r w:rsidR="00330118">
        <w:rPr>
          <w:sz w:val="16"/>
        </w:rPr>
        <w:t xml:space="preserve"> RELATORIO_DE_CAMPO.pdf&gt;. Acesso em: 05/10/2011.</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82" w:space="288"/>
            <w:col w:w="5310"/>
          </w:cols>
        </w:sectPr>
      </w:pPr>
    </w:p>
    <w:p w:rsidR="00D81F69" w:rsidRDefault="00330118">
      <w:pPr>
        <w:pStyle w:val="Heading1"/>
        <w:tabs>
          <w:tab w:val="left" w:pos="2286"/>
          <w:tab w:val="left" w:pos="2697"/>
          <w:tab w:val="left" w:pos="2985"/>
          <w:tab w:val="left" w:pos="3396"/>
          <w:tab w:val="left" w:pos="5139"/>
          <w:tab w:val="left" w:pos="5216"/>
          <w:tab w:val="left" w:pos="5915"/>
          <w:tab w:val="left" w:pos="6393"/>
          <w:tab w:val="left" w:pos="7513"/>
          <w:tab w:val="left" w:pos="7946"/>
          <w:tab w:val="left" w:pos="9689"/>
        </w:tabs>
        <w:spacing w:line="208" w:lineRule="auto"/>
        <w:ind w:right="200"/>
      </w:pPr>
      <w:r>
        <w:rPr>
          <w:spacing w:val="17"/>
        </w:rPr>
        <w:lastRenderedPageBreak/>
        <w:t>População</w:t>
      </w:r>
      <w:r>
        <w:rPr>
          <w:spacing w:val="17"/>
        </w:rPr>
        <w:tab/>
      </w:r>
      <w:r>
        <w:rPr>
          <w:spacing w:val="17"/>
        </w:rPr>
        <w:tab/>
      </w:r>
      <w:r>
        <w:rPr>
          <w:spacing w:val="10"/>
        </w:rPr>
        <w:t>de</w:t>
      </w:r>
      <w:r>
        <w:rPr>
          <w:spacing w:val="10"/>
        </w:rPr>
        <w:tab/>
      </w:r>
      <w:r>
        <w:rPr>
          <w:spacing w:val="16"/>
        </w:rPr>
        <w:t>Simões</w:t>
      </w:r>
      <w:r>
        <w:rPr>
          <w:spacing w:val="16"/>
        </w:rPr>
        <w:tab/>
      </w:r>
      <w:r>
        <w:rPr>
          <w:spacing w:val="15"/>
        </w:rPr>
        <w:t>Filho</w:t>
      </w:r>
      <w:r>
        <w:rPr>
          <w:spacing w:val="15"/>
        </w:rPr>
        <w:tab/>
        <w:t>(BA)</w:t>
      </w:r>
      <w:r>
        <w:rPr>
          <w:spacing w:val="15"/>
        </w:rPr>
        <w:tab/>
      </w:r>
      <w:r>
        <w:t>é</w:t>
      </w:r>
      <w:r>
        <w:tab/>
      </w:r>
      <w:r>
        <w:rPr>
          <w:spacing w:val="17"/>
        </w:rPr>
        <w:t>afetada</w:t>
      </w:r>
      <w:r>
        <w:rPr>
          <w:spacing w:val="17"/>
        </w:rPr>
        <w:tab/>
      </w:r>
      <w:r>
        <w:rPr>
          <w:spacing w:val="20"/>
        </w:rPr>
        <w:t xml:space="preserve">pela </w:t>
      </w:r>
      <w:r>
        <w:rPr>
          <w:spacing w:val="17"/>
        </w:rPr>
        <w:t>produção</w:t>
      </w:r>
      <w:r>
        <w:rPr>
          <w:spacing w:val="17"/>
        </w:rPr>
        <w:tab/>
      </w:r>
      <w:r>
        <w:rPr>
          <w:spacing w:val="10"/>
        </w:rPr>
        <w:t>de</w:t>
      </w:r>
      <w:r>
        <w:rPr>
          <w:spacing w:val="10"/>
        </w:rPr>
        <w:tab/>
      </w:r>
      <w:r>
        <w:rPr>
          <w:spacing w:val="17"/>
        </w:rPr>
        <w:t>ferroligas</w:t>
      </w:r>
      <w:r>
        <w:rPr>
          <w:spacing w:val="17"/>
        </w:rPr>
        <w:tab/>
      </w:r>
      <w:r>
        <w:rPr>
          <w:spacing w:val="17"/>
        </w:rPr>
        <w:tab/>
      </w:r>
      <w:r>
        <w:rPr>
          <w:spacing w:val="10"/>
        </w:rPr>
        <w:t>de</w:t>
      </w:r>
      <w:r>
        <w:rPr>
          <w:spacing w:val="10"/>
        </w:rPr>
        <w:tab/>
      </w:r>
      <w:r>
        <w:rPr>
          <w:spacing w:val="20"/>
        </w:rPr>
        <w:t>manganês</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BA - Simões Filho</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-12,7856</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-38,4055</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9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A empresa Rio Doce Manganês, da </w:t>
      </w:r>
      <w:r>
        <w:rPr>
          <w:i/>
          <w:sz w:val="16"/>
        </w:rPr>
        <w:t xml:space="preserve">Vale, produz cerca de 280 mil toneladas de ferroligas de manganês por ano no município de Simões Filho, região metropolitana de Salvador (BA). A atividade é apontada como responsável pela emissão de poluentes atmosféricos (material particulado e poluentes </w:t>
      </w:r>
      <w:r>
        <w:rPr>
          <w:i/>
          <w:sz w:val="16"/>
        </w:rPr>
        <w:t>gasosos) que impacta diretamente a população local.</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9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93"/>
      </w:pPr>
      <w:r>
        <w:t>estado da Bahia. Já o carvão vegetal, usado como redutor, vem da plantação de eucalipto da empresa e de fazendas de terceiros na região. O outro redutor, o coque, chega do Japão, China, Austrália e da África (SOARES FILHO, 2008).</w:t>
      </w:r>
    </w:p>
    <w:p w:rsidR="00D81F69" w:rsidRDefault="00330118">
      <w:pPr>
        <w:pStyle w:val="Corpodetexto"/>
        <w:spacing w:before="133" w:line="312" w:lineRule="auto"/>
        <w:ind w:left="135" w:right="194"/>
      </w:pPr>
      <w:r>
        <w:t>Acontece que as instalaçõe</w:t>
      </w:r>
      <w:r>
        <w:t>s da RDM ficam bem próximas do distrito de Cotegipe, também no município de Simões Filho, cuja população de pouco mais de 719 habitantes, a maioria analfabeta, estaria sendo diretamente impactada pelas operações da empresa (MENEZES FILHO, 2009).</w:t>
      </w:r>
    </w:p>
    <w:p w:rsidR="00D81F69" w:rsidRDefault="00330118">
      <w:pPr>
        <w:pStyle w:val="Corpodetexto"/>
        <w:spacing w:before="135" w:line="312" w:lineRule="auto"/>
        <w:ind w:left="135" w:right="190"/>
      </w:pPr>
      <w:r>
        <w:t>A RDM é re</w:t>
      </w:r>
      <w:r>
        <w:t>sponsabilizada pela emissão de poluentes atmosféricos (material particulado e poluentes gasosos),</w:t>
      </w:r>
    </w:p>
    <w:p w:rsidR="00D81F69" w:rsidRDefault="00D81F69">
      <w:pPr>
        <w:spacing w:line="312" w:lineRule="auto"/>
        <w:sectPr w:rsidR="00D81F69">
          <w:type w:val="continuous"/>
          <w:pgSz w:w="11900" w:h="16840"/>
          <w:pgMar w:top="720" w:right="500" w:bottom="280" w:left="620" w:header="720" w:footer="720" w:gutter="0"/>
          <w:cols w:num="3" w:space="720" w:equalWidth="0">
            <w:col w:w="1296" w:space="704"/>
            <w:col w:w="3111" w:space="324"/>
            <w:col w:w="5345"/>
          </w:cols>
        </w:sectPr>
      </w:pPr>
    </w:p>
    <w:p w:rsidR="00D81F69" w:rsidRDefault="00330118">
      <w:pPr>
        <w:pStyle w:val="Heading4"/>
        <w:spacing w:line="232" w:lineRule="exact"/>
        <w:jc w:val="left"/>
      </w:pPr>
      <w:r>
        <w:lastRenderedPageBreak/>
        <w:t>APRESENTAÇÃO DE CASO</w:t>
      </w:r>
    </w:p>
    <w:p w:rsidR="00D81F69" w:rsidRDefault="00330118">
      <w:pPr>
        <w:pStyle w:val="Corpodetexto"/>
        <w:spacing w:before="170" w:line="312" w:lineRule="auto"/>
        <w:ind w:right="76"/>
      </w:pPr>
      <w:r>
        <w:t xml:space="preserve">O Brasil é o segundo maior produtor mundial de </w:t>
      </w:r>
      <w:hyperlink r:id="rId656">
        <w:r>
          <w:t>manganês,</w:t>
        </w:r>
      </w:hyperlink>
      <w:r>
        <w:t xml:space="preserve"> atrás apenas da África do Sul. A maior produção do minério vem de Carajás, no Pará (FONSÊCA, 2008). E é lá que se encontra a mina do Azul, pertencente à Vale. Com 4.650 hectares, as reservas econômicas da mina est</w:t>
      </w:r>
      <w:r>
        <w:t>ão estimadas em 32 milhões de toneladas de manganês metalúrgico e em 5,9 milhões de toneladas de dióxido de manganês (BRASIL INFOMINE, 2004).</w:t>
      </w:r>
    </w:p>
    <w:p w:rsidR="00D81F69" w:rsidRDefault="00330118">
      <w:pPr>
        <w:pStyle w:val="Corpodetexto"/>
        <w:spacing w:before="137" w:line="312" w:lineRule="auto"/>
        <w:ind w:right="76"/>
      </w:pPr>
      <w:r>
        <w:rPr>
          <w:spacing w:val="3"/>
        </w:rPr>
        <w:t xml:space="preserve">Cerca </w:t>
      </w:r>
      <w:r>
        <w:rPr>
          <w:spacing w:val="1"/>
        </w:rPr>
        <w:t xml:space="preserve">de </w:t>
      </w:r>
      <w:r>
        <w:rPr>
          <w:spacing w:val="3"/>
        </w:rPr>
        <w:t xml:space="preserve">15.800 ton/mês </w:t>
      </w:r>
      <w:r>
        <w:rPr>
          <w:spacing w:val="1"/>
        </w:rPr>
        <w:t xml:space="preserve">de </w:t>
      </w:r>
      <w:r>
        <w:rPr>
          <w:spacing w:val="3"/>
        </w:rPr>
        <w:t xml:space="preserve">manganês </w:t>
      </w:r>
      <w:r>
        <w:rPr>
          <w:spacing w:val="1"/>
        </w:rPr>
        <w:t xml:space="preserve">da </w:t>
      </w:r>
      <w:r>
        <w:rPr>
          <w:spacing w:val="2"/>
        </w:rPr>
        <w:t xml:space="preserve">mina </w:t>
      </w:r>
      <w:r>
        <w:rPr>
          <w:spacing w:val="1"/>
        </w:rPr>
        <w:t xml:space="preserve">do </w:t>
      </w:r>
      <w:r>
        <w:rPr>
          <w:spacing w:val="5"/>
        </w:rPr>
        <w:t xml:space="preserve">Azul </w:t>
      </w:r>
      <w:r>
        <w:t xml:space="preserve">abastecem a eletro-siderúrgica Rio Doce Manganês </w:t>
      </w:r>
      <w:r>
        <w:rPr>
          <w:spacing w:val="1"/>
        </w:rPr>
        <w:t xml:space="preserve">(RDM), </w:t>
      </w:r>
      <w:r>
        <w:rPr>
          <w:spacing w:val="5"/>
        </w:rPr>
        <w:t xml:space="preserve">da </w:t>
      </w:r>
      <w:r>
        <w:rPr>
          <w:spacing w:val="10"/>
        </w:rPr>
        <w:t>Val</w:t>
      </w:r>
      <w:r>
        <w:rPr>
          <w:spacing w:val="10"/>
        </w:rPr>
        <w:t xml:space="preserve">e, </w:t>
      </w:r>
      <w:r>
        <w:rPr>
          <w:spacing w:val="5"/>
        </w:rPr>
        <w:t xml:space="preserve">na </w:t>
      </w:r>
      <w:r>
        <w:rPr>
          <w:spacing w:val="10"/>
        </w:rPr>
        <w:t xml:space="preserve">região </w:t>
      </w:r>
      <w:r>
        <w:rPr>
          <w:spacing w:val="11"/>
        </w:rPr>
        <w:t xml:space="preserve">metropolitana </w:t>
      </w:r>
      <w:r>
        <w:rPr>
          <w:spacing w:val="5"/>
        </w:rPr>
        <w:t xml:space="preserve">de </w:t>
      </w:r>
      <w:r>
        <w:rPr>
          <w:spacing w:val="10"/>
        </w:rPr>
        <w:t xml:space="preserve">Salvador </w:t>
      </w:r>
      <w:r>
        <w:rPr>
          <w:spacing w:val="12"/>
        </w:rPr>
        <w:t xml:space="preserve">(BA) </w:t>
      </w:r>
      <w:r>
        <w:rPr>
          <w:spacing w:val="5"/>
        </w:rPr>
        <w:t xml:space="preserve">(MENEZES FILHO, 2009), </w:t>
      </w:r>
      <w:r>
        <w:rPr>
          <w:spacing w:val="3"/>
        </w:rPr>
        <w:t xml:space="preserve">onde são </w:t>
      </w:r>
      <w:r>
        <w:rPr>
          <w:spacing w:val="5"/>
        </w:rPr>
        <w:t xml:space="preserve">produzidas </w:t>
      </w:r>
      <w:r>
        <w:rPr>
          <w:spacing w:val="3"/>
        </w:rPr>
        <w:t xml:space="preserve">280 </w:t>
      </w:r>
      <w:r>
        <w:rPr>
          <w:spacing w:val="5"/>
        </w:rPr>
        <w:t xml:space="preserve">mil </w:t>
      </w:r>
      <w:r>
        <w:rPr>
          <w:spacing w:val="3"/>
        </w:rPr>
        <w:t xml:space="preserve">toneladas </w:t>
      </w:r>
      <w:r>
        <w:rPr>
          <w:spacing w:val="1"/>
        </w:rPr>
        <w:t xml:space="preserve">de </w:t>
      </w:r>
      <w:r>
        <w:rPr>
          <w:spacing w:val="3"/>
        </w:rPr>
        <w:t xml:space="preserve">ferroligas </w:t>
      </w:r>
      <w:r>
        <w:rPr>
          <w:spacing w:val="1"/>
        </w:rPr>
        <w:t xml:space="preserve">de </w:t>
      </w:r>
      <w:r>
        <w:rPr>
          <w:spacing w:val="3"/>
        </w:rPr>
        <w:t xml:space="preserve">manganês </w:t>
      </w:r>
      <w:r>
        <w:rPr>
          <w:spacing w:val="1"/>
        </w:rPr>
        <w:t xml:space="preserve">ao </w:t>
      </w:r>
      <w:r>
        <w:rPr>
          <w:spacing w:val="2"/>
        </w:rPr>
        <w:t xml:space="preserve">ano. </w:t>
      </w:r>
      <w:r>
        <w:t xml:space="preserve">A </w:t>
      </w:r>
      <w:r>
        <w:rPr>
          <w:spacing w:val="5"/>
        </w:rPr>
        <w:t xml:space="preserve">produção </w:t>
      </w:r>
      <w:r>
        <w:rPr>
          <w:spacing w:val="7"/>
        </w:rPr>
        <w:t xml:space="preserve">atende </w:t>
      </w:r>
      <w:r>
        <w:rPr>
          <w:spacing w:val="5"/>
        </w:rPr>
        <w:t xml:space="preserve">às </w:t>
      </w:r>
      <w:r>
        <w:rPr>
          <w:spacing w:val="8"/>
        </w:rPr>
        <w:t xml:space="preserve">siderúrgicas </w:t>
      </w:r>
      <w:r>
        <w:rPr>
          <w:spacing w:val="5"/>
        </w:rPr>
        <w:t xml:space="preserve">do aço no </w:t>
      </w:r>
      <w:r>
        <w:rPr>
          <w:spacing w:val="7"/>
        </w:rPr>
        <w:t xml:space="preserve">Brasil, </w:t>
      </w:r>
      <w:r>
        <w:rPr>
          <w:spacing w:val="5"/>
        </w:rPr>
        <w:t xml:space="preserve">em </w:t>
      </w:r>
      <w:r>
        <w:rPr>
          <w:spacing w:val="10"/>
        </w:rPr>
        <w:t xml:space="preserve">especial </w:t>
      </w:r>
      <w:r>
        <w:rPr>
          <w:spacing w:val="1"/>
        </w:rPr>
        <w:t xml:space="preserve">Usiminas, Cosipa </w:t>
      </w:r>
      <w:r>
        <w:t xml:space="preserve">e </w:t>
      </w:r>
      <w:r>
        <w:rPr>
          <w:spacing w:val="1"/>
        </w:rPr>
        <w:t xml:space="preserve">Grupo Gerdau, </w:t>
      </w:r>
      <w:r>
        <w:t xml:space="preserve">e </w:t>
      </w:r>
      <w:r>
        <w:rPr>
          <w:spacing w:val="1"/>
        </w:rPr>
        <w:t xml:space="preserve">também </w:t>
      </w:r>
      <w:r>
        <w:t xml:space="preserve">ao </w:t>
      </w:r>
      <w:r>
        <w:rPr>
          <w:spacing w:val="2"/>
        </w:rPr>
        <w:t xml:space="preserve">mercado </w:t>
      </w:r>
      <w:r>
        <w:rPr>
          <w:spacing w:val="5"/>
        </w:rPr>
        <w:t xml:space="preserve">externo: Argentina, Chile, Holanda, Alemanha </w:t>
      </w:r>
      <w:r>
        <w:t xml:space="preserve">e </w:t>
      </w:r>
      <w:r>
        <w:rPr>
          <w:spacing w:val="5"/>
        </w:rPr>
        <w:t>Turquia (SOARES FILHO,</w:t>
      </w:r>
      <w:r>
        <w:rPr>
          <w:spacing w:val="8"/>
        </w:rPr>
        <w:t xml:space="preserve"> </w:t>
      </w:r>
      <w:r>
        <w:rPr>
          <w:spacing w:val="5"/>
        </w:rPr>
        <w:t>2008).</w:t>
      </w:r>
    </w:p>
    <w:p w:rsidR="00D81F69" w:rsidRDefault="00330118">
      <w:pPr>
        <w:pStyle w:val="Corpodetexto"/>
        <w:spacing w:before="139" w:line="312" w:lineRule="auto"/>
        <w:ind w:right="90"/>
        <w:jc w:val="left"/>
      </w:pPr>
      <w:r>
        <w:t xml:space="preserve">A RDM, na verdade, é a antiga Sibra, criada em 1965, </w:t>
      </w:r>
      <w:r>
        <w:rPr>
          <w:spacing w:val="1"/>
        </w:rPr>
        <w:t xml:space="preserve">com </w:t>
      </w:r>
      <w:r>
        <w:rPr>
          <w:spacing w:val="22"/>
        </w:rPr>
        <w:t xml:space="preserve">incentivo econômico </w:t>
      </w:r>
      <w:r>
        <w:rPr>
          <w:spacing w:val="12"/>
        </w:rPr>
        <w:t xml:space="preserve">da </w:t>
      </w:r>
      <w:r>
        <w:rPr>
          <w:spacing w:val="23"/>
        </w:rPr>
        <w:t xml:space="preserve">Superintendência </w:t>
      </w:r>
      <w:r>
        <w:rPr>
          <w:spacing w:val="12"/>
        </w:rPr>
        <w:t xml:space="preserve">de </w:t>
      </w:r>
      <w:r>
        <w:rPr>
          <w:spacing w:val="3"/>
        </w:rPr>
        <w:t xml:space="preserve">Desenvolvimento </w:t>
      </w:r>
      <w:r>
        <w:rPr>
          <w:spacing w:val="1"/>
        </w:rPr>
        <w:t xml:space="preserve">do </w:t>
      </w:r>
      <w:r>
        <w:rPr>
          <w:spacing w:val="3"/>
        </w:rPr>
        <w:t xml:space="preserve">Nordeste (Sudene) </w:t>
      </w:r>
      <w:r>
        <w:t xml:space="preserve">e </w:t>
      </w:r>
      <w:r>
        <w:rPr>
          <w:spacing w:val="1"/>
        </w:rPr>
        <w:t xml:space="preserve">do </w:t>
      </w:r>
      <w:r>
        <w:rPr>
          <w:spacing w:val="3"/>
        </w:rPr>
        <w:t xml:space="preserve">governo </w:t>
      </w:r>
      <w:r>
        <w:rPr>
          <w:spacing w:val="5"/>
        </w:rPr>
        <w:t xml:space="preserve">da </w:t>
      </w:r>
      <w:r>
        <w:t>Bahia. Até 1988, quando fo</w:t>
      </w:r>
      <w:r>
        <w:t xml:space="preserve">i privatizada, a empresa teve como </w:t>
      </w:r>
      <w:r>
        <w:rPr>
          <w:spacing w:val="1"/>
        </w:rPr>
        <w:t xml:space="preserve">principal acionista </w:t>
      </w:r>
      <w:r>
        <w:t xml:space="preserve">o </w:t>
      </w:r>
      <w:r>
        <w:rPr>
          <w:spacing w:val="1"/>
        </w:rPr>
        <w:t xml:space="preserve">governo brasileiro (MENEZES </w:t>
      </w:r>
      <w:r>
        <w:rPr>
          <w:spacing w:val="2"/>
        </w:rPr>
        <w:t xml:space="preserve">FILHO, </w:t>
      </w:r>
      <w:r>
        <w:t xml:space="preserve">2009). Seu parque industrial localiza-se no Centro Industrial  de Aratu (CIA), em Simões Filho, município com 201,222 km²  e </w:t>
      </w:r>
      <w:r>
        <w:rPr>
          <w:spacing w:val="3"/>
        </w:rPr>
        <w:t xml:space="preserve">118.047 habitantes (IBGE, 2010), </w:t>
      </w:r>
      <w:r>
        <w:t xml:space="preserve">a </w:t>
      </w:r>
      <w:r>
        <w:rPr>
          <w:spacing w:val="1"/>
        </w:rPr>
        <w:t>30 k</w:t>
      </w:r>
      <w:r>
        <w:rPr>
          <w:spacing w:val="1"/>
        </w:rPr>
        <w:t xml:space="preserve">m de </w:t>
      </w:r>
      <w:r>
        <w:rPr>
          <w:spacing w:val="5"/>
        </w:rPr>
        <w:t xml:space="preserve">Salvador </w:t>
      </w:r>
      <w:r>
        <w:rPr>
          <w:spacing w:val="3"/>
        </w:rPr>
        <w:t>(SOARES FILHO,</w:t>
      </w:r>
      <w:r>
        <w:rPr>
          <w:spacing w:val="-3"/>
        </w:rPr>
        <w:t xml:space="preserve"> </w:t>
      </w:r>
      <w:r>
        <w:rPr>
          <w:spacing w:val="5"/>
        </w:rPr>
        <w:t>2008).</w:t>
      </w:r>
    </w:p>
    <w:p w:rsidR="00D81F69" w:rsidRDefault="00330118">
      <w:pPr>
        <w:pStyle w:val="Corpodetexto"/>
        <w:spacing w:before="138" w:line="312" w:lineRule="auto"/>
        <w:ind w:right="89"/>
      </w:pPr>
      <w:r>
        <w:t xml:space="preserve">O parque industrial da empresa é formado por três unidades distintas: plantas I, II e III (SOARES FILHO, 2008). Além de ser abastecido com o manganês da mina do Azul, o empreendimento recebe o minério oriundo da mina de </w:t>
      </w:r>
      <w:r>
        <w:t>Urucum, da Vale, no Mato Grosso do Sul, e de outras quatro minas da empresa no próprio estado da Bahia (MENEZES FILHO, 2009).</w:t>
      </w:r>
    </w:p>
    <w:p w:rsidR="00D81F69" w:rsidRDefault="00330118">
      <w:pPr>
        <w:pStyle w:val="Corpodetexto"/>
        <w:spacing w:before="136" w:line="312" w:lineRule="auto"/>
        <w:ind w:right="94"/>
      </w:pPr>
      <w:r>
        <w:t>O quartzo, o calcário e a dolomita, fundentes utilizados no processo de produção das ferroligas, são provenientes do</w:t>
      </w:r>
    </w:p>
    <w:p w:rsidR="00D81F69" w:rsidRDefault="00330118">
      <w:pPr>
        <w:pStyle w:val="Corpodetexto"/>
        <w:spacing w:before="2" w:line="312" w:lineRule="auto"/>
        <w:ind w:right="192"/>
      </w:pPr>
      <w:r>
        <w:br w:type="column"/>
      </w:r>
      <w:r>
        <w:lastRenderedPageBreak/>
        <w:t>sobretudo fu</w:t>
      </w:r>
      <w:r>
        <w:t>mos de óxidos de metais pesados. Ainda em 1999, termo de ajuste de conduta (TAC) determinado pelo Ministério Público de Simões Filho assinalou que tal material deveria ser priorizado em estudo de exposição populacional. Das negociações, resultaram 59 itens</w:t>
      </w:r>
      <w:r>
        <w:t xml:space="preserve"> que compuseram a cláusula das obrigações da empresa e, dentre estes itens, estava o estudo epidemiológico do impacto na saúde da população local (MENEZES FILHO, 2009).</w:t>
      </w:r>
    </w:p>
    <w:p w:rsidR="00D81F69" w:rsidRDefault="00330118">
      <w:pPr>
        <w:pStyle w:val="Corpodetexto"/>
        <w:spacing w:before="137" w:line="312" w:lineRule="auto"/>
        <w:ind w:right="169"/>
      </w:pPr>
      <w:r>
        <w:rPr>
          <w:spacing w:val="3"/>
        </w:rPr>
        <w:t xml:space="preserve">Sendo assim, </w:t>
      </w:r>
      <w:r>
        <w:rPr>
          <w:spacing w:val="2"/>
        </w:rPr>
        <w:t xml:space="preserve">foi </w:t>
      </w:r>
      <w:r>
        <w:rPr>
          <w:spacing w:val="3"/>
        </w:rPr>
        <w:t xml:space="preserve">apresentado </w:t>
      </w:r>
      <w:r>
        <w:t xml:space="preserve">o </w:t>
      </w:r>
      <w:r>
        <w:rPr>
          <w:spacing w:val="3"/>
        </w:rPr>
        <w:t xml:space="preserve">Relatório Final </w:t>
      </w:r>
      <w:r>
        <w:rPr>
          <w:spacing w:val="1"/>
        </w:rPr>
        <w:t xml:space="preserve">do </w:t>
      </w:r>
      <w:r>
        <w:rPr>
          <w:spacing w:val="5"/>
        </w:rPr>
        <w:t xml:space="preserve">Estudo </w:t>
      </w:r>
      <w:r>
        <w:t>Epidemiológico para Verificaçã</w:t>
      </w:r>
      <w:r>
        <w:t xml:space="preserve">o de Efeitos Sobre a Saúde da População Circunvizinha à Empresa RDM (VEEP, 2005 apud </w:t>
      </w:r>
      <w:r>
        <w:rPr>
          <w:spacing w:val="3"/>
        </w:rPr>
        <w:t xml:space="preserve">MENEZES FILHO, 2009), </w:t>
      </w:r>
      <w:r>
        <w:rPr>
          <w:spacing w:val="1"/>
        </w:rPr>
        <w:t xml:space="preserve">em </w:t>
      </w:r>
      <w:r>
        <w:rPr>
          <w:spacing w:val="2"/>
        </w:rPr>
        <w:t xml:space="preserve">maio </w:t>
      </w:r>
      <w:r>
        <w:rPr>
          <w:spacing w:val="1"/>
        </w:rPr>
        <w:t xml:space="preserve">de </w:t>
      </w:r>
      <w:r>
        <w:rPr>
          <w:spacing w:val="3"/>
        </w:rPr>
        <w:t xml:space="preserve">2006. </w:t>
      </w:r>
      <w:r>
        <w:rPr>
          <w:spacing w:val="1"/>
        </w:rPr>
        <w:t xml:space="preserve">No </w:t>
      </w:r>
      <w:r>
        <w:rPr>
          <w:spacing w:val="5"/>
        </w:rPr>
        <w:t xml:space="preserve">entanto, </w:t>
      </w:r>
      <w:r>
        <w:rPr>
          <w:spacing w:val="3"/>
        </w:rPr>
        <w:t xml:space="preserve">embora </w:t>
      </w:r>
      <w:r>
        <w:t xml:space="preserve">o </w:t>
      </w:r>
      <w:r>
        <w:rPr>
          <w:spacing w:val="2"/>
        </w:rPr>
        <w:t xml:space="preserve">TAC </w:t>
      </w:r>
      <w:r>
        <w:rPr>
          <w:spacing w:val="3"/>
        </w:rPr>
        <w:t xml:space="preserve">exigisse </w:t>
      </w:r>
      <w:r>
        <w:rPr>
          <w:spacing w:val="2"/>
        </w:rPr>
        <w:t xml:space="preserve">que </w:t>
      </w:r>
      <w:r>
        <w:t xml:space="preserve">o </w:t>
      </w:r>
      <w:r>
        <w:rPr>
          <w:spacing w:val="3"/>
        </w:rPr>
        <w:t xml:space="preserve">estudo fosse feito </w:t>
      </w:r>
      <w:r>
        <w:rPr>
          <w:spacing w:val="1"/>
        </w:rPr>
        <w:t xml:space="preserve">de </w:t>
      </w:r>
      <w:r>
        <w:rPr>
          <w:spacing w:val="5"/>
        </w:rPr>
        <w:t xml:space="preserve">forma </w:t>
      </w:r>
      <w:r>
        <w:t xml:space="preserve">censitária, a avaliação da contaminação humana em Cotegipe fora realizada apenas em uma amostra de 10% da população </w:t>
      </w:r>
      <w:r>
        <w:rPr>
          <w:spacing w:val="5"/>
        </w:rPr>
        <w:t xml:space="preserve">adulta </w:t>
      </w:r>
      <w:r>
        <w:t xml:space="preserve">e </w:t>
      </w:r>
      <w:r>
        <w:rPr>
          <w:spacing w:val="3"/>
        </w:rPr>
        <w:t xml:space="preserve">10% </w:t>
      </w:r>
      <w:r>
        <w:rPr>
          <w:spacing w:val="2"/>
        </w:rPr>
        <w:t xml:space="preserve">da </w:t>
      </w:r>
      <w:r>
        <w:rPr>
          <w:spacing w:val="5"/>
        </w:rPr>
        <w:t xml:space="preserve">população infantil. </w:t>
      </w:r>
      <w:r>
        <w:rPr>
          <w:spacing w:val="3"/>
        </w:rPr>
        <w:t xml:space="preserve">Mesmo </w:t>
      </w:r>
      <w:r>
        <w:rPr>
          <w:spacing w:val="5"/>
        </w:rPr>
        <w:t xml:space="preserve">assim, ficou </w:t>
      </w:r>
      <w:r>
        <w:rPr>
          <w:spacing w:val="3"/>
        </w:rPr>
        <w:t xml:space="preserve">evidenciada </w:t>
      </w:r>
      <w:r>
        <w:t xml:space="preserve">a </w:t>
      </w:r>
      <w:r>
        <w:rPr>
          <w:spacing w:val="3"/>
        </w:rPr>
        <w:t xml:space="preserve">presença </w:t>
      </w:r>
      <w:r>
        <w:rPr>
          <w:spacing w:val="1"/>
        </w:rPr>
        <w:t xml:space="preserve">de </w:t>
      </w:r>
      <w:r>
        <w:rPr>
          <w:spacing w:val="3"/>
        </w:rPr>
        <w:t xml:space="preserve">altos índices </w:t>
      </w:r>
      <w:r>
        <w:rPr>
          <w:spacing w:val="1"/>
        </w:rPr>
        <w:t xml:space="preserve">de </w:t>
      </w:r>
      <w:r>
        <w:rPr>
          <w:spacing w:val="3"/>
        </w:rPr>
        <w:t xml:space="preserve">manganês </w:t>
      </w:r>
      <w:r>
        <w:rPr>
          <w:spacing w:val="5"/>
        </w:rPr>
        <w:t xml:space="preserve">no </w:t>
      </w:r>
      <w:r>
        <w:t xml:space="preserve">cabelo de maiores de 14 anos, </w:t>
      </w:r>
      <w:r>
        <w:t xml:space="preserve">cujos valores médio chegaram a 66,38 e 177,43 a µg/g, nos habitantes que residiam mais </w:t>
      </w:r>
      <w:r>
        <w:rPr>
          <w:spacing w:val="18"/>
        </w:rPr>
        <w:t xml:space="preserve">distante </w:t>
      </w:r>
      <w:r>
        <w:t xml:space="preserve">e </w:t>
      </w:r>
      <w:r>
        <w:rPr>
          <w:spacing w:val="15"/>
        </w:rPr>
        <w:t xml:space="preserve">mais </w:t>
      </w:r>
      <w:r>
        <w:rPr>
          <w:spacing w:val="17"/>
        </w:rPr>
        <w:t xml:space="preserve">próximo </w:t>
      </w:r>
      <w:r>
        <w:rPr>
          <w:spacing w:val="10"/>
        </w:rPr>
        <w:t>da</w:t>
      </w:r>
      <w:r>
        <w:rPr>
          <w:spacing w:val="71"/>
        </w:rPr>
        <w:t xml:space="preserve"> </w:t>
      </w:r>
      <w:r>
        <w:rPr>
          <w:spacing w:val="15"/>
        </w:rPr>
        <w:t xml:space="preserve">área </w:t>
      </w:r>
      <w:r>
        <w:rPr>
          <w:spacing w:val="10"/>
        </w:rPr>
        <w:t>da</w:t>
      </w:r>
      <w:r>
        <w:rPr>
          <w:spacing w:val="71"/>
        </w:rPr>
        <w:t xml:space="preserve"> </w:t>
      </w:r>
      <w:r>
        <w:rPr>
          <w:spacing w:val="18"/>
        </w:rPr>
        <w:t xml:space="preserve">empresa, </w:t>
      </w:r>
      <w:r>
        <w:t xml:space="preserve">respectivamente. Mesmo entre os indivíduos tomados como referência, na Comunidade de Caboto, distante 10,5 km do </w:t>
      </w:r>
      <w:r>
        <w:rPr>
          <w:spacing w:val="1"/>
        </w:rPr>
        <w:t>empreendimen</w:t>
      </w:r>
      <w:r>
        <w:rPr>
          <w:spacing w:val="1"/>
        </w:rPr>
        <w:t xml:space="preserve">to, </w:t>
      </w:r>
      <w:r>
        <w:t xml:space="preserve">a </w:t>
      </w:r>
      <w:r>
        <w:rPr>
          <w:spacing w:val="1"/>
        </w:rPr>
        <w:t xml:space="preserve">média </w:t>
      </w:r>
      <w:r>
        <w:t xml:space="preserve">de </w:t>
      </w:r>
      <w:r>
        <w:rPr>
          <w:spacing w:val="1"/>
        </w:rPr>
        <w:t xml:space="preserve">manganês </w:t>
      </w:r>
      <w:r>
        <w:t xml:space="preserve">foi de </w:t>
      </w:r>
      <w:r>
        <w:rPr>
          <w:spacing w:val="1"/>
        </w:rPr>
        <w:t xml:space="preserve">16,56 </w:t>
      </w:r>
      <w:r>
        <w:rPr>
          <w:spacing w:val="2"/>
        </w:rPr>
        <w:t xml:space="preserve">µg/g, </w:t>
      </w:r>
      <w:r>
        <w:rPr>
          <w:spacing w:val="8"/>
        </w:rPr>
        <w:t xml:space="preserve">cerca </w:t>
      </w:r>
      <w:r>
        <w:rPr>
          <w:spacing w:val="5"/>
        </w:rPr>
        <w:t xml:space="preserve">de 16 </w:t>
      </w:r>
      <w:r>
        <w:rPr>
          <w:spacing w:val="8"/>
        </w:rPr>
        <w:t xml:space="preserve">vezes mais </w:t>
      </w:r>
      <w:r>
        <w:rPr>
          <w:spacing w:val="10"/>
        </w:rPr>
        <w:t xml:space="preserve">elevado </w:t>
      </w:r>
      <w:r>
        <w:rPr>
          <w:spacing w:val="5"/>
        </w:rPr>
        <w:t xml:space="preserve">do </w:t>
      </w:r>
      <w:r>
        <w:rPr>
          <w:spacing w:val="7"/>
        </w:rPr>
        <w:t xml:space="preserve">que </w:t>
      </w:r>
      <w:r>
        <w:rPr>
          <w:spacing w:val="5"/>
        </w:rPr>
        <w:t xml:space="preserve">os </w:t>
      </w:r>
      <w:r>
        <w:rPr>
          <w:spacing w:val="11"/>
        </w:rPr>
        <w:t xml:space="preserve">valores </w:t>
      </w:r>
      <w:r>
        <w:rPr>
          <w:spacing w:val="3"/>
        </w:rPr>
        <w:t xml:space="preserve">encontrados </w:t>
      </w:r>
      <w:r>
        <w:rPr>
          <w:spacing w:val="1"/>
        </w:rPr>
        <w:t xml:space="preserve">na </w:t>
      </w:r>
      <w:r>
        <w:rPr>
          <w:spacing w:val="3"/>
        </w:rPr>
        <w:t xml:space="preserve">população brasileira: </w:t>
      </w:r>
      <w:r>
        <w:rPr>
          <w:spacing w:val="2"/>
        </w:rPr>
        <w:t xml:space="preserve">0,15 </w:t>
      </w:r>
      <w:r>
        <w:t xml:space="preserve">a </w:t>
      </w:r>
      <w:r>
        <w:rPr>
          <w:spacing w:val="2"/>
        </w:rPr>
        <w:t xml:space="preserve">1,15 </w:t>
      </w:r>
      <w:r>
        <w:rPr>
          <w:spacing w:val="3"/>
        </w:rPr>
        <w:t xml:space="preserve">µg/g. </w:t>
      </w:r>
      <w:r>
        <w:t xml:space="preserve">O </w:t>
      </w:r>
      <w:r>
        <w:rPr>
          <w:spacing w:val="5"/>
        </w:rPr>
        <w:t xml:space="preserve">metal, </w:t>
      </w:r>
      <w:r>
        <w:rPr>
          <w:spacing w:val="6"/>
        </w:rPr>
        <w:t xml:space="preserve">elemento essencial </w:t>
      </w:r>
      <w:r>
        <w:rPr>
          <w:spacing w:val="3"/>
        </w:rPr>
        <w:t xml:space="preserve">em </w:t>
      </w:r>
      <w:r>
        <w:rPr>
          <w:spacing w:val="5"/>
        </w:rPr>
        <w:t xml:space="preserve">baixas </w:t>
      </w:r>
      <w:r>
        <w:rPr>
          <w:spacing w:val="6"/>
        </w:rPr>
        <w:t xml:space="preserve">concentrações, </w:t>
      </w:r>
      <w:r>
        <w:t xml:space="preserve">é </w:t>
      </w:r>
      <w:r>
        <w:rPr>
          <w:spacing w:val="8"/>
        </w:rPr>
        <w:t xml:space="preserve">considerado </w:t>
      </w:r>
      <w:r>
        <w:rPr>
          <w:spacing w:val="5"/>
        </w:rPr>
        <w:t xml:space="preserve">um </w:t>
      </w:r>
      <w:r>
        <w:rPr>
          <w:spacing w:val="7"/>
        </w:rPr>
        <w:t xml:space="preserve">agente </w:t>
      </w:r>
      <w:r>
        <w:rPr>
          <w:spacing w:val="8"/>
        </w:rPr>
        <w:t xml:space="preserve">neurotóxico </w:t>
      </w:r>
      <w:r>
        <w:rPr>
          <w:spacing w:val="7"/>
        </w:rPr>
        <w:t xml:space="preserve">quando </w:t>
      </w:r>
      <w:r>
        <w:rPr>
          <w:spacing w:val="5"/>
        </w:rPr>
        <w:t xml:space="preserve">em </w:t>
      </w:r>
      <w:r>
        <w:rPr>
          <w:spacing w:val="10"/>
        </w:rPr>
        <w:t xml:space="preserve">altas </w:t>
      </w:r>
      <w:r>
        <w:rPr>
          <w:spacing w:val="5"/>
        </w:rPr>
        <w:t>conc</w:t>
      </w:r>
      <w:r>
        <w:rPr>
          <w:spacing w:val="5"/>
        </w:rPr>
        <w:t xml:space="preserve">entrações (CARNEIRO </w:t>
      </w:r>
      <w:r>
        <w:rPr>
          <w:spacing w:val="2"/>
        </w:rPr>
        <w:t xml:space="preserve">et </w:t>
      </w:r>
      <w:r>
        <w:rPr>
          <w:spacing w:val="3"/>
        </w:rPr>
        <w:t xml:space="preserve">al, </w:t>
      </w:r>
      <w:r>
        <w:rPr>
          <w:spacing w:val="5"/>
        </w:rPr>
        <w:t xml:space="preserve">2002 apud </w:t>
      </w:r>
      <w:r>
        <w:rPr>
          <w:spacing w:val="6"/>
        </w:rPr>
        <w:t xml:space="preserve">MENEZES </w:t>
      </w:r>
      <w:r>
        <w:rPr>
          <w:spacing w:val="5"/>
        </w:rPr>
        <w:t xml:space="preserve">FILHO, </w:t>
      </w:r>
      <w:r>
        <w:rPr>
          <w:spacing w:val="6"/>
        </w:rPr>
        <w:t>2009).</w:t>
      </w:r>
    </w:p>
    <w:p w:rsidR="00D81F69" w:rsidRDefault="00330118">
      <w:pPr>
        <w:pStyle w:val="Corpodetexto"/>
        <w:spacing w:before="86" w:line="270" w:lineRule="atLeast"/>
        <w:ind w:right="195"/>
      </w:pPr>
      <w:r>
        <w:t xml:space="preserve">Em 2005, a Vale anunciou que a RDM seria transformada no primeiro Parque Ecoindustrial do Brasil. De acordo com a empresa, a nova instalação da RDM iria compreender um moderno sistema de processamento do manganês que permitiria a aglomeração de partículas </w:t>
      </w:r>
      <w:r>
        <w:t>do minério, facilitando seu processamento. Segundo a RDM, o projeto possibilitaria uma operação mais eficiente da planta e eliminaria o pó que ficava em suspensão provocado pelo processo usado até então, e que seria desativado (BOM NEGÓCIO.COM, 2005).</w:t>
      </w:r>
    </w:p>
    <w:p w:rsidR="00D81F69" w:rsidRDefault="00D81F69">
      <w:pPr>
        <w:spacing w:line="270" w:lineRule="atLeast"/>
        <w:sectPr w:rsidR="00D81F69">
          <w:type w:val="continuous"/>
          <w:pgSz w:w="11900" w:h="16840"/>
          <w:pgMar w:top="720" w:right="500" w:bottom="280" w:left="620" w:header="720" w:footer="720" w:gutter="0"/>
          <w:cols w:num="2" w:space="720" w:equalWidth="0">
            <w:col w:w="5193" w:space="277"/>
            <w:col w:w="5310"/>
          </w:cols>
        </w:sectPr>
      </w:pPr>
    </w:p>
    <w:p w:rsidR="00D81F69" w:rsidRDefault="00D81F69">
      <w:pPr>
        <w:pStyle w:val="Corpodetexto"/>
        <w:spacing w:before="5"/>
        <w:ind w:left="0"/>
        <w:jc w:val="left"/>
        <w:rPr>
          <w:sz w:val="24"/>
        </w:rPr>
      </w:pPr>
    </w:p>
    <w:p w:rsidR="00D81F69" w:rsidRDefault="00330118">
      <w:pPr>
        <w:pStyle w:val="Corpodetexto"/>
        <w:spacing w:line="312" w:lineRule="auto"/>
        <w:ind w:right="46"/>
      </w:pPr>
      <w:r>
        <w:t xml:space="preserve">Mesmo com os investimentos realizados pela Vale, visando à implantação de um sistema de processamento menos poluente e mais produtivo na RDM (BRASIL MINERAL, 2005; BOM.NEGOCIO.COM, 2005), outro estudo, realizado, em 2007/2008, </w:t>
      </w:r>
      <w:r>
        <w:t>pelo professor José Antonio Menezes Filho, da Universidade Federal da Bahia (UFBA), para sua tese de doutorado, defendida em 2009, também constatou que a população de Cotegipe apresentava altos níveis de manganês no organismo (MENEZES FILHO, 2009).</w:t>
      </w:r>
    </w:p>
    <w:p w:rsidR="00D81F69" w:rsidRDefault="00330118">
      <w:pPr>
        <w:pStyle w:val="Corpodetexto"/>
        <w:spacing w:before="138" w:line="312" w:lineRule="auto"/>
        <w:ind w:right="58"/>
      </w:pPr>
      <w:r>
        <w:t>De acordo com o estudo, as concentrações de manganês chegam a ser 100 vezes maior do que o valor de referência desse metal na população brasileira, assim como dos níveis medidos em crianças do grupo de controle, da mesma faixa etária, etnia e nível socioec</w:t>
      </w:r>
      <w:r>
        <w:t>onômico, residentes em Areia Branca, município de Lauro de Freitas (BA) (MENEZES FILHO, 2009).</w:t>
      </w:r>
    </w:p>
    <w:p w:rsidR="00D81F69" w:rsidRDefault="00330118">
      <w:pPr>
        <w:pStyle w:val="Corpodetexto"/>
        <w:spacing w:before="137" w:line="312" w:lineRule="auto"/>
        <w:ind w:right="42"/>
      </w:pPr>
      <w:r>
        <w:t>O professor associa os níveis elevados de manganês ao déficit cognitivo das crianças da região. Além disso, afirma ter detectado efeito similar no desempenho das</w:t>
      </w:r>
      <w:r>
        <w:t xml:space="preserve"> mães das crianças, em um teste de inteligência, independentemente da sua escolaridade, idade e renda familiar. Em seu levantamento, ficou constatado que a contaminação era proveniente dos fornos da RDM (MENEZES FILHO, 2009).</w:t>
      </w:r>
    </w:p>
    <w:p w:rsidR="00D81F69" w:rsidRDefault="00D81F69">
      <w:pPr>
        <w:pStyle w:val="Corpodetexto"/>
        <w:spacing w:before="6"/>
        <w:ind w:left="0"/>
        <w:jc w:val="left"/>
        <w:rPr>
          <w:sz w:val="21"/>
        </w:rPr>
      </w:pPr>
    </w:p>
    <w:p w:rsidR="00D81F69" w:rsidRDefault="00330118">
      <w:pPr>
        <w:pStyle w:val="Heading7"/>
        <w:jc w:val="left"/>
      </w:pPr>
      <w:r>
        <w:t>LOCALIZAÇÃO GEOGRÁFICA</w:t>
      </w:r>
    </w:p>
    <w:p w:rsidR="00D81F69" w:rsidRDefault="00330118">
      <w:pPr>
        <w:pStyle w:val="Corpodetexto"/>
        <w:spacing w:before="179" w:line="312" w:lineRule="auto"/>
        <w:ind w:right="58"/>
      </w:pPr>
      <w:r>
        <w:t>O muni</w:t>
      </w:r>
      <w:r>
        <w:t>cípio de Simões Filho situa-se na latitude 12°47'8''S e 38°24'20''W e está inserido na região metropolitana de Salvador.</w:t>
      </w:r>
    </w:p>
    <w:p w:rsidR="00D81F69" w:rsidRDefault="00D81F69">
      <w:pPr>
        <w:pStyle w:val="Corpodetexto"/>
        <w:ind w:left="0"/>
        <w:jc w:val="left"/>
        <w:rPr>
          <w:sz w:val="29"/>
        </w:rPr>
      </w:pPr>
    </w:p>
    <w:p w:rsidR="00D81F69" w:rsidRDefault="00330118">
      <w:pPr>
        <w:pStyle w:val="Heading7"/>
        <w:jc w:val="left"/>
      </w:pPr>
      <w:r>
        <w:t>REDATORES</w:t>
      </w:r>
    </w:p>
    <w:p w:rsidR="00D81F69" w:rsidRDefault="00330118">
      <w:pPr>
        <w:pStyle w:val="Corpodetexto"/>
        <w:spacing w:before="179"/>
        <w:jc w:val="left"/>
      </w:pPr>
      <w:r>
        <w:t>Renata Olivieri; Eliane Araujo</w:t>
      </w:r>
    </w:p>
    <w:p w:rsidR="00D81F69" w:rsidRDefault="00D81F69">
      <w:pPr>
        <w:pStyle w:val="Corpodetexto"/>
        <w:ind w:left="0"/>
        <w:jc w:val="left"/>
        <w:rPr>
          <w:sz w:val="20"/>
        </w:rPr>
      </w:pPr>
    </w:p>
    <w:p w:rsidR="00D81F69" w:rsidRDefault="00330118">
      <w:pPr>
        <w:pStyle w:val="Heading7"/>
        <w:spacing w:before="164"/>
        <w:jc w:val="left"/>
      </w:pPr>
      <w:r>
        <w:t>REFERÊNCIAS BIBLIOGRÁFICAS</w:t>
      </w:r>
    </w:p>
    <w:p w:rsidR="00D81F69" w:rsidRDefault="00330118">
      <w:pPr>
        <w:spacing w:before="188" w:line="312" w:lineRule="auto"/>
        <w:ind w:left="100" w:right="38"/>
        <w:jc w:val="both"/>
        <w:rPr>
          <w:sz w:val="16"/>
        </w:rPr>
      </w:pPr>
      <w:r>
        <w:rPr>
          <w:sz w:val="16"/>
        </w:rPr>
        <w:t>BOM.NEGÓCIO.COM. Primeiro Parque Ecoindustrial do país funcionará  em  Simões  Filho,  14  set.  2005.  Disponível  em:</w:t>
      </w:r>
    </w:p>
    <w:p w:rsidR="00D81F69" w:rsidRDefault="00D81F69">
      <w:pPr>
        <w:spacing w:before="1"/>
        <w:ind w:left="100"/>
        <w:jc w:val="both"/>
        <w:rPr>
          <w:sz w:val="16"/>
        </w:rPr>
      </w:pPr>
      <w:hyperlink r:id="rId657">
        <w:r w:rsidR="00330118">
          <w:rPr>
            <w:sz w:val="16"/>
          </w:rPr>
          <w:t>&lt;http://www.jornaldamidia.com.br/noticias/2005/09/14</w:t>
        </w:r>
        <w:r w:rsidR="00330118">
          <w:rPr>
            <w:sz w:val="16"/>
          </w:rPr>
          <w:t>/Bahia_Nacional</w:t>
        </w:r>
      </w:hyperlink>
    </w:p>
    <w:p w:rsidR="00D81F69" w:rsidRDefault="00330118">
      <w:pPr>
        <w:spacing w:before="56"/>
        <w:ind w:left="100"/>
        <w:jc w:val="both"/>
        <w:rPr>
          <w:sz w:val="16"/>
        </w:rPr>
      </w:pPr>
      <w:r>
        <w:rPr>
          <w:sz w:val="16"/>
        </w:rPr>
        <w:t>/Primeiro_Parque_Ecoindustrial_do_.shtml&gt;.</w:t>
      </w:r>
    </w:p>
    <w:p w:rsidR="00D81F69" w:rsidRDefault="00330118">
      <w:pPr>
        <w:spacing w:before="70"/>
        <w:ind w:left="100"/>
        <w:jc w:val="both"/>
        <w:rPr>
          <w:sz w:val="16"/>
        </w:rPr>
      </w:pPr>
      <w:r>
        <w:br w:type="column"/>
      </w:r>
      <w:r>
        <w:rPr>
          <w:sz w:val="16"/>
        </w:rPr>
        <w:lastRenderedPageBreak/>
        <w:t>Acesso em: 14 dez. 2011.</w:t>
      </w:r>
    </w:p>
    <w:p w:rsidR="00D81F69" w:rsidRDefault="00330118">
      <w:pPr>
        <w:spacing w:before="56"/>
        <w:ind w:left="100"/>
        <w:jc w:val="both"/>
        <w:rPr>
          <w:sz w:val="16"/>
        </w:rPr>
      </w:pPr>
      <w:r>
        <w:rPr>
          <w:sz w:val="16"/>
        </w:rPr>
        <w:t xml:space="preserve">BRASIL INFOMINE. Mina do Azul, 2004. Disponível em: </w:t>
      </w:r>
    </w:p>
    <w:p w:rsidR="00D81F69" w:rsidRDefault="00D81F69">
      <w:pPr>
        <w:spacing w:before="56" w:line="312" w:lineRule="auto"/>
        <w:ind w:left="100" w:right="199"/>
        <w:jc w:val="both"/>
        <w:rPr>
          <w:sz w:val="16"/>
        </w:rPr>
      </w:pPr>
      <w:hyperlink r:id="rId658">
        <w:r w:rsidR="00330118">
          <w:rPr>
            <w:sz w:val="16"/>
          </w:rPr>
          <w:t>&lt;http://brasil.infomine.com/propert</w:t>
        </w:r>
        <w:r w:rsidR="00330118">
          <w:rPr>
            <w:sz w:val="16"/>
          </w:rPr>
          <w:t>ies/listings/24505/MINA_DO_AZUL.</w:t>
        </w:r>
      </w:hyperlink>
      <w:r w:rsidR="00330118">
        <w:rPr>
          <w:sz w:val="16"/>
        </w:rPr>
        <w:t xml:space="preserve"> html&gt;. Acesso em: 14 dez. 2011.</w:t>
      </w:r>
    </w:p>
    <w:p w:rsidR="00D81F69" w:rsidRDefault="00330118">
      <w:pPr>
        <w:tabs>
          <w:tab w:val="left" w:pos="4331"/>
        </w:tabs>
        <w:spacing w:before="1" w:line="312" w:lineRule="auto"/>
        <w:ind w:left="100" w:right="199"/>
        <w:jc w:val="both"/>
        <w:rPr>
          <w:sz w:val="16"/>
        </w:rPr>
      </w:pPr>
      <w:r>
        <w:rPr>
          <w:spacing w:val="5"/>
          <w:sz w:val="16"/>
        </w:rPr>
        <w:t xml:space="preserve">BRASIL MINERAL. Mineração. </w:t>
      </w:r>
      <w:r>
        <w:rPr>
          <w:spacing w:val="3"/>
          <w:sz w:val="16"/>
        </w:rPr>
        <w:t xml:space="preserve">Vale </w:t>
      </w:r>
      <w:r>
        <w:rPr>
          <w:spacing w:val="5"/>
          <w:sz w:val="16"/>
        </w:rPr>
        <w:t xml:space="preserve">investe </w:t>
      </w:r>
      <w:r>
        <w:rPr>
          <w:spacing w:val="2"/>
          <w:sz w:val="16"/>
        </w:rPr>
        <w:t xml:space="preserve">R$ 45 </w:t>
      </w:r>
      <w:r>
        <w:rPr>
          <w:spacing w:val="5"/>
          <w:sz w:val="16"/>
        </w:rPr>
        <w:t xml:space="preserve">milhões na </w:t>
      </w:r>
      <w:r>
        <w:rPr>
          <w:sz w:val="16"/>
        </w:rPr>
        <w:t xml:space="preserve">modernização da RDM. In: Brasil Mineral Online, n. 223, 15 set. 2005.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line="312" w:lineRule="auto"/>
        <w:ind w:left="100" w:right="192"/>
        <w:jc w:val="both"/>
        <w:rPr>
          <w:sz w:val="16"/>
        </w:rPr>
      </w:pPr>
      <w:hyperlink r:id="rId659">
        <w:r w:rsidR="00330118">
          <w:rPr>
            <w:sz w:val="16"/>
          </w:rPr>
          <w:t>&lt;http://www.brasilmineral.com.br/BM/default.asp?numero=223&gt;.</w:t>
        </w:r>
      </w:hyperlink>
      <w:r w:rsidR="00330118">
        <w:rPr>
          <w:sz w:val="16"/>
        </w:rPr>
        <w:t xml:space="preserve"> Acesso em: 15 dez. 2011.</w:t>
      </w:r>
    </w:p>
    <w:p w:rsidR="00D81F69" w:rsidRDefault="00330118">
      <w:pPr>
        <w:tabs>
          <w:tab w:val="left" w:pos="2559"/>
          <w:tab w:val="left" w:pos="5063"/>
        </w:tabs>
        <w:spacing w:before="1" w:line="312" w:lineRule="auto"/>
        <w:ind w:left="100" w:right="200"/>
        <w:jc w:val="both"/>
        <w:rPr>
          <w:sz w:val="16"/>
        </w:rPr>
      </w:pPr>
      <w:r>
        <w:rPr>
          <w:spacing w:val="7"/>
          <w:sz w:val="16"/>
        </w:rPr>
        <w:t xml:space="preserve">FONSECA, Adilson. Cidades. População descobre jazida </w:t>
      </w:r>
      <w:r>
        <w:rPr>
          <w:spacing w:val="10"/>
          <w:sz w:val="16"/>
        </w:rPr>
        <w:t xml:space="preserve">de </w:t>
      </w:r>
      <w:r>
        <w:rPr>
          <w:sz w:val="16"/>
        </w:rPr>
        <w:t>manganês em Simões Filho. A Tarde on</w:t>
      </w:r>
      <w:r>
        <w:rPr>
          <w:sz w:val="16"/>
        </w:rPr>
        <w:t>line, 03 jun. 2008. Disponível e</w:t>
      </w:r>
      <w:r>
        <w:rPr>
          <w:sz w:val="16"/>
        </w:rPr>
        <w:tab/>
        <w:t>m</w:t>
      </w:r>
      <w:r>
        <w:rPr>
          <w:sz w:val="16"/>
        </w:rPr>
        <w:tab/>
        <w:t>:</w:t>
      </w:r>
    </w:p>
    <w:p w:rsidR="00D81F69" w:rsidRDefault="00D81F69">
      <w:pPr>
        <w:spacing w:before="3" w:line="312" w:lineRule="auto"/>
        <w:ind w:left="100" w:right="197"/>
        <w:jc w:val="both"/>
        <w:rPr>
          <w:sz w:val="16"/>
        </w:rPr>
      </w:pPr>
      <w:hyperlink r:id="rId660">
        <w:r w:rsidR="00330118">
          <w:rPr>
            <w:sz w:val="16"/>
          </w:rPr>
          <w:t>&lt;http://www.atarde.com.br/cidades/noticia.jsf?id=895252&amp;t=Populaca</w:t>
        </w:r>
      </w:hyperlink>
      <w:r w:rsidR="00330118">
        <w:rPr>
          <w:sz w:val="16"/>
        </w:rPr>
        <w:t xml:space="preserve"> o+descobre+jazida+de+manganes+em+Simoes+Filho&gt;. Acesso em: 14 dez</w:t>
      </w:r>
      <w:r w:rsidR="00330118">
        <w:rPr>
          <w:sz w:val="16"/>
        </w:rPr>
        <w:t>. 2011.</w:t>
      </w:r>
    </w:p>
    <w:p w:rsidR="00D81F69" w:rsidRDefault="00330118">
      <w:pPr>
        <w:spacing w:before="2" w:line="312" w:lineRule="auto"/>
        <w:ind w:left="100" w:right="166"/>
        <w:jc w:val="both"/>
        <w:rPr>
          <w:sz w:val="16"/>
        </w:rPr>
      </w:pPr>
      <w:r>
        <w:rPr>
          <w:spacing w:val="1"/>
          <w:sz w:val="16"/>
        </w:rPr>
        <w:t xml:space="preserve">IBGE, Instituto Brasileiro </w:t>
      </w:r>
      <w:r>
        <w:rPr>
          <w:sz w:val="16"/>
        </w:rPr>
        <w:t xml:space="preserve">de </w:t>
      </w:r>
      <w:r>
        <w:rPr>
          <w:spacing w:val="1"/>
          <w:sz w:val="16"/>
        </w:rPr>
        <w:t xml:space="preserve">Geografia </w:t>
      </w:r>
      <w:r>
        <w:rPr>
          <w:sz w:val="16"/>
        </w:rPr>
        <w:t xml:space="preserve">e </w:t>
      </w:r>
      <w:r>
        <w:rPr>
          <w:spacing w:val="1"/>
          <w:sz w:val="16"/>
        </w:rPr>
        <w:t xml:space="preserve">Estatística. Simões </w:t>
      </w:r>
      <w:r>
        <w:rPr>
          <w:spacing w:val="2"/>
          <w:sz w:val="16"/>
        </w:rPr>
        <w:t xml:space="preserve">Filho </w:t>
      </w:r>
      <w:r>
        <w:rPr>
          <w:spacing w:val="23"/>
          <w:sz w:val="16"/>
        </w:rPr>
        <w:t xml:space="preserve">(BA). </w:t>
      </w:r>
      <w:r>
        <w:rPr>
          <w:spacing w:val="20"/>
          <w:sz w:val="16"/>
        </w:rPr>
        <w:t xml:space="preserve">In: </w:t>
      </w:r>
      <w:r>
        <w:rPr>
          <w:spacing w:val="21"/>
          <w:sz w:val="16"/>
        </w:rPr>
        <w:t xml:space="preserve">IBGE </w:t>
      </w:r>
      <w:r>
        <w:rPr>
          <w:spacing w:val="25"/>
          <w:sz w:val="16"/>
        </w:rPr>
        <w:t>Cidades,</w:t>
      </w:r>
      <w:r>
        <w:rPr>
          <w:spacing w:val="95"/>
          <w:sz w:val="16"/>
        </w:rPr>
        <w:t xml:space="preserve"> </w:t>
      </w:r>
      <w:r>
        <w:rPr>
          <w:spacing w:val="23"/>
          <w:sz w:val="16"/>
        </w:rPr>
        <w:t xml:space="preserve">2010. </w:t>
      </w:r>
      <w:r>
        <w:rPr>
          <w:spacing w:val="26"/>
          <w:sz w:val="16"/>
        </w:rPr>
        <w:t>Disponível</w:t>
      </w:r>
      <w:r>
        <w:rPr>
          <w:spacing w:val="25"/>
          <w:sz w:val="16"/>
        </w:rPr>
        <w:t xml:space="preserve"> </w:t>
      </w:r>
      <w:r>
        <w:rPr>
          <w:spacing w:val="20"/>
          <w:sz w:val="16"/>
        </w:rPr>
        <w:t>em:</w:t>
      </w:r>
      <w:r>
        <w:rPr>
          <w:spacing w:val="-14"/>
          <w:sz w:val="16"/>
        </w:rPr>
        <w:t xml:space="preserve"> </w:t>
      </w:r>
    </w:p>
    <w:p w:rsidR="00D81F69" w:rsidRDefault="00D81F69">
      <w:pPr>
        <w:spacing w:before="2"/>
        <w:ind w:left="100"/>
        <w:jc w:val="both"/>
        <w:rPr>
          <w:sz w:val="16"/>
        </w:rPr>
      </w:pPr>
      <w:hyperlink r:id="rId661">
        <w:r w:rsidR="00330118">
          <w:rPr>
            <w:sz w:val="16"/>
          </w:rPr>
          <w:t>&lt;</w:t>
        </w:r>
        <w:r w:rsidR="00330118">
          <w:rPr>
            <w:sz w:val="16"/>
          </w:rPr>
          <w:t>http://www.ibge.gov.br/cidadesat/xtras/perfil.php?codmun=293070&amp;r</w:t>
        </w:r>
      </w:hyperlink>
    </w:p>
    <w:p w:rsidR="00D81F69" w:rsidRDefault="00330118">
      <w:pPr>
        <w:spacing w:before="56"/>
        <w:ind w:left="100"/>
        <w:jc w:val="both"/>
        <w:rPr>
          <w:sz w:val="16"/>
        </w:rPr>
      </w:pPr>
      <w:r>
        <w:rPr>
          <w:sz w:val="16"/>
        </w:rPr>
        <w:t>=2&gt;. Acesso em: 15 dez. 2011.</w:t>
      </w:r>
    </w:p>
    <w:p w:rsidR="00D81F69" w:rsidRDefault="00330118">
      <w:pPr>
        <w:spacing w:before="56" w:line="312" w:lineRule="auto"/>
        <w:ind w:left="100" w:right="171"/>
        <w:jc w:val="both"/>
        <w:rPr>
          <w:sz w:val="16"/>
        </w:rPr>
      </w:pPr>
      <w:r>
        <w:rPr>
          <w:spacing w:val="1"/>
          <w:sz w:val="16"/>
        </w:rPr>
        <w:t xml:space="preserve">MENEZES FILHO, José Antônio. Níveis elevados </w:t>
      </w:r>
      <w:r>
        <w:rPr>
          <w:sz w:val="16"/>
        </w:rPr>
        <w:t xml:space="preserve">de </w:t>
      </w:r>
      <w:r>
        <w:rPr>
          <w:spacing w:val="1"/>
          <w:sz w:val="16"/>
        </w:rPr>
        <w:t xml:space="preserve">manganês </w:t>
      </w:r>
      <w:r>
        <w:rPr>
          <w:sz w:val="16"/>
        </w:rPr>
        <w:t xml:space="preserve">e déficit cognitivo em crianças residentes nas proximidades de </w:t>
      </w:r>
      <w:r>
        <w:rPr>
          <w:spacing w:val="1"/>
          <w:sz w:val="16"/>
        </w:rPr>
        <w:t xml:space="preserve">uma </w:t>
      </w:r>
      <w:r>
        <w:rPr>
          <w:sz w:val="16"/>
        </w:rPr>
        <w:t>metalúrgica ferro-manganês na Região</w:t>
      </w:r>
      <w:r>
        <w:rPr>
          <w:sz w:val="16"/>
        </w:rPr>
        <w:t xml:space="preserve"> Metropolitana de Salvador, Bahia. Tese (Doutorado em Saúde Pública e Meio Ambiente). 148 f. 2009. Tese (Doutorado) – Escola Nacional de Saúde Pública Sergio </w:t>
      </w:r>
      <w:r>
        <w:rPr>
          <w:spacing w:val="25"/>
          <w:sz w:val="16"/>
        </w:rPr>
        <w:t xml:space="preserve">Arouca, </w:t>
      </w:r>
      <w:r>
        <w:rPr>
          <w:spacing w:val="20"/>
          <w:sz w:val="16"/>
        </w:rPr>
        <w:t xml:space="preserve">Rio </w:t>
      </w:r>
      <w:r>
        <w:rPr>
          <w:spacing w:val="15"/>
          <w:sz w:val="16"/>
        </w:rPr>
        <w:t xml:space="preserve">de </w:t>
      </w:r>
      <w:r>
        <w:rPr>
          <w:spacing w:val="25"/>
          <w:sz w:val="16"/>
        </w:rPr>
        <w:t>Janeiro,</w:t>
      </w:r>
      <w:r>
        <w:rPr>
          <w:spacing w:val="95"/>
          <w:sz w:val="16"/>
        </w:rPr>
        <w:t xml:space="preserve"> </w:t>
      </w:r>
      <w:r>
        <w:rPr>
          <w:spacing w:val="23"/>
          <w:sz w:val="16"/>
        </w:rPr>
        <w:t xml:space="preserve">2009. </w:t>
      </w:r>
      <w:r>
        <w:rPr>
          <w:spacing w:val="26"/>
          <w:sz w:val="16"/>
        </w:rPr>
        <w:t>Disponível</w:t>
      </w:r>
      <w:r>
        <w:rPr>
          <w:spacing w:val="25"/>
          <w:sz w:val="16"/>
        </w:rPr>
        <w:t xml:space="preserve"> </w:t>
      </w:r>
      <w:r>
        <w:rPr>
          <w:spacing w:val="20"/>
          <w:sz w:val="16"/>
        </w:rPr>
        <w:t>em:</w:t>
      </w:r>
      <w:r>
        <w:rPr>
          <w:spacing w:val="-14"/>
          <w:sz w:val="16"/>
        </w:rPr>
        <w:t xml:space="preserve"> </w:t>
      </w:r>
    </w:p>
    <w:p w:rsidR="00D81F69" w:rsidRDefault="00D81F69">
      <w:pPr>
        <w:spacing w:before="5" w:line="312" w:lineRule="auto"/>
        <w:ind w:left="100" w:right="216"/>
        <w:jc w:val="both"/>
        <w:rPr>
          <w:sz w:val="16"/>
        </w:rPr>
      </w:pPr>
      <w:hyperlink r:id="rId662">
        <w:r w:rsidR="00330118">
          <w:rPr>
            <w:sz w:val="16"/>
          </w:rPr>
          <w:t>&lt;http://bvssp.icict.fiocruz.br/pdf/25498_TESE_AMenezes_Versao_Fin</w:t>
        </w:r>
      </w:hyperlink>
      <w:r w:rsidR="00330118">
        <w:rPr>
          <w:sz w:val="16"/>
        </w:rPr>
        <w:t xml:space="preserve"> al.pdf&gt;. Acesso em: 15 dez. 2011.</w:t>
      </w:r>
    </w:p>
    <w:p w:rsidR="00D81F69" w:rsidRDefault="00330118">
      <w:pPr>
        <w:tabs>
          <w:tab w:val="left" w:pos="4331"/>
        </w:tabs>
        <w:spacing w:before="2" w:line="312" w:lineRule="auto"/>
        <w:ind w:left="100" w:right="192"/>
        <w:jc w:val="both"/>
        <w:rPr>
          <w:sz w:val="16"/>
        </w:rPr>
      </w:pPr>
      <w:r>
        <w:rPr>
          <w:sz w:val="16"/>
        </w:rPr>
        <w:t>SOARES FILHO, Albano. Racionalização do Uso da Água Potável e Reuso de Efluentes Líquidos em Plantas Siderúrgicas de Ferro Lig</w:t>
      </w:r>
      <w:r>
        <w:rPr>
          <w:sz w:val="16"/>
        </w:rPr>
        <w:t xml:space="preserve">as: O </w:t>
      </w:r>
      <w:r>
        <w:rPr>
          <w:spacing w:val="6"/>
          <w:sz w:val="16"/>
        </w:rPr>
        <w:t xml:space="preserve">Caso </w:t>
      </w:r>
      <w:r>
        <w:rPr>
          <w:spacing w:val="5"/>
          <w:sz w:val="16"/>
        </w:rPr>
        <w:t xml:space="preserve">da Rio </w:t>
      </w:r>
      <w:r>
        <w:rPr>
          <w:spacing w:val="6"/>
          <w:sz w:val="16"/>
        </w:rPr>
        <w:t xml:space="preserve">Doce </w:t>
      </w:r>
      <w:r>
        <w:rPr>
          <w:spacing w:val="7"/>
          <w:sz w:val="16"/>
        </w:rPr>
        <w:t xml:space="preserve">Manganês. </w:t>
      </w:r>
      <w:r>
        <w:rPr>
          <w:spacing w:val="8"/>
          <w:sz w:val="16"/>
        </w:rPr>
        <w:t xml:space="preserve">Dissertação </w:t>
      </w:r>
      <w:r>
        <w:rPr>
          <w:spacing w:val="7"/>
          <w:sz w:val="16"/>
        </w:rPr>
        <w:t xml:space="preserve">(Mestrado </w:t>
      </w:r>
      <w:r>
        <w:rPr>
          <w:spacing w:val="10"/>
          <w:sz w:val="16"/>
        </w:rPr>
        <w:t xml:space="preserve">em </w:t>
      </w:r>
      <w:r>
        <w:rPr>
          <w:sz w:val="16"/>
        </w:rPr>
        <w:t xml:space="preserve">Gerenciamento e Tecnologia Ambiental no Processo Produtivo) 2008. </w:t>
      </w:r>
      <w:r>
        <w:rPr>
          <w:spacing w:val="3"/>
          <w:sz w:val="16"/>
        </w:rPr>
        <w:t xml:space="preserve">136f. Universidade Federal </w:t>
      </w:r>
      <w:r>
        <w:rPr>
          <w:spacing w:val="1"/>
          <w:sz w:val="16"/>
        </w:rPr>
        <w:t xml:space="preserve">da  </w:t>
      </w:r>
      <w:r>
        <w:rPr>
          <w:spacing w:val="3"/>
          <w:sz w:val="16"/>
        </w:rPr>
        <w:t xml:space="preserve">Bahia, Escola Politécnica, </w:t>
      </w:r>
      <w:r>
        <w:rPr>
          <w:spacing w:val="5"/>
          <w:sz w:val="16"/>
        </w:rPr>
        <w:t xml:space="preserve">2008.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4" w:line="312" w:lineRule="auto"/>
        <w:ind w:left="100" w:right="216"/>
        <w:jc w:val="both"/>
        <w:rPr>
          <w:sz w:val="16"/>
        </w:rPr>
      </w:pPr>
      <w:hyperlink r:id="rId663">
        <w:r w:rsidR="00330118">
          <w:rPr>
            <w:sz w:val="16"/>
          </w:rPr>
          <w:t>&lt;http://www.teclim.ufba.br/site/material_online/dissertacoes/dis_alban</w:t>
        </w:r>
      </w:hyperlink>
      <w:r w:rsidR="00330118">
        <w:rPr>
          <w:sz w:val="16"/>
        </w:rPr>
        <w:t xml:space="preserve"> o_soares.pdf&gt;. Acesso em: 15 dez. 2011.</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60" w:space="310"/>
            <w:col w:w="5310"/>
          </w:cols>
        </w:sectPr>
      </w:pPr>
    </w:p>
    <w:p w:rsidR="00D81F69" w:rsidRDefault="00330118">
      <w:pPr>
        <w:pStyle w:val="Heading1"/>
        <w:spacing w:line="208" w:lineRule="auto"/>
      </w:pPr>
      <w:r>
        <w:rPr>
          <w:spacing w:val="12"/>
        </w:rPr>
        <w:lastRenderedPageBreak/>
        <w:t xml:space="preserve">Extração </w:t>
      </w:r>
      <w:r>
        <w:rPr>
          <w:spacing w:val="6"/>
        </w:rPr>
        <w:t xml:space="preserve">de </w:t>
      </w:r>
      <w:r>
        <w:rPr>
          <w:spacing w:val="10"/>
        </w:rPr>
        <w:t xml:space="preserve">ouro </w:t>
      </w:r>
      <w:r>
        <w:t xml:space="preserve">e </w:t>
      </w:r>
      <w:r>
        <w:rPr>
          <w:spacing w:val="11"/>
        </w:rPr>
        <w:t xml:space="preserve">rochas </w:t>
      </w:r>
      <w:r>
        <w:rPr>
          <w:spacing w:val="12"/>
        </w:rPr>
        <w:t>or</w:t>
      </w:r>
      <w:r>
        <w:rPr>
          <w:spacing w:val="12"/>
        </w:rPr>
        <w:t xml:space="preserve">namentais </w:t>
      </w:r>
      <w:r>
        <w:rPr>
          <w:spacing w:val="15"/>
        </w:rPr>
        <w:t xml:space="preserve">acarretam </w:t>
      </w:r>
      <w:r>
        <w:rPr>
          <w:spacing w:val="12"/>
        </w:rPr>
        <w:t xml:space="preserve">impactos </w:t>
      </w:r>
      <w:r>
        <w:rPr>
          <w:spacing w:val="13"/>
        </w:rPr>
        <w:t xml:space="preserve">socioambientais </w:t>
      </w:r>
      <w:r>
        <w:rPr>
          <w:spacing w:val="6"/>
        </w:rPr>
        <w:t xml:space="preserve">em </w:t>
      </w:r>
      <w:r>
        <w:rPr>
          <w:spacing w:val="12"/>
        </w:rPr>
        <w:t>Jacobina</w:t>
      </w:r>
      <w:r>
        <w:rPr>
          <w:spacing w:val="116"/>
        </w:rPr>
        <w:t xml:space="preserve"> </w:t>
      </w:r>
      <w:r>
        <w:rPr>
          <w:spacing w:val="15"/>
        </w:rPr>
        <w:t>(BA)</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4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BA - Jacobina</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-11,1855</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-40,5361</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9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O município de Jacobina (BA) tem como </w:t>
      </w:r>
      <w:r>
        <w:rPr>
          <w:i/>
          <w:spacing w:val="5"/>
          <w:sz w:val="16"/>
        </w:rPr>
        <w:t xml:space="preserve">base </w:t>
      </w:r>
      <w:r>
        <w:rPr>
          <w:i/>
          <w:spacing w:val="2"/>
          <w:sz w:val="16"/>
        </w:rPr>
        <w:t xml:space="preserve">de </w:t>
      </w:r>
      <w:r>
        <w:rPr>
          <w:i/>
          <w:spacing w:val="3"/>
          <w:sz w:val="16"/>
        </w:rPr>
        <w:t xml:space="preserve">sua </w:t>
      </w:r>
      <w:r>
        <w:rPr>
          <w:i/>
          <w:spacing w:val="5"/>
          <w:sz w:val="16"/>
        </w:rPr>
        <w:t xml:space="preserve">economia </w:t>
      </w:r>
      <w:r>
        <w:rPr>
          <w:i/>
          <w:sz w:val="16"/>
        </w:rPr>
        <w:t xml:space="preserve">a </w:t>
      </w:r>
      <w:r>
        <w:rPr>
          <w:i/>
          <w:spacing w:val="6"/>
          <w:sz w:val="16"/>
        </w:rPr>
        <w:t xml:space="preserve">mineração, </w:t>
      </w:r>
      <w:r>
        <w:rPr>
          <w:i/>
          <w:spacing w:val="12"/>
          <w:sz w:val="16"/>
        </w:rPr>
        <w:t xml:space="preserve">especialmente </w:t>
      </w:r>
      <w:r>
        <w:rPr>
          <w:i/>
          <w:spacing w:val="6"/>
          <w:sz w:val="16"/>
        </w:rPr>
        <w:t xml:space="preserve">de </w:t>
      </w:r>
      <w:r>
        <w:rPr>
          <w:i/>
          <w:spacing w:val="10"/>
          <w:sz w:val="16"/>
        </w:rPr>
        <w:t xml:space="preserve">ouro </w:t>
      </w:r>
      <w:r>
        <w:rPr>
          <w:i/>
          <w:sz w:val="16"/>
        </w:rPr>
        <w:t xml:space="preserve">e </w:t>
      </w:r>
      <w:r>
        <w:rPr>
          <w:i/>
          <w:spacing w:val="11"/>
          <w:sz w:val="16"/>
        </w:rPr>
        <w:t xml:space="preserve">rochas </w:t>
      </w:r>
      <w:r>
        <w:rPr>
          <w:i/>
          <w:spacing w:val="5"/>
          <w:sz w:val="16"/>
        </w:rPr>
        <w:t xml:space="preserve">ornamentais. </w:t>
      </w:r>
      <w:r>
        <w:rPr>
          <w:i/>
          <w:sz w:val="16"/>
        </w:rPr>
        <w:t xml:space="preserve">A </w:t>
      </w:r>
      <w:r>
        <w:rPr>
          <w:i/>
          <w:spacing w:val="5"/>
          <w:sz w:val="16"/>
        </w:rPr>
        <w:t xml:space="preserve">riqueza gerada </w:t>
      </w:r>
      <w:r>
        <w:rPr>
          <w:i/>
          <w:spacing w:val="6"/>
          <w:sz w:val="16"/>
        </w:rPr>
        <w:t xml:space="preserve">pela </w:t>
      </w:r>
      <w:r>
        <w:rPr>
          <w:i/>
          <w:spacing w:val="20"/>
          <w:sz w:val="16"/>
        </w:rPr>
        <w:t xml:space="preserve">mineração </w:t>
      </w:r>
      <w:r>
        <w:rPr>
          <w:i/>
          <w:spacing w:val="15"/>
          <w:sz w:val="16"/>
        </w:rPr>
        <w:t xml:space="preserve">não </w:t>
      </w:r>
      <w:r>
        <w:rPr>
          <w:i/>
          <w:spacing w:val="10"/>
          <w:sz w:val="16"/>
        </w:rPr>
        <w:t>se</w:t>
      </w:r>
      <w:r>
        <w:rPr>
          <w:i/>
          <w:spacing w:val="65"/>
          <w:sz w:val="16"/>
        </w:rPr>
        <w:t xml:space="preserve"> </w:t>
      </w:r>
      <w:r>
        <w:rPr>
          <w:i/>
          <w:spacing w:val="18"/>
          <w:sz w:val="16"/>
        </w:rPr>
        <w:t xml:space="preserve">reflete </w:t>
      </w:r>
      <w:r>
        <w:rPr>
          <w:i/>
          <w:spacing w:val="10"/>
          <w:sz w:val="16"/>
        </w:rPr>
        <w:t xml:space="preserve">em </w:t>
      </w:r>
      <w:r>
        <w:rPr>
          <w:i/>
          <w:spacing w:val="5"/>
          <w:sz w:val="16"/>
        </w:rPr>
        <w:t xml:space="preserve">desenvolvimento </w:t>
      </w:r>
      <w:r>
        <w:rPr>
          <w:i/>
          <w:spacing w:val="3"/>
          <w:sz w:val="16"/>
        </w:rPr>
        <w:t xml:space="preserve">para </w:t>
      </w:r>
      <w:r>
        <w:rPr>
          <w:i/>
          <w:sz w:val="16"/>
        </w:rPr>
        <w:t xml:space="preserve">a </w:t>
      </w:r>
      <w:r>
        <w:rPr>
          <w:i/>
          <w:spacing w:val="5"/>
          <w:sz w:val="16"/>
        </w:rPr>
        <w:t xml:space="preserve">comunidade </w:t>
      </w:r>
      <w:r>
        <w:rPr>
          <w:i/>
          <w:sz w:val="16"/>
        </w:rPr>
        <w:t xml:space="preserve">local. A pobreza atinge mais de 70% da população do município. Além disso, o </w:t>
      </w:r>
      <w:r>
        <w:rPr>
          <w:i/>
          <w:spacing w:val="8"/>
          <w:sz w:val="16"/>
        </w:rPr>
        <w:t xml:space="preserve">extrativismo </w:t>
      </w:r>
      <w:r>
        <w:rPr>
          <w:i/>
          <w:spacing w:val="7"/>
          <w:sz w:val="16"/>
        </w:rPr>
        <w:t xml:space="preserve">mineral </w:t>
      </w:r>
      <w:r>
        <w:rPr>
          <w:i/>
          <w:spacing w:val="5"/>
          <w:sz w:val="16"/>
        </w:rPr>
        <w:t xml:space="preserve">vem </w:t>
      </w:r>
      <w:r>
        <w:rPr>
          <w:i/>
          <w:spacing w:val="10"/>
          <w:sz w:val="16"/>
        </w:rPr>
        <w:t xml:space="preserve">causando </w:t>
      </w:r>
      <w:r>
        <w:rPr>
          <w:i/>
          <w:sz w:val="16"/>
        </w:rPr>
        <w:t>vários impactos, como desmatamento e doen</w:t>
      </w:r>
      <w:r>
        <w:rPr>
          <w:i/>
          <w:sz w:val="16"/>
        </w:rPr>
        <w:t>ças veiculadas pela água.</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9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12"/>
      </w:pPr>
      <w:r>
        <w:t>Ourolândia, denominado Polo do Mármore Bege Bahia; e o Polo de Beneficiamento na Região Metropolitana de Salvador (em particular Salvador e Lauro de Freitas) e em Feira de Santana, denominado Complexo de Marmorarias da Bahia (</w:t>
      </w:r>
      <w:r>
        <w:t>SECTI, 2008).</w:t>
      </w:r>
    </w:p>
    <w:p w:rsidR="00D81F69" w:rsidRDefault="00330118">
      <w:pPr>
        <w:pStyle w:val="Corpodetexto"/>
        <w:spacing w:before="134" w:line="312" w:lineRule="auto"/>
        <w:ind w:left="135" w:right="174"/>
      </w:pPr>
      <w:r>
        <w:t>O complexo minerário de ouro do município de Jacobina envolve cinco minas: Canavieiras, Itapicuru, João Belo, Morro do Vento e Basal, com uma planta de beneficiamento em comum (ACIJA, 2010). As mineralizações estão associadas à Formação Serra do Córrego do</w:t>
      </w:r>
      <w:r>
        <w:t xml:space="preserve"> Grupo Jacobina, que se refere a uma sequência de metassedimentos clásticos, conglomerados, quartzitos e pelitos, que ocorrem na Serra da</w:t>
      </w:r>
    </w:p>
    <w:p w:rsidR="00D81F69" w:rsidRDefault="00D81F69">
      <w:pPr>
        <w:spacing w:line="312" w:lineRule="auto"/>
        <w:sectPr w:rsidR="00D81F69">
          <w:type w:val="continuous"/>
          <w:pgSz w:w="11900" w:h="16840"/>
          <w:pgMar w:top="720" w:right="500" w:bottom="280" w:left="620" w:header="720" w:footer="720" w:gutter="0"/>
          <w:cols w:num="3" w:space="720" w:equalWidth="0">
            <w:col w:w="1047" w:space="953"/>
            <w:col w:w="3122" w:space="313"/>
            <w:col w:w="5345"/>
          </w:cols>
        </w:sectPr>
      </w:pPr>
    </w:p>
    <w:p w:rsidR="00D81F69" w:rsidRDefault="00330118">
      <w:pPr>
        <w:pStyle w:val="Heading4"/>
        <w:spacing w:before="60"/>
        <w:jc w:val="left"/>
      </w:pPr>
      <w:r>
        <w:lastRenderedPageBreak/>
        <w:t>APRESENTAÇÃO DE CASO</w:t>
      </w:r>
    </w:p>
    <w:p w:rsidR="00D81F69" w:rsidRDefault="00330118">
      <w:pPr>
        <w:pStyle w:val="Corpodetexto"/>
        <w:spacing w:before="171" w:line="312" w:lineRule="auto"/>
        <w:ind w:right="94"/>
      </w:pPr>
      <w:r>
        <w:t xml:space="preserve">O ouro, depois de enfrentar um longo período de ostracismo, </w:t>
      </w:r>
      <w:r>
        <w:rPr>
          <w:spacing w:val="3"/>
        </w:rPr>
        <w:t>com s</w:t>
      </w:r>
      <w:r>
        <w:rPr>
          <w:spacing w:val="3"/>
        </w:rPr>
        <w:t xml:space="preserve">eu uso </w:t>
      </w:r>
      <w:r>
        <w:rPr>
          <w:spacing w:val="5"/>
        </w:rPr>
        <w:t xml:space="preserve">praticamente restrito </w:t>
      </w:r>
      <w:r>
        <w:t xml:space="preserve">à </w:t>
      </w:r>
      <w:r>
        <w:rPr>
          <w:spacing w:val="5"/>
        </w:rPr>
        <w:t xml:space="preserve">indústria </w:t>
      </w:r>
      <w:r>
        <w:rPr>
          <w:spacing w:val="6"/>
        </w:rPr>
        <w:t xml:space="preserve">joalheira, </w:t>
      </w:r>
      <w:r>
        <w:rPr>
          <w:spacing w:val="1"/>
        </w:rPr>
        <w:t xml:space="preserve">retomou </w:t>
      </w:r>
      <w:r>
        <w:t xml:space="preserve">o </w:t>
      </w:r>
      <w:r>
        <w:rPr>
          <w:spacing w:val="1"/>
        </w:rPr>
        <w:t xml:space="preserve">papel </w:t>
      </w:r>
      <w:r>
        <w:t xml:space="preserve">de </w:t>
      </w:r>
      <w:r>
        <w:rPr>
          <w:spacing w:val="1"/>
        </w:rPr>
        <w:t xml:space="preserve">importante ativo financeiro </w:t>
      </w:r>
      <w:r>
        <w:rPr>
          <w:spacing w:val="2"/>
        </w:rPr>
        <w:t xml:space="preserve">(CORREIO </w:t>
      </w:r>
      <w:r>
        <w:t xml:space="preserve">BRAZILIENSE, 2010). No Brasil, a produção de ouro bruto e </w:t>
      </w:r>
      <w:r>
        <w:rPr>
          <w:spacing w:val="5"/>
        </w:rPr>
        <w:t xml:space="preserve">beneficiado ocorre principalmente </w:t>
      </w:r>
      <w:r>
        <w:rPr>
          <w:spacing w:val="3"/>
        </w:rPr>
        <w:t xml:space="preserve">nos </w:t>
      </w:r>
      <w:r>
        <w:rPr>
          <w:spacing w:val="5"/>
        </w:rPr>
        <w:t xml:space="preserve">estados </w:t>
      </w:r>
      <w:r>
        <w:rPr>
          <w:spacing w:val="2"/>
        </w:rPr>
        <w:t xml:space="preserve">de </w:t>
      </w:r>
      <w:r>
        <w:rPr>
          <w:spacing w:val="5"/>
        </w:rPr>
        <w:t>Minas</w:t>
      </w:r>
      <w:r>
        <w:rPr>
          <w:spacing w:val="61"/>
        </w:rPr>
        <w:t xml:space="preserve"> </w:t>
      </w:r>
      <w:r>
        <w:t>Gerais, Pará, Goiás, Mato Grosso e Bahia (ARAUJO NETO, 2009).</w:t>
      </w:r>
    </w:p>
    <w:p w:rsidR="00D81F69" w:rsidRDefault="00330118">
      <w:pPr>
        <w:pStyle w:val="Corpodetexto"/>
        <w:spacing w:before="136" w:line="312" w:lineRule="auto"/>
        <w:ind w:right="85"/>
      </w:pPr>
      <w:r>
        <w:t>Em 2007, a produção de minério bruto de ouro no estado da Bahia foi de 2 milhões de toneladas, e foi obtida no Semiárido, nos municípios de Jacobina e Barroca, onde é explorado pelas empresas Ja</w:t>
      </w:r>
      <w:r>
        <w:t>cobina Mineração e Comércio Ltda. (DNPM, 2009), do grupo canadense Yamana Gold Inc. (ACIJA, 2010), e Mineração Fazenda Brasileiro, respectivamente. A produção, após beneficiamento, gerou 4,4 toneladas de ouro e representou quase 9% da produção formal brasi</w:t>
      </w:r>
      <w:r>
        <w:t>leira do ano. As operações de extração e beneficiamento empregaram diretamente 1.475 trabalhadores, e a produção beneficiada foi avaliada em R$ 160,8 milhões (DNPM, 2009).</w:t>
      </w:r>
    </w:p>
    <w:p w:rsidR="00D81F69" w:rsidRDefault="00330118">
      <w:pPr>
        <w:pStyle w:val="Corpodetexto"/>
        <w:spacing w:before="141" w:line="312" w:lineRule="auto"/>
        <w:ind w:right="32"/>
        <w:jc w:val="left"/>
      </w:pPr>
      <w:r>
        <w:t>A mina Jacobina, considerada uma das 200 grandes minas brasileiras (FERNANDES et al.</w:t>
      </w:r>
      <w:r>
        <w:t>, 2009), localiza-se a 12 km da cidade de Jacobina, num local conhecido como Canavieiras, secular garimpo explorado desde os tempos dos bandeirantes (ACIJA, 2010). Com 2.320 km² e 79.013 habitantes (IBGE, 2009), Jacobina fica no extremo norte da Chapada Di</w:t>
      </w:r>
      <w:r>
        <w:t>amantina,  a  330  km  de  Salvador  (A  TARDE, 2008).</w:t>
      </w:r>
    </w:p>
    <w:p w:rsidR="00D81F69" w:rsidRDefault="00330118">
      <w:pPr>
        <w:pStyle w:val="Corpodetexto"/>
        <w:spacing w:before="74" w:line="270" w:lineRule="atLeast"/>
        <w:ind w:right="112"/>
      </w:pPr>
      <w:r>
        <w:t xml:space="preserve">O município tem como base de sua economia a mineração (FERNANDES et al., 2009), não só de ouro, como também de </w:t>
      </w:r>
      <w:hyperlink r:id="rId664">
        <w:r>
          <w:t xml:space="preserve">manganês, </w:t>
        </w:r>
      </w:hyperlink>
      <w:r>
        <w:t>ametista, barita, arenito (ANDRADE et al., 2008) e rochas ornamentais, como granito, mármore e quartzo (NOVAIS, 2010). A cidade integra o Arranjo Produtivo Local (APL) de Rochas Ornamentais da Bahia, que possui 70 empresas cadastradas e desenvol</w:t>
      </w:r>
      <w:r>
        <w:t>ve as atividades de extração, serraria, polimento e marmoraria. O APL engloba o Polo  de  Extração e  Pré-Beneficiamento em  Jacobina  e</w:t>
      </w:r>
    </w:p>
    <w:p w:rsidR="00D81F69" w:rsidRDefault="00330118">
      <w:pPr>
        <w:pStyle w:val="Corpodetexto"/>
        <w:spacing w:before="7" w:line="312" w:lineRule="auto"/>
        <w:ind w:right="197"/>
      </w:pPr>
      <w:r>
        <w:br w:type="column"/>
      </w:r>
      <w:r>
        <w:lastRenderedPageBreak/>
        <w:t>Jacobina (DARDENNE; SCHOBBENHAUS, 2003; MOLINARI; SCARPELLI, 1988 apud DNPM, 2009).</w:t>
      </w:r>
    </w:p>
    <w:p w:rsidR="00D81F69" w:rsidRDefault="00330118">
      <w:pPr>
        <w:pStyle w:val="Corpodetexto"/>
        <w:spacing w:before="131" w:line="312" w:lineRule="auto"/>
        <w:ind w:right="190"/>
      </w:pPr>
      <w:r>
        <w:t xml:space="preserve">A mina Jacobina foi explorada por </w:t>
      </w:r>
      <w:r>
        <w:t>lavra subterrânea entre 1976 e 1996-97. Em 1998, em virtude dos preços baixos do ouro, todas as operações de lavra na região foram paralisadas, sendo retomadas em 2004, quando a Yamana Gold, através da Jacobina Mineração e Comércio Ltda., assumiu o empreen</w:t>
      </w:r>
      <w:r>
        <w:t>dimento (DNPM, 2009). Em 2008, a empresa anunciou que iria mais que triplicar sua produção, saltando de 60 mil para 200 mil onças (CORREIO DA BAHIA, 2008).</w:t>
      </w:r>
    </w:p>
    <w:p w:rsidR="00D81F69" w:rsidRDefault="00330118">
      <w:pPr>
        <w:pStyle w:val="Corpodetexto"/>
        <w:spacing w:before="139" w:line="312" w:lineRule="auto"/>
        <w:ind w:right="195"/>
      </w:pPr>
      <w:r>
        <w:t xml:space="preserve">No entanto, assim como em outros municípios do Semiárido,  a </w:t>
      </w:r>
      <w:r>
        <w:rPr>
          <w:spacing w:val="10"/>
        </w:rPr>
        <w:t xml:space="preserve">riqueza gerada </w:t>
      </w:r>
      <w:r>
        <w:rPr>
          <w:spacing w:val="8"/>
        </w:rPr>
        <w:t xml:space="preserve">pela </w:t>
      </w:r>
      <w:r>
        <w:rPr>
          <w:spacing w:val="10"/>
        </w:rPr>
        <w:t xml:space="preserve">mineração </w:t>
      </w:r>
      <w:r>
        <w:rPr>
          <w:spacing w:val="7"/>
        </w:rPr>
        <w:t xml:space="preserve">não </w:t>
      </w:r>
      <w:r>
        <w:rPr>
          <w:spacing w:val="5"/>
        </w:rPr>
        <w:t xml:space="preserve">se </w:t>
      </w:r>
      <w:r>
        <w:rPr>
          <w:spacing w:val="10"/>
        </w:rPr>
        <w:t>re</w:t>
      </w:r>
      <w:r>
        <w:rPr>
          <w:spacing w:val="10"/>
        </w:rPr>
        <w:t xml:space="preserve">flete </w:t>
      </w:r>
      <w:r>
        <w:rPr>
          <w:spacing w:val="11"/>
        </w:rPr>
        <w:t xml:space="preserve">em </w:t>
      </w:r>
      <w:r>
        <w:t xml:space="preserve">desenvolvimento para a comunidade local (CPT-BA, 2010). A </w:t>
      </w:r>
      <w:r>
        <w:rPr>
          <w:spacing w:val="5"/>
        </w:rPr>
        <w:t xml:space="preserve">região apresenta </w:t>
      </w:r>
      <w:r>
        <w:rPr>
          <w:spacing w:val="2"/>
        </w:rPr>
        <w:t xml:space="preserve">os </w:t>
      </w:r>
      <w:r>
        <w:rPr>
          <w:spacing w:val="5"/>
        </w:rPr>
        <w:t xml:space="preserve">piores Índices </w:t>
      </w:r>
      <w:r>
        <w:rPr>
          <w:spacing w:val="2"/>
        </w:rPr>
        <w:t xml:space="preserve">de </w:t>
      </w:r>
      <w:r>
        <w:rPr>
          <w:spacing w:val="6"/>
        </w:rPr>
        <w:t xml:space="preserve">Desenvolvimento </w:t>
      </w:r>
      <w:r>
        <w:t>Humano (IDH) do país, sendo que, em Jacobina, a pobreza atinge mais de 70% da população (FERNANDES et al.,</w:t>
      </w:r>
      <w:r>
        <w:rPr>
          <w:spacing w:val="7"/>
        </w:rPr>
        <w:t xml:space="preserve"> </w:t>
      </w:r>
      <w:r>
        <w:t>2009).</w:t>
      </w:r>
    </w:p>
    <w:p w:rsidR="00D81F69" w:rsidRDefault="00330118">
      <w:pPr>
        <w:pStyle w:val="Corpodetexto"/>
        <w:spacing w:before="135" w:line="312" w:lineRule="auto"/>
        <w:ind w:right="192"/>
      </w:pPr>
      <w:r>
        <w:t>O extrativismo minera</w:t>
      </w:r>
      <w:r>
        <w:t>l, tanto do ouro quanto das rochas ornamentais, vem causando vários impactos socioambientais no município, como desmatamento, assoreamento de rios, extinção das nascentes, alteração da qualidade e quantidade da água, e doenças veiculadas pela água. Desde o</w:t>
      </w:r>
      <w:r>
        <w:t xml:space="preserve"> inicio de sua formação política e territorial, Jacobina sofre com os períodos de estiagem, com repercussão direta no abastecimento de água da cidade. Porém, nas últimas décadas do século XX, o problema foi intensificado devido ao comprometimento de seus m</w:t>
      </w:r>
      <w:r>
        <w:t>ananciais, entre eles o rio do Ouro, com a consequente contaminação e poluição da bacia do Itapicuru-Mirim (NOVAIS, 2010). As condições de saneamento em toda a região da Serra de Jacobina se apresentam bastante precárias, com baixos índices de abasteciment</w:t>
      </w:r>
      <w:r>
        <w:t>o domiciliar de água potável e a quase total ausência de sistema de esgotamento sanitário, especialmente em zonas rurais (VALE, 2005).</w:t>
      </w:r>
    </w:p>
    <w:p w:rsidR="00D81F69" w:rsidRDefault="00330118">
      <w:pPr>
        <w:pStyle w:val="Corpodetexto"/>
        <w:spacing w:before="146" w:line="312" w:lineRule="auto"/>
        <w:ind w:right="213"/>
      </w:pPr>
      <w:r>
        <w:t>Rejeitos da extração de ouro foram encontrados em várias áreas da bacia do rio Itapicuru, e estudos indicaram valores</w:t>
      </w:r>
    </w:p>
    <w:p w:rsidR="00D81F69" w:rsidRDefault="00D81F69">
      <w:pPr>
        <w:spacing w:line="312" w:lineRule="auto"/>
        <w:sectPr w:rsidR="00D81F69">
          <w:type w:val="continuous"/>
          <w:pgSz w:w="11900" w:h="16840"/>
          <w:pgMar w:top="720" w:right="500" w:bottom="280" w:left="620" w:header="720" w:footer="720" w:gutter="0"/>
          <w:cols w:num="2" w:space="720" w:equalWidth="0">
            <w:col w:w="5216" w:space="254"/>
            <w:col w:w="5310"/>
          </w:cols>
        </w:sectPr>
      </w:pPr>
    </w:p>
    <w:p w:rsidR="00D81F69" w:rsidRDefault="00330118">
      <w:pPr>
        <w:pStyle w:val="Corpodetexto"/>
        <w:spacing w:before="81" w:line="312" w:lineRule="auto"/>
        <w:ind w:right="43"/>
      </w:pPr>
      <w:r>
        <w:lastRenderedPageBreak/>
        <w:t xml:space="preserve">significantes para as concentrações de metais pesados nos sedimentos transportados pelas águas destes rios. Os principais elementos encontrados no rejeito mineral foram: silício, ferro, </w:t>
      </w:r>
      <w:hyperlink r:id="rId665">
        <w:r>
          <w:t>alumínio,</w:t>
        </w:r>
      </w:hyperlink>
      <w:r>
        <w:t xml:space="preserve"> magnésio e potássio. Dentre os elementos traços, os principais foram: sódio, titânio, </w:t>
      </w:r>
      <w:hyperlink r:id="rId666">
        <w:r>
          <w:t>cromo,</w:t>
        </w:r>
      </w:hyperlink>
      <w:r>
        <w:t xml:space="preserve"> zircônio, cálcio, enxofre, manganês, </w:t>
      </w:r>
      <w:hyperlink r:id="rId667">
        <w:r>
          <w:t xml:space="preserve">cobre, </w:t>
        </w:r>
      </w:hyperlink>
      <w:hyperlink r:id="rId668">
        <w:r>
          <w:t>mercúr</w:t>
        </w:r>
        <w:r>
          <w:t xml:space="preserve">io </w:t>
        </w:r>
      </w:hyperlink>
      <w:r>
        <w:t>e ouro (LIMA et al., 2007).</w:t>
      </w:r>
    </w:p>
    <w:p w:rsidR="00D81F69" w:rsidRDefault="00330118">
      <w:pPr>
        <w:pStyle w:val="Corpodetexto"/>
        <w:spacing w:before="136" w:line="312" w:lineRule="auto"/>
        <w:ind w:right="57"/>
      </w:pPr>
      <w:r>
        <w:t xml:space="preserve">O ouro está presente no minério em associação com arsenopirita. O processo de moagem, hidratação e oxidação da arsenopirita libera ouro, </w:t>
      </w:r>
      <w:hyperlink r:id="rId669">
        <w:r>
          <w:t>arsênio</w:t>
        </w:r>
      </w:hyperlink>
      <w:r>
        <w:t xml:space="preserve"> e ácido sulfúrico. A Jacobina Mineração minera a arsenopirita, retira o ouro para o mercado mundial e devolve ao ambiente arsênio e ácido sulfúrico. O ouro é extraído com a adição de cianureto [cianeto], cuja toxicidade é conhecida há mais de doi</w:t>
      </w:r>
      <w:r>
        <w:t>s séculos. O arsênio e seus compostos são altamente tóxicos quando inalados, ingeridos ou absorvidos. As doenças ligadas ao envenenamento crônico por arsênio incluem desde lesões de pele até diabetes, insuficiência renal e câncer, entre outras (DANI apud A</w:t>
      </w:r>
      <w:r>
        <w:t>CIJA, 2010).</w:t>
      </w:r>
    </w:p>
    <w:p w:rsidR="00D81F69" w:rsidRDefault="00330118">
      <w:pPr>
        <w:pStyle w:val="Corpodetexto"/>
        <w:spacing w:before="141" w:line="312" w:lineRule="auto"/>
        <w:ind w:right="44"/>
      </w:pPr>
      <w:r>
        <w:t>A barragem de rejeito da Jacobina Mineração e Comércio entrou em atividade em 1982, quando a empresa era de propriedade da Mineração Morro Velho S/A (ACIJA, 2010). Um relatório de fiscalização de mineração elaborado, em 2006, pelo Conselho Reg</w:t>
      </w:r>
      <w:r>
        <w:t>ional de Engenharia, Arquitetura e Agronomia da Bahia (CREA-BA), a partir de visita às minas Morro Velho e João Belo, recomendou, diante do grande volume de rejeitos observado na barragem e do alto índice pluviométrico da região, uma inspeção com maior pro</w:t>
      </w:r>
      <w:r>
        <w:t>fundidade técnica para levantar a situação do funcionamento da lagoa de contenção (QUEIROZ, 2006). No final de 2008, a barragem chegou à sua capacidade máxima (ACIJA, 2010), e uma nova barragem para contenção dos rejeitos, a jusante da anterior, já está em</w:t>
      </w:r>
      <w:r>
        <w:t xml:space="preserve"> funcionamento (VÁRZEA DO POVO NOTÍCIAS, 2010).</w:t>
      </w:r>
    </w:p>
    <w:p w:rsidR="00D81F69" w:rsidRDefault="00330118">
      <w:pPr>
        <w:pStyle w:val="Corpodetexto"/>
        <w:spacing w:before="144" w:line="312" w:lineRule="auto"/>
        <w:ind w:right="40"/>
      </w:pPr>
      <w:r>
        <w:t>De acordo com outro relatório de fiscalização, de 2008, elaborado pelo CREA-BA quando a mina de Jacobina foi reativada, em 2004, foram identificadas também outras irregularidades decorrentes da atividade mine</w:t>
      </w:r>
      <w:r>
        <w:t>ral, como garimpo de ouro em áreas de concessão de lavra e conflito entre a atividade mineral e uma área de preservação permanente (APP), o Parque Estadual de Sete Passagens. Ainda segundo o relatório, o Projeto de Recuperação de Área Degradada (PRAD) prev</w:t>
      </w:r>
      <w:r>
        <w:t>iu a recuperação das áreas, com investimentos anuais programados. Já a situação dos garimpos de ouro passou a ser intermediada pelo Departamento Nacional de Produção Mineral (DNPM), o qual criou uma cooperativa de garimpeiros, cedendo a eles direitos miner</w:t>
      </w:r>
      <w:r>
        <w:t>ários em uma área de cinco hectares (ANDRADE et al., 2008).</w:t>
      </w:r>
    </w:p>
    <w:p w:rsidR="00D81F69" w:rsidRDefault="00330118">
      <w:pPr>
        <w:pStyle w:val="Corpodetexto"/>
        <w:spacing w:before="81" w:line="270" w:lineRule="atLeast"/>
        <w:ind w:right="38"/>
      </w:pPr>
      <w:r>
        <w:rPr>
          <w:spacing w:val="10"/>
        </w:rPr>
        <w:t xml:space="preserve">Quanto </w:t>
      </w:r>
      <w:r>
        <w:rPr>
          <w:spacing w:val="5"/>
        </w:rPr>
        <w:t xml:space="preserve">ao </w:t>
      </w:r>
      <w:r>
        <w:rPr>
          <w:spacing w:val="10"/>
        </w:rPr>
        <w:t xml:space="preserve">conflito </w:t>
      </w:r>
      <w:r>
        <w:rPr>
          <w:spacing w:val="7"/>
        </w:rPr>
        <w:t xml:space="preserve">com </w:t>
      </w:r>
      <w:r>
        <w:t xml:space="preserve">o </w:t>
      </w:r>
      <w:r>
        <w:rPr>
          <w:spacing w:val="10"/>
        </w:rPr>
        <w:t xml:space="preserve">Parque Estadual </w:t>
      </w:r>
      <w:r>
        <w:rPr>
          <w:spacing w:val="5"/>
        </w:rPr>
        <w:t xml:space="preserve">de </w:t>
      </w:r>
      <w:r>
        <w:rPr>
          <w:spacing w:val="11"/>
        </w:rPr>
        <w:t xml:space="preserve">Sete </w:t>
      </w:r>
      <w:r>
        <w:rPr>
          <w:spacing w:val="1"/>
        </w:rPr>
        <w:t xml:space="preserve">Passagens, </w:t>
      </w:r>
      <w:r>
        <w:t xml:space="preserve">o </w:t>
      </w:r>
      <w:r>
        <w:rPr>
          <w:spacing w:val="1"/>
        </w:rPr>
        <w:t xml:space="preserve">relatório apontou </w:t>
      </w:r>
      <w:r>
        <w:t xml:space="preserve">que a </w:t>
      </w:r>
      <w:r>
        <w:rPr>
          <w:spacing w:val="1"/>
        </w:rPr>
        <w:t xml:space="preserve">Jacobina </w:t>
      </w:r>
      <w:r>
        <w:rPr>
          <w:spacing w:val="2"/>
        </w:rPr>
        <w:t xml:space="preserve">Mineração </w:t>
      </w:r>
      <w:r>
        <w:rPr>
          <w:spacing w:val="5"/>
        </w:rPr>
        <w:t xml:space="preserve">abrira mão dos </w:t>
      </w:r>
      <w:r>
        <w:rPr>
          <w:spacing w:val="6"/>
        </w:rPr>
        <w:t xml:space="preserve">direitos minerários </w:t>
      </w:r>
      <w:r>
        <w:rPr>
          <w:spacing w:val="3"/>
        </w:rPr>
        <w:t xml:space="preserve">na </w:t>
      </w:r>
      <w:r>
        <w:rPr>
          <w:spacing w:val="5"/>
        </w:rPr>
        <w:t xml:space="preserve">área </w:t>
      </w:r>
      <w:r>
        <w:rPr>
          <w:spacing w:val="3"/>
        </w:rPr>
        <w:t xml:space="preserve">do </w:t>
      </w:r>
      <w:r>
        <w:rPr>
          <w:spacing w:val="7"/>
        </w:rPr>
        <w:t xml:space="preserve">parque, obtendo permissão </w:t>
      </w:r>
      <w:r>
        <w:rPr>
          <w:spacing w:val="5"/>
        </w:rPr>
        <w:t xml:space="preserve">da </w:t>
      </w:r>
      <w:r>
        <w:rPr>
          <w:spacing w:val="8"/>
        </w:rPr>
        <w:t xml:space="preserve">Secretaria </w:t>
      </w:r>
      <w:r>
        <w:rPr>
          <w:spacing w:val="5"/>
        </w:rPr>
        <w:t xml:space="preserve">de </w:t>
      </w:r>
      <w:r>
        <w:rPr>
          <w:spacing w:val="6"/>
        </w:rPr>
        <w:t xml:space="preserve">Meio </w:t>
      </w:r>
      <w:r>
        <w:rPr>
          <w:spacing w:val="7"/>
        </w:rPr>
        <w:t xml:space="preserve">Ambiente </w:t>
      </w:r>
      <w:r>
        <w:t>e Recursos Hídricos (Semarh) para a realização de atividades de</w:t>
      </w:r>
      <w:r>
        <w:rPr>
          <w:spacing w:val="7"/>
        </w:rPr>
        <w:t xml:space="preserve"> </w:t>
      </w:r>
      <w:r>
        <w:t>mineração</w:t>
      </w:r>
      <w:r>
        <w:rPr>
          <w:spacing w:val="7"/>
        </w:rPr>
        <w:t xml:space="preserve"> </w:t>
      </w:r>
      <w:r>
        <w:t>até</w:t>
      </w:r>
      <w:r>
        <w:rPr>
          <w:spacing w:val="7"/>
        </w:rPr>
        <w:t xml:space="preserve"> </w:t>
      </w:r>
      <w:r>
        <w:t>700</w:t>
      </w:r>
      <w:r>
        <w:rPr>
          <w:spacing w:val="7"/>
        </w:rPr>
        <w:t xml:space="preserve"> </w:t>
      </w:r>
      <w:r>
        <w:t>metros</w:t>
      </w:r>
      <w:r>
        <w:rPr>
          <w:spacing w:val="7"/>
        </w:rPr>
        <w:t xml:space="preserve"> </w:t>
      </w:r>
      <w:r>
        <w:t>dos</w:t>
      </w:r>
      <w:r>
        <w:rPr>
          <w:spacing w:val="7"/>
        </w:rPr>
        <w:t xml:space="preserve"> </w:t>
      </w:r>
      <w:r>
        <w:t>limites</w:t>
      </w:r>
      <w:r>
        <w:rPr>
          <w:spacing w:val="7"/>
        </w:rPr>
        <w:t xml:space="preserve"> </w:t>
      </w:r>
      <w:r>
        <w:t>da</w:t>
      </w:r>
      <w:r>
        <w:rPr>
          <w:spacing w:val="7"/>
        </w:rPr>
        <w:t xml:space="preserve"> </w:t>
      </w:r>
      <w:r>
        <w:t>área,</w:t>
      </w:r>
      <w:r>
        <w:rPr>
          <w:spacing w:val="7"/>
        </w:rPr>
        <w:t xml:space="preserve"> </w:t>
      </w:r>
      <w:r>
        <w:t>numa</w:t>
      </w:r>
      <w:r>
        <w:rPr>
          <w:spacing w:val="7"/>
        </w:rPr>
        <w:t xml:space="preserve"> </w:t>
      </w:r>
      <w:r>
        <w:t>zona</w:t>
      </w:r>
    </w:p>
    <w:p w:rsidR="00D81F69" w:rsidRDefault="00330118">
      <w:pPr>
        <w:pStyle w:val="Corpodetexto"/>
        <w:spacing w:before="81" w:line="312" w:lineRule="auto"/>
        <w:ind w:right="211"/>
      </w:pPr>
      <w:r>
        <w:br w:type="column"/>
      </w:r>
      <w:r>
        <w:lastRenderedPageBreak/>
        <w:t>de amortecimento. A comunidade que vive no entorno do parque, no entanto, questiona tais informações diante do comprometi</w:t>
      </w:r>
      <w:r>
        <w:t>mento do ecossistema local, enfatizando que os estudos relativos ao Plano de Manejo, elaborado por técnicos da Universidade Federal da Bahia, indicaram a criação de uma zona de amortecimento sim, mas numa faixa de 10 km a partir da poligonal do parque (AND</w:t>
      </w:r>
      <w:r>
        <w:t>RADE et al., 2008).</w:t>
      </w:r>
    </w:p>
    <w:p w:rsidR="00D81F69" w:rsidRDefault="00330118">
      <w:pPr>
        <w:pStyle w:val="Corpodetexto"/>
        <w:spacing w:before="136" w:line="312" w:lineRule="auto"/>
        <w:ind w:right="207"/>
      </w:pPr>
      <w:r>
        <w:t>O relatório apontou, ainda, a existência de um passivo de 87 processos trabalhistas atinentes à Saúde do Trabalhador pendentes de julgamento (ANDRADE et al., 2008). Nas décadas de 1980 e 1990, devido às atividades minerárias em Jacobina</w:t>
      </w:r>
      <w:r>
        <w:t>, muitos funcionários que trabalhavam no subsolo contraíram silicose, doença causada, sobretudo, pelo excesso de inalação de poeiras e gases. Os trabalhadores que adoeciam, no entanto, não eram diagnosticados como portadores de silicose (FARIAS, 2010).</w:t>
      </w:r>
    </w:p>
    <w:p w:rsidR="00D81F69" w:rsidRDefault="00330118">
      <w:pPr>
        <w:pStyle w:val="Corpodetexto"/>
        <w:spacing w:before="139" w:line="312" w:lineRule="auto"/>
        <w:ind w:right="205"/>
      </w:pPr>
      <w:r>
        <w:t xml:space="preserve">No </w:t>
      </w:r>
      <w:r>
        <w:t xml:space="preserve">final de abril de 2008, a Jacobina Mineração registrou um milhão de horas de trabalho sem acidentes. De acordo com a </w:t>
      </w:r>
      <w:r>
        <w:rPr>
          <w:spacing w:val="3"/>
        </w:rPr>
        <w:t xml:space="preserve">empresa, </w:t>
      </w:r>
      <w:r>
        <w:rPr>
          <w:spacing w:val="2"/>
        </w:rPr>
        <w:t xml:space="preserve">isto foi </w:t>
      </w:r>
      <w:r>
        <w:rPr>
          <w:spacing w:val="3"/>
        </w:rPr>
        <w:t xml:space="preserve">possível graças </w:t>
      </w:r>
      <w:r>
        <w:rPr>
          <w:spacing w:val="1"/>
        </w:rPr>
        <w:t xml:space="preserve">ao </w:t>
      </w:r>
      <w:r>
        <w:rPr>
          <w:spacing w:val="3"/>
        </w:rPr>
        <w:t xml:space="preserve">Sistema Yamana </w:t>
      </w:r>
      <w:r>
        <w:rPr>
          <w:spacing w:val="5"/>
        </w:rPr>
        <w:t xml:space="preserve">de Gestão (SYG), que </w:t>
      </w:r>
      <w:r>
        <w:rPr>
          <w:spacing w:val="6"/>
        </w:rPr>
        <w:t xml:space="preserve">estabelece </w:t>
      </w:r>
      <w:r>
        <w:rPr>
          <w:spacing w:val="5"/>
        </w:rPr>
        <w:t xml:space="preserve">todas </w:t>
      </w:r>
      <w:r>
        <w:rPr>
          <w:spacing w:val="3"/>
        </w:rPr>
        <w:t xml:space="preserve">as </w:t>
      </w:r>
      <w:r>
        <w:rPr>
          <w:spacing w:val="6"/>
        </w:rPr>
        <w:t xml:space="preserve">políticas </w:t>
      </w:r>
      <w:r>
        <w:t xml:space="preserve">e </w:t>
      </w:r>
      <w:r>
        <w:rPr>
          <w:spacing w:val="7"/>
        </w:rPr>
        <w:t xml:space="preserve">os </w:t>
      </w:r>
      <w:r>
        <w:t>objetivos da empresa e foi orga</w:t>
      </w:r>
      <w:r>
        <w:t xml:space="preserve">nizado com base nas normas </w:t>
      </w:r>
      <w:r>
        <w:rPr>
          <w:spacing w:val="10"/>
        </w:rPr>
        <w:t xml:space="preserve">internacionais </w:t>
      </w:r>
      <w:r>
        <w:rPr>
          <w:spacing w:val="5"/>
        </w:rPr>
        <w:t xml:space="preserve">de </w:t>
      </w:r>
      <w:r>
        <w:rPr>
          <w:spacing w:val="8"/>
        </w:rPr>
        <w:t xml:space="preserve">gestão </w:t>
      </w:r>
      <w:r>
        <w:rPr>
          <w:spacing w:val="5"/>
        </w:rPr>
        <w:t xml:space="preserve">em </w:t>
      </w:r>
      <w:r>
        <w:rPr>
          <w:spacing w:val="8"/>
        </w:rPr>
        <w:t xml:space="preserve">saúde, segurança, </w:t>
      </w:r>
      <w:r>
        <w:rPr>
          <w:spacing w:val="10"/>
        </w:rPr>
        <w:t xml:space="preserve">meio </w:t>
      </w:r>
      <w:r>
        <w:rPr>
          <w:spacing w:val="7"/>
        </w:rPr>
        <w:t xml:space="preserve">ambiente </w:t>
      </w:r>
      <w:r>
        <w:t xml:space="preserve">e </w:t>
      </w:r>
      <w:r>
        <w:rPr>
          <w:spacing w:val="8"/>
        </w:rPr>
        <w:t xml:space="preserve">responsabilidade </w:t>
      </w:r>
      <w:r>
        <w:rPr>
          <w:spacing w:val="7"/>
        </w:rPr>
        <w:t xml:space="preserve">social. Entre </w:t>
      </w:r>
      <w:r>
        <w:rPr>
          <w:spacing w:val="5"/>
        </w:rPr>
        <w:t xml:space="preserve">as </w:t>
      </w:r>
      <w:r>
        <w:rPr>
          <w:spacing w:val="10"/>
        </w:rPr>
        <w:t xml:space="preserve">medidas </w:t>
      </w:r>
      <w:r>
        <w:rPr>
          <w:spacing w:val="3"/>
        </w:rPr>
        <w:t xml:space="preserve">adotadas estão </w:t>
      </w:r>
      <w:r>
        <w:t xml:space="preserve">a </w:t>
      </w:r>
      <w:r>
        <w:rPr>
          <w:spacing w:val="3"/>
        </w:rPr>
        <w:t xml:space="preserve">criação </w:t>
      </w:r>
      <w:r>
        <w:rPr>
          <w:spacing w:val="1"/>
        </w:rPr>
        <w:t xml:space="preserve">de </w:t>
      </w:r>
      <w:r>
        <w:rPr>
          <w:spacing w:val="3"/>
        </w:rPr>
        <w:t xml:space="preserve">grupo </w:t>
      </w:r>
      <w:r>
        <w:rPr>
          <w:spacing w:val="1"/>
        </w:rPr>
        <w:t xml:space="preserve">de </w:t>
      </w:r>
      <w:r>
        <w:rPr>
          <w:spacing w:val="3"/>
        </w:rPr>
        <w:t xml:space="preserve">trabalho </w:t>
      </w:r>
      <w:r>
        <w:t xml:space="preserve">e </w:t>
      </w:r>
      <w:r>
        <w:rPr>
          <w:spacing w:val="5"/>
        </w:rPr>
        <w:t xml:space="preserve">algumas </w:t>
      </w:r>
      <w:r>
        <w:t xml:space="preserve">ferramentas, como abordagens de segurança, o Registro de </w:t>
      </w:r>
      <w:r>
        <w:rPr>
          <w:spacing w:val="1"/>
        </w:rPr>
        <w:t xml:space="preserve">Ocorrência </w:t>
      </w:r>
      <w:r>
        <w:t>d</w:t>
      </w:r>
      <w:r>
        <w:t xml:space="preserve">o SYG </w:t>
      </w:r>
      <w:r>
        <w:rPr>
          <w:spacing w:val="1"/>
        </w:rPr>
        <w:t xml:space="preserve">(ROS), análise </w:t>
      </w:r>
      <w:r>
        <w:t xml:space="preserve">de </w:t>
      </w:r>
      <w:r>
        <w:rPr>
          <w:spacing w:val="1"/>
        </w:rPr>
        <w:t xml:space="preserve">acidentes, </w:t>
      </w:r>
      <w:r>
        <w:rPr>
          <w:spacing w:val="2"/>
        </w:rPr>
        <w:t xml:space="preserve">auditoria </w:t>
      </w:r>
      <w:r>
        <w:t>interna e o Peace, uma caderneta individual para que cada um pense a tarefa a ser executada, estude o perigo, analise os riscos associados, corrija suas ações com base nos riscos identificados e execute o trabal</w:t>
      </w:r>
      <w:r>
        <w:t>ho com segurança (BRASIL MINERAL,</w:t>
      </w:r>
      <w:r>
        <w:rPr>
          <w:spacing w:val="16"/>
        </w:rPr>
        <w:t xml:space="preserve"> </w:t>
      </w:r>
      <w:r>
        <w:rPr>
          <w:spacing w:val="1"/>
        </w:rPr>
        <w:t>2008).</w:t>
      </w:r>
    </w:p>
    <w:p w:rsidR="00D81F69" w:rsidRDefault="00330118">
      <w:pPr>
        <w:pStyle w:val="Corpodetexto"/>
        <w:spacing w:before="143" w:line="312" w:lineRule="auto"/>
        <w:ind w:right="178"/>
      </w:pPr>
      <w:r>
        <w:rPr>
          <w:spacing w:val="1"/>
        </w:rPr>
        <w:t xml:space="preserve">Em </w:t>
      </w:r>
      <w:r>
        <w:rPr>
          <w:spacing w:val="3"/>
        </w:rPr>
        <w:t xml:space="preserve">audiência pública realizada </w:t>
      </w:r>
      <w:r>
        <w:rPr>
          <w:spacing w:val="1"/>
        </w:rPr>
        <w:t xml:space="preserve">em </w:t>
      </w:r>
      <w:r>
        <w:rPr>
          <w:spacing w:val="3"/>
        </w:rPr>
        <w:t xml:space="preserve">março </w:t>
      </w:r>
      <w:r>
        <w:rPr>
          <w:spacing w:val="1"/>
        </w:rPr>
        <w:t xml:space="preserve">de </w:t>
      </w:r>
      <w:r>
        <w:rPr>
          <w:spacing w:val="3"/>
        </w:rPr>
        <w:t xml:space="preserve">2010, </w:t>
      </w:r>
      <w:r>
        <w:rPr>
          <w:spacing w:val="5"/>
        </w:rPr>
        <w:t xml:space="preserve">foram </w:t>
      </w:r>
      <w:r>
        <w:t xml:space="preserve">propostas medidas compensatórias ao ambiente em virtude </w:t>
      </w:r>
      <w:r>
        <w:rPr>
          <w:spacing w:val="7"/>
        </w:rPr>
        <w:t xml:space="preserve">das </w:t>
      </w:r>
      <w:r>
        <w:rPr>
          <w:spacing w:val="10"/>
        </w:rPr>
        <w:t xml:space="preserve">atividades minerarias </w:t>
      </w:r>
      <w:r>
        <w:rPr>
          <w:spacing w:val="5"/>
        </w:rPr>
        <w:t xml:space="preserve">em </w:t>
      </w:r>
      <w:r>
        <w:rPr>
          <w:spacing w:val="10"/>
        </w:rPr>
        <w:t xml:space="preserve">Jacobina, dentre </w:t>
      </w:r>
      <w:r>
        <w:rPr>
          <w:spacing w:val="11"/>
        </w:rPr>
        <w:t xml:space="preserve">elas: </w:t>
      </w:r>
      <w:r>
        <w:t xml:space="preserve">desassoreamento do conjunto de rios; recuperação da Área de Preservação Permanente do conjunto de rios do entorno </w:t>
      </w:r>
      <w:r>
        <w:rPr>
          <w:spacing w:val="8"/>
        </w:rPr>
        <w:t xml:space="preserve">da </w:t>
      </w:r>
      <w:r>
        <w:rPr>
          <w:spacing w:val="12"/>
        </w:rPr>
        <w:t xml:space="preserve">mina </w:t>
      </w:r>
      <w:r>
        <w:rPr>
          <w:spacing w:val="11"/>
        </w:rPr>
        <w:t xml:space="preserve">até </w:t>
      </w:r>
      <w:r>
        <w:t xml:space="preserve">o </w:t>
      </w:r>
      <w:r>
        <w:rPr>
          <w:spacing w:val="15"/>
        </w:rPr>
        <w:t xml:space="preserve">pontilhão </w:t>
      </w:r>
      <w:r>
        <w:rPr>
          <w:spacing w:val="8"/>
        </w:rPr>
        <w:t xml:space="preserve">da </w:t>
      </w:r>
      <w:r>
        <w:rPr>
          <w:spacing w:val="15"/>
        </w:rPr>
        <w:t xml:space="preserve">Canavieira </w:t>
      </w:r>
      <w:r>
        <w:rPr>
          <w:spacing w:val="8"/>
        </w:rPr>
        <w:t xml:space="preserve">de </w:t>
      </w:r>
      <w:r>
        <w:rPr>
          <w:spacing w:val="13"/>
        </w:rPr>
        <w:t xml:space="preserve">Fora; </w:t>
      </w:r>
      <w:r>
        <w:rPr>
          <w:spacing w:val="1"/>
        </w:rPr>
        <w:t xml:space="preserve">monitoramento eletrônico </w:t>
      </w:r>
      <w:r>
        <w:t xml:space="preserve">dos </w:t>
      </w:r>
      <w:r>
        <w:rPr>
          <w:spacing w:val="1"/>
        </w:rPr>
        <w:t xml:space="preserve">lançamentos </w:t>
      </w:r>
      <w:r>
        <w:t xml:space="preserve">de </w:t>
      </w:r>
      <w:r>
        <w:rPr>
          <w:spacing w:val="1"/>
        </w:rPr>
        <w:t xml:space="preserve">efluentes; </w:t>
      </w:r>
      <w:r>
        <w:t xml:space="preserve">e produção e distribuição permanente de </w:t>
      </w:r>
      <w:r>
        <w:t xml:space="preserve">mudas nativas para </w:t>
      </w:r>
      <w:r>
        <w:rPr>
          <w:spacing w:val="10"/>
        </w:rPr>
        <w:t xml:space="preserve">campanhas escolares </w:t>
      </w:r>
      <w:r>
        <w:t xml:space="preserve">e </w:t>
      </w:r>
      <w:r>
        <w:rPr>
          <w:spacing w:val="10"/>
        </w:rPr>
        <w:t xml:space="preserve">sociais. Quanto </w:t>
      </w:r>
      <w:r>
        <w:rPr>
          <w:spacing w:val="5"/>
        </w:rPr>
        <w:t xml:space="preserve">às </w:t>
      </w:r>
      <w:r>
        <w:rPr>
          <w:spacing w:val="11"/>
        </w:rPr>
        <w:t xml:space="preserve">medidas </w:t>
      </w:r>
      <w:r>
        <w:rPr>
          <w:spacing w:val="5"/>
        </w:rPr>
        <w:t xml:space="preserve">compensatórias </w:t>
      </w:r>
      <w:r>
        <w:rPr>
          <w:spacing w:val="3"/>
        </w:rPr>
        <w:t xml:space="preserve">para </w:t>
      </w:r>
      <w:r>
        <w:rPr>
          <w:spacing w:val="2"/>
        </w:rPr>
        <w:t xml:space="preserve">os </w:t>
      </w:r>
      <w:r>
        <w:rPr>
          <w:spacing w:val="5"/>
        </w:rPr>
        <w:t xml:space="preserve">moradores </w:t>
      </w:r>
      <w:r>
        <w:rPr>
          <w:spacing w:val="2"/>
        </w:rPr>
        <w:t xml:space="preserve">do </w:t>
      </w:r>
      <w:r>
        <w:rPr>
          <w:spacing w:val="5"/>
        </w:rPr>
        <w:t xml:space="preserve">entorno </w:t>
      </w:r>
      <w:r>
        <w:rPr>
          <w:spacing w:val="2"/>
        </w:rPr>
        <w:t xml:space="preserve">da </w:t>
      </w:r>
      <w:r>
        <w:rPr>
          <w:spacing w:val="5"/>
        </w:rPr>
        <w:t xml:space="preserve">mina, foram </w:t>
      </w:r>
      <w:r>
        <w:rPr>
          <w:spacing w:val="6"/>
        </w:rPr>
        <w:t xml:space="preserve">propostas, </w:t>
      </w:r>
      <w:r>
        <w:rPr>
          <w:spacing w:val="5"/>
        </w:rPr>
        <w:t xml:space="preserve">dentre outras: </w:t>
      </w:r>
      <w:r>
        <w:rPr>
          <w:spacing w:val="6"/>
        </w:rPr>
        <w:t xml:space="preserve">atendimento </w:t>
      </w:r>
      <w:r>
        <w:rPr>
          <w:spacing w:val="5"/>
        </w:rPr>
        <w:t xml:space="preserve">médico </w:t>
      </w:r>
      <w:r>
        <w:t xml:space="preserve">e </w:t>
      </w:r>
      <w:r>
        <w:rPr>
          <w:spacing w:val="5"/>
        </w:rPr>
        <w:t xml:space="preserve">dentário semanais; reforço escolar; </w:t>
      </w:r>
      <w:r>
        <w:t xml:space="preserve">e </w:t>
      </w:r>
      <w:r>
        <w:rPr>
          <w:spacing w:val="5"/>
        </w:rPr>
        <w:t xml:space="preserve">merenda para </w:t>
      </w:r>
      <w:r>
        <w:rPr>
          <w:spacing w:val="6"/>
        </w:rPr>
        <w:t xml:space="preserve">os </w:t>
      </w:r>
      <w:r>
        <w:rPr>
          <w:spacing w:val="5"/>
        </w:rPr>
        <w:t>alunos,</w:t>
      </w:r>
      <w:r>
        <w:rPr>
          <w:spacing w:val="38"/>
        </w:rPr>
        <w:t xml:space="preserve"> </w:t>
      </w:r>
      <w:r>
        <w:rPr>
          <w:spacing w:val="3"/>
        </w:rPr>
        <w:t>nos</w:t>
      </w:r>
      <w:r>
        <w:rPr>
          <w:spacing w:val="38"/>
        </w:rPr>
        <w:t xml:space="preserve"> </w:t>
      </w:r>
      <w:r>
        <w:rPr>
          <w:spacing w:val="5"/>
        </w:rPr>
        <w:t>turnos</w:t>
      </w:r>
      <w:r>
        <w:rPr>
          <w:spacing w:val="38"/>
        </w:rPr>
        <w:t xml:space="preserve"> </w:t>
      </w:r>
      <w:r>
        <w:rPr>
          <w:spacing w:val="5"/>
        </w:rPr>
        <w:t>matutino</w:t>
      </w:r>
      <w:r>
        <w:rPr>
          <w:spacing w:val="38"/>
        </w:rPr>
        <w:t xml:space="preserve"> </w:t>
      </w:r>
      <w:r>
        <w:t>e</w:t>
      </w:r>
      <w:r>
        <w:rPr>
          <w:spacing w:val="38"/>
        </w:rPr>
        <w:t xml:space="preserve"> </w:t>
      </w:r>
      <w:r>
        <w:rPr>
          <w:spacing w:val="5"/>
        </w:rPr>
        <w:t>vespertino</w:t>
      </w:r>
      <w:r>
        <w:rPr>
          <w:spacing w:val="38"/>
        </w:rPr>
        <w:t xml:space="preserve"> </w:t>
      </w:r>
      <w:r>
        <w:rPr>
          <w:spacing w:val="5"/>
        </w:rPr>
        <w:t>(ACIJA,</w:t>
      </w:r>
      <w:r>
        <w:rPr>
          <w:spacing w:val="38"/>
        </w:rPr>
        <w:t xml:space="preserve"> </w:t>
      </w:r>
      <w:r>
        <w:rPr>
          <w:spacing w:val="5"/>
        </w:rPr>
        <w:t>2010).</w:t>
      </w:r>
    </w:p>
    <w:p w:rsidR="00D81F69" w:rsidRDefault="00330118">
      <w:pPr>
        <w:pStyle w:val="Corpodetexto"/>
        <w:spacing w:before="142" w:line="312" w:lineRule="auto"/>
        <w:ind w:right="210"/>
      </w:pPr>
      <w:r>
        <w:t>Em 2010, a Jacobina Mineração e Comércio e mais duas empresas do grupo Yamana conquistaram a recomendação de certificação ISO 14001 pelo Sistema de Gestão Ambiental que aplicam em seus processos de extração e beneficiamento de o</w:t>
      </w:r>
      <w:r>
        <w:t>uro. A certificação pela norma possibilita a redução de impactos ambientais da empresa por meio da melhoria na eficiência operacional, identificação de oportunidades de redução de custos e de riscos ambientais e gerenciamento integral do processo (BRASIL M</w:t>
      </w:r>
      <w:r>
        <w:t>INERAL, 2010).</w:t>
      </w:r>
    </w:p>
    <w:p w:rsidR="00D81F69" w:rsidRDefault="00D81F69">
      <w:pPr>
        <w:pStyle w:val="Corpodetexto"/>
        <w:spacing w:before="8"/>
        <w:ind w:left="0"/>
        <w:jc w:val="left"/>
        <w:rPr>
          <w:sz w:val="21"/>
        </w:rPr>
      </w:pPr>
    </w:p>
    <w:p w:rsidR="00D81F69" w:rsidRDefault="00330118">
      <w:pPr>
        <w:pStyle w:val="Heading7"/>
        <w:spacing w:before="1"/>
      </w:pPr>
      <w:r>
        <w:t>LOCALIZAÇÃO GEOGRÁFICA</w:t>
      </w:r>
    </w:p>
    <w:p w:rsidR="00D81F69" w:rsidRDefault="00D81F69">
      <w:pPr>
        <w:sectPr w:rsidR="00D81F69">
          <w:pgSz w:w="11900" w:h="16840"/>
          <w:pgMar w:top="740" w:right="500" w:bottom="620" w:left="620" w:header="0" w:footer="402" w:gutter="0"/>
          <w:cols w:num="2" w:space="720" w:equalWidth="0">
            <w:col w:w="5162" w:space="308"/>
            <w:col w:w="5310"/>
          </w:cols>
        </w:sectPr>
      </w:pPr>
    </w:p>
    <w:p w:rsidR="00D81F69" w:rsidRDefault="00D81F69">
      <w:pPr>
        <w:pStyle w:val="Corpodetexto"/>
        <w:ind w:left="0"/>
        <w:jc w:val="left"/>
        <w:rPr>
          <w:sz w:val="22"/>
        </w:rPr>
      </w:pPr>
    </w:p>
    <w:p w:rsidR="00D81F69" w:rsidRDefault="00330118">
      <w:pPr>
        <w:spacing w:before="139"/>
        <w:ind w:left="100"/>
        <w:jc w:val="both"/>
        <w:rPr>
          <w:sz w:val="20"/>
        </w:rPr>
      </w:pPr>
      <w:r>
        <w:rPr>
          <w:sz w:val="20"/>
        </w:rPr>
        <w:t>REDATORES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58"/>
        <w:jc w:val="both"/>
        <w:rPr>
          <w:sz w:val="16"/>
        </w:rPr>
      </w:pPr>
      <w:r>
        <w:rPr>
          <w:sz w:val="16"/>
        </w:rPr>
        <w:t>ACIJA, Associação Comercial e indústria de Jacarepaguá. Audiência Pública – Yamana Gold Jacobina, 17 mar. 2010. Disponível em:</w:t>
      </w:r>
    </w:p>
    <w:p w:rsidR="00D81F69" w:rsidRDefault="00D81F69">
      <w:pPr>
        <w:spacing w:before="1" w:line="312" w:lineRule="auto"/>
        <w:ind w:left="100" w:right="76"/>
        <w:jc w:val="both"/>
        <w:rPr>
          <w:sz w:val="16"/>
        </w:rPr>
      </w:pPr>
      <w:hyperlink r:id="rId670">
        <w:r w:rsidR="00330118">
          <w:rPr>
            <w:sz w:val="16"/>
          </w:rPr>
          <w:t>&lt;http://www.slideshare.net/almacks/audincia-pblica</w:t>
        </w:r>
        <w:r w:rsidR="00330118">
          <w:rPr>
            <w:sz w:val="16"/>
          </w:rPr>
          <w:t>-mp-yamanna-</w:t>
        </w:r>
      </w:hyperlink>
      <w:r w:rsidR="00330118">
        <w:rPr>
          <w:sz w:val="16"/>
        </w:rPr>
        <w:t xml:space="preserve"> pdf&gt;. Acesso em: 17 nov. 2010.</w:t>
      </w:r>
    </w:p>
    <w:p w:rsidR="00D81F69" w:rsidRDefault="00330118">
      <w:pPr>
        <w:spacing w:before="2" w:line="312" w:lineRule="auto"/>
        <w:ind w:left="100" w:right="45"/>
        <w:jc w:val="both"/>
        <w:rPr>
          <w:sz w:val="16"/>
        </w:rPr>
      </w:pPr>
      <w:r>
        <w:rPr>
          <w:spacing w:val="3"/>
          <w:sz w:val="16"/>
        </w:rPr>
        <w:t xml:space="preserve">ANDRADE, Renato; ALMEIDA, Gilson Pereira </w:t>
      </w:r>
      <w:r>
        <w:rPr>
          <w:spacing w:val="2"/>
          <w:sz w:val="16"/>
        </w:rPr>
        <w:t xml:space="preserve">de; </w:t>
      </w:r>
      <w:r>
        <w:rPr>
          <w:spacing w:val="3"/>
          <w:sz w:val="16"/>
        </w:rPr>
        <w:t xml:space="preserve">DIAS, </w:t>
      </w:r>
      <w:r>
        <w:rPr>
          <w:spacing w:val="5"/>
          <w:sz w:val="16"/>
        </w:rPr>
        <w:t xml:space="preserve">Aldijan </w:t>
      </w:r>
      <w:r>
        <w:rPr>
          <w:sz w:val="16"/>
        </w:rPr>
        <w:t xml:space="preserve">Amilton. Relatório de fiscalização de mineração (FPI): </w:t>
      </w:r>
      <w:r>
        <w:rPr>
          <w:spacing w:val="1"/>
          <w:sz w:val="16"/>
        </w:rPr>
        <w:t xml:space="preserve">fiscalização </w:t>
      </w:r>
      <w:r>
        <w:rPr>
          <w:spacing w:val="15"/>
          <w:sz w:val="16"/>
        </w:rPr>
        <w:t xml:space="preserve">preventiva  integrada,  </w:t>
      </w:r>
      <w:r>
        <w:rPr>
          <w:spacing w:val="13"/>
          <w:sz w:val="16"/>
        </w:rPr>
        <w:t xml:space="preserve">CREA-BA,   </w:t>
      </w:r>
      <w:r>
        <w:rPr>
          <w:spacing w:val="12"/>
          <w:sz w:val="16"/>
        </w:rPr>
        <w:t xml:space="preserve">2008.   </w:t>
      </w:r>
      <w:r>
        <w:rPr>
          <w:spacing w:val="15"/>
          <w:sz w:val="16"/>
        </w:rPr>
        <w:t>Disponível</w:t>
      </w:r>
      <w:r>
        <w:rPr>
          <w:spacing w:val="70"/>
          <w:sz w:val="16"/>
        </w:rPr>
        <w:t xml:space="preserve"> </w:t>
      </w:r>
      <w:r>
        <w:rPr>
          <w:spacing w:val="10"/>
          <w:sz w:val="16"/>
        </w:rPr>
        <w:t>em:</w:t>
      </w:r>
      <w:r>
        <w:rPr>
          <w:spacing w:val="-26"/>
          <w:sz w:val="16"/>
        </w:rPr>
        <w:t xml:space="preserve"> </w:t>
      </w:r>
    </w:p>
    <w:p w:rsidR="00D81F69" w:rsidRDefault="00D81F69">
      <w:pPr>
        <w:spacing w:before="2"/>
        <w:ind w:left="100"/>
        <w:jc w:val="both"/>
        <w:rPr>
          <w:sz w:val="16"/>
        </w:rPr>
      </w:pPr>
      <w:hyperlink r:id="rId671">
        <w:r w:rsidR="00330118">
          <w:rPr>
            <w:sz w:val="16"/>
          </w:rPr>
          <w:t>&lt;www.creaba.org.br/Imagens/.../12.../FPI%20Jacobina_2006_2008(1)</w:t>
        </w:r>
      </w:hyperlink>
    </w:p>
    <w:p w:rsidR="00D81F69" w:rsidRDefault="00330118">
      <w:pPr>
        <w:spacing w:before="56"/>
        <w:ind w:left="100"/>
        <w:jc w:val="both"/>
        <w:rPr>
          <w:sz w:val="16"/>
        </w:rPr>
      </w:pPr>
      <w:r>
        <w:rPr>
          <w:sz w:val="16"/>
        </w:rPr>
        <w:t>.pdf&gt;. Acesso em: 18 nov. 2010.</w:t>
      </w:r>
    </w:p>
    <w:p w:rsidR="00D81F69" w:rsidRDefault="00330118">
      <w:pPr>
        <w:spacing w:before="56" w:line="312" w:lineRule="auto"/>
        <w:ind w:left="100" w:right="78"/>
        <w:jc w:val="both"/>
        <w:rPr>
          <w:sz w:val="16"/>
        </w:rPr>
      </w:pPr>
      <w:r>
        <w:rPr>
          <w:sz w:val="16"/>
        </w:rPr>
        <w:t>ARAÚJO NETO Homero. Relatório técnico 28: Perfil do ouro, ago 2009. Disponível em:</w:t>
      </w:r>
    </w:p>
    <w:p w:rsidR="00D81F69" w:rsidRDefault="00D81F69">
      <w:pPr>
        <w:spacing w:before="2"/>
        <w:ind w:left="100"/>
        <w:jc w:val="both"/>
        <w:rPr>
          <w:sz w:val="16"/>
        </w:rPr>
      </w:pPr>
      <w:hyperlink r:id="rId672">
        <w:r w:rsidR="00330118">
          <w:rPr>
            <w:sz w:val="16"/>
          </w:rPr>
          <w:t>&lt;www.mme.gov.br/sgm/...mineracao.../P19_RT28_Perfil_do_Ouro.pdf</w:t>
        </w:r>
      </w:hyperlink>
    </w:p>
    <w:p w:rsidR="00D81F69" w:rsidRDefault="00330118">
      <w:pPr>
        <w:spacing w:before="56"/>
        <w:ind w:left="100"/>
        <w:jc w:val="both"/>
        <w:rPr>
          <w:sz w:val="16"/>
        </w:rPr>
      </w:pPr>
      <w:r>
        <w:rPr>
          <w:sz w:val="16"/>
        </w:rPr>
        <w:t>&gt;. Acesso em: 18 nov. 2010.</w:t>
      </w:r>
    </w:p>
    <w:p w:rsidR="00D81F69" w:rsidRDefault="00330118">
      <w:pPr>
        <w:spacing w:before="56" w:line="312" w:lineRule="auto"/>
        <w:ind w:left="100" w:right="58"/>
        <w:jc w:val="both"/>
        <w:rPr>
          <w:sz w:val="16"/>
        </w:rPr>
      </w:pPr>
      <w:r>
        <w:rPr>
          <w:sz w:val="16"/>
        </w:rPr>
        <w:t xml:space="preserve">A </w:t>
      </w:r>
      <w:r>
        <w:rPr>
          <w:spacing w:val="3"/>
          <w:sz w:val="16"/>
        </w:rPr>
        <w:t xml:space="preserve">TARDE. Mineradora Jacobina </w:t>
      </w:r>
      <w:r>
        <w:rPr>
          <w:spacing w:val="2"/>
          <w:sz w:val="16"/>
        </w:rPr>
        <w:t xml:space="preserve">(BA) </w:t>
      </w:r>
      <w:r>
        <w:rPr>
          <w:spacing w:val="3"/>
          <w:sz w:val="16"/>
        </w:rPr>
        <w:t xml:space="preserve">investe </w:t>
      </w:r>
      <w:r>
        <w:rPr>
          <w:spacing w:val="1"/>
          <w:sz w:val="16"/>
        </w:rPr>
        <w:t xml:space="preserve">U$ 90 </w:t>
      </w:r>
      <w:r>
        <w:rPr>
          <w:spacing w:val="3"/>
          <w:sz w:val="16"/>
        </w:rPr>
        <w:t xml:space="preserve">milhões </w:t>
      </w:r>
      <w:r>
        <w:rPr>
          <w:spacing w:val="5"/>
          <w:sz w:val="16"/>
        </w:rPr>
        <w:t xml:space="preserve">em </w:t>
      </w:r>
      <w:r>
        <w:rPr>
          <w:sz w:val="16"/>
        </w:rPr>
        <w:t xml:space="preserve">expansão e no social. In: Skyscrapercity, 30 ago. 2008. Disponível </w:t>
      </w:r>
      <w:r>
        <w:rPr>
          <w:spacing w:val="2"/>
          <w:sz w:val="16"/>
        </w:rPr>
        <w:t xml:space="preserve">em: </w:t>
      </w:r>
      <w:hyperlink r:id="rId673">
        <w:r>
          <w:rPr>
            <w:spacing w:val="5"/>
            <w:sz w:val="16"/>
          </w:rPr>
          <w:t>&lt;http://www.skyscrapercity.com/showthread.php?t=697984&gt;.</w:t>
        </w:r>
      </w:hyperlink>
      <w:r>
        <w:rPr>
          <w:spacing w:val="5"/>
          <w:sz w:val="16"/>
        </w:rPr>
        <w:t xml:space="preserve"> </w:t>
      </w:r>
      <w:r>
        <w:rPr>
          <w:spacing w:val="3"/>
          <w:sz w:val="16"/>
        </w:rPr>
        <w:t xml:space="preserve">Acesso </w:t>
      </w:r>
      <w:r>
        <w:rPr>
          <w:spacing w:val="2"/>
          <w:sz w:val="16"/>
        </w:rPr>
        <w:t xml:space="preserve">em: </w:t>
      </w:r>
      <w:r>
        <w:rPr>
          <w:spacing w:val="1"/>
          <w:sz w:val="16"/>
        </w:rPr>
        <w:t xml:space="preserve">17 </w:t>
      </w:r>
      <w:r>
        <w:rPr>
          <w:spacing w:val="2"/>
          <w:sz w:val="16"/>
        </w:rPr>
        <w:t>nov.</w:t>
      </w:r>
      <w:r>
        <w:rPr>
          <w:spacing w:val="3"/>
          <w:sz w:val="16"/>
        </w:rPr>
        <w:t xml:space="preserve"> </w:t>
      </w:r>
      <w:r>
        <w:rPr>
          <w:spacing w:val="5"/>
          <w:sz w:val="16"/>
        </w:rPr>
        <w:t>2010.</w:t>
      </w:r>
    </w:p>
    <w:p w:rsidR="00D81F69" w:rsidRDefault="00330118">
      <w:pPr>
        <w:tabs>
          <w:tab w:val="left" w:pos="4331"/>
        </w:tabs>
        <w:spacing w:before="3" w:line="312" w:lineRule="auto"/>
        <w:ind w:left="100" w:right="57"/>
        <w:jc w:val="both"/>
        <w:rPr>
          <w:sz w:val="16"/>
        </w:rPr>
      </w:pPr>
      <w:r>
        <w:rPr>
          <w:sz w:val="16"/>
        </w:rPr>
        <w:t>BRASIL MINERAL. Segurança: Jacob</w:t>
      </w:r>
      <w:r>
        <w:rPr>
          <w:sz w:val="16"/>
        </w:rPr>
        <w:t xml:space="preserve">ina registra 1 milhão de horas </w:t>
      </w:r>
      <w:r>
        <w:rPr>
          <w:spacing w:val="2"/>
          <w:sz w:val="16"/>
        </w:rPr>
        <w:t xml:space="preserve">sem </w:t>
      </w:r>
      <w:r>
        <w:rPr>
          <w:spacing w:val="3"/>
          <w:sz w:val="16"/>
        </w:rPr>
        <w:t xml:space="preserve">acidentes. </w:t>
      </w:r>
      <w:r>
        <w:rPr>
          <w:spacing w:val="2"/>
          <w:sz w:val="16"/>
        </w:rPr>
        <w:t xml:space="preserve">In:  </w:t>
      </w:r>
      <w:r>
        <w:rPr>
          <w:spacing w:val="3"/>
          <w:sz w:val="16"/>
        </w:rPr>
        <w:t xml:space="preserve">Brasil Mineral OnLine </w:t>
      </w:r>
      <w:r>
        <w:rPr>
          <w:spacing w:val="1"/>
          <w:sz w:val="16"/>
        </w:rPr>
        <w:t xml:space="preserve">n°  </w:t>
      </w:r>
      <w:r>
        <w:rPr>
          <w:spacing w:val="2"/>
          <w:sz w:val="16"/>
        </w:rPr>
        <w:t xml:space="preserve">352,  </w:t>
      </w:r>
      <w:r>
        <w:rPr>
          <w:spacing w:val="1"/>
          <w:sz w:val="16"/>
        </w:rPr>
        <w:t xml:space="preserve">14  </w:t>
      </w:r>
      <w:r>
        <w:rPr>
          <w:spacing w:val="2"/>
          <w:sz w:val="16"/>
        </w:rPr>
        <w:t xml:space="preserve">mai.  </w:t>
      </w:r>
      <w:r>
        <w:rPr>
          <w:spacing w:val="5"/>
          <w:sz w:val="16"/>
        </w:rPr>
        <w:t xml:space="preserve">2008.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line="312" w:lineRule="auto"/>
        <w:ind w:left="100" w:right="81"/>
        <w:jc w:val="both"/>
        <w:rPr>
          <w:sz w:val="16"/>
        </w:rPr>
      </w:pPr>
      <w:hyperlink r:id="rId674">
        <w:r w:rsidR="00330118">
          <w:rPr>
            <w:sz w:val="16"/>
          </w:rPr>
          <w:t>&lt;www.brasilmineral.com.br/BM/default.asp?COD=3584&amp;busca=&amp;num</w:t>
        </w:r>
      </w:hyperlink>
      <w:r w:rsidR="00330118">
        <w:rPr>
          <w:sz w:val="16"/>
        </w:rPr>
        <w:t xml:space="preserve"> ero=352&gt;. Acesso em: 18 nov. 2010.</w:t>
      </w:r>
    </w:p>
    <w:p w:rsidR="00D81F69" w:rsidRDefault="00330118">
      <w:pPr>
        <w:tabs>
          <w:tab w:val="left" w:pos="635"/>
        </w:tabs>
        <w:spacing w:before="2" w:line="312" w:lineRule="auto"/>
        <w:ind w:left="100" w:right="56"/>
        <w:jc w:val="both"/>
        <w:rPr>
          <w:sz w:val="16"/>
        </w:rPr>
      </w:pPr>
      <w:r>
        <w:rPr>
          <w:sz w:val="16"/>
          <w:u w:val="single"/>
        </w:rPr>
        <w:t xml:space="preserve"> </w:t>
      </w:r>
      <w:r>
        <w:rPr>
          <w:sz w:val="16"/>
          <w:u w:val="single"/>
        </w:rPr>
        <w:tab/>
      </w:r>
      <w:r>
        <w:rPr>
          <w:sz w:val="16"/>
        </w:rPr>
        <w:t xml:space="preserve">. Certificações: Três unidades da Yamana ganham ISO 14001. </w:t>
      </w:r>
      <w:r>
        <w:rPr>
          <w:spacing w:val="3"/>
          <w:sz w:val="16"/>
        </w:rPr>
        <w:t>In:</w:t>
      </w:r>
      <w:r>
        <w:rPr>
          <w:spacing w:val="42"/>
          <w:sz w:val="16"/>
        </w:rPr>
        <w:t xml:space="preserve"> </w:t>
      </w:r>
      <w:r>
        <w:rPr>
          <w:spacing w:val="5"/>
          <w:sz w:val="16"/>
        </w:rPr>
        <w:t>Brasil</w:t>
      </w:r>
      <w:r>
        <w:rPr>
          <w:spacing w:val="42"/>
          <w:sz w:val="16"/>
        </w:rPr>
        <w:t xml:space="preserve"> </w:t>
      </w:r>
      <w:r>
        <w:rPr>
          <w:spacing w:val="5"/>
          <w:sz w:val="16"/>
        </w:rPr>
        <w:t>Mineral</w:t>
      </w:r>
      <w:r>
        <w:rPr>
          <w:spacing w:val="42"/>
          <w:sz w:val="16"/>
        </w:rPr>
        <w:t xml:space="preserve"> </w:t>
      </w:r>
      <w:r>
        <w:rPr>
          <w:spacing w:val="5"/>
          <w:sz w:val="16"/>
        </w:rPr>
        <w:t>OnLine</w:t>
      </w:r>
      <w:r>
        <w:rPr>
          <w:spacing w:val="42"/>
          <w:sz w:val="16"/>
        </w:rPr>
        <w:t xml:space="preserve"> </w:t>
      </w:r>
      <w:r>
        <w:rPr>
          <w:spacing w:val="5"/>
          <w:sz w:val="16"/>
        </w:rPr>
        <w:t>n°437,</w:t>
      </w:r>
      <w:r>
        <w:rPr>
          <w:spacing w:val="42"/>
          <w:sz w:val="16"/>
        </w:rPr>
        <w:t xml:space="preserve"> </w:t>
      </w:r>
      <w:r>
        <w:rPr>
          <w:spacing w:val="2"/>
          <w:sz w:val="16"/>
        </w:rPr>
        <w:t>03</w:t>
      </w:r>
      <w:r>
        <w:rPr>
          <w:spacing w:val="42"/>
          <w:sz w:val="16"/>
        </w:rPr>
        <w:t xml:space="preserve"> </w:t>
      </w:r>
      <w:r>
        <w:rPr>
          <w:spacing w:val="5"/>
          <w:sz w:val="16"/>
        </w:rPr>
        <w:t>fev.</w:t>
      </w:r>
      <w:r>
        <w:rPr>
          <w:spacing w:val="42"/>
          <w:sz w:val="16"/>
        </w:rPr>
        <w:t xml:space="preserve"> </w:t>
      </w:r>
      <w:r>
        <w:rPr>
          <w:spacing w:val="5"/>
          <w:sz w:val="16"/>
        </w:rPr>
        <w:t>2010.</w:t>
      </w:r>
      <w:r>
        <w:rPr>
          <w:spacing w:val="42"/>
          <w:sz w:val="16"/>
        </w:rPr>
        <w:t xml:space="preserve"> </w:t>
      </w:r>
      <w:r>
        <w:rPr>
          <w:spacing w:val="5"/>
          <w:sz w:val="16"/>
        </w:rPr>
        <w:t>Disponível</w:t>
      </w:r>
      <w:r>
        <w:rPr>
          <w:spacing w:val="42"/>
          <w:sz w:val="16"/>
        </w:rPr>
        <w:t xml:space="preserve"> </w:t>
      </w:r>
      <w:r>
        <w:rPr>
          <w:spacing w:val="6"/>
          <w:sz w:val="16"/>
        </w:rPr>
        <w:t>em:</w:t>
      </w:r>
    </w:p>
    <w:p w:rsidR="00D81F69" w:rsidRDefault="00D81F69">
      <w:pPr>
        <w:spacing w:before="1"/>
        <w:ind w:left="100"/>
        <w:jc w:val="both"/>
        <w:rPr>
          <w:sz w:val="16"/>
        </w:rPr>
      </w:pPr>
      <w:hyperlink r:id="rId675">
        <w:r w:rsidR="00330118">
          <w:rPr>
            <w:sz w:val="16"/>
          </w:rPr>
          <w:t>&lt;http://www.brasilmineral.com.br/BM//default.asp?COD=4694&amp;busca</w:t>
        </w:r>
      </w:hyperlink>
    </w:p>
    <w:p w:rsidR="00D81F69" w:rsidRDefault="00330118">
      <w:pPr>
        <w:spacing w:before="56"/>
        <w:ind w:left="100"/>
        <w:jc w:val="both"/>
        <w:rPr>
          <w:sz w:val="16"/>
        </w:rPr>
      </w:pPr>
      <w:r>
        <w:rPr>
          <w:sz w:val="16"/>
        </w:rPr>
        <w:t>=&amp;numero=437&gt;. Acesso em: 18 nov. 2010.</w:t>
      </w:r>
    </w:p>
    <w:p w:rsidR="00D81F69" w:rsidRDefault="00330118">
      <w:pPr>
        <w:tabs>
          <w:tab w:val="left" w:pos="2559"/>
          <w:tab w:val="left" w:pos="5063"/>
        </w:tabs>
        <w:spacing w:before="56" w:line="312" w:lineRule="auto"/>
        <w:ind w:left="100" w:right="59"/>
        <w:jc w:val="both"/>
        <w:rPr>
          <w:sz w:val="16"/>
        </w:rPr>
      </w:pPr>
      <w:r>
        <w:rPr>
          <w:spacing w:val="5"/>
          <w:sz w:val="16"/>
        </w:rPr>
        <w:t xml:space="preserve">CORREIO </w:t>
      </w:r>
      <w:r>
        <w:rPr>
          <w:spacing w:val="6"/>
          <w:sz w:val="16"/>
        </w:rPr>
        <w:t xml:space="preserve">BRAZILIENSE. </w:t>
      </w:r>
      <w:r>
        <w:rPr>
          <w:spacing w:val="5"/>
          <w:sz w:val="16"/>
        </w:rPr>
        <w:t xml:space="preserve">Alta </w:t>
      </w:r>
      <w:r>
        <w:rPr>
          <w:spacing w:val="3"/>
          <w:sz w:val="16"/>
        </w:rPr>
        <w:t xml:space="preserve">de </w:t>
      </w:r>
      <w:r>
        <w:rPr>
          <w:spacing w:val="5"/>
          <w:sz w:val="16"/>
        </w:rPr>
        <w:t xml:space="preserve">preços </w:t>
      </w:r>
      <w:r>
        <w:rPr>
          <w:spacing w:val="3"/>
          <w:sz w:val="16"/>
        </w:rPr>
        <w:t xml:space="preserve">do </w:t>
      </w:r>
      <w:r>
        <w:rPr>
          <w:spacing w:val="5"/>
          <w:sz w:val="16"/>
        </w:rPr>
        <w:t xml:space="preserve">ouro </w:t>
      </w:r>
      <w:r>
        <w:rPr>
          <w:spacing w:val="6"/>
          <w:sz w:val="16"/>
        </w:rPr>
        <w:t xml:space="preserve">viabiliza </w:t>
      </w:r>
      <w:r>
        <w:rPr>
          <w:sz w:val="16"/>
        </w:rPr>
        <w:t xml:space="preserve">a </w:t>
      </w:r>
      <w:r>
        <w:rPr>
          <w:spacing w:val="1"/>
          <w:sz w:val="16"/>
        </w:rPr>
        <w:t xml:space="preserve">exploração </w:t>
      </w:r>
      <w:r>
        <w:rPr>
          <w:sz w:val="16"/>
        </w:rPr>
        <w:t xml:space="preserve">de </w:t>
      </w:r>
      <w:r>
        <w:rPr>
          <w:spacing w:val="1"/>
          <w:sz w:val="16"/>
        </w:rPr>
        <w:t xml:space="preserve">jazidas </w:t>
      </w:r>
      <w:r>
        <w:rPr>
          <w:sz w:val="16"/>
        </w:rPr>
        <w:t xml:space="preserve">que não </w:t>
      </w:r>
      <w:r>
        <w:rPr>
          <w:spacing w:val="1"/>
          <w:sz w:val="16"/>
        </w:rPr>
        <w:t>eram viáveis econo</w:t>
      </w:r>
      <w:r>
        <w:rPr>
          <w:spacing w:val="1"/>
          <w:sz w:val="16"/>
        </w:rPr>
        <w:t xml:space="preserve">micamente. </w:t>
      </w:r>
      <w:r>
        <w:rPr>
          <w:spacing w:val="2"/>
          <w:sz w:val="16"/>
        </w:rPr>
        <w:t xml:space="preserve">In: </w:t>
      </w:r>
      <w:r>
        <w:rPr>
          <w:sz w:val="16"/>
        </w:rPr>
        <w:t>Instituto Brasileiro de Mineração (Ibram), 30 maio 2010. Disponível     e</w:t>
      </w:r>
      <w:r>
        <w:rPr>
          <w:sz w:val="16"/>
        </w:rPr>
        <w:tab/>
        <w:t>m</w:t>
      </w:r>
      <w:r>
        <w:rPr>
          <w:sz w:val="16"/>
        </w:rPr>
        <w:tab/>
        <w:t>:</w:t>
      </w:r>
    </w:p>
    <w:p w:rsidR="00D81F69" w:rsidRDefault="00D81F69">
      <w:pPr>
        <w:spacing w:before="4" w:line="312" w:lineRule="auto"/>
        <w:ind w:left="100" w:right="62"/>
        <w:jc w:val="both"/>
        <w:rPr>
          <w:sz w:val="16"/>
        </w:rPr>
      </w:pPr>
      <w:hyperlink r:id="rId676">
        <w:r w:rsidR="00330118">
          <w:rPr>
            <w:sz w:val="16"/>
          </w:rPr>
          <w:t>&lt;http://www.ibram.org.br/150/15001002.asp?ttCD_CHAVE=112295&gt;.</w:t>
        </w:r>
      </w:hyperlink>
      <w:r w:rsidR="00330118">
        <w:rPr>
          <w:sz w:val="16"/>
        </w:rPr>
        <w:t xml:space="preserve"> Acesso em: 18 nov. 2010.</w:t>
      </w:r>
    </w:p>
    <w:p w:rsidR="00D81F69" w:rsidRDefault="00330118">
      <w:pPr>
        <w:spacing w:before="1" w:line="312" w:lineRule="auto"/>
        <w:ind w:left="100" w:right="38"/>
        <w:jc w:val="both"/>
        <w:rPr>
          <w:sz w:val="16"/>
        </w:rPr>
      </w:pPr>
      <w:r>
        <w:rPr>
          <w:spacing w:val="3"/>
          <w:sz w:val="16"/>
        </w:rPr>
        <w:t xml:space="preserve">CORREIO </w:t>
      </w:r>
      <w:r>
        <w:rPr>
          <w:spacing w:val="1"/>
          <w:sz w:val="16"/>
        </w:rPr>
        <w:t xml:space="preserve">DA </w:t>
      </w:r>
      <w:r>
        <w:rPr>
          <w:spacing w:val="3"/>
          <w:sz w:val="16"/>
        </w:rPr>
        <w:t xml:space="preserve">BAHIA. Mineradora investirá </w:t>
      </w:r>
      <w:r>
        <w:rPr>
          <w:spacing w:val="2"/>
          <w:sz w:val="16"/>
        </w:rPr>
        <w:t xml:space="preserve">US$ 407 </w:t>
      </w:r>
      <w:r>
        <w:rPr>
          <w:spacing w:val="3"/>
          <w:sz w:val="16"/>
        </w:rPr>
        <w:t xml:space="preserve">milhões </w:t>
      </w:r>
      <w:r>
        <w:rPr>
          <w:spacing w:val="5"/>
          <w:sz w:val="16"/>
        </w:rPr>
        <w:t xml:space="preserve">na </w:t>
      </w:r>
      <w:r>
        <w:rPr>
          <w:spacing w:val="20"/>
          <w:sz w:val="16"/>
        </w:rPr>
        <w:t xml:space="preserve">Bahia. </w:t>
      </w:r>
      <w:r>
        <w:rPr>
          <w:spacing w:val="15"/>
          <w:sz w:val="16"/>
        </w:rPr>
        <w:t>In:</w:t>
      </w:r>
      <w:r>
        <w:rPr>
          <w:spacing w:val="75"/>
          <w:sz w:val="16"/>
        </w:rPr>
        <w:t xml:space="preserve"> </w:t>
      </w:r>
      <w:r>
        <w:rPr>
          <w:spacing w:val="20"/>
          <w:sz w:val="16"/>
        </w:rPr>
        <w:t>Intelog,</w:t>
      </w:r>
      <w:r>
        <w:rPr>
          <w:spacing w:val="85"/>
          <w:sz w:val="16"/>
        </w:rPr>
        <w:t xml:space="preserve"> </w:t>
      </w:r>
      <w:r>
        <w:rPr>
          <w:spacing w:val="11"/>
          <w:sz w:val="16"/>
        </w:rPr>
        <w:t xml:space="preserve">16 </w:t>
      </w:r>
      <w:r>
        <w:rPr>
          <w:spacing w:val="17"/>
          <w:sz w:val="16"/>
        </w:rPr>
        <w:t xml:space="preserve">jun. </w:t>
      </w:r>
      <w:r>
        <w:rPr>
          <w:spacing w:val="20"/>
          <w:sz w:val="16"/>
        </w:rPr>
        <w:t xml:space="preserve">2008. </w:t>
      </w:r>
      <w:r>
        <w:rPr>
          <w:spacing w:val="21"/>
          <w:sz w:val="16"/>
        </w:rPr>
        <w:t>Disponível</w:t>
      </w:r>
      <w:r>
        <w:rPr>
          <w:spacing w:val="20"/>
          <w:sz w:val="16"/>
        </w:rPr>
        <w:t xml:space="preserve"> </w:t>
      </w:r>
      <w:r>
        <w:rPr>
          <w:spacing w:val="15"/>
          <w:sz w:val="16"/>
        </w:rPr>
        <w:t>em:</w:t>
      </w:r>
      <w:r>
        <w:rPr>
          <w:spacing w:val="-19"/>
          <w:sz w:val="16"/>
        </w:rPr>
        <w:t xml:space="preserve"> </w:t>
      </w:r>
    </w:p>
    <w:p w:rsidR="00D81F69" w:rsidRDefault="00D81F69">
      <w:pPr>
        <w:spacing w:before="2" w:line="312" w:lineRule="auto"/>
        <w:ind w:left="100" w:right="81"/>
        <w:jc w:val="both"/>
        <w:rPr>
          <w:sz w:val="16"/>
        </w:rPr>
      </w:pPr>
      <w:hyperlink r:id="rId677">
        <w:r w:rsidR="00330118">
          <w:rPr>
            <w:sz w:val="16"/>
          </w:rPr>
          <w:t>&lt;www.intelog.net/site/default.asp?TroncoID=907492&amp;</w:t>
        </w:r>
        <w:r w:rsidR="00330118">
          <w:rPr>
            <w:sz w:val="16"/>
          </w:rPr>
          <w:t>SecaoID=50807</w:t>
        </w:r>
      </w:hyperlink>
      <w:r w:rsidR="00330118">
        <w:rPr>
          <w:sz w:val="16"/>
        </w:rPr>
        <w:t xml:space="preserve"> 4&amp;SubsecaoID=818291&amp;Template=../artigosnoticias/user_exibir.asp&amp; ID=163929&amp;Titulo=Mineradora%20investir%E1%20US%24407%20mi lh%F5es%20na%20Bahia&gt;. Acesso em: 17 nov. 2010.</w:t>
      </w:r>
    </w:p>
    <w:p w:rsidR="00D81F69" w:rsidRDefault="00330118">
      <w:pPr>
        <w:tabs>
          <w:tab w:val="left" w:pos="4331"/>
        </w:tabs>
        <w:spacing w:before="3" w:line="312" w:lineRule="auto"/>
        <w:ind w:left="100" w:right="62"/>
        <w:jc w:val="both"/>
        <w:rPr>
          <w:sz w:val="16"/>
        </w:rPr>
      </w:pPr>
      <w:r>
        <w:rPr>
          <w:sz w:val="16"/>
        </w:rPr>
        <w:t>CPT-BA, Comissão Pastoral da Terra da Bahia. Impactos causados pela min</w:t>
      </w:r>
      <w:r>
        <w:rPr>
          <w:sz w:val="16"/>
        </w:rPr>
        <w:t xml:space="preserve">eração na Bahia serão refletidos em encontro, 11 nov. 2010.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line="312" w:lineRule="auto"/>
        <w:ind w:left="100" w:right="58"/>
        <w:jc w:val="both"/>
        <w:rPr>
          <w:sz w:val="16"/>
        </w:rPr>
      </w:pPr>
      <w:hyperlink r:id="rId678">
        <w:r w:rsidR="00330118">
          <w:rPr>
            <w:sz w:val="16"/>
          </w:rPr>
          <w:t>&lt;http://www.cptba.org.br/index.php?option=</w:t>
        </w:r>
        <w:r w:rsidR="00330118">
          <w:rPr>
            <w:sz w:val="16"/>
          </w:rPr>
          <w:t>com_content&amp;view=article</w:t>
        </w:r>
      </w:hyperlink>
      <w:r w:rsidR="00330118">
        <w:rPr>
          <w:sz w:val="16"/>
        </w:rPr>
        <w:t xml:space="preserve"> &amp;id=509:encontro-reflete-impactos-causados-pela-mineracao-na- bahia&amp;catid=8:noticias-recentes&amp;Itemid=6&gt;. Acesso em: 18 nov. 2010.</w:t>
      </w:r>
    </w:p>
    <w:p w:rsidR="00D81F69" w:rsidRDefault="00330118">
      <w:pPr>
        <w:spacing w:before="3" w:line="312" w:lineRule="auto"/>
        <w:ind w:left="100" w:right="49"/>
        <w:jc w:val="both"/>
        <w:rPr>
          <w:sz w:val="16"/>
        </w:rPr>
      </w:pPr>
      <w:r>
        <w:rPr>
          <w:sz w:val="16"/>
        </w:rPr>
        <w:t>DNPM, Departamento Nacional de Produção Mineral. Mineração no Semiárido Brasileiro, Brasília (DF), 20</w:t>
      </w:r>
      <w:r>
        <w:rPr>
          <w:sz w:val="16"/>
        </w:rPr>
        <w:t>09. Disponível em:</w:t>
      </w:r>
    </w:p>
    <w:p w:rsidR="00D81F69" w:rsidRDefault="00D81F69">
      <w:pPr>
        <w:spacing w:before="1" w:line="312" w:lineRule="auto"/>
        <w:ind w:left="100" w:right="80"/>
        <w:jc w:val="both"/>
        <w:rPr>
          <w:sz w:val="16"/>
        </w:rPr>
      </w:pPr>
      <w:hyperlink r:id="rId679">
        <w:r w:rsidR="00330118">
          <w:rPr>
            <w:sz w:val="16"/>
          </w:rPr>
          <w:t>&lt;http://www.dnpm.gov.br/mostra_arquivo.asp?IDBancoArquivoArquiv</w:t>
        </w:r>
      </w:hyperlink>
      <w:r w:rsidR="00330118">
        <w:rPr>
          <w:sz w:val="16"/>
        </w:rPr>
        <w:t xml:space="preserve"> o=3194&gt;. Acesso em: 18 nov. 2010.</w:t>
      </w:r>
    </w:p>
    <w:p w:rsidR="00D81F69" w:rsidRDefault="00330118">
      <w:pPr>
        <w:spacing w:before="70" w:line="312" w:lineRule="auto"/>
        <w:ind w:left="100" w:right="171"/>
        <w:jc w:val="both"/>
        <w:rPr>
          <w:sz w:val="16"/>
        </w:rPr>
      </w:pPr>
      <w:r>
        <w:br w:type="column"/>
      </w:r>
      <w:r>
        <w:rPr>
          <w:sz w:val="16"/>
        </w:rPr>
        <w:lastRenderedPageBreak/>
        <w:t>FARIAS, Sara Oliveira. Trabalho, sindicato e relações de f</w:t>
      </w:r>
      <w:r>
        <w:rPr>
          <w:sz w:val="16"/>
        </w:rPr>
        <w:t xml:space="preserve">orça. X Encontro Nacional da História Oral - Testemunhos: História e Política, Recife (PE), 26 a 30 abr. 2010. Disponível em: </w:t>
      </w:r>
    </w:p>
    <w:p w:rsidR="00D81F69" w:rsidRDefault="00D81F69">
      <w:pPr>
        <w:spacing w:before="2" w:line="312" w:lineRule="auto"/>
        <w:ind w:left="100" w:right="195"/>
        <w:jc w:val="both"/>
        <w:rPr>
          <w:sz w:val="16"/>
        </w:rPr>
      </w:pPr>
      <w:hyperlink r:id="rId680">
        <w:r w:rsidR="00330118">
          <w:rPr>
            <w:sz w:val="16"/>
          </w:rPr>
          <w:t>&lt;http://www.encontro2010.historiaoral.org.br</w:t>
        </w:r>
        <w:r w:rsidR="00330118">
          <w:rPr>
            <w:sz w:val="16"/>
          </w:rPr>
          <w:t>/resources/anais/2/12705</w:t>
        </w:r>
      </w:hyperlink>
      <w:r w:rsidR="00330118">
        <w:rPr>
          <w:sz w:val="16"/>
        </w:rPr>
        <w:t xml:space="preserve"> 94647_ARQUIVO_TextofinalABHO2010.pdf&gt;. Acesso em: 19 nov. 2010.</w:t>
      </w:r>
    </w:p>
    <w:p w:rsidR="00D81F69" w:rsidRDefault="00330118">
      <w:pPr>
        <w:tabs>
          <w:tab w:val="left" w:pos="2559"/>
          <w:tab w:val="left" w:pos="5063"/>
        </w:tabs>
        <w:spacing w:before="3" w:line="312" w:lineRule="auto"/>
        <w:ind w:left="100" w:right="197"/>
        <w:jc w:val="both"/>
        <w:rPr>
          <w:sz w:val="16"/>
        </w:rPr>
      </w:pPr>
      <w:r>
        <w:rPr>
          <w:sz w:val="16"/>
        </w:rPr>
        <w:t xml:space="preserve">FERNANDES, Francisco Rego Chaves; LIMA, Maria Helena Rocha; </w:t>
      </w:r>
      <w:r>
        <w:rPr>
          <w:spacing w:val="1"/>
          <w:sz w:val="16"/>
        </w:rPr>
        <w:t xml:space="preserve">TEIXEIRA, Nilo </w:t>
      </w:r>
      <w:r>
        <w:rPr>
          <w:sz w:val="16"/>
        </w:rPr>
        <w:t xml:space="preserve">da </w:t>
      </w:r>
      <w:r>
        <w:rPr>
          <w:spacing w:val="1"/>
          <w:sz w:val="16"/>
        </w:rPr>
        <w:t xml:space="preserve">Silva. </w:t>
      </w:r>
      <w:r>
        <w:rPr>
          <w:sz w:val="16"/>
        </w:rPr>
        <w:t xml:space="preserve">As </w:t>
      </w:r>
      <w:r>
        <w:rPr>
          <w:spacing w:val="1"/>
          <w:sz w:val="16"/>
        </w:rPr>
        <w:t xml:space="preserve">grandes minas </w:t>
      </w:r>
      <w:r>
        <w:rPr>
          <w:sz w:val="16"/>
        </w:rPr>
        <w:t xml:space="preserve">e o </w:t>
      </w:r>
      <w:r>
        <w:rPr>
          <w:spacing w:val="2"/>
          <w:sz w:val="16"/>
        </w:rPr>
        <w:t xml:space="preserve">desenvolvimento </w:t>
      </w:r>
      <w:r>
        <w:rPr>
          <w:sz w:val="16"/>
        </w:rPr>
        <w:t>humano das comunidades do Semi-Árido brasilei</w:t>
      </w:r>
      <w:r>
        <w:rPr>
          <w:sz w:val="16"/>
        </w:rPr>
        <w:t>ro. In: Rev. Ciênc. Admin., Fortaleza, v. 15, n. 1, p. 105-132, jan./jun. 2009. Disponível    e</w:t>
      </w:r>
      <w:r>
        <w:rPr>
          <w:sz w:val="16"/>
        </w:rPr>
        <w:tab/>
        <w:t>m</w:t>
      </w:r>
      <w:r>
        <w:rPr>
          <w:sz w:val="16"/>
        </w:rPr>
        <w:tab/>
        <w:t>:</w:t>
      </w:r>
    </w:p>
    <w:p w:rsidR="00D81F69" w:rsidRDefault="00D81F69">
      <w:pPr>
        <w:spacing w:before="4"/>
        <w:ind w:left="100"/>
        <w:jc w:val="both"/>
        <w:rPr>
          <w:sz w:val="16"/>
        </w:rPr>
      </w:pPr>
      <w:hyperlink r:id="rId681">
        <w:r w:rsidR="00330118">
          <w:rPr>
            <w:sz w:val="16"/>
          </w:rPr>
          <w:t>&lt;http://www.unifor.br/joomla/joomla/images/pdfs/pdfs_notitia/3574.pdf</w:t>
        </w:r>
      </w:hyperlink>
    </w:p>
    <w:p w:rsidR="00D81F69" w:rsidRDefault="00330118">
      <w:pPr>
        <w:spacing w:before="56"/>
        <w:ind w:left="100"/>
        <w:jc w:val="both"/>
        <w:rPr>
          <w:sz w:val="16"/>
        </w:rPr>
      </w:pPr>
      <w:r>
        <w:rPr>
          <w:sz w:val="16"/>
        </w:rPr>
        <w:t>&gt;. Acesso em: 19 nov. 2010.</w:t>
      </w:r>
    </w:p>
    <w:p w:rsidR="00D81F69" w:rsidRDefault="00330118">
      <w:pPr>
        <w:tabs>
          <w:tab w:val="left" w:pos="4331"/>
        </w:tabs>
        <w:spacing w:before="56" w:line="312" w:lineRule="auto"/>
        <w:ind w:left="100" w:right="198"/>
        <w:jc w:val="both"/>
        <w:rPr>
          <w:sz w:val="16"/>
        </w:rPr>
      </w:pPr>
      <w:r>
        <w:rPr>
          <w:sz w:val="16"/>
        </w:rPr>
        <w:t xml:space="preserve">IBGE, Instituto Brasileiro de Geografia e Estatística. Jacobina, 2009.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1"/>
        <w:ind w:left="100"/>
        <w:jc w:val="both"/>
        <w:rPr>
          <w:sz w:val="16"/>
        </w:rPr>
      </w:pPr>
      <w:hyperlink r:id="rId682">
        <w:r w:rsidR="00330118">
          <w:rPr>
            <w:sz w:val="16"/>
          </w:rPr>
          <w:t>&lt;</w:t>
        </w:r>
        <w:r w:rsidR="00330118">
          <w:rPr>
            <w:sz w:val="16"/>
          </w:rPr>
          <w:t>http://www.ibge.gov.br/cidadesat/xtras/perfil.php?codmun=291750&amp;r</w:t>
        </w:r>
      </w:hyperlink>
    </w:p>
    <w:p w:rsidR="00D81F69" w:rsidRDefault="00330118">
      <w:pPr>
        <w:spacing w:before="56"/>
        <w:ind w:left="100"/>
        <w:jc w:val="both"/>
        <w:rPr>
          <w:sz w:val="16"/>
        </w:rPr>
      </w:pPr>
      <w:r>
        <w:rPr>
          <w:sz w:val="16"/>
        </w:rPr>
        <w:t>=2&gt;. Acesso em: 17 nov. 2010.</w:t>
      </w:r>
    </w:p>
    <w:p w:rsidR="00D81F69" w:rsidRDefault="00330118">
      <w:pPr>
        <w:tabs>
          <w:tab w:val="left" w:pos="4331"/>
        </w:tabs>
        <w:spacing w:before="56" w:line="312" w:lineRule="auto"/>
        <w:ind w:left="100" w:right="194"/>
        <w:jc w:val="both"/>
        <w:rPr>
          <w:sz w:val="16"/>
        </w:rPr>
      </w:pPr>
      <w:r>
        <w:rPr>
          <w:sz w:val="16"/>
        </w:rPr>
        <w:t xml:space="preserve">LIMA, Luiz Rogério Pinho de Andrade; BERNADEZ, Letícia Alonso; </w:t>
      </w:r>
      <w:r>
        <w:rPr>
          <w:spacing w:val="5"/>
          <w:sz w:val="16"/>
        </w:rPr>
        <w:t xml:space="preserve">BARBOSA, </w:t>
      </w:r>
      <w:r>
        <w:rPr>
          <w:spacing w:val="3"/>
          <w:sz w:val="16"/>
        </w:rPr>
        <w:t xml:space="preserve">Luis </w:t>
      </w:r>
      <w:r>
        <w:rPr>
          <w:spacing w:val="5"/>
          <w:sz w:val="16"/>
        </w:rPr>
        <w:t xml:space="preserve">Alberto Dantas. </w:t>
      </w:r>
      <w:r>
        <w:rPr>
          <w:spacing w:val="3"/>
          <w:sz w:val="16"/>
        </w:rPr>
        <w:t xml:space="preserve">Gold </w:t>
      </w:r>
      <w:r>
        <w:rPr>
          <w:spacing w:val="5"/>
          <w:sz w:val="16"/>
        </w:rPr>
        <w:t xml:space="preserve">processing residue from Jacobina Basin: chemical </w:t>
      </w:r>
      <w:r>
        <w:rPr>
          <w:spacing w:val="3"/>
          <w:sz w:val="16"/>
        </w:rPr>
        <w:t xml:space="preserve">and </w:t>
      </w:r>
      <w:r>
        <w:rPr>
          <w:spacing w:val="5"/>
          <w:sz w:val="16"/>
        </w:rPr>
        <w:t xml:space="preserve">physical </w:t>
      </w:r>
      <w:r>
        <w:rPr>
          <w:spacing w:val="5"/>
          <w:sz w:val="16"/>
        </w:rPr>
        <w:t xml:space="preserve">properties. </w:t>
      </w:r>
      <w:r>
        <w:rPr>
          <w:spacing w:val="3"/>
          <w:sz w:val="16"/>
        </w:rPr>
        <w:t xml:space="preserve">In: </w:t>
      </w:r>
      <w:r>
        <w:rPr>
          <w:spacing w:val="6"/>
          <w:sz w:val="16"/>
        </w:rPr>
        <w:t xml:space="preserve">Revista </w:t>
      </w:r>
      <w:r>
        <w:rPr>
          <w:spacing w:val="3"/>
          <w:sz w:val="16"/>
        </w:rPr>
        <w:t xml:space="preserve">Brasileira </w:t>
      </w:r>
      <w:r>
        <w:rPr>
          <w:spacing w:val="1"/>
          <w:sz w:val="16"/>
        </w:rPr>
        <w:t xml:space="preserve">de </w:t>
      </w:r>
      <w:r>
        <w:rPr>
          <w:spacing w:val="3"/>
          <w:sz w:val="16"/>
        </w:rPr>
        <w:t xml:space="preserve">Geociências, volume </w:t>
      </w:r>
      <w:r>
        <w:rPr>
          <w:spacing w:val="1"/>
          <w:sz w:val="16"/>
        </w:rPr>
        <w:t xml:space="preserve">37 </w:t>
      </w:r>
      <w:r>
        <w:rPr>
          <w:spacing w:val="2"/>
          <w:sz w:val="16"/>
        </w:rPr>
        <w:t xml:space="preserve">(4), </w:t>
      </w:r>
      <w:r>
        <w:rPr>
          <w:spacing w:val="1"/>
          <w:sz w:val="16"/>
        </w:rPr>
        <w:t xml:space="preserve">p. </w:t>
      </w:r>
      <w:r>
        <w:rPr>
          <w:spacing w:val="3"/>
          <w:sz w:val="16"/>
        </w:rPr>
        <w:t xml:space="preserve">848-852, </w:t>
      </w:r>
      <w:r>
        <w:rPr>
          <w:spacing w:val="2"/>
          <w:sz w:val="16"/>
        </w:rPr>
        <w:t xml:space="preserve">dez. </w:t>
      </w:r>
      <w:r>
        <w:rPr>
          <w:spacing w:val="5"/>
          <w:sz w:val="16"/>
        </w:rPr>
        <w:t xml:space="preserve">2007.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 xml:space="preserve">e      m    </w:t>
      </w:r>
      <w:r>
        <w:rPr>
          <w:spacing w:val="20"/>
          <w:sz w:val="16"/>
        </w:rPr>
        <w:t xml:space="preserve"> </w:t>
      </w:r>
      <w:r>
        <w:rPr>
          <w:sz w:val="16"/>
        </w:rPr>
        <w:t>:</w:t>
      </w:r>
    </w:p>
    <w:p w:rsidR="00D81F69" w:rsidRDefault="00D81F69">
      <w:pPr>
        <w:spacing w:before="4"/>
        <w:ind w:left="100"/>
        <w:jc w:val="both"/>
        <w:rPr>
          <w:sz w:val="16"/>
        </w:rPr>
      </w:pPr>
      <w:hyperlink r:id="rId683">
        <w:r w:rsidR="00330118">
          <w:rPr>
            <w:sz w:val="16"/>
          </w:rPr>
          <w:t>&lt;h</w:t>
        </w:r>
        <w:r w:rsidR="00330118">
          <w:rPr>
            <w:sz w:val="16"/>
          </w:rPr>
          <w:t>ttp://ojs.c3sl.ufpr.br/ojs2/index.php/rbg/article/download/11450/7969</w:t>
        </w:r>
      </w:hyperlink>
    </w:p>
    <w:p w:rsidR="00D81F69" w:rsidRDefault="00330118">
      <w:pPr>
        <w:spacing w:before="56"/>
        <w:ind w:left="100"/>
        <w:jc w:val="both"/>
        <w:rPr>
          <w:sz w:val="16"/>
        </w:rPr>
      </w:pPr>
      <w:r>
        <w:rPr>
          <w:sz w:val="16"/>
        </w:rPr>
        <w:t>&gt;. Acesso em: 19 nov. 2010.</w:t>
      </w:r>
    </w:p>
    <w:p w:rsidR="00D81F69" w:rsidRDefault="00330118">
      <w:pPr>
        <w:spacing w:before="56" w:line="312" w:lineRule="auto"/>
        <w:ind w:left="100" w:right="194"/>
        <w:jc w:val="both"/>
        <w:rPr>
          <w:sz w:val="16"/>
        </w:rPr>
      </w:pPr>
      <w:r>
        <w:rPr>
          <w:sz w:val="16"/>
        </w:rPr>
        <w:t>NOVAIS, Marcos Paulo Souza. Aspectos da apropriação e ocupação do espaço na microbacia rio do Ouro, Jacobina – Bahia e suas repercussões socioambientais, 25 a</w:t>
      </w:r>
      <w:r>
        <w:rPr>
          <w:sz w:val="16"/>
        </w:rPr>
        <w:t xml:space="preserve"> 31 de julho de 2010. Anais XVI Nacional de Geógrafos, Porto Alegre - RS, 2010. Disponível em:</w:t>
      </w:r>
    </w:p>
    <w:p w:rsidR="00D81F69" w:rsidRDefault="00D81F69">
      <w:pPr>
        <w:spacing w:before="4" w:line="312" w:lineRule="auto"/>
        <w:ind w:left="100" w:right="192"/>
        <w:jc w:val="both"/>
        <w:rPr>
          <w:sz w:val="16"/>
        </w:rPr>
      </w:pPr>
      <w:hyperlink r:id="rId684">
        <w:r w:rsidR="00330118">
          <w:rPr>
            <w:sz w:val="16"/>
          </w:rPr>
          <w:t>&lt;http://www.agb.org.br/evento/download.php?idTrabalho=1311&gt;.</w:t>
        </w:r>
      </w:hyperlink>
      <w:r w:rsidR="00330118">
        <w:rPr>
          <w:sz w:val="16"/>
        </w:rPr>
        <w:t xml:space="preserve"> Acesso em: 19 nov. 2010.</w:t>
      </w:r>
    </w:p>
    <w:p w:rsidR="00D81F69" w:rsidRDefault="00330118">
      <w:pPr>
        <w:tabs>
          <w:tab w:val="left" w:pos="4331"/>
        </w:tabs>
        <w:spacing w:before="1" w:line="312" w:lineRule="auto"/>
        <w:ind w:left="100" w:right="197"/>
        <w:jc w:val="both"/>
        <w:rPr>
          <w:sz w:val="16"/>
        </w:rPr>
      </w:pPr>
      <w:r>
        <w:rPr>
          <w:spacing w:val="7"/>
          <w:sz w:val="16"/>
        </w:rPr>
        <w:t xml:space="preserve">QUEIROZ, </w:t>
      </w:r>
      <w:r>
        <w:rPr>
          <w:spacing w:val="6"/>
          <w:sz w:val="16"/>
        </w:rPr>
        <w:t xml:space="preserve">José </w:t>
      </w:r>
      <w:r>
        <w:rPr>
          <w:spacing w:val="7"/>
          <w:sz w:val="16"/>
        </w:rPr>
        <w:t xml:space="preserve">Augusto Pinto. Relatório </w:t>
      </w:r>
      <w:r>
        <w:rPr>
          <w:spacing w:val="5"/>
          <w:sz w:val="16"/>
        </w:rPr>
        <w:t xml:space="preserve">de </w:t>
      </w:r>
      <w:r>
        <w:rPr>
          <w:spacing w:val="8"/>
          <w:sz w:val="16"/>
        </w:rPr>
        <w:t xml:space="preserve">fiscalização </w:t>
      </w:r>
      <w:r>
        <w:rPr>
          <w:spacing w:val="10"/>
          <w:sz w:val="16"/>
        </w:rPr>
        <w:t xml:space="preserve">de </w:t>
      </w:r>
      <w:r>
        <w:rPr>
          <w:sz w:val="16"/>
        </w:rPr>
        <w:t xml:space="preserve">mineração (FPI): fiscalização preventiva integrada, CREA-BA, 2006.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ind w:left="100"/>
        <w:jc w:val="both"/>
        <w:rPr>
          <w:sz w:val="16"/>
        </w:rPr>
      </w:pPr>
      <w:hyperlink r:id="rId685">
        <w:r w:rsidR="00330118">
          <w:rPr>
            <w:sz w:val="16"/>
          </w:rPr>
          <w:t>&lt;www.creaba.org.br/Imagens/.../12.../FPI%20Jacobina_2006_2008(1)</w:t>
        </w:r>
      </w:hyperlink>
    </w:p>
    <w:p w:rsidR="00D81F69" w:rsidRDefault="00330118">
      <w:pPr>
        <w:spacing w:before="56"/>
        <w:ind w:left="100"/>
        <w:jc w:val="both"/>
        <w:rPr>
          <w:sz w:val="16"/>
        </w:rPr>
      </w:pPr>
      <w:r>
        <w:rPr>
          <w:sz w:val="16"/>
        </w:rPr>
        <w:t>.pdf&gt;. Acesso em: 18 nov. 2010.</w:t>
      </w:r>
    </w:p>
    <w:p w:rsidR="00D81F69" w:rsidRDefault="00330118">
      <w:pPr>
        <w:spacing w:before="56" w:line="312" w:lineRule="auto"/>
        <w:ind w:left="100" w:right="129"/>
        <w:jc w:val="both"/>
        <w:rPr>
          <w:sz w:val="16"/>
        </w:rPr>
      </w:pPr>
      <w:r>
        <w:rPr>
          <w:spacing w:val="3"/>
          <w:sz w:val="16"/>
        </w:rPr>
        <w:t xml:space="preserve">SECTI, Secretaria </w:t>
      </w:r>
      <w:r>
        <w:rPr>
          <w:spacing w:val="1"/>
          <w:sz w:val="16"/>
        </w:rPr>
        <w:t xml:space="preserve">de </w:t>
      </w:r>
      <w:r>
        <w:rPr>
          <w:spacing w:val="3"/>
          <w:sz w:val="16"/>
        </w:rPr>
        <w:t xml:space="preserve">Ciência Tecnologia </w:t>
      </w:r>
      <w:r>
        <w:rPr>
          <w:sz w:val="16"/>
        </w:rPr>
        <w:t xml:space="preserve">e </w:t>
      </w:r>
      <w:r>
        <w:rPr>
          <w:spacing w:val="3"/>
          <w:sz w:val="16"/>
        </w:rPr>
        <w:t xml:space="preserve">Inovação. Plano </w:t>
      </w:r>
      <w:r>
        <w:rPr>
          <w:spacing w:val="5"/>
          <w:sz w:val="16"/>
        </w:rPr>
        <w:t xml:space="preserve">de </w:t>
      </w:r>
      <w:r>
        <w:rPr>
          <w:sz w:val="16"/>
        </w:rPr>
        <w:t xml:space="preserve">desenvolvimento do APL de rochas ornamentais da Bahia, Salvador    </w:t>
      </w:r>
      <w:r>
        <w:rPr>
          <w:spacing w:val="22"/>
          <w:sz w:val="16"/>
        </w:rPr>
        <w:t>(</w:t>
      </w:r>
      <w:r>
        <w:rPr>
          <w:sz w:val="16"/>
        </w:rPr>
        <w:t xml:space="preserve"> </w:t>
      </w:r>
      <w:r>
        <w:rPr>
          <w:spacing w:val="22"/>
          <w:sz w:val="16"/>
        </w:rPr>
        <w:t>B</w:t>
      </w:r>
      <w:r>
        <w:rPr>
          <w:sz w:val="16"/>
        </w:rPr>
        <w:t xml:space="preserve"> </w:t>
      </w:r>
      <w:r>
        <w:rPr>
          <w:spacing w:val="22"/>
          <w:sz w:val="16"/>
        </w:rPr>
        <w:t>A</w:t>
      </w:r>
      <w:r>
        <w:rPr>
          <w:sz w:val="16"/>
        </w:rPr>
        <w:t xml:space="preserve"> </w:t>
      </w:r>
      <w:r>
        <w:rPr>
          <w:spacing w:val="22"/>
          <w:sz w:val="16"/>
        </w:rPr>
        <w:t>)</w:t>
      </w:r>
      <w:r>
        <w:rPr>
          <w:sz w:val="16"/>
        </w:rPr>
        <w:t xml:space="preserve"> ,</w:t>
      </w:r>
      <w:r>
        <w:rPr>
          <w:sz w:val="16"/>
        </w:rPr>
        <w:t xml:space="preserve"> </w:t>
      </w:r>
      <w:r>
        <w:rPr>
          <w:spacing w:val="22"/>
          <w:sz w:val="16"/>
        </w:rPr>
        <w:t>m</w:t>
      </w:r>
      <w:r>
        <w:rPr>
          <w:sz w:val="16"/>
        </w:rPr>
        <w:t xml:space="preserve"> </w:t>
      </w:r>
      <w:r>
        <w:rPr>
          <w:spacing w:val="22"/>
          <w:sz w:val="16"/>
        </w:rPr>
        <w:t>a</w:t>
      </w:r>
      <w:r>
        <w:rPr>
          <w:sz w:val="16"/>
        </w:rPr>
        <w:t xml:space="preserve"> </w:t>
      </w:r>
      <w:r>
        <w:rPr>
          <w:spacing w:val="22"/>
          <w:sz w:val="16"/>
        </w:rPr>
        <w:t>i</w:t>
      </w:r>
      <w:r>
        <w:rPr>
          <w:sz w:val="16"/>
        </w:rPr>
        <w:t xml:space="preserve"> .</w:t>
      </w:r>
      <w:r>
        <w:rPr>
          <w:sz w:val="16"/>
        </w:rPr>
        <w:t xml:space="preserve"> </w:t>
      </w:r>
      <w:r>
        <w:rPr>
          <w:spacing w:val="22"/>
          <w:sz w:val="16"/>
        </w:rPr>
        <w:t>2</w:t>
      </w:r>
      <w:r>
        <w:rPr>
          <w:sz w:val="16"/>
        </w:rPr>
        <w:t xml:space="preserve"> </w:t>
      </w:r>
      <w:r>
        <w:rPr>
          <w:spacing w:val="22"/>
          <w:sz w:val="16"/>
        </w:rPr>
        <w:t>0</w:t>
      </w:r>
      <w:r>
        <w:rPr>
          <w:sz w:val="16"/>
        </w:rPr>
        <w:t xml:space="preserve"> </w:t>
      </w:r>
      <w:r>
        <w:rPr>
          <w:spacing w:val="22"/>
          <w:sz w:val="16"/>
        </w:rPr>
        <w:t>0</w:t>
      </w:r>
      <w:r>
        <w:rPr>
          <w:sz w:val="16"/>
        </w:rPr>
        <w:t xml:space="preserve"> </w:t>
      </w:r>
      <w:r>
        <w:rPr>
          <w:spacing w:val="22"/>
          <w:sz w:val="16"/>
        </w:rPr>
        <w:t>8</w:t>
      </w:r>
      <w:r>
        <w:rPr>
          <w:sz w:val="16"/>
        </w:rPr>
        <w:t xml:space="preserve"> .</w:t>
      </w:r>
      <w:r>
        <w:rPr>
          <w:sz w:val="16"/>
        </w:rPr>
        <w:t xml:space="preserve"> </w:t>
      </w:r>
      <w:r>
        <w:rPr>
          <w:spacing w:val="22"/>
          <w:sz w:val="16"/>
        </w:rPr>
        <w:t>D</w:t>
      </w:r>
      <w:r>
        <w:rPr>
          <w:sz w:val="16"/>
        </w:rPr>
        <w:t xml:space="preserve"> </w:t>
      </w:r>
      <w:r>
        <w:rPr>
          <w:spacing w:val="22"/>
          <w:sz w:val="16"/>
        </w:rPr>
        <w:t>i</w:t>
      </w:r>
      <w:r>
        <w:rPr>
          <w:sz w:val="16"/>
        </w:rPr>
        <w:t xml:space="preserve"> </w:t>
      </w:r>
      <w:r>
        <w:rPr>
          <w:spacing w:val="22"/>
          <w:sz w:val="16"/>
        </w:rPr>
        <w:t>s</w:t>
      </w:r>
      <w:r>
        <w:rPr>
          <w:sz w:val="16"/>
        </w:rPr>
        <w:t xml:space="preserve"> </w:t>
      </w:r>
      <w:r>
        <w:rPr>
          <w:spacing w:val="22"/>
          <w:sz w:val="16"/>
        </w:rPr>
        <w:t>p</w:t>
      </w:r>
      <w:r>
        <w:rPr>
          <w:sz w:val="16"/>
        </w:rPr>
        <w:t xml:space="preserve"> </w:t>
      </w:r>
      <w:r>
        <w:rPr>
          <w:spacing w:val="22"/>
          <w:sz w:val="16"/>
        </w:rPr>
        <w:t>o</w:t>
      </w:r>
      <w:r>
        <w:rPr>
          <w:sz w:val="16"/>
        </w:rPr>
        <w:t xml:space="preserve"> </w:t>
      </w:r>
      <w:r>
        <w:rPr>
          <w:spacing w:val="22"/>
          <w:sz w:val="16"/>
        </w:rPr>
        <w:t>n</w:t>
      </w:r>
      <w:r>
        <w:rPr>
          <w:sz w:val="16"/>
        </w:rPr>
        <w:t xml:space="preserve"> </w:t>
      </w:r>
      <w:r>
        <w:rPr>
          <w:spacing w:val="22"/>
          <w:sz w:val="16"/>
        </w:rPr>
        <w:t>í</w:t>
      </w:r>
      <w:r>
        <w:rPr>
          <w:sz w:val="16"/>
        </w:rPr>
        <w:t xml:space="preserve"> </w:t>
      </w:r>
      <w:r>
        <w:rPr>
          <w:spacing w:val="22"/>
          <w:sz w:val="16"/>
        </w:rPr>
        <w:t>v</w:t>
      </w:r>
      <w:r>
        <w:rPr>
          <w:sz w:val="16"/>
        </w:rPr>
        <w:t xml:space="preserve"> </w:t>
      </w:r>
      <w:r>
        <w:rPr>
          <w:spacing w:val="22"/>
          <w:sz w:val="16"/>
        </w:rPr>
        <w:t>e</w:t>
      </w:r>
      <w:r>
        <w:rPr>
          <w:sz w:val="16"/>
        </w:rPr>
        <w:t xml:space="preserve"> l</w:t>
      </w:r>
      <w:r>
        <w:rPr>
          <w:sz w:val="16"/>
        </w:rPr>
        <w:t xml:space="preserve"> </w:t>
      </w:r>
      <w:r>
        <w:rPr>
          <w:spacing w:val="22"/>
          <w:sz w:val="16"/>
        </w:rPr>
        <w:t>e</w:t>
      </w:r>
      <w:r>
        <w:rPr>
          <w:sz w:val="16"/>
        </w:rPr>
        <w:t xml:space="preserve"> </w:t>
      </w:r>
      <w:r>
        <w:rPr>
          <w:spacing w:val="22"/>
          <w:sz w:val="16"/>
        </w:rPr>
        <w:t>m</w:t>
      </w:r>
      <w:r>
        <w:rPr>
          <w:sz w:val="16"/>
        </w:rPr>
        <w:t xml:space="preserve"> : </w:t>
      </w:r>
      <w:r>
        <w:rPr>
          <w:spacing w:val="-21"/>
          <w:sz w:val="16"/>
        </w:rPr>
        <w:t xml:space="preserve"> </w:t>
      </w:r>
    </w:p>
    <w:p w:rsidR="00D81F69" w:rsidRDefault="00D81F69">
      <w:pPr>
        <w:spacing w:before="2" w:line="312" w:lineRule="auto"/>
        <w:ind w:left="100" w:right="212"/>
        <w:jc w:val="both"/>
        <w:rPr>
          <w:sz w:val="16"/>
        </w:rPr>
      </w:pPr>
      <w:hyperlink r:id="rId686">
        <w:r w:rsidR="00330118">
          <w:rPr>
            <w:sz w:val="16"/>
          </w:rPr>
          <w:t xml:space="preserve">&lt;http://www.mdic.gov.br/arquivos/dwnl_1247146619.pdf&gt;. </w:t>
        </w:r>
      </w:hyperlink>
      <w:r w:rsidR="00330118">
        <w:rPr>
          <w:sz w:val="16"/>
        </w:rPr>
        <w:t>Acesso em</w:t>
      </w:r>
      <w:r w:rsidR="00330118">
        <w:rPr>
          <w:sz w:val="16"/>
        </w:rPr>
        <w:t>: 19 nov. 2010.</w:t>
      </w:r>
    </w:p>
    <w:p w:rsidR="00D81F69" w:rsidRDefault="00330118">
      <w:pPr>
        <w:tabs>
          <w:tab w:val="left" w:pos="4331"/>
        </w:tabs>
        <w:spacing w:before="2" w:line="312" w:lineRule="auto"/>
        <w:ind w:left="100" w:right="192"/>
        <w:jc w:val="both"/>
        <w:rPr>
          <w:sz w:val="16"/>
        </w:rPr>
      </w:pPr>
      <w:r>
        <w:rPr>
          <w:sz w:val="16"/>
        </w:rPr>
        <w:t xml:space="preserve">VALE, Marcelo Fabiane Silva do. Educação ambiental associada ao ecoturismo como instrumento para o desenvolvimento </w:t>
      </w:r>
      <w:r>
        <w:rPr>
          <w:spacing w:val="1"/>
          <w:sz w:val="16"/>
        </w:rPr>
        <w:t xml:space="preserve">sustentável, </w:t>
      </w:r>
      <w:r>
        <w:rPr>
          <w:spacing w:val="3"/>
          <w:sz w:val="16"/>
        </w:rPr>
        <w:t xml:space="preserve">Serra </w:t>
      </w:r>
      <w:r>
        <w:rPr>
          <w:spacing w:val="2"/>
          <w:sz w:val="16"/>
        </w:rPr>
        <w:t xml:space="preserve">da </w:t>
      </w:r>
      <w:r>
        <w:rPr>
          <w:spacing w:val="5"/>
          <w:sz w:val="16"/>
        </w:rPr>
        <w:t xml:space="preserve">Jacobina- </w:t>
      </w:r>
      <w:r>
        <w:rPr>
          <w:spacing w:val="3"/>
          <w:sz w:val="16"/>
        </w:rPr>
        <w:t xml:space="preserve">BA, 2005. 160f. </w:t>
      </w:r>
      <w:r>
        <w:rPr>
          <w:spacing w:val="5"/>
          <w:sz w:val="16"/>
        </w:rPr>
        <w:t xml:space="preserve">Dissertação (mestrado em Ecologia </w:t>
      </w:r>
      <w:r>
        <w:rPr>
          <w:sz w:val="16"/>
        </w:rPr>
        <w:t xml:space="preserve">e </w:t>
      </w:r>
      <w:r>
        <w:rPr>
          <w:spacing w:val="5"/>
          <w:sz w:val="16"/>
        </w:rPr>
        <w:t xml:space="preserve">Biomonitoramento), Universidade Federal </w:t>
      </w:r>
      <w:r>
        <w:rPr>
          <w:spacing w:val="2"/>
          <w:sz w:val="16"/>
        </w:rPr>
        <w:t>d</w:t>
      </w:r>
      <w:r>
        <w:rPr>
          <w:spacing w:val="2"/>
          <w:sz w:val="16"/>
        </w:rPr>
        <w:t xml:space="preserve">a  </w:t>
      </w:r>
      <w:r>
        <w:rPr>
          <w:spacing w:val="5"/>
          <w:sz w:val="16"/>
        </w:rPr>
        <w:t xml:space="preserve">Bahia.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4" w:line="312" w:lineRule="auto"/>
        <w:ind w:left="100" w:right="217"/>
        <w:jc w:val="both"/>
        <w:rPr>
          <w:sz w:val="16"/>
        </w:rPr>
      </w:pPr>
      <w:hyperlink r:id="rId687">
        <w:r w:rsidR="00330118">
          <w:rPr>
            <w:sz w:val="16"/>
          </w:rPr>
          <w:t>&lt;http://www.bibliotecadigital.ufba.br/tde_busca/arquivo.php?codArquiv</w:t>
        </w:r>
      </w:hyperlink>
      <w:r w:rsidR="00330118">
        <w:rPr>
          <w:sz w:val="16"/>
        </w:rPr>
        <w:t xml:space="preserve"> o=405&gt;</w:t>
      </w:r>
      <w:r w:rsidR="00330118">
        <w:rPr>
          <w:sz w:val="16"/>
        </w:rPr>
        <w:t>. Acesso em: 18 nov. 2010.</w:t>
      </w:r>
    </w:p>
    <w:p w:rsidR="00D81F69" w:rsidRDefault="00330118">
      <w:pPr>
        <w:tabs>
          <w:tab w:val="left" w:pos="2559"/>
          <w:tab w:val="left" w:pos="5063"/>
        </w:tabs>
        <w:spacing w:before="2" w:line="312" w:lineRule="auto"/>
        <w:ind w:left="100" w:right="200"/>
        <w:jc w:val="both"/>
        <w:rPr>
          <w:sz w:val="16"/>
        </w:rPr>
      </w:pPr>
      <w:r>
        <w:rPr>
          <w:sz w:val="16"/>
        </w:rPr>
        <w:t>VÁRZEA DO POVO NOTÍCIAS. Jacobina: Nova barragem de rejeitos da Yamana Gold já está em funcionamento, 11 jun. 2010. Disponível e</w:t>
      </w:r>
      <w:r>
        <w:rPr>
          <w:sz w:val="16"/>
        </w:rPr>
        <w:tab/>
        <w:t>m</w:t>
      </w:r>
      <w:r>
        <w:rPr>
          <w:sz w:val="16"/>
        </w:rPr>
        <w:tab/>
        <w:t>:</w:t>
      </w:r>
    </w:p>
    <w:p w:rsidR="00D81F69" w:rsidRDefault="00D81F69">
      <w:pPr>
        <w:spacing w:before="2" w:line="312" w:lineRule="auto"/>
        <w:ind w:left="100" w:right="212"/>
        <w:jc w:val="both"/>
        <w:rPr>
          <w:sz w:val="16"/>
        </w:rPr>
      </w:pPr>
      <w:hyperlink r:id="rId688">
        <w:r w:rsidR="00330118">
          <w:rPr>
            <w:sz w:val="16"/>
          </w:rPr>
          <w:t>&lt;http://varzeado</w:t>
        </w:r>
        <w:r w:rsidR="00330118">
          <w:rPr>
            <w:sz w:val="16"/>
          </w:rPr>
          <w:t>poconoticias.blogspot.com/2010/06/jacobinanova-</w:t>
        </w:r>
      </w:hyperlink>
      <w:r w:rsidR="00330118">
        <w:rPr>
          <w:sz w:val="16"/>
        </w:rPr>
        <w:t xml:space="preserve"> barragem-de-rejeitos-da.html&gt;. Acesso em: 18 nov. 2010.</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75" w:space="295"/>
            <w:col w:w="5310"/>
          </w:cols>
        </w:sectPr>
      </w:pPr>
    </w:p>
    <w:p w:rsidR="00D81F69" w:rsidRDefault="00330118">
      <w:pPr>
        <w:pStyle w:val="Heading1"/>
        <w:tabs>
          <w:tab w:val="left" w:pos="1592"/>
          <w:tab w:val="left" w:pos="1635"/>
          <w:tab w:val="left" w:pos="4232"/>
          <w:tab w:val="left" w:pos="4477"/>
          <w:tab w:val="left" w:pos="4949"/>
          <w:tab w:val="left" w:pos="5172"/>
          <w:tab w:val="left" w:pos="6240"/>
          <w:tab w:val="left" w:pos="6935"/>
          <w:tab w:val="left" w:pos="7549"/>
          <w:tab w:val="left" w:pos="8355"/>
          <w:tab w:val="left" w:pos="10333"/>
        </w:tabs>
        <w:spacing w:line="208" w:lineRule="auto"/>
        <w:ind w:right="221"/>
      </w:pPr>
      <w:r>
        <w:rPr>
          <w:spacing w:val="15"/>
        </w:rPr>
        <w:lastRenderedPageBreak/>
        <w:t>Novas</w:t>
      </w:r>
      <w:r>
        <w:rPr>
          <w:spacing w:val="15"/>
        </w:rPr>
        <w:tab/>
      </w:r>
      <w:r>
        <w:rPr>
          <w:spacing w:val="17"/>
        </w:rPr>
        <w:t>perspectivas</w:t>
      </w:r>
      <w:r>
        <w:rPr>
          <w:spacing w:val="17"/>
        </w:rPr>
        <w:tab/>
      </w:r>
      <w:r>
        <w:rPr>
          <w:spacing w:val="10"/>
        </w:rPr>
        <w:t>da</w:t>
      </w:r>
      <w:r>
        <w:rPr>
          <w:spacing w:val="10"/>
        </w:rPr>
        <w:tab/>
      </w:r>
      <w:r>
        <w:rPr>
          <w:spacing w:val="16"/>
        </w:rPr>
        <w:t>mineração</w:t>
      </w:r>
      <w:r>
        <w:rPr>
          <w:spacing w:val="16"/>
        </w:rPr>
        <w:tab/>
      </w:r>
      <w:r>
        <w:rPr>
          <w:spacing w:val="10"/>
        </w:rPr>
        <w:t>em</w:t>
      </w:r>
      <w:r>
        <w:rPr>
          <w:spacing w:val="10"/>
        </w:rPr>
        <w:tab/>
      </w:r>
      <w:r>
        <w:rPr>
          <w:spacing w:val="16"/>
        </w:rPr>
        <w:t>Juazeiro</w:t>
      </w:r>
      <w:r>
        <w:rPr>
          <w:spacing w:val="16"/>
        </w:rPr>
        <w:tab/>
      </w:r>
      <w:r>
        <w:t xml:space="preserve">e </w:t>
      </w:r>
      <w:r>
        <w:rPr>
          <w:spacing w:val="15"/>
        </w:rPr>
        <w:t>outras</w:t>
      </w:r>
      <w:r>
        <w:rPr>
          <w:spacing w:val="15"/>
        </w:rPr>
        <w:tab/>
      </w:r>
      <w:r>
        <w:rPr>
          <w:spacing w:val="15"/>
        </w:rPr>
        <w:tab/>
      </w:r>
      <w:r>
        <w:rPr>
          <w:spacing w:val="17"/>
        </w:rPr>
        <w:t>localidades</w:t>
      </w:r>
      <w:r>
        <w:rPr>
          <w:spacing w:val="17"/>
        </w:rPr>
        <w:tab/>
      </w:r>
      <w:r>
        <w:rPr>
          <w:spacing w:val="10"/>
        </w:rPr>
        <w:t>no</w:t>
      </w:r>
      <w:r>
        <w:rPr>
          <w:spacing w:val="10"/>
        </w:rPr>
        <w:tab/>
      </w:r>
      <w:r>
        <w:rPr>
          <w:spacing w:val="15"/>
        </w:rPr>
        <w:t>norte</w:t>
      </w:r>
      <w:r>
        <w:rPr>
          <w:spacing w:val="15"/>
        </w:rPr>
        <w:tab/>
      </w:r>
      <w:r>
        <w:rPr>
          <w:spacing w:val="10"/>
        </w:rPr>
        <w:t>da</w:t>
      </w:r>
      <w:r>
        <w:rPr>
          <w:spacing w:val="10"/>
        </w:rPr>
        <w:tab/>
      </w:r>
      <w:r>
        <w:rPr>
          <w:spacing w:val="20"/>
        </w:rPr>
        <w:t>Bahia</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BA - Juazeiro</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-9,738</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-39,9213</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19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A atividade mineral em Juazeiro (BA) </w:t>
      </w:r>
      <w:r>
        <w:rPr>
          <w:i/>
          <w:sz w:val="16"/>
        </w:rPr>
        <w:t xml:space="preserve">provoca impactos ao meio ambiente, especificamente ao bioma da Caatinga e às comunidades rurais. Apesar das deficiências em infraestrutura do município, há perspectivas de novas explorações minerais na localidade. O governo de Juazeiro tem trabalhado para </w:t>
      </w:r>
      <w:r>
        <w:rPr>
          <w:i/>
          <w:sz w:val="16"/>
        </w:rPr>
        <w:t>identificar o potencial mineral ainda não explorado no município.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0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05"/>
      </w:pPr>
      <w:r>
        <w:t>comprometendo as edificações existentes; e poluição atmosférica em razão da poeira proveniente da atividade minerária (CPT, 2009).</w:t>
      </w:r>
    </w:p>
    <w:p w:rsidR="00D81F69" w:rsidRDefault="00330118">
      <w:pPr>
        <w:pStyle w:val="Corpodetexto"/>
        <w:spacing w:before="132" w:line="312" w:lineRule="auto"/>
        <w:ind w:left="135" w:right="194"/>
      </w:pPr>
      <w:r>
        <w:t xml:space="preserve">A </w:t>
      </w:r>
      <w:r>
        <w:rPr>
          <w:spacing w:val="15"/>
        </w:rPr>
        <w:t xml:space="preserve">atividade </w:t>
      </w:r>
      <w:r>
        <w:rPr>
          <w:spacing w:val="7"/>
        </w:rPr>
        <w:t xml:space="preserve">de </w:t>
      </w:r>
      <w:r>
        <w:rPr>
          <w:spacing w:val="15"/>
        </w:rPr>
        <w:t xml:space="preserve">mineração </w:t>
      </w:r>
      <w:r>
        <w:rPr>
          <w:spacing w:val="7"/>
        </w:rPr>
        <w:t xml:space="preserve">na </w:t>
      </w:r>
      <w:r>
        <w:rPr>
          <w:spacing w:val="13"/>
        </w:rPr>
        <w:t xml:space="preserve">região também </w:t>
      </w:r>
      <w:r>
        <w:rPr>
          <w:spacing w:val="10"/>
        </w:rPr>
        <w:t xml:space="preserve">tem </w:t>
      </w:r>
      <w:r>
        <w:t xml:space="preserve">comprometido as matas ciliares (que se situa ao longo </w:t>
      </w:r>
      <w:r>
        <w:rPr>
          <w:spacing w:val="1"/>
        </w:rPr>
        <w:t xml:space="preserve">das </w:t>
      </w:r>
      <w:r>
        <w:t xml:space="preserve">margens de rios e ao redor de nascentes e lagos). No caso do município de Juazeiro, em que a largura do rio São Francisco é </w:t>
      </w:r>
      <w:r>
        <w:rPr>
          <w:spacing w:val="5"/>
        </w:rPr>
        <w:t xml:space="preserve">superior </w:t>
      </w:r>
      <w:r>
        <w:t xml:space="preserve">a </w:t>
      </w:r>
      <w:r>
        <w:rPr>
          <w:spacing w:val="3"/>
        </w:rPr>
        <w:t xml:space="preserve">600 </w:t>
      </w:r>
      <w:r>
        <w:rPr>
          <w:spacing w:val="5"/>
        </w:rPr>
        <w:t xml:space="preserve">metros, </w:t>
      </w:r>
      <w:r>
        <w:rPr>
          <w:spacing w:val="3"/>
        </w:rPr>
        <w:t xml:space="preserve">uma </w:t>
      </w:r>
      <w:r>
        <w:rPr>
          <w:spacing w:val="5"/>
        </w:rPr>
        <w:t xml:space="preserve">faixa </w:t>
      </w:r>
      <w:r>
        <w:rPr>
          <w:spacing w:val="2"/>
        </w:rPr>
        <w:t xml:space="preserve">de </w:t>
      </w:r>
      <w:r>
        <w:rPr>
          <w:spacing w:val="3"/>
        </w:rPr>
        <w:t xml:space="preserve">500 </w:t>
      </w:r>
      <w:r>
        <w:rPr>
          <w:spacing w:val="5"/>
        </w:rPr>
        <w:t xml:space="preserve">metros </w:t>
      </w:r>
      <w:r>
        <w:rPr>
          <w:spacing w:val="6"/>
        </w:rPr>
        <w:t xml:space="preserve">nas </w:t>
      </w:r>
      <w:r>
        <w:t>margens do rio deve ser</w:t>
      </w:r>
      <w:r>
        <w:t xml:space="preserve"> preservada (NASCIMENTO, 2001). Na localidade, há ainda embates de camponeses e ribeirinhos contra</w:t>
      </w:r>
      <w:r>
        <w:rPr>
          <w:spacing w:val="11"/>
        </w:rPr>
        <w:t xml:space="preserve"> </w:t>
      </w:r>
      <w:r>
        <w:t>empresas</w:t>
      </w:r>
      <w:r>
        <w:rPr>
          <w:spacing w:val="11"/>
        </w:rPr>
        <w:t xml:space="preserve"> </w:t>
      </w:r>
      <w:r>
        <w:t>que</w:t>
      </w:r>
      <w:r>
        <w:rPr>
          <w:spacing w:val="11"/>
        </w:rPr>
        <w:t xml:space="preserve"> </w:t>
      </w:r>
      <w:r>
        <w:t>recebem</w:t>
      </w:r>
      <w:r>
        <w:rPr>
          <w:spacing w:val="11"/>
        </w:rPr>
        <w:t xml:space="preserve"> </w:t>
      </w:r>
      <w:r>
        <w:t>autorizações</w:t>
      </w:r>
      <w:r>
        <w:rPr>
          <w:spacing w:val="11"/>
        </w:rPr>
        <w:t xml:space="preserve"> </w:t>
      </w:r>
      <w:r>
        <w:t>de</w:t>
      </w:r>
      <w:r>
        <w:rPr>
          <w:spacing w:val="11"/>
        </w:rPr>
        <w:t xml:space="preserve"> </w:t>
      </w:r>
      <w:r>
        <w:t>pesquisa</w:t>
      </w:r>
      <w:r>
        <w:rPr>
          <w:spacing w:val="11"/>
        </w:rPr>
        <w:t xml:space="preserve"> </w:t>
      </w:r>
      <w:r>
        <w:t>nas</w:t>
      </w:r>
    </w:p>
    <w:p w:rsidR="00D81F69" w:rsidRDefault="00D81F69">
      <w:pPr>
        <w:spacing w:line="312" w:lineRule="auto"/>
        <w:sectPr w:rsidR="00D81F69">
          <w:type w:val="continuous"/>
          <w:pgSz w:w="11900" w:h="16840"/>
          <w:pgMar w:top="720" w:right="500" w:bottom="280" w:left="620" w:header="720" w:footer="720" w:gutter="0"/>
          <w:cols w:num="3" w:space="720" w:equalWidth="0">
            <w:col w:w="1016" w:space="984"/>
            <w:col w:w="3121" w:space="314"/>
            <w:col w:w="5345"/>
          </w:cols>
        </w:sectPr>
      </w:pPr>
    </w:p>
    <w:p w:rsidR="00D81F69" w:rsidRDefault="00330118">
      <w:pPr>
        <w:pStyle w:val="Heading4"/>
        <w:spacing w:before="91"/>
        <w:jc w:val="left"/>
      </w:pPr>
      <w:r>
        <w:lastRenderedPageBreak/>
        <w:t>APRESENTAÇÃO DE CASO</w:t>
      </w:r>
    </w:p>
    <w:p w:rsidR="00D81F69" w:rsidRDefault="00330118">
      <w:pPr>
        <w:pStyle w:val="Corpodetexto"/>
        <w:spacing w:before="171" w:line="312" w:lineRule="auto"/>
        <w:ind w:right="105"/>
        <w:jc w:val="left"/>
      </w:pPr>
      <w:r>
        <w:t>O município de Juazeiro foi fundado em 1833 e contava,</w:t>
      </w:r>
      <w:r>
        <w:t xml:space="preserve"> em 2010, com uma população estimada em 197.965 habitantes </w:t>
      </w:r>
      <w:r>
        <w:rPr>
          <w:spacing w:val="3"/>
        </w:rPr>
        <w:t xml:space="preserve">(IBGE, 20101). Situado </w:t>
      </w:r>
      <w:r>
        <w:rPr>
          <w:spacing w:val="1"/>
        </w:rPr>
        <w:t xml:space="preserve">na </w:t>
      </w:r>
      <w:r>
        <w:rPr>
          <w:spacing w:val="3"/>
        </w:rPr>
        <w:t xml:space="preserve">microrregião </w:t>
      </w:r>
      <w:r>
        <w:rPr>
          <w:spacing w:val="1"/>
        </w:rPr>
        <w:t xml:space="preserve">de </w:t>
      </w:r>
      <w:r>
        <w:rPr>
          <w:spacing w:val="3"/>
        </w:rPr>
        <w:t xml:space="preserve">Juazeiro </w:t>
      </w:r>
      <w:r>
        <w:t xml:space="preserve">e </w:t>
      </w:r>
      <w:r>
        <w:rPr>
          <w:spacing w:val="5"/>
        </w:rPr>
        <w:t xml:space="preserve">na </w:t>
      </w:r>
      <w:r>
        <w:t xml:space="preserve">mesorregião do Vale São Francisco da Bahia (CNM, </w:t>
      </w:r>
      <w:r>
        <w:rPr>
          <w:spacing w:val="1"/>
        </w:rPr>
        <w:t xml:space="preserve">2010), </w:t>
      </w:r>
      <w:r>
        <w:rPr>
          <w:spacing w:val="3"/>
        </w:rPr>
        <w:t xml:space="preserve">com </w:t>
      </w:r>
      <w:r>
        <w:rPr>
          <w:spacing w:val="5"/>
        </w:rPr>
        <w:t xml:space="preserve">6.500,520 </w:t>
      </w:r>
      <w:r>
        <w:rPr>
          <w:spacing w:val="3"/>
        </w:rPr>
        <w:t xml:space="preserve">km² </w:t>
      </w:r>
      <w:r>
        <w:rPr>
          <w:spacing w:val="5"/>
        </w:rPr>
        <w:t xml:space="preserve">(IBGE, 2010), </w:t>
      </w:r>
      <w:r>
        <w:t xml:space="preserve">o </w:t>
      </w:r>
      <w:r>
        <w:rPr>
          <w:spacing w:val="5"/>
        </w:rPr>
        <w:t xml:space="preserve">município dispõe de </w:t>
      </w:r>
      <w:r>
        <w:rPr>
          <w:spacing w:val="1"/>
        </w:rPr>
        <w:t>diversos recursos minerais cuja</w:t>
      </w:r>
      <w:r>
        <w:rPr>
          <w:spacing w:val="1"/>
        </w:rPr>
        <w:t xml:space="preserve"> exploração </w:t>
      </w:r>
      <w:r>
        <w:t xml:space="preserve">vem </w:t>
      </w:r>
      <w:r>
        <w:rPr>
          <w:spacing w:val="2"/>
        </w:rPr>
        <w:t xml:space="preserve">causando </w:t>
      </w:r>
      <w:r>
        <w:t xml:space="preserve">vários impactos ambientais, como assoreamento e poluição  </w:t>
      </w:r>
      <w:r>
        <w:rPr>
          <w:spacing w:val="10"/>
        </w:rPr>
        <w:t xml:space="preserve">de </w:t>
      </w:r>
      <w:r>
        <w:rPr>
          <w:spacing w:val="15"/>
        </w:rPr>
        <w:t xml:space="preserve">corpos </w:t>
      </w:r>
      <w:r>
        <w:rPr>
          <w:spacing w:val="16"/>
        </w:rPr>
        <w:t xml:space="preserve">hídricos, poluição </w:t>
      </w:r>
      <w:r>
        <w:rPr>
          <w:spacing w:val="10"/>
        </w:rPr>
        <w:t xml:space="preserve">do </w:t>
      </w:r>
      <w:r>
        <w:rPr>
          <w:spacing w:val="12"/>
        </w:rPr>
        <w:t xml:space="preserve">ar, </w:t>
      </w:r>
      <w:r>
        <w:rPr>
          <w:spacing w:val="17"/>
        </w:rPr>
        <w:t xml:space="preserve">queimadas, </w:t>
      </w:r>
      <w:r>
        <w:t>desmatamento, contaminação do solo e degradação de áreas protegidas (PORTAL ODM,</w:t>
      </w:r>
      <w:r>
        <w:rPr>
          <w:spacing w:val="5"/>
        </w:rPr>
        <w:t xml:space="preserve"> </w:t>
      </w:r>
      <w:r>
        <w:t>2010).</w:t>
      </w:r>
    </w:p>
    <w:p w:rsidR="00D81F69" w:rsidRDefault="00330118">
      <w:pPr>
        <w:pStyle w:val="Corpodetexto"/>
        <w:spacing w:before="139" w:line="312" w:lineRule="auto"/>
        <w:ind w:right="104"/>
        <w:jc w:val="left"/>
      </w:pPr>
      <w:r>
        <w:t>A geologia de Juazeiro é determinada pelo complexo vulcano- sedimentar denominado Faixa Rio Salitre, que aflora em uma calha com largura média de 7 km a sudoeste do município.   Na área dos rios Salitre e Batateira há cerca de 80 km² onde pode ser prospect</w:t>
      </w:r>
      <w:r>
        <w:t xml:space="preserve">ado ouro. Também é encontrada na região uma reserva geológica superior a 9 milhões de toneladas de </w:t>
      </w:r>
      <w:r>
        <w:rPr>
          <w:spacing w:val="3"/>
        </w:rPr>
        <w:t xml:space="preserve">pirita/pirrotita, </w:t>
      </w:r>
      <w:r>
        <w:rPr>
          <w:spacing w:val="2"/>
        </w:rPr>
        <w:t xml:space="preserve">que pode ser </w:t>
      </w:r>
      <w:r>
        <w:rPr>
          <w:spacing w:val="3"/>
        </w:rPr>
        <w:t xml:space="preserve">fonte </w:t>
      </w:r>
      <w:r>
        <w:rPr>
          <w:spacing w:val="1"/>
        </w:rPr>
        <w:t xml:space="preserve">de </w:t>
      </w:r>
      <w:r>
        <w:rPr>
          <w:spacing w:val="3"/>
        </w:rPr>
        <w:t xml:space="preserve">níquel, cobalto, </w:t>
      </w:r>
      <w:r>
        <w:t xml:space="preserve">e é usado para obtenção de </w:t>
      </w:r>
      <w:hyperlink r:id="rId689">
        <w:r>
          <w:t xml:space="preserve">ferro </w:t>
        </w:r>
      </w:hyperlink>
      <w:r>
        <w:t>e ácido sulfúrico (RIBEIRO et al.,1993).</w:t>
      </w:r>
    </w:p>
    <w:p w:rsidR="00D81F69" w:rsidRDefault="00330118">
      <w:pPr>
        <w:pStyle w:val="Corpodetexto"/>
        <w:spacing w:before="138" w:line="312" w:lineRule="auto"/>
        <w:ind w:right="78"/>
      </w:pPr>
      <w:r>
        <w:t>O entorno de Juazeiro conta ainda com grandes reservas minerais. Nas cidades de Curaçá, Uauá, Campo Alegre de Lourdes, Pilão Arcado, Remanso, Casa Nova, Sobradinho e Sento Sé são encontradas j</w:t>
      </w:r>
      <w:r>
        <w:t xml:space="preserve">azidas de ferro, ouro, titânio, vanádio, níquel, </w:t>
      </w:r>
      <w:hyperlink r:id="rId690">
        <w:r>
          <w:t>cobre,</w:t>
        </w:r>
      </w:hyperlink>
      <w:r>
        <w:t xml:space="preserve"> </w:t>
      </w:r>
      <w:hyperlink r:id="rId691">
        <w:r>
          <w:t>chumbo,</w:t>
        </w:r>
      </w:hyperlink>
      <w:r>
        <w:t xml:space="preserve"> </w:t>
      </w:r>
      <w:hyperlink r:id="rId692">
        <w:r>
          <w:t>zinco,</w:t>
        </w:r>
      </w:hyperlink>
      <w:r>
        <w:t xml:space="preserve"> ametista, cristal branco, quartzo verde, mármore, brita e fosfato. Empresas brasileiras e multinacionais realizam lavra e pesquisas nesses nove municípios localizados no</w:t>
      </w:r>
      <w:r>
        <w:t xml:space="preserve"> norte da Bahia (CPT, 2009).</w:t>
      </w:r>
    </w:p>
    <w:p w:rsidR="00D81F69" w:rsidRDefault="00330118">
      <w:pPr>
        <w:pStyle w:val="Corpodetexto"/>
        <w:spacing w:before="75" w:line="270" w:lineRule="atLeast"/>
        <w:ind w:right="64"/>
      </w:pPr>
      <w:r>
        <w:t xml:space="preserve">Apesar de a maior parcela da atividade mineral em Juazeiro estar em fase de pesquisa, a mineração já provoca impactos ao meio ambiente, especialmente ao bioma da Caatinga, e às comunidades rurais. Entre estes impactos podem-se </w:t>
      </w:r>
      <w:r>
        <w:t>citar a contaminação e o assoreamento das águas fluviais provocados pelo lançamento de resíduos sólidos da mineração; deposição de rejeitos em locais inadequados, ocasionando prejuízo às atividades agrárias e pastoris; abalos sísmicos ocasionados pela expl</w:t>
      </w:r>
      <w:r>
        <w:t xml:space="preserve">osão de rochas, </w:t>
      </w:r>
    </w:p>
    <w:p w:rsidR="00D81F69" w:rsidRDefault="00330118">
      <w:pPr>
        <w:pStyle w:val="Corpodetexto"/>
        <w:spacing w:before="8" w:line="312" w:lineRule="auto"/>
        <w:ind w:right="207"/>
      </w:pPr>
      <w:r>
        <w:br w:type="column"/>
      </w:r>
      <w:r>
        <w:lastRenderedPageBreak/>
        <w:t xml:space="preserve">proximidades de rios, em terras destinadas a assentamentos de reforma agrária, e em áreas de produção de caprinos e ovinos em regime de Fundo de Pasto (também conhecido como Fecho de Pasto e que consiste em reservas de pastagem em terras </w:t>
      </w:r>
      <w:r>
        <w:t>destinadas ao pastoreio comunitário) (CPT, 2009; SABOURIN et al.,1997).</w:t>
      </w:r>
    </w:p>
    <w:p w:rsidR="00D81F69" w:rsidRDefault="00330118">
      <w:pPr>
        <w:pStyle w:val="Corpodetexto"/>
        <w:spacing w:before="135" w:line="312" w:lineRule="auto"/>
        <w:ind w:right="181"/>
      </w:pPr>
      <w:r>
        <w:rPr>
          <w:spacing w:val="3"/>
        </w:rPr>
        <w:t xml:space="preserve">Entre </w:t>
      </w:r>
      <w:r>
        <w:rPr>
          <w:spacing w:val="1"/>
        </w:rPr>
        <w:t xml:space="preserve">as </w:t>
      </w:r>
      <w:r>
        <w:rPr>
          <w:spacing w:val="3"/>
        </w:rPr>
        <w:t xml:space="preserve">empresas </w:t>
      </w:r>
      <w:r>
        <w:rPr>
          <w:spacing w:val="2"/>
        </w:rPr>
        <w:t xml:space="preserve">que </w:t>
      </w:r>
      <w:r>
        <w:rPr>
          <w:spacing w:val="3"/>
        </w:rPr>
        <w:t xml:space="preserve">atuam </w:t>
      </w:r>
      <w:r>
        <w:rPr>
          <w:spacing w:val="1"/>
        </w:rPr>
        <w:t xml:space="preserve">no </w:t>
      </w:r>
      <w:r>
        <w:rPr>
          <w:spacing w:val="3"/>
        </w:rPr>
        <w:t xml:space="preserve">local </w:t>
      </w:r>
      <w:r>
        <w:rPr>
          <w:spacing w:val="2"/>
        </w:rPr>
        <w:t xml:space="preserve">está </w:t>
      </w:r>
      <w:r>
        <w:t xml:space="preserve">a </w:t>
      </w:r>
      <w:r>
        <w:rPr>
          <w:spacing w:val="5"/>
        </w:rPr>
        <w:t xml:space="preserve">mineradora </w:t>
      </w:r>
      <w:r>
        <w:rPr>
          <w:spacing w:val="3"/>
        </w:rPr>
        <w:t xml:space="preserve">Risley </w:t>
      </w:r>
      <w:r>
        <w:rPr>
          <w:spacing w:val="1"/>
        </w:rPr>
        <w:t xml:space="preserve">do </w:t>
      </w:r>
      <w:r>
        <w:rPr>
          <w:spacing w:val="3"/>
        </w:rPr>
        <w:t xml:space="preserve">Nascimento Sena, </w:t>
      </w:r>
      <w:r>
        <w:rPr>
          <w:spacing w:val="2"/>
        </w:rPr>
        <w:t xml:space="preserve">que </w:t>
      </w:r>
      <w:r>
        <w:rPr>
          <w:spacing w:val="1"/>
        </w:rPr>
        <w:t xml:space="preserve">se </w:t>
      </w:r>
      <w:r>
        <w:rPr>
          <w:spacing w:val="3"/>
        </w:rPr>
        <w:t xml:space="preserve">dedica </w:t>
      </w:r>
      <w:r>
        <w:t xml:space="preserve">à </w:t>
      </w:r>
      <w:r>
        <w:rPr>
          <w:spacing w:val="3"/>
        </w:rPr>
        <w:t xml:space="preserve">extração </w:t>
      </w:r>
      <w:r>
        <w:rPr>
          <w:spacing w:val="5"/>
        </w:rPr>
        <w:t xml:space="preserve">de </w:t>
      </w:r>
      <w:r>
        <w:t xml:space="preserve">granito no distrito de Juremal, numa área próxima à Fazenda </w:t>
      </w:r>
      <w:r>
        <w:rPr>
          <w:spacing w:val="3"/>
        </w:rPr>
        <w:t xml:space="preserve">Curral Velho, </w:t>
      </w:r>
      <w:r>
        <w:rPr>
          <w:spacing w:val="3"/>
        </w:rPr>
        <w:t xml:space="preserve">comunidade </w:t>
      </w:r>
      <w:r>
        <w:rPr>
          <w:spacing w:val="2"/>
        </w:rPr>
        <w:t xml:space="preserve">que </w:t>
      </w:r>
      <w:r>
        <w:rPr>
          <w:spacing w:val="3"/>
        </w:rPr>
        <w:t xml:space="preserve">abriga </w:t>
      </w:r>
      <w:r>
        <w:rPr>
          <w:spacing w:val="1"/>
        </w:rPr>
        <w:t xml:space="preserve">13 </w:t>
      </w:r>
      <w:r>
        <w:rPr>
          <w:spacing w:val="3"/>
        </w:rPr>
        <w:t xml:space="preserve">famílias </w:t>
      </w:r>
      <w:r>
        <w:rPr>
          <w:spacing w:val="2"/>
        </w:rPr>
        <w:t xml:space="preserve">que </w:t>
      </w:r>
      <w:r>
        <w:rPr>
          <w:spacing w:val="5"/>
        </w:rPr>
        <w:t xml:space="preserve">se dedicam </w:t>
      </w:r>
      <w:r>
        <w:t xml:space="preserve">a </w:t>
      </w:r>
      <w:r>
        <w:rPr>
          <w:spacing w:val="6"/>
        </w:rPr>
        <w:t xml:space="preserve">atividades </w:t>
      </w:r>
      <w:r>
        <w:rPr>
          <w:spacing w:val="3"/>
        </w:rPr>
        <w:t xml:space="preserve">de </w:t>
      </w:r>
      <w:r>
        <w:rPr>
          <w:spacing w:val="5"/>
        </w:rPr>
        <w:t xml:space="preserve">Fundo </w:t>
      </w:r>
      <w:r>
        <w:rPr>
          <w:spacing w:val="3"/>
        </w:rPr>
        <w:t xml:space="preserve">de </w:t>
      </w:r>
      <w:r>
        <w:rPr>
          <w:spacing w:val="5"/>
        </w:rPr>
        <w:t xml:space="preserve">Pasto. </w:t>
      </w:r>
      <w:r>
        <w:rPr>
          <w:spacing w:val="3"/>
        </w:rPr>
        <w:t xml:space="preserve">Em </w:t>
      </w:r>
      <w:r>
        <w:rPr>
          <w:spacing w:val="5"/>
        </w:rPr>
        <w:t xml:space="preserve">2001, </w:t>
      </w:r>
      <w:r>
        <w:t xml:space="preserve">a empresa havia celebrado com os moradores um acordo de arrendamento da área por um período não superior a cinco anos, comprometendo-se a fazer o controle da emissão </w:t>
      </w:r>
      <w:r>
        <w:t xml:space="preserve">de </w:t>
      </w:r>
      <w:r>
        <w:rPr>
          <w:spacing w:val="11"/>
        </w:rPr>
        <w:t xml:space="preserve">poeira, </w:t>
      </w:r>
      <w:r>
        <w:rPr>
          <w:spacing w:val="12"/>
        </w:rPr>
        <w:t xml:space="preserve">pagamento </w:t>
      </w:r>
      <w:r>
        <w:rPr>
          <w:spacing w:val="6"/>
        </w:rPr>
        <w:t xml:space="preserve">de </w:t>
      </w:r>
      <w:r>
        <w:rPr>
          <w:spacing w:val="12"/>
        </w:rPr>
        <w:t xml:space="preserve">aluguéis </w:t>
      </w:r>
      <w:r>
        <w:rPr>
          <w:spacing w:val="10"/>
        </w:rPr>
        <w:t xml:space="preserve">pelo </w:t>
      </w:r>
      <w:r>
        <w:rPr>
          <w:spacing w:val="15"/>
        </w:rPr>
        <w:t xml:space="preserve">arrendamento, </w:t>
      </w:r>
      <w:r>
        <w:rPr>
          <w:spacing w:val="1"/>
        </w:rPr>
        <w:t xml:space="preserve">disponibilização </w:t>
      </w:r>
      <w:r>
        <w:t xml:space="preserve">de </w:t>
      </w:r>
      <w:r>
        <w:rPr>
          <w:spacing w:val="1"/>
        </w:rPr>
        <w:t xml:space="preserve">postos </w:t>
      </w:r>
      <w:r>
        <w:t xml:space="preserve">de </w:t>
      </w:r>
      <w:r>
        <w:rPr>
          <w:spacing w:val="1"/>
        </w:rPr>
        <w:t xml:space="preserve">trabalho para </w:t>
      </w:r>
      <w:r>
        <w:t xml:space="preserve">as </w:t>
      </w:r>
      <w:r>
        <w:rPr>
          <w:spacing w:val="1"/>
        </w:rPr>
        <w:t xml:space="preserve">pessoas </w:t>
      </w:r>
      <w:r>
        <w:rPr>
          <w:spacing w:val="2"/>
        </w:rPr>
        <w:t xml:space="preserve">da </w:t>
      </w:r>
      <w:r>
        <w:t>comunidade, e realização de pequenas obras de conservação da infraestrutura da fazenda. No entanto, como, segundo os moradores, a empresa não cumpriu o acordo e ainda gerou diversos impactos socioambientais, em 2006, foi instaurado um Inquérito Civil, pelo</w:t>
      </w:r>
      <w:r>
        <w:t xml:space="preserve"> Ministério Público do Estado da Bahia, para averiguar a atuação da empresa (CPT,</w:t>
      </w:r>
      <w:r>
        <w:rPr>
          <w:spacing w:val="12"/>
        </w:rPr>
        <w:t xml:space="preserve"> </w:t>
      </w:r>
      <w:r>
        <w:t>2009).</w:t>
      </w:r>
    </w:p>
    <w:p w:rsidR="00D81F69" w:rsidRDefault="00330118">
      <w:pPr>
        <w:pStyle w:val="Corpodetexto"/>
        <w:spacing w:before="145" w:line="312" w:lineRule="auto"/>
        <w:ind w:right="185"/>
      </w:pPr>
      <w:r>
        <w:t xml:space="preserve">O </w:t>
      </w:r>
      <w:r>
        <w:rPr>
          <w:spacing w:val="1"/>
        </w:rPr>
        <w:t xml:space="preserve">Relatório </w:t>
      </w:r>
      <w:r>
        <w:t xml:space="preserve">de </w:t>
      </w:r>
      <w:r>
        <w:rPr>
          <w:spacing w:val="1"/>
        </w:rPr>
        <w:t xml:space="preserve">Fiscalização Ambiental feito </w:t>
      </w:r>
      <w:r>
        <w:t xml:space="preserve">por </w:t>
      </w:r>
      <w:r>
        <w:rPr>
          <w:spacing w:val="1"/>
        </w:rPr>
        <w:t xml:space="preserve">técnico </w:t>
      </w:r>
      <w:r>
        <w:rPr>
          <w:spacing w:val="2"/>
        </w:rPr>
        <w:t xml:space="preserve">em </w:t>
      </w:r>
      <w:r>
        <w:rPr>
          <w:spacing w:val="6"/>
        </w:rPr>
        <w:t xml:space="preserve">Segurança </w:t>
      </w:r>
      <w:r>
        <w:rPr>
          <w:spacing w:val="3"/>
        </w:rPr>
        <w:t xml:space="preserve">do </w:t>
      </w:r>
      <w:r>
        <w:rPr>
          <w:spacing w:val="6"/>
        </w:rPr>
        <w:t xml:space="preserve">Trabalho </w:t>
      </w:r>
      <w:r>
        <w:t xml:space="preserve">e </w:t>
      </w:r>
      <w:r>
        <w:rPr>
          <w:spacing w:val="5"/>
        </w:rPr>
        <w:t xml:space="preserve">Meio </w:t>
      </w:r>
      <w:r>
        <w:rPr>
          <w:spacing w:val="6"/>
        </w:rPr>
        <w:t xml:space="preserve">Ambiente </w:t>
      </w:r>
      <w:r>
        <w:rPr>
          <w:spacing w:val="3"/>
        </w:rPr>
        <w:t xml:space="preserve">do </w:t>
      </w:r>
      <w:r>
        <w:rPr>
          <w:spacing w:val="7"/>
        </w:rPr>
        <w:t xml:space="preserve">Conselho </w:t>
      </w:r>
      <w:r>
        <w:rPr>
          <w:spacing w:val="1"/>
        </w:rPr>
        <w:t xml:space="preserve">Regional </w:t>
      </w:r>
      <w:r>
        <w:t xml:space="preserve">de </w:t>
      </w:r>
      <w:r>
        <w:rPr>
          <w:spacing w:val="1"/>
        </w:rPr>
        <w:t xml:space="preserve">Engenharia Arquitetura </w:t>
      </w:r>
      <w:r>
        <w:t xml:space="preserve">e </w:t>
      </w:r>
      <w:r>
        <w:rPr>
          <w:spacing w:val="1"/>
        </w:rPr>
        <w:t xml:space="preserve">Agronomia </w:t>
      </w:r>
      <w:r>
        <w:t xml:space="preserve">da </w:t>
      </w:r>
      <w:r>
        <w:rPr>
          <w:spacing w:val="2"/>
        </w:rPr>
        <w:t xml:space="preserve">Bahia </w:t>
      </w:r>
      <w:r>
        <w:rPr>
          <w:spacing w:val="5"/>
        </w:rPr>
        <w:t>(C</w:t>
      </w:r>
      <w:r>
        <w:rPr>
          <w:spacing w:val="5"/>
        </w:rPr>
        <w:t xml:space="preserve">REA-BA) apontou </w:t>
      </w:r>
      <w:r>
        <w:rPr>
          <w:spacing w:val="3"/>
        </w:rPr>
        <w:t xml:space="preserve">que </w:t>
      </w:r>
      <w:r>
        <w:t xml:space="preserve">a </w:t>
      </w:r>
      <w:r>
        <w:rPr>
          <w:spacing w:val="5"/>
        </w:rPr>
        <w:t xml:space="preserve">empresa </w:t>
      </w:r>
      <w:r>
        <w:rPr>
          <w:spacing w:val="3"/>
        </w:rPr>
        <w:t xml:space="preserve">não havia </w:t>
      </w:r>
      <w:r>
        <w:rPr>
          <w:spacing w:val="5"/>
        </w:rPr>
        <w:t xml:space="preserve">cumprido </w:t>
      </w:r>
      <w:r>
        <w:rPr>
          <w:spacing w:val="1"/>
        </w:rPr>
        <w:t xml:space="preserve">diversos condicionantes ambientais, tais como </w:t>
      </w:r>
      <w:r>
        <w:rPr>
          <w:spacing w:val="2"/>
        </w:rPr>
        <w:t xml:space="preserve">alternativas </w:t>
      </w:r>
      <w:r>
        <w:rPr>
          <w:spacing w:val="7"/>
        </w:rPr>
        <w:t xml:space="preserve">para </w:t>
      </w:r>
      <w:r>
        <w:rPr>
          <w:spacing w:val="8"/>
        </w:rPr>
        <w:t xml:space="preserve">reutilizar </w:t>
      </w:r>
      <w:r>
        <w:rPr>
          <w:spacing w:val="5"/>
        </w:rPr>
        <w:t xml:space="preserve">os </w:t>
      </w:r>
      <w:r>
        <w:rPr>
          <w:spacing w:val="8"/>
        </w:rPr>
        <w:t xml:space="preserve">fragmentos </w:t>
      </w:r>
      <w:r>
        <w:rPr>
          <w:spacing w:val="5"/>
        </w:rPr>
        <w:t xml:space="preserve">de </w:t>
      </w:r>
      <w:r>
        <w:rPr>
          <w:spacing w:val="8"/>
        </w:rPr>
        <w:t xml:space="preserve">rochas </w:t>
      </w:r>
      <w:r>
        <w:rPr>
          <w:spacing w:val="10"/>
        </w:rPr>
        <w:t xml:space="preserve">descartadas; </w:t>
      </w:r>
      <w:r>
        <w:t xml:space="preserve">drenagem do escoamento superficial das águas pluviais e dos </w:t>
      </w:r>
      <w:r>
        <w:rPr>
          <w:spacing w:val="10"/>
        </w:rPr>
        <w:t xml:space="preserve">efluentes; recuperação </w:t>
      </w:r>
      <w:r>
        <w:rPr>
          <w:spacing w:val="5"/>
        </w:rPr>
        <w:t xml:space="preserve">da </w:t>
      </w:r>
      <w:r>
        <w:rPr>
          <w:spacing w:val="10"/>
        </w:rPr>
        <w:t>vegetação</w:t>
      </w:r>
      <w:r>
        <w:rPr>
          <w:spacing w:val="10"/>
        </w:rPr>
        <w:t xml:space="preserve"> circundante </w:t>
      </w:r>
      <w:r>
        <w:t xml:space="preserve">à </w:t>
      </w:r>
      <w:r>
        <w:rPr>
          <w:spacing w:val="3"/>
        </w:rPr>
        <w:t xml:space="preserve">mineradora; monitoramento </w:t>
      </w:r>
      <w:r>
        <w:t xml:space="preserve">e </w:t>
      </w:r>
      <w:r>
        <w:rPr>
          <w:spacing w:val="3"/>
        </w:rPr>
        <w:t xml:space="preserve">limitação </w:t>
      </w:r>
      <w:r>
        <w:rPr>
          <w:spacing w:val="1"/>
        </w:rPr>
        <w:t xml:space="preserve">de </w:t>
      </w:r>
      <w:r>
        <w:rPr>
          <w:spacing w:val="3"/>
        </w:rPr>
        <w:t xml:space="preserve">explosões </w:t>
      </w:r>
      <w:r>
        <w:t xml:space="preserve">a </w:t>
      </w:r>
      <w:r>
        <w:rPr>
          <w:spacing w:val="5"/>
        </w:rPr>
        <w:t xml:space="preserve">30 metros </w:t>
      </w:r>
      <w:r>
        <w:rPr>
          <w:spacing w:val="2"/>
        </w:rPr>
        <w:t xml:space="preserve">da </w:t>
      </w:r>
      <w:r>
        <w:rPr>
          <w:spacing w:val="5"/>
        </w:rPr>
        <w:t xml:space="preserve">margem </w:t>
      </w:r>
      <w:r>
        <w:rPr>
          <w:spacing w:val="2"/>
        </w:rPr>
        <w:t xml:space="preserve">do </w:t>
      </w:r>
      <w:r>
        <w:rPr>
          <w:spacing w:val="3"/>
        </w:rPr>
        <w:t xml:space="preserve">rio </w:t>
      </w:r>
      <w:r>
        <w:rPr>
          <w:spacing w:val="5"/>
        </w:rPr>
        <w:t xml:space="preserve">Juremal </w:t>
      </w:r>
      <w:r>
        <w:rPr>
          <w:spacing w:val="3"/>
        </w:rPr>
        <w:t xml:space="preserve">(área </w:t>
      </w:r>
      <w:r>
        <w:rPr>
          <w:spacing w:val="2"/>
        </w:rPr>
        <w:t xml:space="preserve">de </w:t>
      </w:r>
      <w:r>
        <w:rPr>
          <w:spacing w:val="5"/>
        </w:rPr>
        <w:t>preservação</w:t>
      </w:r>
      <w:r>
        <w:rPr>
          <w:spacing w:val="61"/>
        </w:rPr>
        <w:t xml:space="preserve"> </w:t>
      </w:r>
      <w:r>
        <w:t xml:space="preserve">permanente); disponibilização de equipamentos de proteção </w:t>
      </w:r>
      <w:r>
        <w:rPr>
          <w:spacing w:val="3"/>
        </w:rPr>
        <w:t xml:space="preserve">individual corretos </w:t>
      </w:r>
      <w:r>
        <w:t xml:space="preserve">e </w:t>
      </w:r>
      <w:r>
        <w:rPr>
          <w:spacing w:val="3"/>
        </w:rPr>
        <w:t xml:space="preserve">adequados </w:t>
      </w:r>
      <w:r>
        <w:rPr>
          <w:spacing w:val="2"/>
        </w:rPr>
        <w:t xml:space="preserve">aos </w:t>
      </w:r>
      <w:r>
        <w:rPr>
          <w:spacing w:val="3"/>
        </w:rPr>
        <w:t xml:space="preserve">funcionários; </w:t>
      </w:r>
      <w:r>
        <w:rPr>
          <w:spacing w:val="5"/>
        </w:rPr>
        <w:t xml:space="preserve">dentre </w:t>
      </w:r>
      <w:r>
        <w:t>outras iniciativa</w:t>
      </w:r>
      <w:r>
        <w:t xml:space="preserve">s. Já o Relatório de Fiscalização Ambiental,  do </w:t>
      </w:r>
      <w:r>
        <w:rPr>
          <w:spacing w:val="1"/>
        </w:rPr>
        <w:t xml:space="preserve">Centro </w:t>
      </w:r>
      <w:r>
        <w:t xml:space="preserve">de </w:t>
      </w:r>
      <w:r>
        <w:rPr>
          <w:spacing w:val="1"/>
        </w:rPr>
        <w:t xml:space="preserve">Recursos Ambientais, atual Instituto </w:t>
      </w:r>
      <w:r>
        <w:t xml:space="preserve">de </w:t>
      </w:r>
      <w:r>
        <w:rPr>
          <w:spacing w:val="2"/>
        </w:rPr>
        <w:t xml:space="preserve">Meio </w:t>
      </w:r>
      <w:r>
        <w:t xml:space="preserve">Ambiente do Estado da Bahia (IMA), apontou que, apesar de </w:t>
      </w:r>
      <w:r>
        <w:rPr>
          <w:spacing w:val="10"/>
        </w:rPr>
        <w:t xml:space="preserve">licenciada, </w:t>
      </w:r>
      <w:r>
        <w:t xml:space="preserve">a </w:t>
      </w:r>
      <w:r>
        <w:rPr>
          <w:spacing w:val="8"/>
        </w:rPr>
        <w:t xml:space="preserve">Risley </w:t>
      </w:r>
      <w:r>
        <w:rPr>
          <w:spacing w:val="5"/>
        </w:rPr>
        <w:t xml:space="preserve">do </w:t>
      </w:r>
      <w:r>
        <w:rPr>
          <w:spacing w:val="8"/>
        </w:rPr>
        <w:t xml:space="preserve">Nascimento </w:t>
      </w:r>
      <w:r>
        <w:rPr>
          <w:spacing w:val="7"/>
        </w:rPr>
        <w:t xml:space="preserve">Sena </w:t>
      </w:r>
      <w:r>
        <w:rPr>
          <w:spacing w:val="6"/>
        </w:rPr>
        <w:t>vem</w:t>
      </w:r>
      <w:r>
        <w:rPr>
          <w:spacing w:val="60"/>
        </w:rPr>
        <w:t xml:space="preserve"> </w:t>
      </w:r>
      <w:r>
        <w:rPr>
          <w:spacing w:val="10"/>
        </w:rPr>
        <w:t>tendo</w:t>
      </w:r>
    </w:p>
    <w:p w:rsidR="00D81F69" w:rsidRDefault="00D81F69">
      <w:pPr>
        <w:spacing w:line="312" w:lineRule="auto"/>
        <w:sectPr w:rsidR="00D81F69">
          <w:type w:val="continuous"/>
          <w:pgSz w:w="11900" w:h="16840"/>
          <w:pgMar w:top="720" w:right="500" w:bottom="280" w:left="620" w:header="720" w:footer="720" w:gutter="0"/>
          <w:cols w:num="2" w:space="720" w:equalWidth="0">
            <w:col w:w="5198" w:space="272"/>
            <w:col w:w="5310"/>
          </w:cols>
        </w:sectPr>
      </w:pPr>
    </w:p>
    <w:p w:rsidR="00D81F69" w:rsidRDefault="00330118">
      <w:pPr>
        <w:pStyle w:val="Corpodetexto"/>
        <w:spacing w:before="81" w:line="312" w:lineRule="auto"/>
        <w:ind w:right="58"/>
      </w:pPr>
      <w:r>
        <w:lastRenderedPageBreak/>
        <w:t>dificuldade de cumprir as condicionantes impostas ao empreendimento e precisa negociar um novo contrato com os proprietários ou posseiros da terra (CPT, 2009).</w:t>
      </w:r>
    </w:p>
    <w:p w:rsidR="00D81F69" w:rsidRDefault="00330118">
      <w:pPr>
        <w:pStyle w:val="Corpodetexto"/>
        <w:spacing w:before="133" w:line="312" w:lineRule="auto"/>
        <w:ind w:right="38"/>
      </w:pPr>
      <w:r>
        <w:t>Além dos impactos ambientais decorrentes da mineração, o município convive com muita pobreza. Nu</w:t>
      </w:r>
      <w:r>
        <w:t>ma tentativa de minimizar o problema e ampliar o mercado de trabalho, a Secretaria de Indústria, Comércio e Mineração (SICM) do Estado da Bahia implantou o Programa de Formação de Artesãos Minerais, que instalou ou ampliou 30 núcleos de treinamento e forma</w:t>
      </w:r>
      <w:r>
        <w:t>ção de artesãos em variadas modalidades do artesanato mineral, não apenas na cidade de Juazeiro, mas também em Jacobina, Gentio do Ouro, Potiraguá, Nova Fátima e Salvador (MINERART, 2010). A necessidade de mão de obra qualificada para reaproveitar os rejei</w:t>
      </w:r>
      <w:r>
        <w:t>tos da mineração na região do Semiárido também havia sido detectada no diagnóstico “Mineração na região de Juazeiro: avanços, impactos e resistência das comunidades rurais”, feito, em julho de 2009, pela Comissão Pastoral da Terra (CPT-BA, 2009).</w:t>
      </w:r>
    </w:p>
    <w:p w:rsidR="00D81F69" w:rsidRDefault="00330118">
      <w:pPr>
        <w:pStyle w:val="Corpodetexto"/>
        <w:spacing w:before="144" w:line="312" w:lineRule="auto"/>
        <w:ind w:right="42"/>
      </w:pPr>
      <w:r>
        <w:t>Outra iniciativa desenvolvida pelo governo baiano para minimizar a deficiência na renda e nas condições de trabalho dos mineradores de pequeno porte é o Centro de Apoio ao Artesanato Mineral da Bahia (Minarte). Resultante de uma parceria entre o governo do</w:t>
      </w:r>
      <w:r>
        <w:t xml:space="preserve"> estado com a organização italiana Unione Italiana Del Lavoro, o projeto incentiva a introdução e venda de peças de artesanato mineral de Juazeiro em feiras ou exposições do gênero. O Minarte se dedica à introdução de novas técnicas de artesanato mineral, </w:t>
      </w:r>
      <w:r>
        <w:t>permitindo que os artesãos tenham acesso a créditos financeiros, novas ferramentas de trabalho e capacitação profissional. A Associação de Garimpeiros do Médio São Francisco (Agamesf) e a Associação Agropastoril de Moradores e Amigos do Distrito de Abóbora</w:t>
      </w:r>
      <w:r>
        <w:t>, ambas em Juazeiro, já obtiveram crédito coorporativo para empregarem na produção do artesanato mineral (FERRO; AZÊVEDO, 2006).</w:t>
      </w:r>
    </w:p>
    <w:p w:rsidR="00D81F69" w:rsidRDefault="00330118">
      <w:pPr>
        <w:pStyle w:val="Corpodetexto"/>
        <w:spacing w:before="146" w:line="312" w:lineRule="auto"/>
        <w:ind w:right="45"/>
      </w:pPr>
      <w:r>
        <w:t xml:space="preserve">A </w:t>
      </w:r>
      <w:r>
        <w:rPr>
          <w:spacing w:val="1"/>
        </w:rPr>
        <w:t xml:space="preserve">falta </w:t>
      </w:r>
      <w:r>
        <w:t xml:space="preserve">de </w:t>
      </w:r>
      <w:r>
        <w:rPr>
          <w:spacing w:val="1"/>
        </w:rPr>
        <w:t xml:space="preserve">qualificação profissional </w:t>
      </w:r>
      <w:r>
        <w:t xml:space="preserve">de </w:t>
      </w:r>
      <w:r>
        <w:rPr>
          <w:spacing w:val="1"/>
        </w:rPr>
        <w:t xml:space="preserve">jovens </w:t>
      </w:r>
      <w:r>
        <w:t xml:space="preserve">e </w:t>
      </w:r>
      <w:r>
        <w:rPr>
          <w:spacing w:val="1"/>
        </w:rPr>
        <w:t xml:space="preserve">adultos </w:t>
      </w:r>
      <w:r>
        <w:rPr>
          <w:spacing w:val="2"/>
        </w:rPr>
        <w:t xml:space="preserve">em </w:t>
      </w:r>
      <w:r>
        <w:t xml:space="preserve">Juazeiro também chama a atenção do Serviço Brasileiro de </w:t>
      </w:r>
      <w:r>
        <w:rPr>
          <w:spacing w:val="3"/>
        </w:rPr>
        <w:t xml:space="preserve">Apoio </w:t>
      </w:r>
      <w:r>
        <w:rPr>
          <w:spacing w:val="1"/>
        </w:rPr>
        <w:t xml:space="preserve">às </w:t>
      </w:r>
      <w:r>
        <w:rPr>
          <w:spacing w:val="3"/>
        </w:rPr>
        <w:t>M</w:t>
      </w:r>
      <w:r>
        <w:rPr>
          <w:spacing w:val="3"/>
        </w:rPr>
        <w:t xml:space="preserve">icro </w:t>
      </w:r>
      <w:r>
        <w:t xml:space="preserve">e </w:t>
      </w:r>
      <w:r>
        <w:rPr>
          <w:spacing w:val="3"/>
        </w:rPr>
        <w:t xml:space="preserve">Pequenas Empresas (Sebrae) </w:t>
      </w:r>
      <w:r>
        <w:rPr>
          <w:spacing w:val="2"/>
        </w:rPr>
        <w:t xml:space="preserve">que, </w:t>
      </w:r>
      <w:r>
        <w:rPr>
          <w:spacing w:val="5"/>
        </w:rPr>
        <w:t xml:space="preserve">em </w:t>
      </w:r>
      <w:r>
        <w:t>conjunto com a Agamesf, realizou cursos de adorno mineral, lapidação e artesanato decorativo. Para os artesãos locais, a medida representa uma oportunidade de conhecer mais sobre suas matérias primas e valorizar su</w:t>
      </w:r>
      <w:r>
        <w:t xml:space="preserve">a mão de obra, ampliando a renda familiar. O objetivo da Agamesf é formar profissionais para o Arranjo Produtivo Local (APL) do segmento mineral, </w:t>
      </w:r>
      <w:r>
        <w:rPr>
          <w:spacing w:val="12"/>
        </w:rPr>
        <w:t xml:space="preserve">permitindo </w:t>
      </w:r>
      <w:r>
        <w:t xml:space="preserve">a </w:t>
      </w:r>
      <w:r>
        <w:rPr>
          <w:spacing w:val="12"/>
        </w:rPr>
        <w:t xml:space="preserve">inclusão </w:t>
      </w:r>
      <w:r>
        <w:rPr>
          <w:spacing w:val="11"/>
        </w:rPr>
        <w:t xml:space="preserve">social através </w:t>
      </w:r>
      <w:r>
        <w:rPr>
          <w:spacing w:val="6"/>
        </w:rPr>
        <w:t xml:space="preserve">da </w:t>
      </w:r>
      <w:r>
        <w:rPr>
          <w:spacing w:val="15"/>
        </w:rPr>
        <w:t xml:space="preserve">mineração </w:t>
      </w:r>
      <w:r>
        <w:rPr>
          <w:spacing w:val="12"/>
        </w:rPr>
        <w:t>(LUSTOSA,</w:t>
      </w:r>
      <w:r>
        <w:rPr>
          <w:spacing w:val="70"/>
        </w:rPr>
        <w:t xml:space="preserve"> </w:t>
      </w:r>
      <w:r>
        <w:rPr>
          <w:spacing w:val="15"/>
        </w:rPr>
        <w:t>2008).</w:t>
      </w:r>
    </w:p>
    <w:p w:rsidR="00D81F69" w:rsidRDefault="00330118">
      <w:pPr>
        <w:pStyle w:val="Corpodetexto"/>
        <w:spacing w:before="77" w:line="270" w:lineRule="atLeast"/>
        <w:ind w:right="43"/>
      </w:pPr>
      <w:r>
        <w:t>A deficiência energética é outro problema q</w:t>
      </w:r>
      <w:r>
        <w:t>ue afeta Juazeiro. Sem a infraestrutura adequada, pequenas e médias empresas mineradoras não têm as condições necessárias para operarem, o que contribui para a geração de uma menor quantidade de empregos diretos e indiretos no município. Para sanar tal pro</w:t>
      </w:r>
      <w:r>
        <w:t>blema, o governo estadual implantou uma rede de distribuição energética com cerca de 30 km de extensão, pouco mais de 230 postes, para fomentar a</w:t>
      </w:r>
    </w:p>
    <w:p w:rsidR="00D81F69" w:rsidRDefault="00330118">
      <w:pPr>
        <w:pStyle w:val="Corpodetexto"/>
        <w:spacing w:before="81" w:line="312" w:lineRule="auto"/>
        <w:ind w:right="210"/>
      </w:pPr>
      <w:r>
        <w:br w:type="column"/>
      </w:r>
      <w:r>
        <w:lastRenderedPageBreak/>
        <w:t>produção mineral e o beneficiamento de mármores e granitos na cidade (GOVERNO DA BAHIA, 2004; GOVERNO DA BAHI</w:t>
      </w:r>
      <w:r>
        <w:t>A, 2009).</w:t>
      </w:r>
    </w:p>
    <w:p w:rsidR="00D81F69" w:rsidRDefault="00330118">
      <w:pPr>
        <w:pStyle w:val="Corpodetexto"/>
        <w:spacing w:before="133" w:line="312" w:lineRule="auto"/>
        <w:ind w:right="203"/>
      </w:pPr>
      <w:r>
        <w:t>Apesar das deficiências em infraestrutura, há perspectivas de novas explorações minerais na localidade. A Secretaria de Indústria, Comércio e Mineração e a assessoria de Planejamento e Desenvolvimento Econômico de Juazeiro têm trabalhado para ide</w:t>
      </w:r>
      <w:r>
        <w:t xml:space="preserve">ntificar o potencial mineral ainda não explorado no município (DINIZ, 2010). Segundo um levantamento inicial, coordenado pela Agamesf, Juazeiro pode conter em seu subsolo reservas ainda inexploradas de calcário, mármore, granito, pedra portuguesa, quartzo </w:t>
      </w:r>
      <w:r>
        <w:t>ametista, quartzo verde, topázio, cristais, ouro e diamante. As três regiões do município mais promissoras para a existência desses recursos minerais são Manga, Pau Preto e Boa Sorte (LUNA; SANTOS, 2010).</w:t>
      </w:r>
    </w:p>
    <w:p w:rsidR="00D81F69" w:rsidRDefault="00330118">
      <w:pPr>
        <w:pStyle w:val="Corpodetexto"/>
        <w:spacing w:before="142" w:line="312" w:lineRule="auto"/>
        <w:ind w:right="191"/>
      </w:pPr>
      <w:r>
        <w:t>Segundo levantamento feito pela Comissão Pastoral d</w:t>
      </w:r>
      <w:r>
        <w:t xml:space="preserve">a Terra (CPT) de Juazeiro, entre os meses de novembro de 2008 e março de 2009, 108 empresas ou pessoas foram autorizadas a pesquisar minérios na região, por um período de três anos. </w:t>
      </w:r>
      <w:r>
        <w:rPr>
          <w:spacing w:val="1"/>
        </w:rPr>
        <w:t xml:space="preserve">Os </w:t>
      </w:r>
      <w:r>
        <w:rPr>
          <w:spacing w:val="3"/>
        </w:rPr>
        <w:t xml:space="preserve">minérios </w:t>
      </w:r>
      <w:r>
        <w:rPr>
          <w:spacing w:val="2"/>
        </w:rPr>
        <w:t xml:space="preserve">mais </w:t>
      </w:r>
      <w:r>
        <w:rPr>
          <w:spacing w:val="3"/>
        </w:rPr>
        <w:t xml:space="preserve">cobiçados </w:t>
      </w:r>
      <w:r>
        <w:rPr>
          <w:spacing w:val="2"/>
        </w:rPr>
        <w:t xml:space="preserve">para </w:t>
      </w:r>
      <w:r>
        <w:rPr>
          <w:spacing w:val="3"/>
        </w:rPr>
        <w:t xml:space="preserve">pesquisa </w:t>
      </w:r>
      <w:r>
        <w:rPr>
          <w:spacing w:val="1"/>
        </w:rPr>
        <w:t xml:space="preserve">na </w:t>
      </w:r>
      <w:r>
        <w:rPr>
          <w:spacing w:val="3"/>
        </w:rPr>
        <w:t xml:space="preserve">região </w:t>
      </w:r>
      <w:r>
        <w:rPr>
          <w:spacing w:val="5"/>
        </w:rPr>
        <w:t xml:space="preserve">são </w:t>
      </w:r>
      <w:r>
        <w:rPr>
          <w:spacing w:val="3"/>
        </w:rPr>
        <w:t xml:space="preserve">ferro, </w:t>
      </w:r>
      <w:hyperlink r:id="rId693">
        <w:r>
          <w:rPr>
            <w:spacing w:val="3"/>
          </w:rPr>
          <w:t>manganês</w:t>
        </w:r>
      </w:hyperlink>
      <w:r>
        <w:rPr>
          <w:spacing w:val="3"/>
        </w:rPr>
        <w:t xml:space="preserve"> </w:t>
      </w:r>
      <w:r>
        <w:t xml:space="preserve">e </w:t>
      </w:r>
      <w:r>
        <w:rPr>
          <w:spacing w:val="3"/>
        </w:rPr>
        <w:t xml:space="preserve">fosfato, seguidos </w:t>
      </w:r>
      <w:r>
        <w:rPr>
          <w:spacing w:val="1"/>
        </w:rPr>
        <w:t xml:space="preserve">de </w:t>
      </w:r>
      <w:r>
        <w:rPr>
          <w:spacing w:val="3"/>
        </w:rPr>
        <w:t xml:space="preserve">quartzito, </w:t>
      </w:r>
      <w:r>
        <w:rPr>
          <w:spacing w:val="5"/>
        </w:rPr>
        <w:t xml:space="preserve">granito, </w:t>
      </w:r>
      <w:r>
        <w:rPr>
          <w:spacing w:val="3"/>
        </w:rPr>
        <w:t xml:space="preserve">cobre, mármore </w:t>
      </w:r>
      <w:r>
        <w:t xml:space="preserve">e </w:t>
      </w:r>
      <w:hyperlink r:id="rId694">
        <w:r>
          <w:rPr>
            <w:spacing w:val="3"/>
          </w:rPr>
          <w:t>níquel</w:t>
        </w:r>
      </w:hyperlink>
      <w:r>
        <w:rPr>
          <w:spacing w:val="3"/>
        </w:rPr>
        <w:t xml:space="preserve"> (CPT-BA,</w:t>
      </w:r>
      <w:r>
        <w:rPr>
          <w:spacing w:val="25"/>
        </w:rPr>
        <w:t xml:space="preserve"> </w:t>
      </w:r>
      <w:r>
        <w:rPr>
          <w:spacing w:val="5"/>
        </w:rPr>
        <w:t>2</w:t>
      </w:r>
      <w:r>
        <w:rPr>
          <w:spacing w:val="5"/>
        </w:rPr>
        <w:t>009).</w:t>
      </w:r>
    </w:p>
    <w:p w:rsidR="00D81F69" w:rsidRDefault="00330118">
      <w:pPr>
        <w:pStyle w:val="Corpodetexto"/>
        <w:spacing w:before="136" w:line="312" w:lineRule="auto"/>
        <w:ind w:right="196"/>
      </w:pPr>
      <w:r>
        <w:t>No entanto, alguns projetos já estão em andamento. Um deles visa instalar no município uma indústria de fertilizantes químicos, tendo em vista a disponibilidade de matérias primas, sistemas de transportes, políticas públicas de desenvolvimento region</w:t>
      </w:r>
      <w:r>
        <w:t>al e demanda do mercado consumidor por fertilizantes químicos no médio vale do rio São Francisco, que realiza agricultura irrigada (SILVA, 2002). A empresa PanBrasilian Mineração conseguiu autorização do Departamento Nacional de Produção Mineral (DNPM) par</w:t>
      </w:r>
      <w:r>
        <w:t>a pesquisa de fosfato em 2008 e 2009 (CPT, 2009). No entanto, a atividade pode representar mais impacto ambiental pois a técnica da rochagem na região pode elevar os teores de metais pesados no solo e comprometer sua qualidade (MENDES et al., 2010).</w:t>
      </w:r>
    </w:p>
    <w:p w:rsidR="00D81F69" w:rsidRDefault="00330118">
      <w:pPr>
        <w:pStyle w:val="Corpodetexto"/>
        <w:spacing w:before="143" w:line="312" w:lineRule="auto"/>
        <w:ind w:right="195"/>
      </w:pPr>
      <w:r>
        <w:t xml:space="preserve">Há ainda um projeto para operação de uma mina de cobre no município. Desenvolvido pela Mineração Caraíba, o Projeto Vermelhos está em fase de estudos e a estimativa é que as pesquisas da mina estejam concluídas em meados de 2011. </w:t>
      </w:r>
      <w:r>
        <w:rPr>
          <w:spacing w:val="3"/>
        </w:rPr>
        <w:t xml:space="preserve">Como </w:t>
      </w:r>
      <w:r>
        <w:t xml:space="preserve">o </w:t>
      </w:r>
      <w:r>
        <w:rPr>
          <w:spacing w:val="5"/>
        </w:rPr>
        <w:t xml:space="preserve">empreendimento </w:t>
      </w:r>
      <w:r>
        <w:rPr>
          <w:spacing w:val="3"/>
        </w:rPr>
        <w:t xml:space="preserve">vai </w:t>
      </w:r>
      <w:r>
        <w:rPr>
          <w:spacing w:val="5"/>
        </w:rPr>
        <w:t xml:space="preserve">impactar </w:t>
      </w:r>
      <w:r>
        <w:t xml:space="preserve">a </w:t>
      </w:r>
      <w:r>
        <w:rPr>
          <w:spacing w:val="5"/>
        </w:rPr>
        <w:t>comunidade de</w:t>
      </w:r>
      <w:r>
        <w:rPr>
          <w:spacing w:val="61"/>
        </w:rPr>
        <w:t xml:space="preserve"> </w:t>
      </w:r>
      <w:r>
        <w:rPr>
          <w:spacing w:val="6"/>
        </w:rPr>
        <w:t xml:space="preserve">Vermelhos, localizada </w:t>
      </w:r>
      <w:r>
        <w:rPr>
          <w:spacing w:val="3"/>
        </w:rPr>
        <w:t xml:space="preserve">no </w:t>
      </w:r>
      <w:r>
        <w:rPr>
          <w:spacing w:val="6"/>
        </w:rPr>
        <w:t xml:space="preserve">distrito </w:t>
      </w:r>
      <w:r>
        <w:rPr>
          <w:spacing w:val="3"/>
        </w:rPr>
        <w:t xml:space="preserve">de </w:t>
      </w:r>
      <w:r>
        <w:rPr>
          <w:spacing w:val="6"/>
        </w:rPr>
        <w:t xml:space="preserve">Itamotinga, </w:t>
      </w:r>
      <w:r>
        <w:t xml:space="preserve">o </w:t>
      </w:r>
      <w:r>
        <w:rPr>
          <w:spacing w:val="7"/>
        </w:rPr>
        <w:t xml:space="preserve">IMA </w:t>
      </w:r>
      <w:r>
        <w:t xml:space="preserve">realizou, em março de 2010, uma oficina com a finalidade de </w:t>
      </w:r>
      <w:r>
        <w:rPr>
          <w:spacing w:val="3"/>
        </w:rPr>
        <w:t xml:space="preserve">levar informações </w:t>
      </w:r>
      <w:r>
        <w:rPr>
          <w:spacing w:val="2"/>
        </w:rPr>
        <w:t xml:space="preserve">aos </w:t>
      </w:r>
      <w:r>
        <w:rPr>
          <w:spacing w:val="3"/>
        </w:rPr>
        <w:t xml:space="preserve">moradores </w:t>
      </w:r>
      <w:r>
        <w:rPr>
          <w:spacing w:val="1"/>
        </w:rPr>
        <w:t xml:space="preserve">da </w:t>
      </w:r>
      <w:r>
        <w:rPr>
          <w:spacing w:val="2"/>
        </w:rPr>
        <w:t xml:space="preserve">zona </w:t>
      </w:r>
      <w:r>
        <w:rPr>
          <w:spacing w:val="3"/>
        </w:rPr>
        <w:t xml:space="preserve">rural </w:t>
      </w:r>
      <w:r>
        <w:rPr>
          <w:spacing w:val="2"/>
        </w:rPr>
        <w:t xml:space="preserve">que </w:t>
      </w:r>
      <w:r>
        <w:rPr>
          <w:spacing w:val="5"/>
        </w:rPr>
        <w:t xml:space="preserve">será </w:t>
      </w:r>
      <w:r>
        <w:rPr>
          <w:spacing w:val="3"/>
        </w:rPr>
        <w:t>atingida (RADINA,</w:t>
      </w:r>
      <w:r>
        <w:rPr>
          <w:spacing w:val="2"/>
        </w:rPr>
        <w:t xml:space="preserve"> </w:t>
      </w:r>
      <w:r>
        <w:rPr>
          <w:spacing w:val="5"/>
        </w:rPr>
        <w:t>2010).</w:t>
      </w:r>
    </w:p>
    <w:p w:rsidR="00D81F69" w:rsidRDefault="00330118">
      <w:pPr>
        <w:pStyle w:val="Corpodetexto"/>
        <w:spacing w:before="138" w:line="312" w:lineRule="auto"/>
        <w:ind w:right="205"/>
      </w:pPr>
      <w:r>
        <w:rPr>
          <w:spacing w:val="6"/>
        </w:rPr>
        <w:t xml:space="preserve">Além </w:t>
      </w:r>
      <w:r>
        <w:rPr>
          <w:spacing w:val="7"/>
        </w:rPr>
        <w:t>desses projetos, existem outras</w:t>
      </w:r>
      <w:r>
        <w:rPr>
          <w:spacing w:val="7"/>
        </w:rPr>
        <w:t xml:space="preserve"> </w:t>
      </w:r>
      <w:r>
        <w:rPr>
          <w:spacing w:val="5"/>
        </w:rPr>
        <w:t xml:space="preserve">13 </w:t>
      </w:r>
      <w:r>
        <w:rPr>
          <w:spacing w:val="7"/>
        </w:rPr>
        <w:t xml:space="preserve">outorgas </w:t>
      </w:r>
      <w:r>
        <w:rPr>
          <w:spacing w:val="10"/>
        </w:rPr>
        <w:t xml:space="preserve">de </w:t>
      </w:r>
      <w:r>
        <w:t xml:space="preserve">pesquisa no setor mineral em Juazeiro. Embora a mineração afete a comunidade local e o meio ambiente, a dificuldade em </w:t>
      </w:r>
      <w:r>
        <w:rPr>
          <w:spacing w:val="3"/>
        </w:rPr>
        <w:t xml:space="preserve">reunir </w:t>
      </w:r>
      <w:r>
        <w:rPr>
          <w:spacing w:val="1"/>
        </w:rPr>
        <w:t xml:space="preserve">as </w:t>
      </w:r>
      <w:r>
        <w:rPr>
          <w:spacing w:val="3"/>
        </w:rPr>
        <w:t xml:space="preserve">comunidades atingidas pelos </w:t>
      </w:r>
      <w:r>
        <w:rPr>
          <w:spacing w:val="5"/>
        </w:rPr>
        <w:t xml:space="preserve">empreendimentos </w:t>
      </w:r>
      <w:r>
        <w:t>minerários pode enfraquecer a pressão comunitária para que a susten</w:t>
      </w:r>
      <w:r>
        <w:t xml:space="preserve">tabilidade socioambiental seja uma condicionante na </w:t>
      </w:r>
      <w:r>
        <w:rPr>
          <w:spacing w:val="1"/>
        </w:rPr>
        <w:t xml:space="preserve">atuação </w:t>
      </w:r>
      <w:r>
        <w:t xml:space="preserve">de </w:t>
      </w:r>
      <w:r>
        <w:rPr>
          <w:spacing w:val="1"/>
        </w:rPr>
        <w:t xml:space="preserve">diversas empresas </w:t>
      </w:r>
      <w:r>
        <w:t xml:space="preserve">do </w:t>
      </w:r>
      <w:r>
        <w:rPr>
          <w:spacing w:val="1"/>
        </w:rPr>
        <w:t xml:space="preserve">setor mineral </w:t>
      </w:r>
      <w:r>
        <w:t xml:space="preserve">na </w:t>
      </w:r>
      <w:r>
        <w:rPr>
          <w:spacing w:val="2"/>
        </w:rPr>
        <w:t xml:space="preserve">cidade </w:t>
      </w:r>
      <w:r>
        <w:rPr>
          <w:spacing w:val="1"/>
        </w:rPr>
        <w:t>(CPT,</w:t>
      </w:r>
      <w:r>
        <w:rPr>
          <w:spacing w:val="21"/>
        </w:rPr>
        <w:t xml:space="preserve"> </w:t>
      </w:r>
      <w:r>
        <w:rPr>
          <w:spacing w:val="2"/>
        </w:rPr>
        <w:t>2009).</w:t>
      </w:r>
    </w:p>
    <w:p w:rsidR="00D81F69" w:rsidRDefault="00D81F69">
      <w:pPr>
        <w:spacing w:line="312" w:lineRule="auto"/>
        <w:sectPr w:rsidR="00D81F69">
          <w:pgSz w:w="11900" w:h="16840"/>
          <w:pgMar w:top="740" w:right="500" w:bottom="620" w:left="620" w:header="0" w:footer="402" w:gutter="0"/>
          <w:cols w:num="2" w:space="720" w:equalWidth="0">
            <w:col w:w="5162" w:space="308"/>
            <w:col w:w="5310"/>
          </w:cols>
        </w:sectPr>
      </w:pPr>
    </w:p>
    <w:p w:rsidR="00D81F69" w:rsidRDefault="00D81F69">
      <w:pPr>
        <w:pStyle w:val="Corpodetexto"/>
        <w:spacing w:before="5"/>
        <w:ind w:left="0"/>
        <w:jc w:val="left"/>
        <w:rPr>
          <w:sz w:val="24"/>
        </w:rPr>
      </w:pPr>
    </w:p>
    <w:p w:rsidR="00D81F69" w:rsidRDefault="00330118">
      <w:pPr>
        <w:pStyle w:val="Corpodetexto"/>
        <w:spacing w:line="312" w:lineRule="auto"/>
        <w:ind w:right="139"/>
      </w:pPr>
      <w:r>
        <w:t>Os governos estadual e municipal têm alertado as empresas mineradoras interessadas em atuar em Juazeiro p</w:t>
      </w:r>
      <w:r>
        <w:t>ara que a viabilidade econômica de futuros empreendimentos do setor mineral ocorra em paralelo à sustentabilidade socioambiental (LUNA; SANTOS, 2010).</w:t>
      </w:r>
    </w:p>
    <w:p w:rsidR="00D81F69" w:rsidRDefault="00D81F69">
      <w:pPr>
        <w:pStyle w:val="Corpodetexto"/>
        <w:spacing w:before="4"/>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135"/>
      </w:pPr>
      <w:r>
        <w:t>As ocorrências de mármores e granitos concentram-se ao longo do canal principal da bacia do rio São Francisco, entre o riacho Seco e o riacho São José. Estão compreendidas entre as latitudes 9°44’17”S – 9°11’21”S e longitudes 39°55’17”W – 40°41’48”W.</w:t>
      </w:r>
    </w:p>
    <w:p w:rsidR="00D81F69" w:rsidRDefault="00D81F69">
      <w:pPr>
        <w:pStyle w:val="Corpodetexto"/>
        <w:spacing w:before="2"/>
        <w:ind w:left="0"/>
        <w:jc w:val="left"/>
        <w:rPr>
          <w:sz w:val="29"/>
        </w:rPr>
      </w:pPr>
    </w:p>
    <w:p w:rsidR="00D81F69" w:rsidRDefault="00330118">
      <w:pPr>
        <w:pStyle w:val="Heading7"/>
      </w:pPr>
      <w:r>
        <w:t>REDA</w:t>
      </w:r>
      <w:r>
        <w:t>TORES</w:t>
      </w:r>
    </w:p>
    <w:p w:rsidR="00D81F69" w:rsidRDefault="00330118">
      <w:pPr>
        <w:pStyle w:val="Corpodetexto"/>
        <w:spacing w:before="179"/>
      </w:pPr>
      <w:r>
        <w:t>Rodrigo Braga</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ind w:left="100"/>
        <w:jc w:val="both"/>
        <w:rPr>
          <w:sz w:val="16"/>
        </w:rPr>
      </w:pPr>
      <w:r>
        <w:rPr>
          <w:sz w:val="16"/>
        </w:rPr>
        <w:t>CNM, Confederação Nacional de Municípios. Dados Gerais, Juazeiro</w:t>
      </w:r>
    </w:p>
    <w:p w:rsidR="00D81F69" w:rsidRDefault="00330118">
      <w:pPr>
        <w:pStyle w:val="PargrafodaLista"/>
        <w:numPr>
          <w:ilvl w:val="0"/>
          <w:numId w:val="3"/>
        </w:numPr>
        <w:tabs>
          <w:tab w:val="left" w:pos="628"/>
        </w:tabs>
        <w:spacing w:before="56"/>
        <w:ind w:left="627" w:hanging="527"/>
        <w:rPr>
          <w:sz w:val="16"/>
        </w:rPr>
      </w:pPr>
      <w:r>
        <w:rPr>
          <w:spacing w:val="41"/>
          <w:sz w:val="16"/>
        </w:rPr>
        <w:t>B</w:t>
      </w:r>
      <w:r>
        <w:rPr>
          <w:sz w:val="16"/>
        </w:rPr>
        <w:t xml:space="preserve"> </w:t>
      </w:r>
      <w:r>
        <w:rPr>
          <w:spacing w:val="41"/>
          <w:sz w:val="16"/>
        </w:rPr>
        <w:t>A</w:t>
      </w:r>
      <w:r>
        <w:rPr>
          <w:sz w:val="16"/>
        </w:rPr>
        <w:t xml:space="preserve"> ,</w:t>
      </w:r>
      <w:r>
        <w:rPr>
          <w:spacing w:val="40"/>
          <w:sz w:val="16"/>
        </w:rPr>
        <w:t xml:space="preserve"> </w:t>
      </w:r>
      <w:r>
        <w:rPr>
          <w:spacing w:val="41"/>
          <w:sz w:val="16"/>
        </w:rPr>
        <w:t>2</w:t>
      </w:r>
      <w:r>
        <w:rPr>
          <w:sz w:val="16"/>
        </w:rPr>
        <w:t xml:space="preserve"> </w:t>
      </w:r>
      <w:r>
        <w:rPr>
          <w:spacing w:val="41"/>
          <w:sz w:val="16"/>
        </w:rPr>
        <w:t>0</w:t>
      </w:r>
      <w:r>
        <w:rPr>
          <w:sz w:val="16"/>
        </w:rPr>
        <w:t xml:space="preserve"> </w:t>
      </w:r>
      <w:r>
        <w:rPr>
          <w:spacing w:val="41"/>
          <w:sz w:val="16"/>
        </w:rPr>
        <w:t>1</w:t>
      </w:r>
      <w:r>
        <w:rPr>
          <w:sz w:val="16"/>
        </w:rPr>
        <w:t xml:space="preserve"> </w:t>
      </w:r>
      <w:r>
        <w:rPr>
          <w:spacing w:val="41"/>
          <w:sz w:val="16"/>
        </w:rPr>
        <w:t>0</w:t>
      </w:r>
      <w:r>
        <w:rPr>
          <w:sz w:val="16"/>
        </w:rPr>
        <w:t xml:space="preserve"> .</w:t>
      </w:r>
      <w:r>
        <w:rPr>
          <w:spacing w:val="40"/>
          <w:sz w:val="16"/>
        </w:rPr>
        <w:t xml:space="preserve"> </w:t>
      </w:r>
      <w:r>
        <w:rPr>
          <w:spacing w:val="41"/>
          <w:sz w:val="16"/>
        </w:rPr>
        <w:t>D</w:t>
      </w:r>
      <w:r>
        <w:rPr>
          <w:sz w:val="16"/>
        </w:rPr>
        <w:t xml:space="preserve"> </w:t>
      </w:r>
      <w:r>
        <w:rPr>
          <w:spacing w:val="41"/>
          <w:sz w:val="16"/>
        </w:rPr>
        <w:t>i</w:t>
      </w:r>
      <w:r>
        <w:rPr>
          <w:sz w:val="16"/>
        </w:rPr>
        <w:t xml:space="preserve"> </w:t>
      </w:r>
      <w:r>
        <w:rPr>
          <w:spacing w:val="41"/>
          <w:sz w:val="16"/>
        </w:rPr>
        <w:t>s</w:t>
      </w:r>
      <w:r>
        <w:rPr>
          <w:sz w:val="16"/>
        </w:rPr>
        <w:t xml:space="preserve"> </w:t>
      </w:r>
      <w:r>
        <w:rPr>
          <w:spacing w:val="41"/>
          <w:sz w:val="16"/>
        </w:rPr>
        <w:t>p</w:t>
      </w:r>
      <w:r>
        <w:rPr>
          <w:sz w:val="16"/>
        </w:rPr>
        <w:t xml:space="preserve"> </w:t>
      </w:r>
      <w:r>
        <w:rPr>
          <w:spacing w:val="41"/>
          <w:sz w:val="16"/>
        </w:rPr>
        <w:t>o</w:t>
      </w:r>
      <w:r>
        <w:rPr>
          <w:sz w:val="16"/>
        </w:rPr>
        <w:t xml:space="preserve"> </w:t>
      </w:r>
      <w:r>
        <w:rPr>
          <w:spacing w:val="41"/>
          <w:sz w:val="16"/>
        </w:rPr>
        <w:t>n</w:t>
      </w:r>
      <w:r>
        <w:rPr>
          <w:sz w:val="16"/>
        </w:rPr>
        <w:t xml:space="preserve"> </w:t>
      </w:r>
      <w:r>
        <w:rPr>
          <w:spacing w:val="41"/>
          <w:sz w:val="16"/>
        </w:rPr>
        <w:t>í</w:t>
      </w:r>
      <w:r>
        <w:rPr>
          <w:sz w:val="16"/>
        </w:rPr>
        <w:t xml:space="preserve"> </w:t>
      </w:r>
      <w:r>
        <w:rPr>
          <w:spacing w:val="41"/>
          <w:sz w:val="16"/>
        </w:rPr>
        <w:t>v</w:t>
      </w:r>
      <w:r>
        <w:rPr>
          <w:sz w:val="16"/>
        </w:rPr>
        <w:t xml:space="preserve"> </w:t>
      </w:r>
      <w:r>
        <w:rPr>
          <w:spacing w:val="41"/>
          <w:sz w:val="16"/>
        </w:rPr>
        <w:t>e</w:t>
      </w:r>
      <w:r>
        <w:rPr>
          <w:sz w:val="16"/>
        </w:rPr>
        <w:t xml:space="preserve"> l</w:t>
      </w:r>
      <w:r>
        <w:rPr>
          <w:spacing w:val="40"/>
          <w:sz w:val="16"/>
        </w:rPr>
        <w:t xml:space="preserve"> </w:t>
      </w:r>
      <w:r>
        <w:rPr>
          <w:spacing w:val="41"/>
          <w:sz w:val="16"/>
        </w:rPr>
        <w:t>e</w:t>
      </w:r>
      <w:r>
        <w:rPr>
          <w:sz w:val="16"/>
        </w:rPr>
        <w:t xml:space="preserve"> </w:t>
      </w:r>
      <w:r>
        <w:rPr>
          <w:spacing w:val="41"/>
          <w:sz w:val="16"/>
        </w:rPr>
        <w:t>m</w:t>
      </w:r>
      <w:r>
        <w:rPr>
          <w:sz w:val="16"/>
        </w:rPr>
        <w:t xml:space="preserve"> : </w:t>
      </w:r>
      <w:r>
        <w:rPr>
          <w:spacing w:val="-2"/>
          <w:sz w:val="16"/>
        </w:rPr>
        <w:t xml:space="preserve"> </w:t>
      </w:r>
    </w:p>
    <w:p w:rsidR="00D81F69" w:rsidRDefault="00D81F69">
      <w:pPr>
        <w:spacing w:before="56"/>
        <w:ind w:left="100"/>
        <w:jc w:val="both"/>
        <w:rPr>
          <w:sz w:val="16"/>
        </w:rPr>
      </w:pPr>
      <w:hyperlink r:id="rId695">
        <w:r w:rsidR="00330118">
          <w:rPr>
            <w:sz w:val="16"/>
          </w:rPr>
          <w:t>&lt;</w:t>
        </w:r>
        <w:r w:rsidR="00330118">
          <w:rPr>
            <w:sz w:val="16"/>
          </w:rPr>
          <w:t>http://www.cnm.org.br/dado_geral/mumain.asp?iIdMun=100129218&gt;</w:t>
        </w:r>
      </w:hyperlink>
    </w:p>
    <w:p w:rsidR="00D81F69" w:rsidRDefault="00330118">
      <w:pPr>
        <w:spacing w:before="56"/>
        <w:ind w:left="100"/>
        <w:jc w:val="both"/>
        <w:rPr>
          <w:sz w:val="16"/>
        </w:rPr>
      </w:pPr>
      <w:r>
        <w:rPr>
          <w:sz w:val="16"/>
        </w:rPr>
        <w:t>. Acesso em: 05 nov. 2010.</w:t>
      </w:r>
    </w:p>
    <w:p w:rsidR="00D81F69" w:rsidRDefault="00330118">
      <w:pPr>
        <w:spacing w:before="56" w:line="312" w:lineRule="auto"/>
        <w:ind w:left="100" w:right="116"/>
        <w:jc w:val="both"/>
        <w:rPr>
          <w:sz w:val="16"/>
        </w:rPr>
      </w:pPr>
      <w:r>
        <w:rPr>
          <w:spacing w:val="1"/>
          <w:sz w:val="16"/>
        </w:rPr>
        <w:t xml:space="preserve">CPT, Comissão Pastoral </w:t>
      </w:r>
      <w:r>
        <w:rPr>
          <w:sz w:val="16"/>
        </w:rPr>
        <w:t xml:space="preserve">da </w:t>
      </w:r>
      <w:r>
        <w:rPr>
          <w:spacing w:val="1"/>
          <w:sz w:val="16"/>
        </w:rPr>
        <w:t xml:space="preserve">Terra </w:t>
      </w:r>
      <w:r>
        <w:rPr>
          <w:sz w:val="16"/>
        </w:rPr>
        <w:t xml:space="preserve">/ </w:t>
      </w:r>
      <w:r>
        <w:rPr>
          <w:spacing w:val="1"/>
          <w:sz w:val="16"/>
        </w:rPr>
        <w:t xml:space="preserve">Diocese </w:t>
      </w:r>
      <w:r>
        <w:rPr>
          <w:sz w:val="16"/>
        </w:rPr>
        <w:t xml:space="preserve">de </w:t>
      </w:r>
      <w:r>
        <w:rPr>
          <w:spacing w:val="1"/>
          <w:sz w:val="16"/>
        </w:rPr>
        <w:t xml:space="preserve">Juazeiro </w:t>
      </w:r>
      <w:r>
        <w:rPr>
          <w:sz w:val="16"/>
        </w:rPr>
        <w:t xml:space="preserve">– </w:t>
      </w:r>
      <w:r>
        <w:rPr>
          <w:spacing w:val="2"/>
          <w:sz w:val="16"/>
        </w:rPr>
        <w:t xml:space="preserve">Bahia. </w:t>
      </w:r>
      <w:r>
        <w:rPr>
          <w:sz w:val="16"/>
        </w:rPr>
        <w:t xml:space="preserve">Mineração na Região de Juazeiro: avanços, impactos e resistência </w:t>
      </w:r>
      <w:r>
        <w:rPr>
          <w:spacing w:val="2"/>
          <w:sz w:val="16"/>
        </w:rPr>
        <w:t>das</w:t>
      </w:r>
      <w:r>
        <w:rPr>
          <w:spacing w:val="36"/>
          <w:sz w:val="16"/>
        </w:rPr>
        <w:t xml:space="preserve"> </w:t>
      </w:r>
      <w:r>
        <w:rPr>
          <w:spacing w:val="3"/>
          <w:sz w:val="16"/>
        </w:rPr>
        <w:t>comunidades</w:t>
      </w:r>
      <w:r>
        <w:rPr>
          <w:spacing w:val="36"/>
          <w:sz w:val="16"/>
        </w:rPr>
        <w:t xml:space="preserve"> </w:t>
      </w:r>
      <w:r>
        <w:rPr>
          <w:spacing w:val="3"/>
          <w:sz w:val="16"/>
        </w:rPr>
        <w:t>rurais.</w:t>
      </w:r>
      <w:r>
        <w:rPr>
          <w:spacing w:val="36"/>
          <w:sz w:val="16"/>
        </w:rPr>
        <w:t xml:space="preserve"> </w:t>
      </w:r>
      <w:r>
        <w:rPr>
          <w:spacing w:val="3"/>
          <w:sz w:val="16"/>
        </w:rPr>
        <w:t>Julho,</w:t>
      </w:r>
      <w:r>
        <w:rPr>
          <w:spacing w:val="36"/>
          <w:sz w:val="16"/>
        </w:rPr>
        <w:t xml:space="preserve"> </w:t>
      </w:r>
      <w:r>
        <w:rPr>
          <w:spacing w:val="3"/>
          <w:sz w:val="16"/>
        </w:rPr>
        <w:t>2009.</w:t>
      </w:r>
      <w:r>
        <w:rPr>
          <w:spacing w:val="36"/>
          <w:sz w:val="16"/>
        </w:rPr>
        <w:t xml:space="preserve"> </w:t>
      </w:r>
      <w:r>
        <w:rPr>
          <w:spacing w:val="2"/>
          <w:sz w:val="16"/>
        </w:rPr>
        <w:t>Pg</w:t>
      </w:r>
      <w:r>
        <w:rPr>
          <w:spacing w:val="2"/>
          <w:sz w:val="16"/>
        </w:rPr>
        <w:t>.</w:t>
      </w:r>
      <w:r>
        <w:rPr>
          <w:spacing w:val="36"/>
          <w:sz w:val="16"/>
        </w:rPr>
        <w:t xml:space="preserve"> </w:t>
      </w:r>
      <w:r>
        <w:rPr>
          <w:spacing w:val="3"/>
          <w:sz w:val="16"/>
        </w:rPr>
        <w:t>1-78.</w:t>
      </w:r>
      <w:r>
        <w:rPr>
          <w:spacing w:val="36"/>
          <w:sz w:val="16"/>
        </w:rPr>
        <w:t xml:space="preserve"> </w:t>
      </w:r>
      <w:r>
        <w:rPr>
          <w:spacing w:val="3"/>
          <w:sz w:val="16"/>
        </w:rPr>
        <w:t>Disponível</w:t>
      </w:r>
      <w:r>
        <w:rPr>
          <w:spacing w:val="36"/>
          <w:sz w:val="16"/>
        </w:rPr>
        <w:t xml:space="preserve"> </w:t>
      </w:r>
      <w:r>
        <w:rPr>
          <w:spacing w:val="5"/>
          <w:sz w:val="16"/>
        </w:rPr>
        <w:t>em:</w:t>
      </w:r>
    </w:p>
    <w:p w:rsidR="00D81F69" w:rsidRDefault="00D81F69">
      <w:pPr>
        <w:spacing w:before="3" w:line="312" w:lineRule="auto"/>
        <w:ind w:left="100" w:right="139"/>
        <w:jc w:val="both"/>
        <w:rPr>
          <w:sz w:val="16"/>
        </w:rPr>
      </w:pPr>
      <w:hyperlink r:id="rId696">
        <w:r w:rsidR="00330118">
          <w:rPr>
            <w:sz w:val="16"/>
          </w:rPr>
          <w:t>&lt;http://www.cptba.org.br/download/diagnostico_mineracao_juazeiro_j</w:t>
        </w:r>
      </w:hyperlink>
      <w:r w:rsidR="00330118">
        <w:rPr>
          <w:sz w:val="16"/>
        </w:rPr>
        <w:t xml:space="preserve"> ul2009.pdf&gt;. Acesso em: 06 nov. 2010.</w:t>
      </w:r>
    </w:p>
    <w:p w:rsidR="00D81F69" w:rsidRDefault="00330118">
      <w:pPr>
        <w:spacing w:before="1" w:line="312" w:lineRule="auto"/>
        <w:ind w:left="100" w:right="118"/>
        <w:jc w:val="both"/>
        <w:rPr>
          <w:sz w:val="16"/>
        </w:rPr>
      </w:pPr>
      <w:r>
        <w:rPr>
          <w:sz w:val="16"/>
        </w:rPr>
        <w:t>CPT-BA, Comissão Pastoral da Terra Regional Bahia. Seminário define estratégias para enfrentamento às mineradoras na região de Juazeiro, BA. In: Portal Ecodebate, 07 out. 2009. Disponível em:</w:t>
      </w:r>
    </w:p>
    <w:p w:rsidR="00D81F69" w:rsidRDefault="00D81F69">
      <w:pPr>
        <w:spacing w:before="3" w:line="312" w:lineRule="auto"/>
        <w:ind w:left="100" w:right="128"/>
        <w:jc w:val="both"/>
        <w:rPr>
          <w:sz w:val="16"/>
        </w:rPr>
      </w:pPr>
      <w:hyperlink r:id="rId697">
        <w:r w:rsidR="00330118">
          <w:rPr>
            <w:sz w:val="16"/>
          </w:rPr>
          <w:t>&lt;http://www.ecodebate.com.br/2009/10/07/seminario-define-</w:t>
        </w:r>
      </w:hyperlink>
      <w:r w:rsidR="00330118">
        <w:rPr>
          <w:sz w:val="16"/>
        </w:rPr>
        <w:t xml:space="preserve"> estrategias-para-enfrentamento-as-mineradoras-na-regiao-de- juazeiro-ba/&gt;. Acesso em: 18 nov. 2010.</w:t>
      </w:r>
    </w:p>
    <w:p w:rsidR="00D81F69" w:rsidRDefault="00330118">
      <w:pPr>
        <w:spacing w:before="2" w:line="312" w:lineRule="auto"/>
        <w:ind w:left="100" w:right="116"/>
        <w:jc w:val="both"/>
        <w:rPr>
          <w:sz w:val="16"/>
        </w:rPr>
      </w:pPr>
      <w:r>
        <w:rPr>
          <w:sz w:val="16"/>
        </w:rPr>
        <w:t>DINIZ, Fabiana. Estudo vai</w:t>
      </w:r>
      <w:r>
        <w:rPr>
          <w:sz w:val="16"/>
        </w:rPr>
        <w:t xml:space="preserve"> identificar potencial mineral de Juazeiro. Prefeitura Municipal de Juazeiro. 05 ago. 2010. Disponível em:</w:t>
      </w:r>
    </w:p>
    <w:p w:rsidR="00D81F69" w:rsidRDefault="00D81F69">
      <w:pPr>
        <w:spacing w:before="2" w:line="312" w:lineRule="auto"/>
        <w:ind w:left="100" w:right="118"/>
        <w:jc w:val="both"/>
        <w:rPr>
          <w:sz w:val="16"/>
        </w:rPr>
      </w:pPr>
      <w:hyperlink r:id="rId698">
        <w:r w:rsidR="00330118">
          <w:rPr>
            <w:sz w:val="16"/>
          </w:rPr>
          <w:t>&lt;http://www.juazeiro.ba.gov.br/views/noticias_print.php?id=4419&gt;.</w:t>
        </w:r>
      </w:hyperlink>
      <w:r w:rsidR="00330118">
        <w:rPr>
          <w:sz w:val="16"/>
        </w:rPr>
        <w:t xml:space="preserve"> Ace</w:t>
      </w:r>
      <w:r w:rsidR="00330118">
        <w:rPr>
          <w:sz w:val="16"/>
        </w:rPr>
        <w:t>sso em: 08 nov. 2010.</w:t>
      </w:r>
    </w:p>
    <w:p w:rsidR="00D81F69" w:rsidRDefault="00330118">
      <w:pPr>
        <w:spacing w:before="1" w:line="312" w:lineRule="auto"/>
        <w:ind w:left="100" w:right="136"/>
        <w:jc w:val="both"/>
        <w:rPr>
          <w:sz w:val="16"/>
        </w:rPr>
      </w:pPr>
      <w:r>
        <w:rPr>
          <w:sz w:val="16"/>
        </w:rPr>
        <w:t>FERRO, Bruno; AZÊVEDO, Hélio. Centro de Apoio ao Artesanato Mineral da Bahia – MINARTE. Informativo MINARTE. Ano 1, número</w:t>
      </w:r>
    </w:p>
    <w:p w:rsidR="00D81F69" w:rsidRDefault="00330118">
      <w:pPr>
        <w:spacing w:before="2"/>
        <w:ind w:left="100"/>
        <w:jc w:val="both"/>
        <w:rPr>
          <w:sz w:val="16"/>
        </w:rPr>
      </w:pPr>
      <w:r>
        <w:rPr>
          <w:spacing w:val="17"/>
          <w:sz w:val="16"/>
        </w:rPr>
        <w:t xml:space="preserve">1.    </w:t>
      </w:r>
      <w:r>
        <w:rPr>
          <w:spacing w:val="31"/>
          <w:sz w:val="16"/>
        </w:rPr>
        <w:t xml:space="preserve">Janeiro,   </w:t>
      </w:r>
      <w:r>
        <w:rPr>
          <w:spacing w:val="28"/>
          <w:sz w:val="16"/>
        </w:rPr>
        <w:t xml:space="preserve">2006.   </w:t>
      </w:r>
      <w:r>
        <w:rPr>
          <w:spacing w:val="23"/>
          <w:sz w:val="16"/>
        </w:rPr>
        <w:t xml:space="preserve">Pg.   </w:t>
      </w:r>
      <w:r>
        <w:rPr>
          <w:spacing w:val="26"/>
          <w:sz w:val="16"/>
        </w:rPr>
        <w:t xml:space="preserve">1-4.   </w:t>
      </w:r>
      <w:r>
        <w:rPr>
          <w:spacing w:val="32"/>
          <w:sz w:val="16"/>
        </w:rPr>
        <w:t xml:space="preserve">Disponível </w:t>
      </w:r>
      <w:r>
        <w:rPr>
          <w:spacing w:val="100"/>
          <w:sz w:val="16"/>
        </w:rPr>
        <w:t xml:space="preserve"> </w:t>
      </w:r>
      <w:r>
        <w:rPr>
          <w:spacing w:val="23"/>
          <w:sz w:val="16"/>
        </w:rPr>
        <w:t>em:</w:t>
      </w:r>
      <w:r>
        <w:rPr>
          <w:spacing w:val="-7"/>
          <w:sz w:val="16"/>
        </w:rPr>
        <w:t xml:space="preserve"> </w:t>
      </w:r>
    </w:p>
    <w:p w:rsidR="00D81F69" w:rsidRDefault="00D81F69">
      <w:pPr>
        <w:spacing w:before="56"/>
        <w:ind w:left="100"/>
        <w:jc w:val="both"/>
        <w:rPr>
          <w:sz w:val="16"/>
        </w:rPr>
      </w:pPr>
      <w:hyperlink r:id="rId699">
        <w:r w:rsidR="00330118">
          <w:rPr>
            <w:sz w:val="16"/>
          </w:rPr>
          <w:t>&lt;http://www.minarte.org.br/admin/editor/informativos/informativo1.pdf&gt;</w:t>
        </w:r>
      </w:hyperlink>
    </w:p>
    <w:p w:rsidR="00D81F69" w:rsidRDefault="00330118">
      <w:pPr>
        <w:spacing w:before="56"/>
        <w:ind w:left="100"/>
        <w:jc w:val="both"/>
        <w:rPr>
          <w:sz w:val="16"/>
        </w:rPr>
      </w:pPr>
      <w:r>
        <w:rPr>
          <w:sz w:val="16"/>
        </w:rPr>
        <w:t>. Acesso em: 08 nov. 2010.</w:t>
      </w:r>
    </w:p>
    <w:p w:rsidR="00D81F69" w:rsidRDefault="00330118">
      <w:pPr>
        <w:spacing w:before="56" w:line="312" w:lineRule="auto"/>
        <w:ind w:left="100" w:right="62"/>
        <w:jc w:val="both"/>
        <w:rPr>
          <w:sz w:val="16"/>
        </w:rPr>
      </w:pPr>
      <w:r>
        <w:rPr>
          <w:spacing w:val="7"/>
          <w:sz w:val="16"/>
        </w:rPr>
        <w:t xml:space="preserve">GOVERNO </w:t>
      </w:r>
      <w:r>
        <w:rPr>
          <w:spacing w:val="5"/>
          <w:sz w:val="16"/>
        </w:rPr>
        <w:t xml:space="preserve">DA </w:t>
      </w:r>
      <w:r>
        <w:rPr>
          <w:spacing w:val="7"/>
          <w:sz w:val="16"/>
        </w:rPr>
        <w:t xml:space="preserve">BAHIA. Bahia </w:t>
      </w:r>
      <w:r>
        <w:rPr>
          <w:spacing w:val="5"/>
          <w:sz w:val="16"/>
        </w:rPr>
        <w:t xml:space="preserve">que </w:t>
      </w:r>
      <w:r>
        <w:rPr>
          <w:spacing w:val="6"/>
          <w:sz w:val="16"/>
        </w:rPr>
        <w:t xml:space="preserve">faz: </w:t>
      </w:r>
      <w:r>
        <w:rPr>
          <w:spacing w:val="8"/>
          <w:sz w:val="16"/>
        </w:rPr>
        <w:t xml:space="preserve">densificação </w:t>
      </w:r>
      <w:r>
        <w:rPr>
          <w:spacing w:val="5"/>
          <w:sz w:val="16"/>
        </w:rPr>
        <w:t xml:space="preserve">da </w:t>
      </w:r>
      <w:r>
        <w:rPr>
          <w:spacing w:val="10"/>
          <w:sz w:val="16"/>
        </w:rPr>
        <w:t xml:space="preserve">base </w:t>
      </w:r>
      <w:r>
        <w:rPr>
          <w:sz w:val="16"/>
        </w:rPr>
        <w:t xml:space="preserve">econômica e geração de emprego e renda. Relatório de Atividades.    </w:t>
      </w:r>
      <w:r>
        <w:rPr>
          <w:spacing w:val="15"/>
          <w:sz w:val="16"/>
        </w:rPr>
        <w:t>2</w:t>
      </w:r>
      <w:r>
        <w:rPr>
          <w:sz w:val="16"/>
        </w:rPr>
        <w:t xml:space="preserve"> </w:t>
      </w:r>
      <w:r>
        <w:rPr>
          <w:spacing w:val="15"/>
          <w:sz w:val="16"/>
        </w:rPr>
        <w:t>0</w:t>
      </w:r>
      <w:r>
        <w:rPr>
          <w:sz w:val="16"/>
        </w:rPr>
        <w:t xml:space="preserve"> </w:t>
      </w:r>
      <w:r>
        <w:rPr>
          <w:spacing w:val="15"/>
          <w:sz w:val="16"/>
        </w:rPr>
        <w:t>0</w:t>
      </w:r>
      <w:r>
        <w:rPr>
          <w:sz w:val="16"/>
        </w:rPr>
        <w:t xml:space="preserve"> </w:t>
      </w:r>
      <w:r>
        <w:rPr>
          <w:spacing w:val="15"/>
          <w:sz w:val="16"/>
        </w:rPr>
        <w:t>4</w:t>
      </w:r>
      <w:r>
        <w:rPr>
          <w:sz w:val="16"/>
        </w:rPr>
        <w:t xml:space="preserve"> .</w:t>
      </w:r>
      <w:r>
        <w:rPr>
          <w:spacing w:val="7"/>
          <w:sz w:val="16"/>
        </w:rPr>
        <w:t xml:space="preserve"> </w:t>
      </w:r>
      <w:r>
        <w:rPr>
          <w:spacing w:val="15"/>
          <w:sz w:val="16"/>
        </w:rPr>
        <w:t>P</w:t>
      </w:r>
      <w:r>
        <w:rPr>
          <w:sz w:val="16"/>
        </w:rPr>
        <w:t xml:space="preserve"> </w:t>
      </w:r>
      <w:r>
        <w:rPr>
          <w:spacing w:val="15"/>
          <w:sz w:val="16"/>
        </w:rPr>
        <w:t>g</w:t>
      </w:r>
      <w:r>
        <w:rPr>
          <w:sz w:val="16"/>
        </w:rPr>
        <w:t xml:space="preserve"> .</w:t>
      </w:r>
      <w:r>
        <w:rPr>
          <w:spacing w:val="7"/>
          <w:sz w:val="16"/>
        </w:rPr>
        <w:t xml:space="preserve"> </w:t>
      </w:r>
      <w:r>
        <w:rPr>
          <w:spacing w:val="15"/>
          <w:sz w:val="16"/>
        </w:rPr>
        <w:t>1</w:t>
      </w:r>
      <w:r>
        <w:rPr>
          <w:sz w:val="16"/>
        </w:rPr>
        <w:t xml:space="preserve"> </w:t>
      </w:r>
      <w:r>
        <w:rPr>
          <w:spacing w:val="15"/>
          <w:sz w:val="16"/>
        </w:rPr>
        <w:t>6</w:t>
      </w:r>
      <w:r>
        <w:rPr>
          <w:sz w:val="16"/>
        </w:rPr>
        <w:t xml:space="preserve"> </w:t>
      </w:r>
      <w:r>
        <w:rPr>
          <w:spacing w:val="15"/>
          <w:sz w:val="16"/>
        </w:rPr>
        <w:t>0</w:t>
      </w:r>
      <w:r>
        <w:rPr>
          <w:sz w:val="16"/>
        </w:rPr>
        <w:t xml:space="preserve"> </w:t>
      </w:r>
      <w:r>
        <w:rPr>
          <w:spacing w:val="15"/>
          <w:sz w:val="16"/>
        </w:rPr>
        <w:t>-</w:t>
      </w:r>
      <w:r>
        <w:rPr>
          <w:sz w:val="16"/>
        </w:rPr>
        <w:t xml:space="preserve"> </w:t>
      </w:r>
      <w:r>
        <w:rPr>
          <w:spacing w:val="15"/>
          <w:sz w:val="16"/>
        </w:rPr>
        <w:t>1</w:t>
      </w:r>
      <w:r>
        <w:rPr>
          <w:sz w:val="16"/>
        </w:rPr>
        <w:t xml:space="preserve"> </w:t>
      </w:r>
      <w:r>
        <w:rPr>
          <w:spacing w:val="15"/>
          <w:sz w:val="16"/>
        </w:rPr>
        <w:t>6</w:t>
      </w:r>
      <w:r>
        <w:rPr>
          <w:sz w:val="16"/>
        </w:rPr>
        <w:t xml:space="preserve"> </w:t>
      </w:r>
      <w:r>
        <w:rPr>
          <w:spacing w:val="15"/>
          <w:sz w:val="16"/>
        </w:rPr>
        <w:t>6</w:t>
      </w:r>
      <w:r>
        <w:rPr>
          <w:sz w:val="16"/>
        </w:rPr>
        <w:t xml:space="preserve"> .</w:t>
      </w:r>
      <w:r>
        <w:rPr>
          <w:spacing w:val="7"/>
          <w:sz w:val="16"/>
        </w:rPr>
        <w:t xml:space="preserve"> </w:t>
      </w:r>
      <w:r>
        <w:rPr>
          <w:spacing w:val="15"/>
          <w:sz w:val="16"/>
        </w:rPr>
        <w:t>D</w:t>
      </w:r>
      <w:r>
        <w:rPr>
          <w:sz w:val="16"/>
        </w:rPr>
        <w:t xml:space="preserve"> </w:t>
      </w:r>
      <w:r>
        <w:rPr>
          <w:spacing w:val="15"/>
          <w:sz w:val="16"/>
        </w:rPr>
        <w:t>i</w:t>
      </w:r>
      <w:r>
        <w:rPr>
          <w:sz w:val="16"/>
        </w:rPr>
        <w:t xml:space="preserve"> </w:t>
      </w:r>
      <w:r>
        <w:rPr>
          <w:spacing w:val="15"/>
          <w:sz w:val="16"/>
        </w:rPr>
        <w:t>s</w:t>
      </w:r>
      <w:r>
        <w:rPr>
          <w:sz w:val="16"/>
        </w:rPr>
        <w:t xml:space="preserve"> </w:t>
      </w:r>
      <w:r>
        <w:rPr>
          <w:spacing w:val="15"/>
          <w:sz w:val="16"/>
        </w:rPr>
        <w:t>p</w:t>
      </w:r>
      <w:r>
        <w:rPr>
          <w:sz w:val="16"/>
        </w:rPr>
        <w:t xml:space="preserve"> </w:t>
      </w:r>
      <w:r>
        <w:rPr>
          <w:spacing w:val="15"/>
          <w:sz w:val="16"/>
        </w:rPr>
        <w:t>o</w:t>
      </w:r>
      <w:r>
        <w:rPr>
          <w:sz w:val="16"/>
        </w:rPr>
        <w:t xml:space="preserve"> </w:t>
      </w:r>
      <w:r>
        <w:rPr>
          <w:spacing w:val="15"/>
          <w:sz w:val="16"/>
        </w:rPr>
        <w:t>n</w:t>
      </w:r>
      <w:r>
        <w:rPr>
          <w:sz w:val="16"/>
        </w:rPr>
        <w:t xml:space="preserve"> </w:t>
      </w:r>
      <w:r>
        <w:rPr>
          <w:spacing w:val="15"/>
          <w:sz w:val="16"/>
        </w:rPr>
        <w:t>í</w:t>
      </w:r>
      <w:r>
        <w:rPr>
          <w:sz w:val="16"/>
        </w:rPr>
        <w:t xml:space="preserve"> </w:t>
      </w:r>
      <w:r>
        <w:rPr>
          <w:spacing w:val="15"/>
          <w:sz w:val="16"/>
        </w:rPr>
        <w:t>v</w:t>
      </w:r>
      <w:r>
        <w:rPr>
          <w:sz w:val="16"/>
        </w:rPr>
        <w:t xml:space="preserve"> </w:t>
      </w:r>
      <w:r>
        <w:rPr>
          <w:spacing w:val="15"/>
          <w:sz w:val="16"/>
        </w:rPr>
        <w:t>e</w:t>
      </w:r>
      <w:r>
        <w:rPr>
          <w:sz w:val="16"/>
        </w:rPr>
        <w:t xml:space="preserve"> l</w:t>
      </w:r>
      <w:r>
        <w:rPr>
          <w:spacing w:val="7"/>
          <w:sz w:val="16"/>
        </w:rPr>
        <w:t xml:space="preserve"> </w:t>
      </w:r>
      <w:r>
        <w:rPr>
          <w:spacing w:val="15"/>
          <w:sz w:val="16"/>
        </w:rPr>
        <w:t>e</w:t>
      </w:r>
      <w:r>
        <w:rPr>
          <w:sz w:val="16"/>
        </w:rPr>
        <w:t xml:space="preserve"> </w:t>
      </w:r>
      <w:r>
        <w:rPr>
          <w:spacing w:val="15"/>
          <w:sz w:val="16"/>
        </w:rPr>
        <w:t>m</w:t>
      </w:r>
      <w:r>
        <w:rPr>
          <w:sz w:val="16"/>
        </w:rPr>
        <w:t xml:space="preserve"> :</w:t>
      </w:r>
      <w:r>
        <w:rPr>
          <w:spacing w:val="15"/>
          <w:sz w:val="16"/>
        </w:rPr>
        <w:t xml:space="preserve"> </w:t>
      </w:r>
    </w:p>
    <w:p w:rsidR="00D81F69" w:rsidRDefault="00D81F69">
      <w:pPr>
        <w:spacing w:before="3" w:line="312" w:lineRule="auto"/>
        <w:ind w:left="100" w:right="139"/>
        <w:jc w:val="both"/>
        <w:rPr>
          <w:sz w:val="16"/>
        </w:rPr>
      </w:pPr>
      <w:hyperlink r:id="rId700">
        <w:r w:rsidR="00330118">
          <w:rPr>
            <w:sz w:val="16"/>
          </w:rPr>
          <w:t>&lt;http://www.seplan.ba.gov.br/sgc/arquivos/20100302_154706_14_Mi</w:t>
        </w:r>
      </w:hyperlink>
      <w:r w:rsidR="00330118">
        <w:rPr>
          <w:sz w:val="16"/>
        </w:rPr>
        <w:t xml:space="preserve"> neracao.pdf&gt;. Acesso em 05 nov. 2010.</w:t>
      </w:r>
    </w:p>
    <w:p w:rsidR="00D81F69" w:rsidRDefault="00330118">
      <w:pPr>
        <w:tabs>
          <w:tab w:val="left" w:pos="4331"/>
        </w:tabs>
        <w:spacing w:before="1" w:line="312" w:lineRule="auto"/>
        <w:ind w:left="100" w:right="118"/>
        <w:jc w:val="both"/>
        <w:rPr>
          <w:sz w:val="16"/>
        </w:rPr>
      </w:pPr>
      <w:r>
        <w:rPr>
          <w:spacing w:val="3"/>
          <w:sz w:val="16"/>
        </w:rPr>
        <w:t xml:space="preserve">GOVERNO </w:t>
      </w:r>
      <w:r>
        <w:rPr>
          <w:spacing w:val="1"/>
          <w:sz w:val="16"/>
        </w:rPr>
        <w:t xml:space="preserve">DA </w:t>
      </w:r>
      <w:r>
        <w:rPr>
          <w:spacing w:val="3"/>
          <w:sz w:val="16"/>
        </w:rPr>
        <w:t xml:space="preserve">BAHIA. Dinamizar </w:t>
      </w:r>
      <w:r>
        <w:rPr>
          <w:sz w:val="16"/>
        </w:rPr>
        <w:t xml:space="preserve">e </w:t>
      </w:r>
      <w:r>
        <w:rPr>
          <w:spacing w:val="3"/>
          <w:sz w:val="16"/>
        </w:rPr>
        <w:t xml:space="preserve">adensar cadeias </w:t>
      </w:r>
      <w:r>
        <w:rPr>
          <w:spacing w:val="5"/>
          <w:sz w:val="16"/>
        </w:rPr>
        <w:t xml:space="preserve">produtivas </w:t>
      </w:r>
      <w:r>
        <w:rPr>
          <w:spacing w:val="3"/>
          <w:sz w:val="16"/>
        </w:rPr>
        <w:t xml:space="preserve">(indústria, comércio, serviços </w:t>
      </w:r>
      <w:r>
        <w:rPr>
          <w:sz w:val="16"/>
        </w:rPr>
        <w:t xml:space="preserve">e </w:t>
      </w:r>
      <w:r>
        <w:rPr>
          <w:spacing w:val="3"/>
          <w:sz w:val="16"/>
        </w:rPr>
        <w:t xml:space="preserve">mineração) articulando redes </w:t>
      </w:r>
      <w:r>
        <w:rPr>
          <w:spacing w:val="5"/>
          <w:sz w:val="16"/>
        </w:rPr>
        <w:t xml:space="preserve">de </w:t>
      </w:r>
      <w:r>
        <w:rPr>
          <w:spacing w:val="6"/>
          <w:sz w:val="16"/>
        </w:rPr>
        <w:t xml:space="preserve">diferentes </w:t>
      </w:r>
      <w:r>
        <w:rPr>
          <w:spacing w:val="5"/>
          <w:sz w:val="16"/>
        </w:rPr>
        <w:t xml:space="preserve">portes </w:t>
      </w:r>
      <w:r>
        <w:rPr>
          <w:sz w:val="16"/>
        </w:rPr>
        <w:t xml:space="preserve">e </w:t>
      </w:r>
      <w:r>
        <w:rPr>
          <w:spacing w:val="6"/>
          <w:sz w:val="16"/>
        </w:rPr>
        <w:t xml:space="preserve">empreendimentos solidários, </w:t>
      </w:r>
      <w:r>
        <w:rPr>
          <w:spacing w:val="5"/>
          <w:sz w:val="16"/>
        </w:rPr>
        <w:t xml:space="preserve">com </w:t>
      </w:r>
      <w:r>
        <w:rPr>
          <w:spacing w:val="7"/>
          <w:sz w:val="16"/>
        </w:rPr>
        <w:t xml:space="preserve">melhor </w:t>
      </w:r>
      <w:r>
        <w:rPr>
          <w:spacing w:val="1"/>
          <w:sz w:val="16"/>
        </w:rPr>
        <w:t xml:space="preserve">distribuição territorial. Relatório anual </w:t>
      </w:r>
      <w:r>
        <w:rPr>
          <w:sz w:val="16"/>
        </w:rPr>
        <w:t xml:space="preserve">de  </w:t>
      </w:r>
      <w:r>
        <w:rPr>
          <w:spacing w:val="1"/>
          <w:sz w:val="16"/>
        </w:rPr>
        <w:t xml:space="preserve">governo. 2009. </w:t>
      </w:r>
      <w:r>
        <w:rPr>
          <w:sz w:val="16"/>
        </w:rPr>
        <w:t xml:space="preserve">Pg.  </w:t>
      </w:r>
      <w:r>
        <w:rPr>
          <w:spacing w:val="2"/>
          <w:sz w:val="16"/>
        </w:rPr>
        <w:t>193.</w:t>
      </w:r>
      <w:r>
        <w:rPr>
          <w:spacing w:val="50"/>
          <w:sz w:val="16"/>
        </w:rPr>
        <w:t xml:space="preserve"> </w:t>
      </w:r>
      <w:r>
        <w:rPr>
          <w:sz w:val="16"/>
        </w:rPr>
        <w:t>D      i      s</w:t>
      </w:r>
      <w:r>
        <w:rPr>
          <w:sz w:val="16"/>
        </w:rPr>
        <w:t xml:space="preserve">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4" w:line="312" w:lineRule="auto"/>
        <w:ind w:left="100" w:right="140"/>
        <w:jc w:val="both"/>
        <w:rPr>
          <w:sz w:val="16"/>
        </w:rPr>
      </w:pPr>
      <w:hyperlink r:id="rId701">
        <w:r w:rsidR="00330118">
          <w:rPr>
            <w:sz w:val="16"/>
          </w:rPr>
          <w:t>&lt;http://www.seplan.ba.gov.br/sgc/arquivos/20100618_090358_09%20</w:t>
        </w:r>
      </w:hyperlink>
      <w:r w:rsidR="00330118">
        <w:rPr>
          <w:sz w:val="16"/>
        </w:rPr>
        <w:t xml:space="preserve"> Cadeias%20Produtivas.pdf&gt;. Acesso em: 08 nov. 2010.</w:t>
      </w:r>
    </w:p>
    <w:p w:rsidR="00D81F69" w:rsidRDefault="00330118">
      <w:pPr>
        <w:spacing w:before="2" w:line="312" w:lineRule="auto"/>
        <w:ind w:left="100" w:right="69"/>
        <w:jc w:val="both"/>
        <w:rPr>
          <w:sz w:val="16"/>
        </w:rPr>
      </w:pPr>
      <w:r>
        <w:rPr>
          <w:sz w:val="16"/>
        </w:rPr>
        <w:t>IBGE, Insti</w:t>
      </w:r>
      <w:r>
        <w:rPr>
          <w:sz w:val="16"/>
        </w:rPr>
        <w:t xml:space="preserve">tuto Brasileiro de Geografia e Estatística. Juazeiro (BA). In:  </w:t>
      </w:r>
      <w:r>
        <w:rPr>
          <w:spacing w:val="10"/>
          <w:sz w:val="16"/>
        </w:rPr>
        <w:t xml:space="preserve">I B G </w:t>
      </w:r>
      <w:r>
        <w:rPr>
          <w:sz w:val="16"/>
        </w:rPr>
        <w:t xml:space="preserve">E </w:t>
      </w:r>
      <w:r>
        <w:rPr>
          <w:spacing w:val="10"/>
          <w:sz w:val="16"/>
        </w:rPr>
        <w:t xml:space="preserve">C i d a d e s </w:t>
      </w:r>
      <w:r>
        <w:rPr>
          <w:sz w:val="16"/>
        </w:rPr>
        <w:t xml:space="preserve">, </w:t>
      </w:r>
      <w:r>
        <w:rPr>
          <w:spacing w:val="10"/>
          <w:sz w:val="16"/>
        </w:rPr>
        <w:t xml:space="preserve">2 0 1 0 </w:t>
      </w:r>
      <w:r>
        <w:rPr>
          <w:sz w:val="16"/>
        </w:rPr>
        <w:t xml:space="preserve">. </w:t>
      </w:r>
      <w:r>
        <w:rPr>
          <w:spacing w:val="10"/>
          <w:sz w:val="16"/>
        </w:rPr>
        <w:t xml:space="preserve">D i s p o n í v e </w:t>
      </w:r>
      <w:r>
        <w:rPr>
          <w:sz w:val="16"/>
        </w:rPr>
        <w:t>l</w:t>
      </w:r>
      <w:r>
        <w:rPr>
          <w:spacing w:val="20"/>
          <w:sz w:val="16"/>
        </w:rPr>
        <w:t xml:space="preserve"> </w:t>
      </w:r>
      <w:r>
        <w:rPr>
          <w:spacing w:val="10"/>
          <w:sz w:val="16"/>
        </w:rPr>
        <w:t xml:space="preserve">e m </w:t>
      </w:r>
      <w:r>
        <w:rPr>
          <w:sz w:val="16"/>
        </w:rPr>
        <w:t>:</w:t>
      </w:r>
      <w:r>
        <w:rPr>
          <w:spacing w:val="10"/>
          <w:sz w:val="16"/>
        </w:rPr>
        <w:t xml:space="preserve"> </w:t>
      </w:r>
    </w:p>
    <w:p w:rsidR="00D81F69" w:rsidRDefault="00D81F69">
      <w:pPr>
        <w:spacing w:before="2" w:line="312" w:lineRule="auto"/>
        <w:ind w:left="100" w:right="140"/>
        <w:jc w:val="both"/>
        <w:rPr>
          <w:sz w:val="16"/>
        </w:rPr>
      </w:pPr>
      <w:hyperlink r:id="rId702">
        <w:r w:rsidR="00330118">
          <w:rPr>
            <w:sz w:val="16"/>
          </w:rPr>
          <w:t>&lt;</w:t>
        </w:r>
        <w:r w:rsidR="00330118">
          <w:rPr>
            <w:sz w:val="16"/>
          </w:rPr>
          <w:t>http://www.ibge.gov.br/cidadesat/xtras/perfil.php?codmun=291840&amp;s</w:t>
        </w:r>
      </w:hyperlink>
      <w:r w:rsidR="00330118">
        <w:rPr>
          <w:sz w:val="16"/>
        </w:rPr>
        <w:t xml:space="preserve"> earch=bahia|juazeiro&gt;. Acesso em: 29 ago. 2013.</w:t>
      </w:r>
    </w:p>
    <w:p w:rsidR="00D81F69" w:rsidRDefault="00330118">
      <w:pPr>
        <w:spacing w:before="1"/>
        <w:ind w:left="100"/>
        <w:jc w:val="both"/>
        <w:rPr>
          <w:sz w:val="16"/>
        </w:rPr>
      </w:pPr>
      <w:r>
        <w:rPr>
          <w:sz w:val="16"/>
        </w:rPr>
        <w:t>LUNA, Moema; SANTOS, Cláudia. À procura de pedras preciosas.</w:t>
      </w:r>
    </w:p>
    <w:p w:rsidR="00D81F69" w:rsidRDefault="00330118">
      <w:pPr>
        <w:spacing w:before="56"/>
        <w:ind w:left="100"/>
        <w:jc w:val="both"/>
        <w:rPr>
          <w:sz w:val="16"/>
        </w:rPr>
      </w:pPr>
      <w:r>
        <w:rPr>
          <w:sz w:val="16"/>
        </w:rPr>
        <w:t>Jornal do Commercio – Vale do São Francisco. 23 ago. 2010. Portal</w:t>
      </w:r>
    </w:p>
    <w:p w:rsidR="00D81F69" w:rsidRDefault="00330118">
      <w:pPr>
        <w:tabs>
          <w:tab w:val="left" w:pos="4331"/>
        </w:tabs>
        <w:spacing w:before="70" w:line="312" w:lineRule="auto"/>
        <w:ind w:left="100" w:right="192"/>
        <w:jc w:val="both"/>
        <w:rPr>
          <w:sz w:val="16"/>
        </w:rPr>
      </w:pPr>
      <w:r>
        <w:br w:type="column"/>
      </w:r>
      <w:r>
        <w:rPr>
          <w:spacing w:val="1"/>
          <w:sz w:val="16"/>
        </w:rPr>
        <w:lastRenderedPageBreak/>
        <w:t xml:space="preserve">de  </w:t>
      </w:r>
      <w:r>
        <w:rPr>
          <w:spacing w:val="3"/>
          <w:sz w:val="16"/>
        </w:rPr>
        <w:t xml:space="preserve">notícias </w:t>
      </w:r>
      <w:r>
        <w:rPr>
          <w:spacing w:val="1"/>
          <w:sz w:val="16"/>
        </w:rPr>
        <w:t>d</w:t>
      </w:r>
      <w:r>
        <w:rPr>
          <w:spacing w:val="1"/>
          <w:sz w:val="16"/>
        </w:rPr>
        <w:t xml:space="preserve">a  </w:t>
      </w:r>
      <w:r>
        <w:rPr>
          <w:spacing w:val="3"/>
          <w:sz w:val="16"/>
        </w:rPr>
        <w:t xml:space="preserve">Companhia Baiana </w:t>
      </w:r>
      <w:r>
        <w:rPr>
          <w:spacing w:val="1"/>
          <w:sz w:val="16"/>
        </w:rPr>
        <w:t xml:space="preserve">de  </w:t>
      </w:r>
      <w:r>
        <w:rPr>
          <w:spacing w:val="3"/>
          <w:sz w:val="16"/>
        </w:rPr>
        <w:t xml:space="preserve">Pesquisa Mineral, </w:t>
      </w:r>
      <w:r>
        <w:rPr>
          <w:spacing w:val="5"/>
          <w:sz w:val="16"/>
        </w:rPr>
        <w:t xml:space="preserve">CBPM.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1" w:line="312" w:lineRule="auto"/>
        <w:ind w:left="100" w:right="198"/>
        <w:jc w:val="both"/>
        <w:rPr>
          <w:sz w:val="16"/>
        </w:rPr>
      </w:pPr>
      <w:hyperlink r:id="rId703">
        <w:r w:rsidR="00330118">
          <w:rPr>
            <w:sz w:val="16"/>
          </w:rPr>
          <w:t xml:space="preserve">&lt;http://www.cbpm.com.br/paginas/noticias.php?id=576&gt;. </w:t>
        </w:r>
      </w:hyperlink>
      <w:r w:rsidR="00330118">
        <w:rPr>
          <w:sz w:val="16"/>
        </w:rPr>
        <w:t>Acesso em: 08 nov.</w:t>
      </w:r>
      <w:r w:rsidR="00330118">
        <w:rPr>
          <w:sz w:val="16"/>
        </w:rPr>
        <w:t xml:space="preserve"> 2010.</w:t>
      </w:r>
    </w:p>
    <w:p w:rsidR="00D81F69" w:rsidRDefault="00330118">
      <w:pPr>
        <w:spacing w:before="2" w:line="312" w:lineRule="auto"/>
        <w:ind w:left="100" w:right="178"/>
        <w:jc w:val="both"/>
        <w:rPr>
          <w:sz w:val="16"/>
        </w:rPr>
      </w:pPr>
      <w:r>
        <w:rPr>
          <w:sz w:val="16"/>
        </w:rPr>
        <w:t xml:space="preserve">LUSTOSA, Emanuelle. Artesãos capacitados em Juazeiro. Agência SEBRAE de notícias. 09 dez. 2008. Disponível em: </w:t>
      </w:r>
    </w:p>
    <w:p w:rsidR="00D81F69" w:rsidRDefault="00D81F69">
      <w:pPr>
        <w:spacing w:before="2" w:line="312" w:lineRule="auto"/>
        <w:ind w:left="100" w:right="216"/>
        <w:jc w:val="both"/>
        <w:rPr>
          <w:sz w:val="16"/>
        </w:rPr>
      </w:pPr>
      <w:hyperlink r:id="rId704">
        <w:r w:rsidR="00330118">
          <w:rPr>
            <w:sz w:val="16"/>
          </w:rPr>
          <w:t>&lt;</w:t>
        </w:r>
        <w:r w:rsidR="00330118">
          <w:rPr>
            <w:sz w:val="16"/>
          </w:rPr>
          <w:t>http://www.ba.agenciasebrae.com.br/noticia.kmf?cod=7962970&amp;can</w:t>
        </w:r>
      </w:hyperlink>
      <w:r w:rsidR="00330118">
        <w:rPr>
          <w:sz w:val="16"/>
        </w:rPr>
        <w:t xml:space="preserve"> al=419&gt;. Acesso em: 08 nov. 2010.</w:t>
      </w:r>
    </w:p>
    <w:p w:rsidR="00D81F69" w:rsidRDefault="00330118">
      <w:pPr>
        <w:spacing w:before="1" w:line="312" w:lineRule="auto"/>
        <w:ind w:left="100" w:right="121"/>
        <w:jc w:val="both"/>
        <w:rPr>
          <w:sz w:val="16"/>
        </w:rPr>
      </w:pPr>
      <w:r>
        <w:rPr>
          <w:sz w:val="16"/>
        </w:rPr>
        <w:t xml:space="preserve">MENDES, Alessandra Monteiro Salviano; SILVA, Davi José; FILHO, Jorge Luís de Oliveira Pinto. Acúmulo de metais pesados no solo e  nas plantas após o uso de um </w:t>
      </w:r>
      <w:r>
        <w:rPr>
          <w:sz w:val="16"/>
        </w:rPr>
        <w:t xml:space="preserve">resíduo de mineração como fertilizante para culturas anuais. XXIX Reunião Brasileira de Fertilidade do Solo e </w:t>
      </w:r>
      <w:r>
        <w:rPr>
          <w:spacing w:val="3"/>
          <w:sz w:val="16"/>
        </w:rPr>
        <w:t xml:space="preserve">Nutrição </w:t>
      </w:r>
      <w:r>
        <w:rPr>
          <w:spacing w:val="1"/>
          <w:sz w:val="16"/>
        </w:rPr>
        <w:t xml:space="preserve">de </w:t>
      </w:r>
      <w:r>
        <w:rPr>
          <w:spacing w:val="3"/>
          <w:sz w:val="16"/>
        </w:rPr>
        <w:t xml:space="preserve">Plantas. FERTBIO 2010. Guarapari/ES, </w:t>
      </w:r>
      <w:r>
        <w:rPr>
          <w:spacing w:val="1"/>
          <w:sz w:val="16"/>
        </w:rPr>
        <w:t xml:space="preserve">13  </w:t>
      </w:r>
      <w:r>
        <w:rPr>
          <w:sz w:val="16"/>
        </w:rPr>
        <w:t xml:space="preserve">a  </w:t>
      </w:r>
      <w:r>
        <w:rPr>
          <w:spacing w:val="1"/>
          <w:sz w:val="16"/>
        </w:rPr>
        <w:t xml:space="preserve">17  </w:t>
      </w:r>
      <w:r>
        <w:rPr>
          <w:spacing w:val="5"/>
          <w:sz w:val="16"/>
        </w:rPr>
        <w:t xml:space="preserve">set. </w:t>
      </w:r>
      <w:r>
        <w:rPr>
          <w:spacing w:val="30"/>
          <w:sz w:val="16"/>
        </w:rPr>
        <w:t>2</w:t>
      </w:r>
      <w:r>
        <w:rPr>
          <w:sz w:val="16"/>
        </w:rPr>
        <w:t xml:space="preserve"> </w:t>
      </w:r>
      <w:r>
        <w:rPr>
          <w:spacing w:val="30"/>
          <w:sz w:val="16"/>
        </w:rPr>
        <w:t>0</w:t>
      </w:r>
      <w:r>
        <w:rPr>
          <w:sz w:val="16"/>
        </w:rPr>
        <w:t xml:space="preserve"> </w:t>
      </w:r>
      <w:r>
        <w:rPr>
          <w:spacing w:val="30"/>
          <w:sz w:val="16"/>
        </w:rPr>
        <w:t>1</w:t>
      </w:r>
      <w:r>
        <w:rPr>
          <w:sz w:val="16"/>
        </w:rPr>
        <w:t xml:space="preserve"> </w:t>
      </w:r>
      <w:r>
        <w:rPr>
          <w:spacing w:val="30"/>
          <w:sz w:val="16"/>
        </w:rPr>
        <w:t>0</w:t>
      </w:r>
      <w:r>
        <w:rPr>
          <w:sz w:val="16"/>
        </w:rPr>
        <w:t xml:space="preserve"> .</w:t>
      </w:r>
      <w:r>
        <w:rPr>
          <w:spacing w:val="33"/>
          <w:sz w:val="16"/>
        </w:rPr>
        <w:t xml:space="preserve"> </w:t>
      </w:r>
      <w:r>
        <w:rPr>
          <w:spacing w:val="30"/>
          <w:sz w:val="16"/>
        </w:rPr>
        <w:t>P</w:t>
      </w:r>
      <w:r>
        <w:rPr>
          <w:sz w:val="16"/>
        </w:rPr>
        <w:t xml:space="preserve"> </w:t>
      </w:r>
      <w:r>
        <w:rPr>
          <w:spacing w:val="30"/>
          <w:sz w:val="16"/>
        </w:rPr>
        <w:t>g</w:t>
      </w:r>
      <w:r>
        <w:rPr>
          <w:sz w:val="16"/>
        </w:rPr>
        <w:t xml:space="preserve"> .</w:t>
      </w:r>
      <w:r>
        <w:rPr>
          <w:spacing w:val="33"/>
          <w:sz w:val="16"/>
        </w:rPr>
        <w:t xml:space="preserve"> </w:t>
      </w:r>
      <w:r>
        <w:rPr>
          <w:spacing w:val="30"/>
          <w:sz w:val="16"/>
        </w:rPr>
        <w:t>1</w:t>
      </w:r>
      <w:r>
        <w:rPr>
          <w:sz w:val="16"/>
        </w:rPr>
        <w:t xml:space="preserve"> </w:t>
      </w:r>
      <w:r>
        <w:rPr>
          <w:spacing w:val="30"/>
          <w:sz w:val="16"/>
        </w:rPr>
        <w:t>-</w:t>
      </w:r>
      <w:r>
        <w:rPr>
          <w:sz w:val="16"/>
        </w:rPr>
        <w:t xml:space="preserve"> </w:t>
      </w:r>
      <w:r>
        <w:rPr>
          <w:spacing w:val="30"/>
          <w:sz w:val="16"/>
        </w:rPr>
        <w:t>4</w:t>
      </w:r>
      <w:r>
        <w:rPr>
          <w:sz w:val="16"/>
        </w:rPr>
        <w:t xml:space="preserve"> .</w:t>
      </w:r>
      <w:r>
        <w:rPr>
          <w:spacing w:val="33"/>
          <w:sz w:val="16"/>
        </w:rPr>
        <w:t xml:space="preserve"> </w:t>
      </w:r>
      <w:r>
        <w:rPr>
          <w:spacing w:val="30"/>
          <w:sz w:val="16"/>
        </w:rPr>
        <w:t>D</w:t>
      </w:r>
      <w:r>
        <w:rPr>
          <w:sz w:val="16"/>
        </w:rPr>
        <w:t xml:space="preserve"> </w:t>
      </w:r>
      <w:r>
        <w:rPr>
          <w:spacing w:val="30"/>
          <w:sz w:val="16"/>
        </w:rPr>
        <w:t>i</w:t>
      </w:r>
      <w:r>
        <w:rPr>
          <w:sz w:val="16"/>
        </w:rPr>
        <w:t xml:space="preserve"> </w:t>
      </w:r>
      <w:r>
        <w:rPr>
          <w:spacing w:val="30"/>
          <w:sz w:val="16"/>
        </w:rPr>
        <w:t>s</w:t>
      </w:r>
      <w:r>
        <w:rPr>
          <w:sz w:val="16"/>
        </w:rPr>
        <w:t xml:space="preserve"> </w:t>
      </w:r>
      <w:r>
        <w:rPr>
          <w:spacing w:val="30"/>
          <w:sz w:val="16"/>
        </w:rPr>
        <w:t>p</w:t>
      </w:r>
      <w:r>
        <w:rPr>
          <w:sz w:val="16"/>
        </w:rPr>
        <w:t xml:space="preserve"> </w:t>
      </w:r>
      <w:r>
        <w:rPr>
          <w:spacing w:val="30"/>
          <w:sz w:val="16"/>
        </w:rPr>
        <w:t>o</w:t>
      </w:r>
      <w:r>
        <w:rPr>
          <w:sz w:val="16"/>
        </w:rPr>
        <w:t xml:space="preserve"> </w:t>
      </w:r>
      <w:r>
        <w:rPr>
          <w:spacing w:val="30"/>
          <w:sz w:val="16"/>
        </w:rPr>
        <w:t>n</w:t>
      </w:r>
      <w:r>
        <w:rPr>
          <w:sz w:val="16"/>
        </w:rPr>
        <w:t xml:space="preserve"> </w:t>
      </w:r>
      <w:r>
        <w:rPr>
          <w:spacing w:val="30"/>
          <w:sz w:val="16"/>
        </w:rPr>
        <w:t>í</w:t>
      </w:r>
      <w:r>
        <w:rPr>
          <w:sz w:val="16"/>
        </w:rPr>
        <w:t xml:space="preserve"> </w:t>
      </w:r>
      <w:r>
        <w:rPr>
          <w:spacing w:val="30"/>
          <w:sz w:val="16"/>
        </w:rPr>
        <w:t>v</w:t>
      </w:r>
      <w:r>
        <w:rPr>
          <w:sz w:val="16"/>
        </w:rPr>
        <w:t xml:space="preserve"> </w:t>
      </w:r>
      <w:r>
        <w:rPr>
          <w:spacing w:val="30"/>
          <w:sz w:val="16"/>
        </w:rPr>
        <w:t>e</w:t>
      </w:r>
      <w:r>
        <w:rPr>
          <w:sz w:val="16"/>
        </w:rPr>
        <w:t xml:space="preserve"> l</w:t>
      </w:r>
      <w:r>
        <w:rPr>
          <w:spacing w:val="33"/>
          <w:sz w:val="16"/>
        </w:rPr>
        <w:t xml:space="preserve"> </w:t>
      </w:r>
      <w:r>
        <w:rPr>
          <w:spacing w:val="30"/>
          <w:sz w:val="16"/>
        </w:rPr>
        <w:t>e</w:t>
      </w:r>
      <w:r>
        <w:rPr>
          <w:sz w:val="16"/>
        </w:rPr>
        <w:t xml:space="preserve"> </w:t>
      </w:r>
      <w:r>
        <w:rPr>
          <w:spacing w:val="30"/>
          <w:sz w:val="16"/>
        </w:rPr>
        <w:t>m</w:t>
      </w:r>
      <w:r>
        <w:rPr>
          <w:sz w:val="16"/>
        </w:rPr>
        <w:t xml:space="preserve"> : </w:t>
      </w:r>
      <w:r>
        <w:rPr>
          <w:spacing w:val="-13"/>
          <w:sz w:val="16"/>
        </w:rPr>
        <w:t xml:space="preserve"> </w:t>
      </w:r>
    </w:p>
    <w:p w:rsidR="00D81F69" w:rsidRDefault="00D81F69">
      <w:pPr>
        <w:spacing w:before="5" w:line="312" w:lineRule="auto"/>
        <w:ind w:left="100" w:right="217"/>
        <w:jc w:val="both"/>
        <w:rPr>
          <w:sz w:val="16"/>
        </w:rPr>
      </w:pPr>
      <w:hyperlink r:id="rId705">
        <w:r w:rsidR="00330118">
          <w:rPr>
            <w:sz w:val="16"/>
          </w:rPr>
          <w:t xml:space="preserve">&lt;http://www.fertbio2010.com/TRABALHOS/1330.pdf&gt;. </w:t>
        </w:r>
      </w:hyperlink>
      <w:r w:rsidR="00330118">
        <w:rPr>
          <w:sz w:val="16"/>
        </w:rPr>
        <w:t>Acesso em: 06 nov. 2010.</w:t>
      </w:r>
    </w:p>
    <w:p w:rsidR="00D81F69" w:rsidRDefault="00330118">
      <w:pPr>
        <w:spacing w:before="2" w:line="312" w:lineRule="auto"/>
        <w:ind w:left="100" w:right="191"/>
        <w:jc w:val="both"/>
        <w:rPr>
          <w:sz w:val="16"/>
        </w:rPr>
      </w:pPr>
      <w:r>
        <w:rPr>
          <w:sz w:val="16"/>
        </w:rPr>
        <w:t xml:space="preserve">MINERART, Artesanato Mineral da Bahia. Artesanato Mineral. Disponível em: </w:t>
      </w:r>
      <w:hyperlink r:id="rId706">
        <w:r>
          <w:rPr>
            <w:sz w:val="16"/>
          </w:rPr>
          <w:t>&lt;http://www.uil.org.br/MINERART/artesanato.asp&gt;.</w:t>
        </w:r>
      </w:hyperlink>
      <w:r>
        <w:rPr>
          <w:sz w:val="16"/>
        </w:rPr>
        <w:t xml:space="preserve"> Acesso em: 05 nov. 2010.</w:t>
      </w:r>
    </w:p>
    <w:p w:rsidR="00D81F69" w:rsidRDefault="00330118">
      <w:pPr>
        <w:tabs>
          <w:tab w:val="left" w:pos="4331"/>
        </w:tabs>
        <w:spacing w:before="2" w:line="312" w:lineRule="auto"/>
        <w:ind w:left="100" w:right="192"/>
        <w:jc w:val="both"/>
        <w:rPr>
          <w:sz w:val="16"/>
        </w:rPr>
      </w:pPr>
      <w:r>
        <w:rPr>
          <w:sz w:val="16"/>
        </w:rPr>
        <w:t xml:space="preserve">NASCIMENTO, Clóvis Eduardo de Souza. A importância das matas </w:t>
      </w:r>
      <w:r>
        <w:rPr>
          <w:spacing w:val="5"/>
          <w:sz w:val="16"/>
        </w:rPr>
        <w:t xml:space="preserve">ciliares </w:t>
      </w:r>
      <w:r>
        <w:rPr>
          <w:spacing w:val="2"/>
          <w:sz w:val="16"/>
        </w:rPr>
        <w:t xml:space="preserve">do </w:t>
      </w:r>
      <w:r>
        <w:rPr>
          <w:spacing w:val="3"/>
          <w:sz w:val="16"/>
        </w:rPr>
        <w:t xml:space="preserve">rio São </w:t>
      </w:r>
      <w:r>
        <w:rPr>
          <w:spacing w:val="5"/>
          <w:sz w:val="16"/>
        </w:rPr>
        <w:t xml:space="preserve">Francisco. Empresa Brasileira </w:t>
      </w:r>
      <w:r>
        <w:rPr>
          <w:spacing w:val="2"/>
          <w:sz w:val="16"/>
        </w:rPr>
        <w:t xml:space="preserve">de </w:t>
      </w:r>
      <w:r>
        <w:rPr>
          <w:spacing w:val="5"/>
          <w:sz w:val="16"/>
        </w:rPr>
        <w:t xml:space="preserve">Pesquisa </w:t>
      </w:r>
      <w:r>
        <w:rPr>
          <w:spacing w:val="3"/>
          <w:sz w:val="16"/>
        </w:rPr>
        <w:t xml:space="preserve">Agropecuária, EMBRAPA. Centro </w:t>
      </w:r>
      <w:r>
        <w:rPr>
          <w:spacing w:val="1"/>
          <w:sz w:val="16"/>
        </w:rPr>
        <w:t xml:space="preserve">de </w:t>
      </w:r>
      <w:r>
        <w:rPr>
          <w:spacing w:val="3"/>
          <w:sz w:val="16"/>
        </w:rPr>
        <w:t>Pesquisa A</w:t>
      </w:r>
      <w:r>
        <w:rPr>
          <w:spacing w:val="3"/>
          <w:sz w:val="16"/>
        </w:rPr>
        <w:t xml:space="preserve">gropecuária </w:t>
      </w:r>
      <w:r>
        <w:rPr>
          <w:spacing w:val="5"/>
          <w:sz w:val="16"/>
        </w:rPr>
        <w:t xml:space="preserve">do Trópico Semi-Árido. Documentos </w:t>
      </w:r>
      <w:r>
        <w:rPr>
          <w:spacing w:val="3"/>
          <w:sz w:val="16"/>
        </w:rPr>
        <w:t xml:space="preserve">179. </w:t>
      </w:r>
      <w:r>
        <w:rPr>
          <w:spacing w:val="5"/>
          <w:sz w:val="16"/>
        </w:rPr>
        <w:t xml:space="preserve">Petrolina/PE, </w:t>
      </w:r>
      <w:r>
        <w:rPr>
          <w:spacing w:val="3"/>
          <w:sz w:val="16"/>
        </w:rPr>
        <w:t xml:space="preserve">dez.  </w:t>
      </w:r>
      <w:r>
        <w:rPr>
          <w:spacing w:val="5"/>
          <w:sz w:val="16"/>
        </w:rPr>
        <w:t xml:space="preserve">2001.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330118">
      <w:pPr>
        <w:spacing w:before="4" w:line="312" w:lineRule="auto"/>
        <w:ind w:left="100" w:right="216"/>
        <w:jc w:val="both"/>
        <w:rPr>
          <w:sz w:val="16"/>
        </w:rPr>
      </w:pPr>
      <w:r>
        <w:rPr>
          <w:sz w:val="16"/>
        </w:rPr>
        <w:t>&lt;http://www.cpatsa.embrapa.br:8080/public_eletronica/downloads/SD C179.pdf&gt;. Acesso em: 07 nov. 2010.</w:t>
      </w:r>
    </w:p>
    <w:p w:rsidR="00D81F69" w:rsidRDefault="00330118">
      <w:pPr>
        <w:spacing w:before="2" w:line="312" w:lineRule="auto"/>
        <w:ind w:left="100" w:right="191"/>
        <w:jc w:val="both"/>
        <w:rPr>
          <w:sz w:val="16"/>
        </w:rPr>
      </w:pPr>
      <w:r>
        <w:rPr>
          <w:sz w:val="16"/>
        </w:rPr>
        <w:t>PORTAL OD</w:t>
      </w:r>
      <w:r>
        <w:rPr>
          <w:sz w:val="16"/>
        </w:rPr>
        <w:t>M. Acompanhamento municipal dos Objetivos do Milênio. Relatórios Dinâmicos. 2010. Pg. 1-10. Disponível em:</w:t>
      </w:r>
    </w:p>
    <w:p w:rsidR="00D81F69" w:rsidRDefault="00D81F69">
      <w:pPr>
        <w:spacing w:before="2" w:line="312" w:lineRule="auto"/>
        <w:ind w:left="100" w:right="217"/>
        <w:jc w:val="both"/>
        <w:rPr>
          <w:sz w:val="16"/>
        </w:rPr>
      </w:pPr>
      <w:hyperlink r:id="rId707">
        <w:r w:rsidR="00330118">
          <w:rPr>
            <w:sz w:val="16"/>
          </w:rPr>
          <w:t xml:space="preserve">&lt;http://www.portalodm.com.br/relatorios/ba/juazeiro#&gt;. </w:t>
        </w:r>
      </w:hyperlink>
      <w:r w:rsidR="00330118">
        <w:rPr>
          <w:sz w:val="16"/>
        </w:rPr>
        <w:t>Acesso em: 05 nov. 2010.</w:t>
      </w:r>
    </w:p>
    <w:p w:rsidR="00D81F69" w:rsidRDefault="00330118">
      <w:pPr>
        <w:spacing w:before="21" w:line="312" w:lineRule="auto"/>
        <w:ind w:left="100" w:right="152"/>
        <w:jc w:val="both"/>
        <w:rPr>
          <w:sz w:val="16"/>
        </w:rPr>
      </w:pPr>
      <w:r>
        <w:rPr>
          <w:sz w:val="16"/>
        </w:rPr>
        <w:t>R</w:t>
      </w:r>
      <w:r>
        <w:rPr>
          <w:sz w:val="16"/>
        </w:rPr>
        <w:t>ADINA, Lene. SEADRUMA participa de oficina para elaboração do Termo de Referência da Mineração Caraíba. Prefeitura Municipal de   J u a z e i r o . 3 1 m a r . 2 0 1 0 . D i s p o n í v e l</w:t>
      </w:r>
      <w:r>
        <w:rPr>
          <w:spacing w:val="32"/>
          <w:sz w:val="16"/>
        </w:rPr>
        <w:t xml:space="preserve"> </w:t>
      </w:r>
      <w:r>
        <w:rPr>
          <w:sz w:val="16"/>
        </w:rPr>
        <w:t xml:space="preserve">e m : </w:t>
      </w:r>
    </w:p>
    <w:p w:rsidR="00D81F69" w:rsidRDefault="00D81F69">
      <w:pPr>
        <w:spacing w:before="3" w:line="312" w:lineRule="auto"/>
        <w:ind w:left="100" w:right="198"/>
        <w:jc w:val="both"/>
        <w:rPr>
          <w:sz w:val="16"/>
        </w:rPr>
      </w:pPr>
      <w:hyperlink r:id="rId708">
        <w:r w:rsidR="00330118">
          <w:rPr>
            <w:sz w:val="16"/>
          </w:rPr>
          <w:t xml:space="preserve">&lt;http://www.juazeiro.ba.gov.br/?pag=noticias&amp;id=3957&gt;. </w:t>
        </w:r>
      </w:hyperlink>
      <w:r w:rsidR="00330118">
        <w:rPr>
          <w:sz w:val="16"/>
        </w:rPr>
        <w:t>Acesso em: 07 nov. 2010.</w:t>
      </w:r>
    </w:p>
    <w:p w:rsidR="00D81F69" w:rsidRDefault="00330118">
      <w:pPr>
        <w:spacing w:before="1"/>
        <w:ind w:left="100"/>
        <w:jc w:val="both"/>
        <w:rPr>
          <w:sz w:val="16"/>
        </w:rPr>
      </w:pPr>
      <w:r>
        <w:rPr>
          <w:sz w:val="16"/>
        </w:rPr>
        <w:t>RIBEIRO, Adalberto Figueiredo; GARRIDO, Ives A.; BRITO, Reinaldo</w:t>
      </w:r>
    </w:p>
    <w:p w:rsidR="00D81F69" w:rsidRDefault="00330118">
      <w:pPr>
        <w:spacing w:before="56" w:line="312" w:lineRule="auto"/>
        <w:ind w:left="100" w:right="189"/>
        <w:jc w:val="both"/>
        <w:rPr>
          <w:sz w:val="16"/>
        </w:rPr>
      </w:pPr>
      <w:r>
        <w:rPr>
          <w:sz w:val="16"/>
        </w:rPr>
        <w:t>S. C.; NONATO, Israel F. Geologia e potencialidade para mineralizações de ouro e sulfetos da Faixa Rio Salitre, Juazeiro – Bahia. Série Arquivos Abertos 3. Companhia Baiana de Pesquisa Mineral, CBPM. Salvador/BA, 1993. Pg. 1-9. Disponível em:</w:t>
      </w:r>
    </w:p>
    <w:p w:rsidR="00D81F69" w:rsidRDefault="00D81F69">
      <w:pPr>
        <w:spacing w:before="4" w:line="312" w:lineRule="auto"/>
        <w:ind w:left="100" w:right="216"/>
        <w:jc w:val="both"/>
        <w:rPr>
          <w:sz w:val="16"/>
        </w:rPr>
      </w:pPr>
      <w:hyperlink r:id="rId709">
        <w:r w:rsidR="00330118">
          <w:rPr>
            <w:sz w:val="16"/>
          </w:rPr>
          <w:t>&lt;http://www.cbpm.com.br/paginas/public_series_arquivos_abertos.ph</w:t>
        </w:r>
      </w:hyperlink>
      <w:r w:rsidR="00330118">
        <w:rPr>
          <w:sz w:val="16"/>
        </w:rPr>
        <w:t xml:space="preserve"> p&gt;. Acesso em: 05 nov. 2010.</w:t>
      </w:r>
    </w:p>
    <w:p w:rsidR="00D81F69" w:rsidRDefault="00330118">
      <w:pPr>
        <w:tabs>
          <w:tab w:val="left" w:pos="2559"/>
          <w:tab w:val="left" w:pos="5063"/>
        </w:tabs>
        <w:spacing w:before="1" w:line="312" w:lineRule="auto"/>
        <w:ind w:left="100" w:right="200"/>
        <w:jc w:val="both"/>
        <w:rPr>
          <w:sz w:val="16"/>
        </w:rPr>
      </w:pPr>
      <w:r>
        <w:rPr>
          <w:sz w:val="16"/>
        </w:rPr>
        <w:t xml:space="preserve">SABOURIN, Eric; CARON, Patrick; SILVA, Pedro Carlos Gama da. O manejo dos “Fundos de Pasto” </w:t>
      </w:r>
      <w:r>
        <w:rPr>
          <w:sz w:val="16"/>
        </w:rPr>
        <w:t xml:space="preserve">no nordeste baiano: um exemplo de </w:t>
      </w:r>
      <w:r>
        <w:rPr>
          <w:spacing w:val="5"/>
          <w:sz w:val="16"/>
        </w:rPr>
        <w:t xml:space="preserve">reforma agrária sustentável. </w:t>
      </w:r>
      <w:r>
        <w:rPr>
          <w:spacing w:val="3"/>
          <w:sz w:val="16"/>
        </w:rPr>
        <w:t xml:space="preserve">VIII </w:t>
      </w:r>
      <w:r>
        <w:rPr>
          <w:spacing w:val="5"/>
          <w:sz w:val="16"/>
        </w:rPr>
        <w:t xml:space="preserve">Encontro </w:t>
      </w:r>
      <w:r>
        <w:rPr>
          <w:spacing w:val="2"/>
          <w:sz w:val="16"/>
        </w:rPr>
        <w:t xml:space="preserve">de </w:t>
      </w:r>
      <w:r>
        <w:rPr>
          <w:spacing w:val="5"/>
          <w:sz w:val="16"/>
        </w:rPr>
        <w:t xml:space="preserve">Ciências Sociais </w:t>
      </w:r>
      <w:r>
        <w:rPr>
          <w:sz w:val="16"/>
        </w:rPr>
        <w:t>Norte/Nordeste. Fortaleza/CE, 10 a 13 jun. 1997. Pg. 1-23. Disponível e</w:t>
      </w:r>
      <w:r>
        <w:rPr>
          <w:sz w:val="16"/>
        </w:rPr>
        <w:tab/>
        <w:t>m</w:t>
      </w:r>
      <w:r>
        <w:rPr>
          <w:sz w:val="16"/>
        </w:rPr>
        <w:tab/>
        <w:t>:</w:t>
      </w:r>
    </w:p>
    <w:p w:rsidR="00D81F69" w:rsidRDefault="00D81F69">
      <w:pPr>
        <w:spacing w:before="4"/>
        <w:ind w:left="100"/>
        <w:jc w:val="both"/>
        <w:rPr>
          <w:sz w:val="16"/>
        </w:rPr>
      </w:pPr>
      <w:hyperlink r:id="rId710">
        <w:r w:rsidR="00330118">
          <w:rPr>
            <w:sz w:val="16"/>
          </w:rPr>
          <w:t>&lt;http://afm.cirad.fr/documents/6_DiagnosticsTerr/CD_AFM/textes/295</w:t>
        </w:r>
      </w:hyperlink>
    </w:p>
    <w:p w:rsidR="00D81F69" w:rsidRDefault="00330118">
      <w:pPr>
        <w:spacing w:before="56"/>
        <w:ind w:left="100"/>
        <w:jc w:val="both"/>
        <w:rPr>
          <w:sz w:val="16"/>
        </w:rPr>
      </w:pPr>
      <w:r>
        <w:rPr>
          <w:sz w:val="16"/>
        </w:rPr>
        <w:t>.pdf&gt;. Acesso em: 08 nov. 2010.</w:t>
      </w:r>
    </w:p>
    <w:p w:rsidR="00D81F69" w:rsidRDefault="00330118">
      <w:pPr>
        <w:tabs>
          <w:tab w:val="left" w:pos="4331"/>
        </w:tabs>
        <w:spacing w:before="56" w:line="312" w:lineRule="auto"/>
        <w:ind w:left="100" w:right="195"/>
        <w:jc w:val="both"/>
        <w:rPr>
          <w:sz w:val="16"/>
        </w:rPr>
      </w:pPr>
      <w:r>
        <w:rPr>
          <w:sz w:val="16"/>
        </w:rPr>
        <w:t xml:space="preserve">SILVA, Valesca da Silveira. A posição de Juazeiro (BA) no contexto </w:t>
      </w:r>
      <w:r>
        <w:rPr>
          <w:spacing w:val="1"/>
          <w:sz w:val="16"/>
        </w:rPr>
        <w:t xml:space="preserve">regional para </w:t>
      </w:r>
      <w:r>
        <w:rPr>
          <w:sz w:val="16"/>
        </w:rPr>
        <w:t xml:space="preserve">a </w:t>
      </w:r>
      <w:r>
        <w:rPr>
          <w:spacing w:val="1"/>
          <w:sz w:val="16"/>
        </w:rPr>
        <w:t xml:space="preserve">localização </w:t>
      </w:r>
      <w:r>
        <w:rPr>
          <w:sz w:val="16"/>
        </w:rPr>
        <w:t xml:space="preserve">de uma </w:t>
      </w:r>
      <w:r>
        <w:rPr>
          <w:spacing w:val="1"/>
          <w:sz w:val="16"/>
        </w:rPr>
        <w:t xml:space="preserve">nova indústria </w:t>
      </w:r>
      <w:r>
        <w:rPr>
          <w:sz w:val="16"/>
        </w:rPr>
        <w:t xml:space="preserve">de </w:t>
      </w:r>
      <w:r>
        <w:rPr>
          <w:spacing w:val="2"/>
          <w:sz w:val="16"/>
        </w:rPr>
        <w:t xml:space="preserve">fertilizantes. </w:t>
      </w:r>
      <w:r>
        <w:rPr>
          <w:spacing w:val="3"/>
          <w:sz w:val="16"/>
        </w:rPr>
        <w:t xml:space="preserve">Série Anais </w:t>
      </w:r>
      <w:r>
        <w:rPr>
          <w:spacing w:val="2"/>
          <w:sz w:val="16"/>
        </w:rPr>
        <w:t xml:space="preserve">da </w:t>
      </w:r>
      <w:r>
        <w:rPr>
          <w:sz w:val="16"/>
        </w:rPr>
        <w:t xml:space="preserve">X </w:t>
      </w:r>
      <w:r>
        <w:rPr>
          <w:spacing w:val="5"/>
          <w:sz w:val="16"/>
        </w:rPr>
        <w:t>Jorna</w:t>
      </w:r>
      <w:r>
        <w:rPr>
          <w:spacing w:val="5"/>
          <w:sz w:val="16"/>
        </w:rPr>
        <w:t xml:space="preserve">da </w:t>
      </w:r>
      <w:r>
        <w:rPr>
          <w:spacing w:val="2"/>
          <w:sz w:val="16"/>
        </w:rPr>
        <w:t xml:space="preserve">de </w:t>
      </w:r>
      <w:r>
        <w:rPr>
          <w:spacing w:val="5"/>
          <w:sz w:val="16"/>
        </w:rPr>
        <w:t xml:space="preserve">Iniciação Científica </w:t>
      </w:r>
      <w:r>
        <w:rPr>
          <w:spacing w:val="2"/>
          <w:sz w:val="16"/>
        </w:rPr>
        <w:t xml:space="preserve">do </w:t>
      </w:r>
      <w:r>
        <w:rPr>
          <w:spacing w:val="5"/>
          <w:sz w:val="16"/>
        </w:rPr>
        <w:t xml:space="preserve">Centro de </w:t>
      </w:r>
      <w:r>
        <w:rPr>
          <w:sz w:val="16"/>
        </w:rPr>
        <w:t xml:space="preserve">Tecnologia Mineral, CETEM. Rio de Janeiro/RJ, 2002. Pg. 259-271.  D      i      s      p      o      n      í      v  </w:t>
      </w:r>
      <w:r>
        <w:rPr>
          <w:spacing w:val="36"/>
          <w:sz w:val="16"/>
        </w:rPr>
        <w:t xml:space="preserve"> </w:t>
      </w:r>
      <w:r>
        <w:rPr>
          <w:sz w:val="16"/>
        </w:rPr>
        <w:t xml:space="preserve">e    </w:t>
      </w:r>
      <w:r>
        <w:rPr>
          <w:spacing w:val="31"/>
          <w:sz w:val="16"/>
        </w:rPr>
        <w:t xml:space="preserve"> </w:t>
      </w:r>
      <w:r>
        <w:rPr>
          <w:sz w:val="16"/>
        </w:rPr>
        <w:t>l</w:t>
      </w:r>
      <w:r>
        <w:rPr>
          <w:sz w:val="16"/>
        </w:rPr>
        <w:tab/>
        <w:t xml:space="preserve">e      m    </w:t>
      </w:r>
      <w:r>
        <w:rPr>
          <w:spacing w:val="20"/>
          <w:sz w:val="16"/>
        </w:rPr>
        <w:t xml:space="preserve"> </w:t>
      </w:r>
      <w:r>
        <w:rPr>
          <w:sz w:val="16"/>
        </w:rPr>
        <w:t>:</w:t>
      </w:r>
    </w:p>
    <w:p w:rsidR="00D81F69" w:rsidRDefault="00D81F69">
      <w:pPr>
        <w:spacing w:before="5"/>
        <w:ind w:left="100"/>
        <w:jc w:val="both"/>
        <w:rPr>
          <w:sz w:val="16"/>
        </w:rPr>
      </w:pPr>
      <w:hyperlink r:id="rId711">
        <w:r w:rsidR="00330118">
          <w:rPr>
            <w:sz w:val="16"/>
          </w:rPr>
          <w:t>&lt;http://www.cetem.gov.br/publicacao/serie_anais_X_jic_2002/Valeska</w:t>
        </w:r>
      </w:hyperlink>
    </w:p>
    <w:p w:rsidR="00D81F69" w:rsidRDefault="00330118">
      <w:pPr>
        <w:spacing w:before="56"/>
        <w:ind w:left="100"/>
        <w:jc w:val="both"/>
        <w:rPr>
          <w:sz w:val="16"/>
        </w:rPr>
      </w:pPr>
      <w:r>
        <w:rPr>
          <w:sz w:val="16"/>
        </w:rPr>
        <w:t>.pdf&gt;. Acesso em: 08 nov. 2010.</w:t>
      </w:r>
    </w:p>
    <w:p w:rsidR="00D81F69" w:rsidRDefault="00D81F69">
      <w:pPr>
        <w:jc w:val="both"/>
        <w:rPr>
          <w:sz w:val="16"/>
        </w:rPr>
        <w:sectPr w:rsidR="00D81F69">
          <w:pgSz w:w="11900" w:h="16840"/>
          <w:pgMar w:top="740" w:right="500" w:bottom="600" w:left="620" w:header="0" w:footer="402" w:gutter="0"/>
          <w:cols w:num="2" w:space="720" w:equalWidth="0">
            <w:col w:w="5234" w:space="236"/>
            <w:col w:w="5310"/>
          </w:cols>
        </w:sectPr>
      </w:pPr>
    </w:p>
    <w:p w:rsidR="00D81F69" w:rsidRDefault="00330118">
      <w:pPr>
        <w:pStyle w:val="Heading1"/>
        <w:spacing w:line="208" w:lineRule="auto"/>
      </w:pPr>
      <w:r>
        <w:lastRenderedPageBreak/>
        <w:t>Efeitos da mineração de urânio na população do sudoeste da Bahia</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BA - Caetité</w:t>
      </w:r>
    </w:p>
    <w:p w:rsidR="00D81F69" w:rsidRDefault="00330118">
      <w:pPr>
        <w:spacing w:before="49"/>
        <w:ind w:left="135"/>
        <w:rPr>
          <w:i/>
          <w:sz w:val="14"/>
        </w:rPr>
      </w:pPr>
      <w:r>
        <w:rPr>
          <w:i/>
          <w:sz w:val="14"/>
        </w:rPr>
        <w:t>BA - Lagoa Real</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-13,8722</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-42,2916</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0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A contaminação da água e os riscos à saúde da população são alguns dos impactos da extração e do beneficiamento do urânio na Unidade de Concentração de Urânio (URA) em Caetité, no sudoeste </w:t>
      </w:r>
      <w:r>
        <w:rPr>
          <w:i/>
          <w:sz w:val="16"/>
        </w:rPr>
        <w:t>da Bahia, pela estatal Indústrias Nucleares do Brasil (INB).</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0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91"/>
      </w:pPr>
      <w:r>
        <w:t>2007). A exploração na Unidade de Concentração de Urânio (URA) de Caetité começou efetivamente, em 1999 (LIMA; COSTA, 2006).</w:t>
      </w:r>
    </w:p>
    <w:p w:rsidR="00D81F69" w:rsidRDefault="00330118">
      <w:pPr>
        <w:pStyle w:val="Corpodetexto"/>
        <w:spacing w:before="132" w:line="312" w:lineRule="auto"/>
        <w:ind w:left="135" w:right="209"/>
      </w:pPr>
      <w:r>
        <w:t>De acordo com o estudo da Universidade Estadual de Santa Cruz (UESC), a população de Caetité em particular está sujeita a riscos radiobiológicos muito superiores aos de populações de outras regiões, tanto no país como no restante do mundo. Essa circunstânc</w:t>
      </w:r>
      <w:r>
        <w:t>ia pode levar a sérios problemas de saúde, como à ocorrência de neoplasias (PRADO, 2007).</w:t>
      </w:r>
    </w:p>
    <w:p w:rsidR="00D81F69" w:rsidRDefault="00D81F69">
      <w:pPr>
        <w:spacing w:line="312" w:lineRule="auto"/>
        <w:sectPr w:rsidR="00D81F69">
          <w:type w:val="continuous"/>
          <w:pgSz w:w="11900" w:h="16840"/>
          <w:pgMar w:top="720" w:right="500" w:bottom="280" w:left="620" w:header="720" w:footer="720" w:gutter="0"/>
          <w:cols w:num="3" w:space="720" w:equalWidth="0">
            <w:col w:w="1203" w:space="797"/>
            <w:col w:w="3124" w:space="311"/>
            <w:col w:w="5345"/>
          </w:cols>
        </w:sectPr>
      </w:pPr>
    </w:p>
    <w:p w:rsidR="00D81F69" w:rsidRDefault="00330118">
      <w:pPr>
        <w:pStyle w:val="Heading4"/>
        <w:spacing w:before="150"/>
      </w:pPr>
      <w:r>
        <w:lastRenderedPageBreak/>
        <w:t>APRESENTAÇÃO DE CASO</w:t>
      </w:r>
    </w:p>
    <w:p w:rsidR="00D81F69" w:rsidRDefault="00330118">
      <w:pPr>
        <w:pStyle w:val="Corpodetexto"/>
        <w:spacing w:before="170" w:line="312" w:lineRule="auto"/>
        <w:ind w:right="47"/>
      </w:pPr>
      <w:r>
        <w:t xml:space="preserve">Entre os municípios de Caetité e Lagoa Real, no Sudoeste da </w:t>
      </w:r>
      <w:r>
        <w:rPr>
          <w:spacing w:val="7"/>
        </w:rPr>
        <w:t xml:space="preserve">Bahia, situa-se </w:t>
      </w:r>
      <w:r>
        <w:rPr>
          <w:spacing w:val="5"/>
        </w:rPr>
        <w:t xml:space="preserve">uma das </w:t>
      </w:r>
      <w:r>
        <w:rPr>
          <w:spacing w:val="6"/>
        </w:rPr>
        <w:t xml:space="preserve">mais </w:t>
      </w:r>
      <w:r>
        <w:rPr>
          <w:spacing w:val="8"/>
        </w:rPr>
        <w:t xml:space="preserve">importantes </w:t>
      </w:r>
      <w:r>
        <w:rPr>
          <w:spacing w:val="10"/>
        </w:rPr>
        <w:t xml:space="preserve">províncias </w:t>
      </w:r>
      <w:r>
        <w:t>u</w:t>
      </w:r>
      <w:r>
        <w:t xml:space="preserve">raníferas brasileira. A mina, explorada pela estatal Indústrias Nucleares do Brasil (INB), tem 1.800 hectares de extensão e uma reserva estimada de 100 mil toneladas exclusivamente de </w:t>
      </w:r>
      <w:hyperlink r:id="rId712">
        <w:r>
          <w:t xml:space="preserve">urânio, </w:t>
        </w:r>
      </w:hyperlink>
      <w:r>
        <w:t>sem outros minerais de interesse associados (INB, 2002-2003 apud PRADO,</w:t>
      </w:r>
      <w:r>
        <w:rPr>
          <w:spacing w:val="15"/>
        </w:rPr>
        <w:t xml:space="preserve"> </w:t>
      </w:r>
      <w:r>
        <w:t>2007).</w:t>
      </w:r>
    </w:p>
    <w:p w:rsidR="00D81F69" w:rsidRDefault="00330118">
      <w:pPr>
        <w:pStyle w:val="Corpodetexto"/>
        <w:spacing w:before="136" w:line="312" w:lineRule="auto"/>
        <w:ind w:right="38"/>
      </w:pPr>
      <w:r>
        <w:t>As atividades de mineração na região têm causado impactos na vida das comunidades locais. Caetité, em especial, enfrenta os maiores problemas ambienta</w:t>
      </w:r>
      <w:r>
        <w:t>is decorrentes de atividades de extração de urânio, bem como os consequentes efeitos à saúde da população (PRADO, 2007).</w:t>
      </w:r>
    </w:p>
    <w:p w:rsidR="00D81F69" w:rsidRDefault="00330118">
      <w:pPr>
        <w:pStyle w:val="Corpodetexto"/>
        <w:spacing w:before="135" w:line="312" w:lineRule="auto"/>
        <w:ind w:right="38"/>
      </w:pPr>
      <w:r>
        <w:t xml:space="preserve">Caetité tem 47.524 habitantes, metade vivendo na zona rural, onde cria gado e planta mandioca, cana-de-açúcar, feijão e </w:t>
      </w:r>
      <w:r>
        <w:rPr>
          <w:spacing w:val="1"/>
        </w:rPr>
        <w:t xml:space="preserve">milho. </w:t>
      </w:r>
      <w:r>
        <w:t xml:space="preserve">A </w:t>
      </w:r>
      <w:r>
        <w:rPr>
          <w:spacing w:val="1"/>
        </w:rPr>
        <w:t>situaç</w:t>
      </w:r>
      <w:r>
        <w:rPr>
          <w:spacing w:val="1"/>
        </w:rPr>
        <w:t xml:space="preserve">ão </w:t>
      </w:r>
      <w:r>
        <w:t xml:space="preserve">é </w:t>
      </w:r>
      <w:r>
        <w:rPr>
          <w:spacing w:val="1"/>
        </w:rPr>
        <w:t xml:space="preserve">semelhante </w:t>
      </w:r>
      <w:r>
        <w:t xml:space="preserve">em </w:t>
      </w:r>
      <w:r>
        <w:rPr>
          <w:spacing w:val="1"/>
        </w:rPr>
        <w:t xml:space="preserve">Lagoa Real, onde </w:t>
      </w:r>
      <w:r>
        <w:rPr>
          <w:spacing w:val="2"/>
        </w:rPr>
        <w:t xml:space="preserve">80% </w:t>
      </w:r>
      <w:r>
        <w:rPr>
          <w:spacing w:val="5"/>
        </w:rPr>
        <w:t xml:space="preserve">dos 13.934 </w:t>
      </w:r>
      <w:r>
        <w:rPr>
          <w:spacing w:val="6"/>
        </w:rPr>
        <w:t xml:space="preserve">habitantes </w:t>
      </w:r>
      <w:r>
        <w:rPr>
          <w:spacing w:val="5"/>
        </w:rPr>
        <w:t xml:space="preserve">vivem </w:t>
      </w:r>
      <w:r>
        <w:rPr>
          <w:spacing w:val="3"/>
        </w:rPr>
        <w:t xml:space="preserve">na </w:t>
      </w:r>
      <w:r>
        <w:rPr>
          <w:spacing w:val="5"/>
        </w:rPr>
        <w:t xml:space="preserve">área rural. </w:t>
      </w:r>
      <w:r>
        <w:rPr>
          <w:spacing w:val="3"/>
        </w:rPr>
        <w:t xml:space="preserve">Na </w:t>
      </w:r>
      <w:r>
        <w:rPr>
          <w:spacing w:val="7"/>
        </w:rPr>
        <w:t xml:space="preserve">região, </w:t>
      </w:r>
      <w:r>
        <w:t>pessoas e animais consomem água não tratada de poços e  de</w:t>
      </w:r>
      <w:r>
        <w:rPr>
          <w:spacing w:val="15"/>
        </w:rPr>
        <w:t xml:space="preserve"> </w:t>
      </w:r>
      <w:r>
        <w:t>um</w:t>
      </w:r>
      <w:r>
        <w:rPr>
          <w:spacing w:val="15"/>
        </w:rPr>
        <w:t xml:space="preserve"> </w:t>
      </w:r>
      <w:r>
        <w:t>riacho</w:t>
      </w:r>
      <w:r>
        <w:rPr>
          <w:spacing w:val="15"/>
        </w:rPr>
        <w:t xml:space="preserve"> </w:t>
      </w:r>
      <w:r>
        <w:t>que</w:t>
      </w:r>
      <w:r>
        <w:rPr>
          <w:spacing w:val="15"/>
        </w:rPr>
        <w:t xml:space="preserve"> </w:t>
      </w:r>
      <w:r>
        <w:t>atravessa</w:t>
      </w:r>
      <w:r>
        <w:rPr>
          <w:spacing w:val="15"/>
        </w:rPr>
        <w:t xml:space="preserve"> </w:t>
      </w:r>
      <w:r>
        <w:t>a</w:t>
      </w:r>
      <w:r>
        <w:rPr>
          <w:spacing w:val="15"/>
        </w:rPr>
        <w:t xml:space="preserve"> </w:t>
      </w:r>
      <w:r>
        <w:t>área</w:t>
      </w:r>
      <w:r>
        <w:rPr>
          <w:spacing w:val="15"/>
        </w:rPr>
        <w:t xml:space="preserve"> </w:t>
      </w:r>
      <w:r>
        <w:t>da</w:t>
      </w:r>
      <w:r>
        <w:rPr>
          <w:spacing w:val="15"/>
        </w:rPr>
        <w:t xml:space="preserve"> </w:t>
      </w:r>
      <w:r>
        <w:t>mina</w:t>
      </w:r>
      <w:r>
        <w:rPr>
          <w:spacing w:val="15"/>
        </w:rPr>
        <w:t xml:space="preserve"> </w:t>
      </w:r>
      <w:r>
        <w:t>(PRADO,</w:t>
      </w:r>
      <w:r>
        <w:rPr>
          <w:spacing w:val="15"/>
        </w:rPr>
        <w:t xml:space="preserve"> </w:t>
      </w:r>
      <w:r>
        <w:t>2007).</w:t>
      </w:r>
    </w:p>
    <w:p w:rsidR="00D81F69" w:rsidRDefault="00330118">
      <w:pPr>
        <w:pStyle w:val="Corpodetexto"/>
        <w:spacing w:before="136" w:line="312" w:lineRule="auto"/>
        <w:ind w:right="41"/>
      </w:pPr>
      <w:r>
        <w:t xml:space="preserve">Os dois municípios fazem parte das Regiões de Planejamento e Gestão das Águas do Rio de Contas e dos rios Paramirim, </w:t>
      </w:r>
      <w:r>
        <w:rPr>
          <w:spacing w:val="1"/>
        </w:rPr>
        <w:t xml:space="preserve">Santo Onofre </w:t>
      </w:r>
      <w:r>
        <w:t xml:space="preserve">e </w:t>
      </w:r>
      <w:r>
        <w:rPr>
          <w:spacing w:val="1"/>
        </w:rPr>
        <w:t xml:space="preserve">Carnaíba </w:t>
      </w:r>
      <w:r>
        <w:t xml:space="preserve">de </w:t>
      </w:r>
      <w:r>
        <w:rPr>
          <w:spacing w:val="1"/>
        </w:rPr>
        <w:t xml:space="preserve">Dentro. </w:t>
      </w:r>
      <w:r>
        <w:t xml:space="preserve">A </w:t>
      </w:r>
      <w:r>
        <w:rPr>
          <w:spacing w:val="1"/>
        </w:rPr>
        <w:t xml:space="preserve">maioria </w:t>
      </w:r>
      <w:r>
        <w:t xml:space="preserve">dos </w:t>
      </w:r>
      <w:r>
        <w:rPr>
          <w:spacing w:val="1"/>
        </w:rPr>
        <w:t xml:space="preserve">rios </w:t>
      </w:r>
      <w:r>
        <w:rPr>
          <w:spacing w:val="2"/>
        </w:rPr>
        <w:t xml:space="preserve">da </w:t>
      </w:r>
      <w:r>
        <w:rPr>
          <w:spacing w:val="5"/>
        </w:rPr>
        <w:t xml:space="preserve">região </w:t>
      </w:r>
      <w:r>
        <w:t xml:space="preserve">é </w:t>
      </w:r>
      <w:r>
        <w:rPr>
          <w:spacing w:val="5"/>
        </w:rPr>
        <w:t xml:space="preserve">intermitente, </w:t>
      </w:r>
      <w:r>
        <w:rPr>
          <w:spacing w:val="3"/>
        </w:rPr>
        <w:t xml:space="preserve">com </w:t>
      </w:r>
      <w:r>
        <w:rPr>
          <w:spacing w:val="5"/>
        </w:rPr>
        <w:t xml:space="preserve">períodos </w:t>
      </w:r>
      <w:r>
        <w:rPr>
          <w:spacing w:val="2"/>
        </w:rPr>
        <w:t xml:space="preserve">de </w:t>
      </w:r>
      <w:r>
        <w:rPr>
          <w:spacing w:val="3"/>
        </w:rPr>
        <w:t xml:space="preserve">seca </w:t>
      </w:r>
      <w:r>
        <w:rPr>
          <w:spacing w:val="2"/>
        </w:rPr>
        <w:t xml:space="preserve">no </w:t>
      </w:r>
      <w:r>
        <w:rPr>
          <w:spacing w:val="5"/>
        </w:rPr>
        <w:t>inverno.</w:t>
      </w:r>
      <w:r>
        <w:rPr>
          <w:spacing w:val="61"/>
        </w:rPr>
        <w:t xml:space="preserve"> </w:t>
      </w:r>
      <w:r>
        <w:rPr>
          <w:spacing w:val="1"/>
        </w:rPr>
        <w:t xml:space="preserve">Embora limitado </w:t>
      </w:r>
      <w:r>
        <w:t xml:space="preserve">por sua </w:t>
      </w:r>
      <w:r>
        <w:rPr>
          <w:spacing w:val="1"/>
        </w:rPr>
        <w:t>ba</w:t>
      </w:r>
      <w:r>
        <w:rPr>
          <w:spacing w:val="1"/>
        </w:rPr>
        <w:t xml:space="preserve">ixa capacidade </w:t>
      </w:r>
      <w:r>
        <w:t xml:space="preserve">de </w:t>
      </w:r>
      <w:r>
        <w:rPr>
          <w:spacing w:val="1"/>
        </w:rPr>
        <w:t xml:space="preserve">produção, </w:t>
      </w:r>
      <w:r>
        <w:t xml:space="preserve">o sistema aquífero da região é considerado suficiente para o </w:t>
      </w:r>
      <w:r>
        <w:rPr>
          <w:spacing w:val="3"/>
        </w:rPr>
        <w:t xml:space="preserve">suprimento </w:t>
      </w:r>
      <w:r>
        <w:rPr>
          <w:spacing w:val="1"/>
        </w:rPr>
        <w:t xml:space="preserve">de </w:t>
      </w:r>
      <w:r>
        <w:rPr>
          <w:spacing w:val="3"/>
        </w:rPr>
        <w:t xml:space="preserve">propriedades rurais </w:t>
      </w:r>
      <w:r>
        <w:t xml:space="preserve">e </w:t>
      </w:r>
      <w:r>
        <w:rPr>
          <w:spacing w:val="3"/>
        </w:rPr>
        <w:t xml:space="preserve">núcleos urbanos </w:t>
      </w:r>
      <w:r>
        <w:rPr>
          <w:spacing w:val="5"/>
        </w:rPr>
        <w:t xml:space="preserve">em </w:t>
      </w:r>
      <w:r>
        <w:t>áreas com carência de abastecimento de água. No entanto, com o início das operações de produção de concentrado d</w:t>
      </w:r>
      <w:r>
        <w:t xml:space="preserve">e urânio, houve acréscimos na demanda decorrentes não só do </w:t>
      </w:r>
      <w:r>
        <w:rPr>
          <w:spacing w:val="1"/>
        </w:rPr>
        <w:t xml:space="preserve">consumo </w:t>
      </w:r>
      <w:r>
        <w:t xml:space="preserve">de </w:t>
      </w:r>
      <w:r>
        <w:rPr>
          <w:spacing w:val="1"/>
        </w:rPr>
        <w:t xml:space="preserve">água pela planta industrial, </w:t>
      </w:r>
      <w:r>
        <w:t xml:space="preserve">mas </w:t>
      </w:r>
      <w:r>
        <w:rPr>
          <w:spacing w:val="1"/>
        </w:rPr>
        <w:t xml:space="preserve">também </w:t>
      </w:r>
      <w:r>
        <w:rPr>
          <w:spacing w:val="2"/>
        </w:rPr>
        <w:t xml:space="preserve">pelo </w:t>
      </w:r>
      <w:r>
        <w:rPr>
          <w:spacing w:val="3"/>
        </w:rPr>
        <w:t xml:space="preserve">crescimento </w:t>
      </w:r>
      <w:r>
        <w:rPr>
          <w:spacing w:val="1"/>
        </w:rPr>
        <w:t xml:space="preserve">da </w:t>
      </w:r>
      <w:r>
        <w:rPr>
          <w:spacing w:val="3"/>
        </w:rPr>
        <w:t xml:space="preserve">população causado </w:t>
      </w:r>
      <w:r>
        <w:rPr>
          <w:spacing w:val="2"/>
        </w:rPr>
        <w:t xml:space="preserve">pelo </w:t>
      </w:r>
      <w:r>
        <w:rPr>
          <w:spacing w:val="5"/>
        </w:rPr>
        <w:t xml:space="preserve">desenvolvimento </w:t>
      </w:r>
      <w:r>
        <w:rPr>
          <w:spacing w:val="3"/>
        </w:rPr>
        <w:t xml:space="preserve">econômico </w:t>
      </w:r>
      <w:r>
        <w:rPr>
          <w:spacing w:val="1"/>
        </w:rPr>
        <w:t xml:space="preserve">da </w:t>
      </w:r>
      <w:r>
        <w:rPr>
          <w:spacing w:val="3"/>
        </w:rPr>
        <w:t xml:space="preserve">região (LAMEGO </w:t>
      </w:r>
      <w:r>
        <w:rPr>
          <w:spacing w:val="1"/>
        </w:rPr>
        <w:t xml:space="preserve">et </w:t>
      </w:r>
      <w:r>
        <w:rPr>
          <w:spacing w:val="2"/>
        </w:rPr>
        <w:t>al.,</w:t>
      </w:r>
      <w:r>
        <w:rPr>
          <w:spacing w:val="1"/>
        </w:rPr>
        <w:t xml:space="preserve"> </w:t>
      </w:r>
      <w:r>
        <w:rPr>
          <w:spacing w:val="5"/>
        </w:rPr>
        <w:t>2003).</w:t>
      </w:r>
    </w:p>
    <w:p w:rsidR="00D81F69" w:rsidRDefault="00330118">
      <w:pPr>
        <w:pStyle w:val="Corpodetexto"/>
        <w:spacing w:before="142" w:line="312" w:lineRule="auto"/>
        <w:ind w:right="42"/>
      </w:pPr>
      <w:r>
        <w:t>O distrito uranífero de Lagoa Real foi desc</w:t>
      </w:r>
      <w:r>
        <w:t>oberto durante a execução de uma série de levantamentos aerogeofísicos, entre 1976 e 1977. (INB, 2002-2003 apud PRADO, 2007).</w:t>
      </w:r>
    </w:p>
    <w:p w:rsidR="00D81F69" w:rsidRDefault="00330118">
      <w:pPr>
        <w:pStyle w:val="Corpodetexto"/>
        <w:spacing w:before="2" w:line="312" w:lineRule="auto"/>
        <w:ind w:right="43"/>
      </w:pPr>
      <w:r>
        <w:t xml:space="preserve">Com a exaustão do urânio economicamente explorável da mina de Poços de Calda (MG), em 1996, esse passou a ser explorado na região </w:t>
      </w:r>
      <w:r>
        <w:t>(TEIXEIRA et al., 2000 apud PRADO,</w:t>
      </w:r>
    </w:p>
    <w:p w:rsidR="00D81F69" w:rsidRDefault="00330118">
      <w:pPr>
        <w:pStyle w:val="Corpodetexto"/>
        <w:spacing w:before="136" w:line="312" w:lineRule="auto"/>
        <w:ind w:right="192"/>
      </w:pPr>
      <w:r>
        <w:br w:type="column"/>
      </w:r>
      <w:r>
        <w:lastRenderedPageBreak/>
        <w:t>O estudo mediu o grau de contaminação ambiental por urânio a partir dos níveis de incorporação desse radionuclídeo pelos habitantes da região, usando dentes humanos como bioindicadores. Os dentes coletados foram extraído</w:t>
      </w:r>
      <w:r>
        <w:t>s por clínicas odontológicas da região, por motivos ortodônticos. Uma vez que a concentração de urânio em dentes é muito similar à verificada no esqueleto (dentro de uma incerteza inferior a 10%), os resultados para dentes também expressam o conteúdo de ur</w:t>
      </w:r>
      <w:r>
        <w:t>ânio (por unidade de massa) no esqueleto como um todo (PRADO, 2007).</w:t>
      </w:r>
    </w:p>
    <w:p w:rsidR="00D81F69" w:rsidRDefault="00330118">
      <w:pPr>
        <w:pStyle w:val="Corpodetexto"/>
        <w:spacing w:before="139" w:line="312" w:lineRule="auto"/>
        <w:ind w:right="211"/>
      </w:pPr>
      <w:r>
        <w:t xml:space="preserve">A pesquisa concluiu que os residentes nos municípios de Caetité e Lagoa Real apresentam índices corpóreos de urânio bastante elevados. No caso de Caetité, foi constatada uma incorporação </w:t>
      </w:r>
      <w:r>
        <w:t>média de urânio cerca de 100 vezes maior do que a média mundial (PRADO, 2007).</w:t>
      </w:r>
    </w:p>
    <w:p w:rsidR="00D81F69" w:rsidRDefault="00330118">
      <w:pPr>
        <w:pStyle w:val="Corpodetexto"/>
        <w:spacing w:before="135" w:line="312" w:lineRule="auto"/>
        <w:ind w:right="192"/>
      </w:pPr>
      <w:r>
        <w:rPr>
          <w:spacing w:val="1"/>
        </w:rPr>
        <w:t xml:space="preserve">Sucessivas inspeções </w:t>
      </w:r>
      <w:r>
        <w:t xml:space="preserve">dos </w:t>
      </w:r>
      <w:r>
        <w:rPr>
          <w:spacing w:val="1"/>
        </w:rPr>
        <w:t xml:space="preserve">órgãos competentes </w:t>
      </w:r>
      <w:r>
        <w:rPr>
          <w:spacing w:val="2"/>
        </w:rPr>
        <w:t xml:space="preserve">(Ministério </w:t>
      </w:r>
      <w:r>
        <w:t xml:space="preserve">Público do Trabalho, Delegacia Regional do Trabalho, etc.) constataram também irregularidades trabalhistas, deficiências na avaliação da segurança no trabalho e precária assistência à </w:t>
      </w:r>
      <w:r>
        <w:rPr>
          <w:spacing w:val="1"/>
        </w:rPr>
        <w:t xml:space="preserve">saúde </w:t>
      </w:r>
      <w:r>
        <w:t xml:space="preserve">na </w:t>
      </w:r>
      <w:r>
        <w:rPr>
          <w:spacing w:val="1"/>
        </w:rPr>
        <w:t xml:space="preserve">região. Essas inspeções resultaram </w:t>
      </w:r>
      <w:r>
        <w:t xml:space="preserve">em </w:t>
      </w:r>
      <w:r>
        <w:rPr>
          <w:spacing w:val="2"/>
        </w:rPr>
        <w:t xml:space="preserve">várias </w:t>
      </w:r>
      <w:r>
        <w:rPr>
          <w:spacing w:val="3"/>
        </w:rPr>
        <w:t xml:space="preserve">notificações </w:t>
      </w:r>
      <w:r>
        <w:t xml:space="preserve">e </w:t>
      </w:r>
      <w:r>
        <w:rPr>
          <w:spacing w:val="3"/>
        </w:rPr>
        <w:t>rec</w:t>
      </w:r>
      <w:r>
        <w:rPr>
          <w:spacing w:val="3"/>
        </w:rPr>
        <w:t xml:space="preserve">omendações </w:t>
      </w:r>
      <w:r>
        <w:t xml:space="preserve">à </w:t>
      </w:r>
      <w:r>
        <w:rPr>
          <w:spacing w:val="2"/>
        </w:rPr>
        <w:t xml:space="preserve">INB </w:t>
      </w:r>
      <w:r>
        <w:rPr>
          <w:spacing w:val="3"/>
        </w:rPr>
        <w:t>(VILASBOAS,</w:t>
      </w:r>
      <w:r>
        <w:rPr>
          <w:spacing w:val="-5"/>
        </w:rPr>
        <w:t xml:space="preserve"> </w:t>
      </w:r>
      <w:r>
        <w:rPr>
          <w:spacing w:val="5"/>
        </w:rPr>
        <w:t>2008).</w:t>
      </w:r>
    </w:p>
    <w:p w:rsidR="00D81F69" w:rsidRDefault="00330118">
      <w:pPr>
        <w:pStyle w:val="Corpodetexto"/>
        <w:spacing w:before="135" w:line="312" w:lineRule="auto"/>
        <w:ind w:right="190"/>
      </w:pPr>
      <w:r>
        <w:rPr>
          <w:spacing w:val="2"/>
        </w:rPr>
        <w:t xml:space="preserve">No </w:t>
      </w:r>
      <w:r>
        <w:rPr>
          <w:spacing w:val="3"/>
        </w:rPr>
        <w:t xml:space="preserve">final </w:t>
      </w:r>
      <w:r>
        <w:rPr>
          <w:spacing w:val="2"/>
        </w:rPr>
        <w:t xml:space="preserve">de </w:t>
      </w:r>
      <w:r>
        <w:rPr>
          <w:spacing w:val="3"/>
        </w:rPr>
        <w:t xml:space="preserve">2007, </w:t>
      </w:r>
      <w:r>
        <w:rPr>
          <w:spacing w:val="2"/>
        </w:rPr>
        <w:t xml:space="preserve">os </w:t>
      </w:r>
      <w:r>
        <w:rPr>
          <w:spacing w:val="5"/>
        </w:rPr>
        <w:t xml:space="preserve">conflitos </w:t>
      </w:r>
      <w:r>
        <w:rPr>
          <w:spacing w:val="3"/>
        </w:rPr>
        <w:t xml:space="preserve">pelo uso </w:t>
      </w:r>
      <w:r>
        <w:rPr>
          <w:spacing w:val="2"/>
        </w:rPr>
        <w:t xml:space="preserve">da </w:t>
      </w:r>
      <w:r>
        <w:rPr>
          <w:spacing w:val="3"/>
        </w:rPr>
        <w:t xml:space="preserve">água </w:t>
      </w:r>
      <w:r>
        <w:rPr>
          <w:spacing w:val="5"/>
        </w:rPr>
        <w:t>levaram</w:t>
      </w:r>
      <w:r>
        <w:rPr>
          <w:spacing w:val="61"/>
        </w:rPr>
        <w:t xml:space="preserve"> </w:t>
      </w:r>
      <w:r>
        <w:t>associações de pequenos agricultores a requerer ao Instituto de Gestão das Águas (Ingá) o cancelamento das autorizações concedidas por eles, em 1999, à INB, permiti</w:t>
      </w:r>
      <w:r>
        <w:t xml:space="preserve">ndo a perfuração </w:t>
      </w:r>
      <w:r>
        <w:rPr>
          <w:spacing w:val="7"/>
        </w:rPr>
        <w:t xml:space="preserve">de </w:t>
      </w:r>
      <w:r>
        <w:rPr>
          <w:spacing w:val="11"/>
        </w:rPr>
        <w:t xml:space="preserve">poços </w:t>
      </w:r>
      <w:r>
        <w:rPr>
          <w:spacing w:val="13"/>
        </w:rPr>
        <w:t xml:space="preserve">artesianos </w:t>
      </w:r>
      <w:r>
        <w:t xml:space="preserve">e o </w:t>
      </w:r>
      <w:r>
        <w:rPr>
          <w:spacing w:val="10"/>
        </w:rPr>
        <w:t xml:space="preserve">uso </w:t>
      </w:r>
      <w:r>
        <w:rPr>
          <w:spacing w:val="13"/>
        </w:rPr>
        <w:t xml:space="preserve">gratuito, </w:t>
      </w:r>
      <w:r>
        <w:rPr>
          <w:spacing w:val="10"/>
        </w:rPr>
        <w:t xml:space="preserve">por </w:t>
      </w:r>
      <w:r>
        <w:rPr>
          <w:spacing w:val="11"/>
        </w:rPr>
        <w:t xml:space="preserve">tempo </w:t>
      </w:r>
      <w:r>
        <w:t xml:space="preserve">indeterminado, das águas subterrâneas dos seus lotes. Além disso, a comunidade passou a reivindicar a instalação de um </w:t>
      </w:r>
      <w:r>
        <w:rPr>
          <w:spacing w:val="7"/>
        </w:rPr>
        <w:t xml:space="preserve">serviço </w:t>
      </w:r>
      <w:r>
        <w:rPr>
          <w:spacing w:val="6"/>
        </w:rPr>
        <w:t xml:space="preserve">para </w:t>
      </w:r>
      <w:r>
        <w:t xml:space="preserve">a </w:t>
      </w:r>
      <w:r>
        <w:rPr>
          <w:spacing w:val="7"/>
        </w:rPr>
        <w:t xml:space="preserve">detecção </w:t>
      </w:r>
      <w:r>
        <w:rPr>
          <w:spacing w:val="5"/>
        </w:rPr>
        <w:t xml:space="preserve">de </w:t>
      </w:r>
      <w:r>
        <w:rPr>
          <w:spacing w:val="7"/>
        </w:rPr>
        <w:t xml:space="preserve">doenças </w:t>
      </w:r>
      <w:r>
        <w:rPr>
          <w:spacing w:val="5"/>
        </w:rPr>
        <w:t xml:space="preserve">do </w:t>
      </w:r>
      <w:r>
        <w:rPr>
          <w:spacing w:val="7"/>
        </w:rPr>
        <w:t xml:space="preserve">trabalho </w:t>
      </w:r>
      <w:r>
        <w:t xml:space="preserve">e a </w:t>
      </w:r>
      <w:r>
        <w:rPr>
          <w:spacing w:val="3"/>
        </w:rPr>
        <w:t xml:space="preserve">estruturação </w:t>
      </w:r>
      <w:r>
        <w:rPr>
          <w:spacing w:val="1"/>
        </w:rPr>
        <w:t xml:space="preserve">de um </w:t>
      </w:r>
      <w:r>
        <w:rPr>
          <w:spacing w:val="3"/>
        </w:rPr>
        <w:t>si</w:t>
      </w:r>
      <w:r>
        <w:rPr>
          <w:spacing w:val="3"/>
        </w:rPr>
        <w:t xml:space="preserve">stema </w:t>
      </w:r>
      <w:r>
        <w:rPr>
          <w:spacing w:val="1"/>
        </w:rPr>
        <w:t xml:space="preserve">de </w:t>
      </w:r>
      <w:r>
        <w:rPr>
          <w:spacing w:val="3"/>
        </w:rPr>
        <w:t xml:space="preserve">vigilância </w:t>
      </w:r>
      <w:r>
        <w:rPr>
          <w:spacing w:val="5"/>
        </w:rPr>
        <w:t xml:space="preserve">epidemiológica, </w:t>
      </w:r>
      <w:r>
        <w:t xml:space="preserve">toxicológica e radiológica capaz de identificar o câncer e as </w:t>
      </w:r>
      <w:r>
        <w:rPr>
          <w:spacing w:val="8"/>
        </w:rPr>
        <w:t xml:space="preserve">demais doenças </w:t>
      </w:r>
      <w:r>
        <w:rPr>
          <w:spacing w:val="10"/>
        </w:rPr>
        <w:t xml:space="preserve">relacionadas </w:t>
      </w:r>
      <w:r>
        <w:t xml:space="preserve">a </w:t>
      </w:r>
      <w:r>
        <w:rPr>
          <w:spacing w:val="8"/>
        </w:rPr>
        <w:t xml:space="preserve">radiações </w:t>
      </w:r>
      <w:r>
        <w:rPr>
          <w:spacing w:val="10"/>
        </w:rPr>
        <w:t>ionizantes (VILASBOAS, 2008).</w:t>
      </w:r>
    </w:p>
    <w:p w:rsidR="00D81F69" w:rsidRDefault="00330118">
      <w:pPr>
        <w:pStyle w:val="Corpodetexto"/>
        <w:spacing w:before="78" w:line="270" w:lineRule="atLeast"/>
        <w:ind w:right="194"/>
      </w:pPr>
      <w:r>
        <w:t>Segundo relatório divulgado em 2008 pelo Greenpeace, foi constatada a contaminação radio</w:t>
      </w:r>
      <w:r>
        <w:t>ativa em amostras de água usada para consumo humano e animal, coletadas na área de influência direta da mineração de urânio no município. A coleta das amostras de água foi realizada em abril de 2008, em pontos localizados dentro de um raio de 20 km ao redo</w:t>
      </w:r>
      <w:r>
        <w:t>r</w:t>
      </w:r>
    </w:p>
    <w:p w:rsidR="00D81F69" w:rsidRDefault="00D81F69">
      <w:pPr>
        <w:spacing w:line="270" w:lineRule="atLeast"/>
        <w:sectPr w:rsidR="00D81F69">
          <w:type w:val="continuous"/>
          <w:pgSz w:w="11900" w:h="16840"/>
          <w:pgMar w:top="720" w:right="500" w:bottom="280" w:left="620" w:header="720" w:footer="720" w:gutter="0"/>
          <w:cols w:num="2" w:space="720" w:equalWidth="0">
            <w:col w:w="5162" w:space="308"/>
            <w:col w:w="5310"/>
          </w:cols>
        </w:sectPr>
      </w:pPr>
    </w:p>
    <w:p w:rsidR="00D81F69" w:rsidRDefault="00330118">
      <w:pPr>
        <w:pStyle w:val="Corpodetexto"/>
        <w:spacing w:before="81" w:line="312" w:lineRule="auto"/>
        <w:ind w:right="66"/>
      </w:pPr>
      <w:r>
        <w:rPr>
          <w:spacing w:val="1"/>
        </w:rPr>
        <w:lastRenderedPageBreak/>
        <w:t xml:space="preserve">da </w:t>
      </w:r>
      <w:r>
        <w:rPr>
          <w:spacing w:val="3"/>
        </w:rPr>
        <w:t xml:space="preserve">mineração </w:t>
      </w:r>
      <w:r>
        <w:rPr>
          <w:spacing w:val="1"/>
        </w:rPr>
        <w:t xml:space="preserve">de </w:t>
      </w:r>
      <w:r>
        <w:rPr>
          <w:spacing w:val="3"/>
        </w:rPr>
        <w:t xml:space="preserve">urânio </w:t>
      </w:r>
      <w:r>
        <w:rPr>
          <w:spacing w:val="1"/>
        </w:rPr>
        <w:t xml:space="preserve">da </w:t>
      </w:r>
      <w:r>
        <w:rPr>
          <w:spacing w:val="2"/>
        </w:rPr>
        <w:t xml:space="preserve">INB </w:t>
      </w:r>
      <w:r>
        <w:rPr>
          <w:spacing w:val="1"/>
        </w:rPr>
        <w:t xml:space="preserve">em </w:t>
      </w:r>
      <w:r>
        <w:rPr>
          <w:spacing w:val="3"/>
        </w:rPr>
        <w:t xml:space="preserve">Caetité. </w:t>
      </w:r>
      <w:r>
        <w:rPr>
          <w:spacing w:val="1"/>
        </w:rPr>
        <w:t xml:space="preserve">As </w:t>
      </w:r>
      <w:r>
        <w:rPr>
          <w:spacing w:val="5"/>
        </w:rPr>
        <w:t xml:space="preserve">amostras </w:t>
      </w:r>
      <w:r>
        <w:rPr>
          <w:spacing w:val="8"/>
        </w:rPr>
        <w:t xml:space="preserve">foram </w:t>
      </w:r>
      <w:r>
        <w:rPr>
          <w:spacing w:val="10"/>
        </w:rPr>
        <w:t xml:space="preserve">encaminhadas </w:t>
      </w:r>
      <w:r>
        <w:t xml:space="preserve">a </w:t>
      </w:r>
      <w:r>
        <w:rPr>
          <w:spacing w:val="5"/>
        </w:rPr>
        <w:t xml:space="preserve">um </w:t>
      </w:r>
      <w:r>
        <w:rPr>
          <w:spacing w:val="10"/>
        </w:rPr>
        <w:t xml:space="preserve">laboratório </w:t>
      </w:r>
      <w:r>
        <w:rPr>
          <w:spacing w:val="11"/>
        </w:rPr>
        <w:t xml:space="preserve">independente, </w:t>
      </w:r>
      <w:r>
        <w:t xml:space="preserve">credenciado no Reino Unido para a realização de análises. </w:t>
      </w:r>
      <w:r>
        <w:rPr>
          <w:spacing w:val="3"/>
        </w:rPr>
        <w:t xml:space="preserve">Pelo menos duas delas </w:t>
      </w:r>
      <w:r>
        <w:rPr>
          <w:spacing w:val="5"/>
        </w:rPr>
        <w:t xml:space="preserve">apresentaram contaminação por urânio </w:t>
      </w:r>
      <w:r>
        <w:rPr>
          <w:spacing w:val="3"/>
        </w:rPr>
        <w:t xml:space="preserve">muito </w:t>
      </w:r>
      <w:r>
        <w:rPr>
          <w:spacing w:val="3"/>
        </w:rPr>
        <w:t xml:space="preserve">acima dos </w:t>
      </w:r>
      <w:r>
        <w:rPr>
          <w:spacing w:val="5"/>
        </w:rPr>
        <w:t xml:space="preserve">índices máximos sugeridos pela Organização Mundial </w:t>
      </w:r>
      <w:r>
        <w:rPr>
          <w:spacing w:val="2"/>
        </w:rPr>
        <w:t xml:space="preserve">da </w:t>
      </w:r>
      <w:r>
        <w:rPr>
          <w:spacing w:val="5"/>
        </w:rPr>
        <w:t xml:space="preserve">Saúde (OMS) </w:t>
      </w:r>
      <w:r>
        <w:t xml:space="preserve">e </w:t>
      </w:r>
      <w:r>
        <w:rPr>
          <w:spacing w:val="5"/>
        </w:rPr>
        <w:t xml:space="preserve">pelo </w:t>
      </w:r>
      <w:r>
        <w:rPr>
          <w:spacing w:val="6"/>
        </w:rPr>
        <w:t xml:space="preserve">Conselho </w:t>
      </w:r>
      <w:r>
        <w:rPr>
          <w:spacing w:val="5"/>
        </w:rPr>
        <w:t xml:space="preserve">Nacional </w:t>
      </w:r>
      <w:r>
        <w:rPr>
          <w:spacing w:val="2"/>
        </w:rPr>
        <w:t xml:space="preserve">de </w:t>
      </w:r>
      <w:r>
        <w:rPr>
          <w:spacing w:val="5"/>
        </w:rPr>
        <w:t>Meio Ambiente (Conama) (LERER,</w:t>
      </w:r>
      <w:r>
        <w:rPr>
          <w:spacing w:val="57"/>
        </w:rPr>
        <w:t xml:space="preserve"> </w:t>
      </w:r>
      <w:r>
        <w:rPr>
          <w:spacing w:val="6"/>
        </w:rPr>
        <w:t>2008).</w:t>
      </w:r>
    </w:p>
    <w:p w:rsidR="00D81F69" w:rsidRDefault="00330118">
      <w:pPr>
        <w:pStyle w:val="Corpodetexto"/>
        <w:spacing w:before="136" w:line="312" w:lineRule="auto"/>
        <w:ind w:right="77"/>
      </w:pPr>
      <w:r>
        <w:t>Segundo Bickel (2008 apud VILASBOAS, 2008), a contaminação das águas superficiais e subterrâneas é agravada pelo fato de o lixo atômico ficar em barris abertos, expostos às chuvas.</w:t>
      </w:r>
    </w:p>
    <w:p w:rsidR="00D81F69" w:rsidRDefault="00330118">
      <w:pPr>
        <w:pStyle w:val="Corpodetexto"/>
        <w:spacing w:before="134" w:line="312" w:lineRule="auto"/>
        <w:ind w:right="90"/>
      </w:pPr>
      <w:r>
        <w:t xml:space="preserve">De acordo com os moradores das comunidades que utilizam </w:t>
      </w:r>
      <w:r>
        <w:rPr>
          <w:spacing w:val="5"/>
        </w:rPr>
        <w:t xml:space="preserve">água das fontes </w:t>
      </w:r>
      <w:r>
        <w:rPr>
          <w:spacing w:val="6"/>
        </w:rPr>
        <w:t>ana</w:t>
      </w:r>
      <w:r>
        <w:rPr>
          <w:spacing w:val="6"/>
        </w:rPr>
        <w:t xml:space="preserve">lisadas, </w:t>
      </w:r>
      <w:r>
        <w:t xml:space="preserve">a </w:t>
      </w:r>
      <w:r>
        <w:rPr>
          <w:spacing w:val="5"/>
        </w:rPr>
        <w:t xml:space="preserve">INB colhe </w:t>
      </w:r>
      <w:r>
        <w:rPr>
          <w:spacing w:val="6"/>
        </w:rPr>
        <w:t xml:space="preserve">amostras </w:t>
      </w:r>
      <w:r>
        <w:rPr>
          <w:spacing w:val="7"/>
        </w:rPr>
        <w:t xml:space="preserve">em </w:t>
      </w:r>
      <w:r>
        <w:t xml:space="preserve">intervalos regulares para análises, mas as informações sobre a </w:t>
      </w:r>
      <w:r>
        <w:rPr>
          <w:spacing w:val="3"/>
        </w:rPr>
        <w:t xml:space="preserve">qualidade </w:t>
      </w:r>
      <w:r>
        <w:rPr>
          <w:spacing w:val="1"/>
        </w:rPr>
        <w:t xml:space="preserve">da </w:t>
      </w:r>
      <w:r>
        <w:rPr>
          <w:spacing w:val="2"/>
        </w:rPr>
        <w:t xml:space="preserve">água não são </w:t>
      </w:r>
      <w:r>
        <w:rPr>
          <w:spacing w:val="3"/>
        </w:rPr>
        <w:t xml:space="preserve">repassadas </w:t>
      </w:r>
      <w:r>
        <w:t xml:space="preserve">à </w:t>
      </w:r>
      <w:r>
        <w:rPr>
          <w:spacing w:val="3"/>
        </w:rPr>
        <w:t xml:space="preserve">população. </w:t>
      </w:r>
      <w:r>
        <w:t>O perigo de contaminação é iminente, uma vez que, liberado no meio ambiente, o urânio entra na cadeia alimenta</w:t>
      </w:r>
      <w:r>
        <w:t xml:space="preserve">r </w:t>
      </w:r>
      <w:r>
        <w:rPr>
          <w:spacing w:val="1"/>
        </w:rPr>
        <w:t xml:space="preserve">humana </w:t>
      </w:r>
      <w:r>
        <w:t>pelo consumo de água ou de alimentos contaminados, como leite e vegetais (LERER,</w:t>
      </w:r>
      <w:r>
        <w:rPr>
          <w:spacing w:val="32"/>
        </w:rPr>
        <w:t xml:space="preserve"> </w:t>
      </w:r>
      <w:r>
        <w:t>2008).</w:t>
      </w:r>
    </w:p>
    <w:p w:rsidR="00D81F69" w:rsidRDefault="00330118">
      <w:pPr>
        <w:pStyle w:val="Corpodetexto"/>
        <w:spacing w:before="137" w:line="312" w:lineRule="auto"/>
        <w:ind w:right="38"/>
      </w:pPr>
      <w:r>
        <w:t xml:space="preserve">O </w:t>
      </w:r>
      <w:r>
        <w:rPr>
          <w:spacing w:val="5"/>
        </w:rPr>
        <w:t xml:space="preserve">Instituto Brasileiro </w:t>
      </w:r>
      <w:r>
        <w:rPr>
          <w:spacing w:val="2"/>
        </w:rPr>
        <w:t xml:space="preserve">do </w:t>
      </w:r>
      <w:r>
        <w:rPr>
          <w:spacing w:val="3"/>
        </w:rPr>
        <w:t xml:space="preserve">Meio </w:t>
      </w:r>
      <w:r>
        <w:rPr>
          <w:spacing w:val="5"/>
        </w:rPr>
        <w:t xml:space="preserve">Ambiente </w:t>
      </w:r>
      <w:r>
        <w:t xml:space="preserve">e </w:t>
      </w:r>
      <w:r>
        <w:rPr>
          <w:spacing w:val="3"/>
        </w:rPr>
        <w:t xml:space="preserve">dos </w:t>
      </w:r>
      <w:r>
        <w:rPr>
          <w:spacing w:val="5"/>
        </w:rPr>
        <w:t xml:space="preserve">Recursos </w:t>
      </w:r>
      <w:r>
        <w:rPr>
          <w:spacing w:val="7"/>
        </w:rPr>
        <w:t xml:space="preserve">Naturais </w:t>
      </w:r>
      <w:r>
        <w:rPr>
          <w:spacing w:val="8"/>
        </w:rPr>
        <w:t xml:space="preserve">Renováveis </w:t>
      </w:r>
      <w:r>
        <w:rPr>
          <w:spacing w:val="7"/>
        </w:rPr>
        <w:t xml:space="preserve">(Ibama) autuou </w:t>
      </w:r>
      <w:r>
        <w:t xml:space="preserve">a </w:t>
      </w:r>
      <w:r>
        <w:rPr>
          <w:spacing w:val="5"/>
        </w:rPr>
        <w:t xml:space="preserve">INB em </w:t>
      </w:r>
      <w:r>
        <w:rPr>
          <w:spacing w:val="10"/>
        </w:rPr>
        <w:t xml:space="preserve">2009, </w:t>
      </w:r>
      <w:r>
        <w:t>alegando o descumprimento de um condicionante da Licen</w:t>
      </w:r>
      <w:r>
        <w:t xml:space="preserve">ça Ambiental que determina o imediato informe ao órgão no caso de qualquer acidente ocorrido no empreendimento. Segundo </w:t>
      </w:r>
      <w:r>
        <w:rPr>
          <w:spacing w:val="2"/>
        </w:rPr>
        <w:t xml:space="preserve">os </w:t>
      </w:r>
      <w:r>
        <w:rPr>
          <w:spacing w:val="5"/>
        </w:rPr>
        <w:t xml:space="preserve">técnicos </w:t>
      </w:r>
      <w:r>
        <w:rPr>
          <w:spacing w:val="2"/>
        </w:rPr>
        <w:t xml:space="preserve">do </w:t>
      </w:r>
      <w:r>
        <w:rPr>
          <w:spacing w:val="3"/>
        </w:rPr>
        <w:t xml:space="preserve">Ibama que </w:t>
      </w:r>
      <w:r>
        <w:rPr>
          <w:spacing w:val="5"/>
        </w:rPr>
        <w:t xml:space="preserve">vistoriaram </w:t>
      </w:r>
      <w:r>
        <w:t xml:space="preserve">a </w:t>
      </w:r>
      <w:r>
        <w:rPr>
          <w:spacing w:val="5"/>
        </w:rPr>
        <w:t xml:space="preserve">empresa, foram </w:t>
      </w:r>
      <w:r>
        <w:rPr>
          <w:spacing w:val="1"/>
        </w:rPr>
        <w:t xml:space="preserve">detectados vazamentos </w:t>
      </w:r>
      <w:r>
        <w:t xml:space="preserve">de um </w:t>
      </w:r>
      <w:r>
        <w:rPr>
          <w:spacing w:val="1"/>
        </w:rPr>
        <w:t xml:space="preserve">solvente orgânico </w:t>
      </w:r>
      <w:r>
        <w:rPr>
          <w:spacing w:val="2"/>
        </w:rPr>
        <w:t xml:space="preserve">contendo </w:t>
      </w:r>
      <w:r>
        <w:t>urânio, que transbordou dos</w:t>
      </w:r>
      <w:r>
        <w:t xml:space="preserve"> tanques de processamento para  a caixa de brita. Devido à chuva, esse material transbordou </w:t>
      </w:r>
      <w:r>
        <w:rPr>
          <w:spacing w:val="5"/>
        </w:rPr>
        <w:t xml:space="preserve">ainda para </w:t>
      </w:r>
      <w:r>
        <w:t xml:space="preserve">o </w:t>
      </w:r>
      <w:r>
        <w:rPr>
          <w:spacing w:val="5"/>
        </w:rPr>
        <w:t xml:space="preserve">sistema </w:t>
      </w:r>
      <w:r>
        <w:rPr>
          <w:spacing w:val="3"/>
        </w:rPr>
        <w:t xml:space="preserve">de </w:t>
      </w:r>
      <w:r>
        <w:rPr>
          <w:spacing w:val="6"/>
        </w:rPr>
        <w:t xml:space="preserve">drenagem </w:t>
      </w:r>
      <w:r>
        <w:rPr>
          <w:spacing w:val="5"/>
        </w:rPr>
        <w:t xml:space="preserve">das águas </w:t>
      </w:r>
      <w:r>
        <w:rPr>
          <w:spacing w:val="7"/>
        </w:rPr>
        <w:t xml:space="preserve">pluviais, </w:t>
      </w:r>
      <w:r>
        <w:t xml:space="preserve">atingindo a canaleta de drenagem que direciona a água para  a </w:t>
      </w:r>
      <w:r>
        <w:rPr>
          <w:spacing w:val="5"/>
        </w:rPr>
        <w:t xml:space="preserve">Barragem </w:t>
      </w:r>
      <w:r>
        <w:rPr>
          <w:spacing w:val="2"/>
        </w:rPr>
        <w:t xml:space="preserve">do </w:t>
      </w:r>
      <w:r>
        <w:rPr>
          <w:spacing w:val="5"/>
        </w:rPr>
        <w:t xml:space="preserve">Córrego </w:t>
      </w:r>
      <w:r>
        <w:rPr>
          <w:spacing w:val="2"/>
        </w:rPr>
        <w:t xml:space="preserve">do </w:t>
      </w:r>
      <w:r>
        <w:rPr>
          <w:spacing w:val="5"/>
        </w:rPr>
        <w:t xml:space="preserve">Engenho. </w:t>
      </w:r>
      <w:r>
        <w:rPr>
          <w:spacing w:val="3"/>
        </w:rPr>
        <w:t xml:space="preserve">Como </w:t>
      </w:r>
      <w:r>
        <w:rPr>
          <w:spacing w:val="5"/>
        </w:rPr>
        <w:t xml:space="preserve">resultado, </w:t>
      </w:r>
      <w:r>
        <w:t>o</w:t>
      </w:r>
      <w:r>
        <w:t xml:space="preserve"> Ibama constatou a contaminação de 15 m³ de material (terra e brita) retirado da caixa de brita, e 33 m³ de solo contaminado da canaleta de drenagem (TRIBUNA DA CONQUISTA,</w:t>
      </w:r>
      <w:r>
        <w:rPr>
          <w:spacing w:val="12"/>
        </w:rPr>
        <w:t xml:space="preserve"> </w:t>
      </w:r>
      <w:r>
        <w:t>2009).</w:t>
      </w:r>
    </w:p>
    <w:p w:rsidR="00D81F69" w:rsidRDefault="00330118">
      <w:pPr>
        <w:pStyle w:val="Corpodetexto"/>
        <w:spacing w:before="144" w:line="312" w:lineRule="auto"/>
        <w:ind w:right="92"/>
      </w:pPr>
      <w:r>
        <w:t>Em janeiro de 2010, o Ingá e a Secretaria de Saúde do Estado da Bahia notific</w:t>
      </w:r>
      <w:r>
        <w:t xml:space="preserve">aram a prefeitura de Caetité e a INB para suspenderem o consumo de água em três pontos da cidade. Segundo o instituto, nos locais foram detectadas radioatividade alfa e beta acima do permitido. A prefeitura foi intimada a suspender o uso imediatamente e a </w:t>
      </w:r>
      <w:r>
        <w:t>garantir o abastecimento alternativo de água para as famílias atingidas (SPIGLIATTI, 2010).</w:t>
      </w:r>
    </w:p>
    <w:p w:rsidR="00D81F69" w:rsidRDefault="00330118">
      <w:pPr>
        <w:pStyle w:val="Corpodetexto"/>
        <w:spacing w:before="138" w:line="312" w:lineRule="auto"/>
        <w:ind w:right="93"/>
      </w:pPr>
      <w:r>
        <w:t>Dos três pontos, apenas um é utilizado para abastecimento humano e apresentou radioatividade alfa acima do limite permitido: o poço da prefeitura no povoado de Barr</w:t>
      </w:r>
      <w:r>
        <w:t>eiro, da zona rural de Caetité, que leva água para 15 famílias desde 2007 (SPIGLIATTI, 2010).</w:t>
      </w:r>
    </w:p>
    <w:p w:rsidR="00D81F69" w:rsidRDefault="00330118">
      <w:pPr>
        <w:pStyle w:val="Corpodetexto"/>
        <w:spacing w:before="71" w:line="270" w:lineRule="atLeast"/>
        <w:ind w:right="92"/>
      </w:pPr>
      <w:r>
        <w:t xml:space="preserve">Do total de 50 poços que ficam na área da mina de extração de urânio da INB, seis poços e mananciais superficiais de três municípios vizinhos à mina apresentaram </w:t>
      </w:r>
      <w:r>
        <w:t>radioatividade acima do permitido, e o consumo de água dessas fontes foi suspenso no começo de dezembro de 2009, após o recebimento dos resultados da análise de coleta de amostra de água realizada pelo Ingá na região de Caetité. Os outros</w:t>
      </w:r>
    </w:p>
    <w:p w:rsidR="00D81F69" w:rsidRDefault="00330118">
      <w:pPr>
        <w:pStyle w:val="Corpodetexto"/>
        <w:spacing w:before="81" w:line="312" w:lineRule="auto"/>
        <w:ind w:right="203"/>
      </w:pPr>
      <w:r>
        <w:br w:type="column"/>
      </w:r>
      <w:r>
        <w:lastRenderedPageBreak/>
        <w:t>dois pontos onde</w:t>
      </w:r>
      <w:r>
        <w:t xml:space="preserve"> foi detectada radioatividade estão localizados dentro do pátio da INB, onde a água é utilizada para fins industriais (SPIGLIATTI, 2010).</w:t>
      </w:r>
    </w:p>
    <w:p w:rsidR="00D81F69" w:rsidRDefault="00330118">
      <w:pPr>
        <w:pStyle w:val="Corpodetexto"/>
        <w:spacing w:before="133" w:line="312" w:lineRule="auto"/>
        <w:ind w:right="206"/>
      </w:pPr>
      <w:r>
        <w:t>Segundo o Ingá, o Ibama será comunicado destes resultados para que tome providências em relação ao licenciamento ambiental da INB, que poderá ser suspenso (PORTAL ECODEBATE, 2010). Enquanto isso, sem água, a população de Caetité violou os poços lacrados pe</w:t>
      </w:r>
      <w:r>
        <w:t>lo Ingá e vem consumindo água contaminada (CELESTINO, 2010).</w:t>
      </w:r>
    </w:p>
    <w:p w:rsidR="00D81F69" w:rsidRDefault="00330118">
      <w:pPr>
        <w:pStyle w:val="Corpodetexto"/>
        <w:spacing w:before="135" w:line="312" w:lineRule="auto"/>
        <w:ind w:right="215"/>
      </w:pPr>
      <w:r>
        <w:t>Em dezembro de 2010, no portal de notícias da INB, há uma nota afirmando que o Ingá concluiu serem normais os teores de urânio na água dos poços e recomendou à prefeitura a liberação dos poços até então interditados (INB, 2010).</w:t>
      </w:r>
    </w:p>
    <w:p w:rsidR="00D81F69" w:rsidRDefault="00D81F69">
      <w:pPr>
        <w:pStyle w:val="Corpodetexto"/>
        <w:spacing w:before="3"/>
        <w:ind w:left="0"/>
        <w:jc w:val="left"/>
        <w:rPr>
          <w:sz w:val="21"/>
        </w:rPr>
      </w:pPr>
    </w:p>
    <w:p w:rsidR="00D81F69" w:rsidRDefault="00330118">
      <w:pPr>
        <w:pStyle w:val="Heading7"/>
        <w:spacing w:before="1"/>
      </w:pPr>
      <w:r>
        <w:t>LOCALIZAÇÃO GEOGRÁFICA</w:t>
      </w:r>
    </w:p>
    <w:p w:rsidR="00D81F69" w:rsidRDefault="00330118">
      <w:pPr>
        <w:pStyle w:val="Corpodetexto"/>
        <w:spacing w:before="178" w:line="312" w:lineRule="auto"/>
        <w:ind w:right="194"/>
      </w:pPr>
      <w:r>
        <w:t>O m</w:t>
      </w:r>
      <w:r>
        <w:t xml:space="preserve">unicípio de Caetité possui uma mina de urânio, Fazenda </w:t>
      </w:r>
      <w:r>
        <w:rPr>
          <w:spacing w:val="10"/>
        </w:rPr>
        <w:t xml:space="preserve">Cachoeira, localizada </w:t>
      </w:r>
      <w:r>
        <w:rPr>
          <w:spacing w:val="5"/>
        </w:rPr>
        <w:t xml:space="preserve">na </w:t>
      </w:r>
      <w:r>
        <w:rPr>
          <w:spacing w:val="10"/>
        </w:rPr>
        <w:t xml:space="preserve">sub-bacia </w:t>
      </w:r>
      <w:r>
        <w:rPr>
          <w:spacing w:val="5"/>
        </w:rPr>
        <w:t xml:space="preserve">do </w:t>
      </w:r>
      <w:r>
        <w:rPr>
          <w:spacing w:val="7"/>
        </w:rPr>
        <w:t xml:space="preserve">rio </w:t>
      </w:r>
      <w:r>
        <w:rPr>
          <w:spacing w:val="12"/>
        </w:rPr>
        <w:t xml:space="preserve">Brumado </w:t>
      </w:r>
      <w:r>
        <w:t xml:space="preserve">pertencente à bacia do rio de Contas, que deságua no mar, </w:t>
      </w:r>
      <w:r>
        <w:rPr>
          <w:spacing w:val="1"/>
        </w:rPr>
        <w:t xml:space="preserve">além </w:t>
      </w:r>
      <w:r>
        <w:t xml:space="preserve">de </w:t>
      </w:r>
      <w:r>
        <w:rPr>
          <w:spacing w:val="1"/>
        </w:rPr>
        <w:t xml:space="preserve">outras ocorrências minerais. </w:t>
      </w:r>
      <w:r>
        <w:t xml:space="preserve">A </w:t>
      </w:r>
      <w:r>
        <w:rPr>
          <w:spacing w:val="1"/>
        </w:rPr>
        <w:t xml:space="preserve">mina </w:t>
      </w:r>
      <w:r>
        <w:t xml:space="preserve">é </w:t>
      </w:r>
      <w:r>
        <w:rPr>
          <w:spacing w:val="2"/>
        </w:rPr>
        <w:t xml:space="preserve">encontrada </w:t>
      </w:r>
      <w:r>
        <w:rPr>
          <w:spacing w:val="3"/>
        </w:rPr>
        <w:t xml:space="preserve">entre </w:t>
      </w:r>
      <w:r>
        <w:rPr>
          <w:spacing w:val="2"/>
        </w:rPr>
        <w:t xml:space="preserve">as </w:t>
      </w:r>
      <w:r>
        <w:rPr>
          <w:spacing w:val="5"/>
        </w:rPr>
        <w:t xml:space="preserve">latitudes 13°52’20”S </w:t>
      </w:r>
      <w:r>
        <w:t xml:space="preserve">– </w:t>
      </w:r>
      <w:r>
        <w:rPr>
          <w:spacing w:val="5"/>
        </w:rPr>
        <w:t>13°4</w:t>
      </w:r>
      <w:r>
        <w:rPr>
          <w:spacing w:val="5"/>
        </w:rPr>
        <w:t xml:space="preserve">8’15”S </w:t>
      </w:r>
      <w:r>
        <w:t xml:space="preserve">e </w:t>
      </w:r>
      <w:r>
        <w:rPr>
          <w:spacing w:val="5"/>
        </w:rPr>
        <w:t>longitudes</w:t>
      </w:r>
      <w:r>
        <w:rPr>
          <w:spacing w:val="61"/>
        </w:rPr>
        <w:t xml:space="preserve"> </w:t>
      </w:r>
      <w:r>
        <w:rPr>
          <w:spacing w:val="5"/>
        </w:rPr>
        <w:t xml:space="preserve">42°16’30”W </w:t>
      </w:r>
      <w:r>
        <w:t xml:space="preserve">– </w:t>
      </w:r>
      <w:r>
        <w:rPr>
          <w:spacing w:val="5"/>
        </w:rPr>
        <w:t>42°19’30”W.</w:t>
      </w:r>
    </w:p>
    <w:p w:rsidR="00D81F69" w:rsidRDefault="00D81F69">
      <w:pPr>
        <w:pStyle w:val="Corpodetexto"/>
        <w:spacing w:before="4"/>
        <w:ind w:left="0"/>
        <w:jc w:val="left"/>
        <w:rPr>
          <w:sz w:val="29"/>
        </w:rPr>
      </w:pPr>
    </w:p>
    <w:p w:rsidR="00D81F69" w:rsidRDefault="00330118">
      <w:pPr>
        <w:pStyle w:val="Heading7"/>
      </w:pPr>
      <w:r>
        <w:t>REDATORES</w:t>
      </w:r>
    </w:p>
    <w:p w:rsidR="00D81F69" w:rsidRDefault="00330118">
      <w:pPr>
        <w:pStyle w:val="Corpodetexto"/>
        <w:spacing w:before="178"/>
      </w:pPr>
      <w:r>
        <w:t>Renata Olivieri; Eliane Araujo</w:t>
      </w:r>
    </w:p>
    <w:p w:rsidR="00D81F69" w:rsidRDefault="00D81F69">
      <w:pPr>
        <w:pStyle w:val="Corpodetexto"/>
        <w:ind w:left="0"/>
        <w:jc w:val="left"/>
        <w:rPr>
          <w:sz w:val="20"/>
        </w:rPr>
      </w:pPr>
    </w:p>
    <w:p w:rsidR="00D81F69" w:rsidRDefault="00330118">
      <w:pPr>
        <w:pStyle w:val="Heading7"/>
        <w:spacing w:before="165"/>
      </w:pPr>
      <w:r>
        <w:t>REFERÊNCIAS BIBLIOGRÁFICAS</w:t>
      </w:r>
    </w:p>
    <w:p w:rsidR="00D81F69" w:rsidRDefault="00330118">
      <w:pPr>
        <w:spacing w:before="187" w:line="312" w:lineRule="auto"/>
        <w:ind w:left="100" w:right="198"/>
        <w:jc w:val="both"/>
        <w:rPr>
          <w:sz w:val="16"/>
        </w:rPr>
      </w:pPr>
      <w:r>
        <w:rPr>
          <w:sz w:val="16"/>
        </w:rPr>
        <w:t>CELESTINO, Samuel. Caetité: População consome água contaminada. Bahia Notícias, Salvador, 14 fev. 2010. Disponível em:</w:t>
      </w:r>
    </w:p>
    <w:p w:rsidR="00D81F69" w:rsidRDefault="00D81F69">
      <w:pPr>
        <w:spacing w:before="2" w:line="312" w:lineRule="auto"/>
        <w:ind w:left="100" w:right="212"/>
        <w:jc w:val="both"/>
        <w:rPr>
          <w:sz w:val="16"/>
        </w:rPr>
      </w:pPr>
      <w:hyperlink r:id="rId713">
        <w:r w:rsidR="00330118">
          <w:rPr>
            <w:sz w:val="16"/>
          </w:rPr>
          <w:t>&lt;www.bahianoticias.com.br/.../57059,caetite-populacao-consome-</w:t>
        </w:r>
      </w:hyperlink>
      <w:r w:rsidR="00330118">
        <w:rPr>
          <w:sz w:val="16"/>
        </w:rPr>
        <w:t xml:space="preserve"> agua-contaminada.html&gt;. Acesso em: 23 mar. 2010.</w:t>
      </w:r>
    </w:p>
    <w:p w:rsidR="00D81F69" w:rsidRDefault="00330118">
      <w:pPr>
        <w:spacing w:before="2"/>
        <w:ind w:left="100"/>
        <w:jc w:val="both"/>
        <w:rPr>
          <w:sz w:val="16"/>
        </w:rPr>
      </w:pPr>
      <w:r>
        <w:rPr>
          <w:sz w:val="16"/>
        </w:rPr>
        <w:t>INDÚSTRIAS NUCLEARES DO BRASIL. Águas de Caetité –</w:t>
      </w:r>
    </w:p>
    <w:p w:rsidR="00D81F69" w:rsidRDefault="00330118">
      <w:pPr>
        <w:tabs>
          <w:tab w:val="left" w:pos="4331"/>
        </w:tabs>
        <w:spacing w:before="56" w:line="312" w:lineRule="auto"/>
        <w:ind w:left="100" w:right="189"/>
        <w:jc w:val="both"/>
        <w:rPr>
          <w:sz w:val="16"/>
        </w:rPr>
      </w:pPr>
      <w:r>
        <w:rPr>
          <w:spacing w:val="7"/>
          <w:sz w:val="16"/>
        </w:rPr>
        <w:t xml:space="preserve">Governo </w:t>
      </w:r>
      <w:r>
        <w:rPr>
          <w:spacing w:val="5"/>
          <w:sz w:val="16"/>
        </w:rPr>
        <w:t xml:space="preserve">da  </w:t>
      </w:r>
      <w:r>
        <w:rPr>
          <w:spacing w:val="7"/>
          <w:sz w:val="16"/>
        </w:rPr>
        <w:t>Bahia libera po</w:t>
      </w:r>
      <w:r>
        <w:rPr>
          <w:spacing w:val="7"/>
          <w:sz w:val="16"/>
        </w:rPr>
        <w:t xml:space="preserve">ços. </w:t>
      </w:r>
      <w:r>
        <w:rPr>
          <w:spacing w:val="5"/>
          <w:sz w:val="16"/>
        </w:rPr>
        <w:t xml:space="preserve">INB  </w:t>
      </w:r>
      <w:r>
        <w:rPr>
          <w:spacing w:val="7"/>
          <w:sz w:val="16"/>
        </w:rPr>
        <w:t xml:space="preserve">notícias, </w:t>
      </w:r>
      <w:r>
        <w:rPr>
          <w:spacing w:val="5"/>
          <w:sz w:val="16"/>
        </w:rPr>
        <w:t xml:space="preserve">12  </w:t>
      </w:r>
      <w:r>
        <w:rPr>
          <w:spacing w:val="6"/>
          <w:sz w:val="16"/>
        </w:rPr>
        <w:t xml:space="preserve">nov. </w:t>
      </w:r>
      <w:r>
        <w:rPr>
          <w:spacing w:val="10"/>
          <w:sz w:val="16"/>
        </w:rPr>
        <w:t xml:space="preserve">2010.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1" w:line="312" w:lineRule="auto"/>
        <w:ind w:left="100" w:right="195"/>
        <w:jc w:val="both"/>
        <w:rPr>
          <w:sz w:val="16"/>
        </w:rPr>
      </w:pPr>
      <w:hyperlink r:id="rId714">
        <w:r w:rsidR="00330118">
          <w:rPr>
            <w:sz w:val="16"/>
          </w:rPr>
          <w:t>&lt;http://www.inb.gov.br/inb/webforms/interna2.aspx?campo=1329&gt;.</w:t>
        </w:r>
      </w:hyperlink>
      <w:r w:rsidR="00330118">
        <w:rPr>
          <w:sz w:val="16"/>
        </w:rPr>
        <w:t xml:space="preserve"> Acesso em: 03 mar. 2011.</w:t>
      </w:r>
    </w:p>
    <w:p w:rsidR="00D81F69" w:rsidRDefault="00330118">
      <w:pPr>
        <w:spacing w:before="2" w:line="312" w:lineRule="auto"/>
        <w:ind w:left="100" w:right="194"/>
        <w:jc w:val="both"/>
        <w:rPr>
          <w:sz w:val="16"/>
        </w:rPr>
      </w:pPr>
      <w:r>
        <w:rPr>
          <w:sz w:val="16"/>
        </w:rPr>
        <w:t>LAMEGO, Francisco Fernando S. Filho; FERNANDES, Horst Monken; FLEXOR, Jean-Marie; FONTES, Sergio L.; PEREIRA, Saulo R. Filho; NASCIMENTO, Flávia M. F. Impactos de mineração e sustentabilidade no Semi-árido. Estudo de Caso: Unidade</w:t>
      </w:r>
      <w:r>
        <w:rPr>
          <w:sz w:val="16"/>
        </w:rPr>
        <w:t xml:space="preserve"> de Concentração de Urânico – URA (Caetité, BA). Comunicação Técnica elaborada para o XV Simpósio Brasileiro de Recursos Hídricos, 2003, Curitiba. Porto Alegre: ABRH, 2003. 18p. Cetem. Disponível em:</w:t>
      </w:r>
    </w:p>
    <w:p w:rsidR="00D81F69" w:rsidRDefault="00D81F69">
      <w:pPr>
        <w:spacing w:before="6" w:line="312" w:lineRule="auto"/>
        <w:ind w:left="100" w:right="192"/>
        <w:jc w:val="both"/>
        <w:rPr>
          <w:sz w:val="16"/>
        </w:rPr>
      </w:pPr>
      <w:hyperlink r:id="rId715">
        <w:r w:rsidR="00330118">
          <w:rPr>
            <w:sz w:val="16"/>
          </w:rPr>
          <w:t>&lt;http://www.cetem.gov.br/publicacao/CTs/CT2003-137-00.pdf.&gt;.</w:t>
        </w:r>
      </w:hyperlink>
      <w:r w:rsidR="00330118">
        <w:rPr>
          <w:sz w:val="16"/>
        </w:rPr>
        <w:t xml:space="preserve"> Acesso em: 22 mar. 2010.</w:t>
      </w:r>
    </w:p>
    <w:p w:rsidR="00D81F69" w:rsidRDefault="00330118">
      <w:pPr>
        <w:spacing w:before="1" w:line="312" w:lineRule="auto"/>
        <w:ind w:left="100" w:right="188"/>
        <w:jc w:val="both"/>
        <w:rPr>
          <w:sz w:val="16"/>
        </w:rPr>
      </w:pPr>
      <w:r>
        <w:rPr>
          <w:sz w:val="16"/>
        </w:rPr>
        <w:t>LERER, Rebeca. Ciclo do perigo: impactos da produção de combustível nuclear no Brasil. Denúncia: contaminação da água por urânio em Caetité. Greenpeace,</w:t>
      </w:r>
      <w:r>
        <w:rPr>
          <w:sz w:val="16"/>
        </w:rPr>
        <w:t xml:space="preserve"> out. 2008. Disponível em:</w:t>
      </w:r>
    </w:p>
    <w:p w:rsidR="00D81F69" w:rsidRDefault="00D81F69">
      <w:pPr>
        <w:spacing w:before="3" w:line="312" w:lineRule="auto"/>
        <w:ind w:left="100" w:right="210"/>
        <w:jc w:val="both"/>
        <w:rPr>
          <w:sz w:val="16"/>
        </w:rPr>
      </w:pPr>
      <w:hyperlink r:id="rId716">
        <w:r w:rsidR="00330118">
          <w:rPr>
            <w:sz w:val="16"/>
          </w:rPr>
          <w:t>&lt;http://www.greenpeace.org/brasil/documentos/nuclear/ciclo-do-</w:t>
        </w:r>
      </w:hyperlink>
      <w:r w:rsidR="00330118">
        <w:rPr>
          <w:sz w:val="16"/>
        </w:rPr>
        <w:t xml:space="preserve"> perigo&gt;. Acesso em: 23 mar. 2010.</w:t>
      </w:r>
    </w:p>
    <w:p w:rsidR="00D81F69" w:rsidRDefault="00330118">
      <w:pPr>
        <w:tabs>
          <w:tab w:val="left" w:pos="1250"/>
          <w:tab w:val="left" w:pos="3162"/>
          <w:tab w:val="left" w:pos="4013"/>
        </w:tabs>
        <w:spacing w:before="1" w:line="312" w:lineRule="auto"/>
        <w:ind w:left="100" w:right="159"/>
        <w:rPr>
          <w:sz w:val="16"/>
        </w:rPr>
      </w:pPr>
      <w:r>
        <w:rPr>
          <w:sz w:val="16"/>
        </w:rPr>
        <w:t>LIMA, Hernani Mota de; COSTA, Flávio Luiz Costa. Plan</w:t>
      </w:r>
      <w:r>
        <w:rPr>
          <w:sz w:val="16"/>
        </w:rPr>
        <w:t xml:space="preserve">o conceitual de fechamento para a unidade de concentrado de urânio da INB em Caetité, Bahia. Rev. Esc. Minas vol. 59 n. 4, Ouro Preto Out./Dez.       </w:t>
      </w:r>
      <w:r>
        <w:rPr>
          <w:spacing w:val="36"/>
          <w:sz w:val="16"/>
        </w:rPr>
        <w:t>2</w:t>
      </w:r>
      <w:r>
        <w:rPr>
          <w:sz w:val="16"/>
        </w:rPr>
        <w:t xml:space="preserve"> </w:t>
      </w:r>
      <w:r>
        <w:rPr>
          <w:spacing w:val="36"/>
          <w:sz w:val="16"/>
        </w:rPr>
        <w:t>0</w:t>
      </w:r>
      <w:r>
        <w:rPr>
          <w:sz w:val="16"/>
        </w:rPr>
        <w:t xml:space="preserve"> </w:t>
      </w:r>
      <w:r>
        <w:rPr>
          <w:spacing w:val="36"/>
          <w:sz w:val="16"/>
        </w:rPr>
        <w:t>0</w:t>
      </w:r>
      <w:r>
        <w:rPr>
          <w:sz w:val="16"/>
        </w:rPr>
        <w:t xml:space="preserve"> </w:t>
      </w:r>
      <w:r>
        <w:rPr>
          <w:spacing w:val="36"/>
          <w:sz w:val="16"/>
        </w:rPr>
        <w:t>6</w:t>
      </w:r>
      <w:r>
        <w:rPr>
          <w:sz w:val="16"/>
        </w:rPr>
        <w:t xml:space="preserve"> .</w:t>
      </w:r>
      <w:r>
        <w:rPr>
          <w:sz w:val="16"/>
        </w:rPr>
        <w:tab/>
      </w:r>
      <w:r>
        <w:rPr>
          <w:spacing w:val="36"/>
          <w:sz w:val="16"/>
        </w:rPr>
        <w:t>D</w:t>
      </w:r>
      <w:r>
        <w:rPr>
          <w:sz w:val="16"/>
        </w:rPr>
        <w:t xml:space="preserve"> </w:t>
      </w:r>
      <w:r>
        <w:rPr>
          <w:spacing w:val="36"/>
          <w:sz w:val="16"/>
        </w:rPr>
        <w:t>i</w:t>
      </w:r>
      <w:r>
        <w:rPr>
          <w:sz w:val="16"/>
        </w:rPr>
        <w:t xml:space="preserve"> </w:t>
      </w:r>
      <w:r>
        <w:rPr>
          <w:spacing w:val="36"/>
          <w:sz w:val="16"/>
        </w:rPr>
        <w:t>s</w:t>
      </w:r>
      <w:r>
        <w:rPr>
          <w:sz w:val="16"/>
        </w:rPr>
        <w:t xml:space="preserve"> </w:t>
      </w:r>
      <w:r>
        <w:rPr>
          <w:spacing w:val="36"/>
          <w:sz w:val="16"/>
        </w:rPr>
        <w:t>p</w:t>
      </w:r>
      <w:r>
        <w:rPr>
          <w:sz w:val="16"/>
        </w:rPr>
        <w:t xml:space="preserve"> </w:t>
      </w:r>
      <w:r>
        <w:rPr>
          <w:spacing w:val="36"/>
          <w:sz w:val="16"/>
        </w:rPr>
        <w:t>o</w:t>
      </w:r>
      <w:r>
        <w:rPr>
          <w:sz w:val="16"/>
        </w:rPr>
        <w:t xml:space="preserve"> </w:t>
      </w:r>
      <w:r>
        <w:rPr>
          <w:spacing w:val="36"/>
          <w:sz w:val="16"/>
        </w:rPr>
        <w:t>n</w:t>
      </w:r>
      <w:r>
        <w:rPr>
          <w:sz w:val="16"/>
        </w:rPr>
        <w:t xml:space="preserve"> </w:t>
      </w:r>
      <w:r>
        <w:rPr>
          <w:spacing w:val="36"/>
          <w:sz w:val="16"/>
        </w:rPr>
        <w:t>í</w:t>
      </w:r>
      <w:r>
        <w:rPr>
          <w:sz w:val="16"/>
        </w:rPr>
        <w:t xml:space="preserve"> </w:t>
      </w:r>
      <w:r>
        <w:rPr>
          <w:spacing w:val="36"/>
          <w:sz w:val="16"/>
        </w:rPr>
        <w:t>v</w:t>
      </w:r>
      <w:r>
        <w:rPr>
          <w:sz w:val="16"/>
        </w:rPr>
        <w:t xml:space="preserve"> </w:t>
      </w:r>
      <w:r>
        <w:rPr>
          <w:spacing w:val="36"/>
          <w:sz w:val="16"/>
        </w:rPr>
        <w:t>e</w:t>
      </w:r>
      <w:r>
        <w:rPr>
          <w:sz w:val="16"/>
        </w:rPr>
        <w:t xml:space="preserve"> l</w:t>
      </w:r>
      <w:r>
        <w:rPr>
          <w:sz w:val="16"/>
        </w:rPr>
        <w:tab/>
      </w:r>
      <w:r>
        <w:rPr>
          <w:spacing w:val="36"/>
          <w:sz w:val="16"/>
        </w:rPr>
        <w:t>e</w:t>
      </w:r>
      <w:r>
        <w:rPr>
          <w:sz w:val="16"/>
        </w:rPr>
        <w:t xml:space="preserve"> </w:t>
      </w:r>
      <w:r>
        <w:rPr>
          <w:spacing w:val="36"/>
          <w:sz w:val="16"/>
        </w:rPr>
        <w:t>m</w:t>
      </w:r>
      <w:r>
        <w:rPr>
          <w:sz w:val="16"/>
        </w:rPr>
        <w:t xml:space="preserve"> :</w:t>
      </w:r>
      <w:r>
        <w:rPr>
          <w:sz w:val="16"/>
        </w:rPr>
        <w:tab/>
      </w:r>
      <w:r>
        <w:rPr>
          <w:spacing w:val="36"/>
          <w:sz w:val="16"/>
        </w:rPr>
        <w:t>&lt;</w:t>
      </w:r>
      <w:r>
        <w:rPr>
          <w:sz w:val="16"/>
        </w:rPr>
        <w:t xml:space="preserve"> </w:t>
      </w:r>
      <w:r>
        <w:rPr>
          <w:spacing w:val="36"/>
          <w:sz w:val="16"/>
        </w:rPr>
        <w:t>h</w:t>
      </w:r>
      <w:r>
        <w:rPr>
          <w:sz w:val="16"/>
        </w:rPr>
        <w:t xml:space="preserve"> </w:t>
      </w:r>
      <w:r>
        <w:rPr>
          <w:spacing w:val="36"/>
          <w:sz w:val="16"/>
        </w:rPr>
        <w:t>t</w:t>
      </w:r>
      <w:r>
        <w:rPr>
          <w:sz w:val="16"/>
        </w:rPr>
        <w:t xml:space="preserve"> </w:t>
      </w:r>
      <w:r>
        <w:rPr>
          <w:spacing w:val="36"/>
          <w:sz w:val="16"/>
        </w:rPr>
        <w:t>t</w:t>
      </w:r>
      <w:r>
        <w:rPr>
          <w:sz w:val="16"/>
        </w:rPr>
        <w:t xml:space="preserve"> </w:t>
      </w:r>
      <w:r>
        <w:rPr>
          <w:spacing w:val="36"/>
          <w:sz w:val="16"/>
        </w:rPr>
        <w:t>p</w:t>
      </w:r>
      <w:r>
        <w:rPr>
          <w:sz w:val="16"/>
        </w:rPr>
        <w:t xml:space="preserve"> </w:t>
      </w:r>
      <w:r>
        <w:rPr>
          <w:spacing w:val="36"/>
          <w:sz w:val="16"/>
        </w:rPr>
        <w:t>:</w:t>
      </w:r>
      <w:r>
        <w:rPr>
          <w:sz w:val="16"/>
        </w:rPr>
        <w:t xml:space="preserve"> </w:t>
      </w:r>
      <w:r>
        <w:rPr>
          <w:spacing w:val="36"/>
          <w:sz w:val="16"/>
        </w:rPr>
        <w:t>/</w:t>
      </w:r>
      <w:r>
        <w:rPr>
          <w:sz w:val="16"/>
        </w:rPr>
        <w:t xml:space="preserve"> / </w:t>
      </w:r>
      <w:hyperlink r:id="rId717">
        <w:r>
          <w:rPr>
            <w:sz w:val="16"/>
          </w:rPr>
          <w:t xml:space="preserve">www.scielo.br/scielo.php?pid=S0370...script...&gt;. </w:t>
        </w:r>
      </w:hyperlink>
      <w:r>
        <w:rPr>
          <w:sz w:val="16"/>
        </w:rPr>
        <w:t>Acesso em: 23 mar. 2010.</w:t>
      </w:r>
    </w:p>
    <w:p w:rsidR="00D81F69" w:rsidRDefault="00330118">
      <w:pPr>
        <w:spacing w:before="5" w:line="312" w:lineRule="auto"/>
        <w:ind w:left="100" w:right="196"/>
        <w:jc w:val="both"/>
        <w:rPr>
          <w:sz w:val="16"/>
        </w:rPr>
      </w:pPr>
      <w:r>
        <w:rPr>
          <w:sz w:val="16"/>
        </w:rPr>
        <w:t>PORTAL ECODEBATE. Caetité, BA: Radioatividade suspende coleta de água em três pontos de captação, 23 jan. 2010. Disponível em:</w:t>
      </w:r>
    </w:p>
    <w:p w:rsidR="00D81F69" w:rsidRDefault="00D81F69">
      <w:pPr>
        <w:spacing w:line="312" w:lineRule="auto"/>
        <w:jc w:val="both"/>
        <w:rPr>
          <w:sz w:val="16"/>
        </w:rPr>
        <w:sectPr w:rsidR="00D81F69">
          <w:pgSz w:w="11900" w:h="16840"/>
          <w:pgMar w:top="740" w:right="500" w:bottom="640" w:left="620" w:header="0" w:footer="402" w:gutter="0"/>
          <w:cols w:num="2" w:space="720" w:equalWidth="0">
            <w:col w:w="5193" w:space="277"/>
            <w:col w:w="5310"/>
          </w:cols>
        </w:sectPr>
      </w:pPr>
    </w:p>
    <w:p w:rsidR="00D81F69" w:rsidRDefault="00D81F69">
      <w:pPr>
        <w:spacing w:before="70" w:line="312" w:lineRule="auto"/>
        <w:ind w:left="100" w:right="69"/>
        <w:jc w:val="both"/>
        <w:rPr>
          <w:sz w:val="16"/>
        </w:rPr>
      </w:pPr>
      <w:hyperlink r:id="rId718">
        <w:r w:rsidR="00330118">
          <w:rPr>
            <w:sz w:val="16"/>
          </w:rPr>
          <w:t>&lt;http://www.ecodebate.com.br/2010/01/23/caetite-ba-radioatividade-</w:t>
        </w:r>
      </w:hyperlink>
      <w:r w:rsidR="00330118">
        <w:rPr>
          <w:sz w:val="16"/>
        </w:rPr>
        <w:t xml:space="preserve"> suspende-da-coleta-de-agua-em-tres-pontos-de-captacao/&gt;. Acesso em: 30 mar. 2010.</w:t>
      </w:r>
    </w:p>
    <w:p w:rsidR="00D81F69" w:rsidRDefault="00330118">
      <w:pPr>
        <w:tabs>
          <w:tab w:val="left" w:pos="4331"/>
        </w:tabs>
        <w:spacing w:before="2" w:line="312" w:lineRule="auto"/>
        <w:ind w:left="100" w:right="52"/>
        <w:jc w:val="both"/>
        <w:rPr>
          <w:sz w:val="16"/>
        </w:rPr>
      </w:pPr>
      <w:r>
        <w:rPr>
          <w:sz w:val="16"/>
        </w:rPr>
        <w:t xml:space="preserve">PRADO, Geórgia Reis. Estudo de contaminação ambiental por urânio </w:t>
      </w:r>
      <w:r>
        <w:rPr>
          <w:spacing w:val="2"/>
          <w:sz w:val="16"/>
        </w:rPr>
        <w:t xml:space="preserve">no </w:t>
      </w:r>
      <w:r>
        <w:rPr>
          <w:spacing w:val="5"/>
          <w:sz w:val="16"/>
        </w:rPr>
        <w:t xml:space="preserve">município </w:t>
      </w:r>
      <w:r>
        <w:rPr>
          <w:spacing w:val="2"/>
          <w:sz w:val="16"/>
        </w:rPr>
        <w:t xml:space="preserve">de </w:t>
      </w:r>
      <w:r>
        <w:rPr>
          <w:spacing w:val="5"/>
          <w:sz w:val="16"/>
        </w:rPr>
        <w:t xml:space="preserve">Caetité-Ba, utilizando dentes humanos </w:t>
      </w:r>
      <w:r>
        <w:rPr>
          <w:spacing w:val="6"/>
          <w:sz w:val="16"/>
        </w:rPr>
        <w:t xml:space="preserve">como </w:t>
      </w:r>
      <w:r>
        <w:rPr>
          <w:spacing w:val="1"/>
          <w:sz w:val="16"/>
        </w:rPr>
        <w:t xml:space="preserve">bioindicadores. 2007. Dissertação (Mestrado), Programa </w:t>
      </w:r>
      <w:r>
        <w:rPr>
          <w:sz w:val="16"/>
        </w:rPr>
        <w:t xml:space="preserve">de </w:t>
      </w:r>
      <w:r>
        <w:rPr>
          <w:spacing w:val="2"/>
          <w:sz w:val="16"/>
        </w:rPr>
        <w:t xml:space="preserve">Pós- </w:t>
      </w:r>
      <w:r>
        <w:rPr>
          <w:spacing w:val="7"/>
          <w:sz w:val="16"/>
        </w:rPr>
        <w:t xml:space="preserve">Graduação </w:t>
      </w:r>
      <w:r>
        <w:rPr>
          <w:spacing w:val="5"/>
          <w:sz w:val="16"/>
        </w:rPr>
        <w:t xml:space="preserve">em </w:t>
      </w:r>
      <w:r>
        <w:rPr>
          <w:spacing w:val="8"/>
          <w:sz w:val="16"/>
        </w:rPr>
        <w:t xml:space="preserve">Desenvolvimento </w:t>
      </w:r>
      <w:r>
        <w:rPr>
          <w:spacing w:val="7"/>
          <w:sz w:val="16"/>
        </w:rPr>
        <w:t xml:space="preserve">Regional </w:t>
      </w:r>
      <w:r>
        <w:rPr>
          <w:sz w:val="16"/>
        </w:rPr>
        <w:t xml:space="preserve">e </w:t>
      </w:r>
      <w:r>
        <w:rPr>
          <w:spacing w:val="6"/>
          <w:sz w:val="16"/>
        </w:rPr>
        <w:t xml:space="preserve">Meio </w:t>
      </w:r>
      <w:r>
        <w:rPr>
          <w:spacing w:val="10"/>
          <w:sz w:val="16"/>
        </w:rPr>
        <w:t xml:space="preserve">Ambiente </w:t>
      </w:r>
      <w:r>
        <w:rPr>
          <w:sz w:val="16"/>
        </w:rPr>
        <w:t xml:space="preserve">(PRODEMA), Universidade Estadual de Santa Cruz, Ilhéus-BA, 182f.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5" w:line="312" w:lineRule="auto"/>
        <w:ind w:left="100" w:right="70"/>
        <w:jc w:val="both"/>
        <w:rPr>
          <w:sz w:val="16"/>
        </w:rPr>
      </w:pPr>
      <w:hyperlink r:id="rId719">
        <w:r w:rsidR="00330118">
          <w:rPr>
            <w:sz w:val="16"/>
          </w:rPr>
          <w:t>&lt;http://www.uesc.br/cursos/pos_graduacao/me</w:t>
        </w:r>
        <w:r w:rsidR="00330118">
          <w:rPr>
            <w:sz w:val="16"/>
          </w:rPr>
          <w:t>strado/mdrma/disserta</w:t>
        </w:r>
      </w:hyperlink>
      <w:r w:rsidR="00330118">
        <w:rPr>
          <w:sz w:val="16"/>
        </w:rPr>
        <w:t xml:space="preserve"> coes/georgiareisprado.rtf&gt;. Acesso em: 22 mar. 2010.</w:t>
      </w:r>
    </w:p>
    <w:p w:rsidR="00D81F69" w:rsidRDefault="00330118">
      <w:pPr>
        <w:spacing w:before="2" w:line="312" w:lineRule="auto"/>
        <w:ind w:left="100" w:right="38"/>
        <w:jc w:val="both"/>
        <w:rPr>
          <w:sz w:val="16"/>
        </w:rPr>
      </w:pPr>
      <w:r>
        <w:rPr>
          <w:sz w:val="16"/>
        </w:rPr>
        <w:t xml:space="preserve">SPIGLIATTI, Solange. Radioatividade faz Caetité suspender consumo de água. Agencia Estado, São Paulo, 22 jan. 2010. </w:t>
      </w:r>
    </w:p>
    <w:p w:rsidR="00D81F69" w:rsidRDefault="00D81F69">
      <w:pPr>
        <w:spacing w:before="1"/>
        <w:ind w:left="100"/>
        <w:jc w:val="both"/>
        <w:rPr>
          <w:sz w:val="16"/>
        </w:rPr>
      </w:pPr>
      <w:hyperlink r:id="rId720">
        <w:r w:rsidR="00330118">
          <w:rPr>
            <w:sz w:val="16"/>
          </w:rPr>
          <w:t>&lt;http://www.estadao.com.br/noticias/geral,radioatividade-faz-caetite</w:t>
        </w:r>
      </w:hyperlink>
    </w:p>
    <w:p w:rsidR="00D81F69" w:rsidRDefault="00330118">
      <w:pPr>
        <w:spacing w:before="70" w:line="312" w:lineRule="auto"/>
        <w:ind w:left="100" w:right="196"/>
        <w:jc w:val="both"/>
        <w:rPr>
          <w:sz w:val="16"/>
        </w:rPr>
      </w:pPr>
      <w:r>
        <w:br w:type="column"/>
      </w:r>
      <w:r>
        <w:rPr>
          <w:sz w:val="16"/>
        </w:rPr>
        <w:lastRenderedPageBreak/>
        <w:t>-suspender-consumo-de-agua,499824,0.htm&gt;. Acesso em: 23 mar. 2010.</w:t>
      </w:r>
    </w:p>
    <w:p w:rsidR="00D81F69" w:rsidRDefault="00330118">
      <w:pPr>
        <w:tabs>
          <w:tab w:val="left" w:pos="4331"/>
        </w:tabs>
        <w:spacing w:before="1" w:line="312" w:lineRule="auto"/>
        <w:ind w:left="100" w:right="198"/>
        <w:jc w:val="both"/>
        <w:rPr>
          <w:sz w:val="16"/>
        </w:rPr>
      </w:pPr>
      <w:r>
        <w:rPr>
          <w:sz w:val="16"/>
        </w:rPr>
        <w:t>TRIBUNA DA CONQUISTA. Ibama autua empresa responsável por exploração de Urânio em Caetité. Vitór</w:t>
      </w:r>
      <w:r>
        <w:rPr>
          <w:sz w:val="16"/>
        </w:rPr>
        <w:t xml:space="preserve">ia da Conquista, 20 nov. 2009.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line="312" w:lineRule="auto"/>
        <w:ind w:left="100" w:right="214"/>
        <w:jc w:val="both"/>
        <w:rPr>
          <w:sz w:val="16"/>
        </w:rPr>
      </w:pPr>
      <w:hyperlink r:id="rId721">
        <w:r w:rsidR="00330118">
          <w:rPr>
            <w:sz w:val="16"/>
          </w:rPr>
          <w:t>&lt;http://www.tribunadaconquista.com.br/v1/2009/11/20/ibama-autua-</w:t>
        </w:r>
      </w:hyperlink>
      <w:r w:rsidR="00330118">
        <w:rPr>
          <w:sz w:val="16"/>
        </w:rPr>
        <w:t xml:space="preserve"> empresa-resp</w:t>
      </w:r>
      <w:r w:rsidR="00330118">
        <w:rPr>
          <w:sz w:val="16"/>
        </w:rPr>
        <w:t>onsavel-por-exploracao-de-uranio-em-caetite&gt;. Acesso em: 23 mar. 2010.</w:t>
      </w:r>
    </w:p>
    <w:p w:rsidR="00D81F69" w:rsidRDefault="00330118">
      <w:pPr>
        <w:spacing w:before="2" w:line="312" w:lineRule="auto"/>
        <w:ind w:left="100" w:right="194"/>
        <w:jc w:val="both"/>
        <w:rPr>
          <w:sz w:val="16"/>
        </w:rPr>
      </w:pPr>
      <w:r>
        <w:rPr>
          <w:sz w:val="16"/>
        </w:rPr>
        <w:t xml:space="preserve">VILASBOAS, Zoraide. Mineração de urânio em Caetité/BA: os custos socioambientais da energia nuclear. Portal Ecodebate, 5 nov. 2008. Disponível em: </w:t>
      </w:r>
      <w:hyperlink r:id="rId722">
        <w:r>
          <w:rPr>
            <w:sz w:val="16"/>
          </w:rPr>
          <w:t>&lt;http://www.ecodebate.com.br/2008/11/05/mineracao-</w:t>
        </w:r>
      </w:hyperlink>
      <w:r>
        <w:rPr>
          <w:sz w:val="16"/>
        </w:rPr>
        <w:t xml:space="preserve"> de-uranio-em-caetiteba-os-custos-socioambientais-da-energia- nuclear-artigo-de-zoraide-vilasboas/&gt;. Acesso em: 20 mar. 2010.</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65" w:space="305"/>
            <w:col w:w="5310"/>
          </w:cols>
        </w:sectPr>
      </w:pPr>
    </w:p>
    <w:p w:rsidR="00D81F69" w:rsidRDefault="00330118">
      <w:pPr>
        <w:pStyle w:val="Heading1"/>
        <w:spacing w:line="208" w:lineRule="auto"/>
      </w:pPr>
      <w:r>
        <w:lastRenderedPageBreak/>
        <w:t>Termelétrica do Comple</w:t>
      </w:r>
      <w:r>
        <w:t>xo do Pecém (CE) pode alterar biodiversidade da região</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20"/>
        <w:rPr>
          <w:i/>
          <w:sz w:val="14"/>
        </w:rPr>
      </w:pPr>
      <w:r>
        <w:rPr>
          <w:i/>
          <w:sz w:val="14"/>
        </w:rPr>
        <w:t>CE - São Gonçalo do Amarante</w:t>
      </w:r>
    </w:p>
    <w:p w:rsidR="00D81F69" w:rsidRDefault="00D81F69">
      <w:pPr>
        <w:pStyle w:val="Corpodetexto"/>
        <w:spacing w:before="4"/>
        <w:ind w:left="0"/>
        <w:jc w:val="left"/>
        <w:rPr>
          <w:i/>
        </w:rPr>
      </w:pPr>
    </w:p>
    <w:p w:rsidR="00D81F69" w:rsidRDefault="00330118">
      <w:pPr>
        <w:spacing w:before="1"/>
        <w:ind w:left="135"/>
        <w:rPr>
          <w:i/>
          <w:sz w:val="14"/>
        </w:rPr>
      </w:pPr>
      <w:r>
        <w:rPr>
          <w:i/>
          <w:sz w:val="14"/>
        </w:rPr>
        <w:t>LATITUDE</w:t>
      </w:r>
    </w:p>
    <w:p w:rsidR="00D81F69" w:rsidRDefault="00330118">
      <w:pPr>
        <w:spacing w:before="49"/>
        <w:ind w:left="135"/>
        <w:rPr>
          <w:i/>
          <w:sz w:val="14"/>
        </w:rPr>
      </w:pPr>
      <w:r>
        <w:rPr>
          <w:i/>
          <w:sz w:val="14"/>
        </w:rPr>
        <w:t>-3,5972</w:t>
      </w:r>
    </w:p>
    <w:p w:rsidR="00D81F69" w:rsidRDefault="00D81F69">
      <w:pPr>
        <w:pStyle w:val="Corpodetexto"/>
        <w:spacing w:before="5"/>
        <w:ind w:left="0"/>
        <w:jc w:val="left"/>
        <w:rPr>
          <w:i/>
          <w:sz w:val="22"/>
        </w:rPr>
      </w:pPr>
    </w:p>
    <w:p w:rsidR="00D81F69" w:rsidRDefault="00330118">
      <w:pPr>
        <w:spacing w:before="1"/>
        <w:ind w:left="135"/>
        <w:rPr>
          <w:i/>
          <w:sz w:val="14"/>
        </w:rPr>
      </w:pPr>
      <w:r>
        <w:rPr>
          <w:i/>
          <w:sz w:val="14"/>
        </w:rPr>
        <w:t>LONGITUDE</w:t>
      </w:r>
    </w:p>
    <w:p w:rsidR="00D81F69" w:rsidRDefault="00330118">
      <w:pPr>
        <w:spacing w:before="49"/>
        <w:ind w:left="135"/>
        <w:rPr>
          <w:i/>
          <w:sz w:val="14"/>
        </w:rPr>
      </w:pPr>
      <w:r>
        <w:rPr>
          <w:i/>
          <w:sz w:val="14"/>
        </w:rPr>
        <w:t>-38,8822</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0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A usina termelétrica do Grupo MPX </w:t>
      </w:r>
      <w:r>
        <w:rPr>
          <w:i/>
          <w:sz w:val="16"/>
        </w:rPr>
        <w:t xml:space="preserve">Mineração e Energia Ltda., que será movida a carvão mineral, é considerada prejudicial à biodiversidade e à saúde da população do município de São Gonçalo do Amarante, litoral oeste do Ceará. O empreendimento, que integra o Complexo Industrial e Portuário </w:t>
      </w:r>
      <w:r>
        <w:rPr>
          <w:i/>
          <w:sz w:val="16"/>
        </w:rPr>
        <w:t>do Pecém (CIPP), tem previsão para começar a operar em 2012.</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0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92"/>
      </w:pPr>
      <w:r>
        <w:t>(PIB) brasileiro. Os impactos positivos na economia local estão relacionados com a geração de emprego e renda, bem como com o aumento do comércio e da infraestrutura necessária para atrair ou</w:t>
      </w:r>
      <w:r>
        <w:t>tros investimentos, tais como uma usina siderúrgica, uma refinaria e termelétricas (ARAÚJO, FREITAS, ALBUQUERQUE, 2009).</w:t>
      </w:r>
    </w:p>
    <w:p w:rsidR="00D81F69" w:rsidRDefault="00330118">
      <w:pPr>
        <w:pStyle w:val="Corpodetexto"/>
        <w:spacing w:before="135" w:line="312" w:lineRule="auto"/>
        <w:ind w:left="135" w:right="209"/>
      </w:pPr>
      <w:r>
        <w:t>Já do ponto de vista ambiental, dada à dimensão do CIPP, é possível que ocorram mudanças na região, uma vez que as áreas litorâneas apr</w:t>
      </w:r>
      <w:r>
        <w:t>esentam-se instáveis e são de alta vulnerabilidade. Da mesma forma, mudanças na estrutura e nas relações sociais, bem como o surgimento de problemas</w:t>
      </w:r>
    </w:p>
    <w:p w:rsidR="00D81F69" w:rsidRDefault="00D81F69">
      <w:pPr>
        <w:spacing w:line="312" w:lineRule="auto"/>
        <w:sectPr w:rsidR="00D81F69">
          <w:type w:val="continuous"/>
          <w:pgSz w:w="11900" w:h="16840"/>
          <w:pgMar w:top="720" w:right="500" w:bottom="280" w:left="620" w:header="720" w:footer="720" w:gutter="0"/>
          <w:cols w:num="3" w:space="720" w:equalWidth="0">
            <w:col w:w="1498" w:space="502"/>
            <w:col w:w="3109" w:space="326"/>
            <w:col w:w="5345"/>
          </w:cols>
        </w:sectPr>
      </w:pPr>
    </w:p>
    <w:p w:rsidR="00D81F69" w:rsidRDefault="00330118">
      <w:pPr>
        <w:pStyle w:val="Heading4"/>
        <w:spacing w:before="88"/>
        <w:jc w:val="left"/>
      </w:pPr>
      <w:r>
        <w:lastRenderedPageBreak/>
        <w:t>APRESENTAÇÃO DE CASO</w:t>
      </w:r>
    </w:p>
    <w:p w:rsidR="00D81F69" w:rsidRDefault="00330118">
      <w:pPr>
        <w:pStyle w:val="Corpodetexto"/>
        <w:spacing w:before="171" w:line="312" w:lineRule="auto"/>
        <w:ind w:right="79"/>
      </w:pPr>
      <w:r>
        <w:rPr>
          <w:spacing w:val="2"/>
        </w:rPr>
        <w:t xml:space="preserve">Os </w:t>
      </w:r>
      <w:r>
        <w:rPr>
          <w:spacing w:val="5"/>
        </w:rPr>
        <w:t xml:space="preserve">impactos socioeconômicos sobre </w:t>
      </w:r>
      <w:r>
        <w:rPr>
          <w:spacing w:val="2"/>
        </w:rPr>
        <w:t xml:space="preserve">as </w:t>
      </w:r>
      <w:r>
        <w:rPr>
          <w:spacing w:val="5"/>
        </w:rPr>
        <w:t xml:space="preserve">comunidades </w:t>
      </w:r>
      <w:r>
        <w:t>e rec</w:t>
      </w:r>
      <w:r>
        <w:t xml:space="preserve">ursos litorâneos são crescentes à medida que atividades econômicas e investimentos em infraestrutura se intensificam na zona costeira do país. O Complexo Industrial e Portuário </w:t>
      </w:r>
      <w:r>
        <w:rPr>
          <w:spacing w:val="2"/>
        </w:rPr>
        <w:t xml:space="preserve">do </w:t>
      </w:r>
      <w:r>
        <w:rPr>
          <w:spacing w:val="5"/>
        </w:rPr>
        <w:t xml:space="preserve">Pecém (CIPP) </w:t>
      </w:r>
      <w:r>
        <w:t xml:space="preserve">- </w:t>
      </w:r>
      <w:r>
        <w:rPr>
          <w:spacing w:val="5"/>
        </w:rPr>
        <w:t xml:space="preserve">localizado </w:t>
      </w:r>
      <w:r>
        <w:rPr>
          <w:spacing w:val="2"/>
        </w:rPr>
        <w:t xml:space="preserve">no </w:t>
      </w:r>
      <w:r>
        <w:rPr>
          <w:spacing w:val="5"/>
        </w:rPr>
        <w:t xml:space="preserve">distrito </w:t>
      </w:r>
      <w:r>
        <w:rPr>
          <w:spacing w:val="2"/>
        </w:rPr>
        <w:t xml:space="preserve">de </w:t>
      </w:r>
      <w:r>
        <w:rPr>
          <w:spacing w:val="5"/>
        </w:rPr>
        <w:t xml:space="preserve">Pecém, </w:t>
      </w:r>
      <w:r>
        <w:rPr>
          <w:spacing w:val="6"/>
        </w:rPr>
        <w:t xml:space="preserve">no </w:t>
      </w:r>
      <w:r>
        <w:rPr>
          <w:spacing w:val="5"/>
        </w:rPr>
        <w:t xml:space="preserve">município </w:t>
      </w:r>
      <w:r>
        <w:rPr>
          <w:spacing w:val="2"/>
        </w:rPr>
        <w:t xml:space="preserve">de </w:t>
      </w:r>
      <w:r>
        <w:rPr>
          <w:spacing w:val="3"/>
        </w:rPr>
        <w:t xml:space="preserve">São </w:t>
      </w:r>
      <w:r>
        <w:rPr>
          <w:spacing w:val="5"/>
        </w:rPr>
        <w:t xml:space="preserve">Gonçalo </w:t>
      </w:r>
      <w:r>
        <w:rPr>
          <w:spacing w:val="2"/>
        </w:rPr>
        <w:t xml:space="preserve">do </w:t>
      </w:r>
      <w:r>
        <w:rPr>
          <w:spacing w:val="5"/>
        </w:rPr>
        <w:t xml:space="preserve">Amarante, litoral </w:t>
      </w:r>
      <w:r>
        <w:rPr>
          <w:spacing w:val="3"/>
        </w:rPr>
        <w:t xml:space="preserve">oeste </w:t>
      </w:r>
      <w:r>
        <w:rPr>
          <w:spacing w:val="5"/>
        </w:rPr>
        <w:t>do</w:t>
      </w:r>
      <w:r>
        <w:rPr>
          <w:spacing w:val="61"/>
        </w:rPr>
        <w:t xml:space="preserve"> </w:t>
      </w:r>
      <w:r>
        <w:t xml:space="preserve">Ceará - é um exemplo deste processo, e tem sido apontado </w:t>
      </w:r>
      <w:r>
        <w:rPr>
          <w:spacing w:val="3"/>
        </w:rPr>
        <w:t xml:space="preserve">como </w:t>
      </w:r>
      <w:r>
        <w:t xml:space="preserve">a </w:t>
      </w:r>
      <w:r>
        <w:rPr>
          <w:spacing w:val="3"/>
        </w:rPr>
        <w:t xml:space="preserve">causa </w:t>
      </w:r>
      <w:r>
        <w:rPr>
          <w:spacing w:val="2"/>
        </w:rPr>
        <w:t xml:space="preserve">de </w:t>
      </w:r>
      <w:r>
        <w:rPr>
          <w:spacing w:val="5"/>
        </w:rPr>
        <w:t xml:space="preserve">efeitos negativos </w:t>
      </w:r>
      <w:r>
        <w:rPr>
          <w:spacing w:val="3"/>
        </w:rPr>
        <w:t xml:space="preserve">sobre </w:t>
      </w:r>
      <w:r>
        <w:rPr>
          <w:spacing w:val="2"/>
        </w:rPr>
        <w:t xml:space="preserve">as </w:t>
      </w:r>
      <w:r>
        <w:rPr>
          <w:spacing w:val="5"/>
        </w:rPr>
        <w:t xml:space="preserve">populações </w:t>
      </w:r>
      <w:r>
        <w:t>vulneráveis, principalmente sobre os pescadores artesanais (IBGE, 2010); (ARAÚJO, FREITAS, ALBUQUERQUE,</w:t>
      </w:r>
      <w:r>
        <w:rPr>
          <w:spacing w:val="25"/>
        </w:rPr>
        <w:t xml:space="preserve"> </w:t>
      </w:r>
      <w:r>
        <w:t>2009).</w:t>
      </w:r>
    </w:p>
    <w:p w:rsidR="00D81F69" w:rsidRDefault="00330118">
      <w:pPr>
        <w:pStyle w:val="Corpodetexto"/>
        <w:spacing w:before="9" w:line="312" w:lineRule="auto"/>
        <w:ind w:right="73"/>
      </w:pPr>
      <w:r>
        <w:rPr>
          <w:spacing w:val="5"/>
        </w:rPr>
        <w:t xml:space="preserve">Dentre </w:t>
      </w:r>
      <w:r>
        <w:rPr>
          <w:spacing w:val="2"/>
        </w:rPr>
        <w:t xml:space="preserve">os </w:t>
      </w:r>
      <w:r>
        <w:rPr>
          <w:spacing w:val="5"/>
        </w:rPr>
        <w:t xml:space="preserve">impactos socioambientais atribuídos </w:t>
      </w:r>
      <w:r>
        <w:rPr>
          <w:spacing w:val="2"/>
        </w:rPr>
        <w:t xml:space="preserve">ao </w:t>
      </w:r>
      <w:r>
        <w:rPr>
          <w:spacing w:val="5"/>
        </w:rPr>
        <w:t>CIPP,</w:t>
      </w:r>
      <w:r>
        <w:rPr>
          <w:spacing w:val="61"/>
        </w:rPr>
        <w:t xml:space="preserve"> </w:t>
      </w:r>
      <w:r>
        <w:t>devem ser considerados os referentes à usina termelétrica a carvão mineral (RIGOTTO, 2009) do Grupo MPX Mineração e Energia Ltda.</w:t>
      </w:r>
    </w:p>
    <w:p w:rsidR="00D81F69" w:rsidRDefault="00330118">
      <w:pPr>
        <w:pStyle w:val="Corpodetexto"/>
        <w:spacing w:before="134" w:line="312" w:lineRule="auto"/>
        <w:ind w:right="79"/>
      </w:pPr>
      <w:r>
        <w:t>O CIPP começou a ser implantado há mais de 15 anos para abrigar o porto</w:t>
      </w:r>
      <w:r>
        <w:t xml:space="preserve"> e prevê a implantação de um polo metal- mecânico e petroquímico, além de outras indústrias de base e de uma Zona de Processamento de Exportações (RIGOTTO, 2009). Quando estiver completo, o CIPP deverá compreender ainda cinco termoelétricas, uma refinaria </w:t>
      </w:r>
      <w:r>
        <w:t>da Petrobras, uma siderúrgica e uma fábrica de cimento (MAPA DA INJUSTIÇA AMBIENTAL E SAÚDE NO BRASIL, 2009).</w:t>
      </w:r>
    </w:p>
    <w:p w:rsidR="00D81F69" w:rsidRDefault="00330118">
      <w:pPr>
        <w:pStyle w:val="Corpodetexto"/>
        <w:spacing w:before="137" w:line="312" w:lineRule="auto"/>
        <w:ind w:right="70"/>
        <w:jc w:val="left"/>
      </w:pPr>
      <w:r>
        <w:t xml:space="preserve">Com 838 km² e 43.890 habitantes (IBGE, 2010), o município </w:t>
      </w:r>
      <w:r>
        <w:rPr>
          <w:spacing w:val="6"/>
        </w:rPr>
        <w:t xml:space="preserve">de </w:t>
      </w:r>
      <w:r>
        <w:rPr>
          <w:spacing w:val="10"/>
        </w:rPr>
        <w:t xml:space="preserve">São </w:t>
      </w:r>
      <w:r>
        <w:rPr>
          <w:spacing w:val="11"/>
        </w:rPr>
        <w:t xml:space="preserve">Gonçalo </w:t>
      </w:r>
      <w:r>
        <w:rPr>
          <w:spacing w:val="6"/>
        </w:rPr>
        <w:t xml:space="preserve">do </w:t>
      </w:r>
      <w:r>
        <w:rPr>
          <w:spacing w:val="12"/>
        </w:rPr>
        <w:t xml:space="preserve">Amarante </w:t>
      </w:r>
      <w:r>
        <w:rPr>
          <w:spacing w:val="10"/>
        </w:rPr>
        <w:t xml:space="preserve">foi </w:t>
      </w:r>
      <w:r>
        <w:rPr>
          <w:spacing w:val="12"/>
        </w:rPr>
        <w:t xml:space="preserve">escolhido </w:t>
      </w:r>
      <w:r>
        <w:rPr>
          <w:spacing w:val="10"/>
        </w:rPr>
        <w:t xml:space="preserve">para </w:t>
      </w:r>
      <w:r>
        <w:t xml:space="preserve">a </w:t>
      </w:r>
      <w:r>
        <w:rPr>
          <w:spacing w:val="5"/>
        </w:rPr>
        <w:t xml:space="preserve">implantação </w:t>
      </w:r>
      <w:r>
        <w:rPr>
          <w:spacing w:val="2"/>
        </w:rPr>
        <w:t xml:space="preserve">da </w:t>
      </w:r>
      <w:r>
        <w:rPr>
          <w:spacing w:val="5"/>
        </w:rPr>
        <w:t xml:space="preserve">infraestrutura portuária </w:t>
      </w:r>
      <w:r>
        <w:rPr>
          <w:spacing w:val="3"/>
        </w:rPr>
        <w:t xml:space="preserve">por </w:t>
      </w:r>
      <w:r>
        <w:rPr>
          <w:spacing w:val="5"/>
        </w:rPr>
        <w:t xml:space="preserve">possuir </w:t>
      </w:r>
      <w:r>
        <w:rPr>
          <w:spacing w:val="6"/>
        </w:rPr>
        <w:t xml:space="preserve">uma </w:t>
      </w:r>
      <w:r>
        <w:rPr>
          <w:spacing w:val="3"/>
        </w:rPr>
        <w:t xml:space="preserve">posição geográfica privilegiada </w:t>
      </w:r>
      <w:r>
        <w:rPr>
          <w:spacing w:val="1"/>
        </w:rPr>
        <w:t xml:space="preserve">em </w:t>
      </w:r>
      <w:r>
        <w:rPr>
          <w:spacing w:val="3"/>
        </w:rPr>
        <w:t xml:space="preserve">relação </w:t>
      </w:r>
      <w:r>
        <w:rPr>
          <w:spacing w:val="2"/>
        </w:rPr>
        <w:t xml:space="preserve">aos </w:t>
      </w:r>
      <w:r>
        <w:rPr>
          <w:spacing w:val="5"/>
        </w:rPr>
        <w:t xml:space="preserve">principais </w:t>
      </w:r>
      <w:r>
        <w:t xml:space="preserve">mercados de consumo internacional (Comunidade Europeia e Estados Unidos da América) e também devido ao calado da região – 16 m de profundidade a uma distância de 2 km da </w:t>
      </w:r>
      <w:r>
        <w:rPr>
          <w:spacing w:val="7"/>
        </w:rPr>
        <w:t xml:space="preserve">costa. </w:t>
      </w:r>
      <w:r>
        <w:t xml:space="preserve">O </w:t>
      </w:r>
      <w:r>
        <w:rPr>
          <w:spacing w:val="7"/>
        </w:rPr>
        <w:t>Ter</w:t>
      </w:r>
      <w:r>
        <w:rPr>
          <w:spacing w:val="7"/>
        </w:rPr>
        <w:t xml:space="preserve">minal Portuário </w:t>
      </w:r>
      <w:r>
        <w:rPr>
          <w:spacing w:val="5"/>
        </w:rPr>
        <w:t xml:space="preserve">do </w:t>
      </w:r>
      <w:r>
        <w:rPr>
          <w:spacing w:val="7"/>
        </w:rPr>
        <w:t xml:space="preserve">Pecém </w:t>
      </w:r>
      <w:r>
        <w:rPr>
          <w:spacing w:val="5"/>
        </w:rPr>
        <w:t xml:space="preserve">foi </w:t>
      </w:r>
      <w:r>
        <w:rPr>
          <w:spacing w:val="10"/>
        </w:rPr>
        <w:t xml:space="preserve">inaugurado </w:t>
      </w:r>
      <w:r>
        <w:t>oficialmente em 2002 (ARAÚJO, FREITAS, ALBUQUERQUE, 2009).</w:t>
      </w:r>
    </w:p>
    <w:p w:rsidR="00D81F69" w:rsidRDefault="00330118">
      <w:pPr>
        <w:pStyle w:val="Corpodetexto"/>
        <w:spacing w:before="76" w:line="270" w:lineRule="atLeast"/>
        <w:ind w:right="97"/>
      </w:pPr>
      <w:r>
        <w:rPr>
          <w:spacing w:val="5"/>
        </w:rPr>
        <w:t xml:space="preserve">Do </w:t>
      </w:r>
      <w:r>
        <w:rPr>
          <w:spacing w:val="10"/>
        </w:rPr>
        <w:t xml:space="preserve">ponto </w:t>
      </w:r>
      <w:r>
        <w:rPr>
          <w:spacing w:val="5"/>
        </w:rPr>
        <w:t xml:space="preserve">de </w:t>
      </w:r>
      <w:r>
        <w:rPr>
          <w:spacing w:val="10"/>
        </w:rPr>
        <w:t xml:space="preserve">vista econômico, </w:t>
      </w:r>
      <w:r>
        <w:t xml:space="preserve">o </w:t>
      </w:r>
      <w:r>
        <w:rPr>
          <w:spacing w:val="8"/>
        </w:rPr>
        <w:t xml:space="preserve">CIPP </w:t>
      </w:r>
      <w:r>
        <w:rPr>
          <w:spacing w:val="10"/>
        </w:rPr>
        <w:t xml:space="preserve">possibilita </w:t>
      </w:r>
      <w:r>
        <w:t>o escoamento da produção, amplia os mercados e diversifica a pauta de exportações, contribuindo, portanto, pa</w:t>
      </w:r>
      <w:r>
        <w:t>ra aumentar  a</w:t>
      </w:r>
      <w:r>
        <w:rPr>
          <w:spacing w:val="20"/>
        </w:rPr>
        <w:t xml:space="preserve"> </w:t>
      </w:r>
      <w:r>
        <w:t>participação</w:t>
      </w:r>
      <w:r>
        <w:rPr>
          <w:spacing w:val="20"/>
        </w:rPr>
        <w:t xml:space="preserve"> </w:t>
      </w:r>
      <w:r>
        <w:t>do</w:t>
      </w:r>
      <w:r>
        <w:rPr>
          <w:spacing w:val="20"/>
        </w:rPr>
        <w:t xml:space="preserve"> </w:t>
      </w:r>
      <w:r>
        <w:t>estado</w:t>
      </w:r>
      <w:r>
        <w:rPr>
          <w:spacing w:val="20"/>
        </w:rPr>
        <w:t xml:space="preserve"> </w:t>
      </w:r>
      <w:r>
        <w:t>do</w:t>
      </w:r>
      <w:r>
        <w:rPr>
          <w:spacing w:val="20"/>
        </w:rPr>
        <w:t xml:space="preserve"> </w:t>
      </w:r>
      <w:r>
        <w:t>Ceará</w:t>
      </w:r>
      <w:r>
        <w:rPr>
          <w:spacing w:val="20"/>
        </w:rPr>
        <w:t xml:space="preserve"> </w:t>
      </w:r>
      <w:r>
        <w:t>no</w:t>
      </w:r>
      <w:r>
        <w:rPr>
          <w:spacing w:val="20"/>
        </w:rPr>
        <w:t xml:space="preserve"> </w:t>
      </w:r>
      <w:r>
        <w:t>Produto</w:t>
      </w:r>
      <w:r>
        <w:rPr>
          <w:spacing w:val="20"/>
        </w:rPr>
        <w:t xml:space="preserve"> </w:t>
      </w:r>
      <w:r>
        <w:t>Interno</w:t>
      </w:r>
      <w:r>
        <w:rPr>
          <w:spacing w:val="20"/>
        </w:rPr>
        <w:t xml:space="preserve"> </w:t>
      </w:r>
      <w:r>
        <w:t>Bruto</w:t>
      </w:r>
    </w:p>
    <w:p w:rsidR="00D81F69" w:rsidRDefault="00330118">
      <w:pPr>
        <w:pStyle w:val="Corpodetexto"/>
        <w:spacing w:before="5" w:line="312" w:lineRule="auto"/>
        <w:ind w:right="185"/>
      </w:pPr>
      <w:r>
        <w:br w:type="column"/>
      </w:r>
      <w:r>
        <w:lastRenderedPageBreak/>
        <w:t>advindos do crescimento urbano podem acontecer. Os moradores do local afirmam que as mudanças ambientais e sociais potenciais e suas consequências não ficaram esclarecidas para a população durante o período de implantação do empreendimento (ARAÚJO, FREITAS</w:t>
      </w:r>
      <w:r>
        <w:t>, ALBUQUERQUE, 2009).</w:t>
      </w:r>
    </w:p>
    <w:p w:rsidR="00D81F69" w:rsidRDefault="00330118">
      <w:pPr>
        <w:pStyle w:val="Corpodetexto"/>
        <w:spacing w:before="135" w:line="312" w:lineRule="auto"/>
        <w:ind w:right="194"/>
      </w:pPr>
      <w:r>
        <w:t xml:space="preserve">Quanto à instalação da termelétrica a carvão mineral da MPX, são várias as questões. A opção pelo carvão mineral como combustível é impactante tanto do ponto de vista ambiental, quanto da saúde humana: desde a sua extração, nas minas </w:t>
      </w:r>
      <w:r>
        <w:t>subterrâneas, provoca, entre outros efeitos, quadros de insuficiência respiratória, causando também poluição atmosférica nas comunidades do entorno (como é o caso de Criciúma, em Santa Catarina). Os processos de transporte do carvão mineral podem gerar ain</w:t>
      </w:r>
      <w:r>
        <w:t>da poeiras e trazer riscos para a saúde de diversos grupos populacionais ao longo de ferrovias, rodovias, portos, etc. (RIGOTTO, 2009).</w:t>
      </w:r>
    </w:p>
    <w:p w:rsidR="00D81F69" w:rsidRDefault="00330118">
      <w:pPr>
        <w:pStyle w:val="Corpodetexto"/>
        <w:spacing w:before="140" w:line="312" w:lineRule="auto"/>
        <w:ind w:right="171"/>
      </w:pPr>
      <w:r>
        <w:rPr>
          <w:spacing w:val="2"/>
        </w:rPr>
        <w:t xml:space="preserve">De </w:t>
      </w:r>
      <w:r>
        <w:rPr>
          <w:spacing w:val="5"/>
        </w:rPr>
        <w:t xml:space="preserve">acordo </w:t>
      </w:r>
      <w:r>
        <w:rPr>
          <w:spacing w:val="3"/>
        </w:rPr>
        <w:t xml:space="preserve">com </w:t>
      </w:r>
      <w:r>
        <w:t xml:space="preserve">a </w:t>
      </w:r>
      <w:r>
        <w:rPr>
          <w:spacing w:val="5"/>
        </w:rPr>
        <w:t xml:space="preserve">Agência Nacional </w:t>
      </w:r>
      <w:r>
        <w:rPr>
          <w:spacing w:val="2"/>
        </w:rPr>
        <w:t xml:space="preserve">de </w:t>
      </w:r>
      <w:r>
        <w:rPr>
          <w:spacing w:val="5"/>
        </w:rPr>
        <w:t xml:space="preserve">Energia </w:t>
      </w:r>
      <w:r>
        <w:rPr>
          <w:spacing w:val="6"/>
        </w:rPr>
        <w:t xml:space="preserve">Elétrica </w:t>
      </w:r>
      <w:r>
        <w:rPr>
          <w:spacing w:val="5"/>
        </w:rPr>
        <w:t xml:space="preserve">(Aneel), além </w:t>
      </w:r>
      <w:r>
        <w:rPr>
          <w:spacing w:val="3"/>
        </w:rPr>
        <w:t xml:space="preserve">dos </w:t>
      </w:r>
      <w:r>
        <w:rPr>
          <w:spacing w:val="5"/>
        </w:rPr>
        <w:t xml:space="preserve">impactos </w:t>
      </w:r>
      <w:r>
        <w:rPr>
          <w:spacing w:val="2"/>
        </w:rPr>
        <w:t xml:space="preserve">da </w:t>
      </w:r>
      <w:r>
        <w:rPr>
          <w:spacing w:val="5"/>
        </w:rPr>
        <w:t xml:space="preserve">mineração, </w:t>
      </w:r>
      <w:r>
        <w:t xml:space="preserve">a </w:t>
      </w:r>
      <w:r>
        <w:rPr>
          <w:spacing w:val="5"/>
        </w:rPr>
        <w:t xml:space="preserve">queima </w:t>
      </w:r>
      <w:r>
        <w:rPr>
          <w:spacing w:val="6"/>
        </w:rPr>
        <w:t xml:space="preserve">de </w:t>
      </w:r>
      <w:r>
        <w:t xml:space="preserve">carvão em indústrias e termelétricas causa graves alterações socioambientais, devido à emissão de material particulado e de gases poluentes, dentre os quais se destacam o dióxido de </w:t>
      </w:r>
      <w:r>
        <w:rPr>
          <w:spacing w:val="3"/>
        </w:rPr>
        <w:t xml:space="preserve">enxofre (SO2) </w:t>
      </w:r>
      <w:r>
        <w:t xml:space="preserve">e </w:t>
      </w:r>
      <w:r>
        <w:rPr>
          <w:spacing w:val="1"/>
        </w:rPr>
        <w:t xml:space="preserve">os </w:t>
      </w:r>
      <w:r>
        <w:rPr>
          <w:spacing w:val="3"/>
        </w:rPr>
        <w:t xml:space="preserve">óxidos </w:t>
      </w:r>
      <w:r>
        <w:rPr>
          <w:spacing w:val="1"/>
        </w:rPr>
        <w:t xml:space="preserve">de </w:t>
      </w:r>
      <w:r>
        <w:rPr>
          <w:spacing w:val="3"/>
        </w:rPr>
        <w:t xml:space="preserve">nitrogênio (NOX). </w:t>
      </w:r>
      <w:r>
        <w:rPr>
          <w:spacing w:val="2"/>
        </w:rPr>
        <w:t xml:space="preserve">Além </w:t>
      </w:r>
      <w:r>
        <w:rPr>
          <w:spacing w:val="5"/>
        </w:rPr>
        <w:t xml:space="preserve">de </w:t>
      </w:r>
      <w:r>
        <w:rPr>
          <w:spacing w:val="3"/>
        </w:rPr>
        <w:t xml:space="preserve">prejudiciais </w:t>
      </w:r>
      <w:r>
        <w:t xml:space="preserve">à </w:t>
      </w:r>
      <w:r>
        <w:rPr>
          <w:spacing w:val="3"/>
        </w:rPr>
        <w:t>saúd</w:t>
      </w:r>
      <w:r>
        <w:rPr>
          <w:spacing w:val="3"/>
        </w:rPr>
        <w:t xml:space="preserve">e humana, </w:t>
      </w:r>
      <w:r>
        <w:rPr>
          <w:spacing w:val="2"/>
        </w:rPr>
        <w:t xml:space="preserve">tais </w:t>
      </w:r>
      <w:r>
        <w:rPr>
          <w:spacing w:val="3"/>
        </w:rPr>
        <w:t xml:space="preserve">gases </w:t>
      </w:r>
      <w:r>
        <w:rPr>
          <w:spacing w:val="2"/>
        </w:rPr>
        <w:t xml:space="preserve">são </w:t>
      </w:r>
      <w:r>
        <w:rPr>
          <w:spacing w:val="1"/>
        </w:rPr>
        <w:t xml:space="preserve">os </w:t>
      </w:r>
      <w:r>
        <w:rPr>
          <w:spacing w:val="5"/>
        </w:rPr>
        <w:t xml:space="preserve">principais </w:t>
      </w:r>
      <w:r>
        <w:rPr>
          <w:spacing w:val="1"/>
        </w:rPr>
        <w:t xml:space="preserve">responsáveis pela formação </w:t>
      </w:r>
      <w:r>
        <w:t xml:space="preserve">da </w:t>
      </w:r>
      <w:r>
        <w:rPr>
          <w:spacing w:val="1"/>
        </w:rPr>
        <w:t xml:space="preserve">chamada chuva ácida </w:t>
      </w:r>
      <w:r>
        <w:rPr>
          <w:spacing w:val="2"/>
        </w:rPr>
        <w:t xml:space="preserve">que </w:t>
      </w:r>
      <w:r>
        <w:rPr>
          <w:spacing w:val="20"/>
        </w:rPr>
        <w:t xml:space="preserve">provoca </w:t>
      </w:r>
      <w:r>
        <w:t xml:space="preserve">a </w:t>
      </w:r>
      <w:r>
        <w:rPr>
          <w:spacing w:val="21"/>
        </w:rPr>
        <w:t xml:space="preserve">acidificação </w:t>
      </w:r>
      <w:r>
        <w:rPr>
          <w:spacing w:val="11"/>
        </w:rPr>
        <w:t xml:space="preserve">do </w:t>
      </w:r>
      <w:r>
        <w:rPr>
          <w:spacing w:val="17"/>
        </w:rPr>
        <w:t xml:space="preserve">solo </w:t>
      </w:r>
      <w:r>
        <w:t xml:space="preserve">e </w:t>
      </w:r>
      <w:r>
        <w:rPr>
          <w:spacing w:val="11"/>
        </w:rPr>
        <w:t xml:space="preserve">da </w:t>
      </w:r>
      <w:r>
        <w:rPr>
          <w:spacing w:val="17"/>
        </w:rPr>
        <w:t xml:space="preserve">água </w:t>
      </w:r>
      <w:r>
        <w:rPr>
          <w:spacing w:val="11"/>
        </w:rPr>
        <w:t xml:space="preserve">e, </w:t>
      </w:r>
      <w:r>
        <w:rPr>
          <w:spacing w:val="5"/>
        </w:rPr>
        <w:t xml:space="preserve">consequentemente, causa alterações </w:t>
      </w:r>
      <w:r>
        <w:rPr>
          <w:spacing w:val="2"/>
        </w:rPr>
        <w:t xml:space="preserve">na </w:t>
      </w:r>
      <w:r>
        <w:rPr>
          <w:spacing w:val="6"/>
        </w:rPr>
        <w:t xml:space="preserve">biodiversidade. </w:t>
      </w:r>
      <w:r>
        <w:rPr>
          <w:spacing w:val="5"/>
        </w:rPr>
        <w:t>(RIGOTTO,</w:t>
      </w:r>
      <w:r>
        <w:rPr>
          <w:spacing w:val="35"/>
        </w:rPr>
        <w:t xml:space="preserve"> </w:t>
      </w:r>
      <w:r>
        <w:rPr>
          <w:spacing w:val="6"/>
        </w:rPr>
        <w:t>2009).</w:t>
      </w:r>
    </w:p>
    <w:p w:rsidR="00D81F69" w:rsidRDefault="00330118">
      <w:pPr>
        <w:pStyle w:val="Corpodetexto"/>
        <w:spacing w:before="141" w:line="312" w:lineRule="auto"/>
        <w:ind w:right="208"/>
      </w:pPr>
      <w:r>
        <w:t>Em entrevista ao site O Eco, a professora do Núc</w:t>
      </w:r>
      <w:r>
        <w:t>leo Tramas da Universidade Federal do Ceará, Raquel Rigotto, assinalou que o impacto da termelétrica varia com as condições microclimáticas da área em que está inserida, podendo espalhar dióxido de enxofre por um raio entre 80 e 300 km, o que seria preocup</w:t>
      </w:r>
      <w:r>
        <w:t>ante, uma vez que o Ceará possui cerca de 500 km de litoral. Além disso, os resíduos e efluentes líquidos podem poluir o lençol freático, contaminando a água que chega até São Gonçalo do Amarante (LOBO, 2008).</w:t>
      </w:r>
    </w:p>
    <w:p w:rsidR="00D81F69" w:rsidRDefault="00D81F69">
      <w:pPr>
        <w:spacing w:line="312" w:lineRule="auto"/>
        <w:sectPr w:rsidR="00D81F69">
          <w:type w:val="continuous"/>
          <w:pgSz w:w="11900" w:h="16840"/>
          <w:pgMar w:top="720" w:right="500" w:bottom="280" w:left="620" w:header="720" w:footer="720" w:gutter="0"/>
          <w:cols w:num="2" w:space="720" w:equalWidth="0">
            <w:col w:w="5193" w:space="277"/>
            <w:col w:w="5310"/>
          </w:cols>
        </w:sectPr>
      </w:pPr>
    </w:p>
    <w:p w:rsidR="00D81F69" w:rsidRDefault="00330118">
      <w:pPr>
        <w:pStyle w:val="Corpodetexto"/>
        <w:spacing w:before="81" w:line="312" w:lineRule="auto"/>
        <w:ind w:right="44"/>
      </w:pPr>
      <w:r>
        <w:lastRenderedPageBreak/>
        <w:t xml:space="preserve">As termelétricas a </w:t>
      </w:r>
      <w:r>
        <w:t>carvão liberam não apenas óxidos de nitrogênio e de enxofre, como também óxidos de carbono, principais responsáveis pela produção do efeito estufa e do aquecimento global e que podem afetar a saúde humana, causando isquemia cardiovascular (RIGOTTO, 2009).</w:t>
      </w:r>
    </w:p>
    <w:p w:rsidR="00D81F69" w:rsidRDefault="00330118">
      <w:pPr>
        <w:pStyle w:val="Corpodetexto"/>
        <w:spacing w:before="134" w:line="312" w:lineRule="auto"/>
        <w:ind w:right="38"/>
      </w:pPr>
      <w:r>
        <w:t>A saúde dos trabalhadores da termelétrica também pode ser prejudicada pela emissão de ruídos pelas máquinas de combustão interna (turbinas e motores estacionários, caldeiras, geradores, etc.), provocando perda gradativa de sua audição. Tais ruídos podem ai</w:t>
      </w:r>
      <w:r>
        <w:t>nda impactar os moradores e a fauna da região (RIGOTTO, 2009).</w:t>
      </w:r>
    </w:p>
    <w:p w:rsidR="00D81F69" w:rsidRDefault="00330118">
      <w:pPr>
        <w:pStyle w:val="Corpodetexto"/>
        <w:spacing w:before="136" w:line="312" w:lineRule="auto"/>
        <w:ind w:right="46"/>
      </w:pPr>
      <w:r>
        <w:t>Outro problema das usinas termelétricas é que geram efluentes líquidos em larga escala que podem conter sólidos em suspensão, sílica, hidróxidos, fosfatos, bactérias, algas, etc., de difícil re</w:t>
      </w:r>
      <w:r>
        <w:t>moção e tratamento. Se há estação de tratamento de efluentes eles não poluem mais depois de tratados (RIGOTTO, 2009).</w:t>
      </w:r>
    </w:p>
    <w:p w:rsidR="00D81F69" w:rsidRDefault="00330118">
      <w:pPr>
        <w:pStyle w:val="Corpodetexto"/>
        <w:spacing w:before="136" w:line="312" w:lineRule="auto"/>
        <w:ind w:right="41"/>
      </w:pPr>
      <w:r>
        <w:rPr>
          <w:spacing w:val="2"/>
        </w:rPr>
        <w:t xml:space="preserve">Já os </w:t>
      </w:r>
      <w:r>
        <w:rPr>
          <w:spacing w:val="5"/>
        </w:rPr>
        <w:t xml:space="preserve">resíduos sólidos </w:t>
      </w:r>
      <w:r>
        <w:rPr>
          <w:spacing w:val="2"/>
        </w:rPr>
        <w:t xml:space="preserve">da </w:t>
      </w:r>
      <w:r>
        <w:rPr>
          <w:spacing w:val="5"/>
        </w:rPr>
        <w:t xml:space="preserve">produção </w:t>
      </w:r>
      <w:r>
        <w:rPr>
          <w:spacing w:val="2"/>
        </w:rPr>
        <w:t xml:space="preserve">de </w:t>
      </w:r>
      <w:r>
        <w:rPr>
          <w:spacing w:val="5"/>
        </w:rPr>
        <w:t xml:space="preserve">eletricidade pela queima </w:t>
      </w:r>
      <w:r>
        <w:rPr>
          <w:spacing w:val="3"/>
        </w:rPr>
        <w:t xml:space="preserve">de </w:t>
      </w:r>
      <w:r>
        <w:rPr>
          <w:spacing w:val="5"/>
        </w:rPr>
        <w:t xml:space="preserve">carvão mineral contêm </w:t>
      </w:r>
      <w:r>
        <w:rPr>
          <w:spacing w:val="6"/>
        </w:rPr>
        <w:t xml:space="preserve">elementos </w:t>
      </w:r>
      <w:r>
        <w:rPr>
          <w:spacing w:val="7"/>
        </w:rPr>
        <w:t xml:space="preserve">metálicos tóxicos </w:t>
      </w:r>
      <w:r>
        <w:rPr>
          <w:spacing w:val="5"/>
        </w:rPr>
        <w:t xml:space="preserve">que </w:t>
      </w:r>
      <w:r>
        <w:rPr>
          <w:spacing w:val="7"/>
        </w:rPr>
        <w:t xml:space="preserve">podem </w:t>
      </w:r>
      <w:r>
        <w:rPr>
          <w:spacing w:val="5"/>
        </w:rPr>
        <w:t xml:space="preserve">ser </w:t>
      </w:r>
      <w:r>
        <w:rPr>
          <w:spacing w:val="8"/>
        </w:rPr>
        <w:t>absorvid</w:t>
      </w:r>
      <w:r>
        <w:rPr>
          <w:spacing w:val="8"/>
        </w:rPr>
        <w:t xml:space="preserve">os </w:t>
      </w:r>
      <w:r>
        <w:rPr>
          <w:spacing w:val="6"/>
        </w:rPr>
        <w:t xml:space="preserve">pela </w:t>
      </w:r>
      <w:r>
        <w:rPr>
          <w:spacing w:val="7"/>
        </w:rPr>
        <w:t xml:space="preserve">vegetação </w:t>
      </w:r>
      <w:r>
        <w:rPr>
          <w:spacing w:val="10"/>
        </w:rPr>
        <w:t xml:space="preserve">ou drenados </w:t>
      </w:r>
      <w:r>
        <w:rPr>
          <w:spacing w:val="8"/>
        </w:rPr>
        <w:t xml:space="preserve">para rios </w:t>
      </w:r>
      <w:r>
        <w:t xml:space="preserve">e </w:t>
      </w:r>
      <w:r>
        <w:rPr>
          <w:spacing w:val="8"/>
        </w:rPr>
        <w:t xml:space="preserve">águas </w:t>
      </w:r>
      <w:r>
        <w:rPr>
          <w:spacing w:val="10"/>
        </w:rPr>
        <w:t xml:space="preserve">subterrâneas, </w:t>
      </w:r>
      <w:r>
        <w:rPr>
          <w:spacing w:val="11"/>
        </w:rPr>
        <w:t xml:space="preserve">atingindo </w:t>
      </w:r>
      <w:r>
        <w:t xml:space="preserve">comunidades. Estes impactos ambientais implicam diversos </w:t>
      </w:r>
      <w:r>
        <w:rPr>
          <w:spacing w:val="5"/>
        </w:rPr>
        <w:t xml:space="preserve">efeitos econômicos: inviabilização </w:t>
      </w:r>
      <w:r>
        <w:t xml:space="preserve">e </w:t>
      </w:r>
      <w:r>
        <w:rPr>
          <w:spacing w:val="3"/>
        </w:rPr>
        <w:t xml:space="preserve">perda </w:t>
      </w:r>
      <w:r>
        <w:rPr>
          <w:spacing w:val="2"/>
        </w:rPr>
        <w:t xml:space="preserve">de </w:t>
      </w:r>
      <w:r>
        <w:rPr>
          <w:spacing w:val="5"/>
        </w:rPr>
        <w:t>benefícios</w:t>
      </w:r>
      <w:r>
        <w:rPr>
          <w:spacing w:val="61"/>
        </w:rPr>
        <w:t xml:space="preserve"> </w:t>
      </w:r>
      <w:r>
        <w:rPr>
          <w:spacing w:val="5"/>
        </w:rPr>
        <w:t xml:space="preserve">provenientes </w:t>
      </w:r>
      <w:r>
        <w:rPr>
          <w:spacing w:val="2"/>
        </w:rPr>
        <w:t xml:space="preserve">de </w:t>
      </w:r>
      <w:r>
        <w:rPr>
          <w:spacing w:val="5"/>
        </w:rPr>
        <w:t xml:space="preserve">atividades como pesca </w:t>
      </w:r>
      <w:r>
        <w:t xml:space="preserve">e </w:t>
      </w:r>
      <w:r>
        <w:rPr>
          <w:spacing w:val="6"/>
        </w:rPr>
        <w:t xml:space="preserve">agropecuária; </w:t>
      </w:r>
      <w:r>
        <w:t xml:space="preserve">exaustão de recursos naturais; alteração no abastecimento da água; alteração na vida útil de equipamentos e construções, e </w:t>
      </w:r>
      <w:r>
        <w:rPr>
          <w:spacing w:val="3"/>
        </w:rPr>
        <w:t xml:space="preserve">aumento </w:t>
      </w:r>
      <w:r>
        <w:rPr>
          <w:spacing w:val="2"/>
        </w:rPr>
        <w:t xml:space="preserve">nos </w:t>
      </w:r>
      <w:r>
        <w:rPr>
          <w:spacing w:val="3"/>
        </w:rPr>
        <w:t xml:space="preserve">gastos </w:t>
      </w:r>
      <w:r>
        <w:rPr>
          <w:spacing w:val="2"/>
        </w:rPr>
        <w:t xml:space="preserve">com </w:t>
      </w:r>
      <w:r>
        <w:rPr>
          <w:spacing w:val="3"/>
        </w:rPr>
        <w:t xml:space="preserve">médicos </w:t>
      </w:r>
      <w:r>
        <w:t xml:space="preserve">e </w:t>
      </w:r>
      <w:r>
        <w:rPr>
          <w:spacing w:val="3"/>
        </w:rPr>
        <w:t xml:space="preserve">remédios </w:t>
      </w:r>
      <w:r>
        <w:rPr>
          <w:spacing w:val="5"/>
        </w:rPr>
        <w:t>(RIGOTTO, 2009).</w:t>
      </w:r>
    </w:p>
    <w:p w:rsidR="00D81F69" w:rsidRDefault="00330118">
      <w:pPr>
        <w:pStyle w:val="Corpodetexto"/>
        <w:spacing w:before="140" w:line="312" w:lineRule="auto"/>
        <w:ind w:right="60"/>
      </w:pPr>
      <w:r>
        <w:t xml:space="preserve">A Universidade Federal do Ceará e o Instituto Maximiliano Gaidzinki (IMG) </w:t>
      </w:r>
      <w:r>
        <w:t>desenvolvem pesquisas com o objetivo de dar destinação útil às cinzas do carvão que moverá as termelétricas do CIPP e queimarão juntas até 390 toneladas de carvão por hora (SERPA, 2011a,b). O IMG diz que há a possibilidade de se fabricar lajota para calçam</w:t>
      </w:r>
      <w:r>
        <w:t>ento a partir desse resíduo (SERPA, 2011a).</w:t>
      </w:r>
    </w:p>
    <w:p w:rsidR="00D81F69" w:rsidRDefault="00330118">
      <w:pPr>
        <w:pStyle w:val="Corpodetexto"/>
        <w:spacing w:before="136" w:line="312" w:lineRule="auto"/>
        <w:ind w:right="55"/>
      </w:pPr>
      <w:r>
        <w:t>No caso do CIPP, a área escolhida para a implantação da termelétrica conta com um agravante: é constituída por oito comunidades, nas quais vivem cerca de 700 famílias, das quais 351 são reconhecidas pela Fundação</w:t>
      </w:r>
      <w:r>
        <w:t xml:space="preserve"> Nacional do Índio (Funai) como indígenas da etnia Anacé. São pescadores que também cultivam em seus quintais frutas, legumes e verduras e criam animais domésticos (RIGOTTO, 2009), e que têm de ser removidos de suas terras para a construção do empreendimen</w:t>
      </w:r>
      <w:r>
        <w:t>to (MPF, 2009).</w:t>
      </w:r>
    </w:p>
    <w:p w:rsidR="00D81F69" w:rsidRDefault="00330118">
      <w:pPr>
        <w:pStyle w:val="Corpodetexto"/>
        <w:spacing w:before="75" w:line="270" w:lineRule="atLeast"/>
        <w:ind w:right="60"/>
      </w:pPr>
      <w:r>
        <w:t xml:space="preserve">Acatando o argumento de que se trata de um projeto a carvão e que não gozava das licenças ambientais devidas, o Tribunal </w:t>
      </w:r>
      <w:r>
        <w:rPr>
          <w:spacing w:val="2"/>
        </w:rPr>
        <w:t xml:space="preserve">de </w:t>
      </w:r>
      <w:r>
        <w:rPr>
          <w:spacing w:val="5"/>
        </w:rPr>
        <w:t xml:space="preserve">Justiça </w:t>
      </w:r>
      <w:r>
        <w:rPr>
          <w:spacing w:val="2"/>
        </w:rPr>
        <w:t xml:space="preserve">do </w:t>
      </w:r>
      <w:r>
        <w:rPr>
          <w:spacing w:val="3"/>
        </w:rPr>
        <w:t xml:space="preserve">Ceará </w:t>
      </w:r>
      <w:r>
        <w:rPr>
          <w:spacing w:val="5"/>
        </w:rPr>
        <w:t xml:space="preserve">(TJ-CE) embargou </w:t>
      </w:r>
      <w:r>
        <w:t xml:space="preserve">a </w:t>
      </w:r>
      <w:r>
        <w:rPr>
          <w:spacing w:val="5"/>
        </w:rPr>
        <w:t>construção do</w:t>
      </w:r>
      <w:r>
        <w:rPr>
          <w:spacing w:val="61"/>
        </w:rPr>
        <w:t xml:space="preserve"> </w:t>
      </w:r>
      <w:r>
        <w:t>empreendimento, em junho de 2006. À época, a decisão do tribunal m</w:t>
      </w:r>
      <w:r>
        <w:t xml:space="preserve">anteve suspenso o início da obra, até julgamento final do mérito da ação, proposta pela Defensoria Pública do </w:t>
      </w:r>
      <w:r>
        <w:rPr>
          <w:spacing w:val="5"/>
        </w:rPr>
        <w:t xml:space="preserve">Ceará. </w:t>
      </w:r>
      <w:r>
        <w:rPr>
          <w:spacing w:val="6"/>
        </w:rPr>
        <w:t xml:space="preserve">Suspensa </w:t>
      </w:r>
      <w:r>
        <w:t xml:space="preserve">a </w:t>
      </w:r>
      <w:r>
        <w:rPr>
          <w:spacing w:val="6"/>
        </w:rPr>
        <w:t xml:space="preserve">liminar, </w:t>
      </w:r>
      <w:r>
        <w:t xml:space="preserve">e </w:t>
      </w:r>
      <w:r>
        <w:rPr>
          <w:spacing w:val="6"/>
        </w:rPr>
        <w:t xml:space="preserve">iniciadas </w:t>
      </w:r>
      <w:r>
        <w:rPr>
          <w:spacing w:val="3"/>
        </w:rPr>
        <w:t xml:space="preserve">as </w:t>
      </w:r>
      <w:r>
        <w:rPr>
          <w:spacing w:val="5"/>
        </w:rPr>
        <w:t xml:space="preserve">obras, </w:t>
      </w:r>
      <w:r>
        <w:rPr>
          <w:spacing w:val="7"/>
        </w:rPr>
        <w:t xml:space="preserve">nova </w:t>
      </w:r>
      <w:r>
        <w:rPr>
          <w:spacing w:val="6"/>
        </w:rPr>
        <w:t xml:space="preserve">decisão, </w:t>
      </w:r>
      <w:r>
        <w:rPr>
          <w:spacing w:val="5"/>
        </w:rPr>
        <w:t xml:space="preserve">desta vez </w:t>
      </w:r>
      <w:r>
        <w:rPr>
          <w:spacing w:val="3"/>
        </w:rPr>
        <w:t xml:space="preserve">da </w:t>
      </w:r>
      <w:r>
        <w:rPr>
          <w:spacing w:val="5"/>
        </w:rPr>
        <w:t xml:space="preserve">Justiça </w:t>
      </w:r>
      <w:r>
        <w:rPr>
          <w:spacing w:val="6"/>
        </w:rPr>
        <w:t xml:space="preserve">Federal, determinou, </w:t>
      </w:r>
      <w:r>
        <w:rPr>
          <w:spacing w:val="7"/>
        </w:rPr>
        <w:t xml:space="preserve">em </w:t>
      </w:r>
      <w:r>
        <w:t>meados de novembro de 2008, nova paral</w:t>
      </w:r>
      <w:r>
        <w:t xml:space="preserve">isação das obras (ADPEC, </w:t>
      </w:r>
      <w:r>
        <w:rPr>
          <w:spacing w:val="1"/>
        </w:rPr>
        <w:t>2008).</w:t>
      </w:r>
    </w:p>
    <w:p w:rsidR="00D81F69" w:rsidRDefault="00330118">
      <w:pPr>
        <w:pStyle w:val="Corpodetexto"/>
        <w:spacing w:before="5"/>
        <w:ind w:left="0"/>
        <w:jc w:val="left"/>
        <w:rPr>
          <w:sz w:val="24"/>
        </w:rPr>
      </w:pPr>
      <w:r>
        <w:br w:type="column"/>
      </w:r>
    </w:p>
    <w:p w:rsidR="00D81F69" w:rsidRDefault="00330118">
      <w:pPr>
        <w:pStyle w:val="Corpodetexto"/>
        <w:spacing w:line="312" w:lineRule="auto"/>
        <w:ind w:right="206"/>
      </w:pPr>
      <w:r>
        <w:t xml:space="preserve">O pedido de liminar foi apresentado pelo Ministério Público </w:t>
      </w:r>
      <w:r>
        <w:rPr>
          <w:spacing w:val="16"/>
        </w:rPr>
        <w:t xml:space="preserve">Federal (MPF/CE) </w:t>
      </w:r>
      <w:r>
        <w:rPr>
          <w:spacing w:val="15"/>
        </w:rPr>
        <w:t xml:space="preserve">contra </w:t>
      </w:r>
      <w:r>
        <w:t xml:space="preserve">o </w:t>
      </w:r>
      <w:r>
        <w:rPr>
          <w:spacing w:val="15"/>
        </w:rPr>
        <w:t xml:space="preserve">estado </w:t>
      </w:r>
      <w:r>
        <w:rPr>
          <w:spacing w:val="10"/>
        </w:rPr>
        <w:t xml:space="preserve">do </w:t>
      </w:r>
      <w:r>
        <w:rPr>
          <w:spacing w:val="15"/>
        </w:rPr>
        <w:t xml:space="preserve">Ceará, </w:t>
      </w:r>
      <w:r>
        <w:t xml:space="preserve">a </w:t>
      </w:r>
      <w:r>
        <w:rPr>
          <w:spacing w:val="5"/>
        </w:rPr>
        <w:t xml:space="preserve">Superintendência Estadual </w:t>
      </w:r>
      <w:r>
        <w:rPr>
          <w:spacing w:val="2"/>
        </w:rPr>
        <w:t xml:space="preserve">do </w:t>
      </w:r>
      <w:r>
        <w:rPr>
          <w:spacing w:val="5"/>
        </w:rPr>
        <w:t xml:space="preserve">Meio Ambiente </w:t>
      </w:r>
      <w:r>
        <w:rPr>
          <w:spacing w:val="2"/>
        </w:rPr>
        <w:t xml:space="preserve">do </w:t>
      </w:r>
      <w:r>
        <w:rPr>
          <w:spacing w:val="6"/>
        </w:rPr>
        <w:t xml:space="preserve">Ceará </w:t>
      </w:r>
      <w:r>
        <w:rPr>
          <w:spacing w:val="5"/>
        </w:rPr>
        <w:t xml:space="preserve">(Semace), </w:t>
      </w:r>
      <w:r>
        <w:t xml:space="preserve">o </w:t>
      </w:r>
      <w:r>
        <w:rPr>
          <w:spacing w:val="5"/>
        </w:rPr>
        <w:t xml:space="preserve">Instituto Brasileiro </w:t>
      </w:r>
      <w:r>
        <w:rPr>
          <w:spacing w:val="2"/>
        </w:rPr>
        <w:t xml:space="preserve">do </w:t>
      </w:r>
      <w:r>
        <w:rPr>
          <w:spacing w:val="3"/>
        </w:rPr>
        <w:t xml:space="preserve">Meio </w:t>
      </w:r>
      <w:r>
        <w:rPr>
          <w:spacing w:val="5"/>
        </w:rPr>
        <w:t xml:space="preserve">Ambiente </w:t>
      </w:r>
      <w:r>
        <w:t xml:space="preserve">e </w:t>
      </w:r>
      <w:r>
        <w:rPr>
          <w:spacing w:val="5"/>
        </w:rPr>
        <w:t>dos</w:t>
      </w:r>
      <w:r>
        <w:rPr>
          <w:spacing w:val="61"/>
        </w:rPr>
        <w:t xml:space="preserve"> </w:t>
      </w:r>
      <w:r>
        <w:t xml:space="preserve">Recursos Naturais Renováveis (Ibama) e a MPX, para impedir </w:t>
      </w:r>
      <w:r>
        <w:rPr>
          <w:spacing w:val="5"/>
        </w:rPr>
        <w:t xml:space="preserve">as </w:t>
      </w:r>
      <w:r>
        <w:rPr>
          <w:spacing w:val="7"/>
        </w:rPr>
        <w:t xml:space="preserve">obras </w:t>
      </w:r>
      <w:r>
        <w:rPr>
          <w:spacing w:val="5"/>
        </w:rPr>
        <w:t xml:space="preserve">de </w:t>
      </w:r>
      <w:r>
        <w:rPr>
          <w:spacing w:val="8"/>
        </w:rPr>
        <w:t xml:space="preserve">instalação </w:t>
      </w:r>
      <w:r>
        <w:rPr>
          <w:spacing w:val="5"/>
        </w:rPr>
        <w:t xml:space="preserve">da </w:t>
      </w:r>
      <w:r>
        <w:rPr>
          <w:spacing w:val="7"/>
        </w:rPr>
        <w:t xml:space="preserve">usina, </w:t>
      </w:r>
      <w:r>
        <w:rPr>
          <w:spacing w:val="5"/>
        </w:rPr>
        <w:t xml:space="preserve">até </w:t>
      </w:r>
      <w:r>
        <w:t xml:space="preserve">a </w:t>
      </w:r>
      <w:r>
        <w:rPr>
          <w:spacing w:val="7"/>
        </w:rPr>
        <w:t xml:space="preserve">conclusão </w:t>
      </w:r>
      <w:r>
        <w:rPr>
          <w:spacing w:val="10"/>
        </w:rPr>
        <w:t xml:space="preserve">do </w:t>
      </w:r>
      <w:r>
        <w:t xml:space="preserve">licenciamento de todo o Complexo Industrial e Portuário do Pecém (ADPEC, </w:t>
      </w:r>
      <w:r>
        <w:rPr>
          <w:spacing w:val="1"/>
        </w:rPr>
        <w:t>2008).</w:t>
      </w:r>
    </w:p>
    <w:p w:rsidR="00D81F69" w:rsidRDefault="00330118">
      <w:pPr>
        <w:pStyle w:val="Corpodetexto"/>
        <w:spacing w:before="137" w:line="312" w:lineRule="auto"/>
        <w:ind w:right="206"/>
      </w:pPr>
      <w:r>
        <w:t>No entanto, o governo estadual se pronunciou pelo não acatamento da recomendação, ao não reconhecer a ocupação tradicional dos Anacés e dar sequência aos procedimentos desapropriatórios (MPF, 2009). O Conselho Indígena Missionário do Nordeste (CCIMI/NE), q</w:t>
      </w:r>
      <w:r>
        <w:t>ue auxilia a comunidade Anacé, criticou o valor proposto pelo governo do Ceará pela desapropriação, tendo em vista que cada cajueiro ou coqueiro no terreno valeriam R$ 1,30, e cada carnaubeira R$ 0,30, a serem pagos ao proprietário desapropriado (FUNAI, 20</w:t>
      </w:r>
      <w:r>
        <w:t>11).</w:t>
      </w:r>
    </w:p>
    <w:p w:rsidR="00D81F69" w:rsidRDefault="00330118">
      <w:pPr>
        <w:pStyle w:val="Corpodetexto"/>
        <w:spacing w:before="139" w:line="312" w:lineRule="auto"/>
        <w:ind w:right="196"/>
      </w:pPr>
      <w:r>
        <w:t>Em trabalho realizado por dois antropólogos peritos do MPF e por um professor de Geografia da Universidade Federal do Ceará (UFC), foi descrita e fundamentada a ocupação tradicional que os Anacés exercem sobre seu território e indicada uma poligonal c</w:t>
      </w:r>
      <w:r>
        <w:t>om área de 8.510 hectares a ser resguardada até que um grupo técnico nomeado pela Funai realizasse estudos mais aprofundados e delineasse os contornos da área tradicionalmente ocupada pela etnia (MPF, 2009).</w:t>
      </w:r>
    </w:p>
    <w:p w:rsidR="00D81F69" w:rsidRDefault="00330118">
      <w:pPr>
        <w:pStyle w:val="Corpodetexto"/>
        <w:spacing w:before="139" w:line="312" w:lineRule="auto"/>
        <w:ind w:right="210"/>
      </w:pPr>
      <w:r>
        <w:t>No mesmo parecer técnico foi indicada uma área a</w:t>
      </w:r>
      <w:r>
        <w:t>lternativa para a instalação de empreendimentos do CIPP, de 29.234 hectares nos municípios de São Gonçalo do Amarante e Caucaia, a poucos quilômetros do Porto do Pecém (são apenas 12,8 km do limite norte e 28,8 km do limite sul). A área recomendada excedia</w:t>
      </w:r>
      <w:r>
        <w:t xml:space="preserve"> o necessário para a implantação da refinaria, da siderúrgica e de outros empreendimentos previstos pelo Plano Diretor do CIPP. Ou seja, apontava alternativas de localização para os empreendimentos, sem que houvesse a necessidade de remoção dos Anacé de su</w:t>
      </w:r>
      <w:r>
        <w:t>as terras tradicionalmente ocupadas (MPF, 2009).</w:t>
      </w:r>
    </w:p>
    <w:p w:rsidR="00D81F69" w:rsidRDefault="00330118">
      <w:pPr>
        <w:pStyle w:val="Corpodetexto"/>
        <w:spacing w:before="140" w:line="312" w:lineRule="auto"/>
        <w:ind w:right="190"/>
      </w:pPr>
      <w:r>
        <w:t>Há ainda relatos de assassinatos supostamente ligados à pressão imobiliária sobre a região que abrigará o CIPP. A chegada do narcotráfico e o consequentemente crescimento da criminalidade também estariam ass</w:t>
      </w:r>
      <w:r>
        <w:t>ociados aos novos empreendimentos, especialmente à construção do porto. Foram registrados, ainda, casos de atropelamento de membros da comunidade Anacé e suicídios, também atribuídos pelos nativos aos impactos das mudanças na região (MAPA DA INJUSTIÇA AMBI</w:t>
      </w:r>
      <w:r>
        <w:t>ENTAL E SAÚDE NO BRASIL, 2009).</w:t>
      </w:r>
    </w:p>
    <w:p w:rsidR="00D81F69" w:rsidRDefault="00330118">
      <w:pPr>
        <w:pStyle w:val="Corpodetexto"/>
        <w:spacing w:before="139" w:line="312" w:lineRule="auto"/>
        <w:ind w:right="212"/>
      </w:pPr>
      <w:r>
        <w:t>Em agosto de 2009, a Funai constituiu grupo técnico (GT) para elaboração de relatório de fundamentação antropológica para a demarcação das terras Anacé. No documento, além de contextualizar historicamente a identificação étn</w:t>
      </w:r>
      <w:r>
        <w:t>ica Anacé, o GT “identificou vários elementos de tradicionalidade”, o que o</w:t>
      </w:r>
    </w:p>
    <w:p w:rsidR="00D81F69" w:rsidRDefault="00D81F69">
      <w:pPr>
        <w:spacing w:line="312" w:lineRule="auto"/>
        <w:sectPr w:rsidR="00D81F69">
          <w:pgSz w:w="11900" w:h="16840"/>
          <w:pgMar w:top="740" w:right="500" w:bottom="640" w:left="620" w:header="0" w:footer="402" w:gutter="0"/>
          <w:cols w:num="2" w:space="720" w:equalWidth="0">
            <w:col w:w="5163" w:space="307"/>
            <w:col w:w="5310"/>
          </w:cols>
        </w:sectPr>
      </w:pPr>
    </w:p>
    <w:p w:rsidR="00D81F69" w:rsidRDefault="00330118">
      <w:pPr>
        <w:pStyle w:val="Corpodetexto"/>
        <w:spacing w:before="81" w:line="312" w:lineRule="auto"/>
        <w:ind w:right="47"/>
      </w:pPr>
      <w:r>
        <w:lastRenderedPageBreak/>
        <w:t>levou a “apontar a necessidade de constituição de um novo GT para os trabalhos de identificação e delimitação das terras indígenas (MPF, 2009). A previ</w:t>
      </w:r>
      <w:r>
        <w:t xml:space="preserve">são era de que a portaria para o novo GT fosse lançada até dezembro de 2009. Entretanto, algumas questões internas, como equipe reduzida e </w:t>
      </w:r>
      <w:r>
        <w:rPr>
          <w:spacing w:val="1"/>
        </w:rPr>
        <w:t xml:space="preserve">outras </w:t>
      </w:r>
      <w:r>
        <w:t>demandas, fizeram com que fosse adiada a constituição do grupo (CASTRO,</w:t>
      </w:r>
      <w:r>
        <w:rPr>
          <w:spacing w:val="28"/>
        </w:rPr>
        <w:t xml:space="preserve"> </w:t>
      </w:r>
      <w:r>
        <w:rPr>
          <w:spacing w:val="1"/>
        </w:rPr>
        <w:t>2010).</w:t>
      </w:r>
    </w:p>
    <w:p w:rsidR="00D81F69" w:rsidRDefault="00330118">
      <w:pPr>
        <w:pStyle w:val="Corpodetexto"/>
        <w:spacing w:before="136" w:line="312" w:lineRule="auto"/>
        <w:ind w:right="58"/>
      </w:pPr>
      <w:r>
        <w:t>Ainda em dezembro de 2009, o MP</w:t>
      </w:r>
      <w:r>
        <w:t>F/CE ajuizou ação civil pública para garantir os direitos do povo indígena Anacé. Na ação, o Ministério pedia que a Justiça Federal determinasse que o governo do Ceará se abstivesse de realizar qualquer desapropriação nas terras ocupadas pela comunidade in</w:t>
      </w:r>
      <w:r>
        <w:t>dígena (MPF, 2009).</w:t>
      </w:r>
    </w:p>
    <w:p w:rsidR="00D81F69" w:rsidRDefault="00330118">
      <w:pPr>
        <w:pStyle w:val="Corpodetexto"/>
        <w:spacing w:before="136" w:line="312" w:lineRule="auto"/>
        <w:ind w:right="38"/>
      </w:pPr>
      <w:r>
        <w:t xml:space="preserve">Na </w:t>
      </w:r>
      <w:r>
        <w:rPr>
          <w:spacing w:val="1"/>
        </w:rPr>
        <w:t xml:space="preserve">mesma ação, </w:t>
      </w:r>
      <w:r>
        <w:t xml:space="preserve">o MPF </w:t>
      </w:r>
      <w:r>
        <w:rPr>
          <w:spacing w:val="1"/>
        </w:rPr>
        <w:t xml:space="preserve">requeria também </w:t>
      </w:r>
      <w:r>
        <w:t xml:space="preserve">a </w:t>
      </w:r>
      <w:r>
        <w:rPr>
          <w:spacing w:val="1"/>
        </w:rPr>
        <w:t xml:space="preserve">suspensão </w:t>
      </w:r>
      <w:r>
        <w:rPr>
          <w:spacing w:val="2"/>
        </w:rPr>
        <w:t xml:space="preserve">de </w:t>
      </w:r>
      <w:r>
        <w:rPr>
          <w:spacing w:val="3"/>
        </w:rPr>
        <w:t xml:space="preserve">todas </w:t>
      </w:r>
      <w:r>
        <w:rPr>
          <w:spacing w:val="1"/>
        </w:rPr>
        <w:t xml:space="preserve">as </w:t>
      </w:r>
      <w:r>
        <w:rPr>
          <w:spacing w:val="3"/>
        </w:rPr>
        <w:t xml:space="preserve">licenças </w:t>
      </w:r>
      <w:r>
        <w:rPr>
          <w:spacing w:val="1"/>
        </w:rPr>
        <w:t xml:space="preserve">já </w:t>
      </w:r>
      <w:r>
        <w:rPr>
          <w:spacing w:val="3"/>
        </w:rPr>
        <w:t xml:space="preserve">expedidas </w:t>
      </w:r>
      <w:r>
        <w:rPr>
          <w:spacing w:val="2"/>
        </w:rPr>
        <w:t xml:space="preserve">pela </w:t>
      </w:r>
      <w:r>
        <w:rPr>
          <w:spacing w:val="3"/>
        </w:rPr>
        <w:t xml:space="preserve">Semace </w:t>
      </w:r>
      <w:r>
        <w:rPr>
          <w:spacing w:val="2"/>
        </w:rPr>
        <w:t xml:space="preserve">para </w:t>
      </w:r>
      <w:r>
        <w:rPr>
          <w:spacing w:val="5"/>
        </w:rPr>
        <w:t xml:space="preserve">aquela </w:t>
      </w:r>
      <w:r>
        <w:t xml:space="preserve">região e que o órgão não concedesse novas licenças para o local. Além disso, pedia que não fossem executadas obras </w:t>
      </w:r>
      <w:r>
        <w:rPr>
          <w:spacing w:val="8"/>
        </w:rPr>
        <w:t xml:space="preserve">decorrentes </w:t>
      </w:r>
      <w:r>
        <w:rPr>
          <w:spacing w:val="5"/>
        </w:rPr>
        <w:t>de</w:t>
      </w:r>
      <w:r>
        <w:rPr>
          <w:spacing w:val="5"/>
        </w:rPr>
        <w:t xml:space="preserve"> </w:t>
      </w:r>
      <w:r>
        <w:rPr>
          <w:spacing w:val="7"/>
        </w:rPr>
        <w:t xml:space="preserve">licenças prévias, </w:t>
      </w:r>
      <w:r>
        <w:rPr>
          <w:spacing w:val="6"/>
        </w:rPr>
        <w:t xml:space="preserve">como </w:t>
      </w:r>
      <w:r>
        <w:rPr>
          <w:spacing w:val="10"/>
        </w:rPr>
        <w:t xml:space="preserve">terraplenagem, </w:t>
      </w:r>
      <w:r>
        <w:rPr>
          <w:spacing w:val="3"/>
        </w:rPr>
        <w:t xml:space="preserve">desmatamentos, </w:t>
      </w:r>
      <w:r>
        <w:rPr>
          <w:spacing w:val="1"/>
        </w:rPr>
        <w:t xml:space="preserve">ou de </w:t>
      </w:r>
      <w:r>
        <w:rPr>
          <w:spacing w:val="3"/>
        </w:rPr>
        <w:t xml:space="preserve">licenças </w:t>
      </w:r>
      <w:r>
        <w:rPr>
          <w:spacing w:val="1"/>
        </w:rPr>
        <w:t xml:space="preserve">de </w:t>
      </w:r>
      <w:r>
        <w:rPr>
          <w:spacing w:val="3"/>
        </w:rPr>
        <w:t xml:space="preserve">instalação. </w:t>
      </w:r>
      <w:r>
        <w:rPr>
          <w:spacing w:val="5"/>
        </w:rPr>
        <w:t xml:space="preserve">Solicitava </w:t>
      </w:r>
      <w:r>
        <w:t>também que fosse assegurada a continuidade dos trabalhos de identificação, delimitação e demarcação da terra indígena Anacé, garantindo as atividades do grupo té</w:t>
      </w:r>
      <w:r>
        <w:t>cnico da Funai que ainda seria constituído. Em fevereiro de 2010, no entanto, o Tribunal Regional Federal da 5ª região (TRF5) indeferiu a liminar requerida pelo MPF (CASTRO,</w:t>
      </w:r>
      <w:r>
        <w:rPr>
          <w:spacing w:val="30"/>
        </w:rPr>
        <w:t xml:space="preserve"> </w:t>
      </w:r>
      <w:r>
        <w:rPr>
          <w:spacing w:val="1"/>
        </w:rPr>
        <w:t>2010).</w:t>
      </w:r>
    </w:p>
    <w:p w:rsidR="00D81F69" w:rsidRDefault="00330118">
      <w:pPr>
        <w:pStyle w:val="Corpodetexto"/>
        <w:spacing w:before="141" w:line="312" w:lineRule="auto"/>
        <w:ind w:right="45"/>
      </w:pPr>
      <w:r>
        <w:t xml:space="preserve">No início de abril de 2010, numa reunião envolvendo o governo estadual e a </w:t>
      </w:r>
      <w:r>
        <w:t>Funai, além da comunidade indígena, tentou-se encontrar uma definição sobre o terreno onde deverão ser instalados os empreendimentos do CIPP. Neste encontro, segundo a Procuradoria Geral do Estado do Ceará, houve concordância entre as partes de que realmen</w:t>
      </w:r>
      <w:r>
        <w:t>te há comunidades dentro e fora do CIPP. Assim, mais uma reunião deve ser realizada para que alguns Anacés - acompanhados de representantes da seccional cearense da Funai - visitem a área definida para as demais construções do Complexo e apontem quais comu</w:t>
      </w:r>
      <w:r>
        <w:t>nidades estão instaladas nesses terrenos (SOARES, 2010).</w:t>
      </w:r>
    </w:p>
    <w:p w:rsidR="00D81F69" w:rsidRDefault="00330118">
      <w:pPr>
        <w:pStyle w:val="Corpodetexto"/>
        <w:spacing w:before="141" w:line="312" w:lineRule="auto"/>
        <w:ind w:right="58"/>
      </w:pPr>
      <w:r>
        <w:t>No final de abril de 2010, a Funai começou a formar o novo GT [previsto em dezembro de 2009], envolvendo de quatro a cinco técnicos da fundação e dois representantes do governo do estado, para identi</w:t>
      </w:r>
      <w:r>
        <w:t xml:space="preserve">ficar e delimitar terras dos povos Anacés </w:t>
      </w:r>
      <w:r>
        <w:rPr>
          <w:spacing w:val="3"/>
        </w:rPr>
        <w:t xml:space="preserve">(LAGE, 2010). </w:t>
      </w:r>
      <w:r>
        <w:t xml:space="preserve">O </w:t>
      </w:r>
      <w:r>
        <w:rPr>
          <w:spacing w:val="3"/>
        </w:rPr>
        <w:t xml:space="preserve">processo </w:t>
      </w:r>
      <w:r>
        <w:rPr>
          <w:spacing w:val="1"/>
        </w:rPr>
        <w:t xml:space="preserve">de </w:t>
      </w:r>
      <w:r>
        <w:rPr>
          <w:spacing w:val="3"/>
        </w:rPr>
        <w:t xml:space="preserve">demarcação </w:t>
      </w:r>
      <w:r>
        <w:rPr>
          <w:spacing w:val="2"/>
        </w:rPr>
        <w:t xml:space="preserve">foi </w:t>
      </w:r>
      <w:r>
        <w:rPr>
          <w:spacing w:val="3"/>
        </w:rPr>
        <w:t xml:space="preserve">concluído </w:t>
      </w:r>
      <w:r>
        <w:t xml:space="preserve">e </w:t>
      </w:r>
      <w:r>
        <w:rPr>
          <w:spacing w:val="3"/>
        </w:rPr>
        <w:t xml:space="preserve">enviado </w:t>
      </w:r>
      <w:r>
        <w:rPr>
          <w:spacing w:val="2"/>
        </w:rPr>
        <w:t xml:space="preserve">para </w:t>
      </w:r>
      <w:r>
        <w:rPr>
          <w:spacing w:val="3"/>
        </w:rPr>
        <w:t xml:space="preserve">Funai </w:t>
      </w:r>
      <w:r>
        <w:rPr>
          <w:spacing w:val="1"/>
        </w:rPr>
        <w:t xml:space="preserve">em </w:t>
      </w:r>
      <w:r>
        <w:rPr>
          <w:spacing w:val="3"/>
        </w:rPr>
        <w:t xml:space="preserve">2011. Lideranças </w:t>
      </w:r>
      <w:r>
        <w:rPr>
          <w:spacing w:val="1"/>
        </w:rPr>
        <w:t xml:space="preserve">do </w:t>
      </w:r>
      <w:r>
        <w:rPr>
          <w:spacing w:val="2"/>
        </w:rPr>
        <w:t xml:space="preserve">Povo </w:t>
      </w:r>
      <w:r>
        <w:rPr>
          <w:spacing w:val="5"/>
        </w:rPr>
        <w:t xml:space="preserve">Anacé </w:t>
      </w:r>
      <w:r>
        <w:rPr>
          <w:spacing w:val="7"/>
        </w:rPr>
        <w:t xml:space="preserve">demandam </w:t>
      </w:r>
      <w:r>
        <w:rPr>
          <w:spacing w:val="5"/>
        </w:rPr>
        <w:t xml:space="preserve">da </w:t>
      </w:r>
      <w:r>
        <w:rPr>
          <w:spacing w:val="7"/>
        </w:rPr>
        <w:t xml:space="preserve">Funai </w:t>
      </w:r>
      <w:r>
        <w:t xml:space="preserve">e </w:t>
      </w:r>
      <w:r>
        <w:rPr>
          <w:spacing w:val="5"/>
        </w:rPr>
        <w:t xml:space="preserve">do </w:t>
      </w:r>
      <w:r>
        <w:rPr>
          <w:spacing w:val="7"/>
        </w:rPr>
        <w:t xml:space="preserve">governo </w:t>
      </w:r>
      <w:r>
        <w:rPr>
          <w:spacing w:val="5"/>
        </w:rPr>
        <w:t xml:space="preserve">do </w:t>
      </w:r>
      <w:r>
        <w:rPr>
          <w:spacing w:val="7"/>
        </w:rPr>
        <w:t xml:space="preserve">Ceará </w:t>
      </w:r>
      <w:r>
        <w:rPr>
          <w:spacing w:val="5"/>
        </w:rPr>
        <w:t xml:space="preserve">que </w:t>
      </w:r>
      <w:r>
        <w:rPr>
          <w:spacing w:val="10"/>
        </w:rPr>
        <w:t xml:space="preserve">seja </w:t>
      </w:r>
      <w:r>
        <w:rPr>
          <w:spacing w:val="5"/>
        </w:rPr>
        <w:t xml:space="preserve">constituída </w:t>
      </w:r>
      <w:r>
        <w:rPr>
          <w:spacing w:val="3"/>
        </w:rPr>
        <w:t xml:space="preserve">uma </w:t>
      </w:r>
      <w:r>
        <w:rPr>
          <w:spacing w:val="5"/>
        </w:rPr>
        <w:t xml:space="preserve">reserva indígena </w:t>
      </w:r>
      <w:r>
        <w:rPr>
          <w:spacing w:val="3"/>
        </w:rPr>
        <w:t xml:space="preserve">para </w:t>
      </w:r>
      <w:r>
        <w:t xml:space="preserve">a </w:t>
      </w:r>
      <w:r>
        <w:rPr>
          <w:spacing w:val="3"/>
        </w:rPr>
        <w:t xml:space="preserve">etnia </w:t>
      </w:r>
      <w:r>
        <w:rPr>
          <w:spacing w:val="2"/>
        </w:rPr>
        <w:t xml:space="preserve">na </w:t>
      </w:r>
      <w:r>
        <w:rPr>
          <w:spacing w:val="5"/>
        </w:rPr>
        <w:t>região (</w:t>
      </w:r>
      <w:r>
        <w:rPr>
          <w:spacing w:val="5"/>
        </w:rPr>
        <w:t>SOUSA,</w:t>
      </w:r>
      <w:r>
        <w:rPr>
          <w:spacing w:val="31"/>
        </w:rPr>
        <w:t xml:space="preserve"> </w:t>
      </w:r>
      <w:r>
        <w:rPr>
          <w:spacing w:val="5"/>
        </w:rPr>
        <w:t>2011).</w:t>
      </w:r>
    </w:p>
    <w:p w:rsidR="00D81F69" w:rsidRDefault="00330118">
      <w:pPr>
        <w:pStyle w:val="Corpodetexto"/>
        <w:spacing w:before="138" w:line="312" w:lineRule="auto"/>
        <w:ind w:right="40"/>
      </w:pPr>
      <w:r>
        <w:t xml:space="preserve">A expansão da termelétrica da MPX está incluída no pacote de obras do Programa de Aceleração do Crescimento (PAC), </w:t>
      </w:r>
      <w:r>
        <w:rPr>
          <w:spacing w:val="2"/>
        </w:rPr>
        <w:t xml:space="preserve">do </w:t>
      </w:r>
      <w:r>
        <w:rPr>
          <w:spacing w:val="5"/>
        </w:rPr>
        <w:t xml:space="preserve">governo federal (MPX, 2011). </w:t>
      </w:r>
      <w:r>
        <w:t xml:space="preserve">O </w:t>
      </w:r>
      <w:r>
        <w:rPr>
          <w:spacing w:val="5"/>
        </w:rPr>
        <w:t xml:space="preserve">Banco Nacional </w:t>
      </w:r>
      <w:r>
        <w:rPr>
          <w:spacing w:val="6"/>
        </w:rPr>
        <w:t xml:space="preserve">de </w:t>
      </w:r>
      <w:r>
        <w:rPr>
          <w:spacing w:val="1"/>
        </w:rPr>
        <w:t xml:space="preserve">Desenvolvimento Econômico </w:t>
      </w:r>
      <w:r>
        <w:t xml:space="preserve">e </w:t>
      </w:r>
      <w:r>
        <w:rPr>
          <w:spacing w:val="1"/>
        </w:rPr>
        <w:t xml:space="preserve">Social (BNDES) </w:t>
      </w:r>
      <w:r>
        <w:t xml:space="preserve">é o </w:t>
      </w:r>
      <w:r>
        <w:rPr>
          <w:spacing w:val="2"/>
        </w:rPr>
        <w:t xml:space="preserve">grande </w:t>
      </w:r>
      <w:r>
        <w:t xml:space="preserve">financiador das termoelétricas de Pecém, garantindo crédito </w:t>
      </w:r>
      <w:r>
        <w:rPr>
          <w:spacing w:val="5"/>
        </w:rPr>
        <w:t xml:space="preserve">de R$ </w:t>
      </w:r>
      <w:r>
        <w:rPr>
          <w:spacing w:val="7"/>
        </w:rPr>
        <w:t xml:space="preserve">1,410 </w:t>
      </w:r>
      <w:r>
        <w:rPr>
          <w:spacing w:val="8"/>
        </w:rPr>
        <w:t xml:space="preserve">bilhão </w:t>
      </w:r>
      <w:r>
        <w:rPr>
          <w:spacing w:val="7"/>
        </w:rPr>
        <w:t xml:space="preserve">para </w:t>
      </w:r>
      <w:r>
        <w:t xml:space="preserve">a </w:t>
      </w:r>
      <w:r>
        <w:rPr>
          <w:spacing w:val="7"/>
        </w:rPr>
        <w:t xml:space="preserve">obra </w:t>
      </w:r>
      <w:r>
        <w:rPr>
          <w:spacing w:val="5"/>
        </w:rPr>
        <w:t xml:space="preserve">da </w:t>
      </w:r>
      <w:r>
        <w:rPr>
          <w:spacing w:val="6"/>
        </w:rPr>
        <w:t xml:space="preserve">MPX </w:t>
      </w:r>
      <w:r>
        <w:rPr>
          <w:spacing w:val="7"/>
        </w:rPr>
        <w:t xml:space="preserve">(MAPA </w:t>
      </w:r>
      <w:r>
        <w:rPr>
          <w:spacing w:val="10"/>
        </w:rPr>
        <w:t xml:space="preserve">DA </w:t>
      </w:r>
      <w:r>
        <w:rPr>
          <w:spacing w:val="6"/>
        </w:rPr>
        <w:t xml:space="preserve">INJUSTIÇA  AMBIENTAL  </w:t>
      </w:r>
      <w:r>
        <w:t xml:space="preserve">E  </w:t>
      </w:r>
      <w:r>
        <w:rPr>
          <w:spacing w:val="5"/>
        </w:rPr>
        <w:t xml:space="preserve">SAÚDE  </w:t>
      </w:r>
      <w:r>
        <w:rPr>
          <w:spacing w:val="3"/>
        </w:rPr>
        <w:t xml:space="preserve">NO  </w:t>
      </w:r>
      <w:r>
        <w:rPr>
          <w:spacing w:val="5"/>
        </w:rPr>
        <w:t>BRASIL,</w:t>
      </w:r>
      <w:r>
        <w:rPr>
          <w:spacing w:val="-10"/>
        </w:rPr>
        <w:t xml:space="preserve"> </w:t>
      </w:r>
      <w:r>
        <w:rPr>
          <w:spacing w:val="7"/>
        </w:rPr>
        <w:t>2009).</w:t>
      </w:r>
    </w:p>
    <w:p w:rsidR="00D81F69" w:rsidRDefault="00330118">
      <w:pPr>
        <w:pStyle w:val="Corpodetexto"/>
        <w:spacing w:before="7"/>
      </w:pPr>
      <w:r>
        <w:t>Grande parte da energia que o complexo de Pecém irá gerar</w:t>
      </w:r>
    </w:p>
    <w:p w:rsidR="00D81F69" w:rsidRDefault="00330118">
      <w:pPr>
        <w:pStyle w:val="Corpodetexto"/>
        <w:spacing w:before="81" w:line="312" w:lineRule="auto"/>
        <w:ind w:right="217"/>
      </w:pPr>
      <w:r>
        <w:br w:type="column"/>
      </w:r>
      <w:r>
        <w:lastRenderedPageBreak/>
        <w:t>foi leiloada em 2007, o que aumenta a pressão para que o empreendimento seja finalizado (LOBO, 2008).</w:t>
      </w:r>
    </w:p>
    <w:p w:rsidR="00D81F69" w:rsidRDefault="00330118">
      <w:pPr>
        <w:pStyle w:val="Corpodetexto"/>
        <w:spacing w:before="132" w:line="312" w:lineRule="auto"/>
        <w:ind w:right="211"/>
      </w:pPr>
      <w:r>
        <w:t xml:space="preserve">A despeito da indefinição sobre a demarcação das terras dos Anacés, a Unidade Termelétrica do Pecém I (Energia Pecém) e a </w:t>
      </w:r>
      <w:r>
        <w:rPr>
          <w:spacing w:val="3"/>
        </w:rPr>
        <w:t xml:space="preserve">usina </w:t>
      </w:r>
      <w:r>
        <w:rPr>
          <w:spacing w:val="2"/>
        </w:rPr>
        <w:t xml:space="preserve">MPX </w:t>
      </w:r>
      <w:r>
        <w:rPr>
          <w:spacing w:val="3"/>
        </w:rPr>
        <w:t xml:space="preserve">Pecém </w:t>
      </w:r>
      <w:r>
        <w:rPr>
          <w:spacing w:val="1"/>
        </w:rPr>
        <w:t xml:space="preserve">II </w:t>
      </w:r>
      <w:r>
        <w:rPr>
          <w:spacing w:val="3"/>
        </w:rPr>
        <w:t>devem começar</w:t>
      </w:r>
      <w:r>
        <w:rPr>
          <w:spacing w:val="3"/>
        </w:rPr>
        <w:t xml:space="preserve"> </w:t>
      </w:r>
      <w:r>
        <w:t xml:space="preserve">a </w:t>
      </w:r>
      <w:r>
        <w:rPr>
          <w:spacing w:val="3"/>
        </w:rPr>
        <w:t xml:space="preserve">funcionar </w:t>
      </w:r>
      <w:r>
        <w:rPr>
          <w:spacing w:val="5"/>
        </w:rPr>
        <w:t xml:space="preserve">em </w:t>
      </w:r>
      <w:r>
        <w:t xml:space="preserve">2012. A MPX afirma que as novas usinas devem aumentar em 90% a </w:t>
      </w:r>
      <w:r>
        <w:rPr>
          <w:spacing w:val="1"/>
        </w:rPr>
        <w:t xml:space="preserve">produção </w:t>
      </w:r>
      <w:r>
        <w:t xml:space="preserve">de </w:t>
      </w:r>
      <w:r>
        <w:rPr>
          <w:spacing w:val="1"/>
        </w:rPr>
        <w:t xml:space="preserve">energia elétrica </w:t>
      </w:r>
      <w:r>
        <w:t xml:space="preserve">no </w:t>
      </w:r>
      <w:r>
        <w:rPr>
          <w:spacing w:val="1"/>
        </w:rPr>
        <w:t xml:space="preserve">Ceará. Tanto </w:t>
      </w:r>
      <w:r>
        <w:t xml:space="preserve">a Energia Pecém, quanto a MPX Pecém II funcionarão à base de carvão pulverizado. A matéria prima será trazida de minas </w:t>
      </w:r>
      <w:r>
        <w:rPr>
          <w:spacing w:val="1"/>
        </w:rPr>
        <w:t xml:space="preserve">da </w:t>
      </w:r>
      <w:r>
        <w:rPr>
          <w:spacing w:val="3"/>
        </w:rPr>
        <w:t xml:space="preserve">empresa </w:t>
      </w:r>
      <w:r>
        <w:rPr>
          <w:spacing w:val="1"/>
        </w:rPr>
        <w:t>na</w:t>
      </w:r>
      <w:r>
        <w:rPr>
          <w:spacing w:val="1"/>
        </w:rPr>
        <w:t xml:space="preserve"> </w:t>
      </w:r>
      <w:r>
        <w:rPr>
          <w:spacing w:val="3"/>
        </w:rPr>
        <w:t xml:space="preserve">Colômbia, passando </w:t>
      </w:r>
      <w:r>
        <w:rPr>
          <w:spacing w:val="2"/>
        </w:rPr>
        <w:t xml:space="preserve">pelo </w:t>
      </w:r>
      <w:r>
        <w:rPr>
          <w:spacing w:val="3"/>
        </w:rPr>
        <w:t xml:space="preserve">Porto </w:t>
      </w:r>
      <w:r>
        <w:rPr>
          <w:spacing w:val="1"/>
        </w:rPr>
        <w:t xml:space="preserve">de </w:t>
      </w:r>
      <w:r>
        <w:rPr>
          <w:spacing w:val="5"/>
        </w:rPr>
        <w:t xml:space="preserve">Pecém </w:t>
      </w:r>
      <w:r>
        <w:rPr>
          <w:spacing w:val="3"/>
        </w:rPr>
        <w:t>(MPX,</w:t>
      </w:r>
      <w:r>
        <w:rPr>
          <w:spacing w:val="21"/>
        </w:rPr>
        <w:t xml:space="preserve"> </w:t>
      </w:r>
      <w:r>
        <w:rPr>
          <w:spacing w:val="5"/>
        </w:rPr>
        <w:t>2011).</w:t>
      </w:r>
    </w:p>
    <w:p w:rsidR="00D81F69" w:rsidRDefault="00330118">
      <w:pPr>
        <w:pStyle w:val="Corpodetexto"/>
        <w:spacing w:before="138" w:line="312" w:lineRule="auto"/>
        <w:ind w:right="210"/>
      </w:pPr>
      <w:r>
        <w:rPr>
          <w:spacing w:val="1"/>
        </w:rPr>
        <w:t xml:space="preserve">Em </w:t>
      </w:r>
      <w:r>
        <w:rPr>
          <w:spacing w:val="3"/>
        </w:rPr>
        <w:t xml:space="preserve">setembro </w:t>
      </w:r>
      <w:r>
        <w:rPr>
          <w:spacing w:val="1"/>
        </w:rPr>
        <w:t xml:space="preserve">de </w:t>
      </w:r>
      <w:r>
        <w:rPr>
          <w:spacing w:val="3"/>
        </w:rPr>
        <w:t xml:space="preserve">2011, </w:t>
      </w:r>
      <w:r>
        <w:rPr>
          <w:spacing w:val="1"/>
        </w:rPr>
        <w:t xml:space="preserve">os </w:t>
      </w:r>
      <w:r>
        <w:rPr>
          <w:spacing w:val="3"/>
        </w:rPr>
        <w:t xml:space="preserve">trabalhadores </w:t>
      </w:r>
      <w:r>
        <w:rPr>
          <w:spacing w:val="1"/>
        </w:rPr>
        <w:t xml:space="preserve">da </w:t>
      </w:r>
      <w:r>
        <w:rPr>
          <w:spacing w:val="2"/>
        </w:rPr>
        <w:t xml:space="preserve">MPX </w:t>
      </w:r>
      <w:r>
        <w:rPr>
          <w:spacing w:val="3"/>
        </w:rPr>
        <w:t xml:space="preserve">Pecém </w:t>
      </w:r>
      <w:r>
        <w:t xml:space="preserve">I </w:t>
      </w:r>
      <w:r>
        <w:rPr>
          <w:spacing w:val="3"/>
        </w:rPr>
        <w:t xml:space="preserve">ameaçaram entrar </w:t>
      </w:r>
      <w:r>
        <w:rPr>
          <w:spacing w:val="1"/>
        </w:rPr>
        <w:t xml:space="preserve">em </w:t>
      </w:r>
      <w:r>
        <w:rPr>
          <w:spacing w:val="3"/>
        </w:rPr>
        <w:t xml:space="preserve">greve </w:t>
      </w:r>
      <w:r>
        <w:t xml:space="preserve">- </w:t>
      </w:r>
      <w:r>
        <w:rPr>
          <w:spacing w:val="3"/>
        </w:rPr>
        <w:t xml:space="preserve">seria </w:t>
      </w:r>
      <w:r>
        <w:t xml:space="preserve">a </w:t>
      </w:r>
      <w:r>
        <w:rPr>
          <w:spacing w:val="3"/>
        </w:rPr>
        <w:t xml:space="preserve">quarta </w:t>
      </w:r>
      <w:r>
        <w:rPr>
          <w:spacing w:val="5"/>
        </w:rPr>
        <w:t xml:space="preserve">paralisação </w:t>
      </w:r>
      <w:r>
        <w:t xml:space="preserve">desde o início do projeto e segunda em um período de menos de 15 </w:t>
      </w:r>
      <w:r>
        <w:rPr>
          <w:spacing w:val="1"/>
        </w:rPr>
        <w:t xml:space="preserve">dias. </w:t>
      </w:r>
      <w:r>
        <w:t xml:space="preserve">O </w:t>
      </w:r>
      <w:r>
        <w:rPr>
          <w:spacing w:val="1"/>
        </w:rPr>
        <w:t xml:space="preserve">Sindicato </w:t>
      </w:r>
      <w:r>
        <w:t xml:space="preserve">dos </w:t>
      </w:r>
      <w:r>
        <w:rPr>
          <w:spacing w:val="1"/>
        </w:rPr>
        <w:t xml:space="preserve">Trabalhadores </w:t>
      </w:r>
      <w:r>
        <w:t xml:space="preserve">da </w:t>
      </w:r>
      <w:r>
        <w:rPr>
          <w:spacing w:val="2"/>
        </w:rPr>
        <w:t xml:space="preserve">Construção </w:t>
      </w:r>
      <w:r>
        <w:t>Pesada (Sintepav) reivindica pagamentos por periculosidade e insalubridade para os funcionários, além de convênio para a família (atendimento nacional), cesta básica e equiparação salarial (LIMA,</w:t>
      </w:r>
      <w:r>
        <w:rPr>
          <w:spacing w:val="-15"/>
        </w:rPr>
        <w:t xml:space="preserve"> </w:t>
      </w:r>
      <w:r>
        <w:rPr>
          <w:spacing w:val="1"/>
        </w:rPr>
        <w:t>2011).</w:t>
      </w:r>
    </w:p>
    <w:p w:rsidR="00D81F69" w:rsidRDefault="00D81F69">
      <w:pPr>
        <w:pStyle w:val="Corpodetexto"/>
        <w:spacing w:before="7"/>
        <w:ind w:left="0"/>
        <w:jc w:val="left"/>
        <w:rPr>
          <w:sz w:val="21"/>
        </w:rPr>
      </w:pPr>
    </w:p>
    <w:p w:rsidR="00D81F69" w:rsidRDefault="00330118">
      <w:pPr>
        <w:pStyle w:val="Heading7"/>
        <w:jc w:val="left"/>
      </w:pPr>
      <w:r>
        <w:t>LOCALIZAÇÃO GEOGRÁFICA</w:t>
      </w:r>
    </w:p>
    <w:p w:rsidR="00D81F69" w:rsidRDefault="00330118">
      <w:pPr>
        <w:pStyle w:val="Corpodetexto"/>
        <w:spacing w:before="179" w:line="312" w:lineRule="auto"/>
        <w:ind w:right="196"/>
      </w:pPr>
      <w:r>
        <w:t>O</w:t>
      </w:r>
      <w:r>
        <w:t xml:space="preserve"> complexo do Pecém está localizado no município de São Gonçalo do Amarante, na região costeira do nordeste oriental, na latitude 38°52’56”W e longitude 3°35’50”S.</w:t>
      </w:r>
    </w:p>
    <w:p w:rsidR="00D81F69" w:rsidRDefault="00D81F69">
      <w:pPr>
        <w:pStyle w:val="Corpodetexto"/>
        <w:ind w:left="0"/>
        <w:jc w:val="left"/>
        <w:rPr>
          <w:sz w:val="29"/>
        </w:rPr>
      </w:pPr>
    </w:p>
    <w:p w:rsidR="00D81F69" w:rsidRDefault="00330118">
      <w:pPr>
        <w:pStyle w:val="Heading7"/>
        <w:jc w:val="left"/>
      </w:pPr>
      <w:r>
        <w:t>REDATORES</w:t>
      </w:r>
    </w:p>
    <w:p w:rsidR="00D81F69" w:rsidRDefault="00330118">
      <w:pPr>
        <w:pStyle w:val="Corpodetexto"/>
        <w:spacing w:before="179"/>
        <w:jc w:val="left"/>
      </w:pPr>
      <w:r>
        <w:t>Renata Olivieri; Eliane Araujo</w:t>
      </w:r>
    </w:p>
    <w:p w:rsidR="00D81F69" w:rsidRDefault="00D81F69">
      <w:pPr>
        <w:pStyle w:val="Corpodetexto"/>
        <w:ind w:left="0"/>
        <w:jc w:val="left"/>
        <w:rPr>
          <w:sz w:val="20"/>
        </w:rPr>
      </w:pPr>
    </w:p>
    <w:p w:rsidR="00D81F69" w:rsidRDefault="00330118">
      <w:pPr>
        <w:pStyle w:val="Heading7"/>
        <w:spacing w:before="165"/>
        <w:jc w:val="left"/>
      </w:pPr>
      <w:r>
        <w:t>REFERÊNCIAS BIBLIOGRÁFICAS</w:t>
      </w:r>
    </w:p>
    <w:p w:rsidR="00D81F69" w:rsidRDefault="00330118">
      <w:pPr>
        <w:spacing w:before="187" w:line="312" w:lineRule="auto"/>
        <w:ind w:left="100" w:right="186"/>
        <w:rPr>
          <w:sz w:val="16"/>
        </w:rPr>
      </w:pPr>
      <w:r>
        <w:rPr>
          <w:sz w:val="16"/>
        </w:rPr>
        <w:t>ADPEC, Associação dos D</w:t>
      </w:r>
      <w:r>
        <w:rPr>
          <w:sz w:val="16"/>
        </w:rPr>
        <w:t xml:space="preserve">efensores Públicos do Estado do Ceará. TRF libera obras da termelétrica MPX no Pecém. Fortaleza, 9 dez. 2008. Disponível em: </w:t>
      </w:r>
      <w:hyperlink r:id="rId723">
        <w:r>
          <w:rPr>
            <w:sz w:val="16"/>
          </w:rPr>
          <w:t>&lt;http://www.adpec.org.br/noticias/2/trf-libera-</w:t>
        </w:r>
      </w:hyperlink>
      <w:r>
        <w:rPr>
          <w:sz w:val="16"/>
        </w:rPr>
        <w:t xml:space="preserve"> obras-da-termeletri</w:t>
      </w:r>
      <w:r>
        <w:rPr>
          <w:sz w:val="16"/>
        </w:rPr>
        <w:t xml:space="preserve">ca-mpx-no-pecem&gt;. Acesso em: 15 mai. 2010. </w:t>
      </w:r>
      <w:r>
        <w:rPr>
          <w:spacing w:val="5"/>
          <w:sz w:val="16"/>
        </w:rPr>
        <w:t xml:space="preserve">ARAÚJO, Rogério </w:t>
      </w:r>
      <w:r>
        <w:rPr>
          <w:spacing w:val="3"/>
          <w:sz w:val="16"/>
        </w:rPr>
        <w:t xml:space="preserve">César </w:t>
      </w:r>
      <w:r>
        <w:rPr>
          <w:spacing w:val="5"/>
          <w:sz w:val="16"/>
        </w:rPr>
        <w:t xml:space="preserve">Pereira </w:t>
      </w:r>
      <w:r>
        <w:rPr>
          <w:spacing w:val="3"/>
          <w:sz w:val="16"/>
        </w:rPr>
        <w:t xml:space="preserve">de; </w:t>
      </w:r>
      <w:r>
        <w:rPr>
          <w:spacing w:val="5"/>
          <w:sz w:val="16"/>
        </w:rPr>
        <w:t xml:space="preserve">FREITAS, </w:t>
      </w:r>
      <w:r>
        <w:rPr>
          <w:spacing w:val="3"/>
          <w:sz w:val="16"/>
        </w:rPr>
        <w:t xml:space="preserve">Kelly Silva </w:t>
      </w:r>
      <w:r>
        <w:rPr>
          <w:spacing w:val="5"/>
          <w:sz w:val="16"/>
        </w:rPr>
        <w:t xml:space="preserve">de; </w:t>
      </w:r>
      <w:r>
        <w:rPr>
          <w:sz w:val="16"/>
        </w:rPr>
        <w:t xml:space="preserve">ALBUQUERQUE, Robério Lopes de. Impactos socioeconômicos do </w:t>
      </w:r>
      <w:r>
        <w:rPr>
          <w:spacing w:val="7"/>
          <w:sz w:val="16"/>
        </w:rPr>
        <w:t xml:space="preserve">Complexo </w:t>
      </w:r>
      <w:r>
        <w:rPr>
          <w:spacing w:val="8"/>
          <w:sz w:val="16"/>
        </w:rPr>
        <w:t xml:space="preserve">Industrial </w:t>
      </w:r>
      <w:r>
        <w:rPr>
          <w:sz w:val="16"/>
        </w:rPr>
        <w:t xml:space="preserve">e </w:t>
      </w:r>
      <w:r>
        <w:rPr>
          <w:spacing w:val="7"/>
          <w:sz w:val="16"/>
        </w:rPr>
        <w:t xml:space="preserve">Portuário </w:t>
      </w:r>
      <w:r>
        <w:rPr>
          <w:spacing w:val="5"/>
          <w:sz w:val="16"/>
        </w:rPr>
        <w:t xml:space="preserve">do </w:t>
      </w:r>
      <w:r>
        <w:rPr>
          <w:spacing w:val="7"/>
          <w:sz w:val="16"/>
        </w:rPr>
        <w:t xml:space="preserve">Pecém (CIPP) sobre </w:t>
      </w:r>
      <w:r>
        <w:rPr>
          <w:spacing w:val="10"/>
          <w:sz w:val="16"/>
        </w:rPr>
        <w:t xml:space="preserve">os </w:t>
      </w:r>
      <w:r>
        <w:rPr>
          <w:sz w:val="16"/>
        </w:rPr>
        <w:t xml:space="preserve">pescadores artesanais, São Gonçalo do </w:t>
      </w:r>
      <w:r>
        <w:rPr>
          <w:sz w:val="16"/>
        </w:rPr>
        <w:t xml:space="preserve">Amarante-CE. Porto Alegre, 47º Congresso da Sociedade Brasileira de Economia, Administração  e </w:t>
      </w:r>
      <w:r>
        <w:rPr>
          <w:spacing w:val="10"/>
          <w:sz w:val="16"/>
        </w:rPr>
        <w:t xml:space="preserve">Sociologia Rural, </w:t>
      </w:r>
      <w:r>
        <w:rPr>
          <w:spacing w:val="5"/>
          <w:sz w:val="16"/>
        </w:rPr>
        <w:t xml:space="preserve">26 </w:t>
      </w:r>
      <w:r>
        <w:rPr>
          <w:sz w:val="16"/>
        </w:rPr>
        <w:t xml:space="preserve">a </w:t>
      </w:r>
      <w:r>
        <w:rPr>
          <w:spacing w:val="5"/>
          <w:sz w:val="16"/>
        </w:rPr>
        <w:t xml:space="preserve">30 de </w:t>
      </w:r>
      <w:r>
        <w:rPr>
          <w:spacing w:val="8"/>
          <w:sz w:val="16"/>
        </w:rPr>
        <w:t xml:space="preserve">jul. 2009. </w:t>
      </w:r>
      <w:r>
        <w:rPr>
          <w:spacing w:val="10"/>
          <w:sz w:val="16"/>
        </w:rPr>
        <w:t>Disponível</w:t>
      </w:r>
      <w:r>
        <w:rPr>
          <w:spacing w:val="46"/>
          <w:sz w:val="16"/>
        </w:rPr>
        <w:t xml:space="preserve"> </w:t>
      </w:r>
      <w:r>
        <w:rPr>
          <w:spacing w:val="11"/>
          <w:sz w:val="16"/>
        </w:rPr>
        <w:t>em:</w:t>
      </w:r>
    </w:p>
    <w:p w:rsidR="00D81F69" w:rsidRDefault="00D81F69">
      <w:pPr>
        <w:spacing w:before="8" w:line="312" w:lineRule="auto"/>
        <w:ind w:left="100" w:right="196"/>
        <w:jc w:val="both"/>
        <w:rPr>
          <w:sz w:val="16"/>
        </w:rPr>
      </w:pPr>
      <w:hyperlink r:id="rId724">
        <w:r w:rsidR="00330118">
          <w:rPr>
            <w:sz w:val="16"/>
          </w:rPr>
          <w:t>&lt;http://www.sober.org.br/palestra/13/260.pdf&gt;</w:t>
        </w:r>
        <w:r w:rsidR="00330118">
          <w:rPr>
            <w:sz w:val="16"/>
          </w:rPr>
          <w:t xml:space="preserve">. </w:t>
        </w:r>
      </w:hyperlink>
      <w:r w:rsidR="00330118">
        <w:rPr>
          <w:sz w:val="16"/>
        </w:rPr>
        <w:t>Acesso em: 13 mai. 2010.</w:t>
      </w:r>
    </w:p>
    <w:p w:rsidR="00D81F69" w:rsidRDefault="00330118">
      <w:pPr>
        <w:spacing w:before="2" w:line="312" w:lineRule="auto"/>
        <w:ind w:left="100" w:right="157"/>
        <w:jc w:val="both"/>
        <w:rPr>
          <w:sz w:val="16"/>
        </w:rPr>
      </w:pPr>
      <w:r>
        <w:rPr>
          <w:sz w:val="16"/>
        </w:rPr>
        <w:t xml:space="preserve">CASTRO, Carol de. Anacés: TRF indefere liminar. Diário do Nordeste, Fortaleza, 10 fev. 2010. Disponível em: </w:t>
      </w:r>
    </w:p>
    <w:p w:rsidR="00D81F69" w:rsidRDefault="00D81F69">
      <w:pPr>
        <w:spacing w:before="2" w:line="312" w:lineRule="auto"/>
        <w:ind w:left="100" w:right="194"/>
        <w:jc w:val="both"/>
        <w:rPr>
          <w:sz w:val="16"/>
        </w:rPr>
      </w:pPr>
      <w:hyperlink r:id="rId725">
        <w:r w:rsidR="00330118">
          <w:rPr>
            <w:sz w:val="16"/>
          </w:rPr>
          <w:t>&lt;</w:t>
        </w:r>
        <w:r w:rsidR="00330118">
          <w:rPr>
            <w:sz w:val="16"/>
          </w:rPr>
          <w:t>http://diariodonordeste.globo.com/materia.asp?codigo=734495&gt;.</w:t>
        </w:r>
      </w:hyperlink>
      <w:r w:rsidR="00330118">
        <w:rPr>
          <w:sz w:val="16"/>
        </w:rPr>
        <w:t xml:space="preserve"> Acesso em: 14 mai. 2010.</w:t>
      </w:r>
    </w:p>
    <w:p w:rsidR="00D81F69" w:rsidRDefault="00330118">
      <w:pPr>
        <w:spacing w:before="1" w:line="312" w:lineRule="auto"/>
        <w:ind w:left="100" w:right="215"/>
        <w:jc w:val="both"/>
        <w:rPr>
          <w:sz w:val="16"/>
        </w:rPr>
      </w:pPr>
      <w:r>
        <w:rPr>
          <w:sz w:val="16"/>
        </w:rPr>
        <w:t xml:space="preserve">FUNAI. A cobiçada Terra Anacé. Blog da Coordenação Regional de Fortaleza da Fundação Nacional do Índio, 18 mar. 2011. Disponível em: </w:t>
      </w:r>
      <w:hyperlink r:id="rId726">
        <w:r>
          <w:rPr>
            <w:sz w:val="16"/>
          </w:rPr>
          <w:t>&lt;http://funaiceara.blogspot.com/2011/03/indigenas-do-ceara-em-</w:t>
        </w:r>
      </w:hyperlink>
      <w:r>
        <w:rPr>
          <w:sz w:val="16"/>
        </w:rPr>
        <w:t xml:space="preserve"> busca-da-paz.html&gt;. Acesso em: 26 out. 2011.</w:t>
      </w:r>
    </w:p>
    <w:p w:rsidR="00D81F69" w:rsidRDefault="00330118">
      <w:pPr>
        <w:spacing w:before="3" w:line="312" w:lineRule="auto"/>
        <w:ind w:left="100" w:right="185"/>
        <w:jc w:val="both"/>
        <w:rPr>
          <w:sz w:val="16"/>
        </w:rPr>
      </w:pPr>
      <w:r>
        <w:rPr>
          <w:sz w:val="16"/>
        </w:rPr>
        <w:t xml:space="preserve">IBGE, Instituto Brasileiro de Geografia e Estatística. São Gonçalo do Amarante (CE). In: IBGE Cidades, 2010. Disponível em: </w:t>
      </w:r>
    </w:p>
    <w:p w:rsidR="00D81F69" w:rsidRDefault="00D81F69">
      <w:pPr>
        <w:spacing w:before="2" w:line="312" w:lineRule="auto"/>
        <w:ind w:left="100" w:right="189"/>
        <w:jc w:val="both"/>
        <w:rPr>
          <w:sz w:val="16"/>
        </w:rPr>
      </w:pPr>
      <w:hyperlink r:id="rId727">
        <w:r w:rsidR="00330118">
          <w:rPr>
            <w:sz w:val="16"/>
          </w:rPr>
          <w:t>&lt;http://www.ibge.gov.br/cidadesat/link.php?codmun=231240&gt;.</w:t>
        </w:r>
      </w:hyperlink>
      <w:r w:rsidR="00330118">
        <w:rPr>
          <w:sz w:val="16"/>
        </w:rPr>
        <w:t xml:space="preserve"> Acesso em: 2 dez. 2011.</w:t>
      </w:r>
    </w:p>
    <w:p w:rsidR="00D81F69" w:rsidRDefault="00330118">
      <w:pPr>
        <w:spacing w:before="2" w:line="312" w:lineRule="auto"/>
        <w:ind w:left="100" w:right="190"/>
        <w:jc w:val="both"/>
        <w:rPr>
          <w:sz w:val="16"/>
        </w:rPr>
      </w:pPr>
      <w:r>
        <w:rPr>
          <w:sz w:val="16"/>
        </w:rPr>
        <w:t>LAGE, Diego. Terras do povo Anacé serão identificadas e delimitadas.  O  Povo,  Fortaleza,  20  abr.  2010.  Disponível em:</w:t>
      </w:r>
    </w:p>
    <w:p w:rsidR="00D81F69" w:rsidRDefault="00D81F69">
      <w:pPr>
        <w:spacing w:before="1"/>
        <w:ind w:left="100"/>
        <w:jc w:val="both"/>
        <w:rPr>
          <w:sz w:val="16"/>
        </w:rPr>
      </w:pPr>
      <w:hyperlink r:id="rId728">
        <w:r w:rsidR="00330118">
          <w:rPr>
            <w:sz w:val="16"/>
          </w:rPr>
          <w:t>&lt;http://opovo.uol.com.br/opovo/economia/</w:t>
        </w:r>
        <w:r w:rsidR="00330118">
          <w:rPr>
            <w:sz w:val="16"/>
          </w:rPr>
          <w:t xml:space="preserve">974929.htm&gt;.   </w:t>
        </w:r>
      </w:hyperlink>
      <w:r w:rsidR="00330118">
        <w:rPr>
          <w:sz w:val="16"/>
        </w:rPr>
        <w:t>Acesso  em:</w:t>
      </w:r>
    </w:p>
    <w:p w:rsidR="00D81F69" w:rsidRDefault="00330118">
      <w:pPr>
        <w:spacing w:before="56"/>
        <w:ind w:left="100"/>
        <w:jc w:val="both"/>
        <w:rPr>
          <w:sz w:val="16"/>
        </w:rPr>
      </w:pPr>
      <w:r>
        <w:rPr>
          <w:sz w:val="16"/>
        </w:rPr>
        <w:t>14 mai. 2010.</w:t>
      </w:r>
    </w:p>
    <w:p w:rsidR="00D81F69" w:rsidRDefault="00D81F69">
      <w:pPr>
        <w:jc w:val="both"/>
        <w:rPr>
          <w:sz w:val="16"/>
        </w:rPr>
        <w:sectPr w:rsidR="00D81F69">
          <w:pgSz w:w="11900" w:h="16840"/>
          <w:pgMar w:top="740" w:right="500" w:bottom="660" w:left="620" w:header="0" w:footer="402" w:gutter="0"/>
          <w:cols w:num="2" w:space="720" w:equalWidth="0">
            <w:col w:w="5162" w:space="308"/>
            <w:col w:w="5310"/>
          </w:cols>
        </w:sectPr>
      </w:pPr>
    </w:p>
    <w:p w:rsidR="00D81F69" w:rsidRDefault="00330118">
      <w:pPr>
        <w:spacing w:before="70" w:line="312" w:lineRule="auto"/>
        <w:ind w:left="100" w:right="38"/>
        <w:jc w:val="both"/>
        <w:rPr>
          <w:sz w:val="16"/>
        </w:rPr>
      </w:pPr>
      <w:r>
        <w:rPr>
          <w:sz w:val="16"/>
        </w:rPr>
        <w:lastRenderedPageBreak/>
        <w:t xml:space="preserve">LIMA, Eliomar. Operários de termoelétrica do Pécem ameaçam nova greve. O Povo, 16 set. 2011. Disponível em: </w:t>
      </w:r>
    </w:p>
    <w:p w:rsidR="00D81F69" w:rsidRDefault="00D81F69">
      <w:pPr>
        <w:spacing w:before="1" w:line="312" w:lineRule="auto"/>
        <w:ind w:left="100" w:right="68"/>
        <w:jc w:val="both"/>
        <w:rPr>
          <w:sz w:val="16"/>
        </w:rPr>
      </w:pPr>
      <w:hyperlink r:id="rId729">
        <w:r w:rsidR="00330118">
          <w:rPr>
            <w:sz w:val="16"/>
          </w:rPr>
          <w:t>&lt;</w:t>
        </w:r>
        <w:r w:rsidR="00330118">
          <w:rPr>
            <w:sz w:val="16"/>
          </w:rPr>
          <w:t xml:space="preserve">http://blog.opovo.com.br/blogdoeliomar/categoria/sem- </w:t>
        </w:r>
      </w:hyperlink>
      <w:r w:rsidR="00330118">
        <w:rPr>
          <w:sz w:val="16"/>
        </w:rPr>
        <w:t xml:space="preserve">categoria/page/13/&gt;. Acesso em: 26 out. 2011. </w:t>
      </w:r>
    </w:p>
    <w:p w:rsidR="00D81F69" w:rsidRDefault="00330118">
      <w:pPr>
        <w:spacing w:before="2"/>
        <w:ind w:left="100"/>
        <w:rPr>
          <w:sz w:val="16"/>
        </w:rPr>
      </w:pPr>
      <w:r>
        <w:rPr>
          <w:sz w:val="16"/>
        </w:rPr>
        <w:t>LOBO, Felipe. Poeira à vista. O Eco, 3 jun. 2008. Disponível em:</w:t>
      </w:r>
    </w:p>
    <w:p w:rsidR="00D81F69" w:rsidRDefault="00D81F69">
      <w:pPr>
        <w:spacing w:before="56" w:line="312" w:lineRule="auto"/>
        <w:ind w:left="100" w:right="67"/>
        <w:jc w:val="both"/>
        <w:rPr>
          <w:sz w:val="16"/>
        </w:rPr>
      </w:pPr>
      <w:hyperlink r:id="rId730">
        <w:r w:rsidR="00330118">
          <w:rPr>
            <w:sz w:val="16"/>
          </w:rPr>
          <w:t>&lt;http://www.</w:t>
        </w:r>
        <w:r w:rsidR="00330118">
          <w:rPr>
            <w:sz w:val="16"/>
          </w:rPr>
          <w:t>oeco.com.br/reportagens-especiais/2260-oeco_27788&gt;.</w:t>
        </w:r>
      </w:hyperlink>
      <w:r w:rsidR="00330118">
        <w:rPr>
          <w:sz w:val="16"/>
        </w:rPr>
        <w:t xml:space="preserve"> Acesso em: 26 out. 2011.</w:t>
      </w:r>
    </w:p>
    <w:p w:rsidR="00D81F69" w:rsidRDefault="00330118">
      <w:pPr>
        <w:spacing w:before="2"/>
        <w:ind w:left="100"/>
        <w:rPr>
          <w:sz w:val="16"/>
        </w:rPr>
      </w:pPr>
      <w:r>
        <w:rPr>
          <w:sz w:val="16"/>
        </w:rPr>
        <w:t>MAPA DA INJUSTIÇA AMBIENTAL E SAÚDE NO BRASIL. Povo</w:t>
      </w:r>
    </w:p>
    <w:p w:rsidR="00D81F69" w:rsidRDefault="00330118">
      <w:pPr>
        <w:tabs>
          <w:tab w:val="left" w:pos="4331"/>
        </w:tabs>
        <w:spacing w:before="56" w:line="312" w:lineRule="auto"/>
        <w:ind w:left="100" w:right="65"/>
        <w:jc w:val="both"/>
        <w:rPr>
          <w:sz w:val="16"/>
        </w:rPr>
      </w:pPr>
      <w:r>
        <w:rPr>
          <w:sz w:val="16"/>
        </w:rPr>
        <w:t xml:space="preserve">Anacé é desrespeitado e expulso de seu território para construção do </w:t>
      </w:r>
      <w:r>
        <w:rPr>
          <w:spacing w:val="1"/>
          <w:sz w:val="16"/>
        </w:rPr>
        <w:t xml:space="preserve">Complexo Industrial </w:t>
      </w:r>
      <w:r>
        <w:rPr>
          <w:sz w:val="16"/>
        </w:rPr>
        <w:t xml:space="preserve">e </w:t>
      </w:r>
      <w:r>
        <w:rPr>
          <w:spacing w:val="1"/>
          <w:sz w:val="16"/>
        </w:rPr>
        <w:t xml:space="preserve">Portuário </w:t>
      </w:r>
      <w:r>
        <w:rPr>
          <w:sz w:val="16"/>
        </w:rPr>
        <w:t xml:space="preserve">do </w:t>
      </w:r>
      <w:r>
        <w:rPr>
          <w:spacing w:val="1"/>
          <w:sz w:val="16"/>
        </w:rPr>
        <w:t xml:space="preserve">Pecém. Base </w:t>
      </w:r>
      <w:r>
        <w:rPr>
          <w:sz w:val="16"/>
        </w:rPr>
        <w:t xml:space="preserve">de  </w:t>
      </w:r>
      <w:r>
        <w:rPr>
          <w:spacing w:val="1"/>
          <w:sz w:val="16"/>
        </w:rPr>
        <w:t xml:space="preserve">dados, </w:t>
      </w:r>
      <w:r>
        <w:rPr>
          <w:spacing w:val="2"/>
          <w:sz w:val="16"/>
        </w:rPr>
        <w:t>2009.</w:t>
      </w:r>
      <w:r>
        <w:rPr>
          <w:spacing w:val="50"/>
          <w:sz w:val="16"/>
        </w:rPr>
        <w:t xml:space="preserve">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86"/>
        <w:jc w:val="both"/>
        <w:rPr>
          <w:sz w:val="16"/>
        </w:rPr>
      </w:pPr>
      <w:hyperlink r:id="rId731">
        <w:r w:rsidR="00330118">
          <w:rPr>
            <w:sz w:val="16"/>
          </w:rPr>
          <w:t>&lt;http://www.conflitoambiental.icict.fiocruz.br/index.php?pag=ficha&amp;co</w:t>
        </w:r>
      </w:hyperlink>
      <w:r w:rsidR="00330118">
        <w:rPr>
          <w:sz w:val="16"/>
        </w:rPr>
        <w:t xml:space="preserve"> d=45&gt;. Acesso em: 26 ou</w:t>
      </w:r>
      <w:r w:rsidR="00330118">
        <w:rPr>
          <w:sz w:val="16"/>
        </w:rPr>
        <w:t>t. 2011.</w:t>
      </w:r>
    </w:p>
    <w:p w:rsidR="00D81F69" w:rsidRDefault="00330118">
      <w:pPr>
        <w:spacing w:before="2" w:line="312" w:lineRule="auto"/>
        <w:ind w:left="100" w:right="41"/>
        <w:jc w:val="both"/>
        <w:rPr>
          <w:sz w:val="16"/>
        </w:rPr>
      </w:pPr>
      <w:r>
        <w:rPr>
          <w:spacing w:val="2"/>
          <w:sz w:val="16"/>
        </w:rPr>
        <w:t xml:space="preserve">MPF, </w:t>
      </w:r>
      <w:r>
        <w:rPr>
          <w:spacing w:val="3"/>
          <w:sz w:val="16"/>
        </w:rPr>
        <w:t xml:space="preserve">Ministério Público Federal. </w:t>
      </w:r>
      <w:r>
        <w:rPr>
          <w:spacing w:val="2"/>
          <w:sz w:val="16"/>
        </w:rPr>
        <w:t xml:space="preserve">MPF </w:t>
      </w:r>
      <w:r>
        <w:rPr>
          <w:spacing w:val="3"/>
          <w:sz w:val="16"/>
        </w:rPr>
        <w:t xml:space="preserve">ajuíza </w:t>
      </w:r>
      <w:r>
        <w:rPr>
          <w:spacing w:val="2"/>
          <w:sz w:val="16"/>
        </w:rPr>
        <w:t xml:space="preserve">ação para </w:t>
      </w:r>
      <w:r>
        <w:rPr>
          <w:spacing w:val="5"/>
          <w:sz w:val="16"/>
        </w:rPr>
        <w:t xml:space="preserve">garantir </w:t>
      </w:r>
      <w:r>
        <w:rPr>
          <w:sz w:val="16"/>
        </w:rPr>
        <w:t xml:space="preserve">direitos do povo indígena Anacé ameaçado pelo Complexo Industrial  e Portuário do Pecém, CE. Informe da Procuradoria da República no </w:t>
      </w:r>
      <w:r>
        <w:rPr>
          <w:spacing w:val="20"/>
          <w:sz w:val="16"/>
        </w:rPr>
        <w:t>Ceará.</w:t>
      </w:r>
      <w:r>
        <w:rPr>
          <w:spacing w:val="85"/>
          <w:sz w:val="16"/>
        </w:rPr>
        <w:t xml:space="preserve"> </w:t>
      </w:r>
      <w:r>
        <w:rPr>
          <w:spacing w:val="22"/>
          <w:sz w:val="16"/>
        </w:rPr>
        <w:t xml:space="preserve">Fortaleza, </w:t>
      </w:r>
      <w:r>
        <w:rPr>
          <w:spacing w:val="12"/>
          <w:sz w:val="16"/>
        </w:rPr>
        <w:t xml:space="preserve">15 </w:t>
      </w:r>
      <w:r>
        <w:rPr>
          <w:spacing w:val="18"/>
          <w:sz w:val="16"/>
        </w:rPr>
        <w:t xml:space="preserve">dez. </w:t>
      </w:r>
      <w:r>
        <w:rPr>
          <w:spacing w:val="20"/>
          <w:sz w:val="16"/>
        </w:rPr>
        <w:t xml:space="preserve">2009. </w:t>
      </w:r>
      <w:r>
        <w:rPr>
          <w:spacing w:val="22"/>
          <w:sz w:val="16"/>
        </w:rPr>
        <w:t>Disponível</w:t>
      </w:r>
      <w:r>
        <w:rPr>
          <w:spacing w:val="55"/>
          <w:sz w:val="16"/>
        </w:rPr>
        <w:t xml:space="preserve"> </w:t>
      </w:r>
      <w:r>
        <w:rPr>
          <w:spacing w:val="16"/>
          <w:sz w:val="16"/>
        </w:rPr>
        <w:t>em:</w:t>
      </w:r>
      <w:r>
        <w:rPr>
          <w:spacing w:val="-17"/>
          <w:sz w:val="16"/>
        </w:rPr>
        <w:t xml:space="preserve"> </w:t>
      </w:r>
    </w:p>
    <w:p w:rsidR="00D81F69" w:rsidRDefault="00D81F69">
      <w:pPr>
        <w:spacing w:before="3" w:line="312" w:lineRule="auto"/>
        <w:ind w:left="100" w:right="84"/>
        <w:jc w:val="both"/>
        <w:rPr>
          <w:sz w:val="16"/>
        </w:rPr>
      </w:pPr>
      <w:hyperlink r:id="rId732">
        <w:r w:rsidR="00330118">
          <w:rPr>
            <w:sz w:val="16"/>
          </w:rPr>
          <w:t>&lt;http://noticias.pgr.mpf.gov.br/noticias/noticias-do-site/copy_of_indios-</w:t>
        </w:r>
      </w:hyperlink>
      <w:r w:rsidR="00330118">
        <w:rPr>
          <w:sz w:val="16"/>
        </w:rPr>
        <w:t xml:space="preserve"> e-minorias/mpf-ce-ajuiza-acao-civil-publica-para-garantir-direitos-do- povo-anace/&gt; Acesso em:</w:t>
      </w:r>
      <w:r w:rsidR="00330118">
        <w:rPr>
          <w:sz w:val="16"/>
        </w:rPr>
        <w:t xml:space="preserve"> 13 mai. 2010.</w:t>
      </w:r>
    </w:p>
    <w:p w:rsidR="00D81F69" w:rsidRDefault="00330118">
      <w:pPr>
        <w:spacing w:before="2"/>
        <w:ind w:left="100"/>
        <w:rPr>
          <w:sz w:val="16"/>
        </w:rPr>
      </w:pPr>
      <w:r>
        <w:rPr>
          <w:sz w:val="16"/>
        </w:rPr>
        <w:t xml:space="preserve">MPX.   Energia  Pecém.  Portal  da   MPX.   Disponível em: </w:t>
      </w:r>
    </w:p>
    <w:p w:rsidR="00D81F69" w:rsidRDefault="00D81F69">
      <w:pPr>
        <w:spacing w:before="56" w:line="312" w:lineRule="auto"/>
        <w:ind w:left="100" w:right="51"/>
        <w:jc w:val="both"/>
        <w:rPr>
          <w:sz w:val="16"/>
        </w:rPr>
      </w:pPr>
      <w:hyperlink r:id="rId733">
        <w:r w:rsidR="00330118">
          <w:rPr>
            <w:sz w:val="16"/>
          </w:rPr>
          <w:t xml:space="preserve">&lt;http://www.mpx.com.br/pt/nossos-negocios/geracao-de- </w:t>
        </w:r>
      </w:hyperlink>
      <w:r w:rsidR="00330118">
        <w:rPr>
          <w:sz w:val="16"/>
        </w:rPr>
        <w:t xml:space="preserve">energia/empreendimentos/Paginas/energia-pecem.aspx&gt;. </w:t>
      </w:r>
    </w:p>
    <w:p w:rsidR="00D81F69" w:rsidRDefault="00330118">
      <w:pPr>
        <w:spacing w:before="70"/>
        <w:ind w:left="100"/>
        <w:rPr>
          <w:sz w:val="16"/>
        </w:rPr>
      </w:pPr>
      <w:r>
        <w:br w:type="column"/>
      </w:r>
      <w:r>
        <w:rPr>
          <w:sz w:val="16"/>
        </w:rPr>
        <w:lastRenderedPageBreak/>
        <w:t>Ac</w:t>
      </w:r>
      <w:r>
        <w:rPr>
          <w:sz w:val="16"/>
        </w:rPr>
        <w:t>esso em: 26 out. 2011.</w:t>
      </w:r>
    </w:p>
    <w:p w:rsidR="00D81F69" w:rsidRDefault="00330118">
      <w:pPr>
        <w:spacing w:before="56" w:line="312" w:lineRule="auto"/>
        <w:ind w:left="100" w:right="194"/>
        <w:jc w:val="both"/>
        <w:rPr>
          <w:sz w:val="16"/>
        </w:rPr>
      </w:pPr>
      <w:r>
        <w:rPr>
          <w:sz w:val="16"/>
        </w:rPr>
        <w:t xml:space="preserve">RIGOTTO, Raquel Maria. Inserção da saúde nos estudos de impacto ambiental: o caso de uma termelétrica a carvão mineral no Ceará. In: Ciência &amp; Saúde Coletiva, v.14, n. 6, Rio de Janeiro, dez. 2009. Disponível em: </w:t>
      </w:r>
      <w:hyperlink r:id="rId734">
        <w:r>
          <w:rPr>
            <w:sz w:val="16"/>
          </w:rPr>
          <w:t>&lt;http://www.scielosp.org/scielo.php?pid=S1413-</w:t>
        </w:r>
      </w:hyperlink>
      <w:r>
        <w:rPr>
          <w:sz w:val="16"/>
        </w:rPr>
        <w:t xml:space="preserve"> 81232009000600012&amp;script=sci_arttext&amp;tlng=pt&gt;. Acesso em: 13 mai. 2010.</w:t>
      </w:r>
    </w:p>
    <w:p w:rsidR="00D81F69" w:rsidRDefault="00330118">
      <w:pPr>
        <w:spacing w:before="5" w:line="312" w:lineRule="auto"/>
        <w:ind w:left="100" w:right="174"/>
        <w:jc w:val="both"/>
        <w:rPr>
          <w:sz w:val="16"/>
        </w:rPr>
      </w:pPr>
      <w:r>
        <w:rPr>
          <w:sz w:val="16"/>
        </w:rPr>
        <w:t xml:space="preserve">SERPA, Egídio. Solução técnica para as cinzas do Pecém. Diário do Nordeste, </w:t>
      </w:r>
      <w:r>
        <w:rPr>
          <w:sz w:val="16"/>
        </w:rPr>
        <w:t xml:space="preserve">11 mar. 2011a. Disponível em </w:t>
      </w:r>
    </w:p>
    <w:p w:rsidR="00D81F69" w:rsidRDefault="00D81F69">
      <w:pPr>
        <w:spacing w:before="1" w:line="312" w:lineRule="auto"/>
        <w:ind w:left="100" w:right="210"/>
        <w:jc w:val="both"/>
        <w:rPr>
          <w:sz w:val="16"/>
        </w:rPr>
      </w:pPr>
      <w:hyperlink r:id="rId735">
        <w:r w:rsidR="00330118">
          <w:rPr>
            <w:sz w:val="16"/>
          </w:rPr>
          <w:t>&lt;http://blogs.diariodonordeste.com.br/egidio/micro-alga-limpara-</w:t>
        </w:r>
      </w:hyperlink>
      <w:r w:rsidR="00330118">
        <w:rPr>
          <w:sz w:val="16"/>
        </w:rPr>
        <w:t xml:space="preserve"> carvao-mineral-em-pecem/&gt;. Acesso em: 12 mar. 2011.</w:t>
      </w:r>
    </w:p>
    <w:p w:rsidR="00D81F69" w:rsidRDefault="00330118">
      <w:pPr>
        <w:spacing w:before="2" w:line="312" w:lineRule="auto"/>
        <w:ind w:left="100" w:right="182"/>
        <w:jc w:val="both"/>
        <w:rPr>
          <w:sz w:val="16"/>
        </w:rPr>
      </w:pPr>
      <w:r>
        <w:rPr>
          <w:sz w:val="16"/>
        </w:rPr>
        <w:t>______. Cinzas da termelétri</w:t>
      </w:r>
      <w:r>
        <w:rPr>
          <w:sz w:val="16"/>
        </w:rPr>
        <w:t xml:space="preserve">ca de Pecém terão solução técnica. Diário do Nordeste, 12 mar. 2011b. Disponível em: </w:t>
      </w:r>
    </w:p>
    <w:p w:rsidR="00D81F69" w:rsidRDefault="00D81F69">
      <w:pPr>
        <w:spacing w:before="1" w:line="312" w:lineRule="auto"/>
        <w:ind w:left="100" w:right="214"/>
        <w:jc w:val="both"/>
        <w:rPr>
          <w:sz w:val="16"/>
        </w:rPr>
      </w:pPr>
      <w:hyperlink r:id="rId736">
        <w:r w:rsidR="00330118">
          <w:rPr>
            <w:sz w:val="16"/>
          </w:rPr>
          <w:t>&lt;http://blogs.diariodonordeste.com.br/egidio/cinzas-da-termeletrica-</w:t>
        </w:r>
      </w:hyperlink>
      <w:r w:rsidR="00330118">
        <w:rPr>
          <w:sz w:val="16"/>
        </w:rPr>
        <w:t xml:space="preserve"> de-pecem-terao-s</w:t>
      </w:r>
      <w:r w:rsidR="00330118">
        <w:rPr>
          <w:sz w:val="16"/>
        </w:rPr>
        <w:t>olucao-tecnica/&gt;. Acesso em: 12 mar. 2011.</w:t>
      </w:r>
    </w:p>
    <w:p w:rsidR="00D81F69" w:rsidRDefault="00330118">
      <w:pPr>
        <w:spacing w:before="2" w:line="312" w:lineRule="auto"/>
        <w:ind w:left="100" w:right="198"/>
        <w:jc w:val="both"/>
        <w:rPr>
          <w:sz w:val="16"/>
        </w:rPr>
      </w:pPr>
      <w:r>
        <w:rPr>
          <w:sz w:val="16"/>
        </w:rPr>
        <w:t>SOARES, Camille. Etnia Anacé deve apontar suas terras no Complexo do Pecém. O Povo, Fortaleza, 6 abr. 2010. Disponível em:</w:t>
      </w:r>
    </w:p>
    <w:p w:rsidR="00D81F69" w:rsidRDefault="00D81F69">
      <w:pPr>
        <w:spacing w:before="2" w:line="312" w:lineRule="auto"/>
        <w:ind w:left="100" w:right="198"/>
        <w:jc w:val="both"/>
        <w:rPr>
          <w:sz w:val="16"/>
        </w:rPr>
      </w:pPr>
      <w:hyperlink r:id="rId737">
        <w:r w:rsidR="00330118">
          <w:rPr>
            <w:sz w:val="16"/>
          </w:rPr>
          <w:t>&lt;http://opovo.uol.com.</w:t>
        </w:r>
        <w:r w:rsidR="00330118">
          <w:rPr>
            <w:sz w:val="16"/>
          </w:rPr>
          <w:t xml:space="preserve">br/opovo/economia/969639.html&gt;. </w:t>
        </w:r>
      </w:hyperlink>
      <w:r w:rsidR="00330118">
        <w:rPr>
          <w:sz w:val="16"/>
        </w:rPr>
        <w:t>Acesso em: 14 mai. 2010.</w:t>
      </w:r>
    </w:p>
    <w:p w:rsidR="00D81F69" w:rsidRDefault="00330118">
      <w:pPr>
        <w:spacing w:before="1" w:line="312" w:lineRule="auto"/>
        <w:ind w:left="100" w:right="162"/>
        <w:jc w:val="both"/>
        <w:rPr>
          <w:sz w:val="16"/>
        </w:rPr>
      </w:pPr>
      <w:r>
        <w:rPr>
          <w:sz w:val="16"/>
        </w:rPr>
        <w:t xml:space="preserve">SOUSA, Sergio de. Indígenas discutem impactos da refinaria. Diário </w:t>
      </w:r>
      <w:r>
        <w:rPr>
          <w:spacing w:val="17"/>
          <w:sz w:val="16"/>
        </w:rPr>
        <w:t xml:space="preserve">do </w:t>
      </w:r>
      <w:r>
        <w:rPr>
          <w:spacing w:val="31"/>
          <w:sz w:val="16"/>
        </w:rPr>
        <w:t xml:space="preserve">Nordeste, </w:t>
      </w:r>
      <w:r>
        <w:rPr>
          <w:sz w:val="16"/>
        </w:rPr>
        <w:t xml:space="preserve">2 </w:t>
      </w:r>
      <w:r>
        <w:rPr>
          <w:spacing w:val="26"/>
          <w:sz w:val="16"/>
        </w:rPr>
        <w:t xml:space="preserve">dez. </w:t>
      </w:r>
      <w:r>
        <w:rPr>
          <w:spacing w:val="28"/>
          <w:sz w:val="16"/>
        </w:rPr>
        <w:t xml:space="preserve">2011. </w:t>
      </w:r>
      <w:r>
        <w:rPr>
          <w:spacing w:val="32"/>
          <w:sz w:val="16"/>
        </w:rPr>
        <w:t>Disponível</w:t>
      </w:r>
      <w:r>
        <w:rPr>
          <w:spacing w:val="83"/>
          <w:sz w:val="16"/>
        </w:rPr>
        <w:t xml:space="preserve"> </w:t>
      </w:r>
      <w:r>
        <w:rPr>
          <w:spacing w:val="23"/>
          <w:sz w:val="16"/>
        </w:rPr>
        <w:t>em:</w:t>
      </w:r>
      <w:r>
        <w:rPr>
          <w:spacing w:val="-7"/>
          <w:sz w:val="16"/>
        </w:rPr>
        <w:t xml:space="preserve"> </w:t>
      </w:r>
    </w:p>
    <w:p w:rsidR="00D81F69" w:rsidRDefault="00D81F69">
      <w:pPr>
        <w:spacing w:before="2" w:line="312" w:lineRule="auto"/>
        <w:ind w:left="100" w:right="195"/>
        <w:jc w:val="both"/>
        <w:rPr>
          <w:sz w:val="16"/>
        </w:rPr>
      </w:pPr>
      <w:hyperlink r:id="rId738">
        <w:r w:rsidR="00330118">
          <w:rPr>
            <w:sz w:val="16"/>
          </w:rPr>
          <w:t>&lt;http://diar</w:t>
        </w:r>
        <w:r w:rsidR="00330118">
          <w:rPr>
            <w:sz w:val="16"/>
          </w:rPr>
          <w:t>iodonordeste.globo.com/materia.asp?codigo=1077987&gt;.</w:t>
        </w:r>
      </w:hyperlink>
      <w:r w:rsidR="00330118">
        <w:rPr>
          <w:sz w:val="16"/>
        </w:rPr>
        <w:t xml:space="preserve"> Acesso em: 6 dez. 2011.</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80" w:space="290"/>
            <w:col w:w="5310"/>
          </w:cols>
        </w:sectPr>
      </w:pPr>
    </w:p>
    <w:p w:rsidR="00D81F69" w:rsidRDefault="00330118">
      <w:pPr>
        <w:pStyle w:val="Heading1"/>
        <w:tabs>
          <w:tab w:val="left" w:pos="2014"/>
          <w:tab w:val="left" w:pos="2726"/>
          <w:tab w:val="left" w:pos="3138"/>
          <w:tab w:val="left" w:pos="3450"/>
          <w:tab w:val="left" w:pos="3585"/>
          <w:tab w:val="left" w:pos="4055"/>
          <w:tab w:val="left" w:pos="4694"/>
          <w:tab w:val="left" w:pos="5630"/>
          <w:tab w:val="left" w:pos="6347"/>
          <w:tab w:val="left" w:pos="8173"/>
          <w:tab w:val="left" w:pos="8529"/>
          <w:tab w:val="left" w:pos="9364"/>
        </w:tabs>
        <w:spacing w:line="208" w:lineRule="auto"/>
        <w:ind w:right="190"/>
      </w:pPr>
      <w:r>
        <w:rPr>
          <w:spacing w:val="21"/>
        </w:rPr>
        <w:lastRenderedPageBreak/>
        <w:t>Exploração</w:t>
      </w:r>
      <w:r>
        <w:rPr>
          <w:spacing w:val="21"/>
        </w:rPr>
        <w:tab/>
      </w:r>
      <w:r>
        <w:rPr>
          <w:spacing w:val="11"/>
        </w:rPr>
        <w:t>de</w:t>
      </w:r>
      <w:r>
        <w:rPr>
          <w:spacing w:val="11"/>
        </w:rPr>
        <w:tab/>
      </w:r>
      <w:r>
        <w:rPr>
          <w:spacing w:val="17"/>
        </w:rPr>
        <w:t>mina</w:t>
      </w:r>
      <w:r>
        <w:rPr>
          <w:spacing w:val="17"/>
        </w:rPr>
        <w:tab/>
      </w:r>
      <w:r>
        <w:rPr>
          <w:spacing w:val="22"/>
        </w:rPr>
        <w:t>fosfato-uranífera</w:t>
      </w:r>
      <w:r>
        <w:rPr>
          <w:spacing w:val="22"/>
        </w:rPr>
        <w:tab/>
      </w:r>
      <w:r>
        <w:rPr>
          <w:spacing w:val="11"/>
        </w:rPr>
        <w:t>em</w:t>
      </w:r>
      <w:r>
        <w:rPr>
          <w:spacing w:val="11"/>
        </w:rPr>
        <w:tab/>
      </w:r>
      <w:r>
        <w:rPr>
          <w:spacing w:val="25"/>
        </w:rPr>
        <w:t xml:space="preserve">Santa </w:t>
      </w:r>
      <w:r>
        <w:rPr>
          <w:spacing w:val="20"/>
        </w:rPr>
        <w:t>Quitéria</w:t>
      </w:r>
      <w:r>
        <w:rPr>
          <w:spacing w:val="20"/>
        </w:rPr>
        <w:tab/>
      </w:r>
      <w:r>
        <w:rPr>
          <w:spacing w:val="17"/>
        </w:rPr>
        <w:t>(CE)</w:t>
      </w:r>
      <w:r>
        <w:rPr>
          <w:spacing w:val="17"/>
        </w:rPr>
        <w:tab/>
      </w:r>
      <w:r>
        <w:t>e</w:t>
      </w:r>
      <w:r>
        <w:tab/>
      </w:r>
      <w:r>
        <w:tab/>
        <w:t>o</w:t>
      </w:r>
      <w:r>
        <w:tab/>
      </w:r>
      <w:r>
        <w:rPr>
          <w:spacing w:val="20"/>
        </w:rPr>
        <w:t>perigo</w:t>
      </w:r>
      <w:r>
        <w:rPr>
          <w:spacing w:val="20"/>
        </w:rPr>
        <w:tab/>
      </w:r>
      <w:r>
        <w:rPr>
          <w:spacing w:val="11"/>
        </w:rPr>
        <w:t>de</w:t>
      </w:r>
      <w:r>
        <w:rPr>
          <w:spacing w:val="11"/>
        </w:rPr>
        <w:tab/>
      </w:r>
      <w:r>
        <w:rPr>
          <w:spacing w:val="20"/>
        </w:rPr>
        <w:t>rejeitos</w:t>
      </w:r>
      <w:r>
        <w:rPr>
          <w:spacing w:val="20"/>
        </w:rPr>
        <w:tab/>
      </w:r>
      <w:r>
        <w:rPr>
          <w:spacing w:val="25"/>
        </w:rPr>
        <w:t>radioativos</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7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CE - Santa Quitéria</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-4,3323</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-40,1573</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1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O Projeto Santa Quitéria, que estava </w:t>
      </w:r>
      <w:r>
        <w:rPr>
          <w:i/>
          <w:sz w:val="16"/>
        </w:rPr>
        <w:t>previsto para começar a operar em 2012, sofreu alterações em seu cronograma, pois as licenças ambientais dependiam de um novo Estudo e Relatório de Impacto Ambiental (EIA/Rima) solicitado pelo Ibama. Isto se deve, dentre outros fatores, à previsível geraçã</w:t>
      </w:r>
      <w:r>
        <w:rPr>
          <w:i/>
          <w:sz w:val="16"/>
        </w:rPr>
        <w:t>o de rejeitos radioativos de minério urânio como subproduto da Unidade de Produção do Ácido Fosfórico do Complexo Industrial. A nova previsão é julho de 2016.</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1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91"/>
      </w:pPr>
      <w:r>
        <w:t>Atualmente, a exploração de minas de urânio no país é função exclusiva da INB. Uma única mina</w:t>
      </w:r>
      <w:r>
        <w:t>, localizada em Caetité (BA), está em atividade. Uma segunda mina, em Santa Quitéria (CE), aguarda licenciamento ambiental e nuclear para iniciar operações. Na mina de Santa Quitéria, onde há uma grande jazida de fosfato, foi fechada uma parceria entre a I</w:t>
      </w:r>
      <w:r>
        <w:t>NB e a empresa Galvani Mineração (BORGES; VELOSO, 2011). Com a exploração da jazida, prevista para começar em julho de 2016 (INB, 2012), a produção de urânio no Brasil será de 1.600 t/ano, chegando a</w:t>
      </w:r>
    </w:p>
    <w:p w:rsidR="00D81F69" w:rsidRDefault="00330118">
      <w:pPr>
        <w:pStyle w:val="Corpodetexto"/>
        <w:spacing w:before="9" w:line="312" w:lineRule="auto"/>
        <w:ind w:left="135" w:right="205"/>
      </w:pPr>
      <w:r>
        <w:t>2.000 t após a expansão (BRASIL MINERAL, 2009). De acord</w:t>
      </w:r>
      <w:r>
        <w:t>o com a INB, de Santa Quitéria também sairão 240 mil toneladas de fosfato por ano que, transformadas em fertilizante, vão contribuir para que o Brasil disponha de</w:t>
      </w:r>
    </w:p>
    <w:p w:rsidR="00D81F69" w:rsidRDefault="00330118">
      <w:pPr>
        <w:pStyle w:val="Corpodetexto"/>
        <w:spacing w:before="3" w:line="132" w:lineRule="exact"/>
        <w:ind w:left="135"/>
      </w:pPr>
      <w:r>
        <w:t>melhores condições para se  firmar como um  dos  grandes</w:t>
      </w:r>
    </w:p>
    <w:p w:rsidR="00D81F69" w:rsidRDefault="00D81F69">
      <w:pPr>
        <w:spacing w:line="132" w:lineRule="exact"/>
        <w:sectPr w:rsidR="00D81F69">
          <w:type w:val="continuous"/>
          <w:pgSz w:w="11900" w:h="16840"/>
          <w:pgMar w:top="720" w:right="500" w:bottom="280" w:left="620" w:header="720" w:footer="720" w:gutter="0"/>
          <w:cols w:num="3" w:space="720" w:equalWidth="0">
            <w:col w:w="1389" w:space="611"/>
            <w:col w:w="3115" w:space="320"/>
            <w:col w:w="5345"/>
          </w:cols>
        </w:sectPr>
      </w:pPr>
    </w:p>
    <w:p w:rsidR="00D81F69" w:rsidRDefault="00330118">
      <w:pPr>
        <w:pStyle w:val="Heading4"/>
        <w:spacing w:line="269" w:lineRule="exact"/>
        <w:jc w:val="left"/>
      </w:pPr>
      <w:r>
        <w:lastRenderedPageBreak/>
        <w:t>APRE</w:t>
      </w:r>
      <w:r>
        <w:t>SENTAÇÃO DE CASO</w:t>
      </w:r>
    </w:p>
    <w:p w:rsidR="00D81F69" w:rsidRDefault="00330118">
      <w:pPr>
        <w:pStyle w:val="Corpodetexto"/>
        <w:spacing w:before="170" w:line="312" w:lineRule="auto"/>
        <w:ind w:right="38"/>
      </w:pPr>
      <w:r>
        <w:t xml:space="preserve">Com uma reserva conhecida de 310 mil toneladas, o </w:t>
      </w:r>
      <w:r>
        <w:rPr>
          <w:spacing w:val="1"/>
        </w:rPr>
        <w:t xml:space="preserve">Brasil </w:t>
      </w:r>
      <w:r>
        <w:rPr>
          <w:spacing w:val="5"/>
        </w:rPr>
        <w:t xml:space="preserve">ocupa </w:t>
      </w:r>
      <w:r>
        <w:t xml:space="preserve">a </w:t>
      </w:r>
      <w:r>
        <w:rPr>
          <w:spacing w:val="2"/>
        </w:rPr>
        <w:t xml:space="preserve">6ª </w:t>
      </w:r>
      <w:r>
        <w:rPr>
          <w:spacing w:val="5"/>
        </w:rPr>
        <w:t xml:space="preserve">posição </w:t>
      </w:r>
      <w:r>
        <w:rPr>
          <w:spacing w:val="2"/>
        </w:rPr>
        <w:t xml:space="preserve">no </w:t>
      </w:r>
      <w:r>
        <w:rPr>
          <w:spacing w:val="5"/>
        </w:rPr>
        <w:t xml:space="preserve">ranking mundial </w:t>
      </w:r>
      <w:r>
        <w:rPr>
          <w:spacing w:val="2"/>
        </w:rPr>
        <w:t xml:space="preserve">de </w:t>
      </w:r>
      <w:r>
        <w:rPr>
          <w:spacing w:val="5"/>
        </w:rPr>
        <w:t xml:space="preserve">produção </w:t>
      </w:r>
      <w:r>
        <w:rPr>
          <w:spacing w:val="6"/>
        </w:rPr>
        <w:t xml:space="preserve">de </w:t>
      </w:r>
      <w:hyperlink r:id="rId739">
        <w:r>
          <w:rPr>
            <w:spacing w:val="3"/>
          </w:rPr>
          <w:t>urânio,</w:t>
        </w:r>
      </w:hyperlink>
      <w:r>
        <w:rPr>
          <w:spacing w:val="3"/>
        </w:rPr>
        <w:t xml:space="preserve"> atrás </w:t>
      </w:r>
      <w:r>
        <w:rPr>
          <w:spacing w:val="1"/>
        </w:rPr>
        <w:t xml:space="preserve">de </w:t>
      </w:r>
      <w:r>
        <w:rPr>
          <w:spacing w:val="3"/>
        </w:rPr>
        <w:t xml:space="preserve">Mongólia, Estados Unidos, África </w:t>
      </w:r>
      <w:r>
        <w:rPr>
          <w:spacing w:val="1"/>
        </w:rPr>
        <w:t xml:space="preserve">do </w:t>
      </w:r>
      <w:r>
        <w:rPr>
          <w:spacing w:val="5"/>
        </w:rPr>
        <w:t xml:space="preserve">Sul, </w:t>
      </w:r>
      <w:r>
        <w:t xml:space="preserve">Canadá e Rússia. Se for confirmado o prognóstico de deter </w:t>
      </w:r>
      <w:r>
        <w:rPr>
          <w:spacing w:val="2"/>
        </w:rPr>
        <w:t xml:space="preserve">1,1 </w:t>
      </w:r>
      <w:r>
        <w:rPr>
          <w:spacing w:val="3"/>
        </w:rPr>
        <w:t xml:space="preserve">milhão </w:t>
      </w:r>
      <w:r>
        <w:rPr>
          <w:spacing w:val="1"/>
        </w:rPr>
        <w:t xml:space="preserve">de </w:t>
      </w:r>
      <w:r>
        <w:rPr>
          <w:spacing w:val="3"/>
        </w:rPr>
        <w:t xml:space="preserve">toneladas </w:t>
      </w:r>
      <w:r>
        <w:rPr>
          <w:spacing w:val="1"/>
        </w:rPr>
        <w:t xml:space="preserve">do </w:t>
      </w:r>
      <w:r>
        <w:rPr>
          <w:spacing w:val="3"/>
        </w:rPr>
        <w:t xml:space="preserve">minério, </w:t>
      </w:r>
      <w:r>
        <w:t xml:space="preserve">o </w:t>
      </w:r>
      <w:r>
        <w:rPr>
          <w:spacing w:val="2"/>
        </w:rPr>
        <w:t xml:space="preserve">país será </w:t>
      </w:r>
      <w:r>
        <w:rPr>
          <w:spacing w:val="3"/>
        </w:rPr>
        <w:t xml:space="preserve">alçado </w:t>
      </w:r>
      <w:r>
        <w:t xml:space="preserve">à condição de uma das maiores potências mundiais, com forte </w:t>
      </w:r>
      <w:r>
        <w:rPr>
          <w:spacing w:val="10"/>
        </w:rPr>
        <w:t xml:space="preserve">capacidade </w:t>
      </w:r>
      <w:r>
        <w:rPr>
          <w:spacing w:val="8"/>
        </w:rPr>
        <w:t xml:space="preserve">para </w:t>
      </w:r>
      <w:r>
        <w:rPr>
          <w:spacing w:val="10"/>
        </w:rPr>
        <w:t xml:space="preserve">exportação </w:t>
      </w:r>
      <w:r>
        <w:rPr>
          <w:spacing w:val="5"/>
        </w:rPr>
        <w:t xml:space="preserve">de </w:t>
      </w:r>
      <w:r>
        <w:rPr>
          <w:spacing w:val="10"/>
        </w:rPr>
        <w:t>urânio, incl</w:t>
      </w:r>
      <w:r>
        <w:rPr>
          <w:spacing w:val="10"/>
        </w:rPr>
        <w:t xml:space="preserve">usive, </w:t>
      </w:r>
      <w:r>
        <w:rPr>
          <w:spacing w:val="11"/>
        </w:rPr>
        <w:t xml:space="preserve">já </w:t>
      </w:r>
      <w:r>
        <w:rPr>
          <w:spacing w:val="10"/>
        </w:rPr>
        <w:t>beneficiado (BORGES; VELOSO,</w:t>
      </w:r>
      <w:r>
        <w:rPr>
          <w:spacing w:val="51"/>
        </w:rPr>
        <w:t xml:space="preserve"> </w:t>
      </w:r>
      <w:r>
        <w:rPr>
          <w:spacing w:val="11"/>
        </w:rPr>
        <w:t>2011).</w:t>
      </w:r>
    </w:p>
    <w:p w:rsidR="00D81F69" w:rsidRDefault="00330118">
      <w:pPr>
        <w:pStyle w:val="Corpodetexto"/>
        <w:spacing w:before="137" w:line="312" w:lineRule="auto"/>
        <w:ind w:right="38"/>
      </w:pPr>
      <w:r>
        <w:rPr>
          <w:spacing w:val="5"/>
        </w:rPr>
        <w:t xml:space="preserve">Dentro </w:t>
      </w:r>
      <w:r>
        <w:rPr>
          <w:spacing w:val="2"/>
        </w:rPr>
        <w:t xml:space="preserve">do </w:t>
      </w:r>
      <w:r>
        <w:rPr>
          <w:spacing w:val="5"/>
        </w:rPr>
        <w:t xml:space="preserve">pacote </w:t>
      </w:r>
      <w:r>
        <w:rPr>
          <w:spacing w:val="2"/>
        </w:rPr>
        <w:t xml:space="preserve">de </w:t>
      </w:r>
      <w:r>
        <w:rPr>
          <w:spacing w:val="5"/>
        </w:rPr>
        <w:t xml:space="preserve">iniciativas para </w:t>
      </w:r>
      <w:r>
        <w:t xml:space="preserve">o </w:t>
      </w:r>
      <w:r>
        <w:rPr>
          <w:spacing w:val="5"/>
        </w:rPr>
        <w:t xml:space="preserve">setor </w:t>
      </w:r>
      <w:r>
        <w:rPr>
          <w:spacing w:val="2"/>
        </w:rPr>
        <w:t xml:space="preserve">de </w:t>
      </w:r>
      <w:r>
        <w:rPr>
          <w:spacing w:val="6"/>
        </w:rPr>
        <w:t xml:space="preserve">energia </w:t>
      </w:r>
      <w:r>
        <w:rPr>
          <w:spacing w:val="12"/>
        </w:rPr>
        <w:t xml:space="preserve">nuclear, </w:t>
      </w:r>
      <w:r>
        <w:t xml:space="preserve">o </w:t>
      </w:r>
      <w:r>
        <w:rPr>
          <w:spacing w:val="11"/>
        </w:rPr>
        <w:t xml:space="preserve">governo </w:t>
      </w:r>
      <w:r>
        <w:rPr>
          <w:spacing w:val="10"/>
        </w:rPr>
        <w:t xml:space="preserve">está </w:t>
      </w:r>
      <w:r>
        <w:rPr>
          <w:spacing w:val="12"/>
        </w:rPr>
        <w:t xml:space="preserve">empenhado </w:t>
      </w:r>
      <w:r>
        <w:rPr>
          <w:spacing w:val="6"/>
        </w:rPr>
        <w:t xml:space="preserve">em </w:t>
      </w:r>
      <w:r>
        <w:rPr>
          <w:spacing w:val="11"/>
        </w:rPr>
        <w:t xml:space="preserve">ampliar </w:t>
      </w:r>
      <w:r>
        <w:t>a identificação e a exploração de novas jazidas, função que é monopólio da União. Para isso, existem novas pr</w:t>
      </w:r>
      <w:r>
        <w:t xml:space="preserve">opostas que irão modificar o marco regulatório do setor, alterando regras </w:t>
      </w:r>
      <w:r>
        <w:rPr>
          <w:spacing w:val="1"/>
        </w:rPr>
        <w:t xml:space="preserve">de </w:t>
      </w:r>
      <w:r>
        <w:rPr>
          <w:spacing w:val="3"/>
        </w:rPr>
        <w:t xml:space="preserve">exploração mineral. </w:t>
      </w:r>
      <w:r>
        <w:rPr>
          <w:spacing w:val="2"/>
        </w:rPr>
        <w:t xml:space="preserve">Uma das </w:t>
      </w:r>
      <w:r>
        <w:rPr>
          <w:spacing w:val="3"/>
        </w:rPr>
        <w:t xml:space="preserve">mudanças prevê </w:t>
      </w:r>
      <w:r>
        <w:rPr>
          <w:spacing w:val="2"/>
        </w:rPr>
        <w:t xml:space="preserve">que, </w:t>
      </w:r>
      <w:r>
        <w:rPr>
          <w:spacing w:val="5"/>
        </w:rPr>
        <w:t xml:space="preserve">ao </w:t>
      </w:r>
      <w:r>
        <w:rPr>
          <w:spacing w:val="3"/>
        </w:rPr>
        <w:t xml:space="preserve">encontrarem jazidas </w:t>
      </w:r>
      <w:r>
        <w:rPr>
          <w:spacing w:val="1"/>
        </w:rPr>
        <w:t xml:space="preserve">de </w:t>
      </w:r>
      <w:r>
        <w:rPr>
          <w:spacing w:val="3"/>
        </w:rPr>
        <w:t xml:space="preserve">urânio, </w:t>
      </w:r>
      <w:r>
        <w:rPr>
          <w:spacing w:val="1"/>
        </w:rPr>
        <w:t xml:space="preserve">as </w:t>
      </w:r>
      <w:r>
        <w:rPr>
          <w:spacing w:val="3"/>
        </w:rPr>
        <w:t xml:space="preserve">companhias </w:t>
      </w:r>
      <w:r>
        <w:rPr>
          <w:spacing w:val="5"/>
        </w:rPr>
        <w:t xml:space="preserve">informem </w:t>
      </w:r>
      <w:r>
        <w:t xml:space="preserve">imediatamente à União. Além disso, o governo vai investir R$ 3 bilhões na </w:t>
      </w:r>
      <w:r>
        <w:t xml:space="preserve">construção de duas fábricas para realizar no país </w:t>
      </w:r>
      <w:r>
        <w:rPr>
          <w:spacing w:val="2"/>
        </w:rPr>
        <w:t xml:space="preserve">100% </w:t>
      </w:r>
      <w:r>
        <w:rPr>
          <w:spacing w:val="1"/>
        </w:rPr>
        <w:t xml:space="preserve">do </w:t>
      </w:r>
      <w:r>
        <w:rPr>
          <w:spacing w:val="3"/>
        </w:rPr>
        <w:t xml:space="preserve">processo </w:t>
      </w:r>
      <w:r>
        <w:rPr>
          <w:spacing w:val="1"/>
        </w:rPr>
        <w:t xml:space="preserve">de </w:t>
      </w:r>
      <w:r>
        <w:rPr>
          <w:spacing w:val="3"/>
        </w:rPr>
        <w:t xml:space="preserve">geração </w:t>
      </w:r>
      <w:r>
        <w:rPr>
          <w:spacing w:val="1"/>
        </w:rPr>
        <w:t xml:space="preserve">de </w:t>
      </w:r>
      <w:r>
        <w:rPr>
          <w:spacing w:val="3"/>
        </w:rPr>
        <w:t xml:space="preserve">combustível </w:t>
      </w:r>
      <w:r>
        <w:rPr>
          <w:spacing w:val="1"/>
        </w:rPr>
        <w:t xml:space="preserve">de </w:t>
      </w:r>
      <w:r>
        <w:rPr>
          <w:spacing w:val="5"/>
        </w:rPr>
        <w:t xml:space="preserve">urânio, </w:t>
      </w:r>
      <w:r>
        <w:rPr>
          <w:spacing w:val="3"/>
        </w:rPr>
        <w:t xml:space="preserve">matéria prima </w:t>
      </w:r>
      <w:r>
        <w:rPr>
          <w:spacing w:val="2"/>
        </w:rPr>
        <w:t xml:space="preserve">das </w:t>
      </w:r>
      <w:r>
        <w:rPr>
          <w:spacing w:val="3"/>
        </w:rPr>
        <w:t xml:space="preserve">usinas nucleares (BORGES; </w:t>
      </w:r>
      <w:r>
        <w:rPr>
          <w:spacing w:val="5"/>
        </w:rPr>
        <w:t>VELOSO, 2011).</w:t>
      </w:r>
    </w:p>
    <w:p w:rsidR="00D81F69" w:rsidRDefault="00330118">
      <w:pPr>
        <w:pStyle w:val="Corpodetexto"/>
        <w:spacing w:before="141" w:line="312" w:lineRule="auto"/>
        <w:ind w:right="57"/>
      </w:pPr>
      <w:r>
        <w:t xml:space="preserve">O Brasil só executa a etapa inicial desse processo — que é a extração do minério no solo — e </w:t>
      </w:r>
      <w:r>
        <w:t>parte das etapas finais, que envolvem o enriquecimento e a transformação do urânio em pasta amarela denominada ‘yellow cake’. Falta dominar a fase ligada à conversão do minério em gás, condição crucial para que ele seja enriquecido. Hoje, esse trabalho é r</w:t>
      </w:r>
      <w:r>
        <w:t>ealizado por empresas do Canadá e da França. Com o investimento nas fábricas, previsto para ocorrer ao longo de oito anos, a Indústrias Nucleares do Brasil (INB) calcula que o país terá capacidade plena de atender às demandas de urânio de Angra 1 e 2 — atu</w:t>
      </w:r>
      <w:r>
        <w:t>almente as únicas usinas nucleares do país em operação — e Angra 3 com operação prevista para 2013 (BORGES; VELOSO, 2011).</w:t>
      </w:r>
    </w:p>
    <w:p w:rsidR="00D81F69" w:rsidRDefault="00330118">
      <w:pPr>
        <w:pStyle w:val="Corpodetexto"/>
        <w:spacing w:before="139" w:line="312" w:lineRule="auto"/>
        <w:ind w:right="196"/>
      </w:pPr>
      <w:r>
        <w:br w:type="column"/>
      </w:r>
      <w:r>
        <w:lastRenderedPageBreak/>
        <w:t>celeiros mundiais da produção de energia e fertilizantes (INB, 2008).</w:t>
      </w:r>
    </w:p>
    <w:p w:rsidR="00D81F69" w:rsidRDefault="00330118">
      <w:pPr>
        <w:pStyle w:val="Corpodetexto"/>
        <w:spacing w:before="132"/>
        <w:jc w:val="left"/>
      </w:pPr>
      <w:r>
        <w:t>Distante 212 km da capital Fortaleza, Santa Quitéria tem</w:t>
      </w:r>
    </w:p>
    <w:p w:rsidR="00D81F69" w:rsidRDefault="00330118">
      <w:pPr>
        <w:pStyle w:val="Corpodetexto"/>
        <w:spacing w:before="63" w:line="312" w:lineRule="auto"/>
        <w:ind w:right="136"/>
        <w:jc w:val="left"/>
      </w:pPr>
      <w:r>
        <w:t>4.260 km² e 42.759 habitantes (IBGE, 2010), e a agropecuária é sua principal atividade econômica (INB, 2011). Do ponto de vista mineral, Santa Quitéria detém a maior jazida de granito branco do mundo. Abrangendo área de 565 ha, e com reserva de 100 milhões</w:t>
      </w:r>
      <w:r>
        <w:t xml:space="preserve"> de m³, a mina Asa Branca é a única do Brasil. Apresenta-se como um stock granito homogêneo com pequenas variações de tonalidade e textura. Toda ocorrência de granito branco está dentro de área de concessão exclusiva da mineradora Granistone (ALVES, 2010).</w:t>
      </w:r>
    </w:p>
    <w:p w:rsidR="00D81F69" w:rsidRDefault="00330118">
      <w:pPr>
        <w:pStyle w:val="Corpodetexto"/>
        <w:spacing w:before="138" w:line="312" w:lineRule="auto"/>
        <w:ind w:right="194"/>
      </w:pPr>
      <w:r>
        <w:t xml:space="preserve">É no município que também se encontra a jazida de Itataia, </w:t>
      </w:r>
      <w:r>
        <w:rPr>
          <w:spacing w:val="2"/>
        </w:rPr>
        <w:t xml:space="preserve">onde está </w:t>
      </w:r>
      <w:r>
        <w:rPr>
          <w:spacing w:val="3"/>
        </w:rPr>
        <w:t xml:space="preserve">sendo implantado </w:t>
      </w:r>
      <w:r>
        <w:t xml:space="preserve">o </w:t>
      </w:r>
      <w:r>
        <w:rPr>
          <w:spacing w:val="3"/>
        </w:rPr>
        <w:t xml:space="preserve">complexo industrial </w:t>
      </w:r>
      <w:r>
        <w:rPr>
          <w:spacing w:val="2"/>
        </w:rPr>
        <w:t xml:space="preserve">para </w:t>
      </w:r>
      <w:r>
        <w:t>a exploração de fosfato uranífero, denominado Projeto Santa Quitéria (INB, 2011). A viabilidade econômica do urânio de Itataia depende da expl</w:t>
      </w:r>
      <w:r>
        <w:t xml:space="preserve">oração do fosfato associado, ou seja,  a extração de urânio está condicionada à produção de ácido fosfórico (RIBEIRO et al., 2008). Caberá à Galvani Mineração a </w:t>
      </w:r>
      <w:r>
        <w:rPr>
          <w:spacing w:val="3"/>
        </w:rPr>
        <w:t xml:space="preserve">exploração </w:t>
      </w:r>
      <w:r>
        <w:t xml:space="preserve">e </w:t>
      </w:r>
      <w:r>
        <w:rPr>
          <w:spacing w:val="3"/>
        </w:rPr>
        <w:t xml:space="preserve">comercialização </w:t>
      </w:r>
      <w:r>
        <w:rPr>
          <w:spacing w:val="1"/>
        </w:rPr>
        <w:t xml:space="preserve">do </w:t>
      </w:r>
      <w:r>
        <w:rPr>
          <w:spacing w:val="3"/>
        </w:rPr>
        <w:t xml:space="preserve">fosfato associado, </w:t>
      </w:r>
      <w:r>
        <w:t>e a entrega do subproduto desse processo (li</w:t>
      </w:r>
      <w:r>
        <w:t xml:space="preserve">cor de urânio) à INB, </w:t>
      </w:r>
      <w:r>
        <w:rPr>
          <w:spacing w:val="2"/>
        </w:rPr>
        <w:t xml:space="preserve">que será </w:t>
      </w:r>
      <w:r>
        <w:t xml:space="preserve">a </w:t>
      </w:r>
      <w:r>
        <w:rPr>
          <w:spacing w:val="3"/>
        </w:rPr>
        <w:t xml:space="preserve">responsável </w:t>
      </w:r>
      <w:r>
        <w:rPr>
          <w:spacing w:val="2"/>
        </w:rPr>
        <w:t xml:space="preserve">pela </w:t>
      </w:r>
      <w:r>
        <w:rPr>
          <w:spacing w:val="3"/>
        </w:rPr>
        <w:t xml:space="preserve">produção </w:t>
      </w:r>
      <w:r>
        <w:rPr>
          <w:spacing w:val="1"/>
        </w:rPr>
        <w:t xml:space="preserve">do </w:t>
      </w:r>
      <w:r>
        <w:rPr>
          <w:spacing w:val="3"/>
        </w:rPr>
        <w:t xml:space="preserve">concentrado </w:t>
      </w:r>
      <w:r>
        <w:rPr>
          <w:spacing w:val="5"/>
        </w:rPr>
        <w:t xml:space="preserve">de </w:t>
      </w:r>
      <w:r>
        <w:rPr>
          <w:spacing w:val="3"/>
        </w:rPr>
        <w:t>urânio (INB,</w:t>
      </w:r>
      <w:r>
        <w:rPr>
          <w:spacing w:val="-12"/>
        </w:rPr>
        <w:t xml:space="preserve"> </w:t>
      </w:r>
      <w:r>
        <w:rPr>
          <w:spacing w:val="5"/>
        </w:rPr>
        <w:t>2011).</w:t>
      </w:r>
    </w:p>
    <w:p w:rsidR="00D81F69" w:rsidRDefault="00330118">
      <w:pPr>
        <w:pStyle w:val="Corpodetexto"/>
        <w:spacing w:before="77" w:line="270" w:lineRule="atLeast"/>
        <w:ind w:right="156"/>
      </w:pPr>
      <w:r>
        <w:t xml:space="preserve">O </w:t>
      </w:r>
      <w:r>
        <w:rPr>
          <w:spacing w:val="5"/>
        </w:rPr>
        <w:t xml:space="preserve">depósito </w:t>
      </w:r>
      <w:r>
        <w:rPr>
          <w:spacing w:val="2"/>
        </w:rPr>
        <w:t xml:space="preserve">de </w:t>
      </w:r>
      <w:r>
        <w:rPr>
          <w:spacing w:val="3"/>
        </w:rPr>
        <w:t xml:space="preserve">Santa </w:t>
      </w:r>
      <w:r>
        <w:rPr>
          <w:spacing w:val="5"/>
        </w:rPr>
        <w:t xml:space="preserve">Quitéria </w:t>
      </w:r>
      <w:r>
        <w:rPr>
          <w:spacing w:val="3"/>
        </w:rPr>
        <w:t xml:space="preserve">está </w:t>
      </w:r>
      <w:r>
        <w:rPr>
          <w:spacing w:val="5"/>
        </w:rPr>
        <w:t xml:space="preserve">localizado </w:t>
      </w:r>
      <w:r>
        <w:rPr>
          <w:spacing w:val="2"/>
        </w:rPr>
        <w:t xml:space="preserve">no </w:t>
      </w:r>
      <w:r>
        <w:rPr>
          <w:spacing w:val="5"/>
        </w:rPr>
        <w:t xml:space="preserve">Distrito </w:t>
      </w:r>
      <w:r>
        <w:t xml:space="preserve">Fósforo-Uranífero P-U, a cerca de 45 km da cidade de Santa </w:t>
      </w:r>
      <w:r>
        <w:rPr>
          <w:spacing w:val="1"/>
        </w:rPr>
        <w:t xml:space="preserve">Quitéria. </w:t>
      </w:r>
      <w:r>
        <w:t xml:space="preserve">O </w:t>
      </w:r>
      <w:r>
        <w:rPr>
          <w:spacing w:val="1"/>
        </w:rPr>
        <w:t xml:space="preserve">Distrito divide-se </w:t>
      </w:r>
      <w:r>
        <w:t xml:space="preserve">em </w:t>
      </w:r>
      <w:r>
        <w:rPr>
          <w:spacing w:val="1"/>
        </w:rPr>
        <w:t>duas unid</w:t>
      </w:r>
      <w:r>
        <w:rPr>
          <w:spacing w:val="1"/>
        </w:rPr>
        <w:t xml:space="preserve">ades </w:t>
      </w:r>
      <w:r>
        <w:rPr>
          <w:spacing w:val="2"/>
        </w:rPr>
        <w:t xml:space="preserve">tectônicas, </w:t>
      </w:r>
      <w:r>
        <w:t xml:space="preserve">conhecidas como Cinturão Dobrado de Jaguaribe e Maciço de </w:t>
      </w:r>
      <w:r>
        <w:rPr>
          <w:spacing w:val="3"/>
        </w:rPr>
        <w:t xml:space="preserve">Santa Quitéria. </w:t>
      </w:r>
      <w:r>
        <w:t xml:space="preserve">A </w:t>
      </w:r>
      <w:r>
        <w:rPr>
          <w:spacing w:val="3"/>
        </w:rPr>
        <w:t xml:space="preserve">jazida </w:t>
      </w:r>
      <w:r>
        <w:rPr>
          <w:spacing w:val="1"/>
        </w:rPr>
        <w:t xml:space="preserve">de </w:t>
      </w:r>
      <w:r>
        <w:rPr>
          <w:spacing w:val="3"/>
        </w:rPr>
        <w:t xml:space="preserve">Santa Quitéria </w:t>
      </w:r>
      <w:r>
        <w:t xml:space="preserve">é </w:t>
      </w:r>
      <w:r>
        <w:rPr>
          <w:spacing w:val="1"/>
        </w:rPr>
        <w:t xml:space="preserve">de </w:t>
      </w:r>
      <w:r>
        <w:rPr>
          <w:spacing w:val="5"/>
        </w:rPr>
        <w:t xml:space="preserve">natureza </w:t>
      </w:r>
      <w:r>
        <w:t xml:space="preserve">fósforo-uranífera, ocorrendo sob a forma de colofanito (uma </w:t>
      </w:r>
      <w:r>
        <w:rPr>
          <w:spacing w:val="5"/>
        </w:rPr>
        <w:t xml:space="preserve">fluoroapatita) (RIBEIRO </w:t>
      </w:r>
      <w:r>
        <w:rPr>
          <w:spacing w:val="2"/>
        </w:rPr>
        <w:t xml:space="preserve">et </w:t>
      </w:r>
      <w:r>
        <w:rPr>
          <w:spacing w:val="3"/>
        </w:rPr>
        <w:t xml:space="preserve">al., </w:t>
      </w:r>
      <w:r>
        <w:rPr>
          <w:spacing w:val="5"/>
        </w:rPr>
        <w:t xml:space="preserve">2008), </w:t>
      </w:r>
      <w:r>
        <w:t xml:space="preserve">e </w:t>
      </w:r>
      <w:r>
        <w:rPr>
          <w:spacing w:val="5"/>
        </w:rPr>
        <w:t>possui reservas</w:t>
      </w:r>
      <w:r>
        <w:rPr>
          <w:spacing w:val="61"/>
        </w:rPr>
        <w:t xml:space="preserve"> </w:t>
      </w:r>
      <w:r>
        <w:rPr>
          <w:spacing w:val="1"/>
        </w:rPr>
        <w:t>geológi</w:t>
      </w:r>
      <w:r>
        <w:rPr>
          <w:spacing w:val="1"/>
        </w:rPr>
        <w:t xml:space="preserve">cas </w:t>
      </w:r>
      <w:r>
        <w:t xml:space="preserve">de </w:t>
      </w:r>
      <w:r>
        <w:rPr>
          <w:spacing w:val="1"/>
        </w:rPr>
        <w:t xml:space="preserve">142,5 </w:t>
      </w:r>
      <w:r>
        <w:t xml:space="preserve">mil </w:t>
      </w:r>
      <w:r>
        <w:rPr>
          <w:spacing w:val="1"/>
        </w:rPr>
        <w:t xml:space="preserve">toneladas </w:t>
      </w:r>
      <w:r>
        <w:t xml:space="preserve">de </w:t>
      </w:r>
      <w:r>
        <w:rPr>
          <w:spacing w:val="1"/>
        </w:rPr>
        <w:t xml:space="preserve">urânio associado </w:t>
      </w:r>
      <w:r>
        <w:rPr>
          <w:spacing w:val="2"/>
        </w:rPr>
        <w:t xml:space="preserve">ao </w:t>
      </w:r>
      <w:r>
        <w:rPr>
          <w:spacing w:val="3"/>
        </w:rPr>
        <w:t xml:space="preserve">fosfato. Nesta área, </w:t>
      </w:r>
      <w:r>
        <w:t xml:space="preserve">a </w:t>
      </w:r>
      <w:r>
        <w:rPr>
          <w:spacing w:val="2"/>
        </w:rPr>
        <w:t xml:space="preserve">INB </w:t>
      </w:r>
      <w:r>
        <w:rPr>
          <w:spacing w:val="3"/>
        </w:rPr>
        <w:t xml:space="preserve">dispõe também </w:t>
      </w:r>
      <w:r>
        <w:rPr>
          <w:spacing w:val="1"/>
        </w:rPr>
        <w:t xml:space="preserve">de </w:t>
      </w:r>
      <w:r>
        <w:rPr>
          <w:spacing w:val="3"/>
        </w:rPr>
        <w:t xml:space="preserve">reservas </w:t>
      </w:r>
      <w:r>
        <w:rPr>
          <w:spacing w:val="5"/>
        </w:rPr>
        <w:t xml:space="preserve">de </w:t>
      </w:r>
      <w:r>
        <w:t>cerca de 300 milhões de m³ de mármore, totalmente isento de urânio (INB, 2011).</w:t>
      </w:r>
    </w:p>
    <w:p w:rsidR="00D81F69" w:rsidRDefault="00D81F69">
      <w:pPr>
        <w:spacing w:line="270" w:lineRule="atLeast"/>
        <w:sectPr w:rsidR="00D81F69">
          <w:type w:val="continuous"/>
          <w:pgSz w:w="11900" w:h="16840"/>
          <w:pgMar w:top="720" w:right="500" w:bottom="280" w:left="620" w:header="720" w:footer="720" w:gutter="0"/>
          <w:cols w:num="2" w:space="720" w:equalWidth="0">
            <w:col w:w="5157" w:space="313"/>
            <w:col w:w="5310"/>
          </w:cols>
        </w:sectPr>
      </w:pPr>
    </w:p>
    <w:p w:rsidR="00D81F69" w:rsidRDefault="00330118">
      <w:pPr>
        <w:pStyle w:val="Corpodetexto"/>
        <w:spacing w:before="81" w:line="312" w:lineRule="auto"/>
        <w:ind w:right="43"/>
      </w:pPr>
      <w:r>
        <w:lastRenderedPageBreak/>
        <w:t>O Projeto Santa Quitéria objetiva a lavra a</w:t>
      </w:r>
      <w:r>
        <w:t xml:space="preserve"> céu aberto, o beneficiamento do minério e seu processamento até a produção do ácido fosfórico, matéria prima para fabricação de fertilizantes fosfatados, e do sal mineral, para nutrição animal. Como subproduto do processo, será obtido um rejeito licoroso </w:t>
      </w:r>
      <w:r>
        <w:t>uranífero, a ser tratado em instalação industrial separada, na mesma unidade e com licenciamento específico na Comissão Nacional de Energia Nuclear (CNEN) e no Instituto Brasileiro do Meio Ambiente e dos Recursos Naturais Renováveis (Ibama) (INB, 2011).</w:t>
      </w:r>
    </w:p>
    <w:p w:rsidR="00D81F69" w:rsidRDefault="00330118">
      <w:pPr>
        <w:pStyle w:val="Corpodetexto"/>
        <w:spacing w:before="139" w:line="312" w:lineRule="auto"/>
        <w:ind w:right="41"/>
      </w:pPr>
      <w:r>
        <w:t>Na</w:t>
      </w:r>
      <w:r>
        <w:t xml:space="preserve"> apresentação do projeto Santa Quitéria aos empresários, pesquisadores e representantes do setor de mineração durante o III Encontro de Mineração do Ceará, em novembro de 2012, foi anunciado que os estudos ambientais necessários — EIA-RIMA, RL e RAS — já e</w:t>
      </w:r>
      <w:r>
        <w:t>stavam em andamento e deveriam estar concluídos em fevereiro de 2013 (INB, 2012).</w:t>
      </w:r>
    </w:p>
    <w:p w:rsidR="00D81F69" w:rsidRDefault="00330118">
      <w:pPr>
        <w:pStyle w:val="Corpodetexto"/>
        <w:spacing w:before="137" w:line="312" w:lineRule="auto"/>
        <w:ind w:right="40"/>
      </w:pPr>
      <w:r>
        <w:t>Como benefícios do projeto, podem-se citar a criação de um polo regional de desenvolvimento, com a diversificação das atividades econômicas, e a geração de empregos, o que co</w:t>
      </w:r>
      <w:r>
        <w:t>ntribui para a fixação da população na região. O empreendimento vai proporcionar a geração de 1300 empregos (INB, 2012) Apesar de o projeto sinalizar que terá rígido controle sobre seus impactos ambientais (SANT`ANNA, 2009), algumas questões cercam o empre</w:t>
      </w:r>
      <w:r>
        <w:t>endimento. No curso do processo de beneficiamento do minério colofanito, necessariamente haverá geração de rejeitos radioativos de minério urânio como subproduto da Unidade de Produção do Ácido Fosfórico do Complexo Industrial de Santa Quitéria (MPF-CE, 20</w:t>
      </w:r>
      <w:r>
        <w:t>10).</w:t>
      </w:r>
    </w:p>
    <w:p w:rsidR="00D81F69" w:rsidRDefault="00330118">
      <w:pPr>
        <w:pStyle w:val="Corpodetexto"/>
        <w:spacing w:before="142" w:line="312" w:lineRule="auto"/>
        <w:ind w:right="38"/>
      </w:pPr>
      <w:r>
        <w:t xml:space="preserve">A </w:t>
      </w:r>
      <w:r>
        <w:rPr>
          <w:spacing w:val="5"/>
        </w:rPr>
        <w:t xml:space="preserve">produção </w:t>
      </w:r>
      <w:r>
        <w:rPr>
          <w:spacing w:val="2"/>
        </w:rPr>
        <w:t xml:space="preserve">de </w:t>
      </w:r>
      <w:r>
        <w:rPr>
          <w:spacing w:val="5"/>
        </w:rPr>
        <w:t xml:space="preserve">ácido fosfórico provoca vários </w:t>
      </w:r>
      <w:r>
        <w:rPr>
          <w:spacing w:val="6"/>
        </w:rPr>
        <w:t xml:space="preserve">impactos </w:t>
      </w:r>
      <w:r>
        <w:rPr>
          <w:spacing w:val="1"/>
        </w:rPr>
        <w:t xml:space="preserve">ambientais, causados pela geração </w:t>
      </w:r>
      <w:r>
        <w:t xml:space="preserve">de 5 a 6 </w:t>
      </w:r>
      <w:r>
        <w:rPr>
          <w:spacing w:val="1"/>
        </w:rPr>
        <w:t xml:space="preserve">toneladas </w:t>
      </w:r>
      <w:r>
        <w:rPr>
          <w:spacing w:val="2"/>
        </w:rPr>
        <w:t xml:space="preserve">de </w:t>
      </w:r>
      <w:r>
        <w:t xml:space="preserve">fosfogesso para cada tonelada de ácido fosfórico produzida.  O fosfogesso, além de provocar drenagem ácida, apresenta </w:t>
      </w:r>
      <w:r>
        <w:rPr>
          <w:spacing w:val="3"/>
        </w:rPr>
        <w:t xml:space="preserve">radioatividade, causada </w:t>
      </w:r>
      <w:r>
        <w:rPr>
          <w:spacing w:val="2"/>
        </w:rPr>
        <w:t xml:space="preserve">pela </w:t>
      </w:r>
      <w:r>
        <w:rPr>
          <w:spacing w:val="3"/>
        </w:rPr>
        <w:t xml:space="preserve">presença </w:t>
      </w:r>
      <w:r>
        <w:rPr>
          <w:spacing w:val="1"/>
        </w:rPr>
        <w:t xml:space="preserve">do </w:t>
      </w:r>
      <w:r>
        <w:rPr>
          <w:spacing w:val="3"/>
        </w:rPr>
        <w:t xml:space="preserve">elemento </w:t>
      </w:r>
      <w:r>
        <w:rPr>
          <w:spacing w:val="5"/>
        </w:rPr>
        <w:t xml:space="preserve">rádio, </w:t>
      </w:r>
      <w:r>
        <w:rPr>
          <w:spacing w:val="1"/>
        </w:rPr>
        <w:t xml:space="preserve">produto </w:t>
      </w:r>
      <w:r>
        <w:t xml:space="preserve">de </w:t>
      </w:r>
      <w:r>
        <w:rPr>
          <w:spacing w:val="1"/>
        </w:rPr>
        <w:t xml:space="preserve">decaimento </w:t>
      </w:r>
      <w:r>
        <w:t xml:space="preserve">do </w:t>
      </w:r>
      <w:r>
        <w:rPr>
          <w:spacing w:val="1"/>
        </w:rPr>
        <w:t xml:space="preserve">urânio </w:t>
      </w:r>
      <w:r>
        <w:t xml:space="preserve">e do </w:t>
      </w:r>
      <w:r>
        <w:rPr>
          <w:spacing w:val="1"/>
        </w:rPr>
        <w:t xml:space="preserve">tório. </w:t>
      </w:r>
      <w:r>
        <w:t xml:space="preserve">A </w:t>
      </w:r>
      <w:r>
        <w:rPr>
          <w:spacing w:val="1"/>
        </w:rPr>
        <w:t xml:space="preserve">remoção </w:t>
      </w:r>
      <w:r>
        <w:rPr>
          <w:spacing w:val="2"/>
        </w:rPr>
        <w:t xml:space="preserve">do </w:t>
      </w:r>
      <w:r>
        <w:t xml:space="preserve">rádio do fosfogesso é difícil e dispendiosa. Um outro “gargalo” tecnológico da rota sulfúrica é a recuperação dos elementos </w:t>
      </w:r>
      <w:r>
        <w:rPr>
          <w:spacing w:val="1"/>
        </w:rPr>
        <w:t xml:space="preserve">de </w:t>
      </w:r>
      <w:r>
        <w:rPr>
          <w:spacing w:val="3"/>
        </w:rPr>
        <w:t>terras raras (E</w:t>
      </w:r>
      <w:r>
        <w:rPr>
          <w:spacing w:val="3"/>
        </w:rPr>
        <w:t xml:space="preserve">TR), pois, durante </w:t>
      </w:r>
      <w:r>
        <w:t xml:space="preserve">a </w:t>
      </w:r>
      <w:r>
        <w:rPr>
          <w:spacing w:val="3"/>
        </w:rPr>
        <w:t xml:space="preserve">etapa </w:t>
      </w:r>
      <w:r>
        <w:rPr>
          <w:spacing w:val="1"/>
        </w:rPr>
        <w:t xml:space="preserve">de </w:t>
      </w:r>
      <w:r>
        <w:rPr>
          <w:spacing w:val="5"/>
        </w:rPr>
        <w:t xml:space="preserve">lixiviação, </w:t>
      </w:r>
      <w:r>
        <w:t xml:space="preserve">precipitam juntamente com o fosfogesso (BANDEIRA et al., </w:t>
      </w:r>
      <w:r>
        <w:rPr>
          <w:spacing w:val="1"/>
        </w:rPr>
        <w:t>2003).</w:t>
      </w:r>
    </w:p>
    <w:p w:rsidR="00D81F69" w:rsidRDefault="00330118">
      <w:pPr>
        <w:pStyle w:val="Corpodetexto"/>
        <w:spacing w:before="77" w:line="270" w:lineRule="atLeast"/>
        <w:ind w:right="40"/>
      </w:pPr>
      <w:r>
        <w:t xml:space="preserve">Na verdade, a energia nuclear produz resíduo desde a fase  </w:t>
      </w:r>
      <w:r>
        <w:rPr>
          <w:spacing w:val="5"/>
        </w:rPr>
        <w:t xml:space="preserve">de </w:t>
      </w:r>
      <w:r>
        <w:rPr>
          <w:spacing w:val="7"/>
        </w:rPr>
        <w:t xml:space="preserve">mineração </w:t>
      </w:r>
      <w:r>
        <w:rPr>
          <w:spacing w:val="5"/>
        </w:rPr>
        <w:t xml:space="preserve">até </w:t>
      </w:r>
      <w:r>
        <w:t xml:space="preserve">a </w:t>
      </w:r>
      <w:r>
        <w:rPr>
          <w:spacing w:val="6"/>
        </w:rPr>
        <w:t xml:space="preserve">fase </w:t>
      </w:r>
      <w:r>
        <w:rPr>
          <w:spacing w:val="7"/>
        </w:rPr>
        <w:t xml:space="preserve">final </w:t>
      </w:r>
      <w:r>
        <w:rPr>
          <w:spacing w:val="5"/>
        </w:rPr>
        <w:t xml:space="preserve">de </w:t>
      </w:r>
      <w:r>
        <w:rPr>
          <w:spacing w:val="8"/>
        </w:rPr>
        <w:t xml:space="preserve">reprocessamento </w:t>
      </w:r>
      <w:r>
        <w:rPr>
          <w:spacing w:val="10"/>
        </w:rPr>
        <w:t xml:space="preserve">do </w:t>
      </w:r>
      <w:r>
        <w:t>combustível nuclear, quando o urânio nã</w:t>
      </w:r>
      <w:r>
        <w:t xml:space="preserve">o queimado do reator e o plutônio gerado são separados dos produtos formados na </w:t>
      </w:r>
      <w:r>
        <w:rPr>
          <w:spacing w:val="3"/>
        </w:rPr>
        <w:t xml:space="preserve">fissão. Esses resíduos </w:t>
      </w:r>
      <w:r>
        <w:rPr>
          <w:spacing w:val="2"/>
        </w:rPr>
        <w:t xml:space="preserve">são </w:t>
      </w:r>
      <w:r>
        <w:rPr>
          <w:spacing w:val="3"/>
        </w:rPr>
        <w:t xml:space="preserve">classificados </w:t>
      </w:r>
      <w:r>
        <w:rPr>
          <w:spacing w:val="1"/>
        </w:rPr>
        <w:t xml:space="preserve">de </w:t>
      </w:r>
      <w:r>
        <w:rPr>
          <w:spacing w:val="3"/>
        </w:rPr>
        <w:t xml:space="preserve">acordo </w:t>
      </w:r>
      <w:r>
        <w:rPr>
          <w:spacing w:val="2"/>
        </w:rPr>
        <w:t xml:space="preserve">com </w:t>
      </w:r>
      <w:r>
        <w:t xml:space="preserve">o nível de radioatividade: baixa, média ou alta (ELIAS, </w:t>
      </w:r>
      <w:r>
        <w:rPr>
          <w:spacing w:val="1"/>
        </w:rPr>
        <w:t xml:space="preserve">2009). </w:t>
      </w:r>
      <w:r>
        <w:rPr>
          <w:spacing w:val="5"/>
        </w:rPr>
        <w:t xml:space="preserve">Neste sentido, </w:t>
      </w:r>
      <w:r>
        <w:rPr>
          <w:spacing w:val="2"/>
        </w:rPr>
        <w:t xml:space="preserve">um </w:t>
      </w:r>
      <w:r>
        <w:rPr>
          <w:spacing w:val="3"/>
        </w:rPr>
        <w:t xml:space="preserve">dos </w:t>
      </w:r>
      <w:r>
        <w:rPr>
          <w:spacing w:val="5"/>
        </w:rPr>
        <w:t xml:space="preserve">temores </w:t>
      </w:r>
      <w:r>
        <w:t xml:space="preserve">é </w:t>
      </w:r>
      <w:r>
        <w:rPr>
          <w:spacing w:val="3"/>
        </w:rPr>
        <w:t xml:space="preserve">que </w:t>
      </w:r>
      <w:r>
        <w:rPr>
          <w:spacing w:val="5"/>
        </w:rPr>
        <w:t xml:space="preserve">ocorra </w:t>
      </w:r>
      <w:r>
        <w:rPr>
          <w:spacing w:val="2"/>
        </w:rPr>
        <w:t xml:space="preserve">em </w:t>
      </w:r>
      <w:r>
        <w:rPr>
          <w:spacing w:val="6"/>
        </w:rPr>
        <w:t xml:space="preserve">Santa </w:t>
      </w:r>
      <w:r>
        <w:t>Quitér</w:t>
      </w:r>
      <w:r>
        <w:t xml:space="preserve">ia o que já acontece em Caetité, na Bahia (AMÉRICO, 2011). Em dez anos de funcionamento da INB em Caetité, já ocorreram seis vazamentos – de substâncias diferentes – na </w:t>
      </w:r>
      <w:r>
        <w:rPr>
          <w:spacing w:val="7"/>
        </w:rPr>
        <w:t xml:space="preserve">usina. </w:t>
      </w:r>
      <w:r>
        <w:rPr>
          <w:spacing w:val="5"/>
        </w:rPr>
        <w:t xml:space="preserve">Em </w:t>
      </w:r>
      <w:r>
        <w:rPr>
          <w:spacing w:val="7"/>
        </w:rPr>
        <w:t xml:space="preserve">2004, </w:t>
      </w:r>
      <w:r>
        <w:rPr>
          <w:spacing w:val="6"/>
        </w:rPr>
        <w:t xml:space="preserve">três </w:t>
      </w:r>
      <w:r>
        <w:rPr>
          <w:spacing w:val="8"/>
        </w:rPr>
        <w:t xml:space="preserve">municípios </w:t>
      </w:r>
      <w:r>
        <w:rPr>
          <w:spacing w:val="7"/>
        </w:rPr>
        <w:t xml:space="preserve">vizinhos </w:t>
      </w:r>
      <w:r>
        <w:rPr>
          <w:spacing w:val="10"/>
        </w:rPr>
        <w:t xml:space="preserve">registraram </w:t>
      </w:r>
      <w:r>
        <w:t>mortandade de peixes devido a vaza</w:t>
      </w:r>
      <w:r>
        <w:t>mento de concentrado de urânio, tório e rádio (AMARAL, 2010).</w:t>
      </w:r>
    </w:p>
    <w:p w:rsidR="00D81F69" w:rsidRDefault="00330118">
      <w:pPr>
        <w:pStyle w:val="Corpodetexto"/>
        <w:spacing w:before="81" w:line="312" w:lineRule="auto"/>
        <w:ind w:right="191"/>
      </w:pPr>
      <w:r>
        <w:br w:type="column"/>
      </w:r>
      <w:r>
        <w:lastRenderedPageBreak/>
        <w:t xml:space="preserve">Em outubro de 2008, o Greenpeace relatou a contaminação </w:t>
      </w:r>
      <w:r>
        <w:rPr>
          <w:spacing w:val="1"/>
        </w:rPr>
        <w:t xml:space="preserve">da </w:t>
      </w:r>
      <w:r>
        <w:rPr>
          <w:spacing w:val="2"/>
        </w:rPr>
        <w:t xml:space="preserve">água </w:t>
      </w:r>
      <w:r>
        <w:rPr>
          <w:spacing w:val="3"/>
        </w:rPr>
        <w:t xml:space="preserve">consumida </w:t>
      </w:r>
      <w:r>
        <w:rPr>
          <w:spacing w:val="2"/>
        </w:rPr>
        <w:t xml:space="preserve">pela </w:t>
      </w:r>
      <w:r>
        <w:rPr>
          <w:spacing w:val="3"/>
        </w:rPr>
        <w:t xml:space="preserve">população </w:t>
      </w:r>
      <w:r>
        <w:rPr>
          <w:spacing w:val="1"/>
        </w:rPr>
        <w:t xml:space="preserve">da </w:t>
      </w:r>
      <w:r>
        <w:rPr>
          <w:spacing w:val="3"/>
        </w:rPr>
        <w:t xml:space="preserve">cidade </w:t>
      </w:r>
      <w:r>
        <w:rPr>
          <w:spacing w:val="2"/>
        </w:rPr>
        <w:t xml:space="preserve">por </w:t>
      </w:r>
      <w:r>
        <w:rPr>
          <w:spacing w:val="5"/>
        </w:rPr>
        <w:t xml:space="preserve">urânio. </w:t>
      </w:r>
      <w:r>
        <w:rPr>
          <w:spacing w:val="3"/>
        </w:rPr>
        <w:t xml:space="preserve">Diante </w:t>
      </w:r>
      <w:r>
        <w:rPr>
          <w:spacing w:val="1"/>
        </w:rPr>
        <w:t xml:space="preserve">da </w:t>
      </w:r>
      <w:r>
        <w:rPr>
          <w:spacing w:val="3"/>
        </w:rPr>
        <w:t xml:space="preserve">gravidade </w:t>
      </w:r>
      <w:r>
        <w:rPr>
          <w:spacing w:val="1"/>
        </w:rPr>
        <w:t xml:space="preserve">da </w:t>
      </w:r>
      <w:r>
        <w:rPr>
          <w:spacing w:val="3"/>
        </w:rPr>
        <w:t xml:space="preserve">poluição, </w:t>
      </w:r>
      <w:r>
        <w:t xml:space="preserve">o </w:t>
      </w:r>
      <w:r>
        <w:rPr>
          <w:spacing w:val="3"/>
        </w:rPr>
        <w:t xml:space="preserve">assunto repercutiu </w:t>
      </w:r>
      <w:r>
        <w:rPr>
          <w:spacing w:val="5"/>
        </w:rPr>
        <w:t xml:space="preserve">em </w:t>
      </w:r>
      <w:r>
        <w:t>toda a sociedade local, d</w:t>
      </w:r>
      <w:r>
        <w:t xml:space="preserve">espertando a atenção dos Poderes Executivo, Legislativo e Judiciário (ELIAS, 2009). No final de </w:t>
      </w:r>
      <w:r>
        <w:rPr>
          <w:spacing w:val="10"/>
        </w:rPr>
        <w:t xml:space="preserve">2010, </w:t>
      </w:r>
      <w:r>
        <w:t xml:space="preserve">a </w:t>
      </w:r>
      <w:r>
        <w:rPr>
          <w:spacing w:val="10"/>
        </w:rPr>
        <w:t xml:space="preserve">Plataforma Brasileira </w:t>
      </w:r>
      <w:r>
        <w:rPr>
          <w:spacing w:val="5"/>
        </w:rPr>
        <w:t xml:space="preserve">de </w:t>
      </w:r>
      <w:r>
        <w:rPr>
          <w:spacing w:val="10"/>
        </w:rPr>
        <w:t xml:space="preserve">Direitos </w:t>
      </w:r>
      <w:r>
        <w:rPr>
          <w:spacing w:val="12"/>
        </w:rPr>
        <w:t xml:space="preserve">Humanos </w:t>
      </w:r>
      <w:r>
        <w:rPr>
          <w:spacing w:val="3"/>
        </w:rPr>
        <w:t xml:space="preserve">Econômicos, Sociais, Culturais </w:t>
      </w:r>
      <w:r>
        <w:t xml:space="preserve">e </w:t>
      </w:r>
      <w:r>
        <w:rPr>
          <w:spacing w:val="3"/>
        </w:rPr>
        <w:t xml:space="preserve">Ambientais </w:t>
      </w:r>
      <w:r>
        <w:rPr>
          <w:spacing w:val="5"/>
        </w:rPr>
        <w:t xml:space="preserve">(Plataforma </w:t>
      </w:r>
      <w:r>
        <w:t xml:space="preserve">Dhesca) — rede com mais de 30 organizações — revelou que a população do município convive com níveis de radiação 100 </w:t>
      </w:r>
      <w:r>
        <w:rPr>
          <w:spacing w:val="7"/>
        </w:rPr>
        <w:t xml:space="preserve">vezes </w:t>
      </w:r>
      <w:r>
        <w:rPr>
          <w:spacing w:val="8"/>
        </w:rPr>
        <w:t xml:space="preserve">maiores </w:t>
      </w:r>
      <w:r>
        <w:rPr>
          <w:spacing w:val="6"/>
        </w:rPr>
        <w:t xml:space="preserve">que </w:t>
      </w:r>
      <w:r>
        <w:t xml:space="preserve">a </w:t>
      </w:r>
      <w:r>
        <w:rPr>
          <w:spacing w:val="7"/>
        </w:rPr>
        <w:t xml:space="preserve">média </w:t>
      </w:r>
      <w:r>
        <w:rPr>
          <w:spacing w:val="8"/>
        </w:rPr>
        <w:t xml:space="preserve">mundial. </w:t>
      </w:r>
      <w:r>
        <w:t xml:space="preserve">A </w:t>
      </w:r>
      <w:r>
        <w:rPr>
          <w:spacing w:val="6"/>
        </w:rPr>
        <w:t xml:space="preserve">INB </w:t>
      </w:r>
      <w:r>
        <w:rPr>
          <w:spacing w:val="7"/>
        </w:rPr>
        <w:t xml:space="preserve">negou </w:t>
      </w:r>
      <w:r>
        <w:t xml:space="preserve">a </w:t>
      </w:r>
      <w:r>
        <w:rPr>
          <w:spacing w:val="10"/>
        </w:rPr>
        <w:t xml:space="preserve">contaminação, baseada </w:t>
      </w:r>
      <w:r>
        <w:rPr>
          <w:spacing w:val="7"/>
        </w:rPr>
        <w:t xml:space="preserve">num </w:t>
      </w:r>
      <w:r>
        <w:rPr>
          <w:spacing w:val="10"/>
        </w:rPr>
        <w:t xml:space="preserve">estudo encomendado </w:t>
      </w:r>
      <w:r>
        <w:t>à Fundação Oswaldo Cruz (Fiocruz). A Platafor</w:t>
      </w:r>
      <w:r>
        <w:t xml:space="preserve">ma Dhesca, por sua vez, contestou os resultados da pesquisa, alegando as dificuldades de se rastrear o que acontece com a saúde da população do município, tendo em vista que muitas pessoas </w:t>
      </w:r>
      <w:r>
        <w:rPr>
          <w:spacing w:val="6"/>
        </w:rPr>
        <w:t xml:space="preserve">procuram atendimento </w:t>
      </w:r>
      <w:r>
        <w:rPr>
          <w:spacing w:val="3"/>
        </w:rPr>
        <w:t xml:space="preserve">em </w:t>
      </w:r>
      <w:r>
        <w:rPr>
          <w:spacing w:val="5"/>
        </w:rPr>
        <w:t xml:space="preserve">outras cidades </w:t>
      </w:r>
      <w:r>
        <w:rPr>
          <w:spacing w:val="3"/>
        </w:rPr>
        <w:t xml:space="preserve">da </w:t>
      </w:r>
      <w:r>
        <w:rPr>
          <w:spacing w:val="5"/>
        </w:rPr>
        <w:t xml:space="preserve">região, </w:t>
      </w:r>
      <w:r>
        <w:t xml:space="preserve">e </w:t>
      </w:r>
      <w:r>
        <w:rPr>
          <w:spacing w:val="7"/>
        </w:rPr>
        <w:t xml:space="preserve">salientou </w:t>
      </w:r>
      <w:r>
        <w:t xml:space="preserve">a </w:t>
      </w:r>
      <w:r>
        <w:rPr>
          <w:spacing w:val="8"/>
        </w:rPr>
        <w:t>nec</w:t>
      </w:r>
      <w:r>
        <w:rPr>
          <w:spacing w:val="8"/>
        </w:rPr>
        <w:t xml:space="preserve">essidade </w:t>
      </w:r>
      <w:r>
        <w:rPr>
          <w:spacing w:val="5"/>
        </w:rPr>
        <w:t xml:space="preserve">de um </w:t>
      </w:r>
      <w:r>
        <w:rPr>
          <w:spacing w:val="7"/>
        </w:rPr>
        <w:t xml:space="preserve">estudo </w:t>
      </w:r>
      <w:r>
        <w:rPr>
          <w:spacing w:val="10"/>
        </w:rPr>
        <w:t xml:space="preserve">epidemiológico </w:t>
      </w:r>
      <w:r>
        <w:rPr>
          <w:spacing w:val="1"/>
        </w:rPr>
        <w:t xml:space="preserve">consistente para acompanhar </w:t>
      </w:r>
      <w:r>
        <w:t xml:space="preserve">os </w:t>
      </w:r>
      <w:r>
        <w:rPr>
          <w:spacing w:val="1"/>
        </w:rPr>
        <w:t xml:space="preserve">riscos </w:t>
      </w:r>
      <w:r>
        <w:t xml:space="preserve">a que a </w:t>
      </w:r>
      <w:r>
        <w:rPr>
          <w:spacing w:val="2"/>
        </w:rPr>
        <w:t xml:space="preserve">população </w:t>
      </w:r>
      <w:r>
        <w:rPr>
          <w:spacing w:val="1"/>
        </w:rPr>
        <w:t>está submetida (AMÉRICO,</w:t>
      </w:r>
      <w:r>
        <w:rPr>
          <w:spacing w:val="3"/>
        </w:rPr>
        <w:t xml:space="preserve"> </w:t>
      </w:r>
      <w:r>
        <w:rPr>
          <w:spacing w:val="2"/>
        </w:rPr>
        <w:t>2011).</w:t>
      </w:r>
    </w:p>
    <w:p w:rsidR="00D81F69" w:rsidRDefault="00330118">
      <w:pPr>
        <w:pStyle w:val="Corpodetexto"/>
        <w:spacing w:before="147" w:line="312" w:lineRule="auto"/>
        <w:ind w:right="194"/>
      </w:pPr>
      <w:r>
        <w:t>Apesar das controvérsias, as obras do Projeto Santa Quitéria prosseguem (O POVO, 2010). O Consórcio Águas de Itataia venceu a licit</w:t>
      </w:r>
      <w:r>
        <w:t>ação para construção da adutora do município. Com 52 km de extensão, a adutora levará água do Açude Edson Queiroz até a mina de Itataia. Para funcionar, a usina necessita de volume de 1.000 m3 de água por hora. Está prevista também a instalação de um linhã</w:t>
      </w:r>
      <w:r>
        <w:t xml:space="preserve">o de 69 KVA, com extensão de 50 km, para levar energia elétrica até a jazida. Além disso, serão construídos 17 km de estradas para viabilizar o escoamento do urânio e do fosfato, e uma estrada de </w:t>
      </w:r>
      <w:hyperlink r:id="rId740">
        <w:r>
          <w:t>ferro,</w:t>
        </w:r>
      </w:hyperlink>
      <w:r>
        <w:t xml:space="preserve"> interligada à Transnordestina, que facilitará o escoamento (O POVO ONLINE, 2010).</w:t>
      </w:r>
    </w:p>
    <w:p w:rsidR="00D81F69" w:rsidRDefault="00330118">
      <w:pPr>
        <w:pStyle w:val="Corpodetexto"/>
        <w:spacing w:before="141" w:line="312" w:lineRule="auto"/>
        <w:ind w:right="193"/>
      </w:pPr>
      <w:r>
        <w:t>Contudo a INB e a Galvani desistiram de tentar reverter a decisão judicial, emitida em junho de 2010, suspendendo a licença antes expedid</w:t>
      </w:r>
      <w:r>
        <w:t>a pela Semace. Sendo assim, as pendências no processo de licenciamento ambiental da usina, já sob responsabilidade do Ibama, devem inviabilizar a realização do empreendimento dentro do cronograma previamente estabelecido. As empresas estão tendo que recome</w:t>
      </w:r>
      <w:r>
        <w:t>çar o processo de estudos do meio ambiente, pois o Ibama exigiu novo Estudo e Relatório de Impacto Ambiental (EIA/Rima). Uma empresa de consultoria já foi contratada pelo consórcio para produzir o documento (SOUSA, 2011).</w:t>
      </w:r>
    </w:p>
    <w:p w:rsidR="00D81F69" w:rsidRDefault="00330118">
      <w:pPr>
        <w:pStyle w:val="Corpodetexto"/>
        <w:spacing w:before="141" w:line="312" w:lineRule="auto"/>
        <w:ind w:right="196"/>
      </w:pPr>
      <w:r>
        <w:t>Paralelo ao processo de obtenção das licenças ambientais, o consórcio investidor do Projeto Santa Quitéria avança nos testes de uma planta piloto que subsidiará o projeto de engenharia da fábrica que será implantada em Santa Quitéria. Segundo a Galvani, el</w:t>
      </w:r>
      <w:r>
        <w:t>a está montada na unidade da INB, em Caldas, no estado de Minas Gerais, e reproduz uma minifábrica onde estão sendo testados os processos de beneficiamento do minério, a produção de ácido fosfórico e a separação do urânio (SOUSA, 2011).</w:t>
      </w:r>
    </w:p>
    <w:p w:rsidR="00D81F69" w:rsidRDefault="00D81F69">
      <w:pPr>
        <w:pStyle w:val="Corpodetexto"/>
        <w:spacing w:before="7"/>
        <w:ind w:left="0"/>
        <w:jc w:val="left"/>
        <w:rPr>
          <w:sz w:val="21"/>
        </w:rPr>
      </w:pPr>
    </w:p>
    <w:p w:rsidR="00D81F69" w:rsidRDefault="00330118">
      <w:pPr>
        <w:pStyle w:val="Heading7"/>
        <w:spacing w:before="1"/>
      </w:pPr>
      <w:r>
        <w:t>LOCALIZAÇÃO GEOGRÁ</w:t>
      </w:r>
      <w:r>
        <w:t>FICA</w:t>
      </w:r>
    </w:p>
    <w:p w:rsidR="00D81F69" w:rsidRDefault="00330118">
      <w:pPr>
        <w:pStyle w:val="Corpodetexto"/>
        <w:spacing w:before="178"/>
      </w:pPr>
      <w:r>
        <w:t>O município de Santa Quitéria (latitude 4°19’57”S e longitude</w:t>
      </w:r>
    </w:p>
    <w:p w:rsidR="00D81F69" w:rsidRDefault="00D81F69">
      <w:pPr>
        <w:sectPr w:rsidR="00D81F69">
          <w:pgSz w:w="11900" w:h="16840"/>
          <w:pgMar w:top="940" w:right="500" w:bottom="700" w:left="620" w:header="0" w:footer="402" w:gutter="0"/>
          <w:cols w:num="2" w:space="720" w:equalWidth="0">
            <w:col w:w="5157" w:space="313"/>
            <w:col w:w="5310"/>
          </w:cols>
        </w:sectPr>
      </w:pPr>
    </w:p>
    <w:p w:rsidR="00D81F69" w:rsidRDefault="00330118">
      <w:pPr>
        <w:pStyle w:val="Corpodetexto"/>
        <w:spacing w:before="81" w:line="312" w:lineRule="auto"/>
        <w:ind w:right="56"/>
      </w:pPr>
      <w:r>
        <w:lastRenderedPageBreak/>
        <w:t>40°09’26”W) situa-se a 212 km de Fortaleza e, apesar da agropecuária ser sua principal atividade econômica, trata-se do município que detém a maior jazida de gr</w:t>
      </w:r>
      <w:r>
        <w:t>anito branco do mundo.</w:t>
      </w:r>
    </w:p>
    <w:p w:rsidR="00D81F69" w:rsidRDefault="00D81F69">
      <w:pPr>
        <w:pStyle w:val="Corpodetexto"/>
        <w:spacing w:before="1"/>
        <w:ind w:left="0"/>
        <w:jc w:val="left"/>
        <w:rPr>
          <w:sz w:val="29"/>
        </w:rPr>
      </w:pPr>
    </w:p>
    <w:p w:rsidR="00D81F69" w:rsidRDefault="00330118">
      <w:pPr>
        <w:pStyle w:val="Heading7"/>
      </w:pPr>
      <w:r>
        <w:t>REDATORES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38"/>
        <w:jc w:val="both"/>
        <w:rPr>
          <w:sz w:val="16"/>
        </w:rPr>
      </w:pPr>
      <w:r>
        <w:rPr>
          <w:sz w:val="16"/>
        </w:rPr>
        <w:t>ALVES, Antônio Carlos. Santa Quitéria busca qualificação profissional. In: Diário do Nordeste, 13 abr. 2010. Disponível em:</w:t>
      </w:r>
    </w:p>
    <w:p w:rsidR="00D81F69" w:rsidRDefault="00D81F69">
      <w:pPr>
        <w:spacing w:before="2" w:line="312" w:lineRule="auto"/>
        <w:ind w:left="100" w:right="38"/>
        <w:jc w:val="both"/>
        <w:rPr>
          <w:sz w:val="16"/>
        </w:rPr>
      </w:pPr>
      <w:hyperlink r:id="rId741">
        <w:r w:rsidR="00330118">
          <w:rPr>
            <w:sz w:val="16"/>
          </w:rPr>
          <w:t>&lt;http://diariodonordeste.globo.com/materia.asp?codigo=767484&gt;.</w:t>
        </w:r>
      </w:hyperlink>
      <w:r w:rsidR="00330118">
        <w:rPr>
          <w:sz w:val="16"/>
        </w:rPr>
        <w:t xml:space="preserve"> Acesso em: 09 fev. 2011.</w:t>
      </w:r>
    </w:p>
    <w:p w:rsidR="00D81F69" w:rsidRDefault="00330118">
      <w:pPr>
        <w:spacing w:before="1" w:line="312" w:lineRule="auto"/>
        <w:ind w:left="100" w:right="39"/>
        <w:jc w:val="both"/>
        <w:rPr>
          <w:sz w:val="16"/>
        </w:rPr>
      </w:pPr>
      <w:r>
        <w:rPr>
          <w:sz w:val="16"/>
        </w:rPr>
        <w:t>AMARAL, André. Dhesca Brasil faz estudo para ONU sobre impactos de mina de urânio em Caetité (BA). In: André Amaral, Meio ambiente</w:t>
      </w:r>
      <w:r>
        <w:rPr>
          <w:sz w:val="16"/>
        </w:rPr>
        <w:t xml:space="preserve"> e </w:t>
      </w:r>
      <w:r>
        <w:rPr>
          <w:spacing w:val="1"/>
          <w:sz w:val="16"/>
        </w:rPr>
        <w:t xml:space="preserve">ativismo </w:t>
      </w:r>
      <w:r>
        <w:rPr>
          <w:sz w:val="16"/>
        </w:rPr>
        <w:t xml:space="preserve">– por um </w:t>
      </w:r>
      <w:r>
        <w:rPr>
          <w:spacing w:val="1"/>
          <w:sz w:val="16"/>
        </w:rPr>
        <w:t xml:space="preserve">mundo melhor, </w:t>
      </w:r>
      <w:r>
        <w:rPr>
          <w:sz w:val="16"/>
        </w:rPr>
        <w:t xml:space="preserve">04 </w:t>
      </w:r>
      <w:r>
        <w:rPr>
          <w:spacing w:val="1"/>
          <w:sz w:val="16"/>
        </w:rPr>
        <w:t>ago. 2010. Disponível</w:t>
      </w:r>
      <w:r>
        <w:rPr>
          <w:spacing w:val="46"/>
          <w:sz w:val="16"/>
        </w:rPr>
        <w:t xml:space="preserve"> </w:t>
      </w:r>
      <w:r>
        <w:rPr>
          <w:spacing w:val="2"/>
          <w:sz w:val="16"/>
        </w:rPr>
        <w:t>em:</w:t>
      </w:r>
    </w:p>
    <w:p w:rsidR="00D81F69" w:rsidRDefault="00D81F69">
      <w:pPr>
        <w:spacing w:before="3" w:line="312" w:lineRule="auto"/>
        <w:ind w:left="100" w:right="41"/>
        <w:jc w:val="both"/>
        <w:rPr>
          <w:sz w:val="16"/>
        </w:rPr>
      </w:pPr>
      <w:hyperlink r:id="rId742">
        <w:r w:rsidR="00330118">
          <w:rPr>
            <w:sz w:val="16"/>
          </w:rPr>
          <w:t>&lt;http://decoamaral.wordpress.com/2010/08/04/dhesca-brasil-faz-</w:t>
        </w:r>
      </w:hyperlink>
      <w:r w:rsidR="00330118">
        <w:rPr>
          <w:sz w:val="16"/>
        </w:rPr>
        <w:t xml:space="preserve"> estudo-para-onu-sobre-impactos-de-mina-de-uranio-em-caetite-ba/&gt;. Acesso em: 10 fev. 2011.</w:t>
      </w:r>
    </w:p>
    <w:p w:rsidR="00D81F69" w:rsidRDefault="00330118">
      <w:pPr>
        <w:spacing w:before="2" w:line="312" w:lineRule="auto"/>
        <w:ind w:left="100" w:right="61"/>
        <w:jc w:val="both"/>
        <w:rPr>
          <w:sz w:val="16"/>
        </w:rPr>
      </w:pPr>
      <w:r>
        <w:rPr>
          <w:sz w:val="16"/>
        </w:rPr>
        <w:t>AMÉRICO, Jorge. Mina de urânio pode transformar Caetité em cidade fantasma. In: Portal Ecodebate, 13 jan. 2011. Disponível em:</w:t>
      </w:r>
    </w:p>
    <w:p w:rsidR="00D81F69" w:rsidRDefault="00D81F69">
      <w:pPr>
        <w:spacing w:before="2" w:line="312" w:lineRule="auto"/>
        <w:ind w:left="100" w:right="42"/>
        <w:jc w:val="both"/>
        <w:rPr>
          <w:sz w:val="16"/>
        </w:rPr>
      </w:pPr>
      <w:hyperlink r:id="rId743">
        <w:r w:rsidR="00330118">
          <w:rPr>
            <w:sz w:val="16"/>
          </w:rPr>
          <w:t>&lt;http://www.ecodebate.com.br/2011/01/13/mina-de-uranio-pode-</w:t>
        </w:r>
      </w:hyperlink>
      <w:r w:rsidR="00330118">
        <w:rPr>
          <w:sz w:val="16"/>
        </w:rPr>
        <w:t xml:space="preserve"> transformar-caetite-em-cidade-fantasma/&gt;. Acesso em: 10 fev. 2011. BANDEIRA, Luiz Fernando Martins; LOUREIRO, Francisco Eduardo Lapido; ARAÚJO, Ramon Veras</w:t>
      </w:r>
      <w:r w:rsidR="00330118">
        <w:rPr>
          <w:sz w:val="16"/>
        </w:rPr>
        <w:t xml:space="preserve"> Veloso de; SANTOS, Ronaldo Luiz</w:t>
      </w:r>
    </w:p>
    <w:p w:rsidR="00D81F69" w:rsidRDefault="00330118">
      <w:pPr>
        <w:spacing w:before="3" w:line="312" w:lineRule="auto"/>
        <w:ind w:left="100" w:right="43"/>
        <w:jc w:val="both"/>
        <w:rPr>
          <w:sz w:val="16"/>
        </w:rPr>
      </w:pPr>
      <w:r>
        <w:rPr>
          <w:sz w:val="16"/>
        </w:rPr>
        <w:t>C. dos. Estudo de lixiviação clorídrica e nítrica de concentrado fosfático. In: Série Anais da XI Jornada de Iniciação Científica, Cetem,</w:t>
      </w:r>
    </w:p>
    <w:p w:rsidR="00D81F69" w:rsidRDefault="00330118">
      <w:pPr>
        <w:tabs>
          <w:tab w:val="left" w:pos="1785"/>
          <w:tab w:val="left" w:pos="4548"/>
        </w:tabs>
        <w:spacing w:before="2"/>
        <w:ind w:left="100"/>
        <w:jc w:val="both"/>
        <w:rPr>
          <w:sz w:val="16"/>
        </w:rPr>
      </w:pPr>
      <w:r>
        <w:rPr>
          <w:sz w:val="16"/>
        </w:rPr>
        <w:t xml:space="preserve">2   0   0  </w:t>
      </w:r>
      <w:r>
        <w:rPr>
          <w:spacing w:val="35"/>
          <w:sz w:val="16"/>
        </w:rPr>
        <w:t xml:space="preserve"> </w:t>
      </w:r>
      <w:r>
        <w:rPr>
          <w:sz w:val="16"/>
        </w:rPr>
        <w:t xml:space="preserve">3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60"/>
        <w:jc w:val="both"/>
        <w:rPr>
          <w:sz w:val="16"/>
        </w:rPr>
      </w:pPr>
      <w:hyperlink r:id="rId744">
        <w:r w:rsidR="00330118">
          <w:rPr>
            <w:sz w:val="16"/>
          </w:rPr>
          <w:t>&lt;http://www.cetem.gov.br/publicacao/serie_anais_XI_jic_2003/19_Lui</w:t>
        </w:r>
      </w:hyperlink>
      <w:r w:rsidR="00330118">
        <w:rPr>
          <w:sz w:val="16"/>
        </w:rPr>
        <w:t xml:space="preserve"> s_Bandeira_JIC_2003.pdf&gt;. Acesso em: 09 fev. 2011.</w:t>
      </w:r>
    </w:p>
    <w:p w:rsidR="00D81F69" w:rsidRDefault="00330118">
      <w:pPr>
        <w:spacing w:before="1" w:line="312" w:lineRule="auto"/>
        <w:ind w:left="100" w:right="39"/>
        <w:jc w:val="both"/>
        <w:rPr>
          <w:sz w:val="16"/>
        </w:rPr>
      </w:pPr>
      <w:r>
        <w:rPr>
          <w:sz w:val="16"/>
        </w:rPr>
        <w:t>BORGES, André; VELOSO, Tarso. Brasil investe para dominar processamento de</w:t>
      </w:r>
      <w:r>
        <w:rPr>
          <w:sz w:val="16"/>
        </w:rPr>
        <w:t xml:space="preserve"> urânio. In: Base Militar, Web Magazine, 04 fev.</w:t>
      </w:r>
    </w:p>
    <w:p w:rsidR="00D81F69" w:rsidRDefault="00330118">
      <w:pPr>
        <w:tabs>
          <w:tab w:val="left" w:pos="2098"/>
          <w:tab w:val="left" w:pos="4588"/>
        </w:tabs>
        <w:spacing w:before="2"/>
        <w:ind w:left="100"/>
        <w:jc w:val="both"/>
        <w:rPr>
          <w:sz w:val="16"/>
        </w:rPr>
      </w:pPr>
      <w:r>
        <w:rPr>
          <w:sz w:val="16"/>
        </w:rPr>
        <w:t xml:space="preserve">2   0   1 </w:t>
      </w:r>
      <w:r>
        <w:rPr>
          <w:spacing w:val="20"/>
          <w:sz w:val="16"/>
        </w:rPr>
        <w:t xml:space="preserve"> </w:t>
      </w:r>
      <w:r>
        <w:rPr>
          <w:sz w:val="16"/>
        </w:rPr>
        <w:t xml:space="preserve">1 </w:t>
      </w:r>
      <w:r>
        <w:rPr>
          <w:spacing w:val="35"/>
          <w:sz w:val="16"/>
        </w:rPr>
        <w:t xml:space="preserve"> </w:t>
      </w:r>
      <w:r>
        <w:rPr>
          <w:sz w:val="16"/>
        </w:rPr>
        <w:t>.</w:t>
      </w:r>
      <w:r>
        <w:rPr>
          <w:sz w:val="16"/>
        </w:rPr>
        <w:tab/>
        <w:t>D   i   s   p   o   n   í   v</w:t>
      </w:r>
      <w:r>
        <w:rPr>
          <w:spacing w:val="25"/>
          <w:sz w:val="16"/>
        </w:rPr>
        <w:t xml:space="preserve"> </w:t>
      </w:r>
      <w:r>
        <w:rPr>
          <w:sz w:val="16"/>
        </w:rPr>
        <w:t xml:space="preserve">e </w:t>
      </w:r>
      <w:r>
        <w:rPr>
          <w:spacing w:val="35"/>
          <w:sz w:val="16"/>
        </w:rPr>
        <w:t xml:space="preserve"> </w:t>
      </w:r>
      <w:r>
        <w:rPr>
          <w:sz w:val="16"/>
        </w:rPr>
        <w:t>l</w:t>
      </w:r>
      <w:r>
        <w:rPr>
          <w:sz w:val="16"/>
        </w:rPr>
        <w:tab/>
        <w:t xml:space="preserve">e   m </w:t>
      </w:r>
      <w:r>
        <w:rPr>
          <w:spacing w:val="27"/>
          <w:sz w:val="16"/>
        </w:rPr>
        <w:t xml:space="preserve"> </w:t>
      </w:r>
      <w:r>
        <w:rPr>
          <w:sz w:val="16"/>
        </w:rPr>
        <w:t>:</w:t>
      </w:r>
    </w:p>
    <w:p w:rsidR="00D81F69" w:rsidRDefault="00D81F69">
      <w:pPr>
        <w:spacing w:before="56" w:line="312" w:lineRule="auto"/>
        <w:ind w:left="100" w:right="41"/>
        <w:jc w:val="both"/>
        <w:rPr>
          <w:sz w:val="16"/>
        </w:rPr>
      </w:pPr>
      <w:hyperlink r:id="rId745">
        <w:r w:rsidR="00330118">
          <w:rPr>
            <w:sz w:val="16"/>
          </w:rPr>
          <w:t>&lt;http://www.alide.com.br/joomla/index.php/capa/36-noticias/2008-</w:t>
        </w:r>
      </w:hyperlink>
      <w:r w:rsidR="00330118">
        <w:rPr>
          <w:sz w:val="16"/>
        </w:rPr>
        <w:t xml:space="preserve"> b</w:t>
      </w:r>
      <w:r w:rsidR="00330118">
        <w:rPr>
          <w:sz w:val="16"/>
        </w:rPr>
        <w:t>rasil-investe-para-dominar-processamento-de-uranio&gt;. Acesso em: 09 fev. 2011.</w:t>
      </w:r>
    </w:p>
    <w:p w:rsidR="00D81F69" w:rsidRDefault="00330118">
      <w:pPr>
        <w:tabs>
          <w:tab w:val="left" w:pos="4331"/>
        </w:tabs>
        <w:spacing w:before="2" w:line="312" w:lineRule="auto"/>
        <w:ind w:left="100" w:right="39"/>
        <w:jc w:val="both"/>
        <w:rPr>
          <w:sz w:val="16"/>
        </w:rPr>
      </w:pPr>
      <w:r>
        <w:rPr>
          <w:spacing w:val="5"/>
          <w:sz w:val="16"/>
        </w:rPr>
        <w:t xml:space="preserve">BRASIL MINERAL. Urânio. </w:t>
      </w:r>
      <w:r>
        <w:rPr>
          <w:spacing w:val="3"/>
          <w:sz w:val="16"/>
        </w:rPr>
        <w:t xml:space="preserve">INB diz que </w:t>
      </w:r>
      <w:r>
        <w:rPr>
          <w:spacing w:val="5"/>
          <w:sz w:val="16"/>
        </w:rPr>
        <w:t xml:space="preserve">momento </w:t>
      </w:r>
      <w:r>
        <w:rPr>
          <w:sz w:val="16"/>
        </w:rPr>
        <w:t xml:space="preserve">é </w:t>
      </w:r>
      <w:r>
        <w:rPr>
          <w:spacing w:val="3"/>
          <w:sz w:val="16"/>
        </w:rPr>
        <w:t xml:space="preserve">bom </w:t>
      </w:r>
      <w:r>
        <w:rPr>
          <w:spacing w:val="6"/>
          <w:sz w:val="16"/>
        </w:rPr>
        <w:t xml:space="preserve">para </w:t>
      </w:r>
      <w:r>
        <w:rPr>
          <w:spacing w:val="1"/>
          <w:sz w:val="16"/>
        </w:rPr>
        <w:t xml:space="preserve">exportar excedente. </w:t>
      </w:r>
      <w:r>
        <w:rPr>
          <w:sz w:val="16"/>
        </w:rPr>
        <w:t xml:space="preserve">In:  </w:t>
      </w:r>
      <w:r>
        <w:rPr>
          <w:spacing w:val="1"/>
          <w:sz w:val="16"/>
        </w:rPr>
        <w:t xml:space="preserve">Brasil Mineral OnLine n°411, </w:t>
      </w:r>
      <w:r>
        <w:rPr>
          <w:sz w:val="16"/>
        </w:rPr>
        <w:t xml:space="preserve">29  </w:t>
      </w:r>
      <w:r>
        <w:rPr>
          <w:spacing w:val="1"/>
          <w:sz w:val="16"/>
        </w:rPr>
        <w:t xml:space="preserve">jul. </w:t>
      </w:r>
      <w:r>
        <w:rPr>
          <w:spacing w:val="2"/>
          <w:sz w:val="16"/>
        </w:rPr>
        <w:t>2009.</w:t>
      </w:r>
      <w:r>
        <w:rPr>
          <w:spacing w:val="50"/>
          <w:sz w:val="16"/>
        </w:rPr>
        <w:t xml:space="preserve">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line="312" w:lineRule="auto"/>
        <w:ind w:left="100" w:right="60"/>
        <w:jc w:val="both"/>
        <w:rPr>
          <w:sz w:val="16"/>
        </w:rPr>
      </w:pPr>
      <w:hyperlink r:id="rId746">
        <w:r w:rsidR="00330118">
          <w:rPr>
            <w:sz w:val="16"/>
          </w:rPr>
          <w:t>&lt;http://www.brasilmineral.com.br/BM/default.asp?COD=4402&amp;busca=</w:t>
        </w:r>
      </w:hyperlink>
      <w:r w:rsidR="00330118">
        <w:rPr>
          <w:sz w:val="16"/>
        </w:rPr>
        <w:t xml:space="preserve"> &amp;numero=411&gt;. Acesso em: 10 fev. 2011.</w:t>
      </w:r>
    </w:p>
    <w:p w:rsidR="00D81F69" w:rsidRDefault="00330118">
      <w:pPr>
        <w:tabs>
          <w:tab w:val="left" w:pos="2150"/>
          <w:tab w:val="left" w:pos="4596"/>
        </w:tabs>
        <w:spacing w:before="2" w:line="312" w:lineRule="auto"/>
        <w:ind w:left="100" w:right="42"/>
        <w:jc w:val="both"/>
        <w:rPr>
          <w:sz w:val="16"/>
        </w:rPr>
      </w:pPr>
      <w:r>
        <w:rPr>
          <w:spacing w:val="3"/>
          <w:sz w:val="16"/>
        </w:rPr>
        <w:t xml:space="preserve">ELIAS, Larissa Machado. Matriz energética brasileira: </w:t>
      </w:r>
      <w:r>
        <w:rPr>
          <w:spacing w:val="5"/>
          <w:sz w:val="16"/>
        </w:rPr>
        <w:t>im</w:t>
      </w:r>
      <w:r>
        <w:rPr>
          <w:spacing w:val="5"/>
          <w:sz w:val="16"/>
        </w:rPr>
        <w:t xml:space="preserve">pactos </w:t>
      </w:r>
      <w:r>
        <w:rPr>
          <w:sz w:val="16"/>
        </w:rPr>
        <w:t>ambientais e à Saúde. Goiânia, 2009. 110f. Dissertação (Mestrado  em Ciências Ambientais e Saúde). - Universidade Católica de Goiás, G   o   i   â   n   i</w:t>
      </w:r>
      <w:r>
        <w:rPr>
          <w:spacing w:val="21"/>
          <w:sz w:val="16"/>
        </w:rPr>
        <w:t xml:space="preserve"> </w:t>
      </w:r>
      <w:r>
        <w:rPr>
          <w:sz w:val="16"/>
        </w:rPr>
        <w:t xml:space="preserve">a </w:t>
      </w:r>
      <w:r>
        <w:rPr>
          <w:spacing w:val="32"/>
          <w:sz w:val="16"/>
        </w:rPr>
        <w:t xml:space="preserve"> </w:t>
      </w:r>
      <w:r>
        <w:rPr>
          <w:sz w:val="16"/>
        </w:rPr>
        <w:t>.</w:t>
      </w:r>
      <w:r>
        <w:rPr>
          <w:sz w:val="16"/>
        </w:rPr>
        <w:tab/>
        <w:t xml:space="preserve">D   i   s   p   o   n   í   v e </w:t>
      </w:r>
      <w:r>
        <w:rPr>
          <w:spacing w:val="32"/>
          <w:sz w:val="16"/>
        </w:rPr>
        <w:t xml:space="preserve"> </w:t>
      </w:r>
      <w:r>
        <w:rPr>
          <w:sz w:val="16"/>
        </w:rPr>
        <w:t>l</w:t>
      </w:r>
      <w:r>
        <w:rPr>
          <w:sz w:val="16"/>
        </w:rPr>
        <w:tab/>
        <w:t>e m</w:t>
      </w:r>
      <w:r>
        <w:rPr>
          <w:spacing w:val="21"/>
          <w:sz w:val="16"/>
        </w:rPr>
        <w:t xml:space="preserve"> </w:t>
      </w:r>
      <w:r>
        <w:rPr>
          <w:sz w:val="16"/>
        </w:rPr>
        <w:t>:</w:t>
      </w:r>
    </w:p>
    <w:p w:rsidR="00D81F69" w:rsidRDefault="00D81F69">
      <w:pPr>
        <w:spacing w:before="3"/>
        <w:ind w:left="100"/>
        <w:jc w:val="both"/>
        <w:rPr>
          <w:sz w:val="16"/>
        </w:rPr>
      </w:pPr>
      <w:hyperlink r:id="rId747">
        <w:r w:rsidR="00330118">
          <w:rPr>
            <w:sz w:val="16"/>
          </w:rPr>
          <w:t>&lt;http://tede.biblioteca.ucg.br/tde_busca/arquivo.php?codArquivo=727</w:t>
        </w:r>
      </w:hyperlink>
    </w:p>
    <w:p w:rsidR="00D81F69" w:rsidRDefault="00330118">
      <w:pPr>
        <w:spacing w:before="56"/>
        <w:ind w:left="100"/>
        <w:jc w:val="both"/>
        <w:rPr>
          <w:sz w:val="16"/>
        </w:rPr>
      </w:pPr>
      <w:r>
        <w:rPr>
          <w:sz w:val="16"/>
        </w:rPr>
        <w:t>&gt;. Acesso em: 09 fev. 2011.</w:t>
      </w:r>
    </w:p>
    <w:p w:rsidR="00D81F69" w:rsidRDefault="00330118">
      <w:pPr>
        <w:spacing w:before="70" w:line="312" w:lineRule="auto"/>
        <w:ind w:left="100" w:right="155"/>
        <w:jc w:val="both"/>
        <w:rPr>
          <w:sz w:val="16"/>
        </w:rPr>
      </w:pPr>
      <w:r>
        <w:br w:type="column"/>
      </w:r>
      <w:r>
        <w:rPr>
          <w:sz w:val="16"/>
        </w:rPr>
        <w:lastRenderedPageBreak/>
        <w:t xml:space="preserve">IBGE, Instituto Brasileiro de Geografia e Estatística. Santa Quitéria      ( C E ) . I n : I B G E C i d a d e s . D i s p </w:t>
      </w:r>
      <w:r>
        <w:rPr>
          <w:sz w:val="16"/>
        </w:rPr>
        <w:t>o n í v e l</w:t>
      </w:r>
      <w:r>
        <w:rPr>
          <w:spacing w:val="22"/>
          <w:sz w:val="16"/>
        </w:rPr>
        <w:t xml:space="preserve"> </w:t>
      </w:r>
      <w:r>
        <w:rPr>
          <w:sz w:val="16"/>
        </w:rPr>
        <w:t xml:space="preserve">e m : </w:t>
      </w:r>
    </w:p>
    <w:p w:rsidR="00D81F69" w:rsidRDefault="00D81F69">
      <w:pPr>
        <w:spacing w:before="1"/>
        <w:ind w:left="100"/>
        <w:jc w:val="both"/>
        <w:rPr>
          <w:sz w:val="16"/>
        </w:rPr>
      </w:pPr>
      <w:hyperlink r:id="rId748">
        <w:r w:rsidR="00330118">
          <w:rPr>
            <w:sz w:val="16"/>
          </w:rPr>
          <w:t>&lt;http://www.ibge.gov.br/cidadesat/xtras/perfil.php?codmun=231220&amp;r</w:t>
        </w:r>
      </w:hyperlink>
    </w:p>
    <w:p w:rsidR="00D81F69" w:rsidRDefault="00330118">
      <w:pPr>
        <w:spacing w:before="56"/>
        <w:ind w:left="100"/>
        <w:jc w:val="both"/>
        <w:rPr>
          <w:sz w:val="16"/>
        </w:rPr>
      </w:pPr>
      <w:r>
        <w:rPr>
          <w:sz w:val="16"/>
        </w:rPr>
        <w:t>=2&gt;. Acesso em: 09 fev. 2011.</w:t>
      </w:r>
    </w:p>
    <w:p w:rsidR="00D81F69" w:rsidRDefault="00330118">
      <w:pPr>
        <w:tabs>
          <w:tab w:val="left" w:pos="4331"/>
        </w:tabs>
        <w:spacing w:before="56" w:line="312" w:lineRule="auto"/>
        <w:ind w:left="100" w:right="192"/>
        <w:jc w:val="both"/>
        <w:rPr>
          <w:sz w:val="16"/>
        </w:rPr>
      </w:pPr>
      <w:r>
        <w:rPr>
          <w:spacing w:val="3"/>
          <w:sz w:val="16"/>
        </w:rPr>
        <w:t xml:space="preserve">INB, </w:t>
      </w:r>
      <w:r>
        <w:rPr>
          <w:spacing w:val="5"/>
          <w:sz w:val="16"/>
        </w:rPr>
        <w:t xml:space="preserve">Indústrias Nucleares </w:t>
      </w:r>
      <w:r>
        <w:rPr>
          <w:spacing w:val="2"/>
          <w:sz w:val="16"/>
        </w:rPr>
        <w:t xml:space="preserve">do  </w:t>
      </w:r>
      <w:r>
        <w:rPr>
          <w:spacing w:val="5"/>
          <w:sz w:val="16"/>
        </w:rPr>
        <w:t xml:space="preserve">Brasil. </w:t>
      </w:r>
      <w:r>
        <w:rPr>
          <w:spacing w:val="3"/>
          <w:sz w:val="16"/>
        </w:rPr>
        <w:t xml:space="preserve">INB Santa </w:t>
      </w:r>
      <w:r>
        <w:rPr>
          <w:spacing w:val="5"/>
          <w:sz w:val="16"/>
        </w:rPr>
        <w:t>Quité</w:t>
      </w:r>
      <w:r>
        <w:rPr>
          <w:spacing w:val="5"/>
          <w:sz w:val="16"/>
        </w:rPr>
        <w:t xml:space="preserve">ria. 2011.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193"/>
        <w:jc w:val="both"/>
        <w:rPr>
          <w:sz w:val="16"/>
        </w:rPr>
      </w:pPr>
      <w:hyperlink r:id="rId749">
        <w:r w:rsidR="00330118">
          <w:rPr>
            <w:sz w:val="16"/>
          </w:rPr>
          <w:t>&lt;http://www.inb.gov.br/inb/webforms/interna.aspx?secao_id=52&gt;.</w:t>
        </w:r>
      </w:hyperlink>
      <w:r w:rsidR="00330118">
        <w:rPr>
          <w:sz w:val="16"/>
        </w:rPr>
        <w:t xml:space="preserve"> Acesso em: 09 fev. 2011.</w:t>
      </w:r>
    </w:p>
    <w:p w:rsidR="00D81F69" w:rsidRDefault="00330118">
      <w:pPr>
        <w:tabs>
          <w:tab w:val="left" w:pos="4331"/>
        </w:tabs>
        <w:spacing w:before="2" w:line="312" w:lineRule="auto"/>
        <w:ind w:left="100" w:right="190"/>
        <w:jc w:val="both"/>
        <w:rPr>
          <w:sz w:val="16"/>
        </w:rPr>
      </w:pPr>
      <w:r>
        <w:rPr>
          <w:sz w:val="16"/>
        </w:rPr>
        <w:t xml:space="preserve">______. Projeto Santa Quitéria: INB e Governo do Ceará assinam </w:t>
      </w:r>
      <w:r>
        <w:rPr>
          <w:spacing w:val="5"/>
          <w:sz w:val="16"/>
        </w:rPr>
        <w:t xml:space="preserve">protocolo </w:t>
      </w:r>
      <w:r>
        <w:rPr>
          <w:spacing w:val="2"/>
          <w:sz w:val="16"/>
        </w:rPr>
        <w:t xml:space="preserve">de  </w:t>
      </w:r>
      <w:r>
        <w:rPr>
          <w:spacing w:val="5"/>
          <w:sz w:val="16"/>
        </w:rPr>
        <w:t xml:space="preserve">intenções. </w:t>
      </w:r>
      <w:r>
        <w:rPr>
          <w:spacing w:val="3"/>
          <w:sz w:val="16"/>
        </w:rPr>
        <w:t xml:space="preserve">In:  </w:t>
      </w:r>
      <w:r>
        <w:rPr>
          <w:spacing w:val="5"/>
          <w:sz w:val="16"/>
        </w:rPr>
        <w:t xml:space="preserve">Portal Fator Brasil, </w:t>
      </w:r>
      <w:r>
        <w:rPr>
          <w:spacing w:val="2"/>
          <w:sz w:val="16"/>
        </w:rPr>
        <w:t xml:space="preserve">21  </w:t>
      </w:r>
      <w:r>
        <w:rPr>
          <w:spacing w:val="5"/>
          <w:sz w:val="16"/>
        </w:rPr>
        <w:t xml:space="preserve">ago. </w:t>
      </w:r>
      <w:r>
        <w:rPr>
          <w:spacing w:val="6"/>
          <w:sz w:val="16"/>
        </w:rPr>
        <w:t xml:space="preserve">2008.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216"/>
        <w:jc w:val="both"/>
        <w:rPr>
          <w:sz w:val="16"/>
        </w:rPr>
      </w:pPr>
      <w:hyperlink r:id="rId750">
        <w:r w:rsidR="00330118">
          <w:rPr>
            <w:sz w:val="16"/>
          </w:rPr>
          <w:t xml:space="preserve">&lt;http://www.revistafator.com.br/ver_noticia.php?not=50157&gt;. </w:t>
        </w:r>
      </w:hyperlink>
      <w:r w:rsidR="00330118">
        <w:rPr>
          <w:sz w:val="16"/>
        </w:rPr>
        <w:t>Acesso em: 10 fev. 2011.</w:t>
      </w:r>
    </w:p>
    <w:p w:rsidR="00D81F69" w:rsidRDefault="00330118">
      <w:pPr>
        <w:spacing w:before="2" w:line="312" w:lineRule="auto"/>
        <w:ind w:left="100" w:right="193"/>
        <w:jc w:val="both"/>
        <w:rPr>
          <w:sz w:val="16"/>
        </w:rPr>
      </w:pPr>
      <w:r>
        <w:rPr>
          <w:sz w:val="16"/>
        </w:rPr>
        <w:t xml:space="preserve">_____. Projeto Santa Quitéria é destaque no III Encontro de Mineração do Ceará. Disponível em: </w:t>
      </w:r>
      <w:hyperlink r:id="rId751">
        <w:r>
          <w:rPr>
            <w:sz w:val="16"/>
          </w:rPr>
          <w:t>&lt;http://www.inb.</w:t>
        </w:r>
        <w:r>
          <w:rPr>
            <w:sz w:val="16"/>
          </w:rPr>
          <w:t>gov.br/pt-</w:t>
        </w:r>
      </w:hyperlink>
      <w:r>
        <w:rPr>
          <w:sz w:val="16"/>
        </w:rPr>
        <w:t xml:space="preserve"> br/WebForms/interna2.aspx?campo=2601&gt;. Acesso em: 13 mar. 2013.</w:t>
      </w:r>
    </w:p>
    <w:p w:rsidR="00D81F69" w:rsidRDefault="00330118">
      <w:pPr>
        <w:spacing w:before="3"/>
        <w:ind w:left="100"/>
        <w:jc w:val="both"/>
        <w:rPr>
          <w:sz w:val="16"/>
        </w:rPr>
      </w:pPr>
      <w:r>
        <w:rPr>
          <w:sz w:val="16"/>
        </w:rPr>
        <w:t>MPF-CE,  MINISTÉRIO  PÚBLICO  FEDERAL  NO  CEARÁ. CE:</w:t>
      </w:r>
    </w:p>
    <w:p w:rsidR="00D81F69" w:rsidRDefault="00330118">
      <w:pPr>
        <w:spacing w:before="56" w:line="312" w:lineRule="auto"/>
        <w:ind w:left="100" w:right="197"/>
        <w:jc w:val="both"/>
        <w:rPr>
          <w:sz w:val="16"/>
        </w:rPr>
      </w:pPr>
      <w:r>
        <w:rPr>
          <w:sz w:val="16"/>
        </w:rPr>
        <w:t>Decisão anula licença ambiental para extração mineral de ácido fosfórico e urânio. In Portal Ecodebate, Cidadania e Meio Ambien</w:t>
      </w:r>
      <w:r>
        <w:rPr>
          <w:sz w:val="16"/>
        </w:rPr>
        <w:t>te,</w:t>
      </w:r>
    </w:p>
    <w:p w:rsidR="00D81F69" w:rsidRDefault="00330118">
      <w:pPr>
        <w:spacing w:before="2"/>
        <w:ind w:left="100"/>
        <w:jc w:val="both"/>
        <w:rPr>
          <w:sz w:val="16"/>
        </w:rPr>
      </w:pPr>
      <w:r>
        <w:rPr>
          <w:sz w:val="16"/>
        </w:rPr>
        <w:t xml:space="preserve">2 4         j u n .         2 0 1 0 .         D i s p o n í v e l         e m :  </w:t>
      </w:r>
    </w:p>
    <w:p w:rsidR="00D81F69" w:rsidRDefault="00D81F69">
      <w:pPr>
        <w:spacing w:before="56" w:line="312" w:lineRule="auto"/>
        <w:ind w:left="100" w:right="190"/>
        <w:jc w:val="both"/>
        <w:rPr>
          <w:sz w:val="16"/>
        </w:rPr>
      </w:pPr>
      <w:hyperlink r:id="rId752">
        <w:r w:rsidR="00330118">
          <w:rPr>
            <w:sz w:val="16"/>
          </w:rPr>
          <w:t>&lt;http://www.ecodebate.com.br/2010/06/24/ce-decisao-anula-licenca-</w:t>
        </w:r>
      </w:hyperlink>
      <w:r w:rsidR="00330118">
        <w:rPr>
          <w:sz w:val="16"/>
        </w:rPr>
        <w:t xml:space="preserve"> ambiental-para-extraca</w:t>
      </w:r>
      <w:r w:rsidR="00330118">
        <w:rPr>
          <w:sz w:val="16"/>
        </w:rPr>
        <w:t>o-mineral-de-acido-fosforico-e-uranio/&gt;. Acesso em: 09 fev. 2011.</w:t>
      </w:r>
    </w:p>
    <w:p w:rsidR="00D81F69" w:rsidRDefault="00330118">
      <w:pPr>
        <w:spacing w:before="2" w:line="312" w:lineRule="auto"/>
        <w:ind w:left="100" w:right="180"/>
        <w:jc w:val="both"/>
        <w:rPr>
          <w:sz w:val="16"/>
        </w:rPr>
      </w:pPr>
      <w:r>
        <w:rPr>
          <w:sz w:val="16"/>
        </w:rPr>
        <w:t xml:space="preserve">O POVO. Santa Quitéria: Ações querem evitar atraso em Itataia. In Santa   Quitéria  Notícias,  12   jul.   2010.   Disponível em: </w:t>
      </w:r>
    </w:p>
    <w:p w:rsidR="00D81F69" w:rsidRDefault="00D81F69">
      <w:pPr>
        <w:spacing w:before="2" w:line="312" w:lineRule="auto"/>
        <w:ind w:left="100" w:right="214"/>
        <w:jc w:val="both"/>
        <w:rPr>
          <w:sz w:val="16"/>
        </w:rPr>
      </w:pPr>
      <w:hyperlink r:id="rId753">
        <w:r w:rsidR="00330118">
          <w:rPr>
            <w:sz w:val="16"/>
          </w:rPr>
          <w:t>&lt;http://www.santaquiterianoticias.com.br/sqn/?noticia=2130&amp;titulo=SA</w:t>
        </w:r>
      </w:hyperlink>
      <w:r w:rsidR="00330118">
        <w:rPr>
          <w:sz w:val="16"/>
        </w:rPr>
        <w:t xml:space="preserve"> NTA%2520QUIT%25C9RIA:%2520A%25E7%25F5es%2520querem</w:t>
      </w:r>
    </w:p>
    <w:p w:rsidR="00D81F69" w:rsidRDefault="00330118">
      <w:pPr>
        <w:spacing w:before="1" w:line="312" w:lineRule="auto"/>
        <w:ind w:left="100" w:right="213"/>
        <w:jc w:val="both"/>
        <w:rPr>
          <w:sz w:val="16"/>
        </w:rPr>
      </w:pPr>
      <w:r>
        <w:rPr>
          <w:sz w:val="16"/>
        </w:rPr>
        <w:t>%2520evitar%2520atraso%2520em%2520Itataia&gt;. Acesso em: 09 fev. 2011.</w:t>
      </w:r>
    </w:p>
    <w:p w:rsidR="00D81F69" w:rsidRDefault="00330118">
      <w:pPr>
        <w:spacing w:before="2" w:line="312" w:lineRule="auto"/>
        <w:ind w:left="100" w:right="172"/>
        <w:jc w:val="both"/>
        <w:rPr>
          <w:sz w:val="16"/>
        </w:rPr>
      </w:pPr>
      <w:r>
        <w:rPr>
          <w:sz w:val="16"/>
        </w:rPr>
        <w:t xml:space="preserve">O POVO ONLINE. Divulgado consórcio vencedor da licitação para construção da Adutora de Santa Quitéria. In: Instituto Brasileiro de </w:t>
      </w:r>
      <w:r>
        <w:rPr>
          <w:spacing w:val="21"/>
          <w:sz w:val="16"/>
        </w:rPr>
        <w:t xml:space="preserve">Mineração </w:t>
      </w:r>
      <w:r>
        <w:rPr>
          <w:spacing w:val="20"/>
          <w:sz w:val="16"/>
        </w:rPr>
        <w:t>(Ibram),</w:t>
      </w:r>
      <w:r>
        <w:rPr>
          <w:spacing w:val="85"/>
          <w:sz w:val="16"/>
        </w:rPr>
        <w:t xml:space="preserve"> </w:t>
      </w:r>
      <w:r>
        <w:rPr>
          <w:spacing w:val="11"/>
          <w:sz w:val="16"/>
        </w:rPr>
        <w:t xml:space="preserve">01 </w:t>
      </w:r>
      <w:r>
        <w:rPr>
          <w:spacing w:val="17"/>
          <w:sz w:val="16"/>
        </w:rPr>
        <w:t xml:space="preserve">jun. </w:t>
      </w:r>
      <w:r>
        <w:rPr>
          <w:spacing w:val="20"/>
          <w:sz w:val="16"/>
        </w:rPr>
        <w:t xml:space="preserve">2010. </w:t>
      </w:r>
      <w:r>
        <w:rPr>
          <w:spacing w:val="21"/>
          <w:sz w:val="16"/>
        </w:rPr>
        <w:t>Disponível</w:t>
      </w:r>
      <w:r>
        <w:rPr>
          <w:spacing w:val="20"/>
          <w:sz w:val="16"/>
        </w:rPr>
        <w:t xml:space="preserve"> </w:t>
      </w:r>
      <w:r>
        <w:rPr>
          <w:spacing w:val="15"/>
          <w:sz w:val="16"/>
        </w:rPr>
        <w:t>em:</w:t>
      </w:r>
      <w:r>
        <w:rPr>
          <w:spacing w:val="-19"/>
          <w:sz w:val="16"/>
        </w:rPr>
        <w:t xml:space="preserve"> </w:t>
      </w:r>
    </w:p>
    <w:p w:rsidR="00D81F69" w:rsidRDefault="00D81F69">
      <w:pPr>
        <w:spacing w:before="2" w:line="312" w:lineRule="auto"/>
        <w:ind w:left="100" w:right="198"/>
        <w:jc w:val="both"/>
        <w:rPr>
          <w:sz w:val="16"/>
        </w:rPr>
      </w:pPr>
      <w:hyperlink r:id="rId754">
        <w:r w:rsidR="00330118">
          <w:rPr>
            <w:sz w:val="16"/>
          </w:rPr>
          <w:t>&lt;http://www.ibram.org.br/150/15001002.asp?ttCD_CHAVE=112384&gt;.</w:t>
        </w:r>
      </w:hyperlink>
      <w:r w:rsidR="00330118">
        <w:rPr>
          <w:sz w:val="16"/>
        </w:rPr>
        <w:t xml:space="preserve"> Acesso em: 09 fev. 2011.</w:t>
      </w:r>
    </w:p>
    <w:p w:rsidR="00D81F69" w:rsidRDefault="00330118">
      <w:pPr>
        <w:spacing w:before="2" w:line="312" w:lineRule="auto"/>
        <w:ind w:left="100" w:right="149"/>
        <w:jc w:val="both"/>
        <w:rPr>
          <w:sz w:val="16"/>
        </w:rPr>
      </w:pPr>
      <w:r>
        <w:rPr>
          <w:spacing w:val="7"/>
          <w:sz w:val="16"/>
        </w:rPr>
        <w:t xml:space="preserve">RIBEIRO, Valeria Aparecida Leitão; AFONSO, Júlio </w:t>
      </w:r>
      <w:r>
        <w:rPr>
          <w:spacing w:val="10"/>
          <w:sz w:val="16"/>
        </w:rPr>
        <w:t xml:space="preserve">Carlos; </w:t>
      </w:r>
      <w:r>
        <w:rPr>
          <w:sz w:val="16"/>
        </w:rPr>
        <w:t>WILDHAGEN, Glória Regina da Silva; CUNHA, José Waldemar Silva Dias da. Extração líquido-líquido de urânio(VI) do</w:t>
      </w:r>
      <w:r>
        <w:rPr>
          <w:sz w:val="16"/>
        </w:rPr>
        <w:t xml:space="preserve"> colofanito de itataia (Santa Quitéria, Ceará) por extratantes orgânicos em presença de </w:t>
      </w:r>
      <w:r>
        <w:rPr>
          <w:spacing w:val="3"/>
          <w:sz w:val="16"/>
        </w:rPr>
        <w:t xml:space="preserve">ácido </w:t>
      </w:r>
      <w:r>
        <w:rPr>
          <w:spacing w:val="5"/>
          <w:sz w:val="16"/>
        </w:rPr>
        <w:t xml:space="preserve">fosfórico. </w:t>
      </w:r>
      <w:r>
        <w:rPr>
          <w:spacing w:val="3"/>
          <w:sz w:val="16"/>
        </w:rPr>
        <w:t xml:space="preserve">In: Quím. Nova, </w:t>
      </w:r>
      <w:r>
        <w:rPr>
          <w:spacing w:val="5"/>
          <w:sz w:val="16"/>
        </w:rPr>
        <w:t xml:space="preserve">vol.31, </w:t>
      </w:r>
      <w:r>
        <w:rPr>
          <w:spacing w:val="2"/>
          <w:sz w:val="16"/>
        </w:rPr>
        <w:t xml:space="preserve">n. 8, </w:t>
      </w:r>
      <w:r>
        <w:rPr>
          <w:spacing w:val="3"/>
          <w:sz w:val="16"/>
        </w:rPr>
        <w:t xml:space="preserve">São </w:t>
      </w:r>
      <w:r>
        <w:rPr>
          <w:spacing w:val="5"/>
          <w:sz w:val="16"/>
        </w:rPr>
        <w:t xml:space="preserve">Paulo, 2008. </w:t>
      </w:r>
      <w:r>
        <w:rPr>
          <w:spacing w:val="8"/>
          <w:sz w:val="16"/>
        </w:rPr>
        <w:t xml:space="preserve">Disponível </w:t>
      </w:r>
      <w:r>
        <w:rPr>
          <w:spacing w:val="5"/>
          <w:sz w:val="16"/>
        </w:rPr>
        <w:t xml:space="preserve">em: </w:t>
      </w:r>
      <w:hyperlink r:id="rId755">
        <w:r>
          <w:rPr>
            <w:spacing w:val="10"/>
            <w:sz w:val="16"/>
          </w:rPr>
          <w:t>&lt;http://www.scielo.br/scielo.</w:t>
        </w:r>
        <w:r>
          <w:rPr>
            <w:spacing w:val="10"/>
            <w:sz w:val="16"/>
          </w:rPr>
          <w:t>php?pid=S0100-</w:t>
        </w:r>
      </w:hyperlink>
      <w:r>
        <w:rPr>
          <w:spacing w:val="10"/>
          <w:sz w:val="16"/>
        </w:rPr>
        <w:t xml:space="preserve"> </w:t>
      </w:r>
      <w:r>
        <w:rPr>
          <w:sz w:val="16"/>
        </w:rPr>
        <w:t>40422008000800042&amp;script=sci_arttext&gt;. Acesso em: 09 fev. 2011. SANT`ANNA, Firmino Moraes. Projeto Santa Quitéria. Apresentação   e m P o w e r P o i n t . 2 0 0 9 . D i s p o n í v e l e m</w:t>
      </w:r>
      <w:r>
        <w:rPr>
          <w:spacing w:val="41"/>
          <w:sz w:val="16"/>
        </w:rPr>
        <w:t xml:space="preserve"> </w:t>
      </w:r>
      <w:r>
        <w:rPr>
          <w:sz w:val="16"/>
        </w:rPr>
        <w:t>:</w:t>
      </w:r>
      <w:r>
        <w:rPr>
          <w:spacing w:val="2"/>
          <w:sz w:val="16"/>
        </w:rPr>
        <w:t xml:space="preserve"> </w:t>
      </w:r>
    </w:p>
    <w:p w:rsidR="00D81F69" w:rsidRDefault="00D81F69">
      <w:pPr>
        <w:spacing w:before="7" w:line="312" w:lineRule="auto"/>
        <w:ind w:left="100" w:right="217"/>
        <w:jc w:val="both"/>
        <w:rPr>
          <w:sz w:val="16"/>
        </w:rPr>
      </w:pPr>
      <w:hyperlink r:id="rId756">
        <w:r w:rsidR="00330118">
          <w:rPr>
            <w:sz w:val="16"/>
          </w:rPr>
          <w:t>&lt;http://www.itarget.com.br/clients/santaquiteria.ce.gov.br/2009/Down/j</w:t>
        </w:r>
      </w:hyperlink>
      <w:r w:rsidR="00330118">
        <w:rPr>
          <w:sz w:val="16"/>
        </w:rPr>
        <w:t xml:space="preserve"> azida.pdf&gt;. Acesso em: 09 fev. 2011.</w:t>
      </w:r>
    </w:p>
    <w:p w:rsidR="00D81F69" w:rsidRDefault="00330118">
      <w:pPr>
        <w:spacing w:before="2" w:line="312" w:lineRule="auto"/>
        <w:ind w:left="100" w:right="172"/>
        <w:jc w:val="both"/>
        <w:rPr>
          <w:sz w:val="16"/>
        </w:rPr>
      </w:pPr>
      <w:r>
        <w:rPr>
          <w:sz w:val="16"/>
        </w:rPr>
        <w:t xml:space="preserve">SOUSA, Sérgio de. Cronograma de Itataia já está comprometido. In: </w:t>
      </w:r>
      <w:r>
        <w:rPr>
          <w:spacing w:val="18"/>
          <w:sz w:val="16"/>
        </w:rPr>
        <w:t xml:space="preserve">Diário </w:t>
      </w:r>
      <w:r>
        <w:rPr>
          <w:spacing w:val="10"/>
          <w:sz w:val="16"/>
        </w:rPr>
        <w:t>do</w:t>
      </w:r>
      <w:r>
        <w:rPr>
          <w:spacing w:val="65"/>
          <w:sz w:val="16"/>
        </w:rPr>
        <w:t xml:space="preserve"> </w:t>
      </w:r>
      <w:r>
        <w:rPr>
          <w:spacing w:val="20"/>
          <w:sz w:val="16"/>
        </w:rPr>
        <w:t xml:space="preserve">Nordeste, </w:t>
      </w:r>
      <w:r>
        <w:rPr>
          <w:spacing w:val="10"/>
          <w:sz w:val="16"/>
        </w:rPr>
        <w:t>11</w:t>
      </w:r>
      <w:r>
        <w:rPr>
          <w:spacing w:val="65"/>
          <w:sz w:val="16"/>
        </w:rPr>
        <w:t xml:space="preserve"> </w:t>
      </w:r>
      <w:r>
        <w:rPr>
          <w:spacing w:val="16"/>
          <w:sz w:val="16"/>
        </w:rPr>
        <w:t xml:space="preserve">jan. </w:t>
      </w:r>
      <w:r>
        <w:rPr>
          <w:spacing w:val="17"/>
          <w:sz w:val="16"/>
        </w:rPr>
        <w:t xml:space="preserve">2011. </w:t>
      </w:r>
      <w:r>
        <w:rPr>
          <w:spacing w:val="20"/>
          <w:sz w:val="16"/>
        </w:rPr>
        <w:t>Disponíve</w:t>
      </w:r>
      <w:r>
        <w:rPr>
          <w:spacing w:val="20"/>
          <w:sz w:val="16"/>
        </w:rPr>
        <w:t xml:space="preserve">l </w:t>
      </w:r>
      <w:r>
        <w:rPr>
          <w:spacing w:val="15"/>
          <w:sz w:val="16"/>
        </w:rPr>
        <w:t>em:</w:t>
      </w:r>
      <w:r>
        <w:rPr>
          <w:spacing w:val="-21"/>
          <w:sz w:val="16"/>
        </w:rPr>
        <w:t xml:space="preserve"> </w:t>
      </w:r>
    </w:p>
    <w:p w:rsidR="00D81F69" w:rsidRDefault="00D81F69">
      <w:pPr>
        <w:spacing w:before="2" w:line="312" w:lineRule="auto"/>
        <w:ind w:left="100" w:right="194"/>
        <w:jc w:val="both"/>
        <w:rPr>
          <w:sz w:val="16"/>
        </w:rPr>
      </w:pPr>
      <w:hyperlink r:id="rId757">
        <w:r w:rsidR="00330118">
          <w:rPr>
            <w:sz w:val="16"/>
          </w:rPr>
          <w:t>&lt;http://diariodonordeste.globo.com/materia.asp?codigo=915731&gt;.</w:t>
        </w:r>
      </w:hyperlink>
      <w:r w:rsidR="00330118">
        <w:rPr>
          <w:sz w:val="16"/>
        </w:rPr>
        <w:t xml:space="preserve"> Acesso em: 10 fev. 2011.</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54" w:space="316"/>
            <w:col w:w="5310"/>
          </w:cols>
        </w:sectPr>
      </w:pPr>
    </w:p>
    <w:p w:rsidR="00D81F69" w:rsidRDefault="00330118">
      <w:pPr>
        <w:pStyle w:val="Heading1"/>
        <w:spacing w:line="208" w:lineRule="auto"/>
      </w:pPr>
      <w:r>
        <w:lastRenderedPageBreak/>
        <w:t xml:space="preserve">Mineração de calcário na Chapada do Araripe (CE) afeta </w:t>
      </w:r>
      <w:r>
        <w:t>sítio paleontológico</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549"/>
        <w:rPr>
          <w:i/>
          <w:sz w:val="14"/>
        </w:rPr>
      </w:pPr>
      <w:r>
        <w:rPr>
          <w:i/>
          <w:sz w:val="14"/>
        </w:rPr>
        <w:t>CE - Barbalha CE - Crato</w:t>
      </w:r>
    </w:p>
    <w:p w:rsidR="00D81F69" w:rsidRDefault="00330118">
      <w:pPr>
        <w:spacing w:before="2"/>
        <w:ind w:left="135"/>
        <w:rPr>
          <w:i/>
          <w:sz w:val="14"/>
        </w:rPr>
      </w:pPr>
      <w:r>
        <w:rPr>
          <w:i/>
          <w:sz w:val="14"/>
        </w:rPr>
        <w:t>CE - Nova Olinda</w:t>
      </w:r>
    </w:p>
    <w:p w:rsidR="00D81F69" w:rsidRDefault="00330118">
      <w:pPr>
        <w:spacing w:before="49"/>
        <w:ind w:left="135"/>
        <w:rPr>
          <w:i/>
          <w:sz w:val="14"/>
        </w:rPr>
      </w:pPr>
      <w:r>
        <w:rPr>
          <w:i/>
          <w:sz w:val="14"/>
        </w:rPr>
        <w:t>CE - Santana do Cariri</w:t>
      </w:r>
    </w:p>
    <w:p w:rsidR="00D81F69" w:rsidRDefault="00D81F69">
      <w:pPr>
        <w:pStyle w:val="Corpodetexto"/>
        <w:spacing w:before="5"/>
        <w:ind w:left="0"/>
        <w:jc w:val="left"/>
        <w:rPr>
          <w:i/>
          <w:sz w:val="22"/>
        </w:rPr>
      </w:pPr>
    </w:p>
    <w:p w:rsidR="00D81F69" w:rsidRDefault="00330118">
      <w:pPr>
        <w:spacing w:before="1"/>
        <w:ind w:left="135"/>
        <w:rPr>
          <w:i/>
          <w:sz w:val="14"/>
        </w:rPr>
      </w:pPr>
      <w:r>
        <w:rPr>
          <w:i/>
          <w:sz w:val="14"/>
        </w:rPr>
        <w:t>LATITUDE</w:t>
      </w:r>
    </w:p>
    <w:p w:rsidR="00D81F69" w:rsidRDefault="00330118">
      <w:pPr>
        <w:spacing w:before="49"/>
        <w:ind w:left="135"/>
        <w:rPr>
          <w:i/>
          <w:sz w:val="14"/>
        </w:rPr>
      </w:pPr>
      <w:r>
        <w:rPr>
          <w:i/>
          <w:sz w:val="14"/>
        </w:rPr>
        <w:t>-7,09167</w:t>
      </w:r>
    </w:p>
    <w:p w:rsidR="00D81F69" w:rsidRDefault="00D81F69">
      <w:pPr>
        <w:pStyle w:val="Corpodetexto"/>
        <w:spacing w:before="5"/>
        <w:ind w:left="0"/>
        <w:jc w:val="left"/>
        <w:rPr>
          <w:i/>
          <w:sz w:val="22"/>
        </w:rPr>
      </w:pPr>
    </w:p>
    <w:p w:rsidR="00D81F69" w:rsidRDefault="00330118">
      <w:pPr>
        <w:spacing w:before="1"/>
        <w:ind w:left="135"/>
        <w:rPr>
          <w:i/>
          <w:sz w:val="14"/>
        </w:rPr>
      </w:pPr>
      <w:r>
        <w:rPr>
          <w:i/>
          <w:sz w:val="14"/>
        </w:rPr>
        <w:t>LONGITUDE</w:t>
      </w:r>
    </w:p>
    <w:p w:rsidR="00D81F69" w:rsidRDefault="00330118">
      <w:pPr>
        <w:spacing w:before="49"/>
        <w:ind w:left="135"/>
        <w:rPr>
          <w:i/>
          <w:sz w:val="14"/>
        </w:rPr>
      </w:pPr>
      <w:r>
        <w:rPr>
          <w:i/>
          <w:sz w:val="14"/>
        </w:rPr>
        <w:t>-39,68056</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1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O calcário laminado, popularmente </w:t>
      </w:r>
      <w:r>
        <w:rPr>
          <w:i/>
          <w:sz w:val="16"/>
        </w:rPr>
        <w:t>conhecido como Pedra Cariri, era explorado, até recentemente, de forma artesanal e em pequena escala nas cidades cearenses de Nova Olinda e Santana do Cariri, na Bacia do Araripe. Tal atividade é considerada uma das responsáveis pelos diversos impactos amb</w:t>
      </w:r>
      <w:r>
        <w:rPr>
          <w:i/>
          <w:sz w:val="16"/>
        </w:rPr>
        <w:t>ientais na região, incluindo o acúmulo de toneladas de rejeitos nas margens dos riachos e nas frentes de lavra.</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1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67"/>
      </w:pPr>
      <w:r>
        <w:t xml:space="preserve">importância são as Pedreiras do Rio Batateiras, na localidade conhecida como Cachoeira, no Bairro do Lameiro, cidade do Crato, e as pedreiras de Santa Rita e Caldas, que ficam próximas ao município de Barbalha (VIANA; NEUMANN,1999). </w:t>
      </w:r>
    </w:p>
    <w:p w:rsidR="00D81F69" w:rsidRDefault="00330118">
      <w:pPr>
        <w:pStyle w:val="Corpodetexto"/>
        <w:spacing w:before="134" w:line="312" w:lineRule="auto"/>
        <w:ind w:left="135" w:right="191"/>
      </w:pPr>
      <w:r>
        <w:t>O calcário começou a s</w:t>
      </w:r>
      <w:r>
        <w:t>er extraído na região, na década de 1940, a partir da exploração de gipsita. A partir de 1970, começou, efetivamente, sua exploração comercial (CASTRO; MELLO; VIDAL, 2009). De 1980 a 1990, houve incremento da produção, acompanhada do crescimento do setor d</w:t>
      </w:r>
      <w:r>
        <w:t>e rochas ornamentais (PADILHA et al., 2008 apud CASTRO; MELLO; VIDAL, 2009). Até recentemente, no entanto, todas as etapas da cadeia produtiva eram realizadas de forma precária. A</w:t>
      </w:r>
    </w:p>
    <w:p w:rsidR="00D81F69" w:rsidRDefault="00D81F69">
      <w:pPr>
        <w:spacing w:line="312" w:lineRule="auto"/>
        <w:sectPr w:rsidR="00D81F69">
          <w:type w:val="continuous"/>
          <w:pgSz w:w="11900" w:h="16840"/>
          <w:pgMar w:top="720" w:right="500" w:bottom="280" w:left="620" w:header="720" w:footer="720" w:gutter="0"/>
          <w:cols w:num="3" w:space="720" w:equalWidth="0">
            <w:col w:w="1584" w:space="416"/>
            <w:col w:w="3116" w:space="319"/>
            <w:col w:w="5345"/>
          </w:cols>
        </w:sectPr>
      </w:pPr>
    </w:p>
    <w:p w:rsidR="00D81F69" w:rsidRDefault="00330118">
      <w:pPr>
        <w:pStyle w:val="Heading4"/>
        <w:spacing w:before="31"/>
        <w:jc w:val="left"/>
      </w:pPr>
      <w:r>
        <w:lastRenderedPageBreak/>
        <w:t>APRESENTAÇÃO DE CASO</w:t>
      </w:r>
    </w:p>
    <w:p w:rsidR="00D81F69" w:rsidRDefault="00330118">
      <w:pPr>
        <w:pStyle w:val="Corpodetexto"/>
        <w:spacing w:before="171" w:line="312" w:lineRule="auto"/>
        <w:ind w:right="70"/>
        <w:jc w:val="left"/>
      </w:pPr>
      <w:r>
        <w:t xml:space="preserve">Com 9 mil km², a Bacia </w:t>
      </w:r>
      <w:r>
        <w:t xml:space="preserve">do Araripe se estende pelos estados do Piauí, Pernambuco e Ceará. Reserva ecológica, rica em </w:t>
      </w:r>
      <w:r>
        <w:rPr>
          <w:spacing w:val="3"/>
        </w:rPr>
        <w:t xml:space="preserve">fontes naturais, grutas </w:t>
      </w:r>
      <w:r>
        <w:t xml:space="preserve">e </w:t>
      </w:r>
      <w:r>
        <w:rPr>
          <w:spacing w:val="3"/>
        </w:rPr>
        <w:t xml:space="preserve">sítios paleontológicos </w:t>
      </w:r>
      <w:r>
        <w:rPr>
          <w:spacing w:val="5"/>
        </w:rPr>
        <w:t xml:space="preserve">(ROTEIRO </w:t>
      </w:r>
      <w:r>
        <w:rPr>
          <w:spacing w:val="3"/>
        </w:rPr>
        <w:t xml:space="preserve">CEARÁ, 2011), </w:t>
      </w:r>
      <w:r>
        <w:t xml:space="preserve">a </w:t>
      </w:r>
      <w:r>
        <w:rPr>
          <w:spacing w:val="3"/>
        </w:rPr>
        <w:t xml:space="preserve">região </w:t>
      </w:r>
      <w:r>
        <w:t xml:space="preserve">é </w:t>
      </w:r>
      <w:r>
        <w:rPr>
          <w:spacing w:val="3"/>
        </w:rPr>
        <w:t xml:space="preserve">mundialmente conhecida </w:t>
      </w:r>
      <w:r>
        <w:rPr>
          <w:spacing w:val="5"/>
        </w:rPr>
        <w:t xml:space="preserve">pela presença </w:t>
      </w:r>
      <w:r>
        <w:rPr>
          <w:spacing w:val="2"/>
        </w:rPr>
        <w:t xml:space="preserve">de </w:t>
      </w:r>
      <w:r>
        <w:rPr>
          <w:spacing w:val="5"/>
        </w:rPr>
        <w:t xml:space="preserve">jazidas </w:t>
      </w:r>
      <w:r>
        <w:rPr>
          <w:spacing w:val="2"/>
        </w:rPr>
        <w:t xml:space="preserve">de </w:t>
      </w:r>
      <w:r>
        <w:rPr>
          <w:spacing w:val="5"/>
        </w:rPr>
        <w:t xml:space="preserve">fósseis </w:t>
      </w:r>
      <w:r>
        <w:rPr>
          <w:spacing w:val="2"/>
        </w:rPr>
        <w:t xml:space="preserve">do </w:t>
      </w:r>
      <w:r>
        <w:rPr>
          <w:spacing w:val="5"/>
        </w:rPr>
        <w:t xml:space="preserve">período Cretáceo, </w:t>
      </w:r>
      <w:r>
        <w:rPr>
          <w:spacing w:val="5"/>
        </w:rPr>
        <w:t>do</w:t>
      </w:r>
      <w:r>
        <w:rPr>
          <w:spacing w:val="61"/>
        </w:rPr>
        <w:t xml:space="preserve"> </w:t>
      </w:r>
      <w:r>
        <w:rPr>
          <w:spacing w:val="3"/>
        </w:rPr>
        <w:t xml:space="preserve">Museu </w:t>
      </w:r>
      <w:r>
        <w:rPr>
          <w:spacing w:val="2"/>
        </w:rPr>
        <w:t xml:space="preserve">de </w:t>
      </w:r>
      <w:r>
        <w:rPr>
          <w:spacing w:val="5"/>
        </w:rPr>
        <w:t xml:space="preserve">Paleontologia </w:t>
      </w:r>
      <w:r>
        <w:rPr>
          <w:spacing w:val="2"/>
        </w:rPr>
        <w:t xml:space="preserve">de </w:t>
      </w:r>
      <w:r>
        <w:rPr>
          <w:spacing w:val="5"/>
        </w:rPr>
        <w:t xml:space="preserve">Santana </w:t>
      </w:r>
      <w:r>
        <w:rPr>
          <w:spacing w:val="2"/>
        </w:rPr>
        <w:t xml:space="preserve">do </w:t>
      </w:r>
      <w:r>
        <w:rPr>
          <w:spacing w:val="5"/>
        </w:rPr>
        <w:t xml:space="preserve">Cariri </w:t>
      </w:r>
      <w:r>
        <w:rPr>
          <w:spacing w:val="3"/>
        </w:rPr>
        <w:t xml:space="preserve">(CE) </w:t>
      </w:r>
      <w:r>
        <w:t xml:space="preserve">e </w:t>
      </w:r>
      <w:r>
        <w:rPr>
          <w:spacing w:val="5"/>
        </w:rPr>
        <w:t xml:space="preserve">da </w:t>
      </w:r>
      <w:r>
        <w:rPr>
          <w:spacing w:val="6"/>
        </w:rPr>
        <w:t xml:space="preserve">Floresta Nacional </w:t>
      </w:r>
      <w:r>
        <w:rPr>
          <w:spacing w:val="5"/>
        </w:rPr>
        <w:t xml:space="preserve">(Flona) </w:t>
      </w:r>
      <w:r>
        <w:rPr>
          <w:spacing w:val="6"/>
        </w:rPr>
        <w:t xml:space="preserve">Araripe, </w:t>
      </w:r>
      <w:r>
        <w:t xml:space="preserve">a </w:t>
      </w:r>
      <w:r>
        <w:rPr>
          <w:spacing w:val="6"/>
        </w:rPr>
        <w:t xml:space="preserve">primeira </w:t>
      </w:r>
      <w:r>
        <w:rPr>
          <w:spacing w:val="3"/>
        </w:rPr>
        <w:t xml:space="preserve">do </w:t>
      </w:r>
      <w:r>
        <w:rPr>
          <w:spacing w:val="7"/>
        </w:rPr>
        <w:t xml:space="preserve">Brasil </w:t>
      </w:r>
      <w:r>
        <w:rPr>
          <w:spacing w:val="6"/>
        </w:rPr>
        <w:t>(FUNDAÇÃO ARARIPE,</w:t>
      </w:r>
      <w:r>
        <w:rPr>
          <w:spacing w:val="22"/>
        </w:rPr>
        <w:t xml:space="preserve"> </w:t>
      </w:r>
      <w:r>
        <w:rPr>
          <w:spacing w:val="7"/>
        </w:rPr>
        <w:t>2008).</w:t>
      </w:r>
    </w:p>
    <w:p w:rsidR="00D81F69" w:rsidRDefault="00330118">
      <w:pPr>
        <w:pStyle w:val="Corpodetexto"/>
        <w:spacing w:before="137" w:line="312" w:lineRule="auto"/>
        <w:ind w:right="90"/>
      </w:pPr>
      <w:r>
        <w:t>As rochas sedimentares da formação geológica Santana [que recebe este nome em homenagem à cidade de Santana do Cariri e divide-se nos membros Crato, Ipubi e Romualdo] da Bacia do Araripe constituem um dos principais depósitos fossilíferos do país. Na regiã</w:t>
      </w:r>
      <w:r>
        <w:t>o, são encontradas inúmeras espécies de peixes, répteis, além de invertebrados e plantas (KELLNER, 2002). No entanto, a atividade mineira e a coleta ilegal de fósseis vêm gerando não só a destruição do patrimônio fossilífero, como também a degradação da pa</w:t>
      </w:r>
      <w:r>
        <w:t>isagem local, com assoreamento de riachos e aumento de zonas de erosão (VIANA; NEUMANN,1999).</w:t>
      </w:r>
    </w:p>
    <w:p w:rsidR="00D81F69" w:rsidRDefault="00330118">
      <w:pPr>
        <w:pStyle w:val="Corpodetexto"/>
        <w:spacing w:before="140" w:line="312" w:lineRule="auto"/>
        <w:ind w:right="71"/>
      </w:pPr>
      <w:r>
        <w:t>Os melhores afloramentos contendo fósseis estão situados nas áreas das minas de gesso, que se concentram no estado de Pernambuco. Para alcançar as camadas com eva</w:t>
      </w:r>
      <w:r>
        <w:t xml:space="preserve">poritos, </w:t>
      </w:r>
      <w:r>
        <w:rPr>
          <w:spacing w:val="5"/>
        </w:rPr>
        <w:t xml:space="preserve">as </w:t>
      </w:r>
      <w:r>
        <w:rPr>
          <w:spacing w:val="10"/>
        </w:rPr>
        <w:t xml:space="preserve">mineradoras </w:t>
      </w:r>
      <w:r>
        <w:rPr>
          <w:spacing w:val="7"/>
        </w:rPr>
        <w:t xml:space="preserve">fazem </w:t>
      </w:r>
      <w:r>
        <w:t xml:space="preserve">o </w:t>
      </w:r>
      <w:r>
        <w:rPr>
          <w:spacing w:val="10"/>
        </w:rPr>
        <w:t xml:space="preserve">descapeamento, removendo </w:t>
      </w:r>
      <w:r>
        <w:rPr>
          <w:spacing w:val="3"/>
        </w:rPr>
        <w:t xml:space="preserve">extensas partes </w:t>
      </w:r>
      <w:r>
        <w:rPr>
          <w:spacing w:val="2"/>
        </w:rPr>
        <w:t xml:space="preserve">das </w:t>
      </w:r>
      <w:r>
        <w:rPr>
          <w:spacing w:val="3"/>
        </w:rPr>
        <w:t xml:space="preserve">rochas </w:t>
      </w:r>
      <w:r>
        <w:rPr>
          <w:spacing w:val="1"/>
        </w:rPr>
        <w:t xml:space="preserve">do </w:t>
      </w:r>
      <w:r>
        <w:rPr>
          <w:spacing w:val="3"/>
        </w:rPr>
        <w:t xml:space="preserve">Membro Romualdo. </w:t>
      </w:r>
      <w:r>
        <w:rPr>
          <w:spacing w:val="5"/>
        </w:rPr>
        <w:t xml:space="preserve">Como </w:t>
      </w:r>
      <w:r>
        <w:rPr>
          <w:spacing w:val="6"/>
        </w:rPr>
        <w:t xml:space="preserve">resultado, </w:t>
      </w:r>
      <w:r>
        <w:rPr>
          <w:spacing w:val="3"/>
        </w:rPr>
        <w:t xml:space="preserve">as </w:t>
      </w:r>
      <w:r>
        <w:rPr>
          <w:spacing w:val="5"/>
        </w:rPr>
        <w:t xml:space="preserve">porções mais </w:t>
      </w:r>
      <w:r>
        <w:rPr>
          <w:spacing w:val="6"/>
        </w:rPr>
        <w:t xml:space="preserve">fossilíferas </w:t>
      </w:r>
      <w:r>
        <w:rPr>
          <w:spacing w:val="5"/>
        </w:rPr>
        <w:t xml:space="preserve">ficam </w:t>
      </w:r>
      <w:r>
        <w:rPr>
          <w:spacing w:val="7"/>
        </w:rPr>
        <w:t xml:space="preserve">expostas, </w:t>
      </w:r>
      <w:r>
        <w:t xml:space="preserve">contendo centenas de nódulos calcários. No entanto, a maior </w:t>
      </w:r>
      <w:r>
        <w:rPr>
          <w:spacing w:val="3"/>
        </w:rPr>
        <w:t xml:space="preserve">parte </w:t>
      </w:r>
      <w:r>
        <w:rPr>
          <w:spacing w:val="2"/>
        </w:rPr>
        <w:t xml:space="preserve">dos </w:t>
      </w:r>
      <w:r>
        <w:rPr>
          <w:spacing w:val="3"/>
        </w:rPr>
        <w:t xml:space="preserve">fósseis </w:t>
      </w:r>
      <w:r>
        <w:rPr>
          <w:spacing w:val="1"/>
        </w:rPr>
        <w:t xml:space="preserve">da </w:t>
      </w:r>
      <w:r>
        <w:rPr>
          <w:spacing w:val="3"/>
        </w:rPr>
        <w:t>Formação S</w:t>
      </w:r>
      <w:r>
        <w:rPr>
          <w:spacing w:val="3"/>
        </w:rPr>
        <w:t xml:space="preserve">antana </w:t>
      </w:r>
      <w:r>
        <w:t xml:space="preserve">é </w:t>
      </w:r>
      <w:r>
        <w:rPr>
          <w:spacing w:val="3"/>
        </w:rPr>
        <w:t xml:space="preserve">encontrada </w:t>
      </w:r>
      <w:r>
        <w:rPr>
          <w:spacing w:val="5"/>
        </w:rPr>
        <w:t xml:space="preserve">no </w:t>
      </w:r>
      <w:r>
        <w:t>Ceará, onde a coleta ilegal de fósseis também é intensa. No Piauí, não existe atividade mineradora, e os nódulos calcários são encontrados em menor quantidade (KELLNER,</w:t>
      </w:r>
      <w:r>
        <w:rPr>
          <w:spacing w:val="10"/>
        </w:rPr>
        <w:t xml:space="preserve"> </w:t>
      </w:r>
      <w:r>
        <w:t>2002).</w:t>
      </w:r>
    </w:p>
    <w:p w:rsidR="00D81F69" w:rsidRDefault="00330118">
      <w:pPr>
        <w:pStyle w:val="Corpodetexto"/>
        <w:spacing w:before="140" w:line="312" w:lineRule="auto"/>
        <w:ind w:right="88"/>
      </w:pPr>
      <w:r>
        <w:t>As principais jazidas minerais de calcário laminado – pop</w:t>
      </w:r>
      <w:r>
        <w:t>ularmente chamado de Pedra Cariri – localizam-se nos municípios cearenses de Nova Olinda e Santana do Cariri (VIDAL; PADILHA, 2003). Outras áreas extrativas de</w:t>
      </w:r>
    </w:p>
    <w:p w:rsidR="00D81F69" w:rsidRDefault="00330118">
      <w:pPr>
        <w:pStyle w:val="Corpodetexto"/>
        <w:spacing w:before="8" w:line="312" w:lineRule="auto"/>
        <w:ind w:right="211"/>
      </w:pPr>
      <w:r>
        <w:br w:type="column"/>
      </w:r>
      <w:r>
        <w:rPr>
          <w:spacing w:val="3"/>
        </w:rPr>
        <w:lastRenderedPageBreak/>
        <w:t xml:space="preserve">lavra </w:t>
      </w:r>
      <w:r>
        <w:rPr>
          <w:spacing w:val="2"/>
        </w:rPr>
        <w:t xml:space="preserve">era </w:t>
      </w:r>
      <w:r>
        <w:rPr>
          <w:spacing w:val="3"/>
        </w:rPr>
        <w:t xml:space="preserve">bastante rudimentar, </w:t>
      </w:r>
      <w:r>
        <w:rPr>
          <w:spacing w:val="2"/>
        </w:rPr>
        <w:t xml:space="preserve">sem </w:t>
      </w:r>
      <w:r>
        <w:rPr>
          <w:spacing w:val="3"/>
        </w:rPr>
        <w:t xml:space="preserve">utilização </w:t>
      </w:r>
      <w:r>
        <w:rPr>
          <w:spacing w:val="1"/>
        </w:rPr>
        <w:t xml:space="preserve">de </w:t>
      </w:r>
      <w:r>
        <w:rPr>
          <w:spacing w:val="5"/>
        </w:rPr>
        <w:t xml:space="preserve">técnicas </w:t>
      </w:r>
      <w:r>
        <w:t>adequadas, o que resultava no acúmulo</w:t>
      </w:r>
      <w:r>
        <w:t xml:space="preserve"> de pilhas de rejeitos e </w:t>
      </w:r>
      <w:r>
        <w:rPr>
          <w:spacing w:val="1"/>
        </w:rPr>
        <w:t xml:space="preserve">em </w:t>
      </w:r>
      <w:r>
        <w:rPr>
          <w:spacing w:val="3"/>
        </w:rPr>
        <w:t xml:space="preserve">diversos impactos, </w:t>
      </w:r>
      <w:r>
        <w:rPr>
          <w:spacing w:val="2"/>
        </w:rPr>
        <w:t xml:space="preserve">além </w:t>
      </w:r>
      <w:r>
        <w:rPr>
          <w:spacing w:val="1"/>
        </w:rPr>
        <w:t xml:space="preserve">de </w:t>
      </w:r>
      <w:r>
        <w:rPr>
          <w:spacing w:val="3"/>
        </w:rPr>
        <w:t xml:space="preserve">desperdício </w:t>
      </w:r>
      <w:r>
        <w:rPr>
          <w:spacing w:val="1"/>
        </w:rPr>
        <w:t xml:space="preserve">de </w:t>
      </w:r>
      <w:r>
        <w:rPr>
          <w:spacing w:val="5"/>
        </w:rPr>
        <w:t xml:space="preserve">material </w:t>
      </w:r>
      <w:r>
        <w:rPr>
          <w:spacing w:val="3"/>
        </w:rPr>
        <w:t>(VIDAL; PADILHA; OLIVEIRA,</w:t>
      </w:r>
      <w:r>
        <w:rPr>
          <w:spacing w:val="16"/>
        </w:rPr>
        <w:t xml:space="preserve"> </w:t>
      </w:r>
      <w:r>
        <w:rPr>
          <w:spacing w:val="5"/>
        </w:rPr>
        <w:t>2005).</w:t>
      </w:r>
    </w:p>
    <w:p w:rsidR="00D81F69" w:rsidRDefault="00330118">
      <w:pPr>
        <w:pStyle w:val="Corpodetexto"/>
        <w:spacing w:before="133" w:line="312" w:lineRule="auto"/>
        <w:ind w:right="159"/>
        <w:jc w:val="left"/>
      </w:pPr>
      <w:r>
        <w:t>Com 284,399 km² e 14.256 habitantes (IBGE, 2010a), o município de Nova Olinda vive basicamente da extração do calcário laminado. A atividade mi</w:t>
      </w:r>
      <w:r>
        <w:t>neral também é a base da economia de Santana do Cariri, município com 855,558 km² e</w:t>
      </w:r>
    </w:p>
    <w:p w:rsidR="00D81F69" w:rsidRDefault="00330118">
      <w:pPr>
        <w:pStyle w:val="Corpodetexto"/>
        <w:spacing w:before="4" w:line="312" w:lineRule="auto"/>
        <w:ind w:right="195"/>
      </w:pPr>
      <w:r>
        <w:t>17.170 habitantes (IBGE, 2010b). De acordo com o Departamento Nacional de Produção Mineral (DNPM), havia, em 2003, cerca de 200 frentes de lavra nos municípios e arredores,</w:t>
      </w:r>
      <w:r>
        <w:t xml:space="preserve"> parte delas paralisada devido a problemas técnicos de extração (VIDAL; PADILHA, 2003).</w:t>
      </w:r>
    </w:p>
    <w:p w:rsidR="00D81F69" w:rsidRDefault="00330118">
      <w:pPr>
        <w:pStyle w:val="Corpodetexto"/>
        <w:spacing w:before="135" w:line="312" w:lineRule="auto"/>
        <w:ind w:right="192"/>
      </w:pPr>
      <w:r>
        <w:t xml:space="preserve">Na tentativa de diagnosticar os problemas da cadeia produtiva de calcário laminado na região e propor soluções, em 2003, </w:t>
      </w:r>
      <w:r>
        <w:rPr>
          <w:spacing w:val="5"/>
        </w:rPr>
        <w:t xml:space="preserve">técnicos </w:t>
      </w:r>
      <w:r>
        <w:rPr>
          <w:spacing w:val="2"/>
        </w:rPr>
        <w:t xml:space="preserve">do </w:t>
      </w:r>
      <w:r>
        <w:rPr>
          <w:spacing w:val="5"/>
        </w:rPr>
        <w:t xml:space="preserve">Centro </w:t>
      </w:r>
      <w:r>
        <w:rPr>
          <w:spacing w:val="2"/>
        </w:rPr>
        <w:t xml:space="preserve">de </w:t>
      </w:r>
      <w:r>
        <w:rPr>
          <w:spacing w:val="5"/>
        </w:rPr>
        <w:t xml:space="preserve">Tecnologia Mineral (Cetem) </w:t>
      </w:r>
      <w:r>
        <w:t xml:space="preserve">e </w:t>
      </w:r>
      <w:r>
        <w:rPr>
          <w:spacing w:val="5"/>
        </w:rPr>
        <w:t>da</w:t>
      </w:r>
      <w:r>
        <w:rPr>
          <w:spacing w:val="61"/>
        </w:rPr>
        <w:t xml:space="preserve"> </w:t>
      </w:r>
      <w:r>
        <w:rPr>
          <w:spacing w:val="8"/>
        </w:rPr>
        <w:t xml:space="preserve">Companhia </w:t>
      </w:r>
      <w:r>
        <w:rPr>
          <w:spacing w:val="5"/>
        </w:rPr>
        <w:t xml:space="preserve">de </w:t>
      </w:r>
      <w:r>
        <w:rPr>
          <w:spacing w:val="10"/>
        </w:rPr>
        <w:t xml:space="preserve">Desenvolvimento </w:t>
      </w:r>
      <w:r>
        <w:rPr>
          <w:spacing w:val="5"/>
        </w:rPr>
        <w:t xml:space="preserve">do </w:t>
      </w:r>
      <w:r>
        <w:rPr>
          <w:spacing w:val="8"/>
        </w:rPr>
        <w:t xml:space="preserve">Estado </w:t>
      </w:r>
      <w:r>
        <w:rPr>
          <w:spacing w:val="5"/>
        </w:rPr>
        <w:t xml:space="preserve">do </w:t>
      </w:r>
      <w:r>
        <w:rPr>
          <w:spacing w:val="10"/>
        </w:rPr>
        <w:t xml:space="preserve">Ceará </w:t>
      </w:r>
      <w:r>
        <w:t xml:space="preserve">(Codece) visitaram as pedreiras locais. Dentre os problemas </w:t>
      </w:r>
      <w:r>
        <w:rPr>
          <w:spacing w:val="8"/>
        </w:rPr>
        <w:t xml:space="preserve">levantados, </w:t>
      </w:r>
      <w:r>
        <w:rPr>
          <w:spacing w:val="7"/>
        </w:rPr>
        <w:t xml:space="preserve">podem-se citar: mineração </w:t>
      </w:r>
      <w:r>
        <w:rPr>
          <w:spacing w:val="5"/>
        </w:rPr>
        <w:t xml:space="preserve">em </w:t>
      </w:r>
      <w:r>
        <w:rPr>
          <w:spacing w:val="7"/>
        </w:rPr>
        <w:t xml:space="preserve">áreas </w:t>
      </w:r>
      <w:r>
        <w:rPr>
          <w:spacing w:val="10"/>
        </w:rPr>
        <w:t xml:space="preserve">não </w:t>
      </w:r>
      <w:r>
        <w:rPr>
          <w:spacing w:val="8"/>
        </w:rPr>
        <w:t xml:space="preserve">legalizadas; </w:t>
      </w:r>
      <w:r>
        <w:rPr>
          <w:spacing w:val="7"/>
        </w:rPr>
        <w:t xml:space="preserve">falta </w:t>
      </w:r>
      <w:r>
        <w:rPr>
          <w:spacing w:val="5"/>
        </w:rPr>
        <w:t xml:space="preserve">de </w:t>
      </w:r>
      <w:r>
        <w:rPr>
          <w:spacing w:val="8"/>
        </w:rPr>
        <w:t xml:space="preserve">licenciamento ambiental; </w:t>
      </w:r>
      <w:r>
        <w:rPr>
          <w:spacing w:val="7"/>
        </w:rPr>
        <w:t xml:space="preserve">falta </w:t>
      </w:r>
      <w:r>
        <w:rPr>
          <w:spacing w:val="10"/>
        </w:rPr>
        <w:t xml:space="preserve">de </w:t>
      </w:r>
      <w:r>
        <w:rPr>
          <w:spacing w:val="3"/>
        </w:rPr>
        <w:t xml:space="preserve">informações sobre </w:t>
      </w:r>
      <w:r>
        <w:rPr>
          <w:spacing w:val="1"/>
        </w:rPr>
        <w:t xml:space="preserve">as </w:t>
      </w:r>
      <w:r>
        <w:rPr>
          <w:spacing w:val="3"/>
        </w:rPr>
        <w:t xml:space="preserve">possibilidades </w:t>
      </w:r>
      <w:r>
        <w:rPr>
          <w:spacing w:val="1"/>
        </w:rPr>
        <w:t xml:space="preserve">de </w:t>
      </w:r>
      <w:r>
        <w:rPr>
          <w:spacing w:val="2"/>
        </w:rPr>
        <w:t xml:space="preserve">uso </w:t>
      </w:r>
      <w:r>
        <w:rPr>
          <w:spacing w:val="3"/>
        </w:rPr>
        <w:t xml:space="preserve">industrial </w:t>
      </w:r>
      <w:r>
        <w:rPr>
          <w:spacing w:val="5"/>
        </w:rPr>
        <w:t xml:space="preserve">do minério </w:t>
      </w:r>
      <w:r>
        <w:t xml:space="preserve">e </w:t>
      </w:r>
      <w:r>
        <w:rPr>
          <w:spacing w:val="5"/>
        </w:rPr>
        <w:t xml:space="preserve">dos </w:t>
      </w:r>
      <w:r>
        <w:rPr>
          <w:spacing w:val="6"/>
        </w:rPr>
        <w:t xml:space="preserve">rejeitos estocados; </w:t>
      </w:r>
      <w:r>
        <w:rPr>
          <w:spacing w:val="5"/>
        </w:rPr>
        <w:t xml:space="preserve">lavra </w:t>
      </w:r>
      <w:r>
        <w:rPr>
          <w:spacing w:val="6"/>
        </w:rPr>
        <w:t xml:space="preserve">conduzida </w:t>
      </w:r>
      <w:r>
        <w:rPr>
          <w:spacing w:val="7"/>
        </w:rPr>
        <w:t xml:space="preserve">sem </w:t>
      </w:r>
      <w:r>
        <w:rPr>
          <w:spacing w:val="1"/>
        </w:rPr>
        <w:t xml:space="preserve">técnicas </w:t>
      </w:r>
      <w:r>
        <w:t xml:space="preserve">e </w:t>
      </w:r>
      <w:r>
        <w:rPr>
          <w:spacing w:val="1"/>
        </w:rPr>
        <w:t xml:space="preserve">seguranças adequadas </w:t>
      </w:r>
      <w:r>
        <w:t xml:space="preserve">com </w:t>
      </w:r>
      <w:r>
        <w:rPr>
          <w:spacing w:val="1"/>
        </w:rPr>
        <w:t xml:space="preserve">baixa </w:t>
      </w:r>
      <w:r>
        <w:rPr>
          <w:spacing w:val="2"/>
        </w:rPr>
        <w:t xml:space="preserve">recuperação; </w:t>
      </w:r>
      <w:r>
        <w:t xml:space="preserve">perdas elevadas no beneficiamento; ocorrências fossilíferas </w:t>
      </w:r>
      <w:r>
        <w:rPr>
          <w:spacing w:val="1"/>
        </w:rPr>
        <w:t xml:space="preserve">dentro </w:t>
      </w:r>
      <w:r>
        <w:t xml:space="preserve">da </w:t>
      </w:r>
      <w:r>
        <w:rPr>
          <w:spacing w:val="1"/>
        </w:rPr>
        <w:t xml:space="preserve">unidade onde </w:t>
      </w:r>
      <w:r>
        <w:t xml:space="preserve">era </w:t>
      </w:r>
      <w:r>
        <w:rPr>
          <w:spacing w:val="1"/>
        </w:rPr>
        <w:t>ext</w:t>
      </w:r>
      <w:r>
        <w:rPr>
          <w:spacing w:val="1"/>
        </w:rPr>
        <w:t xml:space="preserve">raído </w:t>
      </w:r>
      <w:r>
        <w:t xml:space="preserve">o </w:t>
      </w:r>
      <w:r>
        <w:rPr>
          <w:spacing w:val="1"/>
        </w:rPr>
        <w:t xml:space="preserve">calcário; frentes </w:t>
      </w:r>
      <w:r>
        <w:rPr>
          <w:spacing w:val="2"/>
        </w:rPr>
        <w:t xml:space="preserve">de </w:t>
      </w:r>
      <w:r>
        <w:rPr>
          <w:spacing w:val="3"/>
        </w:rPr>
        <w:t xml:space="preserve">lavras abandonadas; baixa diversificação </w:t>
      </w:r>
      <w:r>
        <w:t xml:space="preserve">e </w:t>
      </w:r>
      <w:r>
        <w:rPr>
          <w:spacing w:val="3"/>
        </w:rPr>
        <w:t xml:space="preserve">qualidade </w:t>
      </w:r>
      <w:r>
        <w:rPr>
          <w:spacing w:val="5"/>
        </w:rPr>
        <w:t xml:space="preserve">do </w:t>
      </w:r>
      <w:r>
        <w:rPr>
          <w:spacing w:val="1"/>
        </w:rPr>
        <w:t xml:space="preserve">produto final; baixo preço </w:t>
      </w:r>
      <w:r>
        <w:t xml:space="preserve">do </w:t>
      </w:r>
      <w:r>
        <w:rPr>
          <w:spacing w:val="1"/>
        </w:rPr>
        <w:t xml:space="preserve">produto </w:t>
      </w:r>
      <w:r>
        <w:t xml:space="preserve">por </w:t>
      </w:r>
      <w:r>
        <w:rPr>
          <w:spacing w:val="1"/>
        </w:rPr>
        <w:t xml:space="preserve">falta </w:t>
      </w:r>
      <w:r>
        <w:t xml:space="preserve">de </w:t>
      </w:r>
      <w:r>
        <w:rPr>
          <w:spacing w:val="1"/>
        </w:rPr>
        <w:t xml:space="preserve">refino </w:t>
      </w:r>
      <w:r>
        <w:rPr>
          <w:spacing w:val="2"/>
        </w:rPr>
        <w:t xml:space="preserve">no </w:t>
      </w:r>
      <w:r>
        <w:rPr>
          <w:spacing w:val="3"/>
        </w:rPr>
        <w:t xml:space="preserve">beneficiamento; carência </w:t>
      </w:r>
      <w:r>
        <w:rPr>
          <w:spacing w:val="1"/>
        </w:rPr>
        <w:t xml:space="preserve">de </w:t>
      </w:r>
      <w:r>
        <w:rPr>
          <w:spacing w:val="3"/>
        </w:rPr>
        <w:t xml:space="preserve">infraestrutura (água, </w:t>
      </w:r>
      <w:r>
        <w:rPr>
          <w:spacing w:val="5"/>
        </w:rPr>
        <w:t xml:space="preserve">energia </w:t>
      </w:r>
      <w:r>
        <w:t>elétrica, vias de acesso etc.); pouca interatividade</w:t>
      </w:r>
      <w:r>
        <w:t xml:space="preserve"> entre os mineradores, dificultando a formação de cooperativas (SDLR- CE, 2011).</w:t>
      </w:r>
    </w:p>
    <w:p w:rsidR="00D81F69" w:rsidRDefault="00330118">
      <w:pPr>
        <w:pStyle w:val="Corpodetexto"/>
        <w:spacing w:before="83" w:line="270" w:lineRule="atLeast"/>
        <w:ind w:right="195"/>
      </w:pPr>
      <w:r>
        <w:t>À época, estimou-se que a perda na lavra com a operação manual chegasse a 90% e, com a operação semimecanizada, com máquina de corte, a 60% (VIDAL; PADILHA, 2003). Os rejeitos</w:t>
      </w:r>
      <w:r>
        <w:t xml:space="preserve"> gerados eram empregados, unicamente, em aterros, na melhoria de estradas vicinais e na fabricação de cimento,</w:t>
      </w:r>
    </w:p>
    <w:p w:rsidR="00D81F69" w:rsidRDefault="00D81F69">
      <w:pPr>
        <w:spacing w:line="270" w:lineRule="atLeast"/>
        <w:sectPr w:rsidR="00D81F69">
          <w:type w:val="continuous"/>
          <w:pgSz w:w="11900" w:h="16840"/>
          <w:pgMar w:top="720" w:right="500" w:bottom="280" w:left="620" w:header="720" w:footer="720" w:gutter="0"/>
          <w:cols w:num="2" w:space="720" w:equalWidth="0">
            <w:col w:w="5193" w:space="277"/>
            <w:col w:w="5310"/>
          </w:cols>
        </w:sectPr>
      </w:pPr>
    </w:p>
    <w:p w:rsidR="00D81F69" w:rsidRDefault="00330118">
      <w:pPr>
        <w:pStyle w:val="Corpodetexto"/>
        <w:spacing w:before="81" w:line="312" w:lineRule="auto"/>
        <w:ind w:right="48"/>
      </w:pPr>
      <w:r>
        <w:lastRenderedPageBreak/>
        <w:t>através da Indústria Barbalhense de Cimento Portland (Ibacip) (VIDAL; PADILHA; OLIVEIRA, 2005), detentora da lavra das</w:t>
      </w:r>
      <w:r>
        <w:t xml:space="preserve"> pedreiras de Santa Rita e Caldas (VIANA; NEUMANN, 1999).</w:t>
      </w:r>
    </w:p>
    <w:p w:rsidR="00D81F69" w:rsidRDefault="00330118">
      <w:pPr>
        <w:pStyle w:val="Corpodetexto"/>
        <w:spacing w:before="133" w:line="312" w:lineRule="auto"/>
        <w:ind w:right="42"/>
      </w:pPr>
      <w:r>
        <w:t>Os principais produtos resultantes do beneficiamento eram a própria laje, com tamanho e espessura variados; a laje rachada; a laje almofada sem esquadrajamento e o ladrilho bruto esquadrejado. O pro</w:t>
      </w:r>
      <w:r>
        <w:t>duto de maior demanda pelo mercado era o ladrilho 50x50cm. Os principais mercados consumidores eram: Crato, Juazeiro do Norte, Barbalha e Fortaleza, no próprio estado, e os estados de Pernambuco, Piauí, Maranhão, Bahia e Minas Gerais. Não havia comercializ</w:t>
      </w:r>
      <w:r>
        <w:t>ação organizada por parte dos produtores, e, muito menos, um Plano Estratégico para Desenvolvimento da Pedra Cariri na região sul do Ceará (VIDAL; PADILHA, 2003).</w:t>
      </w:r>
    </w:p>
    <w:p w:rsidR="00D81F69" w:rsidRDefault="00330118">
      <w:pPr>
        <w:pStyle w:val="Corpodetexto"/>
        <w:spacing w:before="140" w:line="312" w:lineRule="auto"/>
        <w:ind w:right="54"/>
      </w:pPr>
      <w:r>
        <w:t>Para repassar os problemas detectados, levantar possíveis soluções e alavancar a mineração, t</w:t>
      </w:r>
      <w:r>
        <w:t>écnicos do Cetem fizeram reuniões com os mineradores e representantes de organizações públicas e privadas. Destas reuniões, surgiu a proposta de se criar uma rede de cooperação com as parceiras locais, estaduais e federais, para, em seguida, dar suporte de</w:t>
      </w:r>
      <w:r>
        <w:t xml:space="preserve"> apoio técnico, visando à elaboração de um Arranjo Produtivo Local (APL) (VIDAL; PADILHA, 2003).</w:t>
      </w:r>
    </w:p>
    <w:p w:rsidR="00D81F69" w:rsidRDefault="00330118">
      <w:pPr>
        <w:pStyle w:val="Corpodetexto"/>
        <w:spacing w:before="137" w:line="312" w:lineRule="auto"/>
        <w:ind w:right="48"/>
      </w:pPr>
      <w:r>
        <w:t>O APL de Pedra Cariri foi implantado entre 2005 e 2009, com investimentos de cerca de R$ 1,5 milhão por parte do Ministério das Minas e Energia (MME), Ministér</w:t>
      </w:r>
      <w:r>
        <w:t>io da Ciência, Tecnologia e Inovação (MCTI), Ministério da Integração Nacional (MI) e Banco do Nordeste. A equipe de trabalho contou com pesquisadores, técnicos e diversos profissionais de doze instituições, coordenados pelo Cetem (VIDAL, 2009).</w:t>
      </w:r>
    </w:p>
    <w:p w:rsidR="00D81F69" w:rsidRDefault="00330118">
      <w:pPr>
        <w:pStyle w:val="Corpodetexto"/>
        <w:spacing w:before="137" w:line="312" w:lineRule="auto"/>
        <w:ind w:right="41"/>
      </w:pPr>
      <w:r>
        <w:rPr>
          <w:spacing w:val="10"/>
        </w:rPr>
        <w:t xml:space="preserve">As </w:t>
      </w:r>
      <w:r>
        <w:rPr>
          <w:spacing w:val="17"/>
        </w:rPr>
        <w:t>ativida</w:t>
      </w:r>
      <w:r>
        <w:rPr>
          <w:spacing w:val="17"/>
        </w:rPr>
        <w:t xml:space="preserve">des </w:t>
      </w:r>
      <w:r>
        <w:rPr>
          <w:spacing w:val="10"/>
        </w:rPr>
        <w:t xml:space="preserve">do </w:t>
      </w:r>
      <w:r>
        <w:rPr>
          <w:spacing w:val="17"/>
        </w:rPr>
        <w:t xml:space="preserve">projeto buscaram viabilizar </w:t>
      </w:r>
      <w:r>
        <w:t xml:space="preserve">o </w:t>
      </w:r>
      <w:r>
        <w:rPr>
          <w:spacing w:val="17"/>
        </w:rPr>
        <w:t xml:space="preserve">desenvolvimento </w:t>
      </w:r>
      <w:r>
        <w:rPr>
          <w:spacing w:val="16"/>
        </w:rPr>
        <w:t xml:space="preserve">regional através </w:t>
      </w:r>
      <w:r>
        <w:rPr>
          <w:spacing w:val="10"/>
        </w:rPr>
        <w:t xml:space="preserve">da </w:t>
      </w:r>
      <w:r>
        <w:rPr>
          <w:spacing w:val="16"/>
        </w:rPr>
        <w:t xml:space="preserve">extração </w:t>
      </w:r>
      <w:r>
        <w:t xml:space="preserve">e </w:t>
      </w:r>
      <w:r>
        <w:rPr>
          <w:spacing w:val="5"/>
        </w:rPr>
        <w:t xml:space="preserve">beneficiamento </w:t>
      </w:r>
      <w:r>
        <w:rPr>
          <w:spacing w:val="2"/>
        </w:rPr>
        <w:t xml:space="preserve">de </w:t>
      </w:r>
      <w:r>
        <w:rPr>
          <w:spacing w:val="5"/>
        </w:rPr>
        <w:t xml:space="preserve">calcários, principalmente </w:t>
      </w:r>
      <w:r>
        <w:rPr>
          <w:spacing w:val="3"/>
        </w:rPr>
        <w:t xml:space="preserve">como </w:t>
      </w:r>
      <w:r>
        <w:rPr>
          <w:spacing w:val="5"/>
        </w:rPr>
        <w:t>rocha</w:t>
      </w:r>
      <w:r>
        <w:rPr>
          <w:spacing w:val="61"/>
        </w:rPr>
        <w:t xml:space="preserve"> </w:t>
      </w:r>
      <w:r>
        <w:rPr>
          <w:spacing w:val="5"/>
        </w:rPr>
        <w:t xml:space="preserve">ornamental. </w:t>
      </w:r>
      <w:r>
        <w:rPr>
          <w:spacing w:val="2"/>
        </w:rPr>
        <w:t xml:space="preserve">As </w:t>
      </w:r>
      <w:r>
        <w:rPr>
          <w:spacing w:val="5"/>
        </w:rPr>
        <w:t xml:space="preserve">ações visavam: aumento </w:t>
      </w:r>
      <w:r>
        <w:rPr>
          <w:spacing w:val="2"/>
        </w:rPr>
        <w:t xml:space="preserve">do </w:t>
      </w:r>
      <w:r>
        <w:rPr>
          <w:spacing w:val="5"/>
        </w:rPr>
        <w:t xml:space="preserve">número </w:t>
      </w:r>
      <w:r>
        <w:rPr>
          <w:spacing w:val="6"/>
        </w:rPr>
        <w:t xml:space="preserve">de </w:t>
      </w:r>
      <w:r>
        <w:rPr>
          <w:spacing w:val="5"/>
        </w:rPr>
        <w:t xml:space="preserve">empregos diretos </w:t>
      </w:r>
      <w:r>
        <w:t xml:space="preserve">e </w:t>
      </w:r>
      <w:r>
        <w:rPr>
          <w:spacing w:val="5"/>
        </w:rPr>
        <w:t xml:space="preserve">indiretos </w:t>
      </w:r>
      <w:r>
        <w:rPr>
          <w:spacing w:val="2"/>
        </w:rPr>
        <w:t xml:space="preserve">na </w:t>
      </w:r>
      <w:r>
        <w:rPr>
          <w:spacing w:val="5"/>
        </w:rPr>
        <w:t xml:space="preserve">atividade mineral </w:t>
      </w:r>
      <w:r>
        <w:rPr>
          <w:spacing w:val="6"/>
        </w:rPr>
        <w:t xml:space="preserve">local; </w:t>
      </w:r>
      <w:r>
        <w:t xml:space="preserve">diminuição de acidentes de trabalho e dos danos à saúde dos </w:t>
      </w:r>
      <w:r>
        <w:rPr>
          <w:spacing w:val="12"/>
        </w:rPr>
        <w:t xml:space="preserve">trabalhadores; </w:t>
      </w:r>
      <w:r>
        <w:rPr>
          <w:spacing w:val="11"/>
        </w:rPr>
        <w:t xml:space="preserve">redução </w:t>
      </w:r>
      <w:r>
        <w:rPr>
          <w:spacing w:val="10"/>
        </w:rPr>
        <w:t xml:space="preserve">das </w:t>
      </w:r>
      <w:r>
        <w:rPr>
          <w:spacing w:val="11"/>
        </w:rPr>
        <w:t xml:space="preserve">áreas </w:t>
      </w:r>
      <w:r>
        <w:rPr>
          <w:spacing w:val="12"/>
        </w:rPr>
        <w:t xml:space="preserve">degradadas </w:t>
      </w:r>
      <w:r>
        <w:rPr>
          <w:spacing w:val="15"/>
        </w:rPr>
        <w:t xml:space="preserve">pela </w:t>
      </w:r>
      <w:r>
        <w:rPr>
          <w:spacing w:val="5"/>
        </w:rPr>
        <w:t xml:space="preserve">mineração; </w:t>
      </w:r>
      <w:r>
        <w:t xml:space="preserve">e </w:t>
      </w:r>
      <w:r>
        <w:rPr>
          <w:spacing w:val="5"/>
        </w:rPr>
        <w:t xml:space="preserve">aumento </w:t>
      </w:r>
      <w:r>
        <w:rPr>
          <w:spacing w:val="2"/>
        </w:rPr>
        <w:t xml:space="preserve">do </w:t>
      </w:r>
      <w:r>
        <w:rPr>
          <w:spacing w:val="5"/>
        </w:rPr>
        <w:t xml:space="preserve">preço </w:t>
      </w:r>
      <w:r>
        <w:rPr>
          <w:spacing w:val="2"/>
        </w:rPr>
        <w:t xml:space="preserve">de </w:t>
      </w:r>
      <w:r>
        <w:rPr>
          <w:spacing w:val="5"/>
        </w:rPr>
        <w:t xml:space="preserve">venda </w:t>
      </w:r>
      <w:r>
        <w:rPr>
          <w:spacing w:val="2"/>
        </w:rPr>
        <w:t xml:space="preserve">da </w:t>
      </w:r>
      <w:r>
        <w:rPr>
          <w:spacing w:val="6"/>
        </w:rPr>
        <w:t xml:space="preserve">produção, </w:t>
      </w:r>
      <w:r>
        <w:rPr>
          <w:spacing w:val="5"/>
        </w:rPr>
        <w:t xml:space="preserve">agregando maior valor </w:t>
      </w:r>
      <w:r>
        <w:rPr>
          <w:spacing w:val="3"/>
        </w:rPr>
        <w:t xml:space="preserve">aos </w:t>
      </w:r>
      <w:r>
        <w:rPr>
          <w:spacing w:val="5"/>
        </w:rPr>
        <w:t>produtos (VIDAL,</w:t>
      </w:r>
      <w:r>
        <w:rPr>
          <w:spacing w:val="58"/>
        </w:rPr>
        <w:t xml:space="preserve"> </w:t>
      </w:r>
      <w:r>
        <w:rPr>
          <w:spacing w:val="6"/>
        </w:rPr>
        <w:t>2009).</w:t>
      </w:r>
    </w:p>
    <w:p w:rsidR="00D81F69" w:rsidRDefault="00330118">
      <w:pPr>
        <w:pStyle w:val="Corpodetexto"/>
        <w:spacing w:before="138" w:line="312" w:lineRule="auto"/>
        <w:ind w:right="38"/>
      </w:pPr>
      <w:r>
        <w:t>A equipe responsável pela criação do APL enco</w:t>
      </w:r>
      <w:r>
        <w:t>ntrou algumas dificuldades para concretizar o projeto, como: problemas de articulação entre governos estadual e federal, provocando atraso no projeto por falta de liberação de recursos; morosidade burocrática das fundações gestoras dos recursos; dificuldad</w:t>
      </w:r>
      <w:r>
        <w:t>e de absorção da cultura cooperativista; falta de capacitação gerencial dos produtores no que se refere às suas responsabilidades fiscais; e falta de investimento e apoio por parte dos governos municipais (VIDAL, 2009).</w:t>
      </w:r>
    </w:p>
    <w:p w:rsidR="00D81F69" w:rsidRDefault="00330118">
      <w:pPr>
        <w:pStyle w:val="Corpodetexto"/>
        <w:spacing w:before="75" w:line="270" w:lineRule="atLeast"/>
        <w:ind w:right="44"/>
      </w:pPr>
      <w:r>
        <w:t>Mesmo assim, o APL atingiu seus obje</w:t>
      </w:r>
      <w:r>
        <w:t>tivos principais, dentre eles: formalização dos trabalhadores; desenvolvimento de tecnologia para agregar valor ao produto; indicação de uso industrial dos rejeitos da lavra e do beneficiamento; projeto de instalação dos equipamentos de beneficiamento em g</w:t>
      </w:r>
      <w:r>
        <w:t>alpão já existente; preparação de uma central de comercialização; conscientização da comunidade sobre a importância de</w:t>
      </w:r>
    </w:p>
    <w:p w:rsidR="00D81F69" w:rsidRDefault="00330118">
      <w:pPr>
        <w:pStyle w:val="Corpodetexto"/>
        <w:spacing w:before="81" w:line="312" w:lineRule="auto"/>
        <w:ind w:right="215"/>
      </w:pPr>
      <w:r>
        <w:br w:type="column"/>
      </w:r>
      <w:r>
        <w:lastRenderedPageBreak/>
        <w:t>proteger o meio ambiente e o patrimônio paleontológico; e apoio à implantação do Geopark, pelo governo do estado do Ceará (VIDAL, 2009).</w:t>
      </w:r>
    </w:p>
    <w:p w:rsidR="00D81F69" w:rsidRDefault="00330118">
      <w:pPr>
        <w:pStyle w:val="Corpodetexto"/>
        <w:spacing w:before="133" w:line="312" w:lineRule="auto"/>
        <w:ind w:right="213"/>
      </w:pPr>
      <w:r>
        <w:t>O APL produz cerca de 80 mil m2 de Pedras Cariri, gerando em torno de 1.500 empregos diretos (VIDAL; FERNANDES apud CASTRO; MELLO; VIDAL, 2009). Até 2004, 70% das</w:t>
      </w:r>
    </w:p>
    <w:p w:rsidR="00D81F69" w:rsidRDefault="00330118">
      <w:pPr>
        <w:pStyle w:val="Corpodetexto"/>
        <w:spacing w:before="2" w:line="312" w:lineRule="auto"/>
        <w:ind w:right="196"/>
      </w:pPr>
      <w:r>
        <w:t>empresas mudaram seu sistema de produção da lavra manual para a semimecanizada (AMARAL FILHO</w:t>
      </w:r>
      <w:r>
        <w:t>; CAMPOS, 2006 apud CASTRO; MELLO; VIDAL, 2009).</w:t>
      </w:r>
    </w:p>
    <w:p w:rsidR="00D81F69" w:rsidRDefault="00330118">
      <w:pPr>
        <w:pStyle w:val="Corpodetexto"/>
        <w:spacing w:before="133" w:line="312" w:lineRule="auto"/>
        <w:ind w:right="211"/>
      </w:pPr>
      <w:r>
        <w:t>O APL também elaborou, para o Ministério do Turismo, um Projeto Turístico Cultural e Científico, voltado à atividade mineral na Chapada do Araripe, que deverá ser integrado ao Geopark Araripe. O projeto tem como principais objetivos a preservação e a divul</w:t>
      </w:r>
      <w:r>
        <w:t>gação do patrimônio paleontológico da região (VIDAL, 2009).</w:t>
      </w:r>
    </w:p>
    <w:p w:rsidR="00D81F69" w:rsidRDefault="00330118">
      <w:pPr>
        <w:pStyle w:val="Corpodetexto"/>
        <w:spacing w:before="136" w:line="312" w:lineRule="auto"/>
        <w:ind w:right="191"/>
      </w:pPr>
      <w:r>
        <w:t>Em 2011, o Geopark Araripe recebeu a certificação verde, a maior na escala de avaliação da Organização das Nações Unidas para a Educação, a Ciência e a Cultura (Unesco), durante a Conferência Euro</w:t>
      </w:r>
      <w:r>
        <w:t>peia de Geoparks, na Noruega. A área cearense é a única no Brasil com o selo da Rede Global de Geoparks. Suas principais ações visam à conservação das características naturais da região, ao geoturismo e à geoeducação, voltados ao desenvolvimento sustentáve</w:t>
      </w:r>
      <w:r>
        <w:t>l do território (BRASIL MINERAL, 2011).</w:t>
      </w:r>
    </w:p>
    <w:p w:rsidR="00D81F69" w:rsidRDefault="00D81F69">
      <w:pPr>
        <w:pStyle w:val="Corpodetexto"/>
        <w:spacing w:before="8"/>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201"/>
      </w:pPr>
      <w:r>
        <w:t>A mineração de calcário na Chapada do Araripe tem como localização geográfica uma área compreendida pelos municípios de Nova Olinda (latitude 7°05’31”S e longitude 39°40’51”W), Santana do Cari</w:t>
      </w:r>
      <w:r>
        <w:t>ri (latitude 7°11’18”S e longitude 39°44’16”W), Crato (latitude 7°13’46”S e longitude 39°24’32”W) e Barbalha (latitude 7°18’20”S e longitude 39°18’09”W).</w:t>
      </w:r>
    </w:p>
    <w:p w:rsidR="00D81F69" w:rsidRDefault="00D81F69">
      <w:pPr>
        <w:pStyle w:val="Corpodetexto"/>
        <w:spacing w:before="4"/>
        <w:ind w:left="0"/>
        <w:jc w:val="left"/>
        <w:rPr>
          <w:sz w:val="29"/>
        </w:rPr>
      </w:pPr>
    </w:p>
    <w:p w:rsidR="00D81F69" w:rsidRDefault="00330118">
      <w:pPr>
        <w:pStyle w:val="Heading7"/>
      </w:pPr>
      <w:r>
        <w:t>REDATORES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7" w:line="312" w:lineRule="auto"/>
        <w:ind w:left="100" w:right="190"/>
        <w:jc w:val="both"/>
        <w:rPr>
          <w:sz w:val="16"/>
        </w:rPr>
      </w:pPr>
      <w:r>
        <w:rPr>
          <w:sz w:val="16"/>
        </w:rPr>
        <w:t>BRASIL MINERAL. Ceará. Geopark r</w:t>
      </w:r>
      <w:r>
        <w:rPr>
          <w:sz w:val="16"/>
        </w:rPr>
        <w:t>ecebe certificação verde. In: Brasil Mineral Online, n. 520 – 21 set. 2011. Disponível em:</w:t>
      </w:r>
    </w:p>
    <w:p w:rsidR="00D81F69" w:rsidRDefault="00D81F69">
      <w:pPr>
        <w:spacing w:before="2" w:line="312" w:lineRule="auto"/>
        <w:ind w:left="100" w:right="216"/>
        <w:jc w:val="both"/>
        <w:rPr>
          <w:sz w:val="16"/>
        </w:rPr>
      </w:pPr>
      <w:hyperlink r:id="rId758">
        <w:r w:rsidR="00330118">
          <w:rPr>
            <w:sz w:val="16"/>
          </w:rPr>
          <w:t>&lt;http://www.brasilmineral.com.br/BM/default.asp?COD=5753&amp;busca=</w:t>
        </w:r>
      </w:hyperlink>
      <w:r w:rsidR="00330118">
        <w:rPr>
          <w:sz w:val="16"/>
        </w:rPr>
        <w:t xml:space="preserve"> &amp;numero=520&gt;. Aces</w:t>
      </w:r>
      <w:r w:rsidR="00330118">
        <w:rPr>
          <w:sz w:val="16"/>
        </w:rPr>
        <w:t>so em: 07 dez. 2011.</w:t>
      </w:r>
    </w:p>
    <w:p w:rsidR="00D81F69" w:rsidRDefault="00330118">
      <w:pPr>
        <w:spacing w:before="2" w:line="312" w:lineRule="auto"/>
        <w:ind w:left="100" w:right="189"/>
        <w:jc w:val="both"/>
        <w:rPr>
          <w:sz w:val="16"/>
        </w:rPr>
      </w:pPr>
      <w:r>
        <w:rPr>
          <w:sz w:val="16"/>
        </w:rPr>
        <w:t>CASTRO, Nuria Fernández; MELLO, Edson Farias; VIDAL, Francisco Wilson Hollanda. O APL calcário do Cariri no contexto do ordenamento do território. VII Simpósio de Rochas Ornamentais do Nordeste. Fortaleza, 12 e 13 de nov. 2009. Disponí</w:t>
      </w:r>
      <w:r>
        <w:rPr>
          <w:sz w:val="16"/>
        </w:rPr>
        <w:t>vel em:</w:t>
      </w:r>
    </w:p>
    <w:p w:rsidR="00D81F69" w:rsidRDefault="00D81F69">
      <w:pPr>
        <w:spacing w:before="3" w:line="312" w:lineRule="auto"/>
        <w:ind w:left="100" w:right="217"/>
        <w:jc w:val="both"/>
        <w:rPr>
          <w:sz w:val="16"/>
        </w:rPr>
      </w:pPr>
      <w:hyperlink r:id="rId759">
        <w:r w:rsidR="00330118">
          <w:rPr>
            <w:sz w:val="16"/>
          </w:rPr>
          <w:t xml:space="preserve">&lt;http://pt.scribd.com/doc/42219669/VIISRONE-Nuria&gt;. </w:t>
        </w:r>
      </w:hyperlink>
      <w:r w:rsidR="00330118">
        <w:rPr>
          <w:sz w:val="16"/>
        </w:rPr>
        <w:t>Acesso em: 07 dez. 2011.</w:t>
      </w:r>
    </w:p>
    <w:p w:rsidR="00D81F69" w:rsidRDefault="00330118">
      <w:pPr>
        <w:spacing w:before="2"/>
        <w:ind w:left="100"/>
        <w:jc w:val="both"/>
        <w:rPr>
          <w:sz w:val="16"/>
        </w:rPr>
      </w:pPr>
      <w:r>
        <w:rPr>
          <w:sz w:val="16"/>
        </w:rPr>
        <w:t>FUNDAÇÃO ARARIPE. Economia e Sociedade. Disponível em:</w:t>
      </w:r>
    </w:p>
    <w:p w:rsidR="00D81F69" w:rsidRDefault="00D81F69">
      <w:pPr>
        <w:spacing w:before="56" w:line="312" w:lineRule="auto"/>
        <w:ind w:left="100" w:right="196"/>
        <w:jc w:val="both"/>
        <w:rPr>
          <w:sz w:val="16"/>
        </w:rPr>
      </w:pPr>
      <w:hyperlink r:id="rId760">
        <w:r w:rsidR="00330118">
          <w:rPr>
            <w:sz w:val="16"/>
          </w:rPr>
          <w:t>&lt;http://www.fundacaoararipe.org.br/content/viewContent.php?IDconte</w:t>
        </w:r>
      </w:hyperlink>
      <w:r w:rsidR="00330118">
        <w:rPr>
          <w:sz w:val="16"/>
        </w:rPr>
        <w:t xml:space="preserve"> nt=oAraripe_economiaSociedade&amp;IDmenuDir=oAraripe&amp;IDtopo=2&gt;. Acesso em: 07 dez. 2011.</w:t>
      </w:r>
    </w:p>
    <w:p w:rsidR="00D81F69" w:rsidRDefault="00330118">
      <w:pPr>
        <w:spacing w:before="2" w:line="312" w:lineRule="auto"/>
        <w:ind w:left="100" w:right="192"/>
        <w:jc w:val="both"/>
        <w:rPr>
          <w:sz w:val="16"/>
        </w:rPr>
      </w:pPr>
      <w:r>
        <w:rPr>
          <w:sz w:val="16"/>
        </w:rPr>
        <w:t>IBGE, Instituto Brasile</w:t>
      </w:r>
      <w:r>
        <w:rPr>
          <w:sz w:val="16"/>
        </w:rPr>
        <w:t>iro de Geografia e Estatística. Nova Olinda (CE). In: IBGE Cidades, 2010a. Disponível em: Disponível em:</w:t>
      </w:r>
    </w:p>
    <w:p w:rsidR="00D81F69" w:rsidRDefault="00D81F69">
      <w:pPr>
        <w:spacing w:before="2"/>
        <w:ind w:left="100"/>
        <w:jc w:val="both"/>
        <w:rPr>
          <w:sz w:val="16"/>
        </w:rPr>
      </w:pPr>
      <w:hyperlink r:id="rId761">
        <w:r w:rsidR="00330118">
          <w:rPr>
            <w:sz w:val="16"/>
          </w:rPr>
          <w:t>&lt;http://www.ibge.gov.br/cidadesat/xtras/perfil.php?codmun=230920</w:t>
        </w:r>
        <w:r w:rsidR="00330118">
          <w:rPr>
            <w:sz w:val="16"/>
          </w:rPr>
          <w:t>&amp;r</w:t>
        </w:r>
      </w:hyperlink>
    </w:p>
    <w:p w:rsidR="00D81F69" w:rsidRDefault="00D81F69">
      <w:pPr>
        <w:jc w:val="both"/>
        <w:rPr>
          <w:sz w:val="16"/>
        </w:rPr>
        <w:sectPr w:rsidR="00D81F69">
          <w:pgSz w:w="11900" w:h="16840"/>
          <w:pgMar w:top="740" w:right="500" w:bottom="640" w:left="620" w:header="0" w:footer="402" w:gutter="0"/>
          <w:cols w:num="2" w:space="720" w:equalWidth="0">
            <w:col w:w="5163" w:space="307"/>
            <w:col w:w="5310"/>
          </w:cols>
        </w:sectPr>
      </w:pPr>
    </w:p>
    <w:p w:rsidR="00D81F69" w:rsidRDefault="00330118">
      <w:pPr>
        <w:spacing w:before="70"/>
        <w:ind w:left="100"/>
        <w:rPr>
          <w:sz w:val="16"/>
        </w:rPr>
      </w:pPr>
      <w:r>
        <w:rPr>
          <w:sz w:val="16"/>
        </w:rPr>
        <w:lastRenderedPageBreak/>
        <w:t>=2&gt;. Acesso em: 07 dez. 2011.</w:t>
      </w:r>
    </w:p>
    <w:p w:rsidR="00D81F69" w:rsidRDefault="00330118">
      <w:pPr>
        <w:tabs>
          <w:tab w:val="left" w:pos="640"/>
          <w:tab w:val="left" w:pos="2559"/>
          <w:tab w:val="left" w:pos="5063"/>
        </w:tabs>
        <w:spacing w:before="56" w:line="312" w:lineRule="auto"/>
        <w:ind w:left="100" w:right="53"/>
        <w:jc w:val="both"/>
        <w:rPr>
          <w:sz w:val="16"/>
        </w:rPr>
      </w:pPr>
      <w:r>
        <w:rPr>
          <w:sz w:val="16"/>
          <w:u w:val="single"/>
        </w:rPr>
        <w:t xml:space="preserve"> </w:t>
      </w:r>
      <w:r>
        <w:rPr>
          <w:sz w:val="16"/>
          <w:u w:val="single"/>
        </w:rPr>
        <w:tab/>
      </w:r>
      <w:r>
        <w:rPr>
          <w:sz w:val="16"/>
        </w:rPr>
        <w:t>.Santana do Cariri (CE). In: IBGE Cidades, 2010b. Disponível e</w:t>
      </w:r>
      <w:r>
        <w:rPr>
          <w:sz w:val="16"/>
        </w:rPr>
        <w:tab/>
      </w:r>
      <w:r>
        <w:rPr>
          <w:sz w:val="16"/>
        </w:rPr>
        <w:tab/>
        <w:t>m</w:t>
      </w:r>
      <w:r>
        <w:rPr>
          <w:sz w:val="16"/>
        </w:rPr>
        <w:tab/>
        <w:t>:</w:t>
      </w:r>
    </w:p>
    <w:p w:rsidR="00D81F69" w:rsidRDefault="00D81F69">
      <w:pPr>
        <w:spacing w:before="1"/>
        <w:ind w:left="100"/>
        <w:rPr>
          <w:sz w:val="16"/>
        </w:rPr>
      </w:pPr>
      <w:hyperlink r:id="rId762">
        <w:r w:rsidR="00330118">
          <w:rPr>
            <w:sz w:val="16"/>
          </w:rPr>
          <w:t>&lt;http://www.ibge.gov.br/cidadesat/xtr</w:t>
        </w:r>
        <w:r w:rsidR="00330118">
          <w:rPr>
            <w:sz w:val="16"/>
          </w:rPr>
          <w:t>as/perfil.php?codmun=231210&amp;r</w:t>
        </w:r>
      </w:hyperlink>
    </w:p>
    <w:p w:rsidR="00D81F69" w:rsidRDefault="00330118">
      <w:pPr>
        <w:spacing w:before="56"/>
        <w:ind w:left="100"/>
        <w:rPr>
          <w:sz w:val="16"/>
        </w:rPr>
      </w:pPr>
      <w:r>
        <w:rPr>
          <w:sz w:val="16"/>
        </w:rPr>
        <w:t>=2&gt;. Acesso em: 07 dez. 2011.</w:t>
      </w:r>
    </w:p>
    <w:p w:rsidR="00D81F69" w:rsidRDefault="00330118">
      <w:pPr>
        <w:spacing w:before="56" w:line="312" w:lineRule="auto"/>
        <w:ind w:left="100" w:right="47"/>
        <w:jc w:val="both"/>
        <w:rPr>
          <w:sz w:val="16"/>
        </w:rPr>
      </w:pPr>
      <w:r>
        <w:rPr>
          <w:sz w:val="16"/>
        </w:rPr>
        <w:t>KELLNER, Alexander Wilhelm Armin. Um dos mais importantes depósitos fossilíferos do Cretáceo brasileiro. In: Schobbenhaus, C.; Campos, D.A.; Queiroz, E. T.; Winge, M.; Berbert-Born,M. L. C. (Edits</w:t>
      </w:r>
      <w:r>
        <w:rPr>
          <w:sz w:val="16"/>
        </w:rPr>
        <w:t>.) Sítios Geológicos e Paleontológicos do Brasil. 1. ed. Brasilia: DNPM/CPRM - Comissão Brasileira de Sítios Geológicos e Paleobiológicos (SIGEP), 2002. v. 01: 121-130. CE. Disponível em:</w:t>
      </w:r>
    </w:p>
    <w:p w:rsidR="00D81F69" w:rsidRDefault="00D81F69">
      <w:pPr>
        <w:spacing w:before="5" w:line="312" w:lineRule="auto"/>
        <w:ind w:left="100" w:right="51"/>
        <w:jc w:val="both"/>
        <w:rPr>
          <w:sz w:val="16"/>
        </w:rPr>
      </w:pPr>
      <w:hyperlink r:id="rId763">
        <w:r w:rsidR="00330118">
          <w:rPr>
            <w:sz w:val="16"/>
          </w:rPr>
          <w:t>&lt;</w:t>
        </w:r>
        <w:r w:rsidR="00330118">
          <w:rPr>
            <w:sz w:val="16"/>
          </w:rPr>
          <w:t xml:space="preserve">http://sigep.cprm.gov.br/sitio006/sitio006.pdf&gt;. </w:t>
        </w:r>
      </w:hyperlink>
      <w:r w:rsidR="00330118">
        <w:rPr>
          <w:sz w:val="16"/>
        </w:rPr>
        <w:t>Acesso em: 07 dez. 2011.</w:t>
      </w:r>
    </w:p>
    <w:p w:rsidR="00D81F69" w:rsidRDefault="00330118">
      <w:pPr>
        <w:spacing w:before="2"/>
        <w:ind w:left="100"/>
        <w:rPr>
          <w:sz w:val="16"/>
        </w:rPr>
      </w:pPr>
      <w:r>
        <w:rPr>
          <w:sz w:val="16"/>
        </w:rPr>
        <w:t xml:space="preserve">ROTEIRO CEARÁ. Chapada do Araripe. Disponível em: </w:t>
      </w:r>
    </w:p>
    <w:p w:rsidR="00D81F69" w:rsidRDefault="00D81F69">
      <w:pPr>
        <w:spacing w:before="56" w:line="312" w:lineRule="auto"/>
        <w:ind w:left="100" w:right="49"/>
        <w:jc w:val="both"/>
        <w:rPr>
          <w:sz w:val="16"/>
        </w:rPr>
      </w:pPr>
      <w:hyperlink r:id="rId764">
        <w:r w:rsidR="00330118">
          <w:rPr>
            <w:sz w:val="16"/>
          </w:rPr>
          <w:t>&lt;http://roteiroceara.uol.com.br/roteiro/serras/c</w:t>
        </w:r>
        <w:r w:rsidR="00330118">
          <w:rPr>
            <w:sz w:val="16"/>
          </w:rPr>
          <w:t>hapada-do-araripe/&gt;.</w:t>
        </w:r>
      </w:hyperlink>
      <w:r w:rsidR="00330118">
        <w:rPr>
          <w:sz w:val="16"/>
        </w:rPr>
        <w:t xml:space="preserve"> Acesso em: 06 dez. 2011.</w:t>
      </w:r>
    </w:p>
    <w:p w:rsidR="00D81F69" w:rsidRDefault="00330118">
      <w:pPr>
        <w:spacing w:before="2" w:line="312" w:lineRule="auto"/>
        <w:ind w:left="100" w:right="64"/>
        <w:jc w:val="both"/>
        <w:rPr>
          <w:sz w:val="16"/>
        </w:rPr>
      </w:pPr>
      <w:r>
        <w:rPr>
          <w:sz w:val="16"/>
        </w:rPr>
        <w:t>SDLR-CE, Secretaria do Desenvolvimento Local e Regional do Estado do Ceará. Arranjo produtivo local de pedras ornamentais em Nova Olinda e Santana</w:t>
      </w:r>
    </w:p>
    <w:p w:rsidR="00D81F69" w:rsidRDefault="00330118">
      <w:pPr>
        <w:pStyle w:val="PargrafodaLista"/>
        <w:numPr>
          <w:ilvl w:val="0"/>
          <w:numId w:val="2"/>
        </w:numPr>
        <w:tabs>
          <w:tab w:val="left" w:pos="293"/>
          <w:tab w:val="left" w:pos="890"/>
          <w:tab w:val="left" w:pos="2447"/>
          <w:tab w:val="left" w:pos="4634"/>
        </w:tabs>
        <w:ind w:hanging="192"/>
        <w:rPr>
          <w:sz w:val="16"/>
        </w:rPr>
      </w:pPr>
      <w:r>
        <w:rPr>
          <w:sz w:val="16"/>
        </w:rPr>
        <w:t>o</w:t>
      </w:r>
      <w:r>
        <w:rPr>
          <w:sz w:val="16"/>
        </w:rPr>
        <w:tab/>
        <w:t xml:space="preserve">C </w:t>
      </w:r>
      <w:r>
        <w:rPr>
          <w:spacing w:val="12"/>
          <w:sz w:val="16"/>
        </w:rPr>
        <w:t xml:space="preserve"> </w:t>
      </w:r>
      <w:r>
        <w:rPr>
          <w:sz w:val="16"/>
        </w:rPr>
        <w:t xml:space="preserve">a </w:t>
      </w:r>
      <w:r>
        <w:rPr>
          <w:spacing w:val="12"/>
          <w:sz w:val="16"/>
        </w:rPr>
        <w:t xml:space="preserve"> </w:t>
      </w:r>
      <w:r>
        <w:rPr>
          <w:sz w:val="16"/>
        </w:rPr>
        <w:t xml:space="preserve">r </w:t>
      </w:r>
      <w:r>
        <w:rPr>
          <w:spacing w:val="12"/>
          <w:sz w:val="16"/>
        </w:rPr>
        <w:t xml:space="preserve"> </w:t>
      </w:r>
      <w:r>
        <w:rPr>
          <w:sz w:val="16"/>
        </w:rPr>
        <w:t xml:space="preserve">i </w:t>
      </w:r>
      <w:r>
        <w:rPr>
          <w:spacing w:val="12"/>
          <w:sz w:val="16"/>
        </w:rPr>
        <w:t xml:space="preserve"> </w:t>
      </w:r>
      <w:r>
        <w:rPr>
          <w:sz w:val="16"/>
        </w:rPr>
        <w:t xml:space="preserve">r </w:t>
      </w:r>
      <w:r>
        <w:rPr>
          <w:spacing w:val="12"/>
          <w:sz w:val="16"/>
        </w:rPr>
        <w:t xml:space="preserve"> </w:t>
      </w:r>
      <w:r>
        <w:rPr>
          <w:sz w:val="16"/>
        </w:rPr>
        <w:t xml:space="preserve">i </w:t>
      </w:r>
      <w:r>
        <w:rPr>
          <w:spacing w:val="12"/>
          <w:sz w:val="16"/>
        </w:rPr>
        <w:t xml:space="preserve"> </w:t>
      </w:r>
      <w:r>
        <w:rPr>
          <w:sz w:val="16"/>
        </w:rPr>
        <w:t>.</w:t>
      </w:r>
      <w:r>
        <w:rPr>
          <w:sz w:val="16"/>
        </w:rPr>
        <w:tab/>
        <w:t xml:space="preserve">D </w:t>
      </w:r>
      <w:r>
        <w:rPr>
          <w:spacing w:val="12"/>
          <w:sz w:val="16"/>
        </w:rPr>
        <w:t xml:space="preserve"> </w:t>
      </w:r>
      <w:r>
        <w:rPr>
          <w:sz w:val="16"/>
        </w:rPr>
        <w:t xml:space="preserve">i </w:t>
      </w:r>
      <w:r>
        <w:rPr>
          <w:spacing w:val="12"/>
          <w:sz w:val="16"/>
        </w:rPr>
        <w:t xml:space="preserve"> </w:t>
      </w:r>
      <w:r>
        <w:rPr>
          <w:sz w:val="16"/>
        </w:rPr>
        <w:t xml:space="preserve">s </w:t>
      </w:r>
      <w:r>
        <w:rPr>
          <w:spacing w:val="12"/>
          <w:sz w:val="16"/>
        </w:rPr>
        <w:t xml:space="preserve"> </w:t>
      </w:r>
      <w:r>
        <w:rPr>
          <w:sz w:val="16"/>
        </w:rPr>
        <w:t xml:space="preserve">p </w:t>
      </w:r>
      <w:r>
        <w:rPr>
          <w:spacing w:val="12"/>
          <w:sz w:val="16"/>
        </w:rPr>
        <w:t xml:space="preserve"> </w:t>
      </w:r>
      <w:r>
        <w:rPr>
          <w:sz w:val="16"/>
        </w:rPr>
        <w:t xml:space="preserve">o </w:t>
      </w:r>
      <w:r>
        <w:rPr>
          <w:spacing w:val="12"/>
          <w:sz w:val="16"/>
        </w:rPr>
        <w:t xml:space="preserve"> </w:t>
      </w:r>
      <w:r>
        <w:rPr>
          <w:sz w:val="16"/>
        </w:rPr>
        <w:t xml:space="preserve">n </w:t>
      </w:r>
      <w:r>
        <w:rPr>
          <w:spacing w:val="12"/>
          <w:sz w:val="16"/>
        </w:rPr>
        <w:t xml:space="preserve"> </w:t>
      </w:r>
      <w:r>
        <w:rPr>
          <w:sz w:val="16"/>
        </w:rPr>
        <w:t xml:space="preserve">í </w:t>
      </w:r>
      <w:r>
        <w:rPr>
          <w:spacing w:val="12"/>
          <w:sz w:val="16"/>
        </w:rPr>
        <w:t xml:space="preserve"> </w:t>
      </w:r>
      <w:r>
        <w:rPr>
          <w:sz w:val="16"/>
        </w:rPr>
        <w:t xml:space="preserve">v </w:t>
      </w:r>
      <w:r>
        <w:rPr>
          <w:spacing w:val="12"/>
          <w:sz w:val="16"/>
        </w:rPr>
        <w:t xml:space="preserve"> </w:t>
      </w:r>
      <w:r>
        <w:rPr>
          <w:sz w:val="16"/>
        </w:rPr>
        <w:t xml:space="preserve">e </w:t>
      </w:r>
      <w:r>
        <w:rPr>
          <w:spacing w:val="12"/>
          <w:sz w:val="16"/>
        </w:rPr>
        <w:t xml:space="preserve"> </w:t>
      </w:r>
      <w:r>
        <w:rPr>
          <w:sz w:val="16"/>
        </w:rPr>
        <w:t>l</w:t>
      </w:r>
      <w:r>
        <w:rPr>
          <w:sz w:val="16"/>
        </w:rPr>
        <w:tab/>
        <w:t>e m</w:t>
      </w:r>
      <w:r>
        <w:rPr>
          <w:spacing w:val="26"/>
          <w:sz w:val="16"/>
        </w:rPr>
        <w:t xml:space="preserve"> </w:t>
      </w:r>
      <w:r>
        <w:rPr>
          <w:sz w:val="16"/>
        </w:rPr>
        <w:t>:</w:t>
      </w:r>
    </w:p>
    <w:p w:rsidR="00D81F69" w:rsidRDefault="00D81F69">
      <w:pPr>
        <w:spacing w:before="56" w:line="312" w:lineRule="auto"/>
        <w:ind w:left="100" w:right="47"/>
        <w:jc w:val="both"/>
        <w:rPr>
          <w:sz w:val="16"/>
        </w:rPr>
      </w:pPr>
      <w:hyperlink r:id="rId765">
        <w:r w:rsidR="00330118">
          <w:rPr>
            <w:sz w:val="16"/>
          </w:rPr>
          <w:t>&lt;http://conteudo.ceara.gov.br/content/aplicacao/sdlr/_includes/PDFs/</w:t>
        </w:r>
      </w:hyperlink>
      <w:r w:rsidR="00330118">
        <w:rPr>
          <w:sz w:val="16"/>
        </w:rPr>
        <w:t xml:space="preserve"> APL%20-%20Cariri%20-%20Pedras.pdf&gt;. Acesso em: 07 dez. 2011. VIANA, Maria Somália Sales; NEUMANN, Virgínio H</w:t>
      </w:r>
      <w:r w:rsidR="00330118">
        <w:rPr>
          <w:sz w:val="16"/>
        </w:rPr>
        <w:t>enrique Lopes. O Membro Crato da Formação Santana, CE. In: Schobbenhaus,C.; Campos,D. A.;</w:t>
      </w:r>
    </w:p>
    <w:p w:rsidR="00D81F69" w:rsidRDefault="00330118">
      <w:pPr>
        <w:spacing w:before="70" w:line="312" w:lineRule="auto"/>
        <w:ind w:left="100" w:right="176"/>
        <w:jc w:val="both"/>
        <w:rPr>
          <w:sz w:val="16"/>
        </w:rPr>
      </w:pPr>
      <w:r>
        <w:br w:type="column"/>
      </w:r>
      <w:r>
        <w:rPr>
          <w:sz w:val="16"/>
        </w:rPr>
        <w:lastRenderedPageBreak/>
        <w:t xml:space="preserve">Queiroz,E. T.; Winge,M.; Berbert-Born,M. (Edit.) Sítios Geológicos e </w:t>
      </w:r>
      <w:r>
        <w:rPr>
          <w:spacing w:val="22"/>
          <w:sz w:val="16"/>
        </w:rPr>
        <w:t xml:space="preserve">Paleontológicos </w:t>
      </w:r>
      <w:r>
        <w:rPr>
          <w:spacing w:val="11"/>
          <w:sz w:val="16"/>
        </w:rPr>
        <w:t xml:space="preserve">do </w:t>
      </w:r>
      <w:r>
        <w:rPr>
          <w:spacing w:val="20"/>
          <w:sz w:val="16"/>
        </w:rPr>
        <w:t>Brasil.,</w:t>
      </w:r>
      <w:r>
        <w:rPr>
          <w:spacing w:val="85"/>
          <w:sz w:val="16"/>
        </w:rPr>
        <w:t xml:space="preserve"> </w:t>
      </w:r>
      <w:r>
        <w:rPr>
          <w:spacing w:val="20"/>
          <w:sz w:val="16"/>
        </w:rPr>
        <w:t xml:space="preserve">1999. </w:t>
      </w:r>
      <w:r>
        <w:rPr>
          <w:spacing w:val="21"/>
          <w:sz w:val="16"/>
        </w:rPr>
        <w:t>Disponível</w:t>
      </w:r>
      <w:r>
        <w:rPr>
          <w:spacing w:val="20"/>
          <w:sz w:val="16"/>
        </w:rPr>
        <w:t xml:space="preserve"> </w:t>
      </w:r>
      <w:r>
        <w:rPr>
          <w:spacing w:val="15"/>
          <w:sz w:val="16"/>
        </w:rPr>
        <w:t>em:</w:t>
      </w:r>
      <w:r>
        <w:rPr>
          <w:spacing w:val="-19"/>
          <w:sz w:val="16"/>
        </w:rPr>
        <w:t xml:space="preserve"> </w:t>
      </w:r>
    </w:p>
    <w:p w:rsidR="00D81F69" w:rsidRDefault="00D81F69">
      <w:pPr>
        <w:spacing w:before="1" w:line="312" w:lineRule="auto"/>
        <w:ind w:left="100" w:right="213"/>
        <w:jc w:val="both"/>
        <w:rPr>
          <w:sz w:val="16"/>
        </w:rPr>
      </w:pPr>
      <w:hyperlink r:id="rId766">
        <w:r w:rsidR="00330118">
          <w:rPr>
            <w:sz w:val="16"/>
          </w:rPr>
          <w:t xml:space="preserve">&lt;http://vsites.unb.br/ig/sigep/sitio005/sitio005.pdf&gt;. </w:t>
        </w:r>
      </w:hyperlink>
      <w:r w:rsidR="00330118">
        <w:rPr>
          <w:sz w:val="16"/>
        </w:rPr>
        <w:t>Acesso em: 06 dez. 2011.</w:t>
      </w:r>
    </w:p>
    <w:p w:rsidR="00D81F69" w:rsidRDefault="00330118">
      <w:pPr>
        <w:spacing w:before="2" w:line="312" w:lineRule="auto"/>
        <w:ind w:left="100" w:right="196"/>
        <w:jc w:val="both"/>
        <w:rPr>
          <w:sz w:val="16"/>
        </w:rPr>
      </w:pPr>
      <w:r>
        <w:rPr>
          <w:sz w:val="16"/>
        </w:rPr>
        <w:t>VIDAL, Francisco Wilson Hollanda. Cetem encerra parte das atividades no APL do Calcário do Cariri – CE. Brasí</w:t>
      </w:r>
      <w:r>
        <w:rPr>
          <w:sz w:val="16"/>
        </w:rPr>
        <w:t xml:space="preserve">lia, 22 out. 2009. Disponível em: </w:t>
      </w:r>
      <w:hyperlink r:id="rId767">
        <w:r>
          <w:rPr>
            <w:sz w:val="16"/>
          </w:rPr>
          <w:t>&lt;http://www.redeaplmineral.org.br/noticias/cetem-</w:t>
        </w:r>
      </w:hyperlink>
      <w:r>
        <w:rPr>
          <w:sz w:val="16"/>
        </w:rPr>
        <w:t xml:space="preserve"> encerra-parte-das-atividades-no-apl-do-calcario-do-cariri-2013-ce/&gt;. Acesso em: 08 dez. 2011.</w:t>
      </w:r>
    </w:p>
    <w:p w:rsidR="00D81F69" w:rsidRDefault="00330118">
      <w:pPr>
        <w:spacing w:before="4" w:line="312" w:lineRule="auto"/>
        <w:ind w:left="100" w:right="198"/>
        <w:jc w:val="both"/>
        <w:rPr>
          <w:sz w:val="16"/>
        </w:rPr>
      </w:pPr>
      <w:r>
        <w:rPr>
          <w:sz w:val="16"/>
        </w:rPr>
        <w:t>VIDAL, Francisco Wilson Hollanda; PADILHA, Manoel William Montenegro. A indústria extrativa da pedra cariri no estado do Ceará: problemas x soluções. Livro IV Simpósio de Rochas Ornamentais do Nordeste, 16 - 19 nov. 2003, Fortaleza (CE), p. 199 - 210. Disp</w:t>
      </w:r>
      <w:r>
        <w:rPr>
          <w:sz w:val="16"/>
        </w:rPr>
        <w:t xml:space="preserve">onível em: </w:t>
      </w:r>
      <w:hyperlink r:id="rId768">
        <w:r>
          <w:rPr>
            <w:sz w:val="16"/>
          </w:rPr>
          <w:t xml:space="preserve">&lt;http://www.redeaplmineral.org.br/biblioteca/rochas- </w:t>
        </w:r>
      </w:hyperlink>
      <w:r>
        <w:rPr>
          <w:sz w:val="16"/>
        </w:rPr>
        <w:t>ornamentais/APLCariri_problemas_solucoes.pdf&gt;. Acesso em: 07 dez. 2011.</w:t>
      </w:r>
    </w:p>
    <w:p w:rsidR="00D81F69" w:rsidRDefault="00330118">
      <w:pPr>
        <w:spacing w:before="6" w:line="312" w:lineRule="auto"/>
        <w:ind w:left="100" w:right="195"/>
        <w:jc w:val="both"/>
        <w:rPr>
          <w:sz w:val="16"/>
        </w:rPr>
      </w:pPr>
      <w:r>
        <w:rPr>
          <w:sz w:val="16"/>
        </w:rPr>
        <w:t>VIDAL, Francisco Wilson Hollanda; PADILHA, Manoel W</w:t>
      </w:r>
      <w:r>
        <w:rPr>
          <w:sz w:val="16"/>
        </w:rPr>
        <w:t>illiam Montenegro; OLIVEIRA, Raimundo Roncy de. Aspectos do aproveitamento dos rejeitos da Pedra Cariri, 2005. Disponível em:</w:t>
      </w:r>
    </w:p>
    <w:p w:rsidR="00D81F69" w:rsidRDefault="00D81F69">
      <w:pPr>
        <w:spacing w:before="2" w:line="312" w:lineRule="auto"/>
        <w:ind w:left="100" w:right="193"/>
        <w:jc w:val="both"/>
        <w:rPr>
          <w:sz w:val="16"/>
        </w:rPr>
      </w:pPr>
      <w:hyperlink r:id="rId769">
        <w:r w:rsidR="00330118">
          <w:rPr>
            <w:sz w:val="16"/>
          </w:rPr>
          <w:t xml:space="preserve">&lt;http://www.redeaplmineral.org.br/biblioteca/rochas- </w:t>
        </w:r>
      </w:hyperlink>
      <w:r w:rsidR="00330118">
        <w:rPr>
          <w:sz w:val="16"/>
        </w:rPr>
        <w:t>ornament</w:t>
      </w:r>
      <w:r w:rsidR="00330118">
        <w:rPr>
          <w:sz w:val="16"/>
        </w:rPr>
        <w:t>ais/005Manoel_William.pdf&gt;.  Acesso  em:  07  dez. 201</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64" w:space="306"/>
            <w:col w:w="5310"/>
          </w:cols>
        </w:sectPr>
      </w:pPr>
    </w:p>
    <w:p w:rsidR="00D81F69" w:rsidRDefault="00330118">
      <w:pPr>
        <w:pStyle w:val="Heading1"/>
        <w:spacing w:line="208" w:lineRule="auto"/>
      </w:pPr>
      <w:r>
        <w:lastRenderedPageBreak/>
        <w:t>Criação de polo siderúrgico em São Luís (MA) pode gerar danos socioambientais</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MA - São Luís</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-2,5297</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-44,3027</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1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A Vale e a empresa chinesa Baosteel pretendiam instalar um complexo de três usinas siderúrgicas e duas guseiras em São Luís (MA). O empreendimento causaria impactos socioambientais, pois removeria 11 comunidades tradicionais, agravaria a questão do</w:t>
      </w:r>
      <w:r>
        <w:rPr>
          <w:i/>
          <w:sz w:val="16"/>
        </w:rPr>
        <w:t xml:space="preserve"> abastecimento de água na região e destruiria cerca de 10 mil hectares de manguezais. Houve forte resistência local, o que contribuiu para a Vale desistir da empreitada.</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2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ind w:left="135"/>
        <w:jc w:val="left"/>
      </w:pPr>
      <w:r>
        <w:t>(IBAMA, 2006).</w:t>
      </w:r>
    </w:p>
    <w:p w:rsidR="00D81F69" w:rsidRDefault="00D81F69">
      <w:pPr>
        <w:pStyle w:val="Corpodetexto"/>
        <w:spacing w:before="8"/>
        <w:ind w:left="0"/>
        <w:jc w:val="left"/>
        <w:rPr>
          <w:sz w:val="16"/>
        </w:rPr>
      </w:pPr>
    </w:p>
    <w:p w:rsidR="00D81F69" w:rsidRDefault="00330118">
      <w:pPr>
        <w:pStyle w:val="Corpodetexto"/>
        <w:spacing w:before="1" w:line="312" w:lineRule="auto"/>
        <w:ind w:left="135" w:right="208"/>
      </w:pPr>
      <w:r>
        <w:t>Ainda em 2004, a área foi declarada como de utilidade pública para</w:t>
      </w:r>
      <w:r>
        <w:t xml:space="preserve"> fins de desapropriação pelo governo do Maranhão (Decretos nº 20.727-DO, de 30-08-2004, e nº 20.781-DO, de 29-09-2004), o que implicaria o deslocamento compulsório de seus moradores e/ou daqueles que a utilizavam de forma produtiva. Estes moradores eram es</w:t>
      </w:r>
      <w:r>
        <w:t>timados em mais de</w:t>
      </w:r>
    </w:p>
    <w:p w:rsidR="00D81F69" w:rsidRDefault="00330118">
      <w:pPr>
        <w:pStyle w:val="Corpodetexto"/>
        <w:spacing w:before="5" w:line="312" w:lineRule="auto"/>
        <w:ind w:left="135" w:right="188"/>
      </w:pPr>
      <w:r>
        <w:t>14.400 pessoas distribuídas em doze povoados (Vila Maranhão, Taim, Cajueiro, Rio dos Cachorros, Porto Grande, Limoeiro, São Benedito, Vila Conceição, Anandiba, Parnuaçu, Camboa dos Frades e Madureira) (SANT'ANA JÚNIOR, 2006).</w:t>
      </w:r>
    </w:p>
    <w:p w:rsidR="00D81F69" w:rsidRDefault="00D81F69">
      <w:pPr>
        <w:spacing w:line="312" w:lineRule="auto"/>
        <w:sectPr w:rsidR="00D81F69">
          <w:type w:val="continuous"/>
          <w:pgSz w:w="11900" w:h="16840"/>
          <w:pgMar w:top="720" w:right="500" w:bottom="280" w:left="620" w:header="720" w:footer="720" w:gutter="0"/>
          <w:cols w:num="3" w:space="720" w:equalWidth="0">
            <w:col w:w="1063" w:space="937"/>
            <w:col w:w="3116" w:space="319"/>
            <w:col w:w="5345"/>
          </w:cols>
        </w:sectPr>
      </w:pPr>
    </w:p>
    <w:p w:rsidR="00D81F69" w:rsidRDefault="00330118">
      <w:pPr>
        <w:pStyle w:val="Heading4"/>
        <w:spacing w:before="58"/>
      </w:pPr>
      <w:r>
        <w:lastRenderedPageBreak/>
        <w:t>APRESENTAÇÃO DE CASO</w:t>
      </w:r>
    </w:p>
    <w:p w:rsidR="00D81F69" w:rsidRDefault="00330118">
      <w:pPr>
        <w:pStyle w:val="Corpodetexto"/>
        <w:spacing w:before="171" w:line="312" w:lineRule="auto"/>
        <w:ind w:right="58"/>
      </w:pPr>
      <w:r>
        <w:rPr>
          <w:spacing w:val="1"/>
        </w:rPr>
        <w:t xml:space="preserve">Em </w:t>
      </w:r>
      <w:r>
        <w:rPr>
          <w:spacing w:val="3"/>
        </w:rPr>
        <w:t xml:space="preserve">2001, </w:t>
      </w:r>
      <w:r>
        <w:t xml:space="preserve">o </w:t>
      </w:r>
      <w:r>
        <w:rPr>
          <w:spacing w:val="3"/>
        </w:rPr>
        <w:t xml:space="preserve">governo </w:t>
      </w:r>
      <w:r>
        <w:rPr>
          <w:spacing w:val="1"/>
        </w:rPr>
        <w:t xml:space="preserve">do </w:t>
      </w:r>
      <w:r>
        <w:rPr>
          <w:spacing w:val="3"/>
        </w:rPr>
        <w:t xml:space="preserve">estado </w:t>
      </w:r>
      <w:r>
        <w:rPr>
          <w:spacing w:val="1"/>
        </w:rPr>
        <w:t xml:space="preserve">do </w:t>
      </w:r>
      <w:r>
        <w:rPr>
          <w:spacing w:val="3"/>
        </w:rPr>
        <w:t xml:space="preserve">Maranhão assinou </w:t>
      </w:r>
      <w:r>
        <w:rPr>
          <w:spacing w:val="5"/>
        </w:rPr>
        <w:t xml:space="preserve">um </w:t>
      </w:r>
      <w:r>
        <w:t xml:space="preserve">protocolo de intenções com a Vale para a construção do polo </w:t>
      </w:r>
      <w:r>
        <w:rPr>
          <w:spacing w:val="3"/>
        </w:rPr>
        <w:t xml:space="preserve">siderúrgico </w:t>
      </w:r>
      <w:r>
        <w:rPr>
          <w:spacing w:val="1"/>
        </w:rPr>
        <w:t xml:space="preserve">de </w:t>
      </w:r>
      <w:r>
        <w:rPr>
          <w:spacing w:val="2"/>
        </w:rPr>
        <w:t xml:space="preserve">São Luiz </w:t>
      </w:r>
      <w:r>
        <w:rPr>
          <w:spacing w:val="3"/>
        </w:rPr>
        <w:t xml:space="preserve">(SANT'ANA JÚNIOR, 2006). </w:t>
      </w:r>
      <w:r>
        <w:rPr>
          <w:spacing w:val="5"/>
        </w:rPr>
        <w:t xml:space="preserve">Em </w:t>
      </w:r>
      <w:r>
        <w:rPr>
          <w:spacing w:val="1"/>
        </w:rPr>
        <w:t xml:space="preserve">2004, </w:t>
      </w:r>
      <w:r>
        <w:t xml:space="preserve">a </w:t>
      </w:r>
      <w:r>
        <w:rPr>
          <w:spacing w:val="1"/>
        </w:rPr>
        <w:t xml:space="preserve">Vale iniciou estudos para verificar </w:t>
      </w:r>
      <w:r>
        <w:t xml:space="preserve">a </w:t>
      </w:r>
      <w:r>
        <w:rPr>
          <w:spacing w:val="1"/>
        </w:rPr>
        <w:t xml:space="preserve">viabilidade </w:t>
      </w:r>
      <w:r>
        <w:rPr>
          <w:spacing w:val="2"/>
        </w:rPr>
        <w:t xml:space="preserve">de </w:t>
      </w:r>
      <w:r>
        <w:rPr>
          <w:spacing w:val="3"/>
        </w:rPr>
        <w:t xml:space="preserve">instalar </w:t>
      </w:r>
      <w:r>
        <w:rPr>
          <w:spacing w:val="1"/>
        </w:rPr>
        <w:t xml:space="preserve">um </w:t>
      </w:r>
      <w:r>
        <w:rPr>
          <w:spacing w:val="3"/>
        </w:rPr>
        <w:t xml:space="preserve">complexo </w:t>
      </w:r>
      <w:r>
        <w:rPr>
          <w:spacing w:val="1"/>
        </w:rPr>
        <w:t xml:space="preserve">de </w:t>
      </w:r>
      <w:r>
        <w:rPr>
          <w:spacing w:val="2"/>
        </w:rPr>
        <w:t xml:space="preserve">três </w:t>
      </w:r>
      <w:r>
        <w:rPr>
          <w:spacing w:val="3"/>
        </w:rPr>
        <w:t xml:space="preserve">usinas siderúrgicas </w:t>
      </w:r>
      <w:r>
        <w:t xml:space="preserve">e </w:t>
      </w:r>
      <w:r>
        <w:rPr>
          <w:spacing w:val="5"/>
        </w:rPr>
        <w:t xml:space="preserve">duas </w:t>
      </w:r>
      <w:r>
        <w:rPr>
          <w:spacing w:val="3"/>
        </w:rPr>
        <w:t xml:space="preserve">guseiras [empresas </w:t>
      </w:r>
      <w:r>
        <w:rPr>
          <w:spacing w:val="2"/>
        </w:rPr>
        <w:t xml:space="preserve">que </w:t>
      </w:r>
      <w:r>
        <w:rPr>
          <w:spacing w:val="3"/>
        </w:rPr>
        <w:t xml:space="preserve">transformam </w:t>
      </w:r>
      <w:r>
        <w:t xml:space="preserve">o </w:t>
      </w:r>
      <w:r>
        <w:rPr>
          <w:spacing w:val="3"/>
        </w:rPr>
        <w:t xml:space="preserve">minério </w:t>
      </w:r>
      <w:r>
        <w:rPr>
          <w:spacing w:val="1"/>
        </w:rPr>
        <w:t xml:space="preserve">em </w:t>
      </w:r>
      <w:r>
        <w:rPr>
          <w:spacing w:val="5"/>
        </w:rPr>
        <w:t xml:space="preserve">ferro- </w:t>
      </w:r>
      <w:r>
        <w:rPr>
          <w:spacing w:val="3"/>
        </w:rPr>
        <w:t xml:space="preserve">gusa, matéria prima </w:t>
      </w:r>
      <w:r>
        <w:rPr>
          <w:spacing w:val="2"/>
        </w:rPr>
        <w:t xml:space="preserve">para </w:t>
      </w:r>
      <w:r>
        <w:t xml:space="preserve">a </w:t>
      </w:r>
      <w:r>
        <w:rPr>
          <w:spacing w:val="3"/>
        </w:rPr>
        <w:t xml:space="preserve">produção </w:t>
      </w:r>
      <w:r>
        <w:rPr>
          <w:spacing w:val="1"/>
        </w:rPr>
        <w:t xml:space="preserve">de </w:t>
      </w:r>
      <w:r>
        <w:rPr>
          <w:spacing w:val="3"/>
        </w:rPr>
        <w:t xml:space="preserve">aço], </w:t>
      </w:r>
      <w:r>
        <w:rPr>
          <w:spacing w:val="1"/>
        </w:rPr>
        <w:t xml:space="preserve">na </w:t>
      </w:r>
      <w:r>
        <w:rPr>
          <w:spacing w:val="5"/>
        </w:rPr>
        <w:t xml:space="preserve">capital </w:t>
      </w:r>
      <w:r>
        <w:rPr>
          <w:spacing w:val="8"/>
        </w:rPr>
        <w:t xml:space="preserve">maranhense (ALMEIDA, </w:t>
      </w:r>
      <w:r>
        <w:rPr>
          <w:spacing w:val="7"/>
        </w:rPr>
        <w:t xml:space="preserve">2005; </w:t>
      </w:r>
      <w:r>
        <w:rPr>
          <w:spacing w:val="8"/>
        </w:rPr>
        <w:t xml:space="preserve">SANTANA, </w:t>
      </w:r>
      <w:r>
        <w:rPr>
          <w:spacing w:val="7"/>
        </w:rPr>
        <w:t>2005</w:t>
      </w:r>
      <w:r>
        <w:rPr>
          <w:spacing w:val="58"/>
        </w:rPr>
        <w:t xml:space="preserve"> </w:t>
      </w:r>
      <w:r>
        <w:rPr>
          <w:spacing w:val="10"/>
        </w:rPr>
        <w:t>apud</w:t>
      </w:r>
    </w:p>
    <w:p w:rsidR="00D81F69" w:rsidRDefault="00330118">
      <w:pPr>
        <w:pStyle w:val="Corpodetexto"/>
        <w:spacing w:before="7"/>
      </w:pPr>
      <w:r>
        <w:t>MILANEZ; PORTO, 2008).</w:t>
      </w:r>
    </w:p>
    <w:p w:rsidR="00D81F69" w:rsidRDefault="00D81F69">
      <w:pPr>
        <w:pStyle w:val="Corpodetexto"/>
        <w:spacing w:before="9"/>
        <w:ind w:left="0"/>
        <w:jc w:val="left"/>
        <w:rPr>
          <w:sz w:val="16"/>
        </w:rPr>
      </w:pPr>
    </w:p>
    <w:p w:rsidR="00D81F69" w:rsidRDefault="00330118">
      <w:pPr>
        <w:pStyle w:val="Corpodetexto"/>
        <w:spacing w:line="312" w:lineRule="auto"/>
        <w:ind w:right="42"/>
      </w:pPr>
      <w:r>
        <w:t xml:space="preserve">O </w:t>
      </w:r>
      <w:r>
        <w:rPr>
          <w:spacing w:val="2"/>
        </w:rPr>
        <w:t xml:space="preserve">polo </w:t>
      </w:r>
      <w:r>
        <w:rPr>
          <w:spacing w:val="3"/>
        </w:rPr>
        <w:t xml:space="preserve">constituiria </w:t>
      </w:r>
      <w:r>
        <w:rPr>
          <w:spacing w:val="1"/>
        </w:rPr>
        <w:t xml:space="preserve">um </w:t>
      </w:r>
      <w:r>
        <w:rPr>
          <w:spacing w:val="3"/>
        </w:rPr>
        <w:t xml:space="preserve">desdobramento </w:t>
      </w:r>
      <w:r>
        <w:rPr>
          <w:spacing w:val="1"/>
        </w:rPr>
        <w:t xml:space="preserve">do </w:t>
      </w:r>
      <w:r>
        <w:rPr>
          <w:spacing w:val="3"/>
        </w:rPr>
        <w:t xml:space="preserve">Projeto </w:t>
      </w:r>
      <w:r>
        <w:rPr>
          <w:spacing w:val="5"/>
        </w:rPr>
        <w:t xml:space="preserve">Grande </w:t>
      </w:r>
      <w:r>
        <w:t xml:space="preserve">Carajás, que visa criar, explorar e comercializar as jazidas de minério de </w:t>
      </w:r>
      <w:hyperlink r:id="rId770">
        <w:r>
          <w:t xml:space="preserve">ferro </w:t>
        </w:r>
      </w:hyperlink>
      <w:r>
        <w:t xml:space="preserve">localizadas na região de Marabá, no sul do estado do Pará, pois seria composto de usinas siderúrgicas destinadas ao beneficiamento em larga escala da produção  do minério obtido no sul do Pará. O empreendimento teria a </w:t>
      </w:r>
      <w:r>
        <w:rPr>
          <w:spacing w:val="5"/>
        </w:rPr>
        <w:t xml:space="preserve">vantagem </w:t>
      </w:r>
      <w:r>
        <w:rPr>
          <w:spacing w:val="2"/>
        </w:rPr>
        <w:t xml:space="preserve">de </w:t>
      </w:r>
      <w:r>
        <w:rPr>
          <w:spacing w:val="5"/>
        </w:rPr>
        <w:t xml:space="preserve">minorar </w:t>
      </w:r>
      <w:r>
        <w:rPr>
          <w:spacing w:val="2"/>
        </w:rPr>
        <w:t xml:space="preserve">os </w:t>
      </w:r>
      <w:r>
        <w:rPr>
          <w:spacing w:val="5"/>
        </w:rPr>
        <w:t xml:space="preserve">custos </w:t>
      </w:r>
      <w:r>
        <w:rPr>
          <w:spacing w:val="3"/>
        </w:rPr>
        <w:t>c</w:t>
      </w:r>
      <w:r>
        <w:rPr>
          <w:spacing w:val="3"/>
        </w:rPr>
        <w:t xml:space="preserve">om </w:t>
      </w:r>
      <w:r>
        <w:rPr>
          <w:spacing w:val="5"/>
        </w:rPr>
        <w:t xml:space="preserve">transporte, </w:t>
      </w:r>
      <w:r>
        <w:rPr>
          <w:spacing w:val="3"/>
        </w:rPr>
        <w:t xml:space="preserve">pois </w:t>
      </w:r>
      <w:r>
        <w:rPr>
          <w:spacing w:val="5"/>
        </w:rPr>
        <w:t xml:space="preserve">se </w:t>
      </w:r>
      <w:r>
        <w:t xml:space="preserve">localizaria nas proximidades do Porto de Itaqui, equipado para </w:t>
      </w:r>
      <w:r>
        <w:rPr>
          <w:spacing w:val="10"/>
        </w:rPr>
        <w:t xml:space="preserve">exportação, </w:t>
      </w:r>
      <w:r>
        <w:rPr>
          <w:spacing w:val="5"/>
        </w:rPr>
        <w:t xml:space="preserve">em </w:t>
      </w:r>
      <w:r>
        <w:rPr>
          <w:spacing w:val="8"/>
        </w:rPr>
        <w:t xml:space="preserve">grande escala, </w:t>
      </w:r>
      <w:r>
        <w:rPr>
          <w:spacing w:val="5"/>
        </w:rPr>
        <w:t xml:space="preserve">de </w:t>
      </w:r>
      <w:r>
        <w:rPr>
          <w:spacing w:val="8"/>
        </w:rPr>
        <w:t xml:space="preserve">minérios, </w:t>
      </w:r>
      <w:r>
        <w:rPr>
          <w:spacing w:val="5"/>
        </w:rPr>
        <w:t xml:space="preserve">de </w:t>
      </w:r>
      <w:r>
        <w:rPr>
          <w:spacing w:val="10"/>
        </w:rPr>
        <w:t xml:space="preserve">seus </w:t>
      </w:r>
      <w:r>
        <w:rPr>
          <w:spacing w:val="5"/>
        </w:rPr>
        <w:t xml:space="preserve">derivados </w:t>
      </w:r>
      <w:r>
        <w:t xml:space="preserve">e </w:t>
      </w:r>
      <w:r>
        <w:rPr>
          <w:spacing w:val="2"/>
        </w:rPr>
        <w:t xml:space="preserve">de </w:t>
      </w:r>
      <w:r>
        <w:rPr>
          <w:spacing w:val="5"/>
        </w:rPr>
        <w:t xml:space="preserve">produtos agrícolas (SANT'ANA </w:t>
      </w:r>
      <w:r>
        <w:rPr>
          <w:spacing w:val="6"/>
        </w:rPr>
        <w:t>JÚNIOR, 2006).</w:t>
      </w:r>
    </w:p>
    <w:p w:rsidR="00D81F69" w:rsidRDefault="00330118">
      <w:pPr>
        <w:pStyle w:val="Corpodetexto"/>
        <w:spacing w:before="140" w:line="312" w:lineRule="auto"/>
        <w:ind w:right="38"/>
      </w:pPr>
      <w:r>
        <w:t>De acordo com o projeto, o polo teria capacidade de produzir</w:t>
      </w:r>
      <w:r>
        <w:t xml:space="preserve"> cerca de 22,5 milhões de toneladas de aço por ano, principalmente produto semiacabado para a exportação (ALMEIDA, 2005; SANTANA, 2005 apud MILANEZ; PORTO,</w:t>
      </w:r>
    </w:p>
    <w:p w:rsidR="00D81F69" w:rsidRDefault="00330118">
      <w:pPr>
        <w:pStyle w:val="Corpodetexto"/>
        <w:spacing w:before="4" w:line="312" w:lineRule="auto"/>
        <w:ind w:right="66"/>
      </w:pPr>
      <w:r>
        <w:t xml:space="preserve">2008). Isso faria do estado do Maranhão o principal produtor de aço do país (MILANEZ; PORTO, 2008). </w:t>
      </w:r>
      <w:r>
        <w:t xml:space="preserve">Em 2007, existiam no Maranhão sete companhias do setor, todas voltadas para  a exportação, mas nenhuma delas produzindo aço, </w:t>
      </w:r>
      <w:r>
        <w:rPr>
          <w:spacing w:val="1"/>
        </w:rPr>
        <w:t xml:space="preserve">apenas </w:t>
      </w:r>
      <w:r>
        <w:t>ferro-gusa: cerca de 1,6 milhão de toneladas anuais (DIÁRIO COMÉRCIO INDÚSTRIA E SERVIÇOS,</w:t>
      </w:r>
      <w:r>
        <w:rPr>
          <w:spacing w:val="27"/>
        </w:rPr>
        <w:t xml:space="preserve"> </w:t>
      </w:r>
      <w:r>
        <w:t>2007).</w:t>
      </w:r>
    </w:p>
    <w:p w:rsidR="00D81F69" w:rsidRDefault="00330118">
      <w:pPr>
        <w:pStyle w:val="Corpodetexto"/>
        <w:spacing w:before="136" w:line="312" w:lineRule="auto"/>
        <w:ind w:right="61"/>
      </w:pPr>
      <w:r>
        <w:t>O polo siderúrgico, que se</w:t>
      </w:r>
      <w:r>
        <w:t xml:space="preserve">ria construído em parceria com a empresa chinesa Baosteel, se localizaria a seis quilômetros </w:t>
      </w:r>
      <w:r>
        <w:rPr>
          <w:spacing w:val="1"/>
        </w:rPr>
        <w:t xml:space="preserve">do </w:t>
      </w:r>
      <w:r>
        <w:rPr>
          <w:spacing w:val="3"/>
        </w:rPr>
        <w:t xml:space="preserve">centro </w:t>
      </w:r>
      <w:r>
        <w:rPr>
          <w:spacing w:val="1"/>
        </w:rPr>
        <w:t xml:space="preserve">da </w:t>
      </w:r>
      <w:r>
        <w:rPr>
          <w:spacing w:val="3"/>
        </w:rPr>
        <w:t xml:space="preserve">cidade </w:t>
      </w:r>
      <w:r>
        <w:rPr>
          <w:spacing w:val="1"/>
        </w:rPr>
        <w:t xml:space="preserve">de </w:t>
      </w:r>
      <w:r>
        <w:rPr>
          <w:spacing w:val="2"/>
        </w:rPr>
        <w:t xml:space="preserve">São </w:t>
      </w:r>
      <w:r>
        <w:rPr>
          <w:spacing w:val="3"/>
        </w:rPr>
        <w:t xml:space="preserve">Luís, </w:t>
      </w:r>
      <w:r>
        <w:rPr>
          <w:spacing w:val="1"/>
        </w:rPr>
        <w:t xml:space="preserve">em </w:t>
      </w:r>
      <w:r>
        <w:rPr>
          <w:spacing w:val="2"/>
        </w:rPr>
        <w:t xml:space="preserve">uma área </w:t>
      </w:r>
      <w:r>
        <w:rPr>
          <w:spacing w:val="1"/>
        </w:rPr>
        <w:t xml:space="preserve">de </w:t>
      </w:r>
      <w:r>
        <w:rPr>
          <w:spacing w:val="5"/>
        </w:rPr>
        <w:t xml:space="preserve">2.471 </w:t>
      </w:r>
      <w:r>
        <w:t xml:space="preserve">hectares (ha) (MILANEZ; PORTO, 2008), que ia do Porto do </w:t>
      </w:r>
      <w:r>
        <w:rPr>
          <w:spacing w:val="5"/>
        </w:rPr>
        <w:t>Itaqui</w:t>
      </w:r>
      <w:r>
        <w:rPr>
          <w:spacing w:val="47"/>
        </w:rPr>
        <w:t xml:space="preserve"> </w:t>
      </w:r>
      <w:r>
        <w:rPr>
          <w:spacing w:val="5"/>
        </w:rPr>
        <w:t>até</w:t>
      </w:r>
      <w:r>
        <w:rPr>
          <w:spacing w:val="47"/>
        </w:rPr>
        <w:t xml:space="preserve"> </w:t>
      </w:r>
      <w:r>
        <w:t>a</w:t>
      </w:r>
      <w:r>
        <w:rPr>
          <w:spacing w:val="47"/>
        </w:rPr>
        <w:t xml:space="preserve"> </w:t>
      </w:r>
      <w:r>
        <w:rPr>
          <w:spacing w:val="6"/>
        </w:rPr>
        <w:t>Cabeceira</w:t>
      </w:r>
      <w:r>
        <w:rPr>
          <w:spacing w:val="47"/>
        </w:rPr>
        <w:t xml:space="preserve"> </w:t>
      </w:r>
      <w:r>
        <w:rPr>
          <w:spacing w:val="3"/>
        </w:rPr>
        <w:t>do</w:t>
      </w:r>
      <w:r>
        <w:rPr>
          <w:spacing w:val="47"/>
        </w:rPr>
        <w:t xml:space="preserve"> </w:t>
      </w:r>
      <w:r>
        <w:rPr>
          <w:spacing w:val="6"/>
        </w:rPr>
        <w:t>Arapapaí,</w:t>
      </w:r>
      <w:r>
        <w:rPr>
          <w:spacing w:val="47"/>
        </w:rPr>
        <w:t xml:space="preserve"> </w:t>
      </w:r>
      <w:r>
        <w:rPr>
          <w:spacing w:val="3"/>
        </w:rPr>
        <w:t>na</w:t>
      </w:r>
      <w:r>
        <w:rPr>
          <w:spacing w:val="47"/>
        </w:rPr>
        <w:t xml:space="preserve"> </w:t>
      </w:r>
      <w:r>
        <w:rPr>
          <w:spacing w:val="5"/>
        </w:rPr>
        <w:t>Vila</w:t>
      </w:r>
      <w:r>
        <w:rPr>
          <w:spacing w:val="47"/>
        </w:rPr>
        <w:t xml:space="preserve"> </w:t>
      </w:r>
      <w:r>
        <w:rPr>
          <w:spacing w:val="7"/>
        </w:rPr>
        <w:t>Maranhão</w:t>
      </w:r>
    </w:p>
    <w:p w:rsidR="00D81F69" w:rsidRDefault="00330118">
      <w:pPr>
        <w:pStyle w:val="Corpodetexto"/>
        <w:spacing w:before="135" w:line="312" w:lineRule="auto"/>
        <w:ind w:right="179"/>
      </w:pPr>
      <w:r>
        <w:br w:type="column"/>
      </w:r>
      <w:r>
        <w:lastRenderedPageBreak/>
        <w:t xml:space="preserve">Visando viabilizar tal deslocamento, o governo do estado e a </w:t>
      </w:r>
      <w:r>
        <w:rPr>
          <w:spacing w:val="5"/>
        </w:rPr>
        <w:t xml:space="preserve">Vale </w:t>
      </w:r>
      <w:r>
        <w:rPr>
          <w:spacing w:val="6"/>
        </w:rPr>
        <w:t xml:space="preserve">contrataram </w:t>
      </w:r>
      <w:r>
        <w:t xml:space="preserve">a </w:t>
      </w:r>
      <w:r>
        <w:rPr>
          <w:spacing w:val="5"/>
        </w:rPr>
        <w:t xml:space="preserve">empresa </w:t>
      </w:r>
      <w:r>
        <w:rPr>
          <w:spacing w:val="6"/>
        </w:rPr>
        <w:t xml:space="preserve">paulista Diagonal </w:t>
      </w:r>
      <w:r>
        <w:rPr>
          <w:spacing w:val="7"/>
        </w:rPr>
        <w:t xml:space="preserve">Urbana </w:t>
      </w:r>
      <w:r>
        <w:t xml:space="preserve">Consultoria Ltda. para fazer o Diagnóstico Socioorganizativo </w:t>
      </w:r>
      <w:r>
        <w:rPr>
          <w:spacing w:val="5"/>
        </w:rPr>
        <w:t xml:space="preserve">da </w:t>
      </w:r>
      <w:r>
        <w:rPr>
          <w:spacing w:val="7"/>
        </w:rPr>
        <w:t xml:space="preserve">área. </w:t>
      </w:r>
      <w:r>
        <w:t xml:space="preserve">A </w:t>
      </w:r>
      <w:r>
        <w:rPr>
          <w:spacing w:val="7"/>
        </w:rPr>
        <w:t xml:space="preserve">Diagonal entrou </w:t>
      </w:r>
      <w:r>
        <w:rPr>
          <w:spacing w:val="5"/>
        </w:rPr>
        <w:t xml:space="preserve">em </w:t>
      </w:r>
      <w:r>
        <w:rPr>
          <w:spacing w:val="7"/>
        </w:rPr>
        <w:t xml:space="preserve">contato direto </w:t>
      </w:r>
      <w:r>
        <w:rPr>
          <w:spacing w:val="5"/>
        </w:rPr>
        <w:t xml:space="preserve">com </w:t>
      </w:r>
      <w:r>
        <w:rPr>
          <w:spacing w:val="10"/>
        </w:rPr>
        <w:t xml:space="preserve">os </w:t>
      </w:r>
      <w:r>
        <w:t xml:space="preserve">moradores, levantou dados e chegou a marcar as casas das </w:t>
      </w:r>
      <w:r>
        <w:rPr>
          <w:spacing w:val="3"/>
        </w:rPr>
        <w:t xml:space="preserve">famílias </w:t>
      </w:r>
      <w:r>
        <w:rPr>
          <w:spacing w:val="2"/>
        </w:rPr>
        <w:t xml:space="preserve">que </w:t>
      </w:r>
      <w:r>
        <w:rPr>
          <w:spacing w:val="3"/>
        </w:rPr>
        <w:t xml:space="preserve">deveriam </w:t>
      </w:r>
      <w:r>
        <w:rPr>
          <w:spacing w:val="2"/>
        </w:rPr>
        <w:t xml:space="preserve">ser </w:t>
      </w:r>
      <w:r>
        <w:rPr>
          <w:spacing w:val="3"/>
        </w:rPr>
        <w:t xml:space="preserve">deslocadas </w:t>
      </w:r>
      <w:r>
        <w:rPr>
          <w:spacing w:val="2"/>
        </w:rPr>
        <w:t xml:space="preserve">(com </w:t>
      </w:r>
      <w:r>
        <w:rPr>
          <w:spacing w:val="3"/>
        </w:rPr>
        <w:t xml:space="preserve">exceção </w:t>
      </w:r>
      <w:r>
        <w:rPr>
          <w:spacing w:val="5"/>
        </w:rPr>
        <w:t xml:space="preserve">dos </w:t>
      </w:r>
      <w:r>
        <w:rPr>
          <w:spacing w:val="6"/>
        </w:rPr>
        <w:t xml:space="preserve">povoados </w:t>
      </w:r>
      <w:r>
        <w:rPr>
          <w:spacing w:val="3"/>
        </w:rPr>
        <w:t xml:space="preserve">de </w:t>
      </w:r>
      <w:r>
        <w:rPr>
          <w:spacing w:val="5"/>
        </w:rPr>
        <w:t xml:space="preserve">Rio dos </w:t>
      </w:r>
      <w:r>
        <w:rPr>
          <w:spacing w:val="6"/>
        </w:rPr>
        <w:t xml:space="preserve">Cachorros </w:t>
      </w:r>
      <w:r>
        <w:t xml:space="preserve">e </w:t>
      </w:r>
      <w:r>
        <w:rPr>
          <w:spacing w:val="5"/>
        </w:rPr>
        <w:t xml:space="preserve">Taim, nos quais </w:t>
      </w:r>
      <w:r>
        <w:rPr>
          <w:spacing w:val="7"/>
        </w:rPr>
        <w:t xml:space="preserve">os </w:t>
      </w:r>
      <w:r>
        <w:rPr>
          <w:spacing w:val="16"/>
        </w:rPr>
        <w:t xml:space="preserve">moradores </w:t>
      </w:r>
      <w:r>
        <w:rPr>
          <w:spacing w:val="17"/>
        </w:rPr>
        <w:t xml:space="preserve">resistiram </w:t>
      </w:r>
      <w:r>
        <w:t xml:space="preserve">e </w:t>
      </w:r>
      <w:r>
        <w:rPr>
          <w:spacing w:val="16"/>
        </w:rPr>
        <w:t xml:space="preserve">impediram </w:t>
      </w:r>
      <w:r>
        <w:t xml:space="preserve">a </w:t>
      </w:r>
      <w:r>
        <w:rPr>
          <w:spacing w:val="17"/>
        </w:rPr>
        <w:t xml:space="preserve">marcação). </w:t>
      </w:r>
      <w:r>
        <w:t>Paralelamente, a Vale instalou uma draga na prai</w:t>
      </w:r>
      <w:r>
        <w:t xml:space="preserve">a próxima  </w:t>
      </w:r>
      <w:r>
        <w:rPr>
          <w:spacing w:val="1"/>
        </w:rPr>
        <w:t xml:space="preserve">ao </w:t>
      </w:r>
      <w:r>
        <w:rPr>
          <w:spacing w:val="3"/>
        </w:rPr>
        <w:t xml:space="preserve">Povoado </w:t>
      </w:r>
      <w:r>
        <w:rPr>
          <w:spacing w:val="1"/>
        </w:rPr>
        <w:t xml:space="preserve">do </w:t>
      </w:r>
      <w:r>
        <w:rPr>
          <w:spacing w:val="3"/>
        </w:rPr>
        <w:t xml:space="preserve">Cajueiro, </w:t>
      </w:r>
      <w:r>
        <w:rPr>
          <w:spacing w:val="2"/>
        </w:rPr>
        <w:t xml:space="preserve">que </w:t>
      </w:r>
      <w:r>
        <w:rPr>
          <w:spacing w:val="3"/>
        </w:rPr>
        <w:t xml:space="preserve">retirava areia </w:t>
      </w:r>
      <w:r>
        <w:rPr>
          <w:spacing w:val="1"/>
        </w:rPr>
        <w:t xml:space="preserve">do </w:t>
      </w:r>
      <w:r>
        <w:rPr>
          <w:spacing w:val="3"/>
        </w:rPr>
        <w:t xml:space="preserve">local </w:t>
      </w:r>
      <w:r>
        <w:rPr>
          <w:spacing w:val="5"/>
        </w:rPr>
        <w:t xml:space="preserve">para aumentar </w:t>
      </w:r>
      <w:r>
        <w:t xml:space="preserve">a </w:t>
      </w:r>
      <w:r>
        <w:rPr>
          <w:spacing w:val="5"/>
        </w:rPr>
        <w:t xml:space="preserve">profundidade </w:t>
      </w:r>
      <w:r>
        <w:rPr>
          <w:spacing w:val="3"/>
        </w:rPr>
        <w:t xml:space="preserve">das </w:t>
      </w:r>
      <w:r>
        <w:rPr>
          <w:spacing w:val="5"/>
        </w:rPr>
        <w:t xml:space="preserve">águas. Esta draga </w:t>
      </w:r>
      <w:r>
        <w:rPr>
          <w:spacing w:val="6"/>
        </w:rPr>
        <w:t xml:space="preserve">trouxe </w:t>
      </w:r>
      <w:r>
        <w:rPr>
          <w:spacing w:val="5"/>
        </w:rPr>
        <w:t xml:space="preserve">problemas </w:t>
      </w:r>
      <w:r>
        <w:t xml:space="preserve">e </w:t>
      </w:r>
      <w:r>
        <w:rPr>
          <w:spacing w:val="5"/>
        </w:rPr>
        <w:t xml:space="preserve">prejuízos para </w:t>
      </w:r>
      <w:r>
        <w:rPr>
          <w:spacing w:val="2"/>
        </w:rPr>
        <w:t xml:space="preserve">os </w:t>
      </w:r>
      <w:r>
        <w:rPr>
          <w:spacing w:val="5"/>
        </w:rPr>
        <w:t xml:space="preserve">pescadores </w:t>
      </w:r>
      <w:r>
        <w:rPr>
          <w:spacing w:val="2"/>
        </w:rPr>
        <w:t xml:space="preserve">do </w:t>
      </w:r>
      <w:r>
        <w:rPr>
          <w:spacing w:val="6"/>
        </w:rPr>
        <w:t xml:space="preserve">povoado, </w:t>
      </w:r>
      <w:r>
        <w:rPr>
          <w:spacing w:val="3"/>
        </w:rPr>
        <w:t xml:space="preserve">aumentando </w:t>
      </w:r>
      <w:r>
        <w:t xml:space="preserve">a </w:t>
      </w:r>
      <w:r>
        <w:rPr>
          <w:spacing w:val="3"/>
        </w:rPr>
        <w:t xml:space="preserve">sensação </w:t>
      </w:r>
      <w:r>
        <w:rPr>
          <w:spacing w:val="1"/>
        </w:rPr>
        <w:t xml:space="preserve">de </w:t>
      </w:r>
      <w:r>
        <w:rPr>
          <w:spacing w:val="3"/>
        </w:rPr>
        <w:t xml:space="preserve">insegurança </w:t>
      </w:r>
      <w:r>
        <w:rPr>
          <w:spacing w:val="2"/>
        </w:rPr>
        <w:t xml:space="preserve">com </w:t>
      </w:r>
      <w:r>
        <w:rPr>
          <w:spacing w:val="3"/>
        </w:rPr>
        <w:t xml:space="preserve">relação </w:t>
      </w:r>
      <w:r>
        <w:rPr>
          <w:spacing w:val="5"/>
        </w:rPr>
        <w:t xml:space="preserve">às </w:t>
      </w:r>
      <w:r>
        <w:rPr>
          <w:spacing w:val="8"/>
        </w:rPr>
        <w:t xml:space="preserve">possibilidades </w:t>
      </w:r>
      <w:r>
        <w:rPr>
          <w:spacing w:val="5"/>
        </w:rPr>
        <w:t xml:space="preserve">da </w:t>
      </w:r>
      <w:r>
        <w:rPr>
          <w:spacing w:val="8"/>
        </w:rPr>
        <w:t xml:space="preserve">permanência </w:t>
      </w:r>
      <w:r>
        <w:rPr>
          <w:spacing w:val="5"/>
        </w:rPr>
        <w:t xml:space="preserve">da </w:t>
      </w:r>
      <w:r>
        <w:rPr>
          <w:spacing w:val="7"/>
        </w:rPr>
        <w:t xml:space="preserve">população </w:t>
      </w:r>
      <w:r>
        <w:rPr>
          <w:spacing w:val="5"/>
        </w:rPr>
        <w:t xml:space="preserve">no </w:t>
      </w:r>
      <w:r>
        <w:rPr>
          <w:spacing w:val="10"/>
        </w:rPr>
        <w:t xml:space="preserve">local </w:t>
      </w:r>
      <w:r>
        <w:rPr>
          <w:spacing w:val="7"/>
        </w:rPr>
        <w:t>(SANT'ANA JÚNIOR,</w:t>
      </w:r>
      <w:r>
        <w:rPr>
          <w:spacing w:val="33"/>
        </w:rPr>
        <w:t xml:space="preserve"> </w:t>
      </w:r>
      <w:r>
        <w:rPr>
          <w:spacing w:val="10"/>
        </w:rPr>
        <w:t>2006).</w:t>
      </w:r>
    </w:p>
    <w:p w:rsidR="00D81F69" w:rsidRDefault="00330118">
      <w:pPr>
        <w:pStyle w:val="Corpodetexto"/>
        <w:spacing w:before="144" w:line="312" w:lineRule="auto"/>
        <w:ind w:right="189"/>
      </w:pPr>
      <w:r>
        <w:rPr>
          <w:spacing w:val="7"/>
        </w:rPr>
        <w:t xml:space="preserve">Outro empecilho </w:t>
      </w:r>
      <w:r>
        <w:rPr>
          <w:spacing w:val="5"/>
        </w:rPr>
        <w:t xml:space="preserve">era </w:t>
      </w:r>
      <w:r>
        <w:t xml:space="preserve">o </w:t>
      </w:r>
      <w:r>
        <w:rPr>
          <w:spacing w:val="6"/>
        </w:rPr>
        <w:t xml:space="preserve">fato </w:t>
      </w:r>
      <w:r>
        <w:rPr>
          <w:spacing w:val="5"/>
        </w:rPr>
        <w:t xml:space="preserve">de </w:t>
      </w:r>
      <w:r>
        <w:t xml:space="preserve">a </w:t>
      </w:r>
      <w:r>
        <w:rPr>
          <w:spacing w:val="6"/>
        </w:rPr>
        <w:t xml:space="preserve">área </w:t>
      </w:r>
      <w:r>
        <w:rPr>
          <w:spacing w:val="7"/>
        </w:rPr>
        <w:t xml:space="preserve">prevista </w:t>
      </w:r>
      <w:r>
        <w:rPr>
          <w:spacing w:val="6"/>
        </w:rPr>
        <w:t xml:space="preserve">para </w:t>
      </w:r>
      <w:r>
        <w:t xml:space="preserve">o </w:t>
      </w:r>
      <w:r>
        <w:rPr>
          <w:spacing w:val="3"/>
        </w:rPr>
        <w:t xml:space="preserve">empreendimento estar situada </w:t>
      </w:r>
      <w:r>
        <w:rPr>
          <w:spacing w:val="1"/>
        </w:rPr>
        <w:t xml:space="preserve">na </w:t>
      </w:r>
      <w:r>
        <w:rPr>
          <w:spacing w:val="2"/>
        </w:rPr>
        <w:t xml:space="preserve">Zona </w:t>
      </w:r>
      <w:r>
        <w:rPr>
          <w:spacing w:val="3"/>
        </w:rPr>
        <w:t xml:space="preserve">Rural </w:t>
      </w:r>
      <w:r>
        <w:rPr>
          <w:spacing w:val="1"/>
        </w:rPr>
        <w:t xml:space="preserve">II da </w:t>
      </w:r>
      <w:r>
        <w:rPr>
          <w:spacing w:val="5"/>
        </w:rPr>
        <w:t xml:space="preserve">capital maranhense, </w:t>
      </w:r>
      <w:r>
        <w:rPr>
          <w:spacing w:val="2"/>
        </w:rPr>
        <w:t xml:space="preserve">em </w:t>
      </w:r>
      <w:r>
        <w:rPr>
          <w:spacing w:val="5"/>
        </w:rPr>
        <w:t xml:space="preserve">desacordo </w:t>
      </w:r>
      <w:r>
        <w:rPr>
          <w:spacing w:val="3"/>
        </w:rPr>
        <w:t xml:space="preserve">com </w:t>
      </w:r>
      <w:r>
        <w:t xml:space="preserve">a </w:t>
      </w:r>
      <w:r>
        <w:rPr>
          <w:spacing w:val="3"/>
        </w:rPr>
        <w:t xml:space="preserve">Lei </w:t>
      </w:r>
      <w:r>
        <w:rPr>
          <w:spacing w:val="2"/>
        </w:rPr>
        <w:t xml:space="preserve">de </w:t>
      </w:r>
      <w:r>
        <w:rPr>
          <w:spacing w:val="6"/>
        </w:rPr>
        <w:t xml:space="preserve">Zoneamento, </w:t>
      </w:r>
      <w:r>
        <w:t xml:space="preserve">Parcelamento, Uso e Ocupação do Solo do Município de São </w:t>
      </w:r>
      <w:r>
        <w:rPr>
          <w:spacing w:val="11"/>
        </w:rPr>
        <w:t xml:space="preserve">Luís, </w:t>
      </w:r>
      <w:r>
        <w:rPr>
          <w:spacing w:val="6"/>
        </w:rPr>
        <w:t xml:space="preserve">em </w:t>
      </w:r>
      <w:r>
        <w:rPr>
          <w:spacing w:val="11"/>
        </w:rPr>
        <w:t xml:space="preserve">vigor desde 1992, </w:t>
      </w:r>
      <w:r>
        <w:t xml:space="preserve">a </w:t>
      </w:r>
      <w:r>
        <w:rPr>
          <w:spacing w:val="10"/>
        </w:rPr>
        <w:t xml:space="preserve">qual </w:t>
      </w:r>
      <w:r>
        <w:rPr>
          <w:spacing w:val="12"/>
        </w:rPr>
        <w:t xml:space="preserve">determina </w:t>
      </w:r>
      <w:r>
        <w:rPr>
          <w:spacing w:val="10"/>
        </w:rPr>
        <w:t xml:space="preserve">que </w:t>
      </w:r>
      <w:r>
        <w:t xml:space="preserve">empreendimentos industriais somente podem ser implantados </w:t>
      </w:r>
      <w:r>
        <w:rPr>
          <w:spacing w:val="5"/>
        </w:rPr>
        <w:t xml:space="preserve">em </w:t>
      </w:r>
      <w:r>
        <w:rPr>
          <w:spacing w:val="6"/>
        </w:rPr>
        <w:t xml:space="preserve">Zona </w:t>
      </w:r>
      <w:r>
        <w:rPr>
          <w:spacing w:val="8"/>
        </w:rPr>
        <w:t xml:space="preserve">Industrial. </w:t>
      </w:r>
      <w:r>
        <w:rPr>
          <w:spacing w:val="7"/>
        </w:rPr>
        <w:t xml:space="preserve">Visando eliminar </w:t>
      </w:r>
      <w:r>
        <w:t xml:space="preserve">a </w:t>
      </w:r>
      <w:r>
        <w:rPr>
          <w:spacing w:val="8"/>
        </w:rPr>
        <w:t xml:space="preserve">dificuldade, </w:t>
      </w:r>
      <w:r>
        <w:t>a Prefeitura de São Luís encaminhou à Câm</w:t>
      </w:r>
      <w:r>
        <w:t xml:space="preserve">ara Municipal um projeto de alteração desta lei, convertendo a área em Zona </w:t>
      </w:r>
      <w:r>
        <w:rPr>
          <w:spacing w:val="3"/>
        </w:rPr>
        <w:t xml:space="preserve">Industrial. </w:t>
      </w:r>
      <w:r>
        <w:rPr>
          <w:spacing w:val="2"/>
        </w:rPr>
        <w:t xml:space="preserve">Este </w:t>
      </w:r>
      <w:r>
        <w:rPr>
          <w:spacing w:val="3"/>
        </w:rPr>
        <w:t xml:space="preserve">projeto </w:t>
      </w:r>
      <w:r>
        <w:rPr>
          <w:spacing w:val="1"/>
        </w:rPr>
        <w:t xml:space="preserve">de </w:t>
      </w:r>
      <w:r>
        <w:rPr>
          <w:spacing w:val="2"/>
        </w:rPr>
        <w:t xml:space="preserve">lei </w:t>
      </w:r>
      <w:r>
        <w:rPr>
          <w:spacing w:val="3"/>
        </w:rPr>
        <w:t xml:space="preserve">abriu </w:t>
      </w:r>
      <w:r>
        <w:rPr>
          <w:spacing w:val="2"/>
        </w:rPr>
        <w:t xml:space="preserve">uma </w:t>
      </w:r>
      <w:r>
        <w:rPr>
          <w:spacing w:val="3"/>
        </w:rPr>
        <w:t xml:space="preserve">ampla polêmica </w:t>
      </w:r>
      <w:r>
        <w:t xml:space="preserve">e provocou a realização de audiências públicas e debates no Plenário na Câmara, bem como a mobilização de moradores  e </w:t>
      </w:r>
      <w:r>
        <w:rPr>
          <w:spacing w:val="3"/>
        </w:rPr>
        <w:t xml:space="preserve">de </w:t>
      </w:r>
      <w:r>
        <w:rPr>
          <w:spacing w:val="6"/>
        </w:rPr>
        <w:t>o</w:t>
      </w:r>
      <w:r>
        <w:rPr>
          <w:spacing w:val="6"/>
        </w:rPr>
        <w:t xml:space="preserve">rganizações </w:t>
      </w:r>
      <w:r>
        <w:rPr>
          <w:spacing w:val="5"/>
        </w:rPr>
        <w:t xml:space="preserve">que atuavam </w:t>
      </w:r>
      <w:r>
        <w:rPr>
          <w:spacing w:val="3"/>
        </w:rPr>
        <w:t xml:space="preserve">na </w:t>
      </w:r>
      <w:r>
        <w:rPr>
          <w:spacing w:val="5"/>
        </w:rPr>
        <w:t xml:space="preserve">área, </w:t>
      </w:r>
      <w:r>
        <w:rPr>
          <w:spacing w:val="3"/>
        </w:rPr>
        <w:t xml:space="preserve">de </w:t>
      </w:r>
      <w:r>
        <w:rPr>
          <w:spacing w:val="7"/>
        </w:rPr>
        <w:t xml:space="preserve">entidades </w:t>
      </w:r>
      <w:r>
        <w:t>ambientais e populares, e de entidades empresariais locais. Constituiu-se, assim, um amplo debate público, com posições polarizadas entre os defensores e os contrários à instalação do polo (SANT'ANA JÚNIOR,</w:t>
      </w:r>
      <w:r>
        <w:rPr>
          <w:spacing w:val="45"/>
        </w:rPr>
        <w:t xml:space="preserve"> </w:t>
      </w:r>
      <w:r>
        <w:t>200</w:t>
      </w:r>
      <w:r>
        <w:t>6).</w:t>
      </w:r>
    </w:p>
    <w:p w:rsidR="00D81F69" w:rsidRDefault="00330118">
      <w:pPr>
        <w:pStyle w:val="Corpodetexto"/>
        <w:spacing w:before="82" w:line="270" w:lineRule="atLeast"/>
        <w:ind w:right="208"/>
      </w:pPr>
      <w:r>
        <w:rPr>
          <w:spacing w:val="2"/>
        </w:rPr>
        <w:t xml:space="preserve">As </w:t>
      </w:r>
      <w:r>
        <w:rPr>
          <w:spacing w:val="5"/>
        </w:rPr>
        <w:t xml:space="preserve">comunidades afetadas pela possível implantação </w:t>
      </w:r>
      <w:r>
        <w:rPr>
          <w:spacing w:val="6"/>
        </w:rPr>
        <w:t xml:space="preserve">do </w:t>
      </w:r>
      <w:r>
        <w:rPr>
          <w:spacing w:val="10"/>
        </w:rPr>
        <w:t xml:space="preserve">projeto, juntamente </w:t>
      </w:r>
      <w:r>
        <w:rPr>
          <w:spacing w:val="7"/>
        </w:rPr>
        <w:t xml:space="preserve">com </w:t>
      </w:r>
      <w:r>
        <w:rPr>
          <w:spacing w:val="10"/>
        </w:rPr>
        <w:t xml:space="preserve">entidades </w:t>
      </w:r>
      <w:r>
        <w:rPr>
          <w:spacing w:val="11"/>
        </w:rPr>
        <w:t xml:space="preserve">ambientalistas </w:t>
      </w:r>
      <w:r>
        <w:t xml:space="preserve">e movimentos sociais, criaram em 2004 o movimento </w:t>
      </w:r>
      <w:r>
        <w:rPr>
          <w:spacing w:val="1"/>
        </w:rPr>
        <w:t xml:space="preserve">“Reage </w:t>
      </w:r>
      <w:r>
        <w:t xml:space="preserve">São </w:t>
      </w:r>
      <w:r>
        <w:rPr>
          <w:spacing w:val="1"/>
        </w:rPr>
        <w:t xml:space="preserve">Luís”, buscando defender </w:t>
      </w:r>
      <w:r>
        <w:t xml:space="preserve">os </w:t>
      </w:r>
      <w:r>
        <w:rPr>
          <w:spacing w:val="1"/>
        </w:rPr>
        <w:t xml:space="preserve">interesses </w:t>
      </w:r>
      <w:r>
        <w:t xml:space="preserve">dos </w:t>
      </w:r>
      <w:r>
        <w:rPr>
          <w:spacing w:val="2"/>
        </w:rPr>
        <w:t xml:space="preserve">principais </w:t>
      </w:r>
      <w:r>
        <w:rPr>
          <w:spacing w:val="10"/>
        </w:rPr>
        <w:t xml:space="preserve">prejudicados </w:t>
      </w:r>
      <w:r>
        <w:t xml:space="preserve">e </w:t>
      </w:r>
      <w:r>
        <w:rPr>
          <w:spacing w:val="10"/>
        </w:rPr>
        <w:t xml:space="preserve">construindo </w:t>
      </w:r>
      <w:r>
        <w:rPr>
          <w:spacing w:val="6"/>
        </w:rPr>
        <w:t xml:space="preserve">uma </w:t>
      </w:r>
      <w:r>
        <w:rPr>
          <w:spacing w:val="8"/>
        </w:rPr>
        <w:t>opos</w:t>
      </w:r>
      <w:r>
        <w:rPr>
          <w:spacing w:val="8"/>
        </w:rPr>
        <w:t>ição ferrenha</w:t>
      </w:r>
      <w:r>
        <w:rPr>
          <w:spacing w:val="60"/>
        </w:rPr>
        <w:t xml:space="preserve"> </w:t>
      </w:r>
      <w:r>
        <w:t>à</w:t>
      </w:r>
    </w:p>
    <w:p w:rsidR="00D81F69" w:rsidRDefault="00D81F69">
      <w:pPr>
        <w:spacing w:line="270" w:lineRule="atLeast"/>
        <w:sectPr w:rsidR="00D81F69">
          <w:type w:val="continuous"/>
          <w:pgSz w:w="11900" w:h="16840"/>
          <w:pgMar w:top="720" w:right="500" w:bottom="280" w:left="620" w:header="720" w:footer="720" w:gutter="0"/>
          <w:cols w:num="2" w:space="720" w:equalWidth="0">
            <w:col w:w="5164" w:space="306"/>
            <w:col w:w="5310"/>
          </w:cols>
        </w:sectPr>
      </w:pPr>
    </w:p>
    <w:p w:rsidR="00D81F69" w:rsidRDefault="00330118">
      <w:pPr>
        <w:pStyle w:val="Corpodetexto"/>
        <w:spacing w:before="81"/>
      </w:pPr>
      <w:r>
        <w:lastRenderedPageBreak/>
        <w:t>instalação do polo (MILANEZ; PORTO, 2008).</w:t>
      </w:r>
    </w:p>
    <w:p w:rsidR="00D81F69" w:rsidRDefault="00D81F69">
      <w:pPr>
        <w:pStyle w:val="Corpodetexto"/>
        <w:spacing w:before="9"/>
        <w:ind w:left="0"/>
        <w:jc w:val="left"/>
        <w:rPr>
          <w:sz w:val="16"/>
        </w:rPr>
      </w:pPr>
    </w:p>
    <w:p w:rsidR="00D81F69" w:rsidRDefault="00330118">
      <w:pPr>
        <w:pStyle w:val="Corpodetexto"/>
        <w:spacing w:line="312" w:lineRule="auto"/>
        <w:ind w:right="40"/>
      </w:pPr>
      <w:r>
        <w:t>Dentre os impactos sociais alegados pelos contrários ao empreendimento, estava a remoção de populações rurais, marisqueiros, pescadores artesanais e quilombolas [de suas</w:t>
      </w:r>
      <w:r>
        <w:t xml:space="preserve"> terras] (SANTANA, 2005; CONAMA, 2006 apud MILANEZ;</w:t>
      </w:r>
    </w:p>
    <w:p w:rsidR="00D81F69" w:rsidRDefault="00330118">
      <w:pPr>
        <w:pStyle w:val="Corpodetexto"/>
        <w:spacing w:before="4" w:line="312" w:lineRule="auto"/>
        <w:ind w:right="60"/>
      </w:pPr>
      <w:r>
        <w:t>PORTO, 2008). A população não teria outra área equivalente ao seu espaço físico na ilha de São Luís e, mesmo com a indenização das propriedades e benfeitorias, grande parte terminaria por abandonar a zona rural, indo aumentar o número dos moradores das áre</w:t>
      </w:r>
      <w:r>
        <w:t>as periféricas da grande São Luís (IBAMA, 2006).</w:t>
      </w:r>
    </w:p>
    <w:p w:rsidR="00D81F69" w:rsidRDefault="00330118">
      <w:pPr>
        <w:pStyle w:val="Corpodetexto"/>
        <w:spacing w:before="135" w:line="312" w:lineRule="auto"/>
        <w:ind w:right="43"/>
      </w:pPr>
      <w:r>
        <w:t xml:space="preserve">Do ponto de vista ambiental, o polo siderúrgico de São Luiz consumiria entre 8 e 13 milhões de toneladas de combustível </w:t>
      </w:r>
      <w:r>
        <w:rPr>
          <w:spacing w:val="3"/>
        </w:rPr>
        <w:t xml:space="preserve">fóssil, </w:t>
      </w:r>
      <w:r>
        <w:t xml:space="preserve">e </w:t>
      </w:r>
      <w:r>
        <w:rPr>
          <w:spacing w:val="3"/>
        </w:rPr>
        <w:t xml:space="preserve">necessitaria </w:t>
      </w:r>
      <w:r>
        <w:rPr>
          <w:spacing w:val="1"/>
        </w:rPr>
        <w:t xml:space="preserve">de </w:t>
      </w:r>
      <w:r>
        <w:rPr>
          <w:spacing w:val="3"/>
        </w:rPr>
        <w:t xml:space="preserve">cerca </w:t>
      </w:r>
      <w:r>
        <w:rPr>
          <w:spacing w:val="1"/>
        </w:rPr>
        <w:t xml:space="preserve">de </w:t>
      </w:r>
      <w:r>
        <w:rPr>
          <w:spacing w:val="3"/>
        </w:rPr>
        <w:t xml:space="preserve">2.400 litros </w:t>
      </w:r>
      <w:r>
        <w:rPr>
          <w:spacing w:val="1"/>
        </w:rPr>
        <w:t xml:space="preserve">de </w:t>
      </w:r>
      <w:r>
        <w:rPr>
          <w:spacing w:val="2"/>
        </w:rPr>
        <w:t xml:space="preserve">água </w:t>
      </w:r>
      <w:r>
        <w:rPr>
          <w:spacing w:val="5"/>
        </w:rPr>
        <w:t xml:space="preserve">por </w:t>
      </w:r>
      <w:r>
        <w:t xml:space="preserve">segundo, apesar de estar em uma localidade onde já havia </w:t>
      </w:r>
      <w:r>
        <w:rPr>
          <w:spacing w:val="5"/>
        </w:rPr>
        <w:t xml:space="preserve">problemas </w:t>
      </w:r>
      <w:r>
        <w:rPr>
          <w:spacing w:val="2"/>
        </w:rPr>
        <w:t xml:space="preserve">no </w:t>
      </w:r>
      <w:r>
        <w:rPr>
          <w:spacing w:val="5"/>
        </w:rPr>
        <w:t xml:space="preserve">abastecimento, </w:t>
      </w:r>
      <w:r>
        <w:t xml:space="preserve">e </w:t>
      </w:r>
      <w:r>
        <w:rPr>
          <w:spacing w:val="3"/>
        </w:rPr>
        <w:t xml:space="preserve">cuja </w:t>
      </w:r>
      <w:r>
        <w:rPr>
          <w:spacing w:val="5"/>
        </w:rPr>
        <w:t xml:space="preserve">população somente </w:t>
      </w:r>
      <w:r>
        <w:t>recebia água em dias alternados (MILANEZ; PORTO, 2008). Além disso, emitiria 1,5 toneladas de dióxido de carbono para cada tonelada de aço produzi</w:t>
      </w:r>
      <w:r>
        <w:t xml:space="preserve">da, ecossistema no qual parte </w:t>
      </w:r>
      <w:r>
        <w:rPr>
          <w:spacing w:val="5"/>
        </w:rPr>
        <w:t xml:space="preserve">da </w:t>
      </w:r>
      <w:r>
        <w:rPr>
          <w:spacing w:val="7"/>
        </w:rPr>
        <w:t xml:space="preserve">população explorava </w:t>
      </w:r>
      <w:r>
        <w:rPr>
          <w:spacing w:val="8"/>
        </w:rPr>
        <w:t xml:space="preserve">tradicionalmente </w:t>
      </w:r>
      <w:r>
        <w:rPr>
          <w:spacing w:val="5"/>
        </w:rPr>
        <w:t xml:space="preserve">os </w:t>
      </w:r>
      <w:r>
        <w:rPr>
          <w:spacing w:val="10"/>
        </w:rPr>
        <w:t xml:space="preserve">recursos </w:t>
      </w:r>
      <w:r>
        <w:rPr>
          <w:spacing w:val="8"/>
        </w:rPr>
        <w:t xml:space="preserve">pesqueiros, </w:t>
      </w:r>
      <w:r>
        <w:rPr>
          <w:spacing w:val="7"/>
        </w:rPr>
        <w:t xml:space="preserve">tanto </w:t>
      </w:r>
      <w:r>
        <w:rPr>
          <w:spacing w:val="6"/>
        </w:rPr>
        <w:t xml:space="preserve">para </w:t>
      </w:r>
      <w:r>
        <w:t xml:space="preserve">o </w:t>
      </w:r>
      <w:r>
        <w:rPr>
          <w:spacing w:val="8"/>
        </w:rPr>
        <w:t xml:space="preserve">autoconsumo, </w:t>
      </w:r>
      <w:r>
        <w:rPr>
          <w:spacing w:val="7"/>
        </w:rPr>
        <w:t xml:space="preserve">quanto </w:t>
      </w:r>
      <w:r>
        <w:rPr>
          <w:spacing w:val="6"/>
        </w:rPr>
        <w:t xml:space="preserve">para </w:t>
      </w:r>
      <w:r>
        <w:t xml:space="preserve">a comercialização, e que era uma das áreas de reprodução do </w:t>
      </w:r>
      <w:r>
        <w:rPr>
          <w:spacing w:val="12"/>
        </w:rPr>
        <w:t xml:space="preserve">peixe-boi, </w:t>
      </w:r>
      <w:r>
        <w:rPr>
          <w:spacing w:val="11"/>
        </w:rPr>
        <w:t xml:space="preserve">espécie marinha </w:t>
      </w:r>
      <w:r>
        <w:rPr>
          <w:spacing w:val="12"/>
        </w:rPr>
        <w:t xml:space="preserve">ameaçada </w:t>
      </w:r>
      <w:r>
        <w:rPr>
          <w:spacing w:val="6"/>
        </w:rPr>
        <w:t xml:space="preserve">de </w:t>
      </w:r>
      <w:r>
        <w:rPr>
          <w:spacing w:val="12"/>
        </w:rPr>
        <w:t xml:space="preserve">extinção (SANT'ANA </w:t>
      </w:r>
      <w:r>
        <w:rPr>
          <w:spacing w:val="11"/>
        </w:rPr>
        <w:t>JÚNIOR</w:t>
      </w:r>
      <w:r>
        <w:rPr>
          <w:spacing w:val="11"/>
        </w:rPr>
        <w:t>,</w:t>
      </w:r>
      <w:r>
        <w:rPr>
          <w:spacing w:val="15"/>
        </w:rPr>
        <w:t xml:space="preserve"> </w:t>
      </w:r>
      <w:r>
        <w:rPr>
          <w:spacing w:val="11"/>
        </w:rPr>
        <w:t>2006).</w:t>
      </w:r>
      <w:r>
        <w:rPr>
          <w:spacing w:val="-34"/>
        </w:rPr>
        <w:t xml:space="preserve"> </w:t>
      </w:r>
    </w:p>
    <w:p w:rsidR="00D81F69" w:rsidRDefault="00330118">
      <w:pPr>
        <w:pStyle w:val="Corpodetexto"/>
        <w:spacing w:before="142" w:line="312" w:lineRule="auto"/>
        <w:ind w:right="42"/>
      </w:pPr>
      <w:r>
        <w:t xml:space="preserve">Ainda, para a implementação do projeto, seria necessária a instalação de lagoas de contenção de lama ácida, e, na hipótese de vazamento, estas lagoas poderiam contaminar os mangues. Existia ainda a possibilidade de ocorrer chuva ácida na região, </w:t>
      </w:r>
      <w:r>
        <w:t>causando [mais] danos aos manguezais (IBAMA, 2006).</w:t>
      </w:r>
    </w:p>
    <w:p w:rsidR="00D81F69" w:rsidRDefault="00330118">
      <w:pPr>
        <w:pStyle w:val="Corpodetexto"/>
        <w:spacing w:before="136" w:line="312" w:lineRule="auto"/>
        <w:ind w:right="38"/>
      </w:pPr>
      <w:r>
        <w:t>A pressão de entidades e grupos sociais contrários à implantação do polo levou à alteração do projeto inicial, excluindo as áreas de preservação permanente, constituídas de nascentes e cursos d´água, e re</w:t>
      </w:r>
      <w:r>
        <w:t>duzindo o local do empreendimento para 1.068 ha. Desta forma, o distrito industrial se restringiria à instalação de uma única usina siderúrgica (em vez das três inicialmente previstas) e atingiria apenas o povoado de Cajueiro e parte da Vila Maranhão (SANT</w:t>
      </w:r>
      <w:r>
        <w:t>'ANA JÚNIOR, 2006).</w:t>
      </w:r>
    </w:p>
    <w:p w:rsidR="00D81F69" w:rsidRDefault="00330118">
      <w:pPr>
        <w:pStyle w:val="Corpodetexto"/>
        <w:spacing w:before="138" w:line="312" w:lineRule="auto"/>
        <w:ind w:right="43"/>
      </w:pPr>
      <w:r>
        <w:t xml:space="preserve">Algumas associações de moradores de localidades em vias </w:t>
      </w:r>
      <w:r>
        <w:rPr>
          <w:spacing w:val="2"/>
        </w:rPr>
        <w:t xml:space="preserve">de </w:t>
      </w:r>
      <w:r>
        <w:rPr>
          <w:spacing w:val="3"/>
        </w:rPr>
        <w:t xml:space="preserve">serem </w:t>
      </w:r>
      <w:r>
        <w:rPr>
          <w:spacing w:val="5"/>
        </w:rPr>
        <w:t xml:space="preserve">deslocadas, capitaneadas </w:t>
      </w:r>
      <w:r>
        <w:rPr>
          <w:spacing w:val="3"/>
        </w:rPr>
        <w:t xml:space="preserve">pela </w:t>
      </w:r>
      <w:r>
        <w:rPr>
          <w:spacing w:val="5"/>
        </w:rPr>
        <w:t xml:space="preserve">Associação de </w:t>
      </w:r>
      <w:r>
        <w:t xml:space="preserve">Moradores do Taim, através de abaixo assinado, solicitaram </w:t>
      </w:r>
      <w:r>
        <w:rPr>
          <w:spacing w:val="5"/>
        </w:rPr>
        <w:t xml:space="preserve">também </w:t>
      </w:r>
      <w:r>
        <w:rPr>
          <w:spacing w:val="2"/>
        </w:rPr>
        <w:t xml:space="preserve">ao </w:t>
      </w:r>
      <w:r>
        <w:rPr>
          <w:spacing w:val="5"/>
        </w:rPr>
        <w:t xml:space="preserve">Instituto Brasileiro </w:t>
      </w:r>
      <w:r>
        <w:rPr>
          <w:spacing w:val="2"/>
        </w:rPr>
        <w:t xml:space="preserve">do </w:t>
      </w:r>
      <w:r>
        <w:rPr>
          <w:spacing w:val="5"/>
        </w:rPr>
        <w:t xml:space="preserve">Meio Ambiente </w:t>
      </w:r>
      <w:r>
        <w:t xml:space="preserve">e </w:t>
      </w:r>
      <w:r>
        <w:rPr>
          <w:spacing w:val="6"/>
        </w:rPr>
        <w:t xml:space="preserve">dos </w:t>
      </w:r>
      <w:r>
        <w:rPr>
          <w:spacing w:val="12"/>
        </w:rPr>
        <w:t>Recursos Natur</w:t>
      </w:r>
      <w:r>
        <w:rPr>
          <w:spacing w:val="12"/>
        </w:rPr>
        <w:t xml:space="preserve">ais Renováveis (Ibama), </w:t>
      </w:r>
      <w:r>
        <w:rPr>
          <w:spacing w:val="10"/>
        </w:rPr>
        <w:t xml:space="preserve">que </w:t>
      </w:r>
      <w:r>
        <w:rPr>
          <w:spacing w:val="15"/>
        </w:rPr>
        <w:t xml:space="preserve">desse </w:t>
      </w:r>
      <w:r>
        <w:t>andamento ao antigo pedido de constituição de uma Reserva Extrativista. Assim, o Ibama, seguindo a legislação ambiental brasileira e atendendo à demanda local, abriu o processo de implantação da Reserva Extrativista do Tai</w:t>
      </w:r>
      <w:r>
        <w:t>m, que abrangeria os povoados de Porto Grande, Rio dos Cachorros, Cajueiro, Limoeiro, Taim, parte da Vila Maranhão e a Ilha de Tauamirim (SANT'ANA JÚNIOR,</w:t>
      </w:r>
      <w:r>
        <w:rPr>
          <w:spacing w:val="2"/>
        </w:rPr>
        <w:t xml:space="preserve"> </w:t>
      </w:r>
      <w:r>
        <w:t>2006).</w:t>
      </w:r>
    </w:p>
    <w:p w:rsidR="00D81F69" w:rsidRDefault="00330118">
      <w:pPr>
        <w:pStyle w:val="Corpodetexto"/>
        <w:spacing w:before="78" w:line="270" w:lineRule="atLeast"/>
        <w:ind w:right="58"/>
      </w:pPr>
      <w:r>
        <w:rPr>
          <w:spacing w:val="2"/>
        </w:rPr>
        <w:t xml:space="preserve">Em </w:t>
      </w:r>
      <w:r>
        <w:rPr>
          <w:spacing w:val="5"/>
        </w:rPr>
        <w:t xml:space="preserve">virtude </w:t>
      </w:r>
      <w:r>
        <w:rPr>
          <w:spacing w:val="2"/>
        </w:rPr>
        <w:t xml:space="preserve">do </w:t>
      </w:r>
      <w:r>
        <w:rPr>
          <w:spacing w:val="5"/>
        </w:rPr>
        <w:t xml:space="preserve">cenário exposto, </w:t>
      </w:r>
      <w:r>
        <w:t xml:space="preserve">e </w:t>
      </w:r>
      <w:r>
        <w:rPr>
          <w:spacing w:val="5"/>
        </w:rPr>
        <w:t xml:space="preserve">alegando </w:t>
      </w:r>
      <w:r>
        <w:rPr>
          <w:spacing w:val="2"/>
        </w:rPr>
        <w:t xml:space="preserve">os </w:t>
      </w:r>
      <w:r>
        <w:rPr>
          <w:spacing w:val="5"/>
        </w:rPr>
        <w:t xml:space="preserve">elevados </w:t>
      </w:r>
      <w:r>
        <w:t>“custos ambientais” do projeto, a Vale a</w:t>
      </w:r>
      <w:r>
        <w:t>cabou por considerar a transferência do investimento para outro local (SPITZ,</w:t>
      </w:r>
      <w:r>
        <w:rPr>
          <w:spacing w:val="30"/>
        </w:rPr>
        <w:t xml:space="preserve"> </w:t>
      </w:r>
      <w:r>
        <w:t>2007</w:t>
      </w:r>
    </w:p>
    <w:p w:rsidR="00D81F69" w:rsidRDefault="00330118">
      <w:pPr>
        <w:pStyle w:val="Corpodetexto"/>
        <w:spacing w:before="81" w:line="312" w:lineRule="auto"/>
        <w:ind w:right="194"/>
      </w:pPr>
      <w:r>
        <w:br w:type="column"/>
      </w:r>
      <w:r>
        <w:lastRenderedPageBreak/>
        <w:t>apud MILANEZ; PORTO, 2008), o que de fato aconteceu. Em 2007, a empresa e a Baosteel assinaram um protocolo de intenções para a construção da usina siderúrgica no pólo indu</w:t>
      </w:r>
      <w:r>
        <w:t>strial de Anchieta, no Espírito Santo (WENTZEL, 2007).</w:t>
      </w:r>
    </w:p>
    <w:p w:rsidR="00D81F69" w:rsidRDefault="00D81F69">
      <w:pPr>
        <w:pStyle w:val="Corpodetexto"/>
        <w:spacing w:before="3"/>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196"/>
      </w:pPr>
      <w:r>
        <w:rPr>
          <w:spacing w:val="2"/>
        </w:rPr>
        <w:t xml:space="preserve">As </w:t>
      </w:r>
      <w:r>
        <w:rPr>
          <w:spacing w:val="3"/>
        </w:rPr>
        <w:t xml:space="preserve">áreas </w:t>
      </w:r>
      <w:r>
        <w:rPr>
          <w:spacing w:val="5"/>
        </w:rPr>
        <w:t xml:space="preserve">impactadas </w:t>
      </w:r>
      <w:r>
        <w:rPr>
          <w:spacing w:val="3"/>
        </w:rPr>
        <w:t xml:space="preserve">pelo pólo </w:t>
      </w:r>
      <w:r>
        <w:rPr>
          <w:spacing w:val="5"/>
        </w:rPr>
        <w:t xml:space="preserve">siderúrgico </w:t>
      </w:r>
      <w:r>
        <w:rPr>
          <w:spacing w:val="2"/>
        </w:rPr>
        <w:t xml:space="preserve">em </w:t>
      </w:r>
      <w:r>
        <w:rPr>
          <w:spacing w:val="3"/>
        </w:rPr>
        <w:t xml:space="preserve">São </w:t>
      </w:r>
      <w:r>
        <w:rPr>
          <w:spacing w:val="5"/>
        </w:rPr>
        <w:t xml:space="preserve">Luís </w:t>
      </w:r>
      <w:r>
        <w:t xml:space="preserve">(latitude 2°31’47”S e longitude 44°18’10”W) corresponderiam a </w:t>
      </w:r>
      <w:r>
        <w:rPr>
          <w:spacing w:val="3"/>
        </w:rPr>
        <w:t xml:space="preserve">cerca </w:t>
      </w:r>
      <w:r>
        <w:rPr>
          <w:spacing w:val="2"/>
        </w:rPr>
        <w:t xml:space="preserve">de 10 </w:t>
      </w:r>
      <w:r>
        <w:rPr>
          <w:spacing w:val="3"/>
        </w:rPr>
        <w:t xml:space="preserve">mil </w:t>
      </w:r>
      <w:r>
        <w:rPr>
          <w:spacing w:val="2"/>
        </w:rPr>
        <w:t xml:space="preserve">ha de </w:t>
      </w:r>
      <w:r>
        <w:rPr>
          <w:spacing w:val="5"/>
        </w:rPr>
        <w:t xml:space="preserve">manguezais </w:t>
      </w:r>
      <w:r>
        <w:rPr>
          <w:spacing w:val="3"/>
        </w:rPr>
        <w:t xml:space="preserve">que </w:t>
      </w:r>
      <w:r>
        <w:rPr>
          <w:spacing w:val="5"/>
        </w:rPr>
        <w:t>atingiriam, em</w:t>
      </w:r>
      <w:r>
        <w:rPr>
          <w:spacing w:val="61"/>
        </w:rPr>
        <w:t xml:space="preserve"> </w:t>
      </w:r>
      <w:r>
        <w:t>especial, a comunidade de Cajueiro e parte da Vila</w:t>
      </w:r>
      <w:r>
        <w:rPr>
          <w:spacing w:val="7"/>
        </w:rPr>
        <w:t xml:space="preserve"> </w:t>
      </w:r>
      <w:r>
        <w:t>Maranhão.</w:t>
      </w:r>
    </w:p>
    <w:p w:rsidR="00D81F69" w:rsidRDefault="00D81F69">
      <w:pPr>
        <w:pStyle w:val="Corpodetexto"/>
        <w:spacing w:before="1"/>
        <w:ind w:left="0"/>
        <w:jc w:val="left"/>
        <w:rPr>
          <w:sz w:val="29"/>
        </w:rPr>
      </w:pPr>
    </w:p>
    <w:p w:rsidR="00D81F69" w:rsidRDefault="00330118">
      <w:pPr>
        <w:pStyle w:val="Heading7"/>
        <w:spacing w:before="1"/>
      </w:pPr>
      <w:r>
        <w:t>REDATORES</w:t>
      </w:r>
    </w:p>
    <w:p w:rsidR="00D81F69" w:rsidRDefault="00330118">
      <w:pPr>
        <w:pStyle w:val="Corpodetexto"/>
        <w:spacing w:before="178"/>
      </w:pPr>
      <w:r>
        <w:t>Renata Olivieri; Eliane Araujo</w:t>
      </w:r>
    </w:p>
    <w:p w:rsidR="00D81F69" w:rsidRDefault="00D81F69">
      <w:pPr>
        <w:pStyle w:val="Corpodetexto"/>
        <w:ind w:left="0"/>
        <w:jc w:val="left"/>
        <w:rPr>
          <w:sz w:val="20"/>
        </w:rPr>
      </w:pPr>
    </w:p>
    <w:p w:rsidR="00D81F69" w:rsidRDefault="00330118">
      <w:pPr>
        <w:pStyle w:val="Heading7"/>
        <w:spacing w:before="165"/>
      </w:pPr>
      <w:r>
        <w:t>REFERÊNCIAS BIBLIOGRÁFICAS</w:t>
      </w:r>
    </w:p>
    <w:p w:rsidR="00D81F69" w:rsidRDefault="00330118">
      <w:pPr>
        <w:spacing w:before="187"/>
        <w:ind w:left="100"/>
        <w:jc w:val="both"/>
        <w:rPr>
          <w:sz w:val="16"/>
        </w:rPr>
      </w:pPr>
      <w:r>
        <w:rPr>
          <w:sz w:val="16"/>
        </w:rPr>
        <w:t>DIÁRIO COMÉRCIO INDÚSTRIA E SERVIÇOS. Maranhão atrai</w:t>
      </w:r>
    </w:p>
    <w:p w:rsidR="00D81F69" w:rsidRDefault="00330118">
      <w:pPr>
        <w:spacing w:before="56"/>
        <w:ind w:left="100"/>
        <w:jc w:val="both"/>
        <w:rPr>
          <w:sz w:val="16"/>
        </w:rPr>
      </w:pPr>
      <w:r>
        <w:rPr>
          <w:sz w:val="16"/>
        </w:rPr>
        <w:t>gigantes  para  pólo  siderúrgico, 16  jul.  2007.  Disponível em:</w:t>
      </w:r>
    </w:p>
    <w:p w:rsidR="00D81F69" w:rsidRDefault="00D81F69">
      <w:pPr>
        <w:spacing w:before="56" w:line="312" w:lineRule="auto"/>
        <w:ind w:left="100" w:right="199"/>
        <w:jc w:val="both"/>
        <w:rPr>
          <w:sz w:val="16"/>
        </w:rPr>
      </w:pPr>
      <w:hyperlink r:id="rId771">
        <w:r w:rsidR="00330118">
          <w:rPr>
            <w:sz w:val="16"/>
          </w:rPr>
          <w:t>&lt;http://www.dci.com.br/noticia.asp?id_editoria=1&amp;id_noticia=182673&gt;.</w:t>
        </w:r>
      </w:hyperlink>
      <w:r w:rsidR="00330118">
        <w:rPr>
          <w:sz w:val="16"/>
        </w:rPr>
        <w:t xml:space="preserve"> Acesso em: 11 jul. 2010.</w:t>
      </w:r>
    </w:p>
    <w:p w:rsidR="00D81F69" w:rsidRDefault="00330118">
      <w:pPr>
        <w:spacing w:before="2" w:line="312" w:lineRule="auto"/>
        <w:ind w:left="100" w:right="195"/>
        <w:jc w:val="both"/>
        <w:rPr>
          <w:sz w:val="16"/>
        </w:rPr>
      </w:pPr>
      <w:r>
        <w:rPr>
          <w:sz w:val="16"/>
        </w:rPr>
        <w:t>IBAMA, Instituto Brasileiro do Meio Ambiente e dos Recursos Naturais Renováve</w:t>
      </w:r>
      <w:r>
        <w:rPr>
          <w:sz w:val="16"/>
        </w:rPr>
        <w:t>is. Laudo Sócio-Econômico e Biológico para Criação da Reserva Extrativista do Taim, São Luis, jun. 2006. Disponível em:</w:t>
      </w:r>
    </w:p>
    <w:p w:rsidR="00D81F69" w:rsidRDefault="00D81F69">
      <w:pPr>
        <w:spacing w:before="2" w:line="312" w:lineRule="auto"/>
        <w:ind w:left="100" w:right="216"/>
        <w:jc w:val="both"/>
        <w:rPr>
          <w:sz w:val="16"/>
        </w:rPr>
      </w:pPr>
      <w:hyperlink r:id="rId772">
        <w:r w:rsidR="00330118">
          <w:rPr>
            <w:sz w:val="16"/>
          </w:rPr>
          <w:t>&lt;http://www.ibama.gov.br/consulta/downloads/laudo_bio</w:t>
        </w:r>
        <w:r w:rsidR="00330118">
          <w:rPr>
            <w:sz w:val="16"/>
          </w:rPr>
          <w:t>logico_do_tai</w:t>
        </w:r>
      </w:hyperlink>
      <w:r w:rsidR="00330118">
        <w:rPr>
          <w:sz w:val="16"/>
        </w:rPr>
        <w:t xml:space="preserve"> m.pdf&gt;. Acesso em: 11 jul. 2010.</w:t>
      </w:r>
    </w:p>
    <w:p w:rsidR="00D81F69" w:rsidRDefault="00330118">
      <w:pPr>
        <w:spacing w:before="2" w:line="312" w:lineRule="auto"/>
        <w:ind w:left="100" w:right="169"/>
        <w:jc w:val="both"/>
        <w:rPr>
          <w:sz w:val="16"/>
        </w:rPr>
      </w:pPr>
      <w:r>
        <w:rPr>
          <w:sz w:val="16"/>
        </w:rPr>
        <w:t xml:space="preserve">MILANEZ, Bruno; PORTO, Marcelo Firpo de Souza. A ferro e fogo: </w:t>
      </w:r>
      <w:r>
        <w:rPr>
          <w:spacing w:val="5"/>
          <w:sz w:val="16"/>
        </w:rPr>
        <w:t xml:space="preserve">impactos </w:t>
      </w:r>
      <w:r>
        <w:rPr>
          <w:spacing w:val="2"/>
          <w:sz w:val="16"/>
        </w:rPr>
        <w:t xml:space="preserve">da </w:t>
      </w:r>
      <w:r>
        <w:rPr>
          <w:spacing w:val="5"/>
          <w:sz w:val="16"/>
        </w:rPr>
        <w:t xml:space="preserve">siderurgia </w:t>
      </w:r>
      <w:r>
        <w:rPr>
          <w:spacing w:val="3"/>
          <w:sz w:val="16"/>
        </w:rPr>
        <w:t xml:space="preserve">para </w:t>
      </w:r>
      <w:r>
        <w:rPr>
          <w:sz w:val="16"/>
        </w:rPr>
        <w:t xml:space="preserve">o </w:t>
      </w:r>
      <w:r>
        <w:rPr>
          <w:spacing w:val="5"/>
          <w:sz w:val="16"/>
        </w:rPr>
        <w:t xml:space="preserve">ambiente </w:t>
      </w:r>
      <w:r>
        <w:rPr>
          <w:sz w:val="16"/>
        </w:rPr>
        <w:t xml:space="preserve">e a </w:t>
      </w:r>
      <w:r>
        <w:rPr>
          <w:spacing w:val="5"/>
          <w:sz w:val="16"/>
        </w:rPr>
        <w:t xml:space="preserve">sociedade </w:t>
      </w:r>
      <w:r>
        <w:rPr>
          <w:spacing w:val="3"/>
          <w:sz w:val="16"/>
        </w:rPr>
        <w:t xml:space="preserve">após </w:t>
      </w:r>
      <w:r>
        <w:rPr>
          <w:sz w:val="16"/>
        </w:rPr>
        <w:t xml:space="preserve">a reestruturação dos anos 1990, IV Encontro Nacional da Anppas, 4 a 6 </w:t>
      </w:r>
      <w:r>
        <w:rPr>
          <w:spacing w:val="23"/>
          <w:sz w:val="16"/>
        </w:rPr>
        <w:t xml:space="preserve">jun. </w:t>
      </w:r>
      <w:r>
        <w:rPr>
          <w:spacing w:val="15"/>
          <w:sz w:val="16"/>
        </w:rPr>
        <w:t>de</w:t>
      </w:r>
      <w:r>
        <w:rPr>
          <w:spacing w:val="75"/>
          <w:sz w:val="16"/>
        </w:rPr>
        <w:t xml:space="preserve"> </w:t>
      </w:r>
      <w:r>
        <w:rPr>
          <w:spacing w:val="25"/>
          <w:sz w:val="16"/>
        </w:rPr>
        <w:t xml:space="preserve">2008, </w:t>
      </w:r>
      <w:r>
        <w:rPr>
          <w:spacing w:val="27"/>
          <w:sz w:val="16"/>
        </w:rPr>
        <w:t>Bras</w:t>
      </w:r>
      <w:r>
        <w:rPr>
          <w:spacing w:val="27"/>
          <w:sz w:val="16"/>
        </w:rPr>
        <w:t xml:space="preserve">ília </w:t>
      </w:r>
      <w:r>
        <w:rPr>
          <w:sz w:val="16"/>
        </w:rPr>
        <w:t xml:space="preserve">– </w:t>
      </w:r>
      <w:r>
        <w:rPr>
          <w:spacing w:val="20"/>
          <w:sz w:val="16"/>
        </w:rPr>
        <w:t>DF.</w:t>
      </w:r>
      <w:r>
        <w:rPr>
          <w:spacing w:val="85"/>
          <w:sz w:val="16"/>
        </w:rPr>
        <w:t xml:space="preserve"> </w:t>
      </w:r>
      <w:r>
        <w:rPr>
          <w:spacing w:val="27"/>
          <w:sz w:val="16"/>
        </w:rPr>
        <w:t>Disponível</w:t>
      </w:r>
      <w:r>
        <w:rPr>
          <w:spacing w:val="26"/>
          <w:sz w:val="16"/>
        </w:rPr>
        <w:t xml:space="preserve"> </w:t>
      </w:r>
      <w:r>
        <w:rPr>
          <w:spacing w:val="20"/>
          <w:sz w:val="16"/>
        </w:rPr>
        <w:t>em:</w:t>
      </w:r>
      <w:r>
        <w:rPr>
          <w:spacing w:val="-12"/>
          <w:sz w:val="16"/>
        </w:rPr>
        <w:t xml:space="preserve"> </w:t>
      </w:r>
    </w:p>
    <w:p w:rsidR="00D81F69" w:rsidRDefault="00D81F69">
      <w:pPr>
        <w:spacing w:before="3" w:line="312" w:lineRule="auto"/>
        <w:ind w:left="100" w:right="209"/>
        <w:jc w:val="both"/>
        <w:rPr>
          <w:sz w:val="16"/>
        </w:rPr>
      </w:pPr>
      <w:hyperlink r:id="rId773">
        <w:r w:rsidR="00330118">
          <w:rPr>
            <w:sz w:val="16"/>
          </w:rPr>
          <w:t>&lt;http://www.anppas.org.br/encontro4/cd/ARQUIVOS/GT6-61-8-</w:t>
        </w:r>
      </w:hyperlink>
      <w:r w:rsidR="00330118">
        <w:rPr>
          <w:sz w:val="16"/>
        </w:rPr>
        <w:t xml:space="preserve"> 20080509163054.pdf&gt;. Acesso em: 10 jul. 2010.</w:t>
      </w:r>
    </w:p>
    <w:p w:rsidR="00D81F69" w:rsidRDefault="00330118">
      <w:pPr>
        <w:spacing w:before="2" w:line="312" w:lineRule="auto"/>
        <w:ind w:left="100" w:right="196"/>
        <w:jc w:val="both"/>
        <w:rPr>
          <w:sz w:val="16"/>
        </w:rPr>
      </w:pPr>
      <w:r>
        <w:rPr>
          <w:sz w:val="16"/>
        </w:rPr>
        <w:t>SANT'</w:t>
      </w:r>
      <w:r>
        <w:rPr>
          <w:sz w:val="16"/>
        </w:rPr>
        <w:t>ANA JÚNIOR, Horácio Antunes de. Pólo Siderúrgico e Conseqüências Sócio-Ambientais. VII Congresso Latinoamericano de Sociologia Rural: 20-24 nov. 2006, Quito, Equador. Disponível em:</w:t>
      </w:r>
    </w:p>
    <w:p w:rsidR="00D81F69" w:rsidRDefault="00D81F69">
      <w:pPr>
        <w:spacing w:before="2" w:line="312" w:lineRule="auto"/>
        <w:ind w:left="100" w:right="196"/>
        <w:jc w:val="both"/>
        <w:rPr>
          <w:sz w:val="16"/>
        </w:rPr>
      </w:pPr>
      <w:hyperlink r:id="rId774">
        <w:r w:rsidR="00330118">
          <w:rPr>
            <w:sz w:val="16"/>
          </w:rPr>
          <w:t>&lt;http://www.alasru.org/cdalasru2006/14%20GT%20Hor%C3%A1cio%</w:t>
        </w:r>
      </w:hyperlink>
      <w:r w:rsidR="00330118">
        <w:rPr>
          <w:sz w:val="16"/>
        </w:rPr>
        <w:t xml:space="preserve"> 20Antunes%20de%20Sant'Ana%20J%C3%BAnior.pdf&gt; Acesso em: 11 jul. 2010.</w:t>
      </w:r>
    </w:p>
    <w:p w:rsidR="00D81F69" w:rsidRDefault="00330118">
      <w:pPr>
        <w:spacing w:before="3" w:line="312" w:lineRule="auto"/>
        <w:ind w:left="100" w:right="195"/>
        <w:jc w:val="both"/>
        <w:rPr>
          <w:sz w:val="16"/>
        </w:rPr>
      </w:pPr>
      <w:r>
        <w:rPr>
          <w:sz w:val="16"/>
        </w:rPr>
        <w:t>WENTZEL, Marina. Siderúrgica chinesa fará usina no Brasil com Vale do Rio Doce. In: Folha Online, 18 jul. 2007. Disponível</w:t>
      </w:r>
      <w:r>
        <w:rPr>
          <w:sz w:val="16"/>
        </w:rPr>
        <w:t xml:space="preserve"> </w:t>
      </w:r>
      <w:hyperlink r:id="rId775">
        <w:r>
          <w:rPr>
            <w:sz w:val="16"/>
          </w:rPr>
          <w:t>em:&lt;http://www1.folha.uol.com.br/folha/bbc/ult272u312863.shtml&gt;.</w:t>
        </w:r>
      </w:hyperlink>
      <w:r>
        <w:rPr>
          <w:sz w:val="16"/>
        </w:rPr>
        <w:t xml:space="preserve"> Acesso em: 12 jul. 2010.</w:t>
      </w:r>
    </w:p>
    <w:p w:rsidR="00D81F69" w:rsidRDefault="00D81F69">
      <w:pPr>
        <w:spacing w:line="312" w:lineRule="auto"/>
        <w:jc w:val="both"/>
        <w:rPr>
          <w:sz w:val="16"/>
        </w:rPr>
        <w:sectPr w:rsidR="00D81F69">
          <w:pgSz w:w="11900" w:h="16840"/>
          <w:pgMar w:top="740" w:right="500" w:bottom="640" w:left="620" w:header="0" w:footer="402" w:gutter="0"/>
          <w:cols w:num="2" w:space="720" w:equalWidth="0">
            <w:col w:w="5159" w:space="311"/>
            <w:col w:w="5310"/>
          </w:cols>
        </w:sectPr>
      </w:pPr>
    </w:p>
    <w:p w:rsidR="00D81F69" w:rsidRDefault="00330118">
      <w:pPr>
        <w:pStyle w:val="Heading1"/>
        <w:spacing w:line="208" w:lineRule="auto"/>
      </w:pPr>
      <w:r>
        <w:lastRenderedPageBreak/>
        <w:t>Exploração ilegal de ouro afeta Terra Indígena Alto Turiaçu (MA)</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4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MA - Centro do Guilherme</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-2,3215</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-46,0972</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2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pacing w:val="2"/>
          <w:sz w:val="16"/>
        </w:rPr>
        <w:t xml:space="preserve">Nos </w:t>
      </w:r>
      <w:r>
        <w:rPr>
          <w:i/>
          <w:spacing w:val="3"/>
          <w:sz w:val="16"/>
        </w:rPr>
        <w:t xml:space="preserve">últimos anos, operações </w:t>
      </w:r>
      <w:r>
        <w:rPr>
          <w:i/>
          <w:spacing w:val="5"/>
          <w:sz w:val="16"/>
        </w:rPr>
        <w:t xml:space="preserve">policiais </w:t>
      </w:r>
      <w:r>
        <w:rPr>
          <w:i/>
          <w:spacing w:val="3"/>
          <w:sz w:val="16"/>
        </w:rPr>
        <w:t xml:space="preserve">foram realizadas </w:t>
      </w:r>
      <w:r>
        <w:rPr>
          <w:i/>
          <w:spacing w:val="2"/>
          <w:sz w:val="16"/>
        </w:rPr>
        <w:t xml:space="preserve">nos </w:t>
      </w:r>
      <w:r>
        <w:rPr>
          <w:i/>
          <w:spacing w:val="3"/>
          <w:sz w:val="16"/>
        </w:rPr>
        <w:t xml:space="preserve">limites </w:t>
      </w:r>
      <w:r>
        <w:rPr>
          <w:i/>
          <w:spacing w:val="1"/>
          <w:sz w:val="16"/>
        </w:rPr>
        <w:t xml:space="preserve">da </w:t>
      </w:r>
      <w:r>
        <w:rPr>
          <w:i/>
          <w:spacing w:val="5"/>
          <w:sz w:val="16"/>
        </w:rPr>
        <w:t xml:space="preserve">Terra </w:t>
      </w:r>
      <w:r>
        <w:rPr>
          <w:i/>
          <w:sz w:val="16"/>
        </w:rPr>
        <w:t xml:space="preserve">Indígena (TI) Alto Turiaçú com o intuito de coibir crimes ambientais e o garimpo ilegal de ouro. A TI foi homologada em 1982, por meio da Portaria n° 1.408 da </w:t>
      </w:r>
      <w:r>
        <w:rPr>
          <w:i/>
          <w:spacing w:val="1"/>
          <w:sz w:val="16"/>
        </w:rPr>
        <w:t xml:space="preserve">Funai, </w:t>
      </w:r>
      <w:r>
        <w:rPr>
          <w:i/>
          <w:sz w:val="16"/>
        </w:rPr>
        <w:t xml:space="preserve">com </w:t>
      </w:r>
      <w:r>
        <w:rPr>
          <w:i/>
          <w:spacing w:val="1"/>
          <w:sz w:val="16"/>
        </w:rPr>
        <w:t xml:space="preserve">área </w:t>
      </w:r>
      <w:r>
        <w:rPr>
          <w:i/>
          <w:sz w:val="16"/>
        </w:rPr>
        <w:t xml:space="preserve">de </w:t>
      </w:r>
      <w:r>
        <w:rPr>
          <w:i/>
          <w:spacing w:val="1"/>
          <w:sz w:val="16"/>
        </w:rPr>
        <w:t xml:space="preserve">530.524 </w:t>
      </w:r>
      <w:r>
        <w:rPr>
          <w:i/>
          <w:spacing w:val="2"/>
          <w:sz w:val="16"/>
        </w:rPr>
        <w:t xml:space="preserve">hectares. Sua </w:t>
      </w:r>
      <w:r>
        <w:rPr>
          <w:i/>
          <w:spacing w:val="3"/>
          <w:sz w:val="16"/>
        </w:rPr>
        <w:t xml:space="preserve">população, </w:t>
      </w:r>
      <w:r>
        <w:rPr>
          <w:i/>
          <w:spacing w:val="1"/>
          <w:sz w:val="16"/>
        </w:rPr>
        <w:t xml:space="preserve">em </w:t>
      </w:r>
      <w:r>
        <w:rPr>
          <w:i/>
          <w:spacing w:val="3"/>
          <w:sz w:val="16"/>
        </w:rPr>
        <w:t xml:space="preserve">1989, </w:t>
      </w:r>
      <w:r>
        <w:rPr>
          <w:i/>
          <w:spacing w:val="2"/>
          <w:sz w:val="16"/>
        </w:rPr>
        <w:t xml:space="preserve">era </w:t>
      </w:r>
      <w:r>
        <w:rPr>
          <w:i/>
          <w:spacing w:val="1"/>
          <w:sz w:val="16"/>
        </w:rPr>
        <w:t xml:space="preserve">de </w:t>
      </w:r>
      <w:r>
        <w:rPr>
          <w:i/>
          <w:spacing w:val="5"/>
          <w:sz w:val="16"/>
        </w:rPr>
        <w:t xml:space="preserve">881 </w:t>
      </w:r>
      <w:r>
        <w:rPr>
          <w:i/>
          <w:spacing w:val="12"/>
          <w:sz w:val="16"/>
        </w:rPr>
        <w:t xml:space="preserve">pessoas, distribuídas </w:t>
      </w:r>
      <w:r>
        <w:rPr>
          <w:i/>
          <w:spacing w:val="10"/>
          <w:sz w:val="16"/>
        </w:rPr>
        <w:t>nas</w:t>
      </w:r>
      <w:r>
        <w:rPr>
          <w:i/>
          <w:spacing w:val="10"/>
          <w:sz w:val="16"/>
        </w:rPr>
        <w:t xml:space="preserve"> </w:t>
      </w:r>
      <w:r>
        <w:rPr>
          <w:i/>
          <w:spacing w:val="11"/>
          <w:sz w:val="16"/>
        </w:rPr>
        <w:t xml:space="preserve">etnias </w:t>
      </w:r>
      <w:r>
        <w:rPr>
          <w:i/>
          <w:spacing w:val="10"/>
          <w:sz w:val="16"/>
        </w:rPr>
        <w:t xml:space="preserve">indígenas </w:t>
      </w:r>
      <w:r>
        <w:rPr>
          <w:i/>
          <w:spacing w:val="11"/>
          <w:sz w:val="16"/>
        </w:rPr>
        <w:t xml:space="preserve">Urubu-Kaapor, </w:t>
      </w:r>
      <w:r>
        <w:rPr>
          <w:i/>
          <w:spacing w:val="10"/>
          <w:sz w:val="16"/>
        </w:rPr>
        <w:t xml:space="preserve">Guajá </w:t>
      </w:r>
      <w:r>
        <w:rPr>
          <w:i/>
          <w:sz w:val="16"/>
        </w:rPr>
        <w:t xml:space="preserve">e </w:t>
      </w:r>
      <w:r>
        <w:rPr>
          <w:i/>
          <w:spacing w:val="12"/>
          <w:sz w:val="16"/>
        </w:rPr>
        <w:t>Tembé.</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2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175" w:line="270" w:lineRule="atLeast"/>
        <w:ind w:left="135" w:right="196"/>
      </w:pPr>
      <w:r>
        <w:br w:type="column"/>
      </w:r>
      <w:r>
        <w:lastRenderedPageBreak/>
        <w:t xml:space="preserve">fez parte da Operação Arco de Fogo, deflagrada no </w:t>
      </w:r>
      <w:r>
        <w:rPr>
          <w:spacing w:val="1"/>
        </w:rPr>
        <w:t xml:space="preserve">estado </w:t>
      </w:r>
      <w:r>
        <w:t xml:space="preserve">em junho do mesmo ano [2009], com objetivo de reprimir e </w:t>
      </w:r>
      <w:r>
        <w:rPr>
          <w:spacing w:val="1"/>
        </w:rPr>
        <w:t xml:space="preserve">prevenir delitos ambientais, tais como práticas </w:t>
      </w:r>
      <w:r>
        <w:t xml:space="preserve">de </w:t>
      </w:r>
      <w:r>
        <w:rPr>
          <w:spacing w:val="1"/>
        </w:rPr>
        <w:t xml:space="preserve">tráfico </w:t>
      </w:r>
      <w:r>
        <w:t xml:space="preserve">e </w:t>
      </w:r>
      <w:r>
        <w:rPr>
          <w:spacing w:val="10"/>
        </w:rPr>
        <w:t xml:space="preserve">extração ilegal </w:t>
      </w:r>
      <w:r>
        <w:rPr>
          <w:spacing w:val="5"/>
        </w:rPr>
        <w:t xml:space="preserve">de </w:t>
      </w:r>
      <w:r>
        <w:rPr>
          <w:spacing w:val="10"/>
        </w:rPr>
        <w:t>madeira, ile</w:t>
      </w:r>
      <w:r>
        <w:rPr>
          <w:spacing w:val="10"/>
        </w:rPr>
        <w:t xml:space="preserve">galidades </w:t>
      </w:r>
      <w:r>
        <w:rPr>
          <w:spacing w:val="5"/>
        </w:rPr>
        <w:t xml:space="preserve">na </w:t>
      </w:r>
      <w:r>
        <w:rPr>
          <w:spacing w:val="8"/>
        </w:rPr>
        <w:t xml:space="preserve">área </w:t>
      </w:r>
      <w:r>
        <w:rPr>
          <w:spacing w:val="11"/>
        </w:rPr>
        <w:t xml:space="preserve">de </w:t>
      </w:r>
      <w:r>
        <w:t xml:space="preserve">mineração, agressões à fauna, entre outros (GTERRA, 2009). A ação integrou especificamente a Operação Aturawaca, que </w:t>
      </w:r>
      <w:r>
        <w:rPr>
          <w:spacing w:val="5"/>
        </w:rPr>
        <w:t xml:space="preserve">combate tais crimes com </w:t>
      </w:r>
      <w:r>
        <w:rPr>
          <w:spacing w:val="6"/>
        </w:rPr>
        <w:t xml:space="preserve">especial </w:t>
      </w:r>
      <w:r>
        <w:rPr>
          <w:spacing w:val="5"/>
        </w:rPr>
        <w:t xml:space="preserve">atenção </w:t>
      </w:r>
      <w:r>
        <w:rPr>
          <w:spacing w:val="3"/>
        </w:rPr>
        <w:t xml:space="preserve">ao </w:t>
      </w:r>
      <w:r>
        <w:rPr>
          <w:spacing w:val="7"/>
        </w:rPr>
        <w:t xml:space="preserve">território </w:t>
      </w:r>
      <w:r>
        <w:t xml:space="preserve">compreendido pela TI Alto Turiaçu, pelas reservas indígenas </w:t>
      </w:r>
      <w:r>
        <w:rPr>
          <w:spacing w:val="3"/>
        </w:rPr>
        <w:t>Awá</w:t>
      </w:r>
      <w:r>
        <w:rPr>
          <w:spacing w:val="3"/>
        </w:rPr>
        <w:t xml:space="preserve"> </w:t>
      </w:r>
      <w:r>
        <w:t xml:space="preserve">e a </w:t>
      </w:r>
      <w:r>
        <w:rPr>
          <w:spacing w:val="3"/>
        </w:rPr>
        <w:t xml:space="preserve">Caru, </w:t>
      </w:r>
      <w:r>
        <w:t xml:space="preserve">e </w:t>
      </w:r>
      <w:r>
        <w:rPr>
          <w:spacing w:val="3"/>
        </w:rPr>
        <w:t xml:space="preserve">pela </w:t>
      </w:r>
      <w:r>
        <w:rPr>
          <w:spacing w:val="5"/>
        </w:rPr>
        <w:t xml:space="preserve">Reserva Biológica </w:t>
      </w:r>
      <w:r>
        <w:rPr>
          <w:spacing w:val="2"/>
        </w:rPr>
        <w:t xml:space="preserve">do </w:t>
      </w:r>
      <w:r>
        <w:rPr>
          <w:spacing w:val="5"/>
        </w:rPr>
        <w:t xml:space="preserve">Gurupi, que </w:t>
      </w:r>
      <w:r>
        <w:t xml:space="preserve">formam um conjunto contíguo, situado no oeste do Maranhão. </w:t>
      </w:r>
      <w:r>
        <w:rPr>
          <w:spacing w:val="5"/>
        </w:rPr>
        <w:t xml:space="preserve">Na </w:t>
      </w:r>
      <w:r>
        <w:rPr>
          <w:spacing w:val="7"/>
        </w:rPr>
        <w:t xml:space="preserve">região, </w:t>
      </w:r>
      <w:r>
        <w:rPr>
          <w:spacing w:val="5"/>
        </w:rPr>
        <w:t xml:space="preserve">se </w:t>
      </w:r>
      <w:r>
        <w:rPr>
          <w:spacing w:val="8"/>
        </w:rPr>
        <w:t xml:space="preserve">concentram remanescentes </w:t>
      </w:r>
      <w:r>
        <w:rPr>
          <w:spacing w:val="5"/>
        </w:rPr>
        <w:t xml:space="preserve">da </w:t>
      </w:r>
      <w:r>
        <w:rPr>
          <w:spacing w:val="10"/>
        </w:rPr>
        <w:t xml:space="preserve">floresta </w:t>
      </w:r>
      <w:r>
        <w:rPr>
          <w:spacing w:val="7"/>
        </w:rPr>
        <w:t xml:space="preserve">amazônica </w:t>
      </w:r>
      <w:r>
        <w:rPr>
          <w:spacing w:val="5"/>
        </w:rPr>
        <w:t xml:space="preserve">no </w:t>
      </w:r>
      <w:r>
        <w:rPr>
          <w:spacing w:val="7"/>
        </w:rPr>
        <w:t xml:space="preserve">estado, </w:t>
      </w:r>
      <w:r>
        <w:rPr>
          <w:spacing w:val="8"/>
        </w:rPr>
        <w:t xml:space="preserve">correspondendo </w:t>
      </w:r>
      <w:r>
        <w:t xml:space="preserve">a </w:t>
      </w:r>
      <w:r>
        <w:rPr>
          <w:spacing w:val="8"/>
        </w:rPr>
        <w:t xml:space="preserve">territórios </w:t>
      </w:r>
      <w:r>
        <w:rPr>
          <w:spacing w:val="10"/>
        </w:rPr>
        <w:t xml:space="preserve">da </w:t>
      </w:r>
      <w:r>
        <w:t>Amazônia Legal (DIETRICH, 2009). Sabe-se que estas</w:t>
      </w:r>
      <w:r>
        <w:rPr>
          <w:spacing w:val="26"/>
        </w:rPr>
        <w:t xml:space="preserve"> </w:t>
      </w:r>
      <w:r>
        <w:t>terras</w:t>
      </w:r>
    </w:p>
    <w:p w:rsidR="00D81F69" w:rsidRDefault="00D81F69">
      <w:pPr>
        <w:spacing w:line="270" w:lineRule="atLeast"/>
        <w:sectPr w:rsidR="00D81F69">
          <w:type w:val="continuous"/>
          <w:pgSz w:w="11900" w:h="16840"/>
          <w:pgMar w:top="720" w:right="500" w:bottom="280" w:left="620" w:header="720" w:footer="720" w:gutter="0"/>
          <w:cols w:num="3" w:space="720" w:equalWidth="0">
            <w:col w:w="1809" w:space="191"/>
            <w:col w:w="3118" w:space="317"/>
            <w:col w:w="5345"/>
          </w:cols>
        </w:sectPr>
      </w:pPr>
    </w:p>
    <w:p w:rsidR="00D81F69" w:rsidRDefault="00330118">
      <w:pPr>
        <w:pStyle w:val="Heading4"/>
        <w:spacing w:line="253" w:lineRule="exact"/>
        <w:jc w:val="left"/>
      </w:pPr>
      <w:r>
        <w:lastRenderedPageBreak/>
        <w:t>APRESENTAÇÃO DE CASO</w:t>
      </w:r>
    </w:p>
    <w:p w:rsidR="00D81F69" w:rsidRDefault="00330118">
      <w:pPr>
        <w:pStyle w:val="Corpodetexto"/>
        <w:spacing w:before="170" w:line="312" w:lineRule="auto"/>
        <w:ind w:right="93"/>
      </w:pPr>
      <w:r>
        <w:rPr>
          <w:spacing w:val="1"/>
        </w:rPr>
        <w:t xml:space="preserve">Em </w:t>
      </w:r>
      <w:r>
        <w:rPr>
          <w:spacing w:val="3"/>
        </w:rPr>
        <w:t xml:space="preserve">meados </w:t>
      </w:r>
      <w:r>
        <w:rPr>
          <w:spacing w:val="1"/>
        </w:rPr>
        <w:t xml:space="preserve">de </w:t>
      </w:r>
      <w:r>
        <w:rPr>
          <w:spacing w:val="3"/>
        </w:rPr>
        <w:t xml:space="preserve">outubro </w:t>
      </w:r>
      <w:r>
        <w:rPr>
          <w:spacing w:val="1"/>
        </w:rPr>
        <w:t xml:space="preserve">de </w:t>
      </w:r>
      <w:r>
        <w:rPr>
          <w:spacing w:val="3"/>
        </w:rPr>
        <w:t xml:space="preserve">2009, </w:t>
      </w:r>
      <w:r>
        <w:rPr>
          <w:spacing w:val="2"/>
        </w:rPr>
        <w:t xml:space="preserve">uma </w:t>
      </w:r>
      <w:r>
        <w:rPr>
          <w:spacing w:val="3"/>
        </w:rPr>
        <w:t xml:space="preserve">operação </w:t>
      </w:r>
      <w:r>
        <w:rPr>
          <w:spacing w:val="5"/>
        </w:rPr>
        <w:t xml:space="preserve">conjunta entre </w:t>
      </w:r>
      <w:r>
        <w:t xml:space="preserve">a </w:t>
      </w:r>
      <w:r>
        <w:rPr>
          <w:spacing w:val="5"/>
        </w:rPr>
        <w:t xml:space="preserve">Secretaria </w:t>
      </w:r>
      <w:r>
        <w:rPr>
          <w:spacing w:val="2"/>
        </w:rPr>
        <w:t xml:space="preserve">de </w:t>
      </w:r>
      <w:r>
        <w:rPr>
          <w:spacing w:val="5"/>
        </w:rPr>
        <w:t xml:space="preserve">Estado </w:t>
      </w:r>
      <w:r>
        <w:rPr>
          <w:spacing w:val="2"/>
        </w:rPr>
        <w:t xml:space="preserve">de </w:t>
      </w:r>
      <w:r>
        <w:rPr>
          <w:spacing w:val="5"/>
        </w:rPr>
        <w:t xml:space="preserve">Segurança Pública </w:t>
      </w:r>
      <w:r>
        <w:rPr>
          <w:spacing w:val="6"/>
        </w:rPr>
        <w:t xml:space="preserve">do </w:t>
      </w:r>
      <w:r>
        <w:t>Maranhão, a Polícia Civil, Militar e o G</w:t>
      </w:r>
      <w:r>
        <w:t xml:space="preserve">rupo Tático Aéreo </w:t>
      </w:r>
      <w:r>
        <w:rPr>
          <w:spacing w:val="1"/>
        </w:rPr>
        <w:t xml:space="preserve">foi </w:t>
      </w:r>
      <w:r>
        <w:rPr>
          <w:spacing w:val="3"/>
        </w:rPr>
        <w:t xml:space="preserve">empreendida </w:t>
      </w:r>
      <w:r>
        <w:rPr>
          <w:spacing w:val="2"/>
        </w:rPr>
        <w:t xml:space="preserve">para </w:t>
      </w:r>
      <w:r>
        <w:rPr>
          <w:spacing w:val="3"/>
        </w:rPr>
        <w:t xml:space="preserve">identificar </w:t>
      </w:r>
      <w:r>
        <w:t xml:space="preserve">e </w:t>
      </w:r>
      <w:r>
        <w:rPr>
          <w:spacing w:val="3"/>
        </w:rPr>
        <w:t xml:space="preserve">reprimir atividades </w:t>
      </w:r>
      <w:r>
        <w:rPr>
          <w:spacing w:val="5"/>
        </w:rPr>
        <w:t xml:space="preserve">ilegais </w:t>
      </w:r>
      <w:r>
        <w:t>dentro da Terra Indígena (TI) Alto Turiaçú. A ação teve como objetivo específico coibir o cultivo de maconha (traficantes do polígono da maconha de Pernambuco teriam migrado p</w:t>
      </w:r>
      <w:r>
        <w:t xml:space="preserve">ara a </w:t>
      </w:r>
      <w:r>
        <w:rPr>
          <w:spacing w:val="5"/>
        </w:rPr>
        <w:t xml:space="preserve">região) </w:t>
      </w:r>
      <w:r>
        <w:t xml:space="preserve">e </w:t>
      </w:r>
      <w:r>
        <w:rPr>
          <w:spacing w:val="5"/>
        </w:rPr>
        <w:t xml:space="preserve">registrar demais atividades irregulares </w:t>
      </w:r>
      <w:r>
        <w:rPr>
          <w:spacing w:val="2"/>
        </w:rPr>
        <w:t xml:space="preserve">na </w:t>
      </w:r>
      <w:r>
        <w:rPr>
          <w:spacing w:val="5"/>
        </w:rPr>
        <w:t>área</w:t>
      </w:r>
      <w:r>
        <w:rPr>
          <w:spacing w:val="61"/>
        </w:rPr>
        <w:t xml:space="preserve"> </w:t>
      </w:r>
      <w:r>
        <w:rPr>
          <w:spacing w:val="5"/>
        </w:rPr>
        <w:t>(CONEXÃO TOCANTINS, 2009).</w:t>
      </w:r>
    </w:p>
    <w:p w:rsidR="00D81F69" w:rsidRDefault="00330118">
      <w:pPr>
        <w:pStyle w:val="Corpodetexto"/>
        <w:spacing w:before="138" w:line="312" w:lineRule="auto"/>
        <w:ind w:right="82"/>
        <w:jc w:val="left"/>
      </w:pPr>
      <w:r>
        <w:t xml:space="preserve">Localizada em Centro do Guilherme, município maranhense, com </w:t>
      </w:r>
      <w:r>
        <w:rPr>
          <w:spacing w:val="1"/>
        </w:rPr>
        <w:t xml:space="preserve">1.074,061 </w:t>
      </w:r>
      <w:r>
        <w:t xml:space="preserve">km² e </w:t>
      </w:r>
      <w:r>
        <w:rPr>
          <w:spacing w:val="1"/>
        </w:rPr>
        <w:t xml:space="preserve">12.565 habitantes (IBGE, 2010), </w:t>
      </w:r>
      <w:r>
        <w:t xml:space="preserve">a </w:t>
      </w:r>
      <w:r>
        <w:rPr>
          <w:spacing w:val="2"/>
        </w:rPr>
        <w:t xml:space="preserve">TI </w:t>
      </w:r>
      <w:r>
        <w:t>está situada às margens do rio Gurupi, na divisa do</w:t>
      </w:r>
      <w:r>
        <w:t xml:space="preserve"> Maranhão com o Pará e foi homologada em 1982, por meio da Portaria  n° 1408, da Fundação Nacional do Índio (Funai). Com </w:t>
      </w:r>
      <w:r>
        <w:rPr>
          <w:spacing w:val="1"/>
        </w:rPr>
        <w:t xml:space="preserve">uma área </w:t>
      </w:r>
      <w:r>
        <w:t xml:space="preserve">de </w:t>
      </w:r>
      <w:r>
        <w:rPr>
          <w:spacing w:val="1"/>
        </w:rPr>
        <w:t xml:space="preserve">530.524 hectares (FUNAI, 2011), </w:t>
      </w:r>
      <w:r>
        <w:t xml:space="preserve">a </w:t>
      </w:r>
      <w:r>
        <w:rPr>
          <w:spacing w:val="1"/>
        </w:rPr>
        <w:t xml:space="preserve">terra </w:t>
      </w:r>
      <w:r>
        <w:rPr>
          <w:spacing w:val="2"/>
        </w:rPr>
        <w:t xml:space="preserve">indígena </w:t>
      </w:r>
      <w:r>
        <w:t xml:space="preserve">contava, em 1989, com 881 pessoas, distribuídas nas etnias </w:t>
      </w:r>
      <w:r>
        <w:rPr>
          <w:spacing w:val="7"/>
        </w:rPr>
        <w:t xml:space="preserve">indígenas </w:t>
      </w:r>
      <w:r>
        <w:rPr>
          <w:spacing w:val="8"/>
        </w:rPr>
        <w:t>Urubu</w:t>
      </w:r>
      <w:r>
        <w:rPr>
          <w:spacing w:val="8"/>
        </w:rPr>
        <w:t xml:space="preserve">-Kaapor, </w:t>
      </w:r>
      <w:r>
        <w:rPr>
          <w:spacing w:val="7"/>
        </w:rPr>
        <w:t xml:space="preserve">Guajá </w:t>
      </w:r>
      <w:r>
        <w:t xml:space="preserve">e </w:t>
      </w:r>
      <w:r>
        <w:rPr>
          <w:spacing w:val="7"/>
        </w:rPr>
        <w:t xml:space="preserve">Tembé </w:t>
      </w:r>
      <w:r>
        <w:rPr>
          <w:spacing w:val="10"/>
        </w:rPr>
        <w:t xml:space="preserve">(INSTITUTO </w:t>
      </w:r>
      <w:r>
        <w:rPr>
          <w:spacing w:val="8"/>
        </w:rPr>
        <w:t>SOCIOAMBIENTAL,</w:t>
      </w:r>
      <w:r>
        <w:rPr>
          <w:spacing w:val="46"/>
        </w:rPr>
        <w:t xml:space="preserve"> </w:t>
      </w:r>
      <w:r>
        <w:rPr>
          <w:spacing w:val="10"/>
        </w:rPr>
        <w:t>2011).</w:t>
      </w:r>
    </w:p>
    <w:p w:rsidR="00D81F69" w:rsidRDefault="00330118">
      <w:pPr>
        <w:pStyle w:val="Corpodetexto"/>
        <w:spacing w:before="139" w:line="312" w:lineRule="auto"/>
        <w:ind w:right="79"/>
      </w:pPr>
      <w:r>
        <w:t xml:space="preserve">A operação foi realizada com sucesso, destruindo milhares de pés de </w:t>
      </w:r>
      <w:r>
        <w:rPr>
          <w:spacing w:val="1"/>
        </w:rPr>
        <w:t xml:space="preserve">maconha, </w:t>
      </w:r>
      <w:r>
        <w:t xml:space="preserve">e </w:t>
      </w:r>
      <w:r>
        <w:rPr>
          <w:spacing w:val="1"/>
        </w:rPr>
        <w:t xml:space="preserve">identificando outras irregularidades </w:t>
      </w:r>
      <w:r>
        <w:rPr>
          <w:spacing w:val="2"/>
        </w:rPr>
        <w:t xml:space="preserve">na </w:t>
      </w:r>
      <w:r>
        <w:rPr>
          <w:spacing w:val="12"/>
        </w:rPr>
        <w:t xml:space="preserve">região, </w:t>
      </w:r>
      <w:r>
        <w:rPr>
          <w:spacing w:val="11"/>
        </w:rPr>
        <w:t xml:space="preserve">como </w:t>
      </w:r>
      <w:r>
        <w:t xml:space="preserve">a </w:t>
      </w:r>
      <w:r>
        <w:rPr>
          <w:spacing w:val="13"/>
        </w:rPr>
        <w:t xml:space="preserve">exploração </w:t>
      </w:r>
      <w:r>
        <w:rPr>
          <w:spacing w:val="12"/>
        </w:rPr>
        <w:t xml:space="preserve">ilegal </w:t>
      </w:r>
      <w:r>
        <w:rPr>
          <w:spacing w:val="7"/>
        </w:rPr>
        <w:t xml:space="preserve">de </w:t>
      </w:r>
      <w:r>
        <w:rPr>
          <w:spacing w:val="12"/>
        </w:rPr>
        <w:t xml:space="preserve">madeira </w:t>
      </w:r>
      <w:r>
        <w:t xml:space="preserve">e o </w:t>
      </w:r>
      <w:r>
        <w:rPr>
          <w:spacing w:val="3"/>
        </w:rPr>
        <w:t xml:space="preserve">funcionamento </w:t>
      </w:r>
      <w:r>
        <w:rPr>
          <w:spacing w:val="1"/>
        </w:rPr>
        <w:t xml:space="preserve">de um </w:t>
      </w:r>
      <w:r>
        <w:rPr>
          <w:spacing w:val="3"/>
        </w:rPr>
        <w:t xml:space="preserve">garimpo clandestino, detectado </w:t>
      </w:r>
      <w:r>
        <w:rPr>
          <w:spacing w:val="5"/>
        </w:rPr>
        <w:t xml:space="preserve">por </w:t>
      </w:r>
      <w:r>
        <w:rPr>
          <w:spacing w:val="3"/>
        </w:rPr>
        <w:t xml:space="preserve">sobrevoo. </w:t>
      </w:r>
      <w:r>
        <w:rPr>
          <w:spacing w:val="2"/>
        </w:rPr>
        <w:t xml:space="preserve">Foi </w:t>
      </w:r>
      <w:r>
        <w:rPr>
          <w:spacing w:val="3"/>
        </w:rPr>
        <w:t xml:space="preserve">percebida </w:t>
      </w:r>
      <w:r>
        <w:rPr>
          <w:spacing w:val="2"/>
        </w:rPr>
        <w:t xml:space="preserve">uma </w:t>
      </w:r>
      <w:r>
        <w:rPr>
          <w:spacing w:val="3"/>
        </w:rPr>
        <w:t xml:space="preserve">grande </w:t>
      </w:r>
      <w:r>
        <w:rPr>
          <w:spacing w:val="2"/>
        </w:rPr>
        <w:t xml:space="preserve">área </w:t>
      </w:r>
      <w:r>
        <w:rPr>
          <w:spacing w:val="1"/>
        </w:rPr>
        <w:t xml:space="preserve">de </w:t>
      </w:r>
      <w:r>
        <w:rPr>
          <w:spacing w:val="3"/>
        </w:rPr>
        <w:t xml:space="preserve">extração </w:t>
      </w:r>
      <w:r>
        <w:t xml:space="preserve">e muitos homens trabalhando no local. Durante essa operação não foi efetuada nenhuma ação com relação à garimpagem,  </w:t>
      </w:r>
      <w:r>
        <w:rPr>
          <w:spacing w:val="1"/>
        </w:rPr>
        <w:t xml:space="preserve">já </w:t>
      </w:r>
      <w:r>
        <w:rPr>
          <w:spacing w:val="2"/>
        </w:rPr>
        <w:t xml:space="preserve">que </w:t>
      </w:r>
      <w:r>
        <w:t xml:space="preserve">o </w:t>
      </w:r>
      <w:r>
        <w:rPr>
          <w:spacing w:val="2"/>
        </w:rPr>
        <w:t xml:space="preserve">foco </w:t>
      </w:r>
      <w:r>
        <w:rPr>
          <w:spacing w:val="3"/>
        </w:rPr>
        <w:t xml:space="preserve">específico </w:t>
      </w:r>
      <w:r>
        <w:rPr>
          <w:spacing w:val="2"/>
        </w:rPr>
        <w:t xml:space="preserve">era </w:t>
      </w:r>
      <w:r>
        <w:rPr>
          <w:spacing w:val="3"/>
        </w:rPr>
        <w:t xml:space="preserve">outro; </w:t>
      </w:r>
      <w:r>
        <w:rPr>
          <w:spacing w:val="1"/>
        </w:rPr>
        <w:t xml:space="preserve">no </w:t>
      </w:r>
      <w:r>
        <w:rPr>
          <w:spacing w:val="3"/>
        </w:rPr>
        <w:t xml:space="preserve">entanto </w:t>
      </w:r>
      <w:r>
        <w:rPr>
          <w:spacing w:val="1"/>
        </w:rPr>
        <w:t xml:space="preserve">os </w:t>
      </w:r>
      <w:r>
        <w:rPr>
          <w:spacing w:val="5"/>
        </w:rPr>
        <w:t>in</w:t>
      </w:r>
      <w:r>
        <w:rPr>
          <w:spacing w:val="5"/>
        </w:rPr>
        <w:t xml:space="preserve">dícios </w:t>
      </w:r>
      <w:r>
        <w:rPr>
          <w:spacing w:val="13"/>
        </w:rPr>
        <w:t xml:space="preserve">foram </w:t>
      </w:r>
      <w:r>
        <w:rPr>
          <w:spacing w:val="15"/>
        </w:rPr>
        <w:t xml:space="preserve">suficientes </w:t>
      </w:r>
      <w:r>
        <w:rPr>
          <w:spacing w:val="12"/>
        </w:rPr>
        <w:t xml:space="preserve">como </w:t>
      </w:r>
      <w:r>
        <w:rPr>
          <w:spacing w:val="13"/>
        </w:rPr>
        <w:t xml:space="preserve">ponto </w:t>
      </w:r>
      <w:r>
        <w:rPr>
          <w:spacing w:val="8"/>
        </w:rPr>
        <w:t xml:space="preserve">de </w:t>
      </w:r>
      <w:r>
        <w:rPr>
          <w:spacing w:val="15"/>
        </w:rPr>
        <w:t xml:space="preserve">partida </w:t>
      </w:r>
      <w:r>
        <w:rPr>
          <w:spacing w:val="12"/>
        </w:rPr>
        <w:t xml:space="preserve">para </w:t>
      </w:r>
      <w:r>
        <w:t xml:space="preserve">a </w:t>
      </w:r>
      <w:r>
        <w:rPr>
          <w:spacing w:val="12"/>
        </w:rPr>
        <w:t xml:space="preserve">implementação </w:t>
      </w:r>
      <w:r>
        <w:rPr>
          <w:spacing w:val="6"/>
        </w:rPr>
        <w:t xml:space="preserve">de </w:t>
      </w:r>
      <w:r>
        <w:rPr>
          <w:spacing w:val="11"/>
        </w:rPr>
        <w:t xml:space="preserve">ações </w:t>
      </w:r>
      <w:r>
        <w:rPr>
          <w:spacing w:val="12"/>
        </w:rPr>
        <w:t xml:space="preserve">conseguintes (CONEXÃO </w:t>
      </w:r>
      <w:r>
        <w:t xml:space="preserve">TOCANTINS, 2009). A presença de garimpeiros na região já havia sido denunciada à Funai pelos índios da etnia </w:t>
      </w:r>
      <w:r>
        <w:rPr>
          <w:spacing w:val="1"/>
        </w:rPr>
        <w:t xml:space="preserve">Urubu- </w:t>
      </w:r>
      <w:r>
        <w:t>Kaapor,</w:t>
      </w:r>
      <w:r>
        <w:rPr>
          <w:spacing w:val="15"/>
        </w:rPr>
        <w:t xml:space="preserve"> </w:t>
      </w:r>
      <w:r>
        <w:t>que</w:t>
      </w:r>
      <w:r>
        <w:rPr>
          <w:spacing w:val="15"/>
        </w:rPr>
        <w:t xml:space="preserve"> </w:t>
      </w:r>
      <w:r>
        <w:t>habitam</w:t>
      </w:r>
      <w:r>
        <w:rPr>
          <w:spacing w:val="15"/>
        </w:rPr>
        <w:t xml:space="preserve"> </w:t>
      </w:r>
      <w:r>
        <w:t>a</w:t>
      </w:r>
      <w:r>
        <w:rPr>
          <w:spacing w:val="15"/>
        </w:rPr>
        <w:t xml:space="preserve"> </w:t>
      </w:r>
      <w:r>
        <w:t>TI</w:t>
      </w:r>
      <w:r>
        <w:rPr>
          <w:spacing w:val="15"/>
        </w:rPr>
        <w:t xml:space="preserve"> </w:t>
      </w:r>
      <w:r>
        <w:t>(ARRUDA,</w:t>
      </w:r>
      <w:r>
        <w:rPr>
          <w:spacing w:val="15"/>
        </w:rPr>
        <w:t xml:space="preserve"> </w:t>
      </w:r>
      <w:r>
        <w:rPr>
          <w:spacing w:val="1"/>
        </w:rPr>
        <w:t>2009).</w:t>
      </w:r>
    </w:p>
    <w:p w:rsidR="00D81F69" w:rsidRDefault="00330118">
      <w:pPr>
        <w:pStyle w:val="Corpodetexto"/>
        <w:spacing w:before="79" w:line="270" w:lineRule="atLeast"/>
        <w:ind w:right="92"/>
      </w:pPr>
      <w:r>
        <w:t>No final do mês de outubro de 2009, agentes da Funai, da Polícia Federal (PF) e do Instituto Brasileiro do Meio Ambiente e dos Recursos Naturais Renováveis (Ibama) iniciaram incursão para retirar os garimpeiros da TI. Desta vez, a ação</w:t>
      </w:r>
    </w:p>
    <w:p w:rsidR="00D81F69" w:rsidRDefault="00330118">
      <w:pPr>
        <w:pStyle w:val="Corpodetexto"/>
        <w:spacing w:before="63"/>
        <w:jc w:val="left"/>
      </w:pPr>
      <w:r>
        <w:br w:type="column"/>
      </w:r>
      <w:r>
        <w:lastRenderedPageBreak/>
        <w:t>estão sob constante</w:t>
      </w:r>
      <w:r>
        <w:t xml:space="preserve"> pressão da exploração madeireira ilegal</w:t>
      </w:r>
    </w:p>
    <w:p w:rsidR="00D81F69" w:rsidRDefault="00330118">
      <w:pPr>
        <w:pStyle w:val="Corpodetexto"/>
        <w:spacing w:before="63" w:line="312" w:lineRule="auto"/>
        <w:ind w:right="213"/>
      </w:pPr>
      <w:r>
        <w:t>— atividade que continua sendo desenvolvida abertamente (ARRUDA, 2009).</w:t>
      </w:r>
    </w:p>
    <w:p w:rsidR="00D81F69" w:rsidRDefault="00330118">
      <w:pPr>
        <w:pStyle w:val="Corpodetexto"/>
        <w:spacing w:before="131" w:line="312" w:lineRule="auto"/>
        <w:ind w:right="190"/>
      </w:pPr>
      <w:r>
        <w:t>A região também é alvo de exploradores de ouro, embora tenha sido observada a necessidade de se investigar a ocorrência da atividade garimpeira</w:t>
      </w:r>
      <w:r>
        <w:t xml:space="preserve"> recente (CONEXÃO TOCANTINS, 2009). A região pertence à província estrutural Parnaíba (HASUI et al., 1984 apud YAMAGUTI; VILLAS, 2003) ou aos blocos crustais Belém e São Luís que abrangem o nordeste do estado do Pará e o noroeste do estado do Maranhão (HAS</w:t>
      </w:r>
      <w:r>
        <w:t>UI et al., 1993 apud YAMAGUTI; VILLAS, 2003). Seu contexto geológico parece favorável à mineralização de ouro. Por esta razão, vários programas de exploração do minério foram realizados na área, sem que, contudo, nenhum depósito de vulto tenha sido descobe</w:t>
      </w:r>
      <w:r>
        <w:t>rto (YAMAGUTI; VILLAS, 2003).</w:t>
      </w:r>
    </w:p>
    <w:p w:rsidR="00D81F69" w:rsidRDefault="00330118">
      <w:pPr>
        <w:pStyle w:val="Corpodetexto"/>
        <w:spacing w:before="142" w:line="312" w:lineRule="auto"/>
        <w:ind w:right="203"/>
      </w:pPr>
      <w:r>
        <w:t xml:space="preserve">Em novembro de 2009, a PF, o Ibama, a Força Nacional de </w:t>
      </w:r>
      <w:r>
        <w:rPr>
          <w:spacing w:val="7"/>
        </w:rPr>
        <w:t xml:space="preserve">Segurança (FNS), </w:t>
      </w:r>
      <w:r>
        <w:t xml:space="preserve">a </w:t>
      </w:r>
      <w:r>
        <w:rPr>
          <w:spacing w:val="7"/>
        </w:rPr>
        <w:t xml:space="preserve">Funai </w:t>
      </w:r>
      <w:r>
        <w:t xml:space="preserve">e </w:t>
      </w:r>
      <w:r>
        <w:rPr>
          <w:spacing w:val="5"/>
        </w:rPr>
        <w:t xml:space="preserve">os </w:t>
      </w:r>
      <w:r>
        <w:rPr>
          <w:spacing w:val="7"/>
        </w:rPr>
        <w:t xml:space="preserve">Batalhões </w:t>
      </w:r>
      <w:r>
        <w:rPr>
          <w:spacing w:val="5"/>
        </w:rPr>
        <w:t xml:space="preserve">de </w:t>
      </w:r>
      <w:r>
        <w:rPr>
          <w:spacing w:val="10"/>
        </w:rPr>
        <w:t xml:space="preserve">Polícia </w:t>
      </w:r>
      <w:r>
        <w:rPr>
          <w:spacing w:val="1"/>
        </w:rPr>
        <w:t xml:space="preserve">Ambiental </w:t>
      </w:r>
      <w:r>
        <w:t xml:space="preserve">das PMs do </w:t>
      </w:r>
      <w:r>
        <w:rPr>
          <w:spacing w:val="1"/>
        </w:rPr>
        <w:t xml:space="preserve">Maranhão </w:t>
      </w:r>
      <w:r>
        <w:t xml:space="preserve">e </w:t>
      </w:r>
      <w:r>
        <w:rPr>
          <w:spacing w:val="1"/>
        </w:rPr>
        <w:t xml:space="preserve">Goiás realizaram </w:t>
      </w:r>
      <w:r>
        <w:rPr>
          <w:spacing w:val="2"/>
        </w:rPr>
        <w:t xml:space="preserve">mais </w:t>
      </w:r>
      <w:r>
        <w:t xml:space="preserve">uma grande ação conjunta, que resultou no fechamento de um garimpo ilegal de ouro, localizado nas proximidades da TI Alto Turiaçú. Segundo a PF, o garimpo, ativo há cerca de seis meses, chegou a ter aproximadamente 400 trabalhadores. Na </w:t>
      </w:r>
      <w:r>
        <w:rPr>
          <w:spacing w:val="8"/>
        </w:rPr>
        <w:t xml:space="preserve">ação, foram </w:t>
      </w:r>
      <w:r>
        <w:rPr>
          <w:spacing w:val="10"/>
        </w:rPr>
        <w:t xml:space="preserve">presas </w:t>
      </w:r>
      <w:r>
        <w:rPr>
          <w:spacing w:val="8"/>
        </w:rPr>
        <w:t xml:space="preserve">oito </w:t>
      </w:r>
      <w:r>
        <w:rPr>
          <w:spacing w:val="10"/>
        </w:rPr>
        <w:t xml:space="preserve">pessoas, dentre </w:t>
      </w:r>
      <w:r>
        <w:rPr>
          <w:spacing w:val="5"/>
        </w:rPr>
        <w:t xml:space="preserve">as </w:t>
      </w:r>
      <w:r>
        <w:rPr>
          <w:spacing w:val="8"/>
        </w:rPr>
        <w:t xml:space="preserve">quais </w:t>
      </w:r>
      <w:r>
        <w:t>o proprietário das terras, garimpeiros e donos de maquinários (GTERRA, 2009). Todos foram conduzidos à Base Operativa da Operação Aturawaca, no município de Santa Inês, onde foram feitos Termos Circunstanciados de Ocorrência. Os 12 autos de infração lavrad</w:t>
      </w:r>
      <w:r>
        <w:t xml:space="preserve">os na operação totalizaram R$ </w:t>
      </w:r>
      <w:r>
        <w:rPr>
          <w:spacing w:val="1"/>
        </w:rPr>
        <w:t xml:space="preserve">185 </w:t>
      </w:r>
      <w:r>
        <w:rPr>
          <w:spacing w:val="3"/>
        </w:rPr>
        <w:t xml:space="preserve">mil </w:t>
      </w:r>
      <w:r>
        <w:rPr>
          <w:spacing w:val="2"/>
        </w:rPr>
        <w:t xml:space="preserve">em </w:t>
      </w:r>
      <w:r>
        <w:rPr>
          <w:spacing w:val="5"/>
        </w:rPr>
        <w:t xml:space="preserve">multas </w:t>
      </w:r>
      <w:r>
        <w:rPr>
          <w:spacing w:val="3"/>
        </w:rPr>
        <w:t xml:space="preserve">por </w:t>
      </w:r>
      <w:r>
        <w:rPr>
          <w:spacing w:val="5"/>
        </w:rPr>
        <w:t xml:space="preserve">atividades exercidas </w:t>
      </w:r>
      <w:r>
        <w:rPr>
          <w:spacing w:val="3"/>
        </w:rPr>
        <w:t xml:space="preserve">sem </w:t>
      </w:r>
      <w:r>
        <w:rPr>
          <w:spacing w:val="5"/>
        </w:rPr>
        <w:t xml:space="preserve">licença </w:t>
      </w:r>
      <w:r>
        <w:rPr>
          <w:spacing w:val="6"/>
        </w:rPr>
        <w:t xml:space="preserve">da </w:t>
      </w:r>
      <w:r>
        <w:rPr>
          <w:spacing w:val="8"/>
        </w:rPr>
        <w:t xml:space="preserve">autoridade competente; </w:t>
      </w:r>
      <w:r>
        <w:rPr>
          <w:spacing w:val="5"/>
        </w:rPr>
        <w:t xml:space="preserve">por </w:t>
      </w:r>
      <w:r>
        <w:rPr>
          <w:spacing w:val="8"/>
        </w:rPr>
        <w:t xml:space="preserve">utilização </w:t>
      </w:r>
      <w:r>
        <w:rPr>
          <w:spacing w:val="5"/>
        </w:rPr>
        <w:t xml:space="preserve">de </w:t>
      </w:r>
      <w:hyperlink r:id="rId776">
        <w:r>
          <w:rPr>
            <w:spacing w:val="7"/>
          </w:rPr>
          <w:t>mercúrio</w:t>
        </w:r>
      </w:hyperlink>
      <w:r>
        <w:rPr>
          <w:spacing w:val="7"/>
        </w:rPr>
        <w:t xml:space="preserve"> </w:t>
      </w:r>
      <w:r>
        <w:t xml:space="preserve">— </w:t>
      </w:r>
      <w:r>
        <w:rPr>
          <w:spacing w:val="8"/>
        </w:rPr>
        <w:t xml:space="preserve">substância </w:t>
      </w:r>
      <w:r>
        <w:rPr>
          <w:spacing w:val="7"/>
        </w:rPr>
        <w:t>tóxica, nociva</w:t>
      </w:r>
      <w:r>
        <w:rPr>
          <w:spacing w:val="7"/>
        </w:rPr>
        <w:t xml:space="preserve"> </w:t>
      </w:r>
      <w:r>
        <w:t xml:space="preserve">à </w:t>
      </w:r>
      <w:r>
        <w:rPr>
          <w:spacing w:val="7"/>
        </w:rPr>
        <w:t xml:space="preserve">saúde humana </w:t>
      </w:r>
      <w:r>
        <w:t xml:space="preserve">e </w:t>
      </w:r>
      <w:r>
        <w:rPr>
          <w:spacing w:val="5"/>
        </w:rPr>
        <w:t xml:space="preserve">ao </w:t>
      </w:r>
      <w:r>
        <w:rPr>
          <w:spacing w:val="10"/>
        </w:rPr>
        <w:t xml:space="preserve">meio ambiente, </w:t>
      </w:r>
      <w:r>
        <w:rPr>
          <w:spacing w:val="8"/>
        </w:rPr>
        <w:t xml:space="preserve">usada </w:t>
      </w:r>
      <w:r>
        <w:rPr>
          <w:spacing w:val="5"/>
        </w:rPr>
        <w:t xml:space="preserve">na </w:t>
      </w:r>
      <w:r>
        <w:rPr>
          <w:spacing w:val="10"/>
        </w:rPr>
        <w:t xml:space="preserve">separação </w:t>
      </w:r>
      <w:r>
        <w:rPr>
          <w:spacing w:val="5"/>
        </w:rPr>
        <w:t xml:space="preserve">do </w:t>
      </w:r>
      <w:r>
        <w:rPr>
          <w:spacing w:val="8"/>
        </w:rPr>
        <w:t xml:space="preserve">ouro </w:t>
      </w:r>
      <w:r>
        <w:t xml:space="preserve">e </w:t>
      </w:r>
      <w:r>
        <w:rPr>
          <w:spacing w:val="7"/>
        </w:rPr>
        <w:t xml:space="preserve">que </w:t>
      </w:r>
      <w:r>
        <w:rPr>
          <w:spacing w:val="11"/>
        </w:rPr>
        <w:t xml:space="preserve">pode </w:t>
      </w:r>
      <w:r>
        <w:t>contaminar rios e córregos da região —; e por destruição de vegetação</w:t>
      </w:r>
      <w:r>
        <w:rPr>
          <w:spacing w:val="15"/>
        </w:rPr>
        <w:t xml:space="preserve"> </w:t>
      </w:r>
      <w:r>
        <w:t>em</w:t>
      </w:r>
      <w:r>
        <w:rPr>
          <w:spacing w:val="15"/>
        </w:rPr>
        <w:t xml:space="preserve"> </w:t>
      </w:r>
      <w:r>
        <w:t>área</w:t>
      </w:r>
      <w:r>
        <w:rPr>
          <w:spacing w:val="15"/>
        </w:rPr>
        <w:t xml:space="preserve"> </w:t>
      </w:r>
      <w:r>
        <w:t>de</w:t>
      </w:r>
      <w:r>
        <w:rPr>
          <w:spacing w:val="15"/>
        </w:rPr>
        <w:t xml:space="preserve"> </w:t>
      </w:r>
      <w:r>
        <w:t>preservação</w:t>
      </w:r>
      <w:r>
        <w:rPr>
          <w:spacing w:val="15"/>
        </w:rPr>
        <w:t xml:space="preserve"> </w:t>
      </w:r>
      <w:r>
        <w:t>(DIETRICH,</w:t>
      </w:r>
      <w:r>
        <w:rPr>
          <w:spacing w:val="15"/>
        </w:rPr>
        <w:t xml:space="preserve"> </w:t>
      </w:r>
      <w:r>
        <w:t>2009).</w:t>
      </w:r>
    </w:p>
    <w:p w:rsidR="00D81F69" w:rsidRDefault="00330118">
      <w:pPr>
        <w:pStyle w:val="Corpodetexto"/>
        <w:spacing w:before="148"/>
      </w:pPr>
      <w:r>
        <w:t>Para realização da ação foi necessária ainda a utilização de</w:t>
      </w:r>
    </w:p>
    <w:p w:rsidR="00D81F69" w:rsidRDefault="00D81F69">
      <w:pPr>
        <w:sectPr w:rsidR="00D81F69">
          <w:type w:val="continuous"/>
          <w:pgSz w:w="11900" w:h="16840"/>
          <w:pgMar w:top="720" w:right="500" w:bottom="280" w:left="620" w:header="720" w:footer="720" w:gutter="0"/>
          <w:cols w:num="2" w:space="720" w:equalWidth="0">
            <w:col w:w="5195" w:space="275"/>
            <w:col w:w="5310"/>
          </w:cols>
        </w:sectPr>
      </w:pPr>
    </w:p>
    <w:p w:rsidR="00D81F69" w:rsidRDefault="00330118">
      <w:pPr>
        <w:pStyle w:val="Corpodetexto"/>
        <w:spacing w:before="81" w:line="312" w:lineRule="auto"/>
        <w:ind w:right="41"/>
      </w:pPr>
      <w:r>
        <w:lastRenderedPageBreak/>
        <w:t xml:space="preserve">três caminhões para a retirada de todo o maquinário apreendido, que incluía dragas, moinhos, motores, bombas, etc. No local, foram encontrados 20 motores utilizados para fazer funcionar quatro bombas d'água e 11 moinhos. Também </w:t>
      </w:r>
      <w:r>
        <w:t>havia uma considerável quantidade de mercúrio (GTERRA, 2009), além de armas brancas. Todo o material apreendido foi levado para Santa Inês (DIETRICH, 2009) e previamente avaliado em cerca de R$ 150 mil. Segundo dados preliminares da perícia da PF, a área d</w:t>
      </w:r>
      <w:r>
        <w:t>anificada seria equivalente a quatro estádios do Maracanã, mas ainda não teria sido possível mensurar a extensão de todos os danos ambientais gerados (GTERRA, 2009).</w:t>
      </w:r>
    </w:p>
    <w:p w:rsidR="00D81F69" w:rsidRDefault="00330118">
      <w:pPr>
        <w:pStyle w:val="Corpodetexto"/>
        <w:spacing w:before="141" w:line="312" w:lineRule="auto"/>
        <w:ind w:right="39"/>
      </w:pPr>
      <w:r>
        <w:t>Quanto ao histórico da extração de ouro no estado do Maranhão (mormente na parte oeste), p</w:t>
      </w:r>
      <w:r>
        <w:t>ontua-se que a atividade garimpeira teve início ainda no período colonial, como atividade clandestina de escravos fugitivos e mineiros que procuravam escapar dos esforços da Coroa Portuguesa de tributar e regulamentar a mineração no Brasil. Já em 1810, com</w:t>
      </w:r>
      <w:r>
        <w:t>unidades de escravos fugitivos (mocambos e quilombos) começaram a se formar em área genericamente denominada “matas de Turiaçu”, terras das quais já seria extraído ouro. A garimpagem foi ilegal durante a maior parte de sua história, mas, em determinados pe</w:t>
      </w:r>
      <w:r>
        <w:t>ríodos, também contou com a promoção dos governos de estado, articulando interesses privados (inclusive estrangeiros) e da gestão pública. No Maranhão, em 1854, o governo organizou programas que visavam à importação de colonos para trabalhar em projetos qu</w:t>
      </w:r>
      <w:r>
        <w:t>e combinavam agricultura e extração de ouro (CLEARY, 1992).</w:t>
      </w:r>
    </w:p>
    <w:p w:rsidR="00D81F69" w:rsidRDefault="00330118">
      <w:pPr>
        <w:pStyle w:val="Corpodetexto"/>
        <w:spacing w:before="146" w:line="312" w:lineRule="auto"/>
        <w:ind w:right="38"/>
      </w:pPr>
      <w:r>
        <w:t>A instalação da Montes Áureos Gold Mining Company (companhia de mineração de capital inglês, que contava também com investimentos do grande capital brasileiro à época – como o do Barão de Mauá) re</w:t>
      </w:r>
      <w:r>
        <w:t>presentou um grande feito e de longe a mais significativa operação de mineração de ouro empreendida no Maranhão até 1980 (CLEARY, 1992). Situada na região de Montes Áureos, noroeste do estado, a aproximadamente 90 km da ponte sobre o rio Gurupi, na rodovia</w:t>
      </w:r>
      <w:r>
        <w:t xml:space="preserve"> BR-316, dentro de uma estrutura ao longo da qual se encontram diversas ocorrências e antigos garimpos de ouro (YAMAGUTI; VILLAS, 2003), a instalação, no entanto, teve vida curta, deixando de funcionar 10 anos depois, quando o contrato de arrendamento venc</w:t>
      </w:r>
      <w:r>
        <w:t>eu e, por razões não esclarecidas historicamente, não foi renovado (CLEARY, 1992).</w:t>
      </w:r>
    </w:p>
    <w:p w:rsidR="00D81F69" w:rsidRDefault="00330118">
      <w:pPr>
        <w:pStyle w:val="Corpodetexto"/>
        <w:spacing w:before="143" w:line="312" w:lineRule="auto"/>
        <w:ind w:right="42"/>
      </w:pPr>
      <w:r>
        <w:rPr>
          <w:spacing w:val="10"/>
        </w:rPr>
        <w:t xml:space="preserve">Como </w:t>
      </w:r>
      <w:r>
        <w:rPr>
          <w:spacing w:val="12"/>
        </w:rPr>
        <w:t xml:space="preserve">resultado, voltaram </w:t>
      </w:r>
      <w:r>
        <w:t xml:space="preserve">a </w:t>
      </w:r>
      <w:r>
        <w:rPr>
          <w:spacing w:val="12"/>
        </w:rPr>
        <w:t xml:space="preserve">proliferar </w:t>
      </w:r>
      <w:r>
        <w:rPr>
          <w:spacing w:val="6"/>
        </w:rPr>
        <w:t xml:space="preserve">os </w:t>
      </w:r>
      <w:r>
        <w:rPr>
          <w:spacing w:val="15"/>
        </w:rPr>
        <w:t xml:space="preserve">garimpos </w:t>
      </w:r>
      <w:r>
        <w:rPr>
          <w:spacing w:val="5"/>
        </w:rPr>
        <w:t xml:space="preserve">clandestinos. </w:t>
      </w:r>
      <w:r>
        <w:rPr>
          <w:spacing w:val="3"/>
        </w:rPr>
        <w:t xml:space="preserve">Pelos idos </w:t>
      </w:r>
      <w:r>
        <w:rPr>
          <w:spacing w:val="2"/>
        </w:rPr>
        <w:t xml:space="preserve">de </w:t>
      </w:r>
      <w:r>
        <w:rPr>
          <w:spacing w:val="5"/>
        </w:rPr>
        <w:t>1970-1980, compreendendo</w:t>
      </w:r>
      <w:r>
        <w:rPr>
          <w:spacing w:val="61"/>
        </w:rPr>
        <w:t xml:space="preserve"> </w:t>
      </w:r>
      <w:r>
        <w:rPr>
          <w:spacing w:val="5"/>
        </w:rPr>
        <w:t xml:space="preserve">inclusive </w:t>
      </w:r>
      <w:r>
        <w:t xml:space="preserve">o </w:t>
      </w:r>
      <w:r>
        <w:rPr>
          <w:spacing w:val="5"/>
        </w:rPr>
        <w:t xml:space="preserve">contexto </w:t>
      </w:r>
      <w:r>
        <w:rPr>
          <w:spacing w:val="2"/>
        </w:rPr>
        <w:t xml:space="preserve">em </w:t>
      </w:r>
      <w:r>
        <w:rPr>
          <w:spacing w:val="3"/>
        </w:rPr>
        <w:t xml:space="preserve">que </w:t>
      </w:r>
      <w:r>
        <w:rPr>
          <w:spacing w:val="2"/>
        </w:rPr>
        <w:t xml:space="preserve">se dá </w:t>
      </w:r>
      <w:r>
        <w:t xml:space="preserve">a </w:t>
      </w:r>
      <w:r>
        <w:rPr>
          <w:spacing w:val="5"/>
        </w:rPr>
        <w:t xml:space="preserve">corrida </w:t>
      </w:r>
      <w:r>
        <w:rPr>
          <w:spacing w:val="2"/>
        </w:rPr>
        <w:t xml:space="preserve">do </w:t>
      </w:r>
      <w:r>
        <w:rPr>
          <w:spacing w:val="3"/>
        </w:rPr>
        <w:t xml:space="preserve">ouro </w:t>
      </w:r>
      <w:r>
        <w:rPr>
          <w:spacing w:val="5"/>
        </w:rPr>
        <w:t xml:space="preserve">na </w:t>
      </w:r>
      <w:r>
        <w:rPr>
          <w:spacing w:val="3"/>
        </w:rPr>
        <w:t xml:space="preserve">Amazônia, </w:t>
      </w:r>
      <w:r>
        <w:rPr>
          <w:spacing w:val="1"/>
        </w:rPr>
        <w:t xml:space="preserve">um </w:t>
      </w:r>
      <w:r>
        <w:rPr>
          <w:spacing w:val="3"/>
        </w:rPr>
        <w:t xml:space="preserve">projeto </w:t>
      </w:r>
      <w:r>
        <w:rPr>
          <w:spacing w:val="1"/>
        </w:rPr>
        <w:t xml:space="preserve">de </w:t>
      </w:r>
      <w:r>
        <w:rPr>
          <w:spacing w:val="3"/>
        </w:rPr>
        <w:t xml:space="preserve">colonização </w:t>
      </w:r>
      <w:r>
        <w:rPr>
          <w:spacing w:val="1"/>
        </w:rPr>
        <w:t xml:space="preserve">do </w:t>
      </w:r>
      <w:r>
        <w:rPr>
          <w:spacing w:val="3"/>
        </w:rPr>
        <w:t xml:space="preserve">estado </w:t>
      </w:r>
      <w:r>
        <w:rPr>
          <w:spacing w:val="5"/>
        </w:rPr>
        <w:t xml:space="preserve">provocou </w:t>
      </w:r>
      <w:r>
        <w:t xml:space="preserve">novo influxo populacional na região. Pequenos empresários de toda parte do Maranhão, e também de estados vizinhos, assim como garimpeiros, instalaram-se nas proximidades no </w:t>
      </w:r>
      <w:r>
        <w:rPr>
          <w:spacing w:val="5"/>
        </w:rPr>
        <w:t xml:space="preserve">rio </w:t>
      </w:r>
      <w:r>
        <w:rPr>
          <w:spacing w:val="7"/>
        </w:rPr>
        <w:t xml:space="preserve">Gurupi. </w:t>
      </w:r>
      <w:r>
        <w:rPr>
          <w:spacing w:val="8"/>
        </w:rPr>
        <w:t xml:space="preserve">Observa-se, entretanto, </w:t>
      </w:r>
      <w:r>
        <w:rPr>
          <w:spacing w:val="5"/>
        </w:rPr>
        <w:t>que a</w:t>
      </w:r>
      <w:r>
        <w:rPr>
          <w:spacing w:val="5"/>
        </w:rPr>
        <w:t xml:space="preserve">s </w:t>
      </w:r>
      <w:r>
        <w:rPr>
          <w:spacing w:val="10"/>
        </w:rPr>
        <w:t xml:space="preserve">atividades </w:t>
      </w:r>
      <w:r>
        <w:t xml:space="preserve">garimpeiras no Maranhão já não se comparam mais, tanto em </w:t>
      </w:r>
      <w:r>
        <w:rPr>
          <w:spacing w:val="3"/>
        </w:rPr>
        <w:t xml:space="preserve">relação </w:t>
      </w:r>
      <w:r>
        <w:rPr>
          <w:spacing w:val="1"/>
        </w:rPr>
        <w:t xml:space="preserve">ao </w:t>
      </w:r>
      <w:r>
        <w:rPr>
          <w:spacing w:val="3"/>
        </w:rPr>
        <w:t xml:space="preserve">número quanto </w:t>
      </w:r>
      <w:r>
        <w:t xml:space="preserve">à </w:t>
      </w:r>
      <w:r>
        <w:rPr>
          <w:spacing w:val="3"/>
        </w:rPr>
        <w:t xml:space="preserve">produção, </w:t>
      </w:r>
      <w:r>
        <w:rPr>
          <w:spacing w:val="2"/>
        </w:rPr>
        <w:t xml:space="preserve">com </w:t>
      </w:r>
      <w:r>
        <w:t xml:space="preserve">o </w:t>
      </w:r>
      <w:r>
        <w:rPr>
          <w:spacing w:val="3"/>
        </w:rPr>
        <w:t xml:space="preserve">volume </w:t>
      </w:r>
      <w:r>
        <w:rPr>
          <w:spacing w:val="5"/>
        </w:rPr>
        <w:t xml:space="preserve">da </w:t>
      </w:r>
      <w:r>
        <w:rPr>
          <w:spacing w:val="3"/>
        </w:rPr>
        <w:t>atividade</w:t>
      </w:r>
      <w:r>
        <w:rPr>
          <w:spacing w:val="35"/>
        </w:rPr>
        <w:t xml:space="preserve"> </w:t>
      </w:r>
      <w:r>
        <w:rPr>
          <w:spacing w:val="1"/>
        </w:rPr>
        <w:t>em</w:t>
      </w:r>
      <w:r>
        <w:rPr>
          <w:spacing w:val="35"/>
        </w:rPr>
        <w:t xml:space="preserve"> </w:t>
      </w:r>
      <w:r>
        <w:rPr>
          <w:spacing w:val="3"/>
        </w:rPr>
        <w:t>outras</w:t>
      </w:r>
      <w:r>
        <w:rPr>
          <w:spacing w:val="35"/>
        </w:rPr>
        <w:t xml:space="preserve"> </w:t>
      </w:r>
      <w:r>
        <w:rPr>
          <w:spacing w:val="3"/>
        </w:rPr>
        <w:t>regiões</w:t>
      </w:r>
      <w:r>
        <w:rPr>
          <w:spacing w:val="35"/>
        </w:rPr>
        <w:t xml:space="preserve"> </w:t>
      </w:r>
      <w:r>
        <w:rPr>
          <w:spacing w:val="3"/>
        </w:rPr>
        <w:t>garimpeiras,</w:t>
      </w:r>
      <w:r>
        <w:rPr>
          <w:spacing w:val="35"/>
        </w:rPr>
        <w:t xml:space="preserve"> </w:t>
      </w:r>
      <w:r>
        <w:rPr>
          <w:spacing w:val="2"/>
        </w:rPr>
        <w:t>nos</w:t>
      </w:r>
      <w:r>
        <w:rPr>
          <w:spacing w:val="35"/>
        </w:rPr>
        <w:t xml:space="preserve"> </w:t>
      </w:r>
      <w:r>
        <w:rPr>
          <w:spacing w:val="3"/>
        </w:rPr>
        <w:t>estados</w:t>
      </w:r>
      <w:r>
        <w:rPr>
          <w:spacing w:val="35"/>
        </w:rPr>
        <w:t xml:space="preserve"> </w:t>
      </w:r>
      <w:r>
        <w:rPr>
          <w:spacing w:val="5"/>
        </w:rPr>
        <w:t>do</w:t>
      </w:r>
    </w:p>
    <w:p w:rsidR="00D81F69" w:rsidRDefault="00330118">
      <w:pPr>
        <w:pStyle w:val="Corpodetexto"/>
        <w:spacing w:before="81"/>
      </w:pPr>
      <w:r>
        <w:br w:type="column"/>
      </w:r>
      <w:r>
        <w:lastRenderedPageBreak/>
        <w:t>Pará, Mato Grosso e Rondônia (CLEARY, 1992).</w:t>
      </w:r>
    </w:p>
    <w:p w:rsidR="00D81F69" w:rsidRDefault="00D81F69">
      <w:pPr>
        <w:pStyle w:val="Corpodetexto"/>
        <w:spacing w:before="5"/>
        <w:ind w:left="0"/>
        <w:jc w:val="left"/>
        <w:rPr>
          <w:sz w:val="26"/>
        </w:rPr>
      </w:pPr>
    </w:p>
    <w:p w:rsidR="00D81F69" w:rsidRDefault="00330118">
      <w:pPr>
        <w:pStyle w:val="Heading7"/>
      </w:pPr>
      <w:r>
        <w:t>LOCALIZAÇÃO GEOGRÁFICA</w:t>
      </w:r>
    </w:p>
    <w:p w:rsidR="00D81F69" w:rsidRDefault="00330118">
      <w:pPr>
        <w:pStyle w:val="Corpodetexto"/>
        <w:spacing w:before="179" w:line="312" w:lineRule="auto"/>
        <w:ind w:right="204"/>
      </w:pPr>
      <w:r>
        <w:t>A terr</w:t>
      </w:r>
      <w:r>
        <w:t>a indígena Alto Turiaçu está situada no município de Centro do Guilherme (latitude 2°19'18''S e longitude 46°5'50''W), às margens do rio Gurupi que divide os territórios do Maranhão e do Pará.</w:t>
      </w:r>
    </w:p>
    <w:p w:rsidR="00D81F69" w:rsidRDefault="00D81F69">
      <w:pPr>
        <w:pStyle w:val="Corpodetexto"/>
        <w:spacing w:before="1"/>
        <w:ind w:left="0"/>
        <w:jc w:val="left"/>
        <w:rPr>
          <w:sz w:val="29"/>
        </w:rPr>
      </w:pPr>
    </w:p>
    <w:p w:rsidR="00D81F69" w:rsidRDefault="00330118">
      <w:pPr>
        <w:pStyle w:val="Heading7"/>
      </w:pPr>
      <w:r>
        <w:t>REDATORES</w:t>
      </w:r>
    </w:p>
    <w:p w:rsidR="00D81F69" w:rsidRDefault="00330118">
      <w:pPr>
        <w:pStyle w:val="Corpodetexto"/>
        <w:spacing w:before="179"/>
      </w:pPr>
      <w:r>
        <w:t>Laura Maul C. Costa</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199"/>
        <w:jc w:val="both"/>
        <w:rPr>
          <w:sz w:val="16"/>
        </w:rPr>
      </w:pPr>
      <w:r>
        <w:rPr>
          <w:sz w:val="16"/>
        </w:rPr>
        <w:t>ARRUDA, Roldão. Ação da Funai e PF desaloja garimpeiros. O Estado de São Paulo Online, São Paulo, 24 out. 2009. Disponível em:</w:t>
      </w:r>
    </w:p>
    <w:p w:rsidR="00D81F69" w:rsidRDefault="00D81F69">
      <w:pPr>
        <w:spacing w:before="2" w:line="312" w:lineRule="auto"/>
        <w:ind w:left="100" w:right="216"/>
        <w:jc w:val="both"/>
        <w:rPr>
          <w:sz w:val="16"/>
        </w:rPr>
      </w:pPr>
      <w:hyperlink r:id="rId777">
        <w:r w:rsidR="00330118">
          <w:rPr>
            <w:sz w:val="16"/>
          </w:rPr>
          <w:t>&lt;http://www.estadao.com.br/noticia_imp.php?req</w:t>
        </w:r>
        <w:r w:rsidR="00330118">
          <w:rPr>
            <w:sz w:val="16"/>
          </w:rPr>
          <w:t>=not_imp455724,0.p</w:t>
        </w:r>
      </w:hyperlink>
      <w:r w:rsidR="00330118">
        <w:rPr>
          <w:sz w:val="16"/>
        </w:rPr>
        <w:t xml:space="preserve"> hp&gt;. Acesso em: 28 jun. 2010.</w:t>
      </w:r>
    </w:p>
    <w:p w:rsidR="00D81F69" w:rsidRDefault="00330118">
      <w:pPr>
        <w:spacing w:before="1" w:line="312" w:lineRule="auto"/>
        <w:ind w:left="100" w:right="206"/>
        <w:jc w:val="both"/>
        <w:rPr>
          <w:sz w:val="16"/>
        </w:rPr>
      </w:pPr>
      <w:r>
        <w:rPr>
          <w:sz w:val="16"/>
        </w:rPr>
        <w:t>CLEARY, David. A garimpagem de ouro na Amazônia: Uma abordagem antropológica. Tradução de Virgínia Rodrigues Malm, do original inglês “Anatomy of the Amazon Gold Rush” de 1990. Edição brasileira: Rio de Jane</w:t>
      </w:r>
      <w:r>
        <w:rPr>
          <w:sz w:val="16"/>
        </w:rPr>
        <w:t>iro, UFRJ, 1992. 237p.</w:t>
      </w:r>
    </w:p>
    <w:p w:rsidR="00D81F69" w:rsidRDefault="00330118">
      <w:pPr>
        <w:spacing w:before="4" w:line="312" w:lineRule="auto"/>
        <w:ind w:left="100" w:right="182"/>
        <w:jc w:val="both"/>
        <w:rPr>
          <w:sz w:val="16"/>
        </w:rPr>
      </w:pPr>
      <w:r>
        <w:rPr>
          <w:sz w:val="16"/>
        </w:rPr>
        <w:t xml:space="preserve">CONEXÃO TOCANTINS. Operação policial destrói 70 mil pés de maconha no Alto Turiaçu. In: Guia Global, Informativo de quem tem e faz opinião. Maringá, 20 out. 2009. Disponível em: </w:t>
      </w:r>
    </w:p>
    <w:p w:rsidR="00D81F69" w:rsidRDefault="00D81F69">
      <w:pPr>
        <w:spacing w:before="2" w:line="312" w:lineRule="auto"/>
        <w:ind w:left="100" w:right="159"/>
        <w:rPr>
          <w:sz w:val="16"/>
        </w:rPr>
      </w:pPr>
      <w:hyperlink r:id="rId778">
        <w:r w:rsidR="00330118">
          <w:rPr>
            <w:sz w:val="16"/>
          </w:rPr>
          <w:t xml:space="preserve">&lt; h t t p : / / w w w . g u i a g l o b a l . c o m . b r / n o t i c i a - </w:t>
        </w:r>
      </w:hyperlink>
      <w:r w:rsidR="00330118">
        <w:rPr>
          <w:sz w:val="16"/>
        </w:rPr>
        <w:t>operacao_policial_destroi_70_mil_pes_de_maconha_no_alto_turiacu- 3341&gt;. Acesso em: 05 mar. 2011.</w:t>
      </w:r>
    </w:p>
    <w:p w:rsidR="00D81F69" w:rsidRDefault="00330118">
      <w:pPr>
        <w:tabs>
          <w:tab w:val="left" w:pos="2559"/>
          <w:tab w:val="left" w:pos="5063"/>
        </w:tabs>
        <w:spacing w:before="2" w:line="312" w:lineRule="auto"/>
        <w:ind w:left="100" w:right="200"/>
        <w:jc w:val="both"/>
        <w:rPr>
          <w:sz w:val="16"/>
        </w:rPr>
      </w:pPr>
      <w:r>
        <w:rPr>
          <w:spacing w:val="7"/>
          <w:sz w:val="16"/>
        </w:rPr>
        <w:t xml:space="preserve">DIETRICH, </w:t>
      </w:r>
      <w:r>
        <w:rPr>
          <w:spacing w:val="8"/>
          <w:sz w:val="16"/>
        </w:rPr>
        <w:t xml:space="preserve">Christian. </w:t>
      </w:r>
      <w:r>
        <w:rPr>
          <w:spacing w:val="7"/>
          <w:sz w:val="16"/>
        </w:rPr>
        <w:t xml:space="preserve">Operação desmonta garimpo ilegal </w:t>
      </w:r>
      <w:r>
        <w:rPr>
          <w:spacing w:val="10"/>
          <w:sz w:val="16"/>
        </w:rPr>
        <w:t xml:space="preserve">no </w:t>
      </w:r>
      <w:r>
        <w:rPr>
          <w:sz w:val="16"/>
        </w:rPr>
        <w:t>Maranhão. Instituto Socioambiental (ISA), 12 nov. 2009. Disponível    e</w:t>
      </w:r>
      <w:r>
        <w:rPr>
          <w:sz w:val="16"/>
        </w:rPr>
        <w:tab/>
        <w:t>m</w:t>
      </w:r>
      <w:r>
        <w:rPr>
          <w:sz w:val="16"/>
        </w:rPr>
        <w:tab/>
        <w:t>:</w:t>
      </w:r>
    </w:p>
    <w:p w:rsidR="00D81F69" w:rsidRDefault="00D81F69">
      <w:pPr>
        <w:spacing w:before="3" w:line="312" w:lineRule="auto"/>
        <w:ind w:left="100" w:right="216"/>
        <w:jc w:val="both"/>
        <w:rPr>
          <w:sz w:val="16"/>
        </w:rPr>
      </w:pPr>
      <w:hyperlink r:id="rId779">
        <w:r w:rsidR="00330118">
          <w:rPr>
            <w:sz w:val="16"/>
          </w:rPr>
          <w:t>&lt;http://pib.socioambiental.org/caracterizacao.php?id_arp=3575#7488</w:t>
        </w:r>
      </w:hyperlink>
      <w:r w:rsidR="00330118">
        <w:rPr>
          <w:sz w:val="16"/>
        </w:rPr>
        <w:t xml:space="preserve"> 4&gt;. Acesso em: 04 mar. 201</w:t>
      </w:r>
      <w:r w:rsidR="00330118">
        <w:rPr>
          <w:sz w:val="16"/>
        </w:rPr>
        <w:t>1.</w:t>
      </w:r>
    </w:p>
    <w:p w:rsidR="00D81F69" w:rsidRDefault="00330118">
      <w:pPr>
        <w:spacing w:before="2" w:line="312" w:lineRule="auto"/>
        <w:ind w:left="100" w:right="188"/>
        <w:jc w:val="both"/>
        <w:rPr>
          <w:sz w:val="16"/>
        </w:rPr>
      </w:pPr>
      <w:r>
        <w:rPr>
          <w:sz w:val="16"/>
        </w:rPr>
        <w:t xml:space="preserve">FUNAI, Fundação Nacional do Índio. Povos Indígenas. Coordenação Geral de Geoprocessamento (CGGEO). Brasília, DF, 2011. Disponível em: </w:t>
      </w:r>
      <w:hyperlink r:id="rId780">
        <w:r>
          <w:rPr>
            <w:sz w:val="16"/>
          </w:rPr>
          <w:t>&lt;http://www.funai.gov.br/mapas/fundiario/ma/ma-</w:t>
        </w:r>
      </w:hyperlink>
      <w:r>
        <w:rPr>
          <w:sz w:val="16"/>
        </w:rPr>
        <w:t xml:space="preserve"> altotur</w:t>
      </w:r>
      <w:r>
        <w:rPr>
          <w:sz w:val="16"/>
        </w:rPr>
        <w:t>iacu.htm&gt;. Acesso em: 05 mar. 2011.</w:t>
      </w:r>
    </w:p>
    <w:p w:rsidR="00D81F69" w:rsidRDefault="00330118">
      <w:pPr>
        <w:spacing w:before="3" w:line="312" w:lineRule="auto"/>
        <w:ind w:left="100" w:right="212"/>
        <w:jc w:val="both"/>
        <w:rPr>
          <w:sz w:val="16"/>
        </w:rPr>
      </w:pPr>
      <w:r>
        <w:rPr>
          <w:sz w:val="16"/>
        </w:rPr>
        <w:t xml:space="preserve">GTERRA. Polícia Federal fecha garimpo no Maranhão. Teresina, 11 nov. 2009. Disponível em: </w:t>
      </w:r>
      <w:hyperlink r:id="rId781">
        <w:r>
          <w:rPr>
            <w:sz w:val="16"/>
          </w:rPr>
          <w:t>&lt;http://www.gterra.com.br/policia/policia-</w:t>
        </w:r>
      </w:hyperlink>
      <w:r>
        <w:rPr>
          <w:sz w:val="16"/>
        </w:rPr>
        <w:t xml:space="preserve"> federal-fecha-garimpo-no-mar</w:t>
      </w:r>
      <w:r>
        <w:rPr>
          <w:sz w:val="16"/>
        </w:rPr>
        <w:t>anhao-21307.html&gt;. Acesso em: 04 mar. 2011.</w:t>
      </w:r>
    </w:p>
    <w:p w:rsidR="00D81F69" w:rsidRDefault="00330118">
      <w:pPr>
        <w:spacing w:before="3" w:line="312" w:lineRule="auto"/>
        <w:ind w:left="100" w:right="182"/>
        <w:jc w:val="both"/>
        <w:rPr>
          <w:sz w:val="16"/>
        </w:rPr>
      </w:pPr>
      <w:r>
        <w:rPr>
          <w:sz w:val="16"/>
        </w:rPr>
        <w:t xml:space="preserve">IBGE, Instituto Brasileiro de Geografia e Estatística. Centro do Guilherme. In: IBGE Cidades, 2010. Disponível em: </w:t>
      </w:r>
    </w:p>
    <w:p w:rsidR="00D81F69" w:rsidRDefault="00D81F69">
      <w:pPr>
        <w:spacing w:before="2"/>
        <w:ind w:left="100"/>
        <w:jc w:val="both"/>
        <w:rPr>
          <w:sz w:val="16"/>
        </w:rPr>
      </w:pPr>
      <w:hyperlink r:id="rId782">
        <w:r w:rsidR="00330118">
          <w:rPr>
            <w:sz w:val="16"/>
          </w:rPr>
          <w:t>&lt;</w:t>
        </w:r>
        <w:r w:rsidR="00330118">
          <w:rPr>
            <w:sz w:val="16"/>
          </w:rPr>
          <w:t>http://www.ibge.gov.br/cidadesat/xtras/perfil.php?codmun=210315&amp;r</w:t>
        </w:r>
      </w:hyperlink>
    </w:p>
    <w:p w:rsidR="00D81F69" w:rsidRDefault="00330118">
      <w:pPr>
        <w:spacing w:before="56"/>
        <w:ind w:left="100"/>
        <w:jc w:val="both"/>
        <w:rPr>
          <w:sz w:val="16"/>
        </w:rPr>
      </w:pPr>
      <w:r>
        <w:rPr>
          <w:sz w:val="16"/>
        </w:rPr>
        <w:t>=2&gt;. Acesso em: 24 maio 2011.</w:t>
      </w:r>
    </w:p>
    <w:p w:rsidR="00D81F69" w:rsidRDefault="00330118">
      <w:pPr>
        <w:spacing w:before="56" w:line="312" w:lineRule="auto"/>
        <w:ind w:left="100" w:right="194"/>
        <w:jc w:val="both"/>
        <w:rPr>
          <w:sz w:val="16"/>
        </w:rPr>
      </w:pPr>
      <w:r>
        <w:rPr>
          <w:sz w:val="16"/>
        </w:rPr>
        <w:t>INSTITUTO SOCIOAMBIENTAL. Povos Indígenas no Brasil, Terras Indígenas / Caracterização Socioambiental das Terras Indígenas no Brasil / Alto Turiaçu. Caracteriza</w:t>
      </w:r>
      <w:r>
        <w:rPr>
          <w:sz w:val="16"/>
        </w:rPr>
        <w:t>ção Geral, 2011. Disponível em:</w:t>
      </w:r>
    </w:p>
    <w:p w:rsidR="00D81F69" w:rsidRDefault="00D81F69">
      <w:pPr>
        <w:spacing w:before="2" w:line="312" w:lineRule="auto"/>
        <w:ind w:left="100" w:right="193"/>
        <w:jc w:val="both"/>
        <w:rPr>
          <w:sz w:val="16"/>
        </w:rPr>
      </w:pPr>
      <w:hyperlink r:id="rId783">
        <w:r w:rsidR="00330118">
          <w:rPr>
            <w:sz w:val="16"/>
          </w:rPr>
          <w:t>&lt;http://pib.socioambiental.org/caracterizacao.php?id_arp=3575&gt;.</w:t>
        </w:r>
      </w:hyperlink>
      <w:r w:rsidR="00330118">
        <w:rPr>
          <w:sz w:val="16"/>
        </w:rPr>
        <w:t xml:space="preserve"> Acesso em: 05 mar. 2011.</w:t>
      </w:r>
    </w:p>
    <w:p w:rsidR="00D81F69" w:rsidRDefault="00330118">
      <w:pPr>
        <w:spacing w:before="2" w:line="312" w:lineRule="auto"/>
        <w:ind w:left="100" w:right="195"/>
        <w:jc w:val="both"/>
        <w:rPr>
          <w:sz w:val="16"/>
        </w:rPr>
      </w:pPr>
      <w:r>
        <w:rPr>
          <w:sz w:val="16"/>
        </w:rPr>
        <w:t>YAMAGUTI, Humberto Sabro; VILLAS, Raimundo Netuno. Estudo</w:t>
      </w:r>
      <w:r>
        <w:rPr>
          <w:sz w:val="16"/>
        </w:rPr>
        <w:t xml:space="preserve"> microtermométrico dos fluidos hidrotermais relacionados com a mineralização aurífera de Montes Áureos, NW do Maranhão. Revista Brasileira de Geociências 33(1): 21-32, mar. 2003. Disponível em:</w:t>
      </w:r>
    </w:p>
    <w:p w:rsidR="00D81F69" w:rsidRDefault="00D81F69">
      <w:pPr>
        <w:spacing w:before="3"/>
        <w:ind w:left="100"/>
        <w:jc w:val="both"/>
        <w:rPr>
          <w:sz w:val="16"/>
        </w:rPr>
      </w:pPr>
      <w:hyperlink r:id="rId784">
        <w:r w:rsidR="00330118">
          <w:rPr>
            <w:sz w:val="16"/>
          </w:rPr>
          <w:t>&lt;http://ojs.c3sl.ufpr.br/ojs2/index.php/rbg/article/download/10382/7607</w:t>
        </w:r>
      </w:hyperlink>
    </w:p>
    <w:p w:rsidR="00D81F69" w:rsidRDefault="00330118">
      <w:pPr>
        <w:spacing w:before="56"/>
        <w:ind w:left="100"/>
        <w:jc w:val="both"/>
        <w:rPr>
          <w:sz w:val="16"/>
        </w:rPr>
      </w:pPr>
      <w:r>
        <w:rPr>
          <w:sz w:val="16"/>
        </w:rPr>
        <w:t>&gt;. Acesso em: 26 maio 2011.</w:t>
      </w:r>
    </w:p>
    <w:p w:rsidR="00D81F69" w:rsidRDefault="00D81F69">
      <w:pPr>
        <w:jc w:val="both"/>
        <w:rPr>
          <w:sz w:val="16"/>
        </w:rPr>
        <w:sectPr w:rsidR="00D81F69">
          <w:pgSz w:w="11900" w:h="16840"/>
          <w:pgMar w:top="740" w:right="500" w:bottom="720" w:left="620" w:header="0" w:footer="402" w:gutter="0"/>
          <w:cols w:num="2" w:space="720" w:equalWidth="0">
            <w:col w:w="5158" w:space="312"/>
            <w:col w:w="5310"/>
          </w:cols>
        </w:sectPr>
      </w:pPr>
    </w:p>
    <w:p w:rsidR="00D81F69" w:rsidRDefault="00330118">
      <w:pPr>
        <w:pStyle w:val="Heading1"/>
        <w:spacing w:line="208" w:lineRule="auto"/>
      </w:pPr>
      <w:r>
        <w:lastRenderedPageBreak/>
        <w:t>Opalas de Pedro II (PI) são revitalizadas para atender a normas ambientais e de trabalho</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20"/>
        <w:rPr>
          <w:i/>
          <w:sz w:val="14"/>
        </w:rPr>
      </w:pPr>
      <w:r>
        <w:rPr>
          <w:i/>
          <w:sz w:val="14"/>
        </w:rPr>
        <w:t>PI - Buriti dos Montes PI - Pedro II</w:t>
      </w:r>
    </w:p>
    <w:p w:rsidR="00D81F69" w:rsidRDefault="00D81F69">
      <w:pPr>
        <w:pStyle w:val="Corpodetexto"/>
        <w:spacing w:before="4"/>
        <w:ind w:left="0"/>
        <w:jc w:val="left"/>
        <w:rPr>
          <w:i/>
        </w:rPr>
      </w:pPr>
    </w:p>
    <w:p w:rsidR="00D81F69" w:rsidRDefault="00330118">
      <w:pPr>
        <w:spacing w:before="1"/>
        <w:ind w:left="135"/>
        <w:rPr>
          <w:i/>
          <w:sz w:val="14"/>
        </w:rPr>
      </w:pPr>
      <w:r>
        <w:rPr>
          <w:i/>
          <w:sz w:val="14"/>
        </w:rPr>
        <w:t>LATITUDE</w:t>
      </w:r>
    </w:p>
    <w:p w:rsidR="00D81F69" w:rsidRDefault="00330118">
      <w:pPr>
        <w:spacing w:before="49"/>
        <w:ind w:left="135"/>
        <w:rPr>
          <w:i/>
          <w:sz w:val="14"/>
        </w:rPr>
      </w:pPr>
      <w:r>
        <w:rPr>
          <w:i/>
          <w:sz w:val="14"/>
        </w:rPr>
        <w:t>-4,4702</w:t>
      </w:r>
    </w:p>
    <w:p w:rsidR="00D81F69" w:rsidRDefault="00D81F69">
      <w:pPr>
        <w:pStyle w:val="Corpodetexto"/>
        <w:spacing w:before="5"/>
        <w:ind w:left="0"/>
        <w:jc w:val="left"/>
        <w:rPr>
          <w:i/>
          <w:sz w:val="22"/>
        </w:rPr>
      </w:pPr>
    </w:p>
    <w:p w:rsidR="00D81F69" w:rsidRDefault="00330118">
      <w:pPr>
        <w:spacing w:before="1"/>
        <w:ind w:left="135"/>
        <w:rPr>
          <w:i/>
          <w:sz w:val="14"/>
        </w:rPr>
      </w:pPr>
      <w:r>
        <w:rPr>
          <w:i/>
          <w:sz w:val="14"/>
        </w:rPr>
        <w:t>LONGITUDE</w:t>
      </w:r>
    </w:p>
    <w:p w:rsidR="00D81F69" w:rsidRDefault="00330118">
      <w:pPr>
        <w:spacing w:before="49"/>
        <w:ind w:left="135"/>
        <w:rPr>
          <w:i/>
          <w:sz w:val="14"/>
        </w:rPr>
      </w:pPr>
      <w:r>
        <w:rPr>
          <w:i/>
          <w:sz w:val="14"/>
        </w:rPr>
        <w:t>-41,3997</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2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O Arranjo Produtivo Local (APL) de </w:t>
      </w:r>
      <w:r>
        <w:rPr>
          <w:i/>
          <w:sz w:val="16"/>
        </w:rPr>
        <w:t>Opala de Pedro II, no Piauí, foi oficialmente criado em 2005 com o objetivo de revitalizar e dinamizar a cadeia produtiva da opala na região, que apresentava baixo nível de eficiência tecnológica e econômica e ocasionava impactos socioambientais, como a de</w:t>
      </w:r>
      <w:r>
        <w:rPr>
          <w:i/>
          <w:sz w:val="16"/>
        </w:rPr>
        <w:t>gradação de áreas de vegetação e prejuízos a atividades agropecuárias.</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2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07"/>
      </w:pPr>
      <w:r>
        <w:t>procura pela pedra semipreciosa, originando um novo garimpo. Existem ainda as minas do Pajeú, Limão, Roça dos Pereira (COSTA, 2005), Roça Velha, Bom Lugar e Mamoeiro (GOVERNO DO ESTADO DO PIAUÍ, 2008). Durante a</w:t>
      </w:r>
    </w:p>
    <w:p w:rsidR="00D81F69" w:rsidRDefault="00330118">
      <w:pPr>
        <w:pStyle w:val="Corpodetexto"/>
        <w:spacing w:before="3" w:line="312" w:lineRule="auto"/>
        <w:ind w:left="135" w:right="194"/>
      </w:pPr>
      <w:r>
        <w:t>década de 1950, a garimpagem era feita em pe</w:t>
      </w:r>
      <w:r>
        <w:t>quenas galerias, em condições precárias, não sendo incomum ocorrem desabamentos e morte de garimpeiros (OLIVEIRA; CARDOSO, 1979 apud MILANEZ; PUPPIM, 2009).</w:t>
      </w:r>
    </w:p>
    <w:p w:rsidR="00D81F69" w:rsidRDefault="00330118">
      <w:pPr>
        <w:pStyle w:val="Corpodetexto"/>
        <w:spacing w:before="134" w:line="312" w:lineRule="auto"/>
        <w:ind w:left="135" w:right="191"/>
      </w:pPr>
      <w:r>
        <w:t>A maior parte da produção era extraída por empresas estrangeiras que exportavam as pedras em estado</w:t>
      </w:r>
      <w:r>
        <w:t xml:space="preserve"> bruto, enquanto garimpeiros locais mineravam de forma rudimentar</w:t>
      </w:r>
    </w:p>
    <w:p w:rsidR="00D81F69" w:rsidRDefault="00D81F69">
      <w:pPr>
        <w:spacing w:line="312" w:lineRule="auto"/>
        <w:sectPr w:rsidR="00D81F69">
          <w:type w:val="continuous"/>
          <w:pgSz w:w="11900" w:h="16840"/>
          <w:pgMar w:top="720" w:right="500" w:bottom="280" w:left="620" w:header="720" w:footer="720" w:gutter="0"/>
          <w:cols w:num="3" w:space="720" w:equalWidth="0">
            <w:col w:w="1514" w:space="486"/>
            <w:col w:w="3112" w:space="323"/>
            <w:col w:w="5345"/>
          </w:cols>
        </w:sectPr>
      </w:pPr>
    </w:p>
    <w:p w:rsidR="00D81F69" w:rsidRDefault="00330118">
      <w:pPr>
        <w:pStyle w:val="Heading4"/>
        <w:spacing w:before="86"/>
      </w:pPr>
      <w:r>
        <w:lastRenderedPageBreak/>
        <w:t>APRESENTAÇÃO DE CASO</w:t>
      </w:r>
    </w:p>
    <w:p w:rsidR="00D81F69" w:rsidRDefault="00330118">
      <w:pPr>
        <w:pStyle w:val="Corpodetexto"/>
        <w:spacing w:before="171" w:line="312" w:lineRule="auto"/>
        <w:ind w:right="72"/>
      </w:pPr>
      <w:r>
        <w:t>As principais jazidas de opala brasileiras localizam-se em Pedro II e Buriti dos Montes, situados na região semiárida no noroeste do esta</w:t>
      </w:r>
      <w:r>
        <w:t>do do Piauí, a 200 km de Teresina (MILANEZ; PUPPIM, 2009). Com clima seco e temperaturas amenas devido à altitude, o município contava, em 2000, com 36,2 mil habitantes, dos quais mais de 42% moravam na área rural. Três quartos da população viviam com meta</w:t>
      </w:r>
      <w:r>
        <w:t>de de um salário mínimo. A economia é tradicionalmente vinculada à agricultura e à pecuária, que, no entanto, são atividades vulneráveis, devido ao clima semiárido. Os recursos de água subterrânea são limitados, e as chuvas, inconstantes (OLIVEIRA; CARDOSO</w:t>
      </w:r>
      <w:r>
        <w:t>, 1979 apud MILANEZ; PUPPIM,</w:t>
      </w:r>
    </w:p>
    <w:p w:rsidR="00D81F69" w:rsidRDefault="00330118">
      <w:pPr>
        <w:pStyle w:val="Corpodetexto"/>
        <w:spacing w:before="11" w:line="312" w:lineRule="auto"/>
        <w:ind w:right="70"/>
      </w:pPr>
      <w:r>
        <w:t>2009). Os principais rios da região (Matos, Correntes, Parafuso e Capivara) são intermitentes e fazem parte das bacias dos rios Poti e Longa (MILANEZ; PUPPIM, 2009).</w:t>
      </w:r>
    </w:p>
    <w:p w:rsidR="00D81F69" w:rsidRDefault="00330118">
      <w:pPr>
        <w:pStyle w:val="Corpodetexto"/>
        <w:spacing w:before="133" w:line="312" w:lineRule="auto"/>
        <w:ind w:right="74"/>
      </w:pPr>
      <w:r>
        <w:t>A opala é constituída de minerais (sílica principalmente, alé</w:t>
      </w:r>
      <w:r>
        <w:t xml:space="preserve">m de impurezas como os óxidos de </w:t>
      </w:r>
      <w:hyperlink r:id="rId785">
        <w:r>
          <w:t xml:space="preserve">alumínio </w:t>
        </w:r>
      </w:hyperlink>
      <w:r>
        <w:t xml:space="preserve">e de </w:t>
      </w:r>
      <w:hyperlink r:id="rId786">
        <w:r>
          <w:t xml:space="preserve">ferro, </w:t>
        </w:r>
      </w:hyperlink>
      <w:r>
        <w:t xml:space="preserve">cálcio e </w:t>
      </w:r>
      <w:r>
        <w:rPr>
          <w:spacing w:val="3"/>
        </w:rPr>
        <w:t xml:space="preserve">magnésio) </w:t>
      </w:r>
      <w:r>
        <w:rPr>
          <w:spacing w:val="2"/>
        </w:rPr>
        <w:t>que</w:t>
      </w:r>
      <w:r>
        <w:rPr>
          <w:spacing w:val="2"/>
        </w:rPr>
        <w:t xml:space="preserve"> tem </w:t>
      </w:r>
      <w:r>
        <w:rPr>
          <w:spacing w:val="1"/>
        </w:rPr>
        <w:t xml:space="preserve">um </w:t>
      </w:r>
      <w:r>
        <w:rPr>
          <w:spacing w:val="3"/>
        </w:rPr>
        <w:t xml:space="preserve">característico </w:t>
      </w:r>
      <w:r>
        <w:rPr>
          <w:spacing w:val="2"/>
        </w:rPr>
        <w:t xml:space="preserve">jogo </w:t>
      </w:r>
      <w:r>
        <w:rPr>
          <w:spacing w:val="1"/>
        </w:rPr>
        <w:t xml:space="preserve">de </w:t>
      </w:r>
      <w:r>
        <w:rPr>
          <w:spacing w:val="3"/>
        </w:rPr>
        <w:t xml:space="preserve">cores </w:t>
      </w:r>
      <w:r>
        <w:t xml:space="preserve">e </w:t>
      </w:r>
      <w:r>
        <w:rPr>
          <w:spacing w:val="5"/>
        </w:rPr>
        <w:t xml:space="preserve">foi, </w:t>
      </w:r>
      <w:r>
        <w:t xml:space="preserve">durante décadas, explorada somente em minas localizadas  na Austrália, mas atualmente o Brasil é o principal produtor mundial. Muitas dessas pedras brasileiras eram levadas para a </w:t>
      </w:r>
      <w:r>
        <w:rPr>
          <w:spacing w:val="5"/>
        </w:rPr>
        <w:t xml:space="preserve">Austrália </w:t>
      </w:r>
      <w:r>
        <w:t xml:space="preserve">e </w:t>
      </w:r>
      <w:r>
        <w:rPr>
          <w:spacing w:val="2"/>
        </w:rPr>
        <w:t xml:space="preserve">lá </w:t>
      </w:r>
      <w:r>
        <w:rPr>
          <w:spacing w:val="5"/>
        </w:rPr>
        <w:t xml:space="preserve">comercializadas </w:t>
      </w:r>
      <w:r>
        <w:rPr>
          <w:spacing w:val="3"/>
        </w:rPr>
        <w:t>c</w:t>
      </w:r>
      <w:r>
        <w:rPr>
          <w:spacing w:val="3"/>
        </w:rPr>
        <w:t xml:space="preserve">omo </w:t>
      </w:r>
      <w:r>
        <w:rPr>
          <w:spacing w:val="5"/>
        </w:rPr>
        <w:t xml:space="preserve">australianas. Isso </w:t>
      </w:r>
      <w:r>
        <w:t>ocorria por falta de ações voltadas para a valorização desse produto no Brasil (COSTA,</w:t>
      </w:r>
      <w:r>
        <w:rPr>
          <w:spacing w:val="43"/>
        </w:rPr>
        <w:t xml:space="preserve"> </w:t>
      </w:r>
      <w:r>
        <w:t>2005).</w:t>
      </w:r>
    </w:p>
    <w:p w:rsidR="00D81F69" w:rsidRDefault="00330118">
      <w:pPr>
        <w:pStyle w:val="Corpodetexto"/>
        <w:spacing w:before="138" w:line="312" w:lineRule="auto"/>
        <w:ind w:right="74"/>
      </w:pPr>
      <w:r>
        <w:t>Em Pedro II, a primeira pedra foi encontrada entre o final da década de 1930 e o início da de 1940 (OLIVEIRA, 1998; SOUZA, 1985 apud MILANE</w:t>
      </w:r>
      <w:r>
        <w:t>Z; PUPPIM, 2009). As jazidas</w:t>
      </w:r>
    </w:p>
    <w:p w:rsidR="00D81F69" w:rsidRDefault="00330118">
      <w:pPr>
        <w:pStyle w:val="Corpodetexto"/>
        <w:spacing w:before="3" w:line="312" w:lineRule="auto"/>
        <w:ind w:right="38"/>
      </w:pPr>
      <w:r>
        <w:t>mais significativas estão numa área de 200 km², ao redor da sede do município (FUNDAÇÃO CEPRO, 2005; OLIVEIRA; CARDOSO, 1979 apud MILANEZ; PUPPIM, 2009).</w:t>
      </w:r>
    </w:p>
    <w:p w:rsidR="00D81F69" w:rsidRDefault="00330118">
      <w:pPr>
        <w:pStyle w:val="Corpodetexto"/>
        <w:spacing w:before="69" w:line="270" w:lineRule="atLeast"/>
        <w:ind w:right="91"/>
      </w:pPr>
      <w:r>
        <w:t>São cerca de 30 minas, entre ativas e inativas, e a maior e mais importan</w:t>
      </w:r>
      <w:r>
        <w:t>te é a da fazenda Boi Morto. Existe também a mina do Tatu, que, segundo os moradores da região, recebeu essa denominação porque anos atrás um caçador passava pelas imediações e de um buraco de tatu viu saírem duas pedras de opala. Em poucos dias, foi inici</w:t>
      </w:r>
      <w:r>
        <w:t>ada a grande</w:t>
      </w:r>
    </w:p>
    <w:p w:rsidR="00D81F69" w:rsidRDefault="00330118">
      <w:pPr>
        <w:pStyle w:val="Corpodetexto"/>
        <w:spacing w:before="3" w:line="312" w:lineRule="auto"/>
        <w:ind w:right="196"/>
      </w:pPr>
      <w:r>
        <w:br w:type="column"/>
      </w:r>
      <w:r>
        <w:lastRenderedPageBreak/>
        <w:t>e informal, vendendo as opalas a preços abaixo do valor de mercado. Assim, a extração das opalas nobres na região não contribuiu para a geração de riqueza no município (MILANEZ; PUPPIM, 2009).</w:t>
      </w:r>
    </w:p>
    <w:p w:rsidR="00D81F69" w:rsidRDefault="00330118">
      <w:pPr>
        <w:pStyle w:val="Corpodetexto"/>
        <w:spacing w:before="133" w:line="312" w:lineRule="auto"/>
        <w:ind w:right="189"/>
      </w:pPr>
      <w:r>
        <w:t>A época de maior produção foi quando a Empresa de</w:t>
      </w:r>
      <w:r>
        <w:t xml:space="preserve"> Minérios Brasil Norte-Nordeste (Emibra) operou a mina de Boi Morto e chegou a contar, entre os anos de 1960 e de 1976, com mais de 80 funcionários (MILANEZ; PUPPIM, 2009). Durante este período, houve cerca de 30 jazimentos ocupados em diferentes ocasiões.</w:t>
      </w:r>
      <w:r>
        <w:t xml:space="preserve"> Enquanto as empresas se voltaram para os depósitos maiores, os primários, os depósitos secundários foram explorados, principalmente, por garimpeiros. Esses depósitos se formaram especialmente nos leitos dos rios e, muitas vezes, os garimpeiros se viam obr</w:t>
      </w:r>
      <w:r>
        <w:t>igados a mudar o curso do rio para poder chegar às jazidas, causando fortes impactos ambientais na região (OLIVEIRA; CARDOSO, 1979 apud MILANEZ; PUPPIM, 2009).</w:t>
      </w:r>
    </w:p>
    <w:p w:rsidR="00D81F69" w:rsidRDefault="00330118">
      <w:pPr>
        <w:pStyle w:val="Corpodetexto"/>
        <w:spacing w:before="143" w:line="312" w:lineRule="auto"/>
        <w:ind w:right="195"/>
      </w:pPr>
      <w:r>
        <w:t>A partir de meados da década de 1980, as empresas começaram a deixar Pedro II. À época, foram contabilizados 22 garimpos abandonados, três paralisados e apenas três ativos. Havia cerca de 200 garimpeiros na região, mas apenas cerca de 30 tinham o garimpo c</w:t>
      </w:r>
      <w:r>
        <w:t>omo atividade exclusiva (SOUZA, 1985). Um importante fator para a redução da atividade de mineração foi o fechamento da Emibra, em 1988. A mina do Boi Morto foi, então, ocupada informalmente por garimpeiros que ora trabalhavam os rejeitos da empresa, ora t</w:t>
      </w:r>
      <w:r>
        <w:t>entavam a sorte em algumas galerias. Entretanto, as atividades eram desenvolvidas sem supervisão, não sendo raros os deslizamentos, como o que matou três garimpeiros em 1989 (MILANEZ; PUPPIM, 2009).</w:t>
      </w:r>
    </w:p>
    <w:p w:rsidR="00D81F69" w:rsidRDefault="00330118">
      <w:pPr>
        <w:pStyle w:val="Corpodetexto"/>
        <w:spacing w:before="79" w:line="270" w:lineRule="atLeast"/>
        <w:ind w:right="205"/>
      </w:pPr>
      <w:r>
        <w:t>Até o fim da década de 1980, a maior parte das pedras bru</w:t>
      </w:r>
      <w:r>
        <w:t>tas era comercializada clandestinamente (GOVERNO DO ESTADO DO PIAUÍ, 2008). Na década seguinte, iniciaram-se alguns movimentos de instituições públicas e privadas para tentar fortalecer a cadeia da opala em Pedro II. A principal estratégia, nessa época, fo</w:t>
      </w:r>
      <w:r>
        <w:t>i o treinamento e a formação de ourives e joalheiros, agregando valor e aumentando a parte</w:t>
      </w:r>
    </w:p>
    <w:p w:rsidR="00D81F69" w:rsidRDefault="00D81F69">
      <w:pPr>
        <w:spacing w:line="270" w:lineRule="atLeast"/>
        <w:sectPr w:rsidR="00D81F69">
          <w:type w:val="continuous"/>
          <w:pgSz w:w="11900" w:h="16840"/>
          <w:pgMar w:top="720" w:right="500" w:bottom="280" w:left="620" w:header="720" w:footer="720" w:gutter="0"/>
          <w:cols w:num="2" w:space="720" w:equalWidth="0">
            <w:col w:w="5194" w:space="276"/>
            <w:col w:w="5310"/>
          </w:cols>
        </w:sectPr>
      </w:pPr>
    </w:p>
    <w:p w:rsidR="00D81F69" w:rsidRDefault="00330118">
      <w:pPr>
        <w:pStyle w:val="Corpodetexto"/>
        <w:spacing w:before="81" w:line="312" w:lineRule="auto"/>
        <w:ind w:right="60"/>
      </w:pPr>
      <w:r>
        <w:lastRenderedPageBreak/>
        <w:t>da renda que ficava na cidade (OLIVEIRA, 1998 apud MILANEZ; PUPPIM, 2009).</w:t>
      </w:r>
    </w:p>
    <w:p w:rsidR="00D81F69" w:rsidRDefault="00330118">
      <w:pPr>
        <w:pStyle w:val="Corpodetexto"/>
        <w:spacing w:before="132" w:line="312" w:lineRule="auto"/>
        <w:ind w:right="45"/>
      </w:pPr>
      <w:r>
        <w:t>Mas foi a partir do início dos anos 2000 que houve uma retomada</w:t>
      </w:r>
      <w:r>
        <w:t xml:space="preserve"> das atividades de garimpo em Pedro II. A princípio, houve disputa entre uma empresa, que tinha o direito legal à propriedade, e os garimpeiros que trabalhavam na área da mina para garantir sua subsistência. Em 2003, esse conflito chamou a atenção das agên</w:t>
      </w:r>
      <w:r>
        <w:t>cias governamentais, que optaram por interditar tanto a área da mina de Boi Morto, quanto os demais garimpos, já que todos estavam em situação irregular (MILANEZ; PUPPIM, 2009).</w:t>
      </w:r>
    </w:p>
    <w:p w:rsidR="00D81F69" w:rsidRDefault="00330118">
      <w:pPr>
        <w:pStyle w:val="Corpodetexto"/>
        <w:spacing w:before="138" w:line="312" w:lineRule="auto"/>
        <w:ind w:right="46"/>
      </w:pPr>
      <w:r>
        <w:rPr>
          <w:spacing w:val="6"/>
        </w:rPr>
        <w:t xml:space="preserve">Com </w:t>
      </w:r>
      <w:r>
        <w:t xml:space="preserve">o </w:t>
      </w:r>
      <w:r>
        <w:rPr>
          <w:spacing w:val="8"/>
        </w:rPr>
        <w:t xml:space="preserve">passar </w:t>
      </w:r>
      <w:r>
        <w:rPr>
          <w:spacing w:val="5"/>
        </w:rPr>
        <w:t xml:space="preserve">do </w:t>
      </w:r>
      <w:r>
        <w:rPr>
          <w:spacing w:val="8"/>
        </w:rPr>
        <w:t xml:space="preserve">tempo, </w:t>
      </w:r>
      <w:r>
        <w:t xml:space="preserve">a </w:t>
      </w:r>
      <w:r>
        <w:rPr>
          <w:spacing w:val="8"/>
        </w:rPr>
        <w:t xml:space="preserve">situação </w:t>
      </w:r>
      <w:r>
        <w:rPr>
          <w:spacing w:val="6"/>
        </w:rPr>
        <w:t xml:space="preserve">foi </w:t>
      </w:r>
      <w:r>
        <w:rPr>
          <w:spacing w:val="5"/>
        </w:rPr>
        <w:t xml:space="preserve">se </w:t>
      </w:r>
      <w:r>
        <w:rPr>
          <w:spacing w:val="10"/>
        </w:rPr>
        <w:t xml:space="preserve">tornando </w:t>
      </w:r>
      <w:r>
        <w:t xml:space="preserve">insustentável, pois os garimpeiros não tinham condições de </w:t>
      </w:r>
      <w:r>
        <w:rPr>
          <w:spacing w:val="3"/>
        </w:rPr>
        <w:t xml:space="preserve">trabalhar </w:t>
      </w:r>
      <w:r>
        <w:rPr>
          <w:spacing w:val="1"/>
        </w:rPr>
        <w:t xml:space="preserve">na </w:t>
      </w:r>
      <w:r>
        <w:rPr>
          <w:spacing w:val="3"/>
        </w:rPr>
        <w:t xml:space="preserve">formalidade, </w:t>
      </w:r>
      <w:r>
        <w:t xml:space="preserve">e o </w:t>
      </w:r>
      <w:r>
        <w:rPr>
          <w:spacing w:val="3"/>
        </w:rPr>
        <w:t xml:space="preserve">licenciamento ambiental </w:t>
      </w:r>
      <w:r>
        <w:rPr>
          <w:spacing w:val="5"/>
        </w:rPr>
        <w:t xml:space="preserve">da </w:t>
      </w:r>
      <w:r>
        <w:rPr>
          <w:spacing w:val="8"/>
        </w:rPr>
        <w:t xml:space="preserve">empresa esbarrava </w:t>
      </w:r>
      <w:r>
        <w:rPr>
          <w:spacing w:val="5"/>
        </w:rPr>
        <w:t xml:space="preserve">no </w:t>
      </w:r>
      <w:r>
        <w:rPr>
          <w:spacing w:val="8"/>
        </w:rPr>
        <w:t xml:space="preserve">passivo criado </w:t>
      </w:r>
      <w:r>
        <w:rPr>
          <w:spacing w:val="7"/>
        </w:rPr>
        <w:t xml:space="preserve">pelos </w:t>
      </w:r>
      <w:r>
        <w:rPr>
          <w:spacing w:val="10"/>
        </w:rPr>
        <w:t xml:space="preserve">resíduos </w:t>
      </w:r>
      <w:r>
        <w:rPr>
          <w:spacing w:val="5"/>
        </w:rPr>
        <w:t xml:space="preserve">deixados </w:t>
      </w:r>
      <w:r>
        <w:rPr>
          <w:spacing w:val="3"/>
        </w:rPr>
        <w:t xml:space="preserve">pela </w:t>
      </w:r>
      <w:r>
        <w:rPr>
          <w:spacing w:val="5"/>
        </w:rPr>
        <w:t xml:space="preserve">Emibra (CETEM, 2005). </w:t>
      </w:r>
      <w:r>
        <w:rPr>
          <w:spacing w:val="3"/>
        </w:rPr>
        <w:t xml:space="preserve">Essa </w:t>
      </w:r>
      <w:r>
        <w:rPr>
          <w:spacing w:val="5"/>
        </w:rPr>
        <w:t xml:space="preserve">situação de </w:t>
      </w:r>
      <w:r>
        <w:t>impasse levou a uma negociação entre</w:t>
      </w:r>
      <w:r>
        <w:t xml:space="preserve"> as partes, resultando </w:t>
      </w:r>
      <w:r>
        <w:rPr>
          <w:spacing w:val="2"/>
        </w:rPr>
        <w:t xml:space="preserve">na </w:t>
      </w:r>
      <w:r>
        <w:rPr>
          <w:spacing w:val="5"/>
        </w:rPr>
        <w:t xml:space="preserve">doação </w:t>
      </w:r>
      <w:r>
        <w:rPr>
          <w:spacing w:val="2"/>
        </w:rPr>
        <w:t xml:space="preserve">da </w:t>
      </w:r>
      <w:r>
        <w:rPr>
          <w:spacing w:val="3"/>
        </w:rPr>
        <w:t xml:space="preserve">pilha </w:t>
      </w:r>
      <w:r>
        <w:rPr>
          <w:spacing w:val="2"/>
        </w:rPr>
        <w:t xml:space="preserve">de </w:t>
      </w:r>
      <w:r>
        <w:rPr>
          <w:spacing w:val="5"/>
        </w:rPr>
        <w:t xml:space="preserve">rejeitos deixado </w:t>
      </w:r>
      <w:r>
        <w:rPr>
          <w:spacing w:val="3"/>
        </w:rPr>
        <w:t xml:space="preserve">pela </w:t>
      </w:r>
      <w:r>
        <w:rPr>
          <w:spacing w:val="5"/>
        </w:rPr>
        <w:t>Emibra aos</w:t>
      </w:r>
      <w:r>
        <w:rPr>
          <w:spacing w:val="61"/>
        </w:rPr>
        <w:t xml:space="preserve"> </w:t>
      </w:r>
      <w:r>
        <w:t xml:space="preserve">garimpeiros. A solução era interessante para a empresa, pois </w:t>
      </w:r>
      <w:r>
        <w:rPr>
          <w:spacing w:val="8"/>
        </w:rPr>
        <w:t xml:space="preserve">deixava </w:t>
      </w:r>
      <w:r>
        <w:rPr>
          <w:spacing w:val="5"/>
        </w:rPr>
        <w:t xml:space="preserve">de </w:t>
      </w:r>
      <w:r>
        <w:rPr>
          <w:spacing w:val="6"/>
        </w:rPr>
        <w:t xml:space="preserve">ser </w:t>
      </w:r>
      <w:r>
        <w:rPr>
          <w:spacing w:val="5"/>
        </w:rPr>
        <w:t xml:space="preserve">um </w:t>
      </w:r>
      <w:r>
        <w:rPr>
          <w:spacing w:val="8"/>
        </w:rPr>
        <w:t xml:space="preserve">passivo ambiental </w:t>
      </w:r>
      <w:r>
        <w:rPr>
          <w:spacing w:val="7"/>
        </w:rPr>
        <w:t xml:space="preserve">para </w:t>
      </w:r>
      <w:r>
        <w:rPr>
          <w:spacing w:val="10"/>
        </w:rPr>
        <w:t xml:space="preserve">tornar-se </w:t>
      </w:r>
      <w:r>
        <w:rPr>
          <w:spacing w:val="1"/>
        </w:rPr>
        <w:t xml:space="preserve">responsabilidade </w:t>
      </w:r>
      <w:r>
        <w:t xml:space="preserve">dos </w:t>
      </w:r>
      <w:r>
        <w:rPr>
          <w:spacing w:val="1"/>
        </w:rPr>
        <w:t xml:space="preserve">garimpeiros. Essa alternativa, </w:t>
      </w:r>
      <w:r>
        <w:rPr>
          <w:spacing w:val="2"/>
        </w:rPr>
        <w:t xml:space="preserve">porém, </w:t>
      </w:r>
      <w:r>
        <w:rPr>
          <w:spacing w:val="7"/>
        </w:rPr>
        <w:t>somente</w:t>
      </w:r>
      <w:r>
        <w:rPr>
          <w:spacing w:val="7"/>
        </w:rPr>
        <w:t xml:space="preserve"> </w:t>
      </w:r>
      <w:r>
        <w:rPr>
          <w:spacing w:val="5"/>
        </w:rPr>
        <w:t xml:space="preserve">foi </w:t>
      </w:r>
      <w:r>
        <w:rPr>
          <w:spacing w:val="7"/>
        </w:rPr>
        <w:t xml:space="preserve">possível </w:t>
      </w:r>
      <w:r>
        <w:rPr>
          <w:spacing w:val="6"/>
        </w:rPr>
        <w:t xml:space="preserve">após </w:t>
      </w:r>
      <w:r>
        <w:rPr>
          <w:spacing w:val="8"/>
        </w:rPr>
        <w:t xml:space="preserve">negociação </w:t>
      </w:r>
      <w:r>
        <w:t xml:space="preserve">e </w:t>
      </w:r>
      <w:r>
        <w:rPr>
          <w:spacing w:val="7"/>
        </w:rPr>
        <w:t xml:space="preserve">mediação </w:t>
      </w:r>
      <w:r>
        <w:rPr>
          <w:spacing w:val="10"/>
        </w:rPr>
        <w:t xml:space="preserve">de </w:t>
      </w:r>
      <w:r>
        <w:t>técnicos de órgãos estaduais e federais (MILANEZ; PUPPIM, 2009).</w:t>
      </w:r>
    </w:p>
    <w:p w:rsidR="00D81F69" w:rsidRDefault="00330118">
      <w:pPr>
        <w:pStyle w:val="Corpodetexto"/>
        <w:spacing w:before="142" w:line="312" w:lineRule="auto"/>
        <w:ind w:right="46"/>
      </w:pPr>
      <w:r>
        <w:t>O resultado dessa mobilização foi a criação do projeto Arranjo Produtivo Local (APL) de Opala, em 2005, executado através de parceria entre o Centr</w:t>
      </w:r>
      <w:r>
        <w:t>o de Tecnologia Mineral (Cetem), a Secretaria Estadual do Desenvolvimento Econômico e Tecnológico (Sedet), o Serviço de Apoio às Micro e Pequenas Empresas (Sebrae) no Piauí; a Financiadora de Estudos e Projetos (Finep), entre outras instituições (PESSOA, 2</w:t>
      </w:r>
      <w:r>
        <w:t>009; REDE APL MINERAL, 2010).</w:t>
      </w:r>
    </w:p>
    <w:p w:rsidR="00D81F69" w:rsidRDefault="00330118">
      <w:pPr>
        <w:pStyle w:val="Corpodetexto"/>
        <w:spacing w:before="137" w:line="312" w:lineRule="auto"/>
        <w:ind w:right="38"/>
      </w:pPr>
      <w:r>
        <w:rPr>
          <w:spacing w:val="3"/>
        </w:rPr>
        <w:t xml:space="preserve">Para </w:t>
      </w:r>
      <w:r>
        <w:rPr>
          <w:spacing w:val="5"/>
        </w:rPr>
        <w:t xml:space="preserve">viabilização </w:t>
      </w:r>
      <w:r>
        <w:rPr>
          <w:spacing w:val="2"/>
        </w:rPr>
        <w:t xml:space="preserve">do </w:t>
      </w:r>
      <w:r>
        <w:rPr>
          <w:spacing w:val="5"/>
        </w:rPr>
        <w:t xml:space="preserve">projeto </w:t>
      </w:r>
      <w:r>
        <w:rPr>
          <w:spacing w:val="3"/>
        </w:rPr>
        <w:t xml:space="preserve">foi feito </w:t>
      </w:r>
      <w:r>
        <w:rPr>
          <w:spacing w:val="2"/>
        </w:rPr>
        <w:t xml:space="preserve">um </w:t>
      </w:r>
      <w:r>
        <w:rPr>
          <w:spacing w:val="5"/>
        </w:rPr>
        <w:t>diagnóstico que</w:t>
      </w:r>
      <w:r>
        <w:rPr>
          <w:spacing w:val="61"/>
        </w:rPr>
        <w:t xml:space="preserve"> </w:t>
      </w:r>
      <w:r>
        <w:rPr>
          <w:spacing w:val="6"/>
        </w:rPr>
        <w:t xml:space="preserve">identificou </w:t>
      </w:r>
      <w:r>
        <w:rPr>
          <w:spacing w:val="5"/>
        </w:rPr>
        <w:t xml:space="preserve">que </w:t>
      </w:r>
      <w:r>
        <w:t xml:space="preserve">a </w:t>
      </w:r>
      <w:r>
        <w:rPr>
          <w:spacing w:val="5"/>
        </w:rPr>
        <w:t xml:space="preserve">cadeia </w:t>
      </w:r>
      <w:r>
        <w:rPr>
          <w:spacing w:val="6"/>
        </w:rPr>
        <w:t xml:space="preserve">produtiva </w:t>
      </w:r>
      <w:r>
        <w:rPr>
          <w:spacing w:val="3"/>
        </w:rPr>
        <w:t xml:space="preserve">da </w:t>
      </w:r>
      <w:r>
        <w:rPr>
          <w:spacing w:val="5"/>
        </w:rPr>
        <w:t xml:space="preserve">opala, </w:t>
      </w:r>
      <w:r>
        <w:rPr>
          <w:spacing w:val="3"/>
        </w:rPr>
        <w:t xml:space="preserve">na </w:t>
      </w:r>
      <w:r>
        <w:rPr>
          <w:spacing w:val="7"/>
        </w:rPr>
        <w:t xml:space="preserve">região, </w:t>
      </w:r>
      <w:r>
        <w:t>apresentava, em todas as etapas, um baixo nível de eficiência tecnológica e econômica. Do ponto de vista tecnoló</w:t>
      </w:r>
      <w:r>
        <w:t xml:space="preserve">gico, essa </w:t>
      </w:r>
      <w:r>
        <w:rPr>
          <w:spacing w:val="8"/>
        </w:rPr>
        <w:t xml:space="preserve">situação gerava condições </w:t>
      </w:r>
      <w:r>
        <w:rPr>
          <w:spacing w:val="10"/>
        </w:rPr>
        <w:t xml:space="preserve">inadequadas </w:t>
      </w:r>
      <w:r>
        <w:rPr>
          <w:spacing w:val="5"/>
        </w:rPr>
        <w:t xml:space="preserve">de </w:t>
      </w:r>
      <w:r>
        <w:rPr>
          <w:spacing w:val="10"/>
        </w:rPr>
        <w:t xml:space="preserve">trabalho, </w:t>
      </w:r>
      <w:r>
        <w:rPr>
          <w:spacing w:val="1"/>
        </w:rPr>
        <w:t xml:space="preserve">problemas ambientais </w:t>
      </w:r>
      <w:r>
        <w:t xml:space="preserve">e </w:t>
      </w:r>
      <w:r>
        <w:rPr>
          <w:spacing w:val="1"/>
        </w:rPr>
        <w:t xml:space="preserve">produtos </w:t>
      </w:r>
      <w:r>
        <w:t xml:space="preserve">de </w:t>
      </w:r>
      <w:r>
        <w:rPr>
          <w:spacing w:val="1"/>
        </w:rPr>
        <w:t xml:space="preserve">baixo valor </w:t>
      </w:r>
      <w:r>
        <w:rPr>
          <w:spacing w:val="2"/>
        </w:rPr>
        <w:t xml:space="preserve">agregado. </w:t>
      </w:r>
      <w:r>
        <w:rPr>
          <w:spacing w:val="3"/>
        </w:rPr>
        <w:t xml:space="preserve">Quanto </w:t>
      </w:r>
      <w:r>
        <w:rPr>
          <w:spacing w:val="1"/>
        </w:rPr>
        <w:t xml:space="preserve">ao </w:t>
      </w:r>
      <w:r>
        <w:rPr>
          <w:spacing w:val="3"/>
        </w:rPr>
        <w:t xml:space="preserve">aspecto econômico, havia evasão </w:t>
      </w:r>
      <w:r>
        <w:rPr>
          <w:spacing w:val="1"/>
        </w:rPr>
        <w:t xml:space="preserve">de </w:t>
      </w:r>
      <w:r>
        <w:rPr>
          <w:spacing w:val="3"/>
        </w:rPr>
        <w:t xml:space="preserve">divisas </w:t>
      </w:r>
      <w:r>
        <w:t xml:space="preserve">e </w:t>
      </w:r>
      <w:r>
        <w:rPr>
          <w:spacing w:val="5"/>
        </w:rPr>
        <w:t xml:space="preserve">gestão </w:t>
      </w:r>
      <w:r>
        <w:rPr>
          <w:spacing w:val="6"/>
        </w:rPr>
        <w:t xml:space="preserve">inadequada </w:t>
      </w:r>
      <w:r>
        <w:rPr>
          <w:spacing w:val="5"/>
        </w:rPr>
        <w:t xml:space="preserve">dos </w:t>
      </w:r>
      <w:r>
        <w:rPr>
          <w:spacing w:val="6"/>
        </w:rPr>
        <w:t xml:space="preserve">negócios. </w:t>
      </w:r>
      <w:r>
        <w:rPr>
          <w:spacing w:val="5"/>
        </w:rPr>
        <w:t xml:space="preserve">Como causas </w:t>
      </w:r>
      <w:r>
        <w:rPr>
          <w:spacing w:val="7"/>
        </w:rPr>
        <w:t xml:space="preserve">dessa </w:t>
      </w:r>
      <w:r>
        <w:rPr>
          <w:spacing w:val="1"/>
        </w:rPr>
        <w:t xml:space="preserve">ineficiência foram apontadas </w:t>
      </w:r>
      <w:r>
        <w:t xml:space="preserve">a </w:t>
      </w:r>
      <w:r>
        <w:rPr>
          <w:spacing w:val="1"/>
        </w:rPr>
        <w:t xml:space="preserve">informalidade tradicional </w:t>
      </w:r>
      <w:r>
        <w:rPr>
          <w:spacing w:val="2"/>
        </w:rPr>
        <w:t xml:space="preserve">do </w:t>
      </w:r>
      <w:r>
        <w:t xml:space="preserve">setor, a qualificação insuficiente das pessoas envolvidas nas diversas atividades da exploração e beneficiamento da opala </w:t>
      </w:r>
      <w:r>
        <w:rPr>
          <w:spacing w:val="5"/>
        </w:rPr>
        <w:t xml:space="preserve">(HENRIQUES; SOARES, </w:t>
      </w:r>
      <w:r>
        <w:rPr>
          <w:spacing w:val="3"/>
        </w:rPr>
        <w:t xml:space="preserve">2005 apud </w:t>
      </w:r>
      <w:r>
        <w:rPr>
          <w:spacing w:val="5"/>
        </w:rPr>
        <w:t>MILANEZ; PUPPIM,</w:t>
      </w:r>
    </w:p>
    <w:p w:rsidR="00D81F69" w:rsidRDefault="00330118">
      <w:pPr>
        <w:pStyle w:val="Corpodetexto"/>
        <w:spacing w:before="11" w:line="312" w:lineRule="auto"/>
        <w:ind w:right="52"/>
      </w:pPr>
      <w:r>
        <w:rPr>
          <w:spacing w:val="1"/>
        </w:rPr>
        <w:t xml:space="preserve">2009) </w:t>
      </w:r>
      <w:r>
        <w:t xml:space="preserve">e a </w:t>
      </w:r>
      <w:r>
        <w:rPr>
          <w:spacing w:val="1"/>
        </w:rPr>
        <w:t xml:space="preserve">sazonalidade econômica </w:t>
      </w:r>
      <w:r>
        <w:t xml:space="preserve">dos </w:t>
      </w:r>
      <w:r>
        <w:rPr>
          <w:spacing w:val="1"/>
        </w:rPr>
        <w:t xml:space="preserve">municípios onde </w:t>
      </w:r>
      <w:r>
        <w:t xml:space="preserve">a </w:t>
      </w:r>
      <w:r>
        <w:rPr>
          <w:spacing w:val="15"/>
        </w:rPr>
        <w:t>min</w:t>
      </w:r>
      <w:r>
        <w:rPr>
          <w:spacing w:val="15"/>
        </w:rPr>
        <w:t xml:space="preserve">eração </w:t>
      </w:r>
      <w:r>
        <w:rPr>
          <w:spacing w:val="13"/>
        </w:rPr>
        <w:t xml:space="preserve">funciona </w:t>
      </w:r>
      <w:r>
        <w:rPr>
          <w:spacing w:val="11"/>
        </w:rPr>
        <w:t xml:space="preserve">como </w:t>
      </w:r>
      <w:r>
        <w:rPr>
          <w:spacing w:val="10"/>
        </w:rPr>
        <w:t>uma</w:t>
      </w:r>
      <w:r>
        <w:rPr>
          <w:spacing w:val="71"/>
        </w:rPr>
        <w:t xml:space="preserve"> </w:t>
      </w:r>
      <w:r>
        <w:rPr>
          <w:spacing w:val="15"/>
        </w:rPr>
        <w:t xml:space="preserve">alternativa </w:t>
      </w:r>
      <w:r>
        <w:rPr>
          <w:spacing w:val="7"/>
        </w:rPr>
        <w:t xml:space="preserve">ou um </w:t>
      </w:r>
      <w:r>
        <w:t>complemento de renda à atividade agropecuária (GOVERNO DO ESTADO DO PIAUÍ, 2008).</w:t>
      </w:r>
    </w:p>
    <w:p w:rsidR="00D81F69" w:rsidRDefault="00330118">
      <w:pPr>
        <w:pStyle w:val="Corpodetexto"/>
        <w:spacing w:before="134" w:line="312" w:lineRule="auto"/>
        <w:ind w:right="62"/>
      </w:pPr>
      <w:r>
        <w:rPr>
          <w:spacing w:val="2"/>
        </w:rPr>
        <w:t xml:space="preserve">Foi </w:t>
      </w:r>
      <w:r>
        <w:rPr>
          <w:spacing w:val="3"/>
        </w:rPr>
        <w:t xml:space="preserve">proposto então: formalização </w:t>
      </w:r>
      <w:r>
        <w:rPr>
          <w:spacing w:val="2"/>
        </w:rPr>
        <w:t xml:space="preserve">das </w:t>
      </w:r>
      <w:r>
        <w:rPr>
          <w:spacing w:val="3"/>
        </w:rPr>
        <w:t xml:space="preserve">atividades ligadas </w:t>
      </w:r>
      <w:r>
        <w:t xml:space="preserve">à </w:t>
      </w:r>
      <w:r>
        <w:rPr>
          <w:spacing w:val="3"/>
        </w:rPr>
        <w:t xml:space="preserve">extração </w:t>
      </w:r>
      <w:r>
        <w:rPr>
          <w:spacing w:val="1"/>
        </w:rPr>
        <w:t xml:space="preserve">de </w:t>
      </w:r>
      <w:r>
        <w:rPr>
          <w:spacing w:val="3"/>
        </w:rPr>
        <w:t xml:space="preserve">opala; melhoria </w:t>
      </w:r>
      <w:r>
        <w:rPr>
          <w:spacing w:val="2"/>
        </w:rPr>
        <w:t xml:space="preserve">das </w:t>
      </w:r>
      <w:r>
        <w:rPr>
          <w:spacing w:val="3"/>
        </w:rPr>
        <w:t xml:space="preserve">condições </w:t>
      </w:r>
      <w:r>
        <w:rPr>
          <w:spacing w:val="1"/>
        </w:rPr>
        <w:t xml:space="preserve">de </w:t>
      </w:r>
      <w:r>
        <w:rPr>
          <w:spacing w:val="3"/>
        </w:rPr>
        <w:t xml:space="preserve">trabalho </w:t>
      </w:r>
      <w:r>
        <w:t xml:space="preserve">e </w:t>
      </w:r>
      <w:r>
        <w:rPr>
          <w:spacing w:val="3"/>
        </w:rPr>
        <w:t xml:space="preserve">redução </w:t>
      </w:r>
      <w:r>
        <w:rPr>
          <w:spacing w:val="2"/>
        </w:rPr>
        <w:t xml:space="preserve">dos </w:t>
      </w:r>
      <w:r>
        <w:rPr>
          <w:spacing w:val="3"/>
        </w:rPr>
        <w:t>impac</w:t>
      </w:r>
      <w:r>
        <w:rPr>
          <w:spacing w:val="3"/>
        </w:rPr>
        <w:t xml:space="preserve">tos ambientais </w:t>
      </w:r>
      <w:r>
        <w:rPr>
          <w:spacing w:val="1"/>
        </w:rPr>
        <w:t xml:space="preserve">da </w:t>
      </w:r>
      <w:r>
        <w:rPr>
          <w:spacing w:val="3"/>
        </w:rPr>
        <w:t xml:space="preserve">lavra; agregação </w:t>
      </w:r>
      <w:r>
        <w:rPr>
          <w:spacing w:val="5"/>
        </w:rPr>
        <w:t xml:space="preserve">de </w:t>
      </w:r>
      <w:r>
        <w:t xml:space="preserve">valor no beneficiamento da opala; e fortalecimento gerencial e comercial da cadeia da opala, que incluía apoio à formação </w:t>
      </w:r>
      <w:r>
        <w:rPr>
          <w:spacing w:val="2"/>
        </w:rPr>
        <w:t xml:space="preserve">de </w:t>
      </w:r>
      <w:r>
        <w:rPr>
          <w:spacing w:val="5"/>
        </w:rPr>
        <w:t xml:space="preserve">associações </w:t>
      </w:r>
      <w:r>
        <w:t xml:space="preserve">e </w:t>
      </w:r>
      <w:r>
        <w:rPr>
          <w:spacing w:val="5"/>
        </w:rPr>
        <w:t xml:space="preserve">cooperativas, treinamento </w:t>
      </w:r>
      <w:r>
        <w:rPr>
          <w:spacing w:val="2"/>
        </w:rPr>
        <w:t>em</w:t>
      </w:r>
      <w:r>
        <w:rPr>
          <w:spacing w:val="-1"/>
        </w:rPr>
        <w:t xml:space="preserve"> </w:t>
      </w:r>
      <w:r>
        <w:rPr>
          <w:spacing w:val="6"/>
        </w:rPr>
        <w:t>gestão</w:t>
      </w:r>
    </w:p>
    <w:p w:rsidR="00D81F69" w:rsidRDefault="00330118">
      <w:pPr>
        <w:pStyle w:val="Corpodetexto"/>
        <w:spacing w:before="81" w:line="312" w:lineRule="auto"/>
        <w:ind w:right="209"/>
      </w:pPr>
      <w:r>
        <w:br w:type="column"/>
      </w:r>
      <w:r>
        <w:rPr>
          <w:spacing w:val="5"/>
        </w:rPr>
        <w:lastRenderedPageBreak/>
        <w:t xml:space="preserve">empresarial, criação </w:t>
      </w:r>
      <w:r>
        <w:rPr>
          <w:spacing w:val="2"/>
        </w:rPr>
        <w:t xml:space="preserve">de </w:t>
      </w:r>
      <w:r>
        <w:rPr>
          <w:spacing w:val="5"/>
        </w:rPr>
        <w:t xml:space="preserve">marca, negociação </w:t>
      </w:r>
      <w:r>
        <w:rPr>
          <w:spacing w:val="2"/>
        </w:rPr>
        <w:t xml:space="preserve">de </w:t>
      </w:r>
      <w:r>
        <w:rPr>
          <w:spacing w:val="5"/>
        </w:rPr>
        <w:t>linhas de</w:t>
      </w:r>
      <w:r>
        <w:rPr>
          <w:spacing w:val="61"/>
        </w:rPr>
        <w:t xml:space="preserve"> </w:t>
      </w:r>
      <w:r>
        <w:rPr>
          <w:spacing w:val="5"/>
        </w:rPr>
        <w:t xml:space="preserve">crédito específicas, </w:t>
      </w:r>
      <w:r>
        <w:t xml:space="preserve">e </w:t>
      </w:r>
      <w:r>
        <w:rPr>
          <w:spacing w:val="5"/>
        </w:rPr>
        <w:t xml:space="preserve">elaboração </w:t>
      </w:r>
      <w:r>
        <w:rPr>
          <w:spacing w:val="2"/>
        </w:rPr>
        <w:t xml:space="preserve">de </w:t>
      </w:r>
      <w:r>
        <w:rPr>
          <w:spacing w:val="5"/>
        </w:rPr>
        <w:t xml:space="preserve">projeto </w:t>
      </w:r>
      <w:r>
        <w:rPr>
          <w:spacing w:val="2"/>
        </w:rPr>
        <w:t xml:space="preserve">de </w:t>
      </w:r>
      <w:r>
        <w:rPr>
          <w:spacing w:val="6"/>
        </w:rPr>
        <w:t xml:space="preserve">turismo </w:t>
      </w:r>
      <w:r>
        <w:rPr>
          <w:spacing w:val="5"/>
        </w:rPr>
        <w:t xml:space="preserve">mineral (FINEP, </w:t>
      </w:r>
      <w:r>
        <w:rPr>
          <w:spacing w:val="6"/>
        </w:rPr>
        <w:t>2005).</w:t>
      </w:r>
    </w:p>
    <w:p w:rsidR="00D81F69" w:rsidRDefault="00330118">
      <w:pPr>
        <w:pStyle w:val="Corpodetexto"/>
        <w:spacing w:before="133" w:line="312" w:lineRule="auto"/>
        <w:ind w:right="189"/>
      </w:pPr>
      <w:r>
        <w:rPr>
          <w:spacing w:val="1"/>
        </w:rPr>
        <w:t xml:space="preserve">Hoje, </w:t>
      </w:r>
      <w:r>
        <w:t xml:space="preserve">são </w:t>
      </w:r>
      <w:r>
        <w:rPr>
          <w:spacing w:val="1"/>
        </w:rPr>
        <w:t xml:space="preserve">mais </w:t>
      </w:r>
      <w:r>
        <w:t xml:space="preserve">de </w:t>
      </w:r>
      <w:r>
        <w:rPr>
          <w:spacing w:val="1"/>
        </w:rPr>
        <w:t xml:space="preserve">duas </w:t>
      </w:r>
      <w:r>
        <w:t xml:space="preserve">mil </w:t>
      </w:r>
      <w:r>
        <w:rPr>
          <w:spacing w:val="1"/>
        </w:rPr>
        <w:t xml:space="preserve">pessoas envolvidas </w:t>
      </w:r>
      <w:r>
        <w:t xml:space="preserve">na </w:t>
      </w:r>
      <w:r>
        <w:rPr>
          <w:spacing w:val="2"/>
        </w:rPr>
        <w:t xml:space="preserve">cadeia </w:t>
      </w:r>
      <w:r>
        <w:t xml:space="preserve">produtiva da opala de Pedro II, levando-se em consideração os empregos diretos e indiretos. Todo o trabalho é feito de forma conjunta tendo cerca de 150 garimpeiros cooperados naquela região (PESSOA, 2009). Estes garimpeiros dividem o </w:t>
      </w:r>
      <w:r>
        <w:rPr>
          <w:spacing w:val="2"/>
        </w:rPr>
        <w:t xml:space="preserve">seu </w:t>
      </w:r>
      <w:r>
        <w:rPr>
          <w:spacing w:val="3"/>
        </w:rPr>
        <w:t xml:space="preserve">tempo </w:t>
      </w:r>
      <w:r>
        <w:rPr>
          <w:spacing w:val="1"/>
        </w:rPr>
        <w:t xml:space="preserve">no </w:t>
      </w:r>
      <w:r>
        <w:rPr>
          <w:spacing w:val="3"/>
        </w:rPr>
        <w:t>trabalho</w:t>
      </w:r>
      <w:r>
        <w:rPr>
          <w:spacing w:val="3"/>
        </w:rPr>
        <w:t xml:space="preserve"> </w:t>
      </w:r>
      <w:r>
        <w:rPr>
          <w:spacing w:val="1"/>
        </w:rPr>
        <w:t xml:space="preserve">da </w:t>
      </w:r>
      <w:r>
        <w:rPr>
          <w:spacing w:val="3"/>
        </w:rPr>
        <w:t xml:space="preserve">mina, </w:t>
      </w:r>
      <w:r>
        <w:rPr>
          <w:spacing w:val="1"/>
        </w:rPr>
        <w:t xml:space="preserve">na </w:t>
      </w:r>
      <w:r>
        <w:rPr>
          <w:spacing w:val="3"/>
        </w:rPr>
        <w:t xml:space="preserve">época </w:t>
      </w:r>
      <w:r>
        <w:rPr>
          <w:spacing w:val="1"/>
        </w:rPr>
        <w:t xml:space="preserve">de </w:t>
      </w:r>
      <w:r>
        <w:rPr>
          <w:spacing w:val="3"/>
        </w:rPr>
        <w:t xml:space="preserve">chuva, </w:t>
      </w:r>
      <w:r>
        <w:t xml:space="preserve">e </w:t>
      </w:r>
      <w:r>
        <w:rPr>
          <w:spacing w:val="5"/>
        </w:rPr>
        <w:t xml:space="preserve">na agricultura, </w:t>
      </w:r>
      <w:r>
        <w:rPr>
          <w:spacing w:val="2"/>
        </w:rPr>
        <w:t xml:space="preserve">na </w:t>
      </w:r>
      <w:r>
        <w:rPr>
          <w:spacing w:val="5"/>
        </w:rPr>
        <w:t xml:space="preserve">época </w:t>
      </w:r>
      <w:r>
        <w:rPr>
          <w:spacing w:val="2"/>
        </w:rPr>
        <w:t xml:space="preserve">de </w:t>
      </w:r>
      <w:r>
        <w:rPr>
          <w:spacing w:val="5"/>
        </w:rPr>
        <w:t xml:space="preserve">estiagem (MILANEZ; </w:t>
      </w:r>
      <w:r>
        <w:rPr>
          <w:spacing w:val="6"/>
        </w:rPr>
        <w:t>PUPPIM, 2011).</w:t>
      </w:r>
    </w:p>
    <w:p w:rsidR="00D81F69" w:rsidRDefault="00330118">
      <w:pPr>
        <w:pStyle w:val="Corpodetexto"/>
        <w:spacing w:before="137" w:line="312" w:lineRule="auto"/>
        <w:ind w:right="196"/>
      </w:pPr>
      <w:r>
        <w:t xml:space="preserve">Coube ao Cetem implantar técnicas para que os garimpeiros autorizados a atuar na mina do Boi Morto fizessem a extração segura da opala (PEITER et al., 2007). Para </w:t>
      </w:r>
      <w:r>
        <w:t>fortalecer o APL, foram criadas a Associação dos Joalheiros e Lapidários de Pedro II e a Cooperativa de Garimpeiros de Pedro II, dando uma nova dimensão às atividades do setor na região (GOVERNO DO ESTADO DO PIAUÍ, 2008).</w:t>
      </w:r>
    </w:p>
    <w:p w:rsidR="00D81F69" w:rsidRDefault="00330118">
      <w:pPr>
        <w:pStyle w:val="Corpodetexto"/>
        <w:spacing w:before="136" w:line="312" w:lineRule="auto"/>
        <w:ind w:right="192"/>
      </w:pPr>
      <w:r>
        <w:t xml:space="preserve">Embora nem todas as ações previstas pelo projeto do </w:t>
      </w:r>
      <w:r>
        <w:rPr>
          <w:spacing w:val="1"/>
        </w:rPr>
        <w:t xml:space="preserve">APL </w:t>
      </w:r>
      <w:r>
        <w:rPr>
          <w:spacing w:val="5"/>
        </w:rPr>
        <w:t xml:space="preserve">tenham sido </w:t>
      </w:r>
      <w:r>
        <w:rPr>
          <w:spacing w:val="6"/>
        </w:rPr>
        <w:t xml:space="preserve">implementadas </w:t>
      </w:r>
      <w:r>
        <w:rPr>
          <w:spacing w:val="5"/>
        </w:rPr>
        <w:t xml:space="preserve">(ou </w:t>
      </w:r>
      <w:r>
        <w:rPr>
          <w:spacing w:val="6"/>
        </w:rPr>
        <w:t xml:space="preserve">atingido </w:t>
      </w:r>
      <w:r>
        <w:rPr>
          <w:spacing w:val="3"/>
        </w:rPr>
        <w:t xml:space="preserve">os </w:t>
      </w:r>
      <w:r>
        <w:rPr>
          <w:spacing w:val="7"/>
        </w:rPr>
        <w:t xml:space="preserve">resultados </w:t>
      </w:r>
      <w:r>
        <w:t>esperados), essas tiveram efeitos positivos sobre a dinâmica econômica de Pedro II. Do ponto de vista dos garimpeiros, as principais vantagens da f</w:t>
      </w:r>
      <w:r>
        <w:t xml:space="preserve">ormação do APL foram alterações nas condições e rotinas de trabalho que passaram a ser feitas </w:t>
      </w:r>
      <w:r>
        <w:rPr>
          <w:spacing w:val="3"/>
        </w:rPr>
        <w:t xml:space="preserve">com mais </w:t>
      </w:r>
      <w:r>
        <w:rPr>
          <w:spacing w:val="5"/>
        </w:rPr>
        <w:t xml:space="preserve">segurança. </w:t>
      </w:r>
      <w:r>
        <w:rPr>
          <w:spacing w:val="3"/>
        </w:rPr>
        <w:t xml:space="preserve">Sob </w:t>
      </w:r>
      <w:r>
        <w:t xml:space="preserve">o </w:t>
      </w:r>
      <w:r>
        <w:rPr>
          <w:spacing w:val="5"/>
        </w:rPr>
        <w:t xml:space="preserve">aspecto institucional, esses </w:t>
      </w:r>
      <w:r>
        <w:rPr>
          <w:spacing w:val="1"/>
        </w:rPr>
        <w:t xml:space="preserve">trabalhadores passaram </w:t>
      </w:r>
      <w:r>
        <w:t xml:space="preserve">a </w:t>
      </w:r>
      <w:r>
        <w:rPr>
          <w:spacing w:val="1"/>
        </w:rPr>
        <w:t xml:space="preserve">atuar </w:t>
      </w:r>
      <w:r>
        <w:t xml:space="preserve">de </w:t>
      </w:r>
      <w:r>
        <w:rPr>
          <w:spacing w:val="1"/>
        </w:rPr>
        <w:t xml:space="preserve">acordo </w:t>
      </w:r>
      <w:r>
        <w:t xml:space="preserve">com as </w:t>
      </w:r>
      <w:r>
        <w:rPr>
          <w:spacing w:val="2"/>
        </w:rPr>
        <w:t xml:space="preserve">normas </w:t>
      </w:r>
      <w:r>
        <w:t>ambientais, o que se transformou em benefício indire</w:t>
      </w:r>
      <w:r>
        <w:t xml:space="preserve">to para </w:t>
      </w:r>
      <w:r>
        <w:rPr>
          <w:spacing w:val="5"/>
        </w:rPr>
        <w:t xml:space="preserve">eles </w:t>
      </w:r>
      <w:r>
        <w:t xml:space="preserve">e a </w:t>
      </w:r>
      <w:r>
        <w:rPr>
          <w:spacing w:val="5"/>
        </w:rPr>
        <w:t xml:space="preserve">população </w:t>
      </w:r>
      <w:r>
        <w:rPr>
          <w:spacing w:val="2"/>
        </w:rPr>
        <w:t xml:space="preserve">do </w:t>
      </w:r>
      <w:r>
        <w:rPr>
          <w:spacing w:val="5"/>
        </w:rPr>
        <w:t xml:space="preserve">município. </w:t>
      </w:r>
      <w:r>
        <w:rPr>
          <w:spacing w:val="2"/>
        </w:rPr>
        <w:t xml:space="preserve">Os </w:t>
      </w:r>
      <w:r>
        <w:rPr>
          <w:spacing w:val="5"/>
        </w:rPr>
        <w:t xml:space="preserve">garimpos </w:t>
      </w:r>
      <w:r>
        <w:rPr>
          <w:spacing w:val="6"/>
        </w:rPr>
        <w:t xml:space="preserve">também </w:t>
      </w:r>
      <w:r>
        <w:rPr>
          <w:spacing w:val="7"/>
        </w:rPr>
        <w:t xml:space="preserve">começaram </w:t>
      </w:r>
      <w:r>
        <w:t xml:space="preserve">a </w:t>
      </w:r>
      <w:r>
        <w:rPr>
          <w:spacing w:val="8"/>
        </w:rPr>
        <w:t xml:space="preserve">contemplar </w:t>
      </w:r>
      <w:r>
        <w:t xml:space="preserve">a </w:t>
      </w:r>
      <w:r>
        <w:rPr>
          <w:spacing w:val="8"/>
        </w:rPr>
        <w:t xml:space="preserve">legislação </w:t>
      </w:r>
      <w:r>
        <w:rPr>
          <w:spacing w:val="7"/>
        </w:rPr>
        <w:t xml:space="preserve">mineral, </w:t>
      </w:r>
      <w:r>
        <w:t xml:space="preserve">o </w:t>
      </w:r>
      <w:r>
        <w:rPr>
          <w:spacing w:val="10"/>
        </w:rPr>
        <w:t xml:space="preserve">que </w:t>
      </w:r>
      <w:r>
        <w:t xml:space="preserve">significou o fim do risco de expulsão das áreas de garimpo. Apesar disso, os trabalhadores ainda estão sob condições de </w:t>
      </w:r>
      <w:r>
        <w:rPr>
          <w:spacing w:val="3"/>
        </w:rPr>
        <w:t>trabalho precárias: const</w:t>
      </w:r>
      <w:r>
        <w:rPr>
          <w:spacing w:val="3"/>
        </w:rPr>
        <w:t xml:space="preserve">ante exposição </w:t>
      </w:r>
      <w:r>
        <w:rPr>
          <w:spacing w:val="1"/>
        </w:rPr>
        <w:t xml:space="preserve">ao </w:t>
      </w:r>
      <w:r>
        <w:rPr>
          <w:spacing w:val="2"/>
        </w:rPr>
        <w:t xml:space="preserve">sol </w:t>
      </w:r>
      <w:r>
        <w:t xml:space="preserve">e </w:t>
      </w:r>
      <w:r>
        <w:rPr>
          <w:spacing w:val="1"/>
        </w:rPr>
        <w:t xml:space="preserve">ao </w:t>
      </w:r>
      <w:r>
        <w:rPr>
          <w:spacing w:val="5"/>
        </w:rPr>
        <w:t xml:space="preserve">calor, </w:t>
      </w:r>
      <w:r>
        <w:t xml:space="preserve">falta de água para consumo, poeira (com inalação de sílica e </w:t>
      </w:r>
      <w:r>
        <w:rPr>
          <w:spacing w:val="1"/>
        </w:rPr>
        <w:t xml:space="preserve">risco </w:t>
      </w:r>
      <w:r>
        <w:t xml:space="preserve">de </w:t>
      </w:r>
      <w:r>
        <w:rPr>
          <w:spacing w:val="1"/>
        </w:rPr>
        <w:t xml:space="preserve">contraírem silicose) </w:t>
      </w:r>
      <w:r>
        <w:t xml:space="preserve">e </w:t>
      </w:r>
      <w:r>
        <w:rPr>
          <w:spacing w:val="1"/>
        </w:rPr>
        <w:t xml:space="preserve">esforço físico. Outro </w:t>
      </w:r>
      <w:r>
        <w:rPr>
          <w:spacing w:val="2"/>
        </w:rPr>
        <w:t xml:space="preserve">aspeto </w:t>
      </w:r>
      <w:r>
        <w:rPr>
          <w:spacing w:val="10"/>
        </w:rPr>
        <w:t xml:space="preserve">negativo </w:t>
      </w:r>
      <w:r>
        <w:rPr>
          <w:spacing w:val="8"/>
        </w:rPr>
        <w:t xml:space="preserve">ainda </w:t>
      </w:r>
      <w:r>
        <w:rPr>
          <w:spacing w:val="7"/>
        </w:rPr>
        <w:t xml:space="preserve">não </w:t>
      </w:r>
      <w:r>
        <w:rPr>
          <w:spacing w:val="10"/>
        </w:rPr>
        <w:t xml:space="preserve">solucionado </w:t>
      </w:r>
      <w:r>
        <w:rPr>
          <w:spacing w:val="8"/>
        </w:rPr>
        <w:t xml:space="preserve">pelo </w:t>
      </w:r>
      <w:r>
        <w:rPr>
          <w:spacing w:val="7"/>
        </w:rPr>
        <w:t xml:space="preserve">APL </w:t>
      </w:r>
      <w:r>
        <w:t xml:space="preserve">é a </w:t>
      </w:r>
      <w:r>
        <w:rPr>
          <w:spacing w:val="11"/>
        </w:rPr>
        <w:t xml:space="preserve">baixa </w:t>
      </w:r>
      <w:r>
        <w:t>remuneração recebida pelos garimpeiros (MILANEZ; P</w:t>
      </w:r>
      <w:r>
        <w:t>UPIM, 2011).</w:t>
      </w:r>
    </w:p>
    <w:p w:rsidR="00D81F69" w:rsidRDefault="00330118">
      <w:pPr>
        <w:pStyle w:val="Corpodetexto"/>
        <w:spacing w:before="148" w:line="312" w:lineRule="auto"/>
        <w:ind w:right="190"/>
      </w:pPr>
      <w:r>
        <w:t xml:space="preserve">No aspecto ambiental, apesar de os garimpos da cooperativa e de </w:t>
      </w:r>
      <w:r>
        <w:rPr>
          <w:spacing w:val="1"/>
        </w:rPr>
        <w:t xml:space="preserve">alguns garimpos autônomos terem obtido </w:t>
      </w:r>
      <w:r>
        <w:t xml:space="preserve">as </w:t>
      </w:r>
      <w:r>
        <w:rPr>
          <w:spacing w:val="2"/>
        </w:rPr>
        <w:t xml:space="preserve">licenças </w:t>
      </w:r>
      <w:r>
        <w:t xml:space="preserve">ambientais, ainda ocorrem práticas em não conformidade com a </w:t>
      </w:r>
      <w:r>
        <w:rPr>
          <w:spacing w:val="10"/>
        </w:rPr>
        <w:t xml:space="preserve">regulamentação. </w:t>
      </w:r>
      <w:r>
        <w:rPr>
          <w:spacing w:val="8"/>
        </w:rPr>
        <w:t xml:space="preserve">Dois </w:t>
      </w:r>
      <w:r>
        <w:rPr>
          <w:spacing w:val="10"/>
        </w:rPr>
        <w:t xml:space="preserve">aspectos parecem </w:t>
      </w:r>
      <w:r>
        <w:rPr>
          <w:spacing w:val="7"/>
        </w:rPr>
        <w:t xml:space="preserve">ser </w:t>
      </w:r>
      <w:r>
        <w:rPr>
          <w:spacing w:val="11"/>
        </w:rPr>
        <w:t xml:space="preserve">mais </w:t>
      </w:r>
      <w:r>
        <w:rPr>
          <w:spacing w:val="8"/>
        </w:rPr>
        <w:t xml:space="preserve">relevantes: </w:t>
      </w:r>
      <w:r>
        <w:t xml:space="preserve">o </w:t>
      </w:r>
      <w:r>
        <w:rPr>
          <w:spacing w:val="7"/>
        </w:rPr>
        <w:t xml:space="preserve">impacto sobre </w:t>
      </w:r>
      <w:r>
        <w:rPr>
          <w:spacing w:val="5"/>
        </w:rPr>
        <w:t xml:space="preserve">os </w:t>
      </w:r>
      <w:r>
        <w:rPr>
          <w:spacing w:val="7"/>
        </w:rPr>
        <w:t xml:space="preserve">recursos hídricos </w:t>
      </w:r>
      <w:r>
        <w:t xml:space="preserve">e a </w:t>
      </w:r>
      <w:r>
        <w:rPr>
          <w:spacing w:val="5"/>
        </w:rPr>
        <w:t xml:space="preserve">recuperação </w:t>
      </w:r>
      <w:r>
        <w:rPr>
          <w:spacing w:val="3"/>
        </w:rPr>
        <w:t xml:space="preserve">das áreas </w:t>
      </w:r>
      <w:r>
        <w:rPr>
          <w:spacing w:val="5"/>
        </w:rPr>
        <w:t>degradadas (MILANEZ; PUPPIM, 2011</w:t>
      </w:r>
    </w:p>
    <w:p w:rsidR="00D81F69" w:rsidRDefault="00D81F69">
      <w:pPr>
        <w:pStyle w:val="Corpodetexto"/>
        <w:spacing w:before="6"/>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210"/>
      </w:pPr>
      <w:r>
        <w:t>As ocorrências de opala no município de Pedro II estão localizadas entre os rios Corrente e Parafuso, nas sub-bacias do rio Longá e rio P</w:t>
      </w:r>
      <w:r>
        <w:t>oti, afluentes do rio Parnaíba. A localização compreende as latitudes 4°28’13”S – 4°23’35”S e longitudes 41°23’59”W – 4°25’58”W.</w:t>
      </w:r>
    </w:p>
    <w:p w:rsidR="00D81F69" w:rsidRDefault="00D81F69">
      <w:pPr>
        <w:pStyle w:val="Corpodetexto"/>
        <w:spacing w:before="2"/>
        <w:ind w:left="0"/>
        <w:jc w:val="left"/>
        <w:rPr>
          <w:sz w:val="29"/>
        </w:rPr>
      </w:pPr>
    </w:p>
    <w:p w:rsidR="00D81F69" w:rsidRDefault="00330118">
      <w:pPr>
        <w:pStyle w:val="Heading7"/>
      </w:pPr>
      <w:r>
        <w:t>REDATORES</w:t>
      </w:r>
    </w:p>
    <w:p w:rsidR="00D81F69" w:rsidRDefault="00D81F69">
      <w:pPr>
        <w:sectPr w:rsidR="00D81F69">
          <w:pgSz w:w="11900" w:h="16840"/>
          <w:pgMar w:top="740" w:right="500" w:bottom="720" w:left="620" w:header="0" w:footer="402" w:gutter="0"/>
          <w:cols w:num="2" w:space="720" w:equalWidth="0">
            <w:col w:w="5164" w:space="306"/>
            <w:col w:w="5310"/>
          </w:cols>
        </w:sectPr>
      </w:pPr>
    </w:p>
    <w:p w:rsidR="00D81F69" w:rsidRDefault="00330118">
      <w:pPr>
        <w:pStyle w:val="Corpodetexto"/>
        <w:spacing w:before="81"/>
        <w:jc w:val="left"/>
      </w:pPr>
      <w:r>
        <w:lastRenderedPageBreak/>
        <w:t>Renata Olivieri; Eliane Araujo</w:t>
      </w:r>
    </w:p>
    <w:p w:rsidR="00D81F69" w:rsidRDefault="00D81F69">
      <w:pPr>
        <w:pStyle w:val="Corpodetexto"/>
        <w:ind w:left="0"/>
        <w:jc w:val="left"/>
        <w:rPr>
          <w:sz w:val="20"/>
        </w:rPr>
      </w:pPr>
    </w:p>
    <w:p w:rsidR="00D81F69" w:rsidRDefault="00330118">
      <w:pPr>
        <w:pStyle w:val="Heading7"/>
        <w:spacing w:before="164"/>
        <w:jc w:val="left"/>
      </w:pPr>
      <w:r>
        <w:t>REFERÊNCIAS BIBLIOGRÁFICAS</w:t>
      </w:r>
    </w:p>
    <w:p w:rsidR="00D81F69" w:rsidRDefault="00330118">
      <w:pPr>
        <w:spacing w:before="188" w:line="312" w:lineRule="auto"/>
        <w:ind w:left="100" w:right="41"/>
        <w:jc w:val="both"/>
        <w:rPr>
          <w:sz w:val="16"/>
        </w:rPr>
      </w:pPr>
      <w:r>
        <w:rPr>
          <w:sz w:val="16"/>
        </w:rPr>
        <w:t xml:space="preserve">CETEM, Centro de Tecnologia </w:t>
      </w:r>
      <w:r>
        <w:rPr>
          <w:sz w:val="16"/>
        </w:rPr>
        <w:t>Mineral. Extração racional vai garantir ciclo da opala. Cetem na mídia, 24 jul. 2005. Disponível em:</w:t>
      </w:r>
    </w:p>
    <w:p w:rsidR="00D81F69" w:rsidRDefault="00D81F69">
      <w:pPr>
        <w:spacing w:before="1" w:line="312" w:lineRule="auto"/>
        <w:ind w:left="100" w:right="66"/>
        <w:jc w:val="both"/>
        <w:rPr>
          <w:sz w:val="16"/>
        </w:rPr>
      </w:pPr>
      <w:hyperlink r:id="rId787">
        <w:r w:rsidR="00330118">
          <w:rPr>
            <w:sz w:val="16"/>
          </w:rPr>
          <w:t>&lt;http://www.cetem.gov.br/noticias/cetem%20midia/not_site_governo_</w:t>
        </w:r>
      </w:hyperlink>
      <w:r w:rsidR="00330118">
        <w:rPr>
          <w:sz w:val="16"/>
        </w:rPr>
        <w:t xml:space="preserve"> piaui_2</w:t>
      </w:r>
      <w:r w:rsidR="00330118">
        <w:rPr>
          <w:sz w:val="16"/>
        </w:rPr>
        <w:t>4_07_05.html&gt;. Acesso em: 03 ago. 2010.</w:t>
      </w:r>
    </w:p>
    <w:p w:rsidR="00D81F69" w:rsidRDefault="00330118">
      <w:pPr>
        <w:spacing w:before="2" w:line="312" w:lineRule="auto"/>
        <w:ind w:left="100" w:right="38"/>
        <w:jc w:val="both"/>
        <w:rPr>
          <w:sz w:val="16"/>
        </w:rPr>
      </w:pPr>
      <w:r>
        <w:rPr>
          <w:sz w:val="16"/>
        </w:rPr>
        <w:t xml:space="preserve">COSTA, A. M. Piauí desperta para a valorização da opala. Governo </w:t>
      </w:r>
      <w:r>
        <w:rPr>
          <w:spacing w:val="5"/>
          <w:sz w:val="16"/>
        </w:rPr>
        <w:t xml:space="preserve">do </w:t>
      </w:r>
      <w:r>
        <w:rPr>
          <w:spacing w:val="8"/>
          <w:sz w:val="16"/>
        </w:rPr>
        <w:t xml:space="preserve">estado </w:t>
      </w:r>
      <w:r>
        <w:rPr>
          <w:spacing w:val="5"/>
          <w:sz w:val="16"/>
        </w:rPr>
        <w:t xml:space="preserve">do </w:t>
      </w:r>
      <w:r>
        <w:rPr>
          <w:spacing w:val="8"/>
          <w:sz w:val="16"/>
        </w:rPr>
        <w:t xml:space="preserve">Piauí. Criado </w:t>
      </w:r>
      <w:r>
        <w:rPr>
          <w:spacing w:val="6"/>
          <w:sz w:val="16"/>
        </w:rPr>
        <w:t xml:space="preserve">em: MAI </w:t>
      </w:r>
      <w:r>
        <w:rPr>
          <w:spacing w:val="7"/>
          <w:sz w:val="16"/>
        </w:rPr>
        <w:t xml:space="preserve">2005. </w:t>
      </w:r>
      <w:r>
        <w:rPr>
          <w:spacing w:val="8"/>
          <w:sz w:val="16"/>
        </w:rPr>
        <w:t xml:space="preserve">Disponível </w:t>
      </w:r>
      <w:r>
        <w:rPr>
          <w:spacing w:val="10"/>
          <w:sz w:val="16"/>
        </w:rPr>
        <w:t>em:</w:t>
      </w:r>
    </w:p>
    <w:p w:rsidR="00D81F69" w:rsidRDefault="00D81F69">
      <w:pPr>
        <w:spacing w:before="2" w:line="312" w:lineRule="auto"/>
        <w:ind w:left="100" w:right="44"/>
        <w:jc w:val="both"/>
        <w:rPr>
          <w:sz w:val="16"/>
        </w:rPr>
      </w:pPr>
      <w:hyperlink r:id="rId788">
        <w:r w:rsidR="00330118">
          <w:rPr>
            <w:sz w:val="16"/>
          </w:rPr>
          <w:t>&lt;</w:t>
        </w:r>
        <w:r w:rsidR="00330118">
          <w:rPr>
            <w:sz w:val="16"/>
          </w:rPr>
          <w:t>http://www.piaui.pi.gov.br/atual/materia_especial.php?id=13152&gt;.</w:t>
        </w:r>
      </w:hyperlink>
      <w:r w:rsidR="00330118">
        <w:rPr>
          <w:sz w:val="16"/>
        </w:rPr>
        <w:t xml:space="preserve"> Acesso em: set. 2010.</w:t>
      </w:r>
    </w:p>
    <w:p w:rsidR="00D81F69" w:rsidRDefault="00330118">
      <w:pPr>
        <w:spacing w:before="1"/>
        <w:ind w:left="100"/>
        <w:rPr>
          <w:sz w:val="16"/>
        </w:rPr>
      </w:pPr>
      <w:r>
        <w:rPr>
          <w:sz w:val="16"/>
        </w:rPr>
        <w:t>FINEP. Convênio ref. 3686/04. Rio de Janeiro, 2005.</w:t>
      </w:r>
    </w:p>
    <w:p w:rsidR="00D81F69" w:rsidRDefault="00330118">
      <w:pPr>
        <w:spacing w:before="56" w:line="312" w:lineRule="auto"/>
        <w:ind w:left="100" w:right="55"/>
        <w:jc w:val="both"/>
        <w:rPr>
          <w:sz w:val="16"/>
        </w:rPr>
      </w:pPr>
      <w:r>
        <w:rPr>
          <w:sz w:val="16"/>
        </w:rPr>
        <w:t>FUNDAÇÃO CEPRO. Diagnóstico e diretrizes para o setor mineral do estado do Piauí. Teresina: Fundação Centro de Pesqui</w:t>
      </w:r>
      <w:r>
        <w:rPr>
          <w:sz w:val="16"/>
        </w:rPr>
        <w:t>sas Econômicas e Sociais. 2005.</w:t>
      </w:r>
    </w:p>
    <w:p w:rsidR="00D81F69" w:rsidRDefault="00330118">
      <w:pPr>
        <w:spacing w:before="3" w:line="312" w:lineRule="auto"/>
        <w:ind w:left="100" w:right="49"/>
        <w:jc w:val="both"/>
        <w:rPr>
          <w:sz w:val="16"/>
        </w:rPr>
      </w:pPr>
      <w:r>
        <w:rPr>
          <w:sz w:val="16"/>
        </w:rPr>
        <w:t>GOVERNO DO ESTADO DO PIAUÍ. Grupo Gestor Estadual De Arranjos Produtivos Locais. Plano de desenvolvimento do arranjo produtivo da opala na região de Pedro II – Piauí, 2008. Disponível em:</w:t>
      </w:r>
    </w:p>
    <w:p w:rsidR="00D81F69" w:rsidRDefault="00D81F69">
      <w:pPr>
        <w:spacing w:before="2" w:line="312" w:lineRule="auto"/>
        <w:ind w:left="100" w:right="62"/>
        <w:jc w:val="both"/>
        <w:rPr>
          <w:sz w:val="16"/>
        </w:rPr>
      </w:pPr>
      <w:hyperlink r:id="rId789">
        <w:r w:rsidR="00330118">
          <w:rPr>
            <w:sz w:val="16"/>
          </w:rPr>
          <w:t xml:space="preserve">&lt;http://www.mdic.gov.br/arquivos/dwnl_1247146958.pdf&gt;. </w:t>
        </w:r>
      </w:hyperlink>
      <w:r w:rsidR="00330118">
        <w:rPr>
          <w:sz w:val="16"/>
        </w:rPr>
        <w:t>Acesso em: 06 ago. 2010.</w:t>
      </w:r>
    </w:p>
    <w:p w:rsidR="00D81F69" w:rsidRDefault="00330118">
      <w:pPr>
        <w:tabs>
          <w:tab w:val="left" w:pos="4331"/>
        </w:tabs>
        <w:spacing w:before="2" w:line="312" w:lineRule="auto"/>
        <w:ind w:left="100" w:right="43"/>
        <w:jc w:val="both"/>
        <w:rPr>
          <w:sz w:val="16"/>
        </w:rPr>
      </w:pPr>
      <w:r>
        <w:rPr>
          <w:sz w:val="16"/>
        </w:rPr>
        <w:t xml:space="preserve">HENRIQUES, H. S.; SOARES, M. M. (Coord.). Políticas e ações para a  </w:t>
      </w:r>
      <w:r>
        <w:rPr>
          <w:spacing w:val="3"/>
          <w:sz w:val="16"/>
        </w:rPr>
        <w:t xml:space="preserve">cadeia produtiva </w:t>
      </w:r>
      <w:r>
        <w:rPr>
          <w:spacing w:val="1"/>
          <w:sz w:val="16"/>
        </w:rPr>
        <w:t xml:space="preserve">de  </w:t>
      </w:r>
      <w:r>
        <w:rPr>
          <w:spacing w:val="3"/>
          <w:sz w:val="16"/>
        </w:rPr>
        <w:t xml:space="preserve">gemas </w:t>
      </w:r>
      <w:r>
        <w:rPr>
          <w:sz w:val="16"/>
        </w:rPr>
        <w:t xml:space="preserve">e  </w:t>
      </w:r>
      <w:r>
        <w:rPr>
          <w:spacing w:val="3"/>
          <w:sz w:val="16"/>
        </w:rPr>
        <w:t xml:space="preserve">jóias. Brasília, </w:t>
      </w:r>
      <w:r>
        <w:rPr>
          <w:spacing w:val="2"/>
          <w:sz w:val="16"/>
        </w:rPr>
        <w:t xml:space="preserve">DF: </w:t>
      </w:r>
      <w:r>
        <w:rPr>
          <w:spacing w:val="3"/>
          <w:sz w:val="16"/>
        </w:rPr>
        <w:t xml:space="preserve">IBGM. </w:t>
      </w:r>
      <w:r>
        <w:rPr>
          <w:spacing w:val="5"/>
          <w:sz w:val="16"/>
        </w:rPr>
        <w:t xml:space="preserve">2005.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40"/>
        <w:jc w:val="both"/>
        <w:rPr>
          <w:sz w:val="16"/>
        </w:rPr>
      </w:pPr>
      <w:hyperlink r:id="rId790">
        <w:r w:rsidR="00330118">
          <w:rPr>
            <w:sz w:val="16"/>
          </w:rPr>
          <w:t>&lt;http://www.ibgm.com.br/UserFiles/File/ibgmMDIC2005all.pdf&gt;.</w:t>
        </w:r>
      </w:hyperlink>
      <w:r w:rsidR="00330118">
        <w:rPr>
          <w:sz w:val="16"/>
        </w:rPr>
        <w:t xml:space="preserve"> Acesso em: set. 2010.</w:t>
      </w:r>
    </w:p>
    <w:p w:rsidR="00D81F69" w:rsidRDefault="00330118">
      <w:pPr>
        <w:spacing w:before="2" w:line="312" w:lineRule="auto"/>
        <w:ind w:left="100" w:right="64"/>
        <w:jc w:val="both"/>
        <w:rPr>
          <w:sz w:val="16"/>
        </w:rPr>
      </w:pPr>
      <w:r>
        <w:rPr>
          <w:sz w:val="16"/>
        </w:rPr>
        <w:t>MILANEZ, Bruno; PUPPIM, José An</w:t>
      </w:r>
      <w:r>
        <w:rPr>
          <w:sz w:val="16"/>
        </w:rPr>
        <w:t>tonio. Opalas de Pedro II: o APL como remediação da grande mina. In: FERNANDES, Francisco Rego Chaves; ENRIQUEZ, Maria Amélia; ALAMINO, Renata de Carvalho Jimenez Alamino (Eds.). Recursos Minerais e Sustentabilidade</w:t>
      </w:r>
    </w:p>
    <w:p w:rsidR="00D81F69" w:rsidRDefault="00330118">
      <w:pPr>
        <w:tabs>
          <w:tab w:val="left" w:pos="4331"/>
        </w:tabs>
        <w:spacing w:before="70" w:line="312" w:lineRule="auto"/>
        <w:ind w:left="100" w:right="191"/>
        <w:jc w:val="both"/>
        <w:rPr>
          <w:sz w:val="16"/>
        </w:rPr>
      </w:pPr>
      <w:r>
        <w:br w:type="column"/>
      </w:r>
      <w:r>
        <w:rPr>
          <w:spacing w:val="5"/>
          <w:sz w:val="16"/>
        </w:rPr>
        <w:lastRenderedPageBreak/>
        <w:t xml:space="preserve">Territorial v.2, </w:t>
      </w:r>
      <w:r>
        <w:rPr>
          <w:spacing w:val="2"/>
          <w:sz w:val="16"/>
        </w:rPr>
        <w:t xml:space="preserve">p.  </w:t>
      </w:r>
      <w:r>
        <w:rPr>
          <w:spacing w:val="5"/>
          <w:sz w:val="16"/>
        </w:rPr>
        <w:t xml:space="preserve">69-88. </w:t>
      </w:r>
      <w:r>
        <w:rPr>
          <w:spacing w:val="3"/>
          <w:sz w:val="16"/>
        </w:rPr>
        <w:t xml:space="preserve">Rio  </w:t>
      </w:r>
      <w:r>
        <w:rPr>
          <w:spacing w:val="2"/>
          <w:sz w:val="16"/>
        </w:rPr>
        <w:t xml:space="preserve">de  </w:t>
      </w:r>
      <w:r>
        <w:rPr>
          <w:spacing w:val="5"/>
          <w:sz w:val="16"/>
        </w:rPr>
        <w:t xml:space="preserve">Janeiro: CETEM/MCTI, </w:t>
      </w:r>
      <w:r>
        <w:rPr>
          <w:spacing w:val="6"/>
          <w:sz w:val="16"/>
        </w:rPr>
        <w:t xml:space="preserve">2011.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1" w:line="312" w:lineRule="auto"/>
        <w:ind w:left="100" w:right="198"/>
        <w:jc w:val="both"/>
        <w:rPr>
          <w:sz w:val="16"/>
        </w:rPr>
      </w:pPr>
      <w:hyperlink r:id="rId791">
        <w:r w:rsidR="00330118">
          <w:rPr>
            <w:sz w:val="16"/>
          </w:rPr>
          <w:t>&lt;http://www.cetem.gov.br/publicacao/livros/Vol_2_APL_TOTAL.pdf&gt;.</w:t>
        </w:r>
      </w:hyperlink>
      <w:r w:rsidR="00330118">
        <w:rPr>
          <w:sz w:val="16"/>
        </w:rPr>
        <w:t xml:space="preserve"> Acesso em: 05 de</w:t>
      </w:r>
      <w:r w:rsidR="00330118">
        <w:rPr>
          <w:sz w:val="16"/>
        </w:rPr>
        <w:t>z. 2011.</w:t>
      </w:r>
    </w:p>
    <w:p w:rsidR="00D81F69" w:rsidRDefault="00D81F69">
      <w:pPr>
        <w:spacing w:before="2" w:line="312" w:lineRule="auto"/>
        <w:ind w:left="100" w:right="215" w:firstLine="544"/>
        <w:jc w:val="both"/>
        <w:rPr>
          <w:sz w:val="16"/>
        </w:rPr>
      </w:pPr>
      <w:r w:rsidRPr="00D81F69">
        <w:pict>
          <v:line id="_x0000_s1032" style="position:absolute;left:0;text-align:left;z-index:-353608;mso-position-horizontal-relative:page" from="309.5pt,8.95pt" to="336.7pt,8.95pt" strokeweight=".17781mm">
            <w10:wrap anchorx="page"/>
          </v:line>
        </w:pict>
      </w:r>
      <w:r w:rsidR="00330118">
        <w:rPr>
          <w:sz w:val="16"/>
        </w:rPr>
        <w:t>. Ambiente, pessoas e labor: APLs além do desenvolvimento econômico na mineração de opalas em Pedro II, no Piauí. Cadernos EBAPE. BR, vol.7</w:t>
      </w:r>
    </w:p>
    <w:p w:rsidR="00D81F69" w:rsidRDefault="00330118">
      <w:pPr>
        <w:spacing w:before="2"/>
        <w:ind w:left="100"/>
        <w:rPr>
          <w:sz w:val="16"/>
        </w:rPr>
      </w:pPr>
      <w:r>
        <w:rPr>
          <w:spacing w:val="20"/>
          <w:sz w:val="16"/>
        </w:rPr>
        <w:t xml:space="preserve">no.4, </w:t>
      </w:r>
      <w:r>
        <w:rPr>
          <w:spacing w:val="15"/>
          <w:sz w:val="16"/>
        </w:rPr>
        <w:t>Rio</w:t>
      </w:r>
      <w:r>
        <w:rPr>
          <w:spacing w:val="75"/>
          <w:sz w:val="16"/>
        </w:rPr>
        <w:t xml:space="preserve"> </w:t>
      </w:r>
      <w:r>
        <w:rPr>
          <w:spacing w:val="11"/>
          <w:sz w:val="16"/>
        </w:rPr>
        <w:t xml:space="preserve">de </w:t>
      </w:r>
      <w:r>
        <w:rPr>
          <w:spacing w:val="20"/>
          <w:sz w:val="16"/>
        </w:rPr>
        <w:t xml:space="preserve">Janeiro, </w:t>
      </w:r>
      <w:r>
        <w:rPr>
          <w:spacing w:val="17"/>
          <w:sz w:val="16"/>
        </w:rPr>
        <w:t xml:space="preserve">dez. </w:t>
      </w:r>
      <w:r>
        <w:rPr>
          <w:spacing w:val="20"/>
          <w:sz w:val="16"/>
        </w:rPr>
        <w:t xml:space="preserve">2009. </w:t>
      </w:r>
      <w:r>
        <w:rPr>
          <w:spacing w:val="21"/>
          <w:sz w:val="16"/>
        </w:rPr>
        <w:t>Disponível</w:t>
      </w:r>
      <w:r>
        <w:rPr>
          <w:spacing w:val="20"/>
          <w:sz w:val="16"/>
        </w:rPr>
        <w:t xml:space="preserve"> </w:t>
      </w:r>
      <w:r>
        <w:rPr>
          <w:spacing w:val="15"/>
          <w:sz w:val="16"/>
        </w:rPr>
        <w:t>em:</w:t>
      </w:r>
      <w:r>
        <w:rPr>
          <w:spacing w:val="-19"/>
          <w:sz w:val="16"/>
        </w:rPr>
        <w:t xml:space="preserve"> </w:t>
      </w:r>
    </w:p>
    <w:p w:rsidR="00D81F69" w:rsidRDefault="00D81F69">
      <w:pPr>
        <w:spacing w:before="56" w:line="312" w:lineRule="auto"/>
        <w:ind w:left="100" w:right="175"/>
        <w:jc w:val="both"/>
        <w:rPr>
          <w:sz w:val="16"/>
        </w:rPr>
      </w:pPr>
      <w:hyperlink r:id="rId792">
        <w:r w:rsidR="00330118">
          <w:rPr>
            <w:sz w:val="16"/>
          </w:rPr>
          <w:t xml:space="preserve">&lt;http://www.scielo.br/scielo.php?pid=S1679- </w:t>
        </w:r>
      </w:hyperlink>
      <w:r w:rsidR="00330118">
        <w:rPr>
          <w:sz w:val="16"/>
        </w:rPr>
        <w:t>39512009000400001&amp;script=sci_arttext&amp;tlng=pt&gt;. Acesso em: 03 ago. 2010.</w:t>
      </w:r>
    </w:p>
    <w:p w:rsidR="00D81F69" w:rsidRDefault="00330118">
      <w:pPr>
        <w:spacing w:before="3" w:line="312" w:lineRule="auto"/>
        <w:ind w:left="100" w:right="217"/>
        <w:jc w:val="both"/>
        <w:rPr>
          <w:sz w:val="16"/>
        </w:rPr>
      </w:pPr>
      <w:r>
        <w:rPr>
          <w:sz w:val="16"/>
        </w:rPr>
        <w:t>OLIVEIRA, J. C. Recursos gemológicos dos estados do Piauí e Maranhão. Teresina: CP</w:t>
      </w:r>
      <w:r>
        <w:rPr>
          <w:sz w:val="16"/>
        </w:rPr>
        <w:t>RM, 1998.</w:t>
      </w:r>
    </w:p>
    <w:p w:rsidR="00D81F69" w:rsidRDefault="00330118">
      <w:pPr>
        <w:spacing w:before="1" w:line="312" w:lineRule="auto"/>
        <w:ind w:left="100" w:right="195"/>
        <w:jc w:val="both"/>
        <w:rPr>
          <w:sz w:val="16"/>
        </w:rPr>
      </w:pPr>
      <w:r>
        <w:rPr>
          <w:sz w:val="16"/>
        </w:rPr>
        <w:t>OLIVEIRA, J. C.; CARDOSO, C. E. T. Projeto opala em Pedro II: relatório final. Recife: CPRM, 1979. v.1.</w:t>
      </w:r>
    </w:p>
    <w:p w:rsidR="00D81F69" w:rsidRDefault="00330118">
      <w:pPr>
        <w:spacing w:before="2" w:line="312" w:lineRule="auto"/>
        <w:ind w:left="100" w:right="188"/>
        <w:jc w:val="both"/>
        <w:rPr>
          <w:sz w:val="16"/>
        </w:rPr>
      </w:pPr>
      <w:r>
        <w:rPr>
          <w:sz w:val="16"/>
        </w:rPr>
        <w:t xml:space="preserve">PEITER, Carlos César; VIDAL, Hollanda Francisco Wilson; OLIVEIRA, Sirlei Aparecida de. Transferência de Tecnologia nos Arranjos Produtivos de </w:t>
      </w:r>
      <w:r>
        <w:rPr>
          <w:sz w:val="16"/>
        </w:rPr>
        <w:t>Base Mineral. XXII Encontro Nacional de Tratamento de Minérios e Metalurgia Extrativa, Ouro Preto, MG, 20 a</w:t>
      </w:r>
    </w:p>
    <w:p w:rsidR="00D81F69" w:rsidRDefault="00330118">
      <w:pPr>
        <w:spacing w:before="3"/>
        <w:ind w:left="100"/>
        <w:rPr>
          <w:sz w:val="16"/>
        </w:rPr>
      </w:pPr>
      <w:r>
        <w:rPr>
          <w:sz w:val="16"/>
        </w:rPr>
        <w:t>24 nov. 2007, volume II, páginas 854-859. Disponível em:</w:t>
      </w:r>
    </w:p>
    <w:p w:rsidR="00D81F69" w:rsidRDefault="00D81F69">
      <w:pPr>
        <w:spacing w:before="56" w:line="312" w:lineRule="auto"/>
        <w:ind w:left="100" w:right="191"/>
        <w:jc w:val="both"/>
        <w:rPr>
          <w:sz w:val="16"/>
        </w:rPr>
      </w:pPr>
      <w:hyperlink r:id="rId793">
        <w:r w:rsidR="00330118">
          <w:rPr>
            <w:sz w:val="16"/>
          </w:rPr>
          <w:t>&lt;http://www.cetem</w:t>
        </w:r>
        <w:r w:rsidR="00330118">
          <w:rPr>
            <w:sz w:val="16"/>
          </w:rPr>
          <w:t>.gov.br/publicacao/CTs/CT2007-105-00.pdf&gt;.</w:t>
        </w:r>
      </w:hyperlink>
      <w:r w:rsidR="00330118">
        <w:rPr>
          <w:sz w:val="16"/>
        </w:rPr>
        <w:t xml:space="preserve"> Acesso em: 03 ago. 2010.</w:t>
      </w:r>
    </w:p>
    <w:p w:rsidR="00D81F69" w:rsidRDefault="00330118">
      <w:pPr>
        <w:spacing w:before="2" w:line="312" w:lineRule="auto"/>
        <w:ind w:left="100" w:right="164"/>
        <w:jc w:val="both"/>
        <w:rPr>
          <w:sz w:val="16"/>
        </w:rPr>
      </w:pPr>
      <w:r>
        <w:rPr>
          <w:spacing w:val="5"/>
          <w:sz w:val="16"/>
        </w:rPr>
        <w:t xml:space="preserve">PESSOA, Antônia. Instituições fazem trabalho </w:t>
      </w:r>
      <w:r>
        <w:rPr>
          <w:spacing w:val="2"/>
          <w:sz w:val="16"/>
        </w:rPr>
        <w:t xml:space="preserve">de </w:t>
      </w:r>
      <w:r>
        <w:rPr>
          <w:spacing w:val="5"/>
          <w:sz w:val="16"/>
        </w:rPr>
        <w:t xml:space="preserve">melhoria </w:t>
      </w:r>
      <w:r>
        <w:rPr>
          <w:spacing w:val="6"/>
          <w:sz w:val="16"/>
        </w:rPr>
        <w:t xml:space="preserve">do </w:t>
      </w:r>
      <w:r>
        <w:rPr>
          <w:spacing w:val="5"/>
          <w:sz w:val="16"/>
        </w:rPr>
        <w:t xml:space="preserve">processo produtivo </w:t>
      </w:r>
      <w:r>
        <w:rPr>
          <w:spacing w:val="2"/>
          <w:sz w:val="16"/>
        </w:rPr>
        <w:t xml:space="preserve">da </w:t>
      </w:r>
      <w:r>
        <w:rPr>
          <w:spacing w:val="5"/>
          <w:sz w:val="16"/>
        </w:rPr>
        <w:t xml:space="preserve">opala </w:t>
      </w:r>
      <w:r>
        <w:rPr>
          <w:spacing w:val="2"/>
          <w:sz w:val="16"/>
        </w:rPr>
        <w:t xml:space="preserve">em </w:t>
      </w:r>
      <w:r>
        <w:rPr>
          <w:spacing w:val="5"/>
          <w:sz w:val="16"/>
        </w:rPr>
        <w:t xml:space="preserve">Pedro </w:t>
      </w:r>
      <w:r>
        <w:rPr>
          <w:spacing w:val="3"/>
          <w:sz w:val="16"/>
        </w:rPr>
        <w:t xml:space="preserve">II, </w:t>
      </w:r>
      <w:r>
        <w:rPr>
          <w:spacing w:val="5"/>
          <w:sz w:val="16"/>
        </w:rPr>
        <w:t xml:space="preserve">Agência Sebrae </w:t>
      </w:r>
      <w:r>
        <w:rPr>
          <w:spacing w:val="6"/>
          <w:sz w:val="16"/>
        </w:rPr>
        <w:t xml:space="preserve">de </w:t>
      </w:r>
      <w:r>
        <w:rPr>
          <w:spacing w:val="30"/>
          <w:sz w:val="16"/>
        </w:rPr>
        <w:t>Notícias,</w:t>
      </w:r>
      <w:r>
        <w:rPr>
          <w:spacing w:val="105"/>
          <w:sz w:val="16"/>
        </w:rPr>
        <w:t xml:space="preserve"> </w:t>
      </w:r>
      <w:r>
        <w:rPr>
          <w:spacing w:val="22"/>
          <w:sz w:val="16"/>
        </w:rPr>
        <w:t xml:space="preserve">PI, </w:t>
      </w:r>
      <w:r>
        <w:rPr>
          <w:spacing w:val="16"/>
          <w:sz w:val="16"/>
        </w:rPr>
        <w:t xml:space="preserve">18 </w:t>
      </w:r>
      <w:r>
        <w:rPr>
          <w:spacing w:val="25"/>
          <w:sz w:val="16"/>
        </w:rPr>
        <w:t>nov.</w:t>
      </w:r>
      <w:r>
        <w:rPr>
          <w:spacing w:val="95"/>
          <w:sz w:val="16"/>
        </w:rPr>
        <w:t xml:space="preserve"> </w:t>
      </w:r>
      <w:r>
        <w:rPr>
          <w:spacing w:val="27"/>
          <w:sz w:val="16"/>
        </w:rPr>
        <w:t xml:space="preserve">2009. </w:t>
      </w:r>
      <w:r>
        <w:rPr>
          <w:spacing w:val="30"/>
          <w:sz w:val="16"/>
        </w:rPr>
        <w:t xml:space="preserve">Disponível </w:t>
      </w:r>
      <w:r>
        <w:rPr>
          <w:spacing w:val="22"/>
          <w:sz w:val="16"/>
        </w:rPr>
        <w:t>em:</w:t>
      </w:r>
      <w:r>
        <w:rPr>
          <w:spacing w:val="-9"/>
          <w:sz w:val="16"/>
        </w:rPr>
        <w:t xml:space="preserve"> </w:t>
      </w:r>
    </w:p>
    <w:p w:rsidR="00D81F69" w:rsidRDefault="00D81F69">
      <w:pPr>
        <w:spacing w:before="3" w:line="312" w:lineRule="auto"/>
        <w:ind w:left="100" w:right="216"/>
        <w:jc w:val="both"/>
        <w:rPr>
          <w:sz w:val="16"/>
        </w:rPr>
      </w:pPr>
      <w:hyperlink r:id="rId794">
        <w:r w:rsidR="00330118">
          <w:rPr>
            <w:sz w:val="16"/>
          </w:rPr>
          <w:t>&lt;http://www.agenciasebrae.com.br/noticia.kmf?canal=200&amp;cod=9180</w:t>
        </w:r>
      </w:hyperlink>
      <w:r w:rsidR="00330118">
        <w:rPr>
          <w:sz w:val="16"/>
        </w:rPr>
        <w:t xml:space="preserve"> 333&amp;indice=20&gt;. Acesso em: 06 ago. 2010.</w:t>
      </w:r>
    </w:p>
    <w:p w:rsidR="00D81F69" w:rsidRDefault="00330118">
      <w:pPr>
        <w:spacing w:before="1"/>
        <w:ind w:left="100"/>
        <w:rPr>
          <w:sz w:val="16"/>
        </w:rPr>
      </w:pPr>
      <w:r>
        <w:rPr>
          <w:sz w:val="16"/>
        </w:rPr>
        <w:t xml:space="preserve">REDE APL MINERAL. Base de APLs. Disponível em: </w:t>
      </w:r>
    </w:p>
    <w:p w:rsidR="00D81F69" w:rsidRDefault="00D81F69">
      <w:pPr>
        <w:spacing w:before="56" w:line="312" w:lineRule="auto"/>
        <w:ind w:left="100" w:right="197"/>
        <w:jc w:val="both"/>
        <w:rPr>
          <w:sz w:val="16"/>
        </w:rPr>
      </w:pPr>
      <w:hyperlink r:id="rId795">
        <w:r w:rsidR="00330118">
          <w:rPr>
            <w:sz w:val="16"/>
          </w:rPr>
          <w:t xml:space="preserve">&lt;http://www.redeaplmineral.org.br/apl/banco_apls/apls&gt;. </w:t>
        </w:r>
      </w:hyperlink>
      <w:r w:rsidR="00330118">
        <w:rPr>
          <w:sz w:val="16"/>
        </w:rPr>
        <w:t>Acesso em: set. 2010.</w:t>
      </w:r>
    </w:p>
    <w:p w:rsidR="00D81F69" w:rsidRDefault="00330118">
      <w:pPr>
        <w:spacing w:before="2" w:line="312" w:lineRule="auto"/>
        <w:ind w:left="100" w:right="216"/>
        <w:jc w:val="both"/>
        <w:rPr>
          <w:sz w:val="16"/>
        </w:rPr>
      </w:pPr>
      <w:r>
        <w:rPr>
          <w:sz w:val="16"/>
        </w:rPr>
        <w:t>SOUZA, V. C. de. Perfil analítico da opala. Brasília: DNPM, 1985. 49 pp. (Boletim, 58).</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60" w:space="310"/>
            <w:col w:w="5310"/>
          </w:cols>
        </w:sectPr>
      </w:pPr>
    </w:p>
    <w:p w:rsidR="00D81F69" w:rsidRDefault="00330118">
      <w:pPr>
        <w:pStyle w:val="Heading1"/>
        <w:spacing w:line="208" w:lineRule="auto"/>
      </w:pPr>
      <w:r>
        <w:lastRenderedPageBreak/>
        <w:t>Extração ile</w:t>
      </w:r>
      <w:r>
        <w:t>gal de rochas ornamentais gera danos em municípios do Piauí</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20"/>
        <w:rPr>
          <w:i/>
          <w:sz w:val="14"/>
        </w:rPr>
      </w:pPr>
      <w:r>
        <w:rPr>
          <w:i/>
          <w:sz w:val="14"/>
        </w:rPr>
        <w:t>PI - Castelo do Piauí PI - Juazeiro do Piauí</w:t>
      </w:r>
    </w:p>
    <w:p w:rsidR="00D81F69" w:rsidRDefault="00D81F69">
      <w:pPr>
        <w:pStyle w:val="Corpodetexto"/>
        <w:spacing w:before="4"/>
        <w:ind w:left="0"/>
        <w:jc w:val="left"/>
        <w:rPr>
          <w:i/>
        </w:rPr>
      </w:pPr>
    </w:p>
    <w:p w:rsidR="00D81F69" w:rsidRDefault="00330118">
      <w:pPr>
        <w:spacing w:before="1"/>
        <w:ind w:left="135"/>
        <w:rPr>
          <w:i/>
          <w:sz w:val="14"/>
        </w:rPr>
      </w:pPr>
      <w:r>
        <w:rPr>
          <w:i/>
          <w:sz w:val="14"/>
        </w:rPr>
        <w:t>LATITUDE</w:t>
      </w:r>
    </w:p>
    <w:p w:rsidR="00D81F69" w:rsidRDefault="00330118">
      <w:pPr>
        <w:spacing w:before="49"/>
        <w:ind w:left="135"/>
        <w:rPr>
          <w:i/>
          <w:sz w:val="14"/>
        </w:rPr>
      </w:pPr>
      <w:r>
        <w:rPr>
          <w:i/>
          <w:sz w:val="14"/>
        </w:rPr>
        <w:t>-5,3216</w:t>
      </w:r>
    </w:p>
    <w:p w:rsidR="00D81F69" w:rsidRDefault="00D81F69">
      <w:pPr>
        <w:pStyle w:val="Corpodetexto"/>
        <w:spacing w:before="5"/>
        <w:ind w:left="0"/>
        <w:jc w:val="left"/>
        <w:rPr>
          <w:i/>
          <w:sz w:val="22"/>
        </w:rPr>
      </w:pPr>
    </w:p>
    <w:p w:rsidR="00D81F69" w:rsidRDefault="00330118">
      <w:pPr>
        <w:spacing w:before="1"/>
        <w:ind w:left="135"/>
        <w:rPr>
          <w:i/>
          <w:sz w:val="14"/>
        </w:rPr>
      </w:pPr>
      <w:r>
        <w:rPr>
          <w:i/>
          <w:sz w:val="14"/>
        </w:rPr>
        <w:t>LONGITUDE</w:t>
      </w:r>
    </w:p>
    <w:p w:rsidR="00D81F69" w:rsidRDefault="00330118">
      <w:pPr>
        <w:spacing w:before="49"/>
        <w:ind w:left="135"/>
        <w:rPr>
          <w:i/>
          <w:sz w:val="14"/>
        </w:rPr>
      </w:pPr>
      <w:r>
        <w:rPr>
          <w:i/>
          <w:sz w:val="14"/>
        </w:rPr>
        <w:t>-41,5531</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3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Nos </w:t>
      </w:r>
      <w:r>
        <w:rPr>
          <w:i/>
          <w:spacing w:val="1"/>
          <w:sz w:val="16"/>
        </w:rPr>
        <w:t xml:space="preserve">municípios piauienses </w:t>
      </w:r>
      <w:r>
        <w:rPr>
          <w:i/>
          <w:sz w:val="16"/>
        </w:rPr>
        <w:t xml:space="preserve">de </w:t>
      </w:r>
      <w:r>
        <w:rPr>
          <w:i/>
          <w:spacing w:val="2"/>
          <w:sz w:val="16"/>
        </w:rPr>
        <w:t xml:space="preserve">Castelo </w:t>
      </w:r>
      <w:r>
        <w:rPr>
          <w:i/>
          <w:sz w:val="16"/>
        </w:rPr>
        <w:t xml:space="preserve">do Piauí e Juazeiro do Piauí, a extração </w:t>
      </w:r>
      <w:r>
        <w:rPr>
          <w:i/>
          <w:spacing w:val="5"/>
          <w:sz w:val="16"/>
        </w:rPr>
        <w:t xml:space="preserve">de </w:t>
      </w:r>
      <w:r>
        <w:rPr>
          <w:i/>
          <w:spacing w:val="10"/>
          <w:sz w:val="16"/>
        </w:rPr>
        <w:t xml:space="preserve">rochas ornamentais ocorre </w:t>
      </w:r>
      <w:r>
        <w:rPr>
          <w:i/>
          <w:spacing w:val="5"/>
          <w:sz w:val="16"/>
        </w:rPr>
        <w:t xml:space="preserve">de </w:t>
      </w:r>
      <w:r>
        <w:rPr>
          <w:i/>
          <w:spacing w:val="3"/>
          <w:sz w:val="16"/>
        </w:rPr>
        <w:t xml:space="preserve">maneira artesanal </w:t>
      </w:r>
      <w:r>
        <w:rPr>
          <w:i/>
          <w:sz w:val="16"/>
        </w:rPr>
        <w:t xml:space="preserve">e </w:t>
      </w:r>
      <w:r>
        <w:rPr>
          <w:i/>
          <w:spacing w:val="5"/>
          <w:sz w:val="16"/>
        </w:rPr>
        <w:t xml:space="preserve">semimecanizada, </w:t>
      </w:r>
      <w:r>
        <w:rPr>
          <w:i/>
          <w:spacing w:val="13"/>
          <w:sz w:val="16"/>
        </w:rPr>
        <w:t xml:space="preserve">por </w:t>
      </w:r>
      <w:r>
        <w:rPr>
          <w:i/>
          <w:spacing w:val="18"/>
          <w:sz w:val="16"/>
        </w:rPr>
        <w:t xml:space="preserve">empresas, </w:t>
      </w:r>
      <w:r>
        <w:rPr>
          <w:i/>
          <w:spacing w:val="20"/>
          <w:sz w:val="16"/>
        </w:rPr>
        <w:t xml:space="preserve">cooperativas </w:t>
      </w:r>
      <w:r>
        <w:rPr>
          <w:i/>
          <w:sz w:val="16"/>
        </w:rPr>
        <w:t xml:space="preserve">e </w:t>
      </w:r>
      <w:r>
        <w:rPr>
          <w:i/>
          <w:spacing w:val="5"/>
          <w:sz w:val="16"/>
        </w:rPr>
        <w:t xml:space="preserve">associações. </w:t>
      </w:r>
      <w:r>
        <w:rPr>
          <w:i/>
          <w:sz w:val="16"/>
        </w:rPr>
        <w:t xml:space="preserve">A </w:t>
      </w:r>
      <w:r>
        <w:rPr>
          <w:i/>
          <w:spacing w:val="5"/>
          <w:sz w:val="16"/>
        </w:rPr>
        <w:t xml:space="preserve">mineração </w:t>
      </w:r>
      <w:r>
        <w:rPr>
          <w:i/>
          <w:sz w:val="16"/>
        </w:rPr>
        <w:t xml:space="preserve">é </w:t>
      </w:r>
      <w:r>
        <w:rPr>
          <w:i/>
          <w:spacing w:val="2"/>
          <w:sz w:val="16"/>
        </w:rPr>
        <w:t xml:space="preserve">um </w:t>
      </w:r>
      <w:r>
        <w:rPr>
          <w:i/>
          <w:spacing w:val="5"/>
          <w:sz w:val="16"/>
        </w:rPr>
        <w:t xml:space="preserve">dos </w:t>
      </w:r>
      <w:r>
        <w:rPr>
          <w:i/>
          <w:spacing w:val="25"/>
          <w:sz w:val="16"/>
        </w:rPr>
        <w:t>poucos</w:t>
      </w:r>
      <w:r>
        <w:rPr>
          <w:i/>
          <w:spacing w:val="95"/>
          <w:sz w:val="16"/>
        </w:rPr>
        <w:t xml:space="preserve"> </w:t>
      </w:r>
      <w:r>
        <w:rPr>
          <w:i/>
          <w:spacing w:val="26"/>
          <w:sz w:val="16"/>
        </w:rPr>
        <w:t xml:space="preserve">setores </w:t>
      </w:r>
      <w:r>
        <w:rPr>
          <w:i/>
          <w:spacing w:val="20"/>
          <w:sz w:val="16"/>
        </w:rPr>
        <w:t>que</w:t>
      </w:r>
      <w:r>
        <w:rPr>
          <w:i/>
          <w:spacing w:val="85"/>
          <w:sz w:val="16"/>
        </w:rPr>
        <w:t xml:space="preserve"> </w:t>
      </w:r>
      <w:r>
        <w:rPr>
          <w:i/>
          <w:spacing w:val="25"/>
          <w:sz w:val="16"/>
        </w:rPr>
        <w:t xml:space="preserve">geram </w:t>
      </w:r>
      <w:r>
        <w:rPr>
          <w:i/>
          <w:spacing w:val="1"/>
          <w:sz w:val="16"/>
        </w:rPr>
        <w:t xml:space="preserve">oportunidades </w:t>
      </w:r>
      <w:r>
        <w:rPr>
          <w:i/>
          <w:sz w:val="16"/>
        </w:rPr>
        <w:t xml:space="preserve">de </w:t>
      </w:r>
      <w:r>
        <w:rPr>
          <w:i/>
          <w:spacing w:val="1"/>
          <w:sz w:val="16"/>
        </w:rPr>
        <w:t xml:space="preserve">emprego </w:t>
      </w:r>
      <w:r>
        <w:rPr>
          <w:i/>
          <w:sz w:val="16"/>
        </w:rPr>
        <w:t xml:space="preserve">e </w:t>
      </w:r>
      <w:r>
        <w:rPr>
          <w:i/>
          <w:spacing w:val="1"/>
          <w:sz w:val="16"/>
        </w:rPr>
        <w:t xml:space="preserve">renda </w:t>
      </w:r>
      <w:r>
        <w:rPr>
          <w:i/>
          <w:spacing w:val="2"/>
          <w:sz w:val="16"/>
        </w:rPr>
        <w:t xml:space="preserve">na </w:t>
      </w:r>
      <w:r>
        <w:rPr>
          <w:i/>
          <w:spacing w:val="11"/>
          <w:sz w:val="16"/>
        </w:rPr>
        <w:t xml:space="preserve">região, </w:t>
      </w:r>
      <w:r>
        <w:rPr>
          <w:i/>
          <w:spacing w:val="10"/>
          <w:sz w:val="16"/>
        </w:rPr>
        <w:t xml:space="preserve">mas vem </w:t>
      </w:r>
      <w:r>
        <w:rPr>
          <w:i/>
          <w:spacing w:val="11"/>
          <w:sz w:val="16"/>
        </w:rPr>
        <w:t xml:space="preserve">gerando vários </w:t>
      </w:r>
      <w:r>
        <w:rPr>
          <w:i/>
          <w:spacing w:val="13"/>
          <w:sz w:val="16"/>
        </w:rPr>
        <w:t xml:space="preserve">impactos </w:t>
      </w:r>
      <w:r>
        <w:rPr>
          <w:i/>
          <w:spacing w:val="15"/>
          <w:sz w:val="16"/>
        </w:rPr>
        <w:t xml:space="preserve">socioambientais, </w:t>
      </w:r>
      <w:r>
        <w:rPr>
          <w:i/>
          <w:spacing w:val="11"/>
          <w:sz w:val="16"/>
        </w:rPr>
        <w:t xml:space="preserve">como </w:t>
      </w:r>
      <w:r>
        <w:rPr>
          <w:i/>
          <w:spacing w:val="13"/>
          <w:sz w:val="16"/>
        </w:rPr>
        <w:t xml:space="preserve">conflitos </w:t>
      </w:r>
      <w:r>
        <w:rPr>
          <w:i/>
          <w:spacing w:val="10"/>
          <w:sz w:val="16"/>
        </w:rPr>
        <w:t xml:space="preserve">por </w:t>
      </w:r>
      <w:r>
        <w:rPr>
          <w:i/>
          <w:spacing w:val="11"/>
          <w:sz w:val="16"/>
        </w:rPr>
        <w:t xml:space="preserve">posse </w:t>
      </w:r>
      <w:r>
        <w:rPr>
          <w:i/>
          <w:spacing w:val="7"/>
          <w:sz w:val="16"/>
        </w:rPr>
        <w:t>de</w:t>
      </w:r>
      <w:r>
        <w:rPr>
          <w:i/>
          <w:spacing w:val="6"/>
          <w:sz w:val="16"/>
        </w:rPr>
        <w:t xml:space="preserve"> </w:t>
      </w:r>
      <w:r>
        <w:rPr>
          <w:i/>
          <w:spacing w:val="12"/>
          <w:sz w:val="16"/>
        </w:rPr>
        <w:t>terra.</w:t>
      </w:r>
      <w:r>
        <w:rPr>
          <w:i/>
          <w:spacing w:val="-27"/>
          <w:sz w:val="16"/>
        </w:rPr>
        <w:t xml:space="preserve"> </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3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14"/>
      </w:pPr>
      <w:r>
        <w:t>artesanal e semimecanizada por empresas, cooperativas e associações. A mineração é uma das poucas oportunidades de emprego e renda da região (ALBINO, 2005).</w:t>
      </w:r>
    </w:p>
    <w:p w:rsidR="00D81F69" w:rsidRDefault="00330118">
      <w:pPr>
        <w:pStyle w:val="Corpodetexto"/>
        <w:spacing w:before="132" w:line="312" w:lineRule="auto"/>
        <w:ind w:left="135" w:right="189"/>
      </w:pPr>
      <w:r>
        <w:t xml:space="preserve">Uma das </w:t>
      </w:r>
      <w:r>
        <w:rPr>
          <w:spacing w:val="1"/>
        </w:rPr>
        <w:t>principais</w:t>
      </w:r>
      <w:r>
        <w:rPr>
          <w:spacing w:val="1"/>
        </w:rPr>
        <w:t xml:space="preserve"> empresas </w:t>
      </w:r>
      <w:r>
        <w:t xml:space="preserve">que </w:t>
      </w:r>
      <w:r>
        <w:rPr>
          <w:spacing w:val="1"/>
        </w:rPr>
        <w:t xml:space="preserve">atuam </w:t>
      </w:r>
      <w:r>
        <w:t xml:space="preserve">na </w:t>
      </w:r>
      <w:r>
        <w:rPr>
          <w:spacing w:val="1"/>
        </w:rPr>
        <w:t xml:space="preserve">localidade </w:t>
      </w:r>
      <w:r>
        <w:t xml:space="preserve">é a </w:t>
      </w:r>
      <w:r>
        <w:rPr>
          <w:spacing w:val="5"/>
        </w:rPr>
        <w:t xml:space="preserve">ECB </w:t>
      </w:r>
      <w:r>
        <w:rPr>
          <w:spacing w:val="7"/>
        </w:rPr>
        <w:t xml:space="preserve">Rochas </w:t>
      </w:r>
      <w:r>
        <w:rPr>
          <w:spacing w:val="8"/>
        </w:rPr>
        <w:t xml:space="preserve">Ornamentais </w:t>
      </w:r>
      <w:r>
        <w:rPr>
          <w:spacing w:val="5"/>
        </w:rPr>
        <w:t xml:space="preserve">do </w:t>
      </w:r>
      <w:r>
        <w:rPr>
          <w:spacing w:val="7"/>
        </w:rPr>
        <w:t xml:space="preserve">Brasil, </w:t>
      </w:r>
      <w:r>
        <w:rPr>
          <w:spacing w:val="5"/>
        </w:rPr>
        <w:t xml:space="preserve">que se </w:t>
      </w:r>
      <w:r>
        <w:rPr>
          <w:spacing w:val="7"/>
        </w:rPr>
        <w:t xml:space="preserve">dedica </w:t>
      </w:r>
      <w:r>
        <w:t xml:space="preserve">à </w:t>
      </w:r>
      <w:r>
        <w:rPr>
          <w:spacing w:val="13"/>
        </w:rPr>
        <w:t xml:space="preserve">extração, beneficiamento </w:t>
      </w:r>
      <w:r>
        <w:t xml:space="preserve">e </w:t>
      </w:r>
      <w:r>
        <w:rPr>
          <w:spacing w:val="13"/>
        </w:rPr>
        <w:t xml:space="preserve">exportação </w:t>
      </w:r>
      <w:r>
        <w:rPr>
          <w:spacing w:val="7"/>
        </w:rPr>
        <w:t xml:space="preserve">de </w:t>
      </w:r>
      <w:r>
        <w:rPr>
          <w:spacing w:val="12"/>
        </w:rPr>
        <w:t xml:space="preserve">rochas </w:t>
      </w:r>
      <w:r>
        <w:rPr>
          <w:spacing w:val="5"/>
        </w:rPr>
        <w:t xml:space="preserve">ornamentais, principalmente ardósias </w:t>
      </w:r>
      <w:r>
        <w:t xml:space="preserve">e </w:t>
      </w:r>
      <w:r>
        <w:rPr>
          <w:spacing w:val="5"/>
        </w:rPr>
        <w:t>quartzitos (ECB,</w:t>
      </w:r>
      <w:r>
        <w:rPr>
          <w:spacing w:val="61"/>
        </w:rPr>
        <w:t xml:space="preserve"> </w:t>
      </w:r>
      <w:r>
        <w:t>2007). A empresa, do Grupo Samaca, o maior de exportação de pedras ornamentais da Europa (RIBEIRO, 2009), também explora jazidas próprias no estado de Minas Gerais, o que lhe permite assegurar um fornecimento contínuo a seus clientes (ECB, 2007).</w:t>
      </w:r>
    </w:p>
    <w:p w:rsidR="00D81F69" w:rsidRDefault="00D81F69">
      <w:pPr>
        <w:spacing w:line="312" w:lineRule="auto"/>
        <w:sectPr w:rsidR="00D81F69">
          <w:type w:val="continuous"/>
          <w:pgSz w:w="11900" w:h="16840"/>
          <w:pgMar w:top="720" w:right="500" w:bottom="280" w:left="620" w:header="720" w:footer="720" w:gutter="0"/>
          <w:cols w:num="3" w:space="720" w:equalWidth="0">
            <w:col w:w="1514" w:space="486"/>
            <w:col w:w="3128" w:space="307"/>
            <w:col w:w="5345"/>
          </w:cols>
        </w:sectPr>
      </w:pPr>
    </w:p>
    <w:p w:rsidR="00D81F69" w:rsidRDefault="00330118">
      <w:pPr>
        <w:pStyle w:val="Heading4"/>
        <w:spacing w:before="62"/>
        <w:jc w:val="left"/>
      </w:pPr>
      <w:r>
        <w:lastRenderedPageBreak/>
        <w:t>APRESENTAÇÃO DE CASO</w:t>
      </w:r>
    </w:p>
    <w:p w:rsidR="00D81F69" w:rsidRDefault="00330118">
      <w:pPr>
        <w:pStyle w:val="Corpodetexto"/>
        <w:spacing w:before="171" w:line="312" w:lineRule="auto"/>
        <w:ind w:right="76"/>
      </w:pPr>
      <w:r>
        <w:t>O potencial mineral do estado do Piauí começa a ser descoberto. Dados do Departamento Nacional de Produção Mineral (DNPM) mostram que 90% das empresas que estão explorando minérios no estado são de grande porte, especialmente no setor de metálicos. Nos últ</w:t>
      </w:r>
      <w:r>
        <w:t>imos anos, tem crescido o número de empresas que chegam ao território piauiense e solicitam autorização para a exploração mineral (INFOMET, 2008).</w:t>
      </w:r>
    </w:p>
    <w:p w:rsidR="00D81F69" w:rsidRDefault="00330118">
      <w:pPr>
        <w:pStyle w:val="Corpodetexto"/>
        <w:spacing w:before="137" w:line="312" w:lineRule="auto"/>
        <w:ind w:right="88"/>
      </w:pPr>
      <w:r>
        <w:t>O estado apresenta alguns minerais em quantidade considerável, como calcário dolomítico, atapulgita, vermicul</w:t>
      </w:r>
      <w:r>
        <w:t xml:space="preserve">ita, opala, </w:t>
      </w:r>
      <w:hyperlink r:id="rId796">
        <w:r>
          <w:t>amianto,</w:t>
        </w:r>
      </w:hyperlink>
      <w:r>
        <w:t xml:space="preserve"> </w:t>
      </w:r>
      <w:hyperlink r:id="rId797">
        <w:r>
          <w:t>níquel,</w:t>
        </w:r>
      </w:hyperlink>
      <w:r>
        <w:t xml:space="preserve"> diamante e minerais radioativos (ALBINO, 2005)</w:t>
      </w:r>
      <w:r>
        <w:t>. A produção de opala no município de Pedro II, por exemplo, coloca o Brasil como o único produtor da gema na América Latina (CEPRO, 2003 apud ALBINO, 2005).</w:t>
      </w:r>
    </w:p>
    <w:p w:rsidR="00D81F69" w:rsidRDefault="00330118">
      <w:pPr>
        <w:pStyle w:val="Corpodetexto"/>
        <w:spacing w:before="136" w:line="312" w:lineRule="auto"/>
        <w:ind w:right="83"/>
      </w:pPr>
      <w:r>
        <w:t>Já os municípios de Castelo do Piauí e Juazeiro do Piauí constituem um dos principais polos de exp</w:t>
      </w:r>
      <w:r>
        <w:t>loração de pedras ornamentais do estado, abastecendo o mercado local e alguns países da América do Sul e Europa (ALBINO, 2005). Em Castelo do Piauí ocorrem, ainda, “folhelhos” [rochas que possuem grãos do tamanho da argila] da formação Longá, comercializad</w:t>
      </w:r>
      <w:r>
        <w:t>os para utilização como revestimento e piso, sendo conhecidos regionalmente como pedra de Castelo ou pedra de Juazeiro (IBGE, 1996 apud ALBINO, 2005).</w:t>
      </w:r>
    </w:p>
    <w:p w:rsidR="00D81F69" w:rsidRDefault="00330118">
      <w:pPr>
        <w:pStyle w:val="Corpodetexto"/>
        <w:spacing w:before="138" w:line="312" w:lineRule="auto"/>
        <w:ind w:right="109"/>
        <w:jc w:val="left"/>
      </w:pPr>
      <w:r>
        <w:t xml:space="preserve">Os </w:t>
      </w:r>
      <w:r>
        <w:rPr>
          <w:spacing w:val="1"/>
        </w:rPr>
        <w:t xml:space="preserve">dois municípios estão situados </w:t>
      </w:r>
      <w:r>
        <w:t xml:space="preserve">na </w:t>
      </w:r>
      <w:r>
        <w:rPr>
          <w:spacing w:val="1"/>
        </w:rPr>
        <w:t xml:space="preserve">mesorregião </w:t>
      </w:r>
      <w:r>
        <w:rPr>
          <w:spacing w:val="2"/>
        </w:rPr>
        <w:t xml:space="preserve">centro- </w:t>
      </w:r>
      <w:r>
        <w:rPr>
          <w:spacing w:val="3"/>
        </w:rPr>
        <w:t xml:space="preserve">norte piauiense </w:t>
      </w:r>
      <w:r>
        <w:t xml:space="preserve">e </w:t>
      </w:r>
      <w:r>
        <w:rPr>
          <w:spacing w:val="1"/>
        </w:rPr>
        <w:t xml:space="preserve">na </w:t>
      </w:r>
      <w:r>
        <w:rPr>
          <w:spacing w:val="3"/>
        </w:rPr>
        <w:t xml:space="preserve">microrregião </w:t>
      </w:r>
      <w:r>
        <w:rPr>
          <w:spacing w:val="1"/>
        </w:rPr>
        <w:t xml:space="preserve">de </w:t>
      </w:r>
      <w:r>
        <w:rPr>
          <w:spacing w:val="3"/>
        </w:rPr>
        <w:t>Campo Maior</w:t>
      </w:r>
      <w:r>
        <w:rPr>
          <w:spacing w:val="3"/>
        </w:rPr>
        <w:t xml:space="preserve"> </w:t>
      </w:r>
      <w:r>
        <w:t xml:space="preserve">e </w:t>
      </w:r>
      <w:r>
        <w:rPr>
          <w:spacing w:val="5"/>
        </w:rPr>
        <w:t xml:space="preserve">são </w:t>
      </w:r>
      <w:r>
        <w:rPr>
          <w:spacing w:val="6"/>
        </w:rPr>
        <w:t xml:space="preserve">separados </w:t>
      </w:r>
      <w:r>
        <w:rPr>
          <w:spacing w:val="5"/>
        </w:rPr>
        <w:t xml:space="preserve">pelo rio Poti (ALVES, 2010), </w:t>
      </w:r>
      <w:r>
        <w:rPr>
          <w:spacing w:val="6"/>
        </w:rPr>
        <w:t xml:space="preserve">afluente </w:t>
      </w:r>
      <w:r>
        <w:rPr>
          <w:spacing w:val="3"/>
        </w:rPr>
        <w:t xml:space="preserve">do </w:t>
      </w:r>
      <w:r>
        <w:rPr>
          <w:spacing w:val="7"/>
        </w:rPr>
        <w:t xml:space="preserve">rio </w:t>
      </w:r>
      <w:r>
        <w:t xml:space="preserve">Parnaíba (ALBINO, 2005). Juntos têm uma extensão de 3.000 </w:t>
      </w:r>
      <w:r>
        <w:rPr>
          <w:spacing w:val="5"/>
        </w:rPr>
        <w:t xml:space="preserve">m², </w:t>
      </w:r>
      <w:r>
        <w:t xml:space="preserve">e </w:t>
      </w:r>
      <w:r>
        <w:rPr>
          <w:spacing w:val="5"/>
        </w:rPr>
        <w:t xml:space="preserve">em 70% </w:t>
      </w:r>
      <w:r>
        <w:rPr>
          <w:spacing w:val="7"/>
        </w:rPr>
        <w:t xml:space="preserve">deste </w:t>
      </w:r>
      <w:r>
        <w:rPr>
          <w:spacing w:val="8"/>
        </w:rPr>
        <w:t xml:space="preserve">território </w:t>
      </w:r>
      <w:r>
        <w:rPr>
          <w:spacing w:val="5"/>
        </w:rPr>
        <w:t xml:space="preserve">são </w:t>
      </w:r>
      <w:r>
        <w:rPr>
          <w:spacing w:val="8"/>
        </w:rPr>
        <w:t xml:space="preserve">encontradas </w:t>
      </w:r>
      <w:r>
        <w:rPr>
          <w:spacing w:val="10"/>
        </w:rPr>
        <w:t xml:space="preserve">rochas </w:t>
      </w:r>
      <w:r>
        <w:t>ornamentais (ALVES, 2010). Com 827 km² e 4.757 habitantes (IBGE, 2010a), Juazeiro d</w:t>
      </w:r>
      <w:r>
        <w:t xml:space="preserve">o Piauí foi elevado à categoria de município em 1997, ao se desmembrar de Castelo do Piauí, </w:t>
      </w:r>
      <w:r>
        <w:rPr>
          <w:spacing w:val="7"/>
        </w:rPr>
        <w:t xml:space="preserve">fundado </w:t>
      </w:r>
      <w:r>
        <w:rPr>
          <w:spacing w:val="5"/>
        </w:rPr>
        <w:t xml:space="preserve">em </w:t>
      </w:r>
      <w:r>
        <w:rPr>
          <w:spacing w:val="7"/>
        </w:rPr>
        <w:t xml:space="preserve">1938. </w:t>
      </w:r>
      <w:r>
        <w:rPr>
          <w:spacing w:val="5"/>
        </w:rPr>
        <w:t xml:space="preserve">Já </w:t>
      </w:r>
      <w:r>
        <w:rPr>
          <w:spacing w:val="7"/>
        </w:rPr>
        <w:t xml:space="preserve">Castelo </w:t>
      </w:r>
      <w:r>
        <w:rPr>
          <w:spacing w:val="5"/>
        </w:rPr>
        <w:t xml:space="preserve">tem </w:t>
      </w:r>
      <w:r>
        <w:rPr>
          <w:spacing w:val="7"/>
        </w:rPr>
        <w:t xml:space="preserve">2.035 </w:t>
      </w:r>
      <w:r>
        <w:rPr>
          <w:spacing w:val="5"/>
        </w:rPr>
        <w:t xml:space="preserve">km² </w:t>
      </w:r>
      <w:r>
        <w:t xml:space="preserve">e </w:t>
      </w:r>
      <w:r>
        <w:rPr>
          <w:spacing w:val="10"/>
        </w:rPr>
        <w:t xml:space="preserve">18.338 </w:t>
      </w:r>
      <w:r>
        <w:rPr>
          <w:spacing w:val="1"/>
        </w:rPr>
        <w:t xml:space="preserve">habitantes (IBGE, 2010b), majoritariamente localizados </w:t>
      </w:r>
      <w:r>
        <w:rPr>
          <w:spacing w:val="2"/>
        </w:rPr>
        <w:t xml:space="preserve">na </w:t>
      </w:r>
      <w:r>
        <w:t xml:space="preserve">área urbana (61%) (PORTAL ODM, 2010a). Nos municípios, </w:t>
      </w:r>
      <w:r>
        <w:t xml:space="preserve">  a </w:t>
      </w:r>
      <w:r>
        <w:rPr>
          <w:spacing w:val="7"/>
        </w:rPr>
        <w:t xml:space="preserve">extração </w:t>
      </w:r>
      <w:r>
        <w:rPr>
          <w:spacing w:val="5"/>
        </w:rPr>
        <w:t xml:space="preserve">de </w:t>
      </w:r>
      <w:r>
        <w:rPr>
          <w:spacing w:val="7"/>
        </w:rPr>
        <w:t xml:space="preserve">rochas </w:t>
      </w:r>
      <w:r>
        <w:rPr>
          <w:spacing w:val="8"/>
        </w:rPr>
        <w:t xml:space="preserve">ornamentais </w:t>
      </w:r>
      <w:r>
        <w:t xml:space="preserve">é </w:t>
      </w:r>
      <w:r>
        <w:rPr>
          <w:spacing w:val="7"/>
        </w:rPr>
        <w:t xml:space="preserve">feita </w:t>
      </w:r>
      <w:r>
        <w:rPr>
          <w:spacing w:val="5"/>
        </w:rPr>
        <w:t>de</w:t>
      </w:r>
      <w:r>
        <w:rPr>
          <w:spacing w:val="13"/>
        </w:rPr>
        <w:t xml:space="preserve"> </w:t>
      </w:r>
      <w:r>
        <w:rPr>
          <w:spacing w:val="10"/>
        </w:rPr>
        <w:t>maneira</w:t>
      </w:r>
    </w:p>
    <w:p w:rsidR="00D81F69" w:rsidRDefault="00330118">
      <w:pPr>
        <w:pStyle w:val="Corpodetexto"/>
        <w:spacing w:before="139" w:line="312" w:lineRule="auto"/>
        <w:ind w:right="185"/>
      </w:pPr>
      <w:r>
        <w:br w:type="column"/>
      </w:r>
      <w:r>
        <w:lastRenderedPageBreak/>
        <w:t xml:space="preserve">A ECB está em atividade mais precisamente na localidade de Fazenda Bonito, em Castelo do Piauí (ALVES, 2010), desde 1998, retirando uma média de 250 m2 de pedras por ano. A empresa beneficia as pedras </w:t>
      </w:r>
      <w:r>
        <w:t>e as exporta para Espanha, Chile, Argentina, Venezuela, México e Estados Unidos (RIBEIRO, 2009). A ECB detém autorização para explorar cerca de 80% da área dos municípios destinada à mineração (GOMES, 2011), o que corresponde a 52 mil hectares, em uma mina</w:t>
      </w:r>
      <w:r>
        <w:t xml:space="preserve"> com capacidade de exploração para mais de 1000 anos. Após a retirada em grandes montanhas de até 10 metros, que vão se desfazendo durante as escavações, as pedras são levadas para galpões, onde são lavadas, cortadas, lixadas, polidas, enceradas e embalada</w:t>
      </w:r>
      <w:r>
        <w:t>s em caixotes para serem, posteriormente, usadas em revestimentos, pisos, piscinas e na produção de móveis. Por mês, saem de 10 a 15 contêineres de pedras do município (RIBEIRO, 2009), exportadas pelo Porto do Pecém, em Fortaleza (INFOMET, 2008).</w:t>
      </w:r>
    </w:p>
    <w:p w:rsidR="00D81F69" w:rsidRDefault="00330118">
      <w:pPr>
        <w:pStyle w:val="Corpodetexto"/>
        <w:spacing w:before="146" w:line="312" w:lineRule="auto"/>
        <w:ind w:right="202"/>
      </w:pPr>
      <w:r>
        <w:t xml:space="preserve">Antes da </w:t>
      </w:r>
      <w:r>
        <w:t xml:space="preserve">chegada da ECB à região, a extração de pedras era feita de maneira bem rudimentar, sem técnica de extração, e as pedras não tinham bom valor comercial. Os trabalhadores alternavam a extração com atividades agrícolas. A empresa </w:t>
      </w:r>
      <w:r>
        <w:rPr>
          <w:spacing w:val="3"/>
        </w:rPr>
        <w:t xml:space="preserve">buscou alternativas </w:t>
      </w:r>
      <w:r>
        <w:rPr>
          <w:spacing w:val="2"/>
        </w:rPr>
        <w:t xml:space="preserve">para </w:t>
      </w:r>
      <w:r>
        <w:rPr>
          <w:spacing w:val="3"/>
        </w:rPr>
        <w:t xml:space="preserve">oferecer </w:t>
      </w:r>
      <w:r>
        <w:rPr>
          <w:spacing w:val="1"/>
        </w:rPr>
        <w:t xml:space="preserve">ao </w:t>
      </w:r>
      <w:r>
        <w:rPr>
          <w:spacing w:val="3"/>
        </w:rPr>
        <w:t xml:space="preserve">mercado pedras </w:t>
      </w:r>
      <w:r>
        <w:rPr>
          <w:spacing w:val="5"/>
        </w:rPr>
        <w:t xml:space="preserve">de </w:t>
      </w:r>
      <w:r>
        <w:t xml:space="preserve">beleza rara, com caráter exótico e exclusivo. Lançou, então, a </w:t>
      </w:r>
      <w:r>
        <w:rPr>
          <w:spacing w:val="5"/>
        </w:rPr>
        <w:t xml:space="preserve">pedra </w:t>
      </w:r>
      <w:r>
        <w:rPr>
          <w:spacing w:val="6"/>
        </w:rPr>
        <w:t xml:space="preserve">Morisca. </w:t>
      </w:r>
      <w:r>
        <w:t xml:space="preserve">O </w:t>
      </w:r>
      <w:r>
        <w:rPr>
          <w:spacing w:val="5"/>
        </w:rPr>
        <w:t xml:space="preserve">produto ficou </w:t>
      </w:r>
      <w:r>
        <w:rPr>
          <w:spacing w:val="6"/>
        </w:rPr>
        <w:t xml:space="preserve">conhecido </w:t>
      </w:r>
      <w:r>
        <w:rPr>
          <w:spacing w:val="3"/>
        </w:rPr>
        <w:t xml:space="preserve">no </w:t>
      </w:r>
      <w:r>
        <w:rPr>
          <w:spacing w:val="7"/>
        </w:rPr>
        <w:t xml:space="preserve">mercado </w:t>
      </w:r>
      <w:r>
        <w:rPr>
          <w:spacing w:val="1"/>
        </w:rPr>
        <w:t xml:space="preserve">mundial, passando </w:t>
      </w:r>
      <w:r>
        <w:t xml:space="preserve">a </w:t>
      </w:r>
      <w:r>
        <w:rPr>
          <w:spacing w:val="1"/>
        </w:rPr>
        <w:t xml:space="preserve">fazer parte </w:t>
      </w:r>
      <w:r>
        <w:t xml:space="preserve">de </w:t>
      </w:r>
      <w:r>
        <w:rPr>
          <w:spacing w:val="1"/>
        </w:rPr>
        <w:t xml:space="preserve">obras </w:t>
      </w:r>
      <w:r>
        <w:t xml:space="preserve">de </w:t>
      </w:r>
      <w:r>
        <w:rPr>
          <w:spacing w:val="1"/>
        </w:rPr>
        <w:t xml:space="preserve">grande </w:t>
      </w:r>
      <w:r>
        <w:rPr>
          <w:spacing w:val="2"/>
        </w:rPr>
        <w:t xml:space="preserve">porte </w:t>
      </w:r>
      <w:r>
        <w:rPr>
          <w:spacing w:val="10"/>
        </w:rPr>
        <w:t xml:space="preserve">espalhadas </w:t>
      </w:r>
      <w:r>
        <w:rPr>
          <w:spacing w:val="11"/>
        </w:rPr>
        <w:t xml:space="preserve">principalmente </w:t>
      </w:r>
      <w:r>
        <w:rPr>
          <w:spacing w:val="8"/>
        </w:rPr>
        <w:t xml:space="preserve">pelo </w:t>
      </w:r>
      <w:r>
        <w:rPr>
          <w:spacing w:val="10"/>
        </w:rPr>
        <w:t xml:space="preserve">continente </w:t>
      </w:r>
      <w:r>
        <w:rPr>
          <w:spacing w:val="12"/>
        </w:rPr>
        <w:t xml:space="preserve">europeu </w:t>
      </w:r>
      <w:r>
        <w:rPr>
          <w:spacing w:val="10"/>
        </w:rPr>
        <w:t>(MEN</w:t>
      </w:r>
      <w:r>
        <w:rPr>
          <w:spacing w:val="10"/>
        </w:rPr>
        <w:t>DONÇA; BARRADAS,</w:t>
      </w:r>
      <w:r>
        <w:rPr>
          <w:spacing w:val="65"/>
        </w:rPr>
        <w:t xml:space="preserve"> </w:t>
      </w:r>
      <w:r>
        <w:rPr>
          <w:spacing w:val="12"/>
        </w:rPr>
        <w:t>2010).</w:t>
      </w:r>
    </w:p>
    <w:p w:rsidR="00D81F69" w:rsidRDefault="00330118">
      <w:pPr>
        <w:pStyle w:val="Corpodetexto"/>
        <w:spacing w:before="76" w:line="270" w:lineRule="atLeast"/>
        <w:ind w:right="189"/>
      </w:pPr>
      <w:r>
        <w:t xml:space="preserve">No entanto, a ECB tem enfrentado problemas com moradores </w:t>
      </w:r>
      <w:r>
        <w:rPr>
          <w:spacing w:val="3"/>
        </w:rPr>
        <w:t xml:space="preserve">que </w:t>
      </w:r>
      <w:r>
        <w:rPr>
          <w:spacing w:val="5"/>
        </w:rPr>
        <w:t xml:space="preserve">realizam </w:t>
      </w:r>
      <w:r>
        <w:t xml:space="preserve">a </w:t>
      </w:r>
      <w:r>
        <w:rPr>
          <w:spacing w:val="5"/>
        </w:rPr>
        <w:t xml:space="preserve">atividade primária </w:t>
      </w:r>
      <w:r>
        <w:rPr>
          <w:spacing w:val="2"/>
        </w:rPr>
        <w:t xml:space="preserve">de </w:t>
      </w:r>
      <w:r>
        <w:rPr>
          <w:spacing w:val="5"/>
        </w:rPr>
        <w:t xml:space="preserve">extração (GOMES, </w:t>
      </w:r>
      <w:r>
        <w:rPr>
          <w:spacing w:val="7"/>
        </w:rPr>
        <w:t xml:space="preserve">2011), </w:t>
      </w:r>
      <w:r>
        <w:rPr>
          <w:spacing w:val="5"/>
        </w:rPr>
        <w:t xml:space="preserve">os </w:t>
      </w:r>
      <w:r>
        <w:rPr>
          <w:spacing w:val="7"/>
        </w:rPr>
        <w:t xml:space="preserve">quais foram proibidos </w:t>
      </w:r>
      <w:r>
        <w:rPr>
          <w:spacing w:val="5"/>
        </w:rPr>
        <w:t xml:space="preserve">de </w:t>
      </w:r>
      <w:r>
        <w:rPr>
          <w:spacing w:val="7"/>
        </w:rPr>
        <w:t xml:space="preserve">trabalhar </w:t>
      </w:r>
      <w:r>
        <w:rPr>
          <w:spacing w:val="5"/>
        </w:rPr>
        <w:t xml:space="preserve">na </w:t>
      </w:r>
      <w:r>
        <w:rPr>
          <w:spacing w:val="10"/>
        </w:rPr>
        <w:t xml:space="preserve">área </w:t>
      </w:r>
      <w:r>
        <w:rPr>
          <w:spacing w:val="1"/>
        </w:rPr>
        <w:t xml:space="preserve">requerida pela empresa (MENDONÇA; BARRADAS, </w:t>
      </w:r>
      <w:r>
        <w:rPr>
          <w:spacing w:val="2"/>
        </w:rPr>
        <w:t xml:space="preserve">2010). </w:t>
      </w:r>
      <w:r>
        <w:rPr>
          <w:spacing w:val="1"/>
        </w:rPr>
        <w:t xml:space="preserve">Os </w:t>
      </w:r>
      <w:r>
        <w:rPr>
          <w:spacing w:val="3"/>
        </w:rPr>
        <w:t xml:space="preserve">trabalhadores </w:t>
      </w:r>
      <w:r>
        <w:rPr>
          <w:spacing w:val="3"/>
        </w:rPr>
        <w:t xml:space="preserve">alegam </w:t>
      </w:r>
      <w:r>
        <w:rPr>
          <w:spacing w:val="2"/>
        </w:rPr>
        <w:t xml:space="preserve">que </w:t>
      </w:r>
      <w:r>
        <w:t xml:space="preserve">o </w:t>
      </w:r>
      <w:r>
        <w:rPr>
          <w:spacing w:val="3"/>
        </w:rPr>
        <w:t xml:space="preserve">“monopólio” </w:t>
      </w:r>
      <w:r>
        <w:rPr>
          <w:spacing w:val="1"/>
        </w:rPr>
        <w:t xml:space="preserve">da </w:t>
      </w:r>
      <w:r>
        <w:rPr>
          <w:spacing w:val="2"/>
        </w:rPr>
        <w:t xml:space="preserve">ECB </w:t>
      </w:r>
      <w:r>
        <w:rPr>
          <w:spacing w:val="5"/>
        </w:rPr>
        <w:t xml:space="preserve">tem </w:t>
      </w:r>
      <w:r>
        <w:t xml:space="preserve">prejudicado seu sustento e de suas famílias (GOMES, 2011)  e descumprem a lei, invadindo áreas da empresa e extraindo </w:t>
      </w:r>
      <w:r>
        <w:rPr>
          <w:spacing w:val="2"/>
        </w:rPr>
        <w:t xml:space="preserve">as </w:t>
      </w:r>
      <w:r>
        <w:rPr>
          <w:spacing w:val="5"/>
        </w:rPr>
        <w:t xml:space="preserve">pedras </w:t>
      </w:r>
      <w:r>
        <w:rPr>
          <w:spacing w:val="2"/>
        </w:rPr>
        <w:t xml:space="preserve">de </w:t>
      </w:r>
      <w:r>
        <w:rPr>
          <w:spacing w:val="5"/>
        </w:rPr>
        <w:t xml:space="preserve">maneira incorreta, </w:t>
      </w:r>
      <w:r>
        <w:rPr>
          <w:spacing w:val="2"/>
        </w:rPr>
        <w:t xml:space="preserve">já </w:t>
      </w:r>
      <w:r>
        <w:rPr>
          <w:spacing w:val="3"/>
        </w:rPr>
        <w:t xml:space="preserve">que não </w:t>
      </w:r>
      <w:r>
        <w:rPr>
          <w:spacing w:val="5"/>
        </w:rPr>
        <w:t xml:space="preserve">possuem os </w:t>
      </w:r>
      <w:r>
        <w:t>equipamentos</w:t>
      </w:r>
      <w:r>
        <w:rPr>
          <w:spacing w:val="33"/>
        </w:rPr>
        <w:t xml:space="preserve"> </w:t>
      </w:r>
      <w:r>
        <w:t>necessários.</w:t>
      </w:r>
      <w:r>
        <w:rPr>
          <w:spacing w:val="33"/>
        </w:rPr>
        <w:t xml:space="preserve"> </w:t>
      </w:r>
      <w:r>
        <w:t>Muitos</w:t>
      </w:r>
      <w:r>
        <w:rPr>
          <w:spacing w:val="33"/>
        </w:rPr>
        <w:t xml:space="preserve"> </w:t>
      </w:r>
      <w:r>
        <w:t>também</w:t>
      </w:r>
      <w:r>
        <w:rPr>
          <w:spacing w:val="33"/>
        </w:rPr>
        <w:t xml:space="preserve"> </w:t>
      </w:r>
      <w:r>
        <w:t>extraem</w:t>
      </w:r>
      <w:r>
        <w:rPr>
          <w:spacing w:val="33"/>
        </w:rPr>
        <w:t xml:space="preserve"> </w:t>
      </w:r>
      <w:r>
        <w:rPr>
          <w:spacing w:val="1"/>
        </w:rPr>
        <w:t>pedras</w:t>
      </w:r>
    </w:p>
    <w:p w:rsidR="00D81F69" w:rsidRDefault="00D81F69">
      <w:pPr>
        <w:spacing w:line="270" w:lineRule="atLeast"/>
        <w:sectPr w:rsidR="00D81F69">
          <w:type w:val="continuous"/>
          <w:pgSz w:w="11900" w:h="16840"/>
          <w:pgMar w:top="720" w:right="500" w:bottom="280" w:left="620" w:header="720" w:footer="720" w:gutter="0"/>
          <w:cols w:num="2" w:space="720" w:equalWidth="0">
            <w:col w:w="5202" w:space="268"/>
            <w:col w:w="5310"/>
          </w:cols>
        </w:sectPr>
      </w:pPr>
    </w:p>
    <w:p w:rsidR="00D81F69" w:rsidRDefault="00330118">
      <w:pPr>
        <w:pStyle w:val="Corpodetexto"/>
        <w:spacing w:before="81" w:line="312" w:lineRule="auto"/>
        <w:ind w:right="47"/>
      </w:pPr>
      <w:r>
        <w:lastRenderedPageBreak/>
        <w:t xml:space="preserve">de áreas de conservação ambiental permanente (MENDONÇA; BARRADAS, 2010). </w:t>
      </w:r>
    </w:p>
    <w:p w:rsidR="00D81F69" w:rsidRDefault="00330118">
      <w:pPr>
        <w:pStyle w:val="Corpodetexto"/>
        <w:spacing w:before="132" w:line="312" w:lineRule="auto"/>
        <w:ind w:right="49"/>
      </w:pPr>
      <w:r>
        <w:t>A mineração em Castelo e Juazeiro do Piauí tem gerado vários impactos, como poluição sonora; pressão sobre áreas naturais, principalmente por se tra</w:t>
      </w:r>
      <w:r>
        <w:t>tar de uma área de ecótono [área de transição ambiental], com elevada fragilidade ecológica; perda de biodiversidade; e alterações na paisagem natural (RIBEIRO, 2009; ALBINO, 2005; ALBINO; CASTRO,</w:t>
      </w:r>
    </w:p>
    <w:p w:rsidR="00D81F69" w:rsidRDefault="00330118">
      <w:pPr>
        <w:pStyle w:val="Corpodetexto"/>
        <w:spacing w:before="5" w:line="312" w:lineRule="auto"/>
        <w:ind w:right="43"/>
      </w:pPr>
      <w:r>
        <w:t>2005). O setor também enfrenta problemas como a alta inform</w:t>
      </w:r>
      <w:r>
        <w:t>alidade dos empreendimentos, a mineração em áreas não legalizadas ou sem licenciamento ambiental e a geração de rejeitos sem tratamento adequado (OLIVEIRA, 2010). Ambos os municípios registraram assoreamento de rios, queimadas e desmatamento. Castelo do Pi</w:t>
      </w:r>
      <w:r>
        <w:t>auí apresenta escassez de água, e Juazeiro do Piauí sofreu redução de seu pescado (PORTAL ODM, 2010a; 2010b). Além disso, a mão de obra empregada no local possui pouca escolaridade e capacitação técnica insuficiente. Por essa razão, a produtividade e a qua</w:t>
      </w:r>
      <w:r>
        <w:t>lidade dos bens minerais produzidos nos dois municípios tendem a ser menores (OLIVEIRA, 2010).</w:t>
      </w:r>
    </w:p>
    <w:p w:rsidR="00D81F69" w:rsidRDefault="00330118">
      <w:pPr>
        <w:pStyle w:val="Corpodetexto"/>
        <w:spacing w:before="141" w:line="312" w:lineRule="auto"/>
        <w:ind w:right="38"/>
      </w:pPr>
      <w:r>
        <w:t xml:space="preserve">A </w:t>
      </w:r>
      <w:r>
        <w:rPr>
          <w:spacing w:val="2"/>
        </w:rPr>
        <w:t xml:space="preserve">ECB </w:t>
      </w:r>
      <w:r>
        <w:rPr>
          <w:spacing w:val="3"/>
        </w:rPr>
        <w:t xml:space="preserve">alega </w:t>
      </w:r>
      <w:r>
        <w:rPr>
          <w:spacing w:val="2"/>
        </w:rPr>
        <w:t xml:space="preserve">que, </w:t>
      </w:r>
      <w:r>
        <w:rPr>
          <w:spacing w:val="3"/>
        </w:rPr>
        <w:t xml:space="preserve">desde 2001, possui Plano </w:t>
      </w:r>
      <w:r>
        <w:rPr>
          <w:spacing w:val="1"/>
        </w:rPr>
        <w:t xml:space="preserve">de </w:t>
      </w:r>
      <w:r>
        <w:rPr>
          <w:spacing w:val="5"/>
        </w:rPr>
        <w:t xml:space="preserve">Controle </w:t>
      </w:r>
      <w:r>
        <w:t xml:space="preserve">Ambiental (PCA) e Estudo de Impacto Ambiental (EIA), o que lhe </w:t>
      </w:r>
      <w:r>
        <w:rPr>
          <w:spacing w:val="1"/>
        </w:rPr>
        <w:t xml:space="preserve">possibilitou </w:t>
      </w:r>
      <w:r>
        <w:t xml:space="preserve">a </w:t>
      </w:r>
      <w:r>
        <w:rPr>
          <w:spacing w:val="1"/>
        </w:rPr>
        <w:t xml:space="preserve">identificação </w:t>
      </w:r>
      <w:r>
        <w:t xml:space="preserve">de </w:t>
      </w:r>
      <w:r>
        <w:rPr>
          <w:spacing w:val="1"/>
        </w:rPr>
        <w:t xml:space="preserve">impactos gerados </w:t>
      </w:r>
      <w:r>
        <w:t xml:space="preserve">com a </w:t>
      </w:r>
      <w:r>
        <w:rPr>
          <w:spacing w:val="10"/>
        </w:rPr>
        <w:t xml:space="preserve">extração </w:t>
      </w:r>
      <w:r>
        <w:rPr>
          <w:spacing w:val="7"/>
        </w:rPr>
        <w:t xml:space="preserve">das </w:t>
      </w:r>
      <w:r>
        <w:rPr>
          <w:spacing w:val="10"/>
        </w:rPr>
        <w:t xml:space="preserve">pedras. Afirma </w:t>
      </w:r>
      <w:r>
        <w:rPr>
          <w:spacing w:val="8"/>
        </w:rPr>
        <w:t xml:space="preserve">ainda </w:t>
      </w:r>
      <w:r>
        <w:rPr>
          <w:spacing w:val="7"/>
        </w:rPr>
        <w:t xml:space="preserve">ter </w:t>
      </w:r>
      <w:r>
        <w:rPr>
          <w:spacing w:val="5"/>
        </w:rPr>
        <w:t xml:space="preserve">um </w:t>
      </w:r>
      <w:r>
        <w:rPr>
          <w:spacing w:val="8"/>
        </w:rPr>
        <w:t xml:space="preserve">plano </w:t>
      </w:r>
      <w:r>
        <w:rPr>
          <w:spacing w:val="11"/>
        </w:rPr>
        <w:t xml:space="preserve">de </w:t>
      </w:r>
      <w:r>
        <w:rPr>
          <w:spacing w:val="5"/>
        </w:rPr>
        <w:t xml:space="preserve">reflorestamento </w:t>
      </w:r>
      <w:r>
        <w:rPr>
          <w:spacing w:val="3"/>
        </w:rPr>
        <w:t xml:space="preserve">das áreas </w:t>
      </w:r>
      <w:r>
        <w:rPr>
          <w:spacing w:val="5"/>
        </w:rPr>
        <w:t xml:space="preserve">exploradas </w:t>
      </w:r>
      <w:r>
        <w:t xml:space="preserve">e </w:t>
      </w:r>
      <w:r>
        <w:rPr>
          <w:spacing w:val="5"/>
        </w:rPr>
        <w:t xml:space="preserve">adotar diversas </w:t>
      </w:r>
      <w:r>
        <w:rPr>
          <w:spacing w:val="10"/>
        </w:rPr>
        <w:t xml:space="preserve">medidas </w:t>
      </w:r>
      <w:r>
        <w:rPr>
          <w:spacing w:val="11"/>
        </w:rPr>
        <w:t xml:space="preserve">trabalhistas, </w:t>
      </w:r>
      <w:r>
        <w:rPr>
          <w:spacing w:val="8"/>
        </w:rPr>
        <w:t xml:space="preserve">como </w:t>
      </w:r>
      <w:r>
        <w:rPr>
          <w:spacing w:val="11"/>
        </w:rPr>
        <w:t xml:space="preserve">disponibilização </w:t>
      </w:r>
      <w:r>
        <w:t xml:space="preserve">a </w:t>
      </w:r>
      <w:r>
        <w:rPr>
          <w:spacing w:val="12"/>
        </w:rPr>
        <w:t xml:space="preserve">seus </w:t>
      </w:r>
      <w:r>
        <w:t xml:space="preserve">funcionários de transporte coletivo casa-trabalho e vice-versa; </w:t>
      </w:r>
      <w:r>
        <w:rPr>
          <w:spacing w:val="10"/>
        </w:rPr>
        <w:t xml:space="preserve">seguro </w:t>
      </w:r>
      <w:r>
        <w:rPr>
          <w:spacing w:val="5"/>
        </w:rPr>
        <w:t xml:space="preserve">de </w:t>
      </w:r>
      <w:r>
        <w:rPr>
          <w:spacing w:val="8"/>
        </w:rPr>
        <w:t>vid</w:t>
      </w:r>
      <w:r>
        <w:rPr>
          <w:spacing w:val="8"/>
        </w:rPr>
        <w:t xml:space="preserve">a; duas </w:t>
      </w:r>
      <w:r>
        <w:rPr>
          <w:spacing w:val="10"/>
        </w:rPr>
        <w:t xml:space="preserve">refeições diárias </w:t>
      </w:r>
      <w:r>
        <w:rPr>
          <w:spacing w:val="5"/>
        </w:rPr>
        <w:t xml:space="preserve">na </w:t>
      </w:r>
      <w:r>
        <w:rPr>
          <w:spacing w:val="11"/>
        </w:rPr>
        <w:t xml:space="preserve">empresa; </w:t>
      </w:r>
      <w:r>
        <w:rPr>
          <w:spacing w:val="8"/>
        </w:rPr>
        <w:t xml:space="preserve">distribuição </w:t>
      </w:r>
      <w:r>
        <w:rPr>
          <w:spacing w:val="5"/>
        </w:rPr>
        <w:t xml:space="preserve">de </w:t>
      </w:r>
      <w:r>
        <w:rPr>
          <w:spacing w:val="7"/>
        </w:rPr>
        <w:t xml:space="preserve">cestas básicas; </w:t>
      </w:r>
      <w:r>
        <w:rPr>
          <w:spacing w:val="6"/>
        </w:rPr>
        <w:t xml:space="preserve">vale gás, </w:t>
      </w:r>
      <w:r>
        <w:rPr>
          <w:spacing w:val="7"/>
        </w:rPr>
        <w:t xml:space="preserve">entre </w:t>
      </w:r>
      <w:r>
        <w:rPr>
          <w:spacing w:val="10"/>
        </w:rPr>
        <w:t xml:space="preserve">outros. Segundo </w:t>
      </w:r>
      <w:r>
        <w:t xml:space="preserve">a </w:t>
      </w:r>
      <w:r>
        <w:rPr>
          <w:spacing w:val="10"/>
        </w:rPr>
        <w:t xml:space="preserve">empresa, </w:t>
      </w:r>
      <w:r>
        <w:rPr>
          <w:spacing w:val="7"/>
        </w:rPr>
        <w:t xml:space="preserve">são </w:t>
      </w:r>
      <w:r>
        <w:rPr>
          <w:spacing w:val="10"/>
        </w:rPr>
        <w:t xml:space="preserve">oferecidos também </w:t>
      </w:r>
      <w:r>
        <w:rPr>
          <w:spacing w:val="11"/>
        </w:rPr>
        <w:t xml:space="preserve">cursos </w:t>
      </w:r>
      <w:r>
        <w:rPr>
          <w:spacing w:val="5"/>
        </w:rPr>
        <w:t xml:space="preserve">profissionalizantes, </w:t>
      </w:r>
      <w:r>
        <w:rPr>
          <w:spacing w:val="3"/>
        </w:rPr>
        <w:t xml:space="preserve">como </w:t>
      </w:r>
      <w:r>
        <w:rPr>
          <w:spacing w:val="2"/>
        </w:rPr>
        <w:t xml:space="preserve">os de </w:t>
      </w:r>
      <w:r>
        <w:rPr>
          <w:spacing w:val="5"/>
        </w:rPr>
        <w:t xml:space="preserve">eletricidade </w:t>
      </w:r>
      <w:r>
        <w:t xml:space="preserve">e </w:t>
      </w:r>
      <w:r>
        <w:rPr>
          <w:spacing w:val="5"/>
        </w:rPr>
        <w:t>caixas de</w:t>
      </w:r>
      <w:r>
        <w:rPr>
          <w:spacing w:val="61"/>
        </w:rPr>
        <w:t xml:space="preserve"> </w:t>
      </w:r>
      <w:r>
        <w:rPr>
          <w:spacing w:val="5"/>
        </w:rPr>
        <w:t>câmbio (MENDONÇA; BARRADAS, 2010).</w:t>
      </w:r>
    </w:p>
    <w:p w:rsidR="00D81F69" w:rsidRDefault="00330118">
      <w:pPr>
        <w:pStyle w:val="Corpodetexto"/>
        <w:spacing w:before="141" w:line="312" w:lineRule="auto"/>
        <w:ind w:right="42"/>
      </w:pPr>
      <w:r>
        <w:t xml:space="preserve">Porém, um dos maiores </w:t>
      </w:r>
      <w:r>
        <w:t>problemas locais tem sido os conflitos por posse de terra (RIBEIRO, 2009; ALBINO, 2005; ALBINO; CASTRO, 2005). Em função de denúncias de conflitos registrados entre trabalhadores, empresários e proprietários rurais da região, o presidente da Câmara de Vere</w:t>
      </w:r>
      <w:r>
        <w:t xml:space="preserve">adores de Castelo do Piauí solicitou uma audiência pública, em março de 2009. O evento, realizado na Assembléia Legislativa do Piauí, reuniu empresários da indústria de mineração, tiradores de pedra, proprietários de terra, e órgãos públicos, como o DNPM, </w:t>
      </w:r>
      <w:r>
        <w:t>Instituto Brasileiro de Meio Ambiente e dos Recursos Naturais Renováveis (Ibama), Ministério Público Federal, Superintendência do Ministério do Trabalho, Secretaria do Meio Ambiente e Recursos Hídricos (Semar), Instituto de Desenvolvimento do Piauí (Idepi)</w:t>
      </w:r>
      <w:r>
        <w:t>, prefeituras, Câmaras de Vereadores de Castelo do Piauí e Juazeiro do Piauí, e sindicatos dos Trabalhadores Rurais de Castelo do Piauí e Juazeiro do Piauí. Os trabalhadores e proprietários de terra fizeram várias acusações contra as indústrias de benefici</w:t>
      </w:r>
      <w:r>
        <w:t>amento do quartzito, em especial à ECB (GOMES, 2009).</w:t>
      </w:r>
    </w:p>
    <w:p w:rsidR="00D81F69" w:rsidRDefault="00330118">
      <w:pPr>
        <w:pStyle w:val="Corpodetexto"/>
        <w:spacing w:before="86" w:line="270" w:lineRule="atLeast"/>
        <w:ind w:right="65"/>
      </w:pPr>
      <w:r>
        <w:t>Por outro lado, a EBC alega haver empresas “piratas” que exploram mão de obra, pagando R$ 1,00 por pedra, cujo tamanho varia de 90 cm x 90 cm a 1 m x 80 cm, sem manter</w:t>
      </w:r>
    </w:p>
    <w:p w:rsidR="00D81F69" w:rsidRDefault="00330118">
      <w:pPr>
        <w:pStyle w:val="Corpodetexto"/>
        <w:spacing w:before="81" w:line="312" w:lineRule="auto"/>
        <w:ind w:right="203"/>
      </w:pPr>
      <w:r>
        <w:br w:type="column"/>
      </w:r>
      <w:r>
        <w:lastRenderedPageBreak/>
        <w:t>qualquer vínculo empregatício com</w:t>
      </w:r>
      <w:r>
        <w:t xml:space="preserve"> esses trabalhadores (ALVES, 2010). Em maio de 2010, outra audiência pública foi realizada, em Juazeiro do Piauí, para debater a atividade minerária da região e encontrar soluções para a legalização dos trabalhadores informais. Durante a audiência, citou-s</w:t>
      </w:r>
      <w:r>
        <w:t>e a Lei Ordinária nº 5.976, de 24 de fevereiro de 2010, que autoriza o Poder Executivo Estadual a celebrar convênio com a União Federal, através do DNPM, para a concessão de 10 mil hectares de área, destinada à exploração de recursos minerais no subsolo do</w:t>
      </w:r>
      <w:r>
        <w:t>s dois municípios, para fins exclusivamente sociais. No entanto, os trabalhadores informais, mesmo sabendo que existem áreas que ainda não foram exploradas na região, continuavam a querer as áreas requeridas pela ECB (MENDONÇA; BARRADAS, 2010).</w:t>
      </w:r>
    </w:p>
    <w:p w:rsidR="00D81F69" w:rsidRDefault="00330118">
      <w:pPr>
        <w:pStyle w:val="Corpodetexto"/>
        <w:spacing w:before="143" w:line="312" w:lineRule="auto"/>
        <w:ind w:right="193"/>
      </w:pPr>
      <w:r>
        <w:t>A empresa a</w:t>
      </w:r>
      <w:r>
        <w:t xml:space="preserve">lega que o aumento da ilegalidade na extração  de pedras nos municípios fez com que tivesse uma queda em </w:t>
      </w:r>
      <w:r>
        <w:rPr>
          <w:spacing w:val="3"/>
        </w:rPr>
        <w:t xml:space="preserve">sua </w:t>
      </w:r>
      <w:r>
        <w:rPr>
          <w:spacing w:val="5"/>
        </w:rPr>
        <w:t xml:space="preserve">representação </w:t>
      </w:r>
      <w:r>
        <w:rPr>
          <w:spacing w:val="3"/>
        </w:rPr>
        <w:t xml:space="preserve">nas </w:t>
      </w:r>
      <w:r>
        <w:rPr>
          <w:spacing w:val="5"/>
        </w:rPr>
        <w:t xml:space="preserve">exportações </w:t>
      </w:r>
      <w:r>
        <w:rPr>
          <w:spacing w:val="2"/>
        </w:rPr>
        <w:t xml:space="preserve">do </w:t>
      </w:r>
      <w:r>
        <w:rPr>
          <w:spacing w:val="5"/>
        </w:rPr>
        <w:t xml:space="preserve">estado. Segundo dados </w:t>
      </w:r>
      <w:r>
        <w:rPr>
          <w:spacing w:val="3"/>
        </w:rPr>
        <w:t xml:space="preserve">da </w:t>
      </w:r>
      <w:r>
        <w:rPr>
          <w:spacing w:val="6"/>
        </w:rPr>
        <w:t xml:space="preserve">Secretaria </w:t>
      </w:r>
      <w:r>
        <w:rPr>
          <w:spacing w:val="3"/>
        </w:rPr>
        <w:t xml:space="preserve">de </w:t>
      </w:r>
      <w:r>
        <w:rPr>
          <w:spacing w:val="6"/>
        </w:rPr>
        <w:t xml:space="preserve">Comércio Exterior (Secex), </w:t>
      </w:r>
      <w:r>
        <w:rPr>
          <w:spacing w:val="7"/>
        </w:rPr>
        <w:t xml:space="preserve">as </w:t>
      </w:r>
      <w:r>
        <w:t>exportações da pedra de Castelo do Piauí já r</w:t>
      </w:r>
      <w:r>
        <w:t xml:space="preserve">epresentaram para o estado, em 2007, mais de US$ 4 milhões de dólares. No mesmo ano, o Piauí arrecadou com as exportações US$ 56 milhões. Nos anos de 2004/2005, a ECB chegou a ficar entre as cinco principais empresas exportadoras do estado. </w:t>
      </w:r>
      <w:r>
        <w:rPr>
          <w:spacing w:val="6"/>
        </w:rPr>
        <w:t xml:space="preserve">No </w:t>
      </w:r>
      <w:r>
        <w:rPr>
          <w:spacing w:val="12"/>
        </w:rPr>
        <w:t xml:space="preserve">entanto, </w:t>
      </w:r>
      <w:r>
        <w:rPr>
          <w:spacing w:val="6"/>
        </w:rPr>
        <w:t xml:space="preserve">em </w:t>
      </w:r>
      <w:r>
        <w:rPr>
          <w:spacing w:val="11"/>
        </w:rPr>
        <w:t xml:space="preserve">2009, </w:t>
      </w:r>
      <w:r>
        <w:rPr>
          <w:spacing w:val="6"/>
        </w:rPr>
        <w:t xml:space="preserve">as </w:t>
      </w:r>
      <w:r>
        <w:rPr>
          <w:spacing w:val="12"/>
        </w:rPr>
        <w:t xml:space="preserve">exportações </w:t>
      </w:r>
      <w:r>
        <w:rPr>
          <w:spacing w:val="6"/>
        </w:rPr>
        <w:t xml:space="preserve">da </w:t>
      </w:r>
      <w:r>
        <w:rPr>
          <w:spacing w:val="15"/>
        </w:rPr>
        <w:t xml:space="preserve">empresa </w:t>
      </w:r>
      <w:r>
        <w:rPr>
          <w:spacing w:val="3"/>
        </w:rPr>
        <w:t xml:space="preserve">representaram apenas </w:t>
      </w:r>
      <w:r>
        <w:rPr>
          <w:spacing w:val="2"/>
        </w:rPr>
        <w:t xml:space="preserve">US$ 2,98 </w:t>
      </w:r>
      <w:r>
        <w:rPr>
          <w:spacing w:val="3"/>
        </w:rPr>
        <w:t xml:space="preserve">milhões, </w:t>
      </w:r>
      <w:r>
        <w:rPr>
          <w:spacing w:val="1"/>
        </w:rPr>
        <w:t xml:space="preserve">do </w:t>
      </w:r>
      <w:r>
        <w:rPr>
          <w:spacing w:val="3"/>
        </w:rPr>
        <w:t xml:space="preserve">total </w:t>
      </w:r>
      <w:r>
        <w:rPr>
          <w:spacing w:val="1"/>
        </w:rPr>
        <w:t xml:space="preserve">de </w:t>
      </w:r>
      <w:r>
        <w:rPr>
          <w:spacing w:val="5"/>
        </w:rPr>
        <w:t xml:space="preserve">US$ </w:t>
      </w:r>
      <w:r>
        <w:t xml:space="preserve">167,47 milhões arrecadados. A extração ilegal de pedras na região associada à crise financeira mundial, em 2010, levou a </w:t>
      </w:r>
      <w:r>
        <w:rPr>
          <w:spacing w:val="3"/>
        </w:rPr>
        <w:t xml:space="preserve">ECB </w:t>
      </w:r>
      <w:r>
        <w:t xml:space="preserve">a </w:t>
      </w:r>
      <w:r>
        <w:rPr>
          <w:spacing w:val="5"/>
        </w:rPr>
        <w:t xml:space="preserve">diminuir também </w:t>
      </w:r>
      <w:r>
        <w:rPr>
          <w:spacing w:val="3"/>
        </w:rPr>
        <w:t xml:space="preserve">seu </w:t>
      </w:r>
      <w:r>
        <w:rPr>
          <w:spacing w:val="5"/>
        </w:rPr>
        <w:t xml:space="preserve">quadro funcional, </w:t>
      </w:r>
      <w:r>
        <w:rPr>
          <w:spacing w:val="3"/>
        </w:rPr>
        <w:t xml:space="preserve">que </w:t>
      </w:r>
      <w:r>
        <w:rPr>
          <w:spacing w:val="5"/>
        </w:rPr>
        <w:t xml:space="preserve">ficou </w:t>
      </w:r>
      <w:r>
        <w:rPr>
          <w:spacing w:val="1"/>
        </w:rPr>
        <w:t xml:space="preserve">reduzido </w:t>
      </w:r>
      <w:r>
        <w:t xml:space="preserve">a </w:t>
      </w:r>
      <w:r>
        <w:rPr>
          <w:spacing w:val="1"/>
        </w:rPr>
        <w:t xml:space="preserve">apenas </w:t>
      </w:r>
      <w:r>
        <w:t xml:space="preserve">70 </w:t>
      </w:r>
      <w:r>
        <w:rPr>
          <w:spacing w:val="1"/>
        </w:rPr>
        <w:t xml:space="preserve">pessoas (MENDONÇA; </w:t>
      </w:r>
      <w:r>
        <w:rPr>
          <w:spacing w:val="2"/>
        </w:rPr>
        <w:t>BARRADAS, 2010).</w:t>
      </w:r>
    </w:p>
    <w:p w:rsidR="00D81F69" w:rsidRDefault="00330118">
      <w:pPr>
        <w:pStyle w:val="Corpodetexto"/>
        <w:spacing w:before="145" w:line="312" w:lineRule="auto"/>
        <w:ind w:right="185"/>
      </w:pPr>
      <w:r>
        <w:t xml:space="preserve">Para tentar coibir as invasões em suas áreas e organizar a extração das pedras na região, a ECB doou, em 2008, </w:t>
      </w:r>
      <w:r>
        <w:rPr>
          <w:spacing w:val="1"/>
        </w:rPr>
        <w:t xml:space="preserve">uma </w:t>
      </w:r>
      <w:r>
        <w:t xml:space="preserve">área de 5 mil hectares para a Cooperativa dos Extratores de </w:t>
      </w:r>
      <w:r>
        <w:rPr>
          <w:spacing w:val="10"/>
        </w:rPr>
        <w:t xml:space="preserve">Pedras </w:t>
      </w:r>
      <w:r>
        <w:rPr>
          <w:spacing w:val="5"/>
        </w:rPr>
        <w:t xml:space="preserve">da </w:t>
      </w:r>
      <w:r>
        <w:rPr>
          <w:spacing w:val="10"/>
        </w:rPr>
        <w:t>Localida</w:t>
      </w:r>
      <w:r>
        <w:rPr>
          <w:spacing w:val="10"/>
        </w:rPr>
        <w:t xml:space="preserve">de </w:t>
      </w:r>
      <w:r>
        <w:rPr>
          <w:spacing w:val="5"/>
        </w:rPr>
        <w:t xml:space="preserve">de </w:t>
      </w:r>
      <w:r>
        <w:rPr>
          <w:spacing w:val="8"/>
        </w:rPr>
        <w:t xml:space="preserve">Santo </w:t>
      </w:r>
      <w:r>
        <w:rPr>
          <w:spacing w:val="10"/>
        </w:rPr>
        <w:t xml:space="preserve">Antônio </w:t>
      </w:r>
      <w:r>
        <w:rPr>
          <w:spacing w:val="5"/>
        </w:rPr>
        <w:t xml:space="preserve">da </w:t>
      </w:r>
      <w:r>
        <w:rPr>
          <w:spacing w:val="11"/>
        </w:rPr>
        <w:t xml:space="preserve">Estação </w:t>
      </w:r>
      <w:r>
        <w:t xml:space="preserve">(Cooepsae). Entretanto, a ação teve um resultado negativo. Os </w:t>
      </w:r>
      <w:r>
        <w:rPr>
          <w:spacing w:val="1"/>
        </w:rPr>
        <w:t xml:space="preserve">responsáveis pela extração ilegal passaram </w:t>
      </w:r>
      <w:r>
        <w:t xml:space="preserve">a </w:t>
      </w:r>
      <w:r>
        <w:rPr>
          <w:spacing w:val="2"/>
        </w:rPr>
        <w:t xml:space="preserve">comprar </w:t>
      </w:r>
      <w:r>
        <w:rPr>
          <w:spacing w:val="7"/>
        </w:rPr>
        <w:t xml:space="preserve">pedras </w:t>
      </w:r>
      <w:r>
        <w:rPr>
          <w:spacing w:val="5"/>
        </w:rPr>
        <w:t xml:space="preserve">da </w:t>
      </w:r>
      <w:r>
        <w:rPr>
          <w:spacing w:val="8"/>
        </w:rPr>
        <w:t xml:space="preserve">cooperativa </w:t>
      </w:r>
      <w:r>
        <w:rPr>
          <w:spacing w:val="7"/>
        </w:rPr>
        <w:t xml:space="preserve">para, </w:t>
      </w:r>
      <w:r>
        <w:rPr>
          <w:spacing w:val="5"/>
        </w:rPr>
        <w:t xml:space="preserve">de </w:t>
      </w:r>
      <w:r>
        <w:rPr>
          <w:spacing w:val="7"/>
        </w:rPr>
        <w:t xml:space="preserve">posse </w:t>
      </w:r>
      <w:r>
        <w:rPr>
          <w:spacing w:val="5"/>
        </w:rPr>
        <w:t xml:space="preserve">da </w:t>
      </w:r>
      <w:r>
        <w:rPr>
          <w:spacing w:val="6"/>
        </w:rPr>
        <w:t xml:space="preserve">nota </w:t>
      </w:r>
      <w:r>
        <w:rPr>
          <w:spacing w:val="10"/>
        </w:rPr>
        <w:t xml:space="preserve">fiscal, </w:t>
      </w:r>
      <w:r>
        <w:rPr>
          <w:spacing w:val="6"/>
        </w:rPr>
        <w:t xml:space="preserve">“esquentar” </w:t>
      </w:r>
      <w:r>
        <w:t xml:space="preserve">a </w:t>
      </w:r>
      <w:r>
        <w:rPr>
          <w:spacing w:val="5"/>
        </w:rPr>
        <w:t xml:space="preserve">origem das pedras </w:t>
      </w:r>
      <w:r>
        <w:rPr>
          <w:spacing w:val="6"/>
        </w:rPr>
        <w:t xml:space="preserve">extraídas </w:t>
      </w:r>
      <w:r>
        <w:rPr>
          <w:spacing w:val="7"/>
        </w:rPr>
        <w:t xml:space="preserve">ilegalmente </w:t>
      </w:r>
      <w:r>
        <w:rPr>
          <w:spacing w:val="6"/>
        </w:rPr>
        <w:t>(ME</w:t>
      </w:r>
      <w:r>
        <w:rPr>
          <w:spacing w:val="6"/>
        </w:rPr>
        <w:t>NDONÇA; BARRADAS,</w:t>
      </w:r>
      <w:r>
        <w:rPr>
          <w:spacing w:val="20"/>
        </w:rPr>
        <w:t xml:space="preserve"> </w:t>
      </w:r>
      <w:r>
        <w:rPr>
          <w:spacing w:val="7"/>
        </w:rPr>
        <w:t>2010).</w:t>
      </w:r>
    </w:p>
    <w:p w:rsidR="00D81F69" w:rsidRDefault="00330118">
      <w:pPr>
        <w:pStyle w:val="Corpodetexto"/>
        <w:spacing w:before="138" w:line="312" w:lineRule="auto"/>
        <w:ind w:right="196"/>
      </w:pPr>
      <w:r>
        <w:t>Numa tentativa de solucionar o problema, em janeiro de 2011, o governador do Piauí assinou decreto, autorizando a celebração de convênio entre o Governo do Estado e a União Federal, cedendo aos trabalhadores 10 mil hectares para la</w:t>
      </w:r>
      <w:r>
        <w:t xml:space="preserve">vra e exploração de recursos minerais no subsolo de Castelo e Juazeiro. O governo pretende, ainda, oferecer equipamentos para melhorar a forma como é feita a exploração mineral, adequando a região para que os trabalhadores possam realizar a extração e não </w:t>
      </w:r>
      <w:r>
        <w:t>precisem invadir áreas já regulamentadas. Cerca de 100 famílias devem ser beneficiadas com o decreto governamental (GOMES, 2011).</w:t>
      </w:r>
    </w:p>
    <w:p w:rsidR="00D81F69" w:rsidRDefault="00D81F69">
      <w:pPr>
        <w:pStyle w:val="Corpodetexto"/>
        <w:spacing w:before="10"/>
        <w:ind w:left="0"/>
        <w:jc w:val="left"/>
        <w:rPr>
          <w:sz w:val="21"/>
        </w:rPr>
      </w:pPr>
    </w:p>
    <w:p w:rsidR="00D81F69" w:rsidRDefault="00330118">
      <w:pPr>
        <w:pStyle w:val="Heading7"/>
        <w:spacing w:before="1"/>
      </w:pPr>
      <w:r>
        <w:t>LOCALIZAÇÃO GEOGRÁFICA</w:t>
      </w:r>
    </w:p>
    <w:p w:rsidR="00D81F69" w:rsidRDefault="00330118">
      <w:pPr>
        <w:pStyle w:val="Corpodetexto"/>
        <w:spacing w:before="115" w:line="270" w:lineRule="atLeast"/>
        <w:ind w:right="216"/>
      </w:pPr>
      <w:r>
        <w:t>Os municípios de Castelo do Piauí (latitude 5°19'18''S e longitude 41°33'11''W) e Juazeiro do Piauí (l</w:t>
      </w:r>
      <w:r>
        <w:t>atitude 5°10'26''S</w:t>
      </w:r>
    </w:p>
    <w:p w:rsidR="00D81F69" w:rsidRDefault="00D81F69">
      <w:pPr>
        <w:spacing w:line="270" w:lineRule="atLeast"/>
        <w:sectPr w:rsidR="00D81F69">
          <w:pgSz w:w="11900" w:h="16840"/>
          <w:pgMar w:top="740" w:right="500" w:bottom="620" w:left="620" w:header="0" w:footer="402" w:gutter="0"/>
          <w:cols w:num="2" w:space="720" w:equalWidth="0">
            <w:col w:w="5164" w:space="306"/>
            <w:col w:w="5310"/>
          </w:cols>
        </w:sectPr>
      </w:pPr>
    </w:p>
    <w:p w:rsidR="00D81F69" w:rsidRDefault="00330118">
      <w:pPr>
        <w:pStyle w:val="Corpodetexto"/>
        <w:spacing w:before="81" w:line="312" w:lineRule="auto"/>
        <w:ind w:right="88"/>
      </w:pPr>
      <w:r>
        <w:lastRenderedPageBreak/>
        <w:t>e longitude 41°42'14''W) estão localizados na microrregião de Campo Maior, centro-norte do Piauí. Ambos são banhados pelo rio Poti, na bacia hidrográfica do rio Parnaíba.</w:t>
      </w:r>
    </w:p>
    <w:p w:rsidR="00D81F69" w:rsidRDefault="00D81F69">
      <w:pPr>
        <w:pStyle w:val="Corpodetexto"/>
        <w:ind w:left="0"/>
        <w:jc w:val="left"/>
        <w:rPr>
          <w:sz w:val="29"/>
        </w:rPr>
      </w:pPr>
    </w:p>
    <w:p w:rsidR="00D81F69" w:rsidRDefault="00330118">
      <w:pPr>
        <w:pStyle w:val="Heading7"/>
      </w:pPr>
      <w:r>
        <w:t>REDATORES</w:t>
      </w:r>
    </w:p>
    <w:p w:rsidR="00D81F69" w:rsidRDefault="00330118">
      <w:pPr>
        <w:pStyle w:val="Corpodetexto"/>
        <w:spacing w:before="179" w:line="312" w:lineRule="auto"/>
        <w:ind w:right="89"/>
      </w:pPr>
      <w:r>
        <w:t>Rodrigo Braga da Rocha Villa Verde; Renata Olivieri; Eliane Araujo</w:t>
      </w:r>
    </w:p>
    <w:p w:rsidR="00D81F69" w:rsidRDefault="00D81F69">
      <w:pPr>
        <w:pStyle w:val="Corpodetexto"/>
        <w:ind w:left="0"/>
        <w:jc w:val="left"/>
        <w:rPr>
          <w:sz w:val="29"/>
        </w:rPr>
      </w:pPr>
    </w:p>
    <w:p w:rsidR="00D81F69" w:rsidRDefault="00330118">
      <w:pPr>
        <w:pStyle w:val="Heading7"/>
      </w:pPr>
      <w:r>
        <w:t>REFERÊNCIAS BIBLIOGRÁFICAS</w:t>
      </w:r>
    </w:p>
    <w:p w:rsidR="00D81F69" w:rsidRDefault="00330118">
      <w:pPr>
        <w:spacing w:before="187" w:line="312" w:lineRule="auto"/>
        <w:ind w:left="100" w:right="71"/>
        <w:jc w:val="both"/>
        <w:rPr>
          <w:sz w:val="16"/>
        </w:rPr>
      </w:pPr>
      <w:r>
        <w:rPr>
          <w:sz w:val="16"/>
        </w:rPr>
        <w:t xml:space="preserve">ALBINO, Rigoberto Sousa. Florística e fitossociologia da vegetação </w:t>
      </w:r>
      <w:r>
        <w:rPr>
          <w:spacing w:val="1"/>
          <w:sz w:val="16"/>
        </w:rPr>
        <w:t xml:space="preserve">de </w:t>
      </w:r>
      <w:r>
        <w:rPr>
          <w:spacing w:val="3"/>
          <w:sz w:val="16"/>
        </w:rPr>
        <w:t xml:space="preserve">cerrado rupestre </w:t>
      </w:r>
      <w:r>
        <w:rPr>
          <w:spacing w:val="1"/>
          <w:sz w:val="16"/>
        </w:rPr>
        <w:t xml:space="preserve">de </w:t>
      </w:r>
      <w:r>
        <w:rPr>
          <w:spacing w:val="3"/>
          <w:sz w:val="16"/>
        </w:rPr>
        <w:t xml:space="preserve">baixa altitude </w:t>
      </w:r>
      <w:r>
        <w:rPr>
          <w:sz w:val="16"/>
        </w:rPr>
        <w:t xml:space="preserve">e </w:t>
      </w:r>
      <w:r>
        <w:rPr>
          <w:spacing w:val="3"/>
          <w:sz w:val="16"/>
        </w:rPr>
        <w:t xml:space="preserve">perfil socioeconômico </w:t>
      </w:r>
      <w:r>
        <w:rPr>
          <w:spacing w:val="5"/>
          <w:sz w:val="16"/>
        </w:rPr>
        <w:t xml:space="preserve">da </w:t>
      </w:r>
      <w:r>
        <w:rPr>
          <w:sz w:val="16"/>
        </w:rPr>
        <w:t>atividade mineradora em Castelo do Piauí e Juazeiro do Piauí, Brasil. Teresina/PI, 2005. 123f. Dissertação (Mestrado em Desenvolvimento e</w:t>
      </w:r>
      <w:r>
        <w:rPr>
          <w:spacing w:val="27"/>
          <w:sz w:val="16"/>
        </w:rPr>
        <w:t xml:space="preserve"> </w:t>
      </w:r>
      <w:r>
        <w:rPr>
          <w:sz w:val="16"/>
        </w:rPr>
        <w:t>Meio</w:t>
      </w:r>
      <w:r>
        <w:rPr>
          <w:spacing w:val="27"/>
          <w:sz w:val="16"/>
        </w:rPr>
        <w:t xml:space="preserve"> </w:t>
      </w:r>
      <w:r>
        <w:rPr>
          <w:sz w:val="16"/>
        </w:rPr>
        <w:t>Ambiente)</w:t>
      </w:r>
      <w:r>
        <w:rPr>
          <w:spacing w:val="27"/>
          <w:sz w:val="16"/>
        </w:rPr>
        <w:t xml:space="preserve"> </w:t>
      </w:r>
      <w:r>
        <w:rPr>
          <w:sz w:val="16"/>
        </w:rPr>
        <w:t>–</w:t>
      </w:r>
      <w:r>
        <w:rPr>
          <w:spacing w:val="27"/>
          <w:sz w:val="16"/>
        </w:rPr>
        <w:t xml:space="preserve"> </w:t>
      </w:r>
      <w:r>
        <w:rPr>
          <w:sz w:val="16"/>
        </w:rPr>
        <w:t>Universidade</w:t>
      </w:r>
      <w:r>
        <w:rPr>
          <w:spacing w:val="27"/>
          <w:sz w:val="16"/>
        </w:rPr>
        <w:t xml:space="preserve"> </w:t>
      </w:r>
      <w:r>
        <w:rPr>
          <w:sz w:val="16"/>
        </w:rPr>
        <w:t>Federal</w:t>
      </w:r>
      <w:r>
        <w:rPr>
          <w:spacing w:val="27"/>
          <w:sz w:val="16"/>
        </w:rPr>
        <w:t xml:space="preserve"> </w:t>
      </w:r>
      <w:r>
        <w:rPr>
          <w:sz w:val="16"/>
        </w:rPr>
        <w:t>do</w:t>
      </w:r>
      <w:r>
        <w:rPr>
          <w:spacing w:val="27"/>
          <w:sz w:val="16"/>
        </w:rPr>
        <w:t xml:space="preserve"> </w:t>
      </w:r>
      <w:r>
        <w:rPr>
          <w:sz w:val="16"/>
        </w:rPr>
        <w:t>Piauí.</w:t>
      </w:r>
      <w:r>
        <w:rPr>
          <w:spacing w:val="27"/>
          <w:sz w:val="16"/>
        </w:rPr>
        <w:t xml:space="preserve"> </w:t>
      </w:r>
      <w:r>
        <w:rPr>
          <w:sz w:val="16"/>
        </w:rPr>
        <w:t>Disponível</w:t>
      </w:r>
      <w:r>
        <w:rPr>
          <w:spacing w:val="27"/>
          <w:sz w:val="16"/>
        </w:rPr>
        <w:t xml:space="preserve"> </w:t>
      </w:r>
      <w:r>
        <w:rPr>
          <w:spacing w:val="1"/>
          <w:sz w:val="16"/>
        </w:rPr>
        <w:t>em:</w:t>
      </w:r>
    </w:p>
    <w:p w:rsidR="00D81F69" w:rsidRDefault="00D81F69">
      <w:pPr>
        <w:spacing w:before="4" w:line="312" w:lineRule="auto"/>
        <w:ind w:left="100" w:right="73"/>
        <w:jc w:val="both"/>
        <w:rPr>
          <w:sz w:val="16"/>
        </w:rPr>
      </w:pPr>
      <w:hyperlink r:id="rId798">
        <w:r w:rsidR="00330118">
          <w:rPr>
            <w:sz w:val="16"/>
          </w:rPr>
          <w:t xml:space="preserve">&lt;http://www.ufpi.br/mestambiente/index/pagina/id/2522&gt;. </w:t>
        </w:r>
      </w:hyperlink>
      <w:r w:rsidR="00330118">
        <w:rPr>
          <w:sz w:val="16"/>
        </w:rPr>
        <w:t>Acesso em: 20 nov. 2010.</w:t>
      </w:r>
    </w:p>
    <w:p w:rsidR="00D81F69" w:rsidRDefault="00330118">
      <w:pPr>
        <w:spacing w:before="2" w:line="312" w:lineRule="auto"/>
        <w:ind w:left="100" w:right="42"/>
        <w:jc w:val="both"/>
        <w:rPr>
          <w:sz w:val="16"/>
        </w:rPr>
      </w:pPr>
      <w:r>
        <w:rPr>
          <w:sz w:val="16"/>
        </w:rPr>
        <w:t>ALBINO, Rigoberto Sousa; CASTRO, Antonio Alberto Jorge Farias. Levantamento florístico e estrutural de um cerrado rupestre de baixa altitude localizado no entor</w:t>
      </w:r>
      <w:r>
        <w:rPr>
          <w:sz w:val="16"/>
        </w:rPr>
        <w:t xml:space="preserve">no de áreas de mineração no município de Castelo do Piauí, Piauí, Brasil. Resumo. In: Reunião Nordestina de </w:t>
      </w:r>
      <w:r>
        <w:rPr>
          <w:spacing w:val="30"/>
          <w:sz w:val="16"/>
        </w:rPr>
        <w:t>Botânica.</w:t>
      </w:r>
      <w:r>
        <w:rPr>
          <w:spacing w:val="105"/>
          <w:sz w:val="16"/>
        </w:rPr>
        <w:t xml:space="preserve"> </w:t>
      </w:r>
      <w:r>
        <w:rPr>
          <w:spacing w:val="31"/>
          <w:sz w:val="16"/>
        </w:rPr>
        <w:t xml:space="preserve">Teresina/PI, </w:t>
      </w:r>
      <w:r>
        <w:rPr>
          <w:spacing w:val="27"/>
          <w:sz w:val="16"/>
        </w:rPr>
        <w:t xml:space="preserve">2005. </w:t>
      </w:r>
      <w:r>
        <w:rPr>
          <w:spacing w:val="30"/>
          <w:sz w:val="16"/>
        </w:rPr>
        <w:t xml:space="preserve">Disponível </w:t>
      </w:r>
      <w:r>
        <w:rPr>
          <w:spacing w:val="22"/>
          <w:sz w:val="16"/>
        </w:rPr>
        <w:t>em:</w:t>
      </w:r>
      <w:r>
        <w:rPr>
          <w:spacing w:val="-9"/>
          <w:sz w:val="16"/>
        </w:rPr>
        <w:t xml:space="preserve"> </w:t>
      </w:r>
    </w:p>
    <w:p w:rsidR="00D81F69" w:rsidRDefault="00D81F69">
      <w:pPr>
        <w:spacing w:before="4" w:line="312" w:lineRule="auto"/>
        <w:ind w:left="100" w:right="73"/>
        <w:jc w:val="both"/>
        <w:rPr>
          <w:sz w:val="16"/>
        </w:rPr>
      </w:pPr>
      <w:hyperlink r:id="rId799">
        <w:r w:rsidR="00330118">
          <w:rPr>
            <w:sz w:val="16"/>
          </w:rPr>
          <w:t>&lt;http://www.bioten.bi</w:t>
        </w:r>
        <w:r w:rsidR="00330118">
          <w:rPr>
            <w:sz w:val="16"/>
          </w:rPr>
          <w:t>o.br/images/pdf/3RelatorioSitio10PELDAbr2005.</w:t>
        </w:r>
      </w:hyperlink>
      <w:r w:rsidR="00330118">
        <w:rPr>
          <w:sz w:val="16"/>
        </w:rPr>
        <w:t xml:space="preserve"> pdf&gt;. Acesso em: 20 nov. 2010.</w:t>
      </w:r>
    </w:p>
    <w:p w:rsidR="00D81F69" w:rsidRDefault="00330118">
      <w:pPr>
        <w:spacing w:before="2" w:line="312" w:lineRule="auto"/>
        <w:ind w:left="100" w:right="38"/>
        <w:jc w:val="both"/>
        <w:rPr>
          <w:sz w:val="16"/>
        </w:rPr>
      </w:pPr>
      <w:r>
        <w:rPr>
          <w:sz w:val="16"/>
        </w:rPr>
        <w:t xml:space="preserve">ALVES, Heraldo. Castelo do Piauí, um paraíso de pedras. In: Portal </w:t>
      </w:r>
      <w:r>
        <w:rPr>
          <w:spacing w:val="27"/>
          <w:sz w:val="16"/>
        </w:rPr>
        <w:t xml:space="preserve">Meio </w:t>
      </w:r>
      <w:r>
        <w:rPr>
          <w:spacing w:val="30"/>
          <w:sz w:val="16"/>
        </w:rPr>
        <w:t>Norte,</w:t>
      </w:r>
      <w:r>
        <w:rPr>
          <w:spacing w:val="105"/>
          <w:sz w:val="16"/>
        </w:rPr>
        <w:t xml:space="preserve"> </w:t>
      </w:r>
      <w:r>
        <w:rPr>
          <w:spacing w:val="18"/>
          <w:sz w:val="16"/>
        </w:rPr>
        <w:t xml:space="preserve">12 </w:t>
      </w:r>
      <w:r>
        <w:rPr>
          <w:spacing w:val="27"/>
          <w:sz w:val="16"/>
        </w:rPr>
        <w:t xml:space="preserve">fev. </w:t>
      </w:r>
      <w:r>
        <w:rPr>
          <w:spacing w:val="30"/>
          <w:sz w:val="16"/>
        </w:rPr>
        <w:t xml:space="preserve">2010. </w:t>
      </w:r>
      <w:r>
        <w:rPr>
          <w:spacing w:val="33"/>
          <w:sz w:val="16"/>
        </w:rPr>
        <w:t>Disponível</w:t>
      </w:r>
      <w:r>
        <w:rPr>
          <w:spacing w:val="91"/>
          <w:sz w:val="16"/>
        </w:rPr>
        <w:t xml:space="preserve"> </w:t>
      </w:r>
      <w:r>
        <w:rPr>
          <w:spacing w:val="25"/>
          <w:sz w:val="16"/>
        </w:rPr>
        <w:t>em:</w:t>
      </w:r>
      <w:r>
        <w:rPr>
          <w:spacing w:val="-6"/>
          <w:sz w:val="16"/>
        </w:rPr>
        <w:t xml:space="preserve"> </w:t>
      </w:r>
    </w:p>
    <w:p w:rsidR="00D81F69" w:rsidRDefault="00D81F69">
      <w:pPr>
        <w:spacing w:before="1" w:line="312" w:lineRule="auto"/>
        <w:ind w:left="100" w:right="91"/>
        <w:jc w:val="both"/>
        <w:rPr>
          <w:sz w:val="16"/>
        </w:rPr>
      </w:pPr>
      <w:hyperlink r:id="rId800">
        <w:r w:rsidR="00330118">
          <w:rPr>
            <w:sz w:val="16"/>
          </w:rPr>
          <w:t>&lt;http://www.meionorte.com/heraldoalves/castelo-do-piaui-um-paraiso-</w:t>
        </w:r>
      </w:hyperlink>
      <w:r w:rsidR="00330118">
        <w:rPr>
          <w:sz w:val="16"/>
        </w:rPr>
        <w:t xml:space="preserve"> de-pedras-115856.html&gt;. Acesso em 02 fev. 2011.</w:t>
      </w:r>
    </w:p>
    <w:p w:rsidR="00D81F69" w:rsidRDefault="00330118">
      <w:pPr>
        <w:spacing w:before="2" w:line="312" w:lineRule="auto"/>
        <w:ind w:left="100" w:right="89"/>
        <w:jc w:val="both"/>
        <w:rPr>
          <w:sz w:val="16"/>
        </w:rPr>
      </w:pPr>
      <w:r>
        <w:rPr>
          <w:sz w:val="16"/>
        </w:rPr>
        <w:t xml:space="preserve">ECB, Rochas Ornamentais do Brasil. A empresa. 2007. Disponível em: </w:t>
      </w:r>
      <w:hyperlink r:id="rId801">
        <w:r>
          <w:rPr>
            <w:sz w:val="16"/>
          </w:rPr>
          <w:t xml:space="preserve">&lt;http://www.ecb.ind.br/interno.php?Conteudo=empresa&gt;. </w:t>
        </w:r>
      </w:hyperlink>
      <w:r>
        <w:rPr>
          <w:sz w:val="16"/>
        </w:rPr>
        <w:t>Acesso em: 22 nov. 2010.</w:t>
      </w:r>
    </w:p>
    <w:p w:rsidR="00D81F69" w:rsidRDefault="00330118">
      <w:pPr>
        <w:spacing w:before="3" w:line="312" w:lineRule="auto"/>
        <w:ind w:left="100" w:right="71"/>
        <w:jc w:val="both"/>
        <w:rPr>
          <w:sz w:val="16"/>
        </w:rPr>
      </w:pPr>
      <w:r>
        <w:rPr>
          <w:sz w:val="16"/>
        </w:rPr>
        <w:t xml:space="preserve">GOMES, Erinaldo. Assembléia Legislativa realiza audiência pública sobre extração de pedras. In: Blog Juazeiro do Piauí, 01 abr. 2009. </w:t>
      </w:r>
      <w:hyperlink r:id="rId802">
        <w:r>
          <w:rPr>
            <w:sz w:val="16"/>
          </w:rPr>
          <w:t>Disponível em: &lt;http://www.meionorte.com/juazeirodopiaui/data/2011-</w:t>
        </w:r>
      </w:hyperlink>
      <w:r>
        <w:rPr>
          <w:sz w:val="16"/>
        </w:rPr>
        <w:t xml:space="preserve"> 2-5/pg/4&gt;. Acesso em: 02 fev. 2011.</w:t>
      </w:r>
    </w:p>
    <w:p w:rsidR="00D81F69" w:rsidRDefault="00330118">
      <w:pPr>
        <w:spacing w:before="3" w:line="312" w:lineRule="auto"/>
        <w:ind w:left="100" w:right="51"/>
        <w:jc w:val="both"/>
        <w:rPr>
          <w:sz w:val="16"/>
        </w:rPr>
      </w:pPr>
      <w:r>
        <w:rPr>
          <w:spacing w:val="3"/>
          <w:sz w:val="16"/>
        </w:rPr>
        <w:t xml:space="preserve">______. Governo </w:t>
      </w:r>
      <w:r>
        <w:rPr>
          <w:spacing w:val="1"/>
          <w:sz w:val="16"/>
        </w:rPr>
        <w:t xml:space="preserve">do </w:t>
      </w:r>
      <w:r>
        <w:rPr>
          <w:spacing w:val="3"/>
          <w:sz w:val="16"/>
        </w:rPr>
        <w:t xml:space="preserve">Estado </w:t>
      </w:r>
      <w:r>
        <w:rPr>
          <w:spacing w:val="2"/>
          <w:sz w:val="16"/>
        </w:rPr>
        <w:t xml:space="preserve">cede </w:t>
      </w:r>
      <w:r>
        <w:rPr>
          <w:spacing w:val="1"/>
          <w:sz w:val="16"/>
        </w:rPr>
        <w:t xml:space="preserve">10 </w:t>
      </w:r>
      <w:r>
        <w:rPr>
          <w:spacing w:val="2"/>
          <w:sz w:val="16"/>
        </w:rPr>
        <w:t xml:space="preserve">mil </w:t>
      </w:r>
      <w:r>
        <w:rPr>
          <w:spacing w:val="3"/>
          <w:sz w:val="16"/>
        </w:rPr>
        <w:t xml:space="preserve">hectares </w:t>
      </w:r>
      <w:r>
        <w:rPr>
          <w:spacing w:val="2"/>
          <w:sz w:val="16"/>
        </w:rPr>
        <w:t xml:space="preserve">para </w:t>
      </w:r>
      <w:r>
        <w:rPr>
          <w:spacing w:val="5"/>
          <w:sz w:val="16"/>
        </w:rPr>
        <w:t xml:space="preserve">colonos </w:t>
      </w:r>
      <w:r>
        <w:rPr>
          <w:sz w:val="16"/>
        </w:rPr>
        <w:t xml:space="preserve">explorarem minas de pedras em Castelo e Juazeiro do Piauí. In: Blog </w:t>
      </w:r>
      <w:r>
        <w:rPr>
          <w:spacing w:val="20"/>
          <w:sz w:val="16"/>
        </w:rPr>
        <w:t>Juazeiro</w:t>
      </w:r>
      <w:r>
        <w:rPr>
          <w:spacing w:val="85"/>
          <w:sz w:val="16"/>
        </w:rPr>
        <w:t xml:space="preserve"> </w:t>
      </w:r>
      <w:r>
        <w:rPr>
          <w:spacing w:val="11"/>
          <w:sz w:val="16"/>
        </w:rPr>
        <w:t xml:space="preserve">do </w:t>
      </w:r>
      <w:r>
        <w:rPr>
          <w:spacing w:val="20"/>
          <w:sz w:val="16"/>
        </w:rPr>
        <w:t xml:space="preserve">Piauí, </w:t>
      </w:r>
      <w:r>
        <w:rPr>
          <w:spacing w:val="11"/>
          <w:sz w:val="16"/>
        </w:rPr>
        <w:t xml:space="preserve">14 </w:t>
      </w:r>
      <w:r>
        <w:rPr>
          <w:spacing w:val="17"/>
          <w:sz w:val="16"/>
        </w:rPr>
        <w:t xml:space="preserve">jan. </w:t>
      </w:r>
      <w:r>
        <w:rPr>
          <w:spacing w:val="20"/>
          <w:sz w:val="16"/>
        </w:rPr>
        <w:t xml:space="preserve">2011. </w:t>
      </w:r>
      <w:r>
        <w:rPr>
          <w:spacing w:val="21"/>
          <w:sz w:val="16"/>
        </w:rPr>
        <w:t>Disponível</w:t>
      </w:r>
      <w:r>
        <w:rPr>
          <w:spacing w:val="20"/>
          <w:sz w:val="16"/>
        </w:rPr>
        <w:t xml:space="preserve"> </w:t>
      </w:r>
      <w:r>
        <w:rPr>
          <w:spacing w:val="15"/>
          <w:sz w:val="16"/>
        </w:rPr>
        <w:t>em:</w:t>
      </w:r>
      <w:r>
        <w:rPr>
          <w:spacing w:val="-19"/>
          <w:sz w:val="16"/>
        </w:rPr>
        <w:t xml:space="preserve"> </w:t>
      </w:r>
    </w:p>
    <w:p w:rsidR="00D81F69" w:rsidRDefault="00D81F69">
      <w:pPr>
        <w:spacing w:before="2" w:line="312" w:lineRule="auto"/>
        <w:ind w:left="100" w:right="83"/>
        <w:jc w:val="both"/>
        <w:rPr>
          <w:sz w:val="16"/>
        </w:rPr>
      </w:pPr>
      <w:hyperlink r:id="rId803">
        <w:r w:rsidR="00330118">
          <w:rPr>
            <w:sz w:val="16"/>
          </w:rPr>
          <w:t>&lt;http://www.meionorte.com/juazeirodopiaui/governo-do-esta</w:t>
        </w:r>
        <w:r w:rsidR="00330118">
          <w:rPr>
            <w:sz w:val="16"/>
          </w:rPr>
          <w:t>do-cede-</w:t>
        </w:r>
      </w:hyperlink>
      <w:r w:rsidR="00330118">
        <w:rPr>
          <w:sz w:val="16"/>
        </w:rPr>
        <w:t xml:space="preserve"> 10-mil-hectares-para-colonos-explorarem-minas-de-pedras-em- castelo-e-juazeiro-do-piaui-150620.html&gt;.</w:t>
      </w:r>
    </w:p>
    <w:p w:rsidR="00D81F69" w:rsidRDefault="00330118">
      <w:pPr>
        <w:spacing w:before="70"/>
        <w:ind w:left="100"/>
        <w:jc w:val="both"/>
        <w:rPr>
          <w:sz w:val="16"/>
        </w:rPr>
      </w:pPr>
      <w:r>
        <w:br w:type="column"/>
      </w:r>
      <w:r>
        <w:rPr>
          <w:sz w:val="16"/>
        </w:rPr>
        <w:lastRenderedPageBreak/>
        <w:t>Acesso em: 03 fev. 2011.</w:t>
      </w:r>
    </w:p>
    <w:p w:rsidR="00D81F69" w:rsidRDefault="00330118">
      <w:pPr>
        <w:spacing w:before="56" w:line="312" w:lineRule="auto"/>
        <w:ind w:left="100" w:right="159"/>
        <w:jc w:val="both"/>
        <w:rPr>
          <w:sz w:val="16"/>
        </w:rPr>
      </w:pPr>
      <w:r>
        <w:rPr>
          <w:sz w:val="16"/>
        </w:rPr>
        <w:t xml:space="preserve">IBGE, Instituto Brasileiro de Geografia e Estatística. Biblioteca IBGE. Juazeiro do Piauí. 2010a. Disponível em: </w:t>
      </w:r>
    </w:p>
    <w:p w:rsidR="00D81F69" w:rsidRDefault="00D81F69">
      <w:pPr>
        <w:spacing w:before="1" w:line="312" w:lineRule="auto"/>
        <w:ind w:left="100" w:right="216"/>
        <w:jc w:val="both"/>
        <w:rPr>
          <w:sz w:val="16"/>
        </w:rPr>
      </w:pPr>
      <w:hyperlink r:id="rId804">
        <w:r w:rsidR="00330118">
          <w:rPr>
            <w:sz w:val="16"/>
          </w:rPr>
          <w:t>&lt;http://biblioteca.ibge.gov.br/visualizacao/dtbs/piaui/juazeirodopiaui.p</w:t>
        </w:r>
      </w:hyperlink>
      <w:r w:rsidR="00330118">
        <w:rPr>
          <w:sz w:val="16"/>
        </w:rPr>
        <w:t xml:space="preserve"> df&gt;. Acesso em: 22 nov. 2010.</w:t>
      </w:r>
    </w:p>
    <w:p w:rsidR="00D81F69" w:rsidRDefault="00330118">
      <w:pPr>
        <w:spacing w:before="2"/>
        <w:ind w:left="100"/>
        <w:jc w:val="both"/>
        <w:rPr>
          <w:sz w:val="16"/>
        </w:rPr>
      </w:pPr>
      <w:r>
        <w:rPr>
          <w:spacing w:val="20"/>
          <w:sz w:val="16"/>
        </w:rPr>
        <w:t>______.</w:t>
      </w:r>
      <w:r>
        <w:rPr>
          <w:spacing w:val="85"/>
          <w:sz w:val="16"/>
        </w:rPr>
        <w:t xml:space="preserve"> </w:t>
      </w:r>
      <w:r>
        <w:rPr>
          <w:spacing w:val="20"/>
          <w:sz w:val="16"/>
        </w:rPr>
        <w:t>Castelo</w:t>
      </w:r>
      <w:r>
        <w:rPr>
          <w:spacing w:val="85"/>
          <w:sz w:val="16"/>
        </w:rPr>
        <w:t xml:space="preserve"> </w:t>
      </w:r>
      <w:r>
        <w:rPr>
          <w:spacing w:val="11"/>
          <w:sz w:val="16"/>
        </w:rPr>
        <w:t xml:space="preserve">do </w:t>
      </w:r>
      <w:r>
        <w:rPr>
          <w:spacing w:val="20"/>
          <w:sz w:val="16"/>
        </w:rPr>
        <w:t xml:space="preserve">Piauí. 2010b. </w:t>
      </w:r>
      <w:r>
        <w:rPr>
          <w:spacing w:val="21"/>
          <w:sz w:val="16"/>
        </w:rPr>
        <w:t xml:space="preserve">Disponível </w:t>
      </w:r>
      <w:r>
        <w:rPr>
          <w:spacing w:val="15"/>
          <w:sz w:val="16"/>
        </w:rPr>
        <w:t>em:</w:t>
      </w:r>
      <w:r>
        <w:rPr>
          <w:spacing w:val="-20"/>
          <w:sz w:val="16"/>
        </w:rPr>
        <w:t xml:space="preserve"> </w:t>
      </w:r>
    </w:p>
    <w:p w:rsidR="00D81F69" w:rsidRDefault="00D81F69">
      <w:pPr>
        <w:spacing w:before="56"/>
        <w:ind w:left="100"/>
        <w:jc w:val="both"/>
        <w:rPr>
          <w:sz w:val="16"/>
        </w:rPr>
      </w:pPr>
      <w:hyperlink r:id="rId805">
        <w:r w:rsidR="00330118">
          <w:rPr>
            <w:sz w:val="16"/>
          </w:rPr>
          <w:t>&lt;http://www.ibge.gov.br/cidadesat/xtras/perfil.php?codmun=220260&amp;r</w:t>
        </w:r>
      </w:hyperlink>
    </w:p>
    <w:p w:rsidR="00D81F69" w:rsidRDefault="00330118">
      <w:pPr>
        <w:spacing w:before="56"/>
        <w:ind w:left="100"/>
        <w:jc w:val="both"/>
        <w:rPr>
          <w:sz w:val="16"/>
        </w:rPr>
      </w:pPr>
      <w:r>
        <w:rPr>
          <w:sz w:val="16"/>
        </w:rPr>
        <w:t>=2&gt;. Acesso em: 02 fev. 2011.</w:t>
      </w:r>
    </w:p>
    <w:p w:rsidR="00D81F69" w:rsidRDefault="00330118">
      <w:pPr>
        <w:spacing w:before="56" w:line="312" w:lineRule="auto"/>
        <w:ind w:left="100" w:right="197"/>
        <w:jc w:val="both"/>
        <w:rPr>
          <w:sz w:val="16"/>
        </w:rPr>
      </w:pPr>
      <w:r>
        <w:rPr>
          <w:sz w:val="16"/>
        </w:rPr>
        <w:t>INFOMET, Piauí não possui controle da exploração mineral. In Rede APL Mineral, 11 jul. 2008.</w:t>
      </w:r>
      <w:r>
        <w:rPr>
          <w:sz w:val="16"/>
        </w:rPr>
        <w:t xml:space="preserve"> Acesso em: 02 fev. 2011. Disponível em:</w:t>
      </w:r>
    </w:p>
    <w:p w:rsidR="00D81F69" w:rsidRDefault="00D81F69">
      <w:pPr>
        <w:spacing w:before="2" w:line="312" w:lineRule="auto"/>
        <w:ind w:left="100" w:right="195"/>
        <w:jc w:val="both"/>
        <w:rPr>
          <w:sz w:val="16"/>
        </w:rPr>
      </w:pPr>
      <w:hyperlink r:id="rId806">
        <w:r w:rsidR="00330118">
          <w:rPr>
            <w:sz w:val="16"/>
          </w:rPr>
          <w:t>&lt;http://www.redeaplmineral.org.br/noticias/destaque-3/piaui-nao-</w:t>
        </w:r>
      </w:hyperlink>
      <w:r w:rsidR="00330118">
        <w:rPr>
          <w:sz w:val="16"/>
        </w:rPr>
        <w:t xml:space="preserve"> possui-controle-da-exploracao-mineral/&gt;. Acesso em: 02 fev. 2011. MEN</w:t>
      </w:r>
      <w:r w:rsidR="00330118">
        <w:rPr>
          <w:sz w:val="16"/>
        </w:rPr>
        <w:t xml:space="preserve">DONÇA, Lena; BARRADAS, Marcelo. Mesmo cumprindo a lei, a ECB continua na mira das invasões. In: Portal 180 graus, 08 mai. 2010, pg. 1-10. Disponível em: </w:t>
      </w:r>
      <w:hyperlink r:id="rId807">
        <w:r w:rsidR="00330118">
          <w:rPr>
            <w:sz w:val="16"/>
          </w:rPr>
          <w:t>&lt;http://180graus.com/geral/mesmo-</w:t>
        </w:r>
      </w:hyperlink>
      <w:r w:rsidR="00330118">
        <w:rPr>
          <w:sz w:val="16"/>
        </w:rPr>
        <w:t xml:space="preserve"> cumprindo-a-lei-o-e</w:t>
      </w:r>
      <w:r w:rsidR="00330118">
        <w:rPr>
          <w:sz w:val="16"/>
        </w:rPr>
        <w:t>cb-continua-na-mira-das-invasoes-324592.html&gt;. Acesso em: 20 nov. 2010.</w:t>
      </w:r>
    </w:p>
    <w:p w:rsidR="00D81F69" w:rsidRDefault="00330118">
      <w:pPr>
        <w:spacing w:before="5" w:line="312" w:lineRule="auto"/>
        <w:ind w:left="100" w:right="148"/>
        <w:jc w:val="both"/>
        <w:rPr>
          <w:sz w:val="16"/>
        </w:rPr>
      </w:pPr>
      <w:r>
        <w:rPr>
          <w:spacing w:val="1"/>
          <w:sz w:val="16"/>
        </w:rPr>
        <w:t xml:space="preserve">OLIVEIRA, José Marcos </w:t>
      </w:r>
      <w:r>
        <w:rPr>
          <w:sz w:val="16"/>
        </w:rPr>
        <w:t xml:space="preserve">F. de. </w:t>
      </w:r>
      <w:r>
        <w:rPr>
          <w:spacing w:val="1"/>
          <w:sz w:val="16"/>
        </w:rPr>
        <w:t xml:space="preserve">Situação atual </w:t>
      </w:r>
      <w:r>
        <w:rPr>
          <w:sz w:val="16"/>
        </w:rPr>
        <w:t xml:space="preserve">dos </w:t>
      </w:r>
      <w:r>
        <w:rPr>
          <w:spacing w:val="1"/>
          <w:sz w:val="16"/>
        </w:rPr>
        <w:t xml:space="preserve">APLs </w:t>
      </w:r>
      <w:r>
        <w:rPr>
          <w:sz w:val="16"/>
        </w:rPr>
        <w:t xml:space="preserve">de </w:t>
      </w:r>
      <w:r>
        <w:rPr>
          <w:spacing w:val="2"/>
          <w:sz w:val="16"/>
        </w:rPr>
        <w:t xml:space="preserve">base </w:t>
      </w:r>
      <w:r>
        <w:rPr>
          <w:spacing w:val="5"/>
          <w:sz w:val="16"/>
        </w:rPr>
        <w:t xml:space="preserve">mineral. Ministério </w:t>
      </w:r>
      <w:r>
        <w:rPr>
          <w:spacing w:val="2"/>
          <w:sz w:val="16"/>
        </w:rPr>
        <w:t xml:space="preserve">de </w:t>
      </w:r>
      <w:r>
        <w:rPr>
          <w:spacing w:val="3"/>
          <w:sz w:val="16"/>
        </w:rPr>
        <w:t xml:space="preserve">Minas </w:t>
      </w:r>
      <w:r>
        <w:rPr>
          <w:sz w:val="16"/>
        </w:rPr>
        <w:t xml:space="preserve">e </w:t>
      </w:r>
      <w:r>
        <w:rPr>
          <w:spacing w:val="5"/>
          <w:sz w:val="16"/>
        </w:rPr>
        <w:t xml:space="preserve">Energia. </w:t>
      </w:r>
      <w:r>
        <w:rPr>
          <w:spacing w:val="3"/>
          <w:sz w:val="16"/>
        </w:rPr>
        <w:t xml:space="preserve">In: </w:t>
      </w:r>
      <w:r>
        <w:rPr>
          <w:spacing w:val="5"/>
          <w:sz w:val="16"/>
        </w:rPr>
        <w:t xml:space="preserve">Workshop recursos </w:t>
      </w:r>
      <w:r>
        <w:rPr>
          <w:spacing w:val="3"/>
          <w:sz w:val="16"/>
        </w:rPr>
        <w:t xml:space="preserve">minerais </w:t>
      </w:r>
      <w:r>
        <w:rPr>
          <w:sz w:val="16"/>
        </w:rPr>
        <w:t xml:space="preserve">e  </w:t>
      </w:r>
      <w:r>
        <w:rPr>
          <w:spacing w:val="3"/>
          <w:sz w:val="16"/>
        </w:rPr>
        <w:t xml:space="preserve">sociedade </w:t>
      </w:r>
      <w:r>
        <w:rPr>
          <w:spacing w:val="1"/>
          <w:sz w:val="16"/>
        </w:rPr>
        <w:t xml:space="preserve">do  </w:t>
      </w:r>
      <w:r>
        <w:rPr>
          <w:spacing w:val="3"/>
          <w:sz w:val="16"/>
        </w:rPr>
        <w:t xml:space="preserve">Centro </w:t>
      </w:r>
      <w:r>
        <w:rPr>
          <w:spacing w:val="1"/>
          <w:sz w:val="16"/>
        </w:rPr>
        <w:t xml:space="preserve">de  </w:t>
      </w:r>
      <w:r>
        <w:rPr>
          <w:spacing w:val="3"/>
          <w:sz w:val="16"/>
        </w:rPr>
        <w:t xml:space="preserve">Tecnologia Mineral. </w:t>
      </w:r>
      <w:r>
        <w:rPr>
          <w:spacing w:val="2"/>
          <w:sz w:val="16"/>
        </w:rPr>
        <w:t xml:space="preserve">Rio </w:t>
      </w:r>
      <w:r>
        <w:rPr>
          <w:spacing w:val="5"/>
          <w:sz w:val="16"/>
        </w:rPr>
        <w:t xml:space="preserve">de    J a n e i r o / R J </w:t>
      </w:r>
      <w:r>
        <w:rPr>
          <w:sz w:val="16"/>
        </w:rPr>
        <w:t xml:space="preserve">,      </w:t>
      </w:r>
      <w:r>
        <w:rPr>
          <w:spacing w:val="5"/>
          <w:sz w:val="16"/>
        </w:rPr>
        <w:t xml:space="preserve">j u l </w:t>
      </w:r>
      <w:r>
        <w:rPr>
          <w:sz w:val="16"/>
        </w:rPr>
        <w:t xml:space="preserve">.      </w:t>
      </w:r>
      <w:r>
        <w:rPr>
          <w:spacing w:val="5"/>
          <w:sz w:val="16"/>
        </w:rPr>
        <w:t xml:space="preserve">2 0 1 0 </w:t>
      </w:r>
      <w:r>
        <w:rPr>
          <w:sz w:val="16"/>
        </w:rPr>
        <w:t xml:space="preserve">.      </w:t>
      </w:r>
      <w:r>
        <w:rPr>
          <w:spacing w:val="5"/>
          <w:sz w:val="16"/>
        </w:rPr>
        <w:t xml:space="preserve">D i s p o n í v e </w:t>
      </w:r>
      <w:r>
        <w:rPr>
          <w:sz w:val="16"/>
        </w:rPr>
        <w:t xml:space="preserve">l  </w:t>
      </w:r>
      <w:r>
        <w:rPr>
          <w:spacing w:val="40"/>
          <w:sz w:val="16"/>
        </w:rPr>
        <w:t xml:space="preserve"> </w:t>
      </w:r>
      <w:r>
        <w:rPr>
          <w:spacing w:val="5"/>
          <w:sz w:val="16"/>
        </w:rPr>
        <w:t xml:space="preserve">e m </w:t>
      </w:r>
      <w:r>
        <w:rPr>
          <w:sz w:val="16"/>
        </w:rPr>
        <w:t>:</w:t>
      </w:r>
      <w:r>
        <w:rPr>
          <w:spacing w:val="6"/>
          <w:sz w:val="16"/>
        </w:rPr>
        <w:t xml:space="preserve"> </w:t>
      </w:r>
    </w:p>
    <w:p w:rsidR="00D81F69" w:rsidRDefault="00D81F69">
      <w:pPr>
        <w:spacing w:before="4" w:line="312" w:lineRule="auto"/>
        <w:ind w:left="100" w:right="216"/>
        <w:jc w:val="both"/>
        <w:rPr>
          <w:sz w:val="16"/>
        </w:rPr>
      </w:pPr>
      <w:hyperlink r:id="rId808">
        <w:r w:rsidR="00330118">
          <w:rPr>
            <w:sz w:val="16"/>
          </w:rPr>
          <w:t>&lt;http://www.cetem.gov.br/workshop/apresentacoes/JOSE_MARCOS/</w:t>
        </w:r>
      </w:hyperlink>
      <w:r w:rsidR="00330118">
        <w:rPr>
          <w:sz w:val="16"/>
        </w:rPr>
        <w:t xml:space="preserve"> OLIVEIRA_2010_ATUACAO_%20GOVERNAMENTAL_NAS_APLS.p</w:t>
      </w:r>
    </w:p>
    <w:p w:rsidR="00D81F69" w:rsidRDefault="00330118">
      <w:pPr>
        <w:spacing w:before="1"/>
        <w:ind w:left="100"/>
        <w:jc w:val="both"/>
        <w:rPr>
          <w:sz w:val="16"/>
        </w:rPr>
      </w:pPr>
      <w:r>
        <w:rPr>
          <w:sz w:val="16"/>
        </w:rPr>
        <w:t>df&gt;. Acesso em: 20 nov. 2010.</w:t>
      </w:r>
    </w:p>
    <w:p w:rsidR="00D81F69" w:rsidRDefault="00330118">
      <w:pPr>
        <w:spacing w:before="56" w:line="312" w:lineRule="auto"/>
        <w:ind w:left="100" w:right="198"/>
        <w:jc w:val="both"/>
        <w:rPr>
          <w:sz w:val="16"/>
        </w:rPr>
      </w:pPr>
      <w:r>
        <w:rPr>
          <w:sz w:val="16"/>
        </w:rPr>
        <w:t xml:space="preserve">PORTAL ODM. Acompanhamento municipal dos Objetivos do Milênio. Relatórios Dinâmicos, Castelo do Piauí (PI), 2010a. Pg. 1-9. Disponível em: </w:t>
      </w:r>
      <w:hyperlink r:id="rId809">
        <w:r>
          <w:rPr>
            <w:sz w:val="16"/>
          </w:rPr>
          <w:t>&lt;http://www.portalodm.com.br/relatorios/pi/castelo-do-</w:t>
        </w:r>
      </w:hyperlink>
      <w:r>
        <w:rPr>
          <w:sz w:val="16"/>
        </w:rPr>
        <w:t xml:space="preserve"> piaui&gt;. Acesso em: 19 nov. 2010.</w:t>
      </w:r>
    </w:p>
    <w:p w:rsidR="00D81F69" w:rsidRDefault="00330118">
      <w:pPr>
        <w:spacing w:before="4" w:line="312" w:lineRule="auto"/>
        <w:ind w:left="100" w:right="198"/>
        <w:jc w:val="both"/>
        <w:rPr>
          <w:sz w:val="16"/>
        </w:rPr>
      </w:pPr>
      <w:r>
        <w:rPr>
          <w:sz w:val="16"/>
        </w:rPr>
        <w:t>PORTAL ODM. Acompanhamento municipal dos Objetivos do Milênio. Relatórios Dinâmicos, Juazeiro do Piauí (PI), 2010b, pg. 1-9. Disponív</w:t>
      </w:r>
      <w:r>
        <w:rPr>
          <w:sz w:val="16"/>
        </w:rPr>
        <w:t xml:space="preserve">el em: </w:t>
      </w:r>
      <w:hyperlink r:id="rId810">
        <w:r>
          <w:rPr>
            <w:sz w:val="16"/>
          </w:rPr>
          <w:t>&lt;http://www.portalodm.com.br/relatorios/pi/juazeiro-</w:t>
        </w:r>
      </w:hyperlink>
      <w:r>
        <w:rPr>
          <w:sz w:val="16"/>
        </w:rPr>
        <w:t xml:space="preserve"> do-piaui&gt;. Acesso em: 19 nov. 2010.</w:t>
      </w:r>
    </w:p>
    <w:p w:rsidR="00D81F69" w:rsidRDefault="00330118">
      <w:pPr>
        <w:spacing w:before="3" w:line="312" w:lineRule="auto"/>
        <w:ind w:left="100" w:right="174"/>
        <w:jc w:val="both"/>
        <w:rPr>
          <w:sz w:val="16"/>
        </w:rPr>
      </w:pPr>
      <w:r>
        <w:rPr>
          <w:spacing w:val="3"/>
          <w:sz w:val="16"/>
        </w:rPr>
        <w:t xml:space="preserve">RIBEIRO, Efrém. Mineradora </w:t>
      </w:r>
      <w:r>
        <w:rPr>
          <w:spacing w:val="1"/>
          <w:sz w:val="16"/>
        </w:rPr>
        <w:t xml:space="preserve">de </w:t>
      </w:r>
      <w:r>
        <w:rPr>
          <w:spacing w:val="3"/>
          <w:sz w:val="16"/>
        </w:rPr>
        <w:t xml:space="preserve">Castelo </w:t>
      </w:r>
      <w:r>
        <w:rPr>
          <w:spacing w:val="1"/>
          <w:sz w:val="16"/>
        </w:rPr>
        <w:t xml:space="preserve">do </w:t>
      </w:r>
      <w:r>
        <w:rPr>
          <w:spacing w:val="3"/>
          <w:sz w:val="16"/>
        </w:rPr>
        <w:t xml:space="preserve">Piauí produz </w:t>
      </w:r>
      <w:r>
        <w:rPr>
          <w:spacing w:val="5"/>
          <w:sz w:val="16"/>
        </w:rPr>
        <w:t xml:space="preserve">rochas </w:t>
      </w:r>
      <w:r>
        <w:rPr>
          <w:sz w:val="16"/>
        </w:rPr>
        <w:t>ornamentais exportadas para to</w:t>
      </w:r>
      <w:r>
        <w:rPr>
          <w:sz w:val="16"/>
        </w:rPr>
        <w:t xml:space="preserve">do o mundo e que oferece empregos para operários que voltaram desempregados. In: Portal Meio Norte. </w:t>
      </w:r>
      <w:r>
        <w:rPr>
          <w:spacing w:val="17"/>
          <w:sz w:val="16"/>
        </w:rPr>
        <w:t xml:space="preserve">Castelo </w:t>
      </w:r>
      <w:r>
        <w:rPr>
          <w:spacing w:val="10"/>
          <w:sz w:val="16"/>
        </w:rPr>
        <w:t xml:space="preserve">do </w:t>
      </w:r>
      <w:r>
        <w:rPr>
          <w:spacing w:val="17"/>
          <w:sz w:val="16"/>
        </w:rPr>
        <w:t xml:space="preserve">Piauí/PI, </w:t>
      </w:r>
      <w:r>
        <w:rPr>
          <w:spacing w:val="10"/>
          <w:sz w:val="16"/>
        </w:rPr>
        <w:t xml:space="preserve">01 </w:t>
      </w:r>
      <w:r>
        <w:rPr>
          <w:spacing w:val="15"/>
          <w:sz w:val="16"/>
        </w:rPr>
        <w:t>nov. 2009.</w:t>
      </w:r>
      <w:r>
        <w:rPr>
          <w:spacing w:val="75"/>
          <w:sz w:val="16"/>
        </w:rPr>
        <w:t xml:space="preserve"> </w:t>
      </w:r>
      <w:r>
        <w:rPr>
          <w:spacing w:val="17"/>
          <w:sz w:val="16"/>
        </w:rPr>
        <w:t>Disponível</w:t>
      </w:r>
      <w:r>
        <w:rPr>
          <w:spacing w:val="16"/>
          <w:sz w:val="16"/>
        </w:rPr>
        <w:t xml:space="preserve"> </w:t>
      </w:r>
      <w:r>
        <w:rPr>
          <w:spacing w:val="13"/>
          <w:sz w:val="16"/>
        </w:rPr>
        <w:t>em:</w:t>
      </w:r>
      <w:r>
        <w:rPr>
          <w:spacing w:val="-22"/>
          <w:sz w:val="16"/>
        </w:rPr>
        <w:t xml:space="preserve"> </w:t>
      </w:r>
    </w:p>
    <w:p w:rsidR="00D81F69" w:rsidRDefault="00D81F69">
      <w:pPr>
        <w:spacing w:before="3" w:line="312" w:lineRule="auto"/>
        <w:ind w:left="100" w:right="214"/>
        <w:jc w:val="both"/>
        <w:rPr>
          <w:sz w:val="16"/>
        </w:rPr>
      </w:pPr>
      <w:hyperlink r:id="rId811">
        <w:r w:rsidR="00330118">
          <w:rPr>
            <w:sz w:val="16"/>
          </w:rPr>
          <w:t>&lt;</w:t>
        </w:r>
        <w:r w:rsidR="00330118">
          <w:rPr>
            <w:sz w:val="16"/>
          </w:rPr>
          <w:t>http://www.meionorte.com/meunovopiaui/mineradora-de-castelo-do-</w:t>
        </w:r>
      </w:hyperlink>
      <w:r w:rsidR="00330118">
        <w:rPr>
          <w:sz w:val="16"/>
        </w:rPr>
        <w:t xml:space="preserve"> piaui-produz-rochas-ornamentais-exportadas-para-todo-o-mundo-e- que-oferece-empregos-para-operarios-que-voltaram-desempregados- 105763.html&gt;. Acesso em: 19 nov. 2010.</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85" w:space="285"/>
            <w:col w:w="5310"/>
          </w:cols>
        </w:sectPr>
      </w:pPr>
    </w:p>
    <w:p w:rsidR="00D81F69" w:rsidRDefault="00330118">
      <w:pPr>
        <w:pStyle w:val="Heading1"/>
        <w:spacing w:line="208" w:lineRule="auto"/>
      </w:pPr>
      <w:r>
        <w:lastRenderedPageBreak/>
        <w:t>Bacia do rio Apodi-Mossoró é afetada por atividades antrópicas, como indústria da construção civil</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RN - Apodi</w:t>
      </w:r>
    </w:p>
    <w:p w:rsidR="00D81F69" w:rsidRDefault="00330118">
      <w:pPr>
        <w:spacing w:before="49" w:line="312" w:lineRule="auto"/>
        <w:ind w:left="135" w:right="121"/>
        <w:rPr>
          <w:i/>
          <w:sz w:val="14"/>
        </w:rPr>
      </w:pPr>
      <w:r>
        <w:rPr>
          <w:i/>
          <w:sz w:val="14"/>
        </w:rPr>
        <w:t>RN - Areia Branca RN - Felipe Guerra RN - Grossos</w:t>
      </w:r>
    </w:p>
    <w:p w:rsidR="00D81F69" w:rsidRDefault="00330118">
      <w:pPr>
        <w:spacing w:before="2"/>
        <w:ind w:left="135"/>
        <w:rPr>
          <w:i/>
          <w:sz w:val="14"/>
        </w:rPr>
      </w:pPr>
      <w:r>
        <w:rPr>
          <w:i/>
          <w:sz w:val="14"/>
        </w:rPr>
        <w:t>RN - Mossoró</w:t>
      </w:r>
    </w:p>
    <w:p w:rsidR="00D81F69" w:rsidRDefault="00330118">
      <w:pPr>
        <w:spacing w:before="49"/>
        <w:ind w:left="135"/>
        <w:rPr>
          <w:i/>
          <w:sz w:val="14"/>
        </w:rPr>
      </w:pPr>
      <w:r>
        <w:rPr>
          <w:i/>
          <w:sz w:val="14"/>
        </w:rPr>
        <w:t>RN - Pau dos Ferros</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-5,4972</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-37,1222</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3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A bacia do rio Apodi-Mossoró vem sofrendo sérios impactos ambientais. O lançamento de efluentes domésticos, industriais e a prática de atividades de subsistência desenvolvidas em toda a sua extensão comprome</w:t>
      </w:r>
      <w:r>
        <w:rPr>
          <w:i/>
          <w:sz w:val="16"/>
        </w:rPr>
        <w:t>tem a qualidade das águas, interferem no equilíbrio da fauna e flora, e representam uma fonte potencial de risco à saúde pública.</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91"/>
      </w:pPr>
      <w:r>
        <w:t>limitando-se ao norte com o estado do Ceará e com o município de Grossos; ao sul, com os municípios de Governador Dix-Sept Rosado e Upanema; a leste, com Areia Branca e Serra do Mel; e a oeste, com Baraúna (IDEMA, 2008).</w:t>
      </w:r>
    </w:p>
    <w:p w:rsidR="00D81F69" w:rsidRDefault="00330118">
      <w:pPr>
        <w:pStyle w:val="Corpodetexto"/>
        <w:spacing w:before="134" w:line="312" w:lineRule="auto"/>
        <w:ind w:left="135" w:right="209"/>
      </w:pPr>
      <w:r>
        <w:t>Mossoró possui dois aquíferos subte</w:t>
      </w:r>
      <w:r>
        <w:t>rrâneos: o Açu, confinado no arenito de mesmo nome, e o Jandaíra, em extratos calcários situados a profundidades menores. Ambos possuem grande significado econômico e social, por permitirem a agricultura irrigada e o abastecimento d'água. O subsolo do muni</w:t>
      </w:r>
      <w:r>
        <w:t>cípio possui petróleo, o que torna Mossoró o maior</w:t>
      </w:r>
    </w:p>
    <w:p w:rsidR="00D81F69" w:rsidRDefault="00D81F69">
      <w:pPr>
        <w:spacing w:line="312" w:lineRule="auto"/>
        <w:sectPr w:rsidR="00D81F69">
          <w:type w:val="continuous"/>
          <w:pgSz w:w="11900" w:h="16840"/>
          <w:pgMar w:top="720" w:right="500" w:bottom="280" w:left="620" w:header="720" w:footer="720" w:gutter="0"/>
          <w:cols w:num="3" w:space="720" w:equalWidth="0">
            <w:col w:w="1459" w:space="541"/>
            <w:col w:w="3121" w:space="314"/>
            <w:col w:w="5345"/>
          </w:cols>
        </w:sectPr>
      </w:pPr>
    </w:p>
    <w:p w:rsidR="00D81F69" w:rsidRDefault="00330118">
      <w:pPr>
        <w:pStyle w:val="Heading4"/>
        <w:spacing w:line="236" w:lineRule="exact"/>
        <w:jc w:val="left"/>
      </w:pPr>
      <w:r>
        <w:lastRenderedPageBreak/>
        <w:t>APRESENTAÇÃO DE CASO</w:t>
      </w:r>
    </w:p>
    <w:p w:rsidR="00D81F69" w:rsidRDefault="00330118">
      <w:pPr>
        <w:pStyle w:val="Corpodetexto"/>
        <w:spacing w:before="170" w:line="312" w:lineRule="auto"/>
        <w:ind w:right="99"/>
      </w:pPr>
      <w:r>
        <w:t>A bacia hidrográfica do rio Apodi-Mossoró, a mais extensa do estado do Rio Grande do Norte, tem sido submetida a efeitos antrópicos constantes, tais com</w:t>
      </w:r>
      <w:r>
        <w:t>o ocupação desordenada, uso inadequado do solo e lançamento de resíduos sólidos e efluentes sem tratamento prévio, que acabam constituindo fonte de contaminação das reservas hídricas e ameaça à saúde pública (ALMEIDA et al., 2005). O quadro de degradação a</w:t>
      </w:r>
      <w:r>
        <w:t>mbiental se agrava na área do perímetro urbano do município de Mossoró (OLIVEIRA; QUEIROZ, 2008).</w:t>
      </w:r>
    </w:p>
    <w:p w:rsidR="00D81F69" w:rsidRDefault="00330118">
      <w:pPr>
        <w:pStyle w:val="Corpodetexto"/>
        <w:spacing w:before="138" w:line="312" w:lineRule="auto"/>
        <w:ind w:right="91"/>
      </w:pPr>
      <w:r>
        <w:t>O rio Apodi-Mossoró nasce na Serra de São José, no município Luiz Gomes (RN), a aproximadamente 831 m de altitude, e percorre mais 150 km, passando por 51 municípios, desde a nascente até a foz, localizada entre os municípios de Areia Branca e Grossos (OLI</w:t>
      </w:r>
      <w:r>
        <w:t>VEIRA; QUEIROZ, 2008), no litoral norte do estado (IDEMA). Sua bacia localiza-se na mesorregião oeste potiguar, compreendendo uma área de</w:t>
      </w:r>
    </w:p>
    <w:p w:rsidR="00D81F69" w:rsidRDefault="00330118">
      <w:pPr>
        <w:pStyle w:val="Corpodetexto"/>
        <w:spacing w:before="7" w:line="312" w:lineRule="auto"/>
        <w:ind w:right="38"/>
        <w:jc w:val="left"/>
      </w:pPr>
      <w:r>
        <w:t>14.276 km², equivalente a 28% do território potiguar (OLIVEIRA; QUEIROZ, 2008). Nos vales dos leitos do rio, encontram</w:t>
      </w:r>
      <w:r>
        <w:t>-se depósitos aluvionares, compostos de areias e cascalhos. Quanto à ocorrência de minerais, destacam-se areia, argila, calcário, marga domilítica, sal marinho, gás natural e petróleo (IDEMA, 2007 apud ARAÚJO; PINTO FILHO, 2010).</w:t>
      </w:r>
    </w:p>
    <w:p w:rsidR="00D81F69" w:rsidRDefault="00330118">
      <w:pPr>
        <w:pStyle w:val="Corpodetexto"/>
        <w:spacing w:before="136" w:line="312" w:lineRule="auto"/>
        <w:ind w:right="88"/>
      </w:pPr>
      <w:r>
        <w:t>O rio é de grande importân</w:t>
      </w:r>
      <w:r>
        <w:t>cia para o Rio Grande do Norte. O povoamento do oeste potiguar se deu a partir de suas margens, onde se situavam os currais de gado que se direcionavam para o interior da região, dando origem a importantes núcleos urbanos, como Mossoró, Areia Branca, Felip</w:t>
      </w:r>
      <w:r>
        <w:t>e Guerra, Apodi, Pau dos Ferros, dentre outros (OLIVEIRA; QUEIROZ, 2008).</w:t>
      </w:r>
    </w:p>
    <w:p w:rsidR="00D81F69" w:rsidRDefault="00330118">
      <w:pPr>
        <w:pStyle w:val="Corpodetexto"/>
        <w:spacing w:before="137" w:line="312" w:lineRule="auto"/>
        <w:ind w:right="49"/>
        <w:jc w:val="left"/>
      </w:pPr>
      <w:r>
        <w:t>Com 2.099 km² e 259.886 habitantes (IBGE, 2010), Mossoró transformou-se na mais importante cidade de interior do estado (OLIVEIRA; QUEIROZ, 2008). A 277 km da capital, Natal (PREFEIT</w:t>
      </w:r>
      <w:r>
        <w:t>URA DE MOSSORÓ, 2010), Mossoró</w:t>
      </w:r>
    </w:p>
    <w:p w:rsidR="00D81F69" w:rsidRDefault="00330118">
      <w:pPr>
        <w:pStyle w:val="Corpodetexto"/>
        <w:spacing w:before="3" w:line="312" w:lineRule="auto"/>
        <w:ind w:right="91"/>
      </w:pPr>
      <w:r>
        <w:t>encontra-se totalmente inserido na bacia do rio Apodi- Mossoró (IDEMA, 2007 apud ARAÚJO; PINTO FILHO, 2010),</w:t>
      </w:r>
    </w:p>
    <w:p w:rsidR="00D81F69" w:rsidRDefault="00330118">
      <w:pPr>
        <w:pStyle w:val="Corpodetexto"/>
        <w:spacing w:before="6" w:line="312" w:lineRule="auto"/>
        <w:ind w:right="205"/>
      </w:pPr>
      <w:r>
        <w:br w:type="column"/>
      </w:r>
      <w:r>
        <w:lastRenderedPageBreak/>
        <w:t>produtor do estado; e também minerais originários do calcário portadores de magnésio e cálcio, o que favorece a pro</w:t>
      </w:r>
      <w:r>
        <w:t>dução de cerâmica e de cimento, movimentando o setor da construção civil (RADIALISMO 2005.2, 2008).</w:t>
      </w:r>
    </w:p>
    <w:p w:rsidR="00D81F69" w:rsidRDefault="00330118">
      <w:pPr>
        <w:pStyle w:val="Corpodetexto"/>
        <w:spacing w:before="133" w:line="312" w:lineRule="auto"/>
        <w:ind w:right="157"/>
      </w:pPr>
      <w:r>
        <w:t>Nas últimas duas décadas, de acordo com o Departamento Nacional de Produção Mineral (DNPM), grandes grupos que trabalham com extração e beneficiamento de ca</w:t>
      </w:r>
      <w:r>
        <w:t>lcário demonstraram interesse em instalar unidades industriais em Mossoró e adjacências. A região tem afloramentos de rocha calcária com mais de 20.000 km² de, que é matéria prima para diversos produtos da construção civil, indústria química, açucareira, e</w:t>
      </w:r>
      <w:r>
        <w:t>ntre vários outros segmentos industriais (ALVES, 2009).</w:t>
      </w:r>
    </w:p>
    <w:p w:rsidR="00D81F69" w:rsidRDefault="00330118">
      <w:pPr>
        <w:pStyle w:val="Corpodetexto"/>
        <w:spacing w:before="139" w:line="312" w:lineRule="auto"/>
        <w:ind w:right="191"/>
      </w:pPr>
      <w:r>
        <w:t>De acordo com a Secretaria Estadual de Desenvolvimento Econômico, há anos, o Grupo Itapetinga já fabrica cimento em Mossoró. Além disso, os grupos Votorantin e Poti estão iniciando a construção de suas fábricas na região, e outros cinco grandes grupos estã</w:t>
      </w:r>
      <w:r>
        <w:t>o querendo se instalar na localidade. Somente em Mossoró – que, segundo o DNPM, tem a maior reserva tecnicamente comprovada de rocha calcária do estado – existem mais de 200 áreas requeridas para exploração. Ainda segundo a secretaria, os maiores riscos de</w:t>
      </w:r>
      <w:r>
        <w:t xml:space="preserve"> desastre ambiental não se devem aos grandes empreendimentos de exploração de calcário, mas aos pequenos produtores, que extraem e processam a rocha como se fazia há 2.000 anos, usando dinamites (ALVES, 2009).</w:t>
      </w:r>
    </w:p>
    <w:p w:rsidR="00D81F69" w:rsidRDefault="00330118">
      <w:pPr>
        <w:pStyle w:val="Corpodetexto"/>
        <w:spacing w:before="80" w:line="270" w:lineRule="atLeast"/>
        <w:ind w:right="156"/>
        <w:jc w:val="left"/>
      </w:pPr>
      <w:r>
        <w:t>O perfil da base produtiva da região de Mossor</w:t>
      </w:r>
      <w:r>
        <w:t>ó, como polo industrial, começou a se formar a partir dos anos 1980. Em 2008, o Rio Grande do Norte era o segundo maior produtor nacional de petróleo (o primeiro em terra), com uma produção em torno de 100 mil barris/dia, ou 9% da produção brasileira;  e 4</w:t>
      </w:r>
      <w:r>
        <w:t xml:space="preserve"> milhões m³/dia de gás natural, o que corresponde a 17,5% da produção nacional, atrás, apenas do Rio de Janeiro e da </w:t>
      </w:r>
      <w:r>
        <w:rPr>
          <w:spacing w:val="5"/>
        </w:rPr>
        <w:t xml:space="preserve">Bahia. </w:t>
      </w:r>
      <w:r>
        <w:t xml:space="preserve">É </w:t>
      </w:r>
      <w:r>
        <w:rPr>
          <w:spacing w:val="5"/>
        </w:rPr>
        <w:t xml:space="preserve">importante destacar </w:t>
      </w:r>
      <w:r>
        <w:rPr>
          <w:spacing w:val="3"/>
        </w:rPr>
        <w:t xml:space="preserve">que, </w:t>
      </w:r>
      <w:r>
        <w:rPr>
          <w:spacing w:val="5"/>
        </w:rPr>
        <w:t xml:space="preserve">somente </w:t>
      </w:r>
      <w:r>
        <w:t xml:space="preserve">a </w:t>
      </w:r>
      <w:r>
        <w:rPr>
          <w:spacing w:val="5"/>
        </w:rPr>
        <w:t>partir dos</w:t>
      </w:r>
      <w:r>
        <w:rPr>
          <w:spacing w:val="61"/>
        </w:rPr>
        <w:t xml:space="preserve"> </w:t>
      </w:r>
      <w:r>
        <w:t xml:space="preserve">últimos seis anos, a presença da Petrobras no estado passou a </w:t>
      </w:r>
      <w:r>
        <w:rPr>
          <w:spacing w:val="10"/>
        </w:rPr>
        <w:t xml:space="preserve">agregar </w:t>
      </w:r>
      <w:r>
        <w:rPr>
          <w:spacing w:val="8"/>
        </w:rPr>
        <w:t xml:space="preserve">valor </w:t>
      </w:r>
      <w:r>
        <w:rPr>
          <w:spacing w:val="10"/>
        </w:rPr>
        <w:t>localmen</w:t>
      </w:r>
      <w:r>
        <w:rPr>
          <w:spacing w:val="10"/>
        </w:rPr>
        <w:t xml:space="preserve">te. </w:t>
      </w:r>
      <w:r>
        <w:rPr>
          <w:spacing w:val="7"/>
        </w:rPr>
        <w:t xml:space="preserve">Com </w:t>
      </w:r>
      <w:r>
        <w:rPr>
          <w:spacing w:val="8"/>
        </w:rPr>
        <w:t xml:space="preserve">duas </w:t>
      </w:r>
      <w:r>
        <w:rPr>
          <w:spacing w:val="10"/>
        </w:rPr>
        <w:t xml:space="preserve">Unidades </w:t>
      </w:r>
      <w:r>
        <w:rPr>
          <w:spacing w:val="11"/>
        </w:rPr>
        <w:t xml:space="preserve">de </w:t>
      </w:r>
      <w:r>
        <w:t>Processamento de Gás Natural (UPGNs) no Polo Industrial de</w:t>
      </w:r>
    </w:p>
    <w:p w:rsidR="00D81F69" w:rsidRDefault="00D81F69">
      <w:pPr>
        <w:spacing w:line="270" w:lineRule="atLeast"/>
        <w:sectPr w:rsidR="00D81F69">
          <w:type w:val="continuous"/>
          <w:pgSz w:w="11900" w:h="16840"/>
          <w:pgMar w:top="720" w:right="500" w:bottom="280" w:left="620" w:header="720" w:footer="720" w:gutter="0"/>
          <w:cols w:num="2" w:space="720" w:equalWidth="0">
            <w:col w:w="5205" w:space="265"/>
            <w:col w:w="5310"/>
          </w:cols>
        </w:sectPr>
      </w:pPr>
    </w:p>
    <w:p w:rsidR="00D81F69" w:rsidRDefault="00330118">
      <w:pPr>
        <w:pStyle w:val="Corpodetexto"/>
        <w:spacing w:before="81" w:line="312" w:lineRule="auto"/>
        <w:ind w:right="65"/>
      </w:pPr>
      <w:r>
        <w:lastRenderedPageBreak/>
        <w:t>Guamaré, a Petrobras produz óleo, gás natural, gás liquefeito de petróleo, diesel, gasolina natural, nafta e querosene de aviação (IDEMA, 2008).</w:t>
      </w:r>
    </w:p>
    <w:p w:rsidR="00D81F69" w:rsidRDefault="00330118">
      <w:pPr>
        <w:pStyle w:val="Corpodetexto"/>
        <w:spacing w:before="133" w:line="312" w:lineRule="auto"/>
        <w:ind w:right="61"/>
      </w:pPr>
      <w:r>
        <w:t>A vocação petroquímica do Rio Grande do Norte poderá ser aprofundada com a concretização definitiva do projeto Polo Gás-Sal, concebido para combinar um conjunto de recursos minerais, disponíveis no eixo Macau-Guamaré-Mossoró: gás natural, sal marinho, calc</w:t>
      </w:r>
      <w:r>
        <w:t>ário e sílica, em unidades produtivas integradas, gerando produtos como barrilha, vidros, sabão em pó, soda cáustica, PVC, magnésio metálico e brometos (IDEMA, 2008).</w:t>
      </w:r>
    </w:p>
    <w:p w:rsidR="00D81F69" w:rsidRDefault="00330118">
      <w:pPr>
        <w:pStyle w:val="Corpodetexto"/>
        <w:spacing w:before="137" w:line="312" w:lineRule="auto"/>
        <w:ind w:right="45"/>
      </w:pPr>
      <w:r>
        <w:t>No entanto, apesar do desenvolvimento observado na região do estuário do rio Apodi-Mossor</w:t>
      </w:r>
      <w:r>
        <w:t xml:space="preserve">ó, as atividades econômicas </w:t>
      </w:r>
      <w:r>
        <w:rPr>
          <w:spacing w:val="5"/>
        </w:rPr>
        <w:t xml:space="preserve">desenvolvidas </w:t>
      </w:r>
      <w:r>
        <w:rPr>
          <w:spacing w:val="3"/>
        </w:rPr>
        <w:t xml:space="preserve">nas </w:t>
      </w:r>
      <w:r>
        <w:rPr>
          <w:spacing w:val="5"/>
        </w:rPr>
        <w:t xml:space="preserve">proximidades </w:t>
      </w:r>
      <w:r>
        <w:rPr>
          <w:spacing w:val="3"/>
        </w:rPr>
        <w:t xml:space="preserve">dos </w:t>
      </w:r>
      <w:r>
        <w:rPr>
          <w:spacing w:val="5"/>
        </w:rPr>
        <w:t xml:space="preserve">corpos d’água vêm </w:t>
      </w:r>
      <w:r>
        <w:t xml:space="preserve">acarretando transformações na paisagem. A degradação do </w:t>
      </w:r>
      <w:r>
        <w:rPr>
          <w:spacing w:val="6"/>
        </w:rPr>
        <w:t xml:space="preserve">rio </w:t>
      </w:r>
      <w:r>
        <w:rPr>
          <w:spacing w:val="10"/>
        </w:rPr>
        <w:t xml:space="preserve">Apodi-Mossoró </w:t>
      </w:r>
      <w:r>
        <w:t xml:space="preserve">é </w:t>
      </w:r>
      <w:r>
        <w:rPr>
          <w:spacing w:val="10"/>
        </w:rPr>
        <w:t xml:space="preserve">considerada </w:t>
      </w:r>
      <w:r>
        <w:rPr>
          <w:spacing w:val="7"/>
        </w:rPr>
        <w:t xml:space="preserve">mais </w:t>
      </w:r>
      <w:r>
        <w:rPr>
          <w:spacing w:val="8"/>
        </w:rPr>
        <w:t xml:space="preserve">alarmante </w:t>
      </w:r>
      <w:r>
        <w:rPr>
          <w:spacing w:val="10"/>
        </w:rPr>
        <w:t xml:space="preserve">no </w:t>
      </w:r>
      <w:r>
        <w:t>perímetro urbano de Mossoró. Segundo dados da Secretaria Municipal de</w:t>
      </w:r>
      <w:r>
        <w:t xml:space="preserve"> Desenvolvimento Territorial e Meio Ambiente de </w:t>
      </w:r>
      <w:r>
        <w:rPr>
          <w:spacing w:val="3"/>
        </w:rPr>
        <w:t xml:space="preserve">Mossoró (Sedetema), </w:t>
      </w:r>
      <w:r>
        <w:rPr>
          <w:spacing w:val="1"/>
        </w:rPr>
        <w:t xml:space="preserve">na </w:t>
      </w:r>
      <w:r>
        <w:rPr>
          <w:spacing w:val="3"/>
        </w:rPr>
        <w:t xml:space="preserve">região, existem 1.196 </w:t>
      </w:r>
      <w:r>
        <w:rPr>
          <w:spacing w:val="5"/>
        </w:rPr>
        <w:t xml:space="preserve">domicílios, </w:t>
      </w:r>
      <w:r>
        <w:rPr>
          <w:spacing w:val="7"/>
        </w:rPr>
        <w:t xml:space="preserve">com </w:t>
      </w:r>
      <w:r>
        <w:rPr>
          <w:spacing w:val="8"/>
        </w:rPr>
        <w:t xml:space="preserve">7.218 </w:t>
      </w:r>
      <w:r>
        <w:rPr>
          <w:spacing w:val="10"/>
        </w:rPr>
        <w:t xml:space="preserve">habitantes, considerando apenas </w:t>
      </w:r>
      <w:r>
        <w:t xml:space="preserve">a </w:t>
      </w:r>
      <w:r>
        <w:rPr>
          <w:spacing w:val="11"/>
        </w:rPr>
        <w:t xml:space="preserve">faixa </w:t>
      </w:r>
      <w:r>
        <w:t xml:space="preserve">delimitada pelo Instituto de Defesa do Meio Ambiente do Rio </w:t>
      </w:r>
      <w:r>
        <w:rPr>
          <w:spacing w:val="11"/>
        </w:rPr>
        <w:t xml:space="preserve">Grande </w:t>
      </w:r>
      <w:r>
        <w:rPr>
          <w:spacing w:val="6"/>
        </w:rPr>
        <w:t xml:space="preserve">do </w:t>
      </w:r>
      <w:r>
        <w:rPr>
          <w:spacing w:val="11"/>
        </w:rPr>
        <w:t xml:space="preserve">Norte </w:t>
      </w:r>
      <w:r>
        <w:rPr>
          <w:spacing w:val="12"/>
        </w:rPr>
        <w:t xml:space="preserve">(Idema), </w:t>
      </w:r>
      <w:r>
        <w:rPr>
          <w:spacing w:val="10"/>
        </w:rPr>
        <w:t xml:space="preserve">como área </w:t>
      </w:r>
      <w:r>
        <w:rPr>
          <w:spacing w:val="6"/>
        </w:rPr>
        <w:t xml:space="preserve">de </w:t>
      </w:r>
      <w:r>
        <w:rPr>
          <w:spacing w:val="12"/>
        </w:rPr>
        <w:t>pro</w:t>
      </w:r>
      <w:r>
        <w:rPr>
          <w:spacing w:val="12"/>
        </w:rPr>
        <w:t xml:space="preserve">teção </w:t>
      </w:r>
      <w:r>
        <w:t xml:space="preserve">permanente, que é de 50 metros, a partir das margens do rio. A poluição física é visivelmente identificada pela quantidade de material em suspensão, e a biológica, pela quantidade de vírus e bactérias patogênicas (OLIVEIRA; QUEIROZ, 2008). No trecho </w:t>
      </w:r>
      <w:r>
        <w:t>urbano de Mossoró, o rio transformou-se em esgoto a céu aberto e fonte de transmissão de doenças (SILVA, 1993 apud OLIVEIRA; QUEIROZ, 2008).</w:t>
      </w:r>
    </w:p>
    <w:p w:rsidR="00D81F69" w:rsidRDefault="00330118">
      <w:pPr>
        <w:pStyle w:val="Corpodetexto"/>
        <w:spacing w:before="147" w:line="312" w:lineRule="auto"/>
        <w:ind w:right="38"/>
      </w:pPr>
      <w:r>
        <w:rPr>
          <w:spacing w:val="5"/>
        </w:rPr>
        <w:t xml:space="preserve">Nessa faixa, </w:t>
      </w:r>
      <w:r>
        <w:rPr>
          <w:spacing w:val="3"/>
        </w:rPr>
        <w:t xml:space="preserve">são </w:t>
      </w:r>
      <w:r>
        <w:rPr>
          <w:spacing w:val="5"/>
        </w:rPr>
        <w:t xml:space="preserve">lançados, diretamente, </w:t>
      </w:r>
      <w:r>
        <w:rPr>
          <w:spacing w:val="2"/>
        </w:rPr>
        <w:t xml:space="preserve">no </w:t>
      </w:r>
      <w:r>
        <w:rPr>
          <w:spacing w:val="5"/>
        </w:rPr>
        <w:t xml:space="preserve">leito </w:t>
      </w:r>
      <w:r>
        <w:rPr>
          <w:spacing w:val="2"/>
        </w:rPr>
        <w:t xml:space="preserve">do </w:t>
      </w:r>
      <w:r>
        <w:rPr>
          <w:spacing w:val="6"/>
        </w:rPr>
        <w:t xml:space="preserve">rio, </w:t>
      </w:r>
      <w:r>
        <w:t>rejeitos líquidos da atividade industrial e efluentes orgâ</w:t>
      </w:r>
      <w:r>
        <w:t xml:space="preserve">nicos </w:t>
      </w:r>
      <w:r>
        <w:rPr>
          <w:spacing w:val="5"/>
        </w:rPr>
        <w:t xml:space="preserve">domésticos, gerando altos índices </w:t>
      </w:r>
      <w:r>
        <w:rPr>
          <w:spacing w:val="2"/>
        </w:rPr>
        <w:t xml:space="preserve">de </w:t>
      </w:r>
      <w:r>
        <w:rPr>
          <w:spacing w:val="5"/>
        </w:rPr>
        <w:t xml:space="preserve">poluição </w:t>
      </w:r>
      <w:r>
        <w:rPr>
          <w:spacing w:val="6"/>
        </w:rPr>
        <w:t xml:space="preserve">química, </w:t>
      </w:r>
      <w:r>
        <w:rPr>
          <w:spacing w:val="8"/>
        </w:rPr>
        <w:t xml:space="preserve">comprovada </w:t>
      </w:r>
      <w:r>
        <w:rPr>
          <w:spacing w:val="6"/>
        </w:rPr>
        <w:t xml:space="preserve">pela </w:t>
      </w:r>
      <w:r>
        <w:rPr>
          <w:spacing w:val="8"/>
        </w:rPr>
        <w:t xml:space="preserve">existência </w:t>
      </w:r>
      <w:r>
        <w:rPr>
          <w:spacing w:val="5"/>
        </w:rPr>
        <w:t xml:space="preserve">de </w:t>
      </w:r>
      <w:r>
        <w:rPr>
          <w:spacing w:val="7"/>
        </w:rPr>
        <w:t xml:space="preserve">metais pesados, </w:t>
      </w:r>
      <w:r>
        <w:rPr>
          <w:spacing w:val="10"/>
        </w:rPr>
        <w:t xml:space="preserve">como </w:t>
      </w:r>
      <w:hyperlink r:id="rId812">
        <w:r>
          <w:t xml:space="preserve">cádmio, </w:t>
        </w:r>
      </w:hyperlink>
      <w:r>
        <w:t xml:space="preserve">ferro, </w:t>
      </w:r>
      <w:hyperlink r:id="rId813">
        <w:r>
          <w:t xml:space="preserve">cromo, </w:t>
        </w:r>
      </w:hyperlink>
      <w:hyperlink r:id="rId814">
        <w:r>
          <w:t xml:space="preserve">chumbo </w:t>
        </w:r>
      </w:hyperlink>
      <w:r>
        <w:t xml:space="preserve">e </w:t>
      </w:r>
      <w:hyperlink r:id="rId815">
        <w:r>
          <w:t xml:space="preserve">zinco </w:t>
        </w:r>
      </w:hyperlink>
      <w:r>
        <w:t xml:space="preserve">(OLIVEIRA; QUEIROZ, </w:t>
      </w:r>
      <w:r>
        <w:rPr>
          <w:spacing w:val="5"/>
        </w:rPr>
        <w:t xml:space="preserve">2008). </w:t>
      </w:r>
      <w:r>
        <w:rPr>
          <w:spacing w:val="3"/>
        </w:rPr>
        <w:t xml:space="preserve">De </w:t>
      </w:r>
      <w:r>
        <w:rPr>
          <w:spacing w:val="5"/>
        </w:rPr>
        <w:t xml:space="preserve">acordo com </w:t>
      </w:r>
      <w:r>
        <w:t xml:space="preserve">o </w:t>
      </w:r>
      <w:r>
        <w:rPr>
          <w:spacing w:val="6"/>
        </w:rPr>
        <w:t xml:space="preserve">Departamento </w:t>
      </w:r>
      <w:r>
        <w:rPr>
          <w:spacing w:val="3"/>
        </w:rPr>
        <w:t xml:space="preserve">de </w:t>
      </w:r>
      <w:r>
        <w:rPr>
          <w:spacing w:val="5"/>
        </w:rPr>
        <w:t xml:space="preserve">Química </w:t>
      </w:r>
      <w:r>
        <w:rPr>
          <w:spacing w:val="7"/>
        </w:rPr>
        <w:t xml:space="preserve">da </w:t>
      </w:r>
      <w:r>
        <w:t xml:space="preserve">Universidade do Estado do Rio Grande do Norte (UERN), tais </w:t>
      </w:r>
      <w:r>
        <w:rPr>
          <w:spacing w:val="5"/>
        </w:rPr>
        <w:t xml:space="preserve">metais comprometem </w:t>
      </w:r>
      <w:r>
        <w:t xml:space="preserve">a </w:t>
      </w:r>
      <w:r>
        <w:rPr>
          <w:spacing w:val="3"/>
        </w:rPr>
        <w:t xml:space="preserve">saúde </w:t>
      </w:r>
      <w:r>
        <w:rPr>
          <w:spacing w:val="5"/>
        </w:rPr>
        <w:t xml:space="preserve">humana </w:t>
      </w:r>
      <w:r>
        <w:t xml:space="preserve">e o </w:t>
      </w:r>
      <w:r>
        <w:rPr>
          <w:spacing w:val="5"/>
        </w:rPr>
        <w:t xml:space="preserve">equilíbrio de </w:t>
      </w:r>
      <w:r>
        <w:rPr>
          <w:spacing w:val="1"/>
        </w:rPr>
        <w:t xml:space="preserve">recursos naturais, influenciando </w:t>
      </w:r>
      <w:r>
        <w:t xml:space="preserve">a </w:t>
      </w:r>
      <w:r>
        <w:rPr>
          <w:spacing w:val="1"/>
        </w:rPr>
        <w:t>comp</w:t>
      </w:r>
      <w:r>
        <w:rPr>
          <w:spacing w:val="1"/>
        </w:rPr>
        <w:t xml:space="preserve">osição </w:t>
      </w:r>
      <w:r>
        <w:t xml:space="preserve">do </w:t>
      </w:r>
      <w:r>
        <w:rPr>
          <w:spacing w:val="1"/>
        </w:rPr>
        <w:t xml:space="preserve">solo </w:t>
      </w:r>
      <w:r>
        <w:t xml:space="preserve">e o </w:t>
      </w:r>
      <w:r>
        <w:rPr>
          <w:spacing w:val="5"/>
        </w:rPr>
        <w:t xml:space="preserve">desenvolvimento </w:t>
      </w:r>
      <w:r>
        <w:rPr>
          <w:spacing w:val="3"/>
        </w:rPr>
        <w:t xml:space="preserve">das </w:t>
      </w:r>
      <w:r>
        <w:rPr>
          <w:spacing w:val="5"/>
        </w:rPr>
        <w:t xml:space="preserve">plantas (HENRIQUES, 2005 </w:t>
      </w:r>
      <w:r>
        <w:rPr>
          <w:spacing w:val="6"/>
        </w:rPr>
        <w:t xml:space="preserve">apud </w:t>
      </w:r>
      <w:r>
        <w:rPr>
          <w:spacing w:val="10"/>
        </w:rPr>
        <w:t xml:space="preserve">ARAÚJO; </w:t>
      </w:r>
      <w:r>
        <w:rPr>
          <w:spacing w:val="8"/>
        </w:rPr>
        <w:t xml:space="preserve">PINTO </w:t>
      </w:r>
      <w:r>
        <w:rPr>
          <w:spacing w:val="10"/>
        </w:rPr>
        <w:t xml:space="preserve">FILHO, 2010). </w:t>
      </w:r>
      <w:r>
        <w:rPr>
          <w:spacing w:val="8"/>
        </w:rPr>
        <w:t xml:space="preserve">Além </w:t>
      </w:r>
      <w:r>
        <w:rPr>
          <w:spacing w:val="10"/>
        </w:rPr>
        <w:t xml:space="preserve">disso, </w:t>
      </w:r>
      <w:r>
        <w:rPr>
          <w:spacing w:val="11"/>
        </w:rPr>
        <w:t xml:space="preserve">quando </w:t>
      </w:r>
      <w:r>
        <w:t xml:space="preserve">introduzidos no organismo humano, via cadeia alimentar, os </w:t>
      </w:r>
      <w:r>
        <w:rPr>
          <w:spacing w:val="3"/>
        </w:rPr>
        <w:t xml:space="preserve">metais pesados, </w:t>
      </w:r>
      <w:r>
        <w:rPr>
          <w:spacing w:val="2"/>
        </w:rPr>
        <w:t xml:space="preserve">além </w:t>
      </w:r>
      <w:r>
        <w:rPr>
          <w:spacing w:val="1"/>
        </w:rPr>
        <w:t xml:space="preserve">de </w:t>
      </w:r>
      <w:r>
        <w:rPr>
          <w:spacing w:val="3"/>
        </w:rPr>
        <w:t xml:space="preserve">provocar diversas doenças, </w:t>
      </w:r>
      <w:r>
        <w:rPr>
          <w:spacing w:val="5"/>
        </w:rPr>
        <w:t xml:space="preserve">em </w:t>
      </w:r>
      <w:r>
        <w:rPr>
          <w:spacing w:val="6"/>
        </w:rPr>
        <w:t xml:space="preserve">decorrência </w:t>
      </w:r>
      <w:r>
        <w:rPr>
          <w:spacing w:val="3"/>
        </w:rPr>
        <w:t xml:space="preserve">do </w:t>
      </w:r>
      <w:r>
        <w:rPr>
          <w:spacing w:val="5"/>
        </w:rPr>
        <w:t xml:space="preserve">seu efeito </w:t>
      </w:r>
      <w:r>
        <w:rPr>
          <w:spacing w:val="6"/>
        </w:rPr>
        <w:t>c</w:t>
      </w:r>
      <w:r>
        <w:rPr>
          <w:spacing w:val="6"/>
        </w:rPr>
        <w:t xml:space="preserve">umulativo, </w:t>
      </w:r>
      <w:r>
        <w:rPr>
          <w:spacing w:val="5"/>
        </w:rPr>
        <w:t xml:space="preserve">podem ser </w:t>
      </w:r>
      <w:r>
        <w:rPr>
          <w:spacing w:val="7"/>
        </w:rPr>
        <w:t xml:space="preserve">letais </w:t>
      </w:r>
      <w:r>
        <w:t xml:space="preserve">(ALMEIDA et al., 2005). Mesmo assim, comprovou-se o uso da água do manancial pelos ribeirinhos: 2% deles utilizam-se da água para beber, 3%, para cozinhar, 29%, para o banho, e </w:t>
      </w:r>
      <w:r>
        <w:rPr>
          <w:spacing w:val="6"/>
        </w:rPr>
        <w:t xml:space="preserve">32% </w:t>
      </w:r>
      <w:r>
        <w:rPr>
          <w:spacing w:val="8"/>
        </w:rPr>
        <w:t xml:space="preserve">pescam </w:t>
      </w:r>
      <w:r>
        <w:rPr>
          <w:spacing w:val="7"/>
        </w:rPr>
        <w:t xml:space="preserve">para </w:t>
      </w:r>
      <w:r>
        <w:rPr>
          <w:spacing w:val="8"/>
        </w:rPr>
        <w:t xml:space="preserve">vender </w:t>
      </w:r>
      <w:r>
        <w:t xml:space="preserve">e </w:t>
      </w:r>
      <w:r>
        <w:rPr>
          <w:spacing w:val="5"/>
        </w:rPr>
        <w:t xml:space="preserve">se </w:t>
      </w:r>
      <w:r>
        <w:rPr>
          <w:spacing w:val="8"/>
        </w:rPr>
        <w:t xml:space="preserve">alimentar </w:t>
      </w:r>
      <w:r>
        <w:rPr>
          <w:spacing w:val="10"/>
        </w:rPr>
        <w:t xml:space="preserve">(OLIVEIRA; </w:t>
      </w:r>
      <w:r>
        <w:rPr>
          <w:spacing w:val="8"/>
        </w:rPr>
        <w:t>QU</w:t>
      </w:r>
      <w:r>
        <w:rPr>
          <w:spacing w:val="8"/>
        </w:rPr>
        <w:t>EIROZ,</w:t>
      </w:r>
      <w:r>
        <w:rPr>
          <w:spacing w:val="55"/>
        </w:rPr>
        <w:t xml:space="preserve"> </w:t>
      </w:r>
      <w:r>
        <w:rPr>
          <w:spacing w:val="10"/>
        </w:rPr>
        <w:t>2008).</w:t>
      </w:r>
    </w:p>
    <w:p w:rsidR="00D81F69" w:rsidRDefault="00330118">
      <w:pPr>
        <w:pStyle w:val="Corpodetexto"/>
        <w:spacing w:before="84" w:line="270" w:lineRule="atLeast"/>
        <w:ind w:right="47"/>
      </w:pPr>
      <w:r>
        <w:t>De acordo com estudos realizados por Alessandra Salviano, pesquisadora do Conselho Nacional de Desenvolvimento Científico e Tecnológico (CNPq), o lençol freático de Mossoró e a lagoa de captação da Companhia de Águas e Esgotos do Rio Grande d</w:t>
      </w:r>
      <w:r>
        <w:t>o Norte (Caern) – de onde agricultores retiram água para as plantações, que depois da colheita são vendidas na Central de Abastecimento (Conab) – estão contaminados</w:t>
      </w:r>
    </w:p>
    <w:p w:rsidR="00D81F69" w:rsidRDefault="00330118">
      <w:pPr>
        <w:pStyle w:val="Corpodetexto"/>
        <w:spacing w:before="81" w:line="312" w:lineRule="auto"/>
        <w:ind w:right="196"/>
      </w:pPr>
      <w:r>
        <w:br w:type="column"/>
      </w:r>
      <w:r>
        <w:lastRenderedPageBreak/>
        <w:t>por substâncias como cádmio e chumbo. Segundo a pesquisadora, como no lixão de Mossoró exi</w:t>
      </w:r>
      <w:r>
        <w:t>stem materiais como plástico, baterias de celular, pilhas, papéis entre outros, existe a possibilidade de a contaminação ser proveniente do lixão (BARRETO, 2010).</w:t>
      </w:r>
    </w:p>
    <w:p w:rsidR="00D81F69" w:rsidRDefault="00330118">
      <w:pPr>
        <w:pStyle w:val="Corpodetexto"/>
        <w:spacing w:before="134" w:line="312" w:lineRule="auto"/>
        <w:ind w:right="206"/>
      </w:pPr>
      <w:r>
        <w:t>A pesquisadora afirma que os metais pesados chegaram até  a lagoa de captação durante a época</w:t>
      </w:r>
      <w:r>
        <w:t xml:space="preserve"> de chuvas, através do fenômeno da lixiviação que pode ter transportado o material até a lagoa de captação. Já a contaminação do lençol freático se deu com a infiltração do chorume no solo, se estendendo até os rios. Ainda segundo ela, a presença de metais</w:t>
      </w:r>
      <w:r>
        <w:t xml:space="preserve"> pesados tanto na lagoa de captação da Caern como no lençol freático é </w:t>
      </w:r>
      <w:r>
        <w:rPr>
          <w:spacing w:val="8"/>
        </w:rPr>
        <w:t xml:space="preserve">alarmante, </w:t>
      </w:r>
      <w:r>
        <w:rPr>
          <w:spacing w:val="7"/>
        </w:rPr>
        <w:t xml:space="preserve">estando acima </w:t>
      </w:r>
      <w:r>
        <w:rPr>
          <w:spacing w:val="5"/>
        </w:rPr>
        <w:t xml:space="preserve">dos </w:t>
      </w:r>
      <w:r>
        <w:rPr>
          <w:spacing w:val="7"/>
        </w:rPr>
        <w:t xml:space="preserve">valores </w:t>
      </w:r>
      <w:r>
        <w:rPr>
          <w:spacing w:val="5"/>
        </w:rPr>
        <w:t xml:space="preserve">de </w:t>
      </w:r>
      <w:r>
        <w:rPr>
          <w:spacing w:val="7"/>
        </w:rPr>
        <w:t xml:space="preserve">alerta </w:t>
      </w:r>
      <w:r>
        <w:rPr>
          <w:spacing w:val="10"/>
        </w:rPr>
        <w:t xml:space="preserve">da </w:t>
      </w:r>
      <w:r>
        <w:t>Companhia de Tecnologia Ambiental de São Paulo (Cetesb) (BARRETO,</w:t>
      </w:r>
      <w:r>
        <w:rPr>
          <w:spacing w:val="10"/>
        </w:rPr>
        <w:t xml:space="preserve"> </w:t>
      </w:r>
      <w:r>
        <w:t>2010).</w:t>
      </w:r>
    </w:p>
    <w:p w:rsidR="00D81F69" w:rsidRDefault="00330118">
      <w:pPr>
        <w:pStyle w:val="Corpodetexto"/>
        <w:spacing w:before="140" w:line="312" w:lineRule="auto"/>
        <w:ind w:right="192"/>
      </w:pPr>
      <w:r>
        <w:t xml:space="preserve">Uma investigação sobre as práticas ambientais das empresas </w:t>
      </w:r>
      <w:r>
        <w:rPr>
          <w:spacing w:val="1"/>
        </w:rPr>
        <w:t xml:space="preserve">da </w:t>
      </w:r>
      <w:r>
        <w:rPr>
          <w:spacing w:val="3"/>
        </w:rPr>
        <w:t xml:space="preserve">região constatou </w:t>
      </w:r>
      <w:r>
        <w:rPr>
          <w:spacing w:val="2"/>
        </w:rPr>
        <w:t xml:space="preserve">que </w:t>
      </w:r>
      <w:r>
        <w:t xml:space="preserve">a </w:t>
      </w:r>
      <w:r>
        <w:rPr>
          <w:spacing w:val="3"/>
        </w:rPr>
        <w:t xml:space="preserve">maioria </w:t>
      </w:r>
      <w:r>
        <w:rPr>
          <w:spacing w:val="2"/>
        </w:rPr>
        <w:t xml:space="preserve">não </w:t>
      </w:r>
      <w:r>
        <w:rPr>
          <w:spacing w:val="3"/>
        </w:rPr>
        <w:t xml:space="preserve">possui Sistema </w:t>
      </w:r>
      <w:r>
        <w:rPr>
          <w:spacing w:val="5"/>
        </w:rPr>
        <w:t xml:space="preserve">de Gestão </w:t>
      </w:r>
      <w:r>
        <w:rPr>
          <w:spacing w:val="6"/>
        </w:rPr>
        <w:t xml:space="preserve">Ambiental </w:t>
      </w:r>
      <w:r>
        <w:rPr>
          <w:spacing w:val="5"/>
        </w:rPr>
        <w:t xml:space="preserve">(SGA) para </w:t>
      </w:r>
      <w:r>
        <w:rPr>
          <w:spacing w:val="6"/>
        </w:rPr>
        <w:t xml:space="preserve">administrar </w:t>
      </w:r>
      <w:r>
        <w:rPr>
          <w:spacing w:val="3"/>
        </w:rPr>
        <w:t xml:space="preserve">os </w:t>
      </w:r>
      <w:r>
        <w:rPr>
          <w:spacing w:val="7"/>
        </w:rPr>
        <w:t xml:space="preserve">impactos </w:t>
      </w:r>
      <w:r>
        <w:t xml:space="preserve">ambientais de suas unidades, e propor ações mitigadoras. A maioria respondeu que se preocupa com a qualidade da água </w:t>
      </w:r>
      <w:r>
        <w:rPr>
          <w:spacing w:val="2"/>
        </w:rPr>
        <w:t xml:space="preserve">do </w:t>
      </w:r>
      <w:r>
        <w:rPr>
          <w:spacing w:val="3"/>
        </w:rPr>
        <w:t xml:space="preserve">rio </w:t>
      </w:r>
      <w:r>
        <w:rPr>
          <w:spacing w:val="5"/>
        </w:rPr>
        <w:t xml:space="preserve">Apodi-Mossoró, </w:t>
      </w:r>
      <w:r>
        <w:rPr>
          <w:spacing w:val="2"/>
        </w:rPr>
        <w:t xml:space="preserve">no </w:t>
      </w:r>
      <w:r>
        <w:rPr>
          <w:spacing w:val="5"/>
        </w:rPr>
        <w:t xml:space="preserve">entanto, </w:t>
      </w:r>
      <w:r>
        <w:rPr>
          <w:spacing w:val="5"/>
        </w:rPr>
        <w:t>quando indagadas se</w:t>
      </w:r>
      <w:r>
        <w:rPr>
          <w:spacing w:val="61"/>
        </w:rPr>
        <w:t xml:space="preserve"> </w:t>
      </w:r>
      <w:r>
        <w:rPr>
          <w:spacing w:val="1"/>
        </w:rPr>
        <w:t xml:space="preserve">tinham ações para garantir </w:t>
      </w:r>
      <w:r>
        <w:t xml:space="preserve">a </w:t>
      </w:r>
      <w:r>
        <w:rPr>
          <w:spacing w:val="1"/>
        </w:rPr>
        <w:t xml:space="preserve">salubridade ambiental </w:t>
      </w:r>
      <w:r>
        <w:rPr>
          <w:spacing w:val="2"/>
        </w:rPr>
        <w:t xml:space="preserve">desse </w:t>
      </w:r>
      <w:r>
        <w:t xml:space="preserve">corpo aquático, as empresas responderam que não. Algumas </w:t>
      </w:r>
      <w:r>
        <w:rPr>
          <w:spacing w:val="7"/>
        </w:rPr>
        <w:t xml:space="preserve">afirmaram </w:t>
      </w:r>
      <w:r>
        <w:rPr>
          <w:spacing w:val="5"/>
        </w:rPr>
        <w:t xml:space="preserve">que </w:t>
      </w:r>
      <w:r>
        <w:rPr>
          <w:spacing w:val="7"/>
        </w:rPr>
        <w:t xml:space="preserve">estão </w:t>
      </w:r>
      <w:r>
        <w:rPr>
          <w:spacing w:val="8"/>
        </w:rPr>
        <w:t xml:space="preserve">discutindo internamente </w:t>
      </w:r>
      <w:r>
        <w:rPr>
          <w:spacing w:val="10"/>
        </w:rPr>
        <w:t xml:space="preserve">medidas </w:t>
      </w:r>
      <w:r>
        <w:rPr>
          <w:spacing w:val="3"/>
        </w:rPr>
        <w:t>voltadas</w:t>
      </w:r>
      <w:r>
        <w:rPr>
          <w:spacing w:val="2"/>
        </w:rPr>
        <w:t xml:space="preserve"> para</w:t>
      </w:r>
      <w:r>
        <w:rPr>
          <w:spacing w:val="1"/>
        </w:rPr>
        <w:t xml:space="preserve"> </w:t>
      </w:r>
      <w:r>
        <w:t xml:space="preserve">a </w:t>
      </w:r>
      <w:r>
        <w:rPr>
          <w:spacing w:val="3"/>
        </w:rPr>
        <w:t>temática</w:t>
      </w:r>
      <w:r>
        <w:rPr>
          <w:spacing w:val="2"/>
        </w:rPr>
        <w:t xml:space="preserve"> </w:t>
      </w:r>
      <w:r>
        <w:rPr>
          <w:spacing w:val="3"/>
        </w:rPr>
        <w:t>(ARAÚJO;</w:t>
      </w:r>
      <w:r>
        <w:rPr>
          <w:spacing w:val="2"/>
        </w:rPr>
        <w:t xml:space="preserve"> </w:t>
      </w:r>
      <w:r>
        <w:rPr>
          <w:spacing w:val="3"/>
        </w:rPr>
        <w:t>PINTO</w:t>
      </w:r>
      <w:r>
        <w:rPr>
          <w:spacing w:val="2"/>
        </w:rPr>
        <w:t xml:space="preserve"> </w:t>
      </w:r>
      <w:r>
        <w:rPr>
          <w:spacing w:val="3"/>
        </w:rPr>
        <w:t>FILHO,</w:t>
      </w:r>
      <w:r>
        <w:rPr>
          <w:spacing w:val="2"/>
        </w:rPr>
        <w:t xml:space="preserve"> </w:t>
      </w:r>
      <w:r>
        <w:rPr>
          <w:spacing w:val="5"/>
        </w:rPr>
        <w:t>2010).</w:t>
      </w:r>
    </w:p>
    <w:p w:rsidR="00D81F69" w:rsidRDefault="00330118">
      <w:pPr>
        <w:pStyle w:val="Corpodetexto"/>
        <w:spacing w:before="139" w:line="312" w:lineRule="auto"/>
        <w:ind w:right="210"/>
      </w:pPr>
      <w:r>
        <w:t>A Gerência de Ge</w:t>
      </w:r>
      <w:r>
        <w:t>stão Ambiental da Prefeitura de Mossoró realizou, em meados de 2005, o diagnóstico da área de preservação permanente do rio Mossoró (100 metros a partir da sua margem) e revelou fatos preocupantes sobre sua parte urbana. O estudo serviu de subsídio para um</w:t>
      </w:r>
      <w:r>
        <w:t xml:space="preserve"> grupo liderado pelo Ministério Público — e integrado pela Prefeitura, Idema e Ibama — elaborar programas de redução da poluição do rio (CÂMARA et al., 2007).</w:t>
      </w:r>
    </w:p>
    <w:p w:rsidR="00D81F69" w:rsidRDefault="00330118">
      <w:pPr>
        <w:pStyle w:val="Corpodetexto"/>
        <w:spacing w:before="137" w:line="312" w:lineRule="auto"/>
        <w:ind w:right="206"/>
      </w:pPr>
      <w:r>
        <w:t>As ações começaram a ser realizadas nos primeiros meses de 2006, incluindo a retirada sistemática</w:t>
      </w:r>
      <w:r>
        <w:t xml:space="preserve"> dos aguapés a cada </w:t>
      </w:r>
      <w:r>
        <w:rPr>
          <w:spacing w:val="6"/>
        </w:rPr>
        <w:t xml:space="preserve">três </w:t>
      </w:r>
      <w:r>
        <w:rPr>
          <w:spacing w:val="7"/>
        </w:rPr>
        <w:t xml:space="preserve">meses, </w:t>
      </w:r>
      <w:r>
        <w:t xml:space="preserve">e </w:t>
      </w:r>
      <w:r>
        <w:rPr>
          <w:spacing w:val="5"/>
        </w:rPr>
        <w:t xml:space="preserve">uma </w:t>
      </w:r>
      <w:r>
        <w:rPr>
          <w:spacing w:val="7"/>
        </w:rPr>
        <w:t xml:space="preserve">série </w:t>
      </w:r>
      <w:r>
        <w:rPr>
          <w:spacing w:val="5"/>
        </w:rPr>
        <w:t xml:space="preserve">de </w:t>
      </w:r>
      <w:r>
        <w:rPr>
          <w:spacing w:val="8"/>
        </w:rPr>
        <w:t xml:space="preserve">audiências </w:t>
      </w:r>
      <w:r>
        <w:rPr>
          <w:spacing w:val="7"/>
        </w:rPr>
        <w:t xml:space="preserve">públicas </w:t>
      </w:r>
      <w:r>
        <w:rPr>
          <w:spacing w:val="10"/>
        </w:rPr>
        <w:t xml:space="preserve">com representantes </w:t>
      </w:r>
      <w:r>
        <w:rPr>
          <w:spacing w:val="6"/>
        </w:rPr>
        <w:t xml:space="preserve">das </w:t>
      </w:r>
      <w:r>
        <w:rPr>
          <w:spacing w:val="8"/>
        </w:rPr>
        <w:t xml:space="preserve">diferentes atividades </w:t>
      </w:r>
      <w:r>
        <w:rPr>
          <w:spacing w:val="10"/>
        </w:rPr>
        <w:t xml:space="preserve">econômicas </w:t>
      </w:r>
      <w:r>
        <w:t xml:space="preserve">instaladas na área de preservação permanente do rio, com o </w:t>
      </w:r>
      <w:r>
        <w:rPr>
          <w:spacing w:val="3"/>
        </w:rPr>
        <w:t xml:space="preserve">objetivo </w:t>
      </w:r>
      <w:r>
        <w:rPr>
          <w:spacing w:val="1"/>
        </w:rPr>
        <w:t xml:space="preserve">de </w:t>
      </w:r>
      <w:r>
        <w:rPr>
          <w:spacing w:val="3"/>
        </w:rPr>
        <w:t xml:space="preserve">acabar </w:t>
      </w:r>
      <w:r>
        <w:rPr>
          <w:spacing w:val="2"/>
        </w:rPr>
        <w:t xml:space="preserve">com </w:t>
      </w:r>
      <w:r>
        <w:rPr>
          <w:spacing w:val="1"/>
        </w:rPr>
        <w:t xml:space="preserve">as </w:t>
      </w:r>
      <w:r>
        <w:rPr>
          <w:spacing w:val="3"/>
        </w:rPr>
        <w:t xml:space="preserve">atividades industriais </w:t>
      </w:r>
      <w:r>
        <w:rPr>
          <w:spacing w:val="2"/>
        </w:rPr>
        <w:t xml:space="preserve">nas </w:t>
      </w:r>
      <w:r>
        <w:rPr>
          <w:spacing w:val="5"/>
        </w:rPr>
        <w:t xml:space="preserve">suas </w:t>
      </w:r>
      <w:r>
        <w:rPr>
          <w:spacing w:val="1"/>
        </w:rPr>
        <w:t xml:space="preserve">margens </w:t>
      </w:r>
      <w:r>
        <w:t xml:space="preserve">e </w:t>
      </w:r>
      <w:r>
        <w:rPr>
          <w:spacing w:val="1"/>
        </w:rPr>
        <w:t>reduzi</w:t>
      </w:r>
      <w:r>
        <w:rPr>
          <w:spacing w:val="1"/>
        </w:rPr>
        <w:t xml:space="preserve">r </w:t>
      </w:r>
      <w:r>
        <w:t xml:space="preserve">a </w:t>
      </w:r>
      <w:r>
        <w:rPr>
          <w:spacing w:val="1"/>
        </w:rPr>
        <w:t xml:space="preserve">poluição. Além disso, </w:t>
      </w:r>
      <w:r>
        <w:t xml:space="preserve">a </w:t>
      </w:r>
      <w:r>
        <w:rPr>
          <w:spacing w:val="1"/>
        </w:rPr>
        <w:t xml:space="preserve">prefeitura </w:t>
      </w:r>
      <w:r>
        <w:rPr>
          <w:spacing w:val="2"/>
        </w:rPr>
        <w:t xml:space="preserve">deu </w:t>
      </w:r>
      <w:r>
        <w:t xml:space="preserve">início, no mesmo ano, a uma campanha com divulgação na </w:t>
      </w:r>
      <w:r>
        <w:rPr>
          <w:spacing w:val="5"/>
        </w:rPr>
        <w:t xml:space="preserve">mídia, </w:t>
      </w:r>
      <w:r>
        <w:rPr>
          <w:spacing w:val="6"/>
        </w:rPr>
        <w:t xml:space="preserve">culminando </w:t>
      </w:r>
      <w:r>
        <w:rPr>
          <w:spacing w:val="5"/>
        </w:rPr>
        <w:t xml:space="preserve">com </w:t>
      </w:r>
      <w:r>
        <w:t xml:space="preserve">a </w:t>
      </w:r>
      <w:r>
        <w:rPr>
          <w:spacing w:val="5"/>
        </w:rPr>
        <w:t xml:space="preserve">criação </w:t>
      </w:r>
      <w:r>
        <w:rPr>
          <w:spacing w:val="3"/>
        </w:rPr>
        <w:t xml:space="preserve">de </w:t>
      </w:r>
      <w:r>
        <w:rPr>
          <w:spacing w:val="5"/>
        </w:rPr>
        <w:t xml:space="preserve">cinco Núcleos </w:t>
      </w:r>
      <w:r>
        <w:rPr>
          <w:spacing w:val="7"/>
        </w:rPr>
        <w:t xml:space="preserve">de </w:t>
      </w:r>
      <w:r>
        <w:t>Educação Ambiental sediados em escolas da rede municipal de ensino, que começaram a funcionar simultaneamente ao Programa de Educação Ambiental do município (CÂMARA et al.,</w:t>
      </w:r>
      <w:r>
        <w:rPr>
          <w:spacing w:val="5"/>
        </w:rPr>
        <w:t xml:space="preserve"> </w:t>
      </w:r>
      <w:r>
        <w:t>2007).</w:t>
      </w:r>
    </w:p>
    <w:p w:rsidR="00D81F69" w:rsidRDefault="00330118">
      <w:pPr>
        <w:pStyle w:val="Corpodetexto"/>
        <w:spacing w:before="142" w:line="312" w:lineRule="auto"/>
        <w:ind w:right="205"/>
      </w:pPr>
      <w:r>
        <w:t>Instituições de ensino, como o Centro Federal de Educação Tecnológica (Cefet-RN), Universidade Federal Rural do Semiárido (Ufersa) e Universidade do Estado do Rio Grande do Norte (UERN), também têm dado sua contribuição. O Cefet-RN tem realizado periodicam</w:t>
      </w:r>
      <w:r>
        <w:t>ente análises da água do rio, e sua unidade de Mossoró tem se envolvido nas discussões e desenvolvido projetos de pesquisas na área. A UERN e Ufersa vêm realizando estudos através do Programa</w:t>
      </w:r>
    </w:p>
    <w:p w:rsidR="00D81F69" w:rsidRDefault="00D81F69">
      <w:pPr>
        <w:spacing w:line="312" w:lineRule="auto"/>
        <w:sectPr w:rsidR="00D81F69">
          <w:pgSz w:w="11900" w:h="16840"/>
          <w:pgMar w:top="740" w:right="500" w:bottom="620" w:left="620" w:header="0" w:footer="402" w:gutter="0"/>
          <w:cols w:num="2" w:space="720" w:equalWidth="0">
            <w:col w:w="5163" w:space="307"/>
            <w:col w:w="5310"/>
          </w:cols>
        </w:sectPr>
      </w:pPr>
    </w:p>
    <w:p w:rsidR="00D81F69" w:rsidRDefault="00330118">
      <w:pPr>
        <w:pStyle w:val="Corpodetexto"/>
        <w:spacing w:before="81" w:line="312" w:lineRule="auto"/>
        <w:ind w:right="68"/>
      </w:pPr>
      <w:r>
        <w:lastRenderedPageBreak/>
        <w:t>Petrobras Ambiental. O trabalho pre</w:t>
      </w:r>
      <w:r>
        <w:t>vê o monitoramento da Bacia Hidrográfica do rio Apodi-Mossoró, por meio do zoneamento e manejo de áreas de mata ciliar degradadas e de ações de educação ambiental (CÂMARA et al., 2007).</w:t>
      </w:r>
    </w:p>
    <w:p w:rsidR="00D81F69" w:rsidRDefault="00330118">
      <w:pPr>
        <w:pStyle w:val="Corpodetexto"/>
        <w:spacing w:before="134" w:line="312" w:lineRule="auto"/>
        <w:ind w:right="54"/>
      </w:pPr>
      <w:r>
        <w:rPr>
          <w:spacing w:val="1"/>
        </w:rPr>
        <w:t xml:space="preserve">Além disso, </w:t>
      </w:r>
      <w:r>
        <w:t xml:space="preserve">em </w:t>
      </w:r>
      <w:r>
        <w:rPr>
          <w:spacing w:val="1"/>
        </w:rPr>
        <w:t xml:space="preserve">agosto </w:t>
      </w:r>
      <w:r>
        <w:t xml:space="preserve">de </w:t>
      </w:r>
      <w:r>
        <w:rPr>
          <w:spacing w:val="1"/>
        </w:rPr>
        <w:t xml:space="preserve">2007, </w:t>
      </w:r>
      <w:r>
        <w:t xml:space="preserve">foi </w:t>
      </w:r>
      <w:r>
        <w:rPr>
          <w:spacing w:val="1"/>
        </w:rPr>
        <w:t xml:space="preserve">instalado </w:t>
      </w:r>
      <w:r>
        <w:t xml:space="preserve">em </w:t>
      </w:r>
      <w:r>
        <w:rPr>
          <w:spacing w:val="2"/>
        </w:rPr>
        <w:t xml:space="preserve">Mossoró, </w:t>
      </w:r>
      <w:r>
        <w:t>através da Ge</w:t>
      </w:r>
      <w:r>
        <w:t xml:space="preserve">rência do Meio Ambiente, o Fórum de Defesa  da Bacia Hidrográfica do rio Apodi-Mossoró, que tem como objetivo criar Grupos Coletivos Educadores que funcionarão </w:t>
      </w:r>
      <w:r>
        <w:rPr>
          <w:spacing w:val="2"/>
        </w:rPr>
        <w:t xml:space="preserve">como </w:t>
      </w:r>
      <w:r>
        <w:rPr>
          <w:spacing w:val="3"/>
        </w:rPr>
        <w:t xml:space="preserve">agentes </w:t>
      </w:r>
      <w:r>
        <w:rPr>
          <w:spacing w:val="1"/>
        </w:rPr>
        <w:t xml:space="preserve">de </w:t>
      </w:r>
      <w:r>
        <w:rPr>
          <w:spacing w:val="3"/>
        </w:rPr>
        <w:t xml:space="preserve">defesa </w:t>
      </w:r>
      <w:r>
        <w:rPr>
          <w:spacing w:val="1"/>
        </w:rPr>
        <w:t xml:space="preserve">do </w:t>
      </w:r>
      <w:r>
        <w:rPr>
          <w:spacing w:val="2"/>
        </w:rPr>
        <w:t xml:space="preserve">rio, </w:t>
      </w:r>
      <w:r>
        <w:rPr>
          <w:spacing w:val="3"/>
        </w:rPr>
        <w:t xml:space="preserve">implantando </w:t>
      </w:r>
      <w:r>
        <w:rPr>
          <w:spacing w:val="2"/>
        </w:rPr>
        <w:t xml:space="preserve">uma </w:t>
      </w:r>
      <w:r>
        <w:rPr>
          <w:spacing w:val="5"/>
        </w:rPr>
        <w:t xml:space="preserve">política </w:t>
      </w:r>
      <w:r>
        <w:t>educacional, em todas as comunidades loc</w:t>
      </w:r>
      <w:r>
        <w:t>alizadas ao longo da bacia (CÂMARA et al.,</w:t>
      </w:r>
      <w:r>
        <w:rPr>
          <w:spacing w:val="48"/>
        </w:rPr>
        <w:t xml:space="preserve"> </w:t>
      </w:r>
      <w:r>
        <w:t>2007).</w:t>
      </w:r>
    </w:p>
    <w:p w:rsidR="00D81F69" w:rsidRDefault="00330118">
      <w:pPr>
        <w:pStyle w:val="Corpodetexto"/>
        <w:spacing w:before="136" w:line="312" w:lineRule="auto"/>
        <w:ind w:right="38"/>
      </w:pPr>
      <w:r>
        <w:t xml:space="preserve">Em 2010, um Termo de Ajustamento de Conduta (TAC) foi assinado pelos representantes da empresa Beta Industrial Eletroquímica e do dono do terreno onde ela funcionava. Na área, foi constatada a contaminação </w:t>
      </w:r>
      <w:r>
        <w:t>do solo por metais pesados resultantes das atividades da empresa, principalmente pelo chumbo, que, em altas doses, pode causar anemias e outras desordens do sangue; danos ao sistema nervoso e cérebro; doenças do rim; impotência e esterilidade dentre outros</w:t>
      </w:r>
      <w:r>
        <w:t xml:space="preserve"> problemas (MP-RN, 2010).</w:t>
      </w:r>
    </w:p>
    <w:p w:rsidR="00D81F69" w:rsidRDefault="00330118">
      <w:pPr>
        <w:pStyle w:val="Corpodetexto"/>
        <w:spacing w:before="138" w:line="312" w:lineRule="auto"/>
        <w:ind w:right="51"/>
      </w:pPr>
      <w:r>
        <w:t>No TAC, o Ministério Público definiu o prazo de 30 dias para que a área fosse isolada e identificada com placas de aviso em todas as faces do imóvel, para impedir a aproximação de pessoas da comunidade, especialmente nas áreas dos</w:t>
      </w:r>
      <w:r>
        <w:t xml:space="preserve"> pontos </w:t>
      </w:r>
      <w:r>
        <w:rPr>
          <w:spacing w:val="1"/>
        </w:rPr>
        <w:t xml:space="preserve">de </w:t>
      </w:r>
      <w:r>
        <w:rPr>
          <w:spacing w:val="3"/>
        </w:rPr>
        <w:t xml:space="preserve">coleta. </w:t>
      </w:r>
      <w:r>
        <w:rPr>
          <w:spacing w:val="2"/>
        </w:rPr>
        <w:t xml:space="preserve">Para </w:t>
      </w:r>
      <w:r>
        <w:rPr>
          <w:spacing w:val="3"/>
        </w:rPr>
        <w:t xml:space="preserve">recuperar </w:t>
      </w:r>
      <w:r>
        <w:t xml:space="preserve">o </w:t>
      </w:r>
      <w:r>
        <w:rPr>
          <w:spacing w:val="3"/>
        </w:rPr>
        <w:t xml:space="preserve">local, </w:t>
      </w:r>
      <w:r>
        <w:t xml:space="preserve">a </w:t>
      </w:r>
      <w:r>
        <w:rPr>
          <w:spacing w:val="3"/>
        </w:rPr>
        <w:t xml:space="preserve">Promotoria </w:t>
      </w:r>
      <w:r>
        <w:rPr>
          <w:spacing w:val="1"/>
        </w:rPr>
        <w:t xml:space="preserve">de </w:t>
      </w:r>
      <w:r>
        <w:rPr>
          <w:spacing w:val="5"/>
        </w:rPr>
        <w:t xml:space="preserve">Justiça </w:t>
      </w:r>
      <w:r>
        <w:t xml:space="preserve">propôs ainda a elaboração de um Plano de Recuperação de </w:t>
      </w:r>
      <w:r>
        <w:rPr>
          <w:spacing w:val="5"/>
        </w:rPr>
        <w:t xml:space="preserve">Área </w:t>
      </w:r>
      <w:r>
        <w:rPr>
          <w:spacing w:val="6"/>
        </w:rPr>
        <w:t xml:space="preserve">Degradada </w:t>
      </w:r>
      <w:r>
        <w:rPr>
          <w:spacing w:val="5"/>
        </w:rPr>
        <w:t xml:space="preserve">(PRAD). Além disso, </w:t>
      </w:r>
      <w:r>
        <w:rPr>
          <w:spacing w:val="3"/>
        </w:rPr>
        <w:t xml:space="preserve">os </w:t>
      </w:r>
      <w:r>
        <w:rPr>
          <w:spacing w:val="7"/>
        </w:rPr>
        <w:t xml:space="preserve">responsáveis </w:t>
      </w:r>
      <w:r>
        <w:rPr>
          <w:spacing w:val="1"/>
        </w:rPr>
        <w:t xml:space="preserve">deveriam apresentar análises semestrais </w:t>
      </w:r>
      <w:r>
        <w:t xml:space="preserve">do </w:t>
      </w:r>
      <w:r>
        <w:rPr>
          <w:spacing w:val="1"/>
        </w:rPr>
        <w:t xml:space="preserve">solo, </w:t>
      </w:r>
      <w:r>
        <w:t xml:space="preserve">a fim </w:t>
      </w:r>
      <w:r>
        <w:rPr>
          <w:spacing w:val="2"/>
        </w:rPr>
        <w:t xml:space="preserve">de </w:t>
      </w:r>
      <w:r>
        <w:rPr>
          <w:spacing w:val="5"/>
        </w:rPr>
        <w:t xml:space="preserve">avaliar </w:t>
      </w:r>
      <w:r>
        <w:t xml:space="preserve">a </w:t>
      </w:r>
      <w:r>
        <w:rPr>
          <w:spacing w:val="5"/>
        </w:rPr>
        <w:t xml:space="preserve">eficácia </w:t>
      </w:r>
      <w:r>
        <w:rPr>
          <w:spacing w:val="3"/>
        </w:rPr>
        <w:t xml:space="preserve">das </w:t>
      </w:r>
      <w:r>
        <w:rPr>
          <w:spacing w:val="5"/>
        </w:rPr>
        <w:t>t</w:t>
      </w:r>
      <w:r>
        <w:rPr>
          <w:spacing w:val="5"/>
        </w:rPr>
        <w:t xml:space="preserve">écnicas </w:t>
      </w:r>
      <w:r>
        <w:rPr>
          <w:spacing w:val="2"/>
        </w:rPr>
        <w:t xml:space="preserve">de </w:t>
      </w:r>
      <w:r>
        <w:rPr>
          <w:spacing w:val="5"/>
        </w:rPr>
        <w:t xml:space="preserve">remediação utilizadas, </w:t>
      </w:r>
      <w:r>
        <w:t>devendo, caso constatada sua ineficácia, apresentar medidas complementares (MP-RN,</w:t>
      </w:r>
      <w:r>
        <w:rPr>
          <w:spacing w:val="5"/>
        </w:rPr>
        <w:t xml:space="preserve"> </w:t>
      </w:r>
      <w:r>
        <w:t>2010).</w:t>
      </w:r>
    </w:p>
    <w:p w:rsidR="00D81F69" w:rsidRDefault="00330118">
      <w:pPr>
        <w:pStyle w:val="Corpodetexto"/>
        <w:spacing w:before="140" w:line="312" w:lineRule="auto"/>
        <w:ind w:right="69"/>
      </w:pPr>
      <w:r>
        <w:t>Apesar desses avanços, muito ainda precisa ser feito pelo poder público municipal, pelo Ministério Público e pela sociedade para rec</w:t>
      </w:r>
      <w:r>
        <w:t>uperação da bacia do rio Apodi-Mossoró (CÂMARA et al., 2007).</w:t>
      </w:r>
    </w:p>
    <w:p w:rsidR="00D81F69" w:rsidRDefault="00D81F69">
      <w:pPr>
        <w:pStyle w:val="Corpodetexto"/>
        <w:spacing w:before="4"/>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77"/>
      </w:pPr>
      <w:r>
        <w:t>O município de Mossoró está localizado na bacia hidrográfica do Rio Apodi-Mossoró, entre as latitudes 5°29’50”S – 4°52”44”S e longitudes 37°07’20”W – 37°35’01”W.</w:t>
      </w:r>
    </w:p>
    <w:p w:rsidR="00D81F69" w:rsidRDefault="00D81F69">
      <w:pPr>
        <w:pStyle w:val="Corpodetexto"/>
        <w:ind w:left="0"/>
        <w:jc w:val="left"/>
        <w:rPr>
          <w:sz w:val="29"/>
        </w:rPr>
      </w:pPr>
    </w:p>
    <w:p w:rsidR="00D81F69" w:rsidRDefault="00330118">
      <w:pPr>
        <w:pStyle w:val="Heading7"/>
      </w:pPr>
      <w:r>
        <w:t>REDATOR</w:t>
      </w:r>
      <w:r>
        <w:t>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ind w:left="100"/>
        <w:jc w:val="both"/>
        <w:rPr>
          <w:sz w:val="16"/>
        </w:rPr>
      </w:pPr>
      <w:r>
        <w:rPr>
          <w:sz w:val="16"/>
        </w:rPr>
        <w:t>ALMEIDA, Rigno da S.; VIEIRA, Heider D.; CASTRO, Carlos F. S.;</w:t>
      </w:r>
    </w:p>
    <w:p w:rsidR="00D81F69" w:rsidRDefault="00330118">
      <w:pPr>
        <w:spacing w:before="70"/>
        <w:ind w:left="100"/>
        <w:jc w:val="both"/>
        <w:rPr>
          <w:sz w:val="16"/>
        </w:rPr>
      </w:pPr>
      <w:r>
        <w:br w:type="column"/>
      </w:r>
      <w:r>
        <w:rPr>
          <w:sz w:val="16"/>
        </w:rPr>
        <w:lastRenderedPageBreak/>
        <w:t>ZARA, Luiz F.; OLIVEIRA, Thiago M. B. F.; CASTRO, Suely S. L. de.</w:t>
      </w:r>
    </w:p>
    <w:p w:rsidR="00D81F69" w:rsidRDefault="00330118">
      <w:pPr>
        <w:spacing w:before="56" w:line="312" w:lineRule="auto"/>
        <w:ind w:left="100" w:right="182"/>
        <w:jc w:val="both"/>
        <w:rPr>
          <w:sz w:val="16"/>
        </w:rPr>
      </w:pPr>
      <w:r>
        <w:rPr>
          <w:sz w:val="16"/>
        </w:rPr>
        <w:t xml:space="preserve">Análise de metais nos sedimentos da bacia hidrográfica Apodi- Mossoró/RN. In: 28ª Reunião Anual da Sociedade Brasileira de Química;  Poços  de   Caldas,  MG,   2005.  Disponível  em: </w:t>
      </w:r>
    </w:p>
    <w:p w:rsidR="00D81F69" w:rsidRDefault="00D81F69">
      <w:pPr>
        <w:spacing w:before="2" w:line="312" w:lineRule="auto"/>
        <w:ind w:left="100" w:right="196"/>
        <w:jc w:val="both"/>
        <w:rPr>
          <w:sz w:val="16"/>
        </w:rPr>
      </w:pPr>
      <w:hyperlink r:id="rId816">
        <w:r w:rsidR="00330118">
          <w:rPr>
            <w:sz w:val="16"/>
          </w:rPr>
          <w:t>&lt;htt</w:t>
        </w:r>
        <w:r w:rsidR="00330118">
          <w:rPr>
            <w:sz w:val="16"/>
          </w:rPr>
          <w:t xml:space="preserve">p://www.cprm.gov.br/publique/media/Painel42.pdf&gt;. </w:t>
        </w:r>
      </w:hyperlink>
      <w:r w:rsidR="00330118">
        <w:rPr>
          <w:sz w:val="16"/>
        </w:rPr>
        <w:t>Acesso em: 16 dez.</w:t>
      </w:r>
      <w:r w:rsidR="00330118">
        <w:rPr>
          <w:spacing w:val="25"/>
          <w:sz w:val="16"/>
        </w:rPr>
        <w:t xml:space="preserve"> </w:t>
      </w:r>
      <w:r w:rsidR="00330118">
        <w:rPr>
          <w:sz w:val="16"/>
        </w:rPr>
        <w:t>2010.</w:t>
      </w:r>
    </w:p>
    <w:p w:rsidR="00D81F69" w:rsidRDefault="00330118">
      <w:pPr>
        <w:spacing w:before="2" w:line="312" w:lineRule="auto"/>
        <w:ind w:left="100" w:right="192"/>
        <w:jc w:val="both"/>
        <w:rPr>
          <w:sz w:val="16"/>
        </w:rPr>
      </w:pPr>
      <w:r>
        <w:rPr>
          <w:sz w:val="16"/>
        </w:rPr>
        <w:t xml:space="preserve">ALVES, Cezar. RN tem maior reserva de calcário do Brasil. In: Oeste News, ago. 2009. Disponível em: </w:t>
      </w:r>
      <w:hyperlink r:id="rId817">
        <w:r>
          <w:rPr>
            <w:sz w:val="16"/>
          </w:rPr>
          <w:t xml:space="preserve">&lt;http://oestenews- </w:t>
        </w:r>
      </w:hyperlink>
      <w:r>
        <w:rPr>
          <w:sz w:val="16"/>
        </w:rPr>
        <w:t>economia.blogspot.com/2009</w:t>
      </w:r>
      <w:r>
        <w:rPr>
          <w:sz w:val="16"/>
        </w:rPr>
        <w:t>/08/rn-tem-maior-reserva-de-calcario- do.html&gt;. Acesso em: 16 dez. 2010.</w:t>
      </w:r>
    </w:p>
    <w:p w:rsidR="00D81F69" w:rsidRDefault="00330118">
      <w:pPr>
        <w:spacing w:before="3" w:line="312" w:lineRule="auto"/>
        <w:ind w:left="100" w:right="136"/>
        <w:jc w:val="both"/>
        <w:rPr>
          <w:sz w:val="16"/>
        </w:rPr>
      </w:pPr>
      <w:r>
        <w:rPr>
          <w:spacing w:val="1"/>
          <w:sz w:val="16"/>
        </w:rPr>
        <w:t xml:space="preserve">ARAÚJO, João Batista </w:t>
      </w:r>
      <w:r>
        <w:rPr>
          <w:sz w:val="16"/>
        </w:rPr>
        <w:t xml:space="preserve">dos </w:t>
      </w:r>
      <w:r>
        <w:rPr>
          <w:spacing w:val="1"/>
          <w:sz w:val="16"/>
        </w:rPr>
        <w:t xml:space="preserve">Santos; PINTO FILHO, Jorge Luis </w:t>
      </w:r>
      <w:r>
        <w:rPr>
          <w:spacing w:val="2"/>
          <w:sz w:val="16"/>
        </w:rPr>
        <w:t xml:space="preserve">de </w:t>
      </w:r>
      <w:r>
        <w:rPr>
          <w:sz w:val="16"/>
        </w:rPr>
        <w:t xml:space="preserve">Oliveira. Identificação de fontes poluidoras de metais pesados </w:t>
      </w:r>
      <w:r>
        <w:rPr>
          <w:spacing w:val="1"/>
          <w:sz w:val="16"/>
        </w:rPr>
        <w:t xml:space="preserve">nos </w:t>
      </w:r>
      <w:r>
        <w:rPr>
          <w:sz w:val="16"/>
        </w:rPr>
        <w:t xml:space="preserve">solos da bacia hidrográfica do rio Apodi-Mossoró/RN, na </w:t>
      </w:r>
      <w:r>
        <w:rPr>
          <w:sz w:val="16"/>
        </w:rPr>
        <w:t xml:space="preserve">área urbana </w:t>
      </w:r>
      <w:r>
        <w:rPr>
          <w:spacing w:val="7"/>
          <w:sz w:val="16"/>
        </w:rPr>
        <w:t xml:space="preserve">de </w:t>
      </w:r>
      <w:r>
        <w:rPr>
          <w:spacing w:val="15"/>
          <w:sz w:val="16"/>
        </w:rPr>
        <w:t xml:space="preserve">Mossoró-RN. </w:t>
      </w:r>
      <w:r>
        <w:rPr>
          <w:spacing w:val="10"/>
          <w:sz w:val="16"/>
        </w:rPr>
        <w:t>In:</w:t>
      </w:r>
      <w:r>
        <w:rPr>
          <w:spacing w:val="65"/>
          <w:sz w:val="16"/>
        </w:rPr>
        <w:t xml:space="preserve"> </w:t>
      </w:r>
      <w:r>
        <w:rPr>
          <w:spacing w:val="13"/>
          <w:sz w:val="16"/>
        </w:rPr>
        <w:t xml:space="preserve">Revista </w:t>
      </w:r>
      <w:r>
        <w:rPr>
          <w:spacing w:val="12"/>
          <w:sz w:val="16"/>
        </w:rPr>
        <w:t xml:space="preserve">Verde </w:t>
      </w:r>
      <w:r>
        <w:rPr>
          <w:spacing w:val="7"/>
          <w:sz w:val="16"/>
        </w:rPr>
        <w:t xml:space="preserve">de </w:t>
      </w:r>
      <w:r>
        <w:rPr>
          <w:spacing w:val="15"/>
          <w:sz w:val="16"/>
        </w:rPr>
        <w:t xml:space="preserve">Agroecologia </w:t>
      </w:r>
      <w:r>
        <w:rPr>
          <w:sz w:val="16"/>
        </w:rPr>
        <w:t xml:space="preserve">e Desenvolvimento Sustentável, Mossoró (RN), v. 5, n. 2, p. 80 - </w:t>
      </w:r>
      <w:r>
        <w:rPr>
          <w:spacing w:val="1"/>
          <w:sz w:val="16"/>
        </w:rPr>
        <w:t xml:space="preserve">94,      </w:t>
      </w:r>
      <w:r>
        <w:rPr>
          <w:spacing w:val="17"/>
          <w:sz w:val="16"/>
        </w:rPr>
        <w:t>a</w:t>
      </w:r>
      <w:r>
        <w:rPr>
          <w:sz w:val="16"/>
        </w:rPr>
        <w:t xml:space="preserve"> </w:t>
      </w:r>
      <w:r>
        <w:rPr>
          <w:spacing w:val="17"/>
          <w:sz w:val="16"/>
        </w:rPr>
        <w:t>b</w:t>
      </w:r>
      <w:r>
        <w:rPr>
          <w:sz w:val="16"/>
        </w:rPr>
        <w:t xml:space="preserve"> </w:t>
      </w:r>
      <w:r>
        <w:rPr>
          <w:spacing w:val="17"/>
          <w:sz w:val="16"/>
        </w:rPr>
        <w:t>r</w:t>
      </w:r>
      <w:r>
        <w:rPr>
          <w:sz w:val="16"/>
        </w:rPr>
        <w:t xml:space="preserve"> .</w:t>
      </w:r>
      <w:r>
        <w:rPr>
          <w:spacing w:val="23"/>
          <w:sz w:val="16"/>
        </w:rPr>
        <w:t xml:space="preserve"> </w:t>
      </w:r>
      <w:r>
        <w:rPr>
          <w:sz w:val="16"/>
        </w:rPr>
        <w:t>/</w:t>
      </w:r>
      <w:r>
        <w:rPr>
          <w:spacing w:val="23"/>
          <w:sz w:val="16"/>
        </w:rPr>
        <w:t xml:space="preserve"> </w:t>
      </w:r>
      <w:r>
        <w:rPr>
          <w:spacing w:val="17"/>
          <w:sz w:val="16"/>
        </w:rPr>
        <w:t>j</w:t>
      </w:r>
      <w:r>
        <w:rPr>
          <w:sz w:val="16"/>
        </w:rPr>
        <w:t xml:space="preserve"> </w:t>
      </w:r>
      <w:r>
        <w:rPr>
          <w:spacing w:val="17"/>
          <w:sz w:val="16"/>
        </w:rPr>
        <w:t>u</w:t>
      </w:r>
      <w:r>
        <w:rPr>
          <w:sz w:val="16"/>
        </w:rPr>
        <w:t xml:space="preserve"> </w:t>
      </w:r>
      <w:r>
        <w:rPr>
          <w:spacing w:val="17"/>
          <w:sz w:val="16"/>
        </w:rPr>
        <w:t>n</w:t>
      </w:r>
      <w:r>
        <w:rPr>
          <w:sz w:val="16"/>
        </w:rPr>
        <w:t xml:space="preserve"> .</w:t>
      </w:r>
      <w:r>
        <w:rPr>
          <w:spacing w:val="23"/>
          <w:sz w:val="16"/>
        </w:rPr>
        <w:t xml:space="preserve"> </w:t>
      </w:r>
      <w:r>
        <w:rPr>
          <w:spacing w:val="17"/>
          <w:sz w:val="16"/>
        </w:rPr>
        <w:t>2</w:t>
      </w:r>
      <w:r>
        <w:rPr>
          <w:sz w:val="16"/>
        </w:rPr>
        <w:t xml:space="preserve"> </w:t>
      </w:r>
      <w:r>
        <w:rPr>
          <w:spacing w:val="17"/>
          <w:sz w:val="16"/>
        </w:rPr>
        <w:t>0</w:t>
      </w:r>
      <w:r>
        <w:rPr>
          <w:sz w:val="16"/>
        </w:rPr>
        <w:t xml:space="preserve"> </w:t>
      </w:r>
      <w:r>
        <w:rPr>
          <w:spacing w:val="17"/>
          <w:sz w:val="16"/>
        </w:rPr>
        <w:t>1</w:t>
      </w:r>
      <w:r>
        <w:rPr>
          <w:sz w:val="16"/>
        </w:rPr>
        <w:t xml:space="preserve"> </w:t>
      </w:r>
      <w:r>
        <w:rPr>
          <w:spacing w:val="17"/>
          <w:sz w:val="16"/>
        </w:rPr>
        <w:t>0</w:t>
      </w:r>
      <w:r>
        <w:rPr>
          <w:sz w:val="16"/>
        </w:rPr>
        <w:t xml:space="preserve"> .</w:t>
      </w:r>
      <w:r>
        <w:rPr>
          <w:spacing w:val="23"/>
          <w:sz w:val="16"/>
        </w:rPr>
        <w:t xml:space="preserve"> </w:t>
      </w:r>
      <w:r>
        <w:rPr>
          <w:spacing w:val="17"/>
          <w:sz w:val="16"/>
        </w:rPr>
        <w:t>D</w:t>
      </w:r>
      <w:r>
        <w:rPr>
          <w:sz w:val="16"/>
        </w:rPr>
        <w:t xml:space="preserve"> </w:t>
      </w:r>
      <w:r>
        <w:rPr>
          <w:spacing w:val="17"/>
          <w:sz w:val="16"/>
        </w:rPr>
        <w:t>i</w:t>
      </w:r>
      <w:r>
        <w:rPr>
          <w:sz w:val="16"/>
        </w:rPr>
        <w:t xml:space="preserve"> </w:t>
      </w:r>
      <w:r>
        <w:rPr>
          <w:spacing w:val="17"/>
          <w:sz w:val="16"/>
        </w:rPr>
        <w:t>s</w:t>
      </w:r>
      <w:r>
        <w:rPr>
          <w:sz w:val="16"/>
        </w:rPr>
        <w:t xml:space="preserve"> </w:t>
      </w:r>
      <w:r>
        <w:rPr>
          <w:spacing w:val="17"/>
          <w:sz w:val="16"/>
        </w:rPr>
        <w:t>p</w:t>
      </w:r>
      <w:r>
        <w:rPr>
          <w:sz w:val="16"/>
        </w:rPr>
        <w:t xml:space="preserve"> </w:t>
      </w:r>
      <w:r>
        <w:rPr>
          <w:spacing w:val="17"/>
          <w:sz w:val="16"/>
        </w:rPr>
        <w:t>o</w:t>
      </w:r>
      <w:r>
        <w:rPr>
          <w:sz w:val="16"/>
        </w:rPr>
        <w:t xml:space="preserve"> </w:t>
      </w:r>
      <w:r>
        <w:rPr>
          <w:spacing w:val="17"/>
          <w:sz w:val="16"/>
        </w:rPr>
        <w:t>n</w:t>
      </w:r>
      <w:r>
        <w:rPr>
          <w:sz w:val="16"/>
        </w:rPr>
        <w:t xml:space="preserve"> </w:t>
      </w:r>
      <w:r>
        <w:rPr>
          <w:spacing w:val="17"/>
          <w:sz w:val="16"/>
        </w:rPr>
        <w:t>í</w:t>
      </w:r>
      <w:r>
        <w:rPr>
          <w:sz w:val="16"/>
        </w:rPr>
        <w:t xml:space="preserve"> </w:t>
      </w:r>
      <w:r>
        <w:rPr>
          <w:spacing w:val="17"/>
          <w:sz w:val="16"/>
        </w:rPr>
        <w:t>v</w:t>
      </w:r>
      <w:r>
        <w:rPr>
          <w:sz w:val="16"/>
        </w:rPr>
        <w:t xml:space="preserve"> </w:t>
      </w:r>
      <w:r>
        <w:rPr>
          <w:spacing w:val="17"/>
          <w:sz w:val="16"/>
        </w:rPr>
        <w:t>e</w:t>
      </w:r>
      <w:r>
        <w:rPr>
          <w:sz w:val="16"/>
        </w:rPr>
        <w:t xml:space="preserve"> l</w:t>
      </w:r>
      <w:r>
        <w:rPr>
          <w:spacing w:val="23"/>
          <w:sz w:val="16"/>
        </w:rPr>
        <w:t xml:space="preserve"> </w:t>
      </w:r>
      <w:r>
        <w:rPr>
          <w:spacing w:val="17"/>
          <w:sz w:val="16"/>
        </w:rPr>
        <w:t>e</w:t>
      </w:r>
      <w:r>
        <w:rPr>
          <w:sz w:val="16"/>
        </w:rPr>
        <w:t xml:space="preserve"> </w:t>
      </w:r>
      <w:r>
        <w:rPr>
          <w:spacing w:val="17"/>
          <w:sz w:val="16"/>
        </w:rPr>
        <w:t>m</w:t>
      </w:r>
      <w:r>
        <w:rPr>
          <w:sz w:val="16"/>
        </w:rPr>
        <w:t xml:space="preserve"> :</w:t>
      </w:r>
      <w:r>
        <w:rPr>
          <w:spacing w:val="18"/>
          <w:sz w:val="16"/>
        </w:rPr>
        <w:t xml:space="preserve"> </w:t>
      </w:r>
    </w:p>
    <w:p w:rsidR="00D81F69" w:rsidRDefault="00D81F69">
      <w:pPr>
        <w:spacing w:before="5" w:line="312" w:lineRule="auto"/>
        <w:ind w:left="100" w:right="216"/>
        <w:jc w:val="both"/>
        <w:rPr>
          <w:sz w:val="16"/>
        </w:rPr>
      </w:pPr>
      <w:hyperlink r:id="rId818">
        <w:r w:rsidR="00330118">
          <w:rPr>
            <w:sz w:val="16"/>
          </w:rPr>
          <w:t>&lt;http://www.gvaa.com.br/revista/index.php/RVADS/article/viewFile/27</w:t>
        </w:r>
      </w:hyperlink>
      <w:r w:rsidR="00330118">
        <w:rPr>
          <w:sz w:val="16"/>
        </w:rPr>
        <w:t xml:space="preserve"> 7/277&gt;. Acesso em: 16 dez. 2010.</w:t>
      </w:r>
    </w:p>
    <w:p w:rsidR="00D81F69" w:rsidRDefault="00330118">
      <w:pPr>
        <w:spacing w:before="2" w:line="312" w:lineRule="auto"/>
        <w:ind w:left="100" w:right="190"/>
        <w:jc w:val="both"/>
        <w:rPr>
          <w:sz w:val="16"/>
        </w:rPr>
      </w:pPr>
      <w:r>
        <w:rPr>
          <w:sz w:val="16"/>
        </w:rPr>
        <w:t>BARRETO, Bruno. Meio ambiente de Mossoró pode estar comprometido. In: Tec</w:t>
      </w:r>
      <w:r>
        <w:rPr>
          <w:sz w:val="16"/>
        </w:rPr>
        <w:t>nopetro, 30 mar. 2010. Disponível em:</w:t>
      </w:r>
    </w:p>
    <w:p w:rsidR="00D81F69" w:rsidRDefault="00D81F69">
      <w:pPr>
        <w:spacing w:before="1" w:line="312" w:lineRule="auto"/>
        <w:ind w:left="100" w:right="216"/>
        <w:jc w:val="both"/>
        <w:rPr>
          <w:sz w:val="16"/>
        </w:rPr>
      </w:pPr>
      <w:hyperlink r:id="rId819">
        <w:r w:rsidR="00330118">
          <w:rPr>
            <w:sz w:val="16"/>
          </w:rPr>
          <w:t>&lt;http://tecnopetro.webnode.com.br/news/meio-ambiente-de-mossoro-</w:t>
        </w:r>
      </w:hyperlink>
      <w:r w:rsidR="00330118">
        <w:rPr>
          <w:sz w:val="16"/>
        </w:rPr>
        <w:t xml:space="preserve"> pode-estar-comprometido-/&gt;. Acesso em: 16 dez. 2010.</w:t>
      </w:r>
    </w:p>
    <w:p w:rsidR="00D81F69" w:rsidRDefault="00330118">
      <w:pPr>
        <w:spacing w:before="2" w:line="312" w:lineRule="auto"/>
        <w:ind w:left="100" w:right="194"/>
        <w:jc w:val="both"/>
        <w:rPr>
          <w:sz w:val="16"/>
        </w:rPr>
      </w:pPr>
      <w:r>
        <w:rPr>
          <w:sz w:val="16"/>
        </w:rPr>
        <w:t>CÂMARA, James Holly</w:t>
      </w:r>
      <w:r>
        <w:rPr>
          <w:sz w:val="16"/>
        </w:rPr>
        <w:t>fyld Carvalho; SOUZA, Francisco das Chagas Silva; PINHEIRO, Karisa Lorena Carmo B.; BARRETO, Sonní Lemos; ALVES, Gilcean Silva. Crescimento econômico, urbanização e impactos socioambientais: o caso do município de Mossoró-RN, II Congresso de Pesquisa e Ino</w:t>
      </w:r>
      <w:r>
        <w:rPr>
          <w:sz w:val="16"/>
        </w:rPr>
        <w:t>vação da Rede Norte Nordeste de Educação Tecnológica, João Pessoa (PB), 2007. Disponível em:</w:t>
      </w:r>
    </w:p>
    <w:p w:rsidR="00D81F69" w:rsidRDefault="00D81F69">
      <w:pPr>
        <w:spacing w:before="5" w:line="312" w:lineRule="auto"/>
        <w:ind w:left="100" w:right="216"/>
        <w:jc w:val="both"/>
        <w:rPr>
          <w:sz w:val="16"/>
        </w:rPr>
      </w:pPr>
      <w:hyperlink r:id="rId820">
        <w:r w:rsidR="00330118">
          <w:rPr>
            <w:sz w:val="16"/>
          </w:rPr>
          <w:t>&lt;http://www.redenet.edu.br/publicacoes/arquivos/20080213_083245_</w:t>
        </w:r>
      </w:hyperlink>
      <w:r w:rsidR="00330118">
        <w:rPr>
          <w:sz w:val="16"/>
        </w:rPr>
        <w:t xml:space="preserve"> MEIO-056.pdf&gt;</w:t>
      </w:r>
      <w:r w:rsidR="00330118">
        <w:rPr>
          <w:sz w:val="16"/>
        </w:rPr>
        <w:t>. Acesso em: 16 dez. 2010.</w:t>
      </w:r>
    </w:p>
    <w:p w:rsidR="00D81F69" w:rsidRDefault="00330118">
      <w:pPr>
        <w:spacing w:before="1" w:line="312" w:lineRule="auto"/>
        <w:ind w:left="100" w:right="199"/>
        <w:jc w:val="both"/>
        <w:rPr>
          <w:sz w:val="16"/>
        </w:rPr>
      </w:pPr>
      <w:r>
        <w:rPr>
          <w:sz w:val="16"/>
        </w:rPr>
        <w:t>IBGE, Instituto Brasileiro de Geografia e Estatística. Mossoró (RN). In: IBGE Cidades, 2010. Disponível em:</w:t>
      </w:r>
    </w:p>
    <w:p w:rsidR="00D81F69" w:rsidRDefault="00D81F69">
      <w:pPr>
        <w:spacing w:before="2" w:line="312" w:lineRule="auto"/>
        <w:ind w:left="100" w:right="216"/>
        <w:jc w:val="both"/>
        <w:rPr>
          <w:sz w:val="16"/>
        </w:rPr>
      </w:pPr>
      <w:hyperlink r:id="rId821">
        <w:r w:rsidR="00330118">
          <w:rPr>
            <w:sz w:val="16"/>
          </w:rPr>
          <w:t xml:space="preserve">&lt;http://www.ibge.gov.br/cidadesat/topwindow.htm?1&gt;. </w:t>
        </w:r>
      </w:hyperlink>
      <w:r w:rsidR="00330118">
        <w:rPr>
          <w:sz w:val="16"/>
        </w:rPr>
        <w:t>Ace</w:t>
      </w:r>
      <w:r w:rsidR="00330118">
        <w:rPr>
          <w:sz w:val="16"/>
        </w:rPr>
        <w:t>sso em: 16 dez. 2010.</w:t>
      </w:r>
    </w:p>
    <w:p w:rsidR="00D81F69" w:rsidRDefault="00330118">
      <w:pPr>
        <w:spacing w:before="2" w:line="312" w:lineRule="auto"/>
        <w:ind w:left="100" w:right="212"/>
        <w:jc w:val="both"/>
        <w:rPr>
          <w:sz w:val="16"/>
        </w:rPr>
      </w:pPr>
      <w:r>
        <w:rPr>
          <w:sz w:val="16"/>
        </w:rPr>
        <w:t>IDEMA, Instituto de Defesa do Meio Ambiente do Rio Grande do Norte. Relatório de avaliação da situação socioeconômica - ambiental do estuário Apodi-Mossoró, 2008. Acesso em: 16 dez. 2010.</w:t>
      </w:r>
    </w:p>
    <w:p w:rsidR="00D81F69" w:rsidRDefault="00330118">
      <w:pPr>
        <w:tabs>
          <w:tab w:val="left" w:pos="1211"/>
          <w:tab w:val="left" w:pos="2503"/>
          <w:tab w:val="left" w:pos="4639"/>
        </w:tabs>
        <w:spacing w:before="2" w:line="312" w:lineRule="auto"/>
        <w:ind w:left="100" w:right="159"/>
        <w:rPr>
          <w:sz w:val="16"/>
        </w:rPr>
      </w:pPr>
      <w:r>
        <w:rPr>
          <w:sz w:val="16"/>
        </w:rPr>
        <w:t>MP-RN, Ministério Púbico do Rio Grande do Nort</w:t>
      </w:r>
      <w:r>
        <w:rPr>
          <w:sz w:val="16"/>
        </w:rPr>
        <w:t xml:space="preserve">e.TAC vai recuperar </w:t>
      </w:r>
      <w:r>
        <w:rPr>
          <w:spacing w:val="1"/>
          <w:sz w:val="16"/>
        </w:rPr>
        <w:t xml:space="preserve">área contaminada </w:t>
      </w:r>
      <w:r>
        <w:rPr>
          <w:sz w:val="16"/>
        </w:rPr>
        <w:t xml:space="preserve">por  </w:t>
      </w:r>
      <w:r>
        <w:rPr>
          <w:spacing w:val="1"/>
          <w:sz w:val="16"/>
        </w:rPr>
        <w:t xml:space="preserve">chumbo </w:t>
      </w:r>
      <w:r>
        <w:rPr>
          <w:sz w:val="16"/>
        </w:rPr>
        <w:t xml:space="preserve">em  </w:t>
      </w:r>
      <w:r>
        <w:rPr>
          <w:spacing w:val="1"/>
          <w:sz w:val="16"/>
        </w:rPr>
        <w:t xml:space="preserve">Mossoró, Tribuna </w:t>
      </w:r>
      <w:r>
        <w:rPr>
          <w:sz w:val="16"/>
        </w:rPr>
        <w:t xml:space="preserve">do  </w:t>
      </w:r>
      <w:r>
        <w:rPr>
          <w:spacing w:val="1"/>
          <w:sz w:val="16"/>
        </w:rPr>
        <w:t xml:space="preserve">Norte, </w:t>
      </w:r>
      <w:r>
        <w:rPr>
          <w:spacing w:val="2"/>
          <w:sz w:val="16"/>
        </w:rPr>
        <w:t xml:space="preserve">24  </w:t>
      </w:r>
      <w:r>
        <w:rPr>
          <w:spacing w:val="10"/>
          <w:sz w:val="16"/>
        </w:rPr>
        <w:t>m  a</w:t>
      </w:r>
      <w:r>
        <w:rPr>
          <w:spacing w:val="23"/>
          <w:sz w:val="16"/>
        </w:rPr>
        <w:t xml:space="preserve"> </w:t>
      </w:r>
      <w:r>
        <w:rPr>
          <w:spacing w:val="10"/>
          <w:sz w:val="16"/>
        </w:rPr>
        <w:t>r</w:t>
      </w:r>
      <w:r>
        <w:rPr>
          <w:spacing w:val="43"/>
          <w:sz w:val="16"/>
        </w:rPr>
        <w:t xml:space="preserve"> </w:t>
      </w:r>
      <w:r>
        <w:rPr>
          <w:sz w:val="16"/>
        </w:rPr>
        <w:t>.</w:t>
      </w:r>
      <w:r>
        <w:rPr>
          <w:sz w:val="16"/>
        </w:rPr>
        <w:tab/>
      </w:r>
      <w:r>
        <w:rPr>
          <w:spacing w:val="10"/>
          <w:sz w:val="16"/>
        </w:rPr>
        <w:t>2  0  1</w:t>
      </w:r>
      <w:r>
        <w:rPr>
          <w:spacing w:val="3"/>
          <w:sz w:val="16"/>
        </w:rPr>
        <w:t xml:space="preserve"> </w:t>
      </w:r>
      <w:r>
        <w:rPr>
          <w:spacing w:val="10"/>
          <w:sz w:val="16"/>
        </w:rPr>
        <w:t>0</w:t>
      </w:r>
      <w:r>
        <w:rPr>
          <w:spacing w:val="43"/>
          <w:sz w:val="16"/>
        </w:rPr>
        <w:t xml:space="preserve"> </w:t>
      </w:r>
      <w:r>
        <w:rPr>
          <w:sz w:val="16"/>
        </w:rPr>
        <w:t>.</w:t>
      </w:r>
      <w:r>
        <w:rPr>
          <w:sz w:val="16"/>
        </w:rPr>
        <w:tab/>
      </w:r>
      <w:r>
        <w:rPr>
          <w:spacing w:val="10"/>
          <w:sz w:val="16"/>
        </w:rPr>
        <w:t>D</w:t>
      </w:r>
      <w:r>
        <w:rPr>
          <w:spacing w:val="43"/>
          <w:sz w:val="16"/>
        </w:rPr>
        <w:t xml:space="preserve"> </w:t>
      </w:r>
      <w:r>
        <w:rPr>
          <w:spacing w:val="10"/>
          <w:sz w:val="16"/>
        </w:rPr>
        <w:t>i</w:t>
      </w:r>
      <w:r>
        <w:rPr>
          <w:spacing w:val="43"/>
          <w:sz w:val="16"/>
        </w:rPr>
        <w:t xml:space="preserve"> </w:t>
      </w:r>
      <w:r>
        <w:rPr>
          <w:spacing w:val="10"/>
          <w:sz w:val="16"/>
        </w:rPr>
        <w:t>s</w:t>
      </w:r>
      <w:r>
        <w:rPr>
          <w:spacing w:val="43"/>
          <w:sz w:val="16"/>
        </w:rPr>
        <w:t xml:space="preserve"> </w:t>
      </w:r>
      <w:r>
        <w:rPr>
          <w:spacing w:val="10"/>
          <w:sz w:val="16"/>
        </w:rPr>
        <w:t>p</w:t>
      </w:r>
      <w:r>
        <w:rPr>
          <w:spacing w:val="43"/>
          <w:sz w:val="16"/>
        </w:rPr>
        <w:t xml:space="preserve"> </w:t>
      </w:r>
      <w:r>
        <w:rPr>
          <w:spacing w:val="10"/>
          <w:sz w:val="16"/>
        </w:rPr>
        <w:t>o</w:t>
      </w:r>
      <w:r>
        <w:rPr>
          <w:spacing w:val="43"/>
          <w:sz w:val="16"/>
        </w:rPr>
        <w:t xml:space="preserve"> </w:t>
      </w:r>
      <w:r>
        <w:rPr>
          <w:spacing w:val="10"/>
          <w:sz w:val="16"/>
        </w:rPr>
        <w:t>n</w:t>
      </w:r>
      <w:r>
        <w:rPr>
          <w:spacing w:val="43"/>
          <w:sz w:val="16"/>
        </w:rPr>
        <w:t xml:space="preserve"> </w:t>
      </w:r>
      <w:r>
        <w:rPr>
          <w:spacing w:val="10"/>
          <w:sz w:val="16"/>
        </w:rPr>
        <w:t>í</w:t>
      </w:r>
      <w:r>
        <w:rPr>
          <w:spacing w:val="43"/>
          <w:sz w:val="16"/>
        </w:rPr>
        <w:t xml:space="preserve"> </w:t>
      </w:r>
      <w:r>
        <w:rPr>
          <w:spacing w:val="10"/>
          <w:sz w:val="16"/>
        </w:rPr>
        <w:t>v</w:t>
      </w:r>
      <w:r>
        <w:rPr>
          <w:spacing w:val="43"/>
          <w:sz w:val="16"/>
        </w:rPr>
        <w:t xml:space="preserve"> </w:t>
      </w:r>
      <w:r>
        <w:rPr>
          <w:spacing w:val="10"/>
          <w:sz w:val="16"/>
        </w:rPr>
        <w:t>e</w:t>
      </w:r>
      <w:r>
        <w:rPr>
          <w:spacing w:val="43"/>
          <w:sz w:val="16"/>
        </w:rPr>
        <w:t xml:space="preserve"> </w:t>
      </w:r>
      <w:r>
        <w:rPr>
          <w:sz w:val="16"/>
        </w:rPr>
        <w:t>l</w:t>
      </w:r>
      <w:r>
        <w:rPr>
          <w:sz w:val="16"/>
        </w:rPr>
        <w:tab/>
      </w:r>
      <w:r>
        <w:rPr>
          <w:spacing w:val="10"/>
          <w:sz w:val="16"/>
        </w:rPr>
        <w:t>e m</w:t>
      </w:r>
      <w:r>
        <w:rPr>
          <w:spacing w:val="23"/>
          <w:sz w:val="16"/>
        </w:rPr>
        <w:t xml:space="preserve"> </w:t>
      </w:r>
      <w:r>
        <w:rPr>
          <w:sz w:val="16"/>
        </w:rPr>
        <w:t xml:space="preserve">: </w:t>
      </w:r>
      <w:r>
        <w:rPr>
          <w:spacing w:val="10"/>
          <w:sz w:val="16"/>
        </w:rPr>
        <w:t xml:space="preserve"> </w:t>
      </w:r>
    </w:p>
    <w:p w:rsidR="00D81F69" w:rsidRDefault="00D81F69">
      <w:pPr>
        <w:spacing w:before="3" w:line="312" w:lineRule="auto"/>
        <w:ind w:left="100" w:right="198"/>
        <w:jc w:val="both"/>
        <w:rPr>
          <w:sz w:val="16"/>
        </w:rPr>
      </w:pPr>
      <w:hyperlink r:id="rId822">
        <w:r w:rsidR="00330118">
          <w:rPr>
            <w:sz w:val="16"/>
          </w:rPr>
          <w:t>&lt;</w:t>
        </w:r>
        <w:r w:rsidR="00330118">
          <w:rPr>
            <w:sz w:val="16"/>
          </w:rPr>
          <w:t>http://www.tribunadonorte.com.br/noticia/tac-vai-recuperar-area-</w:t>
        </w:r>
      </w:hyperlink>
      <w:r w:rsidR="00330118">
        <w:rPr>
          <w:sz w:val="16"/>
        </w:rPr>
        <w:t xml:space="preserve"> contaminada-por-chumbo-em-mossoro/143847&gt;. Acesso em: 15 dez. 2010.</w:t>
      </w:r>
    </w:p>
    <w:p w:rsidR="00D81F69" w:rsidRDefault="00330118">
      <w:pPr>
        <w:spacing w:before="2" w:line="312" w:lineRule="auto"/>
        <w:ind w:left="100" w:right="147"/>
        <w:jc w:val="both"/>
        <w:rPr>
          <w:sz w:val="16"/>
        </w:rPr>
      </w:pPr>
      <w:r>
        <w:rPr>
          <w:sz w:val="16"/>
        </w:rPr>
        <w:t xml:space="preserve">OLIVEIRA, Marcos Antônio de; QUEIROZ, Raimundo Alberto Costa.   A </w:t>
      </w:r>
      <w:r>
        <w:rPr>
          <w:spacing w:val="5"/>
          <w:sz w:val="16"/>
        </w:rPr>
        <w:t xml:space="preserve">poluição </w:t>
      </w:r>
      <w:r>
        <w:rPr>
          <w:spacing w:val="2"/>
          <w:sz w:val="16"/>
        </w:rPr>
        <w:t xml:space="preserve">do </w:t>
      </w:r>
      <w:r>
        <w:rPr>
          <w:spacing w:val="3"/>
          <w:sz w:val="16"/>
        </w:rPr>
        <w:t xml:space="preserve">rio </w:t>
      </w:r>
      <w:r>
        <w:rPr>
          <w:spacing w:val="5"/>
          <w:sz w:val="16"/>
        </w:rPr>
        <w:t xml:space="preserve">Mossoró (RN) </w:t>
      </w:r>
      <w:r>
        <w:rPr>
          <w:sz w:val="16"/>
        </w:rPr>
        <w:t xml:space="preserve">e a </w:t>
      </w:r>
      <w:r>
        <w:rPr>
          <w:spacing w:val="5"/>
          <w:sz w:val="16"/>
        </w:rPr>
        <w:t xml:space="preserve">ação intervencionista </w:t>
      </w:r>
      <w:r>
        <w:rPr>
          <w:spacing w:val="6"/>
          <w:sz w:val="16"/>
        </w:rPr>
        <w:t>do</w:t>
      </w:r>
      <w:r>
        <w:rPr>
          <w:spacing w:val="6"/>
          <w:sz w:val="16"/>
        </w:rPr>
        <w:t xml:space="preserve"> </w:t>
      </w:r>
      <w:r>
        <w:rPr>
          <w:sz w:val="16"/>
        </w:rPr>
        <w:t xml:space="preserve">Ministério Público. In: IV Encontro Nacional da Anppas 4,5 e 6 de jun. </w:t>
      </w:r>
      <w:r>
        <w:rPr>
          <w:spacing w:val="5"/>
          <w:sz w:val="16"/>
        </w:rPr>
        <w:t xml:space="preserve">2 0 0 </w:t>
      </w:r>
      <w:r>
        <w:rPr>
          <w:sz w:val="16"/>
        </w:rPr>
        <w:t xml:space="preserve">8 – </w:t>
      </w:r>
      <w:r>
        <w:rPr>
          <w:spacing w:val="5"/>
          <w:sz w:val="16"/>
        </w:rPr>
        <w:t xml:space="preserve">B r a s í l i </w:t>
      </w:r>
      <w:r>
        <w:rPr>
          <w:sz w:val="16"/>
        </w:rPr>
        <w:t xml:space="preserve">a </w:t>
      </w:r>
      <w:r>
        <w:rPr>
          <w:spacing w:val="5"/>
          <w:sz w:val="16"/>
        </w:rPr>
        <w:t xml:space="preserve">( D F ) </w:t>
      </w:r>
      <w:r>
        <w:rPr>
          <w:sz w:val="16"/>
        </w:rPr>
        <w:t xml:space="preserve">. </w:t>
      </w:r>
      <w:r>
        <w:rPr>
          <w:spacing w:val="5"/>
          <w:sz w:val="16"/>
        </w:rPr>
        <w:t xml:space="preserve">D i s p o n í v e </w:t>
      </w:r>
      <w:r>
        <w:rPr>
          <w:sz w:val="16"/>
        </w:rPr>
        <w:t>l</w:t>
      </w:r>
      <w:r>
        <w:rPr>
          <w:spacing w:val="22"/>
          <w:sz w:val="16"/>
        </w:rPr>
        <w:t xml:space="preserve"> </w:t>
      </w:r>
      <w:r>
        <w:rPr>
          <w:spacing w:val="5"/>
          <w:sz w:val="16"/>
        </w:rPr>
        <w:t xml:space="preserve">e m </w:t>
      </w:r>
      <w:r>
        <w:rPr>
          <w:sz w:val="16"/>
        </w:rPr>
        <w:t>:</w:t>
      </w:r>
      <w:r>
        <w:rPr>
          <w:spacing w:val="5"/>
          <w:sz w:val="16"/>
        </w:rPr>
        <w:t xml:space="preserve"> </w:t>
      </w:r>
    </w:p>
    <w:p w:rsidR="00D81F69" w:rsidRDefault="00D81F69">
      <w:pPr>
        <w:spacing w:before="3" w:line="312" w:lineRule="auto"/>
        <w:ind w:left="100" w:right="215"/>
        <w:jc w:val="both"/>
        <w:rPr>
          <w:sz w:val="16"/>
        </w:rPr>
      </w:pPr>
      <w:hyperlink r:id="rId823">
        <w:r w:rsidR="00330118">
          <w:rPr>
            <w:sz w:val="16"/>
          </w:rPr>
          <w:t>&lt;http://www.anppas.org.br/encontro4/cd/ARQU</w:t>
        </w:r>
        <w:r w:rsidR="00330118">
          <w:rPr>
            <w:sz w:val="16"/>
          </w:rPr>
          <w:t>IVOS/GT6-518-1004-</w:t>
        </w:r>
      </w:hyperlink>
      <w:r w:rsidR="00330118">
        <w:rPr>
          <w:sz w:val="16"/>
        </w:rPr>
        <w:t xml:space="preserve"> 20080517230550.pdf&gt;. Acesso em: 16 dez. 2010.</w:t>
      </w:r>
    </w:p>
    <w:p w:rsidR="00D81F69" w:rsidRDefault="00330118">
      <w:pPr>
        <w:spacing w:before="2"/>
        <w:ind w:left="100"/>
        <w:jc w:val="both"/>
        <w:rPr>
          <w:sz w:val="16"/>
        </w:rPr>
      </w:pPr>
      <w:r>
        <w:rPr>
          <w:sz w:val="16"/>
        </w:rPr>
        <w:t xml:space="preserve">PREFEITURA DE MOSSORÓ. Geografia. Disponível em: </w:t>
      </w:r>
    </w:p>
    <w:p w:rsidR="00D81F69" w:rsidRDefault="00D81F69">
      <w:pPr>
        <w:spacing w:before="56" w:line="312" w:lineRule="auto"/>
        <w:ind w:left="100" w:right="195"/>
        <w:jc w:val="both"/>
        <w:rPr>
          <w:sz w:val="16"/>
        </w:rPr>
      </w:pPr>
      <w:hyperlink r:id="rId824">
        <w:r w:rsidR="00330118">
          <w:rPr>
            <w:sz w:val="16"/>
          </w:rPr>
          <w:t>&lt;http://www.prefeiturademossoro.com.br/mossoro_geografia.php&gt;.</w:t>
        </w:r>
      </w:hyperlink>
      <w:r w:rsidR="00330118">
        <w:rPr>
          <w:sz w:val="16"/>
        </w:rPr>
        <w:t xml:space="preserve"> Acesso em: 16 dez. 2010.</w:t>
      </w:r>
    </w:p>
    <w:p w:rsidR="00D81F69" w:rsidRDefault="00330118">
      <w:pPr>
        <w:spacing w:before="2" w:line="312" w:lineRule="auto"/>
        <w:ind w:left="100" w:right="183"/>
        <w:jc w:val="both"/>
        <w:rPr>
          <w:sz w:val="16"/>
        </w:rPr>
      </w:pPr>
      <w:r>
        <w:rPr>
          <w:sz w:val="16"/>
        </w:rPr>
        <w:t xml:space="preserve">RADIALISMO 2005.2. Conheça Mossoró. Aspectos histórico, físico, econômico  e   cultural.  11   mar.   2008.  Disponível  em: </w:t>
      </w:r>
    </w:p>
    <w:p w:rsidR="00D81F69" w:rsidRDefault="00D81F69">
      <w:pPr>
        <w:spacing w:before="1"/>
        <w:ind w:left="100"/>
        <w:jc w:val="both"/>
        <w:rPr>
          <w:sz w:val="16"/>
        </w:rPr>
      </w:pPr>
      <w:hyperlink r:id="rId825">
        <w:r w:rsidR="00330118">
          <w:rPr>
            <w:sz w:val="16"/>
          </w:rPr>
          <w:t>&lt;http://radialismouern.blogspot.com&gt;.</w:t>
        </w:r>
      </w:hyperlink>
      <w:r w:rsidR="00330118">
        <w:rPr>
          <w:sz w:val="16"/>
        </w:rPr>
        <w:t xml:space="preserve"> Acesso em:  1</w:t>
      </w:r>
      <w:r w:rsidR="00330118">
        <w:rPr>
          <w:sz w:val="16"/>
        </w:rPr>
        <w:t>6  dez.  2010.</w:t>
      </w:r>
    </w:p>
    <w:p w:rsidR="00D81F69" w:rsidRDefault="00D81F69">
      <w:pPr>
        <w:jc w:val="both"/>
        <w:rPr>
          <w:sz w:val="16"/>
        </w:rPr>
        <w:sectPr w:rsidR="00D81F69">
          <w:pgSz w:w="11900" w:h="16840"/>
          <w:pgMar w:top="740" w:right="500" w:bottom="720" w:left="620" w:header="0" w:footer="402" w:gutter="0"/>
          <w:cols w:num="2" w:space="720" w:equalWidth="0">
            <w:col w:w="5171" w:space="299"/>
            <w:col w:w="5310"/>
          </w:cols>
        </w:sectPr>
      </w:pPr>
    </w:p>
    <w:p w:rsidR="00D81F69" w:rsidRDefault="00330118">
      <w:pPr>
        <w:pStyle w:val="Heading1"/>
        <w:spacing w:line="208" w:lineRule="auto"/>
      </w:pPr>
      <w:r>
        <w:rPr>
          <w:spacing w:val="3"/>
        </w:rPr>
        <w:lastRenderedPageBreak/>
        <w:t xml:space="preserve">Mineração contribui </w:t>
      </w:r>
      <w:r>
        <w:rPr>
          <w:spacing w:val="2"/>
        </w:rPr>
        <w:t xml:space="preserve">para </w:t>
      </w:r>
      <w:r>
        <w:rPr>
          <w:spacing w:val="3"/>
        </w:rPr>
        <w:t xml:space="preserve">processo </w:t>
      </w:r>
      <w:r>
        <w:rPr>
          <w:spacing w:val="1"/>
        </w:rPr>
        <w:t xml:space="preserve">de </w:t>
      </w:r>
      <w:r>
        <w:rPr>
          <w:spacing w:val="5"/>
        </w:rPr>
        <w:t xml:space="preserve">desertificação </w:t>
      </w:r>
      <w:r>
        <w:rPr>
          <w:spacing w:val="1"/>
        </w:rPr>
        <w:t xml:space="preserve">no </w:t>
      </w:r>
      <w:r>
        <w:rPr>
          <w:spacing w:val="3"/>
        </w:rPr>
        <w:t>Seridó</w:t>
      </w:r>
      <w:r>
        <w:rPr>
          <w:spacing w:val="60"/>
        </w:rPr>
        <w:t xml:space="preserve"> </w:t>
      </w:r>
      <w:r>
        <w:rPr>
          <w:spacing w:val="5"/>
        </w:rPr>
        <w:t>potiguar</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7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RN - Acari</w:t>
      </w:r>
    </w:p>
    <w:p w:rsidR="00D81F69" w:rsidRDefault="00330118">
      <w:pPr>
        <w:spacing w:before="49" w:line="312" w:lineRule="auto"/>
        <w:ind w:left="135" w:right="20"/>
        <w:rPr>
          <w:i/>
          <w:sz w:val="14"/>
        </w:rPr>
      </w:pPr>
      <w:r>
        <w:rPr>
          <w:i/>
          <w:sz w:val="14"/>
        </w:rPr>
        <w:t>RN - Carnaúba dos Dantas RN - Cruzeta</w:t>
      </w:r>
    </w:p>
    <w:p w:rsidR="00D81F69" w:rsidRDefault="00330118">
      <w:pPr>
        <w:spacing w:before="2" w:line="312" w:lineRule="auto"/>
        <w:ind w:left="135" w:right="495"/>
        <w:rPr>
          <w:i/>
          <w:sz w:val="14"/>
        </w:rPr>
      </w:pPr>
      <w:r>
        <w:rPr>
          <w:i/>
          <w:sz w:val="14"/>
        </w:rPr>
        <w:t>RN - Currais Novos RN - Equador</w:t>
      </w:r>
    </w:p>
    <w:p w:rsidR="00D81F69" w:rsidRDefault="00330118">
      <w:pPr>
        <w:spacing w:before="1" w:line="312" w:lineRule="auto"/>
        <w:ind w:left="135" w:right="324"/>
        <w:rPr>
          <w:i/>
          <w:sz w:val="14"/>
        </w:rPr>
      </w:pPr>
      <w:r>
        <w:rPr>
          <w:i/>
          <w:sz w:val="14"/>
        </w:rPr>
        <w:t xml:space="preserve">RN - Jardim do Seridó </w:t>
      </w:r>
      <w:r>
        <w:rPr>
          <w:i/>
          <w:sz w:val="14"/>
        </w:rPr>
        <w:t>RN - Ouro Branco</w:t>
      </w:r>
    </w:p>
    <w:p w:rsidR="00D81F69" w:rsidRDefault="00330118">
      <w:pPr>
        <w:spacing w:before="1"/>
        <w:ind w:left="135"/>
        <w:rPr>
          <w:i/>
          <w:sz w:val="14"/>
        </w:rPr>
      </w:pPr>
      <w:r>
        <w:rPr>
          <w:i/>
          <w:sz w:val="14"/>
        </w:rPr>
        <w:t>RN - Parelhas</w:t>
      </w:r>
    </w:p>
    <w:p w:rsidR="00D81F69" w:rsidRDefault="00330118">
      <w:pPr>
        <w:spacing w:before="49" w:line="312" w:lineRule="auto"/>
        <w:ind w:left="135" w:right="160"/>
        <w:rPr>
          <w:i/>
          <w:sz w:val="14"/>
        </w:rPr>
      </w:pPr>
      <w:r>
        <w:rPr>
          <w:i/>
          <w:sz w:val="14"/>
        </w:rPr>
        <w:t>RN - Santana do Seridó RN - São José do Seridó</w:t>
      </w:r>
    </w:p>
    <w:p w:rsidR="00D81F69" w:rsidRDefault="00D81F69">
      <w:pPr>
        <w:pStyle w:val="Corpodetexto"/>
        <w:spacing w:before="5"/>
        <w:ind w:left="0"/>
        <w:jc w:val="left"/>
        <w:rPr>
          <w:i/>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-6,9113</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-36,3322</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3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O Seridó potiguar é um dos exemplos </w:t>
      </w:r>
      <w:r>
        <w:rPr>
          <w:i/>
          <w:sz w:val="16"/>
        </w:rPr>
        <w:t>mais graves de desertificação no Nordeste. Além dos fatores climáticos, como a baixa pluviosidade, algumas atividades como a mineração e a cerâmica contribuem para agravar o quadro. Na região destaca-se a produção de scheelita e também ocorrem lavras de ca</w:t>
      </w:r>
      <w:r>
        <w:rPr>
          <w:i/>
          <w:sz w:val="16"/>
        </w:rPr>
        <w:t>ulim, quartzo e feldspato nas rochas pegmatíticas do Seridó-Borborema, que são utilizados nas atividades ceramistas.</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4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82"/>
      </w:pPr>
      <w:r>
        <w:t xml:space="preserve">No Seridó, que em 1989 foi dividido pelo Instituto Brasileiro de </w:t>
      </w:r>
      <w:r>
        <w:rPr>
          <w:spacing w:val="5"/>
        </w:rPr>
        <w:t xml:space="preserve">Geografia </w:t>
      </w:r>
      <w:r>
        <w:t xml:space="preserve">e </w:t>
      </w:r>
      <w:r>
        <w:rPr>
          <w:spacing w:val="5"/>
        </w:rPr>
        <w:t xml:space="preserve">Estatísticas (IBGE) </w:t>
      </w:r>
      <w:r>
        <w:rPr>
          <w:spacing w:val="2"/>
        </w:rPr>
        <w:t xml:space="preserve">em </w:t>
      </w:r>
      <w:r>
        <w:rPr>
          <w:spacing w:val="5"/>
        </w:rPr>
        <w:t xml:space="preserve">duas </w:t>
      </w:r>
      <w:r>
        <w:rPr>
          <w:spacing w:val="6"/>
        </w:rPr>
        <w:t xml:space="preserve">microrregiões </w:t>
      </w:r>
      <w:r>
        <w:rPr>
          <w:spacing w:val="10"/>
        </w:rPr>
        <w:t xml:space="preserve">geográficas </w:t>
      </w:r>
      <w:r>
        <w:t xml:space="preserve">– </w:t>
      </w:r>
      <w:r>
        <w:rPr>
          <w:spacing w:val="10"/>
        </w:rPr>
        <w:t xml:space="preserve">Seridó Oriental </w:t>
      </w:r>
      <w:r>
        <w:t xml:space="preserve">e </w:t>
      </w:r>
      <w:r>
        <w:rPr>
          <w:spacing w:val="10"/>
        </w:rPr>
        <w:t xml:space="preserve">Seridó Ocidental </w:t>
      </w:r>
      <w:r>
        <w:rPr>
          <w:spacing w:val="12"/>
        </w:rPr>
        <w:t xml:space="preserve">–, </w:t>
      </w:r>
      <w:r>
        <w:t xml:space="preserve">encontram-se três distritos mineiros (MINISTÉRIO DO MEIO </w:t>
      </w:r>
      <w:r>
        <w:rPr>
          <w:spacing w:val="5"/>
        </w:rPr>
        <w:t xml:space="preserve">AMBIENTE, 2005), </w:t>
      </w:r>
      <w:r>
        <w:rPr>
          <w:spacing w:val="3"/>
        </w:rPr>
        <w:t xml:space="preserve">com </w:t>
      </w:r>
      <w:r>
        <w:rPr>
          <w:spacing w:val="5"/>
        </w:rPr>
        <w:t xml:space="preserve">destaque </w:t>
      </w:r>
      <w:r>
        <w:rPr>
          <w:spacing w:val="3"/>
        </w:rPr>
        <w:t xml:space="preserve">para </w:t>
      </w:r>
      <w:r>
        <w:rPr>
          <w:spacing w:val="2"/>
        </w:rPr>
        <w:t xml:space="preserve">as </w:t>
      </w:r>
      <w:r>
        <w:rPr>
          <w:spacing w:val="5"/>
        </w:rPr>
        <w:t xml:space="preserve">produções de </w:t>
      </w:r>
      <w:r>
        <w:t>scheelita [minério que é base para a produção do tungstênio (IBRAM, 2007)] e pegmatitas [rocha ígnea de grão grosseiro na</w:t>
      </w:r>
      <w:r>
        <w:rPr>
          <w:spacing w:val="13"/>
        </w:rPr>
        <w:t xml:space="preserve"> </w:t>
      </w:r>
      <w:r>
        <w:t>qual</w:t>
      </w:r>
      <w:r>
        <w:rPr>
          <w:spacing w:val="13"/>
        </w:rPr>
        <w:t xml:space="preserve"> </w:t>
      </w:r>
      <w:r>
        <w:t>tamanho</w:t>
      </w:r>
      <w:r>
        <w:rPr>
          <w:spacing w:val="13"/>
        </w:rPr>
        <w:t xml:space="preserve"> </w:t>
      </w:r>
      <w:r>
        <w:t>dos</w:t>
      </w:r>
      <w:r>
        <w:rPr>
          <w:spacing w:val="13"/>
        </w:rPr>
        <w:t xml:space="preserve"> </w:t>
      </w:r>
      <w:r>
        <w:t>minerais</w:t>
      </w:r>
      <w:r>
        <w:rPr>
          <w:spacing w:val="13"/>
        </w:rPr>
        <w:t xml:space="preserve"> </w:t>
      </w:r>
      <w:r>
        <w:t>é</w:t>
      </w:r>
      <w:r>
        <w:rPr>
          <w:spacing w:val="13"/>
        </w:rPr>
        <w:t xml:space="preserve"> </w:t>
      </w:r>
      <w:r>
        <w:t>igual</w:t>
      </w:r>
      <w:r>
        <w:rPr>
          <w:spacing w:val="13"/>
        </w:rPr>
        <w:t xml:space="preserve"> </w:t>
      </w:r>
      <w:r>
        <w:t>ou</w:t>
      </w:r>
      <w:r>
        <w:rPr>
          <w:spacing w:val="13"/>
        </w:rPr>
        <w:t xml:space="preserve"> </w:t>
      </w:r>
      <w:r>
        <w:t>maior</w:t>
      </w:r>
      <w:r>
        <w:rPr>
          <w:spacing w:val="13"/>
        </w:rPr>
        <w:t xml:space="preserve"> </w:t>
      </w:r>
      <w:r>
        <w:t>que</w:t>
      </w:r>
      <w:r>
        <w:rPr>
          <w:spacing w:val="13"/>
        </w:rPr>
        <w:t xml:space="preserve"> </w:t>
      </w:r>
      <w:r>
        <w:t>20</w:t>
      </w:r>
      <w:r>
        <w:rPr>
          <w:spacing w:val="13"/>
        </w:rPr>
        <w:t xml:space="preserve"> </w:t>
      </w:r>
      <w:r>
        <w:t>mm].</w:t>
      </w:r>
    </w:p>
    <w:p w:rsidR="00D81F69" w:rsidRDefault="00330118">
      <w:pPr>
        <w:pStyle w:val="Corpodetexto"/>
        <w:spacing w:before="137" w:line="312" w:lineRule="auto"/>
        <w:ind w:left="135" w:right="190"/>
      </w:pPr>
      <w:r>
        <w:t xml:space="preserve">O </w:t>
      </w:r>
      <w:r>
        <w:rPr>
          <w:spacing w:val="1"/>
        </w:rPr>
        <w:t xml:space="preserve">Distrito Mineiro Currais Novos </w:t>
      </w:r>
      <w:r>
        <w:t xml:space="preserve">– </w:t>
      </w:r>
      <w:r>
        <w:rPr>
          <w:spacing w:val="1"/>
        </w:rPr>
        <w:t xml:space="preserve">Caicó (RN/PB) ocupa </w:t>
      </w:r>
      <w:r>
        <w:t xml:space="preserve">a </w:t>
      </w:r>
      <w:r>
        <w:rPr>
          <w:spacing w:val="1"/>
        </w:rPr>
        <w:t xml:space="preserve">área correspondente </w:t>
      </w:r>
      <w:r>
        <w:t xml:space="preserve">à </w:t>
      </w:r>
      <w:r>
        <w:rPr>
          <w:spacing w:val="1"/>
        </w:rPr>
        <w:t xml:space="preserve">Província Scheelitífera </w:t>
      </w:r>
      <w:r>
        <w:t xml:space="preserve">do </w:t>
      </w:r>
      <w:r>
        <w:rPr>
          <w:spacing w:val="1"/>
        </w:rPr>
        <w:t xml:space="preserve">Seridó </w:t>
      </w:r>
      <w:r>
        <w:t xml:space="preserve">e </w:t>
      </w:r>
      <w:r>
        <w:rPr>
          <w:spacing w:val="3"/>
        </w:rPr>
        <w:t xml:space="preserve">abrange parte </w:t>
      </w:r>
      <w:r>
        <w:rPr>
          <w:spacing w:val="2"/>
        </w:rPr>
        <w:t xml:space="preserve">dos </w:t>
      </w:r>
      <w:r>
        <w:rPr>
          <w:spacing w:val="3"/>
        </w:rPr>
        <w:t xml:space="preserve">estados </w:t>
      </w:r>
      <w:r>
        <w:rPr>
          <w:spacing w:val="1"/>
        </w:rPr>
        <w:t xml:space="preserve">do </w:t>
      </w:r>
      <w:r>
        <w:rPr>
          <w:spacing w:val="2"/>
        </w:rPr>
        <w:t xml:space="preserve">Rio </w:t>
      </w:r>
      <w:r>
        <w:rPr>
          <w:spacing w:val="3"/>
        </w:rPr>
        <w:t xml:space="preserve">Grande </w:t>
      </w:r>
      <w:r>
        <w:rPr>
          <w:spacing w:val="1"/>
        </w:rPr>
        <w:t xml:space="preserve">do </w:t>
      </w:r>
      <w:r>
        <w:rPr>
          <w:spacing w:val="3"/>
        </w:rPr>
        <w:t xml:space="preserve">Norte </w:t>
      </w:r>
      <w:r>
        <w:t xml:space="preserve">e </w:t>
      </w:r>
      <w:r>
        <w:rPr>
          <w:spacing w:val="5"/>
        </w:rPr>
        <w:t xml:space="preserve">da Paraíba. </w:t>
      </w:r>
      <w:r>
        <w:rPr>
          <w:spacing w:val="2"/>
        </w:rPr>
        <w:t xml:space="preserve">Os </w:t>
      </w:r>
      <w:r>
        <w:rPr>
          <w:spacing w:val="5"/>
        </w:rPr>
        <w:t xml:space="preserve">principais recursos minerais </w:t>
      </w:r>
      <w:r>
        <w:rPr>
          <w:spacing w:val="2"/>
        </w:rPr>
        <w:t xml:space="preserve">do </w:t>
      </w:r>
      <w:r>
        <w:rPr>
          <w:spacing w:val="5"/>
        </w:rPr>
        <w:t>distrito são:</w:t>
      </w:r>
      <w:r>
        <w:rPr>
          <w:spacing w:val="61"/>
        </w:rPr>
        <w:t xml:space="preserve"> </w:t>
      </w:r>
      <w:r>
        <w:rPr>
          <w:spacing w:val="1"/>
        </w:rPr>
        <w:t xml:space="preserve">scheelita pegmatito, barita, fluorita, calcário metamórfico </w:t>
      </w:r>
      <w:r>
        <w:t>e rochas ornamentais (quartzito, metaconglomerad</w:t>
      </w:r>
      <w:r>
        <w:t>o e granito)</w:t>
      </w:r>
    </w:p>
    <w:p w:rsidR="00D81F69" w:rsidRDefault="00D81F69">
      <w:pPr>
        <w:spacing w:line="312" w:lineRule="auto"/>
        <w:sectPr w:rsidR="00D81F69">
          <w:type w:val="continuous"/>
          <w:pgSz w:w="11900" w:h="16840"/>
          <w:pgMar w:top="720" w:right="500" w:bottom="280" w:left="620" w:header="720" w:footer="720" w:gutter="0"/>
          <w:cols w:num="3" w:space="720" w:equalWidth="0">
            <w:col w:w="1864" w:space="136"/>
            <w:col w:w="3118" w:space="317"/>
            <w:col w:w="5345"/>
          </w:cols>
        </w:sectPr>
      </w:pPr>
    </w:p>
    <w:p w:rsidR="00D81F69" w:rsidRDefault="00330118">
      <w:pPr>
        <w:pStyle w:val="Heading4"/>
        <w:spacing w:line="265" w:lineRule="exact"/>
        <w:jc w:val="left"/>
      </w:pPr>
      <w:r>
        <w:lastRenderedPageBreak/>
        <w:t>APRESENTAÇÃO DE CASO</w:t>
      </w:r>
    </w:p>
    <w:p w:rsidR="00D81F69" w:rsidRDefault="00330118">
      <w:pPr>
        <w:pStyle w:val="Corpodetexto"/>
        <w:spacing w:before="170" w:line="312" w:lineRule="auto"/>
        <w:ind w:right="38"/>
      </w:pPr>
      <w:r>
        <w:t>Por possuir a maior parte de sua área enquadrada no Semiárido, o estado do Rio Grande do Norte tem representatividade na problemática ambiental da desertificação (FERNANDES; MEDEIROS, 2009).</w:t>
      </w:r>
      <w:r>
        <w:t xml:space="preserve"> A Convenção Internacional de Combate à Desertificação (UNCCD) define desertificação como sendo a degradação da terra nas regiões áridas, semiáridas e subúmidas secas, resultante de vários fatores, como variações climáticas e atividades humanas, dentre ela</w:t>
      </w:r>
      <w:r>
        <w:t>s a mineração (MINISTÉRIO DO MEIO AMBIENTE, 2004).</w:t>
      </w:r>
    </w:p>
    <w:p w:rsidR="00D81F69" w:rsidRDefault="00330118">
      <w:pPr>
        <w:pStyle w:val="Corpodetexto"/>
        <w:spacing w:before="139" w:line="312" w:lineRule="auto"/>
        <w:ind w:right="58"/>
      </w:pPr>
      <w:r>
        <w:t xml:space="preserve">A retirada da vegetação para fins de exploração do material </w:t>
      </w:r>
      <w:r>
        <w:rPr>
          <w:spacing w:val="1"/>
        </w:rPr>
        <w:t xml:space="preserve">do </w:t>
      </w:r>
      <w:r>
        <w:rPr>
          <w:spacing w:val="2"/>
        </w:rPr>
        <w:t xml:space="preserve">solo </w:t>
      </w:r>
      <w:r>
        <w:rPr>
          <w:spacing w:val="1"/>
        </w:rPr>
        <w:t xml:space="preserve">ou </w:t>
      </w:r>
      <w:r>
        <w:rPr>
          <w:spacing w:val="3"/>
        </w:rPr>
        <w:t xml:space="preserve">subsolo, típica </w:t>
      </w:r>
      <w:r>
        <w:rPr>
          <w:spacing w:val="1"/>
        </w:rPr>
        <w:t xml:space="preserve">da </w:t>
      </w:r>
      <w:r>
        <w:rPr>
          <w:spacing w:val="3"/>
        </w:rPr>
        <w:t xml:space="preserve">atividade mineira, implica </w:t>
      </w:r>
      <w:r>
        <w:t xml:space="preserve">a extração de areia de construção dos aluviais de beira de rio e a </w:t>
      </w:r>
      <w:r>
        <w:rPr>
          <w:spacing w:val="5"/>
        </w:rPr>
        <w:t xml:space="preserve">remoção </w:t>
      </w:r>
      <w:r>
        <w:rPr>
          <w:spacing w:val="2"/>
        </w:rPr>
        <w:t xml:space="preserve">de </w:t>
      </w:r>
      <w:r>
        <w:rPr>
          <w:spacing w:val="5"/>
        </w:rPr>
        <w:t xml:space="preserve">camadas </w:t>
      </w:r>
      <w:r>
        <w:rPr>
          <w:spacing w:val="2"/>
        </w:rPr>
        <w:t>de</w:t>
      </w:r>
      <w:r>
        <w:rPr>
          <w:spacing w:val="2"/>
        </w:rPr>
        <w:t xml:space="preserve"> </w:t>
      </w:r>
      <w:r>
        <w:rPr>
          <w:spacing w:val="3"/>
        </w:rPr>
        <w:t xml:space="preserve">terra para </w:t>
      </w:r>
      <w:r>
        <w:rPr>
          <w:spacing w:val="5"/>
        </w:rPr>
        <w:t xml:space="preserve">acesso </w:t>
      </w:r>
      <w:r>
        <w:t xml:space="preserve">a </w:t>
      </w:r>
      <w:r>
        <w:rPr>
          <w:spacing w:val="3"/>
        </w:rPr>
        <w:t xml:space="preserve">veios </w:t>
      </w:r>
      <w:r>
        <w:rPr>
          <w:spacing w:val="5"/>
        </w:rPr>
        <w:t xml:space="preserve">de </w:t>
      </w:r>
      <w:r>
        <w:rPr>
          <w:spacing w:val="3"/>
        </w:rPr>
        <w:t xml:space="preserve">minério. </w:t>
      </w:r>
      <w:r>
        <w:rPr>
          <w:spacing w:val="2"/>
        </w:rPr>
        <w:t xml:space="preserve">Nas </w:t>
      </w:r>
      <w:r>
        <w:rPr>
          <w:spacing w:val="3"/>
        </w:rPr>
        <w:t xml:space="preserve">áreas </w:t>
      </w:r>
      <w:r>
        <w:rPr>
          <w:spacing w:val="1"/>
        </w:rPr>
        <w:t xml:space="preserve">de </w:t>
      </w:r>
      <w:r>
        <w:rPr>
          <w:spacing w:val="3"/>
        </w:rPr>
        <w:t xml:space="preserve">minas, </w:t>
      </w:r>
      <w:r>
        <w:rPr>
          <w:spacing w:val="2"/>
        </w:rPr>
        <w:t xml:space="preserve">são </w:t>
      </w:r>
      <w:r>
        <w:rPr>
          <w:spacing w:val="3"/>
        </w:rPr>
        <w:t xml:space="preserve">comuns </w:t>
      </w:r>
      <w:r>
        <w:t xml:space="preserve">a </w:t>
      </w:r>
      <w:r>
        <w:rPr>
          <w:spacing w:val="3"/>
        </w:rPr>
        <w:t xml:space="preserve">formação </w:t>
      </w:r>
      <w:r>
        <w:rPr>
          <w:spacing w:val="5"/>
        </w:rPr>
        <w:t xml:space="preserve">de </w:t>
      </w:r>
      <w:r>
        <w:t>depósitos de resíduos, frequentemente tóxicos, e a presença de escavações. A retirada do solo deixa um legado de terras impróprias para o uso agropecuário (MINISTÉRIO DO MEIO AMBIENTE,</w:t>
      </w:r>
      <w:r>
        <w:rPr>
          <w:spacing w:val="10"/>
        </w:rPr>
        <w:t xml:space="preserve"> </w:t>
      </w:r>
      <w:r>
        <w:t>2005).</w:t>
      </w:r>
    </w:p>
    <w:p w:rsidR="00D81F69" w:rsidRDefault="00330118">
      <w:pPr>
        <w:pStyle w:val="Corpodetexto"/>
        <w:spacing w:before="139" w:line="312" w:lineRule="auto"/>
        <w:ind w:right="41"/>
      </w:pPr>
      <w:r>
        <w:t>Quase toda a região fitogeográfica do Seridó do Rio Grande do No</w:t>
      </w:r>
      <w:r>
        <w:t>rte foi submetida a intensos trabalhos de prospecção, criando núcleos de desertificação. A lavra, juntamente com as condições climáticas de baixa pluviosidade, torna o Seridó um dos exemplos mais graves da presença da desertificação no Nordeste. Outro agra</w:t>
      </w:r>
      <w:r>
        <w:t xml:space="preserve">vante é a produção de cerâmica, cujas consequências são a formação de crateras para a retirada da argila e a destruição da cobertura vegetal para obtenção de lenha a ser usada nos fornos. Na região, principalmente nos </w:t>
      </w:r>
      <w:r>
        <w:rPr>
          <w:spacing w:val="1"/>
        </w:rPr>
        <w:t xml:space="preserve">municípios </w:t>
      </w:r>
      <w:r>
        <w:t xml:space="preserve">de </w:t>
      </w:r>
      <w:r>
        <w:rPr>
          <w:spacing w:val="1"/>
        </w:rPr>
        <w:t>Equador, Parelhas, Carna</w:t>
      </w:r>
      <w:r>
        <w:rPr>
          <w:spacing w:val="1"/>
        </w:rPr>
        <w:t xml:space="preserve">úba </w:t>
      </w:r>
      <w:r>
        <w:t xml:space="preserve">dos </w:t>
      </w:r>
      <w:r>
        <w:rPr>
          <w:spacing w:val="1"/>
        </w:rPr>
        <w:t xml:space="preserve">Dantas </w:t>
      </w:r>
      <w:r>
        <w:t xml:space="preserve">e Acari, 104 olarias competem entre si pelo volume de </w:t>
      </w:r>
      <w:r>
        <w:rPr>
          <w:spacing w:val="1"/>
        </w:rPr>
        <w:t xml:space="preserve">argila </w:t>
      </w:r>
      <w:r>
        <w:t xml:space="preserve">lavrado para fabricação de telhas e tijolos, incentivadas pela </w:t>
      </w:r>
      <w:r>
        <w:rPr>
          <w:spacing w:val="1"/>
        </w:rPr>
        <w:t xml:space="preserve">qualidade </w:t>
      </w:r>
      <w:r>
        <w:t xml:space="preserve">do </w:t>
      </w:r>
      <w:r>
        <w:rPr>
          <w:spacing w:val="1"/>
        </w:rPr>
        <w:t xml:space="preserve">material (VASCONCELOS SOBRINHO, </w:t>
      </w:r>
      <w:r>
        <w:rPr>
          <w:spacing w:val="2"/>
        </w:rPr>
        <w:t xml:space="preserve">2002 </w:t>
      </w:r>
      <w:r>
        <w:rPr>
          <w:spacing w:val="1"/>
        </w:rPr>
        <w:t xml:space="preserve">apud MINISTÉRIO </w:t>
      </w:r>
      <w:r>
        <w:t xml:space="preserve">DO </w:t>
      </w:r>
      <w:r>
        <w:rPr>
          <w:spacing w:val="1"/>
        </w:rPr>
        <w:t>MEIO AMBIENTE,</w:t>
      </w:r>
      <w:r>
        <w:rPr>
          <w:spacing w:val="5"/>
        </w:rPr>
        <w:t xml:space="preserve"> </w:t>
      </w:r>
      <w:r>
        <w:rPr>
          <w:spacing w:val="2"/>
        </w:rPr>
        <w:t>2005).</w:t>
      </w:r>
    </w:p>
    <w:p w:rsidR="00D81F69" w:rsidRDefault="00330118">
      <w:pPr>
        <w:pStyle w:val="Corpodetexto"/>
        <w:spacing w:before="5"/>
        <w:jc w:val="left"/>
      </w:pPr>
      <w:r>
        <w:br w:type="column"/>
      </w:r>
      <w:r>
        <w:lastRenderedPageBreak/>
        <w:t>(DANTAS, 2002).</w:t>
      </w:r>
    </w:p>
    <w:p w:rsidR="00D81F69" w:rsidRDefault="00D81F69">
      <w:pPr>
        <w:pStyle w:val="Corpodetexto"/>
        <w:spacing w:before="9"/>
        <w:ind w:left="0"/>
        <w:jc w:val="left"/>
        <w:rPr>
          <w:sz w:val="16"/>
        </w:rPr>
      </w:pPr>
    </w:p>
    <w:p w:rsidR="00D81F69" w:rsidRDefault="00330118">
      <w:pPr>
        <w:pStyle w:val="Corpodetexto"/>
        <w:spacing w:before="1" w:line="312" w:lineRule="auto"/>
        <w:ind w:right="135"/>
        <w:jc w:val="left"/>
      </w:pPr>
      <w:r>
        <w:t>O Distri</w:t>
      </w:r>
      <w:r>
        <w:t>to Mineiro Borborema – Seridó (PB/RN) corresponde à Província Pegmatítica da Borborema-Seridó e também engloba parte dos estados do Rio Grande do Norte e da Paraíba. O local possui uma grande quantidade de corpos pegmatíticos homogêneos, heterogêneos e mis</w:t>
      </w:r>
      <w:r>
        <w:t>tos (cerca de 420), distribuídos numa área de aproximadamente 6.000 km². Os principais recursos minerais do distrito são: pegmatitos (feldspato, mica, caulim, columbita-tantalita,</w:t>
      </w:r>
      <w:hyperlink r:id="rId826">
        <w:r>
          <w:t xml:space="preserve"> urânio,</w:t>
        </w:r>
      </w:hyperlink>
      <w:r>
        <w:t xml:space="preserve"> ambligonita), gemas (água marinha, turmalina e berilo) e rochas ornamentais. Seus principais depósitos de ouro localizam-se no município de Currais Novos, na mina São Francisco (DANTAS, 2002).</w:t>
      </w:r>
    </w:p>
    <w:p w:rsidR="00D81F69" w:rsidRDefault="00330118">
      <w:pPr>
        <w:pStyle w:val="Corpodetexto"/>
        <w:spacing w:before="141" w:line="312" w:lineRule="auto"/>
        <w:ind w:right="186"/>
      </w:pPr>
      <w:r>
        <w:t>O Distrito Mineiro Tenente Ananias (RN/P</w:t>
      </w:r>
      <w:r>
        <w:t xml:space="preserve">B) localiza-se no extremo oeste dos estados do Rio Grande do Norte e da Paraíba. Seus principais recursos são: água marinha, esmeralda, berilo, molibdênio, pirita, chumbo, </w:t>
      </w:r>
      <w:hyperlink r:id="rId827">
        <w:r>
          <w:t xml:space="preserve">cobre </w:t>
        </w:r>
      </w:hyperlink>
      <w:r>
        <w:t>e calcário metamórfico. Este distrito, por se tratar de uma região reservada exclusivamente para atividades garimpeiras, não tem uma área titulada pelo Departamento Nacional de Produção Mineral (DNPM), sendo esta a razão pela qual muito pouco s</w:t>
      </w:r>
      <w:r>
        <w:t>e conhece a respeito de seus recursos minerais (DANTAS, 2002).</w:t>
      </w:r>
    </w:p>
    <w:p w:rsidR="00D81F69" w:rsidRDefault="00330118">
      <w:pPr>
        <w:pStyle w:val="Corpodetexto"/>
        <w:spacing w:before="139" w:line="312" w:lineRule="auto"/>
        <w:ind w:right="195"/>
      </w:pPr>
      <w:r>
        <w:t>A exploração da scheelita na região do Seridó potiguar começou a partir do início da década de 1940 (AGÊNCIA SEBRAE DE NOTÍCIAS, 2008) e, até 1997, a exploração da província scheelitífera curra</w:t>
      </w:r>
      <w:r>
        <w:t>is-novense era responsável por quase a totalidade do mineral produzido e exportado pelo país, elevando o Rio Grande do Norte ao patamar de detentor das maiores reservas e de maior produtor brasileiro (ALVES, 1997 apud MINISTÉRIO DO MEIO AMBIENTE, 2005).</w:t>
      </w:r>
    </w:p>
    <w:p w:rsidR="00D81F69" w:rsidRDefault="00330118">
      <w:pPr>
        <w:pStyle w:val="Corpodetexto"/>
        <w:spacing w:before="74" w:line="270" w:lineRule="atLeast"/>
        <w:ind w:right="209"/>
      </w:pPr>
      <w:r>
        <w:t xml:space="preserve">A </w:t>
      </w:r>
      <w:r>
        <w:rPr>
          <w:spacing w:val="5"/>
        </w:rPr>
        <w:t xml:space="preserve">produção </w:t>
      </w:r>
      <w:r>
        <w:rPr>
          <w:spacing w:val="2"/>
        </w:rPr>
        <w:t xml:space="preserve">da </w:t>
      </w:r>
      <w:r>
        <w:rPr>
          <w:spacing w:val="5"/>
        </w:rPr>
        <w:t>scheelita destinava-se principalmente ao</w:t>
      </w:r>
      <w:r>
        <w:rPr>
          <w:spacing w:val="61"/>
        </w:rPr>
        <w:t xml:space="preserve"> </w:t>
      </w:r>
      <w:r>
        <w:rPr>
          <w:spacing w:val="5"/>
        </w:rPr>
        <w:t xml:space="preserve">mercado externo </w:t>
      </w:r>
      <w:r>
        <w:t xml:space="preserve">e </w:t>
      </w:r>
      <w:r>
        <w:rPr>
          <w:spacing w:val="5"/>
        </w:rPr>
        <w:t xml:space="preserve">compunha, </w:t>
      </w:r>
      <w:r>
        <w:rPr>
          <w:spacing w:val="3"/>
        </w:rPr>
        <w:t xml:space="preserve">junto com </w:t>
      </w:r>
      <w:r>
        <w:t xml:space="preserve">o </w:t>
      </w:r>
      <w:r>
        <w:rPr>
          <w:spacing w:val="5"/>
        </w:rPr>
        <w:t xml:space="preserve">algodão </w:t>
      </w:r>
      <w:r>
        <w:t xml:space="preserve">e a </w:t>
      </w:r>
      <w:r>
        <w:rPr>
          <w:spacing w:val="3"/>
        </w:rPr>
        <w:t>pecuária,</w:t>
      </w:r>
      <w:r>
        <w:rPr>
          <w:spacing w:val="2"/>
        </w:rPr>
        <w:t xml:space="preserve"> </w:t>
      </w:r>
      <w:r>
        <w:t xml:space="preserve">o </w:t>
      </w:r>
      <w:r>
        <w:rPr>
          <w:spacing w:val="3"/>
        </w:rPr>
        <w:t>tripé</w:t>
      </w:r>
      <w:r>
        <w:rPr>
          <w:spacing w:val="2"/>
        </w:rPr>
        <w:t xml:space="preserve"> </w:t>
      </w:r>
      <w:r>
        <w:rPr>
          <w:spacing w:val="1"/>
        </w:rPr>
        <w:t>de</w:t>
      </w:r>
      <w:r>
        <w:t xml:space="preserve"> </w:t>
      </w:r>
      <w:r>
        <w:rPr>
          <w:spacing w:val="3"/>
        </w:rPr>
        <w:t>sustentação</w:t>
      </w:r>
      <w:r>
        <w:rPr>
          <w:spacing w:val="2"/>
        </w:rPr>
        <w:t xml:space="preserve"> </w:t>
      </w:r>
      <w:r>
        <w:rPr>
          <w:spacing w:val="1"/>
        </w:rPr>
        <w:t>da</w:t>
      </w:r>
      <w:r>
        <w:t xml:space="preserve"> </w:t>
      </w:r>
      <w:r>
        <w:rPr>
          <w:spacing w:val="3"/>
        </w:rPr>
        <w:t>economia</w:t>
      </w:r>
      <w:r>
        <w:rPr>
          <w:spacing w:val="2"/>
        </w:rPr>
        <w:t xml:space="preserve"> </w:t>
      </w:r>
      <w:r>
        <w:rPr>
          <w:spacing w:val="5"/>
        </w:rPr>
        <w:t>seridoense</w:t>
      </w:r>
    </w:p>
    <w:p w:rsidR="00D81F69" w:rsidRDefault="00D81F69">
      <w:pPr>
        <w:spacing w:line="270" w:lineRule="atLeast"/>
        <w:sectPr w:rsidR="00D81F69">
          <w:type w:val="continuous"/>
          <w:pgSz w:w="11900" w:h="16840"/>
          <w:pgMar w:top="720" w:right="500" w:bottom="280" w:left="620" w:header="720" w:footer="720" w:gutter="0"/>
          <w:cols w:num="2" w:space="720" w:equalWidth="0">
            <w:col w:w="5158" w:space="312"/>
            <w:col w:w="5310"/>
          </w:cols>
        </w:sectPr>
      </w:pPr>
    </w:p>
    <w:p w:rsidR="00D81F69" w:rsidRDefault="00330118">
      <w:pPr>
        <w:pStyle w:val="Corpodetexto"/>
        <w:spacing w:before="81"/>
      </w:pPr>
      <w:r>
        <w:lastRenderedPageBreak/>
        <w:t>(MINISTÉRIO DO MEIO AMBIENTE, 2005). A exploração e a</w:t>
      </w:r>
    </w:p>
    <w:p w:rsidR="00D81F69" w:rsidRDefault="00330118">
      <w:pPr>
        <w:pStyle w:val="Corpodetexto"/>
        <w:spacing w:before="63" w:line="312" w:lineRule="auto"/>
        <w:ind w:right="59"/>
      </w:pPr>
      <w:r>
        <w:t xml:space="preserve">comercialização do minério de tungstênio geravam cerca de dois mil empregos diretos, somente nas três principais minas localizadas no município de Currais Novos (Mina Brejuí, Barra </w:t>
      </w:r>
      <w:r>
        <w:rPr>
          <w:spacing w:val="3"/>
        </w:rPr>
        <w:t xml:space="preserve">Verde </w:t>
      </w:r>
      <w:r>
        <w:t xml:space="preserve">e </w:t>
      </w:r>
      <w:r>
        <w:rPr>
          <w:spacing w:val="2"/>
        </w:rPr>
        <w:t xml:space="preserve">Mina Boca </w:t>
      </w:r>
      <w:r>
        <w:rPr>
          <w:spacing w:val="1"/>
        </w:rPr>
        <w:t xml:space="preserve">de </w:t>
      </w:r>
      <w:r>
        <w:rPr>
          <w:spacing w:val="3"/>
        </w:rPr>
        <w:t xml:space="preserve">Lage). </w:t>
      </w:r>
      <w:r>
        <w:rPr>
          <w:spacing w:val="1"/>
        </w:rPr>
        <w:t xml:space="preserve">No </w:t>
      </w:r>
      <w:r>
        <w:rPr>
          <w:spacing w:val="3"/>
        </w:rPr>
        <w:t xml:space="preserve">apogeu </w:t>
      </w:r>
      <w:r>
        <w:rPr>
          <w:spacing w:val="1"/>
        </w:rPr>
        <w:t xml:space="preserve">da </w:t>
      </w:r>
      <w:r>
        <w:rPr>
          <w:spacing w:val="3"/>
        </w:rPr>
        <w:t xml:space="preserve">lavra </w:t>
      </w:r>
      <w:r>
        <w:rPr>
          <w:spacing w:val="5"/>
        </w:rPr>
        <w:t xml:space="preserve">desse </w:t>
      </w:r>
      <w:r>
        <w:t>minério, quando as min</w:t>
      </w:r>
      <w:r>
        <w:t xml:space="preserve">as produziam a pleno vapor (década </w:t>
      </w:r>
      <w:r>
        <w:rPr>
          <w:spacing w:val="1"/>
        </w:rPr>
        <w:t xml:space="preserve">de </w:t>
      </w:r>
      <w:r>
        <w:rPr>
          <w:spacing w:val="3"/>
        </w:rPr>
        <w:t xml:space="preserve">1970), havia </w:t>
      </w:r>
      <w:r>
        <w:rPr>
          <w:spacing w:val="1"/>
        </w:rPr>
        <w:t xml:space="preserve">12 </w:t>
      </w:r>
      <w:r>
        <w:rPr>
          <w:spacing w:val="3"/>
        </w:rPr>
        <w:t xml:space="preserve">minas entre </w:t>
      </w:r>
      <w:r>
        <w:rPr>
          <w:spacing w:val="1"/>
        </w:rPr>
        <w:t xml:space="preserve">os </w:t>
      </w:r>
      <w:r>
        <w:rPr>
          <w:spacing w:val="3"/>
        </w:rPr>
        <w:t xml:space="preserve">maiores </w:t>
      </w:r>
      <w:r>
        <w:rPr>
          <w:spacing w:val="5"/>
        </w:rPr>
        <w:t xml:space="preserve">exportadores </w:t>
      </w:r>
      <w:r>
        <w:rPr>
          <w:spacing w:val="3"/>
        </w:rPr>
        <w:t xml:space="preserve">(TRIBUNA </w:t>
      </w:r>
      <w:r>
        <w:rPr>
          <w:spacing w:val="1"/>
        </w:rPr>
        <w:t xml:space="preserve">DO </w:t>
      </w:r>
      <w:r>
        <w:rPr>
          <w:spacing w:val="3"/>
        </w:rPr>
        <w:t>NORTE,</w:t>
      </w:r>
      <w:r>
        <w:rPr>
          <w:spacing w:val="-23"/>
        </w:rPr>
        <w:t xml:space="preserve"> </w:t>
      </w:r>
      <w:r>
        <w:rPr>
          <w:spacing w:val="5"/>
        </w:rPr>
        <w:t>2006).</w:t>
      </w:r>
    </w:p>
    <w:p w:rsidR="00D81F69" w:rsidRDefault="00330118">
      <w:pPr>
        <w:pStyle w:val="Corpodetexto"/>
        <w:spacing w:before="136" w:line="312" w:lineRule="auto"/>
        <w:ind w:right="58"/>
      </w:pPr>
      <w:r>
        <w:t xml:space="preserve">Contudo a produção mineira enfrentou uma crise que a levou à decadência (MINISTÉRIO DO MEIO AMBIENTE, 2005) por </w:t>
      </w:r>
      <w:r>
        <w:rPr>
          <w:spacing w:val="3"/>
        </w:rPr>
        <w:t xml:space="preserve">volta </w:t>
      </w:r>
      <w:r>
        <w:rPr>
          <w:spacing w:val="1"/>
        </w:rPr>
        <w:t xml:space="preserve">de </w:t>
      </w:r>
      <w:r>
        <w:rPr>
          <w:spacing w:val="3"/>
        </w:rPr>
        <w:t xml:space="preserve">1997. </w:t>
      </w:r>
      <w:r>
        <w:t xml:space="preserve">A </w:t>
      </w:r>
      <w:r>
        <w:rPr>
          <w:spacing w:val="3"/>
        </w:rPr>
        <w:t xml:space="preserve">entrada </w:t>
      </w:r>
      <w:r>
        <w:rPr>
          <w:spacing w:val="1"/>
        </w:rPr>
        <w:t xml:space="preserve">da </w:t>
      </w:r>
      <w:r>
        <w:rPr>
          <w:spacing w:val="3"/>
        </w:rPr>
        <w:t xml:space="preserve">China </w:t>
      </w:r>
      <w:r>
        <w:rPr>
          <w:spacing w:val="1"/>
        </w:rPr>
        <w:t xml:space="preserve">no </w:t>
      </w:r>
      <w:r>
        <w:rPr>
          <w:spacing w:val="3"/>
        </w:rPr>
        <w:t xml:space="preserve">mercado, </w:t>
      </w:r>
      <w:r>
        <w:rPr>
          <w:spacing w:val="2"/>
        </w:rPr>
        <w:t xml:space="preserve">com </w:t>
      </w:r>
      <w:r>
        <w:rPr>
          <w:spacing w:val="5"/>
        </w:rPr>
        <w:t xml:space="preserve">uma política agressiva </w:t>
      </w:r>
      <w:r>
        <w:rPr>
          <w:spacing w:val="2"/>
        </w:rPr>
        <w:t xml:space="preserve">de </w:t>
      </w:r>
      <w:r>
        <w:rPr>
          <w:spacing w:val="5"/>
        </w:rPr>
        <w:t xml:space="preserve">preços baixos, fechou </w:t>
      </w:r>
      <w:r>
        <w:t xml:space="preserve">a </w:t>
      </w:r>
      <w:r>
        <w:rPr>
          <w:spacing w:val="5"/>
        </w:rPr>
        <w:t xml:space="preserve">porta </w:t>
      </w:r>
      <w:r>
        <w:rPr>
          <w:spacing w:val="6"/>
        </w:rPr>
        <w:t xml:space="preserve">das </w:t>
      </w:r>
      <w:r>
        <w:rPr>
          <w:spacing w:val="3"/>
        </w:rPr>
        <w:t xml:space="preserve">mineradoras colocando </w:t>
      </w:r>
      <w:r>
        <w:rPr>
          <w:spacing w:val="1"/>
        </w:rPr>
        <w:t xml:space="preserve">na </w:t>
      </w:r>
      <w:r>
        <w:rPr>
          <w:spacing w:val="2"/>
        </w:rPr>
        <w:t xml:space="preserve">rua </w:t>
      </w:r>
      <w:r>
        <w:rPr>
          <w:spacing w:val="3"/>
        </w:rPr>
        <w:t xml:space="preserve">milhares </w:t>
      </w:r>
      <w:r>
        <w:rPr>
          <w:spacing w:val="1"/>
        </w:rPr>
        <w:t xml:space="preserve">de </w:t>
      </w:r>
      <w:r>
        <w:rPr>
          <w:spacing w:val="5"/>
        </w:rPr>
        <w:t xml:space="preserve">trabalhadores </w:t>
      </w:r>
      <w:r>
        <w:rPr>
          <w:spacing w:val="3"/>
        </w:rPr>
        <w:t xml:space="preserve">(AGÊNCIA SEBRAE </w:t>
      </w:r>
      <w:r>
        <w:rPr>
          <w:spacing w:val="1"/>
        </w:rPr>
        <w:t xml:space="preserve">DE </w:t>
      </w:r>
      <w:r>
        <w:rPr>
          <w:spacing w:val="3"/>
        </w:rPr>
        <w:t>NOTÍCIAS,</w:t>
      </w:r>
      <w:r>
        <w:rPr>
          <w:spacing w:val="56"/>
        </w:rPr>
        <w:t xml:space="preserve"> </w:t>
      </w:r>
      <w:r>
        <w:rPr>
          <w:spacing w:val="5"/>
        </w:rPr>
        <w:t>2008).</w:t>
      </w:r>
    </w:p>
    <w:p w:rsidR="00D81F69" w:rsidRDefault="00330118">
      <w:pPr>
        <w:pStyle w:val="Corpodetexto"/>
        <w:spacing w:before="136" w:line="312" w:lineRule="auto"/>
        <w:ind w:right="38"/>
      </w:pPr>
      <w:r>
        <w:t>Mesmo após o declínio, a produção de concentrado de scheelita não chegou a ser para</w:t>
      </w:r>
      <w:r>
        <w:t>lisada. A exploração foi mantida por alguns garimpeiros na região, sem equipamentos industriais adequados — os mesmos foram sucateados, abandonados e até retirados dos locais pelas grandes empresas — para a extração e para o processamento do minério, o que</w:t>
      </w:r>
      <w:r>
        <w:t>, segundo o DNPM, não poderia ter sido feito (BARROSO, 2006).</w:t>
      </w:r>
    </w:p>
    <w:p w:rsidR="00D81F69" w:rsidRDefault="00330118">
      <w:pPr>
        <w:pStyle w:val="Corpodetexto"/>
        <w:spacing w:before="137" w:line="312" w:lineRule="auto"/>
        <w:ind w:right="45"/>
      </w:pPr>
      <w:r>
        <w:t>A partir de 2005, como o preço do concentrado de minério de tungstênio voltou a ser economicamente viável, a mineração foi retomada, e as operações nas antigas minas do município de Currais Novo</w:t>
      </w:r>
      <w:r>
        <w:t>s e Bodó, reativadas. Vinte e cinco anos depois de ter sido responsável pela estagnação da mineração comercial no Rio Grande do Norte, com a prática do dumping, a China também motivou um aumento considerável do consumo de ligas metálicas em um momento em q</w:t>
      </w:r>
      <w:r>
        <w:t>ue já não conseguia manter compatível o custo da produção de scheelita com o próprio ritmo de crescimento econômico (TRIBUNA DO NORTE, 2006).</w:t>
      </w:r>
    </w:p>
    <w:p w:rsidR="00D81F69" w:rsidRDefault="00330118">
      <w:pPr>
        <w:pStyle w:val="Corpodetexto"/>
        <w:spacing w:before="140" w:line="312" w:lineRule="auto"/>
        <w:ind w:right="52"/>
      </w:pPr>
      <w:r>
        <w:t>Assim, a melhoria no preço internacional da scheelita levou os órgãos federais e estaduais ligados à atividade min</w:t>
      </w:r>
      <w:r>
        <w:t>eral no Rio Grande do Norte a iniciarem ações de acompanhamento e apoio a esses mineradores que resistiam no Seridó (TRIBUNA DO NORTE, 2006).</w:t>
      </w:r>
    </w:p>
    <w:p w:rsidR="00D81F69" w:rsidRDefault="00330118">
      <w:pPr>
        <w:pStyle w:val="Corpodetexto"/>
        <w:spacing w:before="135" w:line="312" w:lineRule="auto"/>
        <w:ind w:right="43"/>
      </w:pPr>
      <w:r>
        <w:t>O setor começou a ser reorganizar com o auxílio do DNPM, que apostou no cooperativismo para tirar a atividade da c</w:t>
      </w:r>
      <w:r>
        <w:t>ondição de garimpo e atrair grandes investidores. Um dos objetivos da criação de cooperativas era reduzir os custos de cada mina. Um corpo técnico – em Segurança no Trabalho, Geologia, Mineração, engenheiros de minas e geólogos – atenderia a diferentes pro</w:t>
      </w:r>
      <w:r>
        <w:t>jetos através de cooperativas (BARROSO, 2006).</w:t>
      </w:r>
    </w:p>
    <w:p w:rsidR="00D81F69" w:rsidRDefault="00330118">
      <w:pPr>
        <w:pStyle w:val="Corpodetexto"/>
        <w:spacing w:before="74" w:line="270" w:lineRule="atLeast"/>
        <w:ind w:right="39"/>
      </w:pPr>
      <w:r>
        <w:t xml:space="preserve">Em 2005, o DNPM intensificou as ações de caducidade [perda de um direito pelo seu titular] das antigas minas, tornando-as indisponíveis às empresas que as controlavam, a não ser que regularizassem a situação. </w:t>
      </w:r>
      <w:r>
        <w:t>Os processos permitiam, por exemplo, que antigas áreas de minas ficassem disponíveis para novas concessões. Mas os propensos interessados deveriam apresentar estudos, quantificando as jazidas e a viabilidade econômica (BARROSO, 2006).</w:t>
      </w:r>
    </w:p>
    <w:p w:rsidR="00D81F69" w:rsidRDefault="00330118">
      <w:pPr>
        <w:pStyle w:val="Corpodetexto"/>
        <w:spacing w:before="5"/>
        <w:ind w:left="0"/>
        <w:jc w:val="left"/>
        <w:rPr>
          <w:sz w:val="24"/>
        </w:rPr>
      </w:pPr>
      <w:r>
        <w:br w:type="column"/>
      </w:r>
    </w:p>
    <w:p w:rsidR="00D81F69" w:rsidRDefault="00330118">
      <w:pPr>
        <w:pStyle w:val="Corpodetexto"/>
        <w:spacing w:line="312" w:lineRule="auto"/>
        <w:ind w:right="194"/>
      </w:pPr>
      <w:r>
        <w:t>Nas rochas pegmatít</w:t>
      </w:r>
      <w:r>
        <w:t xml:space="preserve">icas do Seridó-Borborema são lavrados o caulim, o quartzo e o feldspato. O método de lavra, em geral, é a céu aberto com emprego de métodos convencionais (uso </w:t>
      </w:r>
      <w:r>
        <w:rPr>
          <w:spacing w:val="1"/>
        </w:rPr>
        <w:t xml:space="preserve">de </w:t>
      </w:r>
      <w:r>
        <w:rPr>
          <w:spacing w:val="3"/>
        </w:rPr>
        <w:t xml:space="preserve">trator, retroescavadeira </w:t>
      </w:r>
      <w:r>
        <w:t xml:space="preserve">e </w:t>
      </w:r>
      <w:r>
        <w:rPr>
          <w:spacing w:val="3"/>
        </w:rPr>
        <w:t xml:space="preserve">carregadeira frontal). </w:t>
      </w:r>
      <w:r>
        <w:rPr>
          <w:spacing w:val="5"/>
        </w:rPr>
        <w:t xml:space="preserve">Esses </w:t>
      </w:r>
      <w:r>
        <w:rPr>
          <w:spacing w:val="6"/>
        </w:rPr>
        <w:t xml:space="preserve">minerais </w:t>
      </w:r>
      <w:r>
        <w:rPr>
          <w:spacing w:val="5"/>
        </w:rPr>
        <w:t xml:space="preserve">são </w:t>
      </w:r>
      <w:r>
        <w:rPr>
          <w:spacing w:val="6"/>
        </w:rPr>
        <w:t xml:space="preserve">utilizados </w:t>
      </w:r>
      <w:r>
        <w:rPr>
          <w:spacing w:val="3"/>
        </w:rPr>
        <w:t xml:space="preserve">na </w:t>
      </w:r>
      <w:r>
        <w:rPr>
          <w:spacing w:val="6"/>
        </w:rPr>
        <w:t>indústria c</w:t>
      </w:r>
      <w:r>
        <w:rPr>
          <w:spacing w:val="6"/>
        </w:rPr>
        <w:t xml:space="preserve">erâmica, </w:t>
      </w:r>
      <w:r>
        <w:t xml:space="preserve">e o </w:t>
      </w:r>
      <w:r>
        <w:rPr>
          <w:spacing w:val="7"/>
        </w:rPr>
        <w:t xml:space="preserve">seu </w:t>
      </w:r>
      <w:r>
        <w:rPr>
          <w:spacing w:val="6"/>
        </w:rPr>
        <w:t xml:space="preserve">processo </w:t>
      </w:r>
      <w:r>
        <w:rPr>
          <w:spacing w:val="3"/>
        </w:rPr>
        <w:t xml:space="preserve">de </w:t>
      </w:r>
      <w:r>
        <w:rPr>
          <w:spacing w:val="6"/>
        </w:rPr>
        <w:t xml:space="preserve">extração </w:t>
      </w:r>
      <w:r>
        <w:rPr>
          <w:spacing w:val="5"/>
        </w:rPr>
        <w:t xml:space="preserve">gera como </w:t>
      </w:r>
      <w:r>
        <w:rPr>
          <w:spacing w:val="6"/>
        </w:rPr>
        <w:t xml:space="preserve">subproduto </w:t>
      </w:r>
      <w:r>
        <w:t xml:space="preserve">o </w:t>
      </w:r>
      <w:r>
        <w:rPr>
          <w:spacing w:val="7"/>
        </w:rPr>
        <w:t xml:space="preserve">mineral </w:t>
      </w:r>
      <w:r>
        <w:rPr>
          <w:spacing w:val="3"/>
        </w:rPr>
        <w:t xml:space="preserve">muscovita, </w:t>
      </w:r>
      <w:r>
        <w:rPr>
          <w:spacing w:val="2"/>
        </w:rPr>
        <w:t xml:space="preserve">que </w:t>
      </w:r>
      <w:r>
        <w:rPr>
          <w:spacing w:val="3"/>
        </w:rPr>
        <w:t xml:space="preserve">provoca impacto ambiental devido </w:t>
      </w:r>
      <w:r>
        <w:rPr>
          <w:spacing w:val="1"/>
        </w:rPr>
        <w:t xml:space="preserve">ao </w:t>
      </w:r>
      <w:r>
        <w:rPr>
          <w:spacing w:val="5"/>
        </w:rPr>
        <w:t xml:space="preserve">seu </w:t>
      </w:r>
      <w:r>
        <w:t xml:space="preserve">acúmulo, em grandes quantidades, a céu aberto (BARROS, </w:t>
      </w:r>
      <w:r>
        <w:rPr>
          <w:spacing w:val="1"/>
        </w:rPr>
        <w:t>2005).</w:t>
      </w:r>
    </w:p>
    <w:p w:rsidR="00D81F69" w:rsidRDefault="00330118">
      <w:pPr>
        <w:pStyle w:val="Corpodetexto"/>
        <w:spacing w:before="138" w:line="312" w:lineRule="auto"/>
        <w:ind w:right="204"/>
      </w:pPr>
      <w:r>
        <w:t>A difusão da produção de cerâmica no Seridó surgiu como alternativa pa</w:t>
      </w:r>
      <w:r>
        <w:t>ra gerar ocupação e renda na época da crise da antiga base produtiva – algodão e scheelita. Dados do Serviço Nacional de Aprendizagem Industrial (SENAI/RN) revelam que, entre 1989 e 2001, houve um expressivo crescimento do setor ceramista no estado, princi</w:t>
      </w:r>
      <w:r>
        <w:t>palmente, no Seridó (MORAIS, 2005 apud MINISTÉRIO DO MEIO AMBIENTE, 2005).</w:t>
      </w:r>
    </w:p>
    <w:p w:rsidR="00D81F69" w:rsidRDefault="00330118">
      <w:pPr>
        <w:pStyle w:val="Corpodetexto"/>
        <w:spacing w:before="138" w:line="312" w:lineRule="auto"/>
        <w:ind w:right="190"/>
      </w:pPr>
      <w:r>
        <w:t>Se por um lado a atividade é responsável pela garantia de trabalho e renda para um grande contingente da população, por outro contribui para acentuar a susceptibilidade à desertific</w:t>
      </w:r>
      <w:r>
        <w:t>ação, tendo em vista a origem da argila, a matéria prima da atividade, e a rudimentar tecnologia de produção que utiliza a lenha como fonte de energia. A fabricação de telhas e tijolos com base na utilização de recursos florestais e de solos aluviais, ante</w:t>
      </w:r>
      <w:r>
        <w:t>s usados para a lavoura de subsistência e para o plantio de pastagens, tem aguçado os problemas ambientais da região, cujo ecossistema predominante já apresenta naturalmente tendência a processos de degradação (MINISTÉRIO DO MEIO AMBIENTE, 2005).</w:t>
      </w:r>
    </w:p>
    <w:p w:rsidR="00D81F69" w:rsidRDefault="00330118">
      <w:pPr>
        <w:pStyle w:val="Corpodetexto"/>
        <w:spacing w:before="141" w:line="312" w:lineRule="auto"/>
        <w:ind w:right="205"/>
      </w:pPr>
      <w:r>
        <w:t>As principais indústrias mineradoras de caulim estão instaladas nos municípios do Equador (RN) e Junco do Seridó (PB). Essas mineradoras perdem em torno de 50% de caulim durante o beneficiamento. A perda é causada principalmente pela ineficiência dos proce</w:t>
      </w:r>
      <w:r>
        <w:t>ssos de cominuição [diminuição gradual pela remoção sucessiva de pequenas partículas] e de classificação das usinas de tratamento de minérios (LEITE et al., 2007 I apud SOUZA; HARIMA; LEITE, 2007).</w:t>
      </w:r>
    </w:p>
    <w:p w:rsidR="00D81F69" w:rsidRDefault="00330118">
      <w:pPr>
        <w:pStyle w:val="Corpodetexto"/>
        <w:spacing w:before="137" w:line="312" w:lineRule="auto"/>
        <w:ind w:right="202"/>
      </w:pPr>
      <w:r>
        <w:t xml:space="preserve">O uso de argila de açudes para fins ceramistas também tem </w:t>
      </w:r>
      <w:r>
        <w:rPr>
          <w:spacing w:val="1"/>
        </w:rPr>
        <w:t xml:space="preserve">contribuído para degradar </w:t>
      </w:r>
      <w:r>
        <w:t xml:space="preserve">o </w:t>
      </w:r>
      <w:r>
        <w:rPr>
          <w:spacing w:val="1"/>
        </w:rPr>
        <w:t xml:space="preserve">ambiente </w:t>
      </w:r>
      <w:r>
        <w:t xml:space="preserve">e </w:t>
      </w:r>
      <w:r>
        <w:rPr>
          <w:spacing w:val="1"/>
        </w:rPr>
        <w:t xml:space="preserve">gerar conflitos </w:t>
      </w:r>
      <w:r>
        <w:rPr>
          <w:spacing w:val="2"/>
        </w:rPr>
        <w:t xml:space="preserve">em </w:t>
      </w:r>
      <w:r>
        <w:rPr>
          <w:spacing w:val="3"/>
        </w:rPr>
        <w:t xml:space="preserve">áreas </w:t>
      </w:r>
      <w:r>
        <w:rPr>
          <w:spacing w:val="2"/>
        </w:rPr>
        <w:t xml:space="preserve">de </w:t>
      </w:r>
      <w:r>
        <w:rPr>
          <w:spacing w:val="5"/>
        </w:rPr>
        <w:t xml:space="preserve">vazante </w:t>
      </w:r>
      <w:r>
        <w:rPr>
          <w:spacing w:val="3"/>
        </w:rPr>
        <w:t xml:space="preserve">dos </w:t>
      </w:r>
      <w:r>
        <w:rPr>
          <w:spacing w:val="5"/>
        </w:rPr>
        <w:t xml:space="preserve">reservatórios, </w:t>
      </w:r>
      <w:r>
        <w:rPr>
          <w:spacing w:val="3"/>
        </w:rPr>
        <w:t xml:space="preserve">cuja </w:t>
      </w:r>
      <w:r>
        <w:rPr>
          <w:spacing w:val="5"/>
        </w:rPr>
        <w:t xml:space="preserve">destinação </w:t>
      </w:r>
      <w:r>
        <w:t xml:space="preserve">é a </w:t>
      </w:r>
      <w:r>
        <w:rPr>
          <w:spacing w:val="5"/>
        </w:rPr>
        <w:t xml:space="preserve">produção </w:t>
      </w:r>
      <w:r>
        <w:rPr>
          <w:spacing w:val="2"/>
        </w:rPr>
        <w:t xml:space="preserve">de </w:t>
      </w:r>
      <w:r>
        <w:rPr>
          <w:spacing w:val="5"/>
        </w:rPr>
        <w:t xml:space="preserve">hortifrutigranjeiros </w:t>
      </w:r>
      <w:r>
        <w:t xml:space="preserve">e </w:t>
      </w:r>
      <w:r>
        <w:rPr>
          <w:spacing w:val="2"/>
        </w:rPr>
        <w:t xml:space="preserve">de </w:t>
      </w:r>
      <w:r>
        <w:rPr>
          <w:spacing w:val="3"/>
        </w:rPr>
        <w:t xml:space="preserve">capim para </w:t>
      </w:r>
      <w:r>
        <w:t xml:space="preserve">o </w:t>
      </w:r>
      <w:r>
        <w:rPr>
          <w:spacing w:val="5"/>
        </w:rPr>
        <w:t xml:space="preserve">gado quando </w:t>
      </w:r>
      <w:r>
        <w:t xml:space="preserve">o </w:t>
      </w:r>
      <w:r>
        <w:rPr>
          <w:spacing w:val="5"/>
        </w:rPr>
        <w:t xml:space="preserve">volume d’água encontra-se baixo. </w:t>
      </w:r>
      <w:r>
        <w:t xml:space="preserve">A </w:t>
      </w:r>
      <w:r>
        <w:rPr>
          <w:spacing w:val="5"/>
        </w:rPr>
        <w:t>produção</w:t>
      </w:r>
      <w:r>
        <w:rPr>
          <w:spacing w:val="61"/>
        </w:rPr>
        <w:t xml:space="preserve"> </w:t>
      </w:r>
      <w:r>
        <w:t xml:space="preserve">ceramista é considerada pela maioria dos estudiosos como a </w:t>
      </w:r>
      <w:r>
        <w:rPr>
          <w:spacing w:val="5"/>
        </w:rPr>
        <w:t xml:space="preserve">atividade </w:t>
      </w:r>
      <w:r>
        <w:rPr>
          <w:spacing w:val="3"/>
        </w:rPr>
        <w:t xml:space="preserve">que mais </w:t>
      </w:r>
      <w:r>
        <w:rPr>
          <w:spacing w:val="5"/>
        </w:rPr>
        <w:t xml:space="preserve">corrobora </w:t>
      </w:r>
      <w:r>
        <w:rPr>
          <w:spacing w:val="3"/>
        </w:rPr>
        <w:t xml:space="preserve">para </w:t>
      </w:r>
      <w:r>
        <w:rPr>
          <w:spacing w:val="5"/>
        </w:rPr>
        <w:t xml:space="preserve">degradar </w:t>
      </w:r>
      <w:r>
        <w:t xml:space="preserve">a </w:t>
      </w:r>
      <w:r>
        <w:rPr>
          <w:spacing w:val="5"/>
        </w:rPr>
        <w:t xml:space="preserve">região do </w:t>
      </w:r>
      <w:r>
        <w:rPr>
          <w:spacing w:val="10"/>
        </w:rPr>
        <w:t xml:space="preserve">Seridó </w:t>
      </w:r>
      <w:r>
        <w:rPr>
          <w:spacing w:val="11"/>
        </w:rPr>
        <w:t xml:space="preserve">norte-rio-grandense </w:t>
      </w:r>
      <w:r>
        <w:rPr>
          <w:spacing w:val="10"/>
        </w:rPr>
        <w:t xml:space="preserve">(MEDEIROS, </w:t>
      </w:r>
      <w:r>
        <w:rPr>
          <w:spacing w:val="8"/>
        </w:rPr>
        <w:t xml:space="preserve">2004 </w:t>
      </w:r>
      <w:r>
        <w:rPr>
          <w:spacing w:val="12"/>
        </w:rPr>
        <w:t xml:space="preserve">apud </w:t>
      </w:r>
      <w:r>
        <w:rPr>
          <w:spacing w:val="10"/>
        </w:rPr>
        <w:t xml:space="preserve">MINISTÉRIO </w:t>
      </w:r>
      <w:r>
        <w:rPr>
          <w:spacing w:val="5"/>
        </w:rPr>
        <w:t xml:space="preserve">DO </w:t>
      </w:r>
      <w:r>
        <w:rPr>
          <w:spacing w:val="8"/>
        </w:rPr>
        <w:t xml:space="preserve">MEIO </w:t>
      </w:r>
      <w:r>
        <w:rPr>
          <w:spacing w:val="10"/>
        </w:rPr>
        <w:t xml:space="preserve">AMBIENTE, </w:t>
      </w:r>
      <w:r>
        <w:rPr>
          <w:spacing w:val="12"/>
        </w:rPr>
        <w:t>2005).</w:t>
      </w:r>
    </w:p>
    <w:p w:rsidR="00D81F69" w:rsidRDefault="00330118">
      <w:pPr>
        <w:pStyle w:val="Corpodetexto"/>
        <w:spacing w:before="138" w:line="312" w:lineRule="auto"/>
        <w:ind w:right="188"/>
      </w:pPr>
      <w:r>
        <w:t>A extração de argila acelera a erosão por causa das crater</w:t>
      </w:r>
      <w:r>
        <w:t>as que se formam no solo, tornando a atividade um agente incisivo de degradação em um cenário marcado pela semiaridez. Desta forma, o baixo nível tecnológico utilizado na fabricação de telhas e tijolos tem gerado grandes perdas de material que se transform</w:t>
      </w:r>
      <w:r>
        <w:t>am em resíduo, permanecendo entulhado nas proximidades das unidades de produção,</w:t>
      </w:r>
    </w:p>
    <w:p w:rsidR="00D81F69" w:rsidRDefault="00D81F69">
      <w:pPr>
        <w:spacing w:line="312" w:lineRule="auto"/>
        <w:sectPr w:rsidR="00D81F69">
          <w:pgSz w:w="11900" w:h="16840"/>
          <w:pgMar w:top="740" w:right="500" w:bottom="640" w:left="620" w:header="0" w:footer="402" w:gutter="0"/>
          <w:cols w:num="2" w:space="720" w:equalWidth="0">
            <w:col w:w="5160" w:space="310"/>
            <w:col w:w="5310"/>
          </w:cols>
        </w:sectPr>
      </w:pPr>
    </w:p>
    <w:p w:rsidR="00D81F69" w:rsidRDefault="00330118">
      <w:pPr>
        <w:pStyle w:val="Corpodetexto"/>
        <w:spacing w:before="81" w:line="312" w:lineRule="auto"/>
        <w:ind w:right="88"/>
      </w:pPr>
      <w:r>
        <w:rPr>
          <w:spacing w:val="10"/>
        </w:rPr>
        <w:lastRenderedPageBreak/>
        <w:t xml:space="preserve">agredindo </w:t>
      </w:r>
      <w:r>
        <w:t xml:space="preserve">o </w:t>
      </w:r>
      <w:r>
        <w:rPr>
          <w:spacing w:val="8"/>
        </w:rPr>
        <w:t xml:space="preserve">meio </w:t>
      </w:r>
      <w:r>
        <w:rPr>
          <w:spacing w:val="10"/>
        </w:rPr>
        <w:t xml:space="preserve">ambiente (MINISTÉRIO </w:t>
      </w:r>
      <w:r>
        <w:rPr>
          <w:spacing w:val="5"/>
        </w:rPr>
        <w:t xml:space="preserve">DO </w:t>
      </w:r>
      <w:r>
        <w:rPr>
          <w:spacing w:val="11"/>
        </w:rPr>
        <w:t xml:space="preserve">MEIO </w:t>
      </w:r>
      <w:r>
        <w:rPr>
          <w:spacing w:val="10"/>
        </w:rPr>
        <w:t>AMBIENTE,</w:t>
      </w:r>
      <w:r>
        <w:rPr>
          <w:spacing w:val="61"/>
        </w:rPr>
        <w:t xml:space="preserve"> </w:t>
      </w:r>
      <w:r>
        <w:rPr>
          <w:spacing w:val="11"/>
        </w:rPr>
        <w:t>2005).</w:t>
      </w:r>
    </w:p>
    <w:p w:rsidR="00D81F69" w:rsidRDefault="00330118">
      <w:pPr>
        <w:pStyle w:val="Corpodetexto"/>
        <w:spacing w:before="132" w:line="312" w:lineRule="auto"/>
        <w:ind w:right="62"/>
      </w:pPr>
      <w:r>
        <w:t xml:space="preserve">Diante do cenário apresentado, é grande o desafio que a sociedade potiguar precisa </w:t>
      </w:r>
      <w:r>
        <w:t>enfrentar, tendo em vista a extensão da atividade mineira e, especialmente, a dimensão que a produção de cerâmica assumiu na região. Apresentando-se com alguns estabelecimentos dispersos e outros agregados em polos, a produção de cerâmica cristaliza a difí</w:t>
      </w:r>
      <w:r>
        <w:t>cil equação entre dividendos econômicos e degradação ambiental (MINISTÉRIO DO MEIO AMBIENTE, 2005).</w:t>
      </w:r>
    </w:p>
    <w:p w:rsidR="00D81F69" w:rsidRDefault="00330118">
      <w:pPr>
        <w:pStyle w:val="Corpodetexto"/>
        <w:spacing w:before="137" w:line="312" w:lineRule="auto"/>
        <w:ind w:right="94"/>
      </w:pPr>
      <w:r>
        <w:t xml:space="preserve">Neste panorama, há um dado relevante: 97% das terras do Rio </w:t>
      </w:r>
      <w:r>
        <w:rPr>
          <w:spacing w:val="1"/>
        </w:rPr>
        <w:t xml:space="preserve">Grande </w:t>
      </w:r>
      <w:r>
        <w:t xml:space="preserve">do </w:t>
      </w:r>
      <w:r>
        <w:rPr>
          <w:spacing w:val="1"/>
        </w:rPr>
        <w:t xml:space="preserve">Norte </w:t>
      </w:r>
      <w:r>
        <w:t xml:space="preserve">são </w:t>
      </w:r>
      <w:r>
        <w:rPr>
          <w:spacing w:val="1"/>
        </w:rPr>
        <w:t xml:space="preserve">suscetíveis </w:t>
      </w:r>
      <w:r>
        <w:t xml:space="preserve">à </w:t>
      </w:r>
      <w:r>
        <w:rPr>
          <w:spacing w:val="1"/>
        </w:rPr>
        <w:t xml:space="preserve">desertificação </w:t>
      </w:r>
      <w:r>
        <w:t xml:space="preserve">e, o </w:t>
      </w:r>
      <w:r>
        <w:rPr>
          <w:spacing w:val="3"/>
        </w:rPr>
        <w:t xml:space="preserve">Seridó, principal </w:t>
      </w:r>
      <w:r>
        <w:rPr>
          <w:spacing w:val="2"/>
        </w:rPr>
        <w:t xml:space="preserve">polo </w:t>
      </w:r>
      <w:r>
        <w:rPr>
          <w:spacing w:val="3"/>
        </w:rPr>
        <w:t xml:space="preserve">ceramista </w:t>
      </w:r>
      <w:r>
        <w:rPr>
          <w:spacing w:val="1"/>
        </w:rPr>
        <w:t xml:space="preserve">do </w:t>
      </w:r>
      <w:r>
        <w:rPr>
          <w:spacing w:val="3"/>
        </w:rPr>
        <w:t>estado</w:t>
      </w:r>
      <w:r>
        <w:rPr>
          <w:spacing w:val="3"/>
        </w:rPr>
        <w:t xml:space="preserve">, </w:t>
      </w:r>
      <w:r>
        <w:rPr>
          <w:spacing w:val="5"/>
        </w:rPr>
        <w:t xml:space="preserve">apresenta-se </w:t>
      </w:r>
      <w:r>
        <w:rPr>
          <w:spacing w:val="2"/>
        </w:rPr>
        <w:t xml:space="preserve">como </w:t>
      </w:r>
      <w:r>
        <w:rPr>
          <w:spacing w:val="1"/>
        </w:rPr>
        <w:t xml:space="preserve">um </w:t>
      </w:r>
      <w:r>
        <w:rPr>
          <w:spacing w:val="3"/>
        </w:rPr>
        <w:t xml:space="preserve">espaço marcado </w:t>
      </w:r>
      <w:r>
        <w:rPr>
          <w:spacing w:val="2"/>
        </w:rPr>
        <w:t xml:space="preserve">pela </w:t>
      </w:r>
      <w:r>
        <w:rPr>
          <w:spacing w:val="3"/>
        </w:rPr>
        <w:t xml:space="preserve">exaustiva intervenção </w:t>
      </w:r>
      <w:r>
        <w:rPr>
          <w:spacing w:val="5"/>
        </w:rPr>
        <w:t xml:space="preserve">do </w:t>
      </w:r>
      <w:r>
        <w:t xml:space="preserve">homem no meio, um legado de degradação que fez a região </w:t>
      </w:r>
      <w:r>
        <w:rPr>
          <w:spacing w:val="2"/>
        </w:rPr>
        <w:t xml:space="preserve">ser </w:t>
      </w:r>
      <w:r>
        <w:rPr>
          <w:spacing w:val="3"/>
        </w:rPr>
        <w:t xml:space="preserve">perfilada entre </w:t>
      </w:r>
      <w:r>
        <w:rPr>
          <w:spacing w:val="1"/>
        </w:rPr>
        <w:t xml:space="preserve">os </w:t>
      </w:r>
      <w:r>
        <w:rPr>
          <w:spacing w:val="3"/>
        </w:rPr>
        <w:t xml:space="preserve">núcleos </w:t>
      </w:r>
      <w:r>
        <w:rPr>
          <w:spacing w:val="1"/>
        </w:rPr>
        <w:t xml:space="preserve">de </w:t>
      </w:r>
      <w:r>
        <w:rPr>
          <w:spacing w:val="3"/>
        </w:rPr>
        <w:t xml:space="preserve">desertificação </w:t>
      </w:r>
      <w:r>
        <w:rPr>
          <w:spacing w:val="1"/>
        </w:rPr>
        <w:t xml:space="preserve">do </w:t>
      </w:r>
      <w:r>
        <w:rPr>
          <w:spacing w:val="5"/>
        </w:rPr>
        <w:t xml:space="preserve">Brasil </w:t>
      </w:r>
      <w:r>
        <w:rPr>
          <w:spacing w:val="3"/>
        </w:rPr>
        <w:t xml:space="preserve">(MINISTÉRIO </w:t>
      </w:r>
      <w:r>
        <w:rPr>
          <w:spacing w:val="1"/>
        </w:rPr>
        <w:t xml:space="preserve">DO </w:t>
      </w:r>
      <w:r>
        <w:rPr>
          <w:spacing w:val="2"/>
        </w:rPr>
        <w:t xml:space="preserve">MEIO </w:t>
      </w:r>
      <w:r>
        <w:rPr>
          <w:spacing w:val="3"/>
        </w:rPr>
        <w:t>AMBIENTE,</w:t>
      </w:r>
      <w:r>
        <w:rPr>
          <w:spacing w:val="55"/>
        </w:rPr>
        <w:t xml:space="preserve"> </w:t>
      </w:r>
      <w:r>
        <w:rPr>
          <w:spacing w:val="5"/>
        </w:rPr>
        <w:t>2005).</w:t>
      </w:r>
    </w:p>
    <w:p w:rsidR="00D81F69" w:rsidRDefault="00330118">
      <w:pPr>
        <w:pStyle w:val="Corpodetexto"/>
        <w:spacing w:before="137" w:line="312" w:lineRule="auto"/>
        <w:ind w:right="79"/>
      </w:pPr>
      <w:r>
        <w:t>O desequilíbrio na região do Seridó reflete-se não só em vários problemas ambientais, como a erosão, a salinização dos solos e a perda da biodiversidade, como também em problemas sociais, principalmente com a desestruturação familiar pela necessidade de mi</w:t>
      </w:r>
      <w:r>
        <w:t xml:space="preserve">grar para centros urbanos devido à perda da capacidade produtiva da terra. Além disso, há os problemas econômicos, com prejuízos para a produção agrícola e a diminuição da renda da população (FERNANDES; MEDEIROS, 2009). </w:t>
      </w:r>
    </w:p>
    <w:p w:rsidR="00D81F69" w:rsidRDefault="00330118">
      <w:pPr>
        <w:pStyle w:val="Corpodetexto"/>
        <w:spacing w:before="138" w:line="312" w:lineRule="auto"/>
        <w:ind w:right="80"/>
      </w:pPr>
      <w:r>
        <w:rPr>
          <w:spacing w:val="2"/>
        </w:rPr>
        <w:t xml:space="preserve">No </w:t>
      </w:r>
      <w:r>
        <w:rPr>
          <w:spacing w:val="5"/>
        </w:rPr>
        <w:t xml:space="preserve">período </w:t>
      </w:r>
      <w:r>
        <w:rPr>
          <w:spacing w:val="3"/>
        </w:rPr>
        <w:t xml:space="preserve">entre 1995 </w:t>
      </w:r>
      <w:r>
        <w:t xml:space="preserve">e </w:t>
      </w:r>
      <w:r>
        <w:rPr>
          <w:spacing w:val="3"/>
        </w:rPr>
        <w:t>2000, perto</w:t>
      </w:r>
      <w:r>
        <w:rPr>
          <w:spacing w:val="3"/>
        </w:rPr>
        <w:t xml:space="preserve"> </w:t>
      </w:r>
      <w:r>
        <w:rPr>
          <w:spacing w:val="2"/>
        </w:rPr>
        <w:t xml:space="preserve">de 32 </w:t>
      </w:r>
      <w:r>
        <w:rPr>
          <w:spacing w:val="3"/>
        </w:rPr>
        <w:t xml:space="preserve">mil </w:t>
      </w:r>
      <w:r>
        <w:rPr>
          <w:spacing w:val="5"/>
        </w:rPr>
        <w:t>pessoas</w:t>
      </w:r>
      <w:r>
        <w:rPr>
          <w:spacing w:val="61"/>
        </w:rPr>
        <w:t xml:space="preserve"> </w:t>
      </w:r>
      <w:r>
        <w:rPr>
          <w:spacing w:val="5"/>
        </w:rPr>
        <w:t xml:space="preserve">abandonaram </w:t>
      </w:r>
      <w:r>
        <w:t xml:space="preserve">a </w:t>
      </w:r>
      <w:r>
        <w:rPr>
          <w:spacing w:val="3"/>
        </w:rPr>
        <w:t xml:space="preserve">zona rural </w:t>
      </w:r>
      <w:r>
        <w:rPr>
          <w:spacing w:val="2"/>
        </w:rPr>
        <w:t xml:space="preserve">do </w:t>
      </w:r>
      <w:r>
        <w:rPr>
          <w:spacing w:val="3"/>
        </w:rPr>
        <w:t xml:space="preserve">Rio </w:t>
      </w:r>
      <w:r>
        <w:rPr>
          <w:spacing w:val="5"/>
        </w:rPr>
        <w:t xml:space="preserve">Grande </w:t>
      </w:r>
      <w:r>
        <w:rPr>
          <w:spacing w:val="2"/>
        </w:rPr>
        <w:t xml:space="preserve">do </w:t>
      </w:r>
      <w:r>
        <w:rPr>
          <w:spacing w:val="3"/>
        </w:rPr>
        <w:t xml:space="preserve">Norte </w:t>
      </w:r>
      <w:r>
        <w:rPr>
          <w:spacing w:val="5"/>
        </w:rPr>
        <w:t xml:space="preserve">com </w:t>
      </w:r>
      <w:r>
        <w:t xml:space="preserve">destino a outros municípios. Os dados são do censo de 2000, realizado pelo IBGE, e revelam que a maioria das migrações </w:t>
      </w:r>
      <w:r>
        <w:rPr>
          <w:spacing w:val="2"/>
        </w:rPr>
        <w:t xml:space="preserve">está </w:t>
      </w:r>
      <w:r>
        <w:rPr>
          <w:spacing w:val="3"/>
        </w:rPr>
        <w:t xml:space="preserve">associada </w:t>
      </w:r>
      <w:r>
        <w:t xml:space="preserve">à </w:t>
      </w:r>
      <w:r>
        <w:rPr>
          <w:spacing w:val="3"/>
        </w:rPr>
        <w:t xml:space="preserve">difícil convivência </w:t>
      </w:r>
      <w:r>
        <w:rPr>
          <w:spacing w:val="2"/>
        </w:rPr>
        <w:t xml:space="preserve">com </w:t>
      </w:r>
      <w:r>
        <w:t xml:space="preserve">a </w:t>
      </w:r>
      <w:r>
        <w:rPr>
          <w:spacing w:val="2"/>
        </w:rPr>
        <w:t xml:space="preserve">seca </w:t>
      </w:r>
      <w:r>
        <w:t xml:space="preserve">e </w:t>
      </w:r>
      <w:r>
        <w:rPr>
          <w:spacing w:val="2"/>
        </w:rPr>
        <w:t xml:space="preserve">com </w:t>
      </w:r>
      <w:r>
        <w:t xml:space="preserve">a </w:t>
      </w:r>
      <w:r>
        <w:rPr>
          <w:spacing w:val="3"/>
        </w:rPr>
        <w:t>desertific</w:t>
      </w:r>
      <w:r>
        <w:rPr>
          <w:spacing w:val="3"/>
        </w:rPr>
        <w:t xml:space="preserve">ação (BARROSO, </w:t>
      </w:r>
      <w:r>
        <w:rPr>
          <w:spacing w:val="5"/>
        </w:rPr>
        <w:t>2006).</w:t>
      </w:r>
    </w:p>
    <w:p w:rsidR="00D81F69" w:rsidRDefault="00330118">
      <w:pPr>
        <w:pStyle w:val="Corpodetexto"/>
        <w:spacing w:before="135" w:line="312" w:lineRule="auto"/>
        <w:ind w:right="76"/>
      </w:pPr>
      <w:r>
        <w:t xml:space="preserve">Uma das estratégias para lidar com o problema da desertificação na região foi a criação, em 1997, do Grupo de Estudos sobre Desertificação no Seridó (GEDS). O grupo, que envolve diversas instituições fomenta estudos e debates sobre o </w:t>
      </w:r>
      <w:r>
        <w:t>tema, articulando ações capazes de promover o desenvolvimento sustentável no Seridó (IDEMA, 2004 apud MINISTÉRIO DO MEIO AMBIENTE, 2005). Já em junho de</w:t>
      </w:r>
    </w:p>
    <w:p w:rsidR="00D81F69" w:rsidRDefault="00330118">
      <w:pPr>
        <w:pStyle w:val="Corpodetexto"/>
        <w:spacing w:before="7" w:line="312" w:lineRule="auto"/>
        <w:ind w:right="75"/>
      </w:pPr>
      <w:r>
        <w:t>2004, através de um termo de cooperação técnica e científica, foi criado o Núcleo de Desenvolvimento Su</w:t>
      </w:r>
      <w:r>
        <w:t>stentável da Região do Seridó (Nudes). Os signatários do termo se comprometeram a desenvolver ações conjuntas, de modo a integrar os diversos recursos materiais e humanos existentes, bem como toda a experiência e conhecimento adquiridos sobre o tema (MINIS</w:t>
      </w:r>
      <w:r>
        <w:t>TÉRIO DO MEIO AMBIENTE, 2005).</w:t>
      </w:r>
    </w:p>
    <w:p w:rsidR="00D81F69" w:rsidRDefault="00330118">
      <w:pPr>
        <w:pStyle w:val="Corpodetexto"/>
        <w:spacing w:before="73" w:line="270" w:lineRule="atLeast"/>
        <w:ind w:right="109"/>
        <w:jc w:val="left"/>
      </w:pPr>
      <w:r>
        <w:t xml:space="preserve">A </w:t>
      </w:r>
      <w:r>
        <w:rPr>
          <w:spacing w:val="5"/>
        </w:rPr>
        <w:t xml:space="preserve">área piloto </w:t>
      </w:r>
      <w:r>
        <w:rPr>
          <w:spacing w:val="6"/>
        </w:rPr>
        <w:t xml:space="preserve">escolhida </w:t>
      </w:r>
      <w:r>
        <w:rPr>
          <w:spacing w:val="5"/>
        </w:rPr>
        <w:t xml:space="preserve">para </w:t>
      </w:r>
      <w:r>
        <w:rPr>
          <w:spacing w:val="6"/>
        </w:rPr>
        <w:t xml:space="preserve">implantação </w:t>
      </w:r>
      <w:r>
        <w:rPr>
          <w:spacing w:val="5"/>
        </w:rPr>
        <w:t xml:space="preserve">deste </w:t>
      </w:r>
      <w:r>
        <w:rPr>
          <w:spacing w:val="7"/>
        </w:rPr>
        <w:t xml:space="preserve">núcleo, </w:t>
      </w:r>
      <w:r>
        <w:t xml:space="preserve">abrange uma extensão de 80 km² e localiza-se no município de Parelhas, mais especificamente nas comunidades </w:t>
      </w:r>
      <w:r>
        <w:rPr>
          <w:spacing w:val="1"/>
        </w:rPr>
        <w:t xml:space="preserve">rurais  </w:t>
      </w:r>
      <w:r>
        <w:t>de Cachoeira, Juazeiro e Santo Antônio da Cobra, inser</w:t>
      </w:r>
      <w:r>
        <w:t xml:space="preserve">idas  na bacia hidrográfica do Rio Cobra. Conforme informações </w:t>
      </w:r>
      <w:r>
        <w:rPr>
          <w:spacing w:val="1"/>
        </w:rPr>
        <w:t xml:space="preserve">obtidas </w:t>
      </w:r>
      <w:r>
        <w:t xml:space="preserve">na </w:t>
      </w:r>
      <w:r>
        <w:rPr>
          <w:spacing w:val="1"/>
        </w:rPr>
        <w:t xml:space="preserve">Secretaria </w:t>
      </w:r>
      <w:r>
        <w:t xml:space="preserve">de </w:t>
      </w:r>
      <w:r>
        <w:rPr>
          <w:spacing w:val="1"/>
        </w:rPr>
        <w:t xml:space="preserve">Estado </w:t>
      </w:r>
      <w:r>
        <w:t xml:space="preserve">dos </w:t>
      </w:r>
      <w:r>
        <w:rPr>
          <w:spacing w:val="1"/>
        </w:rPr>
        <w:t xml:space="preserve">Recursos Hídricos </w:t>
      </w:r>
      <w:r>
        <w:rPr>
          <w:spacing w:val="2"/>
        </w:rPr>
        <w:t xml:space="preserve">do </w:t>
      </w:r>
      <w:r>
        <w:t xml:space="preserve">Rio </w:t>
      </w:r>
      <w:r>
        <w:rPr>
          <w:spacing w:val="1"/>
        </w:rPr>
        <w:t xml:space="preserve">Grande </w:t>
      </w:r>
      <w:r>
        <w:t xml:space="preserve">do </w:t>
      </w:r>
      <w:r>
        <w:rPr>
          <w:spacing w:val="1"/>
        </w:rPr>
        <w:t xml:space="preserve">Norte (SERHID-RN), </w:t>
      </w:r>
      <w:r>
        <w:t xml:space="preserve">nas </w:t>
      </w:r>
      <w:r>
        <w:rPr>
          <w:spacing w:val="1"/>
        </w:rPr>
        <w:t xml:space="preserve">três </w:t>
      </w:r>
      <w:r>
        <w:rPr>
          <w:spacing w:val="2"/>
        </w:rPr>
        <w:t xml:space="preserve">comunidades </w:t>
      </w:r>
      <w:r>
        <w:t>residem</w:t>
      </w:r>
      <w:r>
        <w:rPr>
          <w:spacing w:val="10"/>
        </w:rPr>
        <w:t xml:space="preserve"> </w:t>
      </w:r>
      <w:r>
        <w:t>391</w:t>
      </w:r>
      <w:r>
        <w:rPr>
          <w:spacing w:val="10"/>
        </w:rPr>
        <w:t xml:space="preserve"> </w:t>
      </w:r>
      <w:r>
        <w:t>famílias,</w:t>
      </w:r>
      <w:r>
        <w:rPr>
          <w:spacing w:val="10"/>
        </w:rPr>
        <w:t xml:space="preserve"> </w:t>
      </w:r>
      <w:r>
        <w:t>totalizando</w:t>
      </w:r>
      <w:r>
        <w:rPr>
          <w:spacing w:val="10"/>
        </w:rPr>
        <w:t xml:space="preserve"> </w:t>
      </w:r>
      <w:r>
        <w:t>1.567</w:t>
      </w:r>
      <w:r>
        <w:rPr>
          <w:spacing w:val="10"/>
        </w:rPr>
        <w:t xml:space="preserve"> </w:t>
      </w:r>
      <w:r>
        <w:t>habitantes,</w:t>
      </w:r>
      <w:r>
        <w:rPr>
          <w:spacing w:val="10"/>
        </w:rPr>
        <w:t xml:space="preserve"> </w:t>
      </w:r>
      <w:r>
        <w:t>e</w:t>
      </w:r>
      <w:r>
        <w:rPr>
          <w:spacing w:val="10"/>
        </w:rPr>
        <w:t xml:space="preserve"> </w:t>
      </w:r>
      <w:r>
        <w:t>existem</w:t>
      </w:r>
    </w:p>
    <w:p w:rsidR="00D81F69" w:rsidRDefault="00330118">
      <w:pPr>
        <w:pStyle w:val="Corpodetexto"/>
        <w:spacing w:before="81" w:line="312" w:lineRule="auto"/>
        <w:ind w:right="197"/>
      </w:pPr>
      <w:r>
        <w:br w:type="column"/>
      </w:r>
      <w:r>
        <w:lastRenderedPageBreak/>
        <w:t>nove cerâmicas, sen</w:t>
      </w:r>
      <w:r>
        <w:t>do uma comunitária, cuja produção é de 28 milheiros de telha/dia (MINISTÉRIO DO MEIO AMBIENTE, 2005).</w:t>
      </w:r>
    </w:p>
    <w:p w:rsidR="00D81F69" w:rsidRDefault="00330118">
      <w:pPr>
        <w:pStyle w:val="Corpodetexto"/>
        <w:spacing w:before="133" w:line="312" w:lineRule="auto"/>
        <w:ind w:right="204"/>
      </w:pPr>
      <w:r>
        <w:rPr>
          <w:spacing w:val="5"/>
        </w:rPr>
        <w:t xml:space="preserve">As </w:t>
      </w:r>
      <w:r>
        <w:rPr>
          <w:spacing w:val="10"/>
        </w:rPr>
        <w:t xml:space="preserve">razões </w:t>
      </w:r>
      <w:r>
        <w:rPr>
          <w:spacing w:val="7"/>
        </w:rPr>
        <w:t xml:space="preserve">que </w:t>
      </w:r>
      <w:r>
        <w:rPr>
          <w:spacing w:val="10"/>
        </w:rPr>
        <w:t xml:space="preserve">levaram </w:t>
      </w:r>
      <w:r>
        <w:rPr>
          <w:spacing w:val="8"/>
        </w:rPr>
        <w:t xml:space="preserve">estas </w:t>
      </w:r>
      <w:r>
        <w:rPr>
          <w:spacing w:val="10"/>
        </w:rPr>
        <w:t xml:space="preserve">comunidades </w:t>
      </w:r>
      <w:r>
        <w:t xml:space="preserve">a </w:t>
      </w:r>
      <w:r>
        <w:rPr>
          <w:spacing w:val="11"/>
        </w:rPr>
        <w:t xml:space="preserve">serem </w:t>
      </w:r>
      <w:r>
        <w:t xml:space="preserve">escolhidas residem na conjugação de alguns fatores, dentre os quais: o município de Parelhas está entre aqueles que o Programa de Ação Nacional de Combate à Desertificação e </w:t>
      </w:r>
      <w:r>
        <w:rPr>
          <w:spacing w:val="1"/>
        </w:rPr>
        <w:t xml:space="preserve">Mitigação </w:t>
      </w:r>
      <w:r>
        <w:t xml:space="preserve">dos </w:t>
      </w:r>
      <w:r>
        <w:rPr>
          <w:spacing w:val="1"/>
        </w:rPr>
        <w:t xml:space="preserve">Efeitos </w:t>
      </w:r>
      <w:r>
        <w:t xml:space="preserve">da </w:t>
      </w:r>
      <w:r>
        <w:rPr>
          <w:spacing w:val="1"/>
        </w:rPr>
        <w:t xml:space="preserve">Seca (Pan-Brasil) relaciona </w:t>
      </w:r>
      <w:r>
        <w:rPr>
          <w:spacing w:val="2"/>
        </w:rPr>
        <w:t xml:space="preserve">como </w:t>
      </w:r>
      <w:r>
        <w:rPr>
          <w:spacing w:val="6"/>
        </w:rPr>
        <w:t xml:space="preserve">área </w:t>
      </w:r>
      <w:r>
        <w:rPr>
          <w:spacing w:val="7"/>
        </w:rPr>
        <w:t xml:space="preserve">piloto </w:t>
      </w:r>
      <w:r>
        <w:rPr>
          <w:spacing w:val="6"/>
        </w:rPr>
        <w:t xml:space="preserve">para </w:t>
      </w:r>
      <w:r>
        <w:rPr>
          <w:spacing w:val="8"/>
        </w:rPr>
        <w:t>investi</w:t>
      </w:r>
      <w:r>
        <w:rPr>
          <w:spacing w:val="8"/>
        </w:rPr>
        <w:t xml:space="preserve">gação </w:t>
      </w:r>
      <w:r>
        <w:rPr>
          <w:spacing w:val="7"/>
        </w:rPr>
        <w:t xml:space="preserve">sobre </w:t>
      </w:r>
      <w:r>
        <w:rPr>
          <w:spacing w:val="8"/>
        </w:rPr>
        <w:t xml:space="preserve">desertificação </w:t>
      </w:r>
      <w:r>
        <w:rPr>
          <w:spacing w:val="10"/>
        </w:rPr>
        <w:t xml:space="preserve">no </w:t>
      </w:r>
      <w:r>
        <w:t xml:space="preserve">Semiárido brasileiro; constitui o principal produtor de cerâmica </w:t>
      </w:r>
      <w:r>
        <w:rPr>
          <w:spacing w:val="1"/>
        </w:rPr>
        <w:t xml:space="preserve">do </w:t>
      </w:r>
      <w:r>
        <w:rPr>
          <w:spacing w:val="3"/>
        </w:rPr>
        <w:t xml:space="preserve">estado, usando </w:t>
      </w:r>
      <w:r>
        <w:t xml:space="preserve">a </w:t>
      </w:r>
      <w:r>
        <w:rPr>
          <w:spacing w:val="3"/>
        </w:rPr>
        <w:t xml:space="preserve">argila </w:t>
      </w:r>
      <w:r>
        <w:rPr>
          <w:spacing w:val="2"/>
        </w:rPr>
        <w:t xml:space="preserve">como </w:t>
      </w:r>
      <w:r>
        <w:rPr>
          <w:spacing w:val="3"/>
        </w:rPr>
        <w:t xml:space="preserve">matéria prima </w:t>
      </w:r>
      <w:r>
        <w:t xml:space="preserve">e a </w:t>
      </w:r>
      <w:r>
        <w:rPr>
          <w:spacing w:val="5"/>
        </w:rPr>
        <w:t xml:space="preserve">lenha </w:t>
      </w:r>
      <w:r>
        <w:t>como fonte de energia; e, há alguns anos, a problemática da degradação ambiental local é alvo de discussõ</w:t>
      </w:r>
      <w:r>
        <w:t>es e reflexões entre as comunidades rurais e organizações governamentais (MINISTÉRIO DO MEIO AMBIENTE,</w:t>
      </w:r>
      <w:r>
        <w:rPr>
          <w:spacing w:val="30"/>
        </w:rPr>
        <w:t xml:space="preserve"> </w:t>
      </w:r>
      <w:r>
        <w:t>2005).</w:t>
      </w:r>
    </w:p>
    <w:p w:rsidR="00D81F69" w:rsidRDefault="00330118">
      <w:pPr>
        <w:pStyle w:val="Corpodetexto"/>
        <w:spacing w:before="141" w:line="312" w:lineRule="auto"/>
        <w:ind w:right="202"/>
      </w:pPr>
      <w:r>
        <w:t xml:space="preserve">O crescimento da exploração da atividade mineira na região do </w:t>
      </w:r>
      <w:r>
        <w:rPr>
          <w:spacing w:val="1"/>
        </w:rPr>
        <w:t xml:space="preserve">Seridó também </w:t>
      </w:r>
      <w:r>
        <w:t xml:space="preserve">tem </w:t>
      </w:r>
      <w:r>
        <w:rPr>
          <w:spacing w:val="1"/>
        </w:rPr>
        <w:t xml:space="preserve">tido respaldo </w:t>
      </w:r>
      <w:r>
        <w:t xml:space="preserve">nas </w:t>
      </w:r>
      <w:r>
        <w:rPr>
          <w:spacing w:val="1"/>
        </w:rPr>
        <w:t xml:space="preserve">parcerias entre </w:t>
      </w:r>
      <w:r>
        <w:t xml:space="preserve">o </w:t>
      </w:r>
      <w:r>
        <w:rPr>
          <w:spacing w:val="11"/>
        </w:rPr>
        <w:t xml:space="preserve">setor público </w:t>
      </w:r>
      <w:r>
        <w:t xml:space="preserve">e o </w:t>
      </w:r>
      <w:r>
        <w:rPr>
          <w:spacing w:val="12"/>
        </w:rPr>
        <w:t xml:space="preserve">privado, </w:t>
      </w:r>
      <w:r>
        <w:rPr>
          <w:spacing w:val="10"/>
        </w:rPr>
        <w:t>com</w:t>
      </w:r>
      <w:r>
        <w:rPr>
          <w:spacing w:val="10"/>
        </w:rPr>
        <w:t xml:space="preserve"> </w:t>
      </w:r>
      <w:r>
        <w:t xml:space="preserve">o </w:t>
      </w:r>
      <w:r>
        <w:rPr>
          <w:spacing w:val="12"/>
        </w:rPr>
        <w:t xml:space="preserve">compromisso </w:t>
      </w:r>
      <w:r>
        <w:rPr>
          <w:spacing w:val="6"/>
        </w:rPr>
        <w:t xml:space="preserve">de </w:t>
      </w:r>
      <w:r>
        <w:rPr>
          <w:spacing w:val="10"/>
        </w:rPr>
        <w:t xml:space="preserve">fortalecimento </w:t>
      </w:r>
      <w:r>
        <w:rPr>
          <w:spacing w:val="5"/>
        </w:rPr>
        <w:t xml:space="preserve">do </w:t>
      </w:r>
      <w:r>
        <w:rPr>
          <w:spacing w:val="8"/>
        </w:rPr>
        <w:t xml:space="preserve">setor </w:t>
      </w:r>
      <w:r>
        <w:rPr>
          <w:spacing w:val="10"/>
        </w:rPr>
        <w:t xml:space="preserve">produtivo (SECRETARIA </w:t>
      </w:r>
      <w:r>
        <w:rPr>
          <w:spacing w:val="11"/>
        </w:rPr>
        <w:t xml:space="preserve">DE </w:t>
      </w:r>
      <w:r>
        <w:rPr>
          <w:spacing w:val="10"/>
        </w:rPr>
        <w:t>PROGRAMAS REGIONAIS,</w:t>
      </w:r>
      <w:r>
        <w:rPr>
          <w:spacing w:val="55"/>
        </w:rPr>
        <w:t xml:space="preserve"> </w:t>
      </w:r>
      <w:r>
        <w:rPr>
          <w:spacing w:val="11"/>
        </w:rPr>
        <w:t>2009).</w:t>
      </w:r>
    </w:p>
    <w:p w:rsidR="00D81F69" w:rsidRDefault="00330118">
      <w:pPr>
        <w:pStyle w:val="Corpodetexto"/>
        <w:spacing w:before="134" w:line="312" w:lineRule="auto"/>
        <w:ind w:right="193"/>
      </w:pPr>
      <w:r>
        <w:t>Viabilizados através do Arranjo Produtivo Local (APL) Pegmatitos do Seridó e Agreste Potiguar, há, por exemplo, projetos em implantação nas cidades de Ouro Branc</w:t>
      </w:r>
      <w:r>
        <w:t>o, Currais Novos e Parelhas, que dão perspectivas de uma real revitalização do setor mineral no Seridó (AGÊNCIA SEBRAE DE NOTÍCIAS, 2008).</w:t>
      </w:r>
    </w:p>
    <w:p w:rsidR="00D81F69" w:rsidRDefault="00330118">
      <w:pPr>
        <w:pStyle w:val="Corpodetexto"/>
        <w:spacing w:before="136" w:line="312" w:lineRule="auto"/>
        <w:ind w:right="203"/>
      </w:pPr>
      <w:r>
        <w:t>No município de Currais Novos, foi implantado o Núcleo de apoio à Extração Mineral dos Pegmatitos do Seridó. O projet</w:t>
      </w:r>
      <w:r>
        <w:t>o tem 90% dos recursos oriundos do Governo Federal, através do Ministério da Integração Nacional, e a contrapartida de 10% do Governo do Estado via Fundação do Apoio à Pesquisa do Estado do Rio Grande do Norte (Fapern) e Secretaria Estadual de Desenvolvime</w:t>
      </w:r>
      <w:r>
        <w:t>nto Econômico (AGÊNCIA SEBRAE DE NOTÍCIAS, 2008).</w:t>
      </w:r>
    </w:p>
    <w:p w:rsidR="00D81F69" w:rsidRDefault="00330118">
      <w:pPr>
        <w:pStyle w:val="Corpodetexto"/>
        <w:spacing w:before="137" w:line="312" w:lineRule="auto"/>
        <w:ind w:right="201"/>
      </w:pPr>
      <w:r>
        <w:rPr>
          <w:spacing w:val="6"/>
        </w:rPr>
        <w:t xml:space="preserve">As </w:t>
      </w:r>
      <w:r>
        <w:rPr>
          <w:spacing w:val="12"/>
        </w:rPr>
        <w:t xml:space="preserve">atividades </w:t>
      </w:r>
      <w:r>
        <w:rPr>
          <w:spacing w:val="11"/>
        </w:rPr>
        <w:t xml:space="preserve">básicas </w:t>
      </w:r>
      <w:r>
        <w:rPr>
          <w:spacing w:val="6"/>
        </w:rPr>
        <w:t xml:space="preserve">do </w:t>
      </w:r>
      <w:r>
        <w:rPr>
          <w:spacing w:val="10"/>
        </w:rPr>
        <w:t xml:space="preserve">APL são </w:t>
      </w:r>
      <w:r>
        <w:t xml:space="preserve">a </w:t>
      </w:r>
      <w:r>
        <w:rPr>
          <w:spacing w:val="12"/>
        </w:rPr>
        <w:t xml:space="preserve">extração </w:t>
      </w:r>
      <w:r>
        <w:t xml:space="preserve">e o beneficiamento de minerais que ocorrem nos pegmatitos. A </w:t>
      </w:r>
      <w:r>
        <w:rPr>
          <w:spacing w:val="12"/>
        </w:rPr>
        <w:t xml:space="preserve">extração </w:t>
      </w:r>
      <w:r>
        <w:t xml:space="preserve">é </w:t>
      </w:r>
      <w:r>
        <w:rPr>
          <w:spacing w:val="12"/>
        </w:rPr>
        <w:t xml:space="preserve">conduzida basicamente </w:t>
      </w:r>
      <w:r>
        <w:rPr>
          <w:spacing w:val="10"/>
        </w:rPr>
        <w:t xml:space="preserve">por </w:t>
      </w:r>
      <w:r>
        <w:rPr>
          <w:spacing w:val="15"/>
        </w:rPr>
        <w:t xml:space="preserve">garimpeiros </w:t>
      </w:r>
      <w:r>
        <w:rPr>
          <w:spacing w:val="10"/>
        </w:rPr>
        <w:t xml:space="preserve">organizados informalmente, </w:t>
      </w:r>
      <w:r>
        <w:rPr>
          <w:spacing w:val="8"/>
        </w:rPr>
        <w:t xml:space="preserve">estando </w:t>
      </w:r>
      <w:r>
        <w:rPr>
          <w:spacing w:val="5"/>
        </w:rPr>
        <w:t xml:space="preserve">em </w:t>
      </w:r>
      <w:r>
        <w:rPr>
          <w:spacing w:val="8"/>
        </w:rPr>
        <w:t xml:space="preserve">processo </w:t>
      </w:r>
      <w:r>
        <w:rPr>
          <w:spacing w:val="10"/>
        </w:rPr>
        <w:t xml:space="preserve">de </w:t>
      </w:r>
      <w:r>
        <w:rPr>
          <w:spacing w:val="5"/>
        </w:rPr>
        <w:t>fo</w:t>
      </w:r>
      <w:r>
        <w:rPr>
          <w:spacing w:val="5"/>
        </w:rPr>
        <w:t xml:space="preserve">rmação </w:t>
      </w:r>
      <w:r>
        <w:t xml:space="preserve">e </w:t>
      </w:r>
      <w:r>
        <w:rPr>
          <w:spacing w:val="5"/>
        </w:rPr>
        <w:t xml:space="preserve">consolidação cooperativas </w:t>
      </w:r>
      <w:r>
        <w:t xml:space="preserve">e </w:t>
      </w:r>
      <w:r>
        <w:rPr>
          <w:spacing w:val="5"/>
        </w:rPr>
        <w:t>associações de</w:t>
      </w:r>
      <w:r>
        <w:rPr>
          <w:spacing w:val="61"/>
        </w:rPr>
        <w:t xml:space="preserve"> </w:t>
      </w:r>
      <w:r>
        <w:rPr>
          <w:spacing w:val="5"/>
        </w:rPr>
        <w:t xml:space="preserve">microprodutores. </w:t>
      </w:r>
      <w:r>
        <w:t xml:space="preserve">O </w:t>
      </w:r>
      <w:r>
        <w:rPr>
          <w:spacing w:val="5"/>
        </w:rPr>
        <w:t xml:space="preserve">produto bruto extraído </w:t>
      </w:r>
      <w:r>
        <w:rPr>
          <w:spacing w:val="3"/>
        </w:rPr>
        <w:t xml:space="preserve">das </w:t>
      </w:r>
      <w:r>
        <w:rPr>
          <w:spacing w:val="5"/>
        </w:rPr>
        <w:t xml:space="preserve">minas </w:t>
      </w:r>
      <w:r>
        <w:t xml:space="preserve">é </w:t>
      </w:r>
      <w:r>
        <w:rPr>
          <w:spacing w:val="12"/>
        </w:rPr>
        <w:t xml:space="preserve">fornecido </w:t>
      </w:r>
      <w:r>
        <w:rPr>
          <w:spacing w:val="10"/>
        </w:rPr>
        <w:t xml:space="preserve">para </w:t>
      </w:r>
      <w:r>
        <w:rPr>
          <w:spacing w:val="12"/>
        </w:rPr>
        <w:t xml:space="preserve">empresas </w:t>
      </w:r>
      <w:r>
        <w:rPr>
          <w:spacing w:val="6"/>
        </w:rPr>
        <w:t xml:space="preserve">de </w:t>
      </w:r>
      <w:r>
        <w:rPr>
          <w:spacing w:val="12"/>
        </w:rPr>
        <w:t xml:space="preserve">beneficiamento </w:t>
      </w:r>
      <w:r>
        <w:rPr>
          <w:spacing w:val="6"/>
        </w:rPr>
        <w:t xml:space="preserve">ou de </w:t>
      </w:r>
      <w:r>
        <w:t xml:space="preserve">transformação dos minerais industriais. A atividade extrativa </w:t>
      </w:r>
      <w:r>
        <w:rPr>
          <w:spacing w:val="3"/>
        </w:rPr>
        <w:t xml:space="preserve">guarda, ainda hoje, procedimentos produtivos </w:t>
      </w:r>
      <w:r>
        <w:rPr>
          <w:spacing w:val="5"/>
        </w:rPr>
        <w:t xml:space="preserve">artesanais </w:t>
      </w:r>
      <w:r>
        <w:rPr>
          <w:spacing w:val="3"/>
        </w:rPr>
        <w:t xml:space="preserve">muito arraigados, contrastando, </w:t>
      </w:r>
      <w:r>
        <w:rPr>
          <w:spacing w:val="1"/>
        </w:rPr>
        <w:t xml:space="preserve">às </w:t>
      </w:r>
      <w:r>
        <w:rPr>
          <w:spacing w:val="3"/>
        </w:rPr>
        <w:t xml:space="preserve">vezes, </w:t>
      </w:r>
      <w:r>
        <w:rPr>
          <w:spacing w:val="2"/>
        </w:rPr>
        <w:t xml:space="preserve">com </w:t>
      </w:r>
      <w:r>
        <w:rPr>
          <w:spacing w:val="1"/>
        </w:rPr>
        <w:t xml:space="preserve">os </w:t>
      </w:r>
      <w:r>
        <w:rPr>
          <w:spacing w:val="5"/>
        </w:rPr>
        <w:t xml:space="preserve">demais </w:t>
      </w:r>
      <w:r>
        <w:rPr>
          <w:spacing w:val="6"/>
        </w:rPr>
        <w:t xml:space="preserve">protagonistas </w:t>
      </w:r>
      <w:r>
        <w:rPr>
          <w:spacing w:val="3"/>
        </w:rPr>
        <w:t xml:space="preserve">da </w:t>
      </w:r>
      <w:r>
        <w:rPr>
          <w:spacing w:val="5"/>
        </w:rPr>
        <w:t xml:space="preserve">cadeia </w:t>
      </w:r>
      <w:r>
        <w:rPr>
          <w:spacing w:val="6"/>
        </w:rPr>
        <w:t xml:space="preserve">produtiva. </w:t>
      </w:r>
      <w:r>
        <w:t xml:space="preserve">O </w:t>
      </w:r>
      <w:r>
        <w:rPr>
          <w:spacing w:val="6"/>
        </w:rPr>
        <w:t xml:space="preserve">beneficiamento </w:t>
      </w:r>
      <w:r>
        <w:t xml:space="preserve">é </w:t>
      </w:r>
      <w:r>
        <w:rPr>
          <w:spacing w:val="5"/>
        </w:rPr>
        <w:t xml:space="preserve">realizado parcialmente </w:t>
      </w:r>
      <w:r>
        <w:rPr>
          <w:spacing w:val="2"/>
        </w:rPr>
        <w:t xml:space="preserve">na </w:t>
      </w:r>
      <w:r>
        <w:rPr>
          <w:spacing w:val="5"/>
        </w:rPr>
        <w:t xml:space="preserve">região, </w:t>
      </w:r>
      <w:r>
        <w:t xml:space="preserve">e a </w:t>
      </w:r>
      <w:r>
        <w:rPr>
          <w:spacing w:val="5"/>
        </w:rPr>
        <w:t xml:space="preserve">transformação </w:t>
      </w:r>
      <w:r>
        <w:rPr>
          <w:spacing w:val="6"/>
        </w:rPr>
        <w:t xml:space="preserve">da </w:t>
      </w:r>
      <w:r>
        <w:t>matéria prima mineral em bens de co</w:t>
      </w:r>
      <w:r>
        <w:t>nsumo é toda realizada em plantas industriais localizadas em outras regiões do país (PDP, 2009).</w:t>
      </w:r>
    </w:p>
    <w:p w:rsidR="00D81F69" w:rsidRDefault="00330118">
      <w:pPr>
        <w:pStyle w:val="Corpodetexto"/>
        <w:spacing w:before="81" w:line="270" w:lineRule="atLeast"/>
        <w:ind w:right="195"/>
      </w:pPr>
      <w:r>
        <w:t>Também através do APL foi viabilizado o projeto ‘‘Construção da cadeia produtiva da muscovita’’, que tem como base uma unidade de beneficiamento de mica em sis</w:t>
      </w:r>
      <w:r>
        <w:t>tema de comodato, unindo a Cooperativa dos Mineradores Potiguares (Unimina)  e</w:t>
      </w:r>
      <w:r>
        <w:rPr>
          <w:spacing w:val="15"/>
        </w:rPr>
        <w:t xml:space="preserve"> </w:t>
      </w:r>
      <w:r>
        <w:t>a</w:t>
      </w:r>
      <w:r>
        <w:rPr>
          <w:spacing w:val="15"/>
        </w:rPr>
        <w:t xml:space="preserve"> </w:t>
      </w:r>
      <w:r>
        <w:t>empresa</w:t>
      </w:r>
      <w:r>
        <w:rPr>
          <w:spacing w:val="15"/>
        </w:rPr>
        <w:t xml:space="preserve"> </w:t>
      </w:r>
      <w:r>
        <w:t>suíça</w:t>
      </w:r>
      <w:r>
        <w:rPr>
          <w:spacing w:val="15"/>
        </w:rPr>
        <w:t xml:space="preserve"> </w:t>
      </w:r>
      <w:r>
        <w:t>Von</w:t>
      </w:r>
      <w:r>
        <w:rPr>
          <w:spacing w:val="15"/>
        </w:rPr>
        <w:t xml:space="preserve"> </w:t>
      </w:r>
      <w:r>
        <w:t>Rool</w:t>
      </w:r>
      <w:r>
        <w:rPr>
          <w:spacing w:val="15"/>
        </w:rPr>
        <w:t xml:space="preserve"> </w:t>
      </w:r>
      <w:r>
        <w:t>no</w:t>
      </w:r>
      <w:r>
        <w:rPr>
          <w:spacing w:val="15"/>
        </w:rPr>
        <w:t xml:space="preserve"> </w:t>
      </w:r>
      <w:r>
        <w:t>município</w:t>
      </w:r>
      <w:r>
        <w:rPr>
          <w:spacing w:val="15"/>
        </w:rPr>
        <w:t xml:space="preserve"> </w:t>
      </w:r>
      <w:r>
        <w:t>de</w:t>
      </w:r>
      <w:r>
        <w:rPr>
          <w:spacing w:val="15"/>
        </w:rPr>
        <w:t xml:space="preserve"> </w:t>
      </w:r>
      <w:r>
        <w:t>Currais</w:t>
      </w:r>
      <w:r>
        <w:rPr>
          <w:spacing w:val="15"/>
        </w:rPr>
        <w:t xml:space="preserve"> </w:t>
      </w:r>
      <w:r>
        <w:t>Novos.</w:t>
      </w:r>
    </w:p>
    <w:p w:rsidR="00D81F69" w:rsidRDefault="00D81F69">
      <w:pPr>
        <w:spacing w:line="270" w:lineRule="atLeast"/>
        <w:sectPr w:rsidR="00D81F69">
          <w:pgSz w:w="11900" w:h="16840"/>
          <w:pgMar w:top="740" w:right="500" w:bottom="640" w:left="620" w:header="0" w:footer="402" w:gutter="0"/>
          <w:cols w:num="2" w:space="720" w:equalWidth="0">
            <w:col w:w="5194" w:space="276"/>
            <w:col w:w="5310"/>
          </w:cols>
        </w:sectPr>
      </w:pPr>
    </w:p>
    <w:p w:rsidR="00D81F69" w:rsidRDefault="00330118">
      <w:pPr>
        <w:pStyle w:val="Corpodetexto"/>
        <w:spacing w:before="81" w:line="312" w:lineRule="auto"/>
        <w:ind w:right="62"/>
      </w:pPr>
      <w:r>
        <w:lastRenderedPageBreak/>
        <w:t xml:space="preserve">Em 2008, a Unimina já trabalhava para a legalização de áreas para extração da mica (AGÊNCIA </w:t>
      </w:r>
      <w:r>
        <w:t>SEBRAE DE NOTÍCIAS, 2008).</w:t>
      </w:r>
    </w:p>
    <w:p w:rsidR="00D81F69" w:rsidRDefault="00330118">
      <w:pPr>
        <w:pStyle w:val="Corpodetexto"/>
        <w:spacing w:before="133" w:line="312" w:lineRule="auto"/>
        <w:ind w:right="78"/>
      </w:pPr>
      <w:r>
        <w:t xml:space="preserve">Em 2008, existiam no Seridó, além da Unimina, em Currais </w:t>
      </w:r>
      <w:r>
        <w:rPr>
          <w:spacing w:val="3"/>
        </w:rPr>
        <w:t xml:space="preserve">Novos, </w:t>
      </w:r>
      <w:r>
        <w:t xml:space="preserve">a </w:t>
      </w:r>
      <w:r>
        <w:rPr>
          <w:spacing w:val="3"/>
        </w:rPr>
        <w:t xml:space="preserve">Associação </w:t>
      </w:r>
      <w:r>
        <w:rPr>
          <w:spacing w:val="2"/>
        </w:rPr>
        <w:t xml:space="preserve">dos </w:t>
      </w:r>
      <w:r>
        <w:rPr>
          <w:spacing w:val="3"/>
        </w:rPr>
        <w:t xml:space="preserve">Mineradores </w:t>
      </w:r>
      <w:r>
        <w:rPr>
          <w:spacing w:val="1"/>
        </w:rPr>
        <w:t xml:space="preserve">de </w:t>
      </w:r>
      <w:r>
        <w:rPr>
          <w:spacing w:val="2"/>
        </w:rPr>
        <w:t xml:space="preserve">Ouro </w:t>
      </w:r>
      <w:r>
        <w:rPr>
          <w:spacing w:val="3"/>
        </w:rPr>
        <w:t xml:space="preserve">Branco, </w:t>
      </w:r>
      <w:r>
        <w:t xml:space="preserve">a </w:t>
      </w:r>
      <w:r>
        <w:rPr>
          <w:spacing w:val="3"/>
        </w:rPr>
        <w:t xml:space="preserve">Associação </w:t>
      </w:r>
      <w:r>
        <w:rPr>
          <w:spacing w:val="2"/>
        </w:rPr>
        <w:t xml:space="preserve">dos </w:t>
      </w:r>
      <w:r>
        <w:rPr>
          <w:spacing w:val="3"/>
        </w:rPr>
        <w:t xml:space="preserve">Mineiros </w:t>
      </w:r>
      <w:r>
        <w:rPr>
          <w:spacing w:val="1"/>
        </w:rPr>
        <w:t xml:space="preserve">de </w:t>
      </w:r>
      <w:r>
        <w:rPr>
          <w:spacing w:val="3"/>
        </w:rPr>
        <w:t xml:space="preserve">Parelhas, </w:t>
      </w:r>
      <w:r>
        <w:t xml:space="preserve">a </w:t>
      </w:r>
      <w:r>
        <w:rPr>
          <w:spacing w:val="3"/>
        </w:rPr>
        <w:t xml:space="preserve">Cooperativa </w:t>
      </w:r>
      <w:r>
        <w:rPr>
          <w:spacing w:val="5"/>
        </w:rPr>
        <w:t xml:space="preserve">dos Mineradores </w:t>
      </w:r>
      <w:r>
        <w:rPr>
          <w:spacing w:val="2"/>
        </w:rPr>
        <w:t xml:space="preserve">de </w:t>
      </w:r>
      <w:r>
        <w:rPr>
          <w:spacing w:val="5"/>
        </w:rPr>
        <w:t xml:space="preserve">Parelhas (Coominas), </w:t>
      </w:r>
      <w:r>
        <w:t xml:space="preserve">a </w:t>
      </w:r>
      <w:r>
        <w:rPr>
          <w:spacing w:val="5"/>
        </w:rPr>
        <w:t>Associação dos</w:t>
      </w:r>
      <w:r>
        <w:rPr>
          <w:spacing w:val="61"/>
        </w:rPr>
        <w:t xml:space="preserve"> </w:t>
      </w:r>
      <w:r>
        <w:rPr>
          <w:spacing w:val="5"/>
        </w:rPr>
        <w:t>Pequenos M</w:t>
      </w:r>
      <w:r>
        <w:rPr>
          <w:spacing w:val="5"/>
        </w:rPr>
        <w:t xml:space="preserve">ineradores </w:t>
      </w:r>
      <w:r>
        <w:rPr>
          <w:spacing w:val="2"/>
        </w:rPr>
        <w:t xml:space="preserve">de </w:t>
      </w:r>
      <w:r>
        <w:rPr>
          <w:spacing w:val="5"/>
        </w:rPr>
        <w:t xml:space="preserve">Equador </w:t>
      </w:r>
      <w:r>
        <w:t xml:space="preserve">e a </w:t>
      </w:r>
      <w:r>
        <w:rPr>
          <w:spacing w:val="5"/>
        </w:rPr>
        <w:t xml:space="preserve">Associação </w:t>
      </w:r>
      <w:r>
        <w:rPr>
          <w:spacing w:val="6"/>
        </w:rPr>
        <w:t xml:space="preserve">dos </w:t>
      </w:r>
      <w:r>
        <w:rPr>
          <w:spacing w:val="5"/>
        </w:rPr>
        <w:t xml:space="preserve">Mineradores </w:t>
      </w:r>
      <w:r>
        <w:rPr>
          <w:spacing w:val="2"/>
        </w:rPr>
        <w:t xml:space="preserve">de </w:t>
      </w:r>
      <w:r>
        <w:rPr>
          <w:spacing w:val="5"/>
        </w:rPr>
        <w:t xml:space="preserve">Lajes Pintadas (AGÊNCIA SEBRAE </w:t>
      </w:r>
      <w:r>
        <w:rPr>
          <w:spacing w:val="6"/>
        </w:rPr>
        <w:t xml:space="preserve">DE </w:t>
      </w:r>
      <w:r>
        <w:rPr>
          <w:spacing w:val="5"/>
        </w:rPr>
        <w:t xml:space="preserve">NOTÍCIAS, </w:t>
      </w:r>
      <w:r>
        <w:rPr>
          <w:spacing w:val="6"/>
        </w:rPr>
        <w:t>2008).</w:t>
      </w:r>
    </w:p>
    <w:p w:rsidR="00D81F69" w:rsidRDefault="00330118">
      <w:pPr>
        <w:pStyle w:val="Corpodetexto"/>
        <w:spacing w:before="136" w:line="312" w:lineRule="auto"/>
        <w:ind w:right="59"/>
      </w:pPr>
      <w:r>
        <w:rPr>
          <w:spacing w:val="2"/>
        </w:rPr>
        <w:t xml:space="preserve">Hoje </w:t>
      </w:r>
      <w:r>
        <w:rPr>
          <w:spacing w:val="1"/>
        </w:rPr>
        <w:t xml:space="preserve">na </w:t>
      </w:r>
      <w:r>
        <w:rPr>
          <w:spacing w:val="3"/>
        </w:rPr>
        <w:t xml:space="preserve">região existem cinco </w:t>
      </w:r>
      <w:r>
        <w:rPr>
          <w:spacing w:val="2"/>
        </w:rPr>
        <w:t xml:space="preserve">mil </w:t>
      </w:r>
      <w:r>
        <w:rPr>
          <w:spacing w:val="3"/>
        </w:rPr>
        <w:t xml:space="preserve">pequenos </w:t>
      </w:r>
      <w:r>
        <w:rPr>
          <w:spacing w:val="5"/>
        </w:rPr>
        <w:t xml:space="preserve">mineradores, </w:t>
      </w:r>
      <w:r>
        <w:t xml:space="preserve">organizados em cinco cooperativas que avançam em termos </w:t>
      </w:r>
      <w:r>
        <w:rPr>
          <w:spacing w:val="5"/>
        </w:rPr>
        <w:t xml:space="preserve">extensionistas, </w:t>
      </w:r>
      <w:r>
        <w:rPr>
          <w:spacing w:val="2"/>
        </w:rPr>
        <w:t xml:space="preserve">de </w:t>
      </w:r>
      <w:r>
        <w:rPr>
          <w:spacing w:val="3"/>
        </w:rPr>
        <w:t xml:space="preserve">forma </w:t>
      </w:r>
      <w:r>
        <w:t xml:space="preserve">a </w:t>
      </w:r>
      <w:r>
        <w:rPr>
          <w:spacing w:val="5"/>
        </w:rPr>
        <w:t>promover oficinas, encontros,</w:t>
      </w:r>
      <w:r>
        <w:rPr>
          <w:spacing w:val="61"/>
        </w:rPr>
        <w:t xml:space="preserve"> </w:t>
      </w:r>
      <w:r>
        <w:rPr>
          <w:spacing w:val="3"/>
        </w:rPr>
        <w:t xml:space="preserve">cursos, palestras, consultorias, missões </w:t>
      </w:r>
      <w:r>
        <w:t xml:space="preserve">e </w:t>
      </w:r>
      <w:r>
        <w:rPr>
          <w:spacing w:val="3"/>
        </w:rPr>
        <w:t xml:space="preserve">caravanas </w:t>
      </w:r>
      <w:r>
        <w:rPr>
          <w:spacing w:val="5"/>
        </w:rPr>
        <w:t xml:space="preserve">com </w:t>
      </w:r>
      <w:r>
        <w:rPr>
          <w:spacing w:val="7"/>
        </w:rPr>
        <w:t xml:space="preserve">foco </w:t>
      </w:r>
      <w:r>
        <w:rPr>
          <w:spacing w:val="5"/>
        </w:rPr>
        <w:t xml:space="preserve">em </w:t>
      </w:r>
      <w:r>
        <w:rPr>
          <w:spacing w:val="10"/>
        </w:rPr>
        <w:t xml:space="preserve">crescimento </w:t>
      </w:r>
      <w:r>
        <w:t xml:space="preserve">e </w:t>
      </w:r>
      <w:r>
        <w:rPr>
          <w:spacing w:val="10"/>
        </w:rPr>
        <w:t xml:space="preserve">desenvolvimento </w:t>
      </w:r>
      <w:r>
        <w:rPr>
          <w:spacing w:val="7"/>
        </w:rPr>
        <w:t xml:space="preserve">(REDE </w:t>
      </w:r>
      <w:r>
        <w:rPr>
          <w:spacing w:val="10"/>
        </w:rPr>
        <w:t xml:space="preserve">APL </w:t>
      </w:r>
      <w:r>
        <w:rPr>
          <w:spacing w:val="8"/>
        </w:rPr>
        <w:t>MINERAL,</w:t>
      </w:r>
      <w:r>
        <w:rPr>
          <w:spacing w:val="7"/>
        </w:rPr>
        <w:t xml:space="preserve"> </w:t>
      </w:r>
      <w:r>
        <w:rPr>
          <w:spacing w:val="10"/>
        </w:rPr>
        <w:t>2010).</w:t>
      </w:r>
    </w:p>
    <w:p w:rsidR="00D81F69" w:rsidRDefault="00D81F69">
      <w:pPr>
        <w:pStyle w:val="Corpodetexto"/>
        <w:spacing w:before="5"/>
        <w:ind w:left="0"/>
        <w:jc w:val="left"/>
        <w:rPr>
          <w:sz w:val="21"/>
        </w:rPr>
      </w:pPr>
    </w:p>
    <w:p w:rsidR="00D81F69" w:rsidRDefault="00330118">
      <w:pPr>
        <w:pStyle w:val="Heading7"/>
        <w:jc w:val="left"/>
      </w:pPr>
      <w:r>
        <w:t>LOCALIZAÇÃO GEOGRÁFICA</w:t>
      </w:r>
    </w:p>
    <w:p w:rsidR="00D81F69" w:rsidRDefault="00330118">
      <w:pPr>
        <w:pStyle w:val="Corpodetexto"/>
        <w:spacing w:before="179" w:line="312" w:lineRule="auto"/>
        <w:ind w:right="51"/>
      </w:pPr>
      <w:r>
        <w:t>As ocorrências de sheelita na região do Seridó Potiguar estão distribuídas por oi</w:t>
      </w:r>
      <w:r>
        <w:t>to municípios: Acari, Currais Novos, Carnaúba dos Dantas, Equador, Jardim do Seridó, Ouro Branco, Parelhas e Santana do Seridó. Situam-se entre as latitudes 6°54’41”S - 6°11’49”S e longitudes 36°19’56”W - 36°58’24”W, localizadas na sub-bacia do rio Seridó,</w:t>
      </w:r>
      <w:r>
        <w:t xml:space="preserve"> pertencente à bacia do rio Açú que deságua no mar.</w:t>
      </w:r>
    </w:p>
    <w:p w:rsidR="00D81F69" w:rsidRDefault="00D81F69">
      <w:pPr>
        <w:pStyle w:val="Corpodetexto"/>
        <w:spacing w:before="4"/>
        <w:ind w:left="0"/>
        <w:jc w:val="left"/>
        <w:rPr>
          <w:sz w:val="29"/>
        </w:rPr>
      </w:pPr>
    </w:p>
    <w:p w:rsidR="00D81F69" w:rsidRDefault="00330118">
      <w:pPr>
        <w:pStyle w:val="Heading7"/>
        <w:jc w:val="left"/>
      </w:pPr>
      <w:r>
        <w:t>REDATORES</w:t>
      </w:r>
    </w:p>
    <w:p w:rsidR="00D81F69" w:rsidRDefault="00330118">
      <w:pPr>
        <w:pStyle w:val="Corpodetexto"/>
        <w:spacing w:before="179"/>
        <w:jc w:val="left"/>
      </w:pPr>
      <w:r>
        <w:t>Renata Olivieri; Eliane Araujo</w:t>
      </w:r>
    </w:p>
    <w:p w:rsidR="00D81F69" w:rsidRDefault="00D81F69">
      <w:pPr>
        <w:pStyle w:val="Corpodetexto"/>
        <w:ind w:left="0"/>
        <w:jc w:val="left"/>
        <w:rPr>
          <w:sz w:val="20"/>
        </w:rPr>
      </w:pPr>
    </w:p>
    <w:p w:rsidR="00D81F69" w:rsidRDefault="00330118">
      <w:pPr>
        <w:pStyle w:val="Heading7"/>
        <w:spacing w:before="164"/>
        <w:jc w:val="left"/>
      </w:pPr>
      <w:r>
        <w:t>REFERÊNCIAS BIBLIOGRÁFICAS</w:t>
      </w:r>
    </w:p>
    <w:p w:rsidR="00D81F69" w:rsidRDefault="00330118">
      <w:pPr>
        <w:spacing w:before="188" w:line="312" w:lineRule="auto"/>
        <w:ind w:left="100" w:right="53"/>
        <w:jc w:val="both"/>
        <w:rPr>
          <w:sz w:val="16"/>
        </w:rPr>
      </w:pPr>
      <w:r>
        <w:rPr>
          <w:sz w:val="16"/>
        </w:rPr>
        <w:t xml:space="preserve">AGÊNCIA SEBRAE DE NOTÍCIAS. Seridó é a maior produtora do </w:t>
      </w:r>
      <w:r>
        <w:rPr>
          <w:spacing w:val="7"/>
          <w:sz w:val="16"/>
        </w:rPr>
        <w:t xml:space="preserve">RN,  Rio  </w:t>
      </w:r>
      <w:r>
        <w:rPr>
          <w:spacing w:val="10"/>
          <w:sz w:val="16"/>
        </w:rPr>
        <w:t xml:space="preserve">Grande  </w:t>
      </w:r>
      <w:r>
        <w:rPr>
          <w:spacing w:val="5"/>
          <w:sz w:val="16"/>
        </w:rPr>
        <w:t xml:space="preserve">do   </w:t>
      </w:r>
      <w:r>
        <w:rPr>
          <w:spacing w:val="10"/>
          <w:sz w:val="16"/>
        </w:rPr>
        <w:t xml:space="preserve">Norte,  </w:t>
      </w:r>
      <w:r>
        <w:rPr>
          <w:spacing w:val="5"/>
          <w:sz w:val="16"/>
        </w:rPr>
        <w:t xml:space="preserve">28   </w:t>
      </w:r>
      <w:r>
        <w:rPr>
          <w:spacing w:val="8"/>
          <w:sz w:val="16"/>
        </w:rPr>
        <w:t xml:space="preserve">jan.  </w:t>
      </w:r>
      <w:r>
        <w:rPr>
          <w:spacing w:val="10"/>
          <w:sz w:val="16"/>
        </w:rPr>
        <w:t>2008.  Disponível</w:t>
      </w:r>
      <w:r>
        <w:rPr>
          <w:spacing w:val="60"/>
          <w:sz w:val="16"/>
        </w:rPr>
        <w:t xml:space="preserve"> </w:t>
      </w:r>
      <w:r>
        <w:rPr>
          <w:spacing w:val="7"/>
          <w:sz w:val="16"/>
        </w:rPr>
        <w:t>em:</w:t>
      </w:r>
      <w:r>
        <w:rPr>
          <w:spacing w:val="-30"/>
          <w:sz w:val="16"/>
        </w:rPr>
        <w:t xml:space="preserve"> </w:t>
      </w:r>
    </w:p>
    <w:p w:rsidR="00D81F69" w:rsidRDefault="00D81F69">
      <w:pPr>
        <w:spacing w:before="2"/>
        <w:ind w:left="100"/>
        <w:rPr>
          <w:sz w:val="16"/>
        </w:rPr>
      </w:pPr>
      <w:hyperlink r:id="rId828">
        <w:r w:rsidR="00330118">
          <w:rPr>
            <w:sz w:val="16"/>
          </w:rPr>
          <w:t>&lt;http://asn.interjornal.com.br/noticia.kmf?noticia=6914971&amp;canal=36&gt;</w:t>
        </w:r>
      </w:hyperlink>
    </w:p>
    <w:p w:rsidR="00D81F69" w:rsidRDefault="00330118">
      <w:pPr>
        <w:spacing w:before="56"/>
        <w:ind w:left="100"/>
        <w:rPr>
          <w:sz w:val="16"/>
        </w:rPr>
      </w:pPr>
      <w:r>
        <w:rPr>
          <w:sz w:val="16"/>
        </w:rPr>
        <w:t>. Acesso em: 15 abr. 2010.</w:t>
      </w:r>
    </w:p>
    <w:p w:rsidR="00D81F69" w:rsidRDefault="00330118">
      <w:pPr>
        <w:spacing w:before="56" w:line="312" w:lineRule="auto"/>
        <w:ind w:left="100" w:right="50"/>
        <w:jc w:val="both"/>
        <w:rPr>
          <w:sz w:val="16"/>
        </w:rPr>
      </w:pPr>
      <w:r>
        <w:rPr>
          <w:spacing w:val="13"/>
          <w:sz w:val="16"/>
        </w:rPr>
        <w:t xml:space="preserve">BARROS, Fernanda </w:t>
      </w:r>
      <w:r>
        <w:rPr>
          <w:spacing w:val="12"/>
          <w:sz w:val="16"/>
        </w:rPr>
        <w:t xml:space="preserve">Motta </w:t>
      </w:r>
      <w:r>
        <w:rPr>
          <w:spacing w:val="10"/>
          <w:sz w:val="16"/>
        </w:rPr>
        <w:t>de;</w:t>
      </w:r>
      <w:r>
        <w:rPr>
          <w:spacing w:val="65"/>
          <w:sz w:val="16"/>
        </w:rPr>
        <w:t xml:space="preserve"> </w:t>
      </w:r>
      <w:r>
        <w:rPr>
          <w:spacing w:val="13"/>
          <w:sz w:val="16"/>
        </w:rPr>
        <w:t xml:space="preserve">SAMPAIO, </w:t>
      </w:r>
      <w:r>
        <w:rPr>
          <w:spacing w:val="11"/>
          <w:sz w:val="16"/>
        </w:rPr>
        <w:t xml:space="preserve">João </w:t>
      </w:r>
      <w:r>
        <w:rPr>
          <w:spacing w:val="13"/>
          <w:sz w:val="16"/>
        </w:rPr>
        <w:t xml:space="preserve">Alves; </w:t>
      </w:r>
      <w:r>
        <w:rPr>
          <w:sz w:val="16"/>
        </w:rPr>
        <w:t xml:space="preserve">CAVALCANTE, Patrícia Maria Tenório. Beneficiamento de Rejeito de </w:t>
      </w:r>
      <w:r>
        <w:rPr>
          <w:spacing w:val="3"/>
          <w:sz w:val="16"/>
        </w:rPr>
        <w:t xml:space="preserve">Moscovita </w:t>
      </w:r>
      <w:r>
        <w:rPr>
          <w:spacing w:val="1"/>
          <w:sz w:val="16"/>
        </w:rPr>
        <w:t xml:space="preserve">da </w:t>
      </w:r>
      <w:r>
        <w:rPr>
          <w:spacing w:val="3"/>
          <w:sz w:val="16"/>
        </w:rPr>
        <w:t xml:space="preserve">Região </w:t>
      </w:r>
      <w:r>
        <w:rPr>
          <w:spacing w:val="1"/>
          <w:sz w:val="16"/>
        </w:rPr>
        <w:t xml:space="preserve">do </w:t>
      </w:r>
      <w:r>
        <w:rPr>
          <w:spacing w:val="3"/>
          <w:sz w:val="16"/>
        </w:rPr>
        <w:t xml:space="preserve">Seridó-Borborema </w:t>
      </w:r>
      <w:r>
        <w:rPr>
          <w:spacing w:val="2"/>
          <w:sz w:val="16"/>
        </w:rPr>
        <w:t xml:space="preserve">(NE) para </w:t>
      </w:r>
      <w:r>
        <w:rPr>
          <w:spacing w:val="5"/>
          <w:sz w:val="16"/>
        </w:rPr>
        <w:t xml:space="preserve">aplicações </w:t>
      </w:r>
      <w:r>
        <w:rPr>
          <w:spacing w:val="3"/>
          <w:sz w:val="16"/>
        </w:rPr>
        <w:t xml:space="preserve">industriais. Trabalho apresentando </w:t>
      </w:r>
      <w:r>
        <w:rPr>
          <w:spacing w:val="1"/>
          <w:sz w:val="16"/>
        </w:rPr>
        <w:t xml:space="preserve">na </w:t>
      </w:r>
      <w:r>
        <w:rPr>
          <w:spacing w:val="2"/>
          <w:sz w:val="16"/>
        </w:rPr>
        <w:t xml:space="preserve">XIII </w:t>
      </w:r>
      <w:r>
        <w:rPr>
          <w:spacing w:val="3"/>
          <w:sz w:val="16"/>
        </w:rPr>
        <w:t xml:space="preserve">Jornada </w:t>
      </w:r>
      <w:r>
        <w:rPr>
          <w:spacing w:val="1"/>
          <w:sz w:val="16"/>
        </w:rPr>
        <w:t xml:space="preserve">de </w:t>
      </w:r>
      <w:r>
        <w:rPr>
          <w:spacing w:val="5"/>
          <w:sz w:val="16"/>
        </w:rPr>
        <w:t xml:space="preserve">Iniciação </w:t>
      </w:r>
      <w:r>
        <w:rPr>
          <w:sz w:val="16"/>
        </w:rPr>
        <w:t>Científica do Centro de Tecnologia Mineral – CETEM, Rio de Janeiro</w:t>
      </w:r>
      <w:r>
        <w:rPr>
          <w:sz w:val="16"/>
        </w:rPr>
        <w:t>,</w:t>
      </w:r>
    </w:p>
    <w:p w:rsidR="00D81F69" w:rsidRDefault="00330118">
      <w:pPr>
        <w:tabs>
          <w:tab w:val="left" w:pos="1785"/>
          <w:tab w:val="left" w:pos="4548"/>
        </w:tabs>
        <w:spacing w:before="4"/>
        <w:ind w:left="100"/>
        <w:jc w:val="both"/>
        <w:rPr>
          <w:sz w:val="16"/>
        </w:rPr>
      </w:pPr>
      <w:r>
        <w:rPr>
          <w:sz w:val="16"/>
        </w:rPr>
        <w:t xml:space="preserve">2   0   0  </w:t>
      </w:r>
      <w:r>
        <w:rPr>
          <w:spacing w:val="35"/>
          <w:sz w:val="16"/>
        </w:rPr>
        <w:t xml:space="preserve"> </w:t>
      </w:r>
      <w:r>
        <w:rPr>
          <w:sz w:val="16"/>
        </w:rPr>
        <w:t xml:space="preserve">5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85"/>
        <w:jc w:val="both"/>
        <w:rPr>
          <w:sz w:val="16"/>
        </w:rPr>
      </w:pPr>
      <w:hyperlink r:id="rId829">
        <w:r w:rsidR="00330118">
          <w:rPr>
            <w:sz w:val="16"/>
          </w:rPr>
          <w:t>&lt;http://www.cetem.gov.br/publicacao/serie_anais_XIII_jic_2005/Ferna</w:t>
        </w:r>
      </w:hyperlink>
      <w:r w:rsidR="00330118">
        <w:rPr>
          <w:sz w:val="16"/>
        </w:rPr>
        <w:t xml:space="preserve"> nda%20Motta.pdf&gt;. Acesso em: 12 abr.</w:t>
      </w:r>
      <w:r w:rsidR="00330118">
        <w:rPr>
          <w:sz w:val="16"/>
        </w:rPr>
        <w:t xml:space="preserve"> 2010.</w:t>
      </w:r>
    </w:p>
    <w:p w:rsidR="00D81F69" w:rsidRDefault="00330118">
      <w:pPr>
        <w:spacing w:before="1" w:line="312" w:lineRule="auto"/>
        <w:ind w:left="100" w:right="38"/>
        <w:jc w:val="both"/>
        <w:rPr>
          <w:sz w:val="16"/>
        </w:rPr>
      </w:pPr>
      <w:r>
        <w:rPr>
          <w:sz w:val="16"/>
        </w:rPr>
        <w:t xml:space="preserve">BARROSO, Marcelo. Desertificação se alastra pelo Seridó. Tribuna  </w:t>
      </w:r>
      <w:r>
        <w:rPr>
          <w:spacing w:val="13"/>
          <w:sz w:val="16"/>
        </w:rPr>
        <w:t xml:space="preserve">do </w:t>
      </w:r>
      <w:r>
        <w:rPr>
          <w:spacing w:val="22"/>
          <w:sz w:val="16"/>
        </w:rPr>
        <w:t xml:space="preserve">Norte, Natal, </w:t>
      </w:r>
      <w:r>
        <w:rPr>
          <w:spacing w:val="13"/>
          <w:sz w:val="16"/>
        </w:rPr>
        <w:t xml:space="preserve">22 </w:t>
      </w:r>
      <w:r>
        <w:rPr>
          <w:spacing w:val="20"/>
          <w:sz w:val="16"/>
        </w:rPr>
        <w:t>out.</w:t>
      </w:r>
      <w:r>
        <w:rPr>
          <w:spacing w:val="85"/>
          <w:sz w:val="16"/>
        </w:rPr>
        <w:t xml:space="preserve"> </w:t>
      </w:r>
      <w:r>
        <w:rPr>
          <w:spacing w:val="21"/>
          <w:sz w:val="16"/>
        </w:rPr>
        <w:t xml:space="preserve">2006. </w:t>
      </w:r>
      <w:r>
        <w:rPr>
          <w:spacing w:val="25"/>
          <w:sz w:val="16"/>
        </w:rPr>
        <w:t>Disponível</w:t>
      </w:r>
      <w:r>
        <w:rPr>
          <w:spacing w:val="72"/>
          <w:sz w:val="16"/>
        </w:rPr>
        <w:t xml:space="preserve"> </w:t>
      </w:r>
      <w:r>
        <w:rPr>
          <w:spacing w:val="17"/>
          <w:sz w:val="16"/>
        </w:rPr>
        <w:t>em:</w:t>
      </w:r>
      <w:r>
        <w:rPr>
          <w:spacing w:val="-16"/>
          <w:sz w:val="16"/>
        </w:rPr>
        <w:t xml:space="preserve"> </w:t>
      </w:r>
    </w:p>
    <w:p w:rsidR="00D81F69" w:rsidRDefault="00D81F69">
      <w:pPr>
        <w:spacing w:before="2" w:line="312" w:lineRule="auto"/>
        <w:ind w:left="100" w:right="83"/>
        <w:jc w:val="both"/>
        <w:rPr>
          <w:sz w:val="16"/>
        </w:rPr>
      </w:pPr>
      <w:hyperlink r:id="rId830">
        <w:r w:rsidR="00330118">
          <w:rPr>
            <w:sz w:val="16"/>
          </w:rPr>
          <w:t xml:space="preserve">&lt;http://tribunadonorte.com.br/noticia.php?id=24766&gt; </w:t>
        </w:r>
      </w:hyperlink>
      <w:r w:rsidR="00330118">
        <w:rPr>
          <w:sz w:val="16"/>
        </w:rPr>
        <w:t>Acesso em: 13 abr. 2010.</w:t>
      </w:r>
    </w:p>
    <w:p w:rsidR="00D81F69" w:rsidRDefault="00330118">
      <w:pPr>
        <w:tabs>
          <w:tab w:val="left" w:pos="1203"/>
          <w:tab w:val="left" w:pos="2102"/>
          <w:tab w:val="left" w:pos="3615"/>
          <w:tab w:val="left" w:pos="4273"/>
        </w:tabs>
        <w:spacing w:before="70" w:line="312" w:lineRule="auto"/>
        <w:ind w:left="100" w:right="166"/>
        <w:rPr>
          <w:sz w:val="16"/>
        </w:rPr>
      </w:pPr>
      <w:r>
        <w:br w:type="column"/>
      </w:r>
      <w:r>
        <w:rPr>
          <w:sz w:val="16"/>
        </w:rPr>
        <w:lastRenderedPageBreak/>
        <w:t xml:space="preserve">DANTAS, José Robinson Alcoforado. Distritos mineiros do Nordeste </w:t>
      </w:r>
      <w:r>
        <w:rPr>
          <w:spacing w:val="5"/>
          <w:sz w:val="16"/>
        </w:rPr>
        <w:t xml:space="preserve">oriental. Departamento Nacional </w:t>
      </w:r>
      <w:r>
        <w:rPr>
          <w:spacing w:val="2"/>
          <w:sz w:val="16"/>
        </w:rPr>
        <w:t xml:space="preserve">de  </w:t>
      </w:r>
      <w:r>
        <w:rPr>
          <w:spacing w:val="5"/>
          <w:sz w:val="16"/>
        </w:rPr>
        <w:t xml:space="preserve">Produção Mineral </w:t>
      </w:r>
      <w:r>
        <w:rPr>
          <w:sz w:val="16"/>
        </w:rPr>
        <w:t xml:space="preserve">-  </w:t>
      </w:r>
      <w:r>
        <w:rPr>
          <w:spacing w:val="5"/>
          <w:sz w:val="16"/>
        </w:rPr>
        <w:t xml:space="preserve">DNPM,  </w:t>
      </w:r>
      <w:r>
        <w:rPr>
          <w:spacing w:val="6"/>
          <w:sz w:val="16"/>
        </w:rPr>
        <w:t>R e c i f</w:t>
      </w:r>
      <w:r>
        <w:rPr>
          <w:spacing w:val="-25"/>
          <w:sz w:val="16"/>
        </w:rPr>
        <w:t xml:space="preserve"> </w:t>
      </w:r>
      <w:r>
        <w:rPr>
          <w:spacing w:val="6"/>
          <w:sz w:val="16"/>
        </w:rPr>
        <w:t>e</w:t>
      </w:r>
      <w:r>
        <w:rPr>
          <w:sz w:val="16"/>
        </w:rPr>
        <w:t xml:space="preserve"> ,</w:t>
      </w:r>
      <w:r>
        <w:rPr>
          <w:sz w:val="16"/>
        </w:rPr>
        <w:tab/>
      </w:r>
      <w:r>
        <w:rPr>
          <w:spacing w:val="6"/>
          <w:sz w:val="16"/>
        </w:rPr>
        <w:t>2 0 0</w:t>
      </w:r>
      <w:r>
        <w:rPr>
          <w:spacing w:val="-13"/>
          <w:sz w:val="16"/>
        </w:rPr>
        <w:t xml:space="preserve"> </w:t>
      </w:r>
      <w:r>
        <w:rPr>
          <w:spacing w:val="6"/>
          <w:sz w:val="16"/>
        </w:rPr>
        <w:t>2</w:t>
      </w:r>
      <w:r>
        <w:rPr>
          <w:sz w:val="16"/>
        </w:rPr>
        <w:t xml:space="preserve"> .</w:t>
      </w:r>
      <w:r>
        <w:rPr>
          <w:sz w:val="16"/>
        </w:rPr>
        <w:tab/>
      </w:r>
      <w:r>
        <w:rPr>
          <w:spacing w:val="6"/>
          <w:sz w:val="16"/>
        </w:rPr>
        <w:t>D</w:t>
      </w:r>
      <w:r>
        <w:rPr>
          <w:sz w:val="16"/>
        </w:rPr>
        <w:t xml:space="preserve"> </w:t>
      </w:r>
      <w:r>
        <w:rPr>
          <w:spacing w:val="6"/>
          <w:sz w:val="16"/>
        </w:rPr>
        <w:t>i</w:t>
      </w:r>
      <w:r>
        <w:rPr>
          <w:sz w:val="16"/>
        </w:rPr>
        <w:t xml:space="preserve"> </w:t>
      </w:r>
      <w:r>
        <w:rPr>
          <w:spacing w:val="6"/>
          <w:sz w:val="16"/>
        </w:rPr>
        <w:t>s</w:t>
      </w:r>
      <w:r>
        <w:rPr>
          <w:sz w:val="16"/>
        </w:rPr>
        <w:t xml:space="preserve"> </w:t>
      </w:r>
      <w:r>
        <w:rPr>
          <w:spacing w:val="6"/>
          <w:sz w:val="16"/>
        </w:rPr>
        <w:t>p</w:t>
      </w:r>
      <w:r>
        <w:rPr>
          <w:sz w:val="16"/>
        </w:rPr>
        <w:t xml:space="preserve"> </w:t>
      </w:r>
      <w:r>
        <w:rPr>
          <w:spacing w:val="6"/>
          <w:sz w:val="16"/>
        </w:rPr>
        <w:t>o</w:t>
      </w:r>
      <w:r>
        <w:rPr>
          <w:sz w:val="16"/>
        </w:rPr>
        <w:t xml:space="preserve"> </w:t>
      </w:r>
      <w:r>
        <w:rPr>
          <w:spacing w:val="6"/>
          <w:sz w:val="16"/>
        </w:rPr>
        <w:t>n</w:t>
      </w:r>
      <w:r>
        <w:rPr>
          <w:sz w:val="16"/>
        </w:rPr>
        <w:t xml:space="preserve"> </w:t>
      </w:r>
      <w:r>
        <w:rPr>
          <w:spacing w:val="6"/>
          <w:sz w:val="16"/>
        </w:rPr>
        <w:t>í</w:t>
      </w:r>
      <w:r>
        <w:rPr>
          <w:sz w:val="16"/>
        </w:rPr>
        <w:t xml:space="preserve"> </w:t>
      </w:r>
      <w:r>
        <w:rPr>
          <w:spacing w:val="6"/>
          <w:sz w:val="16"/>
        </w:rPr>
        <w:t>v</w:t>
      </w:r>
      <w:r>
        <w:rPr>
          <w:sz w:val="16"/>
        </w:rPr>
        <w:t xml:space="preserve"> </w:t>
      </w:r>
      <w:r>
        <w:rPr>
          <w:spacing w:val="6"/>
          <w:sz w:val="16"/>
        </w:rPr>
        <w:t>e</w:t>
      </w:r>
      <w:r>
        <w:rPr>
          <w:sz w:val="16"/>
        </w:rPr>
        <w:t xml:space="preserve"> l</w:t>
      </w:r>
      <w:r>
        <w:rPr>
          <w:sz w:val="16"/>
        </w:rPr>
        <w:tab/>
      </w:r>
      <w:r>
        <w:rPr>
          <w:spacing w:val="6"/>
          <w:sz w:val="16"/>
        </w:rPr>
        <w:t>e</w:t>
      </w:r>
      <w:r>
        <w:rPr>
          <w:sz w:val="16"/>
        </w:rPr>
        <w:t xml:space="preserve"> </w:t>
      </w:r>
      <w:r>
        <w:rPr>
          <w:spacing w:val="6"/>
          <w:sz w:val="16"/>
        </w:rPr>
        <w:t>m</w:t>
      </w:r>
      <w:r>
        <w:rPr>
          <w:sz w:val="16"/>
        </w:rPr>
        <w:t xml:space="preserve"> :</w:t>
      </w:r>
      <w:r>
        <w:rPr>
          <w:sz w:val="16"/>
        </w:rPr>
        <w:tab/>
      </w:r>
      <w:r>
        <w:rPr>
          <w:spacing w:val="6"/>
          <w:sz w:val="16"/>
        </w:rPr>
        <w:t xml:space="preserve">&lt; d n p m </w:t>
      </w:r>
      <w:r>
        <w:rPr>
          <w:sz w:val="16"/>
        </w:rPr>
        <w:t xml:space="preserve">- </w:t>
      </w:r>
      <w:r>
        <w:rPr>
          <w:spacing w:val="6"/>
          <w:sz w:val="16"/>
        </w:rPr>
        <w:t xml:space="preserve">pe.gov.br/Trabalhos/Distritos.pdf&gt;. </w:t>
      </w:r>
      <w:r>
        <w:rPr>
          <w:spacing w:val="5"/>
          <w:sz w:val="16"/>
        </w:rPr>
        <w:t>Aces</w:t>
      </w:r>
      <w:r>
        <w:rPr>
          <w:spacing w:val="5"/>
          <w:sz w:val="16"/>
        </w:rPr>
        <w:t xml:space="preserve">so em: </w:t>
      </w:r>
      <w:r>
        <w:rPr>
          <w:spacing w:val="3"/>
          <w:sz w:val="16"/>
        </w:rPr>
        <w:t xml:space="preserve">14 </w:t>
      </w:r>
      <w:r>
        <w:rPr>
          <w:spacing w:val="5"/>
          <w:sz w:val="16"/>
        </w:rPr>
        <w:t xml:space="preserve">abr. </w:t>
      </w:r>
      <w:r>
        <w:rPr>
          <w:spacing w:val="7"/>
          <w:sz w:val="16"/>
        </w:rPr>
        <w:t xml:space="preserve">2010. </w:t>
      </w:r>
      <w:r>
        <w:rPr>
          <w:sz w:val="16"/>
        </w:rPr>
        <w:t>FERNANDES, Jessicleide Dantas; MEDEIROS, Anna Jacinta Dantas de. Desertificação no Nordeste: uma aproximação sobre o fenômeno do</w:t>
      </w:r>
      <w:r>
        <w:rPr>
          <w:spacing w:val="7"/>
          <w:sz w:val="16"/>
        </w:rPr>
        <w:t xml:space="preserve"> </w:t>
      </w:r>
      <w:r>
        <w:rPr>
          <w:sz w:val="16"/>
        </w:rPr>
        <w:t>Rio</w:t>
      </w:r>
      <w:r>
        <w:rPr>
          <w:spacing w:val="7"/>
          <w:sz w:val="16"/>
        </w:rPr>
        <w:t xml:space="preserve"> </w:t>
      </w:r>
      <w:r>
        <w:rPr>
          <w:sz w:val="16"/>
        </w:rPr>
        <w:t>Grande</w:t>
      </w:r>
      <w:r>
        <w:rPr>
          <w:spacing w:val="7"/>
          <w:sz w:val="16"/>
        </w:rPr>
        <w:t xml:space="preserve"> </w:t>
      </w:r>
      <w:r>
        <w:rPr>
          <w:sz w:val="16"/>
        </w:rPr>
        <w:t>do</w:t>
      </w:r>
      <w:r>
        <w:rPr>
          <w:spacing w:val="7"/>
          <w:sz w:val="16"/>
        </w:rPr>
        <w:t xml:space="preserve"> </w:t>
      </w:r>
      <w:r>
        <w:rPr>
          <w:sz w:val="16"/>
        </w:rPr>
        <w:t>Norte.</w:t>
      </w:r>
      <w:r>
        <w:rPr>
          <w:spacing w:val="7"/>
          <w:sz w:val="16"/>
        </w:rPr>
        <w:t xml:space="preserve"> </w:t>
      </w:r>
      <w:r>
        <w:rPr>
          <w:sz w:val="16"/>
        </w:rPr>
        <w:t>Holos,</w:t>
      </w:r>
      <w:r>
        <w:rPr>
          <w:spacing w:val="7"/>
          <w:sz w:val="16"/>
        </w:rPr>
        <w:t xml:space="preserve"> </w:t>
      </w:r>
      <w:r>
        <w:rPr>
          <w:sz w:val="16"/>
        </w:rPr>
        <w:t>Ano</w:t>
      </w:r>
      <w:r>
        <w:rPr>
          <w:spacing w:val="7"/>
          <w:sz w:val="16"/>
        </w:rPr>
        <w:t xml:space="preserve"> </w:t>
      </w:r>
      <w:r>
        <w:rPr>
          <w:sz w:val="16"/>
        </w:rPr>
        <w:t>25,</w:t>
      </w:r>
      <w:r>
        <w:rPr>
          <w:spacing w:val="7"/>
          <w:sz w:val="16"/>
        </w:rPr>
        <w:t xml:space="preserve"> </w:t>
      </w:r>
      <w:r>
        <w:rPr>
          <w:sz w:val="16"/>
        </w:rPr>
        <w:t>Vol.</w:t>
      </w:r>
      <w:r>
        <w:rPr>
          <w:spacing w:val="7"/>
          <w:sz w:val="16"/>
        </w:rPr>
        <w:t xml:space="preserve"> </w:t>
      </w:r>
      <w:r>
        <w:rPr>
          <w:sz w:val="16"/>
        </w:rPr>
        <w:t>3,</w:t>
      </w:r>
      <w:r>
        <w:rPr>
          <w:spacing w:val="7"/>
          <w:sz w:val="16"/>
        </w:rPr>
        <w:t xml:space="preserve"> </w:t>
      </w:r>
      <w:r>
        <w:rPr>
          <w:sz w:val="16"/>
        </w:rPr>
        <w:t>2009.</w:t>
      </w:r>
      <w:r>
        <w:rPr>
          <w:spacing w:val="7"/>
          <w:sz w:val="16"/>
        </w:rPr>
        <w:t xml:space="preserve"> </w:t>
      </w:r>
      <w:r>
        <w:rPr>
          <w:sz w:val="16"/>
        </w:rPr>
        <w:t>Disponível</w:t>
      </w:r>
      <w:r>
        <w:rPr>
          <w:spacing w:val="7"/>
          <w:sz w:val="16"/>
        </w:rPr>
        <w:t xml:space="preserve"> </w:t>
      </w:r>
      <w:r>
        <w:rPr>
          <w:sz w:val="16"/>
        </w:rPr>
        <w:t>em:</w:t>
      </w:r>
    </w:p>
    <w:p w:rsidR="00D81F69" w:rsidRDefault="00D81F69">
      <w:pPr>
        <w:spacing w:before="5" w:line="312" w:lineRule="auto"/>
        <w:ind w:left="100" w:right="216"/>
        <w:jc w:val="both"/>
        <w:rPr>
          <w:sz w:val="16"/>
        </w:rPr>
      </w:pPr>
      <w:hyperlink r:id="rId831">
        <w:r w:rsidR="00330118">
          <w:rPr>
            <w:sz w:val="16"/>
          </w:rPr>
          <w:t>&lt;http://www2.ifrn.edu.br/ojs/index.php/HOLOS/article/viewFile/265/27</w:t>
        </w:r>
      </w:hyperlink>
      <w:r w:rsidR="00330118">
        <w:rPr>
          <w:sz w:val="16"/>
        </w:rPr>
        <w:t xml:space="preserve"> 5&gt;. Acesso em: 12 abr. 2010</w:t>
      </w:r>
    </w:p>
    <w:p w:rsidR="00D81F69" w:rsidRDefault="00330118">
      <w:pPr>
        <w:tabs>
          <w:tab w:val="left" w:pos="2559"/>
          <w:tab w:val="left" w:pos="5063"/>
        </w:tabs>
        <w:spacing w:before="2" w:line="312" w:lineRule="auto"/>
        <w:ind w:left="100" w:right="200"/>
        <w:jc w:val="both"/>
        <w:rPr>
          <w:sz w:val="16"/>
        </w:rPr>
      </w:pPr>
      <w:r>
        <w:rPr>
          <w:sz w:val="16"/>
        </w:rPr>
        <w:t>IBRAM. Metasa reativa fábrica de tungstênio. Ago, 2007. Disponível   e</w:t>
      </w:r>
      <w:r>
        <w:rPr>
          <w:sz w:val="16"/>
        </w:rPr>
        <w:tab/>
        <w:t>m</w:t>
      </w:r>
      <w:r>
        <w:rPr>
          <w:sz w:val="16"/>
        </w:rPr>
        <w:tab/>
        <w:t>:</w:t>
      </w:r>
    </w:p>
    <w:p w:rsidR="00D81F69" w:rsidRDefault="00D81F69">
      <w:pPr>
        <w:spacing w:before="2" w:line="312" w:lineRule="auto"/>
        <w:ind w:left="100" w:right="196"/>
        <w:jc w:val="both"/>
        <w:rPr>
          <w:sz w:val="16"/>
        </w:rPr>
      </w:pPr>
      <w:hyperlink r:id="rId832">
        <w:r w:rsidR="00330118">
          <w:rPr>
            <w:sz w:val="16"/>
          </w:rPr>
          <w:t>&lt;http://www.ibram.org.br/003/00301009.asp?ttCD_CHAVE=41352&gt;.</w:t>
        </w:r>
      </w:hyperlink>
      <w:r w:rsidR="00330118">
        <w:rPr>
          <w:sz w:val="16"/>
        </w:rPr>
        <w:t xml:space="preserve"> Acesso em: 27 jan. 2011.</w:t>
      </w:r>
    </w:p>
    <w:p w:rsidR="00D81F69" w:rsidRDefault="00330118">
      <w:pPr>
        <w:spacing w:before="1" w:line="312" w:lineRule="auto"/>
        <w:ind w:left="100" w:right="188"/>
        <w:jc w:val="both"/>
        <w:rPr>
          <w:sz w:val="16"/>
        </w:rPr>
      </w:pPr>
      <w:r>
        <w:rPr>
          <w:sz w:val="16"/>
        </w:rPr>
        <w:t>MINISTÉRIO DO MEIO AMBIENTE. Panorama da desertificação no estado do Rio Grande do Norte, out 20</w:t>
      </w:r>
      <w:r>
        <w:rPr>
          <w:sz w:val="16"/>
        </w:rPr>
        <w:t>05. Disponível em:</w:t>
      </w:r>
    </w:p>
    <w:p w:rsidR="00D81F69" w:rsidRDefault="00D81F69">
      <w:pPr>
        <w:spacing w:before="2" w:line="312" w:lineRule="auto"/>
        <w:ind w:left="100" w:right="216"/>
        <w:jc w:val="both"/>
        <w:rPr>
          <w:sz w:val="16"/>
        </w:rPr>
      </w:pPr>
      <w:hyperlink r:id="rId833">
        <w:r w:rsidR="00330118">
          <w:rPr>
            <w:sz w:val="16"/>
          </w:rPr>
          <w:t>&lt;http://mineiropt.com.br/media/uploads/publications/arq46bdd6587aa</w:t>
        </w:r>
      </w:hyperlink>
      <w:r w:rsidR="00330118">
        <w:rPr>
          <w:sz w:val="16"/>
        </w:rPr>
        <w:t xml:space="preserve"> e5.pdf&gt;. Acesso em: 14 abr. 2010.</w:t>
      </w:r>
    </w:p>
    <w:p w:rsidR="00D81F69" w:rsidRDefault="00330118">
      <w:pPr>
        <w:spacing w:before="2" w:line="312" w:lineRule="auto"/>
        <w:ind w:left="100" w:right="132"/>
        <w:jc w:val="both"/>
        <w:rPr>
          <w:sz w:val="16"/>
        </w:rPr>
      </w:pPr>
      <w:r>
        <w:rPr>
          <w:sz w:val="16"/>
        </w:rPr>
        <w:t>MINISTÉRIO DO MEIO AMBIENTE. Programa de Ação Naciona</w:t>
      </w:r>
      <w:r>
        <w:rPr>
          <w:sz w:val="16"/>
        </w:rPr>
        <w:t xml:space="preserve">l de Combate à Desertificação e Mitigação dos Efeitos da Seca - Pan-       </w:t>
      </w:r>
      <w:r>
        <w:rPr>
          <w:spacing w:val="20"/>
          <w:sz w:val="16"/>
        </w:rPr>
        <w:t>B</w:t>
      </w:r>
      <w:r>
        <w:rPr>
          <w:sz w:val="16"/>
        </w:rPr>
        <w:t xml:space="preserve"> </w:t>
      </w:r>
      <w:r>
        <w:rPr>
          <w:spacing w:val="20"/>
          <w:sz w:val="16"/>
        </w:rPr>
        <w:t>r</w:t>
      </w:r>
      <w:r>
        <w:rPr>
          <w:sz w:val="16"/>
        </w:rPr>
        <w:t xml:space="preserve"> </w:t>
      </w:r>
      <w:r>
        <w:rPr>
          <w:spacing w:val="20"/>
          <w:sz w:val="16"/>
        </w:rPr>
        <w:t>a</w:t>
      </w:r>
      <w:r>
        <w:rPr>
          <w:sz w:val="16"/>
        </w:rPr>
        <w:t xml:space="preserve"> </w:t>
      </w:r>
      <w:r>
        <w:rPr>
          <w:spacing w:val="20"/>
          <w:sz w:val="16"/>
        </w:rPr>
        <w:t>s</w:t>
      </w:r>
      <w:r>
        <w:rPr>
          <w:sz w:val="16"/>
        </w:rPr>
        <w:t xml:space="preserve"> </w:t>
      </w:r>
      <w:r>
        <w:rPr>
          <w:spacing w:val="20"/>
          <w:sz w:val="16"/>
        </w:rPr>
        <w:t>i</w:t>
      </w:r>
      <w:r>
        <w:rPr>
          <w:sz w:val="16"/>
        </w:rPr>
        <w:t xml:space="preserve"> </w:t>
      </w:r>
      <w:r>
        <w:rPr>
          <w:spacing w:val="20"/>
          <w:sz w:val="16"/>
        </w:rPr>
        <w:t>l</w:t>
      </w:r>
      <w:r>
        <w:rPr>
          <w:sz w:val="16"/>
        </w:rPr>
        <w:t xml:space="preserve"> .</w:t>
      </w:r>
      <w:r>
        <w:rPr>
          <w:spacing w:val="30"/>
          <w:sz w:val="16"/>
        </w:rPr>
        <w:t xml:space="preserve"> </w:t>
      </w:r>
      <w:r>
        <w:rPr>
          <w:spacing w:val="20"/>
          <w:sz w:val="16"/>
        </w:rPr>
        <w:t>A</w:t>
      </w:r>
      <w:r>
        <w:rPr>
          <w:sz w:val="16"/>
        </w:rPr>
        <w:t xml:space="preserve"> </w:t>
      </w:r>
      <w:r>
        <w:rPr>
          <w:spacing w:val="20"/>
          <w:sz w:val="16"/>
        </w:rPr>
        <w:t>g</w:t>
      </w:r>
      <w:r>
        <w:rPr>
          <w:sz w:val="16"/>
        </w:rPr>
        <w:t xml:space="preserve"> </w:t>
      </w:r>
      <w:r>
        <w:rPr>
          <w:spacing w:val="20"/>
          <w:sz w:val="16"/>
        </w:rPr>
        <w:t>o</w:t>
      </w:r>
      <w:r>
        <w:rPr>
          <w:sz w:val="16"/>
        </w:rPr>
        <w:t xml:space="preserve"> ,</w:t>
      </w:r>
      <w:r>
        <w:rPr>
          <w:spacing w:val="30"/>
          <w:sz w:val="16"/>
        </w:rPr>
        <w:t xml:space="preserve"> </w:t>
      </w:r>
      <w:r>
        <w:rPr>
          <w:spacing w:val="20"/>
          <w:sz w:val="16"/>
        </w:rPr>
        <w:t>2</w:t>
      </w:r>
      <w:r>
        <w:rPr>
          <w:sz w:val="16"/>
        </w:rPr>
        <w:t xml:space="preserve"> </w:t>
      </w:r>
      <w:r>
        <w:rPr>
          <w:spacing w:val="20"/>
          <w:sz w:val="16"/>
        </w:rPr>
        <w:t>0</w:t>
      </w:r>
      <w:r>
        <w:rPr>
          <w:sz w:val="16"/>
        </w:rPr>
        <w:t xml:space="preserve"> </w:t>
      </w:r>
      <w:r>
        <w:rPr>
          <w:spacing w:val="20"/>
          <w:sz w:val="16"/>
        </w:rPr>
        <w:t>0</w:t>
      </w:r>
      <w:r>
        <w:rPr>
          <w:sz w:val="16"/>
        </w:rPr>
        <w:t xml:space="preserve"> 4</w:t>
      </w:r>
      <w:r>
        <w:rPr>
          <w:spacing w:val="30"/>
          <w:sz w:val="16"/>
        </w:rPr>
        <w:t xml:space="preserve"> </w:t>
      </w:r>
      <w:r>
        <w:rPr>
          <w:spacing w:val="20"/>
          <w:sz w:val="16"/>
        </w:rPr>
        <w:t>D</w:t>
      </w:r>
      <w:r>
        <w:rPr>
          <w:sz w:val="16"/>
        </w:rPr>
        <w:t xml:space="preserve"> </w:t>
      </w:r>
      <w:r>
        <w:rPr>
          <w:spacing w:val="20"/>
          <w:sz w:val="16"/>
        </w:rPr>
        <w:t>i</w:t>
      </w:r>
      <w:r>
        <w:rPr>
          <w:sz w:val="16"/>
        </w:rPr>
        <w:t xml:space="preserve"> </w:t>
      </w:r>
      <w:r>
        <w:rPr>
          <w:spacing w:val="20"/>
          <w:sz w:val="16"/>
        </w:rPr>
        <w:t>s</w:t>
      </w:r>
      <w:r>
        <w:rPr>
          <w:sz w:val="16"/>
        </w:rPr>
        <w:t xml:space="preserve"> </w:t>
      </w:r>
      <w:r>
        <w:rPr>
          <w:spacing w:val="20"/>
          <w:sz w:val="16"/>
        </w:rPr>
        <w:t>p</w:t>
      </w:r>
      <w:r>
        <w:rPr>
          <w:sz w:val="16"/>
        </w:rPr>
        <w:t xml:space="preserve"> </w:t>
      </w:r>
      <w:r>
        <w:rPr>
          <w:spacing w:val="20"/>
          <w:sz w:val="16"/>
        </w:rPr>
        <w:t>o</w:t>
      </w:r>
      <w:r>
        <w:rPr>
          <w:sz w:val="16"/>
        </w:rPr>
        <w:t xml:space="preserve"> </w:t>
      </w:r>
      <w:r>
        <w:rPr>
          <w:spacing w:val="20"/>
          <w:sz w:val="16"/>
        </w:rPr>
        <w:t>n</w:t>
      </w:r>
      <w:r>
        <w:rPr>
          <w:sz w:val="16"/>
        </w:rPr>
        <w:t xml:space="preserve"> </w:t>
      </w:r>
      <w:r>
        <w:rPr>
          <w:spacing w:val="20"/>
          <w:sz w:val="16"/>
        </w:rPr>
        <w:t>í</w:t>
      </w:r>
      <w:r>
        <w:rPr>
          <w:sz w:val="16"/>
        </w:rPr>
        <w:t xml:space="preserve"> </w:t>
      </w:r>
      <w:r>
        <w:rPr>
          <w:spacing w:val="20"/>
          <w:sz w:val="16"/>
        </w:rPr>
        <w:t>v</w:t>
      </w:r>
      <w:r>
        <w:rPr>
          <w:sz w:val="16"/>
        </w:rPr>
        <w:t xml:space="preserve"> </w:t>
      </w:r>
      <w:r>
        <w:rPr>
          <w:spacing w:val="20"/>
          <w:sz w:val="16"/>
        </w:rPr>
        <w:t>e</w:t>
      </w:r>
      <w:r>
        <w:rPr>
          <w:sz w:val="16"/>
        </w:rPr>
        <w:t xml:space="preserve"> l</w:t>
      </w:r>
      <w:r>
        <w:rPr>
          <w:spacing w:val="30"/>
          <w:sz w:val="16"/>
        </w:rPr>
        <w:t xml:space="preserve"> </w:t>
      </w:r>
      <w:r>
        <w:rPr>
          <w:spacing w:val="20"/>
          <w:sz w:val="16"/>
        </w:rPr>
        <w:t>e</w:t>
      </w:r>
      <w:r>
        <w:rPr>
          <w:sz w:val="16"/>
        </w:rPr>
        <w:t xml:space="preserve"> </w:t>
      </w:r>
      <w:r>
        <w:rPr>
          <w:spacing w:val="20"/>
          <w:sz w:val="16"/>
        </w:rPr>
        <w:t>m</w:t>
      </w:r>
      <w:r>
        <w:rPr>
          <w:sz w:val="16"/>
        </w:rPr>
        <w:t xml:space="preserve"> :</w:t>
      </w:r>
      <w:r>
        <w:rPr>
          <w:spacing w:val="20"/>
          <w:sz w:val="16"/>
        </w:rPr>
        <w:t xml:space="preserve"> </w:t>
      </w:r>
    </w:p>
    <w:p w:rsidR="00D81F69" w:rsidRDefault="00D81F69">
      <w:pPr>
        <w:spacing w:before="2" w:line="312" w:lineRule="auto"/>
        <w:ind w:left="100" w:right="216"/>
        <w:jc w:val="both"/>
        <w:rPr>
          <w:sz w:val="16"/>
        </w:rPr>
      </w:pPr>
      <w:hyperlink r:id="rId834">
        <w:r w:rsidR="00330118">
          <w:rPr>
            <w:sz w:val="16"/>
          </w:rPr>
          <w:t>&lt;http://www.aspan.org.br/riodbrasil/pt/documentos/</w:t>
        </w:r>
        <w:r w:rsidR="00330118">
          <w:rPr>
            <w:sz w:val="16"/>
          </w:rPr>
          <w:t xml:space="preserve">PAN.pdf&gt;. </w:t>
        </w:r>
      </w:hyperlink>
      <w:r w:rsidR="00330118">
        <w:rPr>
          <w:sz w:val="16"/>
        </w:rPr>
        <w:t>Acesso em: 13 abr. 2010.</w:t>
      </w:r>
    </w:p>
    <w:p w:rsidR="00D81F69" w:rsidRDefault="00330118">
      <w:pPr>
        <w:spacing w:before="2"/>
        <w:ind w:left="100"/>
        <w:rPr>
          <w:sz w:val="16"/>
        </w:rPr>
      </w:pPr>
      <w:r>
        <w:rPr>
          <w:sz w:val="16"/>
        </w:rPr>
        <w:t>PDP  -  PLANO  DE  DESENVOLVIMENTO  PRELIMINAR. Arranjo</w:t>
      </w:r>
    </w:p>
    <w:p w:rsidR="00D81F69" w:rsidRDefault="00330118">
      <w:pPr>
        <w:spacing w:before="56" w:line="312" w:lineRule="auto"/>
        <w:ind w:left="100" w:right="139"/>
        <w:jc w:val="both"/>
        <w:rPr>
          <w:sz w:val="16"/>
        </w:rPr>
      </w:pPr>
      <w:r>
        <w:rPr>
          <w:sz w:val="16"/>
        </w:rPr>
        <w:t xml:space="preserve">produtivo local de minerais de pegmatito do Rio Grande do Norte e     </w:t>
      </w:r>
      <w:r>
        <w:rPr>
          <w:spacing w:val="11"/>
          <w:sz w:val="16"/>
        </w:rPr>
        <w:t>P</w:t>
      </w:r>
      <w:r>
        <w:rPr>
          <w:sz w:val="16"/>
        </w:rPr>
        <w:t xml:space="preserve"> </w:t>
      </w:r>
      <w:r>
        <w:rPr>
          <w:spacing w:val="11"/>
          <w:sz w:val="16"/>
        </w:rPr>
        <w:t>a</w:t>
      </w:r>
      <w:r>
        <w:rPr>
          <w:sz w:val="16"/>
        </w:rPr>
        <w:t xml:space="preserve"> </w:t>
      </w:r>
      <w:r>
        <w:rPr>
          <w:spacing w:val="11"/>
          <w:sz w:val="16"/>
        </w:rPr>
        <w:t>r</w:t>
      </w:r>
      <w:r>
        <w:rPr>
          <w:sz w:val="16"/>
        </w:rPr>
        <w:t xml:space="preserve"> </w:t>
      </w:r>
      <w:r>
        <w:rPr>
          <w:spacing w:val="11"/>
          <w:sz w:val="16"/>
        </w:rPr>
        <w:t>a</w:t>
      </w:r>
      <w:r>
        <w:rPr>
          <w:sz w:val="16"/>
        </w:rPr>
        <w:t xml:space="preserve"> </w:t>
      </w:r>
      <w:r>
        <w:rPr>
          <w:spacing w:val="11"/>
          <w:sz w:val="16"/>
        </w:rPr>
        <w:t>í</w:t>
      </w:r>
      <w:r>
        <w:rPr>
          <w:sz w:val="16"/>
        </w:rPr>
        <w:t xml:space="preserve"> </w:t>
      </w:r>
      <w:r>
        <w:rPr>
          <w:spacing w:val="11"/>
          <w:sz w:val="16"/>
        </w:rPr>
        <w:t>b</w:t>
      </w:r>
      <w:r>
        <w:rPr>
          <w:sz w:val="16"/>
        </w:rPr>
        <w:t xml:space="preserve"> </w:t>
      </w:r>
      <w:r>
        <w:rPr>
          <w:spacing w:val="11"/>
          <w:sz w:val="16"/>
        </w:rPr>
        <w:t>a</w:t>
      </w:r>
      <w:r>
        <w:rPr>
          <w:sz w:val="16"/>
        </w:rPr>
        <w:t xml:space="preserve"> .     </w:t>
      </w:r>
      <w:r>
        <w:rPr>
          <w:spacing w:val="41"/>
          <w:sz w:val="16"/>
        </w:rPr>
        <w:t xml:space="preserve"> </w:t>
      </w:r>
      <w:r>
        <w:rPr>
          <w:spacing w:val="11"/>
          <w:sz w:val="16"/>
        </w:rPr>
        <w:t>F</w:t>
      </w:r>
      <w:r>
        <w:rPr>
          <w:sz w:val="16"/>
        </w:rPr>
        <w:t xml:space="preserve"> </w:t>
      </w:r>
      <w:r>
        <w:rPr>
          <w:spacing w:val="11"/>
          <w:sz w:val="16"/>
        </w:rPr>
        <w:t>e</w:t>
      </w:r>
      <w:r>
        <w:rPr>
          <w:sz w:val="16"/>
        </w:rPr>
        <w:t xml:space="preserve"> </w:t>
      </w:r>
      <w:r>
        <w:rPr>
          <w:spacing w:val="11"/>
          <w:sz w:val="16"/>
        </w:rPr>
        <w:t>v</w:t>
      </w:r>
      <w:r>
        <w:rPr>
          <w:sz w:val="16"/>
        </w:rPr>
        <w:t xml:space="preserve"> ,     </w:t>
      </w:r>
      <w:r>
        <w:rPr>
          <w:spacing w:val="41"/>
          <w:sz w:val="16"/>
        </w:rPr>
        <w:t xml:space="preserve"> </w:t>
      </w:r>
      <w:r>
        <w:rPr>
          <w:spacing w:val="11"/>
          <w:sz w:val="16"/>
        </w:rPr>
        <w:t>2</w:t>
      </w:r>
      <w:r>
        <w:rPr>
          <w:sz w:val="16"/>
        </w:rPr>
        <w:t xml:space="preserve"> </w:t>
      </w:r>
      <w:r>
        <w:rPr>
          <w:spacing w:val="11"/>
          <w:sz w:val="16"/>
        </w:rPr>
        <w:t>0</w:t>
      </w:r>
      <w:r>
        <w:rPr>
          <w:sz w:val="16"/>
        </w:rPr>
        <w:t xml:space="preserve"> </w:t>
      </w:r>
      <w:r>
        <w:rPr>
          <w:spacing w:val="11"/>
          <w:sz w:val="16"/>
        </w:rPr>
        <w:t>0</w:t>
      </w:r>
      <w:r>
        <w:rPr>
          <w:sz w:val="16"/>
        </w:rPr>
        <w:t xml:space="preserve"> </w:t>
      </w:r>
      <w:r>
        <w:rPr>
          <w:spacing w:val="11"/>
          <w:sz w:val="16"/>
        </w:rPr>
        <w:t>9</w:t>
      </w:r>
      <w:r>
        <w:rPr>
          <w:sz w:val="16"/>
        </w:rPr>
        <w:t xml:space="preserve"> .     </w:t>
      </w:r>
      <w:r>
        <w:rPr>
          <w:spacing w:val="41"/>
          <w:sz w:val="16"/>
        </w:rPr>
        <w:t xml:space="preserve"> </w:t>
      </w:r>
      <w:r>
        <w:rPr>
          <w:spacing w:val="11"/>
          <w:sz w:val="16"/>
        </w:rPr>
        <w:t>D</w:t>
      </w:r>
      <w:r>
        <w:rPr>
          <w:sz w:val="16"/>
        </w:rPr>
        <w:t xml:space="preserve"> </w:t>
      </w:r>
      <w:r>
        <w:rPr>
          <w:spacing w:val="11"/>
          <w:sz w:val="16"/>
        </w:rPr>
        <w:t>i</w:t>
      </w:r>
      <w:r>
        <w:rPr>
          <w:sz w:val="16"/>
        </w:rPr>
        <w:t xml:space="preserve"> </w:t>
      </w:r>
      <w:r>
        <w:rPr>
          <w:spacing w:val="11"/>
          <w:sz w:val="16"/>
        </w:rPr>
        <w:t>s</w:t>
      </w:r>
      <w:r>
        <w:rPr>
          <w:sz w:val="16"/>
        </w:rPr>
        <w:t xml:space="preserve"> </w:t>
      </w:r>
      <w:r>
        <w:rPr>
          <w:spacing w:val="11"/>
          <w:sz w:val="16"/>
        </w:rPr>
        <w:t>p</w:t>
      </w:r>
      <w:r>
        <w:rPr>
          <w:sz w:val="16"/>
        </w:rPr>
        <w:t xml:space="preserve"> </w:t>
      </w:r>
      <w:r>
        <w:rPr>
          <w:spacing w:val="11"/>
          <w:sz w:val="16"/>
        </w:rPr>
        <w:t>o</w:t>
      </w:r>
      <w:r>
        <w:rPr>
          <w:sz w:val="16"/>
        </w:rPr>
        <w:t xml:space="preserve"> </w:t>
      </w:r>
      <w:r>
        <w:rPr>
          <w:spacing w:val="11"/>
          <w:sz w:val="16"/>
        </w:rPr>
        <w:t>n</w:t>
      </w:r>
      <w:r>
        <w:rPr>
          <w:sz w:val="16"/>
        </w:rPr>
        <w:t xml:space="preserve"> </w:t>
      </w:r>
      <w:r>
        <w:rPr>
          <w:spacing w:val="11"/>
          <w:sz w:val="16"/>
        </w:rPr>
        <w:t>í</w:t>
      </w:r>
      <w:r>
        <w:rPr>
          <w:sz w:val="16"/>
        </w:rPr>
        <w:t xml:space="preserve"> </w:t>
      </w:r>
      <w:r>
        <w:rPr>
          <w:spacing w:val="11"/>
          <w:sz w:val="16"/>
        </w:rPr>
        <w:t>v</w:t>
      </w:r>
      <w:r>
        <w:rPr>
          <w:sz w:val="16"/>
        </w:rPr>
        <w:t xml:space="preserve"> </w:t>
      </w:r>
      <w:r>
        <w:rPr>
          <w:spacing w:val="11"/>
          <w:sz w:val="16"/>
        </w:rPr>
        <w:t>e</w:t>
      </w:r>
      <w:r>
        <w:rPr>
          <w:sz w:val="16"/>
        </w:rPr>
        <w:t xml:space="preserve"> l     </w:t>
      </w:r>
      <w:r>
        <w:rPr>
          <w:spacing w:val="41"/>
          <w:sz w:val="16"/>
        </w:rPr>
        <w:t xml:space="preserve"> </w:t>
      </w:r>
      <w:r>
        <w:rPr>
          <w:spacing w:val="11"/>
          <w:sz w:val="16"/>
        </w:rPr>
        <w:t>e</w:t>
      </w:r>
      <w:r>
        <w:rPr>
          <w:sz w:val="16"/>
        </w:rPr>
        <w:t xml:space="preserve"> </w:t>
      </w:r>
      <w:r>
        <w:rPr>
          <w:spacing w:val="11"/>
          <w:sz w:val="16"/>
        </w:rPr>
        <w:t>m</w:t>
      </w:r>
      <w:r>
        <w:rPr>
          <w:sz w:val="16"/>
        </w:rPr>
        <w:t xml:space="preserve"> :</w:t>
      </w:r>
      <w:r>
        <w:rPr>
          <w:spacing w:val="12"/>
          <w:sz w:val="16"/>
        </w:rPr>
        <w:t xml:space="preserve"> </w:t>
      </w:r>
    </w:p>
    <w:p w:rsidR="00D81F69" w:rsidRDefault="00D81F69">
      <w:pPr>
        <w:spacing w:before="1" w:line="312" w:lineRule="auto"/>
        <w:ind w:left="100" w:right="212"/>
        <w:jc w:val="both"/>
        <w:rPr>
          <w:sz w:val="16"/>
        </w:rPr>
      </w:pPr>
      <w:hyperlink r:id="rId835">
        <w:r w:rsidR="00330118">
          <w:rPr>
            <w:sz w:val="16"/>
          </w:rPr>
          <w:t xml:space="preserve">&lt;http://www.mdic.gov.br/arquivos/dwnl_1247147072.pdf&gt;. </w:t>
        </w:r>
      </w:hyperlink>
      <w:r w:rsidR="00330118">
        <w:rPr>
          <w:sz w:val="16"/>
        </w:rPr>
        <w:t>Acesso em: 27 jan. 2011.</w:t>
      </w:r>
    </w:p>
    <w:p w:rsidR="00D81F69" w:rsidRDefault="00330118">
      <w:pPr>
        <w:spacing w:before="2" w:line="312" w:lineRule="auto"/>
        <w:ind w:left="100" w:right="160"/>
        <w:jc w:val="both"/>
        <w:rPr>
          <w:sz w:val="16"/>
        </w:rPr>
      </w:pPr>
      <w:r>
        <w:rPr>
          <w:sz w:val="16"/>
        </w:rPr>
        <w:t xml:space="preserve">REDE APL MINERAL. Extensionismo como indutor do cooperativismo e </w:t>
      </w:r>
      <w:r>
        <w:rPr>
          <w:spacing w:val="31"/>
          <w:sz w:val="16"/>
        </w:rPr>
        <w:t xml:space="preserve">associativismo. </w:t>
      </w:r>
      <w:r>
        <w:rPr>
          <w:spacing w:val="25"/>
          <w:sz w:val="16"/>
        </w:rPr>
        <w:t>Set,</w:t>
      </w:r>
      <w:r>
        <w:rPr>
          <w:spacing w:val="95"/>
          <w:sz w:val="16"/>
        </w:rPr>
        <w:t xml:space="preserve"> </w:t>
      </w:r>
      <w:r>
        <w:rPr>
          <w:spacing w:val="27"/>
          <w:sz w:val="16"/>
        </w:rPr>
        <w:t xml:space="preserve">2010. </w:t>
      </w:r>
      <w:r>
        <w:rPr>
          <w:spacing w:val="30"/>
          <w:sz w:val="16"/>
        </w:rPr>
        <w:t>Disponível</w:t>
      </w:r>
      <w:r>
        <w:rPr>
          <w:spacing w:val="101"/>
          <w:sz w:val="16"/>
        </w:rPr>
        <w:t xml:space="preserve"> </w:t>
      </w:r>
      <w:r>
        <w:rPr>
          <w:spacing w:val="22"/>
          <w:sz w:val="16"/>
        </w:rPr>
        <w:t>em:</w:t>
      </w:r>
      <w:r>
        <w:rPr>
          <w:spacing w:val="-10"/>
          <w:sz w:val="16"/>
        </w:rPr>
        <w:t xml:space="preserve"> </w:t>
      </w:r>
    </w:p>
    <w:p w:rsidR="00D81F69" w:rsidRDefault="00D81F69">
      <w:pPr>
        <w:spacing w:before="2" w:line="312" w:lineRule="auto"/>
        <w:ind w:left="100" w:right="197"/>
        <w:jc w:val="both"/>
        <w:rPr>
          <w:sz w:val="16"/>
        </w:rPr>
      </w:pPr>
      <w:hyperlink r:id="rId836">
        <w:r w:rsidR="00330118">
          <w:rPr>
            <w:spacing w:val="5"/>
            <w:sz w:val="16"/>
          </w:rPr>
          <w:t>&lt;http://www.redeaplmineral.org.br/noticias/extensionismo-como-</w:t>
        </w:r>
      </w:hyperlink>
      <w:r w:rsidR="00330118">
        <w:rPr>
          <w:spacing w:val="5"/>
          <w:sz w:val="16"/>
        </w:rPr>
        <w:t xml:space="preserve"> </w:t>
      </w:r>
      <w:r w:rsidR="00330118">
        <w:rPr>
          <w:sz w:val="16"/>
        </w:rPr>
        <w:t xml:space="preserve">i n d u t o r - d o - c o o p e r a t i v i s m o - e - associativismo/?searchterm=pegmatitos&gt;. Acesso em: 27 jan. </w:t>
      </w:r>
      <w:r w:rsidR="00330118">
        <w:rPr>
          <w:sz w:val="16"/>
        </w:rPr>
        <w:t xml:space="preserve">2011. </w:t>
      </w:r>
      <w:r w:rsidR="00330118">
        <w:rPr>
          <w:spacing w:val="5"/>
          <w:sz w:val="16"/>
        </w:rPr>
        <w:t xml:space="preserve">SECRETARIA </w:t>
      </w:r>
      <w:r w:rsidR="00330118">
        <w:rPr>
          <w:spacing w:val="2"/>
          <w:sz w:val="16"/>
        </w:rPr>
        <w:t xml:space="preserve">DE </w:t>
      </w:r>
      <w:r w:rsidR="00330118">
        <w:rPr>
          <w:spacing w:val="5"/>
          <w:sz w:val="16"/>
        </w:rPr>
        <w:t>PROGRAMAS REGIONAIS. Intercâmbio</w:t>
      </w:r>
      <w:r w:rsidR="00330118">
        <w:rPr>
          <w:spacing w:val="22"/>
          <w:sz w:val="16"/>
        </w:rPr>
        <w:t xml:space="preserve"> </w:t>
      </w:r>
      <w:r w:rsidR="00330118">
        <w:rPr>
          <w:spacing w:val="6"/>
          <w:sz w:val="16"/>
        </w:rPr>
        <w:t>de</w:t>
      </w:r>
    </w:p>
    <w:p w:rsidR="00D81F69" w:rsidRDefault="00330118">
      <w:pPr>
        <w:tabs>
          <w:tab w:val="left" w:pos="4331"/>
        </w:tabs>
        <w:spacing w:before="3" w:line="312" w:lineRule="auto"/>
        <w:ind w:left="100" w:right="190"/>
        <w:jc w:val="both"/>
        <w:rPr>
          <w:sz w:val="16"/>
        </w:rPr>
      </w:pPr>
      <w:r>
        <w:rPr>
          <w:spacing w:val="5"/>
          <w:sz w:val="16"/>
        </w:rPr>
        <w:t xml:space="preserve">garimpeiros movimentou </w:t>
      </w:r>
      <w:r>
        <w:rPr>
          <w:sz w:val="16"/>
        </w:rPr>
        <w:t xml:space="preserve">a </w:t>
      </w:r>
      <w:r>
        <w:rPr>
          <w:spacing w:val="5"/>
          <w:sz w:val="16"/>
        </w:rPr>
        <w:t xml:space="preserve">Mesorregião  Seridó,  </w:t>
      </w:r>
      <w:r>
        <w:rPr>
          <w:spacing w:val="2"/>
          <w:sz w:val="16"/>
        </w:rPr>
        <w:t xml:space="preserve">14  </w:t>
      </w:r>
      <w:r>
        <w:rPr>
          <w:spacing w:val="5"/>
          <w:sz w:val="16"/>
        </w:rPr>
        <w:t xml:space="preserve">set.  </w:t>
      </w:r>
      <w:r>
        <w:rPr>
          <w:spacing w:val="6"/>
          <w:sz w:val="16"/>
        </w:rPr>
        <w:t xml:space="preserve">2009.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199"/>
        <w:jc w:val="both"/>
        <w:rPr>
          <w:sz w:val="16"/>
        </w:rPr>
      </w:pPr>
      <w:hyperlink r:id="rId837">
        <w:r w:rsidR="00330118">
          <w:rPr>
            <w:sz w:val="16"/>
          </w:rPr>
          <w:t>&lt;http://200.198.213.88/newsletter/index.php/email/noticia/609/19136&gt;.</w:t>
        </w:r>
      </w:hyperlink>
      <w:r w:rsidR="00330118">
        <w:rPr>
          <w:sz w:val="16"/>
        </w:rPr>
        <w:t xml:space="preserve"> Acesso em: 15 abr. 2010</w:t>
      </w:r>
    </w:p>
    <w:p w:rsidR="00D81F69" w:rsidRDefault="00330118">
      <w:pPr>
        <w:spacing w:before="1" w:line="312" w:lineRule="auto"/>
        <w:ind w:left="100" w:right="197"/>
        <w:jc w:val="both"/>
        <w:rPr>
          <w:sz w:val="16"/>
        </w:rPr>
      </w:pPr>
      <w:r>
        <w:rPr>
          <w:sz w:val="16"/>
        </w:rPr>
        <w:t>SOUSA, Lídia Dely Alves de; HARIMA, Eiji; LEITE, José Yvan Pereira. Alternativas tecnológicas para o rejeito do caulim do APL de base mineral – RN e</w:t>
      </w:r>
      <w:r>
        <w:rPr>
          <w:sz w:val="16"/>
        </w:rPr>
        <w:t xml:space="preserve"> PB. II Congresso de Pesquisa e Inovação da Rede Norte-Nordeste de Educação Tecnológica, João Pessoa (PB),</w:t>
      </w:r>
    </w:p>
    <w:p w:rsidR="00D81F69" w:rsidRDefault="00330118">
      <w:pPr>
        <w:tabs>
          <w:tab w:val="left" w:pos="1785"/>
          <w:tab w:val="left" w:pos="4548"/>
        </w:tabs>
        <w:spacing w:before="3"/>
        <w:ind w:left="100"/>
        <w:rPr>
          <w:sz w:val="16"/>
        </w:rPr>
      </w:pPr>
      <w:r>
        <w:rPr>
          <w:sz w:val="16"/>
        </w:rPr>
        <w:t xml:space="preserve">2   0   0  </w:t>
      </w:r>
      <w:r>
        <w:rPr>
          <w:spacing w:val="35"/>
          <w:sz w:val="16"/>
        </w:rPr>
        <w:t xml:space="preserve"> </w:t>
      </w:r>
      <w:r>
        <w:rPr>
          <w:sz w:val="16"/>
        </w:rPr>
        <w:t xml:space="preserve">7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16"/>
        <w:jc w:val="both"/>
        <w:rPr>
          <w:sz w:val="16"/>
        </w:rPr>
      </w:pPr>
      <w:hyperlink r:id="rId838">
        <w:r w:rsidR="00330118">
          <w:rPr>
            <w:sz w:val="16"/>
          </w:rPr>
          <w:t>&lt;h</w:t>
        </w:r>
        <w:r w:rsidR="00330118">
          <w:rPr>
            <w:sz w:val="16"/>
          </w:rPr>
          <w:t>ttp://www.redenet.edu.br/publicacoes/arquivos/20080220_105416_</w:t>
        </w:r>
      </w:hyperlink>
      <w:r w:rsidR="00330118">
        <w:rPr>
          <w:sz w:val="16"/>
        </w:rPr>
        <w:t xml:space="preserve"> MINE-003.pdf&gt;. Acesso: em 12 abr. 2010.</w:t>
      </w:r>
    </w:p>
    <w:p w:rsidR="00D81F69" w:rsidRDefault="00330118">
      <w:pPr>
        <w:spacing w:before="2" w:line="312" w:lineRule="auto"/>
        <w:ind w:left="100" w:right="197"/>
        <w:jc w:val="both"/>
        <w:rPr>
          <w:sz w:val="16"/>
        </w:rPr>
      </w:pPr>
      <w:r>
        <w:rPr>
          <w:sz w:val="16"/>
        </w:rPr>
        <w:t>TRIBUNA DO NORTE. Exploração de scheelita reativa antigas minas. In: Secretaria da Tributação de Natal, 10 abr. 2006. Disponível em:</w:t>
      </w:r>
    </w:p>
    <w:p w:rsidR="00D81F69" w:rsidRDefault="00D81F69">
      <w:pPr>
        <w:spacing w:before="2"/>
        <w:ind w:left="100"/>
        <w:rPr>
          <w:sz w:val="16"/>
        </w:rPr>
      </w:pPr>
      <w:hyperlink r:id="rId839">
        <w:r w:rsidR="00330118">
          <w:rPr>
            <w:sz w:val="16"/>
          </w:rPr>
          <w:t>&lt;http://www.set.rn.gov.br/set/noticias/arquivos/not/10abr2006%20-</w:t>
        </w:r>
      </w:hyperlink>
    </w:p>
    <w:p w:rsidR="00D81F69" w:rsidRDefault="00330118">
      <w:pPr>
        <w:spacing w:before="56" w:line="312" w:lineRule="auto"/>
        <w:ind w:left="100" w:right="216"/>
        <w:jc w:val="both"/>
        <w:rPr>
          <w:sz w:val="16"/>
        </w:rPr>
      </w:pPr>
      <w:r>
        <w:rPr>
          <w:sz w:val="16"/>
        </w:rPr>
        <w:t>%20Explora%C3%A7%C3%A3o%20de%20scheelita%20reativa%20a ntigas%20minas.htm&gt;. Acesso em: 12 abr. 2010.</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79" w:space="291"/>
            <w:col w:w="5310"/>
          </w:cols>
        </w:sectPr>
      </w:pPr>
    </w:p>
    <w:p w:rsidR="00D81F69" w:rsidRDefault="00330118">
      <w:pPr>
        <w:pStyle w:val="Heading1"/>
        <w:spacing w:line="208" w:lineRule="auto"/>
      </w:pPr>
      <w:r>
        <w:lastRenderedPageBreak/>
        <w:t>Tecnologia usada em mina de potássio em Rosário do Catete (SE) diminui impactos ambientais da</w:t>
      </w:r>
      <w:r>
        <w:rPr>
          <w:spacing w:val="77"/>
        </w:rPr>
        <w:t xml:space="preserve"> </w:t>
      </w:r>
      <w:r>
        <w:t>atividade</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SE - Carmópolis</w:t>
      </w:r>
    </w:p>
    <w:p w:rsidR="00D81F69" w:rsidRDefault="00330118">
      <w:pPr>
        <w:spacing w:before="49" w:line="312" w:lineRule="auto"/>
        <w:ind w:left="135" w:right="20"/>
        <w:rPr>
          <w:i/>
          <w:sz w:val="14"/>
        </w:rPr>
      </w:pPr>
      <w:r>
        <w:rPr>
          <w:i/>
          <w:sz w:val="14"/>
        </w:rPr>
        <w:t>SE - Rosário do Catete SE - Santa Rosa de Lima</w:t>
      </w:r>
    </w:p>
    <w:p w:rsidR="00D81F69" w:rsidRDefault="00D81F69">
      <w:pPr>
        <w:pStyle w:val="Corpodetexto"/>
        <w:spacing w:before="4"/>
        <w:ind w:left="0"/>
        <w:jc w:val="left"/>
        <w:rPr>
          <w:i/>
        </w:rPr>
      </w:pPr>
    </w:p>
    <w:p w:rsidR="00D81F69" w:rsidRDefault="00330118">
      <w:pPr>
        <w:spacing w:before="1"/>
        <w:ind w:left="135"/>
        <w:rPr>
          <w:i/>
          <w:sz w:val="14"/>
        </w:rPr>
      </w:pPr>
      <w:r>
        <w:rPr>
          <w:i/>
          <w:sz w:val="14"/>
        </w:rPr>
        <w:t>LATITUDE</w:t>
      </w:r>
    </w:p>
    <w:p w:rsidR="00D81F69" w:rsidRDefault="00330118">
      <w:pPr>
        <w:spacing w:before="49"/>
        <w:ind w:left="135"/>
        <w:rPr>
          <w:i/>
          <w:sz w:val="14"/>
        </w:rPr>
      </w:pPr>
      <w:r>
        <w:rPr>
          <w:i/>
          <w:sz w:val="14"/>
        </w:rPr>
        <w:t>-10,6561</w:t>
      </w:r>
    </w:p>
    <w:p w:rsidR="00D81F69" w:rsidRDefault="00D81F69">
      <w:pPr>
        <w:pStyle w:val="Corpodetexto"/>
        <w:spacing w:before="5"/>
        <w:ind w:left="0"/>
        <w:jc w:val="left"/>
        <w:rPr>
          <w:i/>
          <w:sz w:val="22"/>
        </w:rPr>
      </w:pPr>
    </w:p>
    <w:p w:rsidR="00D81F69" w:rsidRDefault="00330118">
      <w:pPr>
        <w:spacing w:before="1"/>
        <w:ind w:left="135"/>
        <w:rPr>
          <w:i/>
          <w:sz w:val="14"/>
        </w:rPr>
      </w:pPr>
      <w:r>
        <w:rPr>
          <w:i/>
          <w:sz w:val="14"/>
        </w:rPr>
        <w:t>LONGITUDE</w:t>
      </w:r>
    </w:p>
    <w:p w:rsidR="00D81F69" w:rsidRDefault="00330118">
      <w:pPr>
        <w:spacing w:before="49"/>
        <w:ind w:left="135"/>
        <w:rPr>
          <w:i/>
          <w:sz w:val="14"/>
        </w:rPr>
      </w:pPr>
      <w:r>
        <w:rPr>
          <w:i/>
          <w:sz w:val="14"/>
        </w:rPr>
        <w:t>-37,2004</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4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A mina de potássio Taquari-Vassouras, </w:t>
      </w:r>
      <w:r>
        <w:rPr>
          <w:i/>
          <w:sz w:val="16"/>
        </w:rPr>
        <w:t>no município de Rosário do Catete (SE), é a única em operação no Brasil e no Hemisfério Sul. Sua exploração exigiu de técnicos brasileiros e franceses o desenvolvimento de uma complexa tecnologia de lavra subterrânea e, como consequência, houve redução dos</w:t>
      </w:r>
      <w:r>
        <w:rPr>
          <w:i/>
          <w:sz w:val="16"/>
        </w:rPr>
        <w:t xml:space="preserve"> impactos ambientais resultantes da atividade.</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4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54"/>
        <w:jc w:val="left"/>
      </w:pPr>
      <w:r>
        <w:t>1985. A exploração da mina esteve a cargo da Petromisa até 1991, quando a empresa foi extinta, passando todos os direitos minerários para a Petrobras (OLIVEIRA, 2005). A partir de 1992, passou a ser admini</w:t>
      </w:r>
      <w:r>
        <w:t>strada pela Gerência Geral de Fertilizantes (Gefek), da Vale, por meio de um contrato de arrendamento feito com a Petrobras por um prazo de 25 anos. Taquari-Vassouras fica em Rosário do Catete, município com 105,660 km² e 9.221 habitantes (IBGE, 2010), loc</w:t>
      </w:r>
      <w:r>
        <w:t>alizado às margens da rodovia federal BR-101 e distante 45 km da capital Aracaju (MONTE et al., 2002).</w:t>
      </w:r>
    </w:p>
    <w:p w:rsidR="00D81F69" w:rsidRDefault="00330118">
      <w:pPr>
        <w:pStyle w:val="Corpodetexto"/>
        <w:spacing w:before="139"/>
        <w:ind w:left="135"/>
        <w:jc w:val="left"/>
      </w:pPr>
      <w:r>
        <w:t>Com 185 km², a mina situa-se entre os campos petrolíferos de</w:t>
      </w:r>
    </w:p>
    <w:p w:rsidR="00D81F69" w:rsidRDefault="00D81F69">
      <w:pPr>
        <w:sectPr w:rsidR="00D81F69">
          <w:type w:val="continuous"/>
          <w:pgSz w:w="11900" w:h="16840"/>
          <w:pgMar w:top="720" w:right="500" w:bottom="280" w:left="620" w:header="720" w:footer="720" w:gutter="0"/>
          <w:cols w:num="3" w:space="720" w:equalWidth="0">
            <w:col w:w="1755" w:space="245"/>
            <w:col w:w="3117" w:space="318"/>
            <w:col w:w="5345"/>
          </w:cols>
        </w:sectPr>
      </w:pPr>
    </w:p>
    <w:p w:rsidR="00D81F69" w:rsidRDefault="00330118">
      <w:pPr>
        <w:pStyle w:val="Heading4"/>
        <w:spacing w:before="147"/>
      </w:pPr>
      <w:r>
        <w:lastRenderedPageBreak/>
        <w:t>APRESENTAÇÃO DE CASO</w:t>
      </w:r>
    </w:p>
    <w:p w:rsidR="00D81F69" w:rsidRDefault="00330118">
      <w:pPr>
        <w:pStyle w:val="Corpodetexto"/>
        <w:spacing w:before="170" w:line="312" w:lineRule="auto"/>
        <w:ind w:right="71"/>
      </w:pPr>
      <w:r>
        <w:t>Cerca de 95% da produção mundial de pot</w:t>
      </w:r>
      <w:r>
        <w:t>ássio é consumida na agricultura, sendo 90% desse total na forma de cloreto de potássio, 5%, como sulfato de potássio, e os outros 5%, como sulfato duplo de potássio e magnésio. O restante é consumido pela indústria química com aplicações diversificadas (M</w:t>
      </w:r>
      <w:r>
        <w:t>ONTE et al., 2002). Países como Brasil, China e Índia, importantes produtores de alimentos, consomem grandes quantidades de fertilizantes potássicos. No Brasil, a produção interna satisfaz pouco mais do que 7% da demanda (ANDA, 2012), sendo necessária a im</w:t>
      </w:r>
      <w:r>
        <w:t>portação de grandes volumes. Para diminuir esta dependência do mercado externo, o governo federal anunciou a criação de um marco regulatório para o setor (AGÊNCIA ESTADO, 2009a).</w:t>
      </w:r>
    </w:p>
    <w:p w:rsidR="00D81F69" w:rsidRDefault="00330118">
      <w:pPr>
        <w:pStyle w:val="Corpodetexto"/>
        <w:spacing w:before="142" w:line="312" w:lineRule="auto"/>
        <w:ind w:right="56"/>
      </w:pPr>
      <w:r>
        <w:t>As reservas de potássio brasileiras, localizadas nos estados de Sergipe e Ama</w:t>
      </w:r>
      <w:r>
        <w:t xml:space="preserve">zonas (MONTE et al., 2002), são da ordem </w:t>
      </w:r>
      <w:r>
        <w:rPr>
          <w:spacing w:val="10"/>
        </w:rPr>
        <w:t xml:space="preserve">de </w:t>
      </w:r>
      <w:r>
        <w:rPr>
          <w:spacing w:val="12"/>
        </w:rPr>
        <w:t xml:space="preserve">1,5 </w:t>
      </w:r>
      <w:r>
        <w:rPr>
          <w:spacing w:val="15"/>
        </w:rPr>
        <w:t xml:space="preserve">bilhão </w:t>
      </w:r>
      <w:r>
        <w:rPr>
          <w:spacing w:val="10"/>
        </w:rPr>
        <w:t xml:space="preserve">de </w:t>
      </w:r>
      <w:r>
        <w:rPr>
          <w:spacing w:val="16"/>
        </w:rPr>
        <w:t xml:space="preserve">toneladas </w:t>
      </w:r>
      <w:r>
        <w:rPr>
          <w:spacing w:val="15"/>
        </w:rPr>
        <w:t xml:space="preserve">(DNPM, 2004 apud </w:t>
      </w:r>
      <w:r>
        <w:t>NASCIMENTO;</w:t>
      </w:r>
      <w:r>
        <w:rPr>
          <w:spacing w:val="25"/>
        </w:rPr>
        <w:t xml:space="preserve"> </w:t>
      </w:r>
      <w:r>
        <w:t>MONTE;</w:t>
      </w:r>
      <w:r>
        <w:rPr>
          <w:spacing w:val="25"/>
        </w:rPr>
        <w:t xml:space="preserve"> </w:t>
      </w:r>
      <w:r>
        <w:t>LOUREIRO,</w:t>
      </w:r>
      <w:r>
        <w:rPr>
          <w:spacing w:val="25"/>
        </w:rPr>
        <w:t xml:space="preserve"> </w:t>
      </w:r>
      <w:r>
        <w:t>2005),</w:t>
      </w:r>
      <w:r>
        <w:rPr>
          <w:spacing w:val="25"/>
        </w:rPr>
        <w:t xml:space="preserve"> </w:t>
      </w:r>
      <w:r>
        <w:t>incluindo-se</w:t>
      </w:r>
      <w:r>
        <w:rPr>
          <w:spacing w:val="25"/>
        </w:rPr>
        <w:t xml:space="preserve"> </w:t>
      </w:r>
      <w:r>
        <w:t>as</w:t>
      </w:r>
    </w:p>
    <w:p w:rsidR="00D81F69" w:rsidRDefault="00330118">
      <w:pPr>
        <w:pStyle w:val="Corpodetexto"/>
        <w:spacing w:before="4" w:line="312" w:lineRule="auto"/>
        <w:ind w:right="44"/>
      </w:pPr>
      <w:r>
        <w:t>reservas de silvinita [o mais importante mineral do potássio, mistura de silvita e halita] e carnalita. Atualmente, os depósitos mais explorados encontram-se em Sergipe (BALTAR et al., 2001 apud NASCIMENTO; MONTE;</w:t>
      </w:r>
    </w:p>
    <w:p w:rsidR="00D81F69" w:rsidRDefault="00330118">
      <w:pPr>
        <w:pStyle w:val="Corpodetexto"/>
        <w:spacing w:before="3" w:line="312" w:lineRule="auto"/>
        <w:ind w:right="74"/>
      </w:pPr>
      <w:r>
        <w:t>LOUREIRO, 2005), onde totalizam cerca de 5</w:t>
      </w:r>
      <w:r>
        <w:t>04 milhões de toneladas de silvinita e 12,9 bilhões de toneladas de carnalita (NASCIMENTO; MONTE; LOUREIRO, 2005).</w:t>
      </w:r>
    </w:p>
    <w:p w:rsidR="00D81F69" w:rsidRDefault="00330118">
      <w:pPr>
        <w:pStyle w:val="Corpodetexto"/>
        <w:spacing w:before="133" w:line="312" w:lineRule="auto"/>
        <w:ind w:right="38"/>
      </w:pPr>
      <w:r>
        <w:t xml:space="preserve">Os depósitos sergipanos foram descobertos, em 1963, </w:t>
      </w:r>
      <w:r>
        <w:rPr>
          <w:spacing w:val="1"/>
        </w:rPr>
        <w:t xml:space="preserve">nas </w:t>
      </w:r>
      <w:r>
        <w:t xml:space="preserve">sub-bacias evaporíticas de Taquari-Vassouras e Santa Rosa de Lima, nos municípios de </w:t>
      </w:r>
      <w:r>
        <w:t xml:space="preserve">Rosário do Catete, Carmópolis e </w:t>
      </w:r>
      <w:r>
        <w:rPr>
          <w:spacing w:val="3"/>
        </w:rPr>
        <w:t xml:space="preserve">Santa </w:t>
      </w:r>
      <w:r>
        <w:rPr>
          <w:spacing w:val="2"/>
        </w:rPr>
        <w:t xml:space="preserve">Rosa </w:t>
      </w:r>
      <w:r>
        <w:rPr>
          <w:spacing w:val="1"/>
        </w:rPr>
        <w:t xml:space="preserve">de </w:t>
      </w:r>
      <w:r>
        <w:rPr>
          <w:spacing w:val="3"/>
        </w:rPr>
        <w:t xml:space="preserve">Lima, durante trabalhos </w:t>
      </w:r>
      <w:r>
        <w:rPr>
          <w:spacing w:val="1"/>
        </w:rPr>
        <w:t xml:space="preserve">de </w:t>
      </w:r>
      <w:r>
        <w:rPr>
          <w:spacing w:val="3"/>
        </w:rPr>
        <w:t xml:space="preserve">prospecção </w:t>
      </w:r>
      <w:r>
        <w:rPr>
          <w:spacing w:val="5"/>
        </w:rPr>
        <w:t xml:space="preserve">de </w:t>
      </w:r>
      <w:r>
        <w:rPr>
          <w:spacing w:val="15"/>
        </w:rPr>
        <w:t xml:space="preserve">petróleo </w:t>
      </w:r>
      <w:r>
        <w:rPr>
          <w:spacing w:val="12"/>
        </w:rPr>
        <w:t xml:space="preserve">pela </w:t>
      </w:r>
      <w:r>
        <w:rPr>
          <w:spacing w:val="15"/>
        </w:rPr>
        <w:t xml:space="preserve">Petrobras (NASCIMENTO; MONTE; </w:t>
      </w:r>
      <w:r>
        <w:t xml:space="preserve">LOUREIRO, 2005), uma vez que os domos salinos </w:t>
      </w:r>
      <w:r>
        <w:rPr>
          <w:spacing w:val="1"/>
        </w:rPr>
        <w:t xml:space="preserve">formam </w:t>
      </w:r>
      <w:r>
        <w:t>estruturas típicas para acumulação de petróleo (MONTE et  al.,</w:t>
      </w:r>
      <w:r>
        <w:rPr>
          <w:spacing w:val="16"/>
        </w:rPr>
        <w:t xml:space="preserve"> </w:t>
      </w:r>
      <w:r>
        <w:rPr>
          <w:spacing w:val="1"/>
        </w:rPr>
        <w:t>2002).</w:t>
      </w:r>
    </w:p>
    <w:p w:rsidR="00D81F69" w:rsidRDefault="00330118">
      <w:pPr>
        <w:pStyle w:val="Corpodetexto"/>
        <w:spacing w:before="74" w:line="270" w:lineRule="atLeast"/>
        <w:ind w:right="54"/>
      </w:pPr>
      <w:r>
        <w:t xml:space="preserve">O </w:t>
      </w:r>
      <w:r>
        <w:t>projeto de implantação da mina/usina de Taquari- Vassouras, a única em operação no Brasil, para o aproveitamento do cloreto de potássio, foi iniciado em 1979, pela Petrobras Mineração S.A. (Petromisa), e inaugurado em</w:t>
      </w:r>
    </w:p>
    <w:p w:rsidR="00D81F69" w:rsidRDefault="00330118">
      <w:pPr>
        <w:pStyle w:val="Corpodetexto"/>
        <w:spacing w:before="63" w:line="312" w:lineRule="auto"/>
        <w:ind w:right="190"/>
      </w:pPr>
      <w:r>
        <w:br w:type="column"/>
      </w:r>
      <w:r>
        <w:rPr>
          <w:spacing w:val="6"/>
        </w:rPr>
        <w:lastRenderedPageBreak/>
        <w:t xml:space="preserve">Carmópolis </w:t>
      </w:r>
      <w:r>
        <w:t xml:space="preserve">e </w:t>
      </w:r>
      <w:r>
        <w:rPr>
          <w:spacing w:val="5"/>
        </w:rPr>
        <w:t xml:space="preserve">Siriri, </w:t>
      </w:r>
      <w:r>
        <w:rPr>
          <w:spacing w:val="3"/>
        </w:rPr>
        <w:t xml:space="preserve">na </w:t>
      </w:r>
      <w:r>
        <w:rPr>
          <w:spacing w:val="5"/>
        </w:rPr>
        <w:t xml:space="preserve">porção sul </w:t>
      </w:r>
      <w:r>
        <w:rPr>
          <w:spacing w:val="3"/>
        </w:rPr>
        <w:t>da</w:t>
      </w:r>
      <w:r>
        <w:rPr>
          <w:spacing w:val="3"/>
        </w:rPr>
        <w:t xml:space="preserve"> </w:t>
      </w:r>
      <w:r>
        <w:rPr>
          <w:spacing w:val="5"/>
        </w:rPr>
        <w:t xml:space="preserve">bacia </w:t>
      </w:r>
      <w:r>
        <w:rPr>
          <w:spacing w:val="7"/>
        </w:rPr>
        <w:t xml:space="preserve">sedimentar </w:t>
      </w:r>
      <w:r>
        <w:t xml:space="preserve">Sergipe-Alagoas, e exigiu de técnicos brasileiros e franceses  o </w:t>
      </w:r>
      <w:r>
        <w:rPr>
          <w:spacing w:val="3"/>
        </w:rPr>
        <w:t xml:space="preserve">desenvolvimento </w:t>
      </w:r>
      <w:r>
        <w:rPr>
          <w:spacing w:val="1"/>
        </w:rPr>
        <w:t xml:space="preserve">de </w:t>
      </w:r>
      <w:r>
        <w:rPr>
          <w:spacing w:val="2"/>
        </w:rPr>
        <w:t xml:space="preserve">uma </w:t>
      </w:r>
      <w:r>
        <w:rPr>
          <w:spacing w:val="3"/>
        </w:rPr>
        <w:t xml:space="preserve">complexa tecnologia </w:t>
      </w:r>
      <w:r>
        <w:rPr>
          <w:spacing w:val="1"/>
        </w:rPr>
        <w:t xml:space="preserve">de </w:t>
      </w:r>
      <w:r>
        <w:rPr>
          <w:spacing w:val="5"/>
        </w:rPr>
        <w:t xml:space="preserve">lavra </w:t>
      </w:r>
      <w:r>
        <w:rPr>
          <w:spacing w:val="1"/>
        </w:rPr>
        <w:t xml:space="preserve">subterrânea (MONTE </w:t>
      </w:r>
      <w:r>
        <w:t xml:space="preserve">et </w:t>
      </w:r>
      <w:r>
        <w:rPr>
          <w:spacing w:val="1"/>
        </w:rPr>
        <w:t xml:space="preserve">al., 2002), </w:t>
      </w:r>
      <w:r>
        <w:t xml:space="preserve">por </w:t>
      </w:r>
      <w:r>
        <w:rPr>
          <w:spacing w:val="1"/>
        </w:rPr>
        <w:t xml:space="preserve">meio </w:t>
      </w:r>
      <w:r>
        <w:t xml:space="preserve">de </w:t>
      </w:r>
      <w:r>
        <w:rPr>
          <w:spacing w:val="1"/>
        </w:rPr>
        <w:t xml:space="preserve">câmaras </w:t>
      </w:r>
      <w:r>
        <w:t>e pilares (CASTILHOS, 2009). Além de estar situada à grande profund</w:t>
      </w:r>
      <w:r>
        <w:t xml:space="preserve">idade (450 m), encontra-se em uma zona geológica </w:t>
      </w:r>
      <w:r>
        <w:rPr>
          <w:spacing w:val="5"/>
        </w:rPr>
        <w:t xml:space="preserve">onde </w:t>
      </w:r>
      <w:r>
        <w:rPr>
          <w:spacing w:val="3"/>
        </w:rPr>
        <w:t xml:space="preserve">há </w:t>
      </w:r>
      <w:r>
        <w:rPr>
          <w:spacing w:val="6"/>
        </w:rPr>
        <w:t xml:space="preserve">ocorrência </w:t>
      </w:r>
      <w:r>
        <w:rPr>
          <w:spacing w:val="3"/>
        </w:rPr>
        <w:t xml:space="preserve">de </w:t>
      </w:r>
      <w:r>
        <w:rPr>
          <w:spacing w:val="5"/>
        </w:rPr>
        <w:t xml:space="preserve">gases </w:t>
      </w:r>
      <w:r>
        <w:rPr>
          <w:spacing w:val="6"/>
        </w:rPr>
        <w:t xml:space="preserve">explosivos, </w:t>
      </w:r>
      <w:r>
        <w:rPr>
          <w:spacing w:val="3"/>
        </w:rPr>
        <w:t xml:space="preserve">em </w:t>
      </w:r>
      <w:r>
        <w:rPr>
          <w:spacing w:val="5"/>
        </w:rPr>
        <w:t xml:space="preserve">razão </w:t>
      </w:r>
      <w:r>
        <w:rPr>
          <w:spacing w:val="7"/>
        </w:rPr>
        <w:t xml:space="preserve">da </w:t>
      </w:r>
      <w:r>
        <w:rPr>
          <w:spacing w:val="1"/>
        </w:rPr>
        <w:t xml:space="preserve">existência </w:t>
      </w:r>
      <w:r>
        <w:t xml:space="preserve">de </w:t>
      </w:r>
      <w:r>
        <w:rPr>
          <w:spacing w:val="1"/>
        </w:rPr>
        <w:t xml:space="preserve">campos petrolíferos </w:t>
      </w:r>
      <w:r>
        <w:t xml:space="preserve">nas </w:t>
      </w:r>
      <w:r>
        <w:rPr>
          <w:spacing w:val="1"/>
        </w:rPr>
        <w:t xml:space="preserve">proximidades. </w:t>
      </w:r>
      <w:r>
        <w:rPr>
          <w:spacing w:val="2"/>
        </w:rPr>
        <w:t xml:space="preserve">Outra </w:t>
      </w:r>
      <w:r>
        <w:t xml:space="preserve">dificuldade enfrentada pela equipe técnica foi a possibilidade </w:t>
      </w:r>
      <w:r>
        <w:rPr>
          <w:spacing w:val="2"/>
        </w:rPr>
        <w:t xml:space="preserve">de </w:t>
      </w:r>
      <w:r>
        <w:rPr>
          <w:spacing w:val="5"/>
        </w:rPr>
        <w:t xml:space="preserve">inundação </w:t>
      </w:r>
      <w:r>
        <w:rPr>
          <w:spacing w:val="2"/>
        </w:rPr>
        <w:t xml:space="preserve">da </w:t>
      </w:r>
      <w:r>
        <w:rPr>
          <w:spacing w:val="3"/>
        </w:rPr>
        <w:t xml:space="preserve">mina, </w:t>
      </w:r>
      <w:r>
        <w:rPr>
          <w:spacing w:val="2"/>
        </w:rPr>
        <w:t xml:space="preserve">já </w:t>
      </w:r>
      <w:r>
        <w:rPr>
          <w:spacing w:val="3"/>
        </w:rPr>
        <w:t xml:space="preserve">que </w:t>
      </w:r>
      <w:r>
        <w:rPr>
          <w:spacing w:val="5"/>
        </w:rPr>
        <w:t>havia</w:t>
      </w:r>
      <w:r>
        <w:rPr>
          <w:spacing w:val="5"/>
        </w:rPr>
        <w:t xml:space="preserve">, </w:t>
      </w:r>
      <w:r>
        <w:rPr>
          <w:spacing w:val="2"/>
        </w:rPr>
        <w:t xml:space="preserve">na </w:t>
      </w:r>
      <w:r>
        <w:rPr>
          <w:spacing w:val="5"/>
        </w:rPr>
        <w:t xml:space="preserve">região </w:t>
      </w:r>
      <w:r>
        <w:rPr>
          <w:spacing w:val="2"/>
        </w:rPr>
        <w:t xml:space="preserve">da </w:t>
      </w:r>
      <w:r>
        <w:rPr>
          <w:spacing w:val="5"/>
        </w:rPr>
        <w:t>lavra,</w:t>
      </w:r>
      <w:r>
        <w:rPr>
          <w:spacing w:val="61"/>
        </w:rPr>
        <w:t xml:space="preserve"> </w:t>
      </w:r>
      <w:r>
        <w:t xml:space="preserve">formações aquíferas que se constituíam em verdadeiros rios subterrâneos. Além disso, havia a proximidade da taquidrita, </w:t>
      </w:r>
      <w:r>
        <w:rPr>
          <w:spacing w:val="2"/>
        </w:rPr>
        <w:t xml:space="preserve">uma </w:t>
      </w:r>
      <w:r>
        <w:rPr>
          <w:spacing w:val="3"/>
        </w:rPr>
        <w:t xml:space="preserve">rocha higroscópica </w:t>
      </w:r>
      <w:r>
        <w:rPr>
          <w:spacing w:val="2"/>
        </w:rPr>
        <w:t xml:space="preserve">[que tem </w:t>
      </w:r>
      <w:r>
        <w:rPr>
          <w:spacing w:val="3"/>
        </w:rPr>
        <w:t xml:space="preserve">capacidade </w:t>
      </w:r>
      <w:r>
        <w:rPr>
          <w:spacing w:val="1"/>
        </w:rPr>
        <w:t xml:space="preserve">de </w:t>
      </w:r>
      <w:r>
        <w:rPr>
          <w:spacing w:val="5"/>
        </w:rPr>
        <w:t xml:space="preserve">absorver </w:t>
      </w:r>
      <w:r>
        <w:rPr>
          <w:spacing w:val="2"/>
        </w:rPr>
        <w:t xml:space="preserve">água </w:t>
      </w:r>
      <w:r>
        <w:rPr>
          <w:spacing w:val="3"/>
        </w:rPr>
        <w:t xml:space="preserve">quando </w:t>
      </w:r>
      <w:r>
        <w:rPr>
          <w:spacing w:val="1"/>
        </w:rPr>
        <w:t xml:space="preserve">em </w:t>
      </w:r>
      <w:r>
        <w:rPr>
          <w:spacing w:val="3"/>
        </w:rPr>
        <w:t xml:space="preserve">contato </w:t>
      </w:r>
      <w:r>
        <w:rPr>
          <w:spacing w:val="2"/>
        </w:rPr>
        <w:t xml:space="preserve">com </w:t>
      </w:r>
      <w:r>
        <w:t xml:space="preserve">o </w:t>
      </w:r>
      <w:r>
        <w:rPr>
          <w:spacing w:val="2"/>
        </w:rPr>
        <w:t xml:space="preserve">ar] com </w:t>
      </w:r>
      <w:r>
        <w:rPr>
          <w:spacing w:val="3"/>
        </w:rPr>
        <w:t xml:space="preserve">baixa </w:t>
      </w:r>
      <w:r>
        <w:rPr>
          <w:spacing w:val="5"/>
        </w:rPr>
        <w:t xml:space="preserve">resistência </w:t>
      </w:r>
      <w:r>
        <w:t xml:space="preserve">mecânica, situada logo abaixo da camada de minério a </w:t>
      </w:r>
      <w:r>
        <w:rPr>
          <w:spacing w:val="1"/>
        </w:rPr>
        <w:t xml:space="preserve">ser </w:t>
      </w:r>
      <w:r>
        <w:t>extraído (MONTE et al., 2002). Em virtude do método de lavra utilizado (câmaras e pilares), a taxa de extração no município é próxima de 50% da reserva minerável (OLIVEIRA,</w:t>
      </w:r>
      <w:r>
        <w:rPr>
          <w:spacing w:val="6"/>
        </w:rPr>
        <w:t xml:space="preserve"> </w:t>
      </w:r>
      <w:r>
        <w:t>2005).</w:t>
      </w:r>
    </w:p>
    <w:p w:rsidR="00D81F69" w:rsidRDefault="00330118">
      <w:pPr>
        <w:pStyle w:val="Corpodetexto"/>
        <w:spacing w:before="146" w:line="312" w:lineRule="auto"/>
        <w:ind w:right="173"/>
      </w:pPr>
      <w:r>
        <w:t>Quanto à usina de b</w:t>
      </w:r>
      <w:r>
        <w:t xml:space="preserve">eneficiamento, tem capacidade nominal para produção de 500 mil toneladas anuais de concentrado  </w:t>
      </w:r>
      <w:r>
        <w:rPr>
          <w:spacing w:val="1"/>
        </w:rPr>
        <w:t xml:space="preserve">de </w:t>
      </w:r>
      <w:r>
        <w:rPr>
          <w:spacing w:val="3"/>
        </w:rPr>
        <w:t xml:space="preserve">cloreto </w:t>
      </w:r>
      <w:r>
        <w:rPr>
          <w:spacing w:val="1"/>
        </w:rPr>
        <w:t xml:space="preserve">de </w:t>
      </w:r>
      <w:r>
        <w:rPr>
          <w:spacing w:val="3"/>
        </w:rPr>
        <w:t xml:space="preserve">potássio, sendo constituída pelas </w:t>
      </w:r>
      <w:r>
        <w:rPr>
          <w:spacing w:val="5"/>
        </w:rPr>
        <w:t xml:space="preserve">unidades </w:t>
      </w:r>
      <w:r>
        <w:rPr>
          <w:spacing w:val="17"/>
        </w:rPr>
        <w:t xml:space="preserve">industriais </w:t>
      </w:r>
      <w:r>
        <w:rPr>
          <w:spacing w:val="10"/>
        </w:rPr>
        <w:t xml:space="preserve">de </w:t>
      </w:r>
      <w:r>
        <w:rPr>
          <w:spacing w:val="16"/>
        </w:rPr>
        <w:t xml:space="preserve">britagem, </w:t>
      </w:r>
      <w:r>
        <w:rPr>
          <w:spacing w:val="17"/>
        </w:rPr>
        <w:t xml:space="preserve">concentração, </w:t>
      </w:r>
      <w:r>
        <w:rPr>
          <w:spacing w:val="16"/>
        </w:rPr>
        <w:t xml:space="preserve">secagem, </w:t>
      </w:r>
      <w:r>
        <w:rPr>
          <w:spacing w:val="3"/>
        </w:rPr>
        <w:t xml:space="preserve">compactação, dissolução </w:t>
      </w:r>
      <w:r>
        <w:t xml:space="preserve">e </w:t>
      </w:r>
      <w:r>
        <w:rPr>
          <w:spacing w:val="3"/>
        </w:rPr>
        <w:t xml:space="preserve">salmouroduto (MONTE </w:t>
      </w:r>
      <w:r>
        <w:rPr>
          <w:spacing w:val="1"/>
        </w:rPr>
        <w:t xml:space="preserve">et </w:t>
      </w:r>
      <w:r>
        <w:rPr>
          <w:spacing w:val="5"/>
        </w:rPr>
        <w:t>al., 2</w:t>
      </w:r>
      <w:r>
        <w:rPr>
          <w:spacing w:val="5"/>
        </w:rPr>
        <w:t>002).</w:t>
      </w:r>
    </w:p>
    <w:p w:rsidR="00D81F69" w:rsidRDefault="00330118">
      <w:pPr>
        <w:pStyle w:val="Corpodetexto"/>
        <w:spacing w:before="136" w:line="312" w:lineRule="auto"/>
        <w:ind w:right="192"/>
      </w:pPr>
      <w:r>
        <w:t>Em 2005, a capacidade instalada da mina permitia uma produção de 2,3Mi t/ano de silvinita, enquanto a usina de beneficiamento dispunha de uma capacidade instalada para produção de cerca de 620 mil toneladas/ano de cloreto de potássio. De acordo com a</w:t>
      </w:r>
      <w:r>
        <w:t xml:space="preserve"> Vale, as reservas no local são suficientes para garantir a operação até 2019 (REUTERS, 2010). A produção da empresa, em 2009, foi de cerca de 720 mil toneladas, representando um aumento de mais de 400% em relação ao produzido em 1992, quando iniciou suas </w:t>
      </w:r>
      <w:r>
        <w:t>operações no local (MONITOR MERCANTIL, 2010).</w:t>
      </w:r>
    </w:p>
    <w:p w:rsidR="00D81F69" w:rsidRDefault="00330118">
      <w:pPr>
        <w:pStyle w:val="Corpodetexto"/>
        <w:spacing w:before="76" w:line="270" w:lineRule="atLeast"/>
        <w:ind w:right="215"/>
      </w:pPr>
      <w:r>
        <w:t>Na extração do potássio é formada uma salmoura resultante do processo. Em Sergipe, como a exploração é feita próxima ao oceano, o rejeito é lançado no mar sem ameaçar o ecossistema, segundo a Agência Estado (20</w:t>
      </w:r>
      <w:r>
        <w:t>09b).</w:t>
      </w:r>
    </w:p>
    <w:p w:rsidR="00D81F69" w:rsidRDefault="00D81F69">
      <w:pPr>
        <w:spacing w:line="270" w:lineRule="atLeast"/>
        <w:sectPr w:rsidR="00D81F69">
          <w:type w:val="continuous"/>
          <w:pgSz w:w="11900" w:h="16840"/>
          <w:pgMar w:top="720" w:right="500" w:bottom="280" w:left="620" w:header="720" w:footer="720" w:gutter="0"/>
          <w:cols w:num="2" w:space="720" w:equalWidth="0">
            <w:col w:w="5170" w:space="300"/>
            <w:col w:w="5310"/>
          </w:cols>
        </w:sectPr>
      </w:pPr>
    </w:p>
    <w:p w:rsidR="00D81F69" w:rsidRDefault="00D81F69">
      <w:pPr>
        <w:pStyle w:val="Corpodetexto"/>
        <w:spacing w:before="5"/>
        <w:ind w:left="0"/>
        <w:jc w:val="left"/>
        <w:rPr>
          <w:sz w:val="24"/>
        </w:rPr>
      </w:pPr>
    </w:p>
    <w:p w:rsidR="00D81F69" w:rsidRDefault="00330118">
      <w:pPr>
        <w:pStyle w:val="Corpodetexto"/>
        <w:spacing w:line="312" w:lineRule="auto"/>
        <w:ind w:right="38"/>
        <w:jc w:val="left"/>
      </w:pPr>
      <w:r>
        <w:rPr>
          <w:spacing w:val="2"/>
        </w:rPr>
        <w:t xml:space="preserve">Os </w:t>
      </w:r>
      <w:r>
        <w:rPr>
          <w:spacing w:val="5"/>
        </w:rPr>
        <w:t xml:space="preserve">efluentes líquidos industriais gerados </w:t>
      </w:r>
      <w:r>
        <w:rPr>
          <w:spacing w:val="3"/>
        </w:rPr>
        <w:t xml:space="preserve">nos </w:t>
      </w:r>
      <w:r>
        <w:rPr>
          <w:spacing w:val="5"/>
        </w:rPr>
        <w:t xml:space="preserve">processos </w:t>
      </w:r>
      <w:r>
        <w:t>produtivos do cloreto de potássio em Taquari-Vassouras são recuperados em diques de contenção com capacidade para  90 mil m³ e bombeados com os rejeitos da flotação a</w:t>
      </w:r>
      <w:r>
        <w:t xml:space="preserve">o mar, via </w:t>
      </w:r>
      <w:r>
        <w:rPr>
          <w:spacing w:val="8"/>
        </w:rPr>
        <w:t xml:space="preserve">salmouroduto. </w:t>
      </w:r>
      <w:r>
        <w:t xml:space="preserve">A </w:t>
      </w:r>
      <w:r>
        <w:rPr>
          <w:spacing w:val="8"/>
        </w:rPr>
        <w:t xml:space="preserve">profundidade </w:t>
      </w:r>
      <w:r>
        <w:rPr>
          <w:spacing w:val="5"/>
        </w:rPr>
        <w:t xml:space="preserve">do </w:t>
      </w:r>
      <w:r>
        <w:rPr>
          <w:spacing w:val="7"/>
        </w:rPr>
        <w:t xml:space="preserve">bocal difusor </w:t>
      </w:r>
      <w:r>
        <w:rPr>
          <w:spacing w:val="10"/>
        </w:rPr>
        <w:t xml:space="preserve">deste </w:t>
      </w:r>
      <w:r>
        <w:t xml:space="preserve">emissário está dimensionada de acordo com os critérios de </w:t>
      </w:r>
      <w:r>
        <w:rPr>
          <w:spacing w:val="3"/>
        </w:rPr>
        <w:t xml:space="preserve">neutralização </w:t>
      </w:r>
      <w:r>
        <w:rPr>
          <w:spacing w:val="2"/>
        </w:rPr>
        <w:t xml:space="preserve">dos </w:t>
      </w:r>
      <w:r>
        <w:rPr>
          <w:spacing w:val="3"/>
        </w:rPr>
        <w:t xml:space="preserve">impactos ambientais. </w:t>
      </w:r>
      <w:r>
        <w:rPr>
          <w:spacing w:val="1"/>
        </w:rPr>
        <w:t xml:space="preserve">As </w:t>
      </w:r>
      <w:r>
        <w:rPr>
          <w:spacing w:val="3"/>
        </w:rPr>
        <w:t xml:space="preserve">águas </w:t>
      </w:r>
      <w:r>
        <w:rPr>
          <w:spacing w:val="5"/>
        </w:rPr>
        <w:t xml:space="preserve">pluviais </w:t>
      </w:r>
      <w:r>
        <w:t xml:space="preserve">também são drenadas para os diques de contenção, que têm a função de acumular </w:t>
      </w:r>
      <w:r>
        <w:t xml:space="preserve">o resíduo sólido e permitir o retorno da água residual à usina para reaproveitamento ou para descarte ao mar, conforme a conveniência. Os riachos que atravessam a área da unidade operacional são segregados para impedir </w:t>
      </w:r>
      <w:r>
        <w:rPr>
          <w:spacing w:val="5"/>
        </w:rPr>
        <w:t xml:space="preserve">contato </w:t>
      </w:r>
      <w:r>
        <w:rPr>
          <w:spacing w:val="3"/>
        </w:rPr>
        <w:t xml:space="preserve">com </w:t>
      </w:r>
      <w:r>
        <w:rPr>
          <w:spacing w:val="2"/>
        </w:rPr>
        <w:t xml:space="preserve">os </w:t>
      </w:r>
      <w:r>
        <w:rPr>
          <w:spacing w:val="5"/>
        </w:rPr>
        <w:t>corpos hídricos intern</w:t>
      </w:r>
      <w:r>
        <w:rPr>
          <w:spacing w:val="5"/>
        </w:rPr>
        <w:t xml:space="preserve">os (MONTE </w:t>
      </w:r>
      <w:r>
        <w:rPr>
          <w:spacing w:val="2"/>
        </w:rPr>
        <w:t xml:space="preserve">et </w:t>
      </w:r>
      <w:r>
        <w:rPr>
          <w:spacing w:val="5"/>
        </w:rPr>
        <w:t>al.,</w:t>
      </w:r>
      <w:r>
        <w:rPr>
          <w:spacing w:val="61"/>
        </w:rPr>
        <w:t xml:space="preserve"> </w:t>
      </w:r>
      <w:r>
        <w:rPr>
          <w:spacing w:val="5"/>
        </w:rPr>
        <w:t>2002).</w:t>
      </w:r>
    </w:p>
    <w:p w:rsidR="00D81F69" w:rsidRDefault="00330118">
      <w:pPr>
        <w:pStyle w:val="Corpodetexto"/>
        <w:spacing w:before="143" w:line="312" w:lineRule="auto"/>
        <w:ind w:right="77"/>
      </w:pPr>
      <w:r>
        <w:t>A secagem do concentrado de cloreto de potássio é feita com gás natural de petróleo, o que elimina a emissão de gases tóxicos gerados por óleos combustíveis. Sistemas de aspersão de água, sistemas confinados e filtros de captação d</w:t>
      </w:r>
      <w:r>
        <w:t>e pó minimizam os impactos da poluição atmosférica. O monitoramento da qualidade do ar é feito sistematicamente através de equipamentos “hi-vol” [amostrador de alto volume], distribuídos ao longo do empreendimento. A retenção do material estéril no subsolo</w:t>
      </w:r>
      <w:r>
        <w:t xml:space="preserve"> reduz o impacto ambiental provocado pelo acúmulo de material na superfície (MONTE et al., 2002).</w:t>
      </w:r>
    </w:p>
    <w:p w:rsidR="00D81F69" w:rsidRDefault="00330118">
      <w:pPr>
        <w:pStyle w:val="Corpodetexto"/>
        <w:spacing w:before="140" w:line="312" w:lineRule="auto"/>
        <w:ind w:right="70"/>
      </w:pPr>
      <w:r>
        <w:rPr>
          <w:spacing w:val="1"/>
        </w:rPr>
        <w:t xml:space="preserve">Apesar </w:t>
      </w:r>
      <w:r>
        <w:t xml:space="preserve">dos </w:t>
      </w:r>
      <w:r>
        <w:rPr>
          <w:spacing w:val="1"/>
        </w:rPr>
        <w:t xml:space="preserve">esforços, </w:t>
      </w:r>
      <w:r>
        <w:t xml:space="preserve">na </w:t>
      </w:r>
      <w:r>
        <w:rPr>
          <w:spacing w:val="1"/>
        </w:rPr>
        <w:t xml:space="preserve">bacia </w:t>
      </w:r>
      <w:r>
        <w:t xml:space="preserve">do rio </w:t>
      </w:r>
      <w:r>
        <w:rPr>
          <w:spacing w:val="1"/>
        </w:rPr>
        <w:t xml:space="preserve">Japaratuba, onde </w:t>
      </w:r>
      <w:r>
        <w:rPr>
          <w:spacing w:val="2"/>
        </w:rPr>
        <w:t xml:space="preserve">se </w:t>
      </w:r>
      <w:r>
        <w:rPr>
          <w:spacing w:val="1"/>
        </w:rPr>
        <w:t xml:space="preserve">encontra </w:t>
      </w:r>
      <w:r>
        <w:t xml:space="preserve">a </w:t>
      </w:r>
      <w:r>
        <w:rPr>
          <w:spacing w:val="1"/>
        </w:rPr>
        <w:t xml:space="preserve">mina, vastas áreas foram desmatadas para </w:t>
      </w:r>
      <w:r>
        <w:rPr>
          <w:spacing w:val="2"/>
        </w:rPr>
        <w:t xml:space="preserve">dar </w:t>
      </w:r>
      <w:r>
        <w:t xml:space="preserve">lugar à exploração de potássio, como também de petróleo, e às </w:t>
      </w:r>
      <w:r>
        <w:rPr>
          <w:spacing w:val="1"/>
        </w:rPr>
        <w:t xml:space="preserve">pastagens </w:t>
      </w:r>
      <w:r>
        <w:t xml:space="preserve">e </w:t>
      </w:r>
      <w:r>
        <w:rPr>
          <w:spacing w:val="1"/>
        </w:rPr>
        <w:t xml:space="preserve">plantação </w:t>
      </w:r>
      <w:r>
        <w:t xml:space="preserve">de </w:t>
      </w:r>
      <w:r>
        <w:rPr>
          <w:spacing w:val="1"/>
        </w:rPr>
        <w:t xml:space="preserve">cana </w:t>
      </w:r>
      <w:r>
        <w:t xml:space="preserve">de </w:t>
      </w:r>
      <w:r>
        <w:rPr>
          <w:spacing w:val="1"/>
        </w:rPr>
        <w:t xml:space="preserve">açúcar, </w:t>
      </w:r>
      <w:r>
        <w:rPr>
          <w:spacing w:val="2"/>
        </w:rPr>
        <w:t xml:space="preserve">contribuindo </w:t>
      </w:r>
      <w:r>
        <w:t xml:space="preserve">para um aumento da produção de escoamento superficial e o consequente aumento na carga de sedimentos nos rios e o seu assoreamento (ARAGÃO; </w:t>
      </w:r>
      <w:r>
        <w:t xml:space="preserve">ALMEIDA, 2009). Segundo a </w:t>
      </w:r>
      <w:r>
        <w:rPr>
          <w:spacing w:val="5"/>
        </w:rPr>
        <w:t xml:space="preserve">Secretaria </w:t>
      </w:r>
      <w:r>
        <w:rPr>
          <w:spacing w:val="2"/>
        </w:rPr>
        <w:t xml:space="preserve">de </w:t>
      </w:r>
      <w:r>
        <w:rPr>
          <w:spacing w:val="5"/>
        </w:rPr>
        <w:t xml:space="preserve">Estado </w:t>
      </w:r>
      <w:r>
        <w:rPr>
          <w:spacing w:val="2"/>
        </w:rPr>
        <w:t xml:space="preserve">do </w:t>
      </w:r>
      <w:r>
        <w:rPr>
          <w:spacing w:val="3"/>
        </w:rPr>
        <w:t xml:space="preserve">Meio </w:t>
      </w:r>
      <w:r>
        <w:rPr>
          <w:spacing w:val="5"/>
        </w:rPr>
        <w:t xml:space="preserve">Ambiente </w:t>
      </w:r>
      <w:r>
        <w:t xml:space="preserve">e </w:t>
      </w:r>
      <w:r>
        <w:rPr>
          <w:spacing w:val="3"/>
        </w:rPr>
        <w:t xml:space="preserve">dos </w:t>
      </w:r>
      <w:r>
        <w:rPr>
          <w:spacing w:val="5"/>
        </w:rPr>
        <w:t xml:space="preserve">Recursos </w:t>
      </w:r>
      <w:r>
        <w:t xml:space="preserve">Hídricos (Semarh), o grau de devastação das matas ciliares da </w:t>
      </w:r>
      <w:r>
        <w:rPr>
          <w:spacing w:val="1"/>
        </w:rPr>
        <w:t xml:space="preserve">bacia </w:t>
      </w:r>
      <w:r>
        <w:t xml:space="preserve">do </w:t>
      </w:r>
      <w:r>
        <w:rPr>
          <w:spacing w:val="1"/>
        </w:rPr>
        <w:t xml:space="preserve">Japaratuba chega </w:t>
      </w:r>
      <w:r>
        <w:t xml:space="preserve">a </w:t>
      </w:r>
      <w:r>
        <w:rPr>
          <w:spacing w:val="1"/>
        </w:rPr>
        <w:t xml:space="preserve">98,4%. </w:t>
      </w:r>
      <w:r>
        <w:t xml:space="preserve">Ao </w:t>
      </w:r>
      <w:r>
        <w:rPr>
          <w:spacing w:val="1"/>
        </w:rPr>
        <w:t xml:space="preserve">todo, cerca </w:t>
      </w:r>
      <w:r>
        <w:rPr>
          <w:spacing w:val="2"/>
        </w:rPr>
        <w:t xml:space="preserve">de </w:t>
      </w:r>
      <w:r>
        <w:t>120 mil habitantes estão diretamente inseridos na bacia, que t</w:t>
      </w:r>
      <w:r>
        <w:t xml:space="preserve">em pouco mais de 1,7 mil km2 de área e três rios de maior </w:t>
      </w:r>
      <w:r>
        <w:rPr>
          <w:spacing w:val="5"/>
        </w:rPr>
        <w:t xml:space="preserve">porte: Japaratuba, Japaratuba </w:t>
      </w:r>
      <w:r>
        <w:rPr>
          <w:spacing w:val="3"/>
        </w:rPr>
        <w:t xml:space="preserve">Mirim </w:t>
      </w:r>
      <w:r>
        <w:t xml:space="preserve">e </w:t>
      </w:r>
      <w:r>
        <w:rPr>
          <w:spacing w:val="5"/>
        </w:rPr>
        <w:t>Siriri (EMBRAPA, 2010).</w:t>
      </w:r>
    </w:p>
    <w:p w:rsidR="00D81F69" w:rsidRDefault="00330118">
      <w:pPr>
        <w:pStyle w:val="Corpodetexto"/>
        <w:spacing w:before="143" w:line="312" w:lineRule="auto"/>
        <w:ind w:right="77"/>
      </w:pPr>
      <w:r>
        <w:t xml:space="preserve">Em abril de 2010, a Vale recebeu licença ambiental prévia, da </w:t>
      </w:r>
      <w:r>
        <w:rPr>
          <w:spacing w:val="5"/>
        </w:rPr>
        <w:t xml:space="preserve">Administração Estadual </w:t>
      </w:r>
      <w:r>
        <w:rPr>
          <w:spacing w:val="2"/>
        </w:rPr>
        <w:t xml:space="preserve">de </w:t>
      </w:r>
      <w:r>
        <w:rPr>
          <w:spacing w:val="3"/>
        </w:rPr>
        <w:t xml:space="preserve">Meio </w:t>
      </w:r>
      <w:r>
        <w:rPr>
          <w:spacing w:val="5"/>
        </w:rPr>
        <w:t xml:space="preserve">Ambiente </w:t>
      </w:r>
      <w:r>
        <w:rPr>
          <w:spacing w:val="2"/>
        </w:rPr>
        <w:t xml:space="preserve">do </w:t>
      </w:r>
      <w:r>
        <w:rPr>
          <w:spacing w:val="5"/>
        </w:rPr>
        <w:t>Estado de</w:t>
      </w:r>
      <w:r>
        <w:rPr>
          <w:spacing w:val="61"/>
        </w:rPr>
        <w:t xml:space="preserve"> </w:t>
      </w:r>
      <w:r>
        <w:t xml:space="preserve">Sergipe (Adema) (TENDÊNCIAS E MERCADO, 2010), para </w:t>
      </w:r>
      <w:r>
        <w:rPr>
          <w:spacing w:val="8"/>
        </w:rPr>
        <w:t xml:space="preserve">desenvolvimento </w:t>
      </w:r>
      <w:r>
        <w:rPr>
          <w:spacing w:val="5"/>
        </w:rPr>
        <w:t xml:space="preserve">de </w:t>
      </w:r>
      <w:r>
        <w:rPr>
          <w:spacing w:val="7"/>
        </w:rPr>
        <w:t xml:space="preserve">outro projeto </w:t>
      </w:r>
      <w:r>
        <w:rPr>
          <w:spacing w:val="5"/>
        </w:rPr>
        <w:t xml:space="preserve">de </w:t>
      </w:r>
      <w:r>
        <w:rPr>
          <w:spacing w:val="7"/>
        </w:rPr>
        <w:t xml:space="preserve">potássio </w:t>
      </w:r>
      <w:r>
        <w:rPr>
          <w:spacing w:val="6"/>
        </w:rPr>
        <w:t xml:space="preserve">para </w:t>
      </w:r>
      <w:r>
        <w:t>a exploração de carnalita nas proximidades da mina Taquari- Vassouras, também de propriedade da Petrobras (REUTERS, 2010). A expectativa é de que o Projeto</w:t>
      </w:r>
      <w:r>
        <w:t xml:space="preserve"> Carnalita permita o </w:t>
      </w:r>
      <w:r>
        <w:rPr>
          <w:spacing w:val="5"/>
        </w:rPr>
        <w:t xml:space="preserve">aumento </w:t>
      </w:r>
      <w:r>
        <w:rPr>
          <w:spacing w:val="2"/>
        </w:rPr>
        <w:t xml:space="preserve">da </w:t>
      </w:r>
      <w:r>
        <w:rPr>
          <w:spacing w:val="5"/>
        </w:rPr>
        <w:t xml:space="preserve">produção </w:t>
      </w:r>
      <w:r>
        <w:rPr>
          <w:spacing w:val="2"/>
        </w:rPr>
        <w:t xml:space="preserve">de </w:t>
      </w:r>
      <w:r>
        <w:rPr>
          <w:spacing w:val="5"/>
        </w:rPr>
        <w:t xml:space="preserve">insumos agrícolas </w:t>
      </w:r>
      <w:r>
        <w:rPr>
          <w:spacing w:val="3"/>
        </w:rPr>
        <w:t xml:space="preserve">para todo </w:t>
      </w:r>
      <w:r>
        <w:t xml:space="preserve">o </w:t>
      </w:r>
      <w:r>
        <w:rPr>
          <w:spacing w:val="5"/>
        </w:rPr>
        <w:t xml:space="preserve">Brasil, contribuindo para </w:t>
      </w:r>
      <w:r>
        <w:t xml:space="preserve">a </w:t>
      </w:r>
      <w:r>
        <w:rPr>
          <w:spacing w:val="5"/>
        </w:rPr>
        <w:t xml:space="preserve">redução </w:t>
      </w:r>
      <w:r>
        <w:rPr>
          <w:spacing w:val="2"/>
        </w:rPr>
        <w:t xml:space="preserve">da </w:t>
      </w:r>
      <w:r>
        <w:rPr>
          <w:spacing w:val="5"/>
        </w:rPr>
        <w:t xml:space="preserve">dependência </w:t>
      </w:r>
      <w:r>
        <w:rPr>
          <w:spacing w:val="6"/>
        </w:rPr>
        <w:t xml:space="preserve">da </w:t>
      </w:r>
      <w:r>
        <w:rPr>
          <w:spacing w:val="8"/>
        </w:rPr>
        <w:t xml:space="preserve">importação </w:t>
      </w:r>
      <w:r>
        <w:rPr>
          <w:spacing w:val="5"/>
        </w:rPr>
        <w:t xml:space="preserve">de </w:t>
      </w:r>
      <w:r>
        <w:rPr>
          <w:spacing w:val="10"/>
        </w:rPr>
        <w:t xml:space="preserve">fertilizantes </w:t>
      </w:r>
      <w:r>
        <w:rPr>
          <w:spacing w:val="5"/>
        </w:rPr>
        <w:t xml:space="preserve">no </w:t>
      </w:r>
      <w:r>
        <w:rPr>
          <w:spacing w:val="7"/>
        </w:rPr>
        <w:t xml:space="preserve">país </w:t>
      </w:r>
      <w:r>
        <w:rPr>
          <w:spacing w:val="10"/>
        </w:rPr>
        <w:t xml:space="preserve">(TENDÊNCIAS </w:t>
      </w:r>
      <w:r>
        <w:t xml:space="preserve">E </w:t>
      </w:r>
      <w:r>
        <w:rPr>
          <w:spacing w:val="8"/>
        </w:rPr>
        <w:t>MERCADO,</w:t>
      </w:r>
      <w:r>
        <w:rPr>
          <w:spacing w:val="7"/>
        </w:rPr>
        <w:t xml:space="preserve"> </w:t>
      </w:r>
      <w:r>
        <w:rPr>
          <w:spacing w:val="10"/>
        </w:rPr>
        <w:t>2010).</w:t>
      </w:r>
    </w:p>
    <w:p w:rsidR="00D81F69" w:rsidRDefault="00330118">
      <w:pPr>
        <w:pStyle w:val="Corpodetexto"/>
        <w:spacing w:before="77" w:line="270" w:lineRule="atLeast"/>
        <w:ind w:right="69"/>
      </w:pPr>
      <w:r>
        <w:t>O projeto também tornará a Vale uma das maiores produtoras mun</w:t>
      </w:r>
      <w:r>
        <w:t>diais de fertilizantes em um período de sete anos. Segundo a empresa, quando entrar em operação, o que está previsto para 2014, Carnalita será a maior planta de extração</w:t>
      </w:r>
    </w:p>
    <w:p w:rsidR="00D81F69" w:rsidRDefault="00330118">
      <w:pPr>
        <w:pStyle w:val="Corpodetexto"/>
        <w:spacing w:before="81" w:line="312" w:lineRule="auto"/>
        <w:ind w:right="191"/>
      </w:pPr>
      <w:r>
        <w:br w:type="column"/>
      </w:r>
      <w:r>
        <w:lastRenderedPageBreak/>
        <w:t>de potássio do Brasil, com produção inicial estimada em torno de 1,2 milhão de tonela</w:t>
      </w:r>
      <w:r>
        <w:t>das anuais de cloreto de potássio. Diferentemente da produção atual de cloreto de potássio, onde a extração é feita em lavra subterrânea na mina de Taquari-Vassouras, a mineração da carnalita será realizada, também em lavra subterrânea, a partir da injeção</w:t>
      </w:r>
      <w:r>
        <w:t xml:space="preserve"> de água quente em poços onde serão dissolvidos os sais. A salmoura será retirada do subsolo e processada na superfície (REUTERS, 2010).</w:t>
      </w:r>
    </w:p>
    <w:p w:rsidR="00D81F69" w:rsidRDefault="00330118">
      <w:pPr>
        <w:pStyle w:val="Corpodetexto"/>
        <w:spacing w:before="138" w:line="312" w:lineRule="auto"/>
        <w:ind w:right="190"/>
      </w:pPr>
      <w:r>
        <w:t>Petrobras e Vale ainda não chegaram a um acordo sobre o projeto Carnalita. Segundo a Vale Fertilizantes, as empresas ne</w:t>
      </w:r>
      <w:r>
        <w:t>gociam como tornar compatível a exploração de petróleo e de potássio existentes na mesma localidade (REUTERS, 2011).</w:t>
      </w:r>
    </w:p>
    <w:p w:rsidR="00D81F69" w:rsidRDefault="00330118">
      <w:pPr>
        <w:pStyle w:val="Corpodetexto"/>
        <w:spacing w:before="135" w:line="312" w:lineRule="auto"/>
        <w:ind w:right="213"/>
      </w:pPr>
      <w:r>
        <w:t xml:space="preserve">O </w:t>
      </w:r>
      <w:r>
        <w:rPr>
          <w:spacing w:val="5"/>
        </w:rPr>
        <w:t xml:space="preserve">impasse </w:t>
      </w:r>
      <w:r>
        <w:rPr>
          <w:spacing w:val="6"/>
        </w:rPr>
        <w:t xml:space="preserve">judicial </w:t>
      </w:r>
      <w:r>
        <w:rPr>
          <w:spacing w:val="5"/>
        </w:rPr>
        <w:t xml:space="preserve">entre </w:t>
      </w:r>
      <w:r>
        <w:t xml:space="preserve">a </w:t>
      </w:r>
      <w:r>
        <w:rPr>
          <w:spacing w:val="5"/>
        </w:rPr>
        <w:t xml:space="preserve">Vale </w:t>
      </w:r>
      <w:r>
        <w:t xml:space="preserve">e a </w:t>
      </w:r>
      <w:r>
        <w:rPr>
          <w:spacing w:val="6"/>
        </w:rPr>
        <w:t xml:space="preserve">Petrobras </w:t>
      </w:r>
      <w:r>
        <w:rPr>
          <w:spacing w:val="5"/>
        </w:rPr>
        <w:t xml:space="preserve">sobre </w:t>
      </w:r>
      <w:r>
        <w:t>a renovação da concessão de exploração da mina de potássio de Taquari-Vassouras, que venceria em 2017, foi resolvido em 2011. As duas empresas fecharam acordo que permitirá à Vale explorar a área por mais 25 anos, contados a partir da data de assinatura do</w:t>
      </w:r>
      <w:r>
        <w:t xml:space="preserve"> novo contrato. Em julho do mesmo ano </w:t>
      </w:r>
      <w:r>
        <w:rPr>
          <w:spacing w:val="3"/>
        </w:rPr>
        <w:t xml:space="preserve">(2011), </w:t>
      </w:r>
      <w:r>
        <w:t xml:space="preserve">a </w:t>
      </w:r>
      <w:r>
        <w:rPr>
          <w:spacing w:val="3"/>
        </w:rPr>
        <w:t xml:space="preserve">presidente Dilma Rousseff, visando expandir </w:t>
      </w:r>
      <w:r>
        <w:t xml:space="preserve">a produção nacional e diminuir a dependência externa, cobrou dos </w:t>
      </w:r>
      <w:r>
        <w:rPr>
          <w:spacing w:val="1"/>
        </w:rPr>
        <w:t xml:space="preserve">presidentes </w:t>
      </w:r>
      <w:r>
        <w:t xml:space="preserve">da </w:t>
      </w:r>
      <w:r>
        <w:rPr>
          <w:spacing w:val="1"/>
        </w:rPr>
        <w:t xml:space="preserve">Vale </w:t>
      </w:r>
      <w:r>
        <w:t xml:space="preserve">e da </w:t>
      </w:r>
      <w:r>
        <w:rPr>
          <w:spacing w:val="1"/>
        </w:rPr>
        <w:t xml:space="preserve">Petrobras </w:t>
      </w:r>
      <w:r>
        <w:t xml:space="preserve">o </w:t>
      </w:r>
      <w:r>
        <w:rPr>
          <w:spacing w:val="1"/>
        </w:rPr>
        <w:t xml:space="preserve">compromisso </w:t>
      </w:r>
      <w:r>
        <w:rPr>
          <w:spacing w:val="2"/>
        </w:rPr>
        <w:t xml:space="preserve">de </w:t>
      </w:r>
      <w:r>
        <w:t>que a área explorada fosse ampliada de uma para</w:t>
      </w:r>
      <w:r>
        <w:t xml:space="preserve"> três minas (OSWALD; OLIVEIRA,</w:t>
      </w:r>
      <w:r>
        <w:rPr>
          <w:spacing w:val="7"/>
        </w:rPr>
        <w:t xml:space="preserve"> </w:t>
      </w:r>
      <w:r>
        <w:t>2011).</w:t>
      </w:r>
    </w:p>
    <w:p w:rsidR="00D81F69" w:rsidRDefault="00330118">
      <w:pPr>
        <w:pStyle w:val="Corpodetexto"/>
        <w:spacing w:before="140" w:line="312" w:lineRule="auto"/>
        <w:ind w:right="194"/>
      </w:pPr>
      <w:r>
        <w:t xml:space="preserve">A Vale também pretende criar uma empresa de fertilizantes, que nasceria da união dos ativos comprados da Bunge no Brasil e da Fosfértil. A capacidade inicial de produção da companhia seria entre seis e sete milhões de </w:t>
      </w:r>
      <w:r>
        <w:t>toneladas de fosfato (BRASIL MINERAL, 2010).</w:t>
      </w:r>
    </w:p>
    <w:p w:rsidR="00D81F69" w:rsidRDefault="00330118">
      <w:pPr>
        <w:pStyle w:val="Corpodetexto"/>
        <w:spacing w:before="135" w:line="312" w:lineRule="auto"/>
        <w:ind w:right="192"/>
      </w:pPr>
      <w:r>
        <w:t xml:space="preserve">O </w:t>
      </w:r>
      <w:r>
        <w:rPr>
          <w:spacing w:val="3"/>
        </w:rPr>
        <w:t xml:space="preserve">sonho </w:t>
      </w:r>
      <w:r>
        <w:rPr>
          <w:spacing w:val="1"/>
        </w:rPr>
        <w:t xml:space="preserve">de </w:t>
      </w:r>
      <w:r>
        <w:rPr>
          <w:spacing w:val="3"/>
        </w:rPr>
        <w:t xml:space="preserve">diminuir </w:t>
      </w:r>
      <w:r>
        <w:t xml:space="preserve">a </w:t>
      </w:r>
      <w:r>
        <w:rPr>
          <w:spacing w:val="3"/>
        </w:rPr>
        <w:t xml:space="preserve">importação </w:t>
      </w:r>
      <w:r>
        <w:rPr>
          <w:spacing w:val="1"/>
        </w:rPr>
        <w:t xml:space="preserve">de </w:t>
      </w:r>
      <w:r>
        <w:rPr>
          <w:spacing w:val="3"/>
        </w:rPr>
        <w:t xml:space="preserve">potássio conta </w:t>
      </w:r>
      <w:r>
        <w:rPr>
          <w:spacing w:val="5"/>
        </w:rPr>
        <w:t xml:space="preserve">com </w:t>
      </w:r>
      <w:r>
        <w:rPr>
          <w:spacing w:val="3"/>
        </w:rPr>
        <w:t xml:space="preserve">novas perspectivas, também </w:t>
      </w:r>
      <w:r>
        <w:rPr>
          <w:spacing w:val="1"/>
        </w:rPr>
        <w:t xml:space="preserve">em </w:t>
      </w:r>
      <w:r>
        <w:rPr>
          <w:spacing w:val="3"/>
        </w:rPr>
        <w:t xml:space="preserve">Sergipe. </w:t>
      </w:r>
      <w:r>
        <w:t xml:space="preserve">A </w:t>
      </w:r>
      <w:r>
        <w:rPr>
          <w:spacing w:val="3"/>
        </w:rPr>
        <w:t xml:space="preserve">Talon </w:t>
      </w:r>
      <w:r>
        <w:rPr>
          <w:spacing w:val="5"/>
        </w:rPr>
        <w:t xml:space="preserve">Metals, empresa </w:t>
      </w:r>
      <w:r>
        <w:rPr>
          <w:spacing w:val="2"/>
        </w:rPr>
        <w:t xml:space="preserve">de </w:t>
      </w:r>
      <w:r>
        <w:rPr>
          <w:spacing w:val="5"/>
        </w:rPr>
        <w:t xml:space="preserve">capital canadense </w:t>
      </w:r>
      <w:r>
        <w:t xml:space="preserve">e </w:t>
      </w:r>
      <w:r>
        <w:rPr>
          <w:spacing w:val="5"/>
        </w:rPr>
        <w:t xml:space="preserve">sulafricano, verificou </w:t>
      </w:r>
      <w:r>
        <w:t xml:space="preserve">a </w:t>
      </w:r>
      <w:r>
        <w:rPr>
          <w:spacing w:val="6"/>
        </w:rPr>
        <w:t xml:space="preserve">existência </w:t>
      </w:r>
      <w:r>
        <w:rPr>
          <w:spacing w:val="3"/>
        </w:rPr>
        <w:t xml:space="preserve">do </w:t>
      </w:r>
      <w:r>
        <w:rPr>
          <w:spacing w:val="6"/>
        </w:rPr>
        <w:t xml:space="preserve">mineral, </w:t>
      </w:r>
      <w:r>
        <w:rPr>
          <w:spacing w:val="3"/>
        </w:rPr>
        <w:t xml:space="preserve">em </w:t>
      </w:r>
      <w:r>
        <w:rPr>
          <w:spacing w:val="5"/>
        </w:rPr>
        <w:t xml:space="preserve">área que </w:t>
      </w:r>
      <w:r>
        <w:rPr>
          <w:spacing w:val="6"/>
        </w:rPr>
        <w:t xml:space="preserve">circunda </w:t>
      </w:r>
      <w:r>
        <w:t>a</w:t>
      </w:r>
      <w:r>
        <w:t xml:space="preserve"> </w:t>
      </w:r>
      <w:r>
        <w:rPr>
          <w:spacing w:val="7"/>
        </w:rPr>
        <w:t xml:space="preserve">grande </w:t>
      </w:r>
      <w:r>
        <w:t xml:space="preserve">Aracaju, envolvendo ainda os municípios de São Cristóvão e Laranjeiras. De acordo com a empresa, existe a possibilidade de se encontrar potássio também na plataforma continental, </w:t>
      </w:r>
      <w:r>
        <w:rPr>
          <w:spacing w:val="6"/>
        </w:rPr>
        <w:t xml:space="preserve">ao </w:t>
      </w:r>
      <w:r>
        <w:rPr>
          <w:spacing w:val="11"/>
        </w:rPr>
        <w:t xml:space="preserve">longo </w:t>
      </w:r>
      <w:r>
        <w:rPr>
          <w:spacing w:val="6"/>
        </w:rPr>
        <w:t xml:space="preserve">da </w:t>
      </w:r>
      <w:r>
        <w:rPr>
          <w:spacing w:val="11"/>
        </w:rPr>
        <w:t xml:space="preserve">costa </w:t>
      </w:r>
      <w:r>
        <w:rPr>
          <w:spacing w:val="12"/>
        </w:rPr>
        <w:t xml:space="preserve">sergipana. </w:t>
      </w:r>
      <w:r>
        <w:rPr>
          <w:spacing w:val="6"/>
        </w:rPr>
        <w:t xml:space="preserve">Em </w:t>
      </w:r>
      <w:r>
        <w:rPr>
          <w:spacing w:val="11"/>
        </w:rPr>
        <w:t xml:space="preserve">vista </w:t>
      </w:r>
      <w:r>
        <w:rPr>
          <w:spacing w:val="10"/>
        </w:rPr>
        <w:t xml:space="preserve">dos </w:t>
      </w:r>
      <w:r>
        <w:rPr>
          <w:spacing w:val="11"/>
        </w:rPr>
        <w:t xml:space="preserve">dados </w:t>
      </w:r>
      <w:r>
        <w:t>apresentados, há a po</w:t>
      </w:r>
      <w:r>
        <w:t xml:space="preserve">ssibilidade de triplicação da produção de potássio no estado. Caberá ao Departamento Nacional de </w:t>
      </w:r>
      <w:r>
        <w:rPr>
          <w:spacing w:val="5"/>
        </w:rPr>
        <w:t xml:space="preserve">Produção Mineral (DNPM) discutir </w:t>
      </w:r>
      <w:r>
        <w:rPr>
          <w:spacing w:val="2"/>
        </w:rPr>
        <w:t xml:space="preserve">os </w:t>
      </w:r>
      <w:r>
        <w:rPr>
          <w:spacing w:val="5"/>
        </w:rPr>
        <w:t xml:space="preserve">caminhos </w:t>
      </w:r>
      <w:r>
        <w:t xml:space="preserve">a </w:t>
      </w:r>
      <w:r>
        <w:rPr>
          <w:spacing w:val="5"/>
        </w:rPr>
        <w:t>serem</w:t>
      </w:r>
      <w:r>
        <w:rPr>
          <w:spacing w:val="61"/>
        </w:rPr>
        <w:t xml:space="preserve"> </w:t>
      </w:r>
      <w:r>
        <w:t xml:space="preserve">adotados para a garantia dos investimentos em novas minas </w:t>
      </w:r>
      <w:r>
        <w:rPr>
          <w:spacing w:val="2"/>
        </w:rPr>
        <w:t xml:space="preserve">para </w:t>
      </w:r>
      <w:r>
        <w:rPr>
          <w:spacing w:val="3"/>
        </w:rPr>
        <w:t xml:space="preserve">aproveitamento </w:t>
      </w:r>
      <w:r>
        <w:rPr>
          <w:spacing w:val="1"/>
        </w:rPr>
        <w:t xml:space="preserve">do </w:t>
      </w:r>
      <w:r>
        <w:rPr>
          <w:spacing w:val="3"/>
        </w:rPr>
        <w:t xml:space="preserve">mineral </w:t>
      </w:r>
      <w:r>
        <w:rPr>
          <w:spacing w:val="1"/>
        </w:rPr>
        <w:t xml:space="preserve">em </w:t>
      </w:r>
      <w:r>
        <w:rPr>
          <w:spacing w:val="3"/>
        </w:rPr>
        <w:t xml:space="preserve">Sergipe </w:t>
      </w:r>
      <w:r>
        <w:rPr>
          <w:spacing w:val="5"/>
        </w:rPr>
        <w:t>(PLENÁ</w:t>
      </w:r>
      <w:r>
        <w:rPr>
          <w:spacing w:val="5"/>
        </w:rPr>
        <w:t xml:space="preserve">RIO, </w:t>
      </w:r>
      <w:r>
        <w:rPr>
          <w:spacing w:val="3"/>
        </w:rPr>
        <w:t xml:space="preserve">2010). </w:t>
      </w:r>
      <w:r>
        <w:t xml:space="preserve">A </w:t>
      </w:r>
      <w:r>
        <w:rPr>
          <w:spacing w:val="3"/>
        </w:rPr>
        <w:t xml:space="preserve">empresa, </w:t>
      </w:r>
      <w:r>
        <w:rPr>
          <w:spacing w:val="2"/>
        </w:rPr>
        <w:t xml:space="preserve">que </w:t>
      </w:r>
      <w:r>
        <w:rPr>
          <w:spacing w:val="3"/>
        </w:rPr>
        <w:t xml:space="preserve">anunciou investimentos </w:t>
      </w:r>
      <w:r>
        <w:rPr>
          <w:spacing w:val="1"/>
        </w:rPr>
        <w:t xml:space="preserve">de R$ </w:t>
      </w:r>
      <w:r>
        <w:rPr>
          <w:spacing w:val="5"/>
        </w:rPr>
        <w:t xml:space="preserve">30 milhões apenas </w:t>
      </w:r>
      <w:r>
        <w:rPr>
          <w:spacing w:val="2"/>
        </w:rPr>
        <w:t xml:space="preserve">em </w:t>
      </w:r>
      <w:r>
        <w:rPr>
          <w:spacing w:val="5"/>
        </w:rPr>
        <w:t xml:space="preserve">pesquisas, </w:t>
      </w:r>
      <w:r>
        <w:rPr>
          <w:spacing w:val="3"/>
        </w:rPr>
        <w:t xml:space="preserve">disse que seu </w:t>
      </w:r>
      <w:r>
        <w:rPr>
          <w:spacing w:val="5"/>
        </w:rPr>
        <w:t xml:space="preserve">objetivo </w:t>
      </w:r>
      <w:r>
        <w:t xml:space="preserve">é </w:t>
      </w:r>
      <w:r>
        <w:rPr>
          <w:spacing w:val="6"/>
        </w:rPr>
        <w:t xml:space="preserve">produzir </w:t>
      </w:r>
      <w:r>
        <w:rPr>
          <w:spacing w:val="5"/>
        </w:rPr>
        <w:t xml:space="preserve">tal como </w:t>
      </w:r>
      <w:r>
        <w:t xml:space="preserve">a </w:t>
      </w:r>
      <w:r>
        <w:rPr>
          <w:spacing w:val="5"/>
        </w:rPr>
        <w:t xml:space="preserve">Vale, levando </w:t>
      </w:r>
      <w:r>
        <w:t xml:space="preserve">o </w:t>
      </w:r>
      <w:r>
        <w:rPr>
          <w:spacing w:val="5"/>
        </w:rPr>
        <w:t xml:space="preserve">sal </w:t>
      </w:r>
      <w:r>
        <w:rPr>
          <w:spacing w:val="3"/>
        </w:rPr>
        <w:t xml:space="preserve">de </w:t>
      </w:r>
      <w:r>
        <w:rPr>
          <w:spacing w:val="6"/>
        </w:rPr>
        <w:t xml:space="preserve">potássio </w:t>
      </w:r>
      <w:r>
        <w:t>à superfície para depois vender o produto (BRASIL MINERAL, 2009).</w:t>
      </w:r>
    </w:p>
    <w:p w:rsidR="00D81F69" w:rsidRDefault="00D81F69">
      <w:pPr>
        <w:pStyle w:val="Corpodetexto"/>
        <w:spacing w:before="4"/>
        <w:ind w:left="0"/>
        <w:jc w:val="left"/>
        <w:rPr>
          <w:sz w:val="22"/>
        </w:rPr>
      </w:pPr>
    </w:p>
    <w:p w:rsidR="00D81F69" w:rsidRDefault="00330118">
      <w:pPr>
        <w:pStyle w:val="Heading7"/>
      </w:pPr>
      <w:r>
        <w:t>LOCALIZAÇÃO GEOGRÁFICA</w:t>
      </w:r>
    </w:p>
    <w:p w:rsidR="00D81F69" w:rsidRDefault="00330118">
      <w:pPr>
        <w:pStyle w:val="Corpodetexto"/>
        <w:spacing w:before="179" w:line="312" w:lineRule="auto"/>
        <w:ind w:right="157"/>
      </w:pPr>
      <w:r>
        <w:t>O município de Rosário do Catete (latitude 10°41’28”S e longitude 37°01’50”W) abriga a única mina de potássio em atividade no Brasil. A mina está situada na bacia hidrográfica do rio Japaratuba, com pouco mais de 1,7 mil km² de área. Os</w:t>
      </w:r>
    </w:p>
    <w:p w:rsidR="00D81F69" w:rsidRDefault="00D81F69">
      <w:pPr>
        <w:spacing w:line="312" w:lineRule="auto"/>
        <w:sectPr w:rsidR="00D81F69">
          <w:pgSz w:w="11900" w:h="16840"/>
          <w:pgMar w:top="740" w:right="500" w:bottom="700" w:left="620" w:header="0" w:footer="402" w:gutter="0"/>
          <w:cols w:num="2" w:space="720" w:equalWidth="0">
            <w:col w:w="5191" w:space="279"/>
            <w:col w:w="5310"/>
          </w:cols>
        </w:sectPr>
      </w:pPr>
    </w:p>
    <w:p w:rsidR="00D81F69" w:rsidRPr="00392EAD" w:rsidRDefault="00330118">
      <w:pPr>
        <w:pStyle w:val="Corpodetexto"/>
        <w:spacing w:before="81" w:line="312" w:lineRule="auto"/>
        <w:ind w:right="71"/>
        <w:rPr>
          <w:lang w:val="pt-BR"/>
        </w:rPr>
      </w:pPr>
      <w:r w:rsidRPr="00392EAD">
        <w:rPr>
          <w:lang w:val="pt-BR"/>
        </w:rPr>
        <w:lastRenderedPageBreak/>
        <w:t>depósitos de potássio no estado de Sergipe foram descobertos em 1963 abrangendo reservas que se estendem, além do município de Rosário do Catete, pelas cidades de Carmópolis (10°39’01”S e 36°59’47”W) e Santa Rosa de Lima (10°3</w:t>
      </w:r>
      <w:r w:rsidRPr="00392EAD">
        <w:rPr>
          <w:lang w:val="pt-BR"/>
        </w:rPr>
        <w:t>9’22”S e 37°12’01”W).</w:t>
      </w:r>
    </w:p>
    <w:p w:rsidR="00D81F69" w:rsidRPr="00392EAD" w:rsidRDefault="00D81F69">
      <w:pPr>
        <w:pStyle w:val="Corpodetexto"/>
        <w:spacing w:before="2"/>
        <w:ind w:left="0"/>
        <w:jc w:val="left"/>
        <w:rPr>
          <w:sz w:val="29"/>
          <w:lang w:val="pt-BR"/>
        </w:rPr>
      </w:pPr>
    </w:p>
    <w:p w:rsidR="00D81F69" w:rsidRPr="00392EAD" w:rsidRDefault="00330118">
      <w:pPr>
        <w:pStyle w:val="Heading7"/>
        <w:rPr>
          <w:lang w:val="pt-BR"/>
        </w:rPr>
      </w:pPr>
      <w:r w:rsidRPr="00392EAD">
        <w:rPr>
          <w:lang w:val="pt-BR"/>
        </w:rPr>
        <w:t>REDATORES</w:t>
      </w:r>
    </w:p>
    <w:p w:rsidR="00D81F69" w:rsidRPr="00392EAD" w:rsidRDefault="00330118">
      <w:pPr>
        <w:pStyle w:val="Corpodetexto"/>
        <w:spacing w:before="179"/>
        <w:rPr>
          <w:lang w:val="pt-BR"/>
        </w:rPr>
      </w:pPr>
      <w:r w:rsidRPr="00392EAD">
        <w:rPr>
          <w:lang w:val="pt-BR"/>
        </w:rPr>
        <w:t>Renata Olivieri; Eliane Araujo</w:t>
      </w:r>
    </w:p>
    <w:p w:rsidR="00D81F69" w:rsidRPr="00392EAD" w:rsidRDefault="00D81F69">
      <w:pPr>
        <w:pStyle w:val="Corpodetexto"/>
        <w:ind w:left="0"/>
        <w:jc w:val="left"/>
        <w:rPr>
          <w:sz w:val="20"/>
          <w:lang w:val="pt-BR"/>
        </w:rPr>
      </w:pPr>
    </w:p>
    <w:p w:rsidR="00D81F69" w:rsidRPr="00392EAD" w:rsidRDefault="00330118">
      <w:pPr>
        <w:pStyle w:val="Heading7"/>
        <w:spacing w:before="164"/>
        <w:rPr>
          <w:lang w:val="pt-BR"/>
        </w:rPr>
      </w:pPr>
      <w:r w:rsidRPr="00392EAD">
        <w:rPr>
          <w:lang w:val="pt-BR"/>
        </w:rPr>
        <w:t>REFERÊNCIAS BIBLIOGRÁFICAS</w:t>
      </w:r>
    </w:p>
    <w:p w:rsidR="00D81F69" w:rsidRPr="00392EAD" w:rsidRDefault="00330118">
      <w:pPr>
        <w:spacing w:before="188" w:line="312" w:lineRule="auto"/>
        <w:ind w:left="100" w:right="70"/>
        <w:jc w:val="both"/>
        <w:rPr>
          <w:sz w:val="16"/>
          <w:lang w:val="pt-BR"/>
        </w:rPr>
      </w:pPr>
      <w:r w:rsidRPr="00392EAD">
        <w:rPr>
          <w:sz w:val="16"/>
          <w:lang w:val="pt-BR"/>
        </w:rPr>
        <w:t>AGÊNCIA ESTADO. Regras sobre potássio serão discutidas depois de</w:t>
      </w:r>
      <w:r w:rsidRPr="00392EAD">
        <w:rPr>
          <w:spacing w:val="26"/>
          <w:sz w:val="16"/>
          <w:lang w:val="pt-BR"/>
        </w:rPr>
        <w:t xml:space="preserve"> </w:t>
      </w:r>
      <w:r w:rsidRPr="00392EAD">
        <w:rPr>
          <w:sz w:val="16"/>
          <w:lang w:val="pt-BR"/>
        </w:rPr>
        <w:t>viagem</w:t>
      </w:r>
      <w:r w:rsidRPr="00392EAD">
        <w:rPr>
          <w:spacing w:val="26"/>
          <w:sz w:val="16"/>
          <w:lang w:val="pt-BR"/>
        </w:rPr>
        <w:t xml:space="preserve"> </w:t>
      </w:r>
      <w:r w:rsidRPr="00392EAD">
        <w:rPr>
          <w:sz w:val="16"/>
          <w:lang w:val="pt-BR"/>
        </w:rPr>
        <w:t>de</w:t>
      </w:r>
      <w:r w:rsidRPr="00392EAD">
        <w:rPr>
          <w:spacing w:val="26"/>
          <w:sz w:val="16"/>
          <w:lang w:val="pt-BR"/>
        </w:rPr>
        <w:t xml:space="preserve"> </w:t>
      </w:r>
      <w:r w:rsidRPr="00392EAD">
        <w:rPr>
          <w:sz w:val="16"/>
          <w:lang w:val="pt-BR"/>
        </w:rPr>
        <w:t>Lula,</w:t>
      </w:r>
      <w:r w:rsidRPr="00392EAD">
        <w:rPr>
          <w:spacing w:val="26"/>
          <w:sz w:val="16"/>
          <w:lang w:val="pt-BR"/>
        </w:rPr>
        <w:t xml:space="preserve"> </w:t>
      </w:r>
      <w:r w:rsidRPr="00392EAD">
        <w:rPr>
          <w:sz w:val="16"/>
          <w:lang w:val="pt-BR"/>
        </w:rPr>
        <w:t>24</w:t>
      </w:r>
      <w:r w:rsidRPr="00392EAD">
        <w:rPr>
          <w:spacing w:val="26"/>
          <w:sz w:val="16"/>
          <w:lang w:val="pt-BR"/>
        </w:rPr>
        <w:t xml:space="preserve"> </w:t>
      </w:r>
      <w:r w:rsidRPr="00392EAD">
        <w:rPr>
          <w:sz w:val="16"/>
          <w:lang w:val="pt-BR"/>
        </w:rPr>
        <w:t>nov.</w:t>
      </w:r>
      <w:r w:rsidRPr="00392EAD">
        <w:rPr>
          <w:spacing w:val="26"/>
          <w:sz w:val="16"/>
          <w:lang w:val="pt-BR"/>
        </w:rPr>
        <w:t xml:space="preserve"> </w:t>
      </w:r>
      <w:r w:rsidRPr="00392EAD">
        <w:rPr>
          <w:sz w:val="16"/>
          <w:lang w:val="pt-BR"/>
        </w:rPr>
        <w:t>2009a.</w:t>
      </w:r>
      <w:r w:rsidRPr="00392EAD">
        <w:rPr>
          <w:spacing w:val="26"/>
          <w:sz w:val="16"/>
          <w:lang w:val="pt-BR"/>
        </w:rPr>
        <w:t xml:space="preserve"> </w:t>
      </w:r>
      <w:r w:rsidRPr="00392EAD">
        <w:rPr>
          <w:sz w:val="16"/>
          <w:lang w:val="pt-BR"/>
        </w:rPr>
        <w:t>In:</w:t>
      </w:r>
      <w:r w:rsidRPr="00392EAD">
        <w:rPr>
          <w:spacing w:val="26"/>
          <w:sz w:val="16"/>
          <w:lang w:val="pt-BR"/>
        </w:rPr>
        <w:t xml:space="preserve"> </w:t>
      </w:r>
      <w:r w:rsidRPr="00392EAD">
        <w:rPr>
          <w:sz w:val="16"/>
          <w:lang w:val="pt-BR"/>
        </w:rPr>
        <w:t>Mining.com.</w:t>
      </w:r>
      <w:r w:rsidRPr="00392EAD">
        <w:rPr>
          <w:spacing w:val="26"/>
          <w:sz w:val="16"/>
          <w:lang w:val="pt-BR"/>
        </w:rPr>
        <w:t xml:space="preserve"> </w:t>
      </w:r>
      <w:r w:rsidRPr="00392EAD">
        <w:rPr>
          <w:sz w:val="16"/>
          <w:lang w:val="pt-BR"/>
        </w:rPr>
        <w:t>Disponível</w:t>
      </w:r>
      <w:r w:rsidRPr="00392EAD">
        <w:rPr>
          <w:spacing w:val="26"/>
          <w:sz w:val="16"/>
          <w:lang w:val="pt-BR"/>
        </w:rPr>
        <w:t xml:space="preserve"> </w:t>
      </w:r>
      <w:r w:rsidRPr="00392EAD">
        <w:rPr>
          <w:spacing w:val="1"/>
          <w:sz w:val="16"/>
          <w:lang w:val="pt-BR"/>
        </w:rPr>
        <w:t>em:</w:t>
      </w:r>
    </w:p>
    <w:p w:rsidR="00D81F69" w:rsidRPr="00392EAD" w:rsidRDefault="00D81F69">
      <w:pPr>
        <w:spacing w:before="1" w:line="312" w:lineRule="auto"/>
        <w:ind w:left="100" w:right="84"/>
        <w:jc w:val="both"/>
        <w:rPr>
          <w:sz w:val="16"/>
          <w:lang w:val="pt-BR"/>
        </w:rPr>
      </w:pPr>
      <w:hyperlink r:id="rId840">
        <w:r w:rsidR="00330118" w:rsidRPr="00392EAD">
          <w:rPr>
            <w:sz w:val="16"/>
            <w:lang w:val="pt-BR"/>
          </w:rPr>
          <w:t>&lt;http://noticiasmineracao.mining.com/2009/11/24/regras-sobre-</w:t>
        </w:r>
      </w:hyperlink>
      <w:r w:rsidR="00330118" w:rsidRPr="00392EAD">
        <w:rPr>
          <w:sz w:val="16"/>
          <w:lang w:val="pt-BR"/>
        </w:rPr>
        <w:t xml:space="preserve"> potassio-serao-discutidas-depois-de-viagem-de-lula/&gt;. Acesso em: 18 out. 2010.</w:t>
      </w:r>
    </w:p>
    <w:p w:rsidR="00D81F69" w:rsidRPr="00392EAD" w:rsidRDefault="00330118">
      <w:pPr>
        <w:spacing w:before="3" w:line="312" w:lineRule="auto"/>
        <w:ind w:left="100" w:right="38"/>
        <w:jc w:val="both"/>
        <w:rPr>
          <w:sz w:val="16"/>
          <w:lang w:val="pt-BR"/>
        </w:rPr>
      </w:pPr>
      <w:r w:rsidRPr="00392EAD">
        <w:rPr>
          <w:spacing w:val="1"/>
          <w:sz w:val="16"/>
          <w:lang w:val="pt-BR"/>
        </w:rPr>
        <w:t xml:space="preserve">______. Rejeitos </w:t>
      </w:r>
      <w:r w:rsidRPr="00392EAD">
        <w:rPr>
          <w:sz w:val="16"/>
          <w:lang w:val="pt-BR"/>
        </w:rPr>
        <w:t xml:space="preserve">de </w:t>
      </w:r>
      <w:r w:rsidRPr="00392EAD">
        <w:rPr>
          <w:spacing w:val="1"/>
          <w:sz w:val="16"/>
          <w:lang w:val="pt-BR"/>
        </w:rPr>
        <w:t xml:space="preserve">potássio </w:t>
      </w:r>
      <w:r w:rsidRPr="00392EAD">
        <w:rPr>
          <w:sz w:val="16"/>
          <w:lang w:val="pt-BR"/>
        </w:rPr>
        <w:t xml:space="preserve">são </w:t>
      </w:r>
      <w:r w:rsidRPr="00392EAD">
        <w:rPr>
          <w:spacing w:val="1"/>
          <w:sz w:val="16"/>
          <w:lang w:val="pt-BR"/>
        </w:rPr>
        <w:t>proble</w:t>
      </w:r>
      <w:r w:rsidRPr="00392EAD">
        <w:rPr>
          <w:spacing w:val="1"/>
          <w:sz w:val="16"/>
          <w:lang w:val="pt-BR"/>
        </w:rPr>
        <w:t xml:space="preserve">ma </w:t>
      </w:r>
      <w:r w:rsidRPr="00392EAD">
        <w:rPr>
          <w:sz w:val="16"/>
          <w:lang w:val="pt-BR"/>
        </w:rPr>
        <w:t xml:space="preserve">na </w:t>
      </w:r>
      <w:r w:rsidRPr="00392EAD">
        <w:rPr>
          <w:spacing w:val="1"/>
          <w:sz w:val="16"/>
          <w:lang w:val="pt-BR"/>
        </w:rPr>
        <w:t xml:space="preserve">Amazônia, </w:t>
      </w:r>
      <w:r w:rsidRPr="00392EAD">
        <w:rPr>
          <w:sz w:val="16"/>
          <w:lang w:val="pt-BR"/>
        </w:rPr>
        <w:t xml:space="preserve">09 </w:t>
      </w:r>
      <w:r w:rsidRPr="00392EAD">
        <w:rPr>
          <w:spacing w:val="2"/>
          <w:sz w:val="16"/>
          <w:lang w:val="pt-BR"/>
        </w:rPr>
        <w:t xml:space="preserve">nov. </w:t>
      </w:r>
      <w:r w:rsidRPr="00392EAD">
        <w:rPr>
          <w:spacing w:val="28"/>
          <w:sz w:val="16"/>
          <w:lang w:val="pt-BR"/>
        </w:rPr>
        <w:t xml:space="preserve">2009b. </w:t>
      </w:r>
      <w:r w:rsidRPr="00392EAD">
        <w:rPr>
          <w:spacing w:val="22"/>
          <w:sz w:val="16"/>
          <w:lang w:val="pt-BR"/>
        </w:rPr>
        <w:t xml:space="preserve">In: </w:t>
      </w:r>
      <w:r w:rsidRPr="00392EAD">
        <w:rPr>
          <w:spacing w:val="27"/>
          <w:sz w:val="16"/>
          <w:lang w:val="pt-BR"/>
        </w:rPr>
        <w:t xml:space="preserve">Globo </w:t>
      </w:r>
      <w:r w:rsidRPr="00392EAD">
        <w:rPr>
          <w:spacing w:val="30"/>
          <w:sz w:val="16"/>
          <w:lang w:val="pt-BR"/>
        </w:rPr>
        <w:t>Amazônia.</w:t>
      </w:r>
      <w:r w:rsidRPr="00392EAD">
        <w:rPr>
          <w:spacing w:val="105"/>
          <w:sz w:val="16"/>
          <w:lang w:val="pt-BR"/>
        </w:rPr>
        <w:t xml:space="preserve"> </w:t>
      </w:r>
      <w:r w:rsidRPr="00392EAD">
        <w:rPr>
          <w:spacing w:val="30"/>
          <w:sz w:val="16"/>
          <w:lang w:val="pt-BR"/>
        </w:rPr>
        <w:t>Disponível</w:t>
      </w:r>
      <w:r w:rsidRPr="00392EAD">
        <w:rPr>
          <w:spacing w:val="90"/>
          <w:sz w:val="16"/>
          <w:lang w:val="pt-BR"/>
        </w:rPr>
        <w:t xml:space="preserve"> </w:t>
      </w:r>
      <w:r w:rsidRPr="00392EAD">
        <w:rPr>
          <w:spacing w:val="22"/>
          <w:sz w:val="16"/>
          <w:lang w:val="pt-BR"/>
        </w:rPr>
        <w:t>em:</w:t>
      </w:r>
      <w:r w:rsidRPr="00392EAD">
        <w:rPr>
          <w:spacing w:val="-8"/>
          <w:sz w:val="16"/>
          <w:lang w:val="pt-BR"/>
        </w:rPr>
        <w:t xml:space="preserve"> </w:t>
      </w:r>
    </w:p>
    <w:p w:rsidR="00D81F69" w:rsidRDefault="00D81F69">
      <w:pPr>
        <w:spacing w:before="2" w:line="312" w:lineRule="auto"/>
        <w:ind w:left="100" w:right="79"/>
        <w:jc w:val="both"/>
        <w:rPr>
          <w:sz w:val="16"/>
        </w:rPr>
      </w:pPr>
      <w:hyperlink r:id="rId841">
        <w:r w:rsidR="00330118" w:rsidRPr="00392EAD">
          <w:rPr>
            <w:sz w:val="16"/>
            <w:lang w:val="pt-BR"/>
          </w:rPr>
          <w:t>&lt;http://www.globoamazonia.com/Amazonia/0,,MUL1371700-</w:t>
        </w:r>
      </w:hyperlink>
      <w:r w:rsidR="00330118" w:rsidRPr="00392EAD">
        <w:rPr>
          <w:sz w:val="16"/>
          <w:lang w:val="pt-BR"/>
        </w:rPr>
        <w:t xml:space="preserve"> 16052,00.html&gt;. </w:t>
      </w:r>
      <w:r w:rsidR="00330118">
        <w:rPr>
          <w:sz w:val="16"/>
        </w:rPr>
        <w:t>Acesso em: 18 out. 2010.</w:t>
      </w:r>
    </w:p>
    <w:p w:rsidR="00D81F69" w:rsidRDefault="00330118">
      <w:pPr>
        <w:spacing w:before="1" w:line="312" w:lineRule="auto"/>
        <w:ind w:left="100" w:right="70"/>
        <w:jc w:val="both"/>
        <w:rPr>
          <w:sz w:val="16"/>
        </w:rPr>
      </w:pPr>
      <w:r w:rsidRPr="00392EAD">
        <w:rPr>
          <w:spacing w:val="2"/>
          <w:sz w:val="16"/>
          <w:lang w:val="pt-BR"/>
        </w:rPr>
        <w:t xml:space="preserve">ANDA </w:t>
      </w:r>
      <w:r w:rsidRPr="00392EAD">
        <w:rPr>
          <w:sz w:val="16"/>
          <w:lang w:val="pt-BR"/>
        </w:rPr>
        <w:t xml:space="preserve">– </w:t>
      </w:r>
      <w:r w:rsidRPr="00392EAD">
        <w:rPr>
          <w:spacing w:val="3"/>
          <w:sz w:val="16"/>
          <w:lang w:val="pt-BR"/>
        </w:rPr>
        <w:t xml:space="preserve">Associação Nacional </w:t>
      </w:r>
      <w:r w:rsidRPr="00392EAD">
        <w:rPr>
          <w:spacing w:val="2"/>
          <w:sz w:val="16"/>
          <w:lang w:val="pt-BR"/>
        </w:rPr>
        <w:t xml:space="preserve">para </w:t>
      </w:r>
      <w:r w:rsidRPr="00392EAD">
        <w:rPr>
          <w:spacing w:val="3"/>
          <w:sz w:val="16"/>
          <w:lang w:val="pt-BR"/>
        </w:rPr>
        <w:t xml:space="preserve">Difusão </w:t>
      </w:r>
      <w:r w:rsidRPr="00392EAD">
        <w:rPr>
          <w:spacing w:val="1"/>
          <w:sz w:val="16"/>
          <w:lang w:val="pt-BR"/>
        </w:rPr>
        <w:t xml:space="preserve">de </w:t>
      </w:r>
      <w:r w:rsidRPr="00392EAD">
        <w:rPr>
          <w:spacing w:val="3"/>
          <w:sz w:val="16"/>
          <w:lang w:val="pt-BR"/>
        </w:rPr>
        <w:t xml:space="preserve">Adubos. </w:t>
      </w:r>
      <w:r w:rsidRPr="00392EAD">
        <w:rPr>
          <w:spacing w:val="5"/>
          <w:sz w:val="16"/>
          <w:lang w:val="pt-BR"/>
        </w:rPr>
        <w:t xml:space="preserve">Anuário </w:t>
      </w:r>
      <w:r w:rsidRPr="00392EAD">
        <w:rPr>
          <w:sz w:val="16"/>
          <w:lang w:val="pt-BR"/>
        </w:rPr>
        <w:t xml:space="preserve">estatístico do setor de fertilizantes 2011. </w:t>
      </w:r>
      <w:r>
        <w:rPr>
          <w:sz w:val="16"/>
        </w:rPr>
        <w:t xml:space="preserve">São Paulo: ANDA. 2012. ARAGÃO, Ricardo de Aragão; ALMEIDA, José Antônio Pacheco de Almeida. </w:t>
      </w:r>
      <w:r w:rsidRPr="00392EAD">
        <w:rPr>
          <w:sz w:val="16"/>
          <w:lang w:val="pt-BR"/>
        </w:rPr>
        <w:t>Avaliação espaço temporal do uso do solo na área da bacia do Rio Jap</w:t>
      </w:r>
      <w:r w:rsidRPr="00392EAD">
        <w:rPr>
          <w:sz w:val="16"/>
          <w:lang w:val="pt-BR"/>
        </w:rPr>
        <w:t xml:space="preserve">aratuba –Sergipe através de imagens LANDSAT. </w:t>
      </w:r>
      <w:r>
        <w:rPr>
          <w:sz w:val="16"/>
        </w:rPr>
        <w:t>Anais  XIV</w:t>
      </w:r>
      <w:r>
        <w:rPr>
          <w:spacing w:val="10"/>
          <w:sz w:val="16"/>
        </w:rPr>
        <w:t xml:space="preserve"> </w:t>
      </w:r>
      <w:r>
        <w:rPr>
          <w:sz w:val="16"/>
        </w:rPr>
        <w:t>Simpósio</w:t>
      </w:r>
      <w:r>
        <w:rPr>
          <w:spacing w:val="10"/>
          <w:sz w:val="16"/>
        </w:rPr>
        <w:t xml:space="preserve"> </w:t>
      </w:r>
      <w:r>
        <w:rPr>
          <w:sz w:val="16"/>
        </w:rPr>
        <w:t>Brasileiro</w:t>
      </w:r>
      <w:r>
        <w:rPr>
          <w:spacing w:val="10"/>
          <w:sz w:val="16"/>
        </w:rPr>
        <w:t xml:space="preserve"> </w:t>
      </w:r>
      <w:r>
        <w:rPr>
          <w:sz w:val="16"/>
        </w:rPr>
        <w:t>de</w:t>
      </w:r>
      <w:r>
        <w:rPr>
          <w:spacing w:val="10"/>
          <w:sz w:val="16"/>
        </w:rPr>
        <w:t xml:space="preserve"> </w:t>
      </w:r>
      <w:r>
        <w:rPr>
          <w:sz w:val="16"/>
        </w:rPr>
        <w:t>Sensoriamento</w:t>
      </w:r>
      <w:r>
        <w:rPr>
          <w:spacing w:val="10"/>
          <w:sz w:val="16"/>
        </w:rPr>
        <w:t xml:space="preserve"> </w:t>
      </w:r>
      <w:r>
        <w:rPr>
          <w:sz w:val="16"/>
        </w:rPr>
        <w:t>Remoto,</w:t>
      </w:r>
      <w:r>
        <w:rPr>
          <w:spacing w:val="10"/>
          <w:sz w:val="16"/>
        </w:rPr>
        <w:t xml:space="preserve"> </w:t>
      </w:r>
      <w:r>
        <w:rPr>
          <w:sz w:val="16"/>
        </w:rPr>
        <w:t>Natal,</w:t>
      </w:r>
      <w:r>
        <w:rPr>
          <w:spacing w:val="10"/>
          <w:sz w:val="16"/>
        </w:rPr>
        <w:t xml:space="preserve"> </w:t>
      </w:r>
      <w:r>
        <w:rPr>
          <w:sz w:val="16"/>
        </w:rPr>
        <w:t>Brasil,</w:t>
      </w:r>
      <w:r>
        <w:rPr>
          <w:spacing w:val="10"/>
          <w:sz w:val="16"/>
        </w:rPr>
        <w:t xml:space="preserve"> </w:t>
      </w:r>
      <w:r>
        <w:rPr>
          <w:sz w:val="16"/>
        </w:rPr>
        <w:t>25-</w:t>
      </w:r>
    </w:p>
    <w:p w:rsidR="00D81F69" w:rsidRDefault="00330118">
      <w:pPr>
        <w:spacing w:before="5"/>
        <w:ind w:left="100"/>
        <w:jc w:val="both"/>
        <w:rPr>
          <w:sz w:val="16"/>
        </w:rPr>
      </w:pPr>
      <w:r>
        <w:rPr>
          <w:spacing w:val="10"/>
          <w:sz w:val="16"/>
        </w:rPr>
        <w:t xml:space="preserve">30   </w:t>
      </w:r>
      <w:r>
        <w:rPr>
          <w:spacing w:val="15"/>
          <w:sz w:val="16"/>
        </w:rPr>
        <w:t xml:space="preserve">abr.   2009, </w:t>
      </w:r>
      <w:r>
        <w:rPr>
          <w:spacing w:val="75"/>
          <w:sz w:val="16"/>
        </w:rPr>
        <w:t xml:space="preserve"> </w:t>
      </w:r>
      <w:r>
        <w:rPr>
          <w:spacing w:val="15"/>
          <w:sz w:val="16"/>
        </w:rPr>
        <w:t xml:space="preserve">INPE, </w:t>
      </w:r>
      <w:r>
        <w:rPr>
          <w:spacing w:val="75"/>
          <w:sz w:val="16"/>
        </w:rPr>
        <w:t xml:space="preserve"> </w:t>
      </w:r>
      <w:r>
        <w:rPr>
          <w:spacing w:val="10"/>
          <w:sz w:val="16"/>
        </w:rPr>
        <w:t xml:space="preserve">p.   </w:t>
      </w:r>
      <w:r>
        <w:rPr>
          <w:spacing w:val="17"/>
          <w:sz w:val="16"/>
        </w:rPr>
        <w:t>1231-1238.  Disponível</w:t>
      </w:r>
      <w:r>
        <w:rPr>
          <w:spacing w:val="16"/>
          <w:sz w:val="16"/>
        </w:rPr>
        <w:t xml:space="preserve"> </w:t>
      </w:r>
      <w:r>
        <w:rPr>
          <w:spacing w:val="13"/>
          <w:sz w:val="16"/>
        </w:rPr>
        <w:t>em:</w:t>
      </w:r>
      <w:r>
        <w:rPr>
          <w:spacing w:val="-22"/>
          <w:sz w:val="16"/>
        </w:rPr>
        <w:t xml:space="preserve"> </w:t>
      </w:r>
    </w:p>
    <w:p w:rsidR="00D81F69" w:rsidRDefault="00D81F69">
      <w:pPr>
        <w:spacing w:before="56" w:line="312" w:lineRule="auto"/>
        <w:ind w:left="100" w:right="92"/>
        <w:jc w:val="both"/>
        <w:rPr>
          <w:sz w:val="16"/>
        </w:rPr>
      </w:pPr>
      <w:hyperlink r:id="rId842">
        <w:r w:rsidR="00330118">
          <w:rPr>
            <w:sz w:val="16"/>
          </w:rPr>
          <w:t>&lt;http://marte.dpi.inpe.br/col/dpi.inpe.br/sbsr@80/2008/11.17.21.53.31/</w:t>
        </w:r>
      </w:hyperlink>
      <w:r w:rsidR="00330118">
        <w:rPr>
          <w:sz w:val="16"/>
        </w:rPr>
        <w:t xml:space="preserve"> doc/1231-1238.pdf&gt;. Acesso em: 18 out. 2010.</w:t>
      </w:r>
    </w:p>
    <w:p w:rsidR="00D81F69" w:rsidRDefault="00330118">
      <w:pPr>
        <w:spacing w:before="2" w:line="312" w:lineRule="auto"/>
        <w:ind w:left="100" w:right="64"/>
        <w:jc w:val="both"/>
        <w:rPr>
          <w:sz w:val="16"/>
        </w:rPr>
      </w:pPr>
      <w:r>
        <w:rPr>
          <w:sz w:val="16"/>
        </w:rPr>
        <w:t>BRASIL MINERAL. Empresa de mineração investirá R$ 30 milhões em pesquisas em Sergipe, 15 jul. 2009. In: Mining.com. Disponível e</w:t>
      </w:r>
      <w:r>
        <w:rPr>
          <w:sz w:val="16"/>
        </w:rPr>
        <w:t xml:space="preserve">m: </w:t>
      </w:r>
      <w:hyperlink r:id="rId843">
        <w:r>
          <w:rPr>
            <w:sz w:val="16"/>
          </w:rPr>
          <w:t>&lt;http://noticiasmineracao.mining.com/2009/07/15/empresa-de-</w:t>
        </w:r>
      </w:hyperlink>
      <w:r>
        <w:rPr>
          <w:sz w:val="16"/>
        </w:rPr>
        <w:t xml:space="preserve"> </w:t>
      </w:r>
      <w:r>
        <w:rPr>
          <w:spacing w:val="10"/>
          <w:sz w:val="16"/>
        </w:rPr>
        <w:t xml:space="preserve">mineracao-investira-r-30-milhoes-em-pesquisas-em-sergipe/&gt;. </w:t>
      </w:r>
      <w:r>
        <w:rPr>
          <w:spacing w:val="7"/>
          <w:sz w:val="16"/>
        </w:rPr>
        <w:t xml:space="preserve">Acesso </w:t>
      </w:r>
      <w:r>
        <w:rPr>
          <w:spacing w:val="5"/>
          <w:sz w:val="16"/>
        </w:rPr>
        <w:t xml:space="preserve">em: 18 </w:t>
      </w:r>
      <w:r>
        <w:rPr>
          <w:spacing w:val="6"/>
          <w:sz w:val="16"/>
        </w:rPr>
        <w:t xml:space="preserve">out. </w:t>
      </w:r>
      <w:r>
        <w:rPr>
          <w:spacing w:val="10"/>
          <w:sz w:val="16"/>
        </w:rPr>
        <w:t>2010.</w:t>
      </w:r>
    </w:p>
    <w:p w:rsidR="00D81F69" w:rsidRPr="00392EAD" w:rsidRDefault="00330118">
      <w:pPr>
        <w:tabs>
          <w:tab w:val="left" w:pos="635"/>
        </w:tabs>
        <w:spacing w:before="4" w:line="312" w:lineRule="auto"/>
        <w:ind w:left="100" w:right="91"/>
        <w:jc w:val="both"/>
        <w:rPr>
          <w:sz w:val="16"/>
          <w:lang w:val="pt-BR"/>
        </w:rPr>
      </w:pPr>
      <w:r>
        <w:rPr>
          <w:sz w:val="16"/>
          <w:u w:val="single"/>
        </w:rPr>
        <w:t xml:space="preserve"> </w:t>
      </w:r>
      <w:r>
        <w:rPr>
          <w:sz w:val="16"/>
          <w:u w:val="single"/>
        </w:rPr>
        <w:tab/>
      </w:r>
      <w:r w:rsidRPr="00392EAD">
        <w:rPr>
          <w:sz w:val="16"/>
          <w:lang w:val="pt-BR"/>
        </w:rPr>
        <w:t xml:space="preserve">. Fertilizantes: Vale quer resposta da Petrobras sobre Taquari- Vassouras. In: Brasil Mineral OnLine n°464, 11 ago, 2010. Disponível em: </w:t>
      </w:r>
      <w:hyperlink r:id="rId844">
        <w:r w:rsidRPr="00392EAD">
          <w:rPr>
            <w:sz w:val="16"/>
            <w:lang w:val="pt-BR"/>
          </w:rPr>
          <w:t>&lt;http://www.brasilmineral.com.br/BM/defa</w:t>
        </w:r>
        <w:r w:rsidRPr="00392EAD">
          <w:rPr>
            <w:sz w:val="16"/>
            <w:lang w:val="pt-BR"/>
          </w:rPr>
          <w:t>ult.asp?busca=Taquari-</w:t>
        </w:r>
      </w:hyperlink>
      <w:r w:rsidRPr="00392EAD">
        <w:rPr>
          <w:sz w:val="16"/>
          <w:lang w:val="pt-BR"/>
        </w:rPr>
        <w:t xml:space="preserve"> Vassouras&amp;image.x=23&amp;image.y=9&gt;. Acesso em: 18 out.</w:t>
      </w:r>
      <w:r w:rsidRPr="00392EAD">
        <w:rPr>
          <w:spacing w:val="8"/>
          <w:sz w:val="16"/>
          <w:lang w:val="pt-BR"/>
        </w:rPr>
        <w:t xml:space="preserve"> </w:t>
      </w:r>
      <w:r w:rsidRPr="00392EAD">
        <w:rPr>
          <w:sz w:val="16"/>
          <w:lang w:val="pt-BR"/>
        </w:rPr>
        <w:t>2010.</w:t>
      </w:r>
    </w:p>
    <w:p w:rsidR="00D81F69" w:rsidRDefault="00330118">
      <w:pPr>
        <w:spacing w:before="3" w:line="312" w:lineRule="auto"/>
        <w:ind w:left="100" w:right="86"/>
        <w:jc w:val="both"/>
        <w:rPr>
          <w:sz w:val="16"/>
        </w:rPr>
      </w:pPr>
      <w:r w:rsidRPr="00392EAD">
        <w:rPr>
          <w:sz w:val="16"/>
          <w:lang w:val="pt-BR"/>
        </w:rPr>
        <w:t>CASTILHOS, Zuleica Carmem. Visita à mina de potássio de Taquari- Vassouras, que explora o minério de silvinita, no município de Rosário do Catete, estado de Sergipe, a 40 km d</w:t>
      </w:r>
      <w:r w:rsidRPr="00392EAD">
        <w:rPr>
          <w:sz w:val="16"/>
          <w:lang w:val="pt-BR"/>
        </w:rPr>
        <w:t xml:space="preserve">e Aracaju. </w:t>
      </w:r>
      <w:r>
        <w:rPr>
          <w:sz w:val="16"/>
        </w:rPr>
        <w:t>Relatório de viagem, no período de 19 a 21 mar. 2009. Cetem, 2009.</w:t>
      </w:r>
    </w:p>
    <w:p w:rsidR="00D81F69" w:rsidRPr="00392EAD" w:rsidRDefault="00330118">
      <w:pPr>
        <w:spacing w:before="3" w:line="312" w:lineRule="auto"/>
        <w:ind w:left="100" w:right="56"/>
        <w:jc w:val="both"/>
        <w:rPr>
          <w:sz w:val="16"/>
          <w:lang w:val="pt-BR"/>
        </w:rPr>
      </w:pPr>
      <w:r w:rsidRPr="00392EAD">
        <w:rPr>
          <w:spacing w:val="3"/>
          <w:sz w:val="16"/>
          <w:lang w:val="pt-BR"/>
        </w:rPr>
        <w:t xml:space="preserve">IBGE, Instituto Brasileiro </w:t>
      </w:r>
      <w:r w:rsidRPr="00392EAD">
        <w:rPr>
          <w:spacing w:val="1"/>
          <w:sz w:val="16"/>
          <w:lang w:val="pt-BR"/>
        </w:rPr>
        <w:t xml:space="preserve">de </w:t>
      </w:r>
      <w:r w:rsidRPr="00392EAD">
        <w:rPr>
          <w:spacing w:val="3"/>
          <w:sz w:val="16"/>
          <w:lang w:val="pt-BR"/>
        </w:rPr>
        <w:t xml:space="preserve">Geografia </w:t>
      </w:r>
      <w:r w:rsidRPr="00392EAD">
        <w:rPr>
          <w:sz w:val="16"/>
          <w:lang w:val="pt-BR"/>
        </w:rPr>
        <w:t xml:space="preserve">e </w:t>
      </w:r>
      <w:r w:rsidRPr="00392EAD">
        <w:rPr>
          <w:spacing w:val="3"/>
          <w:sz w:val="16"/>
          <w:lang w:val="pt-BR"/>
        </w:rPr>
        <w:t xml:space="preserve">Estatística. Rosário </w:t>
      </w:r>
      <w:r w:rsidRPr="00392EAD">
        <w:rPr>
          <w:spacing w:val="5"/>
          <w:sz w:val="16"/>
          <w:lang w:val="pt-BR"/>
        </w:rPr>
        <w:t xml:space="preserve">do </w:t>
      </w:r>
      <w:r w:rsidRPr="00392EAD">
        <w:rPr>
          <w:spacing w:val="13"/>
          <w:sz w:val="16"/>
          <w:lang w:val="pt-BR"/>
        </w:rPr>
        <w:t xml:space="preserve">Catete  </w:t>
      </w:r>
      <w:r w:rsidRPr="00392EAD">
        <w:rPr>
          <w:spacing w:val="12"/>
          <w:sz w:val="16"/>
          <w:lang w:val="pt-BR"/>
        </w:rPr>
        <w:t xml:space="preserve">(SE).  </w:t>
      </w:r>
      <w:r w:rsidRPr="00392EAD">
        <w:rPr>
          <w:spacing w:val="10"/>
          <w:sz w:val="16"/>
          <w:lang w:val="pt-BR"/>
        </w:rPr>
        <w:t xml:space="preserve">In: </w:t>
      </w:r>
      <w:r w:rsidRPr="00392EAD">
        <w:rPr>
          <w:spacing w:val="65"/>
          <w:sz w:val="16"/>
          <w:lang w:val="pt-BR"/>
        </w:rPr>
        <w:t xml:space="preserve"> </w:t>
      </w:r>
      <w:r w:rsidRPr="00392EAD">
        <w:rPr>
          <w:spacing w:val="11"/>
          <w:sz w:val="16"/>
          <w:lang w:val="pt-BR"/>
        </w:rPr>
        <w:t xml:space="preserve">IBGE   </w:t>
      </w:r>
      <w:r w:rsidRPr="00392EAD">
        <w:rPr>
          <w:spacing w:val="13"/>
          <w:sz w:val="16"/>
          <w:lang w:val="pt-BR"/>
        </w:rPr>
        <w:t xml:space="preserve">Cidades,  </w:t>
      </w:r>
      <w:r w:rsidRPr="00392EAD">
        <w:rPr>
          <w:spacing w:val="12"/>
          <w:sz w:val="16"/>
          <w:lang w:val="pt-BR"/>
        </w:rPr>
        <w:t xml:space="preserve">2010.  </w:t>
      </w:r>
      <w:r w:rsidRPr="00392EAD">
        <w:rPr>
          <w:spacing w:val="15"/>
          <w:sz w:val="16"/>
          <w:lang w:val="pt-BR"/>
        </w:rPr>
        <w:t xml:space="preserve">Disponível  </w:t>
      </w:r>
      <w:r w:rsidRPr="00392EAD">
        <w:rPr>
          <w:spacing w:val="10"/>
          <w:sz w:val="16"/>
          <w:lang w:val="pt-BR"/>
        </w:rPr>
        <w:t>em:</w:t>
      </w:r>
      <w:r w:rsidRPr="00392EAD">
        <w:rPr>
          <w:spacing w:val="-26"/>
          <w:sz w:val="16"/>
          <w:lang w:val="pt-BR"/>
        </w:rPr>
        <w:t xml:space="preserve"> </w:t>
      </w:r>
    </w:p>
    <w:p w:rsidR="00D81F69" w:rsidRPr="00392EAD" w:rsidRDefault="00D81F69">
      <w:pPr>
        <w:spacing w:before="2"/>
        <w:ind w:left="100"/>
        <w:jc w:val="both"/>
        <w:rPr>
          <w:sz w:val="16"/>
          <w:lang w:val="pt-BR"/>
        </w:rPr>
      </w:pPr>
      <w:hyperlink r:id="rId845">
        <w:r w:rsidR="00330118" w:rsidRPr="00392EAD">
          <w:rPr>
            <w:sz w:val="16"/>
            <w:lang w:val="pt-BR"/>
          </w:rPr>
          <w:t>&lt;http://www.ibge.gov.br/cidadesat/xtras/perfil.php?codmun=280610&amp;r</w:t>
        </w:r>
      </w:hyperlink>
    </w:p>
    <w:p w:rsidR="00D81F69" w:rsidRPr="00392EAD" w:rsidRDefault="00330118">
      <w:pPr>
        <w:spacing w:before="56"/>
        <w:ind w:left="100"/>
        <w:jc w:val="both"/>
        <w:rPr>
          <w:sz w:val="16"/>
          <w:lang w:val="pt-BR"/>
        </w:rPr>
      </w:pPr>
      <w:r w:rsidRPr="00392EAD">
        <w:rPr>
          <w:sz w:val="16"/>
          <w:lang w:val="pt-BR"/>
        </w:rPr>
        <w:t>=2&gt;. Acesso em: 27 out. 2011.</w:t>
      </w:r>
    </w:p>
    <w:p w:rsidR="00D81F69" w:rsidRPr="00392EAD" w:rsidRDefault="00330118">
      <w:pPr>
        <w:spacing w:before="56" w:line="312" w:lineRule="auto"/>
        <w:ind w:left="100" w:right="88"/>
        <w:jc w:val="both"/>
        <w:rPr>
          <w:sz w:val="16"/>
          <w:lang w:val="pt-BR"/>
        </w:rPr>
      </w:pPr>
      <w:r w:rsidRPr="00392EAD">
        <w:rPr>
          <w:sz w:val="16"/>
          <w:lang w:val="pt-BR"/>
        </w:rPr>
        <w:t>EMBRAPA. Oficina debate problemas da bacia do Japaratuba em Sergipe, 07 out. 2010. Disponível em:</w:t>
      </w:r>
    </w:p>
    <w:p w:rsidR="00D81F69" w:rsidRPr="00392EAD" w:rsidRDefault="00330118">
      <w:pPr>
        <w:spacing w:before="70"/>
        <w:ind w:left="100"/>
        <w:jc w:val="both"/>
        <w:rPr>
          <w:sz w:val="16"/>
          <w:lang w:val="pt-BR"/>
        </w:rPr>
      </w:pPr>
      <w:r w:rsidRPr="00392EAD">
        <w:rPr>
          <w:lang w:val="pt-BR"/>
        </w:rPr>
        <w:br w:type="column"/>
      </w:r>
      <w:hyperlink r:id="rId846">
        <w:r w:rsidRPr="00392EAD">
          <w:rPr>
            <w:sz w:val="16"/>
            <w:lang w:val="pt-BR"/>
          </w:rPr>
          <w:t>&lt;http://www.embrapa.gov.br/embrapa/imprensa/noticias/2010/outubro</w:t>
        </w:r>
      </w:hyperlink>
    </w:p>
    <w:p w:rsidR="00D81F69" w:rsidRPr="00392EAD" w:rsidRDefault="00330118">
      <w:pPr>
        <w:spacing w:before="56" w:line="312" w:lineRule="auto"/>
        <w:ind w:left="100" w:right="212"/>
        <w:jc w:val="both"/>
        <w:rPr>
          <w:sz w:val="16"/>
          <w:lang w:val="pt-BR"/>
        </w:rPr>
      </w:pPr>
      <w:r w:rsidRPr="00392EAD">
        <w:rPr>
          <w:sz w:val="16"/>
          <w:lang w:val="pt-BR"/>
        </w:rPr>
        <w:t>/1a-semana/oficina-debate-problemas-da-bacia-do-japaratuba-em- sergipe&gt;. Acesso em: 18 out.</w:t>
      </w:r>
    </w:p>
    <w:p w:rsidR="00D81F69" w:rsidRPr="00392EAD" w:rsidRDefault="00330118">
      <w:pPr>
        <w:spacing w:before="1" w:line="312" w:lineRule="auto"/>
        <w:ind w:left="100" w:right="174"/>
        <w:jc w:val="both"/>
        <w:rPr>
          <w:sz w:val="16"/>
          <w:lang w:val="pt-BR"/>
        </w:rPr>
      </w:pPr>
      <w:r w:rsidRPr="00392EAD">
        <w:rPr>
          <w:spacing w:val="5"/>
          <w:sz w:val="16"/>
          <w:lang w:val="pt-BR"/>
        </w:rPr>
        <w:t xml:space="preserve">MONITOR MERCANTIL. </w:t>
      </w:r>
      <w:r w:rsidRPr="00392EAD">
        <w:rPr>
          <w:spacing w:val="3"/>
          <w:sz w:val="16"/>
          <w:lang w:val="pt-BR"/>
        </w:rPr>
        <w:t xml:space="preserve">Vale </w:t>
      </w:r>
      <w:r w:rsidRPr="00392EAD">
        <w:rPr>
          <w:spacing w:val="5"/>
          <w:sz w:val="16"/>
          <w:lang w:val="pt-BR"/>
        </w:rPr>
        <w:t>contesta ministr</w:t>
      </w:r>
      <w:r w:rsidRPr="00392EAD">
        <w:rPr>
          <w:spacing w:val="5"/>
          <w:sz w:val="16"/>
          <w:lang w:val="pt-BR"/>
        </w:rPr>
        <w:t xml:space="preserve">o </w:t>
      </w:r>
      <w:r w:rsidRPr="00392EAD">
        <w:rPr>
          <w:spacing w:val="3"/>
          <w:sz w:val="16"/>
          <w:lang w:val="pt-BR"/>
        </w:rPr>
        <w:t xml:space="preserve">sobre mina </w:t>
      </w:r>
      <w:r w:rsidRPr="00392EAD">
        <w:rPr>
          <w:spacing w:val="5"/>
          <w:sz w:val="16"/>
          <w:lang w:val="pt-BR"/>
        </w:rPr>
        <w:t xml:space="preserve">de </w:t>
      </w:r>
      <w:r w:rsidRPr="00392EAD">
        <w:rPr>
          <w:spacing w:val="16"/>
          <w:sz w:val="16"/>
          <w:lang w:val="pt-BR"/>
        </w:rPr>
        <w:t xml:space="preserve">potássio </w:t>
      </w:r>
      <w:r w:rsidRPr="00392EAD">
        <w:rPr>
          <w:spacing w:val="10"/>
          <w:sz w:val="16"/>
          <w:lang w:val="pt-BR"/>
        </w:rPr>
        <w:t xml:space="preserve">em </w:t>
      </w:r>
      <w:r w:rsidRPr="00392EAD">
        <w:rPr>
          <w:spacing w:val="16"/>
          <w:sz w:val="16"/>
          <w:lang w:val="pt-BR"/>
        </w:rPr>
        <w:t xml:space="preserve">Sergipe, </w:t>
      </w:r>
      <w:r w:rsidRPr="00392EAD">
        <w:rPr>
          <w:spacing w:val="10"/>
          <w:sz w:val="16"/>
          <w:lang w:val="pt-BR"/>
        </w:rPr>
        <w:t xml:space="preserve">24 </w:t>
      </w:r>
      <w:r w:rsidRPr="00392EAD">
        <w:rPr>
          <w:spacing w:val="15"/>
          <w:sz w:val="16"/>
          <w:lang w:val="pt-BR"/>
        </w:rPr>
        <w:t>mar. 2010.</w:t>
      </w:r>
      <w:r w:rsidRPr="00392EAD">
        <w:rPr>
          <w:spacing w:val="75"/>
          <w:sz w:val="16"/>
          <w:lang w:val="pt-BR"/>
        </w:rPr>
        <w:t xml:space="preserve"> </w:t>
      </w:r>
      <w:r w:rsidRPr="00392EAD">
        <w:rPr>
          <w:spacing w:val="17"/>
          <w:sz w:val="16"/>
          <w:lang w:val="pt-BR"/>
        </w:rPr>
        <w:t>Disponível</w:t>
      </w:r>
      <w:r w:rsidRPr="00392EAD">
        <w:rPr>
          <w:spacing w:val="16"/>
          <w:sz w:val="16"/>
          <w:lang w:val="pt-BR"/>
        </w:rPr>
        <w:t xml:space="preserve"> </w:t>
      </w:r>
      <w:r w:rsidRPr="00392EAD">
        <w:rPr>
          <w:spacing w:val="12"/>
          <w:sz w:val="16"/>
          <w:lang w:val="pt-BR"/>
        </w:rPr>
        <w:t>em:</w:t>
      </w:r>
      <w:r w:rsidRPr="00392EAD">
        <w:rPr>
          <w:spacing w:val="-24"/>
          <w:sz w:val="16"/>
          <w:lang w:val="pt-BR"/>
        </w:rPr>
        <w:t xml:space="preserve"> </w:t>
      </w:r>
    </w:p>
    <w:p w:rsidR="00D81F69" w:rsidRDefault="00D81F69">
      <w:pPr>
        <w:spacing w:before="2" w:line="312" w:lineRule="auto"/>
        <w:ind w:left="100" w:right="196"/>
        <w:jc w:val="both"/>
        <w:rPr>
          <w:sz w:val="16"/>
        </w:rPr>
      </w:pPr>
      <w:hyperlink r:id="rId847">
        <w:r w:rsidR="00330118" w:rsidRPr="00392EAD">
          <w:rPr>
            <w:sz w:val="16"/>
            <w:lang w:val="pt-BR"/>
          </w:rPr>
          <w:t>&lt;http://www.monitormercantil.com.br/mostranoticia.php?id=76619&gt;.</w:t>
        </w:r>
      </w:hyperlink>
      <w:r w:rsidR="00330118" w:rsidRPr="00392EAD">
        <w:rPr>
          <w:sz w:val="16"/>
          <w:lang w:val="pt-BR"/>
        </w:rPr>
        <w:t xml:space="preserve"> </w:t>
      </w:r>
      <w:r w:rsidR="00330118">
        <w:rPr>
          <w:sz w:val="16"/>
        </w:rPr>
        <w:t>Acesso em: 18 out. 2010.</w:t>
      </w:r>
    </w:p>
    <w:p w:rsidR="00D81F69" w:rsidRPr="00392EAD" w:rsidRDefault="00330118">
      <w:pPr>
        <w:spacing w:before="2" w:line="312" w:lineRule="auto"/>
        <w:ind w:left="100" w:right="193"/>
        <w:jc w:val="both"/>
        <w:rPr>
          <w:sz w:val="16"/>
          <w:lang w:val="pt-BR"/>
        </w:rPr>
      </w:pPr>
      <w:r w:rsidRPr="00392EAD">
        <w:rPr>
          <w:sz w:val="16"/>
          <w:lang w:val="pt-BR"/>
        </w:rPr>
        <w:t>MONTE, Marisa Bezerra de Mello; ANDRADE, Marcelo Corrêa; BALTAR, Carlos Adolpho M.; MOURA, Rogério Luiz. Cloreto de potássio – Mina de Taquari-Vassouras. Comunicação Técnica elaborada para o livro Usina de Beneficiamento de Minérios do Brasil, Centro de Te</w:t>
      </w:r>
      <w:r w:rsidRPr="00392EAD">
        <w:rPr>
          <w:sz w:val="16"/>
          <w:lang w:val="pt-BR"/>
        </w:rPr>
        <w:t>cnologia Mineral (Cetem), dez. 2002. Disponível em:</w:t>
      </w:r>
    </w:p>
    <w:p w:rsidR="00D81F69" w:rsidRDefault="00D81F69">
      <w:pPr>
        <w:spacing w:before="4" w:line="312" w:lineRule="auto"/>
        <w:ind w:left="100" w:right="191"/>
        <w:jc w:val="both"/>
        <w:rPr>
          <w:sz w:val="16"/>
        </w:rPr>
      </w:pPr>
      <w:hyperlink r:id="rId848">
        <w:r w:rsidR="00330118" w:rsidRPr="00392EAD">
          <w:rPr>
            <w:sz w:val="16"/>
            <w:lang w:val="pt-BR"/>
          </w:rPr>
          <w:t>&lt;http://www.cetem.gov.br/publicacao/CTs/CT2002-158-00.pdf&gt;.</w:t>
        </w:r>
      </w:hyperlink>
      <w:r w:rsidR="00330118" w:rsidRPr="00392EAD">
        <w:rPr>
          <w:sz w:val="16"/>
          <w:lang w:val="pt-BR"/>
        </w:rPr>
        <w:t xml:space="preserve"> </w:t>
      </w:r>
      <w:r w:rsidR="00330118">
        <w:rPr>
          <w:sz w:val="16"/>
        </w:rPr>
        <w:t>Acesso em: 18 out. 2010.</w:t>
      </w:r>
    </w:p>
    <w:p w:rsidR="00D81F69" w:rsidRPr="00392EAD" w:rsidRDefault="00330118">
      <w:pPr>
        <w:spacing w:before="1" w:line="312" w:lineRule="auto"/>
        <w:ind w:left="100" w:right="187"/>
        <w:jc w:val="both"/>
        <w:rPr>
          <w:sz w:val="16"/>
          <w:lang w:val="pt-BR"/>
        </w:rPr>
      </w:pPr>
      <w:r w:rsidRPr="00392EAD">
        <w:rPr>
          <w:sz w:val="16"/>
          <w:lang w:val="pt-BR"/>
        </w:rPr>
        <w:t xml:space="preserve">NASCIMENTO, Marisa; MONTE, Marisa Bezerra de </w:t>
      </w:r>
      <w:r w:rsidRPr="00392EAD">
        <w:rPr>
          <w:sz w:val="16"/>
          <w:lang w:val="pt-BR"/>
        </w:rPr>
        <w:t>Mello. LOUREIRO, Francisco E. Lapido. Agrominerais - Potássio. Comunicação Técnica elaborada para o livro Rochas &amp; Minerais Industriais: Usos e Especificações, p.173-199. Cap. 8, Cetem, nov.</w:t>
      </w:r>
    </w:p>
    <w:p w:rsidR="00D81F69" w:rsidRPr="00392EAD" w:rsidRDefault="00330118">
      <w:pPr>
        <w:tabs>
          <w:tab w:val="left" w:pos="1785"/>
          <w:tab w:val="left" w:pos="4548"/>
        </w:tabs>
        <w:spacing w:before="4"/>
        <w:ind w:left="100"/>
        <w:jc w:val="both"/>
        <w:rPr>
          <w:sz w:val="16"/>
          <w:lang w:val="pt-BR"/>
        </w:rPr>
      </w:pPr>
      <w:r w:rsidRPr="00392EAD">
        <w:rPr>
          <w:sz w:val="16"/>
          <w:lang w:val="pt-BR"/>
        </w:rPr>
        <w:t xml:space="preserve">2   0   0  </w:t>
      </w:r>
      <w:r w:rsidRPr="00392EAD">
        <w:rPr>
          <w:spacing w:val="35"/>
          <w:sz w:val="16"/>
          <w:lang w:val="pt-BR"/>
        </w:rPr>
        <w:t xml:space="preserve"> </w:t>
      </w:r>
      <w:r w:rsidRPr="00392EAD">
        <w:rPr>
          <w:sz w:val="16"/>
          <w:lang w:val="pt-BR"/>
        </w:rPr>
        <w:t xml:space="preserve">5  </w:t>
      </w:r>
      <w:r w:rsidRPr="00392EAD">
        <w:rPr>
          <w:spacing w:val="10"/>
          <w:sz w:val="16"/>
          <w:lang w:val="pt-BR"/>
        </w:rPr>
        <w:t xml:space="preserve"> </w:t>
      </w:r>
      <w:r w:rsidRPr="00392EAD">
        <w:rPr>
          <w:sz w:val="16"/>
          <w:lang w:val="pt-BR"/>
        </w:rPr>
        <w:t>.</w:t>
      </w:r>
      <w:r w:rsidRPr="00392EAD">
        <w:rPr>
          <w:sz w:val="16"/>
          <w:lang w:val="pt-BR"/>
        </w:rPr>
        <w:tab/>
        <w:t xml:space="preserve">D  </w:t>
      </w:r>
      <w:r w:rsidRPr="00392EAD">
        <w:rPr>
          <w:spacing w:val="10"/>
          <w:sz w:val="16"/>
          <w:lang w:val="pt-BR"/>
        </w:rPr>
        <w:t xml:space="preserve"> </w:t>
      </w:r>
      <w:r w:rsidRPr="00392EAD">
        <w:rPr>
          <w:sz w:val="16"/>
          <w:lang w:val="pt-BR"/>
        </w:rPr>
        <w:t xml:space="preserve">i  </w:t>
      </w:r>
      <w:r w:rsidRPr="00392EAD">
        <w:rPr>
          <w:spacing w:val="10"/>
          <w:sz w:val="16"/>
          <w:lang w:val="pt-BR"/>
        </w:rPr>
        <w:t xml:space="preserve"> </w:t>
      </w:r>
      <w:r w:rsidRPr="00392EAD">
        <w:rPr>
          <w:sz w:val="16"/>
          <w:lang w:val="pt-BR"/>
        </w:rPr>
        <w:t xml:space="preserve">s  </w:t>
      </w:r>
      <w:r w:rsidRPr="00392EAD">
        <w:rPr>
          <w:spacing w:val="10"/>
          <w:sz w:val="16"/>
          <w:lang w:val="pt-BR"/>
        </w:rPr>
        <w:t xml:space="preserve"> </w:t>
      </w:r>
      <w:r w:rsidRPr="00392EAD">
        <w:rPr>
          <w:sz w:val="16"/>
          <w:lang w:val="pt-BR"/>
        </w:rPr>
        <w:t xml:space="preserve">p  </w:t>
      </w:r>
      <w:r w:rsidRPr="00392EAD">
        <w:rPr>
          <w:spacing w:val="10"/>
          <w:sz w:val="16"/>
          <w:lang w:val="pt-BR"/>
        </w:rPr>
        <w:t xml:space="preserve"> </w:t>
      </w:r>
      <w:r w:rsidRPr="00392EAD">
        <w:rPr>
          <w:sz w:val="16"/>
          <w:lang w:val="pt-BR"/>
        </w:rPr>
        <w:t xml:space="preserve">o  </w:t>
      </w:r>
      <w:r w:rsidRPr="00392EAD">
        <w:rPr>
          <w:spacing w:val="10"/>
          <w:sz w:val="16"/>
          <w:lang w:val="pt-BR"/>
        </w:rPr>
        <w:t xml:space="preserve"> </w:t>
      </w:r>
      <w:r w:rsidRPr="00392EAD">
        <w:rPr>
          <w:sz w:val="16"/>
          <w:lang w:val="pt-BR"/>
        </w:rPr>
        <w:t xml:space="preserve">n  </w:t>
      </w:r>
      <w:r w:rsidRPr="00392EAD">
        <w:rPr>
          <w:spacing w:val="10"/>
          <w:sz w:val="16"/>
          <w:lang w:val="pt-BR"/>
        </w:rPr>
        <w:t xml:space="preserve"> </w:t>
      </w:r>
      <w:r w:rsidRPr="00392EAD">
        <w:rPr>
          <w:sz w:val="16"/>
          <w:lang w:val="pt-BR"/>
        </w:rPr>
        <w:t xml:space="preserve">í  </w:t>
      </w:r>
      <w:r w:rsidRPr="00392EAD">
        <w:rPr>
          <w:spacing w:val="10"/>
          <w:sz w:val="16"/>
          <w:lang w:val="pt-BR"/>
        </w:rPr>
        <w:t xml:space="preserve"> </w:t>
      </w:r>
      <w:r w:rsidRPr="00392EAD">
        <w:rPr>
          <w:sz w:val="16"/>
          <w:lang w:val="pt-BR"/>
        </w:rPr>
        <w:t xml:space="preserve">v  </w:t>
      </w:r>
      <w:r w:rsidRPr="00392EAD">
        <w:rPr>
          <w:spacing w:val="10"/>
          <w:sz w:val="16"/>
          <w:lang w:val="pt-BR"/>
        </w:rPr>
        <w:t xml:space="preserve"> </w:t>
      </w:r>
      <w:r w:rsidRPr="00392EAD">
        <w:rPr>
          <w:sz w:val="16"/>
          <w:lang w:val="pt-BR"/>
        </w:rPr>
        <w:t xml:space="preserve">e  </w:t>
      </w:r>
      <w:r w:rsidRPr="00392EAD">
        <w:rPr>
          <w:spacing w:val="10"/>
          <w:sz w:val="16"/>
          <w:lang w:val="pt-BR"/>
        </w:rPr>
        <w:t xml:space="preserve"> </w:t>
      </w:r>
      <w:r w:rsidRPr="00392EAD">
        <w:rPr>
          <w:sz w:val="16"/>
          <w:lang w:val="pt-BR"/>
        </w:rPr>
        <w:t>l</w:t>
      </w:r>
      <w:r w:rsidRPr="00392EAD">
        <w:rPr>
          <w:sz w:val="16"/>
          <w:lang w:val="pt-BR"/>
        </w:rPr>
        <w:tab/>
        <w:t xml:space="preserve">e   m  </w:t>
      </w:r>
      <w:r w:rsidRPr="00392EAD">
        <w:rPr>
          <w:spacing w:val="22"/>
          <w:sz w:val="16"/>
          <w:lang w:val="pt-BR"/>
        </w:rPr>
        <w:t xml:space="preserve"> </w:t>
      </w:r>
      <w:r w:rsidRPr="00392EAD">
        <w:rPr>
          <w:sz w:val="16"/>
          <w:lang w:val="pt-BR"/>
        </w:rPr>
        <w:t>:</w:t>
      </w:r>
    </w:p>
    <w:p w:rsidR="00D81F69" w:rsidRDefault="00D81F69">
      <w:pPr>
        <w:spacing w:before="56" w:line="312" w:lineRule="auto"/>
        <w:ind w:left="100" w:right="191"/>
        <w:jc w:val="both"/>
        <w:rPr>
          <w:sz w:val="16"/>
        </w:rPr>
      </w:pPr>
      <w:hyperlink r:id="rId849">
        <w:r w:rsidR="00330118" w:rsidRPr="00392EAD">
          <w:rPr>
            <w:sz w:val="16"/>
            <w:lang w:val="pt-BR"/>
          </w:rPr>
          <w:t>&lt;http://www.cetem.gov.br/publicacao/CTs/CT2005-110-00.pdf&gt;.</w:t>
        </w:r>
      </w:hyperlink>
      <w:r w:rsidR="00330118" w:rsidRPr="00392EAD">
        <w:rPr>
          <w:sz w:val="16"/>
          <w:lang w:val="pt-BR"/>
        </w:rPr>
        <w:t xml:space="preserve"> </w:t>
      </w:r>
      <w:r w:rsidR="00330118">
        <w:rPr>
          <w:sz w:val="16"/>
        </w:rPr>
        <w:t>Acesso em: 18 out. 2010.</w:t>
      </w:r>
    </w:p>
    <w:p w:rsidR="00D81F69" w:rsidRPr="00392EAD" w:rsidRDefault="00330118">
      <w:pPr>
        <w:spacing w:before="1" w:line="312" w:lineRule="auto"/>
        <w:ind w:left="100" w:right="173"/>
        <w:jc w:val="both"/>
        <w:rPr>
          <w:sz w:val="16"/>
          <w:lang w:val="pt-BR"/>
        </w:rPr>
      </w:pPr>
      <w:r w:rsidRPr="00392EAD">
        <w:rPr>
          <w:sz w:val="16"/>
          <w:lang w:val="pt-BR"/>
        </w:rPr>
        <w:t xml:space="preserve">OLIVEIRA, Luiz Alberto Melo de. Potássio. Departamento Nacional de </w:t>
      </w:r>
      <w:r w:rsidRPr="00392EAD">
        <w:rPr>
          <w:spacing w:val="22"/>
          <w:sz w:val="16"/>
          <w:lang w:val="pt-BR"/>
        </w:rPr>
        <w:t xml:space="preserve">Produção Mineral, </w:t>
      </w:r>
      <w:r w:rsidRPr="00392EAD">
        <w:rPr>
          <w:spacing w:val="20"/>
          <w:sz w:val="16"/>
          <w:lang w:val="pt-BR"/>
        </w:rPr>
        <w:t>DNPM,</w:t>
      </w:r>
      <w:r w:rsidRPr="00392EAD">
        <w:rPr>
          <w:spacing w:val="85"/>
          <w:sz w:val="16"/>
          <w:lang w:val="pt-BR"/>
        </w:rPr>
        <w:t xml:space="preserve"> </w:t>
      </w:r>
      <w:r w:rsidRPr="00392EAD">
        <w:rPr>
          <w:spacing w:val="20"/>
          <w:sz w:val="16"/>
          <w:lang w:val="pt-BR"/>
        </w:rPr>
        <w:t>2005.</w:t>
      </w:r>
      <w:r w:rsidRPr="00392EAD">
        <w:rPr>
          <w:spacing w:val="85"/>
          <w:sz w:val="16"/>
          <w:lang w:val="pt-BR"/>
        </w:rPr>
        <w:t xml:space="preserve"> </w:t>
      </w:r>
      <w:r w:rsidRPr="00392EAD">
        <w:rPr>
          <w:spacing w:val="23"/>
          <w:sz w:val="16"/>
          <w:lang w:val="pt-BR"/>
        </w:rPr>
        <w:t>Disponível</w:t>
      </w:r>
      <w:r w:rsidRPr="00392EAD">
        <w:rPr>
          <w:spacing w:val="75"/>
          <w:sz w:val="16"/>
          <w:lang w:val="pt-BR"/>
        </w:rPr>
        <w:t xml:space="preserve"> </w:t>
      </w:r>
      <w:r w:rsidRPr="00392EAD">
        <w:rPr>
          <w:spacing w:val="17"/>
          <w:sz w:val="16"/>
          <w:lang w:val="pt-BR"/>
        </w:rPr>
        <w:t>em:</w:t>
      </w:r>
      <w:r w:rsidRPr="00392EAD">
        <w:rPr>
          <w:spacing w:val="-16"/>
          <w:sz w:val="16"/>
          <w:lang w:val="pt-BR"/>
        </w:rPr>
        <w:t xml:space="preserve"> </w:t>
      </w:r>
    </w:p>
    <w:p w:rsidR="00D81F69" w:rsidRPr="00392EAD" w:rsidRDefault="00D81F69">
      <w:pPr>
        <w:spacing w:before="2" w:line="312" w:lineRule="auto"/>
        <w:ind w:left="100" w:right="159"/>
        <w:rPr>
          <w:sz w:val="16"/>
          <w:lang w:val="pt-BR"/>
        </w:rPr>
      </w:pPr>
      <w:hyperlink r:id="rId850">
        <w:r w:rsidR="00330118" w:rsidRPr="00392EAD">
          <w:rPr>
            <w:sz w:val="16"/>
            <w:lang w:val="pt-BR"/>
          </w:rPr>
          <w:t>&lt;http://www.dnpm.gov.br/assets/galeriadocumento/sumariomineral20</w:t>
        </w:r>
      </w:hyperlink>
      <w:r w:rsidR="00330118" w:rsidRPr="00392EAD">
        <w:rPr>
          <w:sz w:val="16"/>
          <w:lang w:val="pt-BR"/>
        </w:rPr>
        <w:t xml:space="preserve"> 05/POT%C3%81SSIO%202005rev.doc&gt;. </w:t>
      </w:r>
      <w:r w:rsidR="00330118">
        <w:rPr>
          <w:sz w:val="16"/>
        </w:rPr>
        <w:t xml:space="preserve">Acesso em: 18 out. 2010. OSWALD, Vivian; OLIVEIRA, Eliane. </w:t>
      </w:r>
      <w:r w:rsidR="00330118" w:rsidRPr="00392EAD">
        <w:rPr>
          <w:sz w:val="16"/>
          <w:lang w:val="pt-BR"/>
        </w:rPr>
        <w:t>D</w:t>
      </w:r>
      <w:r w:rsidR="00330118" w:rsidRPr="00392EAD">
        <w:rPr>
          <w:sz w:val="16"/>
          <w:lang w:val="pt-BR"/>
        </w:rPr>
        <w:t>ilma convoca Vale e Petrobras para agilizar exploração de cloreto de potássio. O Globo,</w:t>
      </w:r>
    </w:p>
    <w:p w:rsidR="00D81F69" w:rsidRPr="00392EAD" w:rsidRDefault="00330118">
      <w:pPr>
        <w:spacing w:before="3"/>
        <w:ind w:left="100"/>
        <w:jc w:val="both"/>
        <w:rPr>
          <w:sz w:val="16"/>
          <w:lang w:val="pt-BR"/>
        </w:rPr>
      </w:pPr>
      <w:r w:rsidRPr="00392EAD">
        <w:rPr>
          <w:sz w:val="16"/>
          <w:lang w:val="pt-BR"/>
        </w:rPr>
        <w:t xml:space="preserve">2 0         j u l .         2 0 1 1 .         D i s p o n í v e l         e m :  </w:t>
      </w:r>
    </w:p>
    <w:p w:rsidR="00D81F69" w:rsidRPr="00392EAD" w:rsidRDefault="00D81F69">
      <w:pPr>
        <w:spacing w:before="56" w:line="312" w:lineRule="auto"/>
        <w:ind w:left="100" w:right="209"/>
        <w:jc w:val="both"/>
        <w:rPr>
          <w:sz w:val="16"/>
          <w:lang w:val="pt-BR"/>
        </w:rPr>
      </w:pPr>
      <w:hyperlink r:id="rId851">
        <w:r w:rsidR="00330118" w:rsidRPr="00392EAD">
          <w:rPr>
            <w:sz w:val="16"/>
            <w:lang w:val="pt-BR"/>
          </w:rPr>
          <w:t>&lt;http:</w:t>
        </w:r>
        <w:r w:rsidR="00330118" w:rsidRPr="00392EAD">
          <w:rPr>
            <w:sz w:val="16"/>
            <w:lang w:val="pt-BR"/>
          </w:rPr>
          <w:t>//oglobo.globo.com/economia/mat/2011/07/20/dilma-convoca-</w:t>
        </w:r>
      </w:hyperlink>
      <w:r w:rsidR="00330118" w:rsidRPr="00392EAD">
        <w:rPr>
          <w:sz w:val="16"/>
          <w:lang w:val="pt-BR"/>
        </w:rPr>
        <w:t xml:space="preserve"> vale-petrobras-para-agilizar-exploracao-de-cloreto-de-potassio- 924948202.asp&gt;. Acesso em: 27 out. 2011.</w:t>
      </w:r>
    </w:p>
    <w:p w:rsidR="00D81F69" w:rsidRPr="00392EAD" w:rsidRDefault="00330118">
      <w:pPr>
        <w:spacing w:before="3" w:line="312" w:lineRule="auto"/>
        <w:ind w:left="100" w:right="137"/>
        <w:jc w:val="both"/>
        <w:rPr>
          <w:sz w:val="16"/>
          <w:lang w:val="pt-BR"/>
        </w:rPr>
      </w:pPr>
      <w:r w:rsidRPr="00392EAD">
        <w:rPr>
          <w:sz w:val="16"/>
          <w:lang w:val="pt-BR"/>
        </w:rPr>
        <w:t xml:space="preserve">PLENÁRIO. Déda conhece projeto que pretende ampliar a produção </w:t>
      </w:r>
      <w:r w:rsidRPr="00392EAD">
        <w:rPr>
          <w:spacing w:val="1"/>
          <w:sz w:val="16"/>
          <w:lang w:val="pt-BR"/>
        </w:rPr>
        <w:t xml:space="preserve">de </w:t>
      </w:r>
      <w:r w:rsidRPr="00392EAD">
        <w:rPr>
          <w:spacing w:val="3"/>
          <w:sz w:val="16"/>
          <w:lang w:val="pt-BR"/>
        </w:rPr>
        <w:t xml:space="preserve">potássio </w:t>
      </w:r>
      <w:r w:rsidRPr="00392EAD">
        <w:rPr>
          <w:spacing w:val="1"/>
          <w:sz w:val="16"/>
          <w:lang w:val="pt-BR"/>
        </w:rPr>
        <w:t xml:space="preserve">em  </w:t>
      </w:r>
      <w:r w:rsidRPr="00392EAD">
        <w:rPr>
          <w:spacing w:val="3"/>
          <w:sz w:val="16"/>
          <w:lang w:val="pt-BR"/>
        </w:rPr>
        <w:t xml:space="preserve">Sergipe, </w:t>
      </w:r>
      <w:r w:rsidRPr="00392EAD">
        <w:rPr>
          <w:spacing w:val="1"/>
          <w:sz w:val="16"/>
          <w:lang w:val="pt-BR"/>
        </w:rPr>
        <w:t xml:space="preserve">11  </w:t>
      </w:r>
      <w:r w:rsidRPr="00392EAD">
        <w:rPr>
          <w:spacing w:val="2"/>
          <w:sz w:val="16"/>
          <w:lang w:val="pt-BR"/>
        </w:rPr>
        <w:t xml:space="preserve">mai. </w:t>
      </w:r>
      <w:r w:rsidRPr="00392EAD">
        <w:rPr>
          <w:spacing w:val="3"/>
          <w:sz w:val="16"/>
          <w:lang w:val="pt-BR"/>
        </w:rPr>
        <w:t xml:space="preserve">2010. </w:t>
      </w:r>
      <w:r w:rsidRPr="00392EAD">
        <w:rPr>
          <w:spacing w:val="2"/>
          <w:sz w:val="16"/>
          <w:lang w:val="pt-BR"/>
        </w:rPr>
        <w:t xml:space="preserve">In: </w:t>
      </w:r>
      <w:r w:rsidRPr="00392EAD">
        <w:rPr>
          <w:spacing w:val="3"/>
          <w:sz w:val="16"/>
          <w:lang w:val="pt-BR"/>
        </w:rPr>
        <w:t xml:space="preserve">Instituto Brasileiro </w:t>
      </w:r>
      <w:r w:rsidRPr="00392EAD">
        <w:rPr>
          <w:spacing w:val="5"/>
          <w:sz w:val="16"/>
          <w:lang w:val="pt-BR"/>
        </w:rPr>
        <w:t xml:space="preserve">de  </w:t>
      </w:r>
      <w:r w:rsidRPr="00392EAD">
        <w:rPr>
          <w:spacing w:val="20"/>
          <w:sz w:val="16"/>
          <w:lang w:val="pt-BR"/>
        </w:rPr>
        <w:t>M</w:t>
      </w:r>
      <w:r w:rsidRPr="00392EAD">
        <w:rPr>
          <w:sz w:val="16"/>
          <w:lang w:val="pt-BR"/>
        </w:rPr>
        <w:t xml:space="preserve"> </w:t>
      </w:r>
      <w:r w:rsidRPr="00392EAD">
        <w:rPr>
          <w:spacing w:val="20"/>
          <w:sz w:val="16"/>
          <w:lang w:val="pt-BR"/>
        </w:rPr>
        <w:t>i</w:t>
      </w:r>
      <w:r w:rsidRPr="00392EAD">
        <w:rPr>
          <w:sz w:val="16"/>
          <w:lang w:val="pt-BR"/>
        </w:rPr>
        <w:t xml:space="preserve"> </w:t>
      </w:r>
      <w:r w:rsidRPr="00392EAD">
        <w:rPr>
          <w:spacing w:val="20"/>
          <w:sz w:val="16"/>
          <w:lang w:val="pt-BR"/>
        </w:rPr>
        <w:t>n</w:t>
      </w:r>
      <w:r w:rsidRPr="00392EAD">
        <w:rPr>
          <w:sz w:val="16"/>
          <w:lang w:val="pt-BR"/>
        </w:rPr>
        <w:t xml:space="preserve"> </w:t>
      </w:r>
      <w:r w:rsidRPr="00392EAD">
        <w:rPr>
          <w:spacing w:val="20"/>
          <w:sz w:val="16"/>
          <w:lang w:val="pt-BR"/>
        </w:rPr>
        <w:t>e</w:t>
      </w:r>
      <w:r w:rsidRPr="00392EAD">
        <w:rPr>
          <w:sz w:val="16"/>
          <w:lang w:val="pt-BR"/>
        </w:rPr>
        <w:t xml:space="preserve"> </w:t>
      </w:r>
      <w:r w:rsidRPr="00392EAD">
        <w:rPr>
          <w:spacing w:val="20"/>
          <w:sz w:val="16"/>
          <w:lang w:val="pt-BR"/>
        </w:rPr>
        <w:t>r</w:t>
      </w:r>
      <w:r w:rsidRPr="00392EAD">
        <w:rPr>
          <w:sz w:val="16"/>
          <w:lang w:val="pt-BR"/>
        </w:rPr>
        <w:t xml:space="preserve"> </w:t>
      </w:r>
      <w:r w:rsidRPr="00392EAD">
        <w:rPr>
          <w:spacing w:val="20"/>
          <w:sz w:val="16"/>
          <w:lang w:val="pt-BR"/>
        </w:rPr>
        <w:t>a</w:t>
      </w:r>
      <w:r w:rsidRPr="00392EAD">
        <w:rPr>
          <w:sz w:val="16"/>
          <w:lang w:val="pt-BR"/>
        </w:rPr>
        <w:t xml:space="preserve"> </w:t>
      </w:r>
      <w:r w:rsidRPr="00392EAD">
        <w:rPr>
          <w:spacing w:val="20"/>
          <w:sz w:val="16"/>
          <w:lang w:val="pt-BR"/>
        </w:rPr>
        <w:t>ç</w:t>
      </w:r>
      <w:r w:rsidRPr="00392EAD">
        <w:rPr>
          <w:sz w:val="16"/>
          <w:lang w:val="pt-BR"/>
        </w:rPr>
        <w:t xml:space="preserve"> </w:t>
      </w:r>
      <w:r w:rsidRPr="00392EAD">
        <w:rPr>
          <w:spacing w:val="20"/>
          <w:sz w:val="16"/>
          <w:lang w:val="pt-BR"/>
        </w:rPr>
        <w:t>ã</w:t>
      </w:r>
      <w:r w:rsidRPr="00392EAD">
        <w:rPr>
          <w:sz w:val="16"/>
          <w:lang w:val="pt-BR"/>
        </w:rPr>
        <w:t xml:space="preserve"> o</w:t>
      </w:r>
      <w:r w:rsidRPr="00392EAD">
        <w:rPr>
          <w:spacing w:val="22"/>
          <w:sz w:val="16"/>
          <w:lang w:val="pt-BR"/>
        </w:rPr>
        <w:t xml:space="preserve"> </w:t>
      </w:r>
      <w:r w:rsidRPr="00392EAD">
        <w:rPr>
          <w:spacing w:val="20"/>
          <w:sz w:val="16"/>
          <w:lang w:val="pt-BR"/>
        </w:rPr>
        <w:t>(</w:t>
      </w:r>
      <w:r w:rsidRPr="00392EAD">
        <w:rPr>
          <w:sz w:val="16"/>
          <w:lang w:val="pt-BR"/>
        </w:rPr>
        <w:t xml:space="preserve"> </w:t>
      </w:r>
      <w:r w:rsidRPr="00392EAD">
        <w:rPr>
          <w:spacing w:val="20"/>
          <w:sz w:val="16"/>
          <w:lang w:val="pt-BR"/>
        </w:rPr>
        <w:t>I</w:t>
      </w:r>
      <w:r w:rsidRPr="00392EAD">
        <w:rPr>
          <w:sz w:val="16"/>
          <w:lang w:val="pt-BR"/>
        </w:rPr>
        <w:t xml:space="preserve"> </w:t>
      </w:r>
      <w:r w:rsidRPr="00392EAD">
        <w:rPr>
          <w:spacing w:val="20"/>
          <w:sz w:val="16"/>
          <w:lang w:val="pt-BR"/>
        </w:rPr>
        <w:t>b</w:t>
      </w:r>
      <w:r w:rsidRPr="00392EAD">
        <w:rPr>
          <w:sz w:val="16"/>
          <w:lang w:val="pt-BR"/>
        </w:rPr>
        <w:t xml:space="preserve"> </w:t>
      </w:r>
      <w:r w:rsidRPr="00392EAD">
        <w:rPr>
          <w:spacing w:val="20"/>
          <w:sz w:val="16"/>
          <w:lang w:val="pt-BR"/>
        </w:rPr>
        <w:t>r</w:t>
      </w:r>
      <w:r w:rsidRPr="00392EAD">
        <w:rPr>
          <w:sz w:val="16"/>
          <w:lang w:val="pt-BR"/>
        </w:rPr>
        <w:t xml:space="preserve"> </w:t>
      </w:r>
      <w:r w:rsidRPr="00392EAD">
        <w:rPr>
          <w:spacing w:val="20"/>
          <w:sz w:val="16"/>
          <w:lang w:val="pt-BR"/>
        </w:rPr>
        <w:t>a</w:t>
      </w:r>
      <w:r w:rsidRPr="00392EAD">
        <w:rPr>
          <w:sz w:val="16"/>
          <w:lang w:val="pt-BR"/>
        </w:rPr>
        <w:t xml:space="preserve"> </w:t>
      </w:r>
      <w:r w:rsidRPr="00392EAD">
        <w:rPr>
          <w:spacing w:val="20"/>
          <w:sz w:val="16"/>
          <w:lang w:val="pt-BR"/>
        </w:rPr>
        <w:t>m</w:t>
      </w:r>
      <w:r w:rsidRPr="00392EAD">
        <w:rPr>
          <w:sz w:val="16"/>
          <w:lang w:val="pt-BR"/>
        </w:rPr>
        <w:t xml:space="preserve"> </w:t>
      </w:r>
      <w:r w:rsidRPr="00392EAD">
        <w:rPr>
          <w:spacing w:val="20"/>
          <w:sz w:val="16"/>
          <w:lang w:val="pt-BR"/>
        </w:rPr>
        <w:t>)</w:t>
      </w:r>
      <w:r w:rsidRPr="00392EAD">
        <w:rPr>
          <w:sz w:val="16"/>
          <w:lang w:val="pt-BR"/>
        </w:rPr>
        <w:t xml:space="preserve"> .</w:t>
      </w:r>
      <w:r w:rsidRPr="00392EAD">
        <w:rPr>
          <w:spacing w:val="22"/>
          <w:sz w:val="16"/>
          <w:lang w:val="pt-BR"/>
        </w:rPr>
        <w:t xml:space="preserve"> </w:t>
      </w:r>
      <w:r w:rsidRPr="00392EAD">
        <w:rPr>
          <w:spacing w:val="20"/>
          <w:sz w:val="16"/>
          <w:lang w:val="pt-BR"/>
        </w:rPr>
        <w:t>D</w:t>
      </w:r>
      <w:r w:rsidRPr="00392EAD">
        <w:rPr>
          <w:sz w:val="16"/>
          <w:lang w:val="pt-BR"/>
        </w:rPr>
        <w:t xml:space="preserve"> </w:t>
      </w:r>
      <w:r w:rsidRPr="00392EAD">
        <w:rPr>
          <w:spacing w:val="20"/>
          <w:sz w:val="16"/>
          <w:lang w:val="pt-BR"/>
        </w:rPr>
        <w:t>i</w:t>
      </w:r>
      <w:r w:rsidRPr="00392EAD">
        <w:rPr>
          <w:sz w:val="16"/>
          <w:lang w:val="pt-BR"/>
        </w:rPr>
        <w:t xml:space="preserve"> </w:t>
      </w:r>
      <w:r w:rsidRPr="00392EAD">
        <w:rPr>
          <w:spacing w:val="20"/>
          <w:sz w:val="16"/>
          <w:lang w:val="pt-BR"/>
        </w:rPr>
        <w:t>s</w:t>
      </w:r>
      <w:r w:rsidRPr="00392EAD">
        <w:rPr>
          <w:sz w:val="16"/>
          <w:lang w:val="pt-BR"/>
        </w:rPr>
        <w:t xml:space="preserve"> </w:t>
      </w:r>
      <w:r w:rsidRPr="00392EAD">
        <w:rPr>
          <w:spacing w:val="20"/>
          <w:sz w:val="16"/>
          <w:lang w:val="pt-BR"/>
        </w:rPr>
        <w:t>p</w:t>
      </w:r>
      <w:r w:rsidRPr="00392EAD">
        <w:rPr>
          <w:sz w:val="16"/>
          <w:lang w:val="pt-BR"/>
        </w:rPr>
        <w:t xml:space="preserve"> </w:t>
      </w:r>
      <w:r w:rsidRPr="00392EAD">
        <w:rPr>
          <w:spacing w:val="20"/>
          <w:sz w:val="16"/>
          <w:lang w:val="pt-BR"/>
        </w:rPr>
        <w:t>o</w:t>
      </w:r>
      <w:r w:rsidRPr="00392EAD">
        <w:rPr>
          <w:sz w:val="16"/>
          <w:lang w:val="pt-BR"/>
        </w:rPr>
        <w:t xml:space="preserve"> </w:t>
      </w:r>
      <w:r w:rsidRPr="00392EAD">
        <w:rPr>
          <w:spacing w:val="20"/>
          <w:sz w:val="16"/>
          <w:lang w:val="pt-BR"/>
        </w:rPr>
        <w:t>n</w:t>
      </w:r>
      <w:r w:rsidRPr="00392EAD">
        <w:rPr>
          <w:sz w:val="16"/>
          <w:lang w:val="pt-BR"/>
        </w:rPr>
        <w:t xml:space="preserve"> </w:t>
      </w:r>
      <w:r w:rsidRPr="00392EAD">
        <w:rPr>
          <w:spacing w:val="20"/>
          <w:sz w:val="16"/>
          <w:lang w:val="pt-BR"/>
        </w:rPr>
        <w:t>í</w:t>
      </w:r>
      <w:r w:rsidRPr="00392EAD">
        <w:rPr>
          <w:sz w:val="16"/>
          <w:lang w:val="pt-BR"/>
        </w:rPr>
        <w:t xml:space="preserve"> </w:t>
      </w:r>
      <w:r w:rsidRPr="00392EAD">
        <w:rPr>
          <w:spacing w:val="20"/>
          <w:sz w:val="16"/>
          <w:lang w:val="pt-BR"/>
        </w:rPr>
        <w:t>v</w:t>
      </w:r>
      <w:r w:rsidRPr="00392EAD">
        <w:rPr>
          <w:sz w:val="16"/>
          <w:lang w:val="pt-BR"/>
        </w:rPr>
        <w:t xml:space="preserve"> </w:t>
      </w:r>
      <w:r w:rsidRPr="00392EAD">
        <w:rPr>
          <w:spacing w:val="20"/>
          <w:sz w:val="16"/>
          <w:lang w:val="pt-BR"/>
        </w:rPr>
        <w:t>e</w:t>
      </w:r>
      <w:r w:rsidRPr="00392EAD">
        <w:rPr>
          <w:sz w:val="16"/>
          <w:lang w:val="pt-BR"/>
        </w:rPr>
        <w:t xml:space="preserve"> l</w:t>
      </w:r>
      <w:r w:rsidRPr="00392EAD">
        <w:rPr>
          <w:spacing w:val="22"/>
          <w:sz w:val="16"/>
          <w:lang w:val="pt-BR"/>
        </w:rPr>
        <w:t xml:space="preserve"> </w:t>
      </w:r>
      <w:r w:rsidRPr="00392EAD">
        <w:rPr>
          <w:spacing w:val="20"/>
          <w:sz w:val="16"/>
          <w:lang w:val="pt-BR"/>
        </w:rPr>
        <w:t>e</w:t>
      </w:r>
      <w:r w:rsidRPr="00392EAD">
        <w:rPr>
          <w:sz w:val="16"/>
          <w:lang w:val="pt-BR"/>
        </w:rPr>
        <w:t xml:space="preserve"> </w:t>
      </w:r>
      <w:r w:rsidRPr="00392EAD">
        <w:rPr>
          <w:spacing w:val="20"/>
          <w:sz w:val="16"/>
          <w:lang w:val="pt-BR"/>
        </w:rPr>
        <w:t>m</w:t>
      </w:r>
      <w:r w:rsidRPr="00392EAD">
        <w:rPr>
          <w:sz w:val="16"/>
          <w:lang w:val="pt-BR"/>
        </w:rPr>
        <w:t xml:space="preserve"> :</w:t>
      </w:r>
      <w:r w:rsidRPr="00392EAD">
        <w:rPr>
          <w:spacing w:val="20"/>
          <w:sz w:val="16"/>
          <w:lang w:val="pt-BR"/>
        </w:rPr>
        <w:t xml:space="preserve"> </w:t>
      </w:r>
    </w:p>
    <w:p w:rsidR="00D81F69" w:rsidRDefault="00D81F69">
      <w:pPr>
        <w:spacing w:before="2" w:line="312" w:lineRule="auto"/>
        <w:ind w:left="100" w:right="198"/>
        <w:jc w:val="both"/>
        <w:rPr>
          <w:sz w:val="16"/>
        </w:rPr>
      </w:pPr>
      <w:hyperlink r:id="rId852">
        <w:r w:rsidR="00330118" w:rsidRPr="00392EAD">
          <w:rPr>
            <w:sz w:val="16"/>
            <w:lang w:val="pt-BR"/>
          </w:rPr>
          <w:t>&lt;http://www.ibram.org.br/150/15001002.asp?ttCD_CHAVE=110952&gt;.</w:t>
        </w:r>
      </w:hyperlink>
      <w:r w:rsidR="00330118" w:rsidRPr="00392EAD">
        <w:rPr>
          <w:sz w:val="16"/>
          <w:lang w:val="pt-BR"/>
        </w:rPr>
        <w:t xml:space="preserve"> </w:t>
      </w:r>
      <w:r w:rsidR="00330118">
        <w:rPr>
          <w:sz w:val="16"/>
        </w:rPr>
        <w:t>Acesso em: 18 out. 2010.</w:t>
      </w:r>
    </w:p>
    <w:p w:rsidR="00D81F69" w:rsidRPr="00392EAD" w:rsidRDefault="00330118">
      <w:pPr>
        <w:spacing w:before="2"/>
        <w:ind w:left="100"/>
        <w:jc w:val="both"/>
        <w:rPr>
          <w:sz w:val="16"/>
          <w:lang w:val="pt-BR"/>
        </w:rPr>
      </w:pPr>
      <w:r w:rsidRPr="00392EAD">
        <w:rPr>
          <w:sz w:val="16"/>
          <w:lang w:val="pt-BR"/>
        </w:rPr>
        <w:t>REUTERS. Vale recebe licença para projeto de potássio em Sergipe,</w:t>
      </w:r>
    </w:p>
    <w:p w:rsidR="00D81F69" w:rsidRPr="00392EAD" w:rsidRDefault="00330118">
      <w:pPr>
        <w:spacing w:before="56"/>
        <w:ind w:left="100"/>
        <w:jc w:val="both"/>
        <w:rPr>
          <w:sz w:val="16"/>
          <w:lang w:val="pt-BR"/>
        </w:rPr>
      </w:pPr>
      <w:r>
        <w:rPr>
          <w:spacing w:val="15"/>
          <w:sz w:val="16"/>
        </w:rPr>
        <w:t xml:space="preserve">13    </w:t>
      </w:r>
      <w:r>
        <w:rPr>
          <w:spacing w:val="23"/>
          <w:sz w:val="16"/>
        </w:rPr>
        <w:t xml:space="preserve">abr.   </w:t>
      </w:r>
      <w:r>
        <w:rPr>
          <w:spacing w:val="25"/>
          <w:sz w:val="16"/>
        </w:rPr>
        <w:t xml:space="preserve">2010.   </w:t>
      </w:r>
      <w:r>
        <w:rPr>
          <w:spacing w:val="20"/>
          <w:sz w:val="16"/>
        </w:rPr>
        <w:t xml:space="preserve">In: </w:t>
      </w:r>
      <w:r>
        <w:rPr>
          <w:spacing w:val="85"/>
          <w:sz w:val="16"/>
        </w:rPr>
        <w:t xml:space="preserve"> </w:t>
      </w:r>
      <w:r>
        <w:rPr>
          <w:spacing w:val="27"/>
          <w:sz w:val="16"/>
        </w:rPr>
        <w:t xml:space="preserve">Folha.com.   </w:t>
      </w:r>
      <w:r w:rsidRPr="00392EAD">
        <w:rPr>
          <w:spacing w:val="27"/>
          <w:sz w:val="16"/>
          <w:lang w:val="pt-BR"/>
        </w:rPr>
        <w:t xml:space="preserve">Disponível </w:t>
      </w:r>
      <w:r w:rsidRPr="00392EAD">
        <w:rPr>
          <w:spacing w:val="26"/>
          <w:sz w:val="16"/>
          <w:lang w:val="pt-BR"/>
        </w:rPr>
        <w:t xml:space="preserve"> </w:t>
      </w:r>
      <w:r w:rsidRPr="00392EAD">
        <w:rPr>
          <w:spacing w:val="20"/>
          <w:sz w:val="16"/>
          <w:lang w:val="pt-BR"/>
        </w:rPr>
        <w:t>em:</w:t>
      </w:r>
      <w:r w:rsidRPr="00392EAD">
        <w:rPr>
          <w:spacing w:val="-12"/>
          <w:sz w:val="16"/>
          <w:lang w:val="pt-BR"/>
        </w:rPr>
        <w:t xml:space="preserve"> </w:t>
      </w:r>
    </w:p>
    <w:p w:rsidR="00D81F69" w:rsidRDefault="00D81F69">
      <w:pPr>
        <w:spacing w:before="56" w:line="312" w:lineRule="auto"/>
        <w:ind w:left="100" w:right="194"/>
        <w:jc w:val="both"/>
        <w:rPr>
          <w:sz w:val="16"/>
        </w:rPr>
      </w:pPr>
      <w:hyperlink r:id="rId853">
        <w:r w:rsidR="00330118" w:rsidRPr="00392EAD">
          <w:rPr>
            <w:sz w:val="16"/>
            <w:lang w:val="pt-BR"/>
          </w:rPr>
          <w:t>&lt;</w:t>
        </w:r>
        <w:r w:rsidR="00330118" w:rsidRPr="00392EAD">
          <w:rPr>
            <w:sz w:val="16"/>
            <w:lang w:val="pt-BR"/>
          </w:rPr>
          <w:t>http://www1.folha.uol.com.br/folha/dinheiro/ult91u720077.shtml&gt;.</w:t>
        </w:r>
      </w:hyperlink>
      <w:r w:rsidR="00330118" w:rsidRPr="00392EAD">
        <w:rPr>
          <w:sz w:val="16"/>
          <w:lang w:val="pt-BR"/>
        </w:rPr>
        <w:t xml:space="preserve"> </w:t>
      </w:r>
      <w:r w:rsidR="00330118">
        <w:rPr>
          <w:sz w:val="16"/>
        </w:rPr>
        <w:t>Acesso em: 18 out. 2010.</w:t>
      </w:r>
    </w:p>
    <w:p w:rsidR="00D81F69" w:rsidRDefault="00330118">
      <w:pPr>
        <w:spacing w:before="1" w:line="312" w:lineRule="auto"/>
        <w:ind w:left="100" w:right="172"/>
        <w:jc w:val="both"/>
        <w:rPr>
          <w:sz w:val="16"/>
        </w:rPr>
      </w:pPr>
      <w:r w:rsidRPr="00392EAD">
        <w:rPr>
          <w:sz w:val="16"/>
          <w:lang w:val="pt-BR"/>
        </w:rPr>
        <w:t xml:space="preserve">______. Projeto da Vale em SE esbarra em petróleo da Petrobras. </w:t>
      </w:r>
      <w:r>
        <w:rPr>
          <w:spacing w:val="21"/>
          <w:sz w:val="16"/>
        </w:rPr>
        <w:t xml:space="preserve">Gazeta </w:t>
      </w:r>
      <w:r>
        <w:rPr>
          <w:spacing w:val="12"/>
          <w:sz w:val="16"/>
        </w:rPr>
        <w:t xml:space="preserve">do </w:t>
      </w:r>
      <w:r>
        <w:rPr>
          <w:spacing w:val="20"/>
          <w:sz w:val="16"/>
        </w:rPr>
        <w:t>Povo,</w:t>
      </w:r>
      <w:r>
        <w:rPr>
          <w:spacing w:val="85"/>
          <w:sz w:val="16"/>
        </w:rPr>
        <w:t xml:space="preserve"> </w:t>
      </w:r>
      <w:r>
        <w:rPr>
          <w:spacing w:val="12"/>
          <w:sz w:val="16"/>
        </w:rPr>
        <w:t xml:space="preserve">27 </w:t>
      </w:r>
      <w:r>
        <w:rPr>
          <w:spacing w:val="20"/>
          <w:sz w:val="16"/>
        </w:rPr>
        <w:t>set. 2011.</w:t>
      </w:r>
      <w:r>
        <w:rPr>
          <w:spacing w:val="85"/>
          <w:sz w:val="16"/>
        </w:rPr>
        <w:t xml:space="preserve"> </w:t>
      </w:r>
      <w:r>
        <w:rPr>
          <w:spacing w:val="23"/>
          <w:sz w:val="16"/>
        </w:rPr>
        <w:t>Disponível</w:t>
      </w:r>
      <w:r>
        <w:rPr>
          <w:spacing w:val="82"/>
          <w:sz w:val="16"/>
        </w:rPr>
        <w:t xml:space="preserve"> </w:t>
      </w:r>
      <w:r>
        <w:rPr>
          <w:spacing w:val="17"/>
          <w:sz w:val="16"/>
        </w:rPr>
        <w:t>em:</w:t>
      </w:r>
      <w:r>
        <w:rPr>
          <w:spacing w:val="-16"/>
          <w:sz w:val="16"/>
        </w:rPr>
        <w:t xml:space="preserve"> </w:t>
      </w:r>
    </w:p>
    <w:p w:rsidR="00D81F69" w:rsidRPr="00392EAD" w:rsidRDefault="00D81F69">
      <w:pPr>
        <w:spacing w:before="2" w:line="312" w:lineRule="auto"/>
        <w:ind w:left="100" w:right="206"/>
        <w:jc w:val="both"/>
        <w:rPr>
          <w:sz w:val="16"/>
          <w:lang w:val="pt-BR"/>
        </w:rPr>
      </w:pPr>
      <w:hyperlink r:id="rId854">
        <w:r w:rsidR="00330118" w:rsidRPr="00392EAD">
          <w:rPr>
            <w:sz w:val="16"/>
            <w:lang w:val="pt-BR"/>
          </w:rPr>
          <w:t>&lt;http://www.gazetadopovo.com.br/economia/conteudo.phtml?tl=1&amp;id=</w:t>
        </w:r>
      </w:hyperlink>
      <w:r w:rsidR="00330118" w:rsidRPr="00392EAD">
        <w:rPr>
          <w:sz w:val="16"/>
          <w:lang w:val="pt-BR"/>
        </w:rPr>
        <w:t xml:space="preserve"> 1173978&amp;tit=Projeto-da-Vale-em-SE-esbarra-em-petroleo-da- Petrobras&gt;. Acesso em: 27 out. 2011.</w:t>
      </w:r>
    </w:p>
    <w:p w:rsidR="00D81F69" w:rsidRDefault="00330118">
      <w:pPr>
        <w:tabs>
          <w:tab w:val="left" w:pos="2128"/>
          <w:tab w:val="left" w:pos="4591"/>
        </w:tabs>
        <w:spacing w:before="3" w:line="312" w:lineRule="auto"/>
        <w:ind w:left="100" w:right="202"/>
        <w:jc w:val="both"/>
        <w:rPr>
          <w:sz w:val="16"/>
        </w:rPr>
      </w:pPr>
      <w:r w:rsidRPr="00392EAD">
        <w:rPr>
          <w:spacing w:val="5"/>
          <w:sz w:val="16"/>
          <w:lang w:val="pt-BR"/>
        </w:rPr>
        <w:t xml:space="preserve">TENDÊNCIAS </w:t>
      </w:r>
      <w:r w:rsidRPr="00392EAD">
        <w:rPr>
          <w:sz w:val="16"/>
          <w:lang w:val="pt-BR"/>
        </w:rPr>
        <w:t xml:space="preserve">E </w:t>
      </w:r>
      <w:r w:rsidRPr="00392EAD">
        <w:rPr>
          <w:spacing w:val="5"/>
          <w:sz w:val="16"/>
          <w:lang w:val="pt-BR"/>
        </w:rPr>
        <w:t xml:space="preserve">MERCADO. </w:t>
      </w:r>
      <w:r w:rsidRPr="00392EAD">
        <w:rPr>
          <w:spacing w:val="3"/>
          <w:sz w:val="16"/>
          <w:lang w:val="pt-BR"/>
        </w:rPr>
        <w:t xml:space="preserve">SE: maior </w:t>
      </w:r>
      <w:r w:rsidRPr="00392EAD">
        <w:rPr>
          <w:spacing w:val="5"/>
          <w:sz w:val="16"/>
          <w:lang w:val="pt-BR"/>
        </w:rPr>
        <w:t xml:space="preserve">planta </w:t>
      </w:r>
      <w:r w:rsidRPr="00392EAD">
        <w:rPr>
          <w:spacing w:val="2"/>
          <w:sz w:val="16"/>
          <w:lang w:val="pt-BR"/>
        </w:rPr>
        <w:t xml:space="preserve">de </w:t>
      </w:r>
      <w:r w:rsidRPr="00392EAD">
        <w:rPr>
          <w:spacing w:val="5"/>
          <w:sz w:val="16"/>
          <w:lang w:val="pt-BR"/>
        </w:rPr>
        <w:t xml:space="preserve">extração de </w:t>
      </w:r>
      <w:r w:rsidRPr="00392EAD">
        <w:rPr>
          <w:sz w:val="16"/>
          <w:lang w:val="pt-BR"/>
        </w:rPr>
        <w:t>potássio do BR</w:t>
      </w:r>
      <w:r w:rsidRPr="00392EAD">
        <w:rPr>
          <w:sz w:val="16"/>
          <w:lang w:val="pt-BR"/>
        </w:rPr>
        <w:t>, 15 abr. 2010. In: Instituto Brasileiro de Mineração       (   I   b   r   a   m</w:t>
      </w:r>
      <w:r w:rsidRPr="00392EAD">
        <w:rPr>
          <w:spacing w:val="27"/>
          <w:sz w:val="16"/>
          <w:lang w:val="pt-BR"/>
        </w:rPr>
        <w:t xml:space="preserve"> </w:t>
      </w:r>
      <w:r w:rsidRPr="00392EAD">
        <w:rPr>
          <w:sz w:val="16"/>
          <w:lang w:val="pt-BR"/>
        </w:rPr>
        <w:t xml:space="preserve">) </w:t>
      </w:r>
      <w:r w:rsidRPr="00392EAD">
        <w:rPr>
          <w:spacing w:val="33"/>
          <w:sz w:val="16"/>
          <w:lang w:val="pt-BR"/>
        </w:rPr>
        <w:t xml:space="preserve"> </w:t>
      </w:r>
      <w:r w:rsidRPr="00392EAD">
        <w:rPr>
          <w:sz w:val="16"/>
          <w:lang w:val="pt-BR"/>
        </w:rPr>
        <w:t>.</w:t>
      </w:r>
      <w:r w:rsidRPr="00392EAD">
        <w:rPr>
          <w:sz w:val="16"/>
          <w:lang w:val="pt-BR"/>
        </w:rPr>
        <w:tab/>
      </w:r>
      <w:r>
        <w:rPr>
          <w:sz w:val="16"/>
        </w:rPr>
        <w:t>D   i   s   p   o   n   í   v</w:t>
      </w:r>
      <w:r>
        <w:rPr>
          <w:spacing w:val="7"/>
          <w:sz w:val="16"/>
        </w:rPr>
        <w:t xml:space="preserve"> </w:t>
      </w:r>
      <w:r>
        <w:rPr>
          <w:sz w:val="16"/>
        </w:rPr>
        <w:t xml:space="preserve">e </w:t>
      </w:r>
      <w:r>
        <w:rPr>
          <w:spacing w:val="33"/>
          <w:sz w:val="16"/>
        </w:rPr>
        <w:t xml:space="preserve"> </w:t>
      </w:r>
      <w:r>
        <w:rPr>
          <w:sz w:val="16"/>
        </w:rPr>
        <w:t>l</w:t>
      </w:r>
      <w:r>
        <w:rPr>
          <w:sz w:val="16"/>
        </w:rPr>
        <w:tab/>
        <w:t>e m</w:t>
      </w:r>
      <w:r>
        <w:rPr>
          <w:spacing w:val="23"/>
          <w:sz w:val="16"/>
        </w:rPr>
        <w:t xml:space="preserve"> </w:t>
      </w:r>
      <w:r>
        <w:rPr>
          <w:sz w:val="16"/>
        </w:rPr>
        <w:t>:</w:t>
      </w:r>
    </w:p>
    <w:p w:rsidR="00D81F69" w:rsidRPr="00392EAD" w:rsidRDefault="00D81F69">
      <w:pPr>
        <w:spacing w:before="2" w:line="312" w:lineRule="auto"/>
        <w:ind w:left="100" w:right="196"/>
        <w:jc w:val="both"/>
        <w:rPr>
          <w:sz w:val="16"/>
          <w:lang w:val="pt-BR"/>
        </w:rPr>
      </w:pPr>
      <w:hyperlink r:id="rId855">
        <w:r w:rsidR="00330118">
          <w:rPr>
            <w:sz w:val="16"/>
          </w:rPr>
          <w:t>&lt;http://www.ibram.org.br/150/15001002.asp?ttCD_CHAVE=</w:t>
        </w:r>
        <w:r w:rsidR="00330118">
          <w:rPr>
            <w:sz w:val="16"/>
          </w:rPr>
          <w:t>10468&gt;.</w:t>
        </w:r>
      </w:hyperlink>
      <w:r w:rsidR="00330118">
        <w:rPr>
          <w:sz w:val="16"/>
        </w:rPr>
        <w:t xml:space="preserve"> </w:t>
      </w:r>
      <w:r w:rsidR="00330118" w:rsidRPr="00392EAD">
        <w:rPr>
          <w:sz w:val="16"/>
          <w:lang w:val="pt-BR"/>
        </w:rPr>
        <w:t>Acesso em: 18 out. 2010.</w:t>
      </w:r>
    </w:p>
    <w:p w:rsidR="00D81F69" w:rsidRPr="00392EAD" w:rsidRDefault="00D81F69">
      <w:pPr>
        <w:spacing w:line="312" w:lineRule="auto"/>
        <w:jc w:val="both"/>
        <w:rPr>
          <w:sz w:val="16"/>
          <w:lang w:val="pt-BR"/>
        </w:rPr>
        <w:sectPr w:rsidR="00D81F69" w:rsidRPr="00392EAD">
          <w:pgSz w:w="11900" w:h="16840"/>
          <w:pgMar w:top="740" w:right="500" w:bottom="720" w:left="620" w:header="0" w:footer="402" w:gutter="0"/>
          <w:cols w:num="2" w:space="720" w:equalWidth="0">
            <w:col w:w="5185" w:space="285"/>
            <w:col w:w="5310"/>
          </w:cols>
        </w:sectPr>
      </w:pPr>
    </w:p>
    <w:p w:rsidR="00D81F69" w:rsidRPr="00392EAD" w:rsidRDefault="00330118">
      <w:pPr>
        <w:spacing w:before="26"/>
        <w:ind w:right="117"/>
        <w:jc w:val="right"/>
        <w:rPr>
          <w:rFonts w:ascii="Calibri" w:hAnsi="Calibri"/>
          <w:sz w:val="28"/>
          <w:lang w:val="pt-BR"/>
        </w:rPr>
      </w:pPr>
      <w:r w:rsidRPr="00392EAD">
        <w:rPr>
          <w:rFonts w:ascii="Calibri" w:hAnsi="Calibri"/>
          <w:sz w:val="28"/>
          <w:lang w:val="pt-BR"/>
        </w:rPr>
        <w:lastRenderedPageBreak/>
        <w:t>REGIÃO CENTRO‐OESTE</w:t>
      </w:r>
    </w:p>
    <w:p w:rsidR="00D81F69" w:rsidRPr="00392EAD" w:rsidRDefault="00D81F69">
      <w:pPr>
        <w:pStyle w:val="Corpodetexto"/>
        <w:ind w:left="0"/>
        <w:jc w:val="left"/>
        <w:rPr>
          <w:rFonts w:ascii="Calibri"/>
          <w:sz w:val="20"/>
          <w:lang w:val="pt-BR"/>
        </w:rPr>
      </w:pPr>
    </w:p>
    <w:p w:rsidR="00D81F69" w:rsidRPr="00392EAD" w:rsidRDefault="00D81F69">
      <w:pPr>
        <w:pStyle w:val="Corpodetexto"/>
        <w:ind w:left="0"/>
        <w:jc w:val="left"/>
        <w:rPr>
          <w:rFonts w:ascii="Calibri"/>
          <w:sz w:val="15"/>
          <w:lang w:val="pt-BR"/>
        </w:rPr>
      </w:pPr>
    </w:p>
    <w:p w:rsidR="00D81F69" w:rsidRPr="00392EAD" w:rsidRDefault="00330118">
      <w:pPr>
        <w:spacing w:before="91"/>
        <w:ind w:left="880"/>
        <w:rPr>
          <w:b/>
          <w:sz w:val="28"/>
          <w:lang w:val="pt-BR"/>
        </w:rPr>
      </w:pPr>
      <w:r w:rsidRPr="00392EAD">
        <w:rPr>
          <w:b/>
          <w:sz w:val="28"/>
          <w:lang w:val="pt-BR"/>
        </w:rPr>
        <w:t>O recorte da atividade mineral na região Centro-Oeste</w:t>
      </w:r>
    </w:p>
    <w:p w:rsidR="00D81F69" w:rsidRPr="00392EAD" w:rsidRDefault="00330118">
      <w:pPr>
        <w:spacing w:before="148"/>
        <w:ind w:left="4834" w:right="116" w:firstLine="147"/>
        <w:jc w:val="right"/>
        <w:rPr>
          <w:i/>
          <w:lang w:val="pt-BR"/>
        </w:rPr>
      </w:pPr>
      <w:r w:rsidRPr="00392EAD">
        <w:rPr>
          <w:i/>
          <w:lang w:val="pt-BR"/>
        </w:rPr>
        <w:t>Rodrigo Braga da Rocha Villa Verde</w:t>
      </w:r>
      <w:r w:rsidRPr="00392EAD">
        <w:rPr>
          <w:i/>
          <w:vertAlign w:val="superscript"/>
          <w:lang w:val="pt-BR"/>
        </w:rPr>
        <w:t>1</w:t>
      </w:r>
      <w:r w:rsidRPr="00392EAD">
        <w:rPr>
          <w:i/>
          <w:w w:val="109"/>
          <w:lang w:val="pt-BR"/>
        </w:rPr>
        <w:t xml:space="preserve"> </w:t>
      </w:r>
      <w:r w:rsidRPr="00392EAD">
        <w:rPr>
          <w:i/>
          <w:lang w:val="pt-BR"/>
        </w:rPr>
        <w:t>Renata de Carvalho Jimenez Alamino</w:t>
      </w:r>
      <w:r w:rsidRPr="00392EAD">
        <w:rPr>
          <w:i/>
          <w:vertAlign w:val="superscript"/>
          <w:lang w:val="pt-BR"/>
        </w:rPr>
        <w:t>2</w:t>
      </w:r>
      <w:r w:rsidRPr="00392EAD">
        <w:rPr>
          <w:i/>
          <w:w w:val="109"/>
          <w:lang w:val="pt-BR"/>
        </w:rPr>
        <w:t xml:space="preserve"> </w:t>
      </w:r>
      <w:r w:rsidRPr="00392EAD">
        <w:rPr>
          <w:i/>
          <w:lang w:val="pt-BR"/>
        </w:rPr>
        <w:t>Francisco Rego Chaves Fernandes</w:t>
      </w:r>
      <w:r w:rsidRPr="00392EAD">
        <w:rPr>
          <w:i/>
          <w:vertAlign w:val="superscript"/>
          <w:lang w:val="pt-BR"/>
        </w:rPr>
        <w:t>3</w:t>
      </w:r>
    </w:p>
    <w:p w:rsidR="00D81F69" w:rsidRPr="00392EAD" w:rsidRDefault="00D81F69">
      <w:pPr>
        <w:pStyle w:val="Corpodetexto"/>
        <w:spacing w:before="11"/>
        <w:ind w:left="0"/>
        <w:jc w:val="left"/>
        <w:rPr>
          <w:i/>
          <w:sz w:val="21"/>
          <w:lang w:val="pt-BR"/>
        </w:rPr>
      </w:pPr>
    </w:p>
    <w:p w:rsidR="00D81F69" w:rsidRPr="00392EAD" w:rsidRDefault="00330118">
      <w:pPr>
        <w:ind w:left="101" w:right="117"/>
        <w:jc w:val="both"/>
        <w:rPr>
          <w:lang w:val="pt-BR"/>
        </w:rPr>
      </w:pPr>
      <w:r w:rsidRPr="00392EAD">
        <w:rPr>
          <w:lang w:val="pt-BR"/>
        </w:rPr>
        <w:t>Os estados de Goiás, Mato Grosso, Mato Grosso do Sul e mais o Distrito Federal compõem a região Centro-Oeste. Os territórios destes estados somam 1.606.403 km², correspondendo a pouco mais que o dobro da superfície geográfica da França ou ao triplo da Espa</w:t>
      </w:r>
      <w:r w:rsidRPr="00392EAD">
        <w:rPr>
          <w:lang w:val="pt-BR"/>
        </w:rPr>
        <w:t>nha.</w:t>
      </w:r>
    </w:p>
    <w:p w:rsidR="00D81F69" w:rsidRPr="00392EAD" w:rsidRDefault="00D81F69">
      <w:pPr>
        <w:pStyle w:val="Corpodetexto"/>
        <w:ind w:left="0"/>
        <w:jc w:val="left"/>
        <w:rPr>
          <w:sz w:val="22"/>
          <w:lang w:val="pt-BR"/>
        </w:rPr>
      </w:pPr>
    </w:p>
    <w:p w:rsidR="00D81F69" w:rsidRPr="00392EAD" w:rsidRDefault="00330118">
      <w:pPr>
        <w:ind w:left="101" w:right="116"/>
        <w:jc w:val="both"/>
        <w:rPr>
          <w:lang w:val="pt-BR"/>
        </w:rPr>
      </w:pPr>
      <w:r w:rsidRPr="00392EAD">
        <w:rPr>
          <w:lang w:val="pt-BR"/>
        </w:rPr>
        <w:t>Com uma população estimada para 2013 de 14.993.194 habitantes (IBGE, 2013a), o Centro-Oeste possui significativos depósitos minerais de ouro, níquel, ferro-manganês, estanho e caulim. O Departamento Nacional de Produção Mineral (DNPM) registrou na re</w:t>
      </w:r>
      <w:r w:rsidRPr="00392EAD">
        <w:rPr>
          <w:lang w:val="pt-BR"/>
        </w:rPr>
        <w:t>gião, no ano de 2011, o total de 1.075 empresas mineradoras. Os principais investimentos do setor mineral para o período 2012-2016 chegarão a cerca de 2,8 milhões de dólares (IBRAM, 2012).</w:t>
      </w:r>
    </w:p>
    <w:p w:rsidR="00D81F69" w:rsidRPr="00392EAD" w:rsidRDefault="00D81F69">
      <w:pPr>
        <w:pStyle w:val="Corpodetexto"/>
        <w:spacing w:before="10"/>
        <w:ind w:left="0"/>
        <w:jc w:val="left"/>
        <w:rPr>
          <w:sz w:val="21"/>
          <w:lang w:val="pt-BR"/>
        </w:rPr>
      </w:pPr>
    </w:p>
    <w:p w:rsidR="00D81F69" w:rsidRPr="00392EAD" w:rsidRDefault="00330118">
      <w:pPr>
        <w:ind w:left="101" w:right="116"/>
        <w:jc w:val="both"/>
        <w:rPr>
          <w:lang w:val="pt-BR"/>
        </w:rPr>
      </w:pPr>
      <w:r w:rsidRPr="00392EAD">
        <w:rPr>
          <w:lang w:val="pt-BR"/>
        </w:rPr>
        <w:t>Em 2011, o país arrecadou R$ 1,6 bilhão referente à Compensação Fi</w:t>
      </w:r>
      <w:r w:rsidRPr="00392EAD">
        <w:rPr>
          <w:lang w:val="pt-BR"/>
        </w:rPr>
        <w:t>nanceira pela Exploração Mineral (CFEM), sendo Goiás e Mato Grosso do Sul, respectivamente, o quarto e o sexto colocados no ranking dos estados mineradores. Juntos, eles respondem por cerca de 6% do total arrecadado (IBRAM, 2012).</w:t>
      </w:r>
    </w:p>
    <w:p w:rsidR="00D81F69" w:rsidRPr="00392EAD" w:rsidRDefault="00D81F69">
      <w:pPr>
        <w:pStyle w:val="Corpodetexto"/>
        <w:ind w:left="0"/>
        <w:jc w:val="left"/>
        <w:rPr>
          <w:sz w:val="22"/>
          <w:lang w:val="pt-BR"/>
        </w:rPr>
      </w:pPr>
    </w:p>
    <w:p w:rsidR="00D81F69" w:rsidRPr="00392EAD" w:rsidRDefault="00330118">
      <w:pPr>
        <w:ind w:left="101" w:right="116"/>
        <w:jc w:val="both"/>
        <w:rPr>
          <w:lang w:val="pt-BR"/>
        </w:rPr>
      </w:pPr>
      <w:r w:rsidRPr="00392EAD">
        <w:rPr>
          <w:lang w:val="pt-BR"/>
        </w:rPr>
        <w:t>Dois importantes desafio</w:t>
      </w:r>
      <w:r w:rsidRPr="00392EAD">
        <w:rPr>
          <w:lang w:val="pt-BR"/>
        </w:rPr>
        <w:t>s da mineração no Centro-Oeste são, primeiramente, lidar com a sustentabilidade dos empreendimentos em meio aos biomas Amazônico (ao norte da região) e Cerrado, e, em segundo lugar, a maximizar os benefícios que a exploração e/ou beneficiamento mineral pod</w:t>
      </w:r>
      <w:r w:rsidRPr="00392EAD">
        <w:rPr>
          <w:lang w:val="pt-BR"/>
        </w:rPr>
        <w:t>em trazer para a população residente dos municípios mineradores. Na região</w:t>
      </w:r>
      <w:r w:rsidRPr="00392EAD">
        <w:rPr>
          <w:b/>
          <w:lang w:val="pt-BR"/>
        </w:rPr>
        <w:t xml:space="preserve">, </w:t>
      </w:r>
      <w:r w:rsidRPr="00392EAD">
        <w:rPr>
          <w:lang w:val="pt-BR"/>
        </w:rPr>
        <w:t>também ocorre o garimpo e, em alguns casos, há pressões e conflitos com os povos indígenas locais ou com comunidades</w:t>
      </w:r>
      <w:r w:rsidRPr="00392EAD">
        <w:rPr>
          <w:spacing w:val="-16"/>
          <w:lang w:val="pt-BR"/>
        </w:rPr>
        <w:t xml:space="preserve"> </w:t>
      </w:r>
      <w:r w:rsidRPr="00392EAD">
        <w:rPr>
          <w:lang w:val="pt-BR"/>
        </w:rPr>
        <w:t>ribeirinhas.</w:t>
      </w:r>
    </w:p>
    <w:p w:rsidR="00D81F69" w:rsidRPr="00392EAD" w:rsidRDefault="00D81F69">
      <w:pPr>
        <w:pStyle w:val="Corpodetexto"/>
        <w:ind w:left="0"/>
        <w:jc w:val="left"/>
        <w:rPr>
          <w:sz w:val="22"/>
          <w:lang w:val="pt-BR"/>
        </w:rPr>
      </w:pPr>
    </w:p>
    <w:p w:rsidR="00D81F69" w:rsidRPr="00392EAD" w:rsidRDefault="00330118">
      <w:pPr>
        <w:ind w:left="101" w:right="116"/>
        <w:jc w:val="both"/>
        <w:rPr>
          <w:lang w:val="pt-BR"/>
        </w:rPr>
      </w:pPr>
      <w:r w:rsidRPr="00392EAD">
        <w:rPr>
          <w:lang w:val="pt-BR"/>
        </w:rPr>
        <w:t>São 11 estudos de casos sobre recursos minerais e</w:t>
      </w:r>
      <w:r w:rsidRPr="00392EAD">
        <w:rPr>
          <w:lang w:val="pt-BR"/>
        </w:rPr>
        <w:t xml:space="preserve"> sociedade exclusivos da região Centro-Oeste, dentre os 105 verbetes deste livro. Soma-se a este total mais  um estudo de caso que ultrapassa o recorte político-administrativo do Centro-Oeste, devido a sua interface com a região Norte: trata-se de um estud</w:t>
      </w:r>
      <w:r w:rsidRPr="00392EAD">
        <w:rPr>
          <w:lang w:val="pt-BR"/>
        </w:rPr>
        <w:t>o de caso que aborda os índios da etnia Kayapó e a atividade garimpeira em Mato Grosso e no</w:t>
      </w:r>
      <w:r w:rsidRPr="00392EAD">
        <w:rPr>
          <w:spacing w:val="-7"/>
          <w:lang w:val="pt-BR"/>
        </w:rPr>
        <w:t xml:space="preserve"> </w:t>
      </w:r>
      <w:r w:rsidRPr="00392EAD">
        <w:rPr>
          <w:lang w:val="pt-BR"/>
        </w:rPr>
        <w:t>Pará.</w:t>
      </w:r>
    </w:p>
    <w:p w:rsidR="00D81F69" w:rsidRPr="00392EAD" w:rsidRDefault="00D81F69">
      <w:pPr>
        <w:pStyle w:val="Corpodetexto"/>
        <w:ind w:left="0"/>
        <w:jc w:val="left"/>
        <w:rPr>
          <w:sz w:val="22"/>
          <w:lang w:val="pt-BR"/>
        </w:rPr>
      </w:pPr>
    </w:p>
    <w:p w:rsidR="00D81F69" w:rsidRPr="00392EAD" w:rsidRDefault="00330118">
      <w:pPr>
        <w:ind w:left="101" w:right="115"/>
        <w:jc w:val="both"/>
        <w:rPr>
          <w:lang w:val="pt-BR"/>
        </w:rPr>
      </w:pPr>
      <w:r w:rsidRPr="00392EAD">
        <w:rPr>
          <w:lang w:val="pt-BR"/>
        </w:rPr>
        <w:t>A maior parte dos estudos é relativa a empreendimentos localizados no estado de Goiás (8 no total de 11 da região), destacando o papel do estado na mineração</w:t>
      </w:r>
      <w:r w:rsidRPr="00392EAD">
        <w:rPr>
          <w:lang w:val="pt-BR"/>
        </w:rPr>
        <w:t xml:space="preserve"> em nível regional. A maioria dos empreendimentos estudados encontra-se em funcionamento há mais de 20 anos, e apenas um teve suas atividades encerradas. As minas e os garimpos são os principais objetos de estudo dos verbetes redigidos, ainda que haja menç</w:t>
      </w:r>
      <w:r w:rsidRPr="00392EAD">
        <w:rPr>
          <w:lang w:val="pt-BR"/>
        </w:rPr>
        <w:t>ão aos Arranjos Produtivos Locais (APLs), à extração ilegal de minérios e às indústrias de transformação.</w:t>
      </w:r>
    </w:p>
    <w:p w:rsidR="00D81F69" w:rsidRPr="00392EAD" w:rsidRDefault="00D81F69">
      <w:pPr>
        <w:pStyle w:val="Corpodetexto"/>
        <w:spacing w:before="1"/>
        <w:ind w:left="0"/>
        <w:jc w:val="left"/>
        <w:rPr>
          <w:sz w:val="22"/>
          <w:lang w:val="pt-BR"/>
        </w:rPr>
      </w:pPr>
    </w:p>
    <w:p w:rsidR="00D81F69" w:rsidRDefault="00330118">
      <w:pPr>
        <w:ind w:left="101" w:right="115"/>
        <w:jc w:val="both"/>
      </w:pPr>
      <w:r w:rsidRPr="00392EAD">
        <w:rPr>
          <w:lang w:val="pt-BR"/>
        </w:rPr>
        <w:t xml:space="preserve">O Centro-Oeste contabiliza 467 municípios (IBGE, 2013a). Dentre os verbetes, metade se refere a empreendimentos que abrangem mais de um município e, outra metade envolve apenas um município. </w:t>
      </w:r>
      <w:r>
        <w:t>Todas são cidades de pequeno porte, com até 50 mil</w:t>
      </w:r>
    </w:p>
    <w:p w:rsidR="00D81F69" w:rsidRDefault="00D81F69">
      <w:pPr>
        <w:pStyle w:val="Corpodetexto"/>
        <w:spacing w:before="7"/>
        <w:ind w:left="0"/>
        <w:jc w:val="left"/>
        <w:rPr>
          <w:sz w:val="16"/>
        </w:rPr>
      </w:pPr>
      <w:r w:rsidRPr="00D81F69">
        <w:pict>
          <v:line id="_x0000_s1031" style="position:absolute;z-index:6064;mso-wrap-distance-left:0;mso-wrap-distance-right:0;mso-position-horizontal-relative:page" from="85.1pt,11.9pt" to="229.1pt,11.9pt" strokeweight=".72pt">
            <w10:wrap type="topAndBottom" anchorx="page"/>
          </v:line>
        </w:pict>
      </w:r>
    </w:p>
    <w:p w:rsidR="00D81F69" w:rsidRPr="00392EAD" w:rsidRDefault="00330118">
      <w:pPr>
        <w:pStyle w:val="Corpodetexto"/>
        <w:spacing w:before="35"/>
        <w:ind w:left="101" w:right="118"/>
        <w:rPr>
          <w:lang w:val="pt-BR"/>
        </w:rPr>
      </w:pPr>
      <w:r w:rsidRPr="00392EAD">
        <w:rPr>
          <w:position w:val="9"/>
          <w:sz w:val="12"/>
          <w:lang w:val="pt-BR"/>
        </w:rPr>
        <w:t xml:space="preserve">1 </w:t>
      </w:r>
      <w:r w:rsidRPr="00392EAD">
        <w:rPr>
          <w:lang w:val="pt-BR"/>
        </w:rPr>
        <w:t>Geógrafo pela Universidade Federal do Rio de Janeiro (UFRJ). Historiador pela Universidade Federal do Estado do Rio de Janeiro (UNIRIO). Bolsista do Programa de Capacitação Institucional do Ministério da Ciência, Tecnologia e Inovação / CNPq-CETEM. Contato</w:t>
      </w:r>
      <w:r w:rsidRPr="00392EAD">
        <w:rPr>
          <w:lang w:val="pt-BR"/>
        </w:rPr>
        <w:t xml:space="preserve">: </w:t>
      </w:r>
      <w:hyperlink r:id="rId856">
        <w:r w:rsidRPr="00392EAD">
          <w:rPr>
            <w:lang w:val="pt-BR"/>
          </w:rPr>
          <w:t>rrocha@cetem.gov.br</w:t>
        </w:r>
      </w:hyperlink>
    </w:p>
    <w:p w:rsidR="00D81F69" w:rsidRPr="00392EAD" w:rsidRDefault="00330118">
      <w:pPr>
        <w:pStyle w:val="Corpodetexto"/>
        <w:spacing w:line="206" w:lineRule="exact"/>
        <w:ind w:left="101" w:hanging="1"/>
        <w:jc w:val="left"/>
        <w:rPr>
          <w:lang w:val="pt-BR"/>
        </w:rPr>
      </w:pPr>
      <w:r w:rsidRPr="00392EAD">
        <w:rPr>
          <w:position w:val="9"/>
          <w:sz w:val="12"/>
          <w:lang w:val="pt-BR"/>
        </w:rPr>
        <w:t xml:space="preserve">2 </w:t>
      </w:r>
      <w:r w:rsidRPr="00392EAD">
        <w:rPr>
          <w:lang w:val="pt-BR"/>
        </w:rPr>
        <w:t>Doutorado em Geologia pela Universidade Federal do Rio de Janeiro (UFRJ). Bolsista do Programa de</w:t>
      </w:r>
    </w:p>
    <w:p w:rsidR="00D81F69" w:rsidRPr="00392EAD" w:rsidRDefault="00330118">
      <w:pPr>
        <w:pStyle w:val="Corpodetexto"/>
        <w:ind w:left="101" w:right="115"/>
        <w:rPr>
          <w:lang w:val="pt-BR"/>
        </w:rPr>
      </w:pPr>
      <w:r w:rsidRPr="00392EAD">
        <w:rPr>
          <w:lang w:val="pt-BR"/>
        </w:rPr>
        <w:t>Capacitação Institucional do Ministério da Ciência, Tecnologia e Inovação / CNPq-CETEM. Co</w:t>
      </w:r>
      <w:r w:rsidRPr="00392EAD">
        <w:rPr>
          <w:lang w:val="pt-BR"/>
        </w:rPr>
        <w:t xml:space="preserve">ntato: </w:t>
      </w:r>
      <w:hyperlink r:id="rId857">
        <w:r w:rsidRPr="00392EAD">
          <w:rPr>
            <w:lang w:val="pt-BR"/>
          </w:rPr>
          <w:t>ralamino@cetem.gov.br</w:t>
        </w:r>
      </w:hyperlink>
    </w:p>
    <w:p w:rsidR="00D81F69" w:rsidRPr="00392EAD" w:rsidRDefault="00330118">
      <w:pPr>
        <w:pStyle w:val="Corpodetexto"/>
        <w:spacing w:before="5" w:line="206" w:lineRule="exact"/>
        <w:ind w:left="101" w:right="119"/>
        <w:rPr>
          <w:lang w:val="pt-BR"/>
        </w:rPr>
      </w:pPr>
      <w:r w:rsidRPr="00392EAD">
        <w:rPr>
          <w:position w:val="9"/>
          <w:sz w:val="12"/>
          <w:lang w:val="pt-BR"/>
        </w:rPr>
        <w:t xml:space="preserve">3 </w:t>
      </w:r>
      <w:r w:rsidRPr="00392EAD">
        <w:rPr>
          <w:lang w:val="pt-BR"/>
        </w:rPr>
        <w:t xml:space="preserve">Pós-Doutorado em Desenvolvimento Sustentável e Recursos Minerais pela Universidade do Porto. Tecnologista Sênior do Centro de Tecnologia Mineral – CETEM. Contato: </w:t>
      </w:r>
      <w:hyperlink r:id="rId858">
        <w:r w:rsidRPr="00392EAD">
          <w:rPr>
            <w:lang w:val="pt-BR"/>
          </w:rPr>
          <w:t>ffernandes@cetem.gov.br</w:t>
        </w:r>
      </w:hyperlink>
    </w:p>
    <w:p w:rsidR="00D81F69" w:rsidRPr="00392EAD" w:rsidRDefault="00D81F69">
      <w:pPr>
        <w:spacing w:line="206" w:lineRule="exact"/>
        <w:rPr>
          <w:lang w:val="pt-BR"/>
        </w:rPr>
        <w:sectPr w:rsidR="00D81F69" w:rsidRPr="00392EAD">
          <w:pgSz w:w="11910" w:h="16840"/>
          <w:pgMar w:top="680" w:right="1580" w:bottom="720" w:left="1600" w:header="0" w:footer="402" w:gutter="0"/>
          <w:cols w:space="720"/>
        </w:sectPr>
      </w:pPr>
    </w:p>
    <w:p w:rsidR="00D81F69" w:rsidRPr="00392EAD" w:rsidRDefault="00330118">
      <w:pPr>
        <w:pStyle w:val="Heading3"/>
        <w:ind w:left="5909"/>
        <w:rPr>
          <w:lang w:val="pt-BR"/>
        </w:rPr>
      </w:pPr>
      <w:r w:rsidRPr="00392EAD">
        <w:rPr>
          <w:lang w:val="pt-BR"/>
        </w:rPr>
        <w:lastRenderedPageBreak/>
        <w:t>REGIÃO CENTRO‐OESTE</w:t>
      </w:r>
    </w:p>
    <w:p w:rsidR="00D81F69" w:rsidRPr="00392EAD" w:rsidRDefault="00D81F69">
      <w:pPr>
        <w:pStyle w:val="Corpodetexto"/>
        <w:ind w:left="0"/>
        <w:jc w:val="left"/>
        <w:rPr>
          <w:rFonts w:ascii="Calibri"/>
          <w:sz w:val="30"/>
          <w:lang w:val="pt-BR"/>
        </w:rPr>
      </w:pPr>
    </w:p>
    <w:p w:rsidR="00D81F69" w:rsidRPr="00392EAD" w:rsidRDefault="00330118">
      <w:pPr>
        <w:pStyle w:val="Heading5"/>
        <w:spacing w:before="1"/>
        <w:ind w:right="117"/>
        <w:rPr>
          <w:lang w:val="pt-BR"/>
        </w:rPr>
      </w:pPr>
      <w:r w:rsidRPr="00392EAD">
        <w:rPr>
          <w:lang w:val="pt-BR"/>
        </w:rPr>
        <w:t xml:space="preserve">habitantes. Nas cidades mencionadas, a população residente urbana é a mais impactada, embora, em alguns casos, comunidades ribeirinhas e indígenas também tenham </w:t>
      </w:r>
      <w:r w:rsidRPr="00392EAD">
        <w:rPr>
          <w:lang w:val="pt-BR"/>
        </w:rPr>
        <w:t>sido afetadas por atividades da mineração ou pelo garimpo.</w:t>
      </w:r>
    </w:p>
    <w:p w:rsidR="00D81F69" w:rsidRPr="00392EAD" w:rsidRDefault="00D81F69">
      <w:pPr>
        <w:pStyle w:val="Corpodetexto"/>
        <w:spacing w:before="10"/>
        <w:ind w:left="0"/>
        <w:jc w:val="left"/>
        <w:rPr>
          <w:sz w:val="21"/>
          <w:lang w:val="pt-BR"/>
        </w:rPr>
      </w:pPr>
    </w:p>
    <w:p w:rsidR="00D81F69" w:rsidRPr="00392EAD" w:rsidRDefault="00330118">
      <w:pPr>
        <w:spacing w:before="1"/>
        <w:ind w:left="101" w:right="114"/>
        <w:jc w:val="both"/>
        <w:rPr>
          <w:lang w:val="pt-BR"/>
        </w:rPr>
      </w:pPr>
      <w:r w:rsidRPr="00392EAD">
        <w:rPr>
          <w:lang w:val="pt-BR"/>
        </w:rPr>
        <w:t>No Centro-Oeste, 33% da população são de migrantes (IBGE, 2013b). É comum que grandes minas atraiam muitas pessoas que deixam sua terra natal rumo a cidades mais prósperas em busca de melhores opo</w:t>
      </w:r>
      <w:r w:rsidRPr="00392EAD">
        <w:rPr>
          <w:lang w:val="pt-BR"/>
        </w:rPr>
        <w:t>rtunidades de trabalho e qualidade de vida. Entretanto, municípios cuja economia gira em torno da mineração muitas vezes têm dificuldades para atender às demandas das famílias que imigraram.</w:t>
      </w:r>
    </w:p>
    <w:p w:rsidR="00D81F69" w:rsidRPr="00392EAD" w:rsidRDefault="00D81F69">
      <w:pPr>
        <w:pStyle w:val="Corpodetexto"/>
        <w:spacing w:before="11"/>
        <w:ind w:left="0"/>
        <w:jc w:val="left"/>
        <w:rPr>
          <w:sz w:val="21"/>
          <w:lang w:val="pt-BR"/>
        </w:rPr>
      </w:pPr>
    </w:p>
    <w:p w:rsidR="00D81F69" w:rsidRPr="00392EAD" w:rsidRDefault="00330118">
      <w:pPr>
        <w:ind w:left="101" w:right="114"/>
        <w:jc w:val="both"/>
        <w:rPr>
          <w:lang w:val="pt-BR"/>
        </w:rPr>
      </w:pPr>
      <w:r w:rsidRPr="00392EAD">
        <w:rPr>
          <w:lang w:val="pt-BR"/>
        </w:rPr>
        <w:t>Dentre os impactos socioeconômicos negativos identificados, além do crescimento desordenado das cidades, por conta do inchaço populacional e da ausência de infraestrutura adequada que atenda às necessidades da população, ganham destaque os danos à saúde do</w:t>
      </w:r>
      <w:r w:rsidRPr="00392EAD">
        <w:rPr>
          <w:lang w:val="pt-BR"/>
        </w:rPr>
        <w:t>s habitantes e os problemas trabalhistas. Em menor escala também foram registrados: conflitos fundiários, trabalho análogo à escravidão e trabalho infantil.</w:t>
      </w:r>
    </w:p>
    <w:p w:rsidR="00D81F69" w:rsidRPr="00392EAD" w:rsidRDefault="00D81F69">
      <w:pPr>
        <w:pStyle w:val="Corpodetexto"/>
        <w:ind w:left="0"/>
        <w:jc w:val="left"/>
        <w:rPr>
          <w:sz w:val="22"/>
          <w:lang w:val="pt-BR"/>
        </w:rPr>
      </w:pPr>
    </w:p>
    <w:p w:rsidR="00D81F69" w:rsidRPr="00392EAD" w:rsidRDefault="00330118">
      <w:pPr>
        <w:ind w:left="101" w:right="117"/>
        <w:jc w:val="both"/>
        <w:rPr>
          <w:lang w:val="pt-BR"/>
        </w:rPr>
      </w:pPr>
      <w:r w:rsidRPr="00392EAD">
        <w:rPr>
          <w:lang w:val="pt-BR"/>
        </w:rPr>
        <w:t>Quanto à questão ambiental, a maior parte dos estudos de casos verificou algum tipo de prejuízo ao</w:t>
      </w:r>
      <w:r w:rsidRPr="00392EAD">
        <w:rPr>
          <w:lang w:val="pt-BR"/>
        </w:rPr>
        <w:t xml:space="preserve"> ecossistema local, sobretudo por conta da poluição do ar, dos solos e das águas fluviais e subterrâneas, do assoreamento e do desmatamento. Tais impactos negativos normalmente culminam na alteração drástica da paisagem natural e na extinção de espécies ve</w:t>
      </w:r>
      <w:r w:rsidRPr="00392EAD">
        <w:rPr>
          <w:lang w:val="pt-BR"/>
        </w:rPr>
        <w:t>getais e</w:t>
      </w:r>
      <w:r w:rsidRPr="00392EAD">
        <w:rPr>
          <w:spacing w:val="-2"/>
          <w:lang w:val="pt-BR"/>
        </w:rPr>
        <w:t xml:space="preserve"> </w:t>
      </w:r>
      <w:r w:rsidRPr="00392EAD">
        <w:rPr>
          <w:lang w:val="pt-BR"/>
        </w:rPr>
        <w:t>animais.</w:t>
      </w:r>
    </w:p>
    <w:p w:rsidR="00D81F69" w:rsidRPr="00392EAD" w:rsidRDefault="00D81F69">
      <w:pPr>
        <w:pStyle w:val="Corpodetexto"/>
        <w:ind w:left="0"/>
        <w:jc w:val="left"/>
        <w:rPr>
          <w:sz w:val="22"/>
          <w:lang w:val="pt-BR"/>
        </w:rPr>
      </w:pPr>
    </w:p>
    <w:p w:rsidR="00D81F69" w:rsidRPr="00392EAD" w:rsidRDefault="00330118">
      <w:pPr>
        <w:ind w:left="101" w:right="117"/>
        <w:jc w:val="both"/>
        <w:rPr>
          <w:lang w:val="pt-BR"/>
        </w:rPr>
      </w:pPr>
      <w:r w:rsidRPr="00392EAD">
        <w:rPr>
          <w:lang w:val="pt-BR"/>
        </w:rPr>
        <w:t>Um total de seis verbetes apontou a ocorrência de liberação no ambiente de resíduos e a consequente contaminação por substâncias perigosas, dentre elas metais pesados e radiativos. Ainda que na maioria dos estudos de casos não tenha sido</w:t>
      </w:r>
      <w:r w:rsidRPr="00392EAD">
        <w:rPr>
          <w:lang w:val="pt-BR"/>
        </w:rPr>
        <w:t xml:space="preserve"> verificada a interferência do Ministério Público, em quatro deles o Ministério Público interveio, mas só em duas situações houve assinatura de Termo de Ajustamento de Conduta</w:t>
      </w:r>
      <w:r w:rsidRPr="00392EAD">
        <w:rPr>
          <w:spacing w:val="-15"/>
          <w:lang w:val="pt-BR"/>
        </w:rPr>
        <w:t xml:space="preserve"> </w:t>
      </w:r>
      <w:r w:rsidRPr="00392EAD">
        <w:rPr>
          <w:lang w:val="pt-BR"/>
        </w:rPr>
        <w:t>(TAC).</w:t>
      </w:r>
    </w:p>
    <w:p w:rsidR="00D81F69" w:rsidRPr="00392EAD" w:rsidRDefault="00D81F69">
      <w:pPr>
        <w:pStyle w:val="Corpodetexto"/>
        <w:ind w:left="0"/>
        <w:jc w:val="left"/>
        <w:rPr>
          <w:sz w:val="22"/>
          <w:lang w:val="pt-BR"/>
        </w:rPr>
      </w:pPr>
    </w:p>
    <w:p w:rsidR="00D81F69" w:rsidRPr="00392EAD" w:rsidRDefault="00330118">
      <w:pPr>
        <w:ind w:left="101"/>
        <w:jc w:val="both"/>
        <w:rPr>
          <w:b/>
          <w:lang w:val="pt-BR"/>
        </w:rPr>
      </w:pPr>
      <w:r w:rsidRPr="00392EAD">
        <w:rPr>
          <w:b/>
          <w:lang w:val="pt-BR"/>
        </w:rPr>
        <w:t>Goiás destaca-se na região</w:t>
      </w:r>
    </w:p>
    <w:p w:rsidR="00D81F69" w:rsidRPr="00392EAD" w:rsidRDefault="00D81F69">
      <w:pPr>
        <w:pStyle w:val="Corpodetexto"/>
        <w:spacing w:before="11"/>
        <w:ind w:left="0"/>
        <w:jc w:val="left"/>
        <w:rPr>
          <w:b/>
          <w:sz w:val="21"/>
          <w:lang w:val="pt-BR"/>
        </w:rPr>
      </w:pPr>
    </w:p>
    <w:p w:rsidR="00D81F69" w:rsidRPr="00392EAD" w:rsidRDefault="00330118">
      <w:pPr>
        <w:ind w:left="101" w:right="116"/>
        <w:jc w:val="both"/>
        <w:rPr>
          <w:lang w:val="pt-BR"/>
        </w:rPr>
      </w:pPr>
      <w:r w:rsidRPr="00392EAD">
        <w:rPr>
          <w:lang w:val="pt-BR"/>
        </w:rPr>
        <w:t>O estado de Goiás é destaque na mineração do</w:t>
      </w:r>
      <w:r w:rsidRPr="00392EAD">
        <w:rPr>
          <w:lang w:val="pt-BR"/>
        </w:rPr>
        <w:t xml:space="preserve"> Centro-Oeste, e, em 2011, registrou o maior saldo positivo de trabalhadores na indústria extrativa mineral da região, com um incremento de cerca de 600 empregados (desconsiderando os setores de petróleo e gás natural). Dois dos 28 maiores municípios empre</w:t>
      </w:r>
      <w:r w:rsidRPr="00392EAD">
        <w:rPr>
          <w:lang w:val="pt-BR"/>
        </w:rPr>
        <w:t>gadores do setor mineral estão em Goiás, destacando-se Crixás e Niquelândia (DNPM, 2012). Corumbá (MS) é o único município do Centro-Oeste que aparece com um desempenho melhor do que Crixás e Niquelândia. Entretanto, a realidade de Corumbá é peculiar por a</w:t>
      </w:r>
      <w:r w:rsidRPr="00392EAD">
        <w:rPr>
          <w:lang w:val="pt-BR"/>
        </w:rPr>
        <w:t>brigar a maior  reserva de manganês do país e a terceira maior de ferro. (CORUMBÁ,</w:t>
      </w:r>
      <w:r w:rsidRPr="00392EAD">
        <w:rPr>
          <w:spacing w:val="-7"/>
          <w:lang w:val="pt-BR"/>
        </w:rPr>
        <w:t xml:space="preserve"> </w:t>
      </w:r>
      <w:r w:rsidRPr="00392EAD">
        <w:rPr>
          <w:lang w:val="pt-BR"/>
        </w:rPr>
        <w:t>2013).</w:t>
      </w:r>
    </w:p>
    <w:p w:rsidR="00D81F69" w:rsidRPr="00392EAD" w:rsidRDefault="00D81F69">
      <w:pPr>
        <w:pStyle w:val="Corpodetexto"/>
        <w:spacing w:before="11"/>
        <w:ind w:left="0"/>
        <w:jc w:val="left"/>
        <w:rPr>
          <w:sz w:val="21"/>
          <w:lang w:val="pt-BR"/>
        </w:rPr>
      </w:pPr>
    </w:p>
    <w:p w:rsidR="00D81F69" w:rsidRPr="00392EAD" w:rsidRDefault="00330118">
      <w:pPr>
        <w:ind w:left="101" w:right="118"/>
        <w:jc w:val="both"/>
        <w:rPr>
          <w:lang w:val="pt-BR"/>
        </w:rPr>
      </w:pPr>
      <w:r w:rsidRPr="00392EAD">
        <w:rPr>
          <w:lang w:val="pt-BR"/>
        </w:rPr>
        <w:t>Goiás aparece ainda com a quarta maior arrecadação de CFEM para o ano de 2011 (3,7% do valor nacional), perdendo apenas para os estados de Minas Gerais, Pará e São P</w:t>
      </w:r>
      <w:r w:rsidRPr="00392EAD">
        <w:rPr>
          <w:lang w:val="pt-BR"/>
        </w:rPr>
        <w:t>aulo (DNPM, 2012).</w:t>
      </w:r>
    </w:p>
    <w:p w:rsidR="00D81F69" w:rsidRPr="00392EAD" w:rsidRDefault="00D81F69">
      <w:pPr>
        <w:pStyle w:val="Corpodetexto"/>
        <w:ind w:left="0"/>
        <w:jc w:val="left"/>
        <w:rPr>
          <w:sz w:val="22"/>
          <w:lang w:val="pt-BR"/>
        </w:rPr>
      </w:pPr>
    </w:p>
    <w:p w:rsidR="00D81F69" w:rsidRPr="00392EAD" w:rsidRDefault="00330118">
      <w:pPr>
        <w:spacing w:before="1"/>
        <w:ind w:left="101"/>
        <w:jc w:val="both"/>
        <w:rPr>
          <w:lang w:val="pt-BR"/>
        </w:rPr>
      </w:pPr>
      <w:r w:rsidRPr="00392EAD">
        <w:rPr>
          <w:lang w:val="pt-BR"/>
        </w:rPr>
        <w:t>Os empreendimentos estudados no presente capítulo estão em operação há mais de</w:t>
      </w:r>
    </w:p>
    <w:p w:rsidR="00D81F69" w:rsidRPr="00392EAD" w:rsidRDefault="00330118">
      <w:pPr>
        <w:ind w:left="101" w:right="117"/>
        <w:jc w:val="both"/>
        <w:rPr>
          <w:lang w:val="pt-BR"/>
        </w:rPr>
      </w:pPr>
      <w:r w:rsidRPr="00392EAD">
        <w:rPr>
          <w:lang w:val="pt-BR"/>
        </w:rPr>
        <w:t>20 anos. A principal atividade produtiva são as minas, seguidas por garimpos, indústrias de transformação e um APL (Gráfico 1).</w:t>
      </w:r>
    </w:p>
    <w:p w:rsidR="00D81F69" w:rsidRPr="00392EAD" w:rsidRDefault="00D81F69">
      <w:pPr>
        <w:jc w:val="both"/>
        <w:rPr>
          <w:lang w:val="pt-BR"/>
        </w:rPr>
        <w:sectPr w:rsidR="00D81F69" w:rsidRPr="00392EAD">
          <w:pgSz w:w="11910" w:h="16840"/>
          <w:pgMar w:top="680" w:right="1580" w:bottom="720" w:left="1600" w:header="0" w:footer="402" w:gutter="0"/>
          <w:cols w:space="720"/>
        </w:sectPr>
      </w:pPr>
    </w:p>
    <w:p w:rsidR="00D81F69" w:rsidRPr="00392EAD" w:rsidRDefault="00330118">
      <w:pPr>
        <w:spacing w:before="26"/>
        <w:ind w:left="5909"/>
        <w:rPr>
          <w:rFonts w:ascii="Calibri" w:hAnsi="Calibri"/>
          <w:sz w:val="28"/>
          <w:lang w:val="pt-BR"/>
        </w:rPr>
      </w:pPr>
      <w:r w:rsidRPr="00392EAD">
        <w:rPr>
          <w:rFonts w:ascii="Calibri" w:hAnsi="Calibri"/>
          <w:sz w:val="28"/>
          <w:lang w:val="pt-BR"/>
        </w:rPr>
        <w:lastRenderedPageBreak/>
        <w:t>REGIÃO CENT</w:t>
      </w:r>
      <w:r w:rsidRPr="00392EAD">
        <w:rPr>
          <w:rFonts w:ascii="Calibri" w:hAnsi="Calibri"/>
          <w:sz w:val="28"/>
          <w:lang w:val="pt-BR"/>
        </w:rPr>
        <w:t>RO‐OESTE</w:t>
      </w:r>
    </w:p>
    <w:p w:rsidR="00D81F69" w:rsidRPr="00392EAD" w:rsidRDefault="00330118">
      <w:pPr>
        <w:pStyle w:val="Corpodetexto"/>
        <w:spacing w:before="3"/>
        <w:ind w:left="0"/>
        <w:jc w:val="left"/>
        <w:rPr>
          <w:rFonts w:ascii="Calibri"/>
          <w:sz w:val="28"/>
          <w:lang w:val="pt-BR"/>
        </w:rPr>
      </w:pPr>
      <w:r>
        <w:rPr>
          <w:noProof/>
          <w:lang w:val="pt-BR" w:eastAsia="pt-BR"/>
        </w:rPr>
        <w:drawing>
          <wp:anchor distT="0" distB="0" distL="0" distR="0" simplePos="0" relativeHeight="6088" behindDoc="0" locked="0" layoutInCell="1" allowOverlap="1">
            <wp:simplePos x="0" y="0"/>
            <wp:positionH relativeFrom="page">
              <wp:posOffset>1108925</wp:posOffset>
            </wp:positionH>
            <wp:positionV relativeFrom="paragraph">
              <wp:posOffset>243930</wp:posOffset>
            </wp:positionV>
            <wp:extent cx="5367071" cy="2025586"/>
            <wp:effectExtent l="0" t="0" r="0" b="0"/>
            <wp:wrapTopAndBottom/>
            <wp:docPr id="24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27.png"/>
                    <pic:cNvPicPr/>
                  </pic:nvPicPr>
                  <pic:blipFill>
                    <a:blip r:embed="rId859" cstate="print"/>
                    <a:stretch>
                      <a:fillRect/>
                    </a:stretch>
                  </pic:blipFill>
                  <pic:spPr>
                    <a:xfrm>
                      <a:off x="0" y="0"/>
                      <a:ext cx="5367071" cy="2025586"/>
                    </a:xfrm>
                    <a:prstGeom prst="rect">
                      <a:avLst/>
                    </a:prstGeom>
                  </pic:spPr>
                </pic:pic>
              </a:graphicData>
            </a:graphic>
          </wp:anchor>
        </w:drawing>
      </w:r>
    </w:p>
    <w:p w:rsidR="00D81F69" w:rsidRPr="00392EAD" w:rsidRDefault="00330118">
      <w:pPr>
        <w:pStyle w:val="Corpodetexto"/>
        <w:ind w:left="101" w:right="117"/>
        <w:rPr>
          <w:lang w:val="pt-BR"/>
        </w:rPr>
      </w:pPr>
      <w:r w:rsidRPr="00392EAD">
        <w:rPr>
          <w:lang w:val="pt-BR"/>
        </w:rPr>
        <w:t>Gráfico 1. Classificações das diferentes atividades produtivas no âmbito dos recursos minerais no estado de Goiás.</w:t>
      </w:r>
    </w:p>
    <w:p w:rsidR="00D81F69" w:rsidRPr="00392EAD" w:rsidRDefault="00D81F69">
      <w:pPr>
        <w:pStyle w:val="Corpodetexto"/>
        <w:ind w:left="0"/>
        <w:jc w:val="left"/>
        <w:rPr>
          <w:sz w:val="20"/>
          <w:lang w:val="pt-BR"/>
        </w:rPr>
      </w:pPr>
    </w:p>
    <w:p w:rsidR="00D81F69" w:rsidRPr="00392EAD" w:rsidRDefault="00D81F69">
      <w:pPr>
        <w:pStyle w:val="Corpodetexto"/>
        <w:spacing w:before="2"/>
        <w:ind w:left="0"/>
        <w:jc w:val="left"/>
        <w:rPr>
          <w:sz w:val="24"/>
          <w:lang w:val="pt-BR"/>
        </w:rPr>
      </w:pPr>
    </w:p>
    <w:p w:rsidR="00D81F69" w:rsidRPr="00392EAD" w:rsidRDefault="00330118">
      <w:pPr>
        <w:pStyle w:val="Heading5"/>
        <w:ind w:right="117"/>
        <w:rPr>
          <w:lang w:val="pt-BR"/>
        </w:rPr>
      </w:pPr>
      <w:r w:rsidRPr="00392EAD">
        <w:rPr>
          <w:lang w:val="pt-BR"/>
        </w:rPr>
        <w:t>No estado, as populações mais impactadas foram as residentes nos centros urbanos em que se localizam os empreendimentos mineradores, mas as comunidades ribeirinhas também estão sujeitas aos impactos da exploração dos recursos minerais goianos (Gráfico 2).</w:t>
      </w:r>
    </w:p>
    <w:p w:rsidR="00D81F69" w:rsidRPr="00392EAD" w:rsidRDefault="00330118">
      <w:pPr>
        <w:pStyle w:val="Corpodetexto"/>
        <w:spacing w:before="1"/>
        <w:ind w:left="0"/>
        <w:jc w:val="left"/>
        <w:rPr>
          <w:sz w:val="20"/>
          <w:lang w:val="pt-BR"/>
        </w:rPr>
      </w:pPr>
      <w:r>
        <w:rPr>
          <w:noProof/>
          <w:lang w:val="pt-BR" w:eastAsia="pt-BR"/>
        </w:rPr>
        <w:drawing>
          <wp:anchor distT="0" distB="0" distL="0" distR="0" simplePos="0" relativeHeight="6112" behindDoc="0" locked="0" layoutInCell="1" allowOverlap="1">
            <wp:simplePos x="0" y="0"/>
            <wp:positionH relativeFrom="page">
              <wp:posOffset>1108887</wp:posOffset>
            </wp:positionH>
            <wp:positionV relativeFrom="paragraph">
              <wp:posOffset>171758</wp:posOffset>
            </wp:positionV>
            <wp:extent cx="5387059" cy="1437513"/>
            <wp:effectExtent l="0" t="0" r="0" b="0"/>
            <wp:wrapTopAndBottom/>
            <wp:docPr id="24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28.png"/>
                    <pic:cNvPicPr/>
                  </pic:nvPicPr>
                  <pic:blipFill>
                    <a:blip r:embed="rId860" cstate="print"/>
                    <a:stretch>
                      <a:fillRect/>
                    </a:stretch>
                  </pic:blipFill>
                  <pic:spPr>
                    <a:xfrm>
                      <a:off x="0" y="0"/>
                      <a:ext cx="5387059" cy="1437513"/>
                    </a:xfrm>
                    <a:prstGeom prst="rect">
                      <a:avLst/>
                    </a:prstGeom>
                  </pic:spPr>
                </pic:pic>
              </a:graphicData>
            </a:graphic>
          </wp:anchor>
        </w:drawing>
      </w:r>
    </w:p>
    <w:p w:rsidR="00D81F69" w:rsidRPr="00392EAD" w:rsidRDefault="00330118">
      <w:pPr>
        <w:pStyle w:val="Corpodetexto"/>
        <w:ind w:left="101"/>
        <w:jc w:val="left"/>
        <w:rPr>
          <w:lang w:val="pt-BR"/>
        </w:rPr>
      </w:pPr>
      <w:r w:rsidRPr="00392EAD">
        <w:rPr>
          <w:lang w:val="pt-BR"/>
        </w:rPr>
        <w:t>Gráfico 2. Populações impactadas pela exploração mineral nos estudos de casos para o estado de Goiás.</w:t>
      </w:r>
    </w:p>
    <w:p w:rsidR="00D81F69" w:rsidRPr="00392EAD" w:rsidRDefault="00D81F69">
      <w:pPr>
        <w:pStyle w:val="Corpodetexto"/>
        <w:ind w:left="0"/>
        <w:jc w:val="left"/>
        <w:rPr>
          <w:sz w:val="20"/>
          <w:lang w:val="pt-BR"/>
        </w:rPr>
      </w:pPr>
    </w:p>
    <w:p w:rsidR="00D81F69" w:rsidRPr="00392EAD" w:rsidRDefault="00D81F69">
      <w:pPr>
        <w:pStyle w:val="Corpodetexto"/>
        <w:spacing w:before="3"/>
        <w:ind w:left="0"/>
        <w:jc w:val="left"/>
        <w:rPr>
          <w:sz w:val="24"/>
          <w:lang w:val="pt-BR"/>
        </w:rPr>
      </w:pPr>
    </w:p>
    <w:p w:rsidR="00D81F69" w:rsidRPr="00392EAD" w:rsidRDefault="00330118">
      <w:pPr>
        <w:pStyle w:val="Heading5"/>
        <w:rPr>
          <w:lang w:val="pt-BR"/>
        </w:rPr>
      </w:pPr>
      <w:r w:rsidRPr="00392EAD">
        <w:rPr>
          <w:lang w:val="pt-BR"/>
        </w:rPr>
        <w:t>Entre os impactos negativos verificados destacam-se problemas de saúde e questões trabalhistas provenientes da exploração mineral. Em menor escala, po</w:t>
      </w:r>
      <w:r w:rsidRPr="00392EAD">
        <w:rPr>
          <w:lang w:val="pt-BR"/>
        </w:rPr>
        <w:t>rém não menos importantes, aparecem os problemas relativos à ocupação territorial desordenada e que se relacionam com a exploração dos recursos minerais. Dentre esses problemas encontram-se: crescimento desordenado, inchaço populacional e infraestrutura in</w:t>
      </w:r>
      <w:r w:rsidRPr="00392EAD">
        <w:rPr>
          <w:lang w:val="pt-BR"/>
        </w:rPr>
        <w:t>adequada para atender ao crescimento do número de moradores (Gráfico 3).</w:t>
      </w:r>
    </w:p>
    <w:p w:rsidR="00D81F69" w:rsidRPr="00392EAD" w:rsidRDefault="00330118">
      <w:pPr>
        <w:pStyle w:val="Corpodetexto"/>
        <w:spacing w:before="1"/>
        <w:ind w:left="0"/>
        <w:jc w:val="left"/>
        <w:rPr>
          <w:sz w:val="20"/>
          <w:lang w:val="pt-BR"/>
        </w:rPr>
      </w:pPr>
      <w:r>
        <w:rPr>
          <w:noProof/>
          <w:lang w:val="pt-BR" w:eastAsia="pt-BR"/>
        </w:rPr>
        <w:drawing>
          <wp:anchor distT="0" distB="0" distL="0" distR="0" simplePos="0" relativeHeight="6136" behindDoc="0" locked="0" layoutInCell="1" allowOverlap="1">
            <wp:simplePos x="0" y="0"/>
            <wp:positionH relativeFrom="page">
              <wp:posOffset>1108952</wp:posOffset>
            </wp:positionH>
            <wp:positionV relativeFrom="paragraph">
              <wp:posOffset>171837</wp:posOffset>
            </wp:positionV>
            <wp:extent cx="5405094" cy="2263140"/>
            <wp:effectExtent l="0" t="0" r="0" b="0"/>
            <wp:wrapTopAndBottom/>
            <wp:docPr id="25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29.png"/>
                    <pic:cNvPicPr/>
                  </pic:nvPicPr>
                  <pic:blipFill>
                    <a:blip r:embed="rId861" cstate="print"/>
                    <a:stretch>
                      <a:fillRect/>
                    </a:stretch>
                  </pic:blipFill>
                  <pic:spPr>
                    <a:xfrm>
                      <a:off x="0" y="0"/>
                      <a:ext cx="5405094" cy="2263140"/>
                    </a:xfrm>
                    <a:prstGeom prst="rect">
                      <a:avLst/>
                    </a:prstGeom>
                  </pic:spPr>
                </pic:pic>
              </a:graphicData>
            </a:graphic>
          </wp:anchor>
        </w:drawing>
      </w:r>
    </w:p>
    <w:p w:rsidR="00D81F69" w:rsidRPr="00392EAD" w:rsidRDefault="00330118">
      <w:pPr>
        <w:pStyle w:val="Corpodetexto"/>
        <w:ind w:left="101"/>
        <w:rPr>
          <w:lang w:val="pt-BR"/>
        </w:rPr>
      </w:pPr>
      <w:r w:rsidRPr="00392EAD">
        <w:rPr>
          <w:lang w:val="pt-BR"/>
        </w:rPr>
        <w:t>Gráfico 3. Associação da exploração mineral a impactos negativos no estado de Goiás.</w:t>
      </w:r>
    </w:p>
    <w:p w:rsidR="00D81F69" w:rsidRPr="00392EAD" w:rsidRDefault="00D81F69">
      <w:pPr>
        <w:rPr>
          <w:lang w:val="pt-BR"/>
        </w:rPr>
        <w:sectPr w:rsidR="00D81F69" w:rsidRPr="00392EAD">
          <w:pgSz w:w="11910" w:h="16840"/>
          <w:pgMar w:top="680" w:right="1580" w:bottom="720" w:left="1600" w:header="0" w:footer="402" w:gutter="0"/>
          <w:cols w:space="720"/>
        </w:sectPr>
      </w:pPr>
    </w:p>
    <w:p w:rsidR="00D81F69" w:rsidRPr="00392EAD" w:rsidRDefault="00330118">
      <w:pPr>
        <w:pStyle w:val="Heading3"/>
        <w:ind w:left="5909"/>
        <w:rPr>
          <w:lang w:val="pt-BR"/>
        </w:rPr>
      </w:pPr>
      <w:r w:rsidRPr="00392EAD">
        <w:rPr>
          <w:lang w:val="pt-BR"/>
        </w:rPr>
        <w:lastRenderedPageBreak/>
        <w:t>REGIÃO CENTRO‐OESTE</w:t>
      </w:r>
    </w:p>
    <w:p w:rsidR="00D81F69" w:rsidRPr="00392EAD" w:rsidRDefault="00D81F69">
      <w:pPr>
        <w:pStyle w:val="Corpodetexto"/>
        <w:ind w:left="0"/>
        <w:jc w:val="left"/>
        <w:rPr>
          <w:rFonts w:ascii="Calibri"/>
          <w:sz w:val="28"/>
          <w:lang w:val="pt-BR"/>
        </w:rPr>
      </w:pPr>
    </w:p>
    <w:p w:rsidR="00D81F69" w:rsidRPr="00392EAD" w:rsidRDefault="00D81F69">
      <w:pPr>
        <w:pStyle w:val="Corpodetexto"/>
        <w:spacing w:before="1"/>
        <w:ind w:left="0"/>
        <w:jc w:val="left"/>
        <w:rPr>
          <w:rFonts w:ascii="Calibri"/>
          <w:sz w:val="24"/>
          <w:lang w:val="pt-BR"/>
        </w:rPr>
      </w:pPr>
    </w:p>
    <w:p w:rsidR="00D81F69" w:rsidRPr="00392EAD" w:rsidRDefault="00330118">
      <w:pPr>
        <w:pStyle w:val="Heading5"/>
        <w:spacing w:after="16"/>
        <w:ind w:right="117"/>
        <w:rPr>
          <w:lang w:val="pt-BR"/>
        </w:rPr>
      </w:pPr>
      <w:r w:rsidRPr="00392EAD">
        <w:rPr>
          <w:lang w:val="pt-BR"/>
        </w:rPr>
        <w:t>Quanto aos impactos ambientais, os mais corriqueiros são</w:t>
      </w:r>
      <w:r w:rsidRPr="00392EAD">
        <w:rPr>
          <w:lang w:val="pt-BR"/>
        </w:rPr>
        <w:t xml:space="preserve"> a poluição do ar e dos recursos hídricos, repercutindo em prejuízos aos ecossistemas de Goiás. A deposição irregular de resíduos, o assoreamento de rios, o desmatamento e a alteração de paisagem também foram notados (Gráfico 4).</w:t>
      </w:r>
    </w:p>
    <w:p w:rsidR="00D81F69" w:rsidRDefault="00330118">
      <w:pPr>
        <w:pStyle w:val="Corpodetexto"/>
        <w:ind w:left="145"/>
        <w:jc w:val="left"/>
        <w:rPr>
          <w:sz w:val="20"/>
        </w:rPr>
      </w:pPr>
      <w:r>
        <w:rPr>
          <w:noProof/>
          <w:sz w:val="20"/>
          <w:lang w:val="pt-BR" w:eastAsia="pt-BR"/>
        </w:rPr>
        <w:drawing>
          <wp:inline distT="0" distB="0" distL="0" distR="0">
            <wp:extent cx="5400341" cy="3337083"/>
            <wp:effectExtent l="0" t="0" r="0" b="0"/>
            <wp:docPr id="25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30.png"/>
                    <pic:cNvPicPr/>
                  </pic:nvPicPr>
                  <pic:blipFill>
                    <a:blip r:embed="rId862" cstate="print"/>
                    <a:stretch>
                      <a:fillRect/>
                    </a:stretch>
                  </pic:blipFill>
                  <pic:spPr>
                    <a:xfrm>
                      <a:off x="0" y="0"/>
                      <a:ext cx="5400341" cy="3337083"/>
                    </a:xfrm>
                    <a:prstGeom prst="rect">
                      <a:avLst/>
                    </a:prstGeom>
                  </pic:spPr>
                </pic:pic>
              </a:graphicData>
            </a:graphic>
          </wp:inline>
        </w:drawing>
      </w:r>
    </w:p>
    <w:p w:rsidR="00D81F69" w:rsidRPr="00392EAD" w:rsidRDefault="00330118">
      <w:pPr>
        <w:pStyle w:val="Corpodetexto"/>
        <w:ind w:left="101"/>
        <w:rPr>
          <w:lang w:val="pt-BR"/>
        </w:rPr>
      </w:pPr>
      <w:r w:rsidRPr="00392EAD">
        <w:rPr>
          <w:lang w:val="pt-BR"/>
        </w:rPr>
        <w:t>Gráfico 4. Impactos ambientais da exploração mineral listados nos estudos de casos no estado de Goiás.</w:t>
      </w:r>
    </w:p>
    <w:p w:rsidR="00D81F69" w:rsidRPr="00392EAD" w:rsidRDefault="00D81F69">
      <w:pPr>
        <w:pStyle w:val="Corpodetexto"/>
        <w:ind w:left="0"/>
        <w:jc w:val="left"/>
        <w:rPr>
          <w:sz w:val="20"/>
          <w:lang w:val="pt-BR"/>
        </w:rPr>
      </w:pPr>
    </w:p>
    <w:p w:rsidR="00D81F69" w:rsidRPr="00392EAD" w:rsidRDefault="00D81F69">
      <w:pPr>
        <w:pStyle w:val="Corpodetexto"/>
        <w:spacing w:before="1"/>
        <w:ind w:left="0"/>
        <w:jc w:val="left"/>
        <w:rPr>
          <w:sz w:val="24"/>
          <w:lang w:val="pt-BR"/>
        </w:rPr>
      </w:pPr>
    </w:p>
    <w:p w:rsidR="00D81F69" w:rsidRPr="00392EAD" w:rsidRDefault="00330118">
      <w:pPr>
        <w:pStyle w:val="Heading5"/>
        <w:spacing w:before="1"/>
        <w:ind w:right="115"/>
        <w:rPr>
          <w:lang w:val="pt-BR"/>
        </w:rPr>
      </w:pPr>
      <w:r w:rsidRPr="00392EAD">
        <w:rPr>
          <w:lang w:val="pt-BR"/>
        </w:rPr>
        <w:t>Há ainda casos de contaminação por metais pesados, radioativos, asbesto, dentre outros, que agravam as condições ambientais (Gráfico 5). Goiás, em gera</w:t>
      </w:r>
      <w:r w:rsidRPr="00392EAD">
        <w:rPr>
          <w:lang w:val="pt-BR"/>
        </w:rPr>
        <w:t>l, possui  uma vegetação nativa típica de Cerrado. Entretanto, o quadro de preservação deste bioma é</w:t>
      </w:r>
      <w:r w:rsidRPr="00392EAD">
        <w:rPr>
          <w:spacing w:val="-1"/>
          <w:lang w:val="pt-BR"/>
        </w:rPr>
        <w:t xml:space="preserve"> </w:t>
      </w:r>
      <w:r w:rsidRPr="00392EAD">
        <w:rPr>
          <w:lang w:val="pt-BR"/>
        </w:rPr>
        <w:t>crítico.</w:t>
      </w:r>
    </w:p>
    <w:p w:rsidR="00D81F69" w:rsidRPr="00392EAD" w:rsidRDefault="00330118">
      <w:pPr>
        <w:pStyle w:val="Corpodetexto"/>
        <w:spacing w:before="2"/>
        <w:ind w:left="0"/>
        <w:jc w:val="left"/>
        <w:rPr>
          <w:sz w:val="20"/>
          <w:lang w:val="pt-BR"/>
        </w:rPr>
      </w:pPr>
      <w:r>
        <w:rPr>
          <w:noProof/>
          <w:lang w:val="pt-BR" w:eastAsia="pt-BR"/>
        </w:rPr>
        <w:drawing>
          <wp:anchor distT="0" distB="0" distL="0" distR="0" simplePos="0" relativeHeight="6160" behindDoc="0" locked="0" layoutInCell="1" allowOverlap="1">
            <wp:simplePos x="0" y="0"/>
            <wp:positionH relativeFrom="page">
              <wp:posOffset>1113448</wp:posOffset>
            </wp:positionH>
            <wp:positionV relativeFrom="paragraph">
              <wp:posOffset>172117</wp:posOffset>
            </wp:positionV>
            <wp:extent cx="5367767" cy="1269491"/>
            <wp:effectExtent l="0" t="0" r="0" b="0"/>
            <wp:wrapTopAndBottom/>
            <wp:docPr id="255"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31.png"/>
                    <pic:cNvPicPr/>
                  </pic:nvPicPr>
                  <pic:blipFill>
                    <a:blip r:embed="rId863" cstate="print"/>
                    <a:stretch>
                      <a:fillRect/>
                    </a:stretch>
                  </pic:blipFill>
                  <pic:spPr>
                    <a:xfrm>
                      <a:off x="0" y="0"/>
                      <a:ext cx="5367767" cy="1269491"/>
                    </a:xfrm>
                    <a:prstGeom prst="rect">
                      <a:avLst/>
                    </a:prstGeom>
                  </pic:spPr>
                </pic:pic>
              </a:graphicData>
            </a:graphic>
          </wp:anchor>
        </w:drawing>
      </w:r>
    </w:p>
    <w:p w:rsidR="00D81F69" w:rsidRPr="00392EAD" w:rsidRDefault="00330118">
      <w:pPr>
        <w:pStyle w:val="Corpodetexto"/>
        <w:spacing w:before="98"/>
        <w:ind w:left="101" w:right="116"/>
        <w:rPr>
          <w:lang w:val="pt-BR"/>
        </w:rPr>
      </w:pPr>
      <w:r w:rsidRPr="00392EAD">
        <w:rPr>
          <w:lang w:val="pt-BR"/>
        </w:rPr>
        <w:t>Gráfico 5. Estudos de casos dos impactos gerados por contaminação de substâncias perigosas decorrentes da extração mineral no estado de Goiás.</w:t>
      </w:r>
    </w:p>
    <w:p w:rsidR="00D81F69" w:rsidRPr="00392EAD" w:rsidRDefault="00D81F69">
      <w:pPr>
        <w:pStyle w:val="Corpodetexto"/>
        <w:spacing w:before="10"/>
        <w:ind w:left="0"/>
        <w:jc w:val="left"/>
        <w:rPr>
          <w:sz w:val="21"/>
          <w:lang w:val="pt-BR"/>
        </w:rPr>
      </w:pPr>
    </w:p>
    <w:p w:rsidR="00D81F69" w:rsidRPr="00392EAD" w:rsidRDefault="00330118">
      <w:pPr>
        <w:pStyle w:val="Heading5"/>
        <w:ind w:right="115" w:hanging="1"/>
        <w:rPr>
          <w:lang w:val="pt-BR"/>
        </w:rPr>
      </w:pPr>
      <w:r w:rsidRPr="00392EAD">
        <w:rPr>
          <w:lang w:val="pt-BR"/>
        </w:rPr>
        <w:t xml:space="preserve">A exploração dos recursos minerais, as </w:t>
      </w:r>
      <w:r w:rsidRPr="00392EAD">
        <w:rPr>
          <w:i/>
          <w:lang w:val="pt-BR"/>
        </w:rPr>
        <w:t xml:space="preserve">plantations </w:t>
      </w:r>
      <w:r w:rsidRPr="00392EAD">
        <w:rPr>
          <w:lang w:val="pt-BR"/>
        </w:rPr>
        <w:t>do agronegócio, a pecuária extensiva e da construção de hidroelétricas, são os principais componentes do processo de desmatamento no Cerrado. Este bioma, que é a segunda maior formação vegetal da América d</w:t>
      </w:r>
      <w:r w:rsidRPr="00392EAD">
        <w:rPr>
          <w:lang w:val="pt-BR"/>
        </w:rPr>
        <w:t>o Sul, atrás apenas da Amazônia, já teve metade de sua formação original eliminada (WWF,</w:t>
      </w:r>
      <w:r w:rsidRPr="00392EAD">
        <w:rPr>
          <w:spacing w:val="-1"/>
          <w:lang w:val="pt-BR"/>
        </w:rPr>
        <w:t xml:space="preserve"> </w:t>
      </w:r>
      <w:r w:rsidRPr="00392EAD">
        <w:rPr>
          <w:lang w:val="pt-BR"/>
        </w:rPr>
        <w:t>2013).</w:t>
      </w:r>
    </w:p>
    <w:p w:rsidR="00D81F69" w:rsidRPr="00392EAD" w:rsidRDefault="00D81F69">
      <w:pPr>
        <w:pStyle w:val="Corpodetexto"/>
        <w:ind w:left="0"/>
        <w:jc w:val="left"/>
        <w:rPr>
          <w:sz w:val="22"/>
          <w:lang w:val="pt-BR"/>
        </w:rPr>
      </w:pPr>
    </w:p>
    <w:p w:rsidR="00D81F69" w:rsidRPr="00392EAD" w:rsidRDefault="00330118">
      <w:pPr>
        <w:ind w:left="101" w:right="118"/>
        <w:jc w:val="both"/>
        <w:rPr>
          <w:lang w:val="pt-BR"/>
        </w:rPr>
      </w:pPr>
      <w:r w:rsidRPr="00392EAD">
        <w:rPr>
          <w:lang w:val="pt-BR"/>
        </w:rPr>
        <w:t>Goiás é o maior estado brasileiro e está inserido praticamente em sua totalidade no Cerrado. A atividade mineral goiana tem o desafio de conciliar desenvolvime</w:t>
      </w:r>
      <w:r w:rsidRPr="00392EAD">
        <w:rPr>
          <w:lang w:val="pt-BR"/>
        </w:rPr>
        <w:t>nto econômico e sustentabilidade dos empreendimentos, trazendo para si, ou em</w:t>
      </w:r>
      <w:r w:rsidRPr="00392EAD">
        <w:rPr>
          <w:spacing w:val="55"/>
          <w:lang w:val="pt-BR"/>
        </w:rPr>
        <w:t xml:space="preserve"> </w:t>
      </w:r>
      <w:r w:rsidRPr="00392EAD">
        <w:rPr>
          <w:lang w:val="pt-BR"/>
        </w:rPr>
        <w:t>parceria</w:t>
      </w:r>
    </w:p>
    <w:p w:rsidR="00D81F69" w:rsidRPr="00392EAD" w:rsidRDefault="00D81F69">
      <w:pPr>
        <w:jc w:val="both"/>
        <w:rPr>
          <w:lang w:val="pt-BR"/>
        </w:rPr>
        <w:sectPr w:rsidR="00D81F69" w:rsidRPr="00392EAD">
          <w:pgSz w:w="11910" w:h="16840"/>
          <w:pgMar w:top="680" w:right="1580" w:bottom="720" w:left="1600" w:header="0" w:footer="402" w:gutter="0"/>
          <w:cols w:space="720"/>
        </w:sectPr>
      </w:pPr>
    </w:p>
    <w:p w:rsidR="00D81F69" w:rsidRPr="00392EAD" w:rsidRDefault="00330118">
      <w:pPr>
        <w:spacing w:before="26"/>
        <w:ind w:left="5909"/>
        <w:rPr>
          <w:rFonts w:ascii="Calibri" w:hAnsi="Calibri"/>
          <w:sz w:val="28"/>
          <w:lang w:val="pt-BR"/>
        </w:rPr>
      </w:pPr>
      <w:r w:rsidRPr="00392EAD">
        <w:rPr>
          <w:rFonts w:ascii="Calibri" w:hAnsi="Calibri"/>
          <w:sz w:val="28"/>
          <w:lang w:val="pt-BR"/>
        </w:rPr>
        <w:lastRenderedPageBreak/>
        <w:t>REGIÃO CENTRO‐OESTE</w:t>
      </w:r>
    </w:p>
    <w:p w:rsidR="00D81F69" w:rsidRPr="00392EAD" w:rsidRDefault="00D81F69">
      <w:pPr>
        <w:pStyle w:val="Corpodetexto"/>
        <w:ind w:left="0"/>
        <w:jc w:val="left"/>
        <w:rPr>
          <w:rFonts w:ascii="Calibri"/>
          <w:sz w:val="30"/>
          <w:lang w:val="pt-BR"/>
        </w:rPr>
      </w:pPr>
    </w:p>
    <w:p w:rsidR="00D81F69" w:rsidRPr="00392EAD" w:rsidRDefault="00330118">
      <w:pPr>
        <w:spacing w:before="1"/>
        <w:ind w:left="101" w:right="631"/>
        <w:rPr>
          <w:lang w:val="pt-BR"/>
        </w:rPr>
      </w:pPr>
      <w:r w:rsidRPr="00392EAD">
        <w:rPr>
          <w:lang w:val="pt-BR"/>
        </w:rPr>
        <w:t>com o poder público, a tarefa de recuperação ambiental de áreas de Cerrado já devastadas.</w:t>
      </w:r>
    </w:p>
    <w:p w:rsidR="00D81F69" w:rsidRPr="00392EAD" w:rsidRDefault="00330118">
      <w:pPr>
        <w:ind w:left="101" w:right="117"/>
        <w:jc w:val="both"/>
        <w:rPr>
          <w:lang w:val="pt-BR"/>
        </w:rPr>
      </w:pPr>
      <w:r w:rsidRPr="00392EAD">
        <w:rPr>
          <w:lang w:val="pt-BR"/>
        </w:rPr>
        <w:t>Finalmente, apenas dois estudos de casos mencionaram a interferência do Ministério Público na resolução de problemas relativos às atividades mineradoras avaliadas neste capítulo. Um desses casos resultou na assinatura de um TAC, cuja função é justamente fa</w:t>
      </w:r>
      <w:r w:rsidRPr="00392EAD">
        <w:rPr>
          <w:lang w:val="pt-BR"/>
        </w:rPr>
        <w:t>zer com que as boas práticas do setor mineral sejam delineadas e cumpridas sob a luz da legislação vigente e do desenvolvimento socioambiental que a sociedade</w:t>
      </w:r>
      <w:r w:rsidRPr="00392EAD">
        <w:rPr>
          <w:spacing w:val="-1"/>
          <w:lang w:val="pt-BR"/>
        </w:rPr>
        <w:t xml:space="preserve"> </w:t>
      </w:r>
      <w:r w:rsidRPr="00392EAD">
        <w:rPr>
          <w:lang w:val="pt-BR"/>
        </w:rPr>
        <w:t>demanda.</w:t>
      </w:r>
    </w:p>
    <w:p w:rsidR="00D81F69" w:rsidRPr="00392EAD" w:rsidRDefault="00D81F69">
      <w:pPr>
        <w:pStyle w:val="Corpodetexto"/>
        <w:ind w:left="0"/>
        <w:jc w:val="left"/>
        <w:rPr>
          <w:sz w:val="22"/>
          <w:lang w:val="pt-BR"/>
        </w:rPr>
      </w:pPr>
    </w:p>
    <w:p w:rsidR="00D81F69" w:rsidRPr="00392EAD" w:rsidRDefault="00330118">
      <w:pPr>
        <w:pStyle w:val="Heading6"/>
        <w:spacing w:line="240" w:lineRule="auto"/>
        <w:ind w:left="101"/>
        <w:jc w:val="both"/>
        <w:rPr>
          <w:lang w:val="pt-BR"/>
        </w:rPr>
      </w:pPr>
      <w:r w:rsidRPr="00392EAD">
        <w:rPr>
          <w:lang w:val="pt-BR"/>
        </w:rPr>
        <w:t>Referências bibliográficas</w:t>
      </w:r>
    </w:p>
    <w:p w:rsidR="00D81F69" w:rsidRPr="00392EAD" w:rsidRDefault="00D81F69">
      <w:pPr>
        <w:pStyle w:val="Corpodetexto"/>
        <w:spacing w:before="10"/>
        <w:ind w:left="0"/>
        <w:jc w:val="left"/>
        <w:rPr>
          <w:b/>
          <w:sz w:val="19"/>
          <w:lang w:val="pt-BR"/>
        </w:rPr>
      </w:pPr>
    </w:p>
    <w:p w:rsidR="00D81F69" w:rsidRDefault="00330118">
      <w:pPr>
        <w:pStyle w:val="Corpodetexto"/>
        <w:tabs>
          <w:tab w:val="left" w:pos="1667"/>
          <w:tab w:val="left" w:pos="3093"/>
          <w:tab w:val="left" w:pos="4210"/>
          <w:tab w:val="left" w:pos="5818"/>
          <w:tab w:val="left" w:pos="6865"/>
          <w:tab w:val="left" w:pos="8303"/>
        </w:tabs>
        <w:spacing w:before="1"/>
        <w:ind w:left="101"/>
      </w:pPr>
      <w:r w:rsidRPr="00392EAD">
        <w:rPr>
          <w:lang w:val="pt-BR"/>
        </w:rPr>
        <w:t>CORUMBÁ,</w:t>
      </w:r>
      <w:r w:rsidRPr="00392EAD">
        <w:rPr>
          <w:lang w:val="pt-BR"/>
        </w:rPr>
        <w:tab/>
        <w:t>Prefeitura.</w:t>
      </w:r>
      <w:r w:rsidRPr="00392EAD">
        <w:rPr>
          <w:lang w:val="pt-BR"/>
        </w:rPr>
        <w:tab/>
        <w:t>Dados</w:t>
      </w:r>
      <w:r w:rsidRPr="00392EAD">
        <w:rPr>
          <w:lang w:val="pt-BR"/>
        </w:rPr>
        <w:tab/>
        <w:t>econômicos.</w:t>
      </w:r>
      <w:r w:rsidRPr="00392EAD">
        <w:rPr>
          <w:lang w:val="pt-BR"/>
        </w:rPr>
        <w:tab/>
      </w:r>
      <w:r>
        <w:t>2013.</w:t>
      </w:r>
      <w:r>
        <w:tab/>
        <w:t>Disponível</w:t>
      </w:r>
      <w:r>
        <w:tab/>
        <w:t>em:</w:t>
      </w:r>
    </w:p>
    <w:p w:rsidR="00D81F69" w:rsidRPr="00392EAD" w:rsidRDefault="00330118">
      <w:pPr>
        <w:pStyle w:val="Corpodetexto"/>
        <w:spacing w:line="207" w:lineRule="exact"/>
        <w:ind w:left="101"/>
        <w:rPr>
          <w:lang w:val="pt-BR"/>
        </w:rPr>
      </w:pPr>
      <w:r>
        <w:t>&lt;</w:t>
      </w:r>
      <w:hyperlink r:id="rId864">
        <w:r>
          <w:t>http://www.corumba.ms.gov.br/site/corumba/2/dados-economicos/11/&gt;</w:t>
        </w:r>
      </w:hyperlink>
      <w:r>
        <w:t xml:space="preserve">. </w:t>
      </w:r>
      <w:r w:rsidRPr="00392EAD">
        <w:rPr>
          <w:lang w:val="pt-BR"/>
        </w:rPr>
        <w:t>Acesso em: 21 out. 2013.</w:t>
      </w:r>
    </w:p>
    <w:p w:rsidR="00D81F69" w:rsidRPr="00392EAD" w:rsidRDefault="00330118">
      <w:pPr>
        <w:pStyle w:val="Corpodetexto"/>
        <w:spacing w:line="207" w:lineRule="exact"/>
        <w:ind w:left="101"/>
        <w:rPr>
          <w:lang w:val="pt-BR"/>
        </w:rPr>
      </w:pPr>
      <w:r w:rsidRPr="00392EAD">
        <w:rPr>
          <w:lang w:val="pt-BR"/>
        </w:rPr>
        <w:t xml:space="preserve">DNPM, Departamento Nacional de Produção Mineral. Sumário mineral 2012. vol. 32. </w:t>
      </w:r>
      <w:r w:rsidRPr="00392EAD">
        <w:rPr>
          <w:lang w:val="pt-BR"/>
        </w:rPr>
        <w:t>Brasília, 2012. p. 19-</w:t>
      </w:r>
    </w:p>
    <w:p w:rsidR="00D81F69" w:rsidRPr="00392EAD" w:rsidRDefault="00330118">
      <w:pPr>
        <w:pStyle w:val="Corpodetexto"/>
        <w:tabs>
          <w:tab w:val="left" w:pos="3909"/>
          <w:tab w:val="left" w:pos="8306"/>
        </w:tabs>
        <w:spacing w:before="1" w:line="207" w:lineRule="exact"/>
        <w:ind w:left="101"/>
        <w:rPr>
          <w:lang w:val="pt-BR"/>
        </w:rPr>
      </w:pPr>
      <w:r w:rsidRPr="00392EAD">
        <w:rPr>
          <w:lang w:val="pt-BR"/>
        </w:rPr>
        <w:t>24.</w:t>
      </w:r>
      <w:r w:rsidRPr="00392EAD">
        <w:rPr>
          <w:lang w:val="pt-BR"/>
        </w:rPr>
        <w:tab/>
        <w:t>Disponível</w:t>
      </w:r>
      <w:r w:rsidRPr="00392EAD">
        <w:rPr>
          <w:lang w:val="pt-BR"/>
        </w:rPr>
        <w:tab/>
        <w:t>em:</w:t>
      </w:r>
    </w:p>
    <w:p w:rsidR="00D81F69" w:rsidRDefault="00330118">
      <w:pPr>
        <w:pStyle w:val="Corpodetexto"/>
        <w:tabs>
          <w:tab w:val="left" w:pos="8015"/>
        </w:tabs>
        <w:ind w:left="101" w:right="116"/>
        <w:jc w:val="left"/>
      </w:pPr>
      <w:r w:rsidRPr="00392EAD">
        <w:rPr>
          <w:spacing w:val="-1"/>
          <w:lang w:val="pt-BR"/>
        </w:rPr>
        <w:t>&lt;https://sistemas.dnpm.gov.br/publicacao/mostra_imagem.asp?IDBancoArquivoArquivo=7366&gt;.</w:t>
      </w:r>
      <w:r w:rsidRPr="00392EAD">
        <w:rPr>
          <w:spacing w:val="-1"/>
          <w:lang w:val="pt-BR"/>
        </w:rPr>
        <w:tab/>
      </w:r>
      <w:r>
        <w:t>Acesso em: 30 set.</w:t>
      </w:r>
      <w:r>
        <w:rPr>
          <w:spacing w:val="-1"/>
        </w:rPr>
        <w:t xml:space="preserve"> </w:t>
      </w:r>
      <w:r>
        <w:t>2013.</w:t>
      </w:r>
    </w:p>
    <w:p w:rsidR="00D81F69" w:rsidRDefault="00330118">
      <w:pPr>
        <w:pStyle w:val="Corpodetexto"/>
        <w:ind w:left="101"/>
      </w:pPr>
      <w:r w:rsidRPr="00392EAD">
        <w:rPr>
          <w:lang w:val="pt-BR"/>
        </w:rPr>
        <w:t xml:space="preserve">IBGE, Instituto Brasileiro de Geografia e Estatística. </w:t>
      </w:r>
      <w:r>
        <w:t>Perfil dos Estados. 2013a. Disponível em:</w:t>
      </w:r>
    </w:p>
    <w:p w:rsidR="00D81F69" w:rsidRPr="00392EAD" w:rsidRDefault="00330118">
      <w:pPr>
        <w:pStyle w:val="Corpodetexto"/>
        <w:spacing w:line="207" w:lineRule="exact"/>
        <w:ind w:left="101"/>
        <w:rPr>
          <w:lang w:val="pt-BR"/>
        </w:rPr>
      </w:pPr>
      <w:r>
        <w:t>&lt;</w:t>
      </w:r>
      <w:hyperlink r:id="rId865">
        <w:r>
          <w:t>http://www.ibge.com.br/estadosat/&gt;</w:t>
        </w:r>
      </w:hyperlink>
      <w:r>
        <w:t xml:space="preserve">. </w:t>
      </w:r>
      <w:r w:rsidRPr="00392EAD">
        <w:rPr>
          <w:lang w:val="pt-BR"/>
        </w:rPr>
        <w:t>Acesso em: 30 set. 2013.</w:t>
      </w:r>
    </w:p>
    <w:p w:rsidR="00D81F69" w:rsidRPr="00392EAD" w:rsidRDefault="00330118">
      <w:pPr>
        <w:pStyle w:val="Corpodetexto"/>
        <w:spacing w:line="207" w:lineRule="exact"/>
        <w:ind w:left="101"/>
        <w:rPr>
          <w:lang w:val="pt-BR"/>
        </w:rPr>
      </w:pPr>
      <w:r w:rsidRPr="00392EAD">
        <w:rPr>
          <w:u w:val="single"/>
          <w:lang w:val="pt-BR"/>
        </w:rPr>
        <w:t xml:space="preserve"> </w:t>
      </w:r>
      <w:r w:rsidRPr="00392EAD">
        <w:rPr>
          <w:u w:val="single"/>
          <w:lang w:val="pt-BR"/>
        </w:rPr>
        <w:t xml:space="preserve">         </w:t>
      </w:r>
      <w:r w:rsidRPr="00392EAD">
        <w:rPr>
          <w:lang w:val="pt-BR"/>
        </w:rPr>
        <w:t>. Sistema IBGE de Recuperação Automática – SIDRA. 2013b. Disponível em:</w:t>
      </w:r>
    </w:p>
    <w:p w:rsidR="00D81F69" w:rsidRPr="00392EAD" w:rsidRDefault="00D81F69">
      <w:pPr>
        <w:pStyle w:val="Corpodetexto"/>
        <w:spacing w:before="1" w:line="207" w:lineRule="exact"/>
        <w:ind w:left="101"/>
        <w:rPr>
          <w:lang w:val="pt-BR"/>
        </w:rPr>
      </w:pPr>
      <w:hyperlink r:id="rId866">
        <w:r w:rsidR="00330118" w:rsidRPr="00392EAD">
          <w:rPr>
            <w:lang w:val="pt-BR"/>
          </w:rPr>
          <w:t>&lt;http://</w:t>
        </w:r>
      </w:hyperlink>
      <w:r w:rsidR="00330118" w:rsidRPr="00392EAD">
        <w:rPr>
          <w:lang w:val="pt-BR"/>
        </w:rPr>
        <w:t>w</w:t>
      </w:r>
      <w:hyperlink r:id="rId867">
        <w:r w:rsidR="00330118" w:rsidRPr="00392EAD">
          <w:rPr>
            <w:lang w:val="pt-BR"/>
          </w:rPr>
          <w:t>ww.sidra.ibge.gov.br/</w:t>
        </w:r>
      </w:hyperlink>
      <w:r w:rsidR="00330118" w:rsidRPr="00392EAD">
        <w:rPr>
          <w:lang w:val="pt-BR"/>
        </w:rPr>
        <w:t>&gt;. Acesso em: 30 set. 2013.</w:t>
      </w:r>
    </w:p>
    <w:p w:rsidR="00D81F69" w:rsidRPr="00392EAD" w:rsidRDefault="00330118">
      <w:pPr>
        <w:pStyle w:val="Corpodetexto"/>
        <w:tabs>
          <w:tab w:val="left" w:pos="1415"/>
          <w:tab w:val="left" w:pos="3084"/>
          <w:tab w:val="left" w:pos="4618"/>
          <w:tab w:val="left" w:pos="5550"/>
          <w:tab w:val="left" w:pos="6732"/>
          <w:tab w:val="left" w:pos="8302"/>
        </w:tabs>
        <w:ind w:left="101" w:right="118"/>
        <w:jc w:val="left"/>
        <w:rPr>
          <w:lang w:val="pt-BR"/>
        </w:rPr>
      </w:pPr>
      <w:r w:rsidRPr="00392EAD">
        <w:rPr>
          <w:lang w:val="pt-BR"/>
        </w:rPr>
        <w:t>IBRAM, Instituto Brasileiro de Mineração. Informações e análises da economia mineral brasileira. 7ª edição,</w:t>
      </w:r>
      <w:r w:rsidRPr="00392EAD">
        <w:rPr>
          <w:lang w:val="pt-BR"/>
        </w:rPr>
        <w:tab/>
        <w:t>Brasília/DF:</w:t>
      </w:r>
      <w:r w:rsidRPr="00392EAD">
        <w:rPr>
          <w:lang w:val="pt-BR"/>
        </w:rPr>
        <w:tab/>
        <w:t>dezembro</w:t>
      </w:r>
      <w:r w:rsidRPr="00392EAD">
        <w:rPr>
          <w:lang w:val="pt-BR"/>
        </w:rPr>
        <w:tab/>
        <w:t>de</w:t>
      </w:r>
      <w:r w:rsidRPr="00392EAD">
        <w:rPr>
          <w:lang w:val="pt-BR"/>
        </w:rPr>
        <w:tab/>
        <w:t>2012.</w:t>
      </w:r>
      <w:r w:rsidRPr="00392EAD">
        <w:rPr>
          <w:lang w:val="pt-BR"/>
        </w:rPr>
        <w:tab/>
        <w:t>Disponível</w:t>
      </w:r>
      <w:r w:rsidRPr="00392EAD">
        <w:rPr>
          <w:lang w:val="pt-BR"/>
        </w:rPr>
        <w:tab/>
        <w:t>em:</w:t>
      </w:r>
    </w:p>
    <w:p w:rsidR="00D81F69" w:rsidRDefault="00330118">
      <w:pPr>
        <w:pStyle w:val="Corpodetexto"/>
        <w:ind w:left="101"/>
      </w:pPr>
      <w:r w:rsidRPr="00392EAD">
        <w:rPr>
          <w:lang w:val="pt-BR"/>
        </w:rPr>
        <w:t>&lt;</w:t>
      </w:r>
      <w:hyperlink r:id="rId868">
        <w:r w:rsidRPr="00392EAD">
          <w:rPr>
            <w:lang w:val="pt-BR"/>
          </w:rPr>
          <w:t>http://www.ibram.org.br/sites/1300/1382/00002806.pdf&gt;</w:t>
        </w:r>
      </w:hyperlink>
      <w:r w:rsidRPr="00392EAD">
        <w:rPr>
          <w:lang w:val="pt-BR"/>
        </w:rPr>
        <w:t xml:space="preserve">. </w:t>
      </w:r>
      <w:r>
        <w:t>Acesso em: 30 set. 2013.</w:t>
      </w:r>
    </w:p>
    <w:p w:rsidR="00D81F69" w:rsidRDefault="00330118">
      <w:pPr>
        <w:pStyle w:val="Corpodetexto"/>
        <w:tabs>
          <w:tab w:val="left" w:pos="1146"/>
          <w:tab w:val="left" w:pos="2159"/>
          <w:tab w:val="left" w:pos="3284"/>
          <w:tab w:val="left" w:pos="4679"/>
          <w:tab w:val="left" w:pos="5923"/>
          <w:tab w:val="left" w:pos="6918"/>
          <w:tab w:val="left" w:pos="8301"/>
        </w:tabs>
        <w:spacing w:line="207" w:lineRule="exact"/>
        <w:ind w:left="101"/>
      </w:pPr>
      <w:r>
        <w:t>WWF,</w:t>
      </w:r>
      <w:r>
        <w:tab/>
        <w:t>World</w:t>
      </w:r>
      <w:r>
        <w:tab/>
        <w:t>Wildlife</w:t>
      </w:r>
      <w:r>
        <w:tab/>
        <w:t>Fundation.</w:t>
      </w:r>
      <w:r>
        <w:tab/>
        <w:t>Cerrado.</w:t>
      </w:r>
      <w:r>
        <w:tab/>
        <w:t>2013.</w:t>
      </w:r>
      <w:r>
        <w:tab/>
        <w:t>Disponível</w:t>
      </w:r>
      <w:r>
        <w:tab/>
        <w:t>em:</w:t>
      </w:r>
    </w:p>
    <w:p w:rsidR="00D81F69" w:rsidRDefault="00330118">
      <w:pPr>
        <w:pStyle w:val="Corpodetexto"/>
        <w:spacing w:line="207" w:lineRule="exact"/>
        <w:ind w:left="101"/>
      </w:pPr>
      <w:r>
        <w:t>&lt;</w:t>
      </w:r>
      <w:hyperlink r:id="rId869">
        <w:r>
          <w:t>http://www.wwf.org.br/natureza_brasileira/areas_prioritarias/cerrado/&gt;</w:t>
        </w:r>
      </w:hyperlink>
      <w:r>
        <w:t>. Acesso em: 21 out. 2013.</w:t>
      </w:r>
    </w:p>
    <w:p w:rsidR="00D81F69" w:rsidRDefault="00D81F69">
      <w:pPr>
        <w:spacing w:line="207" w:lineRule="exact"/>
        <w:sectPr w:rsidR="00D81F69">
          <w:pgSz w:w="11910" w:h="16840"/>
          <w:pgMar w:top="680" w:right="1580" w:bottom="720" w:left="1600" w:header="0" w:footer="402" w:gutter="0"/>
          <w:cols w:space="720"/>
        </w:sectPr>
      </w:pPr>
    </w:p>
    <w:p w:rsidR="00D81F69" w:rsidRDefault="00330118">
      <w:pPr>
        <w:pStyle w:val="Heading1"/>
        <w:tabs>
          <w:tab w:val="left" w:pos="2693"/>
          <w:tab w:val="left" w:pos="2815"/>
          <w:tab w:val="left" w:pos="3403"/>
          <w:tab w:val="left" w:pos="3576"/>
          <w:tab w:val="left" w:pos="4697"/>
          <w:tab w:val="left" w:pos="5569"/>
          <w:tab w:val="left" w:pos="6441"/>
          <w:tab w:val="left" w:pos="8245"/>
          <w:tab w:val="left" w:pos="9494"/>
        </w:tabs>
        <w:spacing w:line="208" w:lineRule="auto"/>
      </w:pPr>
      <w:r>
        <w:rPr>
          <w:spacing w:val="27"/>
        </w:rPr>
        <w:lastRenderedPageBreak/>
        <w:t>Exploração</w:t>
      </w:r>
      <w:r>
        <w:rPr>
          <w:spacing w:val="27"/>
        </w:rPr>
        <w:tab/>
      </w:r>
      <w:r>
        <w:rPr>
          <w:spacing w:val="27"/>
        </w:rPr>
        <w:tab/>
      </w:r>
      <w:r>
        <w:rPr>
          <w:spacing w:val="15"/>
        </w:rPr>
        <w:t>de</w:t>
      </w:r>
      <w:r>
        <w:rPr>
          <w:spacing w:val="15"/>
        </w:rPr>
        <w:tab/>
      </w:r>
      <w:r>
        <w:rPr>
          <w:spacing w:val="15"/>
        </w:rPr>
        <w:tab/>
      </w:r>
      <w:r>
        <w:rPr>
          <w:spacing w:val="26"/>
        </w:rPr>
        <w:t>amianto</w:t>
      </w:r>
      <w:r>
        <w:rPr>
          <w:spacing w:val="26"/>
        </w:rPr>
        <w:tab/>
      </w:r>
      <w:r>
        <w:rPr>
          <w:spacing w:val="15"/>
        </w:rPr>
        <w:t>em</w:t>
      </w:r>
      <w:r>
        <w:rPr>
          <w:spacing w:val="15"/>
        </w:rPr>
        <w:tab/>
      </w:r>
      <w:r>
        <w:rPr>
          <w:spacing w:val="25"/>
        </w:rPr>
        <w:t>Minaçu</w:t>
      </w:r>
      <w:r>
        <w:rPr>
          <w:spacing w:val="25"/>
        </w:rPr>
        <w:tab/>
      </w:r>
      <w:r>
        <w:rPr>
          <w:spacing w:val="23"/>
        </w:rPr>
        <w:t>(GO)</w:t>
      </w:r>
      <w:r>
        <w:rPr>
          <w:spacing w:val="23"/>
        </w:rPr>
        <w:tab/>
      </w:r>
      <w:r>
        <w:rPr>
          <w:spacing w:val="31"/>
        </w:rPr>
        <w:t xml:space="preserve">afeta </w:t>
      </w:r>
      <w:r>
        <w:rPr>
          <w:spacing w:val="27"/>
        </w:rPr>
        <w:t>moradores</w:t>
      </w:r>
      <w:r>
        <w:rPr>
          <w:spacing w:val="27"/>
        </w:rPr>
        <w:tab/>
      </w:r>
      <w:r>
        <w:t>e</w:t>
      </w:r>
      <w:r>
        <w:tab/>
      </w:r>
      <w:r>
        <w:rPr>
          <w:spacing w:val="23"/>
        </w:rPr>
        <w:t>meio</w:t>
      </w:r>
      <w:r>
        <w:rPr>
          <w:spacing w:val="23"/>
        </w:rPr>
        <w:tab/>
      </w:r>
      <w:r>
        <w:rPr>
          <w:spacing w:val="31"/>
        </w:rPr>
        <w:t>ambiente</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7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GO - Minaçu</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-13,5636</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-48,2221</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5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A mina de Cana Brava, localizada no </w:t>
      </w:r>
      <w:r>
        <w:rPr>
          <w:i/>
          <w:sz w:val="16"/>
        </w:rPr>
        <w:t>município de Minaçu detém 100% das reservas nacionais de amianto crisotila, cuja exploração é feita pela Sama S.A. Minerações Associadas. Apesar de a empresa ser responsável por uma das maiores fontes de arrecadação para o governo de Goiás, grande é o pass</w:t>
      </w:r>
      <w:r>
        <w:rPr>
          <w:i/>
          <w:sz w:val="16"/>
        </w:rPr>
        <w:t>ivo socioambiental para Minaçu.</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5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ind w:left="135"/>
        <w:jc w:val="left"/>
      </w:pPr>
      <w:r>
        <w:t>restante é exportado (MAGALHÃES; MARON, 2002).</w:t>
      </w:r>
    </w:p>
    <w:p w:rsidR="00D81F69" w:rsidRDefault="00330118">
      <w:pPr>
        <w:pStyle w:val="Corpodetexto"/>
        <w:spacing w:before="130" w:line="270" w:lineRule="atLeast"/>
        <w:ind w:left="135" w:right="216"/>
        <w:jc w:val="left"/>
      </w:pPr>
      <w:r>
        <w:t>O município de Minaçu está localizado no extremo norte de Goiás, a 504 km da capital do estado (NASCIMENTO et al., 2009). Com uma população estimada em 31.149 habitantes e u</w:t>
      </w:r>
      <w:r>
        <w:t xml:space="preserve">ma área territorial de 2.861 km² (IBGE, 2009), o município se destaca pela atividade mineral da qual depende grande parte da população, direta ou indiretamente. A cidade se constituiu  a </w:t>
      </w:r>
      <w:r>
        <w:rPr>
          <w:spacing w:val="3"/>
        </w:rPr>
        <w:t xml:space="preserve">partir </w:t>
      </w:r>
      <w:r>
        <w:rPr>
          <w:spacing w:val="1"/>
        </w:rPr>
        <w:t xml:space="preserve">da </w:t>
      </w:r>
      <w:r>
        <w:rPr>
          <w:spacing w:val="3"/>
        </w:rPr>
        <w:t xml:space="preserve">implantação </w:t>
      </w:r>
      <w:r>
        <w:rPr>
          <w:spacing w:val="1"/>
        </w:rPr>
        <w:t xml:space="preserve">do </w:t>
      </w:r>
      <w:r>
        <w:rPr>
          <w:spacing w:val="3"/>
        </w:rPr>
        <w:t xml:space="preserve">parque industrial </w:t>
      </w:r>
      <w:r>
        <w:rPr>
          <w:spacing w:val="1"/>
        </w:rPr>
        <w:t xml:space="preserve">da </w:t>
      </w:r>
      <w:r>
        <w:rPr>
          <w:spacing w:val="2"/>
        </w:rPr>
        <w:t xml:space="preserve">Sama </w:t>
      </w:r>
      <w:r>
        <w:rPr>
          <w:spacing w:val="5"/>
        </w:rPr>
        <w:t xml:space="preserve">na </w:t>
      </w:r>
      <w:r>
        <w:t>região da Serra</w:t>
      </w:r>
      <w:r>
        <w:t xml:space="preserve"> de Cana Brava para exploração do minério de </w:t>
      </w:r>
      <w:r>
        <w:rPr>
          <w:spacing w:val="3"/>
        </w:rPr>
        <w:t xml:space="preserve">amianto. </w:t>
      </w:r>
      <w:r>
        <w:rPr>
          <w:spacing w:val="2"/>
        </w:rPr>
        <w:t xml:space="preserve">Esse fato </w:t>
      </w:r>
      <w:r>
        <w:rPr>
          <w:spacing w:val="3"/>
        </w:rPr>
        <w:t xml:space="preserve">levou alguns proprietários </w:t>
      </w:r>
      <w:r>
        <w:rPr>
          <w:spacing w:val="1"/>
        </w:rPr>
        <w:t xml:space="preserve">de </w:t>
      </w:r>
      <w:r>
        <w:rPr>
          <w:spacing w:val="3"/>
        </w:rPr>
        <w:t xml:space="preserve">terras </w:t>
      </w:r>
      <w:r>
        <w:t xml:space="preserve">a </w:t>
      </w:r>
      <w:r>
        <w:rPr>
          <w:spacing w:val="5"/>
        </w:rPr>
        <w:t>doarem</w:t>
      </w:r>
      <w:r>
        <w:rPr>
          <w:spacing w:val="48"/>
        </w:rPr>
        <w:t xml:space="preserve"> </w:t>
      </w:r>
      <w:r>
        <w:rPr>
          <w:spacing w:val="5"/>
        </w:rPr>
        <w:t>parte</w:t>
      </w:r>
      <w:r>
        <w:rPr>
          <w:spacing w:val="48"/>
        </w:rPr>
        <w:t xml:space="preserve"> </w:t>
      </w:r>
      <w:r>
        <w:rPr>
          <w:spacing w:val="3"/>
        </w:rPr>
        <w:t>de</w:t>
      </w:r>
      <w:r>
        <w:rPr>
          <w:spacing w:val="48"/>
        </w:rPr>
        <w:t xml:space="preserve"> </w:t>
      </w:r>
      <w:r>
        <w:rPr>
          <w:spacing w:val="5"/>
        </w:rPr>
        <w:t>suas</w:t>
      </w:r>
      <w:r>
        <w:rPr>
          <w:spacing w:val="48"/>
        </w:rPr>
        <w:t xml:space="preserve"> </w:t>
      </w:r>
      <w:r>
        <w:rPr>
          <w:spacing w:val="5"/>
        </w:rPr>
        <w:t>glebas</w:t>
      </w:r>
      <w:r>
        <w:rPr>
          <w:spacing w:val="48"/>
        </w:rPr>
        <w:t xml:space="preserve"> </w:t>
      </w:r>
      <w:r>
        <w:rPr>
          <w:spacing w:val="5"/>
        </w:rPr>
        <w:t>para</w:t>
      </w:r>
      <w:r>
        <w:rPr>
          <w:spacing w:val="48"/>
        </w:rPr>
        <w:t xml:space="preserve"> </w:t>
      </w:r>
      <w:r>
        <w:rPr>
          <w:spacing w:val="6"/>
        </w:rPr>
        <w:t>implantação</w:t>
      </w:r>
      <w:r>
        <w:rPr>
          <w:spacing w:val="48"/>
        </w:rPr>
        <w:t xml:space="preserve"> </w:t>
      </w:r>
      <w:r>
        <w:rPr>
          <w:spacing w:val="3"/>
        </w:rPr>
        <w:t>de</w:t>
      </w:r>
      <w:r>
        <w:rPr>
          <w:spacing w:val="48"/>
        </w:rPr>
        <w:t xml:space="preserve"> </w:t>
      </w:r>
      <w:r>
        <w:rPr>
          <w:spacing w:val="7"/>
        </w:rPr>
        <w:t>um</w:t>
      </w:r>
    </w:p>
    <w:p w:rsidR="00D81F69" w:rsidRDefault="00D81F69">
      <w:pPr>
        <w:spacing w:line="270" w:lineRule="atLeast"/>
        <w:sectPr w:rsidR="00D81F69">
          <w:type w:val="continuous"/>
          <w:pgSz w:w="11900" w:h="16840"/>
          <w:pgMar w:top="720" w:right="500" w:bottom="280" w:left="620" w:header="720" w:footer="720" w:gutter="0"/>
          <w:cols w:num="3" w:space="720" w:equalWidth="0">
            <w:col w:w="1008" w:space="992"/>
            <w:col w:w="3117" w:space="318"/>
            <w:col w:w="5345"/>
          </w:cols>
        </w:sectPr>
      </w:pPr>
    </w:p>
    <w:p w:rsidR="00D81F69" w:rsidRDefault="00330118">
      <w:pPr>
        <w:pStyle w:val="Heading4"/>
        <w:spacing w:line="183" w:lineRule="exact"/>
      </w:pPr>
      <w:r>
        <w:lastRenderedPageBreak/>
        <w:t>APRESENTAÇÃO DE CASO</w:t>
      </w:r>
    </w:p>
    <w:p w:rsidR="00D81F69" w:rsidRDefault="00330118">
      <w:pPr>
        <w:pStyle w:val="Corpodetexto"/>
        <w:spacing w:before="170" w:line="312" w:lineRule="auto"/>
        <w:ind w:right="70"/>
      </w:pPr>
      <w:r>
        <w:t xml:space="preserve">O </w:t>
      </w:r>
      <w:hyperlink r:id="rId870">
        <w:r>
          <w:t xml:space="preserve">amianto </w:t>
        </w:r>
      </w:hyperlink>
      <w:r>
        <w:t xml:space="preserve">ou asbesto é uma fibra natural barata e resistente ao calor e ao fogo (O ESTADO DE SÃO PAULO, 2010). Em </w:t>
      </w:r>
      <w:r>
        <w:rPr>
          <w:spacing w:val="5"/>
        </w:rPr>
        <w:t xml:space="preserve">razão </w:t>
      </w:r>
      <w:r>
        <w:rPr>
          <w:spacing w:val="2"/>
        </w:rPr>
        <w:t xml:space="preserve">da </w:t>
      </w:r>
      <w:r>
        <w:rPr>
          <w:spacing w:val="3"/>
        </w:rPr>
        <w:t xml:space="preserve">sua </w:t>
      </w:r>
      <w:r>
        <w:rPr>
          <w:spacing w:val="5"/>
        </w:rPr>
        <w:t xml:space="preserve">natureza </w:t>
      </w:r>
      <w:r>
        <w:t xml:space="preserve">e </w:t>
      </w:r>
      <w:r>
        <w:rPr>
          <w:spacing w:val="5"/>
        </w:rPr>
        <w:t xml:space="preserve">diversidade </w:t>
      </w:r>
      <w:r>
        <w:rPr>
          <w:spacing w:val="2"/>
        </w:rPr>
        <w:t xml:space="preserve">de </w:t>
      </w:r>
      <w:r>
        <w:rPr>
          <w:spacing w:val="5"/>
        </w:rPr>
        <w:t xml:space="preserve">uso, </w:t>
      </w:r>
      <w:r>
        <w:t xml:space="preserve">o </w:t>
      </w:r>
      <w:r>
        <w:rPr>
          <w:spacing w:val="6"/>
        </w:rPr>
        <w:t xml:space="preserve">amianto </w:t>
      </w:r>
      <w:r>
        <w:t>pa</w:t>
      </w:r>
      <w:r>
        <w:t xml:space="preserve">ssou a ser conhecido como ouro branco. Um vasto campo </w:t>
      </w:r>
      <w:r>
        <w:rPr>
          <w:spacing w:val="2"/>
        </w:rPr>
        <w:t xml:space="preserve">de </w:t>
      </w:r>
      <w:r>
        <w:rPr>
          <w:spacing w:val="5"/>
        </w:rPr>
        <w:t xml:space="preserve">utilização </w:t>
      </w:r>
      <w:r>
        <w:rPr>
          <w:spacing w:val="3"/>
        </w:rPr>
        <w:t xml:space="preserve">foi </w:t>
      </w:r>
      <w:r>
        <w:rPr>
          <w:spacing w:val="5"/>
        </w:rPr>
        <w:t xml:space="preserve">conferido </w:t>
      </w:r>
      <w:r>
        <w:rPr>
          <w:spacing w:val="2"/>
        </w:rPr>
        <w:t xml:space="preserve">ao </w:t>
      </w:r>
      <w:r>
        <w:rPr>
          <w:spacing w:val="5"/>
        </w:rPr>
        <w:t xml:space="preserve">mineral, destacando-se na </w:t>
      </w:r>
      <w:r>
        <w:rPr>
          <w:spacing w:val="3"/>
        </w:rPr>
        <w:t xml:space="preserve">indústria (produtos têxteis, isolantes térmicos, pastilhas </w:t>
      </w:r>
      <w:r>
        <w:t xml:space="preserve">e </w:t>
      </w:r>
      <w:r>
        <w:rPr>
          <w:spacing w:val="3"/>
        </w:rPr>
        <w:t xml:space="preserve">lonas </w:t>
      </w:r>
      <w:r>
        <w:rPr>
          <w:spacing w:val="2"/>
        </w:rPr>
        <w:t xml:space="preserve">de </w:t>
      </w:r>
      <w:r>
        <w:rPr>
          <w:spacing w:val="3"/>
        </w:rPr>
        <w:t xml:space="preserve">freio </w:t>
      </w:r>
      <w:r>
        <w:rPr>
          <w:spacing w:val="2"/>
        </w:rPr>
        <w:t xml:space="preserve">de </w:t>
      </w:r>
      <w:r>
        <w:rPr>
          <w:spacing w:val="5"/>
        </w:rPr>
        <w:t xml:space="preserve">veículos) </w:t>
      </w:r>
      <w:r>
        <w:t xml:space="preserve">e </w:t>
      </w:r>
      <w:r>
        <w:rPr>
          <w:spacing w:val="2"/>
        </w:rPr>
        <w:t xml:space="preserve">na </w:t>
      </w:r>
      <w:r>
        <w:rPr>
          <w:spacing w:val="5"/>
        </w:rPr>
        <w:t xml:space="preserve">construção </w:t>
      </w:r>
      <w:r>
        <w:rPr>
          <w:spacing w:val="3"/>
        </w:rPr>
        <w:t xml:space="preserve">civil </w:t>
      </w:r>
      <w:r>
        <w:rPr>
          <w:spacing w:val="5"/>
        </w:rPr>
        <w:t>(telhas</w:t>
      </w:r>
      <w:r>
        <w:rPr>
          <w:spacing w:val="61"/>
        </w:rPr>
        <w:t xml:space="preserve"> </w:t>
      </w:r>
      <w:r>
        <w:rPr>
          <w:spacing w:val="1"/>
        </w:rPr>
        <w:t xml:space="preserve">onduladas, placas </w:t>
      </w:r>
      <w:r>
        <w:t xml:space="preserve">de </w:t>
      </w:r>
      <w:r>
        <w:rPr>
          <w:spacing w:val="1"/>
        </w:rPr>
        <w:t>reves</w:t>
      </w:r>
      <w:r>
        <w:rPr>
          <w:spacing w:val="1"/>
        </w:rPr>
        <w:t xml:space="preserve">timento, tubos </w:t>
      </w:r>
      <w:r>
        <w:t xml:space="preserve">e </w:t>
      </w:r>
      <w:r>
        <w:rPr>
          <w:spacing w:val="1"/>
        </w:rPr>
        <w:t xml:space="preserve">caixas </w:t>
      </w:r>
      <w:r>
        <w:rPr>
          <w:spacing w:val="2"/>
        </w:rPr>
        <w:t xml:space="preserve">d’água) </w:t>
      </w:r>
      <w:r>
        <w:rPr>
          <w:spacing w:val="1"/>
        </w:rPr>
        <w:t>(FERREIRA FILHO; LINARES,</w:t>
      </w:r>
      <w:r>
        <w:rPr>
          <w:spacing w:val="52"/>
        </w:rPr>
        <w:t xml:space="preserve"> </w:t>
      </w:r>
      <w:r>
        <w:rPr>
          <w:spacing w:val="2"/>
        </w:rPr>
        <w:t>2009).</w:t>
      </w:r>
    </w:p>
    <w:p w:rsidR="00D81F69" w:rsidRDefault="00330118">
      <w:pPr>
        <w:pStyle w:val="Corpodetexto"/>
        <w:spacing w:before="138" w:line="312" w:lineRule="auto"/>
        <w:ind w:right="57"/>
      </w:pPr>
      <w:r>
        <w:t xml:space="preserve">Até o final da década de 1930, todo o amianto consumido no país era importado. Com as descobertas das jazidas de São Félix, no município de Poções – BA, no início dos anos 1940, a </w:t>
      </w:r>
      <w:r>
        <w:rPr>
          <w:spacing w:val="7"/>
        </w:rPr>
        <w:t>empresa Soc</w:t>
      </w:r>
      <w:r>
        <w:rPr>
          <w:spacing w:val="7"/>
        </w:rPr>
        <w:t xml:space="preserve">iedade Anônima Mineração </w:t>
      </w:r>
      <w:r>
        <w:rPr>
          <w:spacing w:val="5"/>
        </w:rPr>
        <w:t xml:space="preserve">de </w:t>
      </w:r>
      <w:r>
        <w:rPr>
          <w:spacing w:val="10"/>
        </w:rPr>
        <w:t xml:space="preserve">Amianto </w:t>
      </w:r>
      <w:r>
        <w:rPr>
          <w:spacing w:val="3"/>
        </w:rPr>
        <w:t xml:space="preserve">(Sama) </w:t>
      </w:r>
      <w:r>
        <w:rPr>
          <w:spacing w:val="1"/>
        </w:rPr>
        <w:t xml:space="preserve">se </w:t>
      </w:r>
      <w:r>
        <w:rPr>
          <w:spacing w:val="3"/>
        </w:rPr>
        <w:t xml:space="preserve">estabeleceu </w:t>
      </w:r>
      <w:r>
        <w:rPr>
          <w:spacing w:val="1"/>
        </w:rPr>
        <w:t xml:space="preserve">na </w:t>
      </w:r>
      <w:r>
        <w:rPr>
          <w:spacing w:val="3"/>
        </w:rPr>
        <w:t xml:space="preserve">cidade explorando </w:t>
      </w:r>
      <w:r>
        <w:t xml:space="preserve">a </w:t>
      </w:r>
      <w:r>
        <w:rPr>
          <w:spacing w:val="2"/>
        </w:rPr>
        <w:t xml:space="preserve">mina </w:t>
      </w:r>
      <w:r>
        <w:rPr>
          <w:spacing w:val="5"/>
        </w:rPr>
        <w:t xml:space="preserve">que </w:t>
      </w:r>
      <w:r>
        <w:rPr>
          <w:spacing w:val="8"/>
        </w:rPr>
        <w:t xml:space="preserve">operou </w:t>
      </w:r>
      <w:r>
        <w:rPr>
          <w:spacing w:val="6"/>
        </w:rPr>
        <w:t xml:space="preserve">até </w:t>
      </w:r>
      <w:r>
        <w:rPr>
          <w:spacing w:val="7"/>
        </w:rPr>
        <w:t xml:space="preserve">1967, </w:t>
      </w:r>
      <w:r>
        <w:rPr>
          <w:spacing w:val="8"/>
        </w:rPr>
        <w:t xml:space="preserve">quando encerrou </w:t>
      </w:r>
      <w:r>
        <w:rPr>
          <w:spacing w:val="5"/>
        </w:rPr>
        <w:t xml:space="preserve">as </w:t>
      </w:r>
      <w:r>
        <w:rPr>
          <w:spacing w:val="8"/>
        </w:rPr>
        <w:t xml:space="preserve">atividades </w:t>
      </w:r>
      <w:r>
        <w:rPr>
          <w:spacing w:val="10"/>
        </w:rPr>
        <w:t xml:space="preserve">por </w:t>
      </w:r>
      <w:r>
        <w:t>esgotamento das reservas. A Sama transferiu-se, então, para Minaçu, em Goiás, onde passou a explorar a mina de Cana</w:t>
      </w:r>
      <w:r>
        <w:t xml:space="preserve"> </w:t>
      </w:r>
      <w:r>
        <w:rPr>
          <w:spacing w:val="3"/>
        </w:rPr>
        <w:t xml:space="preserve">Brava, garantindo </w:t>
      </w:r>
      <w:r>
        <w:t xml:space="preserve">a </w:t>
      </w:r>
      <w:r>
        <w:rPr>
          <w:spacing w:val="3"/>
        </w:rPr>
        <w:t xml:space="preserve">autossuficiência brasileira nesta </w:t>
      </w:r>
      <w:r>
        <w:rPr>
          <w:spacing w:val="5"/>
        </w:rPr>
        <w:t xml:space="preserve">fibra </w:t>
      </w:r>
      <w:r>
        <w:rPr>
          <w:spacing w:val="3"/>
        </w:rPr>
        <w:t xml:space="preserve">entre </w:t>
      </w:r>
      <w:r>
        <w:rPr>
          <w:spacing w:val="2"/>
        </w:rPr>
        <w:t xml:space="preserve">1967 </w:t>
      </w:r>
      <w:r>
        <w:t xml:space="preserve">e </w:t>
      </w:r>
      <w:r>
        <w:rPr>
          <w:spacing w:val="2"/>
        </w:rPr>
        <w:t xml:space="preserve">1985 </w:t>
      </w:r>
      <w:r>
        <w:rPr>
          <w:spacing w:val="3"/>
        </w:rPr>
        <w:t>(FERREIRA FILHO; LINARES,</w:t>
      </w:r>
      <w:r>
        <w:rPr>
          <w:spacing w:val="11"/>
        </w:rPr>
        <w:t xml:space="preserve"> </w:t>
      </w:r>
      <w:r>
        <w:rPr>
          <w:spacing w:val="5"/>
        </w:rPr>
        <w:t>2009).</w:t>
      </w:r>
    </w:p>
    <w:p w:rsidR="00D81F69" w:rsidRDefault="00330118">
      <w:pPr>
        <w:pStyle w:val="Corpodetexto"/>
        <w:spacing w:before="140" w:line="312" w:lineRule="auto"/>
        <w:ind w:right="70"/>
      </w:pPr>
      <w:r>
        <w:t>Desde 1997, a Sama - que passou a se chamar Sama Minerações Associadas S.A e é controlada pelo Grupo Eternit</w:t>
      </w:r>
    </w:p>
    <w:p w:rsidR="00D81F69" w:rsidRDefault="00330118">
      <w:pPr>
        <w:pStyle w:val="Corpodetexto"/>
        <w:spacing w:before="1" w:line="312" w:lineRule="auto"/>
        <w:ind w:right="48"/>
      </w:pPr>
      <w:r>
        <w:t>- é uma empresa brasileira de capital 100% nacional, além de ser a única mineradora de amianto em atividade no país. É responsável por uma das maiores fontes de arrecadação para o governo de Goiás, movimentando R$ 2,5 bilhões por ano e empregando 200 mil t</w:t>
      </w:r>
      <w:r>
        <w:t>rabalhadores, direta ou indiretamente. A empresa explora e beneficia cerca 300 mil toneladas de fibra de crisotila (amianto branco) por ano e estima-se que, mantido os atuais níveis de produção, a mina de Canabrava seja capaz de abastecer o mercado por mai</w:t>
      </w:r>
      <w:r>
        <w:t>s 37 anos (FERREIRA FILHO; LINARES, 2009).</w:t>
      </w:r>
    </w:p>
    <w:p w:rsidR="00D81F69" w:rsidRPr="00392EAD" w:rsidRDefault="00330118">
      <w:pPr>
        <w:pStyle w:val="Corpodetexto"/>
        <w:spacing w:before="140" w:line="312" w:lineRule="auto"/>
        <w:ind w:right="38"/>
        <w:rPr>
          <w:lang w:val="pt-BR"/>
        </w:rPr>
      </w:pPr>
      <w:r w:rsidRPr="00392EAD">
        <w:rPr>
          <w:lang w:val="pt-BR"/>
        </w:rPr>
        <w:t xml:space="preserve">O </w:t>
      </w:r>
      <w:r w:rsidRPr="00392EAD">
        <w:rPr>
          <w:spacing w:val="7"/>
          <w:lang w:val="pt-BR"/>
        </w:rPr>
        <w:t xml:space="preserve">corpo </w:t>
      </w:r>
      <w:r w:rsidRPr="00392EAD">
        <w:rPr>
          <w:spacing w:val="8"/>
          <w:lang w:val="pt-BR"/>
        </w:rPr>
        <w:t xml:space="preserve">mineralizado </w:t>
      </w:r>
      <w:r w:rsidRPr="00392EAD">
        <w:rPr>
          <w:spacing w:val="5"/>
          <w:lang w:val="pt-BR"/>
        </w:rPr>
        <w:t xml:space="preserve">do </w:t>
      </w:r>
      <w:r w:rsidRPr="00392EAD">
        <w:rPr>
          <w:spacing w:val="6"/>
          <w:lang w:val="pt-BR"/>
        </w:rPr>
        <w:t xml:space="preserve">Polo </w:t>
      </w:r>
      <w:r w:rsidRPr="00392EAD">
        <w:rPr>
          <w:spacing w:val="5"/>
          <w:lang w:val="pt-BR"/>
        </w:rPr>
        <w:t xml:space="preserve">de </w:t>
      </w:r>
      <w:r w:rsidRPr="00392EAD">
        <w:rPr>
          <w:spacing w:val="7"/>
          <w:lang w:val="pt-BR"/>
        </w:rPr>
        <w:t xml:space="preserve">Minaçu possui </w:t>
      </w:r>
      <w:r w:rsidRPr="00392EAD">
        <w:rPr>
          <w:spacing w:val="10"/>
          <w:lang w:val="pt-BR"/>
        </w:rPr>
        <w:t xml:space="preserve">uma </w:t>
      </w:r>
      <w:r w:rsidRPr="00392EAD">
        <w:rPr>
          <w:lang w:val="pt-BR"/>
        </w:rPr>
        <w:t xml:space="preserve">extensão de 6.000 m e larguras variando de 200 a 400 m. A extração mineral é desenvolvida em cavas a céu aberto, com a </w:t>
      </w:r>
      <w:r w:rsidRPr="00392EAD">
        <w:rPr>
          <w:spacing w:val="15"/>
          <w:lang w:val="pt-BR"/>
        </w:rPr>
        <w:t xml:space="preserve">produção </w:t>
      </w:r>
      <w:r w:rsidRPr="00392EAD">
        <w:rPr>
          <w:spacing w:val="8"/>
          <w:lang w:val="pt-BR"/>
        </w:rPr>
        <w:t xml:space="preserve">de </w:t>
      </w:r>
      <w:r w:rsidRPr="00392EAD">
        <w:rPr>
          <w:spacing w:val="15"/>
          <w:lang w:val="pt-BR"/>
        </w:rPr>
        <w:t xml:space="preserve">16.500 toneladas/dia </w:t>
      </w:r>
      <w:r w:rsidRPr="00392EAD">
        <w:rPr>
          <w:spacing w:val="8"/>
          <w:lang w:val="pt-BR"/>
        </w:rPr>
        <w:t xml:space="preserve">de </w:t>
      </w:r>
      <w:r w:rsidRPr="00392EAD">
        <w:rPr>
          <w:spacing w:val="15"/>
          <w:lang w:val="pt-BR"/>
        </w:rPr>
        <w:t>minério.</w:t>
      </w:r>
      <w:r w:rsidRPr="00392EAD">
        <w:rPr>
          <w:spacing w:val="15"/>
          <w:lang w:val="pt-BR"/>
        </w:rPr>
        <w:t xml:space="preserve"> </w:t>
      </w:r>
      <w:r w:rsidRPr="00392EAD">
        <w:rPr>
          <w:lang w:val="pt-BR"/>
        </w:rPr>
        <w:t>Aproximadamente 60% da fibra são consumidas no Brasil e</w:t>
      </w:r>
      <w:r w:rsidRPr="00392EAD">
        <w:rPr>
          <w:spacing w:val="25"/>
          <w:lang w:val="pt-BR"/>
        </w:rPr>
        <w:t xml:space="preserve"> </w:t>
      </w:r>
      <w:r w:rsidRPr="00392EAD">
        <w:rPr>
          <w:lang w:val="pt-BR"/>
        </w:rPr>
        <w:t>o</w:t>
      </w:r>
    </w:p>
    <w:p w:rsidR="00D81F69" w:rsidRDefault="00330118">
      <w:pPr>
        <w:pStyle w:val="Corpodetexto"/>
        <w:spacing w:before="63" w:line="312" w:lineRule="auto"/>
        <w:ind w:right="194"/>
      </w:pPr>
      <w:r w:rsidRPr="00392EAD">
        <w:rPr>
          <w:lang w:val="pt-BR"/>
        </w:rPr>
        <w:br w:type="column"/>
      </w:r>
      <w:r w:rsidRPr="00392EAD">
        <w:rPr>
          <w:lang w:val="pt-BR"/>
        </w:rPr>
        <w:lastRenderedPageBreak/>
        <w:t>povoado que, através da Lei Estadual nº 8.085, de 1976, se desvinculou administrativamente de Uruaçu, elevando-se à categoria de cidade e sede municipal (NASCIMENTO et al., 2009). Até 1986, a empr</w:t>
      </w:r>
      <w:r w:rsidRPr="00392EAD">
        <w:rPr>
          <w:lang w:val="pt-BR"/>
        </w:rPr>
        <w:t xml:space="preserve">esa foi a única geradora de luz para o município e financiou a construção da rede elétrica local. </w:t>
      </w:r>
      <w:r>
        <w:t>A estrada que liga a cidade à BR-153, principal acesso a Brasília e Goiânia, também foi feita pela Sama (CARDOSO; CARAZZAI, 2009).</w:t>
      </w:r>
    </w:p>
    <w:p w:rsidR="00D81F69" w:rsidRDefault="00330118">
      <w:pPr>
        <w:pStyle w:val="Corpodetexto"/>
        <w:spacing w:before="137" w:line="312" w:lineRule="auto"/>
        <w:ind w:right="190"/>
      </w:pPr>
      <w:r>
        <w:t>O mineral, cujo uso é proib</w:t>
      </w:r>
      <w:r>
        <w:t>ido em 52 países, solta fragmentos microscópicos no ar que, ao serem inalados, podem provocar doenças conhecidas como asbestose (fibrose pulmonar), câncer de pulmão (tumor maligno), mesotelioma (tumor maligno de pleura e pericárdio) e males gastrointestina</w:t>
      </w:r>
      <w:r>
        <w:t>is (ESTADÃO, 2010; VIALLI, 2010; BLATT; SALDANHA, 2007).</w:t>
      </w:r>
    </w:p>
    <w:p w:rsidR="00D81F69" w:rsidRDefault="00330118">
      <w:pPr>
        <w:pStyle w:val="Corpodetexto"/>
        <w:spacing w:before="136" w:line="312" w:lineRule="auto"/>
        <w:ind w:right="189"/>
      </w:pPr>
      <w:r>
        <w:t xml:space="preserve">Os efeitos da inalação das fibras sobre a saúde podem </w:t>
      </w:r>
      <w:r>
        <w:rPr>
          <w:spacing w:val="1"/>
        </w:rPr>
        <w:t xml:space="preserve">ser </w:t>
      </w:r>
      <w:r>
        <w:t xml:space="preserve">tardios, manifestando-se 30 a 40 anos após o contato com o </w:t>
      </w:r>
      <w:r>
        <w:rPr>
          <w:spacing w:val="3"/>
        </w:rPr>
        <w:t xml:space="preserve">minério. </w:t>
      </w:r>
      <w:r>
        <w:t xml:space="preserve">A </w:t>
      </w:r>
      <w:r>
        <w:rPr>
          <w:spacing w:val="3"/>
        </w:rPr>
        <w:t xml:space="preserve">grande incidência </w:t>
      </w:r>
      <w:r>
        <w:rPr>
          <w:spacing w:val="1"/>
        </w:rPr>
        <w:t xml:space="preserve">de </w:t>
      </w:r>
      <w:r>
        <w:rPr>
          <w:spacing w:val="3"/>
        </w:rPr>
        <w:t xml:space="preserve">doenças relacionadas </w:t>
      </w:r>
      <w:r>
        <w:rPr>
          <w:spacing w:val="5"/>
        </w:rPr>
        <w:t xml:space="preserve">ao </w:t>
      </w:r>
      <w:r>
        <w:t>amianto já é chamada de “e</w:t>
      </w:r>
      <w:r>
        <w:t xml:space="preserve">pidemia invisível”, pois o elevado </w:t>
      </w:r>
      <w:r>
        <w:rPr>
          <w:spacing w:val="20"/>
        </w:rPr>
        <w:t xml:space="preserve">número </w:t>
      </w:r>
      <w:r>
        <w:rPr>
          <w:spacing w:val="11"/>
        </w:rPr>
        <w:t xml:space="preserve">de </w:t>
      </w:r>
      <w:r>
        <w:rPr>
          <w:spacing w:val="22"/>
        </w:rPr>
        <w:t xml:space="preserve">trabalhadores </w:t>
      </w:r>
      <w:r>
        <w:rPr>
          <w:spacing w:val="15"/>
        </w:rPr>
        <w:t>que</w:t>
      </w:r>
      <w:r>
        <w:rPr>
          <w:spacing w:val="81"/>
        </w:rPr>
        <w:t xml:space="preserve"> </w:t>
      </w:r>
      <w:r>
        <w:rPr>
          <w:spacing w:val="15"/>
        </w:rPr>
        <w:t>não</w:t>
      </w:r>
      <w:r>
        <w:rPr>
          <w:spacing w:val="81"/>
        </w:rPr>
        <w:t xml:space="preserve"> </w:t>
      </w:r>
      <w:r>
        <w:rPr>
          <w:spacing w:val="21"/>
        </w:rPr>
        <w:t xml:space="preserve">receberam </w:t>
      </w:r>
      <w:r>
        <w:t xml:space="preserve">acompanhamento médico e o longo período de latência das </w:t>
      </w:r>
      <w:r>
        <w:rPr>
          <w:spacing w:val="7"/>
        </w:rPr>
        <w:t xml:space="preserve">doenças impedem </w:t>
      </w:r>
      <w:r>
        <w:rPr>
          <w:spacing w:val="5"/>
        </w:rPr>
        <w:t xml:space="preserve">um </w:t>
      </w:r>
      <w:r>
        <w:rPr>
          <w:spacing w:val="8"/>
        </w:rPr>
        <w:t xml:space="preserve">diagnóstico </w:t>
      </w:r>
      <w:r>
        <w:rPr>
          <w:spacing w:val="7"/>
        </w:rPr>
        <w:t xml:space="preserve">completo quanto </w:t>
      </w:r>
      <w:r>
        <w:t xml:space="preserve">à </w:t>
      </w:r>
      <w:r>
        <w:rPr>
          <w:spacing w:val="12"/>
        </w:rPr>
        <w:t xml:space="preserve">extensão </w:t>
      </w:r>
      <w:r>
        <w:rPr>
          <w:spacing w:val="6"/>
        </w:rPr>
        <w:t xml:space="preserve">ou </w:t>
      </w:r>
      <w:r>
        <w:rPr>
          <w:spacing w:val="12"/>
        </w:rPr>
        <w:t xml:space="preserve">gravidade </w:t>
      </w:r>
      <w:r>
        <w:rPr>
          <w:spacing w:val="11"/>
        </w:rPr>
        <w:t xml:space="preserve">dessa </w:t>
      </w:r>
      <w:r>
        <w:rPr>
          <w:spacing w:val="12"/>
        </w:rPr>
        <w:t xml:space="preserve">epidemia </w:t>
      </w:r>
      <w:r>
        <w:rPr>
          <w:spacing w:val="11"/>
        </w:rPr>
        <w:t xml:space="preserve">(MAPA </w:t>
      </w:r>
      <w:r>
        <w:rPr>
          <w:spacing w:val="15"/>
        </w:rPr>
        <w:t xml:space="preserve">DA </w:t>
      </w:r>
      <w:r>
        <w:rPr>
          <w:spacing w:val="6"/>
        </w:rPr>
        <w:t xml:space="preserve">INJUSTIÇA  AMBIENTAL  </w:t>
      </w:r>
      <w:r>
        <w:t xml:space="preserve">E  </w:t>
      </w:r>
      <w:r>
        <w:rPr>
          <w:spacing w:val="5"/>
        </w:rPr>
        <w:t>SAÚ</w:t>
      </w:r>
      <w:r>
        <w:rPr>
          <w:spacing w:val="5"/>
        </w:rPr>
        <w:t xml:space="preserve">DE  </w:t>
      </w:r>
      <w:r>
        <w:rPr>
          <w:spacing w:val="3"/>
        </w:rPr>
        <w:t xml:space="preserve">NO  </w:t>
      </w:r>
      <w:r>
        <w:rPr>
          <w:spacing w:val="5"/>
        </w:rPr>
        <w:t xml:space="preserve">BRASIL, </w:t>
      </w:r>
      <w:r>
        <w:rPr>
          <w:spacing w:val="7"/>
        </w:rPr>
        <w:t>2009).</w:t>
      </w:r>
    </w:p>
    <w:p w:rsidR="00D81F69" w:rsidRDefault="00330118">
      <w:pPr>
        <w:pStyle w:val="Corpodetexto"/>
        <w:spacing w:before="138" w:line="312" w:lineRule="auto"/>
        <w:ind w:right="192"/>
      </w:pPr>
      <w:r>
        <w:t xml:space="preserve">Nos encontros que manteve com trabalhadores da mina de </w:t>
      </w:r>
      <w:r>
        <w:rPr>
          <w:spacing w:val="1"/>
        </w:rPr>
        <w:t xml:space="preserve">Cana Brava </w:t>
      </w:r>
      <w:r>
        <w:t xml:space="preserve">ao </w:t>
      </w:r>
      <w:r>
        <w:rPr>
          <w:spacing w:val="1"/>
        </w:rPr>
        <w:t xml:space="preserve">longo </w:t>
      </w:r>
      <w:r>
        <w:t xml:space="preserve">das </w:t>
      </w:r>
      <w:r>
        <w:rPr>
          <w:spacing w:val="1"/>
        </w:rPr>
        <w:t xml:space="preserve">últimas três décadas, </w:t>
      </w:r>
      <w:r>
        <w:t xml:space="preserve">a </w:t>
      </w:r>
      <w:r>
        <w:rPr>
          <w:spacing w:val="2"/>
        </w:rPr>
        <w:t xml:space="preserve">auditora </w:t>
      </w:r>
      <w:r>
        <w:rPr>
          <w:spacing w:val="3"/>
        </w:rPr>
        <w:t xml:space="preserve">fiscal </w:t>
      </w:r>
      <w:r>
        <w:rPr>
          <w:spacing w:val="1"/>
        </w:rPr>
        <w:t xml:space="preserve">do </w:t>
      </w:r>
      <w:r>
        <w:rPr>
          <w:spacing w:val="3"/>
        </w:rPr>
        <w:t xml:space="preserve">Ministério </w:t>
      </w:r>
      <w:r>
        <w:rPr>
          <w:spacing w:val="1"/>
        </w:rPr>
        <w:t xml:space="preserve">do </w:t>
      </w:r>
      <w:r>
        <w:rPr>
          <w:spacing w:val="3"/>
        </w:rPr>
        <w:t xml:space="preserve">Trabalho </w:t>
      </w:r>
      <w:r>
        <w:t xml:space="preserve">e </w:t>
      </w:r>
      <w:r>
        <w:rPr>
          <w:spacing w:val="3"/>
        </w:rPr>
        <w:t xml:space="preserve">Emprego </w:t>
      </w:r>
      <w:r>
        <w:rPr>
          <w:spacing w:val="1"/>
        </w:rPr>
        <w:t xml:space="preserve">de </w:t>
      </w:r>
      <w:r>
        <w:rPr>
          <w:spacing w:val="2"/>
        </w:rPr>
        <w:t xml:space="preserve">São </w:t>
      </w:r>
      <w:r>
        <w:rPr>
          <w:spacing w:val="5"/>
        </w:rPr>
        <w:t xml:space="preserve">Paulo, </w:t>
      </w:r>
      <w:r>
        <w:rPr>
          <w:spacing w:val="1"/>
        </w:rPr>
        <w:t xml:space="preserve">Fernanda Giannasi, </w:t>
      </w:r>
      <w:r>
        <w:t xml:space="preserve">diz que </w:t>
      </w:r>
      <w:r>
        <w:rPr>
          <w:spacing w:val="1"/>
        </w:rPr>
        <w:t xml:space="preserve">constatou </w:t>
      </w:r>
      <w:r>
        <w:t xml:space="preserve">o </w:t>
      </w:r>
      <w:r>
        <w:rPr>
          <w:spacing w:val="1"/>
        </w:rPr>
        <w:t xml:space="preserve">descaso </w:t>
      </w:r>
      <w:r>
        <w:t xml:space="preserve">com </w:t>
      </w:r>
      <w:r>
        <w:rPr>
          <w:spacing w:val="2"/>
        </w:rPr>
        <w:t xml:space="preserve">que </w:t>
      </w:r>
      <w:r>
        <w:rPr>
          <w:spacing w:val="5"/>
        </w:rPr>
        <w:t xml:space="preserve">são </w:t>
      </w:r>
      <w:r>
        <w:rPr>
          <w:spacing w:val="7"/>
        </w:rPr>
        <w:t xml:space="preserve">tratadas vítimas </w:t>
      </w:r>
      <w:r>
        <w:t xml:space="preserve">e </w:t>
      </w:r>
      <w:r>
        <w:rPr>
          <w:spacing w:val="7"/>
        </w:rPr>
        <w:t xml:space="preserve">viúvas </w:t>
      </w:r>
      <w:r>
        <w:rPr>
          <w:spacing w:val="5"/>
        </w:rPr>
        <w:t xml:space="preserve">do </w:t>
      </w:r>
      <w:r>
        <w:rPr>
          <w:spacing w:val="7"/>
        </w:rPr>
        <w:t xml:space="preserve">amianto, </w:t>
      </w:r>
      <w:r>
        <w:t xml:space="preserve">e </w:t>
      </w:r>
      <w:r>
        <w:rPr>
          <w:spacing w:val="5"/>
        </w:rPr>
        <w:t xml:space="preserve">os </w:t>
      </w:r>
      <w:r>
        <w:rPr>
          <w:spacing w:val="10"/>
        </w:rPr>
        <w:t xml:space="preserve">danos </w:t>
      </w:r>
      <w:r>
        <w:t>ambientais que o minério causa na região, antes considerada o Eldorado goiano. Para ela, o processo de produção mineral em Minaçu é a catástrofe sanitária do século 20 (GIANNASI, 2009).</w:t>
      </w:r>
    </w:p>
    <w:p w:rsidR="00D81F69" w:rsidRDefault="00330118">
      <w:pPr>
        <w:pStyle w:val="Corpodetexto"/>
        <w:spacing w:before="75" w:line="270" w:lineRule="atLeast"/>
        <w:ind w:right="194"/>
      </w:pPr>
      <w:r>
        <w:t>Já o Instituto Brasil</w:t>
      </w:r>
      <w:r>
        <w:t>eiro de Crisotila (IBC) alega que o amianto não é um problema de saúde pública, mas sim ocupacional, por considerar que a variedade permitida no Brasil é a menos agressiva. No entanto, diversos estudos apontam a nocividade de suas fibras e mostram que o mi</w:t>
      </w:r>
      <w:r>
        <w:t>neral provoca</w:t>
      </w:r>
    </w:p>
    <w:p w:rsidR="00D81F69" w:rsidRDefault="00D81F69">
      <w:pPr>
        <w:spacing w:line="270" w:lineRule="atLeast"/>
        <w:sectPr w:rsidR="00D81F69">
          <w:type w:val="continuous"/>
          <w:pgSz w:w="11900" w:h="16840"/>
          <w:pgMar w:top="720" w:right="500" w:bottom="280" w:left="620" w:header="720" w:footer="720" w:gutter="0"/>
          <w:cols w:num="2" w:space="720" w:equalWidth="0">
            <w:col w:w="5172" w:space="298"/>
            <w:col w:w="5310"/>
          </w:cols>
        </w:sectPr>
      </w:pPr>
    </w:p>
    <w:p w:rsidR="00D81F69" w:rsidRPr="00392EAD" w:rsidRDefault="00330118">
      <w:pPr>
        <w:pStyle w:val="Corpodetexto"/>
        <w:spacing w:before="81" w:line="312" w:lineRule="auto"/>
        <w:ind w:right="60"/>
        <w:rPr>
          <w:lang w:val="pt-BR"/>
        </w:rPr>
      </w:pPr>
      <w:r w:rsidRPr="00392EAD">
        <w:rPr>
          <w:lang w:val="pt-BR"/>
        </w:rPr>
        <w:lastRenderedPageBreak/>
        <w:t>danos à saúde pública e ambiental da cidade, pondo em risco não só os trabalhadores, como os consumidores, moradores em áreas próximas de minas e fábricas e o meio ambiente (BLATT; SALDANHA, 2007). Isso sem contar q</w:t>
      </w:r>
      <w:r w:rsidRPr="00392EAD">
        <w:rPr>
          <w:lang w:val="pt-BR"/>
        </w:rPr>
        <w:t>ue impacta o mais importante bioma da região, o Cerrado, com a erosão do solo, e a poluição atmosférica, dos recursos hídricos e do solo (O HOJE, 2010).</w:t>
      </w:r>
    </w:p>
    <w:p w:rsidR="00D81F69" w:rsidRPr="00392EAD" w:rsidRDefault="00330118">
      <w:pPr>
        <w:pStyle w:val="Corpodetexto"/>
        <w:spacing w:before="136" w:line="312" w:lineRule="auto"/>
        <w:ind w:right="38"/>
        <w:rPr>
          <w:lang w:val="pt-BR"/>
        </w:rPr>
      </w:pPr>
      <w:r w:rsidRPr="00392EAD">
        <w:rPr>
          <w:spacing w:val="5"/>
          <w:lang w:val="pt-BR"/>
        </w:rPr>
        <w:t xml:space="preserve">Apesar </w:t>
      </w:r>
      <w:r w:rsidRPr="00392EAD">
        <w:rPr>
          <w:spacing w:val="3"/>
          <w:lang w:val="pt-BR"/>
        </w:rPr>
        <w:t xml:space="preserve">dos </w:t>
      </w:r>
      <w:r w:rsidRPr="00392EAD">
        <w:rPr>
          <w:spacing w:val="5"/>
          <w:lang w:val="pt-BR"/>
        </w:rPr>
        <w:t xml:space="preserve">impactos socioambientais </w:t>
      </w:r>
      <w:r w:rsidRPr="00392EAD">
        <w:rPr>
          <w:spacing w:val="2"/>
          <w:lang w:val="pt-BR"/>
        </w:rPr>
        <w:t xml:space="preserve">da </w:t>
      </w:r>
      <w:r w:rsidRPr="00392EAD">
        <w:rPr>
          <w:spacing w:val="5"/>
          <w:lang w:val="pt-BR"/>
        </w:rPr>
        <w:t xml:space="preserve">exploração </w:t>
      </w:r>
      <w:r w:rsidRPr="00392EAD">
        <w:rPr>
          <w:spacing w:val="6"/>
          <w:lang w:val="pt-BR"/>
        </w:rPr>
        <w:t xml:space="preserve">do </w:t>
      </w:r>
      <w:r w:rsidRPr="00392EAD">
        <w:rPr>
          <w:spacing w:val="5"/>
          <w:lang w:val="pt-BR"/>
        </w:rPr>
        <w:t xml:space="preserve">minério, </w:t>
      </w:r>
      <w:r w:rsidRPr="00392EAD">
        <w:rPr>
          <w:lang w:val="pt-BR"/>
        </w:rPr>
        <w:t xml:space="preserve">a </w:t>
      </w:r>
      <w:r w:rsidRPr="00392EAD">
        <w:rPr>
          <w:spacing w:val="5"/>
          <w:lang w:val="pt-BR"/>
        </w:rPr>
        <w:t xml:space="preserve">bancada </w:t>
      </w:r>
      <w:r w:rsidRPr="00392EAD">
        <w:rPr>
          <w:spacing w:val="2"/>
          <w:lang w:val="pt-BR"/>
        </w:rPr>
        <w:t xml:space="preserve">de </w:t>
      </w:r>
      <w:r w:rsidRPr="00392EAD">
        <w:rPr>
          <w:spacing w:val="5"/>
          <w:lang w:val="pt-BR"/>
        </w:rPr>
        <w:t xml:space="preserve">deputados goiana </w:t>
      </w:r>
      <w:r w:rsidRPr="00392EAD">
        <w:rPr>
          <w:spacing w:val="2"/>
          <w:lang w:val="pt-BR"/>
        </w:rPr>
        <w:t xml:space="preserve">no </w:t>
      </w:r>
      <w:r w:rsidRPr="00392EAD">
        <w:rPr>
          <w:spacing w:val="6"/>
          <w:lang w:val="pt-BR"/>
        </w:rPr>
        <w:t>Congress</w:t>
      </w:r>
      <w:r w:rsidRPr="00392EAD">
        <w:rPr>
          <w:spacing w:val="6"/>
          <w:lang w:val="pt-BR"/>
        </w:rPr>
        <w:t xml:space="preserve">o </w:t>
      </w:r>
      <w:r w:rsidRPr="00392EAD">
        <w:rPr>
          <w:lang w:val="pt-BR"/>
        </w:rPr>
        <w:t xml:space="preserve">Nacional e uma parte dos moradores de Minaçu defendem a </w:t>
      </w:r>
      <w:r w:rsidRPr="00392EAD">
        <w:rPr>
          <w:spacing w:val="13"/>
          <w:lang w:val="pt-BR"/>
        </w:rPr>
        <w:t xml:space="preserve">manutenção </w:t>
      </w:r>
      <w:r w:rsidRPr="00392EAD">
        <w:rPr>
          <w:spacing w:val="7"/>
          <w:lang w:val="pt-BR"/>
        </w:rPr>
        <w:t xml:space="preserve">da </w:t>
      </w:r>
      <w:r w:rsidRPr="00392EAD">
        <w:rPr>
          <w:spacing w:val="13"/>
          <w:lang w:val="pt-BR"/>
        </w:rPr>
        <w:t xml:space="preserve">exploração, </w:t>
      </w:r>
      <w:r w:rsidRPr="00392EAD">
        <w:rPr>
          <w:spacing w:val="7"/>
          <w:lang w:val="pt-BR"/>
        </w:rPr>
        <w:t xml:space="preserve">em </w:t>
      </w:r>
      <w:r w:rsidRPr="00392EAD">
        <w:rPr>
          <w:spacing w:val="12"/>
          <w:lang w:val="pt-BR"/>
        </w:rPr>
        <w:t xml:space="preserve">função </w:t>
      </w:r>
      <w:r w:rsidRPr="00392EAD">
        <w:rPr>
          <w:spacing w:val="7"/>
          <w:lang w:val="pt-BR"/>
        </w:rPr>
        <w:t xml:space="preserve">da </w:t>
      </w:r>
      <w:r w:rsidRPr="00392EAD">
        <w:rPr>
          <w:spacing w:val="12"/>
          <w:lang w:val="pt-BR"/>
        </w:rPr>
        <w:t xml:space="preserve">grande </w:t>
      </w:r>
      <w:r w:rsidRPr="00392EAD">
        <w:rPr>
          <w:spacing w:val="10"/>
          <w:lang w:val="pt-BR"/>
        </w:rPr>
        <w:t xml:space="preserve">dependência </w:t>
      </w:r>
      <w:r w:rsidRPr="00392EAD">
        <w:rPr>
          <w:spacing w:val="8"/>
          <w:lang w:val="pt-BR"/>
        </w:rPr>
        <w:t xml:space="preserve">econômica </w:t>
      </w:r>
      <w:r w:rsidRPr="00392EAD">
        <w:rPr>
          <w:spacing w:val="5"/>
          <w:lang w:val="pt-BR"/>
        </w:rPr>
        <w:t xml:space="preserve">do </w:t>
      </w:r>
      <w:r w:rsidRPr="00392EAD">
        <w:rPr>
          <w:spacing w:val="8"/>
          <w:lang w:val="pt-BR"/>
        </w:rPr>
        <w:t xml:space="preserve">município </w:t>
      </w:r>
      <w:r w:rsidRPr="00392EAD">
        <w:rPr>
          <w:spacing w:val="5"/>
          <w:lang w:val="pt-BR"/>
        </w:rPr>
        <w:t xml:space="preserve">em </w:t>
      </w:r>
      <w:r w:rsidRPr="00392EAD">
        <w:rPr>
          <w:spacing w:val="8"/>
          <w:lang w:val="pt-BR"/>
        </w:rPr>
        <w:t xml:space="preserve">relação </w:t>
      </w:r>
      <w:r w:rsidRPr="00392EAD">
        <w:rPr>
          <w:spacing w:val="10"/>
          <w:lang w:val="pt-BR"/>
        </w:rPr>
        <w:t xml:space="preserve">ao </w:t>
      </w:r>
      <w:r w:rsidRPr="00392EAD">
        <w:rPr>
          <w:spacing w:val="5"/>
          <w:lang w:val="pt-BR"/>
        </w:rPr>
        <w:t>empreendimento (CARDOSO; CARAZZAI, 2009). Outros</w:t>
      </w:r>
      <w:r w:rsidRPr="00392EAD">
        <w:rPr>
          <w:spacing w:val="61"/>
          <w:lang w:val="pt-BR"/>
        </w:rPr>
        <w:t xml:space="preserve"> </w:t>
      </w:r>
      <w:r w:rsidRPr="00392EAD">
        <w:rPr>
          <w:lang w:val="pt-BR"/>
        </w:rPr>
        <w:t>moradores, porém, manifestam seu descontentamento quan</w:t>
      </w:r>
      <w:r w:rsidRPr="00392EAD">
        <w:rPr>
          <w:lang w:val="pt-BR"/>
        </w:rPr>
        <w:t xml:space="preserve">to aos danos ambientais decorrentes da mineração e reclamam </w:t>
      </w:r>
      <w:r w:rsidRPr="00392EAD">
        <w:rPr>
          <w:spacing w:val="5"/>
          <w:lang w:val="pt-BR"/>
        </w:rPr>
        <w:t xml:space="preserve">que </w:t>
      </w:r>
      <w:r w:rsidRPr="00392EAD">
        <w:rPr>
          <w:lang w:val="pt-BR"/>
        </w:rPr>
        <w:t xml:space="preserve">e a </w:t>
      </w:r>
      <w:r w:rsidRPr="00392EAD">
        <w:rPr>
          <w:spacing w:val="7"/>
          <w:lang w:val="pt-BR"/>
        </w:rPr>
        <w:t xml:space="preserve">paisagem </w:t>
      </w:r>
      <w:r w:rsidRPr="00392EAD">
        <w:rPr>
          <w:spacing w:val="8"/>
          <w:lang w:val="pt-BR"/>
        </w:rPr>
        <w:t xml:space="preserve">desoladora </w:t>
      </w:r>
      <w:r w:rsidRPr="00392EAD">
        <w:rPr>
          <w:spacing w:val="7"/>
          <w:lang w:val="pt-BR"/>
        </w:rPr>
        <w:t xml:space="preserve">gerada pelas cavas </w:t>
      </w:r>
      <w:r w:rsidRPr="00392EAD">
        <w:rPr>
          <w:spacing w:val="10"/>
          <w:lang w:val="pt-BR"/>
        </w:rPr>
        <w:t xml:space="preserve">de </w:t>
      </w:r>
      <w:r w:rsidRPr="00392EAD">
        <w:rPr>
          <w:spacing w:val="3"/>
          <w:lang w:val="pt-BR"/>
        </w:rPr>
        <w:t xml:space="preserve">mineração criou danos ambientais irreversíveis. </w:t>
      </w:r>
      <w:r w:rsidRPr="00392EAD">
        <w:rPr>
          <w:spacing w:val="2"/>
          <w:lang w:val="pt-BR"/>
        </w:rPr>
        <w:t xml:space="preserve">Por </w:t>
      </w:r>
      <w:r w:rsidRPr="00392EAD">
        <w:rPr>
          <w:spacing w:val="5"/>
          <w:lang w:val="pt-BR"/>
        </w:rPr>
        <w:t xml:space="preserve">isso, </w:t>
      </w:r>
      <w:r w:rsidRPr="00392EAD">
        <w:rPr>
          <w:spacing w:val="6"/>
          <w:lang w:val="pt-BR"/>
        </w:rPr>
        <w:t xml:space="preserve">preocupam-se </w:t>
      </w:r>
      <w:r w:rsidRPr="00392EAD">
        <w:rPr>
          <w:spacing w:val="5"/>
          <w:lang w:val="pt-BR"/>
        </w:rPr>
        <w:t xml:space="preserve">com </w:t>
      </w:r>
      <w:r w:rsidRPr="00392EAD">
        <w:rPr>
          <w:spacing w:val="3"/>
          <w:lang w:val="pt-BR"/>
        </w:rPr>
        <w:t xml:space="preserve">os </w:t>
      </w:r>
      <w:r w:rsidRPr="00392EAD">
        <w:rPr>
          <w:spacing w:val="6"/>
          <w:lang w:val="pt-BR"/>
        </w:rPr>
        <w:t xml:space="preserve">impactos </w:t>
      </w:r>
      <w:r w:rsidRPr="00392EAD">
        <w:rPr>
          <w:spacing w:val="5"/>
          <w:lang w:val="pt-BR"/>
        </w:rPr>
        <w:t xml:space="preserve">futuros que tais </w:t>
      </w:r>
      <w:r w:rsidRPr="00392EAD">
        <w:rPr>
          <w:spacing w:val="7"/>
          <w:lang w:val="pt-BR"/>
        </w:rPr>
        <w:t xml:space="preserve">danos </w:t>
      </w:r>
      <w:r w:rsidRPr="00392EAD">
        <w:rPr>
          <w:spacing w:val="3"/>
          <w:lang w:val="pt-BR"/>
        </w:rPr>
        <w:t xml:space="preserve">poderão causar, </w:t>
      </w:r>
      <w:r w:rsidRPr="00392EAD">
        <w:rPr>
          <w:spacing w:val="2"/>
          <w:lang w:val="pt-BR"/>
        </w:rPr>
        <w:t xml:space="preserve">como </w:t>
      </w:r>
      <w:r w:rsidRPr="00392EAD">
        <w:rPr>
          <w:lang w:val="pt-BR"/>
        </w:rPr>
        <w:t xml:space="preserve">o </w:t>
      </w:r>
      <w:r w:rsidRPr="00392EAD">
        <w:rPr>
          <w:spacing w:val="3"/>
          <w:lang w:val="pt-BR"/>
        </w:rPr>
        <w:t xml:space="preserve">excesso </w:t>
      </w:r>
      <w:r w:rsidRPr="00392EAD">
        <w:rPr>
          <w:spacing w:val="1"/>
          <w:lang w:val="pt-BR"/>
        </w:rPr>
        <w:t xml:space="preserve">de </w:t>
      </w:r>
      <w:r w:rsidRPr="00392EAD">
        <w:rPr>
          <w:spacing w:val="2"/>
          <w:lang w:val="pt-BR"/>
        </w:rPr>
        <w:t>li</w:t>
      </w:r>
      <w:r w:rsidRPr="00392EAD">
        <w:rPr>
          <w:spacing w:val="2"/>
          <w:lang w:val="pt-BR"/>
        </w:rPr>
        <w:t xml:space="preserve">xo </w:t>
      </w:r>
      <w:r w:rsidRPr="00392EAD">
        <w:rPr>
          <w:lang w:val="pt-BR"/>
        </w:rPr>
        <w:t xml:space="preserve">e o </w:t>
      </w:r>
      <w:r w:rsidRPr="00392EAD">
        <w:rPr>
          <w:spacing w:val="3"/>
          <w:lang w:val="pt-BR"/>
        </w:rPr>
        <w:t xml:space="preserve">depósito </w:t>
      </w:r>
      <w:r w:rsidRPr="00392EAD">
        <w:rPr>
          <w:spacing w:val="5"/>
          <w:lang w:val="pt-BR"/>
        </w:rPr>
        <w:t xml:space="preserve">de </w:t>
      </w:r>
      <w:r w:rsidRPr="00392EAD">
        <w:rPr>
          <w:lang w:val="pt-BR"/>
        </w:rPr>
        <w:t xml:space="preserve">rejeitos, dentre outros fatores (PEREIRA; ALMEIDA, </w:t>
      </w:r>
      <w:r w:rsidRPr="00392EAD">
        <w:rPr>
          <w:spacing w:val="1"/>
          <w:lang w:val="pt-BR"/>
        </w:rPr>
        <w:t>2009).</w:t>
      </w:r>
    </w:p>
    <w:p w:rsidR="00D81F69" w:rsidRPr="00392EAD" w:rsidRDefault="00330118">
      <w:pPr>
        <w:pStyle w:val="Corpodetexto"/>
        <w:spacing w:before="142" w:line="312" w:lineRule="auto"/>
        <w:ind w:right="49"/>
        <w:rPr>
          <w:lang w:val="pt-BR"/>
        </w:rPr>
      </w:pPr>
      <w:r w:rsidRPr="00392EAD">
        <w:rPr>
          <w:lang w:val="pt-BR"/>
        </w:rPr>
        <w:t>Pesquisadores de universidades brasileiras e do mundo vêm se revezando na publicação de trabalhos, ora defendendo o uso controlado do amianto, ora recomendando seu banimento. A posição do governo brasileiro é a do uso controlado. A Lei n° 9.055, de 01/06/1</w:t>
      </w:r>
      <w:r w:rsidRPr="00392EAD">
        <w:rPr>
          <w:lang w:val="pt-BR"/>
        </w:rPr>
        <w:t>995, proibiu a exploração, comercialização e uso das fibras de amianto do grupo dos anfibólios (actinolita, amosita, antoflita, crocidolita e tremolita) em função dos riscos que estas variedades de amianto causam à saúde dos trabalhadores, permitindo apena</w:t>
      </w:r>
      <w:r w:rsidRPr="00392EAD">
        <w:rPr>
          <w:lang w:val="pt-BR"/>
        </w:rPr>
        <w:t>s a realização de atividades industriais com o amianto crisotila, que apresenta menor biopersistência, ou seja, é mais rapidamente eliminado do pulmão por ser mais solúvel (FERREIRA FILHO; LINARES, 2009).</w:t>
      </w:r>
    </w:p>
    <w:p w:rsidR="00D81F69" w:rsidRPr="00392EAD" w:rsidRDefault="00330118">
      <w:pPr>
        <w:pStyle w:val="Corpodetexto"/>
        <w:spacing w:before="142" w:line="312" w:lineRule="auto"/>
        <w:ind w:right="56"/>
        <w:rPr>
          <w:lang w:val="pt-BR"/>
        </w:rPr>
      </w:pPr>
      <w:r w:rsidRPr="00392EAD">
        <w:rPr>
          <w:lang w:val="pt-BR"/>
        </w:rPr>
        <w:t>No entanto, em sua tese de doutorado em Medicina, S</w:t>
      </w:r>
      <w:r w:rsidRPr="00392EAD">
        <w:rPr>
          <w:lang w:val="pt-BR"/>
        </w:rPr>
        <w:t>atoshi Kitamura explica que um fator de confusão em relação ao risco à exposição ao asbesto é o chamado efeito “hit-and-run” (fere e foge), o que significa que, mesmo que a crisotila se dissolva e desapareça dos pulmões mais rápido que os anfibólios, ela a</w:t>
      </w:r>
      <w:r w:rsidRPr="00392EAD">
        <w:rPr>
          <w:lang w:val="pt-BR"/>
        </w:rPr>
        <w:t>inda poderá ter desencadeado o mecanismo que pode levar ao mesotelioma (KITAMURA, 2001).</w:t>
      </w:r>
    </w:p>
    <w:p w:rsidR="00D81F69" w:rsidRPr="00392EAD" w:rsidRDefault="00330118">
      <w:pPr>
        <w:pStyle w:val="Corpodetexto"/>
        <w:spacing w:before="137" w:line="312" w:lineRule="auto"/>
        <w:ind w:right="55"/>
        <w:rPr>
          <w:lang w:val="pt-BR"/>
        </w:rPr>
      </w:pPr>
      <w:r w:rsidRPr="00392EAD">
        <w:rPr>
          <w:lang w:val="pt-BR"/>
        </w:rPr>
        <w:t>Um relatório de 683 páginas preparado pelo Grupo de Trabalho do Amianto, da Comissão de Meio Ambiente e Desenvolvimento Sustentável da Câmara dos Deputados (CMADS), qu</w:t>
      </w:r>
      <w:r w:rsidRPr="00392EAD">
        <w:rPr>
          <w:lang w:val="pt-BR"/>
        </w:rPr>
        <w:t>e levou dois anos para ser concluído, reúne informações sobre a cadeia de produção do mineral no Brasil e propõe o banimento de todas as formas do amianto em todo o território nacional. O relatório sugere a desativação da mina de Cana Brava e propõe a cria</w:t>
      </w:r>
      <w:r w:rsidRPr="00392EAD">
        <w:rPr>
          <w:lang w:val="pt-BR"/>
        </w:rPr>
        <w:t>ção de uma política de incentivo às indústrias que atuam com amianto para que façam a transição para outra tecnologia (O ESTADO DE SÃO PAULO, 2010).</w:t>
      </w:r>
    </w:p>
    <w:p w:rsidR="00D81F69" w:rsidRDefault="00330118">
      <w:pPr>
        <w:pStyle w:val="Corpodetexto"/>
        <w:spacing w:before="140" w:line="312" w:lineRule="auto"/>
        <w:ind w:right="63"/>
      </w:pPr>
      <w:r w:rsidRPr="00392EAD">
        <w:rPr>
          <w:lang w:val="pt-BR"/>
        </w:rPr>
        <w:t>A Sama, em contrapartida, afirma monitorar a saúde de cerca de 11 mil funcionários e ex-trabalhadores anual</w:t>
      </w:r>
      <w:r w:rsidRPr="00392EAD">
        <w:rPr>
          <w:lang w:val="pt-BR"/>
        </w:rPr>
        <w:t xml:space="preserve">mente. </w:t>
      </w:r>
      <w:r>
        <w:t>A empresa reconhece cerca de 100 doentes. O número é</w:t>
      </w:r>
    </w:p>
    <w:p w:rsidR="00D81F69" w:rsidRDefault="00330118">
      <w:pPr>
        <w:pStyle w:val="Corpodetexto"/>
        <w:spacing w:before="81" w:line="312" w:lineRule="auto"/>
        <w:ind w:right="206"/>
      </w:pPr>
      <w:r>
        <w:br w:type="column"/>
      </w:r>
      <w:r>
        <w:rPr>
          <w:spacing w:val="3"/>
        </w:rPr>
        <w:lastRenderedPageBreak/>
        <w:t xml:space="preserve">considerado subestimado </w:t>
      </w:r>
      <w:r>
        <w:rPr>
          <w:spacing w:val="2"/>
        </w:rPr>
        <w:t xml:space="preserve">pela </w:t>
      </w:r>
      <w:r>
        <w:rPr>
          <w:spacing w:val="3"/>
        </w:rPr>
        <w:t xml:space="preserve">Associação Brasileira </w:t>
      </w:r>
      <w:r>
        <w:rPr>
          <w:spacing w:val="5"/>
        </w:rPr>
        <w:t xml:space="preserve">dos </w:t>
      </w:r>
      <w:r>
        <w:rPr>
          <w:spacing w:val="7"/>
        </w:rPr>
        <w:t xml:space="preserve">Expostos </w:t>
      </w:r>
      <w:r>
        <w:rPr>
          <w:spacing w:val="5"/>
        </w:rPr>
        <w:t xml:space="preserve">ao </w:t>
      </w:r>
      <w:r>
        <w:rPr>
          <w:spacing w:val="7"/>
        </w:rPr>
        <w:t xml:space="preserve">Amianto (Abrea) </w:t>
      </w:r>
      <w:r>
        <w:t xml:space="preserve">e </w:t>
      </w:r>
      <w:r>
        <w:rPr>
          <w:spacing w:val="5"/>
        </w:rPr>
        <w:t xml:space="preserve">por </w:t>
      </w:r>
      <w:r>
        <w:rPr>
          <w:spacing w:val="8"/>
        </w:rPr>
        <w:t xml:space="preserve">trabalhadores </w:t>
      </w:r>
      <w:r>
        <w:rPr>
          <w:spacing w:val="10"/>
        </w:rPr>
        <w:t xml:space="preserve">que </w:t>
      </w:r>
      <w:r>
        <w:t>discordam dos laudos da Sama (DIÁRIO DO VALE, 2009). A empresa também implantou o Progra</w:t>
      </w:r>
      <w:r>
        <w:t xml:space="preserve">ma de Gerenciamento </w:t>
      </w:r>
      <w:r>
        <w:rPr>
          <w:spacing w:val="3"/>
        </w:rPr>
        <w:t xml:space="preserve">de </w:t>
      </w:r>
      <w:r>
        <w:rPr>
          <w:spacing w:val="6"/>
        </w:rPr>
        <w:t xml:space="preserve">Resíduos Sólidos, garantindo </w:t>
      </w:r>
      <w:r>
        <w:t xml:space="preserve">o </w:t>
      </w:r>
      <w:r>
        <w:rPr>
          <w:spacing w:val="5"/>
        </w:rPr>
        <w:t xml:space="preserve">envio </w:t>
      </w:r>
      <w:r>
        <w:rPr>
          <w:spacing w:val="3"/>
        </w:rPr>
        <w:t xml:space="preserve">de </w:t>
      </w:r>
      <w:r>
        <w:rPr>
          <w:spacing w:val="5"/>
        </w:rPr>
        <w:t xml:space="preserve">100% </w:t>
      </w:r>
      <w:r>
        <w:rPr>
          <w:spacing w:val="7"/>
        </w:rPr>
        <w:t xml:space="preserve">dos </w:t>
      </w:r>
      <w:r>
        <w:rPr>
          <w:spacing w:val="3"/>
        </w:rPr>
        <w:t xml:space="preserve">resíduos gerados </w:t>
      </w:r>
      <w:r>
        <w:rPr>
          <w:spacing w:val="2"/>
        </w:rPr>
        <w:t xml:space="preserve">pela </w:t>
      </w:r>
      <w:r>
        <w:rPr>
          <w:spacing w:val="3"/>
        </w:rPr>
        <w:t xml:space="preserve">extração </w:t>
      </w:r>
      <w:r>
        <w:rPr>
          <w:spacing w:val="1"/>
        </w:rPr>
        <w:t xml:space="preserve">do </w:t>
      </w:r>
      <w:r>
        <w:rPr>
          <w:spacing w:val="3"/>
        </w:rPr>
        <w:t xml:space="preserve">amianto crisotila </w:t>
      </w:r>
      <w:r>
        <w:rPr>
          <w:spacing w:val="5"/>
        </w:rPr>
        <w:t xml:space="preserve">para </w:t>
      </w:r>
      <w:r>
        <w:rPr>
          <w:spacing w:val="3"/>
        </w:rPr>
        <w:t>destinação correta (SAMA,</w:t>
      </w:r>
      <w:r>
        <w:rPr>
          <w:spacing w:val="25"/>
        </w:rPr>
        <w:t xml:space="preserve"> </w:t>
      </w:r>
      <w:r>
        <w:rPr>
          <w:spacing w:val="5"/>
        </w:rPr>
        <w:t>2010).</w:t>
      </w:r>
    </w:p>
    <w:p w:rsidR="00D81F69" w:rsidRDefault="00330118">
      <w:pPr>
        <w:pStyle w:val="Corpodetexto"/>
        <w:spacing w:before="136" w:line="312" w:lineRule="auto"/>
        <w:ind w:right="210"/>
      </w:pPr>
      <w:r>
        <w:rPr>
          <w:spacing w:val="1"/>
        </w:rPr>
        <w:t xml:space="preserve">Apesar </w:t>
      </w:r>
      <w:r>
        <w:t xml:space="preserve">do </w:t>
      </w:r>
      <w:r>
        <w:rPr>
          <w:spacing w:val="1"/>
        </w:rPr>
        <w:t xml:space="preserve">gerenciamento ambiental mais eficiente, </w:t>
      </w:r>
      <w:r>
        <w:rPr>
          <w:spacing w:val="2"/>
        </w:rPr>
        <w:t xml:space="preserve">muitos </w:t>
      </w:r>
      <w:r>
        <w:rPr>
          <w:spacing w:val="10"/>
        </w:rPr>
        <w:t xml:space="preserve">defendem </w:t>
      </w:r>
      <w:r>
        <w:t xml:space="preserve">o </w:t>
      </w:r>
      <w:r>
        <w:rPr>
          <w:spacing w:val="10"/>
        </w:rPr>
        <w:t xml:space="preserve">banimento </w:t>
      </w:r>
      <w:r>
        <w:rPr>
          <w:spacing w:val="5"/>
        </w:rPr>
        <w:t xml:space="preserve">da </w:t>
      </w:r>
      <w:r>
        <w:rPr>
          <w:spacing w:val="10"/>
        </w:rPr>
        <w:t xml:space="preserve">exploração </w:t>
      </w:r>
      <w:r>
        <w:rPr>
          <w:spacing w:val="5"/>
        </w:rPr>
        <w:t>do</w:t>
      </w:r>
      <w:r>
        <w:rPr>
          <w:spacing w:val="5"/>
        </w:rPr>
        <w:t xml:space="preserve"> </w:t>
      </w:r>
      <w:r>
        <w:rPr>
          <w:spacing w:val="10"/>
        </w:rPr>
        <w:t xml:space="preserve">mineral </w:t>
      </w:r>
      <w:r>
        <w:t xml:space="preserve">e argumentam que a substituição da fibra é economicamente </w:t>
      </w:r>
      <w:r>
        <w:rPr>
          <w:spacing w:val="5"/>
        </w:rPr>
        <w:t xml:space="preserve">viável. </w:t>
      </w:r>
      <w:r>
        <w:rPr>
          <w:spacing w:val="3"/>
        </w:rPr>
        <w:t xml:space="preserve">Por </w:t>
      </w:r>
      <w:r>
        <w:rPr>
          <w:spacing w:val="5"/>
        </w:rPr>
        <w:t xml:space="preserve">exemplo, </w:t>
      </w:r>
      <w:r>
        <w:rPr>
          <w:spacing w:val="2"/>
        </w:rPr>
        <w:t xml:space="preserve">um </w:t>
      </w:r>
      <w:r>
        <w:rPr>
          <w:spacing w:val="5"/>
        </w:rPr>
        <w:t xml:space="preserve">estudo </w:t>
      </w:r>
      <w:r>
        <w:rPr>
          <w:spacing w:val="2"/>
        </w:rPr>
        <w:t xml:space="preserve">do </w:t>
      </w:r>
      <w:r>
        <w:rPr>
          <w:spacing w:val="5"/>
        </w:rPr>
        <w:t xml:space="preserve">Núcleo </w:t>
      </w:r>
      <w:r>
        <w:rPr>
          <w:spacing w:val="2"/>
        </w:rPr>
        <w:t xml:space="preserve">de </w:t>
      </w:r>
      <w:r>
        <w:rPr>
          <w:spacing w:val="5"/>
        </w:rPr>
        <w:t xml:space="preserve">Economia </w:t>
      </w:r>
      <w:r>
        <w:t>Industrial e da Tecnologia (Neit), da Unicamp, revela que as indústrias instaladas já possuem tecnologia para substituir o amianto, a cu</w:t>
      </w:r>
      <w:r>
        <w:t xml:space="preserve">stos competitivos. De acordo com o estudo, a diferença de preços entre as telhas de fibrocimento, com e sem amianto, não ultrapassa os 10%, e o impacto na perda de empregos decorrente do encerramento das atividades de </w:t>
      </w:r>
      <w:r>
        <w:rPr>
          <w:spacing w:val="1"/>
        </w:rPr>
        <w:t xml:space="preserve">mineração </w:t>
      </w:r>
      <w:r>
        <w:t xml:space="preserve">e da </w:t>
      </w:r>
      <w:r>
        <w:rPr>
          <w:spacing w:val="1"/>
        </w:rPr>
        <w:t xml:space="preserve">industrialização </w:t>
      </w:r>
      <w:r>
        <w:t xml:space="preserve">da </w:t>
      </w:r>
      <w:r>
        <w:rPr>
          <w:spacing w:val="1"/>
        </w:rPr>
        <w:t>fib</w:t>
      </w:r>
      <w:r>
        <w:rPr>
          <w:spacing w:val="1"/>
        </w:rPr>
        <w:t xml:space="preserve">ra seria localizado </w:t>
      </w:r>
      <w:r>
        <w:t xml:space="preserve">e </w:t>
      </w:r>
      <w:r>
        <w:rPr>
          <w:spacing w:val="1"/>
        </w:rPr>
        <w:t>contornável (AGÊNCIA ESTADO,</w:t>
      </w:r>
      <w:r>
        <w:rPr>
          <w:spacing w:val="11"/>
        </w:rPr>
        <w:t xml:space="preserve"> </w:t>
      </w:r>
      <w:r>
        <w:rPr>
          <w:spacing w:val="2"/>
        </w:rPr>
        <w:t>2011).</w:t>
      </w:r>
    </w:p>
    <w:p w:rsidR="00D81F69" w:rsidRDefault="00330118">
      <w:pPr>
        <w:pStyle w:val="Corpodetexto"/>
        <w:spacing w:before="141"/>
      </w:pPr>
      <w:r>
        <w:t>{FOTO_4#}</w:t>
      </w:r>
    </w:p>
    <w:p w:rsidR="00D81F69" w:rsidRDefault="00D81F69">
      <w:pPr>
        <w:pStyle w:val="Corpodetexto"/>
        <w:spacing w:before="9"/>
        <w:ind w:left="0"/>
        <w:jc w:val="left"/>
        <w:rPr>
          <w:sz w:val="16"/>
        </w:rPr>
      </w:pPr>
    </w:p>
    <w:p w:rsidR="00D81F69" w:rsidRDefault="00330118">
      <w:pPr>
        <w:pStyle w:val="Corpodetexto"/>
        <w:spacing w:line="312" w:lineRule="auto"/>
        <w:ind w:right="210"/>
      </w:pPr>
      <w:r>
        <w:t>A concorrente da Sama no mercado brasileiro, a Brasilit - controlada pelo grupo francês Saint-Gobain e que já foi sócia da Eternit e vendeu sua parte na jazida Cana Brava após o banimento</w:t>
      </w:r>
      <w:r>
        <w:t xml:space="preserve"> do amianto na França em 1996 – investe em produto substituto ao amianto e passou a utilizar nos seus produtos de fibrocimento, o polipropileno, uma fibra sintética alternativa. Contudo, as empresas brasileiras do setor de telhas e caixas d'água argumentam</w:t>
      </w:r>
      <w:r>
        <w:t xml:space="preserve"> que o produto é cerca de 40% mais caro do que o amianto e seria de qualidade inferior (VALOR ONLINE, 2010).</w:t>
      </w:r>
    </w:p>
    <w:p w:rsidR="00D81F69" w:rsidRDefault="00D81F69">
      <w:pPr>
        <w:pStyle w:val="Corpodetexto"/>
        <w:spacing w:before="9"/>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214"/>
      </w:pPr>
      <w:r>
        <w:t xml:space="preserve">O </w:t>
      </w:r>
      <w:r>
        <w:rPr>
          <w:spacing w:val="3"/>
        </w:rPr>
        <w:t xml:space="preserve">município </w:t>
      </w:r>
      <w:r>
        <w:rPr>
          <w:spacing w:val="1"/>
        </w:rPr>
        <w:t xml:space="preserve">de </w:t>
      </w:r>
      <w:r>
        <w:rPr>
          <w:spacing w:val="3"/>
        </w:rPr>
        <w:t xml:space="preserve">Minaçu situa-se </w:t>
      </w:r>
      <w:r>
        <w:rPr>
          <w:spacing w:val="1"/>
        </w:rPr>
        <w:t xml:space="preserve">na </w:t>
      </w:r>
      <w:r>
        <w:rPr>
          <w:spacing w:val="3"/>
        </w:rPr>
        <w:t xml:space="preserve">latitude 13°33’49”S </w:t>
      </w:r>
      <w:r>
        <w:t>e longitude 48°13’20”W, detendo todas as reservas nacionais de amianto</w:t>
      </w:r>
      <w:r>
        <w:rPr>
          <w:spacing w:val="28"/>
        </w:rPr>
        <w:t xml:space="preserve"> </w:t>
      </w:r>
      <w:r>
        <w:t>crisotila.</w:t>
      </w:r>
    </w:p>
    <w:p w:rsidR="00D81F69" w:rsidRDefault="00D81F69">
      <w:pPr>
        <w:pStyle w:val="Corpodetexto"/>
        <w:spacing w:before="1"/>
        <w:ind w:left="0"/>
        <w:jc w:val="left"/>
        <w:rPr>
          <w:sz w:val="29"/>
        </w:rPr>
      </w:pPr>
    </w:p>
    <w:p w:rsidR="00D81F69" w:rsidRDefault="00330118">
      <w:pPr>
        <w:pStyle w:val="Heading7"/>
      </w:pPr>
      <w:r>
        <w:t>REDATORES</w:t>
      </w:r>
    </w:p>
    <w:p w:rsidR="00D81F69" w:rsidRDefault="00330118">
      <w:pPr>
        <w:pStyle w:val="Corpodetexto"/>
        <w:spacing w:before="179"/>
      </w:pPr>
      <w:r>
        <w:t>Elizabeth Dias</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tabs>
          <w:tab w:val="left" w:pos="4331"/>
        </w:tabs>
        <w:spacing w:before="187" w:line="312" w:lineRule="auto"/>
        <w:ind w:left="100" w:right="191"/>
        <w:jc w:val="both"/>
        <w:rPr>
          <w:sz w:val="16"/>
        </w:rPr>
      </w:pPr>
      <w:r>
        <w:rPr>
          <w:sz w:val="16"/>
        </w:rPr>
        <w:t xml:space="preserve">AGÊNCIA ESTADO. Estudo da Unicamp revela que proibir amianto é </w:t>
      </w:r>
      <w:r>
        <w:rPr>
          <w:spacing w:val="5"/>
          <w:sz w:val="16"/>
        </w:rPr>
        <w:t xml:space="preserve">viável. </w:t>
      </w:r>
      <w:r>
        <w:rPr>
          <w:spacing w:val="3"/>
          <w:sz w:val="16"/>
        </w:rPr>
        <w:t xml:space="preserve">In: </w:t>
      </w:r>
      <w:r>
        <w:rPr>
          <w:spacing w:val="5"/>
          <w:sz w:val="16"/>
        </w:rPr>
        <w:t xml:space="preserve">Instituto Nacional </w:t>
      </w:r>
      <w:r>
        <w:rPr>
          <w:spacing w:val="2"/>
          <w:sz w:val="16"/>
        </w:rPr>
        <w:t xml:space="preserve">do  </w:t>
      </w:r>
      <w:r>
        <w:rPr>
          <w:spacing w:val="5"/>
          <w:sz w:val="16"/>
        </w:rPr>
        <w:t xml:space="preserve">Câncer  (INCA), </w:t>
      </w:r>
      <w:r>
        <w:rPr>
          <w:spacing w:val="2"/>
          <w:sz w:val="16"/>
        </w:rPr>
        <w:t xml:space="preserve">04  </w:t>
      </w:r>
      <w:r>
        <w:rPr>
          <w:spacing w:val="5"/>
          <w:sz w:val="16"/>
        </w:rPr>
        <w:t xml:space="preserve">jan.  </w:t>
      </w:r>
      <w:r>
        <w:rPr>
          <w:spacing w:val="6"/>
          <w:sz w:val="16"/>
        </w:rPr>
        <w:t xml:space="preserve">2011.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ind w:left="100"/>
        <w:jc w:val="both"/>
        <w:rPr>
          <w:sz w:val="16"/>
        </w:rPr>
      </w:pPr>
      <w:hyperlink r:id="rId871">
        <w:r w:rsidR="00330118">
          <w:rPr>
            <w:sz w:val="16"/>
          </w:rPr>
          <w:t>&lt;http://www2.inca.gov.br/wps/wcm/connect/agencianoticias/site/home</w:t>
        </w:r>
      </w:hyperlink>
    </w:p>
    <w:p w:rsidR="00D81F69" w:rsidRDefault="00330118">
      <w:pPr>
        <w:spacing w:before="56" w:line="312" w:lineRule="auto"/>
        <w:ind w:left="100" w:right="215"/>
        <w:jc w:val="both"/>
        <w:rPr>
          <w:sz w:val="16"/>
        </w:rPr>
      </w:pPr>
      <w:r>
        <w:rPr>
          <w:sz w:val="16"/>
        </w:rPr>
        <w:t>/noticias/2011/estudo_da_u</w:t>
      </w:r>
      <w:r>
        <w:rPr>
          <w:sz w:val="16"/>
        </w:rPr>
        <w:t>nicamp_revela_que_proibir_amianto_e_vi avel&gt;. Acesso em: 18 jan. 2011.</w:t>
      </w:r>
    </w:p>
    <w:p w:rsidR="00D81F69" w:rsidRDefault="00330118">
      <w:pPr>
        <w:spacing w:before="1" w:line="312" w:lineRule="auto"/>
        <w:ind w:left="100" w:right="182"/>
        <w:jc w:val="both"/>
        <w:rPr>
          <w:sz w:val="16"/>
        </w:rPr>
      </w:pPr>
      <w:r>
        <w:rPr>
          <w:sz w:val="16"/>
        </w:rPr>
        <w:t>BLATT, Paulo Roberto; SALDANHA, Jânia Maria Lopes. O caso do amianto: conjuntura internacional e jurisprudência do STF. In: Revista Eletrônica do Curso de Direito da Universidade Federa</w:t>
      </w:r>
      <w:r>
        <w:rPr>
          <w:sz w:val="16"/>
        </w:rPr>
        <w:t xml:space="preserve">l de Santa Maria – RS, v. 2, n. 3. Nov. 2007. Disponível em: </w:t>
      </w:r>
    </w:p>
    <w:p w:rsidR="00D81F69" w:rsidRDefault="00D81F69">
      <w:pPr>
        <w:spacing w:before="4" w:line="312" w:lineRule="auto"/>
        <w:ind w:left="100" w:right="216"/>
        <w:jc w:val="both"/>
        <w:rPr>
          <w:sz w:val="16"/>
        </w:rPr>
      </w:pPr>
      <w:hyperlink r:id="rId872">
        <w:r w:rsidR="00330118">
          <w:rPr>
            <w:sz w:val="16"/>
          </w:rPr>
          <w:t xml:space="preserve">&lt;http://www.ufsm.br/revistadireito/eds/v2n3/a18.pdf&gt;. </w:t>
        </w:r>
      </w:hyperlink>
      <w:r w:rsidR="00330118">
        <w:rPr>
          <w:sz w:val="16"/>
        </w:rPr>
        <w:t>Acesso em: 18 dez. 2010.</w:t>
      </w:r>
    </w:p>
    <w:p w:rsidR="00D81F69" w:rsidRDefault="00330118">
      <w:pPr>
        <w:spacing w:before="1" w:line="312" w:lineRule="auto"/>
        <w:ind w:left="100" w:right="197"/>
        <w:jc w:val="both"/>
        <w:rPr>
          <w:sz w:val="16"/>
        </w:rPr>
      </w:pPr>
      <w:r>
        <w:rPr>
          <w:sz w:val="16"/>
        </w:rPr>
        <w:t>CARDOSO, Anna Carolina; CARAZZAI, Estelita Hass</w:t>
      </w:r>
      <w:r>
        <w:rPr>
          <w:sz w:val="16"/>
        </w:rPr>
        <w:t>. Sob pressão, amianto prospera em Minaçu. Folha Online, São Paulo, 02 jul. 2009.</w:t>
      </w:r>
    </w:p>
    <w:p w:rsidR="00D81F69" w:rsidRDefault="00330118">
      <w:pPr>
        <w:tabs>
          <w:tab w:val="left" w:pos="4331"/>
        </w:tabs>
        <w:spacing w:before="2"/>
        <w:ind w:left="100"/>
        <w:jc w:val="both"/>
        <w:rPr>
          <w:sz w:val="16"/>
        </w:rPr>
      </w:pP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 xml:space="preserve">e      m    </w:t>
      </w:r>
      <w:r>
        <w:rPr>
          <w:spacing w:val="20"/>
          <w:sz w:val="16"/>
        </w:rPr>
        <w:t xml:space="preserve"> </w:t>
      </w:r>
      <w:r>
        <w:rPr>
          <w:sz w:val="16"/>
        </w:rPr>
        <w:t>:</w:t>
      </w:r>
    </w:p>
    <w:p w:rsidR="00D81F69" w:rsidRDefault="00D81F69">
      <w:pPr>
        <w:jc w:val="both"/>
        <w:rPr>
          <w:sz w:val="16"/>
        </w:rPr>
        <w:sectPr w:rsidR="00D81F69">
          <w:pgSz w:w="11900" w:h="16840"/>
          <w:pgMar w:top="740" w:right="500" w:bottom="680" w:left="620" w:header="0" w:footer="402" w:gutter="0"/>
          <w:cols w:num="2" w:space="720" w:equalWidth="0">
            <w:col w:w="5157" w:space="313"/>
            <w:col w:w="5310"/>
          </w:cols>
        </w:sectPr>
      </w:pPr>
    </w:p>
    <w:p w:rsidR="00D81F69" w:rsidRDefault="00D81F69">
      <w:pPr>
        <w:spacing w:before="70" w:line="312" w:lineRule="auto"/>
        <w:ind w:left="100" w:right="112"/>
        <w:rPr>
          <w:sz w:val="16"/>
        </w:rPr>
      </w:pPr>
      <w:hyperlink r:id="rId873">
        <w:r w:rsidR="00330118">
          <w:rPr>
            <w:sz w:val="16"/>
          </w:rPr>
          <w:t>&lt;http://www1.folha.uol.com.br/folha/treinamento/novoemfolha47/ult10</w:t>
        </w:r>
      </w:hyperlink>
      <w:r w:rsidR="00330118">
        <w:rPr>
          <w:sz w:val="16"/>
        </w:rPr>
        <w:t xml:space="preserve"> 115u589896.shtml&gt;. Acesso em: 18 dez. 2010.</w:t>
      </w:r>
    </w:p>
    <w:p w:rsidR="00D81F69" w:rsidRDefault="00330118">
      <w:pPr>
        <w:spacing w:before="1"/>
        <w:ind w:left="100"/>
        <w:jc w:val="both"/>
        <w:rPr>
          <w:sz w:val="16"/>
        </w:rPr>
      </w:pPr>
      <w:r>
        <w:rPr>
          <w:sz w:val="16"/>
        </w:rPr>
        <w:t>DIÁRIO DO VALE. Mineração de amianto continua em Goiás, 12 jul.</w:t>
      </w:r>
    </w:p>
    <w:p w:rsidR="00D81F69" w:rsidRDefault="00330118">
      <w:pPr>
        <w:tabs>
          <w:tab w:val="left" w:pos="1785"/>
          <w:tab w:val="left" w:pos="4548"/>
        </w:tabs>
        <w:spacing w:before="56"/>
        <w:ind w:left="100"/>
        <w:jc w:val="both"/>
        <w:rPr>
          <w:sz w:val="16"/>
        </w:rPr>
      </w:pPr>
      <w:r>
        <w:rPr>
          <w:sz w:val="16"/>
        </w:rPr>
        <w:t xml:space="preserve">2   0   0  </w:t>
      </w:r>
      <w:r>
        <w:rPr>
          <w:spacing w:val="35"/>
          <w:sz w:val="16"/>
        </w:rPr>
        <w:t xml:space="preserve"> </w:t>
      </w:r>
      <w:r>
        <w:rPr>
          <w:sz w:val="16"/>
        </w:rPr>
        <w:t xml:space="preserve">9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ind w:left="100"/>
        <w:jc w:val="both"/>
        <w:rPr>
          <w:sz w:val="16"/>
        </w:rPr>
      </w:pPr>
      <w:hyperlink r:id="rId874" w:anchor="axzz1BQQg1arY">
        <w:r w:rsidR="00330118">
          <w:rPr>
            <w:sz w:val="16"/>
          </w:rPr>
          <w:t>&lt;http://diariodovale.uol.com.br/noticias/0,6858.html#axzz1BQQg1arY</w:t>
        </w:r>
      </w:hyperlink>
    </w:p>
    <w:p w:rsidR="00D81F69" w:rsidRDefault="00330118">
      <w:pPr>
        <w:spacing w:before="56"/>
        <w:ind w:left="100"/>
        <w:jc w:val="both"/>
        <w:rPr>
          <w:sz w:val="16"/>
        </w:rPr>
      </w:pPr>
      <w:r>
        <w:rPr>
          <w:sz w:val="16"/>
        </w:rPr>
        <w:t>&gt;. Acesso em: 18 dez. 2010.</w:t>
      </w:r>
    </w:p>
    <w:p w:rsidR="00D81F69" w:rsidRDefault="00330118">
      <w:pPr>
        <w:spacing w:before="56" w:line="312" w:lineRule="auto"/>
        <w:ind w:left="100" w:right="112"/>
        <w:rPr>
          <w:sz w:val="16"/>
        </w:rPr>
      </w:pPr>
      <w:r>
        <w:rPr>
          <w:sz w:val="16"/>
        </w:rPr>
        <w:t>ESTADÃO.COM.BR. Para especialistas ‘questões econômicas’ favorecem uso</w:t>
      </w:r>
      <w:r>
        <w:rPr>
          <w:sz w:val="16"/>
        </w:rPr>
        <w:t xml:space="preserve"> de amianto no Brasil. 23 jul. 2010. Disponível em</w:t>
      </w:r>
    </w:p>
    <w:p w:rsidR="00D81F69" w:rsidRDefault="00D81F69">
      <w:pPr>
        <w:spacing w:before="2" w:line="312" w:lineRule="auto"/>
        <w:ind w:left="100" w:right="112"/>
        <w:rPr>
          <w:sz w:val="16"/>
        </w:rPr>
      </w:pPr>
      <w:hyperlink r:id="rId875">
        <w:r w:rsidR="00330118">
          <w:rPr>
            <w:spacing w:val="5"/>
            <w:sz w:val="16"/>
          </w:rPr>
          <w:t>&lt;http://www.estadao.com.br/noticias/nacional,para-especialista-</w:t>
        </w:r>
      </w:hyperlink>
      <w:r w:rsidR="00330118">
        <w:rPr>
          <w:spacing w:val="5"/>
          <w:sz w:val="16"/>
        </w:rPr>
        <w:t xml:space="preserve"> </w:t>
      </w:r>
      <w:r w:rsidR="00330118">
        <w:rPr>
          <w:spacing w:val="23"/>
          <w:sz w:val="16"/>
        </w:rPr>
        <w:t xml:space="preserve">questoes-economicas-favorecem-uso-de-amianto-no- </w:t>
      </w:r>
      <w:r w:rsidR="00330118">
        <w:rPr>
          <w:spacing w:val="22"/>
          <w:sz w:val="16"/>
        </w:rPr>
        <w:t>brasil,585</w:t>
      </w:r>
      <w:r w:rsidR="00330118">
        <w:rPr>
          <w:spacing w:val="22"/>
          <w:sz w:val="16"/>
        </w:rPr>
        <w:t xml:space="preserve">079,0.htm&gt;. </w:t>
      </w:r>
      <w:r w:rsidR="00330118">
        <w:rPr>
          <w:spacing w:val="20"/>
          <w:sz w:val="16"/>
        </w:rPr>
        <w:t xml:space="preserve">Acesso </w:t>
      </w:r>
      <w:r w:rsidR="00330118">
        <w:rPr>
          <w:spacing w:val="15"/>
          <w:sz w:val="16"/>
        </w:rPr>
        <w:t>em:</w:t>
      </w:r>
      <w:r w:rsidR="00330118">
        <w:rPr>
          <w:spacing w:val="75"/>
          <w:sz w:val="16"/>
        </w:rPr>
        <w:t xml:space="preserve"> </w:t>
      </w:r>
      <w:r w:rsidR="00330118">
        <w:rPr>
          <w:spacing w:val="11"/>
          <w:sz w:val="16"/>
        </w:rPr>
        <w:t xml:space="preserve">17 </w:t>
      </w:r>
      <w:r w:rsidR="00330118">
        <w:rPr>
          <w:spacing w:val="17"/>
          <w:sz w:val="16"/>
        </w:rPr>
        <w:t xml:space="preserve">dez. </w:t>
      </w:r>
      <w:r w:rsidR="00330118">
        <w:rPr>
          <w:spacing w:val="20"/>
          <w:sz w:val="16"/>
        </w:rPr>
        <w:t xml:space="preserve">2010. </w:t>
      </w:r>
      <w:r w:rsidR="00330118">
        <w:rPr>
          <w:spacing w:val="3"/>
          <w:sz w:val="16"/>
        </w:rPr>
        <w:t xml:space="preserve">FERREIRA FILHO, Osvaldo Barbosa; LINARES, William </w:t>
      </w:r>
      <w:r w:rsidR="00330118">
        <w:rPr>
          <w:spacing w:val="5"/>
          <w:sz w:val="16"/>
        </w:rPr>
        <w:t xml:space="preserve">Bretas. </w:t>
      </w:r>
      <w:r w:rsidR="00330118">
        <w:rPr>
          <w:sz w:val="16"/>
        </w:rPr>
        <w:t>Crisotila: DNPM - Economia Mineral do Brasil – 2009, Cap. 8, p. 655 e</w:t>
      </w:r>
    </w:p>
    <w:p w:rsidR="00D81F69" w:rsidRDefault="00330118">
      <w:pPr>
        <w:tabs>
          <w:tab w:val="left" w:pos="2169"/>
          <w:tab w:val="left" w:pos="4597"/>
        </w:tabs>
        <w:spacing w:before="4"/>
        <w:ind w:left="100"/>
        <w:rPr>
          <w:sz w:val="16"/>
        </w:rPr>
      </w:pPr>
      <w:r>
        <w:rPr>
          <w:sz w:val="16"/>
        </w:rPr>
        <w:t>6   6   2   -   6   6</w:t>
      </w:r>
      <w:r>
        <w:rPr>
          <w:spacing w:val="10"/>
          <w:sz w:val="16"/>
        </w:rPr>
        <w:t xml:space="preserve"> </w:t>
      </w:r>
      <w:r>
        <w:rPr>
          <w:sz w:val="16"/>
        </w:rPr>
        <w:t xml:space="preserve">6 </w:t>
      </w:r>
      <w:r>
        <w:rPr>
          <w:spacing w:val="30"/>
          <w:sz w:val="16"/>
        </w:rPr>
        <w:t xml:space="preserve"> </w:t>
      </w:r>
      <w:r>
        <w:rPr>
          <w:sz w:val="16"/>
        </w:rPr>
        <w:t>.</w:t>
      </w:r>
      <w:r>
        <w:rPr>
          <w:sz w:val="16"/>
        </w:rPr>
        <w:tab/>
        <w:t xml:space="preserve">D </w:t>
      </w:r>
      <w:r>
        <w:rPr>
          <w:spacing w:val="30"/>
          <w:sz w:val="16"/>
        </w:rPr>
        <w:t xml:space="preserve"> </w:t>
      </w:r>
      <w:r>
        <w:rPr>
          <w:sz w:val="16"/>
        </w:rPr>
        <w:t xml:space="preserve">i </w:t>
      </w:r>
      <w:r>
        <w:rPr>
          <w:spacing w:val="30"/>
          <w:sz w:val="16"/>
        </w:rPr>
        <w:t xml:space="preserve"> </w:t>
      </w:r>
      <w:r>
        <w:rPr>
          <w:sz w:val="16"/>
        </w:rPr>
        <w:t xml:space="preserve">s </w:t>
      </w:r>
      <w:r>
        <w:rPr>
          <w:spacing w:val="30"/>
          <w:sz w:val="16"/>
        </w:rPr>
        <w:t xml:space="preserve"> </w:t>
      </w:r>
      <w:r>
        <w:rPr>
          <w:sz w:val="16"/>
        </w:rPr>
        <w:t xml:space="preserve">p </w:t>
      </w:r>
      <w:r>
        <w:rPr>
          <w:spacing w:val="30"/>
          <w:sz w:val="16"/>
        </w:rPr>
        <w:t xml:space="preserve"> </w:t>
      </w:r>
      <w:r>
        <w:rPr>
          <w:sz w:val="16"/>
        </w:rPr>
        <w:t xml:space="preserve">o </w:t>
      </w:r>
      <w:r>
        <w:rPr>
          <w:spacing w:val="30"/>
          <w:sz w:val="16"/>
        </w:rPr>
        <w:t xml:space="preserve"> </w:t>
      </w:r>
      <w:r>
        <w:rPr>
          <w:sz w:val="16"/>
        </w:rPr>
        <w:t xml:space="preserve">n </w:t>
      </w:r>
      <w:r>
        <w:rPr>
          <w:spacing w:val="30"/>
          <w:sz w:val="16"/>
        </w:rPr>
        <w:t xml:space="preserve"> </w:t>
      </w:r>
      <w:r>
        <w:rPr>
          <w:sz w:val="16"/>
        </w:rPr>
        <w:t xml:space="preserve">í </w:t>
      </w:r>
      <w:r>
        <w:rPr>
          <w:spacing w:val="30"/>
          <w:sz w:val="16"/>
        </w:rPr>
        <w:t xml:space="preserve"> </w:t>
      </w:r>
      <w:r>
        <w:rPr>
          <w:sz w:val="16"/>
        </w:rPr>
        <w:t xml:space="preserve">v </w:t>
      </w:r>
      <w:r>
        <w:rPr>
          <w:spacing w:val="30"/>
          <w:sz w:val="16"/>
        </w:rPr>
        <w:t xml:space="preserve"> </w:t>
      </w:r>
      <w:r>
        <w:rPr>
          <w:sz w:val="16"/>
        </w:rPr>
        <w:t xml:space="preserve">e </w:t>
      </w:r>
      <w:r>
        <w:rPr>
          <w:spacing w:val="30"/>
          <w:sz w:val="16"/>
        </w:rPr>
        <w:t xml:space="preserve"> </w:t>
      </w:r>
      <w:r>
        <w:rPr>
          <w:sz w:val="16"/>
        </w:rPr>
        <w:t>l</w:t>
      </w:r>
      <w:r>
        <w:rPr>
          <w:sz w:val="16"/>
        </w:rPr>
        <w:tab/>
        <w:t xml:space="preserve">e   m </w:t>
      </w:r>
      <w:r>
        <w:rPr>
          <w:spacing w:val="17"/>
          <w:sz w:val="16"/>
        </w:rPr>
        <w:t xml:space="preserve"> </w:t>
      </w:r>
      <w:r>
        <w:rPr>
          <w:sz w:val="16"/>
        </w:rPr>
        <w:t>:</w:t>
      </w:r>
    </w:p>
    <w:p w:rsidR="00D81F69" w:rsidRDefault="00330118">
      <w:pPr>
        <w:spacing w:before="56" w:line="312" w:lineRule="auto"/>
        <w:ind w:left="100" w:right="135"/>
        <w:rPr>
          <w:sz w:val="16"/>
        </w:rPr>
      </w:pPr>
      <w:r>
        <w:rPr>
          <w:sz w:val="16"/>
        </w:rPr>
        <w:t>&lt;</w:t>
      </w:r>
      <w:r>
        <w:rPr>
          <w:sz w:val="16"/>
        </w:rPr>
        <w:t>https://sistemas.dnpm.gov.br/publicacao/mostra_imagem.asp?IDBan coArquivoArquivo=4010&gt;. Acesso em: 18 dez. 2010.</w:t>
      </w:r>
    </w:p>
    <w:p w:rsidR="00D81F69" w:rsidRDefault="00330118">
      <w:pPr>
        <w:spacing w:before="2" w:line="312" w:lineRule="auto"/>
        <w:ind w:left="100" w:right="109"/>
        <w:jc w:val="both"/>
        <w:rPr>
          <w:sz w:val="16"/>
        </w:rPr>
      </w:pPr>
      <w:r>
        <w:rPr>
          <w:sz w:val="16"/>
        </w:rPr>
        <w:t>GIANNASI, Fernanda. A mina de Cana Brava, em Minaçu, está mais para purgatório do que para paraíso terrestre. Artigo postado no fórum Conexão S</w:t>
      </w:r>
      <w:r>
        <w:rPr>
          <w:sz w:val="16"/>
        </w:rPr>
        <w:t>indical do Instituto Observatório Social. In: Conexão Sindical, Observatório Social, 25 fev. 2009. Disponível em:</w:t>
      </w:r>
    </w:p>
    <w:p w:rsidR="00D81F69" w:rsidRDefault="00330118">
      <w:pPr>
        <w:spacing w:before="3" w:line="312" w:lineRule="auto"/>
        <w:ind w:left="100" w:right="134"/>
        <w:rPr>
          <w:sz w:val="16"/>
        </w:rPr>
      </w:pPr>
      <w:r>
        <w:rPr>
          <w:sz w:val="16"/>
        </w:rPr>
        <w:t>&lt;http://www.observatoriosocial.org.br/conex2/?q=node/3012&gt;. Acesso em: 21 dez. 2010.</w:t>
      </w:r>
    </w:p>
    <w:p w:rsidR="00D81F69" w:rsidRDefault="00330118">
      <w:pPr>
        <w:spacing w:before="2"/>
        <w:ind w:left="100"/>
        <w:jc w:val="both"/>
        <w:rPr>
          <w:sz w:val="16"/>
        </w:rPr>
      </w:pPr>
      <w:r>
        <w:rPr>
          <w:sz w:val="16"/>
        </w:rPr>
        <w:t>IBGE, INSTITUTO BRASILEIRO DE GEOGRAFIA E ESTATÍSTICA.</w:t>
      </w:r>
    </w:p>
    <w:p w:rsidR="00D81F69" w:rsidRDefault="00330118">
      <w:pPr>
        <w:spacing w:before="56"/>
        <w:ind w:left="100"/>
        <w:jc w:val="both"/>
        <w:rPr>
          <w:sz w:val="16"/>
        </w:rPr>
      </w:pPr>
      <w:r>
        <w:rPr>
          <w:sz w:val="16"/>
        </w:rPr>
        <w:t xml:space="preserve">M </w:t>
      </w:r>
      <w:r>
        <w:rPr>
          <w:sz w:val="16"/>
        </w:rPr>
        <w:t xml:space="preserve">i n a ç u ,         2 0 0 9 .         D i s p o n í v e l         e m :  </w:t>
      </w:r>
    </w:p>
    <w:p w:rsidR="00D81F69" w:rsidRDefault="00D81F69">
      <w:pPr>
        <w:spacing w:before="56"/>
        <w:ind w:left="100"/>
        <w:jc w:val="both"/>
        <w:rPr>
          <w:sz w:val="16"/>
        </w:rPr>
      </w:pPr>
      <w:hyperlink r:id="rId876">
        <w:r w:rsidR="00330118">
          <w:rPr>
            <w:sz w:val="16"/>
          </w:rPr>
          <w:t>&lt;http://www.ibge.gov.br/cidadesat/xtras/perfil.php?codmun=521308&amp;r</w:t>
        </w:r>
      </w:hyperlink>
    </w:p>
    <w:p w:rsidR="00D81F69" w:rsidRDefault="00330118">
      <w:pPr>
        <w:spacing w:before="56"/>
        <w:ind w:left="100"/>
        <w:jc w:val="both"/>
        <w:rPr>
          <w:sz w:val="16"/>
        </w:rPr>
      </w:pPr>
      <w:r>
        <w:rPr>
          <w:sz w:val="16"/>
        </w:rPr>
        <w:t>=2&gt;. Acesso em: 19 dez 2010.</w:t>
      </w:r>
    </w:p>
    <w:p w:rsidR="00D81F69" w:rsidRDefault="00330118">
      <w:pPr>
        <w:spacing w:before="56" w:line="312" w:lineRule="auto"/>
        <w:ind w:left="100" w:right="119"/>
        <w:jc w:val="both"/>
        <w:rPr>
          <w:sz w:val="16"/>
        </w:rPr>
      </w:pPr>
      <w:r>
        <w:rPr>
          <w:sz w:val="16"/>
        </w:rPr>
        <w:t>KITAMURA, Satoshi. Abordagem quali-quantitativa da exposição populacional a poeiras: critério para estimar a exposição populacional cumulativa a poeira, em atividade de mineração de asbesto na mina de São Felix em Poções, BA (1940 a 1967) e na mina de Can</w:t>
      </w:r>
      <w:r>
        <w:rPr>
          <w:sz w:val="16"/>
        </w:rPr>
        <w:t>a Brava, em Minaçu, GO (1967 a 1996). Campinas, 2001. 48 f. Tese (Doutorado em Ciências Médicas) - Universidade Estadual de Campinas, SP. Disponível em:</w:t>
      </w:r>
    </w:p>
    <w:p w:rsidR="00D81F69" w:rsidRDefault="00D81F69">
      <w:pPr>
        <w:spacing w:before="5" w:line="312" w:lineRule="auto"/>
        <w:ind w:left="100" w:right="112" w:firstLine="52"/>
        <w:rPr>
          <w:sz w:val="16"/>
        </w:rPr>
      </w:pPr>
      <w:hyperlink r:id="rId877">
        <w:r w:rsidR="00330118">
          <w:rPr>
            <w:sz w:val="16"/>
          </w:rPr>
          <w:t>&lt;http://cutter.unicamp.br/docume</w:t>
        </w:r>
        <w:r w:rsidR="00330118">
          <w:rPr>
            <w:sz w:val="16"/>
          </w:rPr>
          <w:t xml:space="preserve">nt/?code=vtls000219904&gt;. </w:t>
        </w:r>
      </w:hyperlink>
      <w:r w:rsidR="00330118">
        <w:rPr>
          <w:sz w:val="16"/>
        </w:rPr>
        <w:t>Acesso em: 19 dez. 2010.</w:t>
      </w:r>
    </w:p>
    <w:p w:rsidR="00D81F69" w:rsidRDefault="00330118">
      <w:pPr>
        <w:spacing w:before="2"/>
        <w:ind w:left="100"/>
        <w:rPr>
          <w:sz w:val="16"/>
        </w:rPr>
      </w:pPr>
      <w:r>
        <w:rPr>
          <w:sz w:val="16"/>
        </w:rPr>
        <w:t>MAPA DA INJUSTIÇA AMBIENTAL E SAÚDE NO BRASIL. Em</w:t>
      </w:r>
    </w:p>
    <w:p w:rsidR="00D81F69" w:rsidRDefault="00330118">
      <w:pPr>
        <w:spacing w:before="56" w:line="312" w:lineRule="auto"/>
        <w:ind w:left="100" w:right="112"/>
        <w:rPr>
          <w:sz w:val="16"/>
        </w:rPr>
      </w:pPr>
      <w:r>
        <w:rPr>
          <w:sz w:val="16"/>
        </w:rPr>
        <w:t>Goiás, como em outros estados, o amianto continua a fazer novas vítimas, embora seu</w:t>
      </w:r>
    </w:p>
    <w:p w:rsidR="00D81F69" w:rsidRDefault="00330118">
      <w:pPr>
        <w:spacing w:before="70" w:line="312" w:lineRule="auto"/>
        <w:ind w:left="100" w:right="213"/>
        <w:jc w:val="both"/>
        <w:rPr>
          <w:sz w:val="16"/>
        </w:rPr>
      </w:pPr>
      <w:r>
        <w:br w:type="column"/>
      </w:r>
      <w:r>
        <w:rPr>
          <w:sz w:val="16"/>
        </w:rPr>
        <w:lastRenderedPageBreak/>
        <w:t>banimento seja um imperativo reconhecido internacionalmente. 05 dez. 20</w:t>
      </w:r>
      <w:r>
        <w:rPr>
          <w:sz w:val="16"/>
        </w:rPr>
        <w:t>09.</w:t>
      </w:r>
    </w:p>
    <w:p w:rsidR="00D81F69" w:rsidRDefault="00330118">
      <w:pPr>
        <w:tabs>
          <w:tab w:val="left" w:pos="4331"/>
        </w:tabs>
        <w:spacing w:before="1"/>
        <w:ind w:left="100"/>
        <w:jc w:val="both"/>
        <w:rPr>
          <w:sz w:val="16"/>
        </w:rPr>
      </w:pP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56" w:line="312" w:lineRule="auto"/>
        <w:ind w:left="100" w:right="216"/>
        <w:jc w:val="both"/>
        <w:rPr>
          <w:sz w:val="16"/>
        </w:rPr>
      </w:pPr>
      <w:hyperlink r:id="rId878">
        <w:r w:rsidR="00330118">
          <w:rPr>
            <w:sz w:val="16"/>
          </w:rPr>
          <w:t>&lt;http://www.conflitoambiental.icict.fiocruz.br/index.php?pag=ficha&amp;co</w:t>
        </w:r>
      </w:hyperlink>
      <w:r w:rsidR="00330118">
        <w:rPr>
          <w:sz w:val="16"/>
        </w:rPr>
        <w:t xml:space="preserve"> d=129&gt;. Acesso em: 17 dez</w:t>
      </w:r>
      <w:r w:rsidR="00330118">
        <w:rPr>
          <w:sz w:val="16"/>
        </w:rPr>
        <w:t>. 2010.</w:t>
      </w:r>
    </w:p>
    <w:p w:rsidR="00D81F69" w:rsidRDefault="00330118">
      <w:pPr>
        <w:spacing w:before="2" w:line="312" w:lineRule="auto"/>
        <w:ind w:left="100" w:right="185"/>
        <w:jc w:val="both"/>
        <w:rPr>
          <w:sz w:val="16"/>
        </w:rPr>
      </w:pPr>
      <w:r>
        <w:rPr>
          <w:sz w:val="16"/>
        </w:rPr>
        <w:t xml:space="preserve">MAGALHÃES, Luiz Fernando; MARON, Marco Antonio Cordeiro. Diagnóstico do setor mineral goiano. Ministério das Minas e Energia e Governo do Estado de Goiás, fev. 2002. Disponível em: </w:t>
      </w:r>
    </w:p>
    <w:p w:rsidR="00D81F69" w:rsidRDefault="00D81F69">
      <w:pPr>
        <w:spacing w:before="2" w:line="312" w:lineRule="auto"/>
        <w:ind w:left="100" w:right="215"/>
        <w:jc w:val="both"/>
        <w:rPr>
          <w:sz w:val="16"/>
        </w:rPr>
      </w:pPr>
      <w:hyperlink r:id="rId879">
        <w:r w:rsidR="00330118">
          <w:rPr>
            <w:sz w:val="16"/>
          </w:rPr>
          <w:t>&lt;http://www.lapig.iesa.ufg.br/sgm/publicacoes/diag_aval/diag_setor_</w:t>
        </w:r>
      </w:hyperlink>
      <w:r w:rsidR="00330118">
        <w:rPr>
          <w:sz w:val="16"/>
        </w:rPr>
        <w:t xml:space="preserve"> mineral.pdf&gt;. Acesso em: 19 dez 2010.</w:t>
      </w:r>
    </w:p>
    <w:p w:rsidR="00D81F69" w:rsidRDefault="00330118">
      <w:pPr>
        <w:spacing w:before="2" w:line="312" w:lineRule="auto"/>
        <w:ind w:left="100" w:right="169"/>
        <w:jc w:val="both"/>
        <w:rPr>
          <w:sz w:val="16"/>
        </w:rPr>
      </w:pPr>
      <w:r>
        <w:rPr>
          <w:spacing w:val="5"/>
          <w:sz w:val="16"/>
        </w:rPr>
        <w:t xml:space="preserve">NASCIMENTO, </w:t>
      </w:r>
      <w:r>
        <w:rPr>
          <w:spacing w:val="3"/>
          <w:sz w:val="16"/>
        </w:rPr>
        <w:t xml:space="preserve">Diego </w:t>
      </w:r>
      <w:r>
        <w:rPr>
          <w:spacing w:val="5"/>
          <w:sz w:val="16"/>
        </w:rPr>
        <w:t xml:space="preserve">Tarley Ferreira; SOUSA, Silvio </w:t>
      </w:r>
      <w:r>
        <w:rPr>
          <w:spacing w:val="3"/>
          <w:sz w:val="16"/>
        </w:rPr>
        <w:t xml:space="preserve">Braz </w:t>
      </w:r>
      <w:r>
        <w:rPr>
          <w:spacing w:val="5"/>
          <w:sz w:val="16"/>
        </w:rPr>
        <w:t xml:space="preserve">de; </w:t>
      </w:r>
      <w:r>
        <w:rPr>
          <w:spacing w:val="6"/>
          <w:sz w:val="16"/>
        </w:rPr>
        <w:t xml:space="preserve">OLIVEIRA, Ivanilton </w:t>
      </w:r>
      <w:r>
        <w:rPr>
          <w:spacing w:val="5"/>
          <w:sz w:val="16"/>
        </w:rPr>
        <w:t xml:space="preserve">José de. </w:t>
      </w:r>
      <w:r>
        <w:rPr>
          <w:sz w:val="16"/>
        </w:rPr>
        <w:t xml:space="preserve">A </w:t>
      </w:r>
      <w:r>
        <w:rPr>
          <w:spacing w:val="5"/>
          <w:sz w:val="16"/>
        </w:rPr>
        <w:t xml:space="preserve">relação entre </w:t>
      </w:r>
      <w:r>
        <w:rPr>
          <w:spacing w:val="3"/>
          <w:sz w:val="16"/>
        </w:rPr>
        <w:t xml:space="preserve">os </w:t>
      </w:r>
      <w:r>
        <w:rPr>
          <w:spacing w:val="5"/>
          <w:sz w:val="16"/>
        </w:rPr>
        <w:t xml:space="preserve">valores </w:t>
      </w:r>
      <w:r>
        <w:rPr>
          <w:spacing w:val="7"/>
          <w:sz w:val="16"/>
        </w:rPr>
        <w:t xml:space="preserve">de </w:t>
      </w:r>
      <w:r>
        <w:rPr>
          <w:sz w:val="16"/>
        </w:rPr>
        <w:t xml:space="preserve">temperatura superficial terrestre (TST), o uso e cobertura do solo e a topografia no município de Minaçu - GO (2001). Ateliê Geográfico, </w:t>
      </w:r>
      <w:r>
        <w:rPr>
          <w:spacing w:val="20"/>
          <w:sz w:val="16"/>
        </w:rPr>
        <w:t>v.3,</w:t>
      </w:r>
      <w:r>
        <w:rPr>
          <w:spacing w:val="85"/>
          <w:sz w:val="16"/>
        </w:rPr>
        <w:t xml:space="preserve"> </w:t>
      </w:r>
      <w:r>
        <w:rPr>
          <w:spacing w:val="20"/>
          <w:sz w:val="16"/>
        </w:rPr>
        <w:t>n.2,</w:t>
      </w:r>
      <w:r>
        <w:rPr>
          <w:spacing w:val="85"/>
          <w:sz w:val="16"/>
        </w:rPr>
        <w:t xml:space="preserve"> </w:t>
      </w:r>
      <w:r>
        <w:rPr>
          <w:spacing w:val="20"/>
          <w:sz w:val="16"/>
        </w:rPr>
        <w:t>set.</w:t>
      </w:r>
      <w:r>
        <w:rPr>
          <w:spacing w:val="85"/>
          <w:sz w:val="16"/>
        </w:rPr>
        <w:t xml:space="preserve"> </w:t>
      </w:r>
      <w:r>
        <w:rPr>
          <w:spacing w:val="21"/>
          <w:sz w:val="16"/>
        </w:rPr>
        <w:t xml:space="preserve">2009, </w:t>
      </w:r>
      <w:r>
        <w:rPr>
          <w:spacing w:val="13"/>
          <w:sz w:val="16"/>
        </w:rPr>
        <w:t xml:space="preserve">p. </w:t>
      </w:r>
      <w:r>
        <w:rPr>
          <w:spacing w:val="23"/>
          <w:sz w:val="16"/>
        </w:rPr>
        <w:t xml:space="preserve">93-107. </w:t>
      </w:r>
      <w:r>
        <w:rPr>
          <w:spacing w:val="25"/>
          <w:sz w:val="16"/>
        </w:rPr>
        <w:t xml:space="preserve">Disponível </w:t>
      </w:r>
      <w:r>
        <w:rPr>
          <w:spacing w:val="17"/>
          <w:sz w:val="16"/>
        </w:rPr>
        <w:t>em:</w:t>
      </w:r>
      <w:r>
        <w:rPr>
          <w:spacing w:val="-16"/>
          <w:sz w:val="16"/>
        </w:rPr>
        <w:t xml:space="preserve"> </w:t>
      </w:r>
    </w:p>
    <w:p w:rsidR="00D81F69" w:rsidRDefault="00D81F69">
      <w:pPr>
        <w:spacing w:before="4" w:line="312" w:lineRule="auto"/>
        <w:ind w:left="100" w:right="197"/>
        <w:jc w:val="both"/>
        <w:rPr>
          <w:sz w:val="16"/>
        </w:rPr>
      </w:pPr>
      <w:hyperlink r:id="rId880">
        <w:r w:rsidR="00330118">
          <w:rPr>
            <w:sz w:val="16"/>
          </w:rPr>
          <w:t>&lt;http://www.revistas.ufg.br/index.php/atelie/article/view/7288/5196&gt;.</w:t>
        </w:r>
      </w:hyperlink>
      <w:r w:rsidR="00330118">
        <w:rPr>
          <w:sz w:val="16"/>
        </w:rPr>
        <w:t xml:space="preserve"> Acesso em: 18 jan. 2011.</w:t>
      </w:r>
    </w:p>
    <w:p w:rsidR="00D81F69" w:rsidRDefault="00330118">
      <w:pPr>
        <w:spacing w:before="2" w:line="312" w:lineRule="auto"/>
        <w:ind w:left="100" w:right="180"/>
        <w:jc w:val="both"/>
        <w:rPr>
          <w:sz w:val="16"/>
        </w:rPr>
      </w:pPr>
      <w:r>
        <w:rPr>
          <w:sz w:val="16"/>
        </w:rPr>
        <w:t>O HOJE. Goiás tem sete graves problemas ambientais. 22 abr. 2010. Disponível em</w:t>
      </w:r>
      <w:r>
        <w:rPr>
          <w:sz w:val="16"/>
        </w:rPr>
        <w:t xml:space="preserve"> </w:t>
      </w:r>
      <w:hyperlink r:id="rId881">
        <w:r>
          <w:rPr>
            <w:sz w:val="16"/>
          </w:rPr>
          <w:t>&lt;http://www.ohoje.com.br/cidades/22-04-2010-goias-</w:t>
        </w:r>
      </w:hyperlink>
      <w:r>
        <w:rPr>
          <w:sz w:val="16"/>
        </w:rPr>
        <w:t xml:space="preserve"> tem-sete-graves-problemas-ambientais/&gt;. Acesso em: 08 jan. 2011. PEREIRA, Lídia Milhomem; ALMEIDA, Maria Geralda de. Paisagens construída</w:t>
      </w:r>
      <w:r>
        <w:rPr>
          <w:sz w:val="16"/>
        </w:rPr>
        <w:t xml:space="preserve">s, mineração e turismo conforme a percepção dos moradores em Minaçu – GO. In: Cultur – Revista de Cultura e Turismo, ano 3, n.1, p. 78-86. 2009. Disponível em: </w:t>
      </w:r>
    </w:p>
    <w:p w:rsidR="00D81F69" w:rsidRDefault="00D81F69">
      <w:pPr>
        <w:spacing w:before="6" w:line="312" w:lineRule="auto"/>
        <w:ind w:left="100" w:right="196"/>
        <w:jc w:val="both"/>
        <w:rPr>
          <w:sz w:val="16"/>
        </w:rPr>
      </w:pPr>
      <w:hyperlink r:id="rId882">
        <w:r w:rsidR="00330118">
          <w:rPr>
            <w:sz w:val="16"/>
          </w:rPr>
          <w:t>&lt;http://www.u</w:t>
        </w:r>
        <w:r w:rsidR="00330118">
          <w:rPr>
            <w:sz w:val="16"/>
          </w:rPr>
          <w:t>esc.br/revistas/culturaeturismo/edicao4/artigo_4.pdf&gt;.</w:t>
        </w:r>
      </w:hyperlink>
      <w:r w:rsidR="00330118">
        <w:rPr>
          <w:sz w:val="16"/>
        </w:rPr>
        <w:t xml:space="preserve"> Acesso em: 21 dez. 2010.</w:t>
      </w:r>
    </w:p>
    <w:p w:rsidR="00D81F69" w:rsidRDefault="00330118">
      <w:pPr>
        <w:spacing w:before="1" w:line="312" w:lineRule="auto"/>
        <w:ind w:left="100" w:right="147"/>
        <w:jc w:val="both"/>
        <w:rPr>
          <w:sz w:val="16"/>
        </w:rPr>
      </w:pPr>
      <w:r>
        <w:rPr>
          <w:sz w:val="16"/>
        </w:rPr>
        <w:t>SAMA S.A. MINERAÇÕES ASSOCIADAS. Meio Ambiente – Projeto   S</w:t>
      </w:r>
      <w:r>
        <w:rPr>
          <w:sz w:val="16"/>
        </w:rPr>
        <w:t xml:space="preserve"> </w:t>
      </w:r>
      <w:r>
        <w:rPr>
          <w:sz w:val="16"/>
        </w:rPr>
        <w:t>a</w:t>
      </w:r>
      <w:r>
        <w:rPr>
          <w:sz w:val="16"/>
        </w:rPr>
        <w:t xml:space="preserve"> </w:t>
      </w:r>
      <w:r>
        <w:rPr>
          <w:sz w:val="16"/>
        </w:rPr>
        <w:t>m</w:t>
      </w:r>
      <w:r>
        <w:rPr>
          <w:sz w:val="16"/>
        </w:rPr>
        <w:t xml:space="preserve"> </w:t>
      </w:r>
      <w:r>
        <w:rPr>
          <w:sz w:val="16"/>
        </w:rPr>
        <w:t>b</w:t>
      </w:r>
      <w:r>
        <w:rPr>
          <w:sz w:val="16"/>
        </w:rPr>
        <w:t xml:space="preserve"> </w:t>
      </w:r>
      <w:r>
        <w:rPr>
          <w:sz w:val="16"/>
        </w:rPr>
        <w:t>a</w:t>
      </w:r>
      <w:r>
        <w:rPr>
          <w:sz w:val="16"/>
        </w:rPr>
        <w:t xml:space="preserve"> </w:t>
      </w:r>
      <w:r>
        <w:rPr>
          <w:sz w:val="16"/>
        </w:rPr>
        <w:t>í</w:t>
      </w:r>
      <w:r>
        <w:rPr>
          <w:sz w:val="16"/>
        </w:rPr>
        <w:t xml:space="preserve"> </w:t>
      </w:r>
      <w:r>
        <w:rPr>
          <w:sz w:val="16"/>
        </w:rPr>
        <w:t>b</w:t>
      </w:r>
      <w:r>
        <w:rPr>
          <w:sz w:val="16"/>
        </w:rPr>
        <w:t xml:space="preserve"> </w:t>
      </w:r>
      <w:r>
        <w:rPr>
          <w:sz w:val="16"/>
        </w:rPr>
        <w:t>a</w:t>
      </w:r>
      <w:r>
        <w:rPr>
          <w:sz w:val="16"/>
        </w:rPr>
        <w:t xml:space="preserve"> </w:t>
      </w:r>
      <w:r>
        <w:rPr>
          <w:sz w:val="16"/>
        </w:rPr>
        <w:t>.</w:t>
      </w:r>
      <w:r>
        <w:rPr>
          <w:spacing w:val="5"/>
          <w:sz w:val="16"/>
        </w:rPr>
        <w:t xml:space="preserve"> </w:t>
      </w:r>
      <w:r>
        <w:rPr>
          <w:sz w:val="16"/>
        </w:rPr>
        <w:t>I</w:t>
      </w:r>
      <w:r>
        <w:rPr>
          <w:sz w:val="16"/>
        </w:rPr>
        <w:t xml:space="preserve"> </w:t>
      </w:r>
      <w:r>
        <w:rPr>
          <w:sz w:val="16"/>
        </w:rPr>
        <w:t>n</w:t>
      </w:r>
      <w:r>
        <w:rPr>
          <w:sz w:val="16"/>
        </w:rPr>
        <w:t xml:space="preserve"> </w:t>
      </w:r>
      <w:r>
        <w:rPr>
          <w:sz w:val="16"/>
        </w:rPr>
        <w:t>s</w:t>
      </w:r>
      <w:r>
        <w:rPr>
          <w:sz w:val="16"/>
        </w:rPr>
        <w:t xml:space="preserve"> </w:t>
      </w:r>
      <w:r>
        <w:rPr>
          <w:sz w:val="16"/>
        </w:rPr>
        <w:t>t</w:t>
      </w:r>
      <w:r>
        <w:rPr>
          <w:sz w:val="16"/>
        </w:rPr>
        <w:t xml:space="preserve"> </w:t>
      </w:r>
      <w:r>
        <w:rPr>
          <w:sz w:val="16"/>
        </w:rPr>
        <w:t>i</w:t>
      </w:r>
      <w:r>
        <w:rPr>
          <w:sz w:val="16"/>
        </w:rPr>
        <w:t xml:space="preserve"> </w:t>
      </w:r>
      <w:r>
        <w:rPr>
          <w:sz w:val="16"/>
        </w:rPr>
        <w:t>t</w:t>
      </w:r>
      <w:r>
        <w:rPr>
          <w:sz w:val="16"/>
        </w:rPr>
        <w:t xml:space="preserve"> </w:t>
      </w:r>
      <w:r>
        <w:rPr>
          <w:sz w:val="16"/>
        </w:rPr>
        <w:t>u</w:t>
      </w:r>
      <w:r>
        <w:rPr>
          <w:sz w:val="16"/>
        </w:rPr>
        <w:t xml:space="preserve"> </w:t>
      </w:r>
      <w:r>
        <w:rPr>
          <w:sz w:val="16"/>
        </w:rPr>
        <w:t>c</w:t>
      </w:r>
      <w:r>
        <w:rPr>
          <w:sz w:val="16"/>
        </w:rPr>
        <w:t xml:space="preserve"> </w:t>
      </w:r>
      <w:r>
        <w:rPr>
          <w:sz w:val="16"/>
        </w:rPr>
        <w:t>i</w:t>
      </w:r>
      <w:r>
        <w:rPr>
          <w:sz w:val="16"/>
        </w:rPr>
        <w:t xml:space="preserve"> </w:t>
      </w:r>
      <w:r>
        <w:rPr>
          <w:sz w:val="16"/>
        </w:rPr>
        <w:t>o</w:t>
      </w:r>
      <w:r>
        <w:rPr>
          <w:sz w:val="16"/>
        </w:rPr>
        <w:t xml:space="preserve"> </w:t>
      </w:r>
      <w:r>
        <w:rPr>
          <w:sz w:val="16"/>
        </w:rPr>
        <w:t>n</w:t>
      </w:r>
      <w:r>
        <w:rPr>
          <w:sz w:val="16"/>
        </w:rPr>
        <w:t xml:space="preserve"> </w:t>
      </w:r>
      <w:r>
        <w:rPr>
          <w:sz w:val="16"/>
        </w:rPr>
        <w:t>a</w:t>
      </w:r>
      <w:r>
        <w:rPr>
          <w:sz w:val="16"/>
        </w:rPr>
        <w:t xml:space="preserve"> </w:t>
      </w:r>
      <w:r>
        <w:rPr>
          <w:sz w:val="16"/>
        </w:rPr>
        <w:t>l</w:t>
      </w:r>
      <w:r>
        <w:rPr>
          <w:sz w:val="16"/>
        </w:rPr>
        <w:t xml:space="preserve"> </w:t>
      </w:r>
      <w:r>
        <w:rPr>
          <w:sz w:val="16"/>
        </w:rPr>
        <w:t>.</w:t>
      </w:r>
      <w:r>
        <w:rPr>
          <w:spacing w:val="5"/>
          <w:sz w:val="16"/>
        </w:rPr>
        <w:t xml:space="preserve"> </w:t>
      </w:r>
      <w:r>
        <w:rPr>
          <w:sz w:val="16"/>
        </w:rPr>
        <w:t>D</w:t>
      </w:r>
      <w:r>
        <w:rPr>
          <w:sz w:val="16"/>
        </w:rPr>
        <w:t xml:space="preserve"> </w:t>
      </w:r>
      <w:r>
        <w:rPr>
          <w:sz w:val="16"/>
        </w:rPr>
        <w:t>i</w:t>
      </w:r>
      <w:r>
        <w:rPr>
          <w:sz w:val="16"/>
        </w:rPr>
        <w:t xml:space="preserve"> </w:t>
      </w:r>
      <w:r>
        <w:rPr>
          <w:sz w:val="16"/>
        </w:rPr>
        <w:t>s</w:t>
      </w:r>
      <w:r>
        <w:rPr>
          <w:sz w:val="16"/>
        </w:rPr>
        <w:t xml:space="preserve"> </w:t>
      </w:r>
      <w:r>
        <w:rPr>
          <w:sz w:val="16"/>
        </w:rPr>
        <w:t>p</w:t>
      </w:r>
      <w:r>
        <w:rPr>
          <w:sz w:val="16"/>
        </w:rPr>
        <w:t xml:space="preserve"> </w:t>
      </w:r>
      <w:r>
        <w:rPr>
          <w:sz w:val="16"/>
        </w:rPr>
        <w:t>o</w:t>
      </w:r>
      <w:r>
        <w:rPr>
          <w:sz w:val="16"/>
        </w:rPr>
        <w:t xml:space="preserve"> </w:t>
      </w:r>
      <w:r>
        <w:rPr>
          <w:sz w:val="16"/>
        </w:rPr>
        <w:t>n</w:t>
      </w:r>
      <w:r>
        <w:rPr>
          <w:sz w:val="16"/>
        </w:rPr>
        <w:t xml:space="preserve"> </w:t>
      </w:r>
      <w:r>
        <w:rPr>
          <w:sz w:val="16"/>
        </w:rPr>
        <w:t>í</w:t>
      </w:r>
      <w:r>
        <w:rPr>
          <w:sz w:val="16"/>
        </w:rPr>
        <w:t xml:space="preserve"> </w:t>
      </w:r>
      <w:r>
        <w:rPr>
          <w:sz w:val="16"/>
        </w:rPr>
        <w:t>v</w:t>
      </w:r>
      <w:r>
        <w:rPr>
          <w:sz w:val="16"/>
        </w:rPr>
        <w:t xml:space="preserve"> </w:t>
      </w:r>
      <w:r>
        <w:rPr>
          <w:sz w:val="16"/>
        </w:rPr>
        <w:t>e</w:t>
      </w:r>
      <w:r>
        <w:rPr>
          <w:sz w:val="16"/>
        </w:rPr>
        <w:t xml:space="preserve"> </w:t>
      </w:r>
      <w:r>
        <w:rPr>
          <w:sz w:val="16"/>
        </w:rPr>
        <w:t>l</w:t>
      </w:r>
      <w:r>
        <w:rPr>
          <w:spacing w:val="5"/>
          <w:sz w:val="16"/>
        </w:rPr>
        <w:t xml:space="preserve"> </w:t>
      </w:r>
      <w:r>
        <w:rPr>
          <w:sz w:val="16"/>
        </w:rPr>
        <w:t>e</w:t>
      </w:r>
      <w:r>
        <w:rPr>
          <w:sz w:val="16"/>
        </w:rPr>
        <w:t xml:space="preserve"> </w:t>
      </w:r>
      <w:r>
        <w:rPr>
          <w:sz w:val="16"/>
        </w:rPr>
        <w:t>m</w:t>
      </w:r>
      <w:r>
        <w:rPr>
          <w:sz w:val="16"/>
        </w:rPr>
        <w:t xml:space="preserve"> </w:t>
      </w:r>
      <w:r>
        <w:rPr>
          <w:sz w:val="16"/>
        </w:rPr>
        <w:t>:</w:t>
      </w:r>
      <w:r>
        <w:rPr>
          <w:spacing w:val="2"/>
          <w:sz w:val="16"/>
        </w:rPr>
        <w:t xml:space="preserve"> </w:t>
      </w:r>
    </w:p>
    <w:p w:rsidR="00D81F69" w:rsidRDefault="00D81F69">
      <w:pPr>
        <w:spacing w:before="2" w:line="312" w:lineRule="auto"/>
        <w:ind w:left="100" w:right="214"/>
        <w:jc w:val="both"/>
        <w:rPr>
          <w:sz w:val="16"/>
        </w:rPr>
      </w:pPr>
      <w:hyperlink r:id="rId883">
        <w:r w:rsidR="00330118">
          <w:rPr>
            <w:sz w:val="16"/>
          </w:rPr>
          <w:t xml:space="preserve">&lt;http://www.sama.com.br/ambiente/sambaiba.htm&gt;. </w:t>
        </w:r>
      </w:hyperlink>
      <w:r w:rsidR="00330118">
        <w:rPr>
          <w:sz w:val="16"/>
        </w:rPr>
        <w:t>Acesso em 18 dez. 2010.</w:t>
      </w:r>
    </w:p>
    <w:p w:rsidR="00D81F69" w:rsidRDefault="00330118">
      <w:pPr>
        <w:spacing w:before="1"/>
        <w:ind w:left="100"/>
        <w:jc w:val="both"/>
        <w:rPr>
          <w:sz w:val="16"/>
        </w:rPr>
      </w:pPr>
      <w:r>
        <w:rPr>
          <w:sz w:val="16"/>
        </w:rPr>
        <w:t>VALOR  ONLINE.  Contexto.  03  mar.  2010.  Disponível  em:</w:t>
      </w:r>
    </w:p>
    <w:p w:rsidR="00D81F69" w:rsidRDefault="00D81F69">
      <w:pPr>
        <w:spacing w:before="56" w:line="312" w:lineRule="auto"/>
        <w:ind w:left="100" w:right="181"/>
        <w:jc w:val="both"/>
        <w:rPr>
          <w:sz w:val="16"/>
        </w:rPr>
      </w:pPr>
      <w:hyperlink r:id="rId884">
        <w:r w:rsidR="00330118">
          <w:rPr>
            <w:spacing w:val="23"/>
            <w:sz w:val="16"/>
          </w:rPr>
          <w:t xml:space="preserve">&lt;http://www.valoronline.com.br/impresso/legislacao- </w:t>
        </w:r>
      </w:hyperlink>
      <w:r w:rsidR="00330118">
        <w:rPr>
          <w:spacing w:val="10"/>
          <w:sz w:val="16"/>
        </w:rPr>
        <w:t xml:space="preserve">tributos/106/111543/contexto&gt;. Acesso </w:t>
      </w:r>
      <w:r w:rsidR="00330118">
        <w:rPr>
          <w:spacing w:val="7"/>
          <w:sz w:val="16"/>
        </w:rPr>
        <w:t xml:space="preserve">em: </w:t>
      </w:r>
      <w:r w:rsidR="00330118">
        <w:rPr>
          <w:spacing w:val="5"/>
          <w:sz w:val="16"/>
        </w:rPr>
        <w:t xml:space="preserve">17 </w:t>
      </w:r>
      <w:r w:rsidR="00330118">
        <w:rPr>
          <w:spacing w:val="8"/>
          <w:sz w:val="16"/>
        </w:rPr>
        <w:t xml:space="preserve">dez. </w:t>
      </w:r>
      <w:r w:rsidR="00330118">
        <w:rPr>
          <w:spacing w:val="11"/>
          <w:sz w:val="16"/>
        </w:rPr>
        <w:t xml:space="preserve">2010. </w:t>
      </w:r>
      <w:r w:rsidR="00330118">
        <w:rPr>
          <w:sz w:val="16"/>
        </w:rPr>
        <w:t xml:space="preserve">VIALLI, Andrea. Relatório pede o banimento de todo tipo de amianto. O </w:t>
      </w:r>
      <w:r w:rsidR="00330118">
        <w:rPr>
          <w:spacing w:val="13"/>
          <w:sz w:val="16"/>
        </w:rPr>
        <w:t xml:space="preserve">Estado </w:t>
      </w:r>
      <w:r w:rsidR="00330118">
        <w:rPr>
          <w:spacing w:val="7"/>
          <w:sz w:val="16"/>
        </w:rPr>
        <w:t xml:space="preserve">de S. </w:t>
      </w:r>
      <w:r w:rsidR="00330118">
        <w:rPr>
          <w:spacing w:val="13"/>
          <w:sz w:val="16"/>
        </w:rPr>
        <w:t xml:space="preserve">Paulo, </w:t>
      </w:r>
      <w:r w:rsidR="00330118">
        <w:rPr>
          <w:spacing w:val="7"/>
          <w:sz w:val="16"/>
        </w:rPr>
        <w:t xml:space="preserve">26 </w:t>
      </w:r>
      <w:r w:rsidR="00330118">
        <w:rPr>
          <w:spacing w:val="11"/>
          <w:sz w:val="16"/>
        </w:rPr>
        <w:t xml:space="preserve">jun. </w:t>
      </w:r>
      <w:r w:rsidR="00330118">
        <w:rPr>
          <w:spacing w:val="12"/>
          <w:sz w:val="16"/>
        </w:rPr>
        <w:t xml:space="preserve">2010. </w:t>
      </w:r>
      <w:r w:rsidR="00330118">
        <w:rPr>
          <w:spacing w:val="15"/>
          <w:sz w:val="16"/>
        </w:rPr>
        <w:t>Disponível</w:t>
      </w:r>
      <w:r w:rsidR="00330118">
        <w:rPr>
          <w:spacing w:val="40"/>
          <w:sz w:val="16"/>
        </w:rPr>
        <w:t xml:space="preserve"> </w:t>
      </w:r>
      <w:r w:rsidR="00330118">
        <w:rPr>
          <w:spacing w:val="10"/>
          <w:sz w:val="16"/>
        </w:rPr>
        <w:t>em:</w:t>
      </w:r>
      <w:r w:rsidR="00330118">
        <w:rPr>
          <w:spacing w:val="-26"/>
          <w:sz w:val="16"/>
        </w:rPr>
        <w:t xml:space="preserve"> </w:t>
      </w:r>
    </w:p>
    <w:p w:rsidR="00D81F69" w:rsidRDefault="00D81F69">
      <w:pPr>
        <w:spacing w:before="4" w:line="312" w:lineRule="auto"/>
        <w:ind w:left="100" w:right="209"/>
        <w:jc w:val="both"/>
        <w:rPr>
          <w:sz w:val="16"/>
        </w:rPr>
      </w:pPr>
      <w:hyperlink r:id="rId885">
        <w:r w:rsidR="00330118">
          <w:rPr>
            <w:sz w:val="16"/>
          </w:rPr>
          <w:t>&lt;http://www.estadao.com.br/noticias/impresso,relatorio-pede-o-</w:t>
        </w:r>
      </w:hyperlink>
      <w:r w:rsidR="00330118">
        <w:rPr>
          <w:sz w:val="16"/>
        </w:rPr>
        <w:t xml:space="preserve"> banimento-de-todo-o-tipo-de-amianto,572257,0.htm&gt;. Acesso em: 17 dez. 2010.</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231" w:space="239"/>
            <w:col w:w="5310"/>
          </w:cols>
        </w:sectPr>
      </w:pPr>
    </w:p>
    <w:p w:rsidR="00D81F69" w:rsidRDefault="00330118">
      <w:pPr>
        <w:pStyle w:val="Heading1"/>
        <w:tabs>
          <w:tab w:val="left" w:pos="2195"/>
          <w:tab w:val="left" w:pos="2737"/>
          <w:tab w:val="left" w:pos="3063"/>
          <w:tab w:val="left" w:pos="3217"/>
          <w:tab w:val="left" w:pos="5059"/>
          <w:tab w:val="left" w:pos="6812"/>
          <w:tab w:val="left" w:pos="6861"/>
          <w:tab w:val="left" w:pos="8055"/>
          <w:tab w:val="left" w:pos="9254"/>
        </w:tabs>
        <w:spacing w:line="208" w:lineRule="auto"/>
      </w:pPr>
      <w:r>
        <w:rPr>
          <w:spacing w:val="25"/>
        </w:rPr>
        <w:lastRenderedPageBreak/>
        <w:t>Garimpo</w:t>
      </w:r>
      <w:r>
        <w:rPr>
          <w:spacing w:val="25"/>
        </w:rPr>
        <w:tab/>
      </w:r>
      <w:r>
        <w:rPr>
          <w:spacing w:val="15"/>
        </w:rPr>
        <w:t>em</w:t>
      </w:r>
      <w:r>
        <w:rPr>
          <w:spacing w:val="15"/>
        </w:rPr>
        <w:tab/>
      </w:r>
      <w:r>
        <w:rPr>
          <w:spacing w:val="25"/>
        </w:rPr>
        <w:t>Campos</w:t>
      </w:r>
      <w:r>
        <w:rPr>
          <w:spacing w:val="25"/>
        </w:rPr>
        <w:tab/>
        <w:t>Verdes</w:t>
      </w:r>
      <w:r>
        <w:rPr>
          <w:spacing w:val="25"/>
        </w:rPr>
        <w:tab/>
      </w:r>
      <w:r>
        <w:rPr>
          <w:spacing w:val="22"/>
        </w:rPr>
        <w:t>(GO)</w:t>
      </w:r>
      <w:r>
        <w:rPr>
          <w:spacing w:val="22"/>
        </w:rPr>
        <w:tab/>
      </w:r>
      <w:r>
        <w:rPr>
          <w:spacing w:val="22"/>
        </w:rPr>
        <w:t>gera</w:t>
      </w:r>
      <w:r>
        <w:rPr>
          <w:spacing w:val="22"/>
        </w:rPr>
        <w:tab/>
      </w:r>
      <w:r>
        <w:rPr>
          <w:spacing w:val="30"/>
        </w:rPr>
        <w:t xml:space="preserve">danos </w:t>
      </w:r>
      <w:r>
        <w:rPr>
          <w:spacing w:val="26"/>
        </w:rPr>
        <w:t>ambientais</w:t>
      </w:r>
      <w:r>
        <w:rPr>
          <w:spacing w:val="26"/>
        </w:rPr>
        <w:tab/>
      </w:r>
      <w:r>
        <w:t>e</w:t>
      </w:r>
      <w:r>
        <w:tab/>
      </w:r>
      <w:r>
        <w:tab/>
      </w:r>
      <w:r>
        <w:rPr>
          <w:spacing w:val="27"/>
        </w:rPr>
        <w:t>vulnerabilidade</w:t>
      </w:r>
      <w:r>
        <w:rPr>
          <w:spacing w:val="27"/>
        </w:rPr>
        <w:tab/>
      </w:r>
      <w:r>
        <w:rPr>
          <w:spacing w:val="27"/>
        </w:rPr>
        <w:tab/>
      </w:r>
      <w:r>
        <w:rPr>
          <w:spacing w:val="30"/>
        </w:rPr>
        <w:t>socioeconômica</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GO - Campos Verdes</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-4,2587</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-49,6567</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6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O </w:t>
      </w:r>
      <w:r>
        <w:rPr>
          <w:i/>
          <w:spacing w:val="1"/>
          <w:sz w:val="16"/>
        </w:rPr>
        <w:t xml:space="preserve">garimpo </w:t>
      </w:r>
      <w:r>
        <w:rPr>
          <w:i/>
          <w:sz w:val="16"/>
        </w:rPr>
        <w:t xml:space="preserve">de </w:t>
      </w:r>
      <w:r>
        <w:rPr>
          <w:i/>
          <w:spacing w:val="1"/>
          <w:sz w:val="16"/>
        </w:rPr>
        <w:t xml:space="preserve">esmeraldas </w:t>
      </w:r>
      <w:r>
        <w:rPr>
          <w:i/>
          <w:sz w:val="16"/>
        </w:rPr>
        <w:t xml:space="preserve">no </w:t>
      </w:r>
      <w:r>
        <w:rPr>
          <w:i/>
          <w:spacing w:val="1"/>
          <w:sz w:val="16"/>
        </w:rPr>
        <w:t xml:space="preserve">norte </w:t>
      </w:r>
      <w:r>
        <w:rPr>
          <w:i/>
          <w:spacing w:val="2"/>
          <w:sz w:val="16"/>
        </w:rPr>
        <w:t xml:space="preserve">de </w:t>
      </w:r>
      <w:r>
        <w:rPr>
          <w:i/>
          <w:spacing w:val="7"/>
          <w:sz w:val="16"/>
        </w:rPr>
        <w:t xml:space="preserve">Goiás </w:t>
      </w:r>
      <w:r>
        <w:rPr>
          <w:i/>
          <w:spacing w:val="5"/>
          <w:sz w:val="16"/>
        </w:rPr>
        <w:t xml:space="preserve">deu </w:t>
      </w:r>
      <w:r>
        <w:rPr>
          <w:i/>
          <w:spacing w:val="7"/>
          <w:sz w:val="16"/>
        </w:rPr>
        <w:t xml:space="preserve">origem </w:t>
      </w:r>
      <w:r>
        <w:rPr>
          <w:i/>
          <w:spacing w:val="5"/>
          <w:sz w:val="16"/>
        </w:rPr>
        <w:t xml:space="preserve">ao </w:t>
      </w:r>
      <w:r>
        <w:rPr>
          <w:i/>
          <w:spacing w:val="7"/>
          <w:sz w:val="16"/>
        </w:rPr>
        <w:t xml:space="preserve">município </w:t>
      </w:r>
      <w:r>
        <w:rPr>
          <w:i/>
          <w:spacing w:val="10"/>
          <w:sz w:val="16"/>
        </w:rPr>
        <w:t xml:space="preserve">de </w:t>
      </w:r>
      <w:r>
        <w:rPr>
          <w:i/>
          <w:sz w:val="16"/>
        </w:rPr>
        <w:t xml:space="preserve">Campos Verdes, mas também tem sido o </w:t>
      </w:r>
      <w:r>
        <w:rPr>
          <w:i/>
          <w:spacing w:val="5"/>
          <w:sz w:val="16"/>
        </w:rPr>
        <w:t xml:space="preserve">responsável </w:t>
      </w:r>
      <w:r>
        <w:rPr>
          <w:i/>
          <w:spacing w:val="3"/>
          <w:sz w:val="16"/>
        </w:rPr>
        <w:t xml:space="preserve">por </w:t>
      </w:r>
      <w:r>
        <w:rPr>
          <w:i/>
          <w:spacing w:val="5"/>
          <w:sz w:val="16"/>
        </w:rPr>
        <w:t xml:space="preserve">sérios </w:t>
      </w:r>
      <w:r>
        <w:rPr>
          <w:i/>
          <w:spacing w:val="6"/>
          <w:sz w:val="16"/>
        </w:rPr>
        <w:t xml:space="preserve">problemas </w:t>
      </w:r>
      <w:r>
        <w:rPr>
          <w:i/>
          <w:sz w:val="16"/>
        </w:rPr>
        <w:t>socioambientais pelos quais o município passa.</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6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14"/>
      </w:pPr>
      <w:r>
        <w:t>novas jazidas rapidamente atraíssem um grande número de pessoas para os locais (PÓVOA-NETO, 1997).</w:t>
      </w:r>
    </w:p>
    <w:p w:rsidR="00D81F69" w:rsidRDefault="00330118">
      <w:pPr>
        <w:pStyle w:val="Corpodetexto"/>
        <w:spacing w:before="131" w:line="312" w:lineRule="auto"/>
        <w:ind w:left="135" w:right="187"/>
      </w:pPr>
      <w:r>
        <w:t>Assim que chegaram à Santa Terezinha de Goiás, os garimpeiros começaram a construir o que veio a se tornar a cidade de Campos Verdes. Mesmo enfrentando grandes dificuldades, pois não havia nenhum tipo de estrutura, montavam um barraco de lona preta, se ins</w:t>
      </w:r>
      <w:r>
        <w:t>talavam e começavam a escavar os buracos e a retirar o xisto para ser</w:t>
      </w:r>
    </w:p>
    <w:p w:rsidR="00D81F69" w:rsidRDefault="00D81F69">
      <w:pPr>
        <w:spacing w:line="312" w:lineRule="auto"/>
        <w:sectPr w:rsidR="00D81F69">
          <w:type w:val="continuous"/>
          <w:pgSz w:w="11900" w:h="16840"/>
          <w:pgMar w:top="720" w:right="500" w:bottom="280" w:left="620" w:header="720" w:footer="720" w:gutter="0"/>
          <w:cols w:num="3" w:space="720" w:equalWidth="0">
            <w:col w:w="1521" w:space="479"/>
            <w:col w:w="3107" w:space="328"/>
            <w:col w:w="5345"/>
          </w:cols>
        </w:sectPr>
      </w:pPr>
    </w:p>
    <w:p w:rsidR="00D81F69" w:rsidRDefault="00330118">
      <w:pPr>
        <w:pStyle w:val="Heading4"/>
        <w:spacing w:line="216" w:lineRule="exact"/>
        <w:jc w:val="left"/>
      </w:pPr>
      <w:r>
        <w:lastRenderedPageBreak/>
        <w:t>APRESENTAÇÃO DE CASO</w:t>
      </w:r>
    </w:p>
    <w:p w:rsidR="00D81F69" w:rsidRDefault="00330118">
      <w:pPr>
        <w:pStyle w:val="Corpodetexto"/>
        <w:spacing w:before="170" w:line="312" w:lineRule="auto"/>
        <w:ind w:right="114"/>
        <w:jc w:val="left"/>
      </w:pPr>
      <w:r>
        <w:rPr>
          <w:spacing w:val="5"/>
        </w:rPr>
        <w:t xml:space="preserve">Ocupando </w:t>
      </w:r>
      <w:r>
        <w:rPr>
          <w:spacing w:val="3"/>
        </w:rPr>
        <w:t xml:space="preserve">uma </w:t>
      </w:r>
      <w:r>
        <w:rPr>
          <w:spacing w:val="5"/>
        </w:rPr>
        <w:t xml:space="preserve">área </w:t>
      </w:r>
      <w:r>
        <w:rPr>
          <w:spacing w:val="2"/>
        </w:rPr>
        <w:t xml:space="preserve">de </w:t>
      </w:r>
      <w:r>
        <w:rPr>
          <w:spacing w:val="5"/>
        </w:rPr>
        <w:t xml:space="preserve">441,645 km², onde vivem </w:t>
      </w:r>
      <w:r>
        <w:rPr>
          <w:spacing w:val="6"/>
        </w:rPr>
        <w:t xml:space="preserve">5.020 </w:t>
      </w:r>
      <w:r>
        <w:t>habitantes (IBGE, 2010a), Campos Verdes localiza-se no Vale do Rio São Patrício, n</w:t>
      </w:r>
      <w:r>
        <w:t xml:space="preserve">o Planalto Central, ao norte do estado  de Goiás. O município fica entre duas bacias hidrográficas: a bacia do Rio dos Bois e a bacia do Rio do Peixe, sendo esta </w:t>
      </w:r>
      <w:r>
        <w:rPr>
          <w:spacing w:val="1"/>
        </w:rPr>
        <w:t xml:space="preserve">última </w:t>
      </w:r>
      <w:r>
        <w:t xml:space="preserve">a </w:t>
      </w:r>
      <w:r>
        <w:rPr>
          <w:spacing w:val="1"/>
        </w:rPr>
        <w:t xml:space="preserve">mais próxima </w:t>
      </w:r>
      <w:r>
        <w:t xml:space="preserve">da </w:t>
      </w:r>
      <w:r>
        <w:rPr>
          <w:spacing w:val="1"/>
        </w:rPr>
        <w:t xml:space="preserve">área garimpeira </w:t>
      </w:r>
      <w:r>
        <w:rPr>
          <w:spacing w:val="2"/>
        </w:rPr>
        <w:t>(NASCIMENTO, 2009).</w:t>
      </w:r>
    </w:p>
    <w:p w:rsidR="00D81F69" w:rsidRDefault="00330118">
      <w:pPr>
        <w:pStyle w:val="Corpodetexto"/>
        <w:spacing w:before="136" w:line="312" w:lineRule="auto"/>
        <w:ind w:right="100"/>
      </w:pPr>
      <w:r>
        <w:t xml:space="preserve">A </w:t>
      </w:r>
      <w:r>
        <w:rPr>
          <w:spacing w:val="10"/>
        </w:rPr>
        <w:t xml:space="preserve">cidade </w:t>
      </w:r>
      <w:r>
        <w:rPr>
          <w:spacing w:val="7"/>
        </w:rPr>
        <w:t xml:space="preserve">tem sua </w:t>
      </w:r>
      <w:r>
        <w:rPr>
          <w:spacing w:val="10"/>
        </w:rPr>
        <w:t xml:space="preserve">história </w:t>
      </w:r>
      <w:r>
        <w:rPr>
          <w:spacing w:val="5"/>
        </w:rPr>
        <w:t xml:space="preserve">de </w:t>
      </w:r>
      <w:r>
        <w:rPr>
          <w:spacing w:val="10"/>
        </w:rPr>
        <w:t>fund</w:t>
      </w:r>
      <w:r>
        <w:rPr>
          <w:spacing w:val="10"/>
        </w:rPr>
        <w:t xml:space="preserve">ação baseada </w:t>
      </w:r>
      <w:r>
        <w:rPr>
          <w:spacing w:val="11"/>
        </w:rPr>
        <w:t xml:space="preserve">na </w:t>
      </w:r>
      <w:r>
        <w:t xml:space="preserve">descoberta de uma jazida de esmeraldas, uma das maiores </w:t>
      </w:r>
      <w:r>
        <w:rPr>
          <w:spacing w:val="1"/>
        </w:rPr>
        <w:t xml:space="preserve">do </w:t>
      </w:r>
      <w:r>
        <w:rPr>
          <w:spacing w:val="3"/>
        </w:rPr>
        <w:t xml:space="preserve">mundo, segundo dados </w:t>
      </w:r>
      <w:r>
        <w:rPr>
          <w:spacing w:val="1"/>
        </w:rPr>
        <w:t xml:space="preserve">do </w:t>
      </w:r>
      <w:r>
        <w:rPr>
          <w:spacing w:val="3"/>
        </w:rPr>
        <w:t xml:space="preserve">Departamento Nacional </w:t>
      </w:r>
      <w:r>
        <w:rPr>
          <w:spacing w:val="5"/>
        </w:rPr>
        <w:t xml:space="preserve">de </w:t>
      </w:r>
      <w:r>
        <w:rPr>
          <w:spacing w:val="6"/>
        </w:rPr>
        <w:t xml:space="preserve">Produção </w:t>
      </w:r>
      <w:r>
        <w:rPr>
          <w:spacing w:val="5"/>
        </w:rPr>
        <w:t xml:space="preserve">Mineral (DNPM) </w:t>
      </w:r>
      <w:r>
        <w:rPr>
          <w:spacing w:val="3"/>
        </w:rPr>
        <w:t xml:space="preserve">de </w:t>
      </w:r>
      <w:r>
        <w:rPr>
          <w:spacing w:val="5"/>
        </w:rPr>
        <w:t xml:space="preserve">Goiás (SILVA, 2006). </w:t>
      </w:r>
      <w:r>
        <w:rPr>
          <w:spacing w:val="7"/>
        </w:rPr>
        <w:t xml:space="preserve">No </w:t>
      </w:r>
      <w:r>
        <w:t>entanto, a extração destas gemas tornou-se também a maior responsável pela proble</w:t>
      </w:r>
      <w:r>
        <w:t xml:space="preserve">mática socioambiental no município. </w:t>
      </w:r>
      <w:r>
        <w:rPr>
          <w:spacing w:val="1"/>
        </w:rPr>
        <w:t xml:space="preserve">Os </w:t>
      </w:r>
      <w:r>
        <w:rPr>
          <w:spacing w:val="3"/>
        </w:rPr>
        <w:t xml:space="preserve">efeitos negativos provenientes </w:t>
      </w:r>
      <w:r>
        <w:rPr>
          <w:spacing w:val="1"/>
        </w:rPr>
        <w:t xml:space="preserve">da </w:t>
      </w:r>
      <w:r>
        <w:rPr>
          <w:spacing w:val="2"/>
        </w:rPr>
        <w:t xml:space="preserve">ação </w:t>
      </w:r>
      <w:r>
        <w:rPr>
          <w:spacing w:val="3"/>
        </w:rPr>
        <w:t xml:space="preserve">extrativista </w:t>
      </w:r>
      <w:r>
        <w:rPr>
          <w:spacing w:val="5"/>
        </w:rPr>
        <w:t xml:space="preserve">se </w:t>
      </w:r>
      <w:r>
        <w:t xml:space="preserve">sobressaíram aos positivos (NASCIMENTO, 2009). A reserva </w:t>
      </w:r>
      <w:r>
        <w:rPr>
          <w:spacing w:val="3"/>
        </w:rPr>
        <w:t xml:space="preserve">garimpeira </w:t>
      </w:r>
      <w:r>
        <w:rPr>
          <w:spacing w:val="1"/>
        </w:rPr>
        <w:t xml:space="preserve">de </w:t>
      </w:r>
      <w:r>
        <w:rPr>
          <w:spacing w:val="3"/>
        </w:rPr>
        <w:t xml:space="preserve">Campos Verdes possui </w:t>
      </w:r>
      <w:r>
        <w:rPr>
          <w:spacing w:val="2"/>
        </w:rPr>
        <w:t xml:space="preserve">uma área </w:t>
      </w:r>
      <w:r>
        <w:rPr>
          <w:spacing w:val="1"/>
        </w:rPr>
        <w:t xml:space="preserve">de </w:t>
      </w:r>
      <w:r>
        <w:rPr>
          <w:spacing w:val="5"/>
        </w:rPr>
        <w:t xml:space="preserve">2.930 </w:t>
      </w:r>
      <w:r>
        <w:rPr>
          <w:spacing w:val="12"/>
        </w:rPr>
        <w:t xml:space="preserve">hectares (NASCIMENTO, </w:t>
      </w:r>
      <w:r>
        <w:rPr>
          <w:spacing w:val="11"/>
        </w:rPr>
        <w:t xml:space="preserve">2009). </w:t>
      </w:r>
      <w:r>
        <w:rPr>
          <w:spacing w:val="6"/>
        </w:rPr>
        <w:t xml:space="preserve">As </w:t>
      </w:r>
      <w:r>
        <w:rPr>
          <w:spacing w:val="12"/>
        </w:rPr>
        <w:t xml:space="preserve">esmeraldas </w:t>
      </w:r>
      <w:r>
        <w:rPr>
          <w:spacing w:val="15"/>
        </w:rPr>
        <w:t xml:space="preserve">se </w:t>
      </w:r>
      <w:r>
        <w:rPr>
          <w:spacing w:val="3"/>
        </w:rPr>
        <w:t>concen</w:t>
      </w:r>
      <w:r>
        <w:rPr>
          <w:spacing w:val="3"/>
        </w:rPr>
        <w:t xml:space="preserve">tram </w:t>
      </w:r>
      <w:r>
        <w:rPr>
          <w:spacing w:val="1"/>
        </w:rPr>
        <w:t xml:space="preserve">em </w:t>
      </w:r>
      <w:r>
        <w:rPr>
          <w:spacing w:val="3"/>
        </w:rPr>
        <w:t xml:space="preserve">talco xistos </w:t>
      </w:r>
      <w:r>
        <w:t xml:space="preserve">e </w:t>
      </w:r>
      <w:r>
        <w:rPr>
          <w:spacing w:val="1"/>
        </w:rPr>
        <w:t xml:space="preserve">em </w:t>
      </w:r>
      <w:r>
        <w:rPr>
          <w:spacing w:val="3"/>
        </w:rPr>
        <w:t xml:space="preserve">biotitaxistos </w:t>
      </w:r>
      <w:r>
        <w:rPr>
          <w:spacing w:val="5"/>
        </w:rPr>
        <w:t xml:space="preserve">(BARRETO; </w:t>
      </w:r>
      <w:r>
        <w:rPr>
          <w:spacing w:val="3"/>
        </w:rPr>
        <w:t>BITTAR,</w:t>
      </w:r>
      <w:r>
        <w:rPr>
          <w:spacing w:val="21"/>
        </w:rPr>
        <w:t xml:space="preserve"> </w:t>
      </w:r>
      <w:r>
        <w:rPr>
          <w:spacing w:val="5"/>
        </w:rPr>
        <w:t>2008).</w:t>
      </w:r>
    </w:p>
    <w:p w:rsidR="00D81F69" w:rsidRDefault="00330118">
      <w:pPr>
        <w:pStyle w:val="Corpodetexto"/>
        <w:spacing w:before="142" w:line="312" w:lineRule="auto"/>
        <w:ind w:right="94"/>
        <w:jc w:val="left"/>
      </w:pPr>
      <w:r>
        <w:t xml:space="preserve">A </w:t>
      </w:r>
      <w:r>
        <w:rPr>
          <w:spacing w:val="11"/>
        </w:rPr>
        <w:t xml:space="preserve">partir </w:t>
      </w:r>
      <w:r>
        <w:rPr>
          <w:spacing w:val="6"/>
        </w:rPr>
        <w:t xml:space="preserve">da </w:t>
      </w:r>
      <w:r>
        <w:rPr>
          <w:spacing w:val="12"/>
        </w:rPr>
        <w:t xml:space="preserve">descoberta </w:t>
      </w:r>
      <w:r>
        <w:rPr>
          <w:spacing w:val="6"/>
        </w:rPr>
        <w:t xml:space="preserve">de um </w:t>
      </w:r>
      <w:r>
        <w:rPr>
          <w:spacing w:val="12"/>
        </w:rPr>
        <w:t xml:space="preserve">afloramento </w:t>
      </w:r>
      <w:r>
        <w:rPr>
          <w:spacing w:val="6"/>
        </w:rPr>
        <w:t xml:space="preserve">de </w:t>
      </w:r>
      <w:r>
        <w:rPr>
          <w:spacing w:val="15"/>
        </w:rPr>
        <w:t xml:space="preserve">veio </w:t>
      </w:r>
      <w:r>
        <w:t xml:space="preserve">esmeraldífero, em 1981 (NASCIMENTO, 2009), na região de </w:t>
      </w:r>
      <w:r>
        <w:rPr>
          <w:spacing w:val="1"/>
        </w:rPr>
        <w:t xml:space="preserve">Santa Terezinha </w:t>
      </w:r>
      <w:r>
        <w:t xml:space="preserve">de </w:t>
      </w:r>
      <w:r>
        <w:rPr>
          <w:spacing w:val="1"/>
        </w:rPr>
        <w:t xml:space="preserve">Goiás, norte </w:t>
      </w:r>
      <w:r>
        <w:t xml:space="preserve">do </w:t>
      </w:r>
      <w:r>
        <w:rPr>
          <w:spacing w:val="1"/>
        </w:rPr>
        <w:t xml:space="preserve">estado (SILVA, </w:t>
      </w:r>
      <w:r>
        <w:rPr>
          <w:spacing w:val="2"/>
        </w:rPr>
        <w:t xml:space="preserve">2006), </w:t>
      </w:r>
      <w:r>
        <w:t>surgiram de forma significati</w:t>
      </w:r>
      <w:r>
        <w:t xml:space="preserve">va aglomerações populacionais, </w:t>
      </w:r>
      <w:r>
        <w:rPr>
          <w:spacing w:val="3"/>
        </w:rPr>
        <w:t xml:space="preserve">intensas escavações </w:t>
      </w:r>
      <w:r>
        <w:t xml:space="preserve">e </w:t>
      </w:r>
      <w:r>
        <w:rPr>
          <w:spacing w:val="3"/>
        </w:rPr>
        <w:t xml:space="preserve">conflitos (NASCIMENTO, 2009). </w:t>
      </w:r>
      <w:r>
        <w:t xml:space="preserve">A cidade de Santa Terezinha, que atualmente ocupa uma área </w:t>
      </w:r>
      <w:r>
        <w:rPr>
          <w:spacing w:val="2"/>
        </w:rPr>
        <w:t xml:space="preserve">de </w:t>
      </w:r>
      <w:r>
        <w:rPr>
          <w:spacing w:val="5"/>
        </w:rPr>
        <w:t xml:space="preserve">1.202,238 </w:t>
      </w:r>
      <w:r>
        <w:rPr>
          <w:spacing w:val="3"/>
        </w:rPr>
        <w:t xml:space="preserve">km² </w:t>
      </w:r>
      <w:r>
        <w:t xml:space="preserve">e </w:t>
      </w:r>
      <w:r>
        <w:rPr>
          <w:spacing w:val="3"/>
        </w:rPr>
        <w:t xml:space="preserve">conta com </w:t>
      </w:r>
      <w:r>
        <w:rPr>
          <w:spacing w:val="5"/>
        </w:rPr>
        <w:t xml:space="preserve">10.302 habitantes (IBGE, </w:t>
      </w:r>
      <w:r>
        <w:t xml:space="preserve">2010b), se viu invadida, praticamente de um dia para o outro.  A maioria dos garimpeiros que correram para Campos Verdes vislumbrando a possibilidade de ficarem ricos vinha da região de </w:t>
      </w:r>
      <w:r>
        <w:rPr>
          <w:spacing w:val="1"/>
        </w:rPr>
        <w:t xml:space="preserve">Serra </w:t>
      </w:r>
      <w:r>
        <w:t xml:space="preserve">da </w:t>
      </w:r>
      <w:r>
        <w:rPr>
          <w:spacing w:val="1"/>
        </w:rPr>
        <w:t xml:space="preserve">Carnaíba, </w:t>
      </w:r>
      <w:r>
        <w:t xml:space="preserve">na </w:t>
      </w:r>
      <w:r>
        <w:rPr>
          <w:spacing w:val="1"/>
        </w:rPr>
        <w:t xml:space="preserve">Bahia, </w:t>
      </w:r>
      <w:r>
        <w:t xml:space="preserve">uma das </w:t>
      </w:r>
      <w:r>
        <w:rPr>
          <w:spacing w:val="1"/>
        </w:rPr>
        <w:t xml:space="preserve">localidades </w:t>
      </w:r>
      <w:r>
        <w:rPr>
          <w:spacing w:val="2"/>
        </w:rPr>
        <w:t xml:space="preserve">que </w:t>
      </w:r>
      <w:r>
        <w:rPr>
          <w:spacing w:val="1"/>
        </w:rPr>
        <w:t>mais</w:t>
      </w:r>
      <w:r>
        <w:rPr>
          <w:spacing w:val="26"/>
        </w:rPr>
        <w:t xml:space="preserve"> </w:t>
      </w:r>
      <w:r>
        <w:rPr>
          <w:spacing w:val="1"/>
        </w:rPr>
        <w:t>produz</w:t>
      </w:r>
      <w:r>
        <w:rPr>
          <w:spacing w:val="26"/>
        </w:rPr>
        <w:t xml:space="preserve"> </w:t>
      </w:r>
      <w:r>
        <w:rPr>
          <w:spacing w:val="1"/>
        </w:rPr>
        <w:t>esmer</w:t>
      </w:r>
      <w:r>
        <w:rPr>
          <w:spacing w:val="1"/>
        </w:rPr>
        <w:t>aldas</w:t>
      </w:r>
      <w:r>
        <w:rPr>
          <w:spacing w:val="26"/>
        </w:rPr>
        <w:t xml:space="preserve"> </w:t>
      </w:r>
      <w:r>
        <w:t>no</w:t>
      </w:r>
      <w:r>
        <w:rPr>
          <w:spacing w:val="26"/>
        </w:rPr>
        <w:t xml:space="preserve"> </w:t>
      </w:r>
      <w:r>
        <w:rPr>
          <w:spacing w:val="1"/>
        </w:rPr>
        <w:t>país</w:t>
      </w:r>
      <w:r>
        <w:rPr>
          <w:spacing w:val="26"/>
        </w:rPr>
        <w:t xml:space="preserve"> </w:t>
      </w:r>
      <w:r>
        <w:rPr>
          <w:spacing w:val="1"/>
        </w:rPr>
        <w:t>(PÓVOA-NETO,</w:t>
      </w:r>
      <w:r>
        <w:rPr>
          <w:spacing w:val="26"/>
        </w:rPr>
        <w:t xml:space="preserve"> </w:t>
      </w:r>
      <w:r>
        <w:rPr>
          <w:spacing w:val="2"/>
        </w:rPr>
        <w:t>1997).</w:t>
      </w:r>
    </w:p>
    <w:p w:rsidR="00D81F69" w:rsidRDefault="00330118">
      <w:pPr>
        <w:pStyle w:val="Corpodetexto"/>
        <w:spacing w:before="141" w:line="312" w:lineRule="auto"/>
        <w:ind w:right="98"/>
      </w:pPr>
      <w:r>
        <w:t xml:space="preserve">O garimpo de esmeralda possui particularidades no que tange à </w:t>
      </w:r>
      <w:r>
        <w:rPr>
          <w:spacing w:val="6"/>
        </w:rPr>
        <w:t xml:space="preserve">circulação </w:t>
      </w:r>
      <w:r>
        <w:rPr>
          <w:spacing w:val="3"/>
        </w:rPr>
        <w:t xml:space="preserve">de </w:t>
      </w:r>
      <w:r>
        <w:rPr>
          <w:spacing w:val="6"/>
        </w:rPr>
        <w:t xml:space="preserve">trabalhadores </w:t>
      </w:r>
      <w:r>
        <w:rPr>
          <w:spacing w:val="5"/>
        </w:rPr>
        <w:t xml:space="preserve">pelo país. </w:t>
      </w:r>
      <w:r>
        <w:rPr>
          <w:spacing w:val="3"/>
        </w:rPr>
        <w:t xml:space="preserve">Há </w:t>
      </w:r>
      <w:r>
        <w:rPr>
          <w:spacing w:val="5"/>
        </w:rPr>
        <w:t xml:space="preserve">uma </w:t>
      </w:r>
      <w:r>
        <w:rPr>
          <w:spacing w:val="7"/>
        </w:rPr>
        <w:t xml:space="preserve">forte </w:t>
      </w:r>
      <w:r>
        <w:rPr>
          <w:spacing w:val="12"/>
        </w:rPr>
        <w:t xml:space="preserve">movimentação </w:t>
      </w:r>
      <w:r>
        <w:rPr>
          <w:spacing w:val="6"/>
        </w:rPr>
        <w:t xml:space="preserve">de </w:t>
      </w:r>
      <w:r>
        <w:rPr>
          <w:spacing w:val="12"/>
        </w:rPr>
        <w:t xml:space="preserve">garimpeiros </w:t>
      </w:r>
      <w:r>
        <w:rPr>
          <w:spacing w:val="11"/>
        </w:rPr>
        <w:t xml:space="preserve">entre </w:t>
      </w:r>
      <w:r>
        <w:rPr>
          <w:spacing w:val="6"/>
        </w:rPr>
        <w:t xml:space="preserve">as </w:t>
      </w:r>
      <w:r>
        <w:rPr>
          <w:spacing w:val="10"/>
        </w:rPr>
        <w:t xml:space="preserve">três </w:t>
      </w:r>
      <w:r>
        <w:rPr>
          <w:spacing w:val="11"/>
        </w:rPr>
        <w:t xml:space="preserve">áreas </w:t>
      </w:r>
      <w:r>
        <w:rPr>
          <w:spacing w:val="5"/>
        </w:rPr>
        <w:t xml:space="preserve">esmeraldíferas </w:t>
      </w:r>
      <w:r>
        <w:rPr>
          <w:spacing w:val="2"/>
        </w:rPr>
        <w:t xml:space="preserve">no </w:t>
      </w:r>
      <w:r>
        <w:rPr>
          <w:spacing w:val="5"/>
        </w:rPr>
        <w:t xml:space="preserve">território nacional, situadas </w:t>
      </w:r>
      <w:r>
        <w:rPr>
          <w:spacing w:val="2"/>
        </w:rPr>
        <w:t xml:space="preserve">em </w:t>
      </w:r>
      <w:r>
        <w:rPr>
          <w:spacing w:val="5"/>
        </w:rPr>
        <w:t xml:space="preserve">Goiás, </w:t>
      </w:r>
      <w:r>
        <w:t>Ba</w:t>
      </w:r>
      <w:r>
        <w:t xml:space="preserve">hia e Minas Gerais. O desenvolvimento dessa atividade no </w:t>
      </w:r>
      <w:r>
        <w:rPr>
          <w:spacing w:val="5"/>
        </w:rPr>
        <w:t xml:space="preserve">Brasil permitiu, </w:t>
      </w:r>
      <w:r>
        <w:rPr>
          <w:spacing w:val="3"/>
        </w:rPr>
        <w:t xml:space="preserve">por </w:t>
      </w:r>
      <w:r>
        <w:rPr>
          <w:spacing w:val="5"/>
        </w:rPr>
        <w:t xml:space="preserve">décadas, </w:t>
      </w:r>
      <w:r>
        <w:t xml:space="preserve">a </w:t>
      </w:r>
      <w:r>
        <w:rPr>
          <w:spacing w:val="5"/>
        </w:rPr>
        <w:t xml:space="preserve">formação </w:t>
      </w:r>
      <w:r>
        <w:rPr>
          <w:spacing w:val="2"/>
        </w:rPr>
        <w:t xml:space="preserve">de </w:t>
      </w:r>
      <w:r>
        <w:rPr>
          <w:spacing w:val="5"/>
        </w:rPr>
        <w:t>famílias de</w:t>
      </w:r>
      <w:r>
        <w:rPr>
          <w:spacing w:val="61"/>
        </w:rPr>
        <w:t xml:space="preserve"> </w:t>
      </w:r>
      <w:r>
        <w:t xml:space="preserve">garimpeiros de esmeraldas e uma ampla rede de cooperação e </w:t>
      </w:r>
      <w:r>
        <w:rPr>
          <w:spacing w:val="3"/>
        </w:rPr>
        <w:t xml:space="preserve">troca </w:t>
      </w:r>
      <w:r>
        <w:rPr>
          <w:spacing w:val="1"/>
        </w:rPr>
        <w:t xml:space="preserve">de </w:t>
      </w:r>
      <w:r>
        <w:rPr>
          <w:spacing w:val="3"/>
        </w:rPr>
        <w:t xml:space="preserve">informações, fazendo </w:t>
      </w:r>
      <w:r>
        <w:rPr>
          <w:spacing w:val="2"/>
        </w:rPr>
        <w:t xml:space="preserve">com que </w:t>
      </w:r>
      <w:r>
        <w:rPr>
          <w:spacing w:val="3"/>
        </w:rPr>
        <w:t>descobertas</w:t>
      </w:r>
      <w:r>
        <w:rPr>
          <w:spacing w:val="31"/>
        </w:rPr>
        <w:t xml:space="preserve"> </w:t>
      </w:r>
      <w:r>
        <w:rPr>
          <w:spacing w:val="5"/>
        </w:rPr>
        <w:t>de</w:t>
      </w:r>
    </w:p>
    <w:p w:rsidR="00D81F69" w:rsidRDefault="00330118">
      <w:pPr>
        <w:pStyle w:val="Corpodetexto"/>
        <w:spacing w:before="6"/>
      </w:pPr>
      <w:r>
        <w:br w:type="column"/>
      </w:r>
      <w:r>
        <w:lastRenderedPageBreak/>
        <w:t>lavado, em busca das esmeralda</w:t>
      </w:r>
      <w:r>
        <w:t>s (SILVA, 2006).</w:t>
      </w:r>
    </w:p>
    <w:p w:rsidR="00D81F69" w:rsidRDefault="00D81F69">
      <w:pPr>
        <w:pStyle w:val="Corpodetexto"/>
        <w:spacing w:before="9"/>
        <w:ind w:left="0"/>
        <w:jc w:val="left"/>
        <w:rPr>
          <w:sz w:val="16"/>
        </w:rPr>
      </w:pPr>
    </w:p>
    <w:p w:rsidR="00D81F69" w:rsidRDefault="00330118">
      <w:pPr>
        <w:pStyle w:val="Corpodetexto"/>
        <w:spacing w:line="312" w:lineRule="auto"/>
        <w:ind w:right="192"/>
      </w:pPr>
      <w:r>
        <w:t>Santa Terezinha tornou-se a cidade dormitório das pessoas que queriam melhores condições de vida, como é o caso de compradores de esmeraldas e dos donos das lavras. No garimpo, moravam os garimpeiros, siebeiros [pessoas que vivem em função do garimpo], pro</w:t>
      </w:r>
      <w:r>
        <w:t>fessores, comerciantes, mecânicos, ferreiros, etc. (SILVA, 2006).</w:t>
      </w:r>
    </w:p>
    <w:p w:rsidR="00D81F69" w:rsidRDefault="00330118">
      <w:pPr>
        <w:pStyle w:val="Corpodetexto"/>
        <w:spacing w:before="136" w:line="312" w:lineRule="auto"/>
        <w:ind w:right="203"/>
      </w:pPr>
      <w:r>
        <w:t>A região do garimpo cresceu de maneira desordenada e, no ano de 1984, foi feito um loteamento, chamado de Esmeraldas, para tentar organizar o local. Com esse loteamento, a população estendeu</w:t>
      </w:r>
      <w:r>
        <w:t>-se até o lado direito da Avenida Esmeraldas, incorporando toda a parte que correspondia ao centro comercial, e formando duas regiões distintas: a região chamada de “Trecho” (onde se localizavam as minas de esmeraldas) e a “Região Loteada” (com casas resid</w:t>
      </w:r>
      <w:r>
        <w:t>enciais e comerciais) (SILVA, 2006).</w:t>
      </w:r>
    </w:p>
    <w:p w:rsidR="00D81F69" w:rsidRDefault="00330118">
      <w:pPr>
        <w:pStyle w:val="Corpodetexto"/>
        <w:spacing w:before="138" w:line="312" w:lineRule="auto"/>
        <w:ind w:right="191"/>
      </w:pPr>
      <w:r>
        <w:t>Mesmo unificadas no plano urbanístico, estas duas regiões constituíam duas áreas totalmente diferentes no mesmo município. Na parte direita, para quem ia no sentido Santa Terezinha – Campos Verdes, não existiam minas de</w:t>
      </w:r>
      <w:r>
        <w:t xml:space="preserve"> exploração de garimpo. Era considerado um bairro nobre, habitado por segmentos da alta classe média, proprietários de minas de esmeraldas, comerciantes, professores, políticos locais, lavadores de xistos, etc. Já a parte do garimpo, lado esquerdo da aveni</w:t>
      </w:r>
      <w:r>
        <w:t>da, era conhecida como “Trecho”, sendo constituída por ruas que terminavam nas encostas e davam acesso às minas, compreendendo uma população relacionada diretamente ao garimpo, tais como os siebeiros, garimpeiros, capangueiros [que intermediavam a compra d</w:t>
      </w:r>
      <w:r>
        <w:t>as esmeraldas], cortadores, furadores, guincheiros, etc. As casas eram de parede e meia, com crescimento desordenado (SILVA, 2006).</w:t>
      </w:r>
    </w:p>
    <w:p w:rsidR="00D81F69" w:rsidRDefault="00330118">
      <w:pPr>
        <w:pStyle w:val="Corpodetexto"/>
        <w:spacing w:before="145" w:line="312" w:lineRule="auto"/>
        <w:ind w:right="194"/>
      </w:pPr>
      <w:r>
        <w:t>Havia ainda uma terceira área, considerada mais periférica, que era conhecida por “Trecho do Netinho”. Essa região foi prati</w:t>
      </w:r>
      <w:r>
        <w:t>camente transformada em uma área de "ruas de passagem", pois havia um grande espaço entre o garimpo do trecho novo e o garimpo da região do Netinho (SILVA, 2006).</w:t>
      </w:r>
    </w:p>
    <w:p w:rsidR="00D81F69" w:rsidRDefault="00330118">
      <w:pPr>
        <w:pStyle w:val="Corpodetexto"/>
        <w:spacing w:before="71" w:line="270" w:lineRule="atLeast"/>
        <w:ind w:right="189"/>
      </w:pPr>
      <w:r>
        <w:rPr>
          <w:spacing w:val="2"/>
        </w:rPr>
        <w:t xml:space="preserve">Com </w:t>
      </w:r>
      <w:r>
        <w:t xml:space="preserve">o </w:t>
      </w:r>
      <w:r>
        <w:rPr>
          <w:spacing w:val="3"/>
        </w:rPr>
        <w:t xml:space="preserve">tempo, houve mobilização </w:t>
      </w:r>
      <w:r>
        <w:rPr>
          <w:spacing w:val="1"/>
        </w:rPr>
        <w:t xml:space="preserve">de </w:t>
      </w:r>
      <w:r>
        <w:rPr>
          <w:spacing w:val="3"/>
        </w:rPr>
        <w:t xml:space="preserve">diversos </w:t>
      </w:r>
      <w:r>
        <w:rPr>
          <w:spacing w:val="5"/>
        </w:rPr>
        <w:t xml:space="preserve">segmentos sociais </w:t>
      </w:r>
      <w:r>
        <w:rPr>
          <w:spacing w:val="2"/>
        </w:rPr>
        <w:t xml:space="preserve">em </w:t>
      </w:r>
      <w:r>
        <w:rPr>
          <w:spacing w:val="3"/>
        </w:rPr>
        <w:t xml:space="preserve">prol </w:t>
      </w:r>
      <w:r>
        <w:rPr>
          <w:spacing w:val="2"/>
        </w:rPr>
        <w:t xml:space="preserve">da </w:t>
      </w:r>
      <w:r>
        <w:rPr>
          <w:spacing w:val="5"/>
        </w:rPr>
        <w:t xml:space="preserve">emancipação </w:t>
      </w:r>
      <w:r>
        <w:rPr>
          <w:spacing w:val="2"/>
        </w:rPr>
        <w:t xml:space="preserve">de </w:t>
      </w:r>
      <w:r>
        <w:rPr>
          <w:spacing w:val="5"/>
        </w:rPr>
        <w:t>Campos Verdes em</w:t>
      </w:r>
      <w:r>
        <w:rPr>
          <w:spacing w:val="61"/>
        </w:rPr>
        <w:t xml:space="preserve"> </w:t>
      </w:r>
      <w:r>
        <w:rPr>
          <w:spacing w:val="5"/>
        </w:rPr>
        <w:t xml:space="preserve">relação </w:t>
      </w:r>
      <w:r>
        <w:rPr>
          <w:spacing w:val="2"/>
        </w:rPr>
        <w:t>ao</w:t>
      </w:r>
      <w:r>
        <w:rPr>
          <w:spacing w:val="1"/>
        </w:rPr>
        <w:t xml:space="preserve"> </w:t>
      </w:r>
      <w:r>
        <w:rPr>
          <w:spacing w:val="5"/>
        </w:rPr>
        <w:t xml:space="preserve">município </w:t>
      </w:r>
      <w:r>
        <w:rPr>
          <w:spacing w:val="2"/>
        </w:rPr>
        <w:t>de</w:t>
      </w:r>
      <w:r>
        <w:rPr>
          <w:spacing w:val="1"/>
        </w:rPr>
        <w:t xml:space="preserve"> </w:t>
      </w:r>
      <w:r>
        <w:rPr>
          <w:spacing w:val="3"/>
        </w:rPr>
        <w:t>Santa</w:t>
      </w:r>
      <w:r>
        <w:rPr>
          <w:spacing w:val="2"/>
        </w:rPr>
        <w:t xml:space="preserve"> </w:t>
      </w:r>
      <w:r>
        <w:rPr>
          <w:spacing w:val="5"/>
        </w:rPr>
        <w:t xml:space="preserve">Terezinha. </w:t>
      </w:r>
      <w:r>
        <w:rPr>
          <w:spacing w:val="3"/>
        </w:rPr>
        <w:t>Foi</w:t>
      </w:r>
      <w:r>
        <w:rPr>
          <w:spacing w:val="2"/>
        </w:rPr>
        <w:t xml:space="preserve"> </w:t>
      </w:r>
      <w:r>
        <w:rPr>
          <w:spacing w:val="5"/>
        </w:rPr>
        <w:t>realizado,</w:t>
      </w:r>
    </w:p>
    <w:p w:rsidR="00D81F69" w:rsidRDefault="00D81F69">
      <w:pPr>
        <w:spacing w:line="270" w:lineRule="atLeast"/>
        <w:sectPr w:rsidR="00D81F69">
          <w:type w:val="continuous"/>
          <w:pgSz w:w="11900" w:h="16840"/>
          <w:pgMar w:top="720" w:right="500" w:bottom="280" w:left="620" w:header="720" w:footer="720" w:gutter="0"/>
          <w:cols w:num="2" w:space="720" w:equalWidth="0">
            <w:col w:w="5218" w:space="252"/>
            <w:col w:w="5310"/>
          </w:cols>
        </w:sectPr>
      </w:pPr>
    </w:p>
    <w:p w:rsidR="00D81F69" w:rsidRDefault="00330118">
      <w:pPr>
        <w:pStyle w:val="Corpodetexto"/>
        <w:spacing w:before="81" w:line="312" w:lineRule="auto"/>
        <w:ind w:right="67"/>
      </w:pPr>
      <w:r>
        <w:rPr>
          <w:spacing w:val="1"/>
        </w:rPr>
        <w:lastRenderedPageBreak/>
        <w:t xml:space="preserve">então, </w:t>
      </w:r>
      <w:r>
        <w:t xml:space="preserve">um </w:t>
      </w:r>
      <w:r>
        <w:rPr>
          <w:spacing w:val="1"/>
        </w:rPr>
        <w:t xml:space="preserve">plebiscito </w:t>
      </w:r>
      <w:r>
        <w:t xml:space="preserve">que </w:t>
      </w:r>
      <w:r>
        <w:rPr>
          <w:spacing w:val="1"/>
        </w:rPr>
        <w:t xml:space="preserve">obteve </w:t>
      </w:r>
      <w:r>
        <w:t xml:space="preserve">90% de </w:t>
      </w:r>
      <w:r>
        <w:rPr>
          <w:spacing w:val="1"/>
        </w:rPr>
        <w:t xml:space="preserve">aprovação para </w:t>
      </w:r>
      <w:r>
        <w:t xml:space="preserve">a </w:t>
      </w:r>
      <w:r>
        <w:rPr>
          <w:spacing w:val="6"/>
        </w:rPr>
        <w:t xml:space="preserve">emancipação. </w:t>
      </w:r>
      <w:r>
        <w:rPr>
          <w:spacing w:val="5"/>
        </w:rPr>
        <w:t xml:space="preserve">Após </w:t>
      </w:r>
      <w:r>
        <w:t xml:space="preserve">o </w:t>
      </w:r>
      <w:r>
        <w:rPr>
          <w:spacing w:val="6"/>
        </w:rPr>
        <w:t xml:space="preserve">plebiscito, </w:t>
      </w:r>
      <w:r>
        <w:t xml:space="preserve">o </w:t>
      </w:r>
      <w:r>
        <w:rPr>
          <w:spacing w:val="6"/>
        </w:rPr>
        <w:t xml:space="preserve">“garimpo” </w:t>
      </w:r>
      <w:r>
        <w:rPr>
          <w:spacing w:val="5"/>
        </w:rPr>
        <w:t xml:space="preserve">passou </w:t>
      </w:r>
      <w:r>
        <w:t xml:space="preserve">a </w:t>
      </w:r>
      <w:r>
        <w:rPr>
          <w:spacing w:val="1"/>
        </w:rPr>
        <w:t>denominar-se Campos Verdes, tornando-se municíp</w:t>
      </w:r>
      <w:r>
        <w:rPr>
          <w:spacing w:val="1"/>
        </w:rPr>
        <w:t xml:space="preserve">io </w:t>
      </w:r>
      <w:r>
        <w:rPr>
          <w:spacing w:val="2"/>
        </w:rPr>
        <w:t xml:space="preserve">pela </w:t>
      </w:r>
      <w:r>
        <w:t>Lei 10. 401/ 87, de 30 de dezembro de 1987, em detrimento da população de Santa Terezinha, que não queria dividir seu território. Um dos fatores preponderantes para a emancipação de Campos Verdes foi o número de habitantes na reserva em 1986: cerca</w:t>
      </w:r>
      <w:r>
        <w:t xml:space="preserve"> de 27 mil pessoas (SILVA,</w:t>
      </w:r>
      <w:r>
        <w:rPr>
          <w:spacing w:val="20"/>
        </w:rPr>
        <w:t xml:space="preserve"> </w:t>
      </w:r>
      <w:r>
        <w:t>2006).</w:t>
      </w:r>
    </w:p>
    <w:p w:rsidR="00D81F69" w:rsidRDefault="00330118">
      <w:pPr>
        <w:pStyle w:val="Corpodetexto"/>
        <w:spacing w:before="137" w:line="312" w:lineRule="auto"/>
        <w:ind w:right="38"/>
      </w:pPr>
      <w:r>
        <w:t xml:space="preserve">A primeira jazida descoberta foi a do Valetão, em 1981, sendo </w:t>
      </w:r>
      <w:r>
        <w:rPr>
          <w:spacing w:val="3"/>
        </w:rPr>
        <w:t xml:space="preserve">do </w:t>
      </w:r>
      <w:r>
        <w:rPr>
          <w:spacing w:val="5"/>
        </w:rPr>
        <w:t xml:space="preserve">tipo </w:t>
      </w:r>
      <w:r>
        <w:rPr>
          <w:spacing w:val="6"/>
        </w:rPr>
        <w:t xml:space="preserve">afloramento </w:t>
      </w:r>
      <w:r>
        <w:rPr>
          <w:spacing w:val="5"/>
        </w:rPr>
        <w:t xml:space="preserve">[quando </w:t>
      </w:r>
      <w:r>
        <w:t xml:space="preserve">o </w:t>
      </w:r>
      <w:r>
        <w:rPr>
          <w:spacing w:val="5"/>
        </w:rPr>
        <w:t xml:space="preserve">minério fica exposto </w:t>
      </w:r>
      <w:r>
        <w:rPr>
          <w:spacing w:val="7"/>
        </w:rPr>
        <w:t xml:space="preserve">na </w:t>
      </w:r>
      <w:r>
        <w:t>superfície do terreno]. Posteriormente, é que começaram a ficar mais profundas. Então vieram as jazidas do</w:t>
      </w:r>
      <w:r>
        <w:t xml:space="preserve"> trecho velho, e </w:t>
      </w:r>
      <w:r>
        <w:rPr>
          <w:spacing w:val="5"/>
        </w:rPr>
        <w:t xml:space="preserve">do </w:t>
      </w:r>
      <w:r>
        <w:rPr>
          <w:spacing w:val="10"/>
        </w:rPr>
        <w:t xml:space="preserve">trecho novo. Junto </w:t>
      </w:r>
      <w:r>
        <w:rPr>
          <w:spacing w:val="7"/>
        </w:rPr>
        <w:t xml:space="preserve">com </w:t>
      </w:r>
      <w:r>
        <w:rPr>
          <w:spacing w:val="5"/>
        </w:rPr>
        <w:t xml:space="preserve">as </w:t>
      </w:r>
      <w:r>
        <w:rPr>
          <w:spacing w:val="10"/>
        </w:rPr>
        <w:t xml:space="preserve">descobertas, </w:t>
      </w:r>
      <w:r>
        <w:rPr>
          <w:spacing w:val="12"/>
        </w:rPr>
        <w:t xml:space="preserve">mais </w:t>
      </w:r>
      <w:r>
        <w:rPr>
          <w:spacing w:val="10"/>
        </w:rPr>
        <w:t xml:space="preserve">garimpeiros migraram </w:t>
      </w:r>
      <w:r>
        <w:rPr>
          <w:spacing w:val="8"/>
        </w:rPr>
        <w:t xml:space="preserve">para </w:t>
      </w:r>
      <w:r>
        <w:t xml:space="preserve">a </w:t>
      </w:r>
      <w:r>
        <w:rPr>
          <w:spacing w:val="10"/>
        </w:rPr>
        <w:t>região (SILVA,</w:t>
      </w:r>
      <w:r>
        <w:rPr>
          <w:spacing w:val="62"/>
        </w:rPr>
        <w:t xml:space="preserve"> </w:t>
      </w:r>
      <w:r>
        <w:rPr>
          <w:spacing w:val="12"/>
        </w:rPr>
        <w:t>2006).</w:t>
      </w:r>
    </w:p>
    <w:p w:rsidR="00D81F69" w:rsidRDefault="00330118">
      <w:pPr>
        <w:pStyle w:val="Corpodetexto"/>
        <w:spacing w:before="136" w:line="312" w:lineRule="auto"/>
        <w:ind w:right="58"/>
      </w:pPr>
      <w:r>
        <w:t xml:space="preserve">A </w:t>
      </w:r>
      <w:r>
        <w:rPr>
          <w:spacing w:val="10"/>
        </w:rPr>
        <w:t xml:space="preserve">maioria </w:t>
      </w:r>
      <w:r>
        <w:rPr>
          <w:spacing w:val="7"/>
        </w:rPr>
        <w:t xml:space="preserve">das </w:t>
      </w:r>
      <w:r>
        <w:rPr>
          <w:spacing w:val="8"/>
        </w:rPr>
        <w:t xml:space="preserve">minas </w:t>
      </w:r>
      <w:r>
        <w:rPr>
          <w:spacing w:val="10"/>
        </w:rPr>
        <w:t xml:space="preserve">subterrâneas </w:t>
      </w:r>
      <w:r>
        <w:rPr>
          <w:spacing w:val="5"/>
        </w:rPr>
        <w:t xml:space="preserve">do </w:t>
      </w:r>
      <w:r>
        <w:rPr>
          <w:spacing w:val="10"/>
        </w:rPr>
        <w:t xml:space="preserve">município </w:t>
      </w:r>
      <w:r>
        <w:rPr>
          <w:spacing w:val="11"/>
        </w:rPr>
        <w:t xml:space="preserve">era </w:t>
      </w:r>
      <w:r>
        <w:rPr>
          <w:spacing w:val="5"/>
        </w:rPr>
        <w:t xml:space="preserve">operacionalizada </w:t>
      </w:r>
      <w:r>
        <w:rPr>
          <w:spacing w:val="3"/>
        </w:rPr>
        <w:t xml:space="preserve">pelas </w:t>
      </w:r>
      <w:r>
        <w:rPr>
          <w:spacing w:val="5"/>
        </w:rPr>
        <w:t xml:space="preserve">empresas Mineração </w:t>
      </w:r>
      <w:r>
        <w:t xml:space="preserve">e </w:t>
      </w:r>
      <w:r>
        <w:rPr>
          <w:spacing w:val="5"/>
        </w:rPr>
        <w:t>Comércio</w:t>
      </w:r>
      <w:r>
        <w:rPr>
          <w:spacing w:val="61"/>
        </w:rPr>
        <w:t xml:space="preserve"> </w:t>
      </w:r>
      <w:r>
        <w:t xml:space="preserve">Itaobi, Verobi e Empresa Sul Americana </w:t>
      </w:r>
      <w:r>
        <w:t xml:space="preserve">de Montagens </w:t>
      </w:r>
      <w:r>
        <w:rPr>
          <w:spacing w:val="1"/>
        </w:rPr>
        <w:t xml:space="preserve">S/A </w:t>
      </w:r>
      <w:r>
        <w:rPr>
          <w:spacing w:val="8"/>
        </w:rPr>
        <w:t xml:space="preserve">(EMSA), </w:t>
      </w:r>
      <w:r>
        <w:rPr>
          <w:spacing w:val="6"/>
        </w:rPr>
        <w:t xml:space="preserve">por </w:t>
      </w:r>
      <w:r>
        <w:rPr>
          <w:spacing w:val="10"/>
        </w:rPr>
        <w:t xml:space="preserve">sócios-proprietários </w:t>
      </w:r>
      <w:r>
        <w:t xml:space="preserve">e </w:t>
      </w:r>
      <w:r>
        <w:rPr>
          <w:spacing w:val="6"/>
        </w:rPr>
        <w:t xml:space="preserve">por </w:t>
      </w:r>
      <w:r>
        <w:rPr>
          <w:spacing w:val="10"/>
        </w:rPr>
        <w:t>arrendatários (NASCIMENTO, 2009).</w:t>
      </w:r>
    </w:p>
    <w:p w:rsidR="00D81F69" w:rsidRDefault="00330118">
      <w:pPr>
        <w:pStyle w:val="Corpodetexto"/>
        <w:spacing w:before="134" w:line="312" w:lineRule="auto"/>
        <w:ind w:right="45"/>
      </w:pPr>
      <w:r>
        <w:t>O processo de extração de esmeraldas nas minas subterrâneas de Campos Verdes ocorria com a abertura de poços, o desmonte da rocha por meio de explosivos, a retirada do xisto, a trituração, a lavagem e a separação da gema do rejeito, e a deposição do estéri</w:t>
      </w:r>
      <w:r>
        <w:t>l e do rejeito em volta da mina. Para o alcance dos horizontes mineralizados, eram abertos poços subverticais a verticais. Atingindo o objetivo, abriam-se grunas [galerias] dentro da rocha hospedeira da esmeralda. As grunas podiam ser estreitas e irregular</w:t>
      </w:r>
      <w:r>
        <w:t>es, horizontais ou inclinadas, chegando a constituir verdadeiros salões subterrâneos (NASCIMENTO, 2009).</w:t>
      </w:r>
    </w:p>
    <w:p w:rsidR="00D81F69" w:rsidRDefault="00330118">
      <w:pPr>
        <w:pStyle w:val="Corpodetexto"/>
        <w:spacing w:before="141" w:line="312" w:lineRule="auto"/>
        <w:ind w:right="46"/>
      </w:pPr>
      <w:r>
        <w:t xml:space="preserve">O transporte de descida e subida dos trabalhadores na mina também era feito por guincho elétrico puxado por cabos de </w:t>
      </w:r>
      <w:r>
        <w:rPr>
          <w:spacing w:val="2"/>
        </w:rPr>
        <w:t xml:space="preserve">aço. </w:t>
      </w:r>
      <w:r>
        <w:t xml:space="preserve">A </w:t>
      </w:r>
      <w:r>
        <w:rPr>
          <w:spacing w:val="3"/>
        </w:rPr>
        <w:t xml:space="preserve">diferença </w:t>
      </w:r>
      <w:r>
        <w:t xml:space="preserve">é </w:t>
      </w:r>
      <w:r>
        <w:rPr>
          <w:spacing w:val="2"/>
        </w:rPr>
        <w:t xml:space="preserve">que </w:t>
      </w:r>
      <w:r>
        <w:t xml:space="preserve">o </w:t>
      </w:r>
      <w:r>
        <w:rPr>
          <w:spacing w:val="3"/>
        </w:rPr>
        <w:t xml:space="preserve">material </w:t>
      </w:r>
      <w:r>
        <w:rPr>
          <w:spacing w:val="2"/>
        </w:rPr>
        <w:t xml:space="preserve">saía </w:t>
      </w:r>
      <w:r>
        <w:rPr>
          <w:spacing w:val="1"/>
        </w:rPr>
        <w:t xml:space="preserve">em </w:t>
      </w:r>
      <w:r>
        <w:rPr>
          <w:spacing w:val="3"/>
        </w:rPr>
        <w:t xml:space="preserve">caçambas </w:t>
      </w:r>
      <w:r>
        <w:rPr>
          <w:spacing w:val="5"/>
        </w:rPr>
        <w:t xml:space="preserve">em </w:t>
      </w:r>
      <w:r>
        <w:rPr>
          <w:spacing w:val="3"/>
        </w:rPr>
        <w:t xml:space="preserve">forma </w:t>
      </w:r>
      <w:r>
        <w:rPr>
          <w:spacing w:val="2"/>
        </w:rPr>
        <w:t xml:space="preserve">de </w:t>
      </w:r>
      <w:r>
        <w:rPr>
          <w:spacing w:val="5"/>
        </w:rPr>
        <w:t xml:space="preserve">balde, </w:t>
      </w:r>
      <w:r>
        <w:t xml:space="preserve">e </w:t>
      </w:r>
      <w:r>
        <w:rPr>
          <w:spacing w:val="2"/>
        </w:rPr>
        <w:t xml:space="preserve">os </w:t>
      </w:r>
      <w:r>
        <w:rPr>
          <w:spacing w:val="5"/>
        </w:rPr>
        <w:t xml:space="preserve">garimpeiros entravam </w:t>
      </w:r>
      <w:r>
        <w:t xml:space="preserve">e </w:t>
      </w:r>
      <w:r>
        <w:rPr>
          <w:spacing w:val="3"/>
        </w:rPr>
        <w:t xml:space="preserve">saíam </w:t>
      </w:r>
      <w:r>
        <w:rPr>
          <w:spacing w:val="5"/>
        </w:rPr>
        <w:t>em</w:t>
      </w:r>
      <w:r>
        <w:rPr>
          <w:spacing w:val="61"/>
        </w:rPr>
        <w:t xml:space="preserve"> </w:t>
      </w:r>
      <w:r>
        <w:rPr>
          <w:spacing w:val="8"/>
        </w:rPr>
        <w:t xml:space="preserve">“cavalos”, </w:t>
      </w:r>
      <w:r>
        <w:rPr>
          <w:spacing w:val="7"/>
        </w:rPr>
        <w:t xml:space="preserve">objetos </w:t>
      </w:r>
      <w:r>
        <w:rPr>
          <w:spacing w:val="5"/>
        </w:rPr>
        <w:t xml:space="preserve">com </w:t>
      </w:r>
      <w:r>
        <w:rPr>
          <w:spacing w:val="6"/>
        </w:rPr>
        <w:t xml:space="preserve">dois </w:t>
      </w:r>
      <w:r>
        <w:rPr>
          <w:spacing w:val="7"/>
        </w:rPr>
        <w:t xml:space="preserve">buracos (feitos </w:t>
      </w:r>
      <w:r>
        <w:rPr>
          <w:spacing w:val="5"/>
        </w:rPr>
        <w:t xml:space="preserve">com </w:t>
      </w:r>
      <w:r>
        <w:rPr>
          <w:spacing w:val="10"/>
        </w:rPr>
        <w:t xml:space="preserve">pneu </w:t>
      </w:r>
      <w:r>
        <w:rPr>
          <w:spacing w:val="3"/>
        </w:rPr>
        <w:t xml:space="preserve">reciclado) </w:t>
      </w:r>
      <w:r>
        <w:rPr>
          <w:spacing w:val="2"/>
        </w:rPr>
        <w:t xml:space="preserve">para </w:t>
      </w:r>
      <w:r>
        <w:rPr>
          <w:spacing w:val="3"/>
        </w:rPr>
        <w:t xml:space="preserve">entrada </w:t>
      </w:r>
      <w:r>
        <w:rPr>
          <w:spacing w:val="2"/>
        </w:rPr>
        <w:t xml:space="preserve">das </w:t>
      </w:r>
      <w:r>
        <w:rPr>
          <w:spacing w:val="3"/>
        </w:rPr>
        <w:t xml:space="preserve">pernas, </w:t>
      </w:r>
      <w:r>
        <w:rPr>
          <w:spacing w:val="1"/>
        </w:rPr>
        <w:t xml:space="preserve">em </w:t>
      </w:r>
      <w:r>
        <w:rPr>
          <w:spacing w:val="3"/>
        </w:rPr>
        <w:t xml:space="preserve">forma </w:t>
      </w:r>
      <w:r>
        <w:rPr>
          <w:spacing w:val="1"/>
        </w:rPr>
        <w:t xml:space="preserve">de </w:t>
      </w:r>
      <w:r>
        <w:rPr>
          <w:spacing w:val="5"/>
        </w:rPr>
        <w:t xml:space="preserve">cadeira. </w:t>
      </w:r>
      <w:r>
        <w:t xml:space="preserve">Somente empresas como Itaobi, Verobi e EMSA utilizavam </w:t>
      </w:r>
      <w:r>
        <w:rPr>
          <w:spacing w:val="3"/>
        </w:rPr>
        <w:t xml:space="preserve">elevadores </w:t>
      </w:r>
      <w:r>
        <w:rPr>
          <w:spacing w:val="1"/>
        </w:rPr>
        <w:t xml:space="preserve">de </w:t>
      </w:r>
      <w:r>
        <w:rPr>
          <w:spacing w:val="3"/>
        </w:rPr>
        <w:t>mina</w:t>
      </w:r>
      <w:r>
        <w:rPr>
          <w:spacing w:val="3"/>
        </w:rPr>
        <w:t xml:space="preserve">s </w:t>
      </w:r>
      <w:r>
        <w:rPr>
          <w:spacing w:val="2"/>
        </w:rPr>
        <w:t xml:space="preserve">para </w:t>
      </w:r>
      <w:r>
        <w:rPr>
          <w:spacing w:val="3"/>
        </w:rPr>
        <w:t xml:space="preserve">transporte </w:t>
      </w:r>
      <w:r>
        <w:rPr>
          <w:spacing w:val="2"/>
        </w:rPr>
        <w:t xml:space="preserve">dos </w:t>
      </w:r>
      <w:r>
        <w:rPr>
          <w:spacing w:val="3"/>
        </w:rPr>
        <w:t xml:space="preserve">trabalhadores </w:t>
      </w:r>
      <w:r>
        <w:t>e retirada do xisto (NASCIMENTO, 2009), diminuindo o risco dos</w:t>
      </w:r>
      <w:r>
        <w:rPr>
          <w:spacing w:val="25"/>
        </w:rPr>
        <w:t xml:space="preserve"> </w:t>
      </w:r>
      <w:r>
        <w:t>trabalhadores</w:t>
      </w:r>
      <w:r>
        <w:rPr>
          <w:spacing w:val="25"/>
        </w:rPr>
        <w:t xml:space="preserve"> </w:t>
      </w:r>
      <w:r>
        <w:t>sofrerem</w:t>
      </w:r>
      <w:r>
        <w:rPr>
          <w:spacing w:val="25"/>
        </w:rPr>
        <w:t xml:space="preserve"> </w:t>
      </w:r>
      <w:r>
        <w:t>acidentes</w:t>
      </w:r>
      <w:r>
        <w:rPr>
          <w:spacing w:val="25"/>
        </w:rPr>
        <w:t xml:space="preserve"> </w:t>
      </w:r>
      <w:r>
        <w:t>(SILVA,</w:t>
      </w:r>
      <w:r>
        <w:rPr>
          <w:spacing w:val="25"/>
        </w:rPr>
        <w:t xml:space="preserve"> </w:t>
      </w:r>
      <w:r>
        <w:rPr>
          <w:spacing w:val="1"/>
        </w:rPr>
        <w:t>2006).</w:t>
      </w:r>
    </w:p>
    <w:p w:rsidR="00D81F69" w:rsidRDefault="00330118">
      <w:pPr>
        <w:pStyle w:val="Corpodetexto"/>
        <w:spacing w:before="139" w:line="312" w:lineRule="auto"/>
        <w:ind w:right="45"/>
      </w:pPr>
      <w:r>
        <w:t xml:space="preserve">O material recolhido das minas passava por uma primeira etapa de separação, com a retirada dos fragmentos de </w:t>
      </w:r>
      <w:r>
        <w:t>rocha maiores de 5 cm, que constituíam rejeito, ou ganga, no caso de conterem esmeralda. O material era, então, levado para as bancadas onde ocorria a cata propriamente dita, com a pré- seleção das esmeraldas, observando seu tamanho e cor. Outra forma de d</w:t>
      </w:r>
      <w:r>
        <w:t>esagregação do xisto era a manual, com porretes de madeira, e com uma peneira. Geralmente, era feita por pessoas da comunidade que adquiriam os carrinhos de xistos da mina em atividade e levavam o material para os lavadores chamados de “siebas”. Muitas vez</w:t>
      </w:r>
      <w:r>
        <w:t>es, este processo de desagregação manual acontecia dentro da área de extração de esmeraldas, onde eram alugados os poços para lavagem do xisto (NASCIMENTO, 2009).</w:t>
      </w:r>
    </w:p>
    <w:p w:rsidR="00D81F69" w:rsidRDefault="00330118">
      <w:pPr>
        <w:pStyle w:val="Corpodetexto"/>
        <w:spacing w:before="5"/>
        <w:ind w:left="0"/>
        <w:jc w:val="left"/>
        <w:rPr>
          <w:sz w:val="24"/>
        </w:rPr>
      </w:pPr>
      <w:r>
        <w:br w:type="column"/>
      </w:r>
    </w:p>
    <w:p w:rsidR="00D81F69" w:rsidRDefault="00330118">
      <w:pPr>
        <w:pStyle w:val="Corpodetexto"/>
        <w:spacing w:line="312" w:lineRule="auto"/>
        <w:ind w:right="193"/>
      </w:pPr>
      <w:r>
        <w:t xml:space="preserve">Até 2000, a reserva produziu oficialmente 534,1 toneladas de esmeraldas (AGIM, 2002 apud BARRETO; BITTAR, 2008). O auge da produção deu-se em 1988, quando foram extraídas </w:t>
      </w:r>
      <w:r>
        <w:rPr>
          <w:spacing w:val="1"/>
        </w:rPr>
        <w:t xml:space="preserve">24,8 toneladas </w:t>
      </w:r>
      <w:r>
        <w:t xml:space="preserve">de </w:t>
      </w:r>
      <w:r>
        <w:rPr>
          <w:spacing w:val="1"/>
        </w:rPr>
        <w:t xml:space="preserve">esmeraldas brutas, vendidas </w:t>
      </w:r>
      <w:r>
        <w:t xml:space="preserve">por US$ 9 </w:t>
      </w:r>
      <w:r>
        <w:rPr>
          <w:spacing w:val="5"/>
        </w:rPr>
        <w:t xml:space="preserve">milhões. </w:t>
      </w:r>
      <w:r>
        <w:rPr>
          <w:spacing w:val="3"/>
        </w:rPr>
        <w:t xml:space="preserve">Desde </w:t>
      </w:r>
      <w:r>
        <w:rPr>
          <w:spacing w:val="5"/>
        </w:rPr>
        <w:t xml:space="preserve">então, </w:t>
      </w:r>
      <w:r>
        <w:t xml:space="preserve">a </w:t>
      </w:r>
      <w:r>
        <w:rPr>
          <w:spacing w:val="5"/>
        </w:rPr>
        <w:t>quali</w:t>
      </w:r>
      <w:r>
        <w:rPr>
          <w:spacing w:val="5"/>
        </w:rPr>
        <w:t xml:space="preserve">dade </w:t>
      </w:r>
      <w:r>
        <w:rPr>
          <w:spacing w:val="3"/>
        </w:rPr>
        <w:t xml:space="preserve">das </w:t>
      </w:r>
      <w:r>
        <w:rPr>
          <w:spacing w:val="5"/>
        </w:rPr>
        <w:t xml:space="preserve">esmeraldas caiu </w:t>
      </w:r>
      <w:r>
        <w:rPr>
          <w:spacing w:val="6"/>
        </w:rPr>
        <w:t xml:space="preserve">significativamente. </w:t>
      </w:r>
      <w:r>
        <w:rPr>
          <w:spacing w:val="3"/>
        </w:rPr>
        <w:t xml:space="preserve">Em </w:t>
      </w:r>
      <w:r>
        <w:rPr>
          <w:spacing w:val="5"/>
        </w:rPr>
        <w:t xml:space="preserve">2000, apesar </w:t>
      </w:r>
      <w:r>
        <w:rPr>
          <w:spacing w:val="3"/>
        </w:rPr>
        <w:t xml:space="preserve">de os </w:t>
      </w:r>
      <w:r>
        <w:rPr>
          <w:spacing w:val="7"/>
        </w:rPr>
        <w:t xml:space="preserve">garimpeiros </w:t>
      </w:r>
      <w:r>
        <w:rPr>
          <w:spacing w:val="5"/>
        </w:rPr>
        <w:t xml:space="preserve">extraírem </w:t>
      </w:r>
      <w:r>
        <w:rPr>
          <w:spacing w:val="2"/>
        </w:rPr>
        <w:t xml:space="preserve">25 </w:t>
      </w:r>
      <w:r>
        <w:rPr>
          <w:spacing w:val="5"/>
        </w:rPr>
        <w:t xml:space="preserve">toneladas </w:t>
      </w:r>
      <w:r>
        <w:rPr>
          <w:spacing w:val="2"/>
        </w:rPr>
        <w:t xml:space="preserve">de </w:t>
      </w:r>
      <w:r>
        <w:rPr>
          <w:spacing w:val="5"/>
        </w:rPr>
        <w:t xml:space="preserve">esmeraldas, </w:t>
      </w:r>
      <w:r>
        <w:t xml:space="preserve">o </w:t>
      </w:r>
      <w:r>
        <w:rPr>
          <w:spacing w:val="3"/>
        </w:rPr>
        <w:t xml:space="preserve">valor bruto </w:t>
      </w:r>
      <w:r>
        <w:rPr>
          <w:spacing w:val="5"/>
        </w:rPr>
        <w:t>da</w:t>
      </w:r>
      <w:r>
        <w:rPr>
          <w:spacing w:val="61"/>
        </w:rPr>
        <w:t xml:space="preserve"> </w:t>
      </w:r>
      <w:r>
        <w:rPr>
          <w:spacing w:val="1"/>
        </w:rPr>
        <w:t xml:space="preserve">produção </w:t>
      </w:r>
      <w:r>
        <w:t xml:space="preserve">foi de </w:t>
      </w:r>
      <w:r>
        <w:rPr>
          <w:spacing w:val="1"/>
        </w:rPr>
        <w:t xml:space="preserve">apenas </w:t>
      </w:r>
      <w:r>
        <w:t xml:space="preserve">US$ 898 mil </w:t>
      </w:r>
      <w:r>
        <w:rPr>
          <w:spacing w:val="1"/>
        </w:rPr>
        <w:t xml:space="preserve">(BARRETO; </w:t>
      </w:r>
      <w:r>
        <w:rPr>
          <w:spacing w:val="2"/>
        </w:rPr>
        <w:t>BITTAR, 2008).</w:t>
      </w:r>
    </w:p>
    <w:p w:rsidR="00D81F69" w:rsidRDefault="00330118">
      <w:pPr>
        <w:pStyle w:val="Corpodetexto"/>
        <w:spacing w:before="138" w:line="312" w:lineRule="auto"/>
        <w:ind w:right="195"/>
      </w:pPr>
      <w:r>
        <w:t xml:space="preserve">Os danos ambientais causados pela extração de esmeraldas no município são diversos e atingem tanto o meio físico como o </w:t>
      </w:r>
      <w:r>
        <w:rPr>
          <w:spacing w:val="1"/>
        </w:rPr>
        <w:t xml:space="preserve">biótico, </w:t>
      </w:r>
      <w:r>
        <w:t xml:space="preserve">de </w:t>
      </w:r>
      <w:r>
        <w:rPr>
          <w:spacing w:val="1"/>
        </w:rPr>
        <w:t xml:space="preserve">forma direta </w:t>
      </w:r>
      <w:r>
        <w:t xml:space="preserve">e </w:t>
      </w:r>
      <w:r>
        <w:rPr>
          <w:spacing w:val="1"/>
        </w:rPr>
        <w:t xml:space="preserve">indireta, </w:t>
      </w:r>
      <w:r>
        <w:t xml:space="preserve">nas </w:t>
      </w:r>
      <w:r>
        <w:rPr>
          <w:spacing w:val="1"/>
        </w:rPr>
        <w:t xml:space="preserve">diversas fases </w:t>
      </w:r>
      <w:r>
        <w:rPr>
          <w:spacing w:val="2"/>
        </w:rPr>
        <w:t xml:space="preserve">do </w:t>
      </w:r>
      <w:r>
        <w:t xml:space="preserve">processo. A maioria dos danos é proveniente da ausência de </w:t>
      </w:r>
      <w:r>
        <w:rPr>
          <w:spacing w:val="15"/>
        </w:rPr>
        <w:t xml:space="preserve">recuperação </w:t>
      </w:r>
      <w:r>
        <w:rPr>
          <w:spacing w:val="10"/>
        </w:rPr>
        <w:t xml:space="preserve">das </w:t>
      </w:r>
      <w:r>
        <w:rPr>
          <w:spacing w:val="12"/>
        </w:rPr>
        <w:t>ár</w:t>
      </w:r>
      <w:r>
        <w:rPr>
          <w:spacing w:val="12"/>
        </w:rPr>
        <w:t xml:space="preserve">eas </w:t>
      </w:r>
      <w:r>
        <w:rPr>
          <w:spacing w:val="7"/>
        </w:rPr>
        <w:t xml:space="preserve">já </w:t>
      </w:r>
      <w:r>
        <w:rPr>
          <w:spacing w:val="15"/>
        </w:rPr>
        <w:t xml:space="preserve">exploradas, </w:t>
      </w:r>
      <w:r>
        <w:rPr>
          <w:spacing w:val="10"/>
        </w:rPr>
        <w:t xml:space="preserve">das </w:t>
      </w:r>
      <w:r>
        <w:rPr>
          <w:spacing w:val="12"/>
        </w:rPr>
        <w:t xml:space="preserve">minas </w:t>
      </w:r>
      <w:r>
        <w:t xml:space="preserve">abandonadas e do mau aproveitamento da água do subsolo,  o que </w:t>
      </w:r>
      <w:r>
        <w:rPr>
          <w:spacing w:val="1"/>
        </w:rPr>
        <w:t xml:space="preserve">atinge </w:t>
      </w:r>
      <w:r>
        <w:t xml:space="preserve">a </w:t>
      </w:r>
      <w:r>
        <w:rPr>
          <w:spacing w:val="1"/>
        </w:rPr>
        <w:t xml:space="preserve">fauna </w:t>
      </w:r>
      <w:r>
        <w:t xml:space="preserve">e </w:t>
      </w:r>
      <w:r>
        <w:rPr>
          <w:spacing w:val="1"/>
        </w:rPr>
        <w:t xml:space="preserve">flora </w:t>
      </w:r>
      <w:r>
        <w:t xml:space="preserve">da </w:t>
      </w:r>
      <w:r>
        <w:rPr>
          <w:spacing w:val="1"/>
        </w:rPr>
        <w:t xml:space="preserve">região, </w:t>
      </w:r>
      <w:r>
        <w:t xml:space="preserve">e </w:t>
      </w:r>
      <w:r>
        <w:rPr>
          <w:spacing w:val="1"/>
        </w:rPr>
        <w:t xml:space="preserve">traz riscos para </w:t>
      </w:r>
      <w:r>
        <w:t xml:space="preserve">a </w:t>
      </w:r>
      <w:r>
        <w:rPr>
          <w:spacing w:val="7"/>
        </w:rPr>
        <w:t xml:space="preserve">saúde </w:t>
      </w:r>
      <w:r>
        <w:rPr>
          <w:spacing w:val="5"/>
        </w:rPr>
        <w:t xml:space="preserve">dos </w:t>
      </w:r>
      <w:r>
        <w:rPr>
          <w:spacing w:val="8"/>
        </w:rPr>
        <w:t xml:space="preserve">garimpeiros </w:t>
      </w:r>
      <w:r>
        <w:t xml:space="preserve">e </w:t>
      </w:r>
      <w:r>
        <w:rPr>
          <w:spacing w:val="5"/>
        </w:rPr>
        <w:t xml:space="preserve">dos </w:t>
      </w:r>
      <w:r>
        <w:rPr>
          <w:spacing w:val="7"/>
        </w:rPr>
        <w:t xml:space="preserve">moradores </w:t>
      </w:r>
      <w:r>
        <w:rPr>
          <w:spacing w:val="5"/>
        </w:rPr>
        <w:t xml:space="preserve">que </w:t>
      </w:r>
      <w:r>
        <w:rPr>
          <w:spacing w:val="10"/>
        </w:rPr>
        <w:t xml:space="preserve">residem </w:t>
      </w:r>
      <w:r>
        <w:rPr>
          <w:spacing w:val="5"/>
        </w:rPr>
        <w:t xml:space="preserve">próximos </w:t>
      </w:r>
      <w:r>
        <w:rPr>
          <w:spacing w:val="2"/>
        </w:rPr>
        <w:t xml:space="preserve">às </w:t>
      </w:r>
      <w:r>
        <w:rPr>
          <w:spacing w:val="3"/>
        </w:rPr>
        <w:t xml:space="preserve">áreas </w:t>
      </w:r>
      <w:r>
        <w:rPr>
          <w:spacing w:val="2"/>
        </w:rPr>
        <w:t xml:space="preserve">de </w:t>
      </w:r>
      <w:r>
        <w:rPr>
          <w:spacing w:val="5"/>
        </w:rPr>
        <w:t xml:space="preserve">garimpagem </w:t>
      </w:r>
      <w:r>
        <w:t xml:space="preserve">e </w:t>
      </w:r>
      <w:r>
        <w:rPr>
          <w:spacing w:val="3"/>
        </w:rPr>
        <w:t xml:space="preserve">até </w:t>
      </w:r>
      <w:r>
        <w:rPr>
          <w:spacing w:val="2"/>
        </w:rPr>
        <w:t xml:space="preserve">em </w:t>
      </w:r>
      <w:r>
        <w:rPr>
          <w:spacing w:val="3"/>
        </w:rPr>
        <w:t xml:space="preserve">áreas </w:t>
      </w:r>
      <w:r>
        <w:rPr>
          <w:spacing w:val="5"/>
        </w:rPr>
        <w:t>mais distant</w:t>
      </w:r>
      <w:r>
        <w:rPr>
          <w:spacing w:val="5"/>
        </w:rPr>
        <w:t>es (NASCIMENTO,</w:t>
      </w:r>
      <w:r>
        <w:rPr>
          <w:spacing w:val="7"/>
        </w:rPr>
        <w:t xml:space="preserve"> </w:t>
      </w:r>
      <w:r>
        <w:rPr>
          <w:spacing w:val="5"/>
        </w:rPr>
        <w:t>2009).</w:t>
      </w:r>
    </w:p>
    <w:p w:rsidR="00D81F69" w:rsidRDefault="00330118">
      <w:pPr>
        <w:pStyle w:val="Corpodetexto"/>
        <w:spacing w:before="139" w:line="312" w:lineRule="auto"/>
        <w:ind w:right="195"/>
      </w:pPr>
      <w:r>
        <w:t xml:space="preserve">O </w:t>
      </w:r>
      <w:r>
        <w:rPr>
          <w:spacing w:val="8"/>
        </w:rPr>
        <w:t xml:space="preserve">bombeamento </w:t>
      </w:r>
      <w:r>
        <w:rPr>
          <w:spacing w:val="5"/>
        </w:rPr>
        <w:t xml:space="preserve">da </w:t>
      </w:r>
      <w:r>
        <w:rPr>
          <w:spacing w:val="6"/>
        </w:rPr>
        <w:t xml:space="preserve">água </w:t>
      </w:r>
      <w:r>
        <w:rPr>
          <w:spacing w:val="5"/>
        </w:rPr>
        <w:t xml:space="preserve">do </w:t>
      </w:r>
      <w:r>
        <w:rPr>
          <w:spacing w:val="7"/>
        </w:rPr>
        <w:t xml:space="preserve">lençol freático, </w:t>
      </w:r>
      <w:r>
        <w:rPr>
          <w:spacing w:val="10"/>
        </w:rPr>
        <w:t xml:space="preserve">processo </w:t>
      </w:r>
      <w:r>
        <w:rPr>
          <w:spacing w:val="8"/>
        </w:rPr>
        <w:t xml:space="preserve">necessário </w:t>
      </w:r>
      <w:r>
        <w:rPr>
          <w:spacing w:val="6"/>
        </w:rPr>
        <w:t xml:space="preserve">para </w:t>
      </w:r>
      <w:r>
        <w:t xml:space="preserve">o </w:t>
      </w:r>
      <w:r>
        <w:rPr>
          <w:spacing w:val="8"/>
        </w:rPr>
        <w:t xml:space="preserve">funcionamento </w:t>
      </w:r>
      <w:r>
        <w:rPr>
          <w:spacing w:val="5"/>
        </w:rPr>
        <w:t xml:space="preserve">das </w:t>
      </w:r>
      <w:r>
        <w:rPr>
          <w:spacing w:val="7"/>
        </w:rPr>
        <w:t xml:space="preserve">minas, causa </w:t>
      </w:r>
      <w:r>
        <w:t xml:space="preserve">a contaminação do lençol freático e seu rebaixamento. Durante o </w:t>
      </w:r>
      <w:r>
        <w:rPr>
          <w:spacing w:val="3"/>
        </w:rPr>
        <w:t xml:space="preserve">bombeamento, parte </w:t>
      </w:r>
      <w:r>
        <w:rPr>
          <w:spacing w:val="1"/>
        </w:rPr>
        <w:t xml:space="preserve">da </w:t>
      </w:r>
      <w:r>
        <w:rPr>
          <w:spacing w:val="2"/>
        </w:rPr>
        <w:t xml:space="preserve">água </w:t>
      </w:r>
      <w:r>
        <w:rPr>
          <w:spacing w:val="3"/>
        </w:rPr>
        <w:t xml:space="preserve">subterrânea </w:t>
      </w:r>
      <w:r>
        <w:t xml:space="preserve">é </w:t>
      </w:r>
      <w:r>
        <w:rPr>
          <w:spacing w:val="3"/>
        </w:rPr>
        <w:t xml:space="preserve">jogada </w:t>
      </w:r>
      <w:r>
        <w:rPr>
          <w:spacing w:val="5"/>
        </w:rPr>
        <w:t xml:space="preserve">nas </w:t>
      </w:r>
      <w:r>
        <w:rPr>
          <w:spacing w:val="2"/>
        </w:rPr>
        <w:t xml:space="preserve">ruas </w:t>
      </w:r>
      <w:r>
        <w:rPr>
          <w:spacing w:val="1"/>
        </w:rPr>
        <w:t xml:space="preserve">ou </w:t>
      </w:r>
      <w:r>
        <w:rPr>
          <w:spacing w:val="3"/>
        </w:rPr>
        <w:t xml:space="preserve">áreas brejeiras, </w:t>
      </w:r>
      <w:r>
        <w:t xml:space="preserve">e a </w:t>
      </w:r>
      <w:r>
        <w:rPr>
          <w:spacing w:val="3"/>
        </w:rPr>
        <w:t xml:space="preserve">outra parte </w:t>
      </w:r>
      <w:r>
        <w:rPr>
          <w:spacing w:val="2"/>
        </w:rPr>
        <w:t xml:space="preserve">vai </w:t>
      </w:r>
      <w:r>
        <w:rPr>
          <w:spacing w:val="3"/>
        </w:rPr>
        <w:t xml:space="preserve">abastecer </w:t>
      </w:r>
      <w:r>
        <w:rPr>
          <w:spacing w:val="5"/>
        </w:rPr>
        <w:t xml:space="preserve">os poços </w:t>
      </w:r>
      <w:r>
        <w:t xml:space="preserve">e a </w:t>
      </w:r>
      <w:r>
        <w:rPr>
          <w:spacing w:val="5"/>
        </w:rPr>
        <w:t xml:space="preserve">área </w:t>
      </w:r>
      <w:r>
        <w:rPr>
          <w:spacing w:val="3"/>
        </w:rPr>
        <w:t xml:space="preserve">de </w:t>
      </w:r>
      <w:r>
        <w:rPr>
          <w:spacing w:val="5"/>
        </w:rPr>
        <w:t xml:space="preserve">lavagem </w:t>
      </w:r>
      <w:r>
        <w:rPr>
          <w:spacing w:val="3"/>
        </w:rPr>
        <w:t xml:space="preserve">do </w:t>
      </w:r>
      <w:r>
        <w:rPr>
          <w:spacing w:val="6"/>
        </w:rPr>
        <w:t xml:space="preserve">material, </w:t>
      </w:r>
      <w:r>
        <w:rPr>
          <w:spacing w:val="5"/>
        </w:rPr>
        <w:t xml:space="preserve">nas minas </w:t>
      </w:r>
      <w:r>
        <w:rPr>
          <w:spacing w:val="7"/>
        </w:rPr>
        <w:t xml:space="preserve">do </w:t>
      </w:r>
      <w:r>
        <w:rPr>
          <w:spacing w:val="1"/>
        </w:rPr>
        <w:t xml:space="preserve">“Valetão”, “Trecho Novo” </w:t>
      </w:r>
      <w:r>
        <w:t xml:space="preserve">e </w:t>
      </w:r>
      <w:r>
        <w:rPr>
          <w:spacing w:val="1"/>
        </w:rPr>
        <w:t xml:space="preserve">“Trecho </w:t>
      </w:r>
      <w:r>
        <w:t xml:space="preserve">do </w:t>
      </w:r>
      <w:r>
        <w:rPr>
          <w:spacing w:val="1"/>
        </w:rPr>
        <w:t xml:space="preserve">Netinho”. Quando </w:t>
      </w:r>
      <w:r>
        <w:t xml:space="preserve">a </w:t>
      </w:r>
      <w:r>
        <w:rPr>
          <w:spacing w:val="2"/>
        </w:rPr>
        <w:t xml:space="preserve">água </w:t>
      </w:r>
      <w:r>
        <w:t xml:space="preserve">é </w:t>
      </w:r>
      <w:r>
        <w:rPr>
          <w:spacing w:val="3"/>
        </w:rPr>
        <w:t xml:space="preserve">filtrada novamente </w:t>
      </w:r>
      <w:r>
        <w:rPr>
          <w:spacing w:val="2"/>
        </w:rPr>
        <w:t xml:space="preserve">pelo </w:t>
      </w:r>
      <w:r>
        <w:rPr>
          <w:spacing w:val="3"/>
        </w:rPr>
        <w:t xml:space="preserve">solo, reabastece </w:t>
      </w:r>
      <w:r>
        <w:t xml:space="preserve">o </w:t>
      </w:r>
      <w:r>
        <w:rPr>
          <w:spacing w:val="5"/>
        </w:rPr>
        <w:t xml:space="preserve">lençol freático, porém, pode carrear compostos </w:t>
      </w:r>
      <w:r>
        <w:rPr>
          <w:spacing w:val="6"/>
        </w:rPr>
        <w:t xml:space="preserve">contaminantes </w:t>
      </w:r>
      <w:r>
        <w:t xml:space="preserve">solúveis o que provoca a contaminação do lençol. Além disso, o </w:t>
      </w:r>
      <w:r>
        <w:rPr>
          <w:spacing w:val="3"/>
        </w:rPr>
        <w:t xml:space="preserve">bombeamento contínuo </w:t>
      </w:r>
      <w:r>
        <w:rPr>
          <w:spacing w:val="2"/>
        </w:rPr>
        <w:t xml:space="preserve">vem </w:t>
      </w:r>
      <w:r>
        <w:rPr>
          <w:spacing w:val="3"/>
        </w:rPr>
        <w:t xml:space="preserve">causando </w:t>
      </w:r>
      <w:r>
        <w:t xml:space="preserve">a </w:t>
      </w:r>
      <w:r>
        <w:rPr>
          <w:spacing w:val="3"/>
        </w:rPr>
        <w:t xml:space="preserve">diminuição </w:t>
      </w:r>
      <w:r>
        <w:rPr>
          <w:spacing w:val="5"/>
        </w:rPr>
        <w:t xml:space="preserve">do </w:t>
      </w:r>
      <w:r>
        <w:t>lençol, chegando a secá-lo em alguns locais (NASCIMENTO, 2009).</w:t>
      </w:r>
    </w:p>
    <w:p w:rsidR="00D81F69" w:rsidRDefault="00330118">
      <w:pPr>
        <w:pStyle w:val="Corpodetexto"/>
        <w:spacing w:before="142" w:line="312" w:lineRule="auto"/>
        <w:ind w:right="204"/>
      </w:pPr>
      <w:r>
        <w:t xml:space="preserve">A contaminação das águas subterrâneas também ocorre pelo contato </w:t>
      </w:r>
      <w:r>
        <w:t>da atividade garimpeira no subsolo (esgoto) e pelas minas abandonadas ao longo do Trecho Velho e do Trecho Novo. A maioria das minas desativadas está com os seus poços abertos, propiciando a contaminação do lençol freático por águas de despejo e pelas água</w:t>
      </w:r>
      <w:r>
        <w:t>s da chuva que levam lixo até os cursos d’água. Outras fontes poluentes estão ligadas aos efluentes químicos decorrentes da utilização de dinamites, às fossas de esgotamento doméstico, e ao próprio ambiente de trabalho na mina, muitas vezes insalubre. Send</w:t>
      </w:r>
      <w:r>
        <w:t>o assim, o contato da água com diversas substâncias nas situações descritas polui o aquífero e os corpos d’água da região (NASCIMENTO, 2009).</w:t>
      </w:r>
    </w:p>
    <w:p w:rsidR="00D81F69" w:rsidRDefault="00330118">
      <w:pPr>
        <w:pStyle w:val="Corpodetexto"/>
        <w:spacing w:before="79" w:line="270" w:lineRule="atLeast"/>
        <w:ind w:right="200"/>
      </w:pPr>
      <w:r>
        <w:t xml:space="preserve">A ação das intempéries sobre os depósitos de rejeitos e o processo de lavagem do minério geram uma fina camada de </w:t>
      </w:r>
      <w:r>
        <w:t xml:space="preserve">areia, de aspecto semelhante ao da farinha, que, misturada à água, forma um sedimento argiloso. Este material causa o assoreamento dos cursos d’água das duas bacias hidrográficas situadas no município. Elas estão sendo afetadas de forma grave e de difícil </w:t>
      </w:r>
      <w:r>
        <w:t>reversibilidade a curto e médio prazos. O rio do Peixe, por exemplo, era utilizado no auge do garimpo para lavagem de xisto, e mesmo após três</w:t>
      </w:r>
    </w:p>
    <w:p w:rsidR="00D81F69" w:rsidRDefault="00D81F69">
      <w:pPr>
        <w:spacing w:line="270" w:lineRule="atLeast"/>
        <w:sectPr w:rsidR="00D81F69">
          <w:pgSz w:w="11900" w:h="16840"/>
          <w:pgMar w:top="740" w:right="500" w:bottom="700" w:left="620" w:header="0" w:footer="402" w:gutter="0"/>
          <w:cols w:num="2" w:space="720" w:equalWidth="0">
            <w:col w:w="5165" w:space="305"/>
            <w:col w:w="5310"/>
          </w:cols>
        </w:sectPr>
      </w:pPr>
    </w:p>
    <w:p w:rsidR="00D81F69" w:rsidRDefault="00330118">
      <w:pPr>
        <w:pStyle w:val="Corpodetexto"/>
        <w:spacing w:before="81" w:line="312" w:lineRule="auto"/>
        <w:ind w:right="60"/>
      </w:pPr>
      <w:r>
        <w:lastRenderedPageBreak/>
        <w:t>décadas, ainda é possível observar rejeito de xisto em suas margens, consequência do</w:t>
      </w:r>
      <w:r>
        <w:t xml:space="preserve"> carregamento lento do material pelas águas. O processo de transporte e deposição de rejeito de xisto também pode ser visto nas planícies de inundação dos mananciais das bacias hidrográficas do Rio dos Bois e do Rio do Peixe (NASCIMENTO, 2009).</w:t>
      </w:r>
    </w:p>
    <w:p w:rsidR="00D81F69" w:rsidRDefault="00330118">
      <w:pPr>
        <w:pStyle w:val="Corpodetexto"/>
        <w:spacing w:before="135" w:line="312" w:lineRule="auto"/>
        <w:ind w:right="43"/>
      </w:pPr>
      <w:r>
        <w:t>Devido às a</w:t>
      </w:r>
      <w:r>
        <w:t>berturas desordenadas das minas, especialmente no início do garimpo, formou-se um emaranhado de galerias subterrâneas, o que acarreta riscos de subsidência [movimento de uma superfície à medida que ela se desloca para baixo relativamente a um nível de refe</w:t>
      </w:r>
      <w:r>
        <w:t>rência] do terreno para as pessoas que residem próximas às áreas garimpeiras, bem como para os trabalhadores, pelas constantes perfurações e detonações no subsolo (NASCIMENTO, 2009).</w:t>
      </w:r>
    </w:p>
    <w:p w:rsidR="00D81F69" w:rsidRDefault="00330118">
      <w:pPr>
        <w:pStyle w:val="Corpodetexto"/>
        <w:spacing w:before="138" w:line="312" w:lineRule="auto"/>
        <w:ind w:right="38"/>
      </w:pPr>
      <w:r>
        <w:t xml:space="preserve">Os trabalhadores também podem sofrer sérios danos e </w:t>
      </w:r>
      <w:r>
        <w:rPr>
          <w:spacing w:val="1"/>
        </w:rPr>
        <w:t xml:space="preserve">até </w:t>
      </w:r>
      <w:r>
        <w:t>ficar inválidos o</w:t>
      </w:r>
      <w:r>
        <w:t xml:space="preserve">u morrer, devido: ao manuseio incorreto de explosivos e ferramentas; a rupturas do cabo de guincho; à queda de chocos (devido à instabilidade da rocha no teto da mina após as detonações e desmonte da frente da mina); à </w:t>
      </w:r>
      <w:r>
        <w:rPr>
          <w:spacing w:val="3"/>
        </w:rPr>
        <w:t xml:space="preserve">perfuração constante </w:t>
      </w:r>
      <w:r>
        <w:rPr>
          <w:spacing w:val="1"/>
        </w:rPr>
        <w:t xml:space="preserve">da </w:t>
      </w:r>
      <w:r>
        <w:rPr>
          <w:spacing w:val="3"/>
        </w:rPr>
        <w:t>rocha, utiliz</w:t>
      </w:r>
      <w:r>
        <w:rPr>
          <w:spacing w:val="3"/>
        </w:rPr>
        <w:t xml:space="preserve">ando martelete </w:t>
      </w:r>
      <w:r>
        <w:rPr>
          <w:spacing w:val="1"/>
        </w:rPr>
        <w:t xml:space="preserve">de </w:t>
      </w:r>
      <w:r>
        <w:rPr>
          <w:spacing w:val="5"/>
        </w:rPr>
        <w:t xml:space="preserve">ar </w:t>
      </w:r>
      <w:r>
        <w:rPr>
          <w:spacing w:val="1"/>
        </w:rPr>
        <w:t xml:space="preserve">comprimido, </w:t>
      </w:r>
      <w:r>
        <w:t xml:space="preserve">que </w:t>
      </w:r>
      <w:r>
        <w:rPr>
          <w:spacing w:val="1"/>
        </w:rPr>
        <w:t xml:space="preserve">pode causar surdez; </w:t>
      </w:r>
      <w:r>
        <w:t xml:space="preserve">ao </w:t>
      </w:r>
      <w:r>
        <w:rPr>
          <w:spacing w:val="1"/>
        </w:rPr>
        <w:t xml:space="preserve">carregamento </w:t>
      </w:r>
      <w:r>
        <w:rPr>
          <w:spacing w:val="2"/>
        </w:rPr>
        <w:t xml:space="preserve">de </w:t>
      </w:r>
      <w:r>
        <w:t xml:space="preserve">blocos de rocha para serem transportados até a superfície da mina, que pode acarretar problemas de coluna; e à inalação </w:t>
      </w:r>
      <w:r>
        <w:rPr>
          <w:spacing w:val="1"/>
        </w:rPr>
        <w:t xml:space="preserve">de </w:t>
      </w:r>
      <w:r>
        <w:rPr>
          <w:spacing w:val="3"/>
        </w:rPr>
        <w:t xml:space="preserve">poeira silicosa gerada </w:t>
      </w:r>
      <w:r>
        <w:rPr>
          <w:spacing w:val="2"/>
        </w:rPr>
        <w:t xml:space="preserve">após </w:t>
      </w:r>
      <w:r>
        <w:t xml:space="preserve">o </w:t>
      </w:r>
      <w:r>
        <w:rPr>
          <w:spacing w:val="2"/>
        </w:rPr>
        <w:t xml:space="preserve">uso </w:t>
      </w:r>
      <w:r>
        <w:rPr>
          <w:spacing w:val="1"/>
        </w:rPr>
        <w:t xml:space="preserve">de </w:t>
      </w:r>
      <w:r>
        <w:rPr>
          <w:spacing w:val="3"/>
        </w:rPr>
        <w:t xml:space="preserve">explosivos, </w:t>
      </w:r>
      <w:r>
        <w:rPr>
          <w:spacing w:val="5"/>
        </w:rPr>
        <w:t xml:space="preserve">que, </w:t>
      </w:r>
      <w:r>
        <w:rPr>
          <w:spacing w:val="1"/>
        </w:rPr>
        <w:t>ali</w:t>
      </w:r>
      <w:r>
        <w:rPr>
          <w:spacing w:val="1"/>
        </w:rPr>
        <w:t xml:space="preserve">ada </w:t>
      </w:r>
      <w:r>
        <w:t xml:space="preserve">à </w:t>
      </w:r>
      <w:r>
        <w:rPr>
          <w:spacing w:val="1"/>
        </w:rPr>
        <w:t xml:space="preserve">precariedade </w:t>
      </w:r>
      <w:r>
        <w:t xml:space="preserve">do ar no </w:t>
      </w:r>
      <w:r>
        <w:rPr>
          <w:spacing w:val="1"/>
        </w:rPr>
        <w:t xml:space="preserve">ambiente subterrâneo </w:t>
      </w:r>
      <w:r>
        <w:t xml:space="preserve">e </w:t>
      </w:r>
      <w:r>
        <w:rPr>
          <w:spacing w:val="2"/>
        </w:rPr>
        <w:t xml:space="preserve">ao </w:t>
      </w:r>
      <w:r>
        <w:t>tempo de exposição, podem causar doenças como a silicose (NASCIMENTO,</w:t>
      </w:r>
      <w:r>
        <w:rPr>
          <w:spacing w:val="6"/>
        </w:rPr>
        <w:t xml:space="preserve"> </w:t>
      </w:r>
      <w:r>
        <w:t>2009).</w:t>
      </w:r>
    </w:p>
    <w:p w:rsidR="00D81F69" w:rsidRDefault="00330118">
      <w:pPr>
        <w:pStyle w:val="Corpodetexto"/>
        <w:spacing w:before="142" w:line="312" w:lineRule="auto"/>
        <w:ind w:right="41"/>
      </w:pPr>
      <w:r>
        <w:t>A silicose apresenta sintomas clínicos como: perda de capacidade respiratória (falta de ar) e dor pulmonar. Esta doença torna</w:t>
      </w:r>
      <w:r>
        <w:t>-se ainda mais complexa pelo seu desenvolvimento lento (excetuando-se os casos de silicose aguda e subaguda) e tem o poder de progredir independentemente da exposição continuada. Sendo assim, geralmente, os casos da doença são diagnosticados após os garimp</w:t>
      </w:r>
      <w:r>
        <w:t>eiros já se encontrarem afastados do trabalho (NASCIMENTO, 2009).</w:t>
      </w:r>
    </w:p>
    <w:p w:rsidR="00D81F69" w:rsidRDefault="00330118">
      <w:pPr>
        <w:pStyle w:val="Corpodetexto"/>
        <w:spacing w:before="138" w:line="312" w:lineRule="auto"/>
        <w:ind w:right="41"/>
      </w:pPr>
      <w:r>
        <w:t xml:space="preserve">Os problemas decorrentes da exploração ainda prevalecem, </w:t>
      </w:r>
      <w:r>
        <w:rPr>
          <w:spacing w:val="5"/>
        </w:rPr>
        <w:t xml:space="preserve">mesmo passado </w:t>
      </w:r>
      <w:r>
        <w:t xml:space="preserve">o </w:t>
      </w:r>
      <w:r>
        <w:rPr>
          <w:spacing w:val="5"/>
        </w:rPr>
        <w:t xml:space="preserve">auge </w:t>
      </w:r>
      <w:r>
        <w:rPr>
          <w:spacing w:val="2"/>
        </w:rPr>
        <w:t xml:space="preserve">do </w:t>
      </w:r>
      <w:r>
        <w:rPr>
          <w:spacing w:val="5"/>
        </w:rPr>
        <w:t xml:space="preserve">garimpo </w:t>
      </w:r>
      <w:r>
        <w:rPr>
          <w:spacing w:val="3"/>
        </w:rPr>
        <w:t xml:space="preserve">das </w:t>
      </w:r>
      <w:r>
        <w:rPr>
          <w:spacing w:val="5"/>
        </w:rPr>
        <w:t xml:space="preserve">esmeraldas. </w:t>
      </w:r>
      <w:r>
        <w:t xml:space="preserve">A precariedade e a ausência de medidas de controle dos riscos e a </w:t>
      </w:r>
      <w:r>
        <w:rPr>
          <w:spacing w:val="7"/>
        </w:rPr>
        <w:t xml:space="preserve">exposição </w:t>
      </w:r>
      <w:r>
        <w:t xml:space="preserve">à </w:t>
      </w:r>
      <w:r>
        <w:rPr>
          <w:spacing w:val="7"/>
        </w:rPr>
        <w:t xml:space="preserve">poeira silicosa, </w:t>
      </w:r>
      <w:r>
        <w:rPr>
          <w:spacing w:val="5"/>
        </w:rPr>
        <w:t xml:space="preserve">bem </w:t>
      </w:r>
      <w:r>
        <w:rPr>
          <w:spacing w:val="6"/>
        </w:rPr>
        <w:t xml:space="preserve">como </w:t>
      </w:r>
      <w:r>
        <w:t xml:space="preserve">a </w:t>
      </w:r>
      <w:r>
        <w:rPr>
          <w:spacing w:val="7"/>
        </w:rPr>
        <w:t xml:space="preserve">falta </w:t>
      </w:r>
      <w:r>
        <w:rPr>
          <w:spacing w:val="10"/>
        </w:rPr>
        <w:t xml:space="preserve">de </w:t>
      </w:r>
      <w:r>
        <w:rPr>
          <w:spacing w:val="3"/>
        </w:rPr>
        <w:t xml:space="preserve">conscientização </w:t>
      </w:r>
      <w:r>
        <w:rPr>
          <w:spacing w:val="2"/>
        </w:rPr>
        <w:t xml:space="preserve">dos </w:t>
      </w:r>
      <w:r>
        <w:rPr>
          <w:spacing w:val="3"/>
        </w:rPr>
        <w:t xml:space="preserve">trabalhadores, agravam ainda </w:t>
      </w:r>
      <w:r>
        <w:rPr>
          <w:spacing w:val="2"/>
        </w:rPr>
        <w:t xml:space="preserve">mais </w:t>
      </w:r>
      <w:r>
        <w:t xml:space="preserve">a </w:t>
      </w:r>
      <w:r>
        <w:rPr>
          <w:spacing w:val="3"/>
        </w:rPr>
        <w:t>situação (NASCIMENTO,</w:t>
      </w:r>
      <w:r>
        <w:rPr>
          <w:spacing w:val="-14"/>
        </w:rPr>
        <w:t xml:space="preserve"> </w:t>
      </w:r>
      <w:r>
        <w:rPr>
          <w:spacing w:val="5"/>
        </w:rPr>
        <w:t>2009).</w:t>
      </w:r>
    </w:p>
    <w:p w:rsidR="00D81F69" w:rsidRDefault="00330118">
      <w:pPr>
        <w:pStyle w:val="Corpodetexto"/>
        <w:spacing w:before="136" w:line="312" w:lineRule="auto"/>
        <w:ind w:right="38"/>
      </w:pPr>
      <w:r>
        <w:t xml:space="preserve">No que se refere às condições de trabalho dos garimpeiros, </w:t>
      </w:r>
      <w:r>
        <w:rPr>
          <w:spacing w:val="2"/>
        </w:rPr>
        <w:t xml:space="preserve">não </w:t>
      </w:r>
      <w:r>
        <w:rPr>
          <w:spacing w:val="3"/>
        </w:rPr>
        <w:t xml:space="preserve">houve muitas mudanças. </w:t>
      </w:r>
      <w:r>
        <w:rPr>
          <w:spacing w:val="2"/>
        </w:rPr>
        <w:t xml:space="preserve">Foi </w:t>
      </w:r>
      <w:r>
        <w:rPr>
          <w:spacing w:val="3"/>
        </w:rPr>
        <w:t xml:space="preserve">observado, </w:t>
      </w:r>
      <w:r>
        <w:rPr>
          <w:spacing w:val="1"/>
        </w:rPr>
        <w:t xml:space="preserve">no </w:t>
      </w:r>
      <w:r>
        <w:rPr>
          <w:spacing w:val="5"/>
        </w:rPr>
        <w:t xml:space="preserve">entanto, </w:t>
      </w:r>
      <w:r>
        <w:rPr>
          <w:spacing w:val="1"/>
        </w:rPr>
        <w:t xml:space="preserve">certo progresso </w:t>
      </w:r>
      <w:r>
        <w:t xml:space="preserve">na </w:t>
      </w:r>
      <w:r>
        <w:rPr>
          <w:spacing w:val="1"/>
        </w:rPr>
        <w:t>qu</w:t>
      </w:r>
      <w:r>
        <w:rPr>
          <w:spacing w:val="1"/>
        </w:rPr>
        <w:t xml:space="preserve">alidade </w:t>
      </w:r>
      <w:r>
        <w:t xml:space="preserve">dos </w:t>
      </w:r>
      <w:r>
        <w:rPr>
          <w:spacing w:val="1"/>
        </w:rPr>
        <w:t xml:space="preserve">explosivos utilizados </w:t>
      </w:r>
      <w:r>
        <w:t xml:space="preserve">e o </w:t>
      </w:r>
      <w:r>
        <w:rPr>
          <w:spacing w:val="15"/>
        </w:rPr>
        <w:t xml:space="preserve">uso </w:t>
      </w:r>
      <w:r>
        <w:rPr>
          <w:spacing w:val="10"/>
        </w:rPr>
        <w:t>da</w:t>
      </w:r>
      <w:r>
        <w:rPr>
          <w:spacing w:val="71"/>
        </w:rPr>
        <w:t xml:space="preserve"> </w:t>
      </w:r>
      <w:r>
        <w:rPr>
          <w:spacing w:val="18"/>
        </w:rPr>
        <w:t xml:space="preserve">máscara </w:t>
      </w:r>
      <w:r>
        <w:rPr>
          <w:spacing w:val="10"/>
        </w:rPr>
        <w:t>no</w:t>
      </w:r>
      <w:r>
        <w:rPr>
          <w:spacing w:val="71"/>
        </w:rPr>
        <w:t xml:space="preserve"> </w:t>
      </w:r>
      <w:r>
        <w:rPr>
          <w:spacing w:val="18"/>
        </w:rPr>
        <w:t xml:space="preserve">momento </w:t>
      </w:r>
      <w:r>
        <w:rPr>
          <w:spacing w:val="15"/>
        </w:rPr>
        <w:t xml:space="preserve">das </w:t>
      </w:r>
      <w:r>
        <w:rPr>
          <w:spacing w:val="20"/>
        </w:rPr>
        <w:t xml:space="preserve">perfurações (NASCIMENTO, </w:t>
      </w:r>
      <w:r>
        <w:rPr>
          <w:spacing w:val="18"/>
        </w:rPr>
        <w:t>2009).</w:t>
      </w:r>
      <w:r>
        <w:rPr>
          <w:spacing w:val="-27"/>
        </w:rPr>
        <w:t xml:space="preserve"> </w:t>
      </w:r>
    </w:p>
    <w:p w:rsidR="00D81F69" w:rsidRDefault="00330118">
      <w:pPr>
        <w:pStyle w:val="Corpodetexto"/>
        <w:spacing w:before="71" w:line="270" w:lineRule="atLeast"/>
        <w:ind w:right="42"/>
      </w:pPr>
      <w:r>
        <w:t>Em março de 1984, a União baixou a Portaria nº. 442 [publicada no Diário Oficial da União em 4 de abril de 1984], legalizando o garimpo na região, criando a reserva garimpeira e eximindo os mineradores da necessidade do pagamento de 10% ao dono da terra, p</w:t>
      </w:r>
      <w:r>
        <w:t>or arrendamento. O fato de ficarem livres de pagar essa porcentagem fez com que o garimpo crescesse ainda mais, com mais investidores para explorar as</w:t>
      </w:r>
    </w:p>
    <w:p w:rsidR="00D81F69" w:rsidRDefault="00330118">
      <w:pPr>
        <w:pStyle w:val="Corpodetexto"/>
        <w:spacing w:before="81" w:line="312" w:lineRule="auto"/>
        <w:ind w:right="190"/>
      </w:pPr>
      <w:r>
        <w:br w:type="column"/>
      </w:r>
      <w:r>
        <w:lastRenderedPageBreak/>
        <w:t xml:space="preserve">minas de esmeraldas, que a cada dia ficavam mais profundas </w:t>
      </w:r>
      <w:r>
        <w:rPr>
          <w:spacing w:val="3"/>
        </w:rPr>
        <w:t xml:space="preserve">(SILVA, 2006). </w:t>
      </w:r>
      <w:r>
        <w:t xml:space="preserve">A </w:t>
      </w:r>
      <w:r>
        <w:rPr>
          <w:spacing w:val="3"/>
        </w:rPr>
        <w:t xml:space="preserve">legalização </w:t>
      </w:r>
      <w:r>
        <w:rPr>
          <w:spacing w:val="1"/>
        </w:rPr>
        <w:t xml:space="preserve">da </w:t>
      </w:r>
      <w:r>
        <w:rPr>
          <w:spacing w:val="3"/>
        </w:rPr>
        <w:t>atividade gar</w:t>
      </w:r>
      <w:r>
        <w:rPr>
          <w:spacing w:val="3"/>
        </w:rPr>
        <w:t xml:space="preserve">impeira </w:t>
      </w:r>
      <w:r>
        <w:rPr>
          <w:spacing w:val="5"/>
        </w:rPr>
        <w:t xml:space="preserve">em </w:t>
      </w:r>
      <w:r>
        <w:t xml:space="preserve">Campos Verdes, no anos 1980, ocorreu simultaneamente à criação de outras reservas, quando o governo federal chegou a </w:t>
      </w:r>
      <w:r>
        <w:rPr>
          <w:spacing w:val="5"/>
        </w:rPr>
        <w:t xml:space="preserve">implementar alguns projetos </w:t>
      </w:r>
      <w:r>
        <w:rPr>
          <w:spacing w:val="2"/>
        </w:rPr>
        <w:t xml:space="preserve">de </w:t>
      </w:r>
      <w:r>
        <w:rPr>
          <w:spacing w:val="5"/>
        </w:rPr>
        <w:t xml:space="preserve">incentivo </w:t>
      </w:r>
      <w:r>
        <w:t xml:space="preserve">à </w:t>
      </w:r>
      <w:r>
        <w:rPr>
          <w:spacing w:val="6"/>
        </w:rPr>
        <w:t xml:space="preserve">produção </w:t>
      </w:r>
      <w:r>
        <w:rPr>
          <w:spacing w:val="5"/>
        </w:rPr>
        <w:t xml:space="preserve">garimpeira </w:t>
      </w:r>
      <w:r>
        <w:rPr>
          <w:spacing w:val="2"/>
        </w:rPr>
        <w:t xml:space="preserve">de </w:t>
      </w:r>
      <w:r>
        <w:rPr>
          <w:spacing w:val="5"/>
        </w:rPr>
        <w:t xml:space="preserve">minerais </w:t>
      </w:r>
      <w:r>
        <w:rPr>
          <w:spacing w:val="3"/>
        </w:rPr>
        <w:t xml:space="preserve">para </w:t>
      </w:r>
      <w:r>
        <w:rPr>
          <w:spacing w:val="5"/>
        </w:rPr>
        <w:t>exportação (PÓVOA-NETO, 1997).</w:t>
      </w:r>
    </w:p>
    <w:p w:rsidR="00D81F69" w:rsidRDefault="00330118">
      <w:pPr>
        <w:pStyle w:val="Corpodetexto"/>
        <w:spacing w:before="136" w:line="312" w:lineRule="auto"/>
        <w:ind w:right="202"/>
      </w:pPr>
      <w:r>
        <w:t>Em 1989, quando a</w:t>
      </w:r>
      <w:r>
        <w:t xml:space="preserve"> Lei 7.805 extinguiu o regime de Matrícula de Garimpeiro, criando o regime de Permissão de Lavra Garimpeira e a necessidade de os garimpeiros trabalharem associados, em Campos Verdes, a Associação dos Garimpeiros já estava articulada e registrada. Embora i</w:t>
      </w:r>
      <w:r>
        <w:t>mplicitamente os garimpeiros continuassem sendo tratados individualmente, a lei sugeria que eles se organizassem em cooperativas (SILVA, 2006).</w:t>
      </w:r>
    </w:p>
    <w:p w:rsidR="00D81F69" w:rsidRDefault="00330118">
      <w:pPr>
        <w:pStyle w:val="Corpodetexto"/>
        <w:spacing w:before="138" w:line="312" w:lineRule="auto"/>
        <w:ind w:right="204"/>
      </w:pPr>
      <w:r>
        <w:t>No ano de 2000, foi iniciado, pela prefeitura, o Programa de Desenvolvimento Sustentável de Campos Verdes. Conta</w:t>
      </w:r>
      <w:r>
        <w:t xml:space="preserve">ndo com cinco princípios básicos, o projeto teve como principal foco o levantamento geológico da reserva, seguido da criação de um centro de lapidação e artesanato mineral, da implantação de um centro de geotreinamento, da estruturação da cadeia produtiva </w:t>
      </w:r>
      <w:r>
        <w:t>e da exploração do turismo mineral (CARDOSO; LOPES, 2009).</w:t>
      </w:r>
    </w:p>
    <w:p w:rsidR="00D81F69" w:rsidRDefault="00330118">
      <w:pPr>
        <w:pStyle w:val="Corpodetexto"/>
        <w:spacing w:before="137" w:line="312" w:lineRule="auto"/>
        <w:ind w:right="190"/>
      </w:pPr>
      <w:r>
        <w:t xml:space="preserve">Além disso, o programa tinha como meta buscar formas de </w:t>
      </w:r>
      <w:r>
        <w:rPr>
          <w:spacing w:val="7"/>
        </w:rPr>
        <w:t xml:space="preserve">evitar </w:t>
      </w:r>
      <w:r>
        <w:rPr>
          <w:spacing w:val="5"/>
        </w:rPr>
        <w:t xml:space="preserve">que as </w:t>
      </w:r>
      <w:r>
        <w:rPr>
          <w:spacing w:val="7"/>
        </w:rPr>
        <w:t xml:space="preserve">grandes </w:t>
      </w:r>
      <w:r>
        <w:rPr>
          <w:spacing w:val="8"/>
        </w:rPr>
        <w:t xml:space="preserve">corporações monopolizassem </w:t>
      </w:r>
      <w:r>
        <w:t>a extração, reforçando a concentração de renda. O programa visava, ainda, orientar as minera</w:t>
      </w:r>
      <w:r>
        <w:t xml:space="preserve">doras a comercializar parte </w:t>
      </w:r>
      <w:r>
        <w:rPr>
          <w:spacing w:val="1"/>
        </w:rPr>
        <w:t xml:space="preserve">da </w:t>
      </w:r>
      <w:r>
        <w:rPr>
          <w:spacing w:val="3"/>
        </w:rPr>
        <w:t xml:space="preserve">matéria prima </w:t>
      </w:r>
      <w:r>
        <w:rPr>
          <w:spacing w:val="1"/>
        </w:rPr>
        <w:t xml:space="preserve">da </w:t>
      </w:r>
      <w:r>
        <w:rPr>
          <w:spacing w:val="3"/>
        </w:rPr>
        <w:t xml:space="preserve">esmeralda, </w:t>
      </w:r>
      <w:r>
        <w:t xml:space="preserve">o </w:t>
      </w:r>
      <w:r>
        <w:rPr>
          <w:spacing w:val="3"/>
        </w:rPr>
        <w:t xml:space="preserve">xisto, ainda </w:t>
      </w:r>
      <w:r>
        <w:rPr>
          <w:spacing w:val="1"/>
        </w:rPr>
        <w:t xml:space="preserve">em </w:t>
      </w:r>
      <w:r>
        <w:rPr>
          <w:spacing w:val="5"/>
        </w:rPr>
        <w:t xml:space="preserve">estado </w:t>
      </w:r>
      <w:r>
        <w:t xml:space="preserve">bruto, com os garimpeiros informais e promover a Feira das </w:t>
      </w:r>
      <w:r>
        <w:rPr>
          <w:spacing w:val="6"/>
        </w:rPr>
        <w:t xml:space="preserve">Esmeraldas </w:t>
      </w:r>
      <w:r>
        <w:rPr>
          <w:spacing w:val="5"/>
        </w:rPr>
        <w:t xml:space="preserve">para que </w:t>
      </w:r>
      <w:r>
        <w:t xml:space="preserve">o </w:t>
      </w:r>
      <w:r>
        <w:rPr>
          <w:spacing w:val="6"/>
        </w:rPr>
        <w:t xml:space="preserve">dinheiro voltasse </w:t>
      </w:r>
      <w:r>
        <w:t xml:space="preserve">a </w:t>
      </w:r>
      <w:r>
        <w:rPr>
          <w:spacing w:val="6"/>
        </w:rPr>
        <w:t xml:space="preserve">circular </w:t>
      </w:r>
      <w:r>
        <w:rPr>
          <w:spacing w:val="7"/>
        </w:rPr>
        <w:t xml:space="preserve">no </w:t>
      </w:r>
      <w:r>
        <w:rPr>
          <w:spacing w:val="5"/>
        </w:rPr>
        <w:t xml:space="preserve">município (PROJETO </w:t>
      </w:r>
      <w:r>
        <w:rPr>
          <w:spacing w:val="2"/>
        </w:rPr>
        <w:t xml:space="preserve">DE </w:t>
      </w:r>
      <w:r>
        <w:rPr>
          <w:spacing w:val="5"/>
        </w:rPr>
        <w:t xml:space="preserve">GOVERNO, </w:t>
      </w:r>
      <w:r>
        <w:rPr>
          <w:spacing w:val="3"/>
        </w:rPr>
        <w:t xml:space="preserve">2002 apud </w:t>
      </w:r>
      <w:r>
        <w:rPr>
          <w:spacing w:val="5"/>
        </w:rPr>
        <w:t>SILVA, 2006).</w:t>
      </w:r>
    </w:p>
    <w:p w:rsidR="00D81F69" w:rsidRDefault="00330118">
      <w:pPr>
        <w:pStyle w:val="Corpodetexto"/>
        <w:spacing w:before="138" w:line="312" w:lineRule="auto"/>
        <w:ind w:right="186"/>
      </w:pPr>
      <w:r>
        <w:t>Um estudo geológico comprovou que a reserva de esmeraldas ainda estava praticamente intacta. De posse dos documentos que comprovavam o potencial da reserva, a prefeitura incentivou a investida da iniciativa privada, pois as esmeraldas, de acordo com o mape</w:t>
      </w:r>
      <w:r>
        <w:t>amento geológico, estavam a até 400 metros de profundidade, necessitando de maquinário específico para sua extração. De imediato foram reativadas 29 minas das 40 existentes no auge da exploração (CARDOSO; LOPES, 2009). Essas minas passaram a empregar cerca</w:t>
      </w:r>
      <w:r>
        <w:t xml:space="preserve"> de 400 trabalhadores diretos e 1,2 mil indiretos (SILVA, 2006).</w:t>
      </w:r>
    </w:p>
    <w:p w:rsidR="00D81F69" w:rsidRDefault="00330118">
      <w:pPr>
        <w:pStyle w:val="Corpodetexto"/>
        <w:spacing w:before="141" w:line="312" w:lineRule="auto"/>
        <w:ind w:right="196"/>
      </w:pPr>
      <w:r>
        <w:t>Em 2001, a prefeitura aprovou a Lei 31/01, a qual dispunha sobre a permissão de lavra garimpeira na área urbana do município de Campos Verdes. O Artigo 3º desta lei estipulava que o assentime</w:t>
      </w:r>
      <w:r>
        <w:t>nto de permissão de lavra garimpeira só seria efetivado se os requerentes se obrigassem a vender, no mínimo, 30% do xisto e seus derivados, tais como areia e bagaço, à comunidade garimpeira local. Pretendia-se, dessa forma, tornar a movimentar o garimpo de</w:t>
      </w:r>
      <w:r>
        <w:t xml:space="preserve"> esmeraldas (SILVA, 2006).</w:t>
      </w:r>
    </w:p>
    <w:p w:rsidR="00D81F69" w:rsidRDefault="00330118">
      <w:pPr>
        <w:pStyle w:val="Corpodetexto"/>
        <w:spacing w:before="75" w:line="270" w:lineRule="atLeast"/>
        <w:ind w:right="213"/>
      </w:pPr>
      <w:r>
        <w:t>Em 15 de março de 2006, a prefeitura aprovou a Instrução Normativa 001/2006, a qual revogou todos os assentimentos</w:t>
      </w:r>
    </w:p>
    <w:p w:rsidR="00D81F69" w:rsidRDefault="00D81F69">
      <w:pPr>
        <w:spacing w:line="270" w:lineRule="atLeast"/>
        <w:sectPr w:rsidR="00D81F69">
          <w:pgSz w:w="11900" w:h="16840"/>
          <w:pgMar w:top="740" w:right="500" w:bottom="640" w:left="620" w:header="0" w:footer="402" w:gutter="0"/>
          <w:cols w:num="2" w:space="720" w:equalWidth="0">
            <w:col w:w="5158" w:space="312"/>
            <w:col w:w="5310"/>
          </w:cols>
        </w:sectPr>
      </w:pPr>
    </w:p>
    <w:p w:rsidR="00D81F69" w:rsidRDefault="00330118">
      <w:pPr>
        <w:pStyle w:val="Corpodetexto"/>
        <w:spacing w:before="81" w:line="312" w:lineRule="auto"/>
        <w:ind w:right="59"/>
      </w:pPr>
      <w:r>
        <w:lastRenderedPageBreak/>
        <w:t xml:space="preserve">concedidos, no período de 1º de dezembro de 1996 à 1º de </w:t>
      </w:r>
      <w:r>
        <w:rPr>
          <w:spacing w:val="5"/>
        </w:rPr>
        <w:t xml:space="preserve">dezembro </w:t>
      </w:r>
      <w:r>
        <w:rPr>
          <w:spacing w:val="2"/>
        </w:rPr>
        <w:t xml:space="preserve">de </w:t>
      </w:r>
      <w:r>
        <w:rPr>
          <w:spacing w:val="3"/>
        </w:rPr>
        <w:t xml:space="preserve">2005, </w:t>
      </w:r>
      <w:r>
        <w:t xml:space="preserve">e </w:t>
      </w:r>
      <w:r>
        <w:rPr>
          <w:spacing w:val="3"/>
        </w:rPr>
        <w:t>deu praz</w:t>
      </w:r>
      <w:r>
        <w:rPr>
          <w:spacing w:val="3"/>
        </w:rPr>
        <w:t xml:space="preserve">o </w:t>
      </w:r>
      <w:r>
        <w:rPr>
          <w:spacing w:val="2"/>
        </w:rPr>
        <w:t xml:space="preserve">de 60 </w:t>
      </w:r>
      <w:r>
        <w:rPr>
          <w:spacing w:val="3"/>
        </w:rPr>
        <w:t xml:space="preserve">dias para que </w:t>
      </w:r>
      <w:r>
        <w:rPr>
          <w:spacing w:val="5"/>
        </w:rPr>
        <w:t>os</w:t>
      </w:r>
      <w:r>
        <w:rPr>
          <w:spacing w:val="61"/>
        </w:rPr>
        <w:t xml:space="preserve"> </w:t>
      </w:r>
      <w:r>
        <w:rPr>
          <w:spacing w:val="10"/>
        </w:rPr>
        <w:t xml:space="preserve">interessados reativassem </w:t>
      </w:r>
      <w:r>
        <w:rPr>
          <w:spacing w:val="5"/>
        </w:rPr>
        <w:t xml:space="preserve">os </w:t>
      </w:r>
      <w:r>
        <w:rPr>
          <w:spacing w:val="10"/>
        </w:rPr>
        <w:t xml:space="preserve">cadastros, seguindo </w:t>
      </w:r>
      <w:r>
        <w:rPr>
          <w:spacing w:val="11"/>
        </w:rPr>
        <w:t xml:space="preserve">as </w:t>
      </w:r>
      <w:r>
        <w:rPr>
          <w:spacing w:val="10"/>
        </w:rPr>
        <w:t xml:space="preserve">orientações constantes </w:t>
      </w:r>
      <w:r>
        <w:rPr>
          <w:spacing w:val="5"/>
        </w:rPr>
        <w:t xml:space="preserve">da </w:t>
      </w:r>
      <w:r>
        <w:rPr>
          <w:spacing w:val="10"/>
        </w:rPr>
        <w:t xml:space="preserve">normativa (SILVA, </w:t>
      </w:r>
      <w:r>
        <w:rPr>
          <w:spacing w:val="11"/>
        </w:rPr>
        <w:t>2006).</w:t>
      </w:r>
    </w:p>
    <w:p w:rsidR="00D81F69" w:rsidRDefault="00330118">
      <w:pPr>
        <w:pStyle w:val="Corpodetexto"/>
        <w:spacing w:before="134" w:line="312" w:lineRule="auto"/>
        <w:ind w:right="38"/>
      </w:pPr>
      <w:r>
        <w:t xml:space="preserve">Em </w:t>
      </w:r>
      <w:r>
        <w:rPr>
          <w:spacing w:val="1"/>
        </w:rPr>
        <w:t xml:space="preserve">2006, </w:t>
      </w:r>
      <w:r>
        <w:t xml:space="preserve">no </w:t>
      </w:r>
      <w:r>
        <w:rPr>
          <w:spacing w:val="1"/>
        </w:rPr>
        <w:t xml:space="preserve">entanto, apenas cinco minas estavam </w:t>
      </w:r>
      <w:r>
        <w:rPr>
          <w:spacing w:val="2"/>
        </w:rPr>
        <w:t xml:space="preserve">sendo </w:t>
      </w:r>
      <w:r>
        <w:rPr>
          <w:spacing w:val="10"/>
        </w:rPr>
        <w:t xml:space="preserve">exploradas, </w:t>
      </w:r>
      <w:r>
        <w:rPr>
          <w:spacing w:val="8"/>
        </w:rPr>
        <w:t xml:space="preserve">gerando desemprego </w:t>
      </w:r>
      <w:r>
        <w:t xml:space="preserve">e </w:t>
      </w:r>
      <w:r>
        <w:rPr>
          <w:spacing w:val="10"/>
        </w:rPr>
        <w:t xml:space="preserve">esvaziamento da </w:t>
      </w:r>
      <w:r>
        <w:t>população campo verdense (</w:t>
      </w:r>
      <w:r>
        <w:t xml:space="preserve">SILVA, 2006). Estima-se que um </w:t>
      </w:r>
      <w:r>
        <w:rPr>
          <w:spacing w:val="2"/>
        </w:rPr>
        <w:t xml:space="preserve">dos </w:t>
      </w:r>
      <w:r>
        <w:rPr>
          <w:spacing w:val="3"/>
        </w:rPr>
        <w:t xml:space="preserve">fatores determinantes </w:t>
      </w:r>
      <w:r>
        <w:rPr>
          <w:spacing w:val="2"/>
        </w:rPr>
        <w:t xml:space="preserve">para este </w:t>
      </w:r>
      <w:r>
        <w:rPr>
          <w:spacing w:val="3"/>
        </w:rPr>
        <w:t xml:space="preserve">cenário tenha </w:t>
      </w:r>
      <w:r>
        <w:rPr>
          <w:spacing w:val="2"/>
        </w:rPr>
        <w:t xml:space="preserve">sido </w:t>
      </w:r>
      <w:r>
        <w:t xml:space="preserve">a </w:t>
      </w:r>
      <w:r>
        <w:rPr>
          <w:spacing w:val="10"/>
        </w:rPr>
        <w:t xml:space="preserve">profundidade </w:t>
      </w:r>
      <w:r>
        <w:rPr>
          <w:spacing w:val="5"/>
        </w:rPr>
        <w:t xml:space="preserve">de </w:t>
      </w:r>
      <w:r>
        <w:rPr>
          <w:spacing w:val="10"/>
        </w:rPr>
        <w:t xml:space="preserve">escavação, </w:t>
      </w:r>
      <w:r>
        <w:rPr>
          <w:spacing w:val="7"/>
        </w:rPr>
        <w:t xml:space="preserve">que </w:t>
      </w:r>
      <w:r>
        <w:rPr>
          <w:spacing w:val="10"/>
        </w:rPr>
        <w:t xml:space="preserve">ficou muito </w:t>
      </w:r>
      <w:r>
        <w:rPr>
          <w:spacing w:val="12"/>
        </w:rPr>
        <w:t xml:space="preserve">maior, </w:t>
      </w:r>
      <w:r>
        <w:rPr>
          <w:spacing w:val="5"/>
        </w:rPr>
        <w:t xml:space="preserve">dificultando </w:t>
      </w:r>
      <w:r>
        <w:t xml:space="preserve">o </w:t>
      </w:r>
      <w:r>
        <w:rPr>
          <w:spacing w:val="5"/>
        </w:rPr>
        <w:t xml:space="preserve">acesso </w:t>
      </w:r>
      <w:r>
        <w:t xml:space="preserve">e </w:t>
      </w:r>
      <w:r>
        <w:rPr>
          <w:spacing w:val="5"/>
        </w:rPr>
        <w:t>aumentando custos (CARDOSO;</w:t>
      </w:r>
      <w:r>
        <w:rPr>
          <w:spacing w:val="61"/>
        </w:rPr>
        <w:t xml:space="preserve"> </w:t>
      </w:r>
      <w:r>
        <w:rPr>
          <w:spacing w:val="5"/>
        </w:rPr>
        <w:t>LOPES, 2009).</w:t>
      </w:r>
    </w:p>
    <w:p w:rsidR="00D81F69" w:rsidRDefault="00330118">
      <w:pPr>
        <w:pStyle w:val="Corpodetexto"/>
        <w:spacing w:before="136" w:line="312" w:lineRule="auto"/>
        <w:ind w:right="51"/>
      </w:pPr>
      <w:r>
        <w:t>Reportagem realizada pela TV Serra Dourada, afiliada</w:t>
      </w:r>
      <w:r>
        <w:t xml:space="preserve"> do SBT em Goiás, em março de 2011, mostrou o estado de decadência em que Campos Verdes se encontra. Na matéria, comerciantes reclamam da queda brutal das vendas em consequência da queda da renda e da diminuição da população, causada pela decadência do gar</w:t>
      </w:r>
      <w:r>
        <w:t>impo. Naquele momento, apenas uma dentre 70 minas autorizadas pelo DNPM estava em atividade. A reportagem entrevistou a dona da mina, que se queixou da falta de compradores e da ausência de linhas de financiamento para a atividade (JORNAL DO MEIO DIA, 2011</w:t>
      </w:r>
      <w:r>
        <w:t>).</w:t>
      </w:r>
    </w:p>
    <w:p w:rsidR="00D81F69" w:rsidRDefault="00D81F69">
      <w:pPr>
        <w:pStyle w:val="Corpodetexto"/>
        <w:spacing w:before="10"/>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69"/>
      </w:pPr>
      <w:r>
        <w:t>O município de Campos Verdes, latitude 14°15’31”S e longitude 49°39’24”W, situa-se entre as bacias hidrográficas do rio dos Bois e do rio dos Peixes, sendo esta mais próxima da área garimpeira.</w:t>
      </w:r>
    </w:p>
    <w:p w:rsidR="00D81F69" w:rsidRDefault="00D81F69">
      <w:pPr>
        <w:pStyle w:val="Corpodetexto"/>
        <w:spacing w:before="1"/>
        <w:ind w:left="0"/>
        <w:jc w:val="left"/>
        <w:rPr>
          <w:sz w:val="29"/>
        </w:rPr>
      </w:pPr>
    </w:p>
    <w:p w:rsidR="00D81F69" w:rsidRDefault="00330118">
      <w:pPr>
        <w:pStyle w:val="Heading7"/>
      </w:pPr>
      <w:r>
        <w:t>REDATORES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tabs>
          <w:tab w:val="left" w:pos="4331"/>
        </w:tabs>
        <w:spacing w:before="188" w:line="312" w:lineRule="auto"/>
        <w:ind w:left="100" w:right="52"/>
        <w:jc w:val="both"/>
        <w:rPr>
          <w:sz w:val="16"/>
        </w:rPr>
      </w:pPr>
      <w:r>
        <w:rPr>
          <w:sz w:val="16"/>
        </w:rPr>
        <w:t xml:space="preserve">BARRETO, Sandra de Brito; BITTAR, Sheila Maria Bretãs. Gemas do Brasil. Universidade Federal de Pernambuco, Recife, 15 mai. 2008.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71"/>
        <w:jc w:val="both"/>
        <w:rPr>
          <w:sz w:val="16"/>
        </w:rPr>
      </w:pPr>
      <w:hyperlink r:id="rId886">
        <w:r w:rsidR="00330118">
          <w:rPr>
            <w:sz w:val="16"/>
          </w:rPr>
          <w:t>&lt;http://www.petitamineria.com/comunicaciones/gemasdobrasil/gemas</w:t>
        </w:r>
      </w:hyperlink>
      <w:r w:rsidR="00330118">
        <w:rPr>
          <w:sz w:val="16"/>
        </w:rPr>
        <w:t xml:space="preserve"> dobrasil.pdf.&gt;. Acesso em: 22 abr. 2010.</w:t>
      </w:r>
    </w:p>
    <w:p w:rsidR="00D81F69" w:rsidRDefault="00330118">
      <w:pPr>
        <w:spacing w:before="70" w:line="312" w:lineRule="auto"/>
        <w:ind w:left="100" w:right="198"/>
        <w:jc w:val="both"/>
        <w:rPr>
          <w:sz w:val="16"/>
        </w:rPr>
      </w:pPr>
      <w:r>
        <w:br w:type="column"/>
      </w:r>
      <w:r>
        <w:rPr>
          <w:sz w:val="16"/>
        </w:rPr>
        <w:lastRenderedPageBreak/>
        <w:t>JORNAL DO MEIO DIA. Campos Verdes: Esmeraldas só nas profundezas d</w:t>
      </w:r>
      <w:r>
        <w:rPr>
          <w:sz w:val="16"/>
        </w:rPr>
        <w:t>a terra. Produção da TV Serra Dourada. Goiânia, mar.</w:t>
      </w:r>
    </w:p>
    <w:p w:rsidR="00D81F69" w:rsidRDefault="00330118">
      <w:pPr>
        <w:tabs>
          <w:tab w:val="left" w:pos="1785"/>
          <w:tab w:val="left" w:pos="4548"/>
        </w:tabs>
        <w:spacing w:before="1"/>
        <w:ind w:left="100"/>
        <w:rPr>
          <w:sz w:val="16"/>
        </w:rPr>
      </w:pPr>
      <w:r>
        <w:rPr>
          <w:sz w:val="16"/>
        </w:rPr>
        <w:t xml:space="preserve">2   0   1  </w:t>
      </w:r>
      <w:r>
        <w:rPr>
          <w:spacing w:val="35"/>
          <w:sz w:val="16"/>
        </w:rPr>
        <w:t xml:space="preserve"> </w:t>
      </w:r>
      <w:r>
        <w:rPr>
          <w:sz w:val="16"/>
        </w:rPr>
        <w:t xml:space="preserve">1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ind w:left="100"/>
        <w:rPr>
          <w:sz w:val="16"/>
        </w:rPr>
      </w:pPr>
      <w:hyperlink r:id="rId887">
        <w:r w:rsidR="00330118">
          <w:rPr>
            <w:sz w:val="16"/>
          </w:rPr>
          <w:t>&lt;http://www.youtube.com/jornaldomeiodia#p/search/0/YsFYe</w:t>
        </w:r>
        <w:r w:rsidR="00330118">
          <w:rPr>
            <w:sz w:val="16"/>
          </w:rPr>
          <w:t>4nkBFM</w:t>
        </w:r>
      </w:hyperlink>
    </w:p>
    <w:p w:rsidR="00D81F69" w:rsidRDefault="00330118">
      <w:pPr>
        <w:spacing w:before="56"/>
        <w:ind w:left="100"/>
        <w:rPr>
          <w:sz w:val="16"/>
        </w:rPr>
      </w:pPr>
      <w:r>
        <w:rPr>
          <w:sz w:val="16"/>
        </w:rPr>
        <w:t>&gt;. Acesso em: 8 nov. 2011.</w:t>
      </w:r>
    </w:p>
    <w:p w:rsidR="00D81F69" w:rsidRDefault="00330118">
      <w:pPr>
        <w:spacing w:before="56" w:line="312" w:lineRule="auto"/>
        <w:ind w:left="100" w:right="196"/>
        <w:jc w:val="both"/>
        <w:rPr>
          <w:sz w:val="16"/>
        </w:rPr>
      </w:pPr>
      <w:r>
        <w:rPr>
          <w:sz w:val="16"/>
        </w:rPr>
        <w:t>CARDOSO, José Antônio; LOPES, Wilson. Coleção ‘Goyanez’ valoriza esmeraldas. Agência Sebrae de Notícias, Goiânia, 12 nov.</w:t>
      </w:r>
    </w:p>
    <w:p w:rsidR="00D81F69" w:rsidRDefault="00330118">
      <w:pPr>
        <w:tabs>
          <w:tab w:val="left" w:pos="1785"/>
          <w:tab w:val="left" w:pos="4548"/>
        </w:tabs>
        <w:spacing w:before="2"/>
        <w:ind w:left="100"/>
        <w:rPr>
          <w:sz w:val="16"/>
        </w:rPr>
      </w:pPr>
      <w:r>
        <w:rPr>
          <w:sz w:val="16"/>
        </w:rPr>
        <w:t xml:space="preserve">2   0   0  </w:t>
      </w:r>
      <w:r>
        <w:rPr>
          <w:spacing w:val="35"/>
          <w:sz w:val="16"/>
        </w:rPr>
        <w:t xml:space="preserve"> </w:t>
      </w:r>
      <w:r>
        <w:rPr>
          <w:sz w:val="16"/>
        </w:rPr>
        <w:t xml:space="preserve">9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12"/>
        <w:jc w:val="both"/>
        <w:rPr>
          <w:sz w:val="16"/>
        </w:rPr>
      </w:pPr>
      <w:hyperlink r:id="rId888">
        <w:r w:rsidR="00330118">
          <w:rPr>
            <w:sz w:val="16"/>
          </w:rPr>
          <w:t xml:space="preserve">&lt;http://www.sebraego.com.br/site/site.do?idArtigo=4440&gt;. </w:t>
        </w:r>
      </w:hyperlink>
      <w:r w:rsidR="00330118">
        <w:rPr>
          <w:sz w:val="16"/>
        </w:rPr>
        <w:t>Acesso em: 22 abr. 2010.</w:t>
      </w:r>
    </w:p>
    <w:p w:rsidR="00D81F69" w:rsidRDefault="00330118">
      <w:pPr>
        <w:spacing w:before="2" w:line="312" w:lineRule="auto"/>
        <w:ind w:left="100" w:right="169"/>
        <w:jc w:val="both"/>
        <w:rPr>
          <w:sz w:val="16"/>
        </w:rPr>
      </w:pPr>
      <w:r>
        <w:rPr>
          <w:sz w:val="16"/>
        </w:rPr>
        <w:t xml:space="preserve">IBGE, Instituto Brasileiro de Geografia e Estatística. Campos Verdes </w:t>
      </w:r>
      <w:r>
        <w:rPr>
          <w:spacing w:val="21"/>
          <w:sz w:val="16"/>
        </w:rPr>
        <w:t xml:space="preserve">(GO). </w:t>
      </w:r>
      <w:r>
        <w:rPr>
          <w:spacing w:val="17"/>
          <w:sz w:val="16"/>
        </w:rPr>
        <w:t xml:space="preserve">In: </w:t>
      </w:r>
      <w:r>
        <w:rPr>
          <w:spacing w:val="20"/>
          <w:sz w:val="16"/>
        </w:rPr>
        <w:t>IBGE</w:t>
      </w:r>
      <w:r>
        <w:rPr>
          <w:spacing w:val="85"/>
          <w:sz w:val="16"/>
        </w:rPr>
        <w:t xml:space="preserve"> </w:t>
      </w:r>
      <w:r>
        <w:rPr>
          <w:spacing w:val="23"/>
          <w:sz w:val="16"/>
        </w:rPr>
        <w:t xml:space="preserve">Cidades </w:t>
      </w:r>
      <w:r>
        <w:rPr>
          <w:spacing w:val="22"/>
          <w:sz w:val="16"/>
        </w:rPr>
        <w:t xml:space="preserve">2010a. </w:t>
      </w:r>
      <w:r>
        <w:rPr>
          <w:spacing w:val="25"/>
          <w:sz w:val="16"/>
        </w:rPr>
        <w:t>Dispon</w:t>
      </w:r>
      <w:r>
        <w:rPr>
          <w:spacing w:val="25"/>
          <w:sz w:val="16"/>
        </w:rPr>
        <w:t xml:space="preserve">ível </w:t>
      </w:r>
      <w:r>
        <w:rPr>
          <w:spacing w:val="17"/>
          <w:sz w:val="16"/>
        </w:rPr>
        <w:t>em:</w:t>
      </w:r>
      <w:r>
        <w:rPr>
          <w:spacing w:val="-16"/>
          <w:sz w:val="16"/>
        </w:rPr>
        <w:t xml:space="preserve"> </w:t>
      </w:r>
    </w:p>
    <w:p w:rsidR="00D81F69" w:rsidRDefault="00D81F69">
      <w:pPr>
        <w:spacing w:before="1" w:line="312" w:lineRule="auto"/>
        <w:ind w:left="100" w:right="189"/>
        <w:jc w:val="both"/>
        <w:rPr>
          <w:sz w:val="16"/>
        </w:rPr>
      </w:pPr>
      <w:hyperlink r:id="rId889">
        <w:r w:rsidR="00330118">
          <w:rPr>
            <w:sz w:val="16"/>
          </w:rPr>
          <w:t>&lt;http://www.ibge.gov.br/cidadesat/link.php?codmun=520495&gt;.</w:t>
        </w:r>
      </w:hyperlink>
      <w:r w:rsidR="00330118">
        <w:rPr>
          <w:sz w:val="16"/>
        </w:rPr>
        <w:t xml:space="preserve"> Acesso em: 8 nov. 2011</w:t>
      </w:r>
    </w:p>
    <w:p w:rsidR="00D81F69" w:rsidRDefault="00330118">
      <w:pPr>
        <w:spacing w:before="2" w:line="312" w:lineRule="auto"/>
        <w:ind w:left="100" w:right="185"/>
        <w:jc w:val="both"/>
        <w:rPr>
          <w:sz w:val="16"/>
        </w:rPr>
      </w:pPr>
      <w:r>
        <w:rPr>
          <w:sz w:val="16"/>
        </w:rPr>
        <w:t xml:space="preserve">IBGE, Instituto Brasileiro de Geografia e Estatística. Santa Terezinha </w:t>
      </w:r>
      <w:r>
        <w:rPr>
          <w:spacing w:val="5"/>
          <w:sz w:val="16"/>
        </w:rPr>
        <w:t xml:space="preserve">de </w:t>
      </w:r>
      <w:r>
        <w:rPr>
          <w:spacing w:val="8"/>
          <w:sz w:val="16"/>
        </w:rPr>
        <w:t xml:space="preserve">Goiás (GO). </w:t>
      </w:r>
      <w:r>
        <w:rPr>
          <w:spacing w:val="7"/>
          <w:sz w:val="16"/>
        </w:rPr>
        <w:t xml:space="preserve">In: </w:t>
      </w:r>
      <w:r>
        <w:rPr>
          <w:spacing w:val="8"/>
          <w:sz w:val="16"/>
        </w:rPr>
        <w:t>I</w:t>
      </w:r>
      <w:r>
        <w:rPr>
          <w:spacing w:val="8"/>
          <w:sz w:val="16"/>
        </w:rPr>
        <w:t xml:space="preserve">BGE </w:t>
      </w:r>
      <w:r>
        <w:rPr>
          <w:spacing w:val="10"/>
          <w:sz w:val="16"/>
        </w:rPr>
        <w:t>Cidades 2010b. Disponível</w:t>
      </w:r>
      <w:r>
        <w:rPr>
          <w:spacing w:val="60"/>
          <w:sz w:val="16"/>
        </w:rPr>
        <w:t xml:space="preserve"> </w:t>
      </w:r>
      <w:r>
        <w:rPr>
          <w:spacing w:val="11"/>
          <w:sz w:val="16"/>
        </w:rPr>
        <w:t>em:</w:t>
      </w:r>
    </w:p>
    <w:p w:rsidR="00D81F69" w:rsidRDefault="00D81F69">
      <w:pPr>
        <w:spacing w:before="2" w:line="312" w:lineRule="auto"/>
        <w:ind w:left="100" w:right="189"/>
        <w:jc w:val="both"/>
        <w:rPr>
          <w:sz w:val="16"/>
        </w:rPr>
      </w:pPr>
      <w:hyperlink r:id="rId890">
        <w:r w:rsidR="00330118">
          <w:rPr>
            <w:sz w:val="16"/>
          </w:rPr>
          <w:t>&lt;http://www.ibge.gov.br/cidadesat/link.php?codmun=521970&gt;.</w:t>
        </w:r>
      </w:hyperlink>
      <w:r w:rsidR="00330118">
        <w:rPr>
          <w:sz w:val="16"/>
        </w:rPr>
        <w:t xml:space="preserve"> Acesso em: 8 nov. 2011.</w:t>
      </w:r>
    </w:p>
    <w:p w:rsidR="00D81F69" w:rsidRDefault="00330118">
      <w:pPr>
        <w:spacing w:before="1" w:line="312" w:lineRule="auto"/>
        <w:ind w:left="100" w:right="182"/>
        <w:jc w:val="both"/>
        <w:rPr>
          <w:sz w:val="16"/>
        </w:rPr>
      </w:pPr>
      <w:r>
        <w:rPr>
          <w:sz w:val="16"/>
        </w:rPr>
        <w:t>NASCIMENTO, Isaura Barbosa do. Riscos e Vulnerabilidade socioambie</w:t>
      </w:r>
      <w:r>
        <w:rPr>
          <w:sz w:val="16"/>
        </w:rPr>
        <w:t xml:space="preserve">ntal: o caso do garimpo de esmeraldas em Campos Verdes (GO), 2009,152 f. Dissertação (Mestrado em Geografia). Universidade  de   Brasília,  Brasília,  DF.   Disponível  em: </w:t>
      </w:r>
    </w:p>
    <w:p w:rsidR="00D81F69" w:rsidRDefault="00D81F69">
      <w:pPr>
        <w:spacing w:before="3" w:line="312" w:lineRule="auto"/>
        <w:ind w:left="100" w:right="190"/>
        <w:jc w:val="both"/>
        <w:rPr>
          <w:sz w:val="16"/>
        </w:rPr>
      </w:pPr>
      <w:hyperlink r:id="rId891">
        <w:r w:rsidR="00330118">
          <w:rPr>
            <w:spacing w:val="6"/>
            <w:sz w:val="16"/>
          </w:rPr>
          <w:t>&lt;http://hdl.handle.net/10482/440</w:t>
        </w:r>
        <w:r w:rsidR="00330118">
          <w:rPr>
            <w:spacing w:val="6"/>
            <w:sz w:val="16"/>
          </w:rPr>
          <w:t>4&gt;.</w:t>
        </w:r>
      </w:hyperlink>
      <w:r w:rsidR="00330118">
        <w:rPr>
          <w:spacing w:val="6"/>
          <w:sz w:val="16"/>
        </w:rPr>
        <w:t xml:space="preserve"> </w:t>
      </w:r>
      <w:r w:rsidR="00330118">
        <w:rPr>
          <w:spacing w:val="5"/>
          <w:sz w:val="16"/>
        </w:rPr>
        <w:t xml:space="preserve">Acesso </w:t>
      </w:r>
      <w:r w:rsidR="00330118">
        <w:rPr>
          <w:spacing w:val="3"/>
          <w:sz w:val="16"/>
        </w:rPr>
        <w:t xml:space="preserve">em 22 </w:t>
      </w:r>
      <w:r w:rsidR="00330118">
        <w:rPr>
          <w:spacing w:val="5"/>
          <w:sz w:val="16"/>
        </w:rPr>
        <w:t xml:space="preserve">abr. </w:t>
      </w:r>
      <w:r w:rsidR="00330118">
        <w:rPr>
          <w:spacing w:val="7"/>
          <w:sz w:val="16"/>
        </w:rPr>
        <w:t xml:space="preserve">2010. </w:t>
      </w:r>
      <w:r w:rsidR="00330118">
        <w:rPr>
          <w:sz w:val="16"/>
        </w:rPr>
        <w:t xml:space="preserve">PÓVOA NETO, Helion . Garimpo e mobilidade espacial do trabalho  no Brasil. In: Sexto Encuentro de Geografos de America Latina, 1997, </w:t>
      </w:r>
      <w:r w:rsidR="00330118">
        <w:rPr>
          <w:spacing w:val="1"/>
          <w:sz w:val="16"/>
        </w:rPr>
        <w:t xml:space="preserve">Buenos Aires </w:t>
      </w:r>
      <w:r w:rsidR="00330118">
        <w:rPr>
          <w:sz w:val="16"/>
        </w:rPr>
        <w:t xml:space="preserve">- </w:t>
      </w:r>
      <w:r w:rsidR="00330118">
        <w:rPr>
          <w:spacing w:val="1"/>
          <w:sz w:val="16"/>
        </w:rPr>
        <w:t xml:space="preserve">Resumos </w:t>
      </w:r>
      <w:r w:rsidR="00330118">
        <w:rPr>
          <w:sz w:val="16"/>
        </w:rPr>
        <w:t xml:space="preserve">de </w:t>
      </w:r>
      <w:r w:rsidR="00330118">
        <w:rPr>
          <w:spacing w:val="1"/>
          <w:sz w:val="16"/>
        </w:rPr>
        <w:t xml:space="preserve">Trabajos Presentados. Buenos </w:t>
      </w:r>
      <w:r w:rsidR="00330118">
        <w:rPr>
          <w:spacing w:val="2"/>
          <w:sz w:val="16"/>
        </w:rPr>
        <w:t xml:space="preserve">Aires: </w:t>
      </w:r>
      <w:r w:rsidR="00330118">
        <w:rPr>
          <w:spacing w:val="3"/>
          <w:sz w:val="16"/>
        </w:rPr>
        <w:t>Universidad</w:t>
      </w:r>
      <w:r w:rsidR="00330118">
        <w:rPr>
          <w:spacing w:val="35"/>
          <w:sz w:val="16"/>
        </w:rPr>
        <w:t xml:space="preserve"> </w:t>
      </w:r>
      <w:r w:rsidR="00330118">
        <w:rPr>
          <w:spacing w:val="1"/>
          <w:sz w:val="16"/>
        </w:rPr>
        <w:t>de</w:t>
      </w:r>
      <w:r w:rsidR="00330118">
        <w:rPr>
          <w:spacing w:val="35"/>
          <w:sz w:val="16"/>
        </w:rPr>
        <w:t xml:space="preserve"> </w:t>
      </w:r>
      <w:r w:rsidR="00330118">
        <w:rPr>
          <w:spacing w:val="3"/>
          <w:sz w:val="16"/>
        </w:rPr>
        <w:t>Buenos</w:t>
      </w:r>
      <w:r w:rsidR="00330118">
        <w:rPr>
          <w:spacing w:val="35"/>
          <w:sz w:val="16"/>
        </w:rPr>
        <w:t xml:space="preserve"> </w:t>
      </w:r>
      <w:r w:rsidR="00330118">
        <w:rPr>
          <w:spacing w:val="3"/>
          <w:sz w:val="16"/>
        </w:rPr>
        <w:t>Aires,</w:t>
      </w:r>
      <w:r w:rsidR="00330118">
        <w:rPr>
          <w:spacing w:val="35"/>
          <w:sz w:val="16"/>
        </w:rPr>
        <w:t xml:space="preserve"> </w:t>
      </w:r>
      <w:r w:rsidR="00330118">
        <w:rPr>
          <w:spacing w:val="3"/>
          <w:sz w:val="16"/>
        </w:rPr>
        <w:t>1997.</w:t>
      </w:r>
      <w:r w:rsidR="00330118">
        <w:rPr>
          <w:spacing w:val="35"/>
          <w:sz w:val="16"/>
        </w:rPr>
        <w:t xml:space="preserve"> </w:t>
      </w:r>
      <w:r w:rsidR="00330118">
        <w:rPr>
          <w:spacing w:val="1"/>
          <w:sz w:val="16"/>
        </w:rPr>
        <w:t>p.</w:t>
      </w:r>
      <w:r w:rsidR="00330118">
        <w:rPr>
          <w:spacing w:val="35"/>
          <w:sz w:val="16"/>
        </w:rPr>
        <w:t xml:space="preserve"> </w:t>
      </w:r>
      <w:r w:rsidR="00330118">
        <w:rPr>
          <w:spacing w:val="3"/>
          <w:sz w:val="16"/>
        </w:rPr>
        <w:t>173-173.</w:t>
      </w:r>
      <w:r w:rsidR="00330118">
        <w:rPr>
          <w:spacing w:val="35"/>
          <w:sz w:val="16"/>
        </w:rPr>
        <w:t xml:space="preserve"> </w:t>
      </w:r>
      <w:r w:rsidR="00330118">
        <w:rPr>
          <w:spacing w:val="3"/>
          <w:sz w:val="16"/>
        </w:rPr>
        <w:t>Disponível</w:t>
      </w:r>
      <w:r w:rsidR="00330118">
        <w:rPr>
          <w:spacing w:val="35"/>
          <w:sz w:val="16"/>
        </w:rPr>
        <w:t xml:space="preserve"> </w:t>
      </w:r>
      <w:r w:rsidR="00330118">
        <w:rPr>
          <w:spacing w:val="5"/>
          <w:sz w:val="16"/>
        </w:rPr>
        <w:t>em:</w:t>
      </w:r>
    </w:p>
    <w:p w:rsidR="00D81F69" w:rsidRDefault="00D81F69">
      <w:pPr>
        <w:spacing w:before="5" w:line="312" w:lineRule="auto"/>
        <w:ind w:left="100" w:right="108"/>
        <w:jc w:val="both"/>
        <w:rPr>
          <w:sz w:val="16"/>
        </w:rPr>
      </w:pPr>
      <w:hyperlink r:id="rId892">
        <w:r w:rsidR="00330118">
          <w:rPr>
            <w:spacing w:val="13"/>
            <w:sz w:val="16"/>
          </w:rPr>
          <w:t xml:space="preserve">&lt;www.observatoriogeograficoamericalatina.org.mx/egal6/- </w:t>
        </w:r>
      </w:hyperlink>
      <w:r w:rsidR="00330118">
        <w:rPr>
          <w:spacing w:val="3"/>
          <w:sz w:val="16"/>
        </w:rPr>
        <w:t xml:space="preserve">Teoriaymetodo/Conceptuales/411.pdf&gt;. Acesso </w:t>
      </w:r>
      <w:r w:rsidR="00330118">
        <w:rPr>
          <w:spacing w:val="2"/>
          <w:sz w:val="16"/>
        </w:rPr>
        <w:t xml:space="preserve">em: </w:t>
      </w:r>
      <w:r w:rsidR="00330118">
        <w:rPr>
          <w:sz w:val="16"/>
        </w:rPr>
        <w:t xml:space="preserve">8 </w:t>
      </w:r>
      <w:r w:rsidR="00330118">
        <w:rPr>
          <w:spacing w:val="2"/>
          <w:sz w:val="16"/>
        </w:rPr>
        <w:t xml:space="preserve">nov. </w:t>
      </w:r>
      <w:r w:rsidR="00330118">
        <w:rPr>
          <w:spacing w:val="5"/>
          <w:sz w:val="16"/>
        </w:rPr>
        <w:t xml:space="preserve">2011. </w:t>
      </w:r>
      <w:r w:rsidR="00330118">
        <w:rPr>
          <w:spacing w:val="3"/>
          <w:sz w:val="16"/>
        </w:rPr>
        <w:t xml:space="preserve">SILVA, Sonilda Aparecida </w:t>
      </w:r>
      <w:r w:rsidR="00330118">
        <w:rPr>
          <w:spacing w:val="1"/>
          <w:sz w:val="16"/>
        </w:rPr>
        <w:t xml:space="preserve">de </w:t>
      </w:r>
      <w:r w:rsidR="00330118">
        <w:rPr>
          <w:spacing w:val="3"/>
          <w:sz w:val="16"/>
        </w:rPr>
        <w:t xml:space="preserve">Fátima. Campos Verdes: </w:t>
      </w:r>
      <w:r w:rsidR="00330118">
        <w:rPr>
          <w:spacing w:val="5"/>
          <w:sz w:val="16"/>
        </w:rPr>
        <w:t xml:space="preserve">memória, </w:t>
      </w:r>
      <w:r w:rsidR="00330118">
        <w:rPr>
          <w:sz w:val="16"/>
        </w:rPr>
        <w:t xml:space="preserve">história e saberes, Goiânia, 2006,125f. Dissertação (Mestrado em </w:t>
      </w:r>
      <w:r w:rsidR="00330118">
        <w:rPr>
          <w:spacing w:val="3"/>
          <w:sz w:val="16"/>
        </w:rPr>
        <w:t xml:space="preserve">Gestão </w:t>
      </w:r>
      <w:r w:rsidR="00330118">
        <w:rPr>
          <w:spacing w:val="1"/>
          <w:sz w:val="16"/>
        </w:rPr>
        <w:t xml:space="preserve">do </w:t>
      </w:r>
      <w:r w:rsidR="00330118">
        <w:rPr>
          <w:spacing w:val="3"/>
          <w:sz w:val="16"/>
        </w:rPr>
        <w:t xml:space="preserve">Patrimônio Cultural), Universidade Católica </w:t>
      </w:r>
      <w:r w:rsidR="00330118">
        <w:rPr>
          <w:spacing w:val="1"/>
          <w:sz w:val="16"/>
        </w:rPr>
        <w:t xml:space="preserve">de  </w:t>
      </w:r>
      <w:r w:rsidR="00330118">
        <w:rPr>
          <w:spacing w:val="5"/>
          <w:sz w:val="16"/>
        </w:rPr>
        <w:t xml:space="preserve">Goiás,  </w:t>
      </w:r>
      <w:r w:rsidR="00330118">
        <w:rPr>
          <w:spacing w:val="42"/>
          <w:sz w:val="16"/>
        </w:rPr>
        <w:t>G</w:t>
      </w:r>
      <w:r w:rsidR="00330118">
        <w:rPr>
          <w:sz w:val="16"/>
        </w:rPr>
        <w:t xml:space="preserve"> </w:t>
      </w:r>
      <w:r w:rsidR="00330118">
        <w:rPr>
          <w:spacing w:val="42"/>
          <w:sz w:val="16"/>
        </w:rPr>
        <w:t>o</w:t>
      </w:r>
      <w:r w:rsidR="00330118">
        <w:rPr>
          <w:sz w:val="16"/>
        </w:rPr>
        <w:t xml:space="preserve"> </w:t>
      </w:r>
      <w:r w:rsidR="00330118">
        <w:rPr>
          <w:spacing w:val="42"/>
          <w:sz w:val="16"/>
        </w:rPr>
        <w:t>i</w:t>
      </w:r>
      <w:r w:rsidR="00330118">
        <w:rPr>
          <w:sz w:val="16"/>
        </w:rPr>
        <w:t xml:space="preserve"> </w:t>
      </w:r>
      <w:r w:rsidR="00330118">
        <w:rPr>
          <w:spacing w:val="42"/>
          <w:sz w:val="16"/>
        </w:rPr>
        <w:t>â</w:t>
      </w:r>
      <w:r w:rsidR="00330118">
        <w:rPr>
          <w:sz w:val="16"/>
        </w:rPr>
        <w:t xml:space="preserve"> </w:t>
      </w:r>
      <w:r w:rsidR="00330118">
        <w:rPr>
          <w:spacing w:val="42"/>
          <w:sz w:val="16"/>
        </w:rPr>
        <w:t>n</w:t>
      </w:r>
      <w:r w:rsidR="00330118">
        <w:rPr>
          <w:sz w:val="16"/>
        </w:rPr>
        <w:t xml:space="preserve"> </w:t>
      </w:r>
      <w:r w:rsidR="00330118">
        <w:rPr>
          <w:spacing w:val="42"/>
          <w:sz w:val="16"/>
        </w:rPr>
        <w:t>i</w:t>
      </w:r>
      <w:r w:rsidR="00330118">
        <w:rPr>
          <w:sz w:val="16"/>
        </w:rPr>
        <w:t xml:space="preserve"> </w:t>
      </w:r>
      <w:r w:rsidR="00330118">
        <w:rPr>
          <w:spacing w:val="42"/>
          <w:sz w:val="16"/>
        </w:rPr>
        <w:t>a</w:t>
      </w:r>
      <w:r w:rsidR="00330118">
        <w:rPr>
          <w:sz w:val="16"/>
        </w:rPr>
        <w:t xml:space="preserve"> ,         </w:t>
      </w:r>
      <w:r w:rsidR="00330118">
        <w:rPr>
          <w:spacing w:val="1"/>
          <w:sz w:val="16"/>
        </w:rPr>
        <w:t xml:space="preserve"> </w:t>
      </w:r>
      <w:r w:rsidR="00330118">
        <w:rPr>
          <w:spacing w:val="42"/>
          <w:sz w:val="16"/>
        </w:rPr>
        <w:t>G</w:t>
      </w:r>
      <w:r w:rsidR="00330118">
        <w:rPr>
          <w:sz w:val="16"/>
        </w:rPr>
        <w:t xml:space="preserve"> </w:t>
      </w:r>
      <w:r w:rsidR="00330118">
        <w:rPr>
          <w:spacing w:val="42"/>
          <w:sz w:val="16"/>
        </w:rPr>
        <w:t>O</w:t>
      </w:r>
      <w:r w:rsidR="00330118">
        <w:rPr>
          <w:sz w:val="16"/>
        </w:rPr>
        <w:t xml:space="preserve"> .         </w:t>
      </w:r>
      <w:r w:rsidR="00330118">
        <w:rPr>
          <w:spacing w:val="1"/>
          <w:sz w:val="16"/>
        </w:rPr>
        <w:t xml:space="preserve"> </w:t>
      </w:r>
      <w:r w:rsidR="00330118">
        <w:rPr>
          <w:spacing w:val="42"/>
          <w:sz w:val="16"/>
        </w:rPr>
        <w:t>D</w:t>
      </w:r>
      <w:r w:rsidR="00330118">
        <w:rPr>
          <w:sz w:val="16"/>
        </w:rPr>
        <w:t xml:space="preserve"> </w:t>
      </w:r>
      <w:r w:rsidR="00330118">
        <w:rPr>
          <w:spacing w:val="42"/>
          <w:sz w:val="16"/>
        </w:rPr>
        <w:t>i</w:t>
      </w:r>
      <w:r w:rsidR="00330118">
        <w:rPr>
          <w:sz w:val="16"/>
        </w:rPr>
        <w:t xml:space="preserve"> </w:t>
      </w:r>
      <w:r w:rsidR="00330118">
        <w:rPr>
          <w:spacing w:val="42"/>
          <w:sz w:val="16"/>
        </w:rPr>
        <w:t>s</w:t>
      </w:r>
      <w:r w:rsidR="00330118">
        <w:rPr>
          <w:sz w:val="16"/>
        </w:rPr>
        <w:t xml:space="preserve"> </w:t>
      </w:r>
      <w:r w:rsidR="00330118">
        <w:rPr>
          <w:spacing w:val="42"/>
          <w:sz w:val="16"/>
        </w:rPr>
        <w:t>p</w:t>
      </w:r>
      <w:r w:rsidR="00330118">
        <w:rPr>
          <w:sz w:val="16"/>
        </w:rPr>
        <w:t xml:space="preserve"> </w:t>
      </w:r>
      <w:r w:rsidR="00330118">
        <w:rPr>
          <w:spacing w:val="42"/>
          <w:sz w:val="16"/>
        </w:rPr>
        <w:t>o</w:t>
      </w:r>
      <w:r w:rsidR="00330118">
        <w:rPr>
          <w:sz w:val="16"/>
        </w:rPr>
        <w:t xml:space="preserve"> </w:t>
      </w:r>
      <w:r w:rsidR="00330118">
        <w:rPr>
          <w:spacing w:val="42"/>
          <w:sz w:val="16"/>
        </w:rPr>
        <w:t>n</w:t>
      </w:r>
      <w:r w:rsidR="00330118">
        <w:rPr>
          <w:sz w:val="16"/>
        </w:rPr>
        <w:t xml:space="preserve"> </w:t>
      </w:r>
      <w:r w:rsidR="00330118">
        <w:rPr>
          <w:spacing w:val="42"/>
          <w:sz w:val="16"/>
        </w:rPr>
        <w:t>í</w:t>
      </w:r>
      <w:r w:rsidR="00330118">
        <w:rPr>
          <w:sz w:val="16"/>
        </w:rPr>
        <w:t xml:space="preserve"> </w:t>
      </w:r>
      <w:r w:rsidR="00330118">
        <w:rPr>
          <w:spacing w:val="42"/>
          <w:sz w:val="16"/>
        </w:rPr>
        <w:t>v</w:t>
      </w:r>
      <w:r w:rsidR="00330118">
        <w:rPr>
          <w:sz w:val="16"/>
        </w:rPr>
        <w:t xml:space="preserve"> </w:t>
      </w:r>
      <w:r w:rsidR="00330118">
        <w:rPr>
          <w:spacing w:val="42"/>
          <w:sz w:val="16"/>
        </w:rPr>
        <w:t>e</w:t>
      </w:r>
      <w:r w:rsidR="00330118">
        <w:rPr>
          <w:sz w:val="16"/>
        </w:rPr>
        <w:t xml:space="preserve"> l         </w:t>
      </w:r>
      <w:r w:rsidR="00330118">
        <w:rPr>
          <w:spacing w:val="1"/>
          <w:sz w:val="16"/>
        </w:rPr>
        <w:t xml:space="preserve"> </w:t>
      </w:r>
      <w:r w:rsidR="00330118">
        <w:rPr>
          <w:spacing w:val="42"/>
          <w:sz w:val="16"/>
        </w:rPr>
        <w:t>e</w:t>
      </w:r>
      <w:r w:rsidR="00330118">
        <w:rPr>
          <w:sz w:val="16"/>
        </w:rPr>
        <w:t xml:space="preserve"> </w:t>
      </w:r>
      <w:r w:rsidR="00330118">
        <w:rPr>
          <w:spacing w:val="42"/>
          <w:sz w:val="16"/>
        </w:rPr>
        <w:t>m</w:t>
      </w:r>
      <w:r w:rsidR="00330118">
        <w:rPr>
          <w:sz w:val="16"/>
        </w:rPr>
        <w:t xml:space="preserve"> : </w:t>
      </w:r>
      <w:r w:rsidR="00330118">
        <w:rPr>
          <w:spacing w:val="-1"/>
          <w:sz w:val="16"/>
        </w:rPr>
        <w:t xml:space="preserve"> </w:t>
      </w:r>
    </w:p>
    <w:p w:rsidR="00D81F69" w:rsidRDefault="00D81F69">
      <w:pPr>
        <w:spacing w:before="4"/>
        <w:ind w:left="100"/>
        <w:jc w:val="both"/>
        <w:rPr>
          <w:sz w:val="16"/>
        </w:rPr>
      </w:pPr>
      <w:hyperlink r:id="rId893">
        <w:r w:rsidR="00330118">
          <w:rPr>
            <w:sz w:val="16"/>
          </w:rPr>
          <w:t>&lt;http://tede.biblioteca.ucg.br/tde_busca/arquivo.php?codArquivo=471</w:t>
        </w:r>
      </w:hyperlink>
    </w:p>
    <w:p w:rsidR="00D81F69" w:rsidRDefault="00330118">
      <w:pPr>
        <w:spacing w:before="56"/>
        <w:ind w:left="100"/>
        <w:jc w:val="both"/>
        <w:rPr>
          <w:sz w:val="16"/>
        </w:rPr>
      </w:pPr>
      <w:r>
        <w:rPr>
          <w:sz w:val="16"/>
        </w:rPr>
        <w:t>&gt;. Acesso em: 22 abr. 2010.</w:t>
      </w:r>
    </w:p>
    <w:p w:rsidR="00D81F69" w:rsidRDefault="00D81F69">
      <w:pPr>
        <w:jc w:val="both"/>
        <w:rPr>
          <w:sz w:val="16"/>
        </w:rPr>
        <w:sectPr w:rsidR="00D81F69">
          <w:pgSz w:w="11900" w:h="16840"/>
          <w:pgMar w:top="740" w:right="500" w:bottom="720" w:left="620" w:header="0" w:footer="402" w:gutter="0"/>
          <w:cols w:num="2" w:space="720" w:equalWidth="0">
            <w:col w:w="5166" w:space="304"/>
            <w:col w:w="5310"/>
          </w:cols>
        </w:sectPr>
      </w:pPr>
    </w:p>
    <w:p w:rsidR="00D81F69" w:rsidRDefault="00330118">
      <w:pPr>
        <w:pStyle w:val="Heading1"/>
        <w:spacing w:line="208" w:lineRule="auto"/>
      </w:pPr>
      <w:r>
        <w:lastRenderedPageBreak/>
        <w:t xml:space="preserve">Exploração de níquel provoca danos ambientais em </w:t>
      </w:r>
      <w:r>
        <w:t>Niquelândia (GO)</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20"/>
        <w:rPr>
          <w:i/>
          <w:sz w:val="14"/>
        </w:rPr>
      </w:pPr>
      <w:r>
        <w:rPr>
          <w:i/>
          <w:sz w:val="14"/>
        </w:rPr>
        <w:t>GO - Barro Alto GO - Niquelândia</w:t>
      </w:r>
    </w:p>
    <w:p w:rsidR="00D81F69" w:rsidRDefault="00D81F69">
      <w:pPr>
        <w:pStyle w:val="Corpodetexto"/>
        <w:spacing w:before="4"/>
        <w:ind w:left="0"/>
        <w:jc w:val="left"/>
        <w:rPr>
          <w:i/>
        </w:rPr>
      </w:pPr>
    </w:p>
    <w:p w:rsidR="00D81F69" w:rsidRDefault="00330118">
      <w:pPr>
        <w:spacing w:before="1"/>
        <w:ind w:left="135"/>
        <w:rPr>
          <w:i/>
          <w:sz w:val="14"/>
        </w:rPr>
      </w:pPr>
      <w:r>
        <w:rPr>
          <w:i/>
          <w:sz w:val="14"/>
        </w:rPr>
        <w:t>LATITUDE</w:t>
      </w:r>
    </w:p>
    <w:p w:rsidR="00D81F69" w:rsidRDefault="00330118">
      <w:pPr>
        <w:spacing w:before="49"/>
        <w:ind w:left="135"/>
        <w:rPr>
          <w:i/>
          <w:sz w:val="14"/>
        </w:rPr>
      </w:pPr>
      <w:r>
        <w:rPr>
          <w:i/>
          <w:sz w:val="14"/>
        </w:rPr>
        <w:t>-14,4444</w:t>
      </w:r>
    </w:p>
    <w:p w:rsidR="00D81F69" w:rsidRDefault="00D81F69">
      <w:pPr>
        <w:pStyle w:val="Corpodetexto"/>
        <w:spacing w:before="5"/>
        <w:ind w:left="0"/>
        <w:jc w:val="left"/>
        <w:rPr>
          <w:i/>
          <w:sz w:val="22"/>
        </w:rPr>
      </w:pPr>
    </w:p>
    <w:p w:rsidR="00D81F69" w:rsidRDefault="00330118">
      <w:pPr>
        <w:spacing w:before="1"/>
        <w:ind w:left="135"/>
        <w:rPr>
          <w:i/>
          <w:sz w:val="14"/>
        </w:rPr>
      </w:pPr>
      <w:r>
        <w:rPr>
          <w:i/>
          <w:sz w:val="14"/>
        </w:rPr>
        <w:t>LONGITUDE</w:t>
      </w:r>
    </w:p>
    <w:p w:rsidR="00D81F69" w:rsidRDefault="00330118">
      <w:pPr>
        <w:spacing w:before="49"/>
        <w:ind w:left="135"/>
        <w:rPr>
          <w:i/>
          <w:sz w:val="14"/>
        </w:rPr>
      </w:pPr>
      <w:r>
        <w:rPr>
          <w:i/>
          <w:sz w:val="14"/>
        </w:rPr>
        <w:t>-48,3322</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6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Niquelândia tem uma das maiores </w:t>
      </w:r>
      <w:r>
        <w:rPr>
          <w:i/>
          <w:sz w:val="16"/>
        </w:rPr>
        <w:t>reservas de níquel do mundo. Duas empresas de grande porte são responsáveis pela exploração do metal no município: a Votorantim Metais Níquel S.A. e a Codemin S.A. A Votorantim produz carbonato de níquel, enquanto a Codemin fabrica ligas de ferro-níquel. A</w:t>
      </w:r>
      <w:r>
        <w:rPr>
          <w:i/>
          <w:sz w:val="16"/>
        </w:rPr>
        <w:t xml:space="preserve"> produção do carbonato de níquel exala amônia, apontada por sindicatos como responsável pela contaminação dos trabalhadores.</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6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95"/>
      </w:pPr>
      <w:r>
        <w:t xml:space="preserve">brasileira de níquel e única produtora de níquel eletrolítico da América Latina (VOTORANTIM METAIS, 2007a). Como subproduto da </w:t>
      </w:r>
      <w:r>
        <w:t>mineração do níquel, a empresa produz, ainda, cobalto, metal usado, dentre outras coisas, na fabricação de baterias e superligas. O cobalto produzido em Niquelândia é encaminhado para a refinaria de São Miguel Paulista (SMP), onde é produzido o cobalto ele</w:t>
      </w:r>
      <w:r>
        <w:t>trolítico (SOUZA, 2010).</w:t>
      </w:r>
    </w:p>
    <w:p w:rsidR="00D81F69" w:rsidRDefault="00330118">
      <w:pPr>
        <w:pStyle w:val="Corpodetexto"/>
        <w:spacing w:before="136" w:line="312" w:lineRule="auto"/>
        <w:ind w:left="135" w:right="212"/>
      </w:pPr>
      <w:r>
        <w:t>A segunda empresa é a Codemin S.A., pertencente ao grupo Anglo American, um dos maiores grupos de mineração do mundo. A empresa iniciou suas atividades no município em 1983, produzindo 5.000 t/ano de níquel contido na liga do ferro</w:t>
      </w:r>
      <w:r>
        <w:t>-níquel (MAGALHÃES; MARON, 2002). A empresa é proprietária do Complexo de Niquelândia-Barro Alto, formado</w:t>
      </w:r>
    </w:p>
    <w:p w:rsidR="00D81F69" w:rsidRDefault="00D81F69">
      <w:pPr>
        <w:spacing w:line="312" w:lineRule="auto"/>
        <w:sectPr w:rsidR="00D81F69">
          <w:type w:val="continuous"/>
          <w:pgSz w:w="11900" w:h="16840"/>
          <w:pgMar w:top="720" w:right="500" w:bottom="280" w:left="620" w:header="720" w:footer="720" w:gutter="0"/>
          <w:cols w:num="3" w:space="720" w:equalWidth="0">
            <w:col w:w="1257" w:space="743"/>
            <w:col w:w="3116" w:space="319"/>
            <w:col w:w="5345"/>
          </w:cols>
        </w:sectPr>
      </w:pPr>
    </w:p>
    <w:p w:rsidR="00D81F69" w:rsidRDefault="00330118">
      <w:pPr>
        <w:pStyle w:val="Heading4"/>
        <w:spacing w:before="29"/>
        <w:jc w:val="left"/>
      </w:pPr>
      <w:r>
        <w:lastRenderedPageBreak/>
        <w:t>APRESENTAÇÃO DE CASO</w:t>
      </w:r>
    </w:p>
    <w:p w:rsidR="00D81F69" w:rsidRDefault="00330118">
      <w:pPr>
        <w:pStyle w:val="Corpodetexto"/>
        <w:spacing w:before="171" w:line="312" w:lineRule="auto"/>
        <w:ind w:right="66"/>
      </w:pPr>
      <w:r>
        <w:t xml:space="preserve">A cidade de Niquelândia recebeu este nome, em 1943, em alusão às grandes reservas de </w:t>
      </w:r>
      <w:hyperlink r:id="rId894">
        <w:r>
          <w:t xml:space="preserve">níquel. </w:t>
        </w:r>
      </w:hyperlink>
      <w:r>
        <w:t>Na época, o metal era pesquisado e explorado por grupos japoneses e, principalmente, alemães, os quais acabaram expulsos da região por pressão dos americanos, que implan</w:t>
      </w:r>
      <w:r>
        <w:t>taram a Companhia Níquel de Tocantins (CNT) durante a Segunda Guerra. Com o término do conflito, a área ficou esquecida pelas grandes potências mundiais e foi comprada pelo Grupo Votorantim (CUT BRASIL, 2007).</w:t>
      </w:r>
    </w:p>
    <w:p w:rsidR="00D81F69" w:rsidRDefault="00330118">
      <w:pPr>
        <w:pStyle w:val="Corpodetexto"/>
        <w:spacing w:before="138" w:line="312" w:lineRule="auto"/>
        <w:ind w:right="56"/>
        <w:jc w:val="left"/>
      </w:pPr>
      <w:r>
        <w:t>Niquelândia possui uma área de 9.843 km² e população estimada de 42.380 habitantes (IBGE, 2010a). O município integra o Polo Mínero-Metalúrgico de Niquelândia-Barro Alto (MAGALHÃES, 2005) e conta com uma das maiores reservas de níquel do mundo, totalizando</w:t>
      </w:r>
      <w:r>
        <w:t xml:space="preserve"> cerca de 60 milhões de toneladas com um teor médio de 1,45% de níquel, que se distribuem em mais de 20 jazidas, sendo as principais: Corriola, Córrego da Fazenda, Vendinha, Angiquinho e Ribeirão do Engenho (SILVA, 2009).</w:t>
      </w:r>
    </w:p>
    <w:p w:rsidR="00D81F69" w:rsidRDefault="00330118">
      <w:pPr>
        <w:pStyle w:val="Corpodetexto"/>
        <w:spacing w:before="138" w:line="312" w:lineRule="auto"/>
        <w:ind w:right="77"/>
      </w:pPr>
      <w:r>
        <w:rPr>
          <w:spacing w:val="5"/>
        </w:rPr>
        <w:t xml:space="preserve">Duas empresas </w:t>
      </w:r>
      <w:r>
        <w:rPr>
          <w:spacing w:val="2"/>
        </w:rPr>
        <w:t xml:space="preserve">de </w:t>
      </w:r>
      <w:r>
        <w:rPr>
          <w:spacing w:val="5"/>
        </w:rPr>
        <w:t xml:space="preserve">grande porte </w:t>
      </w:r>
      <w:r>
        <w:rPr>
          <w:spacing w:val="3"/>
        </w:rPr>
        <w:t xml:space="preserve">são </w:t>
      </w:r>
      <w:r>
        <w:rPr>
          <w:spacing w:val="5"/>
        </w:rPr>
        <w:t xml:space="preserve">responsáveis </w:t>
      </w:r>
      <w:r>
        <w:rPr>
          <w:spacing w:val="6"/>
        </w:rPr>
        <w:t xml:space="preserve">pela </w:t>
      </w:r>
      <w:r>
        <w:rPr>
          <w:spacing w:val="5"/>
        </w:rPr>
        <w:t xml:space="preserve">atividade </w:t>
      </w:r>
      <w:r>
        <w:rPr>
          <w:spacing w:val="2"/>
        </w:rPr>
        <w:t xml:space="preserve">de </w:t>
      </w:r>
      <w:r>
        <w:rPr>
          <w:spacing w:val="5"/>
        </w:rPr>
        <w:t xml:space="preserve">mineração </w:t>
      </w:r>
      <w:r>
        <w:t xml:space="preserve">e </w:t>
      </w:r>
      <w:r>
        <w:rPr>
          <w:spacing w:val="5"/>
        </w:rPr>
        <w:t xml:space="preserve">metalurgia </w:t>
      </w:r>
      <w:r>
        <w:rPr>
          <w:spacing w:val="2"/>
        </w:rPr>
        <w:t xml:space="preserve">em </w:t>
      </w:r>
      <w:r>
        <w:rPr>
          <w:spacing w:val="5"/>
        </w:rPr>
        <w:t xml:space="preserve">Niquelândia. </w:t>
      </w:r>
      <w:r>
        <w:t xml:space="preserve">A primeira delas é a Votorantim Metais Níquel S.A., que iniciou </w:t>
      </w:r>
      <w:r>
        <w:rPr>
          <w:spacing w:val="1"/>
        </w:rPr>
        <w:t xml:space="preserve">suas atividades </w:t>
      </w:r>
      <w:r>
        <w:t xml:space="preserve">em </w:t>
      </w:r>
      <w:r>
        <w:rPr>
          <w:spacing w:val="1"/>
        </w:rPr>
        <w:t xml:space="preserve">1981, produzindo carbonato </w:t>
      </w:r>
      <w:r>
        <w:t xml:space="preserve">de </w:t>
      </w:r>
      <w:r>
        <w:rPr>
          <w:spacing w:val="2"/>
        </w:rPr>
        <w:t xml:space="preserve">níquel, </w:t>
      </w:r>
      <w:r>
        <w:rPr>
          <w:spacing w:val="1"/>
        </w:rPr>
        <w:t xml:space="preserve">totalmente processado </w:t>
      </w:r>
      <w:r>
        <w:t xml:space="preserve">em São </w:t>
      </w:r>
      <w:r>
        <w:rPr>
          <w:spacing w:val="1"/>
        </w:rPr>
        <w:t xml:space="preserve">Paulo, para </w:t>
      </w:r>
      <w:r>
        <w:t xml:space="preserve">a </w:t>
      </w:r>
      <w:r>
        <w:rPr>
          <w:spacing w:val="1"/>
        </w:rPr>
        <w:t xml:space="preserve">obtenção </w:t>
      </w:r>
      <w:r>
        <w:rPr>
          <w:spacing w:val="2"/>
        </w:rPr>
        <w:t xml:space="preserve">do </w:t>
      </w:r>
      <w:r>
        <w:rPr>
          <w:spacing w:val="7"/>
        </w:rPr>
        <w:t xml:space="preserve">níquel </w:t>
      </w:r>
      <w:r>
        <w:rPr>
          <w:spacing w:val="8"/>
        </w:rPr>
        <w:t>ele</w:t>
      </w:r>
      <w:r>
        <w:rPr>
          <w:spacing w:val="8"/>
        </w:rPr>
        <w:t xml:space="preserve">trolítico (VOTORANTIM </w:t>
      </w:r>
      <w:r>
        <w:rPr>
          <w:spacing w:val="7"/>
        </w:rPr>
        <w:t xml:space="preserve">METAIS, 2007a). </w:t>
      </w:r>
      <w:r>
        <w:t xml:space="preserve">A </w:t>
      </w:r>
      <w:r>
        <w:rPr>
          <w:spacing w:val="5"/>
        </w:rPr>
        <w:t xml:space="preserve">empresa </w:t>
      </w:r>
      <w:r>
        <w:t xml:space="preserve">é </w:t>
      </w:r>
      <w:r>
        <w:rPr>
          <w:spacing w:val="5"/>
        </w:rPr>
        <w:t xml:space="preserve">proprietária </w:t>
      </w:r>
      <w:r>
        <w:rPr>
          <w:spacing w:val="2"/>
        </w:rPr>
        <w:t xml:space="preserve">do </w:t>
      </w:r>
      <w:r>
        <w:rPr>
          <w:spacing w:val="5"/>
        </w:rPr>
        <w:t xml:space="preserve">Complexo </w:t>
      </w:r>
      <w:r>
        <w:rPr>
          <w:spacing w:val="6"/>
        </w:rPr>
        <w:t xml:space="preserve">Buriti-Niquelândia, </w:t>
      </w:r>
      <w:r>
        <w:rPr>
          <w:spacing w:val="3"/>
        </w:rPr>
        <w:t xml:space="preserve">localizado </w:t>
      </w:r>
      <w:r>
        <w:rPr>
          <w:spacing w:val="1"/>
        </w:rPr>
        <w:t xml:space="preserve">em </w:t>
      </w:r>
      <w:r>
        <w:rPr>
          <w:spacing w:val="3"/>
        </w:rPr>
        <w:t xml:space="preserve">Niquelândia. </w:t>
      </w:r>
      <w:r>
        <w:t xml:space="preserve">O </w:t>
      </w:r>
      <w:r>
        <w:rPr>
          <w:spacing w:val="3"/>
        </w:rPr>
        <w:t xml:space="preserve">complexo </w:t>
      </w:r>
      <w:r>
        <w:t xml:space="preserve">é </w:t>
      </w:r>
      <w:r>
        <w:rPr>
          <w:spacing w:val="3"/>
        </w:rPr>
        <w:t xml:space="preserve">constituído </w:t>
      </w:r>
      <w:r>
        <w:rPr>
          <w:spacing w:val="5"/>
        </w:rPr>
        <w:t xml:space="preserve">pela </w:t>
      </w:r>
      <w:r>
        <w:t xml:space="preserve">mina Buriti, que apresenta nove frentes de lavra a céu aberto, </w:t>
      </w:r>
      <w:r>
        <w:rPr>
          <w:spacing w:val="2"/>
        </w:rPr>
        <w:t xml:space="preserve">em </w:t>
      </w:r>
      <w:r>
        <w:rPr>
          <w:spacing w:val="3"/>
        </w:rPr>
        <w:t xml:space="preserve">uma </w:t>
      </w:r>
      <w:r>
        <w:rPr>
          <w:spacing w:val="5"/>
        </w:rPr>
        <w:t xml:space="preserve">jazida </w:t>
      </w:r>
      <w:r>
        <w:rPr>
          <w:spacing w:val="2"/>
        </w:rPr>
        <w:t xml:space="preserve">de 22 km de </w:t>
      </w:r>
      <w:r>
        <w:rPr>
          <w:spacing w:val="5"/>
        </w:rPr>
        <w:t>extensão; quatr</w:t>
      </w:r>
      <w:r>
        <w:rPr>
          <w:spacing w:val="5"/>
        </w:rPr>
        <w:t xml:space="preserve">o usinas de britagem, moagem </w:t>
      </w:r>
      <w:r>
        <w:t xml:space="preserve">e </w:t>
      </w:r>
      <w:r>
        <w:rPr>
          <w:spacing w:val="5"/>
        </w:rPr>
        <w:t xml:space="preserve">secagem </w:t>
      </w:r>
      <w:r>
        <w:rPr>
          <w:spacing w:val="2"/>
        </w:rPr>
        <w:t xml:space="preserve">do </w:t>
      </w:r>
      <w:r>
        <w:rPr>
          <w:spacing w:val="5"/>
        </w:rPr>
        <w:t xml:space="preserve">minério; </w:t>
      </w:r>
      <w:r>
        <w:t xml:space="preserve">e </w:t>
      </w:r>
      <w:r>
        <w:rPr>
          <w:spacing w:val="3"/>
        </w:rPr>
        <w:t xml:space="preserve">uma </w:t>
      </w:r>
      <w:r>
        <w:rPr>
          <w:spacing w:val="5"/>
        </w:rPr>
        <w:t>planta</w:t>
      </w:r>
      <w:r>
        <w:rPr>
          <w:spacing w:val="61"/>
        </w:rPr>
        <w:t xml:space="preserve"> </w:t>
      </w:r>
      <w:r>
        <w:t xml:space="preserve">hidrometalúrgica para produção de carbonato de níquel, ao </w:t>
      </w:r>
      <w:r>
        <w:rPr>
          <w:spacing w:val="1"/>
        </w:rPr>
        <w:t xml:space="preserve">lado </w:t>
      </w:r>
      <w:r>
        <w:t xml:space="preserve">da </w:t>
      </w:r>
      <w:r>
        <w:rPr>
          <w:spacing w:val="1"/>
        </w:rPr>
        <w:t xml:space="preserve">qual está sendo montada </w:t>
      </w:r>
      <w:r>
        <w:t xml:space="preserve">uma </w:t>
      </w:r>
      <w:r>
        <w:rPr>
          <w:spacing w:val="1"/>
        </w:rPr>
        <w:t xml:space="preserve">nova planta </w:t>
      </w:r>
      <w:r>
        <w:t xml:space="preserve">de </w:t>
      </w:r>
      <w:r>
        <w:rPr>
          <w:spacing w:val="2"/>
        </w:rPr>
        <w:t xml:space="preserve">liga </w:t>
      </w:r>
      <w:r>
        <w:rPr>
          <w:spacing w:val="6"/>
        </w:rPr>
        <w:t xml:space="preserve">ferro-níquel, </w:t>
      </w:r>
      <w:r>
        <w:rPr>
          <w:spacing w:val="5"/>
        </w:rPr>
        <w:t xml:space="preserve">com </w:t>
      </w:r>
      <w:r>
        <w:rPr>
          <w:spacing w:val="6"/>
        </w:rPr>
        <w:t xml:space="preserve">capacidade </w:t>
      </w:r>
      <w:r>
        <w:rPr>
          <w:spacing w:val="3"/>
        </w:rPr>
        <w:t xml:space="preserve">de </w:t>
      </w:r>
      <w:r>
        <w:rPr>
          <w:spacing w:val="6"/>
        </w:rPr>
        <w:t xml:space="preserve">produzir </w:t>
      </w:r>
      <w:r>
        <w:rPr>
          <w:spacing w:val="5"/>
        </w:rPr>
        <w:t xml:space="preserve">10.600 </w:t>
      </w:r>
      <w:r>
        <w:rPr>
          <w:spacing w:val="7"/>
        </w:rPr>
        <w:t xml:space="preserve">t/ano </w:t>
      </w:r>
      <w:r>
        <w:rPr>
          <w:spacing w:val="6"/>
        </w:rPr>
        <w:t xml:space="preserve">(STRAUCH </w:t>
      </w:r>
      <w:r>
        <w:rPr>
          <w:spacing w:val="3"/>
        </w:rPr>
        <w:t xml:space="preserve">et </w:t>
      </w:r>
      <w:r>
        <w:rPr>
          <w:spacing w:val="5"/>
        </w:rPr>
        <w:t xml:space="preserve">al., </w:t>
      </w:r>
      <w:r>
        <w:rPr>
          <w:spacing w:val="7"/>
        </w:rPr>
        <w:t>2011).</w:t>
      </w:r>
    </w:p>
    <w:p w:rsidR="00D81F69" w:rsidRDefault="00330118">
      <w:pPr>
        <w:pStyle w:val="Corpodetexto"/>
        <w:spacing w:before="144"/>
      </w:pPr>
      <w:r>
        <w:t>A Votorantim Metais Níquel S.A., hoje, é a maior fabricante</w:t>
      </w:r>
    </w:p>
    <w:p w:rsidR="00D81F69" w:rsidRDefault="00330118">
      <w:pPr>
        <w:pStyle w:val="Corpodetexto"/>
        <w:spacing w:before="6" w:line="312" w:lineRule="auto"/>
        <w:ind w:right="232"/>
        <w:jc w:val="left"/>
      </w:pPr>
      <w:r>
        <w:br w:type="column"/>
      </w:r>
      <w:r>
        <w:lastRenderedPageBreak/>
        <w:t>por uma mina a céu aberto, em Barro Alto (STRAUCH et al., 2011), município vizinho a Niquelândia, com 1.093,247 km² e 8.716 habitantes (IBGE, 2010b). A mina é lavrada em seis frentes. Apenas três</w:t>
      </w:r>
      <w:r>
        <w:t xml:space="preserve"> destas frentes, no entanto, alimentam com minério a planta de liga ferro-níquel da empresa, localizada em Niquelândia (STRAUCH et al., 2011).</w:t>
      </w:r>
    </w:p>
    <w:p w:rsidR="00D81F69" w:rsidRDefault="00330118">
      <w:pPr>
        <w:pStyle w:val="Corpodetexto"/>
        <w:spacing w:before="135" w:line="312" w:lineRule="auto"/>
        <w:ind w:right="205"/>
      </w:pPr>
      <w:r>
        <w:t>A Anglo American tem um outro empreendimento no município, o Projeto Barro Alto, que visa aumentar a capacidade d</w:t>
      </w:r>
      <w:r>
        <w:t>e produção de níquel da empresa no Brasil. A iniciativa foi aprovada em 2006, e sua implantação começou em 2007 (STRAUCH et al,, 2011).</w:t>
      </w:r>
    </w:p>
    <w:p w:rsidR="00D81F69" w:rsidRDefault="00330118">
      <w:pPr>
        <w:pStyle w:val="Corpodetexto"/>
        <w:spacing w:before="135" w:line="312" w:lineRule="auto"/>
        <w:ind w:right="212"/>
      </w:pPr>
      <w:r>
        <w:t>No processo de produção do carbonato de níquel, o metal é britado, blendado [homogeneizado] e seco. Em seguida, é coloca</w:t>
      </w:r>
      <w:r>
        <w:t>do em fornos de redução que metalizam o minério e o preparam para a fase de lixiviação, que é feita à base de amônia (VOTORANTIM METAIS, 2007b).</w:t>
      </w:r>
    </w:p>
    <w:p w:rsidR="00D81F69" w:rsidRDefault="00330118">
      <w:pPr>
        <w:pStyle w:val="Corpodetexto"/>
        <w:spacing w:before="134" w:line="312" w:lineRule="auto"/>
        <w:ind w:right="156"/>
      </w:pPr>
      <w:r>
        <w:t xml:space="preserve">Durante o processo de fabricação de carbonato de níquel, é gerado um rejeito, na forma de polpa, que contém de </w:t>
      </w:r>
      <w:r>
        <w:t xml:space="preserve">45% a 48% de sólidos, e que posteriormente é lançado em um canal que o conduz para a disposição final na barragem do Jacuba. Construída em 1986, a barragem foi concebida para ter sua </w:t>
      </w:r>
      <w:r>
        <w:rPr>
          <w:spacing w:val="8"/>
        </w:rPr>
        <w:t xml:space="preserve">capacidade </w:t>
      </w:r>
      <w:r>
        <w:rPr>
          <w:spacing w:val="7"/>
        </w:rPr>
        <w:t xml:space="preserve">expandida </w:t>
      </w:r>
      <w:r>
        <w:rPr>
          <w:spacing w:val="8"/>
        </w:rPr>
        <w:t xml:space="preserve">progressivamente </w:t>
      </w:r>
      <w:r>
        <w:rPr>
          <w:spacing w:val="5"/>
        </w:rPr>
        <w:t xml:space="preserve">por </w:t>
      </w:r>
      <w:r>
        <w:rPr>
          <w:spacing w:val="6"/>
        </w:rPr>
        <w:t xml:space="preserve">meio </w:t>
      </w:r>
      <w:r>
        <w:rPr>
          <w:spacing w:val="10"/>
        </w:rPr>
        <w:t xml:space="preserve">de </w:t>
      </w:r>
      <w:r>
        <w:t>alteamentos sucessivos. O mais recente deles foi concluído em 2007, o que estendeu sua vida útil até o ano de 2011. A barragem do Jacuba recebe, anualmente, 1,8 milhão de m³ de material (MINÉRIOS &amp; MINERALES,</w:t>
      </w:r>
      <w:r>
        <w:rPr>
          <w:spacing w:val="10"/>
        </w:rPr>
        <w:t xml:space="preserve"> </w:t>
      </w:r>
      <w:r>
        <w:t>2009).</w:t>
      </w:r>
    </w:p>
    <w:p w:rsidR="00D81F69" w:rsidRDefault="00330118">
      <w:pPr>
        <w:pStyle w:val="Corpodetexto"/>
        <w:spacing w:before="140" w:line="312" w:lineRule="auto"/>
        <w:ind w:right="196"/>
      </w:pPr>
      <w:r>
        <w:t>Além desse rejeito, a produção do carbon</w:t>
      </w:r>
      <w:r>
        <w:t xml:space="preserve">ato de níquel exala amônia (NH3), um composto químico que pode causar irritação e corrosão da superfície dos olhos, nariz e garganta; tosse, edema pulmonar, espasmos e, por fim, a morte pela falência do sistema respiratório (asfixia). Um fator agravante é </w:t>
      </w:r>
      <w:r>
        <w:t>que, com o tempo, o indivíduo exposto não mais sente o cheiro do composto químico e, assim, não percebe o perigo eminente (CUT BRASIL, 2007).</w:t>
      </w:r>
    </w:p>
    <w:p w:rsidR="00D81F69" w:rsidRDefault="00330118">
      <w:pPr>
        <w:pStyle w:val="Corpodetexto"/>
        <w:spacing w:before="137"/>
      </w:pPr>
      <w:r>
        <w:t>A Anglo American alega que suas emissões químicas estão</w:t>
      </w:r>
    </w:p>
    <w:p w:rsidR="00D81F69" w:rsidRDefault="00D81F69">
      <w:pPr>
        <w:sectPr w:rsidR="00D81F69">
          <w:type w:val="continuous"/>
          <w:pgSz w:w="11900" w:h="16840"/>
          <w:pgMar w:top="720" w:right="500" w:bottom="280" w:left="620" w:header="720" w:footer="720" w:gutter="0"/>
          <w:cols w:num="2" w:space="720" w:equalWidth="0">
            <w:col w:w="5199" w:space="271"/>
            <w:col w:w="5310"/>
          </w:cols>
        </w:sectPr>
      </w:pPr>
    </w:p>
    <w:p w:rsidR="00D81F69" w:rsidRDefault="00330118">
      <w:pPr>
        <w:pStyle w:val="Corpodetexto"/>
        <w:spacing w:before="81" w:line="312" w:lineRule="auto"/>
        <w:ind w:right="60"/>
      </w:pPr>
      <w:r>
        <w:lastRenderedPageBreak/>
        <w:t>dentro dos padrões regulamentar</w:t>
      </w:r>
      <w:r>
        <w:t xml:space="preserve">es, o que poderia ser averiguado pela ausência de autuações, e afirma produzir relatórios para o órgão ambiental (RELATÓRIO PARA A SOCIEDADE, 2008). Da mesma forma, a Votorantim Metais assegura que faz uso controlado e responsável da amônia e sustenta que </w:t>
      </w:r>
      <w:r>
        <w:t>o gás não é cumulativo no organismo, nem provoca câncer (DIÁRIO DO NORTE, 2007b).</w:t>
      </w:r>
    </w:p>
    <w:p w:rsidR="00D81F69" w:rsidRDefault="00330118">
      <w:pPr>
        <w:pStyle w:val="Corpodetexto"/>
        <w:spacing w:before="136" w:line="312" w:lineRule="auto"/>
        <w:ind w:right="38"/>
      </w:pPr>
      <w:r>
        <w:t xml:space="preserve">Em 19 de </w:t>
      </w:r>
      <w:r>
        <w:rPr>
          <w:spacing w:val="1"/>
        </w:rPr>
        <w:t xml:space="preserve">outubro </w:t>
      </w:r>
      <w:r>
        <w:t xml:space="preserve">de </w:t>
      </w:r>
      <w:r>
        <w:rPr>
          <w:spacing w:val="1"/>
        </w:rPr>
        <w:t xml:space="preserve">2007, </w:t>
      </w:r>
      <w:r>
        <w:t xml:space="preserve">o </w:t>
      </w:r>
      <w:r>
        <w:rPr>
          <w:spacing w:val="1"/>
        </w:rPr>
        <w:t xml:space="preserve">Sindicato </w:t>
      </w:r>
      <w:r>
        <w:t xml:space="preserve">dos </w:t>
      </w:r>
      <w:r>
        <w:rPr>
          <w:spacing w:val="2"/>
        </w:rPr>
        <w:t xml:space="preserve">Trabalhadores </w:t>
      </w:r>
      <w:r>
        <w:t xml:space="preserve">nas Indústrias Extrativistas de Niquelândia (Sitien)  realizou </w:t>
      </w:r>
      <w:r>
        <w:rPr>
          <w:spacing w:val="1"/>
        </w:rPr>
        <w:t xml:space="preserve">um </w:t>
      </w:r>
      <w:r>
        <w:rPr>
          <w:spacing w:val="3"/>
        </w:rPr>
        <w:t xml:space="preserve">encontro </w:t>
      </w:r>
      <w:r>
        <w:rPr>
          <w:spacing w:val="2"/>
        </w:rPr>
        <w:t xml:space="preserve">para </w:t>
      </w:r>
      <w:r>
        <w:rPr>
          <w:spacing w:val="3"/>
        </w:rPr>
        <w:t xml:space="preserve">reivindicar </w:t>
      </w:r>
      <w:r>
        <w:t xml:space="preserve">o </w:t>
      </w:r>
      <w:r>
        <w:rPr>
          <w:spacing w:val="2"/>
        </w:rPr>
        <w:t xml:space="preserve">fim </w:t>
      </w:r>
      <w:r>
        <w:rPr>
          <w:spacing w:val="1"/>
        </w:rPr>
        <w:t xml:space="preserve">do </w:t>
      </w:r>
      <w:r>
        <w:rPr>
          <w:spacing w:val="2"/>
        </w:rPr>
        <w:t xml:space="preserve">uso </w:t>
      </w:r>
      <w:r>
        <w:rPr>
          <w:spacing w:val="1"/>
        </w:rPr>
        <w:t xml:space="preserve">da </w:t>
      </w:r>
      <w:r>
        <w:rPr>
          <w:spacing w:val="3"/>
        </w:rPr>
        <w:t xml:space="preserve">amônia </w:t>
      </w:r>
      <w:r>
        <w:rPr>
          <w:spacing w:val="5"/>
        </w:rPr>
        <w:t xml:space="preserve">no </w:t>
      </w:r>
      <w:r>
        <w:rPr>
          <w:spacing w:val="1"/>
        </w:rPr>
        <w:t xml:space="preserve">processo </w:t>
      </w:r>
      <w:r>
        <w:t xml:space="preserve">de </w:t>
      </w:r>
      <w:r>
        <w:rPr>
          <w:spacing w:val="1"/>
        </w:rPr>
        <w:t xml:space="preserve">mineração </w:t>
      </w:r>
      <w:r>
        <w:t xml:space="preserve">da </w:t>
      </w:r>
      <w:r>
        <w:rPr>
          <w:spacing w:val="1"/>
        </w:rPr>
        <w:t xml:space="preserve">empresa. Durante </w:t>
      </w:r>
      <w:r>
        <w:t xml:space="preserve">o </w:t>
      </w:r>
      <w:r>
        <w:rPr>
          <w:spacing w:val="1"/>
        </w:rPr>
        <w:t xml:space="preserve">evento, </w:t>
      </w:r>
      <w:r>
        <w:rPr>
          <w:spacing w:val="2"/>
        </w:rPr>
        <w:t xml:space="preserve">os </w:t>
      </w:r>
      <w:r>
        <w:rPr>
          <w:spacing w:val="1"/>
        </w:rPr>
        <w:t xml:space="preserve">sindicalistas alegaram </w:t>
      </w:r>
      <w:r>
        <w:t xml:space="preserve">que a </w:t>
      </w:r>
      <w:r>
        <w:rPr>
          <w:spacing w:val="1"/>
        </w:rPr>
        <w:t xml:space="preserve">amônia </w:t>
      </w:r>
      <w:r>
        <w:t xml:space="preserve">já </w:t>
      </w:r>
      <w:r>
        <w:rPr>
          <w:spacing w:val="1"/>
        </w:rPr>
        <w:t xml:space="preserve">causou </w:t>
      </w:r>
      <w:r>
        <w:t xml:space="preserve">a </w:t>
      </w:r>
      <w:r>
        <w:rPr>
          <w:spacing w:val="1"/>
        </w:rPr>
        <w:t xml:space="preserve">morte </w:t>
      </w:r>
      <w:r>
        <w:rPr>
          <w:spacing w:val="2"/>
        </w:rPr>
        <w:t xml:space="preserve">de </w:t>
      </w:r>
      <w:r>
        <w:rPr>
          <w:spacing w:val="6"/>
        </w:rPr>
        <w:t xml:space="preserve">mais </w:t>
      </w:r>
      <w:r>
        <w:rPr>
          <w:spacing w:val="5"/>
        </w:rPr>
        <w:t xml:space="preserve">de 50 </w:t>
      </w:r>
      <w:r>
        <w:rPr>
          <w:spacing w:val="8"/>
        </w:rPr>
        <w:t xml:space="preserve">trabalhadores </w:t>
      </w:r>
      <w:r>
        <w:rPr>
          <w:spacing w:val="7"/>
        </w:rPr>
        <w:t xml:space="preserve">(AGÊNCIA CÂMARA, </w:t>
      </w:r>
      <w:r>
        <w:rPr>
          <w:spacing w:val="10"/>
        </w:rPr>
        <w:t xml:space="preserve">2007; </w:t>
      </w:r>
      <w:r>
        <w:rPr>
          <w:spacing w:val="7"/>
        </w:rPr>
        <w:t xml:space="preserve">DIÁRIO </w:t>
      </w:r>
      <w:r>
        <w:rPr>
          <w:spacing w:val="5"/>
        </w:rPr>
        <w:t xml:space="preserve">DO </w:t>
      </w:r>
      <w:r>
        <w:rPr>
          <w:spacing w:val="7"/>
        </w:rPr>
        <w:t>NORTE,</w:t>
      </w:r>
      <w:r>
        <w:rPr>
          <w:spacing w:val="25"/>
        </w:rPr>
        <w:t xml:space="preserve"> </w:t>
      </w:r>
      <w:r>
        <w:rPr>
          <w:spacing w:val="10"/>
        </w:rPr>
        <w:t>2007a).</w:t>
      </w:r>
    </w:p>
    <w:p w:rsidR="00D81F69" w:rsidRDefault="00330118">
      <w:pPr>
        <w:pStyle w:val="Corpodetexto"/>
        <w:spacing w:before="137" w:line="312" w:lineRule="auto"/>
        <w:ind w:right="46"/>
      </w:pPr>
      <w:r>
        <w:t xml:space="preserve">O </w:t>
      </w:r>
      <w:r>
        <w:rPr>
          <w:spacing w:val="3"/>
        </w:rPr>
        <w:t xml:space="preserve">debate sobre </w:t>
      </w:r>
      <w:r>
        <w:t xml:space="preserve">o </w:t>
      </w:r>
      <w:r>
        <w:rPr>
          <w:spacing w:val="3"/>
        </w:rPr>
        <w:t xml:space="preserve">efeito </w:t>
      </w:r>
      <w:r>
        <w:rPr>
          <w:spacing w:val="1"/>
        </w:rPr>
        <w:t xml:space="preserve">da </w:t>
      </w:r>
      <w:r>
        <w:rPr>
          <w:spacing w:val="3"/>
        </w:rPr>
        <w:t xml:space="preserve">amônia chegou </w:t>
      </w:r>
      <w:r>
        <w:rPr>
          <w:spacing w:val="1"/>
        </w:rPr>
        <w:t xml:space="preserve">ao </w:t>
      </w:r>
      <w:r>
        <w:rPr>
          <w:spacing w:val="5"/>
        </w:rPr>
        <w:t xml:space="preserve">Congresso </w:t>
      </w:r>
      <w:r>
        <w:rPr>
          <w:spacing w:val="3"/>
        </w:rPr>
        <w:t xml:space="preserve">Nacional. </w:t>
      </w:r>
      <w:r>
        <w:rPr>
          <w:spacing w:val="1"/>
        </w:rPr>
        <w:t xml:space="preserve">Em </w:t>
      </w:r>
      <w:r>
        <w:t xml:space="preserve">6 </w:t>
      </w:r>
      <w:r>
        <w:rPr>
          <w:spacing w:val="1"/>
        </w:rPr>
        <w:t>de</w:t>
      </w:r>
      <w:r>
        <w:rPr>
          <w:spacing w:val="1"/>
        </w:rPr>
        <w:t xml:space="preserve"> </w:t>
      </w:r>
      <w:r>
        <w:rPr>
          <w:spacing w:val="3"/>
        </w:rPr>
        <w:t xml:space="preserve">dezembro </w:t>
      </w:r>
      <w:r>
        <w:rPr>
          <w:spacing w:val="1"/>
        </w:rPr>
        <w:t xml:space="preserve">de </w:t>
      </w:r>
      <w:r>
        <w:rPr>
          <w:spacing w:val="3"/>
        </w:rPr>
        <w:t xml:space="preserve">2007, </w:t>
      </w:r>
      <w:r>
        <w:t xml:space="preserve">a </w:t>
      </w:r>
      <w:r>
        <w:rPr>
          <w:spacing w:val="3"/>
        </w:rPr>
        <w:t xml:space="preserve">Câmara </w:t>
      </w:r>
      <w:r>
        <w:rPr>
          <w:spacing w:val="5"/>
        </w:rPr>
        <w:t xml:space="preserve">realizou </w:t>
      </w:r>
      <w:r>
        <w:t xml:space="preserve">uma </w:t>
      </w:r>
      <w:r>
        <w:rPr>
          <w:spacing w:val="1"/>
        </w:rPr>
        <w:t xml:space="preserve">audiência sobre </w:t>
      </w:r>
      <w:r>
        <w:t xml:space="preserve">o </w:t>
      </w:r>
      <w:r>
        <w:rPr>
          <w:spacing w:val="1"/>
        </w:rPr>
        <w:t xml:space="preserve">tema, </w:t>
      </w:r>
      <w:r>
        <w:t xml:space="preserve">e os </w:t>
      </w:r>
      <w:r>
        <w:rPr>
          <w:spacing w:val="1"/>
        </w:rPr>
        <w:t xml:space="preserve">debatedores </w:t>
      </w:r>
      <w:r>
        <w:rPr>
          <w:spacing w:val="2"/>
        </w:rPr>
        <w:t xml:space="preserve">divergiram </w:t>
      </w:r>
      <w:r>
        <w:rPr>
          <w:spacing w:val="1"/>
        </w:rPr>
        <w:t xml:space="preserve">sobre seus efeitos: </w:t>
      </w:r>
      <w:r>
        <w:t xml:space="preserve">o </w:t>
      </w:r>
      <w:r>
        <w:rPr>
          <w:spacing w:val="1"/>
        </w:rPr>
        <w:t xml:space="preserve">representante </w:t>
      </w:r>
      <w:r>
        <w:t xml:space="preserve">da </w:t>
      </w:r>
      <w:r>
        <w:rPr>
          <w:spacing w:val="1"/>
        </w:rPr>
        <w:t xml:space="preserve">Votorantim </w:t>
      </w:r>
      <w:r>
        <w:rPr>
          <w:spacing w:val="2"/>
        </w:rPr>
        <w:t xml:space="preserve">afirmou </w:t>
      </w:r>
      <w:r>
        <w:t xml:space="preserve">não existir na literatura técnica nenhum estudo que comprove o efeito cancerígeno ou mutante do seu contato com o corpo humano, sendo reversíveis os efeitos, exceto nos casos de </w:t>
      </w:r>
      <w:r>
        <w:rPr>
          <w:spacing w:val="5"/>
        </w:rPr>
        <w:t xml:space="preserve">queimaduras; explicou ainda que, para </w:t>
      </w:r>
      <w:r>
        <w:rPr>
          <w:spacing w:val="3"/>
        </w:rPr>
        <w:t xml:space="preserve">que </w:t>
      </w:r>
      <w:r>
        <w:t xml:space="preserve">o </w:t>
      </w:r>
      <w:r>
        <w:rPr>
          <w:spacing w:val="5"/>
        </w:rPr>
        <w:t xml:space="preserve">cheiro </w:t>
      </w:r>
      <w:r>
        <w:rPr>
          <w:spacing w:val="6"/>
        </w:rPr>
        <w:t xml:space="preserve">da </w:t>
      </w:r>
      <w:r>
        <w:rPr>
          <w:spacing w:val="3"/>
        </w:rPr>
        <w:t xml:space="preserve">amônia comece </w:t>
      </w:r>
      <w:r>
        <w:t xml:space="preserve">a </w:t>
      </w:r>
      <w:r>
        <w:rPr>
          <w:spacing w:val="2"/>
        </w:rPr>
        <w:t xml:space="preserve">ser </w:t>
      </w:r>
      <w:r>
        <w:rPr>
          <w:spacing w:val="3"/>
        </w:rPr>
        <w:t>sent</w:t>
      </w:r>
      <w:r>
        <w:rPr>
          <w:spacing w:val="3"/>
        </w:rPr>
        <w:t xml:space="preserve">ido </w:t>
      </w:r>
      <w:r>
        <w:rPr>
          <w:spacing w:val="1"/>
        </w:rPr>
        <w:t xml:space="preserve">no </w:t>
      </w:r>
      <w:r>
        <w:rPr>
          <w:spacing w:val="3"/>
        </w:rPr>
        <w:t xml:space="preserve">ambiente, </w:t>
      </w:r>
      <w:r>
        <w:t xml:space="preserve">é </w:t>
      </w:r>
      <w:r>
        <w:rPr>
          <w:spacing w:val="5"/>
        </w:rPr>
        <w:t xml:space="preserve">necessário haver </w:t>
      </w:r>
      <w:r>
        <w:t xml:space="preserve">5 </w:t>
      </w:r>
      <w:r>
        <w:rPr>
          <w:spacing w:val="6"/>
        </w:rPr>
        <w:t xml:space="preserve">partículas </w:t>
      </w:r>
      <w:r>
        <w:rPr>
          <w:spacing w:val="5"/>
        </w:rPr>
        <w:t xml:space="preserve">por milhão (ppm) </w:t>
      </w:r>
      <w:r>
        <w:rPr>
          <w:spacing w:val="3"/>
        </w:rPr>
        <w:t xml:space="preserve">do </w:t>
      </w:r>
      <w:r>
        <w:rPr>
          <w:spacing w:val="6"/>
        </w:rPr>
        <w:t xml:space="preserve">composto, </w:t>
      </w:r>
      <w:r>
        <w:t xml:space="preserve">e o Ministério do Trabalho permite a exposição das pessoas a 20 ppm por até 48 horas semanais Por outro lado, o presidente da </w:t>
      </w:r>
      <w:r>
        <w:rPr>
          <w:spacing w:val="1"/>
        </w:rPr>
        <w:t xml:space="preserve">Confederação Nacional </w:t>
      </w:r>
      <w:r>
        <w:t xml:space="preserve">dos </w:t>
      </w:r>
      <w:r>
        <w:rPr>
          <w:spacing w:val="1"/>
        </w:rPr>
        <w:t xml:space="preserve">Trabalhadores </w:t>
      </w:r>
      <w:r>
        <w:t xml:space="preserve">na </w:t>
      </w:r>
      <w:r>
        <w:rPr>
          <w:spacing w:val="2"/>
        </w:rPr>
        <w:t>Indústri</w:t>
      </w:r>
      <w:r>
        <w:rPr>
          <w:spacing w:val="2"/>
        </w:rPr>
        <w:t xml:space="preserve">a </w:t>
      </w:r>
      <w:r>
        <w:rPr>
          <w:spacing w:val="3"/>
        </w:rPr>
        <w:t xml:space="preserve">(CNTI) manifestou dúvidas quanto </w:t>
      </w:r>
      <w:r>
        <w:t xml:space="preserve">à </w:t>
      </w:r>
      <w:r>
        <w:rPr>
          <w:spacing w:val="3"/>
        </w:rPr>
        <w:t xml:space="preserve">declaração </w:t>
      </w:r>
      <w:r>
        <w:rPr>
          <w:spacing w:val="1"/>
        </w:rPr>
        <w:t xml:space="preserve">de </w:t>
      </w:r>
      <w:r>
        <w:rPr>
          <w:spacing w:val="2"/>
        </w:rPr>
        <w:t xml:space="preserve">que </w:t>
      </w:r>
      <w:r>
        <w:t>a amônia não se acumula no organismo (AGÊNCIA CÂMARA, 2007; DIÁRIO DO NORTE,</w:t>
      </w:r>
      <w:r>
        <w:rPr>
          <w:spacing w:val="47"/>
        </w:rPr>
        <w:t xml:space="preserve"> </w:t>
      </w:r>
      <w:r>
        <w:t>2007a).</w:t>
      </w:r>
    </w:p>
    <w:p w:rsidR="00D81F69" w:rsidRDefault="00330118">
      <w:pPr>
        <w:pStyle w:val="Corpodetexto"/>
        <w:spacing w:before="145" w:line="312" w:lineRule="auto"/>
        <w:ind w:right="39"/>
      </w:pPr>
      <w:r>
        <w:t>Apesar da resistência dos sindicalistas, as duas empresas que atuam em Niquelândia continuam investindo em suas plantas. A Votorantim Metais expandiu sua capacidade de produção de 10 mil toneladas anuais, em 1992, para 21 mil toneladas anuais, em 2003 (REV</w:t>
      </w:r>
      <w:r>
        <w:t>ISTA METAIS &amp; FUNDIÇÃO BRASIL, 2004). Além disso, a empresa concebeu, conforme mencionado anteriormente, o Projeto Ferro- Níquel/Niquelândia. A nova planta de ferro-níquel tem capacidade de produção de 10.600 toneladas de níquel contido/ano, e exigirá inve</w:t>
      </w:r>
      <w:r>
        <w:t>stimentos da ordem de R$ 558 milhões (MINÉRIOS &amp; MINERALES, 2009).</w:t>
      </w:r>
    </w:p>
    <w:p w:rsidR="00D81F69" w:rsidRDefault="00330118">
      <w:pPr>
        <w:pStyle w:val="Corpodetexto"/>
        <w:spacing w:before="140" w:line="312" w:lineRule="auto"/>
        <w:ind w:right="60"/>
      </w:pPr>
      <w:r>
        <w:t>Originalmente, a Votorantim Metais pretendia inaugurar a nova unidade em 2009. A crise mundial, contudo, mudou os planos da empresa, que decidiu paralisar a construção da planta. No entanto</w:t>
      </w:r>
      <w:r>
        <w:t>, a Votorantim concluiu a instalação de uma caldeira a coque, com investimento estimado em R$ 180 milhões, na planta localizada no Povoado Macedo, em</w:t>
      </w:r>
    </w:p>
    <w:p w:rsidR="00D81F69" w:rsidRDefault="00330118">
      <w:pPr>
        <w:pStyle w:val="Corpodetexto"/>
        <w:spacing w:before="81" w:line="312" w:lineRule="auto"/>
        <w:ind w:right="216"/>
      </w:pPr>
      <w:r>
        <w:br w:type="column"/>
      </w:r>
      <w:r>
        <w:lastRenderedPageBreak/>
        <w:t xml:space="preserve">de níquel nos cinco anos de produção máxima para que a iniciativa contribua para o aumento de 50% no seu </w:t>
      </w:r>
      <w:r>
        <w:t>volume de produção até 2015 (BRASIL MINERAL, 2011).</w:t>
      </w:r>
    </w:p>
    <w:p w:rsidR="00D81F69" w:rsidRDefault="00330118">
      <w:pPr>
        <w:pStyle w:val="Corpodetexto"/>
        <w:spacing w:before="133" w:line="312" w:lineRule="auto"/>
        <w:ind w:right="192"/>
      </w:pPr>
      <w:r>
        <w:t>O projeto é considerado sustentável, pois a empresa criou um circuito fechado que limita a captação de água nova a 5% e reutiliza água da chuva, o que reduz o consumo de água. A Anglo American, desde o in</w:t>
      </w:r>
      <w:r>
        <w:t>ício do projeto, vem investindo em iniciativas de preservação ambiental e de infraestrutura básica da cidade, como escolas e hospital, programas de treinamento para professores e cursos profissionalizantes, dentre outros (BRASIL MINERAL, 2011).</w:t>
      </w:r>
    </w:p>
    <w:p w:rsidR="00D81F69" w:rsidRDefault="00330118">
      <w:pPr>
        <w:pStyle w:val="Corpodetexto"/>
        <w:spacing w:before="137" w:line="312" w:lineRule="auto"/>
        <w:ind w:right="214"/>
      </w:pPr>
      <w:r>
        <w:t>A reativaçã</w:t>
      </w:r>
      <w:r>
        <w:t>o do Projeto Ferro-Níquel deverá ser definida até o final de 2011, e o investimento trará, aproximadamente, R$ 400 milhões para os cofres goianos (ARAÚJO, 2011).</w:t>
      </w:r>
    </w:p>
    <w:p w:rsidR="00D81F69" w:rsidRDefault="00D81F69">
      <w:pPr>
        <w:pStyle w:val="Corpodetexto"/>
        <w:spacing w:before="2"/>
        <w:ind w:left="0"/>
        <w:jc w:val="left"/>
        <w:rPr>
          <w:sz w:val="21"/>
        </w:rPr>
      </w:pPr>
    </w:p>
    <w:p w:rsidR="00D81F69" w:rsidRDefault="00330118">
      <w:pPr>
        <w:pStyle w:val="Heading7"/>
        <w:spacing w:before="1"/>
      </w:pPr>
      <w:r>
        <w:t>LOCALIZAÇÃO GEOGRÁFICA</w:t>
      </w:r>
    </w:p>
    <w:p w:rsidR="00D81F69" w:rsidRDefault="00330118">
      <w:pPr>
        <w:pStyle w:val="Corpodetexto"/>
        <w:spacing w:before="178" w:line="312" w:lineRule="auto"/>
        <w:ind w:right="205"/>
      </w:pPr>
      <w:r>
        <w:t>As ocorrências de níquel do município de Niquelândia estão localizadas</w:t>
      </w:r>
      <w:r>
        <w:t xml:space="preserve"> na bacia do rio Tocantins, próximo ao rio Bilhágua. As minas estão compreendidas entre as latitudes 14°26’40”S – 14°4’11”S e longitudes 48°19’56”W –</w:t>
      </w:r>
    </w:p>
    <w:p w:rsidR="00D81F69" w:rsidRDefault="00330118">
      <w:pPr>
        <w:pStyle w:val="Corpodetexto"/>
        <w:spacing w:before="4"/>
      </w:pPr>
      <w:r>
        <w:t>48°26’42”W.</w:t>
      </w:r>
    </w:p>
    <w:p w:rsidR="00D81F69" w:rsidRDefault="00D81F69">
      <w:pPr>
        <w:pStyle w:val="Corpodetexto"/>
        <w:ind w:left="0"/>
        <w:jc w:val="left"/>
        <w:rPr>
          <w:sz w:val="20"/>
        </w:rPr>
      </w:pPr>
    </w:p>
    <w:p w:rsidR="00D81F69" w:rsidRDefault="00330118">
      <w:pPr>
        <w:pStyle w:val="Heading7"/>
        <w:spacing w:before="164"/>
      </w:pPr>
      <w:r>
        <w:t>REDATORES</w:t>
      </w:r>
    </w:p>
    <w:p w:rsidR="00D81F69" w:rsidRDefault="00330118">
      <w:pPr>
        <w:pStyle w:val="Corpodetexto"/>
        <w:spacing w:before="179"/>
      </w:pPr>
      <w:r>
        <w:t>Jefferson Guedes</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197"/>
        <w:jc w:val="both"/>
        <w:rPr>
          <w:sz w:val="16"/>
        </w:rPr>
      </w:pPr>
      <w:r>
        <w:rPr>
          <w:sz w:val="16"/>
        </w:rPr>
        <w:t>AGÊNCIA CÂMARA. Debatedores divergem s</w:t>
      </w:r>
      <w:r>
        <w:rPr>
          <w:sz w:val="16"/>
        </w:rPr>
        <w:t>obre efeito da amônia em mineradores. Câmara dos Deputados Website, Brasília, 06 dez.</w:t>
      </w:r>
    </w:p>
    <w:p w:rsidR="00D81F69" w:rsidRDefault="00330118">
      <w:pPr>
        <w:tabs>
          <w:tab w:val="left" w:pos="1785"/>
          <w:tab w:val="left" w:pos="4548"/>
        </w:tabs>
        <w:spacing w:before="2"/>
        <w:ind w:left="100"/>
        <w:jc w:val="both"/>
        <w:rPr>
          <w:sz w:val="16"/>
        </w:rPr>
      </w:pPr>
      <w:r>
        <w:rPr>
          <w:sz w:val="16"/>
        </w:rPr>
        <w:t xml:space="preserve">2   0   0  </w:t>
      </w:r>
      <w:r>
        <w:rPr>
          <w:spacing w:val="35"/>
          <w:sz w:val="16"/>
        </w:rPr>
        <w:t xml:space="preserve"> </w:t>
      </w:r>
      <w:r>
        <w:rPr>
          <w:sz w:val="16"/>
        </w:rPr>
        <w:t xml:space="preserve">7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14"/>
        <w:jc w:val="both"/>
        <w:rPr>
          <w:sz w:val="16"/>
        </w:rPr>
      </w:pPr>
      <w:hyperlink r:id="rId895">
        <w:r w:rsidR="00330118">
          <w:rPr>
            <w:sz w:val="16"/>
          </w:rPr>
          <w:t>&lt;</w:t>
        </w:r>
        <w:r w:rsidR="00330118">
          <w:rPr>
            <w:sz w:val="16"/>
          </w:rPr>
          <w:t xml:space="preserve">http://www2.camara.gov.br/agencia/noticias/115063.html&gt;. </w:t>
        </w:r>
      </w:hyperlink>
      <w:r w:rsidR="00330118">
        <w:rPr>
          <w:sz w:val="16"/>
        </w:rPr>
        <w:t>Acesso em: 08 ago.2010</w:t>
      </w:r>
    </w:p>
    <w:p w:rsidR="00D81F69" w:rsidRDefault="00330118">
      <w:pPr>
        <w:spacing w:before="1" w:line="312" w:lineRule="auto"/>
        <w:ind w:left="100" w:right="205"/>
        <w:jc w:val="both"/>
        <w:rPr>
          <w:sz w:val="16"/>
        </w:rPr>
      </w:pPr>
      <w:r>
        <w:rPr>
          <w:sz w:val="16"/>
        </w:rPr>
        <w:t>ARAÚJO, Marcellus. Votorantim investirá R$ 1 bilhão em Goiás este ano.  Jornal  Opção,  Goiânia,  20  jan.,  2011.  Disponível  em</w:t>
      </w:r>
    </w:p>
    <w:p w:rsidR="00D81F69" w:rsidRDefault="00D81F69">
      <w:pPr>
        <w:tabs>
          <w:tab w:val="left" w:pos="4331"/>
        </w:tabs>
        <w:spacing w:before="2" w:line="312" w:lineRule="auto"/>
        <w:ind w:left="100" w:right="192"/>
        <w:jc w:val="both"/>
        <w:rPr>
          <w:sz w:val="16"/>
        </w:rPr>
      </w:pPr>
      <w:hyperlink r:id="rId896">
        <w:r w:rsidR="00330118">
          <w:rPr>
            <w:spacing w:val="5"/>
            <w:sz w:val="16"/>
          </w:rPr>
          <w:t>&lt;http://www.jornalopcao.com.br/posts/ultimas-noticias/votorantim-</w:t>
        </w:r>
      </w:hyperlink>
      <w:r w:rsidR="00330118">
        <w:rPr>
          <w:spacing w:val="5"/>
          <w:sz w:val="16"/>
        </w:rPr>
        <w:t xml:space="preserve"> </w:t>
      </w:r>
      <w:r w:rsidR="00330118">
        <w:rPr>
          <w:sz w:val="16"/>
        </w:rPr>
        <w:t xml:space="preserve">investira-r-1-bilhao-em-goias-este-ano&gt;. Acesso em: 13 mar. 2011. BRASIL MINERAL. Níquel. Anglo inicia produção da segunda linha  </w:t>
      </w:r>
      <w:r w:rsidR="00330118">
        <w:rPr>
          <w:spacing w:val="2"/>
          <w:sz w:val="16"/>
        </w:rPr>
        <w:t xml:space="preserve">de  </w:t>
      </w:r>
      <w:r w:rsidR="00330118">
        <w:rPr>
          <w:spacing w:val="5"/>
          <w:sz w:val="16"/>
        </w:rPr>
        <w:t xml:space="preserve">Barro Alto. </w:t>
      </w:r>
      <w:r w:rsidR="00330118">
        <w:rPr>
          <w:spacing w:val="3"/>
          <w:sz w:val="16"/>
        </w:rPr>
        <w:t xml:space="preserve">In: </w:t>
      </w:r>
      <w:r w:rsidR="00330118">
        <w:rPr>
          <w:spacing w:val="5"/>
          <w:sz w:val="16"/>
        </w:rPr>
        <w:t>Bra</w:t>
      </w:r>
      <w:r w:rsidR="00330118">
        <w:rPr>
          <w:spacing w:val="5"/>
          <w:sz w:val="16"/>
        </w:rPr>
        <w:t xml:space="preserve">sil Mineral OnLine </w:t>
      </w:r>
      <w:r w:rsidR="00330118">
        <w:rPr>
          <w:spacing w:val="2"/>
          <w:sz w:val="16"/>
        </w:rPr>
        <w:t xml:space="preserve">n.  </w:t>
      </w:r>
      <w:r w:rsidR="00330118">
        <w:rPr>
          <w:spacing w:val="5"/>
          <w:sz w:val="16"/>
        </w:rPr>
        <w:t xml:space="preserve">520, </w:t>
      </w:r>
      <w:r w:rsidR="00330118">
        <w:rPr>
          <w:spacing w:val="2"/>
          <w:sz w:val="16"/>
        </w:rPr>
        <w:t xml:space="preserve">21  </w:t>
      </w:r>
      <w:r w:rsidR="00330118">
        <w:rPr>
          <w:spacing w:val="5"/>
          <w:sz w:val="16"/>
        </w:rPr>
        <w:t xml:space="preserve">set. </w:t>
      </w:r>
      <w:r w:rsidR="00330118">
        <w:rPr>
          <w:spacing w:val="6"/>
          <w:sz w:val="16"/>
        </w:rPr>
        <w:t xml:space="preserve">2011.    </w:t>
      </w:r>
      <w:r w:rsidR="00330118">
        <w:rPr>
          <w:sz w:val="16"/>
        </w:rPr>
        <w:t xml:space="preserve">D      i      s      p      o      n      í      v  </w:t>
      </w:r>
      <w:r w:rsidR="00330118">
        <w:rPr>
          <w:spacing w:val="36"/>
          <w:sz w:val="16"/>
        </w:rPr>
        <w:t xml:space="preserve"> </w:t>
      </w:r>
      <w:r w:rsidR="00330118">
        <w:rPr>
          <w:sz w:val="16"/>
        </w:rPr>
        <w:t xml:space="preserve">e    </w:t>
      </w:r>
      <w:r w:rsidR="00330118">
        <w:rPr>
          <w:spacing w:val="31"/>
          <w:sz w:val="16"/>
        </w:rPr>
        <w:t xml:space="preserve"> </w:t>
      </w:r>
      <w:r w:rsidR="00330118">
        <w:rPr>
          <w:sz w:val="16"/>
        </w:rPr>
        <w:t>l</w:t>
      </w:r>
      <w:r w:rsidR="00330118">
        <w:rPr>
          <w:sz w:val="16"/>
        </w:rPr>
        <w:tab/>
        <w:t xml:space="preserve">e      m    </w:t>
      </w:r>
      <w:r w:rsidR="00330118">
        <w:rPr>
          <w:spacing w:val="20"/>
          <w:sz w:val="16"/>
        </w:rPr>
        <w:t xml:space="preserve"> </w:t>
      </w:r>
      <w:r w:rsidR="00330118">
        <w:rPr>
          <w:sz w:val="16"/>
        </w:rPr>
        <w:t>:</w:t>
      </w:r>
    </w:p>
    <w:p w:rsidR="00D81F69" w:rsidRDefault="00D81F69">
      <w:pPr>
        <w:spacing w:before="4" w:line="312" w:lineRule="auto"/>
        <w:ind w:left="100" w:right="216"/>
        <w:jc w:val="both"/>
        <w:rPr>
          <w:sz w:val="16"/>
        </w:rPr>
      </w:pPr>
      <w:hyperlink r:id="rId897">
        <w:r w:rsidR="00330118">
          <w:rPr>
            <w:sz w:val="16"/>
          </w:rPr>
          <w:t>&lt;http://www.brasilmineral.com.br/BM/default.asp?COD</w:t>
        </w:r>
        <w:r w:rsidR="00330118">
          <w:rPr>
            <w:sz w:val="16"/>
          </w:rPr>
          <w:t>=5748&amp;busca=</w:t>
        </w:r>
      </w:hyperlink>
      <w:r w:rsidR="00330118">
        <w:rPr>
          <w:sz w:val="16"/>
        </w:rPr>
        <w:t xml:space="preserve"> &amp;numero=520&gt;. Acesso em 08 nov. 2011.</w:t>
      </w:r>
    </w:p>
    <w:p w:rsidR="00D81F69" w:rsidRDefault="00330118">
      <w:pPr>
        <w:spacing w:before="2" w:line="312" w:lineRule="auto"/>
        <w:ind w:left="100" w:right="198"/>
        <w:jc w:val="both"/>
        <w:rPr>
          <w:sz w:val="16"/>
        </w:rPr>
      </w:pPr>
      <w:r>
        <w:rPr>
          <w:sz w:val="16"/>
        </w:rPr>
        <w:t xml:space="preserve">CUT BRASIL. Sindicato denuncia danos à saúde e mortes provocadas por exposição à amônia. CUT Brasil Website, São Paulo, 11 dez. 2007. Disponível em: </w:t>
      </w:r>
      <w:hyperlink r:id="rId898">
        <w:r>
          <w:rPr>
            <w:sz w:val="16"/>
          </w:rPr>
          <w:t>&lt;http:/</w:t>
        </w:r>
        <w:r>
          <w:rPr>
            <w:sz w:val="16"/>
          </w:rPr>
          <w:t>/www.cut.org.br/destaque-</w:t>
        </w:r>
      </w:hyperlink>
      <w:r>
        <w:rPr>
          <w:sz w:val="16"/>
        </w:rPr>
        <w:t xml:space="preserve"> central/32721/votorantim-metais-de-niquelandia-go&gt;. Acesso em: 07 ago. 2010.</w:t>
      </w:r>
    </w:p>
    <w:p w:rsidR="00D81F69" w:rsidRDefault="00330118">
      <w:pPr>
        <w:spacing w:before="4" w:line="312" w:lineRule="auto"/>
        <w:ind w:left="100" w:right="170"/>
        <w:jc w:val="both"/>
        <w:rPr>
          <w:sz w:val="16"/>
        </w:rPr>
      </w:pPr>
      <w:r>
        <w:rPr>
          <w:sz w:val="16"/>
        </w:rPr>
        <w:t xml:space="preserve">DIÁRIO DO NORTE. Uso de Amônia é condenado. Jornal Diário do Norte,   Minaçu,   21   ago.   2007a.   Disponível em: </w:t>
      </w:r>
    </w:p>
    <w:p w:rsidR="00D81F69" w:rsidRDefault="00D81F69">
      <w:pPr>
        <w:spacing w:before="1"/>
        <w:ind w:left="100"/>
        <w:jc w:val="both"/>
        <w:rPr>
          <w:sz w:val="16"/>
        </w:rPr>
      </w:pPr>
      <w:hyperlink r:id="rId899">
        <w:r w:rsidR="00330118">
          <w:rPr>
            <w:sz w:val="16"/>
          </w:rPr>
          <w:t>&lt;http://www.jornaldiariodonorte.com.br/site/imp_edicao.php?cod=789</w:t>
        </w:r>
      </w:hyperlink>
    </w:p>
    <w:p w:rsidR="00D81F69" w:rsidRDefault="00330118">
      <w:pPr>
        <w:spacing w:before="56" w:line="137" w:lineRule="exact"/>
        <w:ind w:left="100"/>
        <w:jc w:val="both"/>
        <w:rPr>
          <w:sz w:val="16"/>
        </w:rPr>
      </w:pPr>
      <w:r>
        <w:rPr>
          <w:sz w:val="16"/>
        </w:rPr>
        <w:t>&gt;. Acesso em: 07 ago. 2010.</w:t>
      </w:r>
    </w:p>
    <w:p w:rsidR="00D81F69" w:rsidRDefault="00D81F69">
      <w:pPr>
        <w:spacing w:line="137" w:lineRule="exact"/>
        <w:jc w:val="both"/>
        <w:rPr>
          <w:sz w:val="16"/>
        </w:rPr>
        <w:sectPr w:rsidR="00D81F69">
          <w:pgSz w:w="11900" w:h="16840"/>
          <w:pgMar w:top="740" w:right="500" w:bottom="720" w:left="620" w:header="0" w:footer="402" w:gutter="0"/>
          <w:cols w:num="2" w:space="720" w:equalWidth="0">
            <w:col w:w="5162" w:space="308"/>
            <w:col w:w="5310"/>
          </w:cols>
        </w:sectPr>
      </w:pPr>
    </w:p>
    <w:p w:rsidR="00D81F69" w:rsidRDefault="00330118">
      <w:pPr>
        <w:tabs>
          <w:tab w:val="left" w:pos="5569"/>
          <w:tab w:val="left" w:pos="6115"/>
        </w:tabs>
        <w:spacing w:line="271" w:lineRule="exact"/>
        <w:ind w:left="100"/>
        <w:rPr>
          <w:sz w:val="16"/>
        </w:rPr>
      </w:pPr>
      <w:r>
        <w:rPr>
          <w:spacing w:val="1"/>
          <w:position w:val="9"/>
          <w:sz w:val="18"/>
        </w:rPr>
        <w:lastRenderedPageBreak/>
        <w:t xml:space="preserve">Niquelândia, </w:t>
      </w:r>
      <w:r>
        <w:rPr>
          <w:position w:val="9"/>
          <w:sz w:val="18"/>
        </w:rPr>
        <w:t xml:space="preserve">a  18  km  do  </w:t>
      </w:r>
      <w:r>
        <w:rPr>
          <w:spacing w:val="1"/>
          <w:position w:val="9"/>
          <w:sz w:val="18"/>
        </w:rPr>
        <w:t xml:space="preserve">centro </w:t>
      </w:r>
      <w:r>
        <w:rPr>
          <w:position w:val="9"/>
          <w:sz w:val="18"/>
        </w:rPr>
        <w:t xml:space="preserve">da  </w:t>
      </w:r>
      <w:r>
        <w:rPr>
          <w:spacing w:val="1"/>
          <w:position w:val="9"/>
          <w:sz w:val="18"/>
        </w:rPr>
        <w:t xml:space="preserve">cidade. </w:t>
      </w:r>
      <w:r>
        <w:rPr>
          <w:position w:val="9"/>
          <w:sz w:val="18"/>
        </w:rPr>
        <w:t>A</w:t>
      </w:r>
      <w:r>
        <w:rPr>
          <w:spacing w:val="-4"/>
          <w:position w:val="9"/>
          <w:sz w:val="18"/>
        </w:rPr>
        <w:t xml:space="preserve"> </w:t>
      </w:r>
      <w:r>
        <w:rPr>
          <w:spacing w:val="1"/>
          <w:position w:val="9"/>
          <w:sz w:val="18"/>
        </w:rPr>
        <w:t>utilização</w:t>
      </w:r>
      <w:r>
        <w:rPr>
          <w:spacing w:val="27"/>
          <w:position w:val="9"/>
          <w:sz w:val="18"/>
        </w:rPr>
        <w:t xml:space="preserve"> </w:t>
      </w:r>
      <w:r>
        <w:rPr>
          <w:position w:val="9"/>
          <w:sz w:val="18"/>
        </w:rPr>
        <w:t>de</w:t>
      </w:r>
      <w:r>
        <w:rPr>
          <w:position w:val="9"/>
          <w:sz w:val="18"/>
        </w:rPr>
        <w:tab/>
      </w:r>
      <w:r>
        <w:rPr>
          <w:position w:val="9"/>
          <w:sz w:val="18"/>
          <w:u w:val="single"/>
        </w:rPr>
        <w:t xml:space="preserve"> </w:t>
      </w:r>
      <w:r>
        <w:rPr>
          <w:position w:val="9"/>
          <w:sz w:val="18"/>
          <w:u w:val="single"/>
        </w:rPr>
        <w:tab/>
      </w:r>
      <w:r>
        <w:rPr>
          <w:sz w:val="16"/>
        </w:rPr>
        <w:t>.</w:t>
      </w:r>
      <w:r>
        <w:rPr>
          <w:spacing w:val="10"/>
          <w:sz w:val="16"/>
        </w:rPr>
        <w:t xml:space="preserve"> </w:t>
      </w:r>
      <w:r>
        <w:rPr>
          <w:sz w:val="16"/>
        </w:rPr>
        <w:t>Protesto</w:t>
      </w:r>
      <w:r>
        <w:rPr>
          <w:spacing w:val="10"/>
          <w:sz w:val="16"/>
        </w:rPr>
        <w:t xml:space="preserve"> </w:t>
      </w:r>
      <w:r>
        <w:rPr>
          <w:sz w:val="16"/>
        </w:rPr>
        <w:t>dos</w:t>
      </w:r>
      <w:r>
        <w:rPr>
          <w:spacing w:val="10"/>
          <w:sz w:val="16"/>
        </w:rPr>
        <w:t xml:space="preserve"> </w:t>
      </w:r>
      <w:r>
        <w:rPr>
          <w:sz w:val="16"/>
        </w:rPr>
        <w:t>trabalhadores.</w:t>
      </w:r>
      <w:r>
        <w:rPr>
          <w:spacing w:val="10"/>
          <w:sz w:val="16"/>
        </w:rPr>
        <w:t xml:space="preserve"> </w:t>
      </w:r>
      <w:r>
        <w:rPr>
          <w:sz w:val="16"/>
        </w:rPr>
        <w:t>Jornal</w:t>
      </w:r>
      <w:r>
        <w:rPr>
          <w:spacing w:val="10"/>
          <w:sz w:val="16"/>
        </w:rPr>
        <w:t xml:space="preserve"> </w:t>
      </w:r>
      <w:r>
        <w:rPr>
          <w:sz w:val="16"/>
        </w:rPr>
        <w:t>Diário</w:t>
      </w:r>
      <w:r>
        <w:rPr>
          <w:spacing w:val="10"/>
          <w:sz w:val="16"/>
        </w:rPr>
        <w:t xml:space="preserve"> </w:t>
      </w:r>
      <w:r>
        <w:rPr>
          <w:sz w:val="16"/>
        </w:rPr>
        <w:t>do</w:t>
      </w:r>
      <w:r>
        <w:rPr>
          <w:spacing w:val="10"/>
          <w:sz w:val="16"/>
        </w:rPr>
        <w:t xml:space="preserve"> </w:t>
      </w:r>
      <w:r>
        <w:rPr>
          <w:sz w:val="16"/>
        </w:rPr>
        <w:t>Norte,</w:t>
      </w:r>
      <w:r>
        <w:rPr>
          <w:spacing w:val="10"/>
          <w:sz w:val="16"/>
        </w:rPr>
        <w:t xml:space="preserve"> </w:t>
      </w:r>
      <w:r>
        <w:rPr>
          <w:sz w:val="16"/>
        </w:rPr>
        <w:t>Minaçu,</w:t>
      </w:r>
    </w:p>
    <w:p w:rsidR="00D81F69" w:rsidRDefault="00D81F69">
      <w:pPr>
        <w:spacing w:line="271" w:lineRule="exact"/>
        <w:rPr>
          <w:sz w:val="16"/>
        </w:rPr>
        <w:sectPr w:rsidR="00D81F69">
          <w:type w:val="continuous"/>
          <w:pgSz w:w="11900" w:h="16840"/>
          <w:pgMar w:top="720" w:right="500" w:bottom="280" w:left="620" w:header="720" w:footer="720" w:gutter="0"/>
          <w:cols w:space="720"/>
        </w:sectPr>
      </w:pPr>
    </w:p>
    <w:p w:rsidR="00D81F69" w:rsidRDefault="00330118">
      <w:pPr>
        <w:pStyle w:val="Corpodetexto"/>
        <w:spacing w:line="312" w:lineRule="auto"/>
        <w:ind w:right="38"/>
      </w:pPr>
      <w:r>
        <w:lastRenderedPageBreak/>
        <w:t>coque verde de petróleo vai reduzir em 40% o consumo de óleo combustível para o funcionamento dos fornos da unidade (DIÁRIO DO NORTE, 2010).</w:t>
      </w:r>
    </w:p>
    <w:p w:rsidR="00D81F69" w:rsidRDefault="00330118">
      <w:pPr>
        <w:pStyle w:val="Corpodetexto"/>
        <w:spacing w:before="127" w:line="312" w:lineRule="auto"/>
        <w:ind w:right="38"/>
      </w:pPr>
      <w:r>
        <w:t xml:space="preserve">Por sua vez, a Anglo American, começou, em setembro </w:t>
      </w:r>
      <w:r>
        <w:t>de 2011, a produção de metal da segunda linha do projeto Barro Alto. A intenção da empresa é atingir uma média de 41 mil t</w:t>
      </w:r>
    </w:p>
    <w:p w:rsidR="00D81F69" w:rsidRDefault="00330118">
      <w:pPr>
        <w:tabs>
          <w:tab w:val="left" w:pos="734"/>
          <w:tab w:val="left" w:pos="1643"/>
          <w:tab w:val="left" w:pos="2889"/>
          <w:tab w:val="left" w:pos="4693"/>
        </w:tabs>
        <w:spacing w:before="73"/>
        <w:ind w:left="100"/>
        <w:rPr>
          <w:sz w:val="16"/>
        </w:rPr>
      </w:pPr>
      <w:r>
        <w:br w:type="column"/>
      </w:r>
      <w:r>
        <w:rPr>
          <w:spacing w:val="30"/>
          <w:sz w:val="16"/>
        </w:rPr>
        <w:lastRenderedPageBreak/>
        <w:t>0</w:t>
      </w:r>
      <w:r>
        <w:rPr>
          <w:sz w:val="16"/>
        </w:rPr>
        <w:t xml:space="preserve"> 8</w:t>
      </w:r>
      <w:r>
        <w:rPr>
          <w:sz w:val="16"/>
        </w:rPr>
        <w:tab/>
      </w:r>
      <w:r>
        <w:rPr>
          <w:spacing w:val="30"/>
          <w:sz w:val="16"/>
        </w:rPr>
        <w:t>d e</w:t>
      </w:r>
      <w:r>
        <w:rPr>
          <w:spacing w:val="-30"/>
          <w:sz w:val="16"/>
        </w:rPr>
        <w:t xml:space="preserve"> </w:t>
      </w:r>
      <w:r>
        <w:rPr>
          <w:spacing w:val="30"/>
          <w:sz w:val="16"/>
        </w:rPr>
        <w:t>z</w:t>
      </w:r>
      <w:r>
        <w:rPr>
          <w:sz w:val="16"/>
        </w:rPr>
        <w:t xml:space="preserve"> .</w:t>
      </w:r>
      <w:r>
        <w:rPr>
          <w:sz w:val="16"/>
        </w:rPr>
        <w:tab/>
      </w:r>
      <w:r>
        <w:rPr>
          <w:spacing w:val="30"/>
          <w:sz w:val="16"/>
        </w:rPr>
        <w:t>2</w:t>
      </w:r>
      <w:r>
        <w:rPr>
          <w:sz w:val="16"/>
        </w:rPr>
        <w:t xml:space="preserve"> </w:t>
      </w:r>
      <w:r>
        <w:rPr>
          <w:spacing w:val="30"/>
          <w:sz w:val="16"/>
        </w:rPr>
        <w:t>0</w:t>
      </w:r>
      <w:r>
        <w:rPr>
          <w:sz w:val="16"/>
        </w:rPr>
        <w:t xml:space="preserve"> </w:t>
      </w:r>
      <w:r>
        <w:rPr>
          <w:spacing w:val="30"/>
          <w:sz w:val="16"/>
        </w:rPr>
        <w:t>0</w:t>
      </w:r>
      <w:r>
        <w:rPr>
          <w:sz w:val="16"/>
        </w:rPr>
        <w:t xml:space="preserve"> </w:t>
      </w:r>
      <w:r>
        <w:rPr>
          <w:spacing w:val="30"/>
          <w:sz w:val="16"/>
        </w:rPr>
        <w:t>7</w:t>
      </w:r>
      <w:r>
        <w:rPr>
          <w:sz w:val="16"/>
        </w:rPr>
        <w:t xml:space="preserve"> </w:t>
      </w:r>
      <w:r>
        <w:rPr>
          <w:spacing w:val="30"/>
          <w:sz w:val="16"/>
        </w:rPr>
        <w:t>b</w:t>
      </w:r>
      <w:r>
        <w:rPr>
          <w:sz w:val="16"/>
        </w:rPr>
        <w:t xml:space="preserve"> .</w:t>
      </w:r>
      <w:r>
        <w:rPr>
          <w:sz w:val="16"/>
        </w:rPr>
        <w:tab/>
      </w:r>
      <w:r>
        <w:rPr>
          <w:spacing w:val="30"/>
          <w:sz w:val="16"/>
        </w:rPr>
        <w:t>D</w:t>
      </w:r>
      <w:r>
        <w:rPr>
          <w:sz w:val="16"/>
        </w:rPr>
        <w:t xml:space="preserve"> </w:t>
      </w:r>
      <w:r>
        <w:rPr>
          <w:spacing w:val="30"/>
          <w:sz w:val="16"/>
        </w:rPr>
        <w:t>i</w:t>
      </w:r>
      <w:r>
        <w:rPr>
          <w:sz w:val="16"/>
        </w:rPr>
        <w:t xml:space="preserve"> </w:t>
      </w:r>
      <w:r>
        <w:rPr>
          <w:spacing w:val="30"/>
          <w:sz w:val="16"/>
        </w:rPr>
        <w:t>s</w:t>
      </w:r>
      <w:r>
        <w:rPr>
          <w:sz w:val="16"/>
        </w:rPr>
        <w:t xml:space="preserve"> </w:t>
      </w:r>
      <w:r>
        <w:rPr>
          <w:spacing w:val="30"/>
          <w:sz w:val="16"/>
        </w:rPr>
        <w:t>p</w:t>
      </w:r>
      <w:r>
        <w:rPr>
          <w:sz w:val="16"/>
        </w:rPr>
        <w:t xml:space="preserve"> </w:t>
      </w:r>
      <w:r>
        <w:rPr>
          <w:spacing w:val="30"/>
          <w:sz w:val="16"/>
        </w:rPr>
        <w:t>o</w:t>
      </w:r>
      <w:r>
        <w:rPr>
          <w:sz w:val="16"/>
        </w:rPr>
        <w:t xml:space="preserve"> </w:t>
      </w:r>
      <w:r>
        <w:rPr>
          <w:spacing w:val="30"/>
          <w:sz w:val="16"/>
        </w:rPr>
        <w:t>n</w:t>
      </w:r>
      <w:r>
        <w:rPr>
          <w:sz w:val="16"/>
        </w:rPr>
        <w:t xml:space="preserve"> </w:t>
      </w:r>
      <w:r>
        <w:rPr>
          <w:spacing w:val="30"/>
          <w:sz w:val="16"/>
        </w:rPr>
        <w:t>í</w:t>
      </w:r>
      <w:r>
        <w:rPr>
          <w:sz w:val="16"/>
        </w:rPr>
        <w:t xml:space="preserve"> </w:t>
      </w:r>
      <w:r>
        <w:rPr>
          <w:spacing w:val="30"/>
          <w:sz w:val="16"/>
        </w:rPr>
        <w:t>v</w:t>
      </w:r>
      <w:r>
        <w:rPr>
          <w:sz w:val="16"/>
        </w:rPr>
        <w:t xml:space="preserve"> </w:t>
      </w:r>
      <w:r>
        <w:rPr>
          <w:spacing w:val="30"/>
          <w:sz w:val="16"/>
        </w:rPr>
        <w:t>e</w:t>
      </w:r>
      <w:r>
        <w:rPr>
          <w:sz w:val="16"/>
        </w:rPr>
        <w:t xml:space="preserve"> l</w:t>
      </w:r>
      <w:r>
        <w:rPr>
          <w:sz w:val="16"/>
        </w:rPr>
        <w:tab/>
      </w:r>
      <w:r>
        <w:rPr>
          <w:spacing w:val="30"/>
          <w:sz w:val="16"/>
        </w:rPr>
        <w:t>e m</w:t>
      </w:r>
      <w:r>
        <w:rPr>
          <w:spacing w:val="-30"/>
          <w:sz w:val="16"/>
        </w:rPr>
        <w:t xml:space="preserve"> </w:t>
      </w:r>
      <w:r>
        <w:rPr>
          <w:sz w:val="16"/>
        </w:rPr>
        <w:t xml:space="preserve">: </w:t>
      </w:r>
      <w:r>
        <w:rPr>
          <w:spacing w:val="-14"/>
          <w:sz w:val="16"/>
        </w:rPr>
        <w:t xml:space="preserve"> </w:t>
      </w:r>
    </w:p>
    <w:p w:rsidR="00D81F69" w:rsidRDefault="00D81F69">
      <w:pPr>
        <w:spacing w:before="56" w:line="312" w:lineRule="auto"/>
        <w:ind w:left="100" w:right="159"/>
        <w:rPr>
          <w:sz w:val="16"/>
        </w:rPr>
      </w:pPr>
      <w:hyperlink r:id="rId900">
        <w:r w:rsidR="00330118">
          <w:rPr>
            <w:sz w:val="16"/>
          </w:rPr>
          <w:t>&lt;http://www.jornaldiariodonorte.com.br/site/imp_edicao.php?cod=108</w:t>
        </w:r>
      </w:hyperlink>
      <w:r w:rsidR="00330118">
        <w:rPr>
          <w:sz w:val="16"/>
        </w:rPr>
        <w:t xml:space="preserve"> 1&gt;. Acesso em: out. 2010.</w:t>
      </w:r>
    </w:p>
    <w:p w:rsidR="00D81F69" w:rsidRDefault="00330118">
      <w:pPr>
        <w:tabs>
          <w:tab w:val="left" w:pos="959"/>
          <w:tab w:val="left" w:pos="1984"/>
          <w:tab w:val="left" w:pos="2648"/>
          <w:tab w:val="left" w:pos="3433"/>
          <w:tab w:val="left" w:pos="4764"/>
        </w:tabs>
        <w:spacing w:before="1" w:line="312" w:lineRule="auto"/>
        <w:ind w:left="100" w:right="159"/>
        <w:rPr>
          <w:sz w:val="16"/>
        </w:rPr>
      </w:pPr>
      <w:r>
        <w:rPr>
          <w:spacing w:val="3"/>
          <w:sz w:val="16"/>
        </w:rPr>
        <w:t xml:space="preserve">______. Votorantim debate mercado </w:t>
      </w:r>
      <w:r>
        <w:rPr>
          <w:spacing w:val="1"/>
          <w:sz w:val="16"/>
        </w:rPr>
        <w:t xml:space="preserve">de </w:t>
      </w:r>
      <w:r>
        <w:rPr>
          <w:spacing w:val="3"/>
          <w:sz w:val="16"/>
        </w:rPr>
        <w:t xml:space="preserve">metais. Jornal Diário </w:t>
      </w:r>
      <w:r>
        <w:rPr>
          <w:spacing w:val="5"/>
          <w:sz w:val="16"/>
        </w:rPr>
        <w:t xml:space="preserve">do </w:t>
      </w:r>
      <w:r>
        <w:rPr>
          <w:spacing w:val="32"/>
          <w:sz w:val="16"/>
        </w:rPr>
        <w:t>Norte,</w:t>
      </w:r>
      <w:r>
        <w:rPr>
          <w:spacing w:val="32"/>
          <w:sz w:val="16"/>
        </w:rPr>
        <w:tab/>
      </w:r>
      <w:r>
        <w:rPr>
          <w:spacing w:val="33"/>
          <w:sz w:val="16"/>
        </w:rPr>
        <w:t>Minaçu,</w:t>
      </w:r>
      <w:r>
        <w:rPr>
          <w:spacing w:val="33"/>
          <w:sz w:val="16"/>
        </w:rPr>
        <w:tab/>
      </w:r>
      <w:r>
        <w:rPr>
          <w:spacing w:val="30"/>
          <w:sz w:val="16"/>
        </w:rPr>
        <w:t>mar.</w:t>
      </w:r>
      <w:r>
        <w:rPr>
          <w:spacing w:val="30"/>
          <w:sz w:val="16"/>
        </w:rPr>
        <w:tab/>
      </w:r>
      <w:r>
        <w:rPr>
          <w:spacing w:val="31"/>
          <w:sz w:val="16"/>
        </w:rPr>
        <w:t>2010.</w:t>
      </w:r>
      <w:r>
        <w:rPr>
          <w:spacing w:val="31"/>
          <w:sz w:val="16"/>
        </w:rPr>
        <w:tab/>
      </w:r>
      <w:r>
        <w:rPr>
          <w:spacing w:val="35"/>
          <w:sz w:val="16"/>
        </w:rPr>
        <w:t>Disponível</w:t>
      </w:r>
      <w:r>
        <w:rPr>
          <w:spacing w:val="35"/>
          <w:sz w:val="16"/>
        </w:rPr>
        <w:tab/>
      </w:r>
      <w:r>
        <w:rPr>
          <w:spacing w:val="25"/>
          <w:sz w:val="16"/>
        </w:rPr>
        <w:t>em:</w:t>
      </w:r>
      <w:r>
        <w:rPr>
          <w:spacing w:val="-5"/>
          <w:sz w:val="16"/>
        </w:rPr>
        <w:t xml:space="preserve"> </w:t>
      </w:r>
    </w:p>
    <w:p w:rsidR="00D81F69" w:rsidRDefault="00D81F69">
      <w:pPr>
        <w:spacing w:before="2"/>
        <w:ind w:left="100"/>
        <w:rPr>
          <w:sz w:val="16"/>
        </w:rPr>
      </w:pPr>
      <w:hyperlink r:id="rId901">
        <w:r w:rsidR="00330118">
          <w:rPr>
            <w:sz w:val="16"/>
          </w:rPr>
          <w:t>&lt;http://www.jornaldiariodonorte.com.br/site/cidades.php?cod=4983&gt;.</w:t>
        </w:r>
      </w:hyperlink>
    </w:p>
    <w:p w:rsidR="00D81F69" w:rsidRDefault="00330118">
      <w:pPr>
        <w:spacing w:before="56"/>
        <w:ind w:left="100"/>
        <w:rPr>
          <w:sz w:val="16"/>
        </w:rPr>
      </w:pPr>
      <w:r>
        <w:rPr>
          <w:sz w:val="16"/>
        </w:rPr>
        <w:t>Acesso em: 26 set. 2010</w:t>
      </w:r>
    </w:p>
    <w:p w:rsidR="00D81F69" w:rsidRDefault="00D81F69">
      <w:pPr>
        <w:rPr>
          <w:sz w:val="16"/>
        </w:rPr>
        <w:sectPr w:rsidR="00D81F69">
          <w:type w:val="continuous"/>
          <w:pgSz w:w="11900" w:h="16840"/>
          <w:pgMar w:top="720" w:right="500" w:bottom="280" w:left="620" w:header="720" w:footer="720" w:gutter="0"/>
          <w:cols w:num="2" w:space="720" w:equalWidth="0">
            <w:col w:w="5135" w:space="335"/>
            <w:col w:w="5310"/>
          </w:cols>
        </w:sectPr>
      </w:pPr>
    </w:p>
    <w:p w:rsidR="00D81F69" w:rsidRDefault="00330118">
      <w:pPr>
        <w:spacing w:before="70" w:line="312" w:lineRule="auto"/>
        <w:ind w:left="100" w:right="59"/>
        <w:jc w:val="both"/>
        <w:rPr>
          <w:sz w:val="16"/>
        </w:rPr>
      </w:pPr>
      <w:r>
        <w:rPr>
          <w:spacing w:val="3"/>
          <w:sz w:val="16"/>
        </w:rPr>
        <w:lastRenderedPageBreak/>
        <w:t xml:space="preserve">IBGE, Instituto Brasileiro </w:t>
      </w:r>
      <w:r>
        <w:rPr>
          <w:spacing w:val="1"/>
          <w:sz w:val="16"/>
        </w:rPr>
        <w:t xml:space="preserve">de </w:t>
      </w:r>
      <w:r>
        <w:rPr>
          <w:spacing w:val="3"/>
          <w:sz w:val="16"/>
        </w:rPr>
        <w:t xml:space="preserve">Geografia </w:t>
      </w:r>
      <w:r>
        <w:rPr>
          <w:sz w:val="16"/>
        </w:rPr>
        <w:t xml:space="preserve">e </w:t>
      </w:r>
      <w:r>
        <w:rPr>
          <w:spacing w:val="3"/>
          <w:sz w:val="16"/>
        </w:rPr>
        <w:t xml:space="preserve">Estatística. </w:t>
      </w:r>
      <w:r>
        <w:rPr>
          <w:spacing w:val="5"/>
          <w:sz w:val="16"/>
        </w:rPr>
        <w:t>Niqu</w:t>
      </w:r>
      <w:r>
        <w:rPr>
          <w:spacing w:val="5"/>
          <w:sz w:val="16"/>
        </w:rPr>
        <w:t xml:space="preserve">elândia </w:t>
      </w:r>
      <w:r>
        <w:rPr>
          <w:spacing w:val="20"/>
          <w:sz w:val="16"/>
        </w:rPr>
        <w:t>(GO).</w:t>
      </w:r>
      <w:r>
        <w:rPr>
          <w:spacing w:val="85"/>
          <w:sz w:val="16"/>
        </w:rPr>
        <w:t xml:space="preserve"> </w:t>
      </w:r>
      <w:r>
        <w:rPr>
          <w:spacing w:val="17"/>
          <w:sz w:val="16"/>
        </w:rPr>
        <w:t xml:space="preserve">In: </w:t>
      </w:r>
      <w:r>
        <w:rPr>
          <w:spacing w:val="20"/>
          <w:sz w:val="16"/>
        </w:rPr>
        <w:t xml:space="preserve">IBGE </w:t>
      </w:r>
      <w:r>
        <w:rPr>
          <w:spacing w:val="22"/>
          <w:sz w:val="16"/>
        </w:rPr>
        <w:t xml:space="preserve">Cidades, </w:t>
      </w:r>
      <w:r>
        <w:rPr>
          <w:spacing w:val="21"/>
          <w:sz w:val="16"/>
        </w:rPr>
        <w:t xml:space="preserve">2010a. </w:t>
      </w:r>
      <w:r>
        <w:rPr>
          <w:spacing w:val="23"/>
          <w:sz w:val="16"/>
        </w:rPr>
        <w:t>Disponível</w:t>
      </w:r>
      <w:r>
        <w:rPr>
          <w:spacing w:val="22"/>
          <w:sz w:val="16"/>
        </w:rPr>
        <w:t xml:space="preserve"> </w:t>
      </w:r>
      <w:r>
        <w:rPr>
          <w:spacing w:val="17"/>
          <w:sz w:val="16"/>
        </w:rPr>
        <w:t>em:</w:t>
      </w:r>
      <w:r>
        <w:rPr>
          <w:spacing w:val="-17"/>
          <w:sz w:val="16"/>
        </w:rPr>
        <w:t xml:space="preserve"> </w:t>
      </w:r>
    </w:p>
    <w:p w:rsidR="00D81F69" w:rsidRDefault="00D81F69">
      <w:pPr>
        <w:spacing w:before="1"/>
        <w:ind w:left="100"/>
        <w:jc w:val="both"/>
        <w:rPr>
          <w:sz w:val="16"/>
        </w:rPr>
      </w:pPr>
      <w:hyperlink r:id="rId902">
        <w:r w:rsidR="00330118">
          <w:rPr>
            <w:sz w:val="16"/>
          </w:rPr>
          <w:t>&lt;http://www.ibge.gov.br/cidadesat/xtras/perfil.php?codmun=521460&amp;r</w:t>
        </w:r>
      </w:hyperlink>
    </w:p>
    <w:p w:rsidR="00D81F69" w:rsidRDefault="00330118">
      <w:pPr>
        <w:spacing w:before="56"/>
        <w:ind w:left="100"/>
        <w:jc w:val="both"/>
        <w:rPr>
          <w:sz w:val="16"/>
        </w:rPr>
      </w:pPr>
      <w:r>
        <w:rPr>
          <w:sz w:val="16"/>
        </w:rPr>
        <w:t>=2#&gt;. Acesso em: 13 mar. 2011.</w:t>
      </w:r>
    </w:p>
    <w:p w:rsidR="00D81F69" w:rsidRDefault="00330118">
      <w:pPr>
        <w:spacing w:before="56"/>
        <w:ind w:left="100"/>
        <w:jc w:val="both"/>
        <w:rPr>
          <w:sz w:val="16"/>
        </w:rPr>
      </w:pPr>
      <w:r>
        <w:rPr>
          <w:sz w:val="16"/>
        </w:rPr>
        <w:t>______. Barro Alto (GO). In: IBGE Cidades, 2010b. Disponível em:</w:t>
      </w:r>
    </w:p>
    <w:p w:rsidR="00D81F69" w:rsidRDefault="00D81F69">
      <w:pPr>
        <w:spacing w:before="56"/>
        <w:ind w:left="100"/>
        <w:jc w:val="both"/>
        <w:rPr>
          <w:sz w:val="16"/>
        </w:rPr>
      </w:pPr>
      <w:hyperlink r:id="rId903">
        <w:r w:rsidR="00330118">
          <w:rPr>
            <w:sz w:val="16"/>
          </w:rPr>
          <w:t>&lt;http://www.ibge.gov.br/cidadesat/xtras/perfil.php?codmun=520320&amp;r</w:t>
        </w:r>
      </w:hyperlink>
    </w:p>
    <w:p w:rsidR="00D81F69" w:rsidRDefault="00330118">
      <w:pPr>
        <w:spacing w:before="56"/>
        <w:ind w:left="100"/>
        <w:jc w:val="both"/>
        <w:rPr>
          <w:sz w:val="16"/>
        </w:rPr>
      </w:pPr>
      <w:r>
        <w:rPr>
          <w:sz w:val="16"/>
        </w:rPr>
        <w:t>=2&gt;. Acesso em: 08 nov. 2011.</w:t>
      </w:r>
    </w:p>
    <w:p w:rsidR="00D81F69" w:rsidRDefault="00330118">
      <w:pPr>
        <w:spacing w:before="56" w:line="312" w:lineRule="auto"/>
        <w:ind w:left="100" w:right="84"/>
        <w:jc w:val="both"/>
        <w:rPr>
          <w:sz w:val="16"/>
        </w:rPr>
      </w:pPr>
      <w:r>
        <w:rPr>
          <w:sz w:val="16"/>
        </w:rPr>
        <w:t>MAGALHÃ</w:t>
      </w:r>
      <w:r>
        <w:rPr>
          <w:sz w:val="16"/>
        </w:rPr>
        <w:t xml:space="preserve">ES, Luiz Fernando. Níquel: uma Riqueza de Goiás. In: Conjuntura Econômica Goiana, n. 05. Goiânia, ago. 2005. Disponível em: </w:t>
      </w:r>
      <w:hyperlink r:id="rId904">
        <w:r>
          <w:rPr>
            <w:sz w:val="16"/>
          </w:rPr>
          <w:t>&lt;http://www.seplan.go.gov.br/sepin/down/Conjuntura5.pdf&gt;.</w:t>
        </w:r>
      </w:hyperlink>
      <w:r>
        <w:rPr>
          <w:sz w:val="16"/>
        </w:rPr>
        <w:t xml:space="preserve"> Ac</w:t>
      </w:r>
      <w:r>
        <w:rPr>
          <w:sz w:val="16"/>
        </w:rPr>
        <w:t>esso em: 21 set. 2010</w:t>
      </w:r>
    </w:p>
    <w:p w:rsidR="00D81F69" w:rsidRDefault="00330118">
      <w:pPr>
        <w:spacing w:before="4" w:line="312" w:lineRule="auto"/>
        <w:ind w:left="100" w:right="85"/>
        <w:jc w:val="both"/>
        <w:rPr>
          <w:sz w:val="16"/>
        </w:rPr>
      </w:pPr>
      <w:r>
        <w:rPr>
          <w:sz w:val="16"/>
        </w:rPr>
        <w:t>MAGALHÃES, Luiz Fernando; MARON, Marco Antônio Cordeiro. Diagnóstico do Setor Mineral Goiano. Ministério de Minas e Energia, Governo do Estado de Goiás. Goiás, fev. 2002. Disponível em:</w:t>
      </w:r>
    </w:p>
    <w:p w:rsidR="00D81F69" w:rsidRDefault="00D81F69">
      <w:pPr>
        <w:spacing w:before="2" w:line="312" w:lineRule="auto"/>
        <w:ind w:left="100" w:right="107"/>
        <w:jc w:val="both"/>
        <w:rPr>
          <w:sz w:val="16"/>
        </w:rPr>
      </w:pPr>
      <w:hyperlink r:id="rId905">
        <w:r w:rsidR="00330118">
          <w:rPr>
            <w:sz w:val="16"/>
          </w:rPr>
          <w:t>&lt;http://www.lapig.iesa.ufg.br/sgm/publicacoes/diag_aval/diag_setor_</w:t>
        </w:r>
      </w:hyperlink>
      <w:r w:rsidR="00330118">
        <w:rPr>
          <w:sz w:val="16"/>
        </w:rPr>
        <w:t xml:space="preserve"> mineral.pdf&gt;. Acesso em: 27 set. 2010.</w:t>
      </w:r>
    </w:p>
    <w:p w:rsidR="00D81F69" w:rsidRDefault="00330118">
      <w:pPr>
        <w:spacing w:before="2" w:line="312" w:lineRule="auto"/>
        <w:ind w:left="100" w:right="38"/>
        <w:jc w:val="both"/>
        <w:rPr>
          <w:sz w:val="16"/>
        </w:rPr>
      </w:pPr>
      <w:r>
        <w:rPr>
          <w:sz w:val="16"/>
        </w:rPr>
        <w:t xml:space="preserve">MINÉRIOS &amp; MINERALES. Buruti / Níquel. In: Minerios.com.br, São   </w:t>
      </w:r>
      <w:r>
        <w:rPr>
          <w:spacing w:val="6"/>
          <w:sz w:val="16"/>
        </w:rPr>
        <w:t xml:space="preserve">P a u l o </w:t>
      </w:r>
      <w:r>
        <w:rPr>
          <w:sz w:val="16"/>
        </w:rPr>
        <w:t xml:space="preserve">, </w:t>
      </w:r>
      <w:r>
        <w:rPr>
          <w:spacing w:val="6"/>
          <w:sz w:val="16"/>
        </w:rPr>
        <w:t xml:space="preserve">2 </w:t>
      </w:r>
      <w:r>
        <w:rPr>
          <w:sz w:val="16"/>
        </w:rPr>
        <w:t xml:space="preserve">0 </w:t>
      </w:r>
      <w:r>
        <w:rPr>
          <w:spacing w:val="6"/>
          <w:sz w:val="16"/>
        </w:rPr>
        <w:t xml:space="preserve">j u n </w:t>
      </w:r>
      <w:r>
        <w:rPr>
          <w:sz w:val="16"/>
        </w:rPr>
        <w:t xml:space="preserve">. </w:t>
      </w:r>
      <w:r>
        <w:rPr>
          <w:spacing w:val="6"/>
          <w:sz w:val="16"/>
        </w:rPr>
        <w:t xml:space="preserve">2 0 0 9 </w:t>
      </w:r>
      <w:r>
        <w:rPr>
          <w:sz w:val="16"/>
        </w:rPr>
        <w:t xml:space="preserve">. </w:t>
      </w:r>
      <w:r>
        <w:rPr>
          <w:spacing w:val="6"/>
          <w:sz w:val="16"/>
        </w:rPr>
        <w:t xml:space="preserve">D i s p o n í v e </w:t>
      </w:r>
      <w:r>
        <w:rPr>
          <w:sz w:val="16"/>
        </w:rPr>
        <w:t>l</w:t>
      </w:r>
      <w:r>
        <w:rPr>
          <w:spacing w:val="27"/>
          <w:sz w:val="16"/>
        </w:rPr>
        <w:t xml:space="preserve"> </w:t>
      </w:r>
      <w:r>
        <w:rPr>
          <w:spacing w:val="6"/>
          <w:sz w:val="16"/>
        </w:rPr>
        <w:t xml:space="preserve">e m </w:t>
      </w:r>
      <w:r>
        <w:rPr>
          <w:sz w:val="16"/>
        </w:rPr>
        <w:t>:</w:t>
      </w:r>
      <w:r>
        <w:rPr>
          <w:spacing w:val="7"/>
          <w:sz w:val="16"/>
        </w:rPr>
        <w:t xml:space="preserve"> </w:t>
      </w:r>
    </w:p>
    <w:p w:rsidR="00D81F69" w:rsidRDefault="00D81F69">
      <w:pPr>
        <w:spacing w:before="1" w:line="312" w:lineRule="auto"/>
        <w:ind w:left="100" w:right="90"/>
        <w:jc w:val="both"/>
        <w:rPr>
          <w:sz w:val="16"/>
        </w:rPr>
      </w:pPr>
      <w:hyperlink r:id="rId906">
        <w:r w:rsidR="00330118">
          <w:rPr>
            <w:sz w:val="16"/>
          </w:rPr>
          <w:t>&lt;http://www.minerios.com.br/index.php?page=materia.php&amp;id=1750&gt;.</w:t>
        </w:r>
      </w:hyperlink>
      <w:r w:rsidR="00330118">
        <w:rPr>
          <w:sz w:val="16"/>
        </w:rPr>
        <w:t xml:space="preserve"> Acesso em: 24 set. 2010.</w:t>
      </w:r>
    </w:p>
    <w:p w:rsidR="00D81F69" w:rsidRDefault="00330118">
      <w:pPr>
        <w:spacing w:before="2" w:line="312" w:lineRule="auto"/>
        <w:ind w:left="100" w:right="68"/>
        <w:jc w:val="both"/>
        <w:rPr>
          <w:sz w:val="16"/>
        </w:rPr>
      </w:pPr>
      <w:r>
        <w:rPr>
          <w:sz w:val="16"/>
        </w:rPr>
        <w:t>RELATÓRIO PARA A SOCIEDADE. Relatório para a sociedade A</w:t>
      </w:r>
      <w:r>
        <w:rPr>
          <w:sz w:val="16"/>
        </w:rPr>
        <w:t xml:space="preserve">nglo American Brasil, 2008. Disponível </w:t>
      </w:r>
      <w:hyperlink r:id="rId907">
        <w:r>
          <w:rPr>
            <w:sz w:val="16"/>
          </w:rPr>
          <w:t>em:&lt;http://anglo.olyva.com.br/aa_br/docs/relatorio-para-sociedade-</w:t>
        </w:r>
      </w:hyperlink>
      <w:r>
        <w:rPr>
          <w:sz w:val="16"/>
        </w:rPr>
        <w:t xml:space="preserve"> 2008.pdf&gt;. Acesso em: 24 set. 2010.</w:t>
      </w:r>
    </w:p>
    <w:p w:rsidR="00D81F69" w:rsidRDefault="00330118">
      <w:pPr>
        <w:spacing w:before="3" w:line="312" w:lineRule="auto"/>
        <w:ind w:left="100" w:right="102"/>
        <w:jc w:val="both"/>
        <w:rPr>
          <w:sz w:val="16"/>
        </w:rPr>
      </w:pPr>
      <w:r>
        <w:rPr>
          <w:sz w:val="16"/>
        </w:rPr>
        <w:t xml:space="preserve">REVISTA METAIS &amp; FUNDIÇÃO BRASIL. </w:t>
      </w:r>
      <w:r>
        <w:rPr>
          <w:sz w:val="16"/>
        </w:rPr>
        <w:t>A sólida posição no Mercado de Metais. São Paulo, 26 out. 2004. Disponível em:</w:t>
      </w:r>
    </w:p>
    <w:p w:rsidR="00D81F69" w:rsidRDefault="00330118">
      <w:pPr>
        <w:spacing w:before="70" w:line="312" w:lineRule="auto"/>
        <w:ind w:left="100" w:right="196"/>
        <w:jc w:val="both"/>
        <w:rPr>
          <w:sz w:val="16"/>
        </w:rPr>
      </w:pPr>
      <w:r>
        <w:br w:type="column"/>
      </w:r>
      <w:hyperlink r:id="rId908">
        <w:r>
          <w:rPr>
            <w:spacing w:val="15"/>
            <w:sz w:val="16"/>
          </w:rPr>
          <w:t xml:space="preserve">&lt;http://www.revistametaisbrasil.com.br/novomb/edicoes- </w:t>
        </w:r>
      </w:hyperlink>
      <w:r>
        <w:rPr>
          <w:sz w:val="16"/>
        </w:rPr>
        <w:t>anteriores/568-solida-posicao-no-mercado-de-metais</w:t>
      </w:r>
      <w:r>
        <w:rPr>
          <w:sz w:val="16"/>
        </w:rPr>
        <w:t xml:space="preserve">&gt;. Acesso  </w:t>
      </w:r>
      <w:r>
        <w:rPr>
          <w:spacing w:val="1"/>
          <w:sz w:val="16"/>
        </w:rPr>
        <w:t xml:space="preserve">em: </w:t>
      </w:r>
      <w:r>
        <w:rPr>
          <w:sz w:val="16"/>
        </w:rPr>
        <w:t>21 set.</w:t>
      </w:r>
      <w:r>
        <w:rPr>
          <w:spacing w:val="-14"/>
          <w:sz w:val="16"/>
        </w:rPr>
        <w:t xml:space="preserve"> </w:t>
      </w:r>
      <w:r>
        <w:rPr>
          <w:sz w:val="16"/>
        </w:rPr>
        <w:t>2010.</w:t>
      </w:r>
    </w:p>
    <w:p w:rsidR="00D81F69" w:rsidRDefault="00330118">
      <w:pPr>
        <w:tabs>
          <w:tab w:val="left" w:pos="4331"/>
        </w:tabs>
        <w:spacing w:before="2" w:line="312" w:lineRule="auto"/>
        <w:ind w:left="100" w:right="189"/>
        <w:jc w:val="both"/>
        <w:rPr>
          <w:sz w:val="16"/>
        </w:rPr>
      </w:pPr>
      <w:r>
        <w:rPr>
          <w:spacing w:val="1"/>
          <w:sz w:val="16"/>
        </w:rPr>
        <w:t xml:space="preserve">SILVA, Cristina Socorro </w:t>
      </w:r>
      <w:r>
        <w:rPr>
          <w:sz w:val="16"/>
        </w:rPr>
        <w:t xml:space="preserve">da. </w:t>
      </w:r>
      <w:r>
        <w:rPr>
          <w:spacing w:val="1"/>
          <w:sz w:val="16"/>
        </w:rPr>
        <w:t xml:space="preserve">Níquel. Economia Mineral </w:t>
      </w:r>
      <w:r>
        <w:rPr>
          <w:sz w:val="16"/>
        </w:rPr>
        <w:t xml:space="preserve">do </w:t>
      </w:r>
      <w:r>
        <w:rPr>
          <w:spacing w:val="1"/>
          <w:sz w:val="16"/>
        </w:rPr>
        <w:t xml:space="preserve">Brasil </w:t>
      </w:r>
      <w:r>
        <w:rPr>
          <w:sz w:val="16"/>
        </w:rPr>
        <w:t xml:space="preserve">– </w:t>
      </w:r>
      <w:r>
        <w:rPr>
          <w:spacing w:val="7"/>
          <w:sz w:val="16"/>
        </w:rPr>
        <w:t xml:space="preserve">2009. </w:t>
      </w:r>
      <w:r>
        <w:rPr>
          <w:spacing w:val="8"/>
          <w:sz w:val="16"/>
        </w:rPr>
        <w:t xml:space="preserve">Departamento </w:t>
      </w:r>
      <w:r>
        <w:rPr>
          <w:spacing w:val="7"/>
          <w:sz w:val="16"/>
        </w:rPr>
        <w:t xml:space="preserve">Nacional </w:t>
      </w:r>
      <w:r>
        <w:rPr>
          <w:spacing w:val="5"/>
          <w:sz w:val="16"/>
        </w:rPr>
        <w:t xml:space="preserve">de  </w:t>
      </w:r>
      <w:r>
        <w:rPr>
          <w:spacing w:val="7"/>
          <w:sz w:val="16"/>
        </w:rPr>
        <w:t xml:space="preserve">Produção Mineral </w:t>
      </w:r>
      <w:r>
        <w:rPr>
          <w:spacing w:val="10"/>
          <w:sz w:val="16"/>
        </w:rPr>
        <w:t xml:space="preserve">(DNPM).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330118">
      <w:pPr>
        <w:spacing w:before="3" w:line="312" w:lineRule="auto"/>
        <w:ind w:left="100" w:right="217"/>
        <w:jc w:val="both"/>
        <w:rPr>
          <w:sz w:val="16"/>
        </w:rPr>
      </w:pPr>
      <w:r>
        <w:rPr>
          <w:sz w:val="16"/>
        </w:rPr>
        <w:t>&lt;https://sistemas.dnpm.gov.br/publica</w:t>
      </w:r>
      <w:r>
        <w:rPr>
          <w:sz w:val="16"/>
        </w:rPr>
        <w:t>cao/mostra_imagem.asp?IDBan coArquivoArquivo=3984&gt;. Acesso em: 27 set. 2010.</w:t>
      </w:r>
    </w:p>
    <w:p w:rsidR="00D81F69" w:rsidRDefault="00330118">
      <w:pPr>
        <w:spacing w:before="1"/>
        <w:ind w:left="100"/>
        <w:rPr>
          <w:sz w:val="16"/>
        </w:rPr>
      </w:pPr>
      <w:r>
        <w:rPr>
          <w:sz w:val="16"/>
        </w:rPr>
        <w:t xml:space="preserve">SOUZA, Antônio Eleutério. Cobalto. Disponível em: </w:t>
      </w:r>
    </w:p>
    <w:p w:rsidR="00D81F69" w:rsidRDefault="00D81F69">
      <w:pPr>
        <w:spacing w:before="56" w:line="312" w:lineRule="auto"/>
        <w:ind w:left="100" w:right="216"/>
        <w:jc w:val="both"/>
        <w:rPr>
          <w:sz w:val="16"/>
        </w:rPr>
      </w:pPr>
      <w:hyperlink r:id="rId909">
        <w:r w:rsidR="00330118">
          <w:rPr>
            <w:sz w:val="16"/>
          </w:rPr>
          <w:t>&lt;</w:t>
        </w:r>
        <w:r w:rsidR="00330118">
          <w:rPr>
            <w:sz w:val="16"/>
          </w:rPr>
          <w:t>http://www.dnpm.gov.br/mostra_arquivo.asp?IDBancoArquivoArquiv</w:t>
        </w:r>
      </w:hyperlink>
      <w:r w:rsidR="00330118">
        <w:rPr>
          <w:sz w:val="16"/>
        </w:rPr>
        <w:t xml:space="preserve"> o=4358&gt;. Acesso em: 27 set. 2010.</w:t>
      </w:r>
    </w:p>
    <w:p w:rsidR="00D81F69" w:rsidRDefault="00330118">
      <w:pPr>
        <w:spacing w:before="2" w:line="312" w:lineRule="auto"/>
        <w:ind w:left="100" w:right="163"/>
        <w:jc w:val="both"/>
        <w:rPr>
          <w:sz w:val="16"/>
        </w:rPr>
      </w:pPr>
      <w:r>
        <w:rPr>
          <w:spacing w:val="7"/>
          <w:sz w:val="16"/>
        </w:rPr>
        <w:t xml:space="preserve">STRAUCH, Julia Célia Mercedes; SOUZA, Keila Valente </w:t>
      </w:r>
      <w:r>
        <w:rPr>
          <w:spacing w:val="10"/>
          <w:sz w:val="16"/>
        </w:rPr>
        <w:t xml:space="preserve">de; </w:t>
      </w:r>
      <w:r>
        <w:rPr>
          <w:spacing w:val="3"/>
          <w:sz w:val="16"/>
        </w:rPr>
        <w:t xml:space="preserve">TEIXEIRA, Moema </w:t>
      </w:r>
      <w:r>
        <w:rPr>
          <w:spacing w:val="1"/>
          <w:sz w:val="16"/>
        </w:rPr>
        <w:t xml:space="preserve">de </w:t>
      </w:r>
      <w:r>
        <w:rPr>
          <w:spacing w:val="3"/>
          <w:sz w:val="16"/>
        </w:rPr>
        <w:t xml:space="preserve">Poli; AJARA, César; CARDOSO, </w:t>
      </w:r>
      <w:r>
        <w:rPr>
          <w:spacing w:val="5"/>
          <w:sz w:val="16"/>
        </w:rPr>
        <w:t xml:space="preserve">Sandra </w:t>
      </w:r>
      <w:r>
        <w:rPr>
          <w:spacing w:val="3"/>
          <w:sz w:val="16"/>
        </w:rPr>
        <w:t xml:space="preserve">Canton. Grandes mineradoras </w:t>
      </w:r>
      <w:r>
        <w:rPr>
          <w:sz w:val="16"/>
        </w:rPr>
        <w:t xml:space="preserve">e a </w:t>
      </w:r>
      <w:r>
        <w:rPr>
          <w:spacing w:val="3"/>
          <w:sz w:val="16"/>
        </w:rPr>
        <w:t xml:space="preserve">comunidade </w:t>
      </w:r>
      <w:r>
        <w:rPr>
          <w:spacing w:val="1"/>
          <w:sz w:val="16"/>
        </w:rPr>
        <w:t xml:space="preserve">em </w:t>
      </w:r>
      <w:r>
        <w:rPr>
          <w:spacing w:val="5"/>
          <w:sz w:val="16"/>
        </w:rPr>
        <w:t>Ni</w:t>
      </w:r>
      <w:r>
        <w:rPr>
          <w:spacing w:val="5"/>
          <w:sz w:val="16"/>
        </w:rPr>
        <w:t xml:space="preserve">quelândia, </w:t>
      </w:r>
      <w:r>
        <w:rPr>
          <w:sz w:val="16"/>
        </w:rPr>
        <w:t xml:space="preserve">Goiás. In: FERNANDES, Francisco Rego Chaves; ENRIQUEZ, Maria Amélia; ALAMINO, Renata de Carvalho Jimenez. Recursos minerais   e </w:t>
      </w:r>
      <w:r>
        <w:rPr>
          <w:spacing w:val="1"/>
          <w:sz w:val="16"/>
        </w:rPr>
        <w:t xml:space="preserve">sustentabilidade territorial: </w:t>
      </w:r>
      <w:r>
        <w:rPr>
          <w:sz w:val="16"/>
        </w:rPr>
        <w:t xml:space="preserve">v. 1. </w:t>
      </w:r>
      <w:r>
        <w:rPr>
          <w:spacing w:val="1"/>
          <w:sz w:val="16"/>
        </w:rPr>
        <w:t xml:space="preserve">Grandes Minas </w:t>
      </w:r>
      <w:r>
        <w:rPr>
          <w:sz w:val="16"/>
        </w:rPr>
        <w:t xml:space="preserve">e </w:t>
      </w:r>
      <w:r>
        <w:rPr>
          <w:spacing w:val="2"/>
          <w:sz w:val="16"/>
        </w:rPr>
        <w:t xml:space="preserve">Comunidades </w:t>
      </w:r>
      <w:r>
        <w:rPr>
          <w:spacing w:val="30"/>
          <w:sz w:val="16"/>
        </w:rPr>
        <w:t>Locais</w:t>
      </w:r>
      <w:r>
        <w:rPr>
          <w:spacing w:val="105"/>
          <w:sz w:val="16"/>
        </w:rPr>
        <w:t xml:space="preserve"> </w:t>
      </w:r>
      <w:r>
        <w:rPr>
          <w:spacing w:val="33"/>
          <w:sz w:val="16"/>
        </w:rPr>
        <w:t xml:space="preserve">CETEM/MCTI, </w:t>
      </w:r>
      <w:r>
        <w:rPr>
          <w:spacing w:val="30"/>
          <w:sz w:val="16"/>
        </w:rPr>
        <w:t xml:space="preserve">2011. </w:t>
      </w:r>
      <w:r>
        <w:rPr>
          <w:spacing w:val="33"/>
          <w:sz w:val="16"/>
        </w:rPr>
        <w:t>Disponível</w:t>
      </w:r>
      <w:r>
        <w:rPr>
          <w:spacing w:val="46"/>
          <w:sz w:val="16"/>
        </w:rPr>
        <w:t xml:space="preserve"> </w:t>
      </w:r>
      <w:r>
        <w:rPr>
          <w:spacing w:val="25"/>
          <w:sz w:val="16"/>
        </w:rPr>
        <w:t>em:</w:t>
      </w:r>
      <w:r>
        <w:rPr>
          <w:spacing w:val="-5"/>
          <w:sz w:val="16"/>
        </w:rPr>
        <w:t xml:space="preserve"> </w:t>
      </w:r>
    </w:p>
    <w:p w:rsidR="00D81F69" w:rsidRDefault="00D81F69">
      <w:pPr>
        <w:spacing w:before="6" w:line="312" w:lineRule="auto"/>
        <w:ind w:left="100" w:right="192"/>
        <w:jc w:val="both"/>
        <w:rPr>
          <w:sz w:val="16"/>
        </w:rPr>
      </w:pPr>
      <w:hyperlink r:id="rId910">
        <w:r w:rsidR="00330118">
          <w:rPr>
            <w:sz w:val="16"/>
          </w:rPr>
          <w:t>&lt;http://www.cetem.gov.br/workshop/pdf/vol1grandesminas.pdf&gt;.</w:t>
        </w:r>
      </w:hyperlink>
      <w:r w:rsidR="00330118">
        <w:rPr>
          <w:sz w:val="16"/>
        </w:rPr>
        <w:t xml:space="preserve"> Acesso em 08 nov. 2011.</w:t>
      </w:r>
    </w:p>
    <w:p w:rsidR="00D81F69" w:rsidRDefault="00330118">
      <w:pPr>
        <w:spacing w:before="1" w:line="312" w:lineRule="auto"/>
        <w:ind w:left="100" w:right="194"/>
        <w:jc w:val="both"/>
        <w:rPr>
          <w:sz w:val="16"/>
        </w:rPr>
      </w:pPr>
      <w:r>
        <w:rPr>
          <w:sz w:val="16"/>
        </w:rPr>
        <w:t>VOTORANTIM METAIS. Pioneirismo na América Latina. Negócios VM, 2007a. Disponível em:</w:t>
      </w:r>
      <w:hyperlink r:id="rId911">
        <w:r>
          <w:rPr>
            <w:sz w:val="16"/>
          </w:rPr>
          <w:t xml:space="preserve"> &lt;http://www.vmetais.com.br/pt-</w:t>
        </w:r>
      </w:hyperlink>
      <w:r>
        <w:rPr>
          <w:sz w:val="16"/>
        </w:rPr>
        <w:t xml:space="preserve"> br/negociosVM/niquel/Paginas/niquel.aspx&gt;. Acesso em: 13 mar. 2011.</w:t>
      </w:r>
    </w:p>
    <w:p w:rsidR="00D81F69" w:rsidRDefault="00330118">
      <w:pPr>
        <w:tabs>
          <w:tab w:val="left" w:pos="864"/>
        </w:tabs>
        <w:spacing w:before="4" w:line="312" w:lineRule="auto"/>
        <w:ind w:left="100" w:right="159"/>
        <w:rPr>
          <w:sz w:val="16"/>
        </w:rPr>
      </w:pPr>
      <w:r>
        <w:rPr>
          <w:sz w:val="16"/>
        </w:rPr>
        <w:t xml:space="preserve">______. Padrão de qualidade único. Tecnologia, 2007b. Disponível     </w:t>
      </w:r>
      <w:r>
        <w:rPr>
          <w:spacing w:val="25"/>
          <w:sz w:val="16"/>
        </w:rPr>
        <w:t>e</w:t>
      </w:r>
      <w:r>
        <w:rPr>
          <w:sz w:val="16"/>
        </w:rPr>
        <w:t xml:space="preserve"> </w:t>
      </w:r>
      <w:r>
        <w:rPr>
          <w:spacing w:val="25"/>
          <w:sz w:val="16"/>
        </w:rPr>
        <w:t>m</w:t>
      </w:r>
      <w:r>
        <w:rPr>
          <w:sz w:val="16"/>
        </w:rPr>
        <w:t xml:space="preserve"> :</w:t>
      </w:r>
      <w:r>
        <w:rPr>
          <w:sz w:val="16"/>
        </w:rPr>
        <w:tab/>
      </w:r>
      <w:hyperlink r:id="rId912">
        <w:r>
          <w:rPr>
            <w:spacing w:val="25"/>
            <w:sz w:val="16"/>
          </w:rPr>
          <w:t>&lt;</w:t>
        </w:r>
        <w:r>
          <w:rPr>
            <w:sz w:val="16"/>
          </w:rPr>
          <w:t xml:space="preserve"> </w:t>
        </w:r>
        <w:r>
          <w:rPr>
            <w:spacing w:val="25"/>
            <w:sz w:val="16"/>
          </w:rPr>
          <w:t>h</w:t>
        </w:r>
        <w:r>
          <w:rPr>
            <w:sz w:val="16"/>
          </w:rPr>
          <w:t xml:space="preserve"> </w:t>
        </w:r>
        <w:r>
          <w:rPr>
            <w:spacing w:val="25"/>
            <w:sz w:val="16"/>
          </w:rPr>
          <w:t>t</w:t>
        </w:r>
        <w:r>
          <w:rPr>
            <w:sz w:val="16"/>
          </w:rPr>
          <w:t xml:space="preserve"> </w:t>
        </w:r>
        <w:r>
          <w:rPr>
            <w:spacing w:val="25"/>
            <w:sz w:val="16"/>
          </w:rPr>
          <w:t>t</w:t>
        </w:r>
        <w:r>
          <w:rPr>
            <w:sz w:val="16"/>
          </w:rPr>
          <w:t xml:space="preserve"> </w:t>
        </w:r>
        <w:r>
          <w:rPr>
            <w:spacing w:val="25"/>
            <w:sz w:val="16"/>
          </w:rPr>
          <w:t>p</w:t>
        </w:r>
        <w:r>
          <w:rPr>
            <w:sz w:val="16"/>
          </w:rPr>
          <w:t xml:space="preserve"> </w:t>
        </w:r>
        <w:r>
          <w:rPr>
            <w:spacing w:val="25"/>
            <w:sz w:val="16"/>
          </w:rPr>
          <w:t>:</w:t>
        </w:r>
        <w:r>
          <w:rPr>
            <w:sz w:val="16"/>
          </w:rPr>
          <w:t xml:space="preserve"> </w:t>
        </w:r>
        <w:r>
          <w:rPr>
            <w:spacing w:val="25"/>
            <w:sz w:val="16"/>
          </w:rPr>
          <w:t>/</w:t>
        </w:r>
        <w:r>
          <w:rPr>
            <w:sz w:val="16"/>
          </w:rPr>
          <w:t xml:space="preserve"> </w:t>
        </w:r>
        <w:r>
          <w:rPr>
            <w:spacing w:val="25"/>
            <w:sz w:val="16"/>
          </w:rPr>
          <w:t>/</w:t>
        </w:r>
        <w:r>
          <w:rPr>
            <w:sz w:val="16"/>
          </w:rPr>
          <w:t xml:space="preserve"> </w:t>
        </w:r>
        <w:r>
          <w:rPr>
            <w:spacing w:val="25"/>
            <w:sz w:val="16"/>
          </w:rPr>
          <w:t>w</w:t>
        </w:r>
        <w:r>
          <w:rPr>
            <w:sz w:val="16"/>
          </w:rPr>
          <w:t xml:space="preserve"> </w:t>
        </w:r>
        <w:r>
          <w:rPr>
            <w:spacing w:val="25"/>
            <w:sz w:val="16"/>
          </w:rPr>
          <w:t>w</w:t>
        </w:r>
        <w:r>
          <w:rPr>
            <w:sz w:val="16"/>
          </w:rPr>
          <w:t xml:space="preserve"> </w:t>
        </w:r>
        <w:r>
          <w:rPr>
            <w:spacing w:val="25"/>
            <w:sz w:val="16"/>
          </w:rPr>
          <w:t>w</w:t>
        </w:r>
        <w:r>
          <w:rPr>
            <w:sz w:val="16"/>
          </w:rPr>
          <w:t xml:space="preserve"> </w:t>
        </w:r>
        <w:r>
          <w:rPr>
            <w:spacing w:val="25"/>
            <w:sz w:val="16"/>
          </w:rPr>
          <w:t>.</w:t>
        </w:r>
        <w:r>
          <w:rPr>
            <w:sz w:val="16"/>
          </w:rPr>
          <w:t xml:space="preserve"> </w:t>
        </w:r>
        <w:r>
          <w:rPr>
            <w:spacing w:val="25"/>
            <w:sz w:val="16"/>
          </w:rPr>
          <w:t>v</w:t>
        </w:r>
        <w:r>
          <w:rPr>
            <w:sz w:val="16"/>
          </w:rPr>
          <w:t xml:space="preserve"> </w:t>
        </w:r>
        <w:r>
          <w:rPr>
            <w:spacing w:val="25"/>
            <w:sz w:val="16"/>
          </w:rPr>
          <w:t>m</w:t>
        </w:r>
        <w:r>
          <w:rPr>
            <w:sz w:val="16"/>
          </w:rPr>
          <w:t xml:space="preserve"> </w:t>
        </w:r>
        <w:r>
          <w:rPr>
            <w:spacing w:val="25"/>
            <w:sz w:val="16"/>
          </w:rPr>
          <w:t>e</w:t>
        </w:r>
        <w:r>
          <w:rPr>
            <w:sz w:val="16"/>
          </w:rPr>
          <w:t xml:space="preserve"> </w:t>
        </w:r>
        <w:r>
          <w:rPr>
            <w:spacing w:val="25"/>
            <w:sz w:val="16"/>
          </w:rPr>
          <w:t>t</w:t>
        </w:r>
        <w:r>
          <w:rPr>
            <w:sz w:val="16"/>
          </w:rPr>
          <w:t xml:space="preserve"> </w:t>
        </w:r>
        <w:r>
          <w:rPr>
            <w:spacing w:val="25"/>
            <w:sz w:val="16"/>
          </w:rPr>
          <w:t>a</w:t>
        </w:r>
        <w:r>
          <w:rPr>
            <w:sz w:val="16"/>
          </w:rPr>
          <w:t xml:space="preserve"> </w:t>
        </w:r>
        <w:r>
          <w:rPr>
            <w:spacing w:val="25"/>
            <w:sz w:val="16"/>
          </w:rPr>
          <w:t>i</w:t>
        </w:r>
        <w:r>
          <w:rPr>
            <w:sz w:val="16"/>
          </w:rPr>
          <w:t xml:space="preserve"> </w:t>
        </w:r>
        <w:r>
          <w:rPr>
            <w:spacing w:val="25"/>
            <w:sz w:val="16"/>
          </w:rPr>
          <w:t>s</w:t>
        </w:r>
        <w:r>
          <w:rPr>
            <w:sz w:val="16"/>
          </w:rPr>
          <w:t xml:space="preserve"> </w:t>
        </w:r>
        <w:r>
          <w:rPr>
            <w:spacing w:val="25"/>
            <w:sz w:val="16"/>
          </w:rPr>
          <w:t>.</w:t>
        </w:r>
        <w:r>
          <w:rPr>
            <w:sz w:val="16"/>
          </w:rPr>
          <w:t xml:space="preserve"> </w:t>
        </w:r>
        <w:r>
          <w:rPr>
            <w:spacing w:val="25"/>
            <w:sz w:val="16"/>
          </w:rPr>
          <w:t>c</w:t>
        </w:r>
        <w:r>
          <w:rPr>
            <w:sz w:val="16"/>
          </w:rPr>
          <w:t xml:space="preserve"> </w:t>
        </w:r>
        <w:r>
          <w:rPr>
            <w:spacing w:val="25"/>
            <w:sz w:val="16"/>
          </w:rPr>
          <w:t>o</w:t>
        </w:r>
        <w:r>
          <w:rPr>
            <w:sz w:val="16"/>
          </w:rPr>
          <w:t xml:space="preserve"> </w:t>
        </w:r>
        <w:r>
          <w:rPr>
            <w:spacing w:val="25"/>
            <w:sz w:val="16"/>
          </w:rPr>
          <w:t>m</w:t>
        </w:r>
        <w:r>
          <w:rPr>
            <w:sz w:val="16"/>
          </w:rPr>
          <w:t xml:space="preserve"> </w:t>
        </w:r>
        <w:r>
          <w:rPr>
            <w:spacing w:val="25"/>
            <w:sz w:val="16"/>
          </w:rPr>
          <w:t>.</w:t>
        </w:r>
        <w:r>
          <w:rPr>
            <w:sz w:val="16"/>
          </w:rPr>
          <w:t xml:space="preserve"> </w:t>
        </w:r>
        <w:r>
          <w:rPr>
            <w:spacing w:val="25"/>
            <w:sz w:val="16"/>
          </w:rPr>
          <w:t>b</w:t>
        </w:r>
        <w:r>
          <w:rPr>
            <w:sz w:val="16"/>
          </w:rPr>
          <w:t xml:space="preserve"> </w:t>
        </w:r>
        <w:r>
          <w:rPr>
            <w:spacing w:val="25"/>
            <w:sz w:val="16"/>
          </w:rPr>
          <w:t>r</w:t>
        </w:r>
        <w:r>
          <w:rPr>
            <w:sz w:val="16"/>
          </w:rPr>
          <w:t xml:space="preserve"> </w:t>
        </w:r>
        <w:r>
          <w:rPr>
            <w:spacing w:val="25"/>
            <w:sz w:val="16"/>
          </w:rPr>
          <w:t>/</w:t>
        </w:r>
        <w:r>
          <w:rPr>
            <w:sz w:val="16"/>
          </w:rPr>
          <w:t xml:space="preserve"> </w:t>
        </w:r>
        <w:r>
          <w:rPr>
            <w:spacing w:val="25"/>
            <w:sz w:val="16"/>
          </w:rPr>
          <w:t>p</w:t>
        </w:r>
        <w:r>
          <w:rPr>
            <w:sz w:val="16"/>
          </w:rPr>
          <w:t xml:space="preserve"> </w:t>
        </w:r>
        <w:r>
          <w:rPr>
            <w:spacing w:val="25"/>
            <w:sz w:val="16"/>
          </w:rPr>
          <w:t>t</w:t>
        </w:r>
        <w:r>
          <w:rPr>
            <w:sz w:val="16"/>
          </w:rPr>
          <w:t xml:space="preserve"> - </w:t>
        </w:r>
      </w:hyperlink>
      <w:r>
        <w:rPr>
          <w:sz w:val="16"/>
        </w:rPr>
        <w:t>br/negociosVM/niquel/Paginas/tecnologia.aspx&gt;. Acesso em: 24 set. 2010.</w:t>
      </w:r>
    </w:p>
    <w:p w:rsidR="00D81F69" w:rsidRDefault="00D81F69">
      <w:pPr>
        <w:spacing w:line="312" w:lineRule="auto"/>
        <w:rPr>
          <w:sz w:val="16"/>
        </w:rPr>
        <w:sectPr w:rsidR="00D81F69">
          <w:pgSz w:w="11900" w:h="16840"/>
          <w:pgMar w:top="740" w:right="500" w:bottom="720" w:left="620" w:header="0" w:footer="402" w:gutter="0"/>
          <w:cols w:num="2" w:space="720" w:equalWidth="0">
            <w:col w:w="5203" w:space="267"/>
            <w:col w:w="5310"/>
          </w:cols>
        </w:sectPr>
      </w:pPr>
    </w:p>
    <w:p w:rsidR="00D81F69" w:rsidRDefault="00330118">
      <w:pPr>
        <w:pStyle w:val="Heading1"/>
        <w:spacing w:line="208" w:lineRule="auto"/>
      </w:pPr>
      <w:r>
        <w:lastRenderedPageBreak/>
        <w:t>Apesar de ter uma das minas de ouro mais produtivas do Brasil, Crixás (GO) continua com baixo</w:t>
      </w:r>
      <w:r>
        <w:rPr>
          <w:spacing w:val="83"/>
        </w:rPr>
        <w:t xml:space="preserve"> </w:t>
      </w:r>
      <w:r>
        <w:t>IDH</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GO - Crixás</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-14,5269</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-49,9302</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6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Crixás, em Goiás, é sede de uma das </w:t>
      </w:r>
      <w:r>
        <w:rPr>
          <w:i/>
          <w:sz w:val="16"/>
        </w:rPr>
        <w:t>mais produtivas minas de ouro do país. Apesar da pujança da mina, o município, que conta com mais de 15 mil habitantes, encontra-se entre aqueles que apresentam piores resultados para os indicadores de desenvolvimento humano, muito inferiores aos das média</w:t>
      </w:r>
      <w:r>
        <w:rPr>
          <w:i/>
          <w:sz w:val="16"/>
        </w:rPr>
        <w:t>s do estado e do Brasil.</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7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88"/>
      </w:pPr>
      <w:r>
        <w:t xml:space="preserve">O ouro de Crixás está presente no minério em associação à arsenopirita (FeAsS), um mineral sulfetado de </w:t>
      </w:r>
      <w:hyperlink r:id="rId913">
        <w:r>
          <w:t>arsênio.</w:t>
        </w:r>
      </w:hyperlink>
      <w:r>
        <w:t xml:space="preserve"> Características geológicas semelhantes ocorrem, por exemplo, no Quadrilátero Ferrífero, no Morro do Ouro, em Paracatu, Minas Gerais, e na Fazenda Brasileiro, na Bahia (DESCHAMPS; MATSCHULLAT, 2007).</w:t>
      </w:r>
    </w:p>
    <w:p w:rsidR="00D81F69" w:rsidRDefault="00330118">
      <w:pPr>
        <w:pStyle w:val="Corpodetexto"/>
        <w:spacing w:before="72" w:line="270" w:lineRule="atLeast"/>
        <w:ind w:left="135" w:right="203"/>
      </w:pPr>
      <w:r>
        <w:t>Em 2002, o Ministério Público (MP) de Goiás relatara a e</w:t>
      </w:r>
      <w:r>
        <w:t xml:space="preserve">xistência de uma série de garimpos clandestinos que estariam contribuindo para a contaminação da região por </w:t>
      </w:r>
      <w:hyperlink r:id="rId914">
        <w:r>
          <w:t>mercúrio</w:t>
        </w:r>
      </w:hyperlink>
      <w:r>
        <w:t xml:space="preserve"> (MP-GO, 2002). Os garimpos haviam sido embargado</w:t>
      </w:r>
      <w:r>
        <w:t>s pelo Instituto Brasileiro do Meio Ambiente e dos</w:t>
      </w:r>
    </w:p>
    <w:p w:rsidR="00D81F69" w:rsidRDefault="00D81F69">
      <w:pPr>
        <w:spacing w:line="270" w:lineRule="atLeast"/>
        <w:sectPr w:rsidR="00D81F69">
          <w:type w:val="continuous"/>
          <w:pgSz w:w="11900" w:h="16840"/>
          <w:pgMar w:top="720" w:right="500" w:bottom="280" w:left="620" w:header="720" w:footer="720" w:gutter="0"/>
          <w:cols w:num="3" w:space="720" w:equalWidth="0">
            <w:col w:w="1008" w:space="992"/>
            <w:col w:w="3116" w:space="319"/>
            <w:col w:w="5345"/>
          </w:cols>
        </w:sectPr>
      </w:pPr>
    </w:p>
    <w:p w:rsidR="00D81F69" w:rsidRDefault="00330118">
      <w:pPr>
        <w:pStyle w:val="Heading4"/>
        <w:spacing w:line="183" w:lineRule="exact"/>
        <w:jc w:val="left"/>
      </w:pPr>
      <w:r>
        <w:lastRenderedPageBreak/>
        <w:t>APRESENTAÇÃO DE CASO</w:t>
      </w:r>
    </w:p>
    <w:p w:rsidR="00D81F69" w:rsidRDefault="00330118">
      <w:pPr>
        <w:pStyle w:val="Corpodetexto"/>
        <w:spacing w:before="170" w:line="312" w:lineRule="auto"/>
        <w:ind w:right="40"/>
        <w:jc w:val="left"/>
      </w:pPr>
      <w:r>
        <w:t>O início da mineração em Goiás remonta às primeiras décadas do século XVIII, quando uma expedição bandeirante comandada por Bartolomeu Bueno da Silva de</w:t>
      </w:r>
      <w:r>
        <w:t>scobriu córregos auríferos no sertão goiano (FERNANDES; LIMA; TEIXEIRA, 2007). Desde então, o município de Crixás, com 4.661,158 km² e 15.762 habitantes (IBGE, 2010), conheceu vários ciclos de extração do ouro, entre atividades de garimpeiros e empresas mi</w:t>
      </w:r>
      <w:r>
        <w:t>neradoras, e demonstrou uma forte dependência em relação ao metal, visto que não há, na região, nenhuma outra atividade econômica de grande ou médio porte, apenas a criação extensiva de gado (TEIXEIRA; FERNANDES; LIMA, 2007; FERNANDES; LIMA; TEIXEIRA, 2011</w:t>
      </w:r>
      <w:r>
        <w:t>).</w:t>
      </w:r>
    </w:p>
    <w:p w:rsidR="00D81F69" w:rsidRDefault="00330118">
      <w:pPr>
        <w:pStyle w:val="Corpodetexto"/>
        <w:spacing w:before="142" w:line="312" w:lineRule="auto"/>
        <w:ind w:right="94"/>
      </w:pPr>
      <w:r>
        <w:t>Em 1989, a Mineração Serra Grande S/A iniciou suas operações na Grande Mina de Ouro de Crixás. A empresa é uma joint-venture entre dois dos mais poderosos grupos de mineração do mundo: a sul africana AngloGold Ashanti e o grupo canadense Kinross Gold Gr</w:t>
      </w:r>
      <w:r>
        <w:t>oup, sendo administrada pelo primeiro (ANGLOGOLD ASHANTI BRASIL, 2011).</w:t>
      </w:r>
    </w:p>
    <w:p w:rsidR="00D81F69" w:rsidRDefault="00330118">
      <w:pPr>
        <w:pStyle w:val="Corpodetexto"/>
        <w:spacing w:before="136" w:line="312" w:lineRule="auto"/>
        <w:ind w:right="38"/>
      </w:pPr>
      <w:r>
        <w:t>A Grande Mina de Ouro é dividida em quatro frentes de lavra, das quais três são subterrâneas. Ao todo, a Mineração Serra Grande ocupa uma área de 210 km² e emprega cerca de</w:t>
      </w:r>
    </w:p>
    <w:p w:rsidR="00D81F69" w:rsidRDefault="00330118">
      <w:pPr>
        <w:pStyle w:val="Corpodetexto"/>
        <w:spacing w:before="2" w:line="312" w:lineRule="auto"/>
        <w:ind w:right="83"/>
      </w:pPr>
      <w:r>
        <w:t>1.200 traba</w:t>
      </w:r>
      <w:r>
        <w:t>lhadores (FERREIRA, 2009). Em 2006, apenas 43% dos funcionários eram naturais de Crixás. A produção anual média era de, aproximadamente, 5,2 toneladas de ouro, e o faturamento mensal, estimado em R$ 27 milhões (FERNANDES; LIMA; TEIXEIRA, 2007; FERNANDES; L</w:t>
      </w:r>
      <w:r>
        <w:t>IMA; TEIXEIRA, 2011).</w:t>
      </w:r>
    </w:p>
    <w:p w:rsidR="00D81F69" w:rsidRDefault="00330118">
      <w:pPr>
        <w:pStyle w:val="Corpodetexto"/>
        <w:spacing w:before="136" w:line="312" w:lineRule="auto"/>
        <w:ind w:right="84"/>
      </w:pPr>
      <w:r>
        <w:t>Até o ano de 2006, já haviam sido extraídas mais de 81 toneladas de ouro do local. Acionistas da Kinross afirmam que a mina é uma das mais rentáveis do mundo, por possuir custos de produção muito baixos em comparação com outras (KINRO</w:t>
      </w:r>
      <w:r>
        <w:t>SS, 2003). Segundo cálculos do Departamento Nacional de Pesquisa Mineral (DNPM), a mina está chegando ao seu limite e deve se exaurir até 2015 (FERNANDES; LIMA; TEIXEIRA, 2007; FERNANDES; LIMA; TEIXEIRA, 2011).</w:t>
      </w:r>
    </w:p>
    <w:p w:rsidR="00D81F69" w:rsidRDefault="00330118">
      <w:pPr>
        <w:pStyle w:val="Corpodetexto"/>
        <w:spacing w:before="63" w:line="312" w:lineRule="auto"/>
        <w:ind w:right="185"/>
      </w:pPr>
      <w:r>
        <w:br w:type="column"/>
      </w:r>
      <w:r>
        <w:lastRenderedPageBreak/>
        <w:t xml:space="preserve">Recursos Naturais Renováveis (Ibama) e pela </w:t>
      </w:r>
      <w:r>
        <w:t xml:space="preserve">Delegacia do Meio Ambiente até que fosse feita a regularização no órgão ambiental competente (AZEVEDO; DELGADO, 2002). Proibida em 1990, a atividade chegou a reunir, de acordo com relatos locais, mais de cinco mil pessoas (FERNANDES; LIMA; TEIXEIRA, 2007; </w:t>
      </w:r>
      <w:r>
        <w:t>FERNANDES; LIMA; TEIXEIRA, 2011).</w:t>
      </w:r>
    </w:p>
    <w:p w:rsidR="00D81F69" w:rsidRDefault="00330118">
      <w:pPr>
        <w:pStyle w:val="Corpodetexto"/>
        <w:spacing w:before="137" w:line="312" w:lineRule="auto"/>
        <w:ind w:right="186"/>
      </w:pPr>
      <w:r>
        <w:t xml:space="preserve">Em 2004, o MP entrou com uma ação civil pública contra a </w:t>
      </w:r>
      <w:r>
        <w:rPr>
          <w:spacing w:val="3"/>
        </w:rPr>
        <w:t xml:space="preserve">Mineração Serra Grande </w:t>
      </w:r>
      <w:r>
        <w:rPr>
          <w:spacing w:val="2"/>
        </w:rPr>
        <w:t xml:space="preserve">S/A. </w:t>
      </w:r>
      <w:r>
        <w:t xml:space="preserve">A </w:t>
      </w:r>
      <w:r>
        <w:rPr>
          <w:spacing w:val="3"/>
        </w:rPr>
        <w:t xml:space="preserve">mineradora </w:t>
      </w:r>
      <w:r>
        <w:rPr>
          <w:spacing w:val="1"/>
        </w:rPr>
        <w:t xml:space="preserve">já </w:t>
      </w:r>
      <w:r>
        <w:rPr>
          <w:spacing w:val="3"/>
        </w:rPr>
        <w:t xml:space="preserve">havia </w:t>
      </w:r>
      <w:r>
        <w:rPr>
          <w:spacing w:val="5"/>
        </w:rPr>
        <w:t xml:space="preserve">sido </w:t>
      </w:r>
      <w:r>
        <w:t xml:space="preserve">multada, anos antes, pelo MP, em razão do rompimento de sua </w:t>
      </w:r>
      <w:r>
        <w:rPr>
          <w:spacing w:val="1"/>
        </w:rPr>
        <w:t xml:space="preserve">barragem </w:t>
      </w:r>
      <w:r>
        <w:t xml:space="preserve">de </w:t>
      </w:r>
      <w:r>
        <w:rPr>
          <w:spacing w:val="1"/>
        </w:rPr>
        <w:t xml:space="preserve">rejeitos químicos, </w:t>
      </w:r>
      <w:r>
        <w:t xml:space="preserve">na </w:t>
      </w:r>
      <w:r>
        <w:rPr>
          <w:spacing w:val="1"/>
        </w:rPr>
        <w:t xml:space="preserve">década </w:t>
      </w:r>
      <w:r>
        <w:t xml:space="preserve">de </w:t>
      </w:r>
      <w:r>
        <w:rPr>
          <w:spacing w:val="1"/>
        </w:rPr>
        <w:t xml:space="preserve">1990. </w:t>
      </w:r>
      <w:r>
        <w:t xml:space="preserve">O </w:t>
      </w:r>
      <w:r>
        <w:rPr>
          <w:spacing w:val="1"/>
        </w:rPr>
        <w:t xml:space="preserve">acidente levou </w:t>
      </w:r>
      <w:r>
        <w:t xml:space="preserve">ao </w:t>
      </w:r>
      <w:r>
        <w:rPr>
          <w:spacing w:val="1"/>
        </w:rPr>
        <w:t xml:space="preserve">despejo </w:t>
      </w:r>
      <w:r>
        <w:t xml:space="preserve">de </w:t>
      </w:r>
      <w:r>
        <w:rPr>
          <w:spacing w:val="1"/>
        </w:rPr>
        <w:t xml:space="preserve">milhões </w:t>
      </w:r>
      <w:r>
        <w:t xml:space="preserve">de </w:t>
      </w:r>
      <w:r>
        <w:rPr>
          <w:spacing w:val="1"/>
        </w:rPr>
        <w:t xml:space="preserve">litros cúbicos </w:t>
      </w:r>
      <w:r>
        <w:rPr>
          <w:spacing w:val="2"/>
        </w:rPr>
        <w:t xml:space="preserve">de </w:t>
      </w:r>
      <w:r>
        <w:rPr>
          <w:spacing w:val="5"/>
        </w:rPr>
        <w:t xml:space="preserve">água contaminada </w:t>
      </w:r>
      <w:r>
        <w:rPr>
          <w:spacing w:val="2"/>
        </w:rPr>
        <w:t xml:space="preserve">no </w:t>
      </w:r>
      <w:r>
        <w:rPr>
          <w:spacing w:val="3"/>
        </w:rPr>
        <w:t xml:space="preserve">rio </w:t>
      </w:r>
      <w:r>
        <w:rPr>
          <w:spacing w:val="5"/>
        </w:rPr>
        <w:t xml:space="preserve">Vermelho, </w:t>
      </w:r>
      <w:r>
        <w:rPr>
          <w:spacing w:val="2"/>
        </w:rPr>
        <w:t xml:space="preserve">em </w:t>
      </w:r>
      <w:r>
        <w:rPr>
          <w:spacing w:val="5"/>
        </w:rPr>
        <w:t xml:space="preserve">Crixás. </w:t>
      </w:r>
      <w:r>
        <w:t xml:space="preserve">A </w:t>
      </w:r>
      <w:r>
        <w:rPr>
          <w:spacing w:val="6"/>
        </w:rPr>
        <w:t xml:space="preserve">peça </w:t>
      </w:r>
      <w:r>
        <w:rPr>
          <w:spacing w:val="7"/>
        </w:rPr>
        <w:t xml:space="preserve">elaborada </w:t>
      </w:r>
      <w:r>
        <w:rPr>
          <w:spacing w:val="6"/>
        </w:rPr>
        <w:t xml:space="preserve">pelo </w:t>
      </w:r>
      <w:r>
        <w:rPr>
          <w:spacing w:val="5"/>
        </w:rPr>
        <w:t xml:space="preserve">MP </w:t>
      </w:r>
      <w:r>
        <w:t xml:space="preserve">e </w:t>
      </w:r>
      <w:r>
        <w:rPr>
          <w:spacing w:val="7"/>
        </w:rPr>
        <w:t xml:space="preserve">enviada </w:t>
      </w:r>
      <w:r>
        <w:rPr>
          <w:spacing w:val="5"/>
        </w:rPr>
        <w:t xml:space="preserve">ao </w:t>
      </w:r>
      <w:r>
        <w:rPr>
          <w:spacing w:val="6"/>
        </w:rPr>
        <w:t xml:space="preserve">juiz </w:t>
      </w:r>
      <w:r>
        <w:rPr>
          <w:spacing w:val="5"/>
        </w:rPr>
        <w:t xml:space="preserve">do </w:t>
      </w:r>
      <w:r>
        <w:rPr>
          <w:spacing w:val="6"/>
        </w:rPr>
        <w:t xml:space="preserve">caso </w:t>
      </w:r>
      <w:r>
        <w:rPr>
          <w:spacing w:val="10"/>
        </w:rPr>
        <w:t xml:space="preserve">afirma: </w:t>
      </w:r>
      <w:r>
        <w:t xml:space="preserve">“Positivados em várias análises e laudos anexados à presente (peça) fica patente, portanto, que os lançamentos dos rejeitos químicos mencionados – principalmente arsênio e </w:t>
      </w:r>
      <w:hyperlink r:id="rId915">
        <w:r>
          <w:t xml:space="preserve">cianeto </w:t>
        </w:r>
      </w:hyperlink>
      <w:r>
        <w:t>– não atenderam aos níveis recomendados, o que demonstra, de maneira inequívoca, a existência de gravíssima poluição hídrica e a violação à legislação vigente” (ANDRADE; LEONE JR.,</w:t>
      </w:r>
      <w:r>
        <w:t xml:space="preserve"> </w:t>
      </w:r>
      <w:r>
        <w:t>2006).</w:t>
      </w:r>
    </w:p>
    <w:p w:rsidR="00D81F69" w:rsidRDefault="00330118">
      <w:pPr>
        <w:pStyle w:val="Corpodetexto"/>
        <w:spacing w:before="142" w:line="312" w:lineRule="auto"/>
        <w:ind w:right="196"/>
      </w:pPr>
      <w:r>
        <w:t xml:space="preserve">Em 2007, um estudo realizado por pesquisadores do Centro de </w:t>
      </w:r>
      <w:r>
        <w:rPr>
          <w:spacing w:val="1"/>
        </w:rPr>
        <w:t xml:space="preserve">Tecnologia Mineral (CETEM) comparou </w:t>
      </w:r>
      <w:r>
        <w:t xml:space="preserve">uma </w:t>
      </w:r>
      <w:r>
        <w:rPr>
          <w:spacing w:val="1"/>
        </w:rPr>
        <w:t xml:space="preserve">bateria </w:t>
      </w:r>
      <w:r>
        <w:rPr>
          <w:spacing w:val="2"/>
        </w:rPr>
        <w:t xml:space="preserve">de </w:t>
      </w:r>
      <w:r>
        <w:t>Índices de Desenvolvimento Humano (IDH) da população de Crixás, medidos entre os anos de 1991 e 2000. O objetivo do estudo foi determinar se a mi</w:t>
      </w:r>
      <w:r>
        <w:t xml:space="preserve">neração trouxe benefícios reais para os habitantes da região. Foram analisadas questões de </w:t>
      </w:r>
      <w:r>
        <w:rPr>
          <w:spacing w:val="15"/>
        </w:rPr>
        <w:t xml:space="preserve">responsabilidade </w:t>
      </w:r>
      <w:r>
        <w:rPr>
          <w:spacing w:val="13"/>
        </w:rPr>
        <w:t xml:space="preserve">socioambiental, desenvolvimento </w:t>
      </w:r>
      <w:r>
        <w:t>sustentado, bem como as inter-relações entre a grande mina  e a comunidade local (FERNANDES; LIMA; TEIXEIRA, 2007; F</w:t>
      </w:r>
      <w:r>
        <w:t>ERNANDES; LIMA; TEIXEIRA,</w:t>
      </w:r>
      <w:r>
        <w:rPr>
          <w:spacing w:val="20"/>
        </w:rPr>
        <w:t xml:space="preserve"> </w:t>
      </w:r>
      <w:r>
        <w:t>2011).</w:t>
      </w:r>
    </w:p>
    <w:p w:rsidR="00D81F69" w:rsidRDefault="00330118">
      <w:pPr>
        <w:pStyle w:val="Corpodetexto"/>
        <w:spacing w:before="77" w:line="270" w:lineRule="atLeast"/>
        <w:ind w:right="191"/>
      </w:pPr>
      <w:r>
        <w:t xml:space="preserve">Um dos resultados da pesquisa foi a constatação de que, apesar de ter apresentado melhorias no IDH-Municipal (em todas as categorias, exceto no quesito IDH-Renda), Crixás exibiu índices de evolução econômica e social muito </w:t>
      </w:r>
      <w:r>
        <w:t>inferiores aos das médias do estado de Goiás e do Brasil (FERNANDES; LIMA; TEIXEIRA, 2007; FERNANDES; LIMA; TEIXEIRA, 2011).</w:t>
      </w:r>
    </w:p>
    <w:p w:rsidR="00D81F69" w:rsidRDefault="00D81F69">
      <w:pPr>
        <w:spacing w:line="270" w:lineRule="atLeast"/>
        <w:sectPr w:rsidR="00D81F69">
          <w:type w:val="continuous"/>
          <w:pgSz w:w="11900" w:h="16840"/>
          <w:pgMar w:top="720" w:right="500" w:bottom="280" w:left="620" w:header="720" w:footer="720" w:gutter="0"/>
          <w:cols w:num="2" w:space="720" w:equalWidth="0">
            <w:col w:w="5198" w:space="272"/>
            <w:col w:w="5310"/>
          </w:cols>
        </w:sectPr>
      </w:pPr>
    </w:p>
    <w:p w:rsidR="00D81F69" w:rsidRDefault="00D81F69">
      <w:pPr>
        <w:pStyle w:val="Corpodetexto"/>
        <w:spacing w:before="5"/>
        <w:ind w:left="0"/>
        <w:jc w:val="left"/>
        <w:rPr>
          <w:sz w:val="24"/>
        </w:rPr>
      </w:pPr>
    </w:p>
    <w:p w:rsidR="00D81F69" w:rsidRDefault="00330118">
      <w:pPr>
        <w:pStyle w:val="Corpodetexto"/>
        <w:spacing w:line="312" w:lineRule="auto"/>
        <w:ind w:right="38"/>
      </w:pPr>
      <w:r>
        <w:rPr>
          <w:spacing w:val="1"/>
        </w:rPr>
        <w:t xml:space="preserve">Na </w:t>
      </w:r>
      <w:r>
        <w:rPr>
          <w:spacing w:val="3"/>
        </w:rPr>
        <w:t xml:space="preserve">comparação entre </w:t>
      </w:r>
      <w:r>
        <w:t xml:space="preserve">o </w:t>
      </w:r>
      <w:r>
        <w:rPr>
          <w:spacing w:val="2"/>
        </w:rPr>
        <w:t xml:space="preserve">IDH dos 242 </w:t>
      </w:r>
      <w:r>
        <w:rPr>
          <w:spacing w:val="3"/>
        </w:rPr>
        <w:t xml:space="preserve">municípios </w:t>
      </w:r>
      <w:r>
        <w:rPr>
          <w:spacing w:val="5"/>
        </w:rPr>
        <w:t xml:space="preserve">goianos, </w:t>
      </w:r>
      <w:r>
        <w:t xml:space="preserve">medido em 1991, Crixás apresentava a 129º melhor </w:t>
      </w:r>
      <w:r>
        <w:rPr>
          <w:spacing w:val="1"/>
        </w:rPr>
        <w:t xml:space="preserve">média. </w:t>
      </w:r>
      <w:r>
        <w:t xml:space="preserve">Em 2000, caiu para a posição 178, uma queda considerável.  É interessante notar que muitos municípios não mineradores de Goiás obtiveram um resultado muito melhor ao longo do </w:t>
      </w:r>
      <w:r>
        <w:rPr>
          <w:spacing w:val="5"/>
        </w:rPr>
        <w:t xml:space="preserve">mesmo período </w:t>
      </w:r>
      <w:r>
        <w:rPr>
          <w:spacing w:val="6"/>
        </w:rPr>
        <w:t xml:space="preserve">(FERNANDES; </w:t>
      </w:r>
      <w:r>
        <w:rPr>
          <w:spacing w:val="5"/>
        </w:rPr>
        <w:t xml:space="preserve">LIMA; </w:t>
      </w:r>
      <w:r>
        <w:rPr>
          <w:spacing w:val="6"/>
        </w:rPr>
        <w:t xml:space="preserve">TEIXEIRA, </w:t>
      </w:r>
      <w:r>
        <w:rPr>
          <w:spacing w:val="7"/>
        </w:rPr>
        <w:t xml:space="preserve">2007; </w:t>
      </w:r>
      <w:r>
        <w:rPr>
          <w:spacing w:val="6"/>
        </w:rPr>
        <w:t xml:space="preserve">FERNANDES; </w:t>
      </w:r>
      <w:r>
        <w:rPr>
          <w:spacing w:val="5"/>
        </w:rPr>
        <w:t xml:space="preserve">LIMA; </w:t>
      </w:r>
      <w:r>
        <w:rPr>
          <w:spacing w:val="6"/>
        </w:rPr>
        <w:t>TEIXEIRA,</w:t>
      </w:r>
      <w:r>
        <w:rPr>
          <w:spacing w:val="3"/>
        </w:rPr>
        <w:t xml:space="preserve"> </w:t>
      </w:r>
      <w:r>
        <w:rPr>
          <w:spacing w:val="7"/>
        </w:rPr>
        <w:t>2011).</w:t>
      </w:r>
    </w:p>
    <w:p w:rsidR="00D81F69" w:rsidRDefault="00330118">
      <w:pPr>
        <w:pStyle w:val="Corpodetexto"/>
        <w:spacing w:before="136" w:line="312" w:lineRule="auto"/>
        <w:ind w:right="39"/>
      </w:pPr>
      <w:r>
        <w:t>A pobreza de Crixás – que afetava 40% da população, em 2000 – chamou a atenção dos pesquisadores pelo fato de a cidade possuir uma das minas de ouro mais lucrativas do país. O estudo constatou que “os valores do IDH do município-sede da Grande Mina</w:t>
      </w:r>
      <w:r>
        <w:t xml:space="preserve"> de Ouro de Crixás, tanto para 1991, como para 2000, são equiparáveis aos de um conjunto de países entre os mais pobres do mundo como: Bolívia, Guatemala, Guiné Equatorial e Mongólia” (FERNANDES; LIMA; TEIXEIRA, 2007; FERNANDES; LIMA; TEIXEIRA, 2011).</w:t>
      </w:r>
    </w:p>
    <w:p w:rsidR="00D81F69" w:rsidRDefault="00330118">
      <w:pPr>
        <w:pStyle w:val="Corpodetexto"/>
        <w:spacing w:before="140" w:line="312" w:lineRule="auto"/>
        <w:ind w:right="43"/>
      </w:pPr>
      <w:r>
        <w:t>O es</w:t>
      </w:r>
      <w:r>
        <w:t>tudo do CETEM colheu ainda relatos sobre a existência de uma taxa elevada de retardamento mental no município, além de casos de hidrocefalia, Síndrome de Down e problemas neurológicos, os quais podem estar relacionados com a contaminação proveniente da min</w:t>
      </w:r>
      <w:r>
        <w:t>eração (FERNANDES; LIMA; TEIXEIRA, 2007; FERNANDES; LIMA; TEIXEIRA, 2011).</w:t>
      </w:r>
    </w:p>
    <w:p w:rsidR="00D81F69" w:rsidRDefault="00330118">
      <w:pPr>
        <w:pStyle w:val="Corpodetexto"/>
        <w:spacing w:before="136" w:line="312" w:lineRule="auto"/>
        <w:ind w:right="39"/>
      </w:pPr>
      <w:r>
        <w:t xml:space="preserve">Alguns dos moradores de Crixás entrevistados pela equipe do CETEM relacionam as doenças à ocorrência de cianeto, proveniente do processo de beneficiamento do minério. A substância, </w:t>
      </w:r>
      <w:r>
        <w:t>altamente tóxica, estaria misturada nas barragens de rejeitos produzidos pela Mineração Serra Grande. Os acidentes na barragem de rejeitos e a contaminação do rio Vermelho também são do conhecimento da população. A pesquisa do CETEM não constatou a existên</w:t>
      </w:r>
      <w:r>
        <w:t>cia de um trabalho de rastreamento ambiental permanente, por parte da Mineração Serra Grande, para verificar a ocorrência de vazamentos e outras formas de danos ao meio ambiente (FERNANDES; LIMA; TEIXEIRA, 2007; FERNANDES; LIMA; TEIXEIRA, 2011).</w:t>
      </w:r>
    </w:p>
    <w:p w:rsidR="00D81F69" w:rsidRDefault="00330118">
      <w:pPr>
        <w:pStyle w:val="Corpodetexto"/>
        <w:spacing w:before="142" w:line="312" w:lineRule="auto"/>
        <w:ind w:right="45"/>
      </w:pPr>
      <w:r>
        <w:t>Em 2007, e</w:t>
      </w:r>
      <w:r>
        <w:t xml:space="preserve">xistia uma grande apreensão entre os comerciantes de Crixás em relação ao destino de seus negócios e do município quando a mina fechar (FERNANDES; LIMA; TEIXEIRA, 2007). </w:t>
      </w:r>
    </w:p>
    <w:p w:rsidR="00D81F69" w:rsidRDefault="00330118">
      <w:pPr>
        <w:pStyle w:val="Corpodetexto"/>
        <w:spacing w:before="134" w:line="312" w:lineRule="auto"/>
        <w:ind w:right="43"/>
      </w:pPr>
      <w:r>
        <w:t xml:space="preserve">A partir de 2011, no entanto, apresentou-se um novo cenário </w:t>
      </w:r>
      <w:r>
        <w:rPr>
          <w:spacing w:val="5"/>
        </w:rPr>
        <w:t xml:space="preserve">em </w:t>
      </w:r>
      <w:r>
        <w:rPr>
          <w:spacing w:val="7"/>
        </w:rPr>
        <w:t xml:space="preserve">relação </w:t>
      </w:r>
      <w:r>
        <w:t xml:space="preserve">à </w:t>
      </w:r>
      <w:r>
        <w:rPr>
          <w:spacing w:val="8"/>
        </w:rPr>
        <w:t xml:space="preserve">permanência </w:t>
      </w:r>
      <w:r>
        <w:rPr>
          <w:spacing w:val="5"/>
        </w:rPr>
        <w:t xml:space="preserve">da </w:t>
      </w:r>
      <w:r>
        <w:rPr>
          <w:spacing w:val="7"/>
        </w:rPr>
        <w:t xml:space="preserve">mineração </w:t>
      </w:r>
      <w:r>
        <w:rPr>
          <w:spacing w:val="5"/>
        </w:rPr>
        <w:t xml:space="preserve">na </w:t>
      </w:r>
      <w:r>
        <w:rPr>
          <w:spacing w:val="7"/>
        </w:rPr>
        <w:t xml:space="preserve">região. </w:t>
      </w:r>
      <w:r>
        <w:t xml:space="preserve">A </w:t>
      </w:r>
      <w:r>
        <w:rPr>
          <w:spacing w:val="3"/>
        </w:rPr>
        <w:t xml:space="preserve">conjuntura mundial </w:t>
      </w:r>
      <w:r>
        <w:rPr>
          <w:spacing w:val="1"/>
        </w:rPr>
        <w:t xml:space="preserve">de </w:t>
      </w:r>
      <w:r>
        <w:rPr>
          <w:spacing w:val="3"/>
        </w:rPr>
        <w:t xml:space="preserve">valorização </w:t>
      </w:r>
      <w:r>
        <w:rPr>
          <w:spacing w:val="1"/>
        </w:rPr>
        <w:t xml:space="preserve">de </w:t>
      </w:r>
      <w:r>
        <w:rPr>
          <w:spacing w:val="2"/>
        </w:rPr>
        <w:t xml:space="preserve">bens </w:t>
      </w:r>
      <w:r>
        <w:rPr>
          <w:spacing w:val="3"/>
        </w:rPr>
        <w:t xml:space="preserve">minerais, </w:t>
      </w:r>
      <w:r>
        <w:t xml:space="preserve">e o </w:t>
      </w:r>
      <w:r>
        <w:rPr>
          <w:spacing w:val="1"/>
        </w:rPr>
        <w:t xml:space="preserve">grande aumento </w:t>
      </w:r>
      <w:r>
        <w:t xml:space="preserve">no </w:t>
      </w:r>
      <w:r>
        <w:rPr>
          <w:spacing w:val="1"/>
        </w:rPr>
        <w:t xml:space="preserve">preço final </w:t>
      </w:r>
      <w:r>
        <w:t xml:space="preserve">do </w:t>
      </w:r>
      <w:r>
        <w:rPr>
          <w:spacing w:val="1"/>
        </w:rPr>
        <w:t xml:space="preserve">ouro </w:t>
      </w:r>
      <w:r>
        <w:t xml:space="preserve">vêm </w:t>
      </w:r>
      <w:r>
        <w:rPr>
          <w:spacing w:val="1"/>
        </w:rPr>
        <w:t xml:space="preserve">estimulando </w:t>
      </w:r>
      <w:r>
        <w:t xml:space="preserve">a </w:t>
      </w:r>
      <w:r>
        <w:rPr>
          <w:spacing w:val="3"/>
        </w:rPr>
        <w:t xml:space="preserve">realização </w:t>
      </w:r>
      <w:r>
        <w:rPr>
          <w:spacing w:val="1"/>
        </w:rPr>
        <w:t xml:space="preserve">de </w:t>
      </w:r>
      <w:r>
        <w:rPr>
          <w:spacing w:val="3"/>
        </w:rPr>
        <w:t xml:space="preserve">novas pesquisas </w:t>
      </w:r>
      <w:r>
        <w:t xml:space="preserve">e a </w:t>
      </w:r>
      <w:r>
        <w:rPr>
          <w:spacing w:val="3"/>
        </w:rPr>
        <w:t xml:space="preserve">viabilização </w:t>
      </w:r>
      <w:r>
        <w:rPr>
          <w:spacing w:val="1"/>
        </w:rPr>
        <w:t xml:space="preserve">de </w:t>
      </w:r>
      <w:r>
        <w:rPr>
          <w:spacing w:val="5"/>
        </w:rPr>
        <w:t xml:space="preserve">minas </w:t>
      </w:r>
      <w:r>
        <w:t xml:space="preserve">pouco econômicas (FERNANDES; LIMA; TEIXEIRA, </w:t>
      </w:r>
      <w:r>
        <w:rPr>
          <w:spacing w:val="1"/>
        </w:rPr>
        <w:t xml:space="preserve">2011). </w:t>
      </w:r>
      <w:r>
        <w:t>Para se ter uma ideia, a Mineração Serra Grande passou a trabalhar a 700 m, com túneis que, somados, chegam a 60  km</w:t>
      </w:r>
      <w:r>
        <w:rPr>
          <w:spacing w:val="16"/>
        </w:rPr>
        <w:t xml:space="preserve"> </w:t>
      </w:r>
      <w:r>
        <w:t>de</w:t>
      </w:r>
      <w:r>
        <w:rPr>
          <w:spacing w:val="16"/>
        </w:rPr>
        <w:t xml:space="preserve"> </w:t>
      </w:r>
      <w:r>
        <w:t>extensão</w:t>
      </w:r>
      <w:r>
        <w:rPr>
          <w:spacing w:val="16"/>
        </w:rPr>
        <w:t xml:space="preserve"> </w:t>
      </w:r>
      <w:r>
        <w:t>(O</w:t>
      </w:r>
      <w:r>
        <w:rPr>
          <w:spacing w:val="16"/>
        </w:rPr>
        <w:t xml:space="preserve"> </w:t>
      </w:r>
      <w:r>
        <w:t>GLOBO,</w:t>
      </w:r>
      <w:r>
        <w:rPr>
          <w:spacing w:val="16"/>
        </w:rPr>
        <w:t xml:space="preserve"> </w:t>
      </w:r>
      <w:r>
        <w:rPr>
          <w:spacing w:val="1"/>
        </w:rPr>
        <w:t>2011).</w:t>
      </w:r>
    </w:p>
    <w:p w:rsidR="00D81F69" w:rsidRDefault="00330118">
      <w:pPr>
        <w:pStyle w:val="Corpodetexto"/>
        <w:spacing w:before="75" w:line="270" w:lineRule="atLeast"/>
        <w:ind w:right="65"/>
      </w:pPr>
      <w:r>
        <w:t>A partir de 2011, no entanto, apresentou-se um novo cenário em relação à permanência da mineração na região. A</w:t>
      </w:r>
      <w:r>
        <w:t xml:space="preserve"> conjuntura mundial de valorização de bens minerais, e o</w:t>
      </w:r>
    </w:p>
    <w:p w:rsidR="00D81F69" w:rsidRDefault="00330118">
      <w:pPr>
        <w:pStyle w:val="Corpodetexto"/>
        <w:spacing w:before="81" w:line="312" w:lineRule="auto"/>
        <w:ind w:right="194"/>
      </w:pPr>
      <w:r>
        <w:br w:type="column"/>
      </w:r>
      <w:r>
        <w:rPr>
          <w:spacing w:val="1"/>
        </w:rPr>
        <w:lastRenderedPageBreak/>
        <w:t xml:space="preserve">grande aumento </w:t>
      </w:r>
      <w:r>
        <w:t xml:space="preserve">no </w:t>
      </w:r>
      <w:r>
        <w:rPr>
          <w:spacing w:val="1"/>
        </w:rPr>
        <w:t xml:space="preserve">preço final </w:t>
      </w:r>
      <w:r>
        <w:t xml:space="preserve">do </w:t>
      </w:r>
      <w:r>
        <w:rPr>
          <w:spacing w:val="1"/>
        </w:rPr>
        <w:t xml:space="preserve">ouro </w:t>
      </w:r>
      <w:r>
        <w:t xml:space="preserve">vêm </w:t>
      </w:r>
      <w:r>
        <w:rPr>
          <w:spacing w:val="1"/>
        </w:rPr>
        <w:t xml:space="preserve">estimulando </w:t>
      </w:r>
      <w:r>
        <w:t xml:space="preserve">a </w:t>
      </w:r>
      <w:r>
        <w:rPr>
          <w:spacing w:val="3"/>
        </w:rPr>
        <w:t xml:space="preserve">realização </w:t>
      </w:r>
      <w:r>
        <w:rPr>
          <w:spacing w:val="1"/>
        </w:rPr>
        <w:t xml:space="preserve">de </w:t>
      </w:r>
      <w:r>
        <w:rPr>
          <w:spacing w:val="3"/>
        </w:rPr>
        <w:t xml:space="preserve">novas pesquisas </w:t>
      </w:r>
      <w:r>
        <w:t xml:space="preserve">e a </w:t>
      </w:r>
      <w:r>
        <w:rPr>
          <w:spacing w:val="3"/>
        </w:rPr>
        <w:t xml:space="preserve">viabilização </w:t>
      </w:r>
      <w:r>
        <w:rPr>
          <w:spacing w:val="1"/>
        </w:rPr>
        <w:t xml:space="preserve">de </w:t>
      </w:r>
      <w:r>
        <w:rPr>
          <w:spacing w:val="5"/>
        </w:rPr>
        <w:t xml:space="preserve">minas </w:t>
      </w:r>
      <w:r>
        <w:t xml:space="preserve">pouco econômicas (FERNANDES; LIMA; TEIXEIRA, </w:t>
      </w:r>
      <w:r>
        <w:rPr>
          <w:spacing w:val="1"/>
        </w:rPr>
        <w:t xml:space="preserve">2011). </w:t>
      </w:r>
      <w:r>
        <w:t>Para se ter uma ideia, a Mineração</w:t>
      </w:r>
      <w:r>
        <w:t xml:space="preserve"> Serra Grande passou a trabalhar a 700 m, com túneis que, somados, chegam a 60  km</w:t>
      </w:r>
      <w:r>
        <w:rPr>
          <w:spacing w:val="16"/>
        </w:rPr>
        <w:t xml:space="preserve"> </w:t>
      </w:r>
      <w:r>
        <w:t>de</w:t>
      </w:r>
      <w:r>
        <w:rPr>
          <w:spacing w:val="16"/>
        </w:rPr>
        <w:t xml:space="preserve"> </w:t>
      </w:r>
      <w:r>
        <w:t>extensão</w:t>
      </w:r>
      <w:r>
        <w:rPr>
          <w:spacing w:val="16"/>
        </w:rPr>
        <w:t xml:space="preserve"> </w:t>
      </w:r>
      <w:r>
        <w:t>(O</w:t>
      </w:r>
      <w:r>
        <w:rPr>
          <w:spacing w:val="16"/>
        </w:rPr>
        <w:t xml:space="preserve"> </w:t>
      </w:r>
      <w:r>
        <w:t>GLOBO,</w:t>
      </w:r>
      <w:r>
        <w:rPr>
          <w:spacing w:val="16"/>
        </w:rPr>
        <w:t xml:space="preserve"> </w:t>
      </w:r>
      <w:r>
        <w:rPr>
          <w:spacing w:val="1"/>
        </w:rPr>
        <w:t>2011).</w:t>
      </w:r>
    </w:p>
    <w:p w:rsidR="00D81F69" w:rsidRDefault="00330118">
      <w:pPr>
        <w:pStyle w:val="Corpodetexto"/>
        <w:spacing w:before="135" w:line="312" w:lineRule="auto"/>
        <w:ind w:right="209"/>
      </w:pPr>
      <w:r>
        <w:t>Em maio de 2012, a AngloGold Ashanti adquiriu os 50% restantes de participação na joint venture que mantinha com a Kinross Gold Corporation na m</w:t>
      </w:r>
      <w:r>
        <w:t>ina Serra Grande. O valor da transação foi de US$ 220 milhões. A Anglo espera uma produção de mais de 500 mil onças anuais. A empresa está produzindo cerca de 134 mil onças (ou 4,2 t de ouro) (BRASIL MINERAL, 2012).</w:t>
      </w:r>
    </w:p>
    <w:p w:rsidR="00D81F69" w:rsidRDefault="00D81F69">
      <w:pPr>
        <w:pStyle w:val="Corpodetexto"/>
        <w:spacing w:before="6"/>
        <w:ind w:left="0"/>
        <w:jc w:val="left"/>
        <w:rPr>
          <w:sz w:val="21"/>
        </w:rPr>
      </w:pPr>
    </w:p>
    <w:p w:rsidR="00D81F69" w:rsidRDefault="00330118">
      <w:pPr>
        <w:pStyle w:val="Heading7"/>
        <w:spacing w:before="1"/>
      </w:pPr>
      <w:r>
        <w:t>LOCALIZAÇÃO GEOGRÁFICA</w:t>
      </w:r>
    </w:p>
    <w:p w:rsidR="00D81F69" w:rsidRDefault="00330118">
      <w:pPr>
        <w:pStyle w:val="Corpodetexto"/>
        <w:spacing w:before="178" w:line="312" w:lineRule="auto"/>
        <w:ind w:right="195"/>
      </w:pPr>
      <w:r>
        <w:t>O município de Crixás possui três minas de ouro: Mina Inglesa - Garimpo Chapéu do Sol, Meia Pataca e Mina III, que estão localizadas entre as latitudes 14°31’37”S - 14°35’12”S e longitudes 49°55’49”W - 50°0’19”W. As minas estão na sub- bacia do rio Crixas-</w:t>
      </w:r>
      <w:r>
        <w:t>Açú, pertencente à bacia do rio Araguaia. As minas Meia Pataca e Minas III estão próximas ao afluente Rio Vermelho e a Mina Inglesa - Garimpo Chapéu do Sol está próxima ao ribeirão d’Anta.</w:t>
      </w:r>
    </w:p>
    <w:p w:rsidR="00D81F69" w:rsidRDefault="00D81F69">
      <w:pPr>
        <w:pStyle w:val="Corpodetexto"/>
        <w:spacing w:before="5"/>
        <w:ind w:left="0"/>
        <w:jc w:val="left"/>
        <w:rPr>
          <w:sz w:val="29"/>
        </w:rPr>
      </w:pPr>
    </w:p>
    <w:p w:rsidR="00D81F69" w:rsidRDefault="00330118">
      <w:pPr>
        <w:pStyle w:val="Heading7"/>
        <w:spacing w:before="1"/>
      </w:pPr>
      <w:r>
        <w:t>REDATORES</w:t>
      </w:r>
    </w:p>
    <w:p w:rsidR="00D81F69" w:rsidRDefault="00330118">
      <w:pPr>
        <w:pStyle w:val="Corpodetexto"/>
        <w:spacing w:before="178"/>
      </w:pPr>
      <w:r>
        <w:t>Pedro Schprejer</w:t>
      </w:r>
    </w:p>
    <w:p w:rsidR="00D81F69" w:rsidRDefault="00D81F69">
      <w:pPr>
        <w:pStyle w:val="Corpodetexto"/>
        <w:ind w:left="0"/>
        <w:jc w:val="left"/>
        <w:rPr>
          <w:sz w:val="20"/>
        </w:rPr>
      </w:pPr>
    </w:p>
    <w:p w:rsidR="00D81F69" w:rsidRDefault="00330118">
      <w:pPr>
        <w:pStyle w:val="Heading7"/>
        <w:spacing w:before="165"/>
      </w:pPr>
      <w:r>
        <w:t>REFERÊNCIAS BIBLIOGRÁFICAS</w:t>
      </w:r>
    </w:p>
    <w:p w:rsidR="00D81F69" w:rsidRDefault="00330118">
      <w:pPr>
        <w:spacing w:before="187" w:line="312" w:lineRule="auto"/>
        <w:ind w:left="100" w:right="188"/>
        <w:jc w:val="both"/>
        <w:rPr>
          <w:sz w:val="16"/>
        </w:rPr>
      </w:pPr>
      <w:r>
        <w:rPr>
          <w:sz w:val="16"/>
        </w:rPr>
        <w:t>ANDRADE, Ric</w:t>
      </w:r>
      <w:r>
        <w:rPr>
          <w:sz w:val="16"/>
        </w:rPr>
        <w:t>ardo Rangel; LEONE JR., Delson. Ação civil pública em desfavor da empresa Serra Grande Mineração Ltda. In: ANDRADE, Ricardo Rangel de (Cord); OLIVEIRA, Larissa Pultrini P. de; FRANCO, Adriana Pereira. Coletânea do Centro de Apoio Operacional de Defesa do M</w:t>
      </w:r>
      <w:r>
        <w:rPr>
          <w:sz w:val="16"/>
        </w:rPr>
        <w:t>eio Ambiente, Patrimônio Cultural e Urbanismo. ESMP/GO, Goiânia, 2006, 252 p. Disponível em:</w:t>
      </w:r>
    </w:p>
    <w:p w:rsidR="00D81F69" w:rsidRDefault="00D81F69">
      <w:pPr>
        <w:spacing w:before="5" w:line="312" w:lineRule="auto"/>
        <w:ind w:left="100" w:right="216"/>
        <w:jc w:val="both"/>
        <w:rPr>
          <w:sz w:val="16"/>
        </w:rPr>
      </w:pPr>
      <w:hyperlink r:id="rId916">
        <w:r w:rsidR="00330118">
          <w:rPr>
            <w:sz w:val="16"/>
          </w:rPr>
          <w:t>&lt;http://www.mp.go.gov.br/portalweb/hp/9/docs/coletanea_cao_ambie</w:t>
        </w:r>
      </w:hyperlink>
      <w:r w:rsidR="00330118">
        <w:rPr>
          <w:sz w:val="16"/>
        </w:rPr>
        <w:t xml:space="preserve"> nte_-_2006.pdf&gt;. </w:t>
      </w:r>
      <w:r w:rsidR="00330118">
        <w:rPr>
          <w:sz w:val="16"/>
        </w:rPr>
        <w:t>Acesso em: 03 maio 2011.</w:t>
      </w:r>
    </w:p>
    <w:p w:rsidR="00D81F69" w:rsidRDefault="00330118">
      <w:pPr>
        <w:spacing w:before="2"/>
        <w:ind w:left="100"/>
        <w:jc w:val="both"/>
        <w:rPr>
          <w:sz w:val="16"/>
        </w:rPr>
      </w:pPr>
      <w:r>
        <w:rPr>
          <w:sz w:val="16"/>
        </w:rPr>
        <w:t>ANGLOGOLD ASHANTI BRASIL. Quem somos. Disponível em:</w:t>
      </w:r>
    </w:p>
    <w:p w:rsidR="00D81F69" w:rsidRDefault="00D81F69">
      <w:pPr>
        <w:spacing w:before="56" w:line="312" w:lineRule="auto"/>
        <w:ind w:left="100" w:right="216"/>
        <w:jc w:val="both"/>
        <w:rPr>
          <w:sz w:val="16"/>
        </w:rPr>
      </w:pPr>
      <w:hyperlink r:id="rId917">
        <w:r w:rsidR="00330118">
          <w:rPr>
            <w:sz w:val="16"/>
          </w:rPr>
          <w:t>&lt;http://www.anglogoldashanti.com.br/Paginas/QuemSomos/Default.a</w:t>
        </w:r>
      </w:hyperlink>
      <w:r w:rsidR="00330118">
        <w:rPr>
          <w:sz w:val="16"/>
        </w:rPr>
        <w:t xml:space="preserve"> spx&gt;. Acesso em: 05 maio 2011.</w:t>
      </w:r>
    </w:p>
    <w:p w:rsidR="00D81F69" w:rsidRDefault="00330118">
      <w:pPr>
        <w:spacing w:before="1" w:line="312" w:lineRule="auto"/>
        <w:ind w:left="100" w:right="199"/>
        <w:jc w:val="both"/>
        <w:rPr>
          <w:sz w:val="16"/>
        </w:rPr>
      </w:pPr>
      <w:r>
        <w:rPr>
          <w:sz w:val="16"/>
        </w:rPr>
        <w:t>AZEVEDO, Adalberto Mantovani Martiniano; DELGADO, Célio Cristiano. Mineração, Meio Ambiente e Mobilidade Populacional: um levantamento nos estados do Centro-Oeste expandido. Revista Brasileira de Estudos de População, São Paulo, 2002. Disponível em:</w:t>
      </w:r>
    </w:p>
    <w:p w:rsidR="00D81F69" w:rsidRDefault="00D81F69">
      <w:pPr>
        <w:spacing w:before="4" w:line="312" w:lineRule="auto"/>
        <w:ind w:left="100" w:right="213"/>
        <w:rPr>
          <w:sz w:val="16"/>
        </w:rPr>
      </w:pPr>
      <w:hyperlink r:id="rId918">
        <w:r w:rsidR="00330118">
          <w:rPr>
            <w:sz w:val="16"/>
          </w:rPr>
          <w:t xml:space="preserve">&lt;http://www.abep.nepo.unicamp&gt;. </w:t>
        </w:r>
      </w:hyperlink>
      <w:r w:rsidR="00330118">
        <w:rPr>
          <w:sz w:val="16"/>
        </w:rPr>
        <w:t xml:space="preserve">Acesso em: 25 mar.  2010. </w:t>
      </w:r>
      <w:r w:rsidR="00330118">
        <w:rPr>
          <w:spacing w:val="3"/>
          <w:sz w:val="16"/>
        </w:rPr>
        <w:t xml:space="preserve">BRASIL MINERAL. Ouro. AngloGold Ashanti adquire restante </w:t>
      </w:r>
      <w:r w:rsidR="00330118">
        <w:rPr>
          <w:spacing w:val="5"/>
          <w:sz w:val="16"/>
        </w:rPr>
        <w:t xml:space="preserve">de </w:t>
      </w:r>
      <w:r w:rsidR="00330118">
        <w:rPr>
          <w:sz w:val="16"/>
        </w:rPr>
        <w:t>Serra Grande. In Brasil Mineral Online, 30 maio 2012. Disponível</w:t>
      </w:r>
      <w:r w:rsidR="00330118">
        <w:rPr>
          <w:spacing w:val="38"/>
          <w:sz w:val="16"/>
        </w:rPr>
        <w:t xml:space="preserve"> </w:t>
      </w:r>
      <w:r w:rsidR="00330118">
        <w:rPr>
          <w:sz w:val="16"/>
        </w:rPr>
        <w:t>em:</w:t>
      </w:r>
    </w:p>
    <w:p w:rsidR="00D81F69" w:rsidRDefault="00D81F69">
      <w:pPr>
        <w:spacing w:before="2" w:line="312" w:lineRule="auto"/>
        <w:ind w:left="100" w:right="192"/>
        <w:jc w:val="both"/>
        <w:rPr>
          <w:sz w:val="16"/>
        </w:rPr>
      </w:pPr>
      <w:hyperlink r:id="rId919">
        <w:r w:rsidR="00330118">
          <w:rPr>
            <w:sz w:val="16"/>
          </w:rPr>
          <w:t>&lt;http://www.brasilmineral.com.br/BM/default.asp?numero=554&gt;.</w:t>
        </w:r>
      </w:hyperlink>
      <w:r w:rsidR="00330118">
        <w:rPr>
          <w:sz w:val="16"/>
        </w:rPr>
        <w:t xml:space="preserve"> Acesso em: 20 jul. 2012.</w:t>
      </w:r>
    </w:p>
    <w:p w:rsidR="00D81F69" w:rsidRDefault="00330118">
      <w:pPr>
        <w:tabs>
          <w:tab w:val="left" w:pos="4331"/>
        </w:tabs>
        <w:spacing w:before="2" w:line="312" w:lineRule="auto"/>
        <w:ind w:left="100" w:right="191"/>
        <w:jc w:val="both"/>
        <w:rPr>
          <w:sz w:val="16"/>
        </w:rPr>
      </w:pPr>
      <w:r>
        <w:rPr>
          <w:spacing w:val="5"/>
          <w:sz w:val="16"/>
        </w:rPr>
        <w:t xml:space="preserve">DESCHAMPS, Eleonora; MATSCHULLAT, </w:t>
      </w:r>
      <w:r>
        <w:rPr>
          <w:spacing w:val="2"/>
          <w:sz w:val="16"/>
        </w:rPr>
        <w:t xml:space="preserve">J. </w:t>
      </w:r>
      <w:r>
        <w:rPr>
          <w:spacing w:val="5"/>
          <w:sz w:val="16"/>
        </w:rPr>
        <w:t xml:space="preserve">(Org.). Ações </w:t>
      </w:r>
      <w:r>
        <w:rPr>
          <w:spacing w:val="6"/>
          <w:sz w:val="16"/>
        </w:rPr>
        <w:t xml:space="preserve">de </w:t>
      </w:r>
      <w:r>
        <w:rPr>
          <w:spacing w:val="5"/>
          <w:sz w:val="16"/>
        </w:rPr>
        <w:t xml:space="preserve">mitigação resultantes </w:t>
      </w:r>
      <w:r>
        <w:rPr>
          <w:spacing w:val="2"/>
          <w:sz w:val="16"/>
        </w:rPr>
        <w:t xml:space="preserve">de </w:t>
      </w:r>
      <w:r>
        <w:rPr>
          <w:spacing w:val="5"/>
          <w:sz w:val="16"/>
        </w:rPr>
        <w:t xml:space="preserve">exposição </w:t>
      </w:r>
      <w:r>
        <w:rPr>
          <w:spacing w:val="2"/>
          <w:sz w:val="16"/>
        </w:rPr>
        <w:t xml:space="preserve">ao </w:t>
      </w:r>
      <w:r>
        <w:rPr>
          <w:spacing w:val="5"/>
          <w:sz w:val="16"/>
        </w:rPr>
        <w:t xml:space="preserve">arsênio </w:t>
      </w:r>
      <w:r>
        <w:rPr>
          <w:spacing w:val="2"/>
          <w:sz w:val="16"/>
        </w:rPr>
        <w:t xml:space="preserve">em </w:t>
      </w:r>
      <w:r>
        <w:rPr>
          <w:spacing w:val="5"/>
          <w:sz w:val="16"/>
        </w:rPr>
        <w:t xml:space="preserve">regiões </w:t>
      </w:r>
      <w:r>
        <w:rPr>
          <w:spacing w:val="6"/>
          <w:sz w:val="16"/>
        </w:rPr>
        <w:t xml:space="preserve">do </w:t>
      </w:r>
      <w:r>
        <w:rPr>
          <w:spacing w:val="1"/>
          <w:sz w:val="16"/>
        </w:rPr>
        <w:t>Quadr</w:t>
      </w:r>
      <w:r>
        <w:rPr>
          <w:spacing w:val="1"/>
          <w:sz w:val="16"/>
        </w:rPr>
        <w:t xml:space="preserve">ilátero Ferrífero/ Minas Gerais. </w:t>
      </w:r>
      <w:r>
        <w:rPr>
          <w:sz w:val="16"/>
        </w:rPr>
        <w:t xml:space="preserve">24º </w:t>
      </w:r>
      <w:r>
        <w:rPr>
          <w:spacing w:val="1"/>
          <w:sz w:val="16"/>
        </w:rPr>
        <w:t xml:space="preserve">Congresso Brasileiro </w:t>
      </w:r>
      <w:r>
        <w:rPr>
          <w:spacing w:val="2"/>
          <w:sz w:val="16"/>
        </w:rPr>
        <w:t xml:space="preserve">de </w:t>
      </w:r>
      <w:r>
        <w:rPr>
          <w:spacing w:val="6"/>
          <w:sz w:val="16"/>
        </w:rPr>
        <w:t xml:space="preserve">Engenharia Sanitária </w:t>
      </w:r>
      <w:r>
        <w:rPr>
          <w:sz w:val="16"/>
        </w:rPr>
        <w:t xml:space="preserve">e  </w:t>
      </w:r>
      <w:r>
        <w:rPr>
          <w:spacing w:val="6"/>
          <w:sz w:val="16"/>
        </w:rPr>
        <w:t xml:space="preserve">Ambiental, </w:t>
      </w:r>
      <w:r>
        <w:rPr>
          <w:spacing w:val="5"/>
          <w:sz w:val="16"/>
        </w:rPr>
        <w:t xml:space="preserve">set. 2007, Belo </w:t>
      </w:r>
      <w:r>
        <w:rPr>
          <w:spacing w:val="7"/>
          <w:sz w:val="16"/>
        </w:rPr>
        <w:t xml:space="preserve">Horizonte.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4" w:line="312" w:lineRule="auto"/>
        <w:ind w:left="100" w:right="197"/>
        <w:jc w:val="both"/>
        <w:rPr>
          <w:sz w:val="16"/>
        </w:rPr>
      </w:pPr>
      <w:hyperlink r:id="rId920">
        <w:r w:rsidR="00330118">
          <w:rPr>
            <w:sz w:val="16"/>
          </w:rPr>
          <w:t>&lt;http://www.saneamento.poli.ufrj.br/documentos/24CBES/VI-</w:t>
        </w:r>
      </w:hyperlink>
      <w:r w:rsidR="00330118">
        <w:rPr>
          <w:sz w:val="16"/>
        </w:rPr>
        <w:t xml:space="preserve"> 229.pdf.br/docs/anais/pdf/2002/GT_MA_PO30_Azevedo_texto.pdf&gt;. Acesso em: 5 mar. 2010.</w:t>
      </w:r>
    </w:p>
    <w:p w:rsidR="00D81F69" w:rsidRDefault="00330118">
      <w:pPr>
        <w:spacing w:before="2"/>
        <w:ind w:left="100"/>
        <w:jc w:val="both"/>
        <w:rPr>
          <w:sz w:val="16"/>
        </w:rPr>
      </w:pPr>
      <w:r>
        <w:rPr>
          <w:sz w:val="16"/>
        </w:rPr>
        <w:t>FERNANDES, Francisco Rego Chaves; LIMA, Maria Helena Machado</w:t>
      </w:r>
    </w:p>
    <w:p w:rsidR="00D81F69" w:rsidRDefault="00D81F69">
      <w:pPr>
        <w:jc w:val="both"/>
        <w:rPr>
          <w:sz w:val="16"/>
        </w:rPr>
        <w:sectPr w:rsidR="00D81F69">
          <w:pgSz w:w="11900" w:h="16840"/>
          <w:pgMar w:top="740" w:right="500" w:bottom="700" w:left="620" w:header="0" w:footer="402" w:gutter="0"/>
          <w:cols w:num="2" w:space="720" w:equalWidth="0">
            <w:col w:w="5160" w:space="310"/>
            <w:col w:w="5310"/>
          </w:cols>
        </w:sectPr>
      </w:pPr>
    </w:p>
    <w:p w:rsidR="00D81F69" w:rsidRDefault="00330118">
      <w:pPr>
        <w:spacing w:before="70" w:line="312" w:lineRule="auto"/>
        <w:ind w:left="100" w:right="87"/>
        <w:jc w:val="both"/>
        <w:rPr>
          <w:sz w:val="16"/>
        </w:rPr>
      </w:pPr>
      <w:r>
        <w:rPr>
          <w:sz w:val="16"/>
        </w:rPr>
        <w:lastRenderedPageBreak/>
        <w:t>Rocha; TEIXE</w:t>
      </w:r>
      <w:r>
        <w:rPr>
          <w:sz w:val="16"/>
        </w:rPr>
        <w:t xml:space="preserve">IRA, Nilo da Silva. A grande mina e a comunidade: estudo de caso da Grande Mina de Ouro de Crixás, em Goiás. Série Estudos e Documentos. Rio de Janeiro, CETEM/MCT, 2007. Disponível em: </w:t>
      </w:r>
      <w:hyperlink r:id="rId921">
        <w:r>
          <w:rPr>
            <w:sz w:val="16"/>
          </w:rPr>
          <w:t>&lt;http:/</w:t>
        </w:r>
        <w:r>
          <w:rPr>
            <w:sz w:val="16"/>
          </w:rPr>
          <w:t>/www.cetem.gov.br/publicacao/CTs/CT2007-</w:t>
        </w:r>
      </w:hyperlink>
      <w:r>
        <w:rPr>
          <w:sz w:val="16"/>
        </w:rPr>
        <w:t xml:space="preserve"> 016-00.pdf&gt;. Acesso em: 04 mar. 2011.</w:t>
      </w:r>
    </w:p>
    <w:p w:rsidR="00D81F69" w:rsidRDefault="00330118">
      <w:pPr>
        <w:spacing w:before="4" w:line="312" w:lineRule="auto"/>
        <w:ind w:left="100" w:right="38"/>
        <w:jc w:val="both"/>
        <w:rPr>
          <w:sz w:val="16"/>
        </w:rPr>
      </w:pPr>
      <w:r>
        <w:rPr>
          <w:sz w:val="16"/>
          <w:u w:val="single"/>
        </w:rPr>
        <w:t xml:space="preserve">         </w:t>
      </w:r>
      <w:r>
        <w:rPr>
          <w:spacing w:val="2"/>
          <w:sz w:val="16"/>
          <w:u w:val="single"/>
        </w:rPr>
        <w:t xml:space="preserve"> </w:t>
      </w:r>
      <w:r>
        <w:rPr>
          <w:sz w:val="16"/>
        </w:rPr>
        <w:t xml:space="preserve">. A grande mina de ouro de Crixás em Goiás. In: FERNANDES, </w:t>
      </w:r>
      <w:r>
        <w:rPr>
          <w:spacing w:val="5"/>
          <w:sz w:val="16"/>
        </w:rPr>
        <w:t xml:space="preserve">Francisco </w:t>
      </w:r>
      <w:r>
        <w:rPr>
          <w:spacing w:val="3"/>
          <w:sz w:val="16"/>
        </w:rPr>
        <w:t xml:space="preserve">Rego </w:t>
      </w:r>
      <w:r>
        <w:rPr>
          <w:spacing w:val="5"/>
          <w:sz w:val="16"/>
        </w:rPr>
        <w:t xml:space="preserve">Chaves; ENRIQUEZ, </w:t>
      </w:r>
      <w:r>
        <w:rPr>
          <w:spacing w:val="3"/>
          <w:sz w:val="16"/>
        </w:rPr>
        <w:t xml:space="preserve">Maria </w:t>
      </w:r>
      <w:r>
        <w:rPr>
          <w:spacing w:val="5"/>
          <w:sz w:val="16"/>
        </w:rPr>
        <w:t xml:space="preserve">Amélia; ALAMINO, </w:t>
      </w:r>
      <w:r>
        <w:rPr>
          <w:sz w:val="16"/>
        </w:rPr>
        <w:t xml:space="preserve">Renata Carvalho. Recursos Minerais e Territorialidade: v. 1, p. 39-68. Grandes Minas  e  Comunidades  Locais,  CETEM/MCTI,  2011.  Livro </w:t>
      </w:r>
      <w:r>
        <w:rPr>
          <w:spacing w:val="15"/>
          <w:sz w:val="16"/>
        </w:rPr>
        <w:t>i</w:t>
      </w:r>
      <w:r>
        <w:rPr>
          <w:sz w:val="16"/>
        </w:rPr>
        <w:t xml:space="preserve"> </w:t>
      </w:r>
      <w:r>
        <w:rPr>
          <w:spacing w:val="15"/>
          <w:sz w:val="16"/>
        </w:rPr>
        <w:t>m</w:t>
      </w:r>
      <w:r>
        <w:rPr>
          <w:sz w:val="16"/>
        </w:rPr>
        <w:t xml:space="preserve"> </w:t>
      </w:r>
      <w:r>
        <w:rPr>
          <w:spacing w:val="15"/>
          <w:sz w:val="16"/>
        </w:rPr>
        <w:t>p</w:t>
      </w:r>
      <w:r>
        <w:rPr>
          <w:sz w:val="16"/>
        </w:rPr>
        <w:t xml:space="preserve"> </w:t>
      </w:r>
      <w:r>
        <w:rPr>
          <w:spacing w:val="15"/>
          <w:sz w:val="16"/>
        </w:rPr>
        <w:t>r</w:t>
      </w:r>
      <w:r>
        <w:rPr>
          <w:sz w:val="16"/>
        </w:rPr>
        <w:t xml:space="preserve"> </w:t>
      </w:r>
      <w:r>
        <w:rPr>
          <w:spacing w:val="15"/>
          <w:sz w:val="16"/>
        </w:rPr>
        <w:t>e</w:t>
      </w:r>
      <w:r>
        <w:rPr>
          <w:sz w:val="16"/>
        </w:rPr>
        <w:t xml:space="preserve"> </w:t>
      </w:r>
      <w:r>
        <w:rPr>
          <w:spacing w:val="15"/>
          <w:sz w:val="16"/>
        </w:rPr>
        <w:t>s</w:t>
      </w:r>
      <w:r>
        <w:rPr>
          <w:sz w:val="16"/>
        </w:rPr>
        <w:t xml:space="preserve"> </w:t>
      </w:r>
      <w:r>
        <w:rPr>
          <w:spacing w:val="15"/>
          <w:sz w:val="16"/>
        </w:rPr>
        <w:t>s</w:t>
      </w:r>
      <w:r>
        <w:rPr>
          <w:sz w:val="16"/>
        </w:rPr>
        <w:t xml:space="preserve"> o      </w:t>
      </w:r>
      <w:r>
        <w:rPr>
          <w:spacing w:val="12"/>
          <w:sz w:val="16"/>
        </w:rPr>
        <w:t xml:space="preserve"> </w:t>
      </w:r>
      <w:r>
        <w:rPr>
          <w:sz w:val="16"/>
        </w:rPr>
        <w:t xml:space="preserve">e      </w:t>
      </w:r>
      <w:r>
        <w:rPr>
          <w:spacing w:val="12"/>
          <w:sz w:val="16"/>
        </w:rPr>
        <w:t xml:space="preserve"> </w:t>
      </w:r>
      <w:r>
        <w:rPr>
          <w:spacing w:val="15"/>
          <w:sz w:val="16"/>
        </w:rPr>
        <w:t>d</w:t>
      </w:r>
      <w:r>
        <w:rPr>
          <w:sz w:val="16"/>
        </w:rPr>
        <w:t xml:space="preserve"> </w:t>
      </w:r>
      <w:r>
        <w:rPr>
          <w:spacing w:val="15"/>
          <w:sz w:val="16"/>
        </w:rPr>
        <w:t>i</w:t>
      </w:r>
      <w:r>
        <w:rPr>
          <w:sz w:val="16"/>
        </w:rPr>
        <w:t xml:space="preserve"> </w:t>
      </w:r>
      <w:r>
        <w:rPr>
          <w:spacing w:val="15"/>
          <w:sz w:val="16"/>
        </w:rPr>
        <w:t>s</w:t>
      </w:r>
      <w:r>
        <w:rPr>
          <w:sz w:val="16"/>
        </w:rPr>
        <w:t xml:space="preserve"> </w:t>
      </w:r>
      <w:r>
        <w:rPr>
          <w:spacing w:val="15"/>
          <w:sz w:val="16"/>
        </w:rPr>
        <w:t>p</w:t>
      </w:r>
      <w:r>
        <w:rPr>
          <w:sz w:val="16"/>
        </w:rPr>
        <w:t xml:space="preserve"> </w:t>
      </w:r>
      <w:r>
        <w:rPr>
          <w:spacing w:val="15"/>
          <w:sz w:val="16"/>
        </w:rPr>
        <w:t>o</w:t>
      </w:r>
      <w:r>
        <w:rPr>
          <w:sz w:val="16"/>
        </w:rPr>
        <w:t xml:space="preserve"> </w:t>
      </w:r>
      <w:r>
        <w:rPr>
          <w:spacing w:val="15"/>
          <w:sz w:val="16"/>
        </w:rPr>
        <w:t>n</w:t>
      </w:r>
      <w:r>
        <w:rPr>
          <w:sz w:val="16"/>
        </w:rPr>
        <w:t xml:space="preserve"> </w:t>
      </w:r>
      <w:r>
        <w:rPr>
          <w:spacing w:val="15"/>
          <w:sz w:val="16"/>
        </w:rPr>
        <w:t>í</w:t>
      </w:r>
      <w:r>
        <w:rPr>
          <w:sz w:val="16"/>
        </w:rPr>
        <w:t xml:space="preserve"> </w:t>
      </w:r>
      <w:r>
        <w:rPr>
          <w:spacing w:val="15"/>
          <w:sz w:val="16"/>
        </w:rPr>
        <w:t>v</w:t>
      </w:r>
      <w:r>
        <w:rPr>
          <w:sz w:val="16"/>
        </w:rPr>
        <w:t xml:space="preserve"> </w:t>
      </w:r>
      <w:r>
        <w:rPr>
          <w:spacing w:val="15"/>
          <w:sz w:val="16"/>
        </w:rPr>
        <w:t>e</w:t>
      </w:r>
      <w:r>
        <w:rPr>
          <w:sz w:val="16"/>
        </w:rPr>
        <w:t xml:space="preserve"> l      </w:t>
      </w:r>
      <w:r>
        <w:rPr>
          <w:spacing w:val="12"/>
          <w:sz w:val="16"/>
        </w:rPr>
        <w:t xml:space="preserve"> </w:t>
      </w:r>
      <w:r>
        <w:rPr>
          <w:spacing w:val="15"/>
          <w:sz w:val="16"/>
        </w:rPr>
        <w:t>t</w:t>
      </w:r>
      <w:r>
        <w:rPr>
          <w:sz w:val="16"/>
        </w:rPr>
        <w:t xml:space="preserve"> </w:t>
      </w:r>
      <w:r>
        <w:rPr>
          <w:spacing w:val="15"/>
          <w:sz w:val="16"/>
        </w:rPr>
        <w:t>a</w:t>
      </w:r>
      <w:r>
        <w:rPr>
          <w:sz w:val="16"/>
        </w:rPr>
        <w:t xml:space="preserve"> </w:t>
      </w:r>
      <w:r>
        <w:rPr>
          <w:spacing w:val="15"/>
          <w:sz w:val="16"/>
        </w:rPr>
        <w:t>m</w:t>
      </w:r>
      <w:r>
        <w:rPr>
          <w:sz w:val="16"/>
        </w:rPr>
        <w:t xml:space="preserve"> </w:t>
      </w:r>
      <w:r>
        <w:rPr>
          <w:spacing w:val="15"/>
          <w:sz w:val="16"/>
        </w:rPr>
        <w:t>b</w:t>
      </w:r>
      <w:r>
        <w:rPr>
          <w:sz w:val="16"/>
        </w:rPr>
        <w:t xml:space="preserve"> </w:t>
      </w:r>
      <w:r>
        <w:rPr>
          <w:spacing w:val="15"/>
          <w:sz w:val="16"/>
        </w:rPr>
        <w:t>é</w:t>
      </w:r>
      <w:r>
        <w:rPr>
          <w:sz w:val="16"/>
        </w:rPr>
        <w:t xml:space="preserve"> m      </w:t>
      </w:r>
      <w:r>
        <w:rPr>
          <w:spacing w:val="12"/>
          <w:sz w:val="16"/>
        </w:rPr>
        <w:t xml:space="preserve"> </w:t>
      </w:r>
      <w:r>
        <w:rPr>
          <w:spacing w:val="15"/>
          <w:sz w:val="16"/>
        </w:rPr>
        <w:t>e</w:t>
      </w:r>
      <w:r>
        <w:rPr>
          <w:sz w:val="16"/>
        </w:rPr>
        <w:t xml:space="preserve"> </w:t>
      </w:r>
      <w:r>
        <w:rPr>
          <w:spacing w:val="15"/>
          <w:sz w:val="16"/>
        </w:rPr>
        <w:t>m</w:t>
      </w:r>
      <w:r>
        <w:rPr>
          <w:sz w:val="16"/>
        </w:rPr>
        <w:t xml:space="preserve"> :</w:t>
      </w:r>
      <w:r>
        <w:rPr>
          <w:spacing w:val="16"/>
          <w:sz w:val="16"/>
        </w:rPr>
        <w:t xml:space="preserve"> </w:t>
      </w:r>
    </w:p>
    <w:p w:rsidR="00D81F69" w:rsidRDefault="00D81F69">
      <w:pPr>
        <w:spacing w:before="4"/>
        <w:ind w:left="100"/>
        <w:rPr>
          <w:sz w:val="16"/>
        </w:rPr>
      </w:pPr>
      <w:hyperlink r:id="rId922">
        <w:r w:rsidR="00330118">
          <w:rPr>
            <w:sz w:val="16"/>
          </w:rPr>
          <w:t>&lt;http://www.cetem.gov.br/publicacao/livros/Vol_1_GRANDES_MINAS</w:t>
        </w:r>
      </w:hyperlink>
    </w:p>
    <w:p w:rsidR="00D81F69" w:rsidRDefault="00330118">
      <w:pPr>
        <w:spacing w:before="56"/>
        <w:ind w:left="100"/>
        <w:rPr>
          <w:sz w:val="16"/>
        </w:rPr>
      </w:pPr>
      <w:r>
        <w:rPr>
          <w:sz w:val="16"/>
        </w:rPr>
        <w:t>_TOTAL.pdf&gt;. Acesso em: 21 jul. 2012.</w:t>
      </w:r>
    </w:p>
    <w:p w:rsidR="00D81F69" w:rsidRDefault="00330118">
      <w:pPr>
        <w:tabs>
          <w:tab w:val="left" w:pos="2559"/>
          <w:tab w:val="left" w:pos="5063"/>
        </w:tabs>
        <w:spacing w:before="56" w:line="312" w:lineRule="auto"/>
        <w:ind w:left="100" w:right="98"/>
        <w:jc w:val="both"/>
        <w:rPr>
          <w:sz w:val="16"/>
        </w:rPr>
      </w:pPr>
      <w:r>
        <w:rPr>
          <w:sz w:val="16"/>
        </w:rPr>
        <w:t>FERREIRA, Sônia. Mineração Serra Grande investe para aumentar produção de ouro. Jornal O Popular, Goiânia, 4 maio 2009. Disponível e</w:t>
      </w:r>
      <w:r>
        <w:rPr>
          <w:sz w:val="16"/>
        </w:rPr>
        <w:tab/>
        <w:t>m</w:t>
      </w:r>
      <w:r>
        <w:rPr>
          <w:sz w:val="16"/>
        </w:rPr>
        <w:tab/>
        <w:t>:</w:t>
      </w:r>
    </w:p>
    <w:p w:rsidR="00D81F69" w:rsidRDefault="00D81F69">
      <w:pPr>
        <w:spacing w:before="2"/>
        <w:ind w:left="100"/>
        <w:rPr>
          <w:sz w:val="16"/>
        </w:rPr>
      </w:pPr>
      <w:hyperlink r:id="rId923">
        <w:r w:rsidR="00330118">
          <w:rPr>
            <w:sz w:val="16"/>
          </w:rPr>
          <w:t>&lt;http://www.jotacidade.com/no</w:t>
        </w:r>
        <w:r w:rsidR="00330118">
          <w:rPr>
            <w:sz w:val="16"/>
          </w:rPr>
          <w:t>ticias/exibir.php?noticia_id=180&amp;noticia</w:t>
        </w:r>
      </w:hyperlink>
    </w:p>
    <w:p w:rsidR="00D81F69" w:rsidRDefault="00330118">
      <w:pPr>
        <w:spacing w:before="56"/>
        <w:ind w:left="100"/>
        <w:rPr>
          <w:sz w:val="16"/>
        </w:rPr>
      </w:pPr>
      <w:r>
        <w:rPr>
          <w:sz w:val="16"/>
        </w:rPr>
        <w:t>_link=2&gt;. Acesso em: 27 mar. 2010.</w:t>
      </w:r>
    </w:p>
    <w:p w:rsidR="00D81F69" w:rsidRDefault="00330118">
      <w:pPr>
        <w:spacing w:before="56" w:line="312" w:lineRule="auto"/>
        <w:ind w:left="100" w:right="96"/>
        <w:jc w:val="both"/>
        <w:rPr>
          <w:sz w:val="16"/>
        </w:rPr>
      </w:pPr>
      <w:r>
        <w:rPr>
          <w:sz w:val="16"/>
        </w:rPr>
        <w:t>IBGE. Instituto Brasileiro de Geografia e Estatística. Crixás (GO). In: IBGE Cidades, 2010. Disponível em:</w:t>
      </w:r>
    </w:p>
    <w:p w:rsidR="00D81F69" w:rsidRDefault="00330118">
      <w:pPr>
        <w:spacing w:before="70"/>
        <w:ind w:left="100"/>
        <w:rPr>
          <w:sz w:val="16"/>
        </w:rPr>
      </w:pPr>
      <w:r>
        <w:br w:type="column"/>
      </w:r>
      <w:hyperlink r:id="rId924">
        <w:r>
          <w:rPr>
            <w:sz w:val="16"/>
          </w:rPr>
          <w:t>&lt;http://www.ibge.gov.br/cidadesat/xtras/perfil.php?codmun=520640&amp;r</w:t>
        </w:r>
      </w:hyperlink>
    </w:p>
    <w:p w:rsidR="00D81F69" w:rsidRDefault="00330118">
      <w:pPr>
        <w:spacing w:before="56"/>
        <w:ind w:left="100"/>
        <w:rPr>
          <w:sz w:val="16"/>
        </w:rPr>
      </w:pPr>
      <w:r>
        <w:rPr>
          <w:sz w:val="16"/>
        </w:rPr>
        <w:t>=2#&gt;. Acesso em: 19 fev. 2011.</w:t>
      </w:r>
    </w:p>
    <w:p w:rsidR="00D81F69" w:rsidRDefault="00330118">
      <w:pPr>
        <w:spacing w:before="56" w:line="312" w:lineRule="auto"/>
        <w:ind w:left="100" w:right="197"/>
        <w:jc w:val="both"/>
        <w:rPr>
          <w:sz w:val="16"/>
        </w:rPr>
      </w:pPr>
      <w:r>
        <w:rPr>
          <w:sz w:val="16"/>
        </w:rPr>
        <w:t>KINROSS GOLD CORPORATION. Independent technical report for Crixas Mine, Brazil. Report n. 3CK005.02, abr. 2003. Disponível em:</w:t>
      </w:r>
    </w:p>
    <w:p w:rsidR="00D81F69" w:rsidRDefault="00D81F69">
      <w:pPr>
        <w:spacing w:before="1" w:line="312" w:lineRule="auto"/>
        <w:ind w:left="100" w:right="199"/>
        <w:jc w:val="both"/>
        <w:rPr>
          <w:sz w:val="16"/>
        </w:rPr>
      </w:pPr>
      <w:hyperlink r:id="rId925">
        <w:r w:rsidR="00330118">
          <w:rPr>
            <w:sz w:val="16"/>
          </w:rPr>
          <w:t>&lt;http://www.kinross.com/pdf/operations/Technical-Report-Crixas.pdf&gt;.</w:t>
        </w:r>
      </w:hyperlink>
      <w:r w:rsidR="00330118">
        <w:rPr>
          <w:sz w:val="16"/>
        </w:rPr>
        <w:t xml:space="preserve"> Acesso em: 04 maio 2011.</w:t>
      </w:r>
    </w:p>
    <w:p w:rsidR="00D81F69" w:rsidRDefault="00330118">
      <w:pPr>
        <w:tabs>
          <w:tab w:val="left" w:pos="1178"/>
          <w:tab w:val="left" w:pos="2483"/>
          <w:tab w:val="left" w:pos="4641"/>
        </w:tabs>
        <w:spacing w:before="2" w:line="312" w:lineRule="auto"/>
        <w:ind w:left="100" w:right="197"/>
        <w:jc w:val="both"/>
        <w:rPr>
          <w:sz w:val="16"/>
        </w:rPr>
      </w:pPr>
      <w:r>
        <w:rPr>
          <w:spacing w:val="3"/>
          <w:sz w:val="16"/>
        </w:rPr>
        <w:t xml:space="preserve">MP-GO, Ministério Público </w:t>
      </w:r>
      <w:r>
        <w:rPr>
          <w:spacing w:val="1"/>
          <w:sz w:val="16"/>
        </w:rPr>
        <w:t xml:space="preserve">de </w:t>
      </w:r>
      <w:r>
        <w:rPr>
          <w:spacing w:val="3"/>
          <w:sz w:val="16"/>
        </w:rPr>
        <w:t xml:space="preserve">Goiás. </w:t>
      </w:r>
      <w:r>
        <w:rPr>
          <w:spacing w:val="1"/>
          <w:sz w:val="16"/>
        </w:rPr>
        <w:t xml:space="preserve">MP </w:t>
      </w:r>
      <w:r>
        <w:rPr>
          <w:spacing w:val="3"/>
          <w:sz w:val="16"/>
        </w:rPr>
        <w:t xml:space="preserve">lança ofensiva </w:t>
      </w:r>
      <w:r>
        <w:rPr>
          <w:spacing w:val="5"/>
          <w:sz w:val="16"/>
        </w:rPr>
        <w:t xml:space="preserve">contra </w:t>
      </w:r>
      <w:r>
        <w:rPr>
          <w:sz w:val="16"/>
        </w:rPr>
        <w:t>garimpos clandestino</w:t>
      </w:r>
      <w:r>
        <w:rPr>
          <w:sz w:val="16"/>
        </w:rPr>
        <w:t xml:space="preserve">s em Crixás. Goiânia: Assessoria de imprensa, 8 a  b </w:t>
      </w:r>
      <w:r>
        <w:rPr>
          <w:spacing w:val="22"/>
          <w:sz w:val="16"/>
        </w:rPr>
        <w:t xml:space="preserve"> </w:t>
      </w:r>
      <w:r>
        <w:rPr>
          <w:sz w:val="16"/>
        </w:rPr>
        <w:t xml:space="preserve">r </w:t>
      </w:r>
      <w:r>
        <w:rPr>
          <w:spacing w:val="10"/>
          <w:sz w:val="16"/>
        </w:rPr>
        <w:t xml:space="preserve"> </w:t>
      </w:r>
      <w:r>
        <w:rPr>
          <w:sz w:val="16"/>
        </w:rPr>
        <w:t>.</w:t>
      </w:r>
      <w:r>
        <w:rPr>
          <w:sz w:val="16"/>
        </w:rPr>
        <w:tab/>
        <w:t xml:space="preserve">2  0  0 </w:t>
      </w:r>
      <w:r>
        <w:rPr>
          <w:spacing w:val="35"/>
          <w:sz w:val="16"/>
        </w:rPr>
        <w:t xml:space="preserve"> </w:t>
      </w:r>
      <w:r>
        <w:rPr>
          <w:sz w:val="16"/>
        </w:rPr>
        <w:t xml:space="preserve">2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2"/>
          <w:sz w:val="16"/>
        </w:rPr>
        <w:t xml:space="preserve"> </w:t>
      </w:r>
      <w:r>
        <w:rPr>
          <w:sz w:val="16"/>
        </w:rPr>
        <w:t>:</w:t>
      </w:r>
    </w:p>
    <w:p w:rsidR="00D81F69" w:rsidRDefault="00D81F69">
      <w:pPr>
        <w:spacing w:before="2" w:line="312" w:lineRule="auto"/>
        <w:ind w:left="100" w:right="215"/>
        <w:jc w:val="both"/>
        <w:rPr>
          <w:sz w:val="16"/>
        </w:rPr>
      </w:pPr>
      <w:hyperlink r:id="rId926">
        <w:r w:rsidR="00330118">
          <w:rPr>
            <w:sz w:val="16"/>
          </w:rPr>
          <w:t xml:space="preserve">&lt;http://www.mp.go.gov.br/noticias/noticia120.shtm&gt;. </w:t>
        </w:r>
      </w:hyperlink>
      <w:r w:rsidR="00330118">
        <w:rPr>
          <w:sz w:val="16"/>
        </w:rPr>
        <w:t>Acesso em: 25 mar. 2010.</w:t>
      </w:r>
    </w:p>
    <w:p w:rsidR="00D81F69" w:rsidRDefault="00330118">
      <w:pPr>
        <w:spacing w:before="2" w:line="312" w:lineRule="auto"/>
        <w:ind w:left="100" w:right="195"/>
        <w:jc w:val="both"/>
        <w:rPr>
          <w:sz w:val="16"/>
        </w:rPr>
      </w:pPr>
      <w:r>
        <w:rPr>
          <w:sz w:val="16"/>
        </w:rPr>
        <w:t xml:space="preserve">O GLOBO. Novo ciclo brasileiro do ouro. O Globo, 19 nov. 2011. Disponível em: </w:t>
      </w:r>
      <w:hyperlink r:id="rId927">
        <w:r>
          <w:rPr>
            <w:sz w:val="16"/>
          </w:rPr>
          <w:t>&lt;http://oglobo.globo.com/economia/novo-ciclo-</w:t>
        </w:r>
      </w:hyperlink>
      <w:r>
        <w:rPr>
          <w:sz w:val="16"/>
        </w:rPr>
        <w:t xml:space="preserve"> brasileiro-do-ouro-3278029&gt;. Acesso em 21 jul. 2012.</w:t>
      </w:r>
    </w:p>
    <w:p w:rsidR="00D81F69" w:rsidRDefault="00330118">
      <w:pPr>
        <w:spacing w:before="2" w:line="312" w:lineRule="auto"/>
        <w:ind w:left="100" w:right="194"/>
        <w:jc w:val="both"/>
        <w:rPr>
          <w:sz w:val="16"/>
        </w:rPr>
      </w:pPr>
      <w:r>
        <w:rPr>
          <w:sz w:val="16"/>
        </w:rPr>
        <w:t>TEIXEIRA, Nilo da</w:t>
      </w:r>
      <w:r>
        <w:rPr>
          <w:sz w:val="16"/>
        </w:rPr>
        <w:t xml:space="preserve"> Silva; FERNANDES, Francisco Rego Chaves; LIMA, Maria Helena Machado Rocha. Uma grande mina de ouro e a comunidade local. São Paulo, Brasil Mineral, n. 265, p. 176-189, ago. 2007. Disponível em: </w:t>
      </w:r>
      <w:hyperlink r:id="rId928">
        <w:r>
          <w:rPr>
            <w:sz w:val="16"/>
          </w:rPr>
          <w:t>&lt;</w:t>
        </w:r>
        <w:r>
          <w:rPr>
            <w:sz w:val="16"/>
          </w:rPr>
          <w:t>http://cetem.gov.br/publicacao/CTs/CT2007-</w:t>
        </w:r>
      </w:hyperlink>
      <w:r>
        <w:rPr>
          <w:sz w:val="16"/>
        </w:rPr>
        <w:t xml:space="preserve"> 111-00.pdf&gt;. Acesso em: 25 mar. 2010.</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209" w:space="261"/>
            <w:col w:w="5310"/>
          </w:cols>
        </w:sectPr>
      </w:pPr>
    </w:p>
    <w:p w:rsidR="00D81F69" w:rsidRDefault="00330118">
      <w:pPr>
        <w:pStyle w:val="Heading1"/>
        <w:spacing w:line="208" w:lineRule="auto"/>
        <w:ind w:right="198"/>
        <w:jc w:val="both"/>
      </w:pPr>
      <w:r>
        <w:lastRenderedPageBreak/>
        <w:t>Extração de ouro no Garimpo do Tucano causa contaminação ambiental em Monte Alegre de Goiás (GO)</w:t>
      </w:r>
    </w:p>
    <w:p w:rsidR="00D81F69" w:rsidRDefault="00D81F69">
      <w:pPr>
        <w:pStyle w:val="Corpodetexto"/>
        <w:ind w:left="0"/>
        <w:jc w:val="left"/>
        <w:rPr>
          <w:b/>
          <w:sz w:val="20"/>
        </w:rPr>
      </w:pPr>
    </w:p>
    <w:p w:rsidR="00D81F69" w:rsidRDefault="00D81F69">
      <w:pPr>
        <w:pStyle w:val="Corpodetexto"/>
        <w:spacing w:before="7"/>
        <w:ind w:left="0"/>
        <w:jc w:val="left"/>
        <w:rPr>
          <w:b/>
          <w:sz w:val="23"/>
        </w:rPr>
      </w:pPr>
    </w:p>
    <w:p w:rsidR="00D81F69" w:rsidRDefault="00330118">
      <w:pPr>
        <w:pStyle w:val="Corpodetexto"/>
        <w:spacing w:line="20" w:lineRule="exact"/>
        <w:ind w:left="2164"/>
        <w:jc w:val="left"/>
        <w:rPr>
          <w:sz w:val="2"/>
        </w:rPr>
      </w:pPr>
      <w:r>
        <w:rPr>
          <w:noProof/>
          <w:sz w:val="2"/>
          <w:lang w:val="pt-BR" w:eastAsia="pt-BR"/>
        </w:rPr>
        <w:drawing>
          <wp:inline distT="0" distB="0" distL="0" distR="0">
            <wp:extent cx="1811385" cy="9334"/>
            <wp:effectExtent l="0" t="0" r="0" b="0"/>
            <wp:docPr id="27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D81F69">
      <w:pPr>
        <w:spacing w:line="20" w:lineRule="exact"/>
        <w:rPr>
          <w:sz w:val="2"/>
        </w:rPr>
        <w:sectPr w:rsidR="00D81F69">
          <w:pgSz w:w="11900" w:h="16840"/>
          <w:pgMar w:top="1080" w:right="500" w:bottom="620" w:left="620" w:header="0" w:footer="402" w:gutter="0"/>
          <w:cols w:space="720"/>
        </w:sectPr>
      </w:pPr>
    </w:p>
    <w:p w:rsidR="00D81F69" w:rsidRDefault="00D81F69">
      <w:pPr>
        <w:pStyle w:val="Corpodetexto"/>
        <w:ind w:left="0"/>
        <w:jc w:val="left"/>
        <w:rPr>
          <w:b/>
          <w:sz w:val="15"/>
        </w:rPr>
      </w:pPr>
    </w:p>
    <w:p w:rsidR="00D81F69" w:rsidRDefault="00330118">
      <w:pPr>
        <w:ind w:left="135"/>
        <w:rPr>
          <w:i/>
          <w:sz w:val="14"/>
        </w:rPr>
      </w:pPr>
      <w:r>
        <w:rPr>
          <w:i/>
          <w:sz w:val="14"/>
        </w:rPr>
        <w:t>MUNICÍPIOS</w:t>
      </w:r>
    </w:p>
    <w:p w:rsidR="00D81F69" w:rsidRDefault="00330118">
      <w:pPr>
        <w:spacing w:before="49"/>
        <w:ind w:left="135"/>
        <w:rPr>
          <w:i/>
          <w:sz w:val="14"/>
        </w:rPr>
      </w:pPr>
      <w:r>
        <w:rPr>
          <w:i/>
          <w:sz w:val="14"/>
        </w:rPr>
        <w:t>GO - Monte Alegre de Goiás</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-14,2587</w:t>
      </w:r>
    </w:p>
    <w:p w:rsidR="00D81F69" w:rsidRDefault="00D81F69">
      <w:pPr>
        <w:pStyle w:val="Corpodetexto"/>
        <w:spacing w:before="6"/>
        <w:ind w:left="0"/>
        <w:jc w:val="left"/>
        <w:rPr>
          <w:i/>
          <w:sz w:val="22"/>
        </w:rPr>
      </w:pPr>
    </w:p>
    <w:p w:rsidR="00D81F69" w:rsidRDefault="00330118">
      <w:pPr>
        <w:spacing w:before="1"/>
        <w:ind w:left="135"/>
        <w:rPr>
          <w:i/>
          <w:sz w:val="14"/>
        </w:rPr>
      </w:pPr>
      <w:r>
        <w:rPr>
          <w:i/>
          <w:sz w:val="14"/>
        </w:rPr>
        <w:t>LONGITUDE</w:t>
      </w:r>
    </w:p>
    <w:p w:rsidR="00D81F69" w:rsidRDefault="00330118">
      <w:pPr>
        <w:spacing w:before="49"/>
        <w:ind w:left="135"/>
        <w:rPr>
          <w:i/>
          <w:sz w:val="14"/>
        </w:rPr>
      </w:pPr>
      <w:r>
        <w:rPr>
          <w:i/>
          <w:sz w:val="14"/>
        </w:rPr>
        <w:t>-49,6567</w:t>
      </w:r>
    </w:p>
    <w:p w:rsidR="00D81F69" w:rsidRDefault="00330118">
      <w:pPr>
        <w:spacing w:before="25"/>
        <w:ind w:left="135"/>
        <w:rPr>
          <w:i/>
          <w:sz w:val="18"/>
        </w:rPr>
      </w:pPr>
      <w:r>
        <w:br w:type="column"/>
      </w:r>
      <w:r>
        <w:rPr>
          <w:i/>
          <w:sz w:val="18"/>
        </w:rPr>
        <w:lastRenderedPageBreak/>
        <w:t>SÍNTESE</w:t>
      </w:r>
    </w:p>
    <w:p w:rsidR="00D81F69" w:rsidRDefault="00330118">
      <w:pPr>
        <w:spacing w:before="52" w:line="312" w:lineRule="auto"/>
        <w:ind w:left="135" w:right="38"/>
        <w:jc w:val="both"/>
        <w:rPr>
          <w:i/>
          <w:sz w:val="16"/>
        </w:rPr>
      </w:pPr>
      <w:r>
        <w:rPr>
          <w:i/>
          <w:sz w:val="16"/>
        </w:rPr>
        <w:t xml:space="preserve">Monte Alegre de Goiás foi fundado em 1769, exclusivamente para a exploração aurífera. A mineração na região </w:t>
      </w:r>
      <w:r>
        <w:rPr>
          <w:i/>
          <w:spacing w:val="1"/>
          <w:sz w:val="16"/>
        </w:rPr>
        <w:t xml:space="preserve">ocorre </w:t>
      </w:r>
      <w:r>
        <w:rPr>
          <w:i/>
          <w:spacing w:val="2"/>
          <w:sz w:val="16"/>
        </w:rPr>
        <w:t xml:space="preserve">no </w:t>
      </w:r>
      <w:r>
        <w:rPr>
          <w:i/>
          <w:spacing w:val="5"/>
          <w:sz w:val="16"/>
        </w:rPr>
        <w:t xml:space="preserve">Garimpo </w:t>
      </w:r>
      <w:r>
        <w:rPr>
          <w:i/>
          <w:spacing w:val="2"/>
          <w:sz w:val="16"/>
        </w:rPr>
        <w:t xml:space="preserve">do </w:t>
      </w:r>
      <w:r>
        <w:rPr>
          <w:i/>
          <w:spacing w:val="5"/>
          <w:sz w:val="16"/>
        </w:rPr>
        <w:t xml:space="preserve">Tucano </w:t>
      </w:r>
      <w:r>
        <w:rPr>
          <w:i/>
          <w:sz w:val="16"/>
        </w:rPr>
        <w:t xml:space="preserve">e </w:t>
      </w:r>
      <w:r>
        <w:rPr>
          <w:i/>
          <w:spacing w:val="2"/>
          <w:sz w:val="16"/>
        </w:rPr>
        <w:t xml:space="preserve">em </w:t>
      </w:r>
      <w:r>
        <w:rPr>
          <w:i/>
          <w:spacing w:val="6"/>
          <w:sz w:val="16"/>
        </w:rPr>
        <w:t xml:space="preserve">outras </w:t>
      </w:r>
      <w:r>
        <w:rPr>
          <w:i/>
          <w:sz w:val="16"/>
        </w:rPr>
        <w:t xml:space="preserve">pequenas ocorrências isoladas. O local foi intensamente prospectado entre 1973 e </w:t>
      </w:r>
      <w:r>
        <w:rPr>
          <w:i/>
          <w:spacing w:val="2"/>
          <w:sz w:val="16"/>
        </w:rPr>
        <w:t xml:space="preserve">1985 </w:t>
      </w:r>
      <w:r>
        <w:rPr>
          <w:i/>
          <w:spacing w:val="1"/>
          <w:sz w:val="16"/>
        </w:rPr>
        <w:t xml:space="preserve">na </w:t>
      </w:r>
      <w:r>
        <w:rPr>
          <w:i/>
          <w:spacing w:val="3"/>
          <w:sz w:val="16"/>
        </w:rPr>
        <w:t xml:space="preserve">região denominada </w:t>
      </w:r>
      <w:r>
        <w:rPr>
          <w:i/>
          <w:spacing w:val="5"/>
          <w:sz w:val="16"/>
        </w:rPr>
        <w:t xml:space="preserve">Riacho </w:t>
      </w:r>
      <w:r>
        <w:rPr>
          <w:i/>
          <w:spacing w:val="3"/>
          <w:sz w:val="16"/>
        </w:rPr>
        <w:t xml:space="preserve">dos </w:t>
      </w:r>
      <w:r>
        <w:rPr>
          <w:i/>
          <w:spacing w:val="5"/>
          <w:sz w:val="16"/>
        </w:rPr>
        <w:t xml:space="preserve">Cavalos, </w:t>
      </w:r>
      <w:r>
        <w:rPr>
          <w:i/>
          <w:spacing w:val="3"/>
          <w:sz w:val="16"/>
        </w:rPr>
        <w:t xml:space="preserve">onde foram </w:t>
      </w:r>
      <w:r>
        <w:rPr>
          <w:i/>
          <w:spacing w:val="5"/>
          <w:sz w:val="16"/>
        </w:rPr>
        <w:t xml:space="preserve">exploradas </w:t>
      </w:r>
      <w:r>
        <w:rPr>
          <w:i/>
          <w:spacing w:val="15"/>
          <w:sz w:val="16"/>
        </w:rPr>
        <w:t xml:space="preserve">cassiterita </w:t>
      </w:r>
      <w:r>
        <w:rPr>
          <w:i/>
          <w:sz w:val="16"/>
        </w:rPr>
        <w:t xml:space="preserve">e </w:t>
      </w:r>
      <w:r>
        <w:rPr>
          <w:i/>
          <w:spacing w:val="15"/>
          <w:sz w:val="16"/>
        </w:rPr>
        <w:t xml:space="preserve">tantalita. Análises realizadas </w:t>
      </w:r>
      <w:r>
        <w:rPr>
          <w:i/>
          <w:spacing w:val="8"/>
          <w:sz w:val="16"/>
        </w:rPr>
        <w:t xml:space="preserve">no </w:t>
      </w:r>
      <w:r>
        <w:rPr>
          <w:i/>
          <w:spacing w:val="13"/>
          <w:sz w:val="16"/>
        </w:rPr>
        <w:t xml:space="preserve">local </w:t>
      </w:r>
      <w:r>
        <w:rPr>
          <w:i/>
          <w:spacing w:val="8"/>
          <w:sz w:val="16"/>
        </w:rPr>
        <w:t xml:space="preserve">do </w:t>
      </w:r>
      <w:r>
        <w:rPr>
          <w:i/>
          <w:spacing w:val="15"/>
          <w:sz w:val="16"/>
        </w:rPr>
        <w:t xml:space="preserve">garimpo </w:t>
      </w:r>
      <w:r>
        <w:rPr>
          <w:i/>
          <w:spacing w:val="3"/>
          <w:sz w:val="16"/>
        </w:rPr>
        <w:t xml:space="preserve">confirmaram </w:t>
      </w:r>
      <w:r>
        <w:rPr>
          <w:i/>
          <w:sz w:val="16"/>
        </w:rPr>
        <w:t xml:space="preserve">a </w:t>
      </w:r>
      <w:r>
        <w:rPr>
          <w:i/>
          <w:spacing w:val="3"/>
          <w:sz w:val="16"/>
        </w:rPr>
        <w:t xml:space="preserve">presença </w:t>
      </w:r>
      <w:r>
        <w:rPr>
          <w:i/>
          <w:spacing w:val="1"/>
          <w:sz w:val="16"/>
        </w:rPr>
        <w:t>de</w:t>
      </w:r>
      <w:r>
        <w:rPr>
          <w:i/>
          <w:spacing w:val="-1"/>
          <w:sz w:val="16"/>
        </w:rPr>
        <w:t xml:space="preserve"> </w:t>
      </w:r>
      <w:r>
        <w:rPr>
          <w:i/>
          <w:spacing w:val="5"/>
          <w:sz w:val="16"/>
        </w:rPr>
        <w:t>mercúrio.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7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145" w:line="312" w:lineRule="auto"/>
        <w:ind w:left="135" w:right="188"/>
      </w:pPr>
      <w:r>
        <w:br w:type="column"/>
      </w:r>
      <w:r>
        <w:lastRenderedPageBreak/>
        <w:t>Os garimpos de cassiterita estão desativados devido ao baixo valor do minério no mercado. Os garimpos de ouro também estão, em sua maioria, desativados, e naqueles onde há atividade, esta acontece de maneira bastante precária, artesanal (LAZARIN; RABELO, 1</w:t>
      </w:r>
      <w:r>
        <w:t>984 apud TIBIRIÇÁ, 2006).</w:t>
      </w:r>
    </w:p>
    <w:p w:rsidR="00D81F69" w:rsidRDefault="00330118">
      <w:pPr>
        <w:pStyle w:val="Corpodetexto"/>
        <w:spacing w:before="72" w:line="270" w:lineRule="atLeast"/>
        <w:ind w:left="135" w:right="189"/>
      </w:pPr>
      <w:r>
        <w:t>O Garimpo do Tucano, principal da região, encontra-se inativo, restando no local pilha de rejeitos, lagoa da cava e barragem (TIBIRIÇÁ, 2006). A área é habitada por uma família de seis pessoas. Análises realizadas em amostras da p</w:t>
      </w:r>
      <w:r>
        <w:t xml:space="preserve">ilha de rejeito confirmaram a presença de </w:t>
      </w:r>
      <w:hyperlink r:id="rId929">
        <w:r>
          <w:t xml:space="preserve">mercúrio </w:t>
        </w:r>
      </w:hyperlink>
      <w:r>
        <w:t xml:space="preserve">no local (TIBIRIÇÁ- RESENDE et al., 2003), o que pode causar, devido à toxidade da substância, efeitos adversos à </w:t>
      </w:r>
      <w:r>
        <w:t>saúde</w:t>
      </w:r>
    </w:p>
    <w:p w:rsidR="00D81F69" w:rsidRDefault="00D81F69">
      <w:pPr>
        <w:spacing w:line="270" w:lineRule="atLeast"/>
        <w:sectPr w:rsidR="00D81F69">
          <w:type w:val="continuous"/>
          <w:pgSz w:w="11900" w:h="16840"/>
          <w:pgMar w:top="720" w:right="500" w:bottom="280" w:left="620" w:header="720" w:footer="720" w:gutter="0"/>
          <w:cols w:num="3" w:space="720" w:equalWidth="0">
            <w:col w:w="1950" w:space="50"/>
            <w:col w:w="3120" w:space="315"/>
            <w:col w:w="5345"/>
          </w:cols>
        </w:sectPr>
      </w:pPr>
    </w:p>
    <w:p w:rsidR="00D81F69" w:rsidRDefault="00330118">
      <w:pPr>
        <w:pStyle w:val="Heading4"/>
        <w:spacing w:line="193" w:lineRule="exact"/>
        <w:jc w:val="left"/>
      </w:pPr>
      <w:r>
        <w:lastRenderedPageBreak/>
        <w:t>APRESENTAÇÃO DE CASO</w:t>
      </w:r>
    </w:p>
    <w:p w:rsidR="00D81F69" w:rsidRDefault="00330118">
      <w:pPr>
        <w:pStyle w:val="Corpodetexto"/>
        <w:spacing w:before="170" w:line="312" w:lineRule="auto"/>
        <w:ind w:right="67"/>
      </w:pPr>
      <w:r>
        <w:t xml:space="preserve">O estado de Goiás foi ocupado a partir da descoberta de ouro e </w:t>
      </w:r>
      <w:r>
        <w:rPr>
          <w:spacing w:val="5"/>
        </w:rPr>
        <w:t xml:space="preserve">diamantes </w:t>
      </w:r>
      <w:r>
        <w:rPr>
          <w:spacing w:val="2"/>
        </w:rPr>
        <w:t xml:space="preserve">em </w:t>
      </w:r>
      <w:r>
        <w:rPr>
          <w:spacing w:val="3"/>
        </w:rPr>
        <w:t xml:space="preserve">seu </w:t>
      </w:r>
      <w:r>
        <w:rPr>
          <w:spacing w:val="5"/>
        </w:rPr>
        <w:t xml:space="preserve">território. Neste contexto, </w:t>
      </w:r>
      <w:r>
        <w:t xml:space="preserve">o </w:t>
      </w:r>
      <w:r>
        <w:rPr>
          <w:spacing w:val="6"/>
        </w:rPr>
        <w:t xml:space="preserve">arraial </w:t>
      </w:r>
      <w:r>
        <w:t xml:space="preserve">Chapéu, atual Monte Alegre de Goiás, foi fundado em 1769 </w:t>
      </w:r>
      <w:r>
        <w:rPr>
          <w:spacing w:val="3"/>
        </w:rPr>
        <w:t xml:space="preserve">(BARREIRA, </w:t>
      </w:r>
      <w:r>
        <w:rPr>
          <w:spacing w:val="2"/>
        </w:rPr>
        <w:t xml:space="preserve">2002 apud </w:t>
      </w:r>
      <w:r>
        <w:rPr>
          <w:spacing w:val="3"/>
        </w:rPr>
        <w:t>T</w:t>
      </w:r>
      <w:r>
        <w:rPr>
          <w:spacing w:val="3"/>
        </w:rPr>
        <w:t xml:space="preserve">IBIRIÇÁ, 2006), </w:t>
      </w:r>
      <w:r>
        <w:rPr>
          <w:spacing w:val="5"/>
        </w:rPr>
        <w:t xml:space="preserve">exclusivamente </w:t>
      </w:r>
      <w:r>
        <w:t xml:space="preserve">para a exploração aurífera (CIDADES DE GOIÁS, 2010). Esta </w:t>
      </w:r>
      <w:r>
        <w:rPr>
          <w:spacing w:val="5"/>
        </w:rPr>
        <w:t xml:space="preserve">região </w:t>
      </w:r>
      <w:r>
        <w:rPr>
          <w:spacing w:val="3"/>
        </w:rPr>
        <w:t xml:space="preserve">foi </w:t>
      </w:r>
      <w:r>
        <w:rPr>
          <w:spacing w:val="5"/>
        </w:rPr>
        <w:t xml:space="preserve">intensamente prospectada </w:t>
      </w:r>
      <w:r>
        <w:rPr>
          <w:spacing w:val="3"/>
        </w:rPr>
        <w:t xml:space="preserve">entre 1973 </w:t>
      </w:r>
      <w:r>
        <w:t xml:space="preserve">e </w:t>
      </w:r>
      <w:r>
        <w:rPr>
          <w:spacing w:val="5"/>
        </w:rPr>
        <w:t xml:space="preserve">1985, </w:t>
      </w:r>
      <w:r>
        <w:rPr>
          <w:spacing w:val="8"/>
        </w:rPr>
        <w:t xml:space="preserve">ocupando </w:t>
      </w:r>
      <w:r>
        <w:t xml:space="preserve">a </w:t>
      </w:r>
      <w:r>
        <w:rPr>
          <w:spacing w:val="8"/>
        </w:rPr>
        <w:t xml:space="preserve">região denominada Riacho </w:t>
      </w:r>
      <w:r>
        <w:rPr>
          <w:spacing w:val="6"/>
        </w:rPr>
        <w:t xml:space="preserve">dos </w:t>
      </w:r>
      <w:r>
        <w:rPr>
          <w:spacing w:val="10"/>
        </w:rPr>
        <w:t xml:space="preserve">Cavalos, </w:t>
      </w:r>
      <w:r>
        <w:rPr>
          <w:spacing w:val="8"/>
        </w:rPr>
        <w:t xml:space="preserve">explotando concentrações aluvionares </w:t>
      </w:r>
      <w:r>
        <w:rPr>
          <w:spacing w:val="5"/>
        </w:rPr>
        <w:t xml:space="preserve">de </w:t>
      </w:r>
      <w:r>
        <w:rPr>
          <w:spacing w:val="8"/>
        </w:rPr>
        <w:t xml:space="preserve">cassiterita </w:t>
      </w:r>
      <w:r>
        <w:t>e tantalita</w:t>
      </w:r>
      <w:r>
        <w:t xml:space="preserve"> (Botelho et al., 1986 apud TIBIRIÇA et al., 2005) até  o início da década de</w:t>
      </w:r>
      <w:r>
        <w:rPr>
          <w:spacing w:val="35"/>
        </w:rPr>
        <w:t xml:space="preserve"> </w:t>
      </w:r>
      <w:r>
        <w:t>1990.</w:t>
      </w:r>
    </w:p>
    <w:p w:rsidR="00D81F69" w:rsidRDefault="00330118">
      <w:pPr>
        <w:pStyle w:val="Corpodetexto"/>
        <w:spacing w:before="139" w:line="312" w:lineRule="auto"/>
        <w:ind w:right="90"/>
      </w:pPr>
      <w:r>
        <w:t>Na região de Monte Alegre de Goiás, ocorrem rochas metamórficas de idade proterozóica (com aproximadamente</w:t>
      </w:r>
    </w:p>
    <w:p w:rsidR="00D81F69" w:rsidRDefault="00330118">
      <w:pPr>
        <w:pStyle w:val="Corpodetexto"/>
        <w:spacing w:before="2" w:line="312" w:lineRule="auto"/>
        <w:ind w:right="71"/>
      </w:pPr>
      <w:r>
        <w:t>1.500 milhões de anos), representadas por xistos grafitosos e roc</w:t>
      </w:r>
      <w:r>
        <w:t>has ígneas, de mesma idade, granitos, aos quais se encontram associados a pegmatitos e zonas hidrotermalizadas que permitiram a formação de turmalina e cassiterita. O ouro localiza-se em veios de quartzo encaixados entre xisto e granito. Outras unidades ge</w:t>
      </w:r>
      <w:r>
        <w:t>ológicas presentes são as rochas sedimentares do Grupo Araí, responsáveis pelas porções mais elevadas da paisagem, e os calcários do Grupo Bambuí, que ocorrem à leste da sede do município (TIBIRIÇÁ- RESENDE et al., 2003).</w:t>
      </w:r>
    </w:p>
    <w:p w:rsidR="00D81F69" w:rsidRDefault="00330118">
      <w:pPr>
        <w:pStyle w:val="Corpodetexto"/>
        <w:spacing w:before="76" w:line="270" w:lineRule="atLeast"/>
        <w:ind w:right="38"/>
        <w:jc w:val="left"/>
      </w:pPr>
      <w:r>
        <w:t xml:space="preserve">Com 3.119,802 km² e 7.730 habitantes (IBGE, 2010), Monte Alegre de Goiás localiza-se no norte do estado, a 590 km da capital Goiânia (CIDADES DE GOIÁS, 2010). A ocupação de seu território pelos garimpeiros deu-se na década de 1970, motivada pela mineração </w:t>
      </w:r>
      <w:r>
        <w:t>artesanal de ouro e cassiterita, mas sua história durou pouco mais de 10 anos. Cerca de um terço da população local veio de estados vizinhos (Maranhão, Bahia, Minas Gerais). Há também um considerável número de garimpeiros expulsos da Província Estanífera d</w:t>
      </w:r>
      <w:r>
        <w:t>e Rondônia que, juntos, constituíram a maioria do contingente que se instalou pelos vários garimpos (LAZARIN; RABELO, 1984 apud TIBIRIÇÁ, 2006).</w:t>
      </w:r>
    </w:p>
    <w:p w:rsidR="00D81F69" w:rsidRDefault="00330118">
      <w:pPr>
        <w:pStyle w:val="Corpodetexto"/>
        <w:spacing w:before="63"/>
        <w:jc w:val="left"/>
      </w:pPr>
      <w:r>
        <w:br w:type="column"/>
      </w:r>
      <w:r>
        <w:lastRenderedPageBreak/>
        <w:t>humana e desastres ambientais (FIGUEIREDO, 2000).</w:t>
      </w:r>
    </w:p>
    <w:p w:rsidR="00D81F69" w:rsidRDefault="00D81F69">
      <w:pPr>
        <w:pStyle w:val="Corpodetexto"/>
        <w:spacing w:before="9"/>
        <w:ind w:left="0"/>
        <w:jc w:val="left"/>
        <w:rPr>
          <w:sz w:val="16"/>
        </w:rPr>
      </w:pPr>
    </w:p>
    <w:p w:rsidR="00D81F69" w:rsidRDefault="00330118">
      <w:pPr>
        <w:pStyle w:val="Corpodetexto"/>
        <w:spacing w:line="312" w:lineRule="auto"/>
        <w:ind w:right="192"/>
      </w:pPr>
      <w:r>
        <w:t xml:space="preserve">Já os valores relativamente baixos de mercúrio encontrados </w:t>
      </w:r>
      <w:r>
        <w:t>nas amostras da barragem são decorrentes da distância entre esta e o ponto de estocagem do rejeito, abaixo da zona garimpada, e à declividade do terreno, o que dificulta a dispersão do material (TIBIRIÇÁ- RESENDE et al., 2003). Assim, conclui-se que as rea</w:t>
      </w:r>
      <w:r>
        <w:t>ções químicas do ciclo do mercúrio não ocorreram no ambiente da barragem (TIBIRIÇÁ, 2006).</w:t>
      </w:r>
    </w:p>
    <w:p w:rsidR="00D81F69" w:rsidRDefault="00330118">
      <w:pPr>
        <w:pStyle w:val="Corpodetexto"/>
        <w:spacing w:before="137" w:line="312" w:lineRule="auto"/>
        <w:ind w:right="188"/>
      </w:pPr>
      <w:r>
        <w:t>Os resultados das análises indicaram locais ainda não contaminados, passíveis de acompanhamento, e outros que devem ser isolados. Revelaram ainda a boa condição da s</w:t>
      </w:r>
      <w:r>
        <w:t>aúde humana e da ictiofauna em relação ao mercúrio, mesmo cercada por um ambiente insalubre instituído pela atividade garimpeira (TIBIRAÇÁ, 2006).</w:t>
      </w:r>
    </w:p>
    <w:p w:rsidR="00D81F69" w:rsidRDefault="00330118">
      <w:pPr>
        <w:pStyle w:val="Corpodetexto"/>
        <w:spacing w:before="136" w:line="312" w:lineRule="auto"/>
        <w:ind w:right="190"/>
      </w:pPr>
      <w:r>
        <w:t>Outros impactos negativos observados na área estudada foram: a destruição da vegetação nativa e o armazenamen</w:t>
      </w:r>
      <w:r>
        <w:t>to inadequado dos rejeitos lavrados de ouro, permitindo contato direto com moradores e com o ecossistema. Na barragem localizada abaixo da área garimpada são criados peixes, usados, eventualmente, pelos moradores para alimentação (TIBIRIÇÁ, 2006).</w:t>
      </w:r>
    </w:p>
    <w:p w:rsidR="00D81F69" w:rsidRDefault="00D81F69">
      <w:pPr>
        <w:pStyle w:val="Corpodetexto"/>
        <w:spacing w:before="6"/>
        <w:ind w:left="0"/>
        <w:jc w:val="left"/>
        <w:rPr>
          <w:sz w:val="21"/>
        </w:rPr>
      </w:pPr>
    </w:p>
    <w:p w:rsidR="00D81F69" w:rsidRDefault="00330118">
      <w:pPr>
        <w:pStyle w:val="Heading7"/>
        <w:jc w:val="left"/>
      </w:pPr>
      <w:r>
        <w:t>LOCALIZ</w:t>
      </w:r>
      <w:r>
        <w:t>AÇÃO GEOGRÁFICA</w:t>
      </w:r>
    </w:p>
    <w:p w:rsidR="00D81F69" w:rsidRDefault="00330118">
      <w:pPr>
        <w:pStyle w:val="Corpodetexto"/>
        <w:spacing w:before="179" w:line="312" w:lineRule="auto"/>
        <w:ind w:right="159"/>
        <w:jc w:val="left"/>
      </w:pPr>
      <w:r>
        <w:t>O município de Monte Alegre de Goiás localiza-se na latitude 14°15’31”S e longitude 49°39’24”W.</w:t>
      </w:r>
    </w:p>
    <w:p w:rsidR="00D81F69" w:rsidRDefault="00D81F69">
      <w:pPr>
        <w:pStyle w:val="Corpodetexto"/>
        <w:spacing w:before="11"/>
        <w:ind w:left="0"/>
        <w:jc w:val="left"/>
        <w:rPr>
          <w:sz w:val="28"/>
        </w:rPr>
      </w:pPr>
    </w:p>
    <w:p w:rsidR="00D81F69" w:rsidRDefault="00330118">
      <w:pPr>
        <w:pStyle w:val="Heading7"/>
        <w:jc w:val="left"/>
      </w:pPr>
      <w:r>
        <w:t>REDATORES</w:t>
      </w:r>
    </w:p>
    <w:p w:rsidR="00D81F69" w:rsidRDefault="00330118">
      <w:pPr>
        <w:pStyle w:val="Corpodetexto"/>
        <w:spacing w:before="179"/>
        <w:jc w:val="left"/>
      </w:pPr>
      <w:r>
        <w:t>Érica da Silva</w:t>
      </w:r>
    </w:p>
    <w:p w:rsidR="00D81F69" w:rsidRDefault="00D81F69">
      <w:pPr>
        <w:pStyle w:val="Corpodetexto"/>
        <w:ind w:left="0"/>
        <w:jc w:val="left"/>
        <w:rPr>
          <w:sz w:val="20"/>
        </w:rPr>
      </w:pPr>
    </w:p>
    <w:p w:rsidR="00D81F69" w:rsidRDefault="00330118">
      <w:pPr>
        <w:pStyle w:val="Heading7"/>
        <w:spacing w:before="164"/>
        <w:jc w:val="left"/>
      </w:pPr>
      <w:r>
        <w:t>REFERÊNCIAS BIBLIOGRÁFICAS</w:t>
      </w:r>
    </w:p>
    <w:p w:rsidR="00D81F69" w:rsidRDefault="00330118">
      <w:pPr>
        <w:tabs>
          <w:tab w:val="left" w:pos="903"/>
          <w:tab w:val="left" w:pos="2413"/>
          <w:tab w:val="left" w:pos="4630"/>
        </w:tabs>
        <w:spacing w:before="132" w:line="240" w:lineRule="atLeast"/>
        <w:ind w:left="100" w:right="232"/>
        <w:rPr>
          <w:sz w:val="16"/>
        </w:rPr>
      </w:pPr>
      <w:r>
        <w:rPr>
          <w:sz w:val="16"/>
        </w:rPr>
        <w:t xml:space="preserve">Cidades de Goiás. Site CIDADESDEGOIAS.COM.BR. Monte Alegre  d </w:t>
      </w:r>
      <w:r>
        <w:rPr>
          <w:spacing w:val="15"/>
          <w:sz w:val="16"/>
        </w:rPr>
        <w:t xml:space="preserve"> </w:t>
      </w:r>
      <w:r>
        <w:rPr>
          <w:sz w:val="16"/>
        </w:rPr>
        <w:t>e</w:t>
      </w:r>
      <w:r>
        <w:rPr>
          <w:sz w:val="16"/>
        </w:rPr>
        <w:tab/>
        <w:t xml:space="preserve">G  o  i  á  </w:t>
      </w:r>
      <w:r>
        <w:rPr>
          <w:spacing w:val="18"/>
          <w:sz w:val="16"/>
        </w:rPr>
        <w:t xml:space="preserve"> </w:t>
      </w:r>
      <w:r>
        <w:rPr>
          <w:sz w:val="16"/>
        </w:rPr>
        <w:t xml:space="preserve">s </w:t>
      </w:r>
      <w:r>
        <w:rPr>
          <w:spacing w:val="15"/>
          <w:sz w:val="16"/>
        </w:rPr>
        <w:t xml:space="preserve"> </w:t>
      </w:r>
      <w:r>
        <w:rPr>
          <w:sz w:val="16"/>
        </w:rPr>
        <w:t>.</w:t>
      </w:r>
      <w:r>
        <w:rPr>
          <w:sz w:val="16"/>
        </w:rPr>
        <w:tab/>
        <w:t xml:space="preserve">D </w:t>
      </w:r>
      <w:r>
        <w:rPr>
          <w:spacing w:val="15"/>
          <w:sz w:val="16"/>
        </w:rPr>
        <w:t xml:space="preserve"> </w:t>
      </w:r>
      <w:r>
        <w:rPr>
          <w:sz w:val="16"/>
        </w:rPr>
        <w:t xml:space="preserve">i </w:t>
      </w:r>
      <w:r>
        <w:rPr>
          <w:spacing w:val="15"/>
          <w:sz w:val="16"/>
        </w:rPr>
        <w:t xml:space="preserve"> </w:t>
      </w:r>
      <w:r>
        <w:rPr>
          <w:sz w:val="16"/>
        </w:rPr>
        <w:t xml:space="preserve">s </w:t>
      </w:r>
      <w:r>
        <w:rPr>
          <w:spacing w:val="15"/>
          <w:sz w:val="16"/>
        </w:rPr>
        <w:t xml:space="preserve"> </w:t>
      </w:r>
      <w:r>
        <w:rPr>
          <w:sz w:val="16"/>
        </w:rPr>
        <w:t xml:space="preserve">p </w:t>
      </w:r>
      <w:r>
        <w:rPr>
          <w:spacing w:val="15"/>
          <w:sz w:val="16"/>
        </w:rPr>
        <w:t xml:space="preserve"> </w:t>
      </w:r>
      <w:r>
        <w:rPr>
          <w:sz w:val="16"/>
        </w:rPr>
        <w:t xml:space="preserve">o </w:t>
      </w:r>
      <w:r>
        <w:rPr>
          <w:spacing w:val="15"/>
          <w:sz w:val="16"/>
        </w:rPr>
        <w:t xml:space="preserve"> </w:t>
      </w:r>
      <w:r>
        <w:rPr>
          <w:sz w:val="16"/>
        </w:rPr>
        <w:t xml:space="preserve">n </w:t>
      </w:r>
      <w:r>
        <w:rPr>
          <w:spacing w:val="15"/>
          <w:sz w:val="16"/>
        </w:rPr>
        <w:t xml:space="preserve"> </w:t>
      </w:r>
      <w:r>
        <w:rPr>
          <w:sz w:val="16"/>
        </w:rPr>
        <w:t xml:space="preserve">í </w:t>
      </w:r>
      <w:r>
        <w:rPr>
          <w:spacing w:val="15"/>
          <w:sz w:val="16"/>
        </w:rPr>
        <w:t xml:space="preserve"> </w:t>
      </w:r>
      <w:r>
        <w:rPr>
          <w:sz w:val="16"/>
        </w:rPr>
        <w:t xml:space="preserve">v </w:t>
      </w:r>
      <w:r>
        <w:rPr>
          <w:spacing w:val="15"/>
          <w:sz w:val="16"/>
        </w:rPr>
        <w:t xml:space="preserve"> </w:t>
      </w:r>
      <w:r>
        <w:rPr>
          <w:sz w:val="16"/>
        </w:rPr>
        <w:t xml:space="preserve">e </w:t>
      </w:r>
      <w:r>
        <w:rPr>
          <w:spacing w:val="15"/>
          <w:sz w:val="16"/>
        </w:rPr>
        <w:t xml:space="preserve"> </w:t>
      </w:r>
      <w:r>
        <w:rPr>
          <w:sz w:val="16"/>
        </w:rPr>
        <w:t>l</w:t>
      </w:r>
      <w:r>
        <w:rPr>
          <w:sz w:val="16"/>
        </w:rPr>
        <w:tab/>
        <w:t>e m</w:t>
      </w:r>
      <w:r>
        <w:rPr>
          <w:spacing w:val="30"/>
          <w:sz w:val="16"/>
        </w:rPr>
        <w:t xml:space="preserve"> </w:t>
      </w:r>
      <w:r>
        <w:rPr>
          <w:sz w:val="16"/>
        </w:rPr>
        <w:t>:</w:t>
      </w:r>
    </w:p>
    <w:p w:rsidR="00D81F69" w:rsidRDefault="00D81F69">
      <w:pPr>
        <w:spacing w:line="240" w:lineRule="atLeast"/>
        <w:rPr>
          <w:sz w:val="16"/>
        </w:rPr>
        <w:sectPr w:rsidR="00D81F69">
          <w:type w:val="continuous"/>
          <w:pgSz w:w="11900" w:h="16840"/>
          <w:pgMar w:top="720" w:right="500" w:bottom="280" w:left="620" w:header="720" w:footer="720" w:gutter="0"/>
          <w:cols w:num="2" w:space="720" w:equalWidth="0">
            <w:col w:w="5194" w:space="276"/>
            <w:col w:w="5310"/>
          </w:cols>
        </w:sectPr>
      </w:pPr>
    </w:p>
    <w:p w:rsidR="00D81F69" w:rsidRDefault="00D81F69">
      <w:pPr>
        <w:spacing w:before="70" w:line="312" w:lineRule="auto"/>
        <w:ind w:left="100" w:right="69"/>
        <w:jc w:val="both"/>
        <w:rPr>
          <w:sz w:val="16"/>
        </w:rPr>
      </w:pPr>
      <w:hyperlink r:id="rId930">
        <w:r w:rsidR="00330118">
          <w:rPr>
            <w:sz w:val="16"/>
          </w:rPr>
          <w:t>&lt;http://www.ferias.tur.br/informacoes/2236/monte-alegre-de-goias-</w:t>
        </w:r>
      </w:hyperlink>
      <w:r w:rsidR="00330118">
        <w:rPr>
          <w:sz w:val="16"/>
        </w:rPr>
        <w:t xml:space="preserve"> go.html&gt; Acesso em: 11 out. 2010.</w:t>
      </w:r>
    </w:p>
    <w:p w:rsidR="00D81F69" w:rsidRDefault="00330118">
      <w:pPr>
        <w:spacing w:before="1" w:line="312" w:lineRule="auto"/>
        <w:ind w:left="100" w:right="38"/>
        <w:jc w:val="both"/>
        <w:rPr>
          <w:sz w:val="16"/>
        </w:rPr>
      </w:pPr>
      <w:r>
        <w:rPr>
          <w:sz w:val="16"/>
        </w:rPr>
        <w:t>IBGE, Instituto Br</w:t>
      </w:r>
      <w:r>
        <w:rPr>
          <w:sz w:val="16"/>
        </w:rPr>
        <w:t xml:space="preserve">asileiro de Geografia e Estatística. Monte Alegre de Goiás (GO). In: IBGE Cidades, 2010. Disponível em: </w:t>
      </w:r>
    </w:p>
    <w:p w:rsidR="00D81F69" w:rsidRDefault="00D81F69">
      <w:pPr>
        <w:spacing w:before="2" w:line="312" w:lineRule="auto"/>
        <w:ind w:left="100" w:right="73"/>
        <w:jc w:val="both"/>
        <w:rPr>
          <w:sz w:val="16"/>
        </w:rPr>
      </w:pPr>
      <w:hyperlink r:id="rId931">
        <w:r w:rsidR="00330118">
          <w:rPr>
            <w:sz w:val="16"/>
          </w:rPr>
          <w:t>&lt;http://biblioteca.ibge.gov.br/visualizacao/dtbs/goias/montealeg</w:t>
        </w:r>
        <w:r w:rsidR="00330118">
          <w:rPr>
            <w:sz w:val="16"/>
          </w:rPr>
          <w:t>redego</w:t>
        </w:r>
      </w:hyperlink>
      <w:r w:rsidR="00330118">
        <w:rPr>
          <w:sz w:val="16"/>
        </w:rPr>
        <w:t xml:space="preserve"> ias.pdf&gt; Acesso em: 26 maio 2011.</w:t>
      </w:r>
    </w:p>
    <w:p w:rsidR="00D81F69" w:rsidRDefault="00330118">
      <w:pPr>
        <w:spacing w:before="2" w:line="312" w:lineRule="auto"/>
        <w:ind w:left="100" w:right="72"/>
        <w:jc w:val="both"/>
        <w:rPr>
          <w:sz w:val="16"/>
        </w:rPr>
      </w:pPr>
      <w:r>
        <w:rPr>
          <w:sz w:val="16"/>
        </w:rPr>
        <w:t>FIGUEIREDO, B.R. Minérios e Ambiente. Campinas: SP; Editora da Unicamp. 401p, 2000.</w:t>
      </w:r>
    </w:p>
    <w:p w:rsidR="00D81F69" w:rsidRDefault="00330118">
      <w:pPr>
        <w:spacing w:before="1" w:line="312" w:lineRule="auto"/>
        <w:ind w:left="100" w:right="54"/>
        <w:jc w:val="both"/>
        <w:rPr>
          <w:sz w:val="16"/>
        </w:rPr>
      </w:pPr>
      <w:r>
        <w:rPr>
          <w:sz w:val="16"/>
        </w:rPr>
        <w:t>TIBIRIÇA, Luciana G. Caracterização Geoquímico-Ambiental do Garimpo do Tucano, Monte Alegre de Goiás-GO. Goiânia, 9 de jun. 2006. 5</w:t>
      </w:r>
      <w:r>
        <w:rPr>
          <w:sz w:val="16"/>
        </w:rPr>
        <w:t xml:space="preserve">0 f. Dissertação (Mestrado em Geografia) – Instituto de Estudos Socioambientais, Universidade Federal de Goiás. Disponível em: </w:t>
      </w:r>
      <w:hyperlink r:id="rId932">
        <w:r>
          <w:rPr>
            <w:sz w:val="16"/>
          </w:rPr>
          <w:t xml:space="preserve">&lt;http://busca.ibict.br&gt;. </w:t>
        </w:r>
      </w:hyperlink>
      <w:r>
        <w:rPr>
          <w:sz w:val="16"/>
        </w:rPr>
        <w:t>Acesso em: 11 out. 2010.</w:t>
      </w:r>
    </w:p>
    <w:p w:rsidR="00D81F69" w:rsidRDefault="00330118">
      <w:pPr>
        <w:spacing w:before="70" w:line="312" w:lineRule="auto"/>
        <w:ind w:left="100" w:right="198"/>
        <w:jc w:val="both"/>
        <w:rPr>
          <w:sz w:val="16"/>
        </w:rPr>
      </w:pPr>
      <w:r>
        <w:br w:type="column"/>
      </w:r>
      <w:r>
        <w:rPr>
          <w:sz w:val="16"/>
        </w:rPr>
        <w:lastRenderedPageBreak/>
        <w:t>TIBIRIÇA, Luciana G.; LIMA, Cláudia Va</w:t>
      </w:r>
      <w:r>
        <w:rPr>
          <w:sz w:val="16"/>
        </w:rPr>
        <w:t>léria; BOTELHO, Nilson Francisquini; SOUZA, Jurandir Rodrigues. Análise de mercúrio total em cabelos para verificação de contaminação ambiental no Garimpo do Tucano em Monte Alegre de Goiás. Workshop Internacional de Geologia Médica – 2005. Rio de Janeiro.</w:t>
      </w:r>
      <w:r>
        <w:rPr>
          <w:sz w:val="16"/>
        </w:rPr>
        <w:t xml:space="preserve"> Anais, 2005. Disponível em:</w:t>
      </w:r>
    </w:p>
    <w:p w:rsidR="00D81F69" w:rsidRDefault="00D81F69">
      <w:pPr>
        <w:spacing w:before="4"/>
        <w:ind w:left="100"/>
        <w:rPr>
          <w:sz w:val="16"/>
        </w:rPr>
      </w:pPr>
      <w:hyperlink r:id="rId933">
        <w:r w:rsidR="00330118">
          <w:rPr>
            <w:sz w:val="16"/>
          </w:rPr>
          <w:t>&lt;http://www.cprm.gov.br/publique/media/Painel08.pdf&gt;.</w:t>
        </w:r>
      </w:hyperlink>
    </w:p>
    <w:p w:rsidR="00D81F69" w:rsidRDefault="00330118">
      <w:pPr>
        <w:spacing w:before="56" w:line="312" w:lineRule="auto"/>
        <w:ind w:left="100" w:right="195"/>
        <w:jc w:val="both"/>
        <w:rPr>
          <w:sz w:val="16"/>
        </w:rPr>
      </w:pPr>
      <w:r>
        <w:rPr>
          <w:sz w:val="16"/>
        </w:rPr>
        <w:t xml:space="preserve">TIBIRIÇÁ-RESENDE, L.G.; CÂNDIDO, L.W.; ALVARENGA, C.J.S.de; GUIMARÃES,J.E.; DARDENNE, M.A.; MOURA, M.A.; </w:t>
      </w:r>
      <w:r>
        <w:rPr>
          <w:sz w:val="16"/>
        </w:rPr>
        <w:t>BOTELHO,</w:t>
      </w:r>
    </w:p>
    <w:p w:rsidR="00D81F69" w:rsidRDefault="00330118">
      <w:pPr>
        <w:spacing w:before="1" w:line="312" w:lineRule="auto"/>
        <w:ind w:left="100" w:right="210"/>
        <w:jc w:val="both"/>
        <w:rPr>
          <w:sz w:val="16"/>
        </w:rPr>
      </w:pPr>
      <w:r>
        <w:rPr>
          <w:spacing w:val="3"/>
          <w:sz w:val="16"/>
        </w:rPr>
        <w:t xml:space="preserve">N.F.; </w:t>
      </w:r>
      <w:r>
        <w:rPr>
          <w:spacing w:val="5"/>
          <w:sz w:val="16"/>
        </w:rPr>
        <w:t xml:space="preserve">MENESES, </w:t>
      </w:r>
      <w:r>
        <w:rPr>
          <w:spacing w:val="3"/>
          <w:sz w:val="16"/>
        </w:rPr>
        <w:t xml:space="preserve">P.R.; </w:t>
      </w:r>
      <w:r>
        <w:rPr>
          <w:spacing w:val="5"/>
          <w:sz w:val="16"/>
        </w:rPr>
        <w:t xml:space="preserve">SANTOS,R.V. </w:t>
      </w:r>
      <w:r>
        <w:rPr>
          <w:sz w:val="16"/>
        </w:rPr>
        <w:t xml:space="preserve">- </w:t>
      </w:r>
      <w:r>
        <w:rPr>
          <w:spacing w:val="5"/>
          <w:sz w:val="16"/>
        </w:rPr>
        <w:t xml:space="preserve">Análise Preliminar dos </w:t>
      </w:r>
      <w:r>
        <w:rPr>
          <w:sz w:val="16"/>
        </w:rPr>
        <w:t>Impactos Ambientais dos Garimpos de Cassiterita e Ouro da região de Monte Alegre de Goiás - GO. VIII Simpósio de Geologia do Centro- Oeste. Cuiabá. Anais, 102-3pp, 2003.</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67" w:space="303"/>
            <w:col w:w="5310"/>
          </w:cols>
        </w:sectPr>
      </w:pPr>
    </w:p>
    <w:p w:rsidR="00D81F69" w:rsidRDefault="00330118">
      <w:pPr>
        <w:pStyle w:val="Heading1"/>
        <w:spacing w:line="208" w:lineRule="auto"/>
        <w:ind w:right="301"/>
      </w:pPr>
      <w:r>
        <w:lastRenderedPageBreak/>
        <w:t>Três ciclos de mineração deixam passivo ambiental em Faina (GO)</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GO - Faina</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-15,5955</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-50,3602</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7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O município de Faina, no noroeste </w:t>
      </w:r>
      <w:r>
        <w:rPr>
          <w:i/>
          <w:sz w:val="16"/>
        </w:rPr>
        <w:t xml:space="preserve">goiano, passou por três ciclos de mineração: mineração escrava, nos séculos XVIII e XIX; mineração de dragagem, no século XX; e mineração industrial, no século XXI. Mesmo tendo sido de curta duração, a mineração de dragagem é considerada a mais impactante </w:t>
      </w:r>
      <w:r>
        <w:rPr>
          <w:i/>
          <w:sz w:val="16"/>
        </w:rPr>
        <w:t>para o meio ambiente, tendo devastado grande parte das matas ciliares, assoreado e mudado os leitos dos cursos d’águas minerados.</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7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175" w:line="270" w:lineRule="atLeast"/>
        <w:ind w:left="135" w:right="195"/>
      </w:pPr>
      <w:r>
        <w:br w:type="column"/>
      </w:r>
      <w:r>
        <w:lastRenderedPageBreak/>
        <w:t xml:space="preserve">cerca de 160 anos após a ocorrência da mineração escrava, </w:t>
      </w:r>
      <w:r>
        <w:rPr>
          <w:spacing w:val="3"/>
        </w:rPr>
        <w:t xml:space="preserve">Faina vivenciou </w:t>
      </w:r>
      <w:r>
        <w:rPr>
          <w:spacing w:val="1"/>
        </w:rPr>
        <w:t xml:space="preserve">um </w:t>
      </w:r>
      <w:r>
        <w:rPr>
          <w:spacing w:val="2"/>
        </w:rPr>
        <w:t xml:space="preserve">novo </w:t>
      </w:r>
      <w:r>
        <w:rPr>
          <w:spacing w:val="3"/>
        </w:rPr>
        <w:t xml:space="preserve">ciclo minerário. </w:t>
      </w:r>
      <w:r>
        <w:t xml:space="preserve">A </w:t>
      </w:r>
      <w:r>
        <w:rPr>
          <w:spacing w:val="3"/>
        </w:rPr>
        <w:t xml:space="preserve">mineração </w:t>
      </w:r>
      <w:r>
        <w:rPr>
          <w:spacing w:val="5"/>
        </w:rPr>
        <w:t xml:space="preserve">de </w:t>
      </w:r>
      <w:r>
        <w:t>dragagem,</w:t>
      </w:r>
      <w:r>
        <w:t xml:space="preserve"> iniciada em 1987, assim como a escrava, apesar de ter ocorrido em outros córregos, concentrou-se no córrego </w:t>
      </w:r>
      <w:r>
        <w:rPr>
          <w:spacing w:val="3"/>
        </w:rPr>
        <w:t xml:space="preserve">Vermelho </w:t>
      </w:r>
      <w:r>
        <w:rPr>
          <w:spacing w:val="1"/>
        </w:rPr>
        <w:t xml:space="preserve">de </w:t>
      </w:r>
      <w:r>
        <w:rPr>
          <w:spacing w:val="3"/>
        </w:rPr>
        <w:t xml:space="preserve">Santa Rita, apresentando, dessa </w:t>
      </w:r>
      <w:r>
        <w:rPr>
          <w:spacing w:val="2"/>
        </w:rPr>
        <w:t xml:space="preserve">vez, </w:t>
      </w:r>
      <w:r>
        <w:rPr>
          <w:spacing w:val="5"/>
        </w:rPr>
        <w:t xml:space="preserve">novos </w:t>
      </w:r>
      <w:r>
        <w:t xml:space="preserve">métodos de extração. Utilizava tratores e esteiras para retirar a </w:t>
      </w:r>
      <w:r>
        <w:rPr>
          <w:spacing w:val="5"/>
        </w:rPr>
        <w:t xml:space="preserve">cobertura vegetal </w:t>
      </w:r>
      <w:r>
        <w:t xml:space="preserve">e </w:t>
      </w:r>
      <w:r>
        <w:rPr>
          <w:spacing w:val="5"/>
        </w:rPr>
        <w:t>remove</w:t>
      </w:r>
      <w:r>
        <w:rPr>
          <w:spacing w:val="5"/>
        </w:rPr>
        <w:t xml:space="preserve">r </w:t>
      </w:r>
      <w:r>
        <w:t xml:space="preserve">o </w:t>
      </w:r>
      <w:r>
        <w:rPr>
          <w:spacing w:val="3"/>
        </w:rPr>
        <w:t xml:space="preserve">solo até </w:t>
      </w:r>
      <w:r>
        <w:t xml:space="preserve">o </w:t>
      </w:r>
      <w:r>
        <w:rPr>
          <w:spacing w:val="5"/>
        </w:rPr>
        <w:t>encontro do</w:t>
      </w:r>
      <w:r>
        <w:rPr>
          <w:spacing w:val="61"/>
        </w:rPr>
        <w:t xml:space="preserve"> </w:t>
      </w:r>
      <w:r>
        <w:rPr>
          <w:spacing w:val="6"/>
        </w:rPr>
        <w:t xml:space="preserve">cascalho, </w:t>
      </w:r>
      <w:r>
        <w:t xml:space="preserve">e </w:t>
      </w:r>
      <w:r>
        <w:rPr>
          <w:spacing w:val="3"/>
        </w:rPr>
        <w:t xml:space="preserve">um </w:t>
      </w:r>
      <w:r>
        <w:rPr>
          <w:spacing w:val="6"/>
        </w:rPr>
        <w:t xml:space="preserve">maquinário composto </w:t>
      </w:r>
      <w:r>
        <w:rPr>
          <w:spacing w:val="5"/>
        </w:rPr>
        <w:t xml:space="preserve">por dois </w:t>
      </w:r>
      <w:r>
        <w:rPr>
          <w:spacing w:val="7"/>
        </w:rPr>
        <w:t xml:space="preserve">motores </w:t>
      </w:r>
      <w:r>
        <w:t xml:space="preserve">estacionários à combustão – um para o jato d’água e outro para a retirada do material de dentro da cata. A apuração do ouro era feita de forma manual, no leito do córrego, pelo </w:t>
      </w:r>
      <w:r>
        <w:t xml:space="preserve">fato de a água ser mais limpa. Usavam-se um tambor para bater os carpetes, uma bateia para selecionar o ouro da magnetita </w:t>
      </w:r>
      <w:r>
        <w:rPr>
          <w:spacing w:val="1"/>
        </w:rPr>
        <w:t xml:space="preserve">e, </w:t>
      </w:r>
      <w:r>
        <w:rPr>
          <w:spacing w:val="3"/>
        </w:rPr>
        <w:t xml:space="preserve">ainda, adicionava-se </w:t>
      </w:r>
      <w:r>
        <w:t xml:space="preserve">o </w:t>
      </w:r>
      <w:hyperlink r:id="rId934">
        <w:r>
          <w:rPr>
            <w:spacing w:val="3"/>
          </w:rPr>
          <w:t xml:space="preserve">mercúrio </w:t>
        </w:r>
      </w:hyperlink>
      <w:r>
        <w:rPr>
          <w:spacing w:val="2"/>
        </w:rPr>
        <w:t xml:space="preserve">para unir </w:t>
      </w:r>
      <w:r>
        <w:rPr>
          <w:spacing w:val="1"/>
        </w:rPr>
        <w:t>as</w:t>
      </w:r>
      <w:r>
        <w:rPr>
          <w:spacing w:val="27"/>
        </w:rPr>
        <w:t xml:space="preserve"> </w:t>
      </w:r>
      <w:r>
        <w:rPr>
          <w:spacing w:val="5"/>
        </w:rPr>
        <w:t>partículas</w:t>
      </w:r>
    </w:p>
    <w:p w:rsidR="00D81F69" w:rsidRDefault="00D81F69">
      <w:pPr>
        <w:spacing w:line="270" w:lineRule="atLeast"/>
        <w:sectPr w:rsidR="00D81F69">
          <w:type w:val="continuous"/>
          <w:pgSz w:w="11900" w:h="16840"/>
          <w:pgMar w:top="720" w:right="500" w:bottom="280" w:left="620" w:header="720" w:footer="720" w:gutter="0"/>
          <w:cols w:num="3" w:space="720" w:equalWidth="0">
            <w:col w:w="1008" w:space="992"/>
            <w:col w:w="3113" w:space="322"/>
            <w:col w:w="5345"/>
          </w:cols>
        </w:sectPr>
      </w:pPr>
    </w:p>
    <w:p w:rsidR="00D81F69" w:rsidRDefault="00330118">
      <w:pPr>
        <w:pStyle w:val="Heading4"/>
        <w:spacing w:line="223" w:lineRule="exact"/>
      </w:pPr>
      <w:r>
        <w:lastRenderedPageBreak/>
        <w:t>APRESENTAÇÃO DE CASO</w:t>
      </w:r>
    </w:p>
    <w:p w:rsidR="00D81F69" w:rsidRDefault="00330118">
      <w:pPr>
        <w:pStyle w:val="Corpodetexto"/>
        <w:spacing w:before="170" w:line="312" w:lineRule="auto"/>
        <w:ind w:right="38"/>
      </w:pPr>
      <w:r>
        <w:t>Situado a 218 km de Goiânia (GO) (SPLAN-GO, 2004), o município de Faina localiza-se no noroeste goiano, na planície do vale do Araguaia, compreendida na microrregião da bacia do r</w:t>
      </w:r>
      <w:r>
        <w:t>io Vermelho (ARRAIS, 2004 apud SILVA; ROCHA, 2008), uma das maiores e mais importantes sub-bacias do lado goiano da grande bacia Araguaia-Tocantins (PRIZIBISCZKI, 2010). O município tem 1.946 km² e uma população estimada em 6.983 habitantes (IBGE, 2011).</w:t>
      </w:r>
    </w:p>
    <w:p w:rsidR="00D81F69" w:rsidRDefault="00330118">
      <w:pPr>
        <w:pStyle w:val="Corpodetexto"/>
        <w:spacing w:before="137" w:line="312" w:lineRule="auto"/>
        <w:ind w:right="89"/>
      </w:pPr>
      <w:r>
        <w:t>F</w:t>
      </w:r>
      <w:r>
        <w:t>aina passou por três processos de mineração de ouro diferentes: a mineração escrava, nos séculos XVIII e XIX; a mineração de dragagem, no século XX; e a mineração industrial, já no século XXI. De todos os ciclos, o considerado mais impactante para o meio a</w:t>
      </w:r>
      <w:r>
        <w:t>mbiente foi o da mineração de dragagem (SILVA; ROCHA, 2008).</w:t>
      </w:r>
    </w:p>
    <w:p w:rsidR="00D81F69" w:rsidRDefault="00330118">
      <w:pPr>
        <w:pStyle w:val="Corpodetexto"/>
        <w:spacing w:before="136" w:line="312" w:lineRule="auto"/>
        <w:ind w:right="72"/>
      </w:pPr>
      <w:r>
        <w:t xml:space="preserve">A exploração aurífera escrava ocorrida em Santa Rita (atual </w:t>
      </w:r>
      <w:r>
        <w:rPr>
          <w:spacing w:val="3"/>
        </w:rPr>
        <w:t xml:space="preserve">Jeroaquara), </w:t>
      </w:r>
      <w:r>
        <w:rPr>
          <w:spacing w:val="1"/>
        </w:rPr>
        <w:t xml:space="preserve">um </w:t>
      </w:r>
      <w:r>
        <w:rPr>
          <w:spacing w:val="2"/>
        </w:rPr>
        <w:t xml:space="preserve">dos </w:t>
      </w:r>
      <w:r>
        <w:rPr>
          <w:spacing w:val="3"/>
        </w:rPr>
        <w:t xml:space="preserve">distritos </w:t>
      </w:r>
      <w:r>
        <w:rPr>
          <w:spacing w:val="1"/>
        </w:rPr>
        <w:t xml:space="preserve">de </w:t>
      </w:r>
      <w:r>
        <w:rPr>
          <w:spacing w:val="3"/>
        </w:rPr>
        <w:t xml:space="preserve">Faina, constituiu </w:t>
      </w:r>
      <w:r>
        <w:rPr>
          <w:spacing w:val="1"/>
        </w:rPr>
        <w:t xml:space="preserve">um </w:t>
      </w:r>
      <w:r>
        <w:rPr>
          <w:spacing w:val="5"/>
        </w:rPr>
        <w:t xml:space="preserve">dos </w:t>
      </w:r>
      <w:r>
        <w:rPr>
          <w:spacing w:val="3"/>
        </w:rPr>
        <w:t xml:space="preserve">primeiros núcleos auríferos </w:t>
      </w:r>
      <w:r>
        <w:rPr>
          <w:spacing w:val="1"/>
        </w:rPr>
        <w:t xml:space="preserve">de </w:t>
      </w:r>
      <w:r>
        <w:rPr>
          <w:spacing w:val="3"/>
        </w:rPr>
        <w:t xml:space="preserve">Goiás </w:t>
      </w:r>
      <w:r>
        <w:rPr>
          <w:spacing w:val="1"/>
        </w:rPr>
        <w:t xml:space="preserve">do </w:t>
      </w:r>
      <w:r>
        <w:rPr>
          <w:spacing w:val="3"/>
        </w:rPr>
        <w:t xml:space="preserve">período </w:t>
      </w:r>
      <w:r>
        <w:rPr>
          <w:spacing w:val="1"/>
        </w:rPr>
        <w:t xml:space="preserve">de </w:t>
      </w:r>
      <w:r>
        <w:rPr>
          <w:spacing w:val="5"/>
        </w:rPr>
        <w:t xml:space="preserve">1722- </w:t>
      </w:r>
      <w:r>
        <w:rPr>
          <w:spacing w:val="2"/>
        </w:rPr>
        <w:t xml:space="preserve">1822 </w:t>
      </w:r>
      <w:r>
        <w:t xml:space="preserve">e </w:t>
      </w:r>
      <w:r>
        <w:rPr>
          <w:spacing w:val="2"/>
        </w:rPr>
        <w:t xml:space="preserve">teve </w:t>
      </w:r>
      <w:r>
        <w:t xml:space="preserve">o </w:t>
      </w:r>
      <w:r>
        <w:rPr>
          <w:spacing w:val="2"/>
        </w:rPr>
        <w:t>seu au</w:t>
      </w:r>
      <w:r>
        <w:rPr>
          <w:spacing w:val="2"/>
        </w:rPr>
        <w:t xml:space="preserve">ge </w:t>
      </w:r>
      <w:r>
        <w:rPr>
          <w:spacing w:val="1"/>
        </w:rPr>
        <w:t xml:space="preserve">em </w:t>
      </w:r>
      <w:r>
        <w:rPr>
          <w:spacing w:val="3"/>
        </w:rPr>
        <w:t xml:space="preserve">1750-1770 (SILVA; </w:t>
      </w:r>
      <w:r>
        <w:rPr>
          <w:spacing w:val="5"/>
        </w:rPr>
        <w:t xml:space="preserve">ROCHA, </w:t>
      </w:r>
      <w:r>
        <w:rPr>
          <w:spacing w:val="1"/>
        </w:rPr>
        <w:t xml:space="preserve">2008). </w:t>
      </w:r>
      <w:r>
        <w:t xml:space="preserve">A </w:t>
      </w:r>
      <w:r>
        <w:rPr>
          <w:spacing w:val="1"/>
        </w:rPr>
        <w:t xml:space="preserve">exploração </w:t>
      </w:r>
      <w:r>
        <w:t xml:space="preserve">era </w:t>
      </w:r>
      <w:r>
        <w:rPr>
          <w:spacing w:val="1"/>
        </w:rPr>
        <w:t xml:space="preserve">feita </w:t>
      </w:r>
      <w:r>
        <w:t xml:space="preserve">nas </w:t>
      </w:r>
      <w:r>
        <w:rPr>
          <w:spacing w:val="1"/>
        </w:rPr>
        <w:t xml:space="preserve">planícies aluvionares, </w:t>
      </w:r>
      <w:r>
        <w:rPr>
          <w:spacing w:val="2"/>
        </w:rPr>
        <w:t xml:space="preserve">às </w:t>
      </w:r>
      <w:r>
        <w:t>margens dos córregos, ribeirões e rios, usando como técnicas de extração as escavações, a remoção de terras e o desvio  de córregos para apurar o ouro (PALACIM, 1976</w:t>
      </w:r>
      <w:r>
        <w:t xml:space="preserve"> apud SILVA; ROCHA,</w:t>
      </w:r>
      <w:r>
        <w:rPr>
          <w:spacing w:val="1"/>
        </w:rPr>
        <w:t xml:space="preserve"> </w:t>
      </w:r>
      <w:r>
        <w:t>2008).</w:t>
      </w:r>
    </w:p>
    <w:p w:rsidR="00D81F69" w:rsidRDefault="00330118">
      <w:pPr>
        <w:pStyle w:val="Corpodetexto"/>
        <w:spacing w:before="138" w:line="312" w:lineRule="auto"/>
        <w:ind w:right="74"/>
      </w:pPr>
      <w:r>
        <w:t>Aos poucos, a mineração escrava começou a decair até entrar em decadência total no ano de 1822, devido, dentre outros fatores, às dificuldades de exploração associadas à falta de escravos. Os impactos desta mineração ficaram evid</w:t>
      </w:r>
      <w:r>
        <w:t>enciados pelas catas e áreas de lavrados existentes nas margens do córrego Vermelho e de outros cursos d’água minerados, presumindo-se que os mananciais tiveram seus leitos assoreados, as suas matas ciliares destruídas, e os seus  solos removidos e  altera</w:t>
      </w:r>
      <w:r>
        <w:t>dos (SILVA; ROCHA, 2008).</w:t>
      </w:r>
    </w:p>
    <w:p w:rsidR="00D81F69" w:rsidRDefault="00330118">
      <w:pPr>
        <w:pStyle w:val="Corpodetexto"/>
        <w:spacing w:before="139"/>
      </w:pPr>
      <w:r>
        <w:t>Com a elevação do preço do ouro no mercado internacional,</w:t>
      </w:r>
    </w:p>
    <w:p w:rsidR="00D81F69" w:rsidRDefault="00330118">
      <w:pPr>
        <w:pStyle w:val="Corpodetexto"/>
        <w:spacing w:before="63"/>
        <w:jc w:val="left"/>
      </w:pPr>
      <w:r>
        <w:br w:type="column"/>
      </w:r>
      <w:r>
        <w:lastRenderedPageBreak/>
        <w:t>finas de ouro apuradas (SILVA; ROCHA, 2008).</w:t>
      </w:r>
    </w:p>
    <w:p w:rsidR="00D81F69" w:rsidRDefault="00D81F69">
      <w:pPr>
        <w:pStyle w:val="Corpodetexto"/>
        <w:spacing w:before="8"/>
        <w:ind w:left="0"/>
        <w:jc w:val="left"/>
        <w:rPr>
          <w:sz w:val="16"/>
        </w:rPr>
      </w:pPr>
    </w:p>
    <w:p w:rsidR="00D81F69" w:rsidRDefault="00330118">
      <w:pPr>
        <w:pStyle w:val="Corpodetexto"/>
        <w:spacing w:before="1" w:line="312" w:lineRule="auto"/>
        <w:ind w:right="191"/>
      </w:pPr>
      <w:r>
        <w:rPr>
          <w:spacing w:val="1"/>
        </w:rPr>
        <w:t xml:space="preserve">Se </w:t>
      </w:r>
      <w:r>
        <w:rPr>
          <w:spacing w:val="3"/>
        </w:rPr>
        <w:t xml:space="preserve">considerada </w:t>
      </w:r>
      <w:r>
        <w:t xml:space="preserve">a </w:t>
      </w:r>
      <w:r>
        <w:rPr>
          <w:spacing w:val="3"/>
        </w:rPr>
        <w:t xml:space="preserve">duração </w:t>
      </w:r>
      <w:r>
        <w:rPr>
          <w:spacing w:val="1"/>
        </w:rPr>
        <w:t xml:space="preserve">da </w:t>
      </w:r>
      <w:r>
        <w:rPr>
          <w:spacing w:val="3"/>
        </w:rPr>
        <w:t xml:space="preserve">mineração </w:t>
      </w:r>
      <w:r>
        <w:rPr>
          <w:spacing w:val="1"/>
        </w:rPr>
        <w:t xml:space="preserve">de </w:t>
      </w:r>
      <w:r>
        <w:rPr>
          <w:spacing w:val="3"/>
        </w:rPr>
        <w:t xml:space="preserve">dragagem </w:t>
      </w:r>
      <w:r>
        <w:rPr>
          <w:spacing w:val="5"/>
        </w:rPr>
        <w:t xml:space="preserve">no </w:t>
      </w:r>
      <w:r>
        <w:rPr>
          <w:spacing w:val="7"/>
        </w:rPr>
        <w:t xml:space="preserve">córrego Vermelho </w:t>
      </w:r>
      <w:r>
        <w:rPr>
          <w:spacing w:val="8"/>
        </w:rPr>
        <w:t xml:space="preserve">(1987–1990), </w:t>
      </w:r>
      <w:r>
        <w:rPr>
          <w:spacing w:val="7"/>
        </w:rPr>
        <w:t xml:space="preserve">pode-se dizer </w:t>
      </w:r>
      <w:r>
        <w:rPr>
          <w:spacing w:val="5"/>
        </w:rPr>
        <w:t xml:space="preserve">que </w:t>
      </w:r>
      <w:r>
        <w:rPr>
          <w:spacing w:val="10"/>
        </w:rPr>
        <w:t xml:space="preserve">os </w:t>
      </w:r>
      <w:r>
        <w:rPr>
          <w:spacing w:val="3"/>
        </w:rPr>
        <w:t xml:space="preserve">impactos ambientais decorrentes desta prática foram </w:t>
      </w:r>
      <w:r>
        <w:rPr>
          <w:spacing w:val="5"/>
        </w:rPr>
        <w:t xml:space="preserve">bem </w:t>
      </w:r>
      <w:r>
        <w:t xml:space="preserve">mais acentuados quando comparados à mineração escrava, que </w:t>
      </w:r>
      <w:r>
        <w:rPr>
          <w:spacing w:val="1"/>
        </w:rPr>
        <w:t xml:space="preserve">durou mais </w:t>
      </w:r>
      <w:r>
        <w:t xml:space="preserve">de um </w:t>
      </w:r>
      <w:r>
        <w:rPr>
          <w:spacing w:val="1"/>
        </w:rPr>
        <w:t xml:space="preserve">século. Esse processo </w:t>
      </w:r>
      <w:r>
        <w:t xml:space="preserve">de </w:t>
      </w:r>
      <w:r>
        <w:rPr>
          <w:spacing w:val="2"/>
        </w:rPr>
        <w:t xml:space="preserve">extração </w:t>
      </w:r>
      <w:r>
        <w:t>devastou grande parte das matas ciliares, e também assoreou e mudou os leitos dos cursos d</w:t>
      </w:r>
      <w:r>
        <w:t xml:space="preserve">’águas minerados. Os solos das áreas exploradas continuam sendo removidos, pois não </w:t>
      </w:r>
      <w:r>
        <w:rPr>
          <w:spacing w:val="5"/>
        </w:rPr>
        <w:t xml:space="preserve">oferecem resistência </w:t>
      </w:r>
      <w:r>
        <w:t xml:space="preserve">à </w:t>
      </w:r>
      <w:r>
        <w:rPr>
          <w:spacing w:val="5"/>
        </w:rPr>
        <w:t xml:space="preserve">erosão pluvial </w:t>
      </w:r>
      <w:r>
        <w:t xml:space="preserve">e </w:t>
      </w:r>
      <w:r>
        <w:rPr>
          <w:spacing w:val="5"/>
        </w:rPr>
        <w:t xml:space="preserve">fluvial, devido </w:t>
      </w:r>
      <w:r>
        <w:t xml:space="preserve">à </w:t>
      </w:r>
      <w:r>
        <w:rPr>
          <w:spacing w:val="10"/>
        </w:rPr>
        <w:t xml:space="preserve">degradação física </w:t>
      </w:r>
      <w:r>
        <w:rPr>
          <w:spacing w:val="5"/>
        </w:rPr>
        <w:t xml:space="preserve">em </w:t>
      </w:r>
      <w:r>
        <w:rPr>
          <w:spacing w:val="7"/>
        </w:rPr>
        <w:t xml:space="preserve">que </w:t>
      </w:r>
      <w:r>
        <w:rPr>
          <w:spacing w:val="5"/>
        </w:rPr>
        <w:t xml:space="preserve">se </w:t>
      </w:r>
      <w:r>
        <w:rPr>
          <w:spacing w:val="10"/>
        </w:rPr>
        <w:t xml:space="preserve">encontram </w:t>
      </w:r>
      <w:r>
        <w:t xml:space="preserve">e à </w:t>
      </w:r>
      <w:r>
        <w:rPr>
          <w:spacing w:val="12"/>
        </w:rPr>
        <w:t xml:space="preserve">pouca </w:t>
      </w:r>
      <w:r>
        <w:rPr>
          <w:spacing w:val="3"/>
        </w:rPr>
        <w:t>recomposição</w:t>
      </w:r>
      <w:r>
        <w:rPr>
          <w:spacing w:val="35"/>
        </w:rPr>
        <w:t xml:space="preserve"> </w:t>
      </w:r>
      <w:r>
        <w:rPr>
          <w:spacing w:val="2"/>
        </w:rPr>
        <w:t>das</w:t>
      </w:r>
      <w:r>
        <w:rPr>
          <w:spacing w:val="35"/>
        </w:rPr>
        <w:t xml:space="preserve"> </w:t>
      </w:r>
      <w:r>
        <w:rPr>
          <w:spacing w:val="3"/>
        </w:rPr>
        <w:t>matas</w:t>
      </w:r>
      <w:r>
        <w:rPr>
          <w:spacing w:val="35"/>
        </w:rPr>
        <w:t xml:space="preserve"> </w:t>
      </w:r>
      <w:r>
        <w:rPr>
          <w:spacing w:val="3"/>
        </w:rPr>
        <w:t>ciliares</w:t>
      </w:r>
      <w:r>
        <w:rPr>
          <w:spacing w:val="35"/>
        </w:rPr>
        <w:t xml:space="preserve"> </w:t>
      </w:r>
      <w:r>
        <w:rPr>
          <w:spacing w:val="3"/>
        </w:rPr>
        <w:t>(SILVA;</w:t>
      </w:r>
      <w:r>
        <w:rPr>
          <w:spacing w:val="35"/>
        </w:rPr>
        <w:t xml:space="preserve"> </w:t>
      </w:r>
      <w:r>
        <w:rPr>
          <w:spacing w:val="3"/>
        </w:rPr>
        <w:t>ROCHA,</w:t>
      </w:r>
      <w:r>
        <w:rPr>
          <w:spacing w:val="35"/>
        </w:rPr>
        <w:t xml:space="preserve"> </w:t>
      </w:r>
      <w:r>
        <w:rPr>
          <w:spacing w:val="5"/>
        </w:rPr>
        <w:t>2008).</w:t>
      </w:r>
    </w:p>
    <w:p w:rsidR="00D81F69" w:rsidRDefault="00330118">
      <w:pPr>
        <w:pStyle w:val="Corpodetexto"/>
        <w:spacing w:before="140" w:line="312" w:lineRule="auto"/>
        <w:ind w:right="194"/>
      </w:pPr>
      <w:r>
        <w:t>A degradação ambiental nos anos de 1980 foi tão expressiva que começou a chamar a atenção dos órgãos responsáveis. Ciente dos impactos causados nas áreas exploradas, a Fundação Estadual de Meio Ambiente de Goiás (Femago) entrou com uma ação civil pública p</w:t>
      </w:r>
      <w:r>
        <w:t>ara o fechamento dos núcleos de garimpos e, após várias disputas judiciais, os garimpos foram fechados em 1990, por meio de liminar que impôs a retirada dos garimpeiros das áreas de extração na região (SILVA, 2000 apud SILVA; ROCHA, 2008).</w:t>
      </w:r>
    </w:p>
    <w:p w:rsidR="00D81F69" w:rsidRDefault="00330118">
      <w:pPr>
        <w:pStyle w:val="Corpodetexto"/>
        <w:spacing w:before="138" w:line="312" w:lineRule="auto"/>
        <w:ind w:right="195"/>
      </w:pPr>
      <w:r>
        <w:t>Um novo ciclo mi</w:t>
      </w:r>
      <w:r>
        <w:t>nerário voltou a acontecer em Faina, no século XXI, desta vez com a extração industrial, bastante mecanizada e com alto investimento. A exploração começou, em 2003, pela Sertão Mineração Ltda., que obteve licença de funcionamento em 1987, sob a responsabil</w:t>
      </w:r>
      <w:r>
        <w:t>idade da Agência Goiana de Meio Ambiente e Recursos Naturais (Semarh) (SOUZA et al., 2004 apud SILVA; ROCHA, 2008). Cerca de 70% da Sertão Mineração Ltda. pertencem à multinacional australiana Troy Resources que tem aumentado as atividades de exploração no</w:t>
      </w:r>
      <w:r>
        <w:t xml:space="preserve"> Greenstone Belt de Faina, o mais prospectivo cinturão de rochas verdes da região, e que contém a Mina Sertão, próximo ao distrito de Goiás Velho (TROY RESOURCES, 2010).</w:t>
      </w:r>
    </w:p>
    <w:p w:rsidR="00D81F69" w:rsidRDefault="00330118">
      <w:pPr>
        <w:pStyle w:val="Corpodetexto"/>
        <w:spacing w:before="142"/>
      </w:pPr>
      <w:r>
        <w:rPr>
          <w:spacing w:val="7"/>
        </w:rPr>
        <w:t xml:space="preserve">Para </w:t>
      </w:r>
      <w:r>
        <w:rPr>
          <w:spacing w:val="8"/>
        </w:rPr>
        <w:t xml:space="preserve">explorar </w:t>
      </w:r>
      <w:r>
        <w:t xml:space="preserve">o </w:t>
      </w:r>
      <w:r>
        <w:rPr>
          <w:spacing w:val="7"/>
        </w:rPr>
        <w:t xml:space="preserve">ouro </w:t>
      </w:r>
      <w:r>
        <w:rPr>
          <w:spacing w:val="5"/>
        </w:rPr>
        <w:t xml:space="preserve">na </w:t>
      </w:r>
      <w:r>
        <w:rPr>
          <w:spacing w:val="8"/>
        </w:rPr>
        <w:t xml:space="preserve">região, </w:t>
      </w:r>
      <w:r>
        <w:t xml:space="preserve">a </w:t>
      </w:r>
      <w:r>
        <w:rPr>
          <w:spacing w:val="8"/>
        </w:rPr>
        <w:t>Sertão</w:t>
      </w:r>
      <w:r>
        <w:rPr>
          <w:spacing w:val="62"/>
        </w:rPr>
        <w:t xml:space="preserve"> </w:t>
      </w:r>
      <w:r>
        <w:rPr>
          <w:spacing w:val="10"/>
        </w:rPr>
        <w:t>Mineração</w:t>
      </w:r>
    </w:p>
    <w:p w:rsidR="00D81F69" w:rsidRDefault="00D81F69">
      <w:pPr>
        <w:sectPr w:rsidR="00D81F69">
          <w:type w:val="continuous"/>
          <w:pgSz w:w="11900" w:h="16840"/>
          <w:pgMar w:top="720" w:right="500" w:bottom="280" w:left="620" w:header="720" w:footer="720" w:gutter="0"/>
          <w:cols w:num="2" w:space="720" w:equalWidth="0">
            <w:col w:w="5192" w:space="278"/>
            <w:col w:w="5310"/>
          </w:cols>
        </w:sectPr>
      </w:pPr>
    </w:p>
    <w:p w:rsidR="00D81F69" w:rsidRDefault="00330118">
      <w:pPr>
        <w:pStyle w:val="Corpodetexto"/>
        <w:spacing w:before="81" w:line="312" w:lineRule="auto"/>
        <w:ind w:right="109"/>
      </w:pPr>
      <w:r>
        <w:rPr>
          <w:spacing w:val="6"/>
        </w:rPr>
        <w:lastRenderedPageBreak/>
        <w:t>apresent</w:t>
      </w:r>
      <w:r>
        <w:rPr>
          <w:spacing w:val="6"/>
        </w:rPr>
        <w:t xml:space="preserve">ou </w:t>
      </w:r>
      <w:r>
        <w:t xml:space="preserve">o </w:t>
      </w:r>
      <w:r>
        <w:rPr>
          <w:spacing w:val="5"/>
        </w:rPr>
        <w:t xml:space="preserve">projeto </w:t>
      </w:r>
      <w:r>
        <w:t xml:space="preserve">à </w:t>
      </w:r>
      <w:r>
        <w:rPr>
          <w:spacing w:val="6"/>
        </w:rPr>
        <w:t xml:space="preserve">comunidade </w:t>
      </w:r>
      <w:r>
        <w:rPr>
          <w:spacing w:val="5"/>
        </w:rPr>
        <w:t xml:space="preserve">local </w:t>
      </w:r>
      <w:r>
        <w:rPr>
          <w:spacing w:val="3"/>
        </w:rPr>
        <w:t xml:space="preserve">em </w:t>
      </w:r>
      <w:r>
        <w:rPr>
          <w:spacing w:val="7"/>
        </w:rPr>
        <w:t xml:space="preserve">audiência </w:t>
      </w:r>
      <w:r>
        <w:rPr>
          <w:spacing w:val="3"/>
        </w:rPr>
        <w:t xml:space="preserve">pública, garantindo-lhe </w:t>
      </w:r>
      <w:r>
        <w:t xml:space="preserve">a </w:t>
      </w:r>
      <w:r>
        <w:rPr>
          <w:spacing w:val="3"/>
        </w:rPr>
        <w:t xml:space="preserve">geração </w:t>
      </w:r>
      <w:r>
        <w:rPr>
          <w:spacing w:val="1"/>
        </w:rPr>
        <w:t xml:space="preserve">de </w:t>
      </w:r>
      <w:r>
        <w:rPr>
          <w:spacing w:val="3"/>
        </w:rPr>
        <w:t xml:space="preserve">empregos diretos </w:t>
      </w:r>
      <w:r>
        <w:t xml:space="preserve">e </w:t>
      </w:r>
      <w:r>
        <w:rPr>
          <w:spacing w:val="5"/>
        </w:rPr>
        <w:t xml:space="preserve">indiretos </w:t>
      </w:r>
      <w:r>
        <w:t xml:space="preserve">e </w:t>
      </w:r>
      <w:r>
        <w:rPr>
          <w:spacing w:val="5"/>
        </w:rPr>
        <w:t xml:space="preserve">também </w:t>
      </w:r>
      <w:r>
        <w:t xml:space="preserve">a </w:t>
      </w:r>
      <w:r>
        <w:rPr>
          <w:spacing w:val="5"/>
        </w:rPr>
        <w:t xml:space="preserve">mitigação </w:t>
      </w:r>
      <w:r>
        <w:rPr>
          <w:spacing w:val="3"/>
        </w:rPr>
        <w:t xml:space="preserve">dos </w:t>
      </w:r>
      <w:r>
        <w:rPr>
          <w:spacing w:val="5"/>
        </w:rPr>
        <w:t xml:space="preserve">eventuais </w:t>
      </w:r>
      <w:r>
        <w:rPr>
          <w:spacing w:val="6"/>
        </w:rPr>
        <w:t xml:space="preserve">impactos </w:t>
      </w:r>
      <w:r>
        <w:t xml:space="preserve">ambientais resultantes da atividade (SILVA; ROCHA, 2008). Um </w:t>
      </w:r>
      <w:r>
        <w:rPr>
          <w:spacing w:val="1"/>
        </w:rPr>
        <w:t xml:space="preserve">investimento </w:t>
      </w:r>
      <w:r>
        <w:t xml:space="preserve">de R$ 33 </w:t>
      </w:r>
      <w:r>
        <w:rPr>
          <w:spacing w:val="1"/>
        </w:rPr>
        <w:t xml:space="preserve">milhões, </w:t>
      </w:r>
      <w:r>
        <w:t xml:space="preserve">que </w:t>
      </w:r>
      <w:r>
        <w:rPr>
          <w:spacing w:val="1"/>
        </w:rPr>
        <w:t>tinha</w:t>
      </w:r>
      <w:r>
        <w:rPr>
          <w:spacing w:val="1"/>
        </w:rPr>
        <w:t xml:space="preserve"> </w:t>
      </w:r>
      <w:r>
        <w:t xml:space="preserve">por </w:t>
      </w:r>
      <w:r>
        <w:rPr>
          <w:spacing w:val="2"/>
        </w:rPr>
        <w:t xml:space="preserve">objetivo </w:t>
      </w:r>
      <w:r>
        <w:t>produzir 1,9 t de ouro por ano, com uma vida útil prevista de 27 meses, a tornou a segunda mina de ouro em operação em Goiás (SEPLAN, 2005 apud SILVA; ROCHA,</w:t>
      </w:r>
      <w:r>
        <w:rPr>
          <w:spacing w:val="16"/>
        </w:rPr>
        <w:t xml:space="preserve"> </w:t>
      </w:r>
      <w:r>
        <w:t>2008).</w:t>
      </w:r>
    </w:p>
    <w:p w:rsidR="00D81F69" w:rsidRDefault="00330118">
      <w:pPr>
        <w:pStyle w:val="Corpodetexto"/>
        <w:spacing w:before="137" w:line="312" w:lineRule="auto"/>
        <w:ind w:right="111"/>
      </w:pPr>
      <w:r>
        <w:t xml:space="preserve">Em 2003/2004, a mina Sertão operou acima das expectativas, com a produção de </w:t>
      </w:r>
      <w:r>
        <w:t>86.335 onças de ouro a um custo operacional de A$64 ou US$ 44 por onça (TROY RESOURCES, 2010). Após o início de suas atividades, a Sertão Mineração levou Faina, que praticamente não aparecia nos quadros do DNPM, a uma participação na arrecadação mineral de</w:t>
      </w:r>
      <w:r>
        <w:t xml:space="preserve"> R$ 1.270.151,39, em 2004 (DNPM, 2007 apud</w:t>
      </w:r>
    </w:p>
    <w:p w:rsidR="00D81F69" w:rsidRDefault="00330118">
      <w:pPr>
        <w:pStyle w:val="Corpodetexto"/>
        <w:spacing w:before="7"/>
      </w:pPr>
      <w:r>
        <w:t>SILVA; ROCHA, 2008).</w:t>
      </w:r>
    </w:p>
    <w:p w:rsidR="00D81F69" w:rsidRDefault="00D81F69">
      <w:pPr>
        <w:pStyle w:val="Corpodetexto"/>
        <w:spacing w:before="9"/>
        <w:ind w:left="0"/>
        <w:jc w:val="left"/>
        <w:rPr>
          <w:sz w:val="16"/>
        </w:rPr>
      </w:pPr>
    </w:p>
    <w:p w:rsidR="00D81F69" w:rsidRDefault="00330118">
      <w:pPr>
        <w:pStyle w:val="Corpodetexto"/>
        <w:spacing w:line="312" w:lineRule="auto"/>
        <w:ind w:right="121"/>
      </w:pPr>
      <w:r>
        <w:t>Em julho de 2007, a Sertão Mineração encerrou suas atividades e o processamento do minério foi cessado em agosto de 2007 (TROY RESOURCES, 2013a).</w:t>
      </w:r>
    </w:p>
    <w:p w:rsidR="00D81F69" w:rsidRDefault="00330118">
      <w:pPr>
        <w:pStyle w:val="Corpodetexto"/>
        <w:spacing w:before="133" w:line="312" w:lineRule="auto"/>
        <w:ind w:right="108"/>
      </w:pPr>
      <w:r>
        <w:t>Tendo ultrapassado o tempo previsto de extraç</w:t>
      </w:r>
      <w:r>
        <w:t>ão da jazida, em 2008, o processo de mineração estava em fase de finalização. A atividade chegou a produzir 33 gramas de ouro por tonelada de material processado, e os impactos da atividade estão sendo minimizados por meio da recuperação do terreno, sobret</w:t>
      </w:r>
      <w:r>
        <w:t>udo na recomposição do solo e da cobertura vegetal (SILVA; ROCHA, 2008). O monitoramento da área, incluindo o controle da qualidade da água, continuou por 2 anos após o encerramento das operações na mina Sertão (TROY RESOURCES, 2013b).</w:t>
      </w:r>
    </w:p>
    <w:p w:rsidR="00D81F69" w:rsidRDefault="00D81F69">
      <w:pPr>
        <w:pStyle w:val="Corpodetexto"/>
        <w:spacing w:before="8"/>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120"/>
      </w:pPr>
      <w:r>
        <w:t>As ocorrências de ouro do município de Faina estão localizadas na bacia do rio Araguaia, entre os rios Ferreira e do Peixe. O passivo se encontra entre as latitudes 15°35’44”S</w:t>
      </w:r>
    </w:p>
    <w:p w:rsidR="00D81F69" w:rsidRDefault="00330118">
      <w:pPr>
        <w:pStyle w:val="Corpodetexto"/>
        <w:spacing w:before="3"/>
      </w:pPr>
      <w:r>
        <w:t>– 15°19’22”S e longitudes 50°21’37”W – 50°37’36”W.</w:t>
      </w:r>
    </w:p>
    <w:p w:rsidR="00D81F69" w:rsidRDefault="00D81F69">
      <w:pPr>
        <w:pStyle w:val="Corpodetexto"/>
        <w:ind w:left="0"/>
        <w:jc w:val="left"/>
        <w:rPr>
          <w:sz w:val="20"/>
        </w:rPr>
      </w:pPr>
    </w:p>
    <w:p w:rsidR="00D81F69" w:rsidRDefault="00330118">
      <w:pPr>
        <w:pStyle w:val="Heading7"/>
        <w:spacing w:before="164"/>
      </w:pPr>
      <w:r>
        <w:t>REDATORES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38"/>
        <w:jc w:val="both"/>
        <w:rPr>
          <w:sz w:val="16"/>
        </w:rPr>
      </w:pPr>
      <w:r>
        <w:rPr>
          <w:sz w:val="16"/>
        </w:rPr>
        <w:t xml:space="preserve">IBGE, Instituto Brasileiro de Geografia e Estatística. Faina. In: IBGE   </w:t>
      </w:r>
      <w:r>
        <w:rPr>
          <w:spacing w:val="35"/>
          <w:sz w:val="16"/>
        </w:rPr>
        <w:t>C</w:t>
      </w:r>
      <w:r>
        <w:rPr>
          <w:sz w:val="16"/>
        </w:rPr>
        <w:t xml:space="preserve"> </w:t>
      </w:r>
      <w:r>
        <w:rPr>
          <w:spacing w:val="35"/>
          <w:sz w:val="16"/>
        </w:rPr>
        <w:t>i</w:t>
      </w:r>
      <w:r>
        <w:rPr>
          <w:sz w:val="16"/>
        </w:rPr>
        <w:t xml:space="preserve"> </w:t>
      </w:r>
      <w:r>
        <w:rPr>
          <w:spacing w:val="35"/>
          <w:sz w:val="16"/>
        </w:rPr>
        <w:t>d</w:t>
      </w:r>
      <w:r>
        <w:rPr>
          <w:sz w:val="16"/>
        </w:rPr>
        <w:t xml:space="preserve"> </w:t>
      </w:r>
      <w:r>
        <w:rPr>
          <w:spacing w:val="35"/>
          <w:sz w:val="16"/>
        </w:rPr>
        <w:t>a</w:t>
      </w:r>
      <w:r>
        <w:rPr>
          <w:sz w:val="16"/>
        </w:rPr>
        <w:t xml:space="preserve"> </w:t>
      </w:r>
      <w:r>
        <w:rPr>
          <w:spacing w:val="35"/>
          <w:sz w:val="16"/>
        </w:rPr>
        <w:t>d</w:t>
      </w:r>
      <w:r>
        <w:rPr>
          <w:sz w:val="16"/>
        </w:rPr>
        <w:t xml:space="preserve"> </w:t>
      </w:r>
      <w:r>
        <w:rPr>
          <w:spacing w:val="35"/>
          <w:sz w:val="16"/>
        </w:rPr>
        <w:t>e</w:t>
      </w:r>
      <w:r>
        <w:rPr>
          <w:sz w:val="16"/>
        </w:rPr>
        <w:t xml:space="preserve"> </w:t>
      </w:r>
      <w:r>
        <w:rPr>
          <w:spacing w:val="35"/>
          <w:sz w:val="16"/>
        </w:rPr>
        <w:t>s</w:t>
      </w:r>
      <w:r>
        <w:rPr>
          <w:sz w:val="16"/>
        </w:rPr>
        <w:t xml:space="preserve"> ,</w:t>
      </w:r>
      <w:r>
        <w:rPr>
          <w:sz w:val="16"/>
        </w:rPr>
        <w:t xml:space="preserve"> </w:t>
      </w:r>
      <w:r>
        <w:rPr>
          <w:spacing w:val="35"/>
          <w:sz w:val="16"/>
        </w:rPr>
        <w:t>2</w:t>
      </w:r>
      <w:r>
        <w:rPr>
          <w:sz w:val="16"/>
        </w:rPr>
        <w:t xml:space="preserve"> </w:t>
      </w:r>
      <w:r>
        <w:rPr>
          <w:spacing w:val="35"/>
          <w:sz w:val="16"/>
        </w:rPr>
        <w:t>0</w:t>
      </w:r>
      <w:r>
        <w:rPr>
          <w:sz w:val="16"/>
        </w:rPr>
        <w:t xml:space="preserve"> </w:t>
      </w:r>
      <w:r>
        <w:rPr>
          <w:spacing w:val="35"/>
          <w:sz w:val="16"/>
        </w:rPr>
        <w:t>1</w:t>
      </w:r>
      <w:r>
        <w:rPr>
          <w:sz w:val="16"/>
        </w:rPr>
        <w:t xml:space="preserve"> </w:t>
      </w:r>
      <w:r>
        <w:rPr>
          <w:spacing w:val="35"/>
          <w:sz w:val="16"/>
        </w:rPr>
        <w:t>1</w:t>
      </w:r>
      <w:r>
        <w:rPr>
          <w:sz w:val="16"/>
        </w:rPr>
        <w:t xml:space="preserve"> .</w:t>
      </w:r>
      <w:r>
        <w:rPr>
          <w:sz w:val="16"/>
        </w:rPr>
        <w:t xml:space="preserve"> </w:t>
      </w:r>
      <w:r>
        <w:rPr>
          <w:spacing w:val="35"/>
          <w:sz w:val="16"/>
        </w:rPr>
        <w:t>D</w:t>
      </w:r>
      <w:r>
        <w:rPr>
          <w:sz w:val="16"/>
        </w:rPr>
        <w:t xml:space="preserve"> </w:t>
      </w:r>
      <w:r>
        <w:rPr>
          <w:spacing w:val="35"/>
          <w:sz w:val="16"/>
        </w:rPr>
        <w:t>i</w:t>
      </w:r>
      <w:r>
        <w:rPr>
          <w:sz w:val="16"/>
        </w:rPr>
        <w:t xml:space="preserve"> </w:t>
      </w:r>
      <w:r>
        <w:rPr>
          <w:spacing w:val="35"/>
          <w:sz w:val="16"/>
        </w:rPr>
        <w:t>s</w:t>
      </w:r>
      <w:r>
        <w:rPr>
          <w:sz w:val="16"/>
        </w:rPr>
        <w:t xml:space="preserve"> </w:t>
      </w:r>
      <w:r>
        <w:rPr>
          <w:spacing w:val="35"/>
          <w:sz w:val="16"/>
        </w:rPr>
        <w:t>p</w:t>
      </w:r>
      <w:r>
        <w:rPr>
          <w:sz w:val="16"/>
        </w:rPr>
        <w:t xml:space="preserve"> </w:t>
      </w:r>
      <w:r>
        <w:rPr>
          <w:spacing w:val="35"/>
          <w:sz w:val="16"/>
        </w:rPr>
        <w:t>o</w:t>
      </w:r>
      <w:r>
        <w:rPr>
          <w:sz w:val="16"/>
        </w:rPr>
        <w:t xml:space="preserve"> </w:t>
      </w:r>
      <w:r>
        <w:rPr>
          <w:spacing w:val="35"/>
          <w:sz w:val="16"/>
        </w:rPr>
        <w:t>n</w:t>
      </w:r>
      <w:r>
        <w:rPr>
          <w:sz w:val="16"/>
        </w:rPr>
        <w:t xml:space="preserve"> </w:t>
      </w:r>
      <w:r>
        <w:rPr>
          <w:spacing w:val="35"/>
          <w:sz w:val="16"/>
        </w:rPr>
        <w:t>í</w:t>
      </w:r>
      <w:r>
        <w:rPr>
          <w:sz w:val="16"/>
        </w:rPr>
        <w:t xml:space="preserve"> </w:t>
      </w:r>
      <w:r>
        <w:rPr>
          <w:spacing w:val="35"/>
          <w:sz w:val="16"/>
        </w:rPr>
        <w:t>v</w:t>
      </w:r>
      <w:r>
        <w:rPr>
          <w:sz w:val="16"/>
        </w:rPr>
        <w:t xml:space="preserve"> </w:t>
      </w:r>
      <w:r>
        <w:rPr>
          <w:spacing w:val="35"/>
          <w:sz w:val="16"/>
        </w:rPr>
        <w:t>e</w:t>
      </w:r>
      <w:r>
        <w:rPr>
          <w:sz w:val="16"/>
        </w:rPr>
        <w:t xml:space="preserve"> l</w:t>
      </w:r>
      <w:r>
        <w:rPr>
          <w:sz w:val="16"/>
        </w:rPr>
        <w:t xml:space="preserve"> </w:t>
      </w:r>
      <w:r>
        <w:rPr>
          <w:spacing w:val="35"/>
          <w:sz w:val="16"/>
        </w:rPr>
        <w:t>e</w:t>
      </w:r>
      <w:r>
        <w:rPr>
          <w:sz w:val="16"/>
        </w:rPr>
        <w:t xml:space="preserve"> </w:t>
      </w:r>
      <w:r>
        <w:rPr>
          <w:spacing w:val="35"/>
          <w:sz w:val="16"/>
        </w:rPr>
        <w:t>m</w:t>
      </w:r>
      <w:r>
        <w:rPr>
          <w:sz w:val="16"/>
        </w:rPr>
        <w:t xml:space="preserve"> : </w:t>
      </w:r>
      <w:r>
        <w:rPr>
          <w:spacing w:val="-10"/>
          <w:sz w:val="16"/>
        </w:rPr>
        <w:t xml:space="preserve"> </w:t>
      </w:r>
    </w:p>
    <w:p w:rsidR="00D81F69" w:rsidRDefault="00D81F69">
      <w:pPr>
        <w:spacing w:before="2"/>
        <w:ind w:left="100"/>
        <w:jc w:val="both"/>
        <w:rPr>
          <w:sz w:val="16"/>
        </w:rPr>
      </w:pPr>
      <w:hyperlink r:id="rId935">
        <w:r w:rsidR="00330118">
          <w:rPr>
            <w:sz w:val="16"/>
          </w:rPr>
          <w:t>&lt;http://www.ibge.gov.br/cidadesat/painel/painel.php?codmun=520753</w:t>
        </w:r>
      </w:hyperlink>
    </w:p>
    <w:p w:rsidR="00D81F69" w:rsidRDefault="00330118">
      <w:pPr>
        <w:spacing w:before="56"/>
        <w:ind w:left="100"/>
        <w:jc w:val="both"/>
        <w:rPr>
          <w:sz w:val="16"/>
        </w:rPr>
      </w:pPr>
      <w:r>
        <w:rPr>
          <w:sz w:val="16"/>
        </w:rPr>
        <w:t>&gt;. Acesso em: 13 mar. 2013.</w:t>
      </w:r>
    </w:p>
    <w:p w:rsidR="00D81F69" w:rsidRDefault="00330118">
      <w:pPr>
        <w:spacing w:before="70" w:line="312" w:lineRule="auto"/>
        <w:ind w:left="100" w:right="197"/>
        <w:jc w:val="both"/>
        <w:rPr>
          <w:sz w:val="16"/>
        </w:rPr>
      </w:pPr>
      <w:r>
        <w:br w:type="column"/>
      </w:r>
      <w:r>
        <w:rPr>
          <w:sz w:val="16"/>
        </w:rPr>
        <w:lastRenderedPageBreak/>
        <w:t>MACHADO, Luiz Eduardo Giacomolli; SILVA, Gabriela Nogueira Ferreira da; PAVEZZI, Mariana Fernandes. Bacia hidrográfica do Rio Vermelho – Go</w:t>
      </w:r>
      <w:r>
        <w:rPr>
          <w:sz w:val="16"/>
        </w:rPr>
        <w:t>iás: a geomorfologia e o uso da terra. Trabalho apresentado no XI Simpósio Regional de Geografia, Universidade Federal de Goiás, Campus Jataí, 04 a 07 set. 2009. Disponível em:</w:t>
      </w:r>
    </w:p>
    <w:p w:rsidR="00D81F69" w:rsidRDefault="00D81F69">
      <w:pPr>
        <w:spacing w:before="4" w:line="312" w:lineRule="auto"/>
        <w:ind w:left="100" w:right="197"/>
        <w:jc w:val="both"/>
        <w:rPr>
          <w:sz w:val="16"/>
        </w:rPr>
      </w:pPr>
      <w:hyperlink r:id="rId936">
        <w:r w:rsidR="00330118">
          <w:rPr>
            <w:sz w:val="16"/>
          </w:rPr>
          <w:t>&lt;http://eregeo.</w:t>
        </w:r>
        <w:r w:rsidR="00330118">
          <w:rPr>
            <w:sz w:val="16"/>
          </w:rPr>
          <w:t xml:space="preserve">agbjatai.org/anais/textos/25.pdf&gt;. </w:t>
        </w:r>
      </w:hyperlink>
      <w:r w:rsidR="00330118">
        <w:rPr>
          <w:sz w:val="16"/>
        </w:rPr>
        <w:t>Acesso em: 08 set. 2010.</w:t>
      </w:r>
    </w:p>
    <w:p w:rsidR="00D81F69" w:rsidRDefault="00330118">
      <w:pPr>
        <w:spacing w:before="1" w:line="312" w:lineRule="auto"/>
        <w:ind w:left="100" w:right="198"/>
        <w:jc w:val="both"/>
        <w:rPr>
          <w:sz w:val="16"/>
        </w:rPr>
      </w:pPr>
      <w:r>
        <w:rPr>
          <w:sz w:val="16"/>
        </w:rPr>
        <w:t xml:space="preserve">Prizibisczki, Cristiane. Araguaia ganha cena no FICA. O Eco, 11 jun. 2010. Disponível em: </w:t>
      </w:r>
      <w:hyperlink r:id="rId937">
        <w:r>
          <w:rPr>
            <w:sz w:val="16"/>
          </w:rPr>
          <w:t>&lt;http://www.oeco.com.br/en/fica2010/24040-</w:t>
        </w:r>
      </w:hyperlink>
      <w:r>
        <w:rPr>
          <w:sz w:val="16"/>
        </w:rPr>
        <w:t xml:space="preserve"> arag</w:t>
      </w:r>
      <w:r>
        <w:rPr>
          <w:sz w:val="16"/>
        </w:rPr>
        <w:t>uaia-ganha-cena-no-fica&gt;. Acesso em: 28 nov. 2012.</w:t>
      </w:r>
    </w:p>
    <w:p w:rsidR="00D81F69" w:rsidRDefault="00330118">
      <w:pPr>
        <w:spacing w:before="3" w:line="312" w:lineRule="auto"/>
        <w:ind w:left="100" w:right="155"/>
        <w:jc w:val="both"/>
        <w:rPr>
          <w:sz w:val="16"/>
        </w:rPr>
      </w:pPr>
      <w:r>
        <w:rPr>
          <w:spacing w:val="3"/>
          <w:sz w:val="16"/>
        </w:rPr>
        <w:t xml:space="preserve">SEPLAN-GO, Secretaria </w:t>
      </w:r>
      <w:r>
        <w:rPr>
          <w:spacing w:val="1"/>
          <w:sz w:val="16"/>
        </w:rPr>
        <w:t xml:space="preserve">do </w:t>
      </w:r>
      <w:r>
        <w:rPr>
          <w:spacing w:val="3"/>
          <w:sz w:val="16"/>
        </w:rPr>
        <w:t xml:space="preserve">Planejamento </w:t>
      </w:r>
      <w:r>
        <w:rPr>
          <w:sz w:val="16"/>
        </w:rPr>
        <w:t xml:space="preserve">e  </w:t>
      </w:r>
      <w:r>
        <w:rPr>
          <w:spacing w:val="3"/>
          <w:sz w:val="16"/>
        </w:rPr>
        <w:t xml:space="preserve">Desenvolvimento </w:t>
      </w:r>
      <w:r>
        <w:rPr>
          <w:spacing w:val="5"/>
          <w:sz w:val="16"/>
        </w:rPr>
        <w:t xml:space="preserve">do  </w:t>
      </w:r>
      <w:r>
        <w:rPr>
          <w:sz w:val="16"/>
        </w:rPr>
        <w:t>E s t a d o d e G o i á s , 2 0 0 4 . D i s p o n í v e l</w:t>
      </w:r>
      <w:r>
        <w:rPr>
          <w:spacing w:val="33"/>
          <w:sz w:val="16"/>
        </w:rPr>
        <w:t xml:space="preserve"> </w:t>
      </w:r>
      <w:r>
        <w:rPr>
          <w:sz w:val="16"/>
        </w:rPr>
        <w:t>e m :</w:t>
      </w:r>
      <w:r>
        <w:rPr>
          <w:sz w:val="16"/>
        </w:rPr>
        <w:t xml:space="preserve"> </w:t>
      </w:r>
    </w:p>
    <w:p w:rsidR="00D81F69" w:rsidRDefault="00D81F69">
      <w:pPr>
        <w:spacing w:before="1" w:line="312" w:lineRule="auto"/>
        <w:ind w:left="100" w:right="216"/>
        <w:jc w:val="both"/>
        <w:rPr>
          <w:sz w:val="16"/>
        </w:rPr>
      </w:pPr>
      <w:hyperlink r:id="rId938">
        <w:r w:rsidR="00330118">
          <w:rPr>
            <w:sz w:val="16"/>
          </w:rPr>
          <w:t>&lt;http://www.seplan.go.gov.br/sepin/pub/anuario/2005/transporte/tab0</w:t>
        </w:r>
      </w:hyperlink>
      <w:r w:rsidR="00330118">
        <w:rPr>
          <w:sz w:val="16"/>
        </w:rPr>
        <w:t xml:space="preserve"> 1_transporte.htm&gt;. Acesso em: 08 set. 2010.</w:t>
      </w:r>
    </w:p>
    <w:p w:rsidR="00D81F69" w:rsidRDefault="00330118">
      <w:pPr>
        <w:spacing w:before="2" w:line="312" w:lineRule="auto"/>
        <w:ind w:left="100" w:right="157"/>
        <w:jc w:val="both"/>
        <w:rPr>
          <w:sz w:val="16"/>
        </w:rPr>
      </w:pPr>
      <w:r>
        <w:rPr>
          <w:spacing w:val="1"/>
          <w:sz w:val="16"/>
        </w:rPr>
        <w:t xml:space="preserve">SILVA, Marcos Pedro </w:t>
      </w:r>
      <w:r>
        <w:rPr>
          <w:sz w:val="16"/>
        </w:rPr>
        <w:t xml:space="preserve">da; </w:t>
      </w:r>
      <w:r>
        <w:rPr>
          <w:spacing w:val="1"/>
          <w:sz w:val="16"/>
        </w:rPr>
        <w:t xml:space="preserve">ROCHA, Cleonice. </w:t>
      </w:r>
      <w:r>
        <w:rPr>
          <w:sz w:val="16"/>
        </w:rPr>
        <w:t xml:space="preserve">A </w:t>
      </w:r>
      <w:r>
        <w:rPr>
          <w:spacing w:val="1"/>
          <w:sz w:val="16"/>
        </w:rPr>
        <w:t xml:space="preserve">caracterização </w:t>
      </w:r>
      <w:r>
        <w:rPr>
          <w:spacing w:val="2"/>
          <w:sz w:val="16"/>
        </w:rPr>
        <w:t xml:space="preserve">da </w:t>
      </w:r>
      <w:r>
        <w:rPr>
          <w:spacing w:val="3"/>
          <w:sz w:val="16"/>
        </w:rPr>
        <w:t>m</w:t>
      </w:r>
      <w:r>
        <w:rPr>
          <w:spacing w:val="3"/>
          <w:sz w:val="16"/>
        </w:rPr>
        <w:t xml:space="preserve">ineração aurífera </w:t>
      </w:r>
      <w:r>
        <w:rPr>
          <w:spacing w:val="1"/>
          <w:sz w:val="16"/>
        </w:rPr>
        <w:t xml:space="preserve">em </w:t>
      </w:r>
      <w:r>
        <w:rPr>
          <w:spacing w:val="3"/>
          <w:sz w:val="16"/>
        </w:rPr>
        <w:t xml:space="preserve">Faina, Goiás, </w:t>
      </w:r>
      <w:r>
        <w:rPr>
          <w:spacing w:val="1"/>
          <w:sz w:val="16"/>
        </w:rPr>
        <w:t xml:space="preserve">em um </w:t>
      </w:r>
      <w:r>
        <w:rPr>
          <w:spacing w:val="3"/>
          <w:sz w:val="16"/>
        </w:rPr>
        <w:t xml:space="preserve">contexto </w:t>
      </w:r>
      <w:r>
        <w:rPr>
          <w:spacing w:val="5"/>
          <w:sz w:val="16"/>
        </w:rPr>
        <w:t xml:space="preserve">ambiental </w:t>
      </w:r>
      <w:r>
        <w:rPr>
          <w:sz w:val="16"/>
        </w:rPr>
        <w:t xml:space="preserve">histórico e atual, Ambiente &amp; Sociedade, Campinas (SP), v. XI, n. 2 p. </w:t>
      </w:r>
      <w:r>
        <w:rPr>
          <w:spacing w:val="33"/>
          <w:sz w:val="16"/>
        </w:rPr>
        <w:t xml:space="preserve">373-388 </w:t>
      </w:r>
      <w:r>
        <w:rPr>
          <w:spacing w:val="30"/>
          <w:sz w:val="16"/>
        </w:rPr>
        <w:t xml:space="preserve">jul. </w:t>
      </w:r>
      <w:r>
        <w:rPr>
          <w:sz w:val="16"/>
        </w:rPr>
        <w:t xml:space="preserve">- </w:t>
      </w:r>
      <w:r>
        <w:rPr>
          <w:spacing w:val="30"/>
          <w:sz w:val="16"/>
        </w:rPr>
        <w:t xml:space="preserve">dez. </w:t>
      </w:r>
      <w:r>
        <w:rPr>
          <w:spacing w:val="31"/>
          <w:sz w:val="16"/>
        </w:rPr>
        <w:t xml:space="preserve">2008. </w:t>
      </w:r>
      <w:r>
        <w:rPr>
          <w:spacing w:val="35"/>
          <w:sz w:val="16"/>
        </w:rPr>
        <w:t>Disponível</w:t>
      </w:r>
      <w:r>
        <w:rPr>
          <w:spacing w:val="95"/>
          <w:sz w:val="16"/>
        </w:rPr>
        <w:t xml:space="preserve"> </w:t>
      </w:r>
      <w:r>
        <w:rPr>
          <w:spacing w:val="25"/>
          <w:sz w:val="16"/>
        </w:rPr>
        <w:t>em:</w:t>
      </w:r>
      <w:r>
        <w:rPr>
          <w:spacing w:val="-5"/>
          <w:sz w:val="16"/>
        </w:rPr>
        <w:t xml:space="preserve"> </w:t>
      </w:r>
    </w:p>
    <w:p w:rsidR="00D81F69" w:rsidRDefault="00D81F69">
      <w:pPr>
        <w:spacing w:before="3" w:line="312" w:lineRule="auto"/>
        <w:ind w:left="100" w:right="196"/>
        <w:jc w:val="both"/>
        <w:rPr>
          <w:sz w:val="16"/>
        </w:rPr>
      </w:pPr>
      <w:hyperlink r:id="rId939">
        <w:r w:rsidR="00330118">
          <w:rPr>
            <w:sz w:val="16"/>
          </w:rPr>
          <w:t>&lt;www.scielo.br/pd</w:t>
        </w:r>
        <w:r w:rsidR="00330118">
          <w:rPr>
            <w:sz w:val="16"/>
          </w:rPr>
          <w:t xml:space="preserve">f/asoc/v11n2/v11n2a11.pdf&gt;. </w:t>
        </w:r>
      </w:hyperlink>
      <w:r w:rsidR="00330118">
        <w:rPr>
          <w:sz w:val="16"/>
        </w:rPr>
        <w:t>Acesso em: 08 set. 2010.</w:t>
      </w:r>
    </w:p>
    <w:p w:rsidR="00D81F69" w:rsidRDefault="00330118">
      <w:pPr>
        <w:spacing w:before="2"/>
        <w:ind w:left="100"/>
        <w:rPr>
          <w:sz w:val="16"/>
        </w:rPr>
      </w:pPr>
      <w:r>
        <w:rPr>
          <w:sz w:val="16"/>
        </w:rPr>
        <w:t xml:space="preserve">TROY RESOURCES. Exploração. 2010. Disponível em: </w:t>
      </w:r>
    </w:p>
    <w:p w:rsidR="00D81F69" w:rsidRDefault="00D81F69">
      <w:pPr>
        <w:spacing w:before="56" w:line="312" w:lineRule="auto"/>
        <w:ind w:left="100" w:right="213"/>
        <w:jc w:val="both"/>
        <w:rPr>
          <w:sz w:val="16"/>
        </w:rPr>
      </w:pPr>
      <w:hyperlink r:id="rId940">
        <w:r w:rsidR="00330118">
          <w:rPr>
            <w:sz w:val="16"/>
          </w:rPr>
          <w:t xml:space="preserve">&lt;http://www.troyres.com.br/Projects/proj_exploration.asp&gt;. </w:t>
        </w:r>
      </w:hyperlink>
      <w:r w:rsidR="00330118">
        <w:rPr>
          <w:sz w:val="16"/>
        </w:rPr>
        <w:t>Acesso em: 13 set. 20</w:t>
      </w:r>
      <w:r w:rsidR="00330118">
        <w:rPr>
          <w:sz w:val="16"/>
        </w:rPr>
        <w:t>10.</w:t>
      </w:r>
    </w:p>
    <w:p w:rsidR="00D81F69" w:rsidRDefault="00330118">
      <w:pPr>
        <w:spacing w:before="2"/>
        <w:ind w:left="100"/>
        <w:rPr>
          <w:sz w:val="16"/>
        </w:rPr>
      </w:pPr>
      <w:r>
        <w:rPr>
          <w:spacing w:val="15"/>
          <w:sz w:val="16"/>
        </w:rPr>
        <w:t xml:space="preserve">TROY </w:t>
      </w:r>
      <w:r>
        <w:rPr>
          <w:spacing w:val="17"/>
          <w:sz w:val="16"/>
        </w:rPr>
        <w:t xml:space="preserve">RESOURCES. </w:t>
      </w:r>
      <w:r>
        <w:rPr>
          <w:spacing w:val="16"/>
          <w:sz w:val="16"/>
        </w:rPr>
        <w:t xml:space="preserve">History. </w:t>
      </w:r>
      <w:r>
        <w:rPr>
          <w:spacing w:val="15"/>
          <w:sz w:val="16"/>
        </w:rPr>
        <w:t>2013a.</w:t>
      </w:r>
      <w:r>
        <w:rPr>
          <w:spacing w:val="75"/>
          <w:sz w:val="16"/>
        </w:rPr>
        <w:t xml:space="preserve"> </w:t>
      </w:r>
      <w:r>
        <w:rPr>
          <w:spacing w:val="17"/>
          <w:sz w:val="16"/>
        </w:rPr>
        <w:t>Disponível</w:t>
      </w:r>
      <w:r>
        <w:rPr>
          <w:spacing w:val="16"/>
          <w:sz w:val="16"/>
        </w:rPr>
        <w:t xml:space="preserve"> </w:t>
      </w:r>
      <w:r>
        <w:rPr>
          <w:spacing w:val="12"/>
          <w:sz w:val="16"/>
        </w:rPr>
        <w:t>em:</w:t>
      </w:r>
      <w:r>
        <w:rPr>
          <w:spacing w:val="-23"/>
          <w:sz w:val="16"/>
        </w:rPr>
        <w:t xml:space="preserve"> </w:t>
      </w:r>
    </w:p>
    <w:p w:rsidR="00D81F69" w:rsidRDefault="00D81F69">
      <w:pPr>
        <w:spacing w:before="56" w:line="312" w:lineRule="auto"/>
        <w:ind w:left="100" w:right="214"/>
        <w:jc w:val="both"/>
        <w:rPr>
          <w:sz w:val="16"/>
        </w:rPr>
      </w:pPr>
      <w:hyperlink r:id="rId941">
        <w:r w:rsidR="00330118">
          <w:rPr>
            <w:sz w:val="16"/>
          </w:rPr>
          <w:t xml:space="preserve">&lt;http://www.troyres.com.br/corporate/history.html&gt;. </w:t>
        </w:r>
      </w:hyperlink>
      <w:r w:rsidR="00330118">
        <w:rPr>
          <w:sz w:val="16"/>
        </w:rPr>
        <w:t>Acesso em: 13 mar. 2013.</w:t>
      </w:r>
    </w:p>
    <w:p w:rsidR="00D81F69" w:rsidRDefault="00330118">
      <w:pPr>
        <w:spacing w:before="1"/>
        <w:ind w:left="100"/>
        <w:rPr>
          <w:sz w:val="16"/>
        </w:rPr>
      </w:pPr>
      <w:r>
        <w:rPr>
          <w:sz w:val="16"/>
        </w:rPr>
        <w:t>TROY RESOURCES. Sustainability: Brazil. 2013b. Disponível em:</w:t>
      </w:r>
    </w:p>
    <w:p w:rsidR="00D81F69" w:rsidRDefault="00D81F69">
      <w:pPr>
        <w:spacing w:before="56" w:line="312" w:lineRule="auto"/>
        <w:ind w:left="100" w:right="215"/>
        <w:jc w:val="both"/>
        <w:rPr>
          <w:sz w:val="16"/>
        </w:rPr>
      </w:pPr>
      <w:hyperlink r:id="rId942">
        <w:r w:rsidR="00330118">
          <w:rPr>
            <w:sz w:val="16"/>
          </w:rPr>
          <w:t xml:space="preserve">&lt;http://www.troyres.com.br/sustainability/brazil.html&gt;. </w:t>
        </w:r>
      </w:hyperlink>
      <w:r w:rsidR="00330118">
        <w:rPr>
          <w:sz w:val="16"/>
        </w:rPr>
        <w:t>Acesso em 13 mar. 2013.</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225" w:space="245"/>
            <w:col w:w="5310"/>
          </w:cols>
        </w:sectPr>
      </w:pPr>
    </w:p>
    <w:p w:rsidR="00D81F69" w:rsidRDefault="00330118">
      <w:pPr>
        <w:pStyle w:val="Heading1"/>
        <w:tabs>
          <w:tab w:val="left" w:pos="1239"/>
          <w:tab w:val="left" w:pos="2011"/>
          <w:tab w:val="left" w:pos="2652"/>
          <w:tab w:val="left" w:pos="4317"/>
          <w:tab w:val="left" w:pos="5200"/>
          <w:tab w:val="left" w:pos="8000"/>
          <w:tab w:val="left" w:pos="9264"/>
        </w:tabs>
        <w:spacing w:line="208" w:lineRule="auto"/>
        <w:ind w:right="181"/>
      </w:pPr>
      <w:r>
        <w:rPr>
          <w:spacing w:val="22"/>
        </w:rPr>
        <w:lastRenderedPageBreak/>
        <w:t>APL</w:t>
      </w:r>
      <w:r>
        <w:rPr>
          <w:spacing w:val="22"/>
        </w:rPr>
        <w:tab/>
      </w:r>
      <w:r>
        <w:rPr>
          <w:spacing w:val="16"/>
        </w:rPr>
        <w:t>de</w:t>
      </w:r>
      <w:r>
        <w:rPr>
          <w:spacing w:val="16"/>
        </w:rPr>
        <w:tab/>
      </w:r>
      <w:r>
        <w:rPr>
          <w:spacing w:val="30"/>
        </w:rPr>
        <w:t>Quartzito</w:t>
      </w:r>
      <w:r>
        <w:rPr>
          <w:spacing w:val="30"/>
        </w:rPr>
        <w:tab/>
      </w:r>
      <w:r>
        <w:rPr>
          <w:spacing w:val="16"/>
        </w:rPr>
        <w:t>em</w:t>
      </w:r>
      <w:r>
        <w:rPr>
          <w:spacing w:val="16"/>
        </w:rPr>
        <w:tab/>
      </w:r>
      <w:r>
        <w:rPr>
          <w:spacing w:val="30"/>
        </w:rPr>
        <w:t>Pirenópolis</w:t>
      </w:r>
      <w:r>
        <w:rPr>
          <w:spacing w:val="30"/>
        </w:rPr>
        <w:tab/>
      </w:r>
      <w:r>
        <w:rPr>
          <w:spacing w:val="25"/>
        </w:rPr>
        <w:t>(GO)</w:t>
      </w:r>
      <w:r>
        <w:rPr>
          <w:spacing w:val="25"/>
        </w:rPr>
        <w:tab/>
      </w:r>
      <w:r>
        <w:rPr>
          <w:spacing w:val="35"/>
        </w:rPr>
        <w:t xml:space="preserve">busca </w:t>
      </w:r>
      <w:r>
        <w:rPr>
          <w:spacing w:val="30"/>
        </w:rPr>
        <w:t>mineração</w:t>
      </w:r>
      <w:r>
        <w:rPr>
          <w:spacing w:val="30"/>
        </w:rPr>
        <w:tab/>
      </w:r>
      <w:r>
        <w:rPr>
          <w:spacing w:val="35"/>
        </w:rPr>
        <w:t>sustentável</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7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20"/>
        <w:rPr>
          <w:i/>
          <w:sz w:val="14"/>
        </w:rPr>
      </w:pPr>
      <w:r>
        <w:rPr>
          <w:i/>
          <w:sz w:val="14"/>
        </w:rPr>
        <w:t>GO - Cocalzinho de Goiás GO - Corumbá de Goiás GO - Pirenópolis</w:t>
      </w:r>
    </w:p>
    <w:p w:rsidR="00D81F69" w:rsidRDefault="00D81F69">
      <w:pPr>
        <w:pStyle w:val="Corpodetexto"/>
        <w:spacing w:before="5"/>
        <w:ind w:left="0"/>
        <w:jc w:val="left"/>
        <w:rPr>
          <w:i/>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-15,74</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-48,8605</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8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A extração mineral do quartzito é a </w:t>
      </w:r>
      <w:r>
        <w:rPr>
          <w:i/>
          <w:sz w:val="16"/>
        </w:rPr>
        <w:t>principal atividade produtiva de Pirenópolis (GO). A Pedreira da Prefeitura é a maior e mais antiga do local e começou a ser explorada no período colonial. No entanto, a exploração de forma individualizada e rudimentar gerou diversos problemas socioeconômi</w:t>
      </w:r>
      <w:r>
        <w:rPr>
          <w:i/>
          <w:sz w:val="16"/>
        </w:rPr>
        <w:t>cos e ambientais na região.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8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90"/>
      </w:pPr>
      <w:r>
        <w:t>quartzito da cidade é proveniente dessa pedreira (BARROS et al., 2002), que começou a ser explorada no período colonial com a implantação do povoado que serviu de apoio aos bandeirantes. Sua produção foi alavancada com a con</w:t>
      </w:r>
      <w:r>
        <w:t>strução de Goiânia (1933) e Brasília (1960), conquistando, a partir de então, o mercado nacional, e, mais recentemente, mesmo que de forma incipiente, o mercado internacional (MDIC, 2006; CAMPOS; SILVA, 2003).</w:t>
      </w:r>
    </w:p>
    <w:p w:rsidR="00D81F69" w:rsidRDefault="00330118">
      <w:pPr>
        <w:pStyle w:val="Corpodetexto"/>
        <w:spacing w:before="137" w:line="312" w:lineRule="auto"/>
        <w:ind w:left="135" w:right="190"/>
      </w:pPr>
      <w:r>
        <w:t>Com 54 hectares, a Pedreira da Prefeitura é su</w:t>
      </w:r>
      <w:r>
        <w:t xml:space="preserve">bdividida em </w:t>
      </w:r>
      <w:r>
        <w:rPr>
          <w:spacing w:val="5"/>
        </w:rPr>
        <w:t xml:space="preserve">dezenas </w:t>
      </w:r>
      <w:r>
        <w:rPr>
          <w:spacing w:val="2"/>
        </w:rPr>
        <w:t xml:space="preserve">de </w:t>
      </w:r>
      <w:r>
        <w:rPr>
          <w:spacing w:val="5"/>
        </w:rPr>
        <w:t xml:space="preserve">“pias” [frentes </w:t>
      </w:r>
      <w:r>
        <w:rPr>
          <w:spacing w:val="2"/>
        </w:rPr>
        <w:t xml:space="preserve">de </w:t>
      </w:r>
      <w:r>
        <w:rPr>
          <w:spacing w:val="5"/>
        </w:rPr>
        <w:t xml:space="preserve">lavra], </w:t>
      </w:r>
      <w:r>
        <w:rPr>
          <w:spacing w:val="2"/>
        </w:rPr>
        <w:t xml:space="preserve">de </w:t>
      </w:r>
      <w:r>
        <w:rPr>
          <w:spacing w:val="5"/>
        </w:rPr>
        <w:t>portes diversos,</w:t>
      </w:r>
      <w:r>
        <w:rPr>
          <w:spacing w:val="61"/>
        </w:rPr>
        <w:t xml:space="preserve"> </w:t>
      </w:r>
      <w:r>
        <w:t>exploradas de forma individualizada e rudimentar. Cada uma</w:t>
      </w:r>
    </w:p>
    <w:p w:rsidR="00D81F69" w:rsidRDefault="00D81F69">
      <w:pPr>
        <w:spacing w:line="312" w:lineRule="auto"/>
        <w:sectPr w:rsidR="00D81F69">
          <w:type w:val="continuous"/>
          <w:pgSz w:w="11900" w:h="16840"/>
          <w:pgMar w:top="720" w:right="500" w:bottom="280" w:left="620" w:header="720" w:footer="720" w:gutter="0"/>
          <w:cols w:num="3" w:space="720" w:equalWidth="0">
            <w:col w:w="1810" w:space="190"/>
            <w:col w:w="3114" w:space="321"/>
            <w:col w:w="5345"/>
          </w:cols>
        </w:sectPr>
      </w:pPr>
    </w:p>
    <w:p w:rsidR="00D81F69" w:rsidRDefault="00330118">
      <w:pPr>
        <w:pStyle w:val="Heading4"/>
        <w:spacing w:before="86"/>
      </w:pPr>
      <w:r>
        <w:lastRenderedPageBreak/>
        <w:t>APRESENTAÇÃO DE CASO</w:t>
      </w:r>
    </w:p>
    <w:p w:rsidR="00D81F69" w:rsidRDefault="00330118">
      <w:pPr>
        <w:pStyle w:val="Corpodetexto"/>
        <w:spacing w:before="171" w:line="312" w:lineRule="auto"/>
        <w:ind w:right="38"/>
      </w:pPr>
      <w:r>
        <w:t>Pirenópolis é uma cidade histórica (MDIC, 2006), tombada pelo Instituto d</w:t>
      </w:r>
      <w:r>
        <w:t>o Patrimônio Histórico e Nacional (Iphan), em 1988 (JORNAL DA TARDE, 2007). Com 2.205 km², o</w:t>
      </w:r>
    </w:p>
    <w:p w:rsidR="00D81F69" w:rsidRDefault="00330118">
      <w:pPr>
        <w:pStyle w:val="Corpodetexto"/>
        <w:spacing w:before="3" w:line="312" w:lineRule="auto"/>
        <w:ind w:right="94"/>
      </w:pPr>
      <w:r>
        <w:t>município fica a 130 km de Brasília e a 120 km de Goiânia (MDIC, 2006). Seus 23.006 habitantes (IBGE, 2010) vivem principalmente da extração, beneficiamento e come</w:t>
      </w:r>
      <w:r>
        <w:t>rcialização de quartzito, além da agropecuária e, mais recentemente, do turismo (MDIC, 2006).</w:t>
      </w:r>
    </w:p>
    <w:p w:rsidR="00D81F69" w:rsidRDefault="00330118">
      <w:pPr>
        <w:pStyle w:val="Corpodetexto"/>
        <w:spacing w:before="134" w:line="312" w:lineRule="auto"/>
        <w:ind w:right="72"/>
      </w:pPr>
      <w:r>
        <w:t xml:space="preserve">Situada no leste de Goiás, na zona do Planalto, Pirenópolis faz parte da Bacia Hidrográfica do rio Tocantins, tendo como </w:t>
      </w:r>
      <w:r>
        <w:rPr>
          <w:spacing w:val="5"/>
        </w:rPr>
        <w:t xml:space="preserve">principais drenagens </w:t>
      </w:r>
      <w:r>
        <w:t xml:space="preserve">o </w:t>
      </w:r>
      <w:r>
        <w:rPr>
          <w:spacing w:val="3"/>
        </w:rPr>
        <w:t xml:space="preserve">rio das </w:t>
      </w:r>
      <w:r>
        <w:rPr>
          <w:spacing w:val="5"/>
        </w:rPr>
        <w:t xml:space="preserve">Almas, </w:t>
      </w:r>
      <w:r>
        <w:rPr>
          <w:spacing w:val="3"/>
        </w:rPr>
        <w:t>das</w:t>
      </w:r>
      <w:r>
        <w:rPr>
          <w:spacing w:val="3"/>
        </w:rPr>
        <w:t xml:space="preserve"> </w:t>
      </w:r>
      <w:r>
        <w:rPr>
          <w:spacing w:val="5"/>
        </w:rPr>
        <w:t xml:space="preserve">Pedras </w:t>
      </w:r>
      <w:r>
        <w:t xml:space="preserve">e </w:t>
      </w:r>
      <w:r>
        <w:rPr>
          <w:spacing w:val="5"/>
        </w:rPr>
        <w:t xml:space="preserve">dos </w:t>
      </w:r>
      <w:r>
        <w:t xml:space="preserve">Peixes (CONCEIÇÃO et al., 2009). A área onde fica a cidade servia de acampamento para os mineradores que, no </w:t>
      </w:r>
      <w:r>
        <w:rPr>
          <w:spacing w:val="1"/>
        </w:rPr>
        <w:t xml:space="preserve">início  </w:t>
      </w:r>
      <w:r>
        <w:rPr>
          <w:spacing w:val="2"/>
        </w:rPr>
        <w:t xml:space="preserve">do </w:t>
      </w:r>
      <w:r>
        <w:rPr>
          <w:spacing w:val="5"/>
        </w:rPr>
        <w:t xml:space="preserve">século XVII, exploravam ouro </w:t>
      </w:r>
      <w:r>
        <w:rPr>
          <w:spacing w:val="3"/>
        </w:rPr>
        <w:t xml:space="preserve">aos pés </w:t>
      </w:r>
      <w:r>
        <w:rPr>
          <w:spacing w:val="2"/>
        </w:rPr>
        <w:t xml:space="preserve">da </w:t>
      </w:r>
      <w:r>
        <w:rPr>
          <w:spacing w:val="5"/>
        </w:rPr>
        <w:t xml:space="preserve">serra </w:t>
      </w:r>
      <w:r>
        <w:rPr>
          <w:spacing w:val="6"/>
        </w:rPr>
        <w:t xml:space="preserve">dos </w:t>
      </w:r>
      <w:r>
        <w:rPr>
          <w:spacing w:val="3"/>
        </w:rPr>
        <w:t xml:space="preserve">Pireneus. </w:t>
      </w:r>
      <w:r>
        <w:t xml:space="preserve">À </w:t>
      </w:r>
      <w:r>
        <w:rPr>
          <w:spacing w:val="3"/>
        </w:rPr>
        <w:t xml:space="preserve">época, </w:t>
      </w:r>
      <w:r>
        <w:t xml:space="preserve">o </w:t>
      </w:r>
      <w:r>
        <w:rPr>
          <w:spacing w:val="3"/>
        </w:rPr>
        <w:t xml:space="preserve">quartzito </w:t>
      </w:r>
      <w:r>
        <w:rPr>
          <w:spacing w:val="2"/>
        </w:rPr>
        <w:t xml:space="preserve">era </w:t>
      </w:r>
      <w:r>
        <w:rPr>
          <w:spacing w:val="3"/>
        </w:rPr>
        <w:t xml:space="preserve">utilizado </w:t>
      </w:r>
      <w:r>
        <w:rPr>
          <w:spacing w:val="2"/>
        </w:rPr>
        <w:t xml:space="preserve">nos </w:t>
      </w:r>
      <w:r>
        <w:rPr>
          <w:spacing w:val="5"/>
        </w:rPr>
        <w:t xml:space="preserve">alicerces, </w:t>
      </w:r>
      <w:r>
        <w:rPr>
          <w:spacing w:val="3"/>
        </w:rPr>
        <w:t xml:space="preserve">muros </w:t>
      </w:r>
      <w:r>
        <w:t xml:space="preserve">e </w:t>
      </w:r>
      <w:r>
        <w:rPr>
          <w:spacing w:val="3"/>
        </w:rPr>
        <w:t>calç</w:t>
      </w:r>
      <w:r>
        <w:rPr>
          <w:spacing w:val="3"/>
        </w:rPr>
        <w:t xml:space="preserve">adas </w:t>
      </w:r>
      <w:r>
        <w:rPr>
          <w:spacing w:val="1"/>
        </w:rPr>
        <w:t xml:space="preserve">da </w:t>
      </w:r>
      <w:r>
        <w:rPr>
          <w:spacing w:val="3"/>
        </w:rPr>
        <w:t xml:space="preserve">cidade (JORNAL </w:t>
      </w:r>
      <w:r>
        <w:rPr>
          <w:spacing w:val="1"/>
        </w:rPr>
        <w:t xml:space="preserve">DA </w:t>
      </w:r>
      <w:r>
        <w:rPr>
          <w:spacing w:val="3"/>
        </w:rPr>
        <w:t>TARDE,</w:t>
      </w:r>
      <w:r>
        <w:rPr>
          <w:spacing w:val="25"/>
        </w:rPr>
        <w:t xml:space="preserve"> </w:t>
      </w:r>
      <w:r>
        <w:rPr>
          <w:spacing w:val="5"/>
        </w:rPr>
        <w:t>2007).</w:t>
      </w:r>
    </w:p>
    <w:p w:rsidR="00D81F69" w:rsidRDefault="00330118">
      <w:pPr>
        <w:pStyle w:val="Corpodetexto"/>
        <w:spacing w:before="138" w:line="312" w:lineRule="auto"/>
        <w:ind w:right="76"/>
      </w:pPr>
      <w:r>
        <w:t xml:space="preserve">A extração mineral do quartzito responde por cerca de 30 a 50% do total do Imposto sobre Circulação de Mercadorias e Serviços (ICMS) arrecadado no município. Além disso, gera uma quantidade significativa de empregos </w:t>
      </w:r>
      <w:r>
        <w:t>diretos e indiretos, sendo a principal atividade produtiva de Pirenópolis (BARROS et al., 2002). O município, juntamente com os vizinhos Corumbá e Cocalzinho, é responsável pela maior parte da produção mineral de quartzito ornamental do estado de Goiás (FA</w:t>
      </w:r>
      <w:r>
        <w:t>LEIRO; LOPES, 2010).</w:t>
      </w:r>
    </w:p>
    <w:p w:rsidR="00D81F69" w:rsidRDefault="00330118">
      <w:pPr>
        <w:pStyle w:val="Corpodetexto"/>
        <w:spacing w:before="138" w:line="312" w:lineRule="auto"/>
        <w:ind w:right="90"/>
      </w:pPr>
      <w:r>
        <w:t xml:space="preserve">O quartzito é amplamente utilizado na construção civil como revestimento. É extraído no município pelo método de lavra em mina a céu aberto de forma rudimentar por mão de obra </w:t>
      </w:r>
      <w:r>
        <w:rPr>
          <w:spacing w:val="3"/>
        </w:rPr>
        <w:t xml:space="preserve">familiar. </w:t>
      </w:r>
      <w:r>
        <w:rPr>
          <w:spacing w:val="1"/>
        </w:rPr>
        <w:t xml:space="preserve">Ao </w:t>
      </w:r>
      <w:r>
        <w:rPr>
          <w:spacing w:val="3"/>
        </w:rPr>
        <w:t xml:space="preserve">longo </w:t>
      </w:r>
      <w:r>
        <w:rPr>
          <w:spacing w:val="1"/>
        </w:rPr>
        <w:t xml:space="preserve">de </w:t>
      </w:r>
      <w:r>
        <w:rPr>
          <w:spacing w:val="3"/>
        </w:rPr>
        <w:t xml:space="preserve">pouco </w:t>
      </w:r>
      <w:r>
        <w:rPr>
          <w:spacing w:val="2"/>
        </w:rPr>
        <w:t xml:space="preserve">mais </w:t>
      </w:r>
      <w:r>
        <w:rPr>
          <w:spacing w:val="1"/>
        </w:rPr>
        <w:t xml:space="preserve">de um </w:t>
      </w:r>
      <w:r>
        <w:rPr>
          <w:spacing w:val="3"/>
        </w:rPr>
        <w:t xml:space="preserve">século, houve </w:t>
      </w:r>
      <w:r>
        <w:t xml:space="preserve">a </w:t>
      </w:r>
      <w:r>
        <w:rPr>
          <w:spacing w:val="1"/>
        </w:rPr>
        <w:t>gera</w:t>
      </w:r>
      <w:r>
        <w:rPr>
          <w:spacing w:val="1"/>
        </w:rPr>
        <w:t xml:space="preserve">ção </w:t>
      </w:r>
      <w:r>
        <w:t xml:space="preserve">de um </w:t>
      </w:r>
      <w:r>
        <w:rPr>
          <w:spacing w:val="1"/>
        </w:rPr>
        <w:t xml:space="preserve">grande passivo ambiental devido </w:t>
      </w:r>
      <w:r>
        <w:t xml:space="preserve">à </w:t>
      </w:r>
      <w:r>
        <w:rPr>
          <w:spacing w:val="1"/>
        </w:rPr>
        <w:t xml:space="preserve">falta </w:t>
      </w:r>
      <w:r>
        <w:rPr>
          <w:spacing w:val="2"/>
        </w:rPr>
        <w:t xml:space="preserve">de </w:t>
      </w:r>
      <w:r>
        <w:rPr>
          <w:spacing w:val="5"/>
        </w:rPr>
        <w:t xml:space="preserve">aprimoramento técnico, organização </w:t>
      </w:r>
      <w:r>
        <w:t xml:space="preserve">e </w:t>
      </w:r>
      <w:r>
        <w:rPr>
          <w:spacing w:val="5"/>
        </w:rPr>
        <w:t>racionalização da</w:t>
      </w:r>
      <w:r>
        <w:rPr>
          <w:spacing w:val="61"/>
        </w:rPr>
        <w:t xml:space="preserve"> </w:t>
      </w:r>
      <w:r>
        <w:rPr>
          <w:spacing w:val="5"/>
        </w:rPr>
        <w:t>atividade (FALEIRO; LOPES, 2010).</w:t>
      </w:r>
    </w:p>
    <w:p w:rsidR="00D81F69" w:rsidRDefault="00330118">
      <w:pPr>
        <w:pStyle w:val="Corpodetexto"/>
        <w:spacing w:before="73" w:line="270" w:lineRule="atLeast"/>
        <w:ind w:right="92"/>
      </w:pPr>
      <w:r>
        <w:t>A Pedreira da Prefeitura é a maior e mais antiga do município e localiza-se a cerca de 4 km da área urbana de Pirenópolis (FALEIRO; LOPES, 2010). A maior parte da produção de</w:t>
      </w:r>
    </w:p>
    <w:p w:rsidR="00D81F69" w:rsidRDefault="00330118">
      <w:pPr>
        <w:pStyle w:val="Corpodetexto"/>
        <w:spacing w:before="3" w:line="312" w:lineRule="auto"/>
        <w:ind w:right="213"/>
      </w:pPr>
      <w:r>
        <w:br w:type="column"/>
      </w:r>
      <w:r>
        <w:lastRenderedPageBreak/>
        <w:t>produzia seus resíduos e os dispunha de forma aleatória, o que gerou sérios prob</w:t>
      </w:r>
      <w:r>
        <w:t>lemas socioeconômicos e ambientais (BARROS et al., 2002).</w:t>
      </w:r>
    </w:p>
    <w:p w:rsidR="00D81F69" w:rsidRDefault="00330118">
      <w:pPr>
        <w:pStyle w:val="Corpodetexto"/>
        <w:spacing w:before="132" w:line="312" w:lineRule="auto"/>
        <w:ind w:right="207"/>
      </w:pPr>
      <w:r>
        <w:t xml:space="preserve">Onze micro e pequenas empresas (MPEs) são proprietárias das maiores frentes de lavra da Pedreira da Prefeitura, e cerca de 20 pequenos produtores, das demais. Outras 15 pedreiras estão em atividade </w:t>
      </w:r>
      <w:r>
        <w:t>permanente, e mais uma dezena, paralisada ou com produção intermitente, nos municípios de Pirenópolis e Corumbá de Goiás. São pedreiras mais novas, de menor porte, mas com diversos problemas semelhantes aos da Pedreira da Prefeitura (MDIC, 2006).</w:t>
      </w:r>
    </w:p>
    <w:p w:rsidR="00D81F69" w:rsidRDefault="00330118">
      <w:pPr>
        <w:pStyle w:val="Corpodetexto"/>
        <w:spacing w:before="138" w:line="312" w:lineRule="auto"/>
        <w:ind w:right="207"/>
      </w:pPr>
      <w:r>
        <w:t>As MPEs b</w:t>
      </w:r>
      <w:r>
        <w:t>eneficiam, em suas serrarias, tanto sua produção como a que adquirem de terceiros. Algumas empresas não dispõem de pedreiras, fazendo apenas o beneficiamento das pedras brutas adquiridas. Já os produtores de menor porte contam com pequenas frentes de lavra</w:t>
      </w:r>
      <w:r>
        <w:t xml:space="preserve"> na Pedreira da Prefeitura, mas não dispõem de meios para beneficiar sua produção, vendendo-a a intermediários, para aplicação in natura, ou às serrarias. Existem em funcionamento cerca de 30 serrarias, sendo 20 no município de Pirenópolis e 10, nos municí</w:t>
      </w:r>
      <w:r>
        <w:t>pios de Cocalzinho e Corumbá de Goiás. Uma única serraria, em Cocalzinho de Goiás, tem estrutura para polimento de quartzito, que é realizado sob encomenda (MDIC, 2006).</w:t>
      </w:r>
    </w:p>
    <w:p w:rsidR="00D81F69" w:rsidRDefault="00330118">
      <w:pPr>
        <w:pStyle w:val="Corpodetexto"/>
        <w:spacing w:before="142" w:line="312" w:lineRule="auto"/>
        <w:ind w:right="194"/>
      </w:pPr>
      <w:r>
        <w:t>Dentre os impactos ambientais gerados pela atividade minerária, os de maior grau são o</w:t>
      </w:r>
      <w:r>
        <w:t>s relacionados à fase de lavra, incluindo a disposição do rejeito e a consequente degradação paisagística. A lavra do quartzito deixa marcas que, mesmo de longe, chamam a atenção por afetar a paisagem. As serrarias empilham e expõem as lajes de quartzito a</w:t>
      </w:r>
      <w:r>
        <w:t xml:space="preserve"> céu aberto, causando poluição visual (FALEIRO; LOPES, 2010).</w:t>
      </w:r>
    </w:p>
    <w:p w:rsidR="00D81F69" w:rsidRDefault="00330118">
      <w:pPr>
        <w:pStyle w:val="Corpodetexto"/>
        <w:spacing w:before="74" w:line="270" w:lineRule="atLeast"/>
        <w:ind w:right="177"/>
        <w:jc w:val="left"/>
      </w:pPr>
      <w:r>
        <w:t xml:space="preserve">A </w:t>
      </w:r>
      <w:r>
        <w:rPr>
          <w:spacing w:val="5"/>
        </w:rPr>
        <w:t xml:space="preserve">Pedreira </w:t>
      </w:r>
      <w:r>
        <w:rPr>
          <w:spacing w:val="2"/>
        </w:rPr>
        <w:t xml:space="preserve">da </w:t>
      </w:r>
      <w:r>
        <w:rPr>
          <w:spacing w:val="5"/>
        </w:rPr>
        <w:t xml:space="preserve">Prefeitura </w:t>
      </w:r>
      <w:r>
        <w:rPr>
          <w:spacing w:val="3"/>
        </w:rPr>
        <w:t xml:space="preserve">tem cerca </w:t>
      </w:r>
      <w:r>
        <w:rPr>
          <w:spacing w:val="2"/>
        </w:rPr>
        <w:t xml:space="preserve">de </w:t>
      </w:r>
      <w:r>
        <w:rPr>
          <w:spacing w:val="3"/>
        </w:rPr>
        <w:t xml:space="preserve">55% </w:t>
      </w:r>
      <w:r>
        <w:rPr>
          <w:spacing w:val="2"/>
        </w:rPr>
        <w:t xml:space="preserve">de </w:t>
      </w:r>
      <w:r>
        <w:rPr>
          <w:spacing w:val="3"/>
        </w:rPr>
        <w:t xml:space="preserve">sua </w:t>
      </w:r>
      <w:r>
        <w:rPr>
          <w:spacing w:val="5"/>
        </w:rPr>
        <w:t xml:space="preserve">área </w:t>
      </w:r>
      <w:r>
        <w:t xml:space="preserve">recobertos por rejeitos e produz cerca de 375 mil m² de lajes e 1, 1 milhão m² de retalhos ao ano. Tal produção é proveniente de apenas 140 </w:t>
      </w:r>
      <w:r>
        <w:t xml:space="preserve">mil toneladas de quartzito extraídas das 400 </w:t>
      </w:r>
      <w:r>
        <w:rPr>
          <w:spacing w:val="2"/>
        </w:rPr>
        <w:t xml:space="preserve">mil </w:t>
      </w:r>
      <w:r>
        <w:rPr>
          <w:spacing w:val="3"/>
        </w:rPr>
        <w:t xml:space="preserve">existentes, </w:t>
      </w:r>
      <w:r>
        <w:t xml:space="preserve">o </w:t>
      </w:r>
      <w:r>
        <w:rPr>
          <w:spacing w:val="2"/>
        </w:rPr>
        <w:t xml:space="preserve">que </w:t>
      </w:r>
      <w:r>
        <w:rPr>
          <w:spacing w:val="3"/>
        </w:rPr>
        <w:t xml:space="preserve">significa </w:t>
      </w:r>
      <w:r>
        <w:rPr>
          <w:spacing w:val="2"/>
        </w:rPr>
        <w:t>que 260 mil</w:t>
      </w:r>
      <w:r>
        <w:rPr>
          <w:spacing w:val="17"/>
        </w:rPr>
        <w:t xml:space="preserve"> </w:t>
      </w:r>
      <w:r>
        <w:rPr>
          <w:spacing w:val="3"/>
        </w:rPr>
        <w:t xml:space="preserve">toneladas </w:t>
      </w:r>
      <w:r>
        <w:rPr>
          <w:spacing w:val="5"/>
        </w:rPr>
        <w:t>são</w:t>
      </w:r>
    </w:p>
    <w:p w:rsidR="00D81F69" w:rsidRDefault="00D81F69">
      <w:pPr>
        <w:spacing w:line="270" w:lineRule="atLeast"/>
        <w:sectPr w:rsidR="00D81F69">
          <w:type w:val="continuous"/>
          <w:pgSz w:w="11900" w:h="16840"/>
          <w:pgMar w:top="720" w:right="500" w:bottom="280" w:left="620" w:header="720" w:footer="720" w:gutter="0"/>
          <w:cols w:num="2" w:space="720" w:equalWidth="0">
            <w:col w:w="5191" w:space="279"/>
            <w:col w:w="5310"/>
          </w:cols>
        </w:sectPr>
      </w:pPr>
    </w:p>
    <w:p w:rsidR="00D81F69" w:rsidRDefault="00330118">
      <w:pPr>
        <w:pStyle w:val="Corpodetexto"/>
        <w:spacing w:before="81" w:line="312" w:lineRule="auto"/>
        <w:ind w:right="40"/>
      </w:pPr>
      <w:r>
        <w:lastRenderedPageBreak/>
        <w:t>rejeitadas, resultando em 65% de perda (BARROS et al,, 2002 apud FALEIRO; LOPES, 2010).</w:t>
      </w:r>
    </w:p>
    <w:p w:rsidR="00D81F69" w:rsidRDefault="00330118">
      <w:pPr>
        <w:pStyle w:val="Corpodetexto"/>
        <w:spacing w:before="132" w:line="312" w:lineRule="auto"/>
        <w:ind w:right="38"/>
      </w:pPr>
      <w:r>
        <w:t xml:space="preserve">O desmonte das pedras é feito com uso </w:t>
      </w:r>
      <w:r>
        <w:t xml:space="preserve">de explosivos, sem qualquer assistência técnica, ocasionando grande quantidade de fraturas secundárias, o que reduz o tamanho das placas e gera mais resíduos (BARROS et al,, 2002 apud FALEIRO; LOPES, 2010). Estes são dispostos, sem nenhum planejamento, em </w:t>
      </w:r>
      <w:r>
        <w:t>locais inadequados, como em áreas a serem lavradas no futuro e nas bordas das frentes de lavra, criando situações de risco (AGIM 2002 apud FALEIRO; LOPES, 2010).</w:t>
      </w:r>
    </w:p>
    <w:p w:rsidR="00D81F69" w:rsidRDefault="00330118">
      <w:pPr>
        <w:pStyle w:val="Corpodetexto"/>
        <w:spacing w:before="138" w:line="312" w:lineRule="auto"/>
        <w:ind w:right="45"/>
      </w:pPr>
      <w:r>
        <w:rPr>
          <w:spacing w:val="6"/>
        </w:rPr>
        <w:t xml:space="preserve">Além </w:t>
      </w:r>
      <w:r>
        <w:rPr>
          <w:spacing w:val="5"/>
        </w:rPr>
        <w:t xml:space="preserve">da </w:t>
      </w:r>
      <w:r>
        <w:rPr>
          <w:spacing w:val="7"/>
        </w:rPr>
        <w:t xml:space="preserve">poluição sonora </w:t>
      </w:r>
      <w:r>
        <w:rPr>
          <w:spacing w:val="8"/>
        </w:rPr>
        <w:t xml:space="preserve">decorrente </w:t>
      </w:r>
      <w:r>
        <w:rPr>
          <w:spacing w:val="5"/>
        </w:rPr>
        <w:t xml:space="preserve">da </w:t>
      </w:r>
      <w:r>
        <w:rPr>
          <w:spacing w:val="7"/>
        </w:rPr>
        <w:t xml:space="preserve">detonação </w:t>
      </w:r>
      <w:r>
        <w:rPr>
          <w:spacing w:val="10"/>
        </w:rPr>
        <w:t xml:space="preserve">de </w:t>
      </w:r>
      <w:r>
        <w:t xml:space="preserve">explosivos, a atividade mineradora é feita </w:t>
      </w:r>
      <w:r>
        <w:t xml:space="preserve">sem planejamento e/ou controle na extração de pedras, gerando poluição </w:t>
      </w:r>
      <w:r>
        <w:rPr>
          <w:spacing w:val="1"/>
        </w:rPr>
        <w:t xml:space="preserve">dos </w:t>
      </w:r>
      <w:r>
        <w:t xml:space="preserve">córregos e do rio das Almas, bem como acúmulo acentuado de rejeitos dentro das frentes de lavra. Constatam-se, ainda, o </w:t>
      </w:r>
      <w:r>
        <w:rPr>
          <w:spacing w:val="1"/>
        </w:rPr>
        <w:t xml:space="preserve">abandono </w:t>
      </w:r>
      <w:r>
        <w:t xml:space="preserve">dos </w:t>
      </w:r>
      <w:r>
        <w:rPr>
          <w:spacing w:val="1"/>
        </w:rPr>
        <w:t xml:space="preserve">locais onde ocorreu extração </w:t>
      </w:r>
      <w:r>
        <w:t xml:space="preserve">de </w:t>
      </w:r>
      <w:r>
        <w:rPr>
          <w:spacing w:val="1"/>
        </w:rPr>
        <w:t xml:space="preserve">pedras </w:t>
      </w:r>
      <w:r>
        <w:t>e a ausên</w:t>
      </w:r>
      <w:r>
        <w:t>cia de reflorestamento das áreas mineradas (MATTOS, et al.,</w:t>
      </w:r>
      <w:r>
        <w:rPr>
          <w:spacing w:val="11"/>
        </w:rPr>
        <w:t xml:space="preserve"> </w:t>
      </w:r>
      <w:r>
        <w:t>2007).</w:t>
      </w:r>
    </w:p>
    <w:p w:rsidR="00D81F69" w:rsidRDefault="00330118">
      <w:pPr>
        <w:pStyle w:val="Corpodetexto"/>
        <w:spacing w:before="137" w:line="312" w:lineRule="auto"/>
        <w:ind w:right="43"/>
      </w:pPr>
      <w:r>
        <w:rPr>
          <w:spacing w:val="2"/>
        </w:rPr>
        <w:t xml:space="preserve">Ao </w:t>
      </w:r>
      <w:r>
        <w:rPr>
          <w:spacing w:val="3"/>
        </w:rPr>
        <w:t xml:space="preserve">longo das </w:t>
      </w:r>
      <w:r>
        <w:rPr>
          <w:spacing w:val="5"/>
        </w:rPr>
        <w:t xml:space="preserve">décadas, </w:t>
      </w:r>
      <w:r>
        <w:t xml:space="preserve">a </w:t>
      </w:r>
      <w:r>
        <w:rPr>
          <w:spacing w:val="5"/>
        </w:rPr>
        <w:t xml:space="preserve">mineração </w:t>
      </w:r>
      <w:r>
        <w:rPr>
          <w:spacing w:val="2"/>
        </w:rPr>
        <w:t xml:space="preserve">em </w:t>
      </w:r>
      <w:r>
        <w:rPr>
          <w:spacing w:val="5"/>
        </w:rPr>
        <w:t>Pirenópolis tem</w:t>
      </w:r>
      <w:r>
        <w:rPr>
          <w:spacing w:val="61"/>
        </w:rPr>
        <w:t xml:space="preserve"> </w:t>
      </w:r>
      <w:r>
        <w:t xml:space="preserve">registrado baixa recuperação de rejeitos (CAMPOS; </w:t>
      </w:r>
      <w:r>
        <w:rPr>
          <w:spacing w:val="1"/>
        </w:rPr>
        <w:t xml:space="preserve">SILVA, </w:t>
      </w:r>
      <w:r>
        <w:t>2003). A taxa é de apenas seis milhões de toneladas por ano, o que é considerad</w:t>
      </w:r>
      <w:r>
        <w:t>a muito baixa e acarreta problemas como poluição, aumento de custo do produto final, diminuição da vida útil das jazidas e mesmo o fechamento de empresas por questões ambientais (RUSSO, 2011).</w:t>
      </w:r>
    </w:p>
    <w:p w:rsidR="00D81F69" w:rsidRDefault="00330118">
      <w:pPr>
        <w:pStyle w:val="Corpodetexto"/>
        <w:spacing w:before="137" w:line="312" w:lineRule="auto"/>
        <w:ind w:right="43"/>
      </w:pPr>
      <w:r>
        <w:t>Também foram detectadas várias situações de risco para os traba</w:t>
      </w:r>
      <w:r>
        <w:t>lhadores, que sofrem com: cortes nas mãos e nos braços ocorridos durante o desmonte e o manejo das pedras; perigo de desmoronamentos de taludes de frentes de lavra; desmoronamentos de rejeitos situados a montante das frentes de lavra em operação; acidentes</w:t>
      </w:r>
      <w:r>
        <w:t xml:space="preserve"> com o manejo de perfuratrizes e de explosivos e com veículos e máquinas pesadas nos pátios das frentes de lavra e nas vias de acesso interno e externo à pedreira; e com desmoronamentos das pilhas de bota-fora de rejeito (MATTOS, et al., 2007).</w:t>
      </w:r>
    </w:p>
    <w:p w:rsidR="00D81F69" w:rsidRDefault="00330118">
      <w:pPr>
        <w:pStyle w:val="Corpodetexto"/>
        <w:spacing w:before="139" w:line="312" w:lineRule="auto"/>
        <w:ind w:right="41"/>
      </w:pPr>
      <w:r>
        <w:rPr>
          <w:spacing w:val="2"/>
        </w:rPr>
        <w:t xml:space="preserve">Na </w:t>
      </w:r>
      <w:r>
        <w:rPr>
          <w:spacing w:val="3"/>
        </w:rPr>
        <w:t xml:space="preserve">etapa </w:t>
      </w:r>
      <w:r>
        <w:rPr>
          <w:spacing w:val="2"/>
        </w:rPr>
        <w:t>de</w:t>
      </w:r>
      <w:r>
        <w:rPr>
          <w:spacing w:val="2"/>
        </w:rPr>
        <w:t xml:space="preserve"> </w:t>
      </w:r>
      <w:r>
        <w:rPr>
          <w:spacing w:val="5"/>
        </w:rPr>
        <w:t>beneficiamento, alguns impactos negativos</w:t>
      </w:r>
      <w:r>
        <w:rPr>
          <w:spacing w:val="61"/>
        </w:rPr>
        <w:t xml:space="preserve"> </w:t>
      </w:r>
      <w:r>
        <w:t>também foram descritos, tanto no aspecto visual quanto no paisagístico, influindo na imagem da cidade, com reflexos no turismo local, além de acidentes com o manuseio das serras diamantadas e geração de finos em s</w:t>
      </w:r>
      <w:r>
        <w:t xml:space="preserve">uspensão que, uma vez </w:t>
      </w:r>
      <w:r>
        <w:rPr>
          <w:spacing w:val="8"/>
        </w:rPr>
        <w:t xml:space="preserve">aspirados, </w:t>
      </w:r>
      <w:r>
        <w:rPr>
          <w:spacing w:val="7"/>
        </w:rPr>
        <w:t xml:space="preserve">podem provocar silicose [doença </w:t>
      </w:r>
      <w:r>
        <w:rPr>
          <w:spacing w:val="10"/>
        </w:rPr>
        <w:t xml:space="preserve">pulmonar </w:t>
      </w:r>
      <w:r>
        <w:t xml:space="preserve">causada pelo acúmulo de poeira nos pulmões] (MATTOS, et al., 2007). Há relatos entre os moradores da cidade de vários </w:t>
      </w:r>
      <w:r>
        <w:rPr>
          <w:spacing w:val="3"/>
        </w:rPr>
        <w:t xml:space="preserve">casos </w:t>
      </w:r>
      <w:r>
        <w:rPr>
          <w:spacing w:val="1"/>
        </w:rPr>
        <w:t xml:space="preserve">da </w:t>
      </w:r>
      <w:r>
        <w:rPr>
          <w:spacing w:val="3"/>
        </w:rPr>
        <w:t xml:space="preserve">doença, </w:t>
      </w:r>
      <w:r>
        <w:rPr>
          <w:spacing w:val="2"/>
        </w:rPr>
        <w:t xml:space="preserve">que, </w:t>
      </w:r>
      <w:r>
        <w:rPr>
          <w:spacing w:val="1"/>
        </w:rPr>
        <w:t xml:space="preserve">no </w:t>
      </w:r>
      <w:r>
        <w:rPr>
          <w:spacing w:val="3"/>
        </w:rPr>
        <w:t xml:space="preserve">entanto, </w:t>
      </w:r>
      <w:r>
        <w:t xml:space="preserve">é </w:t>
      </w:r>
      <w:r>
        <w:rPr>
          <w:spacing w:val="3"/>
        </w:rPr>
        <w:t xml:space="preserve">quase </w:t>
      </w:r>
      <w:r>
        <w:rPr>
          <w:spacing w:val="5"/>
        </w:rPr>
        <w:t xml:space="preserve">desconhecida </w:t>
      </w:r>
      <w:r>
        <w:rPr>
          <w:spacing w:val="3"/>
        </w:rPr>
        <w:t xml:space="preserve">pelas autoridades </w:t>
      </w:r>
      <w:r>
        <w:t xml:space="preserve">e </w:t>
      </w:r>
      <w:r>
        <w:rPr>
          <w:spacing w:val="2"/>
        </w:rPr>
        <w:t xml:space="preserve">não tem </w:t>
      </w:r>
      <w:r>
        <w:rPr>
          <w:spacing w:val="3"/>
        </w:rPr>
        <w:t xml:space="preserve">registro oficial específico </w:t>
      </w:r>
      <w:r>
        <w:rPr>
          <w:spacing w:val="5"/>
        </w:rPr>
        <w:t xml:space="preserve">na </w:t>
      </w:r>
      <w:r>
        <w:rPr>
          <w:spacing w:val="3"/>
        </w:rPr>
        <w:t xml:space="preserve">saúde pública </w:t>
      </w:r>
      <w:r>
        <w:rPr>
          <w:spacing w:val="1"/>
        </w:rPr>
        <w:t xml:space="preserve">do </w:t>
      </w:r>
      <w:r>
        <w:rPr>
          <w:spacing w:val="3"/>
        </w:rPr>
        <w:t xml:space="preserve">estado (MARCOS, </w:t>
      </w:r>
      <w:r>
        <w:rPr>
          <w:spacing w:val="2"/>
        </w:rPr>
        <w:t xml:space="preserve">2009 apud </w:t>
      </w:r>
      <w:r>
        <w:rPr>
          <w:spacing w:val="5"/>
        </w:rPr>
        <w:t xml:space="preserve">FALEIRO; </w:t>
      </w:r>
      <w:r>
        <w:rPr>
          <w:spacing w:val="3"/>
        </w:rPr>
        <w:t>LOPES,</w:t>
      </w:r>
      <w:r>
        <w:rPr>
          <w:spacing w:val="2"/>
        </w:rPr>
        <w:t xml:space="preserve"> </w:t>
      </w:r>
      <w:r>
        <w:rPr>
          <w:spacing w:val="5"/>
        </w:rPr>
        <w:t>2010).</w:t>
      </w:r>
    </w:p>
    <w:p w:rsidR="00D81F69" w:rsidRDefault="00330118">
      <w:pPr>
        <w:pStyle w:val="Corpodetexto"/>
        <w:spacing w:before="78" w:line="270" w:lineRule="atLeast"/>
        <w:ind w:right="52"/>
      </w:pPr>
      <w:r>
        <w:t xml:space="preserve">Considerando a importância histórica, econômica e social da extração do quartzito em Pirenópolis, especialmente na Pedreira da Prefeitura, foram desenvolvidos estudos de tecnologia mineral para promover o aproveitamento econômico dos rejeitos granulados e </w:t>
      </w:r>
      <w:r>
        <w:t>minimizar os impactos ambientais (BARROS et al., 2002).</w:t>
      </w:r>
    </w:p>
    <w:p w:rsidR="00D81F69" w:rsidRDefault="00330118">
      <w:pPr>
        <w:pStyle w:val="Corpodetexto"/>
        <w:spacing w:before="5"/>
        <w:ind w:left="0"/>
        <w:jc w:val="left"/>
        <w:rPr>
          <w:sz w:val="24"/>
        </w:rPr>
      </w:pPr>
      <w:r>
        <w:br w:type="column"/>
      </w:r>
    </w:p>
    <w:p w:rsidR="00D81F69" w:rsidRDefault="00330118">
      <w:pPr>
        <w:pStyle w:val="Corpodetexto"/>
        <w:spacing w:line="312" w:lineRule="auto"/>
        <w:ind w:right="203"/>
      </w:pPr>
      <w:r>
        <w:t>Em 2003, técnicos do Centro de Tecnologia Mineral (CETEM) desenvolveram um trabalho no local visando: melhor preparar os mineradores para o manuseio e uso racional de explosivos; diminuição de perda</w:t>
      </w:r>
      <w:r>
        <w:t>s de material durante as detonações; melhoria das técnicas de desmonte de rochas e da qualidade dos produtos da lavra; diminuição do impacto ambiental decorrente das operações de desmonte; orientação na disposição e aproveitamento de rejeitos da lavra (CAM</w:t>
      </w:r>
      <w:r>
        <w:t>POS; SILVA, 2003).</w:t>
      </w:r>
    </w:p>
    <w:p w:rsidR="00D81F69" w:rsidRDefault="00330118">
      <w:pPr>
        <w:pStyle w:val="Corpodetexto"/>
        <w:spacing w:before="138" w:line="312" w:lineRule="auto"/>
        <w:ind w:right="185"/>
      </w:pPr>
      <w:r>
        <w:t xml:space="preserve">O trabalho, que foi realizado por solicitação do Ministério do Meio Ambiente (MMA) e contou com patrocínio do ministério, </w:t>
      </w:r>
      <w:r>
        <w:rPr>
          <w:spacing w:val="3"/>
        </w:rPr>
        <w:t xml:space="preserve">do </w:t>
      </w:r>
      <w:r>
        <w:rPr>
          <w:spacing w:val="6"/>
        </w:rPr>
        <w:t xml:space="preserve">Sebrae-GO </w:t>
      </w:r>
      <w:r>
        <w:t xml:space="preserve">e </w:t>
      </w:r>
      <w:r>
        <w:rPr>
          <w:spacing w:val="3"/>
        </w:rPr>
        <w:t xml:space="preserve">de 14 </w:t>
      </w:r>
      <w:r>
        <w:rPr>
          <w:spacing w:val="6"/>
        </w:rPr>
        <w:t xml:space="preserve">integrantes </w:t>
      </w:r>
      <w:r>
        <w:rPr>
          <w:spacing w:val="3"/>
        </w:rPr>
        <w:t xml:space="preserve">da </w:t>
      </w:r>
      <w:r>
        <w:rPr>
          <w:spacing w:val="6"/>
        </w:rPr>
        <w:t xml:space="preserve">Associação </w:t>
      </w:r>
      <w:r>
        <w:rPr>
          <w:spacing w:val="7"/>
        </w:rPr>
        <w:t xml:space="preserve">dos </w:t>
      </w:r>
      <w:r>
        <w:rPr>
          <w:spacing w:val="10"/>
        </w:rPr>
        <w:t xml:space="preserve">Mineradores </w:t>
      </w:r>
      <w:r>
        <w:rPr>
          <w:spacing w:val="5"/>
        </w:rPr>
        <w:t xml:space="preserve">de </w:t>
      </w:r>
      <w:r>
        <w:rPr>
          <w:spacing w:val="10"/>
        </w:rPr>
        <w:t xml:space="preserve">Pirenópolis </w:t>
      </w:r>
      <w:r>
        <w:rPr>
          <w:spacing w:val="8"/>
        </w:rPr>
        <w:t xml:space="preserve">(Amip), </w:t>
      </w:r>
      <w:r>
        <w:rPr>
          <w:spacing w:val="7"/>
        </w:rPr>
        <w:t xml:space="preserve">teve três </w:t>
      </w:r>
      <w:r>
        <w:rPr>
          <w:spacing w:val="10"/>
        </w:rPr>
        <w:t>etapas:</w:t>
      </w:r>
      <w:r>
        <w:rPr>
          <w:spacing w:val="71"/>
        </w:rPr>
        <w:t xml:space="preserve"> </w:t>
      </w:r>
      <w:r>
        <w:rPr>
          <w:spacing w:val="1"/>
        </w:rPr>
        <w:t>levantament</w:t>
      </w:r>
      <w:r>
        <w:rPr>
          <w:spacing w:val="1"/>
        </w:rPr>
        <w:t xml:space="preserve">o prévio </w:t>
      </w:r>
      <w:r>
        <w:t xml:space="preserve">dos </w:t>
      </w:r>
      <w:r>
        <w:rPr>
          <w:spacing w:val="1"/>
        </w:rPr>
        <w:t xml:space="preserve">problemas técnicos </w:t>
      </w:r>
      <w:r>
        <w:t xml:space="preserve">e </w:t>
      </w:r>
      <w:r>
        <w:rPr>
          <w:spacing w:val="2"/>
        </w:rPr>
        <w:t xml:space="preserve">ambientais; </w:t>
      </w:r>
      <w:r>
        <w:t xml:space="preserve">execução do projeto; acompanhamento. Ao final, foi possível obter melhorias no planejamento das operações diárias nas pedreiras, redução de custos com explosivos, melhorias das </w:t>
      </w:r>
      <w:r>
        <w:rPr>
          <w:spacing w:val="1"/>
        </w:rPr>
        <w:t xml:space="preserve">condições </w:t>
      </w:r>
      <w:r>
        <w:t xml:space="preserve">de </w:t>
      </w:r>
      <w:r>
        <w:rPr>
          <w:spacing w:val="1"/>
        </w:rPr>
        <w:t xml:space="preserve">trabalho </w:t>
      </w:r>
      <w:r>
        <w:t xml:space="preserve">e na </w:t>
      </w:r>
      <w:r>
        <w:rPr>
          <w:spacing w:val="1"/>
        </w:rPr>
        <w:t>qualid</w:t>
      </w:r>
      <w:r>
        <w:rPr>
          <w:spacing w:val="1"/>
        </w:rPr>
        <w:t xml:space="preserve">ade </w:t>
      </w:r>
      <w:r>
        <w:t xml:space="preserve">do </w:t>
      </w:r>
      <w:r>
        <w:rPr>
          <w:spacing w:val="1"/>
        </w:rPr>
        <w:t xml:space="preserve">produto </w:t>
      </w:r>
      <w:r>
        <w:t xml:space="preserve">da </w:t>
      </w:r>
      <w:r>
        <w:rPr>
          <w:spacing w:val="2"/>
        </w:rPr>
        <w:t xml:space="preserve">lavra; </w:t>
      </w:r>
      <w:r>
        <w:t>além de maior aproveitamento dos rejeitos e exportação dos produtos beneficiados (CAMPOS; SILVA, 2003).</w:t>
      </w:r>
    </w:p>
    <w:p w:rsidR="00D81F69" w:rsidRDefault="00330118">
      <w:pPr>
        <w:pStyle w:val="Corpodetexto"/>
        <w:spacing w:before="140" w:line="312" w:lineRule="auto"/>
        <w:ind w:right="195"/>
      </w:pPr>
      <w:r>
        <w:t>Porém, uma das medidas que mais ajudaram a disciplinar a exploração mineral na região foi o Arranjo Produtivo Local (APL) de Qu</w:t>
      </w:r>
      <w:r>
        <w:t>artzito de Pirenópolis, criado por iniciativa do Ministério da Integração Nacional (MI), por meio da Secretaria de Desenvolvimento do Centro-Oeste (SCO), em parceria com a Federação das Indústrias do Estado de Goiás (FIEG), Instituto Euvaldo Lodi (IEL) e a</w:t>
      </w:r>
      <w:r>
        <w:t xml:space="preserve"> Secretaria de Indústria e Comércio da Superintendência de Geologia e Mineração (SGM/SIC)(PIRENÓPOLIS, 2010).</w:t>
      </w:r>
    </w:p>
    <w:p w:rsidR="00D81F69" w:rsidRDefault="00330118">
      <w:pPr>
        <w:pStyle w:val="Corpodetexto"/>
        <w:spacing w:before="139" w:line="312" w:lineRule="auto"/>
        <w:ind w:right="194"/>
      </w:pPr>
      <w:r>
        <w:t xml:space="preserve">O </w:t>
      </w:r>
      <w:r>
        <w:rPr>
          <w:spacing w:val="5"/>
        </w:rPr>
        <w:t xml:space="preserve">objetivo </w:t>
      </w:r>
      <w:r>
        <w:rPr>
          <w:spacing w:val="2"/>
        </w:rPr>
        <w:t xml:space="preserve">do </w:t>
      </w:r>
      <w:r>
        <w:rPr>
          <w:spacing w:val="5"/>
        </w:rPr>
        <w:t xml:space="preserve">APL, </w:t>
      </w:r>
      <w:r>
        <w:rPr>
          <w:spacing w:val="3"/>
        </w:rPr>
        <w:t xml:space="preserve">que </w:t>
      </w:r>
      <w:r>
        <w:rPr>
          <w:spacing w:val="5"/>
        </w:rPr>
        <w:t xml:space="preserve">engloba também </w:t>
      </w:r>
      <w:r>
        <w:rPr>
          <w:spacing w:val="2"/>
        </w:rPr>
        <w:t xml:space="preserve">as </w:t>
      </w:r>
      <w:r>
        <w:rPr>
          <w:spacing w:val="5"/>
        </w:rPr>
        <w:t xml:space="preserve">cidades </w:t>
      </w:r>
      <w:r>
        <w:rPr>
          <w:spacing w:val="6"/>
        </w:rPr>
        <w:t xml:space="preserve">de </w:t>
      </w:r>
      <w:r>
        <w:t>Cocalzinho de Goiás e Corumbá de Goiás (SECTEC, 2010), é ordenar a cadeia produtiva do quartzi</w:t>
      </w:r>
      <w:r>
        <w:t xml:space="preserve">to, incentivando a gestão </w:t>
      </w:r>
      <w:r>
        <w:rPr>
          <w:spacing w:val="6"/>
        </w:rPr>
        <w:t xml:space="preserve">participativa </w:t>
      </w:r>
      <w:r>
        <w:t xml:space="preserve">e o </w:t>
      </w:r>
      <w:r>
        <w:rPr>
          <w:spacing w:val="6"/>
        </w:rPr>
        <w:t xml:space="preserve">fortalecimento </w:t>
      </w:r>
      <w:r>
        <w:rPr>
          <w:spacing w:val="3"/>
        </w:rPr>
        <w:t xml:space="preserve">do </w:t>
      </w:r>
      <w:r>
        <w:rPr>
          <w:spacing w:val="6"/>
        </w:rPr>
        <w:t xml:space="preserve">associativismo </w:t>
      </w:r>
      <w:r>
        <w:t xml:space="preserve">e </w:t>
      </w:r>
      <w:r>
        <w:rPr>
          <w:spacing w:val="7"/>
        </w:rPr>
        <w:t xml:space="preserve">do </w:t>
      </w:r>
      <w:r>
        <w:rPr>
          <w:spacing w:val="10"/>
        </w:rPr>
        <w:t xml:space="preserve">cooperativismo, </w:t>
      </w:r>
      <w:r>
        <w:rPr>
          <w:spacing w:val="8"/>
        </w:rPr>
        <w:t xml:space="preserve">incluindo </w:t>
      </w:r>
      <w:r>
        <w:t xml:space="preserve">a </w:t>
      </w:r>
      <w:r>
        <w:rPr>
          <w:spacing w:val="10"/>
        </w:rPr>
        <w:t xml:space="preserve">capacitação </w:t>
      </w:r>
      <w:r>
        <w:rPr>
          <w:spacing w:val="6"/>
        </w:rPr>
        <w:t xml:space="preserve">dos </w:t>
      </w:r>
      <w:r>
        <w:rPr>
          <w:spacing w:val="10"/>
        </w:rPr>
        <w:t xml:space="preserve">agentes </w:t>
      </w:r>
      <w:r>
        <w:t xml:space="preserve">produtivos, visando à ampliação da participação do produto </w:t>
      </w:r>
      <w:r>
        <w:rPr>
          <w:spacing w:val="10"/>
        </w:rPr>
        <w:t xml:space="preserve">de </w:t>
      </w:r>
      <w:r>
        <w:rPr>
          <w:spacing w:val="18"/>
        </w:rPr>
        <w:t xml:space="preserve">Pirenópolis </w:t>
      </w:r>
      <w:r>
        <w:rPr>
          <w:spacing w:val="10"/>
        </w:rPr>
        <w:t xml:space="preserve">no </w:t>
      </w:r>
      <w:r>
        <w:rPr>
          <w:spacing w:val="17"/>
        </w:rPr>
        <w:t xml:space="preserve">mercado nacional </w:t>
      </w:r>
      <w:r>
        <w:t xml:space="preserve">e </w:t>
      </w:r>
      <w:r>
        <w:rPr>
          <w:spacing w:val="17"/>
        </w:rPr>
        <w:t xml:space="preserve">mundial </w:t>
      </w:r>
      <w:r>
        <w:rPr>
          <w:spacing w:val="18"/>
        </w:rPr>
        <w:t>(PIRENÓPOLIS,</w:t>
      </w:r>
      <w:r>
        <w:rPr>
          <w:spacing w:val="31"/>
        </w:rPr>
        <w:t xml:space="preserve"> </w:t>
      </w:r>
      <w:r>
        <w:rPr>
          <w:spacing w:val="16"/>
        </w:rPr>
        <w:t>2010).</w:t>
      </w:r>
      <w:r>
        <w:rPr>
          <w:spacing w:val="-28"/>
        </w:rPr>
        <w:t xml:space="preserve"> </w:t>
      </w:r>
    </w:p>
    <w:p w:rsidR="00D81F69" w:rsidRDefault="00330118">
      <w:pPr>
        <w:pStyle w:val="Corpodetexto"/>
        <w:spacing w:before="137" w:line="312" w:lineRule="auto"/>
        <w:ind w:right="186"/>
      </w:pPr>
      <w:r>
        <w:t>Entre janeiro de 2005 e novembro de 2007, o programa APL em Pirenópolis atuou no desenvolvimento de todo o segmento que envolve o quartzito. Foram realizadas ações relacionadas à legalização e à transferência de gestão da Pedreira da Prefeitura par</w:t>
      </w:r>
      <w:r>
        <w:t>a a Associação dos Mineradores de Pirenópolis (Amop), e à otimização da produção, comercialização, desenvolvimento sustentável, além da melhoria das condições de trabalho (SENAI, 2011).</w:t>
      </w:r>
    </w:p>
    <w:p w:rsidR="00D81F69" w:rsidRDefault="00330118">
      <w:pPr>
        <w:pStyle w:val="Corpodetexto"/>
        <w:spacing w:before="137" w:line="312" w:lineRule="auto"/>
        <w:ind w:right="208"/>
      </w:pPr>
      <w:r>
        <w:rPr>
          <w:spacing w:val="2"/>
        </w:rPr>
        <w:t xml:space="preserve">Em </w:t>
      </w:r>
      <w:r>
        <w:rPr>
          <w:spacing w:val="3"/>
        </w:rPr>
        <w:t xml:space="preserve">julho </w:t>
      </w:r>
      <w:r>
        <w:rPr>
          <w:spacing w:val="2"/>
        </w:rPr>
        <w:t xml:space="preserve">de </w:t>
      </w:r>
      <w:r>
        <w:rPr>
          <w:spacing w:val="3"/>
        </w:rPr>
        <w:t xml:space="preserve">2005, foi </w:t>
      </w:r>
      <w:r>
        <w:rPr>
          <w:spacing w:val="5"/>
        </w:rPr>
        <w:t xml:space="preserve">elaborado diagnóstico </w:t>
      </w:r>
      <w:r>
        <w:rPr>
          <w:spacing w:val="2"/>
        </w:rPr>
        <w:t xml:space="preserve">do </w:t>
      </w:r>
      <w:r>
        <w:rPr>
          <w:spacing w:val="3"/>
        </w:rPr>
        <w:t xml:space="preserve">setor </w:t>
      </w:r>
      <w:r>
        <w:rPr>
          <w:spacing w:val="5"/>
        </w:rPr>
        <w:t>do</w:t>
      </w:r>
      <w:r>
        <w:rPr>
          <w:spacing w:val="61"/>
        </w:rPr>
        <w:t xml:space="preserve"> </w:t>
      </w:r>
      <w:r>
        <w:t>quartzito no m</w:t>
      </w:r>
      <w:r>
        <w:t xml:space="preserve">unicípio, com dados relativos às características </w:t>
      </w:r>
      <w:r>
        <w:rPr>
          <w:spacing w:val="8"/>
        </w:rPr>
        <w:t xml:space="preserve">do </w:t>
      </w:r>
      <w:r>
        <w:rPr>
          <w:spacing w:val="15"/>
        </w:rPr>
        <w:t xml:space="preserve">processo produtivo </w:t>
      </w:r>
      <w:r>
        <w:rPr>
          <w:spacing w:val="11"/>
        </w:rPr>
        <w:t xml:space="preserve">das </w:t>
      </w:r>
      <w:r>
        <w:rPr>
          <w:spacing w:val="15"/>
        </w:rPr>
        <w:t xml:space="preserve">empresas </w:t>
      </w:r>
      <w:r>
        <w:rPr>
          <w:spacing w:val="8"/>
        </w:rPr>
        <w:t xml:space="preserve">de </w:t>
      </w:r>
      <w:r>
        <w:rPr>
          <w:spacing w:val="13"/>
        </w:rPr>
        <w:t xml:space="preserve">lavra </w:t>
      </w:r>
      <w:r>
        <w:t xml:space="preserve">e beneficiamento, ao perfil dos agentes produtivos locais e uma </w:t>
      </w:r>
      <w:r>
        <w:rPr>
          <w:spacing w:val="1"/>
        </w:rPr>
        <w:t xml:space="preserve">visão geral </w:t>
      </w:r>
      <w:r>
        <w:t xml:space="preserve">do </w:t>
      </w:r>
      <w:r>
        <w:rPr>
          <w:spacing w:val="1"/>
        </w:rPr>
        <w:t xml:space="preserve">setor </w:t>
      </w:r>
      <w:r>
        <w:t xml:space="preserve">no </w:t>
      </w:r>
      <w:r>
        <w:rPr>
          <w:spacing w:val="1"/>
        </w:rPr>
        <w:t xml:space="preserve">Brasil. </w:t>
      </w:r>
      <w:r>
        <w:t xml:space="preserve">O </w:t>
      </w:r>
      <w:r>
        <w:rPr>
          <w:spacing w:val="1"/>
        </w:rPr>
        <w:t xml:space="preserve">Comitê Gestor </w:t>
      </w:r>
      <w:r>
        <w:t xml:space="preserve">do APL </w:t>
      </w:r>
      <w:r>
        <w:rPr>
          <w:spacing w:val="2"/>
        </w:rPr>
        <w:t xml:space="preserve">foi </w:t>
      </w:r>
      <w:r>
        <w:rPr>
          <w:spacing w:val="6"/>
        </w:rPr>
        <w:t xml:space="preserve">constituído </w:t>
      </w:r>
      <w:r>
        <w:rPr>
          <w:spacing w:val="3"/>
        </w:rPr>
        <w:t xml:space="preserve">em 15 de </w:t>
      </w:r>
      <w:r>
        <w:rPr>
          <w:spacing w:val="5"/>
        </w:rPr>
        <w:t xml:space="preserve">abril </w:t>
      </w:r>
      <w:r>
        <w:rPr>
          <w:spacing w:val="3"/>
        </w:rPr>
        <w:t xml:space="preserve">de </w:t>
      </w:r>
      <w:r>
        <w:rPr>
          <w:spacing w:val="5"/>
        </w:rPr>
        <w:t xml:space="preserve">2005, </w:t>
      </w:r>
      <w:r>
        <w:t xml:space="preserve">e </w:t>
      </w:r>
      <w:r>
        <w:rPr>
          <w:spacing w:val="5"/>
        </w:rPr>
        <w:t>re</w:t>
      </w:r>
      <w:r>
        <w:rPr>
          <w:spacing w:val="5"/>
        </w:rPr>
        <w:t xml:space="preserve">aliza </w:t>
      </w:r>
      <w:r>
        <w:rPr>
          <w:spacing w:val="7"/>
        </w:rPr>
        <w:t xml:space="preserve">reuniões </w:t>
      </w:r>
      <w:r>
        <w:t>periódicas para deliberar assuntos de interesse do projeto e do grupo envolvido (SENAI,</w:t>
      </w:r>
      <w:r>
        <w:rPr>
          <w:spacing w:val="48"/>
        </w:rPr>
        <w:t xml:space="preserve"> </w:t>
      </w:r>
      <w:r>
        <w:t>2011).</w:t>
      </w:r>
    </w:p>
    <w:p w:rsidR="00D81F69" w:rsidRDefault="00D81F69">
      <w:pPr>
        <w:spacing w:line="312" w:lineRule="auto"/>
        <w:sectPr w:rsidR="00D81F69">
          <w:pgSz w:w="11900" w:h="16840"/>
          <w:pgMar w:top="740" w:right="500" w:bottom="640" w:left="620" w:header="0" w:footer="402" w:gutter="0"/>
          <w:cols w:num="2" w:space="720" w:equalWidth="0">
            <w:col w:w="5160" w:space="310"/>
            <w:col w:w="5310"/>
          </w:cols>
        </w:sectPr>
      </w:pPr>
    </w:p>
    <w:p w:rsidR="00D81F69" w:rsidRDefault="00330118">
      <w:pPr>
        <w:pStyle w:val="Corpodetexto"/>
        <w:spacing w:before="81" w:line="312" w:lineRule="auto"/>
        <w:ind w:right="48"/>
      </w:pPr>
      <w:r>
        <w:lastRenderedPageBreak/>
        <w:t>Na ocasião, a Faculdade de Tecnologia Senai Roberto Mange, responsável técnica por implementar o programa APL em Pire</w:t>
      </w:r>
      <w:r>
        <w:t xml:space="preserve">nópolis, ofereceu cursos de capacitação nas áreas administrativa e técnica. Os empresários e mineradores autônomos tiveram ainda assistência técnica e tecnológica de um geólogo, de um engenheiro de minas e de dois técnicos em mineração. O fortalecimento e </w:t>
      </w:r>
      <w:r>
        <w:t>o incentivo ao cooperativismo/associativismo também foram focos do programa (SENAI, 2011).</w:t>
      </w:r>
    </w:p>
    <w:p w:rsidR="00D81F69" w:rsidRDefault="00330118">
      <w:pPr>
        <w:pStyle w:val="Corpodetexto"/>
        <w:spacing w:before="138" w:line="312" w:lineRule="auto"/>
        <w:ind w:right="38"/>
      </w:pPr>
      <w:r>
        <w:t xml:space="preserve">Uma variável considerada essencial para o desenvolvimento do APL é a </w:t>
      </w:r>
      <w:r>
        <w:rPr>
          <w:spacing w:val="1"/>
        </w:rPr>
        <w:t xml:space="preserve">legalização </w:t>
      </w:r>
      <w:r>
        <w:t xml:space="preserve">da </w:t>
      </w:r>
      <w:r>
        <w:rPr>
          <w:spacing w:val="1"/>
        </w:rPr>
        <w:t xml:space="preserve">produção </w:t>
      </w:r>
      <w:r>
        <w:t xml:space="preserve">nas </w:t>
      </w:r>
      <w:r>
        <w:rPr>
          <w:spacing w:val="1"/>
        </w:rPr>
        <w:t xml:space="preserve">pedreiras, </w:t>
      </w:r>
      <w:r>
        <w:t xml:space="preserve">sob </w:t>
      </w:r>
      <w:r>
        <w:rPr>
          <w:spacing w:val="2"/>
        </w:rPr>
        <w:t xml:space="preserve">os </w:t>
      </w:r>
      <w:r>
        <w:t>pontos de vista das legislações mineral e ambienta</w:t>
      </w:r>
      <w:r>
        <w:t xml:space="preserve">l </w:t>
      </w:r>
      <w:r>
        <w:rPr>
          <w:spacing w:val="1"/>
        </w:rPr>
        <w:t xml:space="preserve">(MDIC, </w:t>
      </w:r>
      <w:r>
        <w:rPr>
          <w:spacing w:val="7"/>
        </w:rPr>
        <w:t xml:space="preserve">2006). Neste sentido, </w:t>
      </w:r>
      <w:r>
        <w:rPr>
          <w:spacing w:val="5"/>
        </w:rPr>
        <w:t xml:space="preserve">os </w:t>
      </w:r>
      <w:r>
        <w:rPr>
          <w:spacing w:val="8"/>
        </w:rPr>
        <w:t xml:space="preserve">mineradores </w:t>
      </w:r>
      <w:r>
        <w:rPr>
          <w:spacing w:val="5"/>
        </w:rPr>
        <w:t xml:space="preserve">de 37 </w:t>
      </w:r>
      <w:r>
        <w:rPr>
          <w:spacing w:val="10"/>
        </w:rPr>
        <w:t xml:space="preserve">pedreiras </w:t>
      </w:r>
      <w:r>
        <w:t xml:space="preserve">assinaram, ainda em abril de 2005, um Termo de Ajustamento de Conduta (TAC), firmado com o Instituto Brasileiro do Meio </w:t>
      </w:r>
      <w:r>
        <w:rPr>
          <w:spacing w:val="5"/>
        </w:rPr>
        <w:t xml:space="preserve">Ambiente </w:t>
      </w:r>
      <w:r>
        <w:t xml:space="preserve">e </w:t>
      </w:r>
      <w:r>
        <w:rPr>
          <w:spacing w:val="3"/>
        </w:rPr>
        <w:t xml:space="preserve">dos </w:t>
      </w:r>
      <w:r>
        <w:rPr>
          <w:spacing w:val="5"/>
        </w:rPr>
        <w:t xml:space="preserve">Recursos Naturais Renováveis (Ibama), Agência Ambiental </w:t>
      </w:r>
      <w:r>
        <w:rPr>
          <w:spacing w:val="2"/>
        </w:rPr>
        <w:t xml:space="preserve">de </w:t>
      </w:r>
      <w:r>
        <w:rPr>
          <w:spacing w:val="5"/>
        </w:rPr>
        <w:t>Goiás, Departamento Nacional de</w:t>
      </w:r>
      <w:r>
        <w:rPr>
          <w:spacing w:val="61"/>
        </w:rPr>
        <w:t xml:space="preserve"> </w:t>
      </w:r>
      <w:r>
        <w:t xml:space="preserve">Produção Mineral (DNPM), Promotoria de Justiça e prefeitura </w:t>
      </w:r>
      <w:r>
        <w:rPr>
          <w:spacing w:val="5"/>
        </w:rPr>
        <w:t xml:space="preserve">local. </w:t>
      </w:r>
      <w:r>
        <w:rPr>
          <w:spacing w:val="2"/>
        </w:rPr>
        <w:t xml:space="preserve">Os </w:t>
      </w:r>
      <w:r>
        <w:rPr>
          <w:spacing w:val="5"/>
        </w:rPr>
        <w:t xml:space="preserve">mineradores conseguiram, assim, </w:t>
      </w:r>
      <w:r>
        <w:rPr>
          <w:spacing w:val="6"/>
        </w:rPr>
        <w:t xml:space="preserve">autorização </w:t>
      </w:r>
      <w:r>
        <w:rPr>
          <w:spacing w:val="5"/>
        </w:rPr>
        <w:t xml:space="preserve">provisória para trabalhar (CREA-GO, </w:t>
      </w:r>
      <w:r>
        <w:rPr>
          <w:spacing w:val="6"/>
        </w:rPr>
        <w:t>2009).</w:t>
      </w:r>
    </w:p>
    <w:p w:rsidR="00D81F69" w:rsidRDefault="00330118">
      <w:pPr>
        <w:pStyle w:val="Corpodetexto"/>
        <w:spacing w:before="140" w:line="312" w:lineRule="auto"/>
        <w:ind w:right="38"/>
      </w:pPr>
      <w:r>
        <w:t xml:space="preserve">O </w:t>
      </w:r>
      <w:r>
        <w:rPr>
          <w:spacing w:val="5"/>
        </w:rPr>
        <w:t xml:space="preserve">primeiro </w:t>
      </w:r>
      <w:r>
        <w:rPr>
          <w:spacing w:val="3"/>
        </w:rPr>
        <w:t xml:space="preserve">TAC </w:t>
      </w:r>
      <w:r>
        <w:rPr>
          <w:spacing w:val="5"/>
        </w:rPr>
        <w:t xml:space="preserve">expirou </w:t>
      </w:r>
      <w:r>
        <w:rPr>
          <w:spacing w:val="2"/>
        </w:rPr>
        <w:t xml:space="preserve">em 29 de </w:t>
      </w:r>
      <w:r>
        <w:rPr>
          <w:spacing w:val="5"/>
        </w:rPr>
        <w:t xml:space="preserve">agosto </w:t>
      </w:r>
      <w:r>
        <w:rPr>
          <w:spacing w:val="2"/>
        </w:rPr>
        <w:t xml:space="preserve">de </w:t>
      </w:r>
      <w:r>
        <w:rPr>
          <w:spacing w:val="3"/>
        </w:rPr>
        <w:t xml:space="preserve">2005 </w:t>
      </w:r>
      <w:r>
        <w:t xml:space="preserve">e </w:t>
      </w:r>
      <w:r>
        <w:rPr>
          <w:spacing w:val="5"/>
        </w:rPr>
        <w:t xml:space="preserve">foi substituído </w:t>
      </w:r>
      <w:r>
        <w:rPr>
          <w:spacing w:val="3"/>
        </w:rPr>
        <w:t>po</w:t>
      </w:r>
      <w:r>
        <w:rPr>
          <w:spacing w:val="3"/>
        </w:rPr>
        <w:t xml:space="preserve">r </w:t>
      </w:r>
      <w:r>
        <w:rPr>
          <w:spacing w:val="2"/>
        </w:rPr>
        <w:t xml:space="preserve">um </w:t>
      </w:r>
      <w:r>
        <w:rPr>
          <w:spacing w:val="5"/>
        </w:rPr>
        <w:t xml:space="preserve">outro, celebrado </w:t>
      </w:r>
      <w:r>
        <w:rPr>
          <w:spacing w:val="2"/>
        </w:rPr>
        <w:t xml:space="preserve">em 21 de </w:t>
      </w:r>
      <w:r>
        <w:rPr>
          <w:spacing w:val="5"/>
        </w:rPr>
        <w:t xml:space="preserve">novembro </w:t>
      </w:r>
      <w:r>
        <w:rPr>
          <w:spacing w:val="7"/>
        </w:rPr>
        <w:t xml:space="preserve">daquele mesmo </w:t>
      </w:r>
      <w:r>
        <w:rPr>
          <w:spacing w:val="6"/>
        </w:rPr>
        <w:t xml:space="preserve">ano. </w:t>
      </w:r>
      <w:r>
        <w:rPr>
          <w:spacing w:val="7"/>
        </w:rPr>
        <w:t xml:space="preserve">Desta </w:t>
      </w:r>
      <w:r>
        <w:rPr>
          <w:spacing w:val="6"/>
        </w:rPr>
        <w:t xml:space="preserve">vez, </w:t>
      </w:r>
      <w:r>
        <w:rPr>
          <w:spacing w:val="5"/>
        </w:rPr>
        <w:t xml:space="preserve">13 </w:t>
      </w:r>
      <w:r>
        <w:rPr>
          <w:spacing w:val="8"/>
        </w:rPr>
        <w:t xml:space="preserve">pedreiras, </w:t>
      </w:r>
      <w:r>
        <w:rPr>
          <w:spacing w:val="5"/>
        </w:rPr>
        <w:t xml:space="preserve">das </w:t>
      </w:r>
      <w:r>
        <w:rPr>
          <w:spacing w:val="10"/>
        </w:rPr>
        <w:t xml:space="preserve">17 </w:t>
      </w:r>
      <w:r>
        <w:t>autuadas, e mais oito não autuadas, que aderiram na última hora, assinaram a segunda versão do documento. O termo estabelecia objetivos para curto, médio e longo pra</w:t>
      </w:r>
      <w:r>
        <w:t xml:space="preserve">zos. Os compromitentes deveriam providenciar, até 21 de novembro </w:t>
      </w:r>
      <w:r>
        <w:rPr>
          <w:spacing w:val="2"/>
        </w:rPr>
        <w:t xml:space="preserve">de </w:t>
      </w:r>
      <w:r>
        <w:rPr>
          <w:spacing w:val="3"/>
        </w:rPr>
        <w:t xml:space="preserve">2010, </w:t>
      </w:r>
      <w:r>
        <w:rPr>
          <w:spacing w:val="5"/>
        </w:rPr>
        <w:t xml:space="preserve">licenciamento ambiental </w:t>
      </w:r>
      <w:r>
        <w:t xml:space="preserve">e </w:t>
      </w:r>
      <w:r>
        <w:rPr>
          <w:spacing w:val="5"/>
        </w:rPr>
        <w:t xml:space="preserve">mineral, projetos de </w:t>
      </w:r>
      <w:r>
        <w:rPr>
          <w:spacing w:val="3"/>
        </w:rPr>
        <w:t xml:space="preserve">recuperação </w:t>
      </w:r>
      <w:r>
        <w:rPr>
          <w:spacing w:val="1"/>
        </w:rPr>
        <w:t xml:space="preserve">de </w:t>
      </w:r>
      <w:r>
        <w:rPr>
          <w:spacing w:val="3"/>
        </w:rPr>
        <w:t xml:space="preserve">áreas degradadas, tratamento </w:t>
      </w:r>
      <w:r>
        <w:rPr>
          <w:spacing w:val="1"/>
        </w:rPr>
        <w:t xml:space="preserve">do </w:t>
      </w:r>
      <w:r>
        <w:rPr>
          <w:spacing w:val="5"/>
        </w:rPr>
        <w:t xml:space="preserve">passivo </w:t>
      </w:r>
      <w:r>
        <w:rPr>
          <w:spacing w:val="1"/>
        </w:rPr>
        <w:t xml:space="preserve">ambiental, definição </w:t>
      </w:r>
      <w:r>
        <w:t xml:space="preserve">do </w:t>
      </w:r>
      <w:r>
        <w:rPr>
          <w:spacing w:val="1"/>
        </w:rPr>
        <w:t xml:space="preserve">método </w:t>
      </w:r>
      <w:r>
        <w:t xml:space="preserve">de </w:t>
      </w:r>
      <w:r>
        <w:rPr>
          <w:spacing w:val="1"/>
        </w:rPr>
        <w:t xml:space="preserve">lavra, identificação </w:t>
      </w:r>
      <w:r>
        <w:rPr>
          <w:spacing w:val="2"/>
        </w:rPr>
        <w:t xml:space="preserve">dos </w:t>
      </w:r>
      <w:r>
        <w:rPr>
          <w:spacing w:val="3"/>
        </w:rPr>
        <w:t xml:space="preserve">meios </w:t>
      </w:r>
      <w:r>
        <w:rPr>
          <w:spacing w:val="5"/>
        </w:rPr>
        <w:t xml:space="preserve">físico </w:t>
      </w:r>
      <w:r>
        <w:t xml:space="preserve">e </w:t>
      </w:r>
      <w:r>
        <w:rPr>
          <w:spacing w:val="5"/>
        </w:rPr>
        <w:t>biótic</w:t>
      </w:r>
      <w:r>
        <w:rPr>
          <w:spacing w:val="5"/>
        </w:rPr>
        <w:t xml:space="preserve">o, </w:t>
      </w:r>
      <w:r>
        <w:rPr>
          <w:spacing w:val="3"/>
        </w:rPr>
        <w:t xml:space="preserve">entre </w:t>
      </w:r>
      <w:r>
        <w:rPr>
          <w:spacing w:val="5"/>
        </w:rPr>
        <w:t>outras medidas (CREA-GO, 2009).</w:t>
      </w:r>
    </w:p>
    <w:p w:rsidR="00D81F69" w:rsidRDefault="00330118">
      <w:pPr>
        <w:pStyle w:val="Corpodetexto"/>
        <w:spacing w:before="141" w:line="312" w:lineRule="auto"/>
        <w:ind w:right="56"/>
      </w:pPr>
      <w:r>
        <w:t>Os signatários também precisariam entregar, dentro de um ano, relatórios individualizados e um relatório final das atividades para assinatura de um novo TAC. Esse processo seria repetido a cada três anos até a exaus</w:t>
      </w:r>
      <w:r>
        <w:t>tão das lavras e recuperação das áreas devastadas. Segundo a promotoria, os compromitentes estão buscando adequar-se aos preceitos legais (CREA-GO, 2009).</w:t>
      </w:r>
    </w:p>
    <w:p w:rsidR="00D81F69" w:rsidRDefault="00330118">
      <w:pPr>
        <w:pStyle w:val="Corpodetexto"/>
        <w:spacing w:before="137" w:line="312" w:lineRule="auto"/>
        <w:ind w:right="58"/>
      </w:pPr>
      <w:r>
        <w:t>Visando à adequação ambiental, Pirenópolis vai receber recursos da ordem de R$ 240 mil, repassados pela Secretaria de Desenvolvimento do Centro Oeste (SCO), do Ministério da Integração Nacional, para elaborar estudos no meio biótico onde está a pedreira (J</w:t>
      </w:r>
      <w:r>
        <w:t>USBRASIL, 2010).</w:t>
      </w:r>
    </w:p>
    <w:p w:rsidR="00D81F69" w:rsidRDefault="00330118">
      <w:pPr>
        <w:pStyle w:val="Corpodetexto"/>
        <w:spacing w:before="134" w:line="312" w:lineRule="auto"/>
        <w:ind w:right="57"/>
      </w:pPr>
      <w:r>
        <w:t>Uma outra variável tida como vital para consolidação e desenvolvimento do APL de Quartzito de Pirenópolis é a organização e a profissionalização de sua capacidade de gestão. A maioria dos produtores encontra-se aglutinada na Amop, seja dir</w:t>
      </w:r>
      <w:r>
        <w:t>etamente, no caso dos empresários, ou através da Cooperativa de Pedras de Pirenópolis (Coopepi). A prática de vendas conjuntas e a busca de solução para os problemas coletivos (cumprimento do TAC, desenvolvimento de novos produtos, busca de novos mercados)</w:t>
      </w:r>
      <w:r>
        <w:t xml:space="preserve"> já vêm ocorrendo (MDIC, 2006).</w:t>
      </w:r>
    </w:p>
    <w:p w:rsidR="00D81F69" w:rsidRDefault="00330118">
      <w:pPr>
        <w:pStyle w:val="Corpodetexto"/>
        <w:spacing w:before="5"/>
        <w:ind w:left="0"/>
        <w:jc w:val="left"/>
        <w:rPr>
          <w:sz w:val="24"/>
        </w:rPr>
      </w:pPr>
      <w:r>
        <w:br w:type="column"/>
      </w:r>
    </w:p>
    <w:p w:rsidR="00D81F69" w:rsidRDefault="00330118">
      <w:pPr>
        <w:pStyle w:val="Corpodetexto"/>
        <w:spacing w:line="312" w:lineRule="auto"/>
        <w:ind w:right="206"/>
      </w:pPr>
      <w:r>
        <w:rPr>
          <w:spacing w:val="3"/>
        </w:rPr>
        <w:t xml:space="preserve">Vários estudos estão sendo desenvolvidos </w:t>
      </w:r>
      <w:r>
        <w:rPr>
          <w:spacing w:val="2"/>
        </w:rPr>
        <w:t xml:space="preserve">para </w:t>
      </w:r>
      <w:r>
        <w:rPr>
          <w:spacing w:val="5"/>
        </w:rPr>
        <w:t xml:space="preserve">encontrar </w:t>
      </w:r>
      <w:r>
        <w:t xml:space="preserve">soluções tecnológicas para os rejeitos. Um deles, realizado </w:t>
      </w:r>
      <w:r>
        <w:rPr>
          <w:spacing w:val="3"/>
        </w:rPr>
        <w:t xml:space="preserve">em </w:t>
      </w:r>
      <w:r>
        <w:rPr>
          <w:spacing w:val="5"/>
        </w:rPr>
        <w:t xml:space="preserve">2011, </w:t>
      </w:r>
      <w:r>
        <w:rPr>
          <w:spacing w:val="6"/>
        </w:rPr>
        <w:t xml:space="preserve">submeteu amostras </w:t>
      </w:r>
      <w:r>
        <w:rPr>
          <w:spacing w:val="3"/>
        </w:rPr>
        <w:t xml:space="preserve">de </w:t>
      </w:r>
      <w:r>
        <w:rPr>
          <w:spacing w:val="5"/>
        </w:rPr>
        <w:t xml:space="preserve">rejeito </w:t>
      </w:r>
      <w:r>
        <w:rPr>
          <w:spacing w:val="3"/>
        </w:rPr>
        <w:t xml:space="preserve">de </w:t>
      </w:r>
      <w:r>
        <w:rPr>
          <w:spacing w:val="6"/>
        </w:rPr>
        <w:t xml:space="preserve">quartzito </w:t>
      </w:r>
      <w:r>
        <w:t>à britagem e à moagem visando analisar a viabilidade té</w:t>
      </w:r>
      <w:r>
        <w:t xml:space="preserve">cnica e econômica de se cominuir o material mais grosseiro gerando </w:t>
      </w:r>
      <w:r>
        <w:rPr>
          <w:spacing w:val="3"/>
        </w:rPr>
        <w:t xml:space="preserve">um </w:t>
      </w:r>
      <w:r>
        <w:rPr>
          <w:spacing w:val="5"/>
        </w:rPr>
        <w:t xml:space="preserve">produto </w:t>
      </w:r>
      <w:r>
        <w:rPr>
          <w:spacing w:val="6"/>
        </w:rPr>
        <w:t xml:space="preserve">aplicável </w:t>
      </w:r>
      <w:r>
        <w:rPr>
          <w:spacing w:val="3"/>
        </w:rPr>
        <w:t xml:space="preserve">na </w:t>
      </w:r>
      <w:r>
        <w:rPr>
          <w:spacing w:val="6"/>
        </w:rPr>
        <w:t xml:space="preserve">produção </w:t>
      </w:r>
      <w:r>
        <w:rPr>
          <w:spacing w:val="3"/>
        </w:rPr>
        <w:t xml:space="preserve">de </w:t>
      </w:r>
      <w:r>
        <w:rPr>
          <w:spacing w:val="6"/>
        </w:rPr>
        <w:t xml:space="preserve">pré-moldados </w:t>
      </w:r>
      <w:r>
        <w:rPr>
          <w:spacing w:val="7"/>
        </w:rPr>
        <w:t xml:space="preserve">de </w:t>
      </w:r>
      <w:r>
        <w:rPr>
          <w:spacing w:val="6"/>
        </w:rPr>
        <w:t xml:space="preserve">concreto </w:t>
      </w:r>
      <w:r>
        <w:t xml:space="preserve">e </w:t>
      </w:r>
      <w:r>
        <w:rPr>
          <w:spacing w:val="6"/>
        </w:rPr>
        <w:t xml:space="preserve">argamassas industrializadas. </w:t>
      </w:r>
      <w:r>
        <w:rPr>
          <w:spacing w:val="3"/>
        </w:rPr>
        <w:t xml:space="preserve">Os </w:t>
      </w:r>
      <w:r>
        <w:rPr>
          <w:spacing w:val="7"/>
        </w:rPr>
        <w:t xml:space="preserve">resultados </w:t>
      </w:r>
      <w:r>
        <w:t xml:space="preserve">indicaram possibilidade de o rejeito ser utilizado em camadas </w:t>
      </w:r>
      <w:r>
        <w:rPr>
          <w:spacing w:val="5"/>
        </w:rPr>
        <w:t xml:space="preserve">de </w:t>
      </w:r>
      <w:r>
        <w:rPr>
          <w:spacing w:val="6"/>
        </w:rPr>
        <w:t xml:space="preserve">base para </w:t>
      </w:r>
      <w:r>
        <w:rPr>
          <w:spacing w:val="8"/>
        </w:rPr>
        <w:t xml:space="preserve">pavimentação </w:t>
      </w:r>
      <w:r>
        <w:t xml:space="preserve">e </w:t>
      </w:r>
      <w:r>
        <w:rPr>
          <w:spacing w:val="7"/>
        </w:rPr>
        <w:t xml:space="preserve">também aplicado </w:t>
      </w:r>
      <w:r>
        <w:rPr>
          <w:spacing w:val="10"/>
        </w:rPr>
        <w:t xml:space="preserve">como </w:t>
      </w:r>
      <w:r>
        <w:t xml:space="preserve">agregado para argamassas industrializadas e para produção </w:t>
      </w:r>
      <w:r>
        <w:rPr>
          <w:spacing w:val="5"/>
        </w:rPr>
        <w:t xml:space="preserve">de </w:t>
      </w:r>
      <w:r>
        <w:rPr>
          <w:spacing w:val="8"/>
        </w:rPr>
        <w:t xml:space="preserve">pré-moldados </w:t>
      </w:r>
      <w:r>
        <w:rPr>
          <w:spacing w:val="5"/>
        </w:rPr>
        <w:t xml:space="preserve">com </w:t>
      </w:r>
      <w:r>
        <w:rPr>
          <w:spacing w:val="7"/>
        </w:rPr>
        <w:t xml:space="preserve">variadas faixas </w:t>
      </w:r>
      <w:r>
        <w:rPr>
          <w:spacing w:val="5"/>
        </w:rPr>
        <w:t xml:space="preserve">de </w:t>
      </w:r>
      <w:r>
        <w:rPr>
          <w:spacing w:val="8"/>
        </w:rPr>
        <w:t xml:space="preserve">resistência </w:t>
      </w:r>
      <w:r>
        <w:t xml:space="preserve">à </w:t>
      </w:r>
      <w:r>
        <w:rPr>
          <w:spacing w:val="8"/>
        </w:rPr>
        <w:t>compressão</w:t>
      </w:r>
      <w:r>
        <w:rPr>
          <w:spacing w:val="45"/>
        </w:rPr>
        <w:t xml:space="preserve"> </w:t>
      </w:r>
      <w:r>
        <w:t>e</w:t>
      </w:r>
      <w:r>
        <w:rPr>
          <w:spacing w:val="45"/>
        </w:rPr>
        <w:t xml:space="preserve"> </w:t>
      </w:r>
      <w:r>
        <w:rPr>
          <w:spacing w:val="8"/>
        </w:rPr>
        <w:t>diferentes</w:t>
      </w:r>
      <w:r>
        <w:rPr>
          <w:spacing w:val="45"/>
        </w:rPr>
        <w:t xml:space="preserve"> </w:t>
      </w:r>
      <w:r>
        <w:rPr>
          <w:spacing w:val="8"/>
        </w:rPr>
        <w:t>aplicações</w:t>
      </w:r>
      <w:r>
        <w:rPr>
          <w:spacing w:val="45"/>
        </w:rPr>
        <w:t xml:space="preserve"> </w:t>
      </w:r>
      <w:r>
        <w:rPr>
          <w:spacing w:val="7"/>
        </w:rPr>
        <w:t>(RUSSO,</w:t>
      </w:r>
      <w:r>
        <w:rPr>
          <w:spacing w:val="45"/>
        </w:rPr>
        <w:t xml:space="preserve"> </w:t>
      </w:r>
      <w:r>
        <w:rPr>
          <w:spacing w:val="10"/>
        </w:rPr>
        <w:t>2011).</w:t>
      </w:r>
    </w:p>
    <w:p w:rsidR="00D81F69" w:rsidRDefault="00330118">
      <w:pPr>
        <w:pStyle w:val="Corpodetexto"/>
        <w:spacing w:before="141" w:line="312" w:lineRule="auto"/>
        <w:ind w:right="191"/>
      </w:pPr>
      <w:r>
        <w:t>Com isso, será possível minorar os impactos ambientais, com</w:t>
      </w:r>
      <w:r>
        <w:t xml:space="preserve"> preservação de rios e nascentes e de áreas verdes; reduzir a poluição atmosférica e visual; além evitar que empresas sejam fechadas por questões ambientais (RUSSO, 2011).</w:t>
      </w:r>
    </w:p>
    <w:p w:rsidR="00D81F69" w:rsidRDefault="00D81F69">
      <w:pPr>
        <w:pStyle w:val="Corpodetexto"/>
        <w:spacing w:before="3"/>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214"/>
      </w:pPr>
      <w:r>
        <w:t>As minas de Pirenópolis estão localizadas na sub-bacia do ri</w:t>
      </w:r>
      <w:r>
        <w:t>o das Almas, que deságua no rio Tocantins, com exceção da mina Faz Campina de Ibitinga que pertence a sub-bacia do rio Corumbá, afluente do rio Paraná. Estão compreendidas entre as latitudes 15°44’24”S – 15°57’38”S e longitudes 48°51’38”W</w:t>
      </w:r>
    </w:p>
    <w:p w:rsidR="00D81F69" w:rsidRDefault="00330118">
      <w:pPr>
        <w:pStyle w:val="Corpodetexto"/>
        <w:spacing w:before="5"/>
      </w:pPr>
      <w:r>
        <w:t>– 49°10’20”W.</w:t>
      </w:r>
    </w:p>
    <w:p w:rsidR="00D81F69" w:rsidRDefault="00D81F69">
      <w:pPr>
        <w:pStyle w:val="Corpodetexto"/>
        <w:ind w:left="0"/>
        <w:jc w:val="left"/>
        <w:rPr>
          <w:sz w:val="20"/>
        </w:rPr>
      </w:pPr>
    </w:p>
    <w:p w:rsidR="00D81F69" w:rsidRDefault="00330118">
      <w:pPr>
        <w:pStyle w:val="Heading7"/>
        <w:spacing w:before="164"/>
      </w:pPr>
      <w:r>
        <w:t>RE</w:t>
      </w:r>
      <w:r>
        <w:t>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198"/>
        <w:jc w:val="both"/>
        <w:rPr>
          <w:sz w:val="16"/>
        </w:rPr>
      </w:pPr>
      <w:r>
        <w:rPr>
          <w:sz w:val="16"/>
        </w:rPr>
        <w:t>BARROS, Tércio Pina de; NETO, F. Yusley; JORGE, Edson Cabral; CUBA, Ellas Antônio. Difusão de tecnologia mineral para aproveitamento dos rejeitos granulados de lavra de quartzito ornamental</w:t>
      </w:r>
      <w:r>
        <w:rPr>
          <w:sz w:val="16"/>
        </w:rPr>
        <w:t xml:space="preserve"> na região de Pirenópolis - GO, fev. 2002. Disponível em:</w:t>
      </w:r>
    </w:p>
    <w:p w:rsidR="00D81F69" w:rsidRDefault="00D81F69">
      <w:pPr>
        <w:spacing w:before="3" w:line="312" w:lineRule="auto"/>
        <w:ind w:left="100" w:right="216"/>
        <w:jc w:val="both"/>
        <w:rPr>
          <w:sz w:val="16"/>
        </w:rPr>
      </w:pPr>
      <w:hyperlink r:id="rId943">
        <w:r w:rsidR="00330118">
          <w:rPr>
            <w:sz w:val="16"/>
          </w:rPr>
          <w:t>&lt;http://www.lapig.iesa.ufg.br/sgm/publicacoes/diag_aval/aprov_rejeito</w:t>
        </w:r>
      </w:hyperlink>
      <w:r w:rsidR="00330118">
        <w:rPr>
          <w:sz w:val="16"/>
        </w:rPr>
        <w:t xml:space="preserve"> s.pdf&gt;. Acesso em: 29 set. 2010.</w:t>
      </w:r>
    </w:p>
    <w:p w:rsidR="00D81F69" w:rsidRDefault="00330118">
      <w:pPr>
        <w:spacing w:before="2" w:line="312" w:lineRule="auto"/>
        <w:ind w:left="100" w:right="196"/>
        <w:jc w:val="both"/>
        <w:rPr>
          <w:sz w:val="16"/>
        </w:rPr>
      </w:pPr>
      <w:r>
        <w:rPr>
          <w:sz w:val="16"/>
        </w:rPr>
        <w:t>CAMPOS, Antônio Rodrigues de; SILVA, Marco Antônio Rezende. Assistência técnica na explotação de quartzito em Pirenópolis (GO). IV Simpósio de Rochas Ornamentais do Nordeste, Fortaleza (CE),</w:t>
      </w:r>
      <w:r>
        <w:rPr>
          <w:spacing w:val="16"/>
          <w:sz w:val="16"/>
        </w:rPr>
        <w:t xml:space="preserve"> </w:t>
      </w:r>
      <w:r>
        <w:rPr>
          <w:sz w:val="16"/>
        </w:rPr>
        <w:t>16</w:t>
      </w:r>
    </w:p>
    <w:p w:rsidR="00D81F69" w:rsidRDefault="00330118">
      <w:pPr>
        <w:spacing w:before="2"/>
        <w:ind w:left="100"/>
        <w:jc w:val="both"/>
        <w:rPr>
          <w:sz w:val="16"/>
        </w:rPr>
      </w:pPr>
      <w:r>
        <w:rPr>
          <w:sz w:val="16"/>
        </w:rPr>
        <w:t xml:space="preserve">-   19   nov.   2003.  CETEM,  nov.   2003.  Disponível em: </w:t>
      </w:r>
    </w:p>
    <w:p w:rsidR="00D81F69" w:rsidRDefault="00D81F69">
      <w:pPr>
        <w:spacing w:before="56" w:line="312" w:lineRule="auto"/>
        <w:ind w:left="100" w:right="212"/>
        <w:jc w:val="both"/>
        <w:rPr>
          <w:sz w:val="16"/>
        </w:rPr>
      </w:pPr>
      <w:hyperlink r:id="rId944">
        <w:r w:rsidR="00330118">
          <w:rPr>
            <w:sz w:val="16"/>
          </w:rPr>
          <w:t xml:space="preserve">&lt;www.cetem.gov.br/publicacao/CTs/CT2003-070-00.pdf&gt;. </w:t>
        </w:r>
      </w:hyperlink>
      <w:r w:rsidR="00330118">
        <w:rPr>
          <w:sz w:val="16"/>
        </w:rPr>
        <w:t>Acesso em: 15 ago. 2012.</w:t>
      </w:r>
    </w:p>
    <w:p w:rsidR="00D81F69" w:rsidRDefault="00330118">
      <w:pPr>
        <w:spacing w:before="2" w:line="312" w:lineRule="auto"/>
        <w:ind w:left="100" w:right="175"/>
        <w:jc w:val="both"/>
        <w:rPr>
          <w:sz w:val="16"/>
        </w:rPr>
      </w:pPr>
      <w:r>
        <w:rPr>
          <w:sz w:val="16"/>
        </w:rPr>
        <w:t>CONCEIÇÃO, Luana Fantinatti da; COSTA, Carolina Ferreira da; COSTA, Marcelo Barbosa; NASCIMENTO, Diego Ta</w:t>
      </w:r>
      <w:r>
        <w:rPr>
          <w:sz w:val="16"/>
        </w:rPr>
        <w:t>rley do; Oliveira; Ivanilton José de. Geologia e turismo: potencialidades para a geoconservação e a promoção do geoturismo no município de Pirenópolis-GO. Ateliê Geográfico, revista eletrônica, v. 3, n 8, p. 74- 91,   UFG-IESA.   Goiânia,   dez   2009.   D</w:t>
      </w:r>
      <w:r>
        <w:rPr>
          <w:sz w:val="16"/>
        </w:rPr>
        <w:t xml:space="preserve">isponível em: </w:t>
      </w:r>
    </w:p>
    <w:p w:rsidR="00D81F69" w:rsidRDefault="00D81F69">
      <w:pPr>
        <w:spacing w:before="5"/>
        <w:ind w:left="100"/>
        <w:jc w:val="both"/>
        <w:rPr>
          <w:sz w:val="16"/>
        </w:rPr>
      </w:pPr>
      <w:hyperlink r:id="rId945">
        <w:r w:rsidR="00330118">
          <w:rPr>
            <w:sz w:val="16"/>
          </w:rPr>
          <w:t>&lt;http://www.revistas.ufg.br/index.php/atelie/article/viewFile/8587/6107</w:t>
        </w:r>
      </w:hyperlink>
    </w:p>
    <w:p w:rsidR="00D81F69" w:rsidRDefault="00330118">
      <w:pPr>
        <w:spacing w:before="56"/>
        <w:ind w:left="100"/>
        <w:jc w:val="both"/>
        <w:rPr>
          <w:sz w:val="16"/>
        </w:rPr>
      </w:pPr>
      <w:r>
        <w:rPr>
          <w:sz w:val="16"/>
        </w:rPr>
        <w:t>&gt;. Acesso em: 30 set. 2010.</w:t>
      </w:r>
    </w:p>
    <w:p w:rsidR="00D81F69" w:rsidRDefault="00330118">
      <w:pPr>
        <w:tabs>
          <w:tab w:val="left" w:pos="1879"/>
          <w:tab w:val="left" w:pos="2666"/>
        </w:tabs>
        <w:spacing w:before="56" w:line="312" w:lineRule="auto"/>
        <w:ind w:left="100" w:right="159"/>
        <w:rPr>
          <w:sz w:val="16"/>
        </w:rPr>
      </w:pPr>
      <w:r>
        <w:rPr>
          <w:spacing w:val="7"/>
          <w:sz w:val="16"/>
        </w:rPr>
        <w:t xml:space="preserve">CREA-GO, Conselho Regional </w:t>
      </w:r>
      <w:r>
        <w:rPr>
          <w:spacing w:val="5"/>
          <w:sz w:val="16"/>
        </w:rPr>
        <w:t xml:space="preserve">de </w:t>
      </w:r>
      <w:r>
        <w:rPr>
          <w:spacing w:val="8"/>
          <w:sz w:val="16"/>
        </w:rPr>
        <w:t xml:space="preserve">Engenharia, Arquitetura </w:t>
      </w:r>
      <w:r>
        <w:rPr>
          <w:sz w:val="16"/>
        </w:rPr>
        <w:t xml:space="preserve">e </w:t>
      </w:r>
      <w:r>
        <w:rPr>
          <w:spacing w:val="3"/>
          <w:sz w:val="16"/>
        </w:rPr>
        <w:t xml:space="preserve">Agronomia </w:t>
      </w:r>
      <w:r>
        <w:rPr>
          <w:spacing w:val="1"/>
          <w:sz w:val="16"/>
        </w:rPr>
        <w:t xml:space="preserve">de </w:t>
      </w:r>
      <w:r>
        <w:rPr>
          <w:spacing w:val="3"/>
          <w:sz w:val="16"/>
        </w:rPr>
        <w:t xml:space="preserve">Goiás. </w:t>
      </w:r>
      <w:r>
        <w:rPr>
          <w:spacing w:val="2"/>
          <w:sz w:val="16"/>
        </w:rPr>
        <w:t xml:space="preserve">Meio </w:t>
      </w:r>
      <w:r>
        <w:rPr>
          <w:spacing w:val="3"/>
          <w:sz w:val="16"/>
        </w:rPr>
        <w:t xml:space="preserve">Ambiente. Prazo quase esgotado. </w:t>
      </w:r>
      <w:r>
        <w:rPr>
          <w:spacing w:val="5"/>
          <w:sz w:val="16"/>
        </w:rPr>
        <w:t xml:space="preserve">In: </w:t>
      </w:r>
      <w:r>
        <w:rPr>
          <w:sz w:val="16"/>
        </w:rPr>
        <w:t xml:space="preserve">Revista do CREA-GO, Goiânia, ano IV, n. 10, p. 28-29, nov. 2009.      </w:t>
      </w:r>
      <w:r>
        <w:rPr>
          <w:spacing w:val="26"/>
          <w:sz w:val="16"/>
        </w:rPr>
        <w:t>D</w:t>
      </w:r>
      <w:r>
        <w:rPr>
          <w:sz w:val="16"/>
        </w:rPr>
        <w:t xml:space="preserve"> </w:t>
      </w:r>
      <w:r>
        <w:rPr>
          <w:spacing w:val="26"/>
          <w:sz w:val="16"/>
        </w:rPr>
        <w:t>i</w:t>
      </w:r>
      <w:r>
        <w:rPr>
          <w:sz w:val="16"/>
        </w:rPr>
        <w:t xml:space="preserve"> </w:t>
      </w:r>
      <w:r>
        <w:rPr>
          <w:spacing w:val="26"/>
          <w:sz w:val="16"/>
        </w:rPr>
        <w:t>s</w:t>
      </w:r>
      <w:r>
        <w:rPr>
          <w:sz w:val="16"/>
        </w:rPr>
        <w:t xml:space="preserve"> </w:t>
      </w:r>
      <w:r>
        <w:rPr>
          <w:spacing w:val="26"/>
          <w:sz w:val="16"/>
        </w:rPr>
        <w:t>p</w:t>
      </w:r>
      <w:r>
        <w:rPr>
          <w:sz w:val="16"/>
        </w:rPr>
        <w:t xml:space="preserve"> </w:t>
      </w:r>
      <w:r>
        <w:rPr>
          <w:spacing w:val="26"/>
          <w:sz w:val="16"/>
        </w:rPr>
        <w:t>o</w:t>
      </w:r>
      <w:r>
        <w:rPr>
          <w:sz w:val="16"/>
        </w:rPr>
        <w:t xml:space="preserve"> </w:t>
      </w:r>
      <w:r>
        <w:rPr>
          <w:spacing w:val="26"/>
          <w:sz w:val="16"/>
        </w:rPr>
        <w:t>n</w:t>
      </w:r>
      <w:r>
        <w:rPr>
          <w:sz w:val="16"/>
        </w:rPr>
        <w:t xml:space="preserve"> </w:t>
      </w:r>
      <w:r>
        <w:rPr>
          <w:spacing w:val="26"/>
          <w:sz w:val="16"/>
        </w:rPr>
        <w:t>í</w:t>
      </w:r>
      <w:r>
        <w:rPr>
          <w:sz w:val="16"/>
        </w:rPr>
        <w:t xml:space="preserve"> </w:t>
      </w:r>
      <w:r>
        <w:rPr>
          <w:spacing w:val="26"/>
          <w:sz w:val="16"/>
        </w:rPr>
        <w:t>v</w:t>
      </w:r>
      <w:r>
        <w:rPr>
          <w:sz w:val="16"/>
        </w:rPr>
        <w:t xml:space="preserve"> </w:t>
      </w:r>
      <w:r>
        <w:rPr>
          <w:spacing w:val="26"/>
          <w:sz w:val="16"/>
        </w:rPr>
        <w:t>e</w:t>
      </w:r>
      <w:r>
        <w:rPr>
          <w:sz w:val="16"/>
        </w:rPr>
        <w:t xml:space="preserve"> l</w:t>
      </w:r>
      <w:r>
        <w:rPr>
          <w:sz w:val="16"/>
        </w:rPr>
        <w:tab/>
      </w:r>
      <w:r>
        <w:rPr>
          <w:spacing w:val="26"/>
          <w:sz w:val="16"/>
        </w:rPr>
        <w:t>e</w:t>
      </w:r>
      <w:r>
        <w:rPr>
          <w:sz w:val="16"/>
        </w:rPr>
        <w:t xml:space="preserve"> </w:t>
      </w:r>
      <w:r>
        <w:rPr>
          <w:spacing w:val="26"/>
          <w:sz w:val="16"/>
        </w:rPr>
        <w:t>m</w:t>
      </w:r>
      <w:r>
        <w:rPr>
          <w:sz w:val="16"/>
        </w:rPr>
        <w:t xml:space="preserve"> :</w:t>
      </w:r>
      <w:r>
        <w:rPr>
          <w:sz w:val="16"/>
        </w:rPr>
        <w:tab/>
      </w:r>
      <w:r>
        <w:rPr>
          <w:spacing w:val="26"/>
          <w:sz w:val="16"/>
        </w:rPr>
        <w:t>&lt;</w:t>
      </w:r>
      <w:r>
        <w:rPr>
          <w:sz w:val="16"/>
        </w:rPr>
        <w:t xml:space="preserve"> </w:t>
      </w:r>
      <w:r>
        <w:rPr>
          <w:spacing w:val="26"/>
          <w:sz w:val="16"/>
        </w:rPr>
        <w:t>h</w:t>
      </w:r>
      <w:r>
        <w:rPr>
          <w:sz w:val="16"/>
        </w:rPr>
        <w:t xml:space="preserve"> </w:t>
      </w:r>
      <w:r>
        <w:rPr>
          <w:spacing w:val="26"/>
          <w:sz w:val="16"/>
        </w:rPr>
        <w:t>t</w:t>
      </w:r>
      <w:r>
        <w:rPr>
          <w:sz w:val="16"/>
        </w:rPr>
        <w:t xml:space="preserve"> </w:t>
      </w:r>
      <w:r>
        <w:rPr>
          <w:spacing w:val="26"/>
          <w:sz w:val="16"/>
        </w:rPr>
        <w:t>t</w:t>
      </w:r>
      <w:r>
        <w:rPr>
          <w:sz w:val="16"/>
        </w:rPr>
        <w:t xml:space="preserve"> </w:t>
      </w:r>
      <w:r>
        <w:rPr>
          <w:spacing w:val="26"/>
          <w:sz w:val="16"/>
        </w:rPr>
        <w:t>p</w:t>
      </w:r>
      <w:r>
        <w:rPr>
          <w:sz w:val="16"/>
        </w:rPr>
        <w:t xml:space="preserve"> </w:t>
      </w:r>
      <w:r>
        <w:rPr>
          <w:spacing w:val="26"/>
          <w:sz w:val="16"/>
        </w:rPr>
        <w:t>:</w:t>
      </w:r>
      <w:r>
        <w:rPr>
          <w:sz w:val="16"/>
        </w:rPr>
        <w:t xml:space="preserve"> </w:t>
      </w:r>
      <w:r>
        <w:rPr>
          <w:spacing w:val="26"/>
          <w:sz w:val="16"/>
        </w:rPr>
        <w:t>/</w:t>
      </w:r>
      <w:r>
        <w:rPr>
          <w:sz w:val="16"/>
        </w:rPr>
        <w:t xml:space="preserve"> </w:t>
      </w:r>
      <w:r>
        <w:rPr>
          <w:spacing w:val="26"/>
          <w:sz w:val="16"/>
        </w:rPr>
        <w:t>/</w:t>
      </w:r>
      <w:r>
        <w:rPr>
          <w:sz w:val="16"/>
        </w:rPr>
        <w:t xml:space="preserve"> </w:t>
      </w:r>
      <w:r>
        <w:rPr>
          <w:spacing w:val="26"/>
          <w:sz w:val="16"/>
        </w:rPr>
        <w:t>w</w:t>
      </w:r>
      <w:r>
        <w:rPr>
          <w:sz w:val="16"/>
        </w:rPr>
        <w:t xml:space="preserve"> </w:t>
      </w:r>
      <w:r>
        <w:rPr>
          <w:spacing w:val="26"/>
          <w:sz w:val="16"/>
        </w:rPr>
        <w:t>w</w:t>
      </w:r>
      <w:r>
        <w:rPr>
          <w:sz w:val="16"/>
        </w:rPr>
        <w:t xml:space="preserve"> </w:t>
      </w:r>
      <w:r>
        <w:rPr>
          <w:spacing w:val="26"/>
          <w:sz w:val="16"/>
        </w:rPr>
        <w:t>w</w:t>
      </w:r>
      <w:r>
        <w:rPr>
          <w:sz w:val="16"/>
        </w:rPr>
        <w:t xml:space="preserve"> </w:t>
      </w:r>
      <w:r>
        <w:rPr>
          <w:spacing w:val="26"/>
          <w:sz w:val="16"/>
        </w:rPr>
        <w:t>.</w:t>
      </w:r>
      <w:r>
        <w:rPr>
          <w:sz w:val="16"/>
        </w:rPr>
        <w:t xml:space="preserve"> </w:t>
      </w:r>
      <w:r>
        <w:rPr>
          <w:spacing w:val="26"/>
          <w:sz w:val="16"/>
        </w:rPr>
        <w:t>c</w:t>
      </w:r>
      <w:r>
        <w:rPr>
          <w:sz w:val="16"/>
        </w:rPr>
        <w:t xml:space="preserve"> </w:t>
      </w:r>
      <w:r>
        <w:rPr>
          <w:spacing w:val="26"/>
          <w:sz w:val="16"/>
        </w:rPr>
        <w:t>r</w:t>
      </w:r>
      <w:r>
        <w:rPr>
          <w:sz w:val="16"/>
        </w:rPr>
        <w:t xml:space="preserve"> </w:t>
      </w:r>
      <w:r>
        <w:rPr>
          <w:spacing w:val="26"/>
          <w:sz w:val="16"/>
        </w:rPr>
        <w:t>e</w:t>
      </w:r>
      <w:r>
        <w:rPr>
          <w:sz w:val="16"/>
        </w:rPr>
        <w:t xml:space="preserve"> </w:t>
      </w:r>
      <w:r>
        <w:rPr>
          <w:spacing w:val="26"/>
          <w:sz w:val="16"/>
        </w:rPr>
        <w:t>a</w:t>
      </w:r>
      <w:r>
        <w:rPr>
          <w:sz w:val="16"/>
        </w:rPr>
        <w:t xml:space="preserve"> - </w:t>
      </w:r>
      <w:r>
        <w:rPr>
          <w:spacing w:val="1"/>
          <w:sz w:val="16"/>
        </w:rPr>
        <w:t>go.org.br/site/arquivos/uploads/revista</w:t>
      </w:r>
      <w:r>
        <w:rPr>
          <w:spacing w:val="1"/>
          <w:sz w:val="16"/>
        </w:rPr>
        <w:t xml:space="preserve">crea10.pdf&gt;. Acesso </w:t>
      </w:r>
      <w:r>
        <w:rPr>
          <w:sz w:val="16"/>
        </w:rPr>
        <w:t xml:space="preserve">em: </w:t>
      </w:r>
      <w:r>
        <w:rPr>
          <w:spacing w:val="2"/>
          <w:sz w:val="16"/>
        </w:rPr>
        <w:t xml:space="preserve">29 </w:t>
      </w:r>
      <w:r>
        <w:rPr>
          <w:spacing w:val="1"/>
          <w:sz w:val="16"/>
        </w:rPr>
        <w:t>set.</w:t>
      </w:r>
      <w:r>
        <w:rPr>
          <w:spacing w:val="17"/>
          <w:sz w:val="16"/>
        </w:rPr>
        <w:t xml:space="preserve"> </w:t>
      </w:r>
      <w:r>
        <w:rPr>
          <w:spacing w:val="2"/>
          <w:sz w:val="16"/>
        </w:rPr>
        <w:t>2010.</w:t>
      </w:r>
    </w:p>
    <w:p w:rsidR="00D81F69" w:rsidRDefault="00330118">
      <w:pPr>
        <w:spacing w:before="5"/>
        <w:ind w:left="100"/>
        <w:jc w:val="both"/>
        <w:rPr>
          <w:sz w:val="16"/>
        </w:rPr>
      </w:pPr>
      <w:r>
        <w:rPr>
          <w:sz w:val="16"/>
        </w:rPr>
        <w:t>FALEIRO, Flávio Fernandes; LOPES, Luciana Maria. Aspectos da</w:t>
      </w:r>
    </w:p>
    <w:p w:rsidR="00D81F69" w:rsidRDefault="00D81F69">
      <w:pPr>
        <w:jc w:val="both"/>
        <w:rPr>
          <w:sz w:val="16"/>
        </w:rPr>
        <w:sectPr w:rsidR="00D81F69">
          <w:pgSz w:w="11900" w:h="16840"/>
          <w:pgMar w:top="740" w:right="500" w:bottom="720" w:left="620" w:header="0" w:footer="402" w:gutter="0"/>
          <w:cols w:num="2" w:space="720" w:equalWidth="0">
            <w:col w:w="5159" w:space="311"/>
            <w:col w:w="5310"/>
          </w:cols>
        </w:sectPr>
      </w:pPr>
    </w:p>
    <w:p w:rsidR="00D81F69" w:rsidRDefault="00330118">
      <w:pPr>
        <w:spacing w:before="70" w:line="312" w:lineRule="auto"/>
        <w:ind w:left="100" w:right="38"/>
        <w:jc w:val="both"/>
        <w:rPr>
          <w:sz w:val="16"/>
        </w:rPr>
      </w:pPr>
      <w:r>
        <w:rPr>
          <w:sz w:val="16"/>
        </w:rPr>
        <w:lastRenderedPageBreak/>
        <w:t>mineração e impactos da exploração de quartzito em Pirenópolis-GO. Ateliê Geográfico, revista eletrônica, v. 4, n 11, p. 148-162</w:t>
      </w:r>
      <w:r>
        <w:rPr>
          <w:sz w:val="16"/>
        </w:rPr>
        <w:t xml:space="preserve">, UFG – </w:t>
      </w:r>
      <w:r>
        <w:rPr>
          <w:spacing w:val="31"/>
          <w:sz w:val="16"/>
        </w:rPr>
        <w:t xml:space="preserve">IESA. </w:t>
      </w:r>
      <w:r>
        <w:rPr>
          <w:spacing w:val="35"/>
          <w:sz w:val="16"/>
        </w:rPr>
        <w:t xml:space="preserve">Goiânia, </w:t>
      </w:r>
      <w:r>
        <w:rPr>
          <w:spacing w:val="25"/>
          <w:sz w:val="16"/>
        </w:rPr>
        <w:t xml:space="preserve">ago </w:t>
      </w:r>
      <w:r>
        <w:rPr>
          <w:spacing w:val="31"/>
          <w:sz w:val="16"/>
        </w:rPr>
        <w:t xml:space="preserve">2010. </w:t>
      </w:r>
      <w:r>
        <w:rPr>
          <w:spacing w:val="35"/>
          <w:sz w:val="16"/>
        </w:rPr>
        <w:t xml:space="preserve">Disponível </w:t>
      </w:r>
      <w:r>
        <w:rPr>
          <w:spacing w:val="25"/>
          <w:sz w:val="16"/>
        </w:rPr>
        <w:t>em:</w:t>
      </w:r>
      <w:r>
        <w:rPr>
          <w:spacing w:val="-3"/>
          <w:sz w:val="16"/>
        </w:rPr>
        <w:t xml:space="preserve"> </w:t>
      </w:r>
    </w:p>
    <w:p w:rsidR="00D81F69" w:rsidRDefault="00D81F69">
      <w:pPr>
        <w:spacing w:before="2" w:line="312" w:lineRule="auto"/>
        <w:ind w:left="100" w:right="98"/>
        <w:jc w:val="both"/>
        <w:rPr>
          <w:sz w:val="16"/>
        </w:rPr>
      </w:pPr>
      <w:hyperlink r:id="rId946">
        <w:r w:rsidR="00330118">
          <w:rPr>
            <w:sz w:val="16"/>
          </w:rPr>
          <w:t>&lt;http://www.revistas.ufg.br/index.php/atelie/article/viewFile/11968/790</w:t>
        </w:r>
      </w:hyperlink>
      <w:r w:rsidR="00330118">
        <w:rPr>
          <w:sz w:val="16"/>
        </w:rPr>
        <w:t xml:space="preserve"> 9&gt;. Acesso em: 10 out. 2010.</w:t>
      </w:r>
    </w:p>
    <w:p w:rsidR="00D81F69" w:rsidRDefault="00330118">
      <w:pPr>
        <w:spacing w:before="2" w:line="312" w:lineRule="auto"/>
        <w:ind w:left="100" w:right="38"/>
        <w:jc w:val="both"/>
        <w:rPr>
          <w:sz w:val="16"/>
        </w:rPr>
      </w:pPr>
      <w:r>
        <w:rPr>
          <w:sz w:val="16"/>
        </w:rPr>
        <w:t>IBGE. Instituto Brasileiro de Geografia e Estatística. Pirenópolis (GO).  I n : I B G E C i d a d e s 2 0 1 0 . D i s p o n í v e l</w:t>
      </w:r>
      <w:r>
        <w:rPr>
          <w:spacing w:val="28"/>
          <w:sz w:val="16"/>
        </w:rPr>
        <w:t xml:space="preserve"> </w:t>
      </w:r>
      <w:r>
        <w:rPr>
          <w:sz w:val="16"/>
        </w:rPr>
        <w:t>e m :</w:t>
      </w:r>
      <w:r>
        <w:rPr>
          <w:sz w:val="16"/>
        </w:rPr>
        <w:t xml:space="preserve"> </w:t>
      </w:r>
    </w:p>
    <w:p w:rsidR="00D81F69" w:rsidRDefault="00D81F69">
      <w:pPr>
        <w:spacing w:before="1" w:line="312" w:lineRule="auto"/>
        <w:ind w:left="100" w:right="98"/>
        <w:jc w:val="both"/>
        <w:rPr>
          <w:sz w:val="16"/>
        </w:rPr>
      </w:pPr>
      <w:hyperlink r:id="rId947">
        <w:r w:rsidR="00330118">
          <w:rPr>
            <w:sz w:val="16"/>
          </w:rPr>
          <w:t>&lt;http://www.ibge.gov.br/cidadesat/topwindow.htm?1&gt;.</w:t>
        </w:r>
        <w:r w:rsidR="00330118">
          <w:rPr>
            <w:sz w:val="16"/>
          </w:rPr>
          <w:t xml:space="preserve"> </w:t>
        </w:r>
      </w:hyperlink>
      <w:r w:rsidR="00330118">
        <w:rPr>
          <w:sz w:val="16"/>
        </w:rPr>
        <w:t>Acesso em: 07 abr. 2011.</w:t>
      </w:r>
    </w:p>
    <w:p w:rsidR="00D81F69" w:rsidRDefault="00330118">
      <w:pPr>
        <w:tabs>
          <w:tab w:val="left" w:pos="2559"/>
          <w:tab w:val="left" w:pos="5063"/>
        </w:tabs>
        <w:spacing w:before="2" w:line="312" w:lineRule="auto"/>
        <w:ind w:left="100" w:right="79"/>
        <w:jc w:val="both"/>
        <w:rPr>
          <w:sz w:val="16"/>
        </w:rPr>
      </w:pPr>
      <w:r>
        <w:rPr>
          <w:sz w:val="16"/>
        </w:rPr>
        <w:t>JORNAL DA TARDE. Riqueza natural e histórica em Pirenópolis. In: Instituto Brasileiro de Mineração. São Paulo, 26 jul. 2007. Disponível  e</w:t>
      </w:r>
      <w:r>
        <w:rPr>
          <w:sz w:val="16"/>
        </w:rPr>
        <w:tab/>
        <w:t>m</w:t>
      </w:r>
      <w:r>
        <w:rPr>
          <w:sz w:val="16"/>
        </w:rPr>
        <w:tab/>
        <w:t>:</w:t>
      </w:r>
    </w:p>
    <w:p w:rsidR="00D81F69" w:rsidRDefault="00D81F69">
      <w:pPr>
        <w:spacing w:before="2" w:line="312" w:lineRule="auto"/>
        <w:ind w:left="100" w:right="98"/>
        <w:jc w:val="both"/>
        <w:rPr>
          <w:sz w:val="16"/>
        </w:rPr>
      </w:pPr>
      <w:hyperlink r:id="rId948">
        <w:r w:rsidR="00330118">
          <w:rPr>
            <w:sz w:val="16"/>
          </w:rPr>
          <w:t>&lt;http://www.</w:t>
        </w:r>
        <w:r w:rsidR="00330118">
          <w:rPr>
            <w:sz w:val="16"/>
          </w:rPr>
          <w:t>ibram.org.br/150/15001002.asp?ttCD_CHAVE=40216&gt;.A</w:t>
        </w:r>
      </w:hyperlink>
      <w:r w:rsidR="00330118">
        <w:rPr>
          <w:sz w:val="16"/>
        </w:rPr>
        <w:t xml:space="preserve"> cesso em: 29 set. 2010.</w:t>
      </w:r>
    </w:p>
    <w:p w:rsidR="00D81F69" w:rsidRDefault="00330118">
      <w:pPr>
        <w:spacing w:before="2" w:line="312" w:lineRule="auto"/>
        <w:ind w:left="100" w:right="43"/>
        <w:jc w:val="both"/>
        <w:rPr>
          <w:sz w:val="16"/>
        </w:rPr>
      </w:pPr>
      <w:r>
        <w:rPr>
          <w:spacing w:val="8"/>
          <w:sz w:val="16"/>
        </w:rPr>
        <w:t xml:space="preserve">JUSBRASIL. Ministério </w:t>
      </w:r>
      <w:r>
        <w:rPr>
          <w:spacing w:val="5"/>
          <w:sz w:val="16"/>
        </w:rPr>
        <w:t xml:space="preserve">da </w:t>
      </w:r>
      <w:r>
        <w:rPr>
          <w:spacing w:val="8"/>
          <w:sz w:val="16"/>
        </w:rPr>
        <w:t xml:space="preserve">Integração libera recursos </w:t>
      </w:r>
      <w:r>
        <w:rPr>
          <w:spacing w:val="10"/>
          <w:sz w:val="16"/>
        </w:rPr>
        <w:t xml:space="preserve">para </w:t>
      </w:r>
      <w:r>
        <w:rPr>
          <w:spacing w:val="33"/>
          <w:sz w:val="16"/>
        </w:rPr>
        <w:t xml:space="preserve">Pirenópolis. </w:t>
      </w:r>
      <w:r>
        <w:rPr>
          <w:spacing w:val="18"/>
          <w:sz w:val="16"/>
        </w:rPr>
        <w:t xml:space="preserve">23 </w:t>
      </w:r>
      <w:r>
        <w:rPr>
          <w:spacing w:val="27"/>
          <w:sz w:val="16"/>
        </w:rPr>
        <w:t xml:space="preserve">abr. </w:t>
      </w:r>
      <w:r>
        <w:rPr>
          <w:spacing w:val="30"/>
          <w:sz w:val="16"/>
        </w:rPr>
        <w:t xml:space="preserve">2010. </w:t>
      </w:r>
      <w:r>
        <w:rPr>
          <w:spacing w:val="33"/>
          <w:sz w:val="16"/>
        </w:rPr>
        <w:t>Disponível</w:t>
      </w:r>
      <w:r>
        <w:rPr>
          <w:spacing w:val="101"/>
          <w:sz w:val="16"/>
        </w:rPr>
        <w:t xml:space="preserve"> </w:t>
      </w:r>
      <w:r>
        <w:rPr>
          <w:spacing w:val="25"/>
          <w:sz w:val="16"/>
        </w:rPr>
        <w:t>em:</w:t>
      </w:r>
      <w:r>
        <w:rPr>
          <w:spacing w:val="-5"/>
          <w:sz w:val="16"/>
        </w:rPr>
        <w:t xml:space="preserve"> </w:t>
      </w:r>
    </w:p>
    <w:p w:rsidR="00D81F69" w:rsidRDefault="00D81F69">
      <w:pPr>
        <w:spacing w:before="2" w:line="312" w:lineRule="auto"/>
        <w:ind w:left="100" w:right="75"/>
        <w:jc w:val="both"/>
        <w:rPr>
          <w:sz w:val="16"/>
        </w:rPr>
      </w:pPr>
      <w:hyperlink r:id="rId949">
        <w:r w:rsidR="00330118">
          <w:rPr>
            <w:sz w:val="16"/>
          </w:rPr>
          <w:t>&lt;http</w:t>
        </w:r>
        <w:r w:rsidR="00330118">
          <w:rPr>
            <w:sz w:val="16"/>
          </w:rPr>
          <w:t>://www.jusbrasil.com.br/politica/4734979/ministerio-da-</w:t>
        </w:r>
      </w:hyperlink>
      <w:r w:rsidR="00330118">
        <w:rPr>
          <w:sz w:val="16"/>
        </w:rPr>
        <w:t xml:space="preserve"> integracao-libera-recursos-para-pirenopolis&gt;. Acesso em: 08 abr. 2011.</w:t>
      </w:r>
    </w:p>
    <w:p w:rsidR="00D81F69" w:rsidRDefault="00330118">
      <w:pPr>
        <w:spacing w:before="2" w:line="312" w:lineRule="auto"/>
        <w:ind w:left="100" w:right="72"/>
        <w:jc w:val="both"/>
        <w:rPr>
          <w:sz w:val="16"/>
        </w:rPr>
      </w:pPr>
      <w:r>
        <w:rPr>
          <w:sz w:val="16"/>
        </w:rPr>
        <w:t>MATTOS, Regina Coeli Clímaco; MATTOS, Sílvio Costa; MENEZES, Sandra Ferreira de; RODRIGUES, Ângela Meireles de Souza; BRANDÃO, Di</w:t>
      </w:r>
      <w:r>
        <w:rPr>
          <w:sz w:val="16"/>
        </w:rPr>
        <w:t>vino; GODÓI, Luiza Catarina Lobo de; SANTOS, Moacyr Martins dos. Aspectos socioambientais da extração de pedras em Pirenópolis, em Goiás, Estudos, Goiânia, v. 34, n. 9-10, p. 765- 782, set./out. 2007. Disponível em:</w:t>
      </w:r>
    </w:p>
    <w:p w:rsidR="00D81F69" w:rsidRDefault="00D81F69">
      <w:pPr>
        <w:spacing w:before="5"/>
        <w:ind w:left="100"/>
        <w:jc w:val="both"/>
        <w:rPr>
          <w:sz w:val="16"/>
        </w:rPr>
      </w:pPr>
      <w:hyperlink r:id="rId950">
        <w:r w:rsidR="00330118">
          <w:rPr>
            <w:sz w:val="16"/>
          </w:rPr>
          <w:t>&lt;http://revistas.ucg.br/index.php/estudos/article/download/409/340&gt;.A</w:t>
        </w:r>
      </w:hyperlink>
    </w:p>
    <w:p w:rsidR="00D81F69" w:rsidRDefault="00330118">
      <w:pPr>
        <w:spacing w:before="70"/>
        <w:ind w:left="100"/>
        <w:rPr>
          <w:sz w:val="16"/>
        </w:rPr>
      </w:pPr>
      <w:r>
        <w:br w:type="column"/>
      </w:r>
      <w:r>
        <w:rPr>
          <w:sz w:val="16"/>
        </w:rPr>
        <w:lastRenderedPageBreak/>
        <w:t>cesso em: 28 set. 2010.</w:t>
      </w:r>
    </w:p>
    <w:p w:rsidR="00D81F69" w:rsidRDefault="00330118">
      <w:pPr>
        <w:spacing w:before="56" w:line="312" w:lineRule="auto"/>
        <w:ind w:left="100" w:right="175"/>
        <w:jc w:val="both"/>
        <w:rPr>
          <w:sz w:val="16"/>
        </w:rPr>
      </w:pPr>
      <w:r>
        <w:rPr>
          <w:sz w:val="16"/>
        </w:rPr>
        <w:t xml:space="preserve">MDIC, Ministério do Desenvolvimento, Indústria e Comércio Exterior. Plano de desenvolvimento provisório do arranjo produtivo local: APL </w:t>
      </w:r>
      <w:r>
        <w:rPr>
          <w:spacing w:val="10"/>
          <w:sz w:val="16"/>
        </w:rPr>
        <w:t>do</w:t>
      </w:r>
      <w:r>
        <w:rPr>
          <w:spacing w:val="65"/>
          <w:sz w:val="16"/>
        </w:rPr>
        <w:t xml:space="preserve"> </w:t>
      </w:r>
      <w:r>
        <w:rPr>
          <w:spacing w:val="18"/>
          <w:sz w:val="16"/>
        </w:rPr>
        <w:t xml:space="preserve">Quartzito </w:t>
      </w:r>
      <w:r>
        <w:rPr>
          <w:spacing w:val="10"/>
          <w:sz w:val="16"/>
        </w:rPr>
        <w:t>de</w:t>
      </w:r>
      <w:r>
        <w:rPr>
          <w:spacing w:val="65"/>
          <w:sz w:val="16"/>
        </w:rPr>
        <w:t xml:space="preserve"> </w:t>
      </w:r>
      <w:r>
        <w:rPr>
          <w:spacing w:val="20"/>
          <w:sz w:val="16"/>
        </w:rPr>
        <w:t xml:space="preserve">Pirenópolis, </w:t>
      </w:r>
      <w:r>
        <w:rPr>
          <w:spacing w:val="16"/>
          <w:sz w:val="16"/>
        </w:rPr>
        <w:t xml:space="preserve">2006. </w:t>
      </w:r>
      <w:r>
        <w:rPr>
          <w:spacing w:val="18"/>
          <w:sz w:val="16"/>
        </w:rPr>
        <w:t>Disponível</w:t>
      </w:r>
      <w:r>
        <w:rPr>
          <w:spacing w:val="17"/>
          <w:sz w:val="16"/>
        </w:rPr>
        <w:t xml:space="preserve"> </w:t>
      </w:r>
      <w:r>
        <w:rPr>
          <w:spacing w:val="13"/>
          <w:sz w:val="16"/>
        </w:rPr>
        <w:t>em:</w:t>
      </w:r>
      <w:r>
        <w:rPr>
          <w:spacing w:val="-21"/>
          <w:sz w:val="16"/>
        </w:rPr>
        <w:t xml:space="preserve"> </w:t>
      </w:r>
    </w:p>
    <w:p w:rsidR="00D81F69" w:rsidRDefault="00D81F69">
      <w:pPr>
        <w:spacing w:before="2" w:line="312" w:lineRule="auto"/>
        <w:ind w:left="100" w:right="212"/>
        <w:jc w:val="both"/>
        <w:rPr>
          <w:sz w:val="16"/>
        </w:rPr>
      </w:pPr>
      <w:hyperlink r:id="rId951">
        <w:r w:rsidR="00330118">
          <w:rPr>
            <w:sz w:val="16"/>
          </w:rPr>
          <w:t xml:space="preserve">&lt;http://www.mdic.gov.br/arquivos/dwnl_1248268674.pdf&gt;. </w:t>
        </w:r>
      </w:hyperlink>
      <w:r w:rsidR="00330118">
        <w:rPr>
          <w:sz w:val="16"/>
        </w:rPr>
        <w:t>Acesso em: 29 set. 2010.</w:t>
      </w:r>
    </w:p>
    <w:p w:rsidR="00D81F69" w:rsidRDefault="00330118">
      <w:pPr>
        <w:spacing w:before="2"/>
        <w:ind w:left="100"/>
        <w:rPr>
          <w:sz w:val="16"/>
        </w:rPr>
      </w:pPr>
      <w:r>
        <w:rPr>
          <w:sz w:val="16"/>
        </w:rPr>
        <w:t>PIRENÓPOLIS.COM.BR. Três Séculos de Tradição. Disponível em:</w:t>
      </w:r>
    </w:p>
    <w:p w:rsidR="00D81F69" w:rsidRDefault="00D81F69">
      <w:pPr>
        <w:spacing w:before="56" w:line="312" w:lineRule="auto"/>
        <w:ind w:left="100" w:right="193"/>
        <w:jc w:val="both"/>
        <w:rPr>
          <w:sz w:val="16"/>
        </w:rPr>
      </w:pPr>
      <w:hyperlink r:id="rId952">
        <w:r w:rsidR="00330118">
          <w:rPr>
            <w:sz w:val="16"/>
          </w:rPr>
          <w:t>&lt;http://www.pirenopolis.com.br/ExibeN</w:t>
        </w:r>
        <w:r w:rsidR="00330118">
          <w:rPr>
            <w:sz w:val="16"/>
          </w:rPr>
          <w:t>oticia.jsp?pkNoticia=225&gt;.</w:t>
        </w:r>
      </w:hyperlink>
      <w:r w:rsidR="00330118">
        <w:rPr>
          <w:sz w:val="16"/>
        </w:rPr>
        <w:t xml:space="preserve"> Acesso em: 13 out. 2010.</w:t>
      </w:r>
    </w:p>
    <w:p w:rsidR="00D81F69" w:rsidRDefault="00330118">
      <w:pPr>
        <w:tabs>
          <w:tab w:val="left" w:pos="4331"/>
        </w:tabs>
        <w:spacing w:before="1" w:line="312" w:lineRule="auto"/>
        <w:ind w:left="100" w:right="192"/>
        <w:jc w:val="both"/>
        <w:rPr>
          <w:sz w:val="16"/>
        </w:rPr>
      </w:pPr>
      <w:r>
        <w:rPr>
          <w:spacing w:val="3"/>
          <w:sz w:val="16"/>
        </w:rPr>
        <w:t xml:space="preserve">RUSSO, Mário </w:t>
      </w:r>
      <w:r>
        <w:rPr>
          <w:spacing w:val="2"/>
          <w:sz w:val="16"/>
        </w:rPr>
        <w:t xml:space="preserve">Luiz </w:t>
      </w:r>
      <w:r>
        <w:rPr>
          <w:spacing w:val="3"/>
          <w:sz w:val="16"/>
        </w:rPr>
        <w:t xml:space="preserve">Cabello. Reciclagem </w:t>
      </w:r>
      <w:r>
        <w:rPr>
          <w:spacing w:val="1"/>
          <w:sz w:val="16"/>
        </w:rPr>
        <w:t xml:space="preserve">de </w:t>
      </w:r>
      <w:r>
        <w:rPr>
          <w:spacing w:val="3"/>
          <w:sz w:val="16"/>
        </w:rPr>
        <w:t xml:space="preserve">resíduo gerado </w:t>
      </w:r>
      <w:r>
        <w:rPr>
          <w:spacing w:val="5"/>
          <w:sz w:val="16"/>
        </w:rPr>
        <w:t xml:space="preserve">na extração </w:t>
      </w:r>
      <w:r>
        <w:rPr>
          <w:spacing w:val="2"/>
          <w:sz w:val="16"/>
        </w:rPr>
        <w:t xml:space="preserve">de </w:t>
      </w:r>
      <w:r>
        <w:rPr>
          <w:spacing w:val="5"/>
          <w:sz w:val="16"/>
        </w:rPr>
        <w:t xml:space="preserve">quartzito, 2011. Tese (Doutorado </w:t>
      </w:r>
      <w:r>
        <w:rPr>
          <w:spacing w:val="2"/>
          <w:sz w:val="16"/>
        </w:rPr>
        <w:t xml:space="preserve">em </w:t>
      </w:r>
      <w:r>
        <w:rPr>
          <w:spacing w:val="6"/>
          <w:sz w:val="16"/>
        </w:rPr>
        <w:t xml:space="preserve">Engenharia </w:t>
      </w:r>
      <w:r>
        <w:rPr>
          <w:spacing w:val="3"/>
          <w:sz w:val="16"/>
        </w:rPr>
        <w:t xml:space="preserve">Metalúrgica </w:t>
      </w:r>
      <w:r>
        <w:rPr>
          <w:sz w:val="16"/>
        </w:rPr>
        <w:t xml:space="preserve">e </w:t>
      </w:r>
      <w:r>
        <w:rPr>
          <w:spacing w:val="1"/>
          <w:sz w:val="16"/>
        </w:rPr>
        <w:t xml:space="preserve">de </w:t>
      </w:r>
      <w:r>
        <w:rPr>
          <w:spacing w:val="3"/>
          <w:sz w:val="16"/>
        </w:rPr>
        <w:t xml:space="preserve">Minas), Universidade Federal </w:t>
      </w:r>
      <w:r>
        <w:rPr>
          <w:spacing w:val="1"/>
          <w:sz w:val="16"/>
        </w:rPr>
        <w:t xml:space="preserve">de </w:t>
      </w:r>
      <w:r>
        <w:rPr>
          <w:spacing w:val="3"/>
          <w:sz w:val="16"/>
        </w:rPr>
        <w:t xml:space="preserve">Minas </w:t>
      </w:r>
      <w:r>
        <w:rPr>
          <w:spacing w:val="5"/>
          <w:sz w:val="16"/>
        </w:rPr>
        <w:t xml:space="preserve">Gerais, </w:t>
      </w:r>
      <w:r>
        <w:rPr>
          <w:sz w:val="16"/>
        </w:rPr>
        <w:t>Programa de Pós-Graduaç</w:t>
      </w:r>
      <w:r>
        <w:rPr>
          <w:sz w:val="16"/>
        </w:rPr>
        <w:t xml:space="preserve">ão em Engenharia Metalúrgica, Materiais e </w:t>
      </w:r>
      <w:r>
        <w:rPr>
          <w:spacing w:val="2"/>
          <w:sz w:val="16"/>
        </w:rPr>
        <w:t xml:space="preserve">de  </w:t>
      </w:r>
      <w:r>
        <w:rPr>
          <w:spacing w:val="3"/>
          <w:sz w:val="16"/>
        </w:rPr>
        <w:t xml:space="preserve">Minas </w:t>
      </w:r>
      <w:r>
        <w:rPr>
          <w:spacing w:val="2"/>
          <w:sz w:val="16"/>
        </w:rPr>
        <w:t xml:space="preserve">da  </w:t>
      </w:r>
      <w:r>
        <w:rPr>
          <w:spacing w:val="5"/>
          <w:sz w:val="16"/>
        </w:rPr>
        <w:t xml:space="preserve">Escola </w:t>
      </w:r>
      <w:r>
        <w:rPr>
          <w:spacing w:val="2"/>
          <w:sz w:val="16"/>
        </w:rPr>
        <w:t xml:space="preserve">de  </w:t>
      </w:r>
      <w:r>
        <w:rPr>
          <w:spacing w:val="5"/>
          <w:sz w:val="16"/>
        </w:rPr>
        <w:t xml:space="preserve">Engenharia. </w:t>
      </w:r>
      <w:r>
        <w:rPr>
          <w:spacing w:val="3"/>
          <w:sz w:val="16"/>
        </w:rPr>
        <w:t xml:space="preserve">Belo </w:t>
      </w:r>
      <w:r>
        <w:rPr>
          <w:spacing w:val="5"/>
          <w:sz w:val="16"/>
        </w:rPr>
        <w:t xml:space="preserve">Horizonte, </w:t>
      </w:r>
      <w:r>
        <w:rPr>
          <w:spacing w:val="3"/>
          <w:sz w:val="16"/>
        </w:rPr>
        <w:t xml:space="preserve">MG, </w:t>
      </w:r>
      <w:r>
        <w:rPr>
          <w:spacing w:val="5"/>
          <w:sz w:val="16"/>
        </w:rPr>
        <w:t xml:space="preserve">172f.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 xml:space="preserve">e      m    </w:t>
      </w:r>
      <w:r>
        <w:rPr>
          <w:spacing w:val="20"/>
          <w:sz w:val="16"/>
        </w:rPr>
        <w:t xml:space="preserve"> </w:t>
      </w:r>
      <w:r>
        <w:rPr>
          <w:sz w:val="16"/>
        </w:rPr>
        <w:t>:</w:t>
      </w:r>
    </w:p>
    <w:p w:rsidR="00D81F69" w:rsidRDefault="00D81F69">
      <w:pPr>
        <w:spacing w:before="5" w:line="312" w:lineRule="auto"/>
        <w:ind w:left="100" w:right="214"/>
        <w:jc w:val="both"/>
        <w:rPr>
          <w:sz w:val="16"/>
        </w:rPr>
      </w:pPr>
      <w:hyperlink r:id="rId953">
        <w:r w:rsidR="00330118">
          <w:rPr>
            <w:sz w:val="16"/>
          </w:rPr>
          <w:t>&lt;http://www.bibliotecadigital.ufmg.br/dspace/bitstream/1843/BUOS-</w:t>
        </w:r>
      </w:hyperlink>
      <w:r w:rsidR="00330118">
        <w:rPr>
          <w:sz w:val="16"/>
        </w:rPr>
        <w:t xml:space="preserve"> 8RRFAS/1/2011_12_06_tese_vers_o_final</w:t>
      </w:r>
      <w:r w:rsidR="00330118">
        <w:rPr>
          <w:sz w:val="16"/>
          <w:u w:val="single"/>
        </w:rPr>
        <w:t xml:space="preserve">       </w:t>
      </w:r>
      <w:r w:rsidR="00330118">
        <w:rPr>
          <w:sz w:val="16"/>
        </w:rPr>
        <w:t>mario_cabello</w:t>
      </w:r>
      <w:r w:rsidR="00330118">
        <w:rPr>
          <w:sz w:val="16"/>
          <w:u w:val="single"/>
        </w:rPr>
        <w:t xml:space="preserve">    </w:t>
      </w:r>
      <w:r w:rsidR="00330118">
        <w:rPr>
          <w:sz w:val="16"/>
        </w:rPr>
        <w:t>capa_</w:t>
      </w:r>
    </w:p>
    <w:p w:rsidR="00D81F69" w:rsidRDefault="00330118">
      <w:pPr>
        <w:spacing w:before="2" w:line="312" w:lineRule="auto"/>
        <w:ind w:left="100" w:right="213"/>
        <w:jc w:val="both"/>
        <w:rPr>
          <w:sz w:val="16"/>
        </w:rPr>
      </w:pPr>
      <w:r>
        <w:rPr>
          <w:sz w:val="16"/>
        </w:rPr>
        <w:t>_contra_capa__ficha__catalografica_e_tese_.pdf&gt;. Acesso em: 14 ago. 2012</w:t>
      </w:r>
    </w:p>
    <w:p w:rsidR="00D81F69" w:rsidRDefault="00330118">
      <w:pPr>
        <w:spacing w:before="2" w:line="312" w:lineRule="auto"/>
        <w:ind w:left="100" w:right="176"/>
        <w:jc w:val="both"/>
        <w:rPr>
          <w:sz w:val="16"/>
        </w:rPr>
      </w:pPr>
      <w:r>
        <w:rPr>
          <w:spacing w:val="1"/>
          <w:sz w:val="16"/>
        </w:rPr>
        <w:t xml:space="preserve">SECTEC. Secretaria </w:t>
      </w:r>
      <w:r>
        <w:rPr>
          <w:sz w:val="16"/>
        </w:rPr>
        <w:t xml:space="preserve">de </w:t>
      </w:r>
      <w:r>
        <w:rPr>
          <w:spacing w:val="1"/>
          <w:sz w:val="16"/>
        </w:rPr>
        <w:t xml:space="preserve">Estado </w:t>
      </w:r>
      <w:r>
        <w:rPr>
          <w:sz w:val="16"/>
        </w:rPr>
        <w:t xml:space="preserve">de </w:t>
      </w:r>
      <w:r>
        <w:rPr>
          <w:spacing w:val="1"/>
          <w:sz w:val="16"/>
        </w:rPr>
        <w:t xml:space="preserve">Ciência </w:t>
      </w:r>
      <w:r>
        <w:rPr>
          <w:sz w:val="16"/>
        </w:rPr>
        <w:t xml:space="preserve">e </w:t>
      </w:r>
      <w:r>
        <w:rPr>
          <w:spacing w:val="1"/>
          <w:sz w:val="16"/>
        </w:rPr>
        <w:t xml:space="preserve">Tecnologia </w:t>
      </w:r>
      <w:r>
        <w:rPr>
          <w:sz w:val="16"/>
        </w:rPr>
        <w:t xml:space="preserve">– </w:t>
      </w:r>
      <w:r>
        <w:rPr>
          <w:spacing w:val="2"/>
          <w:sz w:val="16"/>
        </w:rPr>
        <w:t xml:space="preserve">Goiás. </w:t>
      </w:r>
      <w:r>
        <w:rPr>
          <w:spacing w:val="16"/>
          <w:sz w:val="16"/>
        </w:rPr>
        <w:t xml:space="preserve">Arranjos </w:t>
      </w:r>
      <w:r>
        <w:rPr>
          <w:spacing w:val="17"/>
          <w:sz w:val="16"/>
        </w:rPr>
        <w:t xml:space="preserve">Produtivos </w:t>
      </w:r>
      <w:r>
        <w:rPr>
          <w:spacing w:val="15"/>
          <w:sz w:val="16"/>
        </w:rPr>
        <w:t>Locais</w:t>
      </w:r>
      <w:r>
        <w:rPr>
          <w:spacing w:val="75"/>
          <w:sz w:val="16"/>
        </w:rPr>
        <w:t xml:space="preserve"> </w:t>
      </w:r>
      <w:r>
        <w:rPr>
          <w:sz w:val="16"/>
        </w:rPr>
        <w:t xml:space="preserve">– </w:t>
      </w:r>
      <w:r>
        <w:rPr>
          <w:spacing w:val="15"/>
          <w:sz w:val="16"/>
        </w:rPr>
        <w:t>APLS.</w:t>
      </w:r>
      <w:r>
        <w:rPr>
          <w:spacing w:val="75"/>
          <w:sz w:val="16"/>
        </w:rPr>
        <w:t xml:space="preserve"> </w:t>
      </w:r>
      <w:r>
        <w:rPr>
          <w:spacing w:val="17"/>
          <w:sz w:val="16"/>
        </w:rPr>
        <w:t>Disponível</w:t>
      </w:r>
      <w:r>
        <w:rPr>
          <w:spacing w:val="16"/>
          <w:sz w:val="16"/>
        </w:rPr>
        <w:t xml:space="preserve"> </w:t>
      </w:r>
      <w:r>
        <w:rPr>
          <w:spacing w:val="12"/>
          <w:sz w:val="16"/>
        </w:rPr>
        <w:t>em:</w:t>
      </w:r>
      <w:r>
        <w:rPr>
          <w:spacing w:val="-23"/>
          <w:sz w:val="16"/>
        </w:rPr>
        <w:t xml:space="preserve"> </w:t>
      </w:r>
    </w:p>
    <w:p w:rsidR="00D81F69" w:rsidRDefault="00D81F69">
      <w:pPr>
        <w:tabs>
          <w:tab w:val="left" w:pos="798"/>
          <w:tab w:val="left" w:pos="2705"/>
          <w:tab w:val="left" w:pos="4666"/>
        </w:tabs>
        <w:spacing w:before="1" w:line="312" w:lineRule="auto"/>
        <w:ind w:left="100" w:right="159"/>
        <w:rPr>
          <w:sz w:val="16"/>
        </w:rPr>
      </w:pPr>
      <w:hyperlink r:id="rId954">
        <w:r w:rsidR="00330118">
          <w:rPr>
            <w:spacing w:val="10"/>
            <w:sz w:val="16"/>
          </w:rPr>
          <w:t>&lt;</w:t>
        </w:r>
        <w:r w:rsidR="00330118">
          <w:rPr>
            <w:sz w:val="16"/>
          </w:rPr>
          <w:t xml:space="preserve"> </w:t>
        </w:r>
        <w:r w:rsidR="00330118">
          <w:rPr>
            <w:spacing w:val="10"/>
            <w:sz w:val="16"/>
          </w:rPr>
          <w:t>h</w:t>
        </w:r>
        <w:r w:rsidR="00330118">
          <w:rPr>
            <w:sz w:val="16"/>
          </w:rPr>
          <w:t xml:space="preserve"> </w:t>
        </w:r>
        <w:r w:rsidR="00330118">
          <w:rPr>
            <w:spacing w:val="10"/>
            <w:sz w:val="16"/>
          </w:rPr>
          <w:t>t</w:t>
        </w:r>
        <w:r w:rsidR="00330118">
          <w:rPr>
            <w:sz w:val="16"/>
          </w:rPr>
          <w:t xml:space="preserve"> </w:t>
        </w:r>
        <w:r w:rsidR="00330118">
          <w:rPr>
            <w:spacing w:val="10"/>
            <w:sz w:val="16"/>
          </w:rPr>
          <w:t>t</w:t>
        </w:r>
        <w:r w:rsidR="00330118">
          <w:rPr>
            <w:sz w:val="16"/>
          </w:rPr>
          <w:t xml:space="preserve"> </w:t>
        </w:r>
        <w:r w:rsidR="00330118">
          <w:rPr>
            <w:spacing w:val="10"/>
            <w:sz w:val="16"/>
          </w:rPr>
          <w:t>p</w:t>
        </w:r>
        <w:r w:rsidR="00330118">
          <w:rPr>
            <w:sz w:val="16"/>
          </w:rPr>
          <w:t xml:space="preserve"> </w:t>
        </w:r>
        <w:r w:rsidR="00330118">
          <w:rPr>
            <w:spacing w:val="10"/>
            <w:sz w:val="16"/>
          </w:rPr>
          <w:t>:</w:t>
        </w:r>
        <w:r w:rsidR="00330118">
          <w:rPr>
            <w:sz w:val="16"/>
          </w:rPr>
          <w:t xml:space="preserve"> </w:t>
        </w:r>
        <w:r w:rsidR="00330118">
          <w:rPr>
            <w:spacing w:val="10"/>
            <w:sz w:val="16"/>
          </w:rPr>
          <w:t>/</w:t>
        </w:r>
        <w:r w:rsidR="00330118">
          <w:rPr>
            <w:sz w:val="16"/>
          </w:rPr>
          <w:t xml:space="preserve"> </w:t>
        </w:r>
        <w:r w:rsidR="00330118">
          <w:rPr>
            <w:spacing w:val="10"/>
            <w:sz w:val="16"/>
          </w:rPr>
          <w:t>/</w:t>
        </w:r>
        <w:r w:rsidR="00330118">
          <w:rPr>
            <w:sz w:val="16"/>
          </w:rPr>
          <w:t xml:space="preserve"> </w:t>
        </w:r>
        <w:r w:rsidR="00330118">
          <w:rPr>
            <w:spacing w:val="10"/>
            <w:sz w:val="16"/>
          </w:rPr>
          <w:t>w</w:t>
        </w:r>
        <w:r w:rsidR="00330118">
          <w:rPr>
            <w:sz w:val="16"/>
          </w:rPr>
          <w:t xml:space="preserve"> </w:t>
        </w:r>
        <w:r w:rsidR="00330118">
          <w:rPr>
            <w:spacing w:val="10"/>
            <w:sz w:val="16"/>
          </w:rPr>
          <w:t>w</w:t>
        </w:r>
        <w:r w:rsidR="00330118">
          <w:rPr>
            <w:sz w:val="16"/>
          </w:rPr>
          <w:t xml:space="preserve"> </w:t>
        </w:r>
        <w:r w:rsidR="00330118">
          <w:rPr>
            <w:spacing w:val="10"/>
            <w:sz w:val="16"/>
          </w:rPr>
          <w:t>w</w:t>
        </w:r>
        <w:r w:rsidR="00330118">
          <w:rPr>
            <w:sz w:val="16"/>
          </w:rPr>
          <w:t xml:space="preserve"> </w:t>
        </w:r>
        <w:r w:rsidR="00330118">
          <w:rPr>
            <w:spacing w:val="10"/>
            <w:sz w:val="16"/>
          </w:rPr>
          <w:t>.</w:t>
        </w:r>
        <w:r w:rsidR="00330118">
          <w:rPr>
            <w:sz w:val="16"/>
          </w:rPr>
          <w:t xml:space="preserve"> </w:t>
        </w:r>
        <w:r w:rsidR="00330118">
          <w:rPr>
            <w:spacing w:val="10"/>
            <w:sz w:val="16"/>
          </w:rPr>
          <w:t>s</w:t>
        </w:r>
        <w:r w:rsidR="00330118">
          <w:rPr>
            <w:sz w:val="16"/>
          </w:rPr>
          <w:t xml:space="preserve"> </w:t>
        </w:r>
        <w:r w:rsidR="00330118">
          <w:rPr>
            <w:spacing w:val="10"/>
            <w:sz w:val="16"/>
          </w:rPr>
          <w:t>e</w:t>
        </w:r>
        <w:r w:rsidR="00330118">
          <w:rPr>
            <w:sz w:val="16"/>
          </w:rPr>
          <w:t xml:space="preserve"> </w:t>
        </w:r>
        <w:r w:rsidR="00330118">
          <w:rPr>
            <w:spacing w:val="10"/>
            <w:sz w:val="16"/>
          </w:rPr>
          <w:t>c</w:t>
        </w:r>
        <w:r w:rsidR="00330118">
          <w:rPr>
            <w:sz w:val="16"/>
          </w:rPr>
          <w:t xml:space="preserve"> </w:t>
        </w:r>
        <w:r w:rsidR="00330118">
          <w:rPr>
            <w:spacing w:val="10"/>
            <w:sz w:val="16"/>
          </w:rPr>
          <w:t>t</w:t>
        </w:r>
        <w:r w:rsidR="00330118">
          <w:rPr>
            <w:sz w:val="16"/>
          </w:rPr>
          <w:t xml:space="preserve"> </w:t>
        </w:r>
        <w:r w:rsidR="00330118">
          <w:rPr>
            <w:spacing w:val="10"/>
            <w:sz w:val="16"/>
          </w:rPr>
          <w:t>e</w:t>
        </w:r>
        <w:r w:rsidR="00330118">
          <w:rPr>
            <w:sz w:val="16"/>
          </w:rPr>
          <w:t xml:space="preserve"> </w:t>
        </w:r>
        <w:r w:rsidR="00330118">
          <w:rPr>
            <w:spacing w:val="10"/>
            <w:sz w:val="16"/>
          </w:rPr>
          <w:t>c</w:t>
        </w:r>
        <w:r w:rsidR="00330118">
          <w:rPr>
            <w:sz w:val="16"/>
          </w:rPr>
          <w:t xml:space="preserve"> </w:t>
        </w:r>
        <w:r w:rsidR="00330118">
          <w:rPr>
            <w:spacing w:val="10"/>
            <w:sz w:val="16"/>
          </w:rPr>
          <w:t>.</w:t>
        </w:r>
        <w:r w:rsidR="00330118">
          <w:rPr>
            <w:sz w:val="16"/>
          </w:rPr>
          <w:t xml:space="preserve"> </w:t>
        </w:r>
        <w:r w:rsidR="00330118">
          <w:rPr>
            <w:spacing w:val="10"/>
            <w:sz w:val="16"/>
          </w:rPr>
          <w:t>g</w:t>
        </w:r>
        <w:r w:rsidR="00330118">
          <w:rPr>
            <w:sz w:val="16"/>
          </w:rPr>
          <w:t xml:space="preserve"> </w:t>
        </w:r>
        <w:r w:rsidR="00330118">
          <w:rPr>
            <w:spacing w:val="10"/>
            <w:sz w:val="16"/>
          </w:rPr>
          <w:t>o</w:t>
        </w:r>
        <w:r w:rsidR="00330118">
          <w:rPr>
            <w:sz w:val="16"/>
          </w:rPr>
          <w:t xml:space="preserve"> </w:t>
        </w:r>
        <w:r w:rsidR="00330118">
          <w:rPr>
            <w:spacing w:val="10"/>
            <w:sz w:val="16"/>
          </w:rPr>
          <w:t>.</w:t>
        </w:r>
        <w:r w:rsidR="00330118">
          <w:rPr>
            <w:sz w:val="16"/>
          </w:rPr>
          <w:t xml:space="preserve"> </w:t>
        </w:r>
        <w:r w:rsidR="00330118">
          <w:rPr>
            <w:spacing w:val="10"/>
            <w:sz w:val="16"/>
          </w:rPr>
          <w:t>g</w:t>
        </w:r>
        <w:r w:rsidR="00330118">
          <w:rPr>
            <w:sz w:val="16"/>
          </w:rPr>
          <w:t xml:space="preserve"> </w:t>
        </w:r>
        <w:r w:rsidR="00330118">
          <w:rPr>
            <w:spacing w:val="10"/>
            <w:sz w:val="16"/>
          </w:rPr>
          <w:t>o</w:t>
        </w:r>
        <w:r w:rsidR="00330118">
          <w:rPr>
            <w:sz w:val="16"/>
          </w:rPr>
          <w:t xml:space="preserve"> </w:t>
        </w:r>
        <w:r w:rsidR="00330118">
          <w:rPr>
            <w:spacing w:val="10"/>
            <w:sz w:val="16"/>
          </w:rPr>
          <w:t>v</w:t>
        </w:r>
        <w:r w:rsidR="00330118">
          <w:rPr>
            <w:sz w:val="16"/>
          </w:rPr>
          <w:t xml:space="preserve"> </w:t>
        </w:r>
        <w:r w:rsidR="00330118">
          <w:rPr>
            <w:spacing w:val="10"/>
            <w:sz w:val="16"/>
          </w:rPr>
          <w:t>.</w:t>
        </w:r>
        <w:r w:rsidR="00330118">
          <w:rPr>
            <w:sz w:val="16"/>
          </w:rPr>
          <w:t xml:space="preserve"> </w:t>
        </w:r>
        <w:r w:rsidR="00330118">
          <w:rPr>
            <w:spacing w:val="10"/>
            <w:sz w:val="16"/>
          </w:rPr>
          <w:t>b</w:t>
        </w:r>
        <w:r w:rsidR="00330118">
          <w:rPr>
            <w:sz w:val="16"/>
          </w:rPr>
          <w:t xml:space="preserve"> </w:t>
        </w:r>
        <w:r w:rsidR="00330118">
          <w:rPr>
            <w:spacing w:val="10"/>
            <w:sz w:val="16"/>
          </w:rPr>
          <w:t>r</w:t>
        </w:r>
        <w:r w:rsidR="00330118">
          <w:rPr>
            <w:sz w:val="16"/>
          </w:rPr>
          <w:t xml:space="preserve"> </w:t>
        </w:r>
        <w:r w:rsidR="00330118">
          <w:rPr>
            <w:spacing w:val="10"/>
            <w:sz w:val="16"/>
          </w:rPr>
          <w:t>/</w:t>
        </w:r>
        <w:r w:rsidR="00330118">
          <w:rPr>
            <w:sz w:val="16"/>
          </w:rPr>
          <w:t xml:space="preserve"> </w:t>
        </w:r>
        <w:r w:rsidR="00330118">
          <w:rPr>
            <w:spacing w:val="10"/>
            <w:sz w:val="16"/>
          </w:rPr>
          <w:t>p</w:t>
        </w:r>
        <w:r w:rsidR="00330118">
          <w:rPr>
            <w:sz w:val="16"/>
          </w:rPr>
          <w:t xml:space="preserve"> </w:t>
        </w:r>
        <w:r w:rsidR="00330118">
          <w:rPr>
            <w:spacing w:val="10"/>
            <w:sz w:val="16"/>
          </w:rPr>
          <w:t>o</w:t>
        </w:r>
        <w:r w:rsidR="00330118">
          <w:rPr>
            <w:sz w:val="16"/>
          </w:rPr>
          <w:t xml:space="preserve"> </w:t>
        </w:r>
        <w:r w:rsidR="00330118">
          <w:rPr>
            <w:spacing w:val="10"/>
            <w:sz w:val="16"/>
          </w:rPr>
          <w:t>r</w:t>
        </w:r>
        <w:r w:rsidR="00330118">
          <w:rPr>
            <w:sz w:val="16"/>
          </w:rPr>
          <w:t xml:space="preserve"> </w:t>
        </w:r>
        <w:r w:rsidR="00330118">
          <w:rPr>
            <w:spacing w:val="10"/>
            <w:sz w:val="16"/>
          </w:rPr>
          <w:t>t</w:t>
        </w:r>
        <w:r w:rsidR="00330118">
          <w:rPr>
            <w:sz w:val="16"/>
          </w:rPr>
          <w:t xml:space="preserve"> </w:t>
        </w:r>
        <w:r w:rsidR="00330118">
          <w:rPr>
            <w:spacing w:val="10"/>
            <w:sz w:val="16"/>
          </w:rPr>
          <w:t>a</w:t>
        </w:r>
        <w:r w:rsidR="00330118">
          <w:rPr>
            <w:sz w:val="16"/>
          </w:rPr>
          <w:t xml:space="preserve"> </w:t>
        </w:r>
        <w:r w:rsidR="00330118">
          <w:rPr>
            <w:spacing w:val="10"/>
            <w:sz w:val="16"/>
          </w:rPr>
          <w:t>l</w:t>
        </w:r>
        <w:r w:rsidR="00330118">
          <w:rPr>
            <w:sz w:val="16"/>
          </w:rPr>
          <w:t xml:space="preserve"> </w:t>
        </w:r>
        <w:r w:rsidR="00330118">
          <w:rPr>
            <w:spacing w:val="10"/>
            <w:sz w:val="16"/>
          </w:rPr>
          <w:t>/</w:t>
        </w:r>
        <w:r w:rsidR="00330118">
          <w:rPr>
            <w:sz w:val="16"/>
          </w:rPr>
          <w:t xml:space="preserve"> </w:t>
        </w:r>
        <w:r w:rsidR="00330118">
          <w:rPr>
            <w:spacing w:val="10"/>
            <w:sz w:val="16"/>
          </w:rPr>
          <w:t>w</w:t>
        </w:r>
        <w:r w:rsidR="00330118">
          <w:rPr>
            <w:sz w:val="16"/>
          </w:rPr>
          <w:t xml:space="preserve"> </w:t>
        </w:r>
        <w:r w:rsidR="00330118">
          <w:rPr>
            <w:spacing w:val="10"/>
            <w:sz w:val="16"/>
          </w:rPr>
          <w:t>p</w:t>
        </w:r>
        <w:r w:rsidR="00330118">
          <w:rPr>
            <w:sz w:val="16"/>
          </w:rPr>
          <w:t xml:space="preserve"> - </w:t>
        </w:r>
      </w:hyperlink>
      <w:r w:rsidR="00330118">
        <w:rPr>
          <w:spacing w:val="5"/>
          <w:sz w:val="16"/>
        </w:rPr>
        <w:t xml:space="preserve">content/uploads/2010/07/apls1.pdf&gt;. Acesso </w:t>
      </w:r>
      <w:r w:rsidR="00330118">
        <w:rPr>
          <w:spacing w:val="3"/>
          <w:sz w:val="16"/>
        </w:rPr>
        <w:t xml:space="preserve">em: </w:t>
      </w:r>
      <w:r w:rsidR="00330118">
        <w:rPr>
          <w:spacing w:val="2"/>
          <w:sz w:val="16"/>
        </w:rPr>
        <w:t xml:space="preserve">13 </w:t>
      </w:r>
      <w:r w:rsidR="00330118">
        <w:rPr>
          <w:spacing w:val="3"/>
          <w:sz w:val="16"/>
        </w:rPr>
        <w:t xml:space="preserve">out. </w:t>
      </w:r>
      <w:r w:rsidR="00330118">
        <w:rPr>
          <w:spacing w:val="5"/>
          <w:sz w:val="16"/>
        </w:rPr>
        <w:t xml:space="preserve">2010. </w:t>
      </w:r>
      <w:r w:rsidR="00330118">
        <w:rPr>
          <w:sz w:val="16"/>
        </w:rPr>
        <w:t xml:space="preserve">SENAI. Serviço Nacional de Aprendizagem Industrial de Goiás. APL   </w:t>
      </w:r>
      <w:r w:rsidR="00330118">
        <w:rPr>
          <w:spacing w:val="40"/>
          <w:sz w:val="16"/>
        </w:rPr>
        <w:t>d</w:t>
      </w:r>
      <w:r w:rsidR="00330118">
        <w:rPr>
          <w:sz w:val="16"/>
        </w:rPr>
        <w:t xml:space="preserve"> e</w:t>
      </w:r>
      <w:r w:rsidR="00330118">
        <w:rPr>
          <w:sz w:val="16"/>
        </w:rPr>
        <w:tab/>
      </w:r>
      <w:r w:rsidR="00330118">
        <w:rPr>
          <w:spacing w:val="40"/>
          <w:sz w:val="16"/>
        </w:rPr>
        <w:t>Q</w:t>
      </w:r>
      <w:r w:rsidR="00330118">
        <w:rPr>
          <w:sz w:val="16"/>
        </w:rPr>
        <w:t xml:space="preserve"> </w:t>
      </w:r>
      <w:r w:rsidR="00330118">
        <w:rPr>
          <w:spacing w:val="40"/>
          <w:sz w:val="16"/>
        </w:rPr>
        <w:t>u</w:t>
      </w:r>
      <w:r w:rsidR="00330118">
        <w:rPr>
          <w:sz w:val="16"/>
        </w:rPr>
        <w:t xml:space="preserve"> </w:t>
      </w:r>
      <w:r w:rsidR="00330118">
        <w:rPr>
          <w:spacing w:val="40"/>
          <w:sz w:val="16"/>
        </w:rPr>
        <w:t>a</w:t>
      </w:r>
      <w:r w:rsidR="00330118">
        <w:rPr>
          <w:sz w:val="16"/>
        </w:rPr>
        <w:t xml:space="preserve"> </w:t>
      </w:r>
      <w:r w:rsidR="00330118">
        <w:rPr>
          <w:spacing w:val="40"/>
          <w:sz w:val="16"/>
        </w:rPr>
        <w:t>r</w:t>
      </w:r>
      <w:r w:rsidR="00330118">
        <w:rPr>
          <w:sz w:val="16"/>
        </w:rPr>
        <w:t xml:space="preserve"> </w:t>
      </w:r>
      <w:r w:rsidR="00330118">
        <w:rPr>
          <w:spacing w:val="40"/>
          <w:sz w:val="16"/>
        </w:rPr>
        <w:t>t</w:t>
      </w:r>
      <w:r w:rsidR="00330118">
        <w:rPr>
          <w:sz w:val="16"/>
        </w:rPr>
        <w:t xml:space="preserve"> </w:t>
      </w:r>
      <w:r w:rsidR="00330118">
        <w:rPr>
          <w:spacing w:val="40"/>
          <w:sz w:val="16"/>
        </w:rPr>
        <w:t>z</w:t>
      </w:r>
      <w:r w:rsidR="00330118">
        <w:rPr>
          <w:sz w:val="16"/>
        </w:rPr>
        <w:t xml:space="preserve"> </w:t>
      </w:r>
      <w:r w:rsidR="00330118">
        <w:rPr>
          <w:spacing w:val="40"/>
          <w:sz w:val="16"/>
        </w:rPr>
        <w:t>i</w:t>
      </w:r>
      <w:r w:rsidR="00330118">
        <w:rPr>
          <w:sz w:val="16"/>
        </w:rPr>
        <w:t xml:space="preserve"> </w:t>
      </w:r>
      <w:r w:rsidR="00330118">
        <w:rPr>
          <w:spacing w:val="40"/>
          <w:sz w:val="16"/>
        </w:rPr>
        <w:t>t</w:t>
      </w:r>
      <w:r w:rsidR="00330118">
        <w:rPr>
          <w:sz w:val="16"/>
        </w:rPr>
        <w:t xml:space="preserve"> </w:t>
      </w:r>
      <w:r w:rsidR="00330118">
        <w:rPr>
          <w:spacing w:val="40"/>
          <w:sz w:val="16"/>
        </w:rPr>
        <w:t>o</w:t>
      </w:r>
      <w:r w:rsidR="00330118">
        <w:rPr>
          <w:sz w:val="16"/>
        </w:rPr>
        <w:t xml:space="preserve"> .</w:t>
      </w:r>
      <w:r w:rsidR="00330118">
        <w:rPr>
          <w:sz w:val="16"/>
        </w:rPr>
        <w:tab/>
      </w:r>
      <w:r w:rsidR="00330118">
        <w:rPr>
          <w:spacing w:val="40"/>
          <w:sz w:val="16"/>
        </w:rPr>
        <w:t>D</w:t>
      </w:r>
      <w:r w:rsidR="00330118">
        <w:rPr>
          <w:sz w:val="16"/>
        </w:rPr>
        <w:t xml:space="preserve"> </w:t>
      </w:r>
      <w:r w:rsidR="00330118">
        <w:rPr>
          <w:spacing w:val="40"/>
          <w:sz w:val="16"/>
        </w:rPr>
        <w:t>i</w:t>
      </w:r>
      <w:r w:rsidR="00330118">
        <w:rPr>
          <w:sz w:val="16"/>
        </w:rPr>
        <w:t xml:space="preserve"> </w:t>
      </w:r>
      <w:r w:rsidR="00330118">
        <w:rPr>
          <w:spacing w:val="40"/>
          <w:sz w:val="16"/>
        </w:rPr>
        <w:t>s</w:t>
      </w:r>
      <w:r w:rsidR="00330118">
        <w:rPr>
          <w:sz w:val="16"/>
        </w:rPr>
        <w:t xml:space="preserve"> </w:t>
      </w:r>
      <w:r w:rsidR="00330118">
        <w:rPr>
          <w:spacing w:val="40"/>
          <w:sz w:val="16"/>
        </w:rPr>
        <w:t>p</w:t>
      </w:r>
      <w:r w:rsidR="00330118">
        <w:rPr>
          <w:sz w:val="16"/>
        </w:rPr>
        <w:t xml:space="preserve"> </w:t>
      </w:r>
      <w:r w:rsidR="00330118">
        <w:rPr>
          <w:spacing w:val="40"/>
          <w:sz w:val="16"/>
        </w:rPr>
        <w:t>o</w:t>
      </w:r>
      <w:r w:rsidR="00330118">
        <w:rPr>
          <w:sz w:val="16"/>
        </w:rPr>
        <w:t xml:space="preserve"> </w:t>
      </w:r>
      <w:r w:rsidR="00330118">
        <w:rPr>
          <w:spacing w:val="40"/>
          <w:sz w:val="16"/>
        </w:rPr>
        <w:t>n</w:t>
      </w:r>
      <w:r w:rsidR="00330118">
        <w:rPr>
          <w:sz w:val="16"/>
        </w:rPr>
        <w:t xml:space="preserve"> </w:t>
      </w:r>
      <w:r w:rsidR="00330118">
        <w:rPr>
          <w:spacing w:val="40"/>
          <w:sz w:val="16"/>
        </w:rPr>
        <w:t>í</w:t>
      </w:r>
      <w:r w:rsidR="00330118">
        <w:rPr>
          <w:sz w:val="16"/>
        </w:rPr>
        <w:t xml:space="preserve"> </w:t>
      </w:r>
      <w:r w:rsidR="00330118">
        <w:rPr>
          <w:spacing w:val="40"/>
          <w:sz w:val="16"/>
        </w:rPr>
        <w:t>v</w:t>
      </w:r>
      <w:r w:rsidR="00330118">
        <w:rPr>
          <w:sz w:val="16"/>
        </w:rPr>
        <w:t xml:space="preserve"> </w:t>
      </w:r>
      <w:r w:rsidR="00330118">
        <w:rPr>
          <w:spacing w:val="40"/>
          <w:sz w:val="16"/>
        </w:rPr>
        <w:t>e</w:t>
      </w:r>
      <w:r w:rsidR="00330118">
        <w:rPr>
          <w:sz w:val="16"/>
        </w:rPr>
        <w:t xml:space="preserve"> l</w:t>
      </w:r>
      <w:r w:rsidR="00330118">
        <w:rPr>
          <w:sz w:val="16"/>
        </w:rPr>
        <w:tab/>
      </w:r>
      <w:r w:rsidR="00330118">
        <w:rPr>
          <w:spacing w:val="40"/>
          <w:sz w:val="16"/>
        </w:rPr>
        <w:t>e</w:t>
      </w:r>
      <w:r w:rsidR="00330118">
        <w:rPr>
          <w:sz w:val="16"/>
        </w:rPr>
        <w:t xml:space="preserve"> </w:t>
      </w:r>
      <w:r w:rsidR="00330118">
        <w:rPr>
          <w:spacing w:val="40"/>
          <w:sz w:val="16"/>
        </w:rPr>
        <w:t>m</w:t>
      </w:r>
      <w:r w:rsidR="00330118">
        <w:rPr>
          <w:sz w:val="16"/>
        </w:rPr>
        <w:t xml:space="preserve"> : </w:t>
      </w:r>
      <w:r w:rsidR="00330118">
        <w:rPr>
          <w:spacing w:val="-3"/>
          <w:sz w:val="16"/>
        </w:rPr>
        <w:t xml:space="preserve"> </w:t>
      </w:r>
    </w:p>
    <w:p w:rsidR="00D81F69" w:rsidRDefault="00D81F69">
      <w:pPr>
        <w:spacing w:before="4" w:line="312" w:lineRule="auto"/>
        <w:ind w:left="100" w:right="197"/>
        <w:jc w:val="both"/>
        <w:rPr>
          <w:sz w:val="16"/>
        </w:rPr>
      </w:pPr>
      <w:hyperlink r:id="rId955">
        <w:r w:rsidR="00330118">
          <w:rPr>
            <w:sz w:val="16"/>
          </w:rPr>
          <w:t xml:space="preserve">&lt;http://www.senaigo.com.br/site/conteudo.php?id=171&gt;. </w:t>
        </w:r>
      </w:hyperlink>
      <w:r w:rsidR="00330118">
        <w:rPr>
          <w:sz w:val="16"/>
        </w:rPr>
        <w:t>Acesso em: 08 abr. 2011.</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92" w:space="278"/>
            <w:col w:w="5310"/>
          </w:cols>
        </w:sectPr>
      </w:pPr>
    </w:p>
    <w:p w:rsidR="00D81F69" w:rsidRDefault="00330118">
      <w:pPr>
        <w:pStyle w:val="Heading1"/>
        <w:spacing w:line="208" w:lineRule="auto"/>
      </w:pPr>
      <w:r>
        <w:rPr>
          <w:spacing w:val="3"/>
        </w:rPr>
        <w:lastRenderedPageBreak/>
        <w:t xml:space="preserve">Início </w:t>
      </w:r>
      <w:r>
        <w:rPr>
          <w:spacing w:val="1"/>
        </w:rPr>
        <w:t xml:space="preserve">da </w:t>
      </w:r>
      <w:r>
        <w:rPr>
          <w:spacing w:val="3"/>
        </w:rPr>
        <w:t xml:space="preserve">cadeia produtiva </w:t>
      </w:r>
      <w:r>
        <w:rPr>
          <w:spacing w:val="1"/>
        </w:rPr>
        <w:t xml:space="preserve">de </w:t>
      </w:r>
      <w:r>
        <w:rPr>
          <w:spacing w:val="3"/>
        </w:rPr>
        <w:t xml:space="preserve">ferro-gusa </w:t>
      </w:r>
      <w:r>
        <w:rPr>
          <w:spacing w:val="1"/>
        </w:rPr>
        <w:t xml:space="preserve">em </w:t>
      </w:r>
      <w:r>
        <w:rPr>
          <w:spacing w:val="3"/>
        </w:rPr>
        <w:t xml:space="preserve">Ribas </w:t>
      </w:r>
      <w:r>
        <w:rPr>
          <w:spacing w:val="5"/>
        </w:rPr>
        <w:t xml:space="preserve">do </w:t>
      </w:r>
      <w:r>
        <w:rPr>
          <w:spacing w:val="2"/>
        </w:rPr>
        <w:t xml:space="preserve">Rio </w:t>
      </w:r>
      <w:r>
        <w:rPr>
          <w:spacing w:val="3"/>
        </w:rPr>
        <w:t xml:space="preserve">Pardo </w:t>
      </w:r>
      <w:r>
        <w:rPr>
          <w:spacing w:val="2"/>
        </w:rPr>
        <w:t xml:space="preserve">(MS) </w:t>
      </w:r>
      <w:r>
        <w:rPr>
          <w:spacing w:val="3"/>
        </w:rPr>
        <w:t>apresenta</w:t>
      </w:r>
      <w:r>
        <w:rPr>
          <w:spacing w:val="86"/>
        </w:rPr>
        <w:t xml:space="preserve"> </w:t>
      </w:r>
      <w:r>
        <w:rPr>
          <w:spacing w:val="5"/>
        </w:rPr>
        <w:t>irregularidades</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MS - Ribas do Rio Pardo</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-21,6061</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-52,8211</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8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Em Ribas do Rio Pardo tem início a cadeia produtiva de ferro-gusa, usado por várias siderúrgicas para o beneficiamento do minério de ferro e para produção do aço. Seu processo produtivo demanda a utilização em larga escala de carvão vegetal, cuja produção </w:t>
      </w:r>
      <w:r>
        <w:rPr>
          <w:i/>
          <w:sz w:val="16"/>
        </w:rPr>
        <w:t xml:space="preserve">no município é marcada pela extração ilegal de madeira nativa e pela precarização do trabalho. </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8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87"/>
      </w:pPr>
      <w:r>
        <w:t>implantado no início dos anos 1970, e abrangia os municípios de Campo Grande, Três Lagoas, Ribas do Rio Pardo, Camapuã, Água Clara, Santa Rita do Pardo, Bra</w:t>
      </w:r>
      <w:r>
        <w:t>silândia e Selvíria (PEREIRA, 2007).</w:t>
      </w:r>
    </w:p>
    <w:p w:rsidR="00D81F69" w:rsidRDefault="00330118">
      <w:pPr>
        <w:pStyle w:val="Corpodetexto"/>
        <w:spacing w:before="133" w:line="312" w:lineRule="auto"/>
        <w:ind w:left="135" w:right="209"/>
      </w:pPr>
      <w:r>
        <w:t xml:space="preserve">Para concretização do Maciço Florestal, o Governo Federal </w:t>
      </w:r>
      <w:r>
        <w:rPr>
          <w:spacing w:val="5"/>
        </w:rPr>
        <w:t xml:space="preserve">empregou </w:t>
      </w:r>
      <w:r>
        <w:t xml:space="preserve">a </w:t>
      </w:r>
      <w:r>
        <w:rPr>
          <w:spacing w:val="5"/>
        </w:rPr>
        <w:t xml:space="preserve">concessão </w:t>
      </w:r>
      <w:r>
        <w:rPr>
          <w:spacing w:val="2"/>
        </w:rPr>
        <w:t xml:space="preserve">de </w:t>
      </w:r>
      <w:r>
        <w:rPr>
          <w:spacing w:val="5"/>
        </w:rPr>
        <w:t xml:space="preserve">estímulos fiscais </w:t>
      </w:r>
      <w:r>
        <w:rPr>
          <w:spacing w:val="2"/>
        </w:rPr>
        <w:t xml:space="preserve">às </w:t>
      </w:r>
      <w:r>
        <w:rPr>
          <w:spacing w:val="5"/>
        </w:rPr>
        <w:t xml:space="preserve">pessoas </w:t>
      </w:r>
      <w:r>
        <w:t xml:space="preserve">físicas e jurídicas, para que adquirissem terras na região e </w:t>
      </w:r>
      <w:r>
        <w:rPr>
          <w:spacing w:val="5"/>
        </w:rPr>
        <w:t xml:space="preserve">iniciassem </w:t>
      </w:r>
      <w:r>
        <w:t xml:space="preserve">o </w:t>
      </w:r>
      <w:r>
        <w:rPr>
          <w:spacing w:val="5"/>
        </w:rPr>
        <w:t xml:space="preserve">plantio </w:t>
      </w:r>
      <w:r>
        <w:rPr>
          <w:spacing w:val="2"/>
        </w:rPr>
        <w:t xml:space="preserve">de </w:t>
      </w:r>
      <w:r>
        <w:rPr>
          <w:spacing w:val="5"/>
        </w:rPr>
        <w:t xml:space="preserve">eucalipto. </w:t>
      </w:r>
      <w:r>
        <w:rPr>
          <w:spacing w:val="3"/>
        </w:rPr>
        <w:t xml:space="preserve">Sendo </w:t>
      </w:r>
      <w:r>
        <w:rPr>
          <w:spacing w:val="5"/>
        </w:rPr>
        <w:t>assim, grandes</w:t>
      </w:r>
      <w:r>
        <w:rPr>
          <w:spacing w:val="61"/>
        </w:rPr>
        <w:t xml:space="preserve"> </w:t>
      </w:r>
      <w:r>
        <w:t>empresas rurais e industriais se tornaram proprietárias legais de enormes extensões de terras, o que agravou a questão da concentração fundiária na região (PEREIRA, 2007).</w:t>
      </w:r>
    </w:p>
    <w:p w:rsidR="00D81F69" w:rsidRDefault="00D81F69">
      <w:pPr>
        <w:spacing w:line="312" w:lineRule="auto"/>
        <w:sectPr w:rsidR="00D81F69">
          <w:type w:val="continuous"/>
          <w:pgSz w:w="11900" w:h="16840"/>
          <w:pgMar w:top="720" w:right="500" w:bottom="280" w:left="620" w:header="720" w:footer="720" w:gutter="0"/>
          <w:cols w:num="3" w:space="720" w:equalWidth="0">
            <w:col w:w="1724" w:space="276"/>
            <w:col w:w="3114" w:space="321"/>
            <w:col w:w="5345"/>
          </w:cols>
        </w:sectPr>
      </w:pPr>
    </w:p>
    <w:p w:rsidR="00D81F69" w:rsidRDefault="00330118">
      <w:pPr>
        <w:pStyle w:val="Heading4"/>
        <w:spacing w:before="90"/>
        <w:jc w:val="left"/>
      </w:pPr>
      <w:r>
        <w:lastRenderedPageBreak/>
        <w:t>APRESENTAÇÃO DE CASO</w:t>
      </w:r>
    </w:p>
    <w:p w:rsidR="00D81F69" w:rsidRDefault="00330118">
      <w:pPr>
        <w:pStyle w:val="Corpodetexto"/>
        <w:spacing w:before="171" w:line="312" w:lineRule="auto"/>
        <w:ind w:right="69"/>
      </w:pPr>
      <w:r>
        <w:t xml:space="preserve">O </w:t>
      </w:r>
      <w:hyperlink r:id="rId956">
        <w:r>
          <w:t xml:space="preserve">ferro-gusa </w:t>
        </w:r>
      </w:hyperlink>
      <w:r>
        <w:t>é o produto imediato da redução do minério de ferro pelo coque ou carvão e calcário num alto forno, sendo a maior parte da sua produção destinada à indústria siderúrgica</w:t>
      </w:r>
      <w:r>
        <w:t>. A produção de ferro-gusa pelas siderúrgicas requer elevada quantidade de energia suprida por carvão vegetal para o processo de fabricação do aço (MONTEIRO, 2006), que terá vários fins, seja no mercado interno ou externo (PEREIRA, 2007). No entanto, a dem</w:t>
      </w:r>
      <w:r>
        <w:t>anda das siderúrgicas por este insumo tem gerado efeitos deletérios (MONTEIRO, 2006), como a degradação ambiental, a exploração ilegal de recursos naturais e graves problemas sociais envolvendo precárias condições de trabalho, má remuneração e insalubridad</w:t>
      </w:r>
      <w:r>
        <w:t>e (ANDRADE &amp; ARAÚJO, 2006; BOURSCHEIT, 2006; HOMMA et al., 2006 apud HESS, 2008).</w:t>
      </w:r>
    </w:p>
    <w:p w:rsidR="00D81F69" w:rsidRDefault="00330118">
      <w:pPr>
        <w:pStyle w:val="Corpodetexto"/>
        <w:spacing w:before="144" w:line="312" w:lineRule="auto"/>
        <w:ind w:right="75"/>
      </w:pPr>
      <w:r>
        <w:t xml:space="preserve">No caso do estado do Mato Grosso do Sul, por exemplo, a produção de carvão vegetal nas carvoarias fundamentou-se, desde o início, em um baixo custo operacional, com ausência </w:t>
      </w:r>
      <w:r>
        <w:t>de controle ambiental, sonegação fiscal e práticas laborais baseadas em regime de superexploração do trabalho (ARANHA SILVA, 2002 apud PEREIRA, 2007). Com uma</w:t>
      </w:r>
    </w:p>
    <w:p w:rsidR="00D81F69" w:rsidRDefault="00330118">
      <w:pPr>
        <w:pStyle w:val="Corpodetexto"/>
        <w:spacing w:before="5" w:line="312" w:lineRule="auto"/>
        <w:ind w:right="38"/>
        <w:jc w:val="left"/>
      </w:pPr>
      <w:r>
        <w:rPr>
          <w:spacing w:val="3"/>
        </w:rPr>
        <w:t xml:space="preserve">área </w:t>
      </w:r>
      <w:r>
        <w:rPr>
          <w:spacing w:val="2"/>
        </w:rPr>
        <w:t xml:space="preserve">de </w:t>
      </w:r>
      <w:r>
        <w:rPr>
          <w:spacing w:val="5"/>
        </w:rPr>
        <w:t xml:space="preserve">17.308 </w:t>
      </w:r>
      <w:r>
        <w:rPr>
          <w:spacing w:val="3"/>
        </w:rPr>
        <w:t xml:space="preserve">km² </w:t>
      </w:r>
      <w:r>
        <w:t xml:space="preserve">e </w:t>
      </w:r>
      <w:r>
        <w:rPr>
          <w:spacing w:val="5"/>
        </w:rPr>
        <w:t xml:space="preserve">20.946 habitantes (IBGE, 2010), </w:t>
      </w:r>
      <w:r>
        <w:t>o município de Ribas do Rio Pardo é um dos l</w:t>
      </w:r>
      <w:r>
        <w:t xml:space="preserve">ocais brasileiros </w:t>
      </w:r>
      <w:r>
        <w:rPr>
          <w:spacing w:val="2"/>
        </w:rPr>
        <w:t xml:space="preserve">onde tem </w:t>
      </w:r>
      <w:r>
        <w:rPr>
          <w:spacing w:val="3"/>
        </w:rPr>
        <w:t xml:space="preserve">início </w:t>
      </w:r>
      <w:r>
        <w:t xml:space="preserve">a </w:t>
      </w:r>
      <w:r>
        <w:rPr>
          <w:spacing w:val="3"/>
        </w:rPr>
        <w:t xml:space="preserve">cadeia produtiva </w:t>
      </w:r>
      <w:r>
        <w:rPr>
          <w:spacing w:val="1"/>
        </w:rPr>
        <w:t xml:space="preserve">de </w:t>
      </w:r>
      <w:r>
        <w:rPr>
          <w:spacing w:val="3"/>
        </w:rPr>
        <w:t xml:space="preserve">ferro-gusa. </w:t>
      </w:r>
      <w:r>
        <w:rPr>
          <w:spacing w:val="5"/>
        </w:rPr>
        <w:t xml:space="preserve">Grande </w:t>
      </w:r>
      <w:r>
        <w:rPr>
          <w:spacing w:val="3"/>
        </w:rPr>
        <w:t xml:space="preserve">parte </w:t>
      </w:r>
      <w:r>
        <w:rPr>
          <w:spacing w:val="1"/>
        </w:rPr>
        <w:t xml:space="preserve">do </w:t>
      </w:r>
      <w:r>
        <w:rPr>
          <w:spacing w:val="3"/>
        </w:rPr>
        <w:t xml:space="preserve">carvão vegetal </w:t>
      </w:r>
      <w:r>
        <w:rPr>
          <w:spacing w:val="2"/>
        </w:rPr>
        <w:t xml:space="preserve">ali </w:t>
      </w:r>
      <w:r>
        <w:rPr>
          <w:spacing w:val="3"/>
        </w:rPr>
        <w:t xml:space="preserve">produzido </w:t>
      </w:r>
      <w:r>
        <w:rPr>
          <w:spacing w:val="2"/>
        </w:rPr>
        <w:t xml:space="preserve">[no </w:t>
      </w:r>
      <w:r>
        <w:rPr>
          <w:spacing w:val="3"/>
        </w:rPr>
        <w:t xml:space="preserve">município </w:t>
      </w:r>
      <w:r>
        <w:rPr>
          <w:spacing w:val="5"/>
        </w:rPr>
        <w:t xml:space="preserve">foram </w:t>
      </w:r>
      <w:r>
        <w:rPr>
          <w:spacing w:val="1"/>
        </w:rPr>
        <w:t xml:space="preserve">produzidas 42.000 toneladas </w:t>
      </w:r>
      <w:r>
        <w:t xml:space="preserve">de </w:t>
      </w:r>
      <w:r>
        <w:rPr>
          <w:spacing w:val="1"/>
        </w:rPr>
        <w:t xml:space="preserve">carvão vegetal </w:t>
      </w:r>
      <w:r>
        <w:t xml:space="preserve">no ano </w:t>
      </w:r>
      <w:r>
        <w:rPr>
          <w:spacing w:val="2"/>
        </w:rPr>
        <w:t xml:space="preserve">de </w:t>
      </w:r>
      <w:r>
        <w:rPr>
          <w:spacing w:val="5"/>
        </w:rPr>
        <w:t xml:space="preserve">2011 (IBGE, 2012)] tem como destino </w:t>
      </w:r>
      <w:r>
        <w:rPr>
          <w:spacing w:val="6"/>
        </w:rPr>
        <w:t xml:space="preserve">principal </w:t>
      </w:r>
      <w:r>
        <w:t xml:space="preserve">o </w:t>
      </w:r>
      <w:r>
        <w:rPr>
          <w:spacing w:val="7"/>
        </w:rPr>
        <w:t xml:space="preserve">polo </w:t>
      </w:r>
      <w:r>
        <w:rPr>
          <w:spacing w:val="8"/>
        </w:rPr>
        <w:t xml:space="preserve">siderúrgico </w:t>
      </w:r>
      <w:r>
        <w:rPr>
          <w:spacing w:val="5"/>
        </w:rPr>
        <w:t>de</w:t>
      </w:r>
      <w:r>
        <w:rPr>
          <w:spacing w:val="5"/>
        </w:rPr>
        <w:t xml:space="preserve"> </w:t>
      </w:r>
      <w:r>
        <w:rPr>
          <w:spacing w:val="7"/>
        </w:rPr>
        <w:t xml:space="preserve">Minas Gerais, </w:t>
      </w:r>
      <w:r>
        <w:rPr>
          <w:spacing w:val="8"/>
        </w:rPr>
        <w:t xml:space="preserve">responsável </w:t>
      </w:r>
      <w:r>
        <w:rPr>
          <w:spacing w:val="5"/>
        </w:rPr>
        <w:t xml:space="preserve">por 38% </w:t>
      </w:r>
      <w:r>
        <w:rPr>
          <w:spacing w:val="10"/>
        </w:rPr>
        <w:t xml:space="preserve">da </w:t>
      </w:r>
      <w:r>
        <w:t>produção nacional de aço. Outra parte permanece no próprio município, para ser consumida na Sidersul, siderúrgica local,   e o restante se destina ao estado de São Paulo, para também ser usado em siderúrgicas (PEREIRA,</w:t>
      </w:r>
      <w:r>
        <w:rPr>
          <w:spacing w:val="3"/>
        </w:rPr>
        <w:t xml:space="preserve"> </w:t>
      </w:r>
      <w:r>
        <w:t>2007).</w:t>
      </w:r>
    </w:p>
    <w:p w:rsidR="00D81F69" w:rsidRDefault="00330118">
      <w:pPr>
        <w:pStyle w:val="Corpodetexto"/>
        <w:spacing w:before="140" w:line="312" w:lineRule="auto"/>
        <w:ind w:right="62"/>
      </w:pPr>
      <w:r>
        <w:t xml:space="preserve">O </w:t>
      </w:r>
      <w:r>
        <w:rPr>
          <w:spacing w:val="3"/>
        </w:rPr>
        <w:t xml:space="preserve">surgimento </w:t>
      </w:r>
      <w:r>
        <w:rPr>
          <w:spacing w:val="2"/>
        </w:rPr>
        <w:t xml:space="preserve">das </w:t>
      </w:r>
      <w:r>
        <w:rPr>
          <w:spacing w:val="3"/>
        </w:rPr>
        <w:t xml:space="preserve">carvoarias </w:t>
      </w:r>
      <w:r>
        <w:rPr>
          <w:spacing w:val="1"/>
        </w:rPr>
        <w:t xml:space="preserve">no </w:t>
      </w:r>
      <w:r>
        <w:rPr>
          <w:spacing w:val="2"/>
        </w:rPr>
        <w:t xml:space="preserve">Mato </w:t>
      </w:r>
      <w:r>
        <w:rPr>
          <w:spacing w:val="3"/>
        </w:rPr>
        <w:t xml:space="preserve">Grosso </w:t>
      </w:r>
      <w:r>
        <w:rPr>
          <w:spacing w:val="1"/>
        </w:rPr>
        <w:t xml:space="preserve">do </w:t>
      </w:r>
      <w:r>
        <w:rPr>
          <w:spacing w:val="2"/>
        </w:rPr>
        <w:t xml:space="preserve">Sul </w:t>
      </w:r>
      <w:r>
        <w:rPr>
          <w:spacing w:val="5"/>
        </w:rPr>
        <w:t xml:space="preserve">está </w:t>
      </w:r>
      <w:r>
        <w:rPr>
          <w:spacing w:val="1"/>
        </w:rPr>
        <w:t xml:space="preserve">relacionado </w:t>
      </w:r>
      <w:r>
        <w:t xml:space="preserve">ao </w:t>
      </w:r>
      <w:r>
        <w:rPr>
          <w:spacing w:val="1"/>
        </w:rPr>
        <w:t xml:space="preserve">fracasso </w:t>
      </w:r>
      <w:r>
        <w:t xml:space="preserve">do </w:t>
      </w:r>
      <w:r>
        <w:rPr>
          <w:spacing w:val="1"/>
        </w:rPr>
        <w:t xml:space="preserve">Projeto </w:t>
      </w:r>
      <w:r>
        <w:t xml:space="preserve">do </w:t>
      </w:r>
      <w:r>
        <w:rPr>
          <w:spacing w:val="1"/>
        </w:rPr>
        <w:t xml:space="preserve">Maciço Florestal. </w:t>
      </w:r>
      <w:r>
        <w:t xml:space="preserve">O projeto de florestamento era um dos objetivos do Programa </w:t>
      </w:r>
      <w:r>
        <w:rPr>
          <w:spacing w:val="10"/>
        </w:rPr>
        <w:t xml:space="preserve">Nacional </w:t>
      </w:r>
      <w:r>
        <w:rPr>
          <w:spacing w:val="5"/>
        </w:rPr>
        <w:t xml:space="preserve">de </w:t>
      </w:r>
      <w:r>
        <w:rPr>
          <w:spacing w:val="10"/>
        </w:rPr>
        <w:t xml:space="preserve">Papel </w:t>
      </w:r>
      <w:r>
        <w:t xml:space="preserve">e </w:t>
      </w:r>
      <w:r>
        <w:rPr>
          <w:spacing w:val="10"/>
        </w:rPr>
        <w:t xml:space="preserve">Celulose </w:t>
      </w:r>
      <w:r>
        <w:rPr>
          <w:spacing w:val="5"/>
        </w:rPr>
        <w:t xml:space="preserve">do </w:t>
      </w:r>
      <w:r>
        <w:rPr>
          <w:spacing w:val="10"/>
        </w:rPr>
        <w:t>Governo</w:t>
      </w:r>
      <w:r>
        <w:rPr>
          <w:spacing w:val="65"/>
        </w:rPr>
        <w:t xml:space="preserve"> </w:t>
      </w:r>
      <w:r>
        <w:rPr>
          <w:spacing w:val="12"/>
        </w:rPr>
        <w:t>Federal,</w:t>
      </w:r>
    </w:p>
    <w:p w:rsidR="00D81F69" w:rsidRDefault="00330118">
      <w:pPr>
        <w:pStyle w:val="Corpodetexto"/>
        <w:spacing w:before="137" w:line="312" w:lineRule="auto"/>
        <w:ind w:right="184"/>
      </w:pPr>
      <w:r>
        <w:br w:type="column"/>
      </w:r>
      <w:r>
        <w:rPr>
          <w:spacing w:val="3"/>
        </w:rPr>
        <w:lastRenderedPageBreak/>
        <w:t xml:space="preserve">Ribas </w:t>
      </w:r>
      <w:r>
        <w:rPr>
          <w:spacing w:val="2"/>
        </w:rPr>
        <w:t xml:space="preserve">do </w:t>
      </w:r>
      <w:r>
        <w:rPr>
          <w:spacing w:val="3"/>
        </w:rPr>
        <w:t xml:space="preserve">Rio Pardo era </w:t>
      </w:r>
      <w:r>
        <w:t xml:space="preserve">o </w:t>
      </w:r>
      <w:r>
        <w:rPr>
          <w:spacing w:val="5"/>
        </w:rPr>
        <w:t xml:space="preserve">município </w:t>
      </w:r>
      <w:r>
        <w:rPr>
          <w:spacing w:val="2"/>
        </w:rPr>
        <w:t xml:space="preserve">de </w:t>
      </w:r>
      <w:r>
        <w:rPr>
          <w:spacing w:val="3"/>
        </w:rPr>
        <w:t xml:space="preserve">maior </w:t>
      </w:r>
      <w:r>
        <w:rPr>
          <w:spacing w:val="5"/>
        </w:rPr>
        <w:t>cobertura</w:t>
      </w:r>
      <w:r>
        <w:rPr>
          <w:spacing w:val="61"/>
        </w:rPr>
        <w:t xml:space="preserve"> </w:t>
      </w:r>
      <w:r>
        <w:t xml:space="preserve">florestal, com 64% da área total do projeto. Mas, a iniciativa  de florestamento fracassou, dentre outros motivos, devido ao uso indevido dos recursos financeiros (ARANHA SILVA, 2002 apud PEREIRA, 2007). Além disso, a crise do </w:t>
      </w:r>
      <w:r>
        <w:t xml:space="preserve">petróleo, com o </w:t>
      </w:r>
      <w:r>
        <w:rPr>
          <w:spacing w:val="10"/>
        </w:rPr>
        <w:t xml:space="preserve">consequente encarecimento </w:t>
      </w:r>
      <w:r>
        <w:rPr>
          <w:spacing w:val="5"/>
        </w:rPr>
        <w:t xml:space="preserve">do </w:t>
      </w:r>
      <w:r>
        <w:rPr>
          <w:spacing w:val="8"/>
        </w:rPr>
        <w:t xml:space="preserve">transporte </w:t>
      </w:r>
      <w:r>
        <w:rPr>
          <w:spacing w:val="10"/>
        </w:rPr>
        <w:t xml:space="preserve">rodoviário, </w:t>
      </w:r>
      <w:r>
        <w:rPr>
          <w:spacing w:val="3"/>
        </w:rPr>
        <w:t xml:space="preserve">contribuiu </w:t>
      </w:r>
      <w:r>
        <w:rPr>
          <w:spacing w:val="2"/>
        </w:rPr>
        <w:t xml:space="preserve">para </w:t>
      </w:r>
      <w:r>
        <w:t xml:space="preserve">o </w:t>
      </w:r>
      <w:r>
        <w:rPr>
          <w:spacing w:val="3"/>
        </w:rPr>
        <w:t xml:space="preserve">declínio </w:t>
      </w:r>
      <w:r>
        <w:rPr>
          <w:spacing w:val="1"/>
        </w:rPr>
        <w:t xml:space="preserve">da </w:t>
      </w:r>
      <w:r>
        <w:rPr>
          <w:spacing w:val="3"/>
        </w:rPr>
        <w:t>iniciativa (PEREIRA,</w:t>
      </w:r>
      <w:r>
        <w:rPr>
          <w:spacing w:val="42"/>
        </w:rPr>
        <w:t xml:space="preserve"> </w:t>
      </w:r>
      <w:r>
        <w:rPr>
          <w:spacing w:val="5"/>
        </w:rPr>
        <w:t>2007).</w:t>
      </w:r>
    </w:p>
    <w:p w:rsidR="00D81F69" w:rsidRDefault="00330118">
      <w:pPr>
        <w:pStyle w:val="Corpodetexto"/>
        <w:spacing w:before="136" w:line="312" w:lineRule="auto"/>
        <w:ind w:right="205"/>
      </w:pPr>
      <w:r>
        <w:t xml:space="preserve">As grandes empresas de florestamento passaram, então, a requerer a instalação de indústrias especializadas na produção de papel e </w:t>
      </w:r>
      <w:r>
        <w:t>celulose, no estado, por meio de subsídios e incentivos fiscais. Entretanto, as propostas não foram suficientes para atrair investidores que aproveitassem a madeira do eucalipto. Com o decorrer do tempo o projeto foi paralisado, contribuindo para intensifi</w:t>
      </w:r>
      <w:r>
        <w:t>car os problemas econômicos, sociais, políticos e ambientais na região (PEREIRA, 2007).</w:t>
      </w:r>
    </w:p>
    <w:p w:rsidR="00D81F69" w:rsidRDefault="00330118">
      <w:pPr>
        <w:pStyle w:val="Corpodetexto"/>
        <w:spacing w:before="138" w:line="312" w:lineRule="auto"/>
        <w:ind w:right="209"/>
      </w:pPr>
      <w:r>
        <w:t>Em 1985, com a intenção de solucionar o problema do aproveitamento da madeira do Maciço Florestal, houve um acordo entre os setores envolvidos no projeto: de um lado as</w:t>
      </w:r>
      <w:r>
        <w:t xml:space="preserve"> florestadoras e os proprietários de terra com eucalipto, e, do outro, as siderúrgicas de Minas Gerais. A ideia era que a produção de carvão vegetal poderia oferecer aos empresários do florestamento um retorno dos investimentos realizados com recursos obti</w:t>
      </w:r>
      <w:r>
        <w:t>dos por intermédio dos cofres públicos (PEREIRA, 2007).</w:t>
      </w:r>
    </w:p>
    <w:p w:rsidR="00D81F69" w:rsidRDefault="00330118">
      <w:pPr>
        <w:pStyle w:val="Corpodetexto"/>
        <w:spacing w:before="139" w:line="312" w:lineRule="auto"/>
        <w:ind w:right="194"/>
      </w:pPr>
      <w:r>
        <w:t>Assim, as carvoarias se tornaram uma alternativa na região, em virtude dos baixos investimentos necessários para a atividade. A precária infraestrutura, juntamente com os baixos salários dos trabalhad</w:t>
      </w:r>
      <w:r>
        <w:t>ores e a grande oferta de mão de obra tornava a atividade lucrativa (PEREIRA, 2007).</w:t>
      </w:r>
    </w:p>
    <w:p w:rsidR="00D81F69" w:rsidRDefault="00330118">
      <w:pPr>
        <w:pStyle w:val="Corpodetexto"/>
        <w:spacing w:before="71" w:line="270" w:lineRule="atLeast"/>
        <w:ind w:right="188"/>
      </w:pPr>
      <w:r>
        <w:t>A produção do carvão vegetal exige o envolvimento de trabalhadores em diferentes funções. Há o motoqueiro, responsável pelo corte da madeira da vegetação nativa ou do euca</w:t>
      </w:r>
      <w:r>
        <w:t>lipto, que utiliza uma motosserra elétrica, ou até ferramentas manuais, como foice e machado, dependendo dos recursos do empregador. O motorista (de trator ou caminhão), que é responsável pelo transporte da madeira até</w:t>
      </w:r>
    </w:p>
    <w:p w:rsidR="00D81F69" w:rsidRDefault="00D81F69">
      <w:pPr>
        <w:spacing w:line="270" w:lineRule="atLeast"/>
        <w:sectPr w:rsidR="00D81F69">
          <w:type w:val="continuous"/>
          <w:pgSz w:w="11900" w:h="16840"/>
          <w:pgMar w:top="720" w:right="500" w:bottom="280" w:left="620" w:header="720" w:footer="720" w:gutter="0"/>
          <w:cols w:num="2" w:space="720" w:equalWidth="0">
            <w:col w:w="5191" w:space="279"/>
            <w:col w:w="5310"/>
          </w:cols>
        </w:sectPr>
      </w:pPr>
    </w:p>
    <w:p w:rsidR="00D81F69" w:rsidRDefault="00330118">
      <w:pPr>
        <w:pStyle w:val="Corpodetexto"/>
        <w:spacing w:before="81" w:line="312" w:lineRule="auto"/>
        <w:ind w:right="62"/>
      </w:pPr>
      <w:r>
        <w:lastRenderedPageBreak/>
        <w:t>a boca dos</w:t>
      </w:r>
      <w:r>
        <w:t xml:space="preserve"> fornos. O carbonizador, que enche os fornos com a madeira, embarra, ou seja, fecha as portas dos fornos com </w:t>
      </w:r>
      <w:r>
        <w:rPr>
          <w:spacing w:val="5"/>
        </w:rPr>
        <w:t xml:space="preserve">tijolos </w:t>
      </w:r>
      <w:r>
        <w:t xml:space="preserve">e </w:t>
      </w:r>
      <w:r>
        <w:rPr>
          <w:spacing w:val="5"/>
        </w:rPr>
        <w:t xml:space="preserve">barro, </w:t>
      </w:r>
      <w:r>
        <w:rPr>
          <w:spacing w:val="6"/>
        </w:rPr>
        <w:t xml:space="preserve">acende-os </w:t>
      </w:r>
      <w:r>
        <w:rPr>
          <w:spacing w:val="5"/>
        </w:rPr>
        <w:t xml:space="preserve">por uma </w:t>
      </w:r>
      <w:r>
        <w:rPr>
          <w:spacing w:val="6"/>
        </w:rPr>
        <w:t xml:space="preserve">abertura superior </w:t>
      </w:r>
      <w:r>
        <w:t xml:space="preserve">e acompanha todo o processo. Enquanto a madeira está sendo </w:t>
      </w:r>
      <w:r>
        <w:rPr>
          <w:spacing w:val="3"/>
        </w:rPr>
        <w:t xml:space="preserve">queimada, </w:t>
      </w:r>
      <w:r>
        <w:t xml:space="preserve">o </w:t>
      </w:r>
      <w:r>
        <w:rPr>
          <w:spacing w:val="2"/>
        </w:rPr>
        <w:t xml:space="preserve">que leva </w:t>
      </w:r>
      <w:r>
        <w:rPr>
          <w:spacing w:val="3"/>
        </w:rPr>
        <w:t xml:space="preserve">cerca </w:t>
      </w:r>
      <w:r>
        <w:rPr>
          <w:spacing w:val="1"/>
        </w:rPr>
        <w:t xml:space="preserve">de </w:t>
      </w:r>
      <w:r>
        <w:rPr>
          <w:spacing w:val="3"/>
        </w:rPr>
        <w:t>quatr</w:t>
      </w:r>
      <w:r>
        <w:rPr>
          <w:spacing w:val="3"/>
        </w:rPr>
        <w:t xml:space="preserve">o dias, </w:t>
      </w:r>
      <w:r>
        <w:rPr>
          <w:spacing w:val="2"/>
        </w:rPr>
        <w:t xml:space="preserve">ele </w:t>
      </w:r>
      <w:r>
        <w:rPr>
          <w:spacing w:val="3"/>
        </w:rPr>
        <w:t xml:space="preserve">esvazia </w:t>
      </w:r>
      <w:r>
        <w:t xml:space="preserve">e amontoa o carvão. E, por último, os chapas, responsáveis por </w:t>
      </w:r>
      <w:r>
        <w:rPr>
          <w:spacing w:val="5"/>
        </w:rPr>
        <w:t xml:space="preserve">ensacar </w:t>
      </w:r>
      <w:r>
        <w:t xml:space="preserve">o </w:t>
      </w:r>
      <w:r>
        <w:rPr>
          <w:spacing w:val="5"/>
        </w:rPr>
        <w:t xml:space="preserve">carvão </w:t>
      </w:r>
      <w:r>
        <w:t xml:space="preserve">e </w:t>
      </w:r>
      <w:r>
        <w:rPr>
          <w:spacing w:val="5"/>
        </w:rPr>
        <w:t xml:space="preserve">carregar </w:t>
      </w:r>
      <w:r>
        <w:rPr>
          <w:spacing w:val="2"/>
        </w:rPr>
        <w:t xml:space="preserve">os </w:t>
      </w:r>
      <w:r>
        <w:rPr>
          <w:spacing w:val="5"/>
        </w:rPr>
        <w:t xml:space="preserve">caminhões. Porém, </w:t>
      </w:r>
      <w:r>
        <w:rPr>
          <w:spacing w:val="6"/>
        </w:rPr>
        <w:t xml:space="preserve">um </w:t>
      </w:r>
      <w:r>
        <w:rPr>
          <w:spacing w:val="5"/>
        </w:rPr>
        <w:t xml:space="preserve">trabalhador </w:t>
      </w:r>
      <w:r>
        <w:rPr>
          <w:spacing w:val="3"/>
        </w:rPr>
        <w:t xml:space="preserve">pode </w:t>
      </w:r>
      <w:r>
        <w:rPr>
          <w:spacing w:val="5"/>
        </w:rPr>
        <w:t xml:space="preserve">desempenhar </w:t>
      </w:r>
      <w:r>
        <w:rPr>
          <w:spacing w:val="3"/>
        </w:rPr>
        <w:t xml:space="preserve">mais </w:t>
      </w:r>
      <w:r>
        <w:rPr>
          <w:spacing w:val="2"/>
        </w:rPr>
        <w:t xml:space="preserve">de </w:t>
      </w:r>
      <w:r>
        <w:rPr>
          <w:spacing w:val="3"/>
        </w:rPr>
        <w:t xml:space="preserve">uma </w:t>
      </w:r>
      <w:r>
        <w:rPr>
          <w:spacing w:val="5"/>
        </w:rPr>
        <w:t xml:space="preserve">função, de acordo </w:t>
      </w:r>
      <w:r>
        <w:rPr>
          <w:spacing w:val="3"/>
        </w:rPr>
        <w:t xml:space="preserve">com </w:t>
      </w:r>
      <w:r>
        <w:t xml:space="preserve">o </w:t>
      </w:r>
      <w:r>
        <w:rPr>
          <w:spacing w:val="5"/>
        </w:rPr>
        <w:t xml:space="preserve">tamanho </w:t>
      </w:r>
      <w:r>
        <w:rPr>
          <w:spacing w:val="2"/>
        </w:rPr>
        <w:t xml:space="preserve">da </w:t>
      </w:r>
      <w:r>
        <w:rPr>
          <w:spacing w:val="5"/>
        </w:rPr>
        <w:t xml:space="preserve">carvoaria </w:t>
      </w:r>
      <w:r>
        <w:t xml:space="preserve">e a </w:t>
      </w:r>
      <w:r>
        <w:rPr>
          <w:spacing w:val="5"/>
        </w:rPr>
        <w:t>intensidade da produção (PEREIR</w:t>
      </w:r>
      <w:r>
        <w:rPr>
          <w:spacing w:val="5"/>
        </w:rPr>
        <w:t>A,</w:t>
      </w:r>
      <w:r>
        <w:rPr>
          <w:spacing w:val="10"/>
        </w:rPr>
        <w:t xml:space="preserve"> </w:t>
      </w:r>
      <w:r>
        <w:rPr>
          <w:spacing w:val="5"/>
        </w:rPr>
        <w:t>2007).</w:t>
      </w:r>
    </w:p>
    <w:p w:rsidR="00D81F69" w:rsidRDefault="00330118">
      <w:pPr>
        <w:pStyle w:val="Corpodetexto"/>
        <w:spacing w:before="139" w:line="312" w:lineRule="auto"/>
        <w:ind w:right="38"/>
      </w:pPr>
      <w:r>
        <w:t xml:space="preserve">Todas essas atividades são dificultadas devido às más condições dos equipamentos (motosserras, tratores, caminhões), às extensas jornadas de trabalho, dentre outros fatores. Especialmente para os carbonizadores, que devem permanecer atentos, dia </w:t>
      </w:r>
      <w:r>
        <w:t>e noite, aos fornos para que o carvão não passe do ponto ideal, além de ficarem expostos às altas temperaturas e respirando os gases e o pó durante a retirada do carvão dos fornos (PEREIRA, 2007).</w:t>
      </w:r>
    </w:p>
    <w:p w:rsidR="00D81F69" w:rsidRDefault="00330118">
      <w:pPr>
        <w:pStyle w:val="Corpodetexto"/>
        <w:spacing w:before="137" w:line="312" w:lineRule="auto"/>
        <w:ind w:right="44"/>
      </w:pPr>
      <w:r>
        <w:t>Pesquisas da área médica revelam que os trabalhadores expostos à fumaça dos fornos das carvoarias são acometidos por problemas respiratórios e danos à função pulmonar (KATO et al., 2005; TZANAKIS et al., 2001 apud HESS,</w:t>
      </w:r>
    </w:p>
    <w:p w:rsidR="00D81F69" w:rsidRDefault="00330118">
      <w:pPr>
        <w:pStyle w:val="Corpodetexto"/>
        <w:spacing w:before="4" w:line="312" w:lineRule="auto"/>
        <w:ind w:right="43"/>
      </w:pPr>
      <w:r>
        <w:t xml:space="preserve">2008). Um desses estudos, divulgado </w:t>
      </w:r>
      <w:r>
        <w:t>em 2004, relatou que testes realizados com a urina de trabalhadores de carvoarias mostraram que eles estão sistematicamente expostos a substâncias genotóxicas presentes na fumaça, aumentando significativamente os riscos de adoecimento por câncer, principal</w:t>
      </w:r>
      <w:r>
        <w:t>mente, de pulmão (KATO et al., 2004 apud HESS, 2008).</w:t>
      </w:r>
    </w:p>
    <w:p w:rsidR="00D81F69" w:rsidRDefault="00330118">
      <w:pPr>
        <w:pStyle w:val="Corpodetexto"/>
        <w:spacing w:before="137" w:line="312" w:lineRule="auto"/>
        <w:ind w:right="49"/>
      </w:pPr>
      <w:r>
        <w:t xml:space="preserve">Desde o início, a produção de carvão vegetal em Ribas do  Rio Pardo está vinculada a precárias condições de trabalho e </w:t>
      </w:r>
      <w:r>
        <w:rPr>
          <w:spacing w:val="1"/>
        </w:rPr>
        <w:t xml:space="preserve">de </w:t>
      </w:r>
      <w:r>
        <w:rPr>
          <w:spacing w:val="3"/>
        </w:rPr>
        <w:t xml:space="preserve">moradia </w:t>
      </w:r>
      <w:r>
        <w:rPr>
          <w:spacing w:val="2"/>
        </w:rPr>
        <w:t xml:space="preserve">dos </w:t>
      </w:r>
      <w:r>
        <w:rPr>
          <w:spacing w:val="3"/>
        </w:rPr>
        <w:t xml:space="preserve">trabalhadores. </w:t>
      </w:r>
      <w:r>
        <w:t xml:space="preserve">À </w:t>
      </w:r>
      <w:r>
        <w:rPr>
          <w:spacing w:val="3"/>
        </w:rPr>
        <w:t xml:space="preserve">época, </w:t>
      </w:r>
      <w:r>
        <w:t xml:space="preserve">o </w:t>
      </w:r>
      <w:r>
        <w:rPr>
          <w:spacing w:val="3"/>
        </w:rPr>
        <w:t xml:space="preserve">Sindicato </w:t>
      </w:r>
      <w:r>
        <w:rPr>
          <w:spacing w:val="5"/>
        </w:rPr>
        <w:t xml:space="preserve">dos </w:t>
      </w:r>
      <w:r>
        <w:t>Trabalhadores Rurais (STR) d</w:t>
      </w:r>
      <w:r>
        <w:t xml:space="preserve">o município, fundado em 1986, </w:t>
      </w:r>
      <w:r>
        <w:rPr>
          <w:spacing w:val="7"/>
        </w:rPr>
        <w:t xml:space="preserve">ainda estava sendo </w:t>
      </w:r>
      <w:r>
        <w:rPr>
          <w:spacing w:val="8"/>
        </w:rPr>
        <w:t xml:space="preserve">estruturado, </w:t>
      </w:r>
      <w:r>
        <w:t xml:space="preserve">e </w:t>
      </w:r>
      <w:r>
        <w:rPr>
          <w:spacing w:val="7"/>
        </w:rPr>
        <w:t xml:space="preserve">outros órgãos </w:t>
      </w:r>
      <w:r>
        <w:rPr>
          <w:spacing w:val="10"/>
        </w:rPr>
        <w:t xml:space="preserve">para </w:t>
      </w:r>
      <w:r>
        <w:t xml:space="preserve">fiscalização e desenvolvimento de projetos que contribuem </w:t>
      </w:r>
      <w:r>
        <w:rPr>
          <w:spacing w:val="2"/>
        </w:rPr>
        <w:t xml:space="preserve">para </w:t>
      </w:r>
      <w:r>
        <w:t xml:space="preserve">a </w:t>
      </w:r>
      <w:r>
        <w:rPr>
          <w:spacing w:val="3"/>
        </w:rPr>
        <w:t xml:space="preserve">melhoria destas condições ainda </w:t>
      </w:r>
      <w:r>
        <w:rPr>
          <w:spacing w:val="2"/>
        </w:rPr>
        <w:t xml:space="preserve">não </w:t>
      </w:r>
      <w:r>
        <w:rPr>
          <w:spacing w:val="3"/>
        </w:rPr>
        <w:t xml:space="preserve">haviam </w:t>
      </w:r>
      <w:r>
        <w:rPr>
          <w:spacing w:val="5"/>
        </w:rPr>
        <w:t xml:space="preserve">sido </w:t>
      </w:r>
      <w:r>
        <w:rPr>
          <w:spacing w:val="3"/>
        </w:rPr>
        <w:t>criados (PEREIRA,</w:t>
      </w:r>
      <w:r>
        <w:rPr>
          <w:spacing w:val="-3"/>
        </w:rPr>
        <w:t xml:space="preserve"> </w:t>
      </w:r>
      <w:r>
        <w:rPr>
          <w:spacing w:val="5"/>
        </w:rPr>
        <w:t>2007).</w:t>
      </w:r>
    </w:p>
    <w:p w:rsidR="00D81F69" w:rsidRDefault="00330118">
      <w:pPr>
        <w:pStyle w:val="Corpodetexto"/>
        <w:spacing w:before="137" w:line="312" w:lineRule="auto"/>
        <w:ind w:right="49"/>
      </w:pPr>
      <w:r>
        <w:t xml:space="preserve">Os trabalhadores das carvoarias de </w:t>
      </w:r>
      <w:r>
        <w:t>Ribas do Rio Pardo são, em sua maioria, migrantes vindos de estados próximos a Mato Grosso do Sul, tais como: Minas Gerais, Mato Grosso, São Paulo, Goiás e Paraná. Em sua grande parte eram assalariados rurais e também urbanos que, sem qualificação específi</w:t>
      </w:r>
      <w:r>
        <w:t>ca e com baixo nível de instrução, acabaram encontrando nas carvoarias oportunidade de trabalho (PEREIRA, 2007).</w:t>
      </w:r>
    </w:p>
    <w:p w:rsidR="00D81F69" w:rsidRDefault="00330118">
      <w:pPr>
        <w:pStyle w:val="Corpodetexto"/>
        <w:spacing w:before="137" w:line="312" w:lineRule="auto"/>
        <w:ind w:right="50"/>
      </w:pPr>
      <w:r>
        <w:t>Logo no início das atividades, os trabalhadores eram trazidos pelos chamados “gatos” (agenciadores de mão de obra) e já vinham endividados pela</w:t>
      </w:r>
      <w:r>
        <w:t>s despesas de transporte e alimentação. Em diversos casos, os salários não eram suficientes para cobrir as dívidas e, assim, estas se transformavam em justificativa para a permanência e sujeição dos trabalhadores nas carvoarias, que eram tachados como deve</w:t>
      </w:r>
      <w:r>
        <w:t>dores. Constituía-se, dessa maneira, o desenvolvimento da produção do carvão vegetal sob um regime de escravidão,</w:t>
      </w:r>
    </w:p>
    <w:p w:rsidR="00D81F69" w:rsidRDefault="00330118">
      <w:pPr>
        <w:pStyle w:val="Corpodetexto"/>
        <w:spacing w:before="81" w:line="312" w:lineRule="auto"/>
        <w:ind w:right="209"/>
      </w:pPr>
      <w:r>
        <w:br w:type="column"/>
      </w:r>
      <w:r>
        <w:lastRenderedPageBreak/>
        <w:t xml:space="preserve">o </w:t>
      </w:r>
      <w:r>
        <w:rPr>
          <w:spacing w:val="3"/>
        </w:rPr>
        <w:t xml:space="preserve">qual pode </w:t>
      </w:r>
      <w:r>
        <w:rPr>
          <w:spacing w:val="5"/>
        </w:rPr>
        <w:t xml:space="preserve">receber várias adjetivações, </w:t>
      </w:r>
      <w:r>
        <w:rPr>
          <w:spacing w:val="2"/>
        </w:rPr>
        <w:t xml:space="preserve">de </w:t>
      </w:r>
      <w:r>
        <w:rPr>
          <w:spacing w:val="5"/>
        </w:rPr>
        <w:t xml:space="preserve">acordo com </w:t>
      </w:r>
      <w:r>
        <w:t xml:space="preserve">diferentes concepções dos estudiosos, tais como: escravidão </w:t>
      </w:r>
      <w:r>
        <w:rPr>
          <w:spacing w:val="5"/>
        </w:rPr>
        <w:t xml:space="preserve">contemporânea, trabalho análogo </w:t>
      </w:r>
      <w:r>
        <w:t xml:space="preserve">à </w:t>
      </w:r>
      <w:r>
        <w:rPr>
          <w:spacing w:val="5"/>
        </w:rPr>
        <w:t>escravidão, trabalho</w:t>
      </w:r>
      <w:r>
        <w:rPr>
          <w:spacing w:val="61"/>
        </w:rPr>
        <w:t xml:space="preserve"> </w:t>
      </w:r>
      <w:r>
        <w:rPr>
          <w:spacing w:val="1"/>
        </w:rPr>
        <w:t xml:space="preserve">forçado, entre outros. Entre </w:t>
      </w:r>
      <w:r>
        <w:t xml:space="preserve">os </w:t>
      </w:r>
      <w:r>
        <w:rPr>
          <w:spacing w:val="1"/>
        </w:rPr>
        <w:t xml:space="preserve">carvoeiros, </w:t>
      </w:r>
      <w:r>
        <w:t xml:space="preserve">era </w:t>
      </w:r>
      <w:r>
        <w:rPr>
          <w:spacing w:val="1"/>
        </w:rPr>
        <w:t xml:space="preserve">comum </w:t>
      </w:r>
      <w:r>
        <w:rPr>
          <w:spacing w:val="2"/>
        </w:rPr>
        <w:t xml:space="preserve">ver </w:t>
      </w:r>
      <w:r>
        <w:rPr>
          <w:spacing w:val="3"/>
        </w:rPr>
        <w:t xml:space="preserve">crianças </w:t>
      </w:r>
      <w:r>
        <w:t xml:space="preserve">e </w:t>
      </w:r>
      <w:r>
        <w:rPr>
          <w:spacing w:val="3"/>
        </w:rPr>
        <w:t xml:space="preserve">jovens </w:t>
      </w:r>
      <w:r>
        <w:rPr>
          <w:spacing w:val="2"/>
        </w:rPr>
        <w:t xml:space="preserve">que </w:t>
      </w:r>
      <w:r>
        <w:rPr>
          <w:spacing w:val="3"/>
        </w:rPr>
        <w:t xml:space="preserve">trabalhavam </w:t>
      </w:r>
      <w:r>
        <w:rPr>
          <w:spacing w:val="2"/>
        </w:rPr>
        <w:t xml:space="preserve">para </w:t>
      </w:r>
      <w:r>
        <w:rPr>
          <w:spacing w:val="3"/>
        </w:rPr>
        <w:t xml:space="preserve">ajudar </w:t>
      </w:r>
      <w:r>
        <w:rPr>
          <w:spacing w:val="1"/>
        </w:rPr>
        <w:t xml:space="preserve">os </w:t>
      </w:r>
      <w:r>
        <w:rPr>
          <w:spacing w:val="2"/>
        </w:rPr>
        <w:t xml:space="preserve">pais </w:t>
      </w:r>
      <w:r>
        <w:t>a aumentarem seus rendimentos, o que posteriormente viria a ser proibido (PEREIRA, 2007).</w:t>
      </w:r>
    </w:p>
    <w:p w:rsidR="00D81F69" w:rsidRDefault="00330118">
      <w:pPr>
        <w:pStyle w:val="Corpodetexto"/>
        <w:spacing w:before="136" w:line="312" w:lineRule="auto"/>
        <w:ind w:right="199"/>
      </w:pPr>
      <w:r>
        <w:t>No início dos anos 1990, dos 150 empregados de carvoarias existentes em Ribas do Rio Pardo, só 84 eram registrados; 60 mulheres e 100 adolescentes participavam do trabalho sem proteção alguma – inclusive sem a utilização de equipamentos de proteção indivi</w:t>
      </w:r>
      <w:r>
        <w:t>dual (EPIs), o que provocava constantes acidentes de trabalho; as famílias moravam em casas feitas com toras e lonas, no meio dos fornos; as jornadas de trabalho iam das 5h às 18h; o pagamento era por produção; a empresa fornecia alimentos e descontava sem</w:t>
      </w:r>
      <w:r>
        <w:t xml:space="preserve"> apresentar notas (PEREIRA, 2007). Além disso, não havia assistência médica ou transporte em caso de doença (HUZAK; AZEVEDO, 1994 apud PEREIRA, 2007).</w:t>
      </w:r>
    </w:p>
    <w:p w:rsidR="00D81F69" w:rsidRDefault="00330118">
      <w:pPr>
        <w:pStyle w:val="Corpodetexto"/>
        <w:spacing w:before="141" w:line="312" w:lineRule="auto"/>
        <w:ind w:right="192"/>
      </w:pPr>
      <w:r>
        <w:t xml:space="preserve">Tendo em vista este cenário, no início de 1990, houve uma série de questionamentos envolvendo a produção </w:t>
      </w:r>
      <w:r>
        <w:t>de carvão no município, e, por volta de 1994-1995, a situação alcançou amplitude nacional, com a criação do Fórum Nacional de Prevenção e Erradicação do Trabalho Infantil; do Grupo Especial de Fiscalização Móvel do Ministério do Trabalho na região; e, para</w:t>
      </w:r>
      <w:r>
        <w:t>lelamente, da Comissão Permanente de Investigação e Fiscalização (SILVA, 1999 apud PEREIRA, 2007).</w:t>
      </w:r>
    </w:p>
    <w:p w:rsidR="00D81F69" w:rsidRDefault="00330118">
      <w:pPr>
        <w:pStyle w:val="Corpodetexto"/>
        <w:spacing w:before="139" w:line="312" w:lineRule="auto"/>
        <w:ind w:right="191"/>
      </w:pPr>
      <w:r>
        <w:rPr>
          <w:spacing w:val="3"/>
        </w:rPr>
        <w:t xml:space="preserve">Com </w:t>
      </w:r>
      <w:r>
        <w:rPr>
          <w:spacing w:val="2"/>
        </w:rPr>
        <w:t xml:space="preserve">os </w:t>
      </w:r>
      <w:r>
        <w:rPr>
          <w:spacing w:val="5"/>
        </w:rPr>
        <w:t xml:space="preserve">questionamentos </w:t>
      </w:r>
      <w:r>
        <w:t xml:space="preserve">e o </w:t>
      </w:r>
      <w:r>
        <w:rPr>
          <w:spacing w:val="5"/>
        </w:rPr>
        <w:t xml:space="preserve">surgimento </w:t>
      </w:r>
      <w:r>
        <w:rPr>
          <w:spacing w:val="3"/>
        </w:rPr>
        <w:t xml:space="preserve">dos </w:t>
      </w:r>
      <w:r>
        <w:rPr>
          <w:spacing w:val="5"/>
        </w:rPr>
        <w:t>órgãos de</w:t>
      </w:r>
      <w:r>
        <w:rPr>
          <w:spacing w:val="61"/>
        </w:rPr>
        <w:t xml:space="preserve"> </w:t>
      </w:r>
      <w:r>
        <w:rPr>
          <w:spacing w:val="5"/>
        </w:rPr>
        <w:t xml:space="preserve">fiscalização, </w:t>
      </w:r>
      <w:r>
        <w:rPr>
          <w:spacing w:val="2"/>
        </w:rPr>
        <w:t xml:space="preserve">as </w:t>
      </w:r>
      <w:r>
        <w:rPr>
          <w:spacing w:val="5"/>
        </w:rPr>
        <w:t xml:space="preserve">relações </w:t>
      </w:r>
      <w:r>
        <w:rPr>
          <w:spacing w:val="2"/>
        </w:rPr>
        <w:t xml:space="preserve">de </w:t>
      </w:r>
      <w:r>
        <w:rPr>
          <w:spacing w:val="5"/>
        </w:rPr>
        <w:t xml:space="preserve">trabalho </w:t>
      </w:r>
      <w:r>
        <w:t xml:space="preserve">e </w:t>
      </w:r>
      <w:r>
        <w:rPr>
          <w:spacing w:val="2"/>
        </w:rPr>
        <w:t xml:space="preserve">as </w:t>
      </w:r>
      <w:r>
        <w:rPr>
          <w:spacing w:val="5"/>
        </w:rPr>
        <w:t xml:space="preserve">condições de </w:t>
      </w:r>
      <w:r>
        <w:t>moradia nas carvoarias tiveram algumas alterações</w:t>
      </w:r>
      <w:r>
        <w:t xml:space="preserve"> para se enquadrarem às leis trabalhistas e à própria Constituição. No entanto, de lá para cá, não foram tão abrangentes a ponto de </w:t>
      </w:r>
      <w:r>
        <w:rPr>
          <w:spacing w:val="8"/>
        </w:rPr>
        <w:t xml:space="preserve">fazer </w:t>
      </w:r>
      <w:r>
        <w:rPr>
          <w:spacing w:val="10"/>
        </w:rPr>
        <w:t xml:space="preserve">desaparecer completamente </w:t>
      </w:r>
      <w:r>
        <w:rPr>
          <w:spacing w:val="5"/>
        </w:rPr>
        <w:t xml:space="preserve">as </w:t>
      </w:r>
      <w:r>
        <w:rPr>
          <w:spacing w:val="11"/>
        </w:rPr>
        <w:t xml:space="preserve">características </w:t>
      </w:r>
      <w:r>
        <w:t xml:space="preserve">exploratórias de produção em todas as carvoarias do estado, </w:t>
      </w:r>
      <w:r>
        <w:rPr>
          <w:spacing w:val="3"/>
        </w:rPr>
        <w:t xml:space="preserve">inclusive </w:t>
      </w:r>
      <w:r>
        <w:rPr>
          <w:spacing w:val="1"/>
        </w:rPr>
        <w:t xml:space="preserve">no </w:t>
      </w:r>
      <w:r>
        <w:rPr>
          <w:spacing w:val="3"/>
        </w:rPr>
        <w:t xml:space="preserve">município </w:t>
      </w:r>
      <w:r>
        <w:rPr>
          <w:spacing w:val="1"/>
        </w:rPr>
        <w:t xml:space="preserve">de </w:t>
      </w:r>
      <w:r>
        <w:rPr>
          <w:spacing w:val="3"/>
        </w:rPr>
        <w:t xml:space="preserve">Ribas </w:t>
      </w:r>
      <w:r>
        <w:rPr>
          <w:spacing w:val="1"/>
        </w:rPr>
        <w:t xml:space="preserve">do </w:t>
      </w:r>
      <w:r>
        <w:rPr>
          <w:spacing w:val="2"/>
        </w:rPr>
        <w:t xml:space="preserve">Rio </w:t>
      </w:r>
      <w:r>
        <w:rPr>
          <w:spacing w:val="3"/>
        </w:rPr>
        <w:t xml:space="preserve">Pardo </w:t>
      </w:r>
      <w:r>
        <w:rPr>
          <w:spacing w:val="5"/>
        </w:rPr>
        <w:t>(PEREIRA, 2007).</w:t>
      </w:r>
    </w:p>
    <w:p w:rsidR="00D81F69" w:rsidRDefault="00330118">
      <w:pPr>
        <w:pStyle w:val="Corpodetexto"/>
        <w:spacing w:before="138" w:line="312" w:lineRule="auto"/>
        <w:ind w:right="192"/>
      </w:pPr>
      <w:r>
        <w:rPr>
          <w:spacing w:val="1"/>
        </w:rPr>
        <w:t xml:space="preserve">De </w:t>
      </w:r>
      <w:r>
        <w:rPr>
          <w:spacing w:val="3"/>
        </w:rPr>
        <w:t xml:space="preserve">acordo </w:t>
      </w:r>
      <w:r>
        <w:rPr>
          <w:spacing w:val="2"/>
        </w:rPr>
        <w:t xml:space="preserve">com </w:t>
      </w:r>
      <w:r>
        <w:t xml:space="preserve">o </w:t>
      </w:r>
      <w:r>
        <w:rPr>
          <w:spacing w:val="3"/>
        </w:rPr>
        <w:t xml:space="preserve">Sindicato </w:t>
      </w:r>
      <w:r>
        <w:rPr>
          <w:spacing w:val="2"/>
        </w:rPr>
        <w:t xml:space="preserve">dos </w:t>
      </w:r>
      <w:r>
        <w:rPr>
          <w:spacing w:val="3"/>
        </w:rPr>
        <w:t xml:space="preserve">Trabalhadores Rurais </w:t>
      </w:r>
      <w:r>
        <w:rPr>
          <w:spacing w:val="5"/>
        </w:rPr>
        <w:t xml:space="preserve">de </w:t>
      </w:r>
      <w:r>
        <w:rPr>
          <w:spacing w:val="3"/>
        </w:rPr>
        <w:t xml:space="preserve">Ribas </w:t>
      </w:r>
      <w:r>
        <w:rPr>
          <w:spacing w:val="2"/>
        </w:rPr>
        <w:t xml:space="preserve">do </w:t>
      </w:r>
      <w:r>
        <w:rPr>
          <w:spacing w:val="3"/>
        </w:rPr>
        <w:t xml:space="preserve">Rio </w:t>
      </w:r>
      <w:r>
        <w:rPr>
          <w:spacing w:val="5"/>
        </w:rPr>
        <w:t xml:space="preserve">Pardo, </w:t>
      </w:r>
      <w:r>
        <w:rPr>
          <w:spacing w:val="3"/>
        </w:rPr>
        <w:t xml:space="preserve">com </w:t>
      </w:r>
      <w:r>
        <w:t xml:space="preserve">a </w:t>
      </w:r>
      <w:r>
        <w:rPr>
          <w:spacing w:val="5"/>
        </w:rPr>
        <w:t xml:space="preserve">Comissão </w:t>
      </w:r>
      <w:r>
        <w:rPr>
          <w:spacing w:val="2"/>
        </w:rPr>
        <w:t xml:space="preserve">de </w:t>
      </w:r>
      <w:r>
        <w:rPr>
          <w:spacing w:val="5"/>
        </w:rPr>
        <w:t xml:space="preserve">Investigação </w:t>
      </w:r>
      <w:r>
        <w:t xml:space="preserve">e Fiscalização das Condições de Trabalho no Mato Grosso do Sul e com a Delegacia Regional do Trabalho </w:t>
      </w:r>
      <w:r>
        <w:t xml:space="preserve">de Mato Grosso </w:t>
      </w:r>
      <w:r>
        <w:rPr>
          <w:spacing w:val="5"/>
        </w:rPr>
        <w:t xml:space="preserve">do </w:t>
      </w:r>
      <w:r>
        <w:rPr>
          <w:spacing w:val="8"/>
        </w:rPr>
        <w:t xml:space="preserve">Sul, </w:t>
      </w:r>
      <w:r>
        <w:t xml:space="preserve">o </w:t>
      </w:r>
      <w:r>
        <w:rPr>
          <w:spacing w:val="8"/>
        </w:rPr>
        <w:t xml:space="preserve">fato </w:t>
      </w:r>
      <w:r>
        <w:rPr>
          <w:spacing w:val="5"/>
        </w:rPr>
        <w:t xml:space="preserve">de as </w:t>
      </w:r>
      <w:r>
        <w:rPr>
          <w:spacing w:val="10"/>
        </w:rPr>
        <w:t xml:space="preserve">carvoarias </w:t>
      </w:r>
      <w:r>
        <w:rPr>
          <w:spacing w:val="8"/>
        </w:rPr>
        <w:t xml:space="preserve">serem </w:t>
      </w:r>
      <w:r>
        <w:rPr>
          <w:spacing w:val="10"/>
        </w:rPr>
        <w:t xml:space="preserve">itinerantes </w:t>
      </w:r>
      <w:r>
        <w:t xml:space="preserve">e clandestinas, principalmente no caso dos empreendimentos </w:t>
      </w:r>
      <w:r>
        <w:rPr>
          <w:spacing w:val="5"/>
        </w:rPr>
        <w:t xml:space="preserve">menores, dificulta </w:t>
      </w:r>
      <w:r>
        <w:t xml:space="preserve">a </w:t>
      </w:r>
      <w:r>
        <w:rPr>
          <w:spacing w:val="5"/>
        </w:rPr>
        <w:t xml:space="preserve">contagem </w:t>
      </w:r>
      <w:r>
        <w:rPr>
          <w:spacing w:val="2"/>
        </w:rPr>
        <w:t xml:space="preserve">do </w:t>
      </w:r>
      <w:r>
        <w:rPr>
          <w:spacing w:val="5"/>
        </w:rPr>
        <w:t xml:space="preserve">número </w:t>
      </w:r>
      <w:r>
        <w:rPr>
          <w:spacing w:val="3"/>
        </w:rPr>
        <w:t xml:space="preserve">exato </w:t>
      </w:r>
      <w:r>
        <w:rPr>
          <w:spacing w:val="2"/>
        </w:rPr>
        <w:t xml:space="preserve">de </w:t>
      </w:r>
      <w:r>
        <w:rPr>
          <w:spacing w:val="5"/>
        </w:rPr>
        <w:t xml:space="preserve">suas </w:t>
      </w:r>
      <w:r>
        <w:t>ocorrências e localizações. Estima-se que, entre 2005 e 2006, houvesse 800 car</w:t>
      </w:r>
      <w:r>
        <w:t xml:space="preserve">voarias em todo o estado do Mato Grosso </w:t>
      </w:r>
      <w:r>
        <w:rPr>
          <w:spacing w:val="1"/>
        </w:rPr>
        <w:t xml:space="preserve">do </w:t>
      </w:r>
      <w:r>
        <w:rPr>
          <w:spacing w:val="2"/>
        </w:rPr>
        <w:t xml:space="preserve">Sul </w:t>
      </w:r>
      <w:r>
        <w:t xml:space="preserve">e </w:t>
      </w:r>
      <w:r>
        <w:rPr>
          <w:spacing w:val="3"/>
        </w:rPr>
        <w:t xml:space="preserve">cerca </w:t>
      </w:r>
      <w:r>
        <w:rPr>
          <w:spacing w:val="1"/>
        </w:rPr>
        <w:t xml:space="preserve">de </w:t>
      </w:r>
      <w:r>
        <w:rPr>
          <w:spacing w:val="2"/>
        </w:rPr>
        <w:t xml:space="preserve">119 </w:t>
      </w:r>
      <w:r>
        <w:rPr>
          <w:spacing w:val="1"/>
        </w:rPr>
        <w:t xml:space="preserve">em </w:t>
      </w:r>
      <w:r>
        <w:rPr>
          <w:spacing w:val="3"/>
        </w:rPr>
        <w:t xml:space="preserve">Ribas </w:t>
      </w:r>
      <w:r>
        <w:rPr>
          <w:spacing w:val="1"/>
        </w:rPr>
        <w:t xml:space="preserve">do </w:t>
      </w:r>
      <w:r>
        <w:rPr>
          <w:spacing w:val="2"/>
        </w:rPr>
        <w:t xml:space="preserve">Rio </w:t>
      </w:r>
      <w:r>
        <w:rPr>
          <w:spacing w:val="3"/>
        </w:rPr>
        <w:t xml:space="preserve">Pardo </w:t>
      </w:r>
      <w:r>
        <w:rPr>
          <w:spacing w:val="5"/>
        </w:rPr>
        <w:t>(PEREIRA, 2007).</w:t>
      </w:r>
    </w:p>
    <w:p w:rsidR="00D81F69" w:rsidRDefault="00330118">
      <w:pPr>
        <w:pStyle w:val="Corpodetexto"/>
        <w:spacing w:before="140" w:line="312" w:lineRule="auto"/>
        <w:ind w:right="205"/>
      </w:pPr>
      <w:r>
        <w:t>Ainda segundo estes órgãos, houve um pequeno declínio no número de carvoarias, nos últimos anos, em virtude da diminuição de eucalipto do Maciço Florestal.</w:t>
      </w:r>
      <w:r>
        <w:t xml:space="preserve"> Este foi substituído pela madeira do Cerrado, o que consistiu em grave problema ambiental. O corte indiscriminado da madeira do bioma para a produção do carvão vegetal não cumpre a</w:t>
      </w:r>
    </w:p>
    <w:p w:rsidR="00D81F69" w:rsidRDefault="00D81F69">
      <w:pPr>
        <w:spacing w:line="312" w:lineRule="auto"/>
        <w:sectPr w:rsidR="00D81F69">
          <w:pgSz w:w="11900" w:h="16840"/>
          <w:pgMar w:top="740" w:right="500" w:bottom="720" w:left="620" w:header="0" w:footer="402" w:gutter="0"/>
          <w:cols w:num="2" w:space="720" w:equalWidth="0">
            <w:col w:w="5164" w:space="306"/>
            <w:col w:w="5310"/>
          </w:cols>
        </w:sectPr>
      </w:pPr>
    </w:p>
    <w:p w:rsidR="00D81F69" w:rsidRDefault="00330118">
      <w:pPr>
        <w:pStyle w:val="Corpodetexto"/>
        <w:spacing w:before="81"/>
      </w:pPr>
      <w:r>
        <w:lastRenderedPageBreak/>
        <w:t>legislação ambiental (PEREIRA, 2007).</w:t>
      </w:r>
    </w:p>
    <w:p w:rsidR="00D81F69" w:rsidRDefault="00D81F69">
      <w:pPr>
        <w:pStyle w:val="Corpodetexto"/>
        <w:spacing w:before="9"/>
        <w:ind w:left="0"/>
        <w:jc w:val="left"/>
        <w:rPr>
          <w:sz w:val="16"/>
        </w:rPr>
      </w:pPr>
    </w:p>
    <w:p w:rsidR="00D81F69" w:rsidRDefault="00330118">
      <w:pPr>
        <w:pStyle w:val="Corpodetexto"/>
        <w:spacing w:line="312" w:lineRule="auto"/>
        <w:ind w:right="75"/>
      </w:pPr>
      <w:r>
        <w:t>Por ca</w:t>
      </w:r>
      <w:r>
        <w:t>usa da pressão sobre as florestas nativas em todo o país, em junho de 2006, o Instituto Brasileiro do Meio Ambiente e dos Recursos Naturais Renováveis (Ibama) implantou um sistema de controle inovador: o Documento de Origem Florestal (DOF), o que lhe permi</w:t>
      </w:r>
      <w:r>
        <w:t>te, desde então, controlar toda a movimentação (transporte e comercialização) de produtos de origem florestal no país. O DOF é um documento de porte obrigatório para quem produz (ou extrai) madeira, lenha e carvão, para quem comercializa esses produtos e p</w:t>
      </w:r>
      <w:r>
        <w:t>ara quem utiliza madeira. Qualquer dessas operações sem a emissão do documento é considerada ilegal (PONTES, 2009).</w:t>
      </w:r>
    </w:p>
    <w:p w:rsidR="00D81F69" w:rsidRDefault="00330118">
      <w:pPr>
        <w:pStyle w:val="Corpodetexto"/>
        <w:spacing w:before="141" w:line="312" w:lineRule="auto"/>
        <w:ind w:right="95"/>
      </w:pPr>
      <w:r>
        <w:t>Entre 2005 e 2008, a produção de carvão em Mato Grosso do Sul foi responsável pela derrubada anual de 100 mil hectares de floresta de Cerrad</w:t>
      </w:r>
      <w:r>
        <w:t>o em pé, o que fez do estado o segundo lugar na produção brasileira de carvão em 2007, superado apenas pelo Pará. A produção foi considerada "legal" pelo Ibama, mas, através de uma auditoria nos documentos do DOF, o órgão descobriu uma série de irregularid</w:t>
      </w:r>
      <w:r>
        <w:t>ades na comercialização desse produto no estado, o que o levou ao desencadeamento de operações de fiscalização intensas na área (PONTES, 2009).</w:t>
      </w:r>
    </w:p>
    <w:p w:rsidR="00D81F69" w:rsidRDefault="00330118">
      <w:pPr>
        <w:pStyle w:val="Corpodetexto"/>
        <w:spacing w:before="139" w:line="312" w:lineRule="auto"/>
        <w:ind w:right="77"/>
      </w:pPr>
      <w:r>
        <w:t xml:space="preserve">Uma delas foi realizada em 2008, quando o Ibama no Mato Grosso do Sul liderou a operação Rastro Negro com ajuda </w:t>
      </w:r>
      <w:r>
        <w:t xml:space="preserve">da </w:t>
      </w:r>
      <w:r>
        <w:rPr>
          <w:spacing w:val="3"/>
        </w:rPr>
        <w:t xml:space="preserve">Polícia Federal, </w:t>
      </w:r>
      <w:r>
        <w:rPr>
          <w:spacing w:val="2"/>
        </w:rPr>
        <w:t xml:space="preserve">para </w:t>
      </w:r>
      <w:r>
        <w:rPr>
          <w:spacing w:val="3"/>
        </w:rPr>
        <w:t xml:space="preserve">coibir </w:t>
      </w:r>
      <w:r>
        <w:t xml:space="preserve">o </w:t>
      </w:r>
      <w:r>
        <w:rPr>
          <w:spacing w:val="3"/>
        </w:rPr>
        <w:t xml:space="preserve">desmatamento irregular </w:t>
      </w:r>
      <w:r>
        <w:t xml:space="preserve">e a </w:t>
      </w:r>
      <w:r>
        <w:rPr>
          <w:spacing w:val="3"/>
        </w:rPr>
        <w:t xml:space="preserve">produção </w:t>
      </w:r>
      <w:r>
        <w:rPr>
          <w:spacing w:val="1"/>
        </w:rPr>
        <w:t xml:space="preserve">de </w:t>
      </w:r>
      <w:r>
        <w:rPr>
          <w:spacing w:val="3"/>
        </w:rPr>
        <w:t xml:space="preserve">carvão ilegal </w:t>
      </w:r>
      <w:r>
        <w:rPr>
          <w:spacing w:val="1"/>
        </w:rPr>
        <w:t xml:space="preserve">na </w:t>
      </w:r>
      <w:r>
        <w:rPr>
          <w:spacing w:val="3"/>
        </w:rPr>
        <w:t xml:space="preserve">região (PONTES, 2009). </w:t>
      </w:r>
      <w:r>
        <w:rPr>
          <w:spacing w:val="5"/>
        </w:rPr>
        <w:t xml:space="preserve">Na </w:t>
      </w:r>
      <w:r>
        <w:rPr>
          <w:spacing w:val="1"/>
        </w:rPr>
        <w:t xml:space="preserve">operação, quatro siderúrgicas </w:t>
      </w:r>
      <w:r>
        <w:t xml:space="preserve">– </w:t>
      </w:r>
      <w:r>
        <w:rPr>
          <w:spacing w:val="1"/>
        </w:rPr>
        <w:t xml:space="preserve">Simasul </w:t>
      </w:r>
      <w:r>
        <w:t xml:space="preserve">(em </w:t>
      </w:r>
      <w:r>
        <w:rPr>
          <w:spacing w:val="2"/>
        </w:rPr>
        <w:t xml:space="preserve">Aquidauana), </w:t>
      </w:r>
      <w:r>
        <w:t xml:space="preserve">MMX Metálicos (em Corumbá), Vetorial Campo Grande (em </w:t>
      </w:r>
      <w:r>
        <w:rPr>
          <w:spacing w:val="3"/>
        </w:rPr>
        <w:t xml:space="preserve">Campo Grande) </w:t>
      </w:r>
      <w:r>
        <w:t xml:space="preserve">e </w:t>
      </w:r>
      <w:r>
        <w:rPr>
          <w:spacing w:val="3"/>
        </w:rPr>
        <w:t xml:space="preserve">Ribas </w:t>
      </w:r>
      <w:r>
        <w:rPr>
          <w:spacing w:val="1"/>
        </w:rPr>
        <w:t xml:space="preserve">do </w:t>
      </w:r>
      <w:r>
        <w:rPr>
          <w:spacing w:val="2"/>
        </w:rPr>
        <w:t xml:space="preserve">Rio </w:t>
      </w:r>
      <w:r>
        <w:rPr>
          <w:spacing w:val="3"/>
        </w:rPr>
        <w:t xml:space="preserve">Pardo </w:t>
      </w:r>
      <w:r>
        <w:rPr>
          <w:spacing w:val="2"/>
        </w:rPr>
        <w:t xml:space="preserve">(em </w:t>
      </w:r>
      <w:r>
        <w:rPr>
          <w:spacing w:val="3"/>
        </w:rPr>
        <w:t xml:space="preserve">Ribas </w:t>
      </w:r>
      <w:r>
        <w:rPr>
          <w:spacing w:val="1"/>
        </w:rPr>
        <w:t xml:space="preserve">do </w:t>
      </w:r>
      <w:r>
        <w:rPr>
          <w:spacing w:val="5"/>
        </w:rPr>
        <w:t xml:space="preserve">Rio </w:t>
      </w:r>
      <w:r>
        <w:t xml:space="preserve">Pardo) – foram autuadas em R$ 58 milhões pela compra de </w:t>
      </w:r>
      <w:r>
        <w:rPr>
          <w:spacing w:val="5"/>
        </w:rPr>
        <w:t xml:space="preserve">carvão </w:t>
      </w:r>
      <w:r>
        <w:rPr>
          <w:spacing w:val="3"/>
        </w:rPr>
        <w:t xml:space="preserve">sem </w:t>
      </w:r>
      <w:r>
        <w:rPr>
          <w:spacing w:val="5"/>
        </w:rPr>
        <w:t xml:space="preserve">origem comprovada. </w:t>
      </w:r>
      <w:r>
        <w:rPr>
          <w:spacing w:val="2"/>
        </w:rPr>
        <w:t xml:space="preserve">Já as </w:t>
      </w:r>
      <w:r>
        <w:rPr>
          <w:spacing w:val="5"/>
        </w:rPr>
        <w:t>carvoarias foram</w:t>
      </w:r>
      <w:r>
        <w:rPr>
          <w:spacing w:val="61"/>
        </w:rPr>
        <w:t xml:space="preserve"> </w:t>
      </w:r>
      <w:r>
        <w:rPr>
          <w:spacing w:val="5"/>
        </w:rPr>
        <w:t xml:space="preserve">multadas </w:t>
      </w:r>
      <w:r>
        <w:rPr>
          <w:spacing w:val="2"/>
        </w:rPr>
        <w:t xml:space="preserve">em R$ 61 </w:t>
      </w:r>
      <w:r>
        <w:rPr>
          <w:spacing w:val="5"/>
        </w:rPr>
        <w:t>milhões (SANTOS, 2008).</w:t>
      </w:r>
    </w:p>
    <w:p w:rsidR="00D81F69" w:rsidRDefault="00330118">
      <w:pPr>
        <w:pStyle w:val="Corpodetexto"/>
        <w:spacing w:before="139" w:line="312" w:lineRule="auto"/>
        <w:ind w:right="72"/>
        <w:jc w:val="left"/>
      </w:pPr>
      <w:r>
        <w:t xml:space="preserve">A </w:t>
      </w:r>
      <w:r>
        <w:rPr>
          <w:spacing w:val="1"/>
        </w:rPr>
        <w:t xml:space="preserve">operação trouxe </w:t>
      </w:r>
      <w:r>
        <w:t xml:space="preserve">à </w:t>
      </w:r>
      <w:r>
        <w:rPr>
          <w:spacing w:val="1"/>
        </w:rPr>
        <w:t xml:space="preserve">tona </w:t>
      </w:r>
      <w:r>
        <w:t xml:space="preserve">um </w:t>
      </w:r>
      <w:r>
        <w:rPr>
          <w:spacing w:val="1"/>
        </w:rPr>
        <w:t xml:space="preserve">fato ainda desconhecido: </w:t>
      </w:r>
      <w:r>
        <w:rPr>
          <w:spacing w:val="2"/>
        </w:rPr>
        <w:t xml:space="preserve">4,4 </w:t>
      </w:r>
      <w:r>
        <w:t xml:space="preserve">dos 10 </w:t>
      </w:r>
      <w:r>
        <w:rPr>
          <w:spacing w:val="1"/>
        </w:rPr>
        <w:t xml:space="preserve">milhões </w:t>
      </w:r>
      <w:r>
        <w:t xml:space="preserve">de m³ de </w:t>
      </w:r>
      <w:r>
        <w:rPr>
          <w:spacing w:val="1"/>
        </w:rPr>
        <w:t>m</w:t>
      </w:r>
      <w:r>
        <w:rPr>
          <w:spacing w:val="1"/>
        </w:rPr>
        <w:t xml:space="preserve">atas nativas brasileiras </w:t>
      </w:r>
      <w:r>
        <w:t xml:space="preserve">que </w:t>
      </w:r>
      <w:r>
        <w:rPr>
          <w:spacing w:val="2"/>
        </w:rPr>
        <w:t xml:space="preserve">são </w:t>
      </w:r>
      <w:r>
        <w:t>utilizadas no processo de produção do carvão vegetal ficam em regiões do Pantanal e do Cerrado (MAPA DA INJUSTIÇA AMBIENTAL E SAÚDE NO BRASIL, 2009). O Ibama</w:t>
      </w:r>
      <w:r>
        <w:rPr>
          <w:spacing w:val="30"/>
        </w:rPr>
        <w:t xml:space="preserve"> </w:t>
      </w:r>
      <w:r>
        <w:t>também</w:t>
      </w:r>
    </w:p>
    <w:p w:rsidR="00D81F69" w:rsidRDefault="00330118">
      <w:pPr>
        <w:pStyle w:val="Corpodetexto"/>
        <w:spacing w:before="5" w:line="312" w:lineRule="auto"/>
        <w:ind w:right="80"/>
      </w:pPr>
      <w:r>
        <w:t>multou 55 siderúrgicas de Minas Gerais – tradicional comprador do carvão de Mato Grosso do Sul – e uma empresa no Espírito Santo (SANTOS, 2008). Ao todo, as multas aplicadas somariam mais de R$ 400 milhões (MAPA DA INJUSTIÇA AMBIENTAL E SAÚDE NO BRASIL, 20</w:t>
      </w:r>
      <w:r>
        <w:t>09).</w:t>
      </w:r>
    </w:p>
    <w:p w:rsidR="00D81F69" w:rsidRDefault="00330118">
      <w:pPr>
        <w:pStyle w:val="Corpodetexto"/>
        <w:spacing w:before="5" w:line="312" w:lineRule="auto"/>
        <w:ind w:right="76"/>
      </w:pPr>
      <w:r>
        <w:t>Em março de 2010, novamente uma operação do Ibama, denominada Corcel Negro, flagrou quatro carvoarias funcionando ilegalmente em Ribas do Rio Pardo. As carvoarias foram lacradas (IBAMA-MS, 2010).</w:t>
      </w:r>
    </w:p>
    <w:p w:rsidR="00D81F69" w:rsidRDefault="00330118">
      <w:pPr>
        <w:pStyle w:val="Corpodetexto"/>
        <w:spacing w:before="133" w:line="312" w:lineRule="auto"/>
        <w:ind w:right="81"/>
      </w:pPr>
      <w:r>
        <w:t xml:space="preserve">Com isso, os trabalhadores de carvoarias ilegais estão </w:t>
      </w:r>
      <w:r>
        <w:t>padecendo sem assistência, pois quando o empreendimento irregular é fechado, eles ficam sem nenhum direito trabalhista. Três empreendimentos foram encontrados nessa situação, e 50 trabalhadores ficaram desguarnecidos no município. O sindicato patronal esti</w:t>
      </w:r>
      <w:r>
        <w:t>ma que existam 180 carvoarias legalizadas no estado, porém o sindicato dos trabalhadores</w:t>
      </w:r>
    </w:p>
    <w:p w:rsidR="00D81F69" w:rsidRDefault="00330118">
      <w:pPr>
        <w:pStyle w:val="Corpodetexto"/>
        <w:spacing w:before="81" w:line="312" w:lineRule="auto"/>
        <w:ind w:right="217"/>
      </w:pPr>
      <w:r>
        <w:br w:type="column"/>
      </w:r>
      <w:r>
        <w:lastRenderedPageBreak/>
        <w:t>aposta que aproximadamente 300 carvoarias ilegais atuem no Mato Grosso do Sul (RADIOWEB MS, 2011).</w:t>
      </w:r>
    </w:p>
    <w:p w:rsidR="00D81F69" w:rsidRDefault="00330118">
      <w:pPr>
        <w:pStyle w:val="Corpodetexto"/>
        <w:spacing w:before="132" w:line="312" w:lineRule="auto"/>
        <w:ind w:right="208"/>
      </w:pPr>
      <w:r>
        <w:t>A produção de carvão vegetal vem se expandindo no MS e se fortalece</w:t>
      </w:r>
      <w:r>
        <w:t>ndo nos últimos anos. Os produtores e o governo comemoram juntos os bons resultados obtidos nos três primeiros trimestres de 2011, batendo recordes de produção no estado (PAINEL FLORESTAL, 2011).</w:t>
      </w:r>
    </w:p>
    <w:p w:rsidR="00D81F69" w:rsidRDefault="00330118">
      <w:pPr>
        <w:pStyle w:val="Corpodetexto"/>
        <w:spacing w:before="134" w:line="312" w:lineRule="auto"/>
        <w:ind w:right="184"/>
      </w:pPr>
      <w:r>
        <w:rPr>
          <w:spacing w:val="2"/>
        </w:rPr>
        <w:t xml:space="preserve">Em </w:t>
      </w:r>
      <w:r>
        <w:rPr>
          <w:spacing w:val="3"/>
        </w:rPr>
        <w:t xml:space="preserve">abril </w:t>
      </w:r>
      <w:r>
        <w:rPr>
          <w:spacing w:val="2"/>
        </w:rPr>
        <w:t xml:space="preserve">de </w:t>
      </w:r>
      <w:r>
        <w:rPr>
          <w:spacing w:val="3"/>
        </w:rPr>
        <w:t xml:space="preserve">2011, </w:t>
      </w:r>
      <w:r>
        <w:t xml:space="preserve">a </w:t>
      </w:r>
      <w:r>
        <w:rPr>
          <w:spacing w:val="5"/>
        </w:rPr>
        <w:t xml:space="preserve">Polícia Militar Ambiental </w:t>
      </w:r>
      <w:r>
        <w:rPr>
          <w:spacing w:val="2"/>
        </w:rPr>
        <w:t xml:space="preserve">de </w:t>
      </w:r>
      <w:r>
        <w:rPr>
          <w:spacing w:val="5"/>
        </w:rPr>
        <w:t>Campo</w:t>
      </w:r>
      <w:r>
        <w:rPr>
          <w:spacing w:val="61"/>
        </w:rPr>
        <w:t xml:space="preserve"> </w:t>
      </w:r>
      <w:r>
        <w:rPr>
          <w:spacing w:val="7"/>
        </w:rPr>
        <w:t>Grand</w:t>
      </w:r>
      <w:r>
        <w:rPr>
          <w:spacing w:val="7"/>
        </w:rPr>
        <w:t xml:space="preserve">e fechou </w:t>
      </w:r>
      <w:r>
        <w:t xml:space="preserve">e </w:t>
      </w:r>
      <w:r>
        <w:rPr>
          <w:spacing w:val="7"/>
        </w:rPr>
        <w:t xml:space="preserve">multou quatro </w:t>
      </w:r>
      <w:r>
        <w:rPr>
          <w:spacing w:val="8"/>
        </w:rPr>
        <w:t xml:space="preserve">carvoarias </w:t>
      </w:r>
      <w:r>
        <w:rPr>
          <w:spacing w:val="7"/>
        </w:rPr>
        <w:t xml:space="preserve">ilegais </w:t>
      </w:r>
      <w:r>
        <w:rPr>
          <w:spacing w:val="10"/>
        </w:rPr>
        <w:t xml:space="preserve">que </w:t>
      </w:r>
      <w:r>
        <w:rPr>
          <w:spacing w:val="1"/>
        </w:rPr>
        <w:t xml:space="preserve">funcionavam </w:t>
      </w:r>
      <w:r>
        <w:t xml:space="preserve">em </w:t>
      </w:r>
      <w:r>
        <w:rPr>
          <w:spacing w:val="1"/>
        </w:rPr>
        <w:t xml:space="preserve">fazendas </w:t>
      </w:r>
      <w:r>
        <w:t xml:space="preserve">de </w:t>
      </w:r>
      <w:r>
        <w:rPr>
          <w:spacing w:val="1"/>
        </w:rPr>
        <w:t xml:space="preserve">Ribas </w:t>
      </w:r>
      <w:r>
        <w:t xml:space="preserve">do Rio </w:t>
      </w:r>
      <w:r>
        <w:rPr>
          <w:spacing w:val="1"/>
        </w:rPr>
        <w:t xml:space="preserve">Pardo </w:t>
      </w:r>
      <w:r>
        <w:rPr>
          <w:spacing w:val="2"/>
        </w:rPr>
        <w:t xml:space="preserve">(FRIAS, </w:t>
      </w:r>
      <w:r>
        <w:rPr>
          <w:spacing w:val="3"/>
        </w:rPr>
        <w:t xml:space="preserve">2011). </w:t>
      </w:r>
      <w:r>
        <w:rPr>
          <w:spacing w:val="1"/>
        </w:rPr>
        <w:t xml:space="preserve">Em </w:t>
      </w:r>
      <w:r>
        <w:rPr>
          <w:spacing w:val="3"/>
        </w:rPr>
        <w:t xml:space="preserve">julho, </w:t>
      </w:r>
      <w:r>
        <w:rPr>
          <w:spacing w:val="2"/>
        </w:rPr>
        <w:t xml:space="preserve">uma </w:t>
      </w:r>
      <w:r>
        <w:rPr>
          <w:spacing w:val="3"/>
        </w:rPr>
        <w:t xml:space="preserve">Operação realizada </w:t>
      </w:r>
      <w:r>
        <w:rPr>
          <w:spacing w:val="2"/>
        </w:rPr>
        <w:t xml:space="preserve">pelo </w:t>
      </w:r>
      <w:r>
        <w:rPr>
          <w:spacing w:val="5"/>
        </w:rPr>
        <w:t xml:space="preserve">Ministério </w:t>
      </w:r>
      <w:r>
        <w:rPr>
          <w:spacing w:val="10"/>
        </w:rPr>
        <w:t xml:space="preserve">Público </w:t>
      </w:r>
      <w:r>
        <w:rPr>
          <w:spacing w:val="5"/>
        </w:rPr>
        <w:t xml:space="preserve">do </w:t>
      </w:r>
      <w:r>
        <w:rPr>
          <w:spacing w:val="10"/>
        </w:rPr>
        <w:t xml:space="preserve">Trabalho </w:t>
      </w:r>
      <w:r>
        <w:rPr>
          <w:spacing w:val="8"/>
        </w:rPr>
        <w:t xml:space="preserve">(MPT) </w:t>
      </w:r>
      <w:r>
        <w:t xml:space="preserve">e </w:t>
      </w:r>
      <w:r>
        <w:rPr>
          <w:spacing w:val="8"/>
        </w:rPr>
        <w:t xml:space="preserve">pelo Fórum </w:t>
      </w:r>
      <w:r>
        <w:rPr>
          <w:spacing w:val="5"/>
        </w:rPr>
        <w:t xml:space="preserve">de </w:t>
      </w:r>
      <w:r>
        <w:rPr>
          <w:spacing w:val="11"/>
        </w:rPr>
        <w:t xml:space="preserve">Saúde, </w:t>
      </w:r>
      <w:r>
        <w:rPr>
          <w:spacing w:val="3"/>
        </w:rPr>
        <w:t xml:space="preserve">Segurança </w:t>
      </w:r>
      <w:r>
        <w:t xml:space="preserve">e </w:t>
      </w:r>
      <w:r>
        <w:rPr>
          <w:spacing w:val="3"/>
        </w:rPr>
        <w:t xml:space="preserve">Higiene </w:t>
      </w:r>
      <w:r>
        <w:rPr>
          <w:spacing w:val="1"/>
        </w:rPr>
        <w:t xml:space="preserve">do </w:t>
      </w:r>
      <w:r>
        <w:rPr>
          <w:spacing w:val="3"/>
        </w:rPr>
        <w:t xml:space="preserve">Trabalho (FSSTH-MS) </w:t>
      </w:r>
      <w:r>
        <w:rPr>
          <w:spacing w:val="5"/>
        </w:rPr>
        <w:t xml:space="preserve">encontrou </w:t>
      </w:r>
      <w:r>
        <w:t xml:space="preserve">irregularidades e multou uma carvoaria. A Fazenda Garimpo </w:t>
      </w:r>
      <w:r>
        <w:rPr>
          <w:spacing w:val="3"/>
        </w:rPr>
        <w:t xml:space="preserve">contava </w:t>
      </w:r>
      <w:r>
        <w:rPr>
          <w:spacing w:val="2"/>
        </w:rPr>
        <w:t xml:space="preserve">com </w:t>
      </w:r>
      <w:r>
        <w:rPr>
          <w:spacing w:val="1"/>
        </w:rPr>
        <w:t xml:space="preserve">um </w:t>
      </w:r>
      <w:r>
        <w:rPr>
          <w:spacing w:val="3"/>
        </w:rPr>
        <w:t xml:space="preserve">grupo </w:t>
      </w:r>
      <w:r>
        <w:rPr>
          <w:spacing w:val="1"/>
        </w:rPr>
        <w:t xml:space="preserve">de </w:t>
      </w:r>
      <w:r>
        <w:rPr>
          <w:spacing w:val="3"/>
        </w:rPr>
        <w:t xml:space="preserve">trabalhadores </w:t>
      </w:r>
      <w:r>
        <w:rPr>
          <w:spacing w:val="2"/>
        </w:rPr>
        <w:t xml:space="preserve">sem </w:t>
      </w:r>
      <w:r>
        <w:rPr>
          <w:spacing w:val="3"/>
        </w:rPr>
        <w:t xml:space="preserve">registro </w:t>
      </w:r>
      <w:r>
        <w:rPr>
          <w:spacing w:val="5"/>
        </w:rPr>
        <w:t xml:space="preserve">em </w:t>
      </w:r>
      <w:r>
        <w:t xml:space="preserve">carteira de trabalho e sem qualquer equipamento de proteção individual (EPIs). Além disso, as instalações sanitárias e os </w:t>
      </w:r>
      <w:r>
        <w:rPr>
          <w:spacing w:val="5"/>
        </w:rPr>
        <w:t xml:space="preserve">alojamentos </w:t>
      </w:r>
      <w:r>
        <w:rPr>
          <w:spacing w:val="3"/>
        </w:rPr>
        <w:t xml:space="preserve">foram </w:t>
      </w:r>
      <w:r>
        <w:rPr>
          <w:spacing w:val="5"/>
        </w:rPr>
        <w:t xml:space="preserve">considerados inadequados. </w:t>
      </w:r>
      <w:r>
        <w:rPr>
          <w:spacing w:val="3"/>
        </w:rPr>
        <w:t xml:space="preserve">Não foi </w:t>
      </w:r>
      <w:r>
        <w:t xml:space="preserve">a </w:t>
      </w:r>
      <w:r>
        <w:rPr>
          <w:spacing w:val="12"/>
        </w:rPr>
        <w:t xml:space="preserve">primeira carvoaria </w:t>
      </w:r>
      <w:r>
        <w:t xml:space="preserve">a </w:t>
      </w:r>
      <w:r>
        <w:rPr>
          <w:spacing w:val="10"/>
        </w:rPr>
        <w:t xml:space="preserve">ser </w:t>
      </w:r>
      <w:r>
        <w:rPr>
          <w:spacing w:val="11"/>
        </w:rPr>
        <w:t xml:space="preserve">autuada </w:t>
      </w:r>
      <w:r>
        <w:rPr>
          <w:spacing w:val="10"/>
        </w:rPr>
        <w:t xml:space="preserve">pela </w:t>
      </w:r>
      <w:r>
        <w:rPr>
          <w:spacing w:val="12"/>
        </w:rPr>
        <w:t xml:space="preserve">Justiça. </w:t>
      </w:r>
      <w:r>
        <w:rPr>
          <w:spacing w:val="6"/>
        </w:rPr>
        <w:t xml:space="preserve">As </w:t>
      </w:r>
      <w:r>
        <w:rPr>
          <w:spacing w:val="1"/>
        </w:rPr>
        <w:t xml:space="preserve">irregularidades nesse tipo </w:t>
      </w:r>
      <w:r>
        <w:t xml:space="preserve">de </w:t>
      </w:r>
      <w:r>
        <w:rPr>
          <w:spacing w:val="1"/>
        </w:rPr>
        <w:t xml:space="preserve">empreendimento levaram </w:t>
      </w:r>
      <w:r>
        <w:rPr>
          <w:spacing w:val="2"/>
        </w:rPr>
        <w:t xml:space="preserve">ao </w:t>
      </w:r>
      <w:r>
        <w:t>conhecimento do MPT representações contra produtores de carvão vegetal da região (MPT, 2011).</w:t>
      </w:r>
    </w:p>
    <w:p w:rsidR="00D81F69" w:rsidRDefault="00D81F69">
      <w:pPr>
        <w:pStyle w:val="Corpodetexto"/>
        <w:spacing w:before="2"/>
        <w:ind w:left="0"/>
        <w:jc w:val="left"/>
        <w:rPr>
          <w:sz w:val="22"/>
        </w:rPr>
      </w:pPr>
    </w:p>
    <w:p w:rsidR="00D81F69" w:rsidRDefault="00330118">
      <w:pPr>
        <w:pStyle w:val="Heading7"/>
        <w:jc w:val="left"/>
      </w:pPr>
      <w:r>
        <w:t>LOCALIZAÇÃO G</w:t>
      </w:r>
      <w:r>
        <w:t>EOGRÁFICA</w:t>
      </w:r>
    </w:p>
    <w:p w:rsidR="00D81F69" w:rsidRDefault="00330118">
      <w:pPr>
        <w:pStyle w:val="Corpodetexto"/>
        <w:spacing w:before="179" w:line="312" w:lineRule="auto"/>
        <w:ind w:right="210"/>
      </w:pPr>
      <w:r>
        <w:t>No município de Ribas do Rio Pardo (MS), situado entre as latitudes 21°36’22”S – 19°31’47”S e longitudes 52°49’16”W – 54°11’29”W, tem-se a cadeia produtiva de ferro-gusa. O município está localizado em três grandes bacias: do rio Paraná, do rio V</w:t>
      </w:r>
      <w:r>
        <w:t>erde e do rio do Peixe sendo cortado por três rios principais: Verde, Pardo e Inhanduí.</w:t>
      </w:r>
    </w:p>
    <w:p w:rsidR="00D81F69" w:rsidRDefault="00D81F69">
      <w:pPr>
        <w:pStyle w:val="Corpodetexto"/>
        <w:spacing w:before="3"/>
        <w:ind w:left="0"/>
        <w:jc w:val="left"/>
        <w:rPr>
          <w:sz w:val="29"/>
        </w:rPr>
      </w:pPr>
    </w:p>
    <w:p w:rsidR="00D81F69" w:rsidRDefault="00330118">
      <w:pPr>
        <w:pStyle w:val="Heading7"/>
        <w:spacing w:before="1"/>
        <w:jc w:val="left"/>
      </w:pPr>
      <w:r>
        <w:t>REDATORES</w:t>
      </w:r>
    </w:p>
    <w:p w:rsidR="00D81F69" w:rsidRDefault="00330118">
      <w:pPr>
        <w:pStyle w:val="Corpodetexto"/>
        <w:spacing w:before="178"/>
        <w:jc w:val="left"/>
      </w:pPr>
      <w:r>
        <w:t>Renata Olivieri; Eliane Araujo</w:t>
      </w:r>
    </w:p>
    <w:p w:rsidR="00D81F69" w:rsidRDefault="00D81F69">
      <w:pPr>
        <w:pStyle w:val="Corpodetexto"/>
        <w:ind w:left="0"/>
        <w:jc w:val="left"/>
        <w:rPr>
          <w:sz w:val="20"/>
        </w:rPr>
      </w:pPr>
    </w:p>
    <w:p w:rsidR="00D81F69" w:rsidRDefault="00330118">
      <w:pPr>
        <w:pStyle w:val="Heading7"/>
        <w:spacing w:before="165"/>
        <w:jc w:val="left"/>
      </w:pPr>
      <w:r>
        <w:t>REFERÊNCIAS BIBLIOGRÁFICAS</w:t>
      </w:r>
    </w:p>
    <w:p w:rsidR="00D81F69" w:rsidRDefault="00330118">
      <w:pPr>
        <w:spacing w:before="187" w:line="312" w:lineRule="auto"/>
        <w:ind w:left="100" w:right="181"/>
        <w:jc w:val="both"/>
        <w:rPr>
          <w:sz w:val="16"/>
        </w:rPr>
      </w:pPr>
      <w:r>
        <w:rPr>
          <w:sz w:val="16"/>
        </w:rPr>
        <w:t xml:space="preserve">FRIAS, Silvia. PMA interdita quatro carvoarias em Ribas do Rio Pardo. In: TV Morena, 23 abr. 2011. Disponível em: </w:t>
      </w:r>
    </w:p>
    <w:p w:rsidR="00D81F69" w:rsidRDefault="00D81F69">
      <w:pPr>
        <w:spacing w:before="2" w:line="312" w:lineRule="auto"/>
        <w:ind w:left="100" w:right="193"/>
        <w:jc w:val="both"/>
        <w:rPr>
          <w:sz w:val="16"/>
        </w:rPr>
      </w:pPr>
      <w:hyperlink r:id="rId957">
        <w:r w:rsidR="00330118">
          <w:rPr>
            <w:sz w:val="16"/>
          </w:rPr>
          <w:t>&lt;http://rmtonline.globo.com/noticias.asp?em=3&amp;n=527515&amp;p=2</w:t>
        </w:r>
        <w:r w:rsidR="00330118">
          <w:rPr>
            <w:sz w:val="16"/>
          </w:rPr>
          <w:t>&gt;.</w:t>
        </w:r>
      </w:hyperlink>
      <w:r w:rsidR="00330118">
        <w:rPr>
          <w:sz w:val="16"/>
        </w:rPr>
        <w:t xml:space="preserve"> Acesso em: 17 out. 2011.</w:t>
      </w:r>
    </w:p>
    <w:p w:rsidR="00D81F69" w:rsidRDefault="00330118">
      <w:pPr>
        <w:spacing w:before="1" w:line="312" w:lineRule="auto"/>
        <w:ind w:left="100" w:right="181"/>
        <w:jc w:val="both"/>
        <w:rPr>
          <w:sz w:val="16"/>
        </w:rPr>
      </w:pPr>
      <w:r>
        <w:rPr>
          <w:sz w:val="16"/>
        </w:rPr>
        <w:t xml:space="preserve">IBAMA-MS. Ibama fecha carvoarias e apreende cargas irregulares de </w:t>
      </w:r>
      <w:r>
        <w:rPr>
          <w:spacing w:val="13"/>
          <w:sz w:val="16"/>
        </w:rPr>
        <w:t xml:space="preserve">carvão. </w:t>
      </w:r>
      <w:r>
        <w:rPr>
          <w:spacing w:val="10"/>
          <w:sz w:val="16"/>
        </w:rPr>
        <w:t>In:</w:t>
      </w:r>
      <w:r>
        <w:rPr>
          <w:spacing w:val="65"/>
          <w:sz w:val="16"/>
        </w:rPr>
        <w:t xml:space="preserve"> </w:t>
      </w:r>
      <w:r>
        <w:rPr>
          <w:spacing w:val="15"/>
          <w:sz w:val="16"/>
        </w:rPr>
        <w:t xml:space="preserve">Globo.com, </w:t>
      </w:r>
      <w:r>
        <w:rPr>
          <w:spacing w:val="7"/>
          <w:sz w:val="16"/>
        </w:rPr>
        <w:t xml:space="preserve">31 </w:t>
      </w:r>
      <w:r>
        <w:rPr>
          <w:spacing w:val="11"/>
          <w:sz w:val="16"/>
        </w:rPr>
        <w:t xml:space="preserve">mar. </w:t>
      </w:r>
      <w:r>
        <w:rPr>
          <w:spacing w:val="12"/>
          <w:sz w:val="16"/>
        </w:rPr>
        <w:t xml:space="preserve">2010. </w:t>
      </w:r>
      <w:r>
        <w:rPr>
          <w:spacing w:val="15"/>
          <w:sz w:val="16"/>
        </w:rPr>
        <w:t xml:space="preserve">Disponível </w:t>
      </w:r>
      <w:r>
        <w:rPr>
          <w:spacing w:val="10"/>
          <w:sz w:val="16"/>
        </w:rPr>
        <w:t>em:</w:t>
      </w:r>
      <w:r>
        <w:rPr>
          <w:spacing w:val="-26"/>
          <w:sz w:val="16"/>
        </w:rPr>
        <w:t xml:space="preserve"> </w:t>
      </w:r>
    </w:p>
    <w:p w:rsidR="00D81F69" w:rsidRDefault="00D81F69">
      <w:pPr>
        <w:spacing w:before="2" w:line="312" w:lineRule="auto"/>
        <w:ind w:left="100" w:right="193"/>
        <w:jc w:val="both"/>
        <w:rPr>
          <w:sz w:val="16"/>
        </w:rPr>
      </w:pPr>
      <w:hyperlink r:id="rId958">
        <w:r w:rsidR="00330118">
          <w:rPr>
            <w:sz w:val="16"/>
          </w:rPr>
          <w:t>&lt;</w:t>
        </w:r>
        <w:r w:rsidR="00330118">
          <w:rPr>
            <w:sz w:val="16"/>
          </w:rPr>
          <w:t>http://rmtonline.globo.com/noticias.asp?em=3&amp;n=485765&amp;p=2&gt;.</w:t>
        </w:r>
      </w:hyperlink>
      <w:r w:rsidR="00330118">
        <w:rPr>
          <w:sz w:val="16"/>
        </w:rPr>
        <w:t xml:space="preserve"> Acesso em: 22 maio 2010.</w:t>
      </w:r>
    </w:p>
    <w:p w:rsidR="00D81F69" w:rsidRDefault="00330118">
      <w:pPr>
        <w:spacing w:before="2" w:line="312" w:lineRule="auto"/>
        <w:ind w:left="100" w:right="176"/>
        <w:jc w:val="both"/>
        <w:rPr>
          <w:sz w:val="16"/>
        </w:rPr>
      </w:pPr>
      <w:r>
        <w:rPr>
          <w:sz w:val="16"/>
        </w:rPr>
        <w:t xml:space="preserve">IBGE, Instituto Brasileiro de Geografia e Estatística. Ribas do Rio Pardo (MS). In: IBGE Cidades 2010. Disponível em: </w:t>
      </w:r>
    </w:p>
    <w:p w:rsidR="00D81F69" w:rsidRDefault="00D81F69">
      <w:pPr>
        <w:spacing w:before="1"/>
        <w:ind w:left="100"/>
        <w:rPr>
          <w:sz w:val="16"/>
        </w:rPr>
      </w:pPr>
      <w:hyperlink r:id="rId959">
        <w:r w:rsidR="00330118">
          <w:rPr>
            <w:sz w:val="16"/>
          </w:rPr>
          <w:t>&lt;http://www.ibge.gov.br/cidadesat/xtras/perfil.php?codmun=500710&amp;r</w:t>
        </w:r>
      </w:hyperlink>
    </w:p>
    <w:p w:rsidR="00D81F69" w:rsidRDefault="00330118">
      <w:pPr>
        <w:spacing w:before="56"/>
        <w:ind w:left="100"/>
        <w:rPr>
          <w:sz w:val="16"/>
        </w:rPr>
      </w:pPr>
      <w:r>
        <w:rPr>
          <w:sz w:val="16"/>
        </w:rPr>
        <w:t>=2&gt;. Acesso em: 10 out. 2011.</w:t>
      </w:r>
    </w:p>
    <w:p w:rsidR="00D81F69" w:rsidRDefault="00330118">
      <w:pPr>
        <w:spacing w:before="56" w:line="312" w:lineRule="auto"/>
        <w:ind w:left="100" w:right="146"/>
        <w:jc w:val="both"/>
        <w:rPr>
          <w:sz w:val="16"/>
        </w:rPr>
      </w:pPr>
      <w:r>
        <w:rPr>
          <w:spacing w:val="1"/>
          <w:sz w:val="16"/>
        </w:rPr>
        <w:t xml:space="preserve">IBGE, Instituto Brasileiro </w:t>
      </w:r>
      <w:r>
        <w:rPr>
          <w:sz w:val="16"/>
        </w:rPr>
        <w:t xml:space="preserve">de </w:t>
      </w:r>
      <w:r>
        <w:rPr>
          <w:spacing w:val="1"/>
          <w:sz w:val="16"/>
        </w:rPr>
        <w:t xml:space="preserve">Geografia </w:t>
      </w:r>
      <w:r>
        <w:rPr>
          <w:sz w:val="16"/>
        </w:rPr>
        <w:t xml:space="preserve">e </w:t>
      </w:r>
      <w:r>
        <w:rPr>
          <w:spacing w:val="1"/>
          <w:sz w:val="16"/>
        </w:rPr>
        <w:t xml:space="preserve">Estatística. Produção </w:t>
      </w:r>
      <w:r>
        <w:rPr>
          <w:spacing w:val="2"/>
          <w:sz w:val="16"/>
        </w:rPr>
        <w:t xml:space="preserve">da </w:t>
      </w:r>
      <w:r>
        <w:rPr>
          <w:sz w:val="16"/>
        </w:rPr>
        <w:t>Extração Vegetal e da Silvicultura. In: Sistema IBGE de R</w:t>
      </w:r>
      <w:r>
        <w:rPr>
          <w:sz w:val="16"/>
        </w:rPr>
        <w:t xml:space="preserve">ecuperação </w:t>
      </w:r>
      <w:r>
        <w:rPr>
          <w:spacing w:val="10"/>
          <w:sz w:val="16"/>
        </w:rPr>
        <w:t xml:space="preserve">A u t o m á t i c </w:t>
      </w:r>
      <w:r>
        <w:rPr>
          <w:sz w:val="16"/>
        </w:rPr>
        <w:t xml:space="preserve">a – </w:t>
      </w:r>
      <w:r>
        <w:rPr>
          <w:spacing w:val="10"/>
          <w:sz w:val="16"/>
        </w:rPr>
        <w:t xml:space="preserve">S I D R A </w:t>
      </w:r>
      <w:r>
        <w:rPr>
          <w:sz w:val="16"/>
        </w:rPr>
        <w:t xml:space="preserve">. </w:t>
      </w:r>
      <w:r>
        <w:rPr>
          <w:spacing w:val="10"/>
          <w:sz w:val="16"/>
        </w:rPr>
        <w:t xml:space="preserve">D i s p o n í v e </w:t>
      </w:r>
      <w:r>
        <w:rPr>
          <w:sz w:val="16"/>
        </w:rPr>
        <w:t>l</w:t>
      </w:r>
      <w:r>
        <w:rPr>
          <w:spacing w:val="16"/>
          <w:sz w:val="16"/>
        </w:rPr>
        <w:t xml:space="preserve"> </w:t>
      </w:r>
      <w:r>
        <w:rPr>
          <w:spacing w:val="10"/>
          <w:sz w:val="16"/>
        </w:rPr>
        <w:t xml:space="preserve">e m </w:t>
      </w:r>
      <w:r>
        <w:rPr>
          <w:sz w:val="16"/>
        </w:rPr>
        <w:t>:</w:t>
      </w:r>
      <w:r>
        <w:rPr>
          <w:spacing w:val="10"/>
          <w:sz w:val="16"/>
        </w:rPr>
        <w:t xml:space="preserve"> </w:t>
      </w:r>
    </w:p>
    <w:p w:rsidR="00D81F69" w:rsidRDefault="00D81F69">
      <w:pPr>
        <w:spacing w:before="3" w:line="312" w:lineRule="auto"/>
        <w:ind w:left="100" w:right="216"/>
        <w:jc w:val="both"/>
        <w:rPr>
          <w:sz w:val="16"/>
        </w:rPr>
      </w:pPr>
      <w:hyperlink r:id="rId960">
        <w:r w:rsidR="00330118">
          <w:rPr>
            <w:sz w:val="16"/>
          </w:rPr>
          <w:t>&lt;http://www.sidra.ibge.gov.br/bda/tabela/protabl.asp?c=291&amp;z=t&amp;o=1</w:t>
        </w:r>
      </w:hyperlink>
      <w:r w:rsidR="00330118">
        <w:rPr>
          <w:sz w:val="16"/>
        </w:rPr>
        <w:t xml:space="preserve"> 8&amp;i=P&gt;. Acesso em: 19 dez.</w:t>
      </w:r>
      <w:r w:rsidR="00330118">
        <w:rPr>
          <w:sz w:val="16"/>
        </w:rPr>
        <w:t xml:space="preserve"> 2012.</w:t>
      </w:r>
    </w:p>
    <w:p w:rsidR="00D81F69" w:rsidRDefault="00330118">
      <w:pPr>
        <w:spacing w:before="1" w:line="312" w:lineRule="auto"/>
        <w:ind w:left="100" w:right="215"/>
        <w:jc w:val="both"/>
        <w:rPr>
          <w:sz w:val="16"/>
        </w:rPr>
      </w:pPr>
      <w:r>
        <w:rPr>
          <w:sz w:val="16"/>
        </w:rPr>
        <w:t xml:space="preserve">HESS, Sônia. Riscos à saúde do trabalhador, na produção de carvão vegetal em carvoarias, no Brasil. Site Ecoa, 7 mai. 2008. Disponível em: </w:t>
      </w:r>
      <w:hyperlink r:id="rId961">
        <w:r>
          <w:rPr>
            <w:sz w:val="16"/>
          </w:rPr>
          <w:t>&lt;http://www.riosvivos.org.br/arquivos/135</w:t>
        </w:r>
        <w:r>
          <w:rPr>
            <w:sz w:val="16"/>
          </w:rPr>
          <w:t xml:space="preserve">7514940.pdf&gt;. </w:t>
        </w:r>
      </w:hyperlink>
      <w:r>
        <w:rPr>
          <w:sz w:val="16"/>
        </w:rPr>
        <w:t>Acesso</w:t>
      </w:r>
    </w:p>
    <w:p w:rsidR="00D81F69" w:rsidRDefault="00330118">
      <w:pPr>
        <w:spacing w:before="3"/>
        <w:ind w:left="100"/>
        <w:jc w:val="both"/>
        <w:rPr>
          <w:sz w:val="16"/>
        </w:rPr>
      </w:pPr>
      <w:r>
        <w:rPr>
          <w:sz w:val="16"/>
        </w:rPr>
        <w:t>em: 21 maio 2010.</w:t>
      </w:r>
    </w:p>
    <w:p w:rsidR="00D81F69" w:rsidRDefault="00D81F69">
      <w:pPr>
        <w:jc w:val="both"/>
        <w:rPr>
          <w:sz w:val="16"/>
        </w:rPr>
        <w:sectPr w:rsidR="00D81F69">
          <w:pgSz w:w="11900" w:h="16840"/>
          <w:pgMar w:top="740" w:right="500" w:bottom="720" w:left="620" w:header="0" w:footer="402" w:gutter="0"/>
          <w:cols w:num="2" w:space="720" w:equalWidth="0">
            <w:col w:w="5195" w:space="275"/>
            <w:col w:w="5310"/>
          </w:cols>
        </w:sectPr>
      </w:pPr>
    </w:p>
    <w:p w:rsidR="00D81F69" w:rsidRDefault="00330118">
      <w:pPr>
        <w:spacing w:before="70"/>
        <w:ind w:left="100"/>
        <w:jc w:val="both"/>
        <w:rPr>
          <w:sz w:val="16"/>
        </w:rPr>
      </w:pPr>
      <w:r>
        <w:rPr>
          <w:sz w:val="16"/>
        </w:rPr>
        <w:lastRenderedPageBreak/>
        <w:t>MAPA DA INJUSTIÇA AMBIENTAL E SAÚDE NO BRASIL. Carvão</w:t>
      </w:r>
    </w:p>
    <w:p w:rsidR="00D81F69" w:rsidRDefault="00330118">
      <w:pPr>
        <w:spacing w:before="56" w:line="312" w:lineRule="auto"/>
        <w:ind w:left="100" w:right="38"/>
        <w:jc w:val="both"/>
        <w:rPr>
          <w:sz w:val="16"/>
        </w:rPr>
      </w:pPr>
      <w:r>
        <w:rPr>
          <w:sz w:val="16"/>
        </w:rPr>
        <w:t>para Siderurgia e Mineração ameaça terras indígenas, águas, cerrado e matas do Pantanal. Base de dados, 2009. Disponível em:</w:t>
      </w:r>
    </w:p>
    <w:p w:rsidR="00D81F69" w:rsidRDefault="00D81F69">
      <w:pPr>
        <w:spacing w:before="1" w:line="312" w:lineRule="auto"/>
        <w:ind w:left="100" w:right="65"/>
        <w:jc w:val="both"/>
        <w:rPr>
          <w:sz w:val="16"/>
        </w:rPr>
      </w:pPr>
      <w:hyperlink r:id="rId962">
        <w:r w:rsidR="00330118">
          <w:rPr>
            <w:sz w:val="16"/>
          </w:rPr>
          <w:t>&lt;http://www.conflitoambiental.icict.fiocruz.br/index.php?pag=ficha&amp;co</w:t>
        </w:r>
      </w:hyperlink>
      <w:r w:rsidR="00330118">
        <w:rPr>
          <w:sz w:val="16"/>
        </w:rPr>
        <w:t xml:space="preserve"> d=92&gt;. Acesso em: 8 nov. 2011.</w:t>
      </w:r>
    </w:p>
    <w:p w:rsidR="00D81F69" w:rsidRDefault="00330118">
      <w:pPr>
        <w:tabs>
          <w:tab w:val="left" w:pos="1124"/>
          <w:tab w:val="left" w:pos="2447"/>
          <w:tab w:val="left" w:pos="4635"/>
        </w:tabs>
        <w:spacing w:before="2" w:line="312" w:lineRule="auto"/>
        <w:ind w:left="100" w:right="47"/>
        <w:jc w:val="both"/>
        <w:rPr>
          <w:sz w:val="16"/>
        </w:rPr>
      </w:pPr>
      <w:r>
        <w:rPr>
          <w:spacing w:val="8"/>
          <w:sz w:val="16"/>
        </w:rPr>
        <w:t xml:space="preserve">MPT, </w:t>
      </w:r>
      <w:r>
        <w:rPr>
          <w:spacing w:val="10"/>
          <w:sz w:val="16"/>
        </w:rPr>
        <w:t xml:space="preserve">Ministério Público </w:t>
      </w:r>
      <w:r>
        <w:rPr>
          <w:spacing w:val="5"/>
          <w:sz w:val="16"/>
        </w:rPr>
        <w:t xml:space="preserve">do </w:t>
      </w:r>
      <w:r>
        <w:rPr>
          <w:spacing w:val="10"/>
          <w:sz w:val="16"/>
        </w:rPr>
        <w:t xml:space="preserve">Trabalho. Operação constata </w:t>
      </w:r>
      <w:r>
        <w:rPr>
          <w:sz w:val="16"/>
        </w:rPr>
        <w:t>irregularida</w:t>
      </w:r>
      <w:r>
        <w:rPr>
          <w:sz w:val="16"/>
        </w:rPr>
        <w:t>des em outra carvoaria que era fornecedora da MMX. 25    j   u</w:t>
      </w:r>
      <w:r>
        <w:rPr>
          <w:spacing w:val="26"/>
          <w:sz w:val="16"/>
        </w:rPr>
        <w:t xml:space="preserve"> </w:t>
      </w:r>
      <w:r>
        <w:rPr>
          <w:sz w:val="16"/>
        </w:rPr>
        <w:t xml:space="preserve">l </w:t>
      </w:r>
      <w:r>
        <w:rPr>
          <w:spacing w:val="12"/>
          <w:sz w:val="16"/>
        </w:rPr>
        <w:t xml:space="preserve"> </w:t>
      </w:r>
      <w:r>
        <w:rPr>
          <w:sz w:val="16"/>
        </w:rPr>
        <w:t>.</w:t>
      </w:r>
      <w:r>
        <w:rPr>
          <w:sz w:val="16"/>
        </w:rPr>
        <w:tab/>
        <w:t>2   0   1</w:t>
      </w:r>
      <w:r>
        <w:rPr>
          <w:spacing w:val="-3"/>
          <w:sz w:val="16"/>
        </w:rPr>
        <w:t xml:space="preserve"> </w:t>
      </w:r>
      <w:r>
        <w:rPr>
          <w:sz w:val="16"/>
        </w:rPr>
        <w:t xml:space="preserve">1 </w:t>
      </w:r>
      <w:r>
        <w:rPr>
          <w:spacing w:val="12"/>
          <w:sz w:val="16"/>
        </w:rPr>
        <w:t xml:space="preserve"> </w:t>
      </w:r>
      <w:r>
        <w:rPr>
          <w:sz w:val="16"/>
        </w:rPr>
        <w:t>.</w:t>
      </w:r>
      <w:r>
        <w:rPr>
          <w:sz w:val="16"/>
        </w:rPr>
        <w:tab/>
        <w:t xml:space="preserve">D </w:t>
      </w:r>
      <w:r>
        <w:rPr>
          <w:spacing w:val="12"/>
          <w:sz w:val="16"/>
        </w:rPr>
        <w:t xml:space="preserve"> </w:t>
      </w:r>
      <w:r>
        <w:rPr>
          <w:sz w:val="16"/>
        </w:rPr>
        <w:t xml:space="preserve">i </w:t>
      </w:r>
      <w:r>
        <w:rPr>
          <w:spacing w:val="12"/>
          <w:sz w:val="16"/>
        </w:rPr>
        <w:t xml:space="preserve"> </w:t>
      </w:r>
      <w:r>
        <w:rPr>
          <w:sz w:val="16"/>
        </w:rPr>
        <w:t xml:space="preserve">s </w:t>
      </w:r>
      <w:r>
        <w:rPr>
          <w:spacing w:val="12"/>
          <w:sz w:val="16"/>
        </w:rPr>
        <w:t xml:space="preserve"> </w:t>
      </w:r>
      <w:r>
        <w:rPr>
          <w:sz w:val="16"/>
        </w:rPr>
        <w:t xml:space="preserve">p </w:t>
      </w:r>
      <w:r>
        <w:rPr>
          <w:spacing w:val="12"/>
          <w:sz w:val="16"/>
        </w:rPr>
        <w:t xml:space="preserve"> </w:t>
      </w:r>
      <w:r>
        <w:rPr>
          <w:sz w:val="16"/>
        </w:rPr>
        <w:t xml:space="preserve">o </w:t>
      </w:r>
      <w:r>
        <w:rPr>
          <w:spacing w:val="12"/>
          <w:sz w:val="16"/>
        </w:rPr>
        <w:t xml:space="preserve"> </w:t>
      </w:r>
      <w:r>
        <w:rPr>
          <w:sz w:val="16"/>
        </w:rPr>
        <w:t xml:space="preserve">n </w:t>
      </w:r>
      <w:r>
        <w:rPr>
          <w:spacing w:val="12"/>
          <w:sz w:val="16"/>
        </w:rPr>
        <w:t xml:space="preserve"> </w:t>
      </w:r>
      <w:r>
        <w:rPr>
          <w:sz w:val="16"/>
        </w:rPr>
        <w:t xml:space="preserve">í </w:t>
      </w:r>
      <w:r>
        <w:rPr>
          <w:spacing w:val="12"/>
          <w:sz w:val="16"/>
        </w:rPr>
        <w:t xml:space="preserve"> </w:t>
      </w:r>
      <w:r>
        <w:rPr>
          <w:sz w:val="16"/>
        </w:rPr>
        <w:t xml:space="preserve">v </w:t>
      </w:r>
      <w:r>
        <w:rPr>
          <w:spacing w:val="12"/>
          <w:sz w:val="16"/>
        </w:rPr>
        <w:t xml:space="preserve"> </w:t>
      </w:r>
      <w:r>
        <w:rPr>
          <w:sz w:val="16"/>
        </w:rPr>
        <w:t xml:space="preserve">e </w:t>
      </w:r>
      <w:r>
        <w:rPr>
          <w:spacing w:val="12"/>
          <w:sz w:val="16"/>
        </w:rPr>
        <w:t xml:space="preserve"> </w:t>
      </w:r>
      <w:r>
        <w:rPr>
          <w:sz w:val="16"/>
        </w:rPr>
        <w:t>l</w:t>
      </w:r>
      <w:r>
        <w:rPr>
          <w:sz w:val="16"/>
        </w:rPr>
        <w:tab/>
        <w:t>e m</w:t>
      </w:r>
      <w:r>
        <w:rPr>
          <w:spacing w:val="26"/>
          <w:sz w:val="16"/>
        </w:rPr>
        <w:t xml:space="preserve"> </w:t>
      </w:r>
      <w:r>
        <w:rPr>
          <w:sz w:val="16"/>
        </w:rPr>
        <w:t>:</w:t>
      </w:r>
    </w:p>
    <w:p w:rsidR="00D81F69" w:rsidRDefault="00D81F69">
      <w:pPr>
        <w:spacing w:before="2" w:line="312" w:lineRule="auto"/>
        <w:ind w:left="100" w:right="65"/>
        <w:jc w:val="both"/>
        <w:rPr>
          <w:sz w:val="16"/>
        </w:rPr>
      </w:pPr>
      <w:hyperlink r:id="rId963">
        <w:r w:rsidR="00330118">
          <w:rPr>
            <w:sz w:val="16"/>
          </w:rPr>
          <w:t>&lt;</w:t>
        </w:r>
        <w:r w:rsidR="00330118">
          <w:rPr>
            <w:sz w:val="16"/>
          </w:rPr>
          <w:t>http://portal.mpt.gov.br/wps/portal/portal_do_mpt/comunicacao/notici</w:t>
        </w:r>
      </w:hyperlink>
      <w:r w:rsidR="00330118">
        <w:rPr>
          <w:sz w:val="16"/>
        </w:rPr>
        <w:t xml:space="preserve"> as/conteudo_noticia/!ut/p/c4/04_SB8K8xLLM9MSSzPy8xBz9CP0os_i AUAN3SydDRwOLMC8nA89QzzAnC1dzQycvc_2CbEdFANihpkc!/?W CM_GLOBAL_CONTEXT=/wps/wcm/connect/mpt/portal+do+mpt/com unicacao/noticia</w:t>
      </w:r>
      <w:r w:rsidR="00330118">
        <w:rPr>
          <w:sz w:val="16"/>
        </w:rPr>
        <w:t>s/operacao+constata+irregularidades+em+outra+carv oaria+que+era+fornecedora+da+mmx&gt;. Acesso em: 17 out. 2011.</w:t>
      </w:r>
    </w:p>
    <w:p w:rsidR="00D81F69" w:rsidRDefault="00330118">
      <w:pPr>
        <w:tabs>
          <w:tab w:val="left" w:pos="4331"/>
        </w:tabs>
        <w:spacing w:before="5" w:line="312" w:lineRule="auto"/>
        <w:ind w:left="100" w:right="47"/>
        <w:jc w:val="both"/>
        <w:rPr>
          <w:sz w:val="16"/>
        </w:rPr>
      </w:pPr>
      <w:r>
        <w:rPr>
          <w:sz w:val="16"/>
        </w:rPr>
        <w:t xml:space="preserve">MONTEIRO, Maurílio de Abreu. Em busca de carvão vegetal barato:  o </w:t>
      </w:r>
      <w:r>
        <w:rPr>
          <w:spacing w:val="3"/>
          <w:sz w:val="16"/>
        </w:rPr>
        <w:t xml:space="preserve">deslocamento </w:t>
      </w:r>
      <w:r>
        <w:rPr>
          <w:spacing w:val="1"/>
          <w:sz w:val="16"/>
        </w:rPr>
        <w:t xml:space="preserve">de </w:t>
      </w:r>
      <w:r>
        <w:rPr>
          <w:spacing w:val="3"/>
          <w:sz w:val="16"/>
        </w:rPr>
        <w:t xml:space="preserve">siderúrgicas </w:t>
      </w:r>
      <w:r>
        <w:rPr>
          <w:spacing w:val="2"/>
          <w:sz w:val="16"/>
        </w:rPr>
        <w:t xml:space="preserve">para </w:t>
      </w:r>
      <w:r>
        <w:rPr>
          <w:sz w:val="16"/>
        </w:rPr>
        <w:t xml:space="preserve">a </w:t>
      </w:r>
      <w:r>
        <w:rPr>
          <w:spacing w:val="3"/>
          <w:sz w:val="16"/>
        </w:rPr>
        <w:t xml:space="preserve">Amazônia. Revista </w:t>
      </w:r>
      <w:r>
        <w:rPr>
          <w:spacing w:val="5"/>
          <w:sz w:val="16"/>
        </w:rPr>
        <w:t xml:space="preserve">Brasil </w:t>
      </w:r>
      <w:r>
        <w:rPr>
          <w:spacing w:val="1"/>
          <w:sz w:val="16"/>
        </w:rPr>
        <w:t xml:space="preserve">Mineral, </w:t>
      </w:r>
      <w:r>
        <w:rPr>
          <w:sz w:val="16"/>
        </w:rPr>
        <w:t xml:space="preserve">n. </w:t>
      </w:r>
      <w:r>
        <w:rPr>
          <w:spacing w:val="1"/>
          <w:sz w:val="16"/>
        </w:rPr>
        <w:t xml:space="preserve">253, </w:t>
      </w:r>
      <w:r>
        <w:rPr>
          <w:sz w:val="16"/>
        </w:rPr>
        <w:t>p</w:t>
      </w:r>
      <w:r>
        <w:rPr>
          <w:sz w:val="16"/>
        </w:rPr>
        <w:t xml:space="preserve">. </w:t>
      </w:r>
      <w:r>
        <w:rPr>
          <w:spacing w:val="1"/>
          <w:sz w:val="16"/>
        </w:rPr>
        <w:t xml:space="preserve">56-70, ago. 2006. </w:t>
      </w:r>
      <w:r>
        <w:rPr>
          <w:sz w:val="16"/>
        </w:rPr>
        <w:t xml:space="preserve">In: </w:t>
      </w:r>
      <w:r>
        <w:rPr>
          <w:spacing w:val="1"/>
          <w:sz w:val="16"/>
        </w:rPr>
        <w:t xml:space="preserve">Universidade Federal </w:t>
      </w:r>
      <w:r>
        <w:rPr>
          <w:spacing w:val="2"/>
          <w:sz w:val="16"/>
        </w:rPr>
        <w:t xml:space="preserve">do </w:t>
      </w:r>
      <w:r>
        <w:rPr>
          <w:sz w:val="16"/>
        </w:rPr>
        <w:t xml:space="preserve">Pará, Grupo de Pesquisa Mineração e Desenvolvimento Sustentável.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4" w:line="312" w:lineRule="auto"/>
        <w:ind w:left="100" w:right="56"/>
        <w:jc w:val="both"/>
        <w:rPr>
          <w:sz w:val="16"/>
        </w:rPr>
      </w:pPr>
      <w:hyperlink r:id="rId964">
        <w:r w:rsidR="00330118">
          <w:rPr>
            <w:sz w:val="16"/>
          </w:rPr>
          <w:t>&lt;http://www3.ufpa.br/projetomineracao/docs/estrut/NCN-2007-</w:t>
        </w:r>
      </w:hyperlink>
      <w:r w:rsidR="00330118">
        <w:rPr>
          <w:sz w:val="16"/>
        </w:rPr>
        <w:t xml:space="preserve"> 87.pdf&gt;. Acesso em: 24 maio 2010.</w:t>
      </w:r>
    </w:p>
    <w:p w:rsidR="00D81F69" w:rsidRDefault="00330118">
      <w:pPr>
        <w:spacing w:before="2" w:line="312" w:lineRule="auto"/>
        <w:ind w:left="100" w:right="47"/>
        <w:jc w:val="both"/>
        <w:rPr>
          <w:sz w:val="16"/>
        </w:rPr>
      </w:pPr>
      <w:r>
        <w:rPr>
          <w:sz w:val="16"/>
        </w:rPr>
        <w:t>PEREIRA, Altamira. Os desafios para o trabalho nas carvoarias de Ribas do Rio Pardo/MS. 2007. Dissertação (Mestrado) em Geografia, Faculdade de Ciência e Tecnolog</w:t>
      </w:r>
      <w:r>
        <w:rPr>
          <w:sz w:val="16"/>
        </w:rPr>
        <w:t>ia da Universidade Estadual Paulista, Presidente Prudente (SP), 150f.</w:t>
      </w:r>
    </w:p>
    <w:p w:rsidR="00D81F69" w:rsidRDefault="00330118">
      <w:pPr>
        <w:tabs>
          <w:tab w:val="left" w:pos="4331"/>
        </w:tabs>
        <w:spacing w:before="70"/>
        <w:ind w:left="100"/>
        <w:jc w:val="both"/>
        <w:rPr>
          <w:sz w:val="16"/>
        </w:rPr>
      </w:pPr>
      <w:r>
        <w:br w:type="column"/>
      </w:r>
      <w:r>
        <w:rPr>
          <w:sz w:val="16"/>
        </w:rPr>
        <w:lastRenderedPageBreak/>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56" w:line="312" w:lineRule="auto"/>
        <w:ind w:left="100" w:right="214"/>
        <w:jc w:val="both"/>
        <w:rPr>
          <w:sz w:val="16"/>
        </w:rPr>
      </w:pPr>
      <w:hyperlink r:id="rId965">
        <w:r w:rsidR="00330118">
          <w:rPr>
            <w:sz w:val="16"/>
          </w:rPr>
          <w:t>&lt;</w:t>
        </w:r>
        <w:r w:rsidR="00330118">
          <w:rPr>
            <w:sz w:val="16"/>
          </w:rPr>
          <w:t xml:space="preserve">http://www4.fct.unesp.br/ceget/Altamira/Dissertacao.pdf&gt;. </w:t>
        </w:r>
      </w:hyperlink>
      <w:r w:rsidR="00330118">
        <w:rPr>
          <w:sz w:val="16"/>
        </w:rPr>
        <w:t>Acesso em: 21 maio 2010.</w:t>
      </w:r>
    </w:p>
    <w:p w:rsidR="00D81F69" w:rsidRDefault="00330118">
      <w:pPr>
        <w:spacing w:before="1" w:line="312" w:lineRule="auto"/>
        <w:ind w:left="100" w:right="197"/>
        <w:jc w:val="both"/>
        <w:rPr>
          <w:sz w:val="16"/>
        </w:rPr>
      </w:pPr>
      <w:r>
        <w:rPr>
          <w:sz w:val="16"/>
        </w:rPr>
        <w:t xml:space="preserve">PONTES, Mariza. Grupo interinstitucional Brasil-Paraguai combaterá carvão ilegal. Site Visãomais – informação e diversão, 07 mar. 2009. Disponível em: </w:t>
      </w:r>
      <w:hyperlink r:id="rId966">
        <w:r>
          <w:rPr>
            <w:sz w:val="16"/>
          </w:rPr>
          <w:t>&lt;http://www.visaomais.com.br/noticias.php?id=182&gt;.</w:t>
        </w:r>
      </w:hyperlink>
      <w:r>
        <w:rPr>
          <w:sz w:val="16"/>
        </w:rPr>
        <w:t xml:space="preserve"> Acesso em: 24 maio 2010.</w:t>
      </w:r>
    </w:p>
    <w:p w:rsidR="00D81F69" w:rsidRDefault="00330118">
      <w:pPr>
        <w:spacing w:before="4" w:line="312" w:lineRule="auto"/>
        <w:ind w:left="100" w:right="194"/>
        <w:jc w:val="both"/>
        <w:rPr>
          <w:sz w:val="16"/>
        </w:rPr>
      </w:pPr>
      <w:r>
        <w:rPr>
          <w:sz w:val="16"/>
        </w:rPr>
        <w:t>PAINEL FLORESTAL. Governo do Estado comemora recorde de produção de carvão vegetal em MS, 7 out. 2011. Disponível em:</w:t>
      </w:r>
    </w:p>
    <w:p w:rsidR="00D81F69" w:rsidRDefault="00D81F69">
      <w:pPr>
        <w:spacing w:before="1" w:line="312" w:lineRule="auto"/>
        <w:ind w:left="100" w:right="212"/>
        <w:jc w:val="both"/>
        <w:rPr>
          <w:sz w:val="16"/>
        </w:rPr>
      </w:pPr>
      <w:hyperlink r:id="rId967">
        <w:r w:rsidR="00330118">
          <w:rPr>
            <w:sz w:val="16"/>
          </w:rPr>
          <w:t>&lt;http://painelflorestal.com.br/noticias/carvao-vegetal/13014/governo-</w:t>
        </w:r>
      </w:hyperlink>
      <w:r w:rsidR="00330118">
        <w:rPr>
          <w:sz w:val="16"/>
        </w:rPr>
        <w:t xml:space="preserve"> do-estado-comemora-recorde-de-producao-de-carvao-vegetal-em- ms&gt;. Acesso em: 17 out. 2011.</w:t>
      </w:r>
    </w:p>
    <w:p w:rsidR="00D81F69" w:rsidRDefault="00330118">
      <w:pPr>
        <w:spacing w:before="3" w:line="312" w:lineRule="auto"/>
        <w:ind w:left="100" w:right="189"/>
        <w:jc w:val="both"/>
        <w:rPr>
          <w:sz w:val="16"/>
        </w:rPr>
      </w:pPr>
      <w:r>
        <w:rPr>
          <w:sz w:val="16"/>
        </w:rPr>
        <w:t>RADIOWEB MS</w:t>
      </w:r>
      <w:r>
        <w:rPr>
          <w:sz w:val="16"/>
        </w:rPr>
        <w:t xml:space="preserve">. Sindicato estima que existam 300 carvoarias operando ilegalmente em MS. Campo Grande, 25 jan. 2011. Disponível em: </w:t>
      </w:r>
      <w:hyperlink r:id="rId968">
        <w:r>
          <w:rPr>
            <w:sz w:val="16"/>
          </w:rPr>
          <w:t>&lt;http://radiowebms.com.br/audios/11383.html&gt;.</w:t>
        </w:r>
      </w:hyperlink>
      <w:r>
        <w:rPr>
          <w:sz w:val="16"/>
        </w:rPr>
        <w:t xml:space="preserve"> Acesso em: 10 mar. 2011.</w:t>
      </w:r>
    </w:p>
    <w:p w:rsidR="00D81F69" w:rsidRDefault="00330118">
      <w:pPr>
        <w:tabs>
          <w:tab w:val="left" w:pos="4331"/>
        </w:tabs>
        <w:spacing w:before="3" w:line="312" w:lineRule="auto"/>
        <w:ind w:left="100" w:right="194"/>
        <w:jc w:val="both"/>
        <w:rPr>
          <w:sz w:val="16"/>
        </w:rPr>
      </w:pPr>
      <w:r>
        <w:rPr>
          <w:sz w:val="16"/>
        </w:rPr>
        <w:t xml:space="preserve">SANTOS, </w:t>
      </w:r>
      <w:r>
        <w:rPr>
          <w:sz w:val="16"/>
        </w:rPr>
        <w:t xml:space="preserve">Aline dos. Ibama multa carvoarias e siderúrgicas de MS em </w:t>
      </w:r>
      <w:r>
        <w:rPr>
          <w:spacing w:val="1"/>
          <w:sz w:val="16"/>
        </w:rPr>
        <w:t xml:space="preserve">R$ </w:t>
      </w:r>
      <w:r>
        <w:rPr>
          <w:spacing w:val="2"/>
          <w:sz w:val="16"/>
        </w:rPr>
        <w:t xml:space="preserve">119 mi. </w:t>
      </w:r>
      <w:r>
        <w:rPr>
          <w:spacing w:val="3"/>
          <w:sz w:val="16"/>
        </w:rPr>
        <w:t xml:space="preserve">Campo Grande News, Campo Grande, </w:t>
      </w:r>
      <w:r>
        <w:rPr>
          <w:spacing w:val="1"/>
          <w:sz w:val="16"/>
        </w:rPr>
        <w:t xml:space="preserve">12 </w:t>
      </w:r>
      <w:r>
        <w:rPr>
          <w:spacing w:val="2"/>
          <w:sz w:val="16"/>
        </w:rPr>
        <w:t xml:space="preserve">jun. </w:t>
      </w:r>
      <w:r>
        <w:rPr>
          <w:spacing w:val="5"/>
          <w:sz w:val="16"/>
        </w:rPr>
        <w:t xml:space="preserve">2008.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217"/>
        <w:jc w:val="both"/>
        <w:rPr>
          <w:sz w:val="16"/>
        </w:rPr>
      </w:pPr>
      <w:hyperlink r:id="rId969">
        <w:r w:rsidR="00330118">
          <w:rPr>
            <w:sz w:val="16"/>
          </w:rPr>
          <w:t>&lt;http://www.campogrande.news.com.br/canais/view/?canal=8&amp;id=229</w:t>
        </w:r>
      </w:hyperlink>
      <w:r w:rsidR="00330118">
        <w:rPr>
          <w:sz w:val="16"/>
        </w:rPr>
        <w:t xml:space="preserve"> 278&gt;. Acesso em: 24 maio 2010.</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59" w:space="311"/>
            <w:col w:w="5310"/>
          </w:cols>
        </w:sectPr>
      </w:pPr>
    </w:p>
    <w:p w:rsidR="00D81F69" w:rsidRDefault="00330118">
      <w:pPr>
        <w:pStyle w:val="Heading1"/>
        <w:tabs>
          <w:tab w:val="left" w:pos="1914"/>
          <w:tab w:val="left" w:pos="2141"/>
          <w:tab w:val="left" w:pos="2868"/>
          <w:tab w:val="left" w:pos="4072"/>
          <w:tab w:val="left" w:pos="6524"/>
          <w:tab w:val="left" w:pos="7772"/>
          <w:tab w:val="left" w:pos="9952"/>
        </w:tabs>
        <w:spacing w:line="208" w:lineRule="auto"/>
        <w:ind w:right="192"/>
      </w:pPr>
      <w:r>
        <w:rPr>
          <w:spacing w:val="21"/>
        </w:rPr>
        <w:lastRenderedPageBreak/>
        <w:t>Garimpo</w:t>
      </w:r>
      <w:r>
        <w:rPr>
          <w:spacing w:val="21"/>
        </w:rPr>
        <w:tab/>
      </w:r>
      <w:r>
        <w:rPr>
          <w:spacing w:val="21"/>
        </w:rPr>
        <w:tab/>
      </w:r>
      <w:r>
        <w:rPr>
          <w:spacing w:val="12"/>
        </w:rPr>
        <w:t>de</w:t>
      </w:r>
      <w:r>
        <w:rPr>
          <w:spacing w:val="12"/>
        </w:rPr>
        <w:tab/>
      </w:r>
      <w:r>
        <w:rPr>
          <w:spacing w:val="18"/>
        </w:rPr>
        <w:t>ouro</w:t>
      </w:r>
      <w:r>
        <w:rPr>
          <w:spacing w:val="18"/>
        </w:rPr>
        <w:tab/>
      </w:r>
      <w:r>
        <w:rPr>
          <w:spacing w:val="22"/>
        </w:rPr>
        <w:t>contamina</w:t>
      </w:r>
      <w:r>
        <w:rPr>
          <w:spacing w:val="22"/>
        </w:rPr>
        <w:tab/>
      </w:r>
      <w:r>
        <w:rPr>
          <w:spacing w:val="18"/>
        </w:rPr>
        <w:t>meio</w:t>
      </w:r>
      <w:r>
        <w:rPr>
          <w:spacing w:val="18"/>
        </w:rPr>
        <w:tab/>
      </w:r>
      <w:r>
        <w:rPr>
          <w:spacing w:val="21"/>
        </w:rPr>
        <w:t>ambiente</w:t>
      </w:r>
      <w:r>
        <w:rPr>
          <w:spacing w:val="21"/>
        </w:rPr>
        <w:tab/>
      </w:r>
      <w:r>
        <w:rPr>
          <w:spacing w:val="25"/>
        </w:rPr>
        <w:t xml:space="preserve">em </w:t>
      </w:r>
      <w:r>
        <w:rPr>
          <w:spacing w:val="20"/>
        </w:rPr>
        <w:t>Poconé</w:t>
      </w:r>
      <w:r>
        <w:rPr>
          <w:spacing w:val="20"/>
        </w:rPr>
        <w:tab/>
      </w:r>
      <w:r>
        <w:rPr>
          <w:spacing w:val="25"/>
        </w:rPr>
        <w:t>(MT)</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MT - Poconé</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-16,2994</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-56,4625</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8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Os níveis de exposição ambiental ao </w:t>
      </w:r>
      <w:r>
        <w:rPr>
          <w:i/>
          <w:sz w:val="16"/>
        </w:rPr>
        <w:t>mercúrio metálico e seus efeitos à saúde dos habitantes de Poconé (MT) são objeto de estudo de vários especialistas. Resultados obtidos mostraram poluição por mercúrio, principalmente, nas áreas urbanas do município. Os trabalhos alertaram para a necessida</w:t>
      </w:r>
      <w:r>
        <w:rPr>
          <w:i/>
          <w:sz w:val="16"/>
        </w:rPr>
        <w:t>de de intervenção dos órgãos públicos no sentido de normatizar as atividades na extração e comercialização de ouro.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9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10"/>
      </w:pPr>
      <w:r>
        <w:t>grande potencialidade. Poconé é tido como portal de entrada do Pantanal Matogrossense, sendo diversas as pousadas e hotéis no decorrer da Rodovia Transpantaneira (Rodovia Zelito Dorileo), que recebem diariamente grande fluxo de turistas, nacionais e estran</w:t>
      </w:r>
      <w:r>
        <w:t>geiros (PREFEITURA MUNICIPAL DE POCONÉ, 2011).</w:t>
      </w:r>
    </w:p>
    <w:p w:rsidR="00D81F69" w:rsidRDefault="00330118">
      <w:pPr>
        <w:pStyle w:val="Corpodetexto"/>
        <w:spacing w:before="135" w:line="312" w:lineRule="auto"/>
        <w:ind w:left="135" w:right="196"/>
      </w:pPr>
      <w:r>
        <w:t xml:space="preserve">A atividade garimpeira, nesta região, remonta ao ano de 1716, com a descoberta das minas de ouro no rio Caxipó- Mirim (SILVA et al., 1991 apud CÂMARA et al., 1996). Neste período, dava-se a exploração mineral </w:t>
      </w:r>
      <w:r>
        <w:t>por bandeirantes, que, em 1777, descobrem as minas de Beripoconé, onde seria fundada a cidade de Poconé. Só a partir do ano de 1982, a</w:t>
      </w:r>
    </w:p>
    <w:p w:rsidR="00D81F69" w:rsidRDefault="00D81F69">
      <w:pPr>
        <w:spacing w:line="312" w:lineRule="auto"/>
        <w:sectPr w:rsidR="00D81F69">
          <w:type w:val="continuous"/>
          <w:pgSz w:w="11900" w:h="16840"/>
          <w:pgMar w:top="720" w:right="500" w:bottom="280" w:left="620" w:header="720" w:footer="720" w:gutter="0"/>
          <w:cols w:num="3" w:space="720" w:equalWidth="0">
            <w:col w:w="1008" w:space="992"/>
            <w:col w:w="3115" w:space="320"/>
            <w:col w:w="5345"/>
          </w:cols>
        </w:sectPr>
      </w:pPr>
    </w:p>
    <w:p w:rsidR="00D81F69" w:rsidRDefault="00330118">
      <w:pPr>
        <w:pStyle w:val="Heading4"/>
        <w:spacing w:before="59"/>
        <w:jc w:val="left"/>
      </w:pPr>
      <w:r>
        <w:lastRenderedPageBreak/>
        <w:t>APRESENTAÇÃO DE CASO</w:t>
      </w:r>
    </w:p>
    <w:p w:rsidR="00D81F69" w:rsidRDefault="00330118">
      <w:pPr>
        <w:pStyle w:val="Corpodetexto"/>
        <w:spacing w:before="171" w:line="312" w:lineRule="auto"/>
        <w:ind w:right="95"/>
      </w:pPr>
      <w:r>
        <w:t xml:space="preserve">O </w:t>
      </w:r>
      <w:r>
        <w:rPr>
          <w:spacing w:val="5"/>
        </w:rPr>
        <w:t xml:space="preserve">município </w:t>
      </w:r>
      <w:r>
        <w:rPr>
          <w:spacing w:val="2"/>
        </w:rPr>
        <w:t xml:space="preserve">de </w:t>
      </w:r>
      <w:r>
        <w:rPr>
          <w:spacing w:val="5"/>
        </w:rPr>
        <w:t xml:space="preserve">Poconé, </w:t>
      </w:r>
      <w:r>
        <w:rPr>
          <w:spacing w:val="2"/>
        </w:rPr>
        <w:t xml:space="preserve">em </w:t>
      </w:r>
      <w:r>
        <w:rPr>
          <w:spacing w:val="3"/>
        </w:rPr>
        <w:t xml:space="preserve">Mato </w:t>
      </w:r>
      <w:r>
        <w:rPr>
          <w:spacing w:val="5"/>
        </w:rPr>
        <w:t xml:space="preserve">Grosso, </w:t>
      </w:r>
      <w:r>
        <w:rPr>
          <w:spacing w:val="3"/>
        </w:rPr>
        <w:t xml:space="preserve">tem </w:t>
      </w:r>
      <w:r>
        <w:rPr>
          <w:spacing w:val="2"/>
        </w:rPr>
        <w:t xml:space="preserve">10 </w:t>
      </w:r>
      <w:r>
        <w:rPr>
          <w:spacing w:val="5"/>
        </w:rPr>
        <w:t xml:space="preserve">áreas </w:t>
      </w:r>
      <w:r>
        <w:t>classificadas so</w:t>
      </w:r>
      <w:r>
        <w:t xml:space="preserve">b a categoria “solo contaminado e população exposta”. O mapeamento foi feito pelo Diagnóstico Nacional de Áreas Potenciais e Efetivas de Contaminação de Solo e População sob Risco de Exposição, elaborado pela Vigilância </w:t>
      </w:r>
      <w:r>
        <w:rPr>
          <w:spacing w:val="1"/>
        </w:rPr>
        <w:t xml:space="preserve">em </w:t>
      </w:r>
      <w:r>
        <w:rPr>
          <w:spacing w:val="3"/>
        </w:rPr>
        <w:t xml:space="preserve">Saúde </w:t>
      </w:r>
      <w:r>
        <w:rPr>
          <w:spacing w:val="1"/>
        </w:rPr>
        <w:t xml:space="preserve">de </w:t>
      </w:r>
      <w:r>
        <w:rPr>
          <w:spacing w:val="3"/>
        </w:rPr>
        <w:t xml:space="preserve">Populações Expostas </w:t>
      </w:r>
      <w:r>
        <w:t xml:space="preserve">a </w:t>
      </w:r>
      <w:r>
        <w:rPr>
          <w:spacing w:val="2"/>
        </w:rPr>
        <w:t>So</w:t>
      </w:r>
      <w:r>
        <w:rPr>
          <w:spacing w:val="2"/>
        </w:rPr>
        <w:t xml:space="preserve">lo </w:t>
      </w:r>
      <w:r>
        <w:rPr>
          <w:spacing w:val="5"/>
        </w:rPr>
        <w:t xml:space="preserve">Contaminado (Vigisolo) </w:t>
      </w:r>
      <w:r>
        <w:t xml:space="preserve">/ </w:t>
      </w:r>
      <w:r>
        <w:rPr>
          <w:spacing w:val="5"/>
        </w:rPr>
        <w:t xml:space="preserve">Coordenação Geral </w:t>
      </w:r>
      <w:r>
        <w:rPr>
          <w:spacing w:val="2"/>
        </w:rPr>
        <w:t xml:space="preserve">de </w:t>
      </w:r>
      <w:r>
        <w:rPr>
          <w:spacing w:val="5"/>
        </w:rPr>
        <w:t xml:space="preserve">Vigilância </w:t>
      </w:r>
      <w:r>
        <w:rPr>
          <w:spacing w:val="2"/>
        </w:rPr>
        <w:t xml:space="preserve">em </w:t>
      </w:r>
      <w:r>
        <w:rPr>
          <w:spacing w:val="6"/>
        </w:rPr>
        <w:t xml:space="preserve">Saúde </w:t>
      </w:r>
      <w:r>
        <w:rPr>
          <w:spacing w:val="3"/>
        </w:rPr>
        <w:t xml:space="preserve">Ambiental (CGVAM) </w:t>
      </w:r>
      <w:r>
        <w:t xml:space="preserve">/ </w:t>
      </w:r>
      <w:r>
        <w:rPr>
          <w:spacing w:val="3"/>
        </w:rPr>
        <w:t xml:space="preserve">Secretaria </w:t>
      </w:r>
      <w:r>
        <w:rPr>
          <w:spacing w:val="1"/>
        </w:rPr>
        <w:t xml:space="preserve">de </w:t>
      </w:r>
      <w:r>
        <w:rPr>
          <w:spacing w:val="3"/>
        </w:rPr>
        <w:t xml:space="preserve">Vigilância </w:t>
      </w:r>
      <w:r>
        <w:rPr>
          <w:spacing w:val="1"/>
        </w:rPr>
        <w:t xml:space="preserve">em </w:t>
      </w:r>
      <w:r>
        <w:rPr>
          <w:spacing w:val="5"/>
        </w:rPr>
        <w:t xml:space="preserve">Saúde </w:t>
      </w:r>
      <w:r>
        <w:rPr>
          <w:spacing w:val="1"/>
        </w:rPr>
        <w:t xml:space="preserve">(SVS) </w:t>
      </w:r>
      <w:r>
        <w:t xml:space="preserve">/ </w:t>
      </w:r>
      <w:r>
        <w:rPr>
          <w:spacing w:val="1"/>
        </w:rPr>
        <w:t xml:space="preserve">Ministério </w:t>
      </w:r>
      <w:r>
        <w:t xml:space="preserve">da </w:t>
      </w:r>
      <w:r>
        <w:rPr>
          <w:spacing w:val="1"/>
        </w:rPr>
        <w:t xml:space="preserve">Saúde (MS) </w:t>
      </w:r>
      <w:r>
        <w:t xml:space="preserve">em </w:t>
      </w:r>
      <w:r>
        <w:rPr>
          <w:spacing w:val="1"/>
        </w:rPr>
        <w:t xml:space="preserve">conjunto </w:t>
      </w:r>
      <w:r>
        <w:t xml:space="preserve">com </w:t>
      </w:r>
      <w:r>
        <w:rPr>
          <w:spacing w:val="2"/>
        </w:rPr>
        <w:t xml:space="preserve">vários </w:t>
      </w:r>
      <w:r>
        <w:rPr>
          <w:spacing w:val="1"/>
        </w:rPr>
        <w:t xml:space="preserve">estados (MINISTÉRIO </w:t>
      </w:r>
      <w:r>
        <w:t xml:space="preserve">DA </w:t>
      </w:r>
      <w:r>
        <w:rPr>
          <w:spacing w:val="1"/>
        </w:rPr>
        <w:t>SAÚDE,</w:t>
      </w:r>
      <w:r>
        <w:rPr>
          <w:spacing w:val="40"/>
        </w:rPr>
        <w:t xml:space="preserve"> </w:t>
      </w:r>
      <w:r>
        <w:rPr>
          <w:spacing w:val="2"/>
        </w:rPr>
        <w:t>2011).</w:t>
      </w:r>
    </w:p>
    <w:p w:rsidR="00D81F69" w:rsidRDefault="00330118">
      <w:pPr>
        <w:pStyle w:val="Corpodetexto"/>
        <w:spacing w:before="139" w:line="312" w:lineRule="auto"/>
        <w:ind w:right="81"/>
      </w:pPr>
      <w:r>
        <w:t>Mato Grosso apresenta, historicamente, relativo destaque no que concerne à extração garimpeira no país, e, mais especialmente, à extração de ouro, como no caso de Poconé. No município, as técnicas empregadas na lavra e processamento, tanto por produtores a</w:t>
      </w:r>
      <w:r>
        <w:t xml:space="preserve">rtesanais como por empresas de mineração, merecem estudos de adaptação e melhoria, sobretudo no que diz respeito à utilização de </w:t>
      </w:r>
      <w:hyperlink r:id="rId970">
        <w:r>
          <w:t xml:space="preserve">mercúrio, </w:t>
        </w:r>
      </w:hyperlink>
      <w:r>
        <w:t>e à recuperação e perda da</w:t>
      </w:r>
      <w:r>
        <w:t xml:space="preserve"> substância (SANTOS, 2005).</w:t>
      </w:r>
    </w:p>
    <w:p w:rsidR="00D81F69" w:rsidRDefault="00330118">
      <w:pPr>
        <w:pStyle w:val="Corpodetexto"/>
        <w:spacing w:before="138" w:line="312" w:lineRule="auto"/>
        <w:ind w:right="103"/>
        <w:jc w:val="left"/>
      </w:pPr>
      <w:r>
        <w:rPr>
          <w:spacing w:val="2"/>
        </w:rPr>
        <w:t xml:space="preserve">Com </w:t>
      </w:r>
      <w:r>
        <w:rPr>
          <w:spacing w:val="3"/>
        </w:rPr>
        <w:t xml:space="preserve">17.271,014 </w:t>
      </w:r>
      <w:r>
        <w:rPr>
          <w:spacing w:val="2"/>
        </w:rPr>
        <w:t xml:space="preserve">km², </w:t>
      </w:r>
      <w:r>
        <w:rPr>
          <w:spacing w:val="3"/>
        </w:rPr>
        <w:t xml:space="preserve">Poconé </w:t>
      </w:r>
      <w:r>
        <w:rPr>
          <w:spacing w:val="2"/>
        </w:rPr>
        <w:t xml:space="preserve">tem </w:t>
      </w:r>
      <w:r>
        <w:rPr>
          <w:spacing w:val="3"/>
        </w:rPr>
        <w:t xml:space="preserve">31.779 habitantes, </w:t>
      </w:r>
      <w:r>
        <w:rPr>
          <w:spacing w:val="5"/>
        </w:rPr>
        <w:t xml:space="preserve">dos quais 23.062 residem </w:t>
      </w:r>
      <w:r>
        <w:rPr>
          <w:spacing w:val="2"/>
        </w:rPr>
        <w:t xml:space="preserve">em </w:t>
      </w:r>
      <w:r>
        <w:rPr>
          <w:spacing w:val="5"/>
        </w:rPr>
        <w:t xml:space="preserve">área urbana (IBGE, 2010). </w:t>
      </w:r>
      <w:r>
        <w:t xml:space="preserve">O </w:t>
      </w:r>
      <w:r>
        <w:rPr>
          <w:spacing w:val="5"/>
        </w:rPr>
        <w:t xml:space="preserve">município </w:t>
      </w:r>
      <w:r>
        <w:rPr>
          <w:spacing w:val="3"/>
        </w:rPr>
        <w:t xml:space="preserve">está </w:t>
      </w:r>
      <w:r>
        <w:rPr>
          <w:spacing w:val="5"/>
        </w:rPr>
        <w:t xml:space="preserve">situado </w:t>
      </w:r>
      <w:r>
        <w:t xml:space="preserve">a </w:t>
      </w:r>
      <w:r>
        <w:rPr>
          <w:spacing w:val="3"/>
        </w:rPr>
        <w:t xml:space="preserve">cerca </w:t>
      </w:r>
      <w:r>
        <w:rPr>
          <w:spacing w:val="2"/>
        </w:rPr>
        <w:t xml:space="preserve">de </w:t>
      </w:r>
      <w:r>
        <w:rPr>
          <w:spacing w:val="3"/>
        </w:rPr>
        <w:t xml:space="preserve">100 </w:t>
      </w:r>
      <w:r>
        <w:rPr>
          <w:spacing w:val="2"/>
        </w:rPr>
        <w:t xml:space="preserve">km da </w:t>
      </w:r>
      <w:r>
        <w:rPr>
          <w:spacing w:val="5"/>
        </w:rPr>
        <w:t>capital do</w:t>
      </w:r>
      <w:r>
        <w:rPr>
          <w:spacing w:val="61"/>
        </w:rPr>
        <w:t xml:space="preserve"> </w:t>
      </w:r>
      <w:r>
        <w:t xml:space="preserve">estado, Cuiabá, na Baixada Cuiabana, região metropolitana  do Vale </w:t>
      </w:r>
      <w:r>
        <w:t xml:space="preserve">do Rio Cuiabá. Esta é uma área de relevo rebaixado, limitada a oeste e norte pela Província Serrana, e a leste, pelo </w:t>
      </w:r>
      <w:r>
        <w:rPr>
          <w:spacing w:val="7"/>
        </w:rPr>
        <w:t xml:space="preserve">Planalto </w:t>
      </w:r>
      <w:r>
        <w:rPr>
          <w:spacing w:val="5"/>
        </w:rPr>
        <w:t xml:space="preserve">dos </w:t>
      </w:r>
      <w:r>
        <w:rPr>
          <w:spacing w:val="7"/>
        </w:rPr>
        <w:t xml:space="preserve">Guimarães </w:t>
      </w:r>
      <w:r>
        <w:t xml:space="preserve">e </w:t>
      </w:r>
      <w:r>
        <w:rPr>
          <w:spacing w:val="8"/>
        </w:rPr>
        <w:t xml:space="preserve">Taquari-Alto </w:t>
      </w:r>
      <w:r>
        <w:rPr>
          <w:spacing w:val="7"/>
        </w:rPr>
        <w:t xml:space="preserve">Araguaia </w:t>
      </w:r>
      <w:r>
        <w:rPr>
          <w:spacing w:val="10"/>
        </w:rPr>
        <w:t xml:space="preserve">(XIV </w:t>
      </w:r>
      <w:r>
        <w:t>REUNIÃO BRASILEIRA DE MANEJO E CONSERVAÇÃO DO SOLO E DA ÁGUA,</w:t>
      </w:r>
      <w:r>
        <w:rPr>
          <w:spacing w:val="2"/>
        </w:rPr>
        <w:t xml:space="preserve"> </w:t>
      </w:r>
      <w:r>
        <w:t>2002).</w:t>
      </w:r>
    </w:p>
    <w:p w:rsidR="00D81F69" w:rsidRDefault="00330118">
      <w:pPr>
        <w:pStyle w:val="Corpodetexto"/>
        <w:spacing w:before="139" w:line="312" w:lineRule="auto"/>
        <w:ind w:right="94"/>
      </w:pPr>
      <w:r>
        <w:t xml:space="preserve">A </w:t>
      </w:r>
      <w:r>
        <w:rPr>
          <w:spacing w:val="2"/>
        </w:rPr>
        <w:t xml:space="preserve">rede </w:t>
      </w:r>
      <w:r>
        <w:rPr>
          <w:spacing w:val="3"/>
        </w:rPr>
        <w:t>hidrográfic</w:t>
      </w:r>
      <w:r>
        <w:rPr>
          <w:spacing w:val="3"/>
        </w:rPr>
        <w:t xml:space="preserve">a </w:t>
      </w:r>
      <w:r>
        <w:rPr>
          <w:spacing w:val="2"/>
        </w:rPr>
        <w:t xml:space="preserve">que </w:t>
      </w:r>
      <w:r>
        <w:rPr>
          <w:spacing w:val="3"/>
        </w:rPr>
        <w:t xml:space="preserve">corta </w:t>
      </w:r>
      <w:r>
        <w:t xml:space="preserve">o </w:t>
      </w:r>
      <w:r>
        <w:rPr>
          <w:spacing w:val="3"/>
        </w:rPr>
        <w:t xml:space="preserve">município </w:t>
      </w:r>
      <w:r>
        <w:t xml:space="preserve">é a </w:t>
      </w:r>
      <w:r>
        <w:rPr>
          <w:spacing w:val="1"/>
        </w:rPr>
        <w:t xml:space="preserve">da </w:t>
      </w:r>
      <w:r>
        <w:rPr>
          <w:spacing w:val="5"/>
        </w:rPr>
        <w:t xml:space="preserve">Grande </w:t>
      </w:r>
      <w:r>
        <w:t xml:space="preserve">Bacia do rio Prata, alimentada pelas bacias do rio Paraguai e </w:t>
      </w:r>
      <w:r>
        <w:rPr>
          <w:spacing w:val="3"/>
        </w:rPr>
        <w:t xml:space="preserve">do </w:t>
      </w:r>
      <w:r>
        <w:rPr>
          <w:spacing w:val="5"/>
        </w:rPr>
        <w:t xml:space="preserve">rio Cuiabá. </w:t>
      </w:r>
      <w:r>
        <w:rPr>
          <w:spacing w:val="3"/>
        </w:rPr>
        <w:t xml:space="preserve">As </w:t>
      </w:r>
      <w:r>
        <w:rPr>
          <w:spacing w:val="6"/>
        </w:rPr>
        <w:t xml:space="preserve">principais atividades econômicas </w:t>
      </w:r>
      <w:r>
        <w:rPr>
          <w:spacing w:val="7"/>
        </w:rPr>
        <w:t xml:space="preserve">do </w:t>
      </w:r>
      <w:r>
        <w:t>município são: a pecuária intensiva – comumente praticada  na região pantaneira, aproveitando-se as pa</w:t>
      </w:r>
      <w:r>
        <w:t xml:space="preserve">stagens nativas; a </w:t>
      </w:r>
      <w:r>
        <w:rPr>
          <w:spacing w:val="3"/>
        </w:rPr>
        <w:t xml:space="preserve">mineração, </w:t>
      </w:r>
      <w:r>
        <w:rPr>
          <w:spacing w:val="2"/>
        </w:rPr>
        <w:t xml:space="preserve">que </w:t>
      </w:r>
      <w:r>
        <w:rPr>
          <w:spacing w:val="3"/>
        </w:rPr>
        <w:t xml:space="preserve">impulsiona </w:t>
      </w:r>
      <w:r>
        <w:t xml:space="preserve">o </w:t>
      </w:r>
      <w:r>
        <w:rPr>
          <w:spacing w:val="3"/>
        </w:rPr>
        <w:t xml:space="preserve">comércio local; </w:t>
      </w:r>
      <w:r>
        <w:t xml:space="preserve">a </w:t>
      </w:r>
      <w:r>
        <w:rPr>
          <w:spacing w:val="5"/>
        </w:rPr>
        <w:t xml:space="preserve">agricultura </w:t>
      </w:r>
      <w:r>
        <w:t>tradicional;</w:t>
      </w:r>
      <w:r>
        <w:rPr>
          <w:spacing w:val="27"/>
        </w:rPr>
        <w:t xml:space="preserve"> </w:t>
      </w:r>
      <w:r>
        <w:t>e</w:t>
      </w:r>
      <w:r>
        <w:rPr>
          <w:spacing w:val="27"/>
        </w:rPr>
        <w:t xml:space="preserve"> </w:t>
      </w:r>
      <w:r>
        <w:t>o</w:t>
      </w:r>
      <w:r>
        <w:rPr>
          <w:spacing w:val="27"/>
        </w:rPr>
        <w:t xml:space="preserve"> </w:t>
      </w:r>
      <w:r>
        <w:t>turismo</w:t>
      </w:r>
      <w:r>
        <w:rPr>
          <w:spacing w:val="27"/>
        </w:rPr>
        <w:t xml:space="preserve"> </w:t>
      </w:r>
      <w:r>
        <w:t>ecológico</w:t>
      </w:r>
      <w:r>
        <w:rPr>
          <w:spacing w:val="27"/>
        </w:rPr>
        <w:t xml:space="preserve"> </w:t>
      </w:r>
      <w:r>
        <w:t>–</w:t>
      </w:r>
      <w:r>
        <w:rPr>
          <w:spacing w:val="27"/>
        </w:rPr>
        <w:t xml:space="preserve"> </w:t>
      </w:r>
      <w:r>
        <w:t>visto</w:t>
      </w:r>
      <w:r>
        <w:rPr>
          <w:spacing w:val="27"/>
        </w:rPr>
        <w:t xml:space="preserve"> </w:t>
      </w:r>
      <w:r>
        <w:t>como</w:t>
      </w:r>
      <w:r>
        <w:rPr>
          <w:spacing w:val="27"/>
        </w:rPr>
        <w:t xml:space="preserve"> </w:t>
      </w:r>
      <w:r>
        <w:t>atividade</w:t>
      </w:r>
      <w:r>
        <w:rPr>
          <w:spacing w:val="27"/>
        </w:rPr>
        <w:t xml:space="preserve"> </w:t>
      </w:r>
      <w:r>
        <w:t>de</w:t>
      </w:r>
    </w:p>
    <w:p w:rsidR="00D81F69" w:rsidRDefault="00330118">
      <w:pPr>
        <w:pStyle w:val="Corpodetexto"/>
        <w:spacing w:before="6" w:line="312" w:lineRule="auto"/>
        <w:ind w:right="193"/>
      </w:pPr>
      <w:r>
        <w:br w:type="column"/>
      </w:r>
      <w:r>
        <w:lastRenderedPageBreak/>
        <w:t>cidade começa a viver um segundo ciclo do ouro, quando se registram 4.500 garimpeiros ativos, elevando a exploração m</w:t>
      </w:r>
      <w:r>
        <w:t>ineral à principal atividade econômica da cidade (VEIGA; FERNANDES, 1991). Atualmente, existem 14 garimpos de ouro de grande porte e 200 filãozeiros (trabalhadores de pequena escala) em Poconé. A categoria conta com a Cooperativa de Desenvolvimentos Minera</w:t>
      </w:r>
      <w:r>
        <w:t>is de Poconé Ltda. (Cooperpoconé). A estimativa mensal de extração de ouro gira em torno de 80 kg (PREFEITURA MUNICIPAL DE POCONÉ, 2011).</w:t>
      </w:r>
    </w:p>
    <w:p w:rsidR="00D81F69" w:rsidRDefault="00330118">
      <w:pPr>
        <w:pStyle w:val="Corpodetexto"/>
        <w:spacing w:before="139" w:line="312" w:lineRule="auto"/>
        <w:ind w:right="190"/>
      </w:pPr>
      <w:r>
        <w:rPr>
          <w:spacing w:val="3"/>
        </w:rPr>
        <w:t xml:space="preserve">Apesar </w:t>
      </w:r>
      <w:r>
        <w:rPr>
          <w:spacing w:val="1"/>
        </w:rPr>
        <w:t xml:space="preserve">de </w:t>
      </w:r>
      <w:r>
        <w:rPr>
          <w:spacing w:val="2"/>
        </w:rPr>
        <w:t xml:space="preserve">ser </w:t>
      </w:r>
      <w:r>
        <w:rPr>
          <w:spacing w:val="1"/>
        </w:rPr>
        <w:t xml:space="preserve">um </w:t>
      </w:r>
      <w:r>
        <w:rPr>
          <w:spacing w:val="3"/>
        </w:rPr>
        <w:t xml:space="preserve">poluente </w:t>
      </w:r>
      <w:r>
        <w:rPr>
          <w:spacing w:val="1"/>
        </w:rPr>
        <w:t xml:space="preserve">de </w:t>
      </w:r>
      <w:r>
        <w:rPr>
          <w:spacing w:val="2"/>
        </w:rPr>
        <w:t xml:space="preserve">alta </w:t>
      </w:r>
      <w:r>
        <w:rPr>
          <w:spacing w:val="3"/>
        </w:rPr>
        <w:t xml:space="preserve">toxidade </w:t>
      </w:r>
      <w:r>
        <w:rPr>
          <w:spacing w:val="5"/>
        </w:rPr>
        <w:t xml:space="preserve">(MELAMED; </w:t>
      </w:r>
      <w:r>
        <w:t>VILLAS BÔAS, 2002) e das restrições legais ao seu uso, o mercúrio é fartamente comercializado na região, assim como nas demais áreas de garimpo do país, por ter baixo custo. A substância, que em condições naturais se apresenta na forma líquida, é combinada</w:t>
      </w:r>
      <w:r>
        <w:t xml:space="preserve"> com o ouro e outros metais extraídos sob a forma de pó, resultando em amálgamas. A separação </w:t>
      </w:r>
      <w:r>
        <w:rPr>
          <w:spacing w:val="1"/>
        </w:rPr>
        <w:t xml:space="preserve">do </w:t>
      </w:r>
      <w:r>
        <w:rPr>
          <w:spacing w:val="2"/>
        </w:rPr>
        <w:t xml:space="preserve">ouro </w:t>
      </w:r>
      <w:r>
        <w:t xml:space="preserve">é </w:t>
      </w:r>
      <w:r>
        <w:rPr>
          <w:spacing w:val="3"/>
        </w:rPr>
        <w:t xml:space="preserve">feita </w:t>
      </w:r>
      <w:r>
        <w:rPr>
          <w:spacing w:val="2"/>
        </w:rPr>
        <w:t xml:space="preserve">pela </w:t>
      </w:r>
      <w:r>
        <w:rPr>
          <w:spacing w:val="3"/>
        </w:rPr>
        <w:t xml:space="preserve">volatilização </w:t>
      </w:r>
      <w:r>
        <w:rPr>
          <w:spacing w:val="1"/>
        </w:rPr>
        <w:t xml:space="preserve">do </w:t>
      </w:r>
      <w:r>
        <w:rPr>
          <w:spacing w:val="3"/>
        </w:rPr>
        <w:t xml:space="preserve">mercúrio através </w:t>
      </w:r>
      <w:r>
        <w:rPr>
          <w:spacing w:val="5"/>
        </w:rPr>
        <w:t xml:space="preserve">da </w:t>
      </w:r>
      <w:r>
        <w:t>queima do amálgama. Nos diversos garimpos que operam no Brasil, o mercúrio metálico é lançado para os co</w:t>
      </w:r>
      <w:r>
        <w:t xml:space="preserve">mpartimentos </w:t>
      </w:r>
      <w:r>
        <w:rPr>
          <w:spacing w:val="3"/>
        </w:rPr>
        <w:t xml:space="preserve">naturais </w:t>
      </w:r>
      <w:r>
        <w:rPr>
          <w:spacing w:val="1"/>
        </w:rPr>
        <w:t xml:space="preserve">de </w:t>
      </w:r>
      <w:r>
        <w:rPr>
          <w:spacing w:val="2"/>
        </w:rPr>
        <w:t xml:space="preserve">duas </w:t>
      </w:r>
      <w:r>
        <w:rPr>
          <w:spacing w:val="3"/>
        </w:rPr>
        <w:t xml:space="preserve">formas (SILVA, </w:t>
      </w:r>
      <w:r>
        <w:rPr>
          <w:spacing w:val="2"/>
        </w:rPr>
        <w:t xml:space="preserve">1993 apud </w:t>
      </w:r>
      <w:r>
        <w:rPr>
          <w:spacing w:val="3"/>
        </w:rPr>
        <w:t xml:space="preserve">SILVA </w:t>
      </w:r>
      <w:r>
        <w:rPr>
          <w:spacing w:val="2"/>
        </w:rPr>
        <w:t xml:space="preserve">et. </w:t>
      </w:r>
      <w:r>
        <w:rPr>
          <w:spacing w:val="5"/>
        </w:rPr>
        <w:t xml:space="preserve">al, </w:t>
      </w:r>
      <w:r>
        <w:t xml:space="preserve">1998): resíduo líquido ou amalgamado - lançado diretamente </w:t>
      </w:r>
      <w:r>
        <w:rPr>
          <w:spacing w:val="3"/>
        </w:rPr>
        <w:t xml:space="preserve">nas </w:t>
      </w:r>
      <w:r>
        <w:rPr>
          <w:spacing w:val="5"/>
        </w:rPr>
        <w:t xml:space="preserve">drenagens; </w:t>
      </w:r>
      <w:r>
        <w:t xml:space="preserve">e </w:t>
      </w:r>
      <w:r>
        <w:rPr>
          <w:spacing w:val="5"/>
        </w:rPr>
        <w:t xml:space="preserve">como vapor resultante </w:t>
      </w:r>
      <w:r>
        <w:rPr>
          <w:spacing w:val="2"/>
        </w:rPr>
        <w:t xml:space="preserve">da </w:t>
      </w:r>
      <w:r>
        <w:rPr>
          <w:spacing w:val="5"/>
        </w:rPr>
        <w:t xml:space="preserve">queima </w:t>
      </w:r>
      <w:r>
        <w:rPr>
          <w:spacing w:val="6"/>
        </w:rPr>
        <w:t xml:space="preserve">do amálgama </w:t>
      </w:r>
      <w:r>
        <w:rPr>
          <w:spacing w:val="5"/>
        </w:rPr>
        <w:t xml:space="preserve">nos </w:t>
      </w:r>
      <w:r>
        <w:rPr>
          <w:spacing w:val="6"/>
        </w:rPr>
        <w:t xml:space="preserve">garimpos </w:t>
      </w:r>
      <w:r>
        <w:t xml:space="preserve">e </w:t>
      </w:r>
      <w:r>
        <w:rPr>
          <w:spacing w:val="5"/>
        </w:rPr>
        <w:t xml:space="preserve">fusão </w:t>
      </w:r>
      <w:r>
        <w:rPr>
          <w:spacing w:val="3"/>
        </w:rPr>
        <w:t xml:space="preserve">do </w:t>
      </w:r>
      <w:r>
        <w:rPr>
          <w:spacing w:val="5"/>
        </w:rPr>
        <w:t xml:space="preserve">ouro </w:t>
      </w:r>
      <w:r>
        <w:rPr>
          <w:spacing w:val="3"/>
        </w:rPr>
        <w:t xml:space="preserve">em </w:t>
      </w:r>
      <w:r>
        <w:rPr>
          <w:spacing w:val="5"/>
        </w:rPr>
        <w:t xml:space="preserve">lojas </w:t>
      </w:r>
      <w:r>
        <w:rPr>
          <w:spacing w:val="7"/>
        </w:rPr>
        <w:t xml:space="preserve">nas </w:t>
      </w:r>
      <w:r>
        <w:rPr>
          <w:spacing w:val="5"/>
        </w:rPr>
        <w:t xml:space="preserve">cidades </w:t>
      </w:r>
      <w:r>
        <w:rPr>
          <w:spacing w:val="3"/>
        </w:rPr>
        <w:t xml:space="preserve">das áreas </w:t>
      </w:r>
      <w:r>
        <w:rPr>
          <w:spacing w:val="2"/>
        </w:rPr>
        <w:t xml:space="preserve">de </w:t>
      </w:r>
      <w:r>
        <w:rPr>
          <w:spacing w:val="5"/>
        </w:rPr>
        <w:t>gari</w:t>
      </w:r>
      <w:r>
        <w:rPr>
          <w:spacing w:val="5"/>
        </w:rPr>
        <w:t xml:space="preserve">mpo. </w:t>
      </w:r>
      <w:r>
        <w:rPr>
          <w:spacing w:val="3"/>
        </w:rPr>
        <w:t xml:space="preserve">Para cada quilo </w:t>
      </w:r>
      <w:r>
        <w:rPr>
          <w:spacing w:val="2"/>
        </w:rPr>
        <w:t xml:space="preserve">de </w:t>
      </w:r>
      <w:r>
        <w:rPr>
          <w:spacing w:val="5"/>
        </w:rPr>
        <w:t>ouro</w:t>
      </w:r>
      <w:r>
        <w:rPr>
          <w:spacing w:val="61"/>
        </w:rPr>
        <w:t xml:space="preserve"> </w:t>
      </w:r>
      <w:r>
        <w:t>produzido são lançados até 1,3 kg de mercúrio (SILVA et al., 1998).</w:t>
      </w:r>
    </w:p>
    <w:p w:rsidR="00D81F69" w:rsidRDefault="00330118">
      <w:pPr>
        <w:pStyle w:val="Corpodetexto"/>
        <w:spacing w:before="146" w:line="312" w:lineRule="auto"/>
        <w:ind w:right="196"/>
      </w:pPr>
      <w:r>
        <w:t>As formas físicas e químicas do mercúrio determinam o metabolismo de absorção, distribuição e eliminação no ser humano. Nos rejeitos de amalgamação, o mercúrio</w:t>
      </w:r>
      <w:r>
        <w:t xml:space="preserve"> metálico poderá sofrer uma série de reações químicas, tornando-se biodisponível (JENSEN; JERNELOV, 1969 apud SILVA et al., 1998). Os peixes maiores, que servem de alimentação ao homem, concentram em milhões de vezes os teores ambientais, muitas vezes desp</w:t>
      </w:r>
      <w:r>
        <w:t>rezíveis (SCHWUNGER, 1992 apud SILVA et al., 1998) – o que gera sérios agravos à saúde.</w:t>
      </w:r>
    </w:p>
    <w:p w:rsidR="00D81F69" w:rsidRDefault="00330118">
      <w:pPr>
        <w:pStyle w:val="Corpodetexto"/>
        <w:spacing w:before="138"/>
      </w:pPr>
      <w:r>
        <w:t>Em forma de vapor, o mercúrio metálico é quase que</w:t>
      </w:r>
    </w:p>
    <w:p w:rsidR="00D81F69" w:rsidRDefault="00D81F69">
      <w:pPr>
        <w:sectPr w:rsidR="00D81F69">
          <w:type w:val="continuous"/>
          <w:pgSz w:w="11900" w:h="16840"/>
          <w:pgMar w:top="720" w:right="500" w:bottom="280" w:left="620" w:header="720" w:footer="720" w:gutter="0"/>
          <w:cols w:num="2" w:space="720" w:equalWidth="0">
            <w:col w:w="5197" w:space="273"/>
            <w:col w:w="5310"/>
          </w:cols>
        </w:sectPr>
      </w:pPr>
    </w:p>
    <w:p w:rsidR="00D81F69" w:rsidRDefault="00330118">
      <w:pPr>
        <w:pStyle w:val="Corpodetexto"/>
        <w:spacing w:before="81" w:line="312" w:lineRule="auto"/>
        <w:ind w:right="101"/>
      </w:pPr>
      <w:r>
        <w:lastRenderedPageBreak/>
        <w:t>totalmente absorvido (80%) pelo corpo humano e se difunde rapidamente através das barreiras hematoencefálica e placentária (GALVÃO; COREY, 1987 apud SILVA et al., 1998). Atinge principalmente as vias respiratórias, sendo parte depositada em tecidos (GALVÃO</w:t>
      </w:r>
      <w:r>
        <w:t>; COREY, 1987 apud CÂMARA et al., 2000). Pode causar intoxicação aguda (quando predominam sinais e sintomas respiratórios) e intoxicações subagudas e crônicas (gerando efeitos no sistema nervoso, rins e pele). A fração não absorvida é eliminada principalme</w:t>
      </w:r>
      <w:r>
        <w:t>nte através da urina (CÂMARA et al., 2000).</w:t>
      </w:r>
    </w:p>
    <w:p w:rsidR="00D81F69" w:rsidRDefault="00330118">
      <w:pPr>
        <w:pStyle w:val="Corpodetexto"/>
        <w:spacing w:before="140" w:line="312" w:lineRule="auto"/>
        <w:ind w:right="94"/>
      </w:pPr>
      <w:r>
        <w:rPr>
          <w:spacing w:val="2"/>
        </w:rPr>
        <w:t xml:space="preserve">Em </w:t>
      </w:r>
      <w:r>
        <w:rPr>
          <w:spacing w:val="5"/>
        </w:rPr>
        <w:t xml:space="preserve">Poconé, </w:t>
      </w:r>
      <w:r>
        <w:rPr>
          <w:spacing w:val="2"/>
        </w:rPr>
        <w:t xml:space="preserve">os </w:t>
      </w:r>
      <w:r>
        <w:rPr>
          <w:spacing w:val="5"/>
        </w:rPr>
        <w:t xml:space="preserve">estudos demonstraram </w:t>
      </w:r>
      <w:r>
        <w:rPr>
          <w:spacing w:val="3"/>
        </w:rPr>
        <w:t xml:space="preserve">que </w:t>
      </w:r>
      <w:r>
        <w:rPr>
          <w:spacing w:val="2"/>
        </w:rPr>
        <w:t xml:space="preserve">as </w:t>
      </w:r>
      <w:r>
        <w:rPr>
          <w:spacing w:val="5"/>
        </w:rPr>
        <w:t xml:space="preserve">lojas </w:t>
      </w:r>
      <w:r>
        <w:rPr>
          <w:spacing w:val="6"/>
        </w:rPr>
        <w:t xml:space="preserve">de </w:t>
      </w:r>
      <w:r>
        <w:rPr>
          <w:spacing w:val="3"/>
        </w:rPr>
        <w:t xml:space="preserve">compra </w:t>
      </w:r>
      <w:r>
        <w:rPr>
          <w:spacing w:val="1"/>
        </w:rPr>
        <w:t xml:space="preserve">de </w:t>
      </w:r>
      <w:r>
        <w:rPr>
          <w:spacing w:val="2"/>
        </w:rPr>
        <w:t xml:space="preserve">ouro são </w:t>
      </w:r>
      <w:r>
        <w:rPr>
          <w:spacing w:val="1"/>
        </w:rPr>
        <w:t xml:space="preserve">as </w:t>
      </w:r>
      <w:r>
        <w:rPr>
          <w:spacing w:val="3"/>
        </w:rPr>
        <w:t xml:space="preserve">principais fontes poluentes. </w:t>
      </w:r>
      <w:r>
        <w:rPr>
          <w:spacing w:val="5"/>
        </w:rPr>
        <w:t xml:space="preserve">Além </w:t>
      </w:r>
      <w:r>
        <w:rPr>
          <w:spacing w:val="10"/>
        </w:rPr>
        <w:t xml:space="preserve">disso, </w:t>
      </w:r>
      <w:r>
        <w:t xml:space="preserve">a </w:t>
      </w:r>
      <w:r>
        <w:rPr>
          <w:spacing w:val="10"/>
        </w:rPr>
        <w:t xml:space="preserve">queima </w:t>
      </w:r>
      <w:r>
        <w:rPr>
          <w:spacing w:val="5"/>
        </w:rPr>
        <w:t xml:space="preserve">de </w:t>
      </w:r>
      <w:r>
        <w:rPr>
          <w:spacing w:val="10"/>
        </w:rPr>
        <w:t xml:space="preserve">amálgama </w:t>
      </w:r>
      <w:r>
        <w:rPr>
          <w:spacing w:val="8"/>
        </w:rPr>
        <w:t xml:space="preserve">ouro </w:t>
      </w:r>
      <w:r>
        <w:t xml:space="preserve">+ </w:t>
      </w:r>
      <w:r>
        <w:rPr>
          <w:spacing w:val="10"/>
        </w:rPr>
        <w:t xml:space="preserve">mercúrio </w:t>
      </w:r>
      <w:r>
        <w:rPr>
          <w:spacing w:val="12"/>
        </w:rPr>
        <w:t xml:space="preserve">por </w:t>
      </w:r>
      <w:r>
        <w:t>garimpeiros em suas próprias residências também constitui</w:t>
      </w:r>
      <w:r>
        <w:t xml:space="preserve">u </w:t>
      </w:r>
      <w:r>
        <w:rPr>
          <w:spacing w:val="3"/>
        </w:rPr>
        <w:t xml:space="preserve">um </w:t>
      </w:r>
      <w:r>
        <w:rPr>
          <w:spacing w:val="5"/>
        </w:rPr>
        <w:t xml:space="preserve">dado </w:t>
      </w:r>
      <w:r>
        <w:rPr>
          <w:spacing w:val="6"/>
        </w:rPr>
        <w:t xml:space="preserve">preocupante. </w:t>
      </w:r>
      <w:r>
        <w:t xml:space="preserve">A </w:t>
      </w:r>
      <w:r>
        <w:rPr>
          <w:spacing w:val="5"/>
        </w:rPr>
        <w:t xml:space="preserve">relação dos </w:t>
      </w:r>
      <w:r>
        <w:rPr>
          <w:spacing w:val="6"/>
        </w:rPr>
        <w:t xml:space="preserve">indivíduos </w:t>
      </w:r>
      <w:r>
        <w:rPr>
          <w:spacing w:val="5"/>
        </w:rPr>
        <w:t xml:space="preserve">com </w:t>
      </w:r>
      <w:r>
        <w:t xml:space="preserve">a </w:t>
      </w:r>
      <w:r>
        <w:rPr>
          <w:spacing w:val="3"/>
        </w:rPr>
        <w:t xml:space="preserve">organização </w:t>
      </w:r>
      <w:r>
        <w:rPr>
          <w:spacing w:val="1"/>
        </w:rPr>
        <w:t xml:space="preserve">do </w:t>
      </w:r>
      <w:r>
        <w:rPr>
          <w:spacing w:val="3"/>
        </w:rPr>
        <w:t xml:space="preserve">trabalho </w:t>
      </w:r>
      <w:r>
        <w:rPr>
          <w:spacing w:val="1"/>
        </w:rPr>
        <w:t xml:space="preserve">em </w:t>
      </w:r>
      <w:r>
        <w:rPr>
          <w:spacing w:val="3"/>
        </w:rPr>
        <w:t xml:space="preserve">torno </w:t>
      </w:r>
      <w:r>
        <w:rPr>
          <w:spacing w:val="1"/>
        </w:rPr>
        <w:t xml:space="preserve">do </w:t>
      </w:r>
      <w:r>
        <w:rPr>
          <w:spacing w:val="2"/>
        </w:rPr>
        <w:t xml:space="preserve">ouro </w:t>
      </w:r>
      <w:r>
        <w:rPr>
          <w:spacing w:val="3"/>
        </w:rPr>
        <w:t xml:space="preserve">parece servir </w:t>
      </w:r>
      <w:r>
        <w:t xml:space="preserve">à </w:t>
      </w:r>
      <w:r>
        <w:rPr>
          <w:spacing w:val="11"/>
        </w:rPr>
        <w:t xml:space="preserve">categorização </w:t>
      </w:r>
      <w:r>
        <w:rPr>
          <w:spacing w:val="5"/>
        </w:rPr>
        <w:t xml:space="preserve">do </w:t>
      </w:r>
      <w:r>
        <w:rPr>
          <w:spacing w:val="10"/>
        </w:rPr>
        <w:t xml:space="preserve">nível </w:t>
      </w:r>
      <w:r>
        <w:rPr>
          <w:spacing w:val="5"/>
        </w:rPr>
        <w:t xml:space="preserve">de </w:t>
      </w:r>
      <w:r>
        <w:rPr>
          <w:spacing w:val="10"/>
        </w:rPr>
        <w:t xml:space="preserve">exposição </w:t>
      </w:r>
      <w:r>
        <w:rPr>
          <w:spacing w:val="5"/>
        </w:rPr>
        <w:t xml:space="preserve">da </w:t>
      </w:r>
      <w:r>
        <w:rPr>
          <w:spacing w:val="12"/>
        </w:rPr>
        <w:t xml:space="preserve">população. </w:t>
      </w:r>
      <w:r>
        <w:rPr>
          <w:spacing w:val="8"/>
        </w:rPr>
        <w:t xml:space="preserve">Pesquisadores discriminam </w:t>
      </w:r>
      <w:r>
        <w:rPr>
          <w:spacing w:val="5"/>
        </w:rPr>
        <w:t xml:space="preserve">os </w:t>
      </w:r>
      <w:r>
        <w:rPr>
          <w:spacing w:val="7"/>
        </w:rPr>
        <w:t xml:space="preserve">grupos </w:t>
      </w:r>
      <w:r>
        <w:rPr>
          <w:spacing w:val="5"/>
        </w:rPr>
        <w:t xml:space="preserve">em: </w:t>
      </w:r>
      <w:r>
        <w:rPr>
          <w:spacing w:val="10"/>
        </w:rPr>
        <w:t xml:space="preserve">população </w:t>
      </w:r>
      <w:r>
        <w:rPr>
          <w:spacing w:val="5"/>
        </w:rPr>
        <w:t xml:space="preserve">ocupacionalmente exposta </w:t>
      </w:r>
      <w:r>
        <w:rPr>
          <w:spacing w:val="2"/>
        </w:rPr>
        <w:t xml:space="preserve">ao </w:t>
      </w:r>
      <w:r>
        <w:rPr>
          <w:spacing w:val="5"/>
        </w:rPr>
        <w:t xml:space="preserve">mercúrio metálico </w:t>
      </w:r>
      <w:r>
        <w:t xml:space="preserve">- </w:t>
      </w:r>
      <w:r>
        <w:rPr>
          <w:spacing w:val="5"/>
        </w:rPr>
        <w:t>sendo</w:t>
      </w:r>
      <w:r>
        <w:rPr>
          <w:spacing w:val="61"/>
        </w:rPr>
        <w:t xml:space="preserve"> </w:t>
      </w:r>
      <w:r>
        <w:rPr>
          <w:spacing w:val="3"/>
        </w:rPr>
        <w:t xml:space="preserve">garimpeiros </w:t>
      </w:r>
      <w:r>
        <w:rPr>
          <w:spacing w:val="2"/>
        </w:rPr>
        <w:t xml:space="preserve">que </w:t>
      </w:r>
      <w:r>
        <w:rPr>
          <w:spacing w:val="3"/>
        </w:rPr>
        <w:t xml:space="preserve">queimam ouro, garimpeiros próximos </w:t>
      </w:r>
      <w:r>
        <w:rPr>
          <w:spacing w:val="5"/>
        </w:rPr>
        <w:t xml:space="preserve">às </w:t>
      </w:r>
      <w:r>
        <w:t xml:space="preserve">áreas de queima, e funcionários de lojas que comercializam o ouro; população em geral exposta ao mercúrio metálico, ou seja, pessoas que ficam próximas aos locais de garimpo e </w:t>
      </w:r>
      <w:r>
        <w:t xml:space="preserve">às </w:t>
      </w:r>
      <w:r>
        <w:rPr>
          <w:spacing w:val="3"/>
        </w:rPr>
        <w:t xml:space="preserve">lojas </w:t>
      </w:r>
      <w:r>
        <w:rPr>
          <w:spacing w:val="2"/>
        </w:rPr>
        <w:t xml:space="preserve">que </w:t>
      </w:r>
      <w:r>
        <w:rPr>
          <w:spacing w:val="3"/>
        </w:rPr>
        <w:t xml:space="preserve">comercializam </w:t>
      </w:r>
      <w:r>
        <w:t xml:space="preserve">o </w:t>
      </w:r>
      <w:r>
        <w:rPr>
          <w:spacing w:val="3"/>
        </w:rPr>
        <w:t xml:space="preserve">ouro; </w:t>
      </w:r>
      <w:r>
        <w:t xml:space="preserve">e </w:t>
      </w:r>
      <w:r>
        <w:rPr>
          <w:spacing w:val="3"/>
        </w:rPr>
        <w:t xml:space="preserve">população </w:t>
      </w:r>
      <w:r>
        <w:rPr>
          <w:spacing w:val="1"/>
        </w:rPr>
        <w:t xml:space="preserve">em </w:t>
      </w:r>
      <w:r>
        <w:rPr>
          <w:spacing w:val="3"/>
        </w:rPr>
        <w:t xml:space="preserve">geral </w:t>
      </w:r>
      <w:r>
        <w:rPr>
          <w:spacing w:val="5"/>
        </w:rPr>
        <w:t xml:space="preserve">ou </w:t>
      </w:r>
      <w:r>
        <w:rPr>
          <w:spacing w:val="8"/>
        </w:rPr>
        <w:t xml:space="preserve">ocupacional potencialmente </w:t>
      </w:r>
      <w:r>
        <w:rPr>
          <w:spacing w:val="7"/>
        </w:rPr>
        <w:t xml:space="preserve">exposta </w:t>
      </w:r>
      <w:r>
        <w:rPr>
          <w:spacing w:val="5"/>
        </w:rPr>
        <w:t xml:space="preserve">ao </w:t>
      </w:r>
      <w:r>
        <w:rPr>
          <w:spacing w:val="10"/>
        </w:rPr>
        <w:t xml:space="preserve">metilmercúrio, </w:t>
      </w:r>
      <w:r>
        <w:rPr>
          <w:spacing w:val="3"/>
        </w:rPr>
        <w:t xml:space="preserve">abrangendo </w:t>
      </w:r>
      <w:r>
        <w:rPr>
          <w:spacing w:val="1"/>
        </w:rPr>
        <w:t xml:space="preserve">os </w:t>
      </w:r>
      <w:r>
        <w:rPr>
          <w:spacing w:val="3"/>
        </w:rPr>
        <w:t xml:space="preserve">consumidores </w:t>
      </w:r>
      <w:r>
        <w:rPr>
          <w:spacing w:val="1"/>
        </w:rPr>
        <w:t xml:space="preserve">de </w:t>
      </w:r>
      <w:r>
        <w:rPr>
          <w:spacing w:val="3"/>
        </w:rPr>
        <w:t xml:space="preserve">peixes (CÂMARA </w:t>
      </w:r>
      <w:r>
        <w:rPr>
          <w:spacing w:val="1"/>
        </w:rPr>
        <w:t xml:space="preserve">et </w:t>
      </w:r>
      <w:r>
        <w:rPr>
          <w:spacing w:val="5"/>
        </w:rPr>
        <w:t>al., 2000).</w:t>
      </w:r>
    </w:p>
    <w:p w:rsidR="00D81F69" w:rsidRDefault="00330118">
      <w:pPr>
        <w:pStyle w:val="Corpodetexto"/>
        <w:spacing w:before="146" w:line="312" w:lineRule="auto"/>
        <w:ind w:right="99"/>
      </w:pPr>
      <w:r>
        <w:t xml:space="preserve">O </w:t>
      </w:r>
      <w:r>
        <w:rPr>
          <w:spacing w:val="7"/>
        </w:rPr>
        <w:t xml:space="preserve">exame </w:t>
      </w:r>
      <w:r>
        <w:rPr>
          <w:spacing w:val="5"/>
        </w:rPr>
        <w:t xml:space="preserve">da </w:t>
      </w:r>
      <w:r>
        <w:rPr>
          <w:spacing w:val="7"/>
        </w:rPr>
        <w:t xml:space="preserve">percepção </w:t>
      </w:r>
      <w:r>
        <w:rPr>
          <w:spacing w:val="5"/>
        </w:rPr>
        <w:t xml:space="preserve">da </w:t>
      </w:r>
      <w:r>
        <w:rPr>
          <w:spacing w:val="7"/>
        </w:rPr>
        <w:t xml:space="preserve">população local quanto </w:t>
      </w:r>
      <w:r>
        <w:rPr>
          <w:spacing w:val="10"/>
        </w:rPr>
        <w:t xml:space="preserve">às </w:t>
      </w:r>
      <w:r>
        <w:rPr>
          <w:spacing w:val="26"/>
        </w:rPr>
        <w:t xml:space="preserve">atividades relacionadas </w:t>
      </w:r>
      <w:r>
        <w:rPr>
          <w:spacing w:val="15"/>
        </w:rPr>
        <w:t xml:space="preserve">ao </w:t>
      </w:r>
      <w:r>
        <w:rPr>
          <w:spacing w:val="21"/>
        </w:rPr>
        <w:t xml:space="preserve">ouro </w:t>
      </w:r>
      <w:r>
        <w:rPr>
          <w:spacing w:val="25"/>
        </w:rPr>
        <w:t>re</w:t>
      </w:r>
      <w:r>
        <w:rPr>
          <w:spacing w:val="25"/>
        </w:rPr>
        <w:t xml:space="preserve">vela </w:t>
      </w:r>
      <w:r>
        <w:rPr>
          <w:spacing w:val="15"/>
        </w:rPr>
        <w:t xml:space="preserve">um </w:t>
      </w:r>
      <w:r>
        <w:rPr>
          <w:spacing w:val="5"/>
        </w:rPr>
        <w:t xml:space="preserve">subdimensionamento para </w:t>
      </w:r>
      <w:r>
        <w:t xml:space="preserve">o </w:t>
      </w:r>
      <w:r>
        <w:rPr>
          <w:spacing w:val="5"/>
        </w:rPr>
        <w:t xml:space="preserve">tratamento </w:t>
      </w:r>
      <w:r>
        <w:rPr>
          <w:spacing w:val="2"/>
        </w:rPr>
        <w:t xml:space="preserve">da </w:t>
      </w:r>
      <w:r>
        <w:rPr>
          <w:spacing w:val="5"/>
        </w:rPr>
        <w:t xml:space="preserve">questão. </w:t>
      </w:r>
      <w:r>
        <w:rPr>
          <w:spacing w:val="6"/>
        </w:rPr>
        <w:t xml:space="preserve">Na </w:t>
      </w:r>
      <w:r>
        <w:t xml:space="preserve">população mais jovem, observaram-se que alguns percebiam o mercúrio como uma ameaça, outros desconheciam como sua presença poderia afetar a saúde, poucos eram confiantes </w:t>
      </w:r>
      <w:r>
        <w:rPr>
          <w:spacing w:val="3"/>
        </w:rPr>
        <w:t xml:space="preserve">sobre seu </w:t>
      </w:r>
      <w:r>
        <w:rPr>
          <w:spacing w:val="5"/>
        </w:rPr>
        <w:t xml:space="preserve">conhecimento </w:t>
      </w:r>
      <w:r>
        <w:rPr>
          <w:spacing w:val="3"/>
        </w:rPr>
        <w:t>(3%</w:t>
      </w:r>
      <w:r>
        <w:rPr>
          <w:spacing w:val="3"/>
        </w:rPr>
        <w:t xml:space="preserve">) </w:t>
      </w:r>
      <w:r>
        <w:rPr>
          <w:spacing w:val="2"/>
        </w:rPr>
        <w:t xml:space="preserve">ou </w:t>
      </w:r>
      <w:r>
        <w:rPr>
          <w:spacing w:val="5"/>
        </w:rPr>
        <w:t xml:space="preserve">poderiam explicar com </w:t>
      </w:r>
      <w:r>
        <w:rPr>
          <w:spacing w:val="6"/>
        </w:rPr>
        <w:t xml:space="preserve">detalhes </w:t>
      </w:r>
      <w:r>
        <w:rPr>
          <w:spacing w:val="5"/>
        </w:rPr>
        <w:t xml:space="preserve">como era </w:t>
      </w:r>
      <w:r>
        <w:rPr>
          <w:spacing w:val="6"/>
        </w:rPr>
        <w:t xml:space="preserve">utilizado </w:t>
      </w:r>
      <w:r>
        <w:rPr>
          <w:spacing w:val="5"/>
        </w:rPr>
        <w:t xml:space="preserve">(9%), embora </w:t>
      </w:r>
      <w:r>
        <w:rPr>
          <w:spacing w:val="7"/>
        </w:rPr>
        <w:t xml:space="preserve">possuíssem </w:t>
      </w:r>
      <w:r>
        <w:t>parentes trabalhando como garimpeiros (55%). A população considerada também não entendia o mercúrio como um “risco típico” (NOVAIS; CÂMARA,</w:t>
      </w:r>
      <w:r>
        <w:rPr>
          <w:spacing w:val="5"/>
        </w:rPr>
        <w:t xml:space="preserve"> </w:t>
      </w:r>
      <w:r>
        <w:t>2009).</w:t>
      </w:r>
    </w:p>
    <w:p w:rsidR="00D81F69" w:rsidRDefault="00330118">
      <w:pPr>
        <w:pStyle w:val="Corpodetexto"/>
        <w:spacing w:before="140" w:line="312" w:lineRule="auto"/>
        <w:ind w:right="46"/>
        <w:jc w:val="left"/>
      </w:pPr>
      <w:r>
        <w:t xml:space="preserve">No entanto, há denúncias da atual situação de extração de </w:t>
      </w:r>
      <w:r>
        <w:rPr>
          <w:spacing w:val="2"/>
        </w:rPr>
        <w:t xml:space="preserve">ouro </w:t>
      </w:r>
      <w:r>
        <w:rPr>
          <w:spacing w:val="1"/>
        </w:rPr>
        <w:t xml:space="preserve">na </w:t>
      </w:r>
      <w:r>
        <w:rPr>
          <w:spacing w:val="3"/>
        </w:rPr>
        <w:t xml:space="preserve">cidade. Sítios </w:t>
      </w:r>
      <w:r>
        <w:rPr>
          <w:spacing w:val="1"/>
        </w:rPr>
        <w:t xml:space="preserve">na </w:t>
      </w:r>
      <w:r>
        <w:rPr>
          <w:spacing w:val="3"/>
        </w:rPr>
        <w:t xml:space="preserve">internet publicam fotografias </w:t>
      </w:r>
      <w:r>
        <w:rPr>
          <w:spacing w:val="5"/>
        </w:rPr>
        <w:t xml:space="preserve">de </w:t>
      </w:r>
      <w:r>
        <w:t xml:space="preserve">crateras de extração de ouro abertas em pleno sítio urbano e </w:t>
      </w:r>
      <w:r>
        <w:rPr>
          <w:spacing w:val="2"/>
        </w:rPr>
        <w:t xml:space="preserve">seu </w:t>
      </w:r>
      <w:r>
        <w:rPr>
          <w:spacing w:val="3"/>
        </w:rPr>
        <w:t xml:space="preserve">entorno, </w:t>
      </w:r>
      <w:r>
        <w:rPr>
          <w:spacing w:val="2"/>
        </w:rPr>
        <w:t xml:space="preserve">até </w:t>
      </w:r>
      <w:r>
        <w:rPr>
          <w:spacing w:val="3"/>
        </w:rPr>
        <w:t xml:space="preserve">mesmo </w:t>
      </w:r>
      <w:r>
        <w:rPr>
          <w:spacing w:val="1"/>
        </w:rPr>
        <w:t xml:space="preserve">às </w:t>
      </w:r>
      <w:r>
        <w:rPr>
          <w:spacing w:val="3"/>
        </w:rPr>
        <w:t xml:space="preserve">margens </w:t>
      </w:r>
      <w:r>
        <w:rPr>
          <w:spacing w:val="1"/>
        </w:rPr>
        <w:t xml:space="preserve">de </w:t>
      </w:r>
      <w:r>
        <w:rPr>
          <w:spacing w:val="3"/>
        </w:rPr>
        <w:t xml:space="preserve">rodovias. </w:t>
      </w:r>
      <w:r>
        <w:rPr>
          <w:spacing w:val="2"/>
        </w:rPr>
        <w:t xml:space="preserve">Há, </w:t>
      </w:r>
      <w:r>
        <w:rPr>
          <w:spacing w:val="5"/>
        </w:rPr>
        <w:t xml:space="preserve">por </w:t>
      </w:r>
      <w:r>
        <w:t xml:space="preserve">exemplo, o “Tanque dos </w:t>
      </w:r>
      <w:r>
        <w:t xml:space="preserve">Padres”, conhecida lagoa artificial, </w:t>
      </w:r>
      <w:r>
        <w:rPr>
          <w:spacing w:val="1"/>
        </w:rPr>
        <w:t xml:space="preserve">assoreada </w:t>
      </w:r>
      <w:r>
        <w:t xml:space="preserve">com </w:t>
      </w:r>
      <w:r>
        <w:rPr>
          <w:spacing w:val="1"/>
        </w:rPr>
        <w:t xml:space="preserve">mais </w:t>
      </w:r>
      <w:r>
        <w:t xml:space="preserve">de </w:t>
      </w:r>
      <w:r>
        <w:rPr>
          <w:spacing w:val="1"/>
        </w:rPr>
        <w:t xml:space="preserve">300.000 </w:t>
      </w:r>
      <w:r>
        <w:t xml:space="preserve">m³ de </w:t>
      </w:r>
      <w:r>
        <w:rPr>
          <w:spacing w:val="1"/>
        </w:rPr>
        <w:t xml:space="preserve">rejeitos </w:t>
      </w:r>
      <w:r>
        <w:t xml:space="preserve">de </w:t>
      </w:r>
      <w:r>
        <w:rPr>
          <w:spacing w:val="2"/>
        </w:rPr>
        <w:t xml:space="preserve">garimpo, </w:t>
      </w:r>
      <w:r>
        <w:t xml:space="preserve">considerada localmente “um pote de ouro e mercúrio”, cuja </w:t>
      </w:r>
      <w:r>
        <w:rPr>
          <w:spacing w:val="7"/>
        </w:rPr>
        <w:t xml:space="preserve">extensão, </w:t>
      </w:r>
      <w:r>
        <w:rPr>
          <w:spacing w:val="5"/>
        </w:rPr>
        <w:t xml:space="preserve">no ano de </w:t>
      </w:r>
      <w:r>
        <w:rPr>
          <w:spacing w:val="7"/>
        </w:rPr>
        <w:t xml:space="preserve">1991, </w:t>
      </w:r>
      <w:r>
        <w:rPr>
          <w:spacing w:val="5"/>
        </w:rPr>
        <w:t xml:space="preserve">era de </w:t>
      </w:r>
      <w:r>
        <w:rPr>
          <w:spacing w:val="7"/>
        </w:rPr>
        <w:t xml:space="preserve">62.400 </w:t>
      </w:r>
      <w:r>
        <w:rPr>
          <w:spacing w:val="5"/>
        </w:rPr>
        <w:t xml:space="preserve">m² </w:t>
      </w:r>
      <w:r>
        <w:rPr>
          <w:spacing w:val="10"/>
        </w:rPr>
        <w:t xml:space="preserve">(VEIGA; </w:t>
      </w:r>
      <w:r>
        <w:rPr>
          <w:spacing w:val="3"/>
        </w:rPr>
        <w:t xml:space="preserve">FERNANDES, 1991). </w:t>
      </w:r>
      <w:r>
        <w:rPr>
          <w:spacing w:val="2"/>
        </w:rPr>
        <w:t xml:space="preserve">Além </w:t>
      </w:r>
      <w:r>
        <w:rPr>
          <w:spacing w:val="3"/>
        </w:rPr>
        <w:t xml:space="preserve">disso, questiona-se também </w:t>
      </w:r>
      <w:r>
        <w:t>a l</w:t>
      </w:r>
      <w:r>
        <w:t>iberação de licenças ambientais para as escavações de ouro (SITE NAVEGADOR MT,</w:t>
      </w:r>
      <w:r>
        <w:rPr>
          <w:spacing w:val="12"/>
        </w:rPr>
        <w:t xml:space="preserve"> </w:t>
      </w:r>
      <w:r>
        <w:t>2011).</w:t>
      </w:r>
    </w:p>
    <w:p w:rsidR="00D81F69" w:rsidRDefault="00330118">
      <w:pPr>
        <w:pStyle w:val="Corpodetexto"/>
        <w:spacing w:before="77" w:line="270" w:lineRule="atLeast"/>
        <w:ind w:right="111"/>
      </w:pPr>
      <w:r>
        <w:t xml:space="preserve">Ainda se pode chamar atenção para um possível comprometimento da qualidade da água na bacia do rio Bento Gomes, que constitui o sistema coletor principal das microbacias </w:t>
      </w:r>
      <w:r>
        <w:t>com intensa atividade de garimpos de ouro em Poconé. Especialistas que pesquisaram a quantidade de</w:t>
      </w:r>
    </w:p>
    <w:p w:rsidR="00D81F69" w:rsidRDefault="00330118">
      <w:pPr>
        <w:pStyle w:val="Corpodetexto"/>
        <w:spacing w:before="81" w:line="312" w:lineRule="auto"/>
        <w:ind w:right="192"/>
      </w:pPr>
      <w:r>
        <w:br w:type="column"/>
      </w:r>
      <w:r>
        <w:lastRenderedPageBreak/>
        <w:t xml:space="preserve">mercúrio em sedimentos provindos deste local de captação  de água da cidade, concluíram que o mercúrio utilizado nos </w:t>
      </w:r>
      <w:r>
        <w:rPr>
          <w:spacing w:val="12"/>
        </w:rPr>
        <w:t xml:space="preserve">garimpos </w:t>
      </w:r>
      <w:r>
        <w:rPr>
          <w:spacing w:val="6"/>
        </w:rPr>
        <w:t xml:space="preserve">de </w:t>
      </w:r>
      <w:r>
        <w:rPr>
          <w:spacing w:val="10"/>
        </w:rPr>
        <w:t xml:space="preserve">ouro </w:t>
      </w:r>
      <w:r>
        <w:rPr>
          <w:spacing w:val="11"/>
        </w:rPr>
        <w:t xml:space="preserve">atingiu </w:t>
      </w:r>
      <w:r>
        <w:t xml:space="preserve">a </w:t>
      </w:r>
      <w:r>
        <w:rPr>
          <w:spacing w:val="11"/>
        </w:rPr>
        <w:t xml:space="preserve">biota </w:t>
      </w:r>
      <w:r>
        <w:rPr>
          <w:spacing w:val="6"/>
        </w:rPr>
        <w:t xml:space="preserve">do </w:t>
      </w:r>
      <w:r>
        <w:rPr>
          <w:spacing w:val="12"/>
        </w:rPr>
        <w:t>Pan</w:t>
      </w:r>
      <w:r>
        <w:rPr>
          <w:spacing w:val="12"/>
        </w:rPr>
        <w:t xml:space="preserve">tanal </w:t>
      </w:r>
      <w:r>
        <w:rPr>
          <w:spacing w:val="15"/>
        </w:rPr>
        <w:t xml:space="preserve">nas </w:t>
      </w:r>
      <w:r>
        <w:t xml:space="preserve">proximidades do rio até a Estrada Transpantaneira, no final da década de 1980 e início de 1990 (VIEIRA; ALHO, 2004). Eles alertam para a necessidade premente de substituição do atual processo de extração e comercialização de ouro a partir da </w:t>
      </w:r>
      <w:r>
        <w:rPr>
          <w:spacing w:val="3"/>
        </w:rPr>
        <w:t>util</w:t>
      </w:r>
      <w:r>
        <w:rPr>
          <w:spacing w:val="3"/>
        </w:rPr>
        <w:t xml:space="preserve">ização </w:t>
      </w:r>
      <w:r>
        <w:rPr>
          <w:spacing w:val="1"/>
        </w:rPr>
        <w:t xml:space="preserve">de </w:t>
      </w:r>
      <w:r>
        <w:rPr>
          <w:spacing w:val="3"/>
        </w:rPr>
        <w:t xml:space="preserve">mercúrio </w:t>
      </w:r>
      <w:r>
        <w:rPr>
          <w:spacing w:val="2"/>
        </w:rPr>
        <w:t xml:space="preserve">por </w:t>
      </w:r>
      <w:r>
        <w:rPr>
          <w:spacing w:val="3"/>
        </w:rPr>
        <w:t xml:space="preserve">outros extratores </w:t>
      </w:r>
      <w:r>
        <w:rPr>
          <w:spacing w:val="2"/>
        </w:rPr>
        <w:t xml:space="preserve">não </w:t>
      </w:r>
      <w:r>
        <w:rPr>
          <w:spacing w:val="3"/>
        </w:rPr>
        <w:t xml:space="preserve">lesivos </w:t>
      </w:r>
      <w:r>
        <w:t xml:space="preserve">à </w:t>
      </w:r>
      <w:r>
        <w:rPr>
          <w:spacing w:val="1"/>
        </w:rPr>
        <w:t xml:space="preserve">saúde humana </w:t>
      </w:r>
      <w:r>
        <w:t xml:space="preserve">e aos </w:t>
      </w:r>
      <w:r>
        <w:rPr>
          <w:spacing w:val="1"/>
        </w:rPr>
        <w:t xml:space="preserve">ecossistemas pantaneiros. </w:t>
      </w:r>
      <w:r>
        <w:rPr>
          <w:spacing w:val="2"/>
        </w:rPr>
        <w:t xml:space="preserve">Propõem, </w:t>
      </w:r>
      <w:r>
        <w:rPr>
          <w:spacing w:val="1"/>
        </w:rPr>
        <w:t xml:space="preserve">também, </w:t>
      </w:r>
      <w:r>
        <w:t xml:space="preserve">a </w:t>
      </w:r>
      <w:r>
        <w:rPr>
          <w:spacing w:val="1"/>
        </w:rPr>
        <w:t xml:space="preserve">obrigatoriedade </w:t>
      </w:r>
      <w:r>
        <w:t xml:space="preserve">de </w:t>
      </w:r>
      <w:r>
        <w:rPr>
          <w:spacing w:val="1"/>
        </w:rPr>
        <w:t xml:space="preserve">instalação </w:t>
      </w:r>
      <w:r>
        <w:t xml:space="preserve">de </w:t>
      </w:r>
      <w:r>
        <w:rPr>
          <w:spacing w:val="2"/>
        </w:rPr>
        <w:t xml:space="preserve">equipamentos </w:t>
      </w:r>
      <w:r>
        <w:t xml:space="preserve">eficientes para a retenção dos vapores de mercúrio gerados </w:t>
      </w:r>
      <w:r>
        <w:rPr>
          <w:spacing w:val="7"/>
        </w:rPr>
        <w:t xml:space="preserve">durante </w:t>
      </w:r>
      <w:r>
        <w:t xml:space="preserve">a </w:t>
      </w:r>
      <w:r>
        <w:rPr>
          <w:spacing w:val="7"/>
        </w:rPr>
        <w:t xml:space="preserve">queima </w:t>
      </w:r>
      <w:r>
        <w:rPr>
          <w:spacing w:val="5"/>
        </w:rPr>
        <w:t xml:space="preserve">de </w:t>
      </w:r>
      <w:r>
        <w:rPr>
          <w:spacing w:val="7"/>
        </w:rPr>
        <w:t xml:space="preserve">amálgama </w:t>
      </w:r>
      <w:r>
        <w:rPr>
          <w:spacing w:val="5"/>
        </w:rPr>
        <w:t xml:space="preserve">de </w:t>
      </w:r>
      <w:r>
        <w:rPr>
          <w:spacing w:val="6"/>
        </w:rPr>
        <w:t xml:space="preserve">ouro </w:t>
      </w:r>
      <w:r>
        <w:t xml:space="preserve">+ </w:t>
      </w:r>
      <w:r>
        <w:rPr>
          <w:spacing w:val="7"/>
        </w:rPr>
        <w:t xml:space="preserve">mercúrio </w:t>
      </w:r>
      <w:r>
        <w:t xml:space="preserve">e </w:t>
      </w:r>
      <w:r>
        <w:rPr>
          <w:spacing w:val="3"/>
        </w:rPr>
        <w:t xml:space="preserve">mecanismos seguros </w:t>
      </w:r>
      <w:r>
        <w:rPr>
          <w:spacing w:val="1"/>
        </w:rPr>
        <w:t xml:space="preserve">de </w:t>
      </w:r>
      <w:r>
        <w:rPr>
          <w:spacing w:val="3"/>
        </w:rPr>
        <w:t xml:space="preserve">recuperação </w:t>
      </w:r>
      <w:r>
        <w:rPr>
          <w:spacing w:val="2"/>
        </w:rPr>
        <w:t xml:space="preserve">e/ou </w:t>
      </w:r>
      <w:r>
        <w:rPr>
          <w:spacing w:val="3"/>
        </w:rPr>
        <w:t xml:space="preserve">deposição </w:t>
      </w:r>
      <w:r>
        <w:rPr>
          <w:spacing w:val="5"/>
        </w:rPr>
        <w:t xml:space="preserve">dos </w:t>
      </w:r>
      <w:r>
        <w:t xml:space="preserve">rejeitos. Além disso, indicaram campanhas educativas para </w:t>
      </w:r>
      <w:r>
        <w:rPr>
          <w:spacing w:val="5"/>
        </w:rPr>
        <w:t xml:space="preserve">alertar </w:t>
      </w:r>
      <w:r>
        <w:t xml:space="preserve">a </w:t>
      </w:r>
      <w:r>
        <w:rPr>
          <w:spacing w:val="5"/>
        </w:rPr>
        <w:t xml:space="preserve">população </w:t>
      </w:r>
      <w:r>
        <w:rPr>
          <w:spacing w:val="3"/>
        </w:rPr>
        <w:t xml:space="preserve">sobre </w:t>
      </w:r>
      <w:r>
        <w:rPr>
          <w:spacing w:val="2"/>
        </w:rPr>
        <w:t xml:space="preserve">os </w:t>
      </w:r>
      <w:r>
        <w:rPr>
          <w:spacing w:val="5"/>
        </w:rPr>
        <w:t xml:space="preserve">riscos </w:t>
      </w:r>
      <w:r>
        <w:t xml:space="preserve">à </w:t>
      </w:r>
      <w:r>
        <w:rPr>
          <w:spacing w:val="5"/>
        </w:rPr>
        <w:t xml:space="preserve">saúde, </w:t>
      </w:r>
      <w:r>
        <w:rPr>
          <w:spacing w:val="3"/>
        </w:rPr>
        <w:t xml:space="preserve">bem </w:t>
      </w:r>
      <w:r>
        <w:rPr>
          <w:spacing w:val="5"/>
        </w:rPr>
        <w:t>como</w:t>
      </w:r>
      <w:r>
        <w:rPr>
          <w:spacing w:val="61"/>
        </w:rPr>
        <w:t xml:space="preserve"> </w:t>
      </w:r>
      <w:r>
        <w:t>medidas de controle e fiscalização de emissão de efluentes (SILVA et. al,</w:t>
      </w:r>
      <w:r>
        <w:rPr>
          <w:spacing w:val="40"/>
        </w:rPr>
        <w:t xml:space="preserve"> </w:t>
      </w:r>
      <w:r>
        <w:rPr>
          <w:spacing w:val="1"/>
        </w:rPr>
        <w:t>1998).</w:t>
      </w:r>
    </w:p>
    <w:p w:rsidR="00D81F69" w:rsidRDefault="00D81F69">
      <w:pPr>
        <w:pStyle w:val="Corpodetexto"/>
        <w:spacing w:before="4"/>
        <w:ind w:left="0"/>
        <w:jc w:val="left"/>
        <w:rPr>
          <w:sz w:val="22"/>
        </w:rPr>
      </w:pPr>
    </w:p>
    <w:p w:rsidR="00D81F69" w:rsidRDefault="00330118">
      <w:pPr>
        <w:pStyle w:val="Heading7"/>
      </w:pPr>
      <w:r>
        <w:t>LOCALIZAÇÃO GEOGRÁFICA</w:t>
      </w:r>
    </w:p>
    <w:p w:rsidR="00D81F69" w:rsidRDefault="00330118">
      <w:pPr>
        <w:pStyle w:val="Corpodetexto"/>
        <w:spacing w:before="179" w:line="312" w:lineRule="auto"/>
        <w:ind w:right="201"/>
      </w:pPr>
      <w:r>
        <w:rPr>
          <w:spacing w:val="3"/>
        </w:rPr>
        <w:t xml:space="preserve">As </w:t>
      </w:r>
      <w:r>
        <w:rPr>
          <w:spacing w:val="6"/>
        </w:rPr>
        <w:t xml:space="preserve">ocorrências </w:t>
      </w:r>
      <w:r>
        <w:rPr>
          <w:spacing w:val="3"/>
        </w:rPr>
        <w:t xml:space="preserve">de </w:t>
      </w:r>
      <w:r>
        <w:rPr>
          <w:spacing w:val="5"/>
        </w:rPr>
        <w:t xml:space="preserve">ouro </w:t>
      </w:r>
      <w:r>
        <w:rPr>
          <w:spacing w:val="3"/>
        </w:rPr>
        <w:t xml:space="preserve">do </w:t>
      </w:r>
      <w:r>
        <w:rPr>
          <w:spacing w:val="6"/>
        </w:rPr>
        <w:t xml:space="preserve">município </w:t>
      </w:r>
      <w:r>
        <w:rPr>
          <w:spacing w:val="3"/>
        </w:rPr>
        <w:t xml:space="preserve">de </w:t>
      </w:r>
      <w:r>
        <w:rPr>
          <w:spacing w:val="5"/>
        </w:rPr>
        <w:t xml:space="preserve">Poconé </w:t>
      </w:r>
      <w:r>
        <w:rPr>
          <w:spacing w:val="7"/>
        </w:rPr>
        <w:t xml:space="preserve">estão </w:t>
      </w:r>
      <w:r>
        <w:t xml:space="preserve">localizadas na bacia do Rio Paraguai. A maioria dos garimpos se </w:t>
      </w:r>
      <w:r>
        <w:rPr>
          <w:spacing w:val="1"/>
        </w:rPr>
        <w:t xml:space="preserve">localiza próximo </w:t>
      </w:r>
      <w:r>
        <w:t xml:space="preserve">ao Rio </w:t>
      </w:r>
      <w:r>
        <w:rPr>
          <w:spacing w:val="1"/>
        </w:rPr>
        <w:t xml:space="preserve">Bento Gomes entre </w:t>
      </w:r>
      <w:r>
        <w:t xml:space="preserve">as </w:t>
      </w:r>
      <w:r>
        <w:rPr>
          <w:spacing w:val="2"/>
        </w:rPr>
        <w:t xml:space="preserve">latitudes </w:t>
      </w:r>
      <w:r>
        <w:rPr>
          <w:spacing w:val="12"/>
        </w:rPr>
        <w:t xml:space="preserve">16°17’58”S </w:t>
      </w:r>
      <w:r>
        <w:t xml:space="preserve">- </w:t>
      </w:r>
      <w:r>
        <w:rPr>
          <w:spacing w:val="12"/>
        </w:rPr>
        <w:t xml:space="preserve">15°46’52”S </w:t>
      </w:r>
      <w:r>
        <w:t xml:space="preserve">e </w:t>
      </w:r>
      <w:r>
        <w:rPr>
          <w:spacing w:val="12"/>
        </w:rPr>
        <w:t>longitudes</w:t>
      </w:r>
      <w:r>
        <w:rPr>
          <w:spacing w:val="67"/>
        </w:rPr>
        <w:t xml:space="preserve"> </w:t>
      </w:r>
      <w:r>
        <w:rPr>
          <w:spacing w:val="12"/>
        </w:rPr>
        <w:t>56°27’45”W-</w:t>
      </w:r>
      <w:r>
        <w:rPr>
          <w:spacing w:val="-34"/>
        </w:rPr>
        <w:t xml:space="preserve"> </w:t>
      </w:r>
    </w:p>
    <w:p w:rsidR="00D81F69" w:rsidRDefault="00330118">
      <w:pPr>
        <w:pStyle w:val="Corpodetexto"/>
        <w:spacing w:before="3" w:line="312" w:lineRule="auto"/>
        <w:ind w:right="211"/>
      </w:pPr>
      <w:r>
        <w:t>56°</w:t>
      </w:r>
      <w:r>
        <w:t>45’57”W. O garimpo mais distante, chamado Fazenda Cinco Irmãos, se localiza nas coordenadas 15°46’14”S - 56°34’40”W, próximo ao Ribeirão Bento Gomes.</w:t>
      </w:r>
    </w:p>
    <w:p w:rsidR="00D81F69" w:rsidRDefault="00D81F69">
      <w:pPr>
        <w:pStyle w:val="Corpodetexto"/>
        <w:spacing w:before="1"/>
        <w:ind w:left="0"/>
        <w:jc w:val="left"/>
        <w:rPr>
          <w:sz w:val="29"/>
        </w:rPr>
      </w:pPr>
    </w:p>
    <w:p w:rsidR="00D81F69" w:rsidRDefault="00330118">
      <w:pPr>
        <w:pStyle w:val="Heading7"/>
      </w:pPr>
      <w:r>
        <w:t>REDATORES</w:t>
      </w:r>
    </w:p>
    <w:p w:rsidR="00D81F69" w:rsidRDefault="00330118">
      <w:pPr>
        <w:pStyle w:val="Corpodetexto"/>
        <w:spacing w:before="179"/>
      </w:pPr>
      <w:r>
        <w:t>Laura Maul C. Costa</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7" w:line="312" w:lineRule="auto"/>
        <w:ind w:left="100" w:right="189"/>
        <w:jc w:val="both"/>
        <w:rPr>
          <w:sz w:val="16"/>
        </w:rPr>
      </w:pPr>
      <w:r>
        <w:rPr>
          <w:sz w:val="16"/>
        </w:rPr>
        <w:t>CÂMARA, Volney de M.; SILVA, Alexandre P.; PIVETTA, Fátima; PEREZ, Maurício A.; LIMA, Maria Imaculada M.; FILHOTE, Maria Izabel de F.; TAVARES, Lidia Maria B.; MACIEL, Marcos V.; ALHEIRA, F. V.; DANTAS, T; MARTINS, M. S. Estudo dos níveis de exposição e ef</w:t>
      </w:r>
      <w:r>
        <w:rPr>
          <w:sz w:val="16"/>
        </w:rPr>
        <w:t>eitos à saúde por mercúrio metálico em uma população urbana de Poconé, Mato Grosso, Brasil. Cadernos de Saúde Pública, Rio de Janeiro, 12(1): 69-77, jan-mar, 1996. Disponível em:</w:t>
      </w:r>
    </w:p>
    <w:p w:rsidR="00D81F69" w:rsidRDefault="00D81F69">
      <w:pPr>
        <w:spacing w:before="6" w:line="312" w:lineRule="auto"/>
        <w:ind w:left="100" w:right="196"/>
        <w:jc w:val="both"/>
        <w:rPr>
          <w:sz w:val="16"/>
        </w:rPr>
      </w:pPr>
      <w:hyperlink r:id="rId971">
        <w:r w:rsidR="00330118">
          <w:rPr>
            <w:sz w:val="16"/>
          </w:rPr>
          <w:t>&lt;</w:t>
        </w:r>
        <w:r w:rsidR="00330118">
          <w:rPr>
            <w:sz w:val="16"/>
          </w:rPr>
          <w:t xml:space="preserve">http://www.scielo.br/pdf/csp/v12n1/1600.pdf&gt;. </w:t>
        </w:r>
      </w:hyperlink>
      <w:r w:rsidR="00330118">
        <w:rPr>
          <w:sz w:val="16"/>
        </w:rPr>
        <w:t>Acesso em: 08 fev. 2011.</w:t>
      </w:r>
    </w:p>
    <w:p w:rsidR="00D81F69" w:rsidRDefault="00330118">
      <w:pPr>
        <w:tabs>
          <w:tab w:val="left" w:pos="638"/>
          <w:tab w:val="left" w:pos="4331"/>
        </w:tabs>
        <w:spacing w:before="2" w:line="312" w:lineRule="auto"/>
        <w:ind w:left="100" w:right="196"/>
        <w:jc w:val="both"/>
        <w:rPr>
          <w:sz w:val="16"/>
        </w:rPr>
      </w:pPr>
      <w:r>
        <w:rPr>
          <w:sz w:val="16"/>
          <w:u w:val="single"/>
        </w:rPr>
        <w:t xml:space="preserve"> </w:t>
      </w:r>
      <w:r>
        <w:rPr>
          <w:sz w:val="16"/>
          <w:u w:val="single"/>
        </w:rPr>
        <w:tab/>
      </w:r>
      <w:r>
        <w:rPr>
          <w:sz w:val="16"/>
        </w:rPr>
        <w:t xml:space="preserve">. Estudos de saúde: níveis de exposição ao mercúrio metálico e </w:t>
      </w:r>
      <w:r>
        <w:rPr>
          <w:spacing w:val="3"/>
          <w:sz w:val="16"/>
        </w:rPr>
        <w:t xml:space="preserve">seus </w:t>
      </w:r>
      <w:r>
        <w:rPr>
          <w:spacing w:val="5"/>
          <w:sz w:val="16"/>
        </w:rPr>
        <w:t xml:space="preserve">efeitos </w:t>
      </w:r>
      <w:r>
        <w:rPr>
          <w:sz w:val="16"/>
        </w:rPr>
        <w:t xml:space="preserve">à </w:t>
      </w:r>
      <w:r>
        <w:rPr>
          <w:spacing w:val="5"/>
          <w:sz w:val="16"/>
        </w:rPr>
        <w:t xml:space="preserve">saúde. Contaminação ambiental </w:t>
      </w:r>
      <w:r>
        <w:rPr>
          <w:spacing w:val="3"/>
          <w:sz w:val="16"/>
        </w:rPr>
        <w:t xml:space="preserve">por </w:t>
      </w:r>
      <w:r>
        <w:rPr>
          <w:spacing w:val="5"/>
          <w:sz w:val="16"/>
        </w:rPr>
        <w:t xml:space="preserve">mercúrio </w:t>
      </w:r>
      <w:r>
        <w:rPr>
          <w:spacing w:val="3"/>
          <w:sz w:val="16"/>
        </w:rPr>
        <w:t xml:space="preserve">metálico </w:t>
      </w:r>
      <w:r>
        <w:rPr>
          <w:spacing w:val="1"/>
          <w:sz w:val="16"/>
        </w:rPr>
        <w:t xml:space="preserve">na </w:t>
      </w:r>
      <w:r>
        <w:rPr>
          <w:spacing w:val="3"/>
          <w:sz w:val="16"/>
        </w:rPr>
        <w:t xml:space="preserve">região amazônica: subsídios </w:t>
      </w:r>
      <w:r>
        <w:rPr>
          <w:spacing w:val="2"/>
          <w:sz w:val="16"/>
        </w:rPr>
        <w:t xml:space="preserve">para </w:t>
      </w:r>
      <w:r>
        <w:rPr>
          <w:spacing w:val="1"/>
          <w:sz w:val="16"/>
        </w:rPr>
        <w:t xml:space="preserve">um </w:t>
      </w:r>
      <w:r>
        <w:rPr>
          <w:spacing w:val="3"/>
          <w:sz w:val="16"/>
        </w:rPr>
        <w:t xml:space="preserve">programa </w:t>
      </w:r>
      <w:r>
        <w:rPr>
          <w:spacing w:val="5"/>
          <w:sz w:val="16"/>
        </w:rPr>
        <w:t>de vi</w:t>
      </w:r>
      <w:r>
        <w:rPr>
          <w:spacing w:val="5"/>
          <w:sz w:val="16"/>
        </w:rPr>
        <w:t xml:space="preserve">gilância </w:t>
      </w:r>
      <w:r>
        <w:rPr>
          <w:spacing w:val="3"/>
          <w:sz w:val="16"/>
        </w:rPr>
        <w:t xml:space="preserve">das </w:t>
      </w:r>
      <w:r>
        <w:rPr>
          <w:spacing w:val="5"/>
          <w:sz w:val="16"/>
        </w:rPr>
        <w:t xml:space="preserve">populações expostas. Centro Pan-Americano de </w:t>
      </w:r>
      <w:r>
        <w:rPr>
          <w:sz w:val="16"/>
        </w:rPr>
        <w:t xml:space="preserve">Engenharia Sanitária e Ciências do Ambiente (CEPIS/OPS), 2000.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5" w:line="312" w:lineRule="auto"/>
        <w:ind w:left="100" w:right="199"/>
        <w:jc w:val="both"/>
        <w:rPr>
          <w:sz w:val="16"/>
        </w:rPr>
      </w:pPr>
      <w:hyperlink r:id="rId972">
        <w:r w:rsidR="00330118">
          <w:rPr>
            <w:sz w:val="16"/>
          </w:rPr>
          <w:t>&lt;http://www.bvsde.paho.org/bvstox/E/fulltext/etext06/camcap03.html&gt;.</w:t>
        </w:r>
      </w:hyperlink>
      <w:r w:rsidR="00330118">
        <w:rPr>
          <w:sz w:val="16"/>
        </w:rPr>
        <w:t xml:space="preserve"> Acesso em: 28 fev. 2011.</w:t>
      </w:r>
    </w:p>
    <w:p w:rsidR="00D81F69" w:rsidRDefault="00330118">
      <w:pPr>
        <w:spacing w:before="1" w:line="312" w:lineRule="auto"/>
        <w:ind w:left="100" w:right="123"/>
        <w:jc w:val="both"/>
        <w:rPr>
          <w:sz w:val="16"/>
        </w:rPr>
      </w:pPr>
      <w:r>
        <w:rPr>
          <w:sz w:val="16"/>
        </w:rPr>
        <w:t xml:space="preserve">IBGE, Instituto Brasileiro de Geografia e Estatística. Poconé. In: IBGE C i d a d e s , 2 0 1 0 . D i s p o n í v e l e m :  </w:t>
      </w:r>
    </w:p>
    <w:p w:rsidR="00D81F69" w:rsidRDefault="00D81F69">
      <w:pPr>
        <w:spacing w:before="2"/>
        <w:ind w:left="100"/>
        <w:jc w:val="both"/>
        <w:rPr>
          <w:sz w:val="16"/>
        </w:rPr>
      </w:pPr>
      <w:hyperlink r:id="rId973">
        <w:r w:rsidR="00330118">
          <w:rPr>
            <w:sz w:val="16"/>
          </w:rPr>
          <w:t>&lt;http://www.ibge.gov.br/cidadesat/xtras/perfil.php?codmun=510650&amp;r</w:t>
        </w:r>
      </w:hyperlink>
    </w:p>
    <w:p w:rsidR="00D81F69" w:rsidRDefault="00330118">
      <w:pPr>
        <w:spacing w:before="56"/>
        <w:ind w:left="100"/>
        <w:jc w:val="both"/>
        <w:rPr>
          <w:sz w:val="16"/>
        </w:rPr>
      </w:pPr>
      <w:r>
        <w:rPr>
          <w:sz w:val="16"/>
        </w:rPr>
        <w:t>=2&gt;Acesso em: 07 fev. 2011.</w:t>
      </w:r>
    </w:p>
    <w:p w:rsidR="00D81F69" w:rsidRDefault="00330118">
      <w:pPr>
        <w:spacing w:before="56" w:line="312" w:lineRule="auto"/>
        <w:ind w:left="100" w:right="160"/>
        <w:jc w:val="both"/>
        <w:rPr>
          <w:sz w:val="16"/>
        </w:rPr>
      </w:pPr>
      <w:r>
        <w:rPr>
          <w:spacing w:val="1"/>
          <w:sz w:val="16"/>
        </w:rPr>
        <w:t xml:space="preserve">MELAMED, Ricardo; VILLAS BÔAS, Roberto </w:t>
      </w:r>
      <w:r>
        <w:rPr>
          <w:sz w:val="16"/>
        </w:rPr>
        <w:t xml:space="preserve">C. </w:t>
      </w:r>
      <w:r>
        <w:rPr>
          <w:spacing w:val="1"/>
          <w:sz w:val="16"/>
        </w:rPr>
        <w:t xml:space="preserve">Interação </w:t>
      </w:r>
      <w:r>
        <w:rPr>
          <w:spacing w:val="2"/>
          <w:sz w:val="16"/>
        </w:rPr>
        <w:t xml:space="preserve">Físico- </w:t>
      </w:r>
      <w:r>
        <w:rPr>
          <w:sz w:val="16"/>
        </w:rPr>
        <w:t>química e mobilidade de mercúrio</w:t>
      </w:r>
      <w:r>
        <w:rPr>
          <w:sz w:val="16"/>
        </w:rPr>
        <w:t xml:space="preserve"> em solos, sedimentos e rejeitos de garimpo de ouro. Rio de Janeiro: CETEM/CNPq/MCT, 2002. Série </w:t>
      </w:r>
      <w:r>
        <w:rPr>
          <w:spacing w:val="30"/>
          <w:sz w:val="16"/>
        </w:rPr>
        <w:t>Tecnologia</w:t>
      </w:r>
      <w:r>
        <w:rPr>
          <w:spacing w:val="105"/>
          <w:sz w:val="16"/>
        </w:rPr>
        <w:t xml:space="preserve"> </w:t>
      </w:r>
      <w:r>
        <w:rPr>
          <w:spacing w:val="30"/>
          <w:sz w:val="16"/>
        </w:rPr>
        <w:t>Ambiental</w:t>
      </w:r>
      <w:r>
        <w:rPr>
          <w:spacing w:val="105"/>
          <w:sz w:val="16"/>
        </w:rPr>
        <w:t xml:space="preserve"> </w:t>
      </w:r>
      <w:r>
        <w:rPr>
          <w:spacing w:val="16"/>
          <w:sz w:val="16"/>
        </w:rPr>
        <w:t xml:space="preserve">n. </w:t>
      </w:r>
      <w:r>
        <w:rPr>
          <w:spacing w:val="22"/>
          <w:sz w:val="16"/>
        </w:rPr>
        <w:t xml:space="preserve">25. </w:t>
      </w:r>
      <w:r>
        <w:rPr>
          <w:spacing w:val="30"/>
          <w:sz w:val="16"/>
        </w:rPr>
        <w:t xml:space="preserve">Disponível </w:t>
      </w:r>
      <w:r>
        <w:rPr>
          <w:spacing w:val="22"/>
          <w:sz w:val="16"/>
        </w:rPr>
        <w:t>em:</w:t>
      </w:r>
      <w:r>
        <w:rPr>
          <w:spacing w:val="-9"/>
          <w:sz w:val="16"/>
        </w:rPr>
        <w:t xml:space="preserve"> </w:t>
      </w:r>
    </w:p>
    <w:p w:rsidR="00D81F69" w:rsidRDefault="00D81F69">
      <w:pPr>
        <w:spacing w:before="3"/>
        <w:ind w:left="100"/>
        <w:jc w:val="both"/>
        <w:rPr>
          <w:sz w:val="16"/>
        </w:rPr>
      </w:pPr>
      <w:hyperlink r:id="rId974">
        <w:r w:rsidR="00330118">
          <w:rPr>
            <w:sz w:val="16"/>
          </w:rPr>
          <w:t>&lt;http://www.cetem.gov.br/publicacao/serie</w:t>
        </w:r>
        <w:r w:rsidR="00330118">
          <w:rPr>
            <w:sz w:val="16"/>
          </w:rPr>
          <w:t xml:space="preserve">s_sta/sta-25.pdf&gt;. </w:t>
        </w:r>
      </w:hyperlink>
      <w:r w:rsidR="00330118">
        <w:rPr>
          <w:sz w:val="16"/>
        </w:rPr>
        <w:t>Acesso</w:t>
      </w:r>
    </w:p>
    <w:p w:rsidR="00D81F69" w:rsidRDefault="00330118">
      <w:pPr>
        <w:spacing w:before="56"/>
        <w:ind w:left="100"/>
        <w:jc w:val="both"/>
        <w:rPr>
          <w:sz w:val="16"/>
        </w:rPr>
      </w:pPr>
      <w:r>
        <w:rPr>
          <w:sz w:val="16"/>
        </w:rPr>
        <w:t>em: 08 fev. 2011.</w:t>
      </w:r>
    </w:p>
    <w:p w:rsidR="00D81F69" w:rsidRDefault="00D81F69">
      <w:pPr>
        <w:jc w:val="both"/>
        <w:rPr>
          <w:sz w:val="16"/>
        </w:rPr>
        <w:sectPr w:rsidR="00D81F69">
          <w:pgSz w:w="11900" w:h="16840"/>
          <w:pgMar w:top="740" w:right="500" w:bottom="620" w:left="620" w:header="0" w:footer="402" w:gutter="0"/>
          <w:cols w:num="2" w:space="720" w:equalWidth="0">
            <w:col w:w="5222" w:space="248"/>
            <w:col w:w="5310"/>
          </w:cols>
        </w:sectPr>
      </w:pPr>
    </w:p>
    <w:p w:rsidR="00D81F69" w:rsidRDefault="00330118">
      <w:pPr>
        <w:spacing w:before="70" w:line="312" w:lineRule="auto"/>
        <w:ind w:left="100" w:right="65"/>
        <w:jc w:val="both"/>
        <w:rPr>
          <w:sz w:val="16"/>
        </w:rPr>
      </w:pPr>
      <w:r>
        <w:rPr>
          <w:sz w:val="16"/>
        </w:rPr>
        <w:lastRenderedPageBreak/>
        <w:t xml:space="preserve">MINISTÉRIO DA SAÚDE. Vigisolo. Diagnóstico Nacional de Áreas </w:t>
      </w:r>
      <w:r>
        <w:rPr>
          <w:spacing w:val="1"/>
          <w:sz w:val="16"/>
        </w:rPr>
        <w:t xml:space="preserve">Potenciais </w:t>
      </w:r>
      <w:r>
        <w:rPr>
          <w:sz w:val="16"/>
        </w:rPr>
        <w:t xml:space="preserve">e </w:t>
      </w:r>
      <w:r>
        <w:rPr>
          <w:spacing w:val="1"/>
          <w:sz w:val="16"/>
        </w:rPr>
        <w:t xml:space="preserve">Efetivas </w:t>
      </w:r>
      <w:r>
        <w:rPr>
          <w:sz w:val="16"/>
        </w:rPr>
        <w:t xml:space="preserve">de </w:t>
      </w:r>
      <w:r>
        <w:rPr>
          <w:spacing w:val="1"/>
          <w:sz w:val="16"/>
        </w:rPr>
        <w:t xml:space="preserve">Contaminação </w:t>
      </w:r>
      <w:r>
        <w:rPr>
          <w:sz w:val="16"/>
        </w:rPr>
        <w:t xml:space="preserve">de </w:t>
      </w:r>
      <w:r>
        <w:rPr>
          <w:spacing w:val="1"/>
          <w:sz w:val="16"/>
        </w:rPr>
        <w:t xml:space="preserve">Solo </w:t>
      </w:r>
      <w:r>
        <w:rPr>
          <w:sz w:val="16"/>
        </w:rPr>
        <w:t xml:space="preserve">e </w:t>
      </w:r>
      <w:r>
        <w:rPr>
          <w:spacing w:val="1"/>
          <w:sz w:val="16"/>
        </w:rPr>
        <w:t xml:space="preserve">População </w:t>
      </w:r>
      <w:r>
        <w:rPr>
          <w:spacing w:val="2"/>
          <w:sz w:val="16"/>
        </w:rPr>
        <w:t xml:space="preserve">sob </w:t>
      </w:r>
      <w:r>
        <w:rPr>
          <w:spacing w:val="17"/>
          <w:sz w:val="16"/>
        </w:rPr>
        <w:t xml:space="preserve">Risco </w:t>
      </w:r>
      <w:r>
        <w:rPr>
          <w:spacing w:val="10"/>
          <w:sz w:val="16"/>
        </w:rPr>
        <w:t>de</w:t>
      </w:r>
      <w:r>
        <w:rPr>
          <w:spacing w:val="65"/>
          <w:sz w:val="16"/>
        </w:rPr>
        <w:t xml:space="preserve"> </w:t>
      </w:r>
      <w:r>
        <w:rPr>
          <w:spacing w:val="20"/>
          <w:sz w:val="16"/>
        </w:rPr>
        <w:t xml:space="preserve">Exposição. Brasília, </w:t>
      </w:r>
      <w:r>
        <w:rPr>
          <w:spacing w:val="15"/>
          <w:sz w:val="16"/>
        </w:rPr>
        <w:t xml:space="preserve">DF. </w:t>
      </w:r>
      <w:r>
        <w:rPr>
          <w:spacing w:val="20"/>
          <w:sz w:val="16"/>
        </w:rPr>
        <w:t xml:space="preserve">Disponível </w:t>
      </w:r>
      <w:r>
        <w:rPr>
          <w:spacing w:val="15"/>
          <w:sz w:val="16"/>
        </w:rPr>
        <w:t>em:</w:t>
      </w:r>
      <w:r>
        <w:rPr>
          <w:spacing w:val="-20"/>
          <w:sz w:val="16"/>
        </w:rPr>
        <w:t xml:space="preserve"> </w:t>
      </w:r>
    </w:p>
    <w:p w:rsidR="00D81F69" w:rsidRDefault="00D81F69">
      <w:pPr>
        <w:spacing w:before="2" w:line="312" w:lineRule="auto"/>
        <w:ind w:left="100" w:right="79"/>
        <w:jc w:val="both"/>
        <w:rPr>
          <w:sz w:val="16"/>
        </w:rPr>
      </w:pPr>
      <w:hyperlink r:id="rId975">
        <w:r w:rsidR="00330118">
          <w:rPr>
            <w:sz w:val="16"/>
          </w:rPr>
          <w:t>&lt;http://portal.saude.gov.br/portal/arquivos/pdf/mato_grosso.pdf&gt;.</w:t>
        </w:r>
      </w:hyperlink>
      <w:r w:rsidR="00330118">
        <w:rPr>
          <w:sz w:val="16"/>
        </w:rPr>
        <w:t xml:space="preserve"> Acesso em: 20 abr. 2011.</w:t>
      </w:r>
    </w:p>
    <w:p w:rsidR="00D81F69" w:rsidRDefault="00330118">
      <w:pPr>
        <w:spacing w:before="2" w:line="312" w:lineRule="auto"/>
        <w:ind w:left="100" w:right="38"/>
        <w:jc w:val="both"/>
        <w:rPr>
          <w:sz w:val="16"/>
        </w:rPr>
      </w:pPr>
      <w:r>
        <w:rPr>
          <w:spacing w:val="1"/>
          <w:sz w:val="16"/>
        </w:rPr>
        <w:t xml:space="preserve">NOVAIS, Gabriel; CÂMARA, Volney </w:t>
      </w:r>
      <w:r>
        <w:rPr>
          <w:sz w:val="16"/>
        </w:rPr>
        <w:t xml:space="preserve">de </w:t>
      </w:r>
      <w:r>
        <w:rPr>
          <w:spacing w:val="1"/>
          <w:sz w:val="16"/>
        </w:rPr>
        <w:t xml:space="preserve">Magalhães. Perception </w:t>
      </w:r>
      <w:r>
        <w:rPr>
          <w:spacing w:val="2"/>
          <w:sz w:val="16"/>
        </w:rPr>
        <w:t xml:space="preserve">of </w:t>
      </w:r>
      <w:r>
        <w:rPr>
          <w:spacing w:val="3"/>
          <w:sz w:val="16"/>
        </w:rPr>
        <w:t xml:space="preserve">mercury contamination </w:t>
      </w:r>
      <w:r>
        <w:rPr>
          <w:spacing w:val="1"/>
          <w:sz w:val="16"/>
        </w:rPr>
        <w:t xml:space="preserve">by </w:t>
      </w:r>
      <w:r>
        <w:rPr>
          <w:spacing w:val="3"/>
          <w:sz w:val="16"/>
        </w:rPr>
        <w:t>Br</w:t>
      </w:r>
      <w:r>
        <w:rPr>
          <w:spacing w:val="3"/>
          <w:sz w:val="16"/>
        </w:rPr>
        <w:t xml:space="preserve">azilian adolescents </w:t>
      </w:r>
      <w:r>
        <w:rPr>
          <w:spacing w:val="1"/>
          <w:sz w:val="16"/>
        </w:rPr>
        <w:t xml:space="preserve">in </w:t>
      </w:r>
      <w:r>
        <w:rPr>
          <w:sz w:val="16"/>
        </w:rPr>
        <w:t xml:space="preserve">a </w:t>
      </w:r>
      <w:r>
        <w:rPr>
          <w:spacing w:val="2"/>
          <w:sz w:val="16"/>
        </w:rPr>
        <w:t xml:space="preserve">gold </w:t>
      </w:r>
      <w:r>
        <w:rPr>
          <w:spacing w:val="5"/>
          <w:sz w:val="16"/>
        </w:rPr>
        <w:t xml:space="preserve">mining </w:t>
      </w:r>
      <w:r>
        <w:rPr>
          <w:spacing w:val="1"/>
          <w:sz w:val="16"/>
        </w:rPr>
        <w:t xml:space="preserve">community: </w:t>
      </w:r>
      <w:r>
        <w:rPr>
          <w:sz w:val="16"/>
        </w:rPr>
        <w:t xml:space="preserve">an </w:t>
      </w:r>
      <w:r>
        <w:rPr>
          <w:spacing w:val="1"/>
          <w:sz w:val="16"/>
        </w:rPr>
        <w:t xml:space="preserve">ethnographic  approach.  Ciência  </w:t>
      </w:r>
      <w:r>
        <w:rPr>
          <w:sz w:val="16"/>
        </w:rPr>
        <w:t xml:space="preserve">e  </w:t>
      </w:r>
      <w:r>
        <w:rPr>
          <w:spacing w:val="1"/>
          <w:sz w:val="16"/>
        </w:rPr>
        <w:t xml:space="preserve">Saúde  </w:t>
      </w:r>
      <w:r>
        <w:rPr>
          <w:spacing w:val="2"/>
          <w:sz w:val="16"/>
        </w:rPr>
        <w:t xml:space="preserve">Coletiva </w:t>
      </w:r>
      <w:r>
        <w:rPr>
          <w:sz w:val="16"/>
        </w:rPr>
        <w:t>1 4 ( 6 ) , 2 0 1 5 - 2 0 2 6 . 2 0 0 9 . D i s p o n í v e l e m</w:t>
      </w:r>
      <w:r>
        <w:rPr>
          <w:spacing w:val="3"/>
          <w:sz w:val="16"/>
        </w:rPr>
        <w:t xml:space="preserve"> </w:t>
      </w:r>
      <w:r>
        <w:rPr>
          <w:sz w:val="16"/>
        </w:rPr>
        <w:t>:</w:t>
      </w:r>
      <w:r>
        <w:rPr>
          <w:spacing w:val="1"/>
          <w:sz w:val="16"/>
        </w:rPr>
        <w:t xml:space="preserve"> </w:t>
      </w:r>
    </w:p>
    <w:p w:rsidR="00D81F69" w:rsidRDefault="00D81F69">
      <w:pPr>
        <w:spacing w:before="3" w:line="312" w:lineRule="auto"/>
        <w:ind w:left="100" w:right="83"/>
        <w:jc w:val="both"/>
        <w:rPr>
          <w:sz w:val="16"/>
        </w:rPr>
      </w:pPr>
      <w:hyperlink r:id="rId976">
        <w:r w:rsidR="00330118">
          <w:rPr>
            <w:sz w:val="16"/>
          </w:rPr>
          <w:t>&lt;http://www.scielosp.</w:t>
        </w:r>
        <w:r w:rsidR="00330118">
          <w:rPr>
            <w:sz w:val="16"/>
          </w:rPr>
          <w:t xml:space="preserve">org/pdf/csc/v14n6/09.pdf&gt;. </w:t>
        </w:r>
      </w:hyperlink>
      <w:r w:rsidR="00330118">
        <w:rPr>
          <w:sz w:val="16"/>
        </w:rPr>
        <w:t>Acesso em: 08 fev. 2011.</w:t>
      </w:r>
    </w:p>
    <w:p w:rsidR="00D81F69" w:rsidRDefault="00330118">
      <w:pPr>
        <w:spacing w:before="2" w:line="312" w:lineRule="auto"/>
        <w:ind w:left="100" w:right="76"/>
        <w:jc w:val="both"/>
        <w:rPr>
          <w:sz w:val="16"/>
        </w:rPr>
      </w:pPr>
      <w:r>
        <w:rPr>
          <w:sz w:val="16"/>
        </w:rPr>
        <w:t>PREFEITURA MUNICIPAL DE POCONÉ. Dados econômicos. Disponível em:</w:t>
      </w:r>
    </w:p>
    <w:p w:rsidR="00D81F69" w:rsidRDefault="00D81F69">
      <w:pPr>
        <w:spacing w:before="1" w:line="312" w:lineRule="auto"/>
        <w:ind w:left="100" w:right="79"/>
        <w:jc w:val="both"/>
        <w:rPr>
          <w:sz w:val="16"/>
        </w:rPr>
      </w:pPr>
      <w:hyperlink r:id="rId977">
        <w:r w:rsidR="00330118">
          <w:rPr>
            <w:sz w:val="16"/>
          </w:rPr>
          <w:t>&lt;http://www.pmpocone.com.br/index.php?exibir=secoes&amp;ID=40&gt;.</w:t>
        </w:r>
      </w:hyperlink>
      <w:r w:rsidR="00330118">
        <w:rPr>
          <w:sz w:val="16"/>
        </w:rPr>
        <w:t xml:space="preserve"> A</w:t>
      </w:r>
      <w:r w:rsidR="00330118">
        <w:rPr>
          <w:sz w:val="16"/>
        </w:rPr>
        <w:t>cesso em: 05 fev.2011.</w:t>
      </w:r>
    </w:p>
    <w:p w:rsidR="00D81F69" w:rsidRDefault="00330118">
      <w:pPr>
        <w:spacing w:before="2" w:line="312" w:lineRule="auto"/>
        <w:ind w:left="100" w:right="96"/>
        <w:jc w:val="both"/>
        <w:rPr>
          <w:sz w:val="16"/>
        </w:rPr>
      </w:pPr>
      <w:r>
        <w:rPr>
          <w:sz w:val="16"/>
        </w:rPr>
        <w:t>SANTOS, Ronaldo Luiz Correa dos. Relatório de viagem a Poconé – MT. Março / 2005. CETEM RV2005-001-00. Centro de Tecnologia Mineral / Ministério da Ciência e Tecnologia / Coordenação de Processos Metalúrgicos e Ambientais.</w:t>
      </w:r>
    </w:p>
    <w:p w:rsidR="00D81F69" w:rsidRDefault="00330118">
      <w:pPr>
        <w:spacing w:before="3" w:line="312" w:lineRule="auto"/>
        <w:ind w:left="100" w:right="83"/>
        <w:jc w:val="both"/>
        <w:rPr>
          <w:sz w:val="16"/>
        </w:rPr>
      </w:pPr>
      <w:r>
        <w:rPr>
          <w:sz w:val="16"/>
        </w:rPr>
        <w:t>SILVA, Ale</w:t>
      </w:r>
      <w:r>
        <w:rPr>
          <w:sz w:val="16"/>
        </w:rPr>
        <w:t>xandre P.; CÂMARA, Volney; NASCIMENTO, Osmar da Cruz; OLIVEIRA, Lázaro J.; SILVA, Edinaldo C.; PIVETTA, Fátima; BARROCAS, Paulo Rubens G. Contaminação ambiental por mercúrio metálico na região amazônica: subsídios para um programa de</w:t>
      </w:r>
    </w:p>
    <w:p w:rsidR="00D81F69" w:rsidRDefault="00330118">
      <w:pPr>
        <w:spacing w:before="70" w:line="312" w:lineRule="auto"/>
        <w:ind w:left="100" w:right="196"/>
        <w:jc w:val="both"/>
        <w:rPr>
          <w:sz w:val="16"/>
        </w:rPr>
      </w:pPr>
      <w:r>
        <w:br w:type="column"/>
      </w:r>
      <w:r>
        <w:rPr>
          <w:sz w:val="16"/>
        </w:rPr>
        <w:lastRenderedPageBreak/>
        <w:t>vigilância das populações expostas. Centro Pan-Americano de Engenharia Sanitária e Ciências do Ambiente (CEPIS/OPS), 1998. Disponível em:</w:t>
      </w:r>
    </w:p>
    <w:p w:rsidR="00D81F69" w:rsidRDefault="00D81F69">
      <w:pPr>
        <w:spacing w:before="2" w:line="312" w:lineRule="auto"/>
        <w:ind w:left="100" w:right="188"/>
        <w:jc w:val="both"/>
        <w:rPr>
          <w:sz w:val="16"/>
        </w:rPr>
      </w:pPr>
      <w:hyperlink r:id="rId978">
        <w:r w:rsidR="00330118">
          <w:rPr>
            <w:sz w:val="16"/>
          </w:rPr>
          <w:t>&lt;http://www.globalmercuryproject.org</w:t>
        </w:r>
        <w:r w:rsidR="00330118">
          <w:rPr>
            <w:sz w:val="16"/>
          </w:rPr>
          <w:t>/database/Upload/Brazil%20199</w:t>
        </w:r>
      </w:hyperlink>
      <w:r w:rsidR="00330118">
        <w:rPr>
          <w:sz w:val="16"/>
        </w:rPr>
        <w:t xml:space="preserve"> 7%20Silva%20Pocone%20poeira%20domiciliar%201998.pdf&gt;. Acesso em: 28 fev. 2011.</w:t>
      </w:r>
    </w:p>
    <w:p w:rsidR="00D81F69" w:rsidRDefault="00330118">
      <w:pPr>
        <w:spacing w:before="3" w:line="312" w:lineRule="auto"/>
        <w:ind w:left="100" w:right="146"/>
        <w:jc w:val="both"/>
        <w:rPr>
          <w:sz w:val="16"/>
        </w:rPr>
      </w:pPr>
      <w:r>
        <w:rPr>
          <w:sz w:val="16"/>
        </w:rPr>
        <w:t xml:space="preserve">SITE NAVEGADOR MT – Navegador MT – Mato Grosso em Primeiro </w:t>
      </w:r>
      <w:r>
        <w:rPr>
          <w:spacing w:val="6"/>
          <w:sz w:val="16"/>
        </w:rPr>
        <w:t xml:space="preserve">L u g a </w:t>
      </w:r>
      <w:r>
        <w:rPr>
          <w:sz w:val="16"/>
        </w:rPr>
        <w:t xml:space="preserve">r </w:t>
      </w:r>
      <w:r>
        <w:rPr>
          <w:spacing w:val="6"/>
          <w:sz w:val="16"/>
        </w:rPr>
        <w:t xml:space="preserve">M e i </w:t>
      </w:r>
      <w:r>
        <w:rPr>
          <w:sz w:val="16"/>
        </w:rPr>
        <w:t xml:space="preserve">o </w:t>
      </w:r>
      <w:r>
        <w:rPr>
          <w:spacing w:val="6"/>
          <w:sz w:val="16"/>
        </w:rPr>
        <w:t xml:space="preserve">A m b i e n t e </w:t>
      </w:r>
      <w:r>
        <w:rPr>
          <w:sz w:val="16"/>
        </w:rPr>
        <w:t xml:space="preserve">. </w:t>
      </w:r>
      <w:r>
        <w:rPr>
          <w:spacing w:val="6"/>
          <w:sz w:val="16"/>
        </w:rPr>
        <w:t xml:space="preserve">D i s p o n í v e </w:t>
      </w:r>
      <w:r>
        <w:rPr>
          <w:sz w:val="16"/>
        </w:rPr>
        <w:t>l</w:t>
      </w:r>
      <w:r>
        <w:rPr>
          <w:spacing w:val="43"/>
          <w:sz w:val="16"/>
        </w:rPr>
        <w:t xml:space="preserve"> </w:t>
      </w:r>
      <w:r>
        <w:rPr>
          <w:spacing w:val="6"/>
          <w:sz w:val="16"/>
        </w:rPr>
        <w:t xml:space="preserve">e m </w:t>
      </w:r>
      <w:r>
        <w:rPr>
          <w:sz w:val="16"/>
        </w:rPr>
        <w:t>:</w:t>
      </w:r>
      <w:r>
        <w:rPr>
          <w:spacing w:val="7"/>
          <w:sz w:val="16"/>
        </w:rPr>
        <w:t xml:space="preserve"> </w:t>
      </w:r>
    </w:p>
    <w:p w:rsidR="00D81F69" w:rsidRDefault="00D81F69">
      <w:pPr>
        <w:spacing w:before="1" w:line="312" w:lineRule="auto"/>
        <w:ind w:left="100" w:right="217"/>
        <w:jc w:val="both"/>
        <w:rPr>
          <w:sz w:val="16"/>
        </w:rPr>
      </w:pPr>
      <w:hyperlink r:id="rId979">
        <w:r w:rsidR="00330118">
          <w:rPr>
            <w:sz w:val="16"/>
          </w:rPr>
          <w:t>&lt;http://navegadormt.siteconnect.com.br/noticia.php?codigo=8788&amp;cat</w:t>
        </w:r>
      </w:hyperlink>
      <w:r w:rsidR="00330118">
        <w:rPr>
          <w:sz w:val="16"/>
        </w:rPr>
        <w:t xml:space="preserve"> egoria=Meio%20Ambiente&gt;. Acesso em: 20 fev. 2011.</w:t>
      </w:r>
    </w:p>
    <w:p w:rsidR="00D81F69" w:rsidRDefault="00330118">
      <w:pPr>
        <w:spacing w:before="2" w:line="312" w:lineRule="auto"/>
        <w:ind w:left="100" w:right="191"/>
        <w:jc w:val="both"/>
        <w:rPr>
          <w:sz w:val="16"/>
        </w:rPr>
      </w:pPr>
      <w:r>
        <w:rPr>
          <w:sz w:val="16"/>
        </w:rPr>
        <w:t>VEIGA, Marcello M.; FERNANDES, Francisco Rego C. (Org.</w:t>
      </w:r>
      <w:r>
        <w:rPr>
          <w:sz w:val="16"/>
        </w:rPr>
        <w:t>). Poconé: um campo de estudos do impacto ambiental do garimpo. Rio de Janeiro, CETEM/CNPq, 1991, p. 1-25.</w:t>
      </w:r>
    </w:p>
    <w:p w:rsidR="00D81F69" w:rsidRDefault="00330118">
      <w:pPr>
        <w:spacing w:before="2" w:line="312" w:lineRule="auto"/>
        <w:ind w:left="100" w:right="197"/>
        <w:jc w:val="both"/>
        <w:rPr>
          <w:sz w:val="16"/>
        </w:rPr>
      </w:pPr>
      <w:r>
        <w:rPr>
          <w:sz w:val="16"/>
        </w:rPr>
        <w:t>VIEIRA, Luiz Marques; ALHO, Cleber José Rodrigues. Contaminação por Mercúrio em Sedimento e Moluscos da Bacia do Rio Bento Gomes, MT. Boletim de Pesq</w:t>
      </w:r>
      <w:r>
        <w:rPr>
          <w:sz w:val="16"/>
        </w:rPr>
        <w:t>uisa e Desenvolvimento n.58 ISSN 1517-1981 Corumbá, MS: Embrapa Pantanal, 2004. Disponível em:</w:t>
      </w:r>
    </w:p>
    <w:p w:rsidR="00D81F69" w:rsidRDefault="00D81F69">
      <w:pPr>
        <w:spacing w:before="4" w:line="312" w:lineRule="auto"/>
        <w:ind w:left="100" w:right="215"/>
        <w:jc w:val="both"/>
        <w:rPr>
          <w:sz w:val="16"/>
        </w:rPr>
      </w:pPr>
      <w:hyperlink r:id="rId980">
        <w:r w:rsidR="00330118">
          <w:rPr>
            <w:sz w:val="16"/>
          </w:rPr>
          <w:t xml:space="preserve">&lt;http://www.cpap.embrapa.br/publicacoes/online/BP58.pdf&gt;. </w:t>
        </w:r>
      </w:hyperlink>
      <w:r w:rsidR="00330118">
        <w:rPr>
          <w:sz w:val="16"/>
        </w:rPr>
        <w:t>Acesso em: 28 fev. 2011.</w:t>
      </w:r>
    </w:p>
    <w:p w:rsidR="00D81F69" w:rsidRDefault="00330118">
      <w:pPr>
        <w:spacing w:before="1" w:line="312" w:lineRule="auto"/>
        <w:ind w:left="100" w:right="162"/>
        <w:jc w:val="both"/>
        <w:rPr>
          <w:sz w:val="16"/>
        </w:rPr>
      </w:pPr>
      <w:r>
        <w:rPr>
          <w:sz w:val="16"/>
        </w:rPr>
        <w:t>XIV Re</w:t>
      </w:r>
      <w:r>
        <w:rPr>
          <w:sz w:val="16"/>
        </w:rPr>
        <w:t xml:space="preserve">união Brasileira de Manejo e Conservação do Solo e da Água, 7, 2002, Cuiabá. Guia de excursão de estudos no estado do Mato Grosso. Cuiabá: UFMT, 2002. Disponível em: </w:t>
      </w:r>
    </w:p>
    <w:p w:rsidR="00D81F69" w:rsidRDefault="00D81F69">
      <w:pPr>
        <w:spacing w:before="3" w:line="312" w:lineRule="auto"/>
        <w:ind w:left="100" w:right="198"/>
        <w:jc w:val="both"/>
        <w:rPr>
          <w:sz w:val="16"/>
        </w:rPr>
      </w:pPr>
      <w:hyperlink r:id="rId981">
        <w:r w:rsidR="00330118">
          <w:rPr>
            <w:sz w:val="16"/>
          </w:rPr>
          <w:t>&lt;http://solo</w:t>
        </w:r>
        <w:r w:rsidR="00330118">
          <w:rPr>
            <w:sz w:val="16"/>
          </w:rPr>
          <w:t>s.ufmt.br/docs/Pantanal/Guia_%20XIV%20RBMCSA.pdf&gt;.</w:t>
        </w:r>
      </w:hyperlink>
      <w:r w:rsidR="00330118">
        <w:rPr>
          <w:sz w:val="16"/>
        </w:rPr>
        <w:t xml:space="preserve"> Acesso em: 05 fev. 2011.</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96" w:space="274"/>
            <w:col w:w="5310"/>
          </w:cols>
        </w:sectPr>
      </w:pPr>
    </w:p>
    <w:p w:rsidR="00D81F69" w:rsidRDefault="00330118">
      <w:pPr>
        <w:pStyle w:val="Heading1"/>
        <w:spacing w:line="208" w:lineRule="auto"/>
      </w:pPr>
      <w:r>
        <w:rPr>
          <w:spacing w:val="7"/>
        </w:rPr>
        <w:lastRenderedPageBreak/>
        <w:t xml:space="preserve">Parceria </w:t>
      </w:r>
      <w:r>
        <w:rPr>
          <w:spacing w:val="8"/>
        </w:rPr>
        <w:t xml:space="preserve">intersetorial </w:t>
      </w:r>
      <w:r>
        <w:rPr>
          <w:spacing w:val="6"/>
        </w:rPr>
        <w:t xml:space="preserve">visa </w:t>
      </w:r>
      <w:r>
        <w:rPr>
          <w:spacing w:val="7"/>
        </w:rPr>
        <w:t xml:space="preserve">recuperar áreas </w:t>
      </w:r>
      <w:r>
        <w:rPr>
          <w:spacing w:val="10"/>
        </w:rPr>
        <w:t xml:space="preserve">afetadas </w:t>
      </w:r>
      <w:r>
        <w:rPr>
          <w:spacing w:val="5"/>
        </w:rPr>
        <w:t xml:space="preserve">por </w:t>
      </w:r>
      <w:r>
        <w:rPr>
          <w:spacing w:val="7"/>
        </w:rPr>
        <w:t xml:space="preserve">extração </w:t>
      </w:r>
      <w:r>
        <w:rPr>
          <w:spacing w:val="5"/>
        </w:rPr>
        <w:t xml:space="preserve">de </w:t>
      </w:r>
      <w:r>
        <w:rPr>
          <w:spacing w:val="6"/>
        </w:rPr>
        <w:t xml:space="preserve">ouro </w:t>
      </w:r>
      <w:r>
        <w:rPr>
          <w:spacing w:val="5"/>
        </w:rPr>
        <w:t xml:space="preserve">em </w:t>
      </w:r>
      <w:r>
        <w:rPr>
          <w:spacing w:val="7"/>
        </w:rPr>
        <w:t xml:space="preserve">Peixoto </w:t>
      </w:r>
      <w:r>
        <w:rPr>
          <w:spacing w:val="5"/>
        </w:rPr>
        <w:t xml:space="preserve">de </w:t>
      </w:r>
      <w:r>
        <w:rPr>
          <w:spacing w:val="7"/>
        </w:rPr>
        <w:t>Azevedo</w:t>
      </w:r>
      <w:r>
        <w:rPr>
          <w:spacing w:val="65"/>
        </w:rPr>
        <w:t xml:space="preserve"> </w:t>
      </w:r>
      <w:r>
        <w:rPr>
          <w:spacing w:val="10"/>
        </w:rPr>
        <w:t>(MT)</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626" w:lineRule="auto"/>
        <w:ind w:left="135" w:right="20"/>
        <w:rPr>
          <w:i/>
          <w:sz w:val="14"/>
        </w:rPr>
      </w:pPr>
      <w:r>
        <w:rPr>
          <w:i/>
          <w:sz w:val="14"/>
        </w:rPr>
        <w:t>MT - Peixoto de Azevedo LATITUDE</w:t>
      </w:r>
    </w:p>
    <w:p w:rsidR="00D81F69" w:rsidRDefault="00330118">
      <w:pPr>
        <w:spacing w:line="161" w:lineRule="exact"/>
        <w:ind w:left="135"/>
        <w:rPr>
          <w:i/>
          <w:sz w:val="14"/>
        </w:rPr>
      </w:pPr>
      <w:r>
        <w:rPr>
          <w:i/>
          <w:sz w:val="14"/>
        </w:rPr>
        <w:t>LONGITUDE</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9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A extração de ouro em Peixoto de </w:t>
      </w:r>
      <w:r>
        <w:rPr>
          <w:i/>
          <w:sz w:val="16"/>
        </w:rPr>
        <w:t>Azevedo (MT) contava com garimpeiros ilegais e ocasionou vasta degradação ambiental. Em 2009, foram reivindicados ao Ministério de Minas e Energia (MME) a legalização da mineração, recursos para recuperar áreas degradadas e a revisão dos conflitos entre te</w:t>
      </w:r>
      <w:r>
        <w:rPr>
          <w:i/>
          <w:sz w:val="16"/>
        </w:rPr>
        <w:t>rras exploradas e de assentamentos concedidas pelo Incra. Em 2011, foi assinado um Termo de Ajustamento de Conduta (TAC) visando regularizar a exploração de minérios garimpáveis em assentamentos rurais.</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9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ind w:left="135"/>
        <w:jc w:val="left"/>
      </w:pPr>
      <w:r>
        <w:t>mensais (24 HORAS NEWS, 2009).</w:t>
      </w:r>
    </w:p>
    <w:p w:rsidR="00D81F69" w:rsidRDefault="00D81F69">
      <w:pPr>
        <w:pStyle w:val="Corpodetexto"/>
        <w:spacing w:before="8"/>
        <w:ind w:left="0"/>
        <w:jc w:val="left"/>
        <w:rPr>
          <w:sz w:val="16"/>
        </w:rPr>
      </w:pPr>
    </w:p>
    <w:p w:rsidR="00D81F69" w:rsidRDefault="00330118">
      <w:pPr>
        <w:pStyle w:val="Corpodetexto"/>
        <w:spacing w:before="1" w:line="312" w:lineRule="auto"/>
        <w:ind w:left="135" w:right="154"/>
        <w:jc w:val="left"/>
      </w:pPr>
      <w:r>
        <w:t>Em Peixoto de Azevedo, município com 14.257,260 km² e 30.812 habitantes (IBGE, 2010), a extração do ouro começou na década de 1980 (SOUZA et al., 2008). A paralisação dos garimpos, nos anos 1990 e início dos anos 2000, devido em especial à oscilação do pre</w:t>
      </w:r>
      <w:r>
        <w:t>ço do minério, provocou diminuição populacional no município e a retomada de atividades agropecuárias, menos intensivas no uso de mão de obra. A economia do município passou a se assentar na agropecuária (BARBIERI, 2001 apud SOUZA et al., 2008).</w:t>
      </w:r>
    </w:p>
    <w:p w:rsidR="00D81F69" w:rsidRDefault="00330118">
      <w:pPr>
        <w:pStyle w:val="Corpodetexto"/>
        <w:spacing w:before="138" w:line="312" w:lineRule="auto"/>
        <w:ind w:left="135" w:right="207"/>
      </w:pPr>
      <w:r>
        <w:t>Assim como</w:t>
      </w:r>
      <w:r>
        <w:t xml:space="preserve"> em outros garimpos do estado, a atividade minerária em Peixoto de Azevedo e entorno vem gerando vários impactos negativos (BARRETO, 2001 apud SOUZA et al.,  2008) ao  meio  ambiente, com  reflexos na  vida  da</w:t>
      </w:r>
    </w:p>
    <w:p w:rsidR="00D81F69" w:rsidRDefault="00D81F69">
      <w:pPr>
        <w:spacing w:line="312" w:lineRule="auto"/>
        <w:sectPr w:rsidR="00D81F69">
          <w:type w:val="continuous"/>
          <w:pgSz w:w="11900" w:h="16840"/>
          <w:pgMar w:top="720" w:right="500" w:bottom="280" w:left="620" w:header="720" w:footer="720" w:gutter="0"/>
          <w:cols w:num="3" w:space="720" w:equalWidth="0">
            <w:col w:w="1747" w:space="253"/>
            <w:col w:w="3114" w:space="321"/>
            <w:col w:w="5345"/>
          </w:cols>
        </w:sectPr>
      </w:pPr>
    </w:p>
    <w:p w:rsidR="00D81F69" w:rsidRDefault="00330118">
      <w:pPr>
        <w:pStyle w:val="Heading4"/>
        <w:spacing w:before="107"/>
        <w:jc w:val="left"/>
      </w:pPr>
      <w:r>
        <w:lastRenderedPageBreak/>
        <w:t xml:space="preserve">APRESENTAÇÃO </w:t>
      </w:r>
      <w:r>
        <w:t>DE CASO</w:t>
      </w:r>
    </w:p>
    <w:p w:rsidR="00D81F69" w:rsidRDefault="00330118">
      <w:pPr>
        <w:pStyle w:val="Corpodetexto"/>
        <w:spacing w:before="171" w:line="312" w:lineRule="auto"/>
        <w:ind w:right="79"/>
      </w:pPr>
      <w:r>
        <w:t>Cerca de 75% do ouro produzido no Brasil é exportado, de acordo com o Instituto Brasileiro de Mineração (Ibram). Os principais compradores do minério são Reino Unido (45%), Suíça (32%), Emirados Árabes (12%) e Estados Unidos (9%)</w:t>
      </w:r>
    </w:p>
    <w:p w:rsidR="00D81F69" w:rsidRDefault="00330118">
      <w:pPr>
        <w:pStyle w:val="Corpodetexto"/>
        <w:spacing w:before="3"/>
        <w:jc w:val="left"/>
      </w:pPr>
      <w:r>
        <w:t>(A GAZETA, 2011).</w:t>
      </w:r>
    </w:p>
    <w:p w:rsidR="00D81F69" w:rsidRDefault="00D81F69">
      <w:pPr>
        <w:pStyle w:val="Corpodetexto"/>
        <w:spacing w:before="9"/>
        <w:ind w:left="0"/>
        <w:jc w:val="left"/>
        <w:rPr>
          <w:sz w:val="16"/>
        </w:rPr>
      </w:pPr>
    </w:p>
    <w:p w:rsidR="00D81F69" w:rsidRDefault="00330118">
      <w:pPr>
        <w:pStyle w:val="Corpodetexto"/>
        <w:spacing w:line="312" w:lineRule="auto"/>
        <w:ind w:right="78"/>
      </w:pPr>
      <w:r>
        <w:rPr>
          <w:spacing w:val="5"/>
        </w:rPr>
        <w:t xml:space="preserve">Segundo </w:t>
      </w:r>
      <w:r>
        <w:t xml:space="preserve">o </w:t>
      </w:r>
      <w:r>
        <w:rPr>
          <w:spacing w:val="5"/>
        </w:rPr>
        <w:t xml:space="preserve">Departamento Nacional </w:t>
      </w:r>
      <w:r>
        <w:rPr>
          <w:spacing w:val="2"/>
        </w:rPr>
        <w:t xml:space="preserve">de </w:t>
      </w:r>
      <w:r>
        <w:rPr>
          <w:spacing w:val="5"/>
        </w:rPr>
        <w:t>Produção Mineral</w:t>
      </w:r>
      <w:r>
        <w:rPr>
          <w:spacing w:val="61"/>
        </w:rPr>
        <w:t xml:space="preserve"> </w:t>
      </w:r>
      <w:r>
        <w:t xml:space="preserve">(DNPM), o estado de Mato Grosso é o terceiro maior produtor nacional de ouro, superado apenas por Minas Gerais e Pará. Em 2011, a produção aurífera, no estado, alcançou 7,872 kg, 23,54% a mais do que no </w:t>
      </w:r>
      <w:r>
        <w:t xml:space="preserve">ano anterior. Em 2015, a produção </w:t>
      </w:r>
      <w:r>
        <w:rPr>
          <w:spacing w:val="3"/>
        </w:rPr>
        <w:t xml:space="preserve">estadual </w:t>
      </w:r>
      <w:r>
        <w:rPr>
          <w:spacing w:val="1"/>
        </w:rPr>
        <w:t xml:space="preserve">do </w:t>
      </w:r>
      <w:r>
        <w:rPr>
          <w:spacing w:val="3"/>
        </w:rPr>
        <w:t xml:space="preserve">minério </w:t>
      </w:r>
      <w:r>
        <w:rPr>
          <w:spacing w:val="2"/>
        </w:rPr>
        <w:t xml:space="preserve">deve </w:t>
      </w:r>
      <w:r>
        <w:rPr>
          <w:spacing w:val="3"/>
        </w:rPr>
        <w:t xml:space="preserve">chegar </w:t>
      </w:r>
      <w:r>
        <w:t xml:space="preserve">a </w:t>
      </w:r>
      <w:r>
        <w:rPr>
          <w:spacing w:val="1"/>
        </w:rPr>
        <w:t xml:space="preserve">15 </w:t>
      </w:r>
      <w:r>
        <w:rPr>
          <w:spacing w:val="2"/>
        </w:rPr>
        <w:t xml:space="preserve">mil </w:t>
      </w:r>
      <w:r>
        <w:rPr>
          <w:spacing w:val="1"/>
        </w:rPr>
        <w:t xml:space="preserve">kg (A </w:t>
      </w:r>
      <w:r>
        <w:rPr>
          <w:spacing w:val="5"/>
        </w:rPr>
        <w:t>GAZETA, 2011).</w:t>
      </w:r>
    </w:p>
    <w:p w:rsidR="00D81F69" w:rsidRDefault="00330118">
      <w:pPr>
        <w:pStyle w:val="Corpodetexto"/>
        <w:spacing w:before="137" w:line="312" w:lineRule="auto"/>
        <w:ind w:right="79"/>
      </w:pPr>
      <w:r>
        <w:t xml:space="preserve">O aumento da exploração de jazidas mato-grossenses está </w:t>
      </w:r>
      <w:r>
        <w:rPr>
          <w:spacing w:val="5"/>
        </w:rPr>
        <w:t xml:space="preserve">diretamente relacionado </w:t>
      </w:r>
      <w:r>
        <w:t xml:space="preserve">à </w:t>
      </w:r>
      <w:r>
        <w:rPr>
          <w:spacing w:val="5"/>
        </w:rPr>
        <w:t xml:space="preserve">valorização </w:t>
      </w:r>
      <w:r>
        <w:rPr>
          <w:spacing w:val="2"/>
        </w:rPr>
        <w:t xml:space="preserve">do </w:t>
      </w:r>
      <w:r>
        <w:rPr>
          <w:spacing w:val="3"/>
        </w:rPr>
        <w:t xml:space="preserve">ouro </w:t>
      </w:r>
      <w:r>
        <w:rPr>
          <w:spacing w:val="2"/>
        </w:rPr>
        <w:t xml:space="preserve">na </w:t>
      </w:r>
      <w:r>
        <w:rPr>
          <w:spacing w:val="5"/>
        </w:rPr>
        <w:t xml:space="preserve">última </w:t>
      </w:r>
      <w:r>
        <w:rPr>
          <w:spacing w:val="1"/>
        </w:rPr>
        <w:t xml:space="preserve">década. </w:t>
      </w:r>
      <w:r>
        <w:t xml:space="preserve">O </w:t>
      </w:r>
      <w:r>
        <w:rPr>
          <w:spacing w:val="1"/>
        </w:rPr>
        <w:t xml:space="preserve">preço </w:t>
      </w:r>
      <w:r>
        <w:t xml:space="preserve">do </w:t>
      </w:r>
      <w:r>
        <w:rPr>
          <w:spacing w:val="1"/>
        </w:rPr>
        <w:t xml:space="preserve">metal subiu 585%, entre 2001 </w:t>
      </w:r>
      <w:r>
        <w:t xml:space="preserve">e </w:t>
      </w:r>
      <w:r>
        <w:rPr>
          <w:spacing w:val="2"/>
        </w:rPr>
        <w:t xml:space="preserve">2001. </w:t>
      </w:r>
      <w:r>
        <w:t xml:space="preserve">Em vista do cenário, uma nova "corrida pelo ouro" vem sendo empreendida no estado. Várias empresas, como Apoena S.A e </w:t>
      </w:r>
      <w:r>
        <w:rPr>
          <w:spacing w:val="3"/>
        </w:rPr>
        <w:t xml:space="preserve">Serra </w:t>
      </w:r>
      <w:r>
        <w:rPr>
          <w:spacing w:val="1"/>
        </w:rPr>
        <w:t xml:space="preserve">da </w:t>
      </w:r>
      <w:r>
        <w:rPr>
          <w:spacing w:val="3"/>
        </w:rPr>
        <w:t xml:space="preserve">Borda Mineração </w:t>
      </w:r>
      <w:r>
        <w:rPr>
          <w:spacing w:val="2"/>
        </w:rPr>
        <w:t xml:space="preserve">S.A, </w:t>
      </w:r>
      <w:r>
        <w:rPr>
          <w:spacing w:val="3"/>
        </w:rPr>
        <w:t xml:space="preserve">realizam pesquisas </w:t>
      </w:r>
      <w:r>
        <w:rPr>
          <w:spacing w:val="5"/>
        </w:rPr>
        <w:t xml:space="preserve">em </w:t>
      </w:r>
      <w:r>
        <w:t>Mato Grosso para começar o processo de lavra do minério (A GAZETA,</w:t>
      </w:r>
      <w:r>
        <w:rPr>
          <w:spacing w:val="1"/>
        </w:rPr>
        <w:t xml:space="preserve"> </w:t>
      </w:r>
      <w:r>
        <w:t>2011).</w:t>
      </w:r>
    </w:p>
    <w:p w:rsidR="00D81F69" w:rsidRDefault="00330118">
      <w:pPr>
        <w:pStyle w:val="Corpodetexto"/>
        <w:spacing w:before="137" w:line="312" w:lineRule="auto"/>
        <w:ind w:right="76"/>
      </w:pPr>
      <w:r>
        <w:t>As p</w:t>
      </w:r>
      <w:r>
        <w:t>rincipais províncias auríferas em Mato Grosso estão localizadas na Baixada Cuiabana (Poconé), Pontes Lacerda, Nova Xavantina e, no norte do estado: Alta Floresta, Aripuanã e Peixoto de Azevedo. As jazidas auríferas podem ser exploradas por mineradoras e pe</w:t>
      </w:r>
      <w:r>
        <w:t>rmissionários de lavras, sejam pessoas físicas ou  cooperativas (A  GAZETA,  2011).</w:t>
      </w:r>
    </w:p>
    <w:p w:rsidR="00D81F69" w:rsidRDefault="00330118">
      <w:pPr>
        <w:pStyle w:val="Corpodetexto"/>
        <w:spacing w:before="73" w:line="270" w:lineRule="atLeast"/>
        <w:jc w:val="left"/>
      </w:pPr>
      <w:r>
        <w:t>Com 3.275,294 km², a Reserva Garimpeira de Peixoto de Azevedo engloba os municípios de Peixoto de Azevedo, Novo Mundo, Nova Guarita, Matupá, Marcelândia, Terra Nova do Nort</w:t>
      </w:r>
      <w:r>
        <w:t>e e Nova Santa Helena (BRASIL MINERAL, 2011) e é considerada a segunda maior do Brasil, produzindo cerca de 200 kg de ouro por mês e uma receita de R$ 3 milhões</w:t>
      </w:r>
    </w:p>
    <w:p w:rsidR="00D81F69" w:rsidRDefault="00330118">
      <w:pPr>
        <w:pStyle w:val="Corpodetexto"/>
        <w:spacing w:before="4"/>
      </w:pPr>
      <w:r>
        <w:br w:type="column"/>
      </w:r>
      <w:r>
        <w:lastRenderedPageBreak/>
        <w:t>população (SOUZA et al., 2008).</w:t>
      </w:r>
    </w:p>
    <w:p w:rsidR="00D81F69" w:rsidRDefault="00D81F69">
      <w:pPr>
        <w:pStyle w:val="Corpodetexto"/>
        <w:spacing w:before="8"/>
        <w:ind w:left="0"/>
        <w:jc w:val="left"/>
        <w:rPr>
          <w:sz w:val="16"/>
        </w:rPr>
      </w:pPr>
    </w:p>
    <w:p w:rsidR="00D81F69" w:rsidRDefault="00330118">
      <w:pPr>
        <w:pStyle w:val="Corpodetexto"/>
        <w:spacing w:before="1" w:line="312" w:lineRule="auto"/>
        <w:ind w:right="207"/>
      </w:pPr>
      <w:r>
        <w:t>O rio Peixoto de Azevedo que atravessa o município não permanece mais em seu leito natural, e suas margens passaram a ocupar áreas exploradas pelo garimpo. A retirada da mata ciliar, para extração do ouro, deixou o solo sujeito à erosão, propiciando o apar</w:t>
      </w:r>
      <w:r>
        <w:t>ecimento de voçorocas [grande buracos de erosão] (SOUZA et al., 2008).</w:t>
      </w:r>
    </w:p>
    <w:p w:rsidR="00D81F69" w:rsidRDefault="00330118">
      <w:pPr>
        <w:pStyle w:val="Corpodetexto"/>
        <w:spacing w:before="135" w:line="312" w:lineRule="auto"/>
        <w:ind w:right="185"/>
      </w:pPr>
      <w:r>
        <w:rPr>
          <w:spacing w:val="6"/>
        </w:rPr>
        <w:t xml:space="preserve">Tal </w:t>
      </w:r>
      <w:r>
        <w:rPr>
          <w:spacing w:val="8"/>
        </w:rPr>
        <w:t xml:space="preserve">processo erosivo </w:t>
      </w:r>
      <w:r>
        <w:t xml:space="preserve">é </w:t>
      </w:r>
      <w:r>
        <w:rPr>
          <w:spacing w:val="10"/>
        </w:rPr>
        <w:t xml:space="preserve">prejudicial </w:t>
      </w:r>
      <w:r>
        <w:rPr>
          <w:spacing w:val="6"/>
        </w:rPr>
        <w:t xml:space="preserve">aos </w:t>
      </w:r>
      <w:r>
        <w:rPr>
          <w:spacing w:val="10"/>
        </w:rPr>
        <w:t xml:space="preserve">ecossistemas, </w:t>
      </w:r>
      <w:r>
        <w:rPr>
          <w:spacing w:val="3"/>
        </w:rPr>
        <w:t xml:space="preserve">causando danos como: sedimentação </w:t>
      </w:r>
      <w:r>
        <w:rPr>
          <w:spacing w:val="2"/>
        </w:rPr>
        <w:t xml:space="preserve">dos </w:t>
      </w:r>
      <w:r>
        <w:rPr>
          <w:spacing w:val="3"/>
        </w:rPr>
        <w:t xml:space="preserve">cursos </w:t>
      </w:r>
      <w:r>
        <w:rPr>
          <w:spacing w:val="5"/>
        </w:rPr>
        <w:t xml:space="preserve">d’água, </w:t>
      </w:r>
      <w:r>
        <w:t>poluição e degradação da qualidade da água da microbacia (devido ao assoreament</w:t>
      </w:r>
      <w:r>
        <w:t xml:space="preserve">o de rios, aumento das temperaturas  e </w:t>
      </w:r>
      <w:r>
        <w:rPr>
          <w:spacing w:val="8"/>
        </w:rPr>
        <w:t xml:space="preserve">diminuição </w:t>
      </w:r>
      <w:r>
        <w:rPr>
          <w:spacing w:val="5"/>
        </w:rPr>
        <w:t xml:space="preserve">dos </w:t>
      </w:r>
      <w:r>
        <w:rPr>
          <w:spacing w:val="7"/>
        </w:rPr>
        <w:t xml:space="preserve">níveis </w:t>
      </w:r>
      <w:r>
        <w:rPr>
          <w:spacing w:val="5"/>
        </w:rPr>
        <w:t xml:space="preserve">de </w:t>
      </w:r>
      <w:r>
        <w:rPr>
          <w:spacing w:val="8"/>
        </w:rPr>
        <w:t xml:space="preserve">oxigênio), </w:t>
      </w:r>
      <w:r>
        <w:t xml:space="preserve">e </w:t>
      </w:r>
      <w:r>
        <w:rPr>
          <w:spacing w:val="7"/>
        </w:rPr>
        <w:t xml:space="preserve">mudanças </w:t>
      </w:r>
      <w:r>
        <w:rPr>
          <w:spacing w:val="10"/>
        </w:rPr>
        <w:t xml:space="preserve">no </w:t>
      </w:r>
      <w:r>
        <w:rPr>
          <w:spacing w:val="3"/>
        </w:rPr>
        <w:t xml:space="preserve">ecossistema aquático. </w:t>
      </w:r>
      <w:r>
        <w:rPr>
          <w:spacing w:val="2"/>
        </w:rPr>
        <w:t xml:space="preserve">Sem </w:t>
      </w:r>
      <w:r>
        <w:rPr>
          <w:spacing w:val="3"/>
        </w:rPr>
        <w:t xml:space="preserve">contar </w:t>
      </w:r>
      <w:r>
        <w:t xml:space="preserve">a </w:t>
      </w:r>
      <w:r>
        <w:rPr>
          <w:spacing w:val="3"/>
        </w:rPr>
        <w:t xml:space="preserve">perda </w:t>
      </w:r>
      <w:r>
        <w:rPr>
          <w:spacing w:val="1"/>
        </w:rPr>
        <w:t xml:space="preserve">de </w:t>
      </w:r>
      <w:r>
        <w:rPr>
          <w:spacing w:val="5"/>
        </w:rPr>
        <w:t xml:space="preserve">nutrientes, </w:t>
      </w:r>
      <w:r>
        <w:t xml:space="preserve">degradação visual, diminuição da vida útil de reservatórios e </w:t>
      </w:r>
      <w:r>
        <w:rPr>
          <w:spacing w:val="3"/>
        </w:rPr>
        <w:t xml:space="preserve">perda </w:t>
      </w:r>
      <w:r>
        <w:rPr>
          <w:spacing w:val="2"/>
        </w:rPr>
        <w:t xml:space="preserve">da </w:t>
      </w:r>
      <w:r>
        <w:rPr>
          <w:spacing w:val="5"/>
        </w:rPr>
        <w:t xml:space="preserve">capacidade </w:t>
      </w:r>
      <w:r>
        <w:rPr>
          <w:spacing w:val="2"/>
        </w:rPr>
        <w:t xml:space="preserve">de </w:t>
      </w:r>
      <w:r>
        <w:rPr>
          <w:spacing w:val="5"/>
        </w:rPr>
        <w:t xml:space="preserve">produção </w:t>
      </w:r>
      <w:r>
        <w:rPr>
          <w:spacing w:val="3"/>
        </w:rPr>
        <w:t xml:space="preserve">dos </w:t>
      </w:r>
      <w:r>
        <w:rPr>
          <w:spacing w:val="5"/>
        </w:rPr>
        <w:t>recursos hídr</w:t>
      </w:r>
      <w:r>
        <w:rPr>
          <w:spacing w:val="5"/>
        </w:rPr>
        <w:t>icos</w:t>
      </w:r>
      <w:r>
        <w:rPr>
          <w:spacing w:val="61"/>
        </w:rPr>
        <w:t xml:space="preserve"> </w:t>
      </w:r>
      <w:r>
        <w:rPr>
          <w:spacing w:val="5"/>
        </w:rPr>
        <w:t xml:space="preserve">(GRACE </w:t>
      </w:r>
      <w:r>
        <w:rPr>
          <w:spacing w:val="3"/>
        </w:rPr>
        <w:t xml:space="preserve">III </w:t>
      </w:r>
      <w:r>
        <w:rPr>
          <w:spacing w:val="2"/>
        </w:rPr>
        <w:t xml:space="preserve">et </w:t>
      </w:r>
      <w:r>
        <w:rPr>
          <w:spacing w:val="3"/>
        </w:rPr>
        <w:t xml:space="preserve">al., 1996 apud SOUZA </w:t>
      </w:r>
      <w:r>
        <w:rPr>
          <w:spacing w:val="2"/>
        </w:rPr>
        <w:t xml:space="preserve">et </w:t>
      </w:r>
      <w:r>
        <w:rPr>
          <w:spacing w:val="3"/>
        </w:rPr>
        <w:t xml:space="preserve">al., </w:t>
      </w:r>
      <w:r>
        <w:rPr>
          <w:spacing w:val="5"/>
        </w:rPr>
        <w:t xml:space="preserve">2008). Em </w:t>
      </w:r>
      <w:r>
        <w:t xml:space="preserve">Peixoto de Azevedo, o assoreamento de cursos d´água e das </w:t>
      </w:r>
      <w:r>
        <w:rPr>
          <w:spacing w:val="8"/>
        </w:rPr>
        <w:t xml:space="preserve">drenagens </w:t>
      </w:r>
      <w:r>
        <w:rPr>
          <w:spacing w:val="7"/>
        </w:rPr>
        <w:t xml:space="preserve">pode </w:t>
      </w:r>
      <w:r>
        <w:rPr>
          <w:spacing w:val="8"/>
        </w:rPr>
        <w:t xml:space="preserve">acabar </w:t>
      </w:r>
      <w:r>
        <w:rPr>
          <w:spacing w:val="10"/>
        </w:rPr>
        <w:t xml:space="preserve">comprometendo, </w:t>
      </w:r>
      <w:r>
        <w:rPr>
          <w:spacing w:val="8"/>
        </w:rPr>
        <w:t xml:space="preserve">inclusive, </w:t>
      </w:r>
      <w:r>
        <w:t>o abastecimento</w:t>
      </w:r>
      <w:r>
        <w:rPr>
          <w:spacing w:val="28"/>
        </w:rPr>
        <w:t xml:space="preserve"> </w:t>
      </w:r>
      <w:r>
        <w:t>de</w:t>
      </w:r>
      <w:r>
        <w:rPr>
          <w:spacing w:val="28"/>
        </w:rPr>
        <w:t xml:space="preserve"> </w:t>
      </w:r>
      <w:r>
        <w:t>água</w:t>
      </w:r>
      <w:r>
        <w:rPr>
          <w:spacing w:val="28"/>
        </w:rPr>
        <w:t xml:space="preserve"> </w:t>
      </w:r>
      <w:r>
        <w:t>do</w:t>
      </w:r>
      <w:r>
        <w:rPr>
          <w:spacing w:val="28"/>
        </w:rPr>
        <w:t xml:space="preserve"> </w:t>
      </w:r>
      <w:r>
        <w:t>município</w:t>
      </w:r>
      <w:r>
        <w:rPr>
          <w:spacing w:val="28"/>
        </w:rPr>
        <w:t xml:space="preserve"> </w:t>
      </w:r>
      <w:r>
        <w:t>(SOUZA</w:t>
      </w:r>
      <w:r>
        <w:rPr>
          <w:spacing w:val="28"/>
        </w:rPr>
        <w:t xml:space="preserve"> </w:t>
      </w:r>
      <w:r>
        <w:t>et</w:t>
      </w:r>
      <w:r>
        <w:rPr>
          <w:spacing w:val="28"/>
        </w:rPr>
        <w:t xml:space="preserve"> </w:t>
      </w:r>
      <w:r>
        <w:t>al.,</w:t>
      </w:r>
      <w:r>
        <w:rPr>
          <w:spacing w:val="28"/>
        </w:rPr>
        <w:t xml:space="preserve"> </w:t>
      </w:r>
      <w:r>
        <w:rPr>
          <w:spacing w:val="1"/>
        </w:rPr>
        <w:t>2008).</w:t>
      </w:r>
    </w:p>
    <w:p w:rsidR="00D81F69" w:rsidRDefault="00330118">
      <w:pPr>
        <w:pStyle w:val="Corpodetexto"/>
        <w:spacing w:before="141" w:line="312" w:lineRule="auto"/>
        <w:ind w:right="179"/>
      </w:pPr>
      <w:r>
        <w:t>Segundo levantamento de pesquisad</w:t>
      </w:r>
      <w:r>
        <w:t xml:space="preserve">ores, nos últimos 20 anos, a região de garimpo de Peixoto de Azevedo também apresentou elevada concentração de </w:t>
      </w:r>
      <w:hyperlink r:id="rId982">
        <w:r>
          <w:t>mercúrio</w:t>
        </w:r>
      </w:hyperlink>
      <w:r>
        <w:t xml:space="preserve"> em rios, córregos, lagos e no solo, recebendo</w:t>
      </w:r>
      <w:r>
        <w:t xml:space="preserve"> de 150 a 200 toneladas da substância (LACERDA et al. 1999 apud SOUZA et al., 2008). O mercúrio é usado na amalgamação de partículas de ouro, etapa final do processo de beneficiamento do minério (FARID, 1992 apud SOUZA et al., 2008), e, como é volátil, com</w:t>
      </w:r>
      <w:r>
        <w:t xml:space="preserve"> sua queima, contamina a atmosfera, causando danos à saúde humana, dentre outros problemas (VEIGA; FERNANDES, 1991 apud SOUZA et al., 2008). </w:t>
      </w:r>
    </w:p>
    <w:p w:rsidR="00D81F69" w:rsidRDefault="00330118">
      <w:pPr>
        <w:pStyle w:val="Corpodetexto"/>
        <w:spacing w:before="77" w:line="270" w:lineRule="atLeast"/>
        <w:ind w:right="214"/>
      </w:pPr>
      <w:r>
        <w:t>A ilegalidade é outra característica presente nos garimpos de Peixoto de Azevedo. Embora a Cooperativa de Garimpei</w:t>
      </w:r>
      <w:r>
        <w:t>ros do Vale do Rio Peixoto (Coogavepe) possua 308 garimpeiros cooperados,</w:t>
      </w:r>
      <w:r>
        <w:rPr>
          <w:spacing w:val="8"/>
        </w:rPr>
        <w:t xml:space="preserve"> </w:t>
      </w:r>
      <w:r>
        <w:t>o</w:t>
      </w:r>
      <w:r>
        <w:rPr>
          <w:spacing w:val="8"/>
        </w:rPr>
        <w:t xml:space="preserve"> </w:t>
      </w:r>
      <w:r>
        <w:t>município</w:t>
      </w:r>
      <w:r>
        <w:rPr>
          <w:spacing w:val="8"/>
        </w:rPr>
        <w:t xml:space="preserve"> </w:t>
      </w:r>
      <w:r>
        <w:t>tem</w:t>
      </w:r>
      <w:r>
        <w:rPr>
          <w:spacing w:val="8"/>
        </w:rPr>
        <w:t xml:space="preserve"> </w:t>
      </w:r>
      <w:r>
        <w:t>mais</w:t>
      </w:r>
      <w:r>
        <w:rPr>
          <w:spacing w:val="8"/>
        </w:rPr>
        <w:t xml:space="preserve"> </w:t>
      </w:r>
      <w:r>
        <w:t>de</w:t>
      </w:r>
      <w:r>
        <w:rPr>
          <w:spacing w:val="8"/>
        </w:rPr>
        <w:t xml:space="preserve"> </w:t>
      </w:r>
      <w:r>
        <w:t>2.500</w:t>
      </w:r>
      <w:r>
        <w:rPr>
          <w:spacing w:val="8"/>
        </w:rPr>
        <w:t xml:space="preserve"> </w:t>
      </w:r>
      <w:r>
        <w:t>trabalhadores</w:t>
      </w:r>
      <w:r>
        <w:rPr>
          <w:spacing w:val="8"/>
        </w:rPr>
        <w:t xml:space="preserve"> </w:t>
      </w:r>
      <w:r>
        <w:t>na</w:t>
      </w:r>
    </w:p>
    <w:p w:rsidR="00D81F69" w:rsidRDefault="00D81F69">
      <w:pPr>
        <w:spacing w:line="270" w:lineRule="atLeast"/>
        <w:sectPr w:rsidR="00D81F69">
          <w:type w:val="continuous"/>
          <w:pgSz w:w="11900" w:h="16840"/>
          <w:pgMar w:top="720" w:right="500" w:bottom="280" w:left="620" w:header="720" w:footer="720" w:gutter="0"/>
          <w:cols w:num="2" w:space="720" w:equalWidth="0">
            <w:col w:w="5197" w:space="273"/>
            <w:col w:w="5310"/>
          </w:cols>
        </w:sectPr>
      </w:pPr>
    </w:p>
    <w:p w:rsidR="00D81F69" w:rsidRDefault="00330118">
      <w:pPr>
        <w:pStyle w:val="Corpodetexto"/>
        <w:spacing w:before="81" w:line="312" w:lineRule="auto"/>
        <w:ind w:right="49"/>
      </w:pPr>
      <w:r>
        <w:lastRenderedPageBreak/>
        <w:t>área de mineração. Em 2009, representantes da cooperativa denunciaram ao Ministério de Minas e Energia (MME) a prática ilegal de exploração de ouro por empresas mineradoras estrangeiras e reivindicaram a legalização do garimpo (24 HORAS NEWS, 2009).</w:t>
      </w:r>
    </w:p>
    <w:p w:rsidR="00D81F69" w:rsidRDefault="00330118">
      <w:pPr>
        <w:pStyle w:val="Corpodetexto"/>
        <w:spacing w:before="71" w:line="270" w:lineRule="atLeast"/>
        <w:ind w:right="50"/>
      </w:pPr>
      <w:r>
        <w:rPr>
          <w:spacing w:val="6"/>
        </w:rPr>
        <w:t xml:space="preserve">No </w:t>
      </w:r>
      <w:r>
        <w:rPr>
          <w:spacing w:val="12"/>
        </w:rPr>
        <w:t>doc</w:t>
      </w:r>
      <w:r>
        <w:rPr>
          <w:spacing w:val="12"/>
        </w:rPr>
        <w:t xml:space="preserve">umento, </w:t>
      </w:r>
      <w:r>
        <w:t xml:space="preserve">a </w:t>
      </w:r>
      <w:r>
        <w:rPr>
          <w:spacing w:val="12"/>
        </w:rPr>
        <w:t xml:space="preserve">Coogavepe </w:t>
      </w:r>
      <w:r>
        <w:rPr>
          <w:spacing w:val="11"/>
        </w:rPr>
        <w:t xml:space="preserve">relatou </w:t>
      </w:r>
      <w:r>
        <w:rPr>
          <w:spacing w:val="6"/>
        </w:rPr>
        <w:t xml:space="preserve">os </w:t>
      </w:r>
      <w:r>
        <w:rPr>
          <w:spacing w:val="15"/>
        </w:rPr>
        <w:t xml:space="preserve">problemas </w:t>
      </w:r>
      <w:r>
        <w:t>vivenciados pelos trabalhadores e pela cidade, em especial  no que diz respeito à exploração indiscriminada dos recursos naturais por empresas estrangeiras. A cooperativa solicitou ao MME que o DNPM revisse as conce</w:t>
      </w:r>
      <w:r>
        <w:t>ssões e a autorização de pesquisas no município (24 HORAS NEWS,</w:t>
      </w:r>
      <w:r>
        <w:rPr>
          <w:spacing w:val="38"/>
        </w:rPr>
        <w:t xml:space="preserve"> </w:t>
      </w:r>
      <w:r>
        <w:t>2009).</w:t>
      </w:r>
    </w:p>
    <w:p w:rsidR="00D81F69" w:rsidRDefault="00330118">
      <w:pPr>
        <w:pStyle w:val="Corpodetexto"/>
        <w:spacing w:line="312" w:lineRule="auto"/>
        <w:ind w:right="43"/>
      </w:pPr>
      <w:r>
        <w:t>Além disso, reivindicou recursos para recuperar as áreas já degradadas na cidade e a revisão dos conflitos entre as terras exploradas e as terras de assentamentos concedidos pelo Instit</w:t>
      </w:r>
      <w:r>
        <w:t>uto Nacional de Colonização e Reforma Agrária (Incra), bem como a possibilidade de instituir a aposentadoria para os garimpeiros (24 HORAS NEWS, 2009).</w:t>
      </w:r>
    </w:p>
    <w:p w:rsidR="00D81F69" w:rsidRDefault="00330118">
      <w:pPr>
        <w:pStyle w:val="Corpodetexto"/>
        <w:spacing w:before="129" w:line="312" w:lineRule="auto"/>
        <w:ind w:right="52"/>
      </w:pPr>
      <w:r>
        <w:t xml:space="preserve">Em 2011, o governo de Mato Grosso assinou um Termo de Ajustamento de Conduta (TAC), visando regularizar </w:t>
      </w:r>
      <w:r>
        <w:t>a exploração de minérios garimpáveis em assentamentos rurais do estado. Com o TAC, 262 áreas de garimpo foram legalizadas, sendo 62 em Peixoto de Azevedo. O TAC envolveu o DNPM, o Incra, a Secretaria de Estado de Meio Ambiente (Sema), a Companhia Mato-Gros</w:t>
      </w:r>
      <w:r>
        <w:t>sense de Mineração (Metamat), a Coogavepe e o Sindicato das Indústrias Extrativistas de Minérios do Estado de Mato Grosso (TV CONQUISTA, 2011).</w:t>
      </w:r>
    </w:p>
    <w:p w:rsidR="00D81F69" w:rsidRDefault="00330118">
      <w:pPr>
        <w:pStyle w:val="Corpodetexto"/>
        <w:spacing w:before="139" w:line="312" w:lineRule="auto"/>
        <w:ind w:right="43"/>
      </w:pPr>
      <w:r>
        <w:t>Na ocasião, também foi assinado um Termo de Cooperação, no valor de R$ 100 mil, para desenvolver tecnologia e ca</w:t>
      </w:r>
      <w:r>
        <w:t>pacitação técnica para exploração de minérios, e foi anunciada a liberação de recursos para a recuperação de áreas degradadas. A Peixoto de Azevedo foi destinado o valor de R$ 500 mil (TV CONQUISTA, 2011).</w:t>
      </w:r>
    </w:p>
    <w:p w:rsidR="00D81F69" w:rsidRDefault="00330118">
      <w:pPr>
        <w:pStyle w:val="Corpodetexto"/>
        <w:spacing w:before="136" w:line="312" w:lineRule="auto"/>
        <w:ind w:right="53"/>
      </w:pPr>
      <w:r>
        <w:t xml:space="preserve">A parceria para recuperação das áreas degradas no </w:t>
      </w:r>
      <w:r>
        <w:t>município envolve o governo de Mato Grosso, a Secretaria de Indústria, Comércio, Minas e Energia, a Metamat, a prefeitura de Peixoto de Azevedo, a Sema-MT e a Coogavepe (METAMAT, 2012).</w:t>
      </w:r>
    </w:p>
    <w:p w:rsidR="00D81F69" w:rsidRDefault="00330118">
      <w:pPr>
        <w:pStyle w:val="Corpodetexto"/>
        <w:spacing w:before="134" w:line="312" w:lineRule="auto"/>
        <w:ind w:right="54"/>
      </w:pPr>
      <w:r>
        <w:t>Segundo a Metamat, as ações desenvolvidas, além de promover a educação ambiental entre os garimpeiros, por meio de mudanças de hábitos e procedimentos, visa despertar a população em geral quanto às consequências do uso inadequado dos recursos naturais (MET</w:t>
      </w:r>
      <w:r>
        <w:t>AMAT, 2012).</w:t>
      </w:r>
    </w:p>
    <w:p w:rsidR="00D81F69" w:rsidRDefault="00330118">
      <w:pPr>
        <w:pStyle w:val="Corpodetexto"/>
        <w:spacing w:before="135" w:line="312" w:lineRule="auto"/>
        <w:ind w:right="46"/>
      </w:pPr>
      <w:r>
        <w:t>O projeto também realiza pesquisas de modelos experimentais de recuperação de áreas degradadas, visando fomentar atividades de piscicultura, dispersão de mudas e sementes florestais, dentre outras (METAMAT, 2012).</w:t>
      </w:r>
    </w:p>
    <w:p w:rsidR="00D81F69" w:rsidRDefault="00330118">
      <w:pPr>
        <w:pStyle w:val="Corpodetexto"/>
        <w:spacing w:before="134" w:line="312" w:lineRule="auto"/>
        <w:ind w:right="38"/>
      </w:pPr>
      <w:r>
        <w:t>As áreas da reserva garimpeir</w:t>
      </w:r>
      <w:r>
        <w:t>a de Peixoto de Azevedo vêm sendo monitoradas em parceria entre Secretaria de Meio Ambiente do município e Metamat. Nove áreas já estão recuperadas, e há outras em processo de recuperação. Primeiramente, as áreas são recompostas topograficamente por maquin</w:t>
      </w:r>
      <w:r>
        <w:t>ários dos próprios garimpeiros que extraíram o</w:t>
      </w:r>
    </w:p>
    <w:p w:rsidR="00D81F69" w:rsidRDefault="00330118">
      <w:pPr>
        <w:pStyle w:val="Corpodetexto"/>
        <w:spacing w:before="81"/>
      </w:pPr>
      <w:r>
        <w:br w:type="column"/>
      </w:r>
      <w:r>
        <w:lastRenderedPageBreak/>
        <w:t>ouro do local (METAMAT, 2012).</w:t>
      </w:r>
    </w:p>
    <w:p w:rsidR="00D81F69" w:rsidRDefault="00D81F69">
      <w:pPr>
        <w:pStyle w:val="Corpodetexto"/>
        <w:spacing w:before="9"/>
        <w:ind w:left="0"/>
        <w:jc w:val="left"/>
        <w:rPr>
          <w:sz w:val="16"/>
        </w:rPr>
      </w:pPr>
    </w:p>
    <w:p w:rsidR="00D81F69" w:rsidRDefault="00330118">
      <w:pPr>
        <w:pStyle w:val="Corpodetexto"/>
        <w:spacing w:line="312" w:lineRule="auto"/>
        <w:ind w:right="204"/>
      </w:pPr>
      <w:r>
        <w:t xml:space="preserve">“A camada estéril de solo resultante de rejeitos do processo de mineração é colocada em cavas existentes na área e nas </w:t>
      </w:r>
      <w:r>
        <w:rPr>
          <w:spacing w:val="10"/>
        </w:rPr>
        <w:t xml:space="preserve">camadas inferiores </w:t>
      </w:r>
      <w:r>
        <w:rPr>
          <w:spacing w:val="5"/>
        </w:rPr>
        <w:t xml:space="preserve">do </w:t>
      </w:r>
      <w:r>
        <w:rPr>
          <w:spacing w:val="8"/>
        </w:rPr>
        <w:t xml:space="preserve">solo, </w:t>
      </w:r>
      <w:r>
        <w:t xml:space="preserve">e a </w:t>
      </w:r>
      <w:r>
        <w:rPr>
          <w:spacing w:val="10"/>
        </w:rPr>
        <w:t xml:space="preserve">camada </w:t>
      </w:r>
      <w:r>
        <w:rPr>
          <w:spacing w:val="7"/>
        </w:rPr>
        <w:t xml:space="preserve">com </w:t>
      </w:r>
      <w:r>
        <w:rPr>
          <w:spacing w:val="11"/>
        </w:rPr>
        <w:t xml:space="preserve">maior </w:t>
      </w:r>
      <w:r>
        <w:t>quantida</w:t>
      </w:r>
      <w:r>
        <w:t xml:space="preserve">de de matéria orgânica é colocada na superfície do terreno. Depois de recomposto o solo, a próxima etapa é a demarcação/estaqueamento da área e o preparo das covas </w:t>
      </w:r>
      <w:r>
        <w:rPr>
          <w:spacing w:val="3"/>
        </w:rPr>
        <w:t xml:space="preserve">para </w:t>
      </w:r>
      <w:r>
        <w:rPr>
          <w:spacing w:val="5"/>
        </w:rPr>
        <w:t xml:space="preserve">receberem </w:t>
      </w:r>
      <w:r>
        <w:rPr>
          <w:spacing w:val="2"/>
        </w:rPr>
        <w:t xml:space="preserve">as </w:t>
      </w:r>
      <w:r>
        <w:rPr>
          <w:spacing w:val="5"/>
        </w:rPr>
        <w:t xml:space="preserve">mudas. </w:t>
      </w:r>
      <w:r>
        <w:rPr>
          <w:spacing w:val="2"/>
        </w:rPr>
        <w:t xml:space="preserve">As </w:t>
      </w:r>
      <w:r>
        <w:rPr>
          <w:spacing w:val="3"/>
        </w:rPr>
        <w:t xml:space="preserve">covas são </w:t>
      </w:r>
      <w:r>
        <w:rPr>
          <w:spacing w:val="5"/>
        </w:rPr>
        <w:t xml:space="preserve">adubadas, </w:t>
      </w:r>
      <w:r>
        <w:t xml:space="preserve">e o </w:t>
      </w:r>
      <w:r>
        <w:rPr>
          <w:spacing w:val="5"/>
        </w:rPr>
        <w:t xml:space="preserve">terreno recebe </w:t>
      </w:r>
      <w:r>
        <w:t xml:space="preserve">o </w:t>
      </w:r>
      <w:r>
        <w:rPr>
          <w:spacing w:val="5"/>
        </w:rPr>
        <w:t xml:space="preserve">combate </w:t>
      </w:r>
      <w:r>
        <w:t xml:space="preserve">a </w:t>
      </w:r>
      <w:r>
        <w:rPr>
          <w:spacing w:val="6"/>
        </w:rPr>
        <w:t xml:space="preserve">formigas </w:t>
      </w:r>
      <w:r>
        <w:t xml:space="preserve">e </w:t>
      </w:r>
      <w:r>
        <w:rPr>
          <w:spacing w:val="5"/>
        </w:rPr>
        <w:t>ro</w:t>
      </w:r>
      <w:r>
        <w:rPr>
          <w:spacing w:val="5"/>
        </w:rPr>
        <w:t xml:space="preserve">çada </w:t>
      </w:r>
      <w:r>
        <w:rPr>
          <w:spacing w:val="7"/>
        </w:rPr>
        <w:t xml:space="preserve">quando </w:t>
      </w:r>
      <w:r>
        <w:rPr>
          <w:spacing w:val="6"/>
        </w:rPr>
        <w:t>necessário” (METAMAT,</w:t>
      </w:r>
      <w:r>
        <w:rPr>
          <w:spacing w:val="20"/>
        </w:rPr>
        <w:t xml:space="preserve"> </w:t>
      </w:r>
      <w:r>
        <w:rPr>
          <w:spacing w:val="7"/>
        </w:rPr>
        <w:t>2012).</w:t>
      </w:r>
    </w:p>
    <w:p w:rsidR="00D81F69" w:rsidRDefault="00330118">
      <w:pPr>
        <w:pStyle w:val="Corpodetexto"/>
        <w:spacing w:before="138" w:line="312" w:lineRule="auto"/>
        <w:ind w:right="196"/>
      </w:pPr>
      <w:r>
        <w:t>De acordo com a Coogavepe, depois de quase duas décadas com a atividade de extração de ouro praticamente paralisada, o ouro hoje é responsável por 80% da economia local (COOGAVEPE, 2012).</w:t>
      </w:r>
    </w:p>
    <w:p w:rsidR="00D81F69" w:rsidRDefault="00330118">
      <w:pPr>
        <w:pStyle w:val="Corpodetexto"/>
        <w:spacing w:before="134" w:line="312" w:lineRule="auto"/>
        <w:ind w:right="208"/>
      </w:pPr>
      <w:r>
        <w:t xml:space="preserve">A cooperativa assegura que </w:t>
      </w:r>
      <w:r>
        <w:t xml:space="preserve">a atual atividade minerária em </w:t>
      </w:r>
      <w:r>
        <w:rPr>
          <w:spacing w:val="5"/>
        </w:rPr>
        <w:t xml:space="preserve">Peixoto </w:t>
      </w:r>
      <w:r>
        <w:rPr>
          <w:spacing w:val="2"/>
        </w:rPr>
        <w:t xml:space="preserve">de </w:t>
      </w:r>
      <w:r>
        <w:rPr>
          <w:spacing w:val="5"/>
        </w:rPr>
        <w:t xml:space="preserve">Azevedo, diferentemente </w:t>
      </w:r>
      <w:r>
        <w:rPr>
          <w:spacing w:val="2"/>
        </w:rPr>
        <w:t xml:space="preserve">do </w:t>
      </w:r>
      <w:r>
        <w:rPr>
          <w:spacing w:val="3"/>
        </w:rPr>
        <w:t xml:space="preserve">que </w:t>
      </w:r>
      <w:r>
        <w:rPr>
          <w:spacing w:val="5"/>
        </w:rPr>
        <w:t>ocorreu nas</w:t>
      </w:r>
      <w:r>
        <w:rPr>
          <w:spacing w:val="61"/>
        </w:rPr>
        <w:t xml:space="preserve"> </w:t>
      </w:r>
      <w:r>
        <w:t xml:space="preserve">décadas de 1980 e 1990, quando gerou degradação do meio ambiente e aumento de problemas sociais como violência e </w:t>
      </w:r>
      <w:r>
        <w:rPr>
          <w:spacing w:val="6"/>
        </w:rPr>
        <w:t xml:space="preserve">doenças, </w:t>
      </w:r>
      <w:r>
        <w:rPr>
          <w:spacing w:val="5"/>
        </w:rPr>
        <w:t xml:space="preserve">vem </w:t>
      </w:r>
      <w:r>
        <w:rPr>
          <w:spacing w:val="6"/>
        </w:rPr>
        <w:t xml:space="preserve">promovendo melhoria </w:t>
      </w:r>
      <w:r>
        <w:rPr>
          <w:spacing w:val="3"/>
        </w:rPr>
        <w:t xml:space="preserve">na </w:t>
      </w:r>
      <w:r>
        <w:rPr>
          <w:spacing w:val="6"/>
        </w:rPr>
        <w:t xml:space="preserve">economia </w:t>
      </w:r>
      <w:r>
        <w:t xml:space="preserve">e </w:t>
      </w:r>
      <w:r>
        <w:rPr>
          <w:spacing w:val="7"/>
        </w:rPr>
        <w:t xml:space="preserve">na </w:t>
      </w:r>
      <w:r>
        <w:rPr>
          <w:spacing w:val="6"/>
        </w:rPr>
        <w:t xml:space="preserve">qualidade </w:t>
      </w:r>
      <w:r>
        <w:rPr>
          <w:spacing w:val="3"/>
        </w:rPr>
        <w:t xml:space="preserve">de </w:t>
      </w:r>
      <w:r>
        <w:rPr>
          <w:spacing w:val="5"/>
        </w:rPr>
        <w:t xml:space="preserve">vida </w:t>
      </w:r>
      <w:r>
        <w:rPr>
          <w:spacing w:val="3"/>
        </w:rPr>
        <w:t xml:space="preserve">da </w:t>
      </w:r>
      <w:r>
        <w:rPr>
          <w:spacing w:val="6"/>
        </w:rPr>
        <w:t>população (COOGAVEPE,</w:t>
      </w:r>
      <w:r>
        <w:rPr>
          <w:spacing w:val="5"/>
        </w:rPr>
        <w:t xml:space="preserve"> </w:t>
      </w:r>
      <w:r>
        <w:rPr>
          <w:spacing w:val="7"/>
        </w:rPr>
        <w:t>2012).</w:t>
      </w:r>
    </w:p>
    <w:p w:rsidR="00D81F69" w:rsidRDefault="00D81F69">
      <w:pPr>
        <w:pStyle w:val="Corpodetexto"/>
        <w:spacing w:before="5"/>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215"/>
      </w:pPr>
      <w:r>
        <w:t xml:space="preserve">A área afetada pela extração de ouro no município de Peixoto de Azevedo corresponde à microbacia do rio que recebe o mesmo nome da cidade, cujas coordenadas geográficas são latitude </w:t>
      </w:r>
      <w:r>
        <w:t>10°13'36''S e longitude 54°59'10''W.</w:t>
      </w:r>
    </w:p>
    <w:p w:rsidR="00D81F69" w:rsidRDefault="00D81F69">
      <w:pPr>
        <w:pStyle w:val="Corpodetexto"/>
        <w:spacing w:before="1"/>
        <w:ind w:left="0"/>
        <w:jc w:val="left"/>
        <w:rPr>
          <w:sz w:val="29"/>
        </w:rPr>
      </w:pPr>
    </w:p>
    <w:p w:rsidR="00D81F69" w:rsidRDefault="00330118">
      <w:pPr>
        <w:pStyle w:val="Heading7"/>
      </w:pPr>
      <w:r>
        <w:t>REDATORES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tabs>
          <w:tab w:val="left" w:pos="4331"/>
        </w:tabs>
        <w:spacing w:before="188" w:line="312" w:lineRule="auto"/>
        <w:ind w:left="100" w:right="198"/>
        <w:jc w:val="both"/>
        <w:rPr>
          <w:sz w:val="16"/>
        </w:rPr>
      </w:pPr>
      <w:r>
        <w:rPr>
          <w:sz w:val="16"/>
        </w:rPr>
        <w:t xml:space="preserve">A GAZETA. Extração de ouro avança 3.683% em MT, 21 ago. 2011.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216"/>
        <w:jc w:val="both"/>
        <w:rPr>
          <w:sz w:val="16"/>
        </w:rPr>
      </w:pPr>
      <w:hyperlink r:id="rId983">
        <w:r w:rsidR="00330118">
          <w:rPr>
            <w:sz w:val="16"/>
          </w:rPr>
          <w:t>&lt;http://www.sonoticias.com.br/noticias/7/133586/extrac807a771o-de-</w:t>
        </w:r>
      </w:hyperlink>
      <w:r w:rsidR="00330118">
        <w:rPr>
          <w:sz w:val="16"/>
        </w:rPr>
        <w:t xml:space="preserve"> ouro-avanc807a-3.683-em-mt&gt;. Acesso em: 01 dez. 2011.</w:t>
      </w:r>
    </w:p>
    <w:p w:rsidR="00D81F69" w:rsidRDefault="00330118">
      <w:pPr>
        <w:tabs>
          <w:tab w:val="left" w:pos="4331"/>
        </w:tabs>
        <w:spacing w:before="1" w:line="312" w:lineRule="auto"/>
        <w:ind w:left="100" w:right="190"/>
        <w:jc w:val="both"/>
        <w:rPr>
          <w:sz w:val="16"/>
        </w:rPr>
      </w:pPr>
      <w:r>
        <w:rPr>
          <w:sz w:val="16"/>
        </w:rPr>
        <w:t xml:space="preserve">BRASIL MINERAL. Mato Grosso. DNPM retifica reserva de </w:t>
      </w:r>
      <w:r>
        <w:rPr>
          <w:sz w:val="16"/>
        </w:rPr>
        <w:t xml:space="preserve">Peixoto  </w:t>
      </w:r>
      <w:r>
        <w:rPr>
          <w:spacing w:val="3"/>
          <w:sz w:val="16"/>
        </w:rPr>
        <w:t xml:space="preserve">de  </w:t>
      </w:r>
      <w:r>
        <w:rPr>
          <w:spacing w:val="6"/>
          <w:sz w:val="16"/>
        </w:rPr>
        <w:t xml:space="preserve">Azevedo. </w:t>
      </w:r>
      <w:r>
        <w:rPr>
          <w:spacing w:val="5"/>
          <w:sz w:val="16"/>
        </w:rPr>
        <w:t xml:space="preserve">In: Brasil Mineral Online, </w:t>
      </w:r>
      <w:r>
        <w:rPr>
          <w:spacing w:val="3"/>
          <w:sz w:val="16"/>
        </w:rPr>
        <w:t xml:space="preserve">n.  </w:t>
      </w:r>
      <w:r>
        <w:rPr>
          <w:spacing w:val="5"/>
          <w:sz w:val="16"/>
        </w:rPr>
        <w:t xml:space="preserve">493, </w:t>
      </w:r>
      <w:r>
        <w:rPr>
          <w:spacing w:val="3"/>
          <w:sz w:val="16"/>
        </w:rPr>
        <w:t xml:space="preserve">21  </w:t>
      </w:r>
      <w:r>
        <w:rPr>
          <w:spacing w:val="5"/>
          <w:sz w:val="16"/>
        </w:rPr>
        <w:t xml:space="preserve">mar. </w:t>
      </w:r>
      <w:r>
        <w:rPr>
          <w:spacing w:val="7"/>
          <w:sz w:val="16"/>
        </w:rPr>
        <w:t xml:space="preserve">2011.  </w:t>
      </w:r>
      <w:r>
        <w:rPr>
          <w:spacing w:val="60"/>
          <w:sz w:val="16"/>
        </w:rPr>
        <w:t xml:space="preserve">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line="312" w:lineRule="auto"/>
        <w:ind w:left="100" w:right="216"/>
        <w:jc w:val="both"/>
        <w:rPr>
          <w:sz w:val="16"/>
        </w:rPr>
      </w:pPr>
      <w:hyperlink r:id="rId984">
        <w:r w:rsidR="00330118">
          <w:rPr>
            <w:sz w:val="16"/>
          </w:rPr>
          <w:t>&lt;http://www.brasilmineral.com.b</w:t>
        </w:r>
        <w:r w:rsidR="00330118">
          <w:rPr>
            <w:sz w:val="16"/>
          </w:rPr>
          <w:t>r/BM/default.asp?COD=5404&amp;busca=</w:t>
        </w:r>
      </w:hyperlink>
      <w:r w:rsidR="00330118">
        <w:rPr>
          <w:sz w:val="16"/>
        </w:rPr>
        <w:t xml:space="preserve"> &amp;numero=493&gt;. Acesso em: 01 dez. 2011.</w:t>
      </w:r>
    </w:p>
    <w:p w:rsidR="00D81F69" w:rsidRDefault="00330118">
      <w:pPr>
        <w:spacing w:before="1" w:line="312" w:lineRule="auto"/>
        <w:ind w:left="100" w:right="176"/>
        <w:jc w:val="both"/>
        <w:rPr>
          <w:sz w:val="16"/>
        </w:rPr>
      </w:pPr>
      <w:r>
        <w:rPr>
          <w:sz w:val="16"/>
        </w:rPr>
        <w:t xml:space="preserve">COOGAVEPE, Cooperativa de Garimpeiros do Vale do Rio Peixoto. Garimpos do Bem, 05 mar. 2012. Disponível em: </w:t>
      </w:r>
    </w:p>
    <w:p w:rsidR="00D81F69" w:rsidRDefault="00D81F69">
      <w:pPr>
        <w:spacing w:before="2" w:line="312" w:lineRule="auto"/>
        <w:ind w:left="100" w:right="199"/>
        <w:jc w:val="both"/>
        <w:rPr>
          <w:sz w:val="16"/>
        </w:rPr>
      </w:pPr>
      <w:hyperlink r:id="rId985">
        <w:r w:rsidR="00330118">
          <w:rPr>
            <w:sz w:val="16"/>
          </w:rPr>
          <w:t>&lt;</w:t>
        </w:r>
        <w:r w:rsidR="00330118">
          <w:rPr>
            <w:sz w:val="16"/>
          </w:rPr>
          <w:t xml:space="preserve">http://www.coogavepe.com.br/noticias/?p=249&gt;. </w:t>
        </w:r>
      </w:hyperlink>
      <w:r w:rsidR="00330118">
        <w:rPr>
          <w:sz w:val="16"/>
        </w:rPr>
        <w:t>Acesso em: 30 mar. 2012.</w:t>
      </w:r>
    </w:p>
    <w:p w:rsidR="00D81F69" w:rsidRDefault="00330118">
      <w:pPr>
        <w:spacing w:before="2" w:line="312" w:lineRule="auto"/>
        <w:ind w:left="100" w:right="183"/>
        <w:jc w:val="both"/>
        <w:rPr>
          <w:sz w:val="16"/>
        </w:rPr>
      </w:pPr>
      <w:r>
        <w:rPr>
          <w:sz w:val="16"/>
        </w:rPr>
        <w:t xml:space="preserve">24 HORAS NEWS. Garimpeiros denunciam exploração de ouro ilegal por estrangeiros em MT, 10 set. 2009. Disponível em: </w:t>
      </w:r>
    </w:p>
    <w:p w:rsidR="00D81F69" w:rsidRDefault="00D81F69">
      <w:pPr>
        <w:spacing w:before="1" w:line="312" w:lineRule="auto"/>
        <w:ind w:left="100" w:right="214"/>
        <w:jc w:val="both"/>
        <w:rPr>
          <w:sz w:val="16"/>
        </w:rPr>
      </w:pPr>
      <w:hyperlink r:id="rId986">
        <w:r w:rsidR="00330118">
          <w:rPr>
            <w:sz w:val="16"/>
          </w:rPr>
          <w:t xml:space="preserve">&lt;http://www.24horasnews.com.br/index.php?mat=304673&gt;. </w:t>
        </w:r>
      </w:hyperlink>
      <w:r w:rsidR="00330118">
        <w:rPr>
          <w:sz w:val="16"/>
        </w:rPr>
        <w:t>Acesso em: 02 dez. 2011.</w:t>
      </w:r>
    </w:p>
    <w:p w:rsidR="00D81F69" w:rsidRDefault="00330118">
      <w:pPr>
        <w:spacing w:before="2" w:line="312" w:lineRule="auto"/>
        <w:ind w:left="100" w:right="184"/>
        <w:jc w:val="both"/>
        <w:rPr>
          <w:sz w:val="16"/>
        </w:rPr>
      </w:pPr>
      <w:r>
        <w:rPr>
          <w:sz w:val="16"/>
        </w:rPr>
        <w:t xml:space="preserve">IBGE, Instituto Brasileiro de Geografia e Estatística. Peixoto de Azevedo (MT). In: IBGE Cidades, 2010. Disponível em: </w:t>
      </w:r>
    </w:p>
    <w:p w:rsidR="00D81F69" w:rsidRDefault="00D81F69">
      <w:pPr>
        <w:spacing w:before="2"/>
        <w:ind w:left="100"/>
        <w:jc w:val="both"/>
        <w:rPr>
          <w:sz w:val="16"/>
        </w:rPr>
      </w:pPr>
      <w:hyperlink r:id="rId987">
        <w:r w:rsidR="00330118">
          <w:rPr>
            <w:sz w:val="16"/>
          </w:rPr>
          <w:t>&lt;http://www.ibge.gov.br/cidadesat/xtras/perfil.php?codmun=510642&amp;r</w:t>
        </w:r>
      </w:hyperlink>
    </w:p>
    <w:p w:rsidR="00D81F69" w:rsidRDefault="00330118">
      <w:pPr>
        <w:spacing w:before="56"/>
        <w:ind w:left="100"/>
        <w:jc w:val="both"/>
        <w:rPr>
          <w:sz w:val="16"/>
        </w:rPr>
      </w:pPr>
      <w:r>
        <w:rPr>
          <w:sz w:val="16"/>
        </w:rPr>
        <w:t>=2&gt;. Acesso em: 01 dez. 2011.</w:t>
      </w:r>
    </w:p>
    <w:p w:rsidR="00D81F69" w:rsidRDefault="00330118">
      <w:pPr>
        <w:spacing w:before="56" w:line="312" w:lineRule="auto"/>
        <w:ind w:left="100" w:right="158"/>
        <w:jc w:val="both"/>
        <w:rPr>
          <w:sz w:val="16"/>
        </w:rPr>
      </w:pPr>
      <w:r>
        <w:rPr>
          <w:spacing w:val="1"/>
          <w:sz w:val="16"/>
        </w:rPr>
        <w:t xml:space="preserve">METAMAT, Companhia Matogrossense </w:t>
      </w:r>
      <w:r>
        <w:rPr>
          <w:sz w:val="16"/>
        </w:rPr>
        <w:t xml:space="preserve">de </w:t>
      </w:r>
      <w:r>
        <w:rPr>
          <w:spacing w:val="1"/>
          <w:sz w:val="16"/>
        </w:rPr>
        <w:t xml:space="preserve">Mineração. Obras </w:t>
      </w:r>
      <w:r>
        <w:rPr>
          <w:spacing w:val="2"/>
          <w:sz w:val="16"/>
        </w:rPr>
        <w:t xml:space="preserve">de </w:t>
      </w:r>
      <w:r>
        <w:rPr>
          <w:spacing w:val="8"/>
          <w:sz w:val="16"/>
        </w:rPr>
        <w:t xml:space="preserve">recuperação </w:t>
      </w:r>
      <w:r>
        <w:rPr>
          <w:spacing w:val="5"/>
          <w:sz w:val="16"/>
        </w:rPr>
        <w:t xml:space="preserve">de </w:t>
      </w:r>
      <w:r>
        <w:rPr>
          <w:spacing w:val="7"/>
          <w:sz w:val="16"/>
        </w:rPr>
        <w:t>áre</w:t>
      </w:r>
      <w:r>
        <w:rPr>
          <w:spacing w:val="7"/>
          <w:sz w:val="16"/>
        </w:rPr>
        <w:t xml:space="preserve">as </w:t>
      </w:r>
      <w:r>
        <w:rPr>
          <w:spacing w:val="8"/>
          <w:sz w:val="16"/>
        </w:rPr>
        <w:t xml:space="preserve">degradadas </w:t>
      </w:r>
      <w:r>
        <w:rPr>
          <w:spacing w:val="5"/>
          <w:sz w:val="16"/>
        </w:rPr>
        <w:t xml:space="preserve">em </w:t>
      </w:r>
      <w:r>
        <w:rPr>
          <w:spacing w:val="7"/>
          <w:sz w:val="16"/>
        </w:rPr>
        <w:t xml:space="preserve">Peixoto </w:t>
      </w:r>
      <w:r>
        <w:rPr>
          <w:spacing w:val="5"/>
          <w:sz w:val="16"/>
        </w:rPr>
        <w:t xml:space="preserve">de </w:t>
      </w:r>
      <w:r>
        <w:rPr>
          <w:spacing w:val="10"/>
          <w:sz w:val="16"/>
        </w:rPr>
        <w:t xml:space="preserve">Azevedo </w:t>
      </w:r>
      <w:r>
        <w:rPr>
          <w:spacing w:val="35"/>
          <w:sz w:val="16"/>
        </w:rPr>
        <w:t xml:space="preserve">continuam,   </w:t>
      </w:r>
      <w:r>
        <w:rPr>
          <w:spacing w:val="20"/>
          <w:sz w:val="16"/>
        </w:rPr>
        <w:t xml:space="preserve">13    </w:t>
      </w:r>
      <w:r>
        <w:rPr>
          <w:spacing w:val="30"/>
          <w:sz w:val="16"/>
        </w:rPr>
        <w:t xml:space="preserve">fev.    </w:t>
      </w:r>
      <w:r>
        <w:rPr>
          <w:spacing w:val="31"/>
          <w:sz w:val="16"/>
        </w:rPr>
        <w:t xml:space="preserve">2012.   </w:t>
      </w:r>
      <w:r>
        <w:rPr>
          <w:spacing w:val="35"/>
          <w:sz w:val="16"/>
        </w:rPr>
        <w:t xml:space="preserve">Disponível  </w:t>
      </w:r>
      <w:r>
        <w:rPr>
          <w:spacing w:val="26"/>
          <w:sz w:val="16"/>
        </w:rPr>
        <w:t>em:</w:t>
      </w:r>
      <w:r>
        <w:rPr>
          <w:spacing w:val="-2"/>
          <w:sz w:val="16"/>
        </w:rPr>
        <w:t xml:space="preserve"> </w:t>
      </w:r>
    </w:p>
    <w:p w:rsidR="00D81F69" w:rsidRDefault="00D81F69">
      <w:pPr>
        <w:spacing w:before="2"/>
        <w:ind w:left="100"/>
        <w:jc w:val="both"/>
        <w:rPr>
          <w:sz w:val="16"/>
        </w:rPr>
      </w:pPr>
      <w:hyperlink r:id="rId988">
        <w:r w:rsidR="00330118">
          <w:rPr>
            <w:sz w:val="16"/>
          </w:rPr>
          <w:t>&lt;http://www.metamat.mt.gov.br/index.php?option=com_content&amp;view</w:t>
        </w:r>
      </w:hyperlink>
    </w:p>
    <w:p w:rsidR="00D81F69" w:rsidRDefault="00D81F69">
      <w:pPr>
        <w:jc w:val="both"/>
        <w:rPr>
          <w:sz w:val="16"/>
        </w:rPr>
        <w:sectPr w:rsidR="00D81F69">
          <w:pgSz w:w="11900" w:h="16840"/>
          <w:pgMar w:top="740" w:right="500" w:bottom="700" w:left="620" w:header="0" w:footer="402" w:gutter="0"/>
          <w:cols w:num="2" w:space="720" w:equalWidth="0">
            <w:col w:w="5159" w:space="311"/>
            <w:col w:w="5310"/>
          </w:cols>
        </w:sectPr>
      </w:pPr>
    </w:p>
    <w:p w:rsidR="00D81F69" w:rsidRDefault="00330118">
      <w:pPr>
        <w:spacing w:before="70"/>
        <w:ind w:left="100"/>
        <w:rPr>
          <w:sz w:val="16"/>
        </w:rPr>
      </w:pPr>
      <w:r>
        <w:rPr>
          <w:sz w:val="16"/>
        </w:rPr>
        <w:lastRenderedPageBreak/>
        <w:t>=article&amp;id=174&gt;. Acesso em: 30 mar. 2012.</w:t>
      </w:r>
    </w:p>
    <w:p w:rsidR="00D81F69" w:rsidRDefault="00330118">
      <w:pPr>
        <w:spacing w:before="56" w:line="312" w:lineRule="auto"/>
        <w:ind w:left="100" w:right="45"/>
        <w:jc w:val="both"/>
        <w:rPr>
          <w:sz w:val="16"/>
        </w:rPr>
      </w:pPr>
      <w:r>
        <w:rPr>
          <w:sz w:val="16"/>
        </w:rPr>
        <w:t>SOUZA, Lilian Christian Domingues de; CARVALHO, Marco Antônio Camillo de; CORRÊA, Beatriz da Silva; SILVA, Mariana Pina da. Consequências da atividade garimpeira nas margens do Rio Pe</w:t>
      </w:r>
      <w:r>
        <w:rPr>
          <w:sz w:val="16"/>
        </w:rPr>
        <w:t>ixoto de Azevedo no perímetro urbano do município de Peixoto de Azevedo</w:t>
      </w:r>
    </w:p>
    <w:p w:rsidR="00D81F69" w:rsidRDefault="00330118">
      <w:pPr>
        <w:pStyle w:val="PargrafodaLista"/>
        <w:numPr>
          <w:ilvl w:val="0"/>
          <w:numId w:val="3"/>
        </w:numPr>
        <w:tabs>
          <w:tab w:val="left" w:pos="237"/>
        </w:tabs>
        <w:spacing w:before="3"/>
        <w:ind w:left="236" w:hanging="136"/>
        <w:rPr>
          <w:sz w:val="16"/>
        </w:rPr>
      </w:pPr>
      <w:r>
        <w:rPr>
          <w:sz w:val="16"/>
        </w:rPr>
        <w:t>MT. Revista de Biologia e Ciências da Terra, v. 8, n.2 - 2º</w:t>
      </w:r>
      <w:r>
        <w:rPr>
          <w:spacing w:val="37"/>
          <w:sz w:val="16"/>
        </w:rPr>
        <w:t xml:space="preserve"> </w:t>
      </w:r>
      <w:r>
        <w:rPr>
          <w:sz w:val="16"/>
        </w:rPr>
        <w:t>semestre</w:t>
      </w:r>
    </w:p>
    <w:p w:rsidR="00D81F69" w:rsidRDefault="00330118">
      <w:pPr>
        <w:tabs>
          <w:tab w:val="left" w:pos="1785"/>
          <w:tab w:val="left" w:pos="4548"/>
        </w:tabs>
        <w:spacing w:before="56"/>
        <w:ind w:left="100"/>
        <w:jc w:val="both"/>
        <w:rPr>
          <w:sz w:val="16"/>
        </w:rPr>
      </w:pPr>
      <w:r>
        <w:rPr>
          <w:sz w:val="16"/>
        </w:rPr>
        <w:t xml:space="preserve">2   0   0  </w:t>
      </w:r>
      <w:r>
        <w:rPr>
          <w:spacing w:val="35"/>
          <w:sz w:val="16"/>
        </w:rPr>
        <w:t xml:space="preserve"> </w:t>
      </w:r>
      <w:r>
        <w:rPr>
          <w:sz w:val="16"/>
        </w:rPr>
        <w:t xml:space="preserve">8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ind w:left="100"/>
        <w:jc w:val="both"/>
        <w:rPr>
          <w:sz w:val="16"/>
        </w:rPr>
      </w:pPr>
      <w:hyperlink r:id="rId989">
        <w:r w:rsidR="00330118">
          <w:rPr>
            <w:sz w:val="16"/>
          </w:rPr>
          <w:t>&lt;http://eduep.uepb.edu.br/rbct/sumarios/pdf/25peixoto.pdf&gt;.</w:t>
        </w:r>
      </w:hyperlink>
    </w:p>
    <w:p w:rsidR="00D81F69" w:rsidRDefault="00330118">
      <w:pPr>
        <w:spacing w:before="70"/>
        <w:ind w:left="100"/>
        <w:rPr>
          <w:sz w:val="16"/>
        </w:rPr>
      </w:pPr>
      <w:r>
        <w:br w:type="column"/>
      </w:r>
      <w:r>
        <w:rPr>
          <w:sz w:val="16"/>
        </w:rPr>
        <w:lastRenderedPageBreak/>
        <w:t>Acesso em: 01 dez. 2011.</w:t>
      </w:r>
    </w:p>
    <w:p w:rsidR="00D81F69" w:rsidRDefault="00330118">
      <w:pPr>
        <w:spacing w:before="56" w:line="312" w:lineRule="auto"/>
        <w:ind w:left="100" w:right="182"/>
        <w:jc w:val="both"/>
        <w:rPr>
          <w:sz w:val="16"/>
        </w:rPr>
      </w:pPr>
      <w:r>
        <w:rPr>
          <w:sz w:val="16"/>
        </w:rPr>
        <w:t>TV CONQUISTA. Governo do Estado vai regularizar 260 áreas de garimpo Mato Grosso, 26 set. 2011. Di</w:t>
      </w:r>
      <w:r>
        <w:rPr>
          <w:sz w:val="16"/>
        </w:rPr>
        <w:t xml:space="preserve">sponível em: </w:t>
      </w:r>
    </w:p>
    <w:p w:rsidR="00D81F69" w:rsidRDefault="00D81F69">
      <w:pPr>
        <w:spacing w:before="1" w:line="312" w:lineRule="auto"/>
        <w:ind w:left="100" w:right="204"/>
        <w:jc w:val="both"/>
        <w:rPr>
          <w:sz w:val="16"/>
        </w:rPr>
      </w:pPr>
      <w:hyperlink r:id="rId990">
        <w:r w:rsidR="00330118">
          <w:rPr>
            <w:sz w:val="16"/>
          </w:rPr>
          <w:t>&lt;http://www.tvconquista.com.br/noticias/?busca=noticia&amp;id=304+Gov</w:t>
        </w:r>
      </w:hyperlink>
      <w:r w:rsidR="00330118">
        <w:rPr>
          <w:sz w:val="16"/>
        </w:rPr>
        <w:t xml:space="preserve"> erno-do-Estado-vai-regularizar-260-areas-de-garimpo-Mato- Grosso.html&gt;</w:t>
      </w:r>
      <w:r w:rsidR="00330118">
        <w:rPr>
          <w:sz w:val="16"/>
        </w:rPr>
        <w:t>. Acesso em: 01 dez. 2011.</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62" w:space="308"/>
            <w:col w:w="5310"/>
          </w:cols>
        </w:sectPr>
      </w:pPr>
    </w:p>
    <w:p w:rsidR="00D81F69" w:rsidRPr="00392EAD" w:rsidRDefault="00330118">
      <w:pPr>
        <w:pStyle w:val="Heading1"/>
        <w:spacing w:before="65"/>
        <w:ind w:right="0"/>
        <w:rPr>
          <w:lang w:val="pt-BR"/>
        </w:rPr>
      </w:pPr>
      <w:r w:rsidRPr="00392EAD">
        <w:rPr>
          <w:lang w:val="pt-BR"/>
        </w:rPr>
        <w:lastRenderedPageBreak/>
        <w:t>Exploração de diamantes afeta rio Araguaia (MT/GO)</w:t>
      </w:r>
    </w:p>
    <w:p w:rsidR="00D81F69" w:rsidRPr="00392EAD" w:rsidRDefault="00D81F69">
      <w:pPr>
        <w:pStyle w:val="Corpodetexto"/>
        <w:ind w:left="0"/>
        <w:jc w:val="left"/>
        <w:rPr>
          <w:b/>
          <w:sz w:val="20"/>
          <w:lang w:val="pt-BR"/>
        </w:rPr>
      </w:pPr>
    </w:p>
    <w:p w:rsidR="00D81F69" w:rsidRPr="00392EAD" w:rsidRDefault="00D81F69">
      <w:pPr>
        <w:rPr>
          <w:sz w:val="20"/>
          <w:lang w:val="pt-BR"/>
        </w:rPr>
        <w:sectPr w:rsidR="00D81F69" w:rsidRPr="00392EAD">
          <w:pgSz w:w="11900" w:h="16840"/>
          <w:pgMar w:top="1080" w:right="500" w:bottom="620" w:left="620" w:header="0" w:footer="402" w:gutter="0"/>
          <w:cols w:space="720"/>
        </w:sectPr>
      </w:pPr>
    </w:p>
    <w:p w:rsidR="00D81F69" w:rsidRPr="00392EAD" w:rsidRDefault="00D81F69">
      <w:pPr>
        <w:pStyle w:val="Corpodetexto"/>
        <w:ind w:left="0"/>
        <w:jc w:val="left"/>
        <w:rPr>
          <w:b/>
          <w:sz w:val="16"/>
          <w:lang w:val="pt-BR"/>
        </w:rPr>
      </w:pPr>
    </w:p>
    <w:p w:rsidR="00D81F69" w:rsidRPr="00392EAD" w:rsidRDefault="00D81F69">
      <w:pPr>
        <w:pStyle w:val="Corpodetexto"/>
        <w:spacing w:before="5"/>
        <w:ind w:left="0"/>
        <w:jc w:val="left"/>
        <w:rPr>
          <w:b/>
          <w:sz w:val="23"/>
          <w:lang w:val="pt-BR"/>
        </w:rPr>
      </w:pPr>
    </w:p>
    <w:p w:rsidR="00D81F69" w:rsidRPr="00392EAD" w:rsidRDefault="00330118">
      <w:pPr>
        <w:ind w:left="135"/>
        <w:rPr>
          <w:i/>
          <w:sz w:val="14"/>
          <w:lang w:val="pt-BR"/>
        </w:rPr>
      </w:pPr>
      <w:r w:rsidRPr="00392EAD">
        <w:rPr>
          <w:i/>
          <w:sz w:val="14"/>
          <w:lang w:val="pt-BR"/>
        </w:rPr>
        <w:t>MUNICÍPIOS</w:t>
      </w:r>
    </w:p>
    <w:p w:rsidR="00D81F69" w:rsidRPr="00392EAD" w:rsidRDefault="00330118">
      <w:pPr>
        <w:spacing w:before="49"/>
        <w:ind w:left="135"/>
        <w:rPr>
          <w:i/>
          <w:sz w:val="14"/>
          <w:lang w:val="pt-BR"/>
        </w:rPr>
      </w:pPr>
      <w:r w:rsidRPr="00392EAD">
        <w:rPr>
          <w:i/>
          <w:sz w:val="14"/>
          <w:lang w:val="pt-BR"/>
        </w:rPr>
        <w:t>GO - Baliza</w:t>
      </w:r>
    </w:p>
    <w:p w:rsidR="00D81F69" w:rsidRPr="00392EAD" w:rsidRDefault="00330118">
      <w:pPr>
        <w:spacing w:before="49" w:line="312" w:lineRule="auto"/>
        <w:ind w:left="135" w:right="20"/>
        <w:rPr>
          <w:i/>
          <w:sz w:val="14"/>
          <w:lang w:val="pt-BR"/>
        </w:rPr>
      </w:pPr>
      <w:r w:rsidRPr="00392EAD">
        <w:rPr>
          <w:i/>
          <w:sz w:val="14"/>
          <w:lang w:val="pt-BR"/>
        </w:rPr>
        <w:t>GO - Itapuranga MT - Ponte Branca</w:t>
      </w:r>
    </w:p>
    <w:p w:rsidR="00D81F69" w:rsidRPr="00392EAD" w:rsidRDefault="00D81F69">
      <w:pPr>
        <w:pStyle w:val="Corpodetexto"/>
        <w:spacing w:before="4"/>
        <w:ind w:left="0"/>
        <w:jc w:val="left"/>
        <w:rPr>
          <w:i/>
          <w:lang w:val="pt-BR"/>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-16,1444</w:t>
      </w:r>
    </w:p>
    <w:p w:rsidR="00D81F69" w:rsidRDefault="00D81F69">
      <w:pPr>
        <w:pStyle w:val="Corpodetexto"/>
        <w:spacing w:before="6"/>
        <w:ind w:left="0"/>
        <w:jc w:val="left"/>
        <w:rPr>
          <w:i/>
          <w:sz w:val="22"/>
        </w:rPr>
      </w:pPr>
    </w:p>
    <w:p w:rsidR="00D81F69" w:rsidRDefault="00330118">
      <w:pPr>
        <w:spacing w:before="1"/>
        <w:ind w:left="135"/>
        <w:rPr>
          <w:i/>
          <w:sz w:val="14"/>
        </w:rPr>
      </w:pPr>
      <w:r>
        <w:rPr>
          <w:i/>
          <w:sz w:val="14"/>
        </w:rPr>
        <w:t>LONGITUDE</w:t>
      </w:r>
    </w:p>
    <w:p w:rsidR="00D81F69" w:rsidRDefault="00330118">
      <w:pPr>
        <w:spacing w:before="49"/>
        <w:ind w:left="135"/>
        <w:rPr>
          <w:i/>
          <w:sz w:val="14"/>
        </w:rPr>
      </w:pPr>
      <w:r>
        <w:rPr>
          <w:i/>
          <w:sz w:val="14"/>
        </w:rPr>
        <w:t>-52,4738</w:t>
      </w:r>
    </w:p>
    <w:p w:rsidR="00D81F69" w:rsidRDefault="00330118">
      <w:pPr>
        <w:pStyle w:val="Corpodetexto"/>
        <w:spacing w:before="3" w:after="39"/>
        <w:ind w:left="0"/>
        <w:jc w:val="left"/>
        <w:rPr>
          <w:i/>
          <w:sz w:val="19"/>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9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Pr="00392EAD" w:rsidRDefault="00330118">
      <w:pPr>
        <w:spacing w:before="25"/>
        <w:ind w:left="135"/>
        <w:rPr>
          <w:i/>
          <w:sz w:val="18"/>
          <w:lang w:val="pt-BR"/>
        </w:rPr>
      </w:pPr>
      <w:r w:rsidRPr="00392EAD">
        <w:rPr>
          <w:i/>
          <w:sz w:val="18"/>
          <w:lang w:val="pt-BR"/>
        </w:rPr>
        <w:t>SÍNTESE</w:t>
      </w:r>
    </w:p>
    <w:p w:rsidR="00D81F69" w:rsidRPr="00392EAD" w:rsidRDefault="00330118">
      <w:pPr>
        <w:spacing w:before="52" w:line="312" w:lineRule="auto"/>
        <w:ind w:left="135" w:right="38"/>
        <w:jc w:val="both"/>
        <w:rPr>
          <w:i/>
          <w:sz w:val="16"/>
          <w:lang w:val="pt-BR"/>
        </w:rPr>
      </w:pPr>
      <w:r w:rsidRPr="00392EAD">
        <w:rPr>
          <w:i/>
          <w:sz w:val="16"/>
          <w:lang w:val="pt-BR"/>
        </w:rPr>
        <w:t>Os municípios de Baliza, Itapuranga, em Goiás, e Ponte Branca, no Mato Grosso, têm sofrido com a ação devastadora das dragas que extraem diamantes do rio Araguaia. O lançamento de dejetos e óleo pelas dragas e o barulho promovido pelo deslocamento de rocha</w:t>
      </w:r>
      <w:r w:rsidRPr="00392EAD">
        <w:rPr>
          <w:i/>
          <w:sz w:val="16"/>
          <w:lang w:val="pt-BR"/>
        </w:rPr>
        <w:t>s, que podem chegar a cinco toneladas, têm provocado a degradação ambiental do que é considerado o “mar goiano”.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29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19"/>
        </w:rPr>
      </w:pPr>
      <w:r>
        <w:br w:type="column"/>
      </w:r>
    </w:p>
    <w:p w:rsidR="00D81F69" w:rsidRPr="00392EAD" w:rsidRDefault="00330118">
      <w:pPr>
        <w:pStyle w:val="Corpodetexto"/>
        <w:spacing w:line="312" w:lineRule="auto"/>
        <w:ind w:left="135" w:right="195"/>
        <w:rPr>
          <w:lang w:val="pt-BR"/>
        </w:rPr>
      </w:pPr>
      <w:r w:rsidRPr="00392EAD">
        <w:rPr>
          <w:lang w:val="pt-BR"/>
        </w:rPr>
        <w:t>um só lugar para extrair os diamantes. Este movimento produz correntezas violentas que deixam partes do rio rasas, atrapalhando os canoeiro</w:t>
      </w:r>
      <w:r w:rsidRPr="00392EAD">
        <w:rPr>
          <w:lang w:val="pt-BR"/>
        </w:rPr>
        <w:t>s da região (GUERREIROS DO ARAGUAIA, 2009). Quando as rochas são levantadas e derrubadas em outro local, causam um barulho ensurdecedor. Os motores das dragas, que ficam ligados dia e noite, causam destruição do rio e das próprias vidas de muitos garimpeir</w:t>
      </w:r>
      <w:r w:rsidRPr="00392EAD">
        <w:rPr>
          <w:lang w:val="pt-BR"/>
        </w:rPr>
        <w:t>os que trabalham em péssimas condições (DIÁRIO DA MANHÃ 2010b).</w:t>
      </w:r>
    </w:p>
    <w:p w:rsidR="00D81F69" w:rsidRPr="00392EAD" w:rsidRDefault="00330118">
      <w:pPr>
        <w:pStyle w:val="Corpodetexto"/>
        <w:spacing w:before="139" w:line="312" w:lineRule="auto"/>
        <w:ind w:left="135" w:right="217"/>
        <w:rPr>
          <w:lang w:val="pt-BR"/>
        </w:rPr>
      </w:pPr>
      <w:r w:rsidRPr="00392EAD">
        <w:rPr>
          <w:lang w:val="pt-BR"/>
        </w:rPr>
        <w:t>No trecho em que a ação das dragas no rio permanece, a fauna aquática fica desabrigada, a exemplo do que ocorre nas</w:t>
      </w:r>
    </w:p>
    <w:p w:rsidR="00D81F69" w:rsidRPr="00392EAD" w:rsidRDefault="00D81F69">
      <w:pPr>
        <w:spacing w:line="312" w:lineRule="auto"/>
        <w:rPr>
          <w:lang w:val="pt-BR"/>
        </w:rPr>
        <w:sectPr w:rsidR="00D81F69" w:rsidRPr="00392EAD">
          <w:type w:val="continuous"/>
          <w:pgSz w:w="11900" w:h="16840"/>
          <w:pgMar w:top="720" w:right="500" w:bottom="280" w:left="620" w:header="720" w:footer="720" w:gutter="0"/>
          <w:cols w:num="3" w:space="720" w:equalWidth="0">
            <w:col w:w="1350" w:space="650"/>
            <w:col w:w="3114" w:space="321"/>
            <w:col w:w="5345"/>
          </w:cols>
        </w:sectPr>
      </w:pPr>
    </w:p>
    <w:p w:rsidR="00D81F69" w:rsidRPr="00392EAD" w:rsidRDefault="00330118">
      <w:pPr>
        <w:pStyle w:val="Heading4"/>
        <w:spacing w:before="85"/>
        <w:jc w:val="left"/>
        <w:rPr>
          <w:lang w:val="pt-BR"/>
        </w:rPr>
      </w:pPr>
      <w:r w:rsidRPr="00392EAD">
        <w:rPr>
          <w:lang w:val="pt-BR"/>
        </w:rPr>
        <w:lastRenderedPageBreak/>
        <w:t>APRESENTAÇÃO DE CASO</w:t>
      </w:r>
    </w:p>
    <w:p w:rsidR="00D81F69" w:rsidRPr="00392EAD" w:rsidRDefault="00330118">
      <w:pPr>
        <w:pStyle w:val="Corpodetexto"/>
        <w:spacing w:before="171" w:line="312" w:lineRule="auto"/>
        <w:ind w:right="76"/>
        <w:rPr>
          <w:lang w:val="pt-BR"/>
        </w:rPr>
      </w:pPr>
      <w:r w:rsidRPr="00392EAD">
        <w:rPr>
          <w:lang w:val="pt-BR"/>
        </w:rPr>
        <w:t>Com uma paisagem deslum</w:t>
      </w:r>
      <w:r w:rsidRPr="00392EAD">
        <w:rPr>
          <w:lang w:val="pt-BR"/>
        </w:rPr>
        <w:t>brante, o rio Araguaia nasce na Serra do Caiapó, próximo ao Parque Nacional das Emas, em Goiás. É destaque pelas praias belíssimas e apresenta uma enorme variedade de peixes, aves e répteis. O rio faz a divisa natural entre os estados de Goiás e Mato Gross</w:t>
      </w:r>
      <w:r w:rsidRPr="00392EAD">
        <w:rPr>
          <w:lang w:val="pt-BR"/>
        </w:rPr>
        <w:t>o e também é um importante vetor econômico, com a prática da pesca, navegação, turismo e geração de energia (MENEZES, 2011; IRAN, 2009).</w:t>
      </w:r>
    </w:p>
    <w:p w:rsidR="00D81F69" w:rsidRPr="00392EAD" w:rsidRDefault="00330118">
      <w:pPr>
        <w:pStyle w:val="Corpodetexto"/>
        <w:spacing w:before="137" w:line="312" w:lineRule="auto"/>
        <w:jc w:val="left"/>
        <w:rPr>
          <w:lang w:val="pt-BR"/>
        </w:rPr>
      </w:pPr>
      <w:r w:rsidRPr="00392EAD">
        <w:rPr>
          <w:lang w:val="pt-BR"/>
        </w:rPr>
        <w:t>A mineração também é destaque. A exploração de diamantes foi promotora do povoamento no Alto Araguaia e desenvolveu, de</w:t>
      </w:r>
      <w:r w:rsidRPr="00392EAD">
        <w:rPr>
          <w:lang w:val="pt-BR"/>
        </w:rPr>
        <w:t>sde o século XVIII, os municípios da região (AZEVEDO; DELGADO, 2002). Entre as cidades que têm um histórico de exploração de diamantes estão Baliza - 1.782 km² e 3.714 habitantes (IBGE, 2010a), Itapuranga -1.276 km² e</w:t>
      </w:r>
    </w:p>
    <w:p w:rsidR="00D81F69" w:rsidRPr="00392EAD" w:rsidRDefault="00330118">
      <w:pPr>
        <w:pStyle w:val="Corpodetexto"/>
        <w:spacing w:before="6" w:line="312" w:lineRule="auto"/>
        <w:ind w:right="43"/>
        <w:jc w:val="left"/>
        <w:rPr>
          <w:lang w:val="pt-BR"/>
        </w:rPr>
      </w:pPr>
      <w:r w:rsidRPr="00392EAD">
        <w:rPr>
          <w:lang w:val="pt-BR"/>
        </w:rPr>
        <w:t>26.125 habitantes (IBGE, 2010b), em Go</w:t>
      </w:r>
      <w:r w:rsidRPr="00392EAD">
        <w:rPr>
          <w:lang w:val="pt-BR"/>
        </w:rPr>
        <w:t>iás, e Ponte Branca - 685 km² e população de 1.768 pessoas (IBGE, 2010c), em Mato Grosso.</w:t>
      </w:r>
    </w:p>
    <w:p w:rsidR="00D81F69" w:rsidRPr="00392EAD" w:rsidRDefault="00330118">
      <w:pPr>
        <w:pStyle w:val="Corpodetexto"/>
        <w:spacing w:before="132" w:line="312" w:lineRule="auto"/>
        <w:ind w:right="98"/>
        <w:rPr>
          <w:lang w:val="pt-BR"/>
        </w:rPr>
      </w:pPr>
      <w:r w:rsidRPr="00392EAD">
        <w:rPr>
          <w:lang w:val="pt-BR"/>
        </w:rPr>
        <w:t>Em geral, as lavras de diamantes e demais gemas causam impactos ambientais como erosão e desmonte de rochas com acumulação de pilhas de cascalho que suprimem a vegetação. Também há construção de diques nos riachos e canais de água para a lavagem de cascalh</w:t>
      </w:r>
      <w:r w:rsidRPr="00392EAD">
        <w:rPr>
          <w:lang w:val="pt-BR"/>
        </w:rPr>
        <w:t>o, o que acaba por causar o assoreamento dos cursos d'água (BAXTER, 1988 apud AZEVEDO, DELGADO, 2002).</w:t>
      </w:r>
    </w:p>
    <w:p w:rsidR="00D81F69" w:rsidRPr="00392EAD" w:rsidRDefault="00330118">
      <w:pPr>
        <w:pStyle w:val="Corpodetexto"/>
        <w:spacing w:before="137" w:line="312" w:lineRule="auto"/>
        <w:ind w:right="91"/>
        <w:rPr>
          <w:lang w:val="pt-BR"/>
        </w:rPr>
      </w:pPr>
      <w:r w:rsidRPr="00392EAD">
        <w:rPr>
          <w:lang w:val="pt-BR"/>
        </w:rPr>
        <w:t xml:space="preserve">No rio Araguaia, a exploração de diamantes tem sido feita com a utilização de dragas que potencializavam os efeitos negativos de destruição da natureza, </w:t>
      </w:r>
      <w:r w:rsidRPr="00392EAD">
        <w:rPr>
          <w:lang w:val="pt-BR"/>
        </w:rPr>
        <w:t>o que tem levado diversos especialistas a apontar a necessidade de um estudo para verificar a compatibilidade dos garimpos com a região e estabelecer a forma como a atividade pode ser realizada. Ao longo da exploração de diamantes no Araguaia foram constat</w:t>
      </w:r>
      <w:r w:rsidRPr="00392EAD">
        <w:rPr>
          <w:lang w:val="pt-BR"/>
        </w:rPr>
        <w:t>adas diversas irregularidades, como o lançamento no rio de alimentos e de mais de mil litros de óleo diesel e lubrificantes, diários, que causam alta mortandade de peixes (DIÁRIO DA MANHÃ, 2010b).</w:t>
      </w:r>
    </w:p>
    <w:p w:rsidR="00D81F69" w:rsidRPr="00392EAD" w:rsidRDefault="00330118">
      <w:pPr>
        <w:pStyle w:val="Corpodetexto"/>
        <w:spacing w:before="77" w:line="270" w:lineRule="atLeast"/>
        <w:ind w:right="96"/>
        <w:rPr>
          <w:lang w:val="pt-BR"/>
        </w:rPr>
      </w:pPr>
      <w:r w:rsidRPr="00392EAD">
        <w:rPr>
          <w:lang w:val="pt-BR"/>
        </w:rPr>
        <w:t>Além da poluição, as dragas movem pedras de até cinco tonel</w:t>
      </w:r>
      <w:r w:rsidRPr="00392EAD">
        <w:rPr>
          <w:lang w:val="pt-BR"/>
        </w:rPr>
        <w:t>adas das profundezas do rio e amontoam o material em</w:t>
      </w:r>
    </w:p>
    <w:p w:rsidR="00D81F69" w:rsidRPr="00392EAD" w:rsidRDefault="00330118">
      <w:pPr>
        <w:pStyle w:val="Corpodetexto"/>
        <w:spacing w:before="2" w:line="312" w:lineRule="auto"/>
        <w:ind w:right="196"/>
        <w:rPr>
          <w:lang w:val="pt-BR"/>
        </w:rPr>
      </w:pPr>
      <w:r w:rsidRPr="00392EAD">
        <w:rPr>
          <w:lang w:val="pt-BR"/>
        </w:rPr>
        <w:br w:type="column"/>
      </w:r>
      <w:r w:rsidRPr="00392EAD">
        <w:rPr>
          <w:lang w:val="pt-BR"/>
        </w:rPr>
        <w:lastRenderedPageBreak/>
        <w:t>proximidades da Área de Proteção Ambiental do Vale do Encantado (APA do Encantado) no município de Baliza (GO), que sustenta consideráveis exemplares da flora e fauna do Cerrado (DIÁRIO DA MANHÃ, 2009a)</w:t>
      </w:r>
      <w:r w:rsidRPr="00392EAD">
        <w:rPr>
          <w:lang w:val="pt-BR"/>
        </w:rPr>
        <w:t>. Desde 2008, são encontradas no rio, dentro da área de preservação ambiental, 52 dragas, que pertencem a três empresas, uma das quais possui autorização do Instituto Brasileiro do Meio Ambiente e dos Recursos Naturais Renováveis (Ibama) para dragagem (IRA</w:t>
      </w:r>
      <w:r w:rsidRPr="00392EAD">
        <w:rPr>
          <w:lang w:val="pt-BR"/>
        </w:rPr>
        <w:t>N, 2009).</w:t>
      </w:r>
    </w:p>
    <w:p w:rsidR="00D81F69" w:rsidRPr="00392EAD" w:rsidRDefault="00330118">
      <w:pPr>
        <w:pStyle w:val="Corpodetexto"/>
        <w:spacing w:before="138" w:line="312" w:lineRule="auto"/>
        <w:ind w:right="191"/>
        <w:rPr>
          <w:lang w:val="pt-BR"/>
        </w:rPr>
      </w:pPr>
      <w:r w:rsidRPr="00392EAD">
        <w:rPr>
          <w:lang w:val="pt-BR"/>
        </w:rPr>
        <w:t>Como divide dois estados da Federação, o Araguaia é um rio federal e, dessa forma, qualquer atividade econômica em suas águas, como a extração de riquezas, exige liberação do órgão federal competente, no caso, o Ibama (MENEZES, 2011). Contudo, ne</w:t>
      </w:r>
      <w:r w:rsidRPr="00392EAD">
        <w:rPr>
          <w:lang w:val="pt-BR"/>
        </w:rPr>
        <w:t>m o Ibama ou o Departamento Nacional de Produção Mineral (DNPM) conseguiam explicar a concessão de licenças para atuação de dragas numa área de preservação ambiental como a APA do Encantado. Não há notícia de resultados concretos e eficazes acerca da averi</w:t>
      </w:r>
      <w:r w:rsidRPr="00392EAD">
        <w:rPr>
          <w:lang w:val="pt-BR"/>
        </w:rPr>
        <w:t>guação sobre a expedição de licenças para o funcionamento das 52 dragas que estão instaladas na APA (DIÁRIO DA MANHÃ, 2010b).</w:t>
      </w:r>
    </w:p>
    <w:p w:rsidR="00D81F69" w:rsidRPr="00392EAD" w:rsidRDefault="00330118">
      <w:pPr>
        <w:pStyle w:val="Corpodetexto"/>
        <w:spacing w:before="141" w:line="312" w:lineRule="auto"/>
        <w:ind w:right="202"/>
        <w:rPr>
          <w:lang w:val="pt-BR"/>
        </w:rPr>
      </w:pPr>
      <w:r w:rsidRPr="00392EAD">
        <w:rPr>
          <w:spacing w:val="5"/>
          <w:lang w:val="pt-BR"/>
        </w:rPr>
        <w:t xml:space="preserve">Em </w:t>
      </w:r>
      <w:r w:rsidRPr="00392EAD">
        <w:rPr>
          <w:spacing w:val="7"/>
          <w:lang w:val="pt-BR"/>
        </w:rPr>
        <w:t xml:space="preserve">2009, </w:t>
      </w:r>
      <w:r w:rsidRPr="00392EAD">
        <w:rPr>
          <w:lang w:val="pt-BR"/>
        </w:rPr>
        <w:t xml:space="preserve">o </w:t>
      </w:r>
      <w:r w:rsidRPr="00392EAD">
        <w:rPr>
          <w:spacing w:val="8"/>
          <w:lang w:val="pt-BR"/>
        </w:rPr>
        <w:t xml:space="preserve">presidente </w:t>
      </w:r>
      <w:r w:rsidRPr="00392EAD">
        <w:rPr>
          <w:spacing w:val="5"/>
          <w:lang w:val="pt-BR"/>
        </w:rPr>
        <w:t xml:space="preserve">da </w:t>
      </w:r>
      <w:r w:rsidRPr="00392EAD">
        <w:rPr>
          <w:spacing w:val="7"/>
          <w:lang w:val="pt-BR"/>
        </w:rPr>
        <w:t xml:space="preserve">Agência Municipal </w:t>
      </w:r>
      <w:r w:rsidRPr="00392EAD">
        <w:rPr>
          <w:spacing w:val="5"/>
          <w:lang w:val="pt-BR"/>
        </w:rPr>
        <w:t xml:space="preserve">do </w:t>
      </w:r>
      <w:r w:rsidRPr="00392EAD">
        <w:rPr>
          <w:spacing w:val="10"/>
          <w:lang w:val="pt-BR"/>
        </w:rPr>
        <w:t xml:space="preserve">Meio </w:t>
      </w:r>
      <w:r w:rsidRPr="00392EAD">
        <w:rPr>
          <w:spacing w:val="7"/>
          <w:lang w:val="pt-BR"/>
        </w:rPr>
        <w:t xml:space="preserve">Ambiente (Amma), </w:t>
      </w:r>
      <w:r w:rsidRPr="00392EAD">
        <w:rPr>
          <w:spacing w:val="8"/>
          <w:lang w:val="pt-BR"/>
        </w:rPr>
        <w:t xml:space="preserve">Clarismino </w:t>
      </w:r>
      <w:r w:rsidRPr="00392EAD">
        <w:rPr>
          <w:spacing w:val="7"/>
          <w:lang w:val="pt-BR"/>
        </w:rPr>
        <w:t xml:space="preserve">Júnior, afirmava </w:t>
      </w:r>
      <w:r w:rsidRPr="00392EAD">
        <w:rPr>
          <w:spacing w:val="5"/>
          <w:lang w:val="pt-BR"/>
        </w:rPr>
        <w:t xml:space="preserve">que </w:t>
      </w:r>
      <w:r w:rsidRPr="00392EAD">
        <w:rPr>
          <w:lang w:val="pt-BR"/>
        </w:rPr>
        <w:t xml:space="preserve">a </w:t>
      </w:r>
      <w:r w:rsidRPr="00392EAD">
        <w:rPr>
          <w:spacing w:val="12"/>
          <w:lang w:val="pt-BR"/>
        </w:rPr>
        <w:t xml:space="preserve">cassação </w:t>
      </w:r>
      <w:r w:rsidRPr="00392EAD">
        <w:rPr>
          <w:spacing w:val="10"/>
          <w:lang w:val="pt-BR"/>
        </w:rPr>
        <w:t xml:space="preserve">das </w:t>
      </w:r>
      <w:r w:rsidRPr="00392EAD">
        <w:rPr>
          <w:spacing w:val="12"/>
          <w:lang w:val="pt-BR"/>
        </w:rPr>
        <w:t xml:space="preserve">licenças </w:t>
      </w:r>
      <w:r w:rsidRPr="00392EAD">
        <w:rPr>
          <w:spacing w:val="11"/>
          <w:lang w:val="pt-BR"/>
        </w:rPr>
        <w:t>poderi</w:t>
      </w:r>
      <w:r w:rsidRPr="00392EAD">
        <w:rPr>
          <w:spacing w:val="11"/>
          <w:lang w:val="pt-BR"/>
        </w:rPr>
        <w:t xml:space="preserve">a </w:t>
      </w:r>
      <w:r w:rsidRPr="00392EAD">
        <w:rPr>
          <w:spacing w:val="12"/>
          <w:lang w:val="pt-BR"/>
        </w:rPr>
        <w:t xml:space="preserve">ocorrer, </w:t>
      </w:r>
      <w:r w:rsidRPr="00392EAD">
        <w:rPr>
          <w:spacing w:val="10"/>
          <w:lang w:val="pt-BR"/>
        </w:rPr>
        <w:t xml:space="preserve">caso </w:t>
      </w:r>
      <w:r w:rsidRPr="00392EAD">
        <w:rPr>
          <w:spacing w:val="15"/>
          <w:lang w:val="pt-BR"/>
        </w:rPr>
        <w:t xml:space="preserve">fosse </w:t>
      </w:r>
      <w:r w:rsidRPr="00392EAD">
        <w:rPr>
          <w:lang w:val="pt-BR"/>
        </w:rPr>
        <w:t xml:space="preserve">comprovado que os impactos ambientais promovidos pelas </w:t>
      </w:r>
      <w:r w:rsidRPr="00392EAD">
        <w:rPr>
          <w:spacing w:val="3"/>
          <w:lang w:val="pt-BR"/>
        </w:rPr>
        <w:t xml:space="preserve">empresas mineradoras fossem maiores </w:t>
      </w:r>
      <w:r w:rsidRPr="00392EAD">
        <w:rPr>
          <w:spacing w:val="2"/>
          <w:lang w:val="pt-BR"/>
        </w:rPr>
        <w:t xml:space="preserve">que </w:t>
      </w:r>
      <w:r w:rsidRPr="00392EAD">
        <w:rPr>
          <w:spacing w:val="1"/>
          <w:lang w:val="pt-BR"/>
        </w:rPr>
        <w:t xml:space="preserve">os </w:t>
      </w:r>
      <w:r w:rsidRPr="00392EAD">
        <w:rPr>
          <w:spacing w:val="5"/>
          <w:lang w:val="pt-BR"/>
        </w:rPr>
        <w:t xml:space="preserve">benefícios </w:t>
      </w:r>
      <w:r w:rsidRPr="00392EAD">
        <w:rPr>
          <w:lang w:val="pt-BR"/>
        </w:rPr>
        <w:t>econômicos previstos inicialmente. Ele defendia a revisão das licenças e o estabelecimento de um novo regulamento para  os ga</w:t>
      </w:r>
      <w:r w:rsidRPr="00392EAD">
        <w:rPr>
          <w:lang w:val="pt-BR"/>
        </w:rPr>
        <w:t>rimpeiros (DIÁRIO DA MANHÃ,</w:t>
      </w:r>
      <w:r w:rsidRPr="00392EAD">
        <w:rPr>
          <w:spacing w:val="32"/>
          <w:lang w:val="pt-BR"/>
        </w:rPr>
        <w:t xml:space="preserve"> </w:t>
      </w:r>
      <w:r w:rsidRPr="00392EAD">
        <w:rPr>
          <w:lang w:val="pt-BR"/>
        </w:rPr>
        <w:t>2009b).</w:t>
      </w:r>
    </w:p>
    <w:p w:rsidR="00D81F69" w:rsidRPr="00392EAD" w:rsidRDefault="00330118">
      <w:pPr>
        <w:pStyle w:val="Corpodetexto"/>
        <w:spacing w:before="137" w:line="312" w:lineRule="auto"/>
        <w:ind w:right="206"/>
        <w:rPr>
          <w:lang w:val="pt-BR"/>
        </w:rPr>
      </w:pPr>
      <w:r w:rsidRPr="00392EAD">
        <w:rPr>
          <w:lang w:val="pt-BR"/>
        </w:rPr>
        <w:t xml:space="preserve">A Secretaria Estadual do Meio Ambiente e Recursos Hídricos (Semarh) afirmava não autorizar a instalação das dragas e  era taxativa em dizer que elas não deveriam estar instaladas na </w:t>
      </w:r>
      <w:r w:rsidRPr="00392EAD">
        <w:rPr>
          <w:spacing w:val="1"/>
          <w:lang w:val="pt-BR"/>
        </w:rPr>
        <w:t xml:space="preserve">região. Numa </w:t>
      </w:r>
      <w:r w:rsidRPr="00392EAD">
        <w:rPr>
          <w:lang w:val="pt-BR"/>
        </w:rPr>
        <w:t xml:space="preserve">das </w:t>
      </w:r>
      <w:r w:rsidRPr="00392EAD">
        <w:rPr>
          <w:spacing w:val="1"/>
          <w:lang w:val="pt-BR"/>
        </w:rPr>
        <w:t>audiências realizadas</w:t>
      </w:r>
      <w:r w:rsidRPr="00392EAD">
        <w:rPr>
          <w:spacing w:val="1"/>
          <w:lang w:val="pt-BR"/>
        </w:rPr>
        <w:t xml:space="preserve"> para definir </w:t>
      </w:r>
      <w:r w:rsidRPr="00392EAD">
        <w:rPr>
          <w:spacing w:val="2"/>
          <w:lang w:val="pt-BR"/>
        </w:rPr>
        <w:t xml:space="preserve">as </w:t>
      </w:r>
      <w:r w:rsidRPr="00392EAD">
        <w:rPr>
          <w:lang w:val="pt-BR"/>
        </w:rPr>
        <w:t xml:space="preserve">alternativas mais acertadas para exploração do Araguaia, o </w:t>
      </w:r>
      <w:r w:rsidRPr="00392EAD">
        <w:rPr>
          <w:spacing w:val="8"/>
          <w:lang w:val="pt-BR"/>
        </w:rPr>
        <w:t xml:space="preserve">secretário </w:t>
      </w:r>
      <w:r w:rsidRPr="00392EAD">
        <w:rPr>
          <w:spacing w:val="5"/>
          <w:lang w:val="pt-BR"/>
        </w:rPr>
        <w:t xml:space="preserve">da </w:t>
      </w:r>
      <w:r w:rsidRPr="00392EAD">
        <w:rPr>
          <w:spacing w:val="7"/>
          <w:lang w:val="pt-BR"/>
        </w:rPr>
        <w:t xml:space="preserve">Semarh, Roberto Freire, afirmou </w:t>
      </w:r>
      <w:r w:rsidRPr="00392EAD">
        <w:rPr>
          <w:spacing w:val="5"/>
          <w:lang w:val="pt-BR"/>
        </w:rPr>
        <w:t xml:space="preserve">que </w:t>
      </w:r>
      <w:r w:rsidRPr="00392EAD">
        <w:rPr>
          <w:spacing w:val="10"/>
          <w:lang w:val="pt-BR"/>
        </w:rPr>
        <w:t xml:space="preserve">“a </w:t>
      </w:r>
      <w:r w:rsidRPr="00392EAD">
        <w:rPr>
          <w:lang w:val="pt-BR"/>
        </w:rPr>
        <w:t xml:space="preserve">atividade da exploração mineral é incerta” e que “a sociedade </w:t>
      </w:r>
      <w:r w:rsidRPr="00392EAD">
        <w:rPr>
          <w:spacing w:val="3"/>
          <w:lang w:val="pt-BR"/>
        </w:rPr>
        <w:t xml:space="preserve">precisa discutir quais </w:t>
      </w:r>
      <w:r w:rsidRPr="00392EAD">
        <w:rPr>
          <w:spacing w:val="1"/>
          <w:lang w:val="pt-BR"/>
        </w:rPr>
        <w:t xml:space="preserve">os </w:t>
      </w:r>
      <w:r w:rsidRPr="00392EAD">
        <w:rPr>
          <w:spacing w:val="3"/>
          <w:lang w:val="pt-BR"/>
        </w:rPr>
        <w:t xml:space="preserve">impactos </w:t>
      </w:r>
      <w:r w:rsidRPr="00392EAD">
        <w:rPr>
          <w:spacing w:val="2"/>
          <w:lang w:val="pt-BR"/>
        </w:rPr>
        <w:t xml:space="preserve">que </w:t>
      </w:r>
      <w:r w:rsidRPr="00392EAD">
        <w:rPr>
          <w:lang w:val="pt-BR"/>
        </w:rPr>
        <w:t xml:space="preserve">o </w:t>
      </w:r>
      <w:r w:rsidRPr="00392EAD">
        <w:rPr>
          <w:spacing w:val="3"/>
          <w:lang w:val="pt-BR"/>
        </w:rPr>
        <w:t xml:space="preserve">garimpo </w:t>
      </w:r>
      <w:r w:rsidRPr="00392EAD">
        <w:rPr>
          <w:spacing w:val="5"/>
          <w:lang w:val="pt-BR"/>
        </w:rPr>
        <w:t xml:space="preserve">deixará como </w:t>
      </w:r>
      <w:r w:rsidRPr="00392EAD">
        <w:rPr>
          <w:spacing w:val="5"/>
          <w:lang w:val="pt-BR"/>
        </w:rPr>
        <w:t xml:space="preserve">herança para </w:t>
      </w:r>
      <w:r w:rsidRPr="00392EAD">
        <w:rPr>
          <w:lang w:val="pt-BR"/>
        </w:rPr>
        <w:t xml:space="preserve">o </w:t>
      </w:r>
      <w:r w:rsidRPr="00392EAD">
        <w:rPr>
          <w:spacing w:val="3"/>
          <w:lang w:val="pt-BR"/>
        </w:rPr>
        <w:t xml:space="preserve">rio </w:t>
      </w:r>
      <w:r w:rsidRPr="00392EAD">
        <w:rPr>
          <w:lang w:val="pt-BR"/>
        </w:rPr>
        <w:t xml:space="preserve">e </w:t>
      </w:r>
      <w:r w:rsidRPr="00392EAD">
        <w:rPr>
          <w:spacing w:val="5"/>
          <w:lang w:val="pt-BR"/>
        </w:rPr>
        <w:t xml:space="preserve">para </w:t>
      </w:r>
      <w:r w:rsidRPr="00392EAD">
        <w:rPr>
          <w:lang w:val="pt-BR"/>
        </w:rPr>
        <w:t xml:space="preserve">a </w:t>
      </w:r>
      <w:r w:rsidRPr="00392EAD">
        <w:rPr>
          <w:spacing w:val="5"/>
          <w:lang w:val="pt-BR"/>
        </w:rPr>
        <w:t xml:space="preserve">população local”. </w:t>
      </w:r>
      <w:r w:rsidRPr="00392EAD">
        <w:rPr>
          <w:spacing w:val="6"/>
          <w:lang w:val="pt-BR"/>
        </w:rPr>
        <w:t xml:space="preserve">Na </w:t>
      </w:r>
      <w:r w:rsidRPr="00392EAD">
        <w:rPr>
          <w:lang w:val="pt-BR"/>
        </w:rPr>
        <w:t>ocasião, propôs que o secretário de Meio Ambiente do Estado</w:t>
      </w:r>
    </w:p>
    <w:p w:rsidR="00D81F69" w:rsidRPr="00392EAD" w:rsidRDefault="00D81F69">
      <w:pPr>
        <w:spacing w:line="312" w:lineRule="auto"/>
        <w:rPr>
          <w:lang w:val="pt-BR"/>
        </w:rPr>
        <w:sectPr w:rsidR="00D81F69" w:rsidRPr="00392EAD">
          <w:type w:val="continuous"/>
          <w:pgSz w:w="11900" w:h="16840"/>
          <w:pgMar w:top="720" w:right="500" w:bottom="280" w:left="620" w:header="720" w:footer="720" w:gutter="0"/>
          <w:cols w:num="2" w:space="720" w:equalWidth="0">
            <w:col w:w="5196" w:space="274"/>
            <w:col w:w="5310"/>
          </w:cols>
        </w:sectPr>
      </w:pPr>
    </w:p>
    <w:p w:rsidR="00D81F69" w:rsidRPr="00392EAD" w:rsidRDefault="00330118">
      <w:pPr>
        <w:pStyle w:val="Corpodetexto"/>
        <w:spacing w:before="81" w:line="312" w:lineRule="auto"/>
        <w:ind w:right="42"/>
        <w:rPr>
          <w:lang w:val="pt-BR"/>
        </w:rPr>
      </w:pPr>
      <w:r w:rsidRPr="00392EAD">
        <w:rPr>
          <w:lang w:val="pt-BR"/>
        </w:rPr>
        <w:lastRenderedPageBreak/>
        <w:t>de Mato Grosso se juntasse a ele com objetivo de emitir um relatório mostrando o efeito negativo das dragas no Araguaia.</w:t>
      </w:r>
      <w:r w:rsidRPr="00392EAD">
        <w:rPr>
          <w:lang w:val="pt-BR"/>
        </w:rPr>
        <w:t xml:space="preserve"> Sugeriu, ainda, uma ação conjunta com o Ibama-GO para fiscalizar as dragas (DIÁRIO DA MANHÃ, 2009b).</w:t>
      </w:r>
    </w:p>
    <w:p w:rsidR="00D81F69" w:rsidRPr="00392EAD" w:rsidRDefault="00330118">
      <w:pPr>
        <w:pStyle w:val="Corpodetexto"/>
        <w:spacing w:before="134" w:line="312" w:lineRule="auto"/>
        <w:ind w:right="51"/>
        <w:rPr>
          <w:lang w:val="pt-BR"/>
        </w:rPr>
      </w:pPr>
      <w:r w:rsidRPr="00392EAD">
        <w:rPr>
          <w:lang w:val="pt-BR"/>
        </w:rPr>
        <w:t>Já a Secretaria de Estado do Meio Ambiente do Mato Grosso (Sema-MT) afirmava não existirem registros de licença para dragagem no rio Araguaia. Contudo, ma</w:t>
      </w:r>
      <w:r w:rsidRPr="00392EAD">
        <w:rPr>
          <w:lang w:val="pt-BR"/>
        </w:rPr>
        <w:t>is abaixo da APA do Encantado, duas extratoras de diamantes teriam liberação da Sema para a dragagem, segundo o gerente de combate à degradação da Semarh, Luciano Henrique de Moura (MENEZES, 2011).</w:t>
      </w:r>
    </w:p>
    <w:p w:rsidR="00D81F69" w:rsidRPr="00392EAD" w:rsidRDefault="00330118">
      <w:pPr>
        <w:pStyle w:val="Corpodetexto"/>
        <w:spacing w:before="136" w:line="312" w:lineRule="auto"/>
        <w:ind w:right="48"/>
        <w:rPr>
          <w:lang w:val="pt-BR"/>
        </w:rPr>
      </w:pPr>
      <w:r w:rsidRPr="00392EAD">
        <w:rPr>
          <w:spacing w:val="1"/>
          <w:lang w:val="pt-BR"/>
        </w:rPr>
        <w:t xml:space="preserve">Nesta época, </w:t>
      </w:r>
      <w:r w:rsidRPr="00392EAD">
        <w:rPr>
          <w:lang w:val="pt-BR"/>
        </w:rPr>
        <w:t xml:space="preserve">o </w:t>
      </w:r>
      <w:r w:rsidRPr="00392EAD">
        <w:rPr>
          <w:spacing w:val="1"/>
          <w:lang w:val="pt-BR"/>
        </w:rPr>
        <w:t xml:space="preserve">Ibama considerava </w:t>
      </w:r>
      <w:r w:rsidRPr="00392EAD">
        <w:rPr>
          <w:lang w:val="pt-BR"/>
        </w:rPr>
        <w:t xml:space="preserve">a </w:t>
      </w:r>
      <w:r w:rsidRPr="00392EAD">
        <w:rPr>
          <w:spacing w:val="1"/>
          <w:lang w:val="pt-BR"/>
        </w:rPr>
        <w:t xml:space="preserve">atividade </w:t>
      </w:r>
      <w:r w:rsidRPr="00392EAD">
        <w:rPr>
          <w:lang w:val="pt-BR"/>
        </w:rPr>
        <w:t xml:space="preserve">das </w:t>
      </w:r>
      <w:r w:rsidRPr="00392EAD">
        <w:rPr>
          <w:spacing w:val="2"/>
          <w:lang w:val="pt-BR"/>
        </w:rPr>
        <w:t xml:space="preserve">dragas </w:t>
      </w:r>
      <w:r w:rsidRPr="00392EAD">
        <w:rPr>
          <w:spacing w:val="3"/>
          <w:lang w:val="pt-BR"/>
        </w:rPr>
        <w:t>co</w:t>
      </w:r>
      <w:r w:rsidRPr="00392EAD">
        <w:rPr>
          <w:spacing w:val="3"/>
          <w:lang w:val="pt-BR"/>
        </w:rPr>
        <w:t xml:space="preserve">mo </w:t>
      </w:r>
      <w:r w:rsidRPr="00392EAD">
        <w:rPr>
          <w:spacing w:val="2"/>
          <w:lang w:val="pt-BR"/>
        </w:rPr>
        <w:t xml:space="preserve">de </w:t>
      </w:r>
      <w:r w:rsidRPr="00392EAD">
        <w:rPr>
          <w:spacing w:val="3"/>
          <w:lang w:val="pt-BR"/>
        </w:rPr>
        <w:t xml:space="preserve">baixo </w:t>
      </w:r>
      <w:r w:rsidRPr="00392EAD">
        <w:rPr>
          <w:spacing w:val="5"/>
          <w:lang w:val="pt-BR"/>
        </w:rPr>
        <w:t xml:space="preserve">impacto. Contudo, várias entidades eram </w:t>
      </w:r>
      <w:r w:rsidRPr="00392EAD">
        <w:rPr>
          <w:spacing w:val="11"/>
          <w:lang w:val="pt-BR"/>
        </w:rPr>
        <w:t xml:space="preserve">contra </w:t>
      </w:r>
      <w:r w:rsidRPr="00392EAD">
        <w:rPr>
          <w:spacing w:val="10"/>
          <w:lang w:val="pt-BR"/>
        </w:rPr>
        <w:t xml:space="preserve">essa </w:t>
      </w:r>
      <w:r w:rsidRPr="00392EAD">
        <w:rPr>
          <w:spacing w:val="12"/>
          <w:lang w:val="pt-BR"/>
        </w:rPr>
        <w:t xml:space="preserve">avaliação, incluindo </w:t>
      </w:r>
      <w:r w:rsidRPr="00392EAD">
        <w:rPr>
          <w:lang w:val="pt-BR"/>
        </w:rPr>
        <w:t xml:space="preserve">a </w:t>
      </w:r>
      <w:r w:rsidRPr="00392EAD">
        <w:rPr>
          <w:spacing w:val="12"/>
          <w:lang w:val="pt-BR"/>
        </w:rPr>
        <w:t xml:space="preserve">Associação </w:t>
      </w:r>
      <w:r w:rsidRPr="00392EAD">
        <w:rPr>
          <w:spacing w:val="15"/>
          <w:lang w:val="pt-BR"/>
        </w:rPr>
        <w:t xml:space="preserve">dos </w:t>
      </w:r>
      <w:r w:rsidRPr="00392EAD">
        <w:rPr>
          <w:spacing w:val="3"/>
          <w:lang w:val="pt-BR"/>
        </w:rPr>
        <w:t xml:space="preserve">Magistrados </w:t>
      </w:r>
      <w:r w:rsidRPr="00392EAD">
        <w:rPr>
          <w:spacing w:val="1"/>
          <w:lang w:val="pt-BR"/>
        </w:rPr>
        <w:t xml:space="preserve">do </w:t>
      </w:r>
      <w:r w:rsidRPr="00392EAD">
        <w:rPr>
          <w:spacing w:val="3"/>
          <w:lang w:val="pt-BR"/>
        </w:rPr>
        <w:t xml:space="preserve">Estado </w:t>
      </w:r>
      <w:r w:rsidRPr="00392EAD">
        <w:rPr>
          <w:spacing w:val="1"/>
          <w:lang w:val="pt-BR"/>
        </w:rPr>
        <w:t xml:space="preserve">de </w:t>
      </w:r>
      <w:r w:rsidRPr="00392EAD">
        <w:rPr>
          <w:spacing w:val="3"/>
          <w:lang w:val="pt-BR"/>
        </w:rPr>
        <w:t xml:space="preserve">Goiás (Asmego), </w:t>
      </w:r>
      <w:r w:rsidRPr="00392EAD">
        <w:rPr>
          <w:spacing w:val="2"/>
          <w:lang w:val="pt-BR"/>
        </w:rPr>
        <w:t xml:space="preserve">que </w:t>
      </w:r>
      <w:r w:rsidRPr="00392EAD">
        <w:rPr>
          <w:spacing w:val="5"/>
          <w:lang w:val="pt-BR"/>
        </w:rPr>
        <w:t xml:space="preserve">afirmava </w:t>
      </w:r>
      <w:r w:rsidRPr="00392EAD">
        <w:rPr>
          <w:lang w:val="pt-BR"/>
        </w:rPr>
        <w:t>através de seu representante, o juiz Átila Naves Amaral, que os estudos de impacto ambiental não era</w:t>
      </w:r>
      <w:r w:rsidRPr="00392EAD">
        <w:rPr>
          <w:lang w:val="pt-BR"/>
        </w:rPr>
        <w:t xml:space="preserve">m levados a sério </w:t>
      </w:r>
      <w:r w:rsidRPr="00392EAD">
        <w:rPr>
          <w:spacing w:val="1"/>
          <w:lang w:val="pt-BR"/>
        </w:rPr>
        <w:t xml:space="preserve">pelos órgãos ambientais, </w:t>
      </w:r>
      <w:r w:rsidRPr="00392EAD">
        <w:rPr>
          <w:lang w:val="pt-BR"/>
        </w:rPr>
        <w:t xml:space="preserve">os </w:t>
      </w:r>
      <w:r w:rsidRPr="00392EAD">
        <w:rPr>
          <w:spacing w:val="1"/>
          <w:lang w:val="pt-BR"/>
        </w:rPr>
        <w:t xml:space="preserve">quais esqueciam </w:t>
      </w:r>
      <w:r w:rsidRPr="00392EAD">
        <w:rPr>
          <w:lang w:val="pt-BR"/>
        </w:rPr>
        <w:t xml:space="preserve">as </w:t>
      </w:r>
      <w:r w:rsidRPr="00392EAD">
        <w:rPr>
          <w:spacing w:val="2"/>
          <w:lang w:val="pt-BR"/>
        </w:rPr>
        <w:t xml:space="preserve">questões </w:t>
      </w:r>
      <w:r w:rsidRPr="00392EAD">
        <w:rPr>
          <w:lang w:val="pt-BR"/>
        </w:rPr>
        <w:t xml:space="preserve">ambientais e autorizavam a atividade econômica. A Asmego também denunciava a falta de uma fiscalização rígida sobre </w:t>
      </w:r>
      <w:r w:rsidRPr="00392EAD">
        <w:rPr>
          <w:spacing w:val="2"/>
          <w:lang w:val="pt-BR"/>
        </w:rPr>
        <w:t xml:space="preserve">as </w:t>
      </w:r>
      <w:r w:rsidRPr="00392EAD">
        <w:rPr>
          <w:spacing w:val="5"/>
          <w:lang w:val="pt-BR"/>
        </w:rPr>
        <w:t xml:space="preserve">atividades </w:t>
      </w:r>
      <w:r w:rsidRPr="00392EAD">
        <w:rPr>
          <w:spacing w:val="2"/>
          <w:lang w:val="pt-BR"/>
        </w:rPr>
        <w:t xml:space="preserve">de </w:t>
      </w:r>
      <w:r w:rsidRPr="00392EAD">
        <w:rPr>
          <w:spacing w:val="5"/>
          <w:lang w:val="pt-BR"/>
        </w:rPr>
        <w:t xml:space="preserve">dragagem </w:t>
      </w:r>
      <w:r w:rsidRPr="00392EAD">
        <w:rPr>
          <w:spacing w:val="2"/>
          <w:lang w:val="pt-BR"/>
        </w:rPr>
        <w:t xml:space="preserve">no </w:t>
      </w:r>
      <w:r w:rsidRPr="00392EAD">
        <w:rPr>
          <w:spacing w:val="3"/>
          <w:lang w:val="pt-BR"/>
        </w:rPr>
        <w:t xml:space="preserve">rio </w:t>
      </w:r>
      <w:r w:rsidRPr="00392EAD">
        <w:rPr>
          <w:spacing w:val="5"/>
          <w:lang w:val="pt-BR"/>
        </w:rPr>
        <w:t>Araguaia (DIÁRIO DA</w:t>
      </w:r>
      <w:r w:rsidRPr="00392EAD">
        <w:rPr>
          <w:spacing w:val="61"/>
          <w:lang w:val="pt-BR"/>
        </w:rPr>
        <w:t xml:space="preserve"> </w:t>
      </w:r>
      <w:r w:rsidRPr="00392EAD">
        <w:rPr>
          <w:spacing w:val="5"/>
          <w:lang w:val="pt-BR"/>
        </w:rPr>
        <w:t>MANHÃ,</w:t>
      </w:r>
      <w:r w:rsidRPr="00392EAD">
        <w:rPr>
          <w:spacing w:val="32"/>
          <w:lang w:val="pt-BR"/>
        </w:rPr>
        <w:t xml:space="preserve"> </w:t>
      </w:r>
      <w:r w:rsidRPr="00392EAD">
        <w:rPr>
          <w:spacing w:val="5"/>
          <w:lang w:val="pt-BR"/>
        </w:rPr>
        <w:t>2009d)</w:t>
      </w:r>
      <w:r w:rsidRPr="00392EAD">
        <w:rPr>
          <w:spacing w:val="5"/>
          <w:lang w:val="pt-BR"/>
        </w:rPr>
        <w:t>.</w:t>
      </w:r>
    </w:p>
    <w:p w:rsidR="00D81F69" w:rsidRPr="00392EAD" w:rsidRDefault="00330118">
      <w:pPr>
        <w:pStyle w:val="Corpodetexto"/>
        <w:spacing w:before="140" w:line="312" w:lineRule="auto"/>
        <w:ind w:right="41"/>
        <w:rPr>
          <w:lang w:val="pt-BR"/>
        </w:rPr>
      </w:pPr>
      <w:r w:rsidRPr="00392EAD">
        <w:rPr>
          <w:lang w:val="pt-BR"/>
        </w:rPr>
        <w:t>Nesse mesmo ano, como as águas da região de Itapuranga haviam abaixado de forma assustadora e estavam fora do nível normal, a população da região exigiu a imediata paralisação das dragas que poluíam todo o vale do rio Araguaia através de um abaixo-assina</w:t>
      </w:r>
      <w:r w:rsidRPr="00392EAD">
        <w:rPr>
          <w:lang w:val="pt-BR"/>
        </w:rPr>
        <w:t>do - que obteve um milhão de assinaturas - enviado ao presidente da República, na época, Luiz Inácio Lula da Silva. As assinaturas começaram a ser recolhidas em setembro de 2009 em municípios como Itapuranga (GO), onde foram obtidas 10.000 adesões, e entre</w:t>
      </w:r>
      <w:r w:rsidRPr="00392EAD">
        <w:rPr>
          <w:lang w:val="pt-BR"/>
        </w:rPr>
        <w:t>gues em janeiro de 2010. O abaixo-assinado exigia paralisação total das dragas e compensação pelos danos ambientais já causados (DIÁRIO DA MANHÃ, 2010a).</w:t>
      </w:r>
    </w:p>
    <w:p w:rsidR="00D81F69" w:rsidRPr="00392EAD" w:rsidRDefault="00330118">
      <w:pPr>
        <w:pStyle w:val="Corpodetexto"/>
        <w:spacing w:before="141" w:line="312" w:lineRule="auto"/>
        <w:ind w:right="41"/>
        <w:rPr>
          <w:lang w:val="pt-BR"/>
        </w:rPr>
      </w:pPr>
      <w:r w:rsidRPr="00392EAD">
        <w:rPr>
          <w:lang w:val="pt-BR"/>
        </w:rPr>
        <w:t>A tentativa de retirar as dragas do rio Araguaia é antiga. Os empresários que têm máquinas em operação</w:t>
      </w:r>
      <w:r w:rsidRPr="00392EAD">
        <w:rPr>
          <w:lang w:val="pt-BR"/>
        </w:rPr>
        <w:t xml:space="preserve"> sempre ignoram fiscalizações e apreensões, enquanto os grupos de defesa do meio ambiente buscam formas efetivas e legais de eliminar os trabalhos de retirada de pedras preciosas, inclusive diamantes raros, de colorações diversas (MENEZES, 2010).</w:t>
      </w:r>
    </w:p>
    <w:p w:rsidR="00D81F69" w:rsidRPr="00392EAD" w:rsidRDefault="00330118">
      <w:pPr>
        <w:pStyle w:val="Corpodetexto"/>
        <w:spacing w:before="136" w:line="312" w:lineRule="auto"/>
        <w:ind w:right="38"/>
        <w:rPr>
          <w:lang w:val="pt-BR"/>
        </w:rPr>
      </w:pPr>
      <w:r w:rsidRPr="00392EAD">
        <w:rPr>
          <w:lang w:val="pt-BR"/>
        </w:rPr>
        <w:t>Desde 2009, Organizações Não Governamentais (ONGs), parlamentares, o Partido Verde (PV) de Goiás, a Comissão de Meio Ambiente e Recursos Hídricos da Assembleia Legislativa de Goiás e outros agentes do governo, como a Semarh e a Amma, têm atuado contra a am</w:t>
      </w:r>
      <w:r w:rsidRPr="00392EAD">
        <w:rPr>
          <w:lang w:val="pt-BR"/>
        </w:rPr>
        <w:t>eaça constante que o manancial tem enfrentado em virtude da presença das dragas. A Asmego também apoia a luta pelo fim da atividade devastadora das dragas, afirmando ser evidente que a atividade tem provocado, aos poucos, a morte do Araguaia (DIÁRIO DA MAN</w:t>
      </w:r>
      <w:r w:rsidRPr="00392EAD">
        <w:rPr>
          <w:lang w:val="pt-BR"/>
        </w:rPr>
        <w:t>HÃ, 2009c; DIÁRIO DA MANHÃ, 2009d). Da</w:t>
      </w:r>
    </w:p>
    <w:p w:rsidR="00D81F69" w:rsidRPr="00392EAD" w:rsidRDefault="00330118">
      <w:pPr>
        <w:pStyle w:val="Corpodetexto"/>
        <w:spacing w:before="9" w:line="312" w:lineRule="auto"/>
        <w:ind w:right="62"/>
        <w:rPr>
          <w:lang w:val="pt-BR"/>
        </w:rPr>
      </w:pPr>
      <w:r w:rsidRPr="00392EAD">
        <w:rPr>
          <w:lang w:val="pt-BR"/>
        </w:rPr>
        <w:t>mesma forma, houve um esforço para comprometer o Ministério do Meio Ambiente com a causa da preservação do rio e viabilizar ações conjuntas entre estados, prefeituras e União (DIÁRIO DA MANHÃ, 2009c).</w:t>
      </w:r>
    </w:p>
    <w:p w:rsidR="00D81F69" w:rsidRPr="00392EAD" w:rsidRDefault="00330118">
      <w:pPr>
        <w:pStyle w:val="Corpodetexto"/>
        <w:spacing w:before="5"/>
        <w:ind w:left="0"/>
        <w:jc w:val="left"/>
        <w:rPr>
          <w:sz w:val="24"/>
          <w:lang w:val="pt-BR"/>
        </w:rPr>
      </w:pPr>
      <w:r w:rsidRPr="00392EAD">
        <w:rPr>
          <w:lang w:val="pt-BR"/>
        </w:rPr>
        <w:br w:type="column"/>
      </w:r>
    </w:p>
    <w:p w:rsidR="00D81F69" w:rsidRPr="00392EAD" w:rsidRDefault="00330118">
      <w:pPr>
        <w:pStyle w:val="Corpodetexto"/>
        <w:spacing w:line="312" w:lineRule="auto"/>
        <w:ind w:right="212"/>
        <w:rPr>
          <w:lang w:val="pt-BR"/>
        </w:rPr>
      </w:pPr>
      <w:r w:rsidRPr="00392EAD">
        <w:rPr>
          <w:lang w:val="pt-BR"/>
        </w:rPr>
        <w:t>Ainda em 2009,</w:t>
      </w:r>
      <w:r w:rsidRPr="00392EAD">
        <w:rPr>
          <w:lang w:val="pt-BR"/>
        </w:rPr>
        <w:t xml:space="preserve"> as balsas localizadas entre Ponte Branca e Baliza (GO), principalmente na APA do Encantado, foram interditadas por não oferecerem condições de trabalho dignas e pela falta de registros trabalhistas. Na ocasião, a Comissão de Meio Ambiente da Assembléia Le</w:t>
      </w:r>
      <w:r w:rsidRPr="00392EAD">
        <w:rPr>
          <w:lang w:val="pt-BR"/>
        </w:rPr>
        <w:t>gislativa de Goiás propôs uma audiência pública visando discutir ações para salvar o rio Araguaia (DIÁRIO DA MANHÃ, 2009d).</w:t>
      </w:r>
    </w:p>
    <w:p w:rsidR="00D81F69" w:rsidRPr="00392EAD" w:rsidRDefault="00330118">
      <w:pPr>
        <w:pStyle w:val="Corpodetexto"/>
        <w:spacing w:before="136" w:line="312" w:lineRule="auto"/>
        <w:ind w:right="206"/>
        <w:rPr>
          <w:lang w:val="pt-BR"/>
        </w:rPr>
      </w:pPr>
      <w:r w:rsidRPr="00392EAD">
        <w:rPr>
          <w:lang w:val="pt-BR"/>
        </w:rPr>
        <w:t xml:space="preserve">A informação do DNPM, em 2009, de que novas licenças não </w:t>
      </w:r>
      <w:r w:rsidRPr="00392EAD">
        <w:rPr>
          <w:spacing w:val="7"/>
          <w:lang w:val="pt-BR"/>
        </w:rPr>
        <w:t xml:space="preserve">seriam emitidas </w:t>
      </w:r>
      <w:r w:rsidRPr="00392EAD">
        <w:rPr>
          <w:lang w:val="pt-BR"/>
        </w:rPr>
        <w:t xml:space="preserve">e </w:t>
      </w:r>
      <w:r w:rsidRPr="00392EAD">
        <w:rPr>
          <w:spacing w:val="5"/>
          <w:lang w:val="pt-BR"/>
        </w:rPr>
        <w:t xml:space="preserve">nem </w:t>
      </w:r>
      <w:r w:rsidRPr="00392EAD">
        <w:rPr>
          <w:spacing w:val="7"/>
          <w:lang w:val="pt-BR"/>
        </w:rPr>
        <w:t xml:space="preserve">renovadas foram </w:t>
      </w:r>
      <w:r w:rsidRPr="00392EAD">
        <w:rPr>
          <w:spacing w:val="10"/>
          <w:lang w:val="pt-BR"/>
        </w:rPr>
        <w:t xml:space="preserve">consideradas </w:t>
      </w:r>
      <w:r w:rsidRPr="00392EAD">
        <w:rPr>
          <w:spacing w:val="3"/>
          <w:lang w:val="pt-BR"/>
        </w:rPr>
        <w:t xml:space="preserve">animadoras (DIÁRIO </w:t>
      </w:r>
      <w:r w:rsidRPr="00392EAD">
        <w:rPr>
          <w:spacing w:val="1"/>
          <w:lang w:val="pt-BR"/>
        </w:rPr>
        <w:t xml:space="preserve">DA </w:t>
      </w:r>
      <w:r w:rsidRPr="00392EAD">
        <w:rPr>
          <w:spacing w:val="3"/>
          <w:lang w:val="pt-BR"/>
        </w:rPr>
        <w:t xml:space="preserve">MANHÃ 2009d). </w:t>
      </w:r>
      <w:r w:rsidRPr="00392EAD">
        <w:rPr>
          <w:spacing w:val="1"/>
          <w:lang w:val="pt-BR"/>
        </w:rPr>
        <w:t xml:space="preserve">Em </w:t>
      </w:r>
      <w:r w:rsidRPr="00392EAD">
        <w:rPr>
          <w:spacing w:val="3"/>
          <w:lang w:val="pt-BR"/>
        </w:rPr>
        <w:t xml:space="preserve">meados </w:t>
      </w:r>
      <w:r w:rsidRPr="00392EAD">
        <w:rPr>
          <w:spacing w:val="5"/>
          <w:lang w:val="pt-BR"/>
        </w:rPr>
        <w:t xml:space="preserve">de </w:t>
      </w:r>
      <w:r w:rsidRPr="00392EAD">
        <w:rPr>
          <w:spacing w:val="3"/>
          <w:lang w:val="pt-BR"/>
        </w:rPr>
        <w:t xml:space="preserve">2010, </w:t>
      </w:r>
      <w:r w:rsidRPr="00392EAD">
        <w:rPr>
          <w:spacing w:val="2"/>
          <w:lang w:val="pt-BR"/>
        </w:rPr>
        <w:t xml:space="preserve">70 </w:t>
      </w:r>
      <w:r w:rsidRPr="00392EAD">
        <w:rPr>
          <w:spacing w:val="5"/>
          <w:lang w:val="pt-BR"/>
        </w:rPr>
        <w:t xml:space="preserve">balsas </w:t>
      </w:r>
      <w:r w:rsidRPr="00392EAD">
        <w:rPr>
          <w:spacing w:val="3"/>
          <w:lang w:val="pt-BR"/>
        </w:rPr>
        <w:t xml:space="preserve">que </w:t>
      </w:r>
      <w:r w:rsidRPr="00392EAD">
        <w:rPr>
          <w:spacing w:val="5"/>
          <w:lang w:val="pt-BR"/>
        </w:rPr>
        <w:t xml:space="preserve">estavam </w:t>
      </w:r>
      <w:r w:rsidRPr="00392EAD">
        <w:rPr>
          <w:spacing w:val="2"/>
          <w:lang w:val="pt-BR"/>
        </w:rPr>
        <w:t xml:space="preserve">em </w:t>
      </w:r>
      <w:r w:rsidRPr="00392EAD">
        <w:rPr>
          <w:spacing w:val="5"/>
          <w:lang w:val="pt-BR"/>
        </w:rPr>
        <w:t xml:space="preserve">atividade </w:t>
      </w:r>
      <w:r w:rsidRPr="00392EAD">
        <w:rPr>
          <w:spacing w:val="2"/>
          <w:lang w:val="pt-BR"/>
        </w:rPr>
        <w:t xml:space="preserve">no </w:t>
      </w:r>
      <w:r w:rsidRPr="00392EAD">
        <w:rPr>
          <w:spacing w:val="3"/>
          <w:lang w:val="pt-BR"/>
        </w:rPr>
        <w:t xml:space="preserve">rio </w:t>
      </w:r>
      <w:r w:rsidRPr="00392EAD">
        <w:rPr>
          <w:spacing w:val="5"/>
          <w:lang w:val="pt-BR"/>
        </w:rPr>
        <w:t>foram</w:t>
      </w:r>
      <w:r w:rsidRPr="00392EAD">
        <w:rPr>
          <w:spacing w:val="61"/>
          <w:lang w:val="pt-BR"/>
        </w:rPr>
        <w:t xml:space="preserve"> </w:t>
      </w:r>
      <w:r w:rsidRPr="00392EAD">
        <w:rPr>
          <w:spacing w:val="1"/>
          <w:lang w:val="pt-BR"/>
        </w:rPr>
        <w:t xml:space="preserve">interditadas pela Superintendência Regional </w:t>
      </w:r>
      <w:r w:rsidRPr="00392EAD">
        <w:rPr>
          <w:lang w:val="pt-BR"/>
        </w:rPr>
        <w:t xml:space="preserve">do </w:t>
      </w:r>
      <w:r w:rsidRPr="00392EAD">
        <w:rPr>
          <w:spacing w:val="1"/>
          <w:lang w:val="pt-BR"/>
        </w:rPr>
        <w:t xml:space="preserve">Trabalho </w:t>
      </w:r>
      <w:r w:rsidRPr="00392EAD">
        <w:rPr>
          <w:lang w:val="pt-BR"/>
        </w:rPr>
        <w:t xml:space="preserve">e Emprego, do Ministério do Trabalho (SRTE). Na época, foram </w:t>
      </w:r>
      <w:r w:rsidRPr="00392EAD">
        <w:rPr>
          <w:spacing w:val="3"/>
          <w:lang w:val="pt-BR"/>
        </w:rPr>
        <w:t xml:space="preserve">lavrados </w:t>
      </w:r>
      <w:r w:rsidRPr="00392EAD">
        <w:rPr>
          <w:spacing w:val="1"/>
          <w:lang w:val="pt-BR"/>
        </w:rPr>
        <w:t xml:space="preserve">54 </w:t>
      </w:r>
      <w:r w:rsidRPr="00392EAD">
        <w:rPr>
          <w:spacing w:val="3"/>
          <w:lang w:val="pt-BR"/>
        </w:rPr>
        <w:t xml:space="preserve">autos </w:t>
      </w:r>
      <w:r w:rsidRPr="00392EAD">
        <w:rPr>
          <w:spacing w:val="1"/>
          <w:lang w:val="pt-BR"/>
        </w:rPr>
        <w:t xml:space="preserve">de </w:t>
      </w:r>
      <w:r w:rsidRPr="00392EAD">
        <w:rPr>
          <w:spacing w:val="3"/>
          <w:lang w:val="pt-BR"/>
        </w:rPr>
        <w:t xml:space="preserve">infração, </w:t>
      </w:r>
      <w:r w:rsidRPr="00392EAD">
        <w:rPr>
          <w:spacing w:val="1"/>
          <w:lang w:val="pt-BR"/>
        </w:rPr>
        <w:t xml:space="preserve">27 de </w:t>
      </w:r>
      <w:r w:rsidRPr="00392EAD">
        <w:rPr>
          <w:spacing w:val="3"/>
          <w:lang w:val="pt-BR"/>
        </w:rPr>
        <w:t xml:space="preserve">interdição; </w:t>
      </w:r>
      <w:r w:rsidRPr="00392EAD">
        <w:rPr>
          <w:spacing w:val="2"/>
          <w:lang w:val="pt-BR"/>
        </w:rPr>
        <w:t xml:space="preserve">além </w:t>
      </w:r>
      <w:r w:rsidRPr="00392EAD">
        <w:rPr>
          <w:spacing w:val="5"/>
          <w:lang w:val="pt-BR"/>
        </w:rPr>
        <w:t>de s</w:t>
      </w:r>
      <w:r w:rsidRPr="00392EAD">
        <w:rPr>
          <w:spacing w:val="5"/>
          <w:lang w:val="pt-BR"/>
        </w:rPr>
        <w:t xml:space="preserve">erem localizados </w:t>
      </w:r>
      <w:r w:rsidRPr="00392EAD">
        <w:rPr>
          <w:spacing w:val="2"/>
          <w:lang w:val="pt-BR"/>
        </w:rPr>
        <w:t xml:space="preserve">27 </w:t>
      </w:r>
      <w:r w:rsidRPr="00392EAD">
        <w:rPr>
          <w:spacing w:val="5"/>
          <w:lang w:val="pt-BR"/>
        </w:rPr>
        <w:t xml:space="preserve">empregadores </w:t>
      </w:r>
      <w:r w:rsidRPr="00392EAD">
        <w:rPr>
          <w:lang w:val="pt-BR"/>
        </w:rPr>
        <w:t xml:space="preserve">e </w:t>
      </w:r>
      <w:r w:rsidRPr="00392EAD">
        <w:rPr>
          <w:spacing w:val="3"/>
          <w:lang w:val="pt-BR"/>
        </w:rPr>
        <w:t xml:space="preserve">150 </w:t>
      </w:r>
      <w:r w:rsidRPr="00392EAD">
        <w:rPr>
          <w:spacing w:val="6"/>
          <w:lang w:val="pt-BR"/>
        </w:rPr>
        <w:t xml:space="preserve">empregados </w:t>
      </w:r>
      <w:r w:rsidRPr="00392EAD">
        <w:rPr>
          <w:spacing w:val="5"/>
          <w:lang w:val="pt-BR"/>
        </w:rPr>
        <w:t xml:space="preserve">(MENEZES, </w:t>
      </w:r>
      <w:r w:rsidRPr="00392EAD">
        <w:rPr>
          <w:spacing w:val="6"/>
          <w:lang w:val="pt-BR"/>
        </w:rPr>
        <w:t>2011).</w:t>
      </w:r>
    </w:p>
    <w:p w:rsidR="00D81F69" w:rsidRPr="00392EAD" w:rsidRDefault="00330118">
      <w:pPr>
        <w:pStyle w:val="Corpodetexto"/>
        <w:spacing w:before="139" w:line="312" w:lineRule="auto"/>
        <w:ind w:right="189"/>
        <w:rPr>
          <w:lang w:val="pt-BR"/>
        </w:rPr>
      </w:pPr>
      <w:r w:rsidRPr="00392EAD">
        <w:rPr>
          <w:spacing w:val="6"/>
          <w:lang w:val="pt-BR"/>
        </w:rPr>
        <w:t xml:space="preserve">Após </w:t>
      </w:r>
      <w:r w:rsidRPr="00392EAD">
        <w:rPr>
          <w:spacing w:val="5"/>
          <w:lang w:val="pt-BR"/>
        </w:rPr>
        <w:t xml:space="preserve">os </w:t>
      </w:r>
      <w:r w:rsidRPr="00392EAD">
        <w:rPr>
          <w:spacing w:val="7"/>
          <w:lang w:val="pt-BR"/>
        </w:rPr>
        <w:t xml:space="preserve">esforços </w:t>
      </w:r>
      <w:r w:rsidRPr="00392EAD">
        <w:rPr>
          <w:spacing w:val="5"/>
          <w:lang w:val="pt-BR"/>
        </w:rPr>
        <w:t xml:space="preserve">da </w:t>
      </w:r>
      <w:r w:rsidRPr="00392EAD">
        <w:rPr>
          <w:spacing w:val="8"/>
          <w:lang w:val="pt-BR"/>
        </w:rPr>
        <w:t xml:space="preserve">população, organizações </w:t>
      </w:r>
      <w:r w:rsidRPr="00392EAD">
        <w:rPr>
          <w:spacing w:val="7"/>
          <w:lang w:val="pt-BR"/>
        </w:rPr>
        <w:t xml:space="preserve">civis </w:t>
      </w:r>
      <w:r w:rsidRPr="00392EAD">
        <w:rPr>
          <w:lang w:val="pt-BR"/>
        </w:rPr>
        <w:t xml:space="preserve">e </w:t>
      </w:r>
      <w:r w:rsidRPr="00392EAD">
        <w:rPr>
          <w:spacing w:val="8"/>
          <w:lang w:val="pt-BR"/>
        </w:rPr>
        <w:t xml:space="preserve">autoridades </w:t>
      </w:r>
      <w:r w:rsidRPr="00392EAD">
        <w:rPr>
          <w:spacing w:val="7"/>
          <w:lang w:val="pt-BR"/>
        </w:rPr>
        <w:t xml:space="preserve">locais, </w:t>
      </w:r>
      <w:r w:rsidRPr="00392EAD">
        <w:rPr>
          <w:lang w:val="pt-BR"/>
        </w:rPr>
        <w:t xml:space="preserve">a </w:t>
      </w:r>
      <w:r w:rsidRPr="00392EAD">
        <w:rPr>
          <w:spacing w:val="7"/>
          <w:lang w:val="pt-BR"/>
        </w:rPr>
        <w:t xml:space="preserve">Justiça </w:t>
      </w:r>
      <w:r w:rsidRPr="00392EAD">
        <w:rPr>
          <w:spacing w:val="8"/>
          <w:lang w:val="pt-BR"/>
        </w:rPr>
        <w:t xml:space="preserve">determinou, </w:t>
      </w:r>
      <w:r w:rsidRPr="00392EAD">
        <w:rPr>
          <w:spacing w:val="5"/>
          <w:lang w:val="pt-BR"/>
        </w:rPr>
        <w:t xml:space="preserve">no </w:t>
      </w:r>
      <w:r w:rsidRPr="00392EAD">
        <w:rPr>
          <w:spacing w:val="10"/>
          <w:lang w:val="pt-BR"/>
        </w:rPr>
        <w:t xml:space="preserve">primeiro </w:t>
      </w:r>
      <w:r w:rsidRPr="00392EAD">
        <w:rPr>
          <w:spacing w:val="8"/>
          <w:lang w:val="pt-BR"/>
        </w:rPr>
        <w:t xml:space="preserve">semestre </w:t>
      </w:r>
      <w:r w:rsidRPr="00392EAD">
        <w:rPr>
          <w:spacing w:val="5"/>
          <w:lang w:val="pt-BR"/>
        </w:rPr>
        <w:t xml:space="preserve">de </w:t>
      </w:r>
      <w:r w:rsidRPr="00392EAD">
        <w:rPr>
          <w:spacing w:val="7"/>
          <w:lang w:val="pt-BR"/>
        </w:rPr>
        <w:t xml:space="preserve">2011, </w:t>
      </w:r>
      <w:r w:rsidRPr="00392EAD">
        <w:rPr>
          <w:lang w:val="pt-BR"/>
        </w:rPr>
        <w:t xml:space="preserve">a </w:t>
      </w:r>
      <w:r w:rsidRPr="00392EAD">
        <w:rPr>
          <w:spacing w:val="7"/>
          <w:lang w:val="pt-BR"/>
        </w:rPr>
        <w:t xml:space="preserve">saída </w:t>
      </w:r>
      <w:r w:rsidRPr="00392EAD">
        <w:rPr>
          <w:spacing w:val="8"/>
          <w:lang w:val="pt-BR"/>
        </w:rPr>
        <w:t xml:space="preserve">imediata </w:t>
      </w:r>
      <w:r w:rsidRPr="00392EAD">
        <w:rPr>
          <w:spacing w:val="6"/>
          <w:lang w:val="pt-BR"/>
        </w:rPr>
        <w:t xml:space="preserve">das </w:t>
      </w:r>
      <w:r w:rsidRPr="00392EAD">
        <w:rPr>
          <w:spacing w:val="8"/>
          <w:lang w:val="pt-BR"/>
        </w:rPr>
        <w:t xml:space="preserve">dragas </w:t>
      </w:r>
      <w:r w:rsidRPr="00392EAD">
        <w:rPr>
          <w:lang w:val="pt-BR"/>
        </w:rPr>
        <w:t>e a suspensão de todo e qualquer tipo</w:t>
      </w:r>
      <w:r w:rsidRPr="00392EAD">
        <w:rPr>
          <w:lang w:val="pt-BR"/>
        </w:rPr>
        <w:t xml:space="preserve"> de trabalho de dragagem </w:t>
      </w:r>
      <w:r w:rsidRPr="00392EAD">
        <w:rPr>
          <w:spacing w:val="5"/>
          <w:lang w:val="pt-BR"/>
        </w:rPr>
        <w:t xml:space="preserve">no </w:t>
      </w:r>
      <w:r w:rsidRPr="00392EAD">
        <w:rPr>
          <w:spacing w:val="7"/>
          <w:lang w:val="pt-BR"/>
        </w:rPr>
        <w:t xml:space="preserve">Araguaia. </w:t>
      </w:r>
      <w:r w:rsidRPr="00392EAD">
        <w:rPr>
          <w:spacing w:val="6"/>
          <w:lang w:val="pt-BR"/>
        </w:rPr>
        <w:t xml:space="preserve">Mais </w:t>
      </w:r>
      <w:r w:rsidRPr="00392EAD">
        <w:rPr>
          <w:spacing w:val="5"/>
          <w:lang w:val="pt-BR"/>
        </w:rPr>
        <w:t xml:space="preserve">de 50 </w:t>
      </w:r>
      <w:r w:rsidRPr="00392EAD">
        <w:rPr>
          <w:spacing w:val="7"/>
          <w:lang w:val="pt-BR"/>
        </w:rPr>
        <w:t xml:space="preserve">máquinas </w:t>
      </w:r>
      <w:r w:rsidRPr="00392EAD">
        <w:rPr>
          <w:spacing w:val="5"/>
          <w:lang w:val="pt-BR"/>
        </w:rPr>
        <w:t xml:space="preserve">que </w:t>
      </w:r>
      <w:r w:rsidRPr="00392EAD">
        <w:rPr>
          <w:spacing w:val="8"/>
          <w:lang w:val="pt-BR"/>
        </w:rPr>
        <w:t xml:space="preserve">realizavam </w:t>
      </w:r>
      <w:r w:rsidRPr="00392EAD">
        <w:rPr>
          <w:spacing w:val="10"/>
          <w:lang w:val="pt-BR"/>
        </w:rPr>
        <w:t xml:space="preserve">as </w:t>
      </w:r>
      <w:r w:rsidRPr="00392EAD">
        <w:rPr>
          <w:spacing w:val="5"/>
          <w:lang w:val="pt-BR"/>
        </w:rPr>
        <w:t xml:space="preserve">operações </w:t>
      </w:r>
      <w:r w:rsidRPr="00392EAD">
        <w:rPr>
          <w:spacing w:val="2"/>
          <w:lang w:val="pt-BR"/>
        </w:rPr>
        <w:t xml:space="preserve">de </w:t>
      </w:r>
      <w:r w:rsidRPr="00392EAD">
        <w:rPr>
          <w:spacing w:val="5"/>
          <w:lang w:val="pt-BR"/>
        </w:rPr>
        <w:t xml:space="preserve">dragagem </w:t>
      </w:r>
      <w:r w:rsidRPr="00392EAD">
        <w:rPr>
          <w:spacing w:val="3"/>
          <w:lang w:val="pt-BR"/>
        </w:rPr>
        <w:t xml:space="preserve">foram </w:t>
      </w:r>
      <w:r w:rsidRPr="00392EAD">
        <w:rPr>
          <w:spacing w:val="5"/>
          <w:lang w:val="pt-BR"/>
        </w:rPr>
        <w:t xml:space="preserve">lacradas </w:t>
      </w:r>
      <w:r w:rsidRPr="00392EAD">
        <w:rPr>
          <w:lang w:val="pt-BR"/>
        </w:rPr>
        <w:t xml:space="preserve">e </w:t>
      </w:r>
      <w:r w:rsidRPr="00392EAD">
        <w:rPr>
          <w:spacing w:val="5"/>
          <w:lang w:val="pt-BR"/>
        </w:rPr>
        <w:t>impedidas de</w:t>
      </w:r>
      <w:r w:rsidRPr="00392EAD">
        <w:rPr>
          <w:spacing w:val="61"/>
          <w:lang w:val="pt-BR"/>
        </w:rPr>
        <w:t xml:space="preserve"> </w:t>
      </w:r>
      <w:r w:rsidRPr="00392EAD">
        <w:rPr>
          <w:spacing w:val="5"/>
          <w:lang w:val="pt-BR"/>
        </w:rPr>
        <w:t xml:space="preserve">manter qualquer atividade </w:t>
      </w:r>
      <w:r w:rsidRPr="00392EAD">
        <w:rPr>
          <w:spacing w:val="3"/>
          <w:lang w:val="pt-BR"/>
        </w:rPr>
        <w:t xml:space="preserve">nas águas </w:t>
      </w:r>
      <w:r w:rsidRPr="00392EAD">
        <w:rPr>
          <w:spacing w:val="2"/>
          <w:lang w:val="pt-BR"/>
        </w:rPr>
        <w:t xml:space="preserve">do </w:t>
      </w:r>
      <w:r w:rsidRPr="00392EAD">
        <w:rPr>
          <w:spacing w:val="3"/>
          <w:lang w:val="pt-BR"/>
        </w:rPr>
        <w:t xml:space="preserve">rio </w:t>
      </w:r>
      <w:r w:rsidRPr="00392EAD">
        <w:rPr>
          <w:spacing w:val="5"/>
          <w:lang w:val="pt-BR"/>
        </w:rPr>
        <w:t>(MENEZES, 2011).</w:t>
      </w:r>
    </w:p>
    <w:p w:rsidR="00D81F69" w:rsidRPr="00392EAD" w:rsidRDefault="00330118">
      <w:pPr>
        <w:pStyle w:val="Corpodetexto"/>
        <w:spacing w:before="137" w:line="312" w:lineRule="auto"/>
        <w:ind w:right="208"/>
        <w:rPr>
          <w:lang w:val="pt-BR"/>
        </w:rPr>
      </w:pPr>
      <w:r w:rsidRPr="00392EAD">
        <w:rPr>
          <w:lang w:val="pt-BR"/>
        </w:rPr>
        <w:t>Apesar de terem sido retirados os 52 equipamentos de dragagem no rio</w:t>
      </w:r>
      <w:r w:rsidRPr="00392EAD">
        <w:rPr>
          <w:lang w:val="pt-BR"/>
        </w:rPr>
        <w:t xml:space="preserve"> Araguaia, uma nova extratora foi encontrada no leito do rio em agosto de 2011, demonstrando a necessidade de fiscalização constante até os dias de hoje (LIMA, 2011).</w:t>
      </w:r>
    </w:p>
    <w:p w:rsidR="00D81F69" w:rsidRPr="00392EAD" w:rsidRDefault="00330118">
      <w:pPr>
        <w:pStyle w:val="Corpodetexto"/>
        <w:spacing w:before="135" w:line="312" w:lineRule="auto"/>
        <w:ind w:right="211"/>
        <w:rPr>
          <w:lang w:val="pt-BR"/>
        </w:rPr>
      </w:pPr>
      <w:r w:rsidRPr="00392EAD">
        <w:rPr>
          <w:lang w:val="pt-BR"/>
        </w:rPr>
        <w:t xml:space="preserve">Esses não foram os únicos problemas ambientais enfrentados na região. O rio vive também sob a ameaça da construção de diversas usinas hidrelétricas – já aprovadas pelo Ministério de Minas e Energia (MME) e que devem ser construídas até 2014 (GUERREIROS DO </w:t>
      </w:r>
      <w:r w:rsidRPr="00392EAD">
        <w:rPr>
          <w:lang w:val="pt-BR"/>
        </w:rPr>
        <w:t>ARAGUAIA, 2009).</w:t>
      </w:r>
    </w:p>
    <w:p w:rsidR="00D81F69" w:rsidRPr="00392EAD" w:rsidRDefault="00330118">
      <w:pPr>
        <w:pStyle w:val="Corpodetexto"/>
        <w:spacing w:before="134" w:line="312" w:lineRule="auto"/>
        <w:ind w:right="191"/>
        <w:rPr>
          <w:lang w:val="pt-BR"/>
        </w:rPr>
      </w:pPr>
      <w:r w:rsidRPr="00392EAD">
        <w:rPr>
          <w:lang w:val="pt-BR"/>
        </w:rPr>
        <w:t>Vários representantes das mais diversas instituições defendem que a exploração econômica dos garimpos no rio Araguaia precisa ser limitada. O presidente do PV de Goiás afirma que o turismo voltado para apreciação de ecossistemas em seu est</w:t>
      </w:r>
      <w:r w:rsidRPr="00392EAD">
        <w:rPr>
          <w:lang w:val="pt-BR"/>
        </w:rPr>
        <w:t>ado natural e a preservação da população nativa são mais lucrativos economicamente do que o garimpo. Contudo, alerta que até mesmo a visitação dos turistas deve ser controlada (DIÁRIO DA MANHÃ, 2009b; DIÁRIO DA MANHÃ, 2009c).</w:t>
      </w:r>
    </w:p>
    <w:p w:rsidR="00D81F69" w:rsidRPr="00392EAD" w:rsidRDefault="00330118">
      <w:pPr>
        <w:pStyle w:val="Corpodetexto"/>
        <w:spacing w:before="139" w:line="312" w:lineRule="auto"/>
        <w:ind w:right="196"/>
        <w:rPr>
          <w:lang w:val="pt-BR"/>
        </w:rPr>
      </w:pPr>
      <w:r w:rsidRPr="00392EAD">
        <w:rPr>
          <w:lang w:val="pt-BR"/>
        </w:rPr>
        <w:t>Ainda hoje é necessário que os</w:t>
      </w:r>
      <w:r w:rsidRPr="00392EAD">
        <w:rPr>
          <w:lang w:val="pt-BR"/>
        </w:rPr>
        <w:t xml:space="preserve"> estados de Goiás e Mato Grosso unam forças para preservar o Araguaia, pois do lado de Goiás tem-se a APA do Encantado onde há, teoricamente, maior fiscalização por parte das autoridades ambientais, mas do lado de Mato Grosso são encontradas apenas proprie</w:t>
      </w:r>
      <w:r w:rsidRPr="00392EAD">
        <w:rPr>
          <w:lang w:val="pt-BR"/>
        </w:rPr>
        <w:t>dades privadas, onde essa fiscalização é menor (GUERREIROS DO ARAGUAIA, 2009).</w:t>
      </w:r>
    </w:p>
    <w:p w:rsidR="00D81F69" w:rsidRPr="00392EAD" w:rsidRDefault="00D81F69">
      <w:pPr>
        <w:pStyle w:val="Corpodetexto"/>
        <w:spacing w:before="6"/>
        <w:ind w:left="0"/>
        <w:jc w:val="left"/>
        <w:rPr>
          <w:sz w:val="21"/>
          <w:lang w:val="pt-BR"/>
        </w:rPr>
      </w:pPr>
    </w:p>
    <w:p w:rsidR="00D81F69" w:rsidRPr="00392EAD" w:rsidRDefault="00330118">
      <w:pPr>
        <w:pStyle w:val="Heading7"/>
        <w:rPr>
          <w:lang w:val="pt-BR"/>
        </w:rPr>
      </w:pPr>
      <w:r w:rsidRPr="00392EAD">
        <w:rPr>
          <w:lang w:val="pt-BR"/>
        </w:rPr>
        <w:t>LOCALIZAÇÃO GEOGRÁFICA</w:t>
      </w:r>
    </w:p>
    <w:p w:rsidR="00D81F69" w:rsidRPr="00392EAD" w:rsidRDefault="00330118">
      <w:pPr>
        <w:pStyle w:val="Corpodetexto"/>
        <w:spacing w:before="179"/>
        <w:rPr>
          <w:lang w:val="pt-BR"/>
        </w:rPr>
      </w:pPr>
      <w:r w:rsidRPr="00392EAD">
        <w:rPr>
          <w:lang w:val="pt-BR"/>
        </w:rPr>
        <w:t>A exploração de diamantes recorrente no estudo de caso na</w:t>
      </w:r>
    </w:p>
    <w:p w:rsidR="00D81F69" w:rsidRPr="00392EAD" w:rsidRDefault="00D81F69">
      <w:pPr>
        <w:rPr>
          <w:lang w:val="pt-BR"/>
        </w:rPr>
        <w:sectPr w:rsidR="00D81F69" w:rsidRPr="00392EAD">
          <w:pgSz w:w="11900" w:h="16840"/>
          <w:pgMar w:top="740" w:right="500" w:bottom="600" w:left="620" w:header="0" w:footer="402" w:gutter="0"/>
          <w:cols w:num="2" w:space="720" w:equalWidth="0">
            <w:col w:w="5157" w:space="313"/>
            <w:col w:w="5310"/>
          </w:cols>
        </w:sectPr>
      </w:pPr>
    </w:p>
    <w:p w:rsidR="00D81F69" w:rsidRPr="00392EAD" w:rsidRDefault="00330118">
      <w:pPr>
        <w:pStyle w:val="Corpodetexto"/>
        <w:spacing w:before="81" w:line="312" w:lineRule="auto"/>
        <w:ind w:right="136"/>
        <w:rPr>
          <w:lang w:val="pt-BR"/>
        </w:rPr>
      </w:pPr>
      <w:r w:rsidRPr="00392EAD">
        <w:rPr>
          <w:lang w:val="pt-BR"/>
        </w:rPr>
        <w:lastRenderedPageBreak/>
        <w:t>bacia do rio Araguaia situa-se entre os municípios de Baliza (latitude 16°10’52”S e longitude 52°32’34”W) e Itapuranga (latitude 15°32’18”S e longitude 49°56’05”W) e Ponte Branca (latitude 16°27’00”S e longitude 52°40’00”W).</w:t>
      </w:r>
    </w:p>
    <w:p w:rsidR="00D81F69" w:rsidRPr="00392EAD" w:rsidRDefault="00D81F69">
      <w:pPr>
        <w:pStyle w:val="Corpodetexto"/>
        <w:spacing w:before="1"/>
        <w:ind w:left="0"/>
        <w:jc w:val="left"/>
        <w:rPr>
          <w:sz w:val="29"/>
          <w:lang w:val="pt-BR"/>
        </w:rPr>
      </w:pPr>
    </w:p>
    <w:p w:rsidR="00D81F69" w:rsidRPr="00392EAD" w:rsidRDefault="00330118">
      <w:pPr>
        <w:pStyle w:val="Heading7"/>
        <w:jc w:val="left"/>
        <w:rPr>
          <w:lang w:val="pt-BR"/>
        </w:rPr>
      </w:pPr>
      <w:r w:rsidRPr="00392EAD">
        <w:rPr>
          <w:lang w:val="pt-BR"/>
        </w:rPr>
        <w:t>REDATORES</w:t>
      </w:r>
    </w:p>
    <w:p w:rsidR="00D81F69" w:rsidRPr="00392EAD" w:rsidRDefault="00330118">
      <w:pPr>
        <w:pStyle w:val="Corpodetexto"/>
        <w:spacing w:before="179"/>
        <w:jc w:val="left"/>
        <w:rPr>
          <w:lang w:val="pt-BR"/>
        </w:rPr>
      </w:pPr>
      <w:r w:rsidRPr="00392EAD">
        <w:rPr>
          <w:lang w:val="pt-BR"/>
        </w:rPr>
        <w:t>Keila Valente de Sou</w:t>
      </w:r>
      <w:r w:rsidRPr="00392EAD">
        <w:rPr>
          <w:lang w:val="pt-BR"/>
        </w:rPr>
        <w:t>za</w:t>
      </w:r>
    </w:p>
    <w:p w:rsidR="00D81F69" w:rsidRPr="00392EAD" w:rsidRDefault="00D81F69">
      <w:pPr>
        <w:pStyle w:val="Corpodetexto"/>
        <w:ind w:left="0"/>
        <w:jc w:val="left"/>
        <w:rPr>
          <w:sz w:val="20"/>
          <w:lang w:val="pt-BR"/>
        </w:rPr>
      </w:pPr>
    </w:p>
    <w:p w:rsidR="00D81F69" w:rsidRPr="00392EAD" w:rsidRDefault="00330118">
      <w:pPr>
        <w:pStyle w:val="Heading7"/>
        <w:spacing w:before="164"/>
        <w:jc w:val="left"/>
        <w:rPr>
          <w:lang w:val="pt-BR"/>
        </w:rPr>
      </w:pPr>
      <w:r w:rsidRPr="00392EAD">
        <w:rPr>
          <w:lang w:val="pt-BR"/>
        </w:rPr>
        <w:t>REFERÊNCIAS BIBLIOGRÁFICAS</w:t>
      </w:r>
    </w:p>
    <w:p w:rsidR="00D81F69" w:rsidRDefault="00330118">
      <w:pPr>
        <w:tabs>
          <w:tab w:val="left" w:pos="1556"/>
          <w:tab w:val="left" w:pos="2727"/>
          <w:tab w:val="left" w:pos="4671"/>
        </w:tabs>
        <w:spacing w:before="188" w:line="312" w:lineRule="auto"/>
        <w:ind w:left="100" w:right="75"/>
        <w:rPr>
          <w:sz w:val="16"/>
        </w:rPr>
      </w:pPr>
      <w:r w:rsidRPr="00392EAD">
        <w:rPr>
          <w:spacing w:val="1"/>
          <w:sz w:val="16"/>
          <w:lang w:val="pt-BR"/>
        </w:rPr>
        <w:t xml:space="preserve">AZEVEDO, Adalberto Mantovani Martiniano </w:t>
      </w:r>
      <w:r w:rsidRPr="00392EAD">
        <w:rPr>
          <w:sz w:val="16"/>
          <w:lang w:val="pt-BR"/>
        </w:rPr>
        <w:t xml:space="preserve">de; </w:t>
      </w:r>
      <w:r w:rsidRPr="00392EAD">
        <w:rPr>
          <w:spacing w:val="1"/>
          <w:sz w:val="16"/>
          <w:lang w:val="pt-BR"/>
        </w:rPr>
        <w:t xml:space="preserve">DELGADO, </w:t>
      </w:r>
      <w:r w:rsidRPr="00392EAD">
        <w:rPr>
          <w:spacing w:val="2"/>
          <w:sz w:val="16"/>
          <w:lang w:val="pt-BR"/>
        </w:rPr>
        <w:t xml:space="preserve">Célio </w:t>
      </w:r>
      <w:r w:rsidRPr="00392EAD">
        <w:rPr>
          <w:sz w:val="16"/>
          <w:lang w:val="pt-BR"/>
        </w:rPr>
        <w:t xml:space="preserve">Cristiano. Mineração, Meio Ambiente e Mobilidade Populacional: um </w:t>
      </w:r>
      <w:r w:rsidRPr="00392EAD">
        <w:rPr>
          <w:spacing w:val="3"/>
          <w:sz w:val="16"/>
          <w:lang w:val="pt-BR"/>
        </w:rPr>
        <w:t xml:space="preserve">levantamento </w:t>
      </w:r>
      <w:r w:rsidRPr="00392EAD">
        <w:rPr>
          <w:spacing w:val="2"/>
          <w:sz w:val="16"/>
          <w:lang w:val="pt-BR"/>
        </w:rPr>
        <w:t xml:space="preserve">nos </w:t>
      </w:r>
      <w:r w:rsidRPr="00392EAD">
        <w:rPr>
          <w:spacing w:val="3"/>
          <w:sz w:val="16"/>
          <w:lang w:val="pt-BR"/>
        </w:rPr>
        <w:t xml:space="preserve">estados </w:t>
      </w:r>
      <w:r w:rsidRPr="00392EAD">
        <w:rPr>
          <w:spacing w:val="1"/>
          <w:sz w:val="16"/>
          <w:lang w:val="pt-BR"/>
        </w:rPr>
        <w:t xml:space="preserve">do </w:t>
      </w:r>
      <w:r w:rsidRPr="00392EAD">
        <w:rPr>
          <w:spacing w:val="3"/>
          <w:sz w:val="16"/>
          <w:lang w:val="pt-BR"/>
        </w:rPr>
        <w:t xml:space="preserve">Centro-Oeste. </w:t>
      </w:r>
      <w:r w:rsidRPr="00392EAD">
        <w:rPr>
          <w:spacing w:val="2"/>
          <w:sz w:val="16"/>
          <w:lang w:val="pt-BR"/>
        </w:rPr>
        <w:t xml:space="preserve">In: XIII </w:t>
      </w:r>
      <w:r w:rsidRPr="00392EAD">
        <w:rPr>
          <w:spacing w:val="3"/>
          <w:sz w:val="16"/>
          <w:lang w:val="pt-BR"/>
        </w:rPr>
        <w:t xml:space="preserve">Encontro </w:t>
      </w:r>
      <w:r w:rsidRPr="00392EAD">
        <w:rPr>
          <w:spacing w:val="5"/>
          <w:sz w:val="16"/>
          <w:lang w:val="pt-BR"/>
        </w:rPr>
        <w:t xml:space="preserve">da </w:t>
      </w:r>
      <w:r w:rsidRPr="00392EAD">
        <w:rPr>
          <w:sz w:val="16"/>
          <w:lang w:val="pt-BR"/>
        </w:rPr>
        <w:t>Associação Brasileira de Estudos Popu</w:t>
      </w:r>
      <w:r w:rsidRPr="00392EAD">
        <w:rPr>
          <w:sz w:val="16"/>
          <w:lang w:val="pt-BR"/>
        </w:rPr>
        <w:t xml:space="preserve">lacionais. Ouro Preto, Minas   </w:t>
      </w:r>
      <w:r w:rsidRPr="00392EAD">
        <w:rPr>
          <w:spacing w:val="40"/>
          <w:sz w:val="16"/>
          <w:lang w:val="pt-BR"/>
        </w:rPr>
        <w:t>G</w:t>
      </w:r>
      <w:r w:rsidRPr="00392EAD">
        <w:rPr>
          <w:sz w:val="16"/>
          <w:lang w:val="pt-BR"/>
        </w:rPr>
        <w:t xml:space="preserve"> </w:t>
      </w:r>
      <w:r w:rsidRPr="00392EAD">
        <w:rPr>
          <w:spacing w:val="40"/>
          <w:sz w:val="16"/>
          <w:lang w:val="pt-BR"/>
        </w:rPr>
        <w:t>e</w:t>
      </w:r>
      <w:r w:rsidRPr="00392EAD">
        <w:rPr>
          <w:sz w:val="16"/>
          <w:lang w:val="pt-BR"/>
        </w:rPr>
        <w:t xml:space="preserve"> </w:t>
      </w:r>
      <w:r w:rsidRPr="00392EAD">
        <w:rPr>
          <w:spacing w:val="40"/>
          <w:sz w:val="16"/>
          <w:lang w:val="pt-BR"/>
        </w:rPr>
        <w:t>r</w:t>
      </w:r>
      <w:r w:rsidRPr="00392EAD">
        <w:rPr>
          <w:sz w:val="16"/>
          <w:lang w:val="pt-BR"/>
        </w:rPr>
        <w:t xml:space="preserve"> </w:t>
      </w:r>
      <w:r w:rsidRPr="00392EAD">
        <w:rPr>
          <w:spacing w:val="40"/>
          <w:sz w:val="16"/>
          <w:lang w:val="pt-BR"/>
        </w:rPr>
        <w:t>a</w:t>
      </w:r>
      <w:r w:rsidRPr="00392EAD">
        <w:rPr>
          <w:sz w:val="16"/>
          <w:lang w:val="pt-BR"/>
        </w:rPr>
        <w:t xml:space="preserve"> </w:t>
      </w:r>
      <w:r w:rsidRPr="00392EAD">
        <w:rPr>
          <w:spacing w:val="40"/>
          <w:sz w:val="16"/>
          <w:lang w:val="pt-BR"/>
        </w:rPr>
        <w:t>i</w:t>
      </w:r>
      <w:r w:rsidRPr="00392EAD">
        <w:rPr>
          <w:sz w:val="16"/>
          <w:lang w:val="pt-BR"/>
        </w:rPr>
        <w:t xml:space="preserve"> </w:t>
      </w:r>
      <w:r w:rsidRPr="00392EAD">
        <w:rPr>
          <w:spacing w:val="40"/>
          <w:sz w:val="16"/>
          <w:lang w:val="pt-BR"/>
        </w:rPr>
        <w:t>s</w:t>
      </w:r>
      <w:r w:rsidRPr="00392EAD">
        <w:rPr>
          <w:sz w:val="16"/>
          <w:lang w:val="pt-BR"/>
        </w:rPr>
        <w:t xml:space="preserve"> ,</w:t>
      </w:r>
      <w:r w:rsidRPr="00392EAD">
        <w:rPr>
          <w:sz w:val="16"/>
          <w:lang w:val="pt-BR"/>
        </w:rPr>
        <w:tab/>
      </w:r>
      <w:r w:rsidRPr="00392EAD">
        <w:rPr>
          <w:spacing w:val="40"/>
          <w:sz w:val="16"/>
          <w:lang w:val="pt-BR"/>
        </w:rPr>
        <w:t>2</w:t>
      </w:r>
      <w:r w:rsidRPr="00392EAD">
        <w:rPr>
          <w:sz w:val="16"/>
          <w:lang w:val="pt-BR"/>
        </w:rPr>
        <w:t xml:space="preserve"> </w:t>
      </w:r>
      <w:r w:rsidRPr="00392EAD">
        <w:rPr>
          <w:spacing w:val="40"/>
          <w:sz w:val="16"/>
          <w:lang w:val="pt-BR"/>
        </w:rPr>
        <w:t>0</w:t>
      </w:r>
      <w:r w:rsidRPr="00392EAD">
        <w:rPr>
          <w:sz w:val="16"/>
          <w:lang w:val="pt-BR"/>
        </w:rPr>
        <w:t xml:space="preserve"> </w:t>
      </w:r>
      <w:r w:rsidRPr="00392EAD">
        <w:rPr>
          <w:spacing w:val="40"/>
          <w:sz w:val="16"/>
          <w:lang w:val="pt-BR"/>
        </w:rPr>
        <w:t>0</w:t>
      </w:r>
      <w:r w:rsidRPr="00392EAD">
        <w:rPr>
          <w:sz w:val="16"/>
          <w:lang w:val="pt-BR"/>
        </w:rPr>
        <w:t xml:space="preserve"> </w:t>
      </w:r>
      <w:r w:rsidRPr="00392EAD">
        <w:rPr>
          <w:spacing w:val="40"/>
          <w:sz w:val="16"/>
          <w:lang w:val="pt-BR"/>
        </w:rPr>
        <w:t>2</w:t>
      </w:r>
      <w:r w:rsidRPr="00392EAD">
        <w:rPr>
          <w:sz w:val="16"/>
          <w:lang w:val="pt-BR"/>
        </w:rPr>
        <w:t xml:space="preserve"> .</w:t>
      </w:r>
      <w:r w:rsidRPr="00392EAD">
        <w:rPr>
          <w:sz w:val="16"/>
          <w:lang w:val="pt-BR"/>
        </w:rPr>
        <w:tab/>
      </w:r>
      <w:r>
        <w:rPr>
          <w:spacing w:val="40"/>
          <w:sz w:val="16"/>
        </w:rPr>
        <w:t>D</w:t>
      </w:r>
      <w:r>
        <w:rPr>
          <w:sz w:val="16"/>
        </w:rPr>
        <w:t xml:space="preserve"> </w:t>
      </w:r>
      <w:r>
        <w:rPr>
          <w:spacing w:val="40"/>
          <w:sz w:val="16"/>
        </w:rPr>
        <w:t>i</w:t>
      </w:r>
      <w:r>
        <w:rPr>
          <w:sz w:val="16"/>
        </w:rPr>
        <w:t xml:space="preserve"> </w:t>
      </w:r>
      <w:r>
        <w:rPr>
          <w:spacing w:val="40"/>
          <w:sz w:val="16"/>
        </w:rPr>
        <w:t>s</w:t>
      </w:r>
      <w:r>
        <w:rPr>
          <w:sz w:val="16"/>
        </w:rPr>
        <w:t xml:space="preserve"> </w:t>
      </w:r>
      <w:r>
        <w:rPr>
          <w:spacing w:val="40"/>
          <w:sz w:val="16"/>
        </w:rPr>
        <w:t>p</w:t>
      </w:r>
      <w:r>
        <w:rPr>
          <w:sz w:val="16"/>
        </w:rPr>
        <w:t xml:space="preserve"> </w:t>
      </w:r>
      <w:r>
        <w:rPr>
          <w:spacing w:val="40"/>
          <w:sz w:val="16"/>
        </w:rPr>
        <w:t>o</w:t>
      </w:r>
      <w:r>
        <w:rPr>
          <w:sz w:val="16"/>
        </w:rPr>
        <w:t xml:space="preserve"> </w:t>
      </w:r>
      <w:r>
        <w:rPr>
          <w:spacing w:val="40"/>
          <w:sz w:val="16"/>
        </w:rPr>
        <w:t>n</w:t>
      </w:r>
      <w:r>
        <w:rPr>
          <w:sz w:val="16"/>
        </w:rPr>
        <w:t xml:space="preserve"> </w:t>
      </w:r>
      <w:r>
        <w:rPr>
          <w:spacing w:val="40"/>
          <w:sz w:val="16"/>
        </w:rPr>
        <w:t>í</w:t>
      </w:r>
      <w:r>
        <w:rPr>
          <w:sz w:val="16"/>
        </w:rPr>
        <w:t xml:space="preserve"> </w:t>
      </w:r>
      <w:r>
        <w:rPr>
          <w:spacing w:val="40"/>
          <w:sz w:val="16"/>
        </w:rPr>
        <w:t>v</w:t>
      </w:r>
      <w:r>
        <w:rPr>
          <w:sz w:val="16"/>
        </w:rPr>
        <w:t xml:space="preserve"> </w:t>
      </w:r>
      <w:r>
        <w:rPr>
          <w:spacing w:val="40"/>
          <w:sz w:val="16"/>
        </w:rPr>
        <w:t>e</w:t>
      </w:r>
      <w:r>
        <w:rPr>
          <w:sz w:val="16"/>
        </w:rPr>
        <w:t xml:space="preserve"> l</w:t>
      </w:r>
      <w:r>
        <w:rPr>
          <w:sz w:val="16"/>
        </w:rPr>
        <w:tab/>
      </w:r>
      <w:r>
        <w:rPr>
          <w:spacing w:val="40"/>
          <w:sz w:val="16"/>
        </w:rPr>
        <w:t>e</w:t>
      </w:r>
      <w:r>
        <w:rPr>
          <w:sz w:val="16"/>
        </w:rPr>
        <w:t xml:space="preserve"> </w:t>
      </w:r>
      <w:r>
        <w:rPr>
          <w:spacing w:val="40"/>
          <w:sz w:val="16"/>
        </w:rPr>
        <w:t>m</w:t>
      </w:r>
      <w:r>
        <w:rPr>
          <w:sz w:val="16"/>
        </w:rPr>
        <w:t xml:space="preserve"> : </w:t>
      </w:r>
      <w:r>
        <w:rPr>
          <w:spacing w:val="-4"/>
          <w:sz w:val="16"/>
        </w:rPr>
        <w:t xml:space="preserve"> </w:t>
      </w:r>
    </w:p>
    <w:p w:rsidR="00D81F69" w:rsidRPr="00392EAD" w:rsidRDefault="00D81F69">
      <w:pPr>
        <w:spacing w:before="4" w:line="312" w:lineRule="auto"/>
        <w:ind w:left="100"/>
        <w:rPr>
          <w:sz w:val="16"/>
          <w:lang w:val="pt-BR"/>
        </w:rPr>
      </w:pPr>
      <w:hyperlink r:id="rId991">
        <w:r w:rsidR="00330118" w:rsidRPr="00392EAD">
          <w:rPr>
            <w:sz w:val="16"/>
            <w:lang w:val="pt-BR"/>
          </w:rPr>
          <w:t>&lt;http://www.abep.nepo.unicamp.br/docs/anais/pdf/2002/GT_MA_PO3</w:t>
        </w:r>
      </w:hyperlink>
      <w:r w:rsidR="00330118" w:rsidRPr="00392EAD">
        <w:rPr>
          <w:sz w:val="16"/>
          <w:lang w:val="pt-BR"/>
        </w:rPr>
        <w:t xml:space="preserve"> 0_Azevedo_texto.pdf&gt;</w:t>
      </w:r>
      <w:r w:rsidR="00330118" w:rsidRPr="00392EAD">
        <w:rPr>
          <w:sz w:val="16"/>
          <w:lang w:val="pt-BR"/>
        </w:rPr>
        <w:t>. Acesso em: 13 dez. 2011.</w:t>
      </w:r>
    </w:p>
    <w:p w:rsidR="00D81F69" w:rsidRDefault="00330118">
      <w:pPr>
        <w:tabs>
          <w:tab w:val="left" w:pos="748"/>
          <w:tab w:val="left" w:pos="1578"/>
          <w:tab w:val="left" w:pos="2847"/>
          <w:tab w:val="left" w:pos="4684"/>
        </w:tabs>
        <w:spacing w:before="2" w:line="312" w:lineRule="auto"/>
        <w:ind w:left="100" w:right="75"/>
        <w:rPr>
          <w:sz w:val="16"/>
        </w:rPr>
      </w:pPr>
      <w:r w:rsidRPr="00392EAD">
        <w:rPr>
          <w:sz w:val="16"/>
          <w:lang w:val="pt-BR"/>
        </w:rPr>
        <w:t xml:space="preserve">DIÁRIO DA MANHÃ. Dragas discutidas na Câmara Federal. Goiânia,  </w:t>
      </w:r>
      <w:r w:rsidRPr="00392EAD">
        <w:rPr>
          <w:spacing w:val="30"/>
          <w:sz w:val="16"/>
          <w:lang w:val="pt-BR"/>
        </w:rPr>
        <w:t>0</w:t>
      </w:r>
      <w:r w:rsidRPr="00392EAD">
        <w:rPr>
          <w:sz w:val="16"/>
          <w:lang w:val="pt-BR"/>
        </w:rPr>
        <w:t xml:space="preserve"> 6</w:t>
      </w:r>
      <w:r w:rsidRPr="00392EAD">
        <w:rPr>
          <w:sz w:val="16"/>
          <w:lang w:val="pt-BR"/>
        </w:rPr>
        <w:tab/>
      </w:r>
      <w:r w:rsidRPr="00392EAD">
        <w:rPr>
          <w:spacing w:val="30"/>
          <w:sz w:val="16"/>
          <w:lang w:val="pt-BR"/>
        </w:rPr>
        <w:t>j u</w:t>
      </w:r>
      <w:r w:rsidRPr="00392EAD">
        <w:rPr>
          <w:spacing w:val="-30"/>
          <w:sz w:val="16"/>
          <w:lang w:val="pt-BR"/>
        </w:rPr>
        <w:t xml:space="preserve"> </w:t>
      </w:r>
      <w:r w:rsidRPr="00392EAD">
        <w:rPr>
          <w:spacing w:val="30"/>
          <w:sz w:val="16"/>
          <w:lang w:val="pt-BR"/>
        </w:rPr>
        <w:t>l</w:t>
      </w:r>
      <w:r w:rsidRPr="00392EAD">
        <w:rPr>
          <w:sz w:val="16"/>
          <w:lang w:val="pt-BR"/>
        </w:rPr>
        <w:t xml:space="preserve"> .</w:t>
      </w:r>
      <w:r w:rsidRPr="00392EAD">
        <w:rPr>
          <w:sz w:val="16"/>
          <w:lang w:val="pt-BR"/>
        </w:rPr>
        <w:tab/>
      </w:r>
      <w:r w:rsidRPr="00392EAD">
        <w:rPr>
          <w:spacing w:val="30"/>
          <w:sz w:val="16"/>
          <w:lang w:val="pt-BR"/>
        </w:rPr>
        <w:t>2</w:t>
      </w:r>
      <w:r w:rsidRPr="00392EAD">
        <w:rPr>
          <w:sz w:val="16"/>
          <w:lang w:val="pt-BR"/>
        </w:rPr>
        <w:t xml:space="preserve"> </w:t>
      </w:r>
      <w:r w:rsidRPr="00392EAD">
        <w:rPr>
          <w:spacing w:val="30"/>
          <w:sz w:val="16"/>
          <w:lang w:val="pt-BR"/>
        </w:rPr>
        <w:t>0</w:t>
      </w:r>
      <w:r w:rsidRPr="00392EAD">
        <w:rPr>
          <w:sz w:val="16"/>
          <w:lang w:val="pt-BR"/>
        </w:rPr>
        <w:t xml:space="preserve"> </w:t>
      </w:r>
      <w:r w:rsidRPr="00392EAD">
        <w:rPr>
          <w:spacing w:val="30"/>
          <w:sz w:val="16"/>
          <w:lang w:val="pt-BR"/>
        </w:rPr>
        <w:t>0</w:t>
      </w:r>
      <w:r w:rsidRPr="00392EAD">
        <w:rPr>
          <w:sz w:val="16"/>
          <w:lang w:val="pt-BR"/>
        </w:rPr>
        <w:t xml:space="preserve"> </w:t>
      </w:r>
      <w:r w:rsidRPr="00392EAD">
        <w:rPr>
          <w:spacing w:val="30"/>
          <w:sz w:val="16"/>
          <w:lang w:val="pt-BR"/>
        </w:rPr>
        <w:t>9</w:t>
      </w:r>
      <w:r w:rsidRPr="00392EAD">
        <w:rPr>
          <w:sz w:val="16"/>
          <w:lang w:val="pt-BR"/>
        </w:rPr>
        <w:t xml:space="preserve"> </w:t>
      </w:r>
      <w:r w:rsidRPr="00392EAD">
        <w:rPr>
          <w:spacing w:val="30"/>
          <w:sz w:val="16"/>
          <w:lang w:val="pt-BR"/>
        </w:rPr>
        <w:t>a</w:t>
      </w:r>
      <w:r w:rsidRPr="00392EAD">
        <w:rPr>
          <w:sz w:val="16"/>
          <w:lang w:val="pt-BR"/>
        </w:rPr>
        <w:t xml:space="preserve"> .</w:t>
      </w:r>
      <w:r w:rsidRPr="00392EAD">
        <w:rPr>
          <w:sz w:val="16"/>
          <w:lang w:val="pt-BR"/>
        </w:rPr>
        <w:tab/>
      </w:r>
      <w:r>
        <w:rPr>
          <w:spacing w:val="30"/>
          <w:sz w:val="16"/>
        </w:rPr>
        <w:t>D</w:t>
      </w:r>
      <w:r>
        <w:rPr>
          <w:sz w:val="16"/>
        </w:rPr>
        <w:t xml:space="preserve"> </w:t>
      </w:r>
      <w:r>
        <w:rPr>
          <w:spacing w:val="30"/>
          <w:sz w:val="16"/>
        </w:rPr>
        <w:t>i</w:t>
      </w:r>
      <w:r>
        <w:rPr>
          <w:sz w:val="16"/>
        </w:rPr>
        <w:t xml:space="preserve"> </w:t>
      </w:r>
      <w:r>
        <w:rPr>
          <w:spacing w:val="30"/>
          <w:sz w:val="16"/>
        </w:rPr>
        <w:t>s</w:t>
      </w:r>
      <w:r>
        <w:rPr>
          <w:sz w:val="16"/>
        </w:rPr>
        <w:t xml:space="preserve"> </w:t>
      </w:r>
      <w:r>
        <w:rPr>
          <w:spacing w:val="30"/>
          <w:sz w:val="16"/>
        </w:rPr>
        <w:t>p</w:t>
      </w:r>
      <w:r>
        <w:rPr>
          <w:sz w:val="16"/>
        </w:rPr>
        <w:t xml:space="preserve"> </w:t>
      </w:r>
      <w:r>
        <w:rPr>
          <w:spacing w:val="30"/>
          <w:sz w:val="16"/>
        </w:rPr>
        <w:t>o</w:t>
      </w:r>
      <w:r>
        <w:rPr>
          <w:sz w:val="16"/>
        </w:rPr>
        <w:t xml:space="preserve"> </w:t>
      </w:r>
      <w:r>
        <w:rPr>
          <w:spacing w:val="30"/>
          <w:sz w:val="16"/>
        </w:rPr>
        <w:t>n</w:t>
      </w:r>
      <w:r>
        <w:rPr>
          <w:sz w:val="16"/>
        </w:rPr>
        <w:t xml:space="preserve"> </w:t>
      </w:r>
      <w:r>
        <w:rPr>
          <w:spacing w:val="30"/>
          <w:sz w:val="16"/>
        </w:rPr>
        <w:t>í</w:t>
      </w:r>
      <w:r>
        <w:rPr>
          <w:sz w:val="16"/>
        </w:rPr>
        <w:t xml:space="preserve"> </w:t>
      </w:r>
      <w:r>
        <w:rPr>
          <w:spacing w:val="30"/>
          <w:sz w:val="16"/>
        </w:rPr>
        <w:t>v</w:t>
      </w:r>
      <w:r>
        <w:rPr>
          <w:sz w:val="16"/>
        </w:rPr>
        <w:t xml:space="preserve"> </w:t>
      </w:r>
      <w:r>
        <w:rPr>
          <w:spacing w:val="30"/>
          <w:sz w:val="16"/>
        </w:rPr>
        <w:t>e</w:t>
      </w:r>
      <w:r>
        <w:rPr>
          <w:sz w:val="16"/>
        </w:rPr>
        <w:t xml:space="preserve"> l</w:t>
      </w:r>
      <w:r>
        <w:rPr>
          <w:sz w:val="16"/>
        </w:rPr>
        <w:tab/>
      </w:r>
      <w:r>
        <w:rPr>
          <w:spacing w:val="30"/>
          <w:sz w:val="16"/>
        </w:rPr>
        <w:t>e m</w:t>
      </w:r>
      <w:r>
        <w:rPr>
          <w:spacing w:val="-30"/>
          <w:sz w:val="16"/>
        </w:rPr>
        <w:t xml:space="preserve"> </w:t>
      </w:r>
      <w:r>
        <w:rPr>
          <w:sz w:val="16"/>
        </w:rPr>
        <w:t xml:space="preserve">: </w:t>
      </w:r>
      <w:r>
        <w:rPr>
          <w:spacing w:val="-12"/>
          <w:sz w:val="16"/>
        </w:rPr>
        <w:t xml:space="preserve"> </w:t>
      </w:r>
    </w:p>
    <w:p w:rsidR="00D81F69" w:rsidRPr="00392EAD" w:rsidRDefault="00D81F69">
      <w:pPr>
        <w:spacing w:before="1" w:line="312" w:lineRule="auto"/>
        <w:ind w:left="100"/>
        <w:rPr>
          <w:sz w:val="16"/>
          <w:lang w:val="pt-BR"/>
        </w:rPr>
      </w:pPr>
      <w:hyperlink r:id="rId992">
        <w:r w:rsidR="00330118" w:rsidRPr="00392EAD">
          <w:rPr>
            <w:sz w:val="16"/>
            <w:lang w:val="pt-BR"/>
          </w:rPr>
          <w:t>&lt;http://site.dm.com.br/notic</w:t>
        </w:r>
        <w:r w:rsidR="00330118" w:rsidRPr="00392EAD">
          <w:rPr>
            <w:sz w:val="16"/>
            <w:lang w:val="pt-BR"/>
          </w:rPr>
          <w:t>ias/cidades/dragas-discutidas-na-camara-</w:t>
        </w:r>
      </w:hyperlink>
      <w:r w:rsidR="00330118" w:rsidRPr="00392EAD">
        <w:rPr>
          <w:sz w:val="16"/>
          <w:lang w:val="pt-BR"/>
        </w:rPr>
        <w:t xml:space="preserve"> federal&gt;. Acesso em: 12 dez. 2011.</w:t>
      </w:r>
    </w:p>
    <w:p w:rsidR="00D81F69" w:rsidRDefault="00330118">
      <w:pPr>
        <w:tabs>
          <w:tab w:val="left" w:pos="1276"/>
          <w:tab w:val="left" w:pos="1754"/>
          <w:tab w:val="left" w:pos="2353"/>
          <w:tab w:val="left" w:pos="3329"/>
          <w:tab w:val="left" w:pos="4750"/>
        </w:tabs>
        <w:spacing w:before="2" w:line="312" w:lineRule="auto"/>
        <w:ind w:left="100" w:right="75"/>
        <w:rPr>
          <w:sz w:val="16"/>
        </w:rPr>
      </w:pPr>
      <w:r w:rsidRPr="00392EAD">
        <w:rPr>
          <w:spacing w:val="3"/>
          <w:sz w:val="16"/>
          <w:lang w:val="pt-BR"/>
        </w:rPr>
        <w:t xml:space="preserve">________. Cidades: </w:t>
      </w:r>
      <w:r w:rsidRPr="00392EAD">
        <w:rPr>
          <w:spacing w:val="2"/>
          <w:sz w:val="16"/>
          <w:lang w:val="pt-BR"/>
        </w:rPr>
        <w:t xml:space="preserve">Luta </w:t>
      </w:r>
      <w:r w:rsidRPr="00392EAD">
        <w:rPr>
          <w:spacing w:val="3"/>
          <w:sz w:val="16"/>
          <w:lang w:val="pt-BR"/>
        </w:rPr>
        <w:t xml:space="preserve">contra dragas ganha novos </w:t>
      </w:r>
      <w:r w:rsidRPr="00392EAD">
        <w:rPr>
          <w:spacing w:val="5"/>
          <w:sz w:val="16"/>
          <w:lang w:val="pt-BR"/>
        </w:rPr>
        <w:t xml:space="preserve">parceiros.    </w:t>
      </w:r>
      <w:r w:rsidRPr="00392EAD">
        <w:rPr>
          <w:sz w:val="16"/>
          <w:lang w:val="pt-BR"/>
        </w:rPr>
        <w:t>G o i â n i</w:t>
      </w:r>
      <w:r w:rsidRPr="00392EAD">
        <w:rPr>
          <w:spacing w:val="8"/>
          <w:sz w:val="16"/>
          <w:lang w:val="pt-BR"/>
        </w:rPr>
        <w:t xml:space="preserve"> </w:t>
      </w:r>
      <w:r w:rsidRPr="00392EAD">
        <w:rPr>
          <w:sz w:val="16"/>
          <w:lang w:val="pt-BR"/>
        </w:rPr>
        <w:t>a</w:t>
      </w:r>
      <w:r w:rsidRPr="00392EAD">
        <w:rPr>
          <w:sz w:val="16"/>
          <w:lang w:val="pt-BR"/>
        </w:rPr>
        <w:t xml:space="preserve"> </w:t>
      </w:r>
      <w:r w:rsidRPr="00392EAD">
        <w:rPr>
          <w:sz w:val="16"/>
          <w:lang w:val="pt-BR"/>
        </w:rPr>
        <w:t>,</w:t>
      </w:r>
      <w:r w:rsidRPr="00392EAD">
        <w:rPr>
          <w:sz w:val="16"/>
          <w:lang w:val="pt-BR"/>
        </w:rPr>
        <w:tab/>
        <w:t>0 6</w:t>
      </w:r>
      <w:r w:rsidRPr="00392EAD">
        <w:rPr>
          <w:sz w:val="16"/>
          <w:lang w:val="pt-BR"/>
        </w:rPr>
        <w:tab/>
        <w:t>j u</w:t>
      </w:r>
      <w:r w:rsidRPr="00392EAD">
        <w:rPr>
          <w:spacing w:val="1"/>
          <w:sz w:val="16"/>
          <w:lang w:val="pt-BR"/>
        </w:rPr>
        <w:t xml:space="preserve"> </w:t>
      </w:r>
      <w:r w:rsidRPr="00392EAD">
        <w:rPr>
          <w:sz w:val="16"/>
          <w:lang w:val="pt-BR"/>
        </w:rPr>
        <w:t>l</w:t>
      </w:r>
      <w:r w:rsidRPr="00392EAD">
        <w:rPr>
          <w:sz w:val="16"/>
          <w:lang w:val="pt-BR"/>
        </w:rPr>
        <w:t xml:space="preserve"> </w:t>
      </w:r>
      <w:r w:rsidRPr="00392EAD">
        <w:rPr>
          <w:sz w:val="16"/>
          <w:lang w:val="pt-BR"/>
        </w:rPr>
        <w:t>.</w:t>
      </w:r>
      <w:r w:rsidRPr="00392EAD">
        <w:rPr>
          <w:sz w:val="16"/>
          <w:lang w:val="pt-BR"/>
        </w:rPr>
        <w:tab/>
        <w:t>2 0 0 9</w:t>
      </w:r>
      <w:r w:rsidRPr="00392EAD">
        <w:rPr>
          <w:spacing w:val="5"/>
          <w:sz w:val="16"/>
          <w:lang w:val="pt-BR"/>
        </w:rPr>
        <w:t xml:space="preserve"> </w:t>
      </w:r>
      <w:r w:rsidRPr="00392EAD">
        <w:rPr>
          <w:sz w:val="16"/>
          <w:lang w:val="pt-BR"/>
        </w:rPr>
        <w:t>b</w:t>
      </w:r>
      <w:r w:rsidRPr="00392EAD">
        <w:rPr>
          <w:sz w:val="16"/>
          <w:lang w:val="pt-BR"/>
        </w:rPr>
        <w:t xml:space="preserve"> </w:t>
      </w:r>
      <w:r w:rsidRPr="00392EAD">
        <w:rPr>
          <w:sz w:val="16"/>
          <w:lang w:val="pt-BR"/>
        </w:rPr>
        <w:t>.</w:t>
      </w:r>
      <w:r w:rsidRPr="00392EAD">
        <w:rPr>
          <w:sz w:val="16"/>
          <w:lang w:val="pt-BR"/>
        </w:rPr>
        <w:tab/>
      </w:r>
      <w:r>
        <w:rPr>
          <w:sz w:val="16"/>
        </w:rPr>
        <w:t>D i s p o n í v</w:t>
      </w:r>
      <w:r>
        <w:rPr>
          <w:spacing w:val="11"/>
          <w:sz w:val="16"/>
        </w:rPr>
        <w:t xml:space="preserve"> </w:t>
      </w:r>
      <w:r>
        <w:rPr>
          <w:sz w:val="16"/>
        </w:rPr>
        <w:t>e</w:t>
      </w:r>
      <w:r>
        <w:rPr>
          <w:sz w:val="16"/>
        </w:rPr>
        <w:t xml:space="preserve"> </w:t>
      </w:r>
      <w:r>
        <w:rPr>
          <w:sz w:val="16"/>
        </w:rPr>
        <w:t>l</w:t>
      </w:r>
      <w:r>
        <w:rPr>
          <w:sz w:val="16"/>
        </w:rPr>
        <w:tab/>
        <w:t>e m</w:t>
      </w:r>
      <w:r>
        <w:rPr>
          <w:spacing w:val="1"/>
          <w:sz w:val="16"/>
        </w:rPr>
        <w:t xml:space="preserve"> </w:t>
      </w:r>
      <w:r>
        <w:rPr>
          <w:sz w:val="16"/>
        </w:rPr>
        <w:t>:</w:t>
      </w:r>
      <w:r>
        <w:rPr>
          <w:spacing w:val="1"/>
          <w:sz w:val="16"/>
        </w:rPr>
        <w:t xml:space="preserve"> </w:t>
      </w:r>
    </w:p>
    <w:p w:rsidR="00D81F69" w:rsidRPr="00392EAD" w:rsidRDefault="00D81F69">
      <w:pPr>
        <w:spacing w:before="2" w:line="312" w:lineRule="auto"/>
        <w:ind w:left="100"/>
        <w:rPr>
          <w:sz w:val="16"/>
          <w:lang w:val="pt-BR"/>
        </w:rPr>
      </w:pPr>
      <w:hyperlink r:id="rId993">
        <w:r w:rsidR="00330118">
          <w:rPr>
            <w:sz w:val="16"/>
          </w:rPr>
          <w:t>&lt;http://www.mp.go.gov.br/portalweb/1/noticia/bdade2cd5fc72ddccc34</w:t>
        </w:r>
      </w:hyperlink>
      <w:r w:rsidR="00330118">
        <w:rPr>
          <w:sz w:val="16"/>
        </w:rPr>
        <w:t xml:space="preserve"> 0f51642583fe.html&gt;. </w:t>
      </w:r>
      <w:r w:rsidR="00330118" w:rsidRPr="00392EAD">
        <w:rPr>
          <w:sz w:val="16"/>
          <w:lang w:val="pt-BR"/>
        </w:rPr>
        <w:t>Acesso em: 12 dez. 2011.</w:t>
      </w:r>
    </w:p>
    <w:p w:rsidR="00D81F69" w:rsidRPr="00392EAD" w:rsidRDefault="00330118">
      <w:pPr>
        <w:tabs>
          <w:tab w:val="left" w:pos="819"/>
        </w:tabs>
        <w:spacing w:before="1"/>
        <w:ind w:left="100"/>
        <w:rPr>
          <w:sz w:val="16"/>
          <w:lang w:val="pt-BR"/>
        </w:rPr>
      </w:pPr>
      <w:r w:rsidRPr="00392EAD">
        <w:rPr>
          <w:sz w:val="16"/>
          <w:u w:val="single"/>
          <w:lang w:val="pt-BR"/>
        </w:rPr>
        <w:t xml:space="preserve"> </w:t>
      </w:r>
      <w:r w:rsidRPr="00392EAD">
        <w:rPr>
          <w:sz w:val="16"/>
          <w:u w:val="single"/>
          <w:lang w:val="pt-BR"/>
        </w:rPr>
        <w:tab/>
      </w:r>
      <w:r w:rsidRPr="00392EAD">
        <w:rPr>
          <w:sz w:val="16"/>
          <w:lang w:val="pt-BR"/>
        </w:rPr>
        <w:t>. Deputada vai propor audiência sobre o Araguaia.</w:t>
      </w:r>
      <w:r w:rsidRPr="00392EAD">
        <w:rPr>
          <w:spacing w:val="30"/>
          <w:sz w:val="16"/>
          <w:lang w:val="pt-BR"/>
        </w:rPr>
        <w:t xml:space="preserve"> </w:t>
      </w:r>
      <w:r w:rsidRPr="00392EAD">
        <w:rPr>
          <w:sz w:val="16"/>
          <w:lang w:val="pt-BR"/>
        </w:rPr>
        <w:t>Goiânia,</w:t>
      </w:r>
    </w:p>
    <w:p w:rsidR="00D81F69" w:rsidRDefault="00330118">
      <w:pPr>
        <w:tabs>
          <w:tab w:val="left" w:pos="734"/>
          <w:tab w:val="left" w:pos="1652"/>
          <w:tab w:val="left" w:pos="2889"/>
          <w:tab w:val="left" w:pos="4693"/>
        </w:tabs>
        <w:spacing w:before="56"/>
        <w:ind w:left="100"/>
        <w:rPr>
          <w:sz w:val="16"/>
        </w:rPr>
      </w:pPr>
      <w:r w:rsidRPr="00392EAD">
        <w:rPr>
          <w:spacing w:val="30"/>
          <w:sz w:val="16"/>
          <w:lang w:val="pt-BR"/>
        </w:rPr>
        <w:t>2</w:t>
      </w:r>
      <w:r w:rsidRPr="00392EAD">
        <w:rPr>
          <w:sz w:val="16"/>
          <w:lang w:val="pt-BR"/>
        </w:rPr>
        <w:t xml:space="preserve"> 9</w:t>
      </w:r>
      <w:r w:rsidRPr="00392EAD">
        <w:rPr>
          <w:sz w:val="16"/>
          <w:lang w:val="pt-BR"/>
        </w:rPr>
        <w:tab/>
      </w:r>
      <w:r w:rsidRPr="00392EAD">
        <w:rPr>
          <w:spacing w:val="30"/>
          <w:sz w:val="16"/>
          <w:lang w:val="pt-BR"/>
        </w:rPr>
        <w:t>a g</w:t>
      </w:r>
      <w:r w:rsidRPr="00392EAD">
        <w:rPr>
          <w:spacing w:val="-30"/>
          <w:sz w:val="16"/>
          <w:lang w:val="pt-BR"/>
        </w:rPr>
        <w:t xml:space="preserve"> </w:t>
      </w:r>
      <w:r w:rsidRPr="00392EAD">
        <w:rPr>
          <w:spacing w:val="30"/>
          <w:sz w:val="16"/>
          <w:lang w:val="pt-BR"/>
        </w:rPr>
        <w:t>o</w:t>
      </w:r>
      <w:r w:rsidRPr="00392EAD">
        <w:rPr>
          <w:sz w:val="16"/>
          <w:lang w:val="pt-BR"/>
        </w:rPr>
        <w:t xml:space="preserve"> .</w:t>
      </w:r>
      <w:r w:rsidRPr="00392EAD">
        <w:rPr>
          <w:sz w:val="16"/>
          <w:lang w:val="pt-BR"/>
        </w:rPr>
        <w:tab/>
      </w:r>
      <w:r w:rsidRPr="00392EAD">
        <w:rPr>
          <w:spacing w:val="30"/>
          <w:sz w:val="16"/>
          <w:lang w:val="pt-BR"/>
        </w:rPr>
        <w:t>2</w:t>
      </w:r>
      <w:r w:rsidRPr="00392EAD">
        <w:rPr>
          <w:sz w:val="16"/>
          <w:lang w:val="pt-BR"/>
        </w:rPr>
        <w:t xml:space="preserve"> </w:t>
      </w:r>
      <w:r w:rsidRPr="00392EAD">
        <w:rPr>
          <w:spacing w:val="30"/>
          <w:sz w:val="16"/>
          <w:lang w:val="pt-BR"/>
        </w:rPr>
        <w:t>0</w:t>
      </w:r>
      <w:r w:rsidRPr="00392EAD">
        <w:rPr>
          <w:sz w:val="16"/>
          <w:lang w:val="pt-BR"/>
        </w:rPr>
        <w:t xml:space="preserve"> </w:t>
      </w:r>
      <w:r w:rsidRPr="00392EAD">
        <w:rPr>
          <w:spacing w:val="30"/>
          <w:sz w:val="16"/>
          <w:lang w:val="pt-BR"/>
        </w:rPr>
        <w:t>0</w:t>
      </w:r>
      <w:r w:rsidRPr="00392EAD">
        <w:rPr>
          <w:sz w:val="16"/>
          <w:lang w:val="pt-BR"/>
        </w:rPr>
        <w:t xml:space="preserve"> </w:t>
      </w:r>
      <w:r w:rsidRPr="00392EAD">
        <w:rPr>
          <w:spacing w:val="30"/>
          <w:sz w:val="16"/>
          <w:lang w:val="pt-BR"/>
        </w:rPr>
        <w:t>9</w:t>
      </w:r>
      <w:r w:rsidRPr="00392EAD">
        <w:rPr>
          <w:sz w:val="16"/>
          <w:lang w:val="pt-BR"/>
        </w:rPr>
        <w:t xml:space="preserve"> </w:t>
      </w:r>
      <w:r w:rsidRPr="00392EAD">
        <w:rPr>
          <w:spacing w:val="30"/>
          <w:sz w:val="16"/>
          <w:lang w:val="pt-BR"/>
        </w:rPr>
        <w:t>c</w:t>
      </w:r>
      <w:r w:rsidRPr="00392EAD">
        <w:rPr>
          <w:sz w:val="16"/>
          <w:lang w:val="pt-BR"/>
        </w:rPr>
        <w:t xml:space="preserve"> .</w:t>
      </w:r>
      <w:r w:rsidRPr="00392EAD">
        <w:rPr>
          <w:sz w:val="16"/>
          <w:lang w:val="pt-BR"/>
        </w:rPr>
        <w:tab/>
      </w:r>
      <w:r>
        <w:rPr>
          <w:spacing w:val="30"/>
          <w:sz w:val="16"/>
        </w:rPr>
        <w:t>D</w:t>
      </w:r>
      <w:r>
        <w:rPr>
          <w:sz w:val="16"/>
        </w:rPr>
        <w:t xml:space="preserve"> </w:t>
      </w:r>
      <w:r>
        <w:rPr>
          <w:spacing w:val="30"/>
          <w:sz w:val="16"/>
        </w:rPr>
        <w:t>i</w:t>
      </w:r>
      <w:r>
        <w:rPr>
          <w:sz w:val="16"/>
        </w:rPr>
        <w:t xml:space="preserve"> </w:t>
      </w:r>
      <w:r>
        <w:rPr>
          <w:spacing w:val="30"/>
          <w:sz w:val="16"/>
        </w:rPr>
        <w:t>s</w:t>
      </w:r>
      <w:r>
        <w:rPr>
          <w:sz w:val="16"/>
        </w:rPr>
        <w:t xml:space="preserve"> </w:t>
      </w:r>
      <w:r>
        <w:rPr>
          <w:spacing w:val="30"/>
          <w:sz w:val="16"/>
        </w:rPr>
        <w:t>p</w:t>
      </w:r>
      <w:r>
        <w:rPr>
          <w:sz w:val="16"/>
        </w:rPr>
        <w:t xml:space="preserve"> </w:t>
      </w:r>
      <w:r>
        <w:rPr>
          <w:spacing w:val="30"/>
          <w:sz w:val="16"/>
        </w:rPr>
        <w:t>o</w:t>
      </w:r>
      <w:r>
        <w:rPr>
          <w:sz w:val="16"/>
        </w:rPr>
        <w:t xml:space="preserve"> </w:t>
      </w:r>
      <w:r>
        <w:rPr>
          <w:spacing w:val="30"/>
          <w:sz w:val="16"/>
        </w:rPr>
        <w:t>n</w:t>
      </w:r>
      <w:r>
        <w:rPr>
          <w:sz w:val="16"/>
        </w:rPr>
        <w:t xml:space="preserve"> </w:t>
      </w:r>
      <w:r>
        <w:rPr>
          <w:spacing w:val="30"/>
          <w:sz w:val="16"/>
        </w:rPr>
        <w:t>í</w:t>
      </w:r>
      <w:r>
        <w:rPr>
          <w:sz w:val="16"/>
        </w:rPr>
        <w:t xml:space="preserve"> </w:t>
      </w:r>
      <w:r>
        <w:rPr>
          <w:spacing w:val="30"/>
          <w:sz w:val="16"/>
        </w:rPr>
        <w:t>v</w:t>
      </w:r>
      <w:r>
        <w:rPr>
          <w:sz w:val="16"/>
        </w:rPr>
        <w:t xml:space="preserve"> </w:t>
      </w:r>
      <w:r>
        <w:rPr>
          <w:spacing w:val="30"/>
          <w:sz w:val="16"/>
        </w:rPr>
        <w:t>e</w:t>
      </w:r>
      <w:r>
        <w:rPr>
          <w:sz w:val="16"/>
        </w:rPr>
        <w:t xml:space="preserve"> l</w:t>
      </w:r>
      <w:r>
        <w:rPr>
          <w:sz w:val="16"/>
        </w:rPr>
        <w:tab/>
      </w:r>
      <w:r>
        <w:rPr>
          <w:spacing w:val="30"/>
          <w:sz w:val="16"/>
        </w:rPr>
        <w:t>e m</w:t>
      </w:r>
      <w:r>
        <w:rPr>
          <w:spacing w:val="-30"/>
          <w:sz w:val="16"/>
        </w:rPr>
        <w:t xml:space="preserve"> </w:t>
      </w:r>
      <w:r>
        <w:rPr>
          <w:sz w:val="16"/>
        </w:rPr>
        <w:t xml:space="preserve">: </w:t>
      </w:r>
      <w:r>
        <w:rPr>
          <w:spacing w:val="-14"/>
          <w:sz w:val="16"/>
        </w:rPr>
        <w:t xml:space="preserve"> </w:t>
      </w:r>
    </w:p>
    <w:p w:rsidR="00D81F69" w:rsidRPr="00392EAD" w:rsidRDefault="00D81F69">
      <w:pPr>
        <w:spacing w:before="56" w:line="312" w:lineRule="auto"/>
        <w:ind w:left="100" w:right="138"/>
        <w:rPr>
          <w:sz w:val="16"/>
          <w:lang w:val="pt-BR"/>
        </w:rPr>
      </w:pPr>
      <w:hyperlink r:id="rId994">
        <w:r w:rsidR="00330118" w:rsidRPr="00392EAD">
          <w:rPr>
            <w:sz w:val="16"/>
            <w:lang w:val="pt-BR"/>
          </w:rPr>
          <w:t>&lt;http://www.mp.go.gov.br/portalweb/1/noticia/f59d2210b2914a807aa9</w:t>
        </w:r>
      </w:hyperlink>
      <w:r w:rsidR="00330118" w:rsidRPr="00392EAD">
        <w:rPr>
          <w:sz w:val="16"/>
          <w:lang w:val="pt-BR"/>
        </w:rPr>
        <w:t xml:space="preserve"> 5e4d1a90616f.html&gt;. Acesso em: 12 dez. 2011.</w:t>
      </w:r>
    </w:p>
    <w:p w:rsidR="00D81F69" w:rsidRPr="00392EAD" w:rsidRDefault="00330118">
      <w:pPr>
        <w:spacing w:before="2" w:line="312" w:lineRule="auto"/>
        <w:ind w:left="100" w:right="142"/>
        <w:rPr>
          <w:sz w:val="16"/>
          <w:lang w:val="pt-BR"/>
        </w:rPr>
      </w:pPr>
      <w:r w:rsidRPr="00392EAD">
        <w:rPr>
          <w:sz w:val="16"/>
          <w:lang w:val="pt-BR"/>
        </w:rPr>
        <w:t>________. Asmeg</w:t>
      </w:r>
      <w:r w:rsidRPr="00392EAD">
        <w:rPr>
          <w:sz w:val="16"/>
          <w:lang w:val="pt-BR"/>
        </w:rPr>
        <w:t>o declara apoio à luta contra as dragas. In: Portal do Ministério Público de Goiás, Goiânia, 5 set. 2009d. Disponível</w:t>
      </w:r>
      <w:r w:rsidRPr="00392EAD">
        <w:rPr>
          <w:spacing w:val="38"/>
          <w:sz w:val="16"/>
          <w:lang w:val="pt-BR"/>
        </w:rPr>
        <w:t xml:space="preserve"> </w:t>
      </w:r>
      <w:r w:rsidRPr="00392EAD">
        <w:rPr>
          <w:sz w:val="16"/>
          <w:lang w:val="pt-BR"/>
        </w:rPr>
        <w:t>em:</w:t>
      </w:r>
    </w:p>
    <w:p w:rsidR="00D81F69" w:rsidRPr="00392EAD" w:rsidRDefault="00D81F69">
      <w:pPr>
        <w:spacing w:before="2" w:line="312" w:lineRule="auto"/>
        <w:ind w:left="100"/>
        <w:rPr>
          <w:sz w:val="16"/>
          <w:lang w:val="pt-BR"/>
        </w:rPr>
      </w:pPr>
      <w:hyperlink r:id="rId995">
        <w:r w:rsidR="00330118" w:rsidRPr="00392EAD">
          <w:rPr>
            <w:sz w:val="16"/>
            <w:lang w:val="pt-BR"/>
          </w:rPr>
          <w:t>&lt;http://www.mp.go.gov.br/portalweb/1/noticia/6e6cf72</w:t>
        </w:r>
        <w:r w:rsidR="00330118" w:rsidRPr="00392EAD">
          <w:rPr>
            <w:sz w:val="16"/>
            <w:lang w:val="pt-BR"/>
          </w:rPr>
          <w:t>8606da87ed051</w:t>
        </w:r>
      </w:hyperlink>
      <w:r w:rsidR="00330118" w:rsidRPr="00392EAD">
        <w:rPr>
          <w:sz w:val="16"/>
          <w:lang w:val="pt-BR"/>
        </w:rPr>
        <w:t xml:space="preserve"> 8b816e4fe5ba.html&gt;.Acesso em: 13 dez. 2011.</w:t>
      </w:r>
    </w:p>
    <w:p w:rsidR="00D81F69" w:rsidRPr="00392EAD" w:rsidRDefault="00330118">
      <w:pPr>
        <w:spacing w:before="1" w:line="312" w:lineRule="auto"/>
        <w:ind w:left="100" w:right="121"/>
        <w:jc w:val="both"/>
        <w:rPr>
          <w:sz w:val="16"/>
          <w:lang w:val="pt-BR"/>
        </w:rPr>
      </w:pPr>
      <w:r w:rsidRPr="00392EAD">
        <w:rPr>
          <w:sz w:val="16"/>
          <w:lang w:val="pt-BR"/>
        </w:rPr>
        <w:t>________. Cidades - Um milhão de assinaturas contra dragas no Araguaia. In: Portal do Ministério Público de Goiás, Goiânia, 31 jan. 2010a.</w:t>
      </w:r>
    </w:p>
    <w:p w:rsidR="00D81F69" w:rsidRPr="00392EAD" w:rsidRDefault="00330118">
      <w:pPr>
        <w:tabs>
          <w:tab w:val="left" w:pos="4331"/>
        </w:tabs>
        <w:spacing w:before="70" w:line="312" w:lineRule="auto"/>
        <w:ind w:left="100" w:right="200"/>
        <w:jc w:val="both"/>
        <w:rPr>
          <w:sz w:val="16"/>
          <w:lang w:val="pt-BR"/>
        </w:rPr>
      </w:pPr>
      <w:r w:rsidRPr="00392EAD">
        <w:rPr>
          <w:lang w:val="pt-BR"/>
        </w:rPr>
        <w:br w:type="column"/>
      </w:r>
      <w:r w:rsidRPr="00392EAD">
        <w:rPr>
          <w:sz w:val="16"/>
          <w:lang w:val="pt-BR"/>
        </w:rPr>
        <w:lastRenderedPageBreak/>
        <w:t xml:space="preserve">D      i      s      p      o      n      í      v  </w:t>
      </w:r>
      <w:r w:rsidRPr="00392EAD">
        <w:rPr>
          <w:spacing w:val="36"/>
          <w:sz w:val="16"/>
          <w:lang w:val="pt-BR"/>
        </w:rPr>
        <w:t xml:space="preserve"> </w:t>
      </w:r>
      <w:r w:rsidRPr="00392EAD">
        <w:rPr>
          <w:sz w:val="16"/>
          <w:lang w:val="pt-BR"/>
        </w:rPr>
        <w:t xml:space="preserve">e    </w:t>
      </w:r>
      <w:r w:rsidRPr="00392EAD">
        <w:rPr>
          <w:spacing w:val="31"/>
          <w:sz w:val="16"/>
          <w:lang w:val="pt-BR"/>
        </w:rPr>
        <w:t xml:space="preserve"> </w:t>
      </w:r>
      <w:r w:rsidRPr="00392EAD">
        <w:rPr>
          <w:sz w:val="16"/>
          <w:lang w:val="pt-BR"/>
        </w:rPr>
        <w:t>l</w:t>
      </w:r>
      <w:r w:rsidRPr="00392EAD">
        <w:rPr>
          <w:sz w:val="16"/>
          <w:lang w:val="pt-BR"/>
        </w:rPr>
        <w:tab/>
        <w:t xml:space="preserve">e m : </w:t>
      </w:r>
      <w:hyperlink r:id="rId996">
        <w:r w:rsidRPr="00392EAD">
          <w:rPr>
            <w:sz w:val="16"/>
            <w:lang w:val="pt-BR"/>
          </w:rPr>
          <w:t>http://www.mp.go.gov.br/portalweb/1/noticia/86cb99173f17b896b01b6</w:t>
        </w:r>
      </w:hyperlink>
      <w:r w:rsidRPr="00392EAD">
        <w:rPr>
          <w:sz w:val="16"/>
          <w:lang w:val="pt-BR"/>
        </w:rPr>
        <w:t xml:space="preserve"> e7592a9d110.html. Acesso em 13 dez.</w:t>
      </w:r>
      <w:r w:rsidRPr="00392EAD">
        <w:rPr>
          <w:spacing w:val="3"/>
          <w:sz w:val="16"/>
          <w:lang w:val="pt-BR"/>
        </w:rPr>
        <w:t xml:space="preserve"> </w:t>
      </w:r>
      <w:r w:rsidRPr="00392EAD">
        <w:rPr>
          <w:sz w:val="16"/>
          <w:lang w:val="pt-BR"/>
        </w:rPr>
        <w:t>2011.</w:t>
      </w:r>
    </w:p>
    <w:p w:rsidR="00D81F69" w:rsidRPr="00392EAD" w:rsidRDefault="00330118">
      <w:pPr>
        <w:spacing w:before="2" w:line="312" w:lineRule="auto"/>
        <w:ind w:left="100" w:right="157"/>
        <w:jc w:val="both"/>
        <w:rPr>
          <w:sz w:val="16"/>
          <w:lang w:val="pt-BR"/>
        </w:rPr>
      </w:pPr>
      <w:r w:rsidRPr="00392EAD">
        <w:rPr>
          <w:spacing w:val="5"/>
          <w:sz w:val="16"/>
          <w:lang w:val="pt-BR"/>
        </w:rPr>
        <w:t xml:space="preserve">________. Presidente </w:t>
      </w:r>
      <w:r w:rsidRPr="00392EAD">
        <w:rPr>
          <w:spacing w:val="2"/>
          <w:sz w:val="16"/>
          <w:lang w:val="pt-BR"/>
        </w:rPr>
        <w:t xml:space="preserve">da </w:t>
      </w:r>
      <w:r w:rsidRPr="00392EAD">
        <w:rPr>
          <w:spacing w:val="5"/>
          <w:sz w:val="16"/>
          <w:lang w:val="pt-BR"/>
        </w:rPr>
        <w:t xml:space="preserve">República </w:t>
      </w:r>
      <w:r w:rsidRPr="00392EAD">
        <w:rPr>
          <w:sz w:val="16"/>
          <w:lang w:val="pt-BR"/>
        </w:rPr>
        <w:t xml:space="preserve">e  a  </w:t>
      </w:r>
      <w:r w:rsidRPr="00392EAD">
        <w:rPr>
          <w:spacing w:val="5"/>
          <w:sz w:val="16"/>
          <w:lang w:val="pt-BR"/>
        </w:rPr>
        <w:t xml:space="preserve">salvação </w:t>
      </w:r>
      <w:r w:rsidRPr="00392EAD">
        <w:rPr>
          <w:spacing w:val="2"/>
          <w:sz w:val="16"/>
          <w:lang w:val="pt-BR"/>
        </w:rPr>
        <w:t xml:space="preserve">do  </w:t>
      </w:r>
      <w:r w:rsidRPr="00392EAD">
        <w:rPr>
          <w:spacing w:val="5"/>
          <w:sz w:val="16"/>
          <w:lang w:val="pt-BR"/>
        </w:rPr>
        <w:t xml:space="preserve">Araguaia.  </w:t>
      </w:r>
      <w:r w:rsidRPr="00392EAD">
        <w:rPr>
          <w:sz w:val="16"/>
          <w:lang w:val="pt-BR"/>
        </w:rPr>
        <w:t>G o i â n i a , 2 7 f e v . 2 0 1 0 b . D i s p o n í v e l</w:t>
      </w:r>
      <w:r w:rsidRPr="00392EAD">
        <w:rPr>
          <w:spacing w:val="42"/>
          <w:sz w:val="16"/>
          <w:lang w:val="pt-BR"/>
        </w:rPr>
        <w:t xml:space="preserve"> </w:t>
      </w:r>
      <w:r w:rsidRPr="00392EAD">
        <w:rPr>
          <w:sz w:val="16"/>
          <w:lang w:val="pt-BR"/>
        </w:rPr>
        <w:t xml:space="preserve">e m : </w:t>
      </w:r>
    </w:p>
    <w:p w:rsidR="00D81F69" w:rsidRDefault="00D81F69">
      <w:pPr>
        <w:spacing w:before="2" w:line="312" w:lineRule="auto"/>
        <w:ind w:left="100" w:right="192"/>
        <w:jc w:val="both"/>
        <w:rPr>
          <w:sz w:val="16"/>
        </w:rPr>
      </w:pPr>
      <w:hyperlink r:id="rId997">
        <w:r w:rsidR="00330118" w:rsidRPr="00392EAD">
          <w:rPr>
            <w:sz w:val="16"/>
            <w:lang w:val="pt-BR"/>
          </w:rPr>
          <w:t>&lt;http://site.dm.com.br/noticias/opiniao/presidente-da-republica&gt;.</w:t>
        </w:r>
      </w:hyperlink>
      <w:r w:rsidR="00330118" w:rsidRPr="00392EAD">
        <w:rPr>
          <w:sz w:val="16"/>
          <w:lang w:val="pt-BR"/>
        </w:rPr>
        <w:t xml:space="preserve"> </w:t>
      </w:r>
      <w:r w:rsidR="00330118">
        <w:rPr>
          <w:sz w:val="16"/>
        </w:rPr>
        <w:t>Acesso em: 12 dez. 2011.</w:t>
      </w:r>
    </w:p>
    <w:p w:rsidR="00D81F69" w:rsidRPr="00392EAD" w:rsidRDefault="00330118">
      <w:pPr>
        <w:spacing w:before="1" w:line="312" w:lineRule="auto"/>
        <w:ind w:left="100" w:right="146"/>
        <w:jc w:val="both"/>
        <w:rPr>
          <w:sz w:val="16"/>
          <w:lang w:val="pt-BR"/>
        </w:rPr>
      </w:pPr>
      <w:r w:rsidRPr="00392EAD">
        <w:rPr>
          <w:sz w:val="16"/>
          <w:lang w:val="pt-BR"/>
        </w:rPr>
        <w:t xml:space="preserve">IBGE, Instituto Brasileiro de Geografia e Estatística. Baliza (GO). In:     </w:t>
      </w:r>
      <w:r w:rsidRPr="00392EAD">
        <w:rPr>
          <w:spacing w:val="6"/>
          <w:sz w:val="16"/>
          <w:lang w:val="pt-BR"/>
        </w:rPr>
        <w:t xml:space="preserve">I B G </w:t>
      </w:r>
      <w:r w:rsidRPr="00392EAD">
        <w:rPr>
          <w:sz w:val="16"/>
          <w:lang w:val="pt-BR"/>
        </w:rPr>
        <w:t xml:space="preserve">E </w:t>
      </w:r>
      <w:r w:rsidRPr="00392EAD">
        <w:rPr>
          <w:spacing w:val="6"/>
          <w:sz w:val="16"/>
          <w:lang w:val="pt-BR"/>
        </w:rPr>
        <w:t xml:space="preserve">C i d a d e s </w:t>
      </w:r>
      <w:r w:rsidRPr="00392EAD">
        <w:rPr>
          <w:sz w:val="16"/>
          <w:lang w:val="pt-BR"/>
        </w:rPr>
        <w:t xml:space="preserve">, </w:t>
      </w:r>
      <w:r w:rsidRPr="00392EAD">
        <w:rPr>
          <w:spacing w:val="6"/>
          <w:sz w:val="16"/>
          <w:lang w:val="pt-BR"/>
        </w:rPr>
        <w:t xml:space="preserve">2 0 1 0 a </w:t>
      </w:r>
      <w:r w:rsidRPr="00392EAD">
        <w:rPr>
          <w:sz w:val="16"/>
          <w:lang w:val="pt-BR"/>
        </w:rPr>
        <w:t xml:space="preserve">. </w:t>
      </w:r>
      <w:r w:rsidRPr="00392EAD">
        <w:rPr>
          <w:spacing w:val="6"/>
          <w:sz w:val="16"/>
          <w:lang w:val="pt-BR"/>
        </w:rPr>
        <w:t xml:space="preserve">D i s p o n í v e </w:t>
      </w:r>
      <w:r w:rsidRPr="00392EAD">
        <w:rPr>
          <w:sz w:val="16"/>
          <w:lang w:val="pt-BR"/>
        </w:rPr>
        <w:t>l</w:t>
      </w:r>
      <w:r w:rsidRPr="00392EAD">
        <w:rPr>
          <w:spacing w:val="31"/>
          <w:sz w:val="16"/>
          <w:lang w:val="pt-BR"/>
        </w:rPr>
        <w:t xml:space="preserve"> </w:t>
      </w:r>
      <w:r w:rsidRPr="00392EAD">
        <w:rPr>
          <w:spacing w:val="6"/>
          <w:sz w:val="16"/>
          <w:lang w:val="pt-BR"/>
        </w:rPr>
        <w:t xml:space="preserve">e m </w:t>
      </w:r>
      <w:r w:rsidRPr="00392EAD">
        <w:rPr>
          <w:sz w:val="16"/>
          <w:lang w:val="pt-BR"/>
        </w:rPr>
        <w:t>:</w:t>
      </w:r>
      <w:r w:rsidRPr="00392EAD">
        <w:rPr>
          <w:spacing w:val="7"/>
          <w:sz w:val="16"/>
          <w:lang w:val="pt-BR"/>
        </w:rPr>
        <w:t xml:space="preserve"> </w:t>
      </w:r>
    </w:p>
    <w:p w:rsidR="00D81F69" w:rsidRPr="00392EAD" w:rsidRDefault="00D81F69">
      <w:pPr>
        <w:spacing w:before="2" w:line="312" w:lineRule="auto"/>
        <w:ind w:left="100" w:right="216"/>
        <w:jc w:val="both"/>
        <w:rPr>
          <w:sz w:val="16"/>
          <w:lang w:val="pt-BR"/>
        </w:rPr>
      </w:pPr>
      <w:hyperlink r:id="rId998">
        <w:r w:rsidR="00330118" w:rsidRPr="00392EAD">
          <w:rPr>
            <w:sz w:val="16"/>
            <w:lang w:val="pt-BR"/>
          </w:rPr>
          <w:t>&lt;http://www.ibge.gov.br/cidadesat/topwindow.htm?1&gt;.</w:t>
        </w:r>
        <w:r w:rsidR="00330118" w:rsidRPr="00392EAD">
          <w:rPr>
            <w:sz w:val="16"/>
            <w:lang w:val="pt-BR"/>
          </w:rPr>
          <w:t xml:space="preserve"> </w:t>
        </w:r>
      </w:hyperlink>
      <w:r w:rsidR="00330118" w:rsidRPr="00392EAD">
        <w:rPr>
          <w:sz w:val="16"/>
          <w:lang w:val="pt-BR"/>
        </w:rPr>
        <w:t>Acesso em: 13 dez. 2011.</w:t>
      </w:r>
    </w:p>
    <w:p w:rsidR="00D81F69" w:rsidRPr="00392EAD" w:rsidRDefault="00330118">
      <w:pPr>
        <w:spacing w:before="2"/>
        <w:ind w:left="100"/>
        <w:rPr>
          <w:sz w:val="16"/>
          <w:lang w:val="pt-BR"/>
        </w:rPr>
      </w:pPr>
      <w:r w:rsidRPr="00392EAD">
        <w:rPr>
          <w:sz w:val="16"/>
          <w:lang w:val="pt-BR"/>
        </w:rPr>
        <w:t>______. Itapuranga (GO). In: IBGE Cidades, 2010b. Disponível em:</w:t>
      </w:r>
    </w:p>
    <w:p w:rsidR="00D81F69" w:rsidRPr="00392EAD" w:rsidRDefault="00D81F69">
      <w:pPr>
        <w:spacing w:before="56" w:line="312" w:lineRule="auto"/>
        <w:ind w:left="100" w:right="216"/>
        <w:jc w:val="both"/>
        <w:rPr>
          <w:sz w:val="16"/>
          <w:lang w:val="pt-BR"/>
        </w:rPr>
      </w:pPr>
      <w:hyperlink r:id="rId999">
        <w:r w:rsidR="00330118" w:rsidRPr="00392EAD">
          <w:rPr>
            <w:sz w:val="16"/>
            <w:lang w:val="pt-BR"/>
          </w:rPr>
          <w:t xml:space="preserve">&lt;http://www.ibge.gov.br/cidadesat/topwindow.htm?1&gt;. </w:t>
        </w:r>
      </w:hyperlink>
      <w:r w:rsidR="00330118" w:rsidRPr="00392EAD">
        <w:rPr>
          <w:sz w:val="16"/>
          <w:lang w:val="pt-BR"/>
        </w:rPr>
        <w:t>Acesso em: 13 dez. 2011.</w:t>
      </w:r>
    </w:p>
    <w:p w:rsidR="00D81F69" w:rsidRPr="00392EAD" w:rsidRDefault="00330118">
      <w:pPr>
        <w:tabs>
          <w:tab w:val="left" w:pos="635"/>
        </w:tabs>
        <w:spacing w:before="1"/>
        <w:ind w:left="100"/>
        <w:rPr>
          <w:sz w:val="16"/>
          <w:lang w:val="pt-BR"/>
        </w:rPr>
      </w:pPr>
      <w:r w:rsidRPr="00392EAD">
        <w:rPr>
          <w:sz w:val="16"/>
          <w:u w:val="single"/>
          <w:lang w:val="pt-BR"/>
        </w:rPr>
        <w:t xml:space="preserve"> </w:t>
      </w:r>
      <w:r w:rsidRPr="00392EAD">
        <w:rPr>
          <w:sz w:val="16"/>
          <w:u w:val="single"/>
          <w:lang w:val="pt-BR"/>
        </w:rPr>
        <w:tab/>
      </w:r>
      <w:r w:rsidRPr="00392EAD">
        <w:rPr>
          <w:sz w:val="16"/>
          <w:lang w:val="pt-BR"/>
        </w:rPr>
        <w:t>. Pedra Branca (MT).</w:t>
      </w:r>
      <w:r w:rsidRPr="00392EAD">
        <w:rPr>
          <w:sz w:val="16"/>
          <w:lang w:val="pt-BR"/>
        </w:rPr>
        <w:t xml:space="preserve"> In: IBGE Cidades, 2010c. Disponível</w:t>
      </w:r>
      <w:r w:rsidRPr="00392EAD">
        <w:rPr>
          <w:spacing w:val="7"/>
          <w:sz w:val="16"/>
          <w:lang w:val="pt-BR"/>
        </w:rPr>
        <w:t xml:space="preserve"> </w:t>
      </w:r>
      <w:r w:rsidRPr="00392EAD">
        <w:rPr>
          <w:sz w:val="16"/>
          <w:lang w:val="pt-BR"/>
        </w:rPr>
        <w:t>em:</w:t>
      </w:r>
    </w:p>
    <w:p w:rsidR="00D81F69" w:rsidRPr="00392EAD" w:rsidRDefault="00D81F69">
      <w:pPr>
        <w:spacing w:before="56" w:line="312" w:lineRule="auto"/>
        <w:ind w:left="100" w:right="216"/>
        <w:jc w:val="both"/>
        <w:rPr>
          <w:sz w:val="16"/>
          <w:lang w:val="pt-BR"/>
        </w:rPr>
      </w:pPr>
      <w:hyperlink r:id="rId1000">
        <w:r w:rsidR="00330118" w:rsidRPr="00392EAD">
          <w:rPr>
            <w:sz w:val="16"/>
            <w:lang w:val="pt-BR"/>
          </w:rPr>
          <w:t xml:space="preserve">&lt;http://www.ibge.gov.br/cidadesat/topwindow.htm?1&gt;. </w:t>
        </w:r>
      </w:hyperlink>
      <w:r w:rsidR="00330118" w:rsidRPr="00392EAD">
        <w:rPr>
          <w:sz w:val="16"/>
          <w:lang w:val="pt-BR"/>
        </w:rPr>
        <w:t>Acesso em: 13 dez. 2011.</w:t>
      </w:r>
    </w:p>
    <w:p w:rsidR="00D81F69" w:rsidRDefault="00330118">
      <w:pPr>
        <w:spacing w:before="2" w:line="312" w:lineRule="auto"/>
        <w:ind w:left="100" w:right="174"/>
        <w:jc w:val="both"/>
        <w:rPr>
          <w:sz w:val="16"/>
        </w:rPr>
      </w:pPr>
      <w:r w:rsidRPr="00392EAD">
        <w:rPr>
          <w:spacing w:val="5"/>
          <w:sz w:val="16"/>
          <w:lang w:val="pt-BR"/>
        </w:rPr>
        <w:t xml:space="preserve">GUERREIROS </w:t>
      </w:r>
      <w:r w:rsidRPr="00392EAD">
        <w:rPr>
          <w:spacing w:val="2"/>
          <w:sz w:val="16"/>
          <w:lang w:val="pt-BR"/>
        </w:rPr>
        <w:t xml:space="preserve">DO </w:t>
      </w:r>
      <w:r w:rsidRPr="00392EAD">
        <w:rPr>
          <w:spacing w:val="5"/>
          <w:sz w:val="16"/>
          <w:lang w:val="pt-BR"/>
        </w:rPr>
        <w:t xml:space="preserve">ARAGUAIA. Garimpo destrói </w:t>
      </w:r>
      <w:r w:rsidRPr="00392EAD">
        <w:rPr>
          <w:spacing w:val="3"/>
          <w:sz w:val="16"/>
          <w:lang w:val="pt-BR"/>
        </w:rPr>
        <w:t xml:space="preserve">rio </w:t>
      </w:r>
      <w:r w:rsidRPr="00392EAD">
        <w:rPr>
          <w:spacing w:val="6"/>
          <w:sz w:val="16"/>
          <w:lang w:val="pt-BR"/>
        </w:rPr>
        <w:t xml:space="preserve">Araguaia. </w:t>
      </w:r>
      <w:r>
        <w:rPr>
          <w:spacing w:val="21"/>
          <w:sz w:val="16"/>
        </w:rPr>
        <w:t xml:space="preserve">Berohokã,   </w:t>
      </w:r>
      <w:r>
        <w:rPr>
          <w:spacing w:val="20"/>
          <w:sz w:val="16"/>
        </w:rPr>
        <w:t>Cuiabá</w:t>
      </w:r>
      <w:r>
        <w:rPr>
          <w:spacing w:val="20"/>
          <w:sz w:val="16"/>
        </w:rPr>
        <w:t xml:space="preserve">, </w:t>
      </w:r>
      <w:r>
        <w:rPr>
          <w:spacing w:val="85"/>
          <w:sz w:val="16"/>
        </w:rPr>
        <w:t xml:space="preserve"> </w:t>
      </w:r>
      <w:r>
        <w:rPr>
          <w:spacing w:val="11"/>
          <w:sz w:val="16"/>
        </w:rPr>
        <w:t xml:space="preserve">13   </w:t>
      </w:r>
      <w:r>
        <w:rPr>
          <w:spacing w:val="17"/>
          <w:sz w:val="16"/>
        </w:rPr>
        <w:t xml:space="preserve">jun.   </w:t>
      </w:r>
      <w:r>
        <w:rPr>
          <w:spacing w:val="20"/>
          <w:sz w:val="16"/>
        </w:rPr>
        <w:t xml:space="preserve">2009.   </w:t>
      </w:r>
      <w:r>
        <w:rPr>
          <w:spacing w:val="21"/>
          <w:sz w:val="16"/>
        </w:rPr>
        <w:t>Disponível</w:t>
      </w:r>
      <w:r>
        <w:rPr>
          <w:spacing w:val="20"/>
          <w:sz w:val="16"/>
        </w:rPr>
        <w:t xml:space="preserve"> </w:t>
      </w:r>
      <w:r>
        <w:rPr>
          <w:spacing w:val="15"/>
          <w:sz w:val="16"/>
        </w:rPr>
        <w:t>em:</w:t>
      </w:r>
      <w:r>
        <w:rPr>
          <w:spacing w:val="-18"/>
          <w:sz w:val="16"/>
        </w:rPr>
        <w:t xml:space="preserve"> </w:t>
      </w:r>
    </w:p>
    <w:p w:rsidR="00D81F69" w:rsidRDefault="00D81F69">
      <w:pPr>
        <w:spacing w:before="2"/>
        <w:ind w:left="100"/>
        <w:rPr>
          <w:sz w:val="16"/>
        </w:rPr>
      </w:pPr>
      <w:hyperlink r:id="rId1001">
        <w:r w:rsidR="00330118">
          <w:rPr>
            <w:sz w:val="16"/>
          </w:rPr>
          <w:t>&lt;http://www.berohoka.com.br/Noticia/1,1570,0,0,0,0/Garimpo_destroi</w:t>
        </w:r>
      </w:hyperlink>
    </w:p>
    <w:p w:rsidR="00D81F69" w:rsidRPr="00392EAD" w:rsidRDefault="00330118">
      <w:pPr>
        <w:spacing w:before="56"/>
        <w:ind w:left="100"/>
        <w:rPr>
          <w:sz w:val="16"/>
          <w:lang w:val="pt-BR"/>
        </w:rPr>
      </w:pPr>
      <w:r w:rsidRPr="00392EAD">
        <w:rPr>
          <w:sz w:val="16"/>
          <w:lang w:val="pt-BR"/>
        </w:rPr>
        <w:t>_rio_Araguaia.html&gt;. Acesso em: 13 dez. 2011.</w:t>
      </w:r>
    </w:p>
    <w:p w:rsidR="00D81F69" w:rsidRPr="00392EAD" w:rsidRDefault="00330118">
      <w:pPr>
        <w:spacing w:before="56" w:line="312" w:lineRule="auto"/>
        <w:ind w:left="100" w:right="196"/>
        <w:jc w:val="both"/>
        <w:rPr>
          <w:sz w:val="16"/>
          <w:lang w:val="pt-BR"/>
        </w:rPr>
      </w:pPr>
      <w:r w:rsidRPr="00392EAD">
        <w:rPr>
          <w:sz w:val="16"/>
          <w:lang w:val="pt-BR"/>
        </w:rPr>
        <w:t>IRAN, Leonardo. Licenças causarão impacto irreversível. Jornal Diário da Manhã, Caderno Cidades, Goiânia, 03 jul. 2009. Disponível em:</w:t>
      </w:r>
    </w:p>
    <w:p w:rsidR="00D81F69" w:rsidRPr="00392EAD" w:rsidRDefault="00D81F69">
      <w:pPr>
        <w:spacing w:before="1" w:line="312" w:lineRule="auto"/>
        <w:ind w:left="100" w:right="159"/>
        <w:rPr>
          <w:sz w:val="16"/>
          <w:lang w:val="pt-BR"/>
        </w:rPr>
      </w:pPr>
      <w:hyperlink r:id="rId1002">
        <w:r w:rsidR="00330118" w:rsidRPr="00392EAD">
          <w:rPr>
            <w:sz w:val="16"/>
            <w:lang w:val="pt-BR"/>
          </w:rPr>
          <w:t>&lt; h t t p : / / w w w . m p . g o . g o v . b r / p o r t a l w e b</w:t>
        </w:r>
        <w:r w:rsidR="00330118" w:rsidRPr="00392EAD">
          <w:rPr>
            <w:sz w:val="16"/>
            <w:lang w:val="pt-BR"/>
          </w:rPr>
          <w:t xml:space="preserve"> / 1 / </w:t>
        </w:r>
      </w:hyperlink>
      <w:r w:rsidR="00330118" w:rsidRPr="00392EAD">
        <w:rPr>
          <w:sz w:val="16"/>
          <w:lang w:val="pt-BR"/>
        </w:rPr>
        <w:t>noticia/244f9a3838130a0b26a84f90f2af0d93.html&gt;. Acesso em: 13 dez. 2011.</w:t>
      </w:r>
    </w:p>
    <w:p w:rsidR="00D81F69" w:rsidRPr="00392EAD" w:rsidRDefault="00330118">
      <w:pPr>
        <w:spacing w:before="3" w:line="312" w:lineRule="auto"/>
        <w:ind w:left="100" w:right="150"/>
        <w:jc w:val="both"/>
        <w:rPr>
          <w:sz w:val="16"/>
          <w:lang w:val="pt-BR"/>
        </w:rPr>
      </w:pPr>
      <w:r w:rsidRPr="00392EAD">
        <w:rPr>
          <w:spacing w:val="3"/>
          <w:sz w:val="16"/>
          <w:lang w:val="pt-BR"/>
        </w:rPr>
        <w:t xml:space="preserve">LIMA.  </w:t>
      </w:r>
      <w:r w:rsidRPr="00392EAD">
        <w:rPr>
          <w:spacing w:val="5"/>
          <w:sz w:val="16"/>
          <w:lang w:val="pt-BR"/>
        </w:rPr>
        <w:t xml:space="preserve">Ivair. Dragas voltam </w:t>
      </w:r>
      <w:r w:rsidRPr="00392EAD">
        <w:rPr>
          <w:spacing w:val="2"/>
          <w:sz w:val="16"/>
          <w:lang w:val="pt-BR"/>
        </w:rPr>
        <w:t xml:space="preserve">ao  </w:t>
      </w:r>
      <w:r w:rsidRPr="00392EAD">
        <w:rPr>
          <w:spacing w:val="3"/>
          <w:sz w:val="16"/>
          <w:lang w:val="pt-BR"/>
        </w:rPr>
        <w:t xml:space="preserve">Rio  </w:t>
      </w:r>
      <w:r w:rsidRPr="00392EAD">
        <w:rPr>
          <w:spacing w:val="5"/>
          <w:sz w:val="16"/>
          <w:lang w:val="pt-BR"/>
        </w:rPr>
        <w:t xml:space="preserve">Araguaia. Diário </w:t>
      </w:r>
      <w:r w:rsidRPr="00392EAD">
        <w:rPr>
          <w:spacing w:val="2"/>
          <w:sz w:val="16"/>
          <w:lang w:val="pt-BR"/>
        </w:rPr>
        <w:t xml:space="preserve">da  </w:t>
      </w:r>
      <w:r w:rsidRPr="00392EAD">
        <w:rPr>
          <w:spacing w:val="5"/>
          <w:sz w:val="16"/>
          <w:lang w:val="pt-BR"/>
        </w:rPr>
        <w:t xml:space="preserve">Manhã.  </w:t>
      </w:r>
      <w:r w:rsidRPr="00392EAD">
        <w:rPr>
          <w:sz w:val="16"/>
          <w:lang w:val="pt-BR"/>
        </w:rPr>
        <w:t>G o i â n i a . 0 6 a g o . 2 0 1 1 . D i s p o n í v e l e m</w:t>
      </w:r>
      <w:r w:rsidRPr="00392EAD">
        <w:rPr>
          <w:spacing w:val="-5"/>
          <w:sz w:val="16"/>
          <w:lang w:val="pt-BR"/>
        </w:rPr>
        <w:t xml:space="preserve"> </w:t>
      </w:r>
      <w:r w:rsidRPr="00392EAD">
        <w:rPr>
          <w:sz w:val="16"/>
          <w:lang w:val="pt-BR"/>
        </w:rPr>
        <w:t>:</w:t>
      </w:r>
      <w:r w:rsidRPr="00392EAD">
        <w:rPr>
          <w:spacing w:val="1"/>
          <w:sz w:val="16"/>
          <w:lang w:val="pt-BR"/>
        </w:rPr>
        <w:t xml:space="preserve"> </w:t>
      </w:r>
    </w:p>
    <w:p w:rsidR="00D81F69" w:rsidRPr="00392EAD" w:rsidRDefault="00D81F69">
      <w:pPr>
        <w:spacing w:before="1" w:line="312" w:lineRule="auto"/>
        <w:ind w:left="100" w:right="203"/>
        <w:jc w:val="both"/>
        <w:rPr>
          <w:sz w:val="16"/>
          <w:lang w:val="pt-BR"/>
        </w:rPr>
      </w:pPr>
      <w:hyperlink r:id="rId1003">
        <w:r w:rsidR="00330118" w:rsidRPr="00392EAD">
          <w:rPr>
            <w:sz w:val="16"/>
            <w:lang w:val="pt-BR"/>
          </w:rPr>
          <w:t xml:space="preserve">&lt;http://www.matogrossogoiano.com.br/site/politica/ultimas- </w:t>
        </w:r>
      </w:hyperlink>
      <w:r w:rsidR="00330118" w:rsidRPr="00392EAD">
        <w:rPr>
          <w:sz w:val="16"/>
          <w:lang w:val="pt-BR"/>
        </w:rPr>
        <w:t>noticias/goias/6282-dragas-voltam-ao-rio-araguaia&gt;. Acesso em: 13 dez. 2011.</w:t>
      </w:r>
    </w:p>
    <w:p w:rsidR="00D81F69" w:rsidRPr="00392EAD" w:rsidRDefault="00330118">
      <w:pPr>
        <w:spacing w:before="3" w:line="312" w:lineRule="auto"/>
        <w:ind w:left="100" w:right="172"/>
        <w:jc w:val="both"/>
        <w:rPr>
          <w:sz w:val="16"/>
          <w:lang w:val="pt-BR"/>
        </w:rPr>
      </w:pPr>
      <w:r w:rsidRPr="00392EAD">
        <w:rPr>
          <w:sz w:val="16"/>
          <w:lang w:val="pt-BR"/>
        </w:rPr>
        <w:t>MENEZES, Jairo. Fiscais encontram dragas no Ara</w:t>
      </w:r>
      <w:r w:rsidRPr="00392EAD">
        <w:rPr>
          <w:sz w:val="16"/>
          <w:lang w:val="pt-BR"/>
        </w:rPr>
        <w:t xml:space="preserve">guaia. Diário da </w:t>
      </w:r>
      <w:r w:rsidRPr="00392EAD">
        <w:rPr>
          <w:spacing w:val="22"/>
          <w:sz w:val="16"/>
          <w:lang w:val="pt-BR"/>
        </w:rPr>
        <w:t xml:space="preserve">Manhã, </w:t>
      </w:r>
      <w:r w:rsidRPr="00392EAD">
        <w:rPr>
          <w:spacing w:val="23"/>
          <w:sz w:val="16"/>
          <w:lang w:val="pt-BR"/>
        </w:rPr>
        <w:t xml:space="preserve">Goiânia, </w:t>
      </w:r>
      <w:r w:rsidRPr="00392EAD">
        <w:rPr>
          <w:spacing w:val="13"/>
          <w:sz w:val="16"/>
          <w:lang w:val="pt-BR"/>
        </w:rPr>
        <w:t xml:space="preserve">15 </w:t>
      </w:r>
      <w:r w:rsidRPr="00392EAD">
        <w:rPr>
          <w:spacing w:val="20"/>
          <w:sz w:val="16"/>
          <w:lang w:val="pt-BR"/>
        </w:rPr>
        <w:t>ago.</w:t>
      </w:r>
      <w:r w:rsidRPr="00392EAD">
        <w:rPr>
          <w:spacing w:val="85"/>
          <w:sz w:val="16"/>
          <w:lang w:val="pt-BR"/>
        </w:rPr>
        <w:t xml:space="preserve"> </w:t>
      </w:r>
      <w:r w:rsidRPr="00392EAD">
        <w:rPr>
          <w:spacing w:val="21"/>
          <w:sz w:val="16"/>
          <w:lang w:val="pt-BR"/>
        </w:rPr>
        <w:t xml:space="preserve">2011. </w:t>
      </w:r>
      <w:r w:rsidRPr="00392EAD">
        <w:rPr>
          <w:spacing w:val="25"/>
          <w:sz w:val="16"/>
          <w:lang w:val="pt-BR"/>
        </w:rPr>
        <w:t>Disponível</w:t>
      </w:r>
      <w:r w:rsidRPr="00392EAD">
        <w:rPr>
          <w:spacing w:val="77"/>
          <w:sz w:val="16"/>
          <w:lang w:val="pt-BR"/>
        </w:rPr>
        <w:t xml:space="preserve"> </w:t>
      </w:r>
      <w:r w:rsidRPr="00392EAD">
        <w:rPr>
          <w:spacing w:val="17"/>
          <w:sz w:val="16"/>
          <w:lang w:val="pt-BR"/>
        </w:rPr>
        <w:t>em:</w:t>
      </w:r>
      <w:r w:rsidRPr="00392EAD">
        <w:rPr>
          <w:spacing w:val="-16"/>
          <w:sz w:val="16"/>
          <w:lang w:val="pt-BR"/>
        </w:rPr>
        <w:t xml:space="preserve"> </w:t>
      </w:r>
    </w:p>
    <w:p w:rsidR="00D81F69" w:rsidRPr="00392EAD" w:rsidRDefault="00D81F69">
      <w:pPr>
        <w:spacing w:before="1" w:line="312" w:lineRule="auto"/>
        <w:ind w:left="100" w:right="203"/>
        <w:jc w:val="both"/>
        <w:rPr>
          <w:sz w:val="16"/>
          <w:lang w:val="pt-BR"/>
        </w:rPr>
      </w:pPr>
      <w:hyperlink r:id="rId1004">
        <w:r w:rsidR="00330118" w:rsidRPr="00392EAD">
          <w:rPr>
            <w:sz w:val="16"/>
            <w:lang w:val="pt-BR"/>
          </w:rPr>
          <w:t xml:space="preserve">&lt;http://www.matogrossogoiano.com.br/site/politica/ultimas- </w:t>
        </w:r>
      </w:hyperlink>
      <w:r w:rsidR="00330118" w:rsidRPr="00392EAD">
        <w:rPr>
          <w:sz w:val="16"/>
          <w:lang w:val="pt-BR"/>
        </w:rPr>
        <w:t xml:space="preserve">noticias/goias/6990-fiscais-encontram-dragas-no-araguaia&gt;. </w:t>
      </w:r>
      <w:r w:rsidR="00330118" w:rsidRPr="00392EAD">
        <w:rPr>
          <w:sz w:val="16"/>
          <w:lang w:val="pt-BR"/>
        </w:rPr>
        <w:t>Acesso em: 13 dez. 2011.</w:t>
      </w:r>
    </w:p>
    <w:p w:rsidR="00D81F69" w:rsidRPr="00392EAD" w:rsidRDefault="00D81F69">
      <w:pPr>
        <w:spacing w:line="312" w:lineRule="auto"/>
        <w:jc w:val="both"/>
        <w:rPr>
          <w:sz w:val="16"/>
          <w:lang w:val="pt-BR"/>
        </w:rPr>
        <w:sectPr w:rsidR="00D81F69" w:rsidRPr="00392EAD">
          <w:pgSz w:w="11900" w:h="16840"/>
          <w:pgMar w:top="740" w:right="500" w:bottom="720" w:left="620" w:header="0" w:footer="402" w:gutter="0"/>
          <w:cols w:num="2" w:space="720" w:equalWidth="0">
            <w:col w:w="5235" w:space="235"/>
            <w:col w:w="5310"/>
          </w:cols>
        </w:sectPr>
      </w:pPr>
    </w:p>
    <w:p w:rsidR="00D81F69" w:rsidRPr="00392EAD" w:rsidRDefault="00330118">
      <w:pPr>
        <w:spacing w:before="26"/>
        <w:ind w:left="6640"/>
        <w:rPr>
          <w:rFonts w:ascii="Calibri" w:hAnsi="Calibri"/>
          <w:sz w:val="28"/>
          <w:lang w:val="pt-BR"/>
        </w:rPr>
      </w:pPr>
      <w:r w:rsidRPr="00392EAD">
        <w:rPr>
          <w:rFonts w:ascii="Calibri" w:hAnsi="Calibri"/>
          <w:sz w:val="28"/>
          <w:lang w:val="pt-BR"/>
        </w:rPr>
        <w:lastRenderedPageBreak/>
        <w:t>REGIÃO SUDESTE</w:t>
      </w:r>
    </w:p>
    <w:p w:rsidR="00D81F69" w:rsidRPr="00392EAD" w:rsidRDefault="00D81F69">
      <w:pPr>
        <w:pStyle w:val="Corpodetexto"/>
        <w:spacing w:before="2"/>
        <w:ind w:left="0"/>
        <w:jc w:val="left"/>
        <w:rPr>
          <w:rFonts w:ascii="Calibri"/>
          <w:sz w:val="30"/>
          <w:lang w:val="pt-BR"/>
        </w:rPr>
      </w:pPr>
    </w:p>
    <w:p w:rsidR="00D81F69" w:rsidRPr="00392EAD" w:rsidRDefault="00330118">
      <w:pPr>
        <w:ind w:left="1646"/>
        <w:rPr>
          <w:b/>
          <w:sz w:val="28"/>
          <w:lang w:val="pt-BR"/>
        </w:rPr>
      </w:pPr>
      <w:r w:rsidRPr="00392EAD">
        <w:rPr>
          <w:b/>
          <w:sz w:val="28"/>
          <w:lang w:val="pt-BR"/>
        </w:rPr>
        <w:t>O peso da mineração na Região Sudeste</w:t>
      </w:r>
    </w:p>
    <w:p w:rsidR="00D81F69" w:rsidRPr="00392EAD" w:rsidRDefault="00D81F69">
      <w:pPr>
        <w:pStyle w:val="Corpodetexto"/>
        <w:spacing w:before="10"/>
        <w:ind w:left="0"/>
        <w:jc w:val="left"/>
        <w:rPr>
          <w:b/>
          <w:sz w:val="27"/>
          <w:lang w:val="pt-BR"/>
        </w:rPr>
      </w:pPr>
    </w:p>
    <w:p w:rsidR="00D81F69" w:rsidRPr="00392EAD" w:rsidRDefault="00330118">
      <w:pPr>
        <w:ind w:left="4981" w:right="116" w:hanging="148"/>
        <w:jc w:val="both"/>
        <w:rPr>
          <w:i/>
          <w:lang w:val="pt-BR"/>
        </w:rPr>
      </w:pPr>
      <w:r w:rsidRPr="00392EAD">
        <w:rPr>
          <w:i/>
          <w:lang w:val="pt-BR"/>
        </w:rPr>
        <w:t>Renata de Carvalho Jimenez Alamino</w:t>
      </w:r>
      <w:r w:rsidRPr="00392EAD">
        <w:rPr>
          <w:i/>
          <w:vertAlign w:val="superscript"/>
          <w:lang w:val="pt-BR"/>
        </w:rPr>
        <w:t>1</w:t>
      </w:r>
      <w:r w:rsidRPr="00392EAD">
        <w:rPr>
          <w:i/>
          <w:lang w:val="pt-BR"/>
        </w:rPr>
        <w:t xml:space="preserve"> Rodrigo Braga da Rocha Villa Verde</w:t>
      </w:r>
      <w:r w:rsidRPr="00392EAD">
        <w:rPr>
          <w:i/>
          <w:vertAlign w:val="superscript"/>
          <w:lang w:val="pt-BR"/>
        </w:rPr>
        <w:t>2</w:t>
      </w:r>
      <w:r w:rsidRPr="00392EAD">
        <w:rPr>
          <w:i/>
          <w:lang w:val="pt-BR"/>
        </w:rPr>
        <w:t xml:space="preserve"> Francisco Rego Chaves Fernandes</w:t>
      </w:r>
      <w:r w:rsidRPr="00392EAD">
        <w:rPr>
          <w:i/>
          <w:vertAlign w:val="superscript"/>
          <w:lang w:val="pt-BR"/>
        </w:rPr>
        <w:t>3</w:t>
      </w:r>
    </w:p>
    <w:p w:rsidR="00D81F69" w:rsidRPr="00392EAD" w:rsidRDefault="00D81F69">
      <w:pPr>
        <w:pStyle w:val="Corpodetexto"/>
        <w:ind w:left="0"/>
        <w:jc w:val="left"/>
        <w:rPr>
          <w:i/>
          <w:sz w:val="22"/>
          <w:lang w:val="pt-BR"/>
        </w:rPr>
      </w:pPr>
    </w:p>
    <w:p w:rsidR="00D81F69" w:rsidRPr="00392EAD" w:rsidRDefault="00330118">
      <w:pPr>
        <w:ind w:left="101" w:right="117"/>
        <w:jc w:val="both"/>
        <w:rPr>
          <w:lang w:val="pt-BR"/>
        </w:rPr>
      </w:pPr>
      <w:r w:rsidRPr="00392EAD">
        <w:rPr>
          <w:lang w:val="pt-BR"/>
        </w:rPr>
        <w:t>Segundo o Departamento Nacional de Produção Mineral (DNPM), existem 8.870 empresas mineradoras no país, e, na região Sudeste, este número alcança 3.609, cerca de 40% do total (IBRAM, 2012 – dados de 2011 para o Brasil).</w:t>
      </w:r>
    </w:p>
    <w:p w:rsidR="00D81F69" w:rsidRPr="00392EAD" w:rsidRDefault="00D81F69">
      <w:pPr>
        <w:pStyle w:val="Corpodetexto"/>
        <w:spacing w:before="11"/>
        <w:ind w:left="0"/>
        <w:jc w:val="left"/>
        <w:rPr>
          <w:sz w:val="21"/>
          <w:lang w:val="pt-BR"/>
        </w:rPr>
      </w:pPr>
    </w:p>
    <w:p w:rsidR="00D81F69" w:rsidRPr="00392EAD" w:rsidRDefault="00330118">
      <w:pPr>
        <w:ind w:left="101" w:right="116"/>
        <w:jc w:val="both"/>
        <w:rPr>
          <w:lang w:val="pt-BR"/>
        </w:rPr>
      </w:pPr>
      <w:r w:rsidRPr="00392EAD">
        <w:rPr>
          <w:lang w:val="pt-BR"/>
        </w:rPr>
        <w:t xml:space="preserve">Na região, que tem aproximadamente 85 milhões de habitantes (IBGE, 2013), sobressaem os minérios de ferro, ouro, manganês e bauxita, no Quadrilátero Ferrífero; nióbio e fosfato em Araxá; gemas, em Governador Valadares; e grafita, em Salto da Divisa, todos </w:t>
      </w:r>
      <w:r w:rsidRPr="00392EAD">
        <w:rPr>
          <w:lang w:val="pt-BR"/>
        </w:rPr>
        <w:t>no estado de Minas Gerais; além de agregados, em São Paulo e Rio de Janeiro, e rochas ornamentais, no Espírito Santo (IBRAM, 2012).</w:t>
      </w:r>
    </w:p>
    <w:p w:rsidR="00D81F69" w:rsidRPr="00392EAD" w:rsidRDefault="00D81F69">
      <w:pPr>
        <w:pStyle w:val="Corpodetexto"/>
        <w:ind w:left="0"/>
        <w:jc w:val="left"/>
        <w:rPr>
          <w:sz w:val="22"/>
          <w:lang w:val="pt-BR"/>
        </w:rPr>
      </w:pPr>
    </w:p>
    <w:p w:rsidR="00D81F69" w:rsidRPr="00392EAD" w:rsidRDefault="00330118">
      <w:pPr>
        <w:ind w:left="101" w:right="117"/>
        <w:jc w:val="both"/>
        <w:rPr>
          <w:lang w:val="pt-BR"/>
        </w:rPr>
      </w:pPr>
      <w:r w:rsidRPr="00392EAD">
        <w:rPr>
          <w:lang w:val="pt-BR"/>
        </w:rPr>
        <w:t>Desde o século XVIII, o Sudeste não parou de receber contingentes populacionais vindos de outras regiões e de fora do país,</w:t>
      </w:r>
      <w:r w:rsidRPr="00392EAD">
        <w:rPr>
          <w:lang w:val="pt-BR"/>
        </w:rPr>
        <w:t xml:space="preserve"> e, a mineração foi a atividade econômica que deu início ao processo de atração populacional.</w:t>
      </w:r>
    </w:p>
    <w:p w:rsidR="00D81F69" w:rsidRPr="00392EAD" w:rsidRDefault="00D81F69">
      <w:pPr>
        <w:pStyle w:val="Corpodetexto"/>
        <w:spacing w:before="11"/>
        <w:ind w:left="0"/>
        <w:jc w:val="left"/>
        <w:rPr>
          <w:sz w:val="21"/>
          <w:lang w:val="pt-BR"/>
        </w:rPr>
      </w:pPr>
    </w:p>
    <w:p w:rsidR="00D81F69" w:rsidRPr="00392EAD" w:rsidRDefault="00330118">
      <w:pPr>
        <w:ind w:left="101" w:right="117"/>
        <w:jc w:val="both"/>
        <w:rPr>
          <w:lang w:val="pt-BR"/>
        </w:rPr>
      </w:pPr>
      <w:r w:rsidRPr="00392EAD">
        <w:rPr>
          <w:lang w:val="pt-BR"/>
        </w:rPr>
        <w:t>Neste livro, a região é representada por 34 estudos de casos. Destes, Minas Gerais é o</w:t>
      </w:r>
      <w:r w:rsidRPr="00392EAD">
        <w:rPr>
          <w:spacing w:val="10"/>
          <w:lang w:val="pt-BR"/>
        </w:rPr>
        <w:t xml:space="preserve"> </w:t>
      </w:r>
      <w:r w:rsidRPr="00392EAD">
        <w:rPr>
          <w:lang w:val="pt-BR"/>
        </w:rPr>
        <w:t>estado</w:t>
      </w:r>
      <w:r w:rsidRPr="00392EAD">
        <w:rPr>
          <w:spacing w:val="10"/>
          <w:lang w:val="pt-BR"/>
        </w:rPr>
        <w:t xml:space="preserve"> </w:t>
      </w:r>
      <w:r w:rsidRPr="00392EAD">
        <w:rPr>
          <w:lang w:val="pt-BR"/>
        </w:rPr>
        <w:t>que</w:t>
      </w:r>
      <w:r w:rsidRPr="00392EAD">
        <w:rPr>
          <w:spacing w:val="10"/>
          <w:lang w:val="pt-BR"/>
        </w:rPr>
        <w:t xml:space="preserve"> </w:t>
      </w:r>
      <w:r w:rsidRPr="00392EAD">
        <w:rPr>
          <w:lang w:val="pt-BR"/>
        </w:rPr>
        <w:t>abriga</w:t>
      </w:r>
      <w:r w:rsidRPr="00392EAD">
        <w:rPr>
          <w:spacing w:val="10"/>
          <w:lang w:val="pt-BR"/>
        </w:rPr>
        <w:t xml:space="preserve"> </w:t>
      </w:r>
      <w:r w:rsidRPr="00392EAD">
        <w:rPr>
          <w:lang w:val="pt-BR"/>
        </w:rPr>
        <w:t>o</w:t>
      </w:r>
      <w:r w:rsidRPr="00392EAD">
        <w:rPr>
          <w:spacing w:val="11"/>
          <w:lang w:val="pt-BR"/>
        </w:rPr>
        <w:t xml:space="preserve"> </w:t>
      </w:r>
      <w:r w:rsidRPr="00392EAD">
        <w:rPr>
          <w:lang w:val="pt-BR"/>
        </w:rPr>
        <w:t>maior</w:t>
      </w:r>
      <w:r w:rsidRPr="00392EAD">
        <w:rPr>
          <w:spacing w:val="10"/>
          <w:lang w:val="pt-BR"/>
        </w:rPr>
        <w:t xml:space="preserve"> </w:t>
      </w:r>
      <w:r w:rsidRPr="00392EAD">
        <w:rPr>
          <w:lang w:val="pt-BR"/>
        </w:rPr>
        <w:t>número</w:t>
      </w:r>
      <w:r w:rsidRPr="00392EAD">
        <w:rPr>
          <w:spacing w:val="10"/>
          <w:lang w:val="pt-BR"/>
        </w:rPr>
        <w:t xml:space="preserve"> </w:t>
      </w:r>
      <w:r w:rsidRPr="00392EAD">
        <w:rPr>
          <w:lang w:val="pt-BR"/>
        </w:rPr>
        <w:t>(20),</w:t>
      </w:r>
      <w:r w:rsidRPr="00392EAD">
        <w:rPr>
          <w:spacing w:val="10"/>
          <w:lang w:val="pt-BR"/>
        </w:rPr>
        <w:t xml:space="preserve"> </w:t>
      </w:r>
      <w:r w:rsidRPr="00392EAD">
        <w:rPr>
          <w:lang w:val="pt-BR"/>
        </w:rPr>
        <w:t>seguido</w:t>
      </w:r>
      <w:r w:rsidRPr="00392EAD">
        <w:rPr>
          <w:spacing w:val="10"/>
          <w:lang w:val="pt-BR"/>
        </w:rPr>
        <w:t xml:space="preserve"> </w:t>
      </w:r>
      <w:r w:rsidRPr="00392EAD">
        <w:rPr>
          <w:lang w:val="pt-BR"/>
        </w:rPr>
        <w:t>pelo</w:t>
      </w:r>
      <w:r w:rsidRPr="00392EAD">
        <w:rPr>
          <w:spacing w:val="10"/>
          <w:lang w:val="pt-BR"/>
        </w:rPr>
        <w:t xml:space="preserve"> </w:t>
      </w:r>
      <w:r w:rsidRPr="00392EAD">
        <w:rPr>
          <w:lang w:val="pt-BR"/>
        </w:rPr>
        <w:t>Rio</w:t>
      </w:r>
      <w:r w:rsidRPr="00392EAD">
        <w:rPr>
          <w:spacing w:val="10"/>
          <w:lang w:val="pt-BR"/>
        </w:rPr>
        <w:t xml:space="preserve"> </w:t>
      </w:r>
      <w:r w:rsidRPr="00392EAD">
        <w:rPr>
          <w:lang w:val="pt-BR"/>
        </w:rPr>
        <w:t>de</w:t>
      </w:r>
      <w:r w:rsidRPr="00392EAD">
        <w:rPr>
          <w:spacing w:val="10"/>
          <w:lang w:val="pt-BR"/>
        </w:rPr>
        <w:t xml:space="preserve"> </w:t>
      </w:r>
      <w:r w:rsidRPr="00392EAD">
        <w:rPr>
          <w:lang w:val="pt-BR"/>
        </w:rPr>
        <w:t>Janeiro</w:t>
      </w:r>
      <w:r w:rsidRPr="00392EAD">
        <w:rPr>
          <w:spacing w:val="10"/>
          <w:lang w:val="pt-BR"/>
        </w:rPr>
        <w:t xml:space="preserve"> </w:t>
      </w:r>
      <w:r w:rsidRPr="00392EAD">
        <w:rPr>
          <w:lang w:val="pt-BR"/>
        </w:rPr>
        <w:t>(9),</w:t>
      </w:r>
      <w:r w:rsidRPr="00392EAD">
        <w:rPr>
          <w:spacing w:val="10"/>
          <w:lang w:val="pt-BR"/>
        </w:rPr>
        <w:t xml:space="preserve"> </w:t>
      </w:r>
      <w:r w:rsidRPr="00392EAD">
        <w:rPr>
          <w:lang w:val="pt-BR"/>
        </w:rPr>
        <w:t>Sã</w:t>
      </w:r>
      <w:r w:rsidRPr="00392EAD">
        <w:rPr>
          <w:lang w:val="pt-BR"/>
        </w:rPr>
        <w:t>o</w:t>
      </w:r>
      <w:r w:rsidRPr="00392EAD">
        <w:rPr>
          <w:spacing w:val="11"/>
          <w:lang w:val="pt-BR"/>
        </w:rPr>
        <w:t xml:space="preserve"> </w:t>
      </w:r>
      <w:r w:rsidRPr="00392EAD">
        <w:rPr>
          <w:lang w:val="pt-BR"/>
        </w:rPr>
        <w:t>Paulo</w:t>
      </w:r>
    </w:p>
    <w:p w:rsidR="00D81F69" w:rsidRPr="00392EAD" w:rsidRDefault="00330118">
      <w:pPr>
        <w:spacing w:before="1"/>
        <w:ind w:left="101"/>
        <w:jc w:val="both"/>
        <w:rPr>
          <w:lang w:val="pt-BR"/>
        </w:rPr>
      </w:pPr>
      <w:r w:rsidRPr="00392EAD">
        <w:rPr>
          <w:lang w:val="pt-BR"/>
        </w:rPr>
        <w:t>(4) e Espírito Santo (1).</w:t>
      </w:r>
    </w:p>
    <w:p w:rsidR="00D81F69" w:rsidRPr="00392EAD" w:rsidRDefault="00D81F69">
      <w:pPr>
        <w:pStyle w:val="Corpodetexto"/>
        <w:spacing w:before="10"/>
        <w:ind w:left="0"/>
        <w:jc w:val="left"/>
        <w:rPr>
          <w:sz w:val="21"/>
          <w:lang w:val="pt-BR"/>
        </w:rPr>
      </w:pPr>
    </w:p>
    <w:p w:rsidR="00D81F69" w:rsidRPr="00392EAD" w:rsidRDefault="00330118">
      <w:pPr>
        <w:ind w:left="101" w:right="115"/>
        <w:jc w:val="both"/>
        <w:rPr>
          <w:lang w:val="pt-BR"/>
        </w:rPr>
      </w:pPr>
      <w:r w:rsidRPr="00392EAD">
        <w:rPr>
          <w:lang w:val="pt-BR"/>
        </w:rPr>
        <w:t xml:space="preserve">Minas Gerais é o maior estado minerador brasileiro. Com atividade de mineração em mais de 250 municípios, e mais de 300 minas em operação, o estado possui 40 das 100 maiores minas do Brasil. </w:t>
      </w:r>
      <w:r>
        <w:t>Além disso, dos 10 maiores mun</w:t>
      </w:r>
      <w:r>
        <w:t xml:space="preserve">icípios mineradores, sete estão em Minas, sendo Itabira o maior do país. </w:t>
      </w:r>
      <w:r w:rsidRPr="00392EAD">
        <w:rPr>
          <w:lang w:val="pt-BR"/>
        </w:rPr>
        <w:t>É responsável, ainda, por, aproximadamente, 53% da produção brasileira de minerais metálicos e 29% do total de minerais, além de extrair mais de 160 milhões de toneladas/ano de minéri</w:t>
      </w:r>
      <w:r w:rsidRPr="00392EAD">
        <w:rPr>
          <w:lang w:val="pt-BR"/>
        </w:rPr>
        <w:t>o de ferro (IBRAM,</w:t>
      </w:r>
      <w:r w:rsidRPr="00392EAD">
        <w:rPr>
          <w:spacing w:val="-1"/>
          <w:lang w:val="pt-BR"/>
        </w:rPr>
        <w:t xml:space="preserve"> </w:t>
      </w:r>
      <w:r w:rsidRPr="00392EAD">
        <w:rPr>
          <w:lang w:val="pt-BR"/>
        </w:rPr>
        <w:t>2013).</w:t>
      </w:r>
    </w:p>
    <w:p w:rsidR="00D81F69" w:rsidRPr="00392EAD" w:rsidRDefault="00D81F69">
      <w:pPr>
        <w:pStyle w:val="Corpodetexto"/>
        <w:ind w:left="0"/>
        <w:jc w:val="left"/>
        <w:rPr>
          <w:sz w:val="22"/>
          <w:lang w:val="pt-BR"/>
        </w:rPr>
      </w:pPr>
    </w:p>
    <w:p w:rsidR="00D81F69" w:rsidRPr="00392EAD" w:rsidRDefault="00330118">
      <w:pPr>
        <w:spacing w:before="1"/>
        <w:ind w:left="101" w:right="116"/>
        <w:jc w:val="both"/>
        <w:rPr>
          <w:lang w:val="pt-BR"/>
        </w:rPr>
      </w:pPr>
      <w:r w:rsidRPr="00392EAD">
        <w:rPr>
          <w:lang w:val="pt-BR"/>
        </w:rPr>
        <w:t>A maioria dos empreendimentos levantados neste estudo relativos ao Sudeste está  em funcionamento, enquanto 16% já encerraram atividades. Outros 16% ainda estão em projeto, e apenas 3% encontram-se impedidos de operar devido à mobilização social. Mais da m</w:t>
      </w:r>
      <w:r w:rsidRPr="00392EAD">
        <w:rPr>
          <w:lang w:val="pt-BR"/>
        </w:rPr>
        <w:t>etade dos empreendimentos minerais abrange mais de um  município, seja no mesmo estado ou não. Estes negócios são, quase em sua totalidade, constituídos por indústrias extrativas e indústrias de transformação (como cimenteiras, siderúrgicas e metalúrgicas)</w:t>
      </w:r>
      <w:r w:rsidRPr="00392EAD">
        <w:rPr>
          <w:lang w:val="pt-BR"/>
        </w:rPr>
        <w:t>, e muitos deles já operam há mais de 20 anos.</w:t>
      </w:r>
    </w:p>
    <w:p w:rsidR="00D81F69" w:rsidRPr="00392EAD" w:rsidRDefault="00D81F69">
      <w:pPr>
        <w:pStyle w:val="Corpodetexto"/>
        <w:spacing w:before="10"/>
        <w:ind w:left="0"/>
        <w:jc w:val="left"/>
        <w:rPr>
          <w:sz w:val="21"/>
          <w:lang w:val="pt-BR"/>
        </w:rPr>
      </w:pPr>
    </w:p>
    <w:p w:rsidR="00D81F69" w:rsidRPr="00392EAD" w:rsidRDefault="00330118">
      <w:pPr>
        <w:spacing w:before="1"/>
        <w:ind w:left="101" w:right="117"/>
        <w:jc w:val="both"/>
        <w:rPr>
          <w:lang w:val="pt-BR"/>
        </w:rPr>
      </w:pPr>
      <w:r w:rsidRPr="00392EAD">
        <w:rPr>
          <w:lang w:val="pt-BR"/>
        </w:rPr>
        <w:t>Quanto à caracterização da população envolvida nos empreendimentos minerais da região, tem-se que os municípios-sede dos empreendimentos minerais são classificados</w:t>
      </w:r>
      <w:r w:rsidRPr="00392EAD">
        <w:rPr>
          <w:vertAlign w:val="superscript"/>
          <w:lang w:val="pt-BR"/>
        </w:rPr>
        <w:t>4</w:t>
      </w:r>
      <w:r w:rsidRPr="00392EAD">
        <w:rPr>
          <w:lang w:val="pt-BR"/>
        </w:rPr>
        <w:t>, em sua maioria, como de pequeno porte (54%</w:t>
      </w:r>
      <w:r w:rsidRPr="00392EAD">
        <w:rPr>
          <w:lang w:val="pt-BR"/>
        </w:rPr>
        <w:t>), seguidos por aqueles</w:t>
      </w:r>
    </w:p>
    <w:p w:rsidR="00D81F69" w:rsidRPr="00392EAD" w:rsidRDefault="00D81F69">
      <w:pPr>
        <w:pStyle w:val="Corpodetexto"/>
        <w:ind w:left="0"/>
        <w:jc w:val="left"/>
        <w:rPr>
          <w:sz w:val="29"/>
          <w:lang w:val="pt-BR"/>
        </w:rPr>
      </w:pPr>
      <w:r w:rsidRPr="00D81F69">
        <w:pict>
          <v:line id="_x0000_s1030" style="position:absolute;z-index:6184;mso-wrap-distance-left:0;mso-wrap-distance-right:0;mso-position-horizontal-relative:page" from="85.1pt,19.05pt" to="229.1pt,19.05pt" strokeweight=".72pt">
            <w10:wrap type="topAndBottom" anchorx="page"/>
          </v:line>
        </w:pict>
      </w:r>
    </w:p>
    <w:p w:rsidR="00D81F69" w:rsidRPr="00392EAD" w:rsidRDefault="00330118">
      <w:pPr>
        <w:pStyle w:val="Corpodetexto"/>
        <w:spacing w:before="95"/>
        <w:ind w:left="101" w:right="116"/>
        <w:rPr>
          <w:lang w:val="pt-BR"/>
        </w:rPr>
      </w:pPr>
      <w:r w:rsidRPr="00392EAD">
        <w:rPr>
          <w:position w:val="9"/>
          <w:sz w:val="12"/>
          <w:lang w:val="pt-BR"/>
        </w:rPr>
        <w:t>1</w:t>
      </w:r>
      <w:r w:rsidRPr="00392EAD">
        <w:rPr>
          <w:lang w:val="pt-BR"/>
        </w:rPr>
        <w:t xml:space="preserve">Doutorado em Geologia pela Universidade Federal do Rio de Janeiro (UFRJ). Bolsista do Programa de Capacitação Institucional do Ministério da Ciência, Tecnologia e Inovação / CNPq-CETEM. Contato: </w:t>
      </w:r>
      <w:hyperlink r:id="rId1005">
        <w:r w:rsidRPr="00392EAD">
          <w:rPr>
            <w:lang w:val="pt-BR"/>
          </w:rPr>
          <w:t>ralamino@cetem.gov.br</w:t>
        </w:r>
      </w:hyperlink>
    </w:p>
    <w:p w:rsidR="00D81F69" w:rsidRPr="00392EAD" w:rsidRDefault="00330118">
      <w:pPr>
        <w:pStyle w:val="Corpodetexto"/>
        <w:spacing w:before="26"/>
        <w:ind w:left="101" w:right="178"/>
        <w:jc w:val="left"/>
        <w:rPr>
          <w:lang w:val="pt-BR"/>
        </w:rPr>
      </w:pPr>
      <w:r w:rsidRPr="00392EAD">
        <w:rPr>
          <w:position w:val="9"/>
          <w:sz w:val="12"/>
          <w:lang w:val="pt-BR"/>
        </w:rPr>
        <w:t>2</w:t>
      </w:r>
      <w:r w:rsidRPr="00392EAD">
        <w:rPr>
          <w:lang w:val="pt-BR"/>
        </w:rPr>
        <w:t>Geógrafo pela Universidade Federal do Rio de Janeiro (UFRJ). Historiador pela Universidade Federal do Estado do Rio de Janeiro (UNIRIO). Bolsista do Programa de Capacitação Institucional do Ministério da Ciência, Tecnologia e Inovação / CNPq-CETEM. Contato</w:t>
      </w:r>
      <w:r w:rsidRPr="00392EAD">
        <w:rPr>
          <w:lang w:val="pt-BR"/>
        </w:rPr>
        <w:t xml:space="preserve">: </w:t>
      </w:r>
      <w:hyperlink r:id="rId1006">
        <w:r w:rsidRPr="00392EAD">
          <w:rPr>
            <w:lang w:val="pt-BR"/>
          </w:rPr>
          <w:t>rrocha@cetem.gov.br</w:t>
        </w:r>
      </w:hyperlink>
    </w:p>
    <w:p w:rsidR="00D81F69" w:rsidRPr="00392EAD" w:rsidRDefault="00330118">
      <w:pPr>
        <w:pStyle w:val="Corpodetexto"/>
        <w:spacing w:before="35" w:line="228" w:lineRule="auto"/>
        <w:ind w:left="101"/>
        <w:jc w:val="left"/>
        <w:rPr>
          <w:lang w:val="pt-BR"/>
        </w:rPr>
      </w:pPr>
      <w:r w:rsidRPr="00392EAD">
        <w:rPr>
          <w:position w:val="9"/>
          <w:sz w:val="12"/>
          <w:lang w:val="pt-BR"/>
        </w:rPr>
        <w:t xml:space="preserve">3 </w:t>
      </w:r>
      <w:r w:rsidRPr="00392EAD">
        <w:rPr>
          <w:lang w:val="pt-BR"/>
        </w:rPr>
        <w:t xml:space="preserve">Pós-Doutorado em Desenvolvimento Sustentável e Recursos Minerais pela Universidade do Porto. Tecnologista Sênior do Centro de Tecnologia Mineral – CETEM. Contato: </w:t>
      </w:r>
      <w:hyperlink r:id="rId1007">
        <w:r w:rsidRPr="00392EAD">
          <w:rPr>
            <w:lang w:val="pt-BR"/>
          </w:rPr>
          <w:t>ffernandes@cetem.gov.br</w:t>
        </w:r>
      </w:hyperlink>
      <w:r w:rsidRPr="00392EAD">
        <w:rPr>
          <w:lang w:val="pt-BR"/>
        </w:rPr>
        <w:t xml:space="preserve"> </w:t>
      </w:r>
      <w:r w:rsidRPr="00392EAD">
        <w:rPr>
          <w:position w:val="9"/>
          <w:sz w:val="12"/>
          <w:lang w:val="pt-BR"/>
        </w:rPr>
        <w:t>4</w:t>
      </w:r>
      <w:r w:rsidRPr="00392EAD">
        <w:rPr>
          <w:lang w:val="pt-BR"/>
        </w:rPr>
        <w:t>Segundo a classificação do IBGE os municípios de pequeno porte têm até 50 mil habitantes; os de médio porte, de 50 mil a 100 mil habitantes; e os de grande porte, mais de 100 mil habitantes.</w:t>
      </w:r>
    </w:p>
    <w:p w:rsidR="00D81F69" w:rsidRPr="00392EAD" w:rsidRDefault="00D81F69">
      <w:pPr>
        <w:spacing w:line="228" w:lineRule="auto"/>
        <w:rPr>
          <w:lang w:val="pt-BR"/>
        </w:rPr>
        <w:sectPr w:rsidR="00D81F69" w:rsidRPr="00392EAD">
          <w:pgSz w:w="11910" w:h="16840"/>
          <w:pgMar w:top="680" w:right="1580" w:bottom="720" w:left="1600" w:header="0" w:footer="402" w:gutter="0"/>
          <w:cols w:space="720"/>
        </w:sectPr>
      </w:pPr>
    </w:p>
    <w:p w:rsidR="00D81F69" w:rsidRPr="00392EAD" w:rsidRDefault="00330118">
      <w:pPr>
        <w:pStyle w:val="Heading3"/>
        <w:rPr>
          <w:lang w:val="pt-BR"/>
        </w:rPr>
      </w:pPr>
      <w:r w:rsidRPr="00392EAD">
        <w:rPr>
          <w:lang w:val="pt-BR"/>
        </w:rPr>
        <w:lastRenderedPageBreak/>
        <w:t>REGIÃO SUDESTE</w:t>
      </w:r>
    </w:p>
    <w:p w:rsidR="00D81F69" w:rsidRPr="00392EAD" w:rsidRDefault="00D81F69">
      <w:pPr>
        <w:pStyle w:val="Corpodetexto"/>
        <w:ind w:left="0"/>
        <w:jc w:val="left"/>
        <w:rPr>
          <w:rFonts w:ascii="Calibri"/>
          <w:sz w:val="30"/>
          <w:lang w:val="pt-BR"/>
        </w:rPr>
      </w:pPr>
    </w:p>
    <w:p w:rsidR="00D81F69" w:rsidRPr="00392EAD" w:rsidRDefault="00330118">
      <w:pPr>
        <w:pStyle w:val="Heading5"/>
        <w:spacing w:before="1"/>
        <w:rPr>
          <w:lang w:val="pt-BR"/>
        </w:rPr>
      </w:pPr>
      <w:r w:rsidRPr="00392EAD">
        <w:rPr>
          <w:lang w:val="pt-BR"/>
        </w:rPr>
        <w:t>de grande porte (29%) e os de médio porte (10%). Além disso, nesta região, os empreendimentos minerais envolvem, além da população residente urbana, a considerada tradicional (como os quilombolas, pescadores artesanais, coletores, etc.), e</w:t>
      </w:r>
      <w:r w:rsidRPr="00392EAD">
        <w:rPr>
          <w:lang w:val="pt-BR"/>
        </w:rPr>
        <w:t xml:space="preserve"> ainda os ribeirinhos.</w:t>
      </w:r>
    </w:p>
    <w:p w:rsidR="00D81F69" w:rsidRPr="00392EAD" w:rsidRDefault="00D81F69">
      <w:pPr>
        <w:pStyle w:val="Corpodetexto"/>
        <w:spacing w:before="11"/>
        <w:ind w:left="0"/>
        <w:jc w:val="left"/>
        <w:rPr>
          <w:sz w:val="21"/>
          <w:lang w:val="pt-BR"/>
        </w:rPr>
      </w:pPr>
    </w:p>
    <w:p w:rsidR="00D81F69" w:rsidRPr="00392EAD" w:rsidRDefault="00330118">
      <w:pPr>
        <w:ind w:left="101" w:right="115"/>
        <w:jc w:val="both"/>
        <w:rPr>
          <w:lang w:val="pt-BR"/>
        </w:rPr>
      </w:pPr>
      <w:r w:rsidRPr="00392EAD">
        <w:rPr>
          <w:lang w:val="pt-BR"/>
        </w:rPr>
        <w:t>A partir da análise dos estudos de casos, foi possível identificar os principais impactos socioeconômicos e ambientais negativos que atingem a comunidade local, fruto das práticas de mineração não adequadas. A principal questão soci</w:t>
      </w:r>
      <w:r w:rsidRPr="00392EAD">
        <w:rPr>
          <w:lang w:val="pt-BR"/>
        </w:rPr>
        <w:t>oeconômica levantada diz respeito aos danos causados à saúde da população (doenças respiratórias, de pele, cardíacas e outras). Logo após, as maiores queixas têm, aproximadamente, o mesmo peso e pode-se dizer que são correlacionadas; avulta o crescimento d</w:t>
      </w:r>
      <w:r w:rsidRPr="00392EAD">
        <w:rPr>
          <w:lang w:val="pt-BR"/>
        </w:rPr>
        <w:t>esordenado e, consequentemente, o inchaço populacional. Com isso, tem-se uma ausência de infraestrutura para atender a tal demanda populacional. Somado a estes problemas aparecem também as questões trabalhistas, as fundiárias, o aumento da violência e a ut</w:t>
      </w:r>
      <w:r w:rsidRPr="00392EAD">
        <w:rPr>
          <w:lang w:val="pt-BR"/>
        </w:rPr>
        <w:t>ilização de mão de obra</w:t>
      </w:r>
      <w:r w:rsidRPr="00392EAD">
        <w:rPr>
          <w:spacing w:val="-3"/>
          <w:lang w:val="pt-BR"/>
        </w:rPr>
        <w:t xml:space="preserve"> </w:t>
      </w:r>
      <w:r w:rsidRPr="00392EAD">
        <w:rPr>
          <w:lang w:val="pt-BR"/>
        </w:rPr>
        <w:t>infantil.</w:t>
      </w:r>
    </w:p>
    <w:p w:rsidR="00D81F69" w:rsidRPr="00392EAD" w:rsidRDefault="00D81F69">
      <w:pPr>
        <w:pStyle w:val="Corpodetexto"/>
        <w:spacing w:before="11"/>
        <w:ind w:left="0"/>
        <w:jc w:val="left"/>
        <w:rPr>
          <w:sz w:val="21"/>
          <w:lang w:val="pt-BR"/>
        </w:rPr>
      </w:pPr>
    </w:p>
    <w:p w:rsidR="00D81F69" w:rsidRPr="00392EAD" w:rsidRDefault="00330118">
      <w:pPr>
        <w:ind w:left="101" w:right="115"/>
        <w:jc w:val="both"/>
        <w:rPr>
          <w:lang w:val="pt-BR"/>
        </w:rPr>
      </w:pPr>
      <w:r w:rsidRPr="00392EAD">
        <w:rPr>
          <w:lang w:val="pt-BR"/>
        </w:rPr>
        <w:t>Os principais impactos ambientais negativos apontados na região dizem respeito à poluição das águas, do ar e os prejuízos ao ecossistema local. Em segundo lugar, são apontados o assoreamento dos rios, a disposição inadequ</w:t>
      </w:r>
      <w:r w:rsidRPr="00392EAD">
        <w:rPr>
          <w:lang w:val="pt-BR"/>
        </w:rPr>
        <w:t>ada de rejeitos e a poluição dos solos. Também têm destaque os relatos sobre a poluição do lençol freático, os impactos na paisagem e a extinção de espécies vegetais / animais. Já desmatamento, rompimento de barragens, atuação em áreas de preservação ambie</w:t>
      </w:r>
      <w:r w:rsidRPr="00392EAD">
        <w:rPr>
          <w:lang w:val="pt-BR"/>
        </w:rPr>
        <w:t>ntal, utilização inadequada de rejeitos e extração ilegal de madeira nativa são relatados com menos frequência.</w:t>
      </w:r>
    </w:p>
    <w:p w:rsidR="00D81F69" w:rsidRPr="00392EAD" w:rsidRDefault="00D81F69">
      <w:pPr>
        <w:pStyle w:val="Corpodetexto"/>
        <w:spacing w:before="11"/>
        <w:ind w:left="0"/>
        <w:jc w:val="left"/>
        <w:rPr>
          <w:sz w:val="21"/>
          <w:lang w:val="pt-BR"/>
        </w:rPr>
      </w:pPr>
    </w:p>
    <w:p w:rsidR="00D81F69" w:rsidRPr="00392EAD" w:rsidRDefault="00330118">
      <w:pPr>
        <w:ind w:left="101" w:right="117"/>
        <w:jc w:val="both"/>
        <w:rPr>
          <w:lang w:val="pt-BR"/>
        </w:rPr>
      </w:pPr>
      <w:r w:rsidRPr="00392EAD">
        <w:rPr>
          <w:lang w:val="pt-BR"/>
        </w:rPr>
        <w:t>Finalmente, ainda levando em consideração os impactos ambientais, aparecem os problemas de contaminação por deposição no meio ambiente de subst</w:t>
      </w:r>
      <w:r w:rsidRPr="00392EAD">
        <w:rPr>
          <w:lang w:val="pt-BR"/>
        </w:rPr>
        <w:t>âncias perigosas. A maior parte dos relatos está relacionada com a contaminação por metais pesados. Em segundo lugar, figuram as contaminações por substâncias perigosas ditas naturais, como a problemática do amianto, e a contaminação por meio das substânci</w:t>
      </w:r>
      <w:r w:rsidRPr="00392EAD">
        <w:rPr>
          <w:lang w:val="pt-BR"/>
        </w:rPr>
        <w:t>as utilizadas ou liberadas durante os processos industriais (cianeto, amônia, nitratos, etc.) e/ou durante o processo de amalgamação (mercúrio). Ainda são relatados casos de contaminação contendo material</w:t>
      </w:r>
      <w:r w:rsidRPr="00392EAD">
        <w:rPr>
          <w:spacing w:val="-2"/>
          <w:lang w:val="pt-BR"/>
        </w:rPr>
        <w:t xml:space="preserve"> </w:t>
      </w:r>
      <w:r w:rsidRPr="00392EAD">
        <w:rPr>
          <w:lang w:val="pt-BR"/>
        </w:rPr>
        <w:t>radioativo.</w:t>
      </w:r>
    </w:p>
    <w:p w:rsidR="00D81F69" w:rsidRPr="00392EAD" w:rsidRDefault="00D81F69">
      <w:pPr>
        <w:pStyle w:val="Corpodetexto"/>
        <w:ind w:left="0"/>
        <w:jc w:val="left"/>
        <w:rPr>
          <w:sz w:val="22"/>
          <w:lang w:val="pt-BR"/>
        </w:rPr>
      </w:pPr>
    </w:p>
    <w:p w:rsidR="00D81F69" w:rsidRPr="00392EAD" w:rsidRDefault="00330118">
      <w:pPr>
        <w:spacing w:before="1"/>
        <w:ind w:left="101" w:right="116"/>
        <w:jc w:val="both"/>
        <w:rPr>
          <w:lang w:val="pt-BR"/>
        </w:rPr>
      </w:pPr>
      <w:r w:rsidRPr="00392EAD">
        <w:rPr>
          <w:lang w:val="pt-BR"/>
        </w:rPr>
        <w:t>Em mais da metade dos casos estudados,</w:t>
      </w:r>
      <w:r w:rsidRPr="00392EAD">
        <w:rPr>
          <w:lang w:val="pt-BR"/>
        </w:rPr>
        <w:t xml:space="preserve"> houve intervenção ativa do Ministério Público. Algumas vezes, foram firmados compromissos de adequação de práticas às exigências da lei, com assinatura de Termo de Ajustamento de Conduta (TAC), por conta dos relatos de problemas socioeconômicos ou ambient</w:t>
      </w:r>
      <w:r w:rsidRPr="00392EAD">
        <w:rPr>
          <w:lang w:val="pt-BR"/>
        </w:rPr>
        <w:t>ais causados pelos empreendimentos minerais.</w:t>
      </w:r>
    </w:p>
    <w:p w:rsidR="00D81F69" w:rsidRPr="00392EAD" w:rsidRDefault="00D81F69">
      <w:pPr>
        <w:pStyle w:val="Corpodetexto"/>
        <w:spacing w:before="10"/>
        <w:ind w:left="0"/>
        <w:jc w:val="left"/>
        <w:rPr>
          <w:sz w:val="21"/>
          <w:lang w:val="pt-BR"/>
        </w:rPr>
      </w:pPr>
    </w:p>
    <w:p w:rsidR="00D81F69" w:rsidRPr="00392EAD" w:rsidRDefault="00330118">
      <w:pPr>
        <w:ind w:left="101" w:right="115"/>
        <w:jc w:val="both"/>
        <w:rPr>
          <w:lang w:val="pt-BR"/>
        </w:rPr>
      </w:pPr>
      <w:r w:rsidRPr="00392EAD">
        <w:rPr>
          <w:lang w:val="pt-BR"/>
        </w:rPr>
        <w:t>Diante do exposto, fica evidente que muito ainda pode ser feito para se alcançar o desenvolvimento sustentável, e assim, contribuir para o bem estar e melhoria da qualidade de vida das comunidades do entorno do</w:t>
      </w:r>
      <w:r w:rsidRPr="00392EAD">
        <w:rPr>
          <w:lang w:val="pt-BR"/>
        </w:rPr>
        <w:t>s empreendimentos minerais.</w:t>
      </w:r>
    </w:p>
    <w:p w:rsidR="00D81F69" w:rsidRPr="00392EAD" w:rsidRDefault="00D81F69">
      <w:pPr>
        <w:pStyle w:val="Corpodetexto"/>
        <w:spacing w:before="2"/>
        <w:ind w:left="0"/>
        <w:jc w:val="left"/>
        <w:rPr>
          <w:sz w:val="22"/>
          <w:lang w:val="pt-BR"/>
        </w:rPr>
      </w:pPr>
    </w:p>
    <w:p w:rsidR="00D81F69" w:rsidRPr="00392EAD" w:rsidRDefault="00330118">
      <w:pPr>
        <w:ind w:left="101"/>
        <w:jc w:val="both"/>
        <w:rPr>
          <w:b/>
          <w:lang w:val="pt-BR"/>
        </w:rPr>
      </w:pPr>
      <w:r w:rsidRPr="00392EAD">
        <w:rPr>
          <w:b/>
          <w:lang w:val="pt-BR"/>
        </w:rPr>
        <w:t>A pujante produção das Minas Gerais</w:t>
      </w:r>
    </w:p>
    <w:p w:rsidR="00D81F69" w:rsidRPr="00392EAD" w:rsidRDefault="00D81F69">
      <w:pPr>
        <w:pStyle w:val="Corpodetexto"/>
        <w:spacing w:before="9"/>
        <w:ind w:left="0"/>
        <w:jc w:val="left"/>
        <w:rPr>
          <w:b/>
          <w:sz w:val="21"/>
          <w:lang w:val="pt-BR"/>
        </w:rPr>
      </w:pPr>
    </w:p>
    <w:p w:rsidR="00D81F69" w:rsidRPr="00392EAD" w:rsidRDefault="00330118">
      <w:pPr>
        <w:spacing w:before="1"/>
        <w:ind w:left="101" w:right="116"/>
        <w:jc w:val="both"/>
        <w:rPr>
          <w:lang w:val="pt-BR"/>
        </w:rPr>
      </w:pPr>
      <w:r w:rsidRPr="00392EAD">
        <w:rPr>
          <w:lang w:val="pt-BR"/>
        </w:rPr>
        <w:t>A atividade mineral do estado de Minas Gerais possui uma importância histórica dada sua contribuição cultural, histórico-geográfica e econômica ao país. O estado tem previsão de receber, durante o quadriênio 2012-2016, um total de US$ 26 milhões no setor d</w:t>
      </w:r>
      <w:r w:rsidRPr="00392EAD">
        <w:rPr>
          <w:lang w:val="pt-BR"/>
        </w:rPr>
        <w:t>e mineração. Este montante equivale a maior parcela dos investimentos previstos no setor de mineração para todo o país neste mesmo período, 35% (IBRAM, 2012).</w:t>
      </w:r>
    </w:p>
    <w:p w:rsidR="00D81F69" w:rsidRPr="00392EAD" w:rsidRDefault="00D81F69">
      <w:pPr>
        <w:pStyle w:val="Corpodetexto"/>
        <w:ind w:left="0"/>
        <w:jc w:val="left"/>
        <w:rPr>
          <w:sz w:val="22"/>
          <w:lang w:val="pt-BR"/>
        </w:rPr>
      </w:pPr>
    </w:p>
    <w:p w:rsidR="00D81F69" w:rsidRPr="00392EAD" w:rsidRDefault="00330118">
      <w:pPr>
        <w:ind w:left="101" w:right="117"/>
        <w:jc w:val="both"/>
        <w:rPr>
          <w:lang w:val="pt-BR"/>
        </w:rPr>
      </w:pPr>
      <w:r w:rsidRPr="00392EAD">
        <w:rPr>
          <w:lang w:val="pt-BR"/>
        </w:rPr>
        <w:t>A produção de bens minerais em Minas é crescente e evidencia também a existência de significativ</w:t>
      </w:r>
      <w:r w:rsidRPr="00392EAD">
        <w:rPr>
          <w:lang w:val="pt-BR"/>
        </w:rPr>
        <w:t>as jazidas de minério de ferro, ouro, diamante, fosfato, zinco, alumínio,</w:t>
      </w:r>
    </w:p>
    <w:p w:rsidR="00D81F69" w:rsidRPr="00392EAD" w:rsidRDefault="00D81F69">
      <w:pPr>
        <w:jc w:val="both"/>
        <w:rPr>
          <w:lang w:val="pt-BR"/>
        </w:rPr>
        <w:sectPr w:rsidR="00D81F69" w:rsidRPr="00392EAD">
          <w:pgSz w:w="11910" w:h="16840"/>
          <w:pgMar w:top="680" w:right="1580" w:bottom="720" w:left="1600" w:header="0" w:footer="402" w:gutter="0"/>
          <w:cols w:space="720"/>
        </w:sectPr>
      </w:pPr>
    </w:p>
    <w:p w:rsidR="00D81F69" w:rsidRPr="00392EAD" w:rsidRDefault="00330118">
      <w:pPr>
        <w:spacing w:before="26"/>
        <w:ind w:left="6640"/>
        <w:rPr>
          <w:rFonts w:ascii="Calibri" w:hAnsi="Calibri"/>
          <w:sz w:val="28"/>
          <w:lang w:val="pt-BR"/>
        </w:rPr>
      </w:pPr>
      <w:r w:rsidRPr="00392EAD">
        <w:rPr>
          <w:rFonts w:ascii="Calibri" w:hAnsi="Calibri"/>
          <w:sz w:val="28"/>
          <w:lang w:val="pt-BR"/>
        </w:rPr>
        <w:lastRenderedPageBreak/>
        <w:t>REGIÃO SUDESTE</w:t>
      </w:r>
    </w:p>
    <w:p w:rsidR="00D81F69" w:rsidRPr="00392EAD" w:rsidRDefault="00D81F69">
      <w:pPr>
        <w:pStyle w:val="Corpodetexto"/>
        <w:ind w:left="0"/>
        <w:jc w:val="left"/>
        <w:rPr>
          <w:rFonts w:ascii="Calibri"/>
          <w:sz w:val="30"/>
          <w:lang w:val="pt-BR"/>
        </w:rPr>
      </w:pPr>
    </w:p>
    <w:p w:rsidR="00D81F69" w:rsidRPr="00392EAD" w:rsidRDefault="00330118">
      <w:pPr>
        <w:spacing w:before="1"/>
        <w:ind w:left="101" w:right="116"/>
        <w:jc w:val="both"/>
        <w:rPr>
          <w:lang w:val="pt-BR"/>
        </w:rPr>
      </w:pPr>
      <w:r w:rsidRPr="00392EAD">
        <w:rPr>
          <w:lang w:val="pt-BR"/>
        </w:rPr>
        <w:t>calcário e rochas ornamentais. O estado responde por 35% da produção nacional de minerais metálicos e não metálicos, assumindo, portanto, a lideranç</w:t>
      </w:r>
      <w:r w:rsidRPr="00392EAD">
        <w:rPr>
          <w:lang w:val="pt-BR"/>
        </w:rPr>
        <w:t>a na produção dessas substâncias no Brasil (MINAS, 2013). A metade de toda a Compensação Financeira pela Exploração de Recursos Minerais (CFEM) arrecadada no Brasil, em 2011, proveio do estado (50,7% da marca nacional recorde de R$ 1,56 bilhão) (DNPM, 2012</w:t>
      </w:r>
      <w:r w:rsidRPr="00392EAD">
        <w:rPr>
          <w:lang w:val="pt-BR"/>
        </w:rPr>
        <w:t>).</w:t>
      </w:r>
    </w:p>
    <w:p w:rsidR="00D81F69" w:rsidRPr="00392EAD" w:rsidRDefault="00D81F69">
      <w:pPr>
        <w:pStyle w:val="Corpodetexto"/>
        <w:ind w:left="0"/>
        <w:jc w:val="left"/>
        <w:rPr>
          <w:sz w:val="22"/>
          <w:lang w:val="pt-BR"/>
        </w:rPr>
      </w:pPr>
    </w:p>
    <w:p w:rsidR="00D81F69" w:rsidRPr="00392EAD" w:rsidRDefault="00330118">
      <w:pPr>
        <w:ind w:left="101" w:right="118"/>
        <w:jc w:val="both"/>
        <w:rPr>
          <w:lang w:val="pt-BR"/>
        </w:rPr>
      </w:pPr>
      <w:r>
        <w:rPr>
          <w:noProof/>
          <w:lang w:val="pt-BR" w:eastAsia="pt-BR"/>
        </w:rPr>
        <w:drawing>
          <wp:anchor distT="0" distB="0" distL="0" distR="0" simplePos="0" relativeHeight="6208" behindDoc="0" locked="0" layoutInCell="1" allowOverlap="1">
            <wp:simplePos x="0" y="0"/>
            <wp:positionH relativeFrom="page">
              <wp:posOffset>1151450</wp:posOffset>
            </wp:positionH>
            <wp:positionV relativeFrom="paragraph">
              <wp:posOffset>729285</wp:posOffset>
            </wp:positionV>
            <wp:extent cx="5292821" cy="2060352"/>
            <wp:effectExtent l="0" t="0" r="0" b="0"/>
            <wp:wrapTopAndBottom/>
            <wp:docPr id="30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32.png"/>
                    <pic:cNvPicPr/>
                  </pic:nvPicPr>
                  <pic:blipFill>
                    <a:blip r:embed="rId1008" cstate="print"/>
                    <a:stretch>
                      <a:fillRect/>
                    </a:stretch>
                  </pic:blipFill>
                  <pic:spPr>
                    <a:xfrm>
                      <a:off x="0" y="0"/>
                      <a:ext cx="5292821" cy="2060352"/>
                    </a:xfrm>
                    <a:prstGeom prst="rect">
                      <a:avLst/>
                    </a:prstGeom>
                  </pic:spPr>
                </pic:pic>
              </a:graphicData>
            </a:graphic>
          </wp:anchor>
        </w:drawing>
      </w:r>
      <w:r w:rsidRPr="00392EAD">
        <w:rPr>
          <w:lang w:val="pt-BR"/>
        </w:rPr>
        <w:t>De acordo com os levantamentos dos estudos de casos para Minas Gerais, a maioria dos empreendimentos da mineração está em operação. É válido mencionar também a presença de novos projetos para o setor mineral e que deverão somar-se aos que já operam at</w:t>
      </w:r>
      <w:r w:rsidRPr="00392EAD">
        <w:rPr>
          <w:lang w:val="pt-BR"/>
        </w:rPr>
        <w:t>ualmente (</w:t>
      </w:r>
      <w:r w:rsidRPr="00392EAD">
        <w:rPr>
          <w:sz w:val="20"/>
          <w:lang w:val="pt-BR"/>
        </w:rPr>
        <w:t xml:space="preserve">Gráfico </w:t>
      </w:r>
      <w:r w:rsidRPr="00392EAD">
        <w:rPr>
          <w:lang w:val="pt-BR"/>
        </w:rPr>
        <w:t>1).</w:t>
      </w:r>
    </w:p>
    <w:p w:rsidR="00D81F69" w:rsidRPr="00392EAD" w:rsidRDefault="00330118">
      <w:pPr>
        <w:pStyle w:val="Corpodetexto"/>
        <w:spacing w:before="92"/>
        <w:ind w:left="101"/>
        <w:rPr>
          <w:lang w:val="pt-BR"/>
        </w:rPr>
      </w:pPr>
      <w:r w:rsidRPr="00392EAD">
        <w:rPr>
          <w:lang w:val="pt-BR"/>
        </w:rPr>
        <w:t>Gráfico 1. Situação dos empreendimentos do setor mineral no estado de Minas Gerais.</w:t>
      </w:r>
    </w:p>
    <w:p w:rsidR="00D81F69" w:rsidRPr="00392EAD" w:rsidRDefault="00D81F69">
      <w:pPr>
        <w:pStyle w:val="Corpodetexto"/>
        <w:spacing w:before="1"/>
        <w:ind w:left="0"/>
        <w:jc w:val="left"/>
        <w:rPr>
          <w:sz w:val="22"/>
          <w:lang w:val="pt-BR"/>
        </w:rPr>
      </w:pPr>
    </w:p>
    <w:p w:rsidR="00D81F69" w:rsidRPr="00392EAD" w:rsidRDefault="00330118">
      <w:pPr>
        <w:pStyle w:val="Heading5"/>
        <w:ind w:right="117"/>
        <w:rPr>
          <w:lang w:val="pt-BR"/>
        </w:rPr>
      </w:pPr>
      <w:r>
        <w:rPr>
          <w:noProof/>
          <w:lang w:val="pt-BR" w:eastAsia="pt-BR"/>
        </w:rPr>
        <w:drawing>
          <wp:anchor distT="0" distB="0" distL="0" distR="0" simplePos="0" relativeHeight="6232" behindDoc="0" locked="0" layoutInCell="1" allowOverlap="1">
            <wp:simplePos x="0" y="0"/>
            <wp:positionH relativeFrom="page">
              <wp:posOffset>1157525</wp:posOffset>
            </wp:positionH>
            <wp:positionV relativeFrom="paragraph">
              <wp:posOffset>569235</wp:posOffset>
            </wp:positionV>
            <wp:extent cx="5241527" cy="1243584"/>
            <wp:effectExtent l="0" t="0" r="0" b="0"/>
            <wp:wrapTopAndBottom/>
            <wp:docPr id="303"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33.png"/>
                    <pic:cNvPicPr/>
                  </pic:nvPicPr>
                  <pic:blipFill>
                    <a:blip r:embed="rId1009" cstate="print"/>
                    <a:stretch>
                      <a:fillRect/>
                    </a:stretch>
                  </pic:blipFill>
                  <pic:spPr>
                    <a:xfrm>
                      <a:off x="0" y="0"/>
                      <a:ext cx="5241527" cy="1243584"/>
                    </a:xfrm>
                    <a:prstGeom prst="rect">
                      <a:avLst/>
                    </a:prstGeom>
                  </pic:spPr>
                </pic:pic>
              </a:graphicData>
            </a:graphic>
          </wp:anchor>
        </w:drawing>
      </w:r>
      <w:r w:rsidRPr="00392EAD">
        <w:rPr>
          <w:lang w:val="pt-BR"/>
        </w:rPr>
        <w:t>Os empreendimentos referenciados nos estudos de casos têm atividades que datam, no mínimo, de meia década atrás. A maioria opera há mais de 20 anos.</w:t>
      </w:r>
      <w:r w:rsidRPr="00392EAD">
        <w:rPr>
          <w:lang w:val="pt-BR"/>
        </w:rPr>
        <w:t xml:space="preserve"> Minas Gerais conta com uma atividade mineral tradicional (Gráfico 2).</w:t>
      </w:r>
    </w:p>
    <w:p w:rsidR="00D81F69" w:rsidRPr="00392EAD" w:rsidRDefault="00D81F69">
      <w:pPr>
        <w:pStyle w:val="Corpodetexto"/>
        <w:spacing w:before="1"/>
        <w:ind w:left="0"/>
        <w:jc w:val="left"/>
        <w:rPr>
          <w:sz w:val="20"/>
          <w:lang w:val="pt-BR"/>
        </w:rPr>
      </w:pPr>
    </w:p>
    <w:p w:rsidR="00D81F69" w:rsidRPr="00392EAD" w:rsidRDefault="00330118">
      <w:pPr>
        <w:pStyle w:val="Corpodetexto"/>
        <w:ind w:left="101"/>
        <w:rPr>
          <w:lang w:val="pt-BR"/>
        </w:rPr>
      </w:pPr>
      <w:r w:rsidRPr="00392EAD">
        <w:rPr>
          <w:lang w:val="pt-BR"/>
        </w:rPr>
        <w:t>Gráfico 2. Tempo de funcionamento dos empreendimentos no estado de Minas Gerais.</w:t>
      </w:r>
    </w:p>
    <w:p w:rsidR="00D81F69" w:rsidRPr="00392EAD" w:rsidRDefault="00D81F69">
      <w:pPr>
        <w:pStyle w:val="Corpodetexto"/>
        <w:ind w:left="0"/>
        <w:jc w:val="left"/>
        <w:rPr>
          <w:sz w:val="20"/>
          <w:lang w:val="pt-BR"/>
        </w:rPr>
      </w:pPr>
    </w:p>
    <w:p w:rsidR="00D81F69" w:rsidRPr="00392EAD" w:rsidRDefault="00D81F69">
      <w:pPr>
        <w:pStyle w:val="Corpodetexto"/>
        <w:spacing w:before="1"/>
        <w:ind w:left="0"/>
        <w:jc w:val="left"/>
        <w:rPr>
          <w:sz w:val="19"/>
          <w:lang w:val="pt-BR"/>
        </w:rPr>
      </w:pPr>
    </w:p>
    <w:p w:rsidR="00D81F69" w:rsidRPr="00392EAD" w:rsidRDefault="00330118">
      <w:pPr>
        <w:pStyle w:val="Heading5"/>
        <w:ind w:right="117"/>
        <w:rPr>
          <w:lang w:val="pt-BR"/>
        </w:rPr>
      </w:pPr>
      <w:r w:rsidRPr="00392EAD">
        <w:rPr>
          <w:lang w:val="pt-BR"/>
        </w:rPr>
        <w:t>A exploração dos recursos minerais tem impactado, sobretudo, as populações locais urbanas, ainda que tenha sido verificada a presença de comunidades de ribeirinhos, pescadores e quilombolas (Gráfico 3).</w:t>
      </w:r>
    </w:p>
    <w:p w:rsidR="00D81F69" w:rsidRPr="00392EAD" w:rsidRDefault="00D81F69">
      <w:pPr>
        <w:rPr>
          <w:lang w:val="pt-BR"/>
        </w:rPr>
        <w:sectPr w:rsidR="00D81F69" w:rsidRPr="00392EAD">
          <w:pgSz w:w="11910" w:h="16840"/>
          <w:pgMar w:top="680" w:right="1580" w:bottom="720" w:left="1600" w:header="0" w:footer="402" w:gutter="0"/>
          <w:cols w:space="720"/>
        </w:sectPr>
      </w:pPr>
    </w:p>
    <w:p w:rsidR="00D81F69" w:rsidRPr="00392EAD" w:rsidRDefault="00330118">
      <w:pPr>
        <w:spacing w:before="26"/>
        <w:ind w:left="6640"/>
        <w:rPr>
          <w:rFonts w:ascii="Calibri" w:hAnsi="Calibri"/>
          <w:sz w:val="28"/>
          <w:lang w:val="pt-BR"/>
        </w:rPr>
      </w:pPr>
      <w:r w:rsidRPr="00392EAD">
        <w:rPr>
          <w:rFonts w:ascii="Calibri" w:hAnsi="Calibri"/>
          <w:sz w:val="28"/>
          <w:lang w:val="pt-BR"/>
        </w:rPr>
        <w:lastRenderedPageBreak/>
        <w:t>REGIÃO SUDESTE</w:t>
      </w:r>
    </w:p>
    <w:p w:rsidR="00D81F69" w:rsidRPr="00392EAD" w:rsidRDefault="00330118">
      <w:pPr>
        <w:pStyle w:val="Corpodetexto"/>
        <w:spacing w:before="3"/>
        <w:ind w:left="0"/>
        <w:jc w:val="left"/>
        <w:rPr>
          <w:rFonts w:ascii="Calibri"/>
          <w:sz w:val="28"/>
          <w:lang w:val="pt-BR"/>
        </w:rPr>
      </w:pPr>
      <w:r>
        <w:rPr>
          <w:noProof/>
          <w:lang w:val="pt-BR" w:eastAsia="pt-BR"/>
        </w:rPr>
        <w:drawing>
          <wp:anchor distT="0" distB="0" distL="0" distR="0" simplePos="0" relativeHeight="6256" behindDoc="0" locked="0" layoutInCell="1" allowOverlap="1">
            <wp:simplePos x="0" y="0"/>
            <wp:positionH relativeFrom="page">
              <wp:posOffset>1148378</wp:posOffset>
            </wp:positionH>
            <wp:positionV relativeFrom="paragraph">
              <wp:posOffset>243763</wp:posOffset>
            </wp:positionV>
            <wp:extent cx="5310517" cy="1579911"/>
            <wp:effectExtent l="0" t="0" r="0" b="0"/>
            <wp:wrapTopAndBottom/>
            <wp:docPr id="30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34.png"/>
                    <pic:cNvPicPr/>
                  </pic:nvPicPr>
                  <pic:blipFill>
                    <a:blip r:embed="rId1010" cstate="print"/>
                    <a:stretch>
                      <a:fillRect/>
                    </a:stretch>
                  </pic:blipFill>
                  <pic:spPr>
                    <a:xfrm>
                      <a:off x="0" y="0"/>
                      <a:ext cx="5310517" cy="1579911"/>
                    </a:xfrm>
                    <a:prstGeom prst="rect">
                      <a:avLst/>
                    </a:prstGeom>
                  </pic:spPr>
                </pic:pic>
              </a:graphicData>
            </a:graphic>
          </wp:anchor>
        </w:drawing>
      </w:r>
    </w:p>
    <w:p w:rsidR="00D81F69" w:rsidRPr="00392EAD" w:rsidRDefault="00330118">
      <w:pPr>
        <w:pStyle w:val="Corpodetexto"/>
        <w:spacing w:before="89"/>
        <w:ind w:left="101" w:right="118"/>
        <w:rPr>
          <w:lang w:val="pt-BR"/>
        </w:rPr>
      </w:pPr>
      <w:r w:rsidRPr="00392EAD">
        <w:rPr>
          <w:lang w:val="pt-BR"/>
        </w:rPr>
        <w:t>Gráfico 3. Populaç</w:t>
      </w:r>
      <w:r w:rsidRPr="00392EAD">
        <w:rPr>
          <w:lang w:val="pt-BR"/>
        </w:rPr>
        <w:t>ões impactadas pela exploração mineral nos estudos de casos para o estado de Minas Gerais.</w:t>
      </w:r>
    </w:p>
    <w:p w:rsidR="00D81F69" w:rsidRPr="00392EAD" w:rsidRDefault="00D81F69">
      <w:pPr>
        <w:pStyle w:val="Corpodetexto"/>
        <w:ind w:left="0"/>
        <w:jc w:val="left"/>
        <w:rPr>
          <w:sz w:val="20"/>
          <w:lang w:val="pt-BR"/>
        </w:rPr>
      </w:pPr>
    </w:p>
    <w:p w:rsidR="00D81F69" w:rsidRPr="00392EAD" w:rsidRDefault="00D81F69">
      <w:pPr>
        <w:pStyle w:val="Corpodetexto"/>
        <w:spacing w:before="1"/>
        <w:ind w:left="0"/>
        <w:jc w:val="left"/>
        <w:rPr>
          <w:sz w:val="19"/>
          <w:lang w:val="pt-BR"/>
        </w:rPr>
      </w:pPr>
    </w:p>
    <w:p w:rsidR="00D81F69" w:rsidRPr="00392EAD" w:rsidRDefault="00330118">
      <w:pPr>
        <w:pStyle w:val="Heading5"/>
        <w:spacing w:before="1"/>
        <w:ind w:right="118"/>
        <w:rPr>
          <w:lang w:val="pt-BR"/>
        </w:rPr>
      </w:pPr>
      <w:r w:rsidRPr="00392EAD">
        <w:rPr>
          <w:lang w:val="pt-BR"/>
        </w:rPr>
        <w:t>As cidades mineradoras que serviram como objeto de estudo deste capítulo são, em sua maioria, cidades de pequeno porte. O restante das cidades mineiras estudadas d</w:t>
      </w:r>
      <w:r w:rsidRPr="00392EAD">
        <w:rPr>
          <w:lang w:val="pt-BR"/>
        </w:rPr>
        <w:t>ivide-se em cidades de médio e grande porte, conforme ilustra o Gráfico 4.</w:t>
      </w:r>
    </w:p>
    <w:p w:rsidR="00D81F69" w:rsidRPr="00392EAD" w:rsidRDefault="00D81F69">
      <w:pPr>
        <w:pStyle w:val="Corpodetexto"/>
        <w:spacing w:before="10"/>
        <w:ind w:left="0"/>
        <w:jc w:val="left"/>
        <w:rPr>
          <w:sz w:val="21"/>
          <w:lang w:val="pt-BR"/>
        </w:rPr>
      </w:pPr>
    </w:p>
    <w:p w:rsidR="00D81F69" w:rsidRPr="00392EAD" w:rsidRDefault="00330118">
      <w:pPr>
        <w:spacing w:before="1"/>
        <w:ind w:left="101" w:right="118"/>
        <w:jc w:val="both"/>
        <w:rPr>
          <w:lang w:val="pt-BR"/>
        </w:rPr>
      </w:pPr>
      <w:r>
        <w:rPr>
          <w:noProof/>
          <w:lang w:val="pt-BR" w:eastAsia="pt-BR"/>
        </w:rPr>
        <w:drawing>
          <wp:anchor distT="0" distB="0" distL="0" distR="0" simplePos="0" relativeHeight="6280" behindDoc="0" locked="0" layoutInCell="1" allowOverlap="1">
            <wp:simplePos x="0" y="0"/>
            <wp:positionH relativeFrom="page">
              <wp:posOffset>1112545</wp:posOffset>
            </wp:positionH>
            <wp:positionV relativeFrom="paragraph">
              <wp:posOffset>408432</wp:posOffset>
            </wp:positionV>
            <wp:extent cx="5328850" cy="1332738"/>
            <wp:effectExtent l="0" t="0" r="0" b="0"/>
            <wp:wrapTopAndBottom/>
            <wp:docPr id="30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35.png"/>
                    <pic:cNvPicPr/>
                  </pic:nvPicPr>
                  <pic:blipFill>
                    <a:blip r:embed="rId1011" cstate="print"/>
                    <a:stretch>
                      <a:fillRect/>
                    </a:stretch>
                  </pic:blipFill>
                  <pic:spPr>
                    <a:xfrm>
                      <a:off x="0" y="0"/>
                      <a:ext cx="5328850" cy="1332738"/>
                    </a:xfrm>
                    <a:prstGeom prst="rect">
                      <a:avLst/>
                    </a:prstGeom>
                  </pic:spPr>
                </pic:pic>
              </a:graphicData>
            </a:graphic>
          </wp:anchor>
        </w:drawing>
      </w:r>
      <w:r w:rsidRPr="00392EAD">
        <w:rPr>
          <w:lang w:val="pt-BR"/>
        </w:rPr>
        <w:t>A seguir, o Gráfico 5 apresenta as principais atividades produtivas do setor da mineração em Minas Gerais, com destaque para as minas e o beneficiamento mineral.</w:t>
      </w:r>
    </w:p>
    <w:p w:rsidR="00D81F69" w:rsidRPr="00392EAD" w:rsidRDefault="00330118">
      <w:pPr>
        <w:pStyle w:val="Corpodetexto"/>
        <w:spacing w:before="108" w:after="138"/>
        <w:ind w:left="101" w:right="118"/>
        <w:rPr>
          <w:lang w:val="pt-BR"/>
        </w:rPr>
      </w:pPr>
      <w:r w:rsidRPr="00392EAD">
        <w:rPr>
          <w:lang w:val="pt-BR"/>
        </w:rPr>
        <w:t>Gráfico 4. Número</w:t>
      </w:r>
      <w:r w:rsidRPr="00392EAD">
        <w:rPr>
          <w:lang w:val="pt-BR"/>
        </w:rPr>
        <w:t xml:space="preserve"> de habitantes dos municípios-sede de empreendimentos mineradores em  Minas Gerais</w:t>
      </w:r>
    </w:p>
    <w:p w:rsidR="00D81F69" w:rsidRDefault="00330118">
      <w:pPr>
        <w:pStyle w:val="Corpodetexto"/>
        <w:ind w:left="208"/>
        <w:jc w:val="left"/>
        <w:rPr>
          <w:sz w:val="20"/>
        </w:rPr>
      </w:pPr>
      <w:r>
        <w:rPr>
          <w:noProof/>
          <w:sz w:val="20"/>
          <w:lang w:val="pt-BR" w:eastAsia="pt-BR"/>
        </w:rPr>
        <w:drawing>
          <wp:inline distT="0" distB="0" distL="0" distR="0">
            <wp:extent cx="5257844" cy="1536191"/>
            <wp:effectExtent l="0" t="0" r="0" b="0"/>
            <wp:docPr id="309"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36.png"/>
                    <pic:cNvPicPr/>
                  </pic:nvPicPr>
                  <pic:blipFill>
                    <a:blip r:embed="rId1012" cstate="print"/>
                    <a:stretch>
                      <a:fillRect/>
                    </a:stretch>
                  </pic:blipFill>
                  <pic:spPr>
                    <a:xfrm>
                      <a:off x="0" y="0"/>
                      <a:ext cx="5257844" cy="1536191"/>
                    </a:xfrm>
                    <a:prstGeom prst="rect">
                      <a:avLst/>
                    </a:prstGeom>
                  </pic:spPr>
                </pic:pic>
              </a:graphicData>
            </a:graphic>
          </wp:inline>
        </w:drawing>
      </w:r>
    </w:p>
    <w:p w:rsidR="00D81F69" w:rsidRPr="00392EAD" w:rsidRDefault="00330118">
      <w:pPr>
        <w:pStyle w:val="Corpodetexto"/>
        <w:spacing w:before="142"/>
        <w:ind w:left="101" w:right="117"/>
        <w:rPr>
          <w:lang w:val="pt-BR"/>
        </w:rPr>
      </w:pPr>
      <w:r w:rsidRPr="00392EAD">
        <w:rPr>
          <w:lang w:val="pt-BR"/>
        </w:rPr>
        <w:t>Gráfico 5. Classificações das diferentes atividades produtivas no âmbito dos recursos minerais no estado de Minas Gerais.</w:t>
      </w:r>
    </w:p>
    <w:p w:rsidR="00D81F69" w:rsidRPr="00392EAD" w:rsidRDefault="00D81F69">
      <w:pPr>
        <w:pStyle w:val="Corpodetexto"/>
        <w:ind w:left="0"/>
        <w:jc w:val="left"/>
        <w:rPr>
          <w:sz w:val="20"/>
          <w:lang w:val="pt-BR"/>
        </w:rPr>
      </w:pPr>
    </w:p>
    <w:p w:rsidR="00D81F69" w:rsidRPr="00392EAD" w:rsidRDefault="00D81F69">
      <w:pPr>
        <w:pStyle w:val="Corpodetexto"/>
        <w:spacing w:before="1"/>
        <w:ind w:left="0"/>
        <w:jc w:val="left"/>
        <w:rPr>
          <w:sz w:val="19"/>
          <w:lang w:val="pt-BR"/>
        </w:rPr>
      </w:pPr>
    </w:p>
    <w:p w:rsidR="00D81F69" w:rsidRPr="00392EAD" w:rsidRDefault="00330118">
      <w:pPr>
        <w:pStyle w:val="Heading5"/>
        <w:rPr>
          <w:lang w:val="pt-BR"/>
        </w:rPr>
      </w:pPr>
      <w:r w:rsidRPr="00392EAD">
        <w:rPr>
          <w:lang w:val="pt-BR"/>
        </w:rPr>
        <w:t>Na Figura 1, é possível localizar a distribuição espacial dos recursos minerais não apenas no estado de Minas Gerais, mas também em toda a região Sudeste. O principal minério extraído em Minas é o ferro (MINAS, 2013). A Vale (antiga Companhia Vale do Rio D</w:t>
      </w:r>
      <w:r w:rsidRPr="00392EAD">
        <w:rPr>
          <w:lang w:val="pt-BR"/>
        </w:rPr>
        <w:t>oce) é a principal empresa atuante na produção do minério de ferro no</w:t>
      </w:r>
      <w:r w:rsidRPr="00392EAD">
        <w:rPr>
          <w:spacing w:val="-1"/>
          <w:lang w:val="pt-BR"/>
        </w:rPr>
        <w:t xml:space="preserve"> </w:t>
      </w:r>
      <w:r w:rsidRPr="00392EAD">
        <w:rPr>
          <w:lang w:val="pt-BR"/>
        </w:rPr>
        <w:t>estado.</w:t>
      </w:r>
    </w:p>
    <w:p w:rsidR="00D81F69" w:rsidRPr="00392EAD" w:rsidRDefault="00D81F69">
      <w:pPr>
        <w:rPr>
          <w:lang w:val="pt-BR"/>
        </w:rPr>
        <w:sectPr w:rsidR="00D81F69" w:rsidRPr="00392EAD">
          <w:pgSz w:w="11910" w:h="16840"/>
          <w:pgMar w:top="680" w:right="1580" w:bottom="720" w:left="1600" w:header="0" w:footer="402" w:gutter="0"/>
          <w:cols w:space="720"/>
        </w:sectPr>
      </w:pPr>
    </w:p>
    <w:p w:rsidR="00D81F69" w:rsidRPr="00392EAD" w:rsidRDefault="00330118">
      <w:pPr>
        <w:spacing w:before="26"/>
        <w:ind w:left="6640"/>
        <w:rPr>
          <w:rFonts w:ascii="Calibri" w:hAnsi="Calibri"/>
          <w:sz w:val="28"/>
          <w:lang w:val="pt-BR"/>
        </w:rPr>
      </w:pPr>
      <w:r w:rsidRPr="00392EAD">
        <w:rPr>
          <w:rFonts w:ascii="Calibri" w:hAnsi="Calibri"/>
          <w:sz w:val="28"/>
          <w:lang w:val="pt-BR"/>
        </w:rPr>
        <w:lastRenderedPageBreak/>
        <w:t>REGIÃO SUDESTE</w:t>
      </w:r>
    </w:p>
    <w:p w:rsidR="00D81F69" w:rsidRPr="00392EAD" w:rsidRDefault="00D81F69">
      <w:pPr>
        <w:pStyle w:val="Corpodetexto"/>
        <w:spacing w:before="4"/>
        <w:ind w:left="0"/>
        <w:jc w:val="left"/>
        <w:rPr>
          <w:rFonts w:ascii="Calibri"/>
          <w:sz w:val="28"/>
          <w:lang w:val="pt-BR"/>
        </w:rPr>
      </w:pPr>
      <w:r w:rsidRPr="00D81F69">
        <w:pict>
          <v:group id="_x0000_s1027" style="position:absolute;margin-left:99.65pt;margin-top:19.25pt;width:396.15pt;height:323pt;z-index:6304;mso-wrap-distance-left:0;mso-wrap-distance-right:0;mso-position-horizontal-relative:page" coordorigin="1993,385" coordsize="7923,6460">
            <v:shape id="_x0000_s1029" type="#_x0000_t75" style="position:absolute;left:2011;top:401;width:7892;height:6428">
              <v:imagedata r:id="rId1013" o:title=""/>
            </v:shape>
            <v:shape id="_x0000_s1028" style="position:absolute;left:1993;top:385;width:7923;height:6460" coordorigin="1993,385" coordsize="7923,6460" o:spt="100" adj="0,,0" path="m9916,385r-7923,l1993,6845r7923,l9916,6836r-7907,l2002,6829r7,l2009,399r-7,l2009,392r7907,l9916,385xm2009,6829r-7,l2009,6836r,-7xm9900,6829r-7891,l2009,6836r7891,l9900,6829xm9900,392r,6444l9907,6829r9,l9916,399r-9,l9900,392xm9916,6829r-9,l9900,6836r16,l9916,6829xm2009,392r-7,7l2009,399r,-7xm9900,392r-7891,l2009,399r7891,l9900,392xm9916,392r-16,l9907,399r9,l9916,392xe" fillcolor="black" stroked="f">
              <v:stroke joinstyle="round"/>
              <v:formulas/>
              <v:path arrowok="t" o:connecttype="segments"/>
            </v:shape>
            <w10:wrap type="topAndBottom" anchorx="page"/>
          </v:group>
        </w:pict>
      </w:r>
    </w:p>
    <w:p w:rsidR="00D81F69" w:rsidRPr="00392EAD" w:rsidRDefault="00330118">
      <w:pPr>
        <w:pStyle w:val="Corpodetexto"/>
        <w:spacing w:before="123"/>
        <w:ind w:left="1517" w:right="110" w:hanging="1412"/>
        <w:jc w:val="left"/>
        <w:rPr>
          <w:lang w:val="pt-BR"/>
        </w:rPr>
      </w:pPr>
      <w:r w:rsidRPr="00392EAD">
        <w:rPr>
          <w:lang w:val="pt-BR"/>
        </w:rPr>
        <w:t>Figura 1. Localização geográfica no estado de Minas Gerais (e demais estados do Sudeste) dos principais recursos minerais e do Quadrilátero Ferrífero (FONTANAILLES, 2011).</w:t>
      </w:r>
    </w:p>
    <w:p w:rsidR="00D81F69" w:rsidRPr="00392EAD" w:rsidRDefault="00D81F69">
      <w:pPr>
        <w:pStyle w:val="Corpodetexto"/>
        <w:ind w:left="0"/>
        <w:jc w:val="left"/>
        <w:rPr>
          <w:sz w:val="20"/>
          <w:lang w:val="pt-BR"/>
        </w:rPr>
      </w:pPr>
    </w:p>
    <w:p w:rsidR="00D81F69" w:rsidRPr="00392EAD" w:rsidRDefault="00D81F69">
      <w:pPr>
        <w:pStyle w:val="Corpodetexto"/>
        <w:spacing w:before="1"/>
        <w:ind w:left="0"/>
        <w:jc w:val="left"/>
        <w:rPr>
          <w:sz w:val="19"/>
          <w:lang w:val="pt-BR"/>
        </w:rPr>
      </w:pPr>
    </w:p>
    <w:p w:rsidR="00D81F69" w:rsidRPr="00392EAD" w:rsidRDefault="00330118">
      <w:pPr>
        <w:pStyle w:val="Heading5"/>
        <w:spacing w:before="1"/>
        <w:rPr>
          <w:lang w:val="pt-BR"/>
        </w:rPr>
      </w:pPr>
      <w:r w:rsidRPr="00392EAD">
        <w:rPr>
          <w:lang w:val="pt-BR"/>
        </w:rPr>
        <w:t>A Vale está presente no município de Mariana, no Quadrilátero Ferrífero, e nos com</w:t>
      </w:r>
      <w:r w:rsidRPr="00392EAD">
        <w:rPr>
          <w:lang w:val="pt-BR"/>
        </w:rPr>
        <w:t>plexos mineradores de Itabira, Minas Centrais e Minas do Oeste. Apenas em Brucutu, maior complexo mina-usina de minério de ferro do mundo em capacidade inicial de produção (30 milhões t/ano de minério de ferro), foram investidos aproximadamente US$ 1,1 bil</w:t>
      </w:r>
      <w:r w:rsidRPr="00392EAD">
        <w:rPr>
          <w:lang w:val="pt-BR"/>
        </w:rPr>
        <w:t>hão, podendo empregar até 2.500 trabalhadores.  Brucutu fica a 93 km da capital do estado</w:t>
      </w:r>
      <w:r w:rsidRPr="00392EAD">
        <w:rPr>
          <w:b/>
          <w:lang w:val="pt-BR"/>
        </w:rPr>
        <w:t xml:space="preserve">, </w:t>
      </w:r>
      <w:r w:rsidRPr="00392EAD">
        <w:rPr>
          <w:lang w:val="pt-BR"/>
        </w:rPr>
        <w:t>Belo Horizonte, no município de São Gonçalo do Rio Abaixo (MINAS, 2013; VALE,</w:t>
      </w:r>
      <w:r w:rsidRPr="00392EAD">
        <w:rPr>
          <w:spacing w:val="-2"/>
          <w:lang w:val="pt-BR"/>
        </w:rPr>
        <w:t xml:space="preserve"> </w:t>
      </w:r>
      <w:r w:rsidRPr="00392EAD">
        <w:rPr>
          <w:lang w:val="pt-BR"/>
        </w:rPr>
        <w:t>2009).</w:t>
      </w:r>
    </w:p>
    <w:p w:rsidR="00D81F69" w:rsidRPr="00392EAD" w:rsidRDefault="00D81F69">
      <w:pPr>
        <w:pStyle w:val="Corpodetexto"/>
        <w:spacing w:before="10"/>
        <w:ind w:left="0"/>
        <w:jc w:val="left"/>
        <w:rPr>
          <w:sz w:val="21"/>
          <w:lang w:val="pt-BR"/>
        </w:rPr>
      </w:pPr>
    </w:p>
    <w:p w:rsidR="00D81F69" w:rsidRPr="00392EAD" w:rsidRDefault="00330118">
      <w:pPr>
        <w:ind w:left="101" w:right="115"/>
        <w:jc w:val="both"/>
        <w:rPr>
          <w:lang w:val="pt-BR"/>
        </w:rPr>
      </w:pPr>
      <w:r w:rsidRPr="00392EAD">
        <w:rPr>
          <w:lang w:val="pt-BR"/>
        </w:rPr>
        <w:t>A indústria extrativa mineral e os segmentos de metalurgia (siderurgia e metalu</w:t>
      </w:r>
      <w:r w:rsidRPr="00392EAD">
        <w:rPr>
          <w:lang w:val="pt-BR"/>
        </w:rPr>
        <w:t>rgia de zinco, nióbio e alumínio, fundição e ferro-ligas) são um dos principais elementos da cadeia produtiva de Minas Gerais (MINAS, 2013).</w:t>
      </w:r>
    </w:p>
    <w:p w:rsidR="00D81F69" w:rsidRPr="00392EAD" w:rsidRDefault="00D81F69">
      <w:pPr>
        <w:pStyle w:val="Corpodetexto"/>
        <w:ind w:left="0"/>
        <w:jc w:val="left"/>
        <w:rPr>
          <w:sz w:val="22"/>
          <w:lang w:val="pt-BR"/>
        </w:rPr>
      </w:pPr>
    </w:p>
    <w:p w:rsidR="00D81F69" w:rsidRPr="00392EAD" w:rsidRDefault="00330118">
      <w:pPr>
        <w:ind w:left="101" w:right="115"/>
        <w:jc w:val="both"/>
        <w:rPr>
          <w:lang w:val="pt-BR"/>
        </w:rPr>
      </w:pPr>
      <w:r w:rsidRPr="00392EAD">
        <w:rPr>
          <w:lang w:val="pt-BR"/>
        </w:rPr>
        <w:t>O estado é o maior empregador da atividade mineral (53.791 trabalhadores em 2011) e lidera o ranking com folga, vi</w:t>
      </w:r>
      <w:r w:rsidRPr="00392EAD">
        <w:rPr>
          <w:lang w:val="pt-BR"/>
        </w:rPr>
        <w:t>sto que São Paulo, segundo maior empregador, não ultrapassou a marca de 19 mil empregados no ano de 2011 (DNPM,</w:t>
      </w:r>
      <w:r w:rsidRPr="00392EAD">
        <w:rPr>
          <w:spacing w:val="-9"/>
          <w:lang w:val="pt-BR"/>
        </w:rPr>
        <w:t xml:space="preserve"> </w:t>
      </w:r>
      <w:r w:rsidRPr="00392EAD">
        <w:rPr>
          <w:lang w:val="pt-BR"/>
        </w:rPr>
        <w:t>2012).</w:t>
      </w:r>
    </w:p>
    <w:p w:rsidR="00D81F69" w:rsidRPr="00392EAD" w:rsidRDefault="00D81F69">
      <w:pPr>
        <w:pStyle w:val="Corpodetexto"/>
        <w:spacing w:before="1"/>
        <w:ind w:left="0"/>
        <w:jc w:val="left"/>
        <w:rPr>
          <w:sz w:val="22"/>
          <w:lang w:val="pt-BR"/>
        </w:rPr>
      </w:pPr>
    </w:p>
    <w:p w:rsidR="00D81F69" w:rsidRPr="00392EAD" w:rsidRDefault="00330118">
      <w:pPr>
        <w:ind w:left="101" w:right="116"/>
        <w:jc w:val="both"/>
        <w:rPr>
          <w:lang w:val="pt-BR"/>
        </w:rPr>
      </w:pPr>
      <w:r w:rsidRPr="00392EAD">
        <w:rPr>
          <w:lang w:val="pt-BR"/>
        </w:rPr>
        <w:t>Todavia, os estudos de casos para Minas Gerais revelaram variados problemas por conta da exploração dos recursos minerais e/ou seu beneficiamento. O Gráfico 6 apresenta o perfil dos impactos negativos identificados.</w:t>
      </w:r>
    </w:p>
    <w:p w:rsidR="00D81F69" w:rsidRPr="00392EAD" w:rsidRDefault="00D81F69">
      <w:pPr>
        <w:pStyle w:val="Corpodetexto"/>
        <w:spacing w:before="11"/>
        <w:ind w:left="0"/>
        <w:jc w:val="left"/>
        <w:rPr>
          <w:sz w:val="21"/>
          <w:lang w:val="pt-BR"/>
        </w:rPr>
      </w:pPr>
    </w:p>
    <w:p w:rsidR="00D81F69" w:rsidRPr="00392EAD" w:rsidRDefault="00330118">
      <w:pPr>
        <w:ind w:left="101" w:right="117"/>
        <w:jc w:val="both"/>
        <w:rPr>
          <w:lang w:val="pt-BR"/>
        </w:rPr>
      </w:pPr>
      <w:r w:rsidRPr="00392EAD">
        <w:rPr>
          <w:lang w:val="pt-BR"/>
        </w:rPr>
        <w:t>Os problemas de saúde foram os impactos</w:t>
      </w:r>
      <w:r w:rsidRPr="00392EAD">
        <w:rPr>
          <w:lang w:val="pt-BR"/>
        </w:rPr>
        <w:t xml:space="preserve"> negativos que mais vezes se repetiram ao longo dos verbetes redigidos. Em seguida, apareceu o crescimento desordenado, comumente associado com a inadequada infraestrutura urbana, o incremento populacional (muitas vezes ocasionado por fluxos migratórios) e</w:t>
      </w:r>
      <w:r w:rsidRPr="00392EAD">
        <w:rPr>
          <w:lang w:val="pt-BR"/>
        </w:rPr>
        <w:t xml:space="preserve"> os problemas</w:t>
      </w:r>
    </w:p>
    <w:p w:rsidR="00D81F69" w:rsidRPr="00392EAD" w:rsidRDefault="00D81F69">
      <w:pPr>
        <w:jc w:val="both"/>
        <w:rPr>
          <w:lang w:val="pt-BR"/>
        </w:rPr>
        <w:sectPr w:rsidR="00D81F69" w:rsidRPr="00392EAD">
          <w:pgSz w:w="11910" w:h="16840"/>
          <w:pgMar w:top="680" w:right="1580" w:bottom="720" w:left="1600" w:header="0" w:footer="402" w:gutter="0"/>
          <w:cols w:space="720"/>
        </w:sectPr>
      </w:pPr>
    </w:p>
    <w:p w:rsidR="00D81F69" w:rsidRPr="00392EAD" w:rsidRDefault="00330118">
      <w:pPr>
        <w:spacing w:before="26"/>
        <w:ind w:left="6640"/>
        <w:rPr>
          <w:rFonts w:ascii="Calibri" w:hAnsi="Calibri"/>
          <w:sz w:val="28"/>
          <w:lang w:val="pt-BR"/>
        </w:rPr>
      </w:pPr>
      <w:r w:rsidRPr="00392EAD">
        <w:rPr>
          <w:rFonts w:ascii="Calibri" w:hAnsi="Calibri"/>
          <w:sz w:val="28"/>
          <w:lang w:val="pt-BR"/>
        </w:rPr>
        <w:lastRenderedPageBreak/>
        <w:t>REGIÃO SUDESTE</w:t>
      </w:r>
    </w:p>
    <w:p w:rsidR="00D81F69" w:rsidRPr="00392EAD" w:rsidRDefault="00D81F69">
      <w:pPr>
        <w:pStyle w:val="Corpodetexto"/>
        <w:ind w:left="0"/>
        <w:jc w:val="left"/>
        <w:rPr>
          <w:rFonts w:ascii="Calibri"/>
          <w:sz w:val="30"/>
          <w:lang w:val="pt-BR"/>
        </w:rPr>
      </w:pPr>
    </w:p>
    <w:p w:rsidR="00D81F69" w:rsidRPr="00392EAD" w:rsidRDefault="00330118">
      <w:pPr>
        <w:spacing w:before="1"/>
        <w:ind w:left="101" w:right="119"/>
        <w:jc w:val="both"/>
        <w:rPr>
          <w:lang w:val="pt-BR"/>
        </w:rPr>
      </w:pPr>
      <w:r>
        <w:rPr>
          <w:noProof/>
          <w:lang w:val="pt-BR" w:eastAsia="pt-BR"/>
        </w:rPr>
        <w:drawing>
          <wp:anchor distT="0" distB="0" distL="0" distR="0" simplePos="0" relativeHeight="6328" behindDoc="0" locked="0" layoutInCell="1" allowOverlap="1">
            <wp:simplePos x="0" y="0"/>
            <wp:positionH relativeFrom="page">
              <wp:posOffset>1108825</wp:posOffset>
            </wp:positionH>
            <wp:positionV relativeFrom="paragraph">
              <wp:posOffset>409158</wp:posOffset>
            </wp:positionV>
            <wp:extent cx="5341111" cy="3002756"/>
            <wp:effectExtent l="0" t="0" r="0" b="0"/>
            <wp:wrapTopAndBottom/>
            <wp:docPr id="31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38.png"/>
                    <pic:cNvPicPr/>
                  </pic:nvPicPr>
                  <pic:blipFill>
                    <a:blip r:embed="rId1014" cstate="print"/>
                    <a:stretch>
                      <a:fillRect/>
                    </a:stretch>
                  </pic:blipFill>
                  <pic:spPr>
                    <a:xfrm>
                      <a:off x="0" y="0"/>
                      <a:ext cx="5341111" cy="3002756"/>
                    </a:xfrm>
                    <a:prstGeom prst="rect">
                      <a:avLst/>
                    </a:prstGeom>
                  </pic:spPr>
                </pic:pic>
              </a:graphicData>
            </a:graphic>
          </wp:anchor>
        </w:drawing>
      </w:r>
      <w:r w:rsidRPr="00392EAD">
        <w:rPr>
          <w:lang w:val="pt-BR"/>
        </w:rPr>
        <w:t>fundiários. As questões trabalhistas e o aumento da violência apareceram como alguns dos problemas sociais mais</w:t>
      </w:r>
      <w:r w:rsidRPr="00392EAD">
        <w:rPr>
          <w:spacing w:val="-3"/>
          <w:lang w:val="pt-BR"/>
        </w:rPr>
        <w:t xml:space="preserve"> </w:t>
      </w:r>
      <w:r w:rsidRPr="00392EAD">
        <w:rPr>
          <w:lang w:val="pt-BR"/>
        </w:rPr>
        <w:t>evidentes.</w:t>
      </w:r>
    </w:p>
    <w:p w:rsidR="00D81F69" w:rsidRPr="00392EAD" w:rsidRDefault="00330118">
      <w:pPr>
        <w:pStyle w:val="Corpodetexto"/>
        <w:spacing w:before="109"/>
        <w:ind w:left="101"/>
        <w:jc w:val="left"/>
        <w:rPr>
          <w:lang w:val="pt-BR"/>
        </w:rPr>
      </w:pPr>
      <w:r w:rsidRPr="00392EAD">
        <w:rPr>
          <w:lang w:val="pt-BR"/>
        </w:rPr>
        <w:t xml:space="preserve">Gráfico 6. Associação da exploração mineral a impactos negativos no estado de Minas </w:t>
      </w:r>
      <w:r w:rsidRPr="00392EAD">
        <w:rPr>
          <w:lang w:val="pt-BR"/>
        </w:rPr>
        <w:t>Gerais.</w:t>
      </w:r>
    </w:p>
    <w:p w:rsidR="00D81F69" w:rsidRPr="00392EAD" w:rsidRDefault="00D81F69">
      <w:pPr>
        <w:pStyle w:val="Corpodetexto"/>
        <w:ind w:left="0"/>
        <w:jc w:val="left"/>
        <w:rPr>
          <w:sz w:val="20"/>
          <w:lang w:val="pt-BR"/>
        </w:rPr>
      </w:pPr>
    </w:p>
    <w:p w:rsidR="00D81F69" w:rsidRPr="00392EAD" w:rsidRDefault="00D81F69">
      <w:pPr>
        <w:pStyle w:val="Corpodetexto"/>
        <w:spacing w:before="1"/>
        <w:ind w:left="0"/>
        <w:jc w:val="left"/>
        <w:rPr>
          <w:sz w:val="19"/>
          <w:lang w:val="pt-BR"/>
        </w:rPr>
      </w:pPr>
    </w:p>
    <w:p w:rsidR="00D81F69" w:rsidRPr="00392EAD" w:rsidRDefault="00330118">
      <w:pPr>
        <w:pStyle w:val="Heading5"/>
        <w:ind w:right="117"/>
        <w:rPr>
          <w:lang w:val="pt-BR"/>
        </w:rPr>
      </w:pPr>
      <w:r w:rsidRPr="00392EAD">
        <w:rPr>
          <w:lang w:val="pt-BR"/>
        </w:rPr>
        <w:t xml:space="preserve">Também para Minas Gerais, os impactos ambientais negativos apresentam uma relativa complexidade devido à quantidade de questões levantadas nos verbetes. Os problemas relacionados aos recursos hídricos são os mais corriqueiros (tais como poluição </w:t>
      </w:r>
      <w:r w:rsidRPr="00392EAD">
        <w:rPr>
          <w:lang w:val="pt-BR"/>
        </w:rPr>
        <w:t>e assoreamento de rios e de lençóis freáticos). A poluição do ar é outro aspecto que põe em xeque a sustentabilidade dos empreendimentos estudados (Gráfico 7).</w:t>
      </w:r>
    </w:p>
    <w:p w:rsidR="00D81F69" w:rsidRPr="00392EAD" w:rsidRDefault="00D81F69">
      <w:pPr>
        <w:pStyle w:val="Corpodetexto"/>
        <w:ind w:left="0"/>
        <w:jc w:val="left"/>
        <w:rPr>
          <w:sz w:val="24"/>
          <w:lang w:val="pt-BR"/>
        </w:rPr>
      </w:pPr>
    </w:p>
    <w:p w:rsidR="00D81F69" w:rsidRPr="00392EAD" w:rsidRDefault="00330118">
      <w:pPr>
        <w:spacing w:before="174"/>
        <w:ind w:left="101" w:right="116"/>
        <w:jc w:val="both"/>
        <w:rPr>
          <w:lang w:val="pt-BR"/>
        </w:rPr>
      </w:pPr>
      <w:r w:rsidRPr="00392EAD">
        <w:rPr>
          <w:lang w:val="pt-BR"/>
        </w:rPr>
        <w:t>Os prejuízos ao ecossistema local, a extinção de espécies e as drásticas alterações na paisagem</w:t>
      </w:r>
      <w:r w:rsidRPr="00392EAD">
        <w:rPr>
          <w:lang w:val="pt-BR"/>
        </w:rPr>
        <w:t xml:space="preserve"> são algumas das principais consequências negativas que os empreendimentos do setor mineral podem causar em potencial e que, necessariamente, devem ser mitigados ou solucionados em definitivo. A deposição irregular de resíduos no ambiente, o desmatamento e</w:t>
      </w:r>
      <w:r w:rsidRPr="00392EAD">
        <w:rPr>
          <w:lang w:val="pt-BR"/>
        </w:rPr>
        <w:t xml:space="preserve"> a poluição dos solos são outros impactos também verificados no recorte geográfico de Minas Gerais (Gráfico 7).</w:t>
      </w:r>
    </w:p>
    <w:p w:rsidR="00D81F69" w:rsidRPr="00392EAD" w:rsidRDefault="00D81F69">
      <w:pPr>
        <w:jc w:val="both"/>
        <w:rPr>
          <w:lang w:val="pt-BR"/>
        </w:rPr>
        <w:sectPr w:rsidR="00D81F69" w:rsidRPr="00392EAD">
          <w:pgSz w:w="11910" w:h="16840"/>
          <w:pgMar w:top="680" w:right="1580" w:bottom="720" w:left="1600" w:header="0" w:footer="402" w:gutter="0"/>
          <w:cols w:space="720"/>
        </w:sectPr>
      </w:pPr>
    </w:p>
    <w:p w:rsidR="00D81F69" w:rsidRPr="00392EAD" w:rsidRDefault="00330118">
      <w:pPr>
        <w:spacing w:before="26"/>
        <w:ind w:left="6640"/>
        <w:rPr>
          <w:rFonts w:ascii="Calibri" w:hAnsi="Calibri"/>
          <w:sz w:val="28"/>
          <w:lang w:val="pt-BR"/>
        </w:rPr>
      </w:pPr>
      <w:r w:rsidRPr="00392EAD">
        <w:rPr>
          <w:rFonts w:ascii="Calibri" w:hAnsi="Calibri"/>
          <w:sz w:val="28"/>
          <w:lang w:val="pt-BR"/>
        </w:rPr>
        <w:lastRenderedPageBreak/>
        <w:t>REGIÃO SUDESTE</w:t>
      </w:r>
    </w:p>
    <w:p w:rsidR="00D81F69" w:rsidRPr="00392EAD" w:rsidRDefault="00330118">
      <w:pPr>
        <w:pStyle w:val="Corpodetexto"/>
        <w:spacing w:before="2"/>
        <w:ind w:left="0"/>
        <w:jc w:val="left"/>
        <w:rPr>
          <w:rFonts w:ascii="Calibri"/>
          <w:sz w:val="28"/>
          <w:lang w:val="pt-BR"/>
        </w:rPr>
      </w:pPr>
      <w:r>
        <w:rPr>
          <w:noProof/>
          <w:lang w:val="pt-BR" w:eastAsia="pt-BR"/>
        </w:rPr>
        <w:drawing>
          <wp:anchor distT="0" distB="0" distL="0" distR="0" simplePos="0" relativeHeight="6352" behindDoc="0" locked="0" layoutInCell="1" allowOverlap="1">
            <wp:simplePos x="0" y="0"/>
            <wp:positionH relativeFrom="page">
              <wp:posOffset>1122115</wp:posOffset>
            </wp:positionH>
            <wp:positionV relativeFrom="paragraph">
              <wp:posOffset>243405</wp:posOffset>
            </wp:positionV>
            <wp:extent cx="5349646" cy="3233261"/>
            <wp:effectExtent l="0" t="0" r="0" b="0"/>
            <wp:wrapTopAndBottom/>
            <wp:docPr id="31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39.png"/>
                    <pic:cNvPicPr/>
                  </pic:nvPicPr>
                  <pic:blipFill>
                    <a:blip r:embed="rId1015" cstate="print"/>
                    <a:stretch>
                      <a:fillRect/>
                    </a:stretch>
                  </pic:blipFill>
                  <pic:spPr>
                    <a:xfrm>
                      <a:off x="0" y="0"/>
                      <a:ext cx="5349646" cy="3233261"/>
                    </a:xfrm>
                    <a:prstGeom prst="rect">
                      <a:avLst/>
                    </a:prstGeom>
                  </pic:spPr>
                </pic:pic>
              </a:graphicData>
            </a:graphic>
          </wp:anchor>
        </w:drawing>
      </w:r>
    </w:p>
    <w:p w:rsidR="00D81F69" w:rsidRPr="00392EAD" w:rsidRDefault="00330118">
      <w:pPr>
        <w:pStyle w:val="Corpodetexto"/>
        <w:spacing w:before="88"/>
        <w:ind w:left="101" w:right="118"/>
        <w:rPr>
          <w:lang w:val="pt-BR"/>
        </w:rPr>
      </w:pPr>
      <w:r w:rsidRPr="00392EAD">
        <w:rPr>
          <w:lang w:val="pt-BR"/>
        </w:rPr>
        <w:t>Gráfico 7. Impactos ambientais da exploração mineral listados nos estudos de casos do estado de Minas Gerais.</w:t>
      </w:r>
    </w:p>
    <w:p w:rsidR="00D81F69" w:rsidRPr="00392EAD" w:rsidRDefault="00D81F69">
      <w:pPr>
        <w:pStyle w:val="Corpodetexto"/>
        <w:ind w:left="0"/>
        <w:jc w:val="left"/>
        <w:rPr>
          <w:sz w:val="22"/>
          <w:lang w:val="pt-BR"/>
        </w:rPr>
      </w:pPr>
    </w:p>
    <w:p w:rsidR="00D81F69" w:rsidRPr="00392EAD" w:rsidRDefault="00330118">
      <w:pPr>
        <w:pStyle w:val="Heading5"/>
        <w:ind w:right="117"/>
        <w:rPr>
          <w:lang w:val="pt-BR"/>
        </w:rPr>
      </w:pPr>
      <w:r>
        <w:rPr>
          <w:noProof/>
          <w:lang w:val="pt-BR" w:eastAsia="pt-BR"/>
        </w:rPr>
        <w:drawing>
          <wp:anchor distT="0" distB="0" distL="0" distR="0" simplePos="0" relativeHeight="6376" behindDoc="0" locked="0" layoutInCell="1" allowOverlap="1">
            <wp:simplePos x="0" y="0"/>
            <wp:positionH relativeFrom="page">
              <wp:posOffset>1198496</wp:posOffset>
            </wp:positionH>
            <wp:positionV relativeFrom="paragraph">
              <wp:posOffset>569061</wp:posOffset>
            </wp:positionV>
            <wp:extent cx="5203262" cy="1203483"/>
            <wp:effectExtent l="0" t="0" r="0" b="0"/>
            <wp:wrapTopAndBottom/>
            <wp:docPr id="315"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40.png"/>
                    <pic:cNvPicPr/>
                  </pic:nvPicPr>
                  <pic:blipFill>
                    <a:blip r:embed="rId1016" cstate="print"/>
                    <a:stretch>
                      <a:fillRect/>
                    </a:stretch>
                  </pic:blipFill>
                  <pic:spPr>
                    <a:xfrm>
                      <a:off x="0" y="0"/>
                      <a:ext cx="5203262" cy="1203483"/>
                    </a:xfrm>
                    <a:prstGeom prst="rect">
                      <a:avLst/>
                    </a:prstGeom>
                  </pic:spPr>
                </pic:pic>
              </a:graphicData>
            </a:graphic>
          </wp:anchor>
        </w:drawing>
      </w:r>
      <w:r w:rsidRPr="00392EAD">
        <w:rPr>
          <w:lang w:val="pt-BR"/>
        </w:rPr>
        <w:t>Os metais pesados foram os contaminantes mais citados nos estudos de casos da atividade mineral no estado de Minas Gerais. O outro terço dos contaminantes citados são metais radioativos e substâncias diversas, como o asbesto (Gráfico 8).</w:t>
      </w:r>
    </w:p>
    <w:p w:rsidR="00D81F69" w:rsidRPr="00392EAD" w:rsidRDefault="00330118">
      <w:pPr>
        <w:pStyle w:val="Corpodetexto"/>
        <w:spacing w:before="94"/>
        <w:ind w:left="101" w:right="116"/>
        <w:rPr>
          <w:lang w:val="pt-BR"/>
        </w:rPr>
      </w:pPr>
      <w:r w:rsidRPr="00392EAD">
        <w:rPr>
          <w:lang w:val="pt-BR"/>
        </w:rPr>
        <w:t>Gráfico 8. Estu</w:t>
      </w:r>
      <w:r w:rsidRPr="00392EAD">
        <w:rPr>
          <w:lang w:val="pt-BR"/>
        </w:rPr>
        <w:t>dos de casos dos impactos gerados por contaminação de substâncias perigosas decorrentes da extração mineral no estado de Minas Gerais.</w:t>
      </w:r>
    </w:p>
    <w:p w:rsidR="00D81F69" w:rsidRPr="00392EAD" w:rsidRDefault="00D81F69">
      <w:pPr>
        <w:pStyle w:val="Corpodetexto"/>
        <w:ind w:left="0"/>
        <w:jc w:val="left"/>
        <w:rPr>
          <w:sz w:val="22"/>
          <w:lang w:val="pt-BR"/>
        </w:rPr>
      </w:pPr>
    </w:p>
    <w:p w:rsidR="00D81F69" w:rsidRPr="00392EAD" w:rsidRDefault="00330118">
      <w:pPr>
        <w:pStyle w:val="Heading5"/>
        <w:rPr>
          <w:lang w:val="pt-BR"/>
        </w:rPr>
      </w:pPr>
      <w:r w:rsidRPr="00392EAD">
        <w:rPr>
          <w:lang w:val="pt-BR"/>
        </w:rPr>
        <w:t>Na tentativa de sanar os impactos negativos causados pela mineração ao meio ambiente e à sociedade de Minas Gerais, o Mi</w:t>
      </w:r>
      <w:r w:rsidRPr="00392EAD">
        <w:rPr>
          <w:lang w:val="pt-BR"/>
        </w:rPr>
        <w:t>nistério Público tem sido acionado e, em cinco ocasiões, a intervenção resultou na assinatura de um Termo de Ajuste de Conduta (Gráfico 9).</w:t>
      </w:r>
    </w:p>
    <w:p w:rsidR="00D81F69" w:rsidRPr="00392EAD" w:rsidRDefault="00330118">
      <w:pPr>
        <w:pStyle w:val="Corpodetexto"/>
        <w:spacing w:before="2"/>
        <w:ind w:left="0"/>
        <w:jc w:val="left"/>
        <w:rPr>
          <w:sz w:val="20"/>
          <w:lang w:val="pt-BR"/>
        </w:rPr>
      </w:pPr>
      <w:r>
        <w:rPr>
          <w:noProof/>
          <w:lang w:val="pt-BR" w:eastAsia="pt-BR"/>
        </w:rPr>
        <w:drawing>
          <wp:anchor distT="0" distB="0" distL="0" distR="0" simplePos="0" relativeHeight="6400" behindDoc="0" locked="0" layoutInCell="1" allowOverlap="1">
            <wp:simplePos x="0" y="0"/>
            <wp:positionH relativeFrom="page">
              <wp:posOffset>1128587</wp:posOffset>
            </wp:positionH>
            <wp:positionV relativeFrom="paragraph">
              <wp:posOffset>172461</wp:posOffset>
            </wp:positionV>
            <wp:extent cx="5343264" cy="1376648"/>
            <wp:effectExtent l="0" t="0" r="0" b="0"/>
            <wp:wrapTopAndBottom/>
            <wp:docPr id="317"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41.png"/>
                    <pic:cNvPicPr/>
                  </pic:nvPicPr>
                  <pic:blipFill>
                    <a:blip r:embed="rId1017" cstate="print"/>
                    <a:stretch>
                      <a:fillRect/>
                    </a:stretch>
                  </pic:blipFill>
                  <pic:spPr>
                    <a:xfrm>
                      <a:off x="0" y="0"/>
                      <a:ext cx="5343264" cy="1376648"/>
                    </a:xfrm>
                    <a:prstGeom prst="rect">
                      <a:avLst/>
                    </a:prstGeom>
                  </pic:spPr>
                </pic:pic>
              </a:graphicData>
            </a:graphic>
          </wp:anchor>
        </w:drawing>
      </w:r>
    </w:p>
    <w:p w:rsidR="00D81F69" w:rsidRPr="00392EAD" w:rsidRDefault="00330118">
      <w:pPr>
        <w:pStyle w:val="Corpodetexto"/>
        <w:ind w:left="101" w:right="115"/>
        <w:rPr>
          <w:lang w:val="pt-BR"/>
        </w:rPr>
      </w:pPr>
      <w:r w:rsidRPr="00392EAD">
        <w:rPr>
          <w:lang w:val="pt-BR"/>
        </w:rPr>
        <w:t xml:space="preserve">Gráfico 9. Estudos de casos dos conflitos decorrentes da extração mineral: recurso ao Ministério Público e TAC no </w:t>
      </w:r>
      <w:r w:rsidRPr="00392EAD">
        <w:rPr>
          <w:lang w:val="pt-BR"/>
        </w:rPr>
        <w:t>estado de Minas Gerais.</w:t>
      </w:r>
    </w:p>
    <w:p w:rsidR="00D81F69" w:rsidRPr="00392EAD" w:rsidRDefault="00D81F69">
      <w:pPr>
        <w:rPr>
          <w:lang w:val="pt-BR"/>
        </w:rPr>
        <w:sectPr w:rsidR="00D81F69" w:rsidRPr="00392EAD">
          <w:pgSz w:w="11910" w:h="16840"/>
          <w:pgMar w:top="680" w:right="1580" w:bottom="720" w:left="1600" w:header="0" w:footer="402" w:gutter="0"/>
          <w:cols w:space="720"/>
        </w:sectPr>
      </w:pPr>
    </w:p>
    <w:p w:rsidR="00D81F69" w:rsidRPr="00392EAD" w:rsidRDefault="00330118">
      <w:pPr>
        <w:pStyle w:val="Heading3"/>
        <w:rPr>
          <w:lang w:val="pt-BR"/>
        </w:rPr>
      </w:pPr>
      <w:r w:rsidRPr="00392EAD">
        <w:rPr>
          <w:lang w:val="pt-BR"/>
        </w:rPr>
        <w:lastRenderedPageBreak/>
        <w:t>REGIÃO SUDESTE</w:t>
      </w:r>
    </w:p>
    <w:p w:rsidR="00D81F69" w:rsidRPr="00392EAD" w:rsidRDefault="00D81F69">
      <w:pPr>
        <w:pStyle w:val="Corpodetexto"/>
        <w:ind w:left="0"/>
        <w:jc w:val="left"/>
        <w:rPr>
          <w:rFonts w:ascii="Calibri"/>
          <w:sz w:val="30"/>
          <w:lang w:val="pt-BR"/>
        </w:rPr>
      </w:pPr>
    </w:p>
    <w:p w:rsidR="00D81F69" w:rsidRPr="00392EAD" w:rsidRDefault="00330118">
      <w:pPr>
        <w:pStyle w:val="Heading5"/>
        <w:spacing w:before="1"/>
        <w:ind w:right="117"/>
        <w:rPr>
          <w:lang w:val="pt-BR"/>
        </w:rPr>
      </w:pPr>
      <w:r w:rsidRPr="00392EAD">
        <w:rPr>
          <w:lang w:val="pt-BR"/>
        </w:rPr>
        <w:t>A sustentabilidade dos empreendimentos do setor mineral apresenta uma trajetória que nunca finda. É preciso ter sempre em vista que, assim como as inovações tecnológicas, o diálogo entre comunidades</w:t>
      </w:r>
      <w:r w:rsidRPr="00392EAD">
        <w:rPr>
          <w:lang w:val="pt-BR"/>
        </w:rPr>
        <w:t xml:space="preserve"> locais, poder público e empresa precisa ser constante.</w:t>
      </w:r>
    </w:p>
    <w:p w:rsidR="00D81F69" w:rsidRPr="00392EAD" w:rsidRDefault="00D81F69">
      <w:pPr>
        <w:pStyle w:val="Corpodetexto"/>
        <w:spacing w:before="11"/>
        <w:ind w:left="0"/>
        <w:jc w:val="left"/>
        <w:rPr>
          <w:sz w:val="21"/>
          <w:lang w:val="pt-BR"/>
        </w:rPr>
      </w:pPr>
    </w:p>
    <w:p w:rsidR="00D81F69" w:rsidRPr="00392EAD" w:rsidRDefault="00330118">
      <w:pPr>
        <w:ind w:left="101" w:right="116"/>
        <w:jc w:val="both"/>
        <w:rPr>
          <w:lang w:val="pt-BR"/>
        </w:rPr>
      </w:pPr>
      <w:r w:rsidRPr="00392EAD">
        <w:rPr>
          <w:lang w:val="pt-BR"/>
        </w:rPr>
        <w:t>As populações afetadas pelos empreendimentos trazem consigo a importante missão de cobrar que o desenvolvimento econômico siga em paralelo com o equilíbrio do  meio ambiente e da justiça</w:t>
      </w:r>
      <w:r w:rsidRPr="00392EAD">
        <w:rPr>
          <w:spacing w:val="-1"/>
          <w:lang w:val="pt-BR"/>
        </w:rPr>
        <w:t xml:space="preserve"> </w:t>
      </w:r>
      <w:r w:rsidRPr="00392EAD">
        <w:rPr>
          <w:lang w:val="pt-BR"/>
        </w:rPr>
        <w:t>social.</w:t>
      </w:r>
    </w:p>
    <w:p w:rsidR="00D81F69" w:rsidRPr="00392EAD" w:rsidRDefault="00D81F69">
      <w:pPr>
        <w:pStyle w:val="Corpodetexto"/>
        <w:ind w:left="0"/>
        <w:jc w:val="left"/>
        <w:rPr>
          <w:sz w:val="22"/>
          <w:lang w:val="pt-BR"/>
        </w:rPr>
      </w:pPr>
    </w:p>
    <w:p w:rsidR="00D81F69" w:rsidRPr="00392EAD" w:rsidRDefault="00330118">
      <w:pPr>
        <w:pStyle w:val="Heading6"/>
        <w:spacing w:line="240" w:lineRule="auto"/>
        <w:ind w:left="101"/>
        <w:rPr>
          <w:lang w:val="pt-BR"/>
        </w:rPr>
      </w:pPr>
      <w:r w:rsidRPr="00392EAD">
        <w:rPr>
          <w:lang w:val="pt-BR"/>
        </w:rPr>
        <w:t>Ref</w:t>
      </w:r>
      <w:r w:rsidRPr="00392EAD">
        <w:rPr>
          <w:lang w:val="pt-BR"/>
        </w:rPr>
        <w:t>erências bibliográficas</w:t>
      </w:r>
    </w:p>
    <w:p w:rsidR="00D81F69" w:rsidRPr="00392EAD" w:rsidRDefault="00D81F69">
      <w:pPr>
        <w:pStyle w:val="Corpodetexto"/>
        <w:spacing w:before="10"/>
        <w:ind w:left="0"/>
        <w:jc w:val="left"/>
        <w:rPr>
          <w:b/>
          <w:sz w:val="19"/>
          <w:lang w:val="pt-BR"/>
        </w:rPr>
      </w:pPr>
    </w:p>
    <w:p w:rsidR="00D81F69" w:rsidRDefault="00330118">
      <w:pPr>
        <w:pStyle w:val="Heading7"/>
        <w:tabs>
          <w:tab w:val="left" w:pos="2102"/>
          <w:tab w:val="left" w:pos="3770"/>
          <w:tab w:val="left" w:pos="5839"/>
          <w:tab w:val="left" w:pos="8274"/>
        </w:tabs>
        <w:ind w:left="101" w:right="115"/>
        <w:jc w:val="left"/>
      </w:pPr>
      <w:r w:rsidRPr="00392EAD">
        <w:rPr>
          <w:lang w:val="pt-BR"/>
        </w:rPr>
        <w:t xml:space="preserve">DNPM, Departamento Nacional de Produção Mineral. </w:t>
      </w:r>
      <w:r>
        <w:t>Sumário mineral 2012. vol. 32. Brasília, 2012.</w:t>
      </w:r>
      <w:r>
        <w:tab/>
        <w:t>p.</w:t>
      </w:r>
      <w:r>
        <w:tab/>
        <w:t>19-24.</w:t>
      </w:r>
      <w:r>
        <w:tab/>
        <w:t>Disponível</w:t>
      </w:r>
      <w:r>
        <w:tab/>
        <w:t>em:</w:t>
      </w:r>
    </w:p>
    <w:p w:rsidR="00D81F69" w:rsidRDefault="00330118">
      <w:pPr>
        <w:spacing w:before="1" w:line="230" w:lineRule="exact"/>
        <w:ind w:left="101"/>
        <w:rPr>
          <w:sz w:val="20"/>
        </w:rPr>
      </w:pPr>
      <w:r>
        <w:rPr>
          <w:sz w:val="20"/>
        </w:rPr>
        <w:t>&lt;https://sistemas.dnpm.gov.br/publicacao/mostra_imagem.asp?IDBancoArquivoArquivo=7366&gt;</w:t>
      </w:r>
    </w:p>
    <w:p w:rsidR="00D81F69" w:rsidRDefault="00330118">
      <w:pPr>
        <w:spacing w:line="230" w:lineRule="exact"/>
        <w:ind w:left="101"/>
        <w:rPr>
          <w:sz w:val="20"/>
        </w:rPr>
      </w:pPr>
      <w:r>
        <w:rPr>
          <w:sz w:val="20"/>
        </w:rPr>
        <w:t>. Acesso em: 30 set. 2013.</w:t>
      </w:r>
    </w:p>
    <w:p w:rsidR="00D81F69" w:rsidRDefault="00330118">
      <w:pPr>
        <w:tabs>
          <w:tab w:val="left" w:pos="1874"/>
          <w:tab w:val="left" w:pos="2301"/>
          <w:tab w:val="left" w:pos="3329"/>
          <w:tab w:val="left" w:pos="4401"/>
          <w:tab w:val="left" w:pos="5484"/>
          <w:tab w:val="left" w:pos="5811"/>
          <w:tab w:val="left" w:pos="6403"/>
          <w:tab w:val="left" w:pos="7121"/>
          <w:tab w:val="left" w:pos="8271"/>
        </w:tabs>
        <w:spacing w:before="1"/>
        <w:ind w:left="101"/>
        <w:rPr>
          <w:sz w:val="20"/>
        </w:rPr>
      </w:pPr>
      <w:r>
        <w:rPr>
          <w:sz w:val="20"/>
        </w:rPr>
        <w:t>FONTANAILLES,</w:t>
      </w:r>
      <w:r>
        <w:rPr>
          <w:sz w:val="20"/>
        </w:rPr>
        <w:tab/>
        <w:t>G.</w:t>
      </w:r>
      <w:r>
        <w:rPr>
          <w:sz w:val="20"/>
        </w:rPr>
        <w:tab/>
        <w:t>Estrutura</w:t>
      </w:r>
      <w:r>
        <w:rPr>
          <w:sz w:val="20"/>
        </w:rPr>
        <w:tab/>
        <w:t>geológica</w:t>
      </w:r>
      <w:r>
        <w:rPr>
          <w:sz w:val="20"/>
        </w:rPr>
        <w:tab/>
        <w:t>brasileira.</w:t>
      </w:r>
      <w:r>
        <w:rPr>
          <w:sz w:val="20"/>
        </w:rPr>
        <w:tab/>
        <w:t>8</w:t>
      </w:r>
      <w:r>
        <w:rPr>
          <w:sz w:val="20"/>
        </w:rPr>
        <w:tab/>
        <w:t>nov.</w:t>
      </w:r>
      <w:r>
        <w:rPr>
          <w:sz w:val="20"/>
        </w:rPr>
        <w:tab/>
        <w:t>2011.</w:t>
      </w:r>
      <w:r>
        <w:rPr>
          <w:sz w:val="20"/>
        </w:rPr>
        <w:tab/>
        <w:t>Disponível</w:t>
      </w:r>
      <w:r>
        <w:rPr>
          <w:sz w:val="20"/>
        </w:rPr>
        <w:tab/>
        <w:t>em:</w:t>
      </w:r>
    </w:p>
    <w:p w:rsidR="00D81F69" w:rsidRDefault="00D81F69">
      <w:pPr>
        <w:ind w:left="101" w:right="871"/>
        <w:rPr>
          <w:sz w:val="20"/>
        </w:rPr>
      </w:pPr>
      <w:hyperlink r:id="rId1018">
        <w:r w:rsidR="00330118">
          <w:rPr>
            <w:sz w:val="20"/>
          </w:rPr>
          <w:t>&lt;http://geografalando.blogspot.com.br/2011/11/a</w:t>
        </w:r>
      </w:hyperlink>
      <w:r w:rsidR="00330118">
        <w:rPr>
          <w:sz w:val="20"/>
        </w:rPr>
        <w:t>u</w:t>
      </w:r>
      <w:hyperlink r:id="rId1019">
        <w:r w:rsidR="00330118">
          <w:rPr>
            <w:sz w:val="20"/>
          </w:rPr>
          <w:t>la-estrutura-gelogica-brasileira.html&gt;.</w:t>
        </w:r>
      </w:hyperlink>
      <w:r w:rsidR="00330118">
        <w:rPr>
          <w:sz w:val="20"/>
        </w:rPr>
        <w:t xml:space="preserve"> Acesso: 4 nov. 2013.</w:t>
      </w:r>
    </w:p>
    <w:p w:rsidR="00D81F69" w:rsidRDefault="00330118">
      <w:pPr>
        <w:tabs>
          <w:tab w:val="left" w:pos="1676"/>
          <w:tab w:val="left" w:pos="2545"/>
          <w:tab w:val="left" w:pos="3452"/>
          <w:tab w:val="left" w:pos="4559"/>
          <w:tab w:val="left" w:pos="5466"/>
          <w:tab w:val="left" w:pos="6651"/>
          <w:tab w:val="left" w:pos="8271"/>
        </w:tabs>
        <w:ind w:left="101" w:right="116"/>
        <w:jc w:val="both"/>
        <w:rPr>
          <w:sz w:val="20"/>
        </w:rPr>
      </w:pPr>
      <w:r>
        <w:rPr>
          <w:sz w:val="20"/>
        </w:rPr>
        <w:t>IBGE, Instituto Brasileiro de Geografia e Estatística, Diretoria de Pesquisas, Coordenação de P</w:t>
      </w:r>
      <w:r>
        <w:rPr>
          <w:sz w:val="20"/>
        </w:rPr>
        <w:t>opulação e Indicadores Sociais. NOTA: Estimativas da população residente com data de referência</w:t>
      </w:r>
      <w:r>
        <w:rPr>
          <w:sz w:val="20"/>
        </w:rPr>
        <w:tab/>
        <w:t>1º</w:t>
      </w:r>
      <w:r>
        <w:rPr>
          <w:sz w:val="20"/>
        </w:rPr>
        <w:tab/>
        <w:t>de</w:t>
      </w:r>
      <w:r>
        <w:rPr>
          <w:sz w:val="20"/>
        </w:rPr>
        <w:tab/>
        <w:t>julho</w:t>
      </w:r>
      <w:r>
        <w:rPr>
          <w:sz w:val="20"/>
        </w:rPr>
        <w:tab/>
        <w:t>de</w:t>
      </w:r>
      <w:r>
        <w:rPr>
          <w:sz w:val="20"/>
        </w:rPr>
        <w:tab/>
        <w:t>2013.</w:t>
      </w:r>
      <w:r>
        <w:rPr>
          <w:sz w:val="20"/>
        </w:rPr>
        <w:tab/>
        <w:t>Disponível</w:t>
      </w:r>
      <w:r>
        <w:rPr>
          <w:sz w:val="20"/>
        </w:rPr>
        <w:tab/>
        <w:t>em:</w:t>
      </w:r>
    </w:p>
    <w:p w:rsidR="00D81F69" w:rsidRDefault="00D81F69">
      <w:pPr>
        <w:ind w:left="101" w:right="571"/>
        <w:rPr>
          <w:sz w:val="20"/>
        </w:rPr>
      </w:pPr>
      <w:hyperlink r:id="rId1020">
        <w:r w:rsidR="00330118">
          <w:rPr>
            <w:sz w:val="20"/>
          </w:rPr>
          <w:t>&lt;http://www.ibge.gov.b</w:t>
        </w:r>
        <w:r w:rsidR="00330118">
          <w:rPr>
            <w:sz w:val="20"/>
          </w:rPr>
          <w:t>r/home/estatistica/populacao/estimativa2013/estimativa_dou.shtm&gt;.</w:t>
        </w:r>
      </w:hyperlink>
      <w:r w:rsidR="00330118">
        <w:rPr>
          <w:sz w:val="20"/>
        </w:rPr>
        <w:t xml:space="preserve"> Acesso em: 10 set. 2013.</w:t>
      </w:r>
    </w:p>
    <w:p w:rsidR="00D81F69" w:rsidRDefault="00330118">
      <w:pPr>
        <w:tabs>
          <w:tab w:val="left" w:pos="1643"/>
          <w:tab w:val="left" w:pos="2505"/>
          <w:tab w:val="left" w:pos="3827"/>
          <w:tab w:val="left" w:pos="5483"/>
          <w:tab w:val="left" w:pos="6659"/>
          <w:tab w:val="left" w:pos="8271"/>
        </w:tabs>
        <w:ind w:left="101" w:right="115"/>
        <w:rPr>
          <w:sz w:val="20"/>
        </w:rPr>
      </w:pPr>
      <w:r>
        <w:rPr>
          <w:sz w:val="20"/>
        </w:rPr>
        <w:t>IBRAM, Instituto Brasileiro de Mineração. Informações e análises da economia mineral brasileira.</w:t>
      </w:r>
      <w:r>
        <w:rPr>
          <w:sz w:val="20"/>
        </w:rPr>
        <w:tab/>
        <w:t>7ª</w:t>
      </w:r>
      <w:r>
        <w:rPr>
          <w:sz w:val="20"/>
        </w:rPr>
        <w:tab/>
        <w:t>edição.</w:t>
      </w:r>
      <w:r>
        <w:rPr>
          <w:sz w:val="20"/>
        </w:rPr>
        <w:tab/>
        <w:t>Dezembro,</w:t>
      </w:r>
      <w:r>
        <w:rPr>
          <w:sz w:val="20"/>
        </w:rPr>
        <w:tab/>
        <w:t>2012.</w:t>
      </w:r>
      <w:r>
        <w:rPr>
          <w:sz w:val="20"/>
        </w:rPr>
        <w:tab/>
        <w:t>Disponível</w:t>
      </w:r>
      <w:r>
        <w:rPr>
          <w:sz w:val="20"/>
        </w:rPr>
        <w:tab/>
        <w:t>em:</w:t>
      </w:r>
    </w:p>
    <w:p w:rsidR="00D81F69" w:rsidRDefault="00D81F69">
      <w:pPr>
        <w:spacing w:before="1" w:line="230" w:lineRule="exact"/>
        <w:ind w:left="101"/>
        <w:rPr>
          <w:sz w:val="20"/>
        </w:rPr>
      </w:pPr>
      <w:hyperlink r:id="rId1021">
        <w:r w:rsidR="00330118">
          <w:rPr>
            <w:sz w:val="20"/>
          </w:rPr>
          <w:t xml:space="preserve">&lt;http://www.ibram.org.br/sites/1300/1382/00003797.pdf&gt;. </w:t>
        </w:r>
      </w:hyperlink>
      <w:r w:rsidR="00330118">
        <w:rPr>
          <w:sz w:val="20"/>
        </w:rPr>
        <w:t>Acesso em: 10 set. 2013.</w:t>
      </w:r>
    </w:p>
    <w:p w:rsidR="00D81F69" w:rsidRDefault="00330118">
      <w:pPr>
        <w:tabs>
          <w:tab w:val="left" w:pos="2716"/>
          <w:tab w:val="left" w:pos="5276"/>
          <w:tab w:val="left" w:pos="8271"/>
        </w:tabs>
        <w:ind w:left="101" w:right="116"/>
        <w:rPr>
          <w:sz w:val="20"/>
        </w:rPr>
      </w:pPr>
      <w:r>
        <w:rPr>
          <w:sz w:val="20"/>
        </w:rPr>
        <w:t>MINAS Gerais, Governo do estado. Mineração: O maior e mais tradicional Estado minerador do Brasil.</w:t>
      </w:r>
      <w:r>
        <w:rPr>
          <w:sz w:val="20"/>
        </w:rPr>
        <w:tab/>
        <w:t>2013.</w:t>
      </w:r>
      <w:r>
        <w:rPr>
          <w:sz w:val="20"/>
        </w:rPr>
        <w:tab/>
        <w:t>Disponível</w:t>
      </w:r>
      <w:r>
        <w:rPr>
          <w:sz w:val="20"/>
        </w:rPr>
        <w:tab/>
        <w:t>em:</w:t>
      </w:r>
    </w:p>
    <w:p w:rsidR="00D81F69" w:rsidRDefault="00330118">
      <w:pPr>
        <w:spacing w:before="1"/>
        <w:ind w:left="101" w:right="631"/>
        <w:rPr>
          <w:sz w:val="20"/>
        </w:rPr>
      </w:pPr>
      <w:r>
        <w:rPr>
          <w:sz w:val="20"/>
        </w:rPr>
        <w:t>&lt;</w:t>
      </w:r>
      <w:hyperlink r:id="rId1022">
        <w:r>
          <w:rPr>
            <w:sz w:val="20"/>
          </w:rPr>
          <w:t>http://www.exportaminas.mg.gov.br/madeinminas/mineracao.aspx#&gt;</w:t>
        </w:r>
      </w:hyperlink>
      <w:r>
        <w:rPr>
          <w:sz w:val="20"/>
        </w:rPr>
        <w:t>. Acesso em: 4 nov.  2013.</w:t>
      </w:r>
    </w:p>
    <w:p w:rsidR="00D81F69" w:rsidRDefault="00330118">
      <w:pPr>
        <w:tabs>
          <w:tab w:val="left" w:pos="1184"/>
          <w:tab w:val="left" w:pos="2089"/>
          <w:tab w:val="left" w:pos="3662"/>
          <w:tab w:val="left" w:pos="4456"/>
          <w:tab w:val="left" w:pos="5473"/>
          <w:tab w:val="left" w:pos="6655"/>
          <w:tab w:val="left" w:pos="8271"/>
        </w:tabs>
        <w:ind w:left="101" w:right="116"/>
        <w:rPr>
          <w:sz w:val="20"/>
        </w:rPr>
      </w:pPr>
      <w:r>
        <w:rPr>
          <w:sz w:val="20"/>
        </w:rPr>
        <w:t>VALE. Brucutu: a maior mina de minério de ferro do mundo em capacidade inicial de produção.</w:t>
      </w:r>
      <w:r>
        <w:rPr>
          <w:sz w:val="20"/>
        </w:rPr>
        <w:t xml:space="preserve"> Sala</w:t>
      </w:r>
      <w:r>
        <w:rPr>
          <w:sz w:val="20"/>
        </w:rPr>
        <w:tab/>
        <w:t>de</w:t>
      </w:r>
      <w:r>
        <w:rPr>
          <w:sz w:val="20"/>
        </w:rPr>
        <w:tab/>
        <w:t>Imprensa,</w:t>
      </w:r>
      <w:r>
        <w:rPr>
          <w:sz w:val="20"/>
        </w:rPr>
        <w:tab/>
        <w:t>5</w:t>
      </w:r>
      <w:r>
        <w:rPr>
          <w:sz w:val="20"/>
        </w:rPr>
        <w:tab/>
        <w:t>out.</w:t>
      </w:r>
      <w:r>
        <w:rPr>
          <w:sz w:val="20"/>
        </w:rPr>
        <w:tab/>
        <w:t>2009.</w:t>
      </w:r>
      <w:r>
        <w:rPr>
          <w:sz w:val="20"/>
        </w:rPr>
        <w:tab/>
        <w:t>Disponível</w:t>
      </w:r>
      <w:r>
        <w:rPr>
          <w:sz w:val="20"/>
        </w:rPr>
        <w:tab/>
        <w:t>em:</w:t>
      </w:r>
    </w:p>
    <w:p w:rsidR="00D81F69" w:rsidRDefault="00D81F69">
      <w:pPr>
        <w:ind w:left="101" w:right="115"/>
        <w:rPr>
          <w:sz w:val="20"/>
        </w:rPr>
      </w:pPr>
      <w:hyperlink r:id="rId1023">
        <w:r w:rsidR="00330118">
          <w:rPr>
            <w:sz w:val="20"/>
          </w:rPr>
          <w:t>&lt;http://201.5</w:t>
        </w:r>
      </w:hyperlink>
      <w:r w:rsidR="00330118">
        <w:rPr>
          <w:sz w:val="20"/>
        </w:rPr>
        <w:t>9</w:t>
      </w:r>
      <w:hyperlink r:id="rId1024">
        <w:r w:rsidR="00330118">
          <w:rPr>
            <w:sz w:val="20"/>
          </w:rPr>
          <w:t>.137.230/pt/versao_impressao/prt_detail.asp?tipo=2&amp;id=16586</w:t>
        </w:r>
      </w:hyperlink>
      <w:r w:rsidR="00330118">
        <w:rPr>
          <w:sz w:val="20"/>
        </w:rPr>
        <w:t>&gt;. Acesso em: 4 nov. 2013.</w:t>
      </w:r>
    </w:p>
    <w:p w:rsidR="00D81F69" w:rsidRDefault="00D81F69">
      <w:pPr>
        <w:rPr>
          <w:sz w:val="20"/>
        </w:rPr>
        <w:sectPr w:rsidR="00D81F69">
          <w:pgSz w:w="11910" w:h="16840"/>
          <w:pgMar w:top="680" w:right="1580" w:bottom="720" w:left="1600" w:header="0" w:footer="402" w:gutter="0"/>
          <w:cols w:space="720"/>
        </w:sectPr>
      </w:pPr>
    </w:p>
    <w:p w:rsidR="00D81F69" w:rsidRDefault="00330118">
      <w:pPr>
        <w:tabs>
          <w:tab w:val="left" w:pos="1430"/>
          <w:tab w:val="left" w:pos="2152"/>
          <w:tab w:val="left" w:pos="3824"/>
          <w:tab w:val="left" w:pos="6694"/>
          <w:tab w:val="left" w:pos="7438"/>
          <w:tab w:val="left" w:pos="9340"/>
        </w:tabs>
        <w:spacing w:before="113" w:line="208" w:lineRule="auto"/>
        <w:ind w:left="100" w:right="195"/>
        <w:rPr>
          <w:b/>
          <w:sz w:val="40"/>
        </w:rPr>
      </w:pPr>
      <w:r>
        <w:rPr>
          <w:b/>
          <w:spacing w:val="17"/>
          <w:sz w:val="40"/>
        </w:rPr>
        <w:lastRenderedPageBreak/>
        <w:t>APLs</w:t>
      </w:r>
      <w:r>
        <w:rPr>
          <w:b/>
          <w:spacing w:val="17"/>
          <w:sz w:val="40"/>
        </w:rPr>
        <w:tab/>
      </w:r>
      <w:r>
        <w:rPr>
          <w:b/>
          <w:spacing w:val="11"/>
          <w:sz w:val="40"/>
        </w:rPr>
        <w:t>de</w:t>
      </w:r>
      <w:r>
        <w:rPr>
          <w:b/>
          <w:spacing w:val="11"/>
          <w:sz w:val="40"/>
        </w:rPr>
        <w:tab/>
      </w:r>
      <w:r>
        <w:rPr>
          <w:b/>
          <w:spacing w:val="20"/>
          <w:sz w:val="40"/>
        </w:rPr>
        <w:t>rochas</w:t>
      </w:r>
      <w:r>
        <w:rPr>
          <w:b/>
          <w:spacing w:val="20"/>
          <w:sz w:val="40"/>
        </w:rPr>
        <w:tab/>
      </w:r>
      <w:r>
        <w:rPr>
          <w:b/>
          <w:spacing w:val="21"/>
          <w:sz w:val="40"/>
        </w:rPr>
        <w:t>ornamentais</w:t>
      </w:r>
      <w:r>
        <w:rPr>
          <w:b/>
          <w:spacing w:val="21"/>
          <w:sz w:val="40"/>
        </w:rPr>
        <w:tab/>
      </w:r>
      <w:r>
        <w:rPr>
          <w:b/>
          <w:spacing w:val="11"/>
          <w:sz w:val="40"/>
        </w:rPr>
        <w:t>no</w:t>
      </w:r>
      <w:r>
        <w:rPr>
          <w:b/>
          <w:spacing w:val="11"/>
          <w:sz w:val="40"/>
        </w:rPr>
        <w:tab/>
      </w:r>
      <w:r>
        <w:rPr>
          <w:b/>
          <w:spacing w:val="20"/>
          <w:sz w:val="40"/>
        </w:rPr>
        <w:t>Espírito</w:t>
      </w:r>
      <w:r>
        <w:rPr>
          <w:b/>
          <w:spacing w:val="20"/>
          <w:sz w:val="40"/>
        </w:rPr>
        <w:tab/>
      </w:r>
      <w:r>
        <w:rPr>
          <w:b/>
          <w:spacing w:val="25"/>
          <w:sz w:val="40"/>
        </w:rPr>
        <w:t xml:space="preserve">Santo </w:t>
      </w:r>
      <w:r>
        <w:rPr>
          <w:b/>
          <w:spacing w:val="3"/>
          <w:sz w:val="40"/>
        </w:rPr>
        <w:t xml:space="preserve">buscam soluções </w:t>
      </w:r>
      <w:r>
        <w:rPr>
          <w:b/>
          <w:spacing w:val="2"/>
          <w:sz w:val="40"/>
        </w:rPr>
        <w:t xml:space="preserve">para </w:t>
      </w:r>
      <w:r>
        <w:rPr>
          <w:b/>
          <w:spacing w:val="3"/>
          <w:sz w:val="40"/>
        </w:rPr>
        <w:t xml:space="preserve">efeitos </w:t>
      </w:r>
      <w:r>
        <w:rPr>
          <w:b/>
          <w:spacing w:val="1"/>
          <w:sz w:val="40"/>
        </w:rPr>
        <w:t xml:space="preserve">da </w:t>
      </w:r>
      <w:r>
        <w:rPr>
          <w:b/>
          <w:spacing w:val="3"/>
          <w:sz w:val="40"/>
        </w:rPr>
        <w:t>atividade</w:t>
      </w:r>
      <w:r>
        <w:rPr>
          <w:b/>
          <w:spacing w:val="87"/>
          <w:sz w:val="40"/>
        </w:rPr>
        <w:t xml:space="preserve"> </w:t>
      </w:r>
      <w:r>
        <w:rPr>
          <w:b/>
          <w:spacing w:val="5"/>
          <w:sz w:val="40"/>
        </w:rPr>
        <w:t>minerária</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7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ES - Alegre</w:t>
      </w:r>
    </w:p>
    <w:p w:rsidR="00D81F69" w:rsidRDefault="00330118">
      <w:pPr>
        <w:spacing w:before="49" w:line="312" w:lineRule="auto"/>
        <w:ind w:left="135" w:right="649"/>
        <w:rPr>
          <w:i/>
          <w:sz w:val="14"/>
        </w:rPr>
      </w:pPr>
      <w:r>
        <w:rPr>
          <w:i/>
          <w:sz w:val="14"/>
        </w:rPr>
        <w:t>ES - Atilio</w:t>
      </w:r>
      <w:r>
        <w:rPr>
          <w:i/>
          <w:sz w:val="14"/>
        </w:rPr>
        <w:t xml:space="preserve"> Vivacqua ES - Baixo Guandu</w:t>
      </w:r>
    </w:p>
    <w:p w:rsidR="00D81F69" w:rsidRDefault="00330118">
      <w:pPr>
        <w:spacing w:before="2" w:line="312" w:lineRule="auto"/>
        <w:ind w:left="135" w:right="42"/>
        <w:rPr>
          <w:i/>
          <w:sz w:val="14"/>
        </w:rPr>
      </w:pPr>
      <w:r>
        <w:rPr>
          <w:i/>
          <w:sz w:val="14"/>
        </w:rPr>
        <w:t>ES - Barra de São Francisco ES - Cachoeiro de Itapemirim ES - Castelo</w:t>
      </w:r>
    </w:p>
    <w:p w:rsidR="00D81F69" w:rsidRDefault="00330118">
      <w:pPr>
        <w:spacing w:before="2" w:line="312" w:lineRule="auto"/>
        <w:ind w:left="135" w:right="1116"/>
        <w:rPr>
          <w:i/>
          <w:sz w:val="14"/>
        </w:rPr>
      </w:pPr>
      <w:r>
        <w:rPr>
          <w:i/>
          <w:sz w:val="14"/>
        </w:rPr>
        <w:t>ES - Guaçuí ES - Iconha</w:t>
      </w:r>
    </w:p>
    <w:p w:rsidR="00D81F69" w:rsidRDefault="00330118">
      <w:pPr>
        <w:spacing w:before="1" w:line="312" w:lineRule="auto"/>
        <w:ind w:left="135" w:right="914"/>
        <w:rPr>
          <w:i/>
          <w:sz w:val="14"/>
        </w:rPr>
      </w:pPr>
      <w:r>
        <w:rPr>
          <w:i/>
          <w:sz w:val="14"/>
        </w:rPr>
        <w:t>ES - Itapemirim ES - Iúna</w:t>
      </w:r>
    </w:p>
    <w:p w:rsidR="00D81F69" w:rsidRDefault="00330118">
      <w:pPr>
        <w:spacing w:before="2" w:line="312" w:lineRule="auto"/>
        <w:ind w:left="135" w:right="641"/>
        <w:rPr>
          <w:i/>
          <w:sz w:val="14"/>
        </w:rPr>
      </w:pPr>
      <w:r>
        <w:rPr>
          <w:i/>
          <w:sz w:val="14"/>
        </w:rPr>
        <w:t>ES - Mimoso do Sul ES - Muniz Freire ES - Muqui</w:t>
      </w:r>
    </w:p>
    <w:p w:rsidR="00D81F69" w:rsidRDefault="00330118">
      <w:pPr>
        <w:spacing w:before="2"/>
        <w:ind w:left="135"/>
        <w:rPr>
          <w:i/>
          <w:sz w:val="14"/>
        </w:rPr>
      </w:pPr>
      <w:r>
        <w:rPr>
          <w:i/>
          <w:sz w:val="14"/>
        </w:rPr>
        <w:t>ES - Nova Venécia</w:t>
      </w:r>
    </w:p>
    <w:p w:rsidR="00D81F69" w:rsidRDefault="00330118">
      <w:pPr>
        <w:spacing w:before="49" w:line="312" w:lineRule="auto"/>
        <w:ind w:left="135" w:right="306"/>
        <w:rPr>
          <w:i/>
          <w:sz w:val="14"/>
        </w:rPr>
      </w:pPr>
      <w:r>
        <w:rPr>
          <w:i/>
          <w:sz w:val="14"/>
        </w:rPr>
        <w:t xml:space="preserve">ES - Presidente Kennedy </w:t>
      </w:r>
      <w:r>
        <w:rPr>
          <w:i/>
          <w:sz w:val="14"/>
        </w:rPr>
        <w:t>ES - Rio Novo do Sul</w:t>
      </w:r>
    </w:p>
    <w:p w:rsidR="00D81F69" w:rsidRDefault="00330118">
      <w:pPr>
        <w:spacing w:before="1" w:line="312" w:lineRule="auto"/>
        <w:ind w:left="135" w:right="236"/>
        <w:rPr>
          <w:i/>
          <w:sz w:val="14"/>
        </w:rPr>
      </w:pPr>
      <w:r>
        <w:rPr>
          <w:i/>
          <w:sz w:val="14"/>
        </w:rPr>
        <w:t>ES - São Gabriel da Palha ES - Vargem Alta</w:t>
      </w:r>
    </w:p>
    <w:p w:rsidR="00D81F69" w:rsidRDefault="00330118">
      <w:pPr>
        <w:spacing w:before="2"/>
        <w:ind w:left="135"/>
        <w:rPr>
          <w:i/>
          <w:sz w:val="14"/>
        </w:rPr>
      </w:pPr>
      <w:r>
        <w:rPr>
          <w:i/>
          <w:sz w:val="14"/>
        </w:rPr>
        <w:t>ES - Venda Nova do Imigrante</w:t>
      </w:r>
    </w:p>
    <w:p w:rsidR="00D81F69" w:rsidRDefault="00D81F69">
      <w:pPr>
        <w:pStyle w:val="Corpodetexto"/>
        <w:spacing w:before="5"/>
        <w:ind w:left="0"/>
        <w:jc w:val="left"/>
        <w:rPr>
          <w:i/>
          <w:sz w:val="22"/>
        </w:rPr>
      </w:pPr>
    </w:p>
    <w:p w:rsidR="00D81F69" w:rsidRDefault="00330118">
      <w:pPr>
        <w:spacing w:before="1"/>
        <w:ind w:left="135"/>
        <w:rPr>
          <w:i/>
          <w:sz w:val="14"/>
        </w:rPr>
      </w:pPr>
      <w:r>
        <w:rPr>
          <w:i/>
          <w:sz w:val="14"/>
        </w:rPr>
        <w:t>LATITUDE</w:t>
      </w:r>
    </w:p>
    <w:p w:rsidR="00D81F69" w:rsidRDefault="00330118">
      <w:pPr>
        <w:spacing w:before="49"/>
        <w:ind w:left="135"/>
        <w:rPr>
          <w:i/>
          <w:sz w:val="14"/>
        </w:rPr>
      </w:pPr>
      <w:r>
        <w:rPr>
          <w:i/>
          <w:sz w:val="14"/>
        </w:rPr>
        <w:t>-19,1816</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-43,2344</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90"/>
        <w:jc w:val="left"/>
        <w:rPr>
          <w:sz w:val="2"/>
        </w:rPr>
      </w:pPr>
      <w:r>
        <w:rPr>
          <w:noProof/>
          <w:sz w:val="2"/>
          <w:lang w:val="pt-BR" w:eastAsia="pt-BR"/>
        </w:rPr>
        <w:drawing>
          <wp:inline distT="0" distB="0" distL="0" distR="0">
            <wp:extent cx="1811385" cy="9334"/>
            <wp:effectExtent l="0" t="0" r="0" b="0"/>
            <wp:docPr id="31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61"/>
        <w:rPr>
          <w:i/>
          <w:sz w:val="18"/>
        </w:rPr>
      </w:pPr>
      <w:r>
        <w:rPr>
          <w:i/>
          <w:sz w:val="18"/>
        </w:rPr>
        <w:t>SÍNTESE</w:t>
      </w:r>
    </w:p>
    <w:p w:rsidR="00D81F69" w:rsidRDefault="00330118">
      <w:pPr>
        <w:spacing w:before="52" w:line="312" w:lineRule="auto"/>
        <w:ind w:left="61" w:right="38"/>
        <w:jc w:val="both"/>
        <w:rPr>
          <w:i/>
          <w:sz w:val="16"/>
        </w:rPr>
      </w:pPr>
      <w:r>
        <w:rPr>
          <w:i/>
          <w:sz w:val="16"/>
        </w:rPr>
        <w:t xml:space="preserve">O estado do Espírito Santo produz 47% </w:t>
      </w:r>
      <w:r>
        <w:rPr>
          <w:i/>
          <w:sz w:val="16"/>
        </w:rPr>
        <w:t xml:space="preserve">do total de rochas ornamentais do país. As atividades mineiras e industriais com </w:t>
      </w:r>
      <w:r>
        <w:rPr>
          <w:i/>
          <w:spacing w:val="25"/>
          <w:sz w:val="16"/>
        </w:rPr>
        <w:t>mármores</w:t>
      </w:r>
      <w:r>
        <w:rPr>
          <w:i/>
          <w:spacing w:val="95"/>
          <w:sz w:val="16"/>
        </w:rPr>
        <w:t xml:space="preserve"> </w:t>
      </w:r>
      <w:r>
        <w:rPr>
          <w:i/>
          <w:sz w:val="16"/>
        </w:rPr>
        <w:t xml:space="preserve">e </w:t>
      </w:r>
      <w:r>
        <w:rPr>
          <w:i/>
          <w:spacing w:val="25"/>
          <w:sz w:val="16"/>
        </w:rPr>
        <w:t>granitos</w:t>
      </w:r>
      <w:r>
        <w:rPr>
          <w:i/>
          <w:spacing w:val="95"/>
          <w:sz w:val="16"/>
        </w:rPr>
        <w:t xml:space="preserve"> </w:t>
      </w:r>
      <w:r>
        <w:rPr>
          <w:i/>
          <w:spacing w:val="23"/>
          <w:sz w:val="16"/>
        </w:rPr>
        <w:t xml:space="preserve">foram </w:t>
      </w:r>
      <w:r>
        <w:rPr>
          <w:i/>
          <w:spacing w:val="20"/>
          <w:sz w:val="16"/>
        </w:rPr>
        <w:t xml:space="preserve">pioneiramente conduzidas </w:t>
      </w:r>
      <w:r>
        <w:rPr>
          <w:i/>
          <w:spacing w:val="15"/>
          <w:sz w:val="16"/>
        </w:rPr>
        <w:t xml:space="preserve">por </w:t>
      </w:r>
      <w:r>
        <w:rPr>
          <w:i/>
          <w:spacing w:val="3"/>
          <w:sz w:val="16"/>
        </w:rPr>
        <w:t xml:space="preserve">imigrantes europeus </w:t>
      </w:r>
      <w:r>
        <w:rPr>
          <w:i/>
          <w:spacing w:val="1"/>
          <w:sz w:val="16"/>
        </w:rPr>
        <w:t xml:space="preserve">na </w:t>
      </w:r>
      <w:r>
        <w:rPr>
          <w:i/>
          <w:spacing w:val="3"/>
          <w:sz w:val="16"/>
        </w:rPr>
        <w:t xml:space="preserve">região </w:t>
      </w:r>
      <w:r>
        <w:rPr>
          <w:i/>
          <w:spacing w:val="2"/>
          <w:sz w:val="16"/>
        </w:rPr>
        <w:t xml:space="preserve">sul </w:t>
      </w:r>
      <w:r>
        <w:rPr>
          <w:i/>
          <w:spacing w:val="5"/>
          <w:sz w:val="16"/>
        </w:rPr>
        <w:t xml:space="preserve">do </w:t>
      </w:r>
      <w:r>
        <w:rPr>
          <w:i/>
          <w:spacing w:val="8"/>
          <w:sz w:val="16"/>
        </w:rPr>
        <w:t xml:space="preserve">estado, </w:t>
      </w:r>
      <w:r>
        <w:rPr>
          <w:i/>
          <w:spacing w:val="7"/>
          <w:sz w:val="16"/>
        </w:rPr>
        <w:t xml:space="preserve">onde </w:t>
      </w:r>
      <w:r>
        <w:rPr>
          <w:i/>
          <w:spacing w:val="8"/>
          <w:sz w:val="16"/>
        </w:rPr>
        <w:t xml:space="preserve">ocorrem </w:t>
      </w:r>
      <w:r>
        <w:rPr>
          <w:i/>
          <w:spacing w:val="5"/>
          <w:sz w:val="16"/>
        </w:rPr>
        <w:t xml:space="preserve">as </w:t>
      </w:r>
      <w:r>
        <w:rPr>
          <w:i/>
          <w:spacing w:val="10"/>
          <w:sz w:val="16"/>
        </w:rPr>
        <w:t xml:space="preserve">reservas </w:t>
      </w:r>
      <w:r>
        <w:rPr>
          <w:i/>
          <w:sz w:val="16"/>
        </w:rPr>
        <w:t>naturais de mármore. Já a região norte concentra a</w:t>
      </w:r>
      <w:r>
        <w:rPr>
          <w:i/>
          <w:sz w:val="16"/>
        </w:rPr>
        <w:t xml:space="preserve"> maior parte das jazidas de granito.</w:t>
      </w:r>
    </w:p>
    <w:p w:rsidR="00D81F69" w:rsidRDefault="00330118">
      <w:pPr>
        <w:pStyle w:val="Corpodetexto"/>
        <w:spacing w:line="20" w:lineRule="exact"/>
        <w:ind w:left="90"/>
        <w:jc w:val="left"/>
        <w:rPr>
          <w:sz w:val="2"/>
        </w:rPr>
      </w:pPr>
      <w:r>
        <w:rPr>
          <w:noProof/>
          <w:sz w:val="2"/>
          <w:lang w:val="pt-BR" w:eastAsia="pt-BR"/>
        </w:rPr>
        <w:drawing>
          <wp:inline distT="0" distB="0" distL="0" distR="0">
            <wp:extent cx="1811385" cy="9334"/>
            <wp:effectExtent l="0" t="0" r="0" b="0"/>
            <wp:docPr id="32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82"/>
      </w:pPr>
      <w:r>
        <w:t>de Vitória (MAGACHO et al., 2006). O município acabou se transformando numa fronteira de lavra de granitos, consolidada nos anos 1990 (A FORÇA, 2001 apud SPÍNOLA; GUERREIRO; BAZAN, 2004). Trinta por cento de sua áre</w:t>
      </w:r>
      <w:r>
        <w:t>a geográfica é composta por rochas de granito afloradas, com mais de 30 tonalidades, com destaque para o amarelo veneciano, específico da região. O diferencial de Nova Venécia é que a maioria das empresas de beneficiamento de rochas ornamentais encontra-se</w:t>
      </w:r>
      <w:r>
        <w:t xml:space="preserve"> instalada em um polo industrial, o que facilita seu gerenciamento por parte dos órgãos públicos e também o intercâmbio por parte dos exploradores do produto (MAGACHO et al., 2006).</w:t>
      </w:r>
    </w:p>
    <w:p w:rsidR="00D81F69" w:rsidRDefault="00330118">
      <w:pPr>
        <w:pStyle w:val="Corpodetexto"/>
        <w:spacing w:before="141" w:line="312" w:lineRule="auto"/>
        <w:ind w:left="135" w:right="187"/>
      </w:pPr>
      <w:r>
        <w:rPr>
          <w:spacing w:val="2"/>
        </w:rPr>
        <w:t xml:space="preserve">Nos anos </w:t>
      </w:r>
      <w:r>
        <w:rPr>
          <w:spacing w:val="3"/>
        </w:rPr>
        <w:t xml:space="preserve">1950, </w:t>
      </w:r>
      <w:r>
        <w:rPr>
          <w:spacing w:val="2"/>
        </w:rPr>
        <w:t xml:space="preserve">com </w:t>
      </w:r>
      <w:r>
        <w:t xml:space="preserve">o </w:t>
      </w:r>
      <w:r>
        <w:rPr>
          <w:spacing w:val="3"/>
        </w:rPr>
        <w:t xml:space="preserve">aproveitamento </w:t>
      </w:r>
      <w:r>
        <w:rPr>
          <w:spacing w:val="2"/>
        </w:rPr>
        <w:t xml:space="preserve">dos </w:t>
      </w:r>
      <w:r>
        <w:rPr>
          <w:spacing w:val="3"/>
        </w:rPr>
        <w:t xml:space="preserve">mármores </w:t>
      </w:r>
      <w:r>
        <w:rPr>
          <w:spacing w:val="5"/>
        </w:rPr>
        <w:t xml:space="preserve">da região sul, </w:t>
      </w:r>
      <w:r>
        <w:rPr>
          <w:spacing w:val="6"/>
        </w:rPr>
        <w:t xml:space="preserve">iniciou-se </w:t>
      </w:r>
      <w:r>
        <w:rPr>
          <w:spacing w:val="5"/>
        </w:rPr>
        <w:t xml:space="preserve">uma rede </w:t>
      </w:r>
      <w:r>
        <w:rPr>
          <w:spacing w:val="3"/>
        </w:rPr>
        <w:t xml:space="preserve">de </w:t>
      </w:r>
      <w:r>
        <w:rPr>
          <w:spacing w:val="6"/>
        </w:rPr>
        <w:t xml:space="preserve">atividades </w:t>
      </w:r>
      <w:r>
        <w:rPr>
          <w:spacing w:val="3"/>
        </w:rPr>
        <w:t xml:space="preserve">de </w:t>
      </w:r>
      <w:r>
        <w:rPr>
          <w:spacing w:val="7"/>
        </w:rPr>
        <w:t xml:space="preserve">lavra, </w:t>
      </w:r>
      <w:r>
        <w:t xml:space="preserve">beneficiamento, acabamentos, serviços, etc. Paralelamente, começava-se a explorar o granito e a exportá-lo sob a forma de blocos na região norte do estado (A FORÇA, 2001 apud </w:t>
      </w:r>
      <w:r>
        <w:rPr>
          <w:spacing w:val="7"/>
        </w:rPr>
        <w:t xml:space="preserve">SPÍNOLA; </w:t>
      </w:r>
      <w:r>
        <w:rPr>
          <w:spacing w:val="8"/>
        </w:rPr>
        <w:t xml:space="preserve">GUERREIRO; </w:t>
      </w:r>
      <w:r>
        <w:rPr>
          <w:spacing w:val="7"/>
        </w:rPr>
        <w:t xml:space="preserve">BAZAN, 2004). </w:t>
      </w:r>
      <w:r>
        <w:t xml:space="preserve">A </w:t>
      </w:r>
      <w:r>
        <w:rPr>
          <w:spacing w:val="7"/>
        </w:rPr>
        <w:t>o</w:t>
      </w:r>
      <w:r>
        <w:rPr>
          <w:spacing w:val="7"/>
        </w:rPr>
        <w:t>rigem</w:t>
      </w:r>
      <w:r>
        <w:rPr>
          <w:spacing w:val="36"/>
        </w:rPr>
        <w:t xml:space="preserve"> </w:t>
      </w:r>
      <w:r>
        <w:rPr>
          <w:spacing w:val="10"/>
        </w:rPr>
        <w:t>do</w:t>
      </w:r>
    </w:p>
    <w:p w:rsidR="00D81F69" w:rsidRDefault="00330118">
      <w:pPr>
        <w:pStyle w:val="Corpodetexto"/>
        <w:spacing w:before="5" w:line="312" w:lineRule="auto"/>
        <w:ind w:left="135" w:right="215"/>
      </w:pPr>
      <w:r>
        <w:t>beneficiamento no norte do estado está relacionada à quantidade de jazidas de granito encontradas, bem como ao fornecimento de infraestrutura física (como terrenos) e</w:t>
      </w:r>
    </w:p>
    <w:p w:rsidR="00D81F69" w:rsidRDefault="00D81F69">
      <w:pPr>
        <w:spacing w:line="312" w:lineRule="auto"/>
        <w:sectPr w:rsidR="00D81F69">
          <w:type w:val="continuous"/>
          <w:pgSz w:w="11900" w:h="16840"/>
          <w:pgMar w:top="720" w:right="500" w:bottom="280" w:left="620" w:header="720" w:footer="720" w:gutter="0"/>
          <w:cols w:num="3" w:space="720" w:equalWidth="0">
            <w:col w:w="2034" w:space="40"/>
            <w:col w:w="3056" w:space="305"/>
            <w:col w:w="5345"/>
          </w:cols>
        </w:sectPr>
      </w:pPr>
    </w:p>
    <w:p w:rsidR="00D81F69" w:rsidRDefault="00330118">
      <w:pPr>
        <w:spacing w:line="263" w:lineRule="exact"/>
        <w:ind w:left="100"/>
        <w:rPr>
          <w:sz w:val="24"/>
        </w:rPr>
      </w:pPr>
      <w:r>
        <w:rPr>
          <w:sz w:val="24"/>
        </w:rPr>
        <w:lastRenderedPageBreak/>
        <w:t>APRESENTAÇÃO DE CASO</w:t>
      </w:r>
    </w:p>
    <w:p w:rsidR="00D81F69" w:rsidRDefault="00330118">
      <w:pPr>
        <w:pStyle w:val="Corpodetexto"/>
        <w:spacing w:before="170" w:line="312" w:lineRule="auto"/>
        <w:ind w:right="101"/>
      </w:pPr>
      <w:r>
        <w:t xml:space="preserve">O estado do Espírito Santo </w:t>
      </w:r>
      <w:r>
        <w:t>responde por 47% da produção brasileira de rochas ornamentais (CHIODI FILHO, 2003). O segmento é destaque na economia capixaba, respondendo por aproximadamente 7% do PIB estadual e pela geração de cerca de 130 mil empregos, 20 mil diretos e 110 mil indiret</w:t>
      </w:r>
      <w:r>
        <w:t>os (BANDES,</w:t>
      </w:r>
      <w:r>
        <w:rPr>
          <w:spacing w:val="6"/>
        </w:rPr>
        <w:t xml:space="preserve"> </w:t>
      </w:r>
      <w:r>
        <w:t>2011).</w:t>
      </w:r>
    </w:p>
    <w:p w:rsidR="00D81F69" w:rsidRDefault="00330118">
      <w:pPr>
        <w:pStyle w:val="Corpodetexto"/>
        <w:spacing w:before="136" w:line="312" w:lineRule="auto"/>
        <w:ind w:right="74"/>
      </w:pPr>
      <w:r>
        <w:t xml:space="preserve">As atividades mineiras e industriais com mármores e granitos foram pioneiramente conduzidas por imigrantes europeus na </w:t>
      </w:r>
      <w:r>
        <w:rPr>
          <w:spacing w:val="5"/>
        </w:rPr>
        <w:t xml:space="preserve">região sul </w:t>
      </w:r>
      <w:r>
        <w:rPr>
          <w:spacing w:val="3"/>
        </w:rPr>
        <w:t xml:space="preserve">do </w:t>
      </w:r>
      <w:r>
        <w:rPr>
          <w:spacing w:val="5"/>
        </w:rPr>
        <w:t xml:space="preserve">estado, local </w:t>
      </w:r>
      <w:r>
        <w:rPr>
          <w:spacing w:val="3"/>
        </w:rPr>
        <w:t xml:space="preserve">de </w:t>
      </w:r>
      <w:r>
        <w:rPr>
          <w:spacing w:val="6"/>
        </w:rPr>
        <w:t xml:space="preserve">ocorrência </w:t>
      </w:r>
      <w:r>
        <w:rPr>
          <w:spacing w:val="5"/>
        </w:rPr>
        <w:t xml:space="preserve">das </w:t>
      </w:r>
      <w:r>
        <w:rPr>
          <w:spacing w:val="7"/>
        </w:rPr>
        <w:t xml:space="preserve">reservas </w:t>
      </w:r>
      <w:r>
        <w:t xml:space="preserve">naturais de mármore, onde hoje está localizado o município  </w:t>
      </w:r>
      <w:r>
        <w:rPr>
          <w:spacing w:val="5"/>
        </w:rPr>
        <w:t xml:space="preserve">de </w:t>
      </w:r>
      <w:r>
        <w:rPr>
          <w:spacing w:val="7"/>
        </w:rPr>
        <w:t xml:space="preserve">Cachoeiro </w:t>
      </w:r>
      <w:r>
        <w:rPr>
          <w:spacing w:val="5"/>
        </w:rPr>
        <w:t xml:space="preserve">do </w:t>
      </w:r>
      <w:r>
        <w:rPr>
          <w:spacing w:val="8"/>
        </w:rPr>
        <w:t xml:space="preserve">Itapemirim </w:t>
      </w:r>
      <w:r>
        <w:rPr>
          <w:spacing w:val="7"/>
        </w:rPr>
        <w:t xml:space="preserve">(SPÍNOLA; </w:t>
      </w:r>
      <w:r>
        <w:rPr>
          <w:spacing w:val="10"/>
        </w:rPr>
        <w:t xml:space="preserve">GUERREIRO; </w:t>
      </w:r>
      <w:r>
        <w:t xml:space="preserve">BAZAN, 2004). Já a região norte concentra a maior parte das jazidas de granito, com destaque para os municípios de Nova </w:t>
      </w:r>
      <w:r>
        <w:rPr>
          <w:spacing w:val="5"/>
        </w:rPr>
        <w:t xml:space="preserve">Venécia, </w:t>
      </w:r>
      <w:r>
        <w:rPr>
          <w:spacing w:val="3"/>
        </w:rPr>
        <w:t xml:space="preserve">Barra </w:t>
      </w:r>
      <w:r>
        <w:rPr>
          <w:spacing w:val="2"/>
        </w:rPr>
        <w:t xml:space="preserve">de </w:t>
      </w:r>
      <w:r>
        <w:rPr>
          <w:spacing w:val="3"/>
        </w:rPr>
        <w:t xml:space="preserve">São </w:t>
      </w:r>
      <w:r>
        <w:rPr>
          <w:spacing w:val="5"/>
        </w:rPr>
        <w:t xml:space="preserve">Francisco </w:t>
      </w:r>
      <w:r>
        <w:t xml:space="preserve">e </w:t>
      </w:r>
      <w:r>
        <w:rPr>
          <w:spacing w:val="3"/>
        </w:rPr>
        <w:t xml:space="preserve">São </w:t>
      </w:r>
      <w:r>
        <w:rPr>
          <w:spacing w:val="5"/>
        </w:rPr>
        <w:t xml:space="preserve">Gabriel (NERY; </w:t>
      </w:r>
      <w:r>
        <w:t>SILVA,</w:t>
      </w:r>
      <w:r>
        <w:rPr>
          <w:spacing w:val="30"/>
        </w:rPr>
        <w:t xml:space="preserve"> </w:t>
      </w:r>
      <w:r>
        <w:t>2001</w:t>
      </w:r>
      <w:r>
        <w:rPr>
          <w:spacing w:val="30"/>
        </w:rPr>
        <w:t xml:space="preserve"> </w:t>
      </w:r>
      <w:r>
        <w:t>apud</w:t>
      </w:r>
      <w:r>
        <w:rPr>
          <w:spacing w:val="30"/>
        </w:rPr>
        <w:t xml:space="preserve"> </w:t>
      </w:r>
      <w:r>
        <w:t>SPÍNOLA;</w:t>
      </w:r>
      <w:r>
        <w:rPr>
          <w:spacing w:val="30"/>
        </w:rPr>
        <w:t xml:space="preserve"> </w:t>
      </w:r>
      <w:r>
        <w:t>GUERREIRO;</w:t>
      </w:r>
      <w:r>
        <w:rPr>
          <w:spacing w:val="30"/>
        </w:rPr>
        <w:t xml:space="preserve"> </w:t>
      </w:r>
      <w:r>
        <w:t>B</w:t>
      </w:r>
      <w:r>
        <w:t>AZAN,</w:t>
      </w:r>
      <w:r>
        <w:rPr>
          <w:spacing w:val="30"/>
        </w:rPr>
        <w:t xml:space="preserve"> </w:t>
      </w:r>
      <w:r>
        <w:rPr>
          <w:spacing w:val="1"/>
        </w:rPr>
        <w:t>2004).</w:t>
      </w:r>
    </w:p>
    <w:p w:rsidR="00D81F69" w:rsidRDefault="00330118">
      <w:pPr>
        <w:pStyle w:val="Corpodetexto"/>
        <w:spacing w:before="138" w:line="312" w:lineRule="auto"/>
        <w:ind w:right="122"/>
        <w:jc w:val="left"/>
      </w:pPr>
      <w:r>
        <w:t xml:space="preserve">O município de Cachoeiro de Itapemirim possui as maiores reservas nacionais de mármore (GIACONI, 1998), e o setor   </w:t>
      </w:r>
      <w:r>
        <w:rPr>
          <w:spacing w:val="1"/>
        </w:rPr>
        <w:t xml:space="preserve">de </w:t>
      </w:r>
      <w:r>
        <w:rPr>
          <w:spacing w:val="3"/>
        </w:rPr>
        <w:t xml:space="preserve">rochas </w:t>
      </w:r>
      <w:r>
        <w:t xml:space="preserve">é </w:t>
      </w:r>
      <w:r>
        <w:rPr>
          <w:spacing w:val="3"/>
        </w:rPr>
        <w:t xml:space="preserve">responsável </w:t>
      </w:r>
      <w:r>
        <w:rPr>
          <w:spacing w:val="2"/>
        </w:rPr>
        <w:t xml:space="preserve">por 70% </w:t>
      </w:r>
      <w:r>
        <w:rPr>
          <w:spacing w:val="1"/>
        </w:rPr>
        <w:t xml:space="preserve">do </w:t>
      </w:r>
      <w:r>
        <w:rPr>
          <w:spacing w:val="2"/>
        </w:rPr>
        <w:t xml:space="preserve">seu </w:t>
      </w:r>
      <w:r>
        <w:rPr>
          <w:spacing w:val="3"/>
        </w:rPr>
        <w:t xml:space="preserve">Produto </w:t>
      </w:r>
      <w:r>
        <w:rPr>
          <w:spacing w:val="5"/>
        </w:rPr>
        <w:t xml:space="preserve">Interno </w:t>
      </w:r>
      <w:r>
        <w:rPr>
          <w:spacing w:val="8"/>
        </w:rPr>
        <w:t xml:space="preserve">Bruto </w:t>
      </w:r>
      <w:r>
        <w:rPr>
          <w:spacing w:val="10"/>
        </w:rPr>
        <w:t xml:space="preserve">(PIB), </w:t>
      </w:r>
      <w:r>
        <w:t xml:space="preserve">o </w:t>
      </w:r>
      <w:r>
        <w:rPr>
          <w:spacing w:val="7"/>
        </w:rPr>
        <w:t xml:space="preserve">que faz com que </w:t>
      </w:r>
      <w:r>
        <w:rPr>
          <w:spacing w:val="8"/>
        </w:rPr>
        <w:t xml:space="preserve">seja </w:t>
      </w:r>
      <w:r>
        <w:rPr>
          <w:spacing w:val="10"/>
        </w:rPr>
        <w:t xml:space="preserve">polarizador </w:t>
      </w:r>
      <w:r>
        <w:rPr>
          <w:spacing w:val="11"/>
        </w:rPr>
        <w:t xml:space="preserve">do </w:t>
      </w:r>
      <w:r>
        <w:t xml:space="preserve">desenvolvimento de toda a região sul do estado (SEDES-ES, </w:t>
      </w:r>
      <w:r>
        <w:rPr>
          <w:spacing w:val="5"/>
        </w:rPr>
        <w:t xml:space="preserve">2010.). </w:t>
      </w:r>
      <w:r>
        <w:rPr>
          <w:spacing w:val="3"/>
        </w:rPr>
        <w:t xml:space="preserve">Com 877 km² </w:t>
      </w:r>
      <w:r>
        <w:t xml:space="preserve">e </w:t>
      </w:r>
      <w:r>
        <w:rPr>
          <w:spacing w:val="5"/>
        </w:rPr>
        <w:t xml:space="preserve">população estimada </w:t>
      </w:r>
      <w:r>
        <w:rPr>
          <w:spacing w:val="2"/>
        </w:rPr>
        <w:t xml:space="preserve">em </w:t>
      </w:r>
      <w:r>
        <w:rPr>
          <w:spacing w:val="5"/>
        </w:rPr>
        <w:t xml:space="preserve">189.878 </w:t>
      </w:r>
      <w:r>
        <w:t xml:space="preserve">habitantes (IBGE, 2010a), o município fica a 136 km ao sul de </w:t>
      </w:r>
      <w:r>
        <w:rPr>
          <w:spacing w:val="1"/>
        </w:rPr>
        <w:t xml:space="preserve">Vitória </w:t>
      </w:r>
      <w:r>
        <w:t xml:space="preserve">e </w:t>
      </w:r>
      <w:r>
        <w:rPr>
          <w:spacing w:val="1"/>
        </w:rPr>
        <w:t xml:space="preserve">responde </w:t>
      </w:r>
      <w:r>
        <w:t xml:space="preserve">por </w:t>
      </w:r>
      <w:r>
        <w:rPr>
          <w:spacing w:val="1"/>
        </w:rPr>
        <w:t xml:space="preserve">cerca </w:t>
      </w:r>
      <w:r>
        <w:t xml:space="preserve">de 90% da </w:t>
      </w:r>
      <w:r>
        <w:rPr>
          <w:spacing w:val="1"/>
        </w:rPr>
        <w:t xml:space="preserve">produção </w:t>
      </w:r>
      <w:r>
        <w:rPr>
          <w:spacing w:val="2"/>
        </w:rPr>
        <w:t xml:space="preserve">mineral </w:t>
      </w:r>
      <w:r>
        <w:rPr>
          <w:spacing w:val="1"/>
        </w:rPr>
        <w:t>capixaba (MOREIRA; FREIRE; H</w:t>
      </w:r>
      <w:r>
        <w:rPr>
          <w:spacing w:val="1"/>
        </w:rPr>
        <w:t>OLANDA,</w:t>
      </w:r>
      <w:r>
        <w:rPr>
          <w:spacing w:val="42"/>
        </w:rPr>
        <w:t xml:space="preserve"> </w:t>
      </w:r>
      <w:r>
        <w:rPr>
          <w:spacing w:val="2"/>
        </w:rPr>
        <w:t>2003).</w:t>
      </w:r>
    </w:p>
    <w:p w:rsidR="00D81F69" w:rsidRDefault="00330118">
      <w:pPr>
        <w:pStyle w:val="Corpodetexto"/>
        <w:spacing w:before="75" w:line="270" w:lineRule="atLeast"/>
        <w:ind w:right="43"/>
      </w:pPr>
      <w:r>
        <w:t>Já Nova Venécia, com 1.448 km² e uma população estimada em 46.020 habitantes (IBGE, 2010b), fica a cerca de 250 km</w:t>
      </w:r>
    </w:p>
    <w:p w:rsidR="00D81F69" w:rsidRDefault="00330118">
      <w:pPr>
        <w:pStyle w:val="Corpodetexto"/>
        <w:spacing w:before="3" w:line="312" w:lineRule="auto"/>
        <w:ind w:right="188"/>
      </w:pPr>
      <w:r>
        <w:br w:type="column"/>
      </w:r>
      <w:r>
        <w:rPr>
          <w:spacing w:val="17"/>
        </w:rPr>
        <w:lastRenderedPageBreak/>
        <w:t xml:space="preserve">incentivos fiscais </w:t>
      </w:r>
      <w:r>
        <w:rPr>
          <w:spacing w:val="15"/>
        </w:rPr>
        <w:t>dados</w:t>
      </w:r>
      <w:r>
        <w:rPr>
          <w:spacing w:val="81"/>
        </w:rPr>
        <w:t xml:space="preserve"> </w:t>
      </w:r>
      <w:r>
        <w:rPr>
          <w:spacing w:val="15"/>
        </w:rPr>
        <w:t xml:space="preserve">pelo </w:t>
      </w:r>
      <w:r>
        <w:rPr>
          <w:spacing w:val="17"/>
        </w:rPr>
        <w:t xml:space="preserve">governo </w:t>
      </w:r>
      <w:r>
        <w:rPr>
          <w:spacing w:val="16"/>
        </w:rPr>
        <w:t xml:space="preserve">local. </w:t>
      </w:r>
      <w:r>
        <w:t xml:space="preserve">O </w:t>
      </w:r>
      <w:r>
        <w:rPr>
          <w:spacing w:val="1"/>
        </w:rPr>
        <w:t xml:space="preserve">desenvolvimento </w:t>
      </w:r>
      <w:r>
        <w:t xml:space="preserve">das </w:t>
      </w:r>
      <w:r>
        <w:rPr>
          <w:spacing w:val="1"/>
        </w:rPr>
        <w:t xml:space="preserve">atividades </w:t>
      </w:r>
      <w:r>
        <w:t xml:space="preserve">de </w:t>
      </w:r>
      <w:r>
        <w:rPr>
          <w:spacing w:val="1"/>
        </w:rPr>
        <w:t xml:space="preserve">beneficiamento foi, </w:t>
      </w:r>
      <w:r>
        <w:rPr>
          <w:spacing w:val="2"/>
        </w:rPr>
        <w:t xml:space="preserve">em </w:t>
      </w:r>
      <w:r>
        <w:t>parte, induzido. Em 1</w:t>
      </w:r>
      <w:r>
        <w:t xml:space="preserve">995, a prefeitura de Nova Venécia criou </w:t>
      </w:r>
      <w:r>
        <w:rPr>
          <w:spacing w:val="6"/>
        </w:rPr>
        <w:t xml:space="preserve">uma </w:t>
      </w:r>
      <w:r>
        <w:rPr>
          <w:spacing w:val="7"/>
        </w:rPr>
        <w:t xml:space="preserve">área onde estão </w:t>
      </w:r>
      <w:r>
        <w:rPr>
          <w:spacing w:val="10"/>
        </w:rPr>
        <w:t xml:space="preserve">estabelecidas </w:t>
      </w:r>
      <w:r>
        <w:rPr>
          <w:spacing w:val="5"/>
        </w:rPr>
        <w:t xml:space="preserve">as </w:t>
      </w:r>
      <w:r>
        <w:rPr>
          <w:spacing w:val="8"/>
        </w:rPr>
        <w:t xml:space="preserve">empresas </w:t>
      </w:r>
      <w:r>
        <w:rPr>
          <w:spacing w:val="10"/>
        </w:rPr>
        <w:t xml:space="preserve">de </w:t>
      </w:r>
      <w:r>
        <w:t xml:space="preserve">beneficiamento (90% de mármores e granitos) (VILLASCHI </w:t>
      </w:r>
      <w:r>
        <w:rPr>
          <w:spacing w:val="5"/>
        </w:rPr>
        <w:t xml:space="preserve">FILHO;  </w:t>
      </w:r>
      <w:r>
        <w:rPr>
          <w:spacing w:val="6"/>
        </w:rPr>
        <w:t xml:space="preserve">SABADINI,  </w:t>
      </w:r>
      <w:r>
        <w:rPr>
          <w:spacing w:val="5"/>
        </w:rPr>
        <w:t xml:space="preserve">2000  apud  </w:t>
      </w:r>
      <w:r>
        <w:rPr>
          <w:spacing w:val="6"/>
        </w:rPr>
        <w:t>SPÍNOLA;</w:t>
      </w:r>
      <w:r>
        <w:rPr>
          <w:spacing w:val="-10"/>
        </w:rPr>
        <w:t xml:space="preserve"> </w:t>
      </w:r>
      <w:r>
        <w:rPr>
          <w:spacing w:val="7"/>
        </w:rPr>
        <w:t>GUERREIRO;</w:t>
      </w:r>
    </w:p>
    <w:p w:rsidR="00D81F69" w:rsidRDefault="00330118">
      <w:pPr>
        <w:pStyle w:val="Corpodetexto"/>
        <w:spacing w:before="5" w:line="312" w:lineRule="auto"/>
        <w:ind w:right="157"/>
      </w:pPr>
      <w:r>
        <w:t xml:space="preserve">BAZAN, 2004). O local abriga 27 empresas do setor de granito </w:t>
      </w:r>
      <w:r>
        <w:t>que possuem juntas 51 teares em funcionamento e produzem mensalmente 165.000 m² de chapas brutas e</w:t>
      </w:r>
    </w:p>
    <w:p w:rsidR="00D81F69" w:rsidRDefault="00330118">
      <w:pPr>
        <w:pStyle w:val="Corpodetexto"/>
        <w:spacing w:before="3" w:line="312" w:lineRule="auto"/>
        <w:ind w:right="156"/>
      </w:pPr>
      <w:r>
        <w:t>149.000 m² de chapas polidas, gerando 530 empregos diretos (A GAZETA, 2010).</w:t>
      </w:r>
    </w:p>
    <w:p w:rsidR="00D81F69" w:rsidRDefault="00330118">
      <w:pPr>
        <w:pStyle w:val="Corpodetexto"/>
        <w:spacing w:before="132" w:line="312" w:lineRule="auto"/>
        <w:ind w:right="191"/>
      </w:pPr>
      <w:r>
        <w:t>Os granitos serrados em Cachoeiro de Itapemirim provêm de Nova Venécia, Ecoporan</w:t>
      </w:r>
      <w:r>
        <w:t>ga, Barra de São Francisco e Baixo Guandu (norte capixaba), do sul da Bahia, do oeste de Minas Gerais, e até de Goiás. Apesar da distância, torna-se vantajoso levar a pedra para o corte na cidade capixaba devido à concentração de teares, à abundância de mã</w:t>
      </w:r>
      <w:r>
        <w:t>o de obra especializada, a maior facilidade na manutenção dos equipamentos e às condições favoráveis para venda, com afluência de compradores de todo mundo (COMÉRCIO EXTERIOR, 2000 apud SPÍNOLA; GUERREIRO; BAZAN, 2004).</w:t>
      </w:r>
    </w:p>
    <w:p w:rsidR="00D81F69" w:rsidRDefault="00330118">
      <w:pPr>
        <w:pStyle w:val="Corpodetexto"/>
        <w:spacing w:before="77" w:line="270" w:lineRule="atLeast"/>
        <w:ind w:right="200"/>
      </w:pPr>
      <w:r>
        <w:t xml:space="preserve">Já os mármores estão localizados no </w:t>
      </w:r>
      <w:r>
        <w:t>sul, exclusivamente, nos municípios de Castelo e Cachoeiro de Itapemirim (CARANASSIOS, 2001). Em torno do município, há pedreiras de vários tipos de mármore: Chocolate Brasil, Mármore Rosa Itaoca, Mármore Rosa Champagne, Mármore Rosa Cachoeira, Mármore Bra</w:t>
      </w:r>
      <w:r>
        <w:t>nco Espírito Santo, Mármore Branco</w:t>
      </w:r>
    </w:p>
    <w:p w:rsidR="00D81F69" w:rsidRDefault="00D81F69">
      <w:pPr>
        <w:spacing w:line="270" w:lineRule="atLeast"/>
        <w:sectPr w:rsidR="00D81F69">
          <w:type w:val="continuous"/>
          <w:pgSz w:w="11900" w:h="16840"/>
          <w:pgMar w:top="720" w:right="500" w:bottom="280" w:left="620" w:header="720" w:footer="720" w:gutter="0"/>
          <w:cols w:num="2" w:space="720" w:equalWidth="0">
            <w:col w:w="5199" w:space="271"/>
            <w:col w:w="5310"/>
          </w:cols>
        </w:sectPr>
      </w:pPr>
    </w:p>
    <w:p w:rsidR="00D81F69" w:rsidRDefault="00330118">
      <w:pPr>
        <w:pStyle w:val="Corpodetexto"/>
        <w:spacing w:before="81" w:line="312" w:lineRule="auto"/>
        <w:ind w:right="38"/>
      </w:pPr>
      <w:r>
        <w:lastRenderedPageBreak/>
        <w:t>Santo Antônio (cor branca), dentre outros (VARGAS; MOTOKI; NEVES, 2001).</w:t>
      </w:r>
    </w:p>
    <w:p w:rsidR="00D81F69" w:rsidRDefault="00330118">
      <w:pPr>
        <w:pStyle w:val="Corpodetexto"/>
        <w:spacing w:before="132" w:line="312" w:lineRule="auto"/>
        <w:ind w:right="47"/>
      </w:pPr>
      <w:r>
        <w:t>As pedras ornamentais de Cachoeiro não somente suprem o mercado nacional, como são exportadas principalmente para os Esta</w:t>
      </w:r>
      <w:r>
        <w:t>dos Unidos e países europeus (MOREIRA; FREIRE; HOLANDA, 2003). A relevância portuária no estado favoreceu a atividade exportadora, transformando o Complexo Portuário de Vitória no maior polo brasileiro de exportação de rochas brutas e processadas. Além dis</w:t>
      </w:r>
      <w:r>
        <w:t>so, a malha de ligação rodo- ferroviária, centralizada pela Estrada de Ferro Vitória/Minas (EFVM), contribui para o escoamento e distribuição da produção de rochas oriundas do estado de Minas Gerais (SPÍNOLA; GUERREIRO; BAZAN, 2004).</w:t>
      </w:r>
    </w:p>
    <w:p w:rsidR="00D81F69" w:rsidRDefault="00330118">
      <w:pPr>
        <w:pStyle w:val="Corpodetexto"/>
        <w:spacing w:before="140" w:line="312" w:lineRule="auto"/>
        <w:ind w:right="44"/>
      </w:pPr>
      <w:r>
        <w:t>O contexto existente e</w:t>
      </w:r>
      <w:r>
        <w:t>m Cachoeiro o tornou polo de referência do Arranjo Produtivo Local (APL) de Mármore e Granito, integrado também por outros 14 municípios (Vargem Alta, Rio Novo do Sul, Castelo, Atílio Vivácqua, Presidente Kennedy, Mimoso do Sul, Venda Nova do Imigrante, Mu</w:t>
      </w:r>
      <w:r>
        <w:t>qui, Itapemirim, Muniz Freire, Iconha e Guaçuí, Iúna, Alegre). Atualmente, estão instaladas no APL cerca de 800 empresas integrantes da cadeia produtiva do segmento, sendo mais de 80% delas dedicadas ao beneficiamento de mármore e granito (SEDES-ES, 2010).</w:t>
      </w:r>
    </w:p>
    <w:p w:rsidR="00D81F69" w:rsidRDefault="00330118">
      <w:pPr>
        <w:pStyle w:val="Corpodetexto"/>
        <w:spacing w:before="139" w:line="312" w:lineRule="auto"/>
        <w:ind w:right="52"/>
      </w:pPr>
      <w:r>
        <w:t xml:space="preserve">Com o objetivo de fortalecer o APL, em 2001, foi criado um </w:t>
      </w:r>
      <w:r>
        <w:rPr>
          <w:spacing w:val="3"/>
        </w:rPr>
        <w:t xml:space="preserve">grupo </w:t>
      </w:r>
      <w:r>
        <w:rPr>
          <w:spacing w:val="1"/>
        </w:rPr>
        <w:t xml:space="preserve">de </w:t>
      </w:r>
      <w:r>
        <w:rPr>
          <w:spacing w:val="3"/>
        </w:rPr>
        <w:t xml:space="preserve">trabalho </w:t>
      </w:r>
      <w:r>
        <w:rPr>
          <w:spacing w:val="2"/>
        </w:rPr>
        <w:t xml:space="preserve">para </w:t>
      </w:r>
      <w:r>
        <w:rPr>
          <w:spacing w:val="3"/>
        </w:rPr>
        <w:t xml:space="preserve">tratar </w:t>
      </w:r>
      <w:r>
        <w:rPr>
          <w:spacing w:val="1"/>
        </w:rPr>
        <w:t xml:space="preserve">de </w:t>
      </w:r>
      <w:r>
        <w:rPr>
          <w:spacing w:val="3"/>
        </w:rPr>
        <w:t xml:space="preserve">questões específicas </w:t>
      </w:r>
      <w:r>
        <w:rPr>
          <w:spacing w:val="5"/>
        </w:rPr>
        <w:t xml:space="preserve">do </w:t>
      </w:r>
      <w:r>
        <w:rPr>
          <w:spacing w:val="13"/>
        </w:rPr>
        <w:t xml:space="preserve">mármore, </w:t>
      </w:r>
      <w:r>
        <w:t xml:space="preserve">e </w:t>
      </w:r>
      <w:r>
        <w:rPr>
          <w:spacing w:val="13"/>
        </w:rPr>
        <w:t xml:space="preserve">também </w:t>
      </w:r>
      <w:r>
        <w:rPr>
          <w:spacing w:val="15"/>
        </w:rPr>
        <w:t xml:space="preserve">implantado </w:t>
      </w:r>
      <w:r>
        <w:t xml:space="preserve">o </w:t>
      </w:r>
      <w:r>
        <w:rPr>
          <w:spacing w:val="13"/>
        </w:rPr>
        <w:t xml:space="preserve">programa </w:t>
      </w:r>
      <w:r>
        <w:rPr>
          <w:spacing w:val="11"/>
        </w:rPr>
        <w:t xml:space="preserve">para </w:t>
      </w:r>
      <w:r>
        <w:t xml:space="preserve">desenvolvimento em Rede do Setor de Rochas Ornamentais </w:t>
      </w:r>
      <w:r>
        <w:rPr>
          <w:spacing w:val="7"/>
        </w:rPr>
        <w:t xml:space="preserve">(Rede Rochas), apoiado </w:t>
      </w:r>
      <w:r>
        <w:rPr>
          <w:spacing w:val="6"/>
        </w:rPr>
        <w:t xml:space="preserve">pelo </w:t>
      </w:r>
      <w:r>
        <w:rPr>
          <w:spacing w:val="8"/>
        </w:rPr>
        <w:t xml:space="preserve">Ministério </w:t>
      </w:r>
      <w:r>
        <w:rPr>
          <w:spacing w:val="5"/>
        </w:rPr>
        <w:t xml:space="preserve">da </w:t>
      </w:r>
      <w:r>
        <w:rPr>
          <w:spacing w:val="7"/>
        </w:rPr>
        <w:t xml:space="preserve">Ciência </w:t>
      </w:r>
      <w:r>
        <w:t xml:space="preserve">e </w:t>
      </w:r>
      <w:r>
        <w:rPr>
          <w:spacing w:val="5"/>
        </w:rPr>
        <w:t xml:space="preserve">Tecnologia, </w:t>
      </w:r>
      <w:r>
        <w:rPr>
          <w:spacing w:val="3"/>
        </w:rPr>
        <w:t xml:space="preserve">com </w:t>
      </w:r>
      <w:r>
        <w:rPr>
          <w:spacing w:val="5"/>
        </w:rPr>
        <w:t xml:space="preserve">recursos financeiros </w:t>
      </w:r>
      <w:r>
        <w:rPr>
          <w:spacing w:val="2"/>
        </w:rPr>
        <w:t xml:space="preserve">do </w:t>
      </w:r>
      <w:r>
        <w:rPr>
          <w:spacing w:val="3"/>
        </w:rPr>
        <w:t xml:space="preserve">Fundo </w:t>
      </w:r>
      <w:r>
        <w:rPr>
          <w:spacing w:val="5"/>
        </w:rPr>
        <w:t xml:space="preserve">Setorial Mineral </w:t>
      </w:r>
      <w:r>
        <w:rPr>
          <w:spacing w:val="6"/>
        </w:rPr>
        <w:t xml:space="preserve">(CT-Mineral). </w:t>
      </w:r>
      <w:r>
        <w:t xml:space="preserve">A </w:t>
      </w:r>
      <w:r>
        <w:rPr>
          <w:spacing w:val="5"/>
        </w:rPr>
        <w:t xml:space="preserve">Rede Rochas visa </w:t>
      </w:r>
      <w:r>
        <w:rPr>
          <w:spacing w:val="6"/>
        </w:rPr>
        <w:t xml:space="preserve">promover </w:t>
      </w:r>
      <w:r>
        <w:t>o aumento da competitividade das empresas com a melhoria das condições de trabalho e a preservação do meio ambiente (REDE ROCHAS,</w:t>
      </w:r>
      <w:r>
        <w:rPr>
          <w:spacing w:val="5"/>
        </w:rPr>
        <w:t xml:space="preserve"> </w:t>
      </w:r>
      <w:r>
        <w:t>2004).</w:t>
      </w:r>
    </w:p>
    <w:p w:rsidR="00D81F69" w:rsidRDefault="00330118">
      <w:pPr>
        <w:pStyle w:val="Corpodetexto"/>
        <w:spacing w:before="139" w:line="312" w:lineRule="auto"/>
        <w:ind w:right="53"/>
      </w:pPr>
      <w:r>
        <w:t>É inegável que o segmento de rochas ornamentais gera emprego e renda para a população do estado (PREZOTTI et al., 2004 apud MAGACHO et al., 2006). O fator econômico é tão importante para as comunidades que estas praticamente não percebem os impactos negati</w:t>
      </w:r>
      <w:r>
        <w:t>vos causados pela produção de rochas ornamentais (CASTRO et al., 2011). No entanto, são vários os problemas socioambientais decorrentes da atividade, como contaminação dos corpos hídricos e do solo, poluição atmosférica, desfiguração da paisagem, e danos à</w:t>
      </w:r>
      <w:r>
        <w:t xml:space="preserve"> saúde (PREZOTTI et al., 2004 apud MAGACHO et al., 2006).</w:t>
      </w:r>
    </w:p>
    <w:p w:rsidR="00D81F69" w:rsidRDefault="00330118">
      <w:pPr>
        <w:pStyle w:val="Corpodetexto"/>
        <w:spacing w:before="140" w:line="312" w:lineRule="auto"/>
        <w:ind w:right="45"/>
      </w:pPr>
      <w:r>
        <w:t>Os resíduos industriais gerados nas serrarias da região são, geralmente, depositados em barragens de rejeito improvisadas ou vão sendo acumulados ao redor das serrarias ao longo do tempo. Em seguida</w:t>
      </w:r>
      <w:r>
        <w:t>, são lançados ao meio ambiente. Em alguns casos, tais resíduos são jogados diretamente no rio Itapemirim, o que causa assoreamento, polui águas e gera conflitos com órgãos ambientais e com as populações vizinhas, prejudicadas pela poluição dos cursos d´ág</w:t>
      </w:r>
      <w:r>
        <w:t>ua. Os órgãos de fiscalização agem aplicando multas e restringindo ou paralisando as atividades das serrarias</w:t>
      </w:r>
    </w:p>
    <w:p w:rsidR="00D81F69" w:rsidRDefault="00330118">
      <w:pPr>
        <w:pStyle w:val="Corpodetexto"/>
        <w:spacing w:before="81"/>
      </w:pPr>
      <w:r>
        <w:br w:type="column"/>
      </w:r>
      <w:r>
        <w:lastRenderedPageBreak/>
        <w:t>(PONTES; STELLIN JUNIOR, 2005).</w:t>
      </w:r>
    </w:p>
    <w:p w:rsidR="00D81F69" w:rsidRDefault="00D81F69">
      <w:pPr>
        <w:pStyle w:val="Corpodetexto"/>
        <w:spacing w:before="9"/>
        <w:ind w:left="0"/>
        <w:jc w:val="left"/>
        <w:rPr>
          <w:sz w:val="16"/>
        </w:rPr>
      </w:pPr>
    </w:p>
    <w:p w:rsidR="00D81F69" w:rsidRDefault="00330118">
      <w:pPr>
        <w:pStyle w:val="Corpodetexto"/>
        <w:spacing w:line="312" w:lineRule="auto"/>
        <w:ind w:right="207"/>
      </w:pPr>
      <w:r>
        <w:t>Somente em Cachoeiro do Itapemirim, estima-se que o processo produtivo gere 400 toneladas por mês de resíduos (M</w:t>
      </w:r>
      <w:r>
        <w:t>OREIRA; FREIRE; HOLANDA, 2003). Na lavra e no</w:t>
      </w:r>
    </w:p>
    <w:p w:rsidR="00D81F69" w:rsidRDefault="00330118">
      <w:pPr>
        <w:pStyle w:val="Corpodetexto"/>
        <w:spacing w:before="3" w:line="312" w:lineRule="auto"/>
        <w:ind w:right="192"/>
      </w:pPr>
      <w:r>
        <w:t xml:space="preserve">processamento das rochas ornamentais, o material extraído e não </w:t>
      </w:r>
      <w:r>
        <w:rPr>
          <w:spacing w:val="1"/>
        </w:rPr>
        <w:t xml:space="preserve">aproveitado pode chegar </w:t>
      </w:r>
      <w:r>
        <w:t xml:space="preserve">a </w:t>
      </w:r>
      <w:r>
        <w:rPr>
          <w:spacing w:val="1"/>
        </w:rPr>
        <w:t xml:space="preserve">70%, sendo constituído </w:t>
      </w:r>
      <w:r>
        <w:rPr>
          <w:spacing w:val="2"/>
        </w:rPr>
        <w:t xml:space="preserve">de </w:t>
      </w:r>
      <w:r>
        <w:rPr>
          <w:spacing w:val="5"/>
        </w:rPr>
        <w:t xml:space="preserve">resíduos grossos, </w:t>
      </w:r>
      <w:r>
        <w:rPr>
          <w:spacing w:val="3"/>
        </w:rPr>
        <w:t xml:space="preserve">finos </w:t>
      </w:r>
      <w:r>
        <w:t xml:space="preserve">e </w:t>
      </w:r>
      <w:r>
        <w:rPr>
          <w:spacing w:val="5"/>
        </w:rPr>
        <w:t xml:space="preserve">ultrafinos. </w:t>
      </w:r>
      <w:r>
        <w:t xml:space="preserve">A </w:t>
      </w:r>
      <w:r>
        <w:rPr>
          <w:spacing w:val="3"/>
        </w:rPr>
        <w:t xml:space="preserve">maior </w:t>
      </w:r>
      <w:r>
        <w:rPr>
          <w:spacing w:val="5"/>
        </w:rPr>
        <w:t xml:space="preserve">quantidade </w:t>
      </w:r>
      <w:r>
        <w:t>desses resíduos é produzida nas pedre</w:t>
      </w:r>
      <w:r>
        <w:t xml:space="preserve">iras, sendo, em </w:t>
      </w:r>
      <w:r>
        <w:rPr>
          <w:spacing w:val="1"/>
        </w:rPr>
        <w:t xml:space="preserve">sua </w:t>
      </w:r>
      <w:r>
        <w:t>maioria, blocos de tamanhos irregulares, blocos com defeitos, pedaços de blocos, casqueiro e lascas de rochas, havendo também produção de lamas com materiais finos, devido ao uso da água para a refrigeração dos equipamentos de corte. Na</w:t>
      </w:r>
      <w:r>
        <w:t xml:space="preserve">s serrarias e marmorarias, embora se produzam também pedaços maiores (aparas, lascas), o principal problema é a </w:t>
      </w:r>
      <w:r>
        <w:rPr>
          <w:spacing w:val="5"/>
        </w:rPr>
        <w:t xml:space="preserve">geração </w:t>
      </w:r>
      <w:r>
        <w:rPr>
          <w:spacing w:val="3"/>
        </w:rPr>
        <w:t xml:space="preserve">de </w:t>
      </w:r>
      <w:r>
        <w:rPr>
          <w:spacing w:val="6"/>
        </w:rPr>
        <w:t xml:space="preserve">resíduos </w:t>
      </w:r>
      <w:r>
        <w:rPr>
          <w:spacing w:val="5"/>
        </w:rPr>
        <w:t xml:space="preserve">finos </w:t>
      </w:r>
      <w:r>
        <w:t xml:space="preserve">e </w:t>
      </w:r>
      <w:r>
        <w:rPr>
          <w:spacing w:val="6"/>
        </w:rPr>
        <w:t xml:space="preserve">ultrafinos, </w:t>
      </w:r>
      <w:r>
        <w:rPr>
          <w:spacing w:val="3"/>
        </w:rPr>
        <w:t xml:space="preserve">em </w:t>
      </w:r>
      <w:r>
        <w:rPr>
          <w:spacing w:val="5"/>
        </w:rPr>
        <w:t xml:space="preserve">sua </w:t>
      </w:r>
      <w:r>
        <w:rPr>
          <w:spacing w:val="7"/>
        </w:rPr>
        <w:t xml:space="preserve">maioria </w:t>
      </w:r>
      <w:r>
        <w:rPr>
          <w:spacing w:val="3"/>
        </w:rPr>
        <w:t xml:space="preserve">misturados </w:t>
      </w:r>
      <w:r>
        <w:rPr>
          <w:spacing w:val="2"/>
        </w:rPr>
        <w:t xml:space="preserve">com </w:t>
      </w:r>
      <w:r>
        <w:rPr>
          <w:spacing w:val="3"/>
        </w:rPr>
        <w:t xml:space="preserve">água. Também </w:t>
      </w:r>
      <w:r>
        <w:rPr>
          <w:spacing w:val="2"/>
        </w:rPr>
        <w:t xml:space="preserve">nas </w:t>
      </w:r>
      <w:r>
        <w:rPr>
          <w:spacing w:val="3"/>
        </w:rPr>
        <w:t xml:space="preserve">serrarias </w:t>
      </w:r>
      <w:r>
        <w:rPr>
          <w:spacing w:val="1"/>
        </w:rPr>
        <w:t xml:space="preserve">de </w:t>
      </w:r>
      <w:r>
        <w:rPr>
          <w:spacing w:val="3"/>
        </w:rPr>
        <w:t xml:space="preserve">médio </w:t>
      </w:r>
      <w:r>
        <w:t>e grande porte e nas marmorarias são g</w:t>
      </w:r>
      <w:r>
        <w:t xml:space="preserve">erados resíduos finos e </w:t>
      </w:r>
      <w:r>
        <w:rPr>
          <w:spacing w:val="3"/>
        </w:rPr>
        <w:t xml:space="preserve">ultrafinos, misturados </w:t>
      </w:r>
      <w:r>
        <w:rPr>
          <w:spacing w:val="2"/>
        </w:rPr>
        <w:t xml:space="preserve">com </w:t>
      </w:r>
      <w:r>
        <w:rPr>
          <w:spacing w:val="3"/>
        </w:rPr>
        <w:t xml:space="preserve">granalha, abrasivos </w:t>
      </w:r>
      <w:r>
        <w:t xml:space="preserve">e </w:t>
      </w:r>
      <w:r>
        <w:rPr>
          <w:spacing w:val="5"/>
        </w:rPr>
        <w:t xml:space="preserve">diversos produtos químicos. Muitas vezes, principalmente </w:t>
      </w:r>
      <w:r>
        <w:rPr>
          <w:spacing w:val="2"/>
        </w:rPr>
        <w:t xml:space="preserve">em </w:t>
      </w:r>
      <w:r>
        <w:rPr>
          <w:spacing w:val="6"/>
        </w:rPr>
        <w:t xml:space="preserve">se </w:t>
      </w:r>
      <w:r>
        <w:t xml:space="preserve">tratando de micro e pequenas empresas, grande parte desses </w:t>
      </w:r>
      <w:r>
        <w:rPr>
          <w:spacing w:val="5"/>
        </w:rPr>
        <w:t xml:space="preserve">resíduos </w:t>
      </w:r>
      <w:r>
        <w:rPr>
          <w:spacing w:val="3"/>
        </w:rPr>
        <w:t xml:space="preserve">são </w:t>
      </w:r>
      <w:r>
        <w:rPr>
          <w:spacing w:val="5"/>
        </w:rPr>
        <w:t xml:space="preserve">largados </w:t>
      </w:r>
      <w:r>
        <w:rPr>
          <w:spacing w:val="3"/>
        </w:rPr>
        <w:t xml:space="preserve">nas </w:t>
      </w:r>
      <w:r>
        <w:rPr>
          <w:spacing w:val="5"/>
        </w:rPr>
        <w:t xml:space="preserve">próprias pedreiras, causando </w:t>
      </w:r>
      <w:r>
        <w:rPr>
          <w:spacing w:val="3"/>
        </w:rPr>
        <w:t>impact</w:t>
      </w:r>
      <w:r>
        <w:rPr>
          <w:spacing w:val="3"/>
        </w:rPr>
        <w:t xml:space="preserve">o ambiental, visual </w:t>
      </w:r>
      <w:r>
        <w:t xml:space="preserve">e </w:t>
      </w:r>
      <w:r>
        <w:rPr>
          <w:spacing w:val="3"/>
        </w:rPr>
        <w:t xml:space="preserve">estético (CAMPOS; </w:t>
      </w:r>
      <w:r>
        <w:rPr>
          <w:spacing w:val="5"/>
        </w:rPr>
        <w:t>CASTRO, 2007).</w:t>
      </w:r>
    </w:p>
    <w:p w:rsidR="00D81F69" w:rsidRDefault="00330118">
      <w:pPr>
        <w:pStyle w:val="Corpodetexto"/>
        <w:spacing w:before="147" w:line="312" w:lineRule="auto"/>
        <w:ind w:right="203"/>
      </w:pPr>
      <w:r>
        <w:t xml:space="preserve">Além disso, a atividade no setor de rochas no sul do estado </w:t>
      </w:r>
      <w:r>
        <w:rPr>
          <w:spacing w:val="10"/>
        </w:rPr>
        <w:t xml:space="preserve">produz centenas </w:t>
      </w:r>
      <w:r>
        <w:rPr>
          <w:spacing w:val="5"/>
        </w:rPr>
        <w:t xml:space="preserve">de </w:t>
      </w:r>
      <w:r>
        <w:rPr>
          <w:spacing w:val="10"/>
        </w:rPr>
        <w:t xml:space="preserve">mortos, acidentados </w:t>
      </w:r>
      <w:r>
        <w:t xml:space="preserve">e </w:t>
      </w:r>
      <w:r>
        <w:rPr>
          <w:spacing w:val="12"/>
        </w:rPr>
        <w:t xml:space="preserve">doentes </w:t>
      </w:r>
      <w:r>
        <w:t xml:space="preserve">ocupacionais. Todos os trabalhadores de uma pedreira, </w:t>
      </w:r>
      <w:r>
        <w:rPr>
          <w:spacing w:val="1"/>
        </w:rPr>
        <w:t xml:space="preserve">por </w:t>
      </w:r>
      <w:r>
        <w:t xml:space="preserve">exemplo, convivem com o ruído contínuo de marteletes, com a poeira e com as intempéries. São condições que aumentam a </w:t>
      </w:r>
      <w:r>
        <w:rPr>
          <w:spacing w:val="1"/>
        </w:rPr>
        <w:t xml:space="preserve">fadiga </w:t>
      </w:r>
      <w:r>
        <w:t xml:space="preserve">e </w:t>
      </w:r>
      <w:r>
        <w:rPr>
          <w:spacing w:val="1"/>
        </w:rPr>
        <w:t xml:space="preserve">outros agravos, </w:t>
      </w:r>
      <w:r>
        <w:t xml:space="preserve">e que </w:t>
      </w:r>
      <w:r>
        <w:rPr>
          <w:spacing w:val="1"/>
        </w:rPr>
        <w:t xml:space="preserve">facilitam </w:t>
      </w:r>
      <w:r>
        <w:t xml:space="preserve">a </w:t>
      </w:r>
      <w:r>
        <w:rPr>
          <w:spacing w:val="1"/>
        </w:rPr>
        <w:t xml:space="preserve">ocorrência </w:t>
      </w:r>
      <w:r>
        <w:rPr>
          <w:spacing w:val="2"/>
        </w:rPr>
        <w:t xml:space="preserve">de </w:t>
      </w:r>
      <w:r>
        <w:rPr>
          <w:spacing w:val="1"/>
        </w:rPr>
        <w:t>acidentes (MOULIN,</w:t>
      </w:r>
      <w:r>
        <w:rPr>
          <w:spacing w:val="-9"/>
        </w:rPr>
        <w:t xml:space="preserve"> </w:t>
      </w:r>
      <w:r>
        <w:rPr>
          <w:spacing w:val="2"/>
        </w:rPr>
        <w:t>2006).</w:t>
      </w:r>
    </w:p>
    <w:p w:rsidR="00D81F69" w:rsidRDefault="00330118">
      <w:pPr>
        <w:pStyle w:val="Corpodetexto"/>
        <w:spacing w:before="137" w:line="312" w:lineRule="auto"/>
        <w:ind w:right="195"/>
      </w:pPr>
      <w:r>
        <w:rPr>
          <w:spacing w:val="1"/>
        </w:rPr>
        <w:t xml:space="preserve">Já em </w:t>
      </w:r>
      <w:r>
        <w:rPr>
          <w:spacing w:val="2"/>
        </w:rPr>
        <w:t xml:space="preserve">Nova </w:t>
      </w:r>
      <w:r>
        <w:rPr>
          <w:spacing w:val="3"/>
        </w:rPr>
        <w:t xml:space="preserve">Venécia, </w:t>
      </w:r>
      <w:r>
        <w:rPr>
          <w:spacing w:val="1"/>
        </w:rPr>
        <w:t xml:space="preserve">um </w:t>
      </w:r>
      <w:r>
        <w:rPr>
          <w:spacing w:val="3"/>
        </w:rPr>
        <w:t xml:space="preserve">estudo </w:t>
      </w:r>
      <w:r>
        <w:rPr>
          <w:spacing w:val="1"/>
        </w:rPr>
        <w:t xml:space="preserve">de </w:t>
      </w:r>
      <w:r>
        <w:rPr>
          <w:spacing w:val="3"/>
        </w:rPr>
        <w:t xml:space="preserve">campo, realizado </w:t>
      </w:r>
      <w:r>
        <w:rPr>
          <w:spacing w:val="5"/>
        </w:rPr>
        <w:t xml:space="preserve">em </w:t>
      </w:r>
      <w:r>
        <w:t>20</w:t>
      </w:r>
      <w:r>
        <w:t xml:space="preserve">06 por pesquisadores da Universidade Federal do Espírito </w:t>
      </w:r>
      <w:r>
        <w:rPr>
          <w:spacing w:val="3"/>
        </w:rPr>
        <w:t xml:space="preserve">Santo, detectou </w:t>
      </w:r>
      <w:r>
        <w:rPr>
          <w:spacing w:val="2"/>
        </w:rPr>
        <w:t xml:space="preserve">que, </w:t>
      </w:r>
      <w:r>
        <w:rPr>
          <w:spacing w:val="1"/>
        </w:rPr>
        <w:t xml:space="preserve">em </w:t>
      </w:r>
      <w:r>
        <w:rPr>
          <w:spacing w:val="3"/>
        </w:rPr>
        <w:t xml:space="preserve">algumas empresas, </w:t>
      </w:r>
      <w:r>
        <w:rPr>
          <w:spacing w:val="1"/>
        </w:rPr>
        <w:t xml:space="preserve">os </w:t>
      </w:r>
      <w:r>
        <w:rPr>
          <w:spacing w:val="5"/>
        </w:rPr>
        <w:t xml:space="preserve">resíduos </w:t>
      </w:r>
      <w:r>
        <w:t xml:space="preserve">eram dispostos de forma dispersa e inadequada, ocasionando a </w:t>
      </w:r>
      <w:r>
        <w:rPr>
          <w:spacing w:val="3"/>
        </w:rPr>
        <w:t xml:space="preserve">contaminação </w:t>
      </w:r>
      <w:r>
        <w:rPr>
          <w:spacing w:val="1"/>
        </w:rPr>
        <w:t xml:space="preserve">do </w:t>
      </w:r>
      <w:r>
        <w:rPr>
          <w:spacing w:val="2"/>
        </w:rPr>
        <w:t xml:space="preserve">solo </w:t>
      </w:r>
      <w:r>
        <w:t xml:space="preserve">e </w:t>
      </w:r>
      <w:r>
        <w:rPr>
          <w:spacing w:val="2"/>
        </w:rPr>
        <w:t xml:space="preserve">dos </w:t>
      </w:r>
      <w:r>
        <w:rPr>
          <w:spacing w:val="3"/>
        </w:rPr>
        <w:t xml:space="preserve">recursos hídricos. </w:t>
      </w:r>
      <w:r>
        <w:rPr>
          <w:spacing w:val="5"/>
        </w:rPr>
        <w:t xml:space="preserve">Também </w:t>
      </w:r>
      <w:r>
        <w:t>foram constatados o mau acondic</w:t>
      </w:r>
      <w:r>
        <w:t xml:space="preserve">ionamento de resíduos que </w:t>
      </w:r>
      <w:r>
        <w:rPr>
          <w:spacing w:val="6"/>
        </w:rPr>
        <w:t xml:space="preserve">poderiam </w:t>
      </w:r>
      <w:r>
        <w:rPr>
          <w:spacing w:val="5"/>
        </w:rPr>
        <w:t xml:space="preserve">ser </w:t>
      </w:r>
      <w:r>
        <w:rPr>
          <w:spacing w:val="6"/>
        </w:rPr>
        <w:t xml:space="preserve">reutilizados </w:t>
      </w:r>
      <w:r>
        <w:rPr>
          <w:spacing w:val="3"/>
        </w:rPr>
        <w:t xml:space="preserve">ou </w:t>
      </w:r>
      <w:r>
        <w:rPr>
          <w:spacing w:val="6"/>
        </w:rPr>
        <w:t xml:space="preserve">reciclados, </w:t>
      </w:r>
      <w:r>
        <w:t xml:space="preserve">a </w:t>
      </w:r>
      <w:r>
        <w:rPr>
          <w:spacing w:val="6"/>
        </w:rPr>
        <w:t xml:space="preserve">ausência </w:t>
      </w:r>
      <w:r>
        <w:rPr>
          <w:spacing w:val="7"/>
        </w:rPr>
        <w:t xml:space="preserve">de </w:t>
      </w:r>
      <w:r>
        <w:t xml:space="preserve">processos de segregação e coleta seletiva e, principalmente, a </w:t>
      </w:r>
      <w:r>
        <w:rPr>
          <w:spacing w:val="7"/>
        </w:rPr>
        <w:t xml:space="preserve">falta </w:t>
      </w:r>
      <w:r>
        <w:rPr>
          <w:spacing w:val="5"/>
        </w:rPr>
        <w:t xml:space="preserve">de </w:t>
      </w:r>
      <w:r>
        <w:rPr>
          <w:spacing w:val="8"/>
        </w:rPr>
        <w:t xml:space="preserve">percepção ambiental </w:t>
      </w:r>
      <w:r>
        <w:rPr>
          <w:spacing w:val="6"/>
        </w:rPr>
        <w:t xml:space="preserve">por </w:t>
      </w:r>
      <w:r>
        <w:rPr>
          <w:spacing w:val="7"/>
        </w:rPr>
        <w:t xml:space="preserve">parte </w:t>
      </w:r>
      <w:r>
        <w:rPr>
          <w:spacing w:val="6"/>
        </w:rPr>
        <w:t xml:space="preserve">dos </w:t>
      </w:r>
      <w:r>
        <w:rPr>
          <w:spacing w:val="10"/>
        </w:rPr>
        <w:t xml:space="preserve">atores </w:t>
      </w:r>
      <w:r>
        <w:rPr>
          <w:spacing w:val="3"/>
        </w:rPr>
        <w:t xml:space="preserve">envolvidos </w:t>
      </w:r>
      <w:r>
        <w:rPr>
          <w:spacing w:val="2"/>
        </w:rPr>
        <w:t xml:space="preserve">nas </w:t>
      </w:r>
      <w:r>
        <w:rPr>
          <w:spacing w:val="3"/>
        </w:rPr>
        <w:t xml:space="preserve">atividades. </w:t>
      </w:r>
      <w:r>
        <w:rPr>
          <w:spacing w:val="1"/>
        </w:rPr>
        <w:t xml:space="preserve">Um </w:t>
      </w:r>
      <w:r>
        <w:rPr>
          <w:spacing w:val="2"/>
        </w:rPr>
        <w:t xml:space="preserve">dos </w:t>
      </w:r>
      <w:r>
        <w:rPr>
          <w:spacing w:val="3"/>
        </w:rPr>
        <w:t xml:space="preserve">maiores problemas </w:t>
      </w:r>
      <w:r>
        <w:rPr>
          <w:spacing w:val="5"/>
        </w:rPr>
        <w:t xml:space="preserve">se </w:t>
      </w:r>
      <w:r>
        <w:t xml:space="preserve">refere </w:t>
      </w:r>
      <w:r>
        <w:t xml:space="preserve">ao armazenamento dos resíduos de beneficiamento de rochas ornamentais dispostos em tanques ou em barragens </w:t>
      </w:r>
      <w:r>
        <w:rPr>
          <w:spacing w:val="5"/>
        </w:rPr>
        <w:t xml:space="preserve">sem </w:t>
      </w:r>
      <w:r>
        <w:rPr>
          <w:spacing w:val="6"/>
        </w:rPr>
        <w:t xml:space="preserve">impermeabilização, construídos </w:t>
      </w:r>
      <w:r>
        <w:rPr>
          <w:spacing w:val="5"/>
        </w:rPr>
        <w:t xml:space="preserve">nos pátios </w:t>
      </w:r>
      <w:r>
        <w:rPr>
          <w:spacing w:val="3"/>
        </w:rPr>
        <w:t xml:space="preserve">ou </w:t>
      </w:r>
      <w:r>
        <w:rPr>
          <w:spacing w:val="7"/>
        </w:rPr>
        <w:t xml:space="preserve">nas </w:t>
      </w:r>
      <w:r>
        <w:t>proximidades das indústrias, gerando grande quantidade de lama (MAGACHO et al.,</w:t>
      </w:r>
      <w:r>
        <w:t xml:space="preserve"> </w:t>
      </w:r>
      <w:r>
        <w:t>2006).</w:t>
      </w:r>
    </w:p>
    <w:p w:rsidR="00D81F69" w:rsidRDefault="00330118">
      <w:pPr>
        <w:pStyle w:val="Corpodetexto"/>
        <w:spacing w:before="80" w:line="270" w:lineRule="atLeast"/>
        <w:ind w:right="196"/>
      </w:pPr>
      <w:r>
        <w:t>Nos últim</w:t>
      </w:r>
      <w:r>
        <w:t xml:space="preserve">os anos, houve um aumento de estudos no sentido de </w:t>
      </w:r>
      <w:r>
        <w:rPr>
          <w:spacing w:val="1"/>
        </w:rPr>
        <w:t xml:space="preserve">apontar novas tecnologias para minimizar </w:t>
      </w:r>
      <w:r>
        <w:t xml:space="preserve">a </w:t>
      </w:r>
      <w:r>
        <w:rPr>
          <w:spacing w:val="2"/>
        </w:rPr>
        <w:t xml:space="preserve">disposição </w:t>
      </w:r>
      <w:r>
        <w:t xml:space="preserve">desordenada dos resíduos provenientes do beneficiamento de rochas ornamentais. Uma alternativa tecnológica para reduzir o </w:t>
      </w:r>
      <w:r>
        <w:rPr>
          <w:spacing w:val="3"/>
        </w:rPr>
        <w:t xml:space="preserve">impacto ambiental </w:t>
      </w:r>
      <w:r>
        <w:t xml:space="preserve">e </w:t>
      </w:r>
      <w:r>
        <w:rPr>
          <w:spacing w:val="3"/>
        </w:rPr>
        <w:t xml:space="preserve">reciclar </w:t>
      </w:r>
      <w:r>
        <w:rPr>
          <w:spacing w:val="2"/>
        </w:rPr>
        <w:t xml:space="preserve">esse tipo </w:t>
      </w:r>
      <w:r>
        <w:rPr>
          <w:spacing w:val="1"/>
        </w:rPr>
        <w:t xml:space="preserve">de </w:t>
      </w:r>
      <w:r>
        <w:rPr>
          <w:spacing w:val="3"/>
        </w:rPr>
        <w:t xml:space="preserve">resíduo </w:t>
      </w:r>
      <w:r>
        <w:t xml:space="preserve">é </w:t>
      </w:r>
      <w:r>
        <w:rPr>
          <w:spacing w:val="5"/>
        </w:rPr>
        <w:t xml:space="preserve">sua </w:t>
      </w:r>
      <w:r>
        <w:t xml:space="preserve">incorporação em produtos cerâmicos argilosos, o que pode </w:t>
      </w:r>
      <w:r>
        <w:rPr>
          <w:spacing w:val="1"/>
        </w:rPr>
        <w:t xml:space="preserve">ocasionar também melhorias </w:t>
      </w:r>
      <w:r>
        <w:t xml:space="preserve">nas </w:t>
      </w:r>
      <w:r>
        <w:rPr>
          <w:spacing w:val="1"/>
        </w:rPr>
        <w:t xml:space="preserve">propriedades </w:t>
      </w:r>
      <w:r>
        <w:t xml:space="preserve">do </w:t>
      </w:r>
      <w:r>
        <w:rPr>
          <w:spacing w:val="2"/>
        </w:rPr>
        <w:t xml:space="preserve">produto </w:t>
      </w:r>
      <w:r>
        <w:t>final. Alguns resíduos têm composição similar a das matérias primas naturais usada na indústria cerâmica (BORLONI et al., 2008).</w:t>
      </w:r>
    </w:p>
    <w:p w:rsidR="00D81F69" w:rsidRDefault="00D81F69">
      <w:pPr>
        <w:spacing w:line="270" w:lineRule="atLeast"/>
        <w:sectPr w:rsidR="00D81F69">
          <w:pgSz w:w="11900" w:h="16840"/>
          <w:pgMar w:top="740" w:right="500" w:bottom="620" w:left="620" w:header="0" w:footer="402" w:gutter="0"/>
          <w:cols w:num="2" w:space="720" w:equalWidth="0">
            <w:col w:w="5163" w:space="307"/>
            <w:col w:w="5310"/>
          </w:cols>
        </w:sectPr>
      </w:pPr>
    </w:p>
    <w:p w:rsidR="00D81F69" w:rsidRDefault="00D81F69">
      <w:pPr>
        <w:pStyle w:val="Corpodetexto"/>
        <w:spacing w:before="5"/>
        <w:ind w:left="0"/>
        <w:jc w:val="left"/>
        <w:rPr>
          <w:sz w:val="24"/>
        </w:rPr>
      </w:pPr>
    </w:p>
    <w:p w:rsidR="00D81F69" w:rsidRDefault="00330118">
      <w:pPr>
        <w:pStyle w:val="Corpodetexto"/>
        <w:spacing w:line="312" w:lineRule="auto"/>
        <w:ind w:right="40"/>
      </w:pPr>
      <w:r>
        <w:rPr>
          <w:spacing w:val="5"/>
        </w:rPr>
        <w:t xml:space="preserve">Estudos utilizando resíduos </w:t>
      </w:r>
      <w:r>
        <w:rPr>
          <w:spacing w:val="2"/>
        </w:rPr>
        <w:t xml:space="preserve">de </w:t>
      </w:r>
      <w:r>
        <w:rPr>
          <w:spacing w:val="5"/>
        </w:rPr>
        <w:t xml:space="preserve">granito, provenientes </w:t>
      </w:r>
      <w:r>
        <w:rPr>
          <w:spacing w:val="6"/>
        </w:rPr>
        <w:t xml:space="preserve">da </w:t>
      </w:r>
      <w:r>
        <w:rPr>
          <w:spacing w:val="3"/>
        </w:rPr>
        <w:t xml:space="preserve">serragem </w:t>
      </w:r>
      <w:r>
        <w:rPr>
          <w:spacing w:val="1"/>
        </w:rPr>
        <w:t xml:space="preserve">de </w:t>
      </w:r>
      <w:r>
        <w:rPr>
          <w:spacing w:val="3"/>
        </w:rPr>
        <w:t xml:space="preserve">blocos, mostraram </w:t>
      </w:r>
      <w:r>
        <w:rPr>
          <w:spacing w:val="1"/>
        </w:rPr>
        <w:t xml:space="preserve">um </w:t>
      </w:r>
      <w:r>
        <w:rPr>
          <w:spacing w:val="3"/>
        </w:rPr>
        <w:t>grande p</w:t>
      </w:r>
      <w:r>
        <w:rPr>
          <w:spacing w:val="3"/>
        </w:rPr>
        <w:t xml:space="preserve">otencial </w:t>
      </w:r>
      <w:r>
        <w:rPr>
          <w:spacing w:val="5"/>
        </w:rPr>
        <w:t xml:space="preserve">para </w:t>
      </w:r>
      <w:r>
        <w:t xml:space="preserve">serem utilizados em cerâmica vermelha, devido ao elevado </w:t>
      </w:r>
      <w:r>
        <w:rPr>
          <w:spacing w:val="2"/>
        </w:rPr>
        <w:t xml:space="preserve">teor </w:t>
      </w:r>
      <w:r>
        <w:rPr>
          <w:spacing w:val="1"/>
        </w:rPr>
        <w:t xml:space="preserve">de </w:t>
      </w:r>
      <w:r>
        <w:rPr>
          <w:spacing w:val="3"/>
        </w:rPr>
        <w:t xml:space="preserve">óxidos alcalinos, granulometria </w:t>
      </w:r>
      <w:r>
        <w:rPr>
          <w:spacing w:val="2"/>
        </w:rPr>
        <w:t xml:space="preserve">fina </w:t>
      </w:r>
      <w:r>
        <w:t xml:space="preserve">e </w:t>
      </w:r>
      <w:r>
        <w:rPr>
          <w:spacing w:val="3"/>
        </w:rPr>
        <w:t xml:space="preserve">baixo </w:t>
      </w:r>
      <w:r>
        <w:rPr>
          <w:spacing w:val="5"/>
        </w:rPr>
        <w:t xml:space="preserve">custo </w:t>
      </w:r>
      <w:r>
        <w:rPr>
          <w:spacing w:val="3"/>
        </w:rPr>
        <w:t xml:space="preserve">(BORLONI </w:t>
      </w:r>
      <w:r>
        <w:rPr>
          <w:spacing w:val="1"/>
        </w:rPr>
        <w:t xml:space="preserve">et </w:t>
      </w:r>
      <w:r>
        <w:rPr>
          <w:spacing w:val="2"/>
        </w:rPr>
        <w:t xml:space="preserve">al., </w:t>
      </w:r>
      <w:r>
        <w:rPr>
          <w:spacing w:val="3"/>
        </w:rPr>
        <w:t xml:space="preserve">2008). Neste sentido, foram </w:t>
      </w:r>
      <w:r>
        <w:rPr>
          <w:spacing w:val="5"/>
        </w:rPr>
        <w:t xml:space="preserve">realizados </w:t>
      </w:r>
      <w:r>
        <w:t xml:space="preserve">estudos pelo Centro de Tecnologia Mineral (CETEM) com pó </w:t>
      </w:r>
      <w:r>
        <w:rPr>
          <w:spacing w:val="1"/>
        </w:rPr>
        <w:t xml:space="preserve">de </w:t>
      </w:r>
      <w:r>
        <w:rPr>
          <w:spacing w:val="3"/>
        </w:rPr>
        <w:t xml:space="preserve">teares </w:t>
      </w:r>
      <w:r>
        <w:rPr>
          <w:spacing w:val="1"/>
        </w:rPr>
        <w:t xml:space="preserve">da </w:t>
      </w:r>
      <w:r>
        <w:rPr>
          <w:spacing w:val="3"/>
        </w:rPr>
        <w:t xml:space="preserve">empresa Marbrasa Mármores </w:t>
      </w:r>
      <w:r>
        <w:t xml:space="preserve">e </w:t>
      </w:r>
      <w:r>
        <w:rPr>
          <w:spacing w:val="3"/>
        </w:rPr>
        <w:t xml:space="preserve">Granitos </w:t>
      </w:r>
      <w:r>
        <w:rPr>
          <w:spacing w:val="5"/>
        </w:rPr>
        <w:t xml:space="preserve">do </w:t>
      </w:r>
      <w:r>
        <w:rPr>
          <w:spacing w:val="12"/>
        </w:rPr>
        <w:t xml:space="preserve">Brasil, </w:t>
      </w:r>
      <w:r>
        <w:rPr>
          <w:spacing w:val="7"/>
        </w:rPr>
        <w:t xml:space="preserve">em </w:t>
      </w:r>
      <w:r>
        <w:rPr>
          <w:spacing w:val="13"/>
        </w:rPr>
        <w:t xml:space="preserve">Cachoeiro </w:t>
      </w:r>
      <w:r>
        <w:rPr>
          <w:spacing w:val="7"/>
        </w:rPr>
        <w:t xml:space="preserve">de </w:t>
      </w:r>
      <w:r>
        <w:rPr>
          <w:spacing w:val="13"/>
        </w:rPr>
        <w:t xml:space="preserve">Itapemirim. </w:t>
      </w:r>
      <w:r>
        <w:rPr>
          <w:spacing w:val="11"/>
        </w:rPr>
        <w:t xml:space="preserve">Tais </w:t>
      </w:r>
      <w:r>
        <w:rPr>
          <w:spacing w:val="12"/>
        </w:rPr>
        <w:t xml:space="preserve">estudos </w:t>
      </w:r>
      <w:r>
        <w:rPr>
          <w:spacing w:val="5"/>
        </w:rPr>
        <w:t xml:space="preserve">consideraram </w:t>
      </w:r>
      <w:r>
        <w:t xml:space="preserve">a </w:t>
      </w:r>
      <w:r>
        <w:rPr>
          <w:spacing w:val="5"/>
        </w:rPr>
        <w:t xml:space="preserve">viabilidade técnica </w:t>
      </w:r>
      <w:r>
        <w:rPr>
          <w:spacing w:val="2"/>
        </w:rPr>
        <w:t xml:space="preserve">de </w:t>
      </w:r>
      <w:r>
        <w:rPr>
          <w:spacing w:val="5"/>
        </w:rPr>
        <w:t xml:space="preserve">remoção </w:t>
      </w:r>
      <w:r>
        <w:rPr>
          <w:spacing w:val="2"/>
        </w:rPr>
        <w:t xml:space="preserve">do </w:t>
      </w:r>
      <w:hyperlink r:id="rId1025">
        <w:r>
          <w:rPr>
            <w:spacing w:val="5"/>
          </w:rPr>
          <w:t>ferro</w:t>
        </w:r>
      </w:hyperlink>
      <w:r>
        <w:rPr>
          <w:spacing w:val="61"/>
        </w:rPr>
        <w:t xml:space="preserve"> </w:t>
      </w:r>
      <w:r>
        <w:rPr>
          <w:spacing w:val="3"/>
        </w:rPr>
        <w:t xml:space="preserve">contido </w:t>
      </w:r>
      <w:r>
        <w:rPr>
          <w:spacing w:val="2"/>
        </w:rPr>
        <w:t xml:space="preserve">nos </w:t>
      </w:r>
      <w:r>
        <w:rPr>
          <w:spacing w:val="3"/>
        </w:rPr>
        <w:t xml:space="preserve">resíduos </w:t>
      </w:r>
      <w:r>
        <w:rPr>
          <w:spacing w:val="1"/>
        </w:rPr>
        <w:t>d</w:t>
      </w:r>
      <w:r>
        <w:rPr>
          <w:spacing w:val="1"/>
        </w:rPr>
        <w:t xml:space="preserve">e </w:t>
      </w:r>
      <w:r>
        <w:rPr>
          <w:spacing w:val="3"/>
        </w:rPr>
        <w:t xml:space="preserve">serrarias, permitindo </w:t>
      </w:r>
      <w:r>
        <w:rPr>
          <w:spacing w:val="2"/>
        </w:rPr>
        <w:t xml:space="preserve">seu uso </w:t>
      </w:r>
      <w:r>
        <w:rPr>
          <w:spacing w:val="5"/>
        </w:rPr>
        <w:t xml:space="preserve">na </w:t>
      </w:r>
      <w:r>
        <w:rPr>
          <w:spacing w:val="12"/>
        </w:rPr>
        <w:t xml:space="preserve">indústria </w:t>
      </w:r>
      <w:r>
        <w:rPr>
          <w:spacing w:val="6"/>
        </w:rPr>
        <w:t xml:space="preserve">de </w:t>
      </w:r>
      <w:r>
        <w:rPr>
          <w:spacing w:val="12"/>
        </w:rPr>
        <w:t xml:space="preserve">cerâmica </w:t>
      </w:r>
      <w:r>
        <w:rPr>
          <w:spacing w:val="10"/>
        </w:rPr>
        <w:t xml:space="preserve">para </w:t>
      </w:r>
      <w:r>
        <w:rPr>
          <w:spacing w:val="12"/>
        </w:rPr>
        <w:t xml:space="preserve">produção </w:t>
      </w:r>
      <w:r>
        <w:rPr>
          <w:spacing w:val="6"/>
        </w:rPr>
        <w:t xml:space="preserve">de </w:t>
      </w:r>
      <w:r>
        <w:rPr>
          <w:spacing w:val="11"/>
        </w:rPr>
        <w:t xml:space="preserve">peças </w:t>
      </w:r>
      <w:r>
        <w:rPr>
          <w:spacing w:val="6"/>
        </w:rPr>
        <w:t xml:space="preserve">de </w:t>
      </w:r>
      <w:r>
        <w:rPr>
          <w:spacing w:val="3"/>
        </w:rPr>
        <w:t xml:space="preserve">revestimento, pisos, </w:t>
      </w:r>
      <w:r>
        <w:rPr>
          <w:spacing w:val="2"/>
        </w:rPr>
        <w:t xml:space="preserve">etc. </w:t>
      </w:r>
      <w:r>
        <w:rPr>
          <w:spacing w:val="3"/>
        </w:rPr>
        <w:t xml:space="preserve">(PONTES, </w:t>
      </w:r>
      <w:r>
        <w:rPr>
          <w:spacing w:val="2"/>
        </w:rPr>
        <w:t xml:space="preserve">2001 apud </w:t>
      </w:r>
      <w:r>
        <w:rPr>
          <w:spacing w:val="5"/>
        </w:rPr>
        <w:t xml:space="preserve">PONTES; </w:t>
      </w:r>
      <w:r>
        <w:rPr>
          <w:spacing w:val="3"/>
        </w:rPr>
        <w:t>STELLIN JUNIOR,</w:t>
      </w:r>
      <w:r>
        <w:rPr>
          <w:spacing w:val="2"/>
        </w:rPr>
        <w:t xml:space="preserve"> </w:t>
      </w:r>
      <w:r>
        <w:rPr>
          <w:spacing w:val="5"/>
        </w:rPr>
        <w:t>2005).</w:t>
      </w:r>
    </w:p>
    <w:p w:rsidR="00D81F69" w:rsidRDefault="00330118">
      <w:pPr>
        <w:pStyle w:val="Corpodetexto"/>
        <w:spacing w:before="142" w:line="312" w:lineRule="auto"/>
        <w:ind w:right="38"/>
      </w:pPr>
      <w:r>
        <w:t>Já o Instituto Nacional de Tecnologia (INT), do Rio de Janeiro, vem transformando os resíduos de rochas ornamentais, coletados em Cachoeiro de Itapemerim, em materia prima para a indústria do vidro. Aos resíduos das rochas são misturados areia, carbonato d</w:t>
      </w:r>
      <w:r>
        <w:t xml:space="preserve">e cálcio e sódio, em quantidades controladas para que a composição se aproxime ao máximo das características do vidro comercial (INOVAÇÃO TECNOLÓGICA, 2009). </w:t>
      </w:r>
    </w:p>
    <w:p w:rsidR="00D81F69" w:rsidRDefault="00330118">
      <w:pPr>
        <w:pStyle w:val="Corpodetexto"/>
        <w:spacing w:before="137" w:line="312" w:lineRule="auto"/>
        <w:ind w:right="46"/>
      </w:pPr>
      <w:r>
        <w:t>Com a utilização desses resíduos, houve uma considerável diminuição dos impactos ambientais na região, já que antes eles eram descartados no solo. Além disso, o uso do material reduziu o consumo de areia, minimizando outro problema, a extração excessiva de</w:t>
      </w:r>
      <w:r>
        <w:t xml:space="preserve">sse recurso (INOVAÇÃO TECNOLÓGICA, 2009). </w:t>
      </w:r>
    </w:p>
    <w:p w:rsidR="00D81F69" w:rsidRDefault="00330118">
      <w:pPr>
        <w:pStyle w:val="Corpodetexto"/>
        <w:spacing w:before="136" w:line="312" w:lineRule="auto"/>
        <w:ind w:right="42"/>
      </w:pPr>
      <w:r>
        <w:t>Um terceiro benefício ambiental é o emprego também dos óxidos ferrosos, despejados no solo por meio das limalhas de ferro ou aço que são jateadas contra a rocha no processo de corte. O material é incorporado à com</w:t>
      </w:r>
      <w:r>
        <w:t>posição do vidro como corante, garantindo a produção de vidros verdes, que têm um mercado bastante específico (INOVAÇÃO TECNOLÓGICA, 2009).</w:t>
      </w:r>
    </w:p>
    <w:p w:rsidR="00D81F69" w:rsidRDefault="00330118">
      <w:pPr>
        <w:pStyle w:val="Corpodetexto"/>
        <w:spacing w:before="136" w:line="312" w:lineRule="auto"/>
        <w:ind w:right="40"/>
      </w:pPr>
      <w:r>
        <w:rPr>
          <w:spacing w:val="5"/>
        </w:rPr>
        <w:t xml:space="preserve">No </w:t>
      </w:r>
      <w:r>
        <w:rPr>
          <w:spacing w:val="7"/>
        </w:rPr>
        <w:t xml:space="preserve">que </w:t>
      </w:r>
      <w:r>
        <w:rPr>
          <w:spacing w:val="5"/>
        </w:rPr>
        <w:t xml:space="preserve">se </w:t>
      </w:r>
      <w:r>
        <w:rPr>
          <w:spacing w:val="10"/>
        </w:rPr>
        <w:t xml:space="preserve">refere </w:t>
      </w:r>
      <w:r>
        <w:t xml:space="preserve">à </w:t>
      </w:r>
      <w:r>
        <w:rPr>
          <w:spacing w:val="8"/>
        </w:rPr>
        <w:t xml:space="preserve">Nova </w:t>
      </w:r>
      <w:r>
        <w:rPr>
          <w:spacing w:val="10"/>
        </w:rPr>
        <w:t xml:space="preserve">Venécia, </w:t>
      </w:r>
      <w:r>
        <w:rPr>
          <w:spacing w:val="8"/>
        </w:rPr>
        <w:t xml:space="preserve">cabe </w:t>
      </w:r>
      <w:r>
        <w:rPr>
          <w:spacing w:val="10"/>
        </w:rPr>
        <w:t xml:space="preserve">ressaltar </w:t>
      </w:r>
      <w:r>
        <w:t xml:space="preserve">a implantação de uma Central de Tratamento de Resíduos do </w:t>
      </w:r>
      <w:r>
        <w:rPr>
          <w:spacing w:val="3"/>
        </w:rPr>
        <w:t>Beneficiam</w:t>
      </w:r>
      <w:r>
        <w:rPr>
          <w:spacing w:val="3"/>
        </w:rPr>
        <w:t xml:space="preserve">ento </w:t>
      </w:r>
      <w:r>
        <w:rPr>
          <w:spacing w:val="1"/>
        </w:rPr>
        <w:t xml:space="preserve">de </w:t>
      </w:r>
      <w:r>
        <w:rPr>
          <w:spacing w:val="3"/>
        </w:rPr>
        <w:t xml:space="preserve">Rochas Ornamentais (CTRBRO), </w:t>
      </w:r>
      <w:r>
        <w:rPr>
          <w:spacing w:val="5"/>
        </w:rPr>
        <w:t xml:space="preserve">que </w:t>
      </w:r>
      <w:r>
        <w:t xml:space="preserve">inclui instalações de apoio (balança, guarita, administração e vestiário), área de segregação, armazenamento e sistema de </w:t>
      </w:r>
      <w:r>
        <w:rPr>
          <w:spacing w:val="3"/>
        </w:rPr>
        <w:t xml:space="preserve">desidratação </w:t>
      </w:r>
      <w:r>
        <w:rPr>
          <w:spacing w:val="2"/>
        </w:rPr>
        <w:t xml:space="preserve">dos </w:t>
      </w:r>
      <w:r>
        <w:rPr>
          <w:spacing w:val="3"/>
        </w:rPr>
        <w:t xml:space="preserve">resíduos </w:t>
      </w:r>
      <w:r>
        <w:rPr>
          <w:spacing w:val="1"/>
        </w:rPr>
        <w:t xml:space="preserve">do </w:t>
      </w:r>
      <w:r>
        <w:rPr>
          <w:spacing w:val="3"/>
        </w:rPr>
        <w:t xml:space="preserve">beneficiamento </w:t>
      </w:r>
      <w:r>
        <w:rPr>
          <w:spacing w:val="2"/>
        </w:rPr>
        <w:t xml:space="preserve">das </w:t>
      </w:r>
      <w:r>
        <w:rPr>
          <w:spacing w:val="5"/>
        </w:rPr>
        <w:t xml:space="preserve">rochas, </w:t>
      </w:r>
      <w:r>
        <w:t>constituído de tanque de sedimentação</w:t>
      </w:r>
      <w:r>
        <w:t xml:space="preserve"> e filtro prensa, </w:t>
      </w:r>
      <w:r>
        <w:rPr>
          <w:spacing w:val="1"/>
        </w:rPr>
        <w:t xml:space="preserve">que </w:t>
      </w:r>
      <w:r>
        <w:t>serve como suporte à correta destinação final dos resíduos gerados pelas empresas de beneficiamento (MAGACHO et al.,</w:t>
      </w:r>
      <w:r>
        <w:rPr>
          <w:spacing w:val="16"/>
        </w:rPr>
        <w:t xml:space="preserve"> </w:t>
      </w:r>
      <w:r>
        <w:rPr>
          <w:spacing w:val="1"/>
        </w:rPr>
        <w:t>2006).</w:t>
      </w:r>
    </w:p>
    <w:p w:rsidR="00D81F69" w:rsidRDefault="00330118">
      <w:pPr>
        <w:pStyle w:val="Corpodetexto"/>
        <w:spacing w:before="139" w:line="312" w:lineRule="auto"/>
        <w:ind w:right="56"/>
      </w:pPr>
      <w:r>
        <w:t>Empresas do setor de granito continuam interessadas em investir no polo do município. Atualmente, seis minerad</w:t>
      </w:r>
      <w:r>
        <w:t>oras e uma retífica estão em fase de implantação no setor 3 do polo industrial. De acordo com a prefeitura da cidade, as novas empresas vão criar cerca de 100 empregos diretos (A GAZETA, 2010).</w:t>
      </w:r>
    </w:p>
    <w:p w:rsidR="00D81F69" w:rsidRDefault="00330118">
      <w:pPr>
        <w:pStyle w:val="Corpodetexto"/>
        <w:spacing w:before="73" w:line="270" w:lineRule="atLeast"/>
        <w:ind w:right="45"/>
      </w:pPr>
      <w:r>
        <w:t>Como não há mais espaço disponível no antigo polo para a insta</w:t>
      </w:r>
      <w:r>
        <w:t>lação de novas indústrias, a prefeitura adquiriu, em 2010, uma área de 37 alqueires de terra que será transformada num</w:t>
      </w:r>
    </w:p>
    <w:p w:rsidR="00D81F69" w:rsidRDefault="00330118">
      <w:pPr>
        <w:pStyle w:val="Corpodetexto"/>
        <w:spacing w:before="81" w:line="312" w:lineRule="auto"/>
        <w:ind w:right="201"/>
      </w:pPr>
      <w:r>
        <w:br w:type="column"/>
      </w:r>
      <w:r>
        <w:lastRenderedPageBreak/>
        <w:t>"condomínio de empresas". A confecção da planta urbanística da área está sendo feita por técnicos da Superintendência dos Projetos de Po</w:t>
      </w:r>
      <w:r>
        <w:t>larização Industrial (Suppin). Dos 37 alqueires, uma parte está reservada para área de preservação ambiental, com cultivo de plantas nativas da Mata Atlântica (A GAZETA, 2010).</w:t>
      </w:r>
    </w:p>
    <w:p w:rsidR="00D81F69" w:rsidRDefault="00330118">
      <w:pPr>
        <w:pStyle w:val="Corpodetexto"/>
        <w:spacing w:before="135" w:line="312" w:lineRule="auto"/>
        <w:ind w:right="195"/>
      </w:pPr>
      <w:r>
        <w:rPr>
          <w:spacing w:val="5"/>
        </w:rPr>
        <w:t xml:space="preserve">Vale </w:t>
      </w:r>
      <w:r>
        <w:rPr>
          <w:spacing w:val="6"/>
        </w:rPr>
        <w:t xml:space="preserve">ressaltar </w:t>
      </w:r>
      <w:r>
        <w:rPr>
          <w:spacing w:val="5"/>
        </w:rPr>
        <w:t xml:space="preserve">que </w:t>
      </w:r>
      <w:r>
        <w:t xml:space="preserve">a </w:t>
      </w:r>
      <w:r>
        <w:rPr>
          <w:spacing w:val="5"/>
        </w:rPr>
        <w:t xml:space="preserve">criação </w:t>
      </w:r>
      <w:r>
        <w:rPr>
          <w:spacing w:val="3"/>
        </w:rPr>
        <w:t xml:space="preserve">da </w:t>
      </w:r>
      <w:r>
        <w:rPr>
          <w:spacing w:val="6"/>
        </w:rPr>
        <w:t xml:space="preserve">Ferrovia Litorânea </w:t>
      </w:r>
      <w:r>
        <w:rPr>
          <w:spacing w:val="7"/>
        </w:rPr>
        <w:t xml:space="preserve">Sul também </w:t>
      </w:r>
      <w:r>
        <w:rPr>
          <w:spacing w:val="8"/>
        </w:rPr>
        <w:t xml:space="preserve">representa </w:t>
      </w:r>
      <w:r>
        <w:rPr>
          <w:spacing w:val="5"/>
        </w:rPr>
        <w:t xml:space="preserve">um </w:t>
      </w:r>
      <w:r>
        <w:rPr>
          <w:spacing w:val="7"/>
        </w:rPr>
        <w:t>pos</w:t>
      </w:r>
      <w:r>
        <w:rPr>
          <w:spacing w:val="7"/>
        </w:rPr>
        <w:t xml:space="preserve">sível impacto </w:t>
      </w:r>
      <w:r>
        <w:rPr>
          <w:spacing w:val="5"/>
        </w:rPr>
        <w:t xml:space="preserve">na </w:t>
      </w:r>
      <w:r>
        <w:rPr>
          <w:spacing w:val="6"/>
        </w:rPr>
        <w:t xml:space="preserve">vida </w:t>
      </w:r>
      <w:r>
        <w:rPr>
          <w:spacing w:val="10"/>
        </w:rPr>
        <w:t xml:space="preserve">das </w:t>
      </w:r>
      <w:r>
        <w:rPr>
          <w:spacing w:val="3"/>
        </w:rPr>
        <w:t xml:space="preserve">comunidades </w:t>
      </w:r>
      <w:r>
        <w:rPr>
          <w:spacing w:val="1"/>
        </w:rPr>
        <w:t xml:space="preserve">do </w:t>
      </w:r>
      <w:r>
        <w:rPr>
          <w:spacing w:val="3"/>
        </w:rPr>
        <w:t xml:space="preserve">estado. </w:t>
      </w:r>
      <w:r>
        <w:t xml:space="preserve">O </w:t>
      </w:r>
      <w:r>
        <w:rPr>
          <w:spacing w:val="3"/>
        </w:rPr>
        <w:t xml:space="preserve">projeto prevê </w:t>
      </w:r>
      <w:r>
        <w:t xml:space="preserve">a </w:t>
      </w:r>
      <w:r>
        <w:rPr>
          <w:spacing w:val="3"/>
        </w:rPr>
        <w:t xml:space="preserve">ligação </w:t>
      </w:r>
      <w:r>
        <w:rPr>
          <w:spacing w:val="5"/>
        </w:rPr>
        <w:t xml:space="preserve">entre </w:t>
      </w:r>
      <w:r>
        <w:rPr>
          <w:spacing w:val="7"/>
        </w:rPr>
        <w:t xml:space="preserve">Cariacica </w:t>
      </w:r>
      <w:r>
        <w:t xml:space="preserve">e </w:t>
      </w:r>
      <w:r>
        <w:rPr>
          <w:spacing w:val="7"/>
        </w:rPr>
        <w:t xml:space="preserve">Cachoeiro </w:t>
      </w:r>
      <w:r>
        <w:rPr>
          <w:spacing w:val="5"/>
        </w:rPr>
        <w:t xml:space="preserve">do </w:t>
      </w:r>
      <w:r>
        <w:rPr>
          <w:spacing w:val="8"/>
        </w:rPr>
        <w:t xml:space="preserve">Itapemirim, </w:t>
      </w:r>
      <w:r>
        <w:rPr>
          <w:spacing w:val="7"/>
        </w:rPr>
        <w:t xml:space="preserve">passando </w:t>
      </w:r>
      <w:r>
        <w:rPr>
          <w:spacing w:val="10"/>
        </w:rPr>
        <w:t xml:space="preserve">pelos </w:t>
      </w:r>
      <w:r>
        <w:rPr>
          <w:spacing w:val="8"/>
        </w:rPr>
        <w:t xml:space="preserve">municípios </w:t>
      </w:r>
      <w:r>
        <w:rPr>
          <w:spacing w:val="5"/>
        </w:rPr>
        <w:t xml:space="preserve">de </w:t>
      </w:r>
      <w:r>
        <w:rPr>
          <w:spacing w:val="7"/>
        </w:rPr>
        <w:t xml:space="preserve">Anchieta, </w:t>
      </w:r>
      <w:r>
        <w:rPr>
          <w:spacing w:val="8"/>
        </w:rPr>
        <w:t xml:space="preserve">Guarapari, Itapemirim, </w:t>
      </w:r>
      <w:r>
        <w:rPr>
          <w:spacing w:val="10"/>
        </w:rPr>
        <w:t xml:space="preserve">Santa </w:t>
      </w:r>
      <w:r>
        <w:rPr>
          <w:spacing w:val="5"/>
        </w:rPr>
        <w:t xml:space="preserve">Leopoldina, </w:t>
      </w:r>
      <w:r>
        <w:rPr>
          <w:spacing w:val="3"/>
        </w:rPr>
        <w:t xml:space="preserve">Viana </w:t>
      </w:r>
      <w:r>
        <w:t xml:space="preserve">e </w:t>
      </w:r>
      <w:r>
        <w:rPr>
          <w:spacing w:val="3"/>
        </w:rPr>
        <w:t xml:space="preserve">Vila </w:t>
      </w:r>
      <w:r>
        <w:rPr>
          <w:spacing w:val="5"/>
        </w:rPr>
        <w:t xml:space="preserve">Velha. </w:t>
      </w:r>
      <w:r>
        <w:t xml:space="preserve">A </w:t>
      </w:r>
      <w:r>
        <w:rPr>
          <w:spacing w:val="5"/>
        </w:rPr>
        <w:t xml:space="preserve">ferrovia, </w:t>
      </w:r>
      <w:r>
        <w:rPr>
          <w:spacing w:val="3"/>
        </w:rPr>
        <w:t xml:space="preserve">fruto </w:t>
      </w:r>
      <w:r>
        <w:rPr>
          <w:spacing w:val="2"/>
        </w:rPr>
        <w:t xml:space="preserve">de </w:t>
      </w:r>
      <w:r>
        <w:rPr>
          <w:spacing w:val="5"/>
        </w:rPr>
        <w:t>uma</w:t>
      </w:r>
      <w:r>
        <w:rPr>
          <w:spacing w:val="61"/>
        </w:rPr>
        <w:t xml:space="preserve"> </w:t>
      </w:r>
      <w:r>
        <w:rPr>
          <w:spacing w:val="3"/>
        </w:rPr>
        <w:t xml:space="preserve">parceria entre </w:t>
      </w:r>
      <w:r>
        <w:t xml:space="preserve">o </w:t>
      </w:r>
      <w:r>
        <w:rPr>
          <w:spacing w:val="3"/>
        </w:rPr>
        <w:t xml:space="preserve">governo </w:t>
      </w:r>
      <w:r>
        <w:rPr>
          <w:spacing w:val="1"/>
        </w:rPr>
        <w:t xml:space="preserve">do </w:t>
      </w:r>
      <w:r>
        <w:rPr>
          <w:spacing w:val="3"/>
        </w:rPr>
        <w:t xml:space="preserve">estado </w:t>
      </w:r>
      <w:r>
        <w:t xml:space="preserve">e a </w:t>
      </w:r>
      <w:r>
        <w:rPr>
          <w:spacing w:val="3"/>
        </w:rPr>
        <w:t xml:space="preserve">Ferrovia </w:t>
      </w:r>
      <w:r>
        <w:rPr>
          <w:spacing w:val="5"/>
        </w:rPr>
        <w:t xml:space="preserve">Centro- </w:t>
      </w:r>
      <w:r>
        <w:rPr>
          <w:spacing w:val="3"/>
        </w:rPr>
        <w:t xml:space="preserve">Atlântica </w:t>
      </w:r>
      <w:r>
        <w:rPr>
          <w:spacing w:val="2"/>
        </w:rPr>
        <w:t xml:space="preserve">S.A, </w:t>
      </w:r>
      <w:r>
        <w:rPr>
          <w:spacing w:val="3"/>
        </w:rPr>
        <w:t xml:space="preserve">empresa subsidiária </w:t>
      </w:r>
      <w:r>
        <w:rPr>
          <w:spacing w:val="1"/>
        </w:rPr>
        <w:t xml:space="preserve">da </w:t>
      </w:r>
      <w:r>
        <w:rPr>
          <w:spacing w:val="3"/>
        </w:rPr>
        <w:t xml:space="preserve">Vale, servirá </w:t>
      </w:r>
      <w:r>
        <w:rPr>
          <w:spacing w:val="2"/>
        </w:rPr>
        <w:t xml:space="preserve">para </w:t>
      </w:r>
      <w:r>
        <w:t xml:space="preserve">o transporte de calcário, granito, produtos siderúrgicos, dentre </w:t>
      </w:r>
      <w:r>
        <w:rPr>
          <w:spacing w:val="3"/>
        </w:rPr>
        <w:t xml:space="preserve">outros, sendo </w:t>
      </w:r>
      <w:r>
        <w:rPr>
          <w:spacing w:val="2"/>
        </w:rPr>
        <w:t xml:space="preserve">uma </w:t>
      </w:r>
      <w:r>
        <w:rPr>
          <w:spacing w:val="3"/>
        </w:rPr>
        <w:t xml:space="preserve">alternativa </w:t>
      </w:r>
      <w:r>
        <w:rPr>
          <w:spacing w:val="1"/>
        </w:rPr>
        <w:t xml:space="preserve">ao </w:t>
      </w:r>
      <w:r>
        <w:rPr>
          <w:spacing w:val="3"/>
        </w:rPr>
        <w:t xml:space="preserve">atual ramal </w:t>
      </w:r>
      <w:r>
        <w:rPr>
          <w:spacing w:val="1"/>
        </w:rPr>
        <w:t xml:space="preserve">da </w:t>
      </w:r>
      <w:r>
        <w:rPr>
          <w:spacing w:val="5"/>
        </w:rPr>
        <w:t xml:space="preserve">Ferrovia </w:t>
      </w:r>
      <w:r>
        <w:t>Centro-Atlântica, que</w:t>
      </w:r>
      <w:r>
        <w:t xml:space="preserve"> atravessa uma região montanhosa entre Vila Velha e Cachoeiro do Itapemirim e que tem custos bem altos. Sitiantes do Vale do Mochuara, em Cariacica, alegam, por exemplo, que a ferrovia poderá destruir os ecossistemas </w:t>
      </w:r>
      <w:r>
        <w:rPr>
          <w:spacing w:val="3"/>
        </w:rPr>
        <w:t xml:space="preserve">do </w:t>
      </w:r>
      <w:r>
        <w:rPr>
          <w:spacing w:val="5"/>
        </w:rPr>
        <w:t xml:space="preserve">vale </w:t>
      </w:r>
      <w:r>
        <w:t xml:space="preserve">e </w:t>
      </w:r>
      <w:r>
        <w:rPr>
          <w:spacing w:val="6"/>
        </w:rPr>
        <w:t xml:space="preserve">desestruturar </w:t>
      </w:r>
      <w:r>
        <w:t xml:space="preserve">a </w:t>
      </w:r>
      <w:r>
        <w:rPr>
          <w:spacing w:val="6"/>
        </w:rPr>
        <w:t xml:space="preserve">economia </w:t>
      </w:r>
      <w:r>
        <w:rPr>
          <w:spacing w:val="5"/>
        </w:rPr>
        <w:t>loca</w:t>
      </w:r>
      <w:r>
        <w:rPr>
          <w:spacing w:val="5"/>
        </w:rPr>
        <w:t xml:space="preserve">l, baseada </w:t>
      </w:r>
      <w:r>
        <w:rPr>
          <w:spacing w:val="7"/>
        </w:rPr>
        <w:t xml:space="preserve">na </w:t>
      </w:r>
      <w:r>
        <w:rPr>
          <w:spacing w:val="5"/>
        </w:rPr>
        <w:t xml:space="preserve">agricultura </w:t>
      </w:r>
      <w:r>
        <w:rPr>
          <w:spacing w:val="2"/>
        </w:rPr>
        <w:t xml:space="preserve">de </w:t>
      </w:r>
      <w:r>
        <w:rPr>
          <w:spacing w:val="5"/>
        </w:rPr>
        <w:t xml:space="preserve">subsistência </w:t>
      </w:r>
      <w:r>
        <w:t xml:space="preserve">e </w:t>
      </w:r>
      <w:r>
        <w:rPr>
          <w:spacing w:val="2"/>
        </w:rPr>
        <w:t xml:space="preserve">no </w:t>
      </w:r>
      <w:r>
        <w:rPr>
          <w:spacing w:val="5"/>
        </w:rPr>
        <w:t xml:space="preserve">ecoturismo. (MAPA </w:t>
      </w:r>
      <w:r>
        <w:rPr>
          <w:spacing w:val="6"/>
        </w:rPr>
        <w:t xml:space="preserve">DA </w:t>
      </w:r>
      <w:r>
        <w:rPr>
          <w:spacing w:val="5"/>
        </w:rPr>
        <w:t xml:space="preserve">INJUSTIÇA AMBIENTAL </w:t>
      </w:r>
      <w:r>
        <w:t xml:space="preserve">E </w:t>
      </w:r>
      <w:r>
        <w:rPr>
          <w:spacing w:val="5"/>
        </w:rPr>
        <w:t xml:space="preserve">SAÚDE </w:t>
      </w:r>
      <w:r>
        <w:rPr>
          <w:spacing w:val="2"/>
        </w:rPr>
        <w:t xml:space="preserve">NO </w:t>
      </w:r>
      <w:r>
        <w:rPr>
          <w:spacing w:val="5"/>
        </w:rPr>
        <w:t xml:space="preserve">BRASIL, </w:t>
      </w:r>
      <w:r>
        <w:rPr>
          <w:spacing w:val="6"/>
        </w:rPr>
        <w:t>2009).</w:t>
      </w:r>
    </w:p>
    <w:p w:rsidR="00D81F69" w:rsidRDefault="00330118">
      <w:pPr>
        <w:pStyle w:val="Corpodetexto"/>
        <w:spacing w:before="146" w:line="312" w:lineRule="auto"/>
        <w:ind w:right="193"/>
      </w:pPr>
      <w:r>
        <w:t>Em 2010, foi iniciado o projeto “Desenvolvimento Territorial do APL de Rochas Ornamentais de Cachoeiro de Itapemirim”. Financiado pelo Banco I</w:t>
      </w:r>
      <w:r>
        <w:t>nteramericano de Desenvolvimento (BID) e pela Confederação Nacional da Indústria (CNI). O objetivo da iniciativa é não só fortalecer as empresas do setor por meio da formação de redes empresariais, como também impulsionar o APL de Rochas do Espírito Santo.</w:t>
      </w:r>
      <w:r>
        <w:t xml:space="preserve"> No entanto, o projeto ainda se encontra no início e apresenta pouca participação dos empresários (CASTRO et al., 2011).</w:t>
      </w:r>
    </w:p>
    <w:p w:rsidR="00D81F69" w:rsidRDefault="00D81F69">
      <w:pPr>
        <w:pStyle w:val="Corpodetexto"/>
        <w:spacing w:before="8"/>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203"/>
      </w:pPr>
      <w:r>
        <w:t>As ocorrências de rochas ornamentais do município de Cachoeiro de Itapemirim acontecem na bacia do rio Itapemir</w:t>
      </w:r>
      <w:r>
        <w:t>im que deságua no mar, entre as latitudes 20°57’5”S</w:t>
      </w:r>
    </w:p>
    <w:p w:rsidR="00D81F69" w:rsidRDefault="00330118">
      <w:pPr>
        <w:pStyle w:val="Corpodetexto"/>
        <w:spacing w:before="3"/>
      </w:pPr>
      <w:r>
        <w:t>– 20°37’22”S e longitudes 41°2’5”W – 41°17’31”W.</w:t>
      </w:r>
    </w:p>
    <w:p w:rsidR="00D81F69" w:rsidRDefault="00D81F69">
      <w:pPr>
        <w:pStyle w:val="Corpodetexto"/>
        <w:ind w:left="0"/>
        <w:jc w:val="left"/>
        <w:rPr>
          <w:sz w:val="20"/>
        </w:rPr>
      </w:pPr>
    </w:p>
    <w:p w:rsidR="00D81F69" w:rsidRDefault="00330118">
      <w:pPr>
        <w:pStyle w:val="Heading7"/>
        <w:spacing w:before="164"/>
      </w:pPr>
      <w:r>
        <w:t>REDATORES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189"/>
        <w:jc w:val="both"/>
        <w:rPr>
          <w:sz w:val="16"/>
        </w:rPr>
      </w:pPr>
      <w:r>
        <w:rPr>
          <w:sz w:val="16"/>
        </w:rPr>
        <w:t>A GAZETA. Novo polo de industrial de Nova Venécia atrai diversas multinacionais. In: Mineracan, 01 out. 2010. Disponível em:</w:t>
      </w:r>
    </w:p>
    <w:p w:rsidR="00D81F69" w:rsidRDefault="00D81F69">
      <w:pPr>
        <w:spacing w:before="1" w:line="312" w:lineRule="auto"/>
        <w:ind w:left="100" w:right="197"/>
        <w:jc w:val="both"/>
        <w:rPr>
          <w:sz w:val="16"/>
        </w:rPr>
      </w:pPr>
      <w:hyperlink r:id="rId1026">
        <w:r w:rsidR="00330118">
          <w:rPr>
            <w:sz w:val="16"/>
          </w:rPr>
          <w:t xml:space="preserve">&lt;http://www.mineracan.com.br/novidades.htm&gt;. </w:t>
        </w:r>
      </w:hyperlink>
      <w:r w:rsidR="00330118">
        <w:rPr>
          <w:sz w:val="16"/>
        </w:rPr>
        <w:t>Acesso em: 22 out. 2010.</w:t>
      </w:r>
    </w:p>
    <w:p w:rsidR="00D81F69" w:rsidRDefault="00330118">
      <w:pPr>
        <w:spacing w:before="2" w:line="312" w:lineRule="auto"/>
        <w:ind w:left="100" w:right="194"/>
        <w:jc w:val="both"/>
        <w:rPr>
          <w:sz w:val="16"/>
        </w:rPr>
      </w:pPr>
      <w:r>
        <w:rPr>
          <w:sz w:val="16"/>
        </w:rPr>
        <w:t>BA</w:t>
      </w:r>
      <w:r>
        <w:rPr>
          <w:sz w:val="16"/>
        </w:rPr>
        <w:t>NDES, Banco de Desenvolvimento do Espírito Santo. Feira do Mármore e Granito em Cachoeiro, 23 ago. 2011. Disponível em:</w:t>
      </w:r>
    </w:p>
    <w:p w:rsidR="00D81F69" w:rsidRDefault="00D81F69">
      <w:pPr>
        <w:spacing w:before="1" w:line="312" w:lineRule="auto"/>
        <w:ind w:left="100" w:right="214"/>
        <w:jc w:val="both"/>
        <w:rPr>
          <w:sz w:val="16"/>
        </w:rPr>
      </w:pPr>
      <w:hyperlink r:id="rId1027">
        <w:r w:rsidR="00330118">
          <w:rPr>
            <w:sz w:val="16"/>
          </w:rPr>
          <w:t xml:space="preserve">&lt;https://www.bandes.com.br/Site/Dinamico/Show?id=223&gt;. </w:t>
        </w:r>
      </w:hyperlink>
      <w:r w:rsidR="00330118">
        <w:rPr>
          <w:sz w:val="16"/>
        </w:rPr>
        <w:t>Acesso em: 16</w:t>
      </w:r>
      <w:r w:rsidR="00330118">
        <w:rPr>
          <w:sz w:val="16"/>
        </w:rPr>
        <w:t xml:space="preserve"> nov. 2011.</w:t>
      </w:r>
    </w:p>
    <w:p w:rsidR="00D81F69" w:rsidRDefault="00330118">
      <w:pPr>
        <w:spacing w:before="2" w:line="312" w:lineRule="auto"/>
        <w:ind w:left="100" w:right="194"/>
        <w:jc w:val="both"/>
        <w:rPr>
          <w:sz w:val="16"/>
        </w:rPr>
      </w:pPr>
      <w:r>
        <w:rPr>
          <w:sz w:val="16"/>
        </w:rPr>
        <w:t>BORLONI, Mônica Castoldi; PAZETO, Abiliane Andrade; CORREA, Julio Cesar Guedes; REIS, Alessandra; CARANASSIOS Adriano. Caracterização de resíduo proveniente do beneficiamento de rochas</w:t>
      </w:r>
    </w:p>
    <w:p w:rsidR="00D81F69" w:rsidRDefault="00330118">
      <w:pPr>
        <w:spacing w:before="3"/>
        <w:ind w:left="100"/>
        <w:jc w:val="both"/>
        <w:rPr>
          <w:sz w:val="16"/>
        </w:rPr>
      </w:pPr>
      <w:r>
        <w:rPr>
          <w:sz w:val="16"/>
        </w:rPr>
        <w:t>ornamentais  para  incorporação  em  cerâmica  argilosa. Ce</w:t>
      </w:r>
      <w:r>
        <w:rPr>
          <w:sz w:val="16"/>
        </w:rPr>
        <w:t>tem,</w:t>
      </w:r>
    </w:p>
    <w:p w:rsidR="00D81F69" w:rsidRDefault="00D81F69">
      <w:pPr>
        <w:jc w:val="both"/>
        <w:rPr>
          <w:sz w:val="16"/>
        </w:rPr>
        <w:sectPr w:rsidR="00D81F69">
          <w:pgSz w:w="11900" w:h="16840"/>
          <w:pgMar w:top="740" w:right="500" w:bottom="700" w:left="620" w:header="0" w:footer="402" w:gutter="0"/>
          <w:cols w:num="2" w:space="720" w:equalWidth="0">
            <w:col w:w="5159" w:space="311"/>
            <w:col w:w="5310"/>
          </w:cols>
        </w:sectPr>
      </w:pPr>
    </w:p>
    <w:p w:rsidR="00D81F69" w:rsidRDefault="00330118">
      <w:pPr>
        <w:spacing w:before="70"/>
        <w:ind w:left="100"/>
        <w:jc w:val="both"/>
        <w:rPr>
          <w:sz w:val="16"/>
        </w:rPr>
      </w:pPr>
      <w:r>
        <w:rPr>
          <w:spacing w:val="16"/>
          <w:sz w:val="16"/>
        </w:rPr>
        <w:lastRenderedPageBreak/>
        <w:t xml:space="preserve">Cachoeiro </w:t>
      </w:r>
      <w:r>
        <w:rPr>
          <w:spacing w:val="10"/>
          <w:sz w:val="16"/>
        </w:rPr>
        <w:t xml:space="preserve">de </w:t>
      </w:r>
      <w:r>
        <w:rPr>
          <w:spacing w:val="17"/>
          <w:sz w:val="16"/>
        </w:rPr>
        <w:t xml:space="preserve">Itapemirim, </w:t>
      </w:r>
      <w:r>
        <w:rPr>
          <w:spacing w:val="15"/>
          <w:sz w:val="16"/>
        </w:rPr>
        <w:t xml:space="preserve">dez. 2008. </w:t>
      </w:r>
      <w:r>
        <w:rPr>
          <w:spacing w:val="17"/>
          <w:sz w:val="16"/>
        </w:rPr>
        <w:t>Disponível</w:t>
      </w:r>
      <w:r>
        <w:rPr>
          <w:spacing w:val="77"/>
          <w:sz w:val="16"/>
        </w:rPr>
        <w:t xml:space="preserve"> </w:t>
      </w:r>
      <w:r>
        <w:rPr>
          <w:spacing w:val="12"/>
          <w:sz w:val="16"/>
        </w:rPr>
        <w:t>em:</w:t>
      </w:r>
      <w:r>
        <w:rPr>
          <w:spacing w:val="-24"/>
          <w:sz w:val="16"/>
        </w:rPr>
        <w:t xml:space="preserve"> </w:t>
      </w:r>
    </w:p>
    <w:p w:rsidR="00D81F69" w:rsidRDefault="00D81F69">
      <w:pPr>
        <w:spacing w:before="56" w:line="312" w:lineRule="auto"/>
        <w:ind w:left="100" w:right="66"/>
        <w:jc w:val="both"/>
        <w:rPr>
          <w:sz w:val="16"/>
        </w:rPr>
      </w:pPr>
      <w:hyperlink r:id="rId1028">
        <w:r w:rsidR="00330118">
          <w:rPr>
            <w:sz w:val="16"/>
          </w:rPr>
          <w:t>&lt;http://www.cetem.gov.br/publicacao/CTs/CT2008-128-00.pdf&gt;.</w:t>
        </w:r>
      </w:hyperlink>
      <w:r w:rsidR="00330118">
        <w:rPr>
          <w:sz w:val="16"/>
        </w:rPr>
        <w:t xml:space="preserve"> Acesso em: 10 ago. 2010.</w:t>
      </w:r>
    </w:p>
    <w:p w:rsidR="00D81F69" w:rsidRDefault="00330118">
      <w:pPr>
        <w:spacing w:before="1" w:line="312" w:lineRule="auto"/>
        <w:ind w:left="100" w:right="66"/>
        <w:jc w:val="both"/>
        <w:rPr>
          <w:sz w:val="16"/>
        </w:rPr>
      </w:pPr>
      <w:r>
        <w:rPr>
          <w:sz w:val="16"/>
        </w:rPr>
        <w:t>CAMPOS, Antonio Rodrigues de; CASTRO, Nuria Fernández. Tratamento e aproveitamento de resíduos de rochas ornamentais. XXII ENTMME / VII MSHMT – XXII Encontro Nacional de Tratamento de Minérios e Metalurgia Extrativa, 20-24 nov. 2007, Ouro Preto - MG. Dispo</w:t>
      </w:r>
      <w:r>
        <w:rPr>
          <w:sz w:val="16"/>
        </w:rPr>
        <w:t xml:space="preserve">nível em: </w:t>
      </w:r>
      <w:hyperlink r:id="rId1029">
        <w:r>
          <w:rPr>
            <w:sz w:val="16"/>
          </w:rPr>
          <w:t>&lt;http://www.cetem.gov.br/publicacao/CTs/CT2007-</w:t>
        </w:r>
      </w:hyperlink>
      <w:r>
        <w:rPr>
          <w:sz w:val="16"/>
        </w:rPr>
        <w:t xml:space="preserve"> 090-00.pdf&gt;. Acesso em: em 17 ago. 2010.</w:t>
      </w:r>
    </w:p>
    <w:p w:rsidR="00D81F69" w:rsidRDefault="00330118">
      <w:pPr>
        <w:spacing w:before="5" w:line="312" w:lineRule="auto"/>
        <w:ind w:left="100" w:right="65"/>
        <w:jc w:val="both"/>
        <w:rPr>
          <w:sz w:val="16"/>
        </w:rPr>
      </w:pPr>
      <w:r>
        <w:rPr>
          <w:sz w:val="16"/>
        </w:rPr>
        <w:t>CARANASSIOS, Adriano. Panorama das rochas ornamentais do estado do Espírito Santo. Série Roch</w:t>
      </w:r>
      <w:r>
        <w:rPr>
          <w:sz w:val="16"/>
        </w:rPr>
        <w:t>as e Minerais Industriais. Avanços e Transferência Tecnológica em Rocha Ornamental. CETEM-MCT, Rio de Janeiro, 2001, p. 107-116. Disponível em:</w:t>
      </w:r>
    </w:p>
    <w:p w:rsidR="00D81F69" w:rsidRDefault="00D81F69">
      <w:pPr>
        <w:spacing w:before="3" w:line="312" w:lineRule="auto"/>
        <w:ind w:left="100" w:right="66"/>
        <w:jc w:val="both"/>
        <w:rPr>
          <w:sz w:val="16"/>
        </w:rPr>
      </w:pPr>
      <w:hyperlink r:id="rId1030">
        <w:r w:rsidR="00330118">
          <w:rPr>
            <w:sz w:val="16"/>
          </w:rPr>
          <w:t>&lt;www.minas.upm.es/.../R_O_Espiri</w:t>
        </w:r>
        <w:r w:rsidR="00330118">
          <w:rPr>
            <w:sz w:val="16"/>
          </w:rPr>
          <w:t>tu_Santo_Caranassios.pdf&gt;.</w:t>
        </w:r>
      </w:hyperlink>
      <w:r w:rsidR="00330118">
        <w:rPr>
          <w:sz w:val="16"/>
        </w:rPr>
        <w:t xml:space="preserve"> Acesso em: em 10 ago. 2010.</w:t>
      </w:r>
    </w:p>
    <w:p w:rsidR="00D81F69" w:rsidRDefault="00330118">
      <w:pPr>
        <w:spacing w:before="2" w:line="312" w:lineRule="auto"/>
        <w:ind w:left="100" w:right="38"/>
        <w:jc w:val="both"/>
        <w:rPr>
          <w:sz w:val="16"/>
        </w:rPr>
      </w:pPr>
      <w:r>
        <w:rPr>
          <w:sz w:val="16"/>
        </w:rPr>
        <w:t xml:space="preserve">CASTRO, Nuria Fernández; MARCON, Douglas Bortolotte; FREIRE, </w:t>
      </w:r>
      <w:r>
        <w:rPr>
          <w:spacing w:val="5"/>
          <w:sz w:val="16"/>
        </w:rPr>
        <w:t xml:space="preserve">Leonardo Cattabriga; </w:t>
      </w:r>
      <w:r>
        <w:rPr>
          <w:spacing w:val="3"/>
          <w:sz w:val="16"/>
        </w:rPr>
        <w:t xml:space="preserve">LIMA, </w:t>
      </w:r>
      <w:r>
        <w:rPr>
          <w:spacing w:val="5"/>
          <w:sz w:val="16"/>
        </w:rPr>
        <w:t xml:space="preserve">Eunice Freitas; ALMEIDA, Phillipe </w:t>
      </w:r>
      <w:r>
        <w:rPr>
          <w:sz w:val="16"/>
        </w:rPr>
        <w:t>Fernandes de. Impacto do APL de rochas ornamentais do Espírito Santo nas comuni</w:t>
      </w:r>
      <w:r>
        <w:rPr>
          <w:sz w:val="16"/>
        </w:rPr>
        <w:t xml:space="preserve">dades. In: FERNANDES, Francisco Rego Chaves; ENRIQUEZ, Maria Amélia; ALAMINO, Renata Carvalho. Recursos </w:t>
      </w:r>
      <w:r>
        <w:rPr>
          <w:spacing w:val="3"/>
          <w:sz w:val="16"/>
        </w:rPr>
        <w:t xml:space="preserve">Minerais </w:t>
      </w:r>
      <w:r>
        <w:rPr>
          <w:sz w:val="16"/>
        </w:rPr>
        <w:t xml:space="preserve">e </w:t>
      </w:r>
      <w:r>
        <w:rPr>
          <w:spacing w:val="3"/>
          <w:sz w:val="16"/>
        </w:rPr>
        <w:t xml:space="preserve">Territorialidade: </w:t>
      </w:r>
      <w:r>
        <w:rPr>
          <w:spacing w:val="1"/>
          <w:sz w:val="16"/>
        </w:rPr>
        <w:t xml:space="preserve">v. 1. </w:t>
      </w:r>
      <w:r>
        <w:rPr>
          <w:spacing w:val="3"/>
          <w:sz w:val="16"/>
        </w:rPr>
        <w:t xml:space="preserve">Grandes Minas </w:t>
      </w:r>
      <w:r>
        <w:rPr>
          <w:sz w:val="16"/>
        </w:rPr>
        <w:t xml:space="preserve">e </w:t>
      </w:r>
      <w:r>
        <w:rPr>
          <w:spacing w:val="5"/>
          <w:sz w:val="16"/>
        </w:rPr>
        <w:t xml:space="preserve">Comunidades </w:t>
      </w:r>
      <w:r>
        <w:rPr>
          <w:spacing w:val="30"/>
          <w:sz w:val="16"/>
        </w:rPr>
        <w:t>Locais</w:t>
      </w:r>
      <w:r>
        <w:rPr>
          <w:spacing w:val="105"/>
          <w:sz w:val="16"/>
        </w:rPr>
        <w:t xml:space="preserve"> </w:t>
      </w:r>
      <w:r>
        <w:rPr>
          <w:spacing w:val="33"/>
          <w:sz w:val="16"/>
        </w:rPr>
        <w:t xml:space="preserve">CETEM/MCTI, </w:t>
      </w:r>
      <w:r>
        <w:rPr>
          <w:spacing w:val="30"/>
          <w:sz w:val="16"/>
        </w:rPr>
        <w:t xml:space="preserve">2011. </w:t>
      </w:r>
      <w:r>
        <w:rPr>
          <w:spacing w:val="33"/>
          <w:sz w:val="16"/>
        </w:rPr>
        <w:t>Disponível</w:t>
      </w:r>
      <w:r>
        <w:rPr>
          <w:spacing w:val="32"/>
          <w:sz w:val="16"/>
        </w:rPr>
        <w:t xml:space="preserve"> </w:t>
      </w:r>
      <w:r>
        <w:rPr>
          <w:spacing w:val="25"/>
          <w:sz w:val="16"/>
        </w:rPr>
        <w:t>em:</w:t>
      </w:r>
      <w:r>
        <w:rPr>
          <w:spacing w:val="-5"/>
          <w:sz w:val="16"/>
        </w:rPr>
        <w:t xml:space="preserve"> </w:t>
      </w:r>
    </w:p>
    <w:p w:rsidR="00D81F69" w:rsidRDefault="00D81F69">
      <w:pPr>
        <w:spacing w:before="6" w:line="312" w:lineRule="auto"/>
        <w:ind w:left="100" w:right="67"/>
        <w:jc w:val="both"/>
        <w:rPr>
          <w:sz w:val="16"/>
        </w:rPr>
      </w:pPr>
      <w:hyperlink r:id="rId1031">
        <w:r w:rsidR="00330118">
          <w:rPr>
            <w:sz w:val="16"/>
          </w:rPr>
          <w:t>&lt;http://www.cetem.gov.br/workshop/pdf/vol1grandesminas.pdf&gt;.</w:t>
        </w:r>
      </w:hyperlink>
      <w:r w:rsidR="00330118">
        <w:rPr>
          <w:sz w:val="16"/>
        </w:rPr>
        <w:t xml:space="preserve"> Acesso em: 16 nov. 2011.</w:t>
      </w:r>
    </w:p>
    <w:p w:rsidR="00D81F69" w:rsidRDefault="00330118">
      <w:pPr>
        <w:spacing w:before="2" w:line="312" w:lineRule="auto"/>
        <w:ind w:left="100"/>
        <w:rPr>
          <w:sz w:val="16"/>
        </w:rPr>
      </w:pPr>
      <w:r>
        <w:rPr>
          <w:sz w:val="16"/>
        </w:rPr>
        <w:t xml:space="preserve">CHIODI FILHO, Cid. A expressão brasileira no setor de rochas ornamentais. Pedras do Brasil – Revista da Cadeia Produtiva de Rochas Ornamentais </w:t>
      </w:r>
      <w:r>
        <w:rPr>
          <w:sz w:val="16"/>
        </w:rPr>
        <w:t>do Brasil, n.18, Ano II, set. 2003, p.38-39. IBGE. Instituto Brasileiro de Geografia e Estatística. Cachoeiro do Itapemirim (ES). In: IBGE Cidades, 2010a. Disponível em:</w:t>
      </w:r>
    </w:p>
    <w:p w:rsidR="00D81F69" w:rsidRDefault="00D81F69">
      <w:pPr>
        <w:spacing w:before="4" w:line="312" w:lineRule="auto"/>
        <w:ind w:left="100" w:right="91"/>
        <w:jc w:val="both"/>
        <w:rPr>
          <w:sz w:val="16"/>
        </w:rPr>
      </w:pPr>
      <w:hyperlink r:id="rId1032">
        <w:r w:rsidR="00330118">
          <w:rPr>
            <w:sz w:val="16"/>
          </w:rPr>
          <w:t>&lt;http://www.ibge.gov</w:t>
        </w:r>
        <w:r w:rsidR="00330118">
          <w:rPr>
            <w:sz w:val="16"/>
          </w:rPr>
          <w:t xml:space="preserve">.br/cidadesat/topwindow.htm?1&gt;. </w:t>
        </w:r>
      </w:hyperlink>
      <w:r w:rsidR="00330118">
        <w:rPr>
          <w:sz w:val="16"/>
        </w:rPr>
        <w:t>Acesso em: 10 ago. 2010.</w:t>
      </w:r>
    </w:p>
    <w:p w:rsidR="00D81F69" w:rsidRDefault="00330118">
      <w:pPr>
        <w:tabs>
          <w:tab w:val="left" w:pos="642"/>
        </w:tabs>
        <w:spacing w:before="1" w:line="312" w:lineRule="auto"/>
        <w:ind w:left="100" w:right="42"/>
        <w:jc w:val="both"/>
        <w:rPr>
          <w:sz w:val="16"/>
        </w:rPr>
      </w:pPr>
      <w:r>
        <w:rPr>
          <w:sz w:val="16"/>
          <w:u w:val="single"/>
        </w:rPr>
        <w:t xml:space="preserve"> </w:t>
      </w:r>
      <w:r>
        <w:rPr>
          <w:sz w:val="16"/>
          <w:u w:val="single"/>
        </w:rPr>
        <w:tab/>
      </w:r>
      <w:r>
        <w:rPr>
          <w:sz w:val="16"/>
        </w:rPr>
        <w:t xml:space="preserve">. Instituto Brasileiro de Geografia e Estatística. Nova Venécia </w:t>
      </w:r>
      <w:r>
        <w:rPr>
          <w:spacing w:val="20"/>
          <w:sz w:val="16"/>
        </w:rPr>
        <w:t>(ES).</w:t>
      </w:r>
      <w:r>
        <w:rPr>
          <w:spacing w:val="85"/>
          <w:sz w:val="16"/>
        </w:rPr>
        <w:t xml:space="preserve"> </w:t>
      </w:r>
      <w:r>
        <w:rPr>
          <w:spacing w:val="17"/>
          <w:sz w:val="16"/>
        </w:rPr>
        <w:t xml:space="preserve">In: </w:t>
      </w:r>
      <w:r>
        <w:rPr>
          <w:spacing w:val="20"/>
          <w:sz w:val="16"/>
        </w:rPr>
        <w:t xml:space="preserve">IBGE </w:t>
      </w:r>
      <w:r>
        <w:rPr>
          <w:spacing w:val="22"/>
          <w:sz w:val="16"/>
        </w:rPr>
        <w:t xml:space="preserve">Cidades, </w:t>
      </w:r>
      <w:r>
        <w:rPr>
          <w:spacing w:val="21"/>
          <w:sz w:val="16"/>
        </w:rPr>
        <w:t xml:space="preserve">2010b. </w:t>
      </w:r>
      <w:r>
        <w:rPr>
          <w:spacing w:val="23"/>
          <w:sz w:val="16"/>
        </w:rPr>
        <w:t>Disponível</w:t>
      </w:r>
      <w:r>
        <w:rPr>
          <w:spacing w:val="57"/>
          <w:sz w:val="16"/>
        </w:rPr>
        <w:t xml:space="preserve"> </w:t>
      </w:r>
      <w:r>
        <w:rPr>
          <w:spacing w:val="17"/>
          <w:sz w:val="16"/>
        </w:rPr>
        <w:t>em:</w:t>
      </w:r>
      <w:r>
        <w:rPr>
          <w:spacing w:val="-16"/>
          <w:sz w:val="16"/>
        </w:rPr>
        <w:t xml:space="preserve"> </w:t>
      </w:r>
    </w:p>
    <w:p w:rsidR="00D81F69" w:rsidRDefault="00D81F69">
      <w:pPr>
        <w:spacing w:before="2" w:line="312" w:lineRule="auto"/>
        <w:ind w:left="100" w:right="66"/>
        <w:jc w:val="both"/>
        <w:rPr>
          <w:sz w:val="16"/>
        </w:rPr>
      </w:pPr>
      <w:hyperlink r:id="rId1033">
        <w:r w:rsidR="00330118">
          <w:rPr>
            <w:sz w:val="16"/>
          </w:rPr>
          <w:t>&lt;</w:t>
        </w:r>
        <w:r w:rsidR="00330118">
          <w:rPr>
            <w:sz w:val="16"/>
          </w:rPr>
          <w:t>http://www.ibge.gov.br/cidadesat/topwindow.ht%E2%80%A6&gt;.</w:t>
        </w:r>
      </w:hyperlink>
      <w:r w:rsidR="00330118">
        <w:rPr>
          <w:sz w:val="16"/>
        </w:rPr>
        <w:t xml:space="preserve"> Acesso em: 10 ago. 2010.</w:t>
      </w:r>
    </w:p>
    <w:p w:rsidR="00D81F69" w:rsidRDefault="00330118">
      <w:pPr>
        <w:spacing w:before="2" w:line="312" w:lineRule="auto"/>
        <w:ind w:left="100" w:right="52"/>
        <w:jc w:val="both"/>
        <w:rPr>
          <w:sz w:val="16"/>
        </w:rPr>
      </w:pPr>
      <w:r>
        <w:rPr>
          <w:sz w:val="16"/>
        </w:rPr>
        <w:t xml:space="preserve">INOVAÇÃO TECNOLÓGICA. Vidro é criado a partir de resíduos de </w:t>
      </w:r>
      <w:r>
        <w:rPr>
          <w:spacing w:val="18"/>
          <w:sz w:val="16"/>
        </w:rPr>
        <w:t xml:space="preserve">rochas </w:t>
      </w:r>
      <w:r>
        <w:rPr>
          <w:spacing w:val="20"/>
          <w:sz w:val="16"/>
        </w:rPr>
        <w:t>ornamentais,</w:t>
      </w:r>
      <w:r>
        <w:rPr>
          <w:spacing w:val="85"/>
          <w:sz w:val="16"/>
        </w:rPr>
        <w:t xml:space="preserve"> </w:t>
      </w:r>
      <w:r>
        <w:rPr>
          <w:spacing w:val="10"/>
          <w:sz w:val="16"/>
        </w:rPr>
        <w:t>30</w:t>
      </w:r>
      <w:r>
        <w:rPr>
          <w:spacing w:val="65"/>
          <w:sz w:val="16"/>
        </w:rPr>
        <w:t xml:space="preserve"> </w:t>
      </w:r>
      <w:r>
        <w:rPr>
          <w:spacing w:val="16"/>
          <w:sz w:val="16"/>
        </w:rPr>
        <w:t xml:space="preserve">jul. </w:t>
      </w:r>
      <w:r>
        <w:rPr>
          <w:spacing w:val="17"/>
          <w:sz w:val="16"/>
        </w:rPr>
        <w:t xml:space="preserve">2009. </w:t>
      </w:r>
      <w:r>
        <w:rPr>
          <w:spacing w:val="20"/>
          <w:sz w:val="16"/>
        </w:rPr>
        <w:t xml:space="preserve">Disponível </w:t>
      </w:r>
      <w:r>
        <w:rPr>
          <w:spacing w:val="15"/>
          <w:sz w:val="16"/>
        </w:rPr>
        <w:t>em:</w:t>
      </w:r>
      <w:r>
        <w:rPr>
          <w:spacing w:val="-20"/>
          <w:sz w:val="16"/>
        </w:rPr>
        <w:t xml:space="preserve"> </w:t>
      </w:r>
    </w:p>
    <w:p w:rsidR="00D81F69" w:rsidRDefault="00D81F69">
      <w:pPr>
        <w:spacing w:before="1" w:line="312" w:lineRule="auto"/>
        <w:ind w:left="100" w:right="70"/>
        <w:jc w:val="both"/>
        <w:rPr>
          <w:sz w:val="16"/>
        </w:rPr>
      </w:pPr>
      <w:hyperlink r:id="rId1034">
        <w:r w:rsidR="00330118">
          <w:rPr>
            <w:sz w:val="16"/>
          </w:rPr>
          <w:t>&lt;http://www.inovacaotecnologica.com.br/noticias/noticia.php?artigo=vi</w:t>
        </w:r>
      </w:hyperlink>
      <w:r w:rsidR="00330118">
        <w:rPr>
          <w:sz w:val="16"/>
        </w:rPr>
        <w:t xml:space="preserve"> dro-criado-partir-residuos-rochas-ornamentais&amp;id=010160090730&gt;. Acesso em: 11 ago. 2010.</w:t>
      </w:r>
    </w:p>
    <w:p w:rsidR="00D81F69" w:rsidRDefault="00330118">
      <w:pPr>
        <w:spacing w:before="3" w:line="312" w:lineRule="auto"/>
        <w:ind w:left="100" w:right="49"/>
        <w:jc w:val="both"/>
        <w:rPr>
          <w:sz w:val="16"/>
        </w:rPr>
      </w:pPr>
      <w:r>
        <w:rPr>
          <w:sz w:val="16"/>
        </w:rPr>
        <w:t>GIACONI, Wagn</w:t>
      </w:r>
      <w:r>
        <w:rPr>
          <w:sz w:val="16"/>
        </w:rPr>
        <w:t xml:space="preserve">er J. Perfil atual da indústria de rochas ornamentais </w:t>
      </w:r>
      <w:r>
        <w:rPr>
          <w:spacing w:val="5"/>
          <w:sz w:val="16"/>
        </w:rPr>
        <w:t xml:space="preserve">no </w:t>
      </w:r>
      <w:r>
        <w:rPr>
          <w:spacing w:val="7"/>
          <w:sz w:val="16"/>
        </w:rPr>
        <w:t xml:space="preserve">município </w:t>
      </w:r>
      <w:r>
        <w:rPr>
          <w:spacing w:val="5"/>
          <w:sz w:val="16"/>
        </w:rPr>
        <w:t xml:space="preserve">de </w:t>
      </w:r>
      <w:r>
        <w:rPr>
          <w:spacing w:val="7"/>
          <w:sz w:val="16"/>
        </w:rPr>
        <w:t xml:space="preserve">Cachoeiro </w:t>
      </w:r>
      <w:r>
        <w:rPr>
          <w:spacing w:val="5"/>
          <w:sz w:val="16"/>
        </w:rPr>
        <w:t xml:space="preserve">do </w:t>
      </w:r>
      <w:r>
        <w:rPr>
          <w:spacing w:val="8"/>
          <w:sz w:val="16"/>
        </w:rPr>
        <w:t xml:space="preserve">Itapemirim (ES).1998, </w:t>
      </w:r>
      <w:r>
        <w:rPr>
          <w:spacing w:val="5"/>
          <w:sz w:val="16"/>
        </w:rPr>
        <w:t xml:space="preserve">346 </w:t>
      </w:r>
      <w:r>
        <w:rPr>
          <w:spacing w:val="10"/>
          <w:sz w:val="16"/>
        </w:rPr>
        <w:t xml:space="preserve">f. </w:t>
      </w:r>
      <w:r>
        <w:rPr>
          <w:sz w:val="16"/>
        </w:rPr>
        <w:t xml:space="preserve">Dissertação (Mestrado em Geociências). Universidade Estadual de </w:t>
      </w:r>
      <w:r>
        <w:rPr>
          <w:spacing w:val="21"/>
          <w:sz w:val="16"/>
        </w:rPr>
        <w:t xml:space="preserve">Campinas, Campinas, </w:t>
      </w:r>
      <w:r>
        <w:rPr>
          <w:spacing w:val="15"/>
          <w:sz w:val="16"/>
        </w:rPr>
        <w:t>São</w:t>
      </w:r>
      <w:r>
        <w:rPr>
          <w:spacing w:val="75"/>
          <w:sz w:val="16"/>
        </w:rPr>
        <w:t xml:space="preserve"> </w:t>
      </w:r>
      <w:r>
        <w:rPr>
          <w:spacing w:val="20"/>
          <w:sz w:val="16"/>
        </w:rPr>
        <w:t xml:space="preserve">Paulo. </w:t>
      </w:r>
      <w:r>
        <w:rPr>
          <w:spacing w:val="21"/>
          <w:sz w:val="16"/>
        </w:rPr>
        <w:t>Disponível</w:t>
      </w:r>
      <w:r>
        <w:rPr>
          <w:spacing w:val="50"/>
          <w:sz w:val="16"/>
        </w:rPr>
        <w:t xml:space="preserve"> </w:t>
      </w:r>
      <w:r>
        <w:rPr>
          <w:spacing w:val="15"/>
          <w:sz w:val="16"/>
        </w:rPr>
        <w:t>em:</w:t>
      </w:r>
      <w:r>
        <w:rPr>
          <w:spacing w:val="-18"/>
          <w:sz w:val="16"/>
        </w:rPr>
        <w:t xml:space="preserve"> </w:t>
      </w:r>
    </w:p>
    <w:p w:rsidR="00D81F69" w:rsidRDefault="00D81F69">
      <w:pPr>
        <w:spacing w:before="3" w:line="312" w:lineRule="auto"/>
        <w:ind w:left="100" w:right="74"/>
        <w:jc w:val="both"/>
        <w:rPr>
          <w:sz w:val="16"/>
        </w:rPr>
      </w:pPr>
      <w:hyperlink r:id="rId1035">
        <w:r w:rsidR="00330118">
          <w:rPr>
            <w:sz w:val="16"/>
          </w:rPr>
          <w:t>&lt;http://www.redetec.org.br/publique/media/Perfilatualrochasornament</w:t>
        </w:r>
      </w:hyperlink>
      <w:r w:rsidR="00330118">
        <w:rPr>
          <w:sz w:val="16"/>
        </w:rPr>
        <w:t xml:space="preserve"> aismunicipioCachoeiroItapemirimES.pdf&gt;. Acesso em: 10 ago. 2010. MAGACHO, Idenisia; SILVA, Ronieli Barbosa</w:t>
      </w:r>
      <w:r w:rsidR="00330118">
        <w:rPr>
          <w:sz w:val="16"/>
        </w:rPr>
        <w:t xml:space="preserve"> da; BRAGA, Florindo dos Santos; PREZOTTI, Júlio César Simões. Identificação e gerenciamento dos resíduos gerados em empresas de beneficiamento de rochas ornamentais localizadas no município de Nova Venécia/ES – Brasil. XXX Congreso Interamericano de Ingen</w:t>
      </w:r>
      <w:r w:rsidR="00330118">
        <w:rPr>
          <w:sz w:val="16"/>
        </w:rPr>
        <w:t>iería Sanitaria y Ambiental, 26-30 nov., 2006.</w:t>
      </w:r>
    </w:p>
    <w:p w:rsidR="00D81F69" w:rsidRDefault="00330118">
      <w:pPr>
        <w:spacing w:before="6"/>
        <w:ind w:left="100"/>
        <w:jc w:val="both"/>
        <w:rPr>
          <w:sz w:val="16"/>
        </w:rPr>
      </w:pPr>
      <w:r>
        <w:rPr>
          <w:sz w:val="16"/>
        </w:rPr>
        <w:t>Punta del Este – Uruguay. Disponível em:</w:t>
      </w:r>
    </w:p>
    <w:p w:rsidR="00D81F69" w:rsidRDefault="00330118">
      <w:pPr>
        <w:spacing w:before="70" w:line="312" w:lineRule="auto"/>
        <w:ind w:left="100" w:right="216"/>
        <w:jc w:val="both"/>
        <w:rPr>
          <w:sz w:val="16"/>
        </w:rPr>
      </w:pPr>
      <w:r>
        <w:br w:type="column"/>
      </w:r>
      <w:hyperlink r:id="rId1036">
        <w:r>
          <w:rPr>
            <w:sz w:val="16"/>
          </w:rPr>
          <w:t>&lt;http://www.bvsde.paho.org/bvsaidis/uruguay30/BR05454_MAGACH</w:t>
        </w:r>
      </w:hyperlink>
      <w:r>
        <w:rPr>
          <w:sz w:val="16"/>
        </w:rPr>
        <w:t xml:space="preserve"> O.pdf&gt;. Acesso em: 10 ago. 20</w:t>
      </w:r>
      <w:r>
        <w:rPr>
          <w:sz w:val="16"/>
        </w:rPr>
        <w:t>10.</w:t>
      </w:r>
    </w:p>
    <w:p w:rsidR="00D81F69" w:rsidRDefault="00330118">
      <w:pPr>
        <w:spacing w:before="1"/>
        <w:ind w:left="100"/>
        <w:jc w:val="both"/>
        <w:rPr>
          <w:sz w:val="16"/>
        </w:rPr>
      </w:pPr>
      <w:r>
        <w:rPr>
          <w:sz w:val="16"/>
        </w:rPr>
        <w:t>MAPA  DA  INJUSTIÇA  AMBIENTAL  E   SAÚDE  NO BRASIL.</w:t>
      </w:r>
    </w:p>
    <w:p w:rsidR="00D81F69" w:rsidRDefault="00330118">
      <w:pPr>
        <w:spacing w:before="56" w:line="312" w:lineRule="auto"/>
        <w:ind w:left="100" w:right="197"/>
        <w:jc w:val="both"/>
        <w:rPr>
          <w:sz w:val="16"/>
        </w:rPr>
      </w:pPr>
      <w:r>
        <w:rPr>
          <w:sz w:val="16"/>
        </w:rPr>
        <w:t>Populações, ecossistemas e economia local são afetados pela construção da Ferrovia Litorânea Sul, 17 dez. 2009. Disponível em:</w:t>
      </w:r>
    </w:p>
    <w:p w:rsidR="00D81F69" w:rsidRDefault="00D81F69">
      <w:pPr>
        <w:spacing w:before="2" w:line="312" w:lineRule="auto"/>
        <w:ind w:left="100" w:right="216"/>
        <w:jc w:val="both"/>
        <w:rPr>
          <w:sz w:val="16"/>
        </w:rPr>
      </w:pPr>
      <w:hyperlink r:id="rId1037">
        <w:r w:rsidR="00330118">
          <w:rPr>
            <w:sz w:val="16"/>
          </w:rPr>
          <w:t>&lt;http://www.conflitoambiental.icict.fiocruz.br/index.php?pag=ficha&amp;co</w:t>
        </w:r>
      </w:hyperlink>
      <w:r w:rsidR="00330118">
        <w:rPr>
          <w:sz w:val="16"/>
        </w:rPr>
        <w:t xml:space="preserve"> d=202&gt;. Acesso em: 16 nov. 2011.</w:t>
      </w:r>
    </w:p>
    <w:p w:rsidR="00D81F69" w:rsidRDefault="00330118">
      <w:pPr>
        <w:spacing w:before="2"/>
        <w:ind w:left="100"/>
        <w:jc w:val="both"/>
        <w:rPr>
          <w:sz w:val="16"/>
        </w:rPr>
      </w:pPr>
      <w:r>
        <w:rPr>
          <w:sz w:val="16"/>
        </w:rPr>
        <w:t>MOREIRA, J. M. S.; FREIRE, M. N.; HOLANDA, J. N. F. Utilização de</w:t>
      </w:r>
    </w:p>
    <w:p w:rsidR="00D81F69" w:rsidRDefault="00330118">
      <w:pPr>
        <w:spacing w:before="56" w:line="312" w:lineRule="auto"/>
        <w:ind w:left="100" w:right="131"/>
        <w:jc w:val="both"/>
        <w:rPr>
          <w:sz w:val="16"/>
        </w:rPr>
      </w:pPr>
      <w:r>
        <w:rPr>
          <w:sz w:val="16"/>
        </w:rPr>
        <w:t xml:space="preserve">resíduo de serragem de granito proveniente do estado do Espírito Santo em cerâmica vermelha, Cerâmica, v. 49, n. 312. São </w:t>
      </w:r>
      <w:r>
        <w:rPr>
          <w:spacing w:val="1"/>
          <w:sz w:val="16"/>
        </w:rPr>
        <w:t xml:space="preserve">Paulo,      </w:t>
      </w:r>
      <w:r>
        <w:rPr>
          <w:spacing w:val="25"/>
          <w:sz w:val="16"/>
        </w:rPr>
        <w:t>o</w:t>
      </w:r>
      <w:r>
        <w:rPr>
          <w:sz w:val="16"/>
        </w:rPr>
        <w:t xml:space="preserve"> </w:t>
      </w:r>
      <w:r>
        <w:rPr>
          <w:spacing w:val="25"/>
          <w:sz w:val="16"/>
        </w:rPr>
        <w:t>u</w:t>
      </w:r>
      <w:r>
        <w:rPr>
          <w:sz w:val="16"/>
        </w:rPr>
        <w:t xml:space="preserve"> </w:t>
      </w:r>
      <w:r>
        <w:rPr>
          <w:spacing w:val="25"/>
          <w:sz w:val="16"/>
        </w:rPr>
        <w:t>t</w:t>
      </w:r>
      <w:r>
        <w:rPr>
          <w:sz w:val="16"/>
        </w:rPr>
        <w:t xml:space="preserve"> </w:t>
      </w:r>
      <w:r>
        <w:rPr>
          <w:spacing w:val="25"/>
          <w:sz w:val="16"/>
        </w:rPr>
        <w:t>.</w:t>
      </w:r>
      <w:r>
        <w:rPr>
          <w:sz w:val="16"/>
        </w:rPr>
        <w:t xml:space="preserve"> -       </w:t>
      </w:r>
      <w:r>
        <w:rPr>
          <w:spacing w:val="1"/>
          <w:sz w:val="16"/>
        </w:rPr>
        <w:t xml:space="preserve"> </w:t>
      </w:r>
      <w:r>
        <w:rPr>
          <w:spacing w:val="25"/>
          <w:sz w:val="16"/>
        </w:rPr>
        <w:t>d</w:t>
      </w:r>
      <w:r>
        <w:rPr>
          <w:sz w:val="16"/>
        </w:rPr>
        <w:t xml:space="preserve"> </w:t>
      </w:r>
      <w:r>
        <w:rPr>
          <w:spacing w:val="25"/>
          <w:sz w:val="16"/>
        </w:rPr>
        <w:t>e</w:t>
      </w:r>
      <w:r>
        <w:rPr>
          <w:sz w:val="16"/>
        </w:rPr>
        <w:t xml:space="preserve"> </w:t>
      </w:r>
      <w:r>
        <w:rPr>
          <w:spacing w:val="25"/>
          <w:sz w:val="16"/>
        </w:rPr>
        <w:t>z</w:t>
      </w:r>
      <w:r>
        <w:rPr>
          <w:sz w:val="16"/>
        </w:rPr>
        <w:t xml:space="preserve"> .       </w:t>
      </w:r>
      <w:r>
        <w:rPr>
          <w:spacing w:val="1"/>
          <w:sz w:val="16"/>
        </w:rPr>
        <w:t xml:space="preserve"> </w:t>
      </w:r>
      <w:r>
        <w:rPr>
          <w:spacing w:val="25"/>
          <w:sz w:val="16"/>
        </w:rPr>
        <w:t>2</w:t>
      </w:r>
      <w:r>
        <w:rPr>
          <w:sz w:val="16"/>
        </w:rPr>
        <w:t xml:space="preserve"> </w:t>
      </w:r>
      <w:r>
        <w:rPr>
          <w:spacing w:val="25"/>
          <w:sz w:val="16"/>
        </w:rPr>
        <w:t>0</w:t>
      </w:r>
      <w:r>
        <w:rPr>
          <w:sz w:val="16"/>
        </w:rPr>
        <w:t xml:space="preserve"> </w:t>
      </w:r>
      <w:r>
        <w:rPr>
          <w:spacing w:val="25"/>
          <w:sz w:val="16"/>
        </w:rPr>
        <w:t>0</w:t>
      </w:r>
      <w:r>
        <w:rPr>
          <w:sz w:val="16"/>
        </w:rPr>
        <w:t xml:space="preserve"> </w:t>
      </w:r>
      <w:r>
        <w:rPr>
          <w:spacing w:val="25"/>
          <w:sz w:val="16"/>
        </w:rPr>
        <w:t>3</w:t>
      </w:r>
      <w:r>
        <w:rPr>
          <w:sz w:val="16"/>
        </w:rPr>
        <w:t xml:space="preserve"> .       </w:t>
      </w:r>
      <w:r>
        <w:rPr>
          <w:spacing w:val="1"/>
          <w:sz w:val="16"/>
        </w:rPr>
        <w:t xml:space="preserve"> </w:t>
      </w:r>
      <w:r>
        <w:rPr>
          <w:spacing w:val="25"/>
          <w:sz w:val="16"/>
        </w:rPr>
        <w:t>D</w:t>
      </w:r>
      <w:r>
        <w:rPr>
          <w:sz w:val="16"/>
        </w:rPr>
        <w:t xml:space="preserve"> </w:t>
      </w:r>
      <w:r>
        <w:rPr>
          <w:spacing w:val="25"/>
          <w:sz w:val="16"/>
        </w:rPr>
        <w:t>i</w:t>
      </w:r>
      <w:r>
        <w:rPr>
          <w:sz w:val="16"/>
        </w:rPr>
        <w:t xml:space="preserve"> </w:t>
      </w:r>
      <w:r>
        <w:rPr>
          <w:spacing w:val="25"/>
          <w:sz w:val="16"/>
        </w:rPr>
        <w:t>s</w:t>
      </w:r>
      <w:r>
        <w:rPr>
          <w:sz w:val="16"/>
        </w:rPr>
        <w:t xml:space="preserve"> </w:t>
      </w:r>
      <w:r>
        <w:rPr>
          <w:spacing w:val="25"/>
          <w:sz w:val="16"/>
        </w:rPr>
        <w:t>p</w:t>
      </w:r>
      <w:r>
        <w:rPr>
          <w:sz w:val="16"/>
        </w:rPr>
        <w:t xml:space="preserve"> </w:t>
      </w:r>
      <w:r>
        <w:rPr>
          <w:spacing w:val="25"/>
          <w:sz w:val="16"/>
        </w:rPr>
        <w:t>o</w:t>
      </w:r>
      <w:r>
        <w:rPr>
          <w:sz w:val="16"/>
        </w:rPr>
        <w:t xml:space="preserve"> </w:t>
      </w:r>
      <w:r>
        <w:rPr>
          <w:spacing w:val="25"/>
          <w:sz w:val="16"/>
        </w:rPr>
        <w:t>n</w:t>
      </w:r>
      <w:r>
        <w:rPr>
          <w:sz w:val="16"/>
        </w:rPr>
        <w:t xml:space="preserve"> </w:t>
      </w:r>
      <w:r>
        <w:rPr>
          <w:spacing w:val="25"/>
          <w:sz w:val="16"/>
        </w:rPr>
        <w:t>í</w:t>
      </w:r>
      <w:r>
        <w:rPr>
          <w:sz w:val="16"/>
        </w:rPr>
        <w:t xml:space="preserve"> </w:t>
      </w:r>
      <w:r>
        <w:rPr>
          <w:spacing w:val="25"/>
          <w:sz w:val="16"/>
        </w:rPr>
        <w:t>v</w:t>
      </w:r>
      <w:r>
        <w:rPr>
          <w:sz w:val="16"/>
        </w:rPr>
        <w:t xml:space="preserve"> </w:t>
      </w:r>
      <w:r>
        <w:rPr>
          <w:spacing w:val="25"/>
          <w:sz w:val="16"/>
        </w:rPr>
        <w:t>e</w:t>
      </w:r>
      <w:r>
        <w:rPr>
          <w:sz w:val="16"/>
        </w:rPr>
        <w:t xml:space="preserve"> l       </w:t>
      </w:r>
      <w:r>
        <w:rPr>
          <w:spacing w:val="1"/>
          <w:sz w:val="16"/>
        </w:rPr>
        <w:t xml:space="preserve"> </w:t>
      </w:r>
      <w:r>
        <w:rPr>
          <w:spacing w:val="25"/>
          <w:sz w:val="16"/>
        </w:rPr>
        <w:t>e</w:t>
      </w:r>
      <w:r>
        <w:rPr>
          <w:sz w:val="16"/>
        </w:rPr>
        <w:t xml:space="preserve"> </w:t>
      </w:r>
      <w:r>
        <w:rPr>
          <w:spacing w:val="25"/>
          <w:sz w:val="16"/>
        </w:rPr>
        <w:t>m</w:t>
      </w:r>
      <w:r>
        <w:rPr>
          <w:sz w:val="16"/>
        </w:rPr>
        <w:t xml:space="preserve"> : </w:t>
      </w:r>
      <w:r>
        <w:rPr>
          <w:spacing w:val="-20"/>
          <w:sz w:val="16"/>
        </w:rPr>
        <w:t xml:space="preserve"> </w:t>
      </w:r>
    </w:p>
    <w:p w:rsidR="00D81F69" w:rsidRDefault="00D81F69">
      <w:pPr>
        <w:spacing w:before="2" w:line="312" w:lineRule="auto"/>
        <w:ind w:left="100" w:right="175"/>
        <w:jc w:val="both"/>
        <w:rPr>
          <w:sz w:val="16"/>
        </w:rPr>
      </w:pPr>
      <w:hyperlink r:id="rId1038">
        <w:r w:rsidR="00330118">
          <w:rPr>
            <w:sz w:val="16"/>
          </w:rPr>
          <w:t xml:space="preserve">&lt;http://www.scielo.br/scielo.php?pid=S0366- </w:t>
        </w:r>
      </w:hyperlink>
      <w:r w:rsidR="00330118">
        <w:rPr>
          <w:sz w:val="16"/>
        </w:rPr>
        <w:t>69132003000400012&amp;script=sci_arttext&amp;tlng=es&gt;. Acesso em: 10 ago. 2010.</w:t>
      </w:r>
    </w:p>
    <w:p w:rsidR="00D81F69" w:rsidRDefault="00330118">
      <w:pPr>
        <w:spacing w:before="2" w:line="312" w:lineRule="auto"/>
        <w:ind w:left="100" w:right="167"/>
        <w:jc w:val="both"/>
        <w:rPr>
          <w:sz w:val="16"/>
        </w:rPr>
      </w:pPr>
      <w:r>
        <w:rPr>
          <w:sz w:val="16"/>
        </w:rPr>
        <w:t xml:space="preserve">MOULIN, Maria das Graças Barbosa. O lado não polido do mármore   e </w:t>
      </w:r>
      <w:r>
        <w:rPr>
          <w:spacing w:val="5"/>
          <w:sz w:val="16"/>
        </w:rPr>
        <w:t xml:space="preserve">granito: </w:t>
      </w:r>
      <w:r>
        <w:rPr>
          <w:sz w:val="16"/>
        </w:rPr>
        <w:t xml:space="preserve">a </w:t>
      </w:r>
      <w:r>
        <w:rPr>
          <w:spacing w:val="5"/>
          <w:sz w:val="16"/>
        </w:rPr>
        <w:t xml:space="preserve">produção social </w:t>
      </w:r>
      <w:r>
        <w:rPr>
          <w:spacing w:val="3"/>
          <w:sz w:val="16"/>
        </w:rPr>
        <w:t xml:space="preserve">dos </w:t>
      </w:r>
      <w:r>
        <w:rPr>
          <w:spacing w:val="5"/>
          <w:sz w:val="16"/>
        </w:rPr>
        <w:t xml:space="preserve">acidentes </w:t>
      </w:r>
      <w:r>
        <w:rPr>
          <w:spacing w:val="2"/>
          <w:sz w:val="16"/>
        </w:rPr>
        <w:t xml:space="preserve">de </w:t>
      </w:r>
      <w:r>
        <w:rPr>
          <w:spacing w:val="5"/>
          <w:sz w:val="16"/>
        </w:rPr>
        <w:t xml:space="preserve">trabalho </w:t>
      </w:r>
      <w:r>
        <w:rPr>
          <w:sz w:val="16"/>
        </w:rPr>
        <w:t xml:space="preserve">e </w:t>
      </w:r>
      <w:r>
        <w:rPr>
          <w:spacing w:val="5"/>
          <w:sz w:val="16"/>
        </w:rPr>
        <w:t xml:space="preserve">suas </w:t>
      </w:r>
      <w:r>
        <w:rPr>
          <w:sz w:val="16"/>
        </w:rPr>
        <w:t xml:space="preserve">consequências no setor de rochas ornamentais no sul do estado do </w:t>
      </w:r>
      <w:r>
        <w:rPr>
          <w:spacing w:val="1"/>
          <w:sz w:val="16"/>
        </w:rPr>
        <w:t xml:space="preserve">Espírito Santo. 2006. </w:t>
      </w:r>
      <w:r>
        <w:rPr>
          <w:sz w:val="16"/>
        </w:rPr>
        <w:t xml:space="preserve">137 f. </w:t>
      </w:r>
      <w:r>
        <w:rPr>
          <w:spacing w:val="1"/>
          <w:sz w:val="16"/>
        </w:rPr>
        <w:t xml:space="preserve">Tese (Doutorado </w:t>
      </w:r>
      <w:r>
        <w:rPr>
          <w:sz w:val="16"/>
        </w:rPr>
        <w:t xml:space="preserve">em </w:t>
      </w:r>
      <w:r>
        <w:rPr>
          <w:spacing w:val="1"/>
          <w:sz w:val="16"/>
        </w:rPr>
        <w:t xml:space="preserve">Saúde </w:t>
      </w:r>
      <w:r>
        <w:rPr>
          <w:spacing w:val="2"/>
          <w:sz w:val="16"/>
        </w:rPr>
        <w:t xml:space="preserve">Pública). </w:t>
      </w:r>
      <w:r>
        <w:rPr>
          <w:sz w:val="16"/>
        </w:rPr>
        <w:t xml:space="preserve">Fundação Oswaldo Cruz, Escola Nacional de Saúde Pública Sérgio </w:t>
      </w:r>
      <w:r>
        <w:rPr>
          <w:spacing w:val="22"/>
          <w:sz w:val="16"/>
        </w:rPr>
        <w:t xml:space="preserve">Arouca </w:t>
      </w:r>
      <w:r>
        <w:rPr>
          <w:sz w:val="16"/>
        </w:rPr>
        <w:t xml:space="preserve">– </w:t>
      </w:r>
      <w:r>
        <w:rPr>
          <w:spacing w:val="17"/>
          <w:sz w:val="16"/>
        </w:rPr>
        <w:t xml:space="preserve">Rio </w:t>
      </w:r>
      <w:r>
        <w:rPr>
          <w:spacing w:val="13"/>
          <w:sz w:val="16"/>
        </w:rPr>
        <w:t xml:space="preserve">de </w:t>
      </w:r>
      <w:r>
        <w:rPr>
          <w:spacing w:val="23"/>
          <w:sz w:val="16"/>
        </w:rPr>
        <w:t xml:space="preserve">Janeiro </w:t>
      </w:r>
      <w:r>
        <w:rPr>
          <w:spacing w:val="21"/>
          <w:sz w:val="16"/>
        </w:rPr>
        <w:t xml:space="preserve">(RJ). </w:t>
      </w:r>
      <w:r>
        <w:rPr>
          <w:spacing w:val="25"/>
          <w:sz w:val="16"/>
        </w:rPr>
        <w:t>Disponível</w:t>
      </w:r>
      <w:r>
        <w:rPr>
          <w:spacing w:val="88"/>
          <w:sz w:val="16"/>
        </w:rPr>
        <w:t xml:space="preserve"> </w:t>
      </w:r>
      <w:r>
        <w:rPr>
          <w:spacing w:val="17"/>
          <w:sz w:val="16"/>
        </w:rPr>
        <w:t>em:</w:t>
      </w:r>
      <w:r>
        <w:rPr>
          <w:spacing w:val="-15"/>
          <w:sz w:val="16"/>
        </w:rPr>
        <w:t xml:space="preserve"> </w:t>
      </w:r>
    </w:p>
    <w:p w:rsidR="00D81F69" w:rsidRDefault="00330118">
      <w:pPr>
        <w:spacing w:before="5" w:line="312" w:lineRule="auto"/>
        <w:ind w:left="100" w:right="215"/>
        <w:jc w:val="both"/>
        <w:rPr>
          <w:sz w:val="16"/>
        </w:rPr>
      </w:pPr>
      <w:r>
        <w:rPr>
          <w:sz w:val="16"/>
        </w:rPr>
        <w:t xml:space="preserve">&lt; </w:t>
      </w:r>
      <w:r>
        <w:rPr>
          <w:sz w:val="16"/>
        </w:rPr>
        <w:t>h t t p : / / b a s e s . b i r e m e . b r / c g i - bin/wxislind.exe/iah/online/?IsisScript=iah/iah.xis&amp;src=google&amp;base=L ILACS&amp;lang=p&amp;nextAction=lnk&amp;exprSearch=490867&amp;indexSearch=I D&gt;. Acesso em: 25 abr. 2011.</w:t>
      </w:r>
    </w:p>
    <w:p w:rsidR="00D81F69" w:rsidRDefault="00330118">
      <w:pPr>
        <w:spacing w:before="4" w:line="312" w:lineRule="auto"/>
        <w:ind w:left="100" w:right="140"/>
        <w:jc w:val="both"/>
        <w:rPr>
          <w:sz w:val="16"/>
        </w:rPr>
      </w:pPr>
      <w:r>
        <w:rPr>
          <w:sz w:val="16"/>
        </w:rPr>
        <w:t>PONTES, Ivan Falcão; STELLIN JUNIOR, Antoni</w:t>
      </w:r>
      <w:r>
        <w:rPr>
          <w:sz w:val="16"/>
        </w:rPr>
        <w:t xml:space="preserve">o. Reciclagem de teares de Cachoeiro do Itampemerim, Espírito Santo, Cetem, Rio de   </w:t>
      </w:r>
      <w:r>
        <w:rPr>
          <w:spacing w:val="15"/>
          <w:sz w:val="16"/>
        </w:rPr>
        <w:t>J</w:t>
      </w:r>
      <w:r>
        <w:rPr>
          <w:sz w:val="16"/>
        </w:rPr>
        <w:t xml:space="preserve"> </w:t>
      </w:r>
      <w:r>
        <w:rPr>
          <w:spacing w:val="15"/>
          <w:sz w:val="16"/>
        </w:rPr>
        <w:t>a</w:t>
      </w:r>
      <w:r>
        <w:rPr>
          <w:sz w:val="16"/>
        </w:rPr>
        <w:t xml:space="preserve"> </w:t>
      </w:r>
      <w:r>
        <w:rPr>
          <w:spacing w:val="15"/>
          <w:sz w:val="16"/>
        </w:rPr>
        <w:t>n</w:t>
      </w:r>
      <w:r>
        <w:rPr>
          <w:sz w:val="16"/>
        </w:rPr>
        <w:t xml:space="preserve"> </w:t>
      </w:r>
      <w:r>
        <w:rPr>
          <w:spacing w:val="15"/>
          <w:sz w:val="16"/>
        </w:rPr>
        <w:t>e</w:t>
      </w:r>
      <w:r>
        <w:rPr>
          <w:sz w:val="16"/>
        </w:rPr>
        <w:t xml:space="preserve"> </w:t>
      </w:r>
      <w:r>
        <w:rPr>
          <w:spacing w:val="15"/>
          <w:sz w:val="16"/>
        </w:rPr>
        <w:t>i</w:t>
      </w:r>
      <w:r>
        <w:rPr>
          <w:sz w:val="16"/>
        </w:rPr>
        <w:t xml:space="preserve"> </w:t>
      </w:r>
      <w:r>
        <w:rPr>
          <w:spacing w:val="15"/>
          <w:sz w:val="16"/>
        </w:rPr>
        <w:t>r</w:t>
      </w:r>
      <w:r>
        <w:rPr>
          <w:sz w:val="16"/>
        </w:rPr>
        <w:t xml:space="preserve"> </w:t>
      </w:r>
      <w:r>
        <w:rPr>
          <w:spacing w:val="15"/>
          <w:sz w:val="16"/>
        </w:rPr>
        <w:t>o</w:t>
      </w:r>
      <w:r>
        <w:rPr>
          <w:sz w:val="16"/>
        </w:rPr>
        <w:t xml:space="preserve"> ,</w:t>
      </w:r>
      <w:r>
        <w:rPr>
          <w:sz w:val="16"/>
        </w:rPr>
        <w:t xml:space="preserve"> </w:t>
      </w:r>
      <w:r>
        <w:rPr>
          <w:spacing w:val="15"/>
          <w:sz w:val="16"/>
        </w:rPr>
        <w:t>a</w:t>
      </w:r>
      <w:r>
        <w:rPr>
          <w:sz w:val="16"/>
        </w:rPr>
        <w:t xml:space="preserve"> </w:t>
      </w:r>
      <w:r>
        <w:rPr>
          <w:spacing w:val="15"/>
          <w:sz w:val="16"/>
        </w:rPr>
        <w:t>b</w:t>
      </w:r>
      <w:r>
        <w:rPr>
          <w:sz w:val="16"/>
        </w:rPr>
        <w:t xml:space="preserve"> </w:t>
      </w:r>
      <w:r>
        <w:rPr>
          <w:spacing w:val="15"/>
          <w:sz w:val="16"/>
        </w:rPr>
        <w:t>r</w:t>
      </w:r>
      <w:r>
        <w:rPr>
          <w:sz w:val="16"/>
        </w:rPr>
        <w:t xml:space="preserve"> .</w:t>
      </w:r>
      <w:r>
        <w:rPr>
          <w:sz w:val="16"/>
        </w:rPr>
        <w:t xml:space="preserve"> </w:t>
      </w:r>
      <w:r>
        <w:rPr>
          <w:spacing w:val="15"/>
          <w:sz w:val="16"/>
        </w:rPr>
        <w:t>2</w:t>
      </w:r>
      <w:r>
        <w:rPr>
          <w:sz w:val="16"/>
        </w:rPr>
        <w:t xml:space="preserve"> </w:t>
      </w:r>
      <w:r>
        <w:rPr>
          <w:spacing w:val="15"/>
          <w:sz w:val="16"/>
        </w:rPr>
        <w:t>0</w:t>
      </w:r>
      <w:r>
        <w:rPr>
          <w:sz w:val="16"/>
        </w:rPr>
        <w:t xml:space="preserve"> </w:t>
      </w:r>
      <w:r>
        <w:rPr>
          <w:spacing w:val="15"/>
          <w:sz w:val="16"/>
        </w:rPr>
        <w:t>0</w:t>
      </w:r>
      <w:r>
        <w:rPr>
          <w:sz w:val="16"/>
        </w:rPr>
        <w:t xml:space="preserve"> </w:t>
      </w:r>
      <w:r>
        <w:rPr>
          <w:spacing w:val="15"/>
          <w:sz w:val="16"/>
        </w:rPr>
        <w:t>5</w:t>
      </w:r>
      <w:r>
        <w:rPr>
          <w:sz w:val="16"/>
        </w:rPr>
        <w:t xml:space="preserve"> .</w:t>
      </w:r>
      <w:r>
        <w:rPr>
          <w:sz w:val="16"/>
        </w:rPr>
        <w:t xml:space="preserve"> </w:t>
      </w:r>
      <w:r>
        <w:rPr>
          <w:spacing w:val="15"/>
          <w:sz w:val="16"/>
        </w:rPr>
        <w:t>D</w:t>
      </w:r>
      <w:r>
        <w:rPr>
          <w:sz w:val="16"/>
        </w:rPr>
        <w:t xml:space="preserve"> </w:t>
      </w:r>
      <w:r>
        <w:rPr>
          <w:spacing w:val="15"/>
          <w:sz w:val="16"/>
        </w:rPr>
        <w:t>i</w:t>
      </w:r>
      <w:r>
        <w:rPr>
          <w:sz w:val="16"/>
        </w:rPr>
        <w:t xml:space="preserve"> </w:t>
      </w:r>
      <w:r>
        <w:rPr>
          <w:spacing w:val="15"/>
          <w:sz w:val="16"/>
        </w:rPr>
        <w:t>s</w:t>
      </w:r>
      <w:r>
        <w:rPr>
          <w:sz w:val="16"/>
        </w:rPr>
        <w:t xml:space="preserve"> </w:t>
      </w:r>
      <w:r>
        <w:rPr>
          <w:spacing w:val="15"/>
          <w:sz w:val="16"/>
        </w:rPr>
        <w:t>p</w:t>
      </w:r>
      <w:r>
        <w:rPr>
          <w:sz w:val="16"/>
        </w:rPr>
        <w:t xml:space="preserve"> </w:t>
      </w:r>
      <w:r>
        <w:rPr>
          <w:spacing w:val="15"/>
          <w:sz w:val="16"/>
        </w:rPr>
        <w:t>o</w:t>
      </w:r>
      <w:r>
        <w:rPr>
          <w:sz w:val="16"/>
        </w:rPr>
        <w:t xml:space="preserve"> </w:t>
      </w:r>
      <w:r>
        <w:rPr>
          <w:spacing w:val="15"/>
          <w:sz w:val="16"/>
        </w:rPr>
        <w:t>n</w:t>
      </w:r>
      <w:r>
        <w:rPr>
          <w:sz w:val="16"/>
        </w:rPr>
        <w:t xml:space="preserve"> </w:t>
      </w:r>
      <w:r>
        <w:rPr>
          <w:spacing w:val="15"/>
          <w:sz w:val="16"/>
        </w:rPr>
        <w:t>í</w:t>
      </w:r>
      <w:r>
        <w:rPr>
          <w:sz w:val="16"/>
        </w:rPr>
        <w:t xml:space="preserve"> </w:t>
      </w:r>
      <w:r>
        <w:rPr>
          <w:spacing w:val="15"/>
          <w:sz w:val="16"/>
        </w:rPr>
        <w:t>v</w:t>
      </w:r>
      <w:r>
        <w:rPr>
          <w:sz w:val="16"/>
        </w:rPr>
        <w:t xml:space="preserve"> </w:t>
      </w:r>
      <w:r>
        <w:rPr>
          <w:spacing w:val="15"/>
          <w:sz w:val="16"/>
        </w:rPr>
        <w:t>e</w:t>
      </w:r>
      <w:r>
        <w:rPr>
          <w:sz w:val="16"/>
        </w:rPr>
        <w:t xml:space="preserve"> l</w:t>
      </w:r>
      <w:r>
        <w:rPr>
          <w:sz w:val="16"/>
        </w:rPr>
        <w:t xml:space="preserve"> </w:t>
      </w:r>
      <w:r>
        <w:rPr>
          <w:spacing w:val="15"/>
          <w:sz w:val="16"/>
        </w:rPr>
        <w:t>e</w:t>
      </w:r>
      <w:r>
        <w:rPr>
          <w:sz w:val="16"/>
        </w:rPr>
        <w:t xml:space="preserve"> </w:t>
      </w:r>
      <w:r>
        <w:rPr>
          <w:spacing w:val="15"/>
          <w:sz w:val="16"/>
        </w:rPr>
        <w:t>m</w:t>
      </w:r>
      <w:r>
        <w:rPr>
          <w:sz w:val="16"/>
        </w:rPr>
        <w:t xml:space="preserve"> :</w:t>
      </w:r>
      <w:r>
        <w:rPr>
          <w:spacing w:val="15"/>
          <w:sz w:val="16"/>
        </w:rPr>
        <w:t xml:space="preserve"> </w:t>
      </w:r>
    </w:p>
    <w:p w:rsidR="00D81F69" w:rsidRDefault="00D81F69">
      <w:pPr>
        <w:spacing w:before="2" w:line="312" w:lineRule="auto"/>
        <w:ind w:left="100" w:right="191"/>
        <w:jc w:val="both"/>
        <w:rPr>
          <w:sz w:val="16"/>
        </w:rPr>
      </w:pPr>
      <w:hyperlink r:id="rId1039">
        <w:r w:rsidR="00330118">
          <w:rPr>
            <w:sz w:val="16"/>
          </w:rPr>
          <w:t>&lt;</w:t>
        </w:r>
        <w:r w:rsidR="00330118">
          <w:rPr>
            <w:sz w:val="16"/>
          </w:rPr>
          <w:t>http://www.cetem.gov.br/publicacao/CTs/CT2005-011-00.pdf&gt;.</w:t>
        </w:r>
      </w:hyperlink>
      <w:r w:rsidR="00330118">
        <w:rPr>
          <w:sz w:val="16"/>
        </w:rPr>
        <w:t xml:space="preserve"> Acesso em: 10 ago. 2010.</w:t>
      </w:r>
    </w:p>
    <w:p w:rsidR="00D81F69" w:rsidRDefault="00330118">
      <w:pPr>
        <w:tabs>
          <w:tab w:val="left" w:pos="1198"/>
          <w:tab w:val="left" w:pos="2495"/>
          <w:tab w:val="left" w:pos="4639"/>
        </w:tabs>
        <w:spacing w:before="2" w:line="312" w:lineRule="auto"/>
        <w:ind w:left="100" w:right="196"/>
        <w:jc w:val="both"/>
        <w:rPr>
          <w:sz w:val="16"/>
        </w:rPr>
      </w:pPr>
      <w:r>
        <w:rPr>
          <w:spacing w:val="3"/>
          <w:sz w:val="16"/>
        </w:rPr>
        <w:t xml:space="preserve">REDE </w:t>
      </w:r>
      <w:r>
        <w:rPr>
          <w:spacing w:val="5"/>
          <w:sz w:val="16"/>
        </w:rPr>
        <w:t xml:space="preserve">ROCHAS. </w:t>
      </w:r>
      <w:r>
        <w:rPr>
          <w:spacing w:val="3"/>
          <w:sz w:val="16"/>
        </w:rPr>
        <w:t xml:space="preserve">Plano </w:t>
      </w:r>
      <w:r>
        <w:rPr>
          <w:spacing w:val="2"/>
          <w:sz w:val="16"/>
        </w:rPr>
        <w:t xml:space="preserve">de </w:t>
      </w:r>
      <w:r>
        <w:rPr>
          <w:spacing w:val="5"/>
          <w:sz w:val="16"/>
        </w:rPr>
        <w:t xml:space="preserve">desenvolvimento </w:t>
      </w:r>
      <w:r>
        <w:rPr>
          <w:spacing w:val="2"/>
          <w:sz w:val="16"/>
        </w:rPr>
        <w:t xml:space="preserve">do </w:t>
      </w:r>
      <w:r>
        <w:rPr>
          <w:spacing w:val="3"/>
          <w:sz w:val="16"/>
        </w:rPr>
        <w:t xml:space="preserve">APL </w:t>
      </w:r>
      <w:r>
        <w:rPr>
          <w:spacing w:val="2"/>
          <w:sz w:val="16"/>
        </w:rPr>
        <w:t xml:space="preserve">de </w:t>
      </w:r>
      <w:r>
        <w:rPr>
          <w:spacing w:val="5"/>
          <w:sz w:val="16"/>
        </w:rPr>
        <w:t xml:space="preserve">rochas </w:t>
      </w:r>
      <w:r>
        <w:rPr>
          <w:sz w:val="16"/>
        </w:rPr>
        <w:t xml:space="preserve">ornamentais de Cachoeiro de Itapemirim, Cachoeiro de Itapemirim,    d  e </w:t>
      </w:r>
      <w:r>
        <w:rPr>
          <w:spacing w:val="20"/>
          <w:sz w:val="16"/>
        </w:rPr>
        <w:t xml:space="preserve"> </w:t>
      </w:r>
      <w:r>
        <w:rPr>
          <w:sz w:val="16"/>
        </w:rPr>
        <w:t xml:space="preserve">z </w:t>
      </w:r>
      <w:r>
        <w:rPr>
          <w:spacing w:val="10"/>
          <w:sz w:val="16"/>
        </w:rPr>
        <w:t xml:space="preserve"> </w:t>
      </w:r>
      <w:r>
        <w:rPr>
          <w:sz w:val="16"/>
        </w:rPr>
        <w:t>.</w:t>
      </w:r>
      <w:r>
        <w:rPr>
          <w:sz w:val="16"/>
        </w:rPr>
        <w:tab/>
        <w:t xml:space="preserve">2  0  0 </w:t>
      </w:r>
      <w:r>
        <w:rPr>
          <w:spacing w:val="31"/>
          <w:sz w:val="16"/>
        </w:rPr>
        <w:t xml:space="preserve"> </w:t>
      </w:r>
      <w:r>
        <w:rPr>
          <w:sz w:val="16"/>
        </w:rPr>
        <w:t xml:space="preserve">4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212"/>
        <w:jc w:val="both"/>
        <w:rPr>
          <w:sz w:val="16"/>
        </w:rPr>
      </w:pPr>
      <w:hyperlink r:id="rId1040">
        <w:r w:rsidR="00330118">
          <w:rPr>
            <w:sz w:val="16"/>
          </w:rPr>
          <w:t xml:space="preserve">&lt;http://www.mdic.gov.br/arquivos/dwnl_1198259234.pdf&gt;. </w:t>
        </w:r>
      </w:hyperlink>
      <w:r w:rsidR="00330118">
        <w:rPr>
          <w:sz w:val="16"/>
        </w:rPr>
        <w:t>Acesso em: 10 ago. 2010.</w:t>
      </w:r>
    </w:p>
    <w:p w:rsidR="00D81F69" w:rsidRDefault="00330118">
      <w:pPr>
        <w:tabs>
          <w:tab w:val="left" w:pos="4331"/>
        </w:tabs>
        <w:spacing w:before="2" w:line="312" w:lineRule="auto"/>
        <w:ind w:left="100" w:right="194"/>
        <w:jc w:val="both"/>
        <w:rPr>
          <w:sz w:val="16"/>
        </w:rPr>
      </w:pPr>
      <w:r>
        <w:rPr>
          <w:sz w:val="16"/>
        </w:rPr>
        <w:t xml:space="preserve">SEDES-ES. Secretaria de Estado de Desenvolvimento do Estado do </w:t>
      </w:r>
      <w:r>
        <w:rPr>
          <w:spacing w:val="3"/>
          <w:sz w:val="16"/>
        </w:rPr>
        <w:t>Espírito Santo. Rochas ornamentai</w:t>
      </w:r>
      <w:r>
        <w:rPr>
          <w:spacing w:val="3"/>
          <w:sz w:val="16"/>
        </w:rPr>
        <w:t xml:space="preserve">s </w:t>
      </w:r>
      <w:r>
        <w:rPr>
          <w:spacing w:val="1"/>
          <w:sz w:val="16"/>
        </w:rPr>
        <w:t xml:space="preserve">de </w:t>
      </w:r>
      <w:r>
        <w:rPr>
          <w:spacing w:val="3"/>
          <w:sz w:val="16"/>
        </w:rPr>
        <w:t xml:space="preserve">Cachoeiro </w:t>
      </w:r>
      <w:r>
        <w:rPr>
          <w:spacing w:val="1"/>
          <w:sz w:val="16"/>
        </w:rPr>
        <w:t xml:space="preserve">de </w:t>
      </w:r>
      <w:r>
        <w:rPr>
          <w:spacing w:val="5"/>
          <w:sz w:val="16"/>
        </w:rPr>
        <w:t xml:space="preserve">Itapemirim.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193"/>
        <w:jc w:val="both"/>
        <w:rPr>
          <w:sz w:val="16"/>
        </w:rPr>
      </w:pPr>
      <w:hyperlink r:id="rId1041">
        <w:r w:rsidR="00330118">
          <w:rPr>
            <w:sz w:val="16"/>
          </w:rPr>
          <w:t>&lt;http://www.sedes.es.gov.br/default.asp?arq=marmore_granito&gt;.</w:t>
        </w:r>
      </w:hyperlink>
      <w:r w:rsidR="00330118">
        <w:rPr>
          <w:sz w:val="16"/>
        </w:rPr>
        <w:t xml:space="preserve"> Acesso em 17 ago. 2010.</w:t>
      </w:r>
    </w:p>
    <w:p w:rsidR="00D81F69" w:rsidRDefault="00330118">
      <w:pPr>
        <w:spacing w:before="2" w:line="312" w:lineRule="auto"/>
        <w:ind w:left="100" w:right="195"/>
        <w:jc w:val="both"/>
        <w:rPr>
          <w:sz w:val="16"/>
        </w:rPr>
      </w:pPr>
      <w:r>
        <w:rPr>
          <w:sz w:val="16"/>
        </w:rPr>
        <w:t>SPÍNOLA, Vera; GUERREIRO, Luis Fernando; BAZAN, Rafaela. A Indústria de Rochas Ornamentais. Estudo de Mercado 02-04, set.</w:t>
      </w:r>
    </w:p>
    <w:p w:rsidR="00D81F69" w:rsidRDefault="00330118">
      <w:pPr>
        <w:tabs>
          <w:tab w:val="left" w:pos="1785"/>
          <w:tab w:val="left" w:pos="4548"/>
        </w:tabs>
        <w:spacing w:before="2"/>
        <w:ind w:left="100"/>
        <w:jc w:val="both"/>
        <w:rPr>
          <w:sz w:val="16"/>
        </w:rPr>
      </w:pPr>
      <w:r>
        <w:rPr>
          <w:sz w:val="16"/>
        </w:rPr>
        <w:t xml:space="preserve">2   0   0  </w:t>
      </w:r>
      <w:r>
        <w:rPr>
          <w:spacing w:val="35"/>
          <w:sz w:val="16"/>
        </w:rPr>
        <w:t xml:space="preserve"> </w:t>
      </w:r>
      <w:r>
        <w:rPr>
          <w:sz w:val="16"/>
        </w:rPr>
        <w:t xml:space="preserve">4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193"/>
        <w:jc w:val="both"/>
        <w:rPr>
          <w:sz w:val="16"/>
        </w:rPr>
      </w:pPr>
      <w:hyperlink r:id="rId1042">
        <w:r w:rsidR="00330118">
          <w:rPr>
            <w:sz w:val="16"/>
          </w:rPr>
          <w:t xml:space="preserve">&lt;http://www.redeaplmineral.org.br/biblioteca/rochas- </w:t>
        </w:r>
      </w:hyperlink>
      <w:r w:rsidR="00330118">
        <w:rPr>
          <w:sz w:val="16"/>
        </w:rPr>
        <w:t>ornamentais/A%20INDUSTRIA%20DE%20ROCHAS%20ORNAMEN</w:t>
      </w:r>
    </w:p>
    <w:p w:rsidR="00D81F69" w:rsidRDefault="00330118">
      <w:pPr>
        <w:spacing w:before="1"/>
        <w:ind w:left="100"/>
        <w:jc w:val="both"/>
        <w:rPr>
          <w:sz w:val="16"/>
        </w:rPr>
      </w:pPr>
      <w:r>
        <w:rPr>
          <w:sz w:val="16"/>
        </w:rPr>
        <w:t>TAIS.pdf&gt;. Acesso em: 10 ago. 2010.</w:t>
      </w:r>
    </w:p>
    <w:p w:rsidR="00D81F69" w:rsidRDefault="00330118">
      <w:pPr>
        <w:spacing w:before="56" w:line="312" w:lineRule="auto"/>
        <w:ind w:left="100" w:right="116"/>
        <w:jc w:val="both"/>
        <w:rPr>
          <w:sz w:val="16"/>
        </w:rPr>
      </w:pPr>
      <w:r>
        <w:rPr>
          <w:spacing w:val="3"/>
          <w:sz w:val="16"/>
        </w:rPr>
        <w:t xml:space="preserve">VARGAS, Thais; MOTOKI, Akihisa; NEVES, </w:t>
      </w:r>
      <w:r>
        <w:rPr>
          <w:spacing w:val="2"/>
          <w:sz w:val="16"/>
        </w:rPr>
        <w:t xml:space="preserve">José Luíz </w:t>
      </w:r>
      <w:r>
        <w:rPr>
          <w:spacing w:val="5"/>
          <w:sz w:val="16"/>
        </w:rPr>
        <w:t xml:space="preserve">Peixoto. </w:t>
      </w:r>
      <w:r>
        <w:rPr>
          <w:sz w:val="16"/>
        </w:rPr>
        <w:t>Rochas ornamentais do Brasil, seu</w:t>
      </w:r>
      <w:r>
        <w:rPr>
          <w:sz w:val="16"/>
        </w:rPr>
        <w:t xml:space="preserve"> modo de ocorrência geológica, </w:t>
      </w:r>
      <w:r>
        <w:rPr>
          <w:spacing w:val="6"/>
          <w:sz w:val="16"/>
        </w:rPr>
        <w:t xml:space="preserve">variedade tipológica, exploração comercial </w:t>
      </w:r>
      <w:r>
        <w:rPr>
          <w:sz w:val="16"/>
        </w:rPr>
        <w:t xml:space="preserve">e </w:t>
      </w:r>
      <w:r>
        <w:rPr>
          <w:spacing w:val="6"/>
          <w:sz w:val="16"/>
        </w:rPr>
        <w:t xml:space="preserve">utilidades </w:t>
      </w:r>
      <w:r>
        <w:rPr>
          <w:spacing w:val="7"/>
          <w:sz w:val="16"/>
        </w:rPr>
        <w:t xml:space="preserve">como </w:t>
      </w:r>
      <w:r>
        <w:rPr>
          <w:sz w:val="16"/>
        </w:rPr>
        <w:t xml:space="preserve">materiais nobres de construção. Revista de Geociências, 2-2, 119- </w:t>
      </w:r>
      <w:r>
        <w:rPr>
          <w:spacing w:val="1"/>
          <w:sz w:val="16"/>
        </w:rPr>
        <w:t xml:space="preserve">132, Instituto </w:t>
      </w:r>
      <w:r>
        <w:rPr>
          <w:sz w:val="16"/>
        </w:rPr>
        <w:t xml:space="preserve">de </w:t>
      </w:r>
      <w:r>
        <w:rPr>
          <w:spacing w:val="1"/>
          <w:sz w:val="16"/>
        </w:rPr>
        <w:t xml:space="preserve">Geociências </w:t>
      </w:r>
      <w:r>
        <w:rPr>
          <w:sz w:val="16"/>
        </w:rPr>
        <w:t xml:space="preserve">–  </w:t>
      </w:r>
      <w:r>
        <w:rPr>
          <w:spacing w:val="1"/>
          <w:sz w:val="16"/>
        </w:rPr>
        <w:t xml:space="preserve">Universidade Federal </w:t>
      </w:r>
      <w:r>
        <w:rPr>
          <w:spacing w:val="2"/>
          <w:sz w:val="16"/>
        </w:rPr>
        <w:t>Fluminense,</w:t>
      </w:r>
      <w:r>
        <w:rPr>
          <w:spacing w:val="50"/>
          <w:sz w:val="16"/>
        </w:rPr>
        <w:t xml:space="preserve"> </w:t>
      </w:r>
      <w:r>
        <w:rPr>
          <w:spacing w:val="36"/>
          <w:sz w:val="16"/>
        </w:rPr>
        <w:t>N</w:t>
      </w:r>
      <w:r>
        <w:rPr>
          <w:sz w:val="16"/>
        </w:rPr>
        <w:t xml:space="preserve"> </w:t>
      </w:r>
      <w:r>
        <w:rPr>
          <w:spacing w:val="36"/>
          <w:sz w:val="16"/>
        </w:rPr>
        <w:t>i</w:t>
      </w:r>
      <w:r>
        <w:rPr>
          <w:sz w:val="16"/>
        </w:rPr>
        <w:t xml:space="preserve"> </w:t>
      </w:r>
      <w:r>
        <w:rPr>
          <w:spacing w:val="36"/>
          <w:sz w:val="16"/>
        </w:rPr>
        <w:t>t</w:t>
      </w:r>
      <w:r>
        <w:rPr>
          <w:sz w:val="16"/>
        </w:rPr>
        <w:t xml:space="preserve"> </w:t>
      </w:r>
      <w:r>
        <w:rPr>
          <w:spacing w:val="36"/>
          <w:sz w:val="16"/>
        </w:rPr>
        <w:t>e</w:t>
      </w:r>
      <w:r>
        <w:rPr>
          <w:sz w:val="16"/>
        </w:rPr>
        <w:t xml:space="preserve"> </w:t>
      </w:r>
      <w:r>
        <w:rPr>
          <w:spacing w:val="36"/>
          <w:sz w:val="16"/>
        </w:rPr>
        <w:t>r</w:t>
      </w:r>
      <w:r>
        <w:rPr>
          <w:sz w:val="16"/>
        </w:rPr>
        <w:t xml:space="preserve"> </w:t>
      </w:r>
      <w:r>
        <w:rPr>
          <w:spacing w:val="36"/>
          <w:sz w:val="16"/>
        </w:rPr>
        <w:t>ó</w:t>
      </w:r>
      <w:r>
        <w:rPr>
          <w:sz w:val="16"/>
        </w:rPr>
        <w:t xml:space="preserve"> </w:t>
      </w:r>
      <w:r>
        <w:rPr>
          <w:spacing w:val="36"/>
          <w:sz w:val="16"/>
        </w:rPr>
        <w:t>i</w:t>
      </w:r>
      <w:r>
        <w:rPr>
          <w:sz w:val="16"/>
        </w:rPr>
        <w:t xml:space="preserve"> ,</w:t>
      </w:r>
      <w:r>
        <w:rPr>
          <w:spacing w:val="20"/>
          <w:sz w:val="16"/>
        </w:rPr>
        <w:t xml:space="preserve"> </w:t>
      </w:r>
      <w:r>
        <w:rPr>
          <w:spacing w:val="36"/>
          <w:sz w:val="16"/>
        </w:rPr>
        <w:t>2</w:t>
      </w:r>
      <w:r>
        <w:rPr>
          <w:sz w:val="16"/>
        </w:rPr>
        <w:t xml:space="preserve"> </w:t>
      </w:r>
      <w:r>
        <w:rPr>
          <w:spacing w:val="36"/>
          <w:sz w:val="16"/>
        </w:rPr>
        <w:t>0</w:t>
      </w:r>
      <w:r>
        <w:rPr>
          <w:sz w:val="16"/>
        </w:rPr>
        <w:t xml:space="preserve"> </w:t>
      </w:r>
      <w:r>
        <w:rPr>
          <w:spacing w:val="36"/>
          <w:sz w:val="16"/>
        </w:rPr>
        <w:t>0</w:t>
      </w:r>
      <w:r>
        <w:rPr>
          <w:sz w:val="16"/>
        </w:rPr>
        <w:t xml:space="preserve"> </w:t>
      </w:r>
      <w:r>
        <w:rPr>
          <w:spacing w:val="36"/>
          <w:sz w:val="16"/>
        </w:rPr>
        <w:t>1</w:t>
      </w:r>
      <w:r>
        <w:rPr>
          <w:sz w:val="16"/>
        </w:rPr>
        <w:t xml:space="preserve"> .</w:t>
      </w:r>
      <w:r>
        <w:rPr>
          <w:spacing w:val="20"/>
          <w:sz w:val="16"/>
        </w:rPr>
        <w:t xml:space="preserve"> </w:t>
      </w:r>
      <w:r>
        <w:rPr>
          <w:spacing w:val="36"/>
          <w:sz w:val="16"/>
        </w:rPr>
        <w:t>D</w:t>
      </w:r>
      <w:r>
        <w:rPr>
          <w:sz w:val="16"/>
        </w:rPr>
        <w:t xml:space="preserve"> </w:t>
      </w:r>
      <w:r>
        <w:rPr>
          <w:spacing w:val="36"/>
          <w:sz w:val="16"/>
        </w:rPr>
        <w:t>i</w:t>
      </w:r>
      <w:r>
        <w:rPr>
          <w:sz w:val="16"/>
        </w:rPr>
        <w:t xml:space="preserve"> </w:t>
      </w:r>
      <w:r>
        <w:rPr>
          <w:spacing w:val="36"/>
          <w:sz w:val="16"/>
        </w:rPr>
        <w:t>s</w:t>
      </w:r>
      <w:r>
        <w:rPr>
          <w:sz w:val="16"/>
        </w:rPr>
        <w:t xml:space="preserve"> </w:t>
      </w:r>
      <w:r>
        <w:rPr>
          <w:spacing w:val="36"/>
          <w:sz w:val="16"/>
        </w:rPr>
        <w:t>p</w:t>
      </w:r>
      <w:r>
        <w:rPr>
          <w:sz w:val="16"/>
        </w:rPr>
        <w:t xml:space="preserve"> </w:t>
      </w:r>
      <w:r>
        <w:rPr>
          <w:spacing w:val="36"/>
          <w:sz w:val="16"/>
        </w:rPr>
        <w:t>o</w:t>
      </w:r>
      <w:r>
        <w:rPr>
          <w:sz w:val="16"/>
        </w:rPr>
        <w:t xml:space="preserve"> </w:t>
      </w:r>
      <w:r>
        <w:rPr>
          <w:spacing w:val="36"/>
          <w:sz w:val="16"/>
        </w:rPr>
        <w:t>n</w:t>
      </w:r>
      <w:r>
        <w:rPr>
          <w:sz w:val="16"/>
        </w:rPr>
        <w:t xml:space="preserve"> </w:t>
      </w:r>
      <w:r>
        <w:rPr>
          <w:spacing w:val="36"/>
          <w:sz w:val="16"/>
        </w:rPr>
        <w:t>í</w:t>
      </w:r>
      <w:r>
        <w:rPr>
          <w:sz w:val="16"/>
        </w:rPr>
        <w:t xml:space="preserve"> </w:t>
      </w:r>
      <w:r>
        <w:rPr>
          <w:spacing w:val="36"/>
          <w:sz w:val="16"/>
        </w:rPr>
        <w:t>v</w:t>
      </w:r>
      <w:r>
        <w:rPr>
          <w:sz w:val="16"/>
        </w:rPr>
        <w:t xml:space="preserve"> </w:t>
      </w:r>
      <w:r>
        <w:rPr>
          <w:spacing w:val="36"/>
          <w:sz w:val="16"/>
        </w:rPr>
        <w:t>e</w:t>
      </w:r>
      <w:r>
        <w:rPr>
          <w:sz w:val="16"/>
        </w:rPr>
        <w:t xml:space="preserve"> l</w:t>
      </w:r>
      <w:r>
        <w:rPr>
          <w:spacing w:val="20"/>
          <w:sz w:val="16"/>
        </w:rPr>
        <w:t xml:space="preserve"> </w:t>
      </w:r>
      <w:r>
        <w:rPr>
          <w:spacing w:val="36"/>
          <w:sz w:val="16"/>
        </w:rPr>
        <w:t>e</w:t>
      </w:r>
      <w:r>
        <w:rPr>
          <w:sz w:val="16"/>
        </w:rPr>
        <w:t xml:space="preserve"> </w:t>
      </w:r>
      <w:r>
        <w:rPr>
          <w:spacing w:val="36"/>
          <w:sz w:val="16"/>
        </w:rPr>
        <w:t>m</w:t>
      </w:r>
      <w:r>
        <w:rPr>
          <w:sz w:val="16"/>
        </w:rPr>
        <w:t xml:space="preserve"> : </w:t>
      </w:r>
      <w:r>
        <w:rPr>
          <w:spacing w:val="-6"/>
          <w:sz w:val="16"/>
        </w:rPr>
        <w:t xml:space="preserve"> </w:t>
      </w:r>
    </w:p>
    <w:p w:rsidR="00D81F69" w:rsidRDefault="00D81F69">
      <w:pPr>
        <w:spacing w:before="5" w:line="312" w:lineRule="auto"/>
        <w:ind w:left="100" w:right="213"/>
        <w:jc w:val="both"/>
        <w:rPr>
          <w:sz w:val="16"/>
        </w:rPr>
      </w:pPr>
      <w:hyperlink r:id="rId1043">
        <w:r w:rsidR="00330118">
          <w:rPr>
            <w:sz w:val="16"/>
          </w:rPr>
          <w:t xml:space="preserve">&lt;http://rochasornamentais1.tripod.com/2001/Itu2/Itu2.pdf&gt;. </w:t>
        </w:r>
      </w:hyperlink>
      <w:r w:rsidR="00330118">
        <w:rPr>
          <w:sz w:val="16"/>
        </w:rPr>
        <w:t>Acesso em: 10 ago. 2010.</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85" w:space="285"/>
            <w:col w:w="5310"/>
          </w:cols>
        </w:sectPr>
      </w:pPr>
    </w:p>
    <w:p w:rsidR="00D81F69" w:rsidRDefault="00330118">
      <w:pPr>
        <w:pStyle w:val="Heading1"/>
        <w:spacing w:line="208" w:lineRule="auto"/>
      </w:pPr>
      <w:r>
        <w:rPr>
          <w:spacing w:val="5"/>
        </w:rPr>
        <w:lastRenderedPageBreak/>
        <w:t xml:space="preserve">Emissão </w:t>
      </w:r>
      <w:r>
        <w:rPr>
          <w:spacing w:val="3"/>
        </w:rPr>
        <w:t xml:space="preserve">de </w:t>
      </w:r>
      <w:r>
        <w:rPr>
          <w:spacing w:val="5"/>
        </w:rPr>
        <w:t xml:space="preserve">poeira mineral </w:t>
      </w:r>
      <w:r>
        <w:rPr>
          <w:spacing w:val="3"/>
        </w:rPr>
        <w:t xml:space="preserve">na </w:t>
      </w:r>
      <w:r>
        <w:rPr>
          <w:spacing w:val="6"/>
        </w:rPr>
        <w:t xml:space="preserve">manufatura </w:t>
      </w:r>
      <w:r>
        <w:rPr>
          <w:spacing w:val="3"/>
        </w:rPr>
        <w:t xml:space="preserve">de </w:t>
      </w:r>
      <w:r>
        <w:rPr>
          <w:spacing w:val="7"/>
        </w:rPr>
        <w:t>pedra</w:t>
      </w:r>
      <w:r>
        <w:rPr>
          <w:spacing w:val="7"/>
        </w:rPr>
        <w:t xml:space="preserve">- </w:t>
      </w:r>
      <w:r>
        <w:rPr>
          <w:spacing w:val="5"/>
        </w:rPr>
        <w:t xml:space="preserve">sabão afeta comunidade </w:t>
      </w:r>
      <w:r>
        <w:rPr>
          <w:spacing w:val="2"/>
        </w:rPr>
        <w:t xml:space="preserve">de </w:t>
      </w:r>
      <w:r>
        <w:rPr>
          <w:spacing w:val="5"/>
        </w:rPr>
        <w:t xml:space="preserve">Mata </w:t>
      </w:r>
      <w:r>
        <w:rPr>
          <w:spacing w:val="3"/>
        </w:rPr>
        <w:t xml:space="preserve">dos </w:t>
      </w:r>
      <w:r>
        <w:rPr>
          <w:spacing w:val="5"/>
        </w:rPr>
        <w:t>Palmitos</w:t>
      </w:r>
      <w:r>
        <w:rPr>
          <w:spacing w:val="58"/>
        </w:rPr>
        <w:t xml:space="preserve"> </w:t>
      </w:r>
      <w:r>
        <w:rPr>
          <w:spacing w:val="6"/>
        </w:rPr>
        <w:t>(MG)</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MG - Ouro Preto</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-20,4802</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-43,4152</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2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A </w:t>
      </w:r>
      <w:r>
        <w:rPr>
          <w:i/>
          <w:spacing w:val="10"/>
          <w:sz w:val="16"/>
        </w:rPr>
        <w:t xml:space="preserve">comunidade rural </w:t>
      </w:r>
      <w:r>
        <w:rPr>
          <w:i/>
          <w:spacing w:val="5"/>
          <w:sz w:val="16"/>
        </w:rPr>
        <w:t xml:space="preserve">de </w:t>
      </w:r>
      <w:r>
        <w:rPr>
          <w:i/>
          <w:spacing w:val="8"/>
          <w:sz w:val="16"/>
        </w:rPr>
        <w:t xml:space="preserve">Mata </w:t>
      </w:r>
      <w:r>
        <w:rPr>
          <w:i/>
          <w:spacing w:val="7"/>
          <w:sz w:val="16"/>
        </w:rPr>
        <w:t xml:space="preserve">dos </w:t>
      </w:r>
      <w:r>
        <w:rPr>
          <w:i/>
          <w:spacing w:val="10"/>
          <w:sz w:val="16"/>
        </w:rPr>
        <w:t xml:space="preserve">Palmitos, </w:t>
      </w:r>
      <w:r>
        <w:rPr>
          <w:i/>
          <w:spacing w:val="5"/>
          <w:sz w:val="16"/>
        </w:rPr>
        <w:t xml:space="preserve">em </w:t>
      </w:r>
      <w:r>
        <w:rPr>
          <w:i/>
          <w:spacing w:val="8"/>
          <w:sz w:val="16"/>
        </w:rPr>
        <w:t xml:space="preserve">Ouro </w:t>
      </w:r>
      <w:r>
        <w:rPr>
          <w:i/>
          <w:spacing w:val="10"/>
          <w:sz w:val="16"/>
        </w:rPr>
        <w:t xml:space="preserve">Preto, </w:t>
      </w:r>
      <w:r>
        <w:rPr>
          <w:i/>
          <w:spacing w:val="8"/>
          <w:sz w:val="16"/>
        </w:rPr>
        <w:t xml:space="preserve">vive </w:t>
      </w:r>
      <w:r>
        <w:rPr>
          <w:i/>
          <w:spacing w:val="11"/>
          <w:sz w:val="16"/>
        </w:rPr>
        <w:t xml:space="preserve">do </w:t>
      </w:r>
      <w:r>
        <w:rPr>
          <w:i/>
          <w:sz w:val="16"/>
        </w:rPr>
        <w:t xml:space="preserve">artesanato da pedra-sabão. A atividade, </w:t>
      </w:r>
      <w:r>
        <w:rPr>
          <w:i/>
          <w:spacing w:val="10"/>
          <w:sz w:val="16"/>
        </w:rPr>
        <w:t xml:space="preserve">desenvolvida </w:t>
      </w:r>
      <w:r>
        <w:rPr>
          <w:i/>
          <w:spacing w:val="5"/>
          <w:sz w:val="16"/>
        </w:rPr>
        <w:t xml:space="preserve">de </w:t>
      </w:r>
      <w:r>
        <w:rPr>
          <w:i/>
          <w:spacing w:val="7"/>
          <w:sz w:val="16"/>
        </w:rPr>
        <w:t xml:space="preserve">forma </w:t>
      </w:r>
      <w:r>
        <w:rPr>
          <w:i/>
          <w:spacing w:val="10"/>
          <w:sz w:val="16"/>
        </w:rPr>
        <w:t xml:space="preserve">rudimentar, </w:t>
      </w:r>
      <w:r>
        <w:rPr>
          <w:i/>
          <w:spacing w:val="5"/>
          <w:sz w:val="16"/>
        </w:rPr>
        <w:t xml:space="preserve">provoca grande emissão </w:t>
      </w:r>
      <w:r>
        <w:rPr>
          <w:i/>
          <w:spacing w:val="2"/>
          <w:sz w:val="16"/>
        </w:rPr>
        <w:t xml:space="preserve">de </w:t>
      </w:r>
      <w:r>
        <w:rPr>
          <w:i/>
          <w:spacing w:val="5"/>
          <w:sz w:val="16"/>
        </w:rPr>
        <w:t xml:space="preserve">poeira </w:t>
      </w:r>
      <w:r>
        <w:rPr>
          <w:i/>
          <w:sz w:val="16"/>
        </w:rPr>
        <w:t xml:space="preserve">e grande impacto ambiental, uma vez que essa poeira se acumula nas margens de rios da região, causando assoreamento  e </w:t>
      </w:r>
      <w:r>
        <w:rPr>
          <w:i/>
          <w:spacing w:val="8"/>
          <w:sz w:val="16"/>
        </w:rPr>
        <w:t xml:space="preserve">expandindo </w:t>
      </w:r>
      <w:r>
        <w:rPr>
          <w:i/>
          <w:sz w:val="16"/>
        </w:rPr>
        <w:t xml:space="preserve">a </w:t>
      </w:r>
      <w:r>
        <w:rPr>
          <w:i/>
          <w:spacing w:val="8"/>
          <w:sz w:val="16"/>
        </w:rPr>
        <w:t xml:space="preserve">contaminação </w:t>
      </w:r>
      <w:r>
        <w:rPr>
          <w:i/>
          <w:spacing w:val="10"/>
          <w:sz w:val="16"/>
        </w:rPr>
        <w:t xml:space="preserve">para </w:t>
      </w:r>
      <w:r>
        <w:rPr>
          <w:i/>
          <w:spacing w:val="7"/>
          <w:sz w:val="16"/>
        </w:rPr>
        <w:t xml:space="preserve">áreas </w:t>
      </w:r>
      <w:r>
        <w:rPr>
          <w:i/>
          <w:spacing w:val="5"/>
          <w:sz w:val="16"/>
        </w:rPr>
        <w:t xml:space="preserve">sem </w:t>
      </w:r>
      <w:r>
        <w:rPr>
          <w:i/>
          <w:spacing w:val="7"/>
          <w:sz w:val="16"/>
        </w:rPr>
        <w:t xml:space="preserve">atividade </w:t>
      </w:r>
      <w:r>
        <w:rPr>
          <w:i/>
          <w:spacing w:val="5"/>
          <w:sz w:val="16"/>
        </w:rPr>
        <w:t>de</w:t>
      </w:r>
      <w:r>
        <w:rPr>
          <w:i/>
          <w:spacing w:val="13"/>
          <w:sz w:val="16"/>
        </w:rPr>
        <w:t xml:space="preserve"> </w:t>
      </w:r>
      <w:r>
        <w:rPr>
          <w:i/>
          <w:spacing w:val="10"/>
          <w:sz w:val="16"/>
        </w:rPr>
        <w:t>artesanato.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2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91"/>
      </w:pPr>
      <w:r>
        <w:t>coleta de depoimentos de testemunhas (VERAS et al., 2006). O fato ganhou repercussão internacional por envolver as multinacionais Basf, ICI Paints e Faber-Castell, que compravam matéria prima (minério de talco) para utilizar na fabricação de diversos produ</w:t>
      </w:r>
      <w:r>
        <w:t>tos como giz de cera, tintas, remédios e cosméticos (CASARA, 2006). A Faber-Castell suspendeu o contrato imediatamente após ter ciência dos fatos.</w:t>
      </w:r>
    </w:p>
    <w:p w:rsidR="00D81F69" w:rsidRDefault="00330118">
      <w:pPr>
        <w:pStyle w:val="Corpodetexto"/>
        <w:spacing w:before="137" w:line="312" w:lineRule="auto"/>
        <w:ind w:left="135" w:right="213"/>
      </w:pPr>
      <w:r>
        <w:t>Depois da publicação da reportagem, técnicos dos ministérios do Desenvolvimento Social e Combate à Fome, do Trabalho e Emprego e de Minas e Energia, além de representantes do</w:t>
      </w:r>
    </w:p>
    <w:p w:rsidR="00D81F69" w:rsidRDefault="00D81F69">
      <w:pPr>
        <w:spacing w:line="312" w:lineRule="auto"/>
        <w:sectPr w:rsidR="00D81F69">
          <w:type w:val="continuous"/>
          <w:pgSz w:w="11900" w:h="16840"/>
          <w:pgMar w:top="720" w:right="500" w:bottom="280" w:left="620" w:header="720" w:footer="720" w:gutter="0"/>
          <w:cols w:num="3" w:space="720" w:equalWidth="0">
            <w:col w:w="1210" w:space="790"/>
            <w:col w:w="3126" w:space="309"/>
            <w:col w:w="5345"/>
          </w:cols>
        </w:sectPr>
      </w:pPr>
    </w:p>
    <w:p w:rsidR="00D81F69" w:rsidRDefault="00330118">
      <w:pPr>
        <w:pStyle w:val="Heading4"/>
        <w:spacing w:before="86"/>
        <w:jc w:val="left"/>
      </w:pPr>
      <w:r>
        <w:lastRenderedPageBreak/>
        <w:t>APRESENTAÇÃO DE CASO</w:t>
      </w:r>
    </w:p>
    <w:p w:rsidR="00D81F69" w:rsidRDefault="00330118">
      <w:pPr>
        <w:pStyle w:val="Corpodetexto"/>
        <w:spacing w:before="171" w:line="312" w:lineRule="auto"/>
        <w:ind w:right="88"/>
        <w:jc w:val="left"/>
      </w:pPr>
      <w:r>
        <w:rPr>
          <w:spacing w:val="3"/>
        </w:rPr>
        <w:t xml:space="preserve">Com </w:t>
      </w:r>
      <w:r>
        <w:rPr>
          <w:spacing w:val="5"/>
        </w:rPr>
        <w:t xml:space="preserve">1.245,864 </w:t>
      </w:r>
      <w:r>
        <w:rPr>
          <w:spacing w:val="3"/>
        </w:rPr>
        <w:t xml:space="preserve">km² </w:t>
      </w:r>
      <w:r>
        <w:t xml:space="preserve">e </w:t>
      </w:r>
      <w:r>
        <w:rPr>
          <w:spacing w:val="5"/>
        </w:rPr>
        <w:t>70.281 h</w:t>
      </w:r>
      <w:r>
        <w:rPr>
          <w:spacing w:val="5"/>
        </w:rPr>
        <w:t xml:space="preserve">abitantes (IBGE, 2010), </w:t>
      </w:r>
      <w:r>
        <w:t xml:space="preserve">o </w:t>
      </w:r>
      <w:r>
        <w:rPr>
          <w:spacing w:val="3"/>
        </w:rPr>
        <w:t xml:space="preserve">município mineiro </w:t>
      </w:r>
      <w:r>
        <w:rPr>
          <w:spacing w:val="1"/>
        </w:rPr>
        <w:t xml:space="preserve">de </w:t>
      </w:r>
      <w:r>
        <w:rPr>
          <w:spacing w:val="2"/>
        </w:rPr>
        <w:t xml:space="preserve">Ouro </w:t>
      </w:r>
      <w:r>
        <w:rPr>
          <w:spacing w:val="3"/>
        </w:rPr>
        <w:t xml:space="preserve">Preto ficou </w:t>
      </w:r>
      <w:r>
        <w:rPr>
          <w:spacing w:val="5"/>
        </w:rPr>
        <w:t xml:space="preserve">internacionalmente </w:t>
      </w:r>
      <w:r>
        <w:t xml:space="preserve">famoso pelas esculturas em pedra-sabão feitas por Antônio Francisco Lisboa, o Aleijadinho, mestre do Barroco brasileiro. O </w:t>
      </w:r>
      <w:r>
        <w:rPr>
          <w:spacing w:val="3"/>
        </w:rPr>
        <w:t xml:space="preserve">material </w:t>
      </w:r>
      <w:r>
        <w:t xml:space="preserve">é </w:t>
      </w:r>
      <w:r>
        <w:rPr>
          <w:spacing w:val="3"/>
        </w:rPr>
        <w:t xml:space="preserve">usado </w:t>
      </w:r>
      <w:r>
        <w:rPr>
          <w:spacing w:val="2"/>
        </w:rPr>
        <w:t xml:space="preserve">até </w:t>
      </w:r>
      <w:r>
        <w:rPr>
          <w:spacing w:val="3"/>
        </w:rPr>
        <w:t xml:space="preserve">hoje, </w:t>
      </w:r>
      <w:r>
        <w:rPr>
          <w:spacing w:val="1"/>
        </w:rPr>
        <w:t xml:space="preserve">na </w:t>
      </w:r>
      <w:r>
        <w:rPr>
          <w:spacing w:val="3"/>
        </w:rPr>
        <w:t xml:space="preserve">região, </w:t>
      </w:r>
      <w:r>
        <w:rPr>
          <w:spacing w:val="2"/>
        </w:rPr>
        <w:t xml:space="preserve">para </w:t>
      </w:r>
      <w:r>
        <w:rPr>
          <w:spacing w:val="3"/>
        </w:rPr>
        <w:t>produçã</w:t>
      </w:r>
      <w:r>
        <w:rPr>
          <w:spacing w:val="3"/>
        </w:rPr>
        <w:t xml:space="preserve">o </w:t>
      </w:r>
      <w:r>
        <w:rPr>
          <w:spacing w:val="5"/>
        </w:rPr>
        <w:t xml:space="preserve">de </w:t>
      </w:r>
      <w:r>
        <w:rPr>
          <w:spacing w:val="7"/>
        </w:rPr>
        <w:t xml:space="preserve">objetos </w:t>
      </w:r>
      <w:r>
        <w:rPr>
          <w:spacing w:val="8"/>
        </w:rPr>
        <w:t xml:space="preserve">artesanais. </w:t>
      </w:r>
      <w:r>
        <w:rPr>
          <w:spacing w:val="5"/>
        </w:rPr>
        <w:t xml:space="preserve">Na </w:t>
      </w:r>
      <w:r>
        <w:rPr>
          <w:spacing w:val="8"/>
        </w:rPr>
        <w:t xml:space="preserve">comunidade </w:t>
      </w:r>
      <w:r>
        <w:rPr>
          <w:spacing w:val="7"/>
        </w:rPr>
        <w:t xml:space="preserve">rural </w:t>
      </w:r>
      <w:r>
        <w:rPr>
          <w:spacing w:val="5"/>
        </w:rPr>
        <w:t xml:space="preserve">de </w:t>
      </w:r>
      <w:r>
        <w:rPr>
          <w:spacing w:val="6"/>
        </w:rPr>
        <w:t xml:space="preserve">Mata </w:t>
      </w:r>
      <w:r>
        <w:rPr>
          <w:spacing w:val="10"/>
        </w:rPr>
        <w:t xml:space="preserve">dos </w:t>
      </w:r>
      <w:r>
        <w:t xml:space="preserve">Palmitos, localizada no Distrito de Santa Rita de Ouro Preto, por exemplo, famílias produzem de forma rudimentar, há mais </w:t>
      </w:r>
      <w:r>
        <w:rPr>
          <w:spacing w:val="2"/>
        </w:rPr>
        <w:t xml:space="preserve">de um </w:t>
      </w:r>
      <w:r>
        <w:rPr>
          <w:spacing w:val="5"/>
        </w:rPr>
        <w:t xml:space="preserve">século, </w:t>
      </w:r>
      <w:r>
        <w:rPr>
          <w:spacing w:val="3"/>
        </w:rPr>
        <w:t xml:space="preserve">peças </w:t>
      </w:r>
      <w:r>
        <w:rPr>
          <w:spacing w:val="2"/>
        </w:rPr>
        <w:t xml:space="preserve">em </w:t>
      </w:r>
      <w:r>
        <w:rPr>
          <w:spacing w:val="5"/>
        </w:rPr>
        <w:t xml:space="preserve">pedra-sabão (BEZERRA </w:t>
      </w:r>
      <w:r>
        <w:rPr>
          <w:spacing w:val="2"/>
        </w:rPr>
        <w:t xml:space="preserve">et </w:t>
      </w:r>
      <w:r>
        <w:rPr>
          <w:spacing w:val="5"/>
        </w:rPr>
        <w:t>al., 2003).</w:t>
      </w:r>
    </w:p>
    <w:p w:rsidR="00D81F69" w:rsidRDefault="00330118">
      <w:pPr>
        <w:pStyle w:val="Corpodetexto"/>
        <w:spacing w:before="139" w:line="312" w:lineRule="auto"/>
        <w:ind w:right="67"/>
      </w:pPr>
      <w:r>
        <w:t>Pedra-sabão (ou es</w:t>
      </w:r>
      <w:r>
        <w:t xml:space="preserve">teatito) é o nome dado a uma rocha metamórfica constituída principalmente pelo mineral talco [Mg3Si4O10(OH)2], um filossilicato de magnésio hidratado, podendo ocorrer também clorita, serpentina, magnesita, antigorita, enstatita e, ocasionalmente, quartzo, </w:t>
      </w:r>
      <w:r>
        <w:t>magnetita ou pirita. O talco possui vários usos industriais, sendo empregado, principalmente, nas indústrias cerâmica, têxtil, farmacêutica, na produção de inseticidas, cosméticos, sabões, tintas, borrachas, papéis e refratários (BEZERRA et al., 2003).</w:t>
      </w:r>
    </w:p>
    <w:p w:rsidR="00D81F69" w:rsidRDefault="00330118">
      <w:pPr>
        <w:pStyle w:val="Corpodetexto"/>
        <w:spacing w:before="139" w:line="312" w:lineRule="auto"/>
        <w:ind w:right="74"/>
      </w:pPr>
      <w:r>
        <w:t xml:space="preserve">Na </w:t>
      </w:r>
      <w:r>
        <w:rPr>
          <w:spacing w:val="1"/>
        </w:rPr>
        <w:t xml:space="preserve">comunidade </w:t>
      </w:r>
      <w:r>
        <w:t xml:space="preserve">de </w:t>
      </w:r>
      <w:r>
        <w:rPr>
          <w:spacing w:val="1"/>
        </w:rPr>
        <w:t xml:space="preserve">Mata </w:t>
      </w:r>
      <w:r>
        <w:t xml:space="preserve">dos </w:t>
      </w:r>
      <w:r>
        <w:rPr>
          <w:spacing w:val="1"/>
        </w:rPr>
        <w:t xml:space="preserve">Palmitos, situada </w:t>
      </w:r>
      <w:r>
        <w:t xml:space="preserve">a 40 km </w:t>
      </w:r>
      <w:r>
        <w:rPr>
          <w:spacing w:val="2"/>
        </w:rPr>
        <w:t xml:space="preserve">de </w:t>
      </w:r>
      <w:r>
        <w:rPr>
          <w:spacing w:val="6"/>
        </w:rPr>
        <w:t xml:space="preserve">Ouro </w:t>
      </w:r>
      <w:r>
        <w:rPr>
          <w:spacing w:val="7"/>
        </w:rPr>
        <w:t xml:space="preserve">Preto, existem </w:t>
      </w:r>
      <w:r>
        <w:rPr>
          <w:spacing w:val="6"/>
        </w:rPr>
        <w:t xml:space="preserve">três </w:t>
      </w:r>
      <w:r>
        <w:rPr>
          <w:spacing w:val="7"/>
        </w:rPr>
        <w:t xml:space="preserve">pequenas lavras </w:t>
      </w:r>
      <w:r>
        <w:rPr>
          <w:spacing w:val="10"/>
        </w:rPr>
        <w:t xml:space="preserve">particulares </w:t>
      </w:r>
      <w:r>
        <w:t xml:space="preserve">situadas nas regiões de Bandeiras e Sanches (MPT, </w:t>
      </w:r>
      <w:r>
        <w:rPr>
          <w:spacing w:val="1"/>
        </w:rPr>
        <w:t xml:space="preserve">2006). </w:t>
      </w:r>
      <w:r>
        <w:t>No local residem 180 pessoas, das quais 123 são artesãos da pedra-sabão, uma importante alter</w:t>
      </w:r>
      <w:r>
        <w:t xml:space="preserve">nativa econômica para a população local que tem pouco acesso ao mercado formal de </w:t>
      </w:r>
      <w:r>
        <w:rPr>
          <w:spacing w:val="5"/>
        </w:rPr>
        <w:t xml:space="preserve">trabalho. </w:t>
      </w:r>
      <w:r>
        <w:rPr>
          <w:spacing w:val="2"/>
        </w:rPr>
        <w:t xml:space="preserve">Na </w:t>
      </w:r>
      <w:r>
        <w:rPr>
          <w:spacing w:val="5"/>
        </w:rPr>
        <w:t xml:space="preserve">produção </w:t>
      </w:r>
      <w:r>
        <w:rPr>
          <w:spacing w:val="3"/>
        </w:rPr>
        <w:t xml:space="preserve">das </w:t>
      </w:r>
      <w:r>
        <w:rPr>
          <w:spacing w:val="5"/>
        </w:rPr>
        <w:t xml:space="preserve">peças, realizada </w:t>
      </w:r>
      <w:r>
        <w:rPr>
          <w:spacing w:val="2"/>
        </w:rPr>
        <w:t xml:space="preserve">em </w:t>
      </w:r>
      <w:r>
        <w:rPr>
          <w:spacing w:val="5"/>
        </w:rPr>
        <w:t xml:space="preserve">oficinas </w:t>
      </w:r>
      <w:r>
        <w:rPr>
          <w:spacing w:val="3"/>
        </w:rPr>
        <w:t xml:space="preserve">instaladas próximas </w:t>
      </w:r>
      <w:r>
        <w:rPr>
          <w:spacing w:val="1"/>
        </w:rPr>
        <w:t xml:space="preserve">às </w:t>
      </w:r>
      <w:r>
        <w:rPr>
          <w:spacing w:val="3"/>
        </w:rPr>
        <w:t xml:space="preserve">residências, predomina </w:t>
      </w:r>
      <w:r>
        <w:t xml:space="preserve">o </w:t>
      </w:r>
      <w:r>
        <w:rPr>
          <w:spacing w:val="5"/>
        </w:rPr>
        <w:t xml:space="preserve">trabalho manual, havendo algumas que </w:t>
      </w:r>
      <w:r>
        <w:rPr>
          <w:spacing w:val="6"/>
        </w:rPr>
        <w:t xml:space="preserve">utilizam </w:t>
      </w:r>
      <w:r>
        <w:rPr>
          <w:spacing w:val="5"/>
        </w:rPr>
        <w:t xml:space="preserve">tornos </w:t>
      </w:r>
      <w:r>
        <w:t xml:space="preserve">e </w:t>
      </w:r>
      <w:r>
        <w:rPr>
          <w:spacing w:val="7"/>
        </w:rPr>
        <w:t xml:space="preserve">serras </w:t>
      </w:r>
      <w:r>
        <w:rPr>
          <w:spacing w:val="3"/>
        </w:rPr>
        <w:t>elétricos</w:t>
      </w:r>
      <w:r>
        <w:rPr>
          <w:spacing w:val="3"/>
        </w:rPr>
        <w:t xml:space="preserve">. Cerca </w:t>
      </w:r>
      <w:r>
        <w:rPr>
          <w:spacing w:val="1"/>
        </w:rPr>
        <w:t xml:space="preserve">de </w:t>
      </w:r>
      <w:r>
        <w:rPr>
          <w:spacing w:val="2"/>
        </w:rPr>
        <w:t xml:space="preserve">25% </w:t>
      </w:r>
      <w:r>
        <w:rPr>
          <w:spacing w:val="1"/>
        </w:rPr>
        <w:t xml:space="preserve">da </w:t>
      </w:r>
      <w:r>
        <w:rPr>
          <w:spacing w:val="3"/>
        </w:rPr>
        <w:t xml:space="preserve">força </w:t>
      </w:r>
      <w:r>
        <w:rPr>
          <w:spacing w:val="1"/>
        </w:rPr>
        <w:t xml:space="preserve">de </w:t>
      </w:r>
      <w:r>
        <w:rPr>
          <w:spacing w:val="3"/>
        </w:rPr>
        <w:t xml:space="preserve">trabalho ocupada </w:t>
      </w:r>
      <w:r>
        <w:rPr>
          <w:spacing w:val="5"/>
        </w:rPr>
        <w:t xml:space="preserve">na </w:t>
      </w:r>
      <w:r>
        <w:t>produção de artesanato são de indivíduos entre 7 e 17 anos (BEZERRA et al.,</w:t>
      </w:r>
      <w:r>
        <w:rPr>
          <w:spacing w:val="30"/>
        </w:rPr>
        <w:t xml:space="preserve"> </w:t>
      </w:r>
      <w:r>
        <w:t>2003).</w:t>
      </w:r>
    </w:p>
    <w:p w:rsidR="00D81F69" w:rsidRDefault="00330118">
      <w:pPr>
        <w:pStyle w:val="Corpodetexto"/>
        <w:spacing w:before="78" w:line="270" w:lineRule="atLeast"/>
        <w:ind w:right="88"/>
      </w:pPr>
      <w:r>
        <w:t>Em 2006, a ONG Observatório Social esteve na localidade para realizar uma reportagem e verificou a utilização de mão de obra infantil na cadeia produtiva do talco, o que foi comprovado por meio de fotos de crianças trabalhando e da</w:t>
      </w:r>
    </w:p>
    <w:p w:rsidR="00D81F69" w:rsidRDefault="00330118">
      <w:pPr>
        <w:pStyle w:val="Corpodetexto"/>
        <w:spacing w:before="3" w:line="312" w:lineRule="auto"/>
        <w:ind w:right="210"/>
      </w:pPr>
      <w:r>
        <w:br w:type="column"/>
      </w:r>
      <w:r>
        <w:lastRenderedPageBreak/>
        <w:t>Ministério Público Fede</w:t>
      </w:r>
      <w:r>
        <w:t>ral do Trabalho (MPT) e policiais federais, estiveram no município para apurar o caso. Não foram encontradas crianças trabalhando nas mineradoras vistoriadas (MDS, 2006).</w:t>
      </w:r>
    </w:p>
    <w:p w:rsidR="00D81F69" w:rsidRDefault="00330118">
      <w:pPr>
        <w:pStyle w:val="Corpodetexto"/>
        <w:spacing w:before="133" w:line="312" w:lineRule="auto"/>
        <w:ind w:right="192"/>
      </w:pPr>
      <w:r>
        <w:t>Da mesma forma, o relatório do Departamento Nacional de Produção Mineral (DNPM) refer</w:t>
      </w:r>
      <w:r>
        <w:t>ente às fiscalizações ocorridas em 2005 consigna que não foi constatada a presença de crianças ou adolescentes no ato das vistorias nas empresas investigadas: Minas Talco Ltda. e Minas Serpentinito Ltda. (MPT, 2006).</w:t>
      </w:r>
    </w:p>
    <w:p w:rsidR="00D81F69" w:rsidRDefault="00330118">
      <w:pPr>
        <w:pStyle w:val="Corpodetexto"/>
        <w:spacing w:before="136" w:line="312" w:lineRule="auto"/>
        <w:ind w:right="212"/>
      </w:pPr>
      <w:r>
        <w:t>Em conclusão à denúncia de trabalho inf</w:t>
      </w:r>
      <w:r>
        <w:t>antil, o MPT afirmou que: “o trabalho de crianças e adolescentes em Mata dos Palmitos existe de fato, em atividades desenvolvidas para ajudar no sustento e renda das famílias, não sendo executado de forma direta para as empresas exploradoras da jazida na r</w:t>
      </w:r>
      <w:r>
        <w:t>egião ou compradoras das pedras. Em nenhum momento fora constatado o trabalho de crianças e adolescentes nas minas, em atividade de extração de minério, contudo, o trabalho das mesmas é realizado em serviços de limpeza de área das minas e catação de resídu</w:t>
      </w:r>
      <w:r>
        <w:t>os das rochas, seja para o aproveitamento no artesanato, seja para a comercialização para as empresas que o beneficiam” (MPT, 2006).</w:t>
      </w:r>
    </w:p>
    <w:p w:rsidR="00D81F69" w:rsidRDefault="00330118">
      <w:pPr>
        <w:pStyle w:val="Corpodetexto"/>
        <w:spacing w:before="78" w:line="270" w:lineRule="atLeast"/>
        <w:ind w:right="196"/>
      </w:pPr>
      <w:r>
        <w:t xml:space="preserve">Durante as vistorias foi verificado também que toda extração </w:t>
      </w:r>
      <w:r>
        <w:rPr>
          <w:spacing w:val="5"/>
        </w:rPr>
        <w:t xml:space="preserve">de </w:t>
      </w:r>
      <w:r>
        <w:rPr>
          <w:spacing w:val="7"/>
        </w:rPr>
        <w:t xml:space="preserve">minério </w:t>
      </w:r>
      <w:r>
        <w:rPr>
          <w:spacing w:val="5"/>
        </w:rPr>
        <w:t xml:space="preserve">na </w:t>
      </w:r>
      <w:r>
        <w:rPr>
          <w:spacing w:val="8"/>
        </w:rPr>
        <w:t xml:space="preserve">localidade </w:t>
      </w:r>
      <w:r>
        <w:t xml:space="preserve">é </w:t>
      </w:r>
      <w:r>
        <w:rPr>
          <w:spacing w:val="8"/>
        </w:rPr>
        <w:t xml:space="preserve">clandestina. </w:t>
      </w:r>
      <w:r>
        <w:rPr>
          <w:spacing w:val="6"/>
        </w:rPr>
        <w:t xml:space="preserve">Isso </w:t>
      </w:r>
      <w:r>
        <w:rPr>
          <w:spacing w:val="7"/>
        </w:rPr>
        <w:t xml:space="preserve">porque </w:t>
      </w:r>
      <w:r>
        <w:t xml:space="preserve">a empresa </w:t>
      </w:r>
      <w:r>
        <w:t xml:space="preserve">Minas Serpentinito Ltda., única a possuir alvará de pesquisa mineral na localidade, não detém concessão para lavrar, devido a pendências quanto ao impacto ambiental de sua atividade. Em 05 de janeiro de 2005, a Minas Talco Ltda. </w:t>
      </w:r>
      <w:r>
        <w:rPr>
          <w:spacing w:val="3"/>
        </w:rPr>
        <w:t xml:space="preserve">cedeu </w:t>
      </w:r>
      <w:r>
        <w:t xml:space="preserve">à </w:t>
      </w:r>
      <w:r>
        <w:rPr>
          <w:spacing w:val="3"/>
        </w:rPr>
        <w:t xml:space="preserve">Minas Serpentinito </w:t>
      </w:r>
      <w:r>
        <w:rPr>
          <w:spacing w:val="3"/>
        </w:rPr>
        <w:t xml:space="preserve">Ltda. </w:t>
      </w:r>
      <w:r>
        <w:t xml:space="preserve">o </w:t>
      </w:r>
      <w:r>
        <w:rPr>
          <w:spacing w:val="3"/>
        </w:rPr>
        <w:t xml:space="preserve">direito minerário, </w:t>
      </w:r>
      <w:r>
        <w:rPr>
          <w:spacing w:val="5"/>
        </w:rPr>
        <w:t xml:space="preserve">que </w:t>
      </w:r>
      <w:r>
        <w:t xml:space="preserve">envolvia apenas autorização de pesquisa, guardando para si  a responsabilidade pelo beneficiamento do minério. Como a </w:t>
      </w:r>
      <w:r>
        <w:rPr>
          <w:spacing w:val="11"/>
        </w:rPr>
        <w:t xml:space="preserve">Minas </w:t>
      </w:r>
      <w:r>
        <w:rPr>
          <w:spacing w:val="12"/>
        </w:rPr>
        <w:t xml:space="preserve">Serpentinito </w:t>
      </w:r>
      <w:r>
        <w:rPr>
          <w:spacing w:val="10"/>
        </w:rPr>
        <w:t xml:space="preserve">não </w:t>
      </w:r>
      <w:r>
        <w:rPr>
          <w:spacing w:val="11"/>
        </w:rPr>
        <w:t xml:space="preserve">possuía </w:t>
      </w:r>
      <w:r>
        <w:rPr>
          <w:spacing w:val="10"/>
        </w:rPr>
        <w:t xml:space="preserve">Guia </w:t>
      </w:r>
      <w:r>
        <w:rPr>
          <w:spacing w:val="6"/>
        </w:rPr>
        <w:t xml:space="preserve">de </w:t>
      </w:r>
      <w:r>
        <w:rPr>
          <w:spacing w:val="15"/>
        </w:rPr>
        <w:t xml:space="preserve">Utilização </w:t>
      </w:r>
      <w:r>
        <w:rPr>
          <w:spacing w:val="5"/>
        </w:rPr>
        <w:t xml:space="preserve">[documento emitido </w:t>
      </w:r>
      <w:r>
        <w:rPr>
          <w:spacing w:val="3"/>
        </w:rPr>
        <w:t xml:space="preserve">pelo DNPM que </w:t>
      </w:r>
      <w:r>
        <w:rPr>
          <w:spacing w:val="5"/>
        </w:rPr>
        <w:t xml:space="preserve">permite, </w:t>
      </w:r>
      <w:r>
        <w:rPr>
          <w:spacing w:val="2"/>
        </w:rPr>
        <w:t xml:space="preserve">em </w:t>
      </w:r>
      <w:r>
        <w:rPr>
          <w:spacing w:val="5"/>
        </w:rPr>
        <w:t xml:space="preserve">caráter </w:t>
      </w:r>
      <w:r>
        <w:t>exce</w:t>
      </w:r>
      <w:r>
        <w:t xml:space="preserve">pcional, o aproveitamento de substâncias minerais em área titulada, antes da outorga da Concessão de Lavra] não </w:t>
      </w:r>
      <w:r>
        <w:rPr>
          <w:spacing w:val="3"/>
        </w:rPr>
        <w:t xml:space="preserve">poderia realizar trabalhos </w:t>
      </w:r>
      <w:r>
        <w:rPr>
          <w:spacing w:val="1"/>
        </w:rPr>
        <w:t xml:space="preserve">de </w:t>
      </w:r>
      <w:r>
        <w:rPr>
          <w:spacing w:val="3"/>
        </w:rPr>
        <w:t xml:space="preserve">lavra </w:t>
      </w:r>
      <w:r>
        <w:rPr>
          <w:spacing w:val="1"/>
        </w:rPr>
        <w:t xml:space="preserve">na </w:t>
      </w:r>
      <w:r>
        <w:rPr>
          <w:spacing w:val="3"/>
        </w:rPr>
        <w:t xml:space="preserve">região. </w:t>
      </w:r>
      <w:r>
        <w:t xml:space="preserve">A </w:t>
      </w:r>
      <w:r>
        <w:rPr>
          <w:spacing w:val="5"/>
        </w:rPr>
        <w:t xml:space="preserve">despeito </w:t>
      </w:r>
      <w:r>
        <w:t xml:space="preserve">disso, a empresa firmou contratos ilegais de “arrendamento  </w:t>
      </w:r>
      <w:r>
        <w:rPr>
          <w:spacing w:val="1"/>
        </w:rPr>
        <w:t>de</w:t>
      </w:r>
      <w:r>
        <w:rPr>
          <w:spacing w:val="23"/>
        </w:rPr>
        <w:t xml:space="preserve"> </w:t>
      </w:r>
      <w:r>
        <w:rPr>
          <w:spacing w:val="3"/>
        </w:rPr>
        <w:t>jazida</w:t>
      </w:r>
      <w:r>
        <w:rPr>
          <w:spacing w:val="23"/>
        </w:rPr>
        <w:t xml:space="preserve"> </w:t>
      </w:r>
      <w:r>
        <w:rPr>
          <w:spacing w:val="3"/>
        </w:rPr>
        <w:t>mineral”,</w:t>
      </w:r>
      <w:r>
        <w:rPr>
          <w:spacing w:val="23"/>
        </w:rPr>
        <w:t xml:space="preserve"> </w:t>
      </w:r>
      <w:r>
        <w:rPr>
          <w:spacing w:val="1"/>
        </w:rPr>
        <w:t>em</w:t>
      </w:r>
      <w:r>
        <w:rPr>
          <w:spacing w:val="23"/>
        </w:rPr>
        <w:t xml:space="preserve"> </w:t>
      </w:r>
      <w:r>
        <w:rPr>
          <w:spacing w:val="3"/>
        </w:rPr>
        <w:t>200</w:t>
      </w:r>
      <w:r>
        <w:rPr>
          <w:spacing w:val="3"/>
        </w:rPr>
        <w:t>5,</w:t>
      </w:r>
      <w:r>
        <w:rPr>
          <w:spacing w:val="23"/>
        </w:rPr>
        <w:t xml:space="preserve"> </w:t>
      </w:r>
      <w:r>
        <w:rPr>
          <w:spacing w:val="2"/>
        </w:rPr>
        <w:t>com</w:t>
      </w:r>
      <w:r>
        <w:rPr>
          <w:spacing w:val="23"/>
        </w:rPr>
        <w:t xml:space="preserve"> </w:t>
      </w:r>
      <w:r>
        <w:rPr>
          <w:spacing w:val="3"/>
        </w:rPr>
        <w:t>quatro</w:t>
      </w:r>
      <w:r>
        <w:rPr>
          <w:spacing w:val="23"/>
        </w:rPr>
        <w:t xml:space="preserve"> </w:t>
      </w:r>
      <w:r>
        <w:rPr>
          <w:spacing w:val="3"/>
        </w:rPr>
        <w:t>empresas,</w:t>
      </w:r>
      <w:r>
        <w:rPr>
          <w:spacing w:val="23"/>
        </w:rPr>
        <w:t xml:space="preserve"> </w:t>
      </w:r>
      <w:r>
        <w:rPr>
          <w:spacing w:val="5"/>
        </w:rPr>
        <w:t>todos</w:t>
      </w:r>
    </w:p>
    <w:p w:rsidR="00D81F69" w:rsidRDefault="00D81F69">
      <w:pPr>
        <w:spacing w:line="270" w:lineRule="atLeast"/>
        <w:sectPr w:rsidR="00D81F69">
          <w:type w:val="continuous"/>
          <w:pgSz w:w="11900" w:h="16840"/>
          <w:pgMar w:top="720" w:right="500" w:bottom="280" w:left="620" w:header="720" w:footer="720" w:gutter="0"/>
          <w:cols w:num="2" w:space="720" w:equalWidth="0">
            <w:col w:w="5191" w:space="279"/>
            <w:col w:w="5310"/>
          </w:cols>
        </w:sectPr>
      </w:pPr>
    </w:p>
    <w:p w:rsidR="00D81F69" w:rsidRDefault="00330118">
      <w:pPr>
        <w:pStyle w:val="Corpodetexto"/>
        <w:spacing w:before="81"/>
      </w:pPr>
      <w:r>
        <w:lastRenderedPageBreak/>
        <w:t>posteriormente suspensos formalmente (MPT, 2006).</w:t>
      </w:r>
    </w:p>
    <w:p w:rsidR="00D81F69" w:rsidRDefault="00D81F69">
      <w:pPr>
        <w:pStyle w:val="Corpodetexto"/>
        <w:spacing w:before="9"/>
        <w:ind w:left="0"/>
        <w:jc w:val="left"/>
        <w:rPr>
          <w:sz w:val="16"/>
        </w:rPr>
      </w:pPr>
    </w:p>
    <w:p w:rsidR="00D81F69" w:rsidRDefault="00330118">
      <w:pPr>
        <w:pStyle w:val="Corpodetexto"/>
        <w:spacing w:line="312" w:lineRule="auto"/>
        <w:ind w:right="45"/>
      </w:pPr>
      <w:r>
        <w:t>A exploração do minério também é realizada, em Mata dos Palmitos, por meio de superficiários [donos das terras onde a mina se localiza], que por falta de maquinário, recebem um preço irrisório pelas rochas. O material é vendido a empresas, como a Minas Tal</w:t>
      </w:r>
      <w:r>
        <w:t>co e a Minas Serpentinito, para ser beneficiado e exportado. As duas empresas adquirem o talco sem qualquer contrato verbal ou escrito de compra e venda com os superficiários (MPT, 2006). Os artesãos também compram matéria prima de empresas que exploram as</w:t>
      </w:r>
      <w:r>
        <w:t xml:space="preserve"> ocorrências na região e têm tido cada vez mais dificuldade de acesso à pedra-sabão (BEZERRA et al., 2003).</w:t>
      </w:r>
    </w:p>
    <w:p w:rsidR="00D81F69" w:rsidRDefault="00330118">
      <w:pPr>
        <w:pStyle w:val="Corpodetexto"/>
        <w:spacing w:before="140" w:line="312" w:lineRule="auto"/>
        <w:ind w:right="45"/>
      </w:pPr>
      <w:r>
        <w:rPr>
          <w:spacing w:val="3"/>
        </w:rPr>
        <w:t xml:space="preserve">Em </w:t>
      </w:r>
      <w:r>
        <w:rPr>
          <w:spacing w:val="6"/>
        </w:rPr>
        <w:t xml:space="preserve">depoimento </w:t>
      </w:r>
      <w:r>
        <w:rPr>
          <w:spacing w:val="5"/>
        </w:rPr>
        <w:t xml:space="preserve">durante </w:t>
      </w:r>
      <w:r>
        <w:rPr>
          <w:spacing w:val="6"/>
        </w:rPr>
        <w:t xml:space="preserve">audiência </w:t>
      </w:r>
      <w:r>
        <w:rPr>
          <w:spacing w:val="5"/>
        </w:rPr>
        <w:t xml:space="preserve">pública </w:t>
      </w:r>
      <w:r>
        <w:rPr>
          <w:spacing w:val="6"/>
        </w:rPr>
        <w:t xml:space="preserve">realizada </w:t>
      </w:r>
      <w:r>
        <w:rPr>
          <w:spacing w:val="7"/>
        </w:rPr>
        <w:t xml:space="preserve">na </w:t>
      </w:r>
      <w:r>
        <w:t xml:space="preserve">Câmara de Vereadores de Ouro Preto, em 21 de março de </w:t>
      </w:r>
      <w:r>
        <w:rPr>
          <w:spacing w:val="7"/>
        </w:rPr>
        <w:t xml:space="preserve">2006, </w:t>
      </w:r>
      <w:r>
        <w:rPr>
          <w:spacing w:val="5"/>
        </w:rPr>
        <w:t xml:space="preserve">os </w:t>
      </w:r>
      <w:r>
        <w:rPr>
          <w:spacing w:val="8"/>
        </w:rPr>
        <w:t xml:space="preserve">superficiários argumentaram </w:t>
      </w:r>
      <w:r>
        <w:rPr>
          <w:spacing w:val="5"/>
        </w:rPr>
        <w:t xml:space="preserve">que </w:t>
      </w:r>
      <w:r>
        <w:rPr>
          <w:spacing w:val="10"/>
        </w:rPr>
        <w:t xml:space="preserve">realizaram </w:t>
      </w:r>
      <w:r>
        <w:t xml:space="preserve">extração mineral na área na qualidade de empregados </w:t>
      </w:r>
      <w:r>
        <w:rPr>
          <w:spacing w:val="1"/>
        </w:rPr>
        <w:t xml:space="preserve">das </w:t>
      </w:r>
      <w:r>
        <w:t xml:space="preserve">empresas Minas Talco Ltda. e Minas Serpentinito Ltda. e que, associados em uma cooperativa, estavam tentando obter o direito minerário para o garimpo legal na área de Mata </w:t>
      </w:r>
      <w:r>
        <w:rPr>
          <w:spacing w:val="1"/>
        </w:rPr>
        <w:t xml:space="preserve">dos </w:t>
      </w:r>
      <w:r>
        <w:t>Palmitos. Ele</w:t>
      </w:r>
      <w:r>
        <w:t xml:space="preserve">s alegaram que a exploração de talco industrial foi </w:t>
      </w:r>
      <w:r>
        <w:rPr>
          <w:spacing w:val="1"/>
        </w:rPr>
        <w:t xml:space="preserve">iniciada </w:t>
      </w:r>
      <w:r>
        <w:t xml:space="preserve">há 69 </w:t>
      </w:r>
      <w:r>
        <w:rPr>
          <w:spacing w:val="1"/>
        </w:rPr>
        <w:t xml:space="preserve">anos, antes </w:t>
      </w:r>
      <w:r>
        <w:t xml:space="preserve">de </w:t>
      </w:r>
      <w:r>
        <w:rPr>
          <w:spacing w:val="1"/>
        </w:rPr>
        <w:t xml:space="preserve">entrar </w:t>
      </w:r>
      <w:r>
        <w:t xml:space="preserve">em </w:t>
      </w:r>
      <w:r>
        <w:rPr>
          <w:spacing w:val="1"/>
        </w:rPr>
        <w:t xml:space="preserve">vigor </w:t>
      </w:r>
      <w:r>
        <w:t xml:space="preserve">o </w:t>
      </w:r>
      <w:r>
        <w:rPr>
          <w:spacing w:val="2"/>
        </w:rPr>
        <w:t xml:space="preserve">Código </w:t>
      </w:r>
      <w:r>
        <w:rPr>
          <w:spacing w:val="5"/>
        </w:rPr>
        <w:t xml:space="preserve">Minerário </w:t>
      </w:r>
      <w:r>
        <w:rPr>
          <w:spacing w:val="3"/>
        </w:rPr>
        <w:t xml:space="preserve">[lei </w:t>
      </w:r>
      <w:r>
        <w:rPr>
          <w:spacing w:val="5"/>
        </w:rPr>
        <w:t xml:space="preserve">federal </w:t>
      </w:r>
      <w:r>
        <w:rPr>
          <w:spacing w:val="3"/>
        </w:rPr>
        <w:t xml:space="preserve">que </w:t>
      </w:r>
      <w:r>
        <w:rPr>
          <w:spacing w:val="5"/>
        </w:rPr>
        <w:t xml:space="preserve">disciplina </w:t>
      </w:r>
      <w:r>
        <w:t xml:space="preserve">a </w:t>
      </w:r>
      <w:r>
        <w:rPr>
          <w:spacing w:val="5"/>
        </w:rPr>
        <w:t xml:space="preserve">administração dos </w:t>
      </w:r>
      <w:r>
        <w:t xml:space="preserve">recursos minerais pela União, a indústria de produção mineral e a </w:t>
      </w:r>
      <w:r>
        <w:rPr>
          <w:spacing w:val="6"/>
        </w:rPr>
        <w:t xml:space="preserve">distribuição, </w:t>
      </w:r>
      <w:r>
        <w:t xml:space="preserve">o </w:t>
      </w:r>
      <w:r>
        <w:rPr>
          <w:spacing w:val="6"/>
        </w:rPr>
        <w:t xml:space="preserve">comércio </w:t>
      </w:r>
      <w:r>
        <w:t xml:space="preserve">e o </w:t>
      </w:r>
      <w:r>
        <w:rPr>
          <w:spacing w:val="5"/>
        </w:rPr>
        <w:t xml:space="preserve">consumo </w:t>
      </w:r>
      <w:r>
        <w:rPr>
          <w:spacing w:val="3"/>
        </w:rPr>
        <w:t xml:space="preserve">de </w:t>
      </w:r>
      <w:r>
        <w:rPr>
          <w:spacing w:val="7"/>
        </w:rPr>
        <w:t xml:space="preserve">produtos </w:t>
      </w:r>
      <w:r>
        <w:rPr>
          <w:spacing w:val="6"/>
        </w:rPr>
        <w:t xml:space="preserve">minerais </w:t>
      </w:r>
      <w:r>
        <w:rPr>
          <w:spacing w:val="3"/>
        </w:rPr>
        <w:t xml:space="preserve">no </w:t>
      </w:r>
      <w:r>
        <w:rPr>
          <w:spacing w:val="5"/>
        </w:rPr>
        <w:t>Brasil] (MPT,</w:t>
      </w:r>
      <w:r>
        <w:rPr>
          <w:spacing w:val="-8"/>
        </w:rPr>
        <w:t xml:space="preserve"> </w:t>
      </w:r>
      <w:r>
        <w:rPr>
          <w:spacing w:val="7"/>
        </w:rPr>
        <w:t>2006).</w:t>
      </w:r>
    </w:p>
    <w:p w:rsidR="00D81F69" w:rsidRDefault="00330118">
      <w:pPr>
        <w:pStyle w:val="Corpodetexto"/>
        <w:spacing w:before="142" w:line="312" w:lineRule="auto"/>
        <w:ind w:right="49"/>
      </w:pPr>
      <w:r>
        <w:t>Além de explorarem de forma ilegal a pedra-sabão, a Minas Talco e a Minas Serpentinito não fiscalizam como se dá a extração do minério pelos fornecedores – os superficiários – em relação à organizaçã</w:t>
      </w:r>
      <w:r>
        <w:t>o do trabalho, condições de segurança e saúde nas minas, permanência de crianças na área da jazida, modus operandi da atividade de limpeza da área, ou catação e empilhamento das pedras. Elas simplesmente monitoram o padrão e a classificação do minério, vis</w:t>
      </w:r>
      <w:r>
        <w:t>ando à viabilização de sua venda. Tendo em vista essas condutas, as duas empresas foram consideradas responsáveis indiretas pela exploração da mão de obra em Mata dos Palmitos, e a Minas Talco Ltda., que executa atividades de beneficiamento das matérias pr</w:t>
      </w:r>
      <w:r>
        <w:t>imas, foi multada pelo Ministério do Trabalho e Emprego (MTE) por descumprimento da legislação trabalhista nas questões afetas ao meio ambiente de trabalho (MPT, 2006).</w:t>
      </w:r>
    </w:p>
    <w:p w:rsidR="00D81F69" w:rsidRDefault="00330118">
      <w:pPr>
        <w:pStyle w:val="Corpodetexto"/>
        <w:spacing w:before="145" w:line="312" w:lineRule="auto"/>
        <w:ind w:right="38"/>
      </w:pPr>
      <w:r>
        <w:t>O MPT também encaminhou ao município de Ouro Preto uma Notificação Recomendatória, obri</w:t>
      </w:r>
      <w:r>
        <w:t xml:space="preserve">gando a prefeitura a promover políticas públicas para enfrentar a precariedade econômica e social da comunidade de Mata dos Palmitos. Da mesma forma, as empresas que na época adquiriam produtos e insumos da mineração em Santa Rita de Ouro Preto, inclusive </w:t>
      </w:r>
      <w:r>
        <w:t>aquelas apontadas pela reportagem do Observatório Social (Faber-Castell, ICI Paint e Basf) foram notificadas a comparecer ao MPT para firmar compromisso de monitoramento de seus fornecedores quanto à utilização de mão de obra infantil (MPT, 2006).</w:t>
      </w:r>
    </w:p>
    <w:p w:rsidR="00D81F69" w:rsidRDefault="00330118">
      <w:pPr>
        <w:pStyle w:val="Corpodetexto"/>
        <w:spacing w:before="140" w:line="312" w:lineRule="auto"/>
        <w:ind w:right="65"/>
      </w:pPr>
      <w:r>
        <w:t>Também c</w:t>
      </w:r>
      <w:r>
        <w:t>omo forma de coibir o trabalho infantil, após a publicação da reportagem do Observatório Social, o Ministério</w:t>
      </w:r>
    </w:p>
    <w:p w:rsidR="00D81F69" w:rsidRDefault="00330118">
      <w:pPr>
        <w:pStyle w:val="Corpodetexto"/>
        <w:spacing w:before="81" w:line="312" w:lineRule="auto"/>
        <w:ind w:right="191"/>
      </w:pPr>
      <w:r>
        <w:br w:type="column"/>
      </w:r>
      <w:r>
        <w:lastRenderedPageBreak/>
        <w:t>do Desenvolvimento Social e Combate à Fome (MDS) ampliou de 60 para 280 o número de crianças atendidas, em Ouro Preto, pelo Programa de Erradicaç</w:t>
      </w:r>
      <w:r>
        <w:t>ão do Trabalho Infantil (Peti), que garante renda mensal à família, com a contrapartida de que seus filhos permaneçam na escola. Das 220 novas vagas do Peti no município, 60 foram para o Distrito de Santa Rita de Ouro Preto. Na localidade, o programa já at</w:t>
      </w:r>
      <w:r>
        <w:t>endia 20 crianças, que estudavam e participavam de atividades socioeducativas (MDS, 2006).</w:t>
      </w:r>
    </w:p>
    <w:p w:rsidR="00D81F69" w:rsidRDefault="00330118">
      <w:pPr>
        <w:pStyle w:val="Corpodetexto"/>
        <w:spacing w:before="138" w:line="312" w:lineRule="auto"/>
        <w:ind w:right="157"/>
      </w:pPr>
      <w:r>
        <w:t xml:space="preserve">Outro problema constatado em Mata dos Palmitos é a condição precária a que estão sujeitos os artesãos que trabalham com pedra-sabão. As atividades são realizadas em </w:t>
      </w:r>
      <w:r>
        <w:t>locais com cerca de 6 a 8 m², com altura variando de 1,5 a 2</w:t>
      </w:r>
    </w:p>
    <w:p w:rsidR="00D81F69" w:rsidRDefault="00330118">
      <w:pPr>
        <w:pStyle w:val="Corpodetexto"/>
        <w:spacing w:before="4" w:line="312" w:lineRule="auto"/>
        <w:ind w:right="182"/>
      </w:pPr>
      <w:r>
        <w:rPr>
          <w:spacing w:val="2"/>
        </w:rPr>
        <w:t xml:space="preserve">m. </w:t>
      </w:r>
      <w:r>
        <w:t xml:space="preserve">A </w:t>
      </w:r>
      <w:r>
        <w:rPr>
          <w:spacing w:val="5"/>
        </w:rPr>
        <w:t xml:space="preserve">serra fica apoiada </w:t>
      </w:r>
      <w:r>
        <w:rPr>
          <w:spacing w:val="2"/>
        </w:rPr>
        <w:t xml:space="preserve">em </w:t>
      </w:r>
      <w:r>
        <w:rPr>
          <w:spacing w:val="3"/>
        </w:rPr>
        <w:t xml:space="preserve">uma </w:t>
      </w:r>
      <w:r>
        <w:rPr>
          <w:spacing w:val="5"/>
        </w:rPr>
        <w:t xml:space="preserve">estrutura </w:t>
      </w:r>
      <w:r>
        <w:rPr>
          <w:spacing w:val="2"/>
        </w:rPr>
        <w:t xml:space="preserve">de </w:t>
      </w:r>
      <w:r>
        <w:rPr>
          <w:spacing w:val="6"/>
        </w:rPr>
        <w:t xml:space="preserve">alvenaria </w:t>
      </w:r>
      <w:r>
        <w:rPr>
          <w:spacing w:val="10"/>
        </w:rPr>
        <w:t xml:space="preserve">semelhante </w:t>
      </w:r>
      <w:r>
        <w:t xml:space="preserve">a </w:t>
      </w:r>
      <w:r>
        <w:rPr>
          <w:spacing w:val="5"/>
        </w:rPr>
        <w:t xml:space="preserve">um </w:t>
      </w:r>
      <w:r>
        <w:rPr>
          <w:spacing w:val="10"/>
        </w:rPr>
        <w:t xml:space="preserve">caixote, </w:t>
      </w:r>
      <w:r>
        <w:t xml:space="preserve">e a </w:t>
      </w:r>
      <w:r>
        <w:rPr>
          <w:spacing w:val="10"/>
        </w:rPr>
        <w:t xml:space="preserve">iluminação </w:t>
      </w:r>
      <w:r>
        <w:t xml:space="preserve">à </w:t>
      </w:r>
      <w:r>
        <w:rPr>
          <w:spacing w:val="10"/>
        </w:rPr>
        <w:t xml:space="preserve">noite </w:t>
      </w:r>
      <w:r>
        <w:t>é inadequada. Na maior parte das vezes, os trabalhadores não usam equipamentos de proteção in</w:t>
      </w:r>
      <w:r>
        <w:t xml:space="preserve">dividual ou o utilizam de </w:t>
      </w:r>
      <w:r>
        <w:rPr>
          <w:spacing w:val="8"/>
        </w:rPr>
        <w:t xml:space="preserve">forma </w:t>
      </w:r>
      <w:r>
        <w:rPr>
          <w:spacing w:val="10"/>
        </w:rPr>
        <w:t xml:space="preserve">incorreta, </w:t>
      </w:r>
      <w:r>
        <w:rPr>
          <w:spacing w:val="5"/>
        </w:rPr>
        <w:t xml:space="preserve">ou </w:t>
      </w:r>
      <w:r>
        <w:rPr>
          <w:spacing w:val="8"/>
        </w:rPr>
        <w:t xml:space="preserve">ainda </w:t>
      </w:r>
      <w:r>
        <w:rPr>
          <w:spacing w:val="10"/>
        </w:rPr>
        <w:t xml:space="preserve">improvisam materiais </w:t>
      </w:r>
      <w:r>
        <w:rPr>
          <w:spacing w:val="11"/>
        </w:rPr>
        <w:t xml:space="preserve">não </w:t>
      </w:r>
      <w:r>
        <w:rPr>
          <w:spacing w:val="12"/>
        </w:rPr>
        <w:t xml:space="preserve">apropriados </w:t>
      </w:r>
      <w:r>
        <w:rPr>
          <w:spacing w:val="10"/>
        </w:rPr>
        <w:t xml:space="preserve">para esse tipo </w:t>
      </w:r>
      <w:r>
        <w:rPr>
          <w:spacing w:val="6"/>
        </w:rPr>
        <w:t xml:space="preserve">de </w:t>
      </w:r>
      <w:r>
        <w:rPr>
          <w:spacing w:val="11"/>
        </w:rPr>
        <w:t xml:space="preserve">função </w:t>
      </w:r>
      <w:r>
        <w:rPr>
          <w:spacing w:val="15"/>
        </w:rPr>
        <w:t xml:space="preserve">(LIPPMANN; </w:t>
      </w:r>
      <w:r>
        <w:rPr>
          <w:spacing w:val="12"/>
        </w:rPr>
        <w:t xml:space="preserve">CASTILHOS; </w:t>
      </w:r>
      <w:r>
        <w:rPr>
          <w:spacing w:val="11"/>
        </w:rPr>
        <w:t>EGLER,</w:t>
      </w:r>
      <w:r>
        <w:rPr>
          <w:spacing w:val="63"/>
        </w:rPr>
        <w:t xml:space="preserve"> </w:t>
      </w:r>
      <w:r>
        <w:rPr>
          <w:spacing w:val="15"/>
        </w:rPr>
        <w:t>2007).</w:t>
      </w:r>
    </w:p>
    <w:p w:rsidR="00D81F69" w:rsidRDefault="00330118">
      <w:pPr>
        <w:pStyle w:val="Corpodetexto"/>
        <w:spacing w:before="136" w:line="312" w:lineRule="auto"/>
        <w:ind w:right="194"/>
      </w:pPr>
      <w:r>
        <w:t>As más condições de trabalho são agravadas pelo fato de o processo produtivo gerar grande emissão de poeir</w:t>
      </w:r>
      <w:r>
        <w:t>a mineral, que é aspirada não só pelos trabalhadores, como por crianças e bebês levados pelas mães para os locais de trabalho. Como alguns artesãos também fazem trabalhos temporários nas minas de talco, fragmentando manualmente os blocos de rocha extraídos</w:t>
      </w:r>
      <w:r>
        <w:t xml:space="preserve"> mecanicamente, essa exposição ao material particulado na atmosfera torna-se ainda mais intensa para estes profissionais (BEZERRA et al., 2003).</w:t>
      </w:r>
    </w:p>
    <w:p w:rsidR="00D81F69" w:rsidRDefault="00330118">
      <w:pPr>
        <w:pStyle w:val="Corpodetexto"/>
        <w:spacing w:before="139" w:line="312" w:lineRule="auto"/>
        <w:ind w:right="188"/>
      </w:pPr>
      <w:r>
        <w:t xml:space="preserve">A </w:t>
      </w:r>
      <w:r>
        <w:rPr>
          <w:spacing w:val="5"/>
        </w:rPr>
        <w:t xml:space="preserve">sucessiva exposição </w:t>
      </w:r>
      <w:r>
        <w:t xml:space="preserve">à </w:t>
      </w:r>
      <w:r>
        <w:rPr>
          <w:spacing w:val="5"/>
        </w:rPr>
        <w:t xml:space="preserve">poeira </w:t>
      </w:r>
      <w:r>
        <w:rPr>
          <w:spacing w:val="2"/>
        </w:rPr>
        <w:t xml:space="preserve">de </w:t>
      </w:r>
      <w:r>
        <w:rPr>
          <w:spacing w:val="5"/>
        </w:rPr>
        <w:t xml:space="preserve">talco pode levar </w:t>
      </w:r>
      <w:r>
        <w:rPr>
          <w:spacing w:val="6"/>
        </w:rPr>
        <w:t xml:space="preserve">ao </w:t>
      </w:r>
      <w:r>
        <w:rPr>
          <w:spacing w:val="18"/>
        </w:rPr>
        <w:t xml:space="preserve">desenvolvimento </w:t>
      </w:r>
      <w:r>
        <w:rPr>
          <w:spacing w:val="10"/>
        </w:rPr>
        <w:t xml:space="preserve">de </w:t>
      </w:r>
      <w:r>
        <w:rPr>
          <w:spacing w:val="17"/>
        </w:rPr>
        <w:t xml:space="preserve">diversas doenças </w:t>
      </w:r>
      <w:r>
        <w:rPr>
          <w:spacing w:val="15"/>
        </w:rPr>
        <w:t xml:space="preserve">como </w:t>
      </w:r>
      <w:r>
        <w:rPr>
          <w:spacing w:val="10"/>
        </w:rPr>
        <w:t xml:space="preserve">as </w:t>
      </w:r>
      <w:r>
        <w:rPr>
          <w:spacing w:val="8"/>
        </w:rPr>
        <w:t xml:space="preserve">pneumoconioses </w:t>
      </w:r>
      <w:r>
        <w:rPr>
          <w:spacing w:val="7"/>
        </w:rPr>
        <w:t xml:space="preserve">[doenças </w:t>
      </w:r>
      <w:r>
        <w:rPr>
          <w:spacing w:val="8"/>
        </w:rPr>
        <w:t xml:space="preserve">pulmonares decorrentes </w:t>
      </w:r>
      <w:r>
        <w:rPr>
          <w:spacing w:val="10"/>
        </w:rPr>
        <w:t xml:space="preserve">de </w:t>
      </w:r>
      <w:r>
        <w:rPr>
          <w:spacing w:val="1"/>
        </w:rPr>
        <w:t xml:space="preserve">inalação </w:t>
      </w:r>
      <w:r>
        <w:t xml:space="preserve">de </w:t>
      </w:r>
      <w:r>
        <w:rPr>
          <w:spacing w:val="1"/>
        </w:rPr>
        <w:t xml:space="preserve">poeiras inorgânicas (minerais) </w:t>
      </w:r>
      <w:r>
        <w:t xml:space="preserve">e </w:t>
      </w:r>
      <w:r>
        <w:rPr>
          <w:spacing w:val="1"/>
        </w:rPr>
        <w:t xml:space="preserve">orgânicas </w:t>
      </w:r>
      <w:r>
        <w:rPr>
          <w:spacing w:val="2"/>
        </w:rPr>
        <w:t xml:space="preserve">em </w:t>
      </w:r>
      <w:r>
        <w:rPr>
          <w:spacing w:val="7"/>
        </w:rPr>
        <w:t xml:space="preserve">suspensão </w:t>
      </w:r>
      <w:r>
        <w:rPr>
          <w:spacing w:val="5"/>
        </w:rPr>
        <w:t xml:space="preserve">nos </w:t>
      </w:r>
      <w:r>
        <w:rPr>
          <w:spacing w:val="7"/>
        </w:rPr>
        <w:t xml:space="preserve">ambientes </w:t>
      </w:r>
      <w:r>
        <w:rPr>
          <w:spacing w:val="5"/>
        </w:rPr>
        <w:t xml:space="preserve">de </w:t>
      </w:r>
      <w:r>
        <w:rPr>
          <w:spacing w:val="7"/>
        </w:rPr>
        <w:t xml:space="preserve">trabalho </w:t>
      </w:r>
      <w:r>
        <w:t xml:space="preserve">e </w:t>
      </w:r>
      <w:r>
        <w:rPr>
          <w:spacing w:val="10"/>
        </w:rPr>
        <w:t xml:space="preserve">consequente </w:t>
      </w:r>
      <w:r>
        <w:rPr>
          <w:spacing w:val="3"/>
        </w:rPr>
        <w:t xml:space="preserve">deposição </w:t>
      </w:r>
      <w:r>
        <w:rPr>
          <w:spacing w:val="1"/>
        </w:rPr>
        <w:t xml:space="preserve">de </w:t>
      </w:r>
      <w:r>
        <w:rPr>
          <w:spacing w:val="3"/>
        </w:rPr>
        <w:t xml:space="preserve">partículas respiráveis </w:t>
      </w:r>
      <w:r>
        <w:rPr>
          <w:spacing w:val="1"/>
        </w:rPr>
        <w:t xml:space="preserve">de </w:t>
      </w:r>
      <w:r>
        <w:rPr>
          <w:spacing w:val="3"/>
        </w:rPr>
        <w:t xml:space="preserve">talco </w:t>
      </w:r>
      <w:r>
        <w:rPr>
          <w:spacing w:val="2"/>
        </w:rPr>
        <w:t xml:space="preserve">nos </w:t>
      </w:r>
      <w:r>
        <w:rPr>
          <w:spacing w:val="5"/>
        </w:rPr>
        <w:t xml:space="preserve">alvéolos pulmonares]. </w:t>
      </w:r>
      <w:r>
        <w:rPr>
          <w:spacing w:val="3"/>
        </w:rPr>
        <w:t xml:space="preserve">Uma </w:t>
      </w:r>
      <w:r>
        <w:rPr>
          <w:spacing w:val="5"/>
        </w:rPr>
        <w:t xml:space="preserve">destas pneumoconioses </w:t>
      </w:r>
      <w:r>
        <w:t>é</w:t>
      </w:r>
      <w:r>
        <w:t xml:space="preserve"> a </w:t>
      </w:r>
      <w:r>
        <w:rPr>
          <w:spacing w:val="6"/>
        </w:rPr>
        <w:t xml:space="preserve">talcose, </w:t>
      </w:r>
      <w:r>
        <w:rPr>
          <w:spacing w:val="5"/>
        </w:rPr>
        <w:t xml:space="preserve">doença caracterizada </w:t>
      </w:r>
      <w:r>
        <w:rPr>
          <w:spacing w:val="3"/>
        </w:rPr>
        <w:t xml:space="preserve">pela </w:t>
      </w:r>
      <w:r>
        <w:rPr>
          <w:spacing w:val="5"/>
        </w:rPr>
        <w:t>fibrose pulmonar progressiva,</w:t>
      </w:r>
      <w:r>
        <w:rPr>
          <w:spacing w:val="61"/>
        </w:rPr>
        <w:t xml:space="preserve"> </w:t>
      </w:r>
      <w:r>
        <w:t xml:space="preserve">irreversível, sem possibilidade de tratamento eficaz (JONES  et al., 1994 apud BEZERRA et al., 2003). No entanto, pode </w:t>
      </w:r>
      <w:r>
        <w:rPr>
          <w:spacing w:val="3"/>
        </w:rPr>
        <w:t xml:space="preserve">ser </w:t>
      </w:r>
      <w:r>
        <w:rPr>
          <w:spacing w:val="5"/>
        </w:rPr>
        <w:t xml:space="preserve">prevenida </w:t>
      </w:r>
      <w:r>
        <w:rPr>
          <w:spacing w:val="3"/>
        </w:rPr>
        <w:t xml:space="preserve">por meio </w:t>
      </w:r>
      <w:r>
        <w:rPr>
          <w:spacing w:val="2"/>
        </w:rPr>
        <w:t xml:space="preserve">de </w:t>
      </w:r>
      <w:r>
        <w:rPr>
          <w:spacing w:val="5"/>
        </w:rPr>
        <w:t xml:space="preserve">medidas eficazes </w:t>
      </w:r>
      <w:r>
        <w:rPr>
          <w:spacing w:val="2"/>
        </w:rPr>
        <w:t xml:space="preserve">de </w:t>
      </w:r>
      <w:r>
        <w:rPr>
          <w:spacing w:val="5"/>
        </w:rPr>
        <w:t>controle ambiental (BEZ</w:t>
      </w:r>
      <w:r>
        <w:rPr>
          <w:spacing w:val="5"/>
        </w:rPr>
        <w:t xml:space="preserve">ERRA </w:t>
      </w:r>
      <w:r>
        <w:rPr>
          <w:spacing w:val="2"/>
        </w:rPr>
        <w:t xml:space="preserve">et </w:t>
      </w:r>
      <w:r>
        <w:rPr>
          <w:spacing w:val="3"/>
        </w:rPr>
        <w:t>al.,</w:t>
      </w:r>
      <w:r>
        <w:rPr>
          <w:spacing w:val="7"/>
        </w:rPr>
        <w:t xml:space="preserve"> </w:t>
      </w:r>
      <w:r>
        <w:rPr>
          <w:spacing w:val="5"/>
        </w:rPr>
        <w:t>2003).</w:t>
      </w:r>
    </w:p>
    <w:p w:rsidR="00D81F69" w:rsidRDefault="00330118">
      <w:pPr>
        <w:pStyle w:val="Corpodetexto"/>
        <w:spacing w:before="78" w:line="270" w:lineRule="atLeast"/>
        <w:ind w:right="186"/>
      </w:pPr>
      <w:r>
        <w:t xml:space="preserve">O estudo da rocha e da poeira mineral gerada nas unidades de </w:t>
      </w:r>
      <w:r>
        <w:rPr>
          <w:spacing w:val="1"/>
        </w:rPr>
        <w:t xml:space="preserve">produção </w:t>
      </w:r>
      <w:r>
        <w:t xml:space="preserve">de </w:t>
      </w:r>
      <w:r>
        <w:rPr>
          <w:spacing w:val="1"/>
        </w:rPr>
        <w:t xml:space="preserve">artesanato </w:t>
      </w:r>
      <w:r>
        <w:t xml:space="preserve">em </w:t>
      </w:r>
      <w:r>
        <w:rPr>
          <w:spacing w:val="1"/>
        </w:rPr>
        <w:t xml:space="preserve">Mata </w:t>
      </w:r>
      <w:r>
        <w:t xml:space="preserve">dos </w:t>
      </w:r>
      <w:r>
        <w:rPr>
          <w:spacing w:val="1"/>
        </w:rPr>
        <w:t xml:space="preserve">Palmitos </w:t>
      </w:r>
      <w:r>
        <w:rPr>
          <w:spacing w:val="2"/>
        </w:rPr>
        <w:t xml:space="preserve">concluiu </w:t>
      </w:r>
      <w:r>
        <w:rPr>
          <w:spacing w:val="5"/>
        </w:rPr>
        <w:t xml:space="preserve">que em </w:t>
      </w:r>
      <w:r>
        <w:rPr>
          <w:spacing w:val="6"/>
        </w:rPr>
        <w:t xml:space="preserve">suas </w:t>
      </w:r>
      <w:r>
        <w:rPr>
          <w:spacing w:val="8"/>
        </w:rPr>
        <w:t xml:space="preserve">composições </w:t>
      </w:r>
      <w:r>
        <w:rPr>
          <w:spacing w:val="5"/>
        </w:rPr>
        <w:t xml:space="preserve">há </w:t>
      </w:r>
      <w:r>
        <w:rPr>
          <w:spacing w:val="8"/>
        </w:rPr>
        <w:t xml:space="preserve">predominância </w:t>
      </w:r>
      <w:r>
        <w:rPr>
          <w:spacing w:val="5"/>
        </w:rPr>
        <w:t xml:space="preserve">de </w:t>
      </w:r>
      <w:r>
        <w:rPr>
          <w:spacing w:val="10"/>
        </w:rPr>
        <w:t xml:space="preserve">talco, </w:t>
      </w:r>
      <w:r>
        <w:t xml:space="preserve">apresentando a poeira contaminações por fibras respiráveis de </w:t>
      </w:r>
      <w:r>
        <w:rPr>
          <w:spacing w:val="1"/>
        </w:rPr>
        <w:t xml:space="preserve">asbesto </w:t>
      </w:r>
      <w:r>
        <w:t>d</w:t>
      </w:r>
      <w:r>
        <w:t xml:space="preserve">o </w:t>
      </w:r>
      <w:r>
        <w:rPr>
          <w:spacing w:val="1"/>
        </w:rPr>
        <w:t xml:space="preserve">grupo </w:t>
      </w:r>
      <w:r>
        <w:t xml:space="preserve">dos </w:t>
      </w:r>
      <w:r>
        <w:rPr>
          <w:spacing w:val="1"/>
        </w:rPr>
        <w:t xml:space="preserve">anfibólios (tremolita-actinolita). </w:t>
      </w:r>
      <w:r>
        <w:t xml:space="preserve">O </w:t>
      </w:r>
      <w:r>
        <w:rPr>
          <w:spacing w:val="1"/>
        </w:rPr>
        <w:t xml:space="preserve">mesmo estudo demonstrou </w:t>
      </w:r>
      <w:r>
        <w:t xml:space="preserve">que o </w:t>
      </w:r>
      <w:r>
        <w:rPr>
          <w:spacing w:val="1"/>
        </w:rPr>
        <w:t xml:space="preserve">limite </w:t>
      </w:r>
      <w:r>
        <w:t xml:space="preserve">de </w:t>
      </w:r>
      <w:r>
        <w:rPr>
          <w:spacing w:val="1"/>
        </w:rPr>
        <w:t xml:space="preserve">tolerância </w:t>
      </w:r>
      <w:r>
        <w:rPr>
          <w:spacing w:val="2"/>
        </w:rPr>
        <w:t xml:space="preserve">para </w:t>
      </w:r>
      <w:r>
        <w:rPr>
          <w:spacing w:val="5"/>
        </w:rPr>
        <w:t xml:space="preserve">fibras </w:t>
      </w:r>
      <w:r>
        <w:rPr>
          <w:spacing w:val="6"/>
        </w:rPr>
        <w:t xml:space="preserve">respiráveis </w:t>
      </w:r>
      <w:r>
        <w:rPr>
          <w:spacing w:val="3"/>
        </w:rPr>
        <w:t xml:space="preserve">de </w:t>
      </w:r>
      <w:r>
        <w:rPr>
          <w:spacing w:val="5"/>
        </w:rPr>
        <w:t xml:space="preserve">asbesto foi </w:t>
      </w:r>
      <w:r>
        <w:rPr>
          <w:spacing w:val="6"/>
        </w:rPr>
        <w:t xml:space="preserve">ultrapassado </w:t>
      </w:r>
      <w:r>
        <w:rPr>
          <w:spacing w:val="3"/>
        </w:rPr>
        <w:t xml:space="preserve">no </w:t>
      </w:r>
      <w:r>
        <w:rPr>
          <w:spacing w:val="7"/>
        </w:rPr>
        <w:t xml:space="preserve">local, </w:t>
      </w:r>
      <w:r>
        <w:t xml:space="preserve">evidenciando situação de risco grave iminente para a saúde dos artesãos (BEZERRA et al., 2003). Em outro estudo foram </w:t>
      </w:r>
      <w:r>
        <w:rPr>
          <w:spacing w:val="12"/>
        </w:rPr>
        <w:t xml:space="preserve">coletados </w:t>
      </w:r>
      <w:r>
        <w:rPr>
          <w:spacing w:val="11"/>
        </w:rPr>
        <w:t xml:space="preserve">dados </w:t>
      </w:r>
      <w:r>
        <w:rPr>
          <w:spacing w:val="6"/>
        </w:rPr>
        <w:t xml:space="preserve">em 15 </w:t>
      </w:r>
      <w:r>
        <w:rPr>
          <w:spacing w:val="11"/>
        </w:rPr>
        <w:t xml:space="preserve">pontos </w:t>
      </w:r>
      <w:r>
        <w:rPr>
          <w:spacing w:val="12"/>
        </w:rPr>
        <w:t xml:space="preserve">considerados </w:t>
      </w:r>
      <w:r>
        <w:rPr>
          <w:spacing w:val="10"/>
        </w:rPr>
        <w:t xml:space="preserve">mais </w:t>
      </w:r>
      <w:r>
        <w:rPr>
          <w:spacing w:val="1"/>
        </w:rPr>
        <w:t xml:space="preserve">significativos para determinação </w:t>
      </w:r>
      <w:r>
        <w:t xml:space="preserve">dos </w:t>
      </w:r>
      <w:r>
        <w:rPr>
          <w:spacing w:val="1"/>
        </w:rPr>
        <w:t xml:space="preserve">pontos críticos para </w:t>
      </w:r>
      <w:r>
        <w:t>a saúde dos artesãos. As conclusõ</w:t>
      </w:r>
      <w:r>
        <w:t xml:space="preserve">es foram de que os níveis de partículas na atmosfera de Mata dos Palmitos estavam altos, </w:t>
      </w:r>
      <w:r>
        <w:rPr>
          <w:spacing w:val="6"/>
        </w:rPr>
        <w:t>especialmente</w:t>
      </w:r>
      <w:r>
        <w:rPr>
          <w:spacing w:val="47"/>
        </w:rPr>
        <w:t xml:space="preserve"> </w:t>
      </w:r>
      <w:r>
        <w:rPr>
          <w:spacing w:val="5"/>
        </w:rPr>
        <w:t>nos</w:t>
      </w:r>
      <w:r>
        <w:rPr>
          <w:spacing w:val="47"/>
        </w:rPr>
        <w:t xml:space="preserve"> </w:t>
      </w:r>
      <w:r>
        <w:rPr>
          <w:spacing w:val="5"/>
        </w:rPr>
        <w:t>postos</w:t>
      </w:r>
      <w:r>
        <w:rPr>
          <w:spacing w:val="47"/>
        </w:rPr>
        <w:t xml:space="preserve"> </w:t>
      </w:r>
      <w:r>
        <w:rPr>
          <w:spacing w:val="3"/>
        </w:rPr>
        <w:t>de</w:t>
      </w:r>
      <w:r>
        <w:rPr>
          <w:spacing w:val="47"/>
        </w:rPr>
        <w:t xml:space="preserve"> </w:t>
      </w:r>
      <w:r>
        <w:rPr>
          <w:spacing w:val="6"/>
        </w:rPr>
        <w:t>trabalho,</w:t>
      </w:r>
      <w:r>
        <w:rPr>
          <w:spacing w:val="47"/>
        </w:rPr>
        <w:t xml:space="preserve"> </w:t>
      </w:r>
      <w:r>
        <w:t>o</w:t>
      </w:r>
      <w:r>
        <w:rPr>
          <w:spacing w:val="47"/>
        </w:rPr>
        <w:t xml:space="preserve"> </w:t>
      </w:r>
      <w:r>
        <w:rPr>
          <w:spacing w:val="5"/>
        </w:rPr>
        <w:t>que</w:t>
      </w:r>
      <w:r>
        <w:rPr>
          <w:spacing w:val="47"/>
        </w:rPr>
        <w:t xml:space="preserve"> </w:t>
      </w:r>
      <w:r>
        <w:rPr>
          <w:spacing w:val="5"/>
        </w:rPr>
        <w:t>sujeita</w:t>
      </w:r>
      <w:r>
        <w:rPr>
          <w:spacing w:val="47"/>
        </w:rPr>
        <w:t xml:space="preserve"> </w:t>
      </w:r>
      <w:r>
        <w:t>a</w:t>
      </w:r>
    </w:p>
    <w:p w:rsidR="00D81F69" w:rsidRDefault="00D81F69">
      <w:pPr>
        <w:spacing w:line="270" w:lineRule="atLeast"/>
        <w:sectPr w:rsidR="00D81F69">
          <w:pgSz w:w="11900" w:h="16840"/>
          <w:pgMar w:top="740" w:right="500" w:bottom="620" w:left="620" w:header="0" w:footer="402" w:gutter="0"/>
          <w:cols w:num="2" w:space="720" w:equalWidth="0">
            <w:col w:w="5159" w:space="311"/>
            <w:col w:w="5310"/>
          </w:cols>
        </w:sectPr>
      </w:pPr>
    </w:p>
    <w:p w:rsidR="00D81F69" w:rsidRDefault="00330118">
      <w:pPr>
        <w:pStyle w:val="Corpodetexto"/>
        <w:spacing w:before="81" w:line="312" w:lineRule="auto"/>
        <w:ind w:right="58"/>
      </w:pPr>
      <w:r>
        <w:lastRenderedPageBreak/>
        <w:t>população a contrair doenças pulmonares crônicas (LIPPMANN; CASTILHOS; EGLER, 2007).</w:t>
      </w:r>
    </w:p>
    <w:p w:rsidR="00D81F69" w:rsidRDefault="00330118">
      <w:pPr>
        <w:pStyle w:val="Corpodetexto"/>
        <w:spacing w:before="132" w:line="312" w:lineRule="auto"/>
        <w:ind w:right="47"/>
      </w:pPr>
      <w:r>
        <w:t xml:space="preserve">Os </w:t>
      </w:r>
      <w:r>
        <w:rPr>
          <w:spacing w:val="1"/>
        </w:rPr>
        <w:t xml:space="preserve">riscos </w:t>
      </w:r>
      <w:r>
        <w:t xml:space="preserve">ao </w:t>
      </w:r>
      <w:r>
        <w:rPr>
          <w:spacing w:val="1"/>
        </w:rPr>
        <w:t xml:space="preserve">meio ambiente </w:t>
      </w:r>
      <w:r>
        <w:t xml:space="preserve">e, </w:t>
      </w:r>
      <w:r>
        <w:rPr>
          <w:spacing w:val="1"/>
        </w:rPr>
        <w:t xml:space="preserve">principalmente, </w:t>
      </w:r>
      <w:r>
        <w:t xml:space="preserve">à </w:t>
      </w:r>
      <w:r>
        <w:rPr>
          <w:spacing w:val="1"/>
        </w:rPr>
        <w:t xml:space="preserve">saúde </w:t>
      </w:r>
      <w:r>
        <w:rPr>
          <w:spacing w:val="2"/>
        </w:rPr>
        <w:t xml:space="preserve">da </w:t>
      </w:r>
      <w:r>
        <w:rPr>
          <w:spacing w:val="8"/>
        </w:rPr>
        <w:t xml:space="preserve">população exigem </w:t>
      </w:r>
      <w:r>
        <w:t xml:space="preserve">a </w:t>
      </w:r>
      <w:r>
        <w:rPr>
          <w:spacing w:val="8"/>
        </w:rPr>
        <w:t xml:space="preserve">adoção </w:t>
      </w:r>
      <w:r>
        <w:rPr>
          <w:spacing w:val="5"/>
        </w:rPr>
        <w:t xml:space="preserve">de </w:t>
      </w:r>
      <w:r>
        <w:rPr>
          <w:spacing w:val="8"/>
        </w:rPr>
        <w:t xml:space="preserve">medidas </w:t>
      </w:r>
      <w:r>
        <w:rPr>
          <w:spacing w:val="5"/>
        </w:rPr>
        <w:t xml:space="preserve">de </w:t>
      </w:r>
      <w:r>
        <w:rPr>
          <w:spacing w:val="10"/>
        </w:rPr>
        <w:t xml:space="preserve">controle </w:t>
      </w:r>
      <w:r>
        <w:t xml:space="preserve">ambiental e a introdução de novas tecnologias no processo  </w:t>
      </w:r>
      <w:r>
        <w:rPr>
          <w:spacing w:val="2"/>
        </w:rPr>
        <w:t xml:space="preserve">de </w:t>
      </w:r>
      <w:r>
        <w:rPr>
          <w:spacing w:val="5"/>
        </w:rPr>
        <w:t xml:space="preserve">produção </w:t>
      </w:r>
      <w:r>
        <w:rPr>
          <w:spacing w:val="2"/>
        </w:rPr>
        <w:t xml:space="preserve">do </w:t>
      </w:r>
      <w:r>
        <w:rPr>
          <w:spacing w:val="5"/>
        </w:rPr>
        <w:t xml:space="preserve">artesanato </w:t>
      </w:r>
      <w:r>
        <w:rPr>
          <w:spacing w:val="2"/>
        </w:rPr>
        <w:t xml:space="preserve">em </w:t>
      </w:r>
      <w:r>
        <w:rPr>
          <w:spacing w:val="5"/>
        </w:rPr>
        <w:t xml:space="preserve">pedra-sabão capazes de </w:t>
      </w:r>
      <w:r>
        <w:rPr>
          <w:spacing w:val="3"/>
        </w:rPr>
        <w:t>reduzir</w:t>
      </w:r>
      <w:r>
        <w:rPr>
          <w:spacing w:val="35"/>
        </w:rPr>
        <w:t xml:space="preserve"> </w:t>
      </w:r>
      <w:r>
        <w:t>a</w:t>
      </w:r>
      <w:r>
        <w:rPr>
          <w:spacing w:val="35"/>
        </w:rPr>
        <w:t xml:space="preserve"> </w:t>
      </w:r>
      <w:r>
        <w:rPr>
          <w:spacing w:val="3"/>
        </w:rPr>
        <w:t>emissão</w:t>
      </w:r>
      <w:r>
        <w:rPr>
          <w:spacing w:val="35"/>
        </w:rPr>
        <w:t xml:space="preserve"> </w:t>
      </w:r>
      <w:r>
        <w:rPr>
          <w:spacing w:val="1"/>
        </w:rPr>
        <w:t>de</w:t>
      </w:r>
      <w:r>
        <w:rPr>
          <w:spacing w:val="35"/>
        </w:rPr>
        <w:t xml:space="preserve"> </w:t>
      </w:r>
      <w:r>
        <w:rPr>
          <w:spacing w:val="3"/>
        </w:rPr>
        <w:t>poeiras</w:t>
      </w:r>
      <w:r>
        <w:rPr>
          <w:spacing w:val="35"/>
        </w:rPr>
        <w:t xml:space="preserve"> </w:t>
      </w:r>
      <w:r>
        <w:rPr>
          <w:spacing w:val="3"/>
        </w:rPr>
        <w:t>minerais</w:t>
      </w:r>
      <w:r>
        <w:rPr>
          <w:spacing w:val="35"/>
        </w:rPr>
        <w:t xml:space="preserve"> </w:t>
      </w:r>
      <w:r>
        <w:rPr>
          <w:spacing w:val="3"/>
        </w:rPr>
        <w:t>(GANDRA,</w:t>
      </w:r>
      <w:r>
        <w:rPr>
          <w:spacing w:val="35"/>
        </w:rPr>
        <w:t xml:space="preserve"> </w:t>
      </w:r>
      <w:r>
        <w:rPr>
          <w:spacing w:val="5"/>
        </w:rPr>
        <w:t>2008).</w:t>
      </w:r>
    </w:p>
    <w:p w:rsidR="00D81F69" w:rsidRDefault="00330118">
      <w:pPr>
        <w:pStyle w:val="Corpodetexto"/>
        <w:spacing w:before="134" w:line="312" w:lineRule="auto"/>
        <w:ind w:right="38"/>
      </w:pPr>
      <w:r>
        <w:t>Neste sentido, o Cetem, em parceria com outros órgãos governamentais e instituições públicas e privadas, desenvolveu um projeto piloto na região de Mata dos Palmitos para reduzir a poeira. Foram instalados tanques de decantação para o mater</w:t>
      </w:r>
      <w:r>
        <w:t>ial sólido, proveniente do processo a úmido, que permite a recirculação da água de processo, gerando economia. Os resíduos estão sendo estudados pelo Departamento de Tratamentos de Minérios do Cetem, para testar a possibilidade de emprego em atividades ind</w:t>
      </w:r>
      <w:r>
        <w:t>ustriais, o que minimizaria as bacias de rejeitos (SILVA; ARAÚJO; CASTILHOS, 2009).</w:t>
      </w:r>
    </w:p>
    <w:p w:rsidR="00D81F69" w:rsidRDefault="00330118">
      <w:pPr>
        <w:pStyle w:val="Corpodetexto"/>
        <w:spacing w:before="140" w:line="312" w:lineRule="auto"/>
        <w:ind w:right="65"/>
      </w:pPr>
      <w:r>
        <w:t xml:space="preserve">A ideia é que, com a implementação das novas tecnologias  na unidade piloto de Mata dos Palmitos, e com o fomento ao </w:t>
      </w:r>
      <w:r>
        <w:rPr>
          <w:spacing w:val="1"/>
        </w:rPr>
        <w:t xml:space="preserve">cooperativismo, consiga-se melhorar </w:t>
      </w:r>
      <w:r>
        <w:t xml:space="preserve">as </w:t>
      </w:r>
      <w:r>
        <w:rPr>
          <w:spacing w:val="1"/>
        </w:rPr>
        <w:t xml:space="preserve">condições </w:t>
      </w:r>
      <w:r>
        <w:t xml:space="preserve">de </w:t>
      </w:r>
      <w:r>
        <w:rPr>
          <w:spacing w:val="2"/>
        </w:rPr>
        <w:t>vid</w:t>
      </w:r>
      <w:r>
        <w:rPr>
          <w:spacing w:val="2"/>
        </w:rPr>
        <w:t xml:space="preserve">a </w:t>
      </w:r>
      <w:r>
        <w:t xml:space="preserve">dos artesãos da região e do meio ambiente. Posteriormente, a </w:t>
      </w:r>
      <w:r>
        <w:rPr>
          <w:spacing w:val="5"/>
        </w:rPr>
        <w:t xml:space="preserve">intenção </w:t>
      </w:r>
      <w:r>
        <w:t xml:space="preserve">é </w:t>
      </w:r>
      <w:r>
        <w:rPr>
          <w:spacing w:val="5"/>
        </w:rPr>
        <w:t xml:space="preserve">replicar </w:t>
      </w:r>
      <w:r>
        <w:t xml:space="preserve">o </w:t>
      </w:r>
      <w:r>
        <w:rPr>
          <w:spacing w:val="5"/>
        </w:rPr>
        <w:t xml:space="preserve">modelo </w:t>
      </w:r>
      <w:r>
        <w:rPr>
          <w:spacing w:val="2"/>
        </w:rPr>
        <w:t xml:space="preserve">em </w:t>
      </w:r>
      <w:r>
        <w:rPr>
          <w:spacing w:val="5"/>
        </w:rPr>
        <w:t>outras comunidades da</w:t>
      </w:r>
      <w:r>
        <w:rPr>
          <w:spacing w:val="61"/>
        </w:rPr>
        <w:t xml:space="preserve"> </w:t>
      </w:r>
      <w:r>
        <w:rPr>
          <w:spacing w:val="5"/>
        </w:rPr>
        <w:t xml:space="preserve">região </w:t>
      </w:r>
      <w:r>
        <w:rPr>
          <w:spacing w:val="3"/>
        </w:rPr>
        <w:t xml:space="preserve">que </w:t>
      </w:r>
      <w:r>
        <w:rPr>
          <w:spacing w:val="5"/>
        </w:rPr>
        <w:t xml:space="preserve">também utilizam pedra-sabão </w:t>
      </w:r>
      <w:r>
        <w:rPr>
          <w:spacing w:val="2"/>
        </w:rPr>
        <w:t xml:space="preserve">no </w:t>
      </w:r>
      <w:r>
        <w:rPr>
          <w:spacing w:val="6"/>
        </w:rPr>
        <w:t xml:space="preserve">artesanato </w:t>
      </w:r>
      <w:r>
        <w:rPr>
          <w:spacing w:val="5"/>
        </w:rPr>
        <w:t>(SILVA; ARAÚJO; CASTILHOS,</w:t>
      </w:r>
      <w:r>
        <w:rPr>
          <w:spacing w:val="-6"/>
        </w:rPr>
        <w:t xml:space="preserve"> </w:t>
      </w:r>
      <w:r>
        <w:rPr>
          <w:spacing w:val="6"/>
        </w:rPr>
        <w:t>2009).</w:t>
      </w:r>
    </w:p>
    <w:p w:rsidR="00D81F69" w:rsidRDefault="00330118">
      <w:pPr>
        <w:pStyle w:val="Corpodetexto"/>
        <w:spacing w:before="137" w:line="312" w:lineRule="auto"/>
        <w:ind w:right="64"/>
      </w:pPr>
      <w:r>
        <w:t xml:space="preserve">A Unidade Protótipo de Tecnologias Limpas para a Arte em </w:t>
      </w:r>
      <w:r>
        <w:rPr>
          <w:spacing w:val="5"/>
        </w:rPr>
        <w:t xml:space="preserve">Pedra-sabão </w:t>
      </w:r>
      <w:r>
        <w:rPr>
          <w:spacing w:val="3"/>
        </w:rPr>
        <w:t xml:space="preserve">foi </w:t>
      </w:r>
      <w:r>
        <w:rPr>
          <w:spacing w:val="5"/>
        </w:rPr>
        <w:t xml:space="preserve">inaugurada </w:t>
      </w:r>
      <w:r>
        <w:rPr>
          <w:spacing w:val="2"/>
        </w:rPr>
        <w:t xml:space="preserve">no </w:t>
      </w:r>
      <w:r>
        <w:rPr>
          <w:spacing w:val="3"/>
        </w:rPr>
        <w:t xml:space="preserve">dia </w:t>
      </w:r>
      <w:r>
        <w:rPr>
          <w:spacing w:val="2"/>
        </w:rPr>
        <w:t xml:space="preserve">14 de </w:t>
      </w:r>
      <w:r>
        <w:rPr>
          <w:spacing w:val="5"/>
        </w:rPr>
        <w:t xml:space="preserve">julho </w:t>
      </w:r>
      <w:r>
        <w:rPr>
          <w:spacing w:val="2"/>
        </w:rPr>
        <w:t xml:space="preserve">de </w:t>
      </w:r>
      <w:r>
        <w:rPr>
          <w:spacing w:val="6"/>
        </w:rPr>
        <w:t xml:space="preserve">2010 </w:t>
      </w:r>
      <w:r>
        <w:t xml:space="preserve">(FRANÇA; BRAGA; LUZ, 2010). Sua inauguração representa um marco na produção limpa do artesanato em pedra-sabão  e </w:t>
      </w:r>
      <w:r>
        <w:rPr>
          <w:spacing w:val="2"/>
        </w:rPr>
        <w:t xml:space="preserve">na </w:t>
      </w:r>
      <w:r>
        <w:rPr>
          <w:spacing w:val="5"/>
        </w:rPr>
        <w:t xml:space="preserve">garantia </w:t>
      </w:r>
      <w:r>
        <w:rPr>
          <w:spacing w:val="2"/>
        </w:rPr>
        <w:t xml:space="preserve">de </w:t>
      </w:r>
      <w:r>
        <w:rPr>
          <w:spacing w:val="5"/>
        </w:rPr>
        <w:t xml:space="preserve">preservação </w:t>
      </w:r>
      <w:r>
        <w:rPr>
          <w:spacing w:val="2"/>
        </w:rPr>
        <w:t xml:space="preserve">do </w:t>
      </w:r>
      <w:r>
        <w:rPr>
          <w:spacing w:val="5"/>
        </w:rPr>
        <w:t>p</w:t>
      </w:r>
      <w:r>
        <w:rPr>
          <w:spacing w:val="5"/>
        </w:rPr>
        <w:t xml:space="preserve">atrimônio cultural </w:t>
      </w:r>
      <w:r>
        <w:rPr>
          <w:spacing w:val="6"/>
        </w:rPr>
        <w:t xml:space="preserve">da </w:t>
      </w:r>
      <w:r>
        <w:t>comunidade de Mata dos Palmitos, servindo também como modelo a ser replicado em benefício de outras comunidades do</w:t>
      </w:r>
      <w:r>
        <w:rPr>
          <w:spacing w:val="15"/>
        </w:rPr>
        <w:t xml:space="preserve"> </w:t>
      </w:r>
      <w:r>
        <w:t>Município</w:t>
      </w:r>
      <w:r>
        <w:rPr>
          <w:spacing w:val="15"/>
        </w:rPr>
        <w:t xml:space="preserve"> </w:t>
      </w:r>
      <w:r>
        <w:t>de</w:t>
      </w:r>
      <w:r>
        <w:rPr>
          <w:spacing w:val="15"/>
        </w:rPr>
        <w:t xml:space="preserve"> </w:t>
      </w:r>
      <w:r>
        <w:t>Ouro</w:t>
      </w:r>
      <w:r>
        <w:rPr>
          <w:spacing w:val="15"/>
        </w:rPr>
        <w:t xml:space="preserve"> </w:t>
      </w:r>
      <w:r>
        <w:t>Preto</w:t>
      </w:r>
      <w:r>
        <w:rPr>
          <w:spacing w:val="15"/>
        </w:rPr>
        <w:t xml:space="preserve"> </w:t>
      </w:r>
      <w:r>
        <w:t>(REDE</w:t>
      </w:r>
      <w:r>
        <w:rPr>
          <w:spacing w:val="15"/>
        </w:rPr>
        <w:t xml:space="preserve"> </w:t>
      </w:r>
      <w:r>
        <w:t>APL</w:t>
      </w:r>
      <w:r>
        <w:rPr>
          <w:spacing w:val="15"/>
        </w:rPr>
        <w:t xml:space="preserve"> </w:t>
      </w:r>
      <w:r>
        <w:t>MINERAL,</w:t>
      </w:r>
      <w:r>
        <w:rPr>
          <w:spacing w:val="15"/>
        </w:rPr>
        <w:t xml:space="preserve"> </w:t>
      </w:r>
      <w:r>
        <w:t>2010).</w:t>
      </w:r>
    </w:p>
    <w:p w:rsidR="00D81F69" w:rsidRDefault="00D81F69">
      <w:pPr>
        <w:pStyle w:val="Corpodetexto"/>
        <w:spacing w:before="7"/>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62"/>
      </w:pPr>
      <w:r>
        <w:t>O município de Ouro Preto possui minas de tal</w:t>
      </w:r>
      <w:r>
        <w:t>co divididas entre duas bacias, compreendidas entre as latitudes 20°28’49”S – 20°33’45”S e longitudes 43°24’55”W –</w:t>
      </w:r>
    </w:p>
    <w:p w:rsidR="00D81F69" w:rsidRDefault="00330118">
      <w:pPr>
        <w:pStyle w:val="Corpodetexto"/>
        <w:spacing w:before="3" w:line="312" w:lineRule="auto"/>
        <w:ind w:right="44"/>
      </w:pPr>
      <w:r>
        <w:t>43°46’26”W: a mina Córrego Burnier localiza-se na sub-bacia do rio Paraopeba que deságua no rio São Francisco; já as minas Olaria, Fazenda Ba</w:t>
      </w:r>
      <w:r>
        <w:t>calhau e Santa Rita estão localizadas na  bacia do  rio  Doce que  deságua  no  mar.</w:t>
      </w:r>
    </w:p>
    <w:p w:rsidR="00D81F69" w:rsidRDefault="00D81F69">
      <w:pPr>
        <w:pStyle w:val="Corpodetexto"/>
        <w:spacing w:before="1"/>
        <w:ind w:left="0"/>
        <w:jc w:val="left"/>
        <w:rPr>
          <w:sz w:val="29"/>
        </w:rPr>
      </w:pPr>
    </w:p>
    <w:p w:rsidR="00D81F69" w:rsidRDefault="00330118">
      <w:pPr>
        <w:pStyle w:val="Heading7"/>
      </w:pPr>
      <w:r>
        <w:t>REDATORES</w:t>
      </w:r>
    </w:p>
    <w:p w:rsidR="00D81F69" w:rsidRDefault="00330118">
      <w:pPr>
        <w:pStyle w:val="Corpodetexto"/>
        <w:spacing w:before="179"/>
      </w:pPr>
      <w:r>
        <w:t>Eliane Araujo; Renata Olivieri</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50"/>
        <w:jc w:val="both"/>
        <w:rPr>
          <w:sz w:val="16"/>
        </w:rPr>
      </w:pPr>
      <w:r>
        <w:rPr>
          <w:sz w:val="16"/>
        </w:rPr>
        <w:t>BEZERRA, Olívia Maria de Paula Alves; DIAS, Elizabeth Costa; GALVÃO, Márcio Antônio Moreira; CARNEIRO, Ana Paula Scalia. Talcose entre artesãos em pedra-sabão em uma localidade rural do município de Ouro Preto, Minas Gerais, Brasil. Cadernos Saúde Pública,</w:t>
      </w:r>
      <w:r>
        <w:rPr>
          <w:sz w:val="16"/>
        </w:rPr>
        <w:t xml:space="preserve"> Rio de Janeiro, v.19, n.6, p. 1751-1759, 2003. Disponível em:</w:t>
      </w:r>
    </w:p>
    <w:p w:rsidR="00D81F69" w:rsidRDefault="00D81F69">
      <w:pPr>
        <w:spacing w:before="4"/>
        <w:ind w:left="100"/>
        <w:jc w:val="both"/>
        <w:rPr>
          <w:sz w:val="16"/>
        </w:rPr>
      </w:pPr>
      <w:hyperlink r:id="rId1044">
        <w:r w:rsidR="00330118">
          <w:rPr>
            <w:sz w:val="16"/>
          </w:rPr>
          <w:t xml:space="preserve">&lt;http://www.scielo.br/pdf/csp/v19n6/a19v19n6.pdf&gt;.   </w:t>
        </w:r>
      </w:hyperlink>
      <w:r w:rsidR="00330118">
        <w:rPr>
          <w:sz w:val="16"/>
        </w:rPr>
        <w:t>Acesso   em: 14</w:t>
      </w:r>
    </w:p>
    <w:p w:rsidR="00D81F69" w:rsidRDefault="00330118">
      <w:pPr>
        <w:spacing w:before="70"/>
        <w:ind w:left="100"/>
        <w:jc w:val="both"/>
        <w:rPr>
          <w:sz w:val="16"/>
        </w:rPr>
      </w:pPr>
      <w:r>
        <w:br w:type="column"/>
      </w:r>
      <w:r>
        <w:rPr>
          <w:sz w:val="16"/>
        </w:rPr>
        <w:lastRenderedPageBreak/>
        <w:t>mar. 2010.</w:t>
      </w:r>
    </w:p>
    <w:p w:rsidR="00D81F69" w:rsidRDefault="00330118">
      <w:pPr>
        <w:tabs>
          <w:tab w:val="left" w:pos="4331"/>
        </w:tabs>
        <w:spacing w:before="56" w:line="312" w:lineRule="auto"/>
        <w:ind w:left="100" w:right="196"/>
        <w:jc w:val="both"/>
        <w:rPr>
          <w:sz w:val="16"/>
        </w:rPr>
      </w:pPr>
      <w:r>
        <w:rPr>
          <w:spacing w:val="5"/>
          <w:sz w:val="16"/>
        </w:rPr>
        <w:t xml:space="preserve">CASARA, Marques. </w:t>
      </w:r>
      <w:r>
        <w:rPr>
          <w:spacing w:val="3"/>
          <w:sz w:val="16"/>
        </w:rPr>
        <w:t xml:space="preserve">DNPM </w:t>
      </w:r>
      <w:r>
        <w:rPr>
          <w:spacing w:val="5"/>
          <w:sz w:val="16"/>
        </w:rPr>
        <w:t xml:space="preserve">confirma trabalho infantil </w:t>
      </w:r>
      <w:r>
        <w:rPr>
          <w:spacing w:val="2"/>
          <w:sz w:val="16"/>
        </w:rPr>
        <w:t xml:space="preserve">na </w:t>
      </w:r>
      <w:r>
        <w:rPr>
          <w:spacing w:val="5"/>
          <w:sz w:val="16"/>
        </w:rPr>
        <w:t xml:space="preserve">cadeia </w:t>
      </w:r>
      <w:r>
        <w:rPr>
          <w:sz w:val="16"/>
        </w:rPr>
        <w:t xml:space="preserve">produtiva do talco. In: Instituto Observatório Social, 07 mar. 2006.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217"/>
        <w:jc w:val="both"/>
        <w:rPr>
          <w:sz w:val="16"/>
        </w:rPr>
      </w:pPr>
      <w:hyperlink r:id="rId1045">
        <w:r w:rsidR="00330118">
          <w:rPr>
            <w:sz w:val="16"/>
          </w:rPr>
          <w:t>&lt;http://www.observatoriosocial.org.br/portal/index.php?option=content</w:t>
        </w:r>
      </w:hyperlink>
      <w:r w:rsidR="00330118">
        <w:rPr>
          <w:sz w:val="16"/>
        </w:rPr>
        <w:t xml:space="preserve"> &amp;task=view&amp;id=684&amp;Itemid=89&gt;. Acesso em: 14 mar. 2010.</w:t>
      </w:r>
    </w:p>
    <w:p w:rsidR="00D81F69" w:rsidRDefault="00330118">
      <w:pPr>
        <w:spacing w:before="2" w:line="312" w:lineRule="auto"/>
        <w:ind w:left="100" w:right="195"/>
        <w:jc w:val="both"/>
        <w:rPr>
          <w:sz w:val="16"/>
        </w:rPr>
      </w:pPr>
      <w:r>
        <w:rPr>
          <w:sz w:val="16"/>
        </w:rPr>
        <w:t>FRANÇA, Sílvia Cristina Alves; BRAGA, Paulo Fernando Almeida; LUZ, Adão Benvindo da. Inauguração da unidade protótipo de te</w:t>
      </w:r>
      <w:r>
        <w:rPr>
          <w:sz w:val="16"/>
        </w:rPr>
        <w:t>cnologias limpas para a arte em pedra-sabão, Mata dos Palmitos- MG e visita técnica à fundação Gorceix, Ouro Preto-MG. Cetem, Rio de Janeiro, ago. 2010. CETEM-MCT.</w:t>
      </w:r>
    </w:p>
    <w:p w:rsidR="00D81F69" w:rsidRDefault="00330118">
      <w:pPr>
        <w:spacing w:before="4" w:line="312" w:lineRule="auto"/>
        <w:ind w:left="100" w:right="116"/>
        <w:jc w:val="both"/>
        <w:rPr>
          <w:sz w:val="16"/>
        </w:rPr>
      </w:pPr>
      <w:r>
        <w:rPr>
          <w:sz w:val="16"/>
        </w:rPr>
        <w:t>GANDRA, Alana. Cetem levará a artesãos mineiros nova tecnologia para manipulação de pedra-sa</w:t>
      </w:r>
      <w:r>
        <w:rPr>
          <w:sz w:val="16"/>
        </w:rPr>
        <w:t xml:space="preserve">bão. In: Agência Brasil, Rio de Janeiro, </w:t>
      </w:r>
      <w:r>
        <w:rPr>
          <w:spacing w:val="35"/>
          <w:sz w:val="16"/>
        </w:rPr>
        <w:t>0</w:t>
      </w:r>
      <w:r>
        <w:rPr>
          <w:sz w:val="16"/>
        </w:rPr>
        <w:t xml:space="preserve"> 1</w:t>
      </w:r>
      <w:r>
        <w:rPr>
          <w:spacing w:val="5"/>
          <w:sz w:val="16"/>
        </w:rPr>
        <w:t xml:space="preserve"> </w:t>
      </w:r>
      <w:r>
        <w:rPr>
          <w:spacing w:val="35"/>
          <w:sz w:val="16"/>
        </w:rPr>
        <w:t>o</w:t>
      </w:r>
      <w:r>
        <w:rPr>
          <w:sz w:val="16"/>
        </w:rPr>
        <w:t xml:space="preserve"> </w:t>
      </w:r>
      <w:r>
        <w:rPr>
          <w:spacing w:val="35"/>
          <w:sz w:val="16"/>
        </w:rPr>
        <w:t>u</w:t>
      </w:r>
      <w:r>
        <w:rPr>
          <w:sz w:val="16"/>
        </w:rPr>
        <w:t xml:space="preserve"> </w:t>
      </w:r>
      <w:r>
        <w:rPr>
          <w:spacing w:val="35"/>
          <w:sz w:val="16"/>
        </w:rPr>
        <w:t>t</w:t>
      </w:r>
      <w:r>
        <w:rPr>
          <w:sz w:val="16"/>
        </w:rPr>
        <w:t xml:space="preserve"> .</w:t>
      </w:r>
      <w:r>
        <w:rPr>
          <w:spacing w:val="5"/>
          <w:sz w:val="16"/>
        </w:rPr>
        <w:t xml:space="preserve"> </w:t>
      </w:r>
      <w:r>
        <w:rPr>
          <w:spacing w:val="35"/>
          <w:sz w:val="16"/>
        </w:rPr>
        <w:t>2</w:t>
      </w:r>
      <w:r>
        <w:rPr>
          <w:sz w:val="16"/>
        </w:rPr>
        <w:t xml:space="preserve"> </w:t>
      </w:r>
      <w:r>
        <w:rPr>
          <w:spacing w:val="35"/>
          <w:sz w:val="16"/>
        </w:rPr>
        <w:t>0</w:t>
      </w:r>
      <w:r>
        <w:rPr>
          <w:sz w:val="16"/>
        </w:rPr>
        <w:t xml:space="preserve"> </w:t>
      </w:r>
      <w:r>
        <w:rPr>
          <w:spacing w:val="35"/>
          <w:sz w:val="16"/>
        </w:rPr>
        <w:t>0</w:t>
      </w:r>
      <w:r>
        <w:rPr>
          <w:sz w:val="16"/>
        </w:rPr>
        <w:t xml:space="preserve"> </w:t>
      </w:r>
      <w:r>
        <w:rPr>
          <w:spacing w:val="35"/>
          <w:sz w:val="16"/>
        </w:rPr>
        <w:t>8</w:t>
      </w:r>
      <w:r>
        <w:rPr>
          <w:sz w:val="16"/>
        </w:rPr>
        <w:t xml:space="preserve"> .</w:t>
      </w:r>
      <w:r>
        <w:rPr>
          <w:spacing w:val="5"/>
          <w:sz w:val="16"/>
        </w:rPr>
        <w:t xml:space="preserve"> </w:t>
      </w:r>
      <w:r>
        <w:rPr>
          <w:spacing w:val="35"/>
          <w:sz w:val="16"/>
        </w:rPr>
        <w:t>D</w:t>
      </w:r>
      <w:r>
        <w:rPr>
          <w:sz w:val="16"/>
        </w:rPr>
        <w:t xml:space="preserve"> </w:t>
      </w:r>
      <w:r>
        <w:rPr>
          <w:spacing w:val="35"/>
          <w:sz w:val="16"/>
        </w:rPr>
        <w:t>i</w:t>
      </w:r>
      <w:r>
        <w:rPr>
          <w:sz w:val="16"/>
        </w:rPr>
        <w:t xml:space="preserve"> </w:t>
      </w:r>
      <w:r>
        <w:rPr>
          <w:spacing w:val="35"/>
          <w:sz w:val="16"/>
        </w:rPr>
        <w:t>s</w:t>
      </w:r>
      <w:r>
        <w:rPr>
          <w:sz w:val="16"/>
        </w:rPr>
        <w:t xml:space="preserve"> </w:t>
      </w:r>
      <w:r>
        <w:rPr>
          <w:spacing w:val="35"/>
          <w:sz w:val="16"/>
        </w:rPr>
        <w:t>p</w:t>
      </w:r>
      <w:r>
        <w:rPr>
          <w:sz w:val="16"/>
        </w:rPr>
        <w:t xml:space="preserve"> </w:t>
      </w:r>
      <w:r>
        <w:rPr>
          <w:spacing w:val="35"/>
          <w:sz w:val="16"/>
        </w:rPr>
        <w:t>o</w:t>
      </w:r>
      <w:r>
        <w:rPr>
          <w:sz w:val="16"/>
        </w:rPr>
        <w:t xml:space="preserve"> </w:t>
      </w:r>
      <w:r>
        <w:rPr>
          <w:spacing w:val="35"/>
          <w:sz w:val="16"/>
        </w:rPr>
        <w:t>n</w:t>
      </w:r>
      <w:r>
        <w:rPr>
          <w:sz w:val="16"/>
        </w:rPr>
        <w:t xml:space="preserve"> </w:t>
      </w:r>
      <w:r>
        <w:rPr>
          <w:spacing w:val="35"/>
          <w:sz w:val="16"/>
        </w:rPr>
        <w:t>í</w:t>
      </w:r>
      <w:r>
        <w:rPr>
          <w:sz w:val="16"/>
        </w:rPr>
        <w:t xml:space="preserve"> </w:t>
      </w:r>
      <w:r>
        <w:rPr>
          <w:spacing w:val="35"/>
          <w:sz w:val="16"/>
        </w:rPr>
        <w:t>v</w:t>
      </w:r>
      <w:r>
        <w:rPr>
          <w:sz w:val="16"/>
        </w:rPr>
        <w:t xml:space="preserve"> </w:t>
      </w:r>
      <w:r>
        <w:rPr>
          <w:spacing w:val="35"/>
          <w:sz w:val="16"/>
        </w:rPr>
        <w:t>e</w:t>
      </w:r>
      <w:r>
        <w:rPr>
          <w:sz w:val="16"/>
        </w:rPr>
        <w:t xml:space="preserve"> l</w:t>
      </w:r>
      <w:r>
        <w:rPr>
          <w:spacing w:val="5"/>
          <w:sz w:val="16"/>
        </w:rPr>
        <w:t xml:space="preserve"> </w:t>
      </w:r>
      <w:r>
        <w:rPr>
          <w:spacing w:val="35"/>
          <w:sz w:val="16"/>
        </w:rPr>
        <w:t>e</w:t>
      </w:r>
      <w:r>
        <w:rPr>
          <w:sz w:val="16"/>
        </w:rPr>
        <w:t xml:space="preserve"> </w:t>
      </w:r>
      <w:r>
        <w:rPr>
          <w:spacing w:val="35"/>
          <w:sz w:val="16"/>
        </w:rPr>
        <w:t>m</w:t>
      </w:r>
      <w:r>
        <w:rPr>
          <w:sz w:val="16"/>
        </w:rPr>
        <w:t xml:space="preserve"> : </w:t>
      </w:r>
      <w:r>
        <w:rPr>
          <w:spacing w:val="-9"/>
          <w:sz w:val="16"/>
        </w:rPr>
        <w:t xml:space="preserve"> </w:t>
      </w:r>
    </w:p>
    <w:p w:rsidR="00D81F69" w:rsidRDefault="00D81F69">
      <w:pPr>
        <w:spacing w:before="2" w:line="312" w:lineRule="auto"/>
        <w:ind w:left="100" w:right="216"/>
        <w:jc w:val="both"/>
        <w:rPr>
          <w:sz w:val="16"/>
        </w:rPr>
      </w:pPr>
      <w:hyperlink r:id="rId1046">
        <w:r w:rsidR="00330118">
          <w:rPr>
            <w:sz w:val="16"/>
          </w:rPr>
          <w:t>&lt;http://www.cetem.gov.br/noticias/cetem%20midia/2008/08_10_01_n</w:t>
        </w:r>
      </w:hyperlink>
      <w:r w:rsidR="00330118">
        <w:rPr>
          <w:sz w:val="16"/>
        </w:rPr>
        <w:t xml:space="preserve"> ot_site_agencia_brasi</w:t>
      </w:r>
      <w:r w:rsidR="00330118">
        <w:rPr>
          <w:sz w:val="16"/>
        </w:rPr>
        <w:t>l.htm&gt;. Acesso em: 14 mar. 2010.</w:t>
      </w:r>
    </w:p>
    <w:p w:rsidR="00D81F69" w:rsidRDefault="00330118">
      <w:pPr>
        <w:spacing w:before="2" w:line="312" w:lineRule="auto"/>
        <w:ind w:left="100" w:right="157"/>
        <w:jc w:val="both"/>
        <w:rPr>
          <w:sz w:val="16"/>
        </w:rPr>
      </w:pPr>
      <w:r>
        <w:rPr>
          <w:sz w:val="16"/>
        </w:rPr>
        <w:t xml:space="preserve">IBGE, Instituto Brasileiro de Geografia e Estatística. Ouro Preto (MG). In: IBGE Cidades, 2010. Disponível em: </w:t>
      </w:r>
    </w:p>
    <w:p w:rsidR="00D81F69" w:rsidRDefault="00D81F69">
      <w:pPr>
        <w:spacing w:before="2"/>
        <w:ind w:left="100"/>
        <w:jc w:val="both"/>
        <w:rPr>
          <w:sz w:val="16"/>
        </w:rPr>
      </w:pPr>
      <w:hyperlink r:id="rId1047">
        <w:r w:rsidR="00330118">
          <w:rPr>
            <w:sz w:val="16"/>
          </w:rPr>
          <w:t>&lt;http://www.ibge.gov.br/</w:t>
        </w:r>
        <w:r w:rsidR="00330118">
          <w:rPr>
            <w:sz w:val="16"/>
          </w:rPr>
          <w:t>cidadesat/xtras/perfil.php?codmun=314610&amp;r</w:t>
        </w:r>
      </w:hyperlink>
    </w:p>
    <w:p w:rsidR="00D81F69" w:rsidRDefault="00330118">
      <w:pPr>
        <w:spacing w:before="56"/>
        <w:ind w:left="100"/>
        <w:jc w:val="both"/>
        <w:rPr>
          <w:sz w:val="16"/>
        </w:rPr>
      </w:pPr>
      <w:r>
        <w:rPr>
          <w:sz w:val="16"/>
        </w:rPr>
        <w:t>=2&gt;. Acesso em: 26 out. 2011.</w:t>
      </w:r>
    </w:p>
    <w:p w:rsidR="00D81F69" w:rsidRDefault="00330118">
      <w:pPr>
        <w:tabs>
          <w:tab w:val="left" w:pos="2559"/>
          <w:tab w:val="left" w:pos="5063"/>
        </w:tabs>
        <w:spacing w:before="56" w:line="312" w:lineRule="auto"/>
        <w:ind w:left="100" w:right="195"/>
        <w:jc w:val="both"/>
        <w:rPr>
          <w:sz w:val="16"/>
        </w:rPr>
      </w:pPr>
      <w:r>
        <w:rPr>
          <w:spacing w:val="3"/>
          <w:sz w:val="16"/>
        </w:rPr>
        <w:t xml:space="preserve">LIPPMANN, </w:t>
      </w:r>
      <w:r>
        <w:rPr>
          <w:spacing w:val="2"/>
          <w:sz w:val="16"/>
        </w:rPr>
        <w:t xml:space="preserve">Otto </w:t>
      </w:r>
      <w:r>
        <w:rPr>
          <w:spacing w:val="3"/>
          <w:sz w:val="16"/>
        </w:rPr>
        <w:t xml:space="preserve">Carlos; CASTILHOS, Zuleica Carmem; </w:t>
      </w:r>
      <w:r>
        <w:rPr>
          <w:spacing w:val="5"/>
          <w:sz w:val="16"/>
        </w:rPr>
        <w:t xml:space="preserve">EGLER, </w:t>
      </w:r>
      <w:r>
        <w:rPr>
          <w:sz w:val="16"/>
        </w:rPr>
        <w:t xml:space="preserve">Silvia Gonçalves. Caracterização de Particulado em Artesanato em Pedra-Sabão na Região de Mata dos Palmitos, Ouro Preto-MG. </w:t>
      </w:r>
      <w:r>
        <w:rPr>
          <w:spacing w:val="1"/>
          <w:sz w:val="16"/>
        </w:rPr>
        <w:t xml:space="preserve">In:  </w:t>
      </w:r>
      <w:r>
        <w:rPr>
          <w:sz w:val="16"/>
        </w:rPr>
        <w:t>XV Jornada de Iniciação Científica – CETEM/MCT, 2007. Disponível  e</w:t>
      </w:r>
      <w:r>
        <w:rPr>
          <w:sz w:val="16"/>
        </w:rPr>
        <w:tab/>
        <w:t>m</w:t>
      </w:r>
      <w:r>
        <w:rPr>
          <w:sz w:val="16"/>
        </w:rPr>
        <w:tab/>
        <w:t xml:space="preserve">: </w:t>
      </w:r>
      <w:hyperlink r:id="rId1048">
        <w:r>
          <w:rPr>
            <w:sz w:val="16"/>
          </w:rPr>
          <w:t>http://www.cetem.gov.br/publicacao/serie_anais_XV_jic_2007/Otto_Li</w:t>
        </w:r>
      </w:hyperlink>
      <w:r>
        <w:rPr>
          <w:sz w:val="16"/>
        </w:rPr>
        <w:t xml:space="preserve"> ppman_Castilos_Egler.pdf&gt; Ac</w:t>
      </w:r>
      <w:r>
        <w:rPr>
          <w:sz w:val="16"/>
        </w:rPr>
        <w:t>esso em: 14 mar.</w:t>
      </w:r>
      <w:r>
        <w:rPr>
          <w:spacing w:val="13"/>
          <w:sz w:val="16"/>
        </w:rPr>
        <w:t xml:space="preserve"> </w:t>
      </w:r>
      <w:r>
        <w:rPr>
          <w:sz w:val="16"/>
        </w:rPr>
        <w:t>2010.</w:t>
      </w:r>
    </w:p>
    <w:p w:rsidR="00D81F69" w:rsidRDefault="00330118">
      <w:pPr>
        <w:spacing w:before="5" w:line="312" w:lineRule="auto"/>
        <w:ind w:left="100" w:right="117"/>
        <w:jc w:val="both"/>
        <w:rPr>
          <w:sz w:val="16"/>
        </w:rPr>
      </w:pPr>
      <w:r>
        <w:rPr>
          <w:sz w:val="16"/>
        </w:rPr>
        <w:t xml:space="preserve">MDS, Ministério do Desenvolvimento Social e Combate à Fome. MDS amplia atendimento contra o trabalho infantil em Ouro Preto. Brasília,  </w:t>
      </w:r>
      <w:r>
        <w:rPr>
          <w:spacing w:val="35"/>
          <w:sz w:val="16"/>
        </w:rPr>
        <w:t>0</w:t>
      </w:r>
      <w:r>
        <w:rPr>
          <w:sz w:val="16"/>
        </w:rPr>
        <w:t xml:space="preserve"> 8</w:t>
      </w:r>
      <w:r>
        <w:rPr>
          <w:spacing w:val="8"/>
          <w:sz w:val="16"/>
        </w:rPr>
        <w:t xml:space="preserve"> </w:t>
      </w:r>
      <w:r>
        <w:rPr>
          <w:spacing w:val="35"/>
          <w:sz w:val="16"/>
        </w:rPr>
        <w:t>f</w:t>
      </w:r>
      <w:r>
        <w:rPr>
          <w:sz w:val="16"/>
        </w:rPr>
        <w:t xml:space="preserve"> </w:t>
      </w:r>
      <w:r>
        <w:rPr>
          <w:spacing w:val="35"/>
          <w:sz w:val="16"/>
        </w:rPr>
        <w:t>e</w:t>
      </w:r>
      <w:r>
        <w:rPr>
          <w:sz w:val="16"/>
        </w:rPr>
        <w:t xml:space="preserve"> </w:t>
      </w:r>
      <w:r>
        <w:rPr>
          <w:spacing w:val="35"/>
          <w:sz w:val="16"/>
        </w:rPr>
        <w:t>v</w:t>
      </w:r>
      <w:r>
        <w:rPr>
          <w:sz w:val="16"/>
        </w:rPr>
        <w:t xml:space="preserve"> .</w:t>
      </w:r>
      <w:r>
        <w:rPr>
          <w:spacing w:val="8"/>
          <w:sz w:val="16"/>
        </w:rPr>
        <w:t xml:space="preserve"> </w:t>
      </w:r>
      <w:r>
        <w:rPr>
          <w:spacing w:val="35"/>
          <w:sz w:val="16"/>
        </w:rPr>
        <w:t>2</w:t>
      </w:r>
      <w:r>
        <w:rPr>
          <w:sz w:val="16"/>
        </w:rPr>
        <w:t xml:space="preserve"> </w:t>
      </w:r>
      <w:r>
        <w:rPr>
          <w:spacing w:val="35"/>
          <w:sz w:val="16"/>
        </w:rPr>
        <w:t>0</w:t>
      </w:r>
      <w:r>
        <w:rPr>
          <w:sz w:val="16"/>
        </w:rPr>
        <w:t xml:space="preserve"> </w:t>
      </w:r>
      <w:r>
        <w:rPr>
          <w:spacing w:val="35"/>
          <w:sz w:val="16"/>
        </w:rPr>
        <w:t>0</w:t>
      </w:r>
      <w:r>
        <w:rPr>
          <w:sz w:val="16"/>
        </w:rPr>
        <w:t xml:space="preserve"> </w:t>
      </w:r>
      <w:r>
        <w:rPr>
          <w:spacing w:val="35"/>
          <w:sz w:val="16"/>
        </w:rPr>
        <w:t>6</w:t>
      </w:r>
      <w:r>
        <w:rPr>
          <w:sz w:val="16"/>
        </w:rPr>
        <w:t xml:space="preserve"> .</w:t>
      </w:r>
      <w:r>
        <w:rPr>
          <w:spacing w:val="8"/>
          <w:sz w:val="16"/>
        </w:rPr>
        <w:t xml:space="preserve"> </w:t>
      </w:r>
      <w:r>
        <w:rPr>
          <w:spacing w:val="35"/>
          <w:sz w:val="16"/>
        </w:rPr>
        <w:t>D</w:t>
      </w:r>
      <w:r>
        <w:rPr>
          <w:sz w:val="16"/>
        </w:rPr>
        <w:t xml:space="preserve"> </w:t>
      </w:r>
      <w:r>
        <w:rPr>
          <w:spacing w:val="35"/>
          <w:sz w:val="16"/>
        </w:rPr>
        <w:t>i</w:t>
      </w:r>
      <w:r>
        <w:rPr>
          <w:sz w:val="16"/>
        </w:rPr>
        <w:t xml:space="preserve"> </w:t>
      </w:r>
      <w:r>
        <w:rPr>
          <w:spacing w:val="35"/>
          <w:sz w:val="16"/>
        </w:rPr>
        <w:t>s</w:t>
      </w:r>
      <w:r>
        <w:rPr>
          <w:sz w:val="16"/>
        </w:rPr>
        <w:t xml:space="preserve"> </w:t>
      </w:r>
      <w:r>
        <w:rPr>
          <w:spacing w:val="35"/>
          <w:sz w:val="16"/>
        </w:rPr>
        <w:t>p</w:t>
      </w:r>
      <w:r>
        <w:rPr>
          <w:sz w:val="16"/>
        </w:rPr>
        <w:t xml:space="preserve"> </w:t>
      </w:r>
      <w:r>
        <w:rPr>
          <w:spacing w:val="35"/>
          <w:sz w:val="16"/>
        </w:rPr>
        <w:t>o</w:t>
      </w:r>
      <w:r>
        <w:rPr>
          <w:sz w:val="16"/>
        </w:rPr>
        <w:t xml:space="preserve"> </w:t>
      </w:r>
      <w:r>
        <w:rPr>
          <w:spacing w:val="35"/>
          <w:sz w:val="16"/>
        </w:rPr>
        <w:t>n</w:t>
      </w:r>
      <w:r>
        <w:rPr>
          <w:sz w:val="16"/>
        </w:rPr>
        <w:t xml:space="preserve"> </w:t>
      </w:r>
      <w:r>
        <w:rPr>
          <w:spacing w:val="35"/>
          <w:sz w:val="16"/>
        </w:rPr>
        <w:t>í</w:t>
      </w:r>
      <w:r>
        <w:rPr>
          <w:sz w:val="16"/>
        </w:rPr>
        <w:t xml:space="preserve"> </w:t>
      </w:r>
      <w:r>
        <w:rPr>
          <w:spacing w:val="35"/>
          <w:sz w:val="16"/>
        </w:rPr>
        <w:t>v</w:t>
      </w:r>
      <w:r>
        <w:rPr>
          <w:sz w:val="16"/>
        </w:rPr>
        <w:t xml:space="preserve"> </w:t>
      </w:r>
      <w:r>
        <w:rPr>
          <w:spacing w:val="35"/>
          <w:sz w:val="16"/>
        </w:rPr>
        <w:t>e</w:t>
      </w:r>
      <w:r>
        <w:rPr>
          <w:sz w:val="16"/>
        </w:rPr>
        <w:t xml:space="preserve"> l</w:t>
      </w:r>
      <w:r>
        <w:rPr>
          <w:spacing w:val="8"/>
          <w:sz w:val="16"/>
        </w:rPr>
        <w:t xml:space="preserve"> </w:t>
      </w:r>
      <w:r>
        <w:rPr>
          <w:spacing w:val="35"/>
          <w:sz w:val="16"/>
        </w:rPr>
        <w:t>e</w:t>
      </w:r>
      <w:r>
        <w:rPr>
          <w:sz w:val="16"/>
        </w:rPr>
        <w:t xml:space="preserve"> </w:t>
      </w:r>
      <w:r>
        <w:rPr>
          <w:spacing w:val="35"/>
          <w:sz w:val="16"/>
        </w:rPr>
        <w:t>m</w:t>
      </w:r>
      <w:r>
        <w:rPr>
          <w:sz w:val="16"/>
        </w:rPr>
        <w:t xml:space="preserve"> : </w:t>
      </w:r>
      <w:r>
        <w:rPr>
          <w:spacing w:val="-9"/>
          <w:sz w:val="16"/>
        </w:rPr>
        <w:t xml:space="preserve"> </w:t>
      </w:r>
    </w:p>
    <w:p w:rsidR="00D81F69" w:rsidRDefault="00D81F69">
      <w:pPr>
        <w:spacing w:before="3" w:line="312" w:lineRule="auto"/>
        <w:ind w:left="100" w:right="197"/>
        <w:jc w:val="both"/>
        <w:rPr>
          <w:sz w:val="16"/>
        </w:rPr>
      </w:pPr>
      <w:hyperlink r:id="rId1049">
        <w:r w:rsidR="00330118">
          <w:rPr>
            <w:sz w:val="16"/>
          </w:rPr>
          <w:t>&lt;http://www.mds.gov.br/noticias_antigas/noticia1551.htm/html2pdf&gt;.</w:t>
        </w:r>
      </w:hyperlink>
      <w:r w:rsidR="00330118">
        <w:rPr>
          <w:sz w:val="16"/>
        </w:rPr>
        <w:t xml:space="preserve"> Acesso em: 27 mar. 2010.</w:t>
      </w:r>
    </w:p>
    <w:p w:rsidR="00D81F69" w:rsidRDefault="00330118">
      <w:pPr>
        <w:spacing w:before="1" w:line="312" w:lineRule="auto"/>
        <w:ind w:left="100" w:right="199"/>
        <w:jc w:val="both"/>
        <w:rPr>
          <w:sz w:val="16"/>
        </w:rPr>
      </w:pPr>
      <w:r>
        <w:rPr>
          <w:sz w:val="16"/>
        </w:rPr>
        <w:t xml:space="preserve">MPT, Ministério Público do Trabalho, Procuradoria Regional do Trabalho – 3ª Região. Despacho saneador. Belo Horizonte, abr. 2006. </w:t>
      </w:r>
      <w:r>
        <w:rPr>
          <w:sz w:val="16"/>
        </w:rPr>
        <w:t xml:space="preserve">Disponível </w:t>
      </w:r>
      <w:hyperlink r:id="rId1050">
        <w:r>
          <w:rPr>
            <w:sz w:val="16"/>
          </w:rPr>
          <w:t>em:&lt;http://www.os.org.br/download/despacho_mpt-</w:t>
        </w:r>
      </w:hyperlink>
      <w:r>
        <w:rPr>
          <w:sz w:val="16"/>
        </w:rPr>
        <w:t xml:space="preserve"> mg.pdf&gt;. Acesso em: 27 mar. 2010.</w:t>
      </w:r>
    </w:p>
    <w:p w:rsidR="00D81F69" w:rsidRDefault="00330118">
      <w:pPr>
        <w:spacing w:before="4" w:line="312" w:lineRule="auto"/>
        <w:ind w:left="100" w:right="193"/>
        <w:jc w:val="both"/>
        <w:rPr>
          <w:sz w:val="16"/>
        </w:rPr>
      </w:pPr>
      <w:r>
        <w:rPr>
          <w:sz w:val="16"/>
        </w:rPr>
        <w:t xml:space="preserve">REDE APL MINERAL. Inauguração da unidade-protótipo em Mata  </w:t>
      </w:r>
      <w:r>
        <w:rPr>
          <w:spacing w:val="2"/>
          <w:sz w:val="16"/>
        </w:rPr>
        <w:t xml:space="preserve">dos </w:t>
      </w:r>
      <w:r>
        <w:rPr>
          <w:spacing w:val="3"/>
          <w:sz w:val="16"/>
        </w:rPr>
        <w:t xml:space="preserve">Palmitos, </w:t>
      </w:r>
      <w:r>
        <w:rPr>
          <w:spacing w:val="2"/>
          <w:sz w:val="16"/>
        </w:rPr>
        <w:t xml:space="preserve">Ouro </w:t>
      </w:r>
      <w:r>
        <w:rPr>
          <w:spacing w:val="3"/>
          <w:sz w:val="16"/>
        </w:rPr>
        <w:t xml:space="preserve">Preto. Brasília, </w:t>
      </w:r>
      <w:r>
        <w:rPr>
          <w:spacing w:val="1"/>
          <w:sz w:val="16"/>
        </w:rPr>
        <w:t xml:space="preserve">09 </w:t>
      </w:r>
      <w:r>
        <w:rPr>
          <w:spacing w:val="2"/>
          <w:sz w:val="16"/>
        </w:rPr>
        <w:t xml:space="preserve">jul. </w:t>
      </w:r>
      <w:r>
        <w:rPr>
          <w:spacing w:val="3"/>
          <w:sz w:val="16"/>
        </w:rPr>
        <w:t>2010. Disponível</w:t>
      </w:r>
      <w:r>
        <w:rPr>
          <w:spacing w:val="47"/>
          <w:sz w:val="16"/>
        </w:rPr>
        <w:t xml:space="preserve"> </w:t>
      </w:r>
      <w:r>
        <w:rPr>
          <w:spacing w:val="5"/>
          <w:sz w:val="16"/>
        </w:rPr>
        <w:t>em:</w:t>
      </w:r>
    </w:p>
    <w:p w:rsidR="00D81F69" w:rsidRDefault="00D81F69">
      <w:pPr>
        <w:spacing w:before="1" w:line="312" w:lineRule="auto"/>
        <w:ind w:left="100" w:right="194"/>
        <w:jc w:val="both"/>
        <w:rPr>
          <w:sz w:val="16"/>
        </w:rPr>
      </w:pPr>
      <w:hyperlink r:id="rId1051">
        <w:r w:rsidR="00330118">
          <w:rPr>
            <w:sz w:val="16"/>
          </w:rPr>
          <w:t>&lt;http://www.redeaplmineral.org.br/noticias/inauguracao-da-unidade-</w:t>
        </w:r>
      </w:hyperlink>
      <w:r w:rsidR="00330118">
        <w:rPr>
          <w:sz w:val="16"/>
        </w:rPr>
        <w:t xml:space="preserve"> prototipo-em-mata-dos-palmitos-ouro-preto/&gt;. Acesso em: 11 jul. 2012.</w:t>
      </w:r>
    </w:p>
    <w:p w:rsidR="00D81F69" w:rsidRDefault="00330118">
      <w:pPr>
        <w:spacing w:before="3" w:line="312" w:lineRule="auto"/>
        <w:ind w:left="100" w:right="197"/>
        <w:jc w:val="both"/>
        <w:rPr>
          <w:sz w:val="16"/>
        </w:rPr>
      </w:pPr>
      <w:r>
        <w:rPr>
          <w:sz w:val="16"/>
        </w:rPr>
        <w:t>SILVA, Ric</w:t>
      </w:r>
      <w:r>
        <w:rPr>
          <w:sz w:val="16"/>
        </w:rPr>
        <w:t>ardo S. V.; ARAÚJO, Patrícia C.; CASTILHOS, Zuleica C. Uso de geotecnologias na avaliação de risco ambiental na lavra e no artesanato em pedra-sabão na comunidade de Mata dos Palmitos em Ouro Preto. XXIII Encontro Nacional de Tratamento de Minérios e Metal</w:t>
      </w:r>
      <w:r>
        <w:rPr>
          <w:sz w:val="16"/>
        </w:rPr>
        <w:t xml:space="preserve">urgia Extrativa, Gramado - RS, set.-out. 2009 – CETEM-MCT. Disponível em: </w:t>
      </w:r>
      <w:hyperlink r:id="rId1052">
        <w:r>
          <w:rPr>
            <w:sz w:val="16"/>
          </w:rPr>
          <w:t>&lt;http://www.cetem.gov.br/publicacao/CTs/CT2009-</w:t>
        </w:r>
      </w:hyperlink>
      <w:r>
        <w:rPr>
          <w:sz w:val="16"/>
        </w:rPr>
        <w:t xml:space="preserve"> 157-00.pdff&gt;. Acesso em: 25 out. 2011.</w:t>
      </w:r>
    </w:p>
    <w:p w:rsidR="00D81F69" w:rsidRDefault="00330118">
      <w:pPr>
        <w:spacing w:before="6" w:line="312" w:lineRule="auto"/>
        <w:ind w:left="100" w:right="158"/>
        <w:jc w:val="both"/>
        <w:rPr>
          <w:sz w:val="16"/>
        </w:rPr>
      </w:pPr>
      <w:r>
        <w:rPr>
          <w:sz w:val="16"/>
        </w:rPr>
        <w:t xml:space="preserve">VERAS, Dauro; CASARA; Marques; </w:t>
      </w:r>
      <w:r>
        <w:rPr>
          <w:sz w:val="16"/>
        </w:rPr>
        <w:t xml:space="preserve">WERLE, Sandra; BARBOSA, Alexandre de Freitas; MARTINEZ, Fernanda; SCHERER, Clóvis; MAGRI, Marco Sayão. A Idade da Pedra. Observatório Social em Revista, n. 9, jan. 2006. Disponível em: </w:t>
      </w:r>
    </w:p>
    <w:p w:rsidR="00D81F69" w:rsidRDefault="00D81F69">
      <w:pPr>
        <w:spacing w:before="3" w:line="312" w:lineRule="auto"/>
        <w:ind w:left="100" w:right="191"/>
        <w:jc w:val="both"/>
        <w:rPr>
          <w:sz w:val="16"/>
        </w:rPr>
      </w:pPr>
      <w:hyperlink r:id="rId1053">
        <w:r w:rsidR="00330118">
          <w:rPr>
            <w:sz w:val="16"/>
          </w:rPr>
          <w:t>&lt;http://www.observatoriosocial.org.br/download/er9-pedra.pdf&gt;.</w:t>
        </w:r>
      </w:hyperlink>
      <w:r w:rsidR="00330118">
        <w:rPr>
          <w:sz w:val="16"/>
        </w:rPr>
        <w:t xml:space="preserve"> Acesso em: 27 mar. 2010.</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67" w:space="303"/>
            <w:col w:w="5310"/>
          </w:cols>
        </w:sectPr>
      </w:pPr>
    </w:p>
    <w:p w:rsidR="00D81F69" w:rsidRDefault="00330118">
      <w:pPr>
        <w:pStyle w:val="Heading1"/>
        <w:spacing w:line="208" w:lineRule="auto"/>
      </w:pPr>
      <w:r>
        <w:lastRenderedPageBreak/>
        <w:t>Rompimento de barragem da Mineradora Rio Pomba Cataguases afeta qualidade da água em MG e no RJ</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7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884"/>
        <w:rPr>
          <w:i/>
          <w:sz w:val="14"/>
        </w:rPr>
      </w:pPr>
      <w:r>
        <w:rPr>
          <w:i/>
          <w:sz w:val="14"/>
        </w:rPr>
        <w:t>MG - Miraí MG - Muriaé</w:t>
      </w:r>
    </w:p>
    <w:p w:rsidR="00D81F69" w:rsidRDefault="00330118">
      <w:pPr>
        <w:spacing w:before="2" w:line="312" w:lineRule="auto"/>
        <w:ind w:left="135" w:right="20"/>
        <w:rPr>
          <w:i/>
          <w:sz w:val="14"/>
        </w:rPr>
      </w:pPr>
      <w:r>
        <w:rPr>
          <w:i/>
          <w:sz w:val="14"/>
        </w:rPr>
        <w:t>MG - Patrocínio do Muriaé RJ - Itaperuna</w:t>
      </w:r>
    </w:p>
    <w:p w:rsidR="00D81F69" w:rsidRDefault="00330118">
      <w:pPr>
        <w:spacing w:before="1"/>
        <w:ind w:left="135"/>
        <w:rPr>
          <w:i/>
          <w:sz w:val="14"/>
        </w:rPr>
      </w:pPr>
      <w:r>
        <w:rPr>
          <w:i/>
          <w:sz w:val="14"/>
        </w:rPr>
        <w:t>RJ - Laje do Muriaé</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-21,2388</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-42,2155</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2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42"/>
        <w:rPr>
          <w:i/>
          <w:sz w:val="16"/>
        </w:rPr>
      </w:pPr>
      <w:r>
        <w:rPr>
          <w:i/>
          <w:sz w:val="16"/>
        </w:rPr>
        <w:t xml:space="preserve">O rompimento de uma das barragens da </w:t>
      </w:r>
      <w:r>
        <w:rPr>
          <w:i/>
          <w:sz w:val="16"/>
        </w:rPr>
        <w:t>mineradora Rio Pomba Cataguases, instalada no município de Miraí (MG), em 10 de janeiro de 2007, espalhou cerca de 2 milhões de m³ de bauxita pela cidade e por outros quatro municípios: Muriaé e Patrocínio de Muriaé, também na Zona da Mata mineira, Laje de</w:t>
      </w:r>
      <w:r>
        <w:rPr>
          <w:i/>
          <w:sz w:val="16"/>
        </w:rPr>
        <w:t xml:space="preserve"> Muriaé e Itaperuna, no Rio de Janeiro.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2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04"/>
      </w:pPr>
      <w:r>
        <w:rPr>
          <w:spacing w:val="8"/>
        </w:rPr>
        <w:t xml:space="preserve">para </w:t>
      </w:r>
      <w:r>
        <w:t xml:space="preserve">a </w:t>
      </w:r>
      <w:r>
        <w:rPr>
          <w:spacing w:val="8"/>
        </w:rPr>
        <w:t xml:space="preserve">cava </w:t>
      </w:r>
      <w:r>
        <w:rPr>
          <w:spacing w:val="10"/>
        </w:rPr>
        <w:t xml:space="preserve">exaurida. </w:t>
      </w:r>
      <w:r>
        <w:rPr>
          <w:spacing w:val="5"/>
        </w:rPr>
        <w:t xml:space="preserve">Já os </w:t>
      </w:r>
      <w:r>
        <w:rPr>
          <w:spacing w:val="10"/>
        </w:rPr>
        <w:t xml:space="preserve">rejeitos, </w:t>
      </w:r>
      <w:r>
        <w:rPr>
          <w:spacing w:val="5"/>
        </w:rPr>
        <w:t xml:space="preserve">em </w:t>
      </w:r>
      <w:r>
        <w:rPr>
          <w:spacing w:val="10"/>
        </w:rPr>
        <w:t xml:space="preserve">geral, </w:t>
      </w:r>
      <w:r>
        <w:rPr>
          <w:spacing w:val="11"/>
        </w:rPr>
        <w:t xml:space="preserve">são </w:t>
      </w:r>
      <w:r>
        <w:t>depositados em barragens (CHAVES, 2006), como no caso da Rio</w:t>
      </w:r>
      <w:r>
        <w:rPr>
          <w:spacing w:val="27"/>
        </w:rPr>
        <w:t xml:space="preserve"> </w:t>
      </w:r>
      <w:r>
        <w:rPr>
          <w:spacing w:val="1"/>
        </w:rPr>
        <w:t>Pomba.</w:t>
      </w:r>
    </w:p>
    <w:p w:rsidR="00D81F69" w:rsidRDefault="00330118">
      <w:pPr>
        <w:pStyle w:val="Corpodetexto"/>
        <w:spacing w:before="69" w:line="270" w:lineRule="atLeast"/>
        <w:ind w:left="135" w:right="217"/>
        <w:jc w:val="left"/>
      </w:pPr>
      <w:r>
        <w:t xml:space="preserve">A barragem da Fazenda São Francisco encontrava-se no seu limite e, com as fortes chuvas que </w:t>
      </w:r>
      <w:r>
        <w:t>caíram em janeiro de 2007 sobre a região, cerca de 2 milhões de m³ de lama, contendo água e argila, vazaram (SÁ, 2007), invadindo as cidades de Miraí e Muriaé, chegando aos rios Fubá e Muriaé, atingindo, assim, outras cidades mineiras e fluminenses (G1, 20</w:t>
      </w:r>
      <w:r>
        <w:t xml:space="preserve">07). Foi  o </w:t>
      </w:r>
      <w:r>
        <w:rPr>
          <w:spacing w:val="5"/>
        </w:rPr>
        <w:t xml:space="preserve">segundo acidente envolvendo </w:t>
      </w:r>
      <w:r>
        <w:t xml:space="preserve">a </w:t>
      </w:r>
      <w:r>
        <w:rPr>
          <w:spacing w:val="5"/>
        </w:rPr>
        <w:t xml:space="preserve">mesma barragem </w:t>
      </w:r>
      <w:r>
        <w:rPr>
          <w:spacing w:val="6"/>
        </w:rPr>
        <w:t xml:space="preserve">em </w:t>
      </w:r>
      <w:r>
        <w:rPr>
          <w:spacing w:val="3"/>
        </w:rPr>
        <w:t xml:space="preserve">menos </w:t>
      </w:r>
      <w:r>
        <w:rPr>
          <w:spacing w:val="1"/>
        </w:rPr>
        <w:t xml:space="preserve">de um </w:t>
      </w:r>
      <w:r>
        <w:rPr>
          <w:spacing w:val="2"/>
        </w:rPr>
        <w:t xml:space="preserve">ano. </w:t>
      </w:r>
      <w:r>
        <w:t xml:space="preserve">O </w:t>
      </w:r>
      <w:r>
        <w:rPr>
          <w:spacing w:val="3"/>
        </w:rPr>
        <w:t>primeiro rompimento aconteceu</w:t>
      </w:r>
      <w:r>
        <w:rPr>
          <w:spacing w:val="35"/>
        </w:rPr>
        <w:t xml:space="preserve"> </w:t>
      </w:r>
      <w:r>
        <w:rPr>
          <w:spacing w:val="5"/>
        </w:rPr>
        <w:t>em</w:t>
      </w:r>
    </w:p>
    <w:p w:rsidR="00D81F69" w:rsidRDefault="00D81F69">
      <w:pPr>
        <w:spacing w:line="270" w:lineRule="atLeast"/>
        <w:sectPr w:rsidR="00D81F69">
          <w:type w:val="continuous"/>
          <w:pgSz w:w="11900" w:h="16840"/>
          <w:pgMar w:top="720" w:right="500" w:bottom="280" w:left="620" w:header="720" w:footer="720" w:gutter="0"/>
          <w:cols w:num="3" w:space="720" w:equalWidth="0">
            <w:col w:w="1817" w:space="183"/>
            <w:col w:w="3150" w:space="285"/>
            <w:col w:w="5345"/>
          </w:cols>
        </w:sectPr>
      </w:pPr>
    </w:p>
    <w:p w:rsidR="00D81F69" w:rsidRDefault="00330118">
      <w:pPr>
        <w:pStyle w:val="Heading4"/>
        <w:spacing w:line="183" w:lineRule="exact"/>
        <w:jc w:val="left"/>
      </w:pPr>
      <w:r>
        <w:lastRenderedPageBreak/>
        <w:t>APRESENTAÇÃO DE CASO</w:t>
      </w:r>
    </w:p>
    <w:p w:rsidR="00D81F69" w:rsidRDefault="00330118">
      <w:pPr>
        <w:pStyle w:val="Corpodetexto"/>
        <w:spacing w:before="170" w:line="312" w:lineRule="auto"/>
        <w:ind w:right="38"/>
        <w:jc w:val="left"/>
      </w:pPr>
      <w:r>
        <w:rPr>
          <w:spacing w:val="1"/>
        </w:rPr>
        <w:t xml:space="preserve">Os </w:t>
      </w:r>
      <w:r>
        <w:rPr>
          <w:spacing w:val="3"/>
        </w:rPr>
        <w:t xml:space="preserve">municípios </w:t>
      </w:r>
      <w:r>
        <w:rPr>
          <w:spacing w:val="1"/>
        </w:rPr>
        <w:t xml:space="preserve">de </w:t>
      </w:r>
      <w:r>
        <w:rPr>
          <w:spacing w:val="3"/>
        </w:rPr>
        <w:t xml:space="preserve">Miraí </w:t>
      </w:r>
      <w:r>
        <w:t xml:space="preserve">- </w:t>
      </w:r>
      <w:r>
        <w:rPr>
          <w:spacing w:val="3"/>
        </w:rPr>
        <w:t xml:space="preserve">320,695 </w:t>
      </w:r>
      <w:r>
        <w:rPr>
          <w:spacing w:val="2"/>
        </w:rPr>
        <w:t xml:space="preserve">km²; </w:t>
      </w:r>
      <w:r>
        <w:rPr>
          <w:spacing w:val="3"/>
        </w:rPr>
        <w:t xml:space="preserve">13.808 habitantes </w:t>
      </w:r>
      <w:r>
        <w:t xml:space="preserve">- (IBGE, 2010a), Muriaé - 841, 692 </w:t>
      </w:r>
      <w:r>
        <w:t xml:space="preserve">km²; 100.765 habitantes - (IBGE, 2010b) e Patrocínio do Muriaé - 108, 245 km²; 5.287 habitantes- (IBGE, 2010c), na Zona da Mata mineira, Laje de </w:t>
      </w:r>
      <w:r>
        <w:rPr>
          <w:spacing w:val="3"/>
        </w:rPr>
        <w:t xml:space="preserve">Muriaé </w:t>
      </w:r>
      <w:r>
        <w:t xml:space="preserve">- </w:t>
      </w:r>
      <w:r>
        <w:rPr>
          <w:spacing w:val="3"/>
        </w:rPr>
        <w:t xml:space="preserve">249,974 </w:t>
      </w:r>
      <w:r>
        <w:rPr>
          <w:spacing w:val="2"/>
        </w:rPr>
        <w:t xml:space="preserve">km²; </w:t>
      </w:r>
      <w:r>
        <w:rPr>
          <w:spacing w:val="3"/>
        </w:rPr>
        <w:t xml:space="preserve">7.487 habitantes </w:t>
      </w:r>
      <w:r>
        <w:t xml:space="preserve">- </w:t>
      </w:r>
      <w:r>
        <w:rPr>
          <w:spacing w:val="3"/>
        </w:rPr>
        <w:t xml:space="preserve">(IBGE, 2010d), </w:t>
      </w:r>
      <w:r>
        <w:t>e Itaperuna - 1.105,341 km²; 95.841 habitantes - (IBGE,</w:t>
      </w:r>
      <w:r>
        <w:t xml:space="preserve"> 2010e), no Rio de Janeiro, foram os mais atingidos pelo rompimento  </w:t>
      </w:r>
      <w:r>
        <w:rPr>
          <w:spacing w:val="1"/>
        </w:rPr>
        <w:t xml:space="preserve">da </w:t>
      </w:r>
      <w:r>
        <w:rPr>
          <w:spacing w:val="3"/>
        </w:rPr>
        <w:t xml:space="preserve">barragem </w:t>
      </w:r>
      <w:r>
        <w:rPr>
          <w:spacing w:val="1"/>
        </w:rPr>
        <w:t xml:space="preserve">de </w:t>
      </w:r>
      <w:r>
        <w:rPr>
          <w:spacing w:val="3"/>
        </w:rPr>
        <w:t xml:space="preserve">rejeitos </w:t>
      </w:r>
      <w:r>
        <w:rPr>
          <w:spacing w:val="1"/>
        </w:rPr>
        <w:t xml:space="preserve">de </w:t>
      </w:r>
      <w:r>
        <w:rPr>
          <w:spacing w:val="3"/>
        </w:rPr>
        <w:t xml:space="preserve">lavras </w:t>
      </w:r>
      <w:r>
        <w:rPr>
          <w:spacing w:val="1"/>
        </w:rPr>
        <w:t xml:space="preserve">de </w:t>
      </w:r>
      <w:r>
        <w:rPr>
          <w:spacing w:val="3"/>
        </w:rPr>
        <w:t xml:space="preserve">bauxita </w:t>
      </w:r>
      <w:r>
        <w:rPr>
          <w:spacing w:val="1"/>
        </w:rPr>
        <w:t xml:space="preserve">da </w:t>
      </w:r>
      <w:r>
        <w:rPr>
          <w:spacing w:val="5"/>
        </w:rPr>
        <w:t xml:space="preserve">empresa </w:t>
      </w:r>
      <w:r>
        <w:t>Mineração Rio Pomba Cataguases, terceira maior produtora  de bauxita do Brasil. O acidente ocorreu em 10 de janeiro de 2007 (ACAYAB</w:t>
      </w:r>
      <w:r>
        <w:t>A, 2007; SÁ,</w:t>
      </w:r>
      <w:r>
        <w:rPr>
          <w:spacing w:val="30"/>
        </w:rPr>
        <w:t xml:space="preserve"> </w:t>
      </w:r>
      <w:r>
        <w:t>2007).</w:t>
      </w:r>
    </w:p>
    <w:p w:rsidR="00D81F69" w:rsidRDefault="00330118">
      <w:pPr>
        <w:pStyle w:val="Corpodetexto"/>
        <w:spacing w:before="140" w:line="312" w:lineRule="auto"/>
        <w:ind w:right="102"/>
      </w:pPr>
      <w:r>
        <w:t xml:space="preserve">A bauxita, minério de coloração avermelhada, é a principal fonte mundial de alumina, que é extraída para a produção de </w:t>
      </w:r>
      <w:hyperlink r:id="rId1054">
        <w:r>
          <w:t xml:space="preserve">alumínio </w:t>
        </w:r>
      </w:hyperlink>
      <w:r>
        <w:t xml:space="preserve">(SAMPAIO; NEVES, 2002). A bauxita extraída pela Rio Pomba era encaminhada para o município de Cataguases, a cerca de 30 km de Miraí, e servia como matéria prima, juntamente com o ácido sulfúrico, vindo de outra empresa da cidade de Juiz de Fora (MG), para </w:t>
      </w:r>
      <w:r>
        <w:t>a produção de cerca de 80% do sulfato de alumínio do Brasil (DNPM, 2007).</w:t>
      </w:r>
    </w:p>
    <w:p w:rsidR="00D81F69" w:rsidRDefault="00330118">
      <w:pPr>
        <w:pStyle w:val="Corpodetexto"/>
        <w:spacing w:before="138" w:line="312" w:lineRule="auto"/>
        <w:ind w:right="96"/>
      </w:pPr>
      <w:r>
        <w:t>A lavra da bauxita pode gerar uma série de impactos ambientais, como alteração do lençol freático, poluição sonora pela movimentação de máquinas, emissão de gases dos motores, geraçã</w:t>
      </w:r>
      <w:r>
        <w:t>o de estéril [material não mineralizado associado ao minério], geração de material particulado que pode poluir o ar e as drenagens do entorno, dentre outros (VILLAS-BOAS, 2001 e FIGUEIREDO, 2000 apud CHAVES, 2006).</w:t>
      </w:r>
    </w:p>
    <w:p w:rsidR="00D81F69" w:rsidRDefault="00330118">
      <w:pPr>
        <w:pStyle w:val="Corpodetexto"/>
        <w:spacing w:before="138" w:line="312" w:lineRule="auto"/>
        <w:ind w:right="97"/>
      </w:pPr>
      <w:r>
        <w:t>Já o seu beneficiamento, que utiliza soda</w:t>
      </w:r>
      <w:r>
        <w:t xml:space="preserve"> cáustica, gera rejeitos conhecidos como “lama vermelha”, bastante corrosivos e tóxicos (ALMEIDA, 2009), além de resíduos e poluentes atmosféricos (VILLAS-BOAS, 2001, FIGUEIREDO, 2000 apud CHAVES, 2006). Todos estes impactos podem ser minimizados, menos a </w:t>
      </w:r>
      <w:r>
        <w:t>geração de estéril e rejeito, que é inevitável. O estéril é colocado em depósitos chamados de “bota-fora”, ocupando extensas áreas do terreno ou voltando</w:t>
      </w:r>
    </w:p>
    <w:p w:rsidR="00D81F69" w:rsidRDefault="00330118">
      <w:pPr>
        <w:pStyle w:val="Corpodetexto"/>
        <w:spacing w:before="63"/>
      </w:pPr>
      <w:r>
        <w:br w:type="column"/>
      </w:r>
      <w:r>
        <w:lastRenderedPageBreak/>
        <w:t>março de 2006 (PESSOA, 2008).</w:t>
      </w:r>
    </w:p>
    <w:p w:rsidR="00D81F69" w:rsidRDefault="00D81F69">
      <w:pPr>
        <w:pStyle w:val="Corpodetexto"/>
        <w:spacing w:before="9"/>
        <w:ind w:left="0"/>
        <w:jc w:val="left"/>
        <w:rPr>
          <w:sz w:val="16"/>
        </w:rPr>
      </w:pPr>
    </w:p>
    <w:p w:rsidR="00D81F69" w:rsidRDefault="00330118">
      <w:pPr>
        <w:pStyle w:val="Corpodetexto"/>
        <w:spacing w:line="312" w:lineRule="auto"/>
        <w:ind w:right="187"/>
      </w:pPr>
      <w:r>
        <w:t>Antes disso, em 2003, outro grande desastre ambiental já havia atingido a Zona da Mata mineira, quando uma mancha tóxica formada por 1,4 bilhão de litros de lixívia [sobra industrial da produção de celulose] se espalhou por quase 100 km de rios. O acidente</w:t>
      </w:r>
      <w:r>
        <w:t xml:space="preserve"> teve uma grande repercussão nacional e deixou mais de 600 mil pessoas sem água, causando grandes estragos na região (BRAGA, 2011).</w:t>
      </w:r>
    </w:p>
    <w:p w:rsidR="00D81F69" w:rsidRDefault="00330118">
      <w:pPr>
        <w:pStyle w:val="Corpodetexto"/>
        <w:spacing w:before="137" w:line="312" w:lineRule="auto"/>
        <w:ind w:right="207"/>
      </w:pPr>
      <w:r>
        <w:t>Três anos depois, em 2006, o primeiro rompimento da barragem da mineradora Rio Pomba Cataguases provocou interrupção na capt</w:t>
      </w:r>
      <w:r>
        <w:t xml:space="preserve">ação de água no noroeste e no norte fluminenses. Na ocasião, cerca de 400 milhões de litros de lama de argila misturada com óxido de </w:t>
      </w:r>
      <w:hyperlink r:id="rId1055">
        <w:r>
          <w:t>ferro</w:t>
        </w:r>
      </w:hyperlink>
      <w:r>
        <w:t xml:space="preserve"> e sulfato de alumínio vazar</w:t>
      </w:r>
      <w:r>
        <w:t>am para o Rio Fubá, que deságua no Rio Muriaé, um dos afluentes do Paraíba do Sul (BALBI, 2007). A mancha de lama causou a morte de muitos peixes e inutilizou áreas agricultáveis e de pastagens (MASSOTE, 2007).</w:t>
      </w:r>
    </w:p>
    <w:p w:rsidR="00D81F69" w:rsidRDefault="00330118">
      <w:pPr>
        <w:pStyle w:val="Corpodetexto"/>
        <w:spacing w:before="138" w:line="312" w:lineRule="auto"/>
        <w:ind w:right="200"/>
      </w:pPr>
      <w:r>
        <w:rPr>
          <w:spacing w:val="2"/>
        </w:rPr>
        <w:t xml:space="preserve">No </w:t>
      </w:r>
      <w:r>
        <w:rPr>
          <w:spacing w:val="5"/>
        </w:rPr>
        <w:t xml:space="preserve">segundo acidente </w:t>
      </w:r>
      <w:r>
        <w:rPr>
          <w:spacing w:val="3"/>
        </w:rPr>
        <w:t xml:space="preserve">com </w:t>
      </w:r>
      <w:r>
        <w:t xml:space="preserve">a </w:t>
      </w:r>
      <w:r>
        <w:rPr>
          <w:spacing w:val="3"/>
        </w:rPr>
        <w:t xml:space="preserve">Rio </w:t>
      </w:r>
      <w:r>
        <w:rPr>
          <w:spacing w:val="5"/>
        </w:rPr>
        <w:t xml:space="preserve">Pomba, mais </w:t>
      </w:r>
      <w:r>
        <w:rPr>
          <w:spacing w:val="2"/>
        </w:rPr>
        <w:t xml:space="preserve">de </w:t>
      </w:r>
      <w:r>
        <w:t xml:space="preserve">6 </w:t>
      </w:r>
      <w:r>
        <w:rPr>
          <w:spacing w:val="6"/>
        </w:rPr>
        <w:t xml:space="preserve">mil </w:t>
      </w:r>
      <w:r>
        <w:rPr>
          <w:spacing w:val="5"/>
        </w:rPr>
        <w:t xml:space="preserve">moradores </w:t>
      </w:r>
      <w:r>
        <w:rPr>
          <w:spacing w:val="3"/>
        </w:rPr>
        <w:t xml:space="preserve">das </w:t>
      </w:r>
      <w:r>
        <w:rPr>
          <w:spacing w:val="5"/>
        </w:rPr>
        <w:t xml:space="preserve">cidades </w:t>
      </w:r>
      <w:r>
        <w:rPr>
          <w:spacing w:val="2"/>
        </w:rPr>
        <w:t xml:space="preserve">de </w:t>
      </w:r>
      <w:r>
        <w:rPr>
          <w:spacing w:val="3"/>
        </w:rPr>
        <w:t xml:space="preserve">Miraí </w:t>
      </w:r>
      <w:r>
        <w:t xml:space="preserve">e </w:t>
      </w:r>
      <w:r>
        <w:rPr>
          <w:spacing w:val="5"/>
        </w:rPr>
        <w:t xml:space="preserve">Patrocínio </w:t>
      </w:r>
      <w:r>
        <w:rPr>
          <w:spacing w:val="2"/>
        </w:rPr>
        <w:t xml:space="preserve">do </w:t>
      </w:r>
      <w:r>
        <w:rPr>
          <w:spacing w:val="5"/>
        </w:rPr>
        <w:t xml:space="preserve">Muriaé </w:t>
      </w:r>
      <w:r>
        <w:t xml:space="preserve">ficaram desalojados. Em Muriaé, a lama atingiu 1.200 casas </w:t>
      </w:r>
      <w:r>
        <w:rPr>
          <w:spacing w:val="2"/>
        </w:rPr>
        <w:t xml:space="preserve">(G1, </w:t>
      </w:r>
      <w:r>
        <w:rPr>
          <w:spacing w:val="3"/>
        </w:rPr>
        <w:t xml:space="preserve">2007). </w:t>
      </w:r>
      <w:r>
        <w:rPr>
          <w:spacing w:val="1"/>
        </w:rPr>
        <w:t xml:space="preserve">Em </w:t>
      </w:r>
      <w:r>
        <w:rPr>
          <w:spacing w:val="3"/>
        </w:rPr>
        <w:t xml:space="preserve">função </w:t>
      </w:r>
      <w:r>
        <w:rPr>
          <w:spacing w:val="1"/>
        </w:rPr>
        <w:t xml:space="preserve">de </w:t>
      </w:r>
      <w:r>
        <w:rPr>
          <w:spacing w:val="2"/>
        </w:rPr>
        <w:t xml:space="preserve">sua </w:t>
      </w:r>
      <w:r>
        <w:rPr>
          <w:spacing w:val="3"/>
        </w:rPr>
        <w:t xml:space="preserve">proximidade </w:t>
      </w:r>
      <w:r>
        <w:rPr>
          <w:spacing w:val="2"/>
        </w:rPr>
        <w:t xml:space="preserve">com </w:t>
      </w:r>
      <w:r>
        <w:rPr>
          <w:spacing w:val="3"/>
        </w:rPr>
        <w:t xml:space="preserve">Miraí, </w:t>
      </w:r>
      <w:r>
        <w:t xml:space="preserve">o município fluminense de Laje do Muriaé também foi um dos </w:t>
      </w:r>
      <w:r>
        <w:rPr>
          <w:spacing w:val="3"/>
        </w:rPr>
        <w:t xml:space="preserve">mais </w:t>
      </w:r>
      <w:r>
        <w:rPr>
          <w:spacing w:val="5"/>
        </w:rPr>
        <w:t xml:space="preserve">atingidos </w:t>
      </w:r>
      <w:r>
        <w:rPr>
          <w:spacing w:val="3"/>
        </w:rPr>
        <w:t xml:space="preserve">nos dois </w:t>
      </w:r>
      <w:r>
        <w:rPr>
          <w:spacing w:val="5"/>
        </w:rPr>
        <w:t>ac</w:t>
      </w:r>
      <w:r>
        <w:rPr>
          <w:spacing w:val="5"/>
        </w:rPr>
        <w:t xml:space="preserve">identes. Devido </w:t>
      </w:r>
      <w:r>
        <w:t xml:space="preserve">à </w:t>
      </w:r>
      <w:r>
        <w:rPr>
          <w:spacing w:val="5"/>
        </w:rPr>
        <w:t xml:space="preserve">situação de </w:t>
      </w:r>
      <w:r>
        <w:rPr>
          <w:spacing w:val="1"/>
        </w:rPr>
        <w:t xml:space="preserve">calamidade pública </w:t>
      </w:r>
      <w:r>
        <w:t xml:space="preserve">que se </w:t>
      </w:r>
      <w:r>
        <w:rPr>
          <w:spacing w:val="1"/>
        </w:rPr>
        <w:t xml:space="preserve">estabeleceu </w:t>
      </w:r>
      <w:r>
        <w:t xml:space="preserve">com a </w:t>
      </w:r>
      <w:r>
        <w:rPr>
          <w:spacing w:val="1"/>
        </w:rPr>
        <w:t xml:space="preserve">chegada </w:t>
      </w:r>
      <w:r>
        <w:rPr>
          <w:spacing w:val="2"/>
        </w:rPr>
        <w:t xml:space="preserve">da </w:t>
      </w:r>
      <w:r>
        <w:rPr>
          <w:spacing w:val="5"/>
        </w:rPr>
        <w:t xml:space="preserve">mancha </w:t>
      </w:r>
      <w:r>
        <w:rPr>
          <w:spacing w:val="2"/>
        </w:rPr>
        <w:t xml:space="preserve">de </w:t>
      </w:r>
      <w:r>
        <w:rPr>
          <w:spacing w:val="5"/>
        </w:rPr>
        <w:t xml:space="preserve">sedimentos </w:t>
      </w:r>
      <w:r>
        <w:rPr>
          <w:spacing w:val="2"/>
        </w:rPr>
        <w:t xml:space="preserve">na </w:t>
      </w:r>
      <w:r>
        <w:rPr>
          <w:spacing w:val="5"/>
        </w:rPr>
        <w:t xml:space="preserve">área urbana </w:t>
      </w:r>
      <w:r>
        <w:rPr>
          <w:spacing w:val="2"/>
        </w:rPr>
        <w:t xml:space="preserve">do </w:t>
      </w:r>
      <w:r>
        <w:rPr>
          <w:spacing w:val="5"/>
        </w:rPr>
        <w:t xml:space="preserve">município, </w:t>
      </w:r>
      <w:r>
        <w:t xml:space="preserve">a </w:t>
      </w:r>
      <w:r>
        <w:rPr>
          <w:spacing w:val="12"/>
        </w:rPr>
        <w:t xml:space="preserve">Prefeitura </w:t>
      </w:r>
      <w:r>
        <w:rPr>
          <w:spacing w:val="6"/>
        </w:rPr>
        <w:t xml:space="preserve">de </w:t>
      </w:r>
      <w:r>
        <w:rPr>
          <w:spacing w:val="10"/>
        </w:rPr>
        <w:t xml:space="preserve">Laje </w:t>
      </w:r>
      <w:r>
        <w:rPr>
          <w:spacing w:val="6"/>
        </w:rPr>
        <w:t xml:space="preserve">do </w:t>
      </w:r>
      <w:r>
        <w:rPr>
          <w:spacing w:val="11"/>
        </w:rPr>
        <w:t xml:space="preserve">Muriaé </w:t>
      </w:r>
      <w:r>
        <w:rPr>
          <w:spacing w:val="12"/>
        </w:rPr>
        <w:t xml:space="preserve">decretou </w:t>
      </w:r>
      <w:r>
        <w:rPr>
          <w:spacing w:val="11"/>
        </w:rPr>
        <w:t xml:space="preserve">“estado </w:t>
      </w:r>
      <w:r>
        <w:rPr>
          <w:spacing w:val="6"/>
        </w:rPr>
        <w:t xml:space="preserve">de </w:t>
      </w:r>
      <w:r>
        <w:t>emergência”. Além da falta de água potável, o acidente teve outros efe</w:t>
      </w:r>
      <w:r>
        <w:t xml:space="preserve">itos imediatos: a deposição de argila no leito </w:t>
      </w:r>
      <w:r>
        <w:rPr>
          <w:spacing w:val="1"/>
        </w:rPr>
        <w:t xml:space="preserve">dos </w:t>
      </w:r>
      <w:r>
        <w:t>rios contribuiu para intensificar o processo de assoreamento dos cursos d´água, favorecendo a ocorrência de inundações (SÁ,</w:t>
      </w:r>
      <w:r>
        <w:rPr>
          <w:spacing w:val="8"/>
        </w:rPr>
        <w:t xml:space="preserve"> </w:t>
      </w:r>
      <w:r>
        <w:t>2007).</w:t>
      </w:r>
    </w:p>
    <w:p w:rsidR="00D81F69" w:rsidRDefault="00330118">
      <w:pPr>
        <w:pStyle w:val="Corpodetexto"/>
        <w:spacing w:before="80" w:line="270" w:lineRule="atLeast"/>
        <w:ind w:right="214"/>
      </w:pPr>
      <w:r>
        <w:t xml:space="preserve">Em Miraí, postos de gasolina, lojas, supermercados, casas e igrejas ficaram fechados por causa da sujeira. Uma policlínica foi invadida pelo barro e parte dos medicamentos distribuídos gratuitamente à população foi perdida. Devido aos riscos de doenças, a </w:t>
      </w:r>
      <w:r>
        <w:t>prefeitura da cidade resolveu vacinar em massa a população contra hepatite A e tétano (GIUDICE, 2007).</w:t>
      </w:r>
    </w:p>
    <w:p w:rsidR="00D81F69" w:rsidRDefault="00D81F69">
      <w:pPr>
        <w:spacing w:line="270" w:lineRule="atLeast"/>
        <w:sectPr w:rsidR="00D81F69">
          <w:type w:val="continuous"/>
          <w:pgSz w:w="11900" w:h="16840"/>
          <w:pgMar w:top="720" w:right="500" w:bottom="280" w:left="620" w:header="720" w:footer="720" w:gutter="0"/>
          <w:cols w:num="2" w:space="720" w:equalWidth="0">
            <w:col w:w="5212" w:space="258"/>
            <w:col w:w="5310"/>
          </w:cols>
        </w:sectPr>
      </w:pPr>
    </w:p>
    <w:p w:rsidR="00D81F69" w:rsidRDefault="00D81F69">
      <w:pPr>
        <w:pStyle w:val="Corpodetexto"/>
        <w:spacing w:before="5"/>
        <w:ind w:left="0"/>
        <w:jc w:val="left"/>
        <w:rPr>
          <w:sz w:val="24"/>
        </w:rPr>
      </w:pPr>
    </w:p>
    <w:p w:rsidR="00D81F69" w:rsidRDefault="00330118">
      <w:pPr>
        <w:pStyle w:val="Corpodetexto"/>
        <w:spacing w:line="312" w:lineRule="auto"/>
        <w:ind w:right="40"/>
      </w:pPr>
      <w:r>
        <w:t>Segundo informações do Instituto Mineiro de Gestão das Águas (Igam), a lama que atingiu os municípios era formada por água co</w:t>
      </w:r>
      <w:r>
        <w:t>m grande quantidade de argila, não contendo material tóxico (FEAM, 2007). De qualquer forma, a Companhia Estadual de Águas e Esgotos (Cedae) do Rio de Janeiro entrou na Justiça com ação indenizatória de perdas e danos contra o grupo controlador da Minerado</w:t>
      </w:r>
      <w:r>
        <w:t>ra Rio Pomba Cataguases (GANDRA, 2007), alegando que o acidente lhe causou danos financeiros e gastos com o envio de pessoal para controlar a situação da água imprópria para consumo. Segundo a extinta Fundação Estadual de Engenharia do Meio Ambiente (Feema</w:t>
      </w:r>
      <w:r>
        <w:t>), apesar de não ter sido comprovada toxidade, a água se apresentava muito densa, o que impossibilitava o seu tratamento (ÚLTIMO SEGUNDO, 2007).</w:t>
      </w:r>
    </w:p>
    <w:p w:rsidR="00D81F69" w:rsidRDefault="00330118">
      <w:pPr>
        <w:pStyle w:val="Corpodetexto"/>
        <w:spacing w:before="143" w:line="312" w:lineRule="auto"/>
        <w:ind w:right="38"/>
      </w:pPr>
      <w:r>
        <w:t>Em vistoria no local, técnicos do Departamento Nacional de Produção Mineral (DNPM) constataram que a barragem d</w:t>
      </w:r>
      <w:r>
        <w:t xml:space="preserve">e rejeito media aproximadamente 35 m de altura e que cerca de 70% do material antes retido acabara vazando. O percentual do material que havia sobrado poderia também transbordar caso a chuva continuasse forte. Os técnicos registraram, ainda, que a empresa </w:t>
      </w:r>
      <w:r>
        <w:t>e a Defesa Civil estavam erguendo uma barreira de contenção da lama vermelha remanescente no barramento. Diante do flagrante de acidente ambiental e poluição das águas, os técnicos do DNPM ordenaram a paralisação imediata das atividades de mineração da emp</w:t>
      </w:r>
      <w:r>
        <w:t>resa (DNPM, 2007).</w:t>
      </w:r>
    </w:p>
    <w:p w:rsidR="00D81F69" w:rsidRDefault="00330118">
      <w:pPr>
        <w:pStyle w:val="Corpodetexto"/>
        <w:spacing w:before="141" w:line="312" w:lineRule="auto"/>
        <w:ind w:right="43"/>
      </w:pPr>
      <w:r>
        <w:t>Em relatório da Fundação Estadual do Meio Ambiente (Feam), divulgado em março de 2007, a mineradora foi responsabilizada pelo acidente, já que sua causa foi uma falha na estrutura da barragem não corrigida pela Rio Pomba. O documento apo</w:t>
      </w:r>
      <w:r>
        <w:t>nta a ocorrência de um desnível na parte superior da barragem, onde existia uma escada de acesso ao local. Também foi notado que o vertedouro [dispositivo que serve para escoar o excesso de água que chega ao reservatório durante o período de chuvas] de eme</w:t>
      </w:r>
      <w:r>
        <w:t>rgência, à direita da barragem, não contava com o revestimento adequado à passagem do fluxo de água. Eis a razão de a barragem não ter resistido às chuvas intensas da época (PESSOA, 2008).</w:t>
      </w:r>
    </w:p>
    <w:p w:rsidR="00D81F69" w:rsidRDefault="00330118">
      <w:pPr>
        <w:pStyle w:val="Corpodetexto"/>
        <w:spacing w:before="142" w:line="312" w:lineRule="auto"/>
        <w:ind w:right="46"/>
      </w:pPr>
      <w:r>
        <w:rPr>
          <w:spacing w:val="1"/>
        </w:rPr>
        <w:t xml:space="preserve">Um </w:t>
      </w:r>
      <w:r>
        <w:rPr>
          <w:spacing w:val="3"/>
        </w:rPr>
        <w:t xml:space="preserve">Termo </w:t>
      </w:r>
      <w:r>
        <w:rPr>
          <w:spacing w:val="1"/>
        </w:rPr>
        <w:t xml:space="preserve">de </w:t>
      </w:r>
      <w:r>
        <w:rPr>
          <w:spacing w:val="3"/>
        </w:rPr>
        <w:t xml:space="preserve">Ajustamento </w:t>
      </w:r>
      <w:r>
        <w:rPr>
          <w:spacing w:val="1"/>
        </w:rPr>
        <w:t xml:space="preserve">de </w:t>
      </w:r>
      <w:r>
        <w:rPr>
          <w:spacing w:val="3"/>
        </w:rPr>
        <w:t xml:space="preserve">Conduta (TAC) </w:t>
      </w:r>
      <w:r>
        <w:rPr>
          <w:spacing w:val="2"/>
        </w:rPr>
        <w:t xml:space="preserve">foi </w:t>
      </w:r>
      <w:r>
        <w:rPr>
          <w:spacing w:val="5"/>
        </w:rPr>
        <w:t xml:space="preserve">firmado </w:t>
      </w:r>
      <w:r>
        <w:t>pelos Ministér</w:t>
      </w:r>
      <w:r>
        <w:t xml:space="preserve">ios Públicos Federal e dos estados do Rio de </w:t>
      </w:r>
      <w:r>
        <w:rPr>
          <w:spacing w:val="7"/>
        </w:rPr>
        <w:t xml:space="preserve">Janeiro </w:t>
      </w:r>
      <w:r>
        <w:t xml:space="preserve">e </w:t>
      </w:r>
      <w:r>
        <w:rPr>
          <w:spacing w:val="5"/>
        </w:rPr>
        <w:t xml:space="preserve">de </w:t>
      </w:r>
      <w:r>
        <w:rPr>
          <w:spacing w:val="7"/>
        </w:rPr>
        <w:t xml:space="preserve">Minas Gerais, </w:t>
      </w:r>
      <w:r>
        <w:t xml:space="preserve">a </w:t>
      </w:r>
      <w:r>
        <w:rPr>
          <w:spacing w:val="8"/>
        </w:rPr>
        <w:t xml:space="preserve">Mineradora </w:t>
      </w:r>
      <w:r>
        <w:rPr>
          <w:spacing w:val="5"/>
        </w:rPr>
        <w:t xml:space="preserve">Rio </w:t>
      </w:r>
      <w:r>
        <w:rPr>
          <w:spacing w:val="10"/>
        </w:rPr>
        <w:t xml:space="preserve">Pomba </w:t>
      </w:r>
      <w:r>
        <w:t xml:space="preserve">Cataguases e os órgãos ambientais mineiros. Ficou acordado que seriam adotadas medidas emergenciais para minimizar  </w:t>
      </w:r>
      <w:r>
        <w:rPr>
          <w:spacing w:val="3"/>
        </w:rPr>
        <w:t xml:space="preserve">os </w:t>
      </w:r>
      <w:r>
        <w:rPr>
          <w:spacing w:val="5"/>
        </w:rPr>
        <w:t xml:space="preserve">danos </w:t>
      </w:r>
      <w:r>
        <w:t xml:space="preserve">e </w:t>
      </w:r>
      <w:r>
        <w:rPr>
          <w:spacing w:val="3"/>
        </w:rPr>
        <w:t xml:space="preserve">os </w:t>
      </w:r>
      <w:r>
        <w:rPr>
          <w:spacing w:val="5"/>
        </w:rPr>
        <w:t xml:space="preserve">riscos </w:t>
      </w:r>
      <w:r>
        <w:t xml:space="preserve">à </w:t>
      </w:r>
      <w:r>
        <w:rPr>
          <w:spacing w:val="6"/>
        </w:rPr>
        <w:t xml:space="preserve">população </w:t>
      </w:r>
      <w:r>
        <w:t xml:space="preserve">e </w:t>
      </w:r>
      <w:r>
        <w:rPr>
          <w:spacing w:val="3"/>
        </w:rPr>
        <w:t xml:space="preserve">ao </w:t>
      </w:r>
      <w:r>
        <w:rPr>
          <w:spacing w:val="5"/>
        </w:rPr>
        <w:t xml:space="preserve">meio </w:t>
      </w:r>
      <w:r>
        <w:rPr>
          <w:spacing w:val="7"/>
        </w:rPr>
        <w:t>am</w:t>
      </w:r>
      <w:r>
        <w:rPr>
          <w:spacing w:val="7"/>
        </w:rPr>
        <w:t xml:space="preserve">biente </w:t>
      </w:r>
      <w:r>
        <w:rPr>
          <w:spacing w:val="12"/>
        </w:rPr>
        <w:t xml:space="preserve">decorrentes </w:t>
      </w:r>
      <w:r>
        <w:rPr>
          <w:spacing w:val="6"/>
        </w:rPr>
        <w:t xml:space="preserve">do </w:t>
      </w:r>
      <w:r>
        <w:rPr>
          <w:spacing w:val="12"/>
        </w:rPr>
        <w:t xml:space="preserve">rompimento </w:t>
      </w:r>
      <w:r>
        <w:rPr>
          <w:spacing w:val="6"/>
        </w:rPr>
        <w:t xml:space="preserve">da </w:t>
      </w:r>
      <w:r>
        <w:rPr>
          <w:spacing w:val="12"/>
        </w:rPr>
        <w:t xml:space="preserve">barragem. </w:t>
      </w:r>
      <w:r>
        <w:rPr>
          <w:spacing w:val="6"/>
        </w:rPr>
        <w:t xml:space="preserve">Um </w:t>
      </w:r>
      <w:r>
        <w:rPr>
          <w:spacing w:val="10"/>
        </w:rPr>
        <w:t xml:space="preserve">dos </w:t>
      </w:r>
      <w:r>
        <w:t>compromissos assumidos foi o encerramento da exploração de bauxita naquela fazenda dentro de um período de 180 dias (MPF, 2007).</w:t>
      </w:r>
    </w:p>
    <w:p w:rsidR="00D81F69" w:rsidRDefault="00330118">
      <w:pPr>
        <w:pStyle w:val="Corpodetexto"/>
        <w:spacing w:before="76" w:line="270" w:lineRule="atLeast"/>
        <w:ind w:right="54"/>
      </w:pPr>
      <w:r>
        <w:t>A Rio Pomba também se comprometeu a instalar uma representação em cada mun</w:t>
      </w:r>
      <w:r>
        <w:t>icípio atingido, no intuito de ressarcir os danos materiais e morais impostos às vítimas do desastre. A empresa ainda foi obrigada a identificar possíveis áreas de risco de deslizamentos surgidas após a onda de</w:t>
      </w:r>
    </w:p>
    <w:p w:rsidR="00D81F69" w:rsidRDefault="00330118">
      <w:pPr>
        <w:pStyle w:val="Corpodetexto"/>
        <w:spacing w:before="81" w:line="312" w:lineRule="auto"/>
        <w:ind w:right="189"/>
      </w:pPr>
      <w:r>
        <w:br w:type="column"/>
      </w:r>
      <w:r>
        <w:lastRenderedPageBreak/>
        <w:t xml:space="preserve">lama causada pelo vazamento. Foi exigido da empresa, ainda, que entregasse um diagnóstico e um plano de recuperação, cabendo-lhe monitorar diariamente, por 90 dias, a qualidade da água e analisar semanalmente os elementos tóxicos liberados pelo vazamento. </w:t>
      </w:r>
      <w:r>
        <w:t>O termo foi assinado para garantir a segurança da população local em curto prazo. Como garantia de cumprimento das obrigações previstas, a mineradora teve que depositar R$ 2 milhões como caução numa conta judicial aberta para esse fim (MPF, 2007).</w:t>
      </w:r>
    </w:p>
    <w:p w:rsidR="00D81F69" w:rsidRDefault="00330118">
      <w:pPr>
        <w:pStyle w:val="Corpodetexto"/>
        <w:spacing w:before="138" w:line="312" w:lineRule="auto"/>
        <w:ind w:right="215"/>
      </w:pPr>
      <w:r>
        <w:t>A empres</w:t>
      </w:r>
      <w:r>
        <w:t>a propôs R$ 5 mil de indenização aos moradores da cidade, mas a proposta foi recusada (MAPA DA INUJSTIÇA AMBIENTAL E SAÚDE NO BRASIL, 2009). A mineradora foi</w:t>
      </w:r>
    </w:p>
    <w:p w:rsidR="00D81F69" w:rsidRDefault="00330118">
      <w:pPr>
        <w:pStyle w:val="Corpodetexto"/>
        <w:spacing w:before="3" w:line="312" w:lineRule="auto"/>
        <w:ind w:right="193"/>
      </w:pPr>
      <w:r>
        <w:rPr>
          <w:spacing w:val="1"/>
        </w:rPr>
        <w:t xml:space="preserve">interditada </w:t>
      </w:r>
      <w:r>
        <w:t xml:space="preserve">no dia 12 de </w:t>
      </w:r>
      <w:r>
        <w:rPr>
          <w:spacing w:val="1"/>
        </w:rPr>
        <w:t xml:space="preserve">janeiro </w:t>
      </w:r>
      <w:r>
        <w:t xml:space="preserve">de </w:t>
      </w:r>
      <w:r>
        <w:rPr>
          <w:spacing w:val="1"/>
        </w:rPr>
        <w:t xml:space="preserve">2007 (G1, 2007) </w:t>
      </w:r>
      <w:r>
        <w:t xml:space="preserve">e </w:t>
      </w:r>
      <w:r>
        <w:rPr>
          <w:spacing w:val="2"/>
        </w:rPr>
        <w:t xml:space="preserve">uma </w:t>
      </w:r>
      <w:r>
        <w:t>nova multa lhe foi aplicada, desta vez n</w:t>
      </w:r>
      <w:r>
        <w:t>um valor bem acima da primeira: R$ 75 milhões. O novo valor, mil vezes maior do que o fixado pela legislação anterior, foi aplicado em função da regulamentação pelo governo de Minas Gerais, em junho de 2006, da Lei 15.972, a qual estabelece que, em acident</w:t>
      </w:r>
      <w:r>
        <w:t xml:space="preserve">es </w:t>
      </w:r>
      <w:r>
        <w:rPr>
          <w:spacing w:val="5"/>
        </w:rPr>
        <w:t xml:space="preserve">de </w:t>
      </w:r>
      <w:r>
        <w:rPr>
          <w:spacing w:val="7"/>
        </w:rPr>
        <w:t xml:space="preserve">grandes </w:t>
      </w:r>
      <w:r>
        <w:rPr>
          <w:spacing w:val="8"/>
        </w:rPr>
        <w:t xml:space="preserve">proporções, </w:t>
      </w:r>
      <w:r>
        <w:rPr>
          <w:spacing w:val="6"/>
        </w:rPr>
        <w:t xml:space="preserve">como </w:t>
      </w:r>
      <w:r>
        <w:t xml:space="preserve">o </w:t>
      </w:r>
      <w:r>
        <w:rPr>
          <w:spacing w:val="7"/>
        </w:rPr>
        <w:t xml:space="preserve">ocorrido </w:t>
      </w:r>
      <w:r>
        <w:rPr>
          <w:spacing w:val="5"/>
        </w:rPr>
        <w:t xml:space="preserve">em </w:t>
      </w:r>
      <w:r>
        <w:rPr>
          <w:spacing w:val="7"/>
        </w:rPr>
        <w:t xml:space="preserve">Miraí, </w:t>
      </w:r>
      <w:r>
        <w:rPr>
          <w:spacing w:val="10"/>
        </w:rPr>
        <w:t xml:space="preserve">as </w:t>
      </w:r>
      <w:r>
        <w:rPr>
          <w:spacing w:val="1"/>
        </w:rPr>
        <w:t xml:space="preserve">despesas </w:t>
      </w:r>
      <w:r>
        <w:t xml:space="preserve">por </w:t>
      </w:r>
      <w:r>
        <w:rPr>
          <w:spacing w:val="1"/>
        </w:rPr>
        <w:t xml:space="preserve">parte </w:t>
      </w:r>
      <w:r>
        <w:t xml:space="preserve">do </w:t>
      </w:r>
      <w:r>
        <w:rPr>
          <w:spacing w:val="1"/>
        </w:rPr>
        <w:t xml:space="preserve">poder público sejam ressarcidas </w:t>
      </w:r>
      <w:r>
        <w:rPr>
          <w:spacing w:val="2"/>
        </w:rPr>
        <w:t xml:space="preserve">ao </w:t>
      </w:r>
      <w:r>
        <w:t xml:space="preserve">estado pela empresa infratora (ÚLTIMO SEGUNDO, </w:t>
      </w:r>
      <w:r>
        <w:rPr>
          <w:spacing w:val="1"/>
        </w:rPr>
        <w:t xml:space="preserve">2007). </w:t>
      </w:r>
      <w:r>
        <w:rPr>
          <w:spacing w:val="7"/>
        </w:rPr>
        <w:t xml:space="preserve">De </w:t>
      </w:r>
      <w:r>
        <w:rPr>
          <w:spacing w:val="12"/>
        </w:rPr>
        <w:t xml:space="preserve">acordo </w:t>
      </w:r>
      <w:r>
        <w:rPr>
          <w:spacing w:val="10"/>
        </w:rPr>
        <w:t xml:space="preserve">com </w:t>
      </w:r>
      <w:r>
        <w:t xml:space="preserve">a </w:t>
      </w:r>
      <w:r>
        <w:rPr>
          <w:spacing w:val="13"/>
        </w:rPr>
        <w:t xml:space="preserve">Secretaria </w:t>
      </w:r>
      <w:r>
        <w:rPr>
          <w:spacing w:val="7"/>
        </w:rPr>
        <w:t xml:space="preserve">de </w:t>
      </w:r>
      <w:r>
        <w:rPr>
          <w:spacing w:val="11"/>
        </w:rPr>
        <w:t xml:space="preserve">Meio </w:t>
      </w:r>
      <w:r>
        <w:rPr>
          <w:spacing w:val="13"/>
        </w:rPr>
        <w:t xml:space="preserve">Ambiente </w:t>
      </w:r>
      <w:r>
        <w:t xml:space="preserve">e Desenvolvimento Sustentável de Minas, o valor da multa era </w:t>
      </w:r>
      <w:r>
        <w:rPr>
          <w:spacing w:val="7"/>
        </w:rPr>
        <w:t xml:space="preserve">cabível porque, dentre outros fatores, </w:t>
      </w:r>
      <w:r>
        <w:t xml:space="preserve">a </w:t>
      </w:r>
      <w:r>
        <w:rPr>
          <w:spacing w:val="7"/>
        </w:rPr>
        <w:t xml:space="preserve">empresa </w:t>
      </w:r>
      <w:r>
        <w:rPr>
          <w:spacing w:val="10"/>
        </w:rPr>
        <w:t xml:space="preserve">era </w:t>
      </w:r>
      <w:r>
        <w:rPr>
          <w:spacing w:val="8"/>
        </w:rPr>
        <w:t xml:space="preserve">reincidente </w:t>
      </w:r>
      <w:r>
        <w:rPr>
          <w:spacing w:val="7"/>
        </w:rPr>
        <w:t>(BALBI,</w:t>
      </w:r>
      <w:r>
        <w:rPr>
          <w:spacing w:val="35"/>
        </w:rPr>
        <w:t xml:space="preserve"> </w:t>
      </w:r>
      <w:r>
        <w:rPr>
          <w:spacing w:val="10"/>
        </w:rPr>
        <w:t>2007).</w:t>
      </w:r>
    </w:p>
    <w:p w:rsidR="00D81F69" w:rsidRDefault="00330118">
      <w:pPr>
        <w:pStyle w:val="Corpodetexto"/>
        <w:spacing w:before="142" w:line="312" w:lineRule="auto"/>
        <w:ind w:right="194"/>
      </w:pPr>
      <w:r>
        <w:t>Em junho de 2007, o Conselho Estadual de Política Ambiental (Copam) consentiu em suspender o embargo à Rio Pomba Ca</w:t>
      </w:r>
      <w:r>
        <w:t>taguases e deu o seu aval para a construção de uma nova barragem, usada para extrair e lavar bauxita, no mesmo curso d’água da represa que havia rompido naquele ano. A população ficou profundamente descontente com a decisão, principalmente por ainda não ha</w:t>
      </w:r>
      <w:r>
        <w:t xml:space="preserve">ver recebido qualquer indenização pelo acidente (MAPA DA INJUSTIÇA AMBIENTAL E SAÚDE NO BRASIL, 2009). </w:t>
      </w:r>
    </w:p>
    <w:p w:rsidR="00D81F69" w:rsidRDefault="00330118">
      <w:pPr>
        <w:pStyle w:val="Corpodetexto"/>
        <w:spacing w:before="138" w:line="312" w:lineRule="auto"/>
        <w:ind w:right="194"/>
      </w:pPr>
      <w:r>
        <w:t>Até março de 2011, a maior multa já estipulada pelo governo de Minas na área ambiental ainda não havia sido paga. A empresa entrou com recurso, e o proc</w:t>
      </w:r>
      <w:r>
        <w:t>esso está em análise, desde então, na Câmara Normativa Recursal do Conselho Estadual de Política Ambiental do Copam (ANDRADE, 2010; BRAGA, 2011).</w:t>
      </w:r>
    </w:p>
    <w:p w:rsidR="00D81F69" w:rsidRDefault="00330118">
      <w:pPr>
        <w:pStyle w:val="Corpodetexto"/>
        <w:spacing w:before="136" w:line="312" w:lineRule="auto"/>
        <w:ind w:right="204"/>
      </w:pPr>
      <w:r>
        <w:rPr>
          <w:spacing w:val="1"/>
        </w:rPr>
        <w:t xml:space="preserve">Em </w:t>
      </w:r>
      <w:r>
        <w:rPr>
          <w:spacing w:val="3"/>
        </w:rPr>
        <w:t xml:space="preserve">agosto </w:t>
      </w:r>
      <w:r>
        <w:rPr>
          <w:spacing w:val="1"/>
        </w:rPr>
        <w:t xml:space="preserve">de </w:t>
      </w:r>
      <w:r>
        <w:rPr>
          <w:spacing w:val="3"/>
        </w:rPr>
        <w:t xml:space="preserve">2011, representantes </w:t>
      </w:r>
      <w:r>
        <w:rPr>
          <w:spacing w:val="1"/>
        </w:rPr>
        <w:t xml:space="preserve">do </w:t>
      </w:r>
      <w:r>
        <w:rPr>
          <w:spacing w:val="3"/>
        </w:rPr>
        <w:t xml:space="preserve">poder público </w:t>
      </w:r>
      <w:r>
        <w:rPr>
          <w:spacing w:val="5"/>
        </w:rPr>
        <w:t xml:space="preserve">de </w:t>
      </w:r>
      <w:r>
        <w:rPr>
          <w:spacing w:val="3"/>
        </w:rPr>
        <w:t xml:space="preserve">Minas </w:t>
      </w:r>
      <w:r>
        <w:t xml:space="preserve">e </w:t>
      </w:r>
      <w:r>
        <w:rPr>
          <w:spacing w:val="2"/>
        </w:rPr>
        <w:t xml:space="preserve">da </w:t>
      </w:r>
      <w:r>
        <w:rPr>
          <w:spacing w:val="3"/>
        </w:rPr>
        <w:t xml:space="preserve">Rio Pomba </w:t>
      </w:r>
      <w:r>
        <w:rPr>
          <w:spacing w:val="5"/>
        </w:rPr>
        <w:t xml:space="preserve">Cataguases </w:t>
      </w:r>
      <w:r>
        <w:rPr>
          <w:spacing w:val="3"/>
        </w:rPr>
        <w:t xml:space="preserve">Ltda. </w:t>
      </w:r>
      <w:r>
        <w:rPr>
          <w:spacing w:val="5"/>
        </w:rPr>
        <w:t xml:space="preserve">começaram </w:t>
      </w:r>
      <w:r>
        <w:t>a discut</w:t>
      </w:r>
      <w:r>
        <w:t xml:space="preserve">ir os termos para o fechamento da mina da Rio Pomba em Cataguases. A empresa já redigiu o Plano de Fechamento </w:t>
      </w:r>
      <w:r>
        <w:rPr>
          <w:spacing w:val="5"/>
        </w:rPr>
        <w:t xml:space="preserve">de </w:t>
      </w:r>
      <w:r>
        <w:rPr>
          <w:spacing w:val="7"/>
        </w:rPr>
        <w:t xml:space="preserve">Mina </w:t>
      </w:r>
      <w:r>
        <w:rPr>
          <w:spacing w:val="8"/>
        </w:rPr>
        <w:t xml:space="preserve">(Pafem), documento técnico elaborado </w:t>
      </w:r>
      <w:r>
        <w:rPr>
          <w:spacing w:val="10"/>
        </w:rPr>
        <w:t xml:space="preserve">pelo empreendedor </w:t>
      </w:r>
      <w:r>
        <w:t xml:space="preserve">e </w:t>
      </w:r>
      <w:r>
        <w:rPr>
          <w:spacing w:val="10"/>
        </w:rPr>
        <w:t xml:space="preserve">apresentado </w:t>
      </w:r>
      <w:r>
        <w:rPr>
          <w:spacing w:val="6"/>
        </w:rPr>
        <w:t xml:space="preserve">aos </w:t>
      </w:r>
      <w:r>
        <w:rPr>
          <w:spacing w:val="8"/>
        </w:rPr>
        <w:t xml:space="preserve">órgãos </w:t>
      </w:r>
      <w:r>
        <w:rPr>
          <w:spacing w:val="10"/>
        </w:rPr>
        <w:t xml:space="preserve">ambientais </w:t>
      </w:r>
      <w:r>
        <w:rPr>
          <w:spacing w:val="3"/>
        </w:rPr>
        <w:t xml:space="preserve">competentes </w:t>
      </w:r>
      <w:r>
        <w:rPr>
          <w:spacing w:val="2"/>
        </w:rPr>
        <w:t xml:space="preserve">dois anos </w:t>
      </w:r>
      <w:r>
        <w:rPr>
          <w:spacing w:val="3"/>
        </w:rPr>
        <w:t xml:space="preserve">antes </w:t>
      </w:r>
      <w:r>
        <w:rPr>
          <w:spacing w:val="1"/>
        </w:rPr>
        <w:t xml:space="preserve">do </w:t>
      </w:r>
      <w:r>
        <w:rPr>
          <w:spacing w:val="3"/>
        </w:rPr>
        <w:t xml:space="preserve">fechamento </w:t>
      </w:r>
      <w:r>
        <w:rPr>
          <w:spacing w:val="1"/>
        </w:rPr>
        <w:t xml:space="preserve">da </w:t>
      </w:r>
      <w:r>
        <w:rPr>
          <w:spacing w:val="3"/>
        </w:rPr>
        <w:t>mi</w:t>
      </w:r>
      <w:r>
        <w:rPr>
          <w:spacing w:val="3"/>
        </w:rPr>
        <w:t xml:space="preserve">na. </w:t>
      </w:r>
      <w:r>
        <w:t xml:space="preserve">O </w:t>
      </w:r>
      <w:r>
        <w:rPr>
          <w:spacing w:val="3"/>
        </w:rPr>
        <w:t xml:space="preserve">Pafem </w:t>
      </w:r>
      <w:r>
        <w:rPr>
          <w:spacing w:val="5"/>
        </w:rPr>
        <w:t xml:space="preserve">contém </w:t>
      </w:r>
      <w:r>
        <w:rPr>
          <w:spacing w:val="2"/>
        </w:rPr>
        <w:t xml:space="preserve">um </w:t>
      </w:r>
      <w:r>
        <w:rPr>
          <w:spacing w:val="5"/>
        </w:rPr>
        <w:t xml:space="preserve">cronograma </w:t>
      </w:r>
      <w:r>
        <w:rPr>
          <w:spacing w:val="2"/>
        </w:rPr>
        <w:t xml:space="preserve">de </w:t>
      </w:r>
      <w:r>
        <w:rPr>
          <w:spacing w:val="3"/>
        </w:rPr>
        <w:t xml:space="preserve">ações que devem </w:t>
      </w:r>
      <w:r>
        <w:rPr>
          <w:spacing w:val="5"/>
        </w:rPr>
        <w:t>ser</w:t>
      </w:r>
      <w:r>
        <w:rPr>
          <w:spacing w:val="61"/>
        </w:rPr>
        <w:t xml:space="preserve"> </w:t>
      </w:r>
      <w:r>
        <w:t xml:space="preserve">perpetuadas para reabilitação e monitoramento ambiental da </w:t>
      </w:r>
      <w:r>
        <w:rPr>
          <w:spacing w:val="3"/>
        </w:rPr>
        <w:t xml:space="preserve">área. </w:t>
      </w:r>
      <w:r>
        <w:t xml:space="preserve">O </w:t>
      </w:r>
      <w:r>
        <w:rPr>
          <w:spacing w:val="3"/>
        </w:rPr>
        <w:t xml:space="preserve">documento </w:t>
      </w:r>
      <w:r>
        <w:rPr>
          <w:spacing w:val="2"/>
        </w:rPr>
        <w:t xml:space="preserve">deve </w:t>
      </w:r>
      <w:r>
        <w:rPr>
          <w:spacing w:val="3"/>
        </w:rPr>
        <w:t xml:space="preserve">apresentar também </w:t>
      </w:r>
      <w:r>
        <w:rPr>
          <w:spacing w:val="5"/>
        </w:rPr>
        <w:t xml:space="preserve">alternativas </w:t>
      </w:r>
      <w:r>
        <w:rPr>
          <w:spacing w:val="3"/>
        </w:rPr>
        <w:t xml:space="preserve">socioeconômicas </w:t>
      </w:r>
      <w:r>
        <w:rPr>
          <w:spacing w:val="2"/>
        </w:rPr>
        <w:t xml:space="preserve">para </w:t>
      </w:r>
      <w:r>
        <w:t xml:space="preserve">a </w:t>
      </w:r>
      <w:r>
        <w:rPr>
          <w:spacing w:val="3"/>
        </w:rPr>
        <w:t>região (DUQUE,</w:t>
      </w:r>
      <w:r>
        <w:rPr>
          <w:spacing w:val="2"/>
        </w:rPr>
        <w:t xml:space="preserve"> </w:t>
      </w:r>
      <w:r>
        <w:rPr>
          <w:spacing w:val="5"/>
        </w:rPr>
        <w:t>2011).</w:t>
      </w:r>
    </w:p>
    <w:p w:rsidR="00D81F69" w:rsidRDefault="00D81F69">
      <w:pPr>
        <w:pStyle w:val="Corpodetexto"/>
        <w:spacing w:before="9"/>
        <w:ind w:left="0"/>
        <w:jc w:val="left"/>
        <w:rPr>
          <w:sz w:val="21"/>
        </w:rPr>
      </w:pPr>
    </w:p>
    <w:p w:rsidR="00D81F69" w:rsidRDefault="00330118">
      <w:pPr>
        <w:pStyle w:val="Heading7"/>
        <w:spacing w:before="1"/>
      </w:pPr>
      <w:r>
        <w:t>LOCALIZAÇÃO GEOGRÁFICA</w:t>
      </w:r>
    </w:p>
    <w:p w:rsidR="00D81F69" w:rsidRDefault="00330118">
      <w:pPr>
        <w:pStyle w:val="Corpodetexto"/>
        <w:spacing w:before="178"/>
      </w:pPr>
      <w:r>
        <w:t>Os municípios de M</w:t>
      </w:r>
      <w:r>
        <w:t>uriaé e Miraí, que compõem a Zona da</w:t>
      </w:r>
    </w:p>
    <w:p w:rsidR="00D81F69" w:rsidRDefault="00D81F69">
      <w:pPr>
        <w:sectPr w:rsidR="00D81F69">
          <w:pgSz w:w="11900" w:h="16840"/>
          <w:pgMar w:top="740" w:right="500" w:bottom="700" w:left="620" w:header="0" w:footer="402" w:gutter="0"/>
          <w:cols w:num="2" w:space="720" w:equalWidth="0">
            <w:col w:w="5157" w:space="313"/>
            <w:col w:w="5310"/>
          </w:cols>
        </w:sectPr>
      </w:pPr>
    </w:p>
    <w:p w:rsidR="00D81F69" w:rsidRDefault="00330118">
      <w:pPr>
        <w:pStyle w:val="Corpodetexto"/>
        <w:spacing w:before="81" w:line="312" w:lineRule="auto"/>
        <w:ind w:right="80"/>
      </w:pPr>
      <w:r>
        <w:lastRenderedPageBreak/>
        <w:t xml:space="preserve">Mata, possuem minas para exploração de bauxita na sub- bacia do rio Muriaé e na sub-bacia do rio Pomba (apenas a mina Morro do Ipê, em Miraí), pertencentes à bacia do rio Paraíba do Sul. As </w:t>
      </w:r>
      <w:r>
        <w:t>minas estão localizadas entre as latitudes 21°14’20”S e 20°53’10”S e longitudes 42°12’56”W e 42°44’22”W.</w:t>
      </w:r>
    </w:p>
    <w:p w:rsidR="00D81F69" w:rsidRDefault="00D81F69">
      <w:pPr>
        <w:pStyle w:val="Corpodetexto"/>
        <w:spacing w:before="3"/>
        <w:ind w:left="0"/>
        <w:jc w:val="left"/>
        <w:rPr>
          <w:sz w:val="29"/>
        </w:rPr>
      </w:pPr>
    </w:p>
    <w:p w:rsidR="00D81F69" w:rsidRDefault="00330118">
      <w:pPr>
        <w:pStyle w:val="Heading7"/>
      </w:pPr>
      <w:r>
        <w:t>REDATORES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tabs>
          <w:tab w:val="left" w:pos="4331"/>
        </w:tabs>
        <w:spacing w:before="188" w:line="312" w:lineRule="auto"/>
        <w:ind w:left="100" w:right="57"/>
        <w:jc w:val="both"/>
        <w:rPr>
          <w:sz w:val="16"/>
        </w:rPr>
      </w:pPr>
      <w:r>
        <w:rPr>
          <w:spacing w:val="5"/>
          <w:sz w:val="16"/>
        </w:rPr>
        <w:t xml:space="preserve">ACAYABA, Cíntia. Dona </w:t>
      </w:r>
      <w:r>
        <w:rPr>
          <w:spacing w:val="2"/>
          <w:sz w:val="16"/>
        </w:rPr>
        <w:t xml:space="preserve">de </w:t>
      </w:r>
      <w:r>
        <w:rPr>
          <w:spacing w:val="5"/>
          <w:sz w:val="16"/>
        </w:rPr>
        <w:t xml:space="preserve">barragem </w:t>
      </w:r>
      <w:r>
        <w:rPr>
          <w:spacing w:val="3"/>
          <w:sz w:val="16"/>
        </w:rPr>
        <w:t xml:space="preserve">que </w:t>
      </w:r>
      <w:r>
        <w:rPr>
          <w:spacing w:val="5"/>
          <w:sz w:val="16"/>
        </w:rPr>
        <w:t xml:space="preserve">rompeu </w:t>
      </w:r>
      <w:r>
        <w:rPr>
          <w:sz w:val="16"/>
        </w:rPr>
        <w:t xml:space="preserve">é </w:t>
      </w:r>
      <w:r>
        <w:rPr>
          <w:spacing w:val="2"/>
          <w:sz w:val="16"/>
        </w:rPr>
        <w:t xml:space="preserve">3ª </w:t>
      </w:r>
      <w:r>
        <w:rPr>
          <w:spacing w:val="6"/>
          <w:sz w:val="16"/>
        </w:rPr>
        <w:t xml:space="preserve">maior produtora </w:t>
      </w:r>
      <w:r>
        <w:rPr>
          <w:spacing w:val="3"/>
          <w:sz w:val="16"/>
        </w:rPr>
        <w:t xml:space="preserve">de  </w:t>
      </w:r>
      <w:r>
        <w:rPr>
          <w:spacing w:val="5"/>
          <w:sz w:val="16"/>
        </w:rPr>
        <w:t xml:space="preserve">bauxita </w:t>
      </w:r>
      <w:r>
        <w:rPr>
          <w:spacing w:val="3"/>
          <w:sz w:val="16"/>
        </w:rPr>
        <w:t xml:space="preserve">do  </w:t>
      </w:r>
      <w:r>
        <w:rPr>
          <w:spacing w:val="5"/>
          <w:sz w:val="16"/>
        </w:rPr>
        <w:t xml:space="preserve">Brasil. Agência Folha, </w:t>
      </w:r>
      <w:r>
        <w:rPr>
          <w:spacing w:val="3"/>
          <w:sz w:val="16"/>
        </w:rPr>
        <w:t xml:space="preserve">11  </w:t>
      </w:r>
      <w:r>
        <w:rPr>
          <w:spacing w:val="5"/>
          <w:sz w:val="16"/>
        </w:rPr>
        <w:t xml:space="preserve">jan. </w:t>
      </w:r>
      <w:r>
        <w:rPr>
          <w:spacing w:val="7"/>
          <w:sz w:val="16"/>
        </w:rPr>
        <w:t xml:space="preserve">2007.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63"/>
        <w:jc w:val="both"/>
        <w:rPr>
          <w:sz w:val="16"/>
        </w:rPr>
      </w:pPr>
      <w:hyperlink r:id="rId1056">
        <w:r w:rsidR="00330118">
          <w:rPr>
            <w:sz w:val="16"/>
          </w:rPr>
          <w:t>&lt;http://www1.folha.uol.com.br/folha/cotidiano/ult95u130390.shtml</w:t>
        </w:r>
        <w:r w:rsidR="00330118">
          <w:rPr>
            <w:sz w:val="16"/>
          </w:rPr>
          <w:t>&gt;.</w:t>
        </w:r>
      </w:hyperlink>
      <w:r w:rsidR="00330118">
        <w:rPr>
          <w:sz w:val="16"/>
        </w:rPr>
        <w:t xml:space="preserve"> Acesso em: 06 abr. 2010.</w:t>
      </w:r>
    </w:p>
    <w:p w:rsidR="00D81F69" w:rsidRDefault="00330118">
      <w:pPr>
        <w:spacing w:before="2" w:line="312" w:lineRule="auto"/>
        <w:ind w:left="100" w:right="60"/>
        <w:jc w:val="both"/>
        <w:rPr>
          <w:sz w:val="16"/>
        </w:rPr>
      </w:pPr>
      <w:r>
        <w:rPr>
          <w:sz w:val="16"/>
        </w:rPr>
        <w:t>ALMEIDA, Luciana. Ibama multa Alunorte por vazamento de rejeitos em córrego de Barcarena. Ibama, 29 abr. 2009. Disponível em:</w:t>
      </w:r>
    </w:p>
    <w:p w:rsidR="00D81F69" w:rsidRDefault="00D81F69">
      <w:pPr>
        <w:spacing w:before="2" w:line="312" w:lineRule="auto"/>
        <w:ind w:left="100" w:right="73"/>
        <w:jc w:val="both"/>
        <w:rPr>
          <w:sz w:val="16"/>
        </w:rPr>
      </w:pPr>
      <w:hyperlink r:id="rId1057">
        <w:r w:rsidR="00330118">
          <w:rPr>
            <w:sz w:val="16"/>
          </w:rPr>
          <w:t>&lt;http://www.ibama.gov.br/20</w:t>
        </w:r>
        <w:r w:rsidR="00330118">
          <w:rPr>
            <w:sz w:val="16"/>
          </w:rPr>
          <w:t>09/04/ibama-multa-alunorte-por-</w:t>
        </w:r>
      </w:hyperlink>
      <w:r w:rsidR="00330118">
        <w:rPr>
          <w:sz w:val="16"/>
        </w:rPr>
        <w:t xml:space="preserve"> vazamento-de-rejeitos-em-corrego-de-barcarena/&gt;. Acesso em: 06 abr. 2010.</w:t>
      </w:r>
    </w:p>
    <w:p w:rsidR="00D81F69" w:rsidRDefault="00330118">
      <w:pPr>
        <w:spacing w:before="2" w:line="312" w:lineRule="auto"/>
        <w:ind w:left="100" w:right="65"/>
        <w:jc w:val="both"/>
        <w:rPr>
          <w:sz w:val="16"/>
        </w:rPr>
      </w:pPr>
      <w:r>
        <w:rPr>
          <w:sz w:val="16"/>
        </w:rPr>
        <w:t>ANDRADE, Cristina. Após três anos, mineradora ainda não pagou multa por crime ambiental. Estado de Minas, Belo Horizonte, 15 jan.</w:t>
      </w:r>
    </w:p>
    <w:p w:rsidR="00D81F69" w:rsidRDefault="00330118">
      <w:pPr>
        <w:tabs>
          <w:tab w:val="left" w:pos="1785"/>
          <w:tab w:val="left" w:pos="4548"/>
        </w:tabs>
        <w:spacing w:before="2"/>
        <w:ind w:left="100"/>
        <w:jc w:val="both"/>
        <w:rPr>
          <w:sz w:val="16"/>
        </w:rPr>
      </w:pPr>
      <w:r>
        <w:rPr>
          <w:sz w:val="16"/>
        </w:rPr>
        <w:t xml:space="preserve">2   0   1  </w:t>
      </w:r>
      <w:r>
        <w:rPr>
          <w:spacing w:val="35"/>
          <w:sz w:val="16"/>
        </w:rPr>
        <w:t xml:space="preserve"> </w:t>
      </w:r>
      <w:r>
        <w:rPr>
          <w:sz w:val="16"/>
        </w:rPr>
        <w:t xml:space="preserve">0  </w:t>
      </w:r>
      <w:r>
        <w:rPr>
          <w:spacing w:val="10"/>
          <w:sz w:val="16"/>
        </w:rPr>
        <w:t xml:space="preserve"> </w:t>
      </w:r>
      <w:r>
        <w:rPr>
          <w:sz w:val="16"/>
        </w:rPr>
        <w:t>.</w:t>
      </w:r>
      <w:r>
        <w:rPr>
          <w:sz w:val="16"/>
        </w:rPr>
        <w:tab/>
        <w:t xml:space="preserve">D </w:t>
      </w:r>
      <w:r>
        <w:rPr>
          <w:sz w:val="16"/>
        </w:rPr>
        <w:t xml:space="preserve">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2"/>
          <w:sz w:val="16"/>
        </w:rPr>
        <w:t xml:space="preserve"> </w:t>
      </w:r>
      <w:r>
        <w:rPr>
          <w:sz w:val="16"/>
        </w:rPr>
        <w:t>:</w:t>
      </w:r>
    </w:p>
    <w:p w:rsidR="00D81F69" w:rsidRDefault="00D81F69">
      <w:pPr>
        <w:spacing w:before="56" w:line="312" w:lineRule="auto"/>
        <w:ind w:left="100" w:right="66"/>
        <w:jc w:val="both"/>
        <w:rPr>
          <w:sz w:val="16"/>
        </w:rPr>
      </w:pPr>
      <w:hyperlink r:id="rId1058">
        <w:r w:rsidR="00330118">
          <w:rPr>
            <w:sz w:val="16"/>
          </w:rPr>
          <w:t>&lt;http://www.uai.com.br/htmls/app/noticia173/2010/01/15/noticia_mina</w:t>
        </w:r>
      </w:hyperlink>
      <w:r w:rsidR="00330118">
        <w:rPr>
          <w:sz w:val="16"/>
        </w:rPr>
        <w:t xml:space="preserve"> s,i=143870/APOS+TRES+ANOS+MINERADORA+AINDA+NAO+PAG OU+MULTA+POR+CRIME+AMBIENTAL.shtml&gt;. Acesso em: 03 abr. 2010.</w:t>
      </w:r>
    </w:p>
    <w:p w:rsidR="00D81F69" w:rsidRDefault="00330118">
      <w:pPr>
        <w:spacing w:before="3" w:line="312" w:lineRule="auto"/>
        <w:ind w:left="100" w:right="66"/>
        <w:jc w:val="both"/>
        <w:rPr>
          <w:sz w:val="16"/>
        </w:rPr>
      </w:pPr>
      <w:r>
        <w:rPr>
          <w:sz w:val="16"/>
        </w:rPr>
        <w:t>BALBI, Aloysio. Mineradora Rio Pomba Cataguases será multada em R$ 75 milhões. O Globo, Rio de Janeiro, 11 jan. 2007. Disponível em:</w:t>
      </w:r>
    </w:p>
    <w:p w:rsidR="00D81F69" w:rsidRDefault="00D81F69">
      <w:pPr>
        <w:spacing w:before="2" w:line="312" w:lineRule="auto"/>
        <w:ind w:left="100" w:right="59"/>
        <w:jc w:val="both"/>
        <w:rPr>
          <w:sz w:val="16"/>
        </w:rPr>
      </w:pPr>
      <w:hyperlink r:id="rId1059">
        <w:r w:rsidR="00330118">
          <w:rPr>
            <w:sz w:val="16"/>
          </w:rPr>
          <w:t>&lt;http://oglobo.globo.com/pais/mat/2007/01/11/287388574.asp&gt;.</w:t>
        </w:r>
      </w:hyperlink>
      <w:r w:rsidR="00330118">
        <w:rPr>
          <w:sz w:val="16"/>
        </w:rPr>
        <w:t xml:space="preserve"> Acesso em: 03 abr. 2010.</w:t>
      </w:r>
    </w:p>
    <w:p w:rsidR="00D81F69" w:rsidRDefault="00330118">
      <w:pPr>
        <w:tabs>
          <w:tab w:val="left" w:pos="4331"/>
        </w:tabs>
        <w:spacing w:before="1" w:line="312" w:lineRule="auto"/>
        <w:ind w:left="100" w:right="61"/>
        <w:jc w:val="both"/>
        <w:rPr>
          <w:sz w:val="16"/>
        </w:rPr>
      </w:pPr>
      <w:r>
        <w:rPr>
          <w:sz w:val="16"/>
        </w:rPr>
        <w:t xml:space="preserve">BRAGA, Ernesto. Maior acidente ambiental de Minas Gerais ainda </w:t>
      </w:r>
      <w:r>
        <w:rPr>
          <w:spacing w:val="2"/>
          <w:sz w:val="16"/>
        </w:rPr>
        <w:t xml:space="preserve">está </w:t>
      </w:r>
      <w:r>
        <w:rPr>
          <w:spacing w:val="3"/>
          <w:sz w:val="16"/>
        </w:rPr>
        <w:t xml:space="preserve">impune. </w:t>
      </w:r>
      <w:r>
        <w:rPr>
          <w:sz w:val="16"/>
        </w:rPr>
        <w:t xml:space="preserve">O </w:t>
      </w:r>
      <w:r>
        <w:rPr>
          <w:spacing w:val="3"/>
          <w:sz w:val="16"/>
        </w:rPr>
        <w:t xml:space="preserve">Estado </w:t>
      </w:r>
      <w:r>
        <w:rPr>
          <w:spacing w:val="1"/>
          <w:sz w:val="16"/>
        </w:rPr>
        <w:t xml:space="preserve">de  </w:t>
      </w:r>
      <w:r>
        <w:rPr>
          <w:spacing w:val="3"/>
          <w:sz w:val="16"/>
        </w:rPr>
        <w:t xml:space="preserve">Minas, </w:t>
      </w:r>
      <w:r>
        <w:rPr>
          <w:spacing w:val="2"/>
          <w:sz w:val="16"/>
        </w:rPr>
        <w:t xml:space="preserve">Belo </w:t>
      </w:r>
      <w:r>
        <w:rPr>
          <w:spacing w:val="3"/>
          <w:sz w:val="16"/>
        </w:rPr>
        <w:t xml:space="preserve">Horizonte, </w:t>
      </w:r>
      <w:r>
        <w:rPr>
          <w:spacing w:val="1"/>
          <w:sz w:val="16"/>
        </w:rPr>
        <w:t xml:space="preserve">30  </w:t>
      </w:r>
      <w:r>
        <w:rPr>
          <w:spacing w:val="2"/>
          <w:sz w:val="16"/>
        </w:rPr>
        <w:t xml:space="preserve">mar. </w:t>
      </w:r>
      <w:r>
        <w:rPr>
          <w:spacing w:val="5"/>
          <w:sz w:val="16"/>
        </w:rPr>
        <w:t xml:space="preserve">2011.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line="312" w:lineRule="auto"/>
        <w:ind w:left="100" w:right="73"/>
        <w:jc w:val="both"/>
        <w:rPr>
          <w:sz w:val="16"/>
        </w:rPr>
      </w:pPr>
      <w:hyperlink r:id="rId1060">
        <w:r w:rsidR="00330118">
          <w:rPr>
            <w:sz w:val="16"/>
          </w:rPr>
          <w:t>&lt;http://www.em.com.br/app/noticia/gerais/2011/03/30/interna_gerais,2</w:t>
        </w:r>
      </w:hyperlink>
      <w:r w:rsidR="00330118">
        <w:rPr>
          <w:sz w:val="16"/>
        </w:rPr>
        <w:t xml:space="preserve"> 18533/</w:t>
      </w:r>
      <w:r w:rsidR="00330118">
        <w:rPr>
          <w:sz w:val="16"/>
        </w:rPr>
        <w:t>maior-acidente-ambiental-de-minas-gerais-ainda-esta- impune.shtml&gt;. Acesso em: 10 out. 2011.</w:t>
      </w:r>
    </w:p>
    <w:p w:rsidR="00D81F69" w:rsidRDefault="00330118">
      <w:pPr>
        <w:spacing w:before="2" w:line="312" w:lineRule="auto"/>
        <w:ind w:left="100" w:right="66"/>
        <w:jc w:val="both"/>
        <w:rPr>
          <w:sz w:val="16"/>
        </w:rPr>
      </w:pPr>
      <w:r>
        <w:rPr>
          <w:sz w:val="16"/>
        </w:rPr>
        <w:t>CHAVES, Arthur Pinto. Emissões e controle na indústria do alumínio. Artigo apresentado na VII Conferencia Internacional sobre Tecnologias Límpias para la Indústria</w:t>
      </w:r>
      <w:r>
        <w:rPr>
          <w:sz w:val="16"/>
        </w:rPr>
        <w:t xml:space="preserve"> Minera, Búzios, Rio de Janeiro, out 2006. In: VILLAS BÔAS, Roberto C.; SÁNCHEZ, Mário (Eds.).Tecnologias Límpias para las Indústrias Mineras, CETEM-MCT</w:t>
      </w:r>
    </w:p>
    <w:p w:rsidR="00D81F69" w:rsidRDefault="00330118">
      <w:pPr>
        <w:spacing w:before="4" w:line="312" w:lineRule="auto"/>
        <w:ind w:left="100" w:right="58"/>
        <w:rPr>
          <w:sz w:val="16"/>
        </w:rPr>
      </w:pPr>
      <w:r>
        <w:rPr>
          <w:sz w:val="16"/>
        </w:rPr>
        <w:t xml:space="preserve">/ </w:t>
      </w:r>
      <w:r>
        <w:rPr>
          <w:spacing w:val="5"/>
          <w:sz w:val="16"/>
        </w:rPr>
        <w:t xml:space="preserve">CNPq </w:t>
      </w:r>
      <w:r>
        <w:rPr>
          <w:sz w:val="16"/>
        </w:rPr>
        <w:t xml:space="preserve">/ </w:t>
      </w:r>
      <w:r>
        <w:rPr>
          <w:spacing w:val="5"/>
          <w:sz w:val="16"/>
        </w:rPr>
        <w:t xml:space="preserve">CYTED </w:t>
      </w:r>
      <w:r>
        <w:rPr>
          <w:sz w:val="16"/>
        </w:rPr>
        <w:t xml:space="preserve">/ </w:t>
      </w:r>
      <w:r>
        <w:rPr>
          <w:spacing w:val="5"/>
          <w:sz w:val="16"/>
        </w:rPr>
        <w:t xml:space="preserve">Universidad </w:t>
      </w:r>
      <w:r>
        <w:rPr>
          <w:spacing w:val="2"/>
          <w:sz w:val="16"/>
        </w:rPr>
        <w:t xml:space="preserve">de </w:t>
      </w:r>
      <w:r>
        <w:rPr>
          <w:spacing w:val="5"/>
          <w:sz w:val="16"/>
        </w:rPr>
        <w:t xml:space="preserve">Concepción (Chile), </w:t>
      </w:r>
      <w:r>
        <w:rPr>
          <w:spacing w:val="3"/>
          <w:sz w:val="16"/>
        </w:rPr>
        <w:t xml:space="preserve">258 </w:t>
      </w:r>
      <w:r>
        <w:rPr>
          <w:spacing w:val="6"/>
          <w:sz w:val="16"/>
        </w:rPr>
        <w:t xml:space="preserve">p. </w:t>
      </w:r>
      <w:r>
        <w:rPr>
          <w:spacing w:val="12"/>
          <w:sz w:val="16"/>
        </w:rPr>
        <w:t xml:space="preserve">Disponível  </w:t>
      </w:r>
      <w:r>
        <w:rPr>
          <w:spacing w:val="10"/>
          <w:sz w:val="16"/>
        </w:rPr>
        <w:t xml:space="preserve">em:  </w:t>
      </w:r>
      <w:hyperlink r:id="rId1061">
        <w:r>
          <w:rPr>
            <w:spacing w:val="13"/>
            <w:sz w:val="16"/>
          </w:rPr>
          <w:t xml:space="preserve">&lt;http://books.google.com.br/books?hl=pt- </w:t>
        </w:r>
      </w:hyperlink>
      <w:r>
        <w:rPr>
          <w:sz w:val="16"/>
        </w:rPr>
        <w:t>B R &amp; l r = &amp; i d = V Q 9 Q x b J j p U k C &amp; o i = f n d &amp; p g = P A 4 3 - IA1&amp;dq=related:RPgH5Dk8cbIJ:scholar.google.com/&amp;ots=JYKtaYH9a 4&amp;sig=LmjncfFOHVYWXMKEiSNuU6jhqMw#v=onepage&amp;q&amp;f</w:t>
      </w:r>
      <w:r>
        <w:rPr>
          <w:sz w:val="16"/>
        </w:rPr>
        <w:t>=false&gt;. Acesso em: 05 abr.</w:t>
      </w:r>
      <w:r>
        <w:rPr>
          <w:spacing w:val="23"/>
          <w:sz w:val="16"/>
        </w:rPr>
        <w:t xml:space="preserve"> </w:t>
      </w:r>
      <w:r>
        <w:rPr>
          <w:sz w:val="16"/>
        </w:rPr>
        <w:t>2010.</w:t>
      </w:r>
    </w:p>
    <w:p w:rsidR="00D81F69" w:rsidRDefault="00330118">
      <w:pPr>
        <w:spacing w:before="5" w:line="312" w:lineRule="auto"/>
        <w:ind w:left="100" w:right="58"/>
        <w:jc w:val="both"/>
        <w:rPr>
          <w:sz w:val="16"/>
        </w:rPr>
      </w:pPr>
      <w:r>
        <w:rPr>
          <w:sz w:val="16"/>
        </w:rPr>
        <w:t>DNPM, Departamento Nacional de Produção Mineral. DNPM vistoria  e</w:t>
      </w:r>
      <w:r>
        <w:rPr>
          <w:spacing w:val="41"/>
          <w:sz w:val="16"/>
        </w:rPr>
        <w:t xml:space="preserve"> </w:t>
      </w:r>
      <w:r>
        <w:rPr>
          <w:spacing w:val="5"/>
          <w:sz w:val="16"/>
        </w:rPr>
        <w:t>paralisa</w:t>
      </w:r>
      <w:r>
        <w:rPr>
          <w:spacing w:val="41"/>
          <w:sz w:val="16"/>
        </w:rPr>
        <w:t xml:space="preserve"> </w:t>
      </w:r>
      <w:r>
        <w:rPr>
          <w:spacing w:val="5"/>
          <w:sz w:val="16"/>
        </w:rPr>
        <w:t>mineradora</w:t>
      </w:r>
      <w:r>
        <w:rPr>
          <w:spacing w:val="41"/>
          <w:sz w:val="16"/>
        </w:rPr>
        <w:t xml:space="preserve"> </w:t>
      </w:r>
      <w:r>
        <w:rPr>
          <w:spacing w:val="2"/>
          <w:sz w:val="16"/>
        </w:rPr>
        <w:t>em</w:t>
      </w:r>
      <w:r>
        <w:rPr>
          <w:spacing w:val="41"/>
          <w:sz w:val="16"/>
        </w:rPr>
        <w:t xml:space="preserve"> </w:t>
      </w:r>
      <w:r>
        <w:rPr>
          <w:spacing w:val="5"/>
          <w:sz w:val="16"/>
        </w:rPr>
        <w:t>Miraí,</w:t>
      </w:r>
      <w:r>
        <w:rPr>
          <w:spacing w:val="41"/>
          <w:sz w:val="16"/>
        </w:rPr>
        <w:t xml:space="preserve"> </w:t>
      </w:r>
      <w:r>
        <w:rPr>
          <w:spacing w:val="2"/>
          <w:sz w:val="16"/>
        </w:rPr>
        <w:t>16</w:t>
      </w:r>
      <w:r>
        <w:rPr>
          <w:spacing w:val="41"/>
          <w:sz w:val="16"/>
        </w:rPr>
        <w:t xml:space="preserve"> </w:t>
      </w:r>
      <w:r>
        <w:rPr>
          <w:spacing w:val="5"/>
          <w:sz w:val="16"/>
        </w:rPr>
        <w:t>jan.</w:t>
      </w:r>
      <w:r>
        <w:rPr>
          <w:spacing w:val="41"/>
          <w:sz w:val="16"/>
        </w:rPr>
        <w:t xml:space="preserve"> </w:t>
      </w:r>
      <w:r>
        <w:rPr>
          <w:spacing w:val="5"/>
          <w:sz w:val="16"/>
        </w:rPr>
        <w:t>2007.</w:t>
      </w:r>
      <w:r>
        <w:rPr>
          <w:spacing w:val="41"/>
          <w:sz w:val="16"/>
        </w:rPr>
        <w:t xml:space="preserve"> </w:t>
      </w:r>
      <w:r>
        <w:rPr>
          <w:spacing w:val="5"/>
          <w:sz w:val="16"/>
        </w:rPr>
        <w:t>Disponível</w:t>
      </w:r>
      <w:r>
        <w:rPr>
          <w:spacing w:val="41"/>
          <w:sz w:val="16"/>
        </w:rPr>
        <w:t xml:space="preserve"> </w:t>
      </w:r>
      <w:r>
        <w:rPr>
          <w:spacing w:val="6"/>
          <w:sz w:val="16"/>
        </w:rPr>
        <w:t>em:</w:t>
      </w:r>
    </w:p>
    <w:p w:rsidR="00D81F69" w:rsidRDefault="00D81F69">
      <w:pPr>
        <w:spacing w:before="2" w:line="312" w:lineRule="auto"/>
        <w:ind w:left="100" w:right="84"/>
        <w:jc w:val="both"/>
        <w:rPr>
          <w:sz w:val="16"/>
        </w:rPr>
      </w:pPr>
      <w:hyperlink r:id="rId1062">
        <w:r w:rsidR="00330118">
          <w:rPr>
            <w:sz w:val="16"/>
          </w:rPr>
          <w:t>&lt;</w:t>
        </w:r>
        <w:r w:rsidR="00330118">
          <w:rPr>
            <w:sz w:val="16"/>
          </w:rPr>
          <w:t>http://www.dnpm.gov.br/conteudo.asp?IDSecao=99&amp;IDPagina=72&amp;I</w:t>
        </w:r>
      </w:hyperlink>
      <w:r w:rsidR="00330118">
        <w:rPr>
          <w:sz w:val="16"/>
        </w:rPr>
        <w:t xml:space="preserve"> DNoticiaNoticia=236&gt;. Acesso em: 05 abr. 2010.</w:t>
      </w:r>
    </w:p>
    <w:p w:rsidR="00D81F69" w:rsidRDefault="00330118">
      <w:pPr>
        <w:spacing w:before="1" w:line="312" w:lineRule="auto"/>
        <w:ind w:left="100" w:right="65"/>
        <w:jc w:val="both"/>
        <w:rPr>
          <w:sz w:val="16"/>
        </w:rPr>
      </w:pPr>
      <w:r>
        <w:rPr>
          <w:sz w:val="16"/>
        </w:rPr>
        <w:t>DUQUE, Milene. Reunião pública discute fechamento de Mina da Rio Pomba Cataguases. Portal da Secretaria de Estado de Meio Ambiente e Desenvolvimento</w:t>
      </w:r>
      <w:r>
        <w:rPr>
          <w:sz w:val="16"/>
        </w:rPr>
        <w:t xml:space="preserve"> Sustentável, 23 ago. 2011. Disponível em: </w:t>
      </w:r>
      <w:hyperlink r:id="rId1063">
        <w:r>
          <w:rPr>
            <w:sz w:val="16"/>
          </w:rPr>
          <w:t>&lt;http://www.semad.mg.gov.br/noticias/1/1385-reuniao-publica-</w:t>
        </w:r>
      </w:hyperlink>
      <w:r>
        <w:rPr>
          <w:sz w:val="16"/>
        </w:rPr>
        <w:t xml:space="preserve"> discute-fechamento-de-mina-da-rio-pomba-cataguases&gt;. Acesso em: 20 out. 201</w:t>
      </w:r>
      <w:r>
        <w:rPr>
          <w:sz w:val="16"/>
        </w:rPr>
        <w:t>1.</w:t>
      </w:r>
    </w:p>
    <w:p w:rsidR="00D81F69" w:rsidRDefault="00330118">
      <w:pPr>
        <w:spacing w:before="5"/>
        <w:ind w:left="100"/>
        <w:jc w:val="both"/>
        <w:rPr>
          <w:sz w:val="16"/>
        </w:rPr>
      </w:pPr>
      <w:r>
        <w:rPr>
          <w:sz w:val="16"/>
        </w:rPr>
        <w:t>FEAM, Fundação Estadual do Meio Ambiente. Minas exige medidas</w:t>
      </w:r>
    </w:p>
    <w:p w:rsidR="00D81F69" w:rsidRDefault="00330118">
      <w:pPr>
        <w:spacing w:before="56"/>
        <w:ind w:left="100"/>
        <w:jc w:val="both"/>
        <w:rPr>
          <w:sz w:val="16"/>
        </w:rPr>
      </w:pPr>
      <w:r>
        <w:rPr>
          <w:sz w:val="16"/>
        </w:rPr>
        <w:t>reparatórias pela Rio Pomba. Belo Horizonte, 11 jan. 2007. Disponível</w:t>
      </w:r>
    </w:p>
    <w:p w:rsidR="00D81F69" w:rsidRDefault="00330118">
      <w:pPr>
        <w:pStyle w:val="PargrafodaLista"/>
        <w:numPr>
          <w:ilvl w:val="0"/>
          <w:numId w:val="2"/>
        </w:numPr>
        <w:tabs>
          <w:tab w:val="left" w:pos="2559"/>
          <w:tab w:val="left" w:pos="2560"/>
          <w:tab w:val="left" w:pos="5063"/>
        </w:tabs>
        <w:spacing w:before="70"/>
        <w:ind w:left="2559" w:hanging="2459"/>
        <w:rPr>
          <w:sz w:val="16"/>
        </w:rPr>
      </w:pPr>
      <w:r>
        <w:rPr>
          <w:sz w:val="16"/>
        </w:rPr>
        <w:br w:type="column"/>
      </w:r>
      <w:r>
        <w:rPr>
          <w:sz w:val="16"/>
        </w:rPr>
        <w:lastRenderedPageBreak/>
        <w:t>m</w:t>
      </w:r>
      <w:r>
        <w:rPr>
          <w:sz w:val="16"/>
        </w:rPr>
        <w:tab/>
        <w:t>:</w:t>
      </w:r>
    </w:p>
    <w:p w:rsidR="00D81F69" w:rsidRDefault="00D81F69">
      <w:pPr>
        <w:spacing w:before="56" w:line="312" w:lineRule="auto"/>
        <w:ind w:left="100" w:right="159"/>
        <w:rPr>
          <w:sz w:val="16"/>
        </w:rPr>
      </w:pPr>
      <w:hyperlink r:id="rId1064">
        <w:r w:rsidR="00330118">
          <w:rPr>
            <w:sz w:val="16"/>
          </w:rPr>
          <w:t>&lt;</w:t>
        </w:r>
        <w:r w:rsidR="00330118">
          <w:rPr>
            <w:sz w:val="16"/>
          </w:rPr>
          <w:t>http://www.feam.br/index.php?option=com_content&amp;task=view&amp;id=1</w:t>
        </w:r>
      </w:hyperlink>
      <w:r w:rsidR="00330118">
        <w:rPr>
          <w:sz w:val="16"/>
        </w:rPr>
        <w:t xml:space="preserve"> 54&amp;Itemid=128&gt;. Acesso em: 02 abr. 2010.</w:t>
      </w:r>
    </w:p>
    <w:p w:rsidR="00D81F69" w:rsidRDefault="00330118">
      <w:pPr>
        <w:spacing w:before="1"/>
        <w:ind w:left="100"/>
        <w:rPr>
          <w:sz w:val="16"/>
        </w:rPr>
      </w:pPr>
      <w:r>
        <w:rPr>
          <w:sz w:val="16"/>
        </w:rPr>
        <w:t>G1.  Mineradora Rio  Pombas é  interditada definitivamente, 12   jan.</w:t>
      </w:r>
    </w:p>
    <w:p w:rsidR="00D81F69" w:rsidRDefault="00330118">
      <w:pPr>
        <w:tabs>
          <w:tab w:val="left" w:pos="1785"/>
          <w:tab w:val="left" w:pos="4548"/>
        </w:tabs>
        <w:spacing w:before="56"/>
        <w:ind w:left="100"/>
        <w:rPr>
          <w:sz w:val="16"/>
        </w:rPr>
      </w:pPr>
      <w:r>
        <w:rPr>
          <w:sz w:val="16"/>
        </w:rPr>
        <w:t xml:space="preserve">2   0   0  </w:t>
      </w:r>
      <w:r>
        <w:rPr>
          <w:spacing w:val="35"/>
          <w:sz w:val="16"/>
        </w:rPr>
        <w:t xml:space="preserve"> </w:t>
      </w:r>
      <w:r>
        <w:rPr>
          <w:sz w:val="16"/>
        </w:rPr>
        <w:t xml:space="preserve">7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159"/>
        <w:rPr>
          <w:sz w:val="16"/>
        </w:rPr>
      </w:pPr>
      <w:hyperlink r:id="rId1065">
        <w:r w:rsidR="00330118">
          <w:rPr>
            <w:sz w:val="16"/>
          </w:rPr>
          <w:t>&lt;http://g1.globo.com/Noticias/Brasil/0,,AA1418269-5598,00.html&gt;.</w:t>
        </w:r>
      </w:hyperlink>
      <w:r w:rsidR="00330118">
        <w:rPr>
          <w:sz w:val="16"/>
        </w:rPr>
        <w:t xml:space="preserve"> Acesso em: 02 abr. 2010.</w:t>
      </w:r>
    </w:p>
    <w:p w:rsidR="00D81F69" w:rsidRDefault="00330118">
      <w:pPr>
        <w:spacing w:before="2" w:line="312" w:lineRule="auto"/>
        <w:ind w:left="100" w:right="193"/>
        <w:jc w:val="both"/>
        <w:rPr>
          <w:sz w:val="16"/>
        </w:rPr>
      </w:pPr>
      <w:r>
        <w:rPr>
          <w:sz w:val="16"/>
        </w:rPr>
        <w:t>GANDRA, Alana. Companhia de água do Rio contesta laudo sobre lama e pede indenização a empresa. A</w:t>
      </w:r>
      <w:r>
        <w:rPr>
          <w:sz w:val="16"/>
        </w:rPr>
        <w:t xml:space="preserve">gência Brasil, Rio de Janeiro, 14 jan. 2007. Disponível em: </w:t>
      </w:r>
      <w:hyperlink r:id="rId1066">
        <w:r>
          <w:rPr>
            <w:sz w:val="16"/>
          </w:rPr>
          <w:t>&lt;http://www.agenciabrasil.gov.br&gt;.</w:t>
        </w:r>
      </w:hyperlink>
    </w:p>
    <w:p w:rsidR="00D81F69" w:rsidRDefault="00330118">
      <w:pPr>
        <w:spacing w:before="2"/>
        <w:ind w:left="100"/>
        <w:rPr>
          <w:sz w:val="16"/>
        </w:rPr>
      </w:pPr>
      <w:r>
        <w:rPr>
          <w:sz w:val="16"/>
        </w:rPr>
        <w:t>Acesso em: 02 abr. 2010.</w:t>
      </w:r>
    </w:p>
    <w:p w:rsidR="00D81F69" w:rsidRDefault="00330118">
      <w:pPr>
        <w:tabs>
          <w:tab w:val="left" w:pos="1462"/>
          <w:tab w:val="left" w:pos="1924"/>
          <w:tab w:val="left" w:pos="2554"/>
          <w:tab w:val="left" w:pos="3370"/>
          <w:tab w:val="left" w:pos="4750"/>
        </w:tabs>
        <w:spacing w:before="56" w:line="312" w:lineRule="auto"/>
        <w:ind w:left="100" w:right="160"/>
        <w:rPr>
          <w:sz w:val="16"/>
        </w:rPr>
      </w:pPr>
      <w:r>
        <w:rPr>
          <w:sz w:val="16"/>
        </w:rPr>
        <w:t xml:space="preserve">GIUDICE, Patrícia. Rastro de lama e caos em Miraí. O Tempo, Belo </w:t>
      </w:r>
      <w:r>
        <w:rPr>
          <w:spacing w:val="36"/>
          <w:sz w:val="16"/>
        </w:rPr>
        <w:t>Horizonte,</w:t>
      </w:r>
      <w:r>
        <w:rPr>
          <w:spacing w:val="36"/>
          <w:sz w:val="16"/>
        </w:rPr>
        <w:tab/>
      </w:r>
      <w:r>
        <w:rPr>
          <w:spacing w:val="20"/>
          <w:sz w:val="16"/>
        </w:rPr>
        <w:t>12</w:t>
      </w:r>
      <w:r>
        <w:rPr>
          <w:spacing w:val="20"/>
          <w:sz w:val="16"/>
        </w:rPr>
        <w:tab/>
      </w:r>
      <w:r>
        <w:rPr>
          <w:spacing w:val="30"/>
          <w:sz w:val="16"/>
        </w:rPr>
        <w:t>jan.</w:t>
      </w:r>
      <w:r>
        <w:rPr>
          <w:spacing w:val="30"/>
          <w:sz w:val="16"/>
        </w:rPr>
        <w:tab/>
      </w:r>
      <w:r>
        <w:rPr>
          <w:spacing w:val="32"/>
          <w:sz w:val="16"/>
        </w:rPr>
        <w:t>2007.</w:t>
      </w:r>
      <w:r>
        <w:rPr>
          <w:spacing w:val="32"/>
          <w:sz w:val="16"/>
        </w:rPr>
        <w:tab/>
      </w:r>
      <w:r>
        <w:rPr>
          <w:spacing w:val="36"/>
          <w:sz w:val="16"/>
        </w:rPr>
        <w:t>Disponível</w:t>
      </w:r>
      <w:r>
        <w:rPr>
          <w:spacing w:val="36"/>
          <w:sz w:val="16"/>
        </w:rPr>
        <w:tab/>
      </w:r>
      <w:r>
        <w:rPr>
          <w:spacing w:val="27"/>
          <w:sz w:val="16"/>
        </w:rPr>
        <w:t>em:</w:t>
      </w:r>
      <w:r>
        <w:rPr>
          <w:spacing w:val="-1"/>
          <w:sz w:val="16"/>
        </w:rPr>
        <w:t xml:space="preserve"> </w:t>
      </w:r>
    </w:p>
    <w:p w:rsidR="00D81F69" w:rsidRDefault="00D81F69">
      <w:pPr>
        <w:spacing w:before="2"/>
        <w:ind w:left="100"/>
        <w:rPr>
          <w:sz w:val="16"/>
        </w:rPr>
      </w:pPr>
      <w:hyperlink r:id="rId1067">
        <w:r w:rsidR="00330118">
          <w:rPr>
            <w:sz w:val="16"/>
          </w:rPr>
          <w:t>&lt;http://otempo.com.br/otempo/fotos/20070112/33435_TB011201.pdf&gt;</w:t>
        </w:r>
      </w:hyperlink>
    </w:p>
    <w:p w:rsidR="00D81F69" w:rsidRDefault="00330118">
      <w:pPr>
        <w:spacing w:before="56"/>
        <w:ind w:left="100"/>
        <w:rPr>
          <w:sz w:val="16"/>
        </w:rPr>
      </w:pPr>
      <w:r>
        <w:rPr>
          <w:sz w:val="16"/>
        </w:rPr>
        <w:t>. Acesso em: 06 abr. 2010.</w:t>
      </w:r>
    </w:p>
    <w:p w:rsidR="00D81F69" w:rsidRDefault="00330118">
      <w:pPr>
        <w:tabs>
          <w:tab w:val="left" w:pos="937"/>
          <w:tab w:val="left" w:pos="2144"/>
          <w:tab w:val="left" w:pos="3199"/>
          <w:tab w:val="left" w:pos="4730"/>
        </w:tabs>
        <w:spacing w:before="56" w:line="312" w:lineRule="auto"/>
        <w:ind w:left="100" w:right="159"/>
        <w:rPr>
          <w:sz w:val="16"/>
        </w:rPr>
      </w:pPr>
      <w:r>
        <w:rPr>
          <w:sz w:val="16"/>
        </w:rPr>
        <w:t>IBGE, Instituto Brasileiro de Geografia e Estatística. Miraí (MG</w:t>
      </w:r>
      <w:r>
        <w:rPr>
          <w:sz w:val="16"/>
        </w:rPr>
        <w:t xml:space="preserve">). In:      </w:t>
      </w:r>
      <w:r>
        <w:rPr>
          <w:spacing w:val="10"/>
          <w:sz w:val="16"/>
        </w:rPr>
        <w:t>I B</w:t>
      </w:r>
      <w:r>
        <w:rPr>
          <w:spacing w:val="-10"/>
          <w:sz w:val="16"/>
        </w:rPr>
        <w:t xml:space="preserve"> </w:t>
      </w:r>
      <w:r>
        <w:rPr>
          <w:spacing w:val="10"/>
          <w:sz w:val="16"/>
        </w:rPr>
        <w:t>G</w:t>
      </w:r>
      <w:r>
        <w:rPr>
          <w:sz w:val="16"/>
        </w:rPr>
        <w:t xml:space="preserve"> E</w:t>
      </w:r>
      <w:r>
        <w:rPr>
          <w:sz w:val="16"/>
        </w:rPr>
        <w:tab/>
      </w:r>
      <w:r>
        <w:rPr>
          <w:spacing w:val="10"/>
          <w:sz w:val="16"/>
        </w:rPr>
        <w:t>C</w:t>
      </w:r>
      <w:r>
        <w:rPr>
          <w:sz w:val="16"/>
        </w:rPr>
        <w:t xml:space="preserve"> </w:t>
      </w:r>
      <w:r>
        <w:rPr>
          <w:spacing w:val="10"/>
          <w:sz w:val="16"/>
        </w:rPr>
        <w:t>i</w:t>
      </w:r>
      <w:r>
        <w:rPr>
          <w:sz w:val="16"/>
        </w:rPr>
        <w:t xml:space="preserve"> </w:t>
      </w:r>
      <w:r>
        <w:rPr>
          <w:spacing w:val="10"/>
          <w:sz w:val="16"/>
        </w:rPr>
        <w:t>d</w:t>
      </w:r>
      <w:r>
        <w:rPr>
          <w:sz w:val="16"/>
        </w:rPr>
        <w:t xml:space="preserve"> </w:t>
      </w:r>
      <w:r>
        <w:rPr>
          <w:spacing w:val="10"/>
          <w:sz w:val="16"/>
        </w:rPr>
        <w:t>a</w:t>
      </w:r>
      <w:r>
        <w:rPr>
          <w:sz w:val="16"/>
        </w:rPr>
        <w:t xml:space="preserve"> </w:t>
      </w:r>
      <w:r>
        <w:rPr>
          <w:spacing w:val="10"/>
          <w:sz w:val="16"/>
        </w:rPr>
        <w:t>d</w:t>
      </w:r>
      <w:r>
        <w:rPr>
          <w:sz w:val="16"/>
        </w:rPr>
        <w:t xml:space="preserve"> </w:t>
      </w:r>
      <w:r>
        <w:rPr>
          <w:spacing w:val="10"/>
          <w:sz w:val="16"/>
        </w:rPr>
        <w:t>e</w:t>
      </w:r>
      <w:r>
        <w:rPr>
          <w:sz w:val="16"/>
        </w:rPr>
        <w:t xml:space="preserve"> s</w:t>
      </w:r>
      <w:r>
        <w:rPr>
          <w:sz w:val="16"/>
        </w:rPr>
        <w:tab/>
      </w:r>
      <w:r>
        <w:rPr>
          <w:spacing w:val="10"/>
          <w:sz w:val="16"/>
        </w:rPr>
        <w:t>2 0 1 0</w:t>
      </w:r>
      <w:r>
        <w:rPr>
          <w:spacing w:val="-30"/>
          <w:sz w:val="16"/>
        </w:rPr>
        <w:t xml:space="preserve"> </w:t>
      </w:r>
      <w:r>
        <w:rPr>
          <w:spacing w:val="10"/>
          <w:sz w:val="16"/>
        </w:rPr>
        <w:t>a</w:t>
      </w:r>
      <w:r>
        <w:rPr>
          <w:sz w:val="16"/>
        </w:rPr>
        <w:t xml:space="preserve"> .</w:t>
      </w:r>
      <w:r>
        <w:rPr>
          <w:sz w:val="16"/>
        </w:rPr>
        <w:tab/>
      </w:r>
      <w:r>
        <w:rPr>
          <w:spacing w:val="10"/>
          <w:sz w:val="16"/>
        </w:rPr>
        <w:t>D</w:t>
      </w:r>
      <w:r>
        <w:rPr>
          <w:sz w:val="16"/>
        </w:rPr>
        <w:t xml:space="preserve"> </w:t>
      </w:r>
      <w:r>
        <w:rPr>
          <w:spacing w:val="10"/>
          <w:sz w:val="16"/>
        </w:rPr>
        <w:t>i</w:t>
      </w:r>
      <w:r>
        <w:rPr>
          <w:sz w:val="16"/>
        </w:rPr>
        <w:t xml:space="preserve"> </w:t>
      </w:r>
      <w:r>
        <w:rPr>
          <w:spacing w:val="10"/>
          <w:sz w:val="16"/>
        </w:rPr>
        <w:t>s</w:t>
      </w:r>
      <w:r>
        <w:rPr>
          <w:sz w:val="16"/>
        </w:rPr>
        <w:t xml:space="preserve"> </w:t>
      </w:r>
      <w:r>
        <w:rPr>
          <w:spacing w:val="10"/>
          <w:sz w:val="16"/>
        </w:rPr>
        <w:t>p</w:t>
      </w:r>
      <w:r>
        <w:rPr>
          <w:sz w:val="16"/>
        </w:rPr>
        <w:t xml:space="preserve"> </w:t>
      </w:r>
      <w:r>
        <w:rPr>
          <w:spacing w:val="10"/>
          <w:sz w:val="16"/>
        </w:rPr>
        <w:t>o</w:t>
      </w:r>
      <w:r>
        <w:rPr>
          <w:sz w:val="16"/>
        </w:rPr>
        <w:t xml:space="preserve"> </w:t>
      </w:r>
      <w:r>
        <w:rPr>
          <w:spacing w:val="10"/>
          <w:sz w:val="16"/>
        </w:rPr>
        <w:t>n</w:t>
      </w:r>
      <w:r>
        <w:rPr>
          <w:sz w:val="16"/>
        </w:rPr>
        <w:t xml:space="preserve"> </w:t>
      </w:r>
      <w:r>
        <w:rPr>
          <w:spacing w:val="10"/>
          <w:sz w:val="16"/>
        </w:rPr>
        <w:t>í</w:t>
      </w:r>
      <w:r>
        <w:rPr>
          <w:sz w:val="16"/>
        </w:rPr>
        <w:t xml:space="preserve"> </w:t>
      </w:r>
      <w:r>
        <w:rPr>
          <w:spacing w:val="10"/>
          <w:sz w:val="16"/>
        </w:rPr>
        <w:t>v</w:t>
      </w:r>
      <w:r>
        <w:rPr>
          <w:sz w:val="16"/>
        </w:rPr>
        <w:t xml:space="preserve"> </w:t>
      </w:r>
      <w:r>
        <w:rPr>
          <w:spacing w:val="10"/>
          <w:sz w:val="16"/>
        </w:rPr>
        <w:t>e</w:t>
      </w:r>
      <w:r>
        <w:rPr>
          <w:sz w:val="16"/>
        </w:rPr>
        <w:t xml:space="preserve"> l</w:t>
      </w:r>
      <w:r>
        <w:rPr>
          <w:sz w:val="16"/>
        </w:rPr>
        <w:tab/>
      </w:r>
      <w:r>
        <w:rPr>
          <w:spacing w:val="10"/>
          <w:sz w:val="16"/>
        </w:rPr>
        <w:t>e m</w:t>
      </w:r>
      <w:r>
        <w:rPr>
          <w:spacing w:val="-10"/>
          <w:sz w:val="16"/>
        </w:rPr>
        <w:t xml:space="preserve"> </w:t>
      </w:r>
      <w:r>
        <w:rPr>
          <w:sz w:val="16"/>
        </w:rPr>
        <w:t>:</w:t>
      </w:r>
      <w:r>
        <w:rPr>
          <w:spacing w:val="10"/>
          <w:sz w:val="16"/>
        </w:rPr>
        <w:t xml:space="preserve"> </w:t>
      </w:r>
    </w:p>
    <w:p w:rsidR="00D81F69" w:rsidRDefault="00D81F69">
      <w:pPr>
        <w:spacing w:before="2"/>
        <w:ind w:left="100"/>
        <w:rPr>
          <w:sz w:val="16"/>
        </w:rPr>
      </w:pPr>
      <w:hyperlink r:id="rId1068">
        <w:r w:rsidR="00330118">
          <w:rPr>
            <w:sz w:val="16"/>
          </w:rPr>
          <w:t>&lt;http://www.ibge.gov.br/cidadesat/xtras/perfil.php?codmun=314220&amp;r</w:t>
        </w:r>
      </w:hyperlink>
    </w:p>
    <w:p w:rsidR="00D81F69" w:rsidRDefault="00330118">
      <w:pPr>
        <w:spacing w:before="56"/>
        <w:ind w:left="100"/>
        <w:rPr>
          <w:sz w:val="16"/>
        </w:rPr>
      </w:pPr>
      <w:r>
        <w:rPr>
          <w:sz w:val="16"/>
        </w:rPr>
        <w:t>=2&gt;. Acesso em: 10 out. 2011.</w:t>
      </w:r>
    </w:p>
    <w:p w:rsidR="00D81F69" w:rsidRDefault="00330118">
      <w:pPr>
        <w:tabs>
          <w:tab w:val="left" w:pos="937"/>
          <w:tab w:val="left" w:pos="2144"/>
          <w:tab w:val="left" w:pos="3199"/>
          <w:tab w:val="left" w:pos="4730"/>
        </w:tabs>
        <w:spacing w:before="56" w:line="312" w:lineRule="auto"/>
        <w:ind w:left="100" w:right="159"/>
        <w:rPr>
          <w:sz w:val="16"/>
        </w:rPr>
      </w:pPr>
      <w:r>
        <w:rPr>
          <w:sz w:val="16"/>
        </w:rPr>
        <w:t xml:space="preserve">IBGE, Instituto Brasileiro de Geografia e Estatística. Muriaé (MG). In:   </w:t>
      </w:r>
      <w:r>
        <w:rPr>
          <w:spacing w:val="10"/>
          <w:sz w:val="16"/>
        </w:rPr>
        <w:t>I B</w:t>
      </w:r>
      <w:r>
        <w:rPr>
          <w:spacing w:val="-10"/>
          <w:sz w:val="16"/>
        </w:rPr>
        <w:t xml:space="preserve"> </w:t>
      </w:r>
      <w:r>
        <w:rPr>
          <w:spacing w:val="10"/>
          <w:sz w:val="16"/>
        </w:rPr>
        <w:t>G</w:t>
      </w:r>
      <w:r>
        <w:rPr>
          <w:sz w:val="16"/>
        </w:rPr>
        <w:t xml:space="preserve"> E</w:t>
      </w:r>
      <w:r>
        <w:rPr>
          <w:sz w:val="16"/>
        </w:rPr>
        <w:tab/>
      </w:r>
      <w:r>
        <w:rPr>
          <w:spacing w:val="10"/>
          <w:sz w:val="16"/>
        </w:rPr>
        <w:t>C</w:t>
      </w:r>
      <w:r>
        <w:rPr>
          <w:sz w:val="16"/>
        </w:rPr>
        <w:t xml:space="preserve"> </w:t>
      </w:r>
      <w:r>
        <w:rPr>
          <w:spacing w:val="10"/>
          <w:sz w:val="16"/>
        </w:rPr>
        <w:t>i</w:t>
      </w:r>
      <w:r>
        <w:rPr>
          <w:sz w:val="16"/>
        </w:rPr>
        <w:t xml:space="preserve"> </w:t>
      </w:r>
      <w:r>
        <w:rPr>
          <w:spacing w:val="10"/>
          <w:sz w:val="16"/>
        </w:rPr>
        <w:t>d</w:t>
      </w:r>
      <w:r>
        <w:rPr>
          <w:sz w:val="16"/>
        </w:rPr>
        <w:t xml:space="preserve"> </w:t>
      </w:r>
      <w:r>
        <w:rPr>
          <w:spacing w:val="10"/>
          <w:sz w:val="16"/>
        </w:rPr>
        <w:t>a</w:t>
      </w:r>
      <w:r>
        <w:rPr>
          <w:sz w:val="16"/>
        </w:rPr>
        <w:t xml:space="preserve"> </w:t>
      </w:r>
      <w:r>
        <w:rPr>
          <w:spacing w:val="10"/>
          <w:sz w:val="16"/>
        </w:rPr>
        <w:t>d</w:t>
      </w:r>
      <w:r>
        <w:rPr>
          <w:sz w:val="16"/>
        </w:rPr>
        <w:t xml:space="preserve"> </w:t>
      </w:r>
      <w:r>
        <w:rPr>
          <w:spacing w:val="10"/>
          <w:sz w:val="16"/>
        </w:rPr>
        <w:t>e</w:t>
      </w:r>
      <w:r>
        <w:rPr>
          <w:sz w:val="16"/>
        </w:rPr>
        <w:t xml:space="preserve"> s</w:t>
      </w:r>
      <w:r>
        <w:rPr>
          <w:sz w:val="16"/>
        </w:rPr>
        <w:tab/>
      </w:r>
      <w:r>
        <w:rPr>
          <w:spacing w:val="10"/>
          <w:sz w:val="16"/>
        </w:rPr>
        <w:t>2 0 1 0</w:t>
      </w:r>
      <w:r>
        <w:rPr>
          <w:spacing w:val="-30"/>
          <w:sz w:val="16"/>
        </w:rPr>
        <w:t xml:space="preserve"> </w:t>
      </w:r>
      <w:r>
        <w:rPr>
          <w:spacing w:val="10"/>
          <w:sz w:val="16"/>
        </w:rPr>
        <w:t>b</w:t>
      </w:r>
      <w:r>
        <w:rPr>
          <w:sz w:val="16"/>
        </w:rPr>
        <w:t xml:space="preserve"> .</w:t>
      </w:r>
      <w:r>
        <w:rPr>
          <w:sz w:val="16"/>
        </w:rPr>
        <w:tab/>
      </w:r>
      <w:r>
        <w:rPr>
          <w:spacing w:val="10"/>
          <w:sz w:val="16"/>
        </w:rPr>
        <w:t>D</w:t>
      </w:r>
      <w:r>
        <w:rPr>
          <w:sz w:val="16"/>
        </w:rPr>
        <w:t xml:space="preserve"> </w:t>
      </w:r>
      <w:r>
        <w:rPr>
          <w:spacing w:val="10"/>
          <w:sz w:val="16"/>
        </w:rPr>
        <w:t>i</w:t>
      </w:r>
      <w:r>
        <w:rPr>
          <w:sz w:val="16"/>
        </w:rPr>
        <w:t xml:space="preserve"> </w:t>
      </w:r>
      <w:r>
        <w:rPr>
          <w:spacing w:val="10"/>
          <w:sz w:val="16"/>
        </w:rPr>
        <w:t>s</w:t>
      </w:r>
      <w:r>
        <w:rPr>
          <w:sz w:val="16"/>
        </w:rPr>
        <w:t xml:space="preserve"> </w:t>
      </w:r>
      <w:r>
        <w:rPr>
          <w:spacing w:val="10"/>
          <w:sz w:val="16"/>
        </w:rPr>
        <w:t>p</w:t>
      </w:r>
      <w:r>
        <w:rPr>
          <w:sz w:val="16"/>
        </w:rPr>
        <w:t xml:space="preserve"> </w:t>
      </w:r>
      <w:r>
        <w:rPr>
          <w:spacing w:val="10"/>
          <w:sz w:val="16"/>
        </w:rPr>
        <w:t>o</w:t>
      </w:r>
      <w:r>
        <w:rPr>
          <w:sz w:val="16"/>
        </w:rPr>
        <w:t xml:space="preserve"> </w:t>
      </w:r>
      <w:r>
        <w:rPr>
          <w:spacing w:val="10"/>
          <w:sz w:val="16"/>
        </w:rPr>
        <w:t>n</w:t>
      </w:r>
      <w:r>
        <w:rPr>
          <w:sz w:val="16"/>
        </w:rPr>
        <w:t xml:space="preserve"> </w:t>
      </w:r>
      <w:r>
        <w:rPr>
          <w:spacing w:val="10"/>
          <w:sz w:val="16"/>
        </w:rPr>
        <w:t>í</w:t>
      </w:r>
      <w:r>
        <w:rPr>
          <w:sz w:val="16"/>
        </w:rPr>
        <w:t xml:space="preserve"> </w:t>
      </w:r>
      <w:r>
        <w:rPr>
          <w:spacing w:val="10"/>
          <w:sz w:val="16"/>
        </w:rPr>
        <w:t>v</w:t>
      </w:r>
      <w:r>
        <w:rPr>
          <w:sz w:val="16"/>
        </w:rPr>
        <w:t xml:space="preserve"> </w:t>
      </w:r>
      <w:r>
        <w:rPr>
          <w:spacing w:val="10"/>
          <w:sz w:val="16"/>
        </w:rPr>
        <w:t>e</w:t>
      </w:r>
      <w:r>
        <w:rPr>
          <w:sz w:val="16"/>
        </w:rPr>
        <w:t xml:space="preserve"> l</w:t>
      </w:r>
      <w:r>
        <w:rPr>
          <w:sz w:val="16"/>
        </w:rPr>
        <w:tab/>
      </w:r>
      <w:r>
        <w:rPr>
          <w:spacing w:val="10"/>
          <w:sz w:val="16"/>
        </w:rPr>
        <w:t>e m</w:t>
      </w:r>
      <w:r>
        <w:rPr>
          <w:spacing w:val="-10"/>
          <w:sz w:val="16"/>
        </w:rPr>
        <w:t xml:space="preserve"> </w:t>
      </w:r>
      <w:r>
        <w:rPr>
          <w:sz w:val="16"/>
        </w:rPr>
        <w:t>:</w:t>
      </w:r>
      <w:r>
        <w:rPr>
          <w:spacing w:val="10"/>
          <w:sz w:val="16"/>
        </w:rPr>
        <w:t xml:space="preserve"> </w:t>
      </w:r>
    </w:p>
    <w:p w:rsidR="00D81F69" w:rsidRDefault="00D81F69">
      <w:pPr>
        <w:spacing w:before="1"/>
        <w:ind w:left="100"/>
        <w:rPr>
          <w:sz w:val="16"/>
        </w:rPr>
      </w:pPr>
      <w:hyperlink r:id="rId1069">
        <w:r w:rsidR="00330118">
          <w:rPr>
            <w:sz w:val="16"/>
          </w:rPr>
          <w:t>&lt;</w:t>
        </w:r>
        <w:r w:rsidR="00330118">
          <w:rPr>
            <w:sz w:val="16"/>
          </w:rPr>
          <w:t>http://www.ibge.gov.br/cidadesat/xtras/perfil.php?codmun=314390&amp;r</w:t>
        </w:r>
      </w:hyperlink>
    </w:p>
    <w:p w:rsidR="00D81F69" w:rsidRDefault="00330118">
      <w:pPr>
        <w:spacing w:before="56"/>
        <w:ind w:left="100"/>
        <w:rPr>
          <w:sz w:val="16"/>
        </w:rPr>
      </w:pPr>
      <w:r>
        <w:rPr>
          <w:sz w:val="16"/>
        </w:rPr>
        <w:t>=2&gt;. Acesso em: 10 out. 2011.</w:t>
      </w:r>
    </w:p>
    <w:p w:rsidR="00D81F69" w:rsidRDefault="00330118">
      <w:pPr>
        <w:spacing w:before="56" w:line="312" w:lineRule="auto"/>
        <w:ind w:left="100" w:right="159"/>
        <w:rPr>
          <w:sz w:val="16"/>
        </w:rPr>
      </w:pPr>
      <w:r>
        <w:rPr>
          <w:sz w:val="16"/>
        </w:rPr>
        <w:t xml:space="preserve">IBGE, Instituto Brasileiro de Geografia e Estatística. Patrocínio do </w:t>
      </w:r>
      <w:r>
        <w:rPr>
          <w:spacing w:val="12"/>
          <w:sz w:val="16"/>
        </w:rPr>
        <w:t xml:space="preserve">Muriaé </w:t>
      </w:r>
      <w:r>
        <w:rPr>
          <w:spacing w:val="11"/>
          <w:sz w:val="16"/>
        </w:rPr>
        <w:t xml:space="preserve">(MG). </w:t>
      </w:r>
      <w:r>
        <w:rPr>
          <w:spacing w:val="10"/>
          <w:sz w:val="16"/>
        </w:rPr>
        <w:t xml:space="preserve">In: </w:t>
      </w:r>
      <w:r>
        <w:rPr>
          <w:spacing w:val="11"/>
          <w:sz w:val="16"/>
        </w:rPr>
        <w:t xml:space="preserve">IBGE </w:t>
      </w:r>
      <w:r>
        <w:rPr>
          <w:spacing w:val="12"/>
          <w:sz w:val="16"/>
        </w:rPr>
        <w:t xml:space="preserve">Cidades 2010c. </w:t>
      </w:r>
      <w:r>
        <w:rPr>
          <w:spacing w:val="13"/>
          <w:sz w:val="16"/>
        </w:rPr>
        <w:t>Disponível</w:t>
      </w:r>
      <w:r>
        <w:rPr>
          <w:spacing w:val="66"/>
          <w:sz w:val="16"/>
        </w:rPr>
        <w:t xml:space="preserve"> </w:t>
      </w:r>
      <w:r>
        <w:rPr>
          <w:spacing w:val="10"/>
          <w:sz w:val="16"/>
        </w:rPr>
        <w:t>em:</w:t>
      </w:r>
      <w:r>
        <w:rPr>
          <w:spacing w:val="-28"/>
          <w:sz w:val="16"/>
        </w:rPr>
        <w:t xml:space="preserve"> </w:t>
      </w:r>
    </w:p>
    <w:p w:rsidR="00D81F69" w:rsidRDefault="00D81F69">
      <w:pPr>
        <w:spacing w:before="2"/>
        <w:ind w:left="100"/>
        <w:rPr>
          <w:sz w:val="16"/>
        </w:rPr>
      </w:pPr>
      <w:hyperlink r:id="rId1070">
        <w:r w:rsidR="00330118">
          <w:rPr>
            <w:sz w:val="16"/>
          </w:rPr>
          <w:t>&lt;http://www.ibge.gov.br/cidadesat/xtras/perfil.php?codmun=314820&amp;r</w:t>
        </w:r>
      </w:hyperlink>
    </w:p>
    <w:p w:rsidR="00D81F69" w:rsidRDefault="00330118">
      <w:pPr>
        <w:spacing w:before="56"/>
        <w:ind w:left="100"/>
        <w:rPr>
          <w:sz w:val="16"/>
        </w:rPr>
      </w:pPr>
      <w:r>
        <w:rPr>
          <w:sz w:val="16"/>
        </w:rPr>
        <w:t>=2&gt;. Acesso em: 10 out. 2011.</w:t>
      </w:r>
    </w:p>
    <w:p w:rsidR="00D81F69" w:rsidRDefault="00330118">
      <w:pPr>
        <w:spacing w:before="56" w:line="312" w:lineRule="auto"/>
        <w:ind w:left="100" w:right="159"/>
        <w:rPr>
          <w:sz w:val="16"/>
        </w:rPr>
      </w:pPr>
      <w:r>
        <w:rPr>
          <w:sz w:val="16"/>
        </w:rPr>
        <w:t>IBGE, Instituto Brasileiro de Geografia e Estatística. Laje do Muriaé (RJ). In: IBGE Cidades 2010d. Disponível</w:t>
      </w:r>
      <w:r>
        <w:rPr>
          <w:sz w:val="16"/>
        </w:rPr>
        <w:t xml:space="preserve"> em: </w:t>
      </w:r>
    </w:p>
    <w:p w:rsidR="00D81F69" w:rsidRDefault="00D81F69">
      <w:pPr>
        <w:spacing w:before="2"/>
        <w:ind w:left="100"/>
        <w:rPr>
          <w:sz w:val="16"/>
        </w:rPr>
      </w:pPr>
      <w:hyperlink r:id="rId1071">
        <w:r w:rsidR="00330118">
          <w:rPr>
            <w:sz w:val="16"/>
          </w:rPr>
          <w:t>&lt;http://www.ibge.gov.br/cidadesat/xtras/perfil.php?codmun=330230&amp;r</w:t>
        </w:r>
      </w:hyperlink>
    </w:p>
    <w:p w:rsidR="00D81F69" w:rsidRDefault="00330118">
      <w:pPr>
        <w:spacing w:before="56"/>
        <w:ind w:left="100"/>
        <w:rPr>
          <w:sz w:val="16"/>
        </w:rPr>
      </w:pPr>
      <w:r>
        <w:rPr>
          <w:sz w:val="16"/>
        </w:rPr>
        <w:t>=2&gt;. Acesso em: 10 out. 2011.</w:t>
      </w:r>
    </w:p>
    <w:p w:rsidR="00D81F69" w:rsidRDefault="00330118">
      <w:pPr>
        <w:tabs>
          <w:tab w:val="left" w:pos="602"/>
          <w:tab w:val="left" w:pos="1353"/>
          <w:tab w:val="left" w:pos="2438"/>
          <w:tab w:val="left" w:pos="3382"/>
          <w:tab w:val="left" w:pos="4756"/>
        </w:tabs>
        <w:spacing w:before="56" w:line="312" w:lineRule="auto"/>
        <w:ind w:left="100" w:right="159"/>
        <w:rPr>
          <w:sz w:val="16"/>
        </w:rPr>
      </w:pPr>
      <w:r>
        <w:rPr>
          <w:sz w:val="16"/>
        </w:rPr>
        <w:t>IBGE, Instituto Brasileiro de Geografia e Estatística. Itaperuna (</w:t>
      </w:r>
      <w:r>
        <w:rPr>
          <w:sz w:val="16"/>
        </w:rPr>
        <w:t xml:space="preserve">RJ). </w:t>
      </w:r>
      <w:r>
        <w:rPr>
          <w:spacing w:val="27"/>
          <w:sz w:val="16"/>
        </w:rPr>
        <w:t>In:</w:t>
      </w:r>
      <w:r>
        <w:rPr>
          <w:spacing w:val="27"/>
          <w:sz w:val="16"/>
        </w:rPr>
        <w:tab/>
      </w:r>
      <w:r>
        <w:rPr>
          <w:spacing w:val="30"/>
          <w:sz w:val="16"/>
        </w:rPr>
        <w:t>IBGE</w:t>
      </w:r>
      <w:r>
        <w:rPr>
          <w:spacing w:val="30"/>
          <w:sz w:val="16"/>
        </w:rPr>
        <w:tab/>
      </w:r>
      <w:r>
        <w:rPr>
          <w:spacing w:val="35"/>
          <w:sz w:val="16"/>
        </w:rPr>
        <w:t>Cidades</w:t>
      </w:r>
      <w:r>
        <w:rPr>
          <w:spacing w:val="35"/>
          <w:sz w:val="16"/>
        </w:rPr>
        <w:tab/>
        <w:t>2010e.</w:t>
      </w:r>
      <w:r>
        <w:rPr>
          <w:spacing w:val="35"/>
          <w:sz w:val="16"/>
        </w:rPr>
        <w:tab/>
      </w:r>
      <w:r>
        <w:rPr>
          <w:spacing w:val="36"/>
          <w:sz w:val="16"/>
        </w:rPr>
        <w:t>Disponível</w:t>
      </w:r>
      <w:r>
        <w:rPr>
          <w:spacing w:val="36"/>
          <w:sz w:val="16"/>
        </w:rPr>
        <w:tab/>
      </w:r>
      <w:r>
        <w:rPr>
          <w:spacing w:val="27"/>
          <w:sz w:val="16"/>
        </w:rPr>
        <w:t>em:</w:t>
      </w:r>
      <w:r>
        <w:rPr>
          <w:spacing w:val="-2"/>
          <w:sz w:val="16"/>
        </w:rPr>
        <w:t xml:space="preserve"> </w:t>
      </w:r>
    </w:p>
    <w:p w:rsidR="00D81F69" w:rsidRDefault="00D81F69">
      <w:pPr>
        <w:spacing w:before="1"/>
        <w:ind w:left="100"/>
        <w:rPr>
          <w:sz w:val="16"/>
        </w:rPr>
      </w:pPr>
      <w:hyperlink r:id="rId1072">
        <w:r w:rsidR="00330118">
          <w:rPr>
            <w:sz w:val="16"/>
          </w:rPr>
          <w:t>&lt;http://www.ibge.gov.br/cidadesat/xtras/perfil.php?codmun=330220&amp;r</w:t>
        </w:r>
      </w:hyperlink>
    </w:p>
    <w:p w:rsidR="00D81F69" w:rsidRDefault="00330118">
      <w:pPr>
        <w:spacing w:before="56"/>
        <w:ind w:left="100"/>
        <w:rPr>
          <w:sz w:val="16"/>
        </w:rPr>
      </w:pPr>
      <w:r>
        <w:rPr>
          <w:sz w:val="16"/>
        </w:rPr>
        <w:t>=2&gt;. Acesso em: 10 out. 2011.</w:t>
      </w:r>
    </w:p>
    <w:p w:rsidR="00D81F69" w:rsidRDefault="00330118">
      <w:pPr>
        <w:spacing w:before="56"/>
        <w:ind w:left="100"/>
        <w:rPr>
          <w:sz w:val="16"/>
        </w:rPr>
      </w:pPr>
      <w:r>
        <w:rPr>
          <w:sz w:val="16"/>
        </w:rPr>
        <w:t>MAPA  DA  INJUSTIÇA  AMBIENTAL  E   SAÚDE  NO BRASIL.</w:t>
      </w:r>
    </w:p>
    <w:p w:rsidR="00D81F69" w:rsidRDefault="00330118">
      <w:pPr>
        <w:spacing w:before="56" w:line="312" w:lineRule="auto"/>
        <w:ind w:left="100" w:right="180"/>
        <w:jc w:val="both"/>
        <w:rPr>
          <w:sz w:val="16"/>
        </w:rPr>
      </w:pPr>
      <w:r>
        <w:rPr>
          <w:sz w:val="16"/>
        </w:rPr>
        <w:t xml:space="preserve">Rompimentos de barragens de rejeitos da Rio Pomba Mineração comprovam os riscos da atividade minerária para a sustentabilidade hídrica de Minas Gerais e estados à jusante das suas bacias hidrográficas. </w:t>
      </w:r>
      <w:r>
        <w:rPr>
          <w:sz w:val="16"/>
        </w:rPr>
        <w:t xml:space="preserve">   Base   de   dados,  2009.  Disponível  em: </w:t>
      </w:r>
    </w:p>
    <w:p w:rsidR="00D81F69" w:rsidRDefault="00D81F69">
      <w:pPr>
        <w:spacing w:before="4" w:line="312" w:lineRule="auto"/>
        <w:ind w:left="100" w:right="159"/>
        <w:rPr>
          <w:sz w:val="16"/>
        </w:rPr>
      </w:pPr>
      <w:hyperlink r:id="rId1073">
        <w:r w:rsidR="00330118">
          <w:rPr>
            <w:sz w:val="16"/>
          </w:rPr>
          <w:t>&lt;http://www.conflitoambiental.icict.fiocruz.br/index.php?pag=ficha&amp;co</w:t>
        </w:r>
      </w:hyperlink>
      <w:r w:rsidR="00330118">
        <w:rPr>
          <w:sz w:val="16"/>
        </w:rPr>
        <w:t xml:space="preserve"> d=234&gt;. Acesso em: 20 out. 2011</w:t>
      </w:r>
    </w:p>
    <w:p w:rsidR="00D81F69" w:rsidRDefault="00330118">
      <w:pPr>
        <w:spacing w:before="1" w:line="312" w:lineRule="auto"/>
        <w:ind w:left="100" w:right="197"/>
        <w:jc w:val="both"/>
        <w:rPr>
          <w:sz w:val="16"/>
        </w:rPr>
      </w:pPr>
      <w:r>
        <w:rPr>
          <w:sz w:val="16"/>
        </w:rPr>
        <w:t xml:space="preserve">MASSOTE, Raquel. Rompimento de barragem da Rio Pomba afeta cidade em MG. Agência Estado, São Paulo, 10 jan. 2007. Disponível em: </w:t>
      </w:r>
      <w:hyperlink r:id="rId1074">
        <w:r>
          <w:rPr>
            <w:sz w:val="16"/>
          </w:rPr>
          <w:t>&lt;http://www.achanoticias.com.br/noticia.kmf?noticia</w:t>
        </w:r>
        <w:r>
          <w:rPr>
            <w:sz w:val="16"/>
          </w:rPr>
          <w:t>=5663463&gt;.</w:t>
        </w:r>
      </w:hyperlink>
      <w:r>
        <w:rPr>
          <w:sz w:val="16"/>
        </w:rPr>
        <w:t xml:space="preserve"> Acesso em: 03 abr. 2010.</w:t>
      </w:r>
    </w:p>
    <w:p w:rsidR="00D81F69" w:rsidRDefault="00330118">
      <w:pPr>
        <w:spacing w:before="4" w:line="312" w:lineRule="auto"/>
        <w:ind w:left="100" w:right="159"/>
        <w:rPr>
          <w:sz w:val="16"/>
        </w:rPr>
      </w:pPr>
      <w:r>
        <w:rPr>
          <w:sz w:val="16"/>
        </w:rPr>
        <w:t xml:space="preserve">MPF, Ministério Público Federal. Acordo é firmado para minimizar danos de acidente do Rio Pomba, 2007. Disponível em: </w:t>
      </w:r>
    </w:p>
    <w:p w:rsidR="00D81F69" w:rsidRDefault="00D81F69">
      <w:pPr>
        <w:spacing w:before="1" w:line="312" w:lineRule="auto"/>
        <w:ind w:left="100" w:right="208"/>
        <w:jc w:val="both"/>
        <w:rPr>
          <w:sz w:val="16"/>
        </w:rPr>
      </w:pPr>
      <w:hyperlink r:id="rId1075">
        <w:r w:rsidR="00330118">
          <w:rPr>
            <w:sz w:val="16"/>
          </w:rPr>
          <w:t>&lt;http://www.pgr</w:t>
        </w:r>
        <w:r w:rsidR="00330118">
          <w:rPr>
            <w:sz w:val="16"/>
          </w:rPr>
          <w:t>.mpf.gov.br/noticias/noticias-do-site/meio-ambiente-e-</w:t>
        </w:r>
      </w:hyperlink>
      <w:r w:rsidR="00330118">
        <w:rPr>
          <w:sz w:val="16"/>
        </w:rPr>
        <w:t xml:space="preserve"> patrimonio-cultural/acordo-e-firmado-para-minimizar-danos-de- acidente-da-rio-pomba-1/&gt;. Acesso em: 03 abr. 2010.</w:t>
      </w:r>
    </w:p>
    <w:p w:rsidR="00D81F69" w:rsidRDefault="00330118">
      <w:pPr>
        <w:spacing w:before="3" w:line="312" w:lineRule="auto"/>
        <w:ind w:left="100" w:right="190"/>
        <w:jc w:val="both"/>
        <w:rPr>
          <w:sz w:val="16"/>
        </w:rPr>
      </w:pPr>
      <w:r>
        <w:rPr>
          <w:sz w:val="16"/>
        </w:rPr>
        <w:t xml:space="preserve">PESSOA, Fernanda Fonseca. Comparação da cobertura jornalística de acidentes ambientais </w:t>
      </w:r>
      <w:r>
        <w:rPr>
          <w:sz w:val="16"/>
        </w:rPr>
        <w:t xml:space="preserve">por veículos impressos de Minas Gerais e Rio de Janeiro, RJ. 2008. 108f. Dissertação (Mestrado em Engenharia </w:t>
      </w:r>
      <w:r>
        <w:rPr>
          <w:spacing w:val="5"/>
          <w:sz w:val="16"/>
        </w:rPr>
        <w:t xml:space="preserve">Florestal) </w:t>
      </w:r>
      <w:r>
        <w:rPr>
          <w:sz w:val="16"/>
        </w:rPr>
        <w:t xml:space="preserve">- </w:t>
      </w:r>
      <w:r>
        <w:rPr>
          <w:spacing w:val="5"/>
          <w:sz w:val="16"/>
        </w:rPr>
        <w:t xml:space="preserve">Programa </w:t>
      </w:r>
      <w:r>
        <w:rPr>
          <w:spacing w:val="2"/>
          <w:sz w:val="16"/>
        </w:rPr>
        <w:t xml:space="preserve">de </w:t>
      </w:r>
      <w:r>
        <w:rPr>
          <w:spacing w:val="5"/>
          <w:sz w:val="16"/>
        </w:rPr>
        <w:t xml:space="preserve">Pós-Graduação </w:t>
      </w:r>
      <w:r>
        <w:rPr>
          <w:spacing w:val="2"/>
          <w:sz w:val="16"/>
        </w:rPr>
        <w:t xml:space="preserve">em </w:t>
      </w:r>
      <w:r>
        <w:rPr>
          <w:spacing w:val="5"/>
          <w:sz w:val="16"/>
        </w:rPr>
        <w:t xml:space="preserve">Ciência Florestal, </w:t>
      </w:r>
      <w:r>
        <w:rPr>
          <w:spacing w:val="6"/>
          <w:sz w:val="16"/>
        </w:rPr>
        <w:t xml:space="preserve">Universidade </w:t>
      </w:r>
      <w:r>
        <w:rPr>
          <w:spacing w:val="3"/>
          <w:sz w:val="16"/>
        </w:rPr>
        <w:t xml:space="preserve">de </w:t>
      </w:r>
      <w:r>
        <w:rPr>
          <w:spacing w:val="5"/>
          <w:sz w:val="16"/>
        </w:rPr>
        <w:t xml:space="preserve">Viçosa, Viçosa </w:t>
      </w:r>
      <w:r>
        <w:rPr>
          <w:sz w:val="16"/>
        </w:rPr>
        <w:t xml:space="preserve">– </w:t>
      </w:r>
      <w:r>
        <w:rPr>
          <w:spacing w:val="5"/>
          <w:sz w:val="16"/>
        </w:rPr>
        <w:t xml:space="preserve">MG, 2008. </w:t>
      </w:r>
      <w:r>
        <w:rPr>
          <w:spacing w:val="6"/>
          <w:sz w:val="16"/>
        </w:rPr>
        <w:t>Disponível</w:t>
      </w:r>
      <w:r>
        <w:rPr>
          <w:spacing w:val="16"/>
          <w:sz w:val="16"/>
        </w:rPr>
        <w:t xml:space="preserve"> </w:t>
      </w:r>
      <w:r>
        <w:rPr>
          <w:spacing w:val="7"/>
          <w:sz w:val="16"/>
        </w:rPr>
        <w:t>em:</w:t>
      </w:r>
    </w:p>
    <w:p w:rsidR="00D81F69" w:rsidRDefault="00D81F69">
      <w:pPr>
        <w:spacing w:before="4" w:line="312" w:lineRule="auto"/>
        <w:ind w:left="100" w:right="214"/>
        <w:jc w:val="both"/>
        <w:rPr>
          <w:sz w:val="16"/>
        </w:rPr>
      </w:pPr>
      <w:hyperlink r:id="rId1076">
        <w:r w:rsidR="00330118">
          <w:rPr>
            <w:sz w:val="16"/>
          </w:rPr>
          <w:t>&lt;http://www.tede.ufv.br/tedesimplificado/tde_arquivos/4/TDE-2008-09-</w:t>
        </w:r>
      </w:hyperlink>
      <w:r w:rsidR="00330118">
        <w:rPr>
          <w:sz w:val="16"/>
        </w:rPr>
        <w:t xml:space="preserve"> 09T080554Z-1347/Publico/texto%20completo.pdf&gt;. Acesso em: 03 abr. 2010.</w:t>
      </w:r>
    </w:p>
    <w:p w:rsidR="00D81F69" w:rsidRDefault="00330118">
      <w:pPr>
        <w:spacing w:before="2" w:line="312" w:lineRule="auto"/>
        <w:ind w:left="100" w:right="199"/>
        <w:jc w:val="both"/>
        <w:rPr>
          <w:sz w:val="16"/>
        </w:rPr>
      </w:pPr>
      <w:r>
        <w:rPr>
          <w:sz w:val="16"/>
        </w:rPr>
        <w:t>SÁ, Paula Barrigosse. Percepção da população acerca dos im</w:t>
      </w:r>
      <w:r>
        <w:rPr>
          <w:sz w:val="16"/>
        </w:rPr>
        <w:t>pactos socioambientais do acidente da mineração Pomba-Cataguases no município de Laje do Muriaé. 2007. 82f. Monografia (Curso Ciências Sociais), Universidade Estadual do Norte Fluminense – Darcy Ribeiro,</w:t>
      </w:r>
    </w:p>
    <w:p w:rsidR="00D81F69" w:rsidRDefault="00330118">
      <w:pPr>
        <w:spacing w:before="4"/>
        <w:ind w:left="100"/>
        <w:jc w:val="both"/>
        <w:rPr>
          <w:sz w:val="16"/>
        </w:rPr>
      </w:pPr>
      <w:r>
        <w:rPr>
          <w:sz w:val="16"/>
        </w:rPr>
        <w:t>Campos  dos   Goytacazes  -   RJ,   2007.  Disponíve</w:t>
      </w:r>
      <w:r>
        <w:rPr>
          <w:sz w:val="16"/>
        </w:rPr>
        <w:t xml:space="preserve">l em: </w:t>
      </w:r>
    </w:p>
    <w:p w:rsidR="00D81F69" w:rsidRDefault="00D81F69">
      <w:pPr>
        <w:jc w:val="both"/>
        <w:rPr>
          <w:sz w:val="16"/>
        </w:rPr>
        <w:sectPr w:rsidR="00D81F69">
          <w:pgSz w:w="11900" w:h="16840"/>
          <w:pgMar w:top="740" w:right="500" w:bottom="600" w:left="620" w:header="0" w:footer="402" w:gutter="0"/>
          <w:cols w:num="2" w:space="720" w:equalWidth="0">
            <w:col w:w="5178" w:space="292"/>
            <w:col w:w="5310"/>
          </w:cols>
        </w:sectPr>
      </w:pPr>
    </w:p>
    <w:p w:rsidR="00D81F69" w:rsidRDefault="00D81F69">
      <w:pPr>
        <w:spacing w:before="70"/>
        <w:ind w:left="100"/>
        <w:rPr>
          <w:sz w:val="16"/>
        </w:rPr>
      </w:pPr>
      <w:hyperlink r:id="rId1077">
        <w:r w:rsidR="00330118">
          <w:rPr>
            <w:sz w:val="16"/>
          </w:rPr>
          <w:t>&lt;http://www.institutomilenioestuarios.com.br/pdfs/Monografias/11.pdf&gt;</w:t>
        </w:r>
      </w:hyperlink>
    </w:p>
    <w:p w:rsidR="00D81F69" w:rsidRDefault="00330118">
      <w:pPr>
        <w:spacing w:before="56"/>
        <w:ind w:left="100"/>
        <w:rPr>
          <w:sz w:val="16"/>
        </w:rPr>
      </w:pPr>
      <w:r>
        <w:rPr>
          <w:sz w:val="16"/>
        </w:rPr>
        <w:t>. Acesso em: 02 abr. 2010.</w:t>
      </w:r>
    </w:p>
    <w:p w:rsidR="00D81F69" w:rsidRDefault="00330118">
      <w:pPr>
        <w:spacing w:before="56" w:line="312" w:lineRule="auto"/>
        <w:ind w:left="100" w:right="38"/>
        <w:jc w:val="both"/>
        <w:rPr>
          <w:sz w:val="16"/>
        </w:rPr>
      </w:pPr>
      <w:r>
        <w:rPr>
          <w:sz w:val="16"/>
        </w:rPr>
        <w:t>SAMPAIO, João Alves; NEVES, Carlos Hen</w:t>
      </w:r>
      <w:r>
        <w:rPr>
          <w:sz w:val="16"/>
        </w:rPr>
        <w:t xml:space="preserve">rique Babsky. Bauxita – MSL Minerais S.A. Comunicação Técnica para o livro Usina de Beneficiamento de Minérios do Brasil. Centro de Tecnologia Mineral – CETEM,  Rio   de   Janeiro,  dez.   2002.  Disponível  em: </w:t>
      </w:r>
    </w:p>
    <w:p w:rsidR="00D81F69" w:rsidRDefault="00D81F69">
      <w:pPr>
        <w:spacing w:before="3"/>
        <w:ind w:left="100"/>
        <w:jc w:val="both"/>
        <w:rPr>
          <w:sz w:val="16"/>
        </w:rPr>
      </w:pPr>
      <w:hyperlink r:id="rId1078">
        <w:r w:rsidR="00330118">
          <w:rPr>
            <w:sz w:val="16"/>
          </w:rPr>
          <w:t>&lt;http://www.cetem.gov.br/publicacao/CTs/CT2002-183-00.pdf&gt;.</w:t>
        </w:r>
      </w:hyperlink>
    </w:p>
    <w:p w:rsidR="00D81F69" w:rsidRDefault="00330118">
      <w:pPr>
        <w:spacing w:before="70"/>
        <w:ind w:left="100"/>
        <w:rPr>
          <w:sz w:val="16"/>
        </w:rPr>
      </w:pPr>
      <w:r>
        <w:br w:type="column"/>
      </w:r>
      <w:r>
        <w:rPr>
          <w:sz w:val="16"/>
        </w:rPr>
        <w:lastRenderedPageBreak/>
        <w:t>Acesso em: 05 abr. 2010.</w:t>
      </w:r>
    </w:p>
    <w:p w:rsidR="00D81F69" w:rsidRDefault="00330118">
      <w:pPr>
        <w:tabs>
          <w:tab w:val="left" w:pos="4331"/>
        </w:tabs>
        <w:spacing w:before="56" w:line="312" w:lineRule="auto"/>
        <w:ind w:left="100" w:right="188"/>
        <w:jc w:val="both"/>
        <w:rPr>
          <w:sz w:val="16"/>
        </w:rPr>
      </w:pPr>
      <w:r>
        <w:rPr>
          <w:spacing w:val="1"/>
          <w:sz w:val="16"/>
        </w:rPr>
        <w:t xml:space="preserve">ÚLTIMO SEGUNDO. Volume </w:t>
      </w:r>
      <w:r>
        <w:rPr>
          <w:sz w:val="16"/>
        </w:rPr>
        <w:t xml:space="preserve">de </w:t>
      </w:r>
      <w:r>
        <w:rPr>
          <w:spacing w:val="1"/>
          <w:sz w:val="16"/>
        </w:rPr>
        <w:t xml:space="preserve">água retarda chegada </w:t>
      </w:r>
      <w:r>
        <w:rPr>
          <w:sz w:val="16"/>
        </w:rPr>
        <w:t xml:space="preserve">da </w:t>
      </w:r>
      <w:r>
        <w:rPr>
          <w:spacing w:val="1"/>
          <w:sz w:val="16"/>
        </w:rPr>
        <w:t xml:space="preserve">lama </w:t>
      </w:r>
      <w:r>
        <w:rPr>
          <w:sz w:val="16"/>
        </w:rPr>
        <w:t xml:space="preserve">a </w:t>
      </w:r>
      <w:r>
        <w:rPr>
          <w:spacing w:val="8"/>
          <w:sz w:val="16"/>
        </w:rPr>
        <w:t xml:space="preserve">Itaperuna; </w:t>
      </w:r>
      <w:r>
        <w:rPr>
          <w:spacing w:val="5"/>
          <w:sz w:val="16"/>
        </w:rPr>
        <w:t xml:space="preserve">Rio </w:t>
      </w:r>
      <w:r>
        <w:rPr>
          <w:spacing w:val="6"/>
          <w:sz w:val="16"/>
        </w:rPr>
        <w:t xml:space="preserve">quer </w:t>
      </w:r>
      <w:r>
        <w:rPr>
          <w:spacing w:val="8"/>
          <w:sz w:val="16"/>
        </w:rPr>
        <w:t xml:space="preserve">ressarcimento. </w:t>
      </w:r>
      <w:r>
        <w:rPr>
          <w:spacing w:val="5"/>
          <w:sz w:val="16"/>
        </w:rPr>
        <w:t xml:space="preserve">São  </w:t>
      </w:r>
      <w:r>
        <w:rPr>
          <w:spacing w:val="7"/>
          <w:sz w:val="16"/>
        </w:rPr>
        <w:t xml:space="preserve">Paulo,  </w:t>
      </w:r>
      <w:r>
        <w:rPr>
          <w:spacing w:val="5"/>
          <w:sz w:val="16"/>
        </w:rPr>
        <w:t xml:space="preserve">12  jan  </w:t>
      </w:r>
      <w:r>
        <w:rPr>
          <w:spacing w:val="10"/>
          <w:sz w:val="16"/>
        </w:rPr>
        <w:t xml:space="preserve">2007.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 xml:space="preserve">e      m    </w:t>
      </w:r>
      <w:r>
        <w:rPr>
          <w:spacing w:val="20"/>
          <w:sz w:val="16"/>
        </w:rPr>
        <w:t xml:space="preserve"> </w:t>
      </w:r>
      <w:r>
        <w:rPr>
          <w:sz w:val="16"/>
        </w:rPr>
        <w:t>:</w:t>
      </w:r>
    </w:p>
    <w:p w:rsidR="00D81F69" w:rsidRDefault="00D81F69">
      <w:pPr>
        <w:spacing w:before="2" w:line="312" w:lineRule="auto"/>
        <w:ind w:left="100" w:right="216"/>
        <w:jc w:val="both"/>
        <w:rPr>
          <w:sz w:val="16"/>
        </w:rPr>
      </w:pPr>
      <w:hyperlink r:id="rId1079">
        <w:r w:rsidR="00330118">
          <w:rPr>
            <w:sz w:val="16"/>
          </w:rPr>
          <w:t>&lt;http://ultimosegundo.ig.com.br/brasil/2007/01/12/residuos_que_vaza</w:t>
        </w:r>
      </w:hyperlink>
      <w:r w:rsidR="00330118">
        <w:rPr>
          <w:sz w:val="16"/>
        </w:rPr>
        <w:t xml:space="preserve"> ram_d</w:t>
      </w:r>
      <w:r w:rsidR="00330118">
        <w:rPr>
          <w:sz w:val="16"/>
        </w:rPr>
        <w:t>a_mineradora_atingem_norte_do_rio_de_janeiro_337100.html&gt;</w:t>
      </w:r>
    </w:p>
    <w:p w:rsidR="00D81F69" w:rsidRDefault="00330118">
      <w:pPr>
        <w:spacing w:before="2"/>
        <w:ind w:left="100"/>
        <w:jc w:val="both"/>
        <w:rPr>
          <w:sz w:val="16"/>
        </w:rPr>
      </w:pPr>
      <w:r>
        <w:rPr>
          <w:sz w:val="16"/>
        </w:rPr>
        <w:t>. Acesso em: 05 abr. 2010.</w:t>
      </w:r>
    </w:p>
    <w:p w:rsidR="00D81F69" w:rsidRDefault="00D81F69">
      <w:pPr>
        <w:jc w:val="both"/>
        <w:rPr>
          <w:sz w:val="16"/>
        </w:rPr>
        <w:sectPr w:rsidR="00D81F69">
          <w:pgSz w:w="11900" w:h="16840"/>
          <w:pgMar w:top="740" w:right="500" w:bottom="720" w:left="620" w:header="0" w:footer="402" w:gutter="0"/>
          <w:cols w:num="2" w:space="720" w:equalWidth="0">
            <w:col w:w="5173" w:space="297"/>
            <w:col w:w="5310"/>
          </w:cols>
        </w:sectPr>
      </w:pPr>
    </w:p>
    <w:p w:rsidR="00D81F69" w:rsidRDefault="00330118">
      <w:pPr>
        <w:pStyle w:val="Heading1"/>
        <w:spacing w:line="208" w:lineRule="auto"/>
        <w:ind w:right="301"/>
      </w:pPr>
      <w:r>
        <w:lastRenderedPageBreak/>
        <w:t>Expansão da atividade mineradora em Congonhas (MG) pode agravar impactos ambientais no município</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7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588"/>
        <w:rPr>
          <w:i/>
          <w:sz w:val="14"/>
        </w:rPr>
      </w:pPr>
      <w:r>
        <w:rPr>
          <w:i/>
          <w:sz w:val="14"/>
        </w:rPr>
        <w:t>MG - Belo Val</w:t>
      </w:r>
      <w:r>
        <w:rPr>
          <w:i/>
          <w:sz w:val="14"/>
        </w:rPr>
        <w:t>e MG - Congonhas</w:t>
      </w:r>
    </w:p>
    <w:p w:rsidR="00D81F69" w:rsidRDefault="00330118">
      <w:pPr>
        <w:spacing w:before="2" w:line="312" w:lineRule="auto"/>
        <w:ind w:left="135" w:right="38"/>
        <w:jc w:val="both"/>
        <w:rPr>
          <w:i/>
          <w:sz w:val="14"/>
        </w:rPr>
      </w:pPr>
      <w:r>
        <w:rPr>
          <w:i/>
          <w:sz w:val="14"/>
        </w:rPr>
        <w:t>MG - Conselheiro Lafaiete MG - Entre Rios de Minas MG - Jeceaba</w:t>
      </w:r>
    </w:p>
    <w:p w:rsidR="00D81F69" w:rsidRDefault="00330118">
      <w:pPr>
        <w:spacing w:before="2"/>
        <w:ind w:left="135"/>
        <w:jc w:val="both"/>
        <w:rPr>
          <w:i/>
          <w:sz w:val="14"/>
        </w:rPr>
      </w:pPr>
      <w:r>
        <w:rPr>
          <w:i/>
          <w:sz w:val="14"/>
        </w:rPr>
        <w:t>MG - Ouro Branco</w:t>
      </w:r>
    </w:p>
    <w:p w:rsidR="00D81F69" w:rsidRDefault="00330118">
      <w:pPr>
        <w:spacing w:before="49"/>
        <w:ind w:left="135"/>
        <w:jc w:val="both"/>
        <w:rPr>
          <w:i/>
          <w:sz w:val="14"/>
        </w:rPr>
      </w:pPr>
      <w:r>
        <w:rPr>
          <w:i/>
          <w:sz w:val="14"/>
        </w:rPr>
        <w:t>MG - São Brás do Suaçuí</w:t>
      </w:r>
    </w:p>
    <w:p w:rsidR="00D81F69" w:rsidRDefault="00D81F69">
      <w:pPr>
        <w:pStyle w:val="Corpodetexto"/>
        <w:spacing w:before="6"/>
        <w:ind w:left="0"/>
        <w:jc w:val="left"/>
        <w:rPr>
          <w:i/>
          <w:sz w:val="22"/>
        </w:rPr>
      </w:pPr>
    </w:p>
    <w:p w:rsidR="00D81F69" w:rsidRDefault="00330118">
      <w:pPr>
        <w:ind w:left="135"/>
        <w:jc w:val="both"/>
        <w:rPr>
          <w:i/>
          <w:sz w:val="14"/>
        </w:rPr>
      </w:pPr>
      <w:r>
        <w:rPr>
          <w:i/>
          <w:sz w:val="14"/>
        </w:rPr>
        <w:t>LATITUDE</w:t>
      </w:r>
    </w:p>
    <w:p w:rsidR="00D81F69" w:rsidRDefault="00330118">
      <w:pPr>
        <w:spacing w:before="49"/>
        <w:ind w:left="135"/>
        <w:jc w:val="both"/>
        <w:rPr>
          <w:i/>
          <w:sz w:val="14"/>
        </w:rPr>
      </w:pPr>
      <w:r>
        <w:rPr>
          <w:i/>
          <w:sz w:val="14"/>
        </w:rPr>
        <w:t>-20,428</w:t>
      </w:r>
    </w:p>
    <w:p w:rsidR="00D81F69" w:rsidRDefault="00D81F69">
      <w:pPr>
        <w:pStyle w:val="Corpodetexto"/>
        <w:spacing w:before="6"/>
        <w:ind w:left="0"/>
        <w:jc w:val="left"/>
        <w:rPr>
          <w:i/>
          <w:sz w:val="22"/>
        </w:rPr>
      </w:pPr>
    </w:p>
    <w:p w:rsidR="00D81F69" w:rsidRDefault="00330118">
      <w:pPr>
        <w:ind w:left="135"/>
        <w:jc w:val="both"/>
        <w:rPr>
          <w:i/>
          <w:sz w:val="14"/>
        </w:rPr>
      </w:pPr>
      <w:r>
        <w:rPr>
          <w:i/>
          <w:sz w:val="14"/>
        </w:rPr>
        <w:t>LONGITUDE</w:t>
      </w:r>
    </w:p>
    <w:p w:rsidR="00D81F69" w:rsidRDefault="00330118">
      <w:pPr>
        <w:spacing w:before="49"/>
        <w:ind w:left="135"/>
        <w:jc w:val="both"/>
        <w:rPr>
          <w:i/>
          <w:sz w:val="14"/>
        </w:rPr>
      </w:pPr>
      <w:r>
        <w:rPr>
          <w:i/>
          <w:sz w:val="14"/>
        </w:rPr>
        <w:t>-43,8513</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3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pacing w:val="10"/>
          <w:sz w:val="16"/>
        </w:rPr>
        <w:t xml:space="preserve">Congonhas integra </w:t>
      </w:r>
      <w:r>
        <w:rPr>
          <w:i/>
          <w:sz w:val="16"/>
        </w:rPr>
        <w:t xml:space="preserve">o </w:t>
      </w:r>
      <w:r>
        <w:rPr>
          <w:i/>
          <w:spacing w:val="11"/>
          <w:sz w:val="16"/>
        </w:rPr>
        <w:t xml:space="preserve">Quadrilátero </w:t>
      </w:r>
      <w:r>
        <w:rPr>
          <w:i/>
          <w:sz w:val="16"/>
        </w:rPr>
        <w:t xml:space="preserve">Ferrífero, que representa uma das mais importantes províncias minerais do país. Nele, atuam as empresas mineradoras Vale e Companhia Siderúrgica Nacional (CSN). Devido à crescente demanda por </w:t>
      </w:r>
      <w:r>
        <w:rPr>
          <w:i/>
          <w:spacing w:val="3"/>
          <w:sz w:val="16"/>
        </w:rPr>
        <w:t xml:space="preserve">exportação </w:t>
      </w:r>
      <w:r>
        <w:rPr>
          <w:i/>
          <w:spacing w:val="1"/>
          <w:sz w:val="16"/>
        </w:rPr>
        <w:t xml:space="preserve">de </w:t>
      </w:r>
      <w:r>
        <w:rPr>
          <w:i/>
          <w:spacing w:val="3"/>
          <w:sz w:val="16"/>
        </w:rPr>
        <w:t xml:space="preserve">minério </w:t>
      </w:r>
      <w:r>
        <w:rPr>
          <w:i/>
          <w:spacing w:val="1"/>
          <w:sz w:val="16"/>
        </w:rPr>
        <w:t xml:space="preserve">de </w:t>
      </w:r>
      <w:r>
        <w:rPr>
          <w:i/>
          <w:spacing w:val="3"/>
          <w:sz w:val="16"/>
        </w:rPr>
        <w:t xml:space="preserve">ferro, </w:t>
      </w:r>
      <w:r>
        <w:rPr>
          <w:i/>
          <w:spacing w:val="5"/>
          <w:sz w:val="16"/>
        </w:rPr>
        <w:t xml:space="preserve">estas </w:t>
      </w:r>
      <w:r>
        <w:rPr>
          <w:i/>
          <w:spacing w:val="13"/>
          <w:sz w:val="16"/>
        </w:rPr>
        <w:t xml:space="preserve">empresas </w:t>
      </w:r>
      <w:r>
        <w:rPr>
          <w:i/>
          <w:spacing w:val="10"/>
          <w:sz w:val="16"/>
        </w:rPr>
        <w:t xml:space="preserve">vêm </w:t>
      </w:r>
      <w:r>
        <w:rPr>
          <w:i/>
          <w:spacing w:val="13"/>
          <w:sz w:val="16"/>
        </w:rPr>
        <w:t xml:space="preserve">anunciando </w:t>
      </w:r>
      <w:r>
        <w:rPr>
          <w:i/>
          <w:spacing w:val="11"/>
          <w:sz w:val="16"/>
        </w:rPr>
        <w:t>al</w:t>
      </w:r>
      <w:r>
        <w:rPr>
          <w:i/>
          <w:spacing w:val="11"/>
          <w:sz w:val="16"/>
        </w:rPr>
        <w:t xml:space="preserve">tos </w:t>
      </w:r>
      <w:r>
        <w:rPr>
          <w:i/>
          <w:spacing w:val="1"/>
          <w:sz w:val="16"/>
        </w:rPr>
        <w:t xml:space="preserve">investimentos </w:t>
      </w:r>
      <w:r>
        <w:rPr>
          <w:i/>
          <w:sz w:val="16"/>
        </w:rPr>
        <w:t xml:space="preserve">na </w:t>
      </w:r>
      <w:r>
        <w:rPr>
          <w:i/>
          <w:spacing w:val="1"/>
          <w:sz w:val="16"/>
        </w:rPr>
        <w:t xml:space="preserve">região para </w:t>
      </w:r>
      <w:r>
        <w:rPr>
          <w:i/>
          <w:spacing w:val="2"/>
          <w:sz w:val="16"/>
        </w:rPr>
        <w:t xml:space="preserve">expandir </w:t>
      </w:r>
      <w:r>
        <w:rPr>
          <w:i/>
          <w:spacing w:val="11"/>
          <w:sz w:val="16"/>
        </w:rPr>
        <w:t xml:space="preserve">seus </w:t>
      </w:r>
      <w:r>
        <w:rPr>
          <w:i/>
          <w:spacing w:val="15"/>
          <w:sz w:val="16"/>
        </w:rPr>
        <w:t xml:space="preserve">negócios, </w:t>
      </w:r>
      <w:r>
        <w:rPr>
          <w:i/>
          <w:sz w:val="16"/>
        </w:rPr>
        <w:t xml:space="preserve">o </w:t>
      </w:r>
      <w:r>
        <w:rPr>
          <w:i/>
          <w:spacing w:val="10"/>
          <w:sz w:val="16"/>
        </w:rPr>
        <w:t xml:space="preserve">que </w:t>
      </w:r>
      <w:r>
        <w:rPr>
          <w:i/>
          <w:spacing w:val="13"/>
          <w:sz w:val="16"/>
        </w:rPr>
        <w:t xml:space="preserve">preocupa </w:t>
      </w:r>
      <w:r>
        <w:rPr>
          <w:i/>
          <w:sz w:val="16"/>
        </w:rPr>
        <w:t xml:space="preserve">moradores, autoridades governamentais, </w:t>
      </w:r>
      <w:r>
        <w:rPr>
          <w:i/>
          <w:spacing w:val="18"/>
          <w:sz w:val="16"/>
        </w:rPr>
        <w:t xml:space="preserve">sindicatos </w:t>
      </w:r>
      <w:r>
        <w:rPr>
          <w:i/>
          <w:spacing w:val="10"/>
          <w:sz w:val="16"/>
        </w:rPr>
        <w:t>de</w:t>
      </w:r>
      <w:r>
        <w:rPr>
          <w:i/>
          <w:spacing w:val="65"/>
          <w:sz w:val="16"/>
        </w:rPr>
        <w:t xml:space="preserve"> </w:t>
      </w:r>
      <w:r>
        <w:rPr>
          <w:i/>
          <w:spacing w:val="20"/>
          <w:sz w:val="16"/>
        </w:rPr>
        <w:t xml:space="preserve">trabalhadores </w:t>
      </w:r>
      <w:r>
        <w:rPr>
          <w:i/>
          <w:sz w:val="16"/>
        </w:rPr>
        <w:t xml:space="preserve">e </w:t>
      </w:r>
      <w:r>
        <w:rPr>
          <w:i/>
          <w:spacing w:val="18"/>
          <w:sz w:val="16"/>
        </w:rPr>
        <w:t>movimentos</w:t>
      </w:r>
      <w:r>
        <w:rPr>
          <w:i/>
          <w:spacing w:val="17"/>
          <w:sz w:val="16"/>
        </w:rPr>
        <w:t xml:space="preserve"> </w:t>
      </w:r>
      <w:r>
        <w:rPr>
          <w:i/>
          <w:spacing w:val="20"/>
          <w:sz w:val="16"/>
        </w:rPr>
        <w:t>ambientais.</w:t>
      </w:r>
      <w:r>
        <w:rPr>
          <w:i/>
          <w:spacing w:val="-22"/>
          <w:sz w:val="16"/>
        </w:rPr>
        <w:t xml:space="preserve"> </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3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ind w:left="135"/>
        <w:jc w:val="left"/>
      </w:pPr>
      <w:r>
        <w:t>23 milhões de toneladas por ano (EPONINE, 2009).</w:t>
      </w:r>
    </w:p>
    <w:p w:rsidR="00D81F69" w:rsidRDefault="00D81F69">
      <w:pPr>
        <w:pStyle w:val="Corpodetexto"/>
        <w:spacing w:before="8"/>
        <w:ind w:left="0"/>
        <w:jc w:val="left"/>
        <w:rPr>
          <w:sz w:val="16"/>
        </w:rPr>
      </w:pPr>
    </w:p>
    <w:p w:rsidR="00D81F69" w:rsidRDefault="00330118">
      <w:pPr>
        <w:pStyle w:val="Corpodetexto"/>
        <w:spacing w:before="1" w:line="312" w:lineRule="auto"/>
        <w:ind w:left="135" w:right="209"/>
      </w:pPr>
      <w:r>
        <w:t xml:space="preserve">As duas empresas têm planos para expandir suas atividades no </w:t>
      </w:r>
      <w:r>
        <w:rPr>
          <w:spacing w:val="1"/>
        </w:rPr>
        <w:t xml:space="preserve">município. </w:t>
      </w:r>
      <w:r>
        <w:t xml:space="preserve">A </w:t>
      </w:r>
      <w:r>
        <w:rPr>
          <w:spacing w:val="1"/>
        </w:rPr>
        <w:t xml:space="preserve">CSN, sexta maior produtora </w:t>
      </w:r>
      <w:r>
        <w:t xml:space="preserve">de </w:t>
      </w:r>
      <w:r>
        <w:rPr>
          <w:spacing w:val="1"/>
        </w:rPr>
        <w:t xml:space="preserve">minério </w:t>
      </w:r>
      <w:r>
        <w:rPr>
          <w:spacing w:val="2"/>
        </w:rPr>
        <w:t xml:space="preserve">de </w:t>
      </w:r>
      <w:r>
        <w:t>ferro do mundo e segunda maior exportadora do produto no Brasil, anunciou investimentos de R$ 11 bilhões no período entre 2007 a 2013, que se</w:t>
      </w:r>
      <w:r>
        <w:t>rão aplicados em uma pelotizadora e na ampliação da capacidade produtiva da mina de Casa de Pedra. Do valor total do investimento, R$ 6,2 bilhões serão destinados à construção de uma usina siderúrgica no distrito industrial de Congonhas (em processo de imp</w:t>
      </w:r>
      <w:r>
        <w:t xml:space="preserve">lantação) e R$  2 bilhões irão para a construção de uma segunda pelotizadora e para outros aportes à Casa de Pedra (EPONINE, 2009). A estimativa da empresa é que, com a expansão da mina, sua </w:t>
      </w:r>
      <w:r>
        <w:rPr>
          <w:spacing w:val="5"/>
        </w:rPr>
        <w:t>produção</w:t>
      </w:r>
      <w:r>
        <w:rPr>
          <w:spacing w:val="42"/>
        </w:rPr>
        <w:t xml:space="preserve"> </w:t>
      </w:r>
      <w:r>
        <w:rPr>
          <w:spacing w:val="5"/>
        </w:rPr>
        <w:t>atinja</w:t>
      </w:r>
      <w:r>
        <w:rPr>
          <w:spacing w:val="42"/>
        </w:rPr>
        <w:t xml:space="preserve"> </w:t>
      </w:r>
      <w:r>
        <w:rPr>
          <w:spacing w:val="2"/>
        </w:rPr>
        <w:t>40</w:t>
      </w:r>
      <w:r>
        <w:rPr>
          <w:spacing w:val="42"/>
        </w:rPr>
        <w:t xml:space="preserve"> </w:t>
      </w:r>
      <w:r>
        <w:rPr>
          <w:spacing w:val="5"/>
        </w:rPr>
        <w:t>milhões</w:t>
      </w:r>
      <w:r>
        <w:rPr>
          <w:spacing w:val="42"/>
        </w:rPr>
        <w:t xml:space="preserve"> </w:t>
      </w:r>
      <w:r>
        <w:rPr>
          <w:spacing w:val="2"/>
        </w:rPr>
        <w:t>de</w:t>
      </w:r>
      <w:r>
        <w:rPr>
          <w:spacing w:val="42"/>
        </w:rPr>
        <w:t xml:space="preserve"> </w:t>
      </w:r>
      <w:r>
        <w:rPr>
          <w:spacing w:val="5"/>
        </w:rPr>
        <w:t>toneladas</w:t>
      </w:r>
      <w:r>
        <w:rPr>
          <w:spacing w:val="42"/>
        </w:rPr>
        <w:t xml:space="preserve"> </w:t>
      </w:r>
      <w:r>
        <w:rPr>
          <w:spacing w:val="2"/>
        </w:rPr>
        <w:t>de</w:t>
      </w:r>
      <w:r>
        <w:rPr>
          <w:spacing w:val="42"/>
        </w:rPr>
        <w:t xml:space="preserve"> </w:t>
      </w:r>
      <w:r>
        <w:rPr>
          <w:spacing w:val="5"/>
        </w:rPr>
        <w:t>minério</w:t>
      </w:r>
      <w:r>
        <w:rPr>
          <w:spacing w:val="42"/>
        </w:rPr>
        <w:t xml:space="preserve"> </w:t>
      </w:r>
      <w:r>
        <w:rPr>
          <w:spacing w:val="6"/>
        </w:rPr>
        <w:t>no</w:t>
      </w:r>
    </w:p>
    <w:p w:rsidR="00D81F69" w:rsidRDefault="00D81F69">
      <w:pPr>
        <w:spacing w:line="312" w:lineRule="auto"/>
        <w:sectPr w:rsidR="00D81F69">
          <w:type w:val="continuous"/>
          <w:pgSz w:w="11900" w:h="16840"/>
          <w:pgMar w:top="720" w:right="500" w:bottom="280" w:left="620" w:header="720" w:footer="720" w:gutter="0"/>
          <w:cols w:num="3" w:space="720" w:equalWidth="0">
            <w:col w:w="1810" w:space="190"/>
            <w:col w:w="3115" w:space="320"/>
            <w:col w:w="5345"/>
          </w:cols>
        </w:sectPr>
      </w:pPr>
    </w:p>
    <w:p w:rsidR="00D81F69" w:rsidRDefault="00330118">
      <w:pPr>
        <w:pStyle w:val="Heading4"/>
        <w:spacing w:before="5"/>
        <w:jc w:val="left"/>
      </w:pPr>
      <w:r>
        <w:lastRenderedPageBreak/>
        <w:t>APRESENTAÇÃO DE CASO</w:t>
      </w:r>
    </w:p>
    <w:p w:rsidR="00D81F69" w:rsidRDefault="00330118">
      <w:pPr>
        <w:pStyle w:val="Corpodetexto"/>
        <w:spacing w:before="171" w:line="312" w:lineRule="auto"/>
        <w:ind w:right="72"/>
        <w:jc w:val="left"/>
      </w:pPr>
      <w:r>
        <w:rPr>
          <w:spacing w:val="3"/>
        </w:rPr>
        <w:t xml:space="preserve">Conhecida turisticamente </w:t>
      </w:r>
      <w:r>
        <w:rPr>
          <w:spacing w:val="2"/>
        </w:rPr>
        <w:t xml:space="preserve">por </w:t>
      </w:r>
      <w:r>
        <w:rPr>
          <w:spacing w:val="3"/>
        </w:rPr>
        <w:t xml:space="preserve">abrigar </w:t>
      </w:r>
      <w:r>
        <w:rPr>
          <w:spacing w:val="2"/>
        </w:rPr>
        <w:t xml:space="preserve">uma das </w:t>
      </w:r>
      <w:r>
        <w:rPr>
          <w:spacing w:val="3"/>
        </w:rPr>
        <w:t xml:space="preserve">obras </w:t>
      </w:r>
      <w:r>
        <w:rPr>
          <w:spacing w:val="5"/>
        </w:rPr>
        <w:t xml:space="preserve">mais </w:t>
      </w:r>
      <w:r>
        <w:t xml:space="preserve">famosas da arte barroca mineira, os 12 Profetas, do mestre </w:t>
      </w:r>
      <w:r>
        <w:rPr>
          <w:spacing w:val="6"/>
        </w:rPr>
        <w:t xml:space="preserve">Aleijadinho, </w:t>
      </w:r>
      <w:r>
        <w:t xml:space="preserve">a </w:t>
      </w:r>
      <w:r>
        <w:rPr>
          <w:spacing w:val="5"/>
        </w:rPr>
        <w:t xml:space="preserve">cidade </w:t>
      </w:r>
      <w:r>
        <w:rPr>
          <w:spacing w:val="3"/>
        </w:rPr>
        <w:t xml:space="preserve">de </w:t>
      </w:r>
      <w:r>
        <w:rPr>
          <w:spacing w:val="6"/>
        </w:rPr>
        <w:t xml:space="preserve">Congonhas, </w:t>
      </w:r>
      <w:r>
        <w:rPr>
          <w:spacing w:val="3"/>
        </w:rPr>
        <w:t xml:space="preserve">em </w:t>
      </w:r>
      <w:r>
        <w:rPr>
          <w:spacing w:val="5"/>
        </w:rPr>
        <w:t xml:space="preserve">Minas </w:t>
      </w:r>
      <w:r>
        <w:rPr>
          <w:spacing w:val="7"/>
        </w:rPr>
        <w:t xml:space="preserve">Gerais, </w:t>
      </w:r>
      <w:r>
        <w:t xml:space="preserve">integra o Quadrilátero Ferrífero, </w:t>
      </w:r>
      <w:r>
        <w:t xml:space="preserve">que representa uma das mais </w:t>
      </w:r>
      <w:r>
        <w:rPr>
          <w:spacing w:val="5"/>
        </w:rPr>
        <w:t xml:space="preserve">importantes províncias minerais </w:t>
      </w:r>
      <w:r>
        <w:rPr>
          <w:spacing w:val="2"/>
        </w:rPr>
        <w:t xml:space="preserve">do </w:t>
      </w:r>
      <w:r>
        <w:rPr>
          <w:spacing w:val="3"/>
        </w:rPr>
        <w:t xml:space="preserve">país </w:t>
      </w:r>
      <w:r>
        <w:t xml:space="preserve">e </w:t>
      </w:r>
      <w:r>
        <w:rPr>
          <w:spacing w:val="2"/>
        </w:rPr>
        <w:t xml:space="preserve">do </w:t>
      </w:r>
      <w:r>
        <w:rPr>
          <w:spacing w:val="5"/>
        </w:rPr>
        <w:t xml:space="preserve">mundo. </w:t>
      </w:r>
      <w:r>
        <w:t xml:space="preserve">O município tem uma população estimada em 48.519 habitantes e </w:t>
      </w:r>
      <w:r>
        <w:rPr>
          <w:spacing w:val="1"/>
        </w:rPr>
        <w:t xml:space="preserve">possui </w:t>
      </w:r>
      <w:r>
        <w:t xml:space="preserve">uma </w:t>
      </w:r>
      <w:r>
        <w:rPr>
          <w:spacing w:val="1"/>
        </w:rPr>
        <w:t xml:space="preserve">área total </w:t>
      </w:r>
      <w:r>
        <w:t xml:space="preserve">de </w:t>
      </w:r>
      <w:r>
        <w:rPr>
          <w:spacing w:val="1"/>
        </w:rPr>
        <w:t xml:space="preserve">304,066 </w:t>
      </w:r>
      <w:r>
        <w:t xml:space="preserve">km² </w:t>
      </w:r>
      <w:r>
        <w:rPr>
          <w:spacing w:val="1"/>
        </w:rPr>
        <w:t xml:space="preserve">(IBGE, 2010), </w:t>
      </w:r>
      <w:r>
        <w:rPr>
          <w:spacing w:val="2"/>
        </w:rPr>
        <w:t xml:space="preserve">dos </w:t>
      </w:r>
      <w:r>
        <w:rPr>
          <w:spacing w:val="1"/>
        </w:rPr>
        <w:t xml:space="preserve">quais 74,3% </w:t>
      </w:r>
      <w:r>
        <w:t xml:space="preserve">são </w:t>
      </w:r>
      <w:r>
        <w:rPr>
          <w:spacing w:val="1"/>
        </w:rPr>
        <w:t xml:space="preserve">ocupados pelas atividades mineradoras </w:t>
      </w:r>
      <w:r>
        <w:t>e por</w:t>
      </w:r>
      <w:r>
        <w:t xml:space="preserve"> áreas de preservação e mananciais. Localizado a 83 km </w:t>
      </w:r>
      <w:r>
        <w:rPr>
          <w:spacing w:val="5"/>
        </w:rPr>
        <w:t xml:space="preserve">de </w:t>
      </w:r>
      <w:r>
        <w:rPr>
          <w:spacing w:val="6"/>
        </w:rPr>
        <w:t xml:space="preserve">Belo </w:t>
      </w:r>
      <w:r>
        <w:rPr>
          <w:spacing w:val="8"/>
        </w:rPr>
        <w:t xml:space="preserve">Horizonte, </w:t>
      </w:r>
      <w:r>
        <w:t xml:space="preserve">o </w:t>
      </w:r>
      <w:r>
        <w:rPr>
          <w:spacing w:val="7"/>
        </w:rPr>
        <w:t xml:space="preserve">município </w:t>
      </w:r>
      <w:r>
        <w:rPr>
          <w:spacing w:val="6"/>
        </w:rPr>
        <w:t xml:space="preserve">está </w:t>
      </w:r>
      <w:r>
        <w:rPr>
          <w:spacing w:val="7"/>
        </w:rPr>
        <w:t xml:space="preserve">inserido </w:t>
      </w:r>
      <w:r>
        <w:rPr>
          <w:spacing w:val="5"/>
        </w:rPr>
        <w:t xml:space="preserve">na </w:t>
      </w:r>
      <w:r>
        <w:rPr>
          <w:spacing w:val="10"/>
        </w:rPr>
        <w:t xml:space="preserve">bacia </w:t>
      </w:r>
      <w:r>
        <w:t xml:space="preserve">hidrográfica do rio São Francisco e é banhado, em sua maior </w:t>
      </w:r>
      <w:r>
        <w:rPr>
          <w:spacing w:val="5"/>
        </w:rPr>
        <w:t xml:space="preserve">parte, </w:t>
      </w:r>
      <w:r>
        <w:rPr>
          <w:spacing w:val="3"/>
        </w:rPr>
        <w:t xml:space="preserve">pelo rio </w:t>
      </w:r>
      <w:r>
        <w:rPr>
          <w:spacing w:val="5"/>
        </w:rPr>
        <w:t>Maranhão (PREFEITURA MUNICIPAL DE CONGONHAS,</w:t>
      </w:r>
      <w:r>
        <w:rPr>
          <w:spacing w:val="31"/>
        </w:rPr>
        <w:t xml:space="preserve"> </w:t>
      </w:r>
      <w:r>
        <w:rPr>
          <w:spacing w:val="5"/>
        </w:rPr>
        <w:t>2011).</w:t>
      </w:r>
    </w:p>
    <w:p w:rsidR="00D81F69" w:rsidRDefault="00330118">
      <w:pPr>
        <w:pStyle w:val="Corpodetexto"/>
        <w:spacing w:before="142" w:line="312" w:lineRule="auto"/>
        <w:ind w:right="68"/>
      </w:pPr>
      <w:r>
        <w:t>A exploração de min</w:t>
      </w:r>
      <w:r>
        <w:t xml:space="preserve">ério de </w:t>
      </w:r>
      <w:hyperlink r:id="rId1080">
        <w:r>
          <w:t xml:space="preserve">ferro </w:t>
        </w:r>
      </w:hyperlink>
      <w:r>
        <w:t>na região de Congonhas está ligada à história da siderurgia no Brasil. Entre 1808 e 1812, o setor siderúrgico recebeu os primeiros financiamentos, que possibilitaram a implantação de três unidades, sendo uma delas em Congonhas: a Fábrica de Ferro Patriótic</w:t>
      </w:r>
      <w:r>
        <w:t>a (AZEVEDO, 2007 apud MILANEZ, 2011). A escolha do local do empreendimento foi baseada na disponibilidade de minério de ferro, água e floresta (para ser transformada em carvão vegetal). A fábrica funcionou até 1822, quando entrou em falência (AZEVEDO, 2007</w:t>
      </w:r>
      <w:r>
        <w:t>; MACHADO; FIGUEIRÔA, 2001 apud MILANEZ, 2011).</w:t>
      </w:r>
    </w:p>
    <w:p w:rsidR="00D81F69" w:rsidRDefault="00330118">
      <w:pPr>
        <w:pStyle w:val="Corpodetexto"/>
        <w:spacing w:before="140" w:line="312" w:lineRule="auto"/>
        <w:ind w:right="76"/>
      </w:pPr>
      <w:r>
        <w:t>A região de Congonhas voltou a receber maior atenção com a abertura de grandes minas, em meados do século XX. Duas das maiores empresas de mineração do mundo estão presentes no município: a Vale, proprietária</w:t>
      </w:r>
      <w:r>
        <w:t xml:space="preserve"> da Mina de Fábrica, localizada na região do Campo das Vertentes e que tem capacidade para produzir 4,3 milhões de toneladas anuais de ferro (PORTAL EXAME, 2010); e a Companhia Siderúrgica Nacional (CSN), que detém a Casa de Pedra, principal mina do municí</w:t>
      </w:r>
      <w:r>
        <w:t>pio, com capacidade de produção de</w:t>
      </w:r>
    </w:p>
    <w:p w:rsidR="00D81F69" w:rsidRDefault="00330118">
      <w:pPr>
        <w:pStyle w:val="Corpodetexto"/>
        <w:spacing w:before="12" w:line="312" w:lineRule="auto"/>
        <w:ind w:right="195"/>
      </w:pPr>
      <w:r>
        <w:br w:type="column"/>
      </w:r>
      <w:r>
        <w:lastRenderedPageBreak/>
        <w:t>segundo semestre de 2010. Sua meta é tornar-se a quarta mineradora do mundo a partir de 2013 (ROCKMANN, 2010).</w:t>
      </w:r>
    </w:p>
    <w:p w:rsidR="00D81F69" w:rsidRDefault="00330118">
      <w:pPr>
        <w:pStyle w:val="Corpodetexto"/>
        <w:spacing w:before="131" w:line="312" w:lineRule="auto"/>
        <w:ind w:right="194"/>
      </w:pPr>
      <w:r>
        <w:t>Da mesma forma, a Vale deverá investir cerca de R$ 12,7 milhões em projetos e melhorias em sua unidade. Em 20</w:t>
      </w:r>
      <w:r>
        <w:t>10, a empresa retomou as operações da pelotizadora da Mina de Fábrica, interrompida há cerca de um ano, desde o agravamento da crise financeira mundial (PORTAL EXAME, 2010).</w:t>
      </w:r>
    </w:p>
    <w:p w:rsidR="00D81F69" w:rsidRDefault="00330118">
      <w:pPr>
        <w:pStyle w:val="Corpodetexto"/>
        <w:spacing w:before="136" w:line="312" w:lineRule="auto"/>
        <w:ind w:right="205"/>
      </w:pPr>
      <w:r>
        <w:rPr>
          <w:spacing w:val="5"/>
        </w:rPr>
        <w:t xml:space="preserve">Apesar </w:t>
      </w:r>
      <w:r>
        <w:rPr>
          <w:spacing w:val="3"/>
        </w:rPr>
        <w:t xml:space="preserve">de </w:t>
      </w:r>
      <w:r>
        <w:rPr>
          <w:spacing w:val="5"/>
        </w:rPr>
        <w:t xml:space="preserve">gerar muita </w:t>
      </w:r>
      <w:r>
        <w:rPr>
          <w:spacing w:val="6"/>
        </w:rPr>
        <w:t xml:space="preserve">riqueza, </w:t>
      </w:r>
      <w:r>
        <w:t xml:space="preserve">a </w:t>
      </w:r>
      <w:r>
        <w:rPr>
          <w:spacing w:val="6"/>
        </w:rPr>
        <w:t xml:space="preserve">atividade </w:t>
      </w:r>
      <w:r>
        <w:rPr>
          <w:spacing w:val="7"/>
        </w:rPr>
        <w:t xml:space="preserve">mineradora </w:t>
      </w:r>
      <w:r>
        <w:t>também traz uma série de inc</w:t>
      </w:r>
      <w:r>
        <w:t xml:space="preserve">onvenientes para a população de Congonhas. É possível observar a grande quantidade de resíduos de minério e outras substâncias poluidoras, como </w:t>
      </w:r>
      <w:r>
        <w:rPr>
          <w:spacing w:val="3"/>
        </w:rPr>
        <w:t xml:space="preserve">escória, estéreis </w:t>
      </w:r>
      <w:r>
        <w:rPr>
          <w:spacing w:val="1"/>
        </w:rPr>
        <w:t xml:space="preserve">do </w:t>
      </w:r>
      <w:r>
        <w:rPr>
          <w:spacing w:val="3"/>
        </w:rPr>
        <w:t xml:space="preserve">minério, coque </w:t>
      </w:r>
      <w:r>
        <w:rPr>
          <w:spacing w:val="1"/>
        </w:rPr>
        <w:t xml:space="preserve">de </w:t>
      </w:r>
      <w:r>
        <w:rPr>
          <w:spacing w:val="3"/>
        </w:rPr>
        <w:t xml:space="preserve">petróleo, ácidos </w:t>
      </w:r>
      <w:r>
        <w:t xml:space="preserve">e </w:t>
      </w:r>
      <w:r>
        <w:rPr>
          <w:spacing w:val="3"/>
        </w:rPr>
        <w:t xml:space="preserve">óleos graxos, originárias </w:t>
      </w:r>
      <w:r>
        <w:rPr>
          <w:spacing w:val="2"/>
        </w:rPr>
        <w:t xml:space="preserve">das </w:t>
      </w:r>
      <w:r>
        <w:rPr>
          <w:spacing w:val="3"/>
        </w:rPr>
        <w:t xml:space="preserve">atividades </w:t>
      </w:r>
      <w:r>
        <w:rPr>
          <w:spacing w:val="2"/>
        </w:rPr>
        <w:t xml:space="preserve">das </w:t>
      </w:r>
      <w:r>
        <w:rPr>
          <w:spacing w:val="5"/>
        </w:rPr>
        <w:t>minerador</w:t>
      </w:r>
      <w:r>
        <w:rPr>
          <w:spacing w:val="5"/>
        </w:rPr>
        <w:t xml:space="preserve">as </w:t>
      </w:r>
      <w:r>
        <w:rPr>
          <w:spacing w:val="10"/>
        </w:rPr>
        <w:t xml:space="preserve">localizadas </w:t>
      </w:r>
      <w:r>
        <w:rPr>
          <w:spacing w:val="5"/>
        </w:rPr>
        <w:t xml:space="preserve">na </w:t>
      </w:r>
      <w:r>
        <w:rPr>
          <w:spacing w:val="8"/>
        </w:rPr>
        <w:t xml:space="preserve">região </w:t>
      </w:r>
      <w:r>
        <w:rPr>
          <w:spacing w:val="10"/>
        </w:rPr>
        <w:t xml:space="preserve">(PREFEITURA </w:t>
      </w:r>
      <w:r>
        <w:rPr>
          <w:spacing w:val="8"/>
        </w:rPr>
        <w:t xml:space="preserve">MUNICIPAL </w:t>
      </w:r>
      <w:r>
        <w:rPr>
          <w:spacing w:val="10"/>
        </w:rPr>
        <w:t xml:space="preserve">DE </w:t>
      </w:r>
      <w:r>
        <w:rPr>
          <w:spacing w:val="3"/>
        </w:rPr>
        <w:t xml:space="preserve">CONGONHAS, 2010). </w:t>
      </w:r>
      <w:r>
        <w:t xml:space="preserve">A </w:t>
      </w:r>
      <w:r>
        <w:rPr>
          <w:spacing w:val="3"/>
        </w:rPr>
        <w:t xml:space="preserve">população também </w:t>
      </w:r>
      <w:r>
        <w:rPr>
          <w:spacing w:val="1"/>
        </w:rPr>
        <w:t xml:space="preserve">se </w:t>
      </w:r>
      <w:r>
        <w:rPr>
          <w:spacing w:val="3"/>
        </w:rPr>
        <w:t xml:space="preserve">queixa </w:t>
      </w:r>
      <w:r>
        <w:rPr>
          <w:spacing w:val="5"/>
        </w:rPr>
        <w:t xml:space="preserve">da </w:t>
      </w:r>
      <w:r>
        <w:t>poluição do ar e do grande acúmulo de poeira nas ruas da cidade. Mais de 120 toneladas de poeira de minério de ferro são retiradas mensalmente na varrição d</w:t>
      </w:r>
      <w:r>
        <w:t xml:space="preserve">o município, o </w:t>
      </w:r>
      <w:r>
        <w:rPr>
          <w:spacing w:val="1"/>
        </w:rPr>
        <w:t xml:space="preserve">que </w:t>
      </w:r>
      <w:r>
        <w:rPr>
          <w:spacing w:val="2"/>
        </w:rPr>
        <w:t xml:space="preserve">vem </w:t>
      </w:r>
      <w:r>
        <w:rPr>
          <w:spacing w:val="3"/>
        </w:rPr>
        <w:t xml:space="preserve">causando </w:t>
      </w:r>
      <w:r>
        <w:rPr>
          <w:spacing w:val="2"/>
        </w:rPr>
        <w:t xml:space="preserve">uma </w:t>
      </w:r>
      <w:r>
        <w:rPr>
          <w:spacing w:val="3"/>
        </w:rPr>
        <w:t xml:space="preserve">série </w:t>
      </w:r>
      <w:r>
        <w:rPr>
          <w:spacing w:val="1"/>
        </w:rPr>
        <w:t xml:space="preserve">de </w:t>
      </w:r>
      <w:r>
        <w:rPr>
          <w:spacing w:val="3"/>
        </w:rPr>
        <w:t xml:space="preserve">problemas respiratórios </w:t>
      </w:r>
      <w:r>
        <w:rPr>
          <w:spacing w:val="5"/>
        </w:rPr>
        <w:t xml:space="preserve">nos </w:t>
      </w:r>
      <w:r>
        <w:rPr>
          <w:spacing w:val="3"/>
        </w:rPr>
        <w:t>moradores (DUARTE,</w:t>
      </w:r>
      <w:r>
        <w:t xml:space="preserve"> </w:t>
      </w:r>
      <w:r>
        <w:rPr>
          <w:spacing w:val="5"/>
        </w:rPr>
        <w:t>2010).</w:t>
      </w:r>
    </w:p>
    <w:p w:rsidR="00D81F69" w:rsidRDefault="00330118">
      <w:pPr>
        <w:pStyle w:val="Corpodetexto"/>
        <w:spacing w:before="142" w:line="312" w:lineRule="auto"/>
        <w:ind w:right="159"/>
        <w:jc w:val="left"/>
      </w:pPr>
      <w:r>
        <w:t>Segundo dados da Diretoria de Obras de Manutenção Urbana da Secretaria Municipal de Obras de Congonhas, retiram-se, aproximadamente, 173 m³/mês de resíduos d</w:t>
      </w:r>
      <w:r>
        <w:t>e minério nas sarjetas e ruas da região central, o que equivale a um caminhão de terra (lama seca e outros) (PREFEITURA MUNICIPAL DE CONGONHAS, 2010).</w:t>
      </w:r>
    </w:p>
    <w:p w:rsidR="00D81F69" w:rsidRDefault="00330118">
      <w:pPr>
        <w:pStyle w:val="Corpodetexto"/>
        <w:spacing w:before="72" w:line="270" w:lineRule="atLeast"/>
        <w:ind w:right="193"/>
      </w:pPr>
      <w:r>
        <w:t>As mineradoras informam que tomam as precauções necessárias para minimizar o problema. Segundo a CSN, a empresa possui diversos controles para emissão de poeira. Dentre eles, a constante aspersão de água nas vias de tráfego, pilhas e demais áreas não pavim</w:t>
      </w:r>
      <w:r>
        <w:t>entadas da mina e a aplicação de polímeros para reduzir as consequências da ação dos ventos. Já a Vale justifica que sua planta industrial</w:t>
      </w:r>
    </w:p>
    <w:p w:rsidR="00D81F69" w:rsidRDefault="00D81F69">
      <w:pPr>
        <w:spacing w:line="270" w:lineRule="atLeast"/>
        <w:sectPr w:rsidR="00D81F69">
          <w:type w:val="continuous"/>
          <w:pgSz w:w="11900" w:h="16840"/>
          <w:pgMar w:top="720" w:right="500" w:bottom="280" w:left="620" w:header="720" w:footer="720" w:gutter="0"/>
          <w:cols w:num="2" w:space="720" w:equalWidth="0">
            <w:col w:w="5195" w:space="275"/>
            <w:col w:w="5310"/>
          </w:cols>
        </w:sectPr>
      </w:pPr>
    </w:p>
    <w:p w:rsidR="00D81F69" w:rsidRDefault="00330118">
      <w:pPr>
        <w:pStyle w:val="Corpodetexto"/>
        <w:spacing w:before="81" w:line="312" w:lineRule="auto"/>
        <w:ind w:right="39"/>
      </w:pPr>
      <w:r>
        <w:rPr>
          <w:spacing w:val="2"/>
        </w:rPr>
        <w:lastRenderedPageBreak/>
        <w:t xml:space="preserve">está </w:t>
      </w:r>
      <w:r>
        <w:t xml:space="preserve">a </w:t>
      </w:r>
      <w:r>
        <w:rPr>
          <w:spacing w:val="1"/>
        </w:rPr>
        <w:t xml:space="preserve">18 km do </w:t>
      </w:r>
      <w:r>
        <w:rPr>
          <w:spacing w:val="3"/>
        </w:rPr>
        <w:t xml:space="preserve">núcleo urbano </w:t>
      </w:r>
      <w:r>
        <w:rPr>
          <w:spacing w:val="1"/>
        </w:rPr>
        <w:t xml:space="preserve">de </w:t>
      </w:r>
      <w:r>
        <w:rPr>
          <w:spacing w:val="3"/>
        </w:rPr>
        <w:t xml:space="preserve">Congonhas, </w:t>
      </w:r>
      <w:r>
        <w:rPr>
          <w:spacing w:val="2"/>
        </w:rPr>
        <w:t xml:space="preserve">mas </w:t>
      </w:r>
      <w:r>
        <w:rPr>
          <w:spacing w:val="5"/>
        </w:rPr>
        <w:t xml:space="preserve">que, </w:t>
      </w:r>
      <w:r>
        <w:t>mesmo assim, adota como rotina o moni</w:t>
      </w:r>
      <w:r>
        <w:t>toramento contínuo de</w:t>
      </w:r>
      <w:r>
        <w:rPr>
          <w:spacing w:val="15"/>
        </w:rPr>
        <w:t xml:space="preserve"> </w:t>
      </w:r>
      <w:r>
        <w:t>emissão</w:t>
      </w:r>
      <w:r>
        <w:rPr>
          <w:spacing w:val="15"/>
        </w:rPr>
        <w:t xml:space="preserve"> </w:t>
      </w:r>
      <w:r>
        <w:t>de</w:t>
      </w:r>
      <w:r>
        <w:rPr>
          <w:spacing w:val="15"/>
        </w:rPr>
        <w:t xml:space="preserve"> </w:t>
      </w:r>
      <w:r>
        <w:t>partículas</w:t>
      </w:r>
      <w:r>
        <w:rPr>
          <w:spacing w:val="15"/>
        </w:rPr>
        <w:t xml:space="preserve"> </w:t>
      </w:r>
      <w:r>
        <w:t>e</w:t>
      </w:r>
      <w:r>
        <w:rPr>
          <w:spacing w:val="15"/>
        </w:rPr>
        <w:t xml:space="preserve"> </w:t>
      </w:r>
      <w:r>
        <w:t>de</w:t>
      </w:r>
      <w:r>
        <w:rPr>
          <w:spacing w:val="15"/>
        </w:rPr>
        <w:t xml:space="preserve"> </w:t>
      </w:r>
      <w:r>
        <w:t>ruídos</w:t>
      </w:r>
      <w:r>
        <w:rPr>
          <w:spacing w:val="15"/>
        </w:rPr>
        <w:t xml:space="preserve"> </w:t>
      </w:r>
      <w:r>
        <w:t>(DUARTE,</w:t>
      </w:r>
      <w:r>
        <w:rPr>
          <w:spacing w:val="15"/>
        </w:rPr>
        <w:t xml:space="preserve"> </w:t>
      </w:r>
      <w:r>
        <w:t>2010).</w:t>
      </w:r>
    </w:p>
    <w:p w:rsidR="00D81F69" w:rsidRDefault="00330118">
      <w:pPr>
        <w:pStyle w:val="Corpodetexto"/>
        <w:spacing w:before="133" w:line="312" w:lineRule="auto"/>
        <w:ind w:right="42"/>
      </w:pPr>
      <w:r>
        <w:t>De qualquer maneira, em 2010, a Prefeitura de Congonhas solicitou às mineradoras um estudo para saber quais são as estratégias que pretendem seguir para diminuir a emissão de poeira (DUARTE, 2010). Além disso, encaminhou ao Ministério Público Estadual de M</w:t>
      </w:r>
      <w:r>
        <w:t>inas Gerais (MPE-MG) uma representação para que as empresas mineradoras utilizem uma tecnologia de lavagem dos veículos que circulam em suas áreas de exploração mineral. O pedido foi aceito pelo MPE-MG, que instaurou um inquérito civil para regulamentar as</w:t>
      </w:r>
      <w:r>
        <w:t xml:space="preserve"> medidas (PREFEITURA MUNICIPAL DE CONGONHAS,</w:t>
      </w:r>
    </w:p>
    <w:p w:rsidR="00D81F69" w:rsidRDefault="00330118">
      <w:pPr>
        <w:pStyle w:val="Corpodetexto"/>
        <w:spacing w:before="9" w:line="312" w:lineRule="auto"/>
        <w:ind w:right="60"/>
      </w:pPr>
      <w:r>
        <w:t>2010). De acordo com a Prefeitura, cerca de 80% do pó de minério é depositado pelas rodas dos veículos da área de operação das minas (DUARTE, 2010).</w:t>
      </w:r>
    </w:p>
    <w:p w:rsidR="00D81F69" w:rsidRDefault="00330118">
      <w:pPr>
        <w:pStyle w:val="Corpodetexto"/>
        <w:spacing w:before="133" w:line="312" w:lineRule="auto"/>
        <w:ind w:right="41"/>
      </w:pPr>
      <w:r>
        <w:t>Em junho de 2011, uma nova empresa, a Ferrous Resources do Bra</w:t>
      </w:r>
      <w:r>
        <w:t>sil, iniciou a extração de minério de ferro na Mina Viga, em Congonhas (Campos das Vertentes). O início das atividades em Viga foi viabilizado por meio de uma Autorização Provisória de Operação (APO) (MINING.COM, 2011). A Ferrous pretende extrair 2 milhões</w:t>
      </w:r>
      <w:r>
        <w:t xml:space="preserve"> de toneladas em 2012 e 3 milhões em 2013. A empresa decidiu colocar a mina no que chama de “pré-produção”, ainda sem o início das obras de logística do seu projeto minerário (VALOR, 2011).</w:t>
      </w:r>
    </w:p>
    <w:p w:rsidR="00D81F69" w:rsidRDefault="00330118">
      <w:pPr>
        <w:pStyle w:val="Corpodetexto"/>
        <w:spacing w:before="138" w:line="312" w:lineRule="auto"/>
        <w:ind w:right="40"/>
      </w:pPr>
      <w:r>
        <w:t xml:space="preserve">Quando totalmente concluída, Viga será uma operação a céu </w:t>
      </w:r>
      <w:r>
        <w:rPr>
          <w:spacing w:val="5"/>
        </w:rPr>
        <w:t xml:space="preserve">aberto </w:t>
      </w:r>
      <w:r>
        <w:rPr>
          <w:spacing w:val="3"/>
        </w:rPr>
        <w:t>c</w:t>
      </w:r>
      <w:r>
        <w:rPr>
          <w:spacing w:val="3"/>
        </w:rPr>
        <w:t xml:space="preserve">om </w:t>
      </w:r>
      <w:r>
        <w:rPr>
          <w:spacing w:val="5"/>
        </w:rPr>
        <w:t xml:space="preserve">planta </w:t>
      </w:r>
      <w:r>
        <w:rPr>
          <w:spacing w:val="2"/>
        </w:rPr>
        <w:t xml:space="preserve">de </w:t>
      </w:r>
      <w:r>
        <w:rPr>
          <w:spacing w:val="5"/>
        </w:rPr>
        <w:t xml:space="preserve">beneficiamento </w:t>
      </w:r>
      <w:r>
        <w:t xml:space="preserve">e </w:t>
      </w:r>
      <w:r>
        <w:rPr>
          <w:spacing w:val="5"/>
        </w:rPr>
        <w:t>capacidade para</w:t>
      </w:r>
      <w:r>
        <w:rPr>
          <w:spacing w:val="61"/>
        </w:rPr>
        <w:t xml:space="preserve"> </w:t>
      </w:r>
      <w:r>
        <w:t xml:space="preserve">produzir 25 milhões de toneladas/ ano a partir de 2014. Nesta fase, a mina será ligada ao Terminal Portuário de Presidente Kennedy, no litoral sul do Espírito Santo, por um mineroduto </w:t>
      </w:r>
      <w:r>
        <w:rPr>
          <w:spacing w:val="1"/>
        </w:rPr>
        <w:t xml:space="preserve">de </w:t>
      </w:r>
      <w:r>
        <w:rPr>
          <w:spacing w:val="3"/>
        </w:rPr>
        <w:t xml:space="preserve">aproximadamente </w:t>
      </w:r>
      <w:r>
        <w:rPr>
          <w:spacing w:val="2"/>
        </w:rPr>
        <w:t xml:space="preserve">400 </w:t>
      </w:r>
      <w:r>
        <w:rPr>
          <w:spacing w:val="1"/>
        </w:rPr>
        <w:t xml:space="preserve">km </w:t>
      </w:r>
      <w:r>
        <w:rPr>
          <w:spacing w:val="1"/>
        </w:rPr>
        <w:t xml:space="preserve">de </w:t>
      </w:r>
      <w:r>
        <w:rPr>
          <w:spacing w:val="3"/>
        </w:rPr>
        <w:t xml:space="preserve">extensão </w:t>
      </w:r>
      <w:r>
        <w:rPr>
          <w:spacing w:val="5"/>
        </w:rPr>
        <w:t>(MINING.COM, 2011).</w:t>
      </w:r>
    </w:p>
    <w:p w:rsidR="00D81F69" w:rsidRDefault="00330118">
      <w:pPr>
        <w:pStyle w:val="Corpodetexto"/>
        <w:spacing w:before="136" w:line="312" w:lineRule="auto"/>
        <w:ind w:right="38"/>
      </w:pPr>
      <w:r>
        <w:t>O porto contará com uma planta de desaguamento e filtragem, que fará o tratamento da polpa de concentrado de minério de ferro que será transportada pelo mineroduto. Equipado com um sistema de ancoradouro duplo para carregame</w:t>
      </w:r>
      <w:r>
        <w:t>nto de navios de grande capacidade, o porto terá capacidade para embarcar 25 milhões de toneladas de minério de ferro por ano na primeira fase, a partir de 2013, podendo expandir para 50 milhões de toneladas de minério anuais na segunda fase, a partir de 2</w:t>
      </w:r>
      <w:r>
        <w:t>017 (FERROUS, 2010).</w:t>
      </w:r>
    </w:p>
    <w:p w:rsidR="00D81F69" w:rsidRDefault="00330118">
      <w:pPr>
        <w:pStyle w:val="Corpodetexto"/>
        <w:spacing w:before="139" w:line="312" w:lineRule="auto"/>
        <w:ind w:right="45"/>
      </w:pPr>
      <w:r>
        <w:t>O mineroduto faz parte do projeto de logística integrada da Ferrous. Na primeira fase, passará por 22 municípios, sendo 17 em Minas Gerais, três no Rio de Janeiro e dois no Espírito Santo (FERROUS, 2010). O empreendimento vai atender à</w:t>
      </w:r>
      <w:r>
        <w:t xml:space="preserve"> demanda de escoamento da produção dos ativos da mineradora, localizados no Quadrilátero Ferrífero, compostos pelas minas Serrinha e Esperança, em Brumadinho, na Região Metropolitana de Belo Horizonte; Santanense, em Itatiaiuçu, na região Central; Viga, em</w:t>
      </w:r>
      <w:r>
        <w:t xml:space="preserve"> Congonhas; e Viga Norte, em Itabirito, também na região Central (LISBOA, 2010).</w:t>
      </w:r>
    </w:p>
    <w:p w:rsidR="00D81F69" w:rsidRDefault="00330118">
      <w:pPr>
        <w:pStyle w:val="Corpodetexto"/>
        <w:spacing w:before="76" w:line="270" w:lineRule="atLeast"/>
        <w:ind w:right="57"/>
      </w:pPr>
      <w:r>
        <w:t>Para evitar novos problemas ambientais, a prefeitura já assinou um Termo de Compromisso com a Ferrous e com o MPE-MG. O objetivo é garantir a transparência e o controle</w:t>
      </w:r>
    </w:p>
    <w:p w:rsidR="00D81F69" w:rsidRDefault="00330118">
      <w:pPr>
        <w:pStyle w:val="Corpodetexto"/>
        <w:spacing w:before="81" w:line="312" w:lineRule="auto"/>
        <w:ind w:right="196"/>
      </w:pPr>
      <w:r>
        <w:br w:type="column"/>
      </w:r>
      <w:r>
        <w:rPr>
          <w:spacing w:val="3"/>
        </w:rPr>
        <w:lastRenderedPageBreak/>
        <w:t xml:space="preserve">da </w:t>
      </w:r>
      <w:r>
        <w:rPr>
          <w:spacing w:val="6"/>
        </w:rPr>
        <w:t>le</w:t>
      </w:r>
      <w:r>
        <w:rPr>
          <w:spacing w:val="6"/>
        </w:rPr>
        <w:t xml:space="preserve">galidade </w:t>
      </w:r>
      <w:r>
        <w:rPr>
          <w:spacing w:val="3"/>
        </w:rPr>
        <w:t xml:space="preserve">do </w:t>
      </w:r>
      <w:r>
        <w:rPr>
          <w:spacing w:val="6"/>
        </w:rPr>
        <w:t xml:space="preserve">processo </w:t>
      </w:r>
      <w:r>
        <w:rPr>
          <w:spacing w:val="3"/>
        </w:rPr>
        <w:t xml:space="preserve">de </w:t>
      </w:r>
      <w:r>
        <w:rPr>
          <w:spacing w:val="6"/>
        </w:rPr>
        <w:t xml:space="preserve">licenciamento </w:t>
      </w:r>
      <w:r>
        <w:rPr>
          <w:spacing w:val="7"/>
        </w:rPr>
        <w:t xml:space="preserve">ambiental </w:t>
      </w:r>
      <w:r>
        <w:t xml:space="preserve">referente aos empreendimentos. A Ferrous comprometeu-se  a elaborar estudos de análise de impactos cumulativos </w:t>
      </w:r>
      <w:r>
        <w:rPr>
          <w:spacing w:val="1"/>
        </w:rPr>
        <w:t xml:space="preserve">dos </w:t>
      </w:r>
      <w:r>
        <w:t xml:space="preserve">empreendimentos minero-metalúrgicos em toda a região de Congonhas, e não apenas nas áreas de </w:t>
      </w:r>
      <w:r>
        <w:t xml:space="preserve">atuação da empresa. O </w:t>
      </w:r>
      <w:r>
        <w:rPr>
          <w:spacing w:val="1"/>
        </w:rPr>
        <w:t xml:space="preserve">documento prevê, ainda, </w:t>
      </w:r>
      <w:r>
        <w:t xml:space="preserve">que a </w:t>
      </w:r>
      <w:r>
        <w:rPr>
          <w:spacing w:val="1"/>
        </w:rPr>
        <w:t xml:space="preserve">empresa desenvolverá </w:t>
      </w:r>
      <w:r>
        <w:t>o georreferenciamento do Parque Estadual Serra do</w:t>
      </w:r>
      <w:r>
        <w:rPr>
          <w:spacing w:val="10"/>
        </w:rPr>
        <w:t xml:space="preserve"> </w:t>
      </w:r>
      <w:r>
        <w:t>Rola-Moça</w:t>
      </w:r>
    </w:p>
    <w:p w:rsidR="00D81F69" w:rsidRDefault="00330118">
      <w:pPr>
        <w:pStyle w:val="Corpodetexto"/>
        <w:spacing w:before="6" w:line="312" w:lineRule="auto"/>
        <w:ind w:right="213"/>
      </w:pPr>
      <w:r>
        <w:t>- Unidade de Conservação de Proteção Integral, criada em 1994 e que abrange os municípios de Belo Horizonte, Nova Lima, Ibi</w:t>
      </w:r>
      <w:r>
        <w:t xml:space="preserve">rité e Brumadinho. A companhia também assumiu o compromisso de apresentar ao MPE-MG um estudo contendo </w:t>
      </w:r>
      <w:r>
        <w:rPr>
          <w:spacing w:val="6"/>
        </w:rPr>
        <w:t xml:space="preserve">alternativas </w:t>
      </w:r>
      <w:r>
        <w:rPr>
          <w:spacing w:val="5"/>
        </w:rPr>
        <w:t xml:space="preserve">para </w:t>
      </w:r>
      <w:r>
        <w:t xml:space="preserve">a </w:t>
      </w:r>
      <w:r>
        <w:rPr>
          <w:spacing w:val="6"/>
        </w:rPr>
        <w:t xml:space="preserve">disposição </w:t>
      </w:r>
      <w:r>
        <w:rPr>
          <w:spacing w:val="3"/>
        </w:rPr>
        <w:t xml:space="preserve">de </w:t>
      </w:r>
      <w:r>
        <w:rPr>
          <w:spacing w:val="6"/>
        </w:rPr>
        <w:t xml:space="preserve">rejeitos, indicando </w:t>
      </w:r>
      <w:r>
        <w:t>a possibilidade de sua utilização ou os motivos técnicos para um</w:t>
      </w:r>
      <w:r>
        <w:rPr>
          <w:spacing w:val="22"/>
        </w:rPr>
        <w:t xml:space="preserve"> </w:t>
      </w:r>
      <w:r>
        <w:t>eventual</w:t>
      </w:r>
      <w:r>
        <w:rPr>
          <w:spacing w:val="22"/>
        </w:rPr>
        <w:t xml:space="preserve"> </w:t>
      </w:r>
      <w:r>
        <w:t>impedimento</w:t>
      </w:r>
      <w:r>
        <w:rPr>
          <w:spacing w:val="22"/>
        </w:rPr>
        <w:t xml:space="preserve"> </w:t>
      </w:r>
      <w:r>
        <w:t>(BRASIL</w:t>
      </w:r>
      <w:r>
        <w:rPr>
          <w:spacing w:val="22"/>
        </w:rPr>
        <w:t xml:space="preserve"> </w:t>
      </w:r>
      <w:r>
        <w:t>MINER</w:t>
      </w:r>
      <w:r>
        <w:t>AL,</w:t>
      </w:r>
      <w:r>
        <w:rPr>
          <w:spacing w:val="22"/>
        </w:rPr>
        <w:t xml:space="preserve"> </w:t>
      </w:r>
      <w:r>
        <w:rPr>
          <w:spacing w:val="1"/>
        </w:rPr>
        <w:t>2010).</w:t>
      </w:r>
    </w:p>
    <w:p w:rsidR="00D81F69" w:rsidRDefault="00330118">
      <w:pPr>
        <w:pStyle w:val="Corpodetexto"/>
        <w:spacing w:before="137" w:line="312" w:lineRule="auto"/>
        <w:ind w:right="203"/>
      </w:pPr>
      <w:r>
        <w:t xml:space="preserve">Se, por um </w:t>
      </w:r>
      <w:r>
        <w:rPr>
          <w:spacing w:val="1"/>
        </w:rPr>
        <w:t xml:space="preserve">lado, </w:t>
      </w:r>
      <w:r>
        <w:t xml:space="preserve">os </w:t>
      </w:r>
      <w:r>
        <w:rPr>
          <w:spacing w:val="1"/>
        </w:rPr>
        <w:t xml:space="preserve">planos </w:t>
      </w:r>
      <w:r>
        <w:t xml:space="preserve">de </w:t>
      </w:r>
      <w:r>
        <w:rPr>
          <w:spacing w:val="1"/>
        </w:rPr>
        <w:t xml:space="preserve">expansão anunciados </w:t>
      </w:r>
      <w:r>
        <w:rPr>
          <w:spacing w:val="2"/>
        </w:rPr>
        <w:t xml:space="preserve">pelas </w:t>
      </w:r>
      <w:r>
        <w:rPr>
          <w:spacing w:val="5"/>
        </w:rPr>
        <w:t xml:space="preserve">mineradoras </w:t>
      </w:r>
      <w:r>
        <w:rPr>
          <w:spacing w:val="3"/>
        </w:rPr>
        <w:t xml:space="preserve">são </w:t>
      </w:r>
      <w:r>
        <w:rPr>
          <w:spacing w:val="5"/>
        </w:rPr>
        <w:t xml:space="preserve">animadores </w:t>
      </w:r>
      <w:r>
        <w:rPr>
          <w:spacing w:val="2"/>
        </w:rPr>
        <w:t xml:space="preserve">em </w:t>
      </w:r>
      <w:r>
        <w:rPr>
          <w:spacing w:val="5"/>
        </w:rPr>
        <w:t xml:space="preserve">termos </w:t>
      </w:r>
      <w:r>
        <w:rPr>
          <w:spacing w:val="2"/>
        </w:rPr>
        <w:t xml:space="preserve">de </w:t>
      </w:r>
      <w:r>
        <w:rPr>
          <w:spacing w:val="5"/>
        </w:rPr>
        <w:t xml:space="preserve">geração </w:t>
      </w:r>
      <w:r>
        <w:rPr>
          <w:spacing w:val="6"/>
        </w:rPr>
        <w:t xml:space="preserve">de </w:t>
      </w:r>
      <w:r>
        <w:rPr>
          <w:spacing w:val="3"/>
        </w:rPr>
        <w:t xml:space="preserve">empregos </w:t>
      </w:r>
      <w:r>
        <w:t xml:space="preserve">e </w:t>
      </w:r>
      <w:r>
        <w:rPr>
          <w:spacing w:val="3"/>
        </w:rPr>
        <w:t xml:space="preserve">desenvolvimento econômico </w:t>
      </w:r>
      <w:r>
        <w:rPr>
          <w:spacing w:val="2"/>
        </w:rPr>
        <w:t xml:space="preserve">para </w:t>
      </w:r>
      <w:r>
        <w:t xml:space="preserve">a </w:t>
      </w:r>
      <w:r>
        <w:rPr>
          <w:spacing w:val="3"/>
        </w:rPr>
        <w:t xml:space="preserve">região </w:t>
      </w:r>
      <w:r>
        <w:rPr>
          <w:spacing w:val="5"/>
        </w:rPr>
        <w:t xml:space="preserve">de </w:t>
      </w:r>
      <w:r>
        <w:t>Congonhas, por outro, deixam a população e as autoridades governamentais preocupadas</w:t>
      </w:r>
      <w:r>
        <w:t xml:space="preserve"> com os possíveis impactos que </w:t>
      </w:r>
      <w:r>
        <w:rPr>
          <w:spacing w:val="2"/>
        </w:rPr>
        <w:t xml:space="preserve">eles </w:t>
      </w:r>
      <w:r>
        <w:rPr>
          <w:spacing w:val="3"/>
        </w:rPr>
        <w:t xml:space="preserve">possam provocar. </w:t>
      </w:r>
      <w:r>
        <w:t xml:space="preserve">A </w:t>
      </w:r>
      <w:r>
        <w:rPr>
          <w:spacing w:val="3"/>
        </w:rPr>
        <w:t xml:space="preserve">criação </w:t>
      </w:r>
      <w:r>
        <w:rPr>
          <w:spacing w:val="1"/>
        </w:rPr>
        <w:t xml:space="preserve">do </w:t>
      </w:r>
      <w:r>
        <w:rPr>
          <w:spacing w:val="3"/>
        </w:rPr>
        <w:t xml:space="preserve">distrito industrial </w:t>
      </w:r>
      <w:r>
        <w:rPr>
          <w:spacing w:val="5"/>
        </w:rPr>
        <w:t xml:space="preserve">em </w:t>
      </w:r>
      <w:r>
        <w:rPr>
          <w:spacing w:val="1"/>
        </w:rPr>
        <w:t xml:space="preserve">Congonhas </w:t>
      </w:r>
      <w:r>
        <w:t xml:space="preserve">vem </w:t>
      </w:r>
      <w:r>
        <w:rPr>
          <w:spacing w:val="1"/>
        </w:rPr>
        <w:t xml:space="preserve">sendo </w:t>
      </w:r>
      <w:r>
        <w:t xml:space="preserve">o </w:t>
      </w:r>
      <w:r>
        <w:rPr>
          <w:spacing w:val="1"/>
        </w:rPr>
        <w:t xml:space="preserve">foco mais recente </w:t>
      </w:r>
      <w:r>
        <w:t xml:space="preserve">de </w:t>
      </w:r>
      <w:r>
        <w:rPr>
          <w:spacing w:val="1"/>
        </w:rPr>
        <w:t xml:space="preserve">atenção. </w:t>
      </w:r>
      <w:r>
        <w:t xml:space="preserve">O </w:t>
      </w:r>
      <w:r>
        <w:rPr>
          <w:spacing w:val="3"/>
        </w:rPr>
        <w:t xml:space="preserve">empreendimento, previsto </w:t>
      </w:r>
      <w:r>
        <w:rPr>
          <w:spacing w:val="1"/>
        </w:rPr>
        <w:t xml:space="preserve">em um </w:t>
      </w:r>
      <w:r>
        <w:rPr>
          <w:spacing w:val="3"/>
        </w:rPr>
        <w:t xml:space="preserve">protocolo </w:t>
      </w:r>
      <w:r>
        <w:rPr>
          <w:spacing w:val="1"/>
        </w:rPr>
        <w:t xml:space="preserve">de </w:t>
      </w:r>
      <w:r>
        <w:rPr>
          <w:spacing w:val="5"/>
        </w:rPr>
        <w:t xml:space="preserve">intenções </w:t>
      </w:r>
      <w:r>
        <w:t xml:space="preserve">firmado entre o governo municipal e a Companhia Siderúrgica </w:t>
      </w:r>
      <w:r>
        <w:rPr>
          <w:spacing w:val="3"/>
        </w:rPr>
        <w:t xml:space="preserve">Nacional (CSN), </w:t>
      </w:r>
      <w:r>
        <w:rPr>
          <w:spacing w:val="1"/>
        </w:rPr>
        <w:t xml:space="preserve">em 18 de </w:t>
      </w:r>
      <w:r>
        <w:rPr>
          <w:spacing w:val="3"/>
        </w:rPr>
        <w:t xml:space="preserve">dezembro </w:t>
      </w:r>
      <w:r>
        <w:rPr>
          <w:spacing w:val="1"/>
        </w:rPr>
        <w:t xml:space="preserve">de </w:t>
      </w:r>
      <w:r>
        <w:rPr>
          <w:spacing w:val="3"/>
        </w:rPr>
        <w:t xml:space="preserve">2007, </w:t>
      </w:r>
      <w:r>
        <w:rPr>
          <w:spacing w:val="2"/>
        </w:rPr>
        <w:t xml:space="preserve">terá </w:t>
      </w:r>
      <w:r>
        <w:rPr>
          <w:spacing w:val="5"/>
        </w:rPr>
        <w:t xml:space="preserve">como </w:t>
      </w:r>
      <w:r>
        <w:t xml:space="preserve">âncora uma usina siderúrgica da companhia. O objetivo do </w:t>
      </w:r>
      <w:r>
        <w:rPr>
          <w:spacing w:val="1"/>
        </w:rPr>
        <w:t xml:space="preserve">distrito industrial </w:t>
      </w:r>
      <w:r>
        <w:t xml:space="preserve">é </w:t>
      </w:r>
      <w:r>
        <w:rPr>
          <w:spacing w:val="1"/>
        </w:rPr>
        <w:t xml:space="preserve">verticalizar </w:t>
      </w:r>
      <w:r>
        <w:t xml:space="preserve">a </w:t>
      </w:r>
      <w:r>
        <w:rPr>
          <w:spacing w:val="1"/>
        </w:rPr>
        <w:t xml:space="preserve">indústria </w:t>
      </w:r>
      <w:r>
        <w:t xml:space="preserve">de </w:t>
      </w:r>
      <w:r>
        <w:rPr>
          <w:spacing w:val="1"/>
        </w:rPr>
        <w:t xml:space="preserve">mineração </w:t>
      </w:r>
      <w:r>
        <w:rPr>
          <w:spacing w:val="2"/>
        </w:rPr>
        <w:t xml:space="preserve">no </w:t>
      </w:r>
      <w:r>
        <w:rPr>
          <w:spacing w:val="10"/>
        </w:rPr>
        <w:t>estado, produzindo mate</w:t>
      </w:r>
      <w:r>
        <w:rPr>
          <w:spacing w:val="10"/>
        </w:rPr>
        <w:t xml:space="preserve">rial </w:t>
      </w:r>
      <w:r>
        <w:rPr>
          <w:spacing w:val="5"/>
        </w:rPr>
        <w:t xml:space="preserve">de </w:t>
      </w:r>
      <w:r>
        <w:rPr>
          <w:spacing w:val="8"/>
        </w:rPr>
        <w:t xml:space="preserve">alto </w:t>
      </w:r>
      <w:r>
        <w:rPr>
          <w:spacing w:val="10"/>
        </w:rPr>
        <w:t xml:space="preserve">valor </w:t>
      </w:r>
      <w:r>
        <w:rPr>
          <w:spacing w:val="12"/>
        </w:rPr>
        <w:t xml:space="preserve">agregado </w:t>
      </w:r>
      <w:r>
        <w:rPr>
          <w:spacing w:val="10"/>
        </w:rPr>
        <w:t xml:space="preserve">(ASSEMBLÉIA </w:t>
      </w:r>
      <w:r>
        <w:rPr>
          <w:spacing w:val="5"/>
        </w:rPr>
        <w:t xml:space="preserve">DE </w:t>
      </w:r>
      <w:r>
        <w:rPr>
          <w:spacing w:val="10"/>
        </w:rPr>
        <w:t>MINAS,</w:t>
      </w:r>
      <w:r>
        <w:rPr>
          <w:spacing w:val="65"/>
        </w:rPr>
        <w:t xml:space="preserve"> </w:t>
      </w:r>
      <w:r>
        <w:rPr>
          <w:spacing w:val="12"/>
        </w:rPr>
        <w:t>2009).</w:t>
      </w:r>
    </w:p>
    <w:p w:rsidR="00D81F69" w:rsidRDefault="00330118">
      <w:pPr>
        <w:pStyle w:val="Corpodetexto"/>
        <w:spacing w:before="143" w:line="312" w:lineRule="auto"/>
        <w:ind w:right="191"/>
      </w:pPr>
      <w:r>
        <w:t xml:space="preserve">O </w:t>
      </w:r>
      <w:r>
        <w:rPr>
          <w:spacing w:val="5"/>
        </w:rPr>
        <w:t xml:space="preserve">projeto </w:t>
      </w:r>
      <w:r>
        <w:rPr>
          <w:spacing w:val="3"/>
        </w:rPr>
        <w:t xml:space="preserve">do </w:t>
      </w:r>
      <w:r>
        <w:rPr>
          <w:spacing w:val="6"/>
        </w:rPr>
        <w:t xml:space="preserve">distrito industrial </w:t>
      </w:r>
      <w:r>
        <w:rPr>
          <w:spacing w:val="3"/>
        </w:rPr>
        <w:t xml:space="preserve">já </w:t>
      </w:r>
      <w:r>
        <w:rPr>
          <w:spacing w:val="5"/>
        </w:rPr>
        <w:t xml:space="preserve">foi </w:t>
      </w:r>
      <w:r>
        <w:rPr>
          <w:spacing w:val="6"/>
        </w:rPr>
        <w:t xml:space="preserve">submetido </w:t>
      </w:r>
      <w:r>
        <w:t xml:space="preserve">a </w:t>
      </w:r>
      <w:r>
        <w:rPr>
          <w:spacing w:val="7"/>
        </w:rPr>
        <w:t xml:space="preserve">duas </w:t>
      </w:r>
      <w:r>
        <w:rPr>
          <w:spacing w:val="5"/>
        </w:rPr>
        <w:t xml:space="preserve">audiências públicas </w:t>
      </w:r>
      <w:r>
        <w:rPr>
          <w:spacing w:val="2"/>
        </w:rPr>
        <w:t xml:space="preserve">na </w:t>
      </w:r>
      <w:r>
        <w:rPr>
          <w:spacing w:val="5"/>
        </w:rPr>
        <w:t xml:space="preserve">Assembleia Legislativa </w:t>
      </w:r>
      <w:r>
        <w:rPr>
          <w:spacing w:val="2"/>
        </w:rPr>
        <w:t xml:space="preserve">de </w:t>
      </w:r>
      <w:r>
        <w:rPr>
          <w:spacing w:val="5"/>
        </w:rPr>
        <w:t>Minas</w:t>
      </w:r>
      <w:r>
        <w:rPr>
          <w:spacing w:val="61"/>
        </w:rPr>
        <w:t xml:space="preserve"> </w:t>
      </w:r>
      <w:r>
        <w:rPr>
          <w:spacing w:val="10"/>
        </w:rPr>
        <w:t xml:space="preserve">Gerais: </w:t>
      </w:r>
      <w:r>
        <w:t xml:space="preserve">a </w:t>
      </w:r>
      <w:r>
        <w:rPr>
          <w:spacing w:val="10"/>
        </w:rPr>
        <w:t xml:space="preserve">primeira, </w:t>
      </w:r>
      <w:r>
        <w:rPr>
          <w:spacing w:val="5"/>
        </w:rPr>
        <w:t xml:space="preserve">em </w:t>
      </w:r>
      <w:r>
        <w:rPr>
          <w:spacing w:val="8"/>
        </w:rPr>
        <w:t xml:space="preserve">maio </w:t>
      </w:r>
      <w:r>
        <w:rPr>
          <w:spacing w:val="5"/>
        </w:rPr>
        <w:t xml:space="preserve">de </w:t>
      </w:r>
      <w:r>
        <w:rPr>
          <w:spacing w:val="10"/>
        </w:rPr>
        <w:t xml:space="preserve">2008, discutiu </w:t>
      </w:r>
      <w:r>
        <w:rPr>
          <w:spacing w:val="12"/>
        </w:rPr>
        <w:t xml:space="preserve">sua </w:t>
      </w:r>
      <w:r>
        <w:rPr>
          <w:spacing w:val="3"/>
        </w:rPr>
        <w:t xml:space="preserve">implantação; </w:t>
      </w:r>
      <w:r>
        <w:t xml:space="preserve">e a </w:t>
      </w:r>
      <w:r>
        <w:rPr>
          <w:spacing w:val="3"/>
        </w:rPr>
        <w:t xml:space="preserve">segunda, realizada </w:t>
      </w:r>
      <w:r>
        <w:rPr>
          <w:spacing w:val="1"/>
        </w:rPr>
        <w:t xml:space="preserve">em </w:t>
      </w:r>
      <w:r>
        <w:rPr>
          <w:spacing w:val="3"/>
        </w:rPr>
        <w:t xml:space="preserve">outubro </w:t>
      </w:r>
      <w:r>
        <w:rPr>
          <w:spacing w:val="1"/>
        </w:rPr>
        <w:t xml:space="preserve">de </w:t>
      </w:r>
      <w:r>
        <w:rPr>
          <w:spacing w:val="5"/>
        </w:rPr>
        <w:t xml:space="preserve">2009, analisou </w:t>
      </w:r>
      <w:r>
        <w:rPr>
          <w:spacing w:val="2"/>
        </w:rPr>
        <w:t xml:space="preserve">os </w:t>
      </w:r>
      <w:r>
        <w:rPr>
          <w:spacing w:val="5"/>
        </w:rPr>
        <w:t xml:space="preserve">detalhes </w:t>
      </w:r>
      <w:r>
        <w:rPr>
          <w:spacing w:val="2"/>
        </w:rPr>
        <w:t xml:space="preserve">da </w:t>
      </w:r>
      <w:r>
        <w:rPr>
          <w:spacing w:val="5"/>
        </w:rPr>
        <w:t xml:space="preserve">iniciativa. </w:t>
      </w:r>
      <w:r>
        <w:rPr>
          <w:spacing w:val="2"/>
        </w:rPr>
        <w:t xml:space="preserve">Um </w:t>
      </w:r>
      <w:r>
        <w:rPr>
          <w:spacing w:val="5"/>
        </w:rPr>
        <w:t xml:space="preserve">decreto </w:t>
      </w:r>
      <w:r>
        <w:rPr>
          <w:spacing w:val="6"/>
        </w:rPr>
        <w:t xml:space="preserve">estadual </w:t>
      </w:r>
      <w:r>
        <w:rPr>
          <w:spacing w:val="5"/>
        </w:rPr>
        <w:t xml:space="preserve">estabeleceu </w:t>
      </w:r>
      <w:r>
        <w:rPr>
          <w:spacing w:val="3"/>
        </w:rPr>
        <w:t xml:space="preserve">que </w:t>
      </w:r>
      <w:r>
        <w:rPr>
          <w:spacing w:val="5"/>
        </w:rPr>
        <w:t xml:space="preserve">fossem desapropriados cerca </w:t>
      </w:r>
      <w:r>
        <w:rPr>
          <w:spacing w:val="2"/>
        </w:rPr>
        <w:t xml:space="preserve">de </w:t>
      </w:r>
      <w:r>
        <w:t xml:space="preserve">4 </w:t>
      </w:r>
      <w:r>
        <w:rPr>
          <w:spacing w:val="6"/>
        </w:rPr>
        <w:t xml:space="preserve">mil </w:t>
      </w:r>
      <w:r>
        <w:t xml:space="preserve">hectares de terras para o empreendimento. No local, vivem </w:t>
      </w:r>
      <w:r>
        <w:rPr>
          <w:spacing w:val="2"/>
        </w:rPr>
        <w:t xml:space="preserve">mais </w:t>
      </w:r>
      <w:r>
        <w:rPr>
          <w:spacing w:val="1"/>
        </w:rPr>
        <w:t xml:space="preserve">de </w:t>
      </w:r>
      <w:r>
        <w:rPr>
          <w:spacing w:val="2"/>
        </w:rPr>
        <w:t xml:space="preserve">400 </w:t>
      </w:r>
      <w:r>
        <w:rPr>
          <w:spacing w:val="3"/>
        </w:rPr>
        <w:t xml:space="preserve">famílias </w:t>
      </w:r>
      <w:r>
        <w:rPr>
          <w:spacing w:val="1"/>
        </w:rPr>
        <w:t xml:space="preserve">de </w:t>
      </w:r>
      <w:r>
        <w:rPr>
          <w:spacing w:val="3"/>
        </w:rPr>
        <w:t xml:space="preserve">pequenos produtores rurais. </w:t>
      </w:r>
      <w:r>
        <w:rPr>
          <w:spacing w:val="5"/>
        </w:rPr>
        <w:t xml:space="preserve">Em </w:t>
      </w:r>
      <w:r>
        <w:rPr>
          <w:spacing w:val="3"/>
        </w:rPr>
        <w:t xml:space="preserve">2008, outro decreto reduziu </w:t>
      </w:r>
      <w:r>
        <w:t xml:space="preserve">a </w:t>
      </w:r>
      <w:r>
        <w:rPr>
          <w:spacing w:val="2"/>
        </w:rPr>
        <w:t xml:space="preserve">área para 3,2 mil ha. </w:t>
      </w:r>
      <w:r>
        <w:rPr>
          <w:spacing w:val="5"/>
        </w:rPr>
        <w:t xml:space="preserve">Ainda </w:t>
      </w:r>
      <w:r>
        <w:t xml:space="preserve">assim, o distrito vai ocupar o equivalente a mais de 13% da </w:t>
      </w:r>
      <w:r>
        <w:rPr>
          <w:spacing w:val="5"/>
        </w:rPr>
        <w:t xml:space="preserve">área total </w:t>
      </w:r>
      <w:r>
        <w:rPr>
          <w:spacing w:val="3"/>
        </w:rPr>
        <w:t xml:space="preserve">do </w:t>
      </w:r>
      <w:r>
        <w:rPr>
          <w:spacing w:val="6"/>
        </w:rPr>
        <w:t xml:space="preserve">município. </w:t>
      </w:r>
      <w:r>
        <w:rPr>
          <w:spacing w:val="3"/>
        </w:rPr>
        <w:t xml:space="preserve">Da </w:t>
      </w:r>
      <w:r>
        <w:rPr>
          <w:spacing w:val="5"/>
        </w:rPr>
        <w:t xml:space="preserve">área total, 1.690 </w:t>
      </w:r>
      <w:r>
        <w:rPr>
          <w:spacing w:val="3"/>
        </w:rPr>
        <w:t xml:space="preserve">ha </w:t>
      </w:r>
      <w:r>
        <w:rPr>
          <w:spacing w:val="7"/>
        </w:rPr>
        <w:t xml:space="preserve">serão </w:t>
      </w:r>
      <w:r>
        <w:rPr>
          <w:spacing w:val="8"/>
        </w:rPr>
        <w:t xml:space="preserve">ocupados </w:t>
      </w:r>
      <w:r>
        <w:rPr>
          <w:spacing w:val="7"/>
        </w:rPr>
        <w:t xml:space="preserve">pelo </w:t>
      </w:r>
      <w:r>
        <w:rPr>
          <w:spacing w:val="8"/>
        </w:rPr>
        <w:t xml:space="preserve">distrito </w:t>
      </w:r>
      <w:r>
        <w:rPr>
          <w:spacing w:val="10"/>
        </w:rPr>
        <w:t xml:space="preserve">industrial, </w:t>
      </w:r>
      <w:r>
        <w:rPr>
          <w:spacing w:val="7"/>
        </w:rPr>
        <w:t xml:space="preserve">sendo </w:t>
      </w:r>
      <w:r>
        <w:rPr>
          <w:spacing w:val="6"/>
        </w:rPr>
        <w:t xml:space="preserve">660 </w:t>
      </w:r>
      <w:r>
        <w:rPr>
          <w:spacing w:val="5"/>
        </w:rPr>
        <w:t xml:space="preserve">ha </w:t>
      </w:r>
      <w:r>
        <w:rPr>
          <w:spacing w:val="10"/>
        </w:rPr>
        <w:t xml:space="preserve">para </w:t>
      </w:r>
      <w:r>
        <w:t>assentamentos industriais e 91</w:t>
      </w:r>
      <w:r>
        <w:t xml:space="preserve">0 destinados à área verde, que visa proteger o perímetro urbano do município de impactos ambientais decorrentes do empreendimento. A principal fonte </w:t>
      </w:r>
      <w:r>
        <w:rPr>
          <w:spacing w:val="2"/>
        </w:rPr>
        <w:t xml:space="preserve">de </w:t>
      </w:r>
      <w:r>
        <w:rPr>
          <w:spacing w:val="5"/>
        </w:rPr>
        <w:t xml:space="preserve">preocupação </w:t>
      </w:r>
      <w:r>
        <w:rPr>
          <w:spacing w:val="3"/>
        </w:rPr>
        <w:t xml:space="preserve">dos </w:t>
      </w:r>
      <w:r>
        <w:rPr>
          <w:spacing w:val="5"/>
        </w:rPr>
        <w:t xml:space="preserve">moradores </w:t>
      </w:r>
      <w:r>
        <w:t xml:space="preserve">é a </w:t>
      </w:r>
      <w:r>
        <w:rPr>
          <w:spacing w:val="5"/>
        </w:rPr>
        <w:t xml:space="preserve">construção </w:t>
      </w:r>
      <w:r>
        <w:rPr>
          <w:spacing w:val="2"/>
        </w:rPr>
        <w:t xml:space="preserve">de </w:t>
      </w:r>
      <w:r>
        <w:rPr>
          <w:spacing w:val="6"/>
        </w:rPr>
        <w:t xml:space="preserve">uma </w:t>
      </w:r>
      <w:r>
        <w:t>barragem de rejeitos numa área de 1.510 ha junto ao dist</w:t>
      </w:r>
      <w:r>
        <w:t xml:space="preserve">rito, pois ela ficará próxima às zonas habitadas e a cerca de 1 km </w:t>
      </w:r>
      <w:r>
        <w:rPr>
          <w:spacing w:val="2"/>
        </w:rPr>
        <w:t xml:space="preserve">dos </w:t>
      </w:r>
      <w:r>
        <w:rPr>
          <w:spacing w:val="1"/>
        </w:rPr>
        <w:t xml:space="preserve">12 </w:t>
      </w:r>
      <w:r>
        <w:rPr>
          <w:spacing w:val="3"/>
        </w:rPr>
        <w:t xml:space="preserve">Profetas </w:t>
      </w:r>
      <w:r>
        <w:rPr>
          <w:spacing w:val="1"/>
        </w:rPr>
        <w:t xml:space="preserve">de </w:t>
      </w:r>
      <w:r>
        <w:rPr>
          <w:spacing w:val="3"/>
        </w:rPr>
        <w:t xml:space="preserve">Aleijadinho (ASSEMBLÉIA </w:t>
      </w:r>
      <w:r>
        <w:rPr>
          <w:spacing w:val="1"/>
        </w:rPr>
        <w:t xml:space="preserve">DE </w:t>
      </w:r>
      <w:r>
        <w:rPr>
          <w:spacing w:val="5"/>
        </w:rPr>
        <w:t>MINAS, 2009).</w:t>
      </w:r>
    </w:p>
    <w:p w:rsidR="00D81F69" w:rsidRDefault="00330118">
      <w:pPr>
        <w:pStyle w:val="Corpodetexto"/>
        <w:spacing w:before="148" w:line="312" w:lineRule="auto"/>
        <w:ind w:right="214"/>
      </w:pPr>
      <w:r>
        <w:t xml:space="preserve">Para administrar a nova situação, a prefeitura de Congonhas tomou medidas, como o pedido de revisão do Plano Diretor  da cidade, </w:t>
      </w:r>
      <w:r>
        <w:t>que, em uma primeira etapa, se aterá à expansão da área urbana, uma vez que a área do distrito industrial será 40%</w:t>
      </w:r>
      <w:r>
        <w:rPr>
          <w:spacing w:val="7"/>
        </w:rPr>
        <w:t xml:space="preserve"> </w:t>
      </w:r>
      <w:r>
        <w:t>maior</w:t>
      </w:r>
      <w:r>
        <w:rPr>
          <w:spacing w:val="7"/>
        </w:rPr>
        <w:t xml:space="preserve"> </w:t>
      </w:r>
      <w:r>
        <w:t>que</w:t>
      </w:r>
      <w:r>
        <w:rPr>
          <w:spacing w:val="7"/>
        </w:rPr>
        <w:t xml:space="preserve"> </w:t>
      </w:r>
      <w:r>
        <w:t>a</w:t>
      </w:r>
      <w:r>
        <w:rPr>
          <w:spacing w:val="7"/>
        </w:rPr>
        <w:t xml:space="preserve"> </w:t>
      </w:r>
      <w:r>
        <w:t>do</w:t>
      </w:r>
      <w:r>
        <w:rPr>
          <w:spacing w:val="7"/>
        </w:rPr>
        <w:t xml:space="preserve"> </w:t>
      </w:r>
      <w:r>
        <w:t>perímetro</w:t>
      </w:r>
      <w:r>
        <w:rPr>
          <w:spacing w:val="7"/>
        </w:rPr>
        <w:t xml:space="preserve"> </w:t>
      </w:r>
      <w:r>
        <w:t>urbano</w:t>
      </w:r>
      <w:r>
        <w:rPr>
          <w:spacing w:val="7"/>
        </w:rPr>
        <w:t xml:space="preserve"> </w:t>
      </w:r>
      <w:r>
        <w:t>anterior,</w:t>
      </w:r>
      <w:r>
        <w:rPr>
          <w:spacing w:val="7"/>
        </w:rPr>
        <w:t xml:space="preserve"> </w:t>
      </w:r>
      <w:r>
        <w:t>com</w:t>
      </w:r>
      <w:r>
        <w:rPr>
          <w:spacing w:val="7"/>
        </w:rPr>
        <w:t xml:space="preserve"> </w:t>
      </w:r>
      <w:r>
        <w:t>cerca</w:t>
      </w:r>
      <w:r>
        <w:rPr>
          <w:spacing w:val="7"/>
        </w:rPr>
        <w:t xml:space="preserve"> </w:t>
      </w:r>
      <w:r>
        <w:t>de</w:t>
      </w:r>
    </w:p>
    <w:p w:rsidR="00D81F69" w:rsidRDefault="00330118">
      <w:pPr>
        <w:pStyle w:val="Corpodetexto"/>
        <w:spacing w:before="5" w:line="312" w:lineRule="auto"/>
        <w:ind w:right="137"/>
      </w:pPr>
      <w:r>
        <w:t xml:space="preserve">15 milhões de m² (PREFEITURA MUNICIPAL DE CONGONHAS, 2009). </w:t>
      </w:r>
    </w:p>
    <w:p w:rsidR="00D81F69" w:rsidRDefault="00D81F69">
      <w:pPr>
        <w:spacing w:line="312" w:lineRule="auto"/>
        <w:sectPr w:rsidR="00D81F69">
          <w:pgSz w:w="11900" w:h="16840"/>
          <w:pgMar w:top="740" w:right="500" w:bottom="640" w:left="620" w:header="0" w:footer="402" w:gutter="0"/>
          <w:cols w:num="2" w:space="720" w:equalWidth="0">
            <w:col w:w="5159" w:space="311"/>
            <w:col w:w="5310"/>
          </w:cols>
        </w:sectPr>
      </w:pPr>
    </w:p>
    <w:p w:rsidR="00D81F69" w:rsidRDefault="00330118">
      <w:pPr>
        <w:pStyle w:val="Corpodetexto"/>
        <w:spacing w:before="81" w:line="312" w:lineRule="auto"/>
        <w:ind w:right="48"/>
      </w:pPr>
      <w:r>
        <w:lastRenderedPageBreak/>
        <w:t>De acordo com o prefeito de Congonhas, há grande preocupação com os impactos gerados com estes investimentos. Segundo ele, é preciso prevenir o fluxo migratório, os riscos ambientais, a sobrecarga sobre os serviços públicos, a</w:t>
      </w:r>
      <w:r>
        <w:t xml:space="preserve"> inexistência de infraestrutura, a ocupação irregular e os riscos ao patrimônio cultural material e imaterial. A Agenda 21, por exemplo, é o instrumento que o Consórcio Público para o Desenvolvimento do Alto Paraopeba (Codap) encontrou para planejar o dese</w:t>
      </w:r>
      <w:r>
        <w:t>nvolvimento na região (JORNAL BRASIL, 2010).</w:t>
      </w:r>
    </w:p>
    <w:p w:rsidR="00D81F69" w:rsidRDefault="00330118">
      <w:pPr>
        <w:pStyle w:val="Corpodetexto"/>
        <w:spacing w:before="139" w:line="312" w:lineRule="auto"/>
        <w:ind w:right="59"/>
      </w:pPr>
      <w:r>
        <w:t>A proposta surgiu em julho de 2007, a partir de uma reunião promovida pelo Ministério de Minas e Energia (MME) e a Prefeitura de Congonhas, quando se vivia uma conjuntura internacional de expansão da demanda por</w:t>
      </w:r>
      <w:r>
        <w:t xml:space="preserve"> minério de ferro (CARTILHA AGENDA 21, 2010). A Agenda 21 Regional teve ainda a participação da CSN, da Gerdau-Açominas, da Vallourec &amp; Sumitomo, e da Vale em sua elaboração, e consiste em 18 objetivos (CODAP, 2010a; CORTELETI, 2010 apud MILANEZ, 2011), do</w:t>
      </w:r>
      <w:r>
        <w:t>s quais nove são voltados para o crescimento econômico, oito para o desenvolvimento social e apenas um para a questão ambiental (MILANEZ, 2011).</w:t>
      </w:r>
    </w:p>
    <w:p w:rsidR="00D81F69" w:rsidRDefault="00330118">
      <w:pPr>
        <w:pStyle w:val="Corpodetexto"/>
        <w:spacing w:before="140" w:line="312" w:lineRule="auto"/>
        <w:ind w:right="38"/>
      </w:pPr>
      <w:r>
        <w:t xml:space="preserve">A </w:t>
      </w:r>
      <w:r>
        <w:rPr>
          <w:spacing w:val="5"/>
        </w:rPr>
        <w:t xml:space="preserve">criação </w:t>
      </w:r>
      <w:r>
        <w:rPr>
          <w:spacing w:val="2"/>
        </w:rPr>
        <w:t xml:space="preserve">de </w:t>
      </w:r>
      <w:r>
        <w:rPr>
          <w:spacing w:val="3"/>
        </w:rPr>
        <w:t xml:space="preserve">lei </w:t>
      </w:r>
      <w:r>
        <w:rPr>
          <w:spacing w:val="5"/>
        </w:rPr>
        <w:t xml:space="preserve">própria, </w:t>
      </w:r>
      <w:r>
        <w:rPr>
          <w:spacing w:val="2"/>
        </w:rPr>
        <w:t xml:space="preserve">em </w:t>
      </w:r>
      <w:r>
        <w:rPr>
          <w:spacing w:val="5"/>
        </w:rPr>
        <w:t xml:space="preserve">2011, </w:t>
      </w:r>
      <w:r>
        <w:t xml:space="preserve">e a </w:t>
      </w:r>
      <w:r>
        <w:rPr>
          <w:spacing w:val="5"/>
        </w:rPr>
        <w:t xml:space="preserve">estruturação </w:t>
      </w:r>
      <w:r>
        <w:rPr>
          <w:spacing w:val="6"/>
        </w:rPr>
        <w:t xml:space="preserve">da </w:t>
      </w:r>
      <w:r>
        <w:rPr>
          <w:spacing w:val="8"/>
        </w:rPr>
        <w:t xml:space="preserve">Secretaria </w:t>
      </w:r>
      <w:r>
        <w:rPr>
          <w:spacing w:val="7"/>
        </w:rPr>
        <w:t xml:space="preserve">Municipal </w:t>
      </w:r>
      <w:r>
        <w:rPr>
          <w:spacing w:val="5"/>
        </w:rPr>
        <w:t xml:space="preserve">de </w:t>
      </w:r>
      <w:r>
        <w:rPr>
          <w:spacing w:val="8"/>
        </w:rPr>
        <w:t xml:space="preserve">Desenvolvimento </w:t>
      </w:r>
      <w:r>
        <w:rPr>
          <w:spacing w:val="10"/>
        </w:rPr>
        <w:t xml:space="preserve">Sustentável, </w:t>
      </w:r>
      <w:r>
        <w:t xml:space="preserve">dotaram Congonhas de instrumentos eficazes para combater a poluição atmosférica e a poeira provenientes da mineração. Em 2011, foi aprovada e sancionada a Lei Municipal nº 3.096, de 5 de </w:t>
      </w:r>
      <w:r>
        <w:rPr>
          <w:spacing w:val="1"/>
        </w:rPr>
        <w:t xml:space="preserve">julho </w:t>
      </w:r>
      <w:r>
        <w:t xml:space="preserve">de </w:t>
      </w:r>
      <w:r>
        <w:rPr>
          <w:spacing w:val="1"/>
        </w:rPr>
        <w:t xml:space="preserve">2011, </w:t>
      </w:r>
      <w:r>
        <w:t xml:space="preserve">que </w:t>
      </w:r>
      <w:r>
        <w:rPr>
          <w:spacing w:val="1"/>
        </w:rPr>
        <w:t xml:space="preserve">instituiu </w:t>
      </w:r>
      <w:r>
        <w:t xml:space="preserve">a </w:t>
      </w:r>
      <w:r>
        <w:rPr>
          <w:spacing w:val="1"/>
        </w:rPr>
        <w:t xml:space="preserve">Política Municipal </w:t>
      </w:r>
      <w:r>
        <w:rPr>
          <w:spacing w:val="2"/>
        </w:rPr>
        <w:t xml:space="preserve">de </w:t>
      </w:r>
      <w:r>
        <w:rPr>
          <w:spacing w:val="1"/>
        </w:rPr>
        <w:t xml:space="preserve">Meio Ambiente </w:t>
      </w:r>
      <w:r>
        <w:t xml:space="preserve">e </w:t>
      </w:r>
      <w:r>
        <w:rPr>
          <w:spacing w:val="1"/>
        </w:rPr>
        <w:t xml:space="preserve">Desenvolvimento Ambiental, </w:t>
      </w:r>
      <w:r>
        <w:t xml:space="preserve">em </w:t>
      </w:r>
      <w:r>
        <w:rPr>
          <w:spacing w:val="2"/>
        </w:rPr>
        <w:t xml:space="preserve">seguida </w:t>
      </w:r>
      <w:r>
        <w:rPr>
          <w:spacing w:val="3"/>
        </w:rPr>
        <w:t xml:space="preserve">regulamentada </w:t>
      </w:r>
      <w:r>
        <w:rPr>
          <w:spacing w:val="2"/>
        </w:rPr>
        <w:t xml:space="preserve">pelo </w:t>
      </w:r>
      <w:r>
        <w:rPr>
          <w:spacing w:val="3"/>
        </w:rPr>
        <w:t xml:space="preserve">Decreto </w:t>
      </w:r>
      <w:r>
        <w:rPr>
          <w:spacing w:val="1"/>
        </w:rPr>
        <w:t xml:space="preserve">nº </w:t>
      </w:r>
      <w:r>
        <w:rPr>
          <w:spacing w:val="3"/>
        </w:rPr>
        <w:t xml:space="preserve">5.356, </w:t>
      </w:r>
      <w:r>
        <w:rPr>
          <w:spacing w:val="1"/>
        </w:rPr>
        <w:t xml:space="preserve">de </w:t>
      </w:r>
      <w:r>
        <w:t xml:space="preserve">2 </w:t>
      </w:r>
      <w:r>
        <w:rPr>
          <w:spacing w:val="1"/>
        </w:rPr>
        <w:t xml:space="preserve">de </w:t>
      </w:r>
      <w:r>
        <w:rPr>
          <w:spacing w:val="3"/>
        </w:rPr>
        <w:t xml:space="preserve">agosto </w:t>
      </w:r>
      <w:r>
        <w:rPr>
          <w:spacing w:val="5"/>
        </w:rPr>
        <w:t xml:space="preserve">de </w:t>
      </w:r>
      <w:r>
        <w:rPr>
          <w:spacing w:val="7"/>
        </w:rPr>
        <w:t xml:space="preserve">2011, </w:t>
      </w:r>
      <w:r>
        <w:rPr>
          <w:spacing w:val="5"/>
        </w:rPr>
        <w:t xml:space="preserve">no que diz </w:t>
      </w:r>
      <w:r>
        <w:rPr>
          <w:spacing w:val="7"/>
        </w:rPr>
        <w:t xml:space="preserve">respeito </w:t>
      </w:r>
      <w:r>
        <w:t xml:space="preserve">à </w:t>
      </w:r>
      <w:r>
        <w:rPr>
          <w:spacing w:val="8"/>
        </w:rPr>
        <w:t xml:space="preserve">fiscalização, </w:t>
      </w:r>
      <w:r>
        <w:rPr>
          <w:spacing w:val="7"/>
        </w:rPr>
        <w:t xml:space="preserve">autuação </w:t>
      </w:r>
      <w:r>
        <w:t xml:space="preserve">e </w:t>
      </w:r>
      <w:r>
        <w:rPr>
          <w:spacing w:val="8"/>
        </w:rPr>
        <w:t xml:space="preserve">procedimento administrativo, </w:t>
      </w:r>
      <w:r>
        <w:t xml:space="preserve">e </w:t>
      </w:r>
      <w:r>
        <w:rPr>
          <w:spacing w:val="5"/>
        </w:rPr>
        <w:t xml:space="preserve">ao </w:t>
      </w:r>
      <w:r>
        <w:rPr>
          <w:spacing w:val="7"/>
        </w:rPr>
        <w:t xml:space="preserve">Fundo Municipal </w:t>
      </w:r>
      <w:r>
        <w:rPr>
          <w:spacing w:val="10"/>
        </w:rPr>
        <w:t xml:space="preserve">de </w:t>
      </w:r>
      <w:r>
        <w:rPr>
          <w:spacing w:val="1"/>
        </w:rPr>
        <w:t xml:space="preserve">Proteção Ambiental (FMPA). </w:t>
      </w:r>
      <w:r>
        <w:t xml:space="preserve">Com </w:t>
      </w:r>
      <w:r>
        <w:rPr>
          <w:spacing w:val="1"/>
        </w:rPr>
        <w:t xml:space="preserve">base </w:t>
      </w:r>
      <w:r>
        <w:t xml:space="preserve">na Lei nº </w:t>
      </w:r>
      <w:r>
        <w:rPr>
          <w:spacing w:val="1"/>
        </w:rPr>
        <w:t xml:space="preserve">3.096, </w:t>
      </w:r>
      <w:r>
        <w:t>a Pr</w:t>
      </w:r>
      <w:r>
        <w:t xml:space="preserve">efeitura aplicou multas que totalizaram R$ 5,2 milhões às </w:t>
      </w:r>
      <w:r>
        <w:rPr>
          <w:spacing w:val="1"/>
        </w:rPr>
        <w:t xml:space="preserve">empresas </w:t>
      </w:r>
      <w:r>
        <w:t xml:space="preserve">de </w:t>
      </w:r>
      <w:r>
        <w:rPr>
          <w:spacing w:val="1"/>
        </w:rPr>
        <w:t xml:space="preserve">atividade mineral atuantes </w:t>
      </w:r>
      <w:r>
        <w:t xml:space="preserve">no </w:t>
      </w:r>
      <w:r>
        <w:rPr>
          <w:spacing w:val="1"/>
        </w:rPr>
        <w:t xml:space="preserve">município, </w:t>
      </w:r>
      <w:r>
        <w:rPr>
          <w:spacing w:val="2"/>
        </w:rPr>
        <w:t xml:space="preserve">que </w:t>
      </w:r>
      <w:r>
        <w:t xml:space="preserve">foram responsabilizadas pela poeira que cobriu a cidade no </w:t>
      </w:r>
      <w:r>
        <w:rPr>
          <w:spacing w:val="3"/>
        </w:rPr>
        <w:t xml:space="preserve">dia </w:t>
      </w:r>
      <w:r>
        <w:t xml:space="preserve">2 </w:t>
      </w:r>
      <w:r>
        <w:rPr>
          <w:spacing w:val="2"/>
        </w:rPr>
        <w:t xml:space="preserve">de </w:t>
      </w:r>
      <w:r>
        <w:rPr>
          <w:spacing w:val="5"/>
        </w:rPr>
        <w:t xml:space="preserve">agosto. </w:t>
      </w:r>
      <w:r>
        <w:rPr>
          <w:spacing w:val="2"/>
        </w:rPr>
        <w:t xml:space="preserve">As </w:t>
      </w:r>
      <w:r>
        <w:rPr>
          <w:spacing w:val="5"/>
        </w:rPr>
        <w:t xml:space="preserve">empresas recorreram </w:t>
      </w:r>
      <w:r>
        <w:rPr>
          <w:spacing w:val="2"/>
        </w:rPr>
        <w:t xml:space="preserve">em </w:t>
      </w:r>
      <w:r>
        <w:rPr>
          <w:spacing w:val="5"/>
        </w:rPr>
        <w:t xml:space="preserve">diferentes </w:t>
      </w:r>
      <w:r>
        <w:rPr>
          <w:spacing w:val="10"/>
        </w:rPr>
        <w:t xml:space="preserve">instâncias, </w:t>
      </w:r>
      <w:r>
        <w:rPr>
          <w:spacing w:val="7"/>
        </w:rPr>
        <w:t xml:space="preserve">mas </w:t>
      </w:r>
      <w:r>
        <w:rPr>
          <w:spacing w:val="5"/>
        </w:rPr>
        <w:t xml:space="preserve">as </w:t>
      </w:r>
      <w:r>
        <w:rPr>
          <w:spacing w:val="10"/>
        </w:rPr>
        <w:t xml:space="preserve">multas </w:t>
      </w:r>
      <w:r>
        <w:rPr>
          <w:spacing w:val="8"/>
        </w:rPr>
        <w:t>fo</w:t>
      </w:r>
      <w:r>
        <w:rPr>
          <w:spacing w:val="8"/>
        </w:rPr>
        <w:t xml:space="preserve">ram </w:t>
      </w:r>
      <w:r>
        <w:rPr>
          <w:spacing w:val="10"/>
        </w:rPr>
        <w:t xml:space="preserve">mantidas </w:t>
      </w:r>
      <w:r>
        <w:rPr>
          <w:spacing w:val="11"/>
        </w:rPr>
        <w:t xml:space="preserve">(JORNAL </w:t>
      </w:r>
      <w:r>
        <w:rPr>
          <w:spacing w:val="10"/>
        </w:rPr>
        <w:t xml:space="preserve">CORREIO </w:t>
      </w:r>
      <w:r>
        <w:rPr>
          <w:spacing w:val="5"/>
        </w:rPr>
        <w:t xml:space="preserve">DA </w:t>
      </w:r>
      <w:r>
        <w:rPr>
          <w:spacing w:val="10"/>
        </w:rPr>
        <w:t>CIDADE,</w:t>
      </w:r>
      <w:r>
        <w:rPr>
          <w:spacing w:val="47"/>
        </w:rPr>
        <w:t xml:space="preserve"> </w:t>
      </w:r>
      <w:r>
        <w:rPr>
          <w:spacing w:val="11"/>
        </w:rPr>
        <w:t>2012).</w:t>
      </w:r>
    </w:p>
    <w:p w:rsidR="00D81F69" w:rsidRDefault="00330118">
      <w:pPr>
        <w:pStyle w:val="Corpodetexto"/>
        <w:spacing w:before="146" w:line="312" w:lineRule="auto"/>
        <w:ind w:right="42"/>
      </w:pPr>
      <w:r>
        <w:rPr>
          <w:spacing w:val="5"/>
        </w:rPr>
        <w:t xml:space="preserve">Apesar dos avanços </w:t>
      </w:r>
      <w:r>
        <w:rPr>
          <w:spacing w:val="6"/>
        </w:rPr>
        <w:t xml:space="preserve">alcançados </w:t>
      </w:r>
      <w:r>
        <w:rPr>
          <w:spacing w:val="5"/>
        </w:rPr>
        <w:t xml:space="preserve">com </w:t>
      </w:r>
      <w:r>
        <w:rPr>
          <w:spacing w:val="3"/>
        </w:rPr>
        <w:t xml:space="preserve">as </w:t>
      </w:r>
      <w:r>
        <w:rPr>
          <w:spacing w:val="6"/>
        </w:rPr>
        <w:t xml:space="preserve">mudanças </w:t>
      </w:r>
      <w:r>
        <w:rPr>
          <w:spacing w:val="7"/>
        </w:rPr>
        <w:t xml:space="preserve">na </w:t>
      </w:r>
      <w:r>
        <w:t xml:space="preserve">legislação, o prefeito observa que Congonhas vem perdendo recursos devido a itens das legislações ambientais do estado e </w:t>
      </w:r>
      <w:r>
        <w:rPr>
          <w:spacing w:val="1"/>
        </w:rPr>
        <w:t xml:space="preserve">da </w:t>
      </w:r>
      <w:r>
        <w:rPr>
          <w:spacing w:val="3"/>
        </w:rPr>
        <w:t xml:space="preserve">União. Esses valores </w:t>
      </w:r>
      <w:r>
        <w:rPr>
          <w:spacing w:val="1"/>
        </w:rPr>
        <w:t xml:space="preserve">já </w:t>
      </w:r>
      <w:r>
        <w:rPr>
          <w:spacing w:val="3"/>
        </w:rPr>
        <w:t xml:space="preserve">superam </w:t>
      </w:r>
      <w:r>
        <w:rPr>
          <w:spacing w:val="1"/>
        </w:rPr>
        <w:t>os R</w:t>
      </w:r>
      <w:r>
        <w:rPr>
          <w:spacing w:val="1"/>
        </w:rPr>
        <w:t xml:space="preserve">$ 10 </w:t>
      </w:r>
      <w:r>
        <w:rPr>
          <w:spacing w:val="5"/>
        </w:rPr>
        <w:t xml:space="preserve">milhões, segundo </w:t>
      </w:r>
      <w:r>
        <w:t xml:space="preserve">o </w:t>
      </w:r>
      <w:r>
        <w:rPr>
          <w:spacing w:val="6"/>
        </w:rPr>
        <w:t xml:space="preserve">prefeito, </w:t>
      </w:r>
      <w:r>
        <w:rPr>
          <w:spacing w:val="3"/>
        </w:rPr>
        <w:t xml:space="preserve">na </w:t>
      </w:r>
      <w:r>
        <w:rPr>
          <w:spacing w:val="5"/>
        </w:rPr>
        <w:t xml:space="preserve">medida </w:t>
      </w:r>
      <w:r>
        <w:rPr>
          <w:spacing w:val="3"/>
        </w:rPr>
        <w:t xml:space="preserve">em </w:t>
      </w:r>
      <w:r>
        <w:rPr>
          <w:spacing w:val="5"/>
        </w:rPr>
        <w:t xml:space="preserve">que </w:t>
      </w:r>
      <w:r>
        <w:rPr>
          <w:spacing w:val="3"/>
        </w:rPr>
        <w:t xml:space="preserve">os </w:t>
      </w:r>
      <w:r>
        <w:rPr>
          <w:spacing w:val="6"/>
        </w:rPr>
        <w:t xml:space="preserve">recursos </w:t>
      </w:r>
      <w:r>
        <w:rPr>
          <w:spacing w:val="7"/>
        </w:rPr>
        <w:t xml:space="preserve">de </w:t>
      </w:r>
      <w:r>
        <w:rPr>
          <w:spacing w:val="8"/>
        </w:rPr>
        <w:t xml:space="preserve">compensação ambiental, </w:t>
      </w:r>
      <w:r>
        <w:rPr>
          <w:spacing w:val="5"/>
        </w:rPr>
        <w:t xml:space="preserve">de </w:t>
      </w:r>
      <w:r>
        <w:rPr>
          <w:spacing w:val="6"/>
        </w:rPr>
        <w:t xml:space="preserve">0,5% </w:t>
      </w:r>
      <w:r>
        <w:t xml:space="preserve">a </w:t>
      </w:r>
      <w:r>
        <w:rPr>
          <w:spacing w:val="5"/>
        </w:rPr>
        <w:t xml:space="preserve">1% do </w:t>
      </w:r>
      <w:r>
        <w:rPr>
          <w:spacing w:val="7"/>
        </w:rPr>
        <w:t xml:space="preserve">valor </w:t>
      </w:r>
      <w:r>
        <w:rPr>
          <w:spacing w:val="10"/>
        </w:rPr>
        <w:t xml:space="preserve">dos </w:t>
      </w:r>
      <w:r>
        <w:t>empreendimentos instalados na cidade, são canalizados para outras regiões (JORNAL CORREIO DA CIDADE,</w:t>
      </w:r>
      <w:r>
        <w:rPr>
          <w:spacing w:val="16"/>
        </w:rPr>
        <w:t xml:space="preserve"> </w:t>
      </w:r>
      <w:r>
        <w:t>2012).</w:t>
      </w:r>
    </w:p>
    <w:p w:rsidR="00D81F69" w:rsidRDefault="00D81F69">
      <w:pPr>
        <w:pStyle w:val="Corpodetexto"/>
        <w:spacing w:before="7"/>
        <w:ind w:left="0"/>
        <w:jc w:val="left"/>
        <w:rPr>
          <w:sz w:val="21"/>
        </w:rPr>
      </w:pPr>
    </w:p>
    <w:p w:rsidR="00D81F69" w:rsidRDefault="00330118">
      <w:pPr>
        <w:pStyle w:val="Heading7"/>
      </w:pPr>
      <w:r>
        <w:t>LOCALIZAÇÃO GEOGRÁFICA</w:t>
      </w:r>
    </w:p>
    <w:p w:rsidR="00D81F69" w:rsidRDefault="00330118">
      <w:pPr>
        <w:pStyle w:val="Corpodetexto"/>
        <w:spacing w:before="116" w:line="270" w:lineRule="atLeast"/>
        <w:ind w:right="56"/>
      </w:pPr>
      <w:r>
        <w:t>As minas de ferro do município de Congonhas estão localizadas na sub-bacia do rio Paraopeba, com exceção da mina João Pereira que se encontra na sub-bacia do Rio das Velhas. Todas as sub-bacias pertencem à bacia do rio São Francisco. As minas estão entre a</w:t>
      </w:r>
      <w:r>
        <w:t>s latitudes 20°29’55”S - 20°25’41”S e longitudes 43°51’5”W - 43°55’44”W.</w:t>
      </w:r>
    </w:p>
    <w:p w:rsidR="00D81F69" w:rsidRDefault="00330118">
      <w:pPr>
        <w:pStyle w:val="Heading7"/>
        <w:spacing w:before="192"/>
      </w:pPr>
      <w:r>
        <w:br w:type="column"/>
      </w:r>
      <w:r>
        <w:lastRenderedPageBreak/>
        <w:t>REDATORES</w:t>
      </w:r>
    </w:p>
    <w:p w:rsidR="00D81F69" w:rsidRDefault="00330118">
      <w:pPr>
        <w:pStyle w:val="Corpodetexto"/>
        <w:spacing w:before="179"/>
      </w:pPr>
      <w:r>
        <w:t>Vilma Goulart</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186"/>
        <w:jc w:val="both"/>
        <w:rPr>
          <w:sz w:val="16"/>
        </w:rPr>
      </w:pPr>
      <w:r>
        <w:rPr>
          <w:sz w:val="16"/>
        </w:rPr>
        <w:t>ASSEMBLEIA DE MINAS, Assembleia Legislativa do Estado de Minas Gerais. Novo distrito industrial preocupa população de Congonhas. Belo Horizonte, 07 out. 2009. Disponível em:</w:t>
      </w:r>
    </w:p>
    <w:p w:rsidR="00D81F69" w:rsidRDefault="00D81F69">
      <w:pPr>
        <w:spacing w:before="2" w:line="312" w:lineRule="auto"/>
        <w:ind w:left="100" w:right="191"/>
        <w:jc w:val="both"/>
        <w:rPr>
          <w:sz w:val="16"/>
        </w:rPr>
      </w:pPr>
      <w:hyperlink r:id="rId1081">
        <w:r w:rsidR="00330118">
          <w:rPr>
            <w:sz w:val="16"/>
          </w:rPr>
          <w:t>&lt;http:/</w:t>
        </w:r>
        <w:r w:rsidR="00330118">
          <w:rPr>
            <w:sz w:val="16"/>
          </w:rPr>
          <w:t>/www.almg.gov.br/not/bancodenoticias/not_761336.asp&gt;.</w:t>
        </w:r>
      </w:hyperlink>
      <w:r w:rsidR="00330118">
        <w:rPr>
          <w:sz w:val="16"/>
        </w:rPr>
        <w:t xml:space="preserve"> Acesso em 03 out. 2010.</w:t>
      </w:r>
    </w:p>
    <w:p w:rsidR="00D81F69" w:rsidRDefault="00330118">
      <w:pPr>
        <w:spacing w:before="2" w:line="312" w:lineRule="auto"/>
        <w:ind w:left="100" w:right="171"/>
        <w:jc w:val="both"/>
        <w:rPr>
          <w:sz w:val="16"/>
        </w:rPr>
      </w:pPr>
      <w:r>
        <w:rPr>
          <w:sz w:val="16"/>
        </w:rPr>
        <w:t xml:space="preserve">BRASIL MINERAL. MPE e Ferrous firmam acordo sobre Mina Viga. </w:t>
      </w:r>
      <w:r>
        <w:rPr>
          <w:spacing w:val="20"/>
          <w:sz w:val="16"/>
        </w:rPr>
        <w:t xml:space="preserve">São </w:t>
      </w:r>
      <w:r>
        <w:rPr>
          <w:spacing w:val="25"/>
          <w:sz w:val="16"/>
        </w:rPr>
        <w:t xml:space="preserve">Paulo, </w:t>
      </w:r>
      <w:r>
        <w:rPr>
          <w:spacing w:val="15"/>
          <w:sz w:val="16"/>
        </w:rPr>
        <w:t xml:space="preserve">06 de </w:t>
      </w:r>
      <w:r>
        <w:rPr>
          <w:spacing w:val="22"/>
          <w:sz w:val="16"/>
        </w:rPr>
        <w:t xml:space="preserve">ago. </w:t>
      </w:r>
      <w:r>
        <w:rPr>
          <w:spacing w:val="23"/>
          <w:sz w:val="16"/>
        </w:rPr>
        <w:t xml:space="preserve">2010. </w:t>
      </w:r>
      <w:r>
        <w:rPr>
          <w:spacing w:val="26"/>
          <w:sz w:val="16"/>
        </w:rPr>
        <w:t>Disponível</w:t>
      </w:r>
      <w:r>
        <w:rPr>
          <w:spacing w:val="81"/>
          <w:sz w:val="16"/>
        </w:rPr>
        <w:t xml:space="preserve"> </w:t>
      </w:r>
      <w:r>
        <w:rPr>
          <w:spacing w:val="20"/>
          <w:sz w:val="16"/>
        </w:rPr>
        <w:t>em:</w:t>
      </w:r>
      <w:r>
        <w:rPr>
          <w:spacing w:val="-13"/>
          <w:sz w:val="16"/>
        </w:rPr>
        <w:t xml:space="preserve"> </w:t>
      </w:r>
    </w:p>
    <w:p w:rsidR="00D81F69" w:rsidRDefault="00D81F69">
      <w:pPr>
        <w:spacing w:before="1" w:line="312" w:lineRule="auto"/>
        <w:ind w:left="100" w:right="216"/>
        <w:jc w:val="both"/>
        <w:rPr>
          <w:sz w:val="16"/>
        </w:rPr>
      </w:pPr>
      <w:hyperlink r:id="rId1082">
        <w:r w:rsidR="00330118">
          <w:rPr>
            <w:sz w:val="16"/>
          </w:rPr>
          <w:t>&lt;http://www.brasilmineral.com.br/BM/default.asp?COD=5055&amp;busca=</w:t>
        </w:r>
      </w:hyperlink>
      <w:r w:rsidR="00330118">
        <w:rPr>
          <w:sz w:val="16"/>
        </w:rPr>
        <w:t xml:space="preserve"> Ferrous&amp;numero=47&gt;. Acesso em 24 set. 2010.</w:t>
      </w:r>
    </w:p>
    <w:p w:rsidR="00D81F69" w:rsidRDefault="00330118">
      <w:pPr>
        <w:tabs>
          <w:tab w:val="left" w:pos="2424"/>
          <w:tab w:val="left" w:pos="4633"/>
        </w:tabs>
        <w:spacing w:before="2" w:line="312" w:lineRule="auto"/>
        <w:ind w:left="100" w:right="198"/>
        <w:jc w:val="both"/>
        <w:rPr>
          <w:sz w:val="16"/>
        </w:rPr>
      </w:pPr>
      <w:r>
        <w:rPr>
          <w:spacing w:val="7"/>
          <w:sz w:val="16"/>
        </w:rPr>
        <w:t xml:space="preserve">CARTILHA AGENDA </w:t>
      </w:r>
      <w:r>
        <w:rPr>
          <w:spacing w:val="5"/>
          <w:sz w:val="16"/>
        </w:rPr>
        <w:t xml:space="preserve">21. In:  </w:t>
      </w:r>
      <w:r>
        <w:rPr>
          <w:spacing w:val="6"/>
          <w:sz w:val="16"/>
        </w:rPr>
        <w:t xml:space="preserve">Site  </w:t>
      </w:r>
      <w:r>
        <w:rPr>
          <w:spacing w:val="5"/>
          <w:sz w:val="16"/>
        </w:rPr>
        <w:t xml:space="preserve">da  </w:t>
      </w:r>
      <w:r>
        <w:rPr>
          <w:spacing w:val="8"/>
          <w:sz w:val="16"/>
        </w:rPr>
        <w:t xml:space="preserve">Prefeitura </w:t>
      </w:r>
      <w:r>
        <w:rPr>
          <w:spacing w:val="7"/>
          <w:sz w:val="16"/>
        </w:rPr>
        <w:t xml:space="preserve">Municipal </w:t>
      </w:r>
      <w:r>
        <w:rPr>
          <w:spacing w:val="10"/>
          <w:sz w:val="16"/>
        </w:rPr>
        <w:t xml:space="preserve">de  </w:t>
      </w:r>
      <w:r>
        <w:rPr>
          <w:sz w:val="16"/>
        </w:rPr>
        <w:t xml:space="preserve">C </w:t>
      </w:r>
      <w:r>
        <w:rPr>
          <w:spacing w:val="15"/>
          <w:sz w:val="16"/>
        </w:rPr>
        <w:t xml:space="preserve"> </w:t>
      </w:r>
      <w:r>
        <w:rPr>
          <w:sz w:val="16"/>
        </w:rPr>
        <w:t xml:space="preserve">o </w:t>
      </w:r>
      <w:r>
        <w:rPr>
          <w:spacing w:val="15"/>
          <w:sz w:val="16"/>
        </w:rPr>
        <w:t xml:space="preserve"> </w:t>
      </w:r>
      <w:r>
        <w:rPr>
          <w:sz w:val="16"/>
        </w:rPr>
        <w:t xml:space="preserve">n </w:t>
      </w:r>
      <w:r>
        <w:rPr>
          <w:spacing w:val="15"/>
          <w:sz w:val="16"/>
        </w:rPr>
        <w:t xml:space="preserve"> </w:t>
      </w:r>
      <w:r>
        <w:rPr>
          <w:sz w:val="16"/>
        </w:rPr>
        <w:t xml:space="preserve">g </w:t>
      </w:r>
      <w:r>
        <w:rPr>
          <w:spacing w:val="15"/>
          <w:sz w:val="16"/>
        </w:rPr>
        <w:t xml:space="preserve"> </w:t>
      </w:r>
      <w:r>
        <w:rPr>
          <w:sz w:val="16"/>
        </w:rPr>
        <w:t xml:space="preserve">o </w:t>
      </w:r>
      <w:r>
        <w:rPr>
          <w:spacing w:val="15"/>
          <w:sz w:val="16"/>
        </w:rPr>
        <w:t xml:space="preserve"> </w:t>
      </w:r>
      <w:r>
        <w:rPr>
          <w:sz w:val="16"/>
        </w:rPr>
        <w:t xml:space="preserve">n </w:t>
      </w:r>
      <w:r>
        <w:rPr>
          <w:spacing w:val="15"/>
          <w:sz w:val="16"/>
        </w:rPr>
        <w:t xml:space="preserve"> </w:t>
      </w:r>
      <w:r>
        <w:rPr>
          <w:sz w:val="16"/>
        </w:rPr>
        <w:t xml:space="preserve">h </w:t>
      </w:r>
      <w:r>
        <w:rPr>
          <w:spacing w:val="15"/>
          <w:sz w:val="16"/>
        </w:rPr>
        <w:t xml:space="preserve"> </w:t>
      </w:r>
      <w:r>
        <w:rPr>
          <w:sz w:val="16"/>
        </w:rPr>
        <w:t xml:space="preserve">a </w:t>
      </w:r>
      <w:r>
        <w:rPr>
          <w:spacing w:val="15"/>
          <w:sz w:val="16"/>
        </w:rPr>
        <w:t xml:space="preserve"> </w:t>
      </w:r>
      <w:r>
        <w:rPr>
          <w:sz w:val="16"/>
        </w:rPr>
        <w:t xml:space="preserve">s </w:t>
      </w:r>
      <w:r>
        <w:rPr>
          <w:spacing w:val="15"/>
          <w:sz w:val="16"/>
        </w:rPr>
        <w:t xml:space="preserve"> </w:t>
      </w:r>
      <w:r>
        <w:rPr>
          <w:sz w:val="16"/>
        </w:rPr>
        <w:t>.</w:t>
      </w:r>
      <w:r>
        <w:rPr>
          <w:sz w:val="16"/>
        </w:rPr>
        <w:tab/>
        <w:t xml:space="preserve">D </w:t>
      </w:r>
      <w:r>
        <w:rPr>
          <w:spacing w:val="15"/>
          <w:sz w:val="16"/>
        </w:rPr>
        <w:t xml:space="preserve"> </w:t>
      </w:r>
      <w:r>
        <w:rPr>
          <w:sz w:val="16"/>
        </w:rPr>
        <w:t xml:space="preserve">i </w:t>
      </w:r>
      <w:r>
        <w:rPr>
          <w:spacing w:val="15"/>
          <w:sz w:val="16"/>
        </w:rPr>
        <w:t xml:space="preserve"> </w:t>
      </w:r>
      <w:r>
        <w:rPr>
          <w:sz w:val="16"/>
        </w:rPr>
        <w:t xml:space="preserve">s </w:t>
      </w:r>
      <w:r>
        <w:rPr>
          <w:spacing w:val="15"/>
          <w:sz w:val="16"/>
        </w:rPr>
        <w:t xml:space="preserve"> </w:t>
      </w:r>
      <w:r>
        <w:rPr>
          <w:sz w:val="16"/>
        </w:rPr>
        <w:t xml:space="preserve">p </w:t>
      </w:r>
      <w:r>
        <w:rPr>
          <w:spacing w:val="15"/>
          <w:sz w:val="16"/>
        </w:rPr>
        <w:t xml:space="preserve"> </w:t>
      </w:r>
      <w:r>
        <w:rPr>
          <w:sz w:val="16"/>
        </w:rPr>
        <w:t xml:space="preserve">o </w:t>
      </w:r>
      <w:r>
        <w:rPr>
          <w:spacing w:val="15"/>
          <w:sz w:val="16"/>
        </w:rPr>
        <w:t xml:space="preserve"> </w:t>
      </w:r>
      <w:r>
        <w:rPr>
          <w:sz w:val="16"/>
        </w:rPr>
        <w:t xml:space="preserve">n </w:t>
      </w:r>
      <w:r>
        <w:rPr>
          <w:spacing w:val="15"/>
          <w:sz w:val="16"/>
        </w:rPr>
        <w:t xml:space="preserve"> </w:t>
      </w:r>
      <w:r>
        <w:rPr>
          <w:sz w:val="16"/>
        </w:rPr>
        <w:t xml:space="preserve">í </w:t>
      </w:r>
      <w:r>
        <w:rPr>
          <w:spacing w:val="15"/>
          <w:sz w:val="16"/>
        </w:rPr>
        <w:t xml:space="preserve"> </w:t>
      </w:r>
      <w:r>
        <w:rPr>
          <w:sz w:val="16"/>
        </w:rPr>
        <w:t xml:space="preserve">v </w:t>
      </w:r>
      <w:r>
        <w:rPr>
          <w:spacing w:val="15"/>
          <w:sz w:val="16"/>
        </w:rPr>
        <w:t xml:space="preserve"> </w:t>
      </w:r>
      <w:r>
        <w:rPr>
          <w:sz w:val="16"/>
        </w:rPr>
        <w:t xml:space="preserve">e </w:t>
      </w:r>
      <w:r>
        <w:rPr>
          <w:spacing w:val="15"/>
          <w:sz w:val="16"/>
        </w:rPr>
        <w:t xml:space="preserve"> </w:t>
      </w:r>
      <w:r>
        <w:rPr>
          <w:sz w:val="16"/>
        </w:rPr>
        <w:t>l</w:t>
      </w:r>
      <w:r>
        <w:rPr>
          <w:sz w:val="16"/>
        </w:rPr>
        <w:tab/>
        <w:t>e m</w:t>
      </w:r>
      <w:r>
        <w:rPr>
          <w:spacing w:val="30"/>
          <w:sz w:val="16"/>
        </w:rPr>
        <w:t xml:space="preserve"> </w:t>
      </w:r>
      <w:r>
        <w:rPr>
          <w:sz w:val="16"/>
        </w:rPr>
        <w:t>:</w:t>
      </w:r>
    </w:p>
    <w:p w:rsidR="00D81F69" w:rsidRDefault="00D81F69">
      <w:pPr>
        <w:spacing w:before="2" w:line="312" w:lineRule="auto"/>
        <w:ind w:left="100" w:right="216"/>
        <w:jc w:val="both"/>
        <w:rPr>
          <w:sz w:val="16"/>
        </w:rPr>
      </w:pPr>
      <w:hyperlink r:id="rId1083">
        <w:r w:rsidR="00330118">
          <w:rPr>
            <w:sz w:val="16"/>
          </w:rPr>
          <w:t>&lt;http://www.congonhas.mg.gov.br/arquivos/agenda_21_pdf_0909154</w:t>
        </w:r>
      </w:hyperlink>
      <w:r w:rsidR="00330118">
        <w:rPr>
          <w:sz w:val="16"/>
        </w:rPr>
        <w:t xml:space="preserve"> 935.pdf&gt;. Acesso em 27 set. 2010.</w:t>
      </w:r>
    </w:p>
    <w:p w:rsidR="00D81F69" w:rsidRDefault="00330118">
      <w:pPr>
        <w:spacing w:before="1" w:line="312" w:lineRule="auto"/>
        <w:ind w:left="100" w:right="183"/>
        <w:jc w:val="both"/>
        <w:rPr>
          <w:sz w:val="16"/>
        </w:rPr>
      </w:pPr>
      <w:r>
        <w:rPr>
          <w:spacing w:val="8"/>
          <w:sz w:val="16"/>
        </w:rPr>
        <w:t xml:space="preserve">DUARTE, Elemara. </w:t>
      </w:r>
      <w:r>
        <w:rPr>
          <w:spacing w:val="5"/>
          <w:sz w:val="16"/>
        </w:rPr>
        <w:t xml:space="preserve">Pó de </w:t>
      </w:r>
      <w:r>
        <w:rPr>
          <w:spacing w:val="8"/>
          <w:sz w:val="16"/>
        </w:rPr>
        <w:t xml:space="preserve">minério martiriza moradores </w:t>
      </w:r>
      <w:r>
        <w:rPr>
          <w:spacing w:val="10"/>
          <w:sz w:val="16"/>
        </w:rPr>
        <w:t xml:space="preserve">de </w:t>
      </w:r>
      <w:r>
        <w:rPr>
          <w:spacing w:val="12"/>
          <w:sz w:val="16"/>
        </w:rPr>
        <w:t xml:space="preserve">Congonhas. </w:t>
      </w:r>
      <w:r>
        <w:rPr>
          <w:spacing w:val="10"/>
          <w:sz w:val="16"/>
        </w:rPr>
        <w:t xml:space="preserve">Hoje </w:t>
      </w:r>
      <w:r>
        <w:rPr>
          <w:spacing w:val="6"/>
          <w:sz w:val="16"/>
        </w:rPr>
        <w:t xml:space="preserve">em </w:t>
      </w:r>
      <w:r>
        <w:rPr>
          <w:spacing w:val="10"/>
          <w:sz w:val="16"/>
        </w:rPr>
        <w:t xml:space="preserve">dia, </w:t>
      </w:r>
      <w:r>
        <w:rPr>
          <w:spacing w:val="6"/>
          <w:sz w:val="16"/>
        </w:rPr>
        <w:t xml:space="preserve">10 </w:t>
      </w:r>
      <w:r>
        <w:rPr>
          <w:spacing w:val="10"/>
          <w:sz w:val="16"/>
        </w:rPr>
        <w:t>s</w:t>
      </w:r>
      <w:r>
        <w:rPr>
          <w:spacing w:val="10"/>
          <w:sz w:val="16"/>
        </w:rPr>
        <w:t xml:space="preserve">et. </w:t>
      </w:r>
      <w:r>
        <w:rPr>
          <w:spacing w:val="11"/>
          <w:sz w:val="16"/>
        </w:rPr>
        <w:t xml:space="preserve">2010. </w:t>
      </w:r>
      <w:r>
        <w:rPr>
          <w:spacing w:val="12"/>
          <w:sz w:val="16"/>
        </w:rPr>
        <w:t>Disponível</w:t>
      </w:r>
      <w:r>
        <w:rPr>
          <w:spacing w:val="67"/>
          <w:sz w:val="16"/>
        </w:rPr>
        <w:t xml:space="preserve"> </w:t>
      </w:r>
      <w:r>
        <w:rPr>
          <w:spacing w:val="10"/>
          <w:sz w:val="16"/>
        </w:rPr>
        <w:t>em:</w:t>
      </w:r>
      <w:r>
        <w:rPr>
          <w:spacing w:val="-29"/>
          <w:sz w:val="16"/>
        </w:rPr>
        <w:t xml:space="preserve"> </w:t>
      </w:r>
    </w:p>
    <w:p w:rsidR="00D81F69" w:rsidRDefault="00D81F69">
      <w:pPr>
        <w:spacing w:before="2" w:line="312" w:lineRule="auto"/>
        <w:ind w:left="100" w:right="209"/>
        <w:jc w:val="both"/>
        <w:rPr>
          <w:sz w:val="16"/>
        </w:rPr>
      </w:pPr>
      <w:hyperlink r:id="rId1084">
        <w:r w:rsidR="00330118">
          <w:rPr>
            <w:spacing w:val="5"/>
            <w:sz w:val="16"/>
          </w:rPr>
          <w:t>&lt;http://www.hojeemdia.com.br/cmlink/hoje-em-dia/minas/po-de-</w:t>
        </w:r>
      </w:hyperlink>
      <w:r w:rsidR="00330118">
        <w:rPr>
          <w:spacing w:val="5"/>
          <w:sz w:val="16"/>
        </w:rPr>
        <w:t xml:space="preserve"> </w:t>
      </w:r>
      <w:r w:rsidR="00330118">
        <w:rPr>
          <w:sz w:val="16"/>
        </w:rPr>
        <w:t>minerio-martiriza-moradores-de-congonhas-1.170322&gt;. Acesso  em 27 set.</w:t>
      </w:r>
      <w:r w:rsidR="00330118">
        <w:rPr>
          <w:spacing w:val="-14"/>
          <w:sz w:val="16"/>
        </w:rPr>
        <w:t xml:space="preserve"> </w:t>
      </w:r>
      <w:r w:rsidR="00330118">
        <w:rPr>
          <w:sz w:val="16"/>
        </w:rPr>
        <w:t>2010.</w:t>
      </w:r>
    </w:p>
    <w:p w:rsidR="00D81F69" w:rsidRDefault="00330118">
      <w:pPr>
        <w:spacing w:before="2" w:line="312" w:lineRule="auto"/>
        <w:ind w:left="100" w:right="198"/>
        <w:jc w:val="both"/>
        <w:rPr>
          <w:sz w:val="16"/>
        </w:rPr>
      </w:pPr>
      <w:r>
        <w:rPr>
          <w:sz w:val="16"/>
        </w:rPr>
        <w:t xml:space="preserve">EPONINE, Cássia. CSN acelera projeto de R$ 11 bilhões de siderurgia em Congonhas. Hoje em dia, Belo Horizonte, 28 out. 2009. Disponível em: </w:t>
      </w:r>
      <w:hyperlink r:id="rId1085">
        <w:r>
          <w:rPr>
            <w:sz w:val="16"/>
          </w:rPr>
          <w:t>&lt;http://www.hojeemdia.com.br/cmlink/hoje-em-</w:t>
        </w:r>
      </w:hyperlink>
      <w:r>
        <w:rPr>
          <w:sz w:val="16"/>
        </w:rPr>
        <w:t xml:space="preserve"> dia/notici</w:t>
      </w:r>
      <w:r>
        <w:rPr>
          <w:sz w:val="16"/>
        </w:rPr>
        <w:t>as/economia-e-negocios/csn-acelera-projeto-de-r-11-bilh-es- de-siderurgia-em-congonhas-1.30256&gt;. Acesso em: 04 out. 2010.</w:t>
      </w:r>
    </w:p>
    <w:p w:rsidR="00D81F69" w:rsidRDefault="00330118">
      <w:pPr>
        <w:spacing w:before="5"/>
        <w:ind w:left="100"/>
        <w:jc w:val="both"/>
        <w:rPr>
          <w:sz w:val="16"/>
        </w:rPr>
      </w:pPr>
      <w:r>
        <w:rPr>
          <w:sz w:val="16"/>
        </w:rPr>
        <w:t xml:space="preserve">F E R R O U S . M i n e r o d u t o . D i s p o n í v e l e m : </w:t>
      </w:r>
    </w:p>
    <w:p w:rsidR="00D81F69" w:rsidRDefault="00D81F69">
      <w:pPr>
        <w:spacing w:before="56" w:line="312" w:lineRule="auto"/>
        <w:ind w:left="100" w:right="199"/>
        <w:jc w:val="both"/>
        <w:rPr>
          <w:sz w:val="16"/>
        </w:rPr>
      </w:pPr>
      <w:hyperlink r:id="rId1086">
        <w:r w:rsidR="00330118">
          <w:rPr>
            <w:sz w:val="16"/>
          </w:rPr>
          <w:t>&lt;http://www.ferrous.com.br/programacao/index.php/projetos/view/14&gt;.</w:t>
        </w:r>
      </w:hyperlink>
      <w:r w:rsidR="00330118">
        <w:rPr>
          <w:sz w:val="16"/>
        </w:rPr>
        <w:t xml:space="preserve"> Acesso em 03 out. 2010.</w:t>
      </w:r>
    </w:p>
    <w:p w:rsidR="00D81F69" w:rsidRDefault="00330118">
      <w:pPr>
        <w:spacing w:before="1"/>
        <w:ind w:left="100"/>
        <w:jc w:val="both"/>
        <w:rPr>
          <w:sz w:val="16"/>
        </w:rPr>
      </w:pPr>
      <w:r>
        <w:rPr>
          <w:sz w:val="16"/>
        </w:rPr>
        <w:t>IBGE. Instituto Brasileiro de  Geografia e  Estatística.  Congonhas,</w:t>
      </w:r>
    </w:p>
    <w:p w:rsidR="00D81F69" w:rsidRDefault="00330118">
      <w:pPr>
        <w:tabs>
          <w:tab w:val="left" w:pos="1785"/>
          <w:tab w:val="left" w:pos="4548"/>
        </w:tabs>
        <w:spacing w:before="56"/>
        <w:ind w:left="100"/>
        <w:jc w:val="both"/>
        <w:rPr>
          <w:sz w:val="16"/>
        </w:rPr>
      </w:pPr>
      <w:r>
        <w:rPr>
          <w:sz w:val="16"/>
        </w:rPr>
        <w:t xml:space="preserve">2   0   1  </w:t>
      </w:r>
      <w:r>
        <w:rPr>
          <w:spacing w:val="35"/>
          <w:sz w:val="16"/>
        </w:rPr>
        <w:t xml:space="preserve"> </w:t>
      </w:r>
      <w:r>
        <w:rPr>
          <w:sz w:val="16"/>
        </w:rPr>
        <w:t xml:space="preserve">0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16"/>
        <w:jc w:val="both"/>
        <w:rPr>
          <w:sz w:val="16"/>
        </w:rPr>
      </w:pPr>
      <w:hyperlink r:id="rId1087">
        <w:r w:rsidR="00330118">
          <w:rPr>
            <w:sz w:val="16"/>
          </w:rPr>
          <w:t xml:space="preserve">&lt;http://www.ibge.gov.br/cidadesat/topwindow.html1&gt;. </w:t>
        </w:r>
      </w:hyperlink>
      <w:r w:rsidR="00330118">
        <w:rPr>
          <w:sz w:val="16"/>
        </w:rPr>
        <w:t>Acesso em: 24 jul. 2011.</w:t>
      </w:r>
    </w:p>
    <w:p w:rsidR="00D81F69" w:rsidRDefault="00330118">
      <w:pPr>
        <w:spacing w:before="2" w:line="312" w:lineRule="auto"/>
        <w:ind w:left="100" w:right="197"/>
        <w:jc w:val="both"/>
        <w:rPr>
          <w:sz w:val="16"/>
        </w:rPr>
      </w:pPr>
      <w:r>
        <w:rPr>
          <w:sz w:val="16"/>
        </w:rPr>
        <w:t>JORNAL BRASIL. Alto Paraopeba receberá R$ 22,3 bi em investimentos. In: FSB Comunicações, 14 jun. 2010. Disponível em:</w:t>
      </w:r>
    </w:p>
    <w:p w:rsidR="00D81F69" w:rsidRDefault="00D81F69">
      <w:pPr>
        <w:spacing w:before="2" w:line="312" w:lineRule="auto"/>
        <w:ind w:left="100" w:right="189"/>
        <w:jc w:val="both"/>
        <w:rPr>
          <w:sz w:val="16"/>
        </w:rPr>
      </w:pPr>
      <w:hyperlink r:id="rId1088">
        <w:r w:rsidR="00330118">
          <w:rPr>
            <w:sz w:val="16"/>
          </w:rPr>
          <w:t>&lt;http://www.jornalbrasil.com.br/interna.php?autonum=10229&gt;.</w:t>
        </w:r>
      </w:hyperlink>
      <w:r w:rsidR="00330118">
        <w:rPr>
          <w:sz w:val="16"/>
        </w:rPr>
        <w:t xml:space="preserve"> Acesso em: 24 jul.2012.</w:t>
      </w:r>
    </w:p>
    <w:p w:rsidR="00D81F69" w:rsidRDefault="00330118">
      <w:pPr>
        <w:tabs>
          <w:tab w:val="left" w:pos="4331"/>
        </w:tabs>
        <w:spacing w:before="1" w:line="312" w:lineRule="auto"/>
        <w:ind w:left="100" w:right="196"/>
        <w:jc w:val="both"/>
        <w:rPr>
          <w:sz w:val="16"/>
        </w:rPr>
      </w:pPr>
      <w:r>
        <w:rPr>
          <w:spacing w:val="3"/>
          <w:sz w:val="16"/>
        </w:rPr>
        <w:t xml:space="preserve">JORNAL CORREIO </w:t>
      </w:r>
      <w:r>
        <w:rPr>
          <w:spacing w:val="1"/>
          <w:sz w:val="16"/>
        </w:rPr>
        <w:t xml:space="preserve">DA </w:t>
      </w:r>
      <w:r>
        <w:rPr>
          <w:spacing w:val="3"/>
          <w:sz w:val="16"/>
        </w:rPr>
        <w:t xml:space="preserve">CIDADE. Congonhas aumenta rigor </w:t>
      </w:r>
      <w:r>
        <w:rPr>
          <w:spacing w:val="5"/>
          <w:sz w:val="16"/>
        </w:rPr>
        <w:t xml:space="preserve">com </w:t>
      </w:r>
      <w:r>
        <w:rPr>
          <w:sz w:val="16"/>
        </w:rPr>
        <w:t>mineração e amplia Agenda 21. Conselheiro Lafaiete, 06</w:t>
      </w:r>
      <w:r>
        <w:rPr>
          <w:sz w:val="16"/>
        </w:rPr>
        <w:t xml:space="preserve"> jun. 2012.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line="312" w:lineRule="auto"/>
        <w:ind w:left="100" w:right="197"/>
        <w:jc w:val="both"/>
        <w:rPr>
          <w:sz w:val="16"/>
        </w:rPr>
      </w:pPr>
      <w:hyperlink r:id="rId1089">
        <w:r w:rsidR="00330118">
          <w:rPr>
            <w:sz w:val="16"/>
          </w:rPr>
          <w:t>&lt;http://www.jornalcorreiodacidade.com.br/index.php?option=com_con</w:t>
        </w:r>
      </w:hyperlink>
      <w:r w:rsidR="00330118">
        <w:rPr>
          <w:sz w:val="16"/>
        </w:rPr>
        <w:t xml:space="preserve"> tent&amp;view=article&amp;id=2779:c</w:t>
      </w:r>
      <w:r w:rsidR="00330118">
        <w:rPr>
          <w:sz w:val="16"/>
        </w:rPr>
        <w:t>ongonhas-aumenta-rigor-com-mineracao- e-amplia-agenda-21&amp;catid=37:comunidade&amp;Itemid=37&gt;. Acesso em: 24 jul. 2012.</w:t>
      </w:r>
    </w:p>
    <w:p w:rsidR="00D81F69" w:rsidRDefault="00330118">
      <w:pPr>
        <w:spacing w:before="3" w:line="312" w:lineRule="auto"/>
        <w:ind w:left="100" w:right="195"/>
        <w:jc w:val="both"/>
        <w:rPr>
          <w:sz w:val="16"/>
        </w:rPr>
      </w:pPr>
      <w:r>
        <w:rPr>
          <w:sz w:val="16"/>
        </w:rPr>
        <w:t>LISBOA, Luciane. CSN pode ser parceira da Ferrous em nova usina. Diário do Comércio, Belo Horizonte, 02 out. 2010. Disponível em:</w:t>
      </w:r>
    </w:p>
    <w:p w:rsidR="00D81F69" w:rsidRDefault="00D81F69">
      <w:pPr>
        <w:spacing w:before="2" w:line="312" w:lineRule="auto"/>
        <w:ind w:left="100" w:right="217"/>
        <w:jc w:val="both"/>
        <w:rPr>
          <w:sz w:val="16"/>
        </w:rPr>
      </w:pPr>
      <w:hyperlink r:id="rId1090">
        <w:r w:rsidR="00330118">
          <w:rPr>
            <w:sz w:val="16"/>
          </w:rPr>
          <w:t>&lt;http://www.diariodocomercio.com.br/index.php?conteudoId=80774&amp;u</w:t>
        </w:r>
      </w:hyperlink>
      <w:r w:rsidR="00330118">
        <w:rPr>
          <w:sz w:val="16"/>
        </w:rPr>
        <w:t xml:space="preserve"> suarioId=16086&amp;newsLetterId=277&gt;. Acesso em 03 out. 2010.</w:t>
      </w:r>
    </w:p>
    <w:p w:rsidR="00D81F69" w:rsidRDefault="00330118">
      <w:pPr>
        <w:spacing w:before="1" w:line="312" w:lineRule="auto"/>
        <w:ind w:left="100" w:right="191"/>
        <w:jc w:val="both"/>
        <w:rPr>
          <w:sz w:val="16"/>
        </w:rPr>
      </w:pPr>
      <w:r>
        <w:rPr>
          <w:sz w:val="16"/>
        </w:rPr>
        <w:t>MILANEZ, Bruno. Grandes minas em Congonhas (MG), m</w:t>
      </w:r>
      <w:r>
        <w:rPr>
          <w:sz w:val="16"/>
        </w:rPr>
        <w:t>ais do mesmo? In: FERNANDES, Francisco Rego Chaves; ENRIQUEZ, Maria Amélia; ALAMINO, Renata de Carvalho Jimenez (Eds.). Recursos Minerais e Territorialidade: v. 1, p. 199-228 - Grandes Minas e Comunidades Locais, CETEM/MCTI, 2011. Disponível em:</w:t>
      </w:r>
    </w:p>
    <w:p w:rsidR="00D81F69" w:rsidRDefault="00D81F69">
      <w:pPr>
        <w:spacing w:before="4"/>
        <w:ind w:left="100"/>
        <w:jc w:val="both"/>
        <w:rPr>
          <w:sz w:val="16"/>
        </w:rPr>
      </w:pPr>
      <w:hyperlink r:id="rId1091">
        <w:r w:rsidR="00330118">
          <w:rPr>
            <w:sz w:val="16"/>
          </w:rPr>
          <w:t>&lt;http://www.cetem.gov.br/publicacao/livros/Vol_1_GRANDES_MINAS</w:t>
        </w:r>
      </w:hyperlink>
    </w:p>
    <w:p w:rsidR="00D81F69" w:rsidRDefault="00330118">
      <w:pPr>
        <w:spacing w:before="56"/>
        <w:ind w:left="100"/>
        <w:jc w:val="both"/>
        <w:rPr>
          <w:sz w:val="16"/>
        </w:rPr>
      </w:pPr>
      <w:r>
        <w:rPr>
          <w:sz w:val="16"/>
        </w:rPr>
        <w:t>_TOTAL.pdf&gt;. Acesso em: 24 jul. 2012.</w:t>
      </w:r>
    </w:p>
    <w:p w:rsidR="00D81F69" w:rsidRDefault="00330118">
      <w:pPr>
        <w:spacing w:before="56" w:line="312" w:lineRule="auto"/>
        <w:ind w:left="100" w:right="181"/>
        <w:jc w:val="both"/>
        <w:rPr>
          <w:sz w:val="16"/>
        </w:rPr>
      </w:pPr>
      <w:r>
        <w:rPr>
          <w:sz w:val="16"/>
        </w:rPr>
        <w:t xml:space="preserve">MINING.COM. Ferrous Resources já iniciou produção na Mina Viga. </w:t>
      </w:r>
      <w:r>
        <w:rPr>
          <w:spacing w:val="10"/>
          <w:sz w:val="16"/>
        </w:rPr>
        <w:t>In:</w:t>
      </w:r>
      <w:r>
        <w:rPr>
          <w:spacing w:val="65"/>
          <w:sz w:val="16"/>
        </w:rPr>
        <w:t xml:space="preserve"> </w:t>
      </w:r>
      <w:r>
        <w:rPr>
          <w:spacing w:val="13"/>
          <w:sz w:val="16"/>
        </w:rPr>
        <w:t xml:space="preserve">Diário </w:t>
      </w:r>
      <w:r>
        <w:rPr>
          <w:spacing w:val="7"/>
          <w:sz w:val="16"/>
        </w:rPr>
        <w:t xml:space="preserve">do </w:t>
      </w:r>
      <w:r>
        <w:rPr>
          <w:spacing w:val="15"/>
          <w:sz w:val="16"/>
        </w:rPr>
        <w:t>Comércio</w:t>
      </w:r>
      <w:r>
        <w:rPr>
          <w:spacing w:val="15"/>
          <w:sz w:val="16"/>
        </w:rPr>
        <w:t xml:space="preserve">, </w:t>
      </w:r>
      <w:r>
        <w:rPr>
          <w:spacing w:val="7"/>
          <w:sz w:val="16"/>
        </w:rPr>
        <w:t xml:space="preserve">10 </w:t>
      </w:r>
      <w:r>
        <w:rPr>
          <w:spacing w:val="11"/>
          <w:sz w:val="16"/>
        </w:rPr>
        <w:t xml:space="preserve">jun. </w:t>
      </w:r>
      <w:r>
        <w:rPr>
          <w:spacing w:val="12"/>
          <w:sz w:val="16"/>
        </w:rPr>
        <w:t xml:space="preserve">2011. </w:t>
      </w:r>
      <w:r>
        <w:rPr>
          <w:spacing w:val="15"/>
          <w:sz w:val="16"/>
        </w:rPr>
        <w:t>Disponível</w:t>
      </w:r>
      <w:r>
        <w:rPr>
          <w:spacing w:val="68"/>
          <w:sz w:val="16"/>
        </w:rPr>
        <w:t xml:space="preserve"> </w:t>
      </w:r>
      <w:r>
        <w:rPr>
          <w:spacing w:val="10"/>
          <w:sz w:val="16"/>
        </w:rPr>
        <w:t>em:</w:t>
      </w:r>
      <w:r>
        <w:rPr>
          <w:spacing w:val="-27"/>
          <w:sz w:val="16"/>
        </w:rPr>
        <w:t xml:space="preserve"> </w:t>
      </w:r>
    </w:p>
    <w:p w:rsidR="00D81F69" w:rsidRDefault="00D81F69">
      <w:pPr>
        <w:spacing w:before="2" w:line="312" w:lineRule="auto"/>
        <w:ind w:left="100" w:right="215"/>
        <w:jc w:val="both"/>
        <w:rPr>
          <w:sz w:val="16"/>
        </w:rPr>
      </w:pPr>
      <w:hyperlink r:id="rId1092">
        <w:r w:rsidR="00330118">
          <w:rPr>
            <w:sz w:val="16"/>
          </w:rPr>
          <w:t>&lt;http://noticiasmineracao.mining.com/2011/06/10/ferrous-resources-</w:t>
        </w:r>
      </w:hyperlink>
      <w:r w:rsidR="00330118">
        <w:rPr>
          <w:sz w:val="16"/>
        </w:rPr>
        <w:t xml:space="preserve"> ja-iniciou-producao-na-mina-viga/&gt;. Acesso em: 24 jul. 2012.</w:t>
      </w:r>
    </w:p>
    <w:p w:rsidR="00D81F69" w:rsidRDefault="00D81F69">
      <w:pPr>
        <w:spacing w:line="312" w:lineRule="auto"/>
        <w:jc w:val="both"/>
        <w:rPr>
          <w:sz w:val="16"/>
        </w:rPr>
        <w:sectPr w:rsidR="00D81F69">
          <w:pgSz w:w="11900" w:h="16840"/>
          <w:pgMar w:top="940" w:right="500" w:bottom="720" w:left="620" w:header="0" w:footer="402" w:gutter="0"/>
          <w:cols w:num="2" w:space="720" w:equalWidth="0">
            <w:col w:w="5162" w:space="308"/>
            <w:col w:w="5310"/>
          </w:cols>
        </w:sectPr>
      </w:pPr>
    </w:p>
    <w:p w:rsidR="00D81F69" w:rsidRDefault="00330118">
      <w:pPr>
        <w:spacing w:before="70" w:line="312" w:lineRule="auto"/>
        <w:ind w:left="100" w:right="38"/>
        <w:jc w:val="both"/>
        <w:rPr>
          <w:sz w:val="16"/>
        </w:rPr>
      </w:pPr>
      <w:r>
        <w:rPr>
          <w:sz w:val="16"/>
        </w:rPr>
        <w:lastRenderedPageBreak/>
        <w:t xml:space="preserve">PORTAL EXAME. Vale retoma operações em pelotizadora de Minas  </w:t>
      </w:r>
      <w:r>
        <w:rPr>
          <w:spacing w:val="5"/>
          <w:sz w:val="16"/>
        </w:rPr>
        <w:t xml:space="preserve">G e r a i s </w:t>
      </w:r>
      <w:r>
        <w:rPr>
          <w:sz w:val="16"/>
        </w:rPr>
        <w:t xml:space="preserve">,      </w:t>
      </w:r>
      <w:r>
        <w:rPr>
          <w:spacing w:val="5"/>
          <w:sz w:val="16"/>
        </w:rPr>
        <w:t xml:space="preserve">2 </w:t>
      </w:r>
      <w:r>
        <w:rPr>
          <w:sz w:val="16"/>
        </w:rPr>
        <w:t xml:space="preserve">7      </w:t>
      </w:r>
      <w:r>
        <w:rPr>
          <w:spacing w:val="5"/>
          <w:sz w:val="16"/>
        </w:rPr>
        <w:t xml:space="preserve">j a n </w:t>
      </w:r>
      <w:r>
        <w:rPr>
          <w:sz w:val="16"/>
        </w:rPr>
        <w:t xml:space="preserve">.      </w:t>
      </w:r>
      <w:r>
        <w:rPr>
          <w:spacing w:val="5"/>
          <w:sz w:val="16"/>
        </w:rPr>
        <w:t xml:space="preserve">2 0 1 0 </w:t>
      </w:r>
      <w:r>
        <w:rPr>
          <w:sz w:val="16"/>
        </w:rPr>
        <w:t xml:space="preserve">.      </w:t>
      </w:r>
      <w:r>
        <w:rPr>
          <w:spacing w:val="5"/>
          <w:sz w:val="16"/>
        </w:rPr>
        <w:t xml:space="preserve">D i s p o n í v e </w:t>
      </w:r>
      <w:r>
        <w:rPr>
          <w:sz w:val="16"/>
        </w:rPr>
        <w:t xml:space="preserve">l   </w:t>
      </w:r>
      <w:r>
        <w:rPr>
          <w:spacing w:val="22"/>
          <w:sz w:val="16"/>
        </w:rPr>
        <w:t xml:space="preserve"> </w:t>
      </w:r>
      <w:r>
        <w:rPr>
          <w:spacing w:val="5"/>
          <w:sz w:val="16"/>
        </w:rPr>
        <w:t xml:space="preserve">e m </w:t>
      </w:r>
      <w:r>
        <w:rPr>
          <w:sz w:val="16"/>
        </w:rPr>
        <w:t>:</w:t>
      </w:r>
      <w:r>
        <w:rPr>
          <w:spacing w:val="5"/>
          <w:sz w:val="16"/>
        </w:rPr>
        <w:t xml:space="preserve"> </w:t>
      </w:r>
    </w:p>
    <w:p w:rsidR="00D81F69" w:rsidRDefault="00D81F69">
      <w:pPr>
        <w:spacing w:before="1" w:line="312" w:lineRule="auto"/>
        <w:ind w:left="100" w:right="40"/>
        <w:jc w:val="both"/>
        <w:rPr>
          <w:sz w:val="16"/>
        </w:rPr>
      </w:pPr>
      <w:hyperlink r:id="rId1093">
        <w:r w:rsidR="00330118">
          <w:rPr>
            <w:spacing w:val="2"/>
            <w:sz w:val="16"/>
          </w:rPr>
          <w:t>&lt;http://portalexame.abril.com.br/negocios/vale-retoma-operacoes-</w:t>
        </w:r>
      </w:hyperlink>
      <w:r w:rsidR="00330118">
        <w:rPr>
          <w:spacing w:val="2"/>
          <w:sz w:val="16"/>
        </w:rPr>
        <w:t xml:space="preserve"> </w:t>
      </w:r>
      <w:r w:rsidR="00330118">
        <w:rPr>
          <w:sz w:val="16"/>
        </w:rPr>
        <w:t xml:space="preserve">pelotizadora-minas-gerais-528998.html&gt;. Acesso em 04 out. 2010. PREFEITURA MUNICIPAL DE CONGONHAS. Patrimônio Ambiental. </w:t>
      </w:r>
      <w:r w:rsidR="00330118">
        <w:rPr>
          <w:spacing w:val="5"/>
          <w:sz w:val="16"/>
        </w:rPr>
        <w:t xml:space="preserve">A S C O M </w:t>
      </w:r>
      <w:r w:rsidR="00330118">
        <w:rPr>
          <w:sz w:val="16"/>
        </w:rPr>
        <w:t xml:space="preserve">,      </w:t>
      </w:r>
      <w:r w:rsidR="00330118">
        <w:rPr>
          <w:spacing w:val="5"/>
          <w:sz w:val="16"/>
        </w:rPr>
        <w:t xml:space="preserve">2 </w:t>
      </w:r>
      <w:r w:rsidR="00330118">
        <w:rPr>
          <w:sz w:val="16"/>
        </w:rPr>
        <w:t xml:space="preserve">1      </w:t>
      </w:r>
      <w:r w:rsidR="00330118">
        <w:rPr>
          <w:spacing w:val="5"/>
          <w:sz w:val="16"/>
        </w:rPr>
        <w:t xml:space="preserve">s e t </w:t>
      </w:r>
      <w:r w:rsidR="00330118">
        <w:rPr>
          <w:sz w:val="16"/>
        </w:rPr>
        <w:t xml:space="preserve">.      </w:t>
      </w:r>
      <w:r w:rsidR="00330118">
        <w:rPr>
          <w:spacing w:val="5"/>
          <w:sz w:val="16"/>
        </w:rPr>
        <w:t xml:space="preserve">2 0 1 1 </w:t>
      </w:r>
      <w:r w:rsidR="00330118">
        <w:rPr>
          <w:sz w:val="16"/>
        </w:rPr>
        <w:t xml:space="preserve">.      </w:t>
      </w:r>
      <w:r w:rsidR="00330118">
        <w:rPr>
          <w:spacing w:val="5"/>
          <w:sz w:val="16"/>
        </w:rPr>
        <w:t>D i s p o n í</w:t>
      </w:r>
      <w:r w:rsidR="00330118">
        <w:rPr>
          <w:spacing w:val="5"/>
          <w:sz w:val="16"/>
        </w:rPr>
        <w:t xml:space="preserve"> v e </w:t>
      </w:r>
      <w:r w:rsidR="00330118">
        <w:rPr>
          <w:sz w:val="16"/>
        </w:rPr>
        <w:t xml:space="preserve">l  </w:t>
      </w:r>
      <w:r w:rsidR="00330118">
        <w:rPr>
          <w:spacing w:val="12"/>
          <w:sz w:val="16"/>
        </w:rPr>
        <w:t xml:space="preserve"> </w:t>
      </w:r>
      <w:r w:rsidR="00330118">
        <w:rPr>
          <w:spacing w:val="5"/>
          <w:sz w:val="16"/>
        </w:rPr>
        <w:t xml:space="preserve">e m </w:t>
      </w:r>
      <w:r w:rsidR="00330118">
        <w:rPr>
          <w:sz w:val="16"/>
        </w:rPr>
        <w:t>:</w:t>
      </w:r>
      <w:r w:rsidR="00330118">
        <w:rPr>
          <w:spacing w:val="5"/>
          <w:sz w:val="16"/>
        </w:rPr>
        <w:t xml:space="preserve"> </w:t>
      </w:r>
    </w:p>
    <w:p w:rsidR="00D81F69" w:rsidRDefault="00D81F69">
      <w:pPr>
        <w:spacing w:before="4" w:line="312" w:lineRule="auto"/>
        <w:ind w:left="100" w:right="105"/>
        <w:jc w:val="both"/>
        <w:rPr>
          <w:sz w:val="16"/>
        </w:rPr>
      </w:pPr>
      <w:hyperlink r:id="rId1094">
        <w:r w:rsidR="00330118">
          <w:rPr>
            <w:sz w:val="16"/>
          </w:rPr>
          <w:t xml:space="preserve">&lt;http://www.congonhas.mg.gov.br/mat_vis.aspx?cd=6485&gt;. </w:t>
        </w:r>
      </w:hyperlink>
      <w:r w:rsidR="00330118">
        <w:rPr>
          <w:sz w:val="16"/>
        </w:rPr>
        <w:t>Acesso em: 24 jul. 2012.</w:t>
      </w:r>
    </w:p>
    <w:p w:rsidR="00D81F69" w:rsidRDefault="00330118">
      <w:pPr>
        <w:tabs>
          <w:tab w:val="left" w:pos="2559"/>
          <w:tab w:val="left" w:pos="5063"/>
        </w:tabs>
        <w:spacing w:before="1" w:line="312" w:lineRule="auto"/>
        <w:ind w:left="100" w:right="91"/>
        <w:jc w:val="both"/>
        <w:rPr>
          <w:sz w:val="16"/>
        </w:rPr>
      </w:pPr>
      <w:r>
        <w:rPr>
          <w:sz w:val="16"/>
        </w:rPr>
        <w:t>PREFEITURA MUNICIPAL DE CONGONHAS. Prefeitura e Ministério Público juntos contra a poeira. Congonhas, 21 set. 2010 Disponível    e</w:t>
      </w:r>
      <w:r>
        <w:rPr>
          <w:sz w:val="16"/>
        </w:rPr>
        <w:tab/>
        <w:t>m</w:t>
      </w:r>
      <w:r>
        <w:rPr>
          <w:sz w:val="16"/>
        </w:rPr>
        <w:tab/>
        <w:t>:</w:t>
      </w:r>
    </w:p>
    <w:p w:rsidR="00D81F69" w:rsidRDefault="00D81F69">
      <w:pPr>
        <w:spacing w:before="3"/>
        <w:ind w:left="100"/>
        <w:jc w:val="both"/>
        <w:rPr>
          <w:sz w:val="16"/>
        </w:rPr>
      </w:pPr>
      <w:hyperlink r:id="rId1095">
        <w:r w:rsidR="00330118">
          <w:rPr>
            <w:sz w:val="16"/>
          </w:rPr>
          <w:t>&lt;http://www.congonhas.mg.gov.br/?pg=</w:t>
        </w:r>
        <w:r w:rsidR="00330118">
          <w:rPr>
            <w:sz w:val="16"/>
          </w:rPr>
          <w:t>noticia_ver&amp;noticia_cod=1483</w:t>
        </w:r>
      </w:hyperlink>
    </w:p>
    <w:p w:rsidR="00D81F69" w:rsidRDefault="00330118">
      <w:pPr>
        <w:spacing w:before="56"/>
        <w:ind w:left="100"/>
        <w:jc w:val="both"/>
        <w:rPr>
          <w:sz w:val="16"/>
        </w:rPr>
      </w:pPr>
      <w:r>
        <w:rPr>
          <w:sz w:val="16"/>
        </w:rPr>
        <w:t>&gt;. Acesso em 27 set. 2010</w:t>
      </w:r>
    </w:p>
    <w:p w:rsidR="00D81F69" w:rsidRDefault="00330118">
      <w:pPr>
        <w:tabs>
          <w:tab w:val="left" w:pos="4331"/>
        </w:tabs>
        <w:spacing w:before="70" w:line="312" w:lineRule="auto"/>
        <w:ind w:left="100" w:right="193"/>
        <w:jc w:val="both"/>
        <w:rPr>
          <w:sz w:val="16"/>
        </w:rPr>
      </w:pPr>
      <w:r>
        <w:br w:type="column"/>
      </w:r>
      <w:r>
        <w:rPr>
          <w:sz w:val="16"/>
        </w:rPr>
        <w:lastRenderedPageBreak/>
        <w:t xml:space="preserve">PREFEITURA MUNICIPAL DE CONGONHAS. Congonhas prepara </w:t>
      </w:r>
      <w:r>
        <w:rPr>
          <w:spacing w:val="3"/>
          <w:sz w:val="16"/>
        </w:rPr>
        <w:t xml:space="preserve">propostas </w:t>
      </w:r>
      <w:r>
        <w:rPr>
          <w:spacing w:val="2"/>
          <w:sz w:val="16"/>
        </w:rPr>
        <w:t xml:space="preserve">para </w:t>
      </w:r>
      <w:r>
        <w:rPr>
          <w:spacing w:val="3"/>
          <w:sz w:val="16"/>
        </w:rPr>
        <w:t xml:space="preserve">revisar Plano Diretor. Congonhas, </w:t>
      </w:r>
      <w:r>
        <w:rPr>
          <w:spacing w:val="1"/>
          <w:sz w:val="16"/>
        </w:rPr>
        <w:t xml:space="preserve">22  </w:t>
      </w:r>
      <w:r>
        <w:rPr>
          <w:spacing w:val="2"/>
          <w:sz w:val="16"/>
        </w:rPr>
        <w:t xml:space="preserve">jun. </w:t>
      </w:r>
      <w:r>
        <w:rPr>
          <w:spacing w:val="5"/>
          <w:sz w:val="16"/>
        </w:rPr>
        <w:t xml:space="preserve">2009.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216"/>
        <w:jc w:val="both"/>
        <w:rPr>
          <w:sz w:val="16"/>
        </w:rPr>
      </w:pPr>
      <w:hyperlink r:id="rId1096">
        <w:r w:rsidR="00330118">
          <w:rPr>
            <w:sz w:val="16"/>
          </w:rPr>
          <w:t>&lt;http://www.congonhas.mg.gov.br/index.php?pg=noticia_ver&amp;noticia_</w:t>
        </w:r>
      </w:hyperlink>
      <w:r w:rsidR="00330118">
        <w:rPr>
          <w:sz w:val="16"/>
        </w:rPr>
        <w:t xml:space="preserve"> cod=770&gt;. Acesso em 27 set. 2010.</w:t>
      </w:r>
    </w:p>
    <w:p w:rsidR="00D81F69" w:rsidRDefault="00330118">
      <w:pPr>
        <w:spacing w:before="2" w:line="312" w:lineRule="auto"/>
        <w:ind w:left="100" w:right="170"/>
        <w:jc w:val="both"/>
        <w:rPr>
          <w:sz w:val="16"/>
        </w:rPr>
      </w:pPr>
      <w:r>
        <w:rPr>
          <w:spacing w:val="3"/>
          <w:sz w:val="16"/>
        </w:rPr>
        <w:t xml:space="preserve">ROCKMANN, Roberto. </w:t>
      </w:r>
      <w:r>
        <w:rPr>
          <w:spacing w:val="2"/>
          <w:sz w:val="16"/>
        </w:rPr>
        <w:t xml:space="preserve">CSN </w:t>
      </w:r>
      <w:r>
        <w:rPr>
          <w:spacing w:val="3"/>
          <w:sz w:val="16"/>
        </w:rPr>
        <w:t xml:space="preserve">acelera </w:t>
      </w:r>
      <w:r>
        <w:rPr>
          <w:spacing w:val="2"/>
          <w:sz w:val="16"/>
        </w:rPr>
        <w:t xml:space="preserve">sua </w:t>
      </w:r>
      <w:r>
        <w:rPr>
          <w:spacing w:val="3"/>
          <w:sz w:val="16"/>
        </w:rPr>
        <w:t xml:space="preserve">aposta </w:t>
      </w:r>
      <w:r>
        <w:rPr>
          <w:spacing w:val="1"/>
          <w:sz w:val="16"/>
        </w:rPr>
        <w:t xml:space="preserve">no </w:t>
      </w:r>
      <w:r>
        <w:rPr>
          <w:spacing w:val="3"/>
          <w:sz w:val="16"/>
        </w:rPr>
        <w:t xml:space="preserve">cimento. </w:t>
      </w:r>
      <w:r>
        <w:rPr>
          <w:spacing w:val="5"/>
          <w:sz w:val="16"/>
        </w:rPr>
        <w:t xml:space="preserve">In: </w:t>
      </w:r>
      <w:r>
        <w:rPr>
          <w:spacing w:val="21"/>
          <w:sz w:val="16"/>
        </w:rPr>
        <w:t xml:space="preserve">Portos </w:t>
      </w:r>
      <w:r>
        <w:rPr>
          <w:sz w:val="16"/>
        </w:rPr>
        <w:t xml:space="preserve">e </w:t>
      </w:r>
      <w:r>
        <w:rPr>
          <w:spacing w:val="22"/>
          <w:sz w:val="16"/>
        </w:rPr>
        <w:t xml:space="preserve">Navios, </w:t>
      </w:r>
      <w:r>
        <w:rPr>
          <w:spacing w:val="12"/>
          <w:sz w:val="16"/>
        </w:rPr>
        <w:t xml:space="preserve">14 </w:t>
      </w:r>
      <w:r>
        <w:rPr>
          <w:spacing w:val="20"/>
          <w:sz w:val="16"/>
        </w:rPr>
        <w:t>abr. 2</w:t>
      </w:r>
      <w:r>
        <w:rPr>
          <w:spacing w:val="20"/>
          <w:sz w:val="16"/>
        </w:rPr>
        <w:t>010.</w:t>
      </w:r>
      <w:r>
        <w:rPr>
          <w:spacing w:val="85"/>
          <w:sz w:val="16"/>
        </w:rPr>
        <w:t xml:space="preserve"> </w:t>
      </w:r>
      <w:r>
        <w:rPr>
          <w:spacing w:val="23"/>
          <w:sz w:val="16"/>
        </w:rPr>
        <w:t>Disponível</w:t>
      </w:r>
      <w:r>
        <w:rPr>
          <w:spacing w:val="22"/>
          <w:sz w:val="16"/>
        </w:rPr>
        <w:t xml:space="preserve"> </w:t>
      </w:r>
      <w:r>
        <w:rPr>
          <w:spacing w:val="17"/>
          <w:sz w:val="16"/>
        </w:rPr>
        <w:t>em:</w:t>
      </w:r>
      <w:r>
        <w:rPr>
          <w:spacing w:val="-17"/>
          <w:sz w:val="16"/>
        </w:rPr>
        <w:t xml:space="preserve"> </w:t>
      </w:r>
    </w:p>
    <w:p w:rsidR="00D81F69" w:rsidRDefault="00D81F69">
      <w:pPr>
        <w:spacing w:before="1" w:line="312" w:lineRule="auto"/>
        <w:ind w:left="100" w:right="210"/>
        <w:jc w:val="both"/>
        <w:rPr>
          <w:sz w:val="16"/>
        </w:rPr>
      </w:pPr>
      <w:hyperlink r:id="rId1097">
        <w:r w:rsidR="00330118">
          <w:rPr>
            <w:sz w:val="16"/>
          </w:rPr>
          <w:t>&lt;http://www.portosenavios.com.br/site/noticiario/geral/2259-csn-</w:t>
        </w:r>
      </w:hyperlink>
      <w:r w:rsidR="00330118">
        <w:rPr>
          <w:sz w:val="16"/>
        </w:rPr>
        <w:t xml:space="preserve"> acelera-sua-aposta-no-cimento&gt;. Acesso em 04 out. 2010.</w:t>
      </w:r>
    </w:p>
    <w:p w:rsidR="00D81F69" w:rsidRDefault="00330118">
      <w:pPr>
        <w:spacing w:before="2" w:line="312" w:lineRule="auto"/>
        <w:ind w:left="100" w:right="183"/>
        <w:jc w:val="both"/>
        <w:rPr>
          <w:sz w:val="16"/>
        </w:rPr>
      </w:pPr>
      <w:r>
        <w:rPr>
          <w:sz w:val="16"/>
        </w:rPr>
        <w:t>VALOR. In: Mining.com. Ferrous Re</w:t>
      </w:r>
      <w:r>
        <w:rPr>
          <w:sz w:val="16"/>
        </w:rPr>
        <w:t xml:space="preserve">sources vai antecipar produção  </w:t>
      </w:r>
      <w:r>
        <w:rPr>
          <w:spacing w:val="6"/>
          <w:sz w:val="16"/>
        </w:rPr>
        <w:t xml:space="preserve">de </w:t>
      </w:r>
      <w:r>
        <w:rPr>
          <w:spacing w:val="10"/>
          <w:sz w:val="16"/>
        </w:rPr>
        <w:t xml:space="preserve">mina </w:t>
      </w:r>
      <w:r>
        <w:rPr>
          <w:spacing w:val="6"/>
          <w:sz w:val="16"/>
        </w:rPr>
        <w:t xml:space="preserve">em </w:t>
      </w:r>
      <w:r>
        <w:rPr>
          <w:spacing w:val="12"/>
          <w:sz w:val="16"/>
        </w:rPr>
        <w:t xml:space="preserve">Congonhas. </w:t>
      </w:r>
      <w:r>
        <w:rPr>
          <w:spacing w:val="6"/>
          <w:sz w:val="16"/>
        </w:rPr>
        <w:t xml:space="preserve">01 </w:t>
      </w:r>
      <w:r>
        <w:rPr>
          <w:spacing w:val="10"/>
          <w:sz w:val="16"/>
        </w:rPr>
        <w:t xml:space="preserve">mar. </w:t>
      </w:r>
      <w:r>
        <w:rPr>
          <w:spacing w:val="11"/>
          <w:sz w:val="16"/>
        </w:rPr>
        <w:t xml:space="preserve">2011. </w:t>
      </w:r>
      <w:r>
        <w:rPr>
          <w:spacing w:val="12"/>
          <w:sz w:val="16"/>
        </w:rPr>
        <w:t>Disponível</w:t>
      </w:r>
      <w:r>
        <w:rPr>
          <w:spacing w:val="26"/>
          <w:sz w:val="16"/>
        </w:rPr>
        <w:t xml:space="preserve"> </w:t>
      </w:r>
      <w:r>
        <w:rPr>
          <w:spacing w:val="10"/>
          <w:sz w:val="16"/>
        </w:rPr>
        <w:t>em:</w:t>
      </w:r>
      <w:r>
        <w:rPr>
          <w:spacing w:val="-29"/>
          <w:sz w:val="16"/>
        </w:rPr>
        <w:t xml:space="preserve"> </w:t>
      </w:r>
    </w:p>
    <w:p w:rsidR="00D81F69" w:rsidRDefault="00D81F69">
      <w:pPr>
        <w:spacing w:before="2" w:line="312" w:lineRule="auto"/>
        <w:ind w:left="100" w:right="199"/>
        <w:jc w:val="both"/>
        <w:rPr>
          <w:sz w:val="16"/>
        </w:rPr>
      </w:pPr>
      <w:hyperlink r:id="rId1098">
        <w:r w:rsidR="00330118">
          <w:rPr>
            <w:sz w:val="16"/>
          </w:rPr>
          <w:t>&lt;http://noticiasmineracao.mining.com/2011/03/01/ferrous-resources-</w:t>
        </w:r>
      </w:hyperlink>
      <w:r w:rsidR="00330118">
        <w:rPr>
          <w:sz w:val="16"/>
        </w:rPr>
        <w:t xml:space="preserve"> vai-antecipar-producao-de-mina-em-congonhas/&gt;; Acesso em 14 mar. 2011.</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202" w:space="268"/>
            <w:col w:w="5310"/>
          </w:cols>
        </w:sectPr>
      </w:pPr>
    </w:p>
    <w:p w:rsidR="00D81F69" w:rsidRDefault="00330118">
      <w:pPr>
        <w:pStyle w:val="Heading1"/>
        <w:spacing w:line="208" w:lineRule="auto"/>
      </w:pPr>
      <w:r>
        <w:lastRenderedPageBreak/>
        <w:t>Exploração de minério de ferro em Conceição do Mato Dentro (MG) afeta meio social e ambiente</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20"/>
        <w:rPr>
          <w:i/>
          <w:sz w:val="14"/>
        </w:rPr>
      </w:pPr>
      <w:r>
        <w:rPr>
          <w:i/>
          <w:sz w:val="14"/>
        </w:rPr>
        <w:t>MG - Alvorada de Minas MG - Co</w:t>
      </w:r>
      <w:r>
        <w:rPr>
          <w:i/>
          <w:sz w:val="14"/>
        </w:rPr>
        <w:t>nceição do Mato Dentro</w:t>
      </w:r>
    </w:p>
    <w:p w:rsidR="00D81F69" w:rsidRDefault="00330118">
      <w:pPr>
        <w:spacing w:before="2"/>
        <w:ind w:left="135"/>
        <w:rPr>
          <w:i/>
          <w:sz w:val="14"/>
        </w:rPr>
      </w:pPr>
      <w:r>
        <w:rPr>
          <w:i/>
          <w:sz w:val="14"/>
        </w:rPr>
        <w:t>MG - Dom Joaquim</w:t>
      </w:r>
    </w:p>
    <w:p w:rsidR="00D81F69" w:rsidRDefault="00330118">
      <w:pPr>
        <w:spacing w:before="49"/>
        <w:ind w:left="135"/>
        <w:rPr>
          <w:i/>
          <w:sz w:val="14"/>
        </w:rPr>
      </w:pPr>
      <w:r>
        <w:rPr>
          <w:i/>
          <w:sz w:val="14"/>
        </w:rPr>
        <w:t>RJ - São João da Barra</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-19,1816</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-43,2011</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3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Conceição de Mato Dentro vive o dilema </w:t>
      </w:r>
      <w:r>
        <w:rPr>
          <w:i/>
          <w:sz w:val="16"/>
        </w:rPr>
        <w:t>entre a preservação de sua vocação cultural e turística e a atividade mineradora. A razão disso é um novo projeto mineral, o Sistema Minas-Rio, já em implantação pela Anglo American, com capacidade de produzir 26,5 milhões de t/ano de minério de ferro, a p</w:t>
      </w:r>
      <w:r>
        <w:rPr>
          <w:i/>
          <w:sz w:val="16"/>
        </w:rPr>
        <w:t>artir do segundo semestre de 2013, quando entrar em operação.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14"/>
      </w:pPr>
      <w:r>
        <w:t>conservação da diversidade de espécies de peixe da região (MMA, 2000 apud ENEBIO, 2009).</w:t>
      </w:r>
    </w:p>
    <w:p w:rsidR="00D81F69" w:rsidRDefault="00330118">
      <w:pPr>
        <w:pStyle w:val="Corpodetexto"/>
        <w:spacing w:before="131" w:line="312" w:lineRule="auto"/>
        <w:ind w:left="135" w:right="191"/>
      </w:pPr>
      <w:r>
        <w:t xml:space="preserve">A iniciativa compreende uma mina de minério de </w:t>
      </w:r>
      <w:hyperlink r:id="rId1099">
        <w:r>
          <w:t xml:space="preserve">ferro </w:t>
        </w:r>
      </w:hyperlink>
      <w:r>
        <w:t xml:space="preserve">a céu </w:t>
      </w:r>
      <w:r>
        <w:rPr>
          <w:spacing w:val="3"/>
        </w:rPr>
        <w:t xml:space="preserve">aberto, </w:t>
      </w:r>
      <w:r>
        <w:t xml:space="preserve">a </w:t>
      </w:r>
      <w:r>
        <w:rPr>
          <w:spacing w:val="3"/>
        </w:rPr>
        <w:t xml:space="preserve">Sapo-Ferrugem, </w:t>
      </w:r>
      <w:r>
        <w:rPr>
          <w:spacing w:val="1"/>
        </w:rPr>
        <w:t xml:space="preserve">em </w:t>
      </w:r>
      <w:r>
        <w:rPr>
          <w:spacing w:val="3"/>
        </w:rPr>
        <w:t xml:space="preserve">Conceição </w:t>
      </w:r>
      <w:r>
        <w:rPr>
          <w:spacing w:val="1"/>
        </w:rPr>
        <w:t xml:space="preserve">do </w:t>
      </w:r>
      <w:r>
        <w:rPr>
          <w:spacing w:val="2"/>
        </w:rPr>
        <w:t xml:space="preserve">Mato </w:t>
      </w:r>
      <w:r>
        <w:rPr>
          <w:spacing w:val="5"/>
        </w:rPr>
        <w:t xml:space="preserve">Dentro, </w:t>
      </w:r>
      <w:r>
        <w:rPr>
          <w:spacing w:val="3"/>
        </w:rPr>
        <w:t xml:space="preserve">uma </w:t>
      </w:r>
      <w:r>
        <w:rPr>
          <w:spacing w:val="5"/>
        </w:rPr>
        <w:t xml:space="preserve">unidade </w:t>
      </w:r>
      <w:r>
        <w:rPr>
          <w:spacing w:val="2"/>
        </w:rPr>
        <w:t xml:space="preserve">de </w:t>
      </w:r>
      <w:r>
        <w:rPr>
          <w:spacing w:val="5"/>
        </w:rPr>
        <w:t xml:space="preserve">beneficiamento </w:t>
      </w:r>
      <w:r>
        <w:rPr>
          <w:spacing w:val="2"/>
        </w:rPr>
        <w:t xml:space="preserve">no </w:t>
      </w:r>
      <w:r>
        <w:rPr>
          <w:spacing w:val="5"/>
        </w:rPr>
        <w:t>município vizinho de</w:t>
      </w:r>
      <w:r>
        <w:rPr>
          <w:spacing w:val="61"/>
        </w:rPr>
        <w:t xml:space="preserve"> </w:t>
      </w:r>
      <w:r>
        <w:t>Alvorada de Minas, um mineroduto com 525 km de e</w:t>
      </w:r>
      <w:r>
        <w:t>xtensão</w:t>
      </w:r>
    </w:p>
    <w:p w:rsidR="00D81F69" w:rsidRDefault="00330118">
      <w:pPr>
        <w:pStyle w:val="PargrafodaLista"/>
        <w:numPr>
          <w:ilvl w:val="0"/>
          <w:numId w:val="3"/>
        </w:numPr>
        <w:tabs>
          <w:tab w:val="left" w:pos="299"/>
        </w:tabs>
        <w:spacing w:before="4" w:line="312" w:lineRule="auto"/>
        <w:ind w:left="135" w:right="204" w:firstLine="0"/>
        <w:rPr>
          <w:sz w:val="18"/>
        </w:rPr>
      </w:pPr>
      <w:r>
        <w:rPr>
          <w:sz w:val="18"/>
        </w:rPr>
        <w:t xml:space="preserve">o maior em construção no mundo e que vai atravessar 25 </w:t>
      </w:r>
      <w:r>
        <w:rPr>
          <w:spacing w:val="10"/>
          <w:sz w:val="18"/>
        </w:rPr>
        <w:t xml:space="preserve">municípios mineiros </w:t>
      </w:r>
      <w:r>
        <w:rPr>
          <w:sz w:val="18"/>
        </w:rPr>
        <w:t xml:space="preserve">e 7 </w:t>
      </w:r>
      <w:r>
        <w:rPr>
          <w:spacing w:val="10"/>
          <w:sz w:val="18"/>
        </w:rPr>
        <w:t xml:space="preserve">fluminenses </w:t>
      </w:r>
      <w:r>
        <w:rPr>
          <w:sz w:val="18"/>
        </w:rPr>
        <w:t xml:space="preserve">- </w:t>
      </w:r>
      <w:r>
        <w:rPr>
          <w:spacing w:val="7"/>
          <w:sz w:val="18"/>
        </w:rPr>
        <w:t xml:space="preserve">uma </w:t>
      </w:r>
      <w:r>
        <w:rPr>
          <w:spacing w:val="8"/>
          <w:sz w:val="18"/>
        </w:rPr>
        <w:t xml:space="preserve">linha </w:t>
      </w:r>
      <w:r>
        <w:rPr>
          <w:spacing w:val="11"/>
          <w:sz w:val="18"/>
        </w:rPr>
        <w:t xml:space="preserve">de </w:t>
      </w:r>
      <w:r>
        <w:rPr>
          <w:sz w:val="18"/>
        </w:rPr>
        <w:t xml:space="preserve">transmissão de energia e um terminal de minério no Porto do Açu, localizado em São João da Barra, no estado do Rio de </w:t>
      </w:r>
      <w:r>
        <w:rPr>
          <w:spacing w:val="3"/>
          <w:sz w:val="18"/>
        </w:rPr>
        <w:t>Janeiro.</w:t>
      </w:r>
      <w:r>
        <w:rPr>
          <w:spacing w:val="23"/>
          <w:sz w:val="18"/>
        </w:rPr>
        <w:t xml:space="preserve"> </w:t>
      </w:r>
      <w:r>
        <w:rPr>
          <w:sz w:val="18"/>
        </w:rPr>
        <w:t>A</w:t>
      </w:r>
      <w:r>
        <w:rPr>
          <w:spacing w:val="23"/>
          <w:sz w:val="18"/>
        </w:rPr>
        <w:t xml:space="preserve"> </w:t>
      </w:r>
      <w:r>
        <w:rPr>
          <w:spacing w:val="3"/>
          <w:sz w:val="18"/>
        </w:rPr>
        <w:t>Anglo</w:t>
      </w:r>
      <w:r>
        <w:rPr>
          <w:spacing w:val="23"/>
          <w:sz w:val="18"/>
        </w:rPr>
        <w:t xml:space="preserve"> </w:t>
      </w:r>
      <w:r>
        <w:rPr>
          <w:spacing w:val="3"/>
          <w:sz w:val="18"/>
        </w:rPr>
        <w:t>America</w:t>
      </w:r>
      <w:r>
        <w:rPr>
          <w:spacing w:val="3"/>
          <w:sz w:val="18"/>
        </w:rPr>
        <w:t>n</w:t>
      </w:r>
      <w:r>
        <w:rPr>
          <w:spacing w:val="23"/>
          <w:sz w:val="18"/>
        </w:rPr>
        <w:t xml:space="preserve"> </w:t>
      </w:r>
      <w:r>
        <w:rPr>
          <w:spacing w:val="3"/>
          <w:sz w:val="18"/>
        </w:rPr>
        <w:t>detém</w:t>
      </w:r>
      <w:r>
        <w:rPr>
          <w:spacing w:val="23"/>
          <w:sz w:val="18"/>
        </w:rPr>
        <w:t xml:space="preserve"> </w:t>
      </w:r>
      <w:r>
        <w:rPr>
          <w:spacing w:val="3"/>
          <w:sz w:val="18"/>
        </w:rPr>
        <w:t>participação</w:t>
      </w:r>
      <w:r>
        <w:rPr>
          <w:spacing w:val="23"/>
          <w:sz w:val="18"/>
        </w:rPr>
        <w:t xml:space="preserve"> </w:t>
      </w:r>
      <w:r>
        <w:rPr>
          <w:spacing w:val="1"/>
          <w:sz w:val="18"/>
        </w:rPr>
        <w:t>de</w:t>
      </w:r>
      <w:r>
        <w:rPr>
          <w:spacing w:val="23"/>
          <w:sz w:val="18"/>
        </w:rPr>
        <w:t xml:space="preserve"> </w:t>
      </w:r>
      <w:r>
        <w:rPr>
          <w:spacing w:val="2"/>
          <w:sz w:val="18"/>
        </w:rPr>
        <w:t>49%</w:t>
      </w:r>
      <w:r>
        <w:rPr>
          <w:spacing w:val="23"/>
          <w:sz w:val="18"/>
        </w:rPr>
        <w:t xml:space="preserve"> </w:t>
      </w:r>
      <w:r>
        <w:rPr>
          <w:spacing w:val="5"/>
          <w:sz w:val="18"/>
        </w:rPr>
        <w:t>no</w:t>
      </w:r>
    </w:p>
    <w:p w:rsidR="00D81F69" w:rsidRDefault="00D81F69">
      <w:pPr>
        <w:spacing w:line="312" w:lineRule="auto"/>
        <w:jc w:val="both"/>
        <w:rPr>
          <w:sz w:val="18"/>
        </w:rPr>
        <w:sectPr w:rsidR="00D81F69">
          <w:type w:val="continuous"/>
          <w:pgSz w:w="11900" w:h="16840"/>
          <w:pgMar w:top="720" w:right="500" w:bottom="280" w:left="620" w:header="720" w:footer="720" w:gutter="0"/>
          <w:cols w:num="3" w:space="720" w:equalWidth="0">
            <w:col w:w="1732" w:space="268"/>
            <w:col w:w="3121" w:space="314"/>
            <w:col w:w="5345"/>
          </w:cols>
        </w:sectPr>
      </w:pPr>
    </w:p>
    <w:p w:rsidR="00D81F69" w:rsidRDefault="00330118">
      <w:pPr>
        <w:pStyle w:val="Heading4"/>
        <w:spacing w:before="88"/>
        <w:jc w:val="left"/>
      </w:pPr>
      <w:r>
        <w:lastRenderedPageBreak/>
        <w:t>APRESENTAÇÃO DE CASO</w:t>
      </w:r>
    </w:p>
    <w:p w:rsidR="00D81F69" w:rsidRDefault="00330118">
      <w:pPr>
        <w:pStyle w:val="Corpodetexto"/>
        <w:spacing w:before="171" w:line="312" w:lineRule="auto"/>
        <w:ind w:right="70"/>
        <w:jc w:val="left"/>
      </w:pPr>
      <w:r>
        <w:t>O município de Conceição do Mato Dentro (MG) está localizado no meio da Serra do Espinhaço, a 168 km de Belo Horizonte, e próximo ao Parque Nacional da Serra do Cipó (PORTAL CMD, 2010). Com 1.726,829 km² e uma população de 17.908 habitantes (IBGE, 2010), o</w:t>
      </w:r>
      <w:r>
        <w:t xml:space="preserve"> município possui patrimônio histórico datado do século XVIII, alta biodiversidade, riquezas naturais, como a Cachoeira do Tabuleiro - segunda mais alta queda d'água do Brasil - e grande diversidade sociocultural, sendo considerada a capital mineira do eco</w:t>
      </w:r>
      <w:r>
        <w:t>turismo (PORTAL CMD, 2010).</w:t>
      </w:r>
    </w:p>
    <w:p w:rsidR="00D81F69" w:rsidRDefault="00330118">
      <w:pPr>
        <w:pStyle w:val="Corpodetexto"/>
        <w:spacing w:before="139" w:line="312" w:lineRule="auto"/>
        <w:ind w:right="89"/>
      </w:pPr>
      <w:r>
        <w:t>A cidade está dividida entre a preservação de sua vocação histórica, cultural e turística e a atividade mineradora. De um lado, a mineração promete aumentar substancialmente o caixa do município por meio do aumento da arrecadação de impostos e do pagamento</w:t>
      </w:r>
      <w:r>
        <w:t xml:space="preserve"> de royalties. De outro, a preocupação com o meio ambiente e com o crescimento sustentado é crescente, já que a cidade está na Serra do Espinhaço, reconhecida pela Organização das Nações Unidas para a Educação, a Ciência e a Cultura (Unesco) como Reserva d</w:t>
      </w:r>
      <w:r>
        <w:t>a Biosfera da Cordilheira do Espinhaço (FURBINO, 2010).</w:t>
      </w:r>
    </w:p>
    <w:p w:rsidR="00D81F69" w:rsidRDefault="00330118">
      <w:pPr>
        <w:pStyle w:val="Corpodetexto"/>
        <w:spacing w:before="140" w:line="312" w:lineRule="auto"/>
        <w:ind w:right="64"/>
      </w:pPr>
      <w:r>
        <w:t xml:space="preserve">A razão do dilema é o Sistema Minas-Rio, em implantação na </w:t>
      </w:r>
      <w:r>
        <w:rPr>
          <w:spacing w:val="5"/>
        </w:rPr>
        <w:t xml:space="preserve">região. </w:t>
      </w:r>
      <w:r>
        <w:t xml:space="preserve">O </w:t>
      </w:r>
      <w:r>
        <w:rPr>
          <w:spacing w:val="5"/>
        </w:rPr>
        <w:t xml:space="preserve">sistema </w:t>
      </w:r>
      <w:r>
        <w:rPr>
          <w:spacing w:val="3"/>
        </w:rPr>
        <w:t xml:space="preserve">foi </w:t>
      </w:r>
      <w:r>
        <w:rPr>
          <w:spacing w:val="5"/>
        </w:rPr>
        <w:t xml:space="preserve">inicialmente concebido pela </w:t>
      </w:r>
      <w:r>
        <w:rPr>
          <w:spacing w:val="6"/>
        </w:rPr>
        <w:t xml:space="preserve">MMX </w:t>
      </w:r>
      <w:r>
        <w:rPr>
          <w:spacing w:val="8"/>
        </w:rPr>
        <w:t xml:space="preserve">Mineração </w:t>
      </w:r>
      <w:r>
        <w:t xml:space="preserve">e </w:t>
      </w:r>
      <w:r>
        <w:rPr>
          <w:spacing w:val="8"/>
        </w:rPr>
        <w:t xml:space="preserve">Metálicos, </w:t>
      </w:r>
      <w:r>
        <w:rPr>
          <w:spacing w:val="5"/>
        </w:rPr>
        <w:t xml:space="preserve">do </w:t>
      </w:r>
      <w:r>
        <w:rPr>
          <w:spacing w:val="7"/>
        </w:rPr>
        <w:t xml:space="preserve">grupo EBX, </w:t>
      </w:r>
      <w:r>
        <w:t xml:space="preserve">e </w:t>
      </w:r>
      <w:r>
        <w:rPr>
          <w:spacing w:val="7"/>
        </w:rPr>
        <w:t xml:space="preserve">está </w:t>
      </w:r>
      <w:r>
        <w:rPr>
          <w:spacing w:val="10"/>
        </w:rPr>
        <w:t xml:space="preserve">sendo </w:t>
      </w:r>
      <w:r>
        <w:rPr>
          <w:spacing w:val="5"/>
        </w:rPr>
        <w:t>executado pelo grupo sul-africano Ang</w:t>
      </w:r>
      <w:r>
        <w:rPr>
          <w:spacing w:val="5"/>
        </w:rPr>
        <w:t xml:space="preserve">lo American, </w:t>
      </w:r>
      <w:r>
        <w:rPr>
          <w:spacing w:val="6"/>
        </w:rPr>
        <w:t xml:space="preserve">que </w:t>
      </w:r>
      <w:r>
        <w:rPr>
          <w:spacing w:val="3"/>
        </w:rPr>
        <w:t xml:space="preserve">comprou </w:t>
      </w:r>
      <w:r>
        <w:t xml:space="preserve">o </w:t>
      </w:r>
      <w:r>
        <w:rPr>
          <w:spacing w:val="3"/>
        </w:rPr>
        <w:t xml:space="preserve">negócio </w:t>
      </w:r>
      <w:r>
        <w:rPr>
          <w:spacing w:val="1"/>
        </w:rPr>
        <w:t xml:space="preserve">em </w:t>
      </w:r>
      <w:r>
        <w:rPr>
          <w:spacing w:val="2"/>
        </w:rPr>
        <w:t xml:space="preserve">2008 </w:t>
      </w:r>
      <w:r>
        <w:rPr>
          <w:spacing w:val="3"/>
        </w:rPr>
        <w:t xml:space="preserve">(FURBINO, 2010) </w:t>
      </w:r>
      <w:r>
        <w:t xml:space="preserve">e </w:t>
      </w:r>
      <w:r>
        <w:rPr>
          <w:spacing w:val="3"/>
        </w:rPr>
        <w:t xml:space="preserve">criou </w:t>
      </w:r>
      <w:r>
        <w:t xml:space="preserve">a </w:t>
      </w:r>
      <w:r>
        <w:rPr>
          <w:spacing w:val="11"/>
        </w:rPr>
        <w:t xml:space="preserve">Anglo Ferrous Brazil </w:t>
      </w:r>
      <w:r>
        <w:rPr>
          <w:spacing w:val="10"/>
        </w:rPr>
        <w:t xml:space="preserve">para </w:t>
      </w:r>
      <w:r>
        <w:rPr>
          <w:spacing w:val="12"/>
        </w:rPr>
        <w:t xml:space="preserve">implementá-lo </w:t>
      </w:r>
      <w:r>
        <w:rPr>
          <w:spacing w:val="15"/>
        </w:rPr>
        <w:t xml:space="preserve">(KATTAH; </w:t>
      </w:r>
      <w:r>
        <w:t xml:space="preserve">MASSOTE, 2009). Os investimentos totais no projeto giram </w:t>
      </w:r>
      <w:r>
        <w:rPr>
          <w:spacing w:val="6"/>
        </w:rPr>
        <w:t xml:space="preserve">em </w:t>
      </w:r>
      <w:r>
        <w:rPr>
          <w:spacing w:val="11"/>
        </w:rPr>
        <w:t xml:space="preserve">torno </w:t>
      </w:r>
      <w:r>
        <w:rPr>
          <w:spacing w:val="6"/>
        </w:rPr>
        <w:t xml:space="preserve">de </w:t>
      </w:r>
      <w:r>
        <w:rPr>
          <w:spacing w:val="10"/>
        </w:rPr>
        <w:t xml:space="preserve">US$ </w:t>
      </w:r>
      <w:r>
        <w:t xml:space="preserve">7 </w:t>
      </w:r>
      <w:r>
        <w:rPr>
          <w:spacing w:val="11"/>
        </w:rPr>
        <w:t xml:space="preserve">bilhões (MAPA </w:t>
      </w:r>
      <w:r>
        <w:rPr>
          <w:spacing w:val="6"/>
        </w:rPr>
        <w:t xml:space="preserve">DA </w:t>
      </w:r>
      <w:r>
        <w:rPr>
          <w:spacing w:val="15"/>
        </w:rPr>
        <w:t xml:space="preserve">INJUSTIÇA </w:t>
      </w:r>
      <w:r>
        <w:rPr>
          <w:spacing w:val="12"/>
        </w:rPr>
        <w:t xml:space="preserve">AMBIENTAL </w:t>
      </w:r>
      <w:r>
        <w:t xml:space="preserve">E </w:t>
      </w:r>
      <w:r>
        <w:rPr>
          <w:spacing w:val="11"/>
        </w:rPr>
        <w:t xml:space="preserve">SAÚDE </w:t>
      </w:r>
      <w:r>
        <w:rPr>
          <w:spacing w:val="6"/>
        </w:rPr>
        <w:t xml:space="preserve">NO </w:t>
      </w:r>
      <w:r>
        <w:rPr>
          <w:spacing w:val="11"/>
        </w:rPr>
        <w:t>BRASIL,</w:t>
      </w:r>
      <w:r>
        <w:rPr>
          <w:spacing w:val="30"/>
        </w:rPr>
        <w:t xml:space="preserve"> </w:t>
      </w:r>
      <w:r>
        <w:rPr>
          <w:spacing w:val="15"/>
        </w:rPr>
        <w:t>2009).</w:t>
      </w:r>
    </w:p>
    <w:p w:rsidR="00D81F69" w:rsidRDefault="00330118">
      <w:pPr>
        <w:pStyle w:val="Corpodetexto"/>
        <w:spacing w:before="75" w:line="270" w:lineRule="atLeast"/>
        <w:ind w:right="87"/>
      </w:pPr>
      <w:r>
        <w:t>O empreendimento localiza-se “nas cabeceiras do rio Santo Antônio, a extremo oeste da bacia do rio Doce, nas proximidades do divisor de águas das bacias dos rios São Francisco e Jequitinhonha” (PARECER ÚNICO SISEMA Nº 001/2008, p. 4 apud ENEBIO, 2009, p. 1</w:t>
      </w:r>
      <w:r>
        <w:t>0). O local é considerado de extrema importância biológica para a</w:t>
      </w:r>
    </w:p>
    <w:p w:rsidR="00D81F69" w:rsidRDefault="00330118">
      <w:pPr>
        <w:pStyle w:val="Corpodetexto"/>
        <w:spacing w:before="5" w:line="312" w:lineRule="auto"/>
        <w:ind w:right="196"/>
      </w:pPr>
      <w:r>
        <w:br w:type="column"/>
      </w:r>
      <w:r>
        <w:lastRenderedPageBreak/>
        <w:t xml:space="preserve">terminal, uma joint-venture com a LLX, outra empresa do grupo EBX (CAMARGO CORRÊA, 2010). Além disso, prevê a construção de uma adutora de água - com captação no rio do Peixe, bacia do rio </w:t>
      </w:r>
      <w:r>
        <w:t>Doce, no município mineiro de Dom Joaquim. A adutora fornecerá água ao processo industrial do Sistema Minas-Rio, inclusive ao mineroduto (ENEBIO, 2009).</w:t>
      </w:r>
    </w:p>
    <w:p w:rsidR="00D81F69" w:rsidRDefault="00330118">
      <w:pPr>
        <w:pStyle w:val="Corpodetexto"/>
        <w:spacing w:before="135" w:line="312" w:lineRule="auto"/>
        <w:ind w:right="194"/>
      </w:pPr>
      <w:r>
        <w:t>A mina de Sapo-Ferrugem com vida útil em torno de 40 anos, conta com reservas de 1,5 bilhões de tonelad</w:t>
      </w:r>
      <w:r>
        <w:t>as, com teor de 37,9% de óxido de ferro (Fe2O3). Da unidade de beneficiamento sairá a produção de 26,5 milhões de toneladas de minério de ferro por ano (BECKER; PEREIRA, 2011). A destinação do minério é o mercado externo, que cresceu significativamente nos</w:t>
      </w:r>
      <w:r>
        <w:t xml:space="preserve"> últimos anos graças à explosão do preço provocada pela demanda chinesa (ANGLO AMERICAN, 2009).</w:t>
      </w:r>
    </w:p>
    <w:p w:rsidR="00D81F69" w:rsidRDefault="00330118">
      <w:pPr>
        <w:pStyle w:val="Corpodetexto"/>
        <w:spacing w:before="139" w:line="312" w:lineRule="auto"/>
        <w:ind w:right="213"/>
      </w:pPr>
      <w:r>
        <w:t>O Sistema Minas-Rio tem importância estratégica para a Anglo American, quarta maior mineradora do mundo, que tem como objetivo uma participação de 10% no mercad</w:t>
      </w:r>
      <w:r>
        <w:t>o mundial de minério de ferro até 2016; hoje a empresa responde por apenas 3% (PORTO, 2010; BRASIL MINERAL, 2009). Já o</w:t>
      </w:r>
    </w:p>
    <w:p w:rsidR="00D81F69" w:rsidRDefault="00330118">
      <w:pPr>
        <w:pStyle w:val="Corpodetexto"/>
        <w:spacing w:before="4" w:line="312" w:lineRule="auto"/>
        <w:ind w:right="215"/>
      </w:pPr>
      <w:r>
        <w:t>Estado viu no projeto uma alavanca para o desenvolvimento regional (BECKER; PEREIRA, 2011).</w:t>
      </w:r>
    </w:p>
    <w:p w:rsidR="00D81F69" w:rsidRDefault="00330118">
      <w:pPr>
        <w:pStyle w:val="Corpodetexto"/>
        <w:spacing w:before="132" w:line="312" w:lineRule="auto"/>
        <w:ind w:right="197"/>
        <w:jc w:val="left"/>
      </w:pPr>
      <w:r>
        <w:t xml:space="preserve">O </w:t>
      </w:r>
      <w:r>
        <w:rPr>
          <w:spacing w:val="1"/>
        </w:rPr>
        <w:t xml:space="preserve">mineroduto </w:t>
      </w:r>
      <w:r>
        <w:t xml:space="preserve">é um </w:t>
      </w:r>
      <w:r>
        <w:rPr>
          <w:spacing w:val="1"/>
        </w:rPr>
        <w:t xml:space="preserve">projeto </w:t>
      </w:r>
      <w:r>
        <w:t xml:space="preserve">de </w:t>
      </w:r>
      <w:r>
        <w:rPr>
          <w:spacing w:val="1"/>
        </w:rPr>
        <w:t>grande complexi</w:t>
      </w:r>
      <w:r>
        <w:rPr>
          <w:spacing w:val="1"/>
        </w:rPr>
        <w:t xml:space="preserve">dade. </w:t>
      </w:r>
      <w:r>
        <w:rPr>
          <w:spacing w:val="2"/>
        </w:rPr>
        <w:t xml:space="preserve">Para </w:t>
      </w:r>
      <w:r>
        <w:rPr>
          <w:spacing w:val="3"/>
        </w:rPr>
        <w:t xml:space="preserve">transportar minério </w:t>
      </w:r>
      <w:r>
        <w:rPr>
          <w:spacing w:val="2"/>
        </w:rPr>
        <w:t xml:space="preserve">por </w:t>
      </w:r>
      <w:r>
        <w:rPr>
          <w:spacing w:val="1"/>
        </w:rPr>
        <w:t xml:space="preserve">um </w:t>
      </w:r>
      <w:r>
        <w:rPr>
          <w:spacing w:val="2"/>
        </w:rPr>
        <w:t xml:space="preserve">tubo </w:t>
      </w:r>
      <w:r>
        <w:t xml:space="preserve">é </w:t>
      </w:r>
      <w:r>
        <w:rPr>
          <w:spacing w:val="3"/>
        </w:rPr>
        <w:t xml:space="preserve">preciso misturá-lo </w:t>
      </w:r>
      <w:r>
        <w:rPr>
          <w:spacing w:val="5"/>
        </w:rPr>
        <w:t xml:space="preserve">com </w:t>
      </w:r>
      <w:r>
        <w:rPr>
          <w:spacing w:val="7"/>
        </w:rPr>
        <w:t xml:space="preserve">muita </w:t>
      </w:r>
      <w:r>
        <w:rPr>
          <w:spacing w:val="6"/>
        </w:rPr>
        <w:t xml:space="preserve">água </w:t>
      </w:r>
      <w:r>
        <w:rPr>
          <w:spacing w:val="7"/>
        </w:rPr>
        <w:t xml:space="preserve">(PORTO, 2010). </w:t>
      </w:r>
      <w:r>
        <w:rPr>
          <w:spacing w:val="5"/>
        </w:rPr>
        <w:t xml:space="preserve">Daí </w:t>
      </w:r>
      <w:r>
        <w:t xml:space="preserve">a </w:t>
      </w:r>
      <w:r>
        <w:rPr>
          <w:spacing w:val="8"/>
        </w:rPr>
        <w:t xml:space="preserve">necessidade </w:t>
      </w:r>
      <w:r>
        <w:rPr>
          <w:spacing w:val="5"/>
        </w:rPr>
        <w:t xml:space="preserve">de </w:t>
      </w:r>
      <w:r>
        <w:rPr>
          <w:spacing w:val="10"/>
        </w:rPr>
        <w:t xml:space="preserve">se </w:t>
      </w:r>
      <w:r>
        <w:rPr>
          <w:spacing w:val="1"/>
        </w:rPr>
        <w:t xml:space="preserve">construir </w:t>
      </w:r>
      <w:r>
        <w:t xml:space="preserve">uma </w:t>
      </w:r>
      <w:r>
        <w:rPr>
          <w:spacing w:val="1"/>
        </w:rPr>
        <w:t xml:space="preserve">adutora </w:t>
      </w:r>
      <w:r>
        <w:t xml:space="preserve">em Dom </w:t>
      </w:r>
      <w:r>
        <w:rPr>
          <w:spacing w:val="1"/>
        </w:rPr>
        <w:t xml:space="preserve">Joaquim (MG). Somente </w:t>
      </w:r>
      <w:r>
        <w:t xml:space="preserve">o </w:t>
      </w:r>
      <w:r>
        <w:rPr>
          <w:spacing w:val="3"/>
        </w:rPr>
        <w:t xml:space="preserve">mineroduto deverá consumir 2.500 </w:t>
      </w:r>
      <w:r>
        <w:rPr>
          <w:spacing w:val="1"/>
        </w:rPr>
        <w:t xml:space="preserve">m³ de </w:t>
      </w:r>
      <w:r>
        <w:rPr>
          <w:spacing w:val="2"/>
        </w:rPr>
        <w:t xml:space="preserve">água por </w:t>
      </w:r>
      <w:r>
        <w:rPr>
          <w:spacing w:val="3"/>
        </w:rPr>
        <w:t xml:space="preserve">hora, </w:t>
      </w:r>
      <w:r>
        <w:t xml:space="preserve">o equivalente a 3,15% da vazão do rio do Peixe (HOJE EM DIA, 2008). Além de garantir a utilização do rio, a Anglo Ferrous tem de </w:t>
      </w:r>
      <w:r>
        <w:rPr>
          <w:spacing w:val="1"/>
        </w:rPr>
        <w:t xml:space="preserve">construir </w:t>
      </w:r>
      <w:r>
        <w:t xml:space="preserve">as </w:t>
      </w:r>
      <w:r>
        <w:rPr>
          <w:spacing w:val="1"/>
        </w:rPr>
        <w:t xml:space="preserve">maiores estações </w:t>
      </w:r>
      <w:r>
        <w:t xml:space="preserve">de </w:t>
      </w:r>
      <w:r>
        <w:rPr>
          <w:spacing w:val="1"/>
        </w:rPr>
        <w:t xml:space="preserve">bombeamento </w:t>
      </w:r>
      <w:r>
        <w:rPr>
          <w:spacing w:val="2"/>
        </w:rPr>
        <w:t xml:space="preserve">de </w:t>
      </w:r>
      <w:r>
        <w:rPr>
          <w:spacing w:val="5"/>
        </w:rPr>
        <w:t xml:space="preserve">água </w:t>
      </w:r>
      <w:r>
        <w:rPr>
          <w:spacing w:val="3"/>
        </w:rPr>
        <w:t xml:space="preserve">já </w:t>
      </w:r>
      <w:r>
        <w:rPr>
          <w:spacing w:val="5"/>
        </w:rPr>
        <w:t xml:space="preserve">feitas para uma obra deste porte </w:t>
      </w:r>
      <w:r>
        <w:t xml:space="preserve">e </w:t>
      </w:r>
      <w:r>
        <w:rPr>
          <w:spacing w:val="5"/>
        </w:rPr>
        <w:t xml:space="preserve">ainda </w:t>
      </w:r>
      <w:r>
        <w:rPr>
          <w:spacing w:val="7"/>
        </w:rPr>
        <w:t xml:space="preserve">uma </w:t>
      </w:r>
      <w:r>
        <w:t>barragem para receber 25 m</w:t>
      </w:r>
      <w:r>
        <w:t>ilhões de toneladas de rejeitos (MAPA DA INJUSTIÇA AMBIENTAL E SAÚDE NO BRASIL, 2009; PORTO,</w:t>
      </w:r>
      <w:r>
        <w:rPr>
          <w:spacing w:val="26"/>
        </w:rPr>
        <w:t xml:space="preserve"> </w:t>
      </w:r>
      <w:r>
        <w:t>2010).</w:t>
      </w:r>
    </w:p>
    <w:p w:rsidR="00D81F69" w:rsidRDefault="00330118">
      <w:pPr>
        <w:pStyle w:val="Corpodetexto"/>
        <w:spacing w:before="141" w:line="312" w:lineRule="auto"/>
        <w:ind w:right="207"/>
      </w:pPr>
      <w:r>
        <w:t xml:space="preserve">Com relação às mudanças na dinâmica hídrica decorrentes  do empreendimento, há controvérsias sobre a avaliação feita </w:t>
      </w:r>
      <w:r>
        <w:rPr>
          <w:spacing w:val="5"/>
        </w:rPr>
        <w:t>pelo</w:t>
      </w:r>
      <w:r>
        <w:rPr>
          <w:spacing w:val="47"/>
        </w:rPr>
        <w:t xml:space="preserve"> </w:t>
      </w:r>
      <w:r>
        <w:rPr>
          <w:spacing w:val="5"/>
        </w:rPr>
        <w:t>Estudo</w:t>
      </w:r>
      <w:r>
        <w:rPr>
          <w:spacing w:val="47"/>
        </w:rPr>
        <w:t xml:space="preserve"> </w:t>
      </w:r>
      <w:r>
        <w:rPr>
          <w:spacing w:val="3"/>
        </w:rPr>
        <w:t>de</w:t>
      </w:r>
      <w:r>
        <w:rPr>
          <w:spacing w:val="47"/>
        </w:rPr>
        <w:t xml:space="preserve"> </w:t>
      </w:r>
      <w:r>
        <w:rPr>
          <w:spacing w:val="5"/>
        </w:rPr>
        <w:t>Impacto</w:t>
      </w:r>
      <w:r>
        <w:rPr>
          <w:spacing w:val="47"/>
        </w:rPr>
        <w:t xml:space="preserve"> </w:t>
      </w:r>
      <w:r>
        <w:rPr>
          <w:spacing w:val="6"/>
        </w:rPr>
        <w:t>Ambiental</w:t>
      </w:r>
      <w:r>
        <w:rPr>
          <w:spacing w:val="47"/>
        </w:rPr>
        <w:t xml:space="preserve"> </w:t>
      </w:r>
      <w:r>
        <w:t>e</w:t>
      </w:r>
      <w:r>
        <w:rPr>
          <w:spacing w:val="47"/>
        </w:rPr>
        <w:t xml:space="preserve"> </w:t>
      </w:r>
      <w:r>
        <w:rPr>
          <w:spacing w:val="5"/>
        </w:rPr>
        <w:t>pelo</w:t>
      </w:r>
      <w:r>
        <w:rPr>
          <w:spacing w:val="47"/>
        </w:rPr>
        <w:t xml:space="preserve"> </w:t>
      </w:r>
      <w:r>
        <w:rPr>
          <w:spacing w:val="6"/>
        </w:rPr>
        <w:t>Relatório</w:t>
      </w:r>
      <w:r>
        <w:rPr>
          <w:spacing w:val="47"/>
        </w:rPr>
        <w:t xml:space="preserve"> </w:t>
      </w:r>
      <w:r>
        <w:rPr>
          <w:spacing w:val="7"/>
        </w:rPr>
        <w:t>de</w:t>
      </w:r>
    </w:p>
    <w:p w:rsidR="00D81F69" w:rsidRDefault="00D81F69">
      <w:pPr>
        <w:spacing w:line="312" w:lineRule="auto"/>
        <w:sectPr w:rsidR="00D81F69">
          <w:type w:val="continuous"/>
          <w:pgSz w:w="11900" w:h="16840"/>
          <w:pgMar w:top="720" w:right="500" w:bottom="280" w:left="620" w:header="720" w:footer="720" w:gutter="0"/>
          <w:cols w:num="2" w:space="720" w:equalWidth="0">
            <w:col w:w="5193" w:space="277"/>
            <w:col w:w="5310"/>
          </w:cols>
        </w:sectPr>
      </w:pPr>
    </w:p>
    <w:p w:rsidR="00D81F69" w:rsidRDefault="00330118">
      <w:pPr>
        <w:pStyle w:val="Corpodetexto"/>
        <w:spacing w:before="81" w:line="312" w:lineRule="auto"/>
        <w:ind w:right="44"/>
      </w:pPr>
      <w:r>
        <w:lastRenderedPageBreak/>
        <w:t>Impacto Ambiental (EIA/RIMA) acerca dos impactos do empreendimento. Segundo o relatório, o impacto real na fase de instalação, adotando um programa de gestão de recursos hídricos e subprograma de estudos hidrogeológ</w:t>
      </w:r>
      <w:r>
        <w:t>icos como medidas mitigatórias, será de intensidade baixa. Já na etapa de operação, o relatório ambiental aponta um impacto médio. No entanto, biólogos alegam que o relatório teria subestimado o prejuízo que várias atividades econômicas, como agricultura e</w:t>
      </w:r>
      <w:r>
        <w:t xml:space="preserve"> turismo, podem ter com a diminuição da água disponível. A fauna e flora do interior e das margens do rio também podem ser impactadas (GOULART, 2007).</w:t>
      </w:r>
    </w:p>
    <w:p w:rsidR="00D81F69" w:rsidRDefault="00330118">
      <w:pPr>
        <w:pStyle w:val="Corpodetexto"/>
        <w:spacing w:before="140" w:line="312" w:lineRule="auto"/>
        <w:ind w:right="40"/>
      </w:pPr>
      <w:r>
        <w:t>Outro aspecto questionado é o impacto do rebaixamento do lençol freático e o reposicionamento de nascente</w:t>
      </w:r>
      <w:r>
        <w:t xml:space="preserve">s da Serra  do Sapo. Isso pode levar a uma piora da qualidade da água nas atividades agrícolas e turísticas, bem como a alterações em </w:t>
      </w:r>
      <w:r>
        <w:rPr>
          <w:spacing w:val="1"/>
        </w:rPr>
        <w:t xml:space="preserve">toda </w:t>
      </w:r>
      <w:r>
        <w:t xml:space="preserve">a </w:t>
      </w:r>
      <w:r>
        <w:rPr>
          <w:spacing w:val="1"/>
        </w:rPr>
        <w:t xml:space="preserve">comunidade biológica (peixes, répteis, </w:t>
      </w:r>
      <w:r>
        <w:rPr>
          <w:spacing w:val="2"/>
        </w:rPr>
        <w:t xml:space="preserve">anfíbios, </w:t>
      </w:r>
      <w:r>
        <w:rPr>
          <w:spacing w:val="3"/>
        </w:rPr>
        <w:t xml:space="preserve">matas </w:t>
      </w:r>
      <w:r>
        <w:rPr>
          <w:spacing w:val="1"/>
        </w:rPr>
        <w:t xml:space="preserve">de </w:t>
      </w:r>
      <w:r>
        <w:rPr>
          <w:spacing w:val="3"/>
        </w:rPr>
        <w:t xml:space="preserve">galerias, etc.) </w:t>
      </w:r>
      <w:r>
        <w:t xml:space="preserve">a </w:t>
      </w:r>
      <w:r>
        <w:rPr>
          <w:spacing w:val="3"/>
        </w:rPr>
        <w:t xml:space="preserve">jusante </w:t>
      </w:r>
      <w:r>
        <w:rPr>
          <w:spacing w:val="1"/>
        </w:rPr>
        <w:t xml:space="preserve">do </w:t>
      </w:r>
      <w:r>
        <w:rPr>
          <w:spacing w:val="3"/>
        </w:rPr>
        <w:t xml:space="preserve">empreendimento, </w:t>
      </w:r>
      <w:r>
        <w:rPr>
          <w:spacing w:val="5"/>
        </w:rPr>
        <w:t xml:space="preserve">ou </w:t>
      </w:r>
      <w:r>
        <w:rPr>
          <w:spacing w:val="3"/>
        </w:rPr>
        <w:t xml:space="preserve">seja, </w:t>
      </w:r>
      <w:r>
        <w:rPr>
          <w:spacing w:val="2"/>
        </w:rPr>
        <w:t>par</w:t>
      </w:r>
      <w:r>
        <w:rPr>
          <w:spacing w:val="2"/>
        </w:rPr>
        <w:t xml:space="preserve">a onde </w:t>
      </w:r>
      <w:r>
        <w:rPr>
          <w:spacing w:val="3"/>
        </w:rPr>
        <w:t xml:space="preserve">correm </w:t>
      </w:r>
      <w:r>
        <w:rPr>
          <w:spacing w:val="1"/>
        </w:rPr>
        <w:t xml:space="preserve">as </w:t>
      </w:r>
      <w:r>
        <w:rPr>
          <w:spacing w:val="3"/>
        </w:rPr>
        <w:t>águas (GOULART,</w:t>
      </w:r>
      <w:r>
        <w:rPr>
          <w:spacing w:val="-11"/>
        </w:rPr>
        <w:t xml:space="preserve"> </w:t>
      </w:r>
      <w:r>
        <w:rPr>
          <w:spacing w:val="5"/>
        </w:rPr>
        <w:t>2007).</w:t>
      </w:r>
    </w:p>
    <w:p w:rsidR="00D81F69" w:rsidRDefault="00330118">
      <w:pPr>
        <w:pStyle w:val="Corpodetexto"/>
        <w:spacing w:before="136" w:line="312" w:lineRule="auto"/>
        <w:ind w:right="60"/>
      </w:pPr>
      <w:r>
        <w:t>A adutora no rio Peixe poderá comprometer os ecossistemas aquáticos e as populações ribeirinhas que vivem dos seus recursos. Além disso, a extração do minério nas regiões de aquíferos poderá prejudicar a qualidade da</w:t>
      </w:r>
      <w:r>
        <w:t xml:space="preserve"> água, pois, para o beneficiamento do minério de ferro, são usados materiais tóxicos (ENEBIO, 2009).</w:t>
      </w:r>
    </w:p>
    <w:p w:rsidR="00D81F69" w:rsidRDefault="00330118">
      <w:pPr>
        <w:pStyle w:val="Corpodetexto"/>
        <w:spacing w:before="136" w:line="312" w:lineRule="auto"/>
        <w:ind w:right="38"/>
      </w:pPr>
      <w:r>
        <w:t xml:space="preserve">A Anglo Ferrous produziu um documento de 70 páginas em </w:t>
      </w:r>
      <w:r>
        <w:rPr>
          <w:spacing w:val="7"/>
        </w:rPr>
        <w:t xml:space="preserve">resposta </w:t>
      </w:r>
      <w:r>
        <w:t xml:space="preserve">a </w:t>
      </w:r>
      <w:r>
        <w:rPr>
          <w:spacing w:val="7"/>
        </w:rPr>
        <w:t xml:space="preserve">estes </w:t>
      </w:r>
      <w:r>
        <w:rPr>
          <w:spacing w:val="8"/>
        </w:rPr>
        <w:t xml:space="preserve">questionamentos </w:t>
      </w:r>
      <w:r>
        <w:t xml:space="preserve">e </w:t>
      </w:r>
      <w:r>
        <w:rPr>
          <w:spacing w:val="7"/>
        </w:rPr>
        <w:t xml:space="preserve">sustenta </w:t>
      </w:r>
      <w:r>
        <w:rPr>
          <w:spacing w:val="5"/>
        </w:rPr>
        <w:t xml:space="preserve">que </w:t>
      </w:r>
      <w:r>
        <w:rPr>
          <w:spacing w:val="10"/>
        </w:rPr>
        <w:t xml:space="preserve">os </w:t>
      </w:r>
      <w:r>
        <w:rPr>
          <w:spacing w:val="3"/>
        </w:rPr>
        <w:t xml:space="preserve">possíveis impactos </w:t>
      </w:r>
      <w:r>
        <w:rPr>
          <w:spacing w:val="2"/>
        </w:rPr>
        <w:t xml:space="preserve">nas </w:t>
      </w:r>
      <w:r>
        <w:rPr>
          <w:spacing w:val="3"/>
        </w:rPr>
        <w:t xml:space="preserve">nascentes </w:t>
      </w:r>
      <w:r>
        <w:t xml:space="preserve">e </w:t>
      </w:r>
      <w:r>
        <w:rPr>
          <w:spacing w:val="3"/>
        </w:rPr>
        <w:t xml:space="preserve">águas </w:t>
      </w:r>
      <w:r>
        <w:rPr>
          <w:spacing w:val="5"/>
        </w:rPr>
        <w:t xml:space="preserve">subterrâneas </w:t>
      </w:r>
      <w:r>
        <w:t xml:space="preserve">poderão ocorrer apenas no momento em que for necessária a realização do rebaixamento do nível de água para a execução </w:t>
      </w:r>
      <w:r>
        <w:rPr>
          <w:spacing w:val="7"/>
        </w:rPr>
        <w:t xml:space="preserve">das </w:t>
      </w:r>
      <w:r>
        <w:rPr>
          <w:spacing w:val="10"/>
        </w:rPr>
        <w:t xml:space="preserve">atividades </w:t>
      </w:r>
      <w:r>
        <w:rPr>
          <w:spacing w:val="5"/>
        </w:rPr>
        <w:t xml:space="preserve">da </w:t>
      </w:r>
      <w:r>
        <w:rPr>
          <w:spacing w:val="10"/>
        </w:rPr>
        <w:t xml:space="preserve">mina, quando então serão </w:t>
      </w:r>
      <w:r>
        <w:rPr>
          <w:spacing w:val="12"/>
        </w:rPr>
        <w:t xml:space="preserve">feitas </w:t>
      </w:r>
      <w:r>
        <w:rPr>
          <w:spacing w:val="5"/>
        </w:rPr>
        <w:t xml:space="preserve">solicitações </w:t>
      </w:r>
      <w:r>
        <w:rPr>
          <w:spacing w:val="2"/>
        </w:rPr>
        <w:t xml:space="preserve">de </w:t>
      </w:r>
      <w:r>
        <w:rPr>
          <w:spacing w:val="5"/>
        </w:rPr>
        <w:t xml:space="preserve">outorga </w:t>
      </w:r>
      <w:r>
        <w:rPr>
          <w:spacing w:val="2"/>
        </w:rPr>
        <w:t xml:space="preserve">ao </w:t>
      </w:r>
      <w:r>
        <w:rPr>
          <w:spacing w:val="3"/>
        </w:rPr>
        <w:t xml:space="preserve">órgão </w:t>
      </w:r>
      <w:r>
        <w:rPr>
          <w:spacing w:val="5"/>
        </w:rPr>
        <w:t xml:space="preserve">ambiental. </w:t>
      </w:r>
      <w:r>
        <w:rPr>
          <w:spacing w:val="3"/>
        </w:rPr>
        <w:t xml:space="preserve">Além </w:t>
      </w:r>
      <w:r>
        <w:rPr>
          <w:spacing w:val="5"/>
        </w:rPr>
        <w:t>disso,</w:t>
      </w:r>
      <w:r>
        <w:rPr>
          <w:spacing w:val="61"/>
        </w:rPr>
        <w:t xml:space="preserve"> </w:t>
      </w:r>
      <w:r>
        <w:rPr>
          <w:spacing w:val="3"/>
        </w:rPr>
        <w:t xml:space="preserve">afirma monitorar </w:t>
      </w:r>
      <w:r>
        <w:t xml:space="preserve">o </w:t>
      </w:r>
      <w:r>
        <w:rPr>
          <w:spacing w:val="3"/>
        </w:rPr>
        <w:t xml:space="preserve">nível </w:t>
      </w:r>
      <w:r>
        <w:rPr>
          <w:spacing w:val="1"/>
        </w:rPr>
        <w:t xml:space="preserve">de </w:t>
      </w:r>
      <w:r>
        <w:rPr>
          <w:spacing w:val="2"/>
        </w:rPr>
        <w:t xml:space="preserve">água dos </w:t>
      </w:r>
      <w:r>
        <w:rPr>
          <w:spacing w:val="3"/>
        </w:rPr>
        <w:t xml:space="preserve">aquíferos </w:t>
      </w:r>
      <w:r>
        <w:rPr>
          <w:spacing w:val="1"/>
        </w:rPr>
        <w:t xml:space="preserve">em </w:t>
      </w:r>
      <w:r>
        <w:rPr>
          <w:spacing w:val="5"/>
        </w:rPr>
        <w:t xml:space="preserve">vários </w:t>
      </w:r>
      <w:r>
        <w:t xml:space="preserve">pontos representativos e diz estar em curso um cadastro de </w:t>
      </w:r>
      <w:r>
        <w:rPr>
          <w:spacing w:val="8"/>
        </w:rPr>
        <w:t xml:space="preserve">nascentes </w:t>
      </w:r>
      <w:r>
        <w:rPr>
          <w:spacing w:val="5"/>
        </w:rPr>
        <w:t xml:space="preserve">na </w:t>
      </w:r>
      <w:r>
        <w:rPr>
          <w:spacing w:val="8"/>
        </w:rPr>
        <w:t xml:space="preserve">região (ANGLO FERROUS </w:t>
      </w:r>
      <w:r>
        <w:rPr>
          <w:spacing w:val="10"/>
        </w:rPr>
        <w:t xml:space="preserve">MINAS-RIO </w:t>
      </w:r>
      <w:r>
        <w:rPr>
          <w:spacing w:val="8"/>
        </w:rPr>
        <w:t xml:space="preserve">MINERAÇÃO </w:t>
      </w:r>
      <w:r>
        <w:rPr>
          <w:spacing w:val="7"/>
        </w:rPr>
        <w:t>S.A.,</w:t>
      </w:r>
      <w:r>
        <w:rPr>
          <w:spacing w:val="6"/>
        </w:rPr>
        <w:t xml:space="preserve"> </w:t>
      </w:r>
      <w:r>
        <w:rPr>
          <w:spacing w:val="10"/>
        </w:rPr>
        <w:t>2008).</w:t>
      </w:r>
    </w:p>
    <w:p w:rsidR="00D81F69" w:rsidRDefault="00330118">
      <w:pPr>
        <w:pStyle w:val="Corpodetexto"/>
        <w:spacing w:before="140" w:line="312" w:lineRule="auto"/>
        <w:ind w:right="45"/>
      </w:pPr>
      <w:r>
        <w:t>As controvérsias, porém, continuaram. Em 31 de julho de 2009, o Tribunal de Justiça de Mina</w:t>
      </w:r>
      <w:r>
        <w:t>s Gerais (TJ-MG) concedeu liminar que suspendeu o licenciamento ambiental para a construção da mina em Conceição do Mato Dentro. A ação contesta a validade da Licença Prévia (LP), que teria sido expedida sem que o órgão ambiental analisasse todas as questõ</w:t>
      </w:r>
      <w:r>
        <w:t>es referentes à viabilidade ambiental do empreendimento. Além disso, a Lei Orgânica do município exige a contratação de seguro ou depósito de caução para recuperação do meio ambiente, condição que não teria sido atendida pela Anglo Ferrous (COSTA, 2009a).</w:t>
      </w:r>
    </w:p>
    <w:p w:rsidR="00D81F69" w:rsidRDefault="00330118">
      <w:pPr>
        <w:pStyle w:val="Corpodetexto"/>
        <w:spacing w:before="140" w:line="312" w:lineRule="auto"/>
        <w:ind w:right="64"/>
      </w:pPr>
      <w:r>
        <w:t>Menos de um mês depois, no dia 12 de agosto, o Ministério Público Federal (MPF/MG) e a Procuradoria da República em Minas Gerais também pediram a nulidade dos procedimentos de licenciamento e das licenças concedidas até então, tarefa que alega ser de atrib</w:t>
      </w:r>
      <w:r>
        <w:t>uição exclusiva do Instituto Brasileiro do Meio Ambiente e dos Recursos Naturais Renováveis (Ibama) (KATTAH; MASSOTE, 2009).</w:t>
      </w:r>
    </w:p>
    <w:p w:rsidR="00D81F69" w:rsidRDefault="00330118">
      <w:pPr>
        <w:pStyle w:val="Corpodetexto"/>
        <w:spacing w:before="137"/>
      </w:pPr>
      <w:r>
        <w:t>A análise sobre os impactos gerados pelo empreendimento</w:t>
      </w:r>
    </w:p>
    <w:p w:rsidR="00D81F69" w:rsidRDefault="00330118">
      <w:pPr>
        <w:pStyle w:val="Corpodetexto"/>
        <w:spacing w:before="81" w:line="312" w:lineRule="auto"/>
        <w:ind w:right="194"/>
      </w:pPr>
      <w:r>
        <w:br w:type="column"/>
      </w:r>
      <w:r>
        <w:lastRenderedPageBreak/>
        <w:t>foi, segundo o MPF/MG, "indevidamente fragmentada", já que os elementos do</w:t>
      </w:r>
      <w:r>
        <w:t xml:space="preserve"> projeto (a mina, o mineroduto e o porto) foram licenciados isoladamente pelo órgão federal e por órgãos estaduais. Estas estruturas, na visão do MPF/MG, não existem de forma independente e são "indissociáveis" (KATTAH; MASSOTE, 2009), e segundo o órgão am</w:t>
      </w:r>
      <w:r>
        <w:t>biental, optou-se pelo licenciamento em separado para dar maior transparência a todo o processo (MINE BLOG, 2009).</w:t>
      </w:r>
    </w:p>
    <w:p w:rsidR="00D81F69" w:rsidRDefault="00330118">
      <w:pPr>
        <w:pStyle w:val="Corpodetexto"/>
        <w:spacing w:before="137" w:line="312" w:lineRule="auto"/>
        <w:ind w:right="195"/>
      </w:pPr>
      <w:r>
        <w:t xml:space="preserve">No dia 3 de setembro de 2009, o Superior Tribunal de Justiça </w:t>
      </w:r>
      <w:r>
        <w:rPr>
          <w:spacing w:val="1"/>
        </w:rPr>
        <w:t xml:space="preserve">derrubou </w:t>
      </w:r>
      <w:r>
        <w:t xml:space="preserve">a </w:t>
      </w:r>
      <w:r>
        <w:rPr>
          <w:spacing w:val="1"/>
        </w:rPr>
        <w:t xml:space="preserve">liminar concedida pelo TJ-MG </w:t>
      </w:r>
      <w:r>
        <w:t xml:space="preserve">que </w:t>
      </w:r>
      <w:r>
        <w:rPr>
          <w:spacing w:val="1"/>
        </w:rPr>
        <w:t xml:space="preserve">paralisava </w:t>
      </w:r>
      <w:r>
        <w:t>o processo de licenciamen</w:t>
      </w:r>
      <w:r>
        <w:t>to da mina de ferro em Conceição do Mato Dentro (COSTA, 2009b). Ainda em 17 de dezembro de 2009, a Anglo Ferrous obteve outra decisão a ela favorável: o Conselho de Política Ambiental mineiro concedeu à empresa a Licença de Instalação (LI) para obras de te</w:t>
      </w:r>
      <w:r>
        <w:t>rraplanagem em toda a área da mina e na planta de beneficiamento (DURÃO, 2009).</w:t>
      </w:r>
    </w:p>
    <w:p w:rsidR="00D81F69" w:rsidRDefault="00330118">
      <w:pPr>
        <w:pStyle w:val="Corpodetexto"/>
        <w:spacing w:before="139" w:line="312" w:lineRule="auto"/>
        <w:ind w:right="192"/>
      </w:pPr>
      <w:r>
        <w:t>O mineroduto obteve a LI em junho de 2008 no Ibama e iniciou obras no trecho 3 (terraplenagem nos municípios de Porciúncula, Natividade e Itaperuna), e a implantação das estaçõ</w:t>
      </w:r>
      <w:r>
        <w:t xml:space="preserve">es de bomba em Santo Antônio do Grama e em Conceição do Mato Dentro. O porto obteve a LI em 2007, concedida pela então Fundação Estadual de Engenharia de Meio Ambiente (Feema) e está com as obras avançadas do píer e da área de filtragem, com mais de 2 mil </w:t>
      </w:r>
      <w:r>
        <w:t>trabalhadores, podendo atingir 5 mil (MINE BLOG, 2009).</w:t>
      </w:r>
    </w:p>
    <w:p w:rsidR="00D81F69" w:rsidRDefault="00330118">
      <w:pPr>
        <w:pStyle w:val="Corpodetexto"/>
        <w:spacing w:before="138" w:line="312" w:lineRule="auto"/>
        <w:ind w:right="201"/>
      </w:pPr>
      <w:r>
        <w:t xml:space="preserve">A </w:t>
      </w:r>
      <w:r>
        <w:rPr>
          <w:spacing w:val="3"/>
        </w:rPr>
        <w:t xml:space="preserve">Anglo Ferrous previa </w:t>
      </w:r>
      <w:r>
        <w:t xml:space="preserve">o </w:t>
      </w:r>
      <w:r>
        <w:rPr>
          <w:spacing w:val="3"/>
        </w:rPr>
        <w:t xml:space="preserve">início </w:t>
      </w:r>
      <w:r>
        <w:rPr>
          <w:spacing w:val="1"/>
        </w:rPr>
        <w:t xml:space="preserve">da </w:t>
      </w:r>
      <w:r>
        <w:rPr>
          <w:spacing w:val="3"/>
        </w:rPr>
        <w:t xml:space="preserve">operação </w:t>
      </w:r>
      <w:r>
        <w:rPr>
          <w:spacing w:val="1"/>
        </w:rPr>
        <w:t xml:space="preserve">do </w:t>
      </w:r>
      <w:r>
        <w:rPr>
          <w:spacing w:val="5"/>
        </w:rPr>
        <w:t xml:space="preserve">Sistema </w:t>
      </w:r>
      <w:r>
        <w:rPr>
          <w:spacing w:val="12"/>
        </w:rPr>
        <w:t xml:space="preserve">Minas-Rio </w:t>
      </w:r>
      <w:r>
        <w:rPr>
          <w:spacing w:val="10"/>
        </w:rPr>
        <w:t xml:space="preserve">para </w:t>
      </w:r>
      <w:r>
        <w:rPr>
          <w:spacing w:val="11"/>
        </w:rPr>
        <w:t xml:space="preserve">2012, </w:t>
      </w:r>
      <w:r>
        <w:rPr>
          <w:spacing w:val="10"/>
        </w:rPr>
        <w:t xml:space="preserve">mas foi </w:t>
      </w:r>
      <w:r>
        <w:rPr>
          <w:spacing w:val="11"/>
        </w:rPr>
        <w:t xml:space="preserve">forçada </w:t>
      </w:r>
      <w:r>
        <w:t xml:space="preserve">a </w:t>
      </w:r>
      <w:r>
        <w:rPr>
          <w:spacing w:val="11"/>
        </w:rPr>
        <w:t xml:space="preserve">rever </w:t>
      </w:r>
      <w:r>
        <w:rPr>
          <w:spacing w:val="15"/>
        </w:rPr>
        <w:t xml:space="preserve">seu </w:t>
      </w:r>
      <w:r>
        <w:rPr>
          <w:spacing w:val="5"/>
        </w:rPr>
        <w:t xml:space="preserve">cronograma, primeiro devido </w:t>
      </w:r>
      <w:r>
        <w:t xml:space="preserve">à </w:t>
      </w:r>
      <w:r>
        <w:rPr>
          <w:spacing w:val="5"/>
        </w:rPr>
        <w:t xml:space="preserve">demora </w:t>
      </w:r>
      <w:r>
        <w:rPr>
          <w:spacing w:val="2"/>
        </w:rPr>
        <w:t xml:space="preserve">na </w:t>
      </w:r>
      <w:r>
        <w:rPr>
          <w:spacing w:val="5"/>
        </w:rPr>
        <w:t>obtenção das</w:t>
      </w:r>
      <w:r>
        <w:rPr>
          <w:spacing w:val="61"/>
        </w:rPr>
        <w:t xml:space="preserve"> </w:t>
      </w:r>
      <w:r>
        <w:t>demais licenças, e segundo pelo fato de o m</w:t>
      </w:r>
      <w:r>
        <w:t xml:space="preserve">ineroduto passar </w:t>
      </w:r>
      <w:r>
        <w:rPr>
          <w:spacing w:val="5"/>
        </w:rPr>
        <w:t xml:space="preserve">(LAGUNA, 2010) </w:t>
      </w:r>
      <w:r>
        <w:rPr>
          <w:spacing w:val="3"/>
        </w:rPr>
        <w:t xml:space="preserve">por 1,2 mil </w:t>
      </w:r>
      <w:r>
        <w:rPr>
          <w:spacing w:val="5"/>
        </w:rPr>
        <w:t xml:space="preserve">propriedades, </w:t>
      </w:r>
      <w:r>
        <w:t xml:space="preserve">o </w:t>
      </w:r>
      <w:r>
        <w:rPr>
          <w:spacing w:val="3"/>
        </w:rPr>
        <w:t xml:space="preserve">que </w:t>
      </w:r>
      <w:r>
        <w:rPr>
          <w:spacing w:val="6"/>
        </w:rPr>
        <w:t xml:space="preserve">exige </w:t>
      </w:r>
      <w:r>
        <w:rPr>
          <w:spacing w:val="10"/>
        </w:rPr>
        <w:t xml:space="preserve">negociar </w:t>
      </w:r>
      <w:r>
        <w:rPr>
          <w:spacing w:val="5"/>
        </w:rPr>
        <w:t xml:space="preserve">as </w:t>
      </w:r>
      <w:r>
        <w:rPr>
          <w:spacing w:val="10"/>
        </w:rPr>
        <w:t xml:space="preserve">indenizações individualmente </w:t>
      </w:r>
      <w:r>
        <w:rPr>
          <w:spacing w:val="7"/>
        </w:rPr>
        <w:t xml:space="preserve">com </w:t>
      </w:r>
      <w:r>
        <w:rPr>
          <w:spacing w:val="11"/>
        </w:rPr>
        <w:t xml:space="preserve">cada </w:t>
      </w:r>
      <w:r>
        <w:rPr>
          <w:spacing w:val="10"/>
        </w:rPr>
        <w:t xml:space="preserve">proprietário (PORTO, </w:t>
      </w:r>
      <w:r>
        <w:rPr>
          <w:spacing w:val="11"/>
        </w:rPr>
        <w:t>2010).</w:t>
      </w:r>
    </w:p>
    <w:p w:rsidR="00D81F69" w:rsidRDefault="00330118">
      <w:pPr>
        <w:pStyle w:val="Corpodetexto"/>
        <w:spacing w:before="136" w:line="312" w:lineRule="auto"/>
        <w:ind w:right="191"/>
      </w:pPr>
      <w:r>
        <w:t xml:space="preserve">O governo de Minas Gerais declarou que as faixas de terra necessárias à construção das instalações complementares ao mineroduto e à implantação da mina de minério de ferro e sua </w:t>
      </w:r>
      <w:r>
        <w:rPr>
          <w:spacing w:val="7"/>
        </w:rPr>
        <w:t xml:space="preserve">usina </w:t>
      </w:r>
      <w:r>
        <w:rPr>
          <w:spacing w:val="5"/>
        </w:rPr>
        <w:t xml:space="preserve">de </w:t>
      </w:r>
      <w:r>
        <w:rPr>
          <w:spacing w:val="8"/>
        </w:rPr>
        <w:t xml:space="preserve">beneficiamento </w:t>
      </w:r>
      <w:r>
        <w:rPr>
          <w:spacing w:val="5"/>
        </w:rPr>
        <w:t xml:space="preserve">são de </w:t>
      </w:r>
      <w:r>
        <w:rPr>
          <w:spacing w:val="7"/>
        </w:rPr>
        <w:t xml:space="preserve">utilidade pública </w:t>
      </w:r>
      <w:r>
        <w:rPr>
          <w:spacing w:val="10"/>
        </w:rPr>
        <w:t xml:space="preserve">para desapropriação </w:t>
      </w:r>
      <w:r>
        <w:rPr>
          <w:spacing w:val="5"/>
        </w:rPr>
        <w:t xml:space="preserve">em </w:t>
      </w:r>
      <w:r>
        <w:rPr>
          <w:spacing w:val="7"/>
        </w:rPr>
        <w:t xml:space="preserve">favor </w:t>
      </w:r>
      <w:r>
        <w:rPr>
          <w:spacing w:val="5"/>
        </w:rPr>
        <w:t xml:space="preserve">da </w:t>
      </w:r>
      <w:r>
        <w:rPr>
          <w:spacing w:val="7"/>
        </w:rPr>
        <w:t xml:space="preserve">Anglo </w:t>
      </w:r>
      <w:r>
        <w:rPr>
          <w:spacing w:val="8"/>
        </w:rPr>
        <w:t xml:space="preserve">Ferrous. </w:t>
      </w:r>
      <w:r>
        <w:rPr>
          <w:spacing w:val="10"/>
        </w:rPr>
        <w:t xml:space="preserve">Também </w:t>
      </w:r>
      <w:r>
        <w:t>desapropriou 752 propriedades nos municípios mineiros por onde passará o mineroduto. Além disso, decretou serem de utilidade pública as áreas para intervenção e supressão de vegetação em qualquer estágio de regeneração, localizadas</w:t>
      </w:r>
      <w:r>
        <w:t xml:space="preserve"> </w:t>
      </w:r>
      <w:r>
        <w:rPr>
          <w:spacing w:val="1"/>
        </w:rPr>
        <w:t xml:space="preserve">na </w:t>
      </w:r>
      <w:r>
        <w:rPr>
          <w:spacing w:val="2"/>
        </w:rPr>
        <w:t xml:space="preserve">Mata </w:t>
      </w:r>
      <w:r>
        <w:rPr>
          <w:spacing w:val="3"/>
        </w:rPr>
        <w:t xml:space="preserve">Atlântica (MINAS GERAIS, </w:t>
      </w:r>
      <w:r>
        <w:rPr>
          <w:spacing w:val="2"/>
        </w:rPr>
        <w:t xml:space="preserve">2009 apud </w:t>
      </w:r>
      <w:r>
        <w:rPr>
          <w:spacing w:val="5"/>
        </w:rPr>
        <w:t xml:space="preserve">BECKER; </w:t>
      </w:r>
      <w:r>
        <w:rPr>
          <w:spacing w:val="12"/>
        </w:rPr>
        <w:t xml:space="preserve">PEREIRA, </w:t>
      </w:r>
      <w:r>
        <w:rPr>
          <w:spacing w:val="11"/>
        </w:rPr>
        <w:t xml:space="preserve">2011). </w:t>
      </w:r>
      <w:r>
        <w:rPr>
          <w:spacing w:val="6"/>
        </w:rPr>
        <w:t xml:space="preserve">Já </w:t>
      </w:r>
      <w:r>
        <w:t xml:space="preserve">o </w:t>
      </w:r>
      <w:r>
        <w:rPr>
          <w:spacing w:val="11"/>
        </w:rPr>
        <w:t xml:space="preserve">governo </w:t>
      </w:r>
      <w:r>
        <w:rPr>
          <w:spacing w:val="6"/>
        </w:rPr>
        <w:t xml:space="preserve">do </w:t>
      </w:r>
      <w:r>
        <w:rPr>
          <w:spacing w:val="10"/>
        </w:rPr>
        <w:t xml:space="preserve">Rio </w:t>
      </w:r>
      <w:r>
        <w:rPr>
          <w:spacing w:val="6"/>
        </w:rPr>
        <w:t xml:space="preserve">de </w:t>
      </w:r>
      <w:r>
        <w:rPr>
          <w:spacing w:val="15"/>
        </w:rPr>
        <w:t xml:space="preserve">Janeiro </w:t>
      </w:r>
      <w:r>
        <w:t>desapropriou 369 propriedades nos municípios fluminenses que serão cortados pelo mineroduto (RIO DE JANEIRO, 2009 apud BECKER; PEREIRA,</w:t>
      </w:r>
      <w:r>
        <w:rPr>
          <w:spacing w:val="5"/>
        </w:rPr>
        <w:t xml:space="preserve"> </w:t>
      </w:r>
      <w:r>
        <w:t>2011).</w:t>
      </w:r>
    </w:p>
    <w:p w:rsidR="00D81F69" w:rsidRDefault="00330118">
      <w:pPr>
        <w:pStyle w:val="Corpodetexto"/>
        <w:spacing w:before="143" w:line="312" w:lineRule="auto"/>
        <w:ind w:right="206"/>
      </w:pPr>
      <w:r>
        <w:t>Como contrapar</w:t>
      </w:r>
      <w:r>
        <w:t xml:space="preserve">tida para as comunidades por onde vai passar o </w:t>
      </w:r>
      <w:r>
        <w:rPr>
          <w:spacing w:val="8"/>
        </w:rPr>
        <w:t xml:space="preserve">mineroduto, </w:t>
      </w:r>
      <w:r>
        <w:t xml:space="preserve">a </w:t>
      </w:r>
      <w:r>
        <w:rPr>
          <w:spacing w:val="7"/>
        </w:rPr>
        <w:t xml:space="preserve">empresa afirma estar </w:t>
      </w:r>
      <w:r>
        <w:rPr>
          <w:spacing w:val="10"/>
        </w:rPr>
        <w:t xml:space="preserve">implementando </w:t>
      </w:r>
      <w:r>
        <w:t xml:space="preserve">diversos projetos socioambientais, como um aterro sanitário de uso coletivo que irá atender a oito municípios mineiros e dois fluminenses, na região das bacias </w:t>
      </w:r>
      <w:r>
        <w:t>do rio Paraíba do Sul  e do rio Doce. A empresa também realiza, desde 2007, em parceria com a LLX, o Programa de Recuperação de Restinga</w:t>
      </w:r>
    </w:p>
    <w:p w:rsidR="00D81F69" w:rsidRDefault="00D81F69">
      <w:pPr>
        <w:spacing w:line="312" w:lineRule="auto"/>
        <w:sectPr w:rsidR="00D81F69">
          <w:pgSz w:w="11900" w:h="16840"/>
          <w:pgMar w:top="740" w:right="500" w:bottom="640" w:left="620" w:header="0" w:footer="402" w:gutter="0"/>
          <w:cols w:num="2" w:space="720" w:equalWidth="0">
            <w:col w:w="5159" w:space="311"/>
            <w:col w:w="5310"/>
          </w:cols>
        </w:sectPr>
      </w:pPr>
    </w:p>
    <w:p w:rsidR="00D81F69" w:rsidRDefault="00330118">
      <w:pPr>
        <w:pStyle w:val="Corpodetexto"/>
        <w:spacing w:before="81" w:line="312" w:lineRule="auto"/>
        <w:ind w:right="38"/>
        <w:jc w:val="left"/>
      </w:pPr>
      <w:r>
        <w:lastRenderedPageBreak/>
        <w:t>na região do Superporto do Açu. Uma área com 60 mil m², entre as lagoas de Iquipari e Gruç</w:t>
      </w:r>
      <w:r>
        <w:t>aí, já foi recuperada e recebeu mais de 76 mil mudas de 50 espécies nativas da região (MAXPRESS, 2010).</w:t>
      </w:r>
    </w:p>
    <w:p w:rsidR="00D81F69" w:rsidRDefault="00330118">
      <w:pPr>
        <w:pStyle w:val="Corpodetexto"/>
        <w:spacing w:before="134" w:line="312" w:lineRule="auto"/>
        <w:ind w:right="97"/>
      </w:pPr>
      <w:r>
        <w:t xml:space="preserve">Em </w:t>
      </w:r>
      <w:r>
        <w:rPr>
          <w:spacing w:val="1"/>
        </w:rPr>
        <w:t xml:space="preserve">março </w:t>
      </w:r>
      <w:r>
        <w:t xml:space="preserve">de </w:t>
      </w:r>
      <w:r>
        <w:rPr>
          <w:spacing w:val="1"/>
        </w:rPr>
        <w:t xml:space="preserve">2011, </w:t>
      </w:r>
      <w:r>
        <w:t xml:space="preserve">a </w:t>
      </w:r>
      <w:r>
        <w:rPr>
          <w:spacing w:val="1"/>
        </w:rPr>
        <w:t xml:space="preserve">Anglo Ferrous começou </w:t>
      </w:r>
      <w:r>
        <w:t xml:space="preserve">as </w:t>
      </w:r>
      <w:r>
        <w:rPr>
          <w:spacing w:val="1"/>
        </w:rPr>
        <w:t xml:space="preserve">obras </w:t>
      </w:r>
      <w:r>
        <w:rPr>
          <w:spacing w:val="2"/>
        </w:rPr>
        <w:t xml:space="preserve">de </w:t>
      </w:r>
      <w:r>
        <w:t>construção civil da planta de beneficiamento e da barragem  de rejeitos, bem como a abertura da mi</w:t>
      </w:r>
      <w:r>
        <w:t xml:space="preserve">na. A empresa estima um prazo de 27 a 30 meses para construir e comissionar a </w:t>
      </w:r>
      <w:r>
        <w:rPr>
          <w:spacing w:val="5"/>
        </w:rPr>
        <w:t xml:space="preserve">mina </w:t>
      </w:r>
      <w:r>
        <w:t xml:space="preserve">e a </w:t>
      </w:r>
      <w:r>
        <w:rPr>
          <w:spacing w:val="5"/>
        </w:rPr>
        <w:t xml:space="preserve">planta, concluir </w:t>
      </w:r>
      <w:r>
        <w:rPr>
          <w:spacing w:val="2"/>
        </w:rPr>
        <w:t xml:space="preserve">as </w:t>
      </w:r>
      <w:r>
        <w:rPr>
          <w:spacing w:val="5"/>
        </w:rPr>
        <w:t xml:space="preserve">obras </w:t>
      </w:r>
      <w:r>
        <w:t xml:space="preserve">e </w:t>
      </w:r>
      <w:r>
        <w:rPr>
          <w:spacing w:val="5"/>
        </w:rPr>
        <w:t xml:space="preserve">realizar </w:t>
      </w:r>
      <w:r>
        <w:t xml:space="preserve">o </w:t>
      </w:r>
      <w:r>
        <w:rPr>
          <w:spacing w:val="6"/>
        </w:rPr>
        <w:t xml:space="preserve">primeiro </w:t>
      </w:r>
      <w:r>
        <w:rPr>
          <w:spacing w:val="1"/>
        </w:rPr>
        <w:t xml:space="preserve">embarque </w:t>
      </w:r>
      <w:r>
        <w:t xml:space="preserve">de </w:t>
      </w:r>
      <w:r>
        <w:rPr>
          <w:spacing w:val="1"/>
        </w:rPr>
        <w:t xml:space="preserve">minério </w:t>
      </w:r>
      <w:r>
        <w:t xml:space="preserve">de </w:t>
      </w:r>
      <w:r>
        <w:rPr>
          <w:spacing w:val="1"/>
        </w:rPr>
        <w:t xml:space="preserve">ferro </w:t>
      </w:r>
      <w:r>
        <w:t xml:space="preserve">por </w:t>
      </w:r>
      <w:r>
        <w:rPr>
          <w:spacing w:val="1"/>
        </w:rPr>
        <w:t xml:space="preserve">navio (VALOR </w:t>
      </w:r>
      <w:r>
        <w:rPr>
          <w:spacing w:val="2"/>
        </w:rPr>
        <w:t>ONLINE, 2011).</w:t>
      </w:r>
    </w:p>
    <w:p w:rsidR="00D81F69" w:rsidRDefault="00D81F69">
      <w:pPr>
        <w:pStyle w:val="Corpodetexto"/>
        <w:spacing w:before="6"/>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117"/>
      </w:pPr>
      <w:r>
        <w:t xml:space="preserve">As ocorrências de ferro do município de Conceição de Mato de Dentro estão divididas entre as sub-bacias do rio Santo Antônio e a sub-bacia do rio do Peixe, tributárias do rio Doce </w:t>
      </w:r>
      <w:r>
        <w:rPr>
          <w:spacing w:val="2"/>
        </w:rPr>
        <w:t xml:space="preserve">que </w:t>
      </w:r>
      <w:r>
        <w:rPr>
          <w:spacing w:val="3"/>
        </w:rPr>
        <w:t xml:space="preserve">deságua </w:t>
      </w:r>
      <w:r>
        <w:rPr>
          <w:spacing w:val="1"/>
        </w:rPr>
        <w:t xml:space="preserve">no </w:t>
      </w:r>
      <w:r>
        <w:rPr>
          <w:spacing w:val="2"/>
        </w:rPr>
        <w:t xml:space="preserve">mar. </w:t>
      </w:r>
      <w:r>
        <w:rPr>
          <w:spacing w:val="3"/>
        </w:rPr>
        <w:t xml:space="preserve">Estão localizadas entre </w:t>
      </w:r>
      <w:r>
        <w:rPr>
          <w:spacing w:val="1"/>
        </w:rPr>
        <w:t xml:space="preserve">as </w:t>
      </w:r>
      <w:r>
        <w:rPr>
          <w:spacing w:val="5"/>
        </w:rPr>
        <w:t xml:space="preserve">latitudes </w:t>
      </w:r>
      <w:r>
        <w:rPr>
          <w:spacing w:val="12"/>
        </w:rPr>
        <w:t xml:space="preserve">19°10’54”S </w:t>
      </w:r>
      <w:r>
        <w:t xml:space="preserve">- </w:t>
      </w:r>
      <w:r>
        <w:rPr>
          <w:spacing w:val="12"/>
        </w:rPr>
        <w:t xml:space="preserve">18°57’24”S </w:t>
      </w:r>
      <w:r>
        <w:t xml:space="preserve">e </w:t>
      </w:r>
      <w:r>
        <w:rPr>
          <w:spacing w:val="12"/>
        </w:rPr>
        <w:t>longitudes 43°14’4”W</w:t>
      </w:r>
      <w:r>
        <w:rPr>
          <w:spacing w:val="65"/>
        </w:rPr>
        <w:t xml:space="preserve"> </w:t>
      </w:r>
      <w:r>
        <w:t>-</w:t>
      </w:r>
    </w:p>
    <w:p w:rsidR="00D81F69" w:rsidRDefault="00330118">
      <w:pPr>
        <w:pStyle w:val="Corpodetexto"/>
        <w:spacing w:before="4"/>
      </w:pPr>
      <w:r>
        <w:t xml:space="preserve">43°24’24”W. </w:t>
      </w:r>
    </w:p>
    <w:p w:rsidR="00D81F69" w:rsidRDefault="00D81F69">
      <w:pPr>
        <w:pStyle w:val="Corpodetexto"/>
        <w:ind w:left="0"/>
        <w:jc w:val="left"/>
        <w:rPr>
          <w:sz w:val="20"/>
        </w:rPr>
      </w:pPr>
    </w:p>
    <w:p w:rsidR="00D81F69" w:rsidRDefault="00330118">
      <w:pPr>
        <w:pStyle w:val="Heading7"/>
        <w:spacing w:before="164"/>
      </w:pPr>
      <w:r>
        <w:t>REDATORES</w:t>
      </w:r>
    </w:p>
    <w:p w:rsidR="00D81F69" w:rsidRDefault="00330118">
      <w:pPr>
        <w:pStyle w:val="Corpodetexto"/>
        <w:spacing w:before="179"/>
      </w:pPr>
      <w:r>
        <w:t>Jefferson Guedes</w:t>
      </w:r>
    </w:p>
    <w:p w:rsidR="00D81F69" w:rsidRDefault="00D81F69">
      <w:pPr>
        <w:pStyle w:val="Corpodetexto"/>
        <w:ind w:left="0"/>
        <w:jc w:val="left"/>
        <w:rPr>
          <w:sz w:val="20"/>
        </w:rPr>
      </w:pPr>
    </w:p>
    <w:p w:rsidR="00D81F69" w:rsidRDefault="00330118">
      <w:pPr>
        <w:pStyle w:val="Heading7"/>
        <w:spacing w:before="165"/>
      </w:pPr>
      <w:r>
        <w:t>REFERÊNCIAS BIBLIOGRÁFICAS</w:t>
      </w:r>
    </w:p>
    <w:p w:rsidR="00D81F69" w:rsidRDefault="00330118">
      <w:pPr>
        <w:spacing w:before="187" w:line="312" w:lineRule="auto"/>
        <w:ind w:left="100" w:right="88"/>
        <w:jc w:val="both"/>
        <w:rPr>
          <w:sz w:val="16"/>
        </w:rPr>
      </w:pPr>
      <w:r>
        <w:rPr>
          <w:sz w:val="16"/>
        </w:rPr>
        <w:t xml:space="preserve">ANGLO AMERICAN. Anglo American participa da Exposibram 2009. </w:t>
      </w:r>
      <w:r>
        <w:rPr>
          <w:spacing w:val="10"/>
          <w:sz w:val="16"/>
        </w:rPr>
        <w:t xml:space="preserve">In: </w:t>
      </w:r>
      <w:r>
        <w:rPr>
          <w:spacing w:val="11"/>
          <w:sz w:val="16"/>
        </w:rPr>
        <w:t xml:space="preserve">Site, </w:t>
      </w:r>
      <w:r>
        <w:rPr>
          <w:spacing w:val="10"/>
          <w:sz w:val="16"/>
        </w:rPr>
        <w:t xml:space="preserve">Rio </w:t>
      </w:r>
      <w:r>
        <w:rPr>
          <w:spacing w:val="6"/>
          <w:sz w:val="16"/>
        </w:rPr>
        <w:t xml:space="preserve">de </w:t>
      </w:r>
      <w:r>
        <w:rPr>
          <w:spacing w:val="12"/>
          <w:sz w:val="16"/>
        </w:rPr>
        <w:t xml:space="preserve">Janeiro, </w:t>
      </w:r>
      <w:r>
        <w:rPr>
          <w:spacing w:val="6"/>
          <w:sz w:val="16"/>
        </w:rPr>
        <w:t xml:space="preserve">21 </w:t>
      </w:r>
      <w:r>
        <w:rPr>
          <w:spacing w:val="10"/>
          <w:sz w:val="16"/>
        </w:rPr>
        <w:t xml:space="preserve">ago. </w:t>
      </w:r>
      <w:r>
        <w:rPr>
          <w:spacing w:val="11"/>
          <w:sz w:val="16"/>
        </w:rPr>
        <w:t xml:space="preserve">2009. </w:t>
      </w:r>
      <w:r>
        <w:rPr>
          <w:spacing w:val="12"/>
          <w:sz w:val="16"/>
        </w:rPr>
        <w:t>Disponível</w:t>
      </w:r>
      <w:r>
        <w:rPr>
          <w:spacing w:val="66"/>
          <w:sz w:val="16"/>
        </w:rPr>
        <w:t xml:space="preserve"> </w:t>
      </w:r>
      <w:r>
        <w:rPr>
          <w:spacing w:val="10"/>
          <w:sz w:val="16"/>
        </w:rPr>
        <w:t>em:</w:t>
      </w:r>
      <w:r>
        <w:rPr>
          <w:spacing w:val="-29"/>
          <w:sz w:val="16"/>
        </w:rPr>
        <w:t xml:space="preserve"> </w:t>
      </w:r>
    </w:p>
    <w:p w:rsidR="00D81F69" w:rsidRDefault="00D81F69">
      <w:pPr>
        <w:spacing w:before="2" w:line="312" w:lineRule="auto"/>
        <w:ind w:left="100" w:right="121"/>
        <w:jc w:val="both"/>
        <w:rPr>
          <w:sz w:val="16"/>
        </w:rPr>
      </w:pPr>
      <w:hyperlink r:id="rId1100">
        <w:r w:rsidR="00330118">
          <w:rPr>
            <w:sz w:val="16"/>
          </w:rPr>
          <w:t>&lt;http://www.angloamerican.com.br/aa_br/media/releases/2009pr/200</w:t>
        </w:r>
      </w:hyperlink>
      <w:r w:rsidR="00330118">
        <w:rPr>
          <w:sz w:val="16"/>
        </w:rPr>
        <w:t xml:space="preserve"> 9-08-21/&gt;. Acesso em: 06 ago. 2010.</w:t>
      </w:r>
    </w:p>
    <w:p w:rsidR="00D81F69" w:rsidRDefault="00330118">
      <w:pPr>
        <w:spacing w:before="1"/>
        <w:ind w:left="100"/>
        <w:jc w:val="both"/>
        <w:rPr>
          <w:sz w:val="16"/>
        </w:rPr>
      </w:pPr>
      <w:r>
        <w:rPr>
          <w:sz w:val="16"/>
        </w:rPr>
        <w:t>ANGLO FERROUS MINAS-RIO MINERAÇÃO S.A. Resposta ao</w:t>
      </w:r>
    </w:p>
    <w:p w:rsidR="00D81F69" w:rsidRDefault="00330118">
      <w:pPr>
        <w:spacing w:before="56" w:line="312" w:lineRule="auto"/>
        <w:ind w:left="100" w:right="52"/>
        <w:jc w:val="both"/>
        <w:rPr>
          <w:sz w:val="16"/>
        </w:rPr>
      </w:pPr>
      <w:r>
        <w:rPr>
          <w:sz w:val="16"/>
        </w:rPr>
        <w:t>Laudo Técnico elaborado pelo Sr. Fernando Figueiredo Goul</w:t>
      </w:r>
      <w:r>
        <w:rPr>
          <w:sz w:val="16"/>
        </w:rPr>
        <w:t xml:space="preserve">art, sobre o Relatório de Impacto Ambiental referente ao empreendimento de extração de minério de ferro nos municípios de Conceição do Mato Dentro, Alvorada de Minas e Dom Joaquim pela empresa MMX. Belo </w:t>
      </w:r>
      <w:r>
        <w:rPr>
          <w:spacing w:val="6"/>
          <w:sz w:val="16"/>
        </w:rPr>
        <w:t xml:space="preserve">H o r i z o n t e </w:t>
      </w:r>
      <w:r>
        <w:rPr>
          <w:sz w:val="16"/>
        </w:rPr>
        <w:t xml:space="preserve">,      </w:t>
      </w:r>
      <w:r>
        <w:rPr>
          <w:spacing w:val="6"/>
          <w:sz w:val="16"/>
        </w:rPr>
        <w:t xml:space="preserve">d e z </w:t>
      </w:r>
      <w:r>
        <w:rPr>
          <w:sz w:val="16"/>
        </w:rPr>
        <w:t xml:space="preserve">.      </w:t>
      </w:r>
      <w:r>
        <w:rPr>
          <w:spacing w:val="6"/>
          <w:sz w:val="16"/>
        </w:rPr>
        <w:t xml:space="preserve">2 0 0 8 </w:t>
      </w:r>
      <w:r>
        <w:rPr>
          <w:sz w:val="16"/>
        </w:rPr>
        <w:t xml:space="preserve">.      </w:t>
      </w:r>
      <w:r>
        <w:rPr>
          <w:spacing w:val="6"/>
          <w:sz w:val="16"/>
        </w:rPr>
        <w:t xml:space="preserve">D i s p o n í v e </w:t>
      </w:r>
      <w:r>
        <w:rPr>
          <w:sz w:val="16"/>
        </w:rPr>
        <w:t xml:space="preserve">l  </w:t>
      </w:r>
      <w:r>
        <w:rPr>
          <w:spacing w:val="35"/>
          <w:sz w:val="16"/>
        </w:rPr>
        <w:t xml:space="preserve"> </w:t>
      </w:r>
      <w:r>
        <w:rPr>
          <w:spacing w:val="6"/>
          <w:sz w:val="16"/>
        </w:rPr>
        <w:t xml:space="preserve">e m </w:t>
      </w:r>
      <w:r>
        <w:rPr>
          <w:sz w:val="16"/>
        </w:rPr>
        <w:t>:</w:t>
      </w:r>
      <w:r>
        <w:rPr>
          <w:spacing w:val="7"/>
          <w:sz w:val="16"/>
        </w:rPr>
        <w:t xml:space="preserve"> </w:t>
      </w:r>
    </w:p>
    <w:p w:rsidR="00D81F69" w:rsidRDefault="00D81F69">
      <w:pPr>
        <w:spacing w:before="4" w:line="312" w:lineRule="auto"/>
        <w:ind w:left="100" w:right="121"/>
        <w:jc w:val="both"/>
        <w:rPr>
          <w:sz w:val="16"/>
        </w:rPr>
      </w:pPr>
      <w:hyperlink r:id="rId1101">
        <w:r w:rsidR="00330118">
          <w:rPr>
            <w:sz w:val="16"/>
          </w:rPr>
          <w:t>&lt;http://www.google.com/url?sa=t&amp;source=web&amp;cd=1&amp;ved=0CBIQFjA</w:t>
        </w:r>
      </w:hyperlink>
      <w:r w:rsidR="00330118">
        <w:rPr>
          <w:sz w:val="16"/>
        </w:rPr>
        <w:t xml:space="preserve"> A&amp;url=http%3A%2F%2F200.198.22.171%2Fdown.asp%3Fx_caminho</w:t>
      </w:r>
    </w:p>
    <w:p w:rsidR="00D81F69" w:rsidRDefault="00330118">
      <w:pPr>
        <w:spacing w:before="2"/>
        <w:ind w:left="100"/>
        <w:jc w:val="both"/>
        <w:rPr>
          <w:sz w:val="16"/>
        </w:rPr>
      </w:pPr>
      <w:r>
        <w:rPr>
          <w:sz w:val="16"/>
        </w:rPr>
        <w:t>%3Dreunioes%2Fsistema%2Farquivos%2Fmaterial%2F%26x_nome</w:t>
      </w:r>
    </w:p>
    <w:p w:rsidR="00D81F69" w:rsidRDefault="00330118">
      <w:pPr>
        <w:spacing w:before="56" w:line="312" w:lineRule="auto"/>
        <w:ind w:left="100" w:right="115"/>
        <w:jc w:val="both"/>
        <w:rPr>
          <w:sz w:val="16"/>
        </w:rPr>
      </w:pPr>
      <w:r>
        <w:rPr>
          <w:sz w:val="16"/>
        </w:rPr>
        <w:t>%3DResposta_ao_Laudo_sobre_RIMA_-_Anglo_Ferrous_Minas- Rio_Minera%25E7%25E3o_S.A..pdf&amp;ei=NLNlTMrsD4GB8gbG_NyPC Q&amp;usg=AFQjCNEfCXWZ69UvGHxYkZuRT1qsFLf_sQ&amp;sig2=Rj7mkA RBim0Iru1xqAn_RQ&gt;. Acesso em: 13 ago</w:t>
      </w:r>
      <w:r>
        <w:rPr>
          <w:sz w:val="16"/>
        </w:rPr>
        <w:t>. 2010.</w:t>
      </w:r>
    </w:p>
    <w:p w:rsidR="00D81F69" w:rsidRDefault="00330118">
      <w:pPr>
        <w:spacing w:before="3" w:line="312" w:lineRule="auto"/>
        <w:ind w:left="100" w:right="97"/>
        <w:jc w:val="both"/>
        <w:rPr>
          <w:sz w:val="16"/>
        </w:rPr>
      </w:pPr>
      <w:r>
        <w:rPr>
          <w:sz w:val="16"/>
        </w:rPr>
        <w:t xml:space="preserve">BECKER, Luzia Costa; PEREIRA, Denise de Castro. O projeto Minas- Rio e o desafio do desenvolvimento territorial integrado e sustentado: a </w:t>
      </w:r>
      <w:r>
        <w:rPr>
          <w:spacing w:val="3"/>
          <w:sz w:val="16"/>
        </w:rPr>
        <w:t xml:space="preserve">grande </w:t>
      </w:r>
      <w:r>
        <w:rPr>
          <w:spacing w:val="2"/>
          <w:sz w:val="16"/>
        </w:rPr>
        <w:t xml:space="preserve">mina </w:t>
      </w:r>
      <w:r>
        <w:rPr>
          <w:spacing w:val="1"/>
          <w:sz w:val="16"/>
        </w:rPr>
        <w:t xml:space="preserve">em </w:t>
      </w:r>
      <w:r>
        <w:rPr>
          <w:spacing w:val="3"/>
          <w:sz w:val="16"/>
        </w:rPr>
        <w:t xml:space="preserve">Conceição </w:t>
      </w:r>
      <w:r>
        <w:rPr>
          <w:spacing w:val="1"/>
          <w:sz w:val="16"/>
        </w:rPr>
        <w:t xml:space="preserve">do </w:t>
      </w:r>
      <w:r>
        <w:rPr>
          <w:spacing w:val="2"/>
          <w:sz w:val="16"/>
        </w:rPr>
        <w:t xml:space="preserve">Mato </w:t>
      </w:r>
      <w:r>
        <w:rPr>
          <w:spacing w:val="3"/>
          <w:sz w:val="16"/>
        </w:rPr>
        <w:t xml:space="preserve">Dentro. </w:t>
      </w:r>
      <w:r>
        <w:rPr>
          <w:spacing w:val="2"/>
          <w:sz w:val="16"/>
        </w:rPr>
        <w:t xml:space="preserve">In: </w:t>
      </w:r>
      <w:r>
        <w:rPr>
          <w:spacing w:val="5"/>
          <w:sz w:val="16"/>
        </w:rPr>
        <w:t xml:space="preserve">FERNANDES, Francisco </w:t>
      </w:r>
      <w:r>
        <w:rPr>
          <w:spacing w:val="3"/>
          <w:sz w:val="16"/>
        </w:rPr>
        <w:t xml:space="preserve">Rego </w:t>
      </w:r>
      <w:r>
        <w:rPr>
          <w:spacing w:val="5"/>
          <w:sz w:val="16"/>
        </w:rPr>
        <w:t xml:space="preserve">Chaves; ENRIQUEZ, </w:t>
      </w:r>
      <w:r>
        <w:rPr>
          <w:spacing w:val="3"/>
          <w:sz w:val="16"/>
        </w:rPr>
        <w:t xml:space="preserve">Maria </w:t>
      </w:r>
      <w:r>
        <w:rPr>
          <w:spacing w:val="5"/>
          <w:sz w:val="16"/>
        </w:rPr>
        <w:t xml:space="preserve">Amélia; </w:t>
      </w:r>
      <w:r>
        <w:rPr>
          <w:spacing w:val="5"/>
          <w:sz w:val="16"/>
        </w:rPr>
        <w:t xml:space="preserve">ALAMINO, </w:t>
      </w:r>
      <w:r>
        <w:rPr>
          <w:sz w:val="16"/>
        </w:rPr>
        <w:t>Renata de Carvalho Jimenez. Recursos minerais &amp; sustentabilidade territorial:</w:t>
      </w:r>
      <w:r>
        <w:rPr>
          <w:spacing w:val="10"/>
          <w:sz w:val="16"/>
        </w:rPr>
        <w:t xml:space="preserve"> </w:t>
      </w:r>
      <w:r>
        <w:rPr>
          <w:sz w:val="16"/>
        </w:rPr>
        <w:t>v.</w:t>
      </w:r>
      <w:r>
        <w:rPr>
          <w:spacing w:val="10"/>
          <w:sz w:val="16"/>
        </w:rPr>
        <w:t xml:space="preserve"> </w:t>
      </w:r>
      <w:r>
        <w:rPr>
          <w:sz w:val="16"/>
        </w:rPr>
        <w:t>1.</w:t>
      </w:r>
      <w:r>
        <w:rPr>
          <w:spacing w:val="10"/>
          <w:sz w:val="16"/>
        </w:rPr>
        <w:t xml:space="preserve"> </w:t>
      </w:r>
      <w:r>
        <w:rPr>
          <w:sz w:val="16"/>
        </w:rPr>
        <w:t>Grandes</w:t>
      </w:r>
      <w:r>
        <w:rPr>
          <w:spacing w:val="10"/>
          <w:sz w:val="16"/>
        </w:rPr>
        <w:t xml:space="preserve"> </w:t>
      </w:r>
      <w:r>
        <w:rPr>
          <w:sz w:val="16"/>
        </w:rPr>
        <w:t>Minas</w:t>
      </w:r>
      <w:r>
        <w:rPr>
          <w:spacing w:val="10"/>
          <w:sz w:val="16"/>
        </w:rPr>
        <w:t xml:space="preserve"> </w:t>
      </w:r>
      <w:r>
        <w:rPr>
          <w:sz w:val="16"/>
        </w:rPr>
        <w:t>e</w:t>
      </w:r>
      <w:r>
        <w:rPr>
          <w:spacing w:val="10"/>
          <w:sz w:val="16"/>
        </w:rPr>
        <w:t xml:space="preserve"> </w:t>
      </w:r>
      <w:r>
        <w:rPr>
          <w:sz w:val="16"/>
        </w:rPr>
        <w:t>Comunidades</w:t>
      </w:r>
      <w:r>
        <w:rPr>
          <w:spacing w:val="10"/>
          <w:sz w:val="16"/>
        </w:rPr>
        <w:t xml:space="preserve"> </w:t>
      </w:r>
      <w:r>
        <w:rPr>
          <w:sz w:val="16"/>
        </w:rPr>
        <w:t>Locais</w:t>
      </w:r>
      <w:r>
        <w:rPr>
          <w:spacing w:val="10"/>
          <w:sz w:val="16"/>
        </w:rPr>
        <w:t xml:space="preserve"> </w:t>
      </w:r>
      <w:r>
        <w:rPr>
          <w:sz w:val="16"/>
        </w:rPr>
        <w:t>CETEM/MCTI,</w:t>
      </w:r>
    </w:p>
    <w:p w:rsidR="00D81F69" w:rsidRDefault="00330118">
      <w:pPr>
        <w:tabs>
          <w:tab w:val="left" w:pos="1785"/>
          <w:tab w:val="left" w:pos="4548"/>
        </w:tabs>
        <w:spacing w:before="5"/>
        <w:ind w:left="100"/>
        <w:jc w:val="both"/>
        <w:rPr>
          <w:sz w:val="16"/>
        </w:rPr>
      </w:pPr>
      <w:r>
        <w:rPr>
          <w:sz w:val="16"/>
        </w:rPr>
        <w:t xml:space="preserve">2   0   1  </w:t>
      </w:r>
      <w:r>
        <w:rPr>
          <w:spacing w:val="35"/>
          <w:sz w:val="16"/>
        </w:rPr>
        <w:t xml:space="preserve"> </w:t>
      </w:r>
      <w:r>
        <w:rPr>
          <w:sz w:val="16"/>
        </w:rPr>
        <w:t xml:space="preserve">1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97"/>
        <w:jc w:val="both"/>
        <w:rPr>
          <w:sz w:val="16"/>
        </w:rPr>
      </w:pPr>
      <w:hyperlink r:id="rId1102">
        <w:r w:rsidR="00330118">
          <w:rPr>
            <w:sz w:val="16"/>
          </w:rPr>
          <w:t>&lt;http://www.cetem.gov.br/workshop/pdf/vol1grandesminas.pdf&gt;.</w:t>
        </w:r>
      </w:hyperlink>
      <w:r w:rsidR="00330118">
        <w:rPr>
          <w:sz w:val="16"/>
        </w:rPr>
        <w:t xml:space="preserve"> Acesso em: 04 nov. 2011.</w:t>
      </w:r>
    </w:p>
    <w:p w:rsidR="00D81F69" w:rsidRDefault="00330118">
      <w:pPr>
        <w:spacing w:before="2" w:line="312" w:lineRule="auto"/>
        <w:ind w:left="100" w:right="74"/>
        <w:jc w:val="both"/>
        <w:rPr>
          <w:sz w:val="16"/>
        </w:rPr>
      </w:pPr>
      <w:r>
        <w:rPr>
          <w:sz w:val="16"/>
        </w:rPr>
        <w:t xml:space="preserve">BRASIL MINERAL. Anglo quer expandir produção com projetos no </w:t>
      </w:r>
      <w:r>
        <w:rPr>
          <w:spacing w:val="20"/>
          <w:sz w:val="16"/>
        </w:rPr>
        <w:t xml:space="preserve">Brasil. </w:t>
      </w:r>
      <w:r>
        <w:rPr>
          <w:spacing w:val="15"/>
          <w:sz w:val="16"/>
        </w:rPr>
        <w:t>São</w:t>
      </w:r>
      <w:r>
        <w:rPr>
          <w:spacing w:val="75"/>
          <w:sz w:val="16"/>
        </w:rPr>
        <w:t xml:space="preserve"> </w:t>
      </w:r>
      <w:r>
        <w:rPr>
          <w:spacing w:val="20"/>
          <w:sz w:val="16"/>
        </w:rPr>
        <w:t xml:space="preserve">Paulo, </w:t>
      </w:r>
      <w:r>
        <w:rPr>
          <w:spacing w:val="11"/>
          <w:sz w:val="16"/>
        </w:rPr>
        <w:t xml:space="preserve">16 </w:t>
      </w:r>
      <w:r>
        <w:rPr>
          <w:spacing w:val="17"/>
          <w:sz w:val="16"/>
        </w:rPr>
        <w:t xml:space="preserve">dez. </w:t>
      </w:r>
      <w:r>
        <w:rPr>
          <w:spacing w:val="20"/>
          <w:sz w:val="16"/>
        </w:rPr>
        <w:t xml:space="preserve">2009. </w:t>
      </w:r>
      <w:r>
        <w:rPr>
          <w:spacing w:val="21"/>
          <w:sz w:val="16"/>
        </w:rPr>
        <w:t>Disponível</w:t>
      </w:r>
      <w:r>
        <w:rPr>
          <w:spacing w:val="20"/>
          <w:sz w:val="16"/>
        </w:rPr>
        <w:t xml:space="preserve"> </w:t>
      </w:r>
      <w:r>
        <w:rPr>
          <w:spacing w:val="15"/>
          <w:sz w:val="16"/>
        </w:rPr>
        <w:t>em:</w:t>
      </w:r>
      <w:r>
        <w:rPr>
          <w:spacing w:val="-19"/>
          <w:sz w:val="16"/>
        </w:rPr>
        <w:t xml:space="preserve"> </w:t>
      </w:r>
    </w:p>
    <w:p w:rsidR="00D81F69" w:rsidRDefault="00D81F69">
      <w:pPr>
        <w:spacing w:before="2" w:line="312" w:lineRule="auto"/>
        <w:ind w:left="100" w:right="122"/>
        <w:jc w:val="both"/>
        <w:rPr>
          <w:sz w:val="16"/>
        </w:rPr>
      </w:pPr>
      <w:hyperlink r:id="rId1103">
        <w:r w:rsidR="00330118">
          <w:rPr>
            <w:sz w:val="16"/>
          </w:rPr>
          <w:t>&lt;http://www.brasilmineral.com.br/BM/default.asp?COD=4637&amp;busca=</w:t>
        </w:r>
      </w:hyperlink>
      <w:r w:rsidR="00330118">
        <w:rPr>
          <w:sz w:val="16"/>
        </w:rPr>
        <w:t xml:space="preserve"> &amp;numero=432&gt;. Acesso em: 07 ago. 2010.</w:t>
      </w:r>
    </w:p>
    <w:p w:rsidR="00D81F69" w:rsidRDefault="00330118">
      <w:pPr>
        <w:spacing w:before="1" w:line="312" w:lineRule="auto"/>
        <w:ind w:left="100" w:right="116"/>
        <w:jc w:val="both"/>
        <w:rPr>
          <w:sz w:val="16"/>
        </w:rPr>
      </w:pPr>
      <w:r>
        <w:rPr>
          <w:sz w:val="16"/>
        </w:rPr>
        <w:t xml:space="preserve">CAMARGO CORRÊA. Sistema Minas-Rio: Maior mineroduto do mundo está sendo </w:t>
      </w:r>
      <w:r>
        <w:rPr>
          <w:sz w:val="16"/>
        </w:rPr>
        <w:t xml:space="preserve">construído no Brasil. In: Metalica.com.br, São </w:t>
      </w:r>
      <w:hyperlink r:id="rId1104">
        <w:r>
          <w:rPr>
            <w:sz w:val="16"/>
          </w:rPr>
          <w:t>Paulo. Disponível em: &lt;http://www.metalica.com.br/sistema-minas-rio-</w:t>
        </w:r>
      </w:hyperlink>
      <w:r>
        <w:rPr>
          <w:sz w:val="16"/>
        </w:rPr>
        <w:t xml:space="preserve"> maior-mineroduto-do-mundo-no-brasil/&gt;. Acesso em: 07 ago. 2010.</w:t>
      </w:r>
    </w:p>
    <w:p w:rsidR="00D81F69" w:rsidRDefault="00330118">
      <w:pPr>
        <w:tabs>
          <w:tab w:val="left" w:pos="4331"/>
        </w:tabs>
        <w:spacing w:before="70" w:line="312" w:lineRule="auto"/>
        <w:ind w:left="100" w:right="196"/>
        <w:jc w:val="both"/>
        <w:rPr>
          <w:sz w:val="16"/>
        </w:rPr>
      </w:pPr>
      <w:r>
        <w:br w:type="column"/>
      </w:r>
      <w:r>
        <w:rPr>
          <w:spacing w:val="5"/>
          <w:sz w:val="16"/>
        </w:rPr>
        <w:lastRenderedPageBreak/>
        <w:t>COSTA, Breno</w:t>
      </w:r>
      <w:r>
        <w:rPr>
          <w:spacing w:val="5"/>
          <w:sz w:val="16"/>
        </w:rPr>
        <w:t xml:space="preserve">. Justiça </w:t>
      </w:r>
      <w:r>
        <w:rPr>
          <w:spacing w:val="2"/>
          <w:sz w:val="16"/>
        </w:rPr>
        <w:t xml:space="preserve">de </w:t>
      </w:r>
      <w:r>
        <w:rPr>
          <w:spacing w:val="5"/>
          <w:sz w:val="16"/>
        </w:rPr>
        <w:t xml:space="preserve">Minas Gerais suspende projeto </w:t>
      </w:r>
      <w:r>
        <w:rPr>
          <w:spacing w:val="6"/>
          <w:sz w:val="16"/>
        </w:rPr>
        <w:t xml:space="preserve">de </w:t>
      </w:r>
      <w:r>
        <w:rPr>
          <w:sz w:val="16"/>
        </w:rPr>
        <w:t xml:space="preserve">exploração de ferro. Folha Online, São Paulo, 3 ago. 2009. </w:t>
      </w:r>
      <w:r>
        <w:rPr>
          <w:spacing w:val="1"/>
          <w:sz w:val="16"/>
        </w:rPr>
        <w:t xml:space="preserve">2009a.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194"/>
        <w:jc w:val="both"/>
        <w:rPr>
          <w:sz w:val="16"/>
        </w:rPr>
      </w:pPr>
      <w:hyperlink r:id="rId1105">
        <w:r w:rsidR="00330118">
          <w:rPr>
            <w:sz w:val="16"/>
          </w:rPr>
          <w:t>&lt;http://www1.folha.uol.com.br/folha/dinheiro/ult91u604456.shtml&gt;.</w:t>
        </w:r>
      </w:hyperlink>
      <w:r w:rsidR="00330118">
        <w:rPr>
          <w:sz w:val="16"/>
        </w:rPr>
        <w:t xml:space="preserve"> Acesso em: 09 ago.2010.</w:t>
      </w:r>
    </w:p>
    <w:p w:rsidR="00D81F69" w:rsidRDefault="00330118">
      <w:pPr>
        <w:spacing w:before="2" w:line="312" w:lineRule="auto"/>
        <w:ind w:left="100" w:right="197"/>
        <w:jc w:val="both"/>
        <w:rPr>
          <w:sz w:val="16"/>
        </w:rPr>
      </w:pPr>
      <w:r>
        <w:rPr>
          <w:sz w:val="16"/>
        </w:rPr>
        <w:t xml:space="preserve">______. STJ destrava licenciamento de mina da Anglo Ferrous em Minas. Folha Online, São </w:t>
      </w:r>
      <w:r>
        <w:rPr>
          <w:sz w:val="16"/>
        </w:rPr>
        <w:t>Paulo, 3 set. 2009. 2009b. Disponível em:</w:t>
      </w:r>
    </w:p>
    <w:p w:rsidR="00D81F69" w:rsidRDefault="00D81F69">
      <w:pPr>
        <w:spacing w:before="1" w:line="312" w:lineRule="auto"/>
        <w:ind w:left="100" w:right="194"/>
        <w:jc w:val="both"/>
        <w:rPr>
          <w:sz w:val="16"/>
        </w:rPr>
      </w:pPr>
      <w:hyperlink r:id="rId1106">
        <w:r w:rsidR="00330118">
          <w:rPr>
            <w:sz w:val="16"/>
          </w:rPr>
          <w:t>&lt;http://www1.folha.uol.com.br/folha/dinheiro/ult91u619255.shtml&gt;.</w:t>
        </w:r>
      </w:hyperlink>
      <w:r w:rsidR="00330118">
        <w:rPr>
          <w:sz w:val="16"/>
        </w:rPr>
        <w:t xml:space="preserve"> Acesso em: 09 ago.2010.</w:t>
      </w:r>
    </w:p>
    <w:p w:rsidR="00D81F69" w:rsidRDefault="00330118">
      <w:pPr>
        <w:spacing w:before="2" w:line="312" w:lineRule="auto"/>
        <w:ind w:left="100" w:right="190"/>
        <w:jc w:val="both"/>
        <w:rPr>
          <w:sz w:val="16"/>
        </w:rPr>
      </w:pPr>
      <w:r>
        <w:rPr>
          <w:sz w:val="16"/>
        </w:rPr>
        <w:t>DURÃO, Vera Saavedra. Anglo American obtém l</w:t>
      </w:r>
      <w:r>
        <w:rPr>
          <w:sz w:val="16"/>
        </w:rPr>
        <w:t>icenças para Minas- Rio. Valor Online, São Paulo, 21 dez. 2009. Disponível em:</w:t>
      </w:r>
    </w:p>
    <w:p w:rsidR="00D81F69" w:rsidRDefault="00330118">
      <w:pPr>
        <w:spacing w:before="2" w:line="312" w:lineRule="auto"/>
        <w:ind w:left="100" w:right="232"/>
        <w:rPr>
          <w:sz w:val="16"/>
        </w:rPr>
      </w:pPr>
      <w:r>
        <w:rPr>
          <w:sz w:val="16"/>
        </w:rPr>
        <w:t xml:space="preserve">&lt;http://www.valoronline.com.br/?online/empresas/11/6013132/anglo-   </w:t>
      </w:r>
      <w:r>
        <w:rPr>
          <w:spacing w:val="10"/>
          <w:sz w:val="16"/>
        </w:rPr>
        <w:t xml:space="preserve">a m e r i c a n - o b t e m - l i c e n c a s - p a r a </w:t>
      </w:r>
      <w:r>
        <w:rPr>
          <w:sz w:val="16"/>
        </w:rPr>
        <w:t>- minasrio&amp;scrollX=0&amp;scrollY=209&amp;tamFonte=&gt;. Acesso e</w:t>
      </w:r>
      <w:r>
        <w:rPr>
          <w:sz w:val="16"/>
        </w:rPr>
        <w:t>m: 07 ago. 2010.</w:t>
      </w:r>
    </w:p>
    <w:p w:rsidR="00D81F69" w:rsidRDefault="00330118">
      <w:pPr>
        <w:spacing w:before="3" w:line="312" w:lineRule="auto"/>
        <w:ind w:left="100" w:right="166"/>
        <w:jc w:val="both"/>
        <w:rPr>
          <w:sz w:val="16"/>
        </w:rPr>
      </w:pPr>
      <w:r>
        <w:rPr>
          <w:spacing w:val="1"/>
          <w:sz w:val="16"/>
        </w:rPr>
        <w:t xml:space="preserve">ENEBIO, Entidade Nacional </w:t>
      </w:r>
      <w:r>
        <w:rPr>
          <w:sz w:val="16"/>
        </w:rPr>
        <w:t xml:space="preserve">de </w:t>
      </w:r>
      <w:r>
        <w:rPr>
          <w:spacing w:val="1"/>
          <w:sz w:val="16"/>
        </w:rPr>
        <w:t xml:space="preserve">Estudantes </w:t>
      </w:r>
      <w:r>
        <w:rPr>
          <w:sz w:val="16"/>
        </w:rPr>
        <w:t xml:space="preserve">de </w:t>
      </w:r>
      <w:r>
        <w:rPr>
          <w:spacing w:val="1"/>
          <w:sz w:val="16"/>
        </w:rPr>
        <w:t xml:space="preserve">Biologia. </w:t>
      </w:r>
      <w:r>
        <w:rPr>
          <w:spacing w:val="2"/>
          <w:sz w:val="16"/>
        </w:rPr>
        <w:t xml:space="preserve">Recursos </w:t>
      </w:r>
      <w:r>
        <w:rPr>
          <w:sz w:val="16"/>
        </w:rPr>
        <w:t xml:space="preserve">hídricos no Brasil: Estudo de caso. Universidade Federal do Ceará </w:t>
      </w:r>
      <w:r>
        <w:rPr>
          <w:spacing w:val="28"/>
          <w:sz w:val="16"/>
        </w:rPr>
        <w:t xml:space="preserve">(UFC). </w:t>
      </w:r>
      <w:r>
        <w:rPr>
          <w:spacing w:val="30"/>
          <w:sz w:val="16"/>
        </w:rPr>
        <w:t>Fortaleza,</w:t>
      </w:r>
      <w:r>
        <w:rPr>
          <w:spacing w:val="105"/>
          <w:sz w:val="16"/>
        </w:rPr>
        <w:t xml:space="preserve"> </w:t>
      </w:r>
      <w:r>
        <w:rPr>
          <w:spacing w:val="25"/>
          <w:sz w:val="16"/>
        </w:rPr>
        <w:t>jul.</w:t>
      </w:r>
      <w:r>
        <w:rPr>
          <w:spacing w:val="95"/>
          <w:sz w:val="16"/>
        </w:rPr>
        <w:t xml:space="preserve"> </w:t>
      </w:r>
      <w:r>
        <w:rPr>
          <w:spacing w:val="27"/>
          <w:sz w:val="16"/>
        </w:rPr>
        <w:t xml:space="preserve">2009. </w:t>
      </w:r>
      <w:r>
        <w:rPr>
          <w:spacing w:val="30"/>
          <w:sz w:val="16"/>
        </w:rPr>
        <w:t>Disponível</w:t>
      </w:r>
      <w:r>
        <w:rPr>
          <w:spacing w:val="82"/>
          <w:sz w:val="16"/>
        </w:rPr>
        <w:t xml:space="preserve"> </w:t>
      </w:r>
      <w:r>
        <w:rPr>
          <w:spacing w:val="22"/>
          <w:sz w:val="16"/>
        </w:rPr>
        <w:t>em:</w:t>
      </w:r>
      <w:r>
        <w:rPr>
          <w:spacing w:val="-9"/>
          <w:sz w:val="16"/>
        </w:rPr>
        <w:t xml:space="preserve"> </w:t>
      </w:r>
    </w:p>
    <w:p w:rsidR="00D81F69" w:rsidRDefault="00D81F69">
      <w:pPr>
        <w:spacing w:before="2" w:line="312" w:lineRule="auto"/>
        <w:ind w:left="100" w:right="217"/>
        <w:jc w:val="both"/>
        <w:rPr>
          <w:sz w:val="16"/>
        </w:rPr>
      </w:pPr>
      <w:hyperlink r:id="rId1107">
        <w:r w:rsidR="00330118">
          <w:rPr>
            <w:sz w:val="16"/>
          </w:rPr>
          <w:t>&lt;http://d.yimg.com/kq/groups/17805016/1277854277/name/Cartilha1+</w:t>
        </w:r>
      </w:hyperlink>
      <w:r w:rsidR="00330118">
        <w:rPr>
          <w:sz w:val="16"/>
        </w:rPr>
        <w:t xml:space="preserve"> ENEBio+RH.pdf&gt;. Acesso em: 09 ago. 2010.</w:t>
      </w:r>
    </w:p>
    <w:p w:rsidR="00D81F69" w:rsidRDefault="00330118">
      <w:pPr>
        <w:spacing w:before="2" w:line="312" w:lineRule="auto"/>
        <w:ind w:left="100" w:right="159"/>
        <w:jc w:val="both"/>
        <w:rPr>
          <w:sz w:val="16"/>
        </w:rPr>
      </w:pPr>
      <w:r>
        <w:rPr>
          <w:sz w:val="16"/>
        </w:rPr>
        <w:t>FURBINO, Zulmira. Disputa entre mineradoras e preservação deixa cidad</w:t>
      </w:r>
      <w:r>
        <w:rPr>
          <w:sz w:val="16"/>
        </w:rPr>
        <w:t xml:space="preserve">e em pé de guerra. Jornal Estado de Minas. In: Portal Uai, Belo Horizonte, 28 mar. 2010. Disponível em: </w:t>
      </w:r>
    </w:p>
    <w:p w:rsidR="00D81F69" w:rsidRDefault="00D81F69">
      <w:pPr>
        <w:spacing w:before="2" w:line="312" w:lineRule="auto"/>
        <w:ind w:left="100" w:right="196"/>
        <w:jc w:val="both"/>
        <w:rPr>
          <w:sz w:val="16"/>
        </w:rPr>
      </w:pPr>
      <w:hyperlink r:id="rId1108">
        <w:r w:rsidR="00330118">
          <w:rPr>
            <w:sz w:val="16"/>
          </w:rPr>
          <w:t>&lt;http://www.uai.com.br/htmls/app/noticia173/2010/03/28/noticia_econ</w:t>
        </w:r>
      </w:hyperlink>
      <w:r w:rsidR="00330118">
        <w:rPr>
          <w:sz w:val="16"/>
        </w:rPr>
        <w:t xml:space="preserve"> omia,i=153341/DISPUTA+ENTRE+MINERADORAS+E+PRESERVA CAO+DEIXA+CIDADE+EM+PE+DE+GUERRA.shtml&gt;. Acesso </w:t>
      </w:r>
      <w:r w:rsidR="00330118">
        <w:rPr>
          <w:spacing w:val="1"/>
          <w:sz w:val="16"/>
        </w:rPr>
        <w:t xml:space="preserve">em: </w:t>
      </w:r>
      <w:r w:rsidR="00330118">
        <w:rPr>
          <w:sz w:val="16"/>
        </w:rPr>
        <w:t>08 ago.</w:t>
      </w:r>
      <w:r w:rsidR="00330118">
        <w:rPr>
          <w:spacing w:val="-10"/>
          <w:sz w:val="16"/>
        </w:rPr>
        <w:t xml:space="preserve"> </w:t>
      </w:r>
      <w:r w:rsidR="00330118">
        <w:rPr>
          <w:sz w:val="16"/>
        </w:rPr>
        <w:t>2010.</w:t>
      </w:r>
    </w:p>
    <w:p w:rsidR="00D81F69" w:rsidRDefault="00330118">
      <w:pPr>
        <w:tabs>
          <w:tab w:val="left" w:pos="2559"/>
          <w:tab w:val="left" w:pos="5063"/>
        </w:tabs>
        <w:spacing w:before="4" w:line="312" w:lineRule="auto"/>
        <w:ind w:left="100" w:right="200"/>
        <w:jc w:val="both"/>
        <w:rPr>
          <w:sz w:val="16"/>
        </w:rPr>
      </w:pPr>
      <w:r>
        <w:rPr>
          <w:sz w:val="16"/>
        </w:rPr>
        <w:t xml:space="preserve">GOULART, Fernando. Laudo sobre o Relatório de Impacto Ambiental referente ao empreendimento de extração de minério de ferro </w:t>
      </w:r>
      <w:r>
        <w:rPr>
          <w:spacing w:val="1"/>
          <w:sz w:val="16"/>
        </w:rPr>
        <w:t xml:space="preserve">nos </w:t>
      </w:r>
      <w:r>
        <w:rPr>
          <w:sz w:val="16"/>
        </w:rPr>
        <w:t>Municípios de Conceição do Mato Dentro, Alvorada de Minas e Dom Joaquim pela empresa MMX. Belo Horizonte, set. 2007. Disponível    e</w:t>
      </w:r>
      <w:r>
        <w:rPr>
          <w:sz w:val="16"/>
        </w:rPr>
        <w:tab/>
        <w:t>m</w:t>
      </w:r>
      <w:r>
        <w:rPr>
          <w:sz w:val="16"/>
        </w:rPr>
        <w:tab/>
        <w:t>:</w:t>
      </w:r>
    </w:p>
    <w:p w:rsidR="00D81F69" w:rsidRDefault="00D81F69">
      <w:pPr>
        <w:spacing w:before="4" w:line="312" w:lineRule="auto"/>
        <w:ind w:left="100" w:right="183"/>
        <w:jc w:val="both"/>
        <w:rPr>
          <w:sz w:val="16"/>
        </w:rPr>
      </w:pPr>
      <w:hyperlink r:id="rId1109">
        <w:r w:rsidR="00330118">
          <w:rPr>
            <w:sz w:val="16"/>
          </w:rPr>
          <w:t>&lt;http://www.google.com/url?sa=t</w:t>
        </w:r>
        <w:r w:rsidR="00330118">
          <w:rPr>
            <w:sz w:val="16"/>
          </w:rPr>
          <w:t>&amp;source=web&amp;cd=1&amp;ved=0CBQQFj</w:t>
        </w:r>
      </w:hyperlink>
      <w:r w:rsidR="00330118">
        <w:rPr>
          <w:sz w:val="16"/>
        </w:rPr>
        <w:t xml:space="preserve"> AA&amp;url=http%3A%2F%2F200.198.22.171%2Fdown.asp%3Fx_camin ho%3Dreunioes%2Fsistema%2Farquivos%2Fmaterial%2F%26x_nom </w:t>
      </w:r>
      <w:r w:rsidR="00330118">
        <w:rPr>
          <w:spacing w:val="28"/>
          <w:sz w:val="16"/>
        </w:rPr>
        <w:t xml:space="preserve">e%3DLaudo_sobre_RIMA_-_Anglo_Ferrous_Minas- </w:t>
      </w:r>
      <w:r w:rsidR="00330118">
        <w:rPr>
          <w:sz w:val="16"/>
        </w:rPr>
        <w:t>Rio_Minera%25E7%25E3o_S.A.pdf&amp;ei=_KdlTJ_PLYK78gbrqJiRCA&amp; u s g = A F Q</w:t>
      </w:r>
      <w:r w:rsidR="00330118">
        <w:rPr>
          <w:sz w:val="16"/>
        </w:rPr>
        <w:t xml:space="preserve"> j C N H R 3 p D k V l l s v k X W l - crOKQbJ3xhJA&amp;sig2=JeJRfnfom3I0sHJIRS_Msw&gt;. Acesso em: 08 ago.</w:t>
      </w:r>
      <w:r w:rsidR="00330118">
        <w:rPr>
          <w:spacing w:val="13"/>
          <w:sz w:val="16"/>
        </w:rPr>
        <w:t xml:space="preserve"> </w:t>
      </w:r>
      <w:r w:rsidR="00330118">
        <w:rPr>
          <w:sz w:val="16"/>
        </w:rPr>
        <w:t>2010.</w:t>
      </w:r>
    </w:p>
    <w:p w:rsidR="00D81F69" w:rsidRDefault="00330118">
      <w:pPr>
        <w:spacing w:before="6" w:line="312" w:lineRule="auto"/>
        <w:ind w:left="100" w:right="197"/>
        <w:jc w:val="both"/>
        <w:rPr>
          <w:sz w:val="16"/>
        </w:rPr>
      </w:pPr>
      <w:r>
        <w:rPr>
          <w:sz w:val="16"/>
        </w:rPr>
        <w:t>HOJE EM DIA. Decreto garante desapropriações para mineroduto da MMX. In: IBRAM - Instituto Brasileiro de Mineração, Brasília, 7 mar.</w:t>
      </w:r>
    </w:p>
    <w:p w:rsidR="00D81F69" w:rsidRDefault="00330118">
      <w:pPr>
        <w:tabs>
          <w:tab w:val="left" w:pos="1785"/>
          <w:tab w:val="left" w:pos="4548"/>
        </w:tabs>
        <w:spacing w:before="2"/>
        <w:ind w:left="100"/>
        <w:jc w:val="both"/>
        <w:rPr>
          <w:sz w:val="16"/>
        </w:rPr>
      </w:pPr>
      <w:r>
        <w:rPr>
          <w:sz w:val="16"/>
        </w:rPr>
        <w:t xml:space="preserve">2   0   0  </w:t>
      </w:r>
      <w:r>
        <w:rPr>
          <w:spacing w:val="35"/>
          <w:sz w:val="16"/>
        </w:rPr>
        <w:t xml:space="preserve"> </w:t>
      </w:r>
      <w:r>
        <w:rPr>
          <w:sz w:val="16"/>
        </w:rPr>
        <w:t xml:space="preserve">8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16"/>
        <w:jc w:val="both"/>
        <w:rPr>
          <w:sz w:val="16"/>
        </w:rPr>
      </w:pPr>
      <w:hyperlink r:id="rId1110">
        <w:r w:rsidR="00330118">
          <w:rPr>
            <w:sz w:val="16"/>
          </w:rPr>
          <w:t>&lt;http://www.ibram.org.br/003/00301009.asp?ttCD_CHAVE=52660&gt;.A</w:t>
        </w:r>
      </w:hyperlink>
      <w:r w:rsidR="00330118">
        <w:rPr>
          <w:sz w:val="16"/>
        </w:rPr>
        <w:t xml:space="preserve"> cesso em: 14 ago. 2010.</w:t>
      </w:r>
    </w:p>
    <w:p w:rsidR="00D81F69" w:rsidRDefault="00330118">
      <w:pPr>
        <w:spacing w:before="2" w:line="312" w:lineRule="auto"/>
        <w:ind w:left="100" w:right="188"/>
        <w:jc w:val="both"/>
        <w:rPr>
          <w:sz w:val="16"/>
        </w:rPr>
      </w:pPr>
      <w:r>
        <w:rPr>
          <w:sz w:val="16"/>
        </w:rPr>
        <w:t>IBGE. Instituto Brasileiro de Geografia e Estatística. Conceição do Mato Dentro (MG). In: IBGE Cidades, 2010. Disponível em:</w:t>
      </w:r>
    </w:p>
    <w:p w:rsidR="00D81F69" w:rsidRDefault="00D81F69">
      <w:pPr>
        <w:spacing w:before="1"/>
        <w:ind w:left="100"/>
        <w:jc w:val="both"/>
        <w:rPr>
          <w:sz w:val="16"/>
        </w:rPr>
      </w:pPr>
      <w:hyperlink r:id="rId1111">
        <w:r w:rsidR="00330118">
          <w:rPr>
            <w:sz w:val="16"/>
          </w:rPr>
          <w:t>&lt;http://www.ibge.gov.br/cidadesat/xtras/perf</w:t>
        </w:r>
        <w:r w:rsidR="00330118">
          <w:rPr>
            <w:sz w:val="16"/>
          </w:rPr>
          <w:t>il.php?codmun=311750&amp;r</w:t>
        </w:r>
      </w:hyperlink>
    </w:p>
    <w:p w:rsidR="00D81F69" w:rsidRDefault="00330118">
      <w:pPr>
        <w:spacing w:before="56"/>
        <w:ind w:left="100"/>
        <w:jc w:val="both"/>
        <w:rPr>
          <w:sz w:val="16"/>
        </w:rPr>
      </w:pPr>
      <w:r>
        <w:rPr>
          <w:sz w:val="16"/>
        </w:rPr>
        <w:t>=2&gt;. Acesso em: 03 nov. 2011.</w:t>
      </w:r>
    </w:p>
    <w:p w:rsidR="00D81F69" w:rsidRDefault="00330118">
      <w:pPr>
        <w:spacing w:before="56" w:line="312" w:lineRule="auto"/>
        <w:ind w:left="100" w:right="161"/>
        <w:jc w:val="both"/>
        <w:rPr>
          <w:sz w:val="16"/>
        </w:rPr>
      </w:pPr>
      <w:r>
        <w:rPr>
          <w:sz w:val="16"/>
        </w:rPr>
        <w:t xml:space="preserve">KATTAH, Eduardo; MASSOTE, Raquel. MPF pede paralisação de obras do mineroduto Minas-Rio. Agência Estado. In: Estadão.com.br, </w:t>
      </w:r>
      <w:r>
        <w:rPr>
          <w:spacing w:val="25"/>
          <w:sz w:val="16"/>
        </w:rPr>
        <w:t xml:space="preserve">São </w:t>
      </w:r>
      <w:r>
        <w:rPr>
          <w:spacing w:val="30"/>
          <w:sz w:val="16"/>
        </w:rPr>
        <w:t>Paulo,</w:t>
      </w:r>
      <w:r>
        <w:rPr>
          <w:spacing w:val="105"/>
          <w:sz w:val="16"/>
        </w:rPr>
        <w:t xml:space="preserve"> </w:t>
      </w:r>
      <w:r>
        <w:rPr>
          <w:spacing w:val="18"/>
          <w:sz w:val="16"/>
        </w:rPr>
        <w:t xml:space="preserve">12 </w:t>
      </w:r>
      <w:r>
        <w:rPr>
          <w:spacing w:val="27"/>
          <w:sz w:val="16"/>
        </w:rPr>
        <w:t xml:space="preserve">ago. </w:t>
      </w:r>
      <w:r>
        <w:rPr>
          <w:spacing w:val="30"/>
          <w:sz w:val="16"/>
        </w:rPr>
        <w:t xml:space="preserve">2009. </w:t>
      </w:r>
      <w:r>
        <w:rPr>
          <w:spacing w:val="33"/>
          <w:sz w:val="16"/>
        </w:rPr>
        <w:t>Disponível</w:t>
      </w:r>
      <w:r>
        <w:rPr>
          <w:spacing w:val="32"/>
          <w:sz w:val="16"/>
        </w:rPr>
        <w:t xml:space="preserve"> </w:t>
      </w:r>
      <w:r>
        <w:rPr>
          <w:spacing w:val="25"/>
          <w:sz w:val="16"/>
        </w:rPr>
        <w:t>em:</w:t>
      </w:r>
      <w:r>
        <w:rPr>
          <w:spacing w:val="-5"/>
          <w:sz w:val="16"/>
        </w:rPr>
        <w:t xml:space="preserve"> </w:t>
      </w:r>
    </w:p>
    <w:p w:rsidR="00D81F69" w:rsidRDefault="00D81F69">
      <w:pPr>
        <w:spacing w:before="3" w:line="312" w:lineRule="auto"/>
        <w:ind w:left="100" w:right="213"/>
        <w:jc w:val="both"/>
        <w:rPr>
          <w:sz w:val="16"/>
        </w:rPr>
      </w:pPr>
      <w:hyperlink r:id="rId1112">
        <w:r w:rsidR="00330118">
          <w:rPr>
            <w:sz w:val="16"/>
          </w:rPr>
          <w:t>&lt;http://www.estadao.com.br/noticias/economia,mpf-pede-paralisacao-</w:t>
        </w:r>
      </w:hyperlink>
      <w:r w:rsidR="00330118">
        <w:rPr>
          <w:sz w:val="16"/>
        </w:rPr>
        <w:t xml:space="preserve"> de-obras-do-mineroduto-minas-rio,417799,0.htm&gt;. Acesso em: 07 ago. 2010.</w:t>
      </w:r>
    </w:p>
    <w:p w:rsidR="00D81F69" w:rsidRDefault="00330118">
      <w:pPr>
        <w:spacing w:before="2" w:line="312" w:lineRule="auto"/>
        <w:ind w:left="100" w:right="176"/>
        <w:jc w:val="both"/>
        <w:rPr>
          <w:sz w:val="16"/>
        </w:rPr>
      </w:pPr>
      <w:r>
        <w:rPr>
          <w:sz w:val="16"/>
        </w:rPr>
        <w:t>LAGUNA, Eduardo. Projeto da Anglo</w:t>
      </w:r>
      <w:r>
        <w:rPr>
          <w:sz w:val="16"/>
        </w:rPr>
        <w:t xml:space="preserve"> American no Brasil atrasa. Valor </w:t>
      </w:r>
      <w:r>
        <w:rPr>
          <w:spacing w:val="20"/>
          <w:sz w:val="16"/>
        </w:rPr>
        <w:t>Online,</w:t>
      </w:r>
      <w:r>
        <w:rPr>
          <w:spacing w:val="85"/>
          <w:sz w:val="16"/>
        </w:rPr>
        <w:t xml:space="preserve"> </w:t>
      </w:r>
      <w:r>
        <w:rPr>
          <w:spacing w:val="15"/>
          <w:sz w:val="16"/>
        </w:rPr>
        <w:t>São</w:t>
      </w:r>
      <w:r>
        <w:rPr>
          <w:spacing w:val="75"/>
          <w:sz w:val="16"/>
        </w:rPr>
        <w:t xml:space="preserve"> </w:t>
      </w:r>
      <w:r>
        <w:rPr>
          <w:spacing w:val="20"/>
          <w:sz w:val="16"/>
        </w:rPr>
        <w:t xml:space="preserve">Paulo, </w:t>
      </w:r>
      <w:r>
        <w:rPr>
          <w:spacing w:val="11"/>
          <w:sz w:val="16"/>
        </w:rPr>
        <w:t xml:space="preserve">30 </w:t>
      </w:r>
      <w:r>
        <w:rPr>
          <w:spacing w:val="17"/>
          <w:sz w:val="16"/>
        </w:rPr>
        <w:t xml:space="preserve">jul. </w:t>
      </w:r>
      <w:r>
        <w:rPr>
          <w:spacing w:val="20"/>
          <w:sz w:val="16"/>
        </w:rPr>
        <w:t xml:space="preserve">2010. </w:t>
      </w:r>
      <w:r>
        <w:rPr>
          <w:spacing w:val="21"/>
          <w:sz w:val="16"/>
        </w:rPr>
        <w:t>Disponível</w:t>
      </w:r>
      <w:r>
        <w:rPr>
          <w:spacing w:val="20"/>
          <w:sz w:val="16"/>
        </w:rPr>
        <w:t xml:space="preserve"> </w:t>
      </w:r>
      <w:r>
        <w:rPr>
          <w:spacing w:val="15"/>
          <w:sz w:val="16"/>
        </w:rPr>
        <w:t>em:</w:t>
      </w:r>
      <w:r>
        <w:rPr>
          <w:spacing w:val="-19"/>
          <w:sz w:val="16"/>
        </w:rPr>
        <w:t xml:space="preserve"> </w:t>
      </w:r>
    </w:p>
    <w:p w:rsidR="00D81F69" w:rsidRDefault="00330118">
      <w:pPr>
        <w:spacing w:before="2" w:line="312" w:lineRule="auto"/>
        <w:ind w:left="100" w:right="196"/>
        <w:jc w:val="both"/>
        <w:rPr>
          <w:sz w:val="16"/>
        </w:rPr>
      </w:pPr>
      <w:r>
        <w:rPr>
          <w:sz w:val="16"/>
        </w:rPr>
        <w:t xml:space="preserve">&lt;http://www.valoronline.com.br/?online/mineracao/185/6409582/projet o-da-anglo-american-no-brasil-atrasa#ixzz0w2raRgrv&gt;. Acesso </w:t>
      </w:r>
      <w:r>
        <w:rPr>
          <w:spacing w:val="1"/>
          <w:sz w:val="16"/>
        </w:rPr>
        <w:t xml:space="preserve">em: </w:t>
      </w:r>
      <w:r>
        <w:rPr>
          <w:sz w:val="16"/>
        </w:rPr>
        <w:t>08 ago.</w:t>
      </w:r>
      <w:r>
        <w:rPr>
          <w:spacing w:val="-16"/>
          <w:sz w:val="16"/>
        </w:rPr>
        <w:t xml:space="preserve"> </w:t>
      </w:r>
      <w:r>
        <w:rPr>
          <w:sz w:val="16"/>
        </w:rPr>
        <w:t>2010.</w:t>
      </w:r>
    </w:p>
    <w:p w:rsidR="00D81F69" w:rsidRDefault="00330118">
      <w:pPr>
        <w:spacing w:before="2"/>
        <w:ind w:left="100"/>
        <w:jc w:val="both"/>
        <w:rPr>
          <w:sz w:val="16"/>
        </w:rPr>
      </w:pPr>
      <w:r>
        <w:rPr>
          <w:sz w:val="16"/>
        </w:rPr>
        <w:t>MAPA  DA  INJUSTIÇA  AMBIEN</w:t>
      </w:r>
      <w:r>
        <w:rPr>
          <w:sz w:val="16"/>
        </w:rPr>
        <w:t>TAL  E   SAÚDE  NO BRASIL.</w:t>
      </w:r>
    </w:p>
    <w:p w:rsidR="00D81F69" w:rsidRDefault="00330118">
      <w:pPr>
        <w:spacing w:line="240" w:lineRule="atLeast"/>
        <w:ind w:left="100" w:right="193"/>
        <w:jc w:val="both"/>
        <w:rPr>
          <w:sz w:val="16"/>
        </w:rPr>
      </w:pPr>
      <w:r>
        <w:rPr>
          <w:sz w:val="16"/>
        </w:rPr>
        <w:t>Mineração e transposição de águas para grande empresa é licenciada de forma irregular pelos governos estadual e federal, condenando uma das áreas com patrimônio natural e cultural mais</w:t>
      </w:r>
    </w:p>
    <w:p w:rsidR="00D81F69" w:rsidRDefault="00D81F69">
      <w:pPr>
        <w:spacing w:line="240" w:lineRule="atLeast"/>
        <w:jc w:val="both"/>
        <w:rPr>
          <w:sz w:val="16"/>
        </w:rPr>
        <w:sectPr w:rsidR="00D81F69">
          <w:pgSz w:w="11900" w:h="16840"/>
          <w:pgMar w:top="740" w:right="500" w:bottom="640" w:left="620" w:header="0" w:footer="402" w:gutter="0"/>
          <w:cols w:num="2" w:space="720" w:equalWidth="0">
            <w:col w:w="5216" w:space="254"/>
            <w:col w:w="5310"/>
          </w:cols>
        </w:sectPr>
      </w:pPr>
    </w:p>
    <w:p w:rsidR="00D81F69" w:rsidRDefault="00330118">
      <w:pPr>
        <w:spacing w:before="70"/>
        <w:ind w:left="100"/>
        <w:rPr>
          <w:sz w:val="16"/>
        </w:rPr>
      </w:pPr>
      <w:r>
        <w:rPr>
          <w:sz w:val="16"/>
        </w:rPr>
        <w:lastRenderedPageBreak/>
        <w:t xml:space="preserve">significativos </w:t>
      </w:r>
      <w:r>
        <w:rPr>
          <w:sz w:val="16"/>
        </w:rPr>
        <w:t>de Minas Gerais, 21 dez. 2009. Disponível em:</w:t>
      </w:r>
    </w:p>
    <w:p w:rsidR="00D81F69" w:rsidRDefault="00D81F69">
      <w:pPr>
        <w:spacing w:before="56" w:line="312" w:lineRule="auto"/>
        <w:ind w:left="100" w:right="90"/>
        <w:jc w:val="both"/>
        <w:rPr>
          <w:sz w:val="16"/>
        </w:rPr>
      </w:pPr>
      <w:hyperlink r:id="rId1113">
        <w:r w:rsidR="00330118">
          <w:rPr>
            <w:sz w:val="16"/>
          </w:rPr>
          <w:t>&lt;http://www.conflitoambiental.icict.fiocruz.br/index.php?pag=ficha&amp;co</w:t>
        </w:r>
      </w:hyperlink>
      <w:r w:rsidR="00330118">
        <w:rPr>
          <w:sz w:val="16"/>
        </w:rPr>
        <w:t xml:space="preserve"> d=229&gt;. Acesso em: 04 nov. 2011.</w:t>
      </w:r>
    </w:p>
    <w:p w:rsidR="00D81F69" w:rsidRDefault="00330118">
      <w:pPr>
        <w:spacing w:before="1" w:line="312" w:lineRule="auto"/>
        <w:ind w:left="100" w:right="66"/>
        <w:jc w:val="both"/>
        <w:rPr>
          <w:sz w:val="16"/>
        </w:rPr>
      </w:pPr>
      <w:r>
        <w:rPr>
          <w:sz w:val="16"/>
        </w:rPr>
        <w:t>MAXPRESS. Anglo American promove ações socioambientais nas comunidades de Catuné e Água Santa de Minas. In: IBRAM - Instituto Brasileiro de Mineração, Brasília, 10 jun. 2010. Disponível em:</w:t>
      </w:r>
    </w:p>
    <w:p w:rsidR="00D81F69" w:rsidRDefault="00D81F69">
      <w:pPr>
        <w:spacing w:before="3" w:line="312" w:lineRule="auto"/>
        <w:ind w:left="100" w:right="72"/>
        <w:jc w:val="both"/>
        <w:rPr>
          <w:sz w:val="16"/>
        </w:rPr>
      </w:pPr>
      <w:hyperlink r:id="rId1114">
        <w:r w:rsidR="00330118">
          <w:rPr>
            <w:sz w:val="16"/>
          </w:rPr>
          <w:t>&lt;http://www.ibram.org.br/150/15001002.asp?ttCD_CHAVE=113034&gt;.</w:t>
        </w:r>
      </w:hyperlink>
      <w:r w:rsidR="00330118">
        <w:rPr>
          <w:sz w:val="16"/>
        </w:rPr>
        <w:t xml:space="preserve"> Acesso em: 15 set. 2010.</w:t>
      </w:r>
    </w:p>
    <w:p w:rsidR="00D81F69" w:rsidRDefault="00330118">
      <w:pPr>
        <w:tabs>
          <w:tab w:val="left" w:pos="1304"/>
          <w:tab w:val="left" w:pos="4613"/>
        </w:tabs>
        <w:spacing w:before="1" w:line="312" w:lineRule="auto"/>
        <w:ind w:left="100" w:right="73"/>
        <w:jc w:val="both"/>
        <w:rPr>
          <w:sz w:val="16"/>
        </w:rPr>
      </w:pPr>
      <w:r>
        <w:rPr>
          <w:sz w:val="16"/>
        </w:rPr>
        <w:t xml:space="preserve">MINE BLOG. Minas-Rio obtém licenças de instalação. São Paulo, 17 d   e </w:t>
      </w:r>
      <w:r>
        <w:rPr>
          <w:spacing w:val="5"/>
          <w:sz w:val="16"/>
        </w:rPr>
        <w:t xml:space="preserve"> </w:t>
      </w:r>
      <w:r>
        <w:rPr>
          <w:sz w:val="16"/>
        </w:rPr>
        <w:t xml:space="preserve">z </w:t>
      </w:r>
      <w:r>
        <w:rPr>
          <w:spacing w:val="25"/>
          <w:sz w:val="16"/>
        </w:rPr>
        <w:t xml:space="preserve"> </w:t>
      </w:r>
      <w:r>
        <w:rPr>
          <w:sz w:val="16"/>
        </w:rPr>
        <w:t>.</w:t>
      </w:r>
      <w:r>
        <w:rPr>
          <w:sz w:val="16"/>
        </w:rPr>
        <w:tab/>
        <w:t xml:space="preserve">2 </w:t>
      </w:r>
      <w:r>
        <w:rPr>
          <w:spacing w:val="25"/>
          <w:sz w:val="16"/>
        </w:rPr>
        <w:t xml:space="preserve"> </w:t>
      </w:r>
      <w:r>
        <w:rPr>
          <w:sz w:val="16"/>
        </w:rPr>
        <w:t xml:space="preserve">0 </w:t>
      </w:r>
      <w:r>
        <w:rPr>
          <w:spacing w:val="25"/>
          <w:sz w:val="16"/>
        </w:rPr>
        <w:t xml:space="preserve"> </w:t>
      </w:r>
      <w:r>
        <w:rPr>
          <w:sz w:val="16"/>
        </w:rPr>
        <w:t xml:space="preserve">0 </w:t>
      </w:r>
      <w:r>
        <w:rPr>
          <w:spacing w:val="25"/>
          <w:sz w:val="16"/>
        </w:rPr>
        <w:t xml:space="preserve"> </w:t>
      </w:r>
      <w:r>
        <w:rPr>
          <w:sz w:val="16"/>
        </w:rPr>
        <w:t xml:space="preserve">9 </w:t>
      </w:r>
      <w:r>
        <w:rPr>
          <w:spacing w:val="25"/>
          <w:sz w:val="16"/>
        </w:rPr>
        <w:t xml:space="preserve"> </w:t>
      </w:r>
      <w:r>
        <w:rPr>
          <w:sz w:val="16"/>
        </w:rPr>
        <w:t xml:space="preserve">. </w:t>
      </w:r>
      <w:r>
        <w:rPr>
          <w:spacing w:val="25"/>
          <w:sz w:val="16"/>
        </w:rPr>
        <w:t xml:space="preserve"> </w:t>
      </w:r>
      <w:r>
        <w:rPr>
          <w:sz w:val="16"/>
        </w:rPr>
        <w:t xml:space="preserve">D </w:t>
      </w:r>
      <w:r>
        <w:rPr>
          <w:spacing w:val="25"/>
          <w:sz w:val="16"/>
        </w:rPr>
        <w:t xml:space="preserve"> </w:t>
      </w:r>
      <w:r>
        <w:rPr>
          <w:sz w:val="16"/>
        </w:rPr>
        <w:t xml:space="preserve">i </w:t>
      </w:r>
      <w:r>
        <w:rPr>
          <w:spacing w:val="25"/>
          <w:sz w:val="16"/>
        </w:rPr>
        <w:t xml:space="preserve"> </w:t>
      </w:r>
      <w:r>
        <w:rPr>
          <w:sz w:val="16"/>
        </w:rPr>
        <w:t xml:space="preserve">s </w:t>
      </w:r>
      <w:r>
        <w:rPr>
          <w:spacing w:val="25"/>
          <w:sz w:val="16"/>
        </w:rPr>
        <w:t xml:space="preserve"> </w:t>
      </w:r>
      <w:r>
        <w:rPr>
          <w:sz w:val="16"/>
        </w:rPr>
        <w:t xml:space="preserve">p </w:t>
      </w:r>
      <w:r>
        <w:rPr>
          <w:spacing w:val="25"/>
          <w:sz w:val="16"/>
        </w:rPr>
        <w:t xml:space="preserve"> </w:t>
      </w:r>
      <w:r>
        <w:rPr>
          <w:sz w:val="16"/>
        </w:rPr>
        <w:t xml:space="preserve">o </w:t>
      </w:r>
      <w:r>
        <w:rPr>
          <w:spacing w:val="25"/>
          <w:sz w:val="16"/>
        </w:rPr>
        <w:t xml:space="preserve"> </w:t>
      </w:r>
      <w:r>
        <w:rPr>
          <w:sz w:val="16"/>
        </w:rPr>
        <w:t xml:space="preserve">n </w:t>
      </w:r>
      <w:r>
        <w:rPr>
          <w:spacing w:val="25"/>
          <w:sz w:val="16"/>
        </w:rPr>
        <w:t xml:space="preserve"> </w:t>
      </w:r>
      <w:r>
        <w:rPr>
          <w:sz w:val="16"/>
        </w:rPr>
        <w:t xml:space="preserve">í </w:t>
      </w:r>
      <w:r>
        <w:rPr>
          <w:spacing w:val="25"/>
          <w:sz w:val="16"/>
        </w:rPr>
        <w:t xml:space="preserve"> </w:t>
      </w:r>
      <w:r>
        <w:rPr>
          <w:sz w:val="16"/>
        </w:rPr>
        <w:t xml:space="preserve">v </w:t>
      </w:r>
      <w:r>
        <w:rPr>
          <w:spacing w:val="25"/>
          <w:sz w:val="16"/>
        </w:rPr>
        <w:t xml:space="preserve"> </w:t>
      </w:r>
      <w:r>
        <w:rPr>
          <w:sz w:val="16"/>
        </w:rPr>
        <w:t xml:space="preserve">e </w:t>
      </w:r>
      <w:r>
        <w:rPr>
          <w:spacing w:val="25"/>
          <w:sz w:val="16"/>
        </w:rPr>
        <w:t xml:space="preserve"> </w:t>
      </w:r>
      <w:r>
        <w:rPr>
          <w:sz w:val="16"/>
        </w:rPr>
        <w:t>l</w:t>
      </w:r>
      <w:r>
        <w:rPr>
          <w:sz w:val="16"/>
        </w:rPr>
        <w:tab/>
        <w:t xml:space="preserve">e   m </w:t>
      </w:r>
      <w:r>
        <w:rPr>
          <w:spacing w:val="5"/>
          <w:sz w:val="16"/>
        </w:rPr>
        <w:t xml:space="preserve"> </w:t>
      </w:r>
      <w:r>
        <w:rPr>
          <w:sz w:val="16"/>
        </w:rPr>
        <w:t>:</w:t>
      </w:r>
    </w:p>
    <w:p w:rsidR="00D81F69" w:rsidRDefault="00D81F69">
      <w:pPr>
        <w:spacing w:before="2"/>
        <w:ind w:left="100"/>
        <w:jc w:val="both"/>
        <w:rPr>
          <w:sz w:val="16"/>
        </w:rPr>
      </w:pPr>
      <w:hyperlink r:id="rId1115">
        <w:r w:rsidR="00330118">
          <w:rPr>
            <w:sz w:val="16"/>
          </w:rPr>
          <w:t xml:space="preserve">&lt;http://www.inthemine.com.br/mineblog/?p=276&gt;. </w:t>
        </w:r>
      </w:hyperlink>
    </w:p>
    <w:p w:rsidR="00D81F69" w:rsidRDefault="00330118">
      <w:pPr>
        <w:spacing w:before="70"/>
        <w:ind w:left="100"/>
        <w:rPr>
          <w:sz w:val="16"/>
        </w:rPr>
      </w:pPr>
      <w:r>
        <w:br w:type="column"/>
      </w:r>
      <w:r>
        <w:rPr>
          <w:sz w:val="16"/>
        </w:rPr>
        <w:lastRenderedPageBreak/>
        <w:t>Acesso em: 09 ago. 2010.</w:t>
      </w:r>
    </w:p>
    <w:p w:rsidR="00D81F69" w:rsidRDefault="00330118">
      <w:pPr>
        <w:spacing w:before="56" w:line="312" w:lineRule="auto"/>
        <w:ind w:left="100" w:right="232"/>
        <w:rPr>
          <w:sz w:val="16"/>
        </w:rPr>
      </w:pPr>
      <w:r>
        <w:rPr>
          <w:sz w:val="16"/>
        </w:rPr>
        <w:t xml:space="preserve">PORTAL CMD. Conceição do Mato Dentro. Informações gerais, página atualizada em 14 ago. 2010. Disponível em: </w:t>
      </w:r>
    </w:p>
    <w:p w:rsidR="00D81F69" w:rsidRDefault="00D81F69">
      <w:pPr>
        <w:spacing w:before="1" w:line="312" w:lineRule="auto"/>
        <w:ind w:left="100" w:right="159"/>
        <w:rPr>
          <w:sz w:val="16"/>
        </w:rPr>
      </w:pPr>
      <w:hyperlink r:id="rId1116" w:anchor="gerais_tribur.page.where_0.74204671">
        <w:r w:rsidR="00330118">
          <w:rPr>
            <w:sz w:val="16"/>
          </w:rPr>
          <w:t>&lt;http://www.portalcmd.com.br/#gerais_tribur.page.where_0.74204671</w:t>
        </w:r>
      </w:hyperlink>
      <w:r w:rsidR="00330118">
        <w:rPr>
          <w:sz w:val="16"/>
        </w:rPr>
        <w:t xml:space="preserve"> 20856166_1281820160983&gt;. Acesso em: 14 ago.2010.</w:t>
      </w:r>
    </w:p>
    <w:p w:rsidR="00D81F69" w:rsidRDefault="00330118">
      <w:pPr>
        <w:tabs>
          <w:tab w:val="left" w:pos="1178"/>
          <w:tab w:val="left" w:pos="2483"/>
          <w:tab w:val="left" w:pos="4641"/>
        </w:tabs>
        <w:spacing w:before="2" w:line="312" w:lineRule="auto"/>
        <w:ind w:left="100" w:right="232"/>
        <w:rPr>
          <w:sz w:val="16"/>
        </w:rPr>
      </w:pPr>
      <w:r>
        <w:rPr>
          <w:sz w:val="16"/>
        </w:rPr>
        <w:t xml:space="preserve">PORTO, Eduardo. Terreno minado. Época Negócios, São Paulo, 5     a  </w:t>
      </w:r>
      <w:r>
        <w:rPr>
          <w:sz w:val="16"/>
        </w:rPr>
        <w:t xml:space="preserve">b </w:t>
      </w:r>
      <w:r>
        <w:rPr>
          <w:spacing w:val="22"/>
          <w:sz w:val="16"/>
        </w:rPr>
        <w:t xml:space="preserve"> </w:t>
      </w:r>
      <w:r>
        <w:rPr>
          <w:sz w:val="16"/>
        </w:rPr>
        <w:t xml:space="preserve">r </w:t>
      </w:r>
      <w:r>
        <w:rPr>
          <w:spacing w:val="10"/>
          <w:sz w:val="16"/>
        </w:rPr>
        <w:t xml:space="preserve"> </w:t>
      </w:r>
      <w:r>
        <w:rPr>
          <w:sz w:val="16"/>
        </w:rPr>
        <w:t>.</w:t>
      </w:r>
      <w:r>
        <w:rPr>
          <w:sz w:val="16"/>
        </w:rPr>
        <w:tab/>
        <w:t xml:space="preserve">2  0  1 </w:t>
      </w:r>
      <w:r>
        <w:rPr>
          <w:spacing w:val="35"/>
          <w:sz w:val="16"/>
        </w:rPr>
        <w:t xml:space="preserve"> </w:t>
      </w:r>
      <w:r>
        <w:rPr>
          <w:sz w:val="16"/>
        </w:rPr>
        <w:t xml:space="preserve">0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2"/>
          <w:sz w:val="16"/>
        </w:rPr>
        <w:t xml:space="preserve"> </w:t>
      </w:r>
      <w:r>
        <w:rPr>
          <w:sz w:val="16"/>
        </w:rPr>
        <w:t>:</w:t>
      </w:r>
    </w:p>
    <w:p w:rsidR="00D81F69" w:rsidRDefault="00D81F69">
      <w:pPr>
        <w:spacing w:before="2" w:line="312" w:lineRule="auto"/>
        <w:ind w:left="100" w:right="212"/>
        <w:rPr>
          <w:sz w:val="16"/>
        </w:rPr>
      </w:pPr>
      <w:hyperlink r:id="rId1117">
        <w:r w:rsidR="00330118">
          <w:rPr>
            <w:sz w:val="16"/>
          </w:rPr>
          <w:t>&lt;http://epocanegocios.globo.com/Revista/Common/0,,EMI131170-</w:t>
        </w:r>
      </w:hyperlink>
      <w:r w:rsidR="00330118">
        <w:rPr>
          <w:sz w:val="16"/>
        </w:rPr>
        <w:t xml:space="preserve"> 16642,00-TERRENO+MINADO.html&gt;. Acesso em: 07 ago. 2010.</w:t>
      </w:r>
    </w:p>
    <w:p w:rsidR="00D81F69" w:rsidRDefault="00330118">
      <w:pPr>
        <w:spacing w:before="1" w:line="312" w:lineRule="auto"/>
        <w:ind w:left="100" w:right="171"/>
        <w:rPr>
          <w:sz w:val="16"/>
        </w:rPr>
      </w:pPr>
      <w:r>
        <w:rPr>
          <w:sz w:val="16"/>
        </w:rPr>
        <w:t>VALOR ONLINE. Demanda cresce e mineradoras investem, São Paulo, 11 abr. 2011. In: Notícias Mineração. Disponível em:</w:t>
      </w:r>
    </w:p>
    <w:p w:rsidR="00D81F69" w:rsidRDefault="00D81F69">
      <w:pPr>
        <w:spacing w:before="2" w:line="312" w:lineRule="auto"/>
        <w:ind w:left="100" w:right="216"/>
        <w:rPr>
          <w:sz w:val="16"/>
        </w:rPr>
      </w:pPr>
      <w:hyperlink r:id="rId1118">
        <w:r w:rsidR="00330118">
          <w:rPr>
            <w:sz w:val="16"/>
          </w:rPr>
          <w:t>&lt;http://noticiasmineracao.mining.com/2011/04/11/demanda-c</w:t>
        </w:r>
        <w:r w:rsidR="00330118">
          <w:rPr>
            <w:sz w:val="16"/>
          </w:rPr>
          <w:t>resce-e-</w:t>
        </w:r>
      </w:hyperlink>
      <w:r w:rsidR="00330118">
        <w:rPr>
          <w:sz w:val="16"/>
        </w:rPr>
        <w:t xml:space="preserve"> mineradoras-investem/&gt;. Acesso em: 03 nov. 2011.</w:t>
      </w:r>
    </w:p>
    <w:p w:rsidR="00D81F69" w:rsidRDefault="00D81F69">
      <w:pPr>
        <w:spacing w:line="312" w:lineRule="auto"/>
        <w:rPr>
          <w:sz w:val="16"/>
        </w:rPr>
        <w:sectPr w:rsidR="00D81F69">
          <w:pgSz w:w="11900" w:h="16840"/>
          <w:pgMar w:top="740" w:right="500" w:bottom="720" w:left="620" w:header="0" w:footer="402" w:gutter="0"/>
          <w:cols w:num="2" w:space="720" w:equalWidth="0">
            <w:col w:w="5185" w:space="285"/>
            <w:col w:w="5310"/>
          </w:cols>
        </w:sectPr>
      </w:pPr>
    </w:p>
    <w:p w:rsidR="00D81F69" w:rsidRDefault="00330118">
      <w:pPr>
        <w:pStyle w:val="Heading1"/>
        <w:spacing w:line="208" w:lineRule="auto"/>
      </w:pPr>
      <w:r>
        <w:lastRenderedPageBreak/>
        <w:t>Mineração de ferro em Itabira (MG) deixa passivo socioambiental e econômico</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MG - Itabira</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-19,3925</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-42,9352</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3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A exploração de minério de ferro em Itabira, Minas Gerais, causou ao município uma grande dependência das operações minerárias e das atividades delas decorrentes. Além disso, a prática gerou impactos socioambientais, como poluição atmosférica, cont</w:t>
      </w:r>
      <w:r>
        <w:rPr>
          <w:i/>
          <w:sz w:val="16"/>
        </w:rPr>
        <w:t>aminação de água e de solo, prejuízos à agricultura e ao abastecimento de água e doenças alérgicas e respiratórias.</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4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175" w:line="270" w:lineRule="atLeast"/>
        <w:ind w:left="135" w:right="193"/>
      </w:pPr>
      <w:r>
        <w:br w:type="column"/>
      </w:r>
      <w:r>
        <w:lastRenderedPageBreak/>
        <w:t>Siderurgia. Em 1942, através do Decreto Lei nº 4.352, a empresa transformou-se na Companhia Vale do Rio Doce (CVRD), responsável pela intensificação da exploração de minério de ferro no município (IPAC, 2010). Até 1997, quando foi privatizada, a empresa pe</w:t>
      </w:r>
      <w:r>
        <w:t>rtencia e era gerida pelo governo federal (TUBINO; DAVLIN; YAP, 2011). As operações da empresa, atualmente denominada Vale, permitiram a implantação de um parque siderúrgico e exportações de minério em grande escala. Foi criado um sistema mina – siderurgia</w:t>
      </w:r>
      <w:r>
        <w:t xml:space="preserve"> – porto, base da economia da região (BRISSAC, 2006).</w:t>
      </w:r>
    </w:p>
    <w:p w:rsidR="00D81F69" w:rsidRDefault="00330118">
      <w:pPr>
        <w:pStyle w:val="Corpodetexto"/>
        <w:spacing w:line="200" w:lineRule="exact"/>
        <w:ind w:left="135"/>
      </w:pPr>
      <w:r>
        <w:t>A história do complexo minerador de Itabira está diretamente</w:t>
      </w:r>
    </w:p>
    <w:p w:rsidR="00D81F69" w:rsidRDefault="00D81F69">
      <w:pPr>
        <w:spacing w:line="200" w:lineRule="exact"/>
        <w:sectPr w:rsidR="00D81F69">
          <w:type w:val="continuous"/>
          <w:pgSz w:w="11900" w:h="16840"/>
          <w:pgMar w:top="720" w:right="500" w:bottom="280" w:left="620" w:header="720" w:footer="720" w:gutter="0"/>
          <w:cols w:num="3" w:space="720" w:equalWidth="0">
            <w:col w:w="1008" w:space="992"/>
            <w:col w:w="3111" w:space="324"/>
            <w:col w:w="5345"/>
          </w:cols>
        </w:sectPr>
      </w:pPr>
    </w:p>
    <w:p w:rsidR="00D81F69" w:rsidRDefault="00330118">
      <w:pPr>
        <w:pStyle w:val="Heading4"/>
        <w:spacing w:before="76"/>
      </w:pPr>
      <w:r>
        <w:lastRenderedPageBreak/>
        <w:t>APRESENTAÇÃO DE CASO</w:t>
      </w:r>
    </w:p>
    <w:p w:rsidR="00D81F69" w:rsidRDefault="00330118">
      <w:pPr>
        <w:pStyle w:val="Corpodetexto"/>
        <w:spacing w:before="171" w:line="312" w:lineRule="auto"/>
        <w:ind w:right="82"/>
      </w:pPr>
      <w:r>
        <w:t xml:space="preserve">A cidade de Itabira, em Minas Gerais, está localizada na Serra do Espinhaço, onde existem grandes jazidas de minério de </w:t>
      </w:r>
      <w:hyperlink r:id="rId1119">
        <w:r>
          <w:t>ferro,</w:t>
        </w:r>
      </w:hyperlink>
      <w:r>
        <w:t xml:space="preserve"> extraídas em lavra mecanizada a céu abe</w:t>
      </w:r>
      <w:r>
        <w:t>rto (BRAGA et al., 2007). As minas de Itabira são responsáveis por 50% de toda a produção do Sistema Sul (CVRD, 2003 apud MORAES et al., 2006), formado pelas minas do Quadrilátero Ferrífero (MORAES et al., 2006). A economia do município é fortemente determ</w:t>
      </w:r>
      <w:r>
        <w:t>inada pela cadeia da mineração e da siderurgia, abrigando as operações da Vale, Belgo-Arcelor, Gerdau e CAF (que atua na área de plantio homogêneo de árvores) (BRISSAC, 2006).</w:t>
      </w:r>
    </w:p>
    <w:p w:rsidR="00D81F69" w:rsidRDefault="00330118">
      <w:pPr>
        <w:pStyle w:val="Corpodetexto"/>
        <w:spacing w:before="140"/>
      </w:pPr>
      <w:r>
        <w:t>Com 1.254 km², Itabira tem uma população estimada em</w:t>
      </w:r>
    </w:p>
    <w:p w:rsidR="00D81F69" w:rsidRDefault="00330118">
      <w:pPr>
        <w:pStyle w:val="Corpodetexto"/>
        <w:spacing w:before="63" w:line="312" w:lineRule="auto"/>
        <w:ind w:right="96"/>
      </w:pPr>
      <w:r>
        <w:rPr>
          <w:spacing w:val="5"/>
        </w:rPr>
        <w:t>109.551 habitantes (IBGE, 2</w:t>
      </w:r>
      <w:r>
        <w:rPr>
          <w:spacing w:val="5"/>
        </w:rPr>
        <w:t xml:space="preserve">010). </w:t>
      </w:r>
      <w:r>
        <w:rPr>
          <w:spacing w:val="2"/>
        </w:rPr>
        <w:t xml:space="preserve">Os </w:t>
      </w:r>
      <w:r>
        <w:rPr>
          <w:spacing w:val="5"/>
        </w:rPr>
        <w:t xml:space="preserve">principais </w:t>
      </w:r>
      <w:r>
        <w:rPr>
          <w:spacing w:val="3"/>
        </w:rPr>
        <w:t xml:space="preserve">rios </w:t>
      </w:r>
      <w:r>
        <w:rPr>
          <w:spacing w:val="5"/>
        </w:rPr>
        <w:t>que</w:t>
      </w:r>
      <w:r>
        <w:rPr>
          <w:spacing w:val="61"/>
        </w:rPr>
        <w:t xml:space="preserve"> </w:t>
      </w:r>
      <w:r>
        <w:rPr>
          <w:spacing w:val="3"/>
        </w:rPr>
        <w:t xml:space="preserve">compõem </w:t>
      </w:r>
      <w:r>
        <w:rPr>
          <w:spacing w:val="2"/>
        </w:rPr>
        <w:t xml:space="preserve">sua rede </w:t>
      </w:r>
      <w:r>
        <w:rPr>
          <w:spacing w:val="1"/>
        </w:rPr>
        <w:t xml:space="preserve">de </w:t>
      </w:r>
      <w:r>
        <w:rPr>
          <w:spacing w:val="3"/>
        </w:rPr>
        <w:t xml:space="preserve">drenagem </w:t>
      </w:r>
      <w:r>
        <w:rPr>
          <w:spacing w:val="2"/>
        </w:rPr>
        <w:t xml:space="preserve">são </w:t>
      </w:r>
      <w:r>
        <w:rPr>
          <w:spacing w:val="3"/>
        </w:rPr>
        <w:t xml:space="preserve">Tanque, Jirau </w:t>
      </w:r>
      <w:r>
        <w:t xml:space="preserve">e </w:t>
      </w:r>
      <w:r>
        <w:rPr>
          <w:spacing w:val="5"/>
        </w:rPr>
        <w:t xml:space="preserve">do </w:t>
      </w:r>
      <w:r>
        <w:rPr>
          <w:spacing w:val="1"/>
        </w:rPr>
        <w:t xml:space="preserve">Peixe. Alguns cursos d’água integram </w:t>
      </w:r>
      <w:r>
        <w:t xml:space="preserve">a </w:t>
      </w:r>
      <w:r>
        <w:rPr>
          <w:spacing w:val="1"/>
        </w:rPr>
        <w:t xml:space="preserve">bacia </w:t>
      </w:r>
      <w:r>
        <w:t xml:space="preserve">do rio </w:t>
      </w:r>
      <w:r>
        <w:rPr>
          <w:spacing w:val="2"/>
        </w:rPr>
        <w:t xml:space="preserve">Santa </w:t>
      </w:r>
      <w:r>
        <w:rPr>
          <w:spacing w:val="3"/>
        </w:rPr>
        <w:t xml:space="preserve">Bárbara, </w:t>
      </w:r>
      <w:r>
        <w:rPr>
          <w:spacing w:val="2"/>
        </w:rPr>
        <w:t xml:space="preserve">que faz </w:t>
      </w:r>
      <w:r>
        <w:t xml:space="preserve">a </w:t>
      </w:r>
      <w:r>
        <w:rPr>
          <w:spacing w:val="3"/>
        </w:rPr>
        <w:t xml:space="preserve">divisa </w:t>
      </w:r>
      <w:r>
        <w:rPr>
          <w:spacing w:val="1"/>
        </w:rPr>
        <w:t xml:space="preserve">do </w:t>
      </w:r>
      <w:r>
        <w:rPr>
          <w:spacing w:val="3"/>
        </w:rPr>
        <w:t xml:space="preserve">município itabirano </w:t>
      </w:r>
      <w:r>
        <w:rPr>
          <w:spacing w:val="2"/>
        </w:rPr>
        <w:t xml:space="preserve">com </w:t>
      </w:r>
      <w:r>
        <w:rPr>
          <w:spacing w:val="5"/>
        </w:rPr>
        <w:t xml:space="preserve">São </w:t>
      </w:r>
      <w:r>
        <w:rPr>
          <w:spacing w:val="3"/>
        </w:rPr>
        <w:t xml:space="preserve">Gonçalo </w:t>
      </w:r>
      <w:r>
        <w:rPr>
          <w:spacing w:val="1"/>
        </w:rPr>
        <w:t xml:space="preserve">do </w:t>
      </w:r>
      <w:r>
        <w:rPr>
          <w:spacing w:val="2"/>
        </w:rPr>
        <w:t xml:space="preserve">Rio </w:t>
      </w:r>
      <w:r>
        <w:rPr>
          <w:spacing w:val="3"/>
        </w:rPr>
        <w:t xml:space="preserve">Abaixo, </w:t>
      </w:r>
      <w:r>
        <w:rPr>
          <w:spacing w:val="2"/>
        </w:rPr>
        <w:t xml:space="preserve">João </w:t>
      </w:r>
      <w:r>
        <w:rPr>
          <w:spacing w:val="3"/>
        </w:rPr>
        <w:t xml:space="preserve">Monlevade </w:t>
      </w:r>
      <w:r>
        <w:t xml:space="preserve">e </w:t>
      </w:r>
      <w:r>
        <w:rPr>
          <w:spacing w:val="2"/>
        </w:rPr>
        <w:t xml:space="preserve">Bela </w:t>
      </w:r>
      <w:r>
        <w:rPr>
          <w:spacing w:val="3"/>
        </w:rPr>
        <w:t xml:space="preserve">Vista </w:t>
      </w:r>
      <w:r>
        <w:rPr>
          <w:spacing w:val="5"/>
        </w:rPr>
        <w:t xml:space="preserve">de Minas </w:t>
      </w:r>
      <w:r>
        <w:rPr>
          <w:spacing w:val="5"/>
        </w:rPr>
        <w:t xml:space="preserve">(ATLAS </w:t>
      </w:r>
      <w:r>
        <w:rPr>
          <w:spacing w:val="3"/>
        </w:rPr>
        <w:t xml:space="preserve">DO </w:t>
      </w:r>
      <w:r>
        <w:rPr>
          <w:spacing w:val="6"/>
        </w:rPr>
        <w:t xml:space="preserve">DESENVOLVIMENTO </w:t>
      </w:r>
      <w:r>
        <w:rPr>
          <w:spacing w:val="5"/>
        </w:rPr>
        <w:t xml:space="preserve">HUMANO </w:t>
      </w:r>
      <w:r>
        <w:rPr>
          <w:spacing w:val="7"/>
        </w:rPr>
        <w:t xml:space="preserve">NO </w:t>
      </w:r>
      <w:r>
        <w:rPr>
          <w:spacing w:val="5"/>
        </w:rPr>
        <w:t xml:space="preserve">BRASIL, </w:t>
      </w:r>
      <w:r>
        <w:rPr>
          <w:spacing w:val="7"/>
        </w:rPr>
        <w:t>2003).</w:t>
      </w:r>
    </w:p>
    <w:p w:rsidR="00D81F69" w:rsidRDefault="00330118">
      <w:pPr>
        <w:pStyle w:val="Corpodetexto"/>
        <w:spacing w:before="136" w:line="312" w:lineRule="auto"/>
        <w:ind w:right="84"/>
      </w:pPr>
      <w:r>
        <w:t xml:space="preserve">A ocupação do município ocorreu nas duas primeiras décadas do século XVIII, com a procura de ouro na região. Somente  no final do século, foram descobertas as lavras da Conceição, </w:t>
      </w:r>
      <w:r>
        <w:rPr>
          <w:spacing w:val="3"/>
        </w:rPr>
        <w:t xml:space="preserve">de </w:t>
      </w:r>
      <w:r>
        <w:rPr>
          <w:spacing w:val="5"/>
        </w:rPr>
        <w:t xml:space="preserve">Itabira (atual Cauê) </w:t>
      </w:r>
      <w:r>
        <w:t>e</w:t>
      </w:r>
      <w:r>
        <w:t xml:space="preserve"> </w:t>
      </w:r>
      <w:r>
        <w:rPr>
          <w:spacing w:val="3"/>
        </w:rPr>
        <w:t xml:space="preserve">de </w:t>
      </w:r>
      <w:r>
        <w:rPr>
          <w:spacing w:val="6"/>
        </w:rPr>
        <w:t xml:space="preserve">Santana. Paralelamente </w:t>
      </w:r>
      <w:r>
        <w:t xml:space="preserve">à </w:t>
      </w:r>
      <w:r>
        <w:rPr>
          <w:spacing w:val="5"/>
        </w:rPr>
        <w:t xml:space="preserve">extração aurífera, surgiram </w:t>
      </w:r>
      <w:r>
        <w:rPr>
          <w:spacing w:val="2"/>
        </w:rPr>
        <w:t xml:space="preserve">as </w:t>
      </w:r>
      <w:r>
        <w:rPr>
          <w:spacing w:val="5"/>
        </w:rPr>
        <w:t xml:space="preserve">primeiras explorações do </w:t>
      </w:r>
      <w:r>
        <w:t>minério de ferro que, a partir de 1808, foram liberadas pela Coroa Portuguesa (IPAC,</w:t>
      </w:r>
      <w:r>
        <w:rPr>
          <w:spacing w:val="48"/>
        </w:rPr>
        <w:t xml:space="preserve"> </w:t>
      </w:r>
      <w:r>
        <w:rPr>
          <w:spacing w:val="1"/>
        </w:rPr>
        <w:t>2008).</w:t>
      </w:r>
    </w:p>
    <w:p w:rsidR="00D81F69" w:rsidRDefault="00330118">
      <w:pPr>
        <w:pStyle w:val="Corpodetexto"/>
        <w:spacing w:before="74" w:line="270" w:lineRule="atLeast"/>
        <w:ind w:right="83"/>
      </w:pPr>
      <w:r>
        <w:rPr>
          <w:spacing w:val="5"/>
        </w:rPr>
        <w:t xml:space="preserve">No </w:t>
      </w:r>
      <w:r>
        <w:rPr>
          <w:spacing w:val="7"/>
        </w:rPr>
        <w:t xml:space="preserve">início </w:t>
      </w:r>
      <w:r>
        <w:rPr>
          <w:spacing w:val="5"/>
        </w:rPr>
        <w:t xml:space="preserve">do </w:t>
      </w:r>
      <w:r>
        <w:rPr>
          <w:spacing w:val="7"/>
        </w:rPr>
        <w:t xml:space="preserve">século </w:t>
      </w:r>
      <w:r>
        <w:rPr>
          <w:spacing w:val="5"/>
        </w:rPr>
        <w:t xml:space="preserve">XX, </w:t>
      </w:r>
      <w:r>
        <w:rPr>
          <w:spacing w:val="7"/>
        </w:rPr>
        <w:t xml:space="preserve">começaram </w:t>
      </w:r>
      <w:r>
        <w:rPr>
          <w:spacing w:val="5"/>
        </w:rPr>
        <w:t xml:space="preserve">os </w:t>
      </w:r>
      <w:r>
        <w:rPr>
          <w:spacing w:val="10"/>
        </w:rPr>
        <w:t xml:space="preserve">investimentos </w:t>
      </w:r>
      <w:r>
        <w:rPr>
          <w:spacing w:val="1"/>
        </w:rPr>
        <w:t xml:space="preserve">estrangeiros para explorar </w:t>
      </w:r>
      <w:r>
        <w:t>o</w:t>
      </w:r>
      <w:r>
        <w:t xml:space="preserve"> </w:t>
      </w:r>
      <w:r>
        <w:rPr>
          <w:spacing w:val="1"/>
        </w:rPr>
        <w:t xml:space="preserve">minério </w:t>
      </w:r>
      <w:r>
        <w:t xml:space="preserve">de </w:t>
      </w:r>
      <w:r>
        <w:rPr>
          <w:spacing w:val="1"/>
        </w:rPr>
        <w:t xml:space="preserve">ferro </w:t>
      </w:r>
      <w:r>
        <w:t xml:space="preserve">em </w:t>
      </w:r>
      <w:r>
        <w:rPr>
          <w:spacing w:val="1"/>
        </w:rPr>
        <w:t xml:space="preserve">Itabira. </w:t>
      </w:r>
      <w:r>
        <w:t xml:space="preserve">A Brazilian Hematite Syndica, empresa de capital inglês, foi a primeira a se instalar no município, em 1909. Um ano depois, a </w:t>
      </w:r>
      <w:r>
        <w:rPr>
          <w:spacing w:val="3"/>
        </w:rPr>
        <w:t xml:space="preserve">empresa passou </w:t>
      </w:r>
      <w:r>
        <w:t xml:space="preserve">a </w:t>
      </w:r>
      <w:r>
        <w:rPr>
          <w:spacing w:val="1"/>
        </w:rPr>
        <w:t xml:space="preserve">se </w:t>
      </w:r>
      <w:r>
        <w:rPr>
          <w:spacing w:val="3"/>
        </w:rPr>
        <w:t xml:space="preserve">chamar Itabira </w:t>
      </w:r>
      <w:r>
        <w:rPr>
          <w:spacing w:val="2"/>
        </w:rPr>
        <w:t xml:space="preserve">Iron Ore </w:t>
      </w:r>
      <w:r>
        <w:rPr>
          <w:spacing w:val="5"/>
        </w:rPr>
        <w:t xml:space="preserve">Company </w:t>
      </w:r>
      <w:r>
        <w:t xml:space="preserve">Limited. Com o fim da 1ª Guerra Mundial, o controle dessa </w:t>
      </w:r>
      <w:r>
        <w:rPr>
          <w:spacing w:val="1"/>
        </w:rPr>
        <w:t xml:space="preserve">indústria passou para </w:t>
      </w:r>
      <w:r>
        <w:t xml:space="preserve">as </w:t>
      </w:r>
      <w:r>
        <w:rPr>
          <w:spacing w:val="1"/>
        </w:rPr>
        <w:t xml:space="preserve">mãos </w:t>
      </w:r>
      <w:r>
        <w:t xml:space="preserve">de </w:t>
      </w:r>
      <w:r>
        <w:rPr>
          <w:spacing w:val="1"/>
        </w:rPr>
        <w:t xml:space="preserve">investidores europeus </w:t>
      </w:r>
      <w:r>
        <w:t xml:space="preserve">e </w:t>
      </w:r>
      <w:r>
        <w:rPr>
          <w:spacing w:val="5"/>
        </w:rPr>
        <w:t xml:space="preserve">norte-americanos, liderados pelo empresário </w:t>
      </w:r>
      <w:r>
        <w:rPr>
          <w:spacing w:val="6"/>
        </w:rPr>
        <w:t xml:space="preserve">americano </w:t>
      </w:r>
      <w:r>
        <w:t xml:space="preserve">Percival Farqhuar. Em 1939, Farqhuar desmembrou a Itabira </w:t>
      </w:r>
      <w:r>
        <w:rPr>
          <w:spacing w:val="7"/>
        </w:rPr>
        <w:t xml:space="preserve">Iron </w:t>
      </w:r>
      <w:r>
        <w:t xml:space="preserve">e </w:t>
      </w:r>
      <w:r>
        <w:rPr>
          <w:spacing w:val="7"/>
        </w:rPr>
        <w:t xml:space="preserve">criou </w:t>
      </w:r>
      <w:r>
        <w:t xml:space="preserve">a </w:t>
      </w:r>
      <w:r>
        <w:rPr>
          <w:spacing w:val="8"/>
        </w:rPr>
        <w:t>Companhia Bras</w:t>
      </w:r>
      <w:r>
        <w:rPr>
          <w:spacing w:val="8"/>
        </w:rPr>
        <w:t xml:space="preserve">ileira </w:t>
      </w:r>
      <w:r>
        <w:rPr>
          <w:spacing w:val="5"/>
        </w:rPr>
        <w:t xml:space="preserve">de </w:t>
      </w:r>
      <w:r>
        <w:rPr>
          <w:spacing w:val="8"/>
        </w:rPr>
        <w:t>Mineração</w:t>
      </w:r>
      <w:r>
        <w:rPr>
          <w:spacing w:val="26"/>
        </w:rPr>
        <w:t xml:space="preserve"> </w:t>
      </w:r>
      <w:r>
        <w:t>e</w:t>
      </w:r>
    </w:p>
    <w:p w:rsidR="00D81F69" w:rsidRDefault="00330118">
      <w:pPr>
        <w:pStyle w:val="Corpodetexto"/>
        <w:spacing w:before="63" w:line="312" w:lineRule="auto"/>
        <w:ind w:right="196"/>
      </w:pPr>
      <w:r>
        <w:br w:type="column"/>
      </w:r>
      <w:r>
        <w:lastRenderedPageBreak/>
        <w:t>relacionada ao Japão. A modernização das minas, da Estrada de Ferro Vitória - Minas (EFVM) e a construção do porto de Tubarão foram viabilizadas pelas exportações de minério resultantes de acordos Brasil - Japão. A ferrovia foi incor</w:t>
      </w:r>
      <w:r>
        <w:t>porada à Vale na década de 1940 para viabilizar o transporte do minério extraído das jazidas da empresa até o porto de Tubarão, em Vitória (ES). Com 900 km de extensão, integrando todas as minas exploradas pela Vale e por outras empresas e atendendo às div</w:t>
      </w:r>
      <w:r>
        <w:t>ersas unidades siderúrgicas, a EFVM tornou-se fundamental para a articulação de toda a cadeia produtiva da região. A ferrovia tem capacidade de transporte de 120 milhões de toneladas ao ano e movimenta contêineres, minério de ferro, produtos siderúrgicos e</w:t>
      </w:r>
      <w:r>
        <w:t xml:space="preserve"> celulose, além de carga geral e carga de grãos provenientes da região Centro-Oeste. No sentido inverso, transporta contêineres, carvão metalúrgico e mineral para abastecer as usinas mineiras (BRISSAC, 2006).</w:t>
      </w:r>
    </w:p>
    <w:p w:rsidR="00D81F69" w:rsidRDefault="00330118">
      <w:pPr>
        <w:pStyle w:val="Corpodetexto"/>
        <w:spacing w:before="145" w:line="312" w:lineRule="auto"/>
        <w:ind w:right="196"/>
      </w:pPr>
      <w:r>
        <w:t>A economia de Itabira passou a ser fortemente d</w:t>
      </w:r>
      <w:r>
        <w:t xml:space="preserve">ependente das </w:t>
      </w:r>
      <w:r>
        <w:rPr>
          <w:spacing w:val="1"/>
        </w:rPr>
        <w:t xml:space="preserve">operações </w:t>
      </w:r>
      <w:r>
        <w:t xml:space="preserve">da </w:t>
      </w:r>
      <w:r>
        <w:rPr>
          <w:spacing w:val="1"/>
        </w:rPr>
        <w:t xml:space="preserve">Vale </w:t>
      </w:r>
      <w:r>
        <w:t xml:space="preserve">e das </w:t>
      </w:r>
      <w:r>
        <w:rPr>
          <w:spacing w:val="1"/>
        </w:rPr>
        <w:t xml:space="preserve">atividades delas </w:t>
      </w:r>
      <w:r>
        <w:rPr>
          <w:spacing w:val="2"/>
        </w:rPr>
        <w:t xml:space="preserve">decorrentes </w:t>
      </w:r>
      <w:r>
        <w:rPr>
          <w:spacing w:val="8"/>
        </w:rPr>
        <w:t xml:space="preserve">(BRISSAC, 2006). </w:t>
      </w:r>
      <w:r>
        <w:rPr>
          <w:spacing w:val="10"/>
        </w:rPr>
        <w:t xml:space="preserve">Diferentemente </w:t>
      </w:r>
      <w:r>
        <w:rPr>
          <w:spacing w:val="5"/>
        </w:rPr>
        <w:t xml:space="preserve">de </w:t>
      </w:r>
      <w:r>
        <w:rPr>
          <w:spacing w:val="8"/>
        </w:rPr>
        <w:t xml:space="preserve">outras </w:t>
      </w:r>
      <w:r>
        <w:rPr>
          <w:spacing w:val="10"/>
        </w:rPr>
        <w:t xml:space="preserve">cidades </w:t>
      </w:r>
      <w:r>
        <w:t xml:space="preserve">monoindustriais, a cidade não foi construída no entorno das minas e das instalações industriais; foi a indústria extrativa que se instalou </w:t>
      </w:r>
      <w:r>
        <w:t xml:space="preserve">no sítio urbano e se expandiu, destruindo e transformando o espaço urbano que a precedeu de </w:t>
      </w:r>
      <w:r>
        <w:rPr>
          <w:spacing w:val="1"/>
        </w:rPr>
        <w:t xml:space="preserve">acordo </w:t>
      </w:r>
      <w:r>
        <w:t xml:space="preserve">com suas necessidades e interesses. Nos anos 1970 e 1980, </w:t>
      </w:r>
      <w:r>
        <w:rPr>
          <w:spacing w:val="1"/>
        </w:rPr>
        <w:t xml:space="preserve">ocorreu </w:t>
      </w:r>
      <w:r>
        <w:t xml:space="preserve">a </w:t>
      </w:r>
      <w:r>
        <w:rPr>
          <w:spacing w:val="1"/>
        </w:rPr>
        <w:t xml:space="preserve">expansão </w:t>
      </w:r>
      <w:r>
        <w:t xml:space="preserve">da </w:t>
      </w:r>
      <w:r>
        <w:rPr>
          <w:spacing w:val="1"/>
        </w:rPr>
        <w:t xml:space="preserve">exploração mineral </w:t>
      </w:r>
      <w:r>
        <w:t xml:space="preserve">na </w:t>
      </w:r>
      <w:r>
        <w:rPr>
          <w:spacing w:val="1"/>
        </w:rPr>
        <w:t xml:space="preserve">cidade, </w:t>
      </w:r>
      <w:r>
        <w:rPr>
          <w:spacing w:val="2"/>
        </w:rPr>
        <w:t xml:space="preserve">com </w:t>
      </w:r>
      <w:r>
        <w:t>efeitos espaciais, ambientais e socioeconôm</w:t>
      </w:r>
      <w:r>
        <w:t xml:space="preserve">icos significativos </w:t>
      </w:r>
      <w:r>
        <w:rPr>
          <w:spacing w:val="8"/>
        </w:rPr>
        <w:t xml:space="preserve">(SILVA; SOUZA, 2002). </w:t>
      </w:r>
      <w:r>
        <w:t xml:space="preserve">A </w:t>
      </w:r>
      <w:r>
        <w:rPr>
          <w:spacing w:val="8"/>
        </w:rPr>
        <w:t xml:space="preserve">mineração implicou </w:t>
      </w:r>
      <w:r>
        <w:rPr>
          <w:spacing w:val="10"/>
        </w:rPr>
        <w:t xml:space="preserve">rápido </w:t>
      </w:r>
      <w:r>
        <w:t>crescimento populacional, impacto na infraestrutura produtiva e poluição de áreas habitadas próximas (BRISSAC,</w:t>
      </w:r>
      <w:r>
        <w:rPr>
          <w:spacing w:val="1"/>
        </w:rPr>
        <w:t xml:space="preserve"> </w:t>
      </w:r>
      <w:r>
        <w:t>2006).</w:t>
      </w:r>
    </w:p>
    <w:p w:rsidR="00D81F69" w:rsidRDefault="00330118">
      <w:pPr>
        <w:pStyle w:val="Corpodetexto"/>
        <w:spacing w:before="142" w:line="312" w:lineRule="auto"/>
        <w:ind w:right="192"/>
      </w:pPr>
      <w:r>
        <w:t xml:space="preserve">A área de lavra é composta pelas minas de Conceição, Cauê e o </w:t>
      </w:r>
      <w:r>
        <w:rPr>
          <w:spacing w:val="13"/>
        </w:rPr>
        <w:t>Comple</w:t>
      </w:r>
      <w:r>
        <w:rPr>
          <w:spacing w:val="13"/>
        </w:rPr>
        <w:t xml:space="preserve">xo </w:t>
      </w:r>
      <w:r>
        <w:rPr>
          <w:spacing w:val="11"/>
        </w:rPr>
        <w:t xml:space="preserve">Dois </w:t>
      </w:r>
      <w:r>
        <w:rPr>
          <w:spacing w:val="13"/>
        </w:rPr>
        <w:t xml:space="preserve">Córregos, </w:t>
      </w:r>
      <w:r>
        <w:rPr>
          <w:spacing w:val="11"/>
        </w:rPr>
        <w:t xml:space="preserve">além </w:t>
      </w:r>
      <w:r>
        <w:rPr>
          <w:spacing w:val="10"/>
        </w:rPr>
        <w:t xml:space="preserve">das </w:t>
      </w:r>
      <w:r>
        <w:rPr>
          <w:spacing w:val="11"/>
        </w:rPr>
        <w:t xml:space="preserve">áreas </w:t>
      </w:r>
      <w:r>
        <w:rPr>
          <w:spacing w:val="7"/>
        </w:rPr>
        <w:t xml:space="preserve">de </w:t>
      </w:r>
      <w:r>
        <w:t xml:space="preserve">beneficiamento de Cauê e Conceição, produtoras de minério </w:t>
      </w:r>
      <w:r>
        <w:rPr>
          <w:spacing w:val="2"/>
        </w:rPr>
        <w:t xml:space="preserve">de </w:t>
      </w:r>
      <w:r>
        <w:rPr>
          <w:spacing w:val="5"/>
        </w:rPr>
        <w:t xml:space="preserve">ferro granulado, fino </w:t>
      </w:r>
      <w:r>
        <w:t xml:space="preserve">e </w:t>
      </w:r>
      <w:r>
        <w:rPr>
          <w:spacing w:val="5"/>
        </w:rPr>
        <w:t xml:space="preserve">concentrado, </w:t>
      </w:r>
      <w:r>
        <w:t xml:space="preserve">e </w:t>
      </w:r>
      <w:r>
        <w:rPr>
          <w:spacing w:val="3"/>
        </w:rPr>
        <w:t xml:space="preserve">das </w:t>
      </w:r>
      <w:r>
        <w:rPr>
          <w:spacing w:val="5"/>
        </w:rPr>
        <w:t xml:space="preserve">áreas </w:t>
      </w:r>
      <w:r>
        <w:rPr>
          <w:spacing w:val="6"/>
        </w:rPr>
        <w:t xml:space="preserve">de </w:t>
      </w:r>
      <w:r>
        <w:t xml:space="preserve">depósito de material estéril e de recomposição vegetal. Essas </w:t>
      </w:r>
      <w:r>
        <w:rPr>
          <w:spacing w:val="1"/>
        </w:rPr>
        <w:t xml:space="preserve">áreas estão localizadas </w:t>
      </w:r>
      <w:r>
        <w:t xml:space="preserve">no </w:t>
      </w:r>
      <w:r>
        <w:rPr>
          <w:spacing w:val="1"/>
        </w:rPr>
        <w:t xml:space="preserve">perímetro urbano </w:t>
      </w:r>
      <w:r>
        <w:t>d</w:t>
      </w:r>
      <w:r>
        <w:t xml:space="preserve">o </w:t>
      </w:r>
      <w:r>
        <w:rPr>
          <w:spacing w:val="2"/>
        </w:rPr>
        <w:t xml:space="preserve">município, </w:t>
      </w:r>
      <w:r>
        <w:rPr>
          <w:spacing w:val="1"/>
        </w:rPr>
        <w:t xml:space="preserve">aumentando </w:t>
      </w:r>
      <w:r>
        <w:t xml:space="preserve">a </w:t>
      </w:r>
      <w:r>
        <w:rPr>
          <w:spacing w:val="1"/>
        </w:rPr>
        <w:t xml:space="preserve">exposição </w:t>
      </w:r>
      <w:r>
        <w:t xml:space="preserve">dos </w:t>
      </w:r>
      <w:r>
        <w:rPr>
          <w:spacing w:val="1"/>
        </w:rPr>
        <w:t xml:space="preserve">habitantes </w:t>
      </w:r>
      <w:r>
        <w:t xml:space="preserve">a uma </w:t>
      </w:r>
      <w:r>
        <w:rPr>
          <w:spacing w:val="1"/>
        </w:rPr>
        <w:t xml:space="preserve">mistura </w:t>
      </w:r>
      <w:r>
        <w:rPr>
          <w:spacing w:val="2"/>
        </w:rPr>
        <w:t xml:space="preserve">de </w:t>
      </w:r>
      <w:r>
        <w:t>minério</w:t>
      </w:r>
      <w:r>
        <w:rPr>
          <w:spacing w:val="18"/>
        </w:rPr>
        <w:t xml:space="preserve"> </w:t>
      </w:r>
      <w:r>
        <w:t>de</w:t>
      </w:r>
      <w:r>
        <w:rPr>
          <w:spacing w:val="18"/>
        </w:rPr>
        <w:t xml:space="preserve"> </w:t>
      </w:r>
      <w:r>
        <w:t>ferro,</w:t>
      </w:r>
      <w:r>
        <w:rPr>
          <w:spacing w:val="18"/>
        </w:rPr>
        <w:t xml:space="preserve"> </w:t>
      </w:r>
      <w:r>
        <w:t>predominante,</w:t>
      </w:r>
      <w:r>
        <w:rPr>
          <w:spacing w:val="18"/>
        </w:rPr>
        <w:t xml:space="preserve"> </w:t>
      </w:r>
      <w:r>
        <w:t>e</w:t>
      </w:r>
      <w:r>
        <w:rPr>
          <w:spacing w:val="18"/>
        </w:rPr>
        <w:t xml:space="preserve"> </w:t>
      </w:r>
      <w:r>
        <w:t>poluentes</w:t>
      </w:r>
      <w:r>
        <w:rPr>
          <w:spacing w:val="18"/>
        </w:rPr>
        <w:t xml:space="preserve"> </w:t>
      </w:r>
      <w:r>
        <w:t>gerados</w:t>
      </w:r>
      <w:r>
        <w:rPr>
          <w:spacing w:val="18"/>
        </w:rPr>
        <w:t xml:space="preserve"> </w:t>
      </w:r>
      <w:r>
        <w:t>a</w:t>
      </w:r>
      <w:r>
        <w:rPr>
          <w:spacing w:val="18"/>
        </w:rPr>
        <w:t xml:space="preserve"> </w:t>
      </w:r>
      <w:r>
        <w:t>partir</w:t>
      </w:r>
    </w:p>
    <w:p w:rsidR="00D81F69" w:rsidRDefault="00D81F69">
      <w:pPr>
        <w:spacing w:line="312" w:lineRule="auto"/>
        <w:sectPr w:rsidR="00D81F69">
          <w:type w:val="continuous"/>
          <w:pgSz w:w="11900" w:h="16840"/>
          <w:pgMar w:top="720" w:right="500" w:bottom="280" w:left="620" w:header="720" w:footer="720" w:gutter="0"/>
          <w:cols w:num="2" w:space="720" w:equalWidth="0">
            <w:col w:w="5198" w:space="272"/>
            <w:col w:w="5310"/>
          </w:cols>
        </w:sectPr>
      </w:pPr>
    </w:p>
    <w:p w:rsidR="00D81F69" w:rsidRDefault="00330118">
      <w:pPr>
        <w:pStyle w:val="Corpodetexto"/>
        <w:spacing w:before="81" w:line="312" w:lineRule="auto"/>
        <w:ind w:right="45"/>
      </w:pPr>
      <w:r>
        <w:lastRenderedPageBreak/>
        <w:t>da queima de combustíveis fósseis e, menos frequentemente, de biomassa (BRAGA et al., 2007).</w:t>
      </w:r>
    </w:p>
    <w:p w:rsidR="00D81F69" w:rsidRDefault="00330118">
      <w:pPr>
        <w:pStyle w:val="Corpodetexto"/>
        <w:spacing w:before="132" w:line="312" w:lineRule="auto"/>
        <w:ind w:right="38"/>
      </w:pPr>
      <w:r>
        <w:rPr>
          <w:spacing w:val="5"/>
        </w:rPr>
        <w:t xml:space="preserve">Somente </w:t>
      </w:r>
      <w:r>
        <w:rPr>
          <w:spacing w:val="2"/>
        </w:rPr>
        <w:t xml:space="preserve">na </w:t>
      </w:r>
      <w:r>
        <w:rPr>
          <w:spacing w:val="5"/>
        </w:rPr>
        <w:t xml:space="preserve">década </w:t>
      </w:r>
      <w:r>
        <w:rPr>
          <w:spacing w:val="2"/>
        </w:rPr>
        <w:t xml:space="preserve">de </w:t>
      </w:r>
      <w:r>
        <w:rPr>
          <w:spacing w:val="5"/>
        </w:rPr>
        <w:t xml:space="preserve">1980, </w:t>
      </w:r>
      <w:r>
        <w:rPr>
          <w:spacing w:val="2"/>
        </w:rPr>
        <w:t xml:space="preserve">40 </w:t>
      </w:r>
      <w:r>
        <w:rPr>
          <w:spacing w:val="5"/>
        </w:rPr>
        <w:t xml:space="preserve">anos após </w:t>
      </w:r>
      <w:r>
        <w:t xml:space="preserve">o </w:t>
      </w:r>
      <w:r>
        <w:rPr>
          <w:spacing w:val="5"/>
        </w:rPr>
        <w:t xml:space="preserve">início </w:t>
      </w:r>
      <w:r>
        <w:rPr>
          <w:spacing w:val="6"/>
        </w:rPr>
        <w:t xml:space="preserve">de </w:t>
      </w:r>
      <w:r>
        <w:rPr>
          <w:spacing w:val="3"/>
        </w:rPr>
        <w:t xml:space="preserve">funcionamento </w:t>
      </w:r>
      <w:r>
        <w:rPr>
          <w:spacing w:val="1"/>
        </w:rPr>
        <w:t xml:space="preserve">da </w:t>
      </w:r>
      <w:r>
        <w:rPr>
          <w:spacing w:val="2"/>
        </w:rPr>
        <w:t xml:space="preserve">Vale </w:t>
      </w:r>
      <w:r>
        <w:rPr>
          <w:spacing w:val="1"/>
        </w:rPr>
        <w:t xml:space="preserve">em </w:t>
      </w:r>
      <w:r>
        <w:rPr>
          <w:spacing w:val="3"/>
        </w:rPr>
        <w:t xml:space="preserve">Itabira, </w:t>
      </w:r>
      <w:r>
        <w:rPr>
          <w:spacing w:val="2"/>
        </w:rPr>
        <w:t xml:space="preserve">foi que </w:t>
      </w:r>
      <w:r>
        <w:rPr>
          <w:spacing w:val="3"/>
        </w:rPr>
        <w:t xml:space="preserve">começou </w:t>
      </w:r>
      <w:r>
        <w:t xml:space="preserve">a </w:t>
      </w:r>
      <w:r>
        <w:rPr>
          <w:spacing w:val="5"/>
        </w:rPr>
        <w:t xml:space="preserve">ser </w:t>
      </w:r>
      <w:r>
        <w:t xml:space="preserve">noticiada por alguns segmentos da sociedade civil organizada a </w:t>
      </w:r>
      <w:r>
        <w:rPr>
          <w:spacing w:val="7"/>
        </w:rPr>
        <w:t xml:space="preserve">situação </w:t>
      </w:r>
      <w:r>
        <w:rPr>
          <w:spacing w:val="5"/>
        </w:rPr>
        <w:t xml:space="preserve">de </w:t>
      </w:r>
      <w:r>
        <w:rPr>
          <w:spacing w:val="8"/>
        </w:rPr>
        <w:t xml:space="preserve">vulnerabilidade </w:t>
      </w:r>
      <w:r>
        <w:rPr>
          <w:spacing w:val="7"/>
        </w:rPr>
        <w:t xml:space="preserve">ambiental </w:t>
      </w:r>
      <w:r>
        <w:rPr>
          <w:spacing w:val="5"/>
        </w:rPr>
        <w:t xml:space="preserve">na </w:t>
      </w:r>
      <w:r>
        <w:rPr>
          <w:spacing w:val="7"/>
        </w:rPr>
        <w:t xml:space="preserve">região. </w:t>
      </w:r>
      <w:r>
        <w:t xml:space="preserve">A </w:t>
      </w:r>
      <w:r>
        <w:rPr>
          <w:spacing w:val="5"/>
        </w:rPr>
        <w:t xml:space="preserve">conscientização </w:t>
      </w:r>
      <w:r>
        <w:rPr>
          <w:spacing w:val="2"/>
        </w:rPr>
        <w:t xml:space="preserve">da </w:t>
      </w:r>
      <w:r>
        <w:rPr>
          <w:spacing w:val="5"/>
        </w:rPr>
        <w:t xml:space="preserve">população </w:t>
      </w:r>
      <w:r>
        <w:rPr>
          <w:spacing w:val="3"/>
        </w:rPr>
        <w:t xml:space="preserve">foi </w:t>
      </w:r>
      <w:r>
        <w:rPr>
          <w:spacing w:val="5"/>
        </w:rPr>
        <w:t>a</w:t>
      </w:r>
      <w:r>
        <w:rPr>
          <w:spacing w:val="5"/>
        </w:rPr>
        <w:t xml:space="preserve">lavancada, </w:t>
      </w:r>
      <w:r>
        <w:rPr>
          <w:spacing w:val="2"/>
        </w:rPr>
        <w:t xml:space="preserve">em </w:t>
      </w:r>
      <w:r>
        <w:rPr>
          <w:spacing w:val="6"/>
        </w:rPr>
        <w:t xml:space="preserve">1984, </w:t>
      </w:r>
      <w:r>
        <w:rPr>
          <w:spacing w:val="5"/>
        </w:rPr>
        <w:t xml:space="preserve">durante </w:t>
      </w:r>
      <w:r>
        <w:t xml:space="preserve">o </w:t>
      </w:r>
      <w:r>
        <w:rPr>
          <w:spacing w:val="5"/>
        </w:rPr>
        <w:t xml:space="preserve">Encontro </w:t>
      </w:r>
      <w:r>
        <w:rPr>
          <w:spacing w:val="2"/>
        </w:rPr>
        <w:t xml:space="preserve">de </w:t>
      </w:r>
      <w:r>
        <w:rPr>
          <w:spacing w:val="5"/>
        </w:rPr>
        <w:t xml:space="preserve">Cidades Mineradoras, </w:t>
      </w:r>
      <w:r>
        <w:rPr>
          <w:spacing w:val="3"/>
        </w:rPr>
        <w:t xml:space="preserve">que </w:t>
      </w:r>
      <w:r>
        <w:rPr>
          <w:spacing w:val="5"/>
        </w:rPr>
        <w:t>reuniu</w:t>
      </w:r>
      <w:r>
        <w:rPr>
          <w:spacing w:val="61"/>
        </w:rPr>
        <w:t xml:space="preserve"> </w:t>
      </w:r>
      <w:r>
        <w:rPr>
          <w:spacing w:val="1"/>
        </w:rPr>
        <w:t xml:space="preserve">pessoas </w:t>
      </w:r>
      <w:r>
        <w:t xml:space="preserve">de </w:t>
      </w:r>
      <w:r>
        <w:rPr>
          <w:spacing w:val="1"/>
        </w:rPr>
        <w:t xml:space="preserve">diversos municípios impactados </w:t>
      </w:r>
      <w:r>
        <w:t xml:space="preserve">por </w:t>
      </w:r>
      <w:r>
        <w:rPr>
          <w:spacing w:val="2"/>
        </w:rPr>
        <w:t xml:space="preserve">atividades </w:t>
      </w:r>
      <w:r>
        <w:t>minerárias. Após esse evento, foi criado o Conselho Municipal de Defesa do Meio Ambiente (Codema), um fórum de estudos e leva</w:t>
      </w:r>
      <w:r>
        <w:t xml:space="preserve">ntamentos das reais condições ambientais do município </w:t>
      </w:r>
      <w:r>
        <w:rPr>
          <w:spacing w:val="1"/>
        </w:rPr>
        <w:t xml:space="preserve">de </w:t>
      </w:r>
      <w:r>
        <w:rPr>
          <w:spacing w:val="3"/>
        </w:rPr>
        <w:t xml:space="preserve">Itabira </w:t>
      </w:r>
      <w:r>
        <w:rPr>
          <w:spacing w:val="2"/>
        </w:rPr>
        <w:t xml:space="preserve">para </w:t>
      </w:r>
      <w:r>
        <w:rPr>
          <w:spacing w:val="3"/>
        </w:rPr>
        <w:t xml:space="preserve">tomada </w:t>
      </w:r>
      <w:r>
        <w:rPr>
          <w:spacing w:val="1"/>
        </w:rPr>
        <w:t xml:space="preserve">de </w:t>
      </w:r>
      <w:r>
        <w:rPr>
          <w:spacing w:val="3"/>
        </w:rPr>
        <w:t xml:space="preserve">atitude frente </w:t>
      </w:r>
      <w:r>
        <w:t xml:space="preserve">a </w:t>
      </w:r>
      <w:r>
        <w:rPr>
          <w:spacing w:val="2"/>
        </w:rPr>
        <w:t xml:space="preserve">tais </w:t>
      </w:r>
      <w:r>
        <w:rPr>
          <w:spacing w:val="5"/>
        </w:rPr>
        <w:t xml:space="preserve">questões. </w:t>
      </w:r>
      <w:r>
        <w:rPr>
          <w:spacing w:val="10"/>
        </w:rPr>
        <w:t xml:space="preserve">Nessa época, </w:t>
      </w:r>
      <w:r>
        <w:t xml:space="preserve">a </w:t>
      </w:r>
      <w:r>
        <w:rPr>
          <w:spacing w:val="8"/>
        </w:rPr>
        <w:t xml:space="preserve">Vale </w:t>
      </w:r>
      <w:r>
        <w:rPr>
          <w:spacing w:val="10"/>
        </w:rPr>
        <w:t xml:space="preserve">também começou </w:t>
      </w:r>
      <w:r>
        <w:t xml:space="preserve">a </w:t>
      </w:r>
      <w:r>
        <w:rPr>
          <w:spacing w:val="12"/>
        </w:rPr>
        <w:t xml:space="preserve">implantar </w:t>
      </w:r>
      <w:r>
        <w:t xml:space="preserve">programas de controle ambiental em suas minas e criou as </w:t>
      </w:r>
      <w:r>
        <w:rPr>
          <w:spacing w:val="5"/>
        </w:rPr>
        <w:t xml:space="preserve">Comissões Internas </w:t>
      </w:r>
      <w:r>
        <w:rPr>
          <w:spacing w:val="2"/>
        </w:rPr>
        <w:t xml:space="preserve">de </w:t>
      </w:r>
      <w:r>
        <w:rPr>
          <w:spacing w:val="5"/>
        </w:rPr>
        <w:t xml:space="preserve">Meio </w:t>
      </w:r>
      <w:r>
        <w:rPr>
          <w:spacing w:val="5"/>
        </w:rPr>
        <w:t xml:space="preserve">Ambiente (CIMAs) </w:t>
      </w:r>
      <w:r>
        <w:rPr>
          <w:spacing w:val="6"/>
        </w:rPr>
        <w:t xml:space="preserve">(SILVA; </w:t>
      </w:r>
      <w:r>
        <w:rPr>
          <w:spacing w:val="5"/>
        </w:rPr>
        <w:t xml:space="preserve">SOUZA, </w:t>
      </w:r>
      <w:r>
        <w:rPr>
          <w:spacing w:val="6"/>
        </w:rPr>
        <w:t>2002).</w:t>
      </w:r>
    </w:p>
    <w:p w:rsidR="00D81F69" w:rsidRDefault="00330118">
      <w:pPr>
        <w:pStyle w:val="Corpodetexto"/>
        <w:spacing w:before="144" w:line="312" w:lineRule="auto"/>
        <w:ind w:right="40"/>
      </w:pPr>
      <w:r>
        <w:t>Entre os impactos ambientais causados pela atividade mineradora listam-se o ruído, os abalos nas construções e a aspersão de poeira sobre a cidade, provocados pelo uso de explosivos nas minas. Além disso, a passagem d</w:t>
      </w:r>
      <w:r>
        <w:t>a EFVM na cidade também causa poluição sonora, atmosférica (partículas que se soltam das pilhas de minério dos vagões) e medo nos moradores das áreas do entorno da linha férrea, devido a vários acidentes e mortes já registrados. Pilhas de fino ficam sujeit</w:t>
      </w:r>
      <w:r>
        <w:t>as à ação de intempéries, levando resíduos minerais para os vales, impróprios para a agricultura, e provocando emissão de particulados na atmosfera, causando doenças alérgicas e respiratórias. Estudos do centro regional de saúde realizados na cidade indica</w:t>
      </w:r>
      <w:r>
        <w:t xml:space="preserve">ram as doenças respiratórias como a terceira causa mortis, no ano de 1998, e também causa de muitos atendimentos médicos e hospitalares, principalmente de idosos e crianças (SILVA; SOUZA, 2002). Um estudo conduzido por pesquisadores da Universidade de São </w:t>
      </w:r>
      <w:r>
        <w:t>Paulo (USP) encontrou uma correlação direta entre os dias com mais baixa qualidade do ar e o número de emergências para tratamento de doenças respiratórias e cardiovasculares nos hospitais de Itabira (BRAGA et al., 2007).</w:t>
      </w:r>
    </w:p>
    <w:p w:rsidR="00D81F69" w:rsidRDefault="00330118">
      <w:pPr>
        <w:pStyle w:val="Corpodetexto"/>
        <w:spacing w:line="157" w:lineRule="exact"/>
      </w:pPr>
      <w:r>
        <w:t>A água usada no processo de benefi</w:t>
      </w:r>
      <w:r>
        <w:t>ciamento de minério e as</w:t>
      </w:r>
    </w:p>
    <w:p w:rsidR="00D81F69" w:rsidRDefault="00330118">
      <w:pPr>
        <w:pStyle w:val="Corpodetexto"/>
        <w:spacing w:before="63" w:line="312" w:lineRule="auto"/>
        <w:ind w:right="38"/>
      </w:pPr>
      <w:r>
        <w:t xml:space="preserve">águas das chuvas precipitadas nas minas carregam rejeitos </w:t>
      </w:r>
      <w:r>
        <w:rPr>
          <w:spacing w:val="3"/>
        </w:rPr>
        <w:t xml:space="preserve">que </w:t>
      </w:r>
      <w:r>
        <w:rPr>
          <w:spacing w:val="2"/>
        </w:rPr>
        <w:t xml:space="preserve">se </w:t>
      </w:r>
      <w:r>
        <w:rPr>
          <w:spacing w:val="5"/>
        </w:rPr>
        <w:t xml:space="preserve">depositam </w:t>
      </w:r>
      <w:r>
        <w:t xml:space="preserve">a </w:t>
      </w:r>
      <w:r>
        <w:rPr>
          <w:spacing w:val="5"/>
        </w:rPr>
        <w:t xml:space="preserve">jusante </w:t>
      </w:r>
      <w:r>
        <w:rPr>
          <w:spacing w:val="3"/>
        </w:rPr>
        <w:t xml:space="preserve">das </w:t>
      </w:r>
      <w:r>
        <w:rPr>
          <w:spacing w:val="5"/>
        </w:rPr>
        <w:t xml:space="preserve">minas, formando áreas </w:t>
      </w:r>
      <w:r>
        <w:t xml:space="preserve">assoreadas. O problema da água torna-se ainda mais sério  </w:t>
      </w:r>
      <w:r>
        <w:rPr>
          <w:spacing w:val="1"/>
        </w:rPr>
        <w:t xml:space="preserve">na </w:t>
      </w:r>
      <w:r>
        <w:rPr>
          <w:spacing w:val="3"/>
        </w:rPr>
        <w:t xml:space="preserve">medida </w:t>
      </w:r>
      <w:r>
        <w:rPr>
          <w:spacing w:val="1"/>
        </w:rPr>
        <w:t xml:space="preserve">em </w:t>
      </w:r>
      <w:r>
        <w:rPr>
          <w:spacing w:val="2"/>
        </w:rPr>
        <w:t xml:space="preserve">que </w:t>
      </w:r>
      <w:r>
        <w:t xml:space="preserve">o </w:t>
      </w:r>
      <w:r>
        <w:rPr>
          <w:spacing w:val="3"/>
        </w:rPr>
        <w:t xml:space="preserve">rebaixamento </w:t>
      </w:r>
      <w:r>
        <w:rPr>
          <w:spacing w:val="1"/>
        </w:rPr>
        <w:t xml:space="preserve">do </w:t>
      </w:r>
      <w:r>
        <w:rPr>
          <w:spacing w:val="3"/>
        </w:rPr>
        <w:t xml:space="preserve">lençol freático </w:t>
      </w:r>
      <w:r>
        <w:rPr>
          <w:spacing w:val="5"/>
        </w:rPr>
        <w:t xml:space="preserve">nas </w:t>
      </w:r>
      <w:r>
        <w:rPr>
          <w:spacing w:val="7"/>
        </w:rPr>
        <w:t xml:space="preserve">áreas </w:t>
      </w:r>
      <w:r>
        <w:rPr>
          <w:spacing w:val="8"/>
        </w:rPr>
        <w:t>m</w:t>
      </w:r>
      <w:r>
        <w:rPr>
          <w:spacing w:val="8"/>
        </w:rPr>
        <w:t xml:space="preserve">inerarias </w:t>
      </w:r>
      <w:r>
        <w:rPr>
          <w:spacing w:val="7"/>
        </w:rPr>
        <w:t xml:space="preserve">passa </w:t>
      </w:r>
      <w:r>
        <w:t xml:space="preserve">a </w:t>
      </w:r>
      <w:r>
        <w:rPr>
          <w:spacing w:val="8"/>
        </w:rPr>
        <w:t xml:space="preserve">comprometer </w:t>
      </w:r>
      <w:r>
        <w:rPr>
          <w:spacing w:val="5"/>
        </w:rPr>
        <w:t xml:space="preserve">as </w:t>
      </w:r>
      <w:r>
        <w:rPr>
          <w:spacing w:val="10"/>
        </w:rPr>
        <w:t xml:space="preserve">nascentes </w:t>
      </w:r>
      <w:r>
        <w:rPr>
          <w:spacing w:val="1"/>
        </w:rPr>
        <w:t xml:space="preserve">existentes </w:t>
      </w:r>
      <w:r>
        <w:t xml:space="preserve">e, </w:t>
      </w:r>
      <w:r>
        <w:rPr>
          <w:spacing w:val="1"/>
        </w:rPr>
        <w:t xml:space="preserve">consequentemente, </w:t>
      </w:r>
      <w:r>
        <w:t xml:space="preserve">o </w:t>
      </w:r>
      <w:r>
        <w:rPr>
          <w:spacing w:val="1"/>
        </w:rPr>
        <w:t xml:space="preserve">abastecimento </w:t>
      </w:r>
      <w:r>
        <w:t xml:space="preserve">de </w:t>
      </w:r>
      <w:r>
        <w:rPr>
          <w:spacing w:val="2"/>
        </w:rPr>
        <w:t xml:space="preserve">água para </w:t>
      </w:r>
      <w:r>
        <w:t xml:space="preserve">a </w:t>
      </w:r>
      <w:r>
        <w:rPr>
          <w:spacing w:val="3"/>
        </w:rPr>
        <w:t xml:space="preserve">população. </w:t>
      </w:r>
      <w:r>
        <w:t xml:space="preserve">A </w:t>
      </w:r>
      <w:r>
        <w:rPr>
          <w:spacing w:val="3"/>
        </w:rPr>
        <w:t xml:space="preserve">fauna </w:t>
      </w:r>
      <w:r>
        <w:t xml:space="preserve">e a </w:t>
      </w:r>
      <w:r>
        <w:rPr>
          <w:spacing w:val="3"/>
        </w:rPr>
        <w:t xml:space="preserve">flora </w:t>
      </w:r>
      <w:r>
        <w:rPr>
          <w:spacing w:val="2"/>
        </w:rPr>
        <w:t xml:space="preserve">das </w:t>
      </w:r>
      <w:r>
        <w:rPr>
          <w:spacing w:val="3"/>
        </w:rPr>
        <w:t xml:space="preserve">áreas sujeitas </w:t>
      </w:r>
      <w:r>
        <w:t xml:space="preserve">à </w:t>
      </w:r>
      <w:r>
        <w:rPr>
          <w:spacing w:val="1"/>
        </w:rPr>
        <w:t xml:space="preserve">mineração praticamente desapareceram. Como medida </w:t>
      </w:r>
      <w:r>
        <w:rPr>
          <w:spacing w:val="2"/>
        </w:rPr>
        <w:t xml:space="preserve">de </w:t>
      </w:r>
      <w:r>
        <w:rPr>
          <w:spacing w:val="6"/>
        </w:rPr>
        <w:t xml:space="preserve">recuperação, </w:t>
      </w:r>
      <w:r>
        <w:t xml:space="preserve">a </w:t>
      </w:r>
      <w:r>
        <w:rPr>
          <w:spacing w:val="5"/>
        </w:rPr>
        <w:t xml:space="preserve">Vale passou </w:t>
      </w:r>
      <w:r>
        <w:t xml:space="preserve">a </w:t>
      </w:r>
      <w:r>
        <w:rPr>
          <w:spacing w:val="6"/>
        </w:rPr>
        <w:t>desenvolver projet</w:t>
      </w:r>
      <w:r>
        <w:rPr>
          <w:spacing w:val="6"/>
        </w:rPr>
        <w:t xml:space="preserve">os </w:t>
      </w:r>
      <w:r>
        <w:rPr>
          <w:spacing w:val="7"/>
        </w:rPr>
        <w:t xml:space="preserve">de </w:t>
      </w:r>
      <w:r>
        <w:rPr>
          <w:spacing w:val="5"/>
        </w:rPr>
        <w:t xml:space="preserve">replantio </w:t>
      </w:r>
      <w:r>
        <w:rPr>
          <w:spacing w:val="2"/>
        </w:rPr>
        <w:t xml:space="preserve">de </w:t>
      </w:r>
      <w:r>
        <w:rPr>
          <w:spacing w:val="5"/>
        </w:rPr>
        <w:t xml:space="preserve">leguminosas </w:t>
      </w:r>
      <w:r>
        <w:rPr>
          <w:spacing w:val="2"/>
        </w:rPr>
        <w:t xml:space="preserve">e, </w:t>
      </w:r>
      <w:r>
        <w:t xml:space="preserve">a </w:t>
      </w:r>
      <w:r>
        <w:rPr>
          <w:spacing w:val="5"/>
        </w:rPr>
        <w:t xml:space="preserve">partir </w:t>
      </w:r>
      <w:r>
        <w:rPr>
          <w:spacing w:val="2"/>
        </w:rPr>
        <w:t xml:space="preserve">de </w:t>
      </w:r>
      <w:r>
        <w:rPr>
          <w:spacing w:val="3"/>
        </w:rPr>
        <w:t xml:space="preserve">2002, </w:t>
      </w:r>
      <w:r>
        <w:rPr>
          <w:spacing w:val="2"/>
        </w:rPr>
        <w:t xml:space="preserve">de </w:t>
      </w:r>
      <w:r>
        <w:rPr>
          <w:spacing w:val="5"/>
        </w:rPr>
        <w:t xml:space="preserve">plantas nativas, para recompor </w:t>
      </w:r>
      <w:r>
        <w:rPr>
          <w:spacing w:val="2"/>
        </w:rPr>
        <w:t xml:space="preserve">as </w:t>
      </w:r>
      <w:r>
        <w:rPr>
          <w:spacing w:val="5"/>
        </w:rPr>
        <w:t xml:space="preserve">condições anteriores </w:t>
      </w:r>
      <w:r>
        <w:rPr>
          <w:spacing w:val="6"/>
        </w:rPr>
        <w:t xml:space="preserve">(SILVA; </w:t>
      </w:r>
      <w:r>
        <w:rPr>
          <w:spacing w:val="5"/>
        </w:rPr>
        <w:t>SOUZA,</w:t>
      </w:r>
      <w:r>
        <w:rPr>
          <w:spacing w:val="35"/>
        </w:rPr>
        <w:t xml:space="preserve"> </w:t>
      </w:r>
      <w:r>
        <w:rPr>
          <w:spacing w:val="6"/>
        </w:rPr>
        <w:t>2002).</w:t>
      </w:r>
    </w:p>
    <w:p w:rsidR="00D81F69" w:rsidRDefault="00330118">
      <w:pPr>
        <w:pStyle w:val="Corpodetexto"/>
        <w:spacing w:before="141" w:line="312" w:lineRule="auto"/>
        <w:ind w:right="55"/>
      </w:pPr>
      <w:r>
        <w:t>Em função desses impactos, em 1986 e 1992, foram ajuizadas duas ações civis públicas contra a Vale, por poluição atmosférica</w:t>
      </w:r>
      <w:r>
        <w:t>, degradação do meio ambiente e danos</w:t>
      </w:r>
    </w:p>
    <w:p w:rsidR="00D81F69" w:rsidRDefault="00330118">
      <w:pPr>
        <w:pStyle w:val="Corpodetexto"/>
        <w:spacing w:before="81" w:line="312" w:lineRule="auto"/>
        <w:ind w:right="183"/>
      </w:pPr>
      <w:r>
        <w:br w:type="column"/>
      </w:r>
      <w:r>
        <w:rPr>
          <w:spacing w:val="5"/>
        </w:rPr>
        <w:lastRenderedPageBreak/>
        <w:t xml:space="preserve">paisagísticos </w:t>
      </w:r>
      <w:r>
        <w:t xml:space="preserve">à </w:t>
      </w:r>
      <w:r>
        <w:rPr>
          <w:spacing w:val="5"/>
        </w:rPr>
        <w:t xml:space="preserve">cidade. Tais ações foram acatadas </w:t>
      </w:r>
      <w:r>
        <w:rPr>
          <w:spacing w:val="6"/>
        </w:rPr>
        <w:t xml:space="preserve">pelo </w:t>
      </w:r>
      <w:r>
        <w:rPr>
          <w:spacing w:val="12"/>
        </w:rPr>
        <w:t xml:space="preserve">Ministério </w:t>
      </w:r>
      <w:r>
        <w:rPr>
          <w:spacing w:val="11"/>
        </w:rPr>
        <w:t xml:space="preserve">Público </w:t>
      </w:r>
      <w:r>
        <w:rPr>
          <w:spacing w:val="10"/>
        </w:rPr>
        <w:t xml:space="preserve">(MP) que </w:t>
      </w:r>
      <w:r>
        <w:rPr>
          <w:spacing w:val="12"/>
        </w:rPr>
        <w:t xml:space="preserve">considerou </w:t>
      </w:r>
      <w:r>
        <w:t xml:space="preserve">a </w:t>
      </w:r>
      <w:r>
        <w:rPr>
          <w:spacing w:val="15"/>
        </w:rPr>
        <w:t xml:space="preserve">empresa </w:t>
      </w:r>
      <w:r>
        <w:rPr>
          <w:spacing w:val="10"/>
        </w:rPr>
        <w:t xml:space="preserve">responsável </w:t>
      </w:r>
      <w:r>
        <w:rPr>
          <w:spacing w:val="8"/>
        </w:rPr>
        <w:t xml:space="preserve">pelo </w:t>
      </w:r>
      <w:r>
        <w:rPr>
          <w:spacing w:val="10"/>
        </w:rPr>
        <w:t xml:space="preserve">exercício </w:t>
      </w:r>
      <w:r>
        <w:rPr>
          <w:spacing w:val="5"/>
        </w:rPr>
        <w:t xml:space="preserve">da </w:t>
      </w:r>
      <w:r>
        <w:rPr>
          <w:spacing w:val="10"/>
        </w:rPr>
        <w:t xml:space="preserve">atividade </w:t>
      </w:r>
      <w:r>
        <w:rPr>
          <w:spacing w:val="11"/>
        </w:rPr>
        <w:t xml:space="preserve">mineradora, </w:t>
      </w:r>
      <w:r>
        <w:rPr>
          <w:spacing w:val="8"/>
        </w:rPr>
        <w:t xml:space="preserve">interferindo </w:t>
      </w:r>
      <w:r>
        <w:rPr>
          <w:spacing w:val="5"/>
        </w:rPr>
        <w:t xml:space="preserve">no </w:t>
      </w:r>
      <w:r>
        <w:rPr>
          <w:spacing w:val="8"/>
        </w:rPr>
        <w:t xml:space="preserve">patrimônio paisagístico, pertencente </w:t>
      </w:r>
      <w:r>
        <w:t xml:space="preserve">à população de Itabira, e na qualidade do ar, em decorrência da </w:t>
      </w:r>
      <w:r>
        <w:rPr>
          <w:spacing w:val="3"/>
        </w:rPr>
        <w:t xml:space="preserve">não </w:t>
      </w:r>
      <w:r>
        <w:rPr>
          <w:spacing w:val="5"/>
        </w:rPr>
        <w:t xml:space="preserve">implantação </w:t>
      </w:r>
      <w:r>
        <w:rPr>
          <w:spacing w:val="2"/>
        </w:rPr>
        <w:t xml:space="preserve">de </w:t>
      </w:r>
      <w:r>
        <w:rPr>
          <w:spacing w:val="3"/>
        </w:rPr>
        <w:t xml:space="preserve">ações </w:t>
      </w:r>
      <w:r>
        <w:rPr>
          <w:spacing w:val="2"/>
        </w:rPr>
        <w:t xml:space="preserve">de </w:t>
      </w:r>
      <w:r>
        <w:rPr>
          <w:spacing w:val="5"/>
        </w:rPr>
        <w:t>preservação ambiental ou</w:t>
      </w:r>
      <w:r>
        <w:rPr>
          <w:spacing w:val="61"/>
        </w:rPr>
        <w:t xml:space="preserve"> </w:t>
      </w:r>
      <w:r>
        <w:t xml:space="preserve">mesmo de medidas para minimizar os efeitos nocivos gerados pela atividade minerária nas montanhas ao redor do espaço </w:t>
      </w:r>
      <w:r>
        <w:rPr>
          <w:spacing w:val="1"/>
        </w:rPr>
        <w:t xml:space="preserve">construído </w:t>
      </w:r>
      <w:r>
        <w:t xml:space="preserve">da </w:t>
      </w:r>
      <w:r>
        <w:rPr>
          <w:spacing w:val="1"/>
        </w:rPr>
        <w:t xml:space="preserve">cidade. </w:t>
      </w:r>
      <w:r>
        <w:rPr>
          <w:spacing w:val="1"/>
        </w:rPr>
        <w:t xml:space="preserve">Tais ações resultaram </w:t>
      </w:r>
      <w:r>
        <w:t xml:space="preserve">em </w:t>
      </w:r>
      <w:r>
        <w:rPr>
          <w:spacing w:val="2"/>
        </w:rPr>
        <w:t xml:space="preserve">audiência </w:t>
      </w:r>
      <w:r>
        <w:rPr>
          <w:spacing w:val="7"/>
        </w:rPr>
        <w:t xml:space="preserve">pública </w:t>
      </w:r>
      <w:r>
        <w:t xml:space="preserve">e </w:t>
      </w:r>
      <w:r>
        <w:rPr>
          <w:spacing w:val="5"/>
        </w:rPr>
        <w:t xml:space="preserve">num </w:t>
      </w:r>
      <w:r>
        <w:rPr>
          <w:spacing w:val="7"/>
        </w:rPr>
        <w:t xml:space="preserve">acordo entre </w:t>
      </w:r>
      <w:r>
        <w:t xml:space="preserve">a </w:t>
      </w:r>
      <w:r>
        <w:rPr>
          <w:spacing w:val="6"/>
        </w:rPr>
        <w:t xml:space="preserve">Vale </w:t>
      </w:r>
      <w:r>
        <w:t xml:space="preserve">e o </w:t>
      </w:r>
      <w:r>
        <w:rPr>
          <w:spacing w:val="5"/>
        </w:rPr>
        <w:t xml:space="preserve">MP, em </w:t>
      </w:r>
      <w:r>
        <w:rPr>
          <w:spacing w:val="10"/>
        </w:rPr>
        <w:t xml:space="preserve">2000, </w:t>
      </w:r>
      <w:r>
        <w:rPr>
          <w:spacing w:val="8"/>
        </w:rPr>
        <w:t xml:space="preserve">denominado </w:t>
      </w:r>
      <w:r>
        <w:rPr>
          <w:spacing w:val="7"/>
        </w:rPr>
        <w:t xml:space="preserve">Licença </w:t>
      </w:r>
      <w:r>
        <w:rPr>
          <w:spacing w:val="8"/>
        </w:rPr>
        <w:t xml:space="preserve">Operacional Corretiva, </w:t>
      </w:r>
      <w:r>
        <w:rPr>
          <w:spacing w:val="5"/>
        </w:rPr>
        <w:t xml:space="preserve">no </w:t>
      </w:r>
      <w:r>
        <w:rPr>
          <w:spacing w:val="6"/>
        </w:rPr>
        <w:t xml:space="preserve">qual </w:t>
      </w:r>
      <w:r>
        <w:t xml:space="preserve">a </w:t>
      </w:r>
      <w:r>
        <w:rPr>
          <w:spacing w:val="13"/>
        </w:rPr>
        <w:t xml:space="preserve">empresa </w:t>
      </w:r>
      <w:r>
        <w:rPr>
          <w:spacing w:val="15"/>
        </w:rPr>
        <w:t xml:space="preserve">comprometeu-se </w:t>
      </w:r>
      <w:r>
        <w:t xml:space="preserve">a </w:t>
      </w:r>
      <w:r>
        <w:rPr>
          <w:spacing w:val="13"/>
        </w:rPr>
        <w:t xml:space="preserve">cumprir </w:t>
      </w:r>
      <w:r>
        <w:rPr>
          <w:spacing w:val="7"/>
        </w:rPr>
        <w:t xml:space="preserve">as </w:t>
      </w:r>
      <w:r>
        <w:rPr>
          <w:spacing w:val="15"/>
        </w:rPr>
        <w:t xml:space="preserve">cláusulas </w:t>
      </w:r>
      <w:r>
        <w:t xml:space="preserve">estabelecidas, sob pena de multas ou, em caso extremo, de </w:t>
      </w:r>
      <w:r>
        <w:rPr>
          <w:spacing w:val="5"/>
        </w:rPr>
        <w:t xml:space="preserve">paralisação </w:t>
      </w:r>
      <w:r>
        <w:rPr>
          <w:spacing w:val="2"/>
        </w:rPr>
        <w:t>da</w:t>
      </w:r>
      <w:r>
        <w:rPr>
          <w:spacing w:val="2"/>
        </w:rPr>
        <w:t xml:space="preserve"> </w:t>
      </w:r>
      <w:r>
        <w:rPr>
          <w:spacing w:val="5"/>
        </w:rPr>
        <w:t xml:space="preserve">atividade extrativa mineral </w:t>
      </w:r>
      <w:r>
        <w:rPr>
          <w:spacing w:val="2"/>
        </w:rPr>
        <w:t xml:space="preserve">no </w:t>
      </w:r>
      <w:r>
        <w:rPr>
          <w:spacing w:val="6"/>
        </w:rPr>
        <w:t xml:space="preserve">município </w:t>
      </w:r>
      <w:r>
        <w:t xml:space="preserve">(SILVA; SOUZA, 2002). Entre 2000 e 2008, várias cláusulas </w:t>
      </w:r>
      <w:r>
        <w:rPr>
          <w:spacing w:val="3"/>
        </w:rPr>
        <w:t xml:space="preserve">estabelecidas foram cumpridas, </w:t>
      </w:r>
      <w:r>
        <w:rPr>
          <w:spacing w:val="2"/>
        </w:rPr>
        <w:t xml:space="preserve">mas </w:t>
      </w:r>
      <w:r>
        <w:rPr>
          <w:spacing w:val="3"/>
        </w:rPr>
        <w:t xml:space="preserve">algumas ficaram </w:t>
      </w:r>
      <w:r>
        <w:rPr>
          <w:spacing w:val="5"/>
        </w:rPr>
        <w:t xml:space="preserve">por </w:t>
      </w:r>
      <w:r>
        <w:t xml:space="preserve">cumprir. A Fundação Estadual do Meio Ambiente (Feam) e a </w:t>
      </w:r>
      <w:r>
        <w:rPr>
          <w:spacing w:val="1"/>
        </w:rPr>
        <w:t xml:space="preserve">Prefeitura Municipal </w:t>
      </w:r>
      <w:r>
        <w:t xml:space="preserve">de </w:t>
      </w:r>
      <w:r>
        <w:rPr>
          <w:spacing w:val="1"/>
        </w:rPr>
        <w:t>Itabira acompanham e</w:t>
      </w:r>
      <w:r>
        <w:rPr>
          <w:spacing w:val="1"/>
        </w:rPr>
        <w:t xml:space="preserve">ste </w:t>
      </w:r>
      <w:r>
        <w:rPr>
          <w:spacing w:val="2"/>
        </w:rPr>
        <w:t xml:space="preserve">processo </w:t>
      </w:r>
      <w:r>
        <w:t xml:space="preserve">através de documentos produzidos pela empresa, pois </w:t>
      </w:r>
      <w:r>
        <w:rPr>
          <w:spacing w:val="1"/>
        </w:rPr>
        <w:t xml:space="preserve">não </w:t>
      </w:r>
      <w:r>
        <w:rPr>
          <w:spacing w:val="2"/>
        </w:rPr>
        <w:t xml:space="preserve">têm </w:t>
      </w:r>
      <w:r>
        <w:rPr>
          <w:spacing w:val="3"/>
        </w:rPr>
        <w:t xml:space="preserve">mecanismos próprios </w:t>
      </w:r>
      <w:r>
        <w:rPr>
          <w:spacing w:val="1"/>
        </w:rPr>
        <w:t xml:space="preserve">de </w:t>
      </w:r>
      <w:r>
        <w:rPr>
          <w:spacing w:val="3"/>
        </w:rPr>
        <w:t xml:space="preserve">controle (TUBINO; </w:t>
      </w:r>
      <w:r>
        <w:rPr>
          <w:spacing w:val="5"/>
        </w:rPr>
        <w:t xml:space="preserve">DEVLIN; </w:t>
      </w:r>
      <w:r>
        <w:rPr>
          <w:spacing w:val="2"/>
        </w:rPr>
        <w:t>YAP,</w:t>
      </w:r>
      <w:r>
        <w:rPr>
          <w:spacing w:val="1"/>
        </w:rPr>
        <w:t xml:space="preserve"> </w:t>
      </w:r>
      <w:r>
        <w:rPr>
          <w:spacing w:val="5"/>
        </w:rPr>
        <w:t>2011).</w:t>
      </w:r>
    </w:p>
    <w:p w:rsidR="00D81F69" w:rsidRDefault="00330118">
      <w:pPr>
        <w:pStyle w:val="Corpodetexto"/>
        <w:spacing w:before="86" w:line="270" w:lineRule="atLeast"/>
        <w:ind w:right="182"/>
      </w:pPr>
      <w:r>
        <w:t>A instauração das ações civis e as audiências públicas contribuíram para que a mineradora tomasse providências para minimi</w:t>
      </w:r>
      <w:r>
        <w:t>zar efeitos negativos do processo minerário. Em resposta aos questionamentos de atores sociais e, pressionada por organismos internacionais, como o Banco Mundial e órgãos de defesa do meio ambiente – Conselho de Política Ambiental de Minas Gerais (Copam) e</w:t>
      </w:r>
      <w:r>
        <w:t xml:space="preserve"> Feam – a Vale organizou e implantou a Divisão de Meio Ambiente, com a incumbência de gerenciar as questões relativas à poluição e à degradação ambiental, implantando medidas mitigadoras para diminuir a emissão de partículas na atmosfera, a aspersão de águ</w:t>
      </w:r>
      <w:r>
        <w:t>as nas estradas das minas e a revegetação das áreas mineradas. Além disso, passou a monitorar a quantidade de partículas em suspensão no espaço urbano (SILVA; SOUZA, 2002). Antes da sua privatização, em 1997, a empresa providenciava serviços sociais e bene</w:t>
      </w:r>
      <w:r>
        <w:t>fícios, como trabalho, escolas, moradia, clínicas, cuidado com as crianças, serviços médicos e dentários para que sua imagem na comunidade fosse boa (TUBINO; DEVLIN; YAP, 2011).</w:t>
      </w:r>
    </w:p>
    <w:p w:rsidR="00D81F69" w:rsidRDefault="00330118">
      <w:pPr>
        <w:pStyle w:val="Corpodetexto"/>
        <w:spacing w:line="312" w:lineRule="auto"/>
        <w:ind w:right="194"/>
      </w:pPr>
      <w:r>
        <w:t>A possibilidade de esgotamento da mina do Cauê, que, até a implantação de Cara</w:t>
      </w:r>
      <w:r>
        <w:t xml:space="preserve">jás, foi a maior produtora de minério de ferro do Brasil, apontava para o fim de um ciclo econômico, </w:t>
      </w:r>
      <w:r>
        <w:rPr>
          <w:spacing w:val="3"/>
        </w:rPr>
        <w:t xml:space="preserve">social </w:t>
      </w:r>
      <w:r>
        <w:t xml:space="preserve">e </w:t>
      </w:r>
      <w:r>
        <w:rPr>
          <w:spacing w:val="3"/>
        </w:rPr>
        <w:t xml:space="preserve">cultural </w:t>
      </w:r>
      <w:r>
        <w:rPr>
          <w:spacing w:val="1"/>
        </w:rPr>
        <w:t xml:space="preserve">na </w:t>
      </w:r>
      <w:r>
        <w:rPr>
          <w:spacing w:val="3"/>
        </w:rPr>
        <w:t xml:space="preserve">cidade </w:t>
      </w:r>
      <w:r>
        <w:t xml:space="preserve">e </w:t>
      </w:r>
      <w:r>
        <w:rPr>
          <w:spacing w:val="2"/>
        </w:rPr>
        <w:t xml:space="preserve">para </w:t>
      </w:r>
      <w:r>
        <w:t xml:space="preserve">a </w:t>
      </w:r>
      <w:r>
        <w:rPr>
          <w:spacing w:val="3"/>
        </w:rPr>
        <w:t xml:space="preserve">necessidade </w:t>
      </w:r>
      <w:r>
        <w:rPr>
          <w:spacing w:val="1"/>
        </w:rPr>
        <w:t xml:space="preserve">de </w:t>
      </w:r>
      <w:r>
        <w:rPr>
          <w:spacing w:val="5"/>
        </w:rPr>
        <w:t xml:space="preserve">uma estratégia </w:t>
      </w:r>
      <w:r>
        <w:rPr>
          <w:spacing w:val="2"/>
        </w:rPr>
        <w:t xml:space="preserve">de </w:t>
      </w:r>
      <w:r>
        <w:rPr>
          <w:spacing w:val="5"/>
        </w:rPr>
        <w:t xml:space="preserve">transição para </w:t>
      </w:r>
      <w:r>
        <w:rPr>
          <w:spacing w:val="2"/>
        </w:rPr>
        <w:t xml:space="preserve">um </w:t>
      </w:r>
      <w:r>
        <w:rPr>
          <w:spacing w:val="5"/>
        </w:rPr>
        <w:t xml:space="preserve">novo ciclo. </w:t>
      </w:r>
      <w:r>
        <w:t xml:space="preserve">A </w:t>
      </w:r>
      <w:r>
        <w:rPr>
          <w:spacing w:val="5"/>
        </w:rPr>
        <w:t xml:space="preserve">ideia </w:t>
      </w:r>
      <w:r>
        <w:rPr>
          <w:spacing w:val="6"/>
        </w:rPr>
        <w:t xml:space="preserve">era </w:t>
      </w:r>
      <w:r>
        <w:t xml:space="preserve">encorajar uma mudança na direção da indústria de serviços, </w:t>
      </w:r>
      <w:r>
        <w:rPr>
          <w:spacing w:val="1"/>
        </w:rPr>
        <w:t xml:space="preserve">ciência, tecnologia, energia, educação </w:t>
      </w:r>
      <w:r>
        <w:t xml:space="preserve">e </w:t>
      </w:r>
      <w:r>
        <w:rPr>
          <w:spacing w:val="1"/>
        </w:rPr>
        <w:t xml:space="preserve">cultura para </w:t>
      </w:r>
      <w:r>
        <w:rPr>
          <w:spacing w:val="2"/>
        </w:rPr>
        <w:t xml:space="preserve">atrair </w:t>
      </w:r>
      <w:r>
        <w:t xml:space="preserve">atividades e investimentos. Ao mesmo tempo, foi cogitada a possibilidade de deslocamento da extração de minério para o </w:t>
      </w:r>
      <w:r>
        <w:rPr>
          <w:spacing w:val="5"/>
        </w:rPr>
        <w:t>novo grande compl</w:t>
      </w:r>
      <w:r>
        <w:rPr>
          <w:spacing w:val="5"/>
        </w:rPr>
        <w:t xml:space="preserve">exo </w:t>
      </w:r>
      <w:r>
        <w:rPr>
          <w:spacing w:val="2"/>
        </w:rPr>
        <w:t xml:space="preserve">da </w:t>
      </w:r>
      <w:r>
        <w:rPr>
          <w:spacing w:val="5"/>
        </w:rPr>
        <w:t xml:space="preserve">Vale (Brucutu), </w:t>
      </w:r>
      <w:r>
        <w:rPr>
          <w:spacing w:val="2"/>
        </w:rPr>
        <w:t xml:space="preserve">no </w:t>
      </w:r>
      <w:r>
        <w:rPr>
          <w:spacing w:val="6"/>
        </w:rPr>
        <w:t xml:space="preserve">município </w:t>
      </w:r>
      <w:r>
        <w:rPr>
          <w:spacing w:val="5"/>
        </w:rPr>
        <w:t xml:space="preserve">vizinho </w:t>
      </w:r>
      <w:r>
        <w:rPr>
          <w:spacing w:val="2"/>
        </w:rPr>
        <w:t xml:space="preserve">de </w:t>
      </w:r>
      <w:r>
        <w:rPr>
          <w:spacing w:val="3"/>
        </w:rPr>
        <w:t xml:space="preserve">São </w:t>
      </w:r>
      <w:r>
        <w:rPr>
          <w:spacing w:val="5"/>
        </w:rPr>
        <w:t xml:space="preserve">Gonçalo </w:t>
      </w:r>
      <w:r>
        <w:rPr>
          <w:spacing w:val="2"/>
        </w:rPr>
        <w:t xml:space="preserve">do </w:t>
      </w:r>
      <w:r>
        <w:rPr>
          <w:spacing w:val="3"/>
        </w:rPr>
        <w:t xml:space="preserve">Rio </w:t>
      </w:r>
      <w:r>
        <w:rPr>
          <w:spacing w:val="5"/>
        </w:rPr>
        <w:t xml:space="preserve">Abaixo, </w:t>
      </w:r>
      <w:r>
        <w:t xml:space="preserve">e a </w:t>
      </w:r>
      <w:r>
        <w:rPr>
          <w:spacing w:val="5"/>
        </w:rPr>
        <w:t>progressiva</w:t>
      </w:r>
      <w:r>
        <w:rPr>
          <w:spacing w:val="61"/>
        </w:rPr>
        <w:t xml:space="preserve"> </w:t>
      </w:r>
      <w:r>
        <w:rPr>
          <w:spacing w:val="5"/>
        </w:rPr>
        <w:t xml:space="preserve">desativação </w:t>
      </w:r>
      <w:r>
        <w:rPr>
          <w:spacing w:val="2"/>
        </w:rPr>
        <w:t>do</w:t>
      </w:r>
      <w:r>
        <w:rPr>
          <w:spacing w:val="1"/>
        </w:rPr>
        <w:t xml:space="preserve"> </w:t>
      </w:r>
      <w:r>
        <w:rPr>
          <w:spacing w:val="5"/>
        </w:rPr>
        <w:t xml:space="preserve">complexo </w:t>
      </w:r>
      <w:r>
        <w:rPr>
          <w:spacing w:val="2"/>
        </w:rPr>
        <w:t>de</w:t>
      </w:r>
      <w:r>
        <w:rPr>
          <w:spacing w:val="1"/>
        </w:rPr>
        <w:t xml:space="preserve"> </w:t>
      </w:r>
      <w:r>
        <w:rPr>
          <w:spacing w:val="5"/>
        </w:rPr>
        <w:t>Itabira (BRISSAC, 2006).</w:t>
      </w:r>
    </w:p>
    <w:p w:rsidR="00D81F69" w:rsidRDefault="00330118">
      <w:pPr>
        <w:pStyle w:val="Corpodetexto"/>
        <w:spacing w:before="71" w:line="270" w:lineRule="atLeast"/>
        <w:ind w:right="208"/>
      </w:pPr>
      <w:r>
        <w:t xml:space="preserve">Assim, durante as duas últimas décadas, lideranças políticas e </w:t>
      </w:r>
      <w:r>
        <w:rPr>
          <w:spacing w:val="17"/>
        </w:rPr>
        <w:t xml:space="preserve">comunitárias </w:t>
      </w:r>
      <w:r>
        <w:rPr>
          <w:spacing w:val="10"/>
        </w:rPr>
        <w:t xml:space="preserve">do </w:t>
      </w:r>
      <w:r>
        <w:rPr>
          <w:spacing w:val="16"/>
        </w:rPr>
        <w:t xml:space="preserve">município </w:t>
      </w:r>
      <w:r>
        <w:rPr>
          <w:spacing w:val="12"/>
        </w:rPr>
        <w:t xml:space="preserve">vêm </w:t>
      </w:r>
      <w:r>
        <w:rPr>
          <w:spacing w:val="17"/>
        </w:rPr>
        <w:t xml:space="preserve">construindo </w:t>
      </w:r>
      <w:r>
        <w:t xml:space="preserve">e </w:t>
      </w:r>
      <w:r>
        <w:rPr>
          <w:spacing w:val="6"/>
        </w:rPr>
        <w:t>impleme</w:t>
      </w:r>
      <w:r>
        <w:rPr>
          <w:spacing w:val="6"/>
        </w:rPr>
        <w:t xml:space="preserve">ntando, </w:t>
      </w:r>
      <w:r>
        <w:rPr>
          <w:spacing w:val="5"/>
        </w:rPr>
        <w:t xml:space="preserve">com apoio </w:t>
      </w:r>
      <w:r>
        <w:rPr>
          <w:spacing w:val="3"/>
        </w:rPr>
        <w:t xml:space="preserve">da </w:t>
      </w:r>
      <w:r>
        <w:rPr>
          <w:spacing w:val="5"/>
        </w:rPr>
        <w:t xml:space="preserve">Vale, uma </w:t>
      </w:r>
      <w:r>
        <w:rPr>
          <w:spacing w:val="6"/>
        </w:rPr>
        <w:t xml:space="preserve">estratégia </w:t>
      </w:r>
      <w:r>
        <w:rPr>
          <w:spacing w:val="7"/>
        </w:rPr>
        <w:t xml:space="preserve">de </w:t>
      </w:r>
      <w:r>
        <w:t>diversificação</w:t>
      </w:r>
      <w:r>
        <w:rPr>
          <w:spacing w:val="16"/>
        </w:rPr>
        <w:t xml:space="preserve"> </w:t>
      </w:r>
      <w:r>
        <w:t>de</w:t>
      </w:r>
      <w:r>
        <w:rPr>
          <w:spacing w:val="16"/>
        </w:rPr>
        <w:t xml:space="preserve"> </w:t>
      </w:r>
      <w:r>
        <w:t>sua</w:t>
      </w:r>
      <w:r>
        <w:rPr>
          <w:spacing w:val="16"/>
        </w:rPr>
        <w:t xml:space="preserve"> </w:t>
      </w:r>
      <w:r>
        <w:t>base</w:t>
      </w:r>
      <w:r>
        <w:rPr>
          <w:spacing w:val="16"/>
        </w:rPr>
        <w:t xml:space="preserve"> </w:t>
      </w:r>
      <w:r>
        <w:t>produtiva.</w:t>
      </w:r>
      <w:r>
        <w:rPr>
          <w:spacing w:val="16"/>
        </w:rPr>
        <w:t xml:space="preserve"> </w:t>
      </w:r>
      <w:r>
        <w:t>À</w:t>
      </w:r>
      <w:r>
        <w:rPr>
          <w:spacing w:val="16"/>
        </w:rPr>
        <w:t xml:space="preserve"> </w:t>
      </w:r>
      <w:r>
        <w:t>medida</w:t>
      </w:r>
      <w:r>
        <w:rPr>
          <w:spacing w:val="16"/>
        </w:rPr>
        <w:t xml:space="preserve"> </w:t>
      </w:r>
      <w:r>
        <w:t>que</w:t>
      </w:r>
      <w:r>
        <w:rPr>
          <w:spacing w:val="16"/>
        </w:rPr>
        <w:t xml:space="preserve"> </w:t>
      </w:r>
      <w:r>
        <w:t>o</w:t>
      </w:r>
      <w:r>
        <w:rPr>
          <w:spacing w:val="16"/>
        </w:rPr>
        <w:t xml:space="preserve"> </w:t>
      </w:r>
      <w:r>
        <w:t>tempo</w:t>
      </w:r>
    </w:p>
    <w:p w:rsidR="00D81F69" w:rsidRDefault="00D81F69">
      <w:pPr>
        <w:spacing w:line="270" w:lineRule="atLeast"/>
        <w:sectPr w:rsidR="00D81F69">
          <w:pgSz w:w="11900" w:h="16840"/>
          <w:pgMar w:top="740" w:right="500" w:bottom="680" w:left="620" w:header="0" w:footer="402" w:gutter="0"/>
          <w:cols w:num="2" w:space="720" w:equalWidth="0">
            <w:col w:w="5159" w:space="311"/>
            <w:col w:w="5310"/>
          </w:cols>
        </w:sectPr>
      </w:pPr>
    </w:p>
    <w:p w:rsidR="00D81F69" w:rsidRDefault="00330118">
      <w:pPr>
        <w:pStyle w:val="Corpodetexto"/>
        <w:spacing w:before="81" w:line="312" w:lineRule="auto"/>
        <w:ind w:right="69"/>
      </w:pPr>
      <w:r>
        <w:lastRenderedPageBreak/>
        <w:t>passa, vem declinando a posição relativa da mineração no conjunto das variáveis econômicas de Itabira, que tende a se torna</w:t>
      </w:r>
      <w:r>
        <w:t>r um lugar central de prestação de serviços educacionais de qualidade e de medicina especializada no leste de Minas (HADDAD, 2010).</w:t>
      </w:r>
    </w:p>
    <w:p w:rsidR="00D81F69" w:rsidRDefault="00330118">
      <w:pPr>
        <w:pStyle w:val="Corpodetexto"/>
        <w:spacing w:before="134" w:line="312" w:lineRule="auto"/>
        <w:ind w:right="38"/>
      </w:pPr>
      <w:r>
        <w:t xml:space="preserve">No entanto, a recente alta dos preços do minério de ferro no mercado internacional e o intenso consumo da indústria chinesa </w:t>
      </w:r>
      <w:r>
        <w:t>têm estimulado a exploração do minério de baixíssimo teor de ferro encontrado nas reservas do Quadrilátero Ferrífero e do norte de Minas Gerais, considerada a nova fronteira da mineração no estado. A crença de que o minério não dá duas safras ficou abalada</w:t>
      </w:r>
      <w:r>
        <w:t xml:space="preserve"> com o desenvolvimento de nova tecnologia, que enriquece o minério pobre em ferro e permite a ampliação da vida útil das minas. Agora é possível o aproveitamento de pilhas de minério pobre em ferro, acumuladas como rejeito, e camadas ainda intocadas do sub</w:t>
      </w:r>
      <w:r>
        <w:t>solo, com 20% e 40% de ferro, tornando realidade uma terceira onda de aproveitamento de grandes jazidas (VIEIRA, 2010).</w:t>
      </w:r>
    </w:p>
    <w:p w:rsidR="00D81F69" w:rsidRDefault="00330118">
      <w:pPr>
        <w:pStyle w:val="Corpodetexto"/>
        <w:spacing w:before="143" w:line="312" w:lineRule="auto"/>
        <w:ind w:right="68"/>
      </w:pPr>
      <w:r>
        <w:t xml:space="preserve">Dos anos 1940 ao fim da década de 1960, a primeira fase da mineração em Minas explorou a hematita, rica em ferro, com teores superiores </w:t>
      </w:r>
      <w:r>
        <w:t>aos 60%. Com a escassez desse material nos anos 1970, foi a vez dos chamados itabiritos friáveis (que se fragmentam com facilidade) e de baixos teores. Foi a segunda onda. Vencido o desafio tecnológico, a terceira onda cria fonte de receita a partir dos it</w:t>
      </w:r>
      <w:r>
        <w:t>abiritos compactos, material duro que precisa ser moído para retirada da areia que se acumula junto ao ferro (VIEIRA, 2010).</w:t>
      </w:r>
    </w:p>
    <w:p w:rsidR="00D81F69" w:rsidRDefault="00330118">
      <w:pPr>
        <w:pStyle w:val="Corpodetexto"/>
        <w:spacing w:before="139" w:line="312" w:lineRule="auto"/>
        <w:ind w:right="49"/>
      </w:pPr>
      <w:r>
        <w:t>Diante desta nova configuração do mercado internacional, a Vale anunciou investimentos de R$ 2,18 bilhões para construir uma usina de beneficiamento de minério na Mina Conceição, em Itabira (O GLOBO, 2010). O projeto, batizado de Conceição-Itabiritos, cons</w:t>
      </w:r>
      <w:r>
        <w:t>iste na primeira usina brasileira de tratamento de minério de baixo teor, com escala de produção de 12 milhões de toneladas por ano. A empresa espera fornecer, em 2013, o primeiro carregamento de itabiritos, que vão passar por um processo de retirada de im</w:t>
      </w:r>
      <w:r>
        <w:t>purezas para elevar os teores de ferro de no máximo 40% para 62% a 65%, que o mercado pede e valoriza (VIEIRA, 2010).</w:t>
      </w:r>
    </w:p>
    <w:p w:rsidR="00D81F69" w:rsidRDefault="00330118">
      <w:pPr>
        <w:pStyle w:val="Corpodetexto"/>
        <w:spacing w:before="141" w:line="312" w:lineRule="auto"/>
        <w:ind w:right="65"/>
      </w:pPr>
      <w:r>
        <w:t>A usina abrirá 3,2 mil empregos temporários na construção e outros 320 postos de trabalho permanentes na operação e manutenção. Além disso</w:t>
      </w:r>
      <w:r>
        <w:t>, o projeto mostra também ganhos ambientais, pois a nova usina será alimentada pelas pilhas de minério que foram acumuladas, nos últimos 25 anos, como material estéril. Diante desta nova perspectiva de exploração mineral, a Vale definiu seu horizonte de ex</w:t>
      </w:r>
      <w:r>
        <w:t>ploração, no município, em pelo menos mais 50 anos (VIEIRA, 2010). O projeto deve ser concluído nos próximos dois anos (VIA COMERCIAL, 2011).</w:t>
      </w:r>
    </w:p>
    <w:p w:rsidR="00D81F69" w:rsidRDefault="00D81F69">
      <w:pPr>
        <w:pStyle w:val="Corpodetexto"/>
        <w:spacing w:before="9"/>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63"/>
      </w:pPr>
      <w:r>
        <w:t>As ocorrências de ferro do município de Itabira estão localizadas na bacia do rio Doce que deságua no mar. O</w:t>
      </w:r>
    </w:p>
    <w:p w:rsidR="00D81F69" w:rsidRDefault="00330118">
      <w:pPr>
        <w:pStyle w:val="Corpodetexto"/>
        <w:spacing w:before="81" w:line="312" w:lineRule="auto"/>
        <w:ind w:right="216"/>
      </w:pPr>
      <w:r>
        <w:br w:type="column"/>
      </w:r>
      <w:r>
        <w:lastRenderedPageBreak/>
        <w:t>passivo se encontra entre as latitudes 19°23’33”S – 19°47’2”S e longitudes 42°56’7”W – 43°17’34”W.</w:t>
      </w:r>
    </w:p>
    <w:p w:rsidR="00D81F69" w:rsidRDefault="00D81F69">
      <w:pPr>
        <w:pStyle w:val="Corpodetexto"/>
        <w:spacing w:before="11"/>
        <w:ind w:left="0"/>
        <w:jc w:val="left"/>
        <w:rPr>
          <w:sz w:val="28"/>
        </w:rPr>
      </w:pPr>
    </w:p>
    <w:p w:rsidR="00D81F69" w:rsidRDefault="00330118">
      <w:pPr>
        <w:pStyle w:val="Heading7"/>
      </w:pPr>
      <w:r>
        <w:t>REDATORES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w:t>
      </w:r>
      <w:r>
        <w:t>RÊNCIAS BIBLIOGRÁFICAS</w:t>
      </w:r>
    </w:p>
    <w:p w:rsidR="00D81F69" w:rsidRDefault="00330118">
      <w:pPr>
        <w:spacing w:before="188"/>
        <w:ind w:left="100"/>
        <w:jc w:val="both"/>
        <w:rPr>
          <w:sz w:val="16"/>
        </w:rPr>
      </w:pPr>
      <w:r>
        <w:rPr>
          <w:sz w:val="16"/>
        </w:rPr>
        <w:t>ATLAS DO DESENVOLVIMENTO HUMANO NO BRASIL, 2003. In:</w:t>
      </w:r>
    </w:p>
    <w:p w:rsidR="00D81F69" w:rsidRDefault="00330118">
      <w:pPr>
        <w:spacing w:before="56"/>
        <w:ind w:left="100"/>
        <w:jc w:val="both"/>
        <w:rPr>
          <w:sz w:val="16"/>
        </w:rPr>
      </w:pPr>
      <w:r>
        <w:rPr>
          <w:spacing w:val="17"/>
          <w:sz w:val="16"/>
        </w:rPr>
        <w:t xml:space="preserve">Prefeitura  </w:t>
      </w:r>
      <w:r>
        <w:rPr>
          <w:spacing w:val="16"/>
          <w:sz w:val="16"/>
        </w:rPr>
        <w:t xml:space="preserve">Municipal  </w:t>
      </w:r>
      <w:r>
        <w:rPr>
          <w:spacing w:val="10"/>
          <w:sz w:val="16"/>
        </w:rPr>
        <w:t xml:space="preserve">de   </w:t>
      </w:r>
      <w:r>
        <w:rPr>
          <w:spacing w:val="16"/>
          <w:sz w:val="16"/>
        </w:rPr>
        <w:t xml:space="preserve">Itabira.  </w:t>
      </w:r>
      <w:r>
        <w:rPr>
          <w:spacing w:val="15"/>
          <w:sz w:val="16"/>
        </w:rPr>
        <w:t xml:space="preserve">Site.  </w:t>
      </w:r>
      <w:r>
        <w:rPr>
          <w:spacing w:val="17"/>
          <w:sz w:val="16"/>
        </w:rPr>
        <w:t xml:space="preserve">Disponível </w:t>
      </w:r>
      <w:r>
        <w:rPr>
          <w:spacing w:val="16"/>
          <w:sz w:val="16"/>
        </w:rPr>
        <w:t xml:space="preserve"> </w:t>
      </w:r>
      <w:r>
        <w:rPr>
          <w:spacing w:val="12"/>
          <w:sz w:val="16"/>
        </w:rPr>
        <w:t>em:</w:t>
      </w:r>
      <w:r>
        <w:rPr>
          <w:spacing w:val="-25"/>
          <w:sz w:val="16"/>
        </w:rPr>
        <w:t xml:space="preserve"> </w:t>
      </w:r>
    </w:p>
    <w:p w:rsidR="00D81F69" w:rsidRDefault="00D81F69">
      <w:pPr>
        <w:spacing w:before="56" w:line="312" w:lineRule="auto"/>
        <w:ind w:left="100" w:right="216"/>
        <w:jc w:val="both"/>
        <w:rPr>
          <w:sz w:val="16"/>
        </w:rPr>
      </w:pPr>
      <w:hyperlink r:id="rId1120">
        <w:r w:rsidR="00330118">
          <w:rPr>
            <w:sz w:val="16"/>
          </w:rPr>
          <w:t>&lt;http://www.itabira.mg.gov.br/novop</w:t>
        </w:r>
        <w:r w:rsidR="00330118">
          <w:rPr>
            <w:sz w:val="16"/>
          </w:rPr>
          <w:t>ortal/index.php?option=com_cont</w:t>
        </w:r>
      </w:hyperlink>
      <w:r w:rsidR="00330118">
        <w:rPr>
          <w:sz w:val="16"/>
        </w:rPr>
        <w:t xml:space="preserve"> ent&amp;view=article&amp;id=50&amp;Itemid=122&gt;. Acesso em 06 set. 2010.</w:t>
      </w:r>
    </w:p>
    <w:p w:rsidR="00D81F69" w:rsidRDefault="00330118">
      <w:pPr>
        <w:spacing w:before="1" w:line="312" w:lineRule="auto"/>
        <w:ind w:left="100" w:right="192"/>
        <w:jc w:val="both"/>
        <w:rPr>
          <w:sz w:val="16"/>
        </w:rPr>
      </w:pPr>
      <w:r>
        <w:rPr>
          <w:sz w:val="16"/>
        </w:rPr>
        <w:t xml:space="preserve">BRAGA, Alfésio Luís Ferreira; PEREIRA, Luiz Alberto Amador; PROCÓPIO, Marly; ANDRÉ, Paulo Afonso de; SALDIVA, Paulo Hilário do Nascimento. Associação entre poluição atmosférica e doenças respiratórias e cardiovasculares na cidade de Itabira, Minas Gerais, </w:t>
      </w:r>
      <w:r>
        <w:rPr>
          <w:sz w:val="16"/>
        </w:rPr>
        <w:t xml:space="preserve">Brasil, Caderno Saúde Pública, vol.23, supl.4, Rio de Janeiro, 2007. Disponível em: </w:t>
      </w:r>
      <w:hyperlink r:id="rId1121">
        <w:r>
          <w:rPr>
            <w:sz w:val="16"/>
          </w:rPr>
          <w:t>&lt;http://www.scielo.br/scielo.php?pid=S0102-</w:t>
        </w:r>
      </w:hyperlink>
      <w:r>
        <w:rPr>
          <w:sz w:val="16"/>
        </w:rPr>
        <w:t xml:space="preserve"> 311X2007001600017&amp;script=sci_arttext&amp;tlng=d_0100-6916&gt;. Acesso em 06</w:t>
      </w:r>
      <w:r>
        <w:rPr>
          <w:sz w:val="16"/>
        </w:rPr>
        <w:t xml:space="preserve"> set. 2010.</w:t>
      </w:r>
    </w:p>
    <w:p w:rsidR="00D81F69" w:rsidRDefault="00330118">
      <w:pPr>
        <w:spacing w:before="7" w:line="312" w:lineRule="auto"/>
        <w:ind w:left="100" w:right="181"/>
        <w:jc w:val="both"/>
        <w:rPr>
          <w:sz w:val="16"/>
        </w:rPr>
      </w:pPr>
      <w:r>
        <w:rPr>
          <w:sz w:val="16"/>
        </w:rPr>
        <w:t xml:space="preserve">BRISSAC, Nelson. Projetos e Propostas – 2006 - Itabira: desenvolvimento, cultura e tecnologia. Disponível em: </w:t>
      </w:r>
    </w:p>
    <w:p w:rsidR="00D81F69" w:rsidRDefault="00D81F69">
      <w:pPr>
        <w:spacing w:before="1" w:line="312" w:lineRule="auto"/>
        <w:ind w:left="100" w:right="195"/>
        <w:jc w:val="both"/>
        <w:rPr>
          <w:sz w:val="16"/>
        </w:rPr>
      </w:pPr>
      <w:hyperlink r:id="rId1122">
        <w:r w:rsidR="00330118">
          <w:rPr>
            <w:sz w:val="16"/>
          </w:rPr>
          <w:t xml:space="preserve">&lt;http://www4.pucsp.br/artecidade/itabira.htm&gt;. </w:t>
        </w:r>
      </w:hyperlink>
      <w:r w:rsidR="00330118">
        <w:rPr>
          <w:sz w:val="16"/>
        </w:rPr>
        <w:t>Acesso em 07 set. 2010.</w:t>
      </w:r>
    </w:p>
    <w:p w:rsidR="00D81F69" w:rsidRDefault="00330118">
      <w:pPr>
        <w:spacing w:before="2" w:line="312" w:lineRule="auto"/>
        <w:ind w:left="100" w:right="199"/>
        <w:jc w:val="both"/>
        <w:rPr>
          <w:sz w:val="16"/>
        </w:rPr>
      </w:pPr>
      <w:r>
        <w:rPr>
          <w:sz w:val="16"/>
        </w:rPr>
        <w:t>O</w:t>
      </w:r>
      <w:r>
        <w:rPr>
          <w:sz w:val="16"/>
        </w:rPr>
        <w:t xml:space="preserve"> GLOBO. Itabira, renascimento puxado pela China. In: Instituto Brasileiro de Mineração (Ibram). Brasília, 08 fev. 2010. Disponível em:</w:t>
      </w:r>
    </w:p>
    <w:p w:rsidR="00D81F69" w:rsidRDefault="00D81F69">
      <w:pPr>
        <w:spacing w:before="2" w:line="312" w:lineRule="auto"/>
        <w:ind w:left="100" w:right="198"/>
        <w:jc w:val="both"/>
        <w:rPr>
          <w:sz w:val="16"/>
        </w:rPr>
      </w:pPr>
      <w:hyperlink r:id="rId1123">
        <w:r w:rsidR="00330118">
          <w:rPr>
            <w:sz w:val="16"/>
          </w:rPr>
          <w:t>&lt;http://www.ibram.org.br/150/15001002.asp?ttC</w:t>
        </w:r>
        <w:r w:rsidR="00330118">
          <w:rPr>
            <w:sz w:val="16"/>
          </w:rPr>
          <w:t>D_CHAVE=100890&gt;.</w:t>
        </w:r>
      </w:hyperlink>
      <w:r w:rsidR="00330118">
        <w:rPr>
          <w:sz w:val="16"/>
        </w:rPr>
        <w:t xml:space="preserve"> Acesso em 16 set. 2010.</w:t>
      </w:r>
    </w:p>
    <w:p w:rsidR="00D81F69" w:rsidRDefault="00330118">
      <w:pPr>
        <w:tabs>
          <w:tab w:val="left" w:pos="4331"/>
        </w:tabs>
        <w:spacing w:before="1" w:line="312" w:lineRule="auto"/>
        <w:ind w:left="100" w:right="199"/>
        <w:jc w:val="both"/>
        <w:rPr>
          <w:sz w:val="16"/>
        </w:rPr>
      </w:pPr>
      <w:r>
        <w:rPr>
          <w:sz w:val="16"/>
        </w:rPr>
        <w:t xml:space="preserve">HADDAD, Paulo. Os municípios mineradores de Minas, 15 mai. 2010. D      i      s      p      o      n      í      v  </w:t>
      </w:r>
      <w:r>
        <w:rPr>
          <w:spacing w:val="36"/>
          <w:sz w:val="16"/>
        </w:rPr>
        <w:t xml:space="preserve"> </w:t>
      </w:r>
      <w:r>
        <w:rPr>
          <w:sz w:val="16"/>
        </w:rPr>
        <w:t xml:space="preserve">e    </w:t>
      </w:r>
      <w:r>
        <w:rPr>
          <w:spacing w:val="31"/>
          <w:sz w:val="16"/>
        </w:rPr>
        <w:t xml:space="preserve"> </w:t>
      </w:r>
      <w:r>
        <w:rPr>
          <w:sz w:val="16"/>
        </w:rPr>
        <w:t>l</w:t>
      </w:r>
      <w:r>
        <w:rPr>
          <w:sz w:val="16"/>
        </w:rPr>
        <w:tab/>
        <w:t xml:space="preserve">e      m    </w:t>
      </w:r>
      <w:r>
        <w:rPr>
          <w:spacing w:val="20"/>
          <w:sz w:val="16"/>
        </w:rPr>
        <w:t xml:space="preserve"> </w:t>
      </w:r>
      <w:r>
        <w:rPr>
          <w:sz w:val="16"/>
        </w:rPr>
        <w:t>:</w:t>
      </w:r>
    </w:p>
    <w:p w:rsidR="00D81F69" w:rsidRDefault="00D81F69">
      <w:pPr>
        <w:spacing w:before="2"/>
        <w:ind w:left="100"/>
        <w:rPr>
          <w:sz w:val="16"/>
        </w:rPr>
      </w:pPr>
      <w:hyperlink r:id="rId1124">
        <w:r w:rsidR="00330118">
          <w:rPr>
            <w:sz w:val="16"/>
          </w:rPr>
          <w:t>&lt;http://www.estadao.com.br/estadaodehoje/20100515/not_imp552032</w:t>
        </w:r>
      </w:hyperlink>
    </w:p>
    <w:p w:rsidR="00D81F69" w:rsidRDefault="00330118">
      <w:pPr>
        <w:spacing w:before="56"/>
        <w:ind w:left="100"/>
        <w:rPr>
          <w:sz w:val="16"/>
        </w:rPr>
      </w:pPr>
      <w:r>
        <w:rPr>
          <w:sz w:val="16"/>
        </w:rPr>
        <w:t>,0.php&gt;. Acesso em 06 set. 2010.</w:t>
      </w:r>
    </w:p>
    <w:p w:rsidR="00D81F69" w:rsidRDefault="00330118">
      <w:pPr>
        <w:spacing w:before="56" w:line="312" w:lineRule="auto"/>
        <w:ind w:left="100" w:right="119"/>
        <w:jc w:val="both"/>
        <w:rPr>
          <w:sz w:val="16"/>
        </w:rPr>
      </w:pPr>
      <w:r>
        <w:rPr>
          <w:sz w:val="16"/>
        </w:rPr>
        <w:t xml:space="preserve">IBGE, Instituto Brasileiro de Geografia e Estatística. Itabira. In: IBGE  </w:t>
      </w:r>
      <w:r>
        <w:rPr>
          <w:spacing w:val="36"/>
          <w:sz w:val="16"/>
        </w:rPr>
        <w:t>C</w:t>
      </w:r>
      <w:r>
        <w:rPr>
          <w:sz w:val="16"/>
        </w:rPr>
        <w:t xml:space="preserve"> </w:t>
      </w:r>
      <w:r>
        <w:rPr>
          <w:spacing w:val="36"/>
          <w:sz w:val="16"/>
        </w:rPr>
        <w:t>i</w:t>
      </w:r>
      <w:r>
        <w:rPr>
          <w:sz w:val="16"/>
        </w:rPr>
        <w:t xml:space="preserve"> </w:t>
      </w:r>
      <w:r>
        <w:rPr>
          <w:spacing w:val="36"/>
          <w:sz w:val="16"/>
        </w:rPr>
        <w:t>d</w:t>
      </w:r>
      <w:r>
        <w:rPr>
          <w:sz w:val="16"/>
        </w:rPr>
        <w:t xml:space="preserve"> </w:t>
      </w:r>
      <w:r>
        <w:rPr>
          <w:spacing w:val="36"/>
          <w:sz w:val="16"/>
        </w:rPr>
        <w:t>a</w:t>
      </w:r>
      <w:r>
        <w:rPr>
          <w:sz w:val="16"/>
        </w:rPr>
        <w:t xml:space="preserve"> </w:t>
      </w:r>
      <w:r>
        <w:rPr>
          <w:spacing w:val="36"/>
          <w:sz w:val="16"/>
        </w:rPr>
        <w:t>d</w:t>
      </w:r>
      <w:r>
        <w:rPr>
          <w:sz w:val="16"/>
        </w:rPr>
        <w:t xml:space="preserve"> </w:t>
      </w:r>
      <w:r>
        <w:rPr>
          <w:spacing w:val="36"/>
          <w:sz w:val="16"/>
        </w:rPr>
        <w:t>e</w:t>
      </w:r>
      <w:r>
        <w:rPr>
          <w:sz w:val="16"/>
        </w:rPr>
        <w:t xml:space="preserve"> s</w:t>
      </w:r>
      <w:r>
        <w:rPr>
          <w:spacing w:val="20"/>
          <w:sz w:val="16"/>
        </w:rPr>
        <w:t xml:space="preserve"> </w:t>
      </w:r>
      <w:r>
        <w:rPr>
          <w:spacing w:val="36"/>
          <w:sz w:val="16"/>
        </w:rPr>
        <w:t>2</w:t>
      </w:r>
      <w:r>
        <w:rPr>
          <w:sz w:val="16"/>
        </w:rPr>
        <w:t xml:space="preserve"> </w:t>
      </w:r>
      <w:r>
        <w:rPr>
          <w:spacing w:val="36"/>
          <w:sz w:val="16"/>
        </w:rPr>
        <w:t>0</w:t>
      </w:r>
      <w:r>
        <w:rPr>
          <w:sz w:val="16"/>
        </w:rPr>
        <w:t xml:space="preserve"> </w:t>
      </w:r>
      <w:r>
        <w:rPr>
          <w:spacing w:val="36"/>
          <w:sz w:val="16"/>
        </w:rPr>
        <w:t>1</w:t>
      </w:r>
      <w:r>
        <w:rPr>
          <w:sz w:val="16"/>
        </w:rPr>
        <w:t xml:space="preserve"> </w:t>
      </w:r>
      <w:r>
        <w:rPr>
          <w:spacing w:val="36"/>
          <w:sz w:val="16"/>
        </w:rPr>
        <w:t>0</w:t>
      </w:r>
      <w:r>
        <w:rPr>
          <w:sz w:val="16"/>
        </w:rPr>
        <w:t xml:space="preserve"> .</w:t>
      </w:r>
      <w:r>
        <w:rPr>
          <w:spacing w:val="20"/>
          <w:sz w:val="16"/>
        </w:rPr>
        <w:t xml:space="preserve"> </w:t>
      </w:r>
      <w:r>
        <w:rPr>
          <w:spacing w:val="36"/>
          <w:sz w:val="16"/>
        </w:rPr>
        <w:t>D</w:t>
      </w:r>
      <w:r>
        <w:rPr>
          <w:sz w:val="16"/>
        </w:rPr>
        <w:t xml:space="preserve"> </w:t>
      </w:r>
      <w:r>
        <w:rPr>
          <w:spacing w:val="36"/>
          <w:sz w:val="16"/>
        </w:rPr>
        <w:t>i</w:t>
      </w:r>
      <w:r>
        <w:rPr>
          <w:sz w:val="16"/>
        </w:rPr>
        <w:t xml:space="preserve"> </w:t>
      </w:r>
      <w:r>
        <w:rPr>
          <w:spacing w:val="36"/>
          <w:sz w:val="16"/>
        </w:rPr>
        <w:t>s</w:t>
      </w:r>
      <w:r>
        <w:rPr>
          <w:sz w:val="16"/>
        </w:rPr>
        <w:t xml:space="preserve"> </w:t>
      </w:r>
      <w:r>
        <w:rPr>
          <w:spacing w:val="36"/>
          <w:sz w:val="16"/>
        </w:rPr>
        <w:t>p</w:t>
      </w:r>
      <w:r>
        <w:rPr>
          <w:sz w:val="16"/>
        </w:rPr>
        <w:t xml:space="preserve"> </w:t>
      </w:r>
      <w:r>
        <w:rPr>
          <w:spacing w:val="36"/>
          <w:sz w:val="16"/>
        </w:rPr>
        <w:t>o</w:t>
      </w:r>
      <w:r>
        <w:rPr>
          <w:sz w:val="16"/>
        </w:rPr>
        <w:t xml:space="preserve"> </w:t>
      </w:r>
      <w:r>
        <w:rPr>
          <w:spacing w:val="36"/>
          <w:sz w:val="16"/>
        </w:rPr>
        <w:t>n</w:t>
      </w:r>
      <w:r>
        <w:rPr>
          <w:sz w:val="16"/>
        </w:rPr>
        <w:t xml:space="preserve"> </w:t>
      </w:r>
      <w:r>
        <w:rPr>
          <w:spacing w:val="36"/>
          <w:sz w:val="16"/>
        </w:rPr>
        <w:t>í</w:t>
      </w:r>
      <w:r>
        <w:rPr>
          <w:sz w:val="16"/>
        </w:rPr>
        <w:t xml:space="preserve"> </w:t>
      </w:r>
      <w:r>
        <w:rPr>
          <w:spacing w:val="36"/>
          <w:sz w:val="16"/>
        </w:rPr>
        <w:t>v</w:t>
      </w:r>
      <w:r>
        <w:rPr>
          <w:sz w:val="16"/>
        </w:rPr>
        <w:t xml:space="preserve"> </w:t>
      </w:r>
      <w:r>
        <w:rPr>
          <w:spacing w:val="36"/>
          <w:sz w:val="16"/>
        </w:rPr>
        <w:t>e</w:t>
      </w:r>
      <w:r>
        <w:rPr>
          <w:sz w:val="16"/>
        </w:rPr>
        <w:t xml:space="preserve"> l</w:t>
      </w:r>
      <w:r>
        <w:rPr>
          <w:spacing w:val="20"/>
          <w:sz w:val="16"/>
        </w:rPr>
        <w:t xml:space="preserve"> </w:t>
      </w:r>
      <w:r>
        <w:rPr>
          <w:spacing w:val="36"/>
          <w:sz w:val="16"/>
        </w:rPr>
        <w:t>e</w:t>
      </w:r>
      <w:r>
        <w:rPr>
          <w:sz w:val="16"/>
        </w:rPr>
        <w:t xml:space="preserve"> </w:t>
      </w:r>
      <w:r>
        <w:rPr>
          <w:spacing w:val="36"/>
          <w:sz w:val="16"/>
        </w:rPr>
        <w:t>m</w:t>
      </w:r>
      <w:r>
        <w:rPr>
          <w:sz w:val="16"/>
        </w:rPr>
        <w:t xml:space="preserve"> : </w:t>
      </w:r>
      <w:r>
        <w:rPr>
          <w:spacing w:val="-6"/>
          <w:sz w:val="16"/>
        </w:rPr>
        <w:t xml:space="preserve"> </w:t>
      </w:r>
    </w:p>
    <w:p w:rsidR="00D81F69" w:rsidRDefault="00D81F69">
      <w:pPr>
        <w:spacing w:before="2" w:line="312" w:lineRule="auto"/>
        <w:ind w:left="100" w:right="216"/>
        <w:jc w:val="both"/>
        <w:rPr>
          <w:sz w:val="16"/>
        </w:rPr>
      </w:pPr>
      <w:hyperlink r:id="rId1125">
        <w:r w:rsidR="00330118">
          <w:rPr>
            <w:sz w:val="16"/>
          </w:rPr>
          <w:t xml:space="preserve">&lt;http://www.ibge.gov.br/cidadesat/topwindow.htm?1&gt;. </w:t>
        </w:r>
      </w:hyperlink>
      <w:r w:rsidR="00330118">
        <w:rPr>
          <w:sz w:val="16"/>
        </w:rPr>
        <w:t>Acesso em 24 mar. 2011.</w:t>
      </w:r>
    </w:p>
    <w:p w:rsidR="00D81F69" w:rsidRDefault="00330118">
      <w:pPr>
        <w:spacing w:before="1" w:line="312" w:lineRule="auto"/>
        <w:ind w:left="100" w:right="159"/>
        <w:jc w:val="both"/>
        <w:rPr>
          <w:sz w:val="16"/>
        </w:rPr>
      </w:pPr>
      <w:r>
        <w:rPr>
          <w:sz w:val="16"/>
        </w:rPr>
        <w:t xml:space="preserve">IPAC, Inventário de Proteção do Acervo Cultural de Minas Gerais. In: </w:t>
      </w:r>
      <w:r>
        <w:rPr>
          <w:spacing w:val="30"/>
          <w:sz w:val="16"/>
        </w:rPr>
        <w:t xml:space="preserve">Viva </w:t>
      </w:r>
      <w:r>
        <w:rPr>
          <w:spacing w:val="35"/>
          <w:sz w:val="16"/>
        </w:rPr>
        <w:t xml:space="preserve">Itabira. </w:t>
      </w:r>
      <w:r>
        <w:rPr>
          <w:spacing w:val="30"/>
          <w:sz w:val="16"/>
        </w:rPr>
        <w:t xml:space="preserve">Site </w:t>
      </w:r>
      <w:r>
        <w:rPr>
          <w:spacing w:val="35"/>
          <w:sz w:val="16"/>
        </w:rPr>
        <w:t>[2008]. Disponível</w:t>
      </w:r>
      <w:r>
        <w:rPr>
          <w:spacing w:val="88"/>
          <w:sz w:val="16"/>
        </w:rPr>
        <w:t xml:space="preserve"> </w:t>
      </w:r>
      <w:r>
        <w:rPr>
          <w:spacing w:val="26"/>
          <w:sz w:val="16"/>
        </w:rPr>
        <w:t>em:</w:t>
      </w:r>
      <w:r>
        <w:rPr>
          <w:spacing w:val="-3"/>
          <w:sz w:val="16"/>
        </w:rPr>
        <w:t xml:space="preserve"> </w:t>
      </w:r>
    </w:p>
    <w:p w:rsidR="00D81F69" w:rsidRDefault="00D81F69">
      <w:pPr>
        <w:spacing w:before="2" w:line="312" w:lineRule="auto"/>
        <w:ind w:left="100" w:right="159"/>
        <w:rPr>
          <w:sz w:val="16"/>
        </w:rPr>
      </w:pPr>
      <w:hyperlink r:id="rId1126">
        <w:r w:rsidR="00330118">
          <w:rPr>
            <w:sz w:val="16"/>
          </w:rPr>
          <w:t xml:space="preserve">&lt; h t t p : / / w w w . v i v a i t a b i r a . c o m . b r / v i v a - </w:t>
        </w:r>
      </w:hyperlink>
      <w:r w:rsidR="00330118">
        <w:rPr>
          <w:sz w:val="16"/>
        </w:rPr>
        <w:t>historia/VisualizaConteudo.php?IdConteudo=1&gt;. Acesso em 06 set. 2010.</w:t>
      </w:r>
    </w:p>
    <w:p w:rsidR="00D81F69" w:rsidRDefault="00330118">
      <w:pPr>
        <w:spacing w:before="2" w:line="312" w:lineRule="auto"/>
        <w:ind w:left="100" w:right="195"/>
        <w:jc w:val="both"/>
        <w:rPr>
          <w:sz w:val="16"/>
        </w:rPr>
      </w:pPr>
      <w:r>
        <w:rPr>
          <w:sz w:val="16"/>
        </w:rPr>
        <w:t>MORAES, Edilaila Fernandes; ALVES, José Maria do Carmo Bento; S</w:t>
      </w:r>
      <w:r>
        <w:rPr>
          <w:sz w:val="16"/>
        </w:rPr>
        <w:t>OUZA, Marcone Jamilson Freitas; CABRAL, Ivo Eyer; MARTINS, Alexandre Xavier. Um modelo de programação matemática para otimizar a composição de lotes de minério de ferro da mina Cauê da CVRD, Revista Escola de Minas, v.59, n. 3, Ouro Preto (MG), jul.</w:t>
      </w:r>
    </w:p>
    <w:p w:rsidR="00D81F69" w:rsidRDefault="00330118">
      <w:pPr>
        <w:tabs>
          <w:tab w:val="left" w:pos="1405"/>
          <w:tab w:val="left" w:pos="2629"/>
          <w:tab w:val="left" w:pos="4657"/>
        </w:tabs>
        <w:spacing w:before="5"/>
        <w:ind w:left="100"/>
        <w:rPr>
          <w:sz w:val="16"/>
        </w:rPr>
      </w:pPr>
      <w:r>
        <w:rPr>
          <w:sz w:val="16"/>
        </w:rPr>
        <w:t xml:space="preserve">–  s  </w:t>
      </w:r>
      <w:r>
        <w:rPr>
          <w:sz w:val="16"/>
        </w:rPr>
        <w:t xml:space="preserve">e  t </w:t>
      </w:r>
      <w:r>
        <w:rPr>
          <w:spacing w:val="5"/>
          <w:sz w:val="16"/>
        </w:rPr>
        <w:t xml:space="preserve"> </w:t>
      </w:r>
      <w:r>
        <w:rPr>
          <w:sz w:val="16"/>
        </w:rPr>
        <w:t xml:space="preserve">. </w:t>
      </w:r>
      <w:r>
        <w:rPr>
          <w:sz w:val="16"/>
        </w:rPr>
        <w:t xml:space="preserve"> </w:t>
      </w:r>
      <w:r>
        <w:rPr>
          <w:sz w:val="16"/>
        </w:rPr>
        <w:t>,</w:t>
      </w:r>
      <w:r>
        <w:rPr>
          <w:sz w:val="16"/>
        </w:rPr>
        <w:tab/>
        <w:t xml:space="preserve">2  0  0 </w:t>
      </w:r>
      <w:r>
        <w:rPr>
          <w:spacing w:val="3"/>
          <w:sz w:val="16"/>
        </w:rPr>
        <w:t xml:space="preserve"> </w:t>
      </w:r>
      <w:r>
        <w:rPr>
          <w:sz w:val="16"/>
        </w:rPr>
        <w:t xml:space="preserve">6 </w:t>
      </w:r>
      <w:r>
        <w:rPr>
          <w:sz w:val="16"/>
        </w:rPr>
        <w:t xml:space="preserve"> </w:t>
      </w:r>
      <w:r>
        <w:rPr>
          <w:sz w:val="16"/>
        </w:rPr>
        <w:t>.</w:t>
      </w:r>
      <w:r>
        <w:rPr>
          <w:sz w:val="16"/>
        </w:rPr>
        <w:tab/>
        <w:t xml:space="preserve">D  i  s  p  o  n  í  v </w:t>
      </w:r>
      <w:r>
        <w:rPr>
          <w:spacing w:val="13"/>
          <w:sz w:val="16"/>
        </w:rPr>
        <w:t xml:space="preserve"> </w:t>
      </w:r>
      <w:r>
        <w:rPr>
          <w:sz w:val="16"/>
        </w:rPr>
        <w:t xml:space="preserve">e </w:t>
      </w:r>
      <w:r>
        <w:rPr>
          <w:sz w:val="16"/>
        </w:rPr>
        <w:t xml:space="preserve"> </w:t>
      </w:r>
      <w:r>
        <w:rPr>
          <w:sz w:val="16"/>
        </w:rPr>
        <w:t>l</w:t>
      </w:r>
      <w:r>
        <w:rPr>
          <w:sz w:val="16"/>
        </w:rPr>
        <w:tab/>
        <w:t xml:space="preserve">e  m </w:t>
      </w:r>
      <w:r>
        <w:rPr>
          <w:spacing w:val="2"/>
          <w:sz w:val="16"/>
        </w:rPr>
        <w:t xml:space="preserve"> </w:t>
      </w:r>
      <w:r>
        <w:rPr>
          <w:sz w:val="16"/>
        </w:rPr>
        <w:t xml:space="preserve">: </w:t>
      </w:r>
      <w:r>
        <w:rPr>
          <w:spacing w:val="1"/>
          <w:sz w:val="16"/>
        </w:rPr>
        <w:t xml:space="preserve"> </w:t>
      </w:r>
    </w:p>
    <w:p w:rsidR="00D81F69" w:rsidRDefault="00D81F69">
      <w:pPr>
        <w:spacing w:before="56" w:line="312" w:lineRule="auto"/>
        <w:ind w:left="100" w:right="175"/>
        <w:jc w:val="both"/>
        <w:rPr>
          <w:sz w:val="16"/>
        </w:rPr>
      </w:pPr>
      <w:hyperlink r:id="rId1127">
        <w:r w:rsidR="00330118">
          <w:rPr>
            <w:sz w:val="16"/>
          </w:rPr>
          <w:t xml:space="preserve">&lt;http://www.scielo.br/scielo.php?pid=S0370- </w:t>
        </w:r>
      </w:hyperlink>
      <w:r w:rsidR="00330118">
        <w:rPr>
          <w:sz w:val="16"/>
        </w:rPr>
        <w:t>44672006000300008&amp;script=sci_arttext&amp;tlng=en&gt;. Acesso em 06 set. 2010.</w:t>
      </w:r>
    </w:p>
    <w:p w:rsidR="00D81F69" w:rsidRDefault="00330118">
      <w:pPr>
        <w:spacing w:before="2" w:line="312" w:lineRule="auto"/>
        <w:ind w:left="100" w:right="171"/>
        <w:jc w:val="both"/>
        <w:rPr>
          <w:sz w:val="16"/>
        </w:rPr>
      </w:pPr>
      <w:r>
        <w:rPr>
          <w:spacing w:val="7"/>
          <w:sz w:val="16"/>
        </w:rPr>
        <w:t xml:space="preserve">SILVA; Maria </w:t>
      </w:r>
      <w:r>
        <w:rPr>
          <w:spacing w:val="5"/>
          <w:sz w:val="16"/>
        </w:rPr>
        <w:t xml:space="preserve">das </w:t>
      </w:r>
      <w:r>
        <w:rPr>
          <w:spacing w:val="7"/>
          <w:sz w:val="16"/>
        </w:rPr>
        <w:t xml:space="preserve">Graças Souza; SOUZA, Maria </w:t>
      </w:r>
      <w:r>
        <w:rPr>
          <w:spacing w:val="5"/>
          <w:sz w:val="16"/>
        </w:rPr>
        <w:t xml:space="preserve">do </w:t>
      </w:r>
      <w:r>
        <w:rPr>
          <w:spacing w:val="10"/>
          <w:sz w:val="16"/>
        </w:rPr>
        <w:t xml:space="preserve">Rosário </w:t>
      </w:r>
      <w:r>
        <w:rPr>
          <w:sz w:val="16"/>
        </w:rPr>
        <w:t xml:space="preserve">Guimarães de. Itabira - Vulnerabilidade Ambiental: impactos e riscos </w:t>
      </w:r>
      <w:r>
        <w:rPr>
          <w:spacing w:val="5"/>
          <w:sz w:val="16"/>
        </w:rPr>
        <w:t xml:space="preserve">socioambientais advindos </w:t>
      </w:r>
      <w:r>
        <w:rPr>
          <w:spacing w:val="2"/>
          <w:sz w:val="16"/>
        </w:rPr>
        <w:t xml:space="preserve">da </w:t>
      </w:r>
      <w:r>
        <w:rPr>
          <w:spacing w:val="5"/>
          <w:sz w:val="16"/>
        </w:rPr>
        <w:t xml:space="preserve">mineração </w:t>
      </w:r>
      <w:r>
        <w:rPr>
          <w:spacing w:val="2"/>
          <w:sz w:val="16"/>
        </w:rPr>
        <w:t xml:space="preserve">em </w:t>
      </w:r>
      <w:r>
        <w:rPr>
          <w:spacing w:val="5"/>
          <w:sz w:val="16"/>
        </w:rPr>
        <w:t xml:space="preserve">área urbana, </w:t>
      </w:r>
      <w:r>
        <w:rPr>
          <w:spacing w:val="6"/>
          <w:sz w:val="16"/>
        </w:rPr>
        <w:t xml:space="preserve">XIII </w:t>
      </w:r>
      <w:r>
        <w:rPr>
          <w:sz w:val="16"/>
        </w:rPr>
        <w:t xml:space="preserve">Encontro da Associação Brasileira de Estudos Populacionais, Ouro </w:t>
      </w:r>
      <w:r>
        <w:rPr>
          <w:spacing w:val="23"/>
          <w:sz w:val="16"/>
        </w:rPr>
        <w:t xml:space="preserve">Preto (MG), </w:t>
      </w:r>
      <w:r>
        <w:rPr>
          <w:sz w:val="16"/>
        </w:rPr>
        <w:t xml:space="preserve">4 - 8 </w:t>
      </w:r>
      <w:r>
        <w:rPr>
          <w:spacing w:val="21"/>
          <w:sz w:val="16"/>
        </w:rPr>
        <w:t xml:space="preserve">nov. </w:t>
      </w:r>
      <w:r>
        <w:rPr>
          <w:spacing w:val="23"/>
          <w:sz w:val="16"/>
        </w:rPr>
        <w:t>20</w:t>
      </w:r>
      <w:r>
        <w:rPr>
          <w:spacing w:val="23"/>
          <w:sz w:val="16"/>
        </w:rPr>
        <w:t xml:space="preserve">02. </w:t>
      </w:r>
      <w:r>
        <w:rPr>
          <w:spacing w:val="26"/>
          <w:sz w:val="16"/>
        </w:rPr>
        <w:t>Disponível</w:t>
      </w:r>
      <w:r>
        <w:rPr>
          <w:spacing w:val="25"/>
          <w:sz w:val="16"/>
        </w:rPr>
        <w:t xml:space="preserve"> </w:t>
      </w:r>
      <w:r>
        <w:rPr>
          <w:spacing w:val="20"/>
          <w:sz w:val="16"/>
        </w:rPr>
        <w:t>em:</w:t>
      </w:r>
      <w:r>
        <w:rPr>
          <w:spacing w:val="-14"/>
          <w:sz w:val="16"/>
        </w:rPr>
        <w:t xml:space="preserve"> </w:t>
      </w:r>
    </w:p>
    <w:p w:rsidR="00D81F69" w:rsidRDefault="00D81F69">
      <w:pPr>
        <w:spacing w:before="4" w:line="312" w:lineRule="auto"/>
        <w:ind w:left="100" w:right="216"/>
        <w:jc w:val="both"/>
        <w:rPr>
          <w:sz w:val="16"/>
        </w:rPr>
      </w:pPr>
      <w:hyperlink r:id="rId1128">
        <w:r w:rsidR="00330118">
          <w:rPr>
            <w:sz w:val="16"/>
          </w:rPr>
          <w:t>&lt;http://www.abep.nepo.unicamp.br/docs/anais/pdf/2002/GT_MA_ST3</w:t>
        </w:r>
      </w:hyperlink>
      <w:r w:rsidR="00330118">
        <w:rPr>
          <w:sz w:val="16"/>
        </w:rPr>
        <w:t xml:space="preserve"> 7_Silva_texto.pdf&gt;. Acesso em 06 set. 2010.</w:t>
      </w:r>
    </w:p>
    <w:p w:rsidR="00D81F69" w:rsidRDefault="00330118">
      <w:pPr>
        <w:spacing w:before="2" w:line="312" w:lineRule="auto"/>
        <w:ind w:left="100" w:right="197"/>
        <w:jc w:val="both"/>
        <w:rPr>
          <w:sz w:val="16"/>
        </w:rPr>
      </w:pPr>
      <w:r>
        <w:rPr>
          <w:sz w:val="16"/>
        </w:rPr>
        <w:t>TUBINO, Denise; DEVLIN, John F.; YAP, Nonita. A bu</w:t>
      </w:r>
      <w:r>
        <w:rPr>
          <w:sz w:val="16"/>
        </w:rPr>
        <w:t>sca pela responsabilidade socioambiental em Itabira (MG). In: FERNANDES, Francisco Rego Chaves; ENRÍQUEZ, Maria Amélia Rodrigues da Silva; ALAMINO, Renata de Carvalho Jimenez (Eds.). Recursos</w:t>
      </w:r>
    </w:p>
    <w:p w:rsidR="00D81F69" w:rsidRDefault="00330118">
      <w:pPr>
        <w:spacing w:before="3"/>
        <w:ind w:left="100"/>
        <w:jc w:val="both"/>
        <w:rPr>
          <w:sz w:val="16"/>
        </w:rPr>
      </w:pPr>
      <w:r>
        <w:rPr>
          <w:sz w:val="16"/>
        </w:rPr>
        <w:t>minerais  e  sustentabilidade  territorial:  v.  1.  Rio  de Jan</w:t>
      </w:r>
      <w:r>
        <w:rPr>
          <w:sz w:val="16"/>
        </w:rPr>
        <w:t>eiro:</w:t>
      </w:r>
    </w:p>
    <w:p w:rsidR="00D81F69" w:rsidRDefault="00D81F69">
      <w:pPr>
        <w:jc w:val="both"/>
        <w:rPr>
          <w:sz w:val="16"/>
        </w:rPr>
        <w:sectPr w:rsidR="00D81F69">
          <w:pgSz w:w="11900" w:h="16840"/>
          <w:pgMar w:top="740" w:right="500" w:bottom="720" w:left="620" w:header="0" w:footer="402" w:gutter="0"/>
          <w:cols w:num="2" w:space="720" w:equalWidth="0">
            <w:col w:w="5167" w:space="303"/>
            <w:col w:w="5310"/>
          </w:cols>
        </w:sectPr>
      </w:pPr>
    </w:p>
    <w:p w:rsidR="00D81F69" w:rsidRDefault="00330118">
      <w:pPr>
        <w:spacing w:before="70"/>
        <w:ind w:left="100"/>
        <w:rPr>
          <w:sz w:val="16"/>
        </w:rPr>
      </w:pPr>
      <w:r>
        <w:rPr>
          <w:spacing w:val="23"/>
          <w:sz w:val="16"/>
        </w:rPr>
        <w:lastRenderedPageBreak/>
        <w:t xml:space="preserve">CETEM/MCTI,   </w:t>
      </w:r>
      <w:r>
        <w:rPr>
          <w:spacing w:val="20"/>
          <w:sz w:val="16"/>
        </w:rPr>
        <w:t xml:space="preserve">2011. </w:t>
      </w:r>
      <w:r>
        <w:rPr>
          <w:spacing w:val="85"/>
          <w:sz w:val="16"/>
        </w:rPr>
        <w:t xml:space="preserve"> </w:t>
      </w:r>
      <w:r>
        <w:rPr>
          <w:spacing w:val="12"/>
          <w:sz w:val="16"/>
        </w:rPr>
        <w:t xml:space="preserve">p.   </w:t>
      </w:r>
      <w:r>
        <w:rPr>
          <w:spacing w:val="22"/>
          <w:sz w:val="16"/>
        </w:rPr>
        <w:t xml:space="preserve">307-332.   </w:t>
      </w:r>
      <w:r>
        <w:rPr>
          <w:spacing w:val="23"/>
          <w:sz w:val="16"/>
        </w:rPr>
        <w:t>Disponível</w:t>
      </w:r>
      <w:r>
        <w:rPr>
          <w:spacing w:val="82"/>
          <w:sz w:val="16"/>
        </w:rPr>
        <w:t xml:space="preserve"> </w:t>
      </w:r>
      <w:r>
        <w:rPr>
          <w:spacing w:val="17"/>
          <w:sz w:val="16"/>
        </w:rPr>
        <w:t>em:</w:t>
      </w:r>
      <w:r>
        <w:rPr>
          <w:spacing w:val="-17"/>
          <w:sz w:val="16"/>
        </w:rPr>
        <w:t xml:space="preserve"> </w:t>
      </w:r>
    </w:p>
    <w:p w:rsidR="00D81F69" w:rsidRDefault="00D81F69">
      <w:pPr>
        <w:spacing w:before="56"/>
        <w:ind w:left="100"/>
        <w:rPr>
          <w:sz w:val="16"/>
        </w:rPr>
      </w:pPr>
      <w:hyperlink r:id="rId1129">
        <w:r w:rsidR="00330118">
          <w:rPr>
            <w:sz w:val="16"/>
          </w:rPr>
          <w:t>&lt;http://www.cetem.gov.br/publicacao/livros/Vol_1_GRANDES_MINAS</w:t>
        </w:r>
      </w:hyperlink>
    </w:p>
    <w:p w:rsidR="00D81F69" w:rsidRDefault="00330118">
      <w:pPr>
        <w:spacing w:before="56"/>
        <w:ind w:left="100"/>
        <w:rPr>
          <w:sz w:val="16"/>
        </w:rPr>
      </w:pPr>
      <w:r>
        <w:rPr>
          <w:sz w:val="16"/>
        </w:rPr>
        <w:t>_TOTAL.pdf&gt;</w:t>
      </w:r>
      <w:r>
        <w:rPr>
          <w:sz w:val="16"/>
        </w:rPr>
        <w:t>. Acesso em: 07 fev. 2012.</w:t>
      </w:r>
    </w:p>
    <w:p w:rsidR="00D81F69" w:rsidRDefault="00330118">
      <w:pPr>
        <w:spacing w:before="56" w:line="312" w:lineRule="auto"/>
        <w:ind w:left="100" w:right="56"/>
        <w:jc w:val="both"/>
        <w:rPr>
          <w:sz w:val="16"/>
        </w:rPr>
      </w:pPr>
      <w:r>
        <w:rPr>
          <w:sz w:val="16"/>
        </w:rPr>
        <w:t>VIA COMERCIAL. Conceição Itabiritos – Obras da nova usina da vale em Itabira completam um ano, 17 mar. 2011. Via Comercial. Disponível em:</w:t>
      </w:r>
    </w:p>
    <w:p w:rsidR="00D81F69" w:rsidRDefault="00D81F69">
      <w:pPr>
        <w:spacing w:before="2"/>
        <w:ind w:left="100"/>
        <w:rPr>
          <w:sz w:val="16"/>
        </w:rPr>
      </w:pPr>
      <w:hyperlink r:id="rId1130">
        <w:r w:rsidR="00330118">
          <w:rPr>
            <w:sz w:val="16"/>
          </w:rPr>
          <w:t>&lt;http://www.viacomercial.com.br&gt;.</w:t>
        </w:r>
      </w:hyperlink>
      <w:r w:rsidR="00330118">
        <w:rPr>
          <w:sz w:val="16"/>
        </w:rPr>
        <w:t xml:space="preserve"> Acesso </w:t>
      </w:r>
      <w:r w:rsidR="00330118">
        <w:rPr>
          <w:sz w:val="16"/>
        </w:rPr>
        <w:t>em 04 abr. 2011.</w:t>
      </w:r>
    </w:p>
    <w:p w:rsidR="00D81F69" w:rsidRDefault="00330118">
      <w:pPr>
        <w:tabs>
          <w:tab w:val="left" w:pos="2305"/>
          <w:tab w:val="left" w:pos="4614"/>
        </w:tabs>
        <w:spacing w:before="70" w:line="312" w:lineRule="auto"/>
        <w:ind w:left="100" w:right="201"/>
        <w:jc w:val="both"/>
        <w:rPr>
          <w:sz w:val="16"/>
        </w:rPr>
      </w:pPr>
      <w:r>
        <w:br w:type="column"/>
      </w:r>
      <w:r>
        <w:rPr>
          <w:sz w:val="16"/>
        </w:rPr>
        <w:lastRenderedPageBreak/>
        <w:t xml:space="preserve">VIEIRA, Marta.Terceira onda permite que minério com baixo teor de </w:t>
      </w:r>
      <w:r>
        <w:rPr>
          <w:spacing w:val="5"/>
          <w:sz w:val="16"/>
        </w:rPr>
        <w:t xml:space="preserve">ferro seja enriquecido, </w:t>
      </w:r>
      <w:r>
        <w:rPr>
          <w:spacing w:val="2"/>
          <w:sz w:val="16"/>
        </w:rPr>
        <w:t xml:space="preserve">06  </w:t>
      </w:r>
      <w:r>
        <w:rPr>
          <w:spacing w:val="5"/>
          <w:sz w:val="16"/>
        </w:rPr>
        <w:t xml:space="preserve">jul. 2010. Estado </w:t>
      </w:r>
      <w:r>
        <w:rPr>
          <w:spacing w:val="2"/>
          <w:sz w:val="16"/>
        </w:rPr>
        <w:t xml:space="preserve">de  </w:t>
      </w:r>
      <w:r>
        <w:rPr>
          <w:spacing w:val="5"/>
          <w:sz w:val="16"/>
        </w:rPr>
        <w:t xml:space="preserve">Minas. </w:t>
      </w:r>
      <w:r>
        <w:rPr>
          <w:spacing w:val="3"/>
          <w:sz w:val="16"/>
        </w:rPr>
        <w:t xml:space="preserve">In:  </w:t>
      </w:r>
      <w:r>
        <w:rPr>
          <w:spacing w:val="6"/>
          <w:sz w:val="16"/>
        </w:rPr>
        <w:t xml:space="preserve">Uai    </w:t>
      </w:r>
      <w:r>
        <w:rPr>
          <w:sz w:val="16"/>
        </w:rPr>
        <w:t xml:space="preserve">E </w:t>
      </w:r>
      <w:r>
        <w:rPr>
          <w:spacing w:val="22"/>
          <w:sz w:val="16"/>
        </w:rPr>
        <w:t xml:space="preserve"> </w:t>
      </w:r>
      <w:r>
        <w:rPr>
          <w:sz w:val="16"/>
        </w:rPr>
        <w:t xml:space="preserve">c </w:t>
      </w:r>
      <w:r>
        <w:rPr>
          <w:spacing w:val="22"/>
          <w:sz w:val="16"/>
        </w:rPr>
        <w:t xml:space="preserve"> </w:t>
      </w:r>
      <w:r>
        <w:rPr>
          <w:sz w:val="16"/>
        </w:rPr>
        <w:t xml:space="preserve">o </w:t>
      </w:r>
      <w:r>
        <w:rPr>
          <w:spacing w:val="22"/>
          <w:sz w:val="16"/>
        </w:rPr>
        <w:t xml:space="preserve"> </w:t>
      </w:r>
      <w:r>
        <w:rPr>
          <w:sz w:val="16"/>
        </w:rPr>
        <w:t xml:space="preserve">n </w:t>
      </w:r>
      <w:r>
        <w:rPr>
          <w:spacing w:val="22"/>
          <w:sz w:val="16"/>
        </w:rPr>
        <w:t xml:space="preserve"> </w:t>
      </w:r>
      <w:r>
        <w:rPr>
          <w:sz w:val="16"/>
        </w:rPr>
        <w:t xml:space="preserve">o </w:t>
      </w:r>
      <w:r>
        <w:rPr>
          <w:spacing w:val="22"/>
          <w:sz w:val="16"/>
        </w:rPr>
        <w:t xml:space="preserve"> </w:t>
      </w:r>
      <w:r>
        <w:rPr>
          <w:sz w:val="16"/>
        </w:rPr>
        <w:t xml:space="preserve">m </w:t>
      </w:r>
      <w:r>
        <w:rPr>
          <w:spacing w:val="22"/>
          <w:sz w:val="16"/>
        </w:rPr>
        <w:t xml:space="preserve"> </w:t>
      </w:r>
      <w:r>
        <w:rPr>
          <w:sz w:val="16"/>
        </w:rPr>
        <w:t xml:space="preserve">i </w:t>
      </w:r>
      <w:r>
        <w:rPr>
          <w:spacing w:val="22"/>
          <w:sz w:val="16"/>
        </w:rPr>
        <w:t xml:space="preserve"> </w:t>
      </w:r>
      <w:r>
        <w:rPr>
          <w:sz w:val="16"/>
        </w:rPr>
        <w:t xml:space="preserve">a </w:t>
      </w:r>
      <w:r>
        <w:rPr>
          <w:spacing w:val="22"/>
          <w:sz w:val="16"/>
        </w:rPr>
        <w:t xml:space="preserve"> </w:t>
      </w:r>
      <w:r>
        <w:rPr>
          <w:sz w:val="16"/>
        </w:rPr>
        <w:t>.</w:t>
      </w:r>
      <w:r>
        <w:rPr>
          <w:sz w:val="16"/>
        </w:rPr>
        <w:tab/>
        <w:t xml:space="preserve">D </w:t>
      </w:r>
      <w:r>
        <w:rPr>
          <w:spacing w:val="22"/>
          <w:sz w:val="16"/>
        </w:rPr>
        <w:t xml:space="preserve"> </w:t>
      </w:r>
      <w:r>
        <w:rPr>
          <w:sz w:val="16"/>
        </w:rPr>
        <w:t xml:space="preserve">i </w:t>
      </w:r>
      <w:r>
        <w:rPr>
          <w:spacing w:val="22"/>
          <w:sz w:val="16"/>
        </w:rPr>
        <w:t xml:space="preserve"> </w:t>
      </w:r>
      <w:r>
        <w:rPr>
          <w:sz w:val="16"/>
        </w:rPr>
        <w:t xml:space="preserve">s </w:t>
      </w:r>
      <w:r>
        <w:rPr>
          <w:spacing w:val="22"/>
          <w:sz w:val="16"/>
        </w:rPr>
        <w:t xml:space="preserve"> </w:t>
      </w:r>
      <w:r>
        <w:rPr>
          <w:sz w:val="16"/>
        </w:rPr>
        <w:t xml:space="preserve">p </w:t>
      </w:r>
      <w:r>
        <w:rPr>
          <w:spacing w:val="22"/>
          <w:sz w:val="16"/>
        </w:rPr>
        <w:t xml:space="preserve"> </w:t>
      </w:r>
      <w:r>
        <w:rPr>
          <w:sz w:val="16"/>
        </w:rPr>
        <w:t xml:space="preserve">o </w:t>
      </w:r>
      <w:r>
        <w:rPr>
          <w:spacing w:val="22"/>
          <w:sz w:val="16"/>
        </w:rPr>
        <w:t xml:space="preserve"> </w:t>
      </w:r>
      <w:r>
        <w:rPr>
          <w:sz w:val="16"/>
        </w:rPr>
        <w:t xml:space="preserve">n </w:t>
      </w:r>
      <w:r>
        <w:rPr>
          <w:spacing w:val="22"/>
          <w:sz w:val="16"/>
        </w:rPr>
        <w:t xml:space="preserve"> </w:t>
      </w:r>
      <w:r>
        <w:rPr>
          <w:sz w:val="16"/>
        </w:rPr>
        <w:t xml:space="preserve">í </w:t>
      </w:r>
      <w:r>
        <w:rPr>
          <w:spacing w:val="22"/>
          <w:sz w:val="16"/>
        </w:rPr>
        <w:t xml:space="preserve"> </w:t>
      </w:r>
      <w:r>
        <w:rPr>
          <w:sz w:val="16"/>
        </w:rPr>
        <w:t xml:space="preserve">v </w:t>
      </w:r>
      <w:r>
        <w:rPr>
          <w:spacing w:val="22"/>
          <w:sz w:val="16"/>
        </w:rPr>
        <w:t xml:space="preserve"> </w:t>
      </w:r>
      <w:r>
        <w:rPr>
          <w:sz w:val="16"/>
        </w:rPr>
        <w:t xml:space="preserve">e </w:t>
      </w:r>
      <w:r>
        <w:rPr>
          <w:spacing w:val="22"/>
          <w:sz w:val="16"/>
        </w:rPr>
        <w:t xml:space="preserve"> </w:t>
      </w:r>
      <w:r>
        <w:rPr>
          <w:sz w:val="16"/>
        </w:rPr>
        <w:t>l</w:t>
      </w:r>
      <w:r>
        <w:rPr>
          <w:sz w:val="16"/>
        </w:rPr>
        <w:tab/>
        <w:t>e m</w:t>
      </w:r>
      <w:r>
        <w:rPr>
          <w:spacing w:val="1"/>
          <w:sz w:val="16"/>
        </w:rPr>
        <w:t xml:space="preserve"> </w:t>
      </w:r>
      <w:r>
        <w:rPr>
          <w:sz w:val="16"/>
        </w:rPr>
        <w:t>:</w:t>
      </w:r>
    </w:p>
    <w:p w:rsidR="00D81F69" w:rsidRDefault="00D81F69">
      <w:pPr>
        <w:spacing w:before="2" w:line="312" w:lineRule="auto"/>
        <w:ind w:left="100" w:right="216"/>
        <w:jc w:val="both"/>
        <w:rPr>
          <w:sz w:val="16"/>
        </w:rPr>
      </w:pPr>
      <w:hyperlink r:id="rId1131">
        <w:r w:rsidR="00330118">
          <w:rPr>
            <w:sz w:val="16"/>
          </w:rPr>
          <w:t>&lt;http://www.uai.com.br/htmls/app/noticia173/2010/07/06/noticia_econ</w:t>
        </w:r>
      </w:hyperlink>
      <w:r w:rsidR="00330118">
        <w:rPr>
          <w:sz w:val="16"/>
        </w:rPr>
        <w:t xml:space="preserve"> omia,i=167400/TERCEIRA+ONDA+PERMITE+QUE+MINERIO+COM</w:t>
      </w:r>
    </w:p>
    <w:p w:rsidR="00D81F69" w:rsidRDefault="00330118">
      <w:pPr>
        <w:spacing w:before="2"/>
        <w:ind w:left="100"/>
        <w:jc w:val="both"/>
        <w:rPr>
          <w:sz w:val="16"/>
        </w:rPr>
      </w:pPr>
      <w:r>
        <w:rPr>
          <w:sz w:val="16"/>
        </w:rPr>
        <w:t>+BAIXO+TEOR+DE+FERRO+SEJA+ENRIQUECIDO.shtml&gt;. Acesso</w:t>
      </w:r>
    </w:p>
    <w:p w:rsidR="00D81F69" w:rsidRDefault="00330118">
      <w:pPr>
        <w:spacing w:before="56"/>
        <w:ind w:left="100"/>
        <w:jc w:val="both"/>
        <w:rPr>
          <w:sz w:val="16"/>
        </w:rPr>
      </w:pPr>
      <w:r>
        <w:rPr>
          <w:sz w:val="16"/>
        </w:rPr>
        <w:t>em 06 set. 2010.</w:t>
      </w:r>
    </w:p>
    <w:p w:rsidR="00D81F69" w:rsidRDefault="00D81F69">
      <w:pPr>
        <w:jc w:val="both"/>
        <w:rPr>
          <w:sz w:val="16"/>
        </w:rPr>
        <w:sectPr w:rsidR="00D81F69">
          <w:pgSz w:w="11900" w:h="16840"/>
          <w:pgMar w:top="740" w:right="500" w:bottom="720" w:left="620" w:header="0" w:footer="402" w:gutter="0"/>
          <w:cols w:num="2" w:space="720" w:equalWidth="0">
            <w:col w:w="5176" w:space="294"/>
            <w:col w:w="5310"/>
          </w:cols>
        </w:sectPr>
      </w:pPr>
    </w:p>
    <w:p w:rsidR="00D81F69" w:rsidRDefault="00330118">
      <w:pPr>
        <w:pStyle w:val="Heading1"/>
        <w:spacing w:line="208" w:lineRule="auto"/>
        <w:ind w:right="179"/>
        <w:jc w:val="both"/>
      </w:pPr>
      <w:r>
        <w:lastRenderedPageBreak/>
        <w:t>Complexo mina/usina de Brucutu (MG) gera crescimento econômico, mas causa impactos socioambientais</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32"/>
        <w:rPr>
          <w:i/>
          <w:sz w:val="14"/>
        </w:rPr>
      </w:pPr>
      <w:r>
        <w:rPr>
          <w:i/>
          <w:sz w:val="14"/>
        </w:rPr>
        <w:t>MG - Barão de Cocais MG - São Gonçalo do Rio Abaixo</w:t>
      </w:r>
    </w:p>
    <w:p w:rsidR="00D81F69" w:rsidRDefault="00D81F69">
      <w:pPr>
        <w:pStyle w:val="Corpodetexto"/>
        <w:spacing w:before="5"/>
        <w:ind w:left="0"/>
        <w:jc w:val="left"/>
        <w:rPr>
          <w:i/>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-19,85762971</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-43,3753695</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4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Brucutu, o maior complexo mina/usina do mundo em capacidade inicial de produção de minério de ferro, pertencente à Vale, vem mudando a realidade de pequenos municípios mineiros, como São Gonçalo do Rio Abaixo e Barão de Cocais. Desd</w:t>
      </w:r>
      <w:r>
        <w:rPr>
          <w:i/>
          <w:sz w:val="16"/>
        </w:rPr>
        <w:t>e o início das operações do complexo, em 2006, a região vem experimentando intenso crescimento econômico e vários impactos socioambientais causados pela iniciativa.</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4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line="312" w:lineRule="auto"/>
        <w:ind w:left="135" w:right="213"/>
      </w:pPr>
      <w:r>
        <w:t>município de São Gonçalo do Rio Abaixo, a 100 km da capital Belo Horizonte (ROBERTO, 2010), que se encontra a mina Brucutu (TRINDADE, 2007; ALVES; DINIZ, 2008; SPINOLA et</w:t>
      </w:r>
    </w:p>
    <w:p w:rsidR="00D81F69" w:rsidRDefault="00330118">
      <w:pPr>
        <w:pStyle w:val="Corpodetexto"/>
        <w:spacing w:before="3" w:line="312" w:lineRule="auto"/>
        <w:ind w:left="135" w:right="196"/>
      </w:pPr>
      <w:r>
        <w:t>al., 2009; ROBERTO, 2010). Fruto de um investimento de US$ 1,1 bilhão, Brucutu é a ma</w:t>
      </w:r>
      <w:r>
        <w:t>ior mina da Vale no Sistema Sudeste, composto por Itabira, Mariana e pelo complexo das Minas Centrais (VALE, 2010), que conta ainda com as minas de Gongo Soco (em Barão de Cocais), Água Limpa (em Rio Piracicaba) e Andrade (em Itabira) (BRASIL MINERAL, 2006</w:t>
      </w:r>
      <w:r>
        <w:t>; ROBERTO, 2010).</w:t>
      </w:r>
    </w:p>
    <w:p w:rsidR="00D81F69" w:rsidRDefault="00330118">
      <w:pPr>
        <w:pStyle w:val="Corpodetexto"/>
        <w:spacing w:before="137" w:line="312" w:lineRule="auto"/>
        <w:ind w:left="135" w:right="207"/>
      </w:pPr>
      <w:r>
        <w:t>Trata-se do maior complexo mina/usina do mundo em capacidade inicial de produção de minério de ferro (SPINOLA et al., 2009): 30 milhões de toneladas por ano, volume</w:t>
      </w:r>
    </w:p>
    <w:p w:rsidR="00D81F69" w:rsidRDefault="00D81F69">
      <w:pPr>
        <w:spacing w:line="312" w:lineRule="auto"/>
        <w:sectPr w:rsidR="00D81F69">
          <w:type w:val="continuous"/>
          <w:pgSz w:w="11900" w:h="16840"/>
          <w:pgMar w:top="720" w:right="500" w:bottom="280" w:left="620" w:header="720" w:footer="720" w:gutter="0"/>
          <w:cols w:num="3" w:space="720" w:equalWidth="0">
            <w:col w:w="1778" w:space="222"/>
            <w:col w:w="3133" w:space="302"/>
            <w:col w:w="5345"/>
          </w:cols>
        </w:sectPr>
      </w:pPr>
    </w:p>
    <w:p w:rsidR="00D81F69" w:rsidRDefault="00330118">
      <w:pPr>
        <w:pStyle w:val="Heading4"/>
        <w:spacing w:before="26"/>
        <w:jc w:val="left"/>
      </w:pPr>
      <w:r>
        <w:lastRenderedPageBreak/>
        <w:t>APRESENTAÇÃO DE CASO</w:t>
      </w:r>
    </w:p>
    <w:p w:rsidR="00D81F69" w:rsidRDefault="00330118">
      <w:pPr>
        <w:pStyle w:val="Corpodetexto"/>
        <w:spacing w:before="170" w:line="312" w:lineRule="auto"/>
        <w:ind w:right="43"/>
        <w:jc w:val="left"/>
      </w:pPr>
      <w:r>
        <w:t>Na bacia do Rio Pira</w:t>
      </w:r>
      <w:r>
        <w:t xml:space="preserve">cicaba localiza-se um dos maiores polos </w:t>
      </w:r>
      <w:r>
        <w:rPr>
          <w:spacing w:val="1"/>
        </w:rPr>
        <w:t xml:space="preserve">da </w:t>
      </w:r>
      <w:r>
        <w:rPr>
          <w:spacing w:val="3"/>
        </w:rPr>
        <w:t xml:space="preserve">economia </w:t>
      </w:r>
      <w:r>
        <w:rPr>
          <w:spacing w:val="1"/>
        </w:rPr>
        <w:t xml:space="preserve">de </w:t>
      </w:r>
      <w:r>
        <w:rPr>
          <w:spacing w:val="3"/>
        </w:rPr>
        <w:t xml:space="preserve">Minas Gerais. Entre </w:t>
      </w:r>
      <w:r>
        <w:rPr>
          <w:spacing w:val="1"/>
        </w:rPr>
        <w:t xml:space="preserve">as </w:t>
      </w:r>
      <w:r>
        <w:rPr>
          <w:spacing w:val="3"/>
        </w:rPr>
        <w:t xml:space="preserve">várias </w:t>
      </w:r>
      <w:r>
        <w:rPr>
          <w:spacing w:val="5"/>
        </w:rPr>
        <w:t xml:space="preserve">atividades </w:t>
      </w:r>
      <w:r>
        <w:t>produtivas da região, destacam-se a siderurgia, a mineração   e a celulose. Com cerca de 6.000 km², a bacia é composta por 21 municípios, abrangendo o Quadrilát</w:t>
      </w:r>
      <w:r>
        <w:t xml:space="preserve">ero Ferrífero e o Vale do Aço. O bioma local é a Mata Atlântica, um dos mais ricos </w:t>
      </w:r>
      <w:r>
        <w:rPr>
          <w:spacing w:val="6"/>
        </w:rPr>
        <w:t xml:space="preserve">em </w:t>
      </w:r>
      <w:r>
        <w:rPr>
          <w:spacing w:val="12"/>
        </w:rPr>
        <w:t xml:space="preserve">biodiversidade </w:t>
      </w:r>
      <w:r>
        <w:rPr>
          <w:spacing w:val="6"/>
        </w:rPr>
        <w:t xml:space="preserve">do </w:t>
      </w:r>
      <w:r>
        <w:rPr>
          <w:spacing w:val="12"/>
        </w:rPr>
        <w:t xml:space="preserve">planeta. </w:t>
      </w:r>
      <w:r>
        <w:rPr>
          <w:spacing w:val="6"/>
        </w:rPr>
        <w:t xml:space="preserve">No </w:t>
      </w:r>
      <w:r>
        <w:rPr>
          <w:spacing w:val="12"/>
        </w:rPr>
        <w:t xml:space="preserve">entanto, </w:t>
      </w:r>
      <w:r>
        <w:rPr>
          <w:spacing w:val="10"/>
        </w:rPr>
        <w:t xml:space="preserve">com </w:t>
      </w:r>
      <w:r>
        <w:t>o desmatamento, acelerado pelas indústrias siderúrgicas, pela mineração e pela silvicultura, estima-se que menos de 1% da área esteja em estágio primário (TRINDADE,</w:t>
      </w:r>
      <w:r>
        <w:rPr>
          <w:spacing w:val="33"/>
        </w:rPr>
        <w:t xml:space="preserve"> </w:t>
      </w:r>
      <w:r>
        <w:t>2007).</w:t>
      </w:r>
    </w:p>
    <w:p w:rsidR="00D81F69" w:rsidRDefault="00330118">
      <w:pPr>
        <w:pStyle w:val="Corpodetexto"/>
        <w:spacing w:before="140" w:line="312" w:lineRule="auto"/>
        <w:ind w:right="77"/>
      </w:pPr>
      <w:r>
        <w:t xml:space="preserve">Vários dos municípios que compõem a bacia surgiram em função da exploração do ouro. </w:t>
      </w:r>
      <w:r>
        <w:t xml:space="preserve">Atualmente, além do ouro, extraído em pequena escala devido à quase exaustão das minas, os principais recursos explorados na região são o manganês, as esmeraldas e, principalmente, o minério de </w:t>
      </w:r>
      <w:hyperlink r:id="rId1132">
        <w:r>
          <w:t xml:space="preserve">ferro, </w:t>
        </w:r>
      </w:hyperlink>
      <w:r>
        <w:t>produzido em larga escala e voltado basicamente à exportação (TRINDADE, 2007).</w:t>
      </w:r>
    </w:p>
    <w:p w:rsidR="00D81F69" w:rsidRDefault="00330118">
      <w:pPr>
        <w:pStyle w:val="Corpodetexto"/>
        <w:spacing w:before="136" w:line="312" w:lineRule="auto"/>
        <w:ind w:right="70"/>
      </w:pPr>
      <w:r>
        <w:t xml:space="preserve">A </w:t>
      </w:r>
      <w:r>
        <w:rPr>
          <w:spacing w:val="8"/>
        </w:rPr>
        <w:t xml:space="preserve">mineração </w:t>
      </w:r>
      <w:r>
        <w:rPr>
          <w:spacing w:val="5"/>
        </w:rPr>
        <w:t xml:space="preserve">na </w:t>
      </w:r>
      <w:r>
        <w:rPr>
          <w:spacing w:val="8"/>
        </w:rPr>
        <w:t xml:space="preserve">região </w:t>
      </w:r>
      <w:r>
        <w:rPr>
          <w:spacing w:val="7"/>
        </w:rPr>
        <w:t xml:space="preserve">vem, desde seus </w:t>
      </w:r>
      <w:r>
        <w:rPr>
          <w:spacing w:val="10"/>
        </w:rPr>
        <w:t xml:space="preserve">primórdios, </w:t>
      </w:r>
      <w:r>
        <w:t>causando vários danos ambientais, afetando solos, poluindo e assoreando cursos de água. As a</w:t>
      </w:r>
      <w:r>
        <w:t xml:space="preserve">tuais minas de minério de </w:t>
      </w:r>
      <w:r>
        <w:rPr>
          <w:spacing w:val="3"/>
        </w:rPr>
        <w:t xml:space="preserve">ferro </w:t>
      </w:r>
      <w:r>
        <w:rPr>
          <w:spacing w:val="5"/>
        </w:rPr>
        <w:t xml:space="preserve">ocupam grandes extensões </w:t>
      </w:r>
      <w:r>
        <w:t xml:space="preserve">a </w:t>
      </w:r>
      <w:r>
        <w:rPr>
          <w:spacing w:val="3"/>
        </w:rPr>
        <w:t xml:space="preserve">céu </w:t>
      </w:r>
      <w:r>
        <w:rPr>
          <w:spacing w:val="5"/>
        </w:rPr>
        <w:t xml:space="preserve">aberto, gerando </w:t>
      </w:r>
      <w:r>
        <w:rPr>
          <w:spacing w:val="10"/>
        </w:rPr>
        <w:t xml:space="preserve">contaminação </w:t>
      </w:r>
      <w:r>
        <w:rPr>
          <w:spacing w:val="5"/>
        </w:rPr>
        <w:t xml:space="preserve">do ar </w:t>
      </w:r>
      <w:r>
        <w:rPr>
          <w:spacing w:val="8"/>
        </w:rPr>
        <w:t xml:space="preserve">devido </w:t>
      </w:r>
      <w:r>
        <w:t xml:space="preserve">à </w:t>
      </w:r>
      <w:r>
        <w:rPr>
          <w:spacing w:val="7"/>
        </w:rPr>
        <w:t xml:space="preserve">ação </w:t>
      </w:r>
      <w:r>
        <w:rPr>
          <w:spacing w:val="6"/>
        </w:rPr>
        <w:t xml:space="preserve">dos </w:t>
      </w:r>
      <w:r>
        <w:rPr>
          <w:spacing w:val="8"/>
        </w:rPr>
        <w:t xml:space="preserve">ventos </w:t>
      </w:r>
      <w:r>
        <w:rPr>
          <w:spacing w:val="10"/>
        </w:rPr>
        <w:t>sobre</w:t>
      </w:r>
      <w:r>
        <w:rPr>
          <w:spacing w:val="71"/>
        </w:rPr>
        <w:t xml:space="preserve"> </w:t>
      </w:r>
      <w:r>
        <w:rPr>
          <w:spacing w:val="8"/>
        </w:rPr>
        <w:t xml:space="preserve">partículas provenientes </w:t>
      </w:r>
      <w:r>
        <w:rPr>
          <w:spacing w:val="5"/>
        </w:rPr>
        <w:t xml:space="preserve">das </w:t>
      </w:r>
      <w:r>
        <w:rPr>
          <w:spacing w:val="7"/>
        </w:rPr>
        <w:t xml:space="preserve">minas </w:t>
      </w:r>
      <w:r>
        <w:rPr>
          <w:spacing w:val="8"/>
        </w:rPr>
        <w:t>(TRINDADE,</w:t>
      </w:r>
      <w:r>
        <w:rPr>
          <w:spacing w:val="7"/>
        </w:rPr>
        <w:t xml:space="preserve"> </w:t>
      </w:r>
      <w:r>
        <w:rPr>
          <w:spacing w:val="10"/>
        </w:rPr>
        <w:t>2007).</w:t>
      </w:r>
    </w:p>
    <w:p w:rsidR="00D81F69" w:rsidRDefault="00330118">
      <w:pPr>
        <w:pStyle w:val="Corpodetexto"/>
        <w:spacing w:before="136" w:line="312" w:lineRule="auto"/>
        <w:ind w:right="88"/>
      </w:pPr>
      <w:r>
        <w:t xml:space="preserve">A </w:t>
      </w:r>
      <w:r>
        <w:rPr>
          <w:spacing w:val="3"/>
        </w:rPr>
        <w:t xml:space="preserve">urbanização </w:t>
      </w:r>
      <w:r>
        <w:rPr>
          <w:spacing w:val="2"/>
        </w:rPr>
        <w:t xml:space="preserve">não </w:t>
      </w:r>
      <w:r>
        <w:rPr>
          <w:spacing w:val="3"/>
        </w:rPr>
        <w:t xml:space="preserve">planejada também </w:t>
      </w:r>
      <w:r>
        <w:t xml:space="preserve">é </w:t>
      </w:r>
      <w:r>
        <w:rPr>
          <w:spacing w:val="3"/>
        </w:rPr>
        <w:t xml:space="preserve">responsável </w:t>
      </w:r>
      <w:r>
        <w:rPr>
          <w:spacing w:val="5"/>
        </w:rPr>
        <w:t xml:space="preserve">por </w:t>
      </w:r>
      <w:r>
        <w:rPr>
          <w:spacing w:val="10"/>
        </w:rPr>
        <w:t>diversos problemas soc</w:t>
      </w:r>
      <w:r>
        <w:rPr>
          <w:spacing w:val="10"/>
        </w:rPr>
        <w:t xml:space="preserve">ioambientais. </w:t>
      </w:r>
      <w:r>
        <w:t xml:space="preserve">A </w:t>
      </w:r>
      <w:r>
        <w:rPr>
          <w:spacing w:val="8"/>
        </w:rPr>
        <w:t xml:space="preserve">bacia </w:t>
      </w:r>
      <w:r>
        <w:rPr>
          <w:spacing w:val="5"/>
        </w:rPr>
        <w:t xml:space="preserve">do </w:t>
      </w:r>
      <w:r>
        <w:rPr>
          <w:spacing w:val="11"/>
        </w:rPr>
        <w:t xml:space="preserve">rio </w:t>
      </w:r>
      <w:r>
        <w:t xml:space="preserve">Piracicaba foi alvo de povoamento descontrolado na época do </w:t>
      </w:r>
      <w:r>
        <w:rPr>
          <w:spacing w:val="3"/>
        </w:rPr>
        <w:t xml:space="preserve">descobrimento </w:t>
      </w:r>
      <w:r>
        <w:rPr>
          <w:spacing w:val="1"/>
        </w:rPr>
        <w:t xml:space="preserve">do </w:t>
      </w:r>
      <w:r>
        <w:rPr>
          <w:spacing w:val="3"/>
        </w:rPr>
        <w:t xml:space="preserve">ouro. </w:t>
      </w:r>
      <w:r>
        <w:rPr>
          <w:spacing w:val="2"/>
        </w:rPr>
        <w:t xml:space="preserve">Com </w:t>
      </w:r>
      <w:r>
        <w:t xml:space="preserve">a </w:t>
      </w:r>
      <w:r>
        <w:rPr>
          <w:spacing w:val="3"/>
        </w:rPr>
        <w:t xml:space="preserve">exploração </w:t>
      </w:r>
      <w:r>
        <w:rPr>
          <w:spacing w:val="1"/>
        </w:rPr>
        <w:t xml:space="preserve">do </w:t>
      </w:r>
      <w:r>
        <w:rPr>
          <w:spacing w:val="3"/>
        </w:rPr>
        <w:t xml:space="preserve">minério </w:t>
      </w:r>
      <w:r>
        <w:rPr>
          <w:spacing w:val="5"/>
        </w:rPr>
        <w:t xml:space="preserve">de </w:t>
      </w:r>
      <w:r>
        <w:rPr>
          <w:spacing w:val="1"/>
        </w:rPr>
        <w:t xml:space="preserve">ferro, </w:t>
      </w:r>
      <w:r>
        <w:t xml:space="preserve">um </w:t>
      </w:r>
      <w:r>
        <w:rPr>
          <w:spacing w:val="1"/>
        </w:rPr>
        <w:t xml:space="preserve">novo contingente populacional </w:t>
      </w:r>
      <w:r>
        <w:t xml:space="preserve">foi </w:t>
      </w:r>
      <w:r>
        <w:rPr>
          <w:spacing w:val="1"/>
        </w:rPr>
        <w:t xml:space="preserve">atraído para </w:t>
      </w:r>
      <w:r>
        <w:t>a região, com destaque, nos dias de hoje, para os municí</w:t>
      </w:r>
      <w:r>
        <w:t>pios  de São Gonçalo do Rio Abaixo e Barão de Cocais, localizados no Quadrilátero Ferrífero (TRINDADE, 2007).</w:t>
      </w:r>
    </w:p>
    <w:p w:rsidR="00D81F69" w:rsidRDefault="00330118">
      <w:pPr>
        <w:pStyle w:val="Corpodetexto"/>
        <w:spacing w:before="137"/>
      </w:pPr>
      <w:r>
        <w:t>Com 363,811 km² e 9.777 habitantes (IBGE, 2010a), é no</w:t>
      </w:r>
    </w:p>
    <w:p w:rsidR="00D81F69" w:rsidRDefault="00330118">
      <w:pPr>
        <w:pStyle w:val="Corpodetexto"/>
        <w:spacing w:before="2" w:line="312" w:lineRule="auto"/>
        <w:ind w:right="213"/>
      </w:pPr>
      <w:r>
        <w:br w:type="column"/>
      </w:r>
      <w:r>
        <w:lastRenderedPageBreak/>
        <w:t>atingido pela primeira vez em 2010, quatro anos depois da inauguração do empreendimento (A</w:t>
      </w:r>
      <w:r>
        <w:t>LVARENGA, 2011).</w:t>
      </w:r>
    </w:p>
    <w:p w:rsidR="00D81F69" w:rsidRDefault="00330118">
      <w:pPr>
        <w:pStyle w:val="Corpodetexto"/>
        <w:spacing w:before="132"/>
      </w:pPr>
      <w:r>
        <w:t>O complexo abrange três áreas, denominadas Brucutu I, II, e</w:t>
      </w:r>
    </w:p>
    <w:p w:rsidR="00D81F69" w:rsidRDefault="00330118">
      <w:pPr>
        <w:pStyle w:val="Corpodetexto"/>
        <w:spacing w:before="63" w:line="312" w:lineRule="auto"/>
        <w:ind w:right="214"/>
      </w:pPr>
      <w:r>
        <w:t>III. A primeira área contém a mina genericamente chamada  de Brucutu. As pesquisas minerais na região foram iniciadas pela Mineração Santa Mônica Ltda., que obteve o Decreto de Lavra em 1972. Vinte anos depois, a Vale adquiriu as áreas do complexo mineiro,</w:t>
      </w:r>
      <w:r>
        <w:t xml:space="preserve"> com requerimento de transferências de direitos para empresa. Até 2004, as atividades de lavra foram paralisadas e retomadas algumas vezes (ROBERTO,</w:t>
      </w:r>
      <w:r>
        <w:rPr>
          <w:spacing w:val="22"/>
        </w:rPr>
        <w:t xml:space="preserve"> </w:t>
      </w:r>
      <w:r>
        <w:t>2010).</w:t>
      </w:r>
    </w:p>
    <w:p w:rsidR="00D81F69" w:rsidRDefault="00330118">
      <w:pPr>
        <w:pStyle w:val="Corpodetexto"/>
        <w:spacing w:before="137" w:line="312" w:lineRule="auto"/>
        <w:ind w:right="210"/>
      </w:pPr>
      <w:r>
        <w:t>Em 2004, foram realizados novos estudos de reserva com o objetivo de expandir a mina e implantar uma</w:t>
      </w:r>
      <w:r>
        <w:t xml:space="preserve"> unidade de beneficiamento. A ideia era tornar Brucutu uma instalação de beneficiamento com tamanho e capacidade de produção de minério de ferro entre as maiores do mundo. O start-up da instalação de beneficiamento foi realizado em outubro de 2006 (BRASIL </w:t>
      </w:r>
      <w:r>
        <w:t>MINERAL, 2006; ROBERTO, 2010).</w:t>
      </w:r>
    </w:p>
    <w:p w:rsidR="00D81F69" w:rsidRDefault="00330118">
      <w:pPr>
        <w:pStyle w:val="Corpodetexto"/>
        <w:spacing w:before="136" w:line="312" w:lineRule="auto"/>
        <w:ind w:right="208"/>
      </w:pPr>
      <w:r>
        <w:t>A usina de concentração de minério e o carregamento ferroviário são automatizados. A mina funciona 24 horas por dia, em três turnos de trabalho, para garantir o abastecimento das locomotivas que partem pela Estrada de Ferro V</w:t>
      </w:r>
      <w:r>
        <w:t>itória a Minas (EFVM) (TRINDADE, 2007; VALE, 2010), para o Porto</w:t>
      </w:r>
    </w:p>
    <w:p w:rsidR="00D81F69" w:rsidRDefault="00330118">
      <w:pPr>
        <w:pStyle w:val="Corpodetexto"/>
        <w:spacing w:before="5" w:line="312" w:lineRule="auto"/>
        <w:ind w:right="189"/>
      </w:pPr>
      <w:r>
        <w:t xml:space="preserve">de Tubarão, em Vitória (ES). Por dia, são abastecidos cerca de 2 mil vagões, com capacidade média de 80 toneladas cada um. A produção de Brucutu é voltada 100% para exportação. Seu principal </w:t>
      </w:r>
      <w:r>
        <w:t xml:space="preserve">destino é a China, que, em 2010, recebeu 48% do minério de ferro exportado pelo Brasil, segundo dados do </w:t>
      </w:r>
      <w:r>
        <w:rPr>
          <w:spacing w:val="5"/>
        </w:rPr>
        <w:t xml:space="preserve">Instituto Brasileiro </w:t>
      </w:r>
      <w:r>
        <w:rPr>
          <w:spacing w:val="2"/>
        </w:rPr>
        <w:t xml:space="preserve">de </w:t>
      </w:r>
      <w:r>
        <w:rPr>
          <w:spacing w:val="5"/>
        </w:rPr>
        <w:t xml:space="preserve">Mineração (Ibram) </w:t>
      </w:r>
      <w:r>
        <w:rPr>
          <w:spacing w:val="6"/>
        </w:rPr>
        <w:t>(ALVARENGA, 2011).</w:t>
      </w:r>
    </w:p>
    <w:p w:rsidR="00D81F69" w:rsidRDefault="00330118">
      <w:pPr>
        <w:pStyle w:val="Corpodetexto"/>
        <w:spacing w:before="73" w:line="270" w:lineRule="atLeast"/>
        <w:ind w:right="187"/>
      </w:pPr>
      <w:r>
        <w:t>A economia de São Gonçalo do Rio Abaixo, antes assentada na agropecuária, passou a ser baseada na mineração, fazendo com que o município adquirisse características de cidade monoindustrial (DIAS, 2005 apud TRINDADE, 2007). Beneficiada pelos royalties da mi</w:t>
      </w:r>
      <w:r>
        <w:t>neração, a arrecadação do</w:t>
      </w:r>
    </w:p>
    <w:p w:rsidR="00D81F69" w:rsidRDefault="00D81F69">
      <w:pPr>
        <w:spacing w:line="270" w:lineRule="atLeast"/>
        <w:sectPr w:rsidR="00D81F69">
          <w:type w:val="continuous"/>
          <w:pgSz w:w="11900" w:h="16840"/>
          <w:pgMar w:top="720" w:right="500" w:bottom="280" w:left="620" w:header="720" w:footer="720" w:gutter="0"/>
          <w:cols w:num="2" w:space="720" w:equalWidth="0">
            <w:col w:w="5196" w:space="274"/>
            <w:col w:w="5310"/>
          </w:cols>
        </w:sectPr>
      </w:pPr>
    </w:p>
    <w:p w:rsidR="00D81F69" w:rsidRDefault="00330118">
      <w:pPr>
        <w:pStyle w:val="Corpodetexto"/>
        <w:spacing w:before="81" w:line="312" w:lineRule="auto"/>
        <w:ind w:right="95"/>
      </w:pPr>
      <w:r>
        <w:lastRenderedPageBreak/>
        <w:t>município saltou de R$ 33,8 milhões, em 2006, para R$ 94,5 milhões, em 2010. Neste mesmo ano, o número de empregos diretos e indiretos gerados somente na cidade chegou a 400 (ALVARENGA, 2011).</w:t>
      </w:r>
    </w:p>
    <w:p w:rsidR="00D81F69" w:rsidRDefault="00330118">
      <w:pPr>
        <w:pStyle w:val="Corpodetexto"/>
        <w:spacing w:before="134" w:line="312" w:lineRule="auto"/>
        <w:ind w:right="73"/>
      </w:pPr>
      <w:r>
        <w:t>Para viabi</w:t>
      </w:r>
      <w:r>
        <w:t>lizar o projeto Brucutu, a Vale firmou um acordo com a prefeitura do município para realização de algumas medidas compensatórias (VALE, 2008 apud VIDAL, 2008), como o programa Formação Profissional, desenvolvido em parceria com o Serviço Nacional de Aprend</w:t>
      </w:r>
      <w:r>
        <w:t>izagem Industrial (Senai). Com a instalação da mina, vários outros cursos foram criados na região para atender à demanda crescente de empregos na área de mineração, dentre eles o curso de Engenharia de Minas, no campus da Universidade Federal de Ouro Preto</w:t>
      </w:r>
      <w:r>
        <w:t>, no município de João Monlevade (VIDAL, 2008).</w:t>
      </w:r>
    </w:p>
    <w:p w:rsidR="00D81F69" w:rsidRDefault="00330118">
      <w:pPr>
        <w:pStyle w:val="Corpodetexto"/>
        <w:spacing w:before="139" w:line="312" w:lineRule="auto"/>
        <w:ind w:right="80"/>
      </w:pPr>
      <w:r>
        <w:rPr>
          <w:spacing w:val="6"/>
        </w:rPr>
        <w:t xml:space="preserve">No </w:t>
      </w:r>
      <w:r>
        <w:rPr>
          <w:spacing w:val="12"/>
        </w:rPr>
        <w:t xml:space="preserve">entanto, </w:t>
      </w:r>
      <w:r>
        <w:rPr>
          <w:spacing w:val="11"/>
        </w:rPr>
        <w:t xml:space="preserve">apesar </w:t>
      </w:r>
      <w:r>
        <w:rPr>
          <w:spacing w:val="10"/>
        </w:rPr>
        <w:t xml:space="preserve">das </w:t>
      </w:r>
      <w:r>
        <w:rPr>
          <w:spacing w:val="12"/>
        </w:rPr>
        <w:t xml:space="preserve">operações </w:t>
      </w:r>
      <w:r>
        <w:rPr>
          <w:spacing w:val="6"/>
        </w:rPr>
        <w:t xml:space="preserve">da </w:t>
      </w:r>
      <w:r>
        <w:rPr>
          <w:spacing w:val="10"/>
        </w:rPr>
        <w:t xml:space="preserve">Vale </w:t>
      </w:r>
      <w:r>
        <w:rPr>
          <w:spacing w:val="11"/>
        </w:rPr>
        <w:t xml:space="preserve">terem </w:t>
      </w:r>
      <w:r>
        <w:t xml:space="preserve">impulsionado o crescimento econômico de São Gonçalo do Rio Abaixo (TRINDADE, 2007), o que foi acompanhado </w:t>
      </w:r>
      <w:r>
        <w:rPr>
          <w:spacing w:val="1"/>
        </w:rPr>
        <w:t xml:space="preserve">por </w:t>
      </w:r>
      <w:r>
        <w:rPr>
          <w:spacing w:val="5"/>
        </w:rPr>
        <w:t xml:space="preserve">investimentos </w:t>
      </w:r>
      <w:r>
        <w:rPr>
          <w:spacing w:val="2"/>
        </w:rPr>
        <w:t xml:space="preserve">na </w:t>
      </w:r>
      <w:r>
        <w:rPr>
          <w:spacing w:val="3"/>
        </w:rPr>
        <w:t xml:space="preserve">área </w:t>
      </w:r>
      <w:r>
        <w:rPr>
          <w:spacing w:val="2"/>
        </w:rPr>
        <w:t xml:space="preserve">de </w:t>
      </w:r>
      <w:r>
        <w:rPr>
          <w:spacing w:val="5"/>
        </w:rPr>
        <w:t xml:space="preserve">educação </w:t>
      </w:r>
      <w:r>
        <w:t xml:space="preserve">e </w:t>
      </w:r>
      <w:r>
        <w:rPr>
          <w:spacing w:val="5"/>
        </w:rPr>
        <w:t>programas socia</w:t>
      </w:r>
      <w:r>
        <w:rPr>
          <w:spacing w:val="5"/>
        </w:rPr>
        <w:t xml:space="preserve">is </w:t>
      </w:r>
      <w:r>
        <w:rPr>
          <w:spacing w:val="8"/>
        </w:rPr>
        <w:t xml:space="preserve">(VIDAL, 2008), também apareceram alguns </w:t>
      </w:r>
      <w:r>
        <w:rPr>
          <w:spacing w:val="10"/>
        </w:rPr>
        <w:t xml:space="preserve">impactos </w:t>
      </w:r>
      <w:r>
        <w:t xml:space="preserve">negativos na cidade. A mudança da vocação econômica e o aumento populacional desordenado geraram problemas como a </w:t>
      </w:r>
      <w:r>
        <w:rPr>
          <w:spacing w:val="8"/>
        </w:rPr>
        <w:t xml:space="preserve">insuficiência </w:t>
      </w:r>
      <w:r>
        <w:rPr>
          <w:spacing w:val="5"/>
        </w:rPr>
        <w:t xml:space="preserve">do </w:t>
      </w:r>
      <w:r>
        <w:rPr>
          <w:spacing w:val="7"/>
        </w:rPr>
        <w:t xml:space="preserve">sistema </w:t>
      </w:r>
      <w:r>
        <w:rPr>
          <w:spacing w:val="5"/>
        </w:rPr>
        <w:t xml:space="preserve">de </w:t>
      </w:r>
      <w:r>
        <w:rPr>
          <w:spacing w:val="7"/>
        </w:rPr>
        <w:t xml:space="preserve">saúde </w:t>
      </w:r>
      <w:r>
        <w:rPr>
          <w:spacing w:val="6"/>
        </w:rPr>
        <w:t xml:space="preserve">para </w:t>
      </w:r>
      <w:r>
        <w:rPr>
          <w:spacing w:val="7"/>
        </w:rPr>
        <w:t xml:space="preserve">atender </w:t>
      </w:r>
      <w:r>
        <w:rPr>
          <w:spacing w:val="10"/>
        </w:rPr>
        <w:t xml:space="preserve">às </w:t>
      </w:r>
      <w:r>
        <w:rPr>
          <w:spacing w:val="1"/>
        </w:rPr>
        <w:t xml:space="preserve">demandas locais </w:t>
      </w:r>
      <w:r>
        <w:t xml:space="preserve">e o </w:t>
      </w:r>
      <w:r>
        <w:rPr>
          <w:spacing w:val="1"/>
        </w:rPr>
        <w:t xml:space="preserve">aumento </w:t>
      </w:r>
      <w:r>
        <w:t xml:space="preserve">dos </w:t>
      </w:r>
      <w:r>
        <w:rPr>
          <w:spacing w:val="1"/>
        </w:rPr>
        <w:t xml:space="preserve">índices </w:t>
      </w:r>
      <w:r>
        <w:t xml:space="preserve">de </w:t>
      </w:r>
      <w:r>
        <w:rPr>
          <w:spacing w:val="1"/>
        </w:rPr>
        <w:t xml:space="preserve">violência </w:t>
      </w:r>
      <w:r>
        <w:rPr>
          <w:spacing w:val="2"/>
        </w:rPr>
        <w:t xml:space="preserve">na </w:t>
      </w:r>
      <w:r>
        <w:rPr>
          <w:spacing w:val="5"/>
        </w:rPr>
        <w:t xml:space="preserve">cidade, </w:t>
      </w:r>
      <w:r>
        <w:rPr>
          <w:spacing w:val="6"/>
        </w:rPr>
        <w:t xml:space="preserve">afetando </w:t>
      </w:r>
      <w:r>
        <w:t xml:space="preserve">a </w:t>
      </w:r>
      <w:r>
        <w:rPr>
          <w:spacing w:val="6"/>
        </w:rPr>
        <w:t xml:space="preserve">qualidade </w:t>
      </w:r>
      <w:r>
        <w:rPr>
          <w:spacing w:val="3"/>
        </w:rPr>
        <w:t xml:space="preserve">de </w:t>
      </w:r>
      <w:r>
        <w:rPr>
          <w:spacing w:val="5"/>
        </w:rPr>
        <w:t xml:space="preserve">vida </w:t>
      </w:r>
      <w:r>
        <w:rPr>
          <w:spacing w:val="3"/>
        </w:rPr>
        <w:t xml:space="preserve">da </w:t>
      </w:r>
      <w:r>
        <w:rPr>
          <w:spacing w:val="6"/>
        </w:rPr>
        <w:t xml:space="preserve">população. </w:t>
      </w:r>
      <w:r>
        <w:t xml:space="preserve">É </w:t>
      </w:r>
      <w:r>
        <w:rPr>
          <w:spacing w:val="10"/>
        </w:rPr>
        <w:t xml:space="preserve">possível </w:t>
      </w:r>
      <w:r>
        <w:rPr>
          <w:spacing w:val="8"/>
        </w:rPr>
        <w:t xml:space="preserve">notar </w:t>
      </w:r>
      <w:r>
        <w:rPr>
          <w:spacing w:val="10"/>
        </w:rPr>
        <w:t xml:space="preserve">também aumento </w:t>
      </w:r>
      <w:r>
        <w:rPr>
          <w:spacing w:val="5"/>
        </w:rPr>
        <w:t xml:space="preserve">da </w:t>
      </w:r>
      <w:r>
        <w:rPr>
          <w:spacing w:val="10"/>
        </w:rPr>
        <w:t xml:space="preserve">poluição </w:t>
      </w:r>
      <w:r>
        <w:rPr>
          <w:spacing w:val="11"/>
        </w:rPr>
        <w:t xml:space="preserve">urbana </w:t>
      </w:r>
      <w:r>
        <w:t xml:space="preserve">(TRINDADE, 2007) e modificações na organização espacial do município, com alterações na paisagem, resultantes </w:t>
      </w:r>
      <w:r>
        <w:rPr>
          <w:spacing w:val="1"/>
        </w:rPr>
        <w:t xml:space="preserve">das </w:t>
      </w:r>
      <w:r>
        <w:rPr>
          <w:spacing w:val="10"/>
        </w:rPr>
        <w:t xml:space="preserve">cavas </w:t>
      </w:r>
      <w:r>
        <w:rPr>
          <w:spacing w:val="7"/>
        </w:rPr>
        <w:t xml:space="preserve">que </w:t>
      </w:r>
      <w:r>
        <w:rPr>
          <w:spacing w:val="5"/>
        </w:rPr>
        <w:t xml:space="preserve">se </w:t>
      </w:r>
      <w:r>
        <w:rPr>
          <w:spacing w:val="10"/>
        </w:rPr>
        <w:t xml:space="preserve">tornam </w:t>
      </w:r>
      <w:r>
        <w:rPr>
          <w:spacing w:val="8"/>
        </w:rPr>
        <w:t>cada</w:t>
      </w:r>
      <w:r>
        <w:rPr>
          <w:spacing w:val="8"/>
        </w:rPr>
        <w:t xml:space="preserve"> </w:t>
      </w:r>
      <w:r>
        <w:rPr>
          <w:spacing w:val="7"/>
        </w:rPr>
        <w:t xml:space="preserve">vez </w:t>
      </w:r>
      <w:r>
        <w:rPr>
          <w:spacing w:val="8"/>
        </w:rPr>
        <w:t xml:space="preserve">mais </w:t>
      </w:r>
      <w:r>
        <w:rPr>
          <w:spacing w:val="10"/>
        </w:rPr>
        <w:t xml:space="preserve">profundas </w:t>
      </w:r>
      <w:r>
        <w:rPr>
          <w:spacing w:val="12"/>
        </w:rPr>
        <w:t xml:space="preserve">em </w:t>
      </w:r>
      <w:r>
        <w:rPr>
          <w:spacing w:val="6"/>
        </w:rPr>
        <w:t xml:space="preserve">decorrência </w:t>
      </w:r>
      <w:r>
        <w:rPr>
          <w:spacing w:val="3"/>
        </w:rPr>
        <w:t xml:space="preserve">da </w:t>
      </w:r>
      <w:r>
        <w:rPr>
          <w:spacing w:val="5"/>
        </w:rPr>
        <w:t xml:space="preserve">intensa </w:t>
      </w:r>
      <w:r>
        <w:rPr>
          <w:spacing w:val="6"/>
        </w:rPr>
        <w:t xml:space="preserve">exploração </w:t>
      </w:r>
      <w:r>
        <w:rPr>
          <w:spacing w:val="3"/>
        </w:rPr>
        <w:t xml:space="preserve">do </w:t>
      </w:r>
      <w:r>
        <w:rPr>
          <w:spacing w:val="5"/>
        </w:rPr>
        <w:t xml:space="preserve">minério </w:t>
      </w:r>
      <w:r>
        <w:rPr>
          <w:spacing w:val="3"/>
        </w:rPr>
        <w:t xml:space="preserve">de </w:t>
      </w:r>
      <w:r>
        <w:rPr>
          <w:spacing w:val="7"/>
        </w:rPr>
        <w:t xml:space="preserve">ferro </w:t>
      </w:r>
      <w:r>
        <w:rPr>
          <w:spacing w:val="5"/>
        </w:rPr>
        <w:t>(VIDAL,</w:t>
      </w:r>
      <w:r>
        <w:rPr>
          <w:spacing w:val="42"/>
        </w:rPr>
        <w:t xml:space="preserve"> </w:t>
      </w:r>
      <w:r>
        <w:rPr>
          <w:spacing w:val="7"/>
        </w:rPr>
        <w:t>2008).</w:t>
      </w:r>
    </w:p>
    <w:p w:rsidR="00D81F69" w:rsidRDefault="00330118">
      <w:pPr>
        <w:pStyle w:val="Corpodetexto"/>
        <w:spacing w:before="145" w:line="312" w:lineRule="auto"/>
        <w:ind w:right="38"/>
      </w:pPr>
      <w:r>
        <w:t>Os reflexos do projeto Brucutu, tanto os positivo quanto os negativos (ALVES; DINIZ, 2008), também foram sentidos nos arredores, como em Barão de Cocais. Com 340,60</w:t>
      </w:r>
      <w:r>
        <w:t>1 km² e</w:t>
      </w:r>
    </w:p>
    <w:p w:rsidR="00D81F69" w:rsidRDefault="00330118">
      <w:pPr>
        <w:pStyle w:val="Corpodetexto"/>
        <w:spacing w:before="2" w:line="312" w:lineRule="auto"/>
        <w:ind w:right="95"/>
      </w:pPr>
      <w:r>
        <w:t>28.442 habitantes (IBGE, 2010b), o município dista 6 km de São Gonçalo do Rio Abaixo.</w:t>
      </w:r>
    </w:p>
    <w:p w:rsidR="00D81F69" w:rsidRDefault="00330118">
      <w:pPr>
        <w:pStyle w:val="Corpodetexto"/>
        <w:spacing w:before="132" w:line="312" w:lineRule="auto"/>
        <w:ind w:right="67"/>
      </w:pPr>
      <w:r>
        <w:rPr>
          <w:spacing w:val="11"/>
        </w:rPr>
        <w:t xml:space="preserve">Embora </w:t>
      </w:r>
      <w:r>
        <w:rPr>
          <w:spacing w:val="6"/>
        </w:rPr>
        <w:t xml:space="preserve">já </w:t>
      </w:r>
      <w:r>
        <w:rPr>
          <w:spacing w:val="12"/>
        </w:rPr>
        <w:t xml:space="preserve">sediasse </w:t>
      </w:r>
      <w:r>
        <w:t xml:space="preserve">a </w:t>
      </w:r>
      <w:r>
        <w:rPr>
          <w:spacing w:val="11"/>
        </w:rPr>
        <w:t xml:space="preserve">empresa </w:t>
      </w:r>
      <w:r>
        <w:rPr>
          <w:spacing w:val="12"/>
        </w:rPr>
        <w:t xml:space="preserve">siderúrgica </w:t>
      </w:r>
      <w:r>
        <w:rPr>
          <w:spacing w:val="15"/>
        </w:rPr>
        <w:t xml:space="preserve">Gerdau </w:t>
      </w:r>
      <w:r>
        <w:rPr>
          <w:spacing w:val="3"/>
        </w:rPr>
        <w:t xml:space="preserve">(TRINDADE, 2007), </w:t>
      </w:r>
      <w:r>
        <w:t xml:space="preserve">o </w:t>
      </w:r>
      <w:r>
        <w:rPr>
          <w:spacing w:val="3"/>
        </w:rPr>
        <w:t xml:space="preserve">município experimentou </w:t>
      </w:r>
      <w:r>
        <w:rPr>
          <w:spacing w:val="1"/>
        </w:rPr>
        <w:t xml:space="preserve">um </w:t>
      </w:r>
      <w:r>
        <w:rPr>
          <w:spacing w:val="5"/>
        </w:rPr>
        <w:t xml:space="preserve">intenso </w:t>
      </w:r>
      <w:r>
        <w:t xml:space="preserve">crescimento econômico com o projeto Brucutu: a geração de </w:t>
      </w:r>
      <w:r>
        <w:rPr>
          <w:spacing w:val="1"/>
        </w:rPr>
        <w:t xml:space="preserve">novos empregos, </w:t>
      </w:r>
      <w:r>
        <w:t xml:space="preserve">o </w:t>
      </w:r>
      <w:r>
        <w:rPr>
          <w:spacing w:val="1"/>
        </w:rPr>
        <w:t xml:space="preserve">desenvolvimento </w:t>
      </w:r>
      <w:r>
        <w:t xml:space="preserve">do </w:t>
      </w:r>
      <w:r>
        <w:rPr>
          <w:spacing w:val="1"/>
        </w:rPr>
        <w:t xml:space="preserve">comércio local </w:t>
      </w:r>
      <w:r>
        <w:t xml:space="preserve">e a </w:t>
      </w:r>
      <w:r>
        <w:rPr>
          <w:spacing w:val="8"/>
        </w:rPr>
        <w:t xml:space="preserve">instalação </w:t>
      </w:r>
      <w:r>
        <w:rPr>
          <w:spacing w:val="5"/>
        </w:rPr>
        <w:t xml:space="preserve">de uma </w:t>
      </w:r>
      <w:r>
        <w:rPr>
          <w:spacing w:val="7"/>
        </w:rPr>
        <w:t xml:space="preserve">grande </w:t>
      </w:r>
      <w:r>
        <w:rPr>
          <w:spacing w:val="8"/>
        </w:rPr>
        <w:t xml:space="preserve">concessionária </w:t>
      </w:r>
      <w:r>
        <w:rPr>
          <w:spacing w:val="5"/>
        </w:rPr>
        <w:t xml:space="preserve">de </w:t>
      </w:r>
      <w:r>
        <w:rPr>
          <w:spacing w:val="10"/>
        </w:rPr>
        <w:t xml:space="preserve">veículos, </w:t>
      </w:r>
      <w:r>
        <w:rPr>
          <w:spacing w:val="8"/>
        </w:rPr>
        <w:t xml:space="preserve">fornecedora </w:t>
      </w:r>
      <w:r>
        <w:rPr>
          <w:spacing w:val="5"/>
        </w:rPr>
        <w:t xml:space="preserve">da </w:t>
      </w:r>
      <w:r>
        <w:rPr>
          <w:spacing w:val="6"/>
        </w:rPr>
        <w:t xml:space="preserve">Vale </w:t>
      </w:r>
      <w:r>
        <w:rPr>
          <w:spacing w:val="7"/>
        </w:rPr>
        <w:t xml:space="preserve">(VALE </w:t>
      </w:r>
      <w:r>
        <w:rPr>
          <w:spacing w:val="8"/>
        </w:rPr>
        <w:t xml:space="preserve">FLORESTAR, </w:t>
      </w:r>
      <w:r>
        <w:rPr>
          <w:spacing w:val="7"/>
        </w:rPr>
        <w:t xml:space="preserve">2011). </w:t>
      </w:r>
      <w:r>
        <w:rPr>
          <w:spacing w:val="10"/>
        </w:rPr>
        <w:t xml:space="preserve">Este </w:t>
      </w:r>
      <w:r>
        <w:t xml:space="preserve">crescimento foi acompanhado por um inchaço </w:t>
      </w:r>
      <w:r>
        <w:rPr>
          <w:spacing w:val="1"/>
        </w:rPr>
        <w:t xml:space="preserve">populacional  </w:t>
      </w:r>
      <w:r>
        <w:t>no município: cerca de 7.000 novos habita</w:t>
      </w:r>
      <w:r>
        <w:t xml:space="preserve">ntes chegaram à </w:t>
      </w:r>
      <w:r>
        <w:rPr>
          <w:spacing w:val="1"/>
        </w:rPr>
        <w:t xml:space="preserve">cidade desde </w:t>
      </w:r>
      <w:r>
        <w:t xml:space="preserve">o </w:t>
      </w:r>
      <w:r>
        <w:rPr>
          <w:spacing w:val="1"/>
        </w:rPr>
        <w:t xml:space="preserve">início </w:t>
      </w:r>
      <w:r>
        <w:t xml:space="preserve">da </w:t>
      </w:r>
      <w:r>
        <w:rPr>
          <w:spacing w:val="1"/>
        </w:rPr>
        <w:t xml:space="preserve">atuação </w:t>
      </w:r>
      <w:r>
        <w:t xml:space="preserve">da </w:t>
      </w:r>
      <w:r>
        <w:rPr>
          <w:spacing w:val="1"/>
        </w:rPr>
        <w:t xml:space="preserve">Vale </w:t>
      </w:r>
      <w:r>
        <w:t xml:space="preserve">na </w:t>
      </w:r>
      <w:r>
        <w:rPr>
          <w:spacing w:val="1"/>
        </w:rPr>
        <w:t xml:space="preserve">mina </w:t>
      </w:r>
      <w:r>
        <w:rPr>
          <w:spacing w:val="2"/>
        </w:rPr>
        <w:t xml:space="preserve">Brucutu </w:t>
      </w:r>
      <w:r>
        <w:rPr>
          <w:spacing w:val="1"/>
        </w:rPr>
        <w:t>(ALVES; DINIZ,</w:t>
      </w:r>
      <w:r>
        <w:rPr>
          <w:spacing w:val="-18"/>
        </w:rPr>
        <w:t xml:space="preserve"> </w:t>
      </w:r>
      <w:r>
        <w:rPr>
          <w:spacing w:val="2"/>
        </w:rPr>
        <w:t>2008).</w:t>
      </w:r>
    </w:p>
    <w:p w:rsidR="00D81F69" w:rsidRDefault="00330118">
      <w:pPr>
        <w:pStyle w:val="Corpodetexto"/>
        <w:spacing w:before="139" w:line="312" w:lineRule="auto"/>
        <w:ind w:right="74"/>
      </w:pPr>
      <w:r>
        <w:t>Com apoio da Fundação Vale, a Vale deu início a uma estratégia de gestão de impactos e à elaboração de um Plano de Sustentabilidade, tanto para São Gonçalo do Ri</w:t>
      </w:r>
      <w:r>
        <w:t>o Abaixo, quanto para Barão de Cocais. A iniciativa conta com o apoio de consultorias, como a Agência 21, especialista no desenvolvimento de estratégias de sustentabilidade, e a Phorum, que elaborou estudo sobre os impactos econômicos na região (VALE FLORE</w:t>
      </w:r>
      <w:r>
        <w:t>STAR, 2011).</w:t>
      </w:r>
    </w:p>
    <w:p w:rsidR="00D81F69" w:rsidRDefault="00330118">
      <w:pPr>
        <w:pStyle w:val="Corpodetexto"/>
        <w:spacing w:before="138"/>
      </w:pPr>
      <w:r>
        <w:t>Neste sentido, a empresa anunciou algumas medidas -</w:t>
      </w:r>
    </w:p>
    <w:p w:rsidR="00D81F69" w:rsidRDefault="00330118">
      <w:pPr>
        <w:pStyle w:val="Corpodetexto"/>
        <w:spacing w:before="81" w:line="312" w:lineRule="auto"/>
        <w:ind w:right="183"/>
      </w:pPr>
      <w:r>
        <w:br w:type="column"/>
      </w:r>
      <w:r>
        <w:lastRenderedPageBreak/>
        <w:t>resgate da flora, compensação ambiental, ampliação de unidades de conservação já existentes, programas de educação ambiental e de apoio às famílias envolvidas - para minimizar os impactos ambientais causados pela construção da Barragem Norte da Mina de Bru</w:t>
      </w:r>
      <w:r>
        <w:t>cutu, que terá 94% de sua área construída em Barão de Cocais, e o restante, em São Gonçalo do Rio Abaixo. A construção da barragem, considerada pela Vale como fundamental para a continuidade das operações de Brucutu, receberá os rejeitos da mineração reali</w:t>
      </w:r>
      <w:r>
        <w:t>zada na mina, devendo cobrir uma área de 850 hectares de Mata Atlântica e afetar espécies da região (CIDADEMAIS, 2008).</w:t>
      </w:r>
    </w:p>
    <w:p w:rsidR="00D81F69" w:rsidRDefault="00330118">
      <w:pPr>
        <w:pStyle w:val="Corpodetexto"/>
        <w:spacing w:before="141" w:line="312" w:lineRule="auto"/>
        <w:ind w:right="194"/>
      </w:pPr>
      <w:r>
        <w:rPr>
          <w:spacing w:val="11"/>
        </w:rPr>
        <w:t xml:space="preserve">Segundo </w:t>
      </w:r>
      <w:r>
        <w:t xml:space="preserve">a </w:t>
      </w:r>
      <w:r>
        <w:rPr>
          <w:spacing w:val="11"/>
        </w:rPr>
        <w:t xml:space="preserve">Vale, </w:t>
      </w:r>
      <w:r>
        <w:rPr>
          <w:spacing w:val="10"/>
        </w:rPr>
        <w:t xml:space="preserve">vem </w:t>
      </w:r>
      <w:r>
        <w:rPr>
          <w:spacing w:val="11"/>
        </w:rPr>
        <w:t xml:space="preserve">sendo </w:t>
      </w:r>
      <w:r>
        <w:rPr>
          <w:spacing w:val="12"/>
        </w:rPr>
        <w:t xml:space="preserve">promovidos </w:t>
      </w:r>
      <w:r>
        <w:rPr>
          <w:spacing w:val="15"/>
        </w:rPr>
        <w:t xml:space="preserve">encontros </w:t>
      </w:r>
      <w:r>
        <w:rPr>
          <w:spacing w:val="17"/>
        </w:rPr>
        <w:t xml:space="preserve">permanentes, </w:t>
      </w:r>
      <w:r>
        <w:rPr>
          <w:spacing w:val="12"/>
        </w:rPr>
        <w:t xml:space="preserve">com </w:t>
      </w:r>
      <w:r>
        <w:rPr>
          <w:spacing w:val="10"/>
        </w:rPr>
        <w:t xml:space="preserve">as </w:t>
      </w:r>
      <w:r>
        <w:rPr>
          <w:spacing w:val="17"/>
        </w:rPr>
        <w:t xml:space="preserve">comunidades </w:t>
      </w:r>
      <w:r>
        <w:rPr>
          <w:spacing w:val="16"/>
        </w:rPr>
        <w:t xml:space="preserve">vizinhas </w:t>
      </w:r>
      <w:r>
        <w:rPr>
          <w:spacing w:val="10"/>
        </w:rPr>
        <w:t xml:space="preserve">ao </w:t>
      </w:r>
      <w:r>
        <w:rPr>
          <w:spacing w:val="8"/>
        </w:rPr>
        <w:t xml:space="preserve">empreendimento, </w:t>
      </w:r>
      <w:r>
        <w:rPr>
          <w:spacing w:val="6"/>
        </w:rPr>
        <w:t xml:space="preserve">para </w:t>
      </w:r>
      <w:r>
        <w:rPr>
          <w:spacing w:val="8"/>
        </w:rPr>
        <w:t xml:space="preserve">esclarecer </w:t>
      </w:r>
      <w:r>
        <w:rPr>
          <w:spacing w:val="7"/>
        </w:rPr>
        <w:t xml:space="preserve">dúvidas </w:t>
      </w:r>
      <w:r>
        <w:t xml:space="preserve">e </w:t>
      </w:r>
      <w:r>
        <w:rPr>
          <w:spacing w:val="10"/>
        </w:rPr>
        <w:t>rep</w:t>
      </w:r>
      <w:r>
        <w:rPr>
          <w:spacing w:val="10"/>
        </w:rPr>
        <w:t xml:space="preserve">assar </w:t>
      </w:r>
      <w:r>
        <w:rPr>
          <w:spacing w:val="1"/>
        </w:rPr>
        <w:t xml:space="preserve">informações </w:t>
      </w:r>
      <w:r>
        <w:t xml:space="preserve">a </w:t>
      </w:r>
      <w:r>
        <w:rPr>
          <w:spacing w:val="1"/>
        </w:rPr>
        <w:t xml:space="preserve">respeito </w:t>
      </w:r>
      <w:r>
        <w:t xml:space="preserve">dos </w:t>
      </w:r>
      <w:r>
        <w:rPr>
          <w:spacing w:val="1"/>
        </w:rPr>
        <w:t xml:space="preserve">estudos. </w:t>
      </w:r>
      <w:r>
        <w:t xml:space="preserve">A </w:t>
      </w:r>
      <w:r>
        <w:rPr>
          <w:spacing w:val="1"/>
        </w:rPr>
        <w:t xml:space="preserve">empresa optou </w:t>
      </w:r>
      <w:r>
        <w:rPr>
          <w:spacing w:val="2"/>
        </w:rPr>
        <w:t xml:space="preserve">por </w:t>
      </w:r>
      <w:r>
        <w:t xml:space="preserve">dividir o projeto de implantação da barragem Norte em quatro </w:t>
      </w:r>
      <w:r>
        <w:rPr>
          <w:spacing w:val="5"/>
        </w:rPr>
        <w:t xml:space="preserve">etapas, </w:t>
      </w:r>
      <w:r>
        <w:rPr>
          <w:spacing w:val="3"/>
        </w:rPr>
        <w:t xml:space="preserve">sendo que </w:t>
      </w:r>
      <w:r>
        <w:t xml:space="preserve">a </w:t>
      </w:r>
      <w:r>
        <w:rPr>
          <w:spacing w:val="5"/>
        </w:rPr>
        <w:t xml:space="preserve">última </w:t>
      </w:r>
      <w:r>
        <w:rPr>
          <w:spacing w:val="2"/>
        </w:rPr>
        <w:t xml:space="preserve">só </w:t>
      </w:r>
      <w:r>
        <w:rPr>
          <w:spacing w:val="5"/>
        </w:rPr>
        <w:t xml:space="preserve">acontecerá </w:t>
      </w:r>
      <w:r>
        <w:rPr>
          <w:spacing w:val="3"/>
        </w:rPr>
        <w:t xml:space="preserve">após 2020. </w:t>
      </w:r>
      <w:r>
        <w:t xml:space="preserve">A </w:t>
      </w:r>
      <w:r>
        <w:rPr>
          <w:spacing w:val="10"/>
        </w:rPr>
        <w:t xml:space="preserve">empresa também alegou </w:t>
      </w:r>
      <w:r>
        <w:rPr>
          <w:spacing w:val="7"/>
        </w:rPr>
        <w:t xml:space="preserve">ter </w:t>
      </w:r>
      <w:r>
        <w:rPr>
          <w:spacing w:val="10"/>
        </w:rPr>
        <w:t xml:space="preserve">contratado </w:t>
      </w:r>
      <w:r>
        <w:rPr>
          <w:spacing w:val="7"/>
        </w:rPr>
        <w:t xml:space="preserve">uma </w:t>
      </w:r>
      <w:r>
        <w:rPr>
          <w:spacing w:val="11"/>
        </w:rPr>
        <w:t xml:space="preserve">equipe multidisciplinar </w:t>
      </w:r>
      <w:r>
        <w:rPr>
          <w:spacing w:val="8"/>
        </w:rPr>
        <w:t xml:space="preserve">para </w:t>
      </w:r>
      <w:r>
        <w:rPr>
          <w:spacing w:val="10"/>
        </w:rPr>
        <w:t xml:space="preserve">pesquisar diversas </w:t>
      </w:r>
      <w:r>
        <w:rPr>
          <w:spacing w:val="12"/>
        </w:rPr>
        <w:t xml:space="preserve">alternativas </w:t>
      </w:r>
      <w:r>
        <w:t xml:space="preserve">tecnológicas e locacionais antes de decidir por esse tipo de </w:t>
      </w:r>
      <w:r>
        <w:rPr>
          <w:spacing w:val="1"/>
        </w:rPr>
        <w:t xml:space="preserve">barragem </w:t>
      </w:r>
      <w:r>
        <w:t xml:space="preserve">e </w:t>
      </w:r>
      <w:r>
        <w:rPr>
          <w:spacing w:val="1"/>
        </w:rPr>
        <w:t xml:space="preserve">pela </w:t>
      </w:r>
      <w:r>
        <w:t xml:space="preserve">sua </w:t>
      </w:r>
      <w:r>
        <w:rPr>
          <w:spacing w:val="1"/>
        </w:rPr>
        <w:t xml:space="preserve">localização. Acrescentou ainda </w:t>
      </w:r>
      <w:r>
        <w:t>que o empreendimento terá monitoramento da qualidade da água, de</w:t>
      </w:r>
      <w:r>
        <w:rPr>
          <w:spacing w:val="15"/>
        </w:rPr>
        <w:t xml:space="preserve"> </w:t>
      </w:r>
      <w:r>
        <w:t>ruído</w:t>
      </w:r>
      <w:r>
        <w:rPr>
          <w:spacing w:val="15"/>
        </w:rPr>
        <w:t xml:space="preserve"> </w:t>
      </w:r>
      <w:r>
        <w:t>e</w:t>
      </w:r>
      <w:r>
        <w:rPr>
          <w:spacing w:val="15"/>
        </w:rPr>
        <w:t xml:space="preserve"> </w:t>
      </w:r>
      <w:r>
        <w:t>climático</w:t>
      </w:r>
      <w:r>
        <w:rPr>
          <w:spacing w:val="15"/>
        </w:rPr>
        <w:t xml:space="preserve"> </w:t>
      </w:r>
      <w:r>
        <w:t>(CIDADEMAIS,</w:t>
      </w:r>
      <w:r>
        <w:rPr>
          <w:spacing w:val="15"/>
        </w:rPr>
        <w:t xml:space="preserve"> </w:t>
      </w:r>
      <w:r>
        <w:rPr>
          <w:spacing w:val="1"/>
        </w:rPr>
        <w:t>2008).</w:t>
      </w:r>
    </w:p>
    <w:p w:rsidR="00D81F69" w:rsidRDefault="00D81F69">
      <w:pPr>
        <w:pStyle w:val="Corpodetexto"/>
        <w:spacing w:before="11"/>
        <w:ind w:left="0"/>
        <w:jc w:val="left"/>
        <w:rPr>
          <w:sz w:val="21"/>
        </w:rPr>
      </w:pPr>
    </w:p>
    <w:p w:rsidR="00D81F69" w:rsidRDefault="00330118">
      <w:pPr>
        <w:pStyle w:val="Heading7"/>
        <w:jc w:val="left"/>
      </w:pPr>
      <w:r>
        <w:t>LOCALIZA</w:t>
      </w:r>
      <w:r>
        <w:t>ÇÃO GEOGRÁFICA</w:t>
      </w:r>
    </w:p>
    <w:p w:rsidR="00D81F69" w:rsidRDefault="00330118">
      <w:pPr>
        <w:pStyle w:val="Corpodetexto"/>
        <w:spacing w:before="179" w:line="312" w:lineRule="auto"/>
        <w:ind w:right="213"/>
      </w:pPr>
      <w:r>
        <w:t xml:space="preserve">A mina de Brucutu, localizada no município de São Gonçalo do Rio </w:t>
      </w:r>
      <w:r>
        <w:rPr>
          <w:spacing w:val="1"/>
        </w:rPr>
        <w:t xml:space="preserve">Acima, está inserida </w:t>
      </w:r>
      <w:r>
        <w:t xml:space="preserve">na </w:t>
      </w:r>
      <w:r>
        <w:rPr>
          <w:spacing w:val="1"/>
        </w:rPr>
        <w:t xml:space="preserve">bacia </w:t>
      </w:r>
      <w:r>
        <w:t xml:space="preserve">do rio </w:t>
      </w:r>
      <w:r>
        <w:rPr>
          <w:spacing w:val="1"/>
        </w:rPr>
        <w:t xml:space="preserve">Piracicaba </w:t>
      </w:r>
      <w:r>
        <w:rPr>
          <w:spacing w:val="2"/>
        </w:rPr>
        <w:t xml:space="preserve">que </w:t>
      </w:r>
      <w:r>
        <w:t>deságua no rio Doce, próximo à latitude 19°50'59"S longitude 43°22'37"W.</w:t>
      </w:r>
    </w:p>
    <w:p w:rsidR="00D81F69" w:rsidRDefault="00D81F69">
      <w:pPr>
        <w:pStyle w:val="Corpodetexto"/>
        <w:spacing w:before="1"/>
        <w:ind w:left="0"/>
        <w:jc w:val="left"/>
        <w:rPr>
          <w:sz w:val="29"/>
        </w:rPr>
      </w:pPr>
    </w:p>
    <w:p w:rsidR="00D81F69" w:rsidRDefault="00330118">
      <w:pPr>
        <w:pStyle w:val="Heading7"/>
        <w:jc w:val="left"/>
      </w:pPr>
      <w:r>
        <w:t>REDATORES</w:t>
      </w:r>
    </w:p>
    <w:p w:rsidR="00D81F69" w:rsidRDefault="00330118">
      <w:pPr>
        <w:pStyle w:val="Corpodetexto"/>
        <w:spacing w:before="179"/>
        <w:jc w:val="left"/>
      </w:pPr>
      <w:r>
        <w:t>Renata Olivieri; Eliane Araujo</w:t>
      </w:r>
    </w:p>
    <w:p w:rsidR="00D81F69" w:rsidRDefault="00D81F69">
      <w:pPr>
        <w:pStyle w:val="Corpodetexto"/>
        <w:ind w:left="0"/>
        <w:jc w:val="left"/>
        <w:rPr>
          <w:sz w:val="20"/>
        </w:rPr>
      </w:pPr>
    </w:p>
    <w:p w:rsidR="00D81F69" w:rsidRDefault="00330118">
      <w:pPr>
        <w:pStyle w:val="Heading7"/>
        <w:spacing w:before="164"/>
        <w:jc w:val="left"/>
      </w:pPr>
      <w:r>
        <w:t>REFERÊNC</w:t>
      </w:r>
      <w:r>
        <w:t>IAS BIBLIOGRÁFICAS</w:t>
      </w:r>
    </w:p>
    <w:p w:rsidR="00D81F69" w:rsidRDefault="00330118">
      <w:pPr>
        <w:spacing w:before="188" w:line="312" w:lineRule="auto"/>
        <w:ind w:left="100" w:right="193"/>
        <w:jc w:val="both"/>
        <w:rPr>
          <w:sz w:val="16"/>
        </w:rPr>
      </w:pPr>
      <w:r>
        <w:rPr>
          <w:sz w:val="16"/>
        </w:rPr>
        <w:t>ALVARENGA, Darlan. Sem hospital ou faculdade, cidade de MG cresce com ferro de Brucutu. G1, 03 mar. 2011. Disponível em:</w:t>
      </w:r>
    </w:p>
    <w:p w:rsidR="00D81F69" w:rsidRDefault="00D81F69">
      <w:pPr>
        <w:spacing w:before="1" w:line="312" w:lineRule="auto"/>
        <w:ind w:left="100" w:right="210"/>
        <w:jc w:val="both"/>
        <w:rPr>
          <w:sz w:val="16"/>
        </w:rPr>
      </w:pPr>
      <w:hyperlink r:id="rId1133">
        <w:r w:rsidR="00330118">
          <w:rPr>
            <w:sz w:val="16"/>
          </w:rPr>
          <w:t>&lt;http://g1.globo.com/economia/noticia</w:t>
        </w:r>
        <w:r w:rsidR="00330118">
          <w:rPr>
            <w:sz w:val="16"/>
          </w:rPr>
          <w:t>/2011/03/sem-hospital-ou-</w:t>
        </w:r>
      </w:hyperlink>
      <w:r w:rsidR="00330118">
        <w:rPr>
          <w:sz w:val="16"/>
        </w:rPr>
        <w:t xml:space="preserve"> faculdade-cidade-de-mg-cresce-com-ferro-de-brucutu.html&gt;. Acesso em: 26 dez. 2011.</w:t>
      </w:r>
    </w:p>
    <w:p w:rsidR="00D81F69" w:rsidRDefault="00330118">
      <w:pPr>
        <w:spacing w:before="3" w:line="312" w:lineRule="auto"/>
        <w:ind w:left="100" w:right="150"/>
        <w:jc w:val="both"/>
        <w:rPr>
          <w:sz w:val="16"/>
        </w:rPr>
      </w:pPr>
      <w:r>
        <w:rPr>
          <w:spacing w:val="1"/>
          <w:sz w:val="16"/>
        </w:rPr>
        <w:t xml:space="preserve">ALVES, Melina Amoni Silveira; DINIZ, Alexandre Magno Alves. </w:t>
      </w:r>
      <w:r>
        <w:rPr>
          <w:sz w:val="16"/>
        </w:rPr>
        <w:t xml:space="preserve">O zoneamento morfológico funcional das cidades médias mineiras: o exemplo de Barão de Cocais. Sociedade &amp; Natureza, Uberlândia, 20   </w:t>
      </w:r>
      <w:r>
        <w:rPr>
          <w:spacing w:val="2"/>
          <w:sz w:val="16"/>
        </w:rPr>
        <w:t xml:space="preserve">( 2 ) </w:t>
      </w:r>
      <w:r>
        <w:rPr>
          <w:sz w:val="16"/>
        </w:rPr>
        <w:t xml:space="preserve">: </w:t>
      </w:r>
      <w:r>
        <w:rPr>
          <w:spacing w:val="2"/>
          <w:sz w:val="16"/>
        </w:rPr>
        <w:t xml:space="preserve">7 9 - 9 1 </w:t>
      </w:r>
      <w:r>
        <w:rPr>
          <w:sz w:val="16"/>
        </w:rPr>
        <w:t xml:space="preserve">, </w:t>
      </w:r>
      <w:r>
        <w:rPr>
          <w:spacing w:val="2"/>
          <w:sz w:val="16"/>
        </w:rPr>
        <w:t xml:space="preserve">d e z </w:t>
      </w:r>
      <w:r>
        <w:rPr>
          <w:sz w:val="16"/>
        </w:rPr>
        <w:t xml:space="preserve">. </w:t>
      </w:r>
      <w:r>
        <w:rPr>
          <w:spacing w:val="2"/>
          <w:sz w:val="16"/>
        </w:rPr>
        <w:t xml:space="preserve">2 0 0 8 </w:t>
      </w:r>
      <w:r>
        <w:rPr>
          <w:sz w:val="16"/>
        </w:rPr>
        <w:t xml:space="preserve">. </w:t>
      </w:r>
      <w:r>
        <w:rPr>
          <w:spacing w:val="2"/>
          <w:sz w:val="16"/>
        </w:rPr>
        <w:t xml:space="preserve">D i s p o n í v e </w:t>
      </w:r>
      <w:r>
        <w:rPr>
          <w:sz w:val="16"/>
        </w:rPr>
        <w:t>l</w:t>
      </w:r>
      <w:r>
        <w:rPr>
          <w:spacing w:val="25"/>
          <w:sz w:val="16"/>
        </w:rPr>
        <w:t xml:space="preserve"> </w:t>
      </w:r>
      <w:r>
        <w:rPr>
          <w:spacing w:val="2"/>
          <w:sz w:val="16"/>
        </w:rPr>
        <w:t xml:space="preserve">e m </w:t>
      </w:r>
      <w:r>
        <w:rPr>
          <w:sz w:val="16"/>
        </w:rPr>
        <w:t>:</w:t>
      </w:r>
      <w:r>
        <w:rPr>
          <w:spacing w:val="3"/>
          <w:sz w:val="16"/>
        </w:rPr>
        <w:t xml:space="preserve"> </w:t>
      </w:r>
    </w:p>
    <w:p w:rsidR="00D81F69" w:rsidRDefault="00D81F69">
      <w:pPr>
        <w:spacing w:before="3" w:line="312" w:lineRule="auto"/>
        <w:ind w:left="100" w:right="216"/>
        <w:jc w:val="both"/>
        <w:rPr>
          <w:sz w:val="16"/>
        </w:rPr>
      </w:pPr>
      <w:hyperlink r:id="rId1134">
        <w:r w:rsidR="00330118">
          <w:rPr>
            <w:sz w:val="16"/>
          </w:rPr>
          <w:t>&lt;http://www.seer.ufu.br/index.php/sociedadenatureza/article/viewFile/</w:t>
        </w:r>
      </w:hyperlink>
      <w:r w:rsidR="00330118">
        <w:rPr>
          <w:sz w:val="16"/>
        </w:rPr>
        <w:t xml:space="preserve"> 9387/5739&gt;. Acesso em: 23 dez. 2011.</w:t>
      </w:r>
    </w:p>
    <w:p w:rsidR="00D81F69" w:rsidRDefault="00330118">
      <w:pPr>
        <w:spacing w:before="2" w:line="312" w:lineRule="auto"/>
        <w:ind w:left="100" w:right="146"/>
        <w:jc w:val="both"/>
        <w:rPr>
          <w:sz w:val="16"/>
        </w:rPr>
      </w:pPr>
      <w:r>
        <w:rPr>
          <w:sz w:val="16"/>
        </w:rPr>
        <w:t xml:space="preserve">BRASIL MINERAL. CVRD inaugura mina de Brucutu. N. 274, </w:t>
      </w:r>
      <w:r>
        <w:rPr>
          <w:spacing w:val="1"/>
          <w:sz w:val="16"/>
        </w:rPr>
        <w:t xml:space="preserve">São      </w:t>
      </w:r>
      <w:r>
        <w:rPr>
          <w:spacing w:val="6"/>
          <w:sz w:val="16"/>
        </w:rPr>
        <w:t>P</w:t>
      </w:r>
      <w:r>
        <w:rPr>
          <w:spacing w:val="6"/>
          <w:sz w:val="16"/>
        </w:rPr>
        <w:t xml:space="preserve"> a u l o </w:t>
      </w:r>
      <w:r>
        <w:rPr>
          <w:sz w:val="16"/>
        </w:rPr>
        <w:t xml:space="preserve">, </w:t>
      </w:r>
      <w:r>
        <w:rPr>
          <w:spacing w:val="6"/>
          <w:sz w:val="16"/>
        </w:rPr>
        <w:t xml:space="preserve">1 </w:t>
      </w:r>
      <w:r>
        <w:rPr>
          <w:sz w:val="16"/>
        </w:rPr>
        <w:t xml:space="preserve">1 </w:t>
      </w:r>
      <w:r>
        <w:rPr>
          <w:spacing w:val="6"/>
          <w:sz w:val="16"/>
        </w:rPr>
        <w:t xml:space="preserve">o u t </w:t>
      </w:r>
      <w:r>
        <w:rPr>
          <w:sz w:val="16"/>
        </w:rPr>
        <w:t xml:space="preserve">. </w:t>
      </w:r>
      <w:r>
        <w:rPr>
          <w:spacing w:val="6"/>
          <w:sz w:val="16"/>
        </w:rPr>
        <w:t xml:space="preserve">2 0 0 6 </w:t>
      </w:r>
      <w:r>
        <w:rPr>
          <w:sz w:val="16"/>
        </w:rPr>
        <w:t xml:space="preserve">. </w:t>
      </w:r>
      <w:r>
        <w:rPr>
          <w:spacing w:val="6"/>
          <w:sz w:val="16"/>
        </w:rPr>
        <w:t xml:space="preserve">D i s p o n í v e </w:t>
      </w:r>
      <w:r>
        <w:rPr>
          <w:sz w:val="16"/>
        </w:rPr>
        <w:t>l</w:t>
      </w:r>
      <w:r>
        <w:rPr>
          <w:spacing w:val="27"/>
          <w:sz w:val="16"/>
        </w:rPr>
        <w:t xml:space="preserve"> </w:t>
      </w:r>
      <w:r>
        <w:rPr>
          <w:spacing w:val="6"/>
          <w:sz w:val="16"/>
        </w:rPr>
        <w:t xml:space="preserve">e m </w:t>
      </w:r>
      <w:r>
        <w:rPr>
          <w:sz w:val="16"/>
        </w:rPr>
        <w:t>:</w:t>
      </w:r>
      <w:r>
        <w:rPr>
          <w:spacing w:val="7"/>
          <w:sz w:val="16"/>
        </w:rPr>
        <w:t xml:space="preserve"> </w:t>
      </w:r>
    </w:p>
    <w:p w:rsidR="00D81F69" w:rsidRDefault="00D81F69">
      <w:pPr>
        <w:spacing w:before="1" w:line="312" w:lineRule="auto"/>
        <w:ind w:left="100" w:right="192"/>
        <w:jc w:val="both"/>
        <w:rPr>
          <w:sz w:val="16"/>
        </w:rPr>
      </w:pPr>
      <w:hyperlink r:id="rId1135">
        <w:r w:rsidR="00330118">
          <w:rPr>
            <w:sz w:val="16"/>
          </w:rPr>
          <w:t>&lt;http://www.brasilmineral.com.br/BM/default.asp?numero=274&gt;.</w:t>
        </w:r>
      </w:hyperlink>
      <w:r w:rsidR="00330118">
        <w:rPr>
          <w:sz w:val="16"/>
        </w:rPr>
        <w:t xml:space="preserve"> Acesso em: 23 dez. 2011.</w:t>
      </w:r>
    </w:p>
    <w:p w:rsidR="00D81F69" w:rsidRDefault="00330118">
      <w:pPr>
        <w:spacing w:before="2"/>
        <w:ind w:left="100"/>
        <w:rPr>
          <w:sz w:val="16"/>
        </w:rPr>
      </w:pPr>
      <w:r>
        <w:rPr>
          <w:sz w:val="16"/>
        </w:rPr>
        <w:t>CIDADEMAIS. Mineradora afirma que i</w:t>
      </w:r>
      <w:r>
        <w:rPr>
          <w:sz w:val="16"/>
        </w:rPr>
        <w:t>mpactos serão minimizados,</w:t>
      </w:r>
    </w:p>
    <w:p w:rsidR="00D81F69" w:rsidRDefault="00330118">
      <w:pPr>
        <w:spacing w:before="56"/>
        <w:ind w:left="100"/>
        <w:jc w:val="both"/>
        <w:rPr>
          <w:sz w:val="16"/>
        </w:rPr>
      </w:pPr>
      <w:r>
        <w:rPr>
          <w:sz w:val="16"/>
        </w:rPr>
        <w:t xml:space="preserve">1 0         j u n .         2 0 0 8 .         D i s p o n í v e l         e m :  </w:t>
      </w:r>
    </w:p>
    <w:p w:rsidR="00D81F69" w:rsidRDefault="00D81F69">
      <w:pPr>
        <w:spacing w:before="56" w:line="312" w:lineRule="auto"/>
        <w:ind w:left="100" w:right="214"/>
        <w:jc w:val="both"/>
        <w:rPr>
          <w:sz w:val="16"/>
        </w:rPr>
      </w:pPr>
      <w:hyperlink r:id="rId1136">
        <w:r w:rsidR="00330118">
          <w:rPr>
            <w:sz w:val="16"/>
          </w:rPr>
          <w:t xml:space="preserve">&lt;http://www.cidademais.com.br/noticias/?id=20550. </w:t>
        </w:r>
      </w:hyperlink>
      <w:r w:rsidR="00330118">
        <w:rPr>
          <w:sz w:val="16"/>
        </w:rPr>
        <w:t>Acesso em: 26 dez. 2011.</w:t>
      </w:r>
    </w:p>
    <w:p w:rsidR="00D81F69" w:rsidRDefault="00330118">
      <w:pPr>
        <w:spacing w:before="2" w:line="312" w:lineRule="auto"/>
        <w:ind w:left="100" w:right="195"/>
        <w:jc w:val="both"/>
        <w:rPr>
          <w:sz w:val="16"/>
        </w:rPr>
      </w:pPr>
      <w:r>
        <w:rPr>
          <w:sz w:val="16"/>
        </w:rPr>
        <w:t>IBGE, I</w:t>
      </w:r>
      <w:r>
        <w:rPr>
          <w:sz w:val="16"/>
        </w:rPr>
        <w:t>nstituto Brasileiro de Geografia e Estatística. São Gonçalo do Rio Abaixo (MG). In: IBGE Cidades, 2010. 2010a. Disponível em:</w:t>
      </w:r>
    </w:p>
    <w:p w:rsidR="00D81F69" w:rsidRDefault="00D81F69">
      <w:pPr>
        <w:spacing w:before="1"/>
        <w:ind w:left="100"/>
        <w:jc w:val="both"/>
        <w:rPr>
          <w:sz w:val="16"/>
        </w:rPr>
      </w:pPr>
      <w:hyperlink r:id="rId1137">
        <w:r w:rsidR="00330118">
          <w:rPr>
            <w:sz w:val="16"/>
          </w:rPr>
          <w:t>&lt;http://www.ibge.gov.br/cidadesat/xtras/per</w:t>
        </w:r>
        <w:r w:rsidR="00330118">
          <w:rPr>
            <w:sz w:val="16"/>
          </w:rPr>
          <w:t>fil.php?codmun=316190&amp;r</w:t>
        </w:r>
      </w:hyperlink>
    </w:p>
    <w:p w:rsidR="00D81F69" w:rsidRDefault="00D81F69">
      <w:pPr>
        <w:jc w:val="both"/>
        <w:rPr>
          <w:sz w:val="16"/>
        </w:rPr>
        <w:sectPr w:rsidR="00D81F69">
          <w:pgSz w:w="11900" w:h="16840"/>
          <w:pgMar w:top="740" w:right="500" w:bottom="600" w:left="620" w:header="0" w:footer="402" w:gutter="0"/>
          <w:cols w:num="2" w:space="720" w:equalWidth="0">
            <w:col w:w="5191" w:space="279"/>
            <w:col w:w="5310"/>
          </w:cols>
        </w:sectPr>
      </w:pPr>
    </w:p>
    <w:p w:rsidR="00D81F69" w:rsidRDefault="00330118">
      <w:pPr>
        <w:spacing w:before="70"/>
        <w:ind w:left="100"/>
        <w:rPr>
          <w:sz w:val="16"/>
        </w:rPr>
      </w:pPr>
      <w:r>
        <w:rPr>
          <w:sz w:val="16"/>
        </w:rPr>
        <w:lastRenderedPageBreak/>
        <w:t>=2&gt;. Acesso em: 26 dez. 2011.</w:t>
      </w:r>
    </w:p>
    <w:p w:rsidR="00D81F69" w:rsidRDefault="00330118">
      <w:pPr>
        <w:tabs>
          <w:tab w:val="left" w:pos="470"/>
          <w:tab w:val="left" w:pos="760"/>
          <w:tab w:val="left" w:pos="1095"/>
          <w:tab w:val="left" w:pos="1439"/>
          <w:tab w:val="left" w:pos="1782"/>
          <w:tab w:val="left" w:pos="2126"/>
          <w:tab w:val="left" w:pos="2426"/>
          <w:tab w:val="left" w:pos="2760"/>
          <w:tab w:val="left" w:pos="3104"/>
          <w:tab w:val="left" w:pos="4331"/>
          <w:tab w:val="left" w:pos="4674"/>
          <w:tab w:val="left" w:pos="5063"/>
        </w:tabs>
        <w:spacing w:before="56" w:line="312" w:lineRule="auto"/>
        <w:ind w:left="100" w:right="107"/>
        <w:rPr>
          <w:sz w:val="16"/>
        </w:rPr>
      </w:pPr>
      <w:r>
        <w:rPr>
          <w:spacing w:val="3"/>
          <w:sz w:val="16"/>
        </w:rPr>
        <w:t xml:space="preserve">______. Barão </w:t>
      </w:r>
      <w:r>
        <w:rPr>
          <w:spacing w:val="1"/>
          <w:sz w:val="16"/>
        </w:rPr>
        <w:t xml:space="preserve">de </w:t>
      </w:r>
      <w:r>
        <w:rPr>
          <w:spacing w:val="3"/>
          <w:sz w:val="16"/>
        </w:rPr>
        <w:t xml:space="preserve">Cocais (MG). </w:t>
      </w:r>
      <w:r>
        <w:rPr>
          <w:spacing w:val="2"/>
          <w:sz w:val="16"/>
        </w:rPr>
        <w:t xml:space="preserve">In: IBGE </w:t>
      </w:r>
      <w:r>
        <w:rPr>
          <w:spacing w:val="3"/>
          <w:sz w:val="16"/>
        </w:rPr>
        <w:t xml:space="preserve">Cidades, 2010. </w:t>
      </w:r>
      <w:r>
        <w:rPr>
          <w:spacing w:val="5"/>
          <w:sz w:val="16"/>
        </w:rPr>
        <w:t xml:space="preserve">2010b.   </w:t>
      </w:r>
      <w:r>
        <w:rPr>
          <w:sz w:val="16"/>
        </w:rPr>
        <w:t>D</w:t>
      </w:r>
      <w:r>
        <w:rPr>
          <w:sz w:val="16"/>
        </w:rPr>
        <w:tab/>
        <w:t>i</w:t>
      </w:r>
      <w:r>
        <w:rPr>
          <w:sz w:val="16"/>
        </w:rPr>
        <w:tab/>
        <w:t>s</w:t>
      </w:r>
      <w:r>
        <w:rPr>
          <w:sz w:val="16"/>
        </w:rPr>
        <w:tab/>
        <w:t>p</w:t>
      </w:r>
      <w:r>
        <w:rPr>
          <w:sz w:val="16"/>
        </w:rPr>
        <w:tab/>
        <w:t>o</w:t>
      </w:r>
      <w:r>
        <w:rPr>
          <w:sz w:val="16"/>
        </w:rPr>
        <w:tab/>
        <w:t>n</w:t>
      </w:r>
      <w:r>
        <w:rPr>
          <w:sz w:val="16"/>
        </w:rPr>
        <w:tab/>
        <w:t>í</w:t>
      </w:r>
      <w:r>
        <w:rPr>
          <w:sz w:val="16"/>
        </w:rPr>
        <w:tab/>
        <w:t>v</w:t>
      </w:r>
      <w:r>
        <w:rPr>
          <w:sz w:val="16"/>
        </w:rPr>
        <w:tab/>
        <w:t>e</w:t>
      </w:r>
      <w:r>
        <w:rPr>
          <w:sz w:val="16"/>
        </w:rPr>
        <w:tab/>
        <w:t>l</w:t>
      </w:r>
      <w:r>
        <w:rPr>
          <w:sz w:val="16"/>
        </w:rPr>
        <w:tab/>
        <w:t>e</w:t>
      </w:r>
      <w:r>
        <w:rPr>
          <w:sz w:val="16"/>
        </w:rPr>
        <w:tab/>
        <w:t>m</w:t>
      </w:r>
      <w:r>
        <w:rPr>
          <w:sz w:val="16"/>
        </w:rPr>
        <w:tab/>
        <w:t>:</w:t>
      </w:r>
    </w:p>
    <w:p w:rsidR="00D81F69" w:rsidRDefault="00D81F69">
      <w:pPr>
        <w:spacing w:before="1"/>
        <w:ind w:left="100"/>
        <w:rPr>
          <w:sz w:val="16"/>
        </w:rPr>
      </w:pPr>
      <w:hyperlink r:id="rId1138">
        <w:r w:rsidR="00330118">
          <w:rPr>
            <w:sz w:val="16"/>
          </w:rPr>
          <w:t>&lt;http://www.ibge.gov.br/cidadesat/xtras/perfil.php?codmun=310540&amp;r</w:t>
        </w:r>
      </w:hyperlink>
    </w:p>
    <w:p w:rsidR="00D81F69" w:rsidRDefault="00330118">
      <w:pPr>
        <w:spacing w:before="56"/>
        <w:ind w:left="100"/>
        <w:rPr>
          <w:sz w:val="16"/>
        </w:rPr>
      </w:pPr>
      <w:r>
        <w:rPr>
          <w:sz w:val="16"/>
        </w:rPr>
        <w:t>=2&gt;. Acesso em: 26 dez. 2011.</w:t>
      </w:r>
    </w:p>
    <w:p w:rsidR="00D81F69" w:rsidRDefault="00330118">
      <w:pPr>
        <w:tabs>
          <w:tab w:val="left" w:pos="1776"/>
          <w:tab w:val="left" w:pos="2874"/>
          <w:tab w:val="left" w:pos="4689"/>
        </w:tabs>
        <w:spacing w:before="56" w:line="312" w:lineRule="auto"/>
        <w:ind w:left="100" w:right="38"/>
        <w:rPr>
          <w:sz w:val="16"/>
        </w:rPr>
      </w:pPr>
      <w:r>
        <w:rPr>
          <w:sz w:val="16"/>
        </w:rPr>
        <w:t>ROBERTO, José Benedito. Influência dos diversos tipos  litológicos nas ope</w:t>
      </w:r>
      <w:r>
        <w:rPr>
          <w:sz w:val="16"/>
        </w:rPr>
        <w:t xml:space="preserve">rações de concentração da instalação de beneficiamento de </w:t>
      </w:r>
      <w:r>
        <w:rPr>
          <w:spacing w:val="3"/>
          <w:sz w:val="16"/>
        </w:rPr>
        <w:t xml:space="preserve">Brucutu. </w:t>
      </w:r>
      <w:r>
        <w:rPr>
          <w:spacing w:val="2"/>
          <w:sz w:val="16"/>
        </w:rPr>
        <w:t xml:space="preserve">Mar. </w:t>
      </w:r>
      <w:r>
        <w:rPr>
          <w:spacing w:val="3"/>
          <w:sz w:val="16"/>
        </w:rPr>
        <w:t xml:space="preserve">2010, 102f. Dissertação (Mestrado </w:t>
      </w:r>
      <w:r>
        <w:rPr>
          <w:spacing w:val="1"/>
          <w:sz w:val="16"/>
        </w:rPr>
        <w:t xml:space="preserve">em </w:t>
      </w:r>
      <w:r>
        <w:rPr>
          <w:spacing w:val="5"/>
          <w:sz w:val="16"/>
        </w:rPr>
        <w:t xml:space="preserve">Engenharia </w:t>
      </w:r>
      <w:r>
        <w:rPr>
          <w:sz w:val="16"/>
        </w:rPr>
        <w:t xml:space="preserve">Metalúrgica e de Minas). Universidade Federal de Minas Gerais, Belo </w:t>
      </w:r>
      <w:r>
        <w:rPr>
          <w:spacing w:val="30"/>
          <w:sz w:val="16"/>
        </w:rPr>
        <w:t>H</w:t>
      </w:r>
      <w:r>
        <w:rPr>
          <w:sz w:val="16"/>
        </w:rPr>
        <w:t xml:space="preserve"> </w:t>
      </w:r>
      <w:r>
        <w:rPr>
          <w:spacing w:val="30"/>
          <w:sz w:val="16"/>
        </w:rPr>
        <w:t>o</w:t>
      </w:r>
      <w:r>
        <w:rPr>
          <w:sz w:val="16"/>
        </w:rPr>
        <w:t xml:space="preserve"> </w:t>
      </w:r>
      <w:r>
        <w:rPr>
          <w:spacing w:val="30"/>
          <w:sz w:val="16"/>
        </w:rPr>
        <w:t>r</w:t>
      </w:r>
      <w:r>
        <w:rPr>
          <w:sz w:val="16"/>
        </w:rPr>
        <w:t xml:space="preserve"> </w:t>
      </w:r>
      <w:r>
        <w:rPr>
          <w:spacing w:val="30"/>
          <w:sz w:val="16"/>
        </w:rPr>
        <w:t>i</w:t>
      </w:r>
      <w:r>
        <w:rPr>
          <w:sz w:val="16"/>
        </w:rPr>
        <w:t xml:space="preserve"> </w:t>
      </w:r>
      <w:r>
        <w:rPr>
          <w:spacing w:val="30"/>
          <w:sz w:val="16"/>
        </w:rPr>
        <w:t>z</w:t>
      </w:r>
      <w:r>
        <w:rPr>
          <w:sz w:val="16"/>
        </w:rPr>
        <w:t xml:space="preserve"> </w:t>
      </w:r>
      <w:r>
        <w:rPr>
          <w:spacing w:val="30"/>
          <w:sz w:val="16"/>
        </w:rPr>
        <w:t>o</w:t>
      </w:r>
      <w:r>
        <w:rPr>
          <w:sz w:val="16"/>
        </w:rPr>
        <w:t xml:space="preserve"> </w:t>
      </w:r>
      <w:r>
        <w:rPr>
          <w:spacing w:val="30"/>
          <w:sz w:val="16"/>
        </w:rPr>
        <w:t>n</w:t>
      </w:r>
      <w:r>
        <w:rPr>
          <w:sz w:val="16"/>
        </w:rPr>
        <w:t xml:space="preserve"> </w:t>
      </w:r>
      <w:r>
        <w:rPr>
          <w:spacing w:val="30"/>
          <w:sz w:val="16"/>
        </w:rPr>
        <w:t>t</w:t>
      </w:r>
      <w:r>
        <w:rPr>
          <w:sz w:val="16"/>
        </w:rPr>
        <w:t xml:space="preserve"> e</w:t>
      </w:r>
      <w:r>
        <w:rPr>
          <w:sz w:val="16"/>
        </w:rPr>
        <w:tab/>
      </w:r>
      <w:r>
        <w:rPr>
          <w:spacing w:val="30"/>
          <w:sz w:val="16"/>
        </w:rPr>
        <w:t>(</w:t>
      </w:r>
      <w:r>
        <w:rPr>
          <w:sz w:val="16"/>
        </w:rPr>
        <w:t xml:space="preserve"> </w:t>
      </w:r>
      <w:r>
        <w:rPr>
          <w:spacing w:val="30"/>
          <w:sz w:val="16"/>
        </w:rPr>
        <w:t>M</w:t>
      </w:r>
      <w:r>
        <w:rPr>
          <w:sz w:val="16"/>
        </w:rPr>
        <w:t xml:space="preserve"> </w:t>
      </w:r>
      <w:r>
        <w:rPr>
          <w:spacing w:val="30"/>
          <w:sz w:val="16"/>
        </w:rPr>
        <w:t>G</w:t>
      </w:r>
      <w:r>
        <w:rPr>
          <w:sz w:val="16"/>
        </w:rPr>
        <w:t xml:space="preserve"> </w:t>
      </w:r>
      <w:r>
        <w:rPr>
          <w:spacing w:val="30"/>
          <w:sz w:val="16"/>
        </w:rPr>
        <w:t>)</w:t>
      </w:r>
      <w:r>
        <w:rPr>
          <w:sz w:val="16"/>
        </w:rPr>
        <w:t xml:space="preserve"> .</w:t>
      </w:r>
      <w:r>
        <w:rPr>
          <w:sz w:val="16"/>
        </w:rPr>
        <w:tab/>
      </w:r>
      <w:r>
        <w:rPr>
          <w:spacing w:val="30"/>
          <w:sz w:val="16"/>
        </w:rPr>
        <w:t>D</w:t>
      </w:r>
      <w:r>
        <w:rPr>
          <w:sz w:val="16"/>
        </w:rPr>
        <w:t xml:space="preserve"> </w:t>
      </w:r>
      <w:r>
        <w:rPr>
          <w:spacing w:val="30"/>
          <w:sz w:val="16"/>
        </w:rPr>
        <w:t>i</w:t>
      </w:r>
      <w:r>
        <w:rPr>
          <w:sz w:val="16"/>
        </w:rPr>
        <w:t xml:space="preserve"> </w:t>
      </w:r>
      <w:r>
        <w:rPr>
          <w:spacing w:val="30"/>
          <w:sz w:val="16"/>
        </w:rPr>
        <w:t>s</w:t>
      </w:r>
      <w:r>
        <w:rPr>
          <w:sz w:val="16"/>
        </w:rPr>
        <w:t xml:space="preserve"> </w:t>
      </w:r>
      <w:r>
        <w:rPr>
          <w:spacing w:val="30"/>
          <w:sz w:val="16"/>
        </w:rPr>
        <w:t>p</w:t>
      </w:r>
      <w:r>
        <w:rPr>
          <w:sz w:val="16"/>
        </w:rPr>
        <w:t xml:space="preserve"> </w:t>
      </w:r>
      <w:r>
        <w:rPr>
          <w:spacing w:val="30"/>
          <w:sz w:val="16"/>
        </w:rPr>
        <w:t>o</w:t>
      </w:r>
      <w:r>
        <w:rPr>
          <w:sz w:val="16"/>
        </w:rPr>
        <w:t xml:space="preserve"> </w:t>
      </w:r>
      <w:r>
        <w:rPr>
          <w:spacing w:val="30"/>
          <w:sz w:val="16"/>
        </w:rPr>
        <w:t>n</w:t>
      </w:r>
      <w:r>
        <w:rPr>
          <w:sz w:val="16"/>
        </w:rPr>
        <w:t xml:space="preserve"> </w:t>
      </w:r>
      <w:r>
        <w:rPr>
          <w:spacing w:val="30"/>
          <w:sz w:val="16"/>
        </w:rPr>
        <w:t>í</w:t>
      </w:r>
      <w:r>
        <w:rPr>
          <w:sz w:val="16"/>
        </w:rPr>
        <w:t xml:space="preserve"> </w:t>
      </w:r>
      <w:r>
        <w:rPr>
          <w:spacing w:val="30"/>
          <w:sz w:val="16"/>
        </w:rPr>
        <w:t>v</w:t>
      </w:r>
      <w:r>
        <w:rPr>
          <w:sz w:val="16"/>
        </w:rPr>
        <w:t xml:space="preserve"> </w:t>
      </w:r>
      <w:r>
        <w:rPr>
          <w:spacing w:val="30"/>
          <w:sz w:val="16"/>
        </w:rPr>
        <w:t>e</w:t>
      </w:r>
      <w:r>
        <w:rPr>
          <w:sz w:val="16"/>
        </w:rPr>
        <w:t xml:space="preserve"> l</w:t>
      </w:r>
      <w:r>
        <w:rPr>
          <w:sz w:val="16"/>
        </w:rPr>
        <w:tab/>
      </w:r>
      <w:r>
        <w:rPr>
          <w:spacing w:val="30"/>
          <w:sz w:val="16"/>
        </w:rPr>
        <w:t>e m</w:t>
      </w:r>
      <w:r>
        <w:rPr>
          <w:spacing w:val="-29"/>
          <w:sz w:val="16"/>
        </w:rPr>
        <w:t xml:space="preserve"> </w:t>
      </w:r>
      <w:r>
        <w:rPr>
          <w:sz w:val="16"/>
        </w:rPr>
        <w:t xml:space="preserve">: </w:t>
      </w:r>
      <w:r>
        <w:rPr>
          <w:spacing w:val="-14"/>
          <w:sz w:val="16"/>
        </w:rPr>
        <w:t xml:space="preserve"> </w:t>
      </w:r>
    </w:p>
    <w:p w:rsidR="00D81F69" w:rsidRDefault="00D81F69">
      <w:pPr>
        <w:spacing w:before="4" w:line="312" w:lineRule="auto"/>
        <w:ind w:left="100"/>
        <w:rPr>
          <w:sz w:val="16"/>
        </w:rPr>
      </w:pPr>
      <w:hyperlink r:id="rId1139">
        <w:r w:rsidR="00330118">
          <w:rPr>
            <w:sz w:val="16"/>
          </w:rPr>
          <w:t>&lt;http://www.bibliotecadigital.ufmg.br/dspace/bitstream/1843/BUOS-</w:t>
        </w:r>
      </w:hyperlink>
      <w:r w:rsidR="00330118">
        <w:rPr>
          <w:sz w:val="16"/>
        </w:rPr>
        <w:t xml:space="preserve"> 8DJFVY/1/1565m.pdf&gt;. Acesso em: 26 dez. 2011.</w:t>
      </w:r>
    </w:p>
    <w:p w:rsidR="00D81F69" w:rsidRDefault="00330118">
      <w:pPr>
        <w:spacing w:before="2" w:line="312" w:lineRule="auto"/>
        <w:ind w:left="100" w:right="111"/>
        <w:jc w:val="both"/>
        <w:rPr>
          <w:sz w:val="16"/>
        </w:rPr>
      </w:pPr>
      <w:r>
        <w:rPr>
          <w:spacing w:val="3"/>
          <w:sz w:val="16"/>
        </w:rPr>
        <w:t xml:space="preserve">SPINOLA, Diogo Noses; VIDAL, Junia Cota; RESCK, Bruno </w:t>
      </w:r>
      <w:r>
        <w:rPr>
          <w:spacing w:val="5"/>
          <w:sz w:val="16"/>
        </w:rPr>
        <w:t xml:space="preserve">de </w:t>
      </w:r>
      <w:r>
        <w:rPr>
          <w:sz w:val="16"/>
        </w:rPr>
        <w:t>Carvalh</w:t>
      </w:r>
      <w:r>
        <w:rPr>
          <w:sz w:val="16"/>
        </w:rPr>
        <w:t xml:space="preserve">o; PORTES, Raquel de Castro; CRISPIM, Flavio Alessandro. Análise da evolução espacial da mina de Brucutú, em São Gonçalo  </w:t>
      </w:r>
      <w:r>
        <w:rPr>
          <w:spacing w:val="1"/>
          <w:sz w:val="16"/>
        </w:rPr>
        <w:t xml:space="preserve">do </w:t>
      </w:r>
      <w:r>
        <w:rPr>
          <w:spacing w:val="2"/>
          <w:sz w:val="16"/>
        </w:rPr>
        <w:t xml:space="preserve">Rio </w:t>
      </w:r>
      <w:r>
        <w:rPr>
          <w:spacing w:val="3"/>
          <w:sz w:val="16"/>
        </w:rPr>
        <w:t xml:space="preserve">Abaixo </w:t>
      </w:r>
      <w:r>
        <w:rPr>
          <w:sz w:val="16"/>
        </w:rPr>
        <w:t xml:space="preserve">– </w:t>
      </w:r>
      <w:r>
        <w:rPr>
          <w:spacing w:val="1"/>
          <w:sz w:val="16"/>
        </w:rPr>
        <w:t xml:space="preserve">MG </w:t>
      </w:r>
      <w:r>
        <w:rPr>
          <w:spacing w:val="3"/>
          <w:sz w:val="16"/>
        </w:rPr>
        <w:t xml:space="preserve">entre </w:t>
      </w:r>
      <w:r>
        <w:rPr>
          <w:spacing w:val="2"/>
          <w:sz w:val="16"/>
        </w:rPr>
        <w:t xml:space="preserve">2003 </w:t>
      </w:r>
      <w:r>
        <w:rPr>
          <w:sz w:val="16"/>
        </w:rPr>
        <w:t xml:space="preserve">e </w:t>
      </w:r>
      <w:r>
        <w:rPr>
          <w:spacing w:val="2"/>
          <w:sz w:val="16"/>
        </w:rPr>
        <w:t xml:space="preserve">2008 </w:t>
      </w:r>
      <w:r>
        <w:rPr>
          <w:spacing w:val="3"/>
          <w:sz w:val="16"/>
        </w:rPr>
        <w:t xml:space="preserve">através </w:t>
      </w:r>
      <w:r>
        <w:rPr>
          <w:spacing w:val="1"/>
          <w:sz w:val="16"/>
        </w:rPr>
        <w:t xml:space="preserve">da </w:t>
      </w:r>
      <w:r>
        <w:rPr>
          <w:spacing w:val="5"/>
          <w:sz w:val="16"/>
        </w:rPr>
        <w:t xml:space="preserve">classificação </w:t>
      </w:r>
      <w:r>
        <w:rPr>
          <w:sz w:val="16"/>
        </w:rPr>
        <w:t>supervisionada de imagens multitemporais Landsat 5 TM. Anais XIV Simpósi</w:t>
      </w:r>
      <w:r>
        <w:rPr>
          <w:sz w:val="16"/>
        </w:rPr>
        <w:t>o Brasileiro de Sensoriamento Remoto, Natal (RN), 25-30 abr. 2009, INPE, p. 1551-1558. Disponível</w:t>
      </w:r>
      <w:r>
        <w:rPr>
          <w:spacing w:val="3"/>
          <w:sz w:val="16"/>
        </w:rPr>
        <w:t xml:space="preserve"> </w:t>
      </w:r>
      <w:r>
        <w:rPr>
          <w:sz w:val="16"/>
        </w:rPr>
        <w:t>em:</w:t>
      </w:r>
    </w:p>
    <w:p w:rsidR="00D81F69" w:rsidRDefault="00330118">
      <w:pPr>
        <w:spacing w:before="70" w:line="312" w:lineRule="auto"/>
        <w:ind w:left="100" w:right="217"/>
        <w:jc w:val="both"/>
        <w:rPr>
          <w:sz w:val="16"/>
        </w:rPr>
      </w:pPr>
      <w:r>
        <w:br w:type="column"/>
      </w:r>
      <w:hyperlink r:id="rId1140">
        <w:r>
          <w:rPr>
            <w:sz w:val="16"/>
          </w:rPr>
          <w:t>&lt;http://marte.dpi.inpe.br/col/dpi.inpe.br/sbsr@80/2008/11.18.00.</w:t>
        </w:r>
        <w:r>
          <w:rPr>
            <w:sz w:val="16"/>
          </w:rPr>
          <w:t>57.42/</w:t>
        </w:r>
      </w:hyperlink>
      <w:r>
        <w:rPr>
          <w:sz w:val="16"/>
        </w:rPr>
        <w:t xml:space="preserve"> doc/1551-1558.pdf&gt;. Acesso em: 23 dez. 2011.</w:t>
      </w:r>
    </w:p>
    <w:p w:rsidR="00D81F69" w:rsidRDefault="00330118">
      <w:pPr>
        <w:spacing w:before="1" w:line="312" w:lineRule="auto"/>
        <w:ind w:left="100" w:right="196"/>
        <w:jc w:val="both"/>
        <w:rPr>
          <w:sz w:val="16"/>
        </w:rPr>
      </w:pPr>
      <w:r>
        <w:rPr>
          <w:sz w:val="16"/>
        </w:rPr>
        <w:t xml:space="preserve">TRINDADE, Jaqueline Carvalho Dias. Paisagem e Desenvolvimento Econômico da Bacia do rio Piracicaba/Mg. Itabira, 2007. Disponível em: </w:t>
      </w:r>
      <w:hyperlink r:id="rId1141">
        <w:r>
          <w:rPr>
            <w:sz w:val="16"/>
          </w:rPr>
          <w:t>&lt;http://www.funcesi.br/Portals/1/monografia%20geografia.pdf&gt;.</w:t>
        </w:r>
      </w:hyperlink>
      <w:r>
        <w:rPr>
          <w:sz w:val="16"/>
        </w:rPr>
        <w:t xml:space="preserve"> Acesso em: 23 dez. 2011.</w:t>
      </w:r>
    </w:p>
    <w:p w:rsidR="00D81F69" w:rsidRDefault="00330118">
      <w:pPr>
        <w:spacing w:before="4" w:line="312" w:lineRule="auto"/>
        <w:ind w:left="100" w:right="197"/>
        <w:jc w:val="both"/>
        <w:rPr>
          <w:sz w:val="16"/>
        </w:rPr>
      </w:pPr>
      <w:r>
        <w:rPr>
          <w:sz w:val="16"/>
        </w:rPr>
        <w:t xml:space="preserve">VALE. Atividades e unidades operacionais. Brasil. Sistema Sudeste, 2010. Disponível em: </w:t>
      </w:r>
      <w:hyperlink r:id="rId1142">
        <w:r>
          <w:rPr>
            <w:sz w:val="16"/>
          </w:rPr>
          <w:t>&lt;http://www.vale.com.br/pt-br/o-que-</w:t>
        </w:r>
      </w:hyperlink>
      <w:r>
        <w:rPr>
          <w:sz w:val="16"/>
        </w:rPr>
        <w:t xml:space="preserve"> fazemos/mineracao/minerio-de-ferro-e-pelotas/atividades-e-unidades- operacionais/Paginas/default.aspx&gt;. Acesso em: 26 dez. 2011.</w:t>
      </w:r>
    </w:p>
    <w:p w:rsidR="00D81F69" w:rsidRDefault="00330118">
      <w:pPr>
        <w:spacing w:before="3"/>
        <w:ind w:left="100"/>
        <w:rPr>
          <w:sz w:val="16"/>
        </w:rPr>
      </w:pPr>
      <w:r>
        <w:rPr>
          <w:sz w:val="16"/>
        </w:rPr>
        <w:t xml:space="preserve">VALE FLORESTAR. Os ecos em Barão de Cocais. </w:t>
      </w:r>
      <w:r>
        <w:rPr>
          <w:sz w:val="16"/>
        </w:rPr>
        <w:t>Disponível em:</w:t>
      </w:r>
    </w:p>
    <w:p w:rsidR="00D81F69" w:rsidRDefault="00D81F69">
      <w:pPr>
        <w:spacing w:before="56" w:line="312" w:lineRule="auto"/>
        <w:ind w:left="100" w:right="192"/>
        <w:jc w:val="both"/>
        <w:rPr>
          <w:sz w:val="16"/>
        </w:rPr>
      </w:pPr>
      <w:hyperlink r:id="rId1143">
        <w:r w:rsidR="00330118">
          <w:rPr>
            <w:sz w:val="16"/>
          </w:rPr>
          <w:t>&lt;http://www.agendasustentavel.com.br/images/pdf/002493.pdf&gt;.</w:t>
        </w:r>
      </w:hyperlink>
      <w:r w:rsidR="00330118">
        <w:rPr>
          <w:sz w:val="16"/>
        </w:rPr>
        <w:t xml:space="preserve"> Acesso em: 26 dez. 2011.</w:t>
      </w:r>
    </w:p>
    <w:p w:rsidR="00D81F69" w:rsidRDefault="00330118">
      <w:pPr>
        <w:spacing w:before="1" w:line="312" w:lineRule="auto"/>
        <w:ind w:left="100" w:right="162"/>
        <w:jc w:val="both"/>
        <w:rPr>
          <w:sz w:val="16"/>
        </w:rPr>
      </w:pPr>
      <w:r>
        <w:rPr>
          <w:sz w:val="16"/>
        </w:rPr>
        <w:t xml:space="preserve">VIDAL, Júnia Maria Cota. Análise do processo de (re) configuração espacial a partir da mineração no município de São Gonçalo do Rio </w:t>
      </w:r>
      <w:r>
        <w:rPr>
          <w:spacing w:val="28"/>
          <w:sz w:val="16"/>
        </w:rPr>
        <w:t xml:space="preserve">Abaixo </w:t>
      </w:r>
      <w:r>
        <w:rPr>
          <w:sz w:val="16"/>
        </w:rPr>
        <w:t xml:space="preserve">– </w:t>
      </w:r>
      <w:r>
        <w:rPr>
          <w:spacing w:val="22"/>
          <w:sz w:val="16"/>
        </w:rPr>
        <w:t xml:space="preserve">MG. </w:t>
      </w:r>
      <w:r>
        <w:rPr>
          <w:spacing w:val="30"/>
          <w:sz w:val="16"/>
        </w:rPr>
        <w:t xml:space="preserve">Viçosa, </w:t>
      </w:r>
      <w:r>
        <w:rPr>
          <w:spacing w:val="27"/>
          <w:sz w:val="16"/>
        </w:rPr>
        <w:t xml:space="preserve">2008. </w:t>
      </w:r>
      <w:r>
        <w:rPr>
          <w:spacing w:val="30"/>
          <w:sz w:val="16"/>
        </w:rPr>
        <w:t>Disponível</w:t>
      </w:r>
      <w:r>
        <w:rPr>
          <w:spacing w:val="85"/>
          <w:sz w:val="16"/>
        </w:rPr>
        <w:t xml:space="preserve"> </w:t>
      </w:r>
      <w:r>
        <w:rPr>
          <w:spacing w:val="22"/>
          <w:sz w:val="16"/>
        </w:rPr>
        <w:t>em:</w:t>
      </w:r>
      <w:r>
        <w:rPr>
          <w:spacing w:val="-10"/>
          <w:sz w:val="16"/>
        </w:rPr>
        <w:t xml:space="preserve"> </w:t>
      </w:r>
    </w:p>
    <w:p w:rsidR="00D81F69" w:rsidRDefault="00D81F69">
      <w:pPr>
        <w:spacing w:before="3" w:line="312" w:lineRule="auto"/>
        <w:ind w:left="100" w:right="215"/>
        <w:jc w:val="both"/>
        <w:rPr>
          <w:sz w:val="16"/>
        </w:rPr>
      </w:pPr>
      <w:hyperlink r:id="rId1144">
        <w:r w:rsidR="00330118">
          <w:rPr>
            <w:sz w:val="16"/>
          </w:rPr>
          <w:t>&lt;http://www.geo.ufv.br/docs/monografias/Monografias_2008_2/Junia</w:t>
        </w:r>
      </w:hyperlink>
      <w:r w:rsidR="00330118">
        <w:rPr>
          <w:sz w:val="16"/>
        </w:rPr>
        <w:t xml:space="preserve"> MariaCotaVidal.pdf&gt;. Acesso em: 26 dez. 2011.</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224" w:space="246"/>
            <w:col w:w="5310"/>
          </w:cols>
        </w:sectPr>
      </w:pPr>
    </w:p>
    <w:p w:rsidR="00D81F69" w:rsidRDefault="00330118">
      <w:pPr>
        <w:pStyle w:val="Heading1"/>
        <w:spacing w:line="208" w:lineRule="auto"/>
      </w:pPr>
      <w:r>
        <w:lastRenderedPageBreak/>
        <w:t>Projeto Apolo pode comprometer uma das maiores geodiversidades de MG</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7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302"/>
        <w:rPr>
          <w:i/>
          <w:sz w:val="14"/>
        </w:rPr>
      </w:pPr>
      <w:r>
        <w:rPr>
          <w:i/>
          <w:sz w:val="14"/>
        </w:rPr>
        <w:t xml:space="preserve">MG -  Caeté MG </w:t>
      </w:r>
      <w:r>
        <w:rPr>
          <w:i/>
          <w:sz w:val="14"/>
        </w:rPr>
        <w:t>- Raposos MG - Rio Acima</w:t>
      </w:r>
    </w:p>
    <w:p w:rsidR="00D81F69" w:rsidRDefault="00330118">
      <w:pPr>
        <w:spacing w:before="2"/>
        <w:ind w:left="135"/>
        <w:rPr>
          <w:i/>
          <w:sz w:val="14"/>
        </w:rPr>
      </w:pPr>
      <w:r>
        <w:rPr>
          <w:i/>
          <w:sz w:val="14"/>
        </w:rPr>
        <w:t>MG - Santa Bárbara</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-19,82277778</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-43,67055556</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4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Com produção prevista de 24 milhões de </w:t>
      </w:r>
      <w:r>
        <w:rPr>
          <w:i/>
          <w:sz w:val="16"/>
        </w:rPr>
        <w:t xml:space="preserve">toneladas anuais de minério de ferro e vida útil de 17 anos, o projeto Apolo, da Vale, prevê, além da cava, a instalação de usina de beneficiamento, oficinas, pilhas de estéril, pátio de produtos, barragem de rejeitos e um ramal ferroviário. No entanto, o </w:t>
      </w:r>
      <w:r>
        <w:rPr>
          <w:i/>
          <w:sz w:val="16"/>
        </w:rPr>
        <w:t>projeto se localiza na Serra do Gandarela, região com rica geodiversidade onde se encontram as nascentes de mananciais que abastecem a Região Metropolitana de Belo Horizonte.</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4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13"/>
      </w:pPr>
      <w:r>
        <w:t>a mina Apolo, as reservas da mina Gandarela passarão de cerca de 4 bilhões pa</w:t>
      </w:r>
      <w:r>
        <w:t>ra 5 bilhões de toneladas de minério de ferro (SARAIVA; TEREZA, 2008).</w:t>
      </w:r>
    </w:p>
    <w:p w:rsidR="00D81F69" w:rsidRDefault="00330118">
      <w:pPr>
        <w:pStyle w:val="Corpodetexto"/>
        <w:spacing w:before="132" w:line="312" w:lineRule="auto"/>
        <w:ind w:left="135" w:right="192"/>
      </w:pPr>
      <w:r>
        <w:t xml:space="preserve">A produção do projeto Apolo foi estimada em 24 milhões de </w:t>
      </w:r>
      <w:r>
        <w:rPr>
          <w:spacing w:val="1"/>
        </w:rPr>
        <w:t xml:space="preserve">toneladas anuais </w:t>
      </w:r>
      <w:r>
        <w:t xml:space="preserve">de </w:t>
      </w:r>
      <w:r>
        <w:rPr>
          <w:spacing w:val="1"/>
        </w:rPr>
        <w:t xml:space="preserve">minério </w:t>
      </w:r>
      <w:r>
        <w:t xml:space="preserve">de </w:t>
      </w:r>
      <w:r>
        <w:rPr>
          <w:spacing w:val="1"/>
        </w:rPr>
        <w:t xml:space="preserve">ferro (PORTO, 2010), </w:t>
      </w:r>
      <w:r>
        <w:rPr>
          <w:spacing w:val="2"/>
        </w:rPr>
        <w:t xml:space="preserve">com vida útil </w:t>
      </w:r>
      <w:r>
        <w:rPr>
          <w:spacing w:val="1"/>
        </w:rPr>
        <w:t xml:space="preserve">de 17 </w:t>
      </w:r>
      <w:r>
        <w:rPr>
          <w:spacing w:val="2"/>
        </w:rPr>
        <w:t xml:space="preserve">anos </w:t>
      </w:r>
      <w:r>
        <w:rPr>
          <w:spacing w:val="3"/>
        </w:rPr>
        <w:t xml:space="preserve">(CAETE </w:t>
      </w:r>
      <w:r>
        <w:rPr>
          <w:spacing w:val="2"/>
        </w:rPr>
        <w:t xml:space="preserve">MAIS </w:t>
      </w:r>
      <w:r>
        <w:rPr>
          <w:spacing w:val="3"/>
        </w:rPr>
        <w:t xml:space="preserve">HORIZONTES, </w:t>
      </w:r>
      <w:r>
        <w:rPr>
          <w:spacing w:val="5"/>
        </w:rPr>
        <w:t xml:space="preserve">2010). </w:t>
      </w:r>
      <w:r>
        <w:t>Além da cava, integ</w:t>
      </w:r>
      <w:r>
        <w:t xml:space="preserve">ram o projeto a instalação de uma usina </w:t>
      </w:r>
      <w:r>
        <w:rPr>
          <w:spacing w:val="3"/>
        </w:rPr>
        <w:t xml:space="preserve">de </w:t>
      </w:r>
      <w:r>
        <w:rPr>
          <w:spacing w:val="6"/>
        </w:rPr>
        <w:t xml:space="preserve">beneficiamento, oficinas, </w:t>
      </w:r>
      <w:r>
        <w:rPr>
          <w:spacing w:val="5"/>
        </w:rPr>
        <w:t xml:space="preserve">pilhas </w:t>
      </w:r>
      <w:r>
        <w:rPr>
          <w:spacing w:val="3"/>
        </w:rPr>
        <w:t xml:space="preserve">de </w:t>
      </w:r>
      <w:r>
        <w:rPr>
          <w:spacing w:val="6"/>
        </w:rPr>
        <w:t xml:space="preserve">estéril, </w:t>
      </w:r>
      <w:r>
        <w:rPr>
          <w:spacing w:val="5"/>
        </w:rPr>
        <w:t xml:space="preserve">pátio </w:t>
      </w:r>
      <w:r>
        <w:rPr>
          <w:spacing w:val="7"/>
        </w:rPr>
        <w:t xml:space="preserve">de </w:t>
      </w:r>
      <w:r>
        <w:rPr>
          <w:spacing w:val="3"/>
        </w:rPr>
        <w:t xml:space="preserve">produtos </w:t>
      </w:r>
      <w:r>
        <w:t xml:space="preserve">e </w:t>
      </w:r>
      <w:r>
        <w:rPr>
          <w:spacing w:val="2"/>
        </w:rPr>
        <w:t xml:space="preserve">uma </w:t>
      </w:r>
      <w:r>
        <w:rPr>
          <w:spacing w:val="3"/>
        </w:rPr>
        <w:t xml:space="preserve">barragem </w:t>
      </w:r>
      <w:r>
        <w:rPr>
          <w:spacing w:val="1"/>
        </w:rPr>
        <w:t xml:space="preserve">de </w:t>
      </w:r>
      <w:r>
        <w:rPr>
          <w:spacing w:val="3"/>
        </w:rPr>
        <w:t xml:space="preserve">rejeitos (VALE, 2010). </w:t>
      </w:r>
      <w:r>
        <w:rPr>
          <w:spacing w:val="5"/>
        </w:rPr>
        <w:t xml:space="preserve">Será </w:t>
      </w:r>
      <w:r>
        <w:t xml:space="preserve">construído também um novo ramal ferroviário, com cerca de </w:t>
      </w:r>
      <w:r>
        <w:rPr>
          <w:spacing w:val="1"/>
        </w:rPr>
        <w:t xml:space="preserve">20 km de </w:t>
      </w:r>
      <w:r>
        <w:rPr>
          <w:spacing w:val="3"/>
        </w:rPr>
        <w:t xml:space="preserve">extensão, </w:t>
      </w:r>
      <w:r>
        <w:rPr>
          <w:spacing w:val="2"/>
        </w:rPr>
        <w:t xml:space="preserve">para </w:t>
      </w:r>
      <w:r>
        <w:rPr>
          <w:spacing w:val="3"/>
        </w:rPr>
        <w:t xml:space="preserve">transportar </w:t>
      </w:r>
      <w:r>
        <w:t xml:space="preserve">o </w:t>
      </w:r>
      <w:r>
        <w:rPr>
          <w:spacing w:val="3"/>
        </w:rPr>
        <w:t xml:space="preserve">insumo </w:t>
      </w:r>
      <w:r>
        <w:rPr>
          <w:spacing w:val="5"/>
        </w:rPr>
        <w:t>s</w:t>
      </w:r>
      <w:r>
        <w:rPr>
          <w:spacing w:val="5"/>
        </w:rPr>
        <w:t xml:space="preserve">iderúrgico </w:t>
      </w:r>
      <w:r>
        <w:t xml:space="preserve">(PORTO, 2010) até a Estrada de Ferro Vitória-Minas (EFVM) </w:t>
      </w:r>
      <w:r>
        <w:rPr>
          <w:spacing w:val="5"/>
        </w:rPr>
        <w:t xml:space="preserve">(VALE, 2011). </w:t>
      </w:r>
      <w:r>
        <w:t xml:space="preserve">O </w:t>
      </w:r>
      <w:r>
        <w:rPr>
          <w:spacing w:val="5"/>
        </w:rPr>
        <w:t xml:space="preserve">projeto </w:t>
      </w:r>
      <w:r>
        <w:rPr>
          <w:spacing w:val="3"/>
        </w:rPr>
        <w:t xml:space="preserve">total vai </w:t>
      </w:r>
      <w:r>
        <w:rPr>
          <w:spacing w:val="5"/>
        </w:rPr>
        <w:t xml:space="preserve">ocupar </w:t>
      </w:r>
      <w:r>
        <w:rPr>
          <w:spacing w:val="3"/>
        </w:rPr>
        <w:t xml:space="preserve">cerca </w:t>
      </w:r>
      <w:r>
        <w:rPr>
          <w:spacing w:val="2"/>
        </w:rPr>
        <w:t xml:space="preserve">de </w:t>
      </w:r>
      <w:r>
        <w:rPr>
          <w:spacing w:val="5"/>
        </w:rPr>
        <w:t>1.728 hectares</w:t>
      </w:r>
      <w:r>
        <w:rPr>
          <w:spacing w:val="33"/>
        </w:rPr>
        <w:t xml:space="preserve"> </w:t>
      </w:r>
      <w:r>
        <w:rPr>
          <w:spacing w:val="5"/>
        </w:rPr>
        <w:t>(CAETE</w:t>
      </w:r>
      <w:r>
        <w:rPr>
          <w:spacing w:val="33"/>
        </w:rPr>
        <w:t xml:space="preserve"> </w:t>
      </w:r>
      <w:r>
        <w:rPr>
          <w:spacing w:val="3"/>
        </w:rPr>
        <w:t>MAIS</w:t>
      </w:r>
      <w:r>
        <w:rPr>
          <w:spacing w:val="33"/>
        </w:rPr>
        <w:t xml:space="preserve"> </w:t>
      </w:r>
      <w:r>
        <w:rPr>
          <w:spacing w:val="5"/>
        </w:rPr>
        <w:t>HORIZONTES,</w:t>
      </w:r>
      <w:r>
        <w:rPr>
          <w:spacing w:val="33"/>
        </w:rPr>
        <w:t xml:space="preserve"> </w:t>
      </w:r>
      <w:r>
        <w:rPr>
          <w:spacing w:val="5"/>
        </w:rPr>
        <w:t>2010).</w:t>
      </w:r>
    </w:p>
    <w:p w:rsidR="00D81F69" w:rsidRDefault="00D81F69">
      <w:pPr>
        <w:spacing w:line="312" w:lineRule="auto"/>
        <w:sectPr w:rsidR="00D81F69">
          <w:type w:val="continuous"/>
          <w:pgSz w:w="11900" w:h="16840"/>
          <w:pgMar w:top="720" w:right="500" w:bottom="280" w:left="620" w:header="720" w:footer="720" w:gutter="0"/>
          <w:cols w:num="3" w:space="720" w:equalWidth="0">
            <w:col w:w="1428" w:space="572"/>
            <w:col w:w="3123" w:space="312"/>
            <w:col w:w="5345"/>
          </w:cols>
        </w:sectPr>
      </w:pPr>
    </w:p>
    <w:p w:rsidR="00D81F69" w:rsidRDefault="00330118">
      <w:pPr>
        <w:pStyle w:val="Heading4"/>
        <w:spacing w:before="4"/>
      </w:pPr>
      <w:r>
        <w:lastRenderedPageBreak/>
        <w:t>APRESENTAÇÃO DE CASO</w:t>
      </w:r>
    </w:p>
    <w:p w:rsidR="00D81F69" w:rsidRDefault="00330118">
      <w:pPr>
        <w:pStyle w:val="Corpodetexto"/>
        <w:spacing w:before="171" w:line="312" w:lineRule="auto"/>
        <w:ind w:right="54"/>
      </w:pPr>
      <w:r>
        <w:t>O Quadrilátero Ferrífero é a mais importante província mineral do Sudeste do Brasil e está localizado na região centro sul do estado de Minas Gerais (QUADRILATÉRO FERRÍFERO - CENTRO DE  ESTUDOS AVANÇADOS, 2010). É  o  marco</w:t>
      </w:r>
    </w:p>
    <w:p w:rsidR="00D81F69" w:rsidRDefault="00330118">
      <w:pPr>
        <w:pStyle w:val="Corpodetexto"/>
        <w:spacing w:before="3" w:line="312" w:lineRule="auto"/>
        <w:ind w:right="49"/>
      </w:pPr>
      <w:r>
        <w:t>principal da interiorização da o</w:t>
      </w:r>
      <w:r>
        <w:t>cupação portuguesa no século XVIII, e desde a descoberta do ouro no final do século XVII, a região abriga a maior concentração urbana do estado (QUADRILATÉRO FERRÍFERO -  CENTRO DE  ESTUDOS</w:t>
      </w:r>
    </w:p>
    <w:p w:rsidR="00D81F69" w:rsidRDefault="00330118">
      <w:pPr>
        <w:pStyle w:val="Corpodetexto"/>
        <w:spacing w:before="4" w:line="312" w:lineRule="auto"/>
        <w:ind w:right="52"/>
      </w:pPr>
      <w:r>
        <w:t xml:space="preserve">AVANÇADOS, 2010). No decorrer do século XX e no início do XXI, o minério de </w:t>
      </w:r>
      <w:hyperlink r:id="rId1145">
        <w:r>
          <w:t xml:space="preserve">ferro </w:t>
        </w:r>
      </w:hyperlink>
      <w:r>
        <w:t>transformou-se num dos pilares da economia mineral na região, além de item important</w:t>
      </w:r>
      <w:r>
        <w:t>e na pauta de exportações do país (CPRM, 2011).</w:t>
      </w:r>
    </w:p>
    <w:p w:rsidR="00D81F69" w:rsidRDefault="00330118">
      <w:pPr>
        <w:pStyle w:val="Corpodetexto"/>
        <w:spacing w:before="134" w:line="312" w:lineRule="auto"/>
        <w:ind w:right="38"/>
      </w:pPr>
      <w:r>
        <w:t xml:space="preserve">O setor mineral brasileiro deverá investir cerca de US$ 68,5 </w:t>
      </w:r>
      <w:r>
        <w:rPr>
          <w:spacing w:val="5"/>
        </w:rPr>
        <w:t xml:space="preserve">bilhões </w:t>
      </w:r>
      <w:r>
        <w:rPr>
          <w:spacing w:val="2"/>
        </w:rPr>
        <w:t xml:space="preserve">no </w:t>
      </w:r>
      <w:r>
        <w:rPr>
          <w:spacing w:val="5"/>
        </w:rPr>
        <w:t xml:space="preserve">país, </w:t>
      </w:r>
      <w:r>
        <w:rPr>
          <w:spacing w:val="2"/>
        </w:rPr>
        <w:t xml:space="preserve">de </w:t>
      </w:r>
      <w:r>
        <w:rPr>
          <w:spacing w:val="5"/>
        </w:rPr>
        <w:t xml:space="preserve">2011 </w:t>
      </w:r>
      <w:r>
        <w:t xml:space="preserve">a </w:t>
      </w:r>
      <w:r>
        <w:rPr>
          <w:spacing w:val="5"/>
        </w:rPr>
        <w:t xml:space="preserve">2015, significando </w:t>
      </w:r>
      <w:r>
        <w:rPr>
          <w:spacing w:val="2"/>
        </w:rPr>
        <w:t xml:space="preserve">um </w:t>
      </w:r>
      <w:r>
        <w:rPr>
          <w:spacing w:val="6"/>
        </w:rPr>
        <w:t xml:space="preserve">novo </w:t>
      </w:r>
      <w:r>
        <w:t xml:space="preserve">recorde para a mineração (IBRAM, 2011). Deste total, cerca </w:t>
      </w:r>
      <w:r>
        <w:rPr>
          <w:spacing w:val="1"/>
        </w:rPr>
        <w:t xml:space="preserve">de </w:t>
      </w:r>
      <w:r>
        <w:rPr>
          <w:spacing w:val="2"/>
        </w:rPr>
        <w:t xml:space="preserve">65% </w:t>
      </w:r>
      <w:r>
        <w:rPr>
          <w:spacing w:val="3"/>
        </w:rPr>
        <w:t xml:space="preserve">serão destinados </w:t>
      </w:r>
      <w:r>
        <w:t xml:space="preserve">à </w:t>
      </w:r>
      <w:r>
        <w:rPr>
          <w:spacing w:val="3"/>
        </w:rPr>
        <w:t>produção</w:t>
      </w:r>
      <w:r>
        <w:rPr>
          <w:spacing w:val="3"/>
        </w:rPr>
        <w:t xml:space="preserve"> </w:t>
      </w:r>
      <w:r>
        <w:rPr>
          <w:spacing w:val="1"/>
        </w:rPr>
        <w:t xml:space="preserve">de </w:t>
      </w:r>
      <w:r>
        <w:rPr>
          <w:spacing w:val="3"/>
        </w:rPr>
        <w:t xml:space="preserve">minério </w:t>
      </w:r>
      <w:r>
        <w:rPr>
          <w:spacing w:val="1"/>
        </w:rPr>
        <w:t xml:space="preserve">de </w:t>
      </w:r>
      <w:r>
        <w:rPr>
          <w:spacing w:val="5"/>
        </w:rPr>
        <w:t xml:space="preserve">ferro </w:t>
      </w:r>
      <w:r>
        <w:t xml:space="preserve">(IBRAM, 2011). Só a Vale estará produzindo 460 milhões de </w:t>
      </w:r>
      <w:r>
        <w:rPr>
          <w:spacing w:val="5"/>
        </w:rPr>
        <w:t xml:space="preserve">toneladas, </w:t>
      </w:r>
      <w:r>
        <w:rPr>
          <w:spacing w:val="2"/>
        </w:rPr>
        <w:t xml:space="preserve">em </w:t>
      </w:r>
      <w:r>
        <w:rPr>
          <w:spacing w:val="5"/>
        </w:rPr>
        <w:t xml:space="preserve">2015 (IBRAM, 2011), </w:t>
      </w:r>
      <w:r>
        <w:t xml:space="preserve">e o </w:t>
      </w:r>
      <w:r>
        <w:rPr>
          <w:spacing w:val="5"/>
        </w:rPr>
        <w:t xml:space="preserve">incremento </w:t>
      </w:r>
      <w:r>
        <w:rPr>
          <w:spacing w:val="6"/>
        </w:rPr>
        <w:t xml:space="preserve">na </w:t>
      </w:r>
      <w:r>
        <w:t>capacidade produtiva se dará com o início de novos projetos, como o Serra Sul, na região de Carajás, e a Mina Apolo, no Quadr</w:t>
      </w:r>
      <w:r>
        <w:t xml:space="preserve">ilátero Ferrífero (MG). Além disso, a Vale vai ampliar Serra Norte, em Carajás (PA), expandir a Estrada de Ferro </w:t>
      </w:r>
      <w:r>
        <w:rPr>
          <w:spacing w:val="10"/>
        </w:rPr>
        <w:t xml:space="preserve">Vitória-Minas </w:t>
      </w:r>
      <w:r>
        <w:t xml:space="preserve">e o </w:t>
      </w:r>
      <w:r>
        <w:rPr>
          <w:spacing w:val="7"/>
        </w:rPr>
        <w:t xml:space="preserve">Porto </w:t>
      </w:r>
      <w:r>
        <w:rPr>
          <w:spacing w:val="5"/>
        </w:rPr>
        <w:t xml:space="preserve">de </w:t>
      </w:r>
      <w:r>
        <w:rPr>
          <w:spacing w:val="8"/>
        </w:rPr>
        <w:t xml:space="preserve">Tubarão, </w:t>
      </w:r>
      <w:r>
        <w:rPr>
          <w:spacing w:val="5"/>
        </w:rPr>
        <w:t xml:space="preserve">em </w:t>
      </w:r>
      <w:r>
        <w:rPr>
          <w:spacing w:val="8"/>
        </w:rPr>
        <w:t xml:space="preserve">Vitória </w:t>
      </w:r>
      <w:r>
        <w:rPr>
          <w:spacing w:val="10"/>
        </w:rPr>
        <w:t xml:space="preserve">(ES) </w:t>
      </w:r>
      <w:r>
        <w:rPr>
          <w:spacing w:val="8"/>
        </w:rPr>
        <w:t>(RESENDE,</w:t>
      </w:r>
      <w:r>
        <w:rPr>
          <w:spacing w:val="55"/>
        </w:rPr>
        <w:t xml:space="preserve"> </w:t>
      </w:r>
      <w:r>
        <w:rPr>
          <w:spacing w:val="10"/>
        </w:rPr>
        <w:t>2009).</w:t>
      </w:r>
    </w:p>
    <w:p w:rsidR="00D81F69" w:rsidRDefault="00330118">
      <w:pPr>
        <w:pStyle w:val="Corpodetexto"/>
        <w:spacing w:before="141" w:line="312" w:lineRule="auto"/>
        <w:ind w:right="49"/>
      </w:pPr>
      <w:r>
        <w:t>Em 2008, a Vale adquiriu os direitos minerários e de superfície pertencent</w:t>
      </w:r>
      <w:r>
        <w:t>es à Mineração Apolo nos municípios de Rio Acima e Caeté, no Quadrilátero Ferrífero (BRASIL MINERAL, 2008), onde se encontra um dos principais distritos minerais do país (TRINDADE, 2007). A iniciativa, que abrange ainda os municípios mineiros de Santa Bárb</w:t>
      </w:r>
      <w:r>
        <w:t>ara e Raposos, é parte de um pacote de investimentos da Vale, que totaliza R$ 9,5 bilhões somente no estado (PORTO, 2010), sendo vizinha do Projeto Gandarela, também de propriedade da Vale. Com</w:t>
      </w:r>
    </w:p>
    <w:p w:rsidR="00D81F69" w:rsidRDefault="00330118">
      <w:pPr>
        <w:pStyle w:val="Corpodetexto"/>
        <w:spacing w:before="140" w:line="312" w:lineRule="auto"/>
        <w:ind w:right="193"/>
      </w:pPr>
      <w:r>
        <w:br w:type="column"/>
      </w:r>
      <w:r>
        <w:lastRenderedPageBreak/>
        <w:t xml:space="preserve">A metodologia de lavra do projeto Apolo será a céu aberto, </w:t>
      </w:r>
      <w:r>
        <w:rPr>
          <w:spacing w:val="10"/>
        </w:rPr>
        <w:t>po</w:t>
      </w:r>
      <w:r>
        <w:rPr>
          <w:spacing w:val="10"/>
        </w:rPr>
        <w:t xml:space="preserve">r </w:t>
      </w:r>
      <w:r>
        <w:rPr>
          <w:spacing w:val="11"/>
        </w:rPr>
        <w:t xml:space="preserve">meio </w:t>
      </w:r>
      <w:r>
        <w:rPr>
          <w:spacing w:val="7"/>
        </w:rPr>
        <w:t xml:space="preserve">de </w:t>
      </w:r>
      <w:r>
        <w:rPr>
          <w:spacing w:val="13"/>
        </w:rPr>
        <w:t xml:space="preserve">bancadas. </w:t>
      </w:r>
      <w:r>
        <w:t xml:space="preserve">A </w:t>
      </w:r>
      <w:r>
        <w:rPr>
          <w:spacing w:val="12"/>
        </w:rPr>
        <w:t xml:space="preserve">escolha </w:t>
      </w:r>
      <w:r>
        <w:rPr>
          <w:spacing w:val="13"/>
        </w:rPr>
        <w:t xml:space="preserve">baseou-se </w:t>
      </w:r>
      <w:r>
        <w:rPr>
          <w:spacing w:val="10"/>
        </w:rPr>
        <w:t xml:space="preserve">nas </w:t>
      </w:r>
      <w:r>
        <w:t xml:space="preserve">características geológicas e físicas dos minérios e estéreis, na geometria da jazida e na movimentação anual requerida. Os </w:t>
      </w:r>
      <w:r>
        <w:rPr>
          <w:spacing w:val="8"/>
        </w:rPr>
        <w:t xml:space="preserve">depósitos </w:t>
      </w:r>
      <w:r>
        <w:rPr>
          <w:spacing w:val="5"/>
        </w:rPr>
        <w:t xml:space="preserve">de </w:t>
      </w:r>
      <w:r>
        <w:rPr>
          <w:spacing w:val="8"/>
        </w:rPr>
        <w:t xml:space="preserve">minério </w:t>
      </w:r>
      <w:r>
        <w:rPr>
          <w:spacing w:val="5"/>
        </w:rPr>
        <w:t xml:space="preserve">de </w:t>
      </w:r>
      <w:r>
        <w:rPr>
          <w:spacing w:val="7"/>
        </w:rPr>
        <w:t xml:space="preserve">ferro </w:t>
      </w:r>
      <w:r>
        <w:rPr>
          <w:spacing w:val="5"/>
        </w:rPr>
        <w:t xml:space="preserve">da </w:t>
      </w:r>
      <w:r>
        <w:rPr>
          <w:spacing w:val="8"/>
        </w:rPr>
        <w:t xml:space="preserve">estrutura </w:t>
      </w:r>
      <w:r>
        <w:rPr>
          <w:spacing w:val="10"/>
        </w:rPr>
        <w:t xml:space="preserve">geológica </w:t>
      </w:r>
      <w:r>
        <w:t>denominada Sinclinal Gandarela - dob</w:t>
      </w:r>
      <w:r>
        <w:t xml:space="preserve">ra com a concavidade </w:t>
      </w:r>
      <w:r>
        <w:rPr>
          <w:spacing w:val="5"/>
        </w:rPr>
        <w:t xml:space="preserve">voltada </w:t>
      </w:r>
      <w:r>
        <w:rPr>
          <w:spacing w:val="3"/>
        </w:rPr>
        <w:t xml:space="preserve">para cima </w:t>
      </w:r>
      <w:r>
        <w:t xml:space="preserve">- </w:t>
      </w:r>
      <w:r>
        <w:rPr>
          <w:spacing w:val="3"/>
        </w:rPr>
        <w:t xml:space="preserve">são uma das </w:t>
      </w:r>
      <w:r>
        <w:rPr>
          <w:spacing w:val="5"/>
        </w:rPr>
        <w:t xml:space="preserve">maiores jazidas ainda </w:t>
      </w:r>
      <w:r>
        <w:t xml:space="preserve">parcialmente exploradas do mundo. Os trabalhos de pesquisa e </w:t>
      </w:r>
      <w:r>
        <w:rPr>
          <w:spacing w:val="1"/>
        </w:rPr>
        <w:t xml:space="preserve">prospecção geológica </w:t>
      </w:r>
      <w:r>
        <w:t xml:space="preserve">já </w:t>
      </w:r>
      <w:r>
        <w:rPr>
          <w:spacing w:val="1"/>
        </w:rPr>
        <w:t xml:space="preserve">realizados </w:t>
      </w:r>
      <w:r>
        <w:t xml:space="preserve">na </w:t>
      </w:r>
      <w:r>
        <w:rPr>
          <w:spacing w:val="1"/>
        </w:rPr>
        <w:t xml:space="preserve">área confirmam </w:t>
      </w:r>
      <w:r>
        <w:t>a abundância do recurso mineral e estimam reserva de 601,519 milhõe</w:t>
      </w:r>
      <w:r>
        <w:t>s de toneladas de minério de ferro (CABRAL,</w:t>
      </w:r>
      <w:r>
        <w:rPr>
          <w:spacing w:val="15"/>
        </w:rPr>
        <w:t xml:space="preserve"> </w:t>
      </w:r>
      <w:r>
        <w:t>2010).</w:t>
      </w:r>
    </w:p>
    <w:p w:rsidR="00D81F69" w:rsidRDefault="00330118">
      <w:pPr>
        <w:pStyle w:val="Corpodetexto"/>
        <w:spacing w:before="141" w:line="312" w:lineRule="auto"/>
        <w:ind w:right="213"/>
      </w:pPr>
      <w:r>
        <w:t xml:space="preserve">De acordo com a Vale, a iniciativa vai impulsionar a economia dos municípios envolvidos, a maioria deles empobrecida após os ciclos da própria mineração, da cana e do café (REVISTA ECOLÓGICO, 2010). Sua implantação deverá criar 4,1 mil empregos (DIÁRIO DO </w:t>
      </w:r>
      <w:r>
        <w:t>COMÉRCIO, 2011). A maior parte do empreendimento será instalada no município de Caeté.</w:t>
      </w:r>
    </w:p>
    <w:p w:rsidR="00D81F69" w:rsidRDefault="00330118">
      <w:pPr>
        <w:pStyle w:val="Corpodetexto"/>
        <w:spacing w:before="135" w:line="312" w:lineRule="auto"/>
        <w:ind w:right="191"/>
      </w:pPr>
      <w:r>
        <w:t xml:space="preserve">A </w:t>
      </w:r>
      <w:r>
        <w:rPr>
          <w:spacing w:val="3"/>
        </w:rPr>
        <w:t xml:space="preserve">empresa previa investir </w:t>
      </w:r>
      <w:r>
        <w:rPr>
          <w:spacing w:val="1"/>
        </w:rPr>
        <w:t xml:space="preserve">R$ </w:t>
      </w:r>
      <w:r>
        <w:t xml:space="preserve">4 </w:t>
      </w:r>
      <w:r>
        <w:rPr>
          <w:spacing w:val="3"/>
        </w:rPr>
        <w:t xml:space="preserve">bilhões </w:t>
      </w:r>
      <w:r>
        <w:rPr>
          <w:spacing w:val="1"/>
        </w:rPr>
        <w:t xml:space="preserve">na </w:t>
      </w:r>
      <w:r>
        <w:rPr>
          <w:spacing w:val="3"/>
        </w:rPr>
        <w:t xml:space="preserve">implantação </w:t>
      </w:r>
      <w:r>
        <w:rPr>
          <w:spacing w:val="5"/>
        </w:rPr>
        <w:t xml:space="preserve">da </w:t>
      </w:r>
      <w:r>
        <w:t>nova mina a partir de 2011, para início de produção em 2014. No entanto, a licença ambiental não foi concedida (</w:t>
      </w:r>
      <w:r>
        <w:t xml:space="preserve">PORTO, 2010). Ainda em 2011, o Ministério Público Estadual de Minas Gerais, por meio da Coordenadoria Regional das Promotorias de Justiça de Defesa do Meio Ambiente da Bacia dos Rios das Velhas e Paraopeba, fez uma recomendação e conseguiu que o Instituto </w:t>
      </w:r>
      <w:r>
        <w:t xml:space="preserve">Estadual de Florestas (IEF) retirasse da pauta da 9ª reunião ordinária da Comissão Paritária (Copa) cinco pedidos de autorização de supressão de vegetação na Serra </w:t>
      </w:r>
      <w:r>
        <w:rPr>
          <w:spacing w:val="1"/>
        </w:rPr>
        <w:t xml:space="preserve">do </w:t>
      </w:r>
      <w:r>
        <w:rPr>
          <w:spacing w:val="3"/>
        </w:rPr>
        <w:t xml:space="preserve">Gandarela, </w:t>
      </w:r>
      <w:r>
        <w:rPr>
          <w:spacing w:val="2"/>
        </w:rPr>
        <w:t xml:space="preserve">nos </w:t>
      </w:r>
      <w:r>
        <w:rPr>
          <w:spacing w:val="3"/>
        </w:rPr>
        <w:t xml:space="preserve">municípios </w:t>
      </w:r>
      <w:r>
        <w:rPr>
          <w:spacing w:val="1"/>
        </w:rPr>
        <w:t xml:space="preserve">de </w:t>
      </w:r>
      <w:r>
        <w:rPr>
          <w:spacing w:val="3"/>
        </w:rPr>
        <w:t xml:space="preserve">Caeté </w:t>
      </w:r>
      <w:r>
        <w:t xml:space="preserve">e </w:t>
      </w:r>
      <w:r>
        <w:rPr>
          <w:spacing w:val="3"/>
        </w:rPr>
        <w:t xml:space="preserve">Santa </w:t>
      </w:r>
      <w:r>
        <w:rPr>
          <w:spacing w:val="5"/>
        </w:rPr>
        <w:t xml:space="preserve">Bárbara, </w:t>
      </w:r>
      <w:r>
        <w:t>feitos pela mineradora Vale para impl</w:t>
      </w:r>
      <w:r>
        <w:t xml:space="preserve">ementação do projeto Apolo. Atualmente, o projeto Apolo está suspenso por tempo </w:t>
      </w:r>
      <w:r>
        <w:rPr>
          <w:spacing w:val="5"/>
        </w:rPr>
        <w:t>indeterminado (EXAME, 2012), encontrando dificuldades</w:t>
      </w:r>
      <w:r>
        <w:rPr>
          <w:spacing w:val="61"/>
        </w:rPr>
        <w:t xml:space="preserve"> </w:t>
      </w:r>
      <w:r>
        <w:rPr>
          <w:spacing w:val="11"/>
        </w:rPr>
        <w:t xml:space="preserve">principalmente </w:t>
      </w:r>
      <w:r>
        <w:rPr>
          <w:spacing w:val="8"/>
        </w:rPr>
        <w:t xml:space="preserve">pela </w:t>
      </w:r>
      <w:r>
        <w:rPr>
          <w:spacing w:val="10"/>
        </w:rPr>
        <w:t xml:space="preserve">resistência </w:t>
      </w:r>
      <w:r>
        <w:rPr>
          <w:spacing w:val="5"/>
        </w:rPr>
        <w:t xml:space="preserve">de </w:t>
      </w:r>
      <w:r>
        <w:rPr>
          <w:spacing w:val="11"/>
        </w:rPr>
        <w:t xml:space="preserve">ambientalistas </w:t>
      </w:r>
      <w:r>
        <w:t xml:space="preserve">e </w:t>
      </w:r>
      <w:r>
        <w:rPr>
          <w:spacing w:val="10"/>
        </w:rPr>
        <w:t>movimentos</w:t>
      </w:r>
      <w:r>
        <w:rPr>
          <w:spacing w:val="65"/>
        </w:rPr>
        <w:t xml:space="preserve"> </w:t>
      </w:r>
      <w:r>
        <w:rPr>
          <w:spacing w:val="12"/>
        </w:rPr>
        <w:t>sociais.</w:t>
      </w:r>
    </w:p>
    <w:p w:rsidR="00D81F69" w:rsidRDefault="00330118">
      <w:pPr>
        <w:pStyle w:val="Corpodetexto"/>
        <w:spacing w:before="145"/>
      </w:pPr>
      <w:r>
        <w:t>Na região do Gandarela estão as últimas áreas bem</w:t>
      </w:r>
    </w:p>
    <w:p w:rsidR="00D81F69" w:rsidRDefault="00D81F69">
      <w:pPr>
        <w:sectPr w:rsidR="00D81F69">
          <w:type w:val="continuous"/>
          <w:pgSz w:w="11900" w:h="16840"/>
          <w:pgMar w:top="720" w:right="500" w:bottom="280" w:left="620" w:header="720" w:footer="720" w:gutter="0"/>
          <w:cols w:num="2" w:space="720" w:equalWidth="0">
            <w:col w:w="5153" w:space="317"/>
            <w:col w:w="5310"/>
          </w:cols>
        </w:sectPr>
      </w:pPr>
    </w:p>
    <w:p w:rsidR="00D81F69" w:rsidRDefault="00330118">
      <w:pPr>
        <w:pStyle w:val="Corpodetexto"/>
        <w:spacing w:before="81" w:line="312" w:lineRule="auto"/>
        <w:ind w:right="42"/>
      </w:pPr>
      <w:r>
        <w:rPr>
          <w:spacing w:val="1"/>
        </w:rPr>
        <w:lastRenderedPageBreak/>
        <w:t xml:space="preserve">conservadas </w:t>
      </w:r>
      <w:r>
        <w:t xml:space="preserve">de </w:t>
      </w:r>
      <w:r>
        <w:rPr>
          <w:spacing w:val="1"/>
        </w:rPr>
        <w:t xml:space="preserve">cangas, </w:t>
      </w:r>
      <w:r>
        <w:t xml:space="preserve">que são um </w:t>
      </w:r>
      <w:r>
        <w:rPr>
          <w:spacing w:val="1"/>
        </w:rPr>
        <w:t xml:space="preserve">tipo </w:t>
      </w:r>
      <w:r>
        <w:t xml:space="preserve">de </w:t>
      </w:r>
      <w:r>
        <w:rPr>
          <w:spacing w:val="1"/>
        </w:rPr>
        <w:t xml:space="preserve">solo onde </w:t>
      </w:r>
      <w:r>
        <w:rPr>
          <w:spacing w:val="2"/>
        </w:rPr>
        <w:t xml:space="preserve">há </w:t>
      </w:r>
      <w:r>
        <w:t xml:space="preserve">plantas que não existem em nenhum outro local. As cangas são muito importantes também para alimentar as nascentes de água, porque a água da chuva que cai nelas escoa </w:t>
      </w:r>
      <w:r>
        <w:rPr>
          <w:spacing w:val="1"/>
        </w:rPr>
        <w:t xml:space="preserve">bem </w:t>
      </w:r>
      <w:r>
        <w:t>dev</w:t>
      </w:r>
      <w:r>
        <w:t xml:space="preserve">agar para dentro das rochas, formando os aquíferos que mantêm os rios mesmo na estação seca (ICMBIO, 2012). A </w:t>
      </w:r>
      <w:r>
        <w:rPr>
          <w:spacing w:val="5"/>
        </w:rPr>
        <w:t xml:space="preserve">serra </w:t>
      </w:r>
      <w:r>
        <w:t xml:space="preserve">é </w:t>
      </w:r>
      <w:r>
        <w:rPr>
          <w:spacing w:val="5"/>
        </w:rPr>
        <w:t xml:space="preserve">considerada </w:t>
      </w:r>
      <w:r>
        <w:rPr>
          <w:spacing w:val="2"/>
        </w:rPr>
        <w:t xml:space="preserve">um </w:t>
      </w:r>
      <w:r>
        <w:rPr>
          <w:spacing w:val="5"/>
        </w:rPr>
        <w:t xml:space="preserve">sítio paleontológico </w:t>
      </w:r>
      <w:r>
        <w:t xml:space="preserve">e </w:t>
      </w:r>
      <w:r>
        <w:rPr>
          <w:spacing w:val="3"/>
        </w:rPr>
        <w:t xml:space="preserve">uma </w:t>
      </w:r>
      <w:r>
        <w:rPr>
          <w:spacing w:val="6"/>
        </w:rPr>
        <w:t xml:space="preserve">das </w:t>
      </w:r>
      <w:r>
        <w:t xml:space="preserve">maiores geodiversidades da região do Quadrilátero Ferrífero </w:t>
      </w:r>
      <w:r>
        <w:rPr>
          <w:spacing w:val="10"/>
        </w:rPr>
        <w:t xml:space="preserve">(GRUPO  AMBIENTAL  </w:t>
      </w:r>
      <w:r>
        <w:rPr>
          <w:spacing w:val="5"/>
        </w:rPr>
        <w:t xml:space="preserve">DE  </w:t>
      </w:r>
      <w:r>
        <w:rPr>
          <w:spacing w:val="10"/>
        </w:rPr>
        <w:t>SANTA  BA</w:t>
      </w:r>
      <w:r>
        <w:rPr>
          <w:spacing w:val="10"/>
        </w:rPr>
        <w:t xml:space="preserve">RBARA, </w:t>
      </w:r>
      <w:r>
        <w:rPr>
          <w:spacing w:val="30"/>
        </w:rPr>
        <w:t xml:space="preserve"> </w:t>
      </w:r>
      <w:r>
        <w:rPr>
          <w:spacing w:val="12"/>
        </w:rPr>
        <w:t>2010).</w:t>
      </w:r>
    </w:p>
    <w:p w:rsidR="00D81F69" w:rsidRDefault="00330118">
      <w:pPr>
        <w:pStyle w:val="Corpodetexto"/>
        <w:spacing w:before="8" w:line="312" w:lineRule="auto"/>
        <w:ind w:right="51"/>
      </w:pPr>
      <w:r>
        <w:t>Juntamente com os campos rupestres e os campos de altitude, a Mata Atlântica do interior da serra guarda uma rica diversidade de flora e fauna, abrigando espécies endêmicas e em  extinção (GRUPO AMBIENTAL DE  SANTA  BARBARA,</w:t>
      </w:r>
    </w:p>
    <w:p w:rsidR="00D81F69" w:rsidRDefault="00330118">
      <w:pPr>
        <w:pStyle w:val="Corpodetexto"/>
        <w:spacing w:before="4" w:line="312" w:lineRule="auto"/>
        <w:ind w:right="38"/>
      </w:pPr>
      <w:r>
        <w:rPr>
          <w:spacing w:val="12"/>
        </w:rPr>
        <w:t xml:space="preserve">2010). </w:t>
      </w:r>
      <w:r>
        <w:rPr>
          <w:spacing w:val="7"/>
        </w:rPr>
        <w:t xml:space="preserve">Na </w:t>
      </w:r>
      <w:r>
        <w:rPr>
          <w:spacing w:val="12"/>
        </w:rPr>
        <w:t>serra,</w:t>
      </w:r>
      <w:r>
        <w:rPr>
          <w:spacing w:val="12"/>
        </w:rPr>
        <w:t xml:space="preserve"> nascem </w:t>
      </w:r>
      <w:r>
        <w:rPr>
          <w:spacing w:val="13"/>
        </w:rPr>
        <w:t xml:space="preserve">importantes mananciais, </w:t>
      </w:r>
      <w:r>
        <w:rPr>
          <w:spacing w:val="6"/>
        </w:rPr>
        <w:t xml:space="preserve">responsáveis </w:t>
      </w:r>
      <w:r>
        <w:rPr>
          <w:spacing w:val="5"/>
        </w:rPr>
        <w:t xml:space="preserve">pelo </w:t>
      </w:r>
      <w:r>
        <w:rPr>
          <w:spacing w:val="6"/>
        </w:rPr>
        <w:t xml:space="preserve">abastecimento </w:t>
      </w:r>
      <w:r>
        <w:rPr>
          <w:spacing w:val="3"/>
        </w:rPr>
        <w:t xml:space="preserve">de </w:t>
      </w:r>
      <w:r>
        <w:rPr>
          <w:spacing w:val="5"/>
        </w:rPr>
        <w:t xml:space="preserve">vários </w:t>
      </w:r>
      <w:r>
        <w:rPr>
          <w:spacing w:val="6"/>
        </w:rPr>
        <w:t xml:space="preserve">córregos </w:t>
      </w:r>
      <w:r>
        <w:t xml:space="preserve">e </w:t>
      </w:r>
      <w:r>
        <w:rPr>
          <w:spacing w:val="1"/>
        </w:rPr>
        <w:t xml:space="preserve">ribeirões, todos </w:t>
      </w:r>
      <w:r>
        <w:t xml:space="preserve">com os </w:t>
      </w:r>
      <w:r>
        <w:rPr>
          <w:spacing w:val="1"/>
        </w:rPr>
        <w:t xml:space="preserve">melhores padrões </w:t>
      </w:r>
      <w:r>
        <w:t xml:space="preserve">de </w:t>
      </w:r>
      <w:r>
        <w:rPr>
          <w:spacing w:val="1"/>
        </w:rPr>
        <w:t xml:space="preserve">qualidade </w:t>
      </w:r>
      <w:r>
        <w:rPr>
          <w:spacing w:val="2"/>
        </w:rPr>
        <w:t xml:space="preserve">de </w:t>
      </w:r>
      <w:r>
        <w:t>água do mundo (classes Especial e 1 do Conselho Nacional do Meio Ambiente - Conama) (REVISTA ECOLÓGICO,</w:t>
      </w:r>
      <w:r>
        <w:rPr>
          <w:spacing w:val="5"/>
        </w:rPr>
        <w:t xml:space="preserve"> </w:t>
      </w:r>
      <w:r>
        <w:t>2010).</w:t>
      </w:r>
    </w:p>
    <w:p w:rsidR="00D81F69" w:rsidRDefault="00330118">
      <w:pPr>
        <w:pStyle w:val="Corpodetexto"/>
        <w:spacing w:before="134" w:line="312" w:lineRule="auto"/>
        <w:ind w:right="41"/>
      </w:pPr>
      <w:r>
        <w:t xml:space="preserve">Diante disso, o projeto Manuelzão, da Universidade Federal </w:t>
      </w:r>
      <w:r>
        <w:rPr>
          <w:spacing w:val="6"/>
        </w:rPr>
        <w:t xml:space="preserve">de </w:t>
      </w:r>
      <w:r>
        <w:rPr>
          <w:spacing w:val="11"/>
        </w:rPr>
        <w:t xml:space="preserve">Minas Gerais (UFMG), </w:t>
      </w:r>
      <w:r>
        <w:rPr>
          <w:spacing w:val="12"/>
        </w:rPr>
        <w:t xml:space="preserve">produziu </w:t>
      </w:r>
      <w:r>
        <w:rPr>
          <w:spacing w:val="6"/>
        </w:rPr>
        <w:t xml:space="preserve">um </w:t>
      </w:r>
      <w:r>
        <w:rPr>
          <w:spacing w:val="15"/>
        </w:rPr>
        <w:t xml:space="preserve">documento, </w:t>
      </w:r>
      <w:r>
        <w:t>assinalando os impactos que a mineração na região traria. De acordo com o projeto, os impactos sobre os mananciais da serra serão irreversíveis e pode</w:t>
      </w:r>
      <w:r>
        <w:t xml:space="preserve">rão afetar o fornecimento de água da capital mineira e da região metropolitana. Estima-se que 60% da </w:t>
      </w:r>
      <w:r>
        <w:rPr>
          <w:spacing w:val="1"/>
        </w:rPr>
        <w:t xml:space="preserve">água consumida </w:t>
      </w:r>
      <w:r>
        <w:t xml:space="preserve">em </w:t>
      </w:r>
      <w:r>
        <w:rPr>
          <w:spacing w:val="1"/>
        </w:rPr>
        <w:t xml:space="preserve">Belo Horizonte </w:t>
      </w:r>
      <w:r>
        <w:t xml:space="preserve">e 43% </w:t>
      </w:r>
      <w:r>
        <w:rPr>
          <w:spacing w:val="2"/>
        </w:rPr>
        <w:t xml:space="preserve">da água que </w:t>
      </w:r>
      <w:r>
        <w:rPr>
          <w:spacing w:val="3"/>
        </w:rPr>
        <w:t xml:space="preserve">abastece </w:t>
      </w:r>
      <w:r>
        <w:rPr>
          <w:spacing w:val="1"/>
        </w:rPr>
        <w:t xml:space="preserve">os </w:t>
      </w:r>
      <w:r>
        <w:rPr>
          <w:spacing w:val="3"/>
        </w:rPr>
        <w:t xml:space="preserve">municípios </w:t>
      </w:r>
      <w:r>
        <w:rPr>
          <w:spacing w:val="1"/>
        </w:rPr>
        <w:t xml:space="preserve">da </w:t>
      </w:r>
      <w:r>
        <w:rPr>
          <w:spacing w:val="3"/>
        </w:rPr>
        <w:t xml:space="preserve">região </w:t>
      </w:r>
      <w:r>
        <w:rPr>
          <w:spacing w:val="5"/>
        </w:rPr>
        <w:t xml:space="preserve">metropolitana </w:t>
      </w:r>
      <w:r>
        <w:rPr>
          <w:spacing w:val="1"/>
        </w:rPr>
        <w:t xml:space="preserve">sejam provenientes </w:t>
      </w:r>
      <w:r>
        <w:t xml:space="preserve">da </w:t>
      </w:r>
      <w:r>
        <w:rPr>
          <w:spacing w:val="1"/>
        </w:rPr>
        <w:t xml:space="preserve">Gandarela (MPF-MG, 2011b). </w:t>
      </w:r>
      <w:r>
        <w:rPr>
          <w:spacing w:val="2"/>
        </w:rPr>
        <w:t xml:space="preserve">Além </w:t>
      </w:r>
      <w:r>
        <w:t>dis</w:t>
      </w:r>
      <w:r>
        <w:t xml:space="preserve">so, o Manuelzão também sinalizou que os municípios de Santa Bárbara e Barão de Cocais teriam seu abastecimento </w:t>
      </w:r>
      <w:r>
        <w:rPr>
          <w:spacing w:val="1"/>
        </w:rPr>
        <w:t xml:space="preserve">de </w:t>
      </w:r>
      <w:r>
        <w:rPr>
          <w:spacing w:val="2"/>
        </w:rPr>
        <w:t xml:space="preserve">água </w:t>
      </w:r>
      <w:r>
        <w:rPr>
          <w:spacing w:val="3"/>
        </w:rPr>
        <w:t xml:space="preserve">comprometido (GRUPO AMBIENTAL </w:t>
      </w:r>
      <w:r>
        <w:rPr>
          <w:spacing w:val="1"/>
        </w:rPr>
        <w:t xml:space="preserve">DE </w:t>
      </w:r>
      <w:r>
        <w:rPr>
          <w:spacing w:val="5"/>
        </w:rPr>
        <w:t xml:space="preserve">SANTA </w:t>
      </w:r>
      <w:r>
        <w:rPr>
          <w:spacing w:val="3"/>
        </w:rPr>
        <w:t>BARBARA,</w:t>
      </w:r>
      <w:r>
        <w:rPr>
          <w:spacing w:val="25"/>
        </w:rPr>
        <w:t xml:space="preserve"> </w:t>
      </w:r>
      <w:r>
        <w:rPr>
          <w:spacing w:val="5"/>
        </w:rPr>
        <w:t>2010).</w:t>
      </w:r>
    </w:p>
    <w:p w:rsidR="00D81F69" w:rsidRDefault="00330118">
      <w:pPr>
        <w:pStyle w:val="Corpodetexto"/>
        <w:spacing w:before="142" w:line="312" w:lineRule="auto"/>
        <w:ind w:right="62"/>
      </w:pPr>
      <w:r>
        <w:t>A partir do documento, o Instituto Chico Mendes de Conservação da Biodiversidade (</w:t>
      </w:r>
      <w:r>
        <w:t>ICMBio), órgão do governo federal, realizou vários estudos técnicos na serra. Finalizados em 2010, os estudos apontaram a necessidade de criação de uma unidade de conservação de proteção integral para a área, o Parque Nacional da Serra do Gandarela, e defi</w:t>
      </w:r>
      <w:r>
        <w:t>niram sua localização, dimensões e limites (MPF-MG, 2011a).</w:t>
      </w:r>
    </w:p>
    <w:p w:rsidR="00D81F69" w:rsidRDefault="00330118">
      <w:pPr>
        <w:pStyle w:val="Corpodetexto"/>
        <w:spacing w:before="137" w:line="312" w:lineRule="auto"/>
        <w:ind w:right="49"/>
      </w:pPr>
      <w:r>
        <w:t>Se for criado, o Parque Nacional da Serra do Gandarela abrangerá também os municípios mineiros de Nova Lima, Barão de Cocais, Itabirito e Ouro Preto, totalizando 38.210 hectares e, dentro destes l</w:t>
      </w:r>
      <w:r>
        <w:t>imites, o levantamento feito pelo ICMBio aponta que não será possível conciliar a atividade mineradora com a área de proteção ambiental. Na região, a única atividade econômica possível será o turismo, mas com restrições (PORTO, 2010).</w:t>
      </w:r>
    </w:p>
    <w:p w:rsidR="00D81F69" w:rsidRDefault="00330118">
      <w:pPr>
        <w:pStyle w:val="Corpodetexto"/>
        <w:spacing w:before="74" w:line="270" w:lineRule="atLeast"/>
        <w:ind w:right="53"/>
      </w:pPr>
      <w:r>
        <w:t>Nas cidades envolvida</w:t>
      </w:r>
      <w:r>
        <w:t>s no projeto Apolo, também há resistência por parte da população. Nas audiências públicas, realizadas em 2010, em Raposos, por exemplo, a população mostrou-se preocupada com a instalação da barragem de rejeitos da iniciativa. A barragem ficará numa área pr</w:t>
      </w:r>
      <w:r>
        <w:t>óxima ao Ribeirão da Prata, onde se pretendia criar um balneário e aproveitar o potencial turístico local, o que não poderá acontecer se a mina for instalada (PROJETO MANUELZÃO, 2010).</w:t>
      </w:r>
    </w:p>
    <w:p w:rsidR="00D81F69" w:rsidRDefault="00330118">
      <w:pPr>
        <w:pStyle w:val="Corpodetexto"/>
        <w:spacing w:before="5"/>
        <w:ind w:left="0"/>
        <w:jc w:val="left"/>
        <w:rPr>
          <w:sz w:val="24"/>
        </w:rPr>
      </w:pPr>
      <w:r>
        <w:br w:type="column"/>
      </w:r>
    </w:p>
    <w:p w:rsidR="00D81F69" w:rsidRDefault="00330118">
      <w:pPr>
        <w:pStyle w:val="Corpodetexto"/>
        <w:spacing w:line="312" w:lineRule="auto"/>
        <w:ind w:right="211"/>
      </w:pPr>
      <w:r>
        <w:t xml:space="preserve">No </w:t>
      </w:r>
      <w:r>
        <w:rPr>
          <w:spacing w:val="1"/>
        </w:rPr>
        <w:t xml:space="preserve">final </w:t>
      </w:r>
      <w:r>
        <w:t xml:space="preserve">de </w:t>
      </w:r>
      <w:r>
        <w:rPr>
          <w:spacing w:val="1"/>
        </w:rPr>
        <w:t xml:space="preserve">2010, </w:t>
      </w:r>
      <w:r>
        <w:t xml:space="preserve">o </w:t>
      </w:r>
      <w:r>
        <w:rPr>
          <w:spacing w:val="1"/>
        </w:rPr>
        <w:t xml:space="preserve">Ministério Público </w:t>
      </w:r>
      <w:r>
        <w:t xml:space="preserve">do </w:t>
      </w:r>
      <w:r>
        <w:rPr>
          <w:spacing w:val="1"/>
        </w:rPr>
        <w:t xml:space="preserve">Estado </w:t>
      </w:r>
      <w:r>
        <w:t xml:space="preserve">de </w:t>
      </w:r>
      <w:r>
        <w:rPr>
          <w:spacing w:val="2"/>
        </w:rPr>
        <w:t xml:space="preserve">Minas </w:t>
      </w:r>
      <w:r>
        <w:t>Gerais (MPM</w:t>
      </w:r>
      <w:r>
        <w:t xml:space="preserve">G) recomendou à Secretaria de Estado de Meio </w:t>
      </w:r>
      <w:r>
        <w:rPr>
          <w:spacing w:val="8"/>
        </w:rPr>
        <w:t xml:space="preserve">Ambiente </w:t>
      </w:r>
      <w:r>
        <w:t xml:space="preserve">e </w:t>
      </w:r>
      <w:r>
        <w:rPr>
          <w:spacing w:val="10"/>
        </w:rPr>
        <w:t xml:space="preserve">Desenvolvimento Sustentável </w:t>
      </w:r>
      <w:r>
        <w:rPr>
          <w:spacing w:val="8"/>
        </w:rPr>
        <w:t xml:space="preserve">(Semad) </w:t>
      </w:r>
      <w:r>
        <w:t xml:space="preserve">a suspensão do processo de licenciamento do projeto Apolo até a </w:t>
      </w:r>
      <w:r>
        <w:rPr>
          <w:spacing w:val="1"/>
        </w:rPr>
        <w:t xml:space="preserve">definição sobre </w:t>
      </w:r>
      <w:r>
        <w:t xml:space="preserve">a </w:t>
      </w:r>
      <w:r>
        <w:rPr>
          <w:spacing w:val="1"/>
        </w:rPr>
        <w:t xml:space="preserve">criação </w:t>
      </w:r>
      <w:r>
        <w:t xml:space="preserve">ou não do </w:t>
      </w:r>
      <w:r>
        <w:rPr>
          <w:spacing w:val="1"/>
        </w:rPr>
        <w:t xml:space="preserve">parque </w:t>
      </w:r>
      <w:r>
        <w:t xml:space="preserve">por </w:t>
      </w:r>
      <w:r>
        <w:rPr>
          <w:spacing w:val="1"/>
        </w:rPr>
        <w:t xml:space="preserve">parte </w:t>
      </w:r>
      <w:r>
        <w:rPr>
          <w:spacing w:val="2"/>
        </w:rPr>
        <w:t xml:space="preserve">do </w:t>
      </w:r>
      <w:r>
        <w:rPr>
          <w:spacing w:val="3"/>
        </w:rPr>
        <w:t xml:space="preserve">ICMBio. </w:t>
      </w:r>
      <w:r>
        <w:rPr>
          <w:spacing w:val="1"/>
        </w:rPr>
        <w:t xml:space="preserve">No </w:t>
      </w:r>
      <w:r>
        <w:rPr>
          <w:spacing w:val="3"/>
        </w:rPr>
        <w:t xml:space="preserve">entanto, </w:t>
      </w:r>
      <w:r>
        <w:rPr>
          <w:spacing w:val="1"/>
        </w:rPr>
        <w:t xml:space="preserve">as </w:t>
      </w:r>
      <w:r>
        <w:rPr>
          <w:spacing w:val="3"/>
        </w:rPr>
        <w:t>partes envolvidas est</w:t>
      </w:r>
      <w:r>
        <w:rPr>
          <w:spacing w:val="3"/>
        </w:rPr>
        <w:t xml:space="preserve">ão </w:t>
      </w:r>
      <w:r>
        <w:rPr>
          <w:spacing w:val="5"/>
        </w:rPr>
        <w:t xml:space="preserve">tentando </w:t>
      </w:r>
      <w:r>
        <w:t>achar um meio-termo para permitir a implantação de ambos os</w:t>
      </w:r>
      <w:r>
        <w:rPr>
          <w:spacing w:val="16"/>
        </w:rPr>
        <w:t xml:space="preserve"> </w:t>
      </w:r>
      <w:r>
        <w:t>empreendimentos</w:t>
      </w:r>
      <w:r>
        <w:rPr>
          <w:spacing w:val="16"/>
        </w:rPr>
        <w:t xml:space="preserve"> </w:t>
      </w:r>
      <w:r>
        <w:t>(DIÁRIO</w:t>
      </w:r>
      <w:r>
        <w:rPr>
          <w:spacing w:val="16"/>
        </w:rPr>
        <w:t xml:space="preserve"> </w:t>
      </w:r>
      <w:r>
        <w:t>DO</w:t>
      </w:r>
      <w:r>
        <w:rPr>
          <w:spacing w:val="16"/>
        </w:rPr>
        <w:t xml:space="preserve"> </w:t>
      </w:r>
      <w:r>
        <w:t>COMÉRCIO,</w:t>
      </w:r>
      <w:r>
        <w:rPr>
          <w:spacing w:val="16"/>
        </w:rPr>
        <w:t xml:space="preserve"> </w:t>
      </w:r>
      <w:r>
        <w:t>2011).</w:t>
      </w:r>
    </w:p>
    <w:p w:rsidR="00D81F69" w:rsidRDefault="00330118">
      <w:pPr>
        <w:pStyle w:val="Corpodetexto"/>
        <w:spacing w:before="137" w:line="312" w:lineRule="auto"/>
        <w:ind w:right="195"/>
      </w:pPr>
      <w:r>
        <w:t>Diante da indefinição da área que será ocupada pelo parque, outra mineradora, a australiana ‘Mundo Minerals’, decidiu suspender, por tempo indeterminado, suas operações na mina de ouro subterrânea Engenho, próxima ao município de Rio Acima. A empresa també</w:t>
      </w:r>
      <w:r>
        <w:t>m desistiu de uma nova mina na região, intitulada Crista, de baixo custo operacional. A abertura da mina diluiria os altos custos operacionais da atual mina do Engenho, viabilizando a operação conjunta (PORTO, 2011).</w:t>
      </w:r>
    </w:p>
    <w:p w:rsidR="00D81F69" w:rsidRDefault="00330118">
      <w:pPr>
        <w:pStyle w:val="Corpodetexto"/>
        <w:spacing w:before="139" w:line="312" w:lineRule="auto"/>
        <w:ind w:right="206"/>
      </w:pPr>
      <w:r>
        <w:t>Como desde a apresentação dos estudos a</w:t>
      </w:r>
      <w:r>
        <w:t>té 2011, o ICMBio não havia tomado providências para a realização das consultas públicas - previstas em lei e que devem preceder a criação das unidades de conservação -, em dezembro de 2011, a Justiça Federal concedeu liminar na Ação Civil Pública ajuizada</w:t>
      </w:r>
      <w:r>
        <w:t xml:space="preserve"> pelo Ministério Público Federal (MPF) em novembro do mesmo ano. A liminar obrigava o ICMBio a apresentar, em até 30 dias após 8 de janeiro de 2012, um cronograma com as datas e locais das consultas públicas relativas à criação do parque (MPF-MG, 2011b).</w:t>
      </w:r>
    </w:p>
    <w:p w:rsidR="00D81F69" w:rsidRDefault="00330118">
      <w:pPr>
        <w:pStyle w:val="Corpodetexto"/>
        <w:spacing w:before="139" w:line="312" w:lineRule="auto"/>
        <w:ind w:right="193"/>
      </w:pPr>
      <w:r>
        <w:t>E</w:t>
      </w:r>
      <w:r>
        <w:t>m maio de 2012, o ICMBio apresentou um novo desenho para o Parque Nacional da Serra do Gandarela, que teve sua área reduzida para cerca de 34 mil hectares. Os outros 4 mil hectares, antes previstos, foram destinados a atividades econômicas em processo de l</w:t>
      </w:r>
      <w:r>
        <w:t xml:space="preserve">icenciamento ambiental, em especial por mineradoras. Praticamente metade desta área foi reservada para a construção da mina Apolo. Apesar disso, ainda não foi viabilizada a exploração minerária da mina em razão de outros impasses, como o local da barragem </w:t>
      </w:r>
      <w:r>
        <w:t>de rejeitos (HOJE EM DIA, 2012).</w:t>
      </w:r>
    </w:p>
    <w:p w:rsidR="00D81F69" w:rsidRDefault="00330118">
      <w:pPr>
        <w:pStyle w:val="Corpodetexto"/>
        <w:spacing w:before="139" w:line="312" w:lineRule="auto"/>
        <w:ind w:right="213"/>
      </w:pPr>
      <w:r>
        <w:t>Durante a audiência pública realizada em abril de 2012, 29 entidades representativas da sociedade civil assinaram um manifesto em favor da criação do parque e apoiando a retirada de 4 mil hectares para atividades econômicas</w:t>
      </w:r>
      <w:r>
        <w:t xml:space="preserve"> (HOJE EM DIA, 2012a).</w:t>
      </w:r>
    </w:p>
    <w:p w:rsidR="00D81F69" w:rsidRDefault="00330118">
      <w:pPr>
        <w:pStyle w:val="Corpodetexto"/>
        <w:spacing w:before="135" w:line="312" w:lineRule="auto"/>
        <w:ind w:right="189"/>
      </w:pPr>
      <w:r>
        <w:t>Por sua vez, a Vale argumenta que 1.700 hectares são insuficientes para viabilizar a mina Apolo e pleiteia uma área de 5.300 hectares para futuras ampliações. A mineradora também pede outras duas áreas, onde estão as minas Baú e Capa</w:t>
      </w:r>
      <w:r>
        <w:t>nema, que somam 1.583 hectares (HOJE EM DIA, 2012b).</w:t>
      </w:r>
    </w:p>
    <w:p w:rsidR="00D81F69" w:rsidRDefault="00D81F69">
      <w:pPr>
        <w:pStyle w:val="Corpodetexto"/>
        <w:spacing w:before="5"/>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212"/>
      </w:pPr>
      <w:r>
        <w:t>A extração de ferro ocorre próxima à latitude 19°51'27"S e longitude 43°22'37"W. Está localizada na bacia do rio das Velhas que deságua no rio São Francisco.</w:t>
      </w:r>
    </w:p>
    <w:p w:rsidR="00D81F69" w:rsidRDefault="00D81F69">
      <w:pPr>
        <w:spacing w:line="312" w:lineRule="auto"/>
        <w:sectPr w:rsidR="00D81F69">
          <w:pgSz w:w="11900" w:h="16840"/>
          <w:pgMar w:top="740" w:right="500" w:bottom="620" w:left="620" w:header="0" w:footer="402" w:gutter="0"/>
          <w:cols w:num="2" w:space="720" w:equalWidth="0">
            <w:col w:w="5169" w:space="301"/>
            <w:col w:w="5310"/>
          </w:cols>
        </w:sectPr>
      </w:pPr>
    </w:p>
    <w:p w:rsidR="00D81F69" w:rsidRDefault="00D81F69">
      <w:pPr>
        <w:pStyle w:val="Corpodetexto"/>
        <w:ind w:left="0"/>
        <w:jc w:val="left"/>
        <w:rPr>
          <w:sz w:val="22"/>
        </w:rPr>
      </w:pPr>
    </w:p>
    <w:p w:rsidR="00D81F69" w:rsidRDefault="00330118">
      <w:pPr>
        <w:pStyle w:val="Heading7"/>
        <w:spacing w:before="139"/>
        <w:jc w:val="left"/>
      </w:pPr>
      <w:r>
        <w:t>REDATORES</w:t>
      </w:r>
    </w:p>
    <w:p w:rsidR="00D81F69" w:rsidRDefault="00330118">
      <w:pPr>
        <w:pStyle w:val="Corpodetexto"/>
        <w:spacing w:before="179"/>
        <w:jc w:val="left"/>
      </w:pPr>
      <w:r>
        <w:t>Renata Olivieri; Eliane Araujo</w:t>
      </w:r>
    </w:p>
    <w:p w:rsidR="00D81F69" w:rsidRDefault="00D81F69">
      <w:pPr>
        <w:pStyle w:val="Corpodetexto"/>
        <w:ind w:left="0"/>
        <w:jc w:val="left"/>
        <w:rPr>
          <w:sz w:val="20"/>
        </w:rPr>
      </w:pPr>
    </w:p>
    <w:p w:rsidR="00D81F69" w:rsidRDefault="00330118">
      <w:pPr>
        <w:pStyle w:val="Heading7"/>
        <w:spacing w:before="164"/>
        <w:jc w:val="left"/>
      </w:pPr>
      <w:r>
        <w:t>REFERÊNCIAS BIBLIOGRÁFICAS</w:t>
      </w:r>
    </w:p>
    <w:p w:rsidR="00D81F69" w:rsidRDefault="00330118">
      <w:pPr>
        <w:spacing w:before="188" w:line="312" w:lineRule="auto"/>
        <w:ind w:left="100" w:right="114"/>
        <w:jc w:val="both"/>
        <w:rPr>
          <w:sz w:val="16"/>
        </w:rPr>
      </w:pPr>
      <w:r>
        <w:rPr>
          <w:sz w:val="16"/>
        </w:rPr>
        <w:t>BRASIL MINERAL. Minério de Ferro. Vale paga US$ 145 milhões pela Apolo. In: Brasil Mineral Online, 14 maio 2008. Disponível em:</w:t>
      </w:r>
    </w:p>
    <w:p w:rsidR="00D81F69" w:rsidRDefault="00D81F69">
      <w:pPr>
        <w:spacing w:before="1" w:line="312" w:lineRule="auto"/>
        <w:ind w:left="100" w:right="134"/>
        <w:jc w:val="both"/>
        <w:rPr>
          <w:sz w:val="16"/>
        </w:rPr>
      </w:pPr>
      <w:hyperlink r:id="rId1146">
        <w:r w:rsidR="00330118">
          <w:rPr>
            <w:sz w:val="16"/>
          </w:rPr>
          <w:t>&lt;http://www.brasilmineral.com.br/bm/default.asp?COD=3574&amp;busca=</w:t>
        </w:r>
      </w:hyperlink>
      <w:r w:rsidR="00330118">
        <w:rPr>
          <w:sz w:val="16"/>
        </w:rPr>
        <w:t xml:space="preserve"> &amp;numero=352&gt;. Acesso em: 30 dez. 2011.</w:t>
      </w:r>
    </w:p>
    <w:p w:rsidR="00D81F69" w:rsidRDefault="00330118">
      <w:pPr>
        <w:spacing w:before="2" w:line="312" w:lineRule="auto"/>
        <w:ind w:left="100" w:right="88"/>
        <w:jc w:val="both"/>
        <w:rPr>
          <w:sz w:val="16"/>
        </w:rPr>
      </w:pPr>
      <w:r>
        <w:rPr>
          <w:spacing w:val="1"/>
          <w:sz w:val="16"/>
        </w:rPr>
        <w:t xml:space="preserve">CABRAL, Aloísio </w:t>
      </w:r>
      <w:r>
        <w:rPr>
          <w:sz w:val="16"/>
        </w:rPr>
        <w:t xml:space="preserve">Sá. </w:t>
      </w:r>
      <w:r>
        <w:rPr>
          <w:spacing w:val="1"/>
          <w:sz w:val="16"/>
        </w:rPr>
        <w:t xml:space="preserve">Rotas </w:t>
      </w:r>
      <w:r>
        <w:rPr>
          <w:sz w:val="16"/>
        </w:rPr>
        <w:t xml:space="preserve">de </w:t>
      </w:r>
      <w:r>
        <w:rPr>
          <w:spacing w:val="1"/>
          <w:sz w:val="16"/>
        </w:rPr>
        <w:t xml:space="preserve">processo para minérios </w:t>
      </w:r>
      <w:r>
        <w:rPr>
          <w:spacing w:val="2"/>
          <w:sz w:val="16"/>
        </w:rPr>
        <w:t xml:space="preserve">goethítico, </w:t>
      </w:r>
      <w:r>
        <w:rPr>
          <w:spacing w:val="6"/>
          <w:sz w:val="16"/>
        </w:rPr>
        <w:t xml:space="preserve">Belo </w:t>
      </w:r>
      <w:r>
        <w:rPr>
          <w:spacing w:val="8"/>
          <w:sz w:val="16"/>
        </w:rPr>
        <w:t>Hor</w:t>
      </w:r>
      <w:r>
        <w:rPr>
          <w:spacing w:val="8"/>
          <w:sz w:val="16"/>
        </w:rPr>
        <w:t xml:space="preserve">izonte, </w:t>
      </w:r>
      <w:r>
        <w:rPr>
          <w:spacing w:val="6"/>
          <w:sz w:val="16"/>
        </w:rPr>
        <w:t xml:space="preserve">mar. </w:t>
      </w:r>
      <w:r>
        <w:rPr>
          <w:spacing w:val="7"/>
          <w:sz w:val="16"/>
        </w:rPr>
        <w:t xml:space="preserve">2010. </w:t>
      </w:r>
      <w:r>
        <w:rPr>
          <w:spacing w:val="6"/>
          <w:sz w:val="16"/>
        </w:rPr>
        <w:t xml:space="preserve">82f. </w:t>
      </w:r>
      <w:r>
        <w:rPr>
          <w:spacing w:val="8"/>
          <w:sz w:val="16"/>
        </w:rPr>
        <w:t xml:space="preserve">Dissertação </w:t>
      </w:r>
      <w:r>
        <w:rPr>
          <w:spacing w:val="7"/>
          <w:sz w:val="16"/>
        </w:rPr>
        <w:t xml:space="preserve">(Mestrado </w:t>
      </w:r>
      <w:r>
        <w:rPr>
          <w:spacing w:val="10"/>
          <w:sz w:val="16"/>
        </w:rPr>
        <w:t xml:space="preserve">em </w:t>
      </w:r>
      <w:r>
        <w:rPr>
          <w:sz w:val="16"/>
        </w:rPr>
        <w:t xml:space="preserve">Engenharia de Metalúrgica e de Minas) – Universidade Federal de </w:t>
      </w:r>
      <w:r>
        <w:rPr>
          <w:spacing w:val="23"/>
          <w:sz w:val="16"/>
        </w:rPr>
        <w:t xml:space="preserve">Minas </w:t>
      </w:r>
      <w:r>
        <w:rPr>
          <w:spacing w:val="25"/>
          <w:sz w:val="16"/>
        </w:rPr>
        <w:t>Gerais,</w:t>
      </w:r>
      <w:r>
        <w:rPr>
          <w:spacing w:val="95"/>
          <w:sz w:val="16"/>
        </w:rPr>
        <w:t xml:space="preserve"> </w:t>
      </w:r>
      <w:r>
        <w:rPr>
          <w:spacing w:val="22"/>
          <w:sz w:val="16"/>
        </w:rPr>
        <w:t xml:space="preserve">Belo </w:t>
      </w:r>
      <w:r>
        <w:rPr>
          <w:spacing w:val="26"/>
          <w:sz w:val="16"/>
        </w:rPr>
        <w:t>Horizonte. Disponível</w:t>
      </w:r>
      <w:r>
        <w:rPr>
          <w:spacing w:val="25"/>
          <w:sz w:val="16"/>
        </w:rPr>
        <w:t xml:space="preserve"> </w:t>
      </w:r>
      <w:r>
        <w:rPr>
          <w:spacing w:val="20"/>
          <w:sz w:val="16"/>
        </w:rPr>
        <w:t>em:</w:t>
      </w:r>
      <w:r>
        <w:rPr>
          <w:spacing w:val="-13"/>
          <w:sz w:val="16"/>
        </w:rPr>
        <w:t xml:space="preserve"> </w:t>
      </w:r>
    </w:p>
    <w:p w:rsidR="00D81F69" w:rsidRDefault="00D81F69">
      <w:pPr>
        <w:spacing w:before="3" w:line="312" w:lineRule="auto"/>
        <w:ind w:left="100" w:right="109"/>
        <w:jc w:val="both"/>
        <w:rPr>
          <w:sz w:val="16"/>
        </w:rPr>
      </w:pPr>
      <w:hyperlink r:id="rId1147">
        <w:r w:rsidR="00330118">
          <w:rPr>
            <w:sz w:val="16"/>
          </w:rPr>
          <w:t>&lt;</w:t>
        </w:r>
        <w:r w:rsidR="00330118">
          <w:rPr>
            <w:sz w:val="16"/>
          </w:rPr>
          <w:t xml:space="preserve">http://dspace.lcc.ufmg.br/dspace/bitstream/1843/MAPO- </w:t>
        </w:r>
      </w:hyperlink>
      <w:r w:rsidR="00330118">
        <w:rPr>
          <w:sz w:val="16"/>
        </w:rPr>
        <w:t xml:space="preserve">84XQTD/1/alo_sio_s__cabral.pdf &gt;. Acesso em: 22 fev. 2011. CAETE MAIS HORIZONTE. Parque Nacional da Serra da Gandarela, 5 ago. 2010. Disponível em: </w:t>
      </w:r>
      <w:hyperlink r:id="rId1148">
        <w:r w:rsidR="00330118">
          <w:rPr>
            <w:sz w:val="16"/>
          </w:rPr>
          <w:t>&lt;htt</w:t>
        </w:r>
        <w:r w:rsidR="00330118">
          <w:rPr>
            <w:sz w:val="16"/>
          </w:rPr>
          <w:t>p://www.caetemh.com/serra-da-</w:t>
        </w:r>
      </w:hyperlink>
      <w:r w:rsidR="00330118">
        <w:rPr>
          <w:sz w:val="16"/>
        </w:rPr>
        <w:t xml:space="preserve"> gandarela/parque-nacional-da-serrada-gandarela/&gt;. Acesso em: 23 dez. 2011.</w:t>
      </w:r>
    </w:p>
    <w:p w:rsidR="00D81F69" w:rsidRDefault="00330118">
      <w:pPr>
        <w:tabs>
          <w:tab w:val="left" w:pos="4331"/>
        </w:tabs>
        <w:spacing w:before="5" w:line="312" w:lineRule="auto"/>
        <w:ind w:left="100" w:right="118"/>
        <w:jc w:val="both"/>
        <w:rPr>
          <w:sz w:val="16"/>
        </w:rPr>
      </w:pPr>
      <w:r>
        <w:rPr>
          <w:sz w:val="16"/>
        </w:rPr>
        <w:t xml:space="preserve">CPRM, Serviço Geológico do Brasil. Excursão virtual pela Estrada </w:t>
      </w:r>
      <w:r>
        <w:rPr>
          <w:spacing w:val="1"/>
          <w:sz w:val="16"/>
        </w:rPr>
        <w:t xml:space="preserve">Real </w:t>
      </w:r>
      <w:r>
        <w:rPr>
          <w:sz w:val="16"/>
        </w:rPr>
        <w:t xml:space="preserve">no </w:t>
      </w:r>
      <w:r>
        <w:rPr>
          <w:spacing w:val="1"/>
          <w:sz w:val="16"/>
        </w:rPr>
        <w:t xml:space="preserve">Quadrilátero Ferrífero: Aspectos geológicos, históricos </w:t>
      </w:r>
      <w:r>
        <w:rPr>
          <w:sz w:val="16"/>
        </w:rPr>
        <w:t xml:space="preserve">e </w:t>
      </w:r>
      <w:r>
        <w:rPr>
          <w:spacing w:val="5"/>
          <w:sz w:val="16"/>
        </w:rPr>
        <w:t>turísticos. História</w:t>
      </w:r>
      <w:r>
        <w:rPr>
          <w:spacing w:val="5"/>
          <w:sz w:val="16"/>
        </w:rPr>
        <w:t xml:space="preserve">, Mineração </w:t>
      </w:r>
      <w:r>
        <w:rPr>
          <w:spacing w:val="2"/>
          <w:sz w:val="16"/>
        </w:rPr>
        <w:t xml:space="preserve">no  </w:t>
      </w:r>
      <w:r>
        <w:rPr>
          <w:spacing w:val="5"/>
          <w:sz w:val="16"/>
        </w:rPr>
        <w:t xml:space="preserve">Quadrilátero Ferrífero, </w:t>
      </w:r>
      <w:r>
        <w:rPr>
          <w:spacing w:val="6"/>
          <w:sz w:val="16"/>
        </w:rPr>
        <w:t xml:space="preserve">2011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line="312" w:lineRule="auto"/>
        <w:ind w:left="100" w:right="110"/>
        <w:jc w:val="both"/>
        <w:rPr>
          <w:sz w:val="16"/>
        </w:rPr>
      </w:pPr>
      <w:hyperlink r:id="rId1149">
        <w:r w:rsidR="00330118">
          <w:rPr>
            <w:sz w:val="16"/>
          </w:rPr>
          <w:t>&lt;http://www.cprm.gov.br/estrada_real/historia_mineracao.html&gt;.</w:t>
        </w:r>
      </w:hyperlink>
      <w:r w:rsidR="00330118">
        <w:rPr>
          <w:sz w:val="16"/>
        </w:rPr>
        <w:t xml:space="preserve"> Ac</w:t>
      </w:r>
      <w:r w:rsidR="00330118">
        <w:rPr>
          <w:sz w:val="16"/>
        </w:rPr>
        <w:t>esso em: 23 fev. 2011.</w:t>
      </w:r>
    </w:p>
    <w:p w:rsidR="00D81F69" w:rsidRDefault="00330118">
      <w:pPr>
        <w:spacing w:before="2" w:line="312" w:lineRule="auto"/>
        <w:ind w:left="100" w:right="88"/>
        <w:jc w:val="both"/>
        <w:rPr>
          <w:sz w:val="16"/>
        </w:rPr>
      </w:pPr>
      <w:r>
        <w:rPr>
          <w:sz w:val="16"/>
        </w:rPr>
        <w:t xml:space="preserve">DIÁRIO DO COMÉRCIO. Projeto Apolo: impasse mais perto do fim. </w:t>
      </w:r>
      <w:r>
        <w:rPr>
          <w:spacing w:val="20"/>
          <w:sz w:val="16"/>
        </w:rPr>
        <w:t>Site Verde</w:t>
      </w:r>
      <w:r>
        <w:rPr>
          <w:spacing w:val="85"/>
          <w:sz w:val="16"/>
        </w:rPr>
        <w:t xml:space="preserve"> </w:t>
      </w:r>
      <w:r>
        <w:rPr>
          <w:spacing w:val="20"/>
          <w:sz w:val="16"/>
        </w:rPr>
        <w:t>Mata,</w:t>
      </w:r>
      <w:r>
        <w:rPr>
          <w:spacing w:val="85"/>
          <w:sz w:val="16"/>
        </w:rPr>
        <w:t xml:space="preserve"> </w:t>
      </w:r>
      <w:r>
        <w:rPr>
          <w:spacing w:val="12"/>
          <w:sz w:val="16"/>
        </w:rPr>
        <w:t xml:space="preserve">02 </w:t>
      </w:r>
      <w:r>
        <w:rPr>
          <w:spacing w:val="20"/>
          <w:sz w:val="16"/>
        </w:rPr>
        <w:t>jun. 2011.</w:t>
      </w:r>
      <w:r>
        <w:rPr>
          <w:spacing w:val="85"/>
          <w:sz w:val="16"/>
        </w:rPr>
        <w:t xml:space="preserve"> </w:t>
      </w:r>
      <w:r>
        <w:rPr>
          <w:spacing w:val="23"/>
          <w:sz w:val="16"/>
        </w:rPr>
        <w:t>Disponível</w:t>
      </w:r>
      <w:r>
        <w:rPr>
          <w:spacing w:val="22"/>
          <w:sz w:val="16"/>
        </w:rPr>
        <w:t xml:space="preserve"> </w:t>
      </w:r>
      <w:r>
        <w:rPr>
          <w:spacing w:val="17"/>
          <w:sz w:val="16"/>
        </w:rPr>
        <w:t>em:</w:t>
      </w:r>
      <w:r>
        <w:rPr>
          <w:spacing w:val="-17"/>
          <w:sz w:val="16"/>
        </w:rPr>
        <w:t xml:space="preserve"> </w:t>
      </w:r>
    </w:p>
    <w:p w:rsidR="00D81F69" w:rsidRDefault="00D81F69">
      <w:pPr>
        <w:spacing w:before="2" w:line="312" w:lineRule="auto"/>
        <w:ind w:left="100" w:right="127"/>
        <w:jc w:val="both"/>
        <w:rPr>
          <w:sz w:val="16"/>
        </w:rPr>
      </w:pPr>
      <w:hyperlink r:id="rId1150">
        <w:r w:rsidR="00330118">
          <w:rPr>
            <w:sz w:val="16"/>
          </w:rPr>
          <w:t>&lt;</w:t>
        </w:r>
        <w:r w:rsidR="00330118">
          <w:rPr>
            <w:sz w:val="16"/>
          </w:rPr>
          <w:t>http://www.verdemata.com.br/index.php/noticias/projeto-apolo-</w:t>
        </w:r>
      </w:hyperlink>
      <w:r w:rsidR="00330118">
        <w:rPr>
          <w:sz w:val="16"/>
        </w:rPr>
        <w:t xml:space="preserve"> impasse-mais-perto-do-fim/&gt;. Acesso em: 30 dez. 2011.</w:t>
      </w:r>
    </w:p>
    <w:p w:rsidR="00D81F69" w:rsidRDefault="00330118">
      <w:pPr>
        <w:spacing w:before="1" w:line="312" w:lineRule="auto"/>
        <w:ind w:left="100" w:right="115"/>
        <w:jc w:val="both"/>
        <w:rPr>
          <w:sz w:val="16"/>
        </w:rPr>
      </w:pPr>
      <w:r>
        <w:rPr>
          <w:sz w:val="16"/>
        </w:rPr>
        <w:t xml:space="preserve">EXAME. Projetos com problemas ambientais perdem força na Vale. </w:t>
      </w:r>
      <w:r>
        <w:rPr>
          <w:spacing w:val="2"/>
          <w:sz w:val="16"/>
        </w:rPr>
        <w:t xml:space="preserve">27 </w:t>
      </w:r>
      <w:r>
        <w:rPr>
          <w:spacing w:val="3"/>
          <w:sz w:val="16"/>
        </w:rPr>
        <w:t xml:space="preserve">ago. 2012. </w:t>
      </w:r>
      <w:r>
        <w:rPr>
          <w:spacing w:val="5"/>
          <w:sz w:val="16"/>
        </w:rPr>
        <w:t xml:space="preserve">Disponível </w:t>
      </w:r>
      <w:r>
        <w:rPr>
          <w:spacing w:val="3"/>
          <w:sz w:val="16"/>
        </w:rPr>
        <w:t xml:space="preserve">em: </w:t>
      </w:r>
      <w:hyperlink r:id="rId1151">
        <w:r>
          <w:rPr>
            <w:spacing w:val="5"/>
            <w:sz w:val="16"/>
          </w:rPr>
          <w:t>&lt;http://exame.abril.com.br/meio-</w:t>
        </w:r>
      </w:hyperlink>
      <w:r>
        <w:rPr>
          <w:spacing w:val="5"/>
          <w:sz w:val="16"/>
        </w:rPr>
        <w:t xml:space="preserve"> ambiente-e-energia/noticias/projetos-com-problemas-ambientais- </w:t>
      </w:r>
      <w:r>
        <w:rPr>
          <w:spacing w:val="3"/>
          <w:sz w:val="16"/>
        </w:rPr>
        <w:t xml:space="preserve">perdem-forca-na-vale&gt;. Acesso </w:t>
      </w:r>
      <w:r>
        <w:rPr>
          <w:spacing w:val="2"/>
          <w:sz w:val="16"/>
        </w:rPr>
        <w:t xml:space="preserve">em: </w:t>
      </w:r>
      <w:r>
        <w:rPr>
          <w:spacing w:val="1"/>
          <w:sz w:val="16"/>
        </w:rPr>
        <w:t xml:space="preserve">28 </w:t>
      </w:r>
      <w:r>
        <w:rPr>
          <w:spacing w:val="2"/>
          <w:sz w:val="16"/>
        </w:rPr>
        <w:t>nov.</w:t>
      </w:r>
      <w:r>
        <w:rPr>
          <w:spacing w:val="40"/>
          <w:sz w:val="16"/>
        </w:rPr>
        <w:t xml:space="preserve"> </w:t>
      </w:r>
      <w:r>
        <w:rPr>
          <w:spacing w:val="5"/>
          <w:sz w:val="16"/>
        </w:rPr>
        <w:t>2012.</w:t>
      </w:r>
    </w:p>
    <w:p w:rsidR="00D81F69" w:rsidRDefault="00330118">
      <w:pPr>
        <w:spacing w:before="4"/>
        <w:ind w:left="100"/>
        <w:rPr>
          <w:sz w:val="16"/>
        </w:rPr>
      </w:pPr>
      <w:r>
        <w:rPr>
          <w:sz w:val="16"/>
        </w:rPr>
        <w:t>GRUPO  AMBIENTAL  DE  SANTA  BARBARA.  Por  que  é tão</w:t>
      </w:r>
    </w:p>
    <w:p w:rsidR="00D81F69" w:rsidRDefault="00330118">
      <w:pPr>
        <w:tabs>
          <w:tab w:val="left" w:pos="1059"/>
          <w:tab w:val="left" w:pos="1548"/>
          <w:tab w:val="left" w:pos="2304"/>
          <w:tab w:val="left" w:pos="3299"/>
          <w:tab w:val="left" w:pos="4746"/>
        </w:tabs>
        <w:spacing w:before="56" w:line="312" w:lineRule="auto"/>
        <w:ind w:left="100" w:right="66"/>
        <w:rPr>
          <w:sz w:val="16"/>
        </w:rPr>
      </w:pPr>
      <w:r>
        <w:rPr>
          <w:sz w:val="16"/>
        </w:rPr>
        <w:t xml:space="preserve">importante a criação do Parque Nacional da Serra do Gandarela?, 14 abr. 2010. Disponível em: </w:t>
      </w:r>
      <w:hyperlink r:id="rId1152">
        <w:r>
          <w:rPr>
            <w:sz w:val="16"/>
          </w:rPr>
          <w:t>&lt;http://www.onggasb.com.br/2010/04/por-</w:t>
        </w:r>
      </w:hyperlink>
      <w:r>
        <w:rPr>
          <w:sz w:val="16"/>
        </w:rPr>
        <w:t xml:space="preserve"> que-e-tao-importante-criacao-do.html&gt;. Acesso em: 30 dez. 2011. HOJ</w:t>
      </w:r>
      <w:r>
        <w:rPr>
          <w:sz w:val="16"/>
        </w:rPr>
        <w:t xml:space="preserve">E EM DIA. Projeto do Parque do Gandarela garante mina Apolo.   </w:t>
      </w:r>
      <w:r>
        <w:rPr>
          <w:spacing w:val="2"/>
          <w:sz w:val="16"/>
        </w:rPr>
        <w:t>I b r a</w:t>
      </w:r>
      <w:r>
        <w:rPr>
          <w:spacing w:val="-7"/>
          <w:sz w:val="16"/>
        </w:rPr>
        <w:t xml:space="preserve"> </w:t>
      </w:r>
      <w:r>
        <w:rPr>
          <w:spacing w:val="2"/>
          <w:sz w:val="16"/>
        </w:rPr>
        <w:t>m</w:t>
      </w:r>
      <w:r>
        <w:rPr>
          <w:sz w:val="16"/>
        </w:rPr>
        <w:t xml:space="preserve"> ,</w:t>
      </w:r>
      <w:r>
        <w:rPr>
          <w:sz w:val="16"/>
        </w:rPr>
        <w:tab/>
      </w:r>
      <w:r>
        <w:rPr>
          <w:spacing w:val="2"/>
          <w:sz w:val="16"/>
        </w:rPr>
        <w:t>0</w:t>
      </w:r>
      <w:r>
        <w:rPr>
          <w:sz w:val="16"/>
        </w:rPr>
        <w:t xml:space="preserve"> 9</w:t>
      </w:r>
      <w:r>
        <w:rPr>
          <w:sz w:val="16"/>
        </w:rPr>
        <w:tab/>
      </w:r>
      <w:r>
        <w:rPr>
          <w:spacing w:val="2"/>
          <w:sz w:val="16"/>
        </w:rPr>
        <w:t>m a</w:t>
      </w:r>
      <w:r>
        <w:rPr>
          <w:spacing w:val="-2"/>
          <w:sz w:val="16"/>
        </w:rPr>
        <w:t xml:space="preserve"> </w:t>
      </w:r>
      <w:r>
        <w:rPr>
          <w:spacing w:val="2"/>
          <w:sz w:val="16"/>
        </w:rPr>
        <w:t>i</w:t>
      </w:r>
      <w:r>
        <w:rPr>
          <w:sz w:val="16"/>
        </w:rPr>
        <w:t xml:space="preserve"> o</w:t>
      </w:r>
      <w:r>
        <w:rPr>
          <w:sz w:val="16"/>
        </w:rPr>
        <w:tab/>
      </w:r>
      <w:r>
        <w:rPr>
          <w:spacing w:val="2"/>
          <w:sz w:val="16"/>
        </w:rPr>
        <w:t>2 0 1 2</w:t>
      </w:r>
      <w:r>
        <w:rPr>
          <w:spacing w:val="-7"/>
          <w:sz w:val="16"/>
        </w:rPr>
        <w:t xml:space="preserve"> </w:t>
      </w:r>
      <w:r>
        <w:rPr>
          <w:spacing w:val="2"/>
          <w:sz w:val="16"/>
        </w:rPr>
        <w:t>a</w:t>
      </w:r>
      <w:r>
        <w:rPr>
          <w:sz w:val="16"/>
        </w:rPr>
        <w:t xml:space="preserve"> .</w:t>
      </w:r>
      <w:r>
        <w:rPr>
          <w:sz w:val="16"/>
        </w:rPr>
        <w:tab/>
      </w:r>
      <w:r>
        <w:rPr>
          <w:spacing w:val="2"/>
          <w:sz w:val="16"/>
        </w:rPr>
        <w:t>D i s p o n í v</w:t>
      </w:r>
      <w:r>
        <w:rPr>
          <w:spacing w:val="-15"/>
          <w:sz w:val="16"/>
        </w:rPr>
        <w:t xml:space="preserve"> </w:t>
      </w:r>
      <w:r>
        <w:rPr>
          <w:spacing w:val="2"/>
          <w:sz w:val="16"/>
        </w:rPr>
        <w:t>e</w:t>
      </w:r>
      <w:r>
        <w:rPr>
          <w:sz w:val="16"/>
        </w:rPr>
        <w:t xml:space="preserve"> l</w:t>
      </w:r>
      <w:r>
        <w:rPr>
          <w:sz w:val="16"/>
        </w:rPr>
        <w:tab/>
      </w:r>
      <w:r>
        <w:rPr>
          <w:spacing w:val="2"/>
          <w:sz w:val="16"/>
        </w:rPr>
        <w:t>e m</w:t>
      </w:r>
      <w:r>
        <w:rPr>
          <w:spacing w:val="-2"/>
          <w:sz w:val="16"/>
        </w:rPr>
        <w:t xml:space="preserve"> </w:t>
      </w:r>
      <w:r>
        <w:rPr>
          <w:sz w:val="16"/>
        </w:rPr>
        <w:t>:</w:t>
      </w:r>
      <w:r>
        <w:rPr>
          <w:spacing w:val="3"/>
          <w:sz w:val="16"/>
        </w:rPr>
        <w:t xml:space="preserve"> </w:t>
      </w:r>
    </w:p>
    <w:p w:rsidR="00D81F69" w:rsidRDefault="00D81F69">
      <w:pPr>
        <w:spacing w:before="4" w:line="312" w:lineRule="auto"/>
        <w:ind w:left="100" w:right="116"/>
        <w:jc w:val="both"/>
        <w:rPr>
          <w:sz w:val="16"/>
        </w:rPr>
      </w:pPr>
      <w:hyperlink r:id="rId1153">
        <w:r w:rsidR="00330118">
          <w:rPr>
            <w:sz w:val="16"/>
          </w:rPr>
          <w:t>&lt;http://www.ibram.org.br/150/15001002.asp?ttCD_CHAVE=1</w:t>
        </w:r>
        <w:r w:rsidR="00330118">
          <w:rPr>
            <w:sz w:val="16"/>
          </w:rPr>
          <w:t>63820&gt;.</w:t>
        </w:r>
      </w:hyperlink>
      <w:r w:rsidR="00330118">
        <w:rPr>
          <w:sz w:val="16"/>
        </w:rPr>
        <w:t xml:space="preserve"> Acesso em: 21 set. 2012.</w:t>
      </w:r>
    </w:p>
    <w:p w:rsidR="00D81F69" w:rsidRDefault="00330118">
      <w:pPr>
        <w:tabs>
          <w:tab w:val="left" w:pos="641"/>
        </w:tabs>
        <w:spacing w:before="1"/>
        <w:ind w:left="100"/>
        <w:rPr>
          <w:sz w:val="16"/>
        </w:rPr>
      </w:pPr>
      <w:r>
        <w:rPr>
          <w:sz w:val="16"/>
          <w:u w:val="single"/>
        </w:rPr>
        <w:t xml:space="preserve"> </w:t>
      </w:r>
      <w:r>
        <w:rPr>
          <w:sz w:val="16"/>
          <w:u w:val="single"/>
        </w:rPr>
        <w:tab/>
      </w:r>
      <w:r>
        <w:rPr>
          <w:sz w:val="16"/>
        </w:rPr>
        <w:t>.</w:t>
      </w:r>
      <w:r>
        <w:rPr>
          <w:spacing w:val="7"/>
          <w:sz w:val="16"/>
        </w:rPr>
        <w:t xml:space="preserve"> </w:t>
      </w:r>
      <w:r>
        <w:rPr>
          <w:sz w:val="16"/>
        </w:rPr>
        <w:t>Vale</w:t>
      </w:r>
      <w:r>
        <w:rPr>
          <w:spacing w:val="7"/>
          <w:sz w:val="16"/>
        </w:rPr>
        <w:t xml:space="preserve"> </w:t>
      </w:r>
      <w:r>
        <w:rPr>
          <w:sz w:val="16"/>
        </w:rPr>
        <w:t>quer</w:t>
      </w:r>
      <w:r>
        <w:rPr>
          <w:spacing w:val="7"/>
          <w:sz w:val="16"/>
        </w:rPr>
        <w:t xml:space="preserve"> </w:t>
      </w:r>
      <w:r>
        <w:rPr>
          <w:sz w:val="16"/>
        </w:rPr>
        <w:t>área</w:t>
      </w:r>
      <w:r>
        <w:rPr>
          <w:spacing w:val="7"/>
          <w:sz w:val="16"/>
        </w:rPr>
        <w:t xml:space="preserve"> </w:t>
      </w:r>
      <w:r>
        <w:rPr>
          <w:sz w:val="16"/>
        </w:rPr>
        <w:t>maior</w:t>
      </w:r>
      <w:r>
        <w:rPr>
          <w:spacing w:val="7"/>
          <w:sz w:val="16"/>
        </w:rPr>
        <w:t xml:space="preserve"> </w:t>
      </w:r>
      <w:r>
        <w:rPr>
          <w:sz w:val="16"/>
        </w:rPr>
        <w:t>do</w:t>
      </w:r>
      <w:r>
        <w:rPr>
          <w:spacing w:val="7"/>
          <w:sz w:val="16"/>
        </w:rPr>
        <w:t xml:space="preserve"> </w:t>
      </w:r>
      <w:r>
        <w:rPr>
          <w:sz w:val="16"/>
        </w:rPr>
        <w:t>Parque</w:t>
      </w:r>
      <w:r>
        <w:rPr>
          <w:spacing w:val="7"/>
          <w:sz w:val="16"/>
        </w:rPr>
        <w:t xml:space="preserve"> </w:t>
      </w:r>
      <w:r>
        <w:rPr>
          <w:sz w:val="16"/>
        </w:rPr>
        <w:t>do</w:t>
      </w:r>
      <w:r>
        <w:rPr>
          <w:spacing w:val="7"/>
          <w:sz w:val="16"/>
        </w:rPr>
        <w:t xml:space="preserve"> </w:t>
      </w:r>
      <w:r>
        <w:rPr>
          <w:sz w:val="16"/>
        </w:rPr>
        <w:t>Gandarela.</w:t>
      </w:r>
      <w:r>
        <w:rPr>
          <w:spacing w:val="7"/>
          <w:sz w:val="16"/>
        </w:rPr>
        <w:t xml:space="preserve"> </w:t>
      </w:r>
      <w:r>
        <w:rPr>
          <w:sz w:val="16"/>
        </w:rPr>
        <w:t>Novo</w:t>
      </w:r>
      <w:r>
        <w:rPr>
          <w:spacing w:val="7"/>
          <w:sz w:val="16"/>
        </w:rPr>
        <w:t xml:space="preserve"> </w:t>
      </w:r>
      <w:r>
        <w:rPr>
          <w:sz w:val="16"/>
        </w:rPr>
        <w:t>Jornal,</w:t>
      </w:r>
    </w:p>
    <w:p w:rsidR="00D81F69" w:rsidRDefault="00330118">
      <w:pPr>
        <w:tabs>
          <w:tab w:val="left" w:pos="752"/>
          <w:tab w:val="left" w:pos="1729"/>
          <w:tab w:val="left" w:pos="2839"/>
          <w:tab w:val="left" w:pos="4686"/>
        </w:tabs>
        <w:spacing w:before="56"/>
        <w:ind w:left="100"/>
        <w:rPr>
          <w:sz w:val="16"/>
        </w:rPr>
      </w:pPr>
      <w:r>
        <w:rPr>
          <w:spacing w:val="31"/>
          <w:sz w:val="16"/>
        </w:rPr>
        <w:t>1</w:t>
      </w:r>
      <w:r>
        <w:rPr>
          <w:sz w:val="16"/>
        </w:rPr>
        <w:t xml:space="preserve"> 0</w:t>
      </w:r>
      <w:r>
        <w:rPr>
          <w:sz w:val="16"/>
        </w:rPr>
        <w:tab/>
      </w:r>
      <w:r>
        <w:rPr>
          <w:spacing w:val="31"/>
          <w:sz w:val="16"/>
        </w:rPr>
        <w:t>m a</w:t>
      </w:r>
      <w:r>
        <w:rPr>
          <w:spacing w:val="-31"/>
          <w:sz w:val="16"/>
        </w:rPr>
        <w:t xml:space="preserve"> </w:t>
      </w:r>
      <w:r>
        <w:rPr>
          <w:spacing w:val="31"/>
          <w:sz w:val="16"/>
        </w:rPr>
        <w:t>i</w:t>
      </w:r>
      <w:r>
        <w:rPr>
          <w:sz w:val="16"/>
        </w:rPr>
        <w:t xml:space="preserve"> o</w:t>
      </w:r>
      <w:r>
        <w:rPr>
          <w:sz w:val="16"/>
        </w:rPr>
        <w:tab/>
      </w:r>
      <w:r>
        <w:rPr>
          <w:spacing w:val="31"/>
          <w:sz w:val="16"/>
        </w:rPr>
        <w:t>2</w:t>
      </w:r>
      <w:r>
        <w:rPr>
          <w:sz w:val="16"/>
        </w:rPr>
        <w:t xml:space="preserve"> </w:t>
      </w:r>
      <w:r>
        <w:rPr>
          <w:spacing w:val="31"/>
          <w:sz w:val="16"/>
        </w:rPr>
        <w:t>0</w:t>
      </w:r>
      <w:r>
        <w:rPr>
          <w:sz w:val="16"/>
        </w:rPr>
        <w:t xml:space="preserve"> </w:t>
      </w:r>
      <w:r>
        <w:rPr>
          <w:spacing w:val="31"/>
          <w:sz w:val="16"/>
        </w:rPr>
        <w:t>1</w:t>
      </w:r>
      <w:r>
        <w:rPr>
          <w:sz w:val="16"/>
        </w:rPr>
        <w:t xml:space="preserve"> </w:t>
      </w:r>
      <w:r>
        <w:rPr>
          <w:spacing w:val="31"/>
          <w:sz w:val="16"/>
        </w:rPr>
        <w:t>2</w:t>
      </w:r>
      <w:r>
        <w:rPr>
          <w:sz w:val="16"/>
        </w:rPr>
        <w:t xml:space="preserve"> .</w:t>
      </w:r>
      <w:r>
        <w:rPr>
          <w:sz w:val="16"/>
        </w:rPr>
        <w:tab/>
      </w:r>
      <w:r>
        <w:rPr>
          <w:spacing w:val="31"/>
          <w:sz w:val="16"/>
        </w:rPr>
        <w:t>D</w:t>
      </w:r>
      <w:r>
        <w:rPr>
          <w:sz w:val="16"/>
        </w:rPr>
        <w:t xml:space="preserve"> </w:t>
      </w:r>
      <w:r>
        <w:rPr>
          <w:spacing w:val="31"/>
          <w:sz w:val="16"/>
        </w:rPr>
        <w:t>i</w:t>
      </w:r>
      <w:r>
        <w:rPr>
          <w:sz w:val="16"/>
        </w:rPr>
        <w:t xml:space="preserve"> </w:t>
      </w:r>
      <w:r>
        <w:rPr>
          <w:spacing w:val="31"/>
          <w:sz w:val="16"/>
        </w:rPr>
        <w:t>s</w:t>
      </w:r>
      <w:r>
        <w:rPr>
          <w:sz w:val="16"/>
        </w:rPr>
        <w:t xml:space="preserve"> </w:t>
      </w:r>
      <w:r>
        <w:rPr>
          <w:spacing w:val="31"/>
          <w:sz w:val="16"/>
        </w:rPr>
        <w:t>p</w:t>
      </w:r>
      <w:r>
        <w:rPr>
          <w:sz w:val="16"/>
        </w:rPr>
        <w:t xml:space="preserve"> </w:t>
      </w:r>
      <w:r>
        <w:rPr>
          <w:spacing w:val="31"/>
          <w:sz w:val="16"/>
        </w:rPr>
        <w:t>o</w:t>
      </w:r>
      <w:r>
        <w:rPr>
          <w:sz w:val="16"/>
        </w:rPr>
        <w:t xml:space="preserve"> </w:t>
      </w:r>
      <w:r>
        <w:rPr>
          <w:spacing w:val="31"/>
          <w:sz w:val="16"/>
        </w:rPr>
        <w:t>n</w:t>
      </w:r>
      <w:r>
        <w:rPr>
          <w:sz w:val="16"/>
        </w:rPr>
        <w:t xml:space="preserve"> </w:t>
      </w:r>
      <w:r>
        <w:rPr>
          <w:spacing w:val="31"/>
          <w:sz w:val="16"/>
        </w:rPr>
        <w:t>í</w:t>
      </w:r>
      <w:r>
        <w:rPr>
          <w:sz w:val="16"/>
        </w:rPr>
        <w:t xml:space="preserve"> </w:t>
      </w:r>
      <w:r>
        <w:rPr>
          <w:spacing w:val="31"/>
          <w:sz w:val="16"/>
        </w:rPr>
        <w:t>v</w:t>
      </w:r>
      <w:r>
        <w:rPr>
          <w:sz w:val="16"/>
        </w:rPr>
        <w:t xml:space="preserve"> </w:t>
      </w:r>
      <w:r>
        <w:rPr>
          <w:spacing w:val="31"/>
          <w:sz w:val="16"/>
        </w:rPr>
        <w:t>e</w:t>
      </w:r>
      <w:r>
        <w:rPr>
          <w:sz w:val="16"/>
        </w:rPr>
        <w:t xml:space="preserve"> l</w:t>
      </w:r>
      <w:r>
        <w:rPr>
          <w:sz w:val="16"/>
        </w:rPr>
        <w:tab/>
      </w:r>
      <w:r>
        <w:rPr>
          <w:spacing w:val="31"/>
          <w:sz w:val="16"/>
        </w:rPr>
        <w:t>e m</w:t>
      </w:r>
      <w:r>
        <w:rPr>
          <w:spacing w:val="-31"/>
          <w:sz w:val="16"/>
        </w:rPr>
        <w:t xml:space="preserve"> </w:t>
      </w:r>
      <w:r>
        <w:rPr>
          <w:sz w:val="16"/>
        </w:rPr>
        <w:t xml:space="preserve">: </w:t>
      </w:r>
      <w:r>
        <w:rPr>
          <w:spacing w:val="-11"/>
          <w:sz w:val="16"/>
        </w:rPr>
        <w:t xml:space="preserve"> </w:t>
      </w:r>
    </w:p>
    <w:p w:rsidR="00D81F69" w:rsidRDefault="00D81F69">
      <w:pPr>
        <w:tabs>
          <w:tab w:val="left" w:pos="1693"/>
          <w:tab w:val="left" w:pos="2116"/>
          <w:tab w:val="left" w:pos="2880"/>
          <w:tab w:val="left" w:pos="4538"/>
        </w:tabs>
        <w:spacing w:before="56" w:line="312" w:lineRule="auto"/>
        <w:ind w:left="100" w:right="70"/>
        <w:rPr>
          <w:sz w:val="16"/>
        </w:rPr>
      </w:pPr>
      <w:hyperlink r:id="rId1154">
        <w:r w:rsidR="00330118">
          <w:rPr>
            <w:sz w:val="16"/>
          </w:rPr>
          <w:t>&lt;</w:t>
        </w:r>
        <w:r w:rsidR="00330118">
          <w:rPr>
            <w:sz w:val="16"/>
          </w:rPr>
          <w:t>http://www.novojornal.com/minas/noticia/vale-quer-area-maior-do-</w:t>
        </w:r>
      </w:hyperlink>
      <w:r w:rsidR="00330118">
        <w:rPr>
          <w:sz w:val="16"/>
        </w:rPr>
        <w:t xml:space="preserve"> parque-do-gandarela-10-05-2012.html&gt;. Acesso em: 21 set. 2012. </w:t>
      </w:r>
      <w:r w:rsidR="00330118">
        <w:rPr>
          <w:spacing w:val="5"/>
          <w:sz w:val="16"/>
        </w:rPr>
        <w:t xml:space="preserve">ICMBIO. Proposta </w:t>
      </w:r>
      <w:r w:rsidR="00330118">
        <w:rPr>
          <w:spacing w:val="2"/>
          <w:sz w:val="16"/>
        </w:rPr>
        <w:t xml:space="preserve">de  </w:t>
      </w:r>
      <w:r w:rsidR="00330118">
        <w:rPr>
          <w:spacing w:val="5"/>
          <w:sz w:val="16"/>
        </w:rPr>
        <w:t xml:space="preserve">criação </w:t>
      </w:r>
      <w:r w:rsidR="00330118">
        <w:rPr>
          <w:spacing w:val="2"/>
          <w:sz w:val="16"/>
        </w:rPr>
        <w:t xml:space="preserve">do  </w:t>
      </w:r>
      <w:r w:rsidR="00330118">
        <w:rPr>
          <w:spacing w:val="5"/>
          <w:sz w:val="16"/>
        </w:rPr>
        <w:t xml:space="preserve">Parque Nacional </w:t>
      </w:r>
      <w:r w:rsidR="00330118">
        <w:rPr>
          <w:spacing w:val="2"/>
          <w:sz w:val="16"/>
        </w:rPr>
        <w:t xml:space="preserve">da  </w:t>
      </w:r>
      <w:r w:rsidR="00330118">
        <w:rPr>
          <w:spacing w:val="3"/>
          <w:sz w:val="16"/>
        </w:rPr>
        <w:t xml:space="preserve">Serra </w:t>
      </w:r>
      <w:r w:rsidR="00330118">
        <w:rPr>
          <w:spacing w:val="5"/>
          <w:sz w:val="16"/>
        </w:rPr>
        <w:t xml:space="preserve">do  </w:t>
      </w:r>
      <w:r w:rsidR="00330118">
        <w:rPr>
          <w:spacing w:val="17"/>
          <w:sz w:val="16"/>
        </w:rPr>
        <w:t>G</w:t>
      </w:r>
      <w:r w:rsidR="00330118">
        <w:rPr>
          <w:sz w:val="16"/>
        </w:rPr>
        <w:t xml:space="preserve"> </w:t>
      </w:r>
      <w:r w:rsidR="00330118">
        <w:rPr>
          <w:spacing w:val="17"/>
          <w:sz w:val="16"/>
        </w:rPr>
        <w:t>a</w:t>
      </w:r>
      <w:r w:rsidR="00330118">
        <w:rPr>
          <w:sz w:val="16"/>
        </w:rPr>
        <w:t xml:space="preserve"> </w:t>
      </w:r>
      <w:r w:rsidR="00330118">
        <w:rPr>
          <w:spacing w:val="17"/>
          <w:sz w:val="16"/>
        </w:rPr>
        <w:t>n</w:t>
      </w:r>
      <w:r w:rsidR="00330118">
        <w:rPr>
          <w:sz w:val="16"/>
        </w:rPr>
        <w:t xml:space="preserve"> </w:t>
      </w:r>
      <w:r w:rsidR="00330118">
        <w:rPr>
          <w:spacing w:val="17"/>
          <w:sz w:val="16"/>
        </w:rPr>
        <w:t>d</w:t>
      </w:r>
      <w:r w:rsidR="00330118">
        <w:rPr>
          <w:sz w:val="16"/>
        </w:rPr>
        <w:t xml:space="preserve"> </w:t>
      </w:r>
      <w:r w:rsidR="00330118">
        <w:rPr>
          <w:spacing w:val="17"/>
          <w:sz w:val="16"/>
        </w:rPr>
        <w:t>a</w:t>
      </w:r>
      <w:r w:rsidR="00330118">
        <w:rPr>
          <w:sz w:val="16"/>
        </w:rPr>
        <w:t xml:space="preserve"> </w:t>
      </w:r>
      <w:r w:rsidR="00330118">
        <w:rPr>
          <w:spacing w:val="17"/>
          <w:sz w:val="16"/>
        </w:rPr>
        <w:t>r</w:t>
      </w:r>
      <w:r w:rsidR="00330118">
        <w:rPr>
          <w:sz w:val="16"/>
        </w:rPr>
        <w:t xml:space="preserve"> </w:t>
      </w:r>
      <w:r w:rsidR="00330118">
        <w:rPr>
          <w:spacing w:val="17"/>
          <w:sz w:val="16"/>
        </w:rPr>
        <w:t>e</w:t>
      </w:r>
      <w:r w:rsidR="00330118">
        <w:rPr>
          <w:sz w:val="16"/>
        </w:rPr>
        <w:t xml:space="preserve"> </w:t>
      </w:r>
      <w:r w:rsidR="00330118">
        <w:rPr>
          <w:spacing w:val="17"/>
          <w:sz w:val="16"/>
        </w:rPr>
        <w:t>l</w:t>
      </w:r>
      <w:r w:rsidR="00330118">
        <w:rPr>
          <w:sz w:val="16"/>
        </w:rPr>
        <w:t xml:space="preserve"> a</w:t>
      </w:r>
      <w:r w:rsidR="00330118">
        <w:rPr>
          <w:sz w:val="16"/>
        </w:rPr>
        <w:tab/>
        <w:t>–</w:t>
      </w:r>
      <w:r w:rsidR="00330118">
        <w:rPr>
          <w:sz w:val="16"/>
        </w:rPr>
        <w:tab/>
      </w:r>
      <w:r w:rsidR="00330118">
        <w:rPr>
          <w:spacing w:val="17"/>
          <w:sz w:val="16"/>
        </w:rPr>
        <w:t>M</w:t>
      </w:r>
      <w:r w:rsidR="00330118">
        <w:rPr>
          <w:sz w:val="16"/>
        </w:rPr>
        <w:t xml:space="preserve"> </w:t>
      </w:r>
      <w:r w:rsidR="00330118">
        <w:rPr>
          <w:spacing w:val="17"/>
          <w:sz w:val="16"/>
        </w:rPr>
        <w:t>G</w:t>
      </w:r>
      <w:r w:rsidR="00330118">
        <w:rPr>
          <w:sz w:val="16"/>
        </w:rPr>
        <w:t xml:space="preserve"> .</w:t>
      </w:r>
      <w:r w:rsidR="00330118">
        <w:rPr>
          <w:sz w:val="16"/>
        </w:rPr>
        <w:tab/>
      </w:r>
      <w:r w:rsidR="00330118">
        <w:rPr>
          <w:spacing w:val="17"/>
          <w:sz w:val="16"/>
        </w:rPr>
        <w:t>D</w:t>
      </w:r>
      <w:r w:rsidR="00330118">
        <w:rPr>
          <w:sz w:val="16"/>
        </w:rPr>
        <w:t xml:space="preserve"> </w:t>
      </w:r>
      <w:r w:rsidR="00330118">
        <w:rPr>
          <w:spacing w:val="17"/>
          <w:sz w:val="16"/>
        </w:rPr>
        <w:t>i</w:t>
      </w:r>
      <w:r w:rsidR="00330118">
        <w:rPr>
          <w:sz w:val="16"/>
        </w:rPr>
        <w:t xml:space="preserve"> </w:t>
      </w:r>
      <w:r w:rsidR="00330118">
        <w:rPr>
          <w:spacing w:val="17"/>
          <w:sz w:val="16"/>
        </w:rPr>
        <w:t>s</w:t>
      </w:r>
      <w:r w:rsidR="00330118">
        <w:rPr>
          <w:sz w:val="16"/>
        </w:rPr>
        <w:t xml:space="preserve"> </w:t>
      </w:r>
      <w:r w:rsidR="00330118">
        <w:rPr>
          <w:spacing w:val="17"/>
          <w:sz w:val="16"/>
        </w:rPr>
        <w:t>p</w:t>
      </w:r>
      <w:r w:rsidR="00330118">
        <w:rPr>
          <w:sz w:val="16"/>
        </w:rPr>
        <w:t xml:space="preserve"> </w:t>
      </w:r>
      <w:r w:rsidR="00330118">
        <w:rPr>
          <w:spacing w:val="17"/>
          <w:sz w:val="16"/>
        </w:rPr>
        <w:t>o</w:t>
      </w:r>
      <w:r w:rsidR="00330118">
        <w:rPr>
          <w:sz w:val="16"/>
        </w:rPr>
        <w:t xml:space="preserve"> </w:t>
      </w:r>
      <w:r w:rsidR="00330118">
        <w:rPr>
          <w:spacing w:val="17"/>
          <w:sz w:val="16"/>
        </w:rPr>
        <w:t>n</w:t>
      </w:r>
      <w:r w:rsidR="00330118">
        <w:rPr>
          <w:sz w:val="16"/>
        </w:rPr>
        <w:t xml:space="preserve"> </w:t>
      </w:r>
      <w:r w:rsidR="00330118">
        <w:rPr>
          <w:spacing w:val="17"/>
          <w:sz w:val="16"/>
        </w:rPr>
        <w:t>í</w:t>
      </w:r>
      <w:r w:rsidR="00330118">
        <w:rPr>
          <w:sz w:val="16"/>
        </w:rPr>
        <w:t xml:space="preserve"> </w:t>
      </w:r>
      <w:r w:rsidR="00330118">
        <w:rPr>
          <w:spacing w:val="17"/>
          <w:sz w:val="16"/>
        </w:rPr>
        <w:t>v</w:t>
      </w:r>
      <w:r w:rsidR="00330118">
        <w:rPr>
          <w:sz w:val="16"/>
        </w:rPr>
        <w:t xml:space="preserve"> </w:t>
      </w:r>
      <w:r w:rsidR="00330118">
        <w:rPr>
          <w:spacing w:val="17"/>
          <w:sz w:val="16"/>
        </w:rPr>
        <w:t>e</w:t>
      </w:r>
      <w:r w:rsidR="00330118">
        <w:rPr>
          <w:sz w:val="16"/>
        </w:rPr>
        <w:t xml:space="preserve"> l</w:t>
      </w:r>
      <w:r w:rsidR="00330118">
        <w:rPr>
          <w:sz w:val="16"/>
        </w:rPr>
        <w:tab/>
      </w:r>
      <w:r w:rsidR="00330118">
        <w:rPr>
          <w:spacing w:val="17"/>
          <w:sz w:val="16"/>
        </w:rPr>
        <w:t xml:space="preserve">e m : </w:t>
      </w:r>
      <w:r w:rsidR="00330118">
        <w:rPr>
          <w:sz w:val="16"/>
        </w:rPr>
        <w:t xml:space="preserve">&lt; </w:t>
      </w:r>
      <w:hyperlink r:id="rId1155">
        <w:r w:rsidR="00330118">
          <w:rPr>
            <w:spacing w:val="20"/>
            <w:sz w:val="16"/>
          </w:rPr>
          <w:t xml:space="preserve">http://www.icmbio.gov.br/portal/images/stories/o-que- </w:t>
        </w:r>
      </w:hyperlink>
      <w:r w:rsidR="00330118">
        <w:rPr>
          <w:sz w:val="16"/>
        </w:rPr>
        <w:t>fazemos/folder_consultas_PNGandarela_2.pdf&gt;. Acesso em: 28 nov. 2012.</w:t>
      </w:r>
    </w:p>
    <w:p w:rsidR="00D81F69" w:rsidRDefault="00330118">
      <w:pPr>
        <w:spacing w:before="6" w:line="312" w:lineRule="auto"/>
        <w:ind w:left="100" w:right="64"/>
        <w:jc w:val="both"/>
        <w:rPr>
          <w:sz w:val="16"/>
        </w:rPr>
      </w:pPr>
      <w:r>
        <w:rPr>
          <w:sz w:val="16"/>
        </w:rPr>
        <w:t xml:space="preserve">IBGE, Instituto Brasileiro de Geografia e Estatística. Caeté (MG). In:     </w:t>
      </w:r>
      <w:r>
        <w:rPr>
          <w:spacing w:val="10"/>
          <w:sz w:val="16"/>
        </w:rPr>
        <w:t xml:space="preserve">I B G </w:t>
      </w:r>
      <w:r>
        <w:rPr>
          <w:sz w:val="16"/>
        </w:rPr>
        <w:t xml:space="preserve">E </w:t>
      </w:r>
      <w:r>
        <w:rPr>
          <w:spacing w:val="10"/>
          <w:sz w:val="16"/>
        </w:rPr>
        <w:t xml:space="preserve">C i d a d e s </w:t>
      </w:r>
      <w:r>
        <w:rPr>
          <w:sz w:val="16"/>
        </w:rPr>
        <w:t xml:space="preserve">, </w:t>
      </w:r>
      <w:r>
        <w:rPr>
          <w:spacing w:val="10"/>
          <w:sz w:val="16"/>
        </w:rPr>
        <w:t xml:space="preserve">2 0 1 0 </w:t>
      </w:r>
      <w:r>
        <w:rPr>
          <w:sz w:val="16"/>
        </w:rPr>
        <w:t xml:space="preserve">. </w:t>
      </w:r>
      <w:r>
        <w:rPr>
          <w:spacing w:val="10"/>
          <w:sz w:val="16"/>
        </w:rPr>
        <w:t xml:space="preserve">D i s p o n í v e </w:t>
      </w:r>
      <w:r>
        <w:rPr>
          <w:sz w:val="16"/>
        </w:rPr>
        <w:t>l</w:t>
      </w:r>
      <w:r>
        <w:rPr>
          <w:spacing w:val="20"/>
          <w:sz w:val="16"/>
        </w:rPr>
        <w:t xml:space="preserve"> </w:t>
      </w:r>
      <w:r>
        <w:rPr>
          <w:spacing w:val="10"/>
          <w:sz w:val="16"/>
        </w:rPr>
        <w:t xml:space="preserve">e m </w:t>
      </w:r>
      <w:r>
        <w:rPr>
          <w:sz w:val="16"/>
        </w:rPr>
        <w:t>:</w:t>
      </w:r>
      <w:r>
        <w:rPr>
          <w:spacing w:val="10"/>
          <w:sz w:val="16"/>
        </w:rPr>
        <w:t xml:space="preserve"> </w:t>
      </w:r>
    </w:p>
    <w:p w:rsidR="00D81F69" w:rsidRDefault="00D81F69">
      <w:pPr>
        <w:spacing w:before="2" w:line="312" w:lineRule="auto"/>
        <w:ind w:left="100" w:right="115"/>
        <w:jc w:val="both"/>
        <w:rPr>
          <w:sz w:val="16"/>
        </w:rPr>
      </w:pPr>
      <w:hyperlink r:id="rId1156">
        <w:r w:rsidR="00330118">
          <w:rPr>
            <w:sz w:val="16"/>
          </w:rPr>
          <w:t xml:space="preserve">&lt;http://selo.cptec.inpe.br/IBGE/cidade/311000&gt;. </w:t>
        </w:r>
      </w:hyperlink>
      <w:r w:rsidR="00330118">
        <w:rPr>
          <w:sz w:val="16"/>
        </w:rPr>
        <w:t>Acesso em:</w:t>
      </w:r>
      <w:r w:rsidR="00330118">
        <w:rPr>
          <w:sz w:val="16"/>
        </w:rPr>
        <w:t xml:space="preserve"> 30 dez. 2011.</w:t>
      </w:r>
    </w:p>
    <w:p w:rsidR="00D81F69" w:rsidRDefault="00330118">
      <w:pPr>
        <w:tabs>
          <w:tab w:val="left" w:pos="686"/>
          <w:tab w:val="left" w:pos="1193"/>
          <w:tab w:val="left" w:pos="1745"/>
          <w:tab w:val="left" w:pos="2305"/>
          <w:tab w:val="left" w:pos="2865"/>
          <w:tab w:val="left" w:pos="3426"/>
          <w:tab w:val="left" w:pos="3942"/>
          <w:tab w:val="left" w:pos="4493"/>
          <w:tab w:val="left" w:pos="5053"/>
        </w:tabs>
        <w:spacing w:before="2" w:line="312" w:lineRule="auto"/>
        <w:ind w:left="100" w:right="114"/>
        <w:jc w:val="both"/>
        <w:rPr>
          <w:sz w:val="16"/>
        </w:rPr>
      </w:pPr>
      <w:r>
        <w:rPr>
          <w:sz w:val="16"/>
        </w:rPr>
        <w:t>IBRAM, Instituto Brasileiro de Mineração. Produção Mineral. 2011.     D</w:t>
      </w:r>
      <w:r>
        <w:rPr>
          <w:sz w:val="16"/>
        </w:rPr>
        <w:tab/>
        <w:t>i</w:t>
      </w:r>
      <w:r>
        <w:rPr>
          <w:sz w:val="16"/>
        </w:rPr>
        <w:tab/>
        <w:t>s</w:t>
      </w:r>
      <w:r>
        <w:rPr>
          <w:sz w:val="16"/>
        </w:rPr>
        <w:tab/>
        <w:t>p</w:t>
      </w:r>
      <w:r>
        <w:rPr>
          <w:sz w:val="16"/>
        </w:rPr>
        <w:tab/>
        <w:t>o</w:t>
      </w:r>
      <w:r>
        <w:rPr>
          <w:sz w:val="16"/>
        </w:rPr>
        <w:tab/>
        <w:t>n</w:t>
      </w:r>
      <w:r>
        <w:rPr>
          <w:sz w:val="16"/>
        </w:rPr>
        <w:tab/>
        <w:t>í</w:t>
      </w:r>
      <w:r>
        <w:rPr>
          <w:sz w:val="16"/>
        </w:rPr>
        <w:tab/>
        <w:t>v</w:t>
      </w:r>
      <w:r>
        <w:rPr>
          <w:sz w:val="16"/>
        </w:rPr>
        <w:tab/>
        <w:t>e</w:t>
      </w:r>
      <w:r>
        <w:rPr>
          <w:sz w:val="16"/>
        </w:rPr>
        <w:tab/>
        <w:t xml:space="preserve">l </w:t>
      </w:r>
      <w:hyperlink r:id="rId1157">
        <w:r>
          <w:rPr>
            <w:sz w:val="16"/>
          </w:rPr>
          <w:t xml:space="preserve">em:&lt;http://www.ibram.org.br/sites/1300/1382/00000105.pdf&gt;. </w:t>
        </w:r>
      </w:hyperlink>
      <w:r>
        <w:rPr>
          <w:sz w:val="16"/>
        </w:rPr>
        <w:t>Acesso em: 29 nov.</w:t>
      </w:r>
      <w:r>
        <w:rPr>
          <w:spacing w:val="11"/>
          <w:sz w:val="16"/>
        </w:rPr>
        <w:t xml:space="preserve"> </w:t>
      </w:r>
      <w:r>
        <w:rPr>
          <w:sz w:val="16"/>
        </w:rPr>
        <w:t>201</w:t>
      </w:r>
      <w:r>
        <w:rPr>
          <w:sz w:val="16"/>
        </w:rPr>
        <w:t>2.</w:t>
      </w:r>
    </w:p>
    <w:p w:rsidR="00D81F69" w:rsidRDefault="00330118">
      <w:pPr>
        <w:spacing w:before="70" w:line="312" w:lineRule="auto"/>
        <w:ind w:left="100" w:right="193"/>
        <w:jc w:val="both"/>
        <w:rPr>
          <w:sz w:val="16"/>
        </w:rPr>
      </w:pPr>
      <w:r>
        <w:br w:type="column"/>
      </w:r>
      <w:r>
        <w:rPr>
          <w:sz w:val="16"/>
        </w:rPr>
        <w:lastRenderedPageBreak/>
        <w:t xml:space="preserve">MPF-MG, Ministério Público Federal de Minas Gerais. Ministério Público Federal quer agilizar criação do Parque Nacional da Serra do Gandarela. Grupo Ambiental de Santa Bárbara, 16 nov. 2011a. </w:t>
      </w:r>
      <w:hyperlink r:id="rId1158">
        <w:r>
          <w:rPr>
            <w:sz w:val="16"/>
          </w:rPr>
          <w:t>Disponível em: &lt;http://onggasb.dihitt.com.br/noticia/ministerio-publico-</w:t>
        </w:r>
      </w:hyperlink>
      <w:r>
        <w:rPr>
          <w:sz w:val="16"/>
        </w:rPr>
        <w:t xml:space="preserve"> federal-quer-agilizar-criacao-do-parque-nacional-da-serra-do- gandarela&gt;. Acesso em: 30 dez. 2011.</w:t>
      </w:r>
    </w:p>
    <w:p w:rsidR="00D81F69" w:rsidRDefault="00330118">
      <w:pPr>
        <w:spacing w:before="5" w:line="312" w:lineRule="auto"/>
        <w:ind w:left="100" w:right="146"/>
        <w:jc w:val="both"/>
        <w:rPr>
          <w:sz w:val="16"/>
        </w:rPr>
      </w:pPr>
      <w:r>
        <w:rPr>
          <w:spacing w:val="1"/>
          <w:sz w:val="16"/>
        </w:rPr>
        <w:t xml:space="preserve">______. Liminar </w:t>
      </w:r>
      <w:r>
        <w:rPr>
          <w:sz w:val="16"/>
        </w:rPr>
        <w:t xml:space="preserve">foi  </w:t>
      </w:r>
      <w:r>
        <w:rPr>
          <w:spacing w:val="1"/>
          <w:sz w:val="16"/>
        </w:rPr>
        <w:t xml:space="preserve">concedida </w:t>
      </w:r>
      <w:r>
        <w:rPr>
          <w:sz w:val="16"/>
        </w:rPr>
        <w:t xml:space="preserve">em  </w:t>
      </w:r>
      <w:r>
        <w:rPr>
          <w:spacing w:val="1"/>
          <w:sz w:val="16"/>
        </w:rPr>
        <w:t xml:space="preserve">ação civil pública ajuizada </w:t>
      </w:r>
      <w:r>
        <w:rPr>
          <w:spacing w:val="2"/>
          <w:sz w:val="16"/>
        </w:rPr>
        <w:t>pelo</w:t>
      </w:r>
      <w:r>
        <w:rPr>
          <w:spacing w:val="50"/>
          <w:sz w:val="16"/>
        </w:rPr>
        <w:t xml:space="preserve"> </w:t>
      </w:r>
      <w:r>
        <w:rPr>
          <w:spacing w:val="6"/>
          <w:sz w:val="16"/>
        </w:rPr>
        <w:t xml:space="preserve">M </w:t>
      </w:r>
      <w:r>
        <w:rPr>
          <w:spacing w:val="6"/>
          <w:sz w:val="16"/>
        </w:rPr>
        <w:t xml:space="preserve">P F </w:t>
      </w:r>
      <w:r>
        <w:rPr>
          <w:sz w:val="16"/>
        </w:rPr>
        <w:t xml:space="preserve">, </w:t>
      </w:r>
      <w:r>
        <w:rPr>
          <w:spacing w:val="6"/>
          <w:sz w:val="16"/>
        </w:rPr>
        <w:t xml:space="preserve">1 </w:t>
      </w:r>
      <w:r>
        <w:rPr>
          <w:sz w:val="16"/>
        </w:rPr>
        <w:t xml:space="preserve">9 </w:t>
      </w:r>
      <w:r>
        <w:rPr>
          <w:spacing w:val="6"/>
          <w:sz w:val="16"/>
        </w:rPr>
        <w:t xml:space="preserve">d e z </w:t>
      </w:r>
      <w:r>
        <w:rPr>
          <w:sz w:val="16"/>
        </w:rPr>
        <w:t xml:space="preserve">. </w:t>
      </w:r>
      <w:r>
        <w:rPr>
          <w:spacing w:val="6"/>
          <w:sz w:val="16"/>
        </w:rPr>
        <w:t xml:space="preserve">2 0 1 1 b </w:t>
      </w:r>
      <w:r>
        <w:rPr>
          <w:sz w:val="16"/>
        </w:rPr>
        <w:t xml:space="preserve">. </w:t>
      </w:r>
      <w:r>
        <w:rPr>
          <w:spacing w:val="6"/>
          <w:sz w:val="16"/>
        </w:rPr>
        <w:t xml:space="preserve">D i s p o n í v e </w:t>
      </w:r>
      <w:r>
        <w:rPr>
          <w:sz w:val="16"/>
        </w:rPr>
        <w:t>l</w:t>
      </w:r>
      <w:r>
        <w:rPr>
          <w:spacing w:val="33"/>
          <w:sz w:val="16"/>
        </w:rPr>
        <w:t xml:space="preserve"> </w:t>
      </w:r>
      <w:r>
        <w:rPr>
          <w:spacing w:val="6"/>
          <w:sz w:val="16"/>
        </w:rPr>
        <w:t xml:space="preserve">e m </w:t>
      </w:r>
      <w:r>
        <w:rPr>
          <w:sz w:val="16"/>
        </w:rPr>
        <w:t>:</w:t>
      </w:r>
      <w:r>
        <w:rPr>
          <w:spacing w:val="7"/>
          <w:sz w:val="16"/>
        </w:rPr>
        <w:t xml:space="preserve"> </w:t>
      </w:r>
    </w:p>
    <w:p w:rsidR="00D81F69" w:rsidRDefault="00D81F69">
      <w:pPr>
        <w:spacing w:before="1" w:line="312" w:lineRule="auto"/>
        <w:ind w:left="100" w:right="208"/>
        <w:jc w:val="both"/>
        <w:rPr>
          <w:sz w:val="16"/>
        </w:rPr>
      </w:pPr>
      <w:hyperlink r:id="rId1159">
        <w:r w:rsidR="00330118">
          <w:rPr>
            <w:sz w:val="16"/>
          </w:rPr>
          <w:t>&lt;http://noticias.pgr.mpf.gov.br/noticias/noticias-do-site/copy_of_meio-</w:t>
        </w:r>
      </w:hyperlink>
      <w:r w:rsidR="00330118">
        <w:rPr>
          <w:sz w:val="16"/>
        </w:rPr>
        <w:t xml:space="preserve"> ambiente-e-patrimonio-cultural/mpf-mg-j</w:t>
      </w:r>
      <w:r w:rsidR="00330118">
        <w:rPr>
          <w:sz w:val="16"/>
        </w:rPr>
        <w:t>ustica-obriga-icmbio-a- marcar-data-para-as-consultas-publicas-sobre-o-parque-nacional-da- serra-do-gandarela&gt;. Acesso em: 30 dez. 2011.</w:t>
      </w:r>
    </w:p>
    <w:p w:rsidR="00D81F69" w:rsidRDefault="00330118">
      <w:pPr>
        <w:spacing w:before="3" w:line="312" w:lineRule="auto"/>
        <w:ind w:left="100" w:right="192"/>
        <w:jc w:val="both"/>
        <w:rPr>
          <w:sz w:val="16"/>
        </w:rPr>
      </w:pPr>
      <w:r>
        <w:rPr>
          <w:sz w:val="16"/>
        </w:rPr>
        <w:t xml:space="preserve">PORTO, Bruno. Serra do Gandarela: mina ou parque nacional. Hoje em Dia, Economia e Negócios, 28 out. 2010. Disponível </w:t>
      </w:r>
      <w:hyperlink r:id="rId1160">
        <w:r>
          <w:rPr>
            <w:sz w:val="16"/>
          </w:rPr>
          <w:t xml:space="preserve">em:&lt;http://www.hojeemdia.com.br/noticias/economia-e- </w:t>
        </w:r>
      </w:hyperlink>
      <w:r>
        <w:rPr>
          <w:sz w:val="16"/>
        </w:rPr>
        <w:t>negocios/serra-do-gandarela-mina-ou-parque-nacional-1.193661&gt;. Acesso em: 30 dez. 2011.</w:t>
      </w:r>
    </w:p>
    <w:p w:rsidR="00D81F69" w:rsidRDefault="00330118">
      <w:pPr>
        <w:tabs>
          <w:tab w:val="left" w:pos="642"/>
        </w:tabs>
        <w:spacing w:before="5" w:line="312" w:lineRule="auto"/>
        <w:ind w:left="100" w:right="191"/>
        <w:jc w:val="both"/>
        <w:rPr>
          <w:sz w:val="16"/>
        </w:rPr>
      </w:pPr>
      <w:r>
        <w:rPr>
          <w:sz w:val="16"/>
          <w:u w:val="single"/>
        </w:rPr>
        <w:t xml:space="preserve"> </w:t>
      </w:r>
      <w:r>
        <w:rPr>
          <w:sz w:val="16"/>
          <w:u w:val="single"/>
        </w:rPr>
        <w:tab/>
      </w:r>
      <w:r>
        <w:rPr>
          <w:sz w:val="16"/>
        </w:rPr>
        <w:t xml:space="preserve">. Mineradora australiana desiste de instalar mina na Serra da </w:t>
      </w:r>
      <w:r>
        <w:rPr>
          <w:spacing w:val="5"/>
          <w:sz w:val="16"/>
        </w:rPr>
        <w:t xml:space="preserve">Gandarela. </w:t>
      </w:r>
      <w:r>
        <w:rPr>
          <w:spacing w:val="3"/>
          <w:sz w:val="16"/>
        </w:rPr>
        <w:t xml:space="preserve">Hoje </w:t>
      </w:r>
      <w:r>
        <w:rPr>
          <w:spacing w:val="2"/>
          <w:sz w:val="16"/>
        </w:rPr>
        <w:t xml:space="preserve">em </w:t>
      </w:r>
      <w:r>
        <w:rPr>
          <w:spacing w:val="3"/>
          <w:sz w:val="16"/>
        </w:rPr>
        <w:t xml:space="preserve">Dia, </w:t>
      </w:r>
      <w:r>
        <w:rPr>
          <w:spacing w:val="5"/>
          <w:sz w:val="16"/>
        </w:rPr>
        <w:t xml:space="preserve">Economia </w:t>
      </w:r>
      <w:r>
        <w:rPr>
          <w:sz w:val="16"/>
        </w:rPr>
        <w:t xml:space="preserve">e </w:t>
      </w:r>
      <w:r>
        <w:rPr>
          <w:spacing w:val="5"/>
          <w:sz w:val="16"/>
        </w:rPr>
        <w:t xml:space="preserve">Negócios, </w:t>
      </w:r>
      <w:r>
        <w:rPr>
          <w:spacing w:val="2"/>
          <w:sz w:val="16"/>
        </w:rPr>
        <w:t xml:space="preserve">24 </w:t>
      </w:r>
      <w:r>
        <w:rPr>
          <w:spacing w:val="3"/>
          <w:sz w:val="16"/>
        </w:rPr>
        <w:t xml:space="preserve">out. </w:t>
      </w:r>
      <w:r>
        <w:rPr>
          <w:spacing w:val="5"/>
          <w:sz w:val="16"/>
        </w:rPr>
        <w:t xml:space="preserve">2011. </w:t>
      </w:r>
      <w:r>
        <w:rPr>
          <w:sz w:val="16"/>
        </w:rPr>
        <w:t xml:space="preserve">Disponível em: </w:t>
      </w:r>
      <w:hyperlink r:id="rId1161">
        <w:r>
          <w:rPr>
            <w:sz w:val="16"/>
          </w:rPr>
          <w:t>&lt;http://www.hojeemdia.com.br/noticias/economia-e-</w:t>
        </w:r>
      </w:hyperlink>
      <w:r>
        <w:rPr>
          <w:sz w:val="16"/>
        </w:rPr>
        <w:t xml:space="preserve"> nego</w:t>
      </w:r>
      <w:r>
        <w:rPr>
          <w:sz w:val="16"/>
        </w:rPr>
        <w:t>cios/mineradora-australiana-desiste-de-instalar-mina-na-serra- da-gandarela-1.359111&gt;.</w:t>
      </w:r>
      <w:r>
        <w:rPr>
          <w:spacing w:val="16"/>
          <w:sz w:val="16"/>
        </w:rPr>
        <w:t xml:space="preserve"> </w:t>
      </w:r>
      <w:r>
        <w:rPr>
          <w:sz w:val="16"/>
        </w:rPr>
        <w:t>Acesso</w:t>
      </w:r>
      <w:r>
        <w:rPr>
          <w:spacing w:val="16"/>
          <w:sz w:val="16"/>
        </w:rPr>
        <w:t xml:space="preserve"> </w:t>
      </w:r>
      <w:r>
        <w:rPr>
          <w:sz w:val="16"/>
        </w:rPr>
        <w:t>em:</w:t>
      </w:r>
      <w:r>
        <w:rPr>
          <w:spacing w:val="16"/>
          <w:sz w:val="16"/>
        </w:rPr>
        <w:t xml:space="preserve"> </w:t>
      </w:r>
      <w:r>
        <w:rPr>
          <w:sz w:val="16"/>
        </w:rPr>
        <w:t>30</w:t>
      </w:r>
      <w:r>
        <w:rPr>
          <w:spacing w:val="16"/>
          <w:sz w:val="16"/>
        </w:rPr>
        <w:t xml:space="preserve"> </w:t>
      </w:r>
      <w:r>
        <w:rPr>
          <w:sz w:val="16"/>
        </w:rPr>
        <w:t>dez.</w:t>
      </w:r>
      <w:r>
        <w:rPr>
          <w:spacing w:val="16"/>
          <w:sz w:val="16"/>
        </w:rPr>
        <w:t xml:space="preserve"> </w:t>
      </w:r>
      <w:r>
        <w:rPr>
          <w:sz w:val="16"/>
        </w:rPr>
        <w:t>2011.</w:t>
      </w:r>
    </w:p>
    <w:p w:rsidR="00D81F69" w:rsidRDefault="00330118">
      <w:pPr>
        <w:spacing w:before="4" w:line="312" w:lineRule="auto"/>
        <w:ind w:left="100" w:right="174"/>
        <w:jc w:val="both"/>
        <w:rPr>
          <w:sz w:val="16"/>
        </w:rPr>
      </w:pPr>
      <w:r>
        <w:rPr>
          <w:sz w:val="16"/>
        </w:rPr>
        <w:t xml:space="preserve">PROJETO MANUELZÃO. Audiências públicas em Raposos e Caeté discutem a Mina Apolo, empreendimento da Vale. Grupo Ambiental  </w:t>
      </w:r>
      <w:r>
        <w:rPr>
          <w:spacing w:val="11"/>
          <w:sz w:val="16"/>
        </w:rPr>
        <w:t xml:space="preserve">de </w:t>
      </w:r>
      <w:r>
        <w:rPr>
          <w:spacing w:val="20"/>
          <w:sz w:val="16"/>
        </w:rPr>
        <w:t>Santa Bárbara,</w:t>
      </w:r>
      <w:r>
        <w:rPr>
          <w:spacing w:val="85"/>
          <w:sz w:val="16"/>
        </w:rPr>
        <w:t xml:space="preserve"> </w:t>
      </w:r>
      <w:r>
        <w:rPr>
          <w:spacing w:val="11"/>
          <w:sz w:val="16"/>
        </w:rPr>
        <w:t xml:space="preserve">11 </w:t>
      </w:r>
      <w:r>
        <w:rPr>
          <w:spacing w:val="17"/>
          <w:sz w:val="16"/>
        </w:rPr>
        <w:t xml:space="preserve">fev. </w:t>
      </w:r>
      <w:r>
        <w:rPr>
          <w:spacing w:val="20"/>
          <w:sz w:val="16"/>
        </w:rPr>
        <w:t xml:space="preserve">2010. </w:t>
      </w:r>
      <w:r>
        <w:rPr>
          <w:spacing w:val="21"/>
          <w:sz w:val="16"/>
        </w:rPr>
        <w:t>Disponível</w:t>
      </w:r>
      <w:r>
        <w:rPr>
          <w:spacing w:val="26"/>
          <w:sz w:val="16"/>
        </w:rPr>
        <w:t xml:space="preserve"> </w:t>
      </w:r>
      <w:r>
        <w:rPr>
          <w:spacing w:val="15"/>
          <w:sz w:val="16"/>
        </w:rPr>
        <w:t>em:</w:t>
      </w:r>
      <w:r>
        <w:rPr>
          <w:spacing w:val="-19"/>
          <w:sz w:val="16"/>
        </w:rPr>
        <w:t xml:space="preserve"> </w:t>
      </w:r>
    </w:p>
    <w:p w:rsidR="00D81F69" w:rsidRDefault="00D81F69">
      <w:pPr>
        <w:spacing w:before="2" w:line="312" w:lineRule="auto"/>
        <w:ind w:left="100" w:right="207"/>
        <w:jc w:val="both"/>
        <w:rPr>
          <w:sz w:val="16"/>
        </w:rPr>
      </w:pPr>
      <w:hyperlink r:id="rId1162">
        <w:r w:rsidR="00330118">
          <w:rPr>
            <w:sz w:val="16"/>
          </w:rPr>
          <w:t>&lt;http://www.onggasb.com.br/2010/02/audiencias-publicas-em-</w:t>
        </w:r>
      </w:hyperlink>
      <w:r w:rsidR="00330118">
        <w:rPr>
          <w:sz w:val="16"/>
        </w:rPr>
        <w:t xml:space="preserve"> raposos-e-caete.html&gt;. Acesso em: 30 dez. 2011.</w:t>
      </w:r>
    </w:p>
    <w:p w:rsidR="00D81F69" w:rsidRDefault="00330118">
      <w:pPr>
        <w:spacing w:before="2"/>
        <w:ind w:left="100"/>
        <w:jc w:val="both"/>
        <w:rPr>
          <w:sz w:val="16"/>
        </w:rPr>
      </w:pPr>
      <w:r>
        <w:rPr>
          <w:sz w:val="16"/>
        </w:rPr>
        <w:t>QUADRILATÉRO  FERRÍFERO  -   CENTRO  DE   ESTUD</w:t>
      </w:r>
      <w:r>
        <w:rPr>
          <w:sz w:val="16"/>
        </w:rPr>
        <w:t xml:space="preserve">OS </w:t>
      </w:r>
    </w:p>
    <w:p w:rsidR="00D81F69" w:rsidRDefault="00330118">
      <w:pPr>
        <w:spacing w:before="56"/>
        <w:ind w:left="100"/>
        <w:jc w:val="both"/>
        <w:rPr>
          <w:sz w:val="16"/>
        </w:rPr>
      </w:pPr>
      <w:r>
        <w:rPr>
          <w:sz w:val="16"/>
        </w:rPr>
        <w:t xml:space="preserve">AVANÇADOS.  O   que   é,   10   jul.  2010.  Disponível em: </w:t>
      </w:r>
    </w:p>
    <w:p w:rsidR="00D81F69" w:rsidRDefault="00D81F69">
      <w:pPr>
        <w:spacing w:before="56" w:line="312" w:lineRule="auto"/>
        <w:ind w:left="100" w:right="193"/>
        <w:jc w:val="both"/>
        <w:rPr>
          <w:sz w:val="16"/>
        </w:rPr>
      </w:pPr>
      <w:hyperlink r:id="rId1163">
        <w:r w:rsidR="00330118">
          <w:rPr>
            <w:sz w:val="16"/>
          </w:rPr>
          <w:t>&lt;http://www.qfe2050.ufop.br/?pg=o_que_e&gt;.</w:t>
        </w:r>
      </w:hyperlink>
      <w:r w:rsidR="00330118">
        <w:rPr>
          <w:sz w:val="16"/>
        </w:rPr>
        <w:t xml:space="preserve"> Acesso em: 23 fev. 2011.</w:t>
      </w:r>
    </w:p>
    <w:p w:rsidR="00D81F69" w:rsidRDefault="00330118">
      <w:pPr>
        <w:spacing w:before="1" w:line="312" w:lineRule="auto"/>
        <w:ind w:left="100" w:right="194"/>
        <w:jc w:val="both"/>
        <w:rPr>
          <w:sz w:val="16"/>
        </w:rPr>
      </w:pPr>
      <w:r>
        <w:rPr>
          <w:sz w:val="16"/>
        </w:rPr>
        <w:t>RESENDE, Alessandro Gomes. Análise da aplicabilidade do plano de fec</w:t>
      </w:r>
      <w:r>
        <w:rPr>
          <w:sz w:val="16"/>
        </w:rPr>
        <w:t>hamento de mina no plano de aproveitamento econômico, Ouro Preto, jul. 2009. Dissertação (Mestrado em Engenharia de Minas)- Universidade Federal de Ouro Preto, Ouro Preto. Disponível em:</w:t>
      </w:r>
    </w:p>
    <w:p w:rsidR="00D81F69" w:rsidRDefault="00D81F69">
      <w:pPr>
        <w:spacing w:before="4" w:line="312" w:lineRule="auto"/>
        <w:ind w:left="100" w:right="198"/>
        <w:jc w:val="both"/>
        <w:rPr>
          <w:sz w:val="16"/>
        </w:rPr>
      </w:pPr>
      <w:hyperlink r:id="rId1164">
        <w:r w:rsidR="00330118">
          <w:rPr>
            <w:sz w:val="16"/>
          </w:rPr>
          <w:t xml:space="preserve">&lt;http://www.tede.ufop.br/tde_arquivos/15/TDE-2009-09- </w:t>
        </w:r>
      </w:hyperlink>
      <w:r w:rsidR="00330118">
        <w:rPr>
          <w:sz w:val="16"/>
        </w:rPr>
        <w:t>09T132622Z355/Publico/diss%20alessandro%20gomes%20resende</w:t>
      </w:r>
    </w:p>
    <w:p w:rsidR="00D81F69" w:rsidRDefault="00330118">
      <w:pPr>
        <w:spacing w:before="1" w:line="312" w:lineRule="auto"/>
        <w:ind w:left="100" w:right="213"/>
        <w:jc w:val="both"/>
        <w:rPr>
          <w:sz w:val="16"/>
        </w:rPr>
      </w:pPr>
      <w:r>
        <w:rPr>
          <w:sz w:val="16"/>
        </w:rPr>
        <w:t>%20%20%20%20demin%20%20%20%20prot.pdf.&gt;. Acesso em 22 fev. 2011.</w:t>
      </w:r>
    </w:p>
    <w:p w:rsidR="00D81F69" w:rsidRDefault="00330118">
      <w:pPr>
        <w:tabs>
          <w:tab w:val="left" w:pos="2559"/>
          <w:tab w:val="left" w:pos="5063"/>
        </w:tabs>
        <w:spacing w:before="2" w:line="312" w:lineRule="auto"/>
        <w:ind w:left="100" w:right="200"/>
        <w:jc w:val="both"/>
        <w:rPr>
          <w:sz w:val="16"/>
        </w:rPr>
      </w:pPr>
      <w:r>
        <w:rPr>
          <w:spacing w:val="1"/>
          <w:sz w:val="16"/>
        </w:rPr>
        <w:t xml:space="preserve">REVISTA ECOLÓGICO. Avatar’ made </w:t>
      </w:r>
      <w:r>
        <w:rPr>
          <w:sz w:val="16"/>
        </w:rPr>
        <w:t xml:space="preserve">in </w:t>
      </w:r>
      <w:r>
        <w:rPr>
          <w:spacing w:val="1"/>
          <w:sz w:val="16"/>
        </w:rPr>
        <w:t xml:space="preserve">minas? Novo projeto </w:t>
      </w:r>
      <w:r>
        <w:rPr>
          <w:spacing w:val="2"/>
          <w:sz w:val="16"/>
        </w:rPr>
        <w:t xml:space="preserve">da </w:t>
      </w:r>
      <w:r>
        <w:rPr>
          <w:sz w:val="16"/>
        </w:rPr>
        <w:t>Vale causa polêmica na Serra do Gandarela, 28 jun. 2010. Disponível e</w:t>
      </w:r>
      <w:r>
        <w:rPr>
          <w:sz w:val="16"/>
        </w:rPr>
        <w:tab/>
        <w:t>m</w:t>
      </w:r>
      <w:r>
        <w:rPr>
          <w:sz w:val="16"/>
        </w:rPr>
        <w:tab/>
        <w:t>:</w:t>
      </w:r>
    </w:p>
    <w:p w:rsidR="00D81F69" w:rsidRDefault="00D81F69">
      <w:pPr>
        <w:spacing w:before="2" w:line="312" w:lineRule="auto"/>
        <w:ind w:left="100" w:right="217"/>
        <w:jc w:val="both"/>
        <w:rPr>
          <w:sz w:val="16"/>
        </w:rPr>
      </w:pPr>
      <w:hyperlink r:id="rId1165">
        <w:r w:rsidR="00330118">
          <w:rPr>
            <w:sz w:val="16"/>
          </w:rPr>
          <w:t>&lt;http://www.revistaecologico.com.br/materia.php?materia=Mjcz&amp;edica</w:t>
        </w:r>
      </w:hyperlink>
      <w:r w:rsidR="00330118">
        <w:rPr>
          <w:sz w:val="16"/>
        </w:rPr>
        <w:t xml:space="preserve"> o_id=54&gt;</w:t>
      </w:r>
      <w:r w:rsidR="00330118">
        <w:rPr>
          <w:sz w:val="16"/>
        </w:rPr>
        <w:t>. Acesso em: 30 dez. 2011.</w:t>
      </w:r>
    </w:p>
    <w:p w:rsidR="00D81F69" w:rsidRDefault="00330118">
      <w:pPr>
        <w:spacing w:before="2" w:line="312" w:lineRule="auto"/>
        <w:ind w:left="100" w:right="165"/>
        <w:jc w:val="both"/>
        <w:rPr>
          <w:sz w:val="16"/>
        </w:rPr>
      </w:pPr>
      <w:r>
        <w:rPr>
          <w:sz w:val="16"/>
        </w:rPr>
        <w:t xml:space="preserve">SARAIVA, Alessandra; TEREZA, Irany. Vale paga US$ 145 milhões </w:t>
      </w:r>
      <w:r>
        <w:rPr>
          <w:spacing w:val="5"/>
          <w:sz w:val="16"/>
        </w:rPr>
        <w:t xml:space="preserve">por </w:t>
      </w:r>
      <w:r>
        <w:rPr>
          <w:spacing w:val="6"/>
          <w:sz w:val="16"/>
        </w:rPr>
        <w:t xml:space="preserve">mina </w:t>
      </w:r>
      <w:r>
        <w:rPr>
          <w:spacing w:val="5"/>
          <w:sz w:val="16"/>
        </w:rPr>
        <w:t xml:space="preserve">que </w:t>
      </w:r>
      <w:r>
        <w:rPr>
          <w:spacing w:val="6"/>
          <w:sz w:val="16"/>
        </w:rPr>
        <w:t xml:space="preserve">vale </w:t>
      </w:r>
      <w:r>
        <w:rPr>
          <w:spacing w:val="5"/>
          <w:sz w:val="16"/>
        </w:rPr>
        <w:t xml:space="preserve">12 </w:t>
      </w:r>
      <w:r>
        <w:rPr>
          <w:spacing w:val="7"/>
          <w:sz w:val="16"/>
        </w:rPr>
        <w:t xml:space="preserve">vezes mais. </w:t>
      </w:r>
      <w:r>
        <w:rPr>
          <w:spacing w:val="5"/>
          <w:sz w:val="16"/>
        </w:rPr>
        <w:t xml:space="preserve">In: </w:t>
      </w:r>
      <w:r>
        <w:rPr>
          <w:spacing w:val="7"/>
          <w:sz w:val="16"/>
        </w:rPr>
        <w:t xml:space="preserve">Agência </w:t>
      </w:r>
      <w:r>
        <w:rPr>
          <w:spacing w:val="8"/>
          <w:sz w:val="16"/>
        </w:rPr>
        <w:t xml:space="preserve">Brasileira </w:t>
      </w:r>
      <w:r>
        <w:rPr>
          <w:spacing w:val="10"/>
          <w:sz w:val="16"/>
        </w:rPr>
        <w:t xml:space="preserve">de </w:t>
      </w:r>
      <w:r>
        <w:rPr>
          <w:spacing w:val="33"/>
          <w:sz w:val="16"/>
        </w:rPr>
        <w:t xml:space="preserve">Inteligência, </w:t>
      </w:r>
      <w:r>
        <w:rPr>
          <w:spacing w:val="17"/>
          <w:sz w:val="16"/>
        </w:rPr>
        <w:t xml:space="preserve">06 </w:t>
      </w:r>
      <w:r>
        <w:rPr>
          <w:spacing w:val="26"/>
          <w:sz w:val="16"/>
        </w:rPr>
        <w:t xml:space="preserve">mai. </w:t>
      </w:r>
      <w:r>
        <w:rPr>
          <w:spacing w:val="28"/>
          <w:sz w:val="16"/>
        </w:rPr>
        <w:t xml:space="preserve">2008. </w:t>
      </w:r>
      <w:r>
        <w:rPr>
          <w:spacing w:val="32"/>
          <w:sz w:val="16"/>
        </w:rPr>
        <w:t>Disponível</w:t>
      </w:r>
      <w:r>
        <w:rPr>
          <w:spacing w:val="31"/>
          <w:sz w:val="16"/>
        </w:rPr>
        <w:t xml:space="preserve"> </w:t>
      </w:r>
      <w:r>
        <w:rPr>
          <w:spacing w:val="23"/>
          <w:sz w:val="16"/>
        </w:rPr>
        <w:t>em:</w:t>
      </w:r>
      <w:r>
        <w:rPr>
          <w:spacing w:val="-7"/>
          <w:sz w:val="16"/>
        </w:rPr>
        <w:t xml:space="preserve"> </w:t>
      </w:r>
    </w:p>
    <w:p w:rsidR="00D81F69" w:rsidRDefault="00D81F69">
      <w:pPr>
        <w:spacing w:before="3" w:line="312" w:lineRule="auto"/>
        <w:ind w:left="100" w:right="190"/>
        <w:jc w:val="both"/>
        <w:rPr>
          <w:sz w:val="16"/>
        </w:rPr>
      </w:pPr>
      <w:hyperlink r:id="rId1166">
        <w:r w:rsidR="00330118">
          <w:rPr>
            <w:sz w:val="16"/>
          </w:rPr>
          <w:t>&lt;http://www.abin.gov.br/modules/articles/article.php?id=2534&gt;.</w:t>
        </w:r>
      </w:hyperlink>
      <w:r w:rsidR="00330118">
        <w:rPr>
          <w:sz w:val="16"/>
        </w:rPr>
        <w:t xml:space="preserve"> Acesso em: 22 fev. 2011.</w:t>
      </w:r>
    </w:p>
    <w:p w:rsidR="00D81F69" w:rsidRDefault="00330118">
      <w:pPr>
        <w:spacing w:before="1" w:line="312" w:lineRule="auto"/>
        <w:ind w:left="100" w:right="196"/>
        <w:jc w:val="both"/>
        <w:rPr>
          <w:sz w:val="16"/>
        </w:rPr>
      </w:pPr>
      <w:r>
        <w:rPr>
          <w:sz w:val="16"/>
        </w:rPr>
        <w:t xml:space="preserve">TRINDADE, Jaqueline Carvalho Dias. Paisagem e Desenvolvimento Econômico da Bacia do rio Piracicaba/MG. Itabira, 2007. Disponível em: </w:t>
      </w:r>
      <w:hyperlink r:id="rId1167">
        <w:r>
          <w:rPr>
            <w:sz w:val="16"/>
          </w:rPr>
          <w:t>&lt;http://www.funcesi.br/Portals/1/monografia%20geografia.pdf&gt;.</w:t>
        </w:r>
      </w:hyperlink>
      <w:r>
        <w:rPr>
          <w:sz w:val="16"/>
        </w:rPr>
        <w:t xml:space="preserve"> Acesso em: 23 dez. 2011.</w:t>
      </w:r>
    </w:p>
    <w:p w:rsidR="00D81F69" w:rsidRDefault="00330118">
      <w:pPr>
        <w:spacing w:before="3"/>
        <w:ind w:left="100"/>
        <w:jc w:val="both"/>
        <w:rPr>
          <w:sz w:val="16"/>
        </w:rPr>
      </w:pPr>
      <w:r>
        <w:rPr>
          <w:spacing w:val="23"/>
          <w:sz w:val="16"/>
        </w:rPr>
        <w:t xml:space="preserve">VALE. </w:t>
      </w:r>
      <w:r>
        <w:rPr>
          <w:spacing w:val="25"/>
          <w:sz w:val="16"/>
        </w:rPr>
        <w:t>Projetos.</w:t>
      </w:r>
      <w:r>
        <w:rPr>
          <w:spacing w:val="95"/>
          <w:sz w:val="16"/>
        </w:rPr>
        <w:t xml:space="preserve"> </w:t>
      </w:r>
      <w:r>
        <w:rPr>
          <w:spacing w:val="25"/>
          <w:sz w:val="16"/>
        </w:rPr>
        <w:t xml:space="preserve">Brasil. Apolo. </w:t>
      </w:r>
      <w:r>
        <w:rPr>
          <w:spacing w:val="26"/>
          <w:sz w:val="16"/>
        </w:rPr>
        <w:t>Disponível</w:t>
      </w:r>
      <w:r>
        <w:rPr>
          <w:spacing w:val="91"/>
          <w:sz w:val="16"/>
        </w:rPr>
        <w:t xml:space="preserve"> </w:t>
      </w:r>
      <w:r>
        <w:rPr>
          <w:spacing w:val="20"/>
          <w:sz w:val="16"/>
        </w:rPr>
        <w:t>em:</w:t>
      </w:r>
      <w:r>
        <w:rPr>
          <w:spacing w:val="-13"/>
          <w:sz w:val="16"/>
        </w:rPr>
        <w:t xml:space="preserve"> </w:t>
      </w:r>
    </w:p>
    <w:p w:rsidR="00D81F69" w:rsidRDefault="00D81F69">
      <w:pPr>
        <w:spacing w:before="57" w:line="312" w:lineRule="auto"/>
        <w:ind w:left="100" w:right="196"/>
        <w:jc w:val="both"/>
        <w:rPr>
          <w:sz w:val="16"/>
        </w:rPr>
      </w:pPr>
      <w:hyperlink r:id="rId1168">
        <w:r w:rsidR="00330118">
          <w:rPr>
            <w:sz w:val="16"/>
          </w:rPr>
          <w:t>&lt;http://www.vale.com.br/pt-br/o-que-fazemos/mineracao/minerio-de-</w:t>
        </w:r>
      </w:hyperlink>
      <w:r w:rsidR="00330118">
        <w:rPr>
          <w:sz w:val="16"/>
        </w:rPr>
        <w:t xml:space="preserve"> ferro-e-pelotas/projetos/paginas/default.aspx&gt;. Acesso em: 30 dez. 2011.</w:t>
      </w:r>
    </w:p>
    <w:p w:rsidR="00D81F69" w:rsidRDefault="00330118">
      <w:pPr>
        <w:spacing w:before="2" w:line="312" w:lineRule="auto"/>
        <w:ind w:left="100" w:right="167"/>
        <w:jc w:val="both"/>
        <w:rPr>
          <w:sz w:val="16"/>
        </w:rPr>
      </w:pPr>
      <w:r>
        <w:rPr>
          <w:spacing w:val="3"/>
          <w:sz w:val="16"/>
        </w:rPr>
        <w:t xml:space="preserve">VALE. </w:t>
      </w:r>
      <w:r>
        <w:rPr>
          <w:spacing w:val="2"/>
          <w:sz w:val="16"/>
        </w:rPr>
        <w:t xml:space="preserve">Vale </w:t>
      </w:r>
      <w:r>
        <w:rPr>
          <w:spacing w:val="3"/>
          <w:sz w:val="16"/>
        </w:rPr>
        <w:t xml:space="preserve">formaliza investimentos </w:t>
      </w:r>
      <w:r>
        <w:rPr>
          <w:spacing w:val="1"/>
          <w:sz w:val="16"/>
        </w:rPr>
        <w:t xml:space="preserve">de R$ </w:t>
      </w:r>
      <w:r>
        <w:rPr>
          <w:spacing w:val="2"/>
          <w:sz w:val="16"/>
        </w:rPr>
        <w:t xml:space="preserve">9,4  </w:t>
      </w:r>
      <w:r>
        <w:rPr>
          <w:spacing w:val="3"/>
          <w:sz w:val="16"/>
        </w:rPr>
        <w:t xml:space="preserve">bilhões </w:t>
      </w:r>
      <w:r>
        <w:rPr>
          <w:spacing w:val="1"/>
          <w:sz w:val="16"/>
        </w:rPr>
        <w:t xml:space="preserve">em  </w:t>
      </w:r>
      <w:r>
        <w:rPr>
          <w:spacing w:val="5"/>
          <w:sz w:val="16"/>
        </w:rPr>
        <w:t xml:space="preserve">Minas </w:t>
      </w:r>
      <w:r>
        <w:rPr>
          <w:spacing w:val="2"/>
          <w:sz w:val="16"/>
        </w:rPr>
        <w:t xml:space="preserve">G e r a i s </w:t>
      </w:r>
      <w:r>
        <w:rPr>
          <w:sz w:val="16"/>
        </w:rPr>
        <w:t xml:space="preserve">. 5 </w:t>
      </w:r>
      <w:r>
        <w:rPr>
          <w:spacing w:val="2"/>
          <w:sz w:val="16"/>
        </w:rPr>
        <w:t xml:space="preserve">m a r </w:t>
      </w:r>
      <w:r>
        <w:rPr>
          <w:sz w:val="16"/>
        </w:rPr>
        <w:t xml:space="preserve">. </w:t>
      </w:r>
      <w:r>
        <w:rPr>
          <w:spacing w:val="2"/>
          <w:sz w:val="16"/>
        </w:rPr>
        <w:t xml:space="preserve">2 0 1 0 </w:t>
      </w:r>
      <w:r>
        <w:rPr>
          <w:sz w:val="16"/>
        </w:rPr>
        <w:t xml:space="preserve">. </w:t>
      </w:r>
      <w:r>
        <w:rPr>
          <w:spacing w:val="2"/>
          <w:sz w:val="16"/>
        </w:rPr>
        <w:t xml:space="preserve">D i s p o n í v e </w:t>
      </w:r>
      <w:r>
        <w:rPr>
          <w:sz w:val="16"/>
        </w:rPr>
        <w:t xml:space="preserve">l </w:t>
      </w:r>
      <w:r>
        <w:rPr>
          <w:spacing w:val="2"/>
          <w:sz w:val="16"/>
        </w:rPr>
        <w:t xml:space="preserve">e m : </w:t>
      </w:r>
      <w:r>
        <w:rPr>
          <w:sz w:val="16"/>
        </w:rPr>
        <w:t xml:space="preserve">&lt; </w:t>
      </w:r>
      <w:hyperlink r:id="rId1169">
        <w:r>
          <w:rPr>
            <w:sz w:val="16"/>
          </w:rPr>
          <w:t>http://saladeimprensa.vale.com/pt/releases/interna.asp?id=19583&gt;.</w:t>
        </w:r>
      </w:hyperlink>
      <w:r>
        <w:rPr>
          <w:sz w:val="16"/>
        </w:rPr>
        <w:t xml:space="preserve"> Acesso em: 29 nov.</w:t>
      </w:r>
      <w:r>
        <w:rPr>
          <w:spacing w:val="22"/>
          <w:sz w:val="16"/>
        </w:rPr>
        <w:t xml:space="preserve"> </w:t>
      </w:r>
      <w:r>
        <w:rPr>
          <w:sz w:val="16"/>
        </w:rPr>
        <w:t>2012.</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228" w:space="242"/>
            <w:col w:w="5310"/>
          </w:cols>
        </w:sectPr>
      </w:pPr>
    </w:p>
    <w:p w:rsidR="00D81F69" w:rsidRDefault="00330118">
      <w:pPr>
        <w:pStyle w:val="Heading1"/>
        <w:spacing w:line="208" w:lineRule="auto"/>
      </w:pPr>
      <w:r>
        <w:lastRenderedPageBreak/>
        <w:t>Exploração do minério de fe</w:t>
      </w:r>
      <w:r>
        <w:t>rro em Serra Azul (MG) requer gestão ambiental eficiente</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7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658"/>
        <w:rPr>
          <w:i/>
          <w:sz w:val="14"/>
        </w:rPr>
      </w:pPr>
      <w:r>
        <w:rPr>
          <w:i/>
          <w:sz w:val="14"/>
        </w:rPr>
        <w:t>MG - Brumadinho MG - Igarapé</w:t>
      </w:r>
    </w:p>
    <w:p w:rsidR="00D81F69" w:rsidRDefault="00330118">
      <w:pPr>
        <w:spacing w:before="2" w:line="312" w:lineRule="auto"/>
        <w:ind w:left="135" w:right="852"/>
        <w:rPr>
          <w:i/>
          <w:sz w:val="14"/>
        </w:rPr>
      </w:pPr>
      <w:r>
        <w:rPr>
          <w:i/>
          <w:sz w:val="14"/>
        </w:rPr>
        <w:t>MG - Itatiaiuçu MG - Itaúna</w:t>
      </w:r>
    </w:p>
    <w:p w:rsidR="00D81F69" w:rsidRDefault="00330118">
      <w:pPr>
        <w:spacing w:before="1"/>
        <w:ind w:left="135"/>
        <w:rPr>
          <w:i/>
          <w:sz w:val="14"/>
        </w:rPr>
      </w:pPr>
      <w:r>
        <w:rPr>
          <w:i/>
          <w:sz w:val="14"/>
        </w:rPr>
        <w:t>MG - Mateus Leme</w:t>
      </w:r>
    </w:p>
    <w:p w:rsidR="00D81F69" w:rsidRDefault="00330118">
      <w:pPr>
        <w:spacing w:before="49"/>
        <w:ind w:left="135"/>
        <w:rPr>
          <w:i/>
          <w:sz w:val="14"/>
        </w:rPr>
      </w:pPr>
      <w:r>
        <w:rPr>
          <w:i/>
          <w:sz w:val="14"/>
        </w:rPr>
        <w:t>MG - São Joaquim de Bicas</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-20,09361</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-44,08305</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5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MMX e Usiminas veem na região de Serra Azul, no Quadrilátero Ferrífero, onde exploram e beneficiam minério de ferro, possibilidades de expandir seus negócios. Como a região já apresenta um grande passivo ambiental, teme-se que, com as expansões, ocorram po</w:t>
      </w:r>
      <w:r>
        <w:rPr>
          <w:i/>
          <w:sz w:val="16"/>
        </w:rPr>
        <w:t>ssíveis contaminações nas bacias dos rios Manso e Serra Azul, responsáveis por parte do abastecimento da Região Metropolitana de Belo Horizonte.</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5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11"/>
      </w:pPr>
      <w:r>
        <w:t xml:space="preserve">adequado, formando pilhas sem sistemas de drenagem e sem compactação. A prática gerou o carreamento destes </w:t>
      </w:r>
      <w:r>
        <w:t xml:space="preserve">rejeitos para os córregos Quéias e Pica-Pau. O processo de erosão das pilhas de rejeito contribuiu ainda mais para o assoreamento dos córregos. Por esse motivo, a empresa é considerada uma das grandes responsáveis pelo passivo ambiental da região (VIEIRA, </w:t>
      </w:r>
      <w:r>
        <w:t>2010).</w:t>
      </w:r>
    </w:p>
    <w:p w:rsidR="00D81F69" w:rsidRDefault="00330118">
      <w:pPr>
        <w:pStyle w:val="Corpodetexto"/>
        <w:spacing w:before="136" w:line="312" w:lineRule="auto"/>
        <w:ind w:left="135" w:right="184"/>
      </w:pPr>
      <w:r>
        <w:t>Também lavravam minério de ferro, em Serra Azul, a AVG Mineração Ltda. e a Mineradora Minas Gerais Ltda. (Minerminas), ambas adquiridas pela MMX (VIEIRA, 2010). A AVG estabeleceu-se na região, em 1987, e a Minerminas, em 1999 (FEAM, 2006 apud VIEIRA</w:t>
      </w:r>
      <w:r>
        <w:t>, 2010).</w:t>
      </w:r>
    </w:p>
    <w:p w:rsidR="00D81F69" w:rsidRDefault="00D81F69">
      <w:pPr>
        <w:spacing w:line="312" w:lineRule="auto"/>
        <w:sectPr w:rsidR="00D81F69">
          <w:type w:val="continuous"/>
          <w:pgSz w:w="11900" w:h="16840"/>
          <w:pgMar w:top="720" w:right="500" w:bottom="280" w:left="620" w:header="720" w:footer="720" w:gutter="0"/>
          <w:cols w:num="3" w:space="720" w:equalWidth="0">
            <w:col w:w="1918" w:space="82"/>
            <w:col w:w="3120" w:space="315"/>
            <w:col w:w="5345"/>
          </w:cols>
        </w:sectPr>
      </w:pPr>
    </w:p>
    <w:p w:rsidR="00D81F69" w:rsidRDefault="00330118">
      <w:pPr>
        <w:pStyle w:val="Heading4"/>
        <w:spacing w:before="58"/>
      </w:pPr>
      <w:r>
        <w:lastRenderedPageBreak/>
        <w:t>APRESENTAÇÃO DE CASO</w:t>
      </w:r>
    </w:p>
    <w:p w:rsidR="00D81F69" w:rsidRDefault="00330118">
      <w:pPr>
        <w:pStyle w:val="Corpodetexto"/>
        <w:spacing w:before="171" w:line="312" w:lineRule="auto"/>
        <w:ind w:right="40"/>
      </w:pPr>
      <w:r>
        <w:t>Serra Azul, também chamada de Serra das Farofas ou Serra do Itatiauçu, localiza-se na porção oeste do Quadrilátero Ferrífero, em Minas Gerais, uma das mais importantes províncias minerais produt</w:t>
      </w:r>
      <w:r>
        <w:t xml:space="preserve">ivas do país. Além de minério de </w:t>
      </w:r>
      <w:hyperlink r:id="rId1170">
        <w:r>
          <w:t>ferro,</w:t>
        </w:r>
      </w:hyperlink>
      <w:r>
        <w:t xml:space="preserve"> o Quadrilátero contém reservas de ouro, calcário, bauxita, </w:t>
      </w:r>
      <w:hyperlink r:id="rId1171">
        <w:r>
          <w:t>manganês,</w:t>
        </w:r>
      </w:hyperlink>
      <w:r>
        <w:t xml:space="preserve"> argila, caulim, dentre outros minerais (PRADO FILHO; SOUZA, 2004).</w:t>
      </w:r>
    </w:p>
    <w:p w:rsidR="00D81F69" w:rsidRDefault="00330118">
      <w:pPr>
        <w:pStyle w:val="Corpodetexto"/>
        <w:spacing w:before="136" w:line="312" w:lineRule="auto"/>
        <w:ind w:right="44"/>
      </w:pPr>
      <w:r>
        <w:t>Apesar de várias cidades do Quadrilátero terem surgido e crescido em função da mineração, a atividade é responsável por vários impactos ambientais na regiã</w:t>
      </w:r>
      <w:r>
        <w:t>o. Um dos maiores verificados, além da degradação da paisagem, é o carreamento de sólidos para as calhas dos rios e córregos, provocado, em especial, pela mineração de ferro (PRADO FILHO; SOUZA, 2004). Em Serra Azul, a situação não é diferente (VIEIRA, 201</w:t>
      </w:r>
      <w:r>
        <w:t>0).</w:t>
      </w:r>
    </w:p>
    <w:p w:rsidR="00D81F69" w:rsidRDefault="00330118">
      <w:pPr>
        <w:pStyle w:val="Corpodetexto"/>
        <w:spacing w:before="138" w:line="312" w:lineRule="auto"/>
        <w:ind w:right="38"/>
      </w:pPr>
      <w:r>
        <w:rPr>
          <w:spacing w:val="7"/>
        </w:rPr>
        <w:t xml:space="preserve">Serra </w:t>
      </w:r>
      <w:r>
        <w:rPr>
          <w:spacing w:val="6"/>
        </w:rPr>
        <w:t xml:space="preserve">Azul fica </w:t>
      </w:r>
      <w:r>
        <w:rPr>
          <w:spacing w:val="5"/>
        </w:rPr>
        <w:t xml:space="preserve">na </w:t>
      </w:r>
      <w:r>
        <w:rPr>
          <w:spacing w:val="7"/>
        </w:rPr>
        <w:t xml:space="preserve">divisa </w:t>
      </w:r>
      <w:r>
        <w:rPr>
          <w:spacing w:val="5"/>
        </w:rPr>
        <w:t xml:space="preserve">dos </w:t>
      </w:r>
      <w:r>
        <w:rPr>
          <w:spacing w:val="8"/>
        </w:rPr>
        <w:t xml:space="preserve">municípios </w:t>
      </w:r>
      <w:r>
        <w:rPr>
          <w:spacing w:val="5"/>
        </w:rPr>
        <w:t xml:space="preserve">de </w:t>
      </w:r>
      <w:r>
        <w:rPr>
          <w:spacing w:val="10"/>
        </w:rPr>
        <w:t xml:space="preserve">Itatiaiuçu, </w:t>
      </w:r>
      <w:r>
        <w:t>Brumadinho, Itaúna, Mateus Leme, Igarapé e São Joaquim das Bicas. Trata-se de uma região rica em minério de ferro e também de um importante divisor de águas, pois separa as bacias do Manso e de Se</w:t>
      </w:r>
      <w:r>
        <w:t xml:space="preserve">rra Azul, que integram sistemas de </w:t>
      </w:r>
      <w:r>
        <w:rPr>
          <w:spacing w:val="1"/>
        </w:rPr>
        <w:t xml:space="preserve">abastecimento </w:t>
      </w:r>
      <w:r>
        <w:t xml:space="preserve">de </w:t>
      </w:r>
      <w:r>
        <w:rPr>
          <w:spacing w:val="1"/>
        </w:rPr>
        <w:t xml:space="preserve">água </w:t>
      </w:r>
      <w:r>
        <w:t xml:space="preserve">da </w:t>
      </w:r>
      <w:r>
        <w:rPr>
          <w:spacing w:val="1"/>
        </w:rPr>
        <w:t xml:space="preserve">Companhia </w:t>
      </w:r>
      <w:r>
        <w:t xml:space="preserve">de </w:t>
      </w:r>
      <w:r>
        <w:rPr>
          <w:spacing w:val="1"/>
        </w:rPr>
        <w:t xml:space="preserve">Saneamento </w:t>
      </w:r>
      <w:r>
        <w:rPr>
          <w:spacing w:val="2"/>
        </w:rPr>
        <w:t xml:space="preserve">de </w:t>
      </w:r>
      <w:r>
        <w:rPr>
          <w:spacing w:val="1"/>
        </w:rPr>
        <w:t xml:space="preserve">Minas Gerais (Copasa), responsável </w:t>
      </w:r>
      <w:r>
        <w:t xml:space="preserve">por </w:t>
      </w:r>
      <w:r>
        <w:rPr>
          <w:spacing w:val="1"/>
        </w:rPr>
        <w:t xml:space="preserve">cerca </w:t>
      </w:r>
      <w:r>
        <w:t xml:space="preserve">de 33% </w:t>
      </w:r>
      <w:r>
        <w:rPr>
          <w:spacing w:val="2"/>
        </w:rPr>
        <w:t xml:space="preserve">do </w:t>
      </w:r>
      <w:r>
        <w:rPr>
          <w:spacing w:val="1"/>
        </w:rPr>
        <w:t xml:space="preserve">abastecimento </w:t>
      </w:r>
      <w:r>
        <w:t xml:space="preserve">da </w:t>
      </w:r>
      <w:r>
        <w:rPr>
          <w:spacing w:val="1"/>
        </w:rPr>
        <w:t xml:space="preserve">Região Metropolitana </w:t>
      </w:r>
      <w:r>
        <w:t xml:space="preserve">de </w:t>
      </w:r>
      <w:r>
        <w:rPr>
          <w:spacing w:val="1"/>
        </w:rPr>
        <w:t xml:space="preserve">Belo </w:t>
      </w:r>
      <w:r>
        <w:rPr>
          <w:spacing w:val="2"/>
        </w:rPr>
        <w:t xml:space="preserve">Horizonte </w:t>
      </w:r>
      <w:r>
        <w:rPr>
          <w:spacing w:val="1"/>
        </w:rPr>
        <w:t>(RMBH)</w:t>
      </w:r>
      <w:r>
        <w:rPr>
          <w:spacing w:val="21"/>
        </w:rPr>
        <w:t xml:space="preserve"> </w:t>
      </w:r>
      <w:r>
        <w:rPr>
          <w:spacing w:val="1"/>
        </w:rPr>
        <w:t>(FEAM,</w:t>
      </w:r>
      <w:r>
        <w:rPr>
          <w:spacing w:val="21"/>
        </w:rPr>
        <w:t xml:space="preserve"> </w:t>
      </w:r>
      <w:r>
        <w:rPr>
          <w:spacing w:val="1"/>
        </w:rPr>
        <w:t>2006</w:t>
      </w:r>
      <w:r>
        <w:rPr>
          <w:spacing w:val="21"/>
        </w:rPr>
        <w:t xml:space="preserve"> </w:t>
      </w:r>
      <w:r>
        <w:rPr>
          <w:spacing w:val="1"/>
        </w:rPr>
        <w:t>apud</w:t>
      </w:r>
      <w:r>
        <w:rPr>
          <w:spacing w:val="21"/>
        </w:rPr>
        <w:t xml:space="preserve"> </w:t>
      </w:r>
      <w:r>
        <w:rPr>
          <w:spacing w:val="1"/>
        </w:rPr>
        <w:t>VIEIRA,</w:t>
      </w:r>
      <w:r>
        <w:rPr>
          <w:spacing w:val="21"/>
        </w:rPr>
        <w:t xml:space="preserve"> </w:t>
      </w:r>
      <w:r>
        <w:rPr>
          <w:spacing w:val="2"/>
        </w:rPr>
        <w:t>2010).</w:t>
      </w:r>
    </w:p>
    <w:p w:rsidR="00D81F69" w:rsidRDefault="00330118">
      <w:pPr>
        <w:pStyle w:val="Corpodetexto"/>
        <w:spacing w:before="138" w:line="312" w:lineRule="auto"/>
        <w:ind w:right="43"/>
      </w:pPr>
      <w:r>
        <w:t>Dentre as mineradoras estabelecidas, hoje, em Serra Azul, destacam-se a Mineração Usiminas, do Grupo Usiminas, e a Mineração Metálicos X (MMX), do Grupo EBX (PORTOS E NAVIOS, 2011), mas a explotação de minério de ferro na região ocorre desde a década de 19</w:t>
      </w:r>
      <w:r>
        <w:t>40.</w:t>
      </w:r>
    </w:p>
    <w:p w:rsidR="00D81F69" w:rsidRDefault="00330118">
      <w:pPr>
        <w:pStyle w:val="Corpodetexto"/>
        <w:spacing w:before="134" w:line="312" w:lineRule="auto"/>
        <w:ind w:right="54"/>
      </w:pPr>
      <w:r>
        <w:t>A Empresa de Mineração e Terraplanagem (Emicon) começou a lavrar e beneficiar minério de ferro (itabirito) em Serra Azul, no local conhecido como Fazenda dos Quéias, em 1975 (FEAM, 2006 apud VIEIRA, 2010). A lavra era realizada a céu aberto e a empresa</w:t>
      </w:r>
      <w:r>
        <w:t xml:space="preserve"> dispunha os rejeitos sem o controle</w:t>
      </w:r>
    </w:p>
    <w:p w:rsidR="00D81F69" w:rsidRDefault="00330118">
      <w:pPr>
        <w:pStyle w:val="Corpodetexto"/>
        <w:spacing w:before="135" w:line="312" w:lineRule="auto"/>
        <w:ind w:right="192"/>
      </w:pPr>
      <w:r>
        <w:br w:type="column"/>
      </w:r>
      <w:r>
        <w:rPr>
          <w:spacing w:val="1"/>
        </w:rPr>
        <w:lastRenderedPageBreak/>
        <w:t xml:space="preserve">Para resolver </w:t>
      </w:r>
      <w:r>
        <w:t xml:space="preserve">o </w:t>
      </w:r>
      <w:r>
        <w:rPr>
          <w:spacing w:val="1"/>
        </w:rPr>
        <w:t xml:space="preserve">passivo ambiental deixado pela Emicon, </w:t>
      </w:r>
      <w:r>
        <w:t xml:space="preserve">o </w:t>
      </w:r>
      <w:r>
        <w:rPr>
          <w:spacing w:val="3"/>
        </w:rPr>
        <w:t xml:space="preserve">Ministério Público </w:t>
      </w:r>
      <w:r>
        <w:rPr>
          <w:spacing w:val="1"/>
        </w:rPr>
        <w:t xml:space="preserve">do </w:t>
      </w:r>
      <w:r>
        <w:rPr>
          <w:spacing w:val="3"/>
        </w:rPr>
        <w:t xml:space="preserve">Estado </w:t>
      </w:r>
      <w:r>
        <w:rPr>
          <w:spacing w:val="1"/>
        </w:rPr>
        <w:t xml:space="preserve">de </w:t>
      </w:r>
      <w:r>
        <w:rPr>
          <w:spacing w:val="3"/>
        </w:rPr>
        <w:t xml:space="preserve">Minas Gerais firmou, </w:t>
      </w:r>
      <w:r>
        <w:rPr>
          <w:spacing w:val="5"/>
        </w:rPr>
        <w:t xml:space="preserve">em </w:t>
      </w:r>
      <w:r>
        <w:rPr>
          <w:spacing w:val="1"/>
        </w:rPr>
        <w:t xml:space="preserve">2007, </w:t>
      </w:r>
      <w:r>
        <w:t xml:space="preserve">um </w:t>
      </w:r>
      <w:r>
        <w:rPr>
          <w:spacing w:val="1"/>
        </w:rPr>
        <w:t xml:space="preserve">Termo </w:t>
      </w:r>
      <w:r>
        <w:t xml:space="preserve">de </w:t>
      </w:r>
      <w:r>
        <w:rPr>
          <w:spacing w:val="1"/>
        </w:rPr>
        <w:t xml:space="preserve">Ajustamento </w:t>
      </w:r>
      <w:r>
        <w:t xml:space="preserve">de </w:t>
      </w:r>
      <w:r>
        <w:rPr>
          <w:spacing w:val="1"/>
        </w:rPr>
        <w:t xml:space="preserve">Conduta (TAC) </w:t>
      </w:r>
      <w:r>
        <w:t xml:space="preserve">com a </w:t>
      </w:r>
      <w:r>
        <w:rPr>
          <w:spacing w:val="3"/>
        </w:rPr>
        <w:t xml:space="preserve">empresa. </w:t>
      </w:r>
      <w:r>
        <w:rPr>
          <w:spacing w:val="2"/>
        </w:rPr>
        <w:t xml:space="preserve">Além </w:t>
      </w:r>
      <w:r>
        <w:rPr>
          <w:spacing w:val="1"/>
        </w:rPr>
        <w:t xml:space="preserve">de </w:t>
      </w:r>
      <w:r>
        <w:rPr>
          <w:spacing w:val="3"/>
        </w:rPr>
        <w:t xml:space="preserve">proibi-la </w:t>
      </w:r>
      <w:r>
        <w:rPr>
          <w:spacing w:val="1"/>
        </w:rPr>
        <w:t xml:space="preserve">de </w:t>
      </w:r>
      <w:r>
        <w:rPr>
          <w:spacing w:val="3"/>
        </w:rPr>
        <w:t xml:space="preserve">lavrar </w:t>
      </w:r>
      <w:r>
        <w:t xml:space="preserve">a </w:t>
      </w:r>
      <w:r>
        <w:rPr>
          <w:spacing w:val="3"/>
        </w:rPr>
        <w:t xml:space="preserve">região </w:t>
      </w:r>
      <w:r>
        <w:rPr>
          <w:spacing w:val="5"/>
        </w:rPr>
        <w:t xml:space="preserve">(FONSECA, </w:t>
      </w:r>
      <w:r>
        <w:rPr>
          <w:spacing w:val="10"/>
        </w:rPr>
        <w:t xml:space="preserve">2011), </w:t>
      </w:r>
      <w:r>
        <w:t xml:space="preserve">o </w:t>
      </w:r>
      <w:r>
        <w:rPr>
          <w:spacing w:val="7"/>
        </w:rPr>
        <w:t xml:space="preserve">TAC </w:t>
      </w:r>
      <w:r>
        <w:rPr>
          <w:spacing w:val="10"/>
        </w:rPr>
        <w:t xml:space="preserve">previu </w:t>
      </w:r>
      <w:r>
        <w:t xml:space="preserve">a </w:t>
      </w:r>
      <w:r>
        <w:rPr>
          <w:spacing w:val="10"/>
        </w:rPr>
        <w:t xml:space="preserve">realização </w:t>
      </w:r>
      <w:r>
        <w:rPr>
          <w:spacing w:val="5"/>
        </w:rPr>
        <w:t xml:space="preserve">de um </w:t>
      </w:r>
      <w:r>
        <w:rPr>
          <w:spacing w:val="10"/>
        </w:rPr>
        <w:t xml:space="preserve">Projeto </w:t>
      </w:r>
      <w:r>
        <w:rPr>
          <w:spacing w:val="11"/>
        </w:rPr>
        <w:t xml:space="preserve">de </w:t>
      </w:r>
      <w:r>
        <w:rPr>
          <w:spacing w:val="5"/>
        </w:rPr>
        <w:t xml:space="preserve">Recuperação </w:t>
      </w:r>
      <w:r>
        <w:rPr>
          <w:spacing w:val="2"/>
        </w:rPr>
        <w:t xml:space="preserve">de </w:t>
      </w:r>
      <w:r>
        <w:rPr>
          <w:spacing w:val="5"/>
        </w:rPr>
        <w:t xml:space="preserve">Área Degradada (PRAD) </w:t>
      </w:r>
      <w:r>
        <w:rPr>
          <w:spacing w:val="3"/>
        </w:rPr>
        <w:t xml:space="preserve">dos </w:t>
      </w:r>
      <w:r>
        <w:rPr>
          <w:spacing w:val="6"/>
        </w:rPr>
        <w:t xml:space="preserve">córregos </w:t>
      </w:r>
      <w:r>
        <w:t xml:space="preserve">Quéias e Pica-Pau; a recuperação de duas barragens e seis diques, de propriedade da Emicon; e a recuperação das áreas onde estavam localizadas as </w:t>
      </w:r>
      <w:r>
        <w:t xml:space="preserve">pilhas de rejeitos, para garantir a qualidade das águas dos ribeirões que deságuam no Sistema </w:t>
      </w:r>
      <w:r>
        <w:rPr>
          <w:spacing w:val="2"/>
        </w:rPr>
        <w:t xml:space="preserve">de </w:t>
      </w:r>
      <w:r>
        <w:rPr>
          <w:spacing w:val="5"/>
        </w:rPr>
        <w:t xml:space="preserve">Abastecimento </w:t>
      </w:r>
      <w:r>
        <w:rPr>
          <w:spacing w:val="3"/>
        </w:rPr>
        <w:t xml:space="preserve">Rio Manso </w:t>
      </w:r>
      <w:r>
        <w:rPr>
          <w:spacing w:val="5"/>
        </w:rPr>
        <w:t xml:space="preserve">(VIEIRA, 2010). </w:t>
      </w:r>
      <w:r>
        <w:t xml:space="preserve">A </w:t>
      </w:r>
      <w:r>
        <w:rPr>
          <w:spacing w:val="5"/>
        </w:rPr>
        <w:t xml:space="preserve">Emicon também </w:t>
      </w:r>
      <w:r>
        <w:rPr>
          <w:spacing w:val="3"/>
        </w:rPr>
        <w:t xml:space="preserve">foi </w:t>
      </w:r>
      <w:r>
        <w:rPr>
          <w:spacing w:val="5"/>
        </w:rPr>
        <w:t xml:space="preserve">obrigada </w:t>
      </w:r>
      <w:r>
        <w:t xml:space="preserve">a </w:t>
      </w:r>
      <w:r>
        <w:rPr>
          <w:spacing w:val="3"/>
        </w:rPr>
        <w:t xml:space="preserve">pagar cerca </w:t>
      </w:r>
      <w:r>
        <w:rPr>
          <w:spacing w:val="2"/>
        </w:rPr>
        <w:t xml:space="preserve">de R$ </w:t>
      </w:r>
      <w:r>
        <w:t xml:space="preserve">7 </w:t>
      </w:r>
      <w:r>
        <w:rPr>
          <w:spacing w:val="5"/>
        </w:rPr>
        <w:t>milhões de</w:t>
      </w:r>
      <w:r>
        <w:rPr>
          <w:spacing w:val="61"/>
        </w:rPr>
        <w:t xml:space="preserve"> </w:t>
      </w:r>
      <w:r>
        <w:rPr>
          <w:spacing w:val="1"/>
        </w:rPr>
        <w:t xml:space="preserve">indenização </w:t>
      </w:r>
      <w:r>
        <w:t xml:space="preserve">e a </w:t>
      </w:r>
      <w:r>
        <w:rPr>
          <w:spacing w:val="1"/>
        </w:rPr>
        <w:t xml:space="preserve">manter outros </w:t>
      </w:r>
      <w:r>
        <w:t xml:space="preserve">R$ 21 </w:t>
      </w:r>
      <w:r>
        <w:rPr>
          <w:spacing w:val="1"/>
        </w:rPr>
        <w:t xml:space="preserve">milhões </w:t>
      </w:r>
      <w:r>
        <w:rPr>
          <w:spacing w:val="2"/>
        </w:rPr>
        <w:t xml:space="preserve">depositados </w:t>
      </w:r>
      <w:r>
        <w:rPr>
          <w:spacing w:val="6"/>
        </w:rPr>
        <w:t>c</w:t>
      </w:r>
      <w:r>
        <w:rPr>
          <w:spacing w:val="6"/>
        </w:rPr>
        <w:t xml:space="preserve">omo </w:t>
      </w:r>
      <w:r>
        <w:rPr>
          <w:spacing w:val="7"/>
        </w:rPr>
        <w:t xml:space="preserve">garantia </w:t>
      </w:r>
      <w:r>
        <w:rPr>
          <w:spacing w:val="5"/>
        </w:rPr>
        <w:t xml:space="preserve">de que os </w:t>
      </w:r>
      <w:r>
        <w:rPr>
          <w:spacing w:val="7"/>
        </w:rPr>
        <w:t xml:space="preserve">prejuízos seriam </w:t>
      </w:r>
      <w:r>
        <w:rPr>
          <w:spacing w:val="10"/>
        </w:rPr>
        <w:t xml:space="preserve">reparados </w:t>
      </w:r>
      <w:r>
        <w:rPr>
          <w:spacing w:val="7"/>
        </w:rPr>
        <w:t>(FONSECA,</w:t>
      </w:r>
      <w:r>
        <w:rPr>
          <w:spacing w:val="6"/>
        </w:rPr>
        <w:t xml:space="preserve"> </w:t>
      </w:r>
      <w:r>
        <w:rPr>
          <w:spacing w:val="10"/>
        </w:rPr>
        <w:t>2011).</w:t>
      </w:r>
    </w:p>
    <w:p w:rsidR="00D81F69" w:rsidRDefault="00330118">
      <w:pPr>
        <w:pStyle w:val="Corpodetexto"/>
        <w:spacing w:before="143" w:line="312" w:lineRule="auto"/>
        <w:ind w:right="194"/>
      </w:pPr>
      <w:r>
        <w:t>Como a AVG comprara, no final de 2006, 10 milhões de toneladas de finos de minério de ferro estocados pela Emicon para reprocessá-los, o TAC determinou que a AVG ficaria responsável pela re</w:t>
      </w:r>
      <w:r>
        <w:t>cuperação das áreas degradadas pela deposição inadequada dos finos (VIEIRA, 2010). Sendo assim, ao adquirir a AVG, ao final de 2007 (VIEIRA, 2008), a MMX herdou os finos e a obrigação de reparar os danos por eles causados (VIEIRA, 2010). Para a retirada do</w:t>
      </w:r>
      <w:r>
        <w:t>s finos da região (FONSECA, 2011), a MMX passou a operar na área da Emicon em 2008 (BRASIL ECONÔMICO, 2011; FONSECA,</w:t>
      </w:r>
    </w:p>
    <w:p w:rsidR="00D81F69" w:rsidRDefault="00330118">
      <w:pPr>
        <w:pStyle w:val="Corpodetexto"/>
        <w:spacing w:before="10" w:line="312" w:lineRule="auto"/>
        <w:ind w:right="216"/>
      </w:pPr>
      <w:r>
        <w:t>2011). No entanto, os direitos de lavra continuaram em poder da Emicon (SARAPU, 2011).</w:t>
      </w:r>
    </w:p>
    <w:p w:rsidR="00D81F69" w:rsidRDefault="00330118">
      <w:pPr>
        <w:pStyle w:val="Corpodetexto"/>
        <w:spacing w:before="132" w:line="312" w:lineRule="auto"/>
        <w:ind w:right="184"/>
      </w:pPr>
      <w:r>
        <w:t>Ao adquirir a AVG e a Minerminas, a MMX deu uma nova</w:t>
      </w:r>
      <w:r>
        <w:t xml:space="preserve"> denominação às minas, que passaram a se chamar, respectivamente, mina Tico-Tico e mina Ipê. Localizadas respectivamente nos municípios mineiros de Igarapé e Brumadinho, formam a Unidade Serra Azul da empresa (MMX, 2011a). Juntamente com a Unidade Bom Suce</w:t>
      </w:r>
      <w:r>
        <w:t>sso, em fase de implantação, no município mineiro de Bom Sucesso, a Unidade Serra Azul compõe o Sistema Sudeste (MMX, 2011c).</w:t>
      </w:r>
    </w:p>
    <w:p w:rsidR="00D81F69" w:rsidRDefault="00D81F69">
      <w:pPr>
        <w:spacing w:line="312" w:lineRule="auto"/>
        <w:sectPr w:rsidR="00D81F69">
          <w:type w:val="continuous"/>
          <w:pgSz w:w="11900" w:h="16840"/>
          <w:pgMar w:top="720" w:right="500" w:bottom="280" w:left="620" w:header="720" w:footer="720" w:gutter="0"/>
          <w:cols w:num="2" w:space="720" w:equalWidth="0">
            <w:col w:w="5161" w:space="309"/>
            <w:col w:w="5310"/>
          </w:cols>
        </w:sectPr>
      </w:pPr>
    </w:p>
    <w:p w:rsidR="00D81F69" w:rsidRDefault="00330118">
      <w:pPr>
        <w:pStyle w:val="Corpodetexto"/>
        <w:spacing w:before="81" w:line="312" w:lineRule="auto"/>
        <w:ind w:right="64"/>
      </w:pPr>
      <w:r>
        <w:lastRenderedPageBreak/>
        <w:t xml:space="preserve">A </w:t>
      </w:r>
      <w:r>
        <w:rPr>
          <w:spacing w:val="5"/>
        </w:rPr>
        <w:t xml:space="preserve">Unidade </w:t>
      </w:r>
      <w:r>
        <w:rPr>
          <w:spacing w:val="3"/>
        </w:rPr>
        <w:t xml:space="preserve">Serra Azul </w:t>
      </w:r>
      <w:r>
        <w:rPr>
          <w:spacing w:val="5"/>
        </w:rPr>
        <w:t xml:space="preserve">possui capacidade instalada para </w:t>
      </w:r>
      <w:r>
        <w:t>produção de 8,7 milhões de toneladas de minério d</w:t>
      </w:r>
      <w:r>
        <w:t xml:space="preserve">e ferro por </w:t>
      </w:r>
      <w:r>
        <w:rPr>
          <w:spacing w:val="3"/>
        </w:rPr>
        <w:t xml:space="preserve">ano (MMX, </w:t>
      </w:r>
      <w:r>
        <w:rPr>
          <w:spacing w:val="5"/>
        </w:rPr>
        <w:t xml:space="preserve">2011a). </w:t>
      </w:r>
      <w:r>
        <w:rPr>
          <w:spacing w:val="2"/>
        </w:rPr>
        <w:t xml:space="preserve">As </w:t>
      </w:r>
      <w:r>
        <w:rPr>
          <w:spacing w:val="3"/>
        </w:rPr>
        <w:t xml:space="preserve">minas são </w:t>
      </w:r>
      <w:r>
        <w:rPr>
          <w:spacing w:val="5"/>
        </w:rPr>
        <w:t xml:space="preserve">lavradas </w:t>
      </w:r>
      <w:r>
        <w:t xml:space="preserve">a </w:t>
      </w:r>
      <w:r>
        <w:rPr>
          <w:spacing w:val="3"/>
        </w:rPr>
        <w:t xml:space="preserve">céu </w:t>
      </w:r>
      <w:r>
        <w:rPr>
          <w:spacing w:val="5"/>
        </w:rPr>
        <w:t xml:space="preserve">aberto (VIEIRA, 2010), </w:t>
      </w:r>
      <w:r>
        <w:t xml:space="preserve">e o </w:t>
      </w:r>
      <w:r>
        <w:rPr>
          <w:spacing w:val="5"/>
        </w:rPr>
        <w:t xml:space="preserve">complexo beneficia minério </w:t>
      </w:r>
      <w:r>
        <w:rPr>
          <w:spacing w:val="2"/>
        </w:rPr>
        <w:t xml:space="preserve">de </w:t>
      </w:r>
      <w:r>
        <w:rPr>
          <w:spacing w:val="5"/>
        </w:rPr>
        <w:t>ferro</w:t>
      </w:r>
      <w:r>
        <w:rPr>
          <w:spacing w:val="61"/>
        </w:rPr>
        <w:t xml:space="preserve"> </w:t>
      </w:r>
      <w:r>
        <w:t xml:space="preserve">extraído do itabirito friável. Os produtos finais são: pellet feed </w:t>
      </w:r>
      <w:r>
        <w:rPr>
          <w:spacing w:val="1"/>
        </w:rPr>
        <w:t xml:space="preserve">[minério mais fino, usado </w:t>
      </w:r>
      <w:r>
        <w:t xml:space="preserve">na </w:t>
      </w:r>
      <w:r>
        <w:rPr>
          <w:spacing w:val="1"/>
        </w:rPr>
        <w:t xml:space="preserve">fabricação </w:t>
      </w:r>
      <w:r>
        <w:t xml:space="preserve">de </w:t>
      </w:r>
      <w:r>
        <w:rPr>
          <w:spacing w:val="1"/>
        </w:rPr>
        <w:t xml:space="preserve">pelotas]; </w:t>
      </w:r>
      <w:r>
        <w:rPr>
          <w:spacing w:val="2"/>
        </w:rPr>
        <w:t xml:space="preserve">sinter </w:t>
      </w:r>
      <w:r>
        <w:t>feed [minério fino]; e lump [minério granulado, pronto para ser transformado em aço] (MMX, 2011a).</w:t>
      </w:r>
    </w:p>
    <w:p w:rsidR="00D81F69" w:rsidRDefault="00330118">
      <w:pPr>
        <w:pStyle w:val="Corpodetexto"/>
        <w:spacing w:before="137" w:line="312" w:lineRule="auto"/>
        <w:ind w:right="43"/>
      </w:pPr>
      <w:r>
        <w:t>Além disso, a Unidade Serra Azul conta com uma planta de concentração magnética, que possibilita a recuperação dos finos de minério de ferro, anteriormente e</w:t>
      </w:r>
      <w:r>
        <w:t>stocados como rejeitos pela Emicon. O material abastece a usina de concentração magnética da unidade, cuja capacidade instalada é de 1,2 milhões de toneladas ao ano (MMX, 2011a).</w:t>
      </w:r>
    </w:p>
    <w:p w:rsidR="00D81F69" w:rsidRDefault="00330118">
      <w:pPr>
        <w:pStyle w:val="Corpodetexto"/>
        <w:spacing w:before="137" w:line="312" w:lineRule="auto"/>
        <w:ind w:right="64"/>
      </w:pPr>
      <w:r>
        <w:t>O minério de ferro da Unidade Serra Azul destina-se tanto ao mercado interno,</w:t>
      </w:r>
      <w:r>
        <w:t xml:space="preserve"> quanto à exportação (MMX, 2011a), sendo que 50% de sua produção já são destinados à chinesa Wuhan Iron and Steel Corporation (Wisco), e outros 15% à coreana SK Networks (ENNES, 2011).</w:t>
      </w:r>
    </w:p>
    <w:p w:rsidR="00D81F69" w:rsidRDefault="00330118">
      <w:pPr>
        <w:pStyle w:val="Corpodetexto"/>
        <w:spacing w:before="134" w:line="312" w:lineRule="auto"/>
        <w:ind w:right="46"/>
      </w:pPr>
      <w:r>
        <w:t xml:space="preserve">Com o aquecimento do mercado internacional do minério de ferro, e para </w:t>
      </w:r>
      <w:r>
        <w:t>atingir a capacidade de produzir 33,7 milhões de tonelada de minério por ano a partir de 2013, a MMX anunciou um investimento de R$ 3,5 bilhões para a expansão da Unidade Serra Azul e de $ 1,5 bilhão para o projeto de Bom  Sucesso (MINÉRIOS &amp;  MINERALES, 2</w:t>
      </w:r>
      <w:r>
        <w:t>009;  ENNES,</w:t>
      </w:r>
    </w:p>
    <w:p w:rsidR="00D81F69" w:rsidRDefault="00330118">
      <w:pPr>
        <w:pStyle w:val="Corpodetexto"/>
        <w:spacing w:before="6"/>
      </w:pPr>
      <w:r>
        <w:t>2010), cujo  direito minerário foi  adquirido em  2008 (MMX,</w:t>
      </w:r>
    </w:p>
    <w:p w:rsidR="00D81F69" w:rsidRDefault="00330118">
      <w:pPr>
        <w:pStyle w:val="Corpodetexto"/>
        <w:spacing w:before="63" w:line="203" w:lineRule="exact"/>
      </w:pPr>
      <w:r>
        <w:t>2011b).</w:t>
      </w:r>
    </w:p>
    <w:p w:rsidR="00D81F69" w:rsidRDefault="00330118">
      <w:pPr>
        <w:pStyle w:val="Corpodetexto"/>
        <w:spacing w:line="312" w:lineRule="auto"/>
        <w:ind w:right="46"/>
      </w:pPr>
      <w:r>
        <w:t>Em agosto de 2011, a MMX obteve da Superintendência de Meio Ambiente e Desenvolvimento Sustentável (Supram), Central de Belo Horizonte, a licença prévia para expandir a Unida</w:t>
      </w:r>
      <w:r>
        <w:t>de Serra Azul (BRASIL ECONÔMICO, 2011). O projeto, que além de Brumadinho e Igarapé, envolve ainda o município de São Joaquim de Bicas (CÂMARA MUNICIPAL DE BRUMADINHO, 2011), prevê a construção de uma planta de beneficiamento de minério de ferro – a primei</w:t>
      </w:r>
      <w:r>
        <w:t>ra do Brasil com capacidade para beneficiar itabirito compacto, antes considerado estéril –; bem como a construção de um terminal ferroviário e de uma correia transportadora com 10 km de extensão (ENNES, 2011).</w:t>
      </w:r>
    </w:p>
    <w:p w:rsidR="00D81F69" w:rsidRDefault="00330118">
      <w:pPr>
        <w:pStyle w:val="Corpodetexto"/>
        <w:spacing w:before="137" w:line="312" w:lineRule="auto"/>
        <w:ind w:right="38"/>
      </w:pPr>
      <w:r>
        <w:t>Com investimentos em torno de R$ 4 bilhões, a</w:t>
      </w:r>
      <w:r>
        <w:t xml:space="preserve"> capacidade  de produção da Unidade Serra Azul deve chegar a 24 milhões de toneladas anuais de minério de ferro. A previsão é de que  a nova planta da unidade esteja em operação até 2014 (MMX, </w:t>
      </w:r>
      <w:r>
        <w:rPr>
          <w:spacing w:val="1"/>
        </w:rPr>
        <w:t xml:space="preserve">2011a). </w:t>
      </w:r>
      <w:r>
        <w:t xml:space="preserve">De </w:t>
      </w:r>
      <w:r>
        <w:rPr>
          <w:spacing w:val="1"/>
        </w:rPr>
        <w:t xml:space="preserve">acordo </w:t>
      </w:r>
      <w:r>
        <w:t xml:space="preserve">com a </w:t>
      </w:r>
      <w:r>
        <w:rPr>
          <w:spacing w:val="1"/>
        </w:rPr>
        <w:t xml:space="preserve">MMX, </w:t>
      </w:r>
      <w:r>
        <w:t xml:space="preserve">os </w:t>
      </w:r>
      <w:r>
        <w:rPr>
          <w:spacing w:val="1"/>
        </w:rPr>
        <w:t xml:space="preserve">aportes também </w:t>
      </w:r>
      <w:r>
        <w:rPr>
          <w:spacing w:val="2"/>
        </w:rPr>
        <w:t xml:space="preserve">serão </w:t>
      </w:r>
      <w:r>
        <w:rPr>
          <w:spacing w:val="1"/>
        </w:rPr>
        <w:t xml:space="preserve">usados </w:t>
      </w:r>
      <w:r>
        <w:t xml:space="preserve">na </w:t>
      </w:r>
      <w:r>
        <w:rPr>
          <w:spacing w:val="1"/>
        </w:rPr>
        <w:t xml:space="preserve">melhoria </w:t>
      </w:r>
      <w:r>
        <w:t xml:space="preserve">das </w:t>
      </w:r>
      <w:r>
        <w:rPr>
          <w:spacing w:val="1"/>
        </w:rPr>
        <w:t xml:space="preserve">condições </w:t>
      </w:r>
      <w:r>
        <w:t xml:space="preserve">de </w:t>
      </w:r>
      <w:r>
        <w:rPr>
          <w:spacing w:val="1"/>
        </w:rPr>
        <w:t xml:space="preserve">saúde, segurança </w:t>
      </w:r>
      <w:r>
        <w:t xml:space="preserve">e </w:t>
      </w:r>
      <w:r>
        <w:rPr>
          <w:spacing w:val="8"/>
        </w:rPr>
        <w:t xml:space="preserve">meio </w:t>
      </w:r>
      <w:r>
        <w:rPr>
          <w:spacing w:val="10"/>
        </w:rPr>
        <w:t xml:space="preserve">ambiente </w:t>
      </w:r>
      <w:r>
        <w:rPr>
          <w:spacing w:val="7"/>
        </w:rPr>
        <w:t xml:space="preserve">das </w:t>
      </w:r>
      <w:r>
        <w:rPr>
          <w:spacing w:val="10"/>
        </w:rPr>
        <w:t xml:space="preserve">plantas localizadas </w:t>
      </w:r>
      <w:r>
        <w:rPr>
          <w:spacing w:val="5"/>
        </w:rPr>
        <w:t xml:space="preserve">em </w:t>
      </w:r>
      <w:r>
        <w:rPr>
          <w:spacing w:val="12"/>
        </w:rPr>
        <w:t xml:space="preserve">Igarapé, </w:t>
      </w:r>
      <w:r>
        <w:t xml:space="preserve">Brumadinho e São Joaquim de Bicas. Além disso, a empresa </w:t>
      </w:r>
      <w:r>
        <w:rPr>
          <w:spacing w:val="3"/>
        </w:rPr>
        <w:t xml:space="preserve">pretende investir </w:t>
      </w:r>
      <w:r>
        <w:rPr>
          <w:spacing w:val="1"/>
        </w:rPr>
        <w:t xml:space="preserve">na </w:t>
      </w:r>
      <w:r>
        <w:rPr>
          <w:spacing w:val="3"/>
        </w:rPr>
        <w:t xml:space="preserve">construção </w:t>
      </w:r>
      <w:r>
        <w:rPr>
          <w:spacing w:val="1"/>
        </w:rPr>
        <w:t xml:space="preserve">de </w:t>
      </w:r>
      <w:r>
        <w:rPr>
          <w:spacing w:val="3"/>
        </w:rPr>
        <w:t xml:space="preserve">barragens </w:t>
      </w:r>
      <w:r>
        <w:rPr>
          <w:spacing w:val="1"/>
        </w:rPr>
        <w:t xml:space="preserve">de </w:t>
      </w:r>
      <w:r>
        <w:rPr>
          <w:spacing w:val="5"/>
        </w:rPr>
        <w:t xml:space="preserve">rejeitos, aquisição </w:t>
      </w:r>
      <w:r>
        <w:rPr>
          <w:spacing w:val="2"/>
        </w:rPr>
        <w:t xml:space="preserve">de </w:t>
      </w:r>
      <w:r>
        <w:rPr>
          <w:spacing w:val="5"/>
        </w:rPr>
        <w:t xml:space="preserve">equipamentos </w:t>
      </w:r>
      <w:r>
        <w:rPr>
          <w:spacing w:val="2"/>
        </w:rPr>
        <w:t xml:space="preserve">de </w:t>
      </w:r>
      <w:r>
        <w:rPr>
          <w:spacing w:val="5"/>
        </w:rPr>
        <w:t>controle ambienta</w:t>
      </w:r>
      <w:r>
        <w:rPr>
          <w:spacing w:val="5"/>
        </w:rPr>
        <w:t>l, entre</w:t>
      </w:r>
      <w:r>
        <w:rPr>
          <w:spacing w:val="61"/>
        </w:rPr>
        <w:t xml:space="preserve"> </w:t>
      </w:r>
      <w:r>
        <w:rPr>
          <w:spacing w:val="5"/>
        </w:rPr>
        <w:t xml:space="preserve">outras </w:t>
      </w:r>
      <w:r>
        <w:rPr>
          <w:spacing w:val="3"/>
        </w:rPr>
        <w:t xml:space="preserve">ações </w:t>
      </w:r>
      <w:r>
        <w:rPr>
          <w:spacing w:val="5"/>
        </w:rPr>
        <w:t xml:space="preserve">(MINÉRIOS </w:t>
      </w:r>
      <w:r>
        <w:t xml:space="preserve">&amp; </w:t>
      </w:r>
      <w:r>
        <w:rPr>
          <w:spacing w:val="5"/>
        </w:rPr>
        <w:t>MINERALES,</w:t>
      </w:r>
      <w:r>
        <w:rPr>
          <w:spacing w:val="10"/>
        </w:rPr>
        <w:t xml:space="preserve"> </w:t>
      </w:r>
      <w:r>
        <w:rPr>
          <w:spacing w:val="5"/>
        </w:rPr>
        <w:t>2009).</w:t>
      </w:r>
    </w:p>
    <w:p w:rsidR="00D81F69" w:rsidRDefault="00330118">
      <w:pPr>
        <w:pStyle w:val="Corpodetexto"/>
        <w:spacing w:before="141" w:line="312" w:lineRule="auto"/>
        <w:ind w:right="68"/>
      </w:pPr>
      <w:r>
        <w:t>Porém, os projetos de expansão da MMX vêm enfrentando alguns obstáculos. No primeiro semestre de 2011, a Emicon alegou que as operações da MMX estavam causando o</w:t>
      </w:r>
    </w:p>
    <w:p w:rsidR="00D81F69" w:rsidRDefault="00330118">
      <w:pPr>
        <w:pStyle w:val="Corpodetexto"/>
        <w:spacing w:before="81" w:line="312" w:lineRule="auto"/>
        <w:ind w:right="196"/>
      </w:pPr>
      <w:r>
        <w:br w:type="column"/>
      </w:r>
      <w:r>
        <w:lastRenderedPageBreak/>
        <w:t>assoreamento de rios e córregos e que as barragens de rejeito estavam acima de níveis considerados seguros (FONSECA, 2011). Em resposta, a MMX esclareceu que estava cumprindo as condicionantes do TAC de 2007 e que sua atuação estava de acordo com as licenç</w:t>
      </w:r>
      <w:r>
        <w:t xml:space="preserve">as ambientais em vigor. Quanto ao risco de rompimento de uma das barragens de rejeitos, a MMX afirmou que as obras de alteamento a serem executadas ainda estavam em processo de licenciamento pelos órgãos ambientais competentes. De acordo com a empresa, já </w:t>
      </w:r>
      <w:r>
        <w:t>haviam sido realizadas obras emergenciais na barragem, não só por medida de segurança, mas também para garantir a retirada dos finos depositados pela Emicon (SABIÁ, 2011).</w:t>
      </w:r>
    </w:p>
    <w:p w:rsidR="00D81F69" w:rsidRDefault="00330118">
      <w:pPr>
        <w:pStyle w:val="Corpodetexto"/>
        <w:spacing w:before="142" w:line="312" w:lineRule="auto"/>
        <w:ind w:right="211"/>
      </w:pPr>
      <w:r>
        <w:t>Diante das alegações da Emicon, o Sistema Estadual de Meio Ambiente e Recursos Hídri</w:t>
      </w:r>
      <w:r>
        <w:t>cos (Sisema) de Minas Gerais afirmou que foram realizadas vistorias na Unidade Serra Azul e que não foram encontrados indícios de contaminação no reservatório Rio Manso. Afirmou, ainda, que as barragens foram auditadas e estavam estáveis (FONSECA, 2011).</w:t>
      </w:r>
    </w:p>
    <w:p w:rsidR="00D81F69" w:rsidRDefault="00330118">
      <w:pPr>
        <w:pStyle w:val="Corpodetexto"/>
        <w:spacing w:before="135" w:line="312" w:lineRule="auto"/>
        <w:ind w:right="209"/>
      </w:pPr>
      <w:r>
        <w:t>O</w:t>
      </w:r>
      <w:r>
        <w:t xml:space="preserve"> projeto de expansão em Bom Sucesso pretende dobrar a capacidade total de produção de minério de ferro da MMX. O minério de ferro da localidade possui alto teor de magnetita (cerca de 30%), o que representa uma boa redução de custos para os consumidores, p</w:t>
      </w:r>
      <w:r>
        <w:t>or requerer menor consumo de energia (MMX, 2011b).</w:t>
      </w:r>
    </w:p>
    <w:p w:rsidR="00D81F69" w:rsidRDefault="00330118">
      <w:pPr>
        <w:pStyle w:val="Corpodetexto"/>
        <w:spacing w:before="136" w:line="312" w:lineRule="auto"/>
        <w:ind w:right="205"/>
      </w:pPr>
      <w:r>
        <w:t>Os projetos em Bom Sucesso preveem a construção de uma usina de beneficiamento e logística de transporte para escoamento da produção. Estima-se que o início das operações aconteça em 2012, atingindo 17,4 m</w:t>
      </w:r>
      <w:r>
        <w:t>ilhões t anuais de minério de ferro a partir de 2013. A produção será destinada aos mercados interno e externo (MINÉRIOS &amp; MINERALES, 2009).</w:t>
      </w:r>
    </w:p>
    <w:p w:rsidR="00D81F69" w:rsidRDefault="00330118">
      <w:pPr>
        <w:pStyle w:val="Corpodetexto"/>
        <w:spacing w:before="136" w:line="312" w:lineRule="auto"/>
        <w:ind w:right="159"/>
        <w:jc w:val="left"/>
      </w:pPr>
      <w:r>
        <w:t>Com 705,046 km² e 17.243 habitantes (IBGE, 2010), Bom Sucesso é um município tipicamente agrícola, que nunca viu um</w:t>
      </w:r>
      <w:r>
        <w:t>a mineração de porte, apesar de empresas, como a Vale, terem direitos minérios no local (VIEIRA, 2008). Para esclarecer a população local sobre o projeto Bom Sucesso, a MMX apresentou, em agosto de 2010, o resultado do Estudo de Impacto Ambiental (EIA) par</w:t>
      </w:r>
      <w:r>
        <w:t>a a instalação da iniciativa na cidade (MMX, 2010).</w:t>
      </w:r>
    </w:p>
    <w:p w:rsidR="00D81F69" w:rsidRDefault="00330118">
      <w:pPr>
        <w:pStyle w:val="Corpodetexto"/>
        <w:spacing w:before="138" w:line="312" w:lineRule="auto"/>
        <w:ind w:right="205"/>
      </w:pPr>
      <w:r>
        <w:t>Durante o encontro, a CRA - empresa que executou os estudos ambientais para a MMX - apresentou os resultados dos diagnósticos realizados, potenciais impactos identificados e planos de redução e compensaçã</w:t>
      </w:r>
      <w:r>
        <w:t>o desses impactos. Além disso, técnicos da mineradora esclareceram dúvidas sobre o processo de instalação e operação da mina (MMX, 2010). O Estudo de Impacto Ambiental - Relatório de Impacto Ambiental (EIA-Rima) do projeto foi protocolado também em 2010 na</w:t>
      </w:r>
      <w:r>
        <w:t xml:space="preserve"> Supram do sul de Minas Gerais (TAKAR, 2010).</w:t>
      </w:r>
    </w:p>
    <w:p w:rsidR="00D81F69" w:rsidRDefault="00330118">
      <w:pPr>
        <w:pStyle w:val="Corpodetexto"/>
        <w:spacing w:before="75" w:line="270" w:lineRule="atLeast"/>
        <w:ind w:right="192"/>
      </w:pPr>
      <w:r>
        <w:rPr>
          <w:spacing w:val="2"/>
        </w:rPr>
        <w:t xml:space="preserve">De </w:t>
      </w:r>
      <w:r>
        <w:rPr>
          <w:spacing w:val="5"/>
        </w:rPr>
        <w:t xml:space="preserve">acordo </w:t>
      </w:r>
      <w:r>
        <w:rPr>
          <w:spacing w:val="3"/>
        </w:rPr>
        <w:t xml:space="preserve">com </w:t>
      </w:r>
      <w:r>
        <w:t xml:space="preserve">a </w:t>
      </w:r>
      <w:r>
        <w:rPr>
          <w:spacing w:val="5"/>
        </w:rPr>
        <w:t xml:space="preserve">MMX, </w:t>
      </w:r>
      <w:r>
        <w:t xml:space="preserve">à </w:t>
      </w:r>
      <w:r>
        <w:rPr>
          <w:spacing w:val="5"/>
        </w:rPr>
        <w:t xml:space="preserve">medida </w:t>
      </w:r>
      <w:r>
        <w:rPr>
          <w:spacing w:val="3"/>
        </w:rPr>
        <w:t xml:space="preserve">que </w:t>
      </w:r>
      <w:r>
        <w:rPr>
          <w:spacing w:val="2"/>
        </w:rPr>
        <w:t xml:space="preserve">as </w:t>
      </w:r>
      <w:r>
        <w:rPr>
          <w:spacing w:val="5"/>
        </w:rPr>
        <w:t xml:space="preserve">atividades </w:t>
      </w:r>
      <w:r>
        <w:rPr>
          <w:spacing w:val="6"/>
        </w:rPr>
        <w:t xml:space="preserve">da </w:t>
      </w:r>
      <w:r>
        <w:rPr>
          <w:spacing w:val="10"/>
        </w:rPr>
        <w:t xml:space="preserve">mineradora </w:t>
      </w:r>
      <w:r>
        <w:rPr>
          <w:spacing w:val="8"/>
        </w:rPr>
        <w:t xml:space="preserve">forem </w:t>
      </w:r>
      <w:r>
        <w:rPr>
          <w:spacing w:val="5"/>
        </w:rPr>
        <w:t xml:space="preserve">se </w:t>
      </w:r>
      <w:r>
        <w:rPr>
          <w:spacing w:val="10"/>
        </w:rPr>
        <w:t xml:space="preserve">encerrando, </w:t>
      </w:r>
      <w:r>
        <w:rPr>
          <w:spacing w:val="8"/>
        </w:rPr>
        <w:t xml:space="preserve">será </w:t>
      </w:r>
      <w:r>
        <w:rPr>
          <w:spacing w:val="10"/>
        </w:rPr>
        <w:t xml:space="preserve">implantado </w:t>
      </w:r>
      <w:r>
        <w:t xml:space="preserve">o </w:t>
      </w:r>
      <w:r>
        <w:rPr>
          <w:spacing w:val="3"/>
        </w:rPr>
        <w:t xml:space="preserve">Programa </w:t>
      </w:r>
      <w:r>
        <w:rPr>
          <w:spacing w:val="1"/>
        </w:rPr>
        <w:t xml:space="preserve">de </w:t>
      </w:r>
      <w:r>
        <w:rPr>
          <w:spacing w:val="3"/>
        </w:rPr>
        <w:t xml:space="preserve">Recuperação </w:t>
      </w:r>
      <w:r>
        <w:rPr>
          <w:spacing w:val="1"/>
        </w:rPr>
        <w:t xml:space="preserve">de </w:t>
      </w:r>
      <w:r>
        <w:rPr>
          <w:spacing w:val="3"/>
        </w:rPr>
        <w:t xml:space="preserve">Áreas Degradadas </w:t>
      </w:r>
      <w:r>
        <w:rPr>
          <w:spacing w:val="5"/>
        </w:rPr>
        <w:t xml:space="preserve">(PRAD), </w:t>
      </w:r>
      <w:r>
        <w:rPr>
          <w:spacing w:val="3"/>
        </w:rPr>
        <w:t xml:space="preserve">que fará </w:t>
      </w:r>
      <w:r>
        <w:t xml:space="preserve">a </w:t>
      </w:r>
      <w:r>
        <w:rPr>
          <w:spacing w:val="5"/>
        </w:rPr>
        <w:t xml:space="preserve">recomposição </w:t>
      </w:r>
      <w:r>
        <w:rPr>
          <w:spacing w:val="2"/>
        </w:rPr>
        <w:t xml:space="preserve">do </w:t>
      </w:r>
      <w:r>
        <w:rPr>
          <w:spacing w:val="5"/>
        </w:rPr>
        <w:t>terreno, utilizando técnicas</w:t>
      </w:r>
      <w:r>
        <w:rPr>
          <w:spacing w:val="61"/>
        </w:rPr>
        <w:t xml:space="preserve"> </w:t>
      </w:r>
      <w:r>
        <w:rPr>
          <w:spacing w:val="5"/>
        </w:rPr>
        <w:t xml:space="preserve">especiais </w:t>
      </w:r>
      <w:r>
        <w:rPr>
          <w:spacing w:val="2"/>
        </w:rPr>
        <w:t xml:space="preserve">de </w:t>
      </w:r>
      <w:r>
        <w:rPr>
          <w:spacing w:val="5"/>
        </w:rPr>
        <w:t xml:space="preserve">revegetação </w:t>
      </w:r>
      <w:r>
        <w:rPr>
          <w:spacing w:val="3"/>
        </w:rPr>
        <w:t>(MMX,</w:t>
      </w:r>
      <w:r>
        <w:rPr>
          <w:spacing w:val="2"/>
        </w:rPr>
        <w:t xml:space="preserve"> </w:t>
      </w:r>
      <w:r>
        <w:rPr>
          <w:spacing w:val="5"/>
        </w:rPr>
        <w:t>2010).</w:t>
      </w:r>
    </w:p>
    <w:p w:rsidR="00D81F69" w:rsidRDefault="00D81F69">
      <w:pPr>
        <w:spacing w:line="270" w:lineRule="atLeast"/>
        <w:sectPr w:rsidR="00D81F69">
          <w:pgSz w:w="11900" w:h="16840"/>
          <w:pgMar w:top="740" w:right="500" w:bottom="640" w:left="620" w:header="0" w:footer="402" w:gutter="0"/>
          <w:cols w:num="2" w:space="720" w:equalWidth="0">
            <w:col w:w="5165" w:space="305"/>
            <w:col w:w="5310"/>
          </w:cols>
        </w:sectPr>
      </w:pPr>
    </w:p>
    <w:p w:rsidR="00D81F69" w:rsidRDefault="00D81F69">
      <w:pPr>
        <w:pStyle w:val="Corpodetexto"/>
        <w:spacing w:before="5"/>
        <w:ind w:left="0"/>
        <w:jc w:val="left"/>
        <w:rPr>
          <w:sz w:val="24"/>
        </w:rPr>
      </w:pPr>
    </w:p>
    <w:p w:rsidR="00D81F69" w:rsidRDefault="00330118">
      <w:pPr>
        <w:pStyle w:val="Corpodetexto"/>
        <w:spacing w:line="312" w:lineRule="auto"/>
        <w:ind w:right="41"/>
      </w:pPr>
      <w:r>
        <w:t>Seguindo seus planos de expansão, a MMX assinou, no final de 2011, contrato com outra empresa do Grupo EBX, a MRS Logística, para o transporte do minério de ferro da região do Quadrilátero</w:t>
      </w:r>
      <w:r>
        <w:t xml:space="preserve"> Ferrífero até o porto da Companhia Siderúrgica Nacional (CSN), em Itaguaí (RJ) (MMX, 2011c). A partir de 2013, a empresa vai usar o Superporto Sudeste, terminal portuário privativo de uso misto pertencente ao Grupo, que está sendo construído também em Ita</w:t>
      </w:r>
      <w:r>
        <w:t>guaí (TEIXEIRA, 2011; MMX, 2011c), para exportar o minério do Sistema Sudeste (MMX, 2011).</w:t>
      </w:r>
    </w:p>
    <w:p w:rsidR="00D81F69" w:rsidRDefault="00330118">
      <w:pPr>
        <w:pStyle w:val="Corpodetexto"/>
        <w:spacing w:before="139" w:line="312" w:lineRule="auto"/>
        <w:ind w:right="57"/>
      </w:pPr>
      <w:r>
        <w:t>A MMX também firmou acordo na região de Serra Azul para a lavra conjunta da mina Pau de Vinho, localizada em área contígua às exploradas pela empresa e pertencente à</w:t>
      </w:r>
      <w:r>
        <w:t xml:space="preserve"> Mineração Usiminas (BRASIL MINERAL, 2010). A parceria vai permitir que a MMX opere, por 30 anos, a área de maneira sinérgica, aproveitando maquinário e estruturas da Unidade Serra Azul (MMX, 2011a).</w:t>
      </w:r>
    </w:p>
    <w:p w:rsidR="00D81F69" w:rsidRDefault="00330118">
      <w:pPr>
        <w:pStyle w:val="Corpodetexto"/>
        <w:spacing w:before="137" w:line="312" w:lineRule="auto"/>
        <w:ind w:right="57"/>
      </w:pPr>
      <w:r>
        <w:rPr>
          <w:spacing w:val="1"/>
        </w:rPr>
        <w:t xml:space="preserve">Estudos preliminares apontam </w:t>
      </w:r>
      <w:r>
        <w:t xml:space="preserve">que a </w:t>
      </w:r>
      <w:r>
        <w:rPr>
          <w:spacing w:val="1"/>
        </w:rPr>
        <w:t xml:space="preserve">mina poderá </w:t>
      </w:r>
      <w:r>
        <w:rPr>
          <w:spacing w:val="2"/>
        </w:rPr>
        <w:t xml:space="preserve">agregar </w:t>
      </w:r>
      <w:r>
        <w:rPr>
          <w:spacing w:val="1"/>
        </w:rPr>
        <w:t>m</w:t>
      </w:r>
      <w:r>
        <w:rPr>
          <w:spacing w:val="1"/>
        </w:rPr>
        <w:t xml:space="preserve">ais </w:t>
      </w:r>
      <w:r>
        <w:t xml:space="preserve">8 </w:t>
      </w:r>
      <w:r>
        <w:rPr>
          <w:spacing w:val="1"/>
        </w:rPr>
        <w:t xml:space="preserve">milhões </w:t>
      </w:r>
      <w:r>
        <w:t xml:space="preserve">de </w:t>
      </w:r>
      <w:r>
        <w:rPr>
          <w:spacing w:val="1"/>
        </w:rPr>
        <w:t xml:space="preserve">toneladas </w:t>
      </w:r>
      <w:r>
        <w:t xml:space="preserve">de </w:t>
      </w:r>
      <w:r>
        <w:rPr>
          <w:spacing w:val="1"/>
        </w:rPr>
        <w:t xml:space="preserve">minério </w:t>
      </w:r>
      <w:r>
        <w:t xml:space="preserve">de </w:t>
      </w:r>
      <w:r>
        <w:rPr>
          <w:spacing w:val="1"/>
        </w:rPr>
        <w:t xml:space="preserve">ferro </w:t>
      </w:r>
      <w:r>
        <w:t xml:space="preserve">por ano à </w:t>
      </w:r>
      <w:r>
        <w:rPr>
          <w:spacing w:val="3"/>
        </w:rPr>
        <w:t xml:space="preserve">produção </w:t>
      </w:r>
      <w:r>
        <w:rPr>
          <w:spacing w:val="1"/>
        </w:rPr>
        <w:t xml:space="preserve">da </w:t>
      </w:r>
      <w:r>
        <w:rPr>
          <w:spacing w:val="2"/>
        </w:rPr>
        <w:t xml:space="preserve">MMX. </w:t>
      </w:r>
      <w:r>
        <w:rPr>
          <w:spacing w:val="1"/>
        </w:rPr>
        <w:t xml:space="preserve">Em </w:t>
      </w:r>
      <w:r>
        <w:rPr>
          <w:spacing w:val="3"/>
        </w:rPr>
        <w:t xml:space="preserve">relatório, divulgado </w:t>
      </w:r>
      <w:r>
        <w:rPr>
          <w:spacing w:val="1"/>
        </w:rPr>
        <w:t xml:space="preserve">em </w:t>
      </w:r>
      <w:r>
        <w:rPr>
          <w:spacing w:val="3"/>
        </w:rPr>
        <w:t xml:space="preserve">agosto </w:t>
      </w:r>
      <w:r>
        <w:rPr>
          <w:spacing w:val="5"/>
        </w:rPr>
        <w:t xml:space="preserve">de </w:t>
      </w:r>
      <w:r>
        <w:t xml:space="preserve">2011, a SRK Consulting aferiu uma reserva de 810 milhões  de toneladas de minério de ferro e um potencial mineral de </w:t>
      </w:r>
      <w:r>
        <w:rPr>
          <w:spacing w:val="2"/>
        </w:rPr>
        <w:t xml:space="preserve">até </w:t>
      </w:r>
      <w:r>
        <w:rPr>
          <w:spacing w:val="1"/>
        </w:rPr>
        <w:t xml:space="preserve">75 </w:t>
      </w:r>
      <w:r>
        <w:rPr>
          <w:spacing w:val="3"/>
        </w:rPr>
        <w:t xml:space="preserve">milhões </w:t>
      </w:r>
      <w:r>
        <w:rPr>
          <w:spacing w:val="1"/>
        </w:rPr>
        <w:t xml:space="preserve">de </w:t>
      </w:r>
      <w:r>
        <w:rPr>
          <w:spacing w:val="3"/>
        </w:rPr>
        <w:t xml:space="preserve">toneladas </w:t>
      </w:r>
      <w:r>
        <w:rPr>
          <w:spacing w:val="1"/>
        </w:rPr>
        <w:t xml:space="preserve">de </w:t>
      </w:r>
      <w:r>
        <w:rPr>
          <w:spacing w:val="3"/>
        </w:rPr>
        <w:t xml:space="preserve">minério </w:t>
      </w:r>
      <w:r>
        <w:rPr>
          <w:spacing w:val="1"/>
        </w:rPr>
        <w:t xml:space="preserve">de </w:t>
      </w:r>
      <w:r>
        <w:rPr>
          <w:spacing w:val="3"/>
        </w:rPr>
        <w:t xml:space="preserve">ferro </w:t>
      </w:r>
      <w:r>
        <w:rPr>
          <w:spacing w:val="1"/>
        </w:rPr>
        <w:t xml:space="preserve">no </w:t>
      </w:r>
      <w:r>
        <w:rPr>
          <w:spacing w:val="5"/>
        </w:rPr>
        <w:t xml:space="preserve">local </w:t>
      </w:r>
      <w:r>
        <w:rPr>
          <w:spacing w:val="3"/>
        </w:rPr>
        <w:t>(MMX,</w:t>
      </w:r>
      <w:r>
        <w:rPr>
          <w:spacing w:val="27"/>
        </w:rPr>
        <w:t xml:space="preserve"> </w:t>
      </w:r>
      <w:r>
        <w:rPr>
          <w:spacing w:val="5"/>
        </w:rPr>
        <w:t>2011a).</w:t>
      </w:r>
    </w:p>
    <w:p w:rsidR="00D81F69" w:rsidRDefault="00330118">
      <w:pPr>
        <w:pStyle w:val="Corpodetexto"/>
        <w:spacing w:before="136" w:line="312" w:lineRule="auto"/>
        <w:ind w:right="52"/>
      </w:pPr>
      <w:r>
        <w:t>Em contrapartida, a Mineração Usiminas vai poder usar o porto Sudeste para escoar sua produção. Inicialmente, a empresa pretende movimentar 3 milhões de toneladas de minério de ferro, podendo chegar a 12 milhões de toneladas em 2015. Em paralelo, a empresa</w:t>
      </w:r>
      <w:r>
        <w:t xml:space="preserve"> está dando prosseguimento aos estudos de viabilidade técnica e econômica para construção de um porto próprio, também em Itaguaí (BRASIL MINERAL, 2010), no antigo terreno da Ingá Mercantil, o qual arrecadou, no ano de 2008 (PORTAL ECODEBATE, 2009).</w:t>
      </w:r>
    </w:p>
    <w:p w:rsidR="00D81F69" w:rsidRDefault="00330118">
      <w:pPr>
        <w:pStyle w:val="Corpodetexto"/>
        <w:spacing w:before="138" w:line="312" w:lineRule="auto"/>
        <w:ind w:right="58"/>
      </w:pPr>
      <w:r>
        <w:t>A Miner</w:t>
      </w:r>
      <w:r>
        <w:t>ação Usiminas possui quatro ativos minerários em Serra Azul. Além de extrair minério de ferro, está capacitada a transformá-lo em pellet feed, sinter feed e lump. A produção é voltada tanto ao consumo próprio nas plantas siderúrgicas da empresa, quanto à e</w:t>
      </w:r>
      <w:r>
        <w:t>xportação (USIMINAS, 2011).</w:t>
      </w:r>
    </w:p>
    <w:p w:rsidR="00D81F69" w:rsidRDefault="00330118">
      <w:pPr>
        <w:pStyle w:val="Corpodetexto"/>
        <w:spacing w:before="135" w:line="312" w:lineRule="auto"/>
        <w:ind w:right="38"/>
      </w:pPr>
      <w:r>
        <w:rPr>
          <w:spacing w:val="17"/>
        </w:rPr>
        <w:t xml:space="preserve">Buscando </w:t>
      </w:r>
      <w:r>
        <w:t xml:space="preserve">a </w:t>
      </w:r>
      <w:r>
        <w:rPr>
          <w:spacing w:val="18"/>
        </w:rPr>
        <w:t xml:space="preserve">verticalização </w:t>
      </w:r>
      <w:r>
        <w:rPr>
          <w:spacing w:val="10"/>
        </w:rPr>
        <w:t xml:space="preserve">do </w:t>
      </w:r>
      <w:r>
        <w:rPr>
          <w:spacing w:val="13"/>
        </w:rPr>
        <w:t xml:space="preserve">seu </w:t>
      </w:r>
      <w:r>
        <w:rPr>
          <w:spacing w:val="17"/>
        </w:rPr>
        <w:t xml:space="preserve">negócio </w:t>
      </w:r>
      <w:r>
        <w:t xml:space="preserve">e a </w:t>
      </w:r>
      <w:r>
        <w:rPr>
          <w:spacing w:val="8"/>
        </w:rPr>
        <w:t xml:space="preserve">autossuficiência </w:t>
      </w:r>
      <w:r>
        <w:rPr>
          <w:spacing w:val="5"/>
        </w:rPr>
        <w:t xml:space="preserve">em </w:t>
      </w:r>
      <w:r>
        <w:rPr>
          <w:spacing w:val="7"/>
        </w:rPr>
        <w:t xml:space="preserve">minério </w:t>
      </w:r>
      <w:r>
        <w:rPr>
          <w:spacing w:val="5"/>
        </w:rPr>
        <w:t xml:space="preserve">de </w:t>
      </w:r>
      <w:r>
        <w:rPr>
          <w:spacing w:val="7"/>
        </w:rPr>
        <w:t xml:space="preserve">ferro, </w:t>
      </w:r>
      <w:r>
        <w:t xml:space="preserve">a </w:t>
      </w:r>
      <w:r>
        <w:rPr>
          <w:spacing w:val="7"/>
        </w:rPr>
        <w:t xml:space="preserve">Usiminas </w:t>
      </w:r>
      <w:r>
        <w:rPr>
          <w:spacing w:val="10"/>
        </w:rPr>
        <w:t xml:space="preserve">vem </w:t>
      </w:r>
      <w:r>
        <w:t xml:space="preserve">realizando outras parcerias em Serra Azul (USIMINAS, 2011). De acordo com o especialista em mineração da Universidade de Uberlândia, as parcerias são uma saída para a exploração de minério na região, pois, a partir delas, é possível explorar o </w:t>
      </w:r>
      <w:r>
        <w:rPr>
          <w:spacing w:val="5"/>
        </w:rPr>
        <w:t xml:space="preserve">minério </w:t>
      </w:r>
      <w:r>
        <w:rPr>
          <w:spacing w:val="3"/>
        </w:rPr>
        <w:t xml:space="preserve">das </w:t>
      </w:r>
      <w:r>
        <w:rPr>
          <w:spacing w:val="5"/>
        </w:rPr>
        <w:t xml:space="preserve">fronteiras entre </w:t>
      </w:r>
      <w:r>
        <w:rPr>
          <w:spacing w:val="2"/>
        </w:rPr>
        <w:t xml:space="preserve">as </w:t>
      </w:r>
      <w:r>
        <w:rPr>
          <w:spacing w:val="5"/>
        </w:rPr>
        <w:t xml:space="preserve">empresas </w:t>
      </w:r>
      <w:r>
        <w:t xml:space="preserve">e </w:t>
      </w:r>
      <w:r>
        <w:rPr>
          <w:spacing w:val="5"/>
        </w:rPr>
        <w:t xml:space="preserve">otimizar </w:t>
      </w:r>
      <w:r>
        <w:rPr>
          <w:spacing w:val="6"/>
        </w:rPr>
        <w:t xml:space="preserve">as </w:t>
      </w:r>
      <w:r>
        <w:rPr>
          <w:spacing w:val="3"/>
        </w:rPr>
        <w:t xml:space="preserve">operações, </w:t>
      </w:r>
      <w:r>
        <w:rPr>
          <w:spacing w:val="2"/>
        </w:rPr>
        <w:t xml:space="preserve">com </w:t>
      </w:r>
      <w:r>
        <w:t xml:space="preserve">o </w:t>
      </w:r>
      <w:r>
        <w:rPr>
          <w:spacing w:val="3"/>
        </w:rPr>
        <w:t xml:space="preserve">compartilhamento </w:t>
      </w:r>
      <w:r>
        <w:rPr>
          <w:spacing w:val="2"/>
        </w:rPr>
        <w:t xml:space="preserve">dos </w:t>
      </w:r>
      <w:r>
        <w:rPr>
          <w:spacing w:val="3"/>
        </w:rPr>
        <w:t xml:space="preserve">equipamentos </w:t>
      </w:r>
      <w:r>
        <w:t xml:space="preserve">e </w:t>
      </w:r>
      <w:r>
        <w:rPr>
          <w:spacing w:val="3"/>
        </w:rPr>
        <w:t xml:space="preserve">unidades </w:t>
      </w:r>
      <w:r>
        <w:rPr>
          <w:spacing w:val="1"/>
        </w:rPr>
        <w:t xml:space="preserve">de  </w:t>
      </w:r>
      <w:r>
        <w:rPr>
          <w:spacing w:val="3"/>
        </w:rPr>
        <w:t xml:space="preserve">beneficiamento (PORTOS </w:t>
      </w:r>
      <w:r>
        <w:t xml:space="preserve">E  </w:t>
      </w:r>
      <w:r>
        <w:rPr>
          <w:spacing w:val="3"/>
        </w:rPr>
        <w:t>NAVIOS,</w:t>
      </w:r>
      <w:r>
        <w:rPr>
          <w:spacing w:val="56"/>
        </w:rPr>
        <w:t xml:space="preserve"> </w:t>
      </w:r>
      <w:r>
        <w:rPr>
          <w:spacing w:val="5"/>
        </w:rPr>
        <w:t>2011).</w:t>
      </w:r>
    </w:p>
    <w:p w:rsidR="00D81F69" w:rsidRDefault="00330118">
      <w:pPr>
        <w:pStyle w:val="Corpodetexto"/>
        <w:spacing w:before="75" w:line="270" w:lineRule="atLeast"/>
        <w:ind w:right="55"/>
      </w:pPr>
      <w:r>
        <w:t>Neste contexto, em julho de 2011, a Usiminas arrendou os direitos minerários da MBL Materiais Básicos, o q</w:t>
      </w:r>
      <w:r>
        <w:t>ue incluiu a aquisição de um estoque de 6 milhões de toneladas de minério de ferro e de uma planta para beneficiamento de minério. No final do mesmo ano, a empresa firmou outras duas importantes parcerias na região com o objetivo de</w:t>
      </w:r>
    </w:p>
    <w:p w:rsidR="00D81F69" w:rsidRDefault="00330118">
      <w:pPr>
        <w:pStyle w:val="Corpodetexto"/>
        <w:spacing w:before="81" w:line="312" w:lineRule="auto"/>
        <w:ind w:right="193"/>
      </w:pPr>
      <w:r>
        <w:br w:type="column"/>
      </w:r>
      <w:r>
        <w:lastRenderedPageBreak/>
        <w:t>atingir, em 2015, a ca</w:t>
      </w:r>
      <w:r>
        <w:t>pacidade produtiva de 29 milhões de t/ano de minério (USIMINAS, 2011). Adquiriu a Mineração Ouro Negro S.A., ampliando o seu acesso a reservas de minério, por meio da majoração da cava (USIMINAS, 2011; BRASIL MINERAL, 2011), e firmou um acordo de 10 anos c</w:t>
      </w:r>
      <w:r>
        <w:t>om a Ferrous Resources do Brasil para otimizar o aproveitamento das reservas de minério localizadas nas áreas de limite entre as duas mineradoras (USIMINAS, 2011).</w:t>
      </w:r>
    </w:p>
    <w:p w:rsidR="00D81F69" w:rsidRDefault="00D81F69">
      <w:pPr>
        <w:pStyle w:val="Corpodetexto"/>
        <w:spacing w:before="7"/>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211"/>
      </w:pPr>
      <w:r>
        <w:t xml:space="preserve">Os impactos da exploração de Ferro em Serra Azul engloba </w:t>
      </w:r>
      <w:r>
        <w:rPr>
          <w:spacing w:val="1"/>
        </w:rPr>
        <w:t xml:space="preserve">os </w:t>
      </w:r>
      <w:r>
        <w:rPr>
          <w:spacing w:val="3"/>
        </w:rPr>
        <w:t>municípi</w:t>
      </w:r>
      <w:r>
        <w:rPr>
          <w:spacing w:val="3"/>
        </w:rPr>
        <w:t xml:space="preserve">os </w:t>
      </w:r>
      <w:r>
        <w:rPr>
          <w:spacing w:val="1"/>
        </w:rPr>
        <w:t xml:space="preserve">de </w:t>
      </w:r>
      <w:r>
        <w:rPr>
          <w:spacing w:val="3"/>
        </w:rPr>
        <w:t xml:space="preserve">Itatiaiuçu, Brumadinho, Itaúna, </w:t>
      </w:r>
      <w:r>
        <w:rPr>
          <w:spacing w:val="5"/>
        </w:rPr>
        <w:t xml:space="preserve">Mateus </w:t>
      </w:r>
      <w:r>
        <w:rPr>
          <w:spacing w:val="3"/>
        </w:rPr>
        <w:t xml:space="preserve">Leme, Igarapé </w:t>
      </w:r>
      <w:r>
        <w:t xml:space="preserve">e </w:t>
      </w:r>
      <w:r>
        <w:rPr>
          <w:spacing w:val="2"/>
        </w:rPr>
        <w:t xml:space="preserve">São </w:t>
      </w:r>
      <w:r>
        <w:rPr>
          <w:spacing w:val="3"/>
        </w:rPr>
        <w:t xml:space="preserve">Joaquim </w:t>
      </w:r>
      <w:r>
        <w:rPr>
          <w:spacing w:val="2"/>
        </w:rPr>
        <w:t xml:space="preserve">das </w:t>
      </w:r>
      <w:r>
        <w:rPr>
          <w:spacing w:val="3"/>
        </w:rPr>
        <w:t xml:space="preserve">Bicas. </w:t>
      </w:r>
      <w:r>
        <w:rPr>
          <w:spacing w:val="2"/>
        </w:rPr>
        <w:t xml:space="preserve">Está </w:t>
      </w:r>
      <w:r>
        <w:rPr>
          <w:spacing w:val="5"/>
        </w:rPr>
        <w:t xml:space="preserve">localizado </w:t>
      </w:r>
      <w:r>
        <w:t xml:space="preserve">entre as latitude 20°05'37"S e Longitude 44°04'58"W, na bacia </w:t>
      </w:r>
      <w:r>
        <w:rPr>
          <w:spacing w:val="1"/>
        </w:rPr>
        <w:t xml:space="preserve">do </w:t>
      </w:r>
      <w:r>
        <w:rPr>
          <w:spacing w:val="2"/>
        </w:rPr>
        <w:t xml:space="preserve">Rio São </w:t>
      </w:r>
      <w:r>
        <w:rPr>
          <w:spacing w:val="3"/>
        </w:rPr>
        <w:t xml:space="preserve">Francisco, </w:t>
      </w:r>
      <w:r>
        <w:rPr>
          <w:spacing w:val="2"/>
        </w:rPr>
        <w:t xml:space="preserve">que </w:t>
      </w:r>
      <w:r>
        <w:rPr>
          <w:spacing w:val="3"/>
        </w:rPr>
        <w:t xml:space="preserve">pertence </w:t>
      </w:r>
      <w:r>
        <w:t xml:space="preserve">a </w:t>
      </w:r>
      <w:r>
        <w:rPr>
          <w:spacing w:val="3"/>
        </w:rPr>
        <w:t xml:space="preserve">Região costeira </w:t>
      </w:r>
      <w:r>
        <w:rPr>
          <w:spacing w:val="5"/>
        </w:rPr>
        <w:t xml:space="preserve">do </w:t>
      </w:r>
      <w:r>
        <w:rPr>
          <w:spacing w:val="3"/>
        </w:rPr>
        <w:t>Atlântico</w:t>
      </w:r>
      <w:r>
        <w:rPr>
          <w:spacing w:val="23"/>
        </w:rPr>
        <w:t xml:space="preserve"> </w:t>
      </w:r>
      <w:r>
        <w:rPr>
          <w:spacing w:val="5"/>
        </w:rPr>
        <w:t>Sul.</w:t>
      </w:r>
    </w:p>
    <w:p w:rsidR="00D81F69" w:rsidRDefault="00D81F69">
      <w:pPr>
        <w:pStyle w:val="Corpodetexto"/>
        <w:spacing w:before="3"/>
        <w:ind w:left="0"/>
        <w:jc w:val="left"/>
        <w:rPr>
          <w:sz w:val="29"/>
        </w:rPr>
      </w:pPr>
    </w:p>
    <w:p w:rsidR="00D81F69" w:rsidRDefault="00330118">
      <w:pPr>
        <w:pStyle w:val="Heading7"/>
      </w:pPr>
      <w:r>
        <w:t>REDATORES</w:t>
      </w:r>
    </w:p>
    <w:p w:rsidR="00D81F69" w:rsidRDefault="00330118">
      <w:pPr>
        <w:pStyle w:val="Corpodetexto"/>
        <w:spacing w:before="179"/>
      </w:pPr>
      <w:r>
        <w:t>Renata Olivi</w:t>
      </w:r>
      <w:r>
        <w:t>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181"/>
        <w:jc w:val="both"/>
        <w:rPr>
          <w:sz w:val="16"/>
        </w:rPr>
      </w:pPr>
      <w:r>
        <w:rPr>
          <w:spacing w:val="5"/>
          <w:sz w:val="16"/>
        </w:rPr>
        <w:t xml:space="preserve">BRASIL ECONÔMICO. </w:t>
      </w:r>
      <w:r>
        <w:rPr>
          <w:spacing w:val="3"/>
          <w:sz w:val="16"/>
        </w:rPr>
        <w:t xml:space="preserve">MMX </w:t>
      </w:r>
      <w:r>
        <w:rPr>
          <w:spacing w:val="5"/>
          <w:sz w:val="16"/>
        </w:rPr>
        <w:t xml:space="preserve">obtém licença para expansão </w:t>
      </w:r>
      <w:r>
        <w:rPr>
          <w:spacing w:val="6"/>
          <w:sz w:val="16"/>
        </w:rPr>
        <w:t xml:space="preserve">da </w:t>
      </w:r>
      <w:r>
        <w:rPr>
          <w:spacing w:val="17"/>
          <w:sz w:val="16"/>
        </w:rPr>
        <w:t xml:space="preserve">Unidade </w:t>
      </w:r>
      <w:r>
        <w:rPr>
          <w:spacing w:val="15"/>
          <w:sz w:val="16"/>
        </w:rPr>
        <w:t>Serra</w:t>
      </w:r>
      <w:r>
        <w:rPr>
          <w:spacing w:val="75"/>
          <w:sz w:val="16"/>
        </w:rPr>
        <w:t xml:space="preserve"> </w:t>
      </w:r>
      <w:r>
        <w:rPr>
          <w:spacing w:val="15"/>
          <w:sz w:val="16"/>
        </w:rPr>
        <w:t>Azul,</w:t>
      </w:r>
      <w:r>
        <w:rPr>
          <w:spacing w:val="75"/>
          <w:sz w:val="16"/>
        </w:rPr>
        <w:t xml:space="preserve"> </w:t>
      </w:r>
      <w:r>
        <w:rPr>
          <w:spacing w:val="10"/>
          <w:sz w:val="16"/>
        </w:rPr>
        <w:t xml:space="preserve">29 </w:t>
      </w:r>
      <w:r>
        <w:rPr>
          <w:spacing w:val="15"/>
          <w:sz w:val="16"/>
        </w:rPr>
        <w:t>ago. 2011.</w:t>
      </w:r>
      <w:r>
        <w:rPr>
          <w:spacing w:val="75"/>
          <w:sz w:val="16"/>
        </w:rPr>
        <w:t xml:space="preserve"> </w:t>
      </w:r>
      <w:r>
        <w:rPr>
          <w:spacing w:val="17"/>
          <w:sz w:val="16"/>
        </w:rPr>
        <w:t>Disponível</w:t>
      </w:r>
      <w:r>
        <w:rPr>
          <w:spacing w:val="16"/>
          <w:sz w:val="16"/>
        </w:rPr>
        <w:t xml:space="preserve"> </w:t>
      </w:r>
      <w:r>
        <w:rPr>
          <w:spacing w:val="13"/>
          <w:sz w:val="16"/>
        </w:rPr>
        <w:t>em:</w:t>
      </w:r>
      <w:r>
        <w:rPr>
          <w:spacing w:val="-23"/>
          <w:sz w:val="16"/>
        </w:rPr>
        <w:t xml:space="preserve"> </w:t>
      </w:r>
    </w:p>
    <w:p w:rsidR="00D81F69" w:rsidRDefault="00D81F69">
      <w:pPr>
        <w:spacing w:before="1" w:line="312" w:lineRule="auto"/>
        <w:ind w:left="100" w:right="212"/>
        <w:jc w:val="both"/>
        <w:rPr>
          <w:sz w:val="16"/>
        </w:rPr>
      </w:pPr>
      <w:hyperlink r:id="rId1172">
        <w:r w:rsidR="00330118">
          <w:rPr>
            <w:sz w:val="16"/>
          </w:rPr>
          <w:t>&lt;</w:t>
        </w:r>
        <w:r w:rsidR="00330118">
          <w:rPr>
            <w:sz w:val="16"/>
          </w:rPr>
          <w:t>http://www.brasileconomico.com.br/noticias/mmx-obtem-licenca-</w:t>
        </w:r>
      </w:hyperlink>
      <w:r w:rsidR="00330118">
        <w:rPr>
          <w:sz w:val="16"/>
        </w:rPr>
        <w:t xml:space="preserve"> para-expansao-da-unidade-serra-azul_106278.html&gt;. Acesso em: 10 dez. 2011.</w:t>
      </w:r>
    </w:p>
    <w:p w:rsidR="00D81F69" w:rsidRDefault="00330118">
      <w:pPr>
        <w:tabs>
          <w:tab w:val="left" w:pos="4331"/>
        </w:tabs>
        <w:spacing w:before="3" w:line="312" w:lineRule="auto"/>
        <w:ind w:left="100" w:right="194"/>
        <w:jc w:val="both"/>
        <w:rPr>
          <w:sz w:val="16"/>
        </w:rPr>
      </w:pPr>
      <w:r>
        <w:rPr>
          <w:sz w:val="16"/>
        </w:rPr>
        <w:t xml:space="preserve">BRASIL MINERAL. Logística. Mineração Usiminas firma acordo com </w:t>
      </w:r>
      <w:r>
        <w:rPr>
          <w:spacing w:val="2"/>
          <w:sz w:val="16"/>
        </w:rPr>
        <w:t xml:space="preserve">MMX </w:t>
      </w:r>
      <w:r>
        <w:rPr>
          <w:spacing w:val="1"/>
          <w:sz w:val="16"/>
        </w:rPr>
        <w:t xml:space="preserve">em </w:t>
      </w:r>
      <w:r>
        <w:rPr>
          <w:spacing w:val="3"/>
          <w:sz w:val="16"/>
        </w:rPr>
        <w:t xml:space="preserve">Itaguaí. </w:t>
      </w:r>
      <w:r>
        <w:rPr>
          <w:spacing w:val="2"/>
          <w:sz w:val="16"/>
        </w:rPr>
        <w:t xml:space="preserve">In: </w:t>
      </w:r>
      <w:r>
        <w:rPr>
          <w:spacing w:val="3"/>
          <w:sz w:val="16"/>
        </w:rPr>
        <w:t xml:space="preserve">Brasil Mineral Online </w:t>
      </w:r>
      <w:r>
        <w:rPr>
          <w:spacing w:val="1"/>
          <w:sz w:val="16"/>
        </w:rPr>
        <w:t xml:space="preserve">n.  </w:t>
      </w:r>
      <w:r>
        <w:rPr>
          <w:spacing w:val="2"/>
          <w:sz w:val="16"/>
        </w:rPr>
        <w:t xml:space="preserve">478, </w:t>
      </w:r>
      <w:r>
        <w:rPr>
          <w:spacing w:val="1"/>
          <w:sz w:val="16"/>
        </w:rPr>
        <w:t xml:space="preserve">19  </w:t>
      </w:r>
      <w:r>
        <w:rPr>
          <w:spacing w:val="2"/>
          <w:sz w:val="16"/>
        </w:rPr>
        <w:t>n</w:t>
      </w:r>
      <w:r>
        <w:rPr>
          <w:spacing w:val="2"/>
          <w:sz w:val="16"/>
        </w:rPr>
        <w:t xml:space="preserve">ov. </w:t>
      </w:r>
      <w:r>
        <w:rPr>
          <w:spacing w:val="5"/>
          <w:sz w:val="16"/>
        </w:rPr>
        <w:t xml:space="preserve">2010.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216"/>
        <w:jc w:val="both"/>
        <w:rPr>
          <w:sz w:val="16"/>
        </w:rPr>
      </w:pPr>
      <w:hyperlink r:id="rId1173">
        <w:r w:rsidR="00330118">
          <w:rPr>
            <w:sz w:val="16"/>
          </w:rPr>
          <w:t>&lt;http://www.brasilmineral.com.br/BM/default.asp?COD=5236&amp;busca=</w:t>
        </w:r>
      </w:hyperlink>
      <w:r w:rsidR="00330118">
        <w:rPr>
          <w:sz w:val="16"/>
        </w:rPr>
        <w:t xml:space="preserve"> &amp;numero=478&gt;. Acesso em: 10 dez</w:t>
      </w:r>
      <w:r w:rsidR="00330118">
        <w:rPr>
          <w:sz w:val="16"/>
        </w:rPr>
        <w:t>. 2011.</w:t>
      </w:r>
    </w:p>
    <w:p w:rsidR="00D81F69" w:rsidRDefault="00330118">
      <w:pPr>
        <w:tabs>
          <w:tab w:val="left" w:pos="2559"/>
          <w:tab w:val="left" w:pos="5063"/>
        </w:tabs>
        <w:spacing w:before="2" w:line="312" w:lineRule="auto"/>
        <w:ind w:left="100" w:right="200"/>
        <w:jc w:val="both"/>
        <w:rPr>
          <w:sz w:val="16"/>
        </w:rPr>
      </w:pPr>
      <w:r>
        <w:rPr>
          <w:spacing w:val="1"/>
          <w:sz w:val="16"/>
        </w:rPr>
        <w:t xml:space="preserve">______. MINÉRIO </w:t>
      </w:r>
      <w:r>
        <w:rPr>
          <w:sz w:val="16"/>
        </w:rPr>
        <w:t xml:space="preserve">DE </w:t>
      </w:r>
      <w:r>
        <w:rPr>
          <w:spacing w:val="1"/>
          <w:sz w:val="16"/>
        </w:rPr>
        <w:t xml:space="preserve">FERRO. Usiminas compra Ouro Negro </w:t>
      </w:r>
      <w:r>
        <w:rPr>
          <w:spacing w:val="2"/>
          <w:sz w:val="16"/>
        </w:rPr>
        <w:t xml:space="preserve">por </w:t>
      </w:r>
      <w:r>
        <w:rPr>
          <w:sz w:val="16"/>
        </w:rPr>
        <w:t>US$ 367 milhões. In: Brasil Mineral Online, 01 dez. 2011. Disponível  e</w:t>
      </w:r>
      <w:r>
        <w:rPr>
          <w:sz w:val="16"/>
        </w:rPr>
        <w:tab/>
        <w:t>m</w:t>
      </w:r>
      <w:r>
        <w:rPr>
          <w:sz w:val="16"/>
        </w:rPr>
        <w:tab/>
        <w:t>:</w:t>
      </w:r>
    </w:p>
    <w:p w:rsidR="00D81F69" w:rsidRDefault="00D81F69">
      <w:pPr>
        <w:spacing w:before="2" w:line="312" w:lineRule="auto"/>
        <w:ind w:left="100" w:right="216"/>
        <w:jc w:val="both"/>
        <w:rPr>
          <w:sz w:val="16"/>
        </w:rPr>
      </w:pPr>
      <w:hyperlink r:id="rId1174">
        <w:r w:rsidR="00330118">
          <w:rPr>
            <w:sz w:val="16"/>
          </w:rPr>
          <w:t>&lt;http://www.brasilmineral.com.br</w:t>
        </w:r>
        <w:r w:rsidR="00330118">
          <w:rPr>
            <w:sz w:val="16"/>
          </w:rPr>
          <w:t>/BM/default.asp?COD=5899&amp;busca=</w:t>
        </w:r>
      </w:hyperlink>
      <w:r w:rsidR="00330118">
        <w:rPr>
          <w:sz w:val="16"/>
        </w:rPr>
        <w:t xml:space="preserve"> &amp;numero=530&gt;. Acesso em: 10 dez. 2011.</w:t>
      </w:r>
    </w:p>
    <w:p w:rsidR="00D81F69" w:rsidRDefault="00330118">
      <w:pPr>
        <w:spacing w:before="2" w:line="312" w:lineRule="auto"/>
        <w:ind w:left="100" w:right="188"/>
        <w:jc w:val="both"/>
        <w:rPr>
          <w:sz w:val="16"/>
        </w:rPr>
      </w:pPr>
      <w:r>
        <w:rPr>
          <w:spacing w:val="5"/>
          <w:sz w:val="16"/>
        </w:rPr>
        <w:t xml:space="preserve">CAMARA MUNICIAPAL </w:t>
      </w:r>
      <w:r>
        <w:rPr>
          <w:spacing w:val="2"/>
          <w:sz w:val="16"/>
        </w:rPr>
        <w:t xml:space="preserve">DE </w:t>
      </w:r>
      <w:r>
        <w:rPr>
          <w:spacing w:val="5"/>
          <w:sz w:val="16"/>
        </w:rPr>
        <w:t xml:space="preserve">BRUMADINHO. Audiência </w:t>
      </w:r>
      <w:r>
        <w:rPr>
          <w:spacing w:val="6"/>
          <w:sz w:val="16"/>
        </w:rPr>
        <w:t xml:space="preserve">Pública </w:t>
      </w:r>
      <w:r>
        <w:rPr>
          <w:spacing w:val="7"/>
          <w:sz w:val="16"/>
        </w:rPr>
        <w:t xml:space="preserve">discute expansão </w:t>
      </w:r>
      <w:r>
        <w:rPr>
          <w:spacing w:val="5"/>
          <w:sz w:val="16"/>
        </w:rPr>
        <w:t xml:space="preserve">da MMX em </w:t>
      </w:r>
      <w:r>
        <w:rPr>
          <w:spacing w:val="8"/>
          <w:sz w:val="16"/>
        </w:rPr>
        <w:t>Brumadinho. Disponível</w:t>
      </w:r>
      <w:r>
        <w:rPr>
          <w:spacing w:val="60"/>
          <w:sz w:val="16"/>
        </w:rPr>
        <w:t xml:space="preserve"> </w:t>
      </w:r>
      <w:r>
        <w:rPr>
          <w:spacing w:val="10"/>
          <w:sz w:val="16"/>
        </w:rPr>
        <w:t>em:</w:t>
      </w:r>
    </w:p>
    <w:p w:rsidR="00D81F69" w:rsidRDefault="00D81F69">
      <w:pPr>
        <w:spacing w:before="2" w:line="312" w:lineRule="auto"/>
        <w:ind w:left="100" w:right="197"/>
        <w:jc w:val="both"/>
        <w:rPr>
          <w:sz w:val="16"/>
        </w:rPr>
      </w:pPr>
      <w:hyperlink r:id="rId1175">
        <w:r w:rsidR="00330118">
          <w:rPr>
            <w:sz w:val="16"/>
          </w:rPr>
          <w:t>&lt;</w:t>
        </w:r>
        <w:r w:rsidR="00330118">
          <w:rPr>
            <w:sz w:val="16"/>
          </w:rPr>
          <w:t xml:space="preserve">http://www.cmbrumadinho.mg.gov.br/site/noticias/1- </w:t>
        </w:r>
      </w:hyperlink>
      <w:r w:rsidR="00330118">
        <w:rPr>
          <w:sz w:val="16"/>
        </w:rPr>
        <w:t>ultimasnoticias/287-audiencia-publica-discute-expansao-da-mmx-em- brumadinho.html&gt;. Acesso em: 10 dez. 2011.</w:t>
      </w:r>
    </w:p>
    <w:p w:rsidR="00D81F69" w:rsidRDefault="00330118">
      <w:pPr>
        <w:spacing w:before="2" w:line="312" w:lineRule="auto"/>
        <w:ind w:left="100" w:right="191"/>
        <w:jc w:val="both"/>
        <w:rPr>
          <w:sz w:val="16"/>
        </w:rPr>
      </w:pPr>
      <w:r>
        <w:rPr>
          <w:sz w:val="16"/>
        </w:rPr>
        <w:t>ENNES, Juliana. MMX vai destinar R$ 5 bilhões à Serra Azul e ao projeto Bom Sucesso. O Globo, 13</w:t>
      </w:r>
      <w:r>
        <w:rPr>
          <w:sz w:val="16"/>
        </w:rPr>
        <w:t xml:space="preserve"> dez. 2010. Disponível em:</w:t>
      </w:r>
    </w:p>
    <w:p w:rsidR="00D81F69" w:rsidRDefault="00D81F69">
      <w:pPr>
        <w:spacing w:before="2" w:line="312" w:lineRule="auto"/>
        <w:ind w:left="100" w:right="216"/>
        <w:jc w:val="both"/>
        <w:rPr>
          <w:sz w:val="16"/>
        </w:rPr>
      </w:pPr>
      <w:hyperlink r:id="rId1176">
        <w:r w:rsidR="00330118">
          <w:rPr>
            <w:sz w:val="16"/>
          </w:rPr>
          <w:t>&lt;http://oglobo.globo.com/economia/mmx-vai-destinar-5-bilhoes-serra-</w:t>
        </w:r>
      </w:hyperlink>
      <w:r w:rsidR="00330118">
        <w:rPr>
          <w:sz w:val="16"/>
        </w:rPr>
        <w:t xml:space="preserve"> azul-ao-projeto-bom-sucesso-2911101&gt;. Acesso em: 10 dez. 2011.</w:t>
      </w:r>
    </w:p>
    <w:p w:rsidR="00D81F69" w:rsidRDefault="00330118">
      <w:pPr>
        <w:tabs>
          <w:tab w:val="left" w:pos="1164"/>
          <w:tab w:val="left" w:pos="2473"/>
          <w:tab w:val="left" w:pos="4636"/>
        </w:tabs>
        <w:spacing w:before="1" w:line="312" w:lineRule="auto"/>
        <w:ind w:left="100" w:right="201"/>
        <w:jc w:val="both"/>
        <w:rPr>
          <w:sz w:val="16"/>
        </w:rPr>
      </w:pPr>
      <w:r>
        <w:rPr>
          <w:sz w:val="16"/>
        </w:rPr>
        <w:t>______. MMX va</w:t>
      </w:r>
      <w:r>
        <w:rPr>
          <w:sz w:val="16"/>
        </w:rPr>
        <w:t xml:space="preserve">i expandir a mina Serra Azul. Valor Econômico, 16    s  e </w:t>
      </w:r>
      <w:r>
        <w:rPr>
          <w:spacing w:val="22"/>
          <w:sz w:val="16"/>
        </w:rPr>
        <w:t xml:space="preserve"> </w:t>
      </w:r>
      <w:r>
        <w:rPr>
          <w:sz w:val="16"/>
        </w:rPr>
        <w:t xml:space="preserve">t </w:t>
      </w:r>
      <w:r>
        <w:rPr>
          <w:spacing w:val="10"/>
          <w:sz w:val="16"/>
        </w:rPr>
        <w:t xml:space="preserve"> </w:t>
      </w:r>
      <w:r>
        <w:rPr>
          <w:sz w:val="16"/>
        </w:rPr>
        <w:t>.</w:t>
      </w:r>
      <w:r>
        <w:rPr>
          <w:sz w:val="16"/>
        </w:rPr>
        <w:tab/>
        <w:t xml:space="preserve">2  0  1 </w:t>
      </w:r>
      <w:r>
        <w:rPr>
          <w:spacing w:val="35"/>
          <w:sz w:val="16"/>
        </w:rPr>
        <w:t xml:space="preserve"> </w:t>
      </w:r>
      <w:r>
        <w:rPr>
          <w:sz w:val="16"/>
        </w:rPr>
        <w:t xml:space="preserve">1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2"/>
          <w:sz w:val="16"/>
        </w:rPr>
        <w:t xml:space="preserve"> </w:t>
      </w:r>
      <w:r>
        <w:rPr>
          <w:sz w:val="16"/>
        </w:rPr>
        <w:t>:</w:t>
      </w:r>
    </w:p>
    <w:p w:rsidR="00D81F69" w:rsidRDefault="00D81F69">
      <w:pPr>
        <w:spacing w:before="2" w:line="312" w:lineRule="auto"/>
        <w:ind w:left="100" w:right="216"/>
        <w:jc w:val="both"/>
        <w:rPr>
          <w:sz w:val="16"/>
        </w:rPr>
      </w:pPr>
      <w:hyperlink r:id="rId1177">
        <w:r w:rsidR="00330118">
          <w:rPr>
            <w:sz w:val="16"/>
          </w:rPr>
          <w:t>&lt;</w:t>
        </w:r>
        <w:r w:rsidR="00330118">
          <w:rPr>
            <w:sz w:val="16"/>
          </w:rPr>
          <w:t>http://www.valor.com.br/empresas/1008636/mmx-vai-expandir-mina-</w:t>
        </w:r>
      </w:hyperlink>
      <w:r w:rsidR="00330118">
        <w:rPr>
          <w:sz w:val="16"/>
        </w:rPr>
        <w:t xml:space="preserve"> serra-azul&gt;. Acesso em: 10 dez. 2011.</w:t>
      </w:r>
    </w:p>
    <w:p w:rsidR="00D81F69" w:rsidRDefault="00330118">
      <w:pPr>
        <w:spacing w:before="2" w:line="312" w:lineRule="auto"/>
        <w:ind w:left="100" w:right="159"/>
        <w:jc w:val="both"/>
        <w:rPr>
          <w:sz w:val="16"/>
        </w:rPr>
      </w:pPr>
      <w:r>
        <w:rPr>
          <w:sz w:val="16"/>
        </w:rPr>
        <w:t xml:space="preserve">FONSECA, Pedro Leal. Empresa de Eike é acusada de poluir água. Folha.com, 02 jun. 2011. Disponível em: </w:t>
      </w:r>
    </w:p>
    <w:p w:rsidR="00D81F69" w:rsidRDefault="00D81F69">
      <w:pPr>
        <w:spacing w:before="1" w:line="312" w:lineRule="auto"/>
        <w:ind w:left="100" w:right="214"/>
        <w:jc w:val="both"/>
        <w:rPr>
          <w:sz w:val="16"/>
        </w:rPr>
      </w:pPr>
      <w:hyperlink r:id="rId1178">
        <w:r w:rsidR="00330118">
          <w:rPr>
            <w:sz w:val="16"/>
          </w:rPr>
          <w:t>&lt;http://www1.folha.uol.com.br/mercado/924155-empresa-de-eike-e-</w:t>
        </w:r>
      </w:hyperlink>
      <w:r w:rsidR="00330118">
        <w:rPr>
          <w:sz w:val="16"/>
        </w:rPr>
        <w:t xml:space="preserve"> acusada-de-poluir-agua.shtml&gt;. Acesso em: 10 dez. 2011.</w:t>
      </w:r>
    </w:p>
    <w:p w:rsidR="00D81F69" w:rsidRDefault="00330118">
      <w:pPr>
        <w:spacing w:before="2" w:line="312" w:lineRule="auto"/>
        <w:ind w:left="100" w:right="169"/>
        <w:jc w:val="both"/>
        <w:rPr>
          <w:sz w:val="16"/>
        </w:rPr>
      </w:pPr>
      <w:r>
        <w:rPr>
          <w:sz w:val="16"/>
        </w:rPr>
        <w:t xml:space="preserve">IBGE, Instituto Brasileiro de Geografia e Estatística, Bom Sucesso </w:t>
      </w:r>
      <w:r>
        <w:rPr>
          <w:spacing w:val="21"/>
          <w:sz w:val="16"/>
        </w:rPr>
        <w:t xml:space="preserve">(MG).   </w:t>
      </w:r>
      <w:r>
        <w:rPr>
          <w:spacing w:val="17"/>
          <w:sz w:val="16"/>
        </w:rPr>
        <w:t xml:space="preserve">In:   </w:t>
      </w:r>
      <w:r>
        <w:rPr>
          <w:spacing w:val="20"/>
          <w:sz w:val="16"/>
        </w:rPr>
        <w:t xml:space="preserve">IBGE </w:t>
      </w:r>
      <w:r>
        <w:rPr>
          <w:spacing w:val="85"/>
          <w:sz w:val="16"/>
        </w:rPr>
        <w:t xml:space="preserve"> </w:t>
      </w:r>
      <w:r>
        <w:rPr>
          <w:spacing w:val="23"/>
          <w:sz w:val="16"/>
        </w:rPr>
        <w:t xml:space="preserve">Cidades,   </w:t>
      </w:r>
      <w:r>
        <w:rPr>
          <w:spacing w:val="21"/>
          <w:sz w:val="16"/>
        </w:rPr>
        <w:t xml:space="preserve">2010.   </w:t>
      </w:r>
      <w:r>
        <w:rPr>
          <w:spacing w:val="25"/>
          <w:sz w:val="16"/>
        </w:rPr>
        <w:t>Disponível</w:t>
      </w:r>
      <w:r>
        <w:rPr>
          <w:spacing w:val="78"/>
          <w:sz w:val="16"/>
        </w:rPr>
        <w:t xml:space="preserve"> </w:t>
      </w:r>
      <w:r>
        <w:rPr>
          <w:spacing w:val="17"/>
          <w:sz w:val="16"/>
        </w:rPr>
        <w:t>em:</w:t>
      </w:r>
      <w:r>
        <w:rPr>
          <w:spacing w:val="-15"/>
          <w:sz w:val="16"/>
        </w:rPr>
        <w:t xml:space="preserve"> </w:t>
      </w:r>
    </w:p>
    <w:p w:rsidR="00D81F69" w:rsidRDefault="00D81F69">
      <w:pPr>
        <w:spacing w:before="2"/>
        <w:ind w:left="100"/>
        <w:jc w:val="both"/>
        <w:rPr>
          <w:sz w:val="16"/>
        </w:rPr>
      </w:pPr>
      <w:hyperlink r:id="rId1179">
        <w:r w:rsidR="00330118">
          <w:rPr>
            <w:sz w:val="16"/>
          </w:rPr>
          <w:t>&lt;http://www.ibge.gov.br/cidadesat/xtras/perfil.php?codmun=310800&amp;r</w:t>
        </w:r>
      </w:hyperlink>
    </w:p>
    <w:p w:rsidR="00D81F69" w:rsidRDefault="00330118">
      <w:pPr>
        <w:spacing w:before="56"/>
        <w:ind w:left="100"/>
        <w:jc w:val="both"/>
        <w:rPr>
          <w:sz w:val="16"/>
        </w:rPr>
      </w:pPr>
      <w:r>
        <w:rPr>
          <w:sz w:val="16"/>
        </w:rPr>
        <w:t>=2&gt;. Acesso em: 10 dez. 2011.</w:t>
      </w:r>
    </w:p>
    <w:p w:rsidR="00D81F69" w:rsidRDefault="00330118">
      <w:pPr>
        <w:spacing w:line="240" w:lineRule="atLeast"/>
        <w:ind w:left="100" w:right="179"/>
        <w:jc w:val="both"/>
        <w:rPr>
          <w:sz w:val="16"/>
        </w:rPr>
      </w:pPr>
      <w:r>
        <w:rPr>
          <w:sz w:val="16"/>
        </w:rPr>
        <w:t>MINÉRIOS &amp; MINERALES. Ferro. MMX anuncia investimentos d</w:t>
      </w:r>
      <w:r>
        <w:rPr>
          <w:sz w:val="16"/>
        </w:rPr>
        <w:t xml:space="preserve">e R$ 2,6 bilhões até 2015. 20 jun. 2009. Disponível em: </w:t>
      </w:r>
    </w:p>
    <w:p w:rsidR="00D81F69" w:rsidRDefault="00D81F69">
      <w:pPr>
        <w:spacing w:line="240" w:lineRule="atLeast"/>
        <w:jc w:val="both"/>
        <w:rPr>
          <w:sz w:val="16"/>
        </w:rPr>
        <w:sectPr w:rsidR="00D81F69">
          <w:pgSz w:w="11900" w:h="16840"/>
          <w:pgMar w:top="740" w:right="500" w:bottom="680" w:left="620" w:header="0" w:footer="402" w:gutter="0"/>
          <w:cols w:num="2" w:space="720" w:equalWidth="0">
            <w:col w:w="5157" w:space="313"/>
            <w:col w:w="5310"/>
          </w:cols>
        </w:sectPr>
      </w:pPr>
    </w:p>
    <w:p w:rsidR="00D81F69" w:rsidRDefault="00D81F69">
      <w:pPr>
        <w:spacing w:before="70" w:line="312" w:lineRule="auto"/>
        <w:ind w:left="100" w:right="88"/>
        <w:jc w:val="both"/>
        <w:rPr>
          <w:sz w:val="16"/>
        </w:rPr>
      </w:pPr>
      <w:hyperlink r:id="rId1180">
        <w:r w:rsidR="00330118">
          <w:rPr>
            <w:sz w:val="16"/>
          </w:rPr>
          <w:t>&lt;http://www.minerios.com.br/index.php?page=materia.php&amp;id=1961&gt;.</w:t>
        </w:r>
      </w:hyperlink>
      <w:r w:rsidR="00330118">
        <w:rPr>
          <w:sz w:val="16"/>
        </w:rPr>
        <w:t xml:space="preserve"> Acesso em: 10 dez. 201</w:t>
      </w:r>
      <w:r w:rsidR="00330118">
        <w:rPr>
          <w:sz w:val="16"/>
        </w:rPr>
        <w:t>1.</w:t>
      </w:r>
    </w:p>
    <w:p w:rsidR="00D81F69" w:rsidRDefault="00330118">
      <w:pPr>
        <w:spacing w:before="1" w:line="312" w:lineRule="auto"/>
        <w:ind w:left="100" w:right="59"/>
        <w:jc w:val="both"/>
        <w:rPr>
          <w:sz w:val="16"/>
        </w:rPr>
      </w:pPr>
      <w:r>
        <w:rPr>
          <w:sz w:val="16"/>
        </w:rPr>
        <w:t xml:space="preserve">MMX. MMX apresenta Estudo de Impacto Ambiental para cidadãos  </w:t>
      </w:r>
      <w:r>
        <w:rPr>
          <w:spacing w:val="12"/>
          <w:sz w:val="16"/>
        </w:rPr>
        <w:t xml:space="preserve">de </w:t>
      </w:r>
      <w:r>
        <w:rPr>
          <w:spacing w:val="16"/>
          <w:sz w:val="16"/>
        </w:rPr>
        <w:t xml:space="preserve">Bom </w:t>
      </w:r>
      <w:r>
        <w:rPr>
          <w:spacing w:val="21"/>
          <w:sz w:val="16"/>
        </w:rPr>
        <w:t xml:space="preserve">Sucesso. </w:t>
      </w:r>
      <w:r>
        <w:rPr>
          <w:spacing w:val="12"/>
          <w:sz w:val="16"/>
        </w:rPr>
        <w:t xml:space="preserve">19 </w:t>
      </w:r>
      <w:r>
        <w:rPr>
          <w:spacing w:val="18"/>
          <w:sz w:val="16"/>
        </w:rPr>
        <w:t xml:space="preserve">ago, </w:t>
      </w:r>
      <w:r>
        <w:rPr>
          <w:spacing w:val="20"/>
          <w:sz w:val="16"/>
        </w:rPr>
        <w:t xml:space="preserve">2010. </w:t>
      </w:r>
      <w:r>
        <w:rPr>
          <w:spacing w:val="22"/>
          <w:sz w:val="16"/>
        </w:rPr>
        <w:t>Disponível</w:t>
      </w:r>
      <w:r>
        <w:rPr>
          <w:spacing w:val="41"/>
          <w:sz w:val="16"/>
        </w:rPr>
        <w:t xml:space="preserve"> </w:t>
      </w:r>
      <w:r>
        <w:rPr>
          <w:spacing w:val="16"/>
          <w:sz w:val="16"/>
        </w:rPr>
        <w:t>em:</w:t>
      </w:r>
      <w:r>
        <w:rPr>
          <w:spacing w:val="-18"/>
          <w:sz w:val="16"/>
        </w:rPr>
        <w:t xml:space="preserve"> </w:t>
      </w:r>
    </w:p>
    <w:p w:rsidR="00D81F69" w:rsidRDefault="00D81F69">
      <w:pPr>
        <w:spacing w:before="2" w:line="312" w:lineRule="auto"/>
        <w:ind w:left="100" w:right="104"/>
        <w:jc w:val="both"/>
        <w:rPr>
          <w:sz w:val="16"/>
        </w:rPr>
      </w:pPr>
      <w:hyperlink r:id="rId1181">
        <w:r w:rsidR="00330118">
          <w:rPr>
            <w:sz w:val="16"/>
          </w:rPr>
          <w:t>&lt;http://www.mmx.com.br/pt/sala-de-imprensa/noticias/Paginas/MMX-</w:t>
        </w:r>
      </w:hyperlink>
      <w:r w:rsidR="00330118">
        <w:rPr>
          <w:sz w:val="16"/>
        </w:rPr>
        <w:t xml:space="preserve"> apresenta-Estudo-de-Impacto-Ambiental-para-cidad%C3%A3os-de- Bom-Sucesso.aspx&gt;. Acesso em: 10 dez. 2011.</w:t>
      </w:r>
    </w:p>
    <w:p w:rsidR="00D81F69" w:rsidRDefault="00330118">
      <w:pPr>
        <w:spacing w:before="2"/>
        <w:ind w:left="100"/>
        <w:jc w:val="both"/>
        <w:rPr>
          <w:sz w:val="16"/>
        </w:rPr>
      </w:pPr>
      <w:r>
        <w:rPr>
          <w:sz w:val="16"/>
        </w:rPr>
        <w:t>______. Unidade Serra Azul, 2011. 2011a. .Disponível em:</w:t>
      </w:r>
    </w:p>
    <w:p w:rsidR="00D81F69" w:rsidRDefault="00D81F69">
      <w:pPr>
        <w:spacing w:before="56" w:line="312" w:lineRule="auto"/>
        <w:ind w:left="100" w:right="106"/>
        <w:jc w:val="both"/>
        <w:rPr>
          <w:sz w:val="16"/>
        </w:rPr>
      </w:pPr>
      <w:hyperlink r:id="rId1182">
        <w:r w:rsidR="00330118">
          <w:rPr>
            <w:sz w:val="16"/>
          </w:rPr>
          <w:t>&lt;http://www.</w:t>
        </w:r>
        <w:r w:rsidR="00330118">
          <w:rPr>
            <w:sz w:val="16"/>
          </w:rPr>
          <w:t>mmx.com.br/pt/nossos-negocios/Paginas/unidade-serra-</w:t>
        </w:r>
      </w:hyperlink>
      <w:r w:rsidR="00330118">
        <w:rPr>
          <w:sz w:val="16"/>
        </w:rPr>
        <w:t xml:space="preserve"> azul.aspx&gt;. Acesso em: 10 dez. 2011.</w:t>
      </w:r>
    </w:p>
    <w:p w:rsidR="00D81F69" w:rsidRDefault="00330118">
      <w:pPr>
        <w:spacing w:before="2"/>
        <w:ind w:left="100"/>
        <w:jc w:val="both"/>
        <w:rPr>
          <w:sz w:val="16"/>
        </w:rPr>
      </w:pPr>
      <w:r>
        <w:rPr>
          <w:sz w:val="16"/>
        </w:rPr>
        <w:t>______ Unidade Bom Sucesso, 2011. 2011b. Disponível em:</w:t>
      </w:r>
    </w:p>
    <w:p w:rsidR="00D81F69" w:rsidRDefault="00D81F69">
      <w:pPr>
        <w:spacing w:before="56" w:line="312" w:lineRule="auto"/>
        <w:ind w:left="100" w:right="105"/>
        <w:jc w:val="both"/>
        <w:rPr>
          <w:sz w:val="16"/>
        </w:rPr>
      </w:pPr>
      <w:hyperlink r:id="rId1183">
        <w:r w:rsidR="00330118">
          <w:rPr>
            <w:sz w:val="16"/>
          </w:rPr>
          <w:t>&lt;http://www.mmx.com.br/pt/nosso</w:t>
        </w:r>
        <w:r w:rsidR="00330118">
          <w:rPr>
            <w:sz w:val="16"/>
          </w:rPr>
          <w:t>s-negocios/Paginas/Unidade-Bom-</w:t>
        </w:r>
      </w:hyperlink>
      <w:r w:rsidR="00330118">
        <w:rPr>
          <w:sz w:val="16"/>
        </w:rPr>
        <w:t xml:space="preserve"> Sucesso.aspx&gt;. Acesso em: 10 dez. 2011.</w:t>
      </w:r>
    </w:p>
    <w:p w:rsidR="00D81F69" w:rsidRDefault="00330118">
      <w:pPr>
        <w:spacing w:before="2"/>
        <w:ind w:left="100"/>
        <w:jc w:val="both"/>
        <w:rPr>
          <w:sz w:val="16"/>
        </w:rPr>
      </w:pPr>
      <w:r>
        <w:rPr>
          <w:sz w:val="16"/>
        </w:rPr>
        <w:t xml:space="preserve">______Sistema Sudeste, 2011. 2011c. Disponível em: </w:t>
      </w:r>
    </w:p>
    <w:p w:rsidR="00D81F69" w:rsidRDefault="00D81F69">
      <w:pPr>
        <w:spacing w:before="56" w:line="312" w:lineRule="auto"/>
        <w:ind w:left="100" w:right="98"/>
        <w:jc w:val="both"/>
        <w:rPr>
          <w:sz w:val="16"/>
        </w:rPr>
      </w:pPr>
      <w:hyperlink r:id="rId1184">
        <w:r w:rsidR="00330118">
          <w:rPr>
            <w:sz w:val="16"/>
          </w:rPr>
          <w:t>&lt;http://www.mmx.com.br/pt/nossos-negocios/Paginas/sistema</w:t>
        </w:r>
        <w:r w:rsidR="00330118">
          <w:rPr>
            <w:sz w:val="16"/>
          </w:rPr>
          <w:t>-</w:t>
        </w:r>
      </w:hyperlink>
      <w:r w:rsidR="00330118">
        <w:rPr>
          <w:sz w:val="16"/>
        </w:rPr>
        <w:t xml:space="preserve"> sudeste.aspx&gt;. Acesso em: 10 dez. 2011.</w:t>
      </w:r>
    </w:p>
    <w:p w:rsidR="00D81F69" w:rsidRDefault="00330118">
      <w:pPr>
        <w:spacing w:before="1" w:line="312" w:lineRule="auto"/>
        <w:ind w:left="100" w:right="38"/>
        <w:jc w:val="both"/>
        <w:rPr>
          <w:sz w:val="16"/>
        </w:rPr>
      </w:pPr>
      <w:r>
        <w:rPr>
          <w:sz w:val="16"/>
        </w:rPr>
        <w:t xml:space="preserve">PORTAL ECODEBATE. RJ inicia a descontaminação do terreno da Companhia Ingá Mercantil, um dos maiores passivos ambientais do    </w:t>
      </w:r>
      <w:r>
        <w:rPr>
          <w:spacing w:val="5"/>
          <w:sz w:val="16"/>
        </w:rPr>
        <w:t xml:space="preserve">e s t a d o </w:t>
      </w:r>
      <w:r>
        <w:rPr>
          <w:sz w:val="16"/>
        </w:rPr>
        <w:t xml:space="preserve">.      </w:t>
      </w:r>
      <w:r>
        <w:rPr>
          <w:spacing w:val="5"/>
          <w:sz w:val="16"/>
        </w:rPr>
        <w:t xml:space="preserve">0 </w:t>
      </w:r>
      <w:r>
        <w:rPr>
          <w:sz w:val="16"/>
        </w:rPr>
        <w:t xml:space="preserve">5      </w:t>
      </w:r>
      <w:r>
        <w:rPr>
          <w:spacing w:val="5"/>
          <w:sz w:val="16"/>
        </w:rPr>
        <w:t xml:space="preserve">j u n </w:t>
      </w:r>
      <w:r>
        <w:rPr>
          <w:sz w:val="16"/>
        </w:rPr>
        <w:t xml:space="preserve">.      </w:t>
      </w:r>
      <w:r>
        <w:rPr>
          <w:spacing w:val="5"/>
          <w:sz w:val="16"/>
        </w:rPr>
        <w:t xml:space="preserve">2 0 0 9 </w:t>
      </w:r>
      <w:r>
        <w:rPr>
          <w:sz w:val="16"/>
        </w:rPr>
        <w:t xml:space="preserve">.      </w:t>
      </w:r>
      <w:r>
        <w:rPr>
          <w:spacing w:val="5"/>
          <w:sz w:val="16"/>
        </w:rPr>
        <w:t xml:space="preserve">D i s p o n í v e </w:t>
      </w:r>
      <w:r>
        <w:rPr>
          <w:sz w:val="16"/>
        </w:rPr>
        <w:t xml:space="preserve">l   </w:t>
      </w:r>
      <w:r>
        <w:rPr>
          <w:spacing w:val="17"/>
          <w:sz w:val="16"/>
        </w:rPr>
        <w:t xml:space="preserve"> </w:t>
      </w:r>
      <w:r>
        <w:rPr>
          <w:spacing w:val="5"/>
          <w:sz w:val="16"/>
        </w:rPr>
        <w:t xml:space="preserve">e m </w:t>
      </w:r>
      <w:r>
        <w:rPr>
          <w:sz w:val="16"/>
        </w:rPr>
        <w:t>:</w:t>
      </w:r>
      <w:r>
        <w:rPr>
          <w:spacing w:val="5"/>
          <w:sz w:val="16"/>
        </w:rPr>
        <w:t xml:space="preserve"> </w:t>
      </w:r>
    </w:p>
    <w:p w:rsidR="00D81F69" w:rsidRDefault="00D81F69">
      <w:pPr>
        <w:tabs>
          <w:tab w:val="left" w:pos="1124"/>
          <w:tab w:val="left" w:pos="2447"/>
          <w:tab w:val="left" w:pos="4635"/>
        </w:tabs>
        <w:spacing w:before="3" w:line="312" w:lineRule="auto"/>
        <w:ind w:left="100" w:right="82"/>
        <w:jc w:val="both"/>
        <w:rPr>
          <w:sz w:val="16"/>
        </w:rPr>
      </w:pPr>
      <w:hyperlink r:id="rId1185">
        <w:r w:rsidR="00330118">
          <w:rPr>
            <w:spacing w:val="21"/>
            <w:sz w:val="16"/>
          </w:rPr>
          <w:t xml:space="preserve">&lt;http://www.ecodebate.com.br/2009/06/05/rj-inicia-a- </w:t>
        </w:r>
      </w:hyperlink>
      <w:r w:rsidR="00330118">
        <w:rPr>
          <w:sz w:val="16"/>
        </w:rPr>
        <w:t xml:space="preserve">descontaminacao-do-terreno-da-companhia-inga-mercantil-um-dos- maiores-passivos-ambientais-do-estado/&gt; Acesso em: 10 dez. 2011. PORTOS </w:t>
      </w:r>
      <w:r w:rsidR="00330118">
        <w:rPr>
          <w:sz w:val="16"/>
        </w:rPr>
        <w:t>E NAVIOS. Serra Azul desponta como região estratégica para MMX e Usiminas. Mendes Vianna Advogados Associados, 19      j   u</w:t>
      </w:r>
      <w:r w:rsidR="00330118">
        <w:rPr>
          <w:spacing w:val="26"/>
          <w:sz w:val="16"/>
        </w:rPr>
        <w:t xml:space="preserve"> </w:t>
      </w:r>
      <w:r w:rsidR="00330118">
        <w:rPr>
          <w:sz w:val="16"/>
        </w:rPr>
        <w:t xml:space="preserve">l </w:t>
      </w:r>
      <w:r w:rsidR="00330118">
        <w:rPr>
          <w:spacing w:val="12"/>
          <w:sz w:val="16"/>
        </w:rPr>
        <w:t xml:space="preserve"> </w:t>
      </w:r>
      <w:r w:rsidR="00330118">
        <w:rPr>
          <w:sz w:val="16"/>
        </w:rPr>
        <w:t>.</w:t>
      </w:r>
      <w:r w:rsidR="00330118">
        <w:rPr>
          <w:sz w:val="16"/>
        </w:rPr>
        <w:tab/>
        <w:t>2   0   1</w:t>
      </w:r>
      <w:r w:rsidR="00330118">
        <w:rPr>
          <w:spacing w:val="-3"/>
          <w:sz w:val="16"/>
        </w:rPr>
        <w:t xml:space="preserve"> </w:t>
      </w:r>
      <w:r w:rsidR="00330118">
        <w:rPr>
          <w:sz w:val="16"/>
        </w:rPr>
        <w:t xml:space="preserve">1 </w:t>
      </w:r>
      <w:r w:rsidR="00330118">
        <w:rPr>
          <w:spacing w:val="12"/>
          <w:sz w:val="16"/>
        </w:rPr>
        <w:t xml:space="preserve"> </w:t>
      </w:r>
      <w:r w:rsidR="00330118">
        <w:rPr>
          <w:sz w:val="16"/>
        </w:rPr>
        <w:t>.</w:t>
      </w:r>
      <w:r w:rsidR="00330118">
        <w:rPr>
          <w:sz w:val="16"/>
        </w:rPr>
        <w:tab/>
        <w:t xml:space="preserve">D </w:t>
      </w:r>
      <w:r w:rsidR="00330118">
        <w:rPr>
          <w:spacing w:val="12"/>
          <w:sz w:val="16"/>
        </w:rPr>
        <w:t xml:space="preserve"> </w:t>
      </w:r>
      <w:r w:rsidR="00330118">
        <w:rPr>
          <w:sz w:val="16"/>
        </w:rPr>
        <w:t xml:space="preserve">i </w:t>
      </w:r>
      <w:r w:rsidR="00330118">
        <w:rPr>
          <w:spacing w:val="12"/>
          <w:sz w:val="16"/>
        </w:rPr>
        <w:t xml:space="preserve"> </w:t>
      </w:r>
      <w:r w:rsidR="00330118">
        <w:rPr>
          <w:sz w:val="16"/>
        </w:rPr>
        <w:t xml:space="preserve">s </w:t>
      </w:r>
      <w:r w:rsidR="00330118">
        <w:rPr>
          <w:spacing w:val="12"/>
          <w:sz w:val="16"/>
        </w:rPr>
        <w:t xml:space="preserve"> </w:t>
      </w:r>
      <w:r w:rsidR="00330118">
        <w:rPr>
          <w:sz w:val="16"/>
        </w:rPr>
        <w:t xml:space="preserve">p </w:t>
      </w:r>
      <w:r w:rsidR="00330118">
        <w:rPr>
          <w:spacing w:val="12"/>
          <w:sz w:val="16"/>
        </w:rPr>
        <w:t xml:space="preserve"> </w:t>
      </w:r>
      <w:r w:rsidR="00330118">
        <w:rPr>
          <w:sz w:val="16"/>
        </w:rPr>
        <w:t xml:space="preserve">o </w:t>
      </w:r>
      <w:r w:rsidR="00330118">
        <w:rPr>
          <w:spacing w:val="12"/>
          <w:sz w:val="16"/>
        </w:rPr>
        <w:t xml:space="preserve"> </w:t>
      </w:r>
      <w:r w:rsidR="00330118">
        <w:rPr>
          <w:sz w:val="16"/>
        </w:rPr>
        <w:t xml:space="preserve">n </w:t>
      </w:r>
      <w:r w:rsidR="00330118">
        <w:rPr>
          <w:spacing w:val="12"/>
          <w:sz w:val="16"/>
        </w:rPr>
        <w:t xml:space="preserve"> </w:t>
      </w:r>
      <w:r w:rsidR="00330118">
        <w:rPr>
          <w:sz w:val="16"/>
        </w:rPr>
        <w:t xml:space="preserve">í </w:t>
      </w:r>
      <w:r w:rsidR="00330118">
        <w:rPr>
          <w:spacing w:val="12"/>
          <w:sz w:val="16"/>
        </w:rPr>
        <w:t xml:space="preserve"> </w:t>
      </w:r>
      <w:r w:rsidR="00330118">
        <w:rPr>
          <w:sz w:val="16"/>
        </w:rPr>
        <w:t xml:space="preserve">v </w:t>
      </w:r>
      <w:r w:rsidR="00330118">
        <w:rPr>
          <w:spacing w:val="12"/>
          <w:sz w:val="16"/>
        </w:rPr>
        <w:t xml:space="preserve"> </w:t>
      </w:r>
      <w:r w:rsidR="00330118">
        <w:rPr>
          <w:sz w:val="16"/>
        </w:rPr>
        <w:t xml:space="preserve">e </w:t>
      </w:r>
      <w:r w:rsidR="00330118">
        <w:rPr>
          <w:spacing w:val="12"/>
          <w:sz w:val="16"/>
        </w:rPr>
        <w:t xml:space="preserve"> </w:t>
      </w:r>
      <w:r w:rsidR="00330118">
        <w:rPr>
          <w:sz w:val="16"/>
        </w:rPr>
        <w:t>l</w:t>
      </w:r>
      <w:r w:rsidR="00330118">
        <w:rPr>
          <w:sz w:val="16"/>
        </w:rPr>
        <w:tab/>
        <w:t>e   m</w:t>
      </w:r>
      <w:r w:rsidR="00330118">
        <w:rPr>
          <w:spacing w:val="26"/>
          <w:sz w:val="16"/>
        </w:rPr>
        <w:t xml:space="preserve"> </w:t>
      </w:r>
      <w:r w:rsidR="00330118">
        <w:rPr>
          <w:sz w:val="16"/>
        </w:rPr>
        <w:t>:</w:t>
      </w:r>
    </w:p>
    <w:p w:rsidR="00D81F69" w:rsidRDefault="00D81F69">
      <w:pPr>
        <w:spacing w:before="5" w:line="312" w:lineRule="auto"/>
        <w:ind w:left="100" w:right="87"/>
        <w:jc w:val="both"/>
        <w:rPr>
          <w:sz w:val="16"/>
        </w:rPr>
      </w:pPr>
      <w:hyperlink r:id="rId1186">
        <w:r w:rsidR="00330118">
          <w:rPr>
            <w:sz w:val="16"/>
          </w:rPr>
          <w:t>&lt;ht</w:t>
        </w:r>
        <w:r w:rsidR="00330118">
          <w:rPr>
            <w:sz w:val="16"/>
          </w:rPr>
          <w:t xml:space="preserve">tp://www.mendesvianna.com/clipping/9002/Serra-Azul- </w:t>
        </w:r>
      </w:hyperlink>
      <w:r w:rsidR="00330118">
        <w:rPr>
          <w:sz w:val="16"/>
        </w:rPr>
        <w:t>desponta.html?PHPSESSID=250bcc887794db0c42fad33f8f6dced5&gt;. Acesso em: 08 dez. 2011.</w:t>
      </w:r>
    </w:p>
    <w:p w:rsidR="00D81F69" w:rsidRDefault="00330118">
      <w:pPr>
        <w:spacing w:before="2" w:line="312" w:lineRule="auto"/>
        <w:ind w:left="100" w:right="88"/>
        <w:jc w:val="both"/>
        <w:rPr>
          <w:sz w:val="16"/>
        </w:rPr>
      </w:pPr>
      <w:r>
        <w:rPr>
          <w:sz w:val="16"/>
        </w:rPr>
        <w:t>PRADO FILHO, José Francisco do; SOUZA, Marcelo Pereira de. O licenciamento ambiental da mineração no Quadrilátero Ferrífero de Minas Gerais – uma análise da implementação de medidas de controle ambiental formuladas em EIAs/RIMAs. Eng. Sanit. Ambient.</w:t>
      </w:r>
    </w:p>
    <w:p w:rsidR="00D81F69" w:rsidRDefault="00330118">
      <w:pPr>
        <w:spacing w:before="3"/>
        <w:ind w:left="100"/>
        <w:jc w:val="both"/>
        <w:rPr>
          <w:sz w:val="16"/>
        </w:rPr>
      </w:pPr>
      <w:r>
        <w:rPr>
          <w:sz w:val="16"/>
        </w:rPr>
        <w:t>v.  9</w:t>
      </w:r>
      <w:r>
        <w:rPr>
          <w:sz w:val="16"/>
        </w:rPr>
        <w:t xml:space="preserve">  n.  4,  Rio  de  Janeiro,  out-dez.  2004  Disponível  em: </w:t>
      </w:r>
    </w:p>
    <w:p w:rsidR="00D81F69" w:rsidRDefault="00D81F69">
      <w:pPr>
        <w:spacing w:before="56" w:line="312" w:lineRule="auto"/>
        <w:ind w:left="100" w:right="65"/>
        <w:jc w:val="both"/>
        <w:rPr>
          <w:sz w:val="16"/>
        </w:rPr>
      </w:pPr>
      <w:hyperlink r:id="rId1187">
        <w:r w:rsidR="00330118">
          <w:rPr>
            <w:sz w:val="16"/>
          </w:rPr>
          <w:t xml:space="preserve">&lt;http://www.scielo.br/scielo.php?pid=S1413- </w:t>
        </w:r>
      </w:hyperlink>
      <w:r w:rsidR="00330118">
        <w:rPr>
          <w:sz w:val="16"/>
        </w:rPr>
        <w:t>41522004000400012&amp;script=sci_arttext&gt;. Acesso em: 10 dez. 2011.</w:t>
      </w:r>
    </w:p>
    <w:p w:rsidR="00D81F69" w:rsidRDefault="00330118">
      <w:pPr>
        <w:tabs>
          <w:tab w:val="left" w:pos="4331"/>
        </w:tabs>
        <w:spacing w:before="70" w:line="312" w:lineRule="auto"/>
        <w:ind w:left="100" w:right="199"/>
        <w:jc w:val="both"/>
        <w:rPr>
          <w:sz w:val="16"/>
        </w:rPr>
      </w:pPr>
      <w:r>
        <w:br w:type="column"/>
      </w:r>
      <w:r>
        <w:rPr>
          <w:spacing w:val="5"/>
          <w:sz w:val="16"/>
        </w:rPr>
        <w:lastRenderedPageBreak/>
        <w:t xml:space="preserve">SABIÁ, </w:t>
      </w:r>
      <w:r>
        <w:rPr>
          <w:spacing w:val="3"/>
          <w:sz w:val="16"/>
        </w:rPr>
        <w:t xml:space="preserve">J. </w:t>
      </w:r>
      <w:r>
        <w:rPr>
          <w:spacing w:val="5"/>
          <w:sz w:val="16"/>
        </w:rPr>
        <w:t xml:space="preserve">Briga </w:t>
      </w:r>
      <w:r>
        <w:rPr>
          <w:spacing w:val="3"/>
          <w:sz w:val="16"/>
        </w:rPr>
        <w:t xml:space="preserve">na </w:t>
      </w:r>
      <w:r>
        <w:rPr>
          <w:spacing w:val="5"/>
          <w:sz w:val="16"/>
        </w:rPr>
        <w:t xml:space="preserve">Serra </w:t>
      </w:r>
      <w:r>
        <w:rPr>
          <w:spacing w:val="6"/>
          <w:sz w:val="16"/>
        </w:rPr>
        <w:t xml:space="preserve">Azul.Troca </w:t>
      </w:r>
      <w:r>
        <w:rPr>
          <w:spacing w:val="3"/>
          <w:sz w:val="16"/>
        </w:rPr>
        <w:t xml:space="preserve">de </w:t>
      </w:r>
      <w:r>
        <w:rPr>
          <w:spacing w:val="6"/>
          <w:sz w:val="16"/>
        </w:rPr>
        <w:t xml:space="preserve">acusações </w:t>
      </w:r>
      <w:r>
        <w:rPr>
          <w:spacing w:val="5"/>
          <w:sz w:val="16"/>
        </w:rPr>
        <w:t xml:space="preserve">entre </w:t>
      </w:r>
      <w:r>
        <w:rPr>
          <w:spacing w:val="7"/>
          <w:sz w:val="16"/>
        </w:rPr>
        <w:t xml:space="preserve">as </w:t>
      </w:r>
      <w:r>
        <w:rPr>
          <w:sz w:val="16"/>
        </w:rPr>
        <w:t xml:space="preserve">mineradoras Emicon e MMX. Revista Estado Ecológico, 19 ago. 2011.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217"/>
        <w:jc w:val="both"/>
        <w:rPr>
          <w:sz w:val="16"/>
        </w:rPr>
      </w:pPr>
      <w:hyperlink r:id="rId1188">
        <w:r w:rsidR="00330118">
          <w:rPr>
            <w:sz w:val="16"/>
          </w:rPr>
          <w:t>&lt;</w:t>
        </w:r>
        <w:r w:rsidR="00330118">
          <w:rPr>
            <w:sz w:val="16"/>
          </w:rPr>
          <w:t>http://www.revistaecologico.com.br/materia.php?materia=NTYy&amp;edic</w:t>
        </w:r>
      </w:hyperlink>
      <w:r w:rsidR="00330118">
        <w:rPr>
          <w:sz w:val="16"/>
        </w:rPr>
        <w:t xml:space="preserve"> ao_id=69&gt;. Acesso em: 11 dez. 2011.</w:t>
      </w:r>
    </w:p>
    <w:p w:rsidR="00D81F69" w:rsidRDefault="00330118">
      <w:pPr>
        <w:spacing w:before="2" w:line="312" w:lineRule="auto"/>
        <w:ind w:left="100" w:right="199"/>
        <w:jc w:val="both"/>
        <w:rPr>
          <w:sz w:val="16"/>
        </w:rPr>
      </w:pPr>
      <w:r>
        <w:rPr>
          <w:sz w:val="16"/>
        </w:rPr>
        <w:t>SARAPU, Paula. Feam investiga indícios de irregularidades na mineração em Brumadinho. EM.com.br, 20 maio 2011. Disponível em:</w:t>
      </w:r>
    </w:p>
    <w:p w:rsidR="00D81F69" w:rsidRDefault="00D81F69">
      <w:pPr>
        <w:spacing w:before="1" w:line="312" w:lineRule="auto"/>
        <w:ind w:left="100" w:right="214"/>
        <w:jc w:val="both"/>
        <w:rPr>
          <w:sz w:val="16"/>
        </w:rPr>
      </w:pPr>
      <w:hyperlink r:id="rId1189">
        <w:r w:rsidR="00330118">
          <w:rPr>
            <w:sz w:val="16"/>
          </w:rPr>
          <w:t>&lt;http://www.em.com.br/app/noticia/gerais/2011/05/20/interna_gerais,2</w:t>
        </w:r>
      </w:hyperlink>
      <w:r w:rsidR="00330118">
        <w:rPr>
          <w:sz w:val="16"/>
        </w:rPr>
        <w:t xml:space="preserve"> 28780/feam-investiga-indicios-de-irregularidades-na-mineracao-em- brumadinho.shtml&gt;. Acesso em: 10 dez. 2011.</w:t>
      </w:r>
    </w:p>
    <w:p w:rsidR="00D81F69" w:rsidRDefault="00330118">
      <w:pPr>
        <w:spacing w:before="3" w:line="312" w:lineRule="auto"/>
        <w:ind w:left="100" w:right="186"/>
        <w:jc w:val="both"/>
        <w:rPr>
          <w:sz w:val="16"/>
        </w:rPr>
      </w:pPr>
      <w:r>
        <w:rPr>
          <w:sz w:val="16"/>
        </w:rPr>
        <w:t>TAKAR, Téo. MMX ent</w:t>
      </w:r>
      <w:r>
        <w:rPr>
          <w:sz w:val="16"/>
        </w:rPr>
        <w:t xml:space="preserve">rega estudo de impacto ambiental do projeto </w:t>
      </w:r>
      <w:r>
        <w:rPr>
          <w:spacing w:val="5"/>
          <w:sz w:val="16"/>
        </w:rPr>
        <w:t xml:space="preserve">de </w:t>
      </w:r>
      <w:r>
        <w:rPr>
          <w:spacing w:val="6"/>
          <w:sz w:val="16"/>
        </w:rPr>
        <w:t xml:space="preserve">Bom </w:t>
      </w:r>
      <w:r>
        <w:rPr>
          <w:spacing w:val="8"/>
          <w:sz w:val="16"/>
        </w:rPr>
        <w:t xml:space="preserve">Sucesso. </w:t>
      </w:r>
      <w:r>
        <w:rPr>
          <w:sz w:val="16"/>
        </w:rPr>
        <w:t xml:space="preserve">O </w:t>
      </w:r>
      <w:r>
        <w:rPr>
          <w:spacing w:val="8"/>
          <w:sz w:val="16"/>
        </w:rPr>
        <w:t xml:space="preserve">Globo, </w:t>
      </w:r>
      <w:r>
        <w:rPr>
          <w:spacing w:val="5"/>
          <w:sz w:val="16"/>
        </w:rPr>
        <w:t xml:space="preserve">10 </w:t>
      </w:r>
      <w:r>
        <w:rPr>
          <w:spacing w:val="7"/>
          <w:sz w:val="16"/>
        </w:rPr>
        <w:t xml:space="preserve">nov. 2010. </w:t>
      </w:r>
      <w:r>
        <w:rPr>
          <w:spacing w:val="8"/>
          <w:sz w:val="16"/>
        </w:rPr>
        <w:t>Disponível</w:t>
      </w:r>
      <w:r>
        <w:rPr>
          <w:spacing w:val="16"/>
          <w:sz w:val="16"/>
        </w:rPr>
        <w:t xml:space="preserve"> </w:t>
      </w:r>
      <w:r>
        <w:rPr>
          <w:spacing w:val="10"/>
          <w:sz w:val="16"/>
        </w:rPr>
        <w:t>em:</w:t>
      </w:r>
    </w:p>
    <w:p w:rsidR="00D81F69" w:rsidRDefault="00D81F69">
      <w:pPr>
        <w:spacing w:before="1" w:line="312" w:lineRule="auto"/>
        <w:ind w:left="100" w:right="199"/>
        <w:jc w:val="both"/>
        <w:rPr>
          <w:sz w:val="16"/>
        </w:rPr>
      </w:pPr>
      <w:hyperlink r:id="rId1190">
        <w:r w:rsidR="00330118">
          <w:rPr>
            <w:sz w:val="16"/>
          </w:rPr>
          <w:t>&lt;http://oglobo.globo.com/economia/mmx-entrega-estudo-de-impacto-</w:t>
        </w:r>
      </w:hyperlink>
      <w:r w:rsidR="00330118">
        <w:rPr>
          <w:sz w:val="16"/>
        </w:rPr>
        <w:t xml:space="preserve"> ambiental-do</w:t>
      </w:r>
      <w:r w:rsidR="00330118">
        <w:rPr>
          <w:sz w:val="16"/>
        </w:rPr>
        <w:t>-projeto-de-bom-sucesso-2926762&gt;. Acesso em: 10 dez. 2011.</w:t>
      </w:r>
    </w:p>
    <w:p w:rsidR="00D81F69" w:rsidRDefault="00330118">
      <w:pPr>
        <w:spacing w:before="3" w:line="312" w:lineRule="auto"/>
        <w:ind w:left="100" w:right="217"/>
        <w:jc w:val="both"/>
        <w:rPr>
          <w:sz w:val="16"/>
        </w:rPr>
      </w:pPr>
      <w:r>
        <w:rPr>
          <w:sz w:val="16"/>
        </w:rPr>
        <w:t>TEIXEIRA, Marcelo. MMX fecha com a MRS transporte de minério até 2026, Reuters Brasil, 28 dez. 2011. Disponível em:</w:t>
      </w:r>
    </w:p>
    <w:p w:rsidR="00D81F69" w:rsidRDefault="00D81F69">
      <w:pPr>
        <w:spacing w:before="2" w:line="312" w:lineRule="auto"/>
        <w:ind w:left="100" w:right="216"/>
        <w:jc w:val="both"/>
        <w:rPr>
          <w:sz w:val="16"/>
        </w:rPr>
      </w:pPr>
      <w:hyperlink r:id="rId1191">
        <w:r w:rsidR="00330118">
          <w:rPr>
            <w:sz w:val="16"/>
          </w:rPr>
          <w:t>&lt;</w:t>
        </w:r>
        <w:r w:rsidR="00330118">
          <w:rPr>
            <w:sz w:val="16"/>
          </w:rPr>
          <w:t>http://br.reuters.com/article/businessNews/idBRSPE7BR08O201112</w:t>
        </w:r>
      </w:hyperlink>
      <w:r w:rsidR="00330118">
        <w:rPr>
          <w:sz w:val="16"/>
        </w:rPr>
        <w:t xml:space="preserve"> 28&gt;. Acesso em: 10 dez. 2011.</w:t>
      </w:r>
    </w:p>
    <w:p w:rsidR="00D81F69" w:rsidRDefault="00330118">
      <w:pPr>
        <w:spacing w:before="1"/>
        <w:ind w:left="100"/>
        <w:jc w:val="both"/>
        <w:rPr>
          <w:sz w:val="16"/>
        </w:rPr>
      </w:pPr>
      <w:r>
        <w:rPr>
          <w:sz w:val="16"/>
        </w:rPr>
        <w:t>USIMINAS. Mineração. A Mineração Usiminas. Disponível em:</w:t>
      </w:r>
    </w:p>
    <w:p w:rsidR="00D81F69" w:rsidRDefault="00330118">
      <w:pPr>
        <w:spacing w:before="56" w:line="312" w:lineRule="auto"/>
        <w:ind w:left="100" w:right="217"/>
        <w:jc w:val="both"/>
        <w:rPr>
          <w:sz w:val="16"/>
        </w:rPr>
      </w:pPr>
      <w:r>
        <w:rPr>
          <w:sz w:val="16"/>
        </w:rPr>
        <w:t>&lt;http://www.usiminas.com/irj/portal?NavigationTarget=navurl://a2dd0a 263846c8ff1dde46208ba14586&amp;&gt;. Acesso</w:t>
      </w:r>
      <w:r>
        <w:rPr>
          <w:sz w:val="16"/>
        </w:rPr>
        <w:t xml:space="preserve"> em: 10 dez. 2011.</w:t>
      </w:r>
    </w:p>
    <w:p w:rsidR="00D81F69" w:rsidRDefault="00330118">
      <w:pPr>
        <w:spacing w:before="2" w:line="312" w:lineRule="auto"/>
        <w:ind w:left="100" w:right="195"/>
        <w:jc w:val="both"/>
        <w:rPr>
          <w:sz w:val="16"/>
        </w:rPr>
      </w:pPr>
      <w:r>
        <w:rPr>
          <w:sz w:val="16"/>
        </w:rPr>
        <w:t xml:space="preserve">VIEIRA, Marta. Mineradora vai investir mais de US$ 1 bi em subsolo de Minas, Estado de Minas, Economia, ago, 2008. Disponível em: </w:t>
      </w:r>
      <w:hyperlink r:id="rId1192">
        <w:r>
          <w:rPr>
            <w:sz w:val="16"/>
          </w:rPr>
          <w:t>http://wwo.uai.com.br/</w:t>
        </w:r>
        <w:r>
          <w:rPr>
            <w:sz w:val="16"/>
          </w:rPr>
          <w:t>UAI/html/sessao_4/2008/08/25/em_noticia_inter</w:t>
        </w:r>
      </w:hyperlink>
      <w:r>
        <w:rPr>
          <w:sz w:val="16"/>
        </w:rPr>
        <w:t xml:space="preserve"> na,id_sessao=4&amp;id_noticia=76782/em_noticia_interna.shtml. Acesso em: 11 dez. 2011.</w:t>
      </w:r>
    </w:p>
    <w:p w:rsidR="00D81F69" w:rsidRDefault="00330118">
      <w:pPr>
        <w:tabs>
          <w:tab w:val="left" w:pos="4331"/>
        </w:tabs>
        <w:spacing w:before="4" w:line="312" w:lineRule="auto"/>
        <w:ind w:left="100" w:right="197"/>
        <w:jc w:val="both"/>
        <w:rPr>
          <w:sz w:val="16"/>
        </w:rPr>
      </w:pPr>
      <w:r>
        <w:rPr>
          <w:sz w:val="16"/>
        </w:rPr>
        <w:t>VIEIRA, Karippe Gerçossimo. Aspectos Geotécnicos e Econômicos da Recuperação ambiental de áreas degradadas por antigas pilhas d</w:t>
      </w:r>
      <w:r>
        <w:rPr>
          <w:sz w:val="16"/>
        </w:rPr>
        <w:t xml:space="preserve">e </w:t>
      </w:r>
      <w:r>
        <w:rPr>
          <w:spacing w:val="5"/>
          <w:sz w:val="16"/>
        </w:rPr>
        <w:t xml:space="preserve">rejeitos: </w:t>
      </w:r>
      <w:r>
        <w:rPr>
          <w:spacing w:val="2"/>
          <w:sz w:val="16"/>
        </w:rPr>
        <w:t xml:space="preserve">um </w:t>
      </w:r>
      <w:r>
        <w:rPr>
          <w:spacing w:val="5"/>
          <w:sz w:val="16"/>
        </w:rPr>
        <w:t xml:space="preserve">estudo </w:t>
      </w:r>
      <w:r>
        <w:rPr>
          <w:spacing w:val="2"/>
          <w:sz w:val="16"/>
        </w:rPr>
        <w:t xml:space="preserve">de </w:t>
      </w:r>
      <w:r>
        <w:rPr>
          <w:spacing w:val="3"/>
          <w:sz w:val="16"/>
        </w:rPr>
        <w:t xml:space="preserve">caso. 2010. </w:t>
      </w:r>
      <w:r>
        <w:rPr>
          <w:spacing w:val="5"/>
          <w:sz w:val="16"/>
        </w:rPr>
        <w:t xml:space="preserve">Dissertação (Mestrado em </w:t>
      </w:r>
      <w:r>
        <w:rPr>
          <w:sz w:val="16"/>
        </w:rPr>
        <w:t xml:space="preserve">Geotecnia). Universidade Federal de Ouro Preto, Ouro Preto (MG).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4" w:line="312" w:lineRule="auto"/>
        <w:ind w:left="100" w:right="196"/>
        <w:jc w:val="both"/>
        <w:rPr>
          <w:sz w:val="16"/>
        </w:rPr>
      </w:pPr>
      <w:hyperlink r:id="rId1193">
        <w:r w:rsidR="00330118">
          <w:rPr>
            <w:sz w:val="16"/>
          </w:rPr>
          <w:t>&lt;http://www.tede.ufop.br/tde_busca/arquivo.php?codArquivo=463&gt;.</w:t>
        </w:r>
      </w:hyperlink>
      <w:r w:rsidR="00330118">
        <w:rPr>
          <w:sz w:val="16"/>
        </w:rPr>
        <w:t xml:space="preserve"> Acesso em: 10 dez. 2011.</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200" w:space="270"/>
            <w:col w:w="5310"/>
          </w:cols>
        </w:sectPr>
      </w:pPr>
    </w:p>
    <w:p w:rsidR="00D81F69" w:rsidRDefault="00330118">
      <w:pPr>
        <w:pStyle w:val="Heading1"/>
        <w:spacing w:line="208" w:lineRule="auto"/>
      </w:pPr>
      <w:r>
        <w:rPr>
          <w:spacing w:val="7"/>
        </w:rPr>
        <w:lastRenderedPageBreak/>
        <w:t xml:space="preserve">População </w:t>
      </w:r>
      <w:r>
        <w:rPr>
          <w:spacing w:val="5"/>
        </w:rPr>
        <w:t xml:space="preserve">de </w:t>
      </w:r>
      <w:r>
        <w:rPr>
          <w:spacing w:val="7"/>
        </w:rPr>
        <w:t xml:space="preserve">Catas Altas </w:t>
      </w:r>
      <w:r>
        <w:rPr>
          <w:spacing w:val="6"/>
        </w:rPr>
        <w:t xml:space="preserve">(MG) </w:t>
      </w:r>
      <w:r>
        <w:rPr>
          <w:spacing w:val="7"/>
        </w:rPr>
        <w:t xml:space="preserve">reage </w:t>
      </w:r>
      <w:r>
        <w:t xml:space="preserve">a </w:t>
      </w:r>
      <w:r>
        <w:rPr>
          <w:spacing w:val="7"/>
        </w:rPr>
        <w:t xml:space="preserve">projetos </w:t>
      </w:r>
      <w:r>
        <w:rPr>
          <w:spacing w:val="10"/>
        </w:rPr>
        <w:t xml:space="preserve">de </w:t>
      </w:r>
      <w:r>
        <w:rPr>
          <w:spacing w:val="7"/>
        </w:rPr>
        <w:t>mineração</w:t>
      </w:r>
      <w:r>
        <w:rPr>
          <w:spacing w:val="6"/>
        </w:rPr>
        <w:t xml:space="preserve"> </w:t>
      </w:r>
      <w:r>
        <w:rPr>
          <w:spacing w:val="5"/>
        </w:rPr>
        <w:t xml:space="preserve">que </w:t>
      </w:r>
      <w:r>
        <w:rPr>
          <w:spacing w:val="6"/>
        </w:rPr>
        <w:t>põem</w:t>
      </w:r>
      <w:r>
        <w:rPr>
          <w:spacing w:val="5"/>
        </w:rPr>
        <w:t xml:space="preserve"> em </w:t>
      </w:r>
      <w:r>
        <w:rPr>
          <w:spacing w:val="7"/>
        </w:rPr>
        <w:t>risco</w:t>
      </w:r>
      <w:r>
        <w:rPr>
          <w:spacing w:val="6"/>
        </w:rPr>
        <w:t xml:space="preserve"> </w:t>
      </w:r>
      <w:r>
        <w:t>a</w:t>
      </w:r>
      <w:r>
        <w:rPr>
          <w:spacing w:val="52"/>
        </w:rPr>
        <w:t xml:space="preserve"> </w:t>
      </w:r>
      <w:r>
        <w:rPr>
          <w:spacing w:val="7"/>
        </w:rPr>
        <w:t>Serra</w:t>
      </w:r>
      <w:r>
        <w:rPr>
          <w:spacing w:val="6"/>
        </w:rPr>
        <w:t xml:space="preserve"> </w:t>
      </w:r>
      <w:r>
        <w:rPr>
          <w:spacing w:val="5"/>
        </w:rPr>
        <w:t xml:space="preserve">do </w:t>
      </w:r>
      <w:r>
        <w:rPr>
          <w:spacing w:val="10"/>
        </w:rPr>
        <w:t>Caraça</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MG - Catas Altas</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-20,07361111</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-43,43277778</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5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A população do município de Catas Altas (MG), no pé da Serra do Caraça, que integra a Serra do Espinhaço, se mobilizou contra o projeto da Maybach Mineradora e Serviços </w:t>
      </w:r>
      <w:r>
        <w:rPr>
          <w:i/>
          <w:sz w:val="16"/>
        </w:rPr>
        <w:t>Ltda., que queria extrair minério de ferro no alto da serra, alegando que as atividades da mineradora poderiam comprometer os recursos hídricos e impactar o turismo na região.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5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90"/>
      </w:pPr>
      <w:r>
        <w:t>Rio Doce e das instaladas nas proximidades do Porto de Tubarão. Além disso, é o canal para exportação do minério de ferro produzido no Quadrilátero Ferrífero (DAMASCENO, 2007).</w:t>
      </w:r>
    </w:p>
    <w:p w:rsidR="00D81F69" w:rsidRDefault="00330118">
      <w:pPr>
        <w:pStyle w:val="Corpodetexto"/>
        <w:spacing w:before="133" w:line="312" w:lineRule="auto"/>
        <w:ind w:left="135" w:right="217"/>
        <w:jc w:val="left"/>
      </w:pPr>
      <w:r>
        <w:t xml:space="preserve">Com 240,042 km² e 4.846 habitantes (IBGE, 2010), o município de Catas Altas situa-se ao pé da Serra do Caraça, sendo conhecido nacionalmente por seu conjunto arquitetônico, igrejas barrocas e por suas inúmeras belezas naturais (MAPA DA INJUSTIÇA AMBIENTAL </w:t>
      </w:r>
      <w:r>
        <w:t>E SAÚDE NO BRASIL, 2010).</w:t>
      </w:r>
    </w:p>
    <w:p w:rsidR="00D81F69" w:rsidRDefault="00330118">
      <w:pPr>
        <w:pStyle w:val="Corpodetexto"/>
        <w:spacing w:before="136"/>
        <w:ind w:left="135"/>
        <w:jc w:val="left"/>
      </w:pPr>
      <w:r>
        <w:t>Assim como outras cidades mineiras, a história de Catas Altas</w:t>
      </w:r>
    </w:p>
    <w:p w:rsidR="00D81F69" w:rsidRDefault="00D81F69">
      <w:pPr>
        <w:sectPr w:rsidR="00D81F69">
          <w:type w:val="continuous"/>
          <w:pgSz w:w="11900" w:h="16840"/>
          <w:pgMar w:top="720" w:right="500" w:bottom="280" w:left="620" w:header="720" w:footer="720" w:gutter="0"/>
          <w:cols w:num="3" w:space="720" w:equalWidth="0">
            <w:col w:w="1241" w:space="759"/>
            <w:col w:w="3117" w:space="318"/>
            <w:col w:w="5345"/>
          </w:cols>
        </w:sectPr>
      </w:pPr>
    </w:p>
    <w:p w:rsidR="00D81F69" w:rsidRDefault="00330118">
      <w:pPr>
        <w:pStyle w:val="Heading4"/>
        <w:spacing w:before="17"/>
      </w:pPr>
      <w:r>
        <w:lastRenderedPageBreak/>
        <w:t>APRESENTAÇÃO DE CASO</w:t>
      </w:r>
    </w:p>
    <w:p w:rsidR="00D81F69" w:rsidRDefault="00330118">
      <w:pPr>
        <w:pStyle w:val="Corpodetexto"/>
        <w:spacing w:before="170" w:line="312" w:lineRule="auto"/>
        <w:ind w:right="41"/>
      </w:pPr>
      <w:r>
        <w:t>A Serra do Caraça, localizada na Serra do Espinhaço, fica a cerca de 120 km de Belo Horizonte (MG), na parte nordes</w:t>
      </w:r>
      <w:r>
        <w:t xml:space="preserve">te do Quadrilátero Ferrífero. Trata-se de uma faixa de transição </w:t>
      </w:r>
      <w:r>
        <w:rPr>
          <w:spacing w:val="1"/>
        </w:rPr>
        <w:t xml:space="preserve">da </w:t>
      </w:r>
      <w:r>
        <w:rPr>
          <w:spacing w:val="2"/>
        </w:rPr>
        <w:t xml:space="preserve">Mata </w:t>
      </w:r>
      <w:r>
        <w:rPr>
          <w:spacing w:val="3"/>
        </w:rPr>
        <w:t xml:space="preserve">Atlântica </w:t>
      </w:r>
      <w:r>
        <w:rPr>
          <w:spacing w:val="2"/>
        </w:rPr>
        <w:t xml:space="preserve">para </w:t>
      </w:r>
      <w:r>
        <w:t xml:space="preserve">o </w:t>
      </w:r>
      <w:r>
        <w:rPr>
          <w:spacing w:val="3"/>
        </w:rPr>
        <w:t xml:space="preserve">Cerrado, </w:t>
      </w:r>
      <w:r>
        <w:rPr>
          <w:spacing w:val="2"/>
        </w:rPr>
        <w:t xml:space="preserve">rica </w:t>
      </w:r>
      <w:r>
        <w:rPr>
          <w:spacing w:val="1"/>
        </w:rPr>
        <w:t xml:space="preserve">em </w:t>
      </w:r>
      <w:r>
        <w:rPr>
          <w:spacing w:val="5"/>
        </w:rPr>
        <w:t xml:space="preserve">biodiversidade, </w:t>
      </w:r>
      <w:r>
        <w:rPr>
          <w:spacing w:val="3"/>
        </w:rPr>
        <w:t xml:space="preserve">abrigando diversas espécies </w:t>
      </w:r>
      <w:r>
        <w:rPr>
          <w:spacing w:val="1"/>
        </w:rPr>
        <w:t xml:space="preserve">de </w:t>
      </w:r>
      <w:r>
        <w:rPr>
          <w:spacing w:val="3"/>
        </w:rPr>
        <w:t xml:space="preserve">flora </w:t>
      </w:r>
      <w:r>
        <w:t xml:space="preserve">e </w:t>
      </w:r>
      <w:r>
        <w:rPr>
          <w:spacing w:val="3"/>
        </w:rPr>
        <w:t xml:space="preserve">fauna </w:t>
      </w:r>
      <w:r>
        <w:rPr>
          <w:spacing w:val="5"/>
        </w:rPr>
        <w:t>(BARBOSA, 2005).</w:t>
      </w:r>
    </w:p>
    <w:p w:rsidR="00D81F69" w:rsidRDefault="00330118">
      <w:pPr>
        <w:pStyle w:val="Corpodetexto"/>
        <w:spacing w:before="135" w:line="312" w:lineRule="auto"/>
        <w:ind w:right="38"/>
      </w:pPr>
      <w:r>
        <w:t xml:space="preserve">A serra situa-se dentro da Área de Proteção Ambiental do Sul da Região </w:t>
      </w:r>
      <w:r>
        <w:t>Metropolitana de Belo Horizonte (APA Sul). Nesta APA, se encontram duas importantes bacias hidrográficas, a do rio São Francisco (sub-bacias Paraopeba e Velhas) e a do rio Doce, que respondem pelo abastecimento de cerca de 70% da população de Belo Horizont</w:t>
      </w:r>
      <w:r>
        <w:t xml:space="preserve">e e de 50% da população de sua região metropolitana (PORTO, 2010b). É também uma região bastante conhecida por seus depósitos de ouro, manganês e </w:t>
      </w:r>
      <w:hyperlink r:id="rId1194">
        <w:r>
          <w:t>ferro</w:t>
        </w:r>
      </w:hyperlink>
      <w:r>
        <w:t xml:space="preserve"> (BARBOSA, 2005</w:t>
      </w:r>
      <w:r>
        <w:t>).</w:t>
      </w:r>
    </w:p>
    <w:p w:rsidR="00D81F69" w:rsidRDefault="00330118">
      <w:pPr>
        <w:pStyle w:val="Corpodetexto"/>
        <w:spacing w:before="139" w:line="312" w:lineRule="auto"/>
        <w:ind w:right="40"/>
      </w:pPr>
      <w:r>
        <w:t>No entorno da serra, encontram-se os municípios de Barão de Cocais, Mariana e Catas Altas, que, assim como outras cidades mineiras, fizeram parte do Ciclo do Ouro e, ainda hoje, têm como base de sua economia a atividade mineradora (BARBOSA, 2005). No en</w:t>
      </w:r>
      <w:r>
        <w:t>tanto, apesar de fomentar a economia dos municípios, a mineração vem, ao longo dos séculos, causando vários impactos ambientais na região, dentre eles a expressiva redução da Mata Atlântica e florestas primitivas, resultante de queimadas e extração de made</w:t>
      </w:r>
      <w:r>
        <w:t>ira para abastecer os autofornos das siderúrgicas (BARBOSA, 2005).</w:t>
      </w:r>
    </w:p>
    <w:p w:rsidR="00D81F69" w:rsidRDefault="00330118">
      <w:pPr>
        <w:pStyle w:val="Corpodetexto"/>
        <w:spacing w:before="77" w:line="270" w:lineRule="atLeast"/>
        <w:ind w:right="46"/>
      </w:pPr>
      <w:r>
        <w:t xml:space="preserve">Os impactos são maiores na região sul da serra, onde se encontra boa parte das mineradoras, concentradas ao longo da estrada de ferro da Vale, que atravessa Barão dos Cocais, Catas Altas e </w:t>
      </w:r>
      <w:r>
        <w:t>Mariana. Localizada no lado oposto ao Parque Natural do Caraça (BARBOSA, 2005), a Estrada de Ferro Vitória-Minas (EFVM) interliga as minas de Itabira e do sul/sudeste do Quadrilátero Ferrífero, pelo ramal Costa Lacerda, ao Porto de Tubarão-Terminal de Vila</w:t>
      </w:r>
      <w:r>
        <w:t xml:space="preserve"> Velha, no estado do Espírito Santo. Sendo assim, a EFVM é o principal canal de suprimento das siderúrgicas localizadas no Vale do</w:t>
      </w:r>
    </w:p>
    <w:p w:rsidR="00D81F69" w:rsidRDefault="00330118">
      <w:pPr>
        <w:pStyle w:val="Corpodetexto"/>
        <w:spacing w:before="63" w:line="312" w:lineRule="auto"/>
        <w:ind w:right="193"/>
      </w:pPr>
      <w:r>
        <w:br w:type="column"/>
      </w:r>
      <w:r>
        <w:lastRenderedPageBreak/>
        <w:t>é marcada pela exploração mineral (SERRA DO CARAÇA, 2011; MAPA DA INJUSTIÇA AMBIENTAL E SAÚDE NO</w:t>
      </w:r>
    </w:p>
    <w:p w:rsidR="00D81F69" w:rsidRDefault="00330118">
      <w:pPr>
        <w:pStyle w:val="Corpodetexto"/>
        <w:spacing w:before="2" w:line="312" w:lineRule="auto"/>
        <w:ind w:right="189"/>
      </w:pPr>
      <w:r>
        <w:t>BRASIL, 2010). Sua coloniza</w:t>
      </w:r>
      <w:r>
        <w:t xml:space="preserve">ção remonta ao início do século XVIII, quando foram descobertas jazidas de ouro na Serra do </w:t>
      </w:r>
      <w:r>
        <w:rPr>
          <w:spacing w:val="1"/>
        </w:rPr>
        <w:t xml:space="preserve">Caraça. </w:t>
      </w:r>
      <w:r>
        <w:t xml:space="preserve">O </w:t>
      </w:r>
      <w:r>
        <w:rPr>
          <w:spacing w:val="1"/>
        </w:rPr>
        <w:t xml:space="preserve">próprio nome </w:t>
      </w:r>
      <w:r>
        <w:t xml:space="preserve">da </w:t>
      </w:r>
      <w:r>
        <w:rPr>
          <w:spacing w:val="1"/>
        </w:rPr>
        <w:t xml:space="preserve">cidade está relacionado </w:t>
      </w:r>
      <w:r>
        <w:t xml:space="preserve">com o </w:t>
      </w:r>
      <w:r>
        <w:rPr>
          <w:spacing w:val="3"/>
        </w:rPr>
        <w:t xml:space="preserve">ciclo </w:t>
      </w:r>
      <w:r>
        <w:rPr>
          <w:spacing w:val="2"/>
        </w:rPr>
        <w:t xml:space="preserve">do </w:t>
      </w:r>
      <w:r>
        <w:rPr>
          <w:spacing w:val="3"/>
        </w:rPr>
        <w:t xml:space="preserve">ouro </w:t>
      </w:r>
      <w:r>
        <w:rPr>
          <w:spacing w:val="5"/>
        </w:rPr>
        <w:t xml:space="preserve">mineiro: "cata" significaria "garimpo” </w:t>
      </w:r>
      <w:r>
        <w:rPr>
          <w:spacing w:val="2"/>
        </w:rPr>
        <w:t xml:space="preserve">e, </w:t>
      </w:r>
      <w:r>
        <w:rPr>
          <w:spacing w:val="5"/>
        </w:rPr>
        <w:t>de</w:t>
      </w:r>
      <w:r>
        <w:rPr>
          <w:spacing w:val="61"/>
        </w:rPr>
        <w:t xml:space="preserve"> </w:t>
      </w:r>
      <w:r>
        <w:rPr>
          <w:spacing w:val="7"/>
        </w:rPr>
        <w:t xml:space="preserve">acordo </w:t>
      </w:r>
      <w:r>
        <w:rPr>
          <w:spacing w:val="5"/>
        </w:rPr>
        <w:t xml:space="preserve">com </w:t>
      </w:r>
      <w:r>
        <w:rPr>
          <w:spacing w:val="7"/>
        </w:rPr>
        <w:t xml:space="preserve">relatos </w:t>
      </w:r>
      <w:r>
        <w:rPr>
          <w:spacing w:val="5"/>
        </w:rPr>
        <w:t xml:space="preserve">da </w:t>
      </w:r>
      <w:r>
        <w:rPr>
          <w:spacing w:val="7"/>
        </w:rPr>
        <w:t xml:space="preserve">época, </w:t>
      </w:r>
      <w:r>
        <w:rPr>
          <w:spacing w:val="5"/>
        </w:rPr>
        <w:t xml:space="preserve">as </w:t>
      </w:r>
      <w:r>
        <w:rPr>
          <w:spacing w:val="7"/>
        </w:rPr>
        <w:t xml:space="preserve">minas </w:t>
      </w:r>
      <w:r>
        <w:rPr>
          <w:spacing w:val="6"/>
        </w:rPr>
        <w:t xml:space="preserve">mais </w:t>
      </w:r>
      <w:r>
        <w:rPr>
          <w:spacing w:val="7"/>
        </w:rPr>
        <w:t xml:space="preserve">ricas </w:t>
      </w:r>
      <w:r>
        <w:t xml:space="preserve">e produtivas estariam situadas nas partes mais altas, ou seja, </w:t>
      </w:r>
      <w:r>
        <w:rPr>
          <w:spacing w:val="5"/>
        </w:rPr>
        <w:t xml:space="preserve">no </w:t>
      </w:r>
      <w:r>
        <w:rPr>
          <w:spacing w:val="6"/>
        </w:rPr>
        <w:t xml:space="preserve">alto </w:t>
      </w:r>
      <w:r>
        <w:rPr>
          <w:spacing w:val="5"/>
        </w:rPr>
        <w:t xml:space="preserve">da </w:t>
      </w:r>
      <w:r>
        <w:rPr>
          <w:spacing w:val="7"/>
        </w:rPr>
        <w:t xml:space="preserve">serra. </w:t>
      </w:r>
      <w:r>
        <w:rPr>
          <w:spacing w:val="5"/>
        </w:rPr>
        <w:t xml:space="preserve">Daí </w:t>
      </w:r>
      <w:r>
        <w:t xml:space="preserve">o </w:t>
      </w:r>
      <w:r>
        <w:rPr>
          <w:spacing w:val="6"/>
        </w:rPr>
        <w:t xml:space="preserve">nome </w:t>
      </w:r>
      <w:r>
        <w:rPr>
          <w:spacing w:val="7"/>
        </w:rPr>
        <w:t xml:space="preserve">Catas Altas (MAPA </w:t>
      </w:r>
      <w:r>
        <w:rPr>
          <w:spacing w:val="10"/>
        </w:rPr>
        <w:t xml:space="preserve">DA </w:t>
      </w:r>
      <w:r>
        <w:rPr>
          <w:spacing w:val="6"/>
        </w:rPr>
        <w:t xml:space="preserve">INJUSTIÇA  AMBIENTAL  </w:t>
      </w:r>
      <w:r>
        <w:t xml:space="preserve">E  </w:t>
      </w:r>
      <w:r>
        <w:rPr>
          <w:spacing w:val="5"/>
        </w:rPr>
        <w:t xml:space="preserve">SAÚDE  </w:t>
      </w:r>
      <w:r>
        <w:rPr>
          <w:spacing w:val="3"/>
        </w:rPr>
        <w:t xml:space="preserve">NO  </w:t>
      </w:r>
      <w:r>
        <w:rPr>
          <w:spacing w:val="5"/>
        </w:rPr>
        <w:t>BRASIL,</w:t>
      </w:r>
      <w:r>
        <w:rPr>
          <w:spacing w:val="-10"/>
        </w:rPr>
        <w:t xml:space="preserve"> </w:t>
      </w:r>
      <w:r>
        <w:rPr>
          <w:spacing w:val="7"/>
        </w:rPr>
        <w:t>2010).</w:t>
      </w:r>
    </w:p>
    <w:p w:rsidR="00D81F69" w:rsidRDefault="00330118">
      <w:pPr>
        <w:pStyle w:val="Corpodetexto"/>
        <w:spacing w:before="137" w:line="312" w:lineRule="auto"/>
        <w:ind w:right="195"/>
      </w:pPr>
      <w:r>
        <w:t>Com o esgotamento das minas auríferas, o arraial entrou em decadência, e os poucos habitante</w:t>
      </w:r>
      <w:r>
        <w:t xml:space="preserve">s que restaram passaram a se dedicar ao cultivo de pequenas roças de subsistência. A </w:t>
      </w:r>
      <w:r>
        <w:rPr>
          <w:spacing w:val="5"/>
        </w:rPr>
        <w:t xml:space="preserve">extração </w:t>
      </w:r>
      <w:r>
        <w:rPr>
          <w:spacing w:val="2"/>
        </w:rPr>
        <w:t xml:space="preserve">do </w:t>
      </w:r>
      <w:r>
        <w:rPr>
          <w:spacing w:val="3"/>
        </w:rPr>
        <w:t xml:space="preserve">ouro </w:t>
      </w:r>
      <w:r>
        <w:rPr>
          <w:spacing w:val="5"/>
        </w:rPr>
        <w:t xml:space="preserve">restringiu-se </w:t>
      </w:r>
      <w:r>
        <w:rPr>
          <w:spacing w:val="2"/>
        </w:rPr>
        <w:t xml:space="preserve">às </w:t>
      </w:r>
      <w:r>
        <w:rPr>
          <w:spacing w:val="5"/>
        </w:rPr>
        <w:t xml:space="preserve">lavras </w:t>
      </w:r>
      <w:r>
        <w:rPr>
          <w:spacing w:val="2"/>
        </w:rPr>
        <w:t xml:space="preserve">do </w:t>
      </w:r>
      <w:r>
        <w:rPr>
          <w:spacing w:val="5"/>
        </w:rPr>
        <w:t xml:space="preserve">Capitão-mor Inocêncio, </w:t>
      </w:r>
      <w:r>
        <w:rPr>
          <w:spacing w:val="3"/>
        </w:rPr>
        <w:t xml:space="preserve">que, </w:t>
      </w:r>
      <w:r>
        <w:rPr>
          <w:spacing w:val="5"/>
        </w:rPr>
        <w:t xml:space="preserve">posteriormente, seguindo </w:t>
      </w:r>
      <w:r>
        <w:t xml:space="preserve">o </w:t>
      </w:r>
      <w:r>
        <w:rPr>
          <w:spacing w:val="5"/>
        </w:rPr>
        <w:t>conselho do</w:t>
      </w:r>
      <w:r>
        <w:rPr>
          <w:spacing w:val="61"/>
        </w:rPr>
        <w:t xml:space="preserve"> </w:t>
      </w:r>
      <w:r>
        <w:rPr>
          <w:spacing w:val="1"/>
        </w:rPr>
        <w:t xml:space="preserve">naturalista francês Auguste </w:t>
      </w:r>
      <w:r>
        <w:t xml:space="preserve">de </w:t>
      </w:r>
      <w:r>
        <w:rPr>
          <w:spacing w:val="1"/>
        </w:rPr>
        <w:t xml:space="preserve">Saint-Hilaire, </w:t>
      </w:r>
      <w:r>
        <w:t xml:space="preserve">que </w:t>
      </w:r>
      <w:r>
        <w:rPr>
          <w:spacing w:val="1"/>
        </w:rPr>
        <w:t xml:space="preserve">visitara </w:t>
      </w:r>
      <w:r>
        <w:t>a região nos idos de 1816, passou a explorar minério de ferro, cujas reservas eram abundantes na Serra do Caraça (SERRA DO CARAÇA, 2011).</w:t>
      </w:r>
    </w:p>
    <w:p w:rsidR="00D81F69" w:rsidRDefault="00330118">
      <w:pPr>
        <w:pStyle w:val="Corpodetexto"/>
        <w:spacing w:before="138" w:line="312" w:lineRule="auto"/>
        <w:ind w:right="189"/>
      </w:pPr>
      <w:r>
        <w:t>Nas últimas décadas, a extração de minério de ferro na região deu novo impulso à economia de Catas Altas (MAPA DA INJU</w:t>
      </w:r>
      <w:r>
        <w:t>STIÇA AMBIENTAL E SAÚDE NO BRASIL, 2010).</w:t>
      </w:r>
    </w:p>
    <w:p w:rsidR="00D81F69" w:rsidRDefault="00330118">
      <w:pPr>
        <w:pStyle w:val="Corpodetexto"/>
        <w:spacing w:before="3" w:line="312" w:lineRule="auto"/>
        <w:ind w:right="213"/>
      </w:pPr>
      <w:r>
        <w:t xml:space="preserve">Várias mineradoras se instalaram no município, como é o caso da australiana BHP Billiton, detentora dos direitos da mina de Pitangui (PORTO, 2010a). Já o turismo passou a complementar a renda dos moradores que veem na atividade uma alternativa sustentável </w:t>
      </w:r>
      <w:r>
        <w:t>aos impactos socioambientais da atividade mineradora (MAPA DA INJUSTIÇA AMBIENTAL E SAÚDE NO BRASIL, 2010).</w:t>
      </w:r>
    </w:p>
    <w:p w:rsidR="00D81F69" w:rsidRDefault="00330118">
      <w:pPr>
        <w:pStyle w:val="Corpodetexto"/>
        <w:spacing w:before="137" w:line="312" w:lineRule="auto"/>
        <w:ind w:right="213"/>
      </w:pPr>
      <w:r>
        <w:t xml:space="preserve">A retomada da mineração intensificou-se no município a partir de 2006 com a expansão da mina Fazendão, de propriedade da Vale. Localizada a 8 km da </w:t>
      </w:r>
      <w:r>
        <w:t>sede municipal, na Serra do Caraça, a mina extrai minério de uma cava de 2, 6 mil metros de extensão e 300 metros de profundidade, gerando mais de</w:t>
      </w:r>
    </w:p>
    <w:p w:rsidR="00D81F69" w:rsidRDefault="00330118">
      <w:pPr>
        <w:pStyle w:val="Corpodetexto"/>
        <w:spacing w:before="4" w:line="312" w:lineRule="auto"/>
        <w:ind w:right="208"/>
      </w:pPr>
      <w:r>
        <w:t>2 mil empregos (MAPA DA INJUSTIÇA AMBIENTAL E SAÚDE NO BRASIL, 2010). Na mina, predominam três grandes grupos</w:t>
      </w:r>
      <w:r>
        <w:t xml:space="preserve"> de rochas ricas em ferro: hematitas, itabiritos</w:t>
      </w:r>
    </w:p>
    <w:p w:rsidR="00D81F69" w:rsidRDefault="00D81F69">
      <w:pPr>
        <w:spacing w:line="312" w:lineRule="auto"/>
        <w:sectPr w:rsidR="00D81F69">
          <w:type w:val="continuous"/>
          <w:pgSz w:w="11900" w:h="16840"/>
          <w:pgMar w:top="720" w:right="500" w:bottom="280" w:left="620" w:header="720" w:footer="720" w:gutter="0"/>
          <w:cols w:num="2" w:space="720" w:equalWidth="0">
            <w:col w:w="5160" w:space="310"/>
            <w:col w:w="5310"/>
          </w:cols>
        </w:sectPr>
      </w:pPr>
    </w:p>
    <w:p w:rsidR="00D81F69" w:rsidRDefault="00330118">
      <w:pPr>
        <w:pStyle w:val="Corpodetexto"/>
        <w:spacing w:before="81" w:line="312" w:lineRule="auto"/>
        <w:ind w:right="41"/>
      </w:pPr>
      <w:r>
        <w:lastRenderedPageBreak/>
        <w:t>e coberturas (cangas e rolados) (RIBEIRO; GUIMARÃES; FERREIRA, 2004). Com a expansão da mina, a Vale pretendia aumentar a produção de 60 mil toneladas anuais para até 17 milhões de</w:t>
      </w:r>
      <w:r>
        <w:t xml:space="preserve"> toneladas/ano (MAPA DA INJUSTIÇA AMBIENTAL E SAÚDE NO BRASIL, 2010).</w:t>
      </w:r>
    </w:p>
    <w:p w:rsidR="00D81F69" w:rsidRDefault="00330118">
      <w:pPr>
        <w:pStyle w:val="Corpodetexto"/>
        <w:spacing w:before="134" w:line="312" w:lineRule="auto"/>
        <w:ind w:right="54"/>
      </w:pPr>
      <w:r>
        <w:t xml:space="preserve">À época, membros da sociedade civil, empresários do setor turístico e a ONG Portal do Caraça manifestaram-se contra à expansão da mina. Dentre os motivos alegados estava a possibilidade </w:t>
      </w:r>
      <w:r>
        <w:t>de o projeto ameaçar o patrimônio histórico da cidade e impactar negativamente a disponibilidade dos recursos hídricos. O próprio relatório de controle ambiental do projeto previa a necessidade de se rebaixar o nível de água superficial em 115 metros e o l</w:t>
      </w:r>
      <w:r>
        <w:t>ençol subterrâneo, em 65 metros, justamente acima dos mananciais que abastecem a cidade. Além disso, temiam o aumento dos índices de criminalidade no município, estimulados por um possível crescimento demográfico decorrente da oferta de empregos e da movim</w:t>
      </w:r>
      <w:r>
        <w:t>entação de trabalhadores vindos de outras localidades (MAPA DA INJUSTIÇA AMBIENTAL E SAÚDE NO BRASIL, 2010).</w:t>
      </w:r>
    </w:p>
    <w:p w:rsidR="00D81F69" w:rsidRDefault="00330118">
      <w:pPr>
        <w:pStyle w:val="Corpodetexto"/>
        <w:spacing w:before="144" w:line="312" w:lineRule="auto"/>
        <w:ind w:right="38"/>
      </w:pPr>
      <w:r>
        <w:t>Em janeiro de 2007, fortes chuvas provocaram a suspeita de rompimento de uma barragem de rejeitos da Mina Fazendão, atingindo córregos e o Parque M</w:t>
      </w:r>
      <w:r>
        <w:t>orro da Água Quente, construído pela mineradora como contrapartida para exploração da região. O parque teria ficado completamente destruído (MAPA DA INJUSTIÇA AMBIENTAL E SAÚDE NO BRASIL, 2010; JVA, 2007).</w:t>
      </w:r>
    </w:p>
    <w:p w:rsidR="00D81F69" w:rsidRDefault="00330118">
      <w:pPr>
        <w:pStyle w:val="Corpodetexto"/>
        <w:spacing w:before="137" w:line="312" w:lineRule="auto"/>
        <w:ind w:right="46"/>
      </w:pPr>
      <w:r>
        <w:t>A Vale negou que as chuvas tivessem rompido sua ba</w:t>
      </w:r>
      <w:r>
        <w:t xml:space="preserve">rragem. O assessor de comunicação da empresa na época garantiu que foi a chuva a responsável pelos danos: “Não houve, de forma alguma, rompimento de barragem. O temporal nos obrigou a usar todos os vertedouros para dar vazão à grande quantidade de água” e </w:t>
      </w:r>
      <w:r>
        <w:t>completou alegando que “os estragos no Parque Morro da Água Quente também foram decorrentes do grande volume de água – cerca de 109 mL em três horas” (JVA, 2007). Ainda de acordo com a empresa, técnicos da Fundação Estadual de Meio Ambiente (Feam) não teri</w:t>
      </w:r>
      <w:r>
        <w:t>am encontrado quaisquer danos no local que corroborassem as alegações da ONG Portal do Caraça (MAPA DA INJUSTIÇA AMBIENTAL E SAÚDE NO BRASIL, 2010; JVA, 2007).</w:t>
      </w:r>
    </w:p>
    <w:p w:rsidR="00D81F69" w:rsidRDefault="00330118">
      <w:pPr>
        <w:pStyle w:val="Corpodetexto"/>
        <w:spacing w:before="142" w:line="312" w:lineRule="auto"/>
        <w:ind w:right="55"/>
      </w:pPr>
      <w:r>
        <w:t xml:space="preserve">Três anos depois, outro projeto de mineração em Catas Altas despertaria novamente a oposição da </w:t>
      </w:r>
      <w:r>
        <w:t>sociedade civil organizada. Dessa vez, tratava-se do projeto da Maybach Mineração e Serviços Ltda., que pretendia explorar minério de ferro aos pés do Pico de Catas Altas, na Serra do Caraça (PORTO, 2010a; MAPA DA INJUSTIÇA AMBIENTAL E</w:t>
      </w:r>
    </w:p>
    <w:p w:rsidR="00D81F69" w:rsidRDefault="00330118">
      <w:pPr>
        <w:pStyle w:val="Corpodetexto"/>
        <w:spacing w:before="5" w:line="312" w:lineRule="auto"/>
        <w:ind w:right="64"/>
      </w:pPr>
      <w:r>
        <w:t>SAÚDE NO BRASIL, 201</w:t>
      </w:r>
      <w:r>
        <w:t>0), numa APA, vizinha a uma Área de Proteção Permanente (APP) (PORTO,</w:t>
      </w:r>
      <w:r>
        <w:rPr>
          <w:spacing w:val="26"/>
        </w:rPr>
        <w:t xml:space="preserve"> </w:t>
      </w:r>
      <w:r>
        <w:t>2010a).</w:t>
      </w:r>
    </w:p>
    <w:p w:rsidR="00D81F69" w:rsidRDefault="00330118">
      <w:pPr>
        <w:pStyle w:val="Corpodetexto"/>
        <w:spacing w:before="132" w:line="312" w:lineRule="auto"/>
        <w:ind w:right="60"/>
      </w:pPr>
      <w:r>
        <w:t xml:space="preserve">O local, considerado um dos cartões-postais locais, fica a 1 </w:t>
      </w:r>
      <w:r>
        <w:rPr>
          <w:spacing w:val="1"/>
        </w:rPr>
        <w:t xml:space="preserve">km do </w:t>
      </w:r>
      <w:r>
        <w:rPr>
          <w:spacing w:val="3"/>
        </w:rPr>
        <w:t xml:space="preserve">centro histórico </w:t>
      </w:r>
      <w:r>
        <w:rPr>
          <w:spacing w:val="1"/>
        </w:rPr>
        <w:t xml:space="preserve">da </w:t>
      </w:r>
      <w:r>
        <w:rPr>
          <w:spacing w:val="3"/>
        </w:rPr>
        <w:t xml:space="preserve">cidade. Nele, </w:t>
      </w:r>
      <w:r>
        <w:rPr>
          <w:spacing w:val="1"/>
        </w:rPr>
        <w:t xml:space="preserve">se </w:t>
      </w:r>
      <w:r>
        <w:rPr>
          <w:spacing w:val="3"/>
        </w:rPr>
        <w:t xml:space="preserve">encontram </w:t>
      </w:r>
      <w:r>
        <w:rPr>
          <w:spacing w:val="5"/>
        </w:rPr>
        <w:t xml:space="preserve">as </w:t>
      </w:r>
      <w:r>
        <w:t>nascentes do rio Maquiné, responsável pelo abastecimento  de</w:t>
      </w:r>
      <w:r>
        <w:rPr>
          <w:spacing w:val="17"/>
        </w:rPr>
        <w:t xml:space="preserve"> </w:t>
      </w:r>
      <w:r>
        <w:t>água</w:t>
      </w:r>
      <w:r>
        <w:rPr>
          <w:spacing w:val="17"/>
        </w:rPr>
        <w:t xml:space="preserve"> </w:t>
      </w:r>
      <w:r>
        <w:t>do</w:t>
      </w:r>
      <w:r>
        <w:rPr>
          <w:spacing w:val="17"/>
        </w:rPr>
        <w:t xml:space="preserve"> </w:t>
      </w:r>
      <w:r>
        <w:t>município</w:t>
      </w:r>
      <w:r>
        <w:rPr>
          <w:spacing w:val="17"/>
        </w:rPr>
        <w:t xml:space="preserve"> </w:t>
      </w:r>
      <w:r>
        <w:t>(JORNAL</w:t>
      </w:r>
      <w:r>
        <w:rPr>
          <w:spacing w:val="17"/>
        </w:rPr>
        <w:t xml:space="preserve"> </w:t>
      </w:r>
      <w:r>
        <w:t>BOM</w:t>
      </w:r>
      <w:r>
        <w:rPr>
          <w:spacing w:val="17"/>
        </w:rPr>
        <w:t xml:space="preserve"> </w:t>
      </w:r>
      <w:r>
        <w:t>DIA,</w:t>
      </w:r>
      <w:r>
        <w:rPr>
          <w:spacing w:val="17"/>
        </w:rPr>
        <w:t xml:space="preserve"> </w:t>
      </w:r>
      <w:r>
        <w:rPr>
          <w:spacing w:val="1"/>
        </w:rPr>
        <w:t>2010).</w:t>
      </w:r>
    </w:p>
    <w:p w:rsidR="00D81F69" w:rsidRDefault="00330118">
      <w:pPr>
        <w:pStyle w:val="Corpodetexto"/>
        <w:spacing w:before="71" w:line="270" w:lineRule="atLeast"/>
        <w:ind w:right="42"/>
      </w:pPr>
      <w:r>
        <w:t>A proposta surpreendeu a população de Catas Altas, pois, embora a mineradora já possuísse licença do Instituto</w:t>
      </w:r>
    </w:p>
    <w:p w:rsidR="00D81F69" w:rsidRDefault="00330118">
      <w:pPr>
        <w:pStyle w:val="Corpodetexto"/>
        <w:spacing w:before="81" w:line="312" w:lineRule="auto"/>
        <w:ind w:right="186"/>
        <w:jc w:val="left"/>
      </w:pPr>
      <w:r>
        <w:br w:type="column"/>
      </w:r>
      <w:r>
        <w:lastRenderedPageBreak/>
        <w:t>Estadual de Florestas (IEF) para desmatar uma área equivalente a 10 mil m² e dependesse apenas do lice</w:t>
      </w:r>
      <w:r>
        <w:t>nciamento municipal para requerer ao Departamento Nacional de Produção Mineral (DNPM) o direito de lavra, pouco se sabia a respeito do projeto (MAPA DA INJUSTIÇA AMBIENTAL E SAÚDE NO BRASIL, 2010).</w:t>
      </w:r>
    </w:p>
    <w:p w:rsidR="00D81F69" w:rsidRDefault="00330118">
      <w:pPr>
        <w:pStyle w:val="Corpodetexto"/>
        <w:spacing w:before="135" w:line="312" w:lineRule="auto"/>
        <w:ind w:right="205"/>
      </w:pPr>
      <w:r>
        <w:t xml:space="preserve">Em seis de julho de 2010, o Conselho Municipal de Conservação e Defesa do Meio Ambiente (Codema) de Catas Altas realizou uma reunião para discutir, com a comunidade, o licenciamento da área requerida pela empresa. A reunião, no entanto, ficou marcada pela </w:t>
      </w:r>
      <w:r>
        <w:t>falta de informações concretas e “pelo uso de subterfúgios pela administração municipal para conseguir a anuência do Codema à proposta” (MAPA DA INJUSTIÇA AMBIENTAL E SAÚDE NO BRASIL, 2010).</w:t>
      </w:r>
    </w:p>
    <w:p w:rsidR="00D81F69" w:rsidRDefault="00330118">
      <w:pPr>
        <w:pStyle w:val="Corpodetexto"/>
        <w:spacing w:before="138" w:line="312" w:lineRule="auto"/>
        <w:ind w:right="190"/>
      </w:pPr>
      <w:r>
        <w:t>Segundo a ONG Portal do Caraça, o primeiro parecer emitido pela A</w:t>
      </w:r>
      <w:r>
        <w:t>ssessoria Jurídica da prefeitura era contrário à iniciativa. No entanto, outro parecer, desta vez favorável, fora incluído no processo. Com base neste segundo parecer, a prefeitura foi a favor do empreendimento, alegando que, embora se tratasse de uma área</w:t>
      </w:r>
      <w:r>
        <w:t xml:space="preserve"> de preservação, a legislação não impedia a extração de recursos minerais; requeria apenas mais rigor na fiscalização (JORNAL BOM DIA, 2010). O Codema também se manifestou a favor da iniciativa (PORTO, 2010b).</w:t>
      </w:r>
    </w:p>
    <w:p w:rsidR="00D81F69" w:rsidRDefault="00330118">
      <w:pPr>
        <w:pStyle w:val="Corpodetexto"/>
        <w:spacing w:before="139" w:line="312" w:lineRule="auto"/>
        <w:ind w:right="192"/>
      </w:pPr>
      <w:r>
        <w:rPr>
          <w:spacing w:val="3"/>
        </w:rPr>
        <w:t xml:space="preserve">Em </w:t>
      </w:r>
      <w:r>
        <w:rPr>
          <w:spacing w:val="5"/>
        </w:rPr>
        <w:t xml:space="preserve">vista disso, </w:t>
      </w:r>
      <w:r>
        <w:t xml:space="preserve">a </w:t>
      </w:r>
      <w:r>
        <w:rPr>
          <w:spacing w:val="6"/>
        </w:rPr>
        <w:t xml:space="preserve">população </w:t>
      </w:r>
      <w:r>
        <w:rPr>
          <w:spacing w:val="5"/>
        </w:rPr>
        <w:t xml:space="preserve">passou </w:t>
      </w:r>
      <w:r>
        <w:t xml:space="preserve">a </w:t>
      </w:r>
      <w:r>
        <w:rPr>
          <w:spacing w:val="6"/>
        </w:rPr>
        <w:t xml:space="preserve">realizar </w:t>
      </w:r>
      <w:r>
        <w:rPr>
          <w:spacing w:val="7"/>
        </w:rPr>
        <w:t xml:space="preserve">intensa </w:t>
      </w:r>
      <w:r>
        <w:t xml:space="preserve">mobilização social para defender a Serra do Caraça. Dentre as ações, destaca-se o abaixo assinado pleiteando que toda a serra seja considerada unidade de conservação. Além disso, passou a realizar atos públicos em defesa da serra e criou o </w:t>
      </w:r>
      <w:r>
        <w:rPr>
          <w:spacing w:val="5"/>
        </w:rPr>
        <w:t>moviment</w:t>
      </w:r>
      <w:r>
        <w:rPr>
          <w:spacing w:val="5"/>
        </w:rPr>
        <w:t xml:space="preserve">o "Serra </w:t>
      </w:r>
      <w:r>
        <w:rPr>
          <w:spacing w:val="3"/>
        </w:rPr>
        <w:t xml:space="preserve">pede </w:t>
      </w:r>
      <w:r>
        <w:rPr>
          <w:spacing w:val="5"/>
        </w:rPr>
        <w:t xml:space="preserve">socorro", levando </w:t>
      </w:r>
      <w:r>
        <w:t xml:space="preserve">a </w:t>
      </w:r>
      <w:r>
        <w:rPr>
          <w:spacing w:val="5"/>
        </w:rPr>
        <w:t>situação ao</w:t>
      </w:r>
      <w:r>
        <w:rPr>
          <w:spacing w:val="61"/>
        </w:rPr>
        <w:t xml:space="preserve"> </w:t>
      </w:r>
      <w:r>
        <w:rPr>
          <w:spacing w:val="8"/>
        </w:rPr>
        <w:t xml:space="preserve">Ministério </w:t>
      </w:r>
      <w:r>
        <w:rPr>
          <w:spacing w:val="7"/>
        </w:rPr>
        <w:t xml:space="preserve">Público </w:t>
      </w:r>
      <w:r>
        <w:t xml:space="preserve">e </w:t>
      </w:r>
      <w:r>
        <w:rPr>
          <w:spacing w:val="7"/>
        </w:rPr>
        <w:t xml:space="preserve">cobrando </w:t>
      </w:r>
      <w:r>
        <w:rPr>
          <w:spacing w:val="8"/>
        </w:rPr>
        <w:t xml:space="preserve">explicações </w:t>
      </w:r>
      <w:r>
        <w:rPr>
          <w:spacing w:val="5"/>
        </w:rPr>
        <w:t xml:space="preserve">dos </w:t>
      </w:r>
      <w:r>
        <w:rPr>
          <w:spacing w:val="10"/>
        </w:rPr>
        <w:t xml:space="preserve">órgãos </w:t>
      </w:r>
      <w:r>
        <w:rPr>
          <w:spacing w:val="1"/>
        </w:rPr>
        <w:t xml:space="preserve">envolvidos </w:t>
      </w:r>
      <w:r>
        <w:t xml:space="preserve">na </w:t>
      </w:r>
      <w:r>
        <w:rPr>
          <w:spacing w:val="1"/>
        </w:rPr>
        <w:t xml:space="preserve">aprovação </w:t>
      </w:r>
      <w:r>
        <w:t xml:space="preserve">da </w:t>
      </w:r>
      <w:r>
        <w:rPr>
          <w:spacing w:val="1"/>
        </w:rPr>
        <w:t xml:space="preserve">iniciativa (JORNAL </w:t>
      </w:r>
      <w:r>
        <w:t xml:space="preserve">BOM </w:t>
      </w:r>
      <w:r>
        <w:rPr>
          <w:spacing w:val="2"/>
        </w:rPr>
        <w:t>DIA, 2010).</w:t>
      </w:r>
    </w:p>
    <w:p w:rsidR="00D81F69" w:rsidRDefault="00330118">
      <w:pPr>
        <w:pStyle w:val="Corpodetexto"/>
        <w:spacing w:before="138" w:line="312" w:lineRule="auto"/>
        <w:ind w:right="194"/>
      </w:pPr>
      <w:r>
        <w:t>A insatisfação da população se devia, dentre outros fatores, à extensão da área de desmatamento prevista pelo projeto, ao possível comprometimento do abastecimento de água na cidade (JORNAL BOM DIA, 2010) e às pretensões da Maybach de escoar a produção pel</w:t>
      </w:r>
      <w:r>
        <w:t>o modal rodoviário até o município de Barão de Cocais, o que poderia afetar o turismo da cidade devido ao trânsito de veículos pesados (PORTO, 2010b).</w:t>
      </w:r>
    </w:p>
    <w:p w:rsidR="00D81F69" w:rsidRDefault="00330118">
      <w:pPr>
        <w:pStyle w:val="Corpodetexto"/>
        <w:spacing w:before="138" w:line="312" w:lineRule="auto"/>
        <w:ind w:right="212"/>
      </w:pPr>
      <w:r>
        <w:t>A pressão popular e a falta de clareza sobre as alterações nos pareceres fizeram com que o Codema retific</w:t>
      </w:r>
      <w:r>
        <w:t>asse sua decisão. Já a prefeitura mudou publicamente sua postura em relação ao empreendimento, sem cancelar, no entanto, a certidão emitida a favor da iniciativa (MAPA DA INJUSTIÇA AMBIENTAL E SAÚDE NO BRASIL, 2010).</w:t>
      </w:r>
    </w:p>
    <w:p w:rsidR="00D81F69" w:rsidRDefault="00330118">
      <w:pPr>
        <w:pStyle w:val="Corpodetexto"/>
        <w:spacing w:before="72" w:line="270" w:lineRule="atLeast"/>
        <w:ind w:right="199"/>
      </w:pPr>
      <w:r>
        <w:t xml:space="preserve">Diante dos fatos, o Ministério Público </w:t>
      </w:r>
      <w:r>
        <w:t xml:space="preserve">Estadual (MPE) contestou as determinações do Decreto Estadual 44.844/2008, que subsidiou a concessão da chamada Autorização Ambiental de Funcionamento (AAF) para mineração na Serra do Caraça, afirmando que esse tipo de licença não exige estudos ambientais </w:t>
      </w:r>
      <w:r>
        <w:t>para sua aprovação, o que contraria a Resolução 237/1997 do Conselho Nacional de</w:t>
      </w:r>
    </w:p>
    <w:p w:rsidR="00D81F69" w:rsidRDefault="00D81F69">
      <w:pPr>
        <w:spacing w:line="270" w:lineRule="atLeast"/>
        <w:sectPr w:rsidR="00D81F69">
          <w:pgSz w:w="11900" w:h="16840"/>
          <w:pgMar w:top="740" w:right="500" w:bottom="640" w:left="620" w:header="0" w:footer="402" w:gutter="0"/>
          <w:cols w:num="2" w:space="720" w:equalWidth="0">
            <w:col w:w="5160" w:space="310"/>
            <w:col w:w="5310"/>
          </w:cols>
        </w:sectPr>
      </w:pPr>
    </w:p>
    <w:p w:rsidR="00D81F69" w:rsidRDefault="00330118">
      <w:pPr>
        <w:pStyle w:val="Corpodetexto"/>
        <w:spacing w:before="81" w:line="312" w:lineRule="auto"/>
        <w:ind w:right="67"/>
      </w:pPr>
      <w:r>
        <w:lastRenderedPageBreak/>
        <w:t xml:space="preserve">Meio Ambiente (Conama), sendo, portanto, inconstitucional. A </w:t>
      </w:r>
      <w:r>
        <w:rPr>
          <w:spacing w:val="3"/>
        </w:rPr>
        <w:t xml:space="preserve">Ordem </w:t>
      </w:r>
      <w:r>
        <w:rPr>
          <w:spacing w:val="2"/>
        </w:rPr>
        <w:t xml:space="preserve">dos </w:t>
      </w:r>
      <w:r>
        <w:rPr>
          <w:spacing w:val="3"/>
        </w:rPr>
        <w:t xml:space="preserve">Advogados </w:t>
      </w:r>
      <w:r>
        <w:rPr>
          <w:spacing w:val="1"/>
        </w:rPr>
        <w:t xml:space="preserve">do </w:t>
      </w:r>
      <w:r>
        <w:rPr>
          <w:spacing w:val="3"/>
        </w:rPr>
        <w:t xml:space="preserve">Brasil-Seção </w:t>
      </w:r>
      <w:r>
        <w:rPr>
          <w:spacing w:val="1"/>
        </w:rPr>
        <w:t xml:space="preserve">de </w:t>
      </w:r>
      <w:r>
        <w:rPr>
          <w:spacing w:val="3"/>
        </w:rPr>
        <w:t xml:space="preserve">Minas </w:t>
      </w:r>
      <w:r>
        <w:rPr>
          <w:spacing w:val="5"/>
        </w:rPr>
        <w:t xml:space="preserve">Gerais (OAB-MG) corroborou </w:t>
      </w:r>
      <w:r>
        <w:t xml:space="preserve">a </w:t>
      </w:r>
      <w:r>
        <w:rPr>
          <w:spacing w:val="5"/>
        </w:rPr>
        <w:t>interpretaç</w:t>
      </w:r>
      <w:r>
        <w:rPr>
          <w:spacing w:val="5"/>
        </w:rPr>
        <w:t xml:space="preserve">ão </w:t>
      </w:r>
      <w:r>
        <w:rPr>
          <w:spacing w:val="2"/>
        </w:rPr>
        <w:t xml:space="preserve">do </w:t>
      </w:r>
      <w:r>
        <w:rPr>
          <w:spacing w:val="3"/>
        </w:rPr>
        <w:t xml:space="preserve">MPE. </w:t>
      </w:r>
      <w:r>
        <w:rPr>
          <w:spacing w:val="5"/>
        </w:rPr>
        <w:t xml:space="preserve">Então, </w:t>
      </w:r>
      <w:r>
        <w:t xml:space="preserve">a Secretaria de Estado de Meio Ambiente e Desenvolvimento </w:t>
      </w:r>
      <w:r>
        <w:rPr>
          <w:spacing w:val="8"/>
        </w:rPr>
        <w:t xml:space="preserve">Sustentável </w:t>
      </w:r>
      <w:r>
        <w:rPr>
          <w:spacing w:val="7"/>
        </w:rPr>
        <w:t xml:space="preserve">(Semad) suspendeu </w:t>
      </w:r>
      <w:r>
        <w:t xml:space="preserve">a </w:t>
      </w:r>
      <w:r>
        <w:rPr>
          <w:spacing w:val="7"/>
        </w:rPr>
        <w:t xml:space="preserve">concessão </w:t>
      </w:r>
      <w:r>
        <w:rPr>
          <w:spacing w:val="5"/>
        </w:rPr>
        <w:t xml:space="preserve">da </w:t>
      </w:r>
      <w:r>
        <w:rPr>
          <w:spacing w:val="10"/>
        </w:rPr>
        <w:t xml:space="preserve">AAF, </w:t>
      </w:r>
      <w:r>
        <w:t xml:space="preserve">impedindo a Maybach de se instalar no local, enquanto </w:t>
      </w:r>
      <w:r>
        <w:rPr>
          <w:spacing w:val="1"/>
        </w:rPr>
        <w:t xml:space="preserve">não  </w:t>
      </w:r>
      <w:r>
        <w:t xml:space="preserve">se posicionasse de forma definitiva sobre o assunto (PORTO, </w:t>
      </w:r>
      <w:r>
        <w:rPr>
          <w:spacing w:val="12"/>
        </w:rPr>
        <w:t xml:space="preserve">2010b). </w:t>
      </w:r>
      <w:r>
        <w:rPr>
          <w:spacing w:val="10"/>
        </w:rPr>
        <w:t>Até</w:t>
      </w:r>
      <w:r>
        <w:rPr>
          <w:spacing w:val="10"/>
        </w:rPr>
        <w:t xml:space="preserve"> </w:t>
      </w:r>
      <w:r>
        <w:rPr>
          <w:spacing w:val="11"/>
        </w:rPr>
        <w:t xml:space="preserve">hoje, </w:t>
      </w:r>
      <w:r>
        <w:rPr>
          <w:spacing w:val="10"/>
        </w:rPr>
        <w:t xml:space="preserve">não </w:t>
      </w:r>
      <w:r>
        <w:rPr>
          <w:spacing w:val="7"/>
        </w:rPr>
        <w:t xml:space="preserve">há </w:t>
      </w:r>
      <w:r>
        <w:rPr>
          <w:spacing w:val="13"/>
        </w:rPr>
        <w:t xml:space="preserve">definição </w:t>
      </w:r>
      <w:r>
        <w:t xml:space="preserve">a </w:t>
      </w:r>
      <w:r>
        <w:rPr>
          <w:spacing w:val="13"/>
        </w:rPr>
        <w:t xml:space="preserve">respeito </w:t>
      </w:r>
      <w:r>
        <w:rPr>
          <w:spacing w:val="7"/>
        </w:rPr>
        <w:t xml:space="preserve">do </w:t>
      </w:r>
      <w:r>
        <w:rPr>
          <w:spacing w:val="5"/>
        </w:rPr>
        <w:t xml:space="preserve">empreendimento (MAPA </w:t>
      </w:r>
      <w:r>
        <w:rPr>
          <w:spacing w:val="2"/>
        </w:rPr>
        <w:t xml:space="preserve">DA </w:t>
      </w:r>
      <w:r>
        <w:rPr>
          <w:spacing w:val="5"/>
        </w:rPr>
        <w:t xml:space="preserve">INJUSTIÇA AMBIENTAL </w:t>
      </w:r>
      <w:r>
        <w:t xml:space="preserve">E </w:t>
      </w:r>
      <w:r>
        <w:rPr>
          <w:spacing w:val="5"/>
        </w:rPr>
        <w:t xml:space="preserve">SAÚDE </w:t>
      </w:r>
      <w:r>
        <w:rPr>
          <w:spacing w:val="2"/>
        </w:rPr>
        <w:t xml:space="preserve">NO </w:t>
      </w:r>
      <w:r>
        <w:rPr>
          <w:spacing w:val="5"/>
        </w:rPr>
        <w:t>BRASIL,</w:t>
      </w:r>
      <w:r>
        <w:rPr>
          <w:spacing w:val="2"/>
        </w:rPr>
        <w:t xml:space="preserve"> </w:t>
      </w:r>
      <w:r>
        <w:rPr>
          <w:spacing w:val="6"/>
        </w:rPr>
        <w:t>2010).</w:t>
      </w:r>
    </w:p>
    <w:p w:rsidR="00D81F69" w:rsidRDefault="00330118">
      <w:pPr>
        <w:pStyle w:val="Corpodetexto"/>
        <w:spacing w:before="139" w:line="312" w:lineRule="auto"/>
        <w:ind w:right="72"/>
      </w:pPr>
      <w:r>
        <w:t>Atualmente, a Serra do Caraça, assim como a Serra do Curral e do Rola-Moça, é um dos geossítios do Geoparque [marca atribuída pela Unesco a uma área</w:t>
      </w:r>
      <w:r>
        <w:t xml:space="preserve"> com limites bem definidos </w:t>
      </w:r>
      <w:r>
        <w:rPr>
          <w:spacing w:val="1"/>
        </w:rPr>
        <w:t xml:space="preserve">onde haja </w:t>
      </w:r>
      <w:r>
        <w:t xml:space="preserve">um </w:t>
      </w:r>
      <w:r>
        <w:rPr>
          <w:spacing w:val="1"/>
        </w:rPr>
        <w:t xml:space="preserve">determinado número </w:t>
      </w:r>
      <w:r>
        <w:t xml:space="preserve">de </w:t>
      </w:r>
      <w:r>
        <w:rPr>
          <w:spacing w:val="1"/>
        </w:rPr>
        <w:t xml:space="preserve">sítios geológicos </w:t>
      </w:r>
      <w:r>
        <w:rPr>
          <w:spacing w:val="2"/>
        </w:rPr>
        <w:t xml:space="preserve">de </w:t>
      </w:r>
      <w:r>
        <w:rPr>
          <w:spacing w:val="10"/>
        </w:rPr>
        <w:t xml:space="preserve">especial importância científica, raridade </w:t>
      </w:r>
      <w:r>
        <w:rPr>
          <w:spacing w:val="5"/>
        </w:rPr>
        <w:t>ou</w:t>
      </w:r>
      <w:r>
        <w:rPr>
          <w:spacing w:val="61"/>
        </w:rPr>
        <w:t xml:space="preserve"> </w:t>
      </w:r>
      <w:r>
        <w:rPr>
          <w:spacing w:val="12"/>
        </w:rPr>
        <w:t xml:space="preserve">beleza] </w:t>
      </w:r>
      <w:r>
        <w:t xml:space="preserve">Quadrilátero Ferrífero (Geopark QFe), lançado </w:t>
      </w:r>
      <w:r>
        <w:rPr>
          <w:spacing w:val="1"/>
        </w:rPr>
        <w:t xml:space="preserve">oficialmente </w:t>
      </w:r>
      <w:r>
        <w:t>em setembro de 2011. Tendo em vista o relevante patrimônio na</w:t>
      </w:r>
      <w:r>
        <w:t xml:space="preserve">tural e cultural do Quadrilátero Ferrífero e suas inúmeras </w:t>
      </w:r>
      <w:r>
        <w:rPr>
          <w:spacing w:val="3"/>
        </w:rPr>
        <w:t xml:space="preserve">reservas minerais, desde 2006, vinham sendo </w:t>
      </w:r>
      <w:r>
        <w:rPr>
          <w:spacing w:val="5"/>
        </w:rPr>
        <w:t xml:space="preserve">realizados </w:t>
      </w:r>
      <w:r>
        <w:t xml:space="preserve">estudos e discussões sobre a possibilidade de criação de um </w:t>
      </w:r>
      <w:r>
        <w:rPr>
          <w:spacing w:val="22"/>
        </w:rPr>
        <w:t xml:space="preserve">Geoparque </w:t>
      </w:r>
      <w:r>
        <w:rPr>
          <w:spacing w:val="12"/>
        </w:rPr>
        <w:t xml:space="preserve">da </w:t>
      </w:r>
      <w:r>
        <w:rPr>
          <w:spacing w:val="20"/>
        </w:rPr>
        <w:t>Unesco</w:t>
      </w:r>
      <w:r>
        <w:rPr>
          <w:spacing w:val="91"/>
        </w:rPr>
        <w:t xml:space="preserve"> </w:t>
      </w:r>
      <w:r>
        <w:rPr>
          <w:spacing w:val="12"/>
        </w:rPr>
        <w:t xml:space="preserve">na </w:t>
      </w:r>
      <w:r>
        <w:rPr>
          <w:spacing w:val="20"/>
        </w:rPr>
        <w:t>região</w:t>
      </w:r>
      <w:r>
        <w:rPr>
          <w:spacing w:val="91"/>
        </w:rPr>
        <w:t xml:space="preserve"> </w:t>
      </w:r>
      <w:r>
        <w:rPr>
          <w:spacing w:val="21"/>
        </w:rPr>
        <w:t xml:space="preserve">(GEOPARK </w:t>
      </w:r>
      <w:r>
        <w:rPr>
          <w:spacing w:val="22"/>
        </w:rPr>
        <w:t>QUADRILÁTERO FERRÍFERO,</w:t>
      </w:r>
      <w:r>
        <w:rPr>
          <w:spacing w:val="91"/>
        </w:rPr>
        <w:t xml:space="preserve"> </w:t>
      </w:r>
      <w:r>
        <w:rPr>
          <w:spacing w:val="20"/>
        </w:rPr>
        <w:t>2011).</w:t>
      </w:r>
      <w:r>
        <w:rPr>
          <w:spacing w:val="-23"/>
        </w:rPr>
        <w:t xml:space="preserve"> </w:t>
      </w:r>
    </w:p>
    <w:p w:rsidR="00D81F69" w:rsidRDefault="00330118">
      <w:pPr>
        <w:pStyle w:val="Corpodetexto"/>
        <w:spacing w:before="141" w:line="312" w:lineRule="auto"/>
        <w:ind w:right="38"/>
      </w:pPr>
      <w:r>
        <w:t>De acordo com o presidente do Comitê Gestor do Geoparque, a iniciativa visa ser “um instrumento indutor da promoção e valorização do patrimônio de história geológica e de cultura mineral da região, e de estratégias para o desenvolvimento sustentável do ter</w:t>
      </w:r>
      <w:r>
        <w:t>ritório minerário, cujo perímetro circunda 23 municípios e uma área de 6 mil km², que abriga 3,5 milhões de habitantes” (BRASIL MINERAL, 2011).</w:t>
      </w:r>
    </w:p>
    <w:p w:rsidR="00D81F69" w:rsidRDefault="00330118">
      <w:pPr>
        <w:pStyle w:val="Corpodetexto"/>
        <w:spacing w:before="137" w:line="312" w:lineRule="auto"/>
        <w:ind w:right="74"/>
      </w:pPr>
      <w:r>
        <w:t>O Geopark QFe é gerido pelo Instituto Quadrilátero e tem como instituições fundadoras associadas: Universidade F</w:t>
      </w:r>
      <w:r>
        <w:t>ederal de Minas Gerais (UFMG); Universidade Federal de Ouro Preto; Pontifícia Universidade Católica de Minas Gerais (PUC-Minas); Centro Tecnológico de Minas Gerais (Cetec); Serviço Geológico do Brasil (CPRM); Secretaria de Estado de Ciência, Tecnologia e E</w:t>
      </w:r>
      <w:r>
        <w:t>nsino Superior de Minas Gerais (Sectes-MG), por meio do Pólo de Excelência Mineral e Metalúrgico; e Fundação de Amparo à Pesquisa de Minas Gerais (Fapemig) (BRASIL MINERAL, 2011).</w:t>
      </w:r>
    </w:p>
    <w:p w:rsidR="00D81F69" w:rsidRDefault="00D81F69">
      <w:pPr>
        <w:pStyle w:val="Corpodetexto"/>
        <w:spacing w:before="8"/>
        <w:ind w:left="0"/>
        <w:jc w:val="left"/>
        <w:rPr>
          <w:sz w:val="21"/>
        </w:rPr>
      </w:pPr>
    </w:p>
    <w:p w:rsidR="00D81F69" w:rsidRDefault="00330118">
      <w:pPr>
        <w:pStyle w:val="Heading7"/>
        <w:spacing w:before="1"/>
      </w:pPr>
      <w:r>
        <w:t>LOCALIZAÇÃO GEOGRÁFICA</w:t>
      </w:r>
    </w:p>
    <w:p w:rsidR="00D81F69" w:rsidRDefault="00330118">
      <w:pPr>
        <w:pStyle w:val="Corpodetexto"/>
        <w:spacing w:before="178" w:line="312" w:lineRule="auto"/>
        <w:ind w:right="89"/>
      </w:pPr>
      <w:r>
        <w:t>A exploração de minério de ferro no município de Catas Altas (MG) está localizada na latitude 20º04'25"S e longitude 43º25'58"W, Rio Piracicaba na bacia do Rio Doce na Região Costeira do Atlântico do Sul.</w:t>
      </w:r>
    </w:p>
    <w:p w:rsidR="00D81F69" w:rsidRDefault="00D81F69">
      <w:pPr>
        <w:pStyle w:val="Corpodetexto"/>
        <w:spacing w:before="2"/>
        <w:ind w:left="0"/>
        <w:jc w:val="left"/>
        <w:rPr>
          <w:sz w:val="29"/>
        </w:rPr>
      </w:pPr>
    </w:p>
    <w:p w:rsidR="00D81F69" w:rsidRDefault="00330118">
      <w:pPr>
        <w:pStyle w:val="Heading7"/>
      </w:pPr>
      <w:r>
        <w:t>REDATORES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REFERÊNC</w:t>
      </w:r>
      <w:r>
        <w:t>IAS BIBLIOGRÁFICAS</w:t>
      </w:r>
    </w:p>
    <w:p w:rsidR="00D81F69" w:rsidRDefault="00330118">
      <w:pPr>
        <w:spacing w:before="131" w:line="240" w:lineRule="atLeast"/>
        <w:ind w:left="100" w:right="88"/>
        <w:jc w:val="both"/>
        <w:rPr>
          <w:sz w:val="16"/>
        </w:rPr>
      </w:pPr>
      <w:r>
        <w:rPr>
          <w:sz w:val="16"/>
        </w:rPr>
        <w:t>BARBOSA, André Coutinho. Geoprocessamento aplicado ao estudo da vegetação e do uso e ocupação do uso do solo da região da Serra do Caraça no período do 1980-2002, 2005, 48 f. Monografia (Especialização em Geociências), Universidade Feder</w:t>
      </w:r>
      <w:r>
        <w:rPr>
          <w:sz w:val="16"/>
        </w:rPr>
        <w:t>al de Minas</w:t>
      </w:r>
    </w:p>
    <w:p w:rsidR="00D81F69" w:rsidRDefault="00330118">
      <w:pPr>
        <w:spacing w:before="70"/>
        <w:ind w:left="100"/>
        <w:jc w:val="both"/>
        <w:rPr>
          <w:sz w:val="16"/>
        </w:rPr>
      </w:pPr>
      <w:r>
        <w:br w:type="column"/>
      </w:r>
      <w:r>
        <w:rPr>
          <w:spacing w:val="25"/>
          <w:sz w:val="16"/>
        </w:rPr>
        <w:lastRenderedPageBreak/>
        <w:t>Gerais,</w:t>
      </w:r>
      <w:r>
        <w:rPr>
          <w:spacing w:val="95"/>
          <w:sz w:val="16"/>
        </w:rPr>
        <w:t xml:space="preserve"> </w:t>
      </w:r>
      <w:r>
        <w:rPr>
          <w:spacing w:val="22"/>
          <w:sz w:val="16"/>
        </w:rPr>
        <w:t xml:space="preserve">Belo </w:t>
      </w:r>
      <w:r>
        <w:rPr>
          <w:spacing w:val="26"/>
          <w:sz w:val="16"/>
        </w:rPr>
        <w:t xml:space="preserve">Horizonte, </w:t>
      </w:r>
      <w:r>
        <w:rPr>
          <w:spacing w:val="23"/>
          <w:sz w:val="16"/>
        </w:rPr>
        <w:t xml:space="preserve">2005. </w:t>
      </w:r>
      <w:r>
        <w:rPr>
          <w:spacing w:val="26"/>
          <w:sz w:val="16"/>
        </w:rPr>
        <w:t>Disponível</w:t>
      </w:r>
      <w:r>
        <w:rPr>
          <w:spacing w:val="25"/>
          <w:sz w:val="16"/>
        </w:rPr>
        <w:t xml:space="preserve"> </w:t>
      </w:r>
      <w:r>
        <w:rPr>
          <w:spacing w:val="20"/>
          <w:sz w:val="16"/>
        </w:rPr>
        <w:t>em:</w:t>
      </w:r>
      <w:r>
        <w:rPr>
          <w:spacing w:val="-12"/>
          <w:sz w:val="16"/>
        </w:rPr>
        <w:t xml:space="preserve"> </w:t>
      </w:r>
    </w:p>
    <w:p w:rsidR="00D81F69" w:rsidRDefault="00D81F69">
      <w:pPr>
        <w:spacing w:before="56" w:line="312" w:lineRule="auto"/>
        <w:ind w:left="100" w:right="216"/>
        <w:jc w:val="both"/>
        <w:rPr>
          <w:sz w:val="16"/>
        </w:rPr>
      </w:pPr>
      <w:hyperlink r:id="rId1195">
        <w:r w:rsidR="00330118">
          <w:rPr>
            <w:sz w:val="16"/>
          </w:rPr>
          <w:t>&lt;http://www.csr.ufmg.br/geoprocessamento/publicacoes/andrecoutinh</w:t>
        </w:r>
      </w:hyperlink>
      <w:r w:rsidR="00330118">
        <w:rPr>
          <w:sz w:val="16"/>
        </w:rPr>
        <w:t xml:space="preserve"> o.pdf&gt;Acesso em: 20 dez. 2011.</w:t>
      </w:r>
    </w:p>
    <w:p w:rsidR="00D81F69" w:rsidRDefault="00330118">
      <w:pPr>
        <w:tabs>
          <w:tab w:val="left" w:pos="2559"/>
          <w:tab w:val="left" w:pos="5063"/>
        </w:tabs>
        <w:spacing w:before="1" w:line="312" w:lineRule="auto"/>
        <w:ind w:left="100" w:right="200"/>
        <w:jc w:val="both"/>
        <w:rPr>
          <w:sz w:val="16"/>
        </w:rPr>
      </w:pPr>
      <w:r>
        <w:rPr>
          <w:sz w:val="16"/>
        </w:rPr>
        <w:t>BRASIL MINERAL. Mi</w:t>
      </w:r>
      <w:r>
        <w:rPr>
          <w:sz w:val="16"/>
        </w:rPr>
        <w:t>nas Gerais. Lançado o Geopark Quadrilátero Ferrífero. In: Brasil Mineral Online, n. 518, 09 de set. 2011. Disponível e</w:t>
      </w:r>
      <w:r>
        <w:rPr>
          <w:sz w:val="16"/>
        </w:rPr>
        <w:tab/>
        <w:t>m</w:t>
      </w:r>
      <w:r>
        <w:rPr>
          <w:sz w:val="16"/>
        </w:rPr>
        <w:tab/>
        <w:t>:</w:t>
      </w:r>
    </w:p>
    <w:p w:rsidR="00D81F69" w:rsidRDefault="00D81F69">
      <w:pPr>
        <w:spacing w:before="3" w:line="312" w:lineRule="auto"/>
        <w:ind w:left="100" w:right="217"/>
        <w:jc w:val="both"/>
        <w:rPr>
          <w:sz w:val="16"/>
        </w:rPr>
      </w:pPr>
      <w:hyperlink r:id="rId1196">
        <w:r w:rsidR="00330118">
          <w:rPr>
            <w:sz w:val="16"/>
          </w:rPr>
          <w:t>&lt;http://www.brasilmineral.com.br/BM/default.asp?bu</w:t>
        </w:r>
        <w:r w:rsidR="00330118">
          <w:rPr>
            <w:sz w:val="16"/>
          </w:rPr>
          <w:t>sca=Geopark+Qu</w:t>
        </w:r>
      </w:hyperlink>
      <w:r w:rsidR="00330118">
        <w:rPr>
          <w:sz w:val="16"/>
        </w:rPr>
        <w:t xml:space="preserve"> adril%E1tero+Ferr%EDfero&gt;. Acesso em: 20 dez. 2011.</w:t>
      </w:r>
    </w:p>
    <w:p w:rsidR="00D81F69" w:rsidRDefault="00330118">
      <w:pPr>
        <w:spacing w:before="1" w:line="312" w:lineRule="auto"/>
        <w:ind w:left="100" w:right="181"/>
        <w:jc w:val="both"/>
        <w:rPr>
          <w:sz w:val="16"/>
        </w:rPr>
      </w:pPr>
      <w:r>
        <w:rPr>
          <w:spacing w:val="3"/>
          <w:sz w:val="16"/>
        </w:rPr>
        <w:t xml:space="preserve">DAMASCENO, Eduardo Camilher. Disponibilidade, suprimento </w:t>
      </w:r>
      <w:r>
        <w:rPr>
          <w:sz w:val="16"/>
        </w:rPr>
        <w:t xml:space="preserve">e demanda de minérios para metalurgia. Rio de Janeiro: Cetem/MCT, </w:t>
      </w:r>
      <w:r>
        <w:rPr>
          <w:spacing w:val="15"/>
          <w:sz w:val="16"/>
        </w:rPr>
        <w:t>2007.</w:t>
      </w:r>
      <w:r>
        <w:rPr>
          <w:spacing w:val="75"/>
          <w:sz w:val="16"/>
        </w:rPr>
        <w:t xml:space="preserve"> </w:t>
      </w:r>
      <w:r>
        <w:rPr>
          <w:spacing w:val="15"/>
          <w:sz w:val="16"/>
        </w:rPr>
        <w:t>Série</w:t>
      </w:r>
      <w:r>
        <w:rPr>
          <w:spacing w:val="75"/>
          <w:sz w:val="16"/>
        </w:rPr>
        <w:t xml:space="preserve"> </w:t>
      </w:r>
      <w:r>
        <w:rPr>
          <w:spacing w:val="16"/>
          <w:sz w:val="16"/>
        </w:rPr>
        <w:t xml:space="preserve">Estudos </w:t>
      </w:r>
      <w:r>
        <w:rPr>
          <w:sz w:val="16"/>
        </w:rPr>
        <w:t xml:space="preserve">e </w:t>
      </w:r>
      <w:r>
        <w:rPr>
          <w:spacing w:val="17"/>
          <w:sz w:val="16"/>
        </w:rPr>
        <w:t>Documentos. Disponível</w:t>
      </w:r>
      <w:r>
        <w:rPr>
          <w:spacing w:val="16"/>
          <w:sz w:val="16"/>
        </w:rPr>
        <w:t xml:space="preserve"> </w:t>
      </w:r>
      <w:r>
        <w:rPr>
          <w:spacing w:val="12"/>
          <w:sz w:val="16"/>
        </w:rPr>
        <w:t>em:</w:t>
      </w:r>
      <w:r>
        <w:rPr>
          <w:spacing w:val="-23"/>
          <w:sz w:val="16"/>
        </w:rPr>
        <w:t xml:space="preserve"> </w:t>
      </w:r>
    </w:p>
    <w:p w:rsidR="00D81F69" w:rsidRDefault="00D81F69">
      <w:pPr>
        <w:spacing w:before="3" w:line="312" w:lineRule="auto"/>
        <w:ind w:left="100" w:right="216"/>
        <w:jc w:val="both"/>
        <w:rPr>
          <w:sz w:val="16"/>
        </w:rPr>
      </w:pPr>
      <w:hyperlink r:id="rId1197">
        <w:r w:rsidR="00330118">
          <w:rPr>
            <w:sz w:val="16"/>
          </w:rPr>
          <w:t xml:space="preserve">&lt;http://www.cetem.gov.br/publicacao/series_sed/sed-69.pdf&gt;. </w:t>
        </w:r>
      </w:hyperlink>
      <w:r w:rsidR="00330118">
        <w:rPr>
          <w:sz w:val="16"/>
        </w:rPr>
        <w:t>Acesso em: 20 dez. 2011.</w:t>
      </w:r>
    </w:p>
    <w:p w:rsidR="00D81F69" w:rsidRDefault="00330118">
      <w:pPr>
        <w:spacing w:before="1"/>
        <w:ind w:left="100"/>
        <w:jc w:val="both"/>
        <w:rPr>
          <w:sz w:val="16"/>
        </w:rPr>
      </w:pPr>
      <w:r>
        <w:rPr>
          <w:sz w:val="16"/>
        </w:rPr>
        <w:t>GEOPARK  QUADRILÁTERO  FERRÍFERO.  O   Geopark QFe.</w:t>
      </w:r>
    </w:p>
    <w:p w:rsidR="00D81F69" w:rsidRDefault="00330118">
      <w:pPr>
        <w:spacing w:before="56"/>
        <w:ind w:left="100"/>
        <w:jc w:val="both"/>
        <w:rPr>
          <w:sz w:val="16"/>
        </w:rPr>
      </w:pPr>
      <w:r>
        <w:rPr>
          <w:sz w:val="16"/>
        </w:rPr>
        <w:t>L o c a l i z a ç ã o ,       2 0 1 1 .       D</w:t>
      </w:r>
      <w:r>
        <w:rPr>
          <w:sz w:val="16"/>
        </w:rPr>
        <w:t xml:space="preserve"> i s p o n í v e l       e m : </w:t>
      </w:r>
    </w:p>
    <w:p w:rsidR="00D81F69" w:rsidRDefault="00D81F69">
      <w:pPr>
        <w:spacing w:before="57" w:line="312" w:lineRule="auto"/>
        <w:ind w:left="100" w:right="216"/>
        <w:jc w:val="both"/>
        <w:rPr>
          <w:sz w:val="16"/>
        </w:rPr>
      </w:pPr>
      <w:hyperlink r:id="rId1198">
        <w:r w:rsidR="00330118">
          <w:rPr>
            <w:sz w:val="16"/>
          </w:rPr>
          <w:t>&lt;http://www.geoparkquadrilatero.org/?pg=conteudo&amp;id=162&amp;L=PTBR</w:t>
        </w:r>
      </w:hyperlink>
      <w:r w:rsidR="00330118">
        <w:rPr>
          <w:sz w:val="16"/>
        </w:rPr>
        <w:t xml:space="preserve"> &amp;_Localizacao&gt;. Acesso em: 20 dez. 2011.</w:t>
      </w:r>
    </w:p>
    <w:p w:rsidR="00D81F69" w:rsidRDefault="00330118">
      <w:pPr>
        <w:spacing w:before="1" w:line="312" w:lineRule="auto"/>
        <w:ind w:left="100" w:right="157"/>
        <w:jc w:val="both"/>
        <w:rPr>
          <w:sz w:val="16"/>
        </w:rPr>
      </w:pPr>
      <w:r>
        <w:rPr>
          <w:sz w:val="16"/>
        </w:rPr>
        <w:t>IBGE, Instituto Brasileiro de Geo</w:t>
      </w:r>
      <w:r>
        <w:rPr>
          <w:sz w:val="16"/>
        </w:rPr>
        <w:t xml:space="preserve">grafia e Estatística. Catas Altas (MG). In: IBGE Cidades, 2010. Disponível em: </w:t>
      </w:r>
    </w:p>
    <w:p w:rsidR="00D81F69" w:rsidRDefault="00D81F69">
      <w:pPr>
        <w:spacing w:before="2"/>
        <w:ind w:left="100"/>
        <w:jc w:val="both"/>
        <w:rPr>
          <w:sz w:val="16"/>
        </w:rPr>
      </w:pPr>
      <w:hyperlink r:id="rId1199">
        <w:r w:rsidR="00330118">
          <w:rPr>
            <w:sz w:val="16"/>
          </w:rPr>
          <w:t>&lt;http://www.ibge.gov.br/cidadesat/xtras/perfil.php?codmun=311535&amp;r</w:t>
        </w:r>
      </w:hyperlink>
    </w:p>
    <w:p w:rsidR="00D81F69" w:rsidRDefault="00330118">
      <w:pPr>
        <w:spacing w:before="56"/>
        <w:ind w:left="100"/>
        <w:jc w:val="both"/>
        <w:rPr>
          <w:sz w:val="16"/>
        </w:rPr>
      </w:pPr>
      <w:r>
        <w:rPr>
          <w:sz w:val="16"/>
        </w:rPr>
        <w:t>=2&gt;. Acesso em: 20 dez</w:t>
      </w:r>
      <w:r>
        <w:rPr>
          <w:sz w:val="16"/>
        </w:rPr>
        <w:t>. 2011.</w:t>
      </w:r>
    </w:p>
    <w:p w:rsidR="00D81F69" w:rsidRDefault="00330118">
      <w:pPr>
        <w:spacing w:before="56" w:line="312" w:lineRule="auto"/>
        <w:ind w:left="100" w:right="197"/>
        <w:jc w:val="both"/>
        <w:rPr>
          <w:sz w:val="16"/>
        </w:rPr>
      </w:pPr>
      <w:r>
        <w:rPr>
          <w:sz w:val="16"/>
        </w:rPr>
        <w:t>JORNAL BOM DIA. População de Catas Altas se manifesta contra mineração no Maquiné. In: Mais Mídia, 07 jul. 2010. Disponível em:</w:t>
      </w:r>
    </w:p>
    <w:p w:rsidR="00D81F69" w:rsidRDefault="00D81F69">
      <w:pPr>
        <w:spacing w:before="1" w:line="312" w:lineRule="auto"/>
        <w:ind w:left="100" w:right="188"/>
        <w:jc w:val="both"/>
        <w:rPr>
          <w:sz w:val="16"/>
        </w:rPr>
      </w:pPr>
      <w:hyperlink r:id="rId1200">
        <w:r w:rsidR="00330118">
          <w:rPr>
            <w:sz w:val="16"/>
          </w:rPr>
          <w:t xml:space="preserve">&lt;http://maismidia.net/noticia.aspx?id=285&gt;. </w:t>
        </w:r>
      </w:hyperlink>
      <w:r w:rsidR="00330118">
        <w:rPr>
          <w:sz w:val="16"/>
        </w:rPr>
        <w:t xml:space="preserve">Acesso em 20 dez. </w:t>
      </w:r>
      <w:r w:rsidR="00330118">
        <w:rPr>
          <w:sz w:val="16"/>
        </w:rPr>
        <w:t>2011. JVA. Mineradora atribui às fortes chuvas desastre ambiental em Catas  Altas.  Jornal  Vale  do  Aço,  fev.  2007. Disponível em:</w:t>
      </w:r>
    </w:p>
    <w:p w:rsidR="00D81F69" w:rsidRDefault="00D81F69">
      <w:pPr>
        <w:spacing w:before="3" w:line="312" w:lineRule="auto"/>
        <w:ind w:left="100" w:right="194"/>
        <w:jc w:val="both"/>
        <w:rPr>
          <w:sz w:val="16"/>
        </w:rPr>
      </w:pPr>
      <w:hyperlink r:id="rId1201">
        <w:r w:rsidR="00330118">
          <w:rPr>
            <w:sz w:val="16"/>
          </w:rPr>
          <w:t>&lt;http://www.jvaonline.com.br/novo_site/ler</w:t>
        </w:r>
        <w:r w:rsidR="00330118">
          <w:rPr>
            <w:sz w:val="16"/>
          </w:rPr>
          <w:t>_noticia.php?id=4024&gt;.</w:t>
        </w:r>
      </w:hyperlink>
      <w:r w:rsidR="00330118">
        <w:rPr>
          <w:sz w:val="16"/>
        </w:rPr>
        <w:t xml:space="preserve"> Acesso em: 27/07/2012.</w:t>
      </w:r>
    </w:p>
    <w:p w:rsidR="00D81F69" w:rsidRDefault="00330118">
      <w:pPr>
        <w:spacing w:before="2"/>
        <w:ind w:left="100"/>
        <w:jc w:val="both"/>
        <w:rPr>
          <w:sz w:val="16"/>
        </w:rPr>
      </w:pPr>
      <w:r>
        <w:rPr>
          <w:sz w:val="16"/>
        </w:rPr>
        <w:t>MAPA  DA  INJUSTIÇA  AMBIENTAL  E   SAÚDE  NO BRASIL.</w:t>
      </w:r>
    </w:p>
    <w:p w:rsidR="00D81F69" w:rsidRDefault="00330118">
      <w:pPr>
        <w:tabs>
          <w:tab w:val="left" w:pos="4331"/>
        </w:tabs>
        <w:spacing w:before="56" w:line="312" w:lineRule="auto"/>
        <w:ind w:left="100" w:right="194"/>
        <w:jc w:val="both"/>
        <w:rPr>
          <w:sz w:val="16"/>
        </w:rPr>
      </w:pPr>
      <w:r>
        <w:rPr>
          <w:spacing w:val="3"/>
          <w:sz w:val="16"/>
        </w:rPr>
        <w:t xml:space="preserve">População </w:t>
      </w:r>
      <w:r>
        <w:rPr>
          <w:spacing w:val="2"/>
          <w:sz w:val="16"/>
        </w:rPr>
        <w:t xml:space="preserve">luta </w:t>
      </w:r>
      <w:r>
        <w:rPr>
          <w:spacing w:val="3"/>
          <w:sz w:val="16"/>
        </w:rPr>
        <w:t xml:space="preserve">contra instalação </w:t>
      </w:r>
      <w:r>
        <w:rPr>
          <w:spacing w:val="1"/>
          <w:sz w:val="16"/>
        </w:rPr>
        <w:t xml:space="preserve">de </w:t>
      </w:r>
      <w:r>
        <w:rPr>
          <w:spacing w:val="3"/>
          <w:sz w:val="16"/>
        </w:rPr>
        <w:t xml:space="preserve">projeto </w:t>
      </w:r>
      <w:r>
        <w:rPr>
          <w:spacing w:val="1"/>
          <w:sz w:val="16"/>
        </w:rPr>
        <w:t xml:space="preserve">de </w:t>
      </w:r>
      <w:r>
        <w:rPr>
          <w:spacing w:val="3"/>
          <w:sz w:val="16"/>
        </w:rPr>
        <w:t xml:space="preserve">mineração. </w:t>
      </w:r>
      <w:r>
        <w:rPr>
          <w:spacing w:val="5"/>
          <w:sz w:val="16"/>
        </w:rPr>
        <w:t xml:space="preserve">2010.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 xml:space="preserve">e      m    </w:t>
      </w:r>
      <w:r>
        <w:rPr>
          <w:spacing w:val="20"/>
          <w:sz w:val="16"/>
        </w:rPr>
        <w:t xml:space="preserve"> </w:t>
      </w:r>
      <w:r>
        <w:rPr>
          <w:sz w:val="16"/>
        </w:rPr>
        <w:t>:</w:t>
      </w:r>
    </w:p>
    <w:p w:rsidR="00D81F69" w:rsidRDefault="00D81F69">
      <w:pPr>
        <w:spacing w:before="1" w:line="312" w:lineRule="auto"/>
        <w:ind w:left="100" w:right="216"/>
        <w:jc w:val="both"/>
        <w:rPr>
          <w:sz w:val="16"/>
        </w:rPr>
      </w:pPr>
      <w:hyperlink r:id="rId1202">
        <w:r w:rsidR="00330118">
          <w:rPr>
            <w:sz w:val="16"/>
          </w:rPr>
          <w:t>&lt;http://www.conflitoambiental.icict.fiocruz.br/index.php?pag=ficha&amp;co</w:t>
        </w:r>
      </w:hyperlink>
      <w:r w:rsidR="00330118">
        <w:rPr>
          <w:sz w:val="16"/>
        </w:rPr>
        <w:t xml:space="preserve"> d=305&gt;. Acesso em: 21 dez. 2011.</w:t>
      </w:r>
    </w:p>
    <w:p w:rsidR="00D81F69" w:rsidRDefault="00330118">
      <w:pPr>
        <w:spacing w:before="22" w:line="312" w:lineRule="auto"/>
        <w:ind w:left="100" w:right="198"/>
        <w:jc w:val="both"/>
        <w:rPr>
          <w:sz w:val="16"/>
        </w:rPr>
      </w:pPr>
      <w:r>
        <w:rPr>
          <w:sz w:val="16"/>
        </w:rPr>
        <w:t>PORTO, Bruno. Codema pode permitir extração na Serra do Caraça. G</w:t>
      </w:r>
      <w:r>
        <w:rPr>
          <w:sz w:val="16"/>
        </w:rPr>
        <w:t xml:space="preserve">rupo Ambiental de Santa Bárbara, 06 jul. 2010. 2010a. Disponível em: </w:t>
      </w:r>
      <w:hyperlink r:id="rId1203">
        <w:r>
          <w:rPr>
            <w:sz w:val="16"/>
          </w:rPr>
          <w:t>&lt;http://www.onggasb.com.br/2010/07/codema-pode-permitir-</w:t>
        </w:r>
      </w:hyperlink>
      <w:r>
        <w:rPr>
          <w:sz w:val="16"/>
        </w:rPr>
        <w:t xml:space="preserve"> extracao-na-serra.html&gt;. Acesso em: 21 dez. 2011.</w:t>
      </w:r>
    </w:p>
    <w:p w:rsidR="00D81F69" w:rsidRDefault="00330118">
      <w:pPr>
        <w:spacing w:before="3" w:line="312" w:lineRule="auto"/>
        <w:ind w:left="100" w:right="144"/>
        <w:jc w:val="both"/>
        <w:rPr>
          <w:sz w:val="16"/>
        </w:rPr>
      </w:pPr>
      <w:r>
        <w:rPr>
          <w:sz w:val="16"/>
        </w:rPr>
        <w:t>_______</w:t>
      </w:r>
      <w:r>
        <w:rPr>
          <w:sz w:val="16"/>
        </w:rPr>
        <w:t xml:space="preserve">. Secretário de Meio Ambiente suspende autorização para mineração na Serra do Caraça. Grupo Ambiental de Santa Bárbara,    </w:t>
      </w:r>
      <w:r>
        <w:rPr>
          <w:spacing w:val="7"/>
          <w:sz w:val="16"/>
        </w:rPr>
        <w:t xml:space="preserve">0 </w:t>
      </w:r>
      <w:r>
        <w:rPr>
          <w:sz w:val="16"/>
        </w:rPr>
        <w:t xml:space="preserve">8 </w:t>
      </w:r>
      <w:r>
        <w:rPr>
          <w:spacing w:val="7"/>
          <w:sz w:val="16"/>
        </w:rPr>
        <w:t xml:space="preserve">j u l </w:t>
      </w:r>
      <w:r>
        <w:rPr>
          <w:sz w:val="16"/>
        </w:rPr>
        <w:t xml:space="preserve">. </w:t>
      </w:r>
      <w:r>
        <w:rPr>
          <w:spacing w:val="7"/>
          <w:sz w:val="16"/>
        </w:rPr>
        <w:t xml:space="preserve">2 0 1 0 </w:t>
      </w:r>
      <w:r>
        <w:rPr>
          <w:sz w:val="16"/>
        </w:rPr>
        <w:t xml:space="preserve">. </w:t>
      </w:r>
      <w:r>
        <w:rPr>
          <w:spacing w:val="7"/>
          <w:sz w:val="16"/>
        </w:rPr>
        <w:t xml:space="preserve">2 0 1 0 b </w:t>
      </w:r>
      <w:r>
        <w:rPr>
          <w:sz w:val="16"/>
        </w:rPr>
        <w:t xml:space="preserve">. </w:t>
      </w:r>
      <w:r>
        <w:rPr>
          <w:spacing w:val="7"/>
          <w:sz w:val="16"/>
        </w:rPr>
        <w:t xml:space="preserve">D i s p o n í v e </w:t>
      </w:r>
      <w:r>
        <w:rPr>
          <w:sz w:val="16"/>
        </w:rPr>
        <w:t>l</w:t>
      </w:r>
      <w:r>
        <w:rPr>
          <w:spacing w:val="13"/>
          <w:sz w:val="16"/>
        </w:rPr>
        <w:t xml:space="preserve"> </w:t>
      </w:r>
      <w:r>
        <w:rPr>
          <w:spacing w:val="7"/>
          <w:sz w:val="16"/>
        </w:rPr>
        <w:t xml:space="preserve">e m </w:t>
      </w:r>
      <w:r>
        <w:rPr>
          <w:sz w:val="16"/>
        </w:rPr>
        <w:t>:</w:t>
      </w:r>
      <w:r>
        <w:rPr>
          <w:spacing w:val="8"/>
          <w:sz w:val="16"/>
        </w:rPr>
        <w:t xml:space="preserve"> </w:t>
      </w:r>
    </w:p>
    <w:p w:rsidR="00D81F69" w:rsidRDefault="00D81F69">
      <w:pPr>
        <w:spacing w:before="3" w:line="312" w:lineRule="auto"/>
        <w:ind w:left="100" w:right="214"/>
        <w:jc w:val="both"/>
        <w:rPr>
          <w:sz w:val="16"/>
        </w:rPr>
      </w:pPr>
      <w:hyperlink r:id="rId1204">
        <w:r w:rsidR="00330118">
          <w:rPr>
            <w:sz w:val="16"/>
          </w:rPr>
          <w:t>&lt;http://www.onggasb.com.br/2010/07/secretario-de-meio-ambiente-</w:t>
        </w:r>
      </w:hyperlink>
      <w:r w:rsidR="00330118">
        <w:rPr>
          <w:sz w:val="16"/>
        </w:rPr>
        <w:t xml:space="preserve"> suspende.html&gt;. Acesso em: 20 dez. 2011.</w:t>
      </w:r>
    </w:p>
    <w:p w:rsidR="00D81F69" w:rsidRDefault="00330118">
      <w:pPr>
        <w:spacing w:before="1"/>
        <w:ind w:left="100"/>
        <w:jc w:val="both"/>
        <w:rPr>
          <w:sz w:val="16"/>
        </w:rPr>
      </w:pPr>
      <w:r>
        <w:rPr>
          <w:sz w:val="16"/>
        </w:rPr>
        <w:t>RIBEIRO, Valeria E.;  GUIMARÃES. M.  L.  V.;  FERREIRA, F.  Fº A.</w:t>
      </w:r>
    </w:p>
    <w:p w:rsidR="00D81F69" w:rsidRDefault="00330118">
      <w:pPr>
        <w:spacing w:before="56" w:line="312" w:lineRule="auto"/>
        <w:ind w:left="100" w:right="195"/>
        <w:jc w:val="both"/>
        <w:rPr>
          <w:sz w:val="16"/>
        </w:rPr>
      </w:pPr>
      <w:r>
        <w:rPr>
          <w:sz w:val="16"/>
        </w:rPr>
        <w:t xml:space="preserve">Gênese </w:t>
      </w:r>
      <w:r>
        <w:rPr>
          <w:sz w:val="16"/>
        </w:rPr>
        <w:t>do Minério de Ferro da Mina de Fazendão. In: 42º Congresso Brasileiro de Geologia. Araxá (MG). 2004. Anais... Disponível em:</w:t>
      </w:r>
    </w:p>
    <w:p w:rsidR="00D81F69" w:rsidRDefault="00D81F69">
      <w:pPr>
        <w:tabs>
          <w:tab w:val="left" w:pos="4331"/>
        </w:tabs>
        <w:spacing w:before="2" w:line="312" w:lineRule="auto"/>
        <w:ind w:left="100" w:right="159"/>
        <w:jc w:val="both"/>
        <w:rPr>
          <w:sz w:val="16"/>
        </w:rPr>
      </w:pPr>
      <w:hyperlink r:id="rId1205">
        <w:r w:rsidR="00330118">
          <w:rPr>
            <w:spacing w:val="12"/>
            <w:sz w:val="16"/>
          </w:rPr>
          <w:t>&lt;</w:t>
        </w:r>
        <w:r w:rsidR="00330118">
          <w:rPr>
            <w:sz w:val="16"/>
          </w:rPr>
          <w:t xml:space="preserve"> </w:t>
        </w:r>
        <w:r w:rsidR="00330118">
          <w:rPr>
            <w:spacing w:val="12"/>
            <w:sz w:val="16"/>
          </w:rPr>
          <w:t>h</w:t>
        </w:r>
        <w:r w:rsidR="00330118">
          <w:rPr>
            <w:sz w:val="16"/>
          </w:rPr>
          <w:t xml:space="preserve"> </w:t>
        </w:r>
        <w:r w:rsidR="00330118">
          <w:rPr>
            <w:spacing w:val="12"/>
            <w:sz w:val="16"/>
          </w:rPr>
          <w:t>t</w:t>
        </w:r>
        <w:r w:rsidR="00330118">
          <w:rPr>
            <w:sz w:val="16"/>
          </w:rPr>
          <w:t xml:space="preserve"> </w:t>
        </w:r>
        <w:r w:rsidR="00330118">
          <w:rPr>
            <w:spacing w:val="12"/>
            <w:sz w:val="16"/>
          </w:rPr>
          <w:t>t</w:t>
        </w:r>
        <w:r w:rsidR="00330118">
          <w:rPr>
            <w:sz w:val="16"/>
          </w:rPr>
          <w:t xml:space="preserve"> </w:t>
        </w:r>
        <w:r w:rsidR="00330118">
          <w:rPr>
            <w:spacing w:val="12"/>
            <w:sz w:val="16"/>
          </w:rPr>
          <w:t>p</w:t>
        </w:r>
        <w:r w:rsidR="00330118">
          <w:rPr>
            <w:sz w:val="16"/>
          </w:rPr>
          <w:t xml:space="preserve"> </w:t>
        </w:r>
        <w:r w:rsidR="00330118">
          <w:rPr>
            <w:spacing w:val="12"/>
            <w:sz w:val="16"/>
          </w:rPr>
          <w:t>:</w:t>
        </w:r>
        <w:r w:rsidR="00330118">
          <w:rPr>
            <w:sz w:val="16"/>
          </w:rPr>
          <w:t xml:space="preserve"> </w:t>
        </w:r>
        <w:r w:rsidR="00330118">
          <w:rPr>
            <w:spacing w:val="12"/>
            <w:sz w:val="16"/>
          </w:rPr>
          <w:t>/</w:t>
        </w:r>
        <w:r w:rsidR="00330118">
          <w:rPr>
            <w:sz w:val="16"/>
          </w:rPr>
          <w:t xml:space="preserve"> </w:t>
        </w:r>
        <w:r w:rsidR="00330118">
          <w:rPr>
            <w:spacing w:val="12"/>
            <w:sz w:val="16"/>
          </w:rPr>
          <w:t>/</w:t>
        </w:r>
        <w:r w:rsidR="00330118">
          <w:rPr>
            <w:sz w:val="16"/>
          </w:rPr>
          <w:t xml:space="preserve"> </w:t>
        </w:r>
        <w:r w:rsidR="00330118">
          <w:rPr>
            <w:spacing w:val="12"/>
            <w:sz w:val="16"/>
          </w:rPr>
          <w:t>s</w:t>
        </w:r>
        <w:r w:rsidR="00330118">
          <w:rPr>
            <w:sz w:val="16"/>
          </w:rPr>
          <w:t xml:space="preserve"> </w:t>
        </w:r>
        <w:r w:rsidR="00330118">
          <w:rPr>
            <w:spacing w:val="12"/>
            <w:sz w:val="16"/>
          </w:rPr>
          <w:t>b</w:t>
        </w:r>
        <w:r w:rsidR="00330118">
          <w:rPr>
            <w:sz w:val="16"/>
          </w:rPr>
          <w:t xml:space="preserve"> </w:t>
        </w:r>
        <w:r w:rsidR="00330118">
          <w:rPr>
            <w:spacing w:val="12"/>
            <w:sz w:val="16"/>
          </w:rPr>
          <w:t>g</w:t>
        </w:r>
        <w:r w:rsidR="00330118">
          <w:rPr>
            <w:sz w:val="16"/>
          </w:rPr>
          <w:t xml:space="preserve"> </w:t>
        </w:r>
        <w:r w:rsidR="00330118">
          <w:rPr>
            <w:spacing w:val="12"/>
            <w:sz w:val="16"/>
          </w:rPr>
          <w:t>e</w:t>
        </w:r>
        <w:r w:rsidR="00330118">
          <w:rPr>
            <w:sz w:val="16"/>
          </w:rPr>
          <w:t xml:space="preserve"> </w:t>
        </w:r>
        <w:r w:rsidR="00330118">
          <w:rPr>
            <w:spacing w:val="12"/>
            <w:sz w:val="16"/>
          </w:rPr>
          <w:t>o</w:t>
        </w:r>
        <w:r w:rsidR="00330118">
          <w:rPr>
            <w:sz w:val="16"/>
          </w:rPr>
          <w:t xml:space="preserve"> </w:t>
        </w:r>
        <w:r w:rsidR="00330118">
          <w:rPr>
            <w:spacing w:val="12"/>
            <w:sz w:val="16"/>
          </w:rPr>
          <w:t>.</w:t>
        </w:r>
        <w:r w:rsidR="00330118">
          <w:rPr>
            <w:sz w:val="16"/>
          </w:rPr>
          <w:t xml:space="preserve"> </w:t>
        </w:r>
        <w:r w:rsidR="00330118">
          <w:rPr>
            <w:spacing w:val="12"/>
            <w:sz w:val="16"/>
          </w:rPr>
          <w:t>o</w:t>
        </w:r>
        <w:r w:rsidR="00330118">
          <w:rPr>
            <w:sz w:val="16"/>
          </w:rPr>
          <w:t xml:space="preserve"> </w:t>
        </w:r>
        <w:r w:rsidR="00330118">
          <w:rPr>
            <w:spacing w:val="12"/>
            <w:sz w:val="16"/>
          </w:rPr>
          <w:t>r</w:t>
        </w:r>
        <w:r w:rsidR="00330118">
          <w:rPr>
            <w:sz w:val="16"/>
          </w:rPr>
          <w:t xml:space="preserve"> </w:t>
        </w:r>
        <w:r w:rsidR="00330118">
          <w:rPr>
            <w:spacing w:val="12"/>
            <w:sz w:val="16"/>
          </w:rPr>
          <w:t>g</w:t>
        </w:r>
        <w:r w:rsidR="00330118">
          <w:rPr>
            <w:sz w:val="16"/>
          </w:rPr>
          <w:t xml:space="preserve"> </w:t>
        </w:r>
        <w:r w:rsidR="00330118">
          <w:rPr>
            <w:spacing w:val="12"/>
            <w:sz w:val="16"/>
          </w:rPr>
          <w:t>.</w:t>
        </w:r>
        <w:r w:rsidR="00330118">
          <w:rPr>
            <w:sz w:val="16"/>
          </w:rPr>
          <w:t xml:space="preserve"> </w:t>
        </w:r>
        <w:r w:rsidR="00330118">
          <w:rPr>
            <w:spacing w:val="12"/>
            <w:sz w:val="16"/>
          </w:rPr>
          <w:t>b</w:t>
        </w:r>
        <w:r w:rsidR="00330118">
          <w:rPr>
            <w:sz w:val="16"/>
          </w:rPr>
          <w:t xml:space="preserve"> </w:t>
        </w:r>
        <w:r w:rsidR="00330118">
          <w:rPr>
            <w:spacing w:val="12"/>
            <w:sz w:val="16"/>
          </w:rPr>
          <w:t>r</w:t>
        </w:r>
        <w:r w:rsidR="00330118">
          <w:rPr>
            <w:sz w:val="16"/>
          </w:rPr>
          <w:t xml:space="preserve"> </w:t>
        </w:r>
        <w:r w:rsidR="00330118">
          <w:rPr>
            <w:spacing w:val="12"/>
            <w:sz w:val="16"/>
          </w:rPr>
          <w:t>/</w:t>
        </w:r>
        <w:r w:rsidR="00330118">
          <w:rPr>
            <w:sz w:val="16"/>
          </w:rPr>
          <w:t xml:space="preserve"> </w:t>
        </w:r>
        <w:r w:rsidR="00330118">
          <w:rPr>
            <w:spacing w:val="12"/>
            <w:sz w:val="16"/>
          </w:rPr>
          <w:t>p</w:t>
        </w:r>
        <w:r w:rsidR="00330118">
          <w:rPr>
            <w:sz w:val="16"/>
          </w:rPr>
          <w:t xml:space="preserve"> </w:t>
        </w:r>
        <w:r w:rsidR="00330118">
          <w:rPr>
            <w:spacing w:val="12"/>
            <w:sz w:val="16"/>
          </w:rPr>
          <w:t>u</w:t>
        </w:r>
        <w:r w:rsidR="00330118">
          <w:rPr>
            <w:sz w:val="16"/>
          </w:rPr>
          <w:t xml:space="preserve"> </w:t>
        </w:r>
        <w:r w:rsidR="00330118">
          <w:rPr>
            <w:spacing w:val="12"/>
            <w:sz w:val="16"/>
          </w:rPr>
          <w:t>b</w:t>
        </w:r>
        <w:r w:rsidR="00330118">
          <w:rPr>
            <w:sz w:val="16"/>
          </w:rPr>
          <w:t xml:space="preserve"> </w:t>
        </w:r>
        <w:r w:rsidR="00330118">
          <w:rPr>
            <w:spacing w:val="12"/>
            <w:sz w:val="16"/>
          </w:rPr>
          <w:t>_</w:t>
        </w:r>
        <w:r w:rsidR="00330118">
          <w:rPr>
            <w:sz w:val="16"/>
          </w:rPr>
          <w:t xml:space="preserve"> </w:t>
        </w:r>
        <w:r w:rsidR="00330118">
          <w:rPr>
            <w:spacing w:val="12"/>
            <w:sz w:val="16"/>
          </w:rPr>
          <w:t>s</w:t>
        </w:r>
        <w:r w:rsidR="00330118">
          <w:rPr>
            <w:sz w:val="16"/>
          </w:rPr>
          <w:t xml:space="preserve"> </w:t>
        </w:r>
        <w:r w:rsidR="00330118">
          <w:rPr>
            <w:spacing w:val="12"/>
            <w:sz w:val="16"/>
          </w:rPr>
          <w:t>b</w:t>
        </w:r>
        <w:r w:rsidR="00330118">
          <w:rPr>
            <w:sz w:val="16"/>
          </w:rPr>
          <w:t xml:space="preserve"> </w:t>
        </w:r>
        <w:r w:rsidR="00330118">
          <w:rPr>
            <w:spacing w:val="12"/>
            <w:sz w:val="16"/>
          </w:rPr>
          <w:t>g</w:t>
        </w:r>
        <w:r w:rsidR="00330118">
          <w:rPr>
            <w:sz w:val="16"/>
          </w:rPr>
          <w:t xml:space="preserve"> </w:t>
        </w:r>
        <w:r w:rsidR="00330118">
          <w:rPr>
            <w:spacing w:val="12"/>
            <w:sz w:val="16"/>
          </w:rPr>
          <w:t>/</w:t>
        </w:r>
        <w:r w:rsidR="00330118">
          <w:rPr>
            <w:sz w:val="16"/>
          </w:rPr>
          <w:t xml:space="preserve"> </w:t>
        </w:r>
        <w:r w:rsidR="00330118">
          <w:rPr>
            <w:spacing w:val="12"/>
            <w:sz w:val="16"/>
          </w:rPr>
          <w:t>c</w:t>
        </w:r>
        <w:r w:rsidR="00330118">
          <w:rPr>
            <w:sz w:val="16"/>
          </w:rPr>
          <w:t xml:space="preserve"> </w:t>
        </w:r>
        <w:r w:rsidR="00330118">
          <w:rPr>
            <w:spacing w:val="12"/>
            <w:sz w:val="16"/>
          </w:rPr>
          <w:t>b</w:t>
        </w:r>
        <w:r w:rsidR="00330118">
          <w:rPr>
            <w:sz w:val="16"/>
          </w:rPr>
          <w:t xml:space="preserve"> </w:t>
        </w:r>
        <w:r w:rsidR="00330118">
          <w:rPr>
            <w:spacing w:val="12"/>
            <w:sz w:val="16"/>
          </w:rPr>
          <w:t>g</w:t>
        </w:r>
        <w:r w:rsidR="00330118">
          <w:rPr>
            <w:sz w:val="16"/>
          </w:rPr>
          <w:t xml:space="preserve"> </w:t>
        </w:r>
        <w:r w:rsidR="00330118">
          <w:rPr>
            <w:spacing w:val="12"/>
            <w:sz w:val="16"/>
          </w:rPr>
          <w:t>/</w:t>
        </w:r>
        <w:r w:rsidR="00330118">
          <w:rPr>
            <w:sz w:val="16"/>
          </w:rPr>
          <w:t xml:space="preserve"> </w:t>
        </w:r>
        <w:r w:rsidR="00330118">
          <w:rPr>
            <w:spacing w:val="12"/>
            <w:sz w:val="16"/>
          </w:rPr>
          <w:t>2</w:t>
        </w:r>
        <w:r w:rsidR="00330118">
          <w:rPr>
            <w:sz w:val="16"/>
          </w:rPr>
          <w:t xml:space="preserve"> </w:t>
        </w:r>
        <w:r w:rsidR="00330118">
          <w:rPr>
            <w:spacing w:val="12"/>
            <w:sz w:val="16"/>
          </w:rPr>
          <w:t>0</w:t>
        </w:r>
        <w:r w:rsidR="00330118">
          <w:rPr>
            <w:sz w:val="16"/>
          </w:rPr>
          <w:t xml:space="preserve"> </w:t>
        </w:r>
        <w:r w:rsidR="00330118">
          <w:rPr>
            <w:spacing w:val="12"/>
            <w:sz w:val="16"/>
          </w:rPr>
          <w:t>0</w:t>
        </w:r>
        <w:r w:rsidR="00330118">
          <w:rPr>
            <w:sz w:val="16"/>
          </w:rPr>
          <w:t xml:space="preserve"> </w:t>
        </w:r>
        <w:r w:rsidR="00330118">
          <w:rPr>
            <w:spacing w:val="12"/>
            <w:sz w:val="16"/>
          </w:rPr>
          <w:t>4</w:t>
        </w:r>
        <w:r w:rsidR="00330118">
          <w:rPr>
            <w:sz w:val="16"/>
          </w:rPr>
          <w:t xml:space="preserve"> - </w:t>
        </w:r>
      </w:hyperlink>
      <w:r w:rsidR="00330118">
        <w:rPr>
          <w:spacing w:val="5"/>
          <w:sz w:val="16"/>
        </w:rPr>
        <w:t xml:space="preserve">ARAXA/13_1035_RIBEIROVE.pdf&gt;. Acesso </w:t>
      </w:r>
      <w:r w:rsidR="00330118">
        <w:rPr>
          <w:spacing w:val="3"/>
          <w:sz w:val="16"/>
        </w:rPr>
        <w:t xml:space="preserve">em: </w:t>
      </w:r>
      <w:r w:rsidR="00330118">
        <w:rPr>
          <w:spacing w:val="2"/>
          <w:sz w:val="16"/>
        </w:rPr>
        <w:t xml:space="preserve">21 </w:t>
      </w:r>
      <w:r w:rsidR="00330118">
        <w:rPr>
          <w:spacing w:val="5"/>
          <w:sz w:val="16"/>
        </w:rPr>
        <w:t xml:space="preserve">dez. </w:t>
      </w:r>
      <w:r w:rsidR="00330118">
        <w:rPr>
          <w:spacing w:val="6"/>
          <w:sz w:val="16"/>
        </w:rPr>
        <w:t xml:space="preserve">2011. </w:t>
      </w:r>
      <w:r w:rsidR="00330118">
        <w:rPr>
          <w:sz w:val="16"/>
        </w:rPr>
        <w:t xml:space="preserve">SERRA DO CARAÇA. Atrativos e passeios. Catas Altas – MG, 2011. D      i      s      p      o      n      í      v  </w:t>
      </w:r>
      <w:r w:rsidR="00330118">
        <w:rPr>
          <w:spacing w:val="36"/>
          <w:sz w:val="16"/>
        </w:rPr>
        <w:t xml:space="preserve"> </w:t>
      </w:r>
      <w:r w:rsidR="00330118">
        <w:rPr>
          <w:sz w:val="16"/>
        </w:rPr>
        <w:t xml:space="preserve">e    </w:t>
      </w:r>
      <w:r w:rsidR="00330118">
        <w:rPr>
          <w:spacing w:val="31"/>
          <w:sz w:val="16"/>
        </w:rPr>
        <w:t xml:space="preserve"> </w:t>
      </w:r>
      <w:r w:rsidR="00330118">
        <w:rPr>
          <w:sz w:val="16"/>
        </w:rPr>
        <w:t>l</w:t>
      </w:r>
      <w:r w:rsidR="00330118">
        <w:rPr>
          <w:sz w:val="16"/>
        </w:rPr>
        <w:tab/>
        <w:t xml:space="preserve">e      m    </w:t>
      </w:r>
      <w:r w:rsidR="00330118">
        <w:rPr>
          <w:spacing w:val="20"/>
          <w:sz w:val="16"/>
        </w:rPr>
        <w:t xml:space="preserve"> </w:t>
      </w:r>
      <w:r w:rsidR="00330118">
        <w:rPr>
          <w:sz w:val="16"/>
        </w:rPr>
        <w:t>:</w:t>
      </w:r>
    </w:p>
    <w:p w:rsidR="00D81F69" w:rsidRDefault="00D81F69">
      <w:pPr>
        <w:spacing w:before="3" w:line="312" w:lineRule="auto"/>
        <w:ind w:left="100" w:right="198"/>
        <w:jc w:val="both"/>
        <w:rPr>
          <w:sz w:val="16"/>
        </w:rPr>
      </w:pPr>
      <w:hyperlink r:id="rId1206">
        <w:r w:rsidR="00330118">
          <w:rPr>
            <w:sz w:val="16"/>
          </w:rPr>
          <w:t xml:space="preserve">&lt;http://www.serradocaraca.tur.br/atrativos_catas_altas&gt;. </w:t>
        </w:r>
      </w:hyperlink>
      <w:r w:rsidR="00330118">
        <w:rPr>
          <w:sz w:val="16"/>
        </w:rPr>
        <w:t>Acesso em: 20 dez. 2011.</w:t>
      </w:r>
    </w:p>
    <w:p w:rsidR="00D81F69" w:rsidRDefault="00D81F69">
      <w:pPr>
        <w:spacing w:line="312" w:lineRule="auto"/>
        <w:jc w:val="both"/>
        <w:rPr>
          <w:sz w:val="16"/>
        </w:rPr>
        <w:sectPr w:rsidR="00D81F69">
          <w:pgSz w:w="11900" w:h="16840"/>
          <w:pgMar w:top="740" w:right="500" w:bottom="620" w:left="620" w:header="0" w:footer="402" w:gutter="0"/>
          <w:cols w:num="2" w:space="720" w:equalWidth="0">
            <w:col w:w="5191" w:space="279"/>
            <w:col w:w="5310"/>
          </w:cols>
        </w:sectPr>
      </w:pPr>
    </w:p>
    <w:p w:rsidR="00D81F69" w:rsidRDefault="00330118">
      <w:pPr>
        <w:pStyle w:val="Heading1"/>
        <w:tabs>
          <w:tab w:val="left" w:pos="2483"/>
          <w:tab w:val="left" w:pos="2526"/>
          <w:tab w:val="left" w:pos="3254"/>
          <w:tab w:val="left" w:pos="4564"/>
          <w:tab w:val="left" w:pos="4933"/>
          <w:tab w:val="left" w:pos="5270"/>
          <w:tab w:val="left" w:pos="6714"/>
          <w:tab w:val="left" w:pos="7428"/>
          <w:tab w:val="left" w:pos="7934"/>
          <w:tab w:val="left" w:pos="8559"/>
          <w:tab w:val="left" w:pos="8998"/>
          <w:tab w:val="left" w:pos="10070"/>
        </w:tabs>
        <w:spacing w:line="208" w:lineRule="auto"/>
        <w:ind w:right="193"/>
      </w:pPr>
      <w:r>
        <w:rPr>
          <w:spacing w:val="18"/>
        </w:rPr>
        <w:lastRenderedPageBreak/>
        <w:t>População</w:t>
      </w:r>
      <w:r>
        <w:rPr>
          <w:spacing w:val="18"/>
        </w:rPr>
        <w:tab/>
      </w:r>
      <w:r>
        <w:rPr>
          <w:spacing w:val="18"/>
        </w:rPr>
        <w:tab/>
      </w:r>
      <w:r>
        <w:rPr>
          <w:spacing w:val="10"/>
        </w:rPr>
        <w:t>do</w:t>
      </w:r>
      <w:r>
        <w:rPr>
          <w:spacing w:val="10"/>
        </w:rPr>
        <w:tab/>
      </w:r>
      <w:r>
        <w:rPr>
          <w:spacing w:val="16"/>
        </w:rPr>
        <w:t>norte</w:t>
      </w:r>
      <w:r>
        <w:rPr>
          <w:spacing w:val="16"/>
        </w:rPr>
        <w:tab/>
      </w:r>
      <w:r>
        <w:rPr>
          <w:spacing w:val="10"/>
        </w:rPr>
        <w:t>de</w:t>
      </w:r>
      <w:r>
        <w:rPr>
          <w:spacing w:val="10"/>
        </w:rPr>
        <w:tab/>
      </w:r>
      <w:r>
        <w:rPr>
          <w:spacing w:val="16"/>
        </w:rPr>
        <w:t>Minas</w:t>
      </w:r>
      <w:r>
        <w:rPr>
          <w:spacing w:val="16"/>
        </w:rPr>
        <w:tab/>
      </w:r>
      <w:r>
        <w:rPr>
          <w:spacing w:val="15"/>
        </w:rPr>
        <w:t>teme</w:t>
      </w:r>
      <w:r>
        <w:rPr>
          <w:spacing w:val="15"/>
        </w:rPr>
        <w:tab/>
      </w:r>
      <w:r>
        <w:rPr>
          <w:spacing w:val="18"/>
        </w:rPr>
        <w:t>impactos</w:t>
      </w:r>
      <w:r>
        <w:rPr>
          <w:spacing w:val="18"/>
        </w:rPr>
        <w:tab/>
      </w:r>
      <w:r>
        <w:rPr>
          <w:spacing w:val="21"/>
        </w:rPr>
        <w:t xml:space="preserve">de </w:t>
      </w:r>
      <w:r>
        <w:rPr>
          <w:spacing w:val="18"/>
        </w:rPr>
        <w:t>atividades</w:t>
      </w:r>
      <w:r>
        <w:rPr>
          <w:spacing w:val="18"/>
        </w:rPr>
        <w:tab/>
        <w:t>minerárias</w:t>
      </w:r>
      <w:r>
        <w:rPr>
          <w:spacing w:val="18"/>
        </w:rPr>
        <w:tab/>
        <w:t>planejadas</w:t>
      </w:r>
      <w:r>
        <w:rPr>
          <w:spacing w:val="18"/>
        </w:rPr>
        <w:tab/>
      </w:r>
      <w:r>
        <w:rPr>
          <w:spacing w:val="15"/>
        </w:rPr>
        <w:t>para</w:t>
      </w:r>
      <w:r>
        <w:rPr>
          <w:spacing w:val="15"/>
        </w:rPr>
        <w:tab/>
      </w:r>
      <w:r>
        <w:t>a</w:t>
      </w:r>
      <w:r>
        <w:tab/>
      </w:r>
      <w:r>
        <w:rPr>
          <w:spacing w:val="21"/>
        </w:rPr>
        <w:t>região</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7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681"/>
        <w:rPr>
          <w:i/>
          <w:sz w:val="14"/>
        </w:rPr>
      </w:pPr>
      <w:r>
        <w:rPr>
          <w:i/>
          <w:sz w:val="14"/>
        </w:rPr>
        <w:t>MG - Grão Mogol MG - Porteirinha</w:t>
      </w:r>
    </w:p>
    <w:p w:rsidR="00D81F69" w:rsidRDefault="00330118">
      <w:pPr>
        <w:spacing w:before="2" w:line="312" w:lineRule="auto"/>
        <w:ind w:left="135" w:right="27"/>
        <w:rPr>
          <w:i/>
          <w:sz w:val="14"/>
        </w:rPr>
      </w:pPr>
      <w:r>
        <w:rPr>
          <w:i/>
          <w:sz w:val="14"/>
        </w:rPr>
        <w:t>MG - Riacho dos Machados MG - Rio Pardo de Minas MG - Salinas</w:t>
      </w:r>
    </w:p>
    <w:p w:rsidR="00D81F69" w:rsidRDefault="00330118">
      <w:pPr>
        <w:spacing w:before="2"/>
        <w:ind w:left="135"/>
        <w:rPr>
          <w:i/>
          <w:sz w:val="14"/>
        </w:rPr>
      </w:pPr>
      <w:r>
        <w:rPr>
          <w:i/>
          <w:sz w:val="14"/>
        </w:rPr>
        <w:t>MG - Serranópolis de Minas</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-16,075</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-42,73</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5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Embora as reservas de minério no norte </w:t>
      </w:r>
      <w:r>
        <w:rPr>
          <w:i/>
          <w:sz w:val="16"/>
        </w:rPr>
        <w:t>de Minas contenham baixo teor de ferro, elas vêm atraindo investidores em virtude da demanda do mercado internacional. A região está sendo vista como a nova fronteira mineral do estado, com possibilidades de alavancar o desenvolvimento econômico local. Por</w:t>
      </w:r>
      <w:r>
        <w:rPr>
          <w:i/>
          <w:sz w:val="16"/>
        </w:rPr>
        <w:t>ém, as comunidades da região temem pelos impactos socioambientais que a atividade possa trazer.</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6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12"/>
      </w:pPr>
      <w:r>
        <w:t>valor ao processo de extração mineral na região, atraindo siderúrgicas e incentivando a fabricação local de produtos deste setor industrial (SOUTO, 2011).</w:t>
      </w:r>
    </w:p>
    <w:p w:rsidR="00D81F69" w:rsidRDefault="00330118">
      <w:pPr>
        <w:pStyle w:val="Corpodetexto"/>
        <w:spacing w:before="132" w:line="312" w:lineRule="auto"/>
        <w:ind w:left="135" w:right="191"/>
      </w:pPr>
      <w:r>
        <w:t>A</w:t>
      </w:r>
      <w:r>
        <w:t xml:space="preserve"> pretensão das mineradoras é explorar minérios de baixo teor. A estimativa é de que haja reservas de 20 bilhões de toneladas de minério na região, abrangendo 20 municípios, dentre eles, Rio Pardo de Minas, Grão Mogol, Salinas e Porteirinha (FURBINO, 2011a;</w:t>
      </w:r>
      <w:r>
        <w:t xml:space="preserve"> BRASIL MINERAL, 2011).</w:t>
      </w:r>
    </w:p>
    <w:p w:rsidR="00D81F69" w:rsidRDefault="00330118">
      <w:pPr>
        <w:pStyle w:val="Corpodetexto"/>
        <w:spacing w:before="72" w:line="270" w:lineRule="atLeast"/>
        <w:ind w:left="135" w:right="206"/>
      </w:pPr>
      <w:r>
        <w:t>A Vale pretende investir cerca de R$ 560 milhões na implantação de uma mina de minério de ferro nos municípios de Rio Pardo de Minas, Serranópolis de Minas, Grão Mogol e Riacho dos Machados. O empreendimento vai produzir e</w:t>
      </w:r>
    </w:p>
    <w:p w:rsidR="00D81F69" w:rsidRDefault="00D81F69">
      <w:pPr>
        <w:spacing w:line="270" w:lineRule="atLeast"/>
        <w:sectPr w:rsidR="00D81F69">
          <w:type w:val="continuous"/>
          <w:pgSz w:w="11900" w:h="16840"/>
          <w:pgMar w:top="720" w:right="500" w:bottom="280" w:left="620" w:header="720" w:footer="720" w:gutter="0"/>
          <w:cols w:num="3" w:space="720" w:equalWidth="0">
            <w:col w:w="1918" w:space="82"/>
            <w:col w:w="3128" w:space="307"/>
            <w:col w:w="5345"/>
          </w:cols>
        </w:sectPr>
      </w:pPr>
    </w:p>
    <w:p w:rsidR="00D81F69" w:rsidRDefault="00330118">
      <w:pPr>
        <w:pStyle w:val="Heading4"/>
        <w:spacing w:line="263" w:lineRule="exact"/>
      </w:pPr>
      <w:r>
        <w:lastRenderedPageBreak/>
        <w:t>APRESENTAÇÃO DE CASO</w:t>
      </w:r>
    </w:p>
    <w:p w:rsidR="00D81F69" w:rsidRDefault="00330118">
      <w:pPr>
        <w:pStyle w:val="Corpodetexto"/>
        <w:spacing w:before="170" w:line="312" w:lineRule="auto"/>
        <w:ind w:right="38"/>
      </w:pPr>
      <w:r>
        <w:t xml:space="preserve">De acordo com projeções do Instituto Brasileiro de Mineração (Ibram), a produção de minério de </w:t>
      </w:r>
      <w:hyperlink r:id="rId1207">
        <w:r>
          <w:t>ferro</w:t>
        </w:r>
      </w:hyperlink>
      <w:r>
        <w:t xml:space="preserve"> em Minas Ge</w:t>
      </w:r>
      <w:r>
        <w:t>rais poderá alcançar 432 milhões de toneladas/ano até 2014. Caso alcance esta marca, a alta será de 66% em relação a 2011 (DIÁRIO DO COMÉRCIO, 2011b).</w:t>
      </w:r>
    </w:p>
    <w:p w:rsidR="00D81F69" w:rsidRDefault="00330118">
      <w:pPr>
        <w:pStyle w:val="Corpodetexto"/>
        <w:spacing w:before="135" w:line="312" w:lineRule="auto"/>
        <w:ind w:right="40"/>
      </w:pPr>
      <w:r>
        <w:t xml:space="preserve">Neste contexto, nos últimos anos, a mineração vem sendo apontada como uma das atividades capazes de alavancar o desenvolvimento do norte de Minas, uma região castigada pela pobreza e pelo clima semiárido. Empresas como Vale, Companhia Siderúrgica Nacional </w:t>
      </w:r>
      <w:r>
        <w:t>(CSN), Grupo Votorantim, MTransminas, Mineração Minas Bahia (Miba) e Gema Verde apostam na região como a nova fronteira mineral do estado (FURBINO, 2011a).</w:t>
      </w:r>
    </w:p>
    <w:p w:rsidR="00D81F69" w:rsidRDefault="00330118">
      <w:pPr>
        <w:pStyle w:val="Corpodetexto"/>
        <w:spacing w:before="137" w:line="312" w:lineRule="auto"/>
        <w:ind w:right="60"/>
      </w:pPr>
      <w:r>
        <w:t>De acordo com a Secretaria de Desenvolvimento Econômico de Minas Gerais, o potencial de atração do n</w:t>
      </w:r>
      <w:r>
        <w:t>orte de Minas se deve, dentre outros fatores, ao preço do minério de ferro no mercado mundial e a novas tecnologias que permitem que áreas de rejeito de minério sejam reaproveitadas. A mineração na região será realizada em áreas que têm minério de ferro co</w:t>
      </w:r>
      <w:r>
        <w:t>m teor de 30%. O padrão eram teores de 67% a 70% (FURBINO, 2011b).</w:t>
      </w:r>
    </w:p>
    <w:p w:rsidR="00D81F69" w:rsidRDefault="00330118">
      <w:pPr>
        <w:pStyle w:val="Corpodetexto"/>
        <w:spacing w:before="137" w:line="312" w:lineRule="auto"/>
        <w:ind w:right="39"/>
      </w:pPr>
      <w:r>
        <w:t xml:space="preserve">A entidade ressalta, no entanto, que a região não tem somente minério de ferro. Foram identificadas ocorrências de níquel, apatita (fosfato), granitos, mármores, terras raras, </w:t>
      </w:r>
      <w:hyperlink r:id="rId1208">
        <w:r>
          <w:t>manganês,</w:t>
        </w:r>
      </w:hyperlink>
      <w:r>
        <w:t xml:space="preserve"> rochas ornamentais, lítio, diamante e sílica (quartzo). Isto sem contar as jazidas de gás natural, que vão permitir a instalação de empresas não só para uso direto do g</w:t>
      </w:r>
      <w:r>
        <w:t>ás, como também para produção de energia (FURBINO, 2011b).</w:t>
      </w:r>
    </w:p>
    <w:p w:rsidR="00D81F69" w:rsidRDefault="00330118">
      <w:pPr>
        <w:pStyle w:val="Corpodetexto"/>
        <w:spacing w:before="138" w:line="312" w:lineRule="auto"/>
        <w:ind w:right="54"/>
      </w:pPr>
      <w:r>
        <w:rPr>
          <w:spacing w:val="2"/>
        </w:rPr>
        <w:t xml:space="preserve">Para </w:t>
      </w:r>
      <w:r>
        <w:rPr>
          <w:spacing w:val="3"/>
        </w:rPr>
        <w:t xml:space="preserve">estimular </w:t>
      </w:r>
      <w:r>
        <w:t xml:space="preserve">a </w:t>
      </w:r>
      <w:r>
        <w:rPr>
          <w:spacing w:val="3"/>
        </w:rPr>
        <w:t xml:space="preserve">exploração mineral, </w:t>
      </w:r>
      <w:r>
        <w:t xml:space="preserve">o </w:t>
      </w:r>
      <w:r>
        <w:rPr>
          <w:spacing w:val="3"/>
        </w:rPr>
        <w:t xml:space="preserve">governo </w:t>
      </w:r>
      <w:r>
        <w:rPr>
          <w:spacing w:val="1"/>
        </w:rPr>
        <w:t xml:space="preserve">de </w:t>
      </w:r>
      <w:r>
        <w:rPr>
          <w:spacing w:val="5"/>
        </w:rPr>
        <w:t xml:space="preserve">Minas Gerais </w:t>
      </w:r>
      <w:r>
        <w:rPr>
          <w:spacing w:val="6"/>
        </w:rPr>
        <w:t xml:space="preserve">pretende </w:t>
      </w:r>
      <w:r>
        <w:rPr>
          <w:spacing w:val="5"/>
        </w:rPr>
        <w:t xml:space="preserve">apoiar </w:t>
      </w:r>
      <w:r>
        <w:rPr>
          <w:spacing w:val="6"/>
        </w:rPr>
        <w:t xml:space="preserve">projetos </w:t>
      </w:r>
      <w:r>
        <w:rPr>
          <w:spacing w:val="3"/>
        </w:rPr>
        <w:t xml:space="preserve">de </w:t>
      </w:r>
      <w:r>
        <w:rPr>
          <w:spacing w:val="6"/>
        </w:rPr>
        <w:t xml:space="preserve">infraestrutura </w:t>
      </w:r>
      <w:r>
        <w:t xml:space="preserve">e </w:t>
      </w:r>
      <w:r>
        <w:rPr>
          <w:spacing w:val="7"/>
        </w:rPr>
        <w:t xml:space="preserve">de </w:t>
      </w:r>
      <w:r>
        <w:t xml:space="preserve">planejamento logístico (SEDE.MG, 2011). De acordo com a </w:t>
      </w:r>
      <w:r>
        <w:rPr>
          <w:spacing w:val="5"/>
        </w:rPr>
        <w:t xml:space="preserve">Secretaria </w:t>
      </w:r>
      <w:r>
        <w:rPr>
          <w:spacing w:val="2"/>
        </w:rPr>
        <w:t xml:space="preserve">de </w:t>
      </w:r>
      <w:r>
        <w:rPr>
          <w:spacing w:val="5"/>
        </w:rPr>
        <w:t xml:space="preserve">Estado </w:t>
      </w:r>
      <w:r>
        <w:rPr>
          <w:spacing w:val="2"/>
        </w:rPr>
        <w:t xml:space="preserve">de </w:t>
      </w:r>
      <w:r>
        <w:rPr>
          <w:spacing w:val="5"/>
        </w:rPr>
        <w:t xml:space="preserve">Desenvolvimento </w:t>
      </w:r>
      <w:r>
        <w:rPr>
          <w:spacing w:val="3"/>
        </w:rPr>
        <w:t xml:space="preserve">dos Vales </w:t>
      </w:r>
      <w:r>
        <w:rPr>
          <w:spacing w:val="5"/>
        </w:rPr>
        <w:t>do</w:t>
      </w:r>
      <w:r>
        <w:rPr>
          <w:spacing w:val="61"/>
        </w:rPr>
        <w:t xml:space="preserve"> </w:t>
      </w:r>
      <w:r>
        <w:t>Jequitinhonha, Mucuri e do Norte de Minas, a ideia é agregar</w:t>
      </w:r>
    </w:p>
    <w:p w:rsidR="00D81F69" w:rsidRDefault="00330118">
      <w:pPr>
        <w:pStyle w:val="Corpodetexto"/>
        <w:spacing w:before="63" w:line="312" w:lineRule="auto"/>
        <w:ind w:right="191"/>
      </w:pPr>
      <w:r>
        <w:br w:type="column"/>
      </w:r>
      <w:r>
        <w:lastRenderedPageBreak/>
        <w:t>comercializar minério tipo fino comum, granulado e pellet feed e deverá ser concluído em 2014. A capacidade inicial de produção deverá ser de 200 mil toneladas de mi</w:t>
      </w:r>
      <w:r>
        <w:t>nério tipo granulado e de 400 mil toneladas de minério fino comum, usando beneficiamento a seco (SEDE.MG, 2011; SOUTO, 2011).</w:t>
      </w:r>
    </w:p>
    <w:p w:rsidR="00D81F69" w:rsidRDefault="00330118">
      <w:pPr>
        <w:pStyle w:val="Corpodetexto"/>
        <w:spacing w:before="135" w:line="312" w:lineRule="auto"/>
        <w:ind w:right="189"/>
      </w:pPr>
      <w:r>
        <w:t>As pesquisas que estão sendo realizadas para levantamento das reservas apontam um potencial de produção da cerca de 600 mil tonela</w:t>
      </w:r>
      <w:r>
        <w:t>das de minério de ferro por ano. De acordo com a Vale, a produção será escoada por rodovia até o pátio de embarque da Ferrovia Centro-Atlântica (FCA), controlada pela empresa, e que fica no município de Porteirinha. De lá, seguirá, por ferrovia, até o Port</w:t>
      </w:r>
      <w:r>
        <w:t>o de Aratu, em Salvador (BA) (SEDE.MG, 2011; SOUTO, 2011).</w:t>
      </w:r>
    </w:p>
    <w:p w:rsidR="00D81F69" w:rsidRDefault="00330118">
      <w:pPr>
        <w:pStyle w:val="Corpodetexto"/>
        <w:spacing w:before="138" w:line="312" w:lineRule="auto"/>
        <w:ind w:right="206"/>
      </w:pPr>
      <w:r>
        <w:t xml:space="preserve">A iniciativa deve gerar 50 empregos diretos e 450 indiretos na fase de implantação. Além disso, estão previstos 250 empregos permanentes, entre diretos ou indiretos, na fase de operação da mina. A </w:t>
      </w:r>
      <w:r>
        <w:t>prioridade, de acordo com a Vale, será para a mão de obra local, que receberá capacitação para preenchimento da vaga (SEDE.MG, 2011).</w:t>
      </w:r>
    </w:p>
    <w:p w:rsidR="00D81F69" w:rsidRDefault="00330118">
      <w:pPr>
        <w:pStyle w:val="Corpodetexto"/>
        <w:spacing w:before="135" w:line="312" w:lineRule="auto"/>
        <w:ind w:right="194"/>
      </w:pPr>
      <w:r>
        <w:t xml:space="preserve">Já a Mineração Minas Bahia (Miba) deve investir, até 2014, R$ 3,6 </w:t>
      </w:r>
      <w:r>
        <w:rPr>
          <w:spacing w:val="1"/>
        </w:rPr>
        <w:t xml:space="preserve">bilhões </w:t>
      </w:r>
      <w:r>
        <w:t xml:space="preserve">na </w:t>
      </w:r>
      <w:r>
        <w:rPr>
          <w:spacing w:val="1"/>
        </w:rPr>
        <w:t xml:space="preserve">implantação </w:t>
      </w:r>
      <w:r>
        <w:t xml:space="preserve">de uma </w:t>
      </w:r>
      <w:r>
        <w:rPr>
          <w:spacing w:val="1"/>
        </w:rPr>
        <w:t xml:space="preserve">unidade minerária </w:t>
      </w:r>
      <w:r>
        <w:t xml:space="preserve">- usina </w:t>
      </w:r>
      <w:r>
        <w:t>de concentração de minério de ferro e corredor</w:t>
      </w:r>
      <w:r>
        <w:rPr>
          <w:spacing w:val="16"/>
        </w:rPr>
        <w:t xml:space="preserve"> </w:t>
      </w:r>
      <w:r>
        <w:t>logístico</w:t>
      </w:r>
    </w:p>
    <w:p w:rsidR="00D81F69" w:rsidRDefault="00330118">
      <w:pPr>
        <w:pStyle w:val="Corpodetexto"/>
        <w:spacing w:before="3" w:line="312" w:lineRule="auto"/>
        <w:ind w:right="208"/>
      </w:pPr>
      <w:r>
        <w:t>- nos municípios de Grão Mogol e Rio Pardo de Minas (BRASIL MINERAL, 2010; SEDE.MG, 2011).</w:t>
      </w:r>
    </w:p>
    <w:p w:rsidR="00D81F69" w:rsidRDefault="00330118">
      <w:pPr>
        <w:pStyle w:val="Corpodetexto"/>
        <w:spacing w:before="132" w:line="312" w:lineRule="auto"/>
        <w:ind w:right="194"/>
      </w:pPr>
      <w:r>
        <w:rPr>
          <w:spacing w:val="3"/>
        </w:rPr>
        <w:t xml:space="preserve">Por sua </w:t>
      </w:r>
      <w:r>
        <w:rPr>
          <w:spacing w:val="5"/>
        </w:rPr>
        <w:t xml:space="preserve">vez, </w:t>
      </w:r>
      <w:r>
        <w:t xml:space="preserve">a </w:t>
      </w:r>
      <w:r>
        <w:rPr>
          <w:spacing w:val="3"/>
        </w:rPr>
        <w:t xml:space="preserve">Sul </w:t>
      </w:r>
      <w:r>
        <w:rPr>
          <w:spacing w:val="5"/>
        </w:rPr>
        <w:t xml:space="preserve">Americana Metais (SAM), </w:t>
      </w:r>
      <w:r>
        <w:rPr>
          <w:spacing w:val="2"/>
        </w:rPr>
        <w:t xml:space="preserve">do </w:t>
      </w:r>
      <w:r>
        <w:rPr>
          <w:spacing w:val="6"/>
        </w:rPr>
        <w:t xml:space="preserve">Grupo </w:t>
      </w:r>
      <w:r>
        <w:rPr>
          <w:spacing w:val="8"/>
        </w:rPr>
        <w:t xml:space="preserve">Votorantim, </w:t>
      </w:r>
      <w:r>
        <w:rPr>
          <w:spacing w:val="5"/>
        </w:rPr>
        <w:t xml:space="preserve">vai </w:t>
      </w:r>
      <w:r>
        <w:rPr>
          <w:spacing w:val="7"/>
        </w:rPr>
        <w:t xml:space="preserve">investir </w:t>
      </w:r>
      <w:r>
        <w:rPr>
          <w:spacing w:val="5"/>
        </w:rPr>
        <w:t xml:space="preserve">R$ 3,2 </w:t>
      </w:r>
      <w:r>
        <w:rPr>
          <w:spacing w:val="7"/>
        </w:rPr>
        <w:t xml:space="preserve">bilhões </w:t>
      </w:r>
      <w:r>
        <w:rPr>
          <w:spacing w:val="5"/>
        </w:rPr>
        <w:t xml:space="preserve">em </w:t>
      </w:r>
      <w:r>
        <w:rPr>
          <w:spacing w:val="7"/>
        </w:rPr>
        <w:t xml:space="preserve">extração </w:t>
      </w:r>
      <w:r>
        <w:t>e be</w:t>
      </w:r>
      <w:r>
        <w:t xml:space="preserve">neficiamento de minério em Grão Mogol, em parceria com  a </w:t>
      </w:r>
      <w:r>
        <w:rPr>
          <w:spacing w:val="11"/>
        </w:rPr>
        <w:t xml:space="preserve">chinesa </w:t>
      </w:r>
      <w:r>
        <w:rPr>
          <w:spacing w:val="12"/>
        </w:rPr>
        <w:t xml:space="preserve">Honbridge Holdings Limited. </w:t>
      </w:r>
      <w:r>
        <w:t xml:space="preserve">A </w:t>
      </w:r>
      <w:r>
        <w:rPr>
          <w:spacing w:val="15"/>
        </w:rPr>
        <w:t xml:space="preserve">iniciativa </w:t>
      </w:r>
      <w:r>
        <w:rPr>
          <w:spacing w:val="8"/>
        </w:rPr>
        <w:t xml:space="preserve">compreende </w:t>
      </w:r>
      <w:r>
        <w:rPr>
          <w:spacing w:val="7"/>
        </w:rPr>
        <w:t xml:space="preserve">ainda </w:t>
      </w:r>
      <w:r>
        <w:rPr>
          <w:spacing w:val="5"/>
        </w:rPr>
        <w:t xml:space="preserve">um </w:t>
      </w:r>
      <w:r>
        <w:rPr>
          <w:spacing w:val="8"/>
        </w:rPr>
        <w:t xml:space="preserve">mineroduto </w:t>
      </w:r>
      <w:r>
        <w:t xml:space="preserve">- </w:t>
      </w:r>
      <w:r>
        <w:rPr>
          <w:spacing w:val="6"/>
        </w:rPr>
        <w:t xml:space="preserve">como </w:t>
      </w:r>
      <w:r>
        <w:rPr>
          <w:spacing w:val="7"/>
        </w:rPr>
        <w:t xml:space="preserve">logística </w:t>
      </w:r>
      <w:r>
        <w:rPr>
          <w:spacing w:val="10"/>
        </w:rPr>
        <w:t xml:space="preserve">de </w:t>
      </w:r>
      <w:r>
        <w:t xml:space="preserve">transporte - e um porto na Bahia (BRASIL MINERAL, 2011; </w:t>
      </w:r>
      <w:r>
        <w:rPr>
          <w:spacing w:val="12"/>
        </w:rPr>
        <w:t xml:space="preserve">SEDE.MG, </w:t>
      </w:r>
      <w:r>
        <w:rPr>
          <w:spacing w:val="11"/>
        </w:rPr>
        <w:t xml:space="preserve">2011). Quanto </w:t>
      </w:r>
      <w:r>
        <w:t xml:space="preserve">à </w:t>
      </w:r>
      <w:r>
        <w:rPr>
          <w:spacing w:val="12"/>
        </w:rPr>
        <w:t xml:space="preserve">Mineração </w:t>
      </w:r>
      <w:r>
        <w:rPr>
          <w:spacing w:val="11"/>
        </w:rPr>
        <w:t xml:space="preserve">Riacho </w:t>
      </w:r>
      <w:r>
        <w:rPr>
          <w:spacing w:val="15"/>
        </w:rPr>
        <w:t xml:space="preserve">dos </w:t>
      </w:r>
      <w:r>
        <w:t>Machados, o objetivo é lavrar ouro, no município de mesmo nome (BRASIL MINERAL,</w:t>
      </w:r>
      <w:r>
        <w:rPr>
          <w:spacing w:val="38"/>
        </w:rPr>
        <w:t xml:space="preserve"> </w:t>
      </w:r>
      <w:r>
        <w:t>2011).</w:t>
      </w:r>
    </w:p>
    <w:p w:rsidR="00D81F69" w:rsidRDefault="00330118">
      <w:pPr>
        <w:pStyle w:val="Corpodetexto"/>
        <w:spacing w:before="138"/>
      </w:pPr>
      <w:r>
        <w:t>Embora a atividade minerária possa contribuir para o</w:t>
      </w:r>
    </w:p>
    <w:p w:rsidR="00D81F69" w:rsidRDefault="00D81F69">
      <w:pPr>
        <w:sectPr w:rsidR="00D81F69">
          <w:type w:val="continuous"/>
          <w:pgSz w:w="11900" w:h="16840"/>
          <w:pgMar w:top="720" w:right="500" w:bottom="280" w:left="620" w:header="720" w:footer="720" w:gutter="0"/>
          <w:cols w:num="2" w:space="720" w:equalWidth="0">
            <w:col w:w="5158" w:space="312"/>
            <w:col w:w="5310"/>
          </w:cols>
        </w:sectPr>
      </w:pPr>
    </w:p>
    <w:p w:rsidR="00D81F69" w:rsidRDefault="00330118">
      <w:pPr>
        <w:pStyle w:val="Corpodetexto"/>
        <w:spacing w:before="81" w:line="312" w:lineRule="auto"/>
        <w:ind w:right="57"/>
      </w:pPr>
      <w:r>
        <w:lastRenderedPageBreak/>
        <w:t>crescimento econômico do norte de Minas, com geração de emprego e renda, moradores da</w:t>
      </w:r>
      <w:r>
        <w:t xml:space="preserve">s cidades envolvidas estão preocupados com os impactos socioambientais que poderão </w:t>
      </w:r>
      <w:r>
        <w:rPr>
          <w:spacing w:val="8"/>
        </w:rPr>
        <w:t xml:space="preserve">causar. </w:t>
      </w:r>
      <w:r>
        <w:rPr>
          <w:spacing w:val="7"/>
        </w:rPr>
        <w:t xml:space="preserve">Eles temem </w:t>
      </w:r>
      <w:r>
        <w:rPr>
          <w:spacing w:val="6"/>
        </w:rPr>
        <w:t xml:space="preserve">que </w:t>
      </w:r>
      <w:r>
        <w:rPr>
          <w:spacing w:val="8"/>
        </w:rPr>
        <w:t xml:space="preserve">ocorra </w:t>
      </w:r>
      <w:r>
        <w:t xml:space="preserve">o </w:t>
      </w:r>
      <w:r>
        <w:rPr>
          <w:spacing w:val="7"/>
        </w:rPr>
        <w:t xml:space="preserve">mesmo </w:t>
      </w:r>
      <w:r>
        <w:rPr>
          <w:spacing w:val="8"/>
        </w:rPr>
        <w:t xml:space="preserve">modelo </w:t>
      </w:r>
      <w:r>
        <w:rPr>
          <w:spacing w:val="10"/>
        </w:rPr>
        <w:t>de</w:t>
      </w:r>
      <w:r>
        <w:rPr>
          <w:spacing w:val="71"/>
        </w:rPr>
        <w:t xml:space="preserve"> </w:t>
      </w:r>
      <w:r>
        <w:t xml:space="preserve">desenvolvimento do Quadrilátero Ferrífero e da região central </w:t>
      </w:r>
      <w:r>
        <w:rPr>
          <w:spacing w:val="1"/>
        </w:rPr>
        <w:t xml:space="preserve">do </w:t>
      </w:r>
      <w:r>
        <w:rPr>
          <w:spacing w:val="3"/>
        </w:rPr>
        <w:t xml:space="preserve">estado, </w:t>
      </w:r>
      <w:r>
        <w:rPr>
          <w:spacing w:val="2"/>
        </w:rPr>
        <w:t xml:space="preserve">onde são </w:t>
      </w:r>
      <w:r>
        <w:rPr>
          <w:spacing w:val="3"/>
        </w:rPr>
        <w:t xml:space="preserve">vários </w:t>
      </w:r>
      <w:r>
        <w:rPr>
          <w:spacing w:val="1"/>
        </w:rPr>
        <w:t xml:space="preserve">os </w:t>
      </w:r>
      <w:r>
        <w:rPr>
          <w:spacing w:val="3"/>
        </w:rPr>
        <w:t xml:space="preserve">problemas decorrentes </w:t>
      </w:r>
      <w:r>
        <w:rPr>
          <w:spacing w:val="5"/>
        </w:rPr>
        <w:t xml:space="preserve">da </w:t>
      </w:r>
      <w:r>
        <w:rPr>
          <w:spacing w:val="3"/>
        </w:rPr>
        <w:t>mineração (ALMG,</w:t>
      </w:r>
      <w:r>
        <w:rPr>
          <w:spacing w:val="2"/>
        </w:rPr>
        <w:t xml:space="preserve"> </w:t>
      </w:r>
      <w:r>
        <w:rPr>
          <w:spacing w:val="5"/>
        </w:rPr>
        <w:t>2011).</w:t>
      </w:r>
    </w:p>
    <w:p w:rsidR="00D81F69" w:rsidRDefault="00330118">
      <w:pPr>
        <w:pStyle w:val="Corpodetexto"/>
        <w:spacing w:before="136" w:line="312" w:lineRule="auto"/>
        <w:ind w:right="45"/>
      </w:pPr>
      <w:r>
        <w:t>Para debater o assunto, a Comissão de Minas e Energia da Assembleia Legislativa de Minas Gerais realizou, no início de dezembro de 2011, uma audiência pública na Câmara Municipal de Taiobeiras (Norte), que contou com a presença de representantes de entidad</w:t>
      </w:r>
      <w:r>
        <w:t>es e de comunidades (ALMG, 2011; BORBOREMA, 2011b).</w:t>
      </w:r>
    </w:p>
    <w:p w:rsidR="00D81F69" w:rsidRDefault="00330118">
      <w:pPr>
        <w:pStyle w:val="Corpodetexto"/>
        <w:spacing w:before="136" w:line="312" w:lineRule="auto"/>
        <w:ind w:right="44"/>
      </w:pPr>
      <w:r>
        <w:t>Na ocasião, um biólogo e perito ambiental da Universidade Federal de Minas Gerais (UFMG) destacou as grandes barragens de rejeitos que vêm sendo planejadas e os possíveis impactos ambientais decorrentes d</w:t>
      </w:r>
      <w:r>
        <w:t>a vinda dos grandes empreendimentos à região. Segundo ele, a poeira decorrente da mineração pode causar doenças cardiovasculares e respiratórias na população (ALMG, 2011).</w:t>
      </w:r>
    </w:p>
    <w:p w:rsidR="00D81F69" w:rsidRDefault="00330118">
      <w:pPr>
        <w:pStyle w:val="Corpodetexto"/>
        <w:spacing w:before="136" w:line="312" w:lineRule="auto"/>
        <w:ind w:right="58"/>
      </w:pPr>
      <w:r>
        <w:rPr>
          <w:spacing w:val="6"/>
        </w:rPr>
        <w:t xml:space="preserve">Para </w:t>
      </w:r>
      <w:r>
        <w:t xml:space="preserve">o </w:t>
      </w:r>
      <w:r>
        <w:rPr>
          <w:spacing w:val="8"/>
        </w:rPr>
        <w:t xml:space="preserve">representante </w:t>
      </w:r>
      <w:r>
        <w:rPr>
          <w:spacing w:val="5"/>
        </w:rPr>
        <w:t xml:space="preserve">do </w:t>
      </w:r>
      <w:r>
        <w:rPr>
          <w:spacing w:val="7"/>
        </w:rPr>
        <w:t xml:space="preserve">Movimento </w:t>
      </w:r>
      <w:r>
        <w:rPr>
          <w:spacing w:val="5"/>
        </w:rPr>
        <w:t xml:space="preserve">dos </w:t>
      </w:r>
      <w:r>
        <w:rPr>
          <w:spacing w:val="7"/>
        </w:rPr>
        <w:t xml:space="preserve">Atingidos </w:t>
      </w:r>
      <w:r>
        <w:rPr>
          <w:spacing w:val="10"/>
        </w:rPr>
        <w:t xml:space="preserve">por </w:t>
      </w:r>
      <w:r>
        <w:rPr>
          <w:spacing w:val="5"/>
        </w:rPr>
        <w:t xml:space="preserve">Barragens (MAB), </w:t>
      </w:r>
      <w:r>
        <w:rPr>
          <w:spacing w:val="3"/>
        </w:rPr>
        <w:t xml:space="preserve">uma das </w:t>
      </w:r>
      <w:r>
        <w:rPr>
          <w:spacing w:val="5"/>
        </w:rPr>
        <w:t>preocup</w:t>
      </w:r>
      <w:r>
        <w:rPr>
          <w:spacing w:val="5"/>
        </w:rPr>
        <w:t xml:space="preserve">ações </w:t>
      </w:r>
      <w:r>
        <w:t xml:space="preserve">é a </w:t>
      </w:r>
      <w:r>
        <w:rPr>
          <w:spacing w:val="3"/>
        </w:rPr>
        <w:t xml:space="preserve">água. </w:t>
      </w:r>
      <w:r>
        <w:rPr>
          <w:spacing w:val="5"/>
        </w:rPr>
        <w:t xml:space="preserve">De </w:t>
      </w:r>
      <w:r>
        <w:rPr>
          <w:spacing w:val="3"/>
        </w:rPr>
        <w:t xml:space="preserve">acordo </w:t>
      </w:r>
      <w:r>
        <w:rPr>
          <w:spacing w:val="2"/>
        </w:rPr>
        <w:t xml:space="preserve">com </w:t>
      </w:r>
      <w:r>
        <w:t xml:space="preserve">o </w:t>
      </w:r>
      <w:r>
        <w:rPr>
          <w:spacing w:val="2"/>
        </w:rPr>
        <w:t xml:space="preserve">MAB, </w:t>
      </w:r>
      <w:r>
        <w:rPr>
          <w:spacing w:val="3"/>
        </w:rPr>
        <w:t xml:space="preserve">haverá privatização </w:t>
      </w:r>
      <w:r>
        <w:rPr>
          <w:spacing w:val="1"/>
        </w:rPr>
        <w:t xml:space="preserve">do </w:t>
      </w:r>
      <w:r>
        <w:rPr>
          <w:spacing w:val="3"/>
        </w:rPr>
        <w:t xml:space="preserve">recurso, </w:t>
      </w:r>
      <w:r>
        <w:t xml:space="preserve">e </w:t>
      </w:r>
      <w:r>
        <w:rPr>
          <w:spacing w:val="5"/>
        </w:rPr>
        <w:t xml:space="preserve">as </w:t>
      </w:r>
      <w:r>
        <w:t>empreas é que vão autorizar o uso do recurso na região já que vão ser as responsáveis pela construção de barragens (ALMG,</w:t>
      </w:r>
      <w:r>
        <w:rPr>
          <w:spacing w:val="15"/>
        </w:rPr>
        <w:t xml:space="preserve"> </w:t>
      </w:r>
      <w:r>
        <w:rPr>
          <w:spacing w:val="1"/>
        </w:rPr>
        <w:t>2011).</w:t>
      </w:r>
    </w:p>
    <w:p w:rsidR="00D81F69" w:rsidRDefault="00330118">
      <w:pPr>
        <w:pStyle w:val="Corpodetexto"/>
        <w:spacing w:before="136" w:line="312" w:lineRule="auto"/>
        <w:ind w:right="53"/>
      </w:pPr>
      <w:r>
        <w:t xml:space="preserve">Já o Sindicato dos Trabalhadores Rurais de Rio Pardo </w:t>
      </w:r>
      <w:r>
        <w:t>de Minas e a Federação dos Trabalhadores na Agricultura do Estado de Minas Gerais (Fetaemg) estão preocupados com a questão da titularidade da terra, pois, segundo as entidades, o território que as mineradoras pretendem explorar já é ocupado por agricultor</w:t>
      </w:r>
      <w:r>
        <w:t>es familiares e comunidades quilombolas. A prefeitura de Rio Pardo de Minas manifestou- se pedindo transparência em todo o processo, atentando para o direito à terra das populações próximas aos locais de mineração (ALMG, 2011).</w:t>
      </w:r>
    </w:p>
    <w:p w:rsidR="00D81F69" w:rsidRDefault="00330118">
      <w:pPr>
        <w:pStyle w:val="Corpodetexto"/>
        <w:spacing w:before="139" w:line="312" w:lineRule="auto"/>
        <w:ind w:right="38"/>
      </w:pPr>
      <w:r>
        <w:t xml:space="preserve">Durante a audiência, também </w:t>
      </w:r>
      <w:r>
        <w:t>foi ressaltada a forma como o governo estadual vem tratando os licenciamentos, fazendo protocolos de intenções sem conhecer a viabilidade ambiental e social do empreendimento. Também houve menção à falta de clareza de relatórios e laudos da Superintendênci</w:t>
      </w:r>
      <w:r>
        <w:t>a Regional de Meio Ambiente (Supram) (BORBOREMA, 2011b).</w:t>
      </w:r>
    </w:p>
    <w:p w:rsidR="00D81F69" w:rsidRDefault="00330118">
      <w:pPr>
        <w:pStyle w:val="Corpodetexto"/>
        <w:spacing w:before="137" w:line="312" w:lineRule="auto"/>
        <w:ind w:right="53"/>
      </w:pPr>
      <w:r>
        <w:t>Para alertar a população sobre os possíveis impactos da mineração no norte de Minas, o Fórum de Desenvolvimento Sustentável do Norte de Minas Gerais divulgou uma Carta Aberta. O documento trata, mais</w:t>
      </w:r>
      <w:r>
        <w:t xml:space="preserve"> especificamente, do caso do Projeto de Mineração Riacho dos Machados que está em fase de licenciamento e ainda é alvo de dúvidas por parte da população (CAA/NM, 2012). O empreendimento foi classificado como classe 6, ou seja, de alto risco de contaminação</w:t>
      </w:r>
      <w:r>
        <w:t xml:space="preserve"> (BORBOREMA, 2011a).</w:t>
      </w:r>
    </w:p>
    <w:p w:rsidR="00D81F69" w:rsidRDefault="00330118">
      <w:pPr>
        <w:pStyle w:val="Corpodetexto"/>
        <w:spacing w:before="138"/>
      </w:pPr>
      <w:r>
        <w:t>As lideranças do município alertam para o fato de a</w:t>
      </w:r>
    </w:p>
    <w:p w:rsidR="00D81F69" w:rsidRDefault="00330118">
      <w:pPr>
        <w:pStyle w:val="Corpodetexto"/>
        <w:spacing w:before="81" w:line="312" w:lineRule="auto"/>
        <w:ind w:right="210"/>
      </w:pPr>
      <w:r>
        <w:br w:type="column"/>
      </w:r>
      <w:r>
        <w:lastRenderedPageBreak/>
        <w:t>mineradora pretender instalar sua barragem de rejeitos no rio Olaria, a apenas 300 metros de distância do ribeirão que deságua na Barragem do Bico da Pedra. Como a empresa vai explor</w:t>
      </w:r>
      <w:r>
        <w:t xml:space="preserve">ar ouro, a preocupação é com a contaminação por cianeto e </w:t>
      </w:r>
      <w:hyperlink r:id="rId1209">
        <w:r>
          <w:t xml:space="preserve">arsênio, </w:t>
        </w:r>
      </w:hyperlink>
      <w:r>
        <w:t>substâncias tóxicas que podem contaminar o ar e a água (BORBOREMA, 2011a).</w:t>
      </w:r>
    </w:p>
    <w:p w:rsidR="00D81F69" w:rsidRDefault="00330118">
      <w:pPr>
        <w:pStyle w:val="Corpodetexto"/>
        <w:spacing w:before="135" w:line="312" w:lineRule="auto"/>
        <w:ind w:right="191"/>
      </w:pPr>
      <w:r>
        <w:t xml:space="preserve">De qualquer forma, para </w:t>
      </w:r>
      <w:r>
        <w:t xml:space="preserve">que os projetos das mineradoras saiam do papel, o Sindicato da Indústria Extrativa Mineral do Estado de Minas Gerais (Sindiextra-MG) alega ser necessária a definição da logística para o escoamento do minério extraído no norte de Minas (DIÁRIO DO COMÉRCIO, </w:t>
      </w:r>
      <w:r>
        <w:t>2011a). Uma opção seria a construção de um ramal da FCA, o que está sendo estudado pela Vale (DIÁRIO DO COMÉRCIO, 2011b).</w:t>
      </w:r>
    </w:p>
    <w:p w:rsidR="00D81F69" w:rsidRDefault="00D81F69">
      <w:pPr>
        <w:pStyle w:val="Corpodetexto"/>
        <w:spacing w:before="7"/>
        <w:ind w:left="0"/>
        <w:jc w:val="left"/>
        <w:rPr>
          <w:sz w:val="21"/>
        </w:rPr>
      </w:pPr>
    </w:p>
    <w:p w:rsidR="00D81F69" w:rsidRDefault="00330118">
      <w:pPr>
        <w:pStyle w:val="Heading7"/>
        <w:spacing w:before="1"/>
      </w:pPr>
      <w:r>
        <w:t>LOCALIZAÇÃO GEOGRÁFICA</w:t>
      </w:r>
    </w:p>
    <w:p w:rsidR="00D81F69" w:rsidRDefault="00330118">
      <w:pPr>
        <w:pStyle w:val="Corpodetexto"/>
        <w:spacing w:before="178" w:line="312" w:lineRule="auto"/>
        <w:ind w:right="204"/>
      </w:pPr>
      <w:r>
        <w:t xml:space="preserve">A exploração do minério de ferro no norte de Minas </w:t>
      </w:r>
      <w:r>
        <w:rPr>
          <w:spacing w:val="1"/>
        </w:rPr>
        <w:t xml:space="preserve">Gerais </w:t>
      </w:r>
      <w:r>
        <w:t>engloba os municípios do Rio Pardo de Minas, Serranó</w:t>
      </w:r>
      <w:r>
        <w:t xml:space="preserve">polis </w:t>
      </w:r>
      <w:r>
        <w:rPr>
          <w:spacing w:val="5"/>
        </w:rPr>
        <w:t xml:space="preserve">de </w:t>
      </w:r>
      <w:r>
        <w:rPr>
          <w:spacing w:val="7"/>
        </w:rPr>
        <w:t xml:space="preserve">Minas, Riacho </w:t>
      </w:r>
      <w:r>
        <w:rPr>
          <w:spacing w:val="5"/>
        </w:rPr>
        <w:t xml:space="preserve">dos </w:t>
      </w:r>
      <w:r>
        <w:rPr>
          <w:spacing w:val="7"/>
        </w:rPr>
        <w:t xml:space="preserve">Macacos, </w:t>
      </w:r>
      <w:r>
        <w:rPr>
          <w:spacing w:val="6"/>
        </w:rPr>
        <w:t xml:space="preserve">Grão </w:t>
      </w:r>
      <w:r>
        <w:rPr>
          <w:spacing w:val="7"/>
        </w:rPr>
        <w:t xml:space="preserve">Mogol, </w:t>
      </w:r>
      <w:r>
        <w:rPr>
          <w:spacing w:val="10"/>
        </w:rPr>
        <w:t xml:space="preserve">Salinas </w:t>
      </w:r>
      <w:r>
        <w:t xml:space="preserve">Porteirinha e Nova Aurora. Está localizado próximo a latitude </w:t>
      </w:r>
      <w:r>
        <w:rPr>
          <w:spacing w:val="8"/>
        </w:rPr>
        <w:t xml:space="preserve">16°04'30"S </w:t>
      </w:r>
      <w:r>
        <w:t xml:space="preserve">e </w:t>
      </w:r>
      <w:r>
        <w:rPr>
          <w:spacing w:val="8"/>
        </w:rPr>
        <w:t xml:space="preserve">longitude 42°43'48"W </w:t>
      </w:r>
      <w:r>
        <w:rPr>
          <w:spacing w:val="5"/>
        </w:rPr>
        <w:t xml:space="preserve">na </w:t>
      </w:r>
      <w:r>
        <w:rPr>
          <w:spacing w:val="7"/>
        </w:rPr>
        <w:t xml:space="preserve">bacia </w:t>
      </w:r>
      <w:r>
        <w:rPr>
          <w:spacing w:val="5"/>
        </w:rPr>
        <w:t xml:space="preserve">do </w:t>
      </w:r>
      <w:r>
        <w:rPr>
          <w:spacing w:val="10"/>
        </w:rPr>
        <w:t xml:space="preserve">São </w:t>
      </w:r>
      <w:r>
        <w:rPr>
          <w:spacing w:val="8"/>
        </w:rPr>
        <w:t xml:space="preserve">Francisco </w:t>
      </w:r>
      <w:r>
        <w:rPr>
          <w:spacing w:val="5"/>
        </w:rPr>
        <w:t xml:space="preserve">na </w:t>
      </w:r>
      <w:r>
        <w:rPr>
          <w:spacing w:val="8"/>
        </w:rPr>
        <w:t xml:space="preserve">região Costeira </w:t>
      </w:r>
      <w:r>
        <w:rPr>
          <w:spacing w:val="5"/>
        </w:rPr>
        <w:t xml:space="preserve">do </w:t>
      </w:r>
      <w:r>
        <w:rPr>
          <w:spacing w:val="8"/>
        </w:rPr>
        <w:t>Atlântico</w:t>
      </w:r>
      <w:r>
        <w:rPr>
          <w:spacing w:val="40"/>
        </w:rPr>
        <w:t xml:space="preserve"> </w:t>
      </w:r>
      <w:r>
        <w:rPr>
          <w:spacing w:val="10"/>
        </w:rPr>
        <w:t>Sul.</w:t>
      </w:r>
    </w:p>
    <w:p w:rsidR="00D81F69" w:rsidRDefault="00D81F69">
      <w:pPr>
        <w:pStyle w:val="Corpodetexto"/>
        <w:spacing w:before="3"/>
        <w:ind w:left="0"/>
        <w:jc w:val="left"/>
        <w:rPr>
          <w:sz w:val="29"/>
        </w:rPr>
      </w:pPr>
    </w:p>
    <w:p w:rsidR="00D81F69" w:rsidRDefault="00330118">
      <w:pPr>
        <w:pStyle w:val="Heading7"/>
        <w:spacing w:before="1"/>
      </w:pPr>
      <w:r>
        <w:t>REDATORES</w:t>
      </w:r>
    </w:p>
    <w:p w:rsidR="00D81F69" w:rsidRDefault="00330118">
      <w:pPr>
        <w:pStyle w:val="Corpodetexto"/>
        <w:spacing w:before="178"/>
      </w:pPr>
      <w:r>
        <w:t>Renata Olivieri; Eliane Araujo</w:t>
      </w:r>
    </w:p>
    <w:p w:rsidR="00D81F69" w:rsidRDefault="00D81F69">
      <w:pPr>
        <w:pStyle w:val="Corpodetexto"/>
        <w:ind w:left="0"/>
        <w:jc w:val="left"/>
        <w:rPr>
          <w:sz w:val="20"/>
        </w:rPr>
      </w:pPr>
    </w:p>
    <w:p w:rsidR="00D81F69" w:rsidRDefault="00330118">
      <w:pPr>
        <w:pStyle w:val="Heading7"/>
        <w:spacing w:before="165"/>
      </w:pPr>
      <w:r>
        <w:t>REFERÊNCIAS BIBLIOGRÁFICAS</w:t>
      </w:r>
    </w:p>
    <w:p w:rsidR="00D81F69" w:rsidRDefault="00330118">
      <w:pPr>
        <w:tabs>
          <w:tab w:val="left" w:pos="4331"/>
        </w:tabs>
        <w:spacing w:before="187" w:line="312" w:lineRule="auto"/>
        <w:ind w:left="100" w:right="194"/>
        <w:jc w:val="both"/>
        <w:rPr>
          <w:sz w:val="16"/>
        </w:rPr>
      </w:pPr>
      <w:r>
        <w:rPr>
          <w:spacing w:val="3"/>
          <w:sz w:val="16"/>
        </w:rPr>
        <w:t xml:space="preserve">ALMG, Assembleia </w:t>
      </w:r>
      <w:r>
        <w:rPr>
          <w:spacing w:val="1"/>
          <w:sz w:val="16"/>
        </w:rPr>
        <w:t xml:space="preserve">de </w:t>
      </w:r>
      <w:r>
        <w:rPr>
          <w:spacing w:val="3"/>
          <w:sz w:val="16"/>
        </w:rPr>
        <w:t xml:space="preserve">Minas Gerais. </w:t>
      </w:r>
      <w:r>
        <w:rPr>
          <w:spacing w:val="2"/>
          <w:sz w:val="16"/>
        </w:rPr>
        <w:t xml:space="preserve">Meio </w:t>
      </w:r>
      <w:r>
        <w:rPr>
          <w:spacing w:val="3"/>
          <w:sz w:val="16"/>
        </w:rPr>
        <w:t xml:space="preserve">Ambiente. </w:t>
      </w:r>
      <w:r>
        <w:rPr>
          <w:spacing w:val="5"/>
          <w:sz w:val="16"/>
        </w:rPr>
        <w:t xml:space="preserve">Mineração. </w:t>
      </w:r>
      <w:r>
        <w:rPr>
          <w:spacing w:val="3"/>
          <w:sz w:val="16"/>
        </w:rPr>
        <w:t xml:space="preserve">Comunidade rejeita mineração </w:t>
      </w:r>
      <w:r>
        <w:rPr>
          <w:spacing w:val="1"/>
          <w:sz w:val="16"/>
        </w:rPr>
        <w:t xml:space="preserve">no </w:t>
      </w:r>
      <w:r>
        <w:rPr>
          <w:spacing w:val="3"/>
          <w:sz w:val="16"/>
        </w:rPr>
        <w:t xml:space="preserve">norte </w:t>
      </w:r>
      <w:r>
        <w:rPr>
          <w:spacing w:val="1"/>
          <w:sz w:val="16"/>
        </w:rPr>
        <w:t xml:space="preserve">de </w:t>
      </w:r>
      <w:r>
        <w:rPr>
          <w:spacing w:val="3"/>
          <w:sz w:val="16"/>
        </w:rPr>
        <w:t xml:space="preserve">Minas, </w:t>
      </w:r>
      <w:r>
        <w:rPr>
          <w:spacing w:val="1"/>
          <w:sz w:val="16"/>
        </w:rPr>
        <w:t xml:space="preserve">02 </w:t>
      </w:r>
      <w:r>
        <w:rPr>
          <w:spacing w:val="2"/>
          <w:sz w:val="16"/>
        </w:rPr>
        <w:t xml:space="preserve">dez. </w:t>
      </w:r>
      <w:r>
        <w:rPr>
          <w:spacing w:val="5"/>
          <w:sz w:val="16"/>
        </w:rPr>
        <w:t xml:space="preserve">2011.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330118">
      <w:pPr>
        <w:spacing w:before="3" w:line="312" w:lineRule="auto"/>
        <w:ind w:left="100" w:right="213"/>
        <w:jc w:val="both"/>
        <w:rPr>
          <w:sz w:val="16"/>
        </w:rPr>
      </w:pPr>
      <w:r>
        <w:rPr>
          <w:sz w:val="16"/>
        </w:rPr>
        <w:t>&lt;http://www.ALMG/acompanhe/noticias/</w:t>
      </w:r>
      <w:r>
        <w:rPr>
          <w:sz w:val="16"/>
        </w:rPr>
        <w:t>arquivos/2011/12/02_comissa o_debate_mineracao_em_taiobeiras.html&gt;. Acesso em: 22 de dez 2011.</w:t>
      </w:r>
    </w:p>
    <w:p w:rsidR="00D81F69" w:rsidRDefault="00330118">
      <w:pPr>
        <w:spacing w:before="2" w:line="312" w:lineRule="auto"/>
        <w:ind w:left="100" w:right="197"/>
        <w:jc w:val="both"/>
        <w:rPr>
          <w:sz w:val="16"/>
        </w:rPr>
      </w:pPr>
      <w:r>
        <w:rPr>
          <w:sz w:val="16"/>
        </w:rPr>
        <w:t>BORBOREMA, Helen. Mineração Riacho dos Machados pode contaminar barragem. Minuto Notícias, 15 set. 2011. Disponível em:</w:t>
      </w:r>
    </w:p>
    <w:p w:rsidR="00D81F69" w:rsidRDefault="00D81F69">
      <w:pPr>
        <w:spacing w:before="2" w:line="312" w:lineRule="auto"/>
        <w:ind w:left="100" w:right="215"/>
        <w:jc w:val="both"/>
        <w:rPr>
          <w:sz w:val="16"/>
        </w:rPr>
      </w:pPr>
      <w:hyperlink r:id="rId1210">
        <w:r w:rsidR="00330118">
          <w:rPr>
            <w:sz w:val="16"/>
          </w:rPr>
          <w:t>&lt;http://minutonoticias.com.br/mineracao-riacho-dos-machados-pode-</w:t>
        </w:r>
      </w:hyperlink>
      <w:r w:rsidR="00330118">
        <w:rPr>
          <w:sz w:val="16"/>
        </w:rPr>
        <w:t xml:space="preserve"> contaminar-barragem&gt;. Acesso em: 22 dez. 2011.</w:t>
      </w:r>
    </w:p>
    <w:p w:rsidR="00D81F69" w:rsidRDefault="00330118">
      <w:pPr>
        <w:spacing w:before="1" w:line="312" w:lineRule="auto"/>
        <w:ind w:left="100" w:right="193"/>
        <w:jc w:val="both"/>
        <w:rPr>
          <w:sz w:val="16"/>
        </w:rPr>
      </w:pPr>
      <w:r>
        <w:rPr>
          <w:sz w:val="16"/>
        </w:rPr>
        <w:t>______. Mineração no Norte de Minas: arbitrariedades são denunciadas em audiência pública, Racismo Amb</w:t>
      </w:r>
      <w:r>
        <w:rPr>
          <w:sz w:val="16"/>
        </w:rPr>
        <w:t xml:space="preserve">iental, 15 dez. 2011b. Disponível em: </w:t>
      </w:r>
      <w:hyperlink r:id="rId1211">
        <w:r>
          <w:rPr>
            <w:sz w:val="16"/>
          </w:rPr>
          <w:t>&lt;http://mineracao-no-norte-de-minas-</w:t>
        </w:r>
      </w:hyperlink>
      <w:r>
        <w:rPr>
          <w:sz w:val="16"/>
        </w:rPr>
        <w:t xml:space="preserve"> arbitrariedades-sao-denunciadas-em-audiencia-publica&gt;. Acesso em: 22 dez. 2011.</w:t>
      </w:r>
    </w:p>
    <w:p w:rsidR="00D81F69" w:rsidRDefault="00330118">
      <w:pPr>
        <w:spacing w:before="5" w:line="312" w:lineRule="auto"/>
        <w:ind w:left="100" w:right="199"/>
        <w:jc w:val="both"/>
        <w:rPr>
          <w:sz w:val="16"/>
        </w:rPr>
      </w:pPr>
      <w:r>
        <w:rPr>
          <w:sz w:val="16"/>
        </w:rPr>
        <w:t>BRASIL MINERAL. Minério de Ferro. Miba investir</w:t>
      </w:r>
      <w:r>
        <w:rPr>
          <w:sz w:val="16"/>
        </w:rPr>
        <w:t>á R$ 3,6 bilhões  em MG. In: Brasil Mineral Online, n. 447,15 abr. 2010. Disponível</w:t>
      </w:r>
      <w:r>
        <w:rPr>
          <w:spacing w:val="31"/>
          <w:sz w:val="16"/>
        </w:rPr>
        <w:t xml:space="preserve"> </w:t>
      </w:r>
      <w:r>
        <w:rPr>
          <w:sz w:val="16"/>
        </w:rPr>
        <w:t>em:</w:t>
      </w:r>
    </w:p>
    <w:p w:rsidR="00D81F69" w:rsidRDefault="00D81F69">
      <w:pPr>
        <w:spacing w:before="1" w:line="312" w:lineRule="auto"/>
        <w:ind w:left="100" w:right="216"/>
        <w:jc w:val="both"/>
        <w:rPr>
          <w:sz w:val="16"/>
        </w:rPr>
      </w:pPr>
      <w:hyperlink r:id="rId1212">
        <w:r w:rsidR="00330118">
          <w:rPr>
            <w:sz w:val="16"/>
          </w:rPr>
          <w:t>&lt;http://www.brasilmineral.com.br/BM/default.asp?COD=4832&amp;busca=</w:t>
        </w:r>
      </w:hyperlink>
      <w:r w:rsidR="00330118">
        <w:rPr>
          <w:sz w:val="16"/>
        </w:rPr>
        <w:t xml:space="preserve"> &amp;numero=447&gt;. Acesso </w:t>
      </w:r>
      <w:r w:rsidR="00330118">
        <w:rPr>
          <w:sz w:val="16"/>
        </w:rPr>
        <w:t>em: 22 dez. 2011.</w:t>
      </w:r>
    </w:p>
    <w:p w:rsidR="00D81F69" w:rsidRDefault="00330118">
      <w:pPr>
        <w:spacing w:before="2" w:line="312" w:lineRule="auto"/>
        <w:ind w:left="100" w:right="198"/>
        <w:jc w:val="both"/>
        <w:rPr>
          <w:sz w:val="16"/>
        </w:rPr>
      </w:pPr>
      <w:r>
        <w:rPr>
          <w:sz w:val="16"/>
        </w:rPr>
        <w:t>______. Minério de Ferro. Vale investe R$ 560 milhões no Norte de Minas. In: Brasil Mineral OnLine n. 505 , 08 jun. 2011. Disponível em:</w:t>
      </w:r>
    </w:p>
    <w:p w:rsidR="00D81F69" w:rsidRDefault="00D81F69">
      <w:pPr>
        <w:spacing w:before="1" w:line="312" w:lineRule="auto"/>
        <w:ind w:left="100" w:right="192"/>
        <w:jc w:val="both"/>
        <w:rPr>
          <w:sz w:val="16"/>
        </w:rPr>
      </w:pPr>
      <w:hyperlink r:id="rId1213">
        <w:r w:rsidR="00330118">
          <w:rPr>
            <w:sz w:val="16"/>
          </w:rPr>
          <w:t>&lt;</w:t>
        </w:r>
        <w:r w:rsidR="00330118">
          <w:rPr>
            <w:sz w:val="16"/>
          </w:rPr>
          <w:t>http://www.brasilmineral.com.br/BM/default.asp?numero=505&gt;.</w:t>
        </w:r>
      </w:hyperlink>
      <w:r w:rsidR="00330118">
        <w:rPr>
          <w:sz w:val="16"/>
        </w:rPr>
        <w:t xml:space="preserve"> Acesso em: 22 de dez 2011.</w:t>
      </w:r>
    </w:p>
    <w:p w:rsidR="00D81F69" w:rsidRDefault="00330118">
      <w:pPr>
        <w:spacing w:before="2" w:line="312" w:lineRule="auto"/>
        <w:ind w:left="100" w:right="197"/>
        <w:jc w:val="both"/>
        <w:rPr>
          <w:sz w:val="16"/>
        </w:rPr>
      </w:pPr>
      <w:r>
        <w:rPr>
          <w:sz w:val="16"/>
        </w:rPr>
        <w:t>CAA/NM Centro de Agricultura Alternativa do Norte de Minas. Alerta sobre a mineração no Norte de Minas, 26 jan. 2012. Disponível em:</w:t>
      </w:r>
    </w:p>
    <w:p w:rsidR="00D81F69" w:rsidRDefault="00D81F69">
      <w:pPr>
        <w:spacing w:before="2" w:line="312" w:lineRule="auto"/>
        <w:ind w:left="100" w:right="195"/>
        <w:jc w:val="both"/>
        <w:rPr>
          <w:sz w:val="16"/>
        </w:rPr>
      </w:pPr>
      <w:hyperlink r:id="rId1214">
        <w:r w:rsidR="00330118">
          <w:rPr>
            <w:sz w:val="16"/>
          </w:rPr>
          <w:t xml:space="preserve">&lt;http://www.caa.org.br/noticia.php?ID=47&gt;. </w:t>
        </w:r>
      </w:hyperlink>
      <w:r w:rsidR="00330118">
        <w:rPr>
          <w:sz w:val="16"/>
        </w:rPr>
        <w:t>Acesso em: 16 fev. 2012. DIÁRIO DO COMÉRCIO. Exploração e destruição no norte de Minas continua no papel. Cedefes, 06 abr. 2011. 2011a. Disponível em:</w:t>
      </w:r>
    </w:p>
    <w:p w:rsidR="00D81F69" w:rsidRDefault="00D81F69">
      <w:pPr>
        <w:spacing w:before="2" w:line="312" w:lineRule="auto"/>
        <w:ind w:left="100" w:right="217"/>
        <w:jc w:val="both"/>
        <w:rPr>
          <w:sz w:val="16"/>
        </w:rPr>
      </w:pPr>
      <w:hyperlink r:id="rId1215">
        <w:r w:rsidR="00330118">
          <w:rPr>
            <w:sz w:val="16"/>
          </w:rPr>
          <w:t>&lt;http://www.cedefes.org.br/index.php?p=politica_detalhe&amp;id_afro=511</w:t>
        </w:r>
      </w:hyperlink>
      <w:r w:rsidR="00330118">
        <w:rPr>
          <w:sz w:val="16"/>
        </w:rPr>
        <w:t xml:space="preserve"> 0&gt;. Acesso em: 22 dez. 2011.</w:t>
      </w:r>
    </w:p>
    <w:p w:rsidR="00D81F69" w:rsidRDefault="00330118">
      <w:pPr>
        <w:tabs>
          <w:tab w:val="left" w:pos="638"/>
        </w:tabs>
        <w:spacing w:before="2"/>
        <w:ind w:left="100"/>
        <w:jc w:val="both"/>
        <w:rPr>
          <w:sz w:val="16"/>
        </w:rPr>
      </w:pPr>
      <w:r>
        <w:rPr>
          <w:sz w:val="16"/>
          <w:u w:val="single"/>
        </w:rPr>
        <w:t xml:space="preserve"> </w:t>
      </w:r>
      <w:r>
        <w:rPr>
          <w:sz w:val="16"/>
          <w:u w:val="single"/>
        </w:rPr>
        <w:tab/>
      </w:r>
      <w:r>
        <w:rPr>
          <w:sz w:val="16"/>
        </w:rPr>
        <w:t>. Norte de Minas pode ter ramal da FCA, 11 abr. 2011.</w:t>
      </w:r>
      <w:r>
        <w:rPr>
          <w:spacing w:val="35"/>
          <w:sz w:val="16"/>
        </w:rPr>
        <w:t xml:space="preserve"> </w:t>
      </w:r>
      <w:r>
        <w:rPr>
          <w:sz w:val="16"/>
        </w:rPr>
        <w:t>2011b.</w:t>
      </w:r>
    </w:p>
    <w:p w:rsidR="00D81F69" w:rsidRDefault="00D81F69">
      <w:pPr>
        <w:jc w:val="both"/>
        <w:rPr>
          <w:sz w:val="16"/>
        </w:rPr>
        <w:sectPr w:rsidR="00D81F69">
          <w:pgSz w:w="11900" w:h="16840"/>
          <w:pgMar w:top="740" w:right="500" w:bottom="600" w:left="620" w:header="0" w:footer="402" w:gutter="0"/>
          <w:cols w:num="2" w:space="720" w:equalWidth="0">
            <w:col w:w="5162" w:space="308"/>
            <w:col w:w="5310"/>
          </w:cols>
        </w:sectPr>
      </w:pPr>
    </w:p>
    <w:p w:rsidR="00D81F69" w:rsidRDefault="00330118">
      <w:pPr>
        <w:spacing w:before="70" w:line="312" w:lineRule="auto"/>
        <w:ind w:left="100" w:right="76"/>
        <w:jc w:val="both"/>
        <w:rPr>
          <w:sz w:val="16"/>
        </w:rPr>
      </w:pPr>
      <w:r>
        <w:rPr>
          <w:sz w:val="16"/>
        </w:rPr>
        <w:lastRenderedPageBreak/>
        <w:t xml:space="preserve">Disponível em: </w:t>
      </w:r>
      <w:hyperlink r:id="rId1216">
        <w:r>
          <w:rPr>
            <w:sz w:val="16"/>
          </w:rPr>
          <w:t>&lt;http://memoria75b.blogspot.com/2011/04/norte-de-</w:t>
        </w:r>
      </w:hyperlink>
      <w:r>
        <w:rPr>
          <w:sz w:val="16"/>
        </w:rPr>
        <w:t xml:space="preserve"> minas-pode-ter-ramal-da-fca.html&gt;. Acesso em: 22 de dez 2011.</w:t>
      </w:r>
    </w:p>
    <w:p w:rsidR="00D81F69" w:rsidRDefault="00330118">
      <w:pPr>
        <w:spacing w:before="1" w:line="312" w:lineRule="auto"/>
        <w:ind w:left="100" w:right="38"/>
        <w:jc w:val="both"/>
        <w:rPr>
          <w:sz w:val="16"/>
        </w:rPr>
      </w:pPr>
      <w:r>
        <w:rPr>
          <w:sz w:val="16"/>
        </w:rPr>
        <w:t>FURBINO, Zulmira. Norte de Minas será nova fronteira da mineração. EM.com.br, 13</w:t>
      </w:r>
      <w:r>
        <w:rPr>
          <w:sz w:val="16"/>
        </w:rPr>
        <w:t xml:space="preserve"> out. 2011. 2011a. Disponível em: </w:t>
      </w:r>
    </w:p>
    <w:p w:rsidR="00D81F69" w:rsidRDefault="00D81F69">
      <w:pPr>
        <w:spacing w:before="2" w:line="312" w:lineRule="auto"/>
        <w:ind w:left="100" w:right="63"/>
        <w:jc w:val="both"/>
        <w:rPr>
          <w:sz w:val="16"/>
        </w:rPr>
      </w:pPr>
      <w:hyperlink r:id="rId1217">
        <w:r w:rsidR="00330118">
          <w:rPr>
            <w:sz w:val="16"/>
          </w:rPr>
          <w:t xml:space="preserve">&lt;http://www.em.com.br/app/noticia/especiais/riquezas-de- </w:t>
        </w:r>
      </w:hyperlink>
      <w:r w:rsidR="00330118">
        <w:rPr>
          <w:sz w:val="16"/>
        </w:rPr>
        <w:t>minas/noticia/2011/10/12/internas_riquezas_de_minas,255582/norte- de-minas-sera-nova-fronte</w:t>
      </w:r>
      <w:r w:rsidR="00330118">
        <w:rPr>
          <w:sz w:val="16"/>
        </w:rPr>
        <w:t>ira-da-mineracao.shtml&gt;. Acesso em: 22 dez. 2011.</w:t>
      </w:r>
    </w:p>
    <w:p w:rsidR="00D81F69" w:rsidRDefault="00330118">
      <w:pPr>
        <w:spacing w:before="3" w:line="312" w:lineRule="auto"/>
        <w:ind w:left="100" w:right="77"/>
        <w:jc w:val="both"/>
        <w:rPr>
          <w:sz w:val="16"/>
        </w:rPr>
      </w:pPr>
      <w:r>
        <w:rPr>
          <w:sz w:val="16"/>
        </w:rPr>
        <w:t>______. Riquezas de Minas. Desafio de Minas é a infraestrutura. A secretária Dorotéia Werneck diz por que Minas é mais do que minério de ferro e aponta os caminhos por onde passará o desenvolvimento do Estado. Estado de Minas. 16 nov. 2011. 2011b. Disponív</w:t>
      </w:r>
      <w:r>
        <w:rPr>
          <w:sz w:val="16"/>
        </w:rPr>
        <w:t>el em:</w:t>
      </w:r>
    </w:p>
    <w:p w:rsidR="00D81F69" w:rsidRDefault="00D81F69">
      <w:pPr>
        <w:spacing w:before="3"/>
        <w:ind w:left="100"/>
        <w:jc w:val="both"/>
        <w:rPr>
          <w:sz w:val="16"/>
        </w:rPr>
      </w:pPr>
      <w:hyperlink r:id="rId1218">
        <w:r w:rsidR="00330118">
          <w:rPr>
            <w:sz w:val="16"/>
          </w:rPr>
          <w:t>&lt;http://www.em.com.br/app/noticia/especiais/riquezas-de-minas</w:t>
        </w:r>
      </w:hyperlink>
    </w:p>
    <w:p w:rsidR="00D81F69" w:rsidRDefault="00330118">
      <w:pPr>
        <w:spacing w:before="70" w:line="312" w:lineRule="auto"/>
        <w:ind w:left="100" w:right="215"/>
        <w:jc w:val="both"/>
        <w:rPr>
          <w:sz w:val="16"/>
        </w:rPr>
      </w:pPr>
      <w:r>
        <w:br w:type="column"/>
      </w:r>
      <w:r>
        <w:rPr>
          <w:sz w:val="16"/>
        </w:rPr>
        <w:lastRenderedPageBreak/>
        <w:t>/noticia/2011/11/16/internas_riquezas_de_minas,262293/desafio-de- minas-e-a-infraestrutura.shtml&gt;. Acesso em</w:t>
      </w:r>
      <w:r>
        <w:rPr>
          <w:sz w:val="16"/>
        </w:rPr>
        <w:t>: 22 dez. 2011.</w:t>
      </w:r>
    </w:p>
    <w:p w:rsidR="00D81F69" w:rsidRDefault="00330118">
      <w:pPr>
        <w:spacing w:before="1"/>
        <w:ind w:left="100"/>
        <w:rPr>
          <w:sz w:val="16"/>
        </w:rPr>
      </w:pPr>
      <w:r>
        <w:rPr>
          <w:sz w:val="16"/>
        </w:rPr>
        <w:t>SEDE.MG, SECRETARIA DE  ESTADO DE   DESENVOLVIMENTO</w:t>
      </w:r>
    </w:p>
    <w:p w:rsidR="00D81F69" w:rsidRDefault="00330118">
      <w:pPr>
        <w:spacing w:before="56" w:line="312" w:lineRule="auto"/>
        <w:ind w:left="100" w:right="189"/>
        <w:jc w:val="both"/>
        <w:rPr>
          <w:sz w:val="16"/>
        </w:rPr>
      </w:pPr>
      <w:r>
        <w:rPr>
          <w:sz w:val="16"/>
        </w:rPr>
        <w:t>ECONÔMICO DE MINAS GERAIS. Norte de Minas recebe novo projeto  de  mineração  da  Vale,  02  jun.  2011. Disponível em:</w:t>
      </w:r>
    </w:p>
    <w:p w:rsidR="00D81F69" w:rsidRDefault="00330118">
      <w:pPr>
        <w:spacing w:before="2" w:line="312" w:lineRule="auto"/>
        <w:ind w:left="100" w:right="215"/>
        <w:jc w:val="both"/>
        <w:rPr>
          <w:sz w:val="16"/>
        </w:rPr>
      </w:pPr>
      <w:r>
        <w:rPr>
          <w:sz w:val="16"/>
        </w:rPr>
        <w:t>&lt;http://www.829-norte-de-minas-recebe-novo-projeto-de-mineracao- da-</w:t>
      </w:r>
      <w:r>
        <w:rPr>
          <w:sz w:val="16"/>
        </w:rPr>
        <w:t>vale&gt;. Acesso em: 22 dez. 2011.</w:t>
      </w:r>
    </w:p>
    <w:p w:rsidR="00D81F69" w:rsidRDefault="00330118">
      <w:pPr>
        <w:spacing w:before="2" w:line="312" w:lineRule="auto"/>
        <w:ind w:left="100" w:right="195"/>
        <w:jc w:val="both"/>
        <w:rPr>
          <w:sz w:val="16"/>
        </w:rPr>
      </w:pPr>
      <w:r>
        <w:rPr>
          <w:sz w:val="16"/>
        </w:rPr>
        <w:t xml:space="preserve">SOUTO, Adriano. Governo do Estado e Vale firmam protocolo sobre mineração no Norte de Minas. Hoje em Dia, 03 jun. 2011. Disponível em: </w:t>
      </w:r>
      <w:hyperlink r:id="rId1219">
        <w:r>
          <w:rPr>
            <w:sz w:val="16"/>
          </w:rPr>
          <w:t>&lt;http://www.hojeemdia.com</w:t>
        </w:r>
        <w:r>
          <w:rPr>
            <w:sz w:val="16"/>
          </w:rPr>
          <w:t xml:space="preserve">.br/colunas-artigos-e- </w:t>
        </w:r>
      </w:hyperlink>
      <w:r>
        <w:rPr>
          <w:sz w:val="16"/>
        </w:rPr>
        <w:t>blogs/blogs/blog-do-norte-de-minas-1.33137/governo-do-estado-e- vale-firmam-protocolo-sobre-minerac-o-no-norte-de-minas-1.289610&gt;. Acesso em: 22 dez. 2011.</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72" w:space="298"/>
            <w:col w:w="5310"/>
          </w:cols>
        </w:sectPr>
      </w:pPr>
    </w:p>
    <w:p w:rsidR="00D81F69" w:rsidRDefault="00330118">
      <w:pPr>
        <w:pStyle w:val="Heading1"/>
        <w:spacing w:line="208" w:lineRule="auto"/>
      </w:pPr>
      <w:r>
        <w:rPr>
          <w:spacing w:val="10"/>
        </w:rPr>
        <w:lastRenderedPageBreak/>
        <w:t xml:space="preserve">População </w:t>
      </w:r>
      <w:r>
        <w:rPr>
          <w:spacing w:val="5"/>
        </w:rPr>
        <w:t xml:space="preserve">se </w:t>
      </w:r>
      <w:r>
        <w:rPr>
          <w:spacing w:val="10"/>
        </w:rPr>
        <w:t xml:space="preserve">mobiliza contra efeitos negativos </w:t>
      </w:r>
      <w:r>
        <w:rPr>
          <w:spacing w:val="11"/>
        </w:rPr>
        <w:t>d</w:t>
      </w:r>
      <w:r>
        <w:rPr>
          <w:spacing w:val="11"/>
        </w:rPr>
        <w:t>a</w:t>
      </w:r>
      <w:r>
        <w:rPr>
          <w:spacing w:val="135"/>
        </w:rPr>
        <w:t xml:space="preserve"> </w:t>
      </w:r>
      <w:r>
        <w:rPr>
          <w:spacing w:val="10"/>
        </w:rPr>
        <w:t xml:space="preserve">exploração </w:t>
      </w:r>
      <w:r>
        <w:rPr>
          <w:spacing w:val="5"/>
        </w:rPr>
        <w:t xml:space="preserve">de </w:t>
      </w:r>
      <w:r>
        <w:rPr>
          <w:spacing w:val="8"/>
        </w:rPr>
        <w:t xml:space="preserve">ferro </w:t>
      </w:r>
      <w:r>
        <w:t xml:space="preserve">e </w:t>
      </w:r>
      <w:r>
        <w:rPr>
          <w:spacing w:val="10"/>
        </w:rPr>
        <w:t xml:space="preserve">bauxita </w:t>
      </w:r>
      <w:r>
        <w:rPr>
          <w:spacing w:val="5"/>
        </w:rPr>
        <w:t xml:space="preserve">em </w:t>
      </w:r>
      <w:r>
        <w:rPr>
          <w:spacing w:val="8"/>
        </w:rPr>
        <w:t>Ouro Preto</w:t>
      </w:r>
      <w:r>
        <w:rPr>
          <w:spacing w:val="7"/>
        </w:rPr>
        <w:t xml:space="preserve"> </w:t>
      </w:r>
      <w:r>
        <w:rPr>
          <w:spacing w:val="11"/>
        </w:rPr>
        <w:t>(MG)</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MG - Ouro Preto</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-20,22611</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-43,648333</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6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Depois de séculos de exploração </w:t>
      </w:r>
      <w:r>
        <w:rPr>
          <w:i/>
          <w:sz w:val="16"/>
        </w:rPr>
        <w:t>mineral do ouro, Ouro Preto convive com os efeitos da exploração de outros minérios, como a bauxita e o minério de ferro. Essas práticas têm acarretado impactos socioambientais ao município e levado os trabalhadores e a população local a se manifestarem em</w:t>
      </w:r>
      <w:r>
        <w:rPr>
          <w:i/>
          <w:sz w:val="16"/>
        </w:rPr>
        <w:t xml:space="preserve"> defesa de seus interesses.</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6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10"/>
      </w:pPr>
      <w:r>
        <w:t xml:space="preserve">com detalhamento do meio físico, biótico e socioeconômico </w:t>
      </w:r>
      <w:r>
        <w:rPr>
          <w:spacing w:val="1"/>
        </w:rPr>
        <w:t xml:space="preserve">do </w:t>
      </w:r>
      <w:r>
        <w:rPr>
          <w:spacing w:val="3"/>
        </w:rPr>
        <w:t xml:space="preserve">local </w:t>
      </w:r>
      <w:r>
        <w:rPr>
          <w:spacing w:val="1"/>
        </w:rPr>
        <w:t xml:space="preserve">do </w:t>
      </w:r>
      <w:r>
        <w:rPr>
          <w:spacing w:val="3"/>
        </w:rPr>
        <w:t xml:space="preserve">empreendimento </w:t>
      </w:r>
      <w:r>
        <w:t xml:space="preserve">e </w:t>
      </w:r>
      <w:r>
        <w:rPr>
          <w:spacing w:val="1"/>
        </w:rPr>
        <w:t xml:space="preserve">da </w:t>
      </w:r>
      <w:r>
        <w:rPr>
          <w:spacing w:val="2"/>
        </w:rPr>
        <w:t xml:space="preserve">área que será </w:t>
      </w:r>
      <w:r>
        <w:rPr>
          <w:spacing w:val="5"/>
        </w:rPr>
        <w:t xml:space="preserve">afetada </w:t>
      </w:r>
      <w:r>
        <w:t>diretamente. Os impactos apontados são alteração do relevo e da paisagem; instabilidade de taludes; erosão; alte</w:t>
      </w:r>
      <w:r>
        <w:t xml:space="preserve">ração da </w:t>
      </w:r>
      <w:r>
        <w:rPr>
          <w:spacing w:val="5"/>
        </w:rPr>
        <w:t xml:space="preserve">qualidade </w:t>
      </w:r>
      <w:r>
        <w:rPr>
          <w:spacing w:val="2"/>
        </w:rPr>
        <w:t xml:space="preserve">da </w:t>
      </w:r>
      <w:r>
        <w:rPr>
          <w:spacing w:val="3"/>
        </w:rPr>
        <w:t xml:space="preserve">água </w:t>
      </w:r>
      <w:r>
        <w:t xml:space="preserve">e </w:t>
      </w:r>
      <w:r>
        <w:rPr>
          <w:spacing w:val="2"/>
        </w:rPr>
        <w:t xml:space="preserve">do ar </w:t>
      </w:r>
      <w:r>
        <w:t xml:space="preserve">e </w:t>
      </w:r>
      <w:r>
        <w:rPr>
          <w:spacing w:val="5"/>
        </w:rPr>
        <w:t xml:space="preserve">contaminação </w:t>
      </w:r>
      <w:r>
        <w:rPr>
          <w:spacing w:val="3"/>
        </w:rPr>
        <w:t xml:space="preserve">por </w:t>
      </w:r>
      <w:r>
        <w:rPr>
          <w:spacing w:val="5"/>
        </w:rPr>
        <w:t>resíduos sólidos (DEFATO ONLINE,</w:t>
      </w:r>
      <w:r>
        <w:rPr>
          <w:spacing w:val="-25"/>
        </w:rPr>
        <w:t xml:space="preserve"> </w:t>
      </w:r>
      <w:r>
        <w:rPr>
          <w:spacing w:val="5"/>
        </w:rPr>
        <w:t>2011).</w:t>
      </w:r>
    </w:p>
    <w:p w:rsidR="00D81F69" w:rsidRDefault="00330118">
      <w:pPr>
        <w:pStyle w:val="Corpodetexto"/>
        <w:spacing w:before="72" w:line="270" w:lineRule="atLeast"/>
        <w:ind w:left="135" w:right="206"/>
      </w:pPr>
      <w:r>
        <w:t>A mitigação apontou a necessidade de revegetação de taludes, implantação de sistema de drenagem, reabilitação de áreas degradadas, tratamento de esgoto, aspersão de água nas estradas, manutenção de veículos e controle das atividades industriais e de ruídos</w:t>
      </w:r>
      <w:r>
        <w:t>. Também foi destacada a</w:t>
      </w:r>
    </w:p>
    <w:p w:rsidR="00D81F69" w:rsidRDefault="00D81F69">
      <w:pPr>
        <w:spacing w:line="270" w:lineRule="atLeast"/>
        <w:sectPr w:rsidR="00D81F69">
          <w:type w:val="continuous"/>
          <w:pgSz w:w="11900" w:h="16840"/>
          <w:pgMar w:top="720" w:right="500" w:bottom="280" w:left="620" w:header="720" w:footer="720" w:gutter="0"/>
          <w:cols w:num="3" w:space="720" w:equalWidth="0">
            <w:col w:w="1210" w:space="790"/>
            <w:col w:w="3110" w:space="325"/>
            <w:col w:w="5345"/>
          </w:cols>
        </w:sectPr>
      </w:pPr>
    </w:p>
    <w:p w:rsidR="00D81F69" w:rsidRDefault="00330118">
      <w:pPr>
        <w:pStyle w:val="Heading4"/>
        <w:spacing w:line="183" w:lineRule="exact"/>
        <w:jc w:val="left"/>
      </w:pPr>
      <w:r>
        <w:lastRenderedPageBreak/>
        <w:t>APRESENTAÇÃO DE CASO</w:t>
      </w:r>
    </w:p>
    <w:p w:rsidR="00D81F69" w:rsidRDefault="00330118">
      <w:pPr>
        <w:pStyle w:val="Corpodetexto"/>
        <w:spacing w:before="170" w:line="312" w:lineRule="auto"/>
        <w:ind w:right="128"/>
        <w:jc w:val="left"/>
      </w:pPr>
      <w:r>
        <w:t xml:space="preserve">Considerada Patrimônio Universal da Humanidade, a cidade mineira de Ouro Preto - 1.245,86 km² e 70.281 habitantes - </w:t>
      </w:r>
      <w:r>
        <w:rPr>
          <w:spacing w:val="5"/>
        </w:rPr>
        <w:t xml:space="preserve">está localizada </w:t>
      </w:r>
      <w:r>
        <w:rPr>
          <w:spacing w:val="2"/>
        </w:rPr>
        <w:t xml:space="preserve">no </w:t>
      </w:r>
      <w:r>
        <w:rPr>
          <w:spacing w:val="5"/>
        </w:rPr>
        <w:t xml:space="preserve">Quadrilátero Ferrífero. </w:t>
      </w:r>
      <w:r>
        <w:t xml:space="preserve">A </w:t>
      </w:r>
      <w:r>
        <w:rPr>
          <w:spacing w:val="6"/>
        </w:rPr>
        <w:t xml:space="preserve">exploração </w:t>
      </w:r>
      <w:r>
        <w:t>minera</w:t>
      </w:r>
      <w:r>
        <w:t xml:space="preserve">l de ouro no local teve início no final do século XVII e  só entrou em decadência no começo do século XIX, quando teve início a exploração de outras fontes de riqueza </w:t>
      </w:r>
      <w:r>
        <w:rPr>
          <w:spacing w:val="1"/>
        </w:rPr>
        <w:t xml:space="preserve">(IBGE, </w:t>
      </w:r>
      <w:r>
        <w:t>2010),</w:t>
      </w:r>
      <w:r>
        <w:rPr>
          <w:spacing w:val="23"/>
        </w:rPr>
        <w:t xml:space="preserve"> </w:t>
      </w:r>
      <w:r>
        <w:t>como,</w:t>
      </w:r>
      <w:r>
        <w:rPr>
          <w:spacing w:val="23"/>
        </w:rPr>
        <w:t xml:space="preserve"> </w:t>
      </w:r>
      <w:r>
        <w:t>por</w:t>
      </w:r>
      <w:r>
        <w:rPr>
          <w:spacing w:val="23"/>
        </w:rPr>
        <w:t xml:space="preserve"> </w:t>
      </w:r>
      <w:r>
        <w:t>exemplo,</w:t>
      </w:r>
      <w:r>
        <w:rPr>
          <w:spacing w:val="23"/>
        </w:rPr>
        <w:t xml:space="preserve"> </w:t>
      </w:r>
      <w:r>
        <w:t>o</w:t>
      </w:r>
      <w:r>
        <w:rPr>
          <w:spacing w:val="23"/>
        </w:rPr>
        <w:t xml:space="preserve"> </w:t>
      </w:r>
      <w:r>
        <w:t>minério</w:t>
      </w:r>
      <w:r>
        <w:rPr>
          <w:spacing w:val="23"/>
        </w:rPr>
        <w:t xml:space="preserve"> </w:t>
      </w:r>
      <w:r>
        <w:t>de</w:t>
      </w:r>
      <w:r>
        <w:rPr>
          <w:spacing w:val="23"/>
        </w:rPr>
        <w:t xml:space="preserve"> </w:t>
      </w:r>
      <w:hyperlink r:id="rId1220">
        <w:r>
          <w:t>ferro</w:t>
        </w:r>
        <w:r>
          <w:rPr>
            <w:spacing w:val="23"/>
          </w:rPr>
          <w:t xml:space="preserve"> </w:t>
        </w:r>
      </w:hyperlink>
      <w:r>
        <w:t>e</w:t>
      </w:r>
      <w:r>
        <w:rPr>
          <w:spacing w:val="23"/>
        </w:rPr>
        <w:t xml:space="preserve"> </w:t>
      </w:r>
      <w:r>
        <w:t>a</w:t>
      </w:r>
      <w:r>
        <w:rPr>
          <w:spacing w:val="23"/>
        </w:rPr>
        <w:t xml:space="preserve"> </w:t>
      </w:r>
      <w:r>
        <w:t>bauxita.</w:t>
      </w:r>
    </w:p>
    <w:p w:rsidR="00D81F69" w:rsidRDefault="00330118">
      <w:pPr>
        <w:pStyle w:val="Corpodetexto"/>
        <w:spacing w:before="136" w:line="312" w:lineRule="auto"/>
        <w:ind w:right="75"/>
      </w:pPr>
      <w:r>
        <w:t xml:space="preserve">O minério de ferro é explorado em Ouro Preto pela </w:t>
      </w:r>
      <w:r>
        <w:rPr>
          <w:spacing w:val="1"/>
        </w:rPr>
        <w:t xml:space="preserve">Gerdau </w:t>
      </w:r>
      <w:r>
        <w:t xml:space="preserve">Açominas, que adquiriu, em 2004, a mina de Miguel Burnier. O </w:t>
      </w:r>
      <w:r>
        <w:rPr>
          <w:spacing w:val="1"/>
        </w:rPr>
        <w:t xml:space="preserve">crescimento </w:t>
      </w:r>
      <w:r>
        <w:t xml:space="preserve">das </w:t>
      </w:r>
      <w:r>
        <w:rPr>
          <w:spacing w:val="1"/>
        </w:rPr>
        <w:t xml:space="preserve">exportações </w:t>
      </w:r>
      <w:r>
        <w:t xml:space="preserve">de </w:t>
      </w:r>
      <w:r>
        <w:t xml:space="preserve">aço da </w:t>
      </w:r>
      <w:r>
        <w:rPr>
          <w:spacing w:val="1"/>
        </w:rPr>
        <w:t xml:space="preserve">empresa </w:t>
      </w:r>
      <w:r>
        <w:rPr>
          <w:spacing w:val="2"/>
        </w:rPr>
        <w:t xml:space="preserve">exigiu </w:t>
      </w:r>
      <w:r>
        <w:t xml:space="preserve">maior demanda na extração do minério. Assim, foi solicitada, aos órgãos ambientais, a licença para ampliar a exploração  na </w:t>
      </w:r>
      <w:r>
        <w:rPr>
          <w:spacing w:val="1"/>
        </w:rPr>
        <w:t xml:space="preserve">lavra (DCI, 2009). </w:t>
      </w:r>
      <w:r>
        <w:t xml:space="preserve">A </w:t>
      </w:r>
      <w:r>
        <w:rPr>
          <w:spacing w:val="1"/>
        </w:rPr>
        <w:t xml:space="preserve">área </w:t>
      </w:r>
      <w:r>
        <w:t xml:space="preserve">a ser </w:t>
      </w:r>
      <w:r>
        <w:rPr>
          <w:spacing w:val="1"/>
        </w:rPr>
        <w:t xml:space="preserve">ampliada </w:t>
      </w:r>
      <w:r>
        <w:t xml:space="preserve">é </w:t>
      </w:r>
      <w:r>
        <w:rPr>
          <w:spacing w:val="2"/>
        </w:rPr>
        <w:t xml:space="preserve">considerada </w:t>
      </w:r>
      <w:r>
        <w:rPr>
          <w:spacing w:val="3"/>
        </w:rPr>
        <w:t xml:space="preserve">estratégica, </w:t>
      </w:r>
      <w:r>
        <w:rPr>
          <w:spacing w:val="2"/>
        </w:rPr>
        <w:t xml:space="preserve">pois está </w:t>
      </w:r>
      <w:r>
        <w:rPr>
          <w:spacing w:val="3"/>
        </w:rPr>
        <w:t xml:space="preserve">localizada </w:t>
      </w:r>
      <w:r>
        <w:t xml:space="preserve">a </w:t>
      </w:r>
      <w:r>
        <w:rPr>
          <w:spacing w:val="3"/>
        </w:rPr>
        <w:t xml:space="preserve">apenas </w:t>
      </w:r>
      <w:r>
        <w:t xml:space="preserve">9 </w:t>
      </w:r>
      <w:r>
        <w:rPr>
          <w:spacing w:val="1"/>
        </w:rPr>
        <w:t xml:space="preserve">km da </w:t>
      </w:r>
      <w:r>
        <w:rPr>
          <w:spacing w:val="5"/>
        </w:rPr>
        <w:t>Usin</w:t>
      </w:r>
      <w:r>
        <w:rPr>
          <w:spacing w:val="5"/>
        </w:rPr>
        <w:t xml:space="preserve">a </w:t>
      </w:r>
      <w:r>
        <w:rPr>
          <w:spacing w:val="1"/>
        </w:rPr>
        <w:t xml:space="preserve">Arthur Bernardes, </w:t>
      </w:r>
      <w:r>
        <w:t xml:space="preserve">em </w:t>
      </w:r>
      <w:r>
        <w:rPr>
          <w:spacing w:val="1"/>
        </w:rPr>
        <w:t xml:space="preserve">Ouro Branco, onde </w:t>
      </w:r>
      <w:r>
        <w:t xml:space="preserve">são </w:t>
      </w:r>
      <w:r>
        <w:rPr>
          <w:spacing w:val="1"/>
        </w:rPr>
        <w:t xml:space="preserve">realizados </w:t>
      </w:r>
      <w:r>
        <w:t>o beneficiamento e a transformação do minério de ferro em aço (DEFATO ONLINE,</w:t>
      </w:r>
      <w:r>
        <w:rPr>
          <w:spacing w:val="5"/>
        </w:rPr>
        <w:t xml:space="preserve"> </w:t>
      </w:r>
      <w:r>
        <w:t>2011).</w:t>
      </w:r>
    </w:p>
    <w:p w:rsidR="00D81F69" w:rsidRDefault="00330118">
      <w:pPr>
        <w:pStyle w:val="Corpodetexto"/>
        <w:spacing w:before="140" w:line="312" w:lineRule="auto"/>
        <w:ind w:right="87"/>
      </w:pPr>
      <w:r>
        <w:t xml:space="preserve">A expansão da mina faz parte do plano de investimentos de R$ 530 milhões na área de mineração, em Minas Gerais, e </w:t>
      </w:r>
      <w:r>
        <w:rPr>
          <w:spacing w:val="8"/>
        </w:rPr>
        <w:t>p</w:t>
      </w:r>
      <w:r>
        <w:rPr>
          <w:spacing w:val="8"/>
        </w:rPr>
        <w:t xml:space="preserve">ossibilitará, </w:t>
      </w:r>
      <w:r>
        <w:rPr>
          <w:spacing w:val="5"/>
        </w:rPr>
        <w:t xml:space="preserve">já em </w:t>
      </w:r>
      <w:r>
        <w:rPr>
          <w:spacing w:val="7"/>
        </w:rPr>
        <w:t xml:space="preserve">2012, </w:t>
      </w:r>
      <w:r>
        <w:t xml:space="preserve">o </w:t>
      </w:r>
      <w:r>
        <w:rPr>
          <w:spacing w:val="8"/>
        </w:rPr>
        <w:t xml:space="preserve">atendimento </w:t>
      </w:r>
      <w:r>
        <w:rPr>
          <w:spacing w:val="5"/>
        </w:rPr>
        <w:t xml:space="preserve">de </w:t>
      </w:r>
      <w:r>
        <w:rPr>
          <w:spacing w:val="6"/>
        </w:rPr>
        <w:t xml:space="preserve">100% </w:t>
      </w:r>
      <w:r>
        <w:rPr>
          <w:spacing w:val="10"/>
        </w:rPr>
        <w:t xml:space="preserve">da </w:t>
      </w:r>
      <w:r>
        <w:rPr>
          <w:spacing w:val="5"/>
        </w:rPr>
        <w:t xml:space="preserve">necessidade </w:t>
      </w:r>
      <w:r>
        <w:rPr>
          <w:spacing w:val="2"/>
        </w:rPr>
        <w:t xml:space="preserve">de </w:t>
      </w:r>
      <w:r>
        <w:rPr>
          <w:spacing w:val="5"/>
        </w:rPr>
        <w:t xml:space="preserve">consumo </w:t>
      </w:r>
      <w:r>
        <w:rPr>
          <w:spacing w:val="2"/>
        </w:rPr>
        <w:t xml:space="preserve">da </w:t>
      </w:r>
      <w:r>
        <w:rPr>
          <w:spacing w:val="3"/>
        </w:rPr>
        <w:t xml:space="preserve">usina </w:t>
      </w:r>
      <w:r>
        <w:rPr>
          <w:spacing w:val="5"/>
        </w:rPr>
        <w:t xml:space="preserve">integrada </w:t>
      </w:r>
      <w:r>
        <w:rPr>
          <w:spacing w:val="2"/>
        </w:rPr>
        <w:t xml:space="preserve">da </w:t>
      </w:r>
      <w:r>
        <w:rPr>
          <w:spacing w:val="5"/>
        </w:rPr>
        <w:t xml:space="preserve">Gerdau Açominas </w:t>
      </w:r>
      <w:r>
        <w:rPr>
          <w:spacing w:val="2"/>
        </w:rPr>
        <w:t xml:space="preserve">em </w:t>
      </w:r>
      <w:r>
        <w:rPr>
          <w:spacing w:val="5"/>
        </w:rPr>
        <w:t xml:space="preserve">Ouro Branco. </w:t>
      </w:r>
      <w:r>
        <w:t xml:space="preserve">A </w:t>
      </w:r>
      <w:r>
        <w:rPr>
          <w:spacing w:val="5"/>
        </w:rPr>
        <w:t xml:space="preserve">empresa informou </w:t>
      </w:r>
      <w:r>
        <w:rPr>
          <w:spacing w:val="3"/>
        </w:rPr>
        <w:t xml:space="preserve">que </w:t>
      </w:r>
      <w:r>
        <w:t xml:space="preserve">a </w:t>
      </w:r>
      <w:r>
        <w:rPr>
          <w:spacing w:val="5"/>
        </w:rPr>
        <w:t xml:space="preserve">expansão envolve </w:t>
      </w:r>
      <w:r>
        <w:t xml:space="preserve">a </w:t>
      </w:r>
      <w:r>
        <w:rPr>
          <w:spacing w:val="5"/>
        </w:rPr>
        <w:t xml:space="preserve">instalação </w:t>
      </w:r>
      <w:r>
        <w:rPr>
          <w:spacing w:val="2"/>
        </w:rPr>
        <w:t xml:space="preserve">da </w:t>
      </w:r>
      <w:r>
        <w:rPr>
          <w:spacing w:val="5"/>
        </w:rPr>
        <w:t xml:space="preserve">segunda unidade </w:t>
      </w:r>
      <w:r>
        <w:rPr>
          <w:spacing w:val="6"/>
        </w:rPr>
        <w:t xml:space="preserve">de </w:t>
      </w:r>
      <w:r>
        <w:t>tratamento de minério de ferro, com capacidade para</w:t>
      </w:r>
      <w:r>
        <w:t xml:space="preserve"> produzir 6 milhões de toneladas de minério por ano, e uma estrutura logística para o transporte do insumo das minas até a usina </w:t>
      </w:r>
      <w:r>
        <w:rPr>
          <w:spacing w:val="2"/>
        </w:rPr>
        <w:t xml:space="preserve">de </w:t>
      </w:r>
      <w:r>
        <w:rPr>
          <w:spacing w:val="3"/>
        </w:rPr>
        <w:t xml:space="preserve">Ouro </w:t>
      </w:r>
      <w:r>
        <w:rPr>
          <w:spacing w:val="5"/>
        </w:rPr>
        <w:t xml:space="preserve">Branco (FRANCIA, 2011). </w:t>
      </w:r>
      <w:r>
        <w:t xml:space="preserve">O </w:t>
      </w:r>
      <w:r>
        <w:rPr>
          <w:spacing w:val="5"/>
        </w:rPr>
        <w:t xml:space="preserve">empreendimento </w:t>
      </w:r>
      <w:r>
        <w:t xml:space="preserve">é considerado de classe seis, o que significa que tem </w:t>
      </w:r>
      <w:r>
        <w:rPr>
          <w:spacing w:val="1"/>
        </w:rPr>
        <w:t xml:space="preserve">grande </w:t>
      </w:r>
      <w:r>
        <w:t>porte</w:t>
      </w:r>
      <w:r>
        <w:rPr>
          <w:spacing w:val="17"/>
        </w:rPr>
        <w:t xml:space="preserve"> </w:t>
      </w:r>
      <w:r>
        <w:t>e</w:t>
      </w:r>
      <w:r>
        <w:rPr>
          <w:spacing w:val="17"/>
        </w:rPr>
        <w:t xml:space="preserve"> </w:t>
      </w:r>
      <w:r>
        <w:t>alto</w:t>
      </w:r>
      <w:r>
        <w:rPr>
          <w:spacing w:val="17"/>
        </w:rPr>
        <w:t xml:space="preserve"> </w:t>
      </w:r>
      <w:r>
        <w:t>poder</w:t>
      </w:r>
      <w:r>
        <w:rPr>
          <w:spacing w:val="17"/>
        </w:rPr>
        <w:t xml:space="preserve"> </w:t>
      </w:r>
      <w:r>
        <w:t>poluidor</w:t>
      </w:r>
      <w:r>
        <w:rPr>
          <w:spacing w:val="17"/>
        </w:rPr>
        <w:t xml:space="preserve"> </w:t>
      </w:r>
      <w:r>
        <w:t>(MPT-MG,</w:t>
      </w:r>
      <w:r>
        <w:rPr>
          <w:spacing w:val="17"/>
        </w:rPr>
        <w:t xml:space="preserve"> </w:t>
      </w:r>
      <w:r>
        <w:rPr>
          <w:spacing w:val="1"/>
        </w:rPr>
        <w:t>2011).</w:t>
      </w:r>
    </w:p>
    <w:p w:rsidR="00D81F69" w:rsidRDefault="00330118">
      <w:pPr>
        <w:pStyle w:val="Corpodetexto"/>
        <w:spacing w:before="141" w:line="312" w:lineRule="auto"/>
        <w:ind w:right="88"/>
      </w:pPr>
      <w:r>
        <w:t>O distrito de Miguel Burnier tem 779 habitantes e uma infraestrutura precária. Não conta com sistema de água e esgoto e dispõe de apenas uma escola e um posto de saúde (MPT-MG, 2011).</w:t>
      </w:r>
    </w:p>
    <w:p w:rsidR="00D81F69" w:rsidRDefault="00330118">
      <w:pPr>
        <w:pStyle w:val="Corpodetexto"/>
        <w:spacing w:before="133" w:line="312" w:lineRule="auto"/>
        <w:ind w:right="72"/>
      </w:pPr>
      <w:r>
        <w:rPr>
          <w:spacing w:val="16"/>
        </w:rPr>
        <w:t xml:space="preserve">Como </w:t>
      </w:r>
      <w:r>
        <w:rPr>
          <w:spacing w:val="17"/>
        </w:rPr>
        <w:t xml:space="preserve">parte </w:t>
      </w:r>
      <w:r>
        <w:rPr>
          <w:spacing w:val="10"/>
        </w:rPr>
        <w:t>do</w:t>
      </w:r>
      <w:r>
        <w:rPr>
          <w:spacing w:val="71"/>
        </w:rPr>
        <w:t xml:space="preserve"> </w:t>
      </w:r>
      <w:r>
        <w:rPr>
          <w:spacing w:val="20"/>
        </w:rPr>
        <w:t xml:space="preserve">processo </w:t>
      </w:r>
      <w:r>
        <w:rPr>
          <w:spacing w:val="10"/>
        </w:rPr>
        <w:t>de</w:t>
      </w:r>
      <w:r>
        <w:rPr>
          <w:spacing w:val="71"/>
        </w:rPr>
        <w:t xml:space="preserve"> </w:t>
      </w:r>
      <w:r>
        <w:rPr>
          <w:spacing w:val="20"/>
        </w:rPr>
        <w:t xml:space="preserve">licenciamento </w:t>
      </w:r>
      <w:r>
        <w:rPr>
          <w:spacing w:val="10"/>
        </w:rPr>
        <w:t>d</w:t>
      </w:r>
      <w:r>
        <w:rPr>
          <w:spacing w:val="10"/>
        </w:rPr>
        <w:t xml:space="preserve">o </w:t>
      </w:r>
      <w:r>
        <w:t xml:space="preserve">empreendimento, a empresa apresentou Estudo de Impacto </w:t>
      </w:r>
      <w:r>
        <w:rPr>
          <w:spacing w:val="3"/>
        </w:rPr>
        <w:t>Ambiental</w:t>
      </w:r>
      <w:r>
        <w:rPr>
          <w:spacing w:val="2"/>
        </w:rPr>
        <w:t xml:space="preserve"> </w:t>
      </w:r>
      <w:r>
        <w:rPr>
          <w:spacing w:val="3"/>
        </w:rPr>
        <w:t>(EIA)</w:t>
      </w:r>
      <w:r>
        <w:rPr>
          <w:spacing w:val="2"/>
        </w:rPr>
        <w:t xml:space="preserve"> </w:t>
      </w:r>
      <w:r>
        <w:t xml:space="preserve">e </w:t>
      </w:r>
      <w:r>
        <w:rPr>
          <w:spacing w:val="3"/>
        </w:rPr>
        <w:t>Relatório</w:t>
      </w:r>
      <w:r>
        <w:rPr>
          <w:spacing w:val="2"/>
        </w:rPr>
        <w:t xml:space="preserve"> </w:t>
      </w:r>
      <w:r>
        <w:rPr>
          <w:spacing w:val="1"/>
        </w:rPr>
        <w:t>de</w:t>
      </w:r>
      <w:r>
        <w:t xml:space="preserve"> </w:t>
      </w:r>
      <w:r>
        <w:rPr>
          <w:spacing w:val="3"/>
        </w:rPr>
        <w:t>Impacto</w:t>
      </w:r>
      <w:r>
        <w:rPr>
          <w:spacing w:val="2"/>
        </w:rPr>
        <w:t xml:space="preserve"> </w:t>
      </w:r>
      <w:r>
        <w:rPr>
          <w:spacing w:val="3"/>
        </w:rPr>
        <w:t>Ambiental</w:t>
      </w:r>
      <w:r>
        <w:rPr>
          <w:spacing w:val="2"/>
        </w:rPr>
        <w:t xml:space="preserve"> </w:t>
      </w:r>
      <w:r>
        <w:rPr>
          <w:spacing w:val="5"/>
        </w:rPr>
        <w:t>(RIMA),</w:t>
      </w:r>
    </w:p>
    <w:p w:rsidR="00D81F69" w:rsidRDefault="00330118">
      <w:pPr>
        <w:pStyle w:val="Corpodetexto"/>
        <w:spacing w:before="63" w:line="312" w:lineRule="auto"/>
        <w:ind w:right="196"/>
      </w:pPr>
      <w:r>
        <w:br w:type="column"/>
      </w:r>
      <w:r>
        <w:lastRenderedPageBreak/>
        <w:t>necessidade de programas ambientais compensatórios como o controle e monitoramento de efluentes, o gerenciamento de resíduos, o controle de e</w:t>
      </w:r>
      <w:r>
        <w:t>missões atmosféricas e de ruídos, e  a racionalização da qualidade do produto (DEFATO ONLINE, 2011).</w:t>
      </w:r>
    </w:p>
    <w:p w:rsidR="00D81F69" w:rsidRDefault="00330118">
      <w:pPr>
        <w:pStyle w:val="Corpodetexto"/>
        <w:spacing w:before="135" w:line="312" w:lineRule="auto"/>
        <w:ind w:right="206"/>
      </w:pPr>
      <w:r>
        <w:rPr>
          <w:spacing w:val="2"/>
        </w:rPr>
        <w:t xml:space="preserve">No </w:t>
      </w:r>
      <w:r>
        <w:rPr>
          <w:spacing w:val="3"/>
        </w:rPr>
        <w:t xml:space="preserve">dia </w:t>
      </w:r>
      <w:r>
        <w:rPr>
          <w:spacing w:val="2"/>
        </w:rPr>
        <w:t xml:space="preserve">10 de </w:t>
      </w:r>
      <w:r>
        <w:rPr>
          <w:spacing w:val="5"/>
        </w:rPr>
        <w:t xml:space="preserve">fevereiro </w:t>
      </w:r>
      <w:r>
        <w:rPr>
          <w:spacing w:val="2"/>
        </w:rPr>
        <w:t xml:space="preserve">de </w:t>
      </w:r>
      <w:r>
        <w:rPr>
          <w:spacing w:val="5"/>
        </w:rPr>
        <w:t xml:space="preserve">2011, </w:t>
      </w:r>
      <w:r>
        <w:rPr>
          <w:spacing w:val="3"/>
        </w:rPr>
        <w:t xml:space="preserve">foi </w:t>
      </w:r>
      <w:r>
        <w:rPr>
          <w:spacing w:val="5"/>
        </w:rPr>
        <w:t xml:space="preserve">realizada </w:t>
      </w:r>
      <w:r>
        <w:rPr>
          <w:spacing w:val="6"/>
        </w:rPr>
        <w:t xml:space="preserve">audiência </w:t>
      </w:r>
      <w:r>
        <w:t xml:space="preserve">pública, a pedido do Ministério Público Estadual, para analisar o EIA/RIMA. Na ocasião, o promotor </w:t>
      </w:r>
      <w:r>
        <w:t xml:space="preserve">de Justiça e coordenador da Promotoria Estadual de Defesa do Patrimônio Cultural e Turístico de Minas Gerais criticou os documentos, afirmando </w:t>
      </w:r>
      <w:r>
        <w:rPr>
          <w:spacing w:val="2"/>
        </w:rPr>
        <w:t xml:space="preserve">que </w:t>
      </w:r>
      <w:r>
        <w:t xml:space="preserve">o </w:t>
      </w:r>
      <w:r>
        <w:rPr>
          <w:spacing w:val="3"/>
        </w:rPr>
        <w:t xml:space="preserve">diagnóstico </w:t>
      </w:r>
      <w:r>
        <w:rPr>
          <w:spacing w:val="2"/>
        </w:rPr>
        <w:t xml:space="preserve">não </w:t>
      </w:r>
      <w:r>
        <w:rPr>
          <w:spacing w:val="3"/>
        </w:rPr>
        <w:t xml:space="preserve">esclareceu impactos </w:t>
      </w:r>
      <w:r>
        <w:rPr>
          <w:spacing w:val="1"/>
        </w:rPr>
        <w:t xml:space="preserve">ao </w:t>
      </w:r>
      <w:r>
        <w:rPr>
          <w:spacing w:val="5"/>
        </w:rPr>
        <w:t xml:space="preserve">patrimônio cultural, </w:t>
      </w:r>
      <w:r>
        <w:rPr>
          <w:spacing w:val="3"/>
        </w:rPr>
        <w:t xml:space="preserve">além </w:t>
      </w:r>
      <w:r>
        <w:rPr>
          <w:spacing w:val="2"/>
        </w:rPr>
        <w:t xml:space="preserve">de </w:t>
      </w:r>
      <w:r>
        <w:rPr>
          <w:spacing w:val="3"/>
        </w:rPr>
        <w:t xml:space="preserve">não ter </w:t>
      </w:r>
      <w:r>
        <w:rPr>
          <w:spacing w:val="5"/>
        </w:rPr>
        <w:t>citado aspectos históricos. Ele</w:t>
      </w:r>
      <w:r>
        <w:rPr>
          <w:spacing w:val="5"/>
        </w:rPr>
        <w:t xml:space="preserve"> </w:t>
      </w:r>
      <w:r>
        <w:t xml:space="preserve">também mencionou que a atividade apresenta alto impacto ambiental, mas também econômico, e ressaltou que a região é </w:t>
      </w:r>
      <w:r>
        <w:rPr>
          <w:spacing w:val="7"/>
        </w:rPr>
        <w:t xml:space="preserve">sensível, </w:t>
      </w:r>
      <w:r>
        <w:rPr>
          <w:spacing w:val="6"/>
        </w:rPr>
        <w:t xml:space="preserve">pois </w:t>
      </w:r>
      <w:r>
        <w:rPr>
          <w:spacing w:val="7"/>
        </w:rPr>
        <w:t xml:space="preserve">funciona </w:t>
      </w:r>
      <w:r>
        <w:rPr>
          <w:spacing w:val="6"/>
        </w:rPr>
        <w:t xml:space="preserve">como </w:t>
      </w:r>
      <w:r>
        <w:rPr>
          <w:spacing w:val="8"/>
        </w:rPr>
        <w:t xml:space="preserve">importante </w:t>
      </w:r>
      <w:r>
        <w:rPr>
          <w:spacing w:val="7"/>
        </w:rPr>
        <w:t xml:space="preserve">recarga </w:t>
      </w:r>
      <w:r>
        <w:rPr>
          <w:spacing w:val="10"/>
        </w:rPr>
        <w:t xml:space="preserve">de </w:t>
      </w:r>
      <w:r>
        <w:t xml:space="preserve">aquífero. O promotor sugeriu como medidas compensatórias  a </w:t>
      </w:r>
      <w:r>
        <w:rPr>
          <w:spacing w:val="8"/>
        </w:rPr>
        <w:t xml:space="preserve">restauração </w:t>
      </w:r>
      <w:r>
        <w:rPr>
          <w:spacing w:val="5"/>
        </w:rPr>
        <w:t xml:space="preserve">da </w:t>
      </w:r>
      <w:r>
        <w:rPr>
          <w:spacing w:val="7"/>
        </w:rPr>
        <w:t xml:space="preserve">estação </w:t>
      </w:r>
      <w:r>
        <w:rPr>
          <w:spacing w:val="8"/>
        </w:rPr>
        <w:t>ferro</w:t>
      </w:r>
      <w:r>
        <w:rPr>
          <w:spacing w:val="8"/>
        </w:rPr>
        <w:t xml:space="preserve">viária, </w:t>
      </w:r>
      <w:r>
        <w:t xml:space="preserve">a </w:t>
      </w:r>
      <w:r>
        <w:rPr>
          <w:spacing w:val="10"/>
        </w:rPr>
        <w:t xml:space="preserve">recomposição </w:t>
      </w:r>
      <w:r>
        <w:t xml:space="preserve">urbanística, a elaboração de um plano de visitação pública à Usina Wigg [o maior sítio arqueológico da siderurgia em todo o </w:t>
      </w:r>
      <w:r>
        <w:rPr>
          <w:spacing w:val="3"/>
        </w:rPr>
        <w:t xml:space="preserve">mundo], </w:t>
      </w:r>
      <w:r>
        <w:t xml:space="preserve">e o </w:t>
      </w:r>
      <w:r>
        <w:rPr>
          <w:spacing w:val="3"/>
        </w:rPr>
        <w:t xml:space="preserve">levantamento </w:t>
      </w:r>
      <w:r>
        <w:rPr>
          <w:spacing w:val="1"/>
        </w:rPr>
        <w:t xml:space="preserve">do </w:t>
      </w:r>
      <w:r>
        <w:rPr>
          <w:spacing w:val="2"/>
        </w:rPr>
        <w:t xml:space="preserve">que </w:t>
      </w:r>
      <w:r>
        <w:rPr>
          <w:spacing w:val="3"/>
        </w:rPr>
        <w:t xml:space="preserve">existe </w:t>
      </w:r>
      <w:r>
        <w:rPr>
          <w:spacing w:val="1"/>
        </w:rPr>
        <w:t xml:space="preserve">da </w:t>
      </w:r>
      <w:r>
        <w:rPr>
          <w:spacing w:val="3"/>
        </w:rPr>
        <w:t xml:space="preserve">história </w:t>
      </w:r>
      <w:r>
        <w:rPr>
          <w:spacing w:val="5"/>
        </w:rPr>
        <w:t xml:space="preserve">do </w:t>
      </w:r>
      <w:r>
        <w:rPr>
          <w:spacing w:val="1"/>
        </w:rPr>
        <w:t xml:space="preserve">distrito </w:t>
      </w:r>
      <w:r>
        <w:t xml:space="preserve">no </w:t>
      </w:r>
      <w:r>
        <w:rPr>
          <w:spacing w:val="1"/>
        </w:rPr>
        <w:t xml:space="preserve">local </w:t>
      </w:r>
      <w:r>
        <w:t xml:space="preserve">do </w:t>
      </w:r>
      <w:r>
        <w:rPr>
          <w:spacing w:val="1"/>
        </w:rPr>
        <w:t xml:space="preserve">empreendimento </w:t>
      </w:r>
      <w:r>
        <w:t xml:space="preserve">e </w:t>
      </w:r>
      <w:r>
        <w:rPr>
          <w:spacing w:val="1"/>
        </w:rPr>
        <w:t xml:space="preserve">posterior </w:t>
      </w:r>
      <w:r>
        <w:rPr>
          <w:spacing w:val="2"/>
        </w:rPr>
        <w:t xml:space="preserve">publicação </w:t>
      </w:r>
      <w:r>
        <w:rPr>
          <w:spacing w:val="1"/>
        </w:rPr>
        <w:t>(DEFATO ONLINE,</w:t>
      </w:r>
      <w:r>
        <w:rPr>
          <w:spacing w:val="-15"/>
        </w:rPr>
        <w:t xml:space="preserve"> </w:t>
      </w:r>
      <w:r>
        <w:rPr>
          <w:spacing w:val="2"/>
        </w:rPr>
        <w:t>2011).</w:t>
      </w:r>
    </w:p>
    <w:p w:rsidR="00D81F69" w:rsidRDefault="00330118">
      <w:pPr>
        <w:pStyle w:val="Corpodetexto"/>
        <w:spacing w:before="145" w:line="312" w:lineRule="auto"/>
        <w:ind w:right="188"/>
      </w:pPr>
      <w:r>
        <w:t xml:space="preserve">Na ocasião, a empresa se comprometeu a corrigir as falhas  </w:t>
      </w:r>
      <w:r>
        <w:rPr>
          <w:spacing w:val="2"/>
        </w:rPr>
        <w:t xml:space="preserve">no </w:t>
      </w:r>
      <w:r>
        <w:rPr>
          <w:spacing w:val="5"/>
        </w:rPr>
        <w:t xml:space="preserve">EIA/RIMA </w:t>
      </w:r>
      <w:r>
        <w:t xml:space="preserve">e </w:t>
      </w:r>
      <w:r>
        <w:rPr>
          <w:spacing w:val="5"/>
        </w:rPr>
        <w:t xml:space="preserve">firmou </w:t>
      </w:r>
      <w:r>
        <w:rPr>
          <w:spacing w:val="2"/>
        </w:rPr>
        <w:t xml:space="preserve">um </w:t>
      </w:r>
      <w:r>
        <w:rPr>
          <w:spacing w:val="5"/>
        </w:rPr>
        <w:t xml:space="preserve">acordo </w:t>
      </w:r>
      <w:r>
        <w:rPr>
          <w:spacing w:val="3"/>
        </w:rPr>
        <w:t xml:space="preserve">com </w:t>
      </w:r>
      <w:r>
        <w:t xml:space="preserve">a </w:t>
      </w:r>
      <w:r>
        <w:rPr>
          <w:spacing w:val="5"/>
        </w:rPr>
        <w:t xml:space="preserve">prefeitura </w:t>
      </w:r>
      <w:r>
        <w:rPr>
          <w:spacing w:val="6"/>
        </w:rPr>
        <w:t xml:space="preserve">para </w:t>
      </w:r>
      <w:r>
        <w:rPr>
          <w:spacing w:val="1"/>
        </w:rPr>
        <w:t xml:space="preserve">estudar </w:t>
      </w:r>
      <w:r>
        <w:t xml:space="preserve">e </w:t>
      </w:r>
      <w:r>
        <w:rPr>
          <w:spacing w:val="1"/>
        </w:rPr>
        <w:t xml:space="preserve">analisar </w:t>
      </w:r>
      <w:r>
        <w:t xml:space="preserve">a </w:t>
      </w:r>
      <w:r>
        <w:rPr>
          <w:spacing w:val="1"/>
        </w:rPr>
        <w:t xml:space="preserve">qualidade </w:t>
      </w:r>
      <w:r>
        <w:t xml:space="preserve">da </w:t>
      </w:r>
      <w:r>
        <w:rPr>
          <w:spacing w:val="1"/>
        </w:rPr>
        <w:t xml:space="preserve">água. Assumiu, ainda, </w:t>
      </w:r>
      <w:r>
        <w:t xml:space="preserve">o </w:t>
      </w:r>
      <w:r>
        <w:rPr>
          <w:spacing w:val="1"/>
        </w:rPr>
        <w:t xml:space="preserve">compromisso </w:t>
      </w:r>
      <w:r>
        <w:t xml:space="preserve">de </w:t>
      </w:r>
      <w:r>
        <w:rPr>
          <w:spacing w:val="1"/>
        </w:rPr>
        <w:t xml:space="preserve">capacitar pessoas </w:t>
      </w:r>
      <w:r>
        <w:t xml:space="preserve">no </w:t>
      </w:r>
      <w:r>
        <w:rPr>
          <w:spacing w:val="1"/>
        </w:rPr>
        <w:t xml:space="preserve">distrito, </w:t>
      </w:r>
      <w:r>
        <w:rPr>
          <w:spacing w:val="2"/>
        </w:rPr>
        <w:t>começa</w:t>
      </w:r>
      <w:r>
        <w:rPr>
          <w:spacing w:val="2"/>
        </w:rPr>
        <w:t xml:space="preserve">ndo </w:t>
      </w:r>
      <w:r>
        <w:rPr>
          <w:spacing w:val="3"/>
        </w:rPr>
        <w:t xml:space="preserve">pelas </w:t>
      </w:r>
      <w:r>
        <w:rPr>
          <w:spacing w:val="5"/>
        </w:rPr>
        <w:t xml:space="preserve">mulheres, </w:t>
      </w:r>
      <w:r>
        <w:t xml:space="preserve">e </w:t>
      </w:r>
      <w:r>
        <w:rPr>
          <w:spacing w:val="5"/>
        </w:rPr>
        <w:t xml:space="preserve">propôs </w:t>
      </w:r>
      <w:r>
        <w:t xml:space="preserve">a </w:t>
      </w:r>
      <w:r>
        <w:rPr>
          <w:spacing w:val="5"/>
        </w:rPr>
        <w:t xml:space="preserve">realização </w:t>
      </w:r>
      <w:r>
        <w:rPr>
          <w:spacing w:val="2"/>
        </w:rPr>
        <w:t xml:space="preserve">de </w:t>
      </w:r>
      <w:r>
        <w:rPr>
          <w:spacing w:val="5"/>
        </w:rPr>
        <w:t>programas de</w:t>
      </w:r>
      <w:r>
        <w:rPr>
          <w:spacing w:val="61"/>
        </w:rPr>
        <w:t xml:space="preserve"> </w:t>
      </w:r>
      <w:r>
        <w:rPr>
          <w:spacing w:val="5"/>
        </w:rPr>
        <w:t xml:space="preserve">comunicação </w:t>
      </w:r>
      <w:r>
        <w:t xml:space="preserve">e </w:t>
      </w:r>
      <w:r>
        <w:rPr>
          <w:spacing w:val="5"/>
        </w:rPr>
        <w:t xml:space="preserve">educação ambiental (DEFATO </w:t>
      </w:r>
      <w:r>
        <w:rPr>
          <w:spacing w:val="6"/>
        </w:rPr>
        <w:t xml:space="preserve">ONLINE, </w:t>
      </w:r>
      <w:r>
        <w:rPr>
          <w:spacing w:val="3"/>
        </w:rPr>
        <w:t xml:space="preserve">2011). </w:t>
      </w:r>
      <w:r>
        <w:rPr>
          <w:spacing w:val="1"/>
        </w:rPr>
        <w:t xml:space="preserve">Em </w:t>
      </w:r>
      <w:r>
        <w:rPr>
          <w:spacing w:val="3"/>
        </w:rPr>
        <w:t xml:space="preserve">agosto </w:t>
      </w:r>
      <w:r>
        <w:rPr>
          <w:spacing w:val="1"/>
        </w:rPr>
        <w:t xml:space="preserve">de </w:t>
      </w:r>
      <w:r>
        <w:rPr>
          <w:spacing w:val="3"/>
        </w:rPr>
        <w:t xml:space="preserve">2011, </w:t>
      </w:r>
      <w:r>
        <w:rPr>
          <w:spacing w:val="2"/>
        </w:rPr>
        <w:t xml:space="preserve">foi </w:t>
      </w:r>
      <w:r>
        <w:rPr>
          <w:spacing w:val="3"/>
        </w:rPr>
        <w:t xml:space="preserve">noticiado </w:t>
      </w:r>
      <w:r>
        <w:rPr>
          <w:spacing w:val="2"/>
        </w:rPr>
        <w:t xml:space="preserve">que </w:t>
      </w:r>
      <w:r>
        <w:t xml:space="preserve">o </w:t>
      </w:r>
      <w:r>
        <w:rPr>
          <w:spacing w:val="5"/>
        </w:rPr>
        <w:t xml:space="preserve">Conselho </w:t>
      </w:r>
      <w:r>
        <w:t>Estadual de Política Ambiental (Copam) concedeu a Gerdau Açominas a Licença de Instalação (LI)</w:t>
      </w:r>
      <w:r>
        <w:t xml:space="preserve"> para a ampliação da capacidade de produção na mina Miguel Burnier. De acordo </w:t>
      </w:r>
      <w:r>
        <w:rPr>
          <w:spacing w:val="5"/>
        </w:rPr>
        <w:t xml:space="preserve">com </w:t>
      </w:r>
      <w:r>
        <w:t xml:space="preserve">o </w:t>
      </w:r>
      <w:r>
        <w:rPr>
          <w:spacing w:val="7"/>
        </w:rPr>
        <w:t xml:space="preserve">relatório </w:t>
      </w:r>
      <w:r>
        <w:rPr>
          <w:spacing w:val="5"/>
        </w:rPr>
        <w:t xml:space="preserve">do </w:t>
      </w:r>
      <w:r>
        <w:rPr>
          <w:spacing w:val="7"/>
        </w:rPr>
        <w:t xml:space="preserve">Copam, </w:t>
      </w:r>
      <w:r>
        <w:rPr>
          <w:spacing w:val="5"/>
        </w:rPr>
        <w:t xml:space="preserve">os </w:t>
      </w:r>
      <w:r>
        <w:rPr>
          <w:spacing w:val="8"/>
        </w:rPr>
        <w:t xml:space="preserve">investimentos </w:t>
      </w:r>
      <w:r>
        <w:rPr>
          <w:spacing w:val="10"/>
        </w:rPr>
        <w:t xml:space="preserve">também </w:t>
      </w:r>
      <w:r>
        <w:t>compreendem a instalação de pilha de rejeitos, "rejeitoduto", adutora</w:t>
      </w:r>
      <w:r>
        <w:rPr>
          <w:spacing w:val="18"/>
        </w:rPr>
        <w:t xml:space="preserve"> </w:t>
      </w:r>
      <w:r>
        <w:t>de</w:t>
      </w:r>
      <w:r>
        <w:rPr>
          <w:spacing w:val="18"/>
        </w:rPr>
        <w:t xml:space="preserve"> </w:t>
      </w:r>
      <w:r>
        <w:t>água</w:t>
      </w:r>
      <w:r>
        <w:rPr>
          <w:spacing w:val="18"/>
        </w:rPr>
        <w:t xml:space="preserve"> </w:t>
      </w:r>
      <w:r>
        <w:t>e</w:t>
      </w:r>
      <w:r>
        <w:rPr>
          <w:spacing w:val="18"/>
        </w:rPr>
        <w:t xml:space="preserve"> </w:t>
      </w:r>
      <w:r>
        <w:t>obras</w:t>
      </w:r>
      <w:r>
        <w:rPr>
          <w:spacing w:val="18"/>
        </w:rPr>
        <w:t xml:space="preserve"> </w:t>
      </w:r>
      <w:r>
        <w:t>de</w:t>
      </w:r>
      <w:r>
        <w:rPr>
          <w:spacing w:val="18"/>
        </w:rPr>
        <w:t xml:space="preserve"> </w:t>
      </w:r>
      <w:r>
        <w:t>infraestrutura</w:t>
      </w:r>
      <w:r>
        <w:rPr>
          <w:spacing w:val="18"/>
        </w:rPr>
        <w:t xml:space="preserve"> </w:t>
      </w:r>
      <w:r>
        <w:t>(FRANCIA,</w:t>
      </w:r>
      <w:r>
        <w:rPr>
          <w:spacing w:val="18"/>
        </w:rPr>
        <w:t xml:space="preserve"> </w:t>
      </w:r>
      <w:r>
        <w:t>2011).</w:t>
      </w:r>
    </w:p>
    <w:p w:rsidR="00D81F69" w:rsidRDefault="00330118">
      <w:pPr>
        <w:pStyle w:val="Corpodetexto"/>
        <w:spacing w:before="79" w:line="270" w:lineRule="atLeast"/>
        <w:ind w:right="201"/>
      </w:pPr>
      <w:r>
        <w:t>A possibilidade de expansão da mina Miguel Burnier já era aventada pela empresa desde 2009, em função do crescimento das exportações de aço e do fato de o Ministério</w:t>
      </w:r>
    </w:p>
    <w:p w:rsidR="00D81F69" w:rsidRDefault="00D81F69">
      <w:pPr>
        <w:spacing w:line="270" w:lineRule="atLeast"/>
        <w:sectPr w:rsidR="00D81F69">
          <w:type w:val="continuous"/>
          <w:pgSz w:w="11900" w:h="16840"/>
          <w:pgMar w:top="720" w:right="500" w:bottom="280" w:left="620" w:header="720" w:footer="720" w:gutter="0"/>
          <w:cols w:num="2" w:space="720" w:equalWidth="0">
            <w:col w:w="5191" w:space="279"/>
            <w:col w:w="5310"/>
          </w:cols>
        </w:sectPr>
      </w:pPr>
    </w:p>
    <w:p w:rsidR="00D81F69" w:rsidRDefault="00330118">
      <w:pPr>
        <w:pStyle w:val="Corpodetexto"/>
        <w:spacing w:before="81" w:line="312" w:lineRule="auto"/>
        <w:ind w:right="59"/>
      </w:pPr>
      <w:r>
        <w:lastRenderedPageBreak/>
        <w:t>Público Estadual (MPE) ter obtido liminar da Justiça, em ação civil pública, que impediu a empresa de continuar a operar em Várzea do Lopes, em Itabirito, na mesma região. A alegação do MPE era que a empresa estava fazendo intervenções em áreas de ocorrênc</w:t>
      </w:r>
      <w:r>
        <w:t>ia de sítios arqueológicos. Diante da decisão, a Gerdau entrou com recursos, no Tribunal de Justiça de Minas Gerais (TJMG), que os negou e determinou que a empresa mantivesse a suspensão das atividades na mina (DCI, 2009).</w:t>
      </w:r>
    </w:p>
    <w:p w:rsidR="00D81F69" w:rsidRDefault="00330118">
      <w:pPr>
        <w:pStyle w:val="Corpodetexto"/>
        <w:spacing w:before="138" w:line="312" w:lineRule="auto"/>
        <w:ind w:right="42"/>
      </w:pPr>
      <w:r>
        <w:t>A Gerdau Açominas informou ao mer</w:t>
      </w:r>
      <w:r>
        <w:t>cado que deve atingir a autossuficiência em minério de ferro neste ano (2012). Até o final de 2012, a produção de minério deverá alcançar 6,5 milhões de toneladas, o que garante o abastecimento da usina de Ouro Branco. As reservas da commodity da empresa e</w:t>
      </w:r>
      <w:r>
        <w:t>stão estimadas em 2,9 bilhões de toneladas (FRANCIA, 2012).</w:t>
      </w:r>
    </w:p>
    <w:p w:rsidR="00D81F69" w:rsidRDefault="00330118">
      <w:pPr>
        <w:pStyle w:val="Corpodetexto"/>
        <w:spacing w:before="137" w:line="312" w:lineRule="auto"/>
        <w:ind w:right="38"/>
      </w:pPr>
      <w:r>
        <w:t xml:space="preserve">A exploração de bauxita em Ouro Preto é feita pela Novelis - líder mundial em laminados de </w:t>
      </w:r>
      <w:hyperlink r:id="rId1221">
        <w:r>
          <w:t xml:space="preserve">alumínio. </w:t>
        </w:r>
      </w:hyperlink>
      <w:r>
        <w:t>A emp</w:t>
      </w:r>
      <w:r>
        <w:t xml:space="preserve">resa foi criada, em 2005, após o desmembramento de negócios de laminados de alumínio da Alcan, e, em 2007, foi adquirida, pela indiana </w:t>
      </w:r>
      <w:r>
        <w:rPr>
          <w:spacing w:val="1"/>
        </w:rPr>
        <w:t xml:space="preserve">Hindalco Industries Limited (NOVELIS, 2011). </w:t>
      </w:r>
      <w:r>
        <w:t xml:space="preserve">A </w:t>
      </w:r>
      <w:r>
        <w:rPr>
          <w:spacing w:val="1"/>
        </w:rPr>
        <w:t xml:space="preserve">fábrica </w:t>
      </w:r>
      <w:r>
        <w:rPr>
          <w:spacing w:val="2"/>
        </w:rPr>
        <w:t xml:space="preserve">de </w:t>
      </w:r>
      <w:r>
        <w:rPr>
          <w:spacing w:val="5"/>
        </w:rPr>
        <w:t xml:space="preserve">Ouro Preto foi </w:t>
      </w:r>
      <w:r>
        <w:t xml:space="preserve">a </w:t>
      </w:r>
      <w:r>
        <w:rPr>
          <w:spacing w:val="6"/>
        </w:rPr>
        <w:t xml:space="preserve">primeira indústria </w:t>
      </w:r>
      <w:r>
        <w:rPr>
          <w:spacing w:val="3"/>
        </w:rPr>
        <w:t xml:space="preserve">de </w:t>
      </w:r>
      <w:r>
        <w:rPr>
          <w:spacing w:val="6"/>
        </w:rPr>
        <w:t xml:space="preserve">alumínio </w:t>
      </w:r>
      <w:r>
        <w:t xml:space="preserve">a </w:t>
      </w:r>
      <w:r>
        <w:rPr>
          <w:spacing w:val="5"/>
        </w:rPr>
        <w:t xml:space="preserve">ter </w:t>
      </w:r>
      <w:r>
        <w:t>o process</w:t>
      </w:r>
      <w:r>
        <w:t xml:space="preserve">o completo, da extração da bauxita até a produção do alumínio primário (RESENDE, 2009), e, hoje, é a única planta </w:t>
      </w:r>
      <w:r>
        <w:rPr>
          <w:spacing w:val="3"/>
        </w:rPr>
        <w:t xml:space="preserve">beneficiadora </w:t>
      </w:r>
      <w:r>
        <w:rPr>
          <w:spacing w:val="1"/>
        </w:rPr>
        <w:t xml:space="preserve">de </w:t>
      </w:r>
      <w:r>
        <w:rPr>
          <w:spacing w:val="3"/>
        </w:rPr>
        <w:t xml:space="preserve">alumínio primário </w:t>
      </w:r>
      <w:r>
        <w:rPr>
          <w:spacing w:val="1"/>
        </w:rPr>
        <w:t xml:space="preserve">da </w:t>
      </w:r>
      <w:r>
        <w:rPr>
          <w:spacing w:val="3"/>
        </w:rPr>
        <w:t xml:space="preserve">Novelis </w:t>
      </w:r>
      <w:r>
        <w:rPr>
          <w:spacing w:val="1"/>
        </w:rPr>
        <w:t xml:space="preserve">no </w:t>
      </w:r>
      <w:r>
        <w:rPr>
          <w:spacing w:val="5"/>
        </w:rPr>
        <w:t xml:space="preserve">mundo. </w:t>
      </w:r>
      <w:r>
        <w:t xml:space="preserve">Metade de sua capacidade de produção, de 50 mil toneladas </w:t>
      </w:r>
      <w:r>
        <w:rPr>
          <w:spacing w:val="21"/>
        </w:rPr>
        <w:t xml:space="preserve">anuais, abastece </w:t>
      </w:r>
      <w:r>
        <w:t xml:space="preserve">a </w:t>
      </w:r>
      <w:r>
        <w:rPr>
          <w:spacing w:val="21"/>
        </w:rPr>
        <w:t xml:space="preserve">fábrica </w:t>
      </w:r>
      <w:r>
        <w:rPr>
          <w:spacing w:val="12"/>
        </w:rPr>
        <w:t>d</w:t>
      </w:r>
      <w:r>
        <w:rPr>
          <w:spacing w:val="12"/>
        </w:rPr>
        <w:t xml:space="preserve">e </w:t>
      </w:r>
      <w:r>
        <w:rPr>
          <w:spacing w:val="22"/>
        </w:rPr>
        <w:t xml:space="preserve">laminados </w:t>
      </w:r>
      <w:r>
        <w:rPr>
          <w:spacing w:val="12"/>
        </w:rPr>
        <w:t xml:space="preserve">de </w:t>
      </w:r>
      <w:r>
        <w:rPr>
          <w:spacing w:val="5"/>
        </w:rPr>
        <w:t xml:space="preserve">Pindamonhangaba, </w:t>
      </w:r>
      <w:r>
        <w:rPr>
          <w:spacing w:val="2"/>
        </w:rPr>
        <w:t xml:space="preserve">em </w:t>
      </w:r>
      <w:r>
        <w:rPr>
          <w:spacing w:val="3"/>
        </w:rPr>
        <w:t xml:space="preserve">São </w:t>
      </w:r>
      <w:r>
        <w:rPr>
          <w:spacing w:val="5"/>
        </w:rPr>
        <w:t xml:space="preserve">Paulo, </w:t>
      </w:r>
      <w:r>
        <w:t xml:space="preserve">e </w:t>
      </w:r>
      <w:r>
        <w:rPr>
          <w:spacing w:val="2"/>
        </w:rPr>
        <w:t xml:space="preserve">os </w:t>
      </w:r>
      <w:r>
        <w:rPr>
          <w:spacing w:val="5"/>
        </w:rPr>
        <w:t xml:space="preserve">outros </w:t>
      </w:r>
      <w:r>
        <w:rPr>
          <w:spacing w:val="3"/>
        </w:rPr>
        <w:t xml:space="preserve">50% </w:t>
      </w:r>
      <w:r>
        <w:rPr>
          <w:spacing w:val="5"/>
        </w:rPr>
        <w:t>são</w:t>
      </w:r>
      <w:r>
        <w:rPr>
          <w:spacing w:val="61"/>
        </w:rPr>
        <w:t xml:space="preserve"> </w:t>
      </w:r>
      <w:r>
        <w:rPr>
          <w:spacing w:val="5"/>
        </w:rPr>
        <w:t xml:space="preserve">exportados </w:t>
      </w:r>
      <w:r>
        <w:rPr>
          <w:spacing w:val="3"/>
        </w:rPr>
        <w:t xml:space="preserve">(MM </w:t>
      </w:r>
      <w:r>
        <w:rPr>
          <w:spacing w:val="5"/>
        </w:rPr>
        <w:t>SOLUÇÕES, 2011).</w:t>
      </w:r>
    </w:p>
    <w:p w:rsidR="00D81F69" w:rsidRDefault="00330118">
      <w:pPr>
        <w:pStyle w:val="Corpodetexto"/>
        <w:spacing w:before="142" w:line="312" w:lineRule="auto"/>
        <w:ind w:right="40"/>
      </w:pPr>
      <w:r>
        <w:t xml:space="preserve">Em 2009, a empresa anunciou o encerramento da produção de </w:t>
      </w:r>
      <w:r>
        <w:rPr>
          <w:spacing w:val="1"/>
        </w:rPr>
        <w:t xml:space="preserve">alumina [matéria prima para fabricação </w:t>
      </w:r>
      <w:r>
        <w:t xml:space="preserve">de </w:t>
      </w:r>
      <w:r>
        <w:rPr>
          <w:spacing w:val="1"/>
        </w:rPr>
        <w:t xml:space="preserve">alumínio] </w:t>
      </w:r>
      <w:r>
        <w:rPr>
          <w:spacing w:val="2"/>
        </w:rPr>
        <w:t xml:space="preserve">na </w:t>
      </w:r>
      <w:r>
        <w:rPr>
          <w:spacing w:val="3"/>
        </w:rPr>
        <w:t xml:space="preserve">unidade </w:t>
      </w:r>
      <w:r>
        <w:rPr>
          <w:spacing w:val="1"/>
        </w:rPr>
        <w:t xml:space="preserve">de </w:t>
      </w:r>
      <w:r>
        <w:rPr>
          <w:spacing w:val="2"/>
        </w:rPr>
        <w:t xml:space="preserve">Ouro </w:t>
      </w:r>
      <w:r>
        <w:rPr>
          <w:spacing w:val="3"/>
        </w:rPr>
        <w:t xml:space="preserve">Preto, </w:t>
      </w:r>
      <w:r>
        <w:rPr>
          <w:spacing w:val="2"/>
        </w:rPr>
        <w:t xml:space="preserve">com </w:t>
      </w:r>
      <w:r>
        <w:t xml:space="preserve">a </w:t>
      </w:r>
      <w:r>
        <w:rPr>
          <w:spacing w:val="3"/>
        </w:rPr>
        <w:t xml:space="preserve">demissão </w:t>
      </w:r>
      <w:r>
        <w:rPr>
          <w:spacing w:val="1"/>
        </w:rPr>
        <w:t xml:space="preserve">de </w:t>
      </w:r>
      <w:r>
        <w:rPr>
          <w:spacing w:val="2"/>
        </w:rPr>
        <w:t xml:space="preserve">290 </w:t>
      </w:r>
      <w:r>
        <w:rPr>
          <w:spacing w:val="5"/>
        </w:rPr>
        <w:t xml:space="preserve">pessoas, sendo </w:t>
      </w:r>
      <w:r>
        <w:rPr>
          <w:spacing w:val="3"/>
        </w:rPr>
        <w:t xml:space="preserve">150 </w:t>
      </w:r>
      <w:r>
        <w:rPr>
          <w:spacing w:val="5"/>
        </w:rPr>
        <w:t xml:space="preserve">empregados </w:t>
      </w:r>
      <w:r>
        <w:t xml:space="preserve">e </w:t>
      </w:r>
      <w:r>
        <w:rPr>
          <w:spacing w:val="3"/>
        </w:rPr>
        <w:t xml:space="preserve">140 </w:t>
      </w:r>
      <w:r>
        <w:rPr>
          <w:spacing w:val="5"/>
        </w:rPr>
        <w:t xml:space="preserve">terceirizados </w:t>
      </w:r>
      <w:r>
        <w:rPr>
          <w:spacing w:val="6"/>
        </w:rPr>
        <w:t xml:space="preserve">(MOREIRA, </w:t>
      </w:r>
      <w:r>
        <w:t>2009). Na ocasião, a empresa alegou que a medida devia-se à baixa escala de produção e aos aumentos dos custos pela valorização do real desde 2003, aliada à crise econômica e à queda do preço do p</w:t>
      </w:r>
      <w:r>
        <w:t xml:space="preserve">roduto (RESENDE, 2009). Para manter a fabricação do metal primário, a empresa passou a recorrer à importação da matéria prima (MOREIRA, 2009). Diz-se que a planta de Ouro Preto só continuou em operação, ao contrário do que </w:t>
      </w:r>
      <w:r>
        <w:rPr>
          <w:spacing w:val="1"/>
        </w:rPr>
        <w:t xml:space="preserve">ocorreu </w:t>
      </w:r>
      <w:r>
        <w:t xml:space="preserve">com a </w:t>
      </w:r>
      <w:r>
        <w:rPr>
          <w:spacing w:val="1"/>
        </w:rPr>
        <w:t xml:space="preserve">unidade </w:t>
      </w:r>
      <w:r>
        <w:t xml:space="preserve">de </w:t>
      </w:r>
      <w:r>
        <w:rPr>
          <w:spacing w:val="1"/>
        </w:rPr>
        <w:t xml:space="preserve">Aratu, </w:t>
      </w:r>
      <w:r>
        <w:t xml:space="preserve">na </w:t>
      </w:r>
      <w:r>
        <w:rPr>
          <w:spacing w:val="1"/>
        </w:rPr>
        <w:t xml:space="preserve">Bahia, </w:t>
      </w:r>
      <w:r>
        <w:t xml:space="preserve">que </w:t>
      </w:r>
      <w:r>
        <w:rPr>
          <w:spacing w:val="2"/>
        </w:rPr>
        <w:t xml:space="preserve">foi </w:t>
      </w:r>
      <w:r>
        <w:rPr>
          <w:spacing w:val="3"/>
        </w:rPr>
        <w:t xml:space="preserve">fechada </w:t>
      </w:r>
      <w:r>
        <w:rPr>
          <w:spacing w:val="1"/>
        </w:rPr>
        <w:t xml:space="preserve">em </w:t>
      </w:r>
      <w:r>
        <w:rPr>
          <w:spacing w:val="3"/>
        </w:rPr>
        <w:t xml:space="preserve">dezembro </w:t>
      </w:r>
      <w:r>
        <w:rPr>
          <w:spacing w:val="1"/>
        </w:rPr>
        <w:t xml:space="preserve">de </w:t>
      </w:r>
      <w:r>
        <w:rPr>
          <w:spacing w:val="2"/>
        </w:rPr>
        <w:t xml:space="preserve">2010 (MM </w:t>
      </w:r>
      <w:r>
        <w:rPr>
          <w:spacing w:val="3"/>
        </w:rPr>
        <w:t xml:space="preserve">SOLUÇÕES, </w:t>
      </w:r>
      <w:r>
        <w:rPr>
          <w:spacing w:val="5"/>
        </w:rPr>
        <w:t xml:space="preserve">2011), </w:t>
      </w:r>
      <w:r>
        <w:t xml:space="preserve">porque conta com uma Pequena Central Hidrelétrica (PCH) </w:t>
      </w:r>
      <w:r>
        <w:rPr>
          <w:spacing w:val="1"/>
        </w:rPr>
        <w:t xml:space="preserve">própria, </w:t>
      </w:r>
      <w:r>
        <w:t xml:space="preserve">que </w:t>
      </w:r>
      <w:r>
        <w:rPr>
          <w:spacing w:val="1"/>
        </w:rPr>
        <w:t xml:space="preserve">assegura mais </w:t>
      </w:r>
      <w:r>
        <w:t xml:space="preserve">de 60% da </w:t>
      </w:r>
      <w:r>
        <w:rPr>
          <w:spacing w:val="1"/>
        </w:rPr>
        <w:t xml:space="preserve">energia </w:t>
      </w:r>
      <w:r>
        <w:rPr>
          <w:spacing w:val="2"/>
        </w:rPr>
        <w:t xml:space="preserve">consumida </w:t>
      </w:r>
      <w:r>
        <w:rPr>
          <w:spacing w:val="1"/>
        </w:rPr>
        <w:t>pela unidade (ALMÉRI,</w:t>
      </w:r>
      <w:r>
        <w:rPr>
          <w:spacing w:val="5"/>
        </w:rPr>
        <w:t xml:space="preserve"> </w:t>
      </w:r>
      <w:r>
        <w:rPr>
          <w:spacing w:val="2"/>
        </w:rPr>
        <w:t>2011).</w:t>
      </w:r>
    </w:p>
    <w:p w:rsidR="00D81F69" w:rsidRDefault="00330118">
      <w:pPr>
        <w:pStyle w:val="Corpodetexto"/>
        <w:spacing w:before="81" w:line="270" w:lineRule="atLeast"/>
        <w:ind w:right="38"/>
      </w:pPr>
      <w:r>
        <w:t>A empresa apoia projetos sociais no município; só</w:t>
      </w:r>
      <w:r>
        <w:t xml:space="preserve"> em 2009, foram destinados mais de R$ 40 mil aos projetos “A arte de reciclar – Transformando lixo em luxo”, “Renda Marafunda”, “Biblioteca Morro São Sebastião e Saramenha – Oficinas de Ciência e Cidadania”, “Biblioteca Incentivando a Cultura e a Leitura d</w:t>
      </w:r>
      <w:r>
        <w:t>a Comunidade Ouropretana”, “É Feito de Papel – com a comunidade no CAPSI e nos distritos”, “Lirim”, “Captação de Jovens – curso de garçom e garçonete”, “Acolhimento com Dignidade – Melhoria de Instalações Físicas,” dentre outros (OUROPRETO.COM.BR, 2009).</w:t>
      </w:r>
    </w:p>
    <w:p w:rsidR="00D81F69" w:rsidRDefault="00330118">
      <w:pPr>
        <w:pStyle w:val="Corpodetexto"/>
        <w:spacing w:before="5"/>
        <w:ind w:left="0"/>
        <w:jc w:val="left"/>
        <w:rPr>
          <w:sz w:val="24"/>
        </w:rPr>
      </w:pPr>
      <w:r>
        <w:br w:type="column"/>
      </w:r>
    </w:p>
    <w:p w:rsidR="00D81F69" w:rsidRDefault="00330118">
      <w:pPr>
        <w:pStyle w:val="Corpodetexto"/>
        <w:spacing w:line="312" w:lineRule="auto"/>
        <w:ind w:right="185"/>
      </w:pPr>
      <w:r>
        <w:t xml:space="preserve">Apesar das iniciativas sociais, empregados, contratados e a população local queixam-se de sua atuação. Em 2010, a Vara do Trabalho de Ouro Preto condenou a Novelis ao pagamento de indenização de R$ 200 mil por danos morais coletivos, em </w:t>
      </w:r>
      <w:r>
        <w:rPr>
          <w:spacing w:val="8"/>
        </w:rPr>
        <w:t xml:space="preserve">função </w:t>
      </w:r>
      <w:r>
        <w:rPr>
          <w:spacing w:val="5"/>
        </w:rPr>
        <w:t xml:space="preserve">de </w:t>
      </w:r>
      <w:r>
        <w:rPr>
          <w:spacing w:val="10"/>
        </w:rPr>
        <w:t>irregula</w:t>
      </w:r>
      <w:r>
        <w:rPr>
          <w:spacing w:val="10"/>
        </w:rPr>
        <w:t xml:space="preserve">ridades </w:t>
      </w:r>
      <w:r>
        <w:rPr>
          <w:spacing w:val="8"/>
        </w:rPr>
        <w:t xml:space="preserve">relativas </w:t>
      </w:r>
      <w:r>
        <w:t xml:space="preserve">à </w:t>
      </w:r>
      <w:r>
        <w:rPr>
          <w:spacing w:val="8"/>
        </w:rPr>
        <w:t xml:space="preserve">saúde, </w:t>
      </w:r>
      <w:r>
        <w:rPr>
          <w:spacing w:val="10"/>
        </w:rPr>
        <w:t xml:space="preserve">higiene, </w:t>
      </w:r>
      <w:r>
        <w:rPr>
          <w:spacing w:val="1"/>
        </w:rPr>
        <w:t xml:space="preserve">segurança </w:t>
      </w:r>
      <w:r>
        <w:t xml:space="preserve">do </w:t>
      </w:r>
      <w:r>
        <w:rPr>
          <w:spacing w:val="1"/>
        </w:rPr>
        <w:t xml:space="preserve">trabalho, terceirização ilícita, entre outras. </w:t>
      </w:r>
      <w:r>
        <w:t xml:space="preserve">A </w:t>
      </w:r>
      <w:r>
        <w:rPr>
          <w:spacing w:val="1"/>
        </w:rPr>
        <w:t xml:space="preserve">Vara alegou </w:t>
      </w:r>
      <w:r>
        <w:t xml:space="preserve">que os </w:t>
      </w:r>
      <w:r>
        <w:rPr>
          <w:spacing w:val="1"/>
        </w:rPr>
        <w:t xml:space="preserve">empregados </w:t>
      </w:r>
      <w:r>
        <w:t xml:space="preserve">da </w:t>
      </w:r>
      <w:r>
        <w:rPr>
          <w:spacing w:val="1"/>
        </w:rPr>
        <w:t xml:space="preserve">área </w:t>
      </w:r>
      <w:r>
        <w:t xml:space="preserve">dos </w:t>
      </w:r>
      <w:r>
        <w:rPr>
          <w:spacing w:val="1"/>
        </w:rPr>
        <w:t xml:space="preserve">fornos </w:t>
      </w:r>
      <w:r>
        <w:rPr>
          <w:spacing w:val="2"/>
        </w:rPr>
        <w:t xml:space="preserve">eram </w:t>
      </w:r>
      <w:r>
        <w:t>submetidos a ruído e calor excessivos. A decisão obrigou a Novelis a suspender a contratação de empresas</w:t>
      </w:r>
      <w:r>
        <w:t xml:space="preserve"> ou pessoas físicas para fornecimento de mão de obra em suas atividades- fim, para as áreas de produção, minas e obras, passando a prover essas atividades por meio de empregados diretamente contratados. Obrigou-a também a promover a melhoria </w:t>
      </w:r>
      <w:r>
        <w:rPr>
          <w:spacing w:val="1"/>
        </w:rPr>
        <w:t xml:space="preserve">das </w:t>
      </w:r>
      <w:r>
        <w:rPr>
          <w:spacing w:val="5"/>
        </w:rPr>
        <w:t xml:space="preserve">condições </w:t>
      </w:r>
      <w:r>
        <w:rPr>
          <w:spacing w:val="2"/>
        </w:rPr>
        <w:t xml:space="preserve">de </w:t>
      </w:r>
      <w:r>
        <w:rPr>
          <w:spacing w:val="5"/>
        </w:rPr>
        <w:t xml:space="preserve">saúde, segurança, medicina </w:t>
      </w:r>
      <w:r>
        <w:t xml:space="preserve">e </w:t>
      </w:r>
      <w:r>
        <w:rPr>
          <w:spacing w:val="5"/>
        </w:rPr>
        <w:t>higiene nos</w:t>
      </w:r>
      <w:r>
        <w:rPr>
          <w:spacing w:val="61"/>
        </w:rPr>
        <w:t xml:space="preserve"> </w:t>
      </w:r>
      <w:r>
        <w:t xml:space="preserve">locais de trabalho, observando parâmetros mínimos, tanto em </w:t>
      </w:r>
      <w:r>
        <w:rPr>
          <w:spacing w:val="7"/>
        </w:rPr>
        <w:t xml:space="preserve">relação </w:t>
      </w:r>
      <w:r>
        <w:t xml:space="preserve">a </w:t>
      </w:r>
      <w:r>
        <w:rPr>
          <w:spacing w:val="6"/>
        </w:rPr>
        <w:t xml:space="preserve">seus </w:t>
      </w:r>
      <w:r>
        <w:rPr>
          <w:spacing w:val="8"/>
        </w:rPr>
        <w:t xml:space="preserve">empregados </w:t>
      </w:r>
      <w:r>
        <w:rPr>
          <w:spacing w:val="7"/>
        </w:rPr>
        <w:t xml:space="preserve">quanto </w:t>
      </w:r>
      <w:r>
        <w:rPr>
          <w:spacing w:val="5"/>
        </w:rPr>
        <w:t xml:space="preserve">aos </w:t>
      </w:r>
      <w:r>
        <w:rPr>
          <w:spacing w:val="10"/>
        </w:rPr>
        <w:t xml:space="preserve">trabalhadores </w:t>
      </w:r>
      <w:r>
        <w:rPr>
          <w:spacing w:val="8"/>
        </w:rPr>
        <w:t xml:space="preserve">contratados </w:t>
      </w:r>
      <w:r>
        <w:rPr>
          <w:spacing w:val="7"/>
        </w:rPr>
        <w:t>(MPT-MG,</w:t>
      </w:r>
      <w:r>
        <w:rPr>
          <w:spacing w:val="6"/>
        </w:rPr>
        <w:t xml:space="preserve"> </w:t>
      </w:r>
      <w:r>
        <w:rPr>
          <w:spacing w:val="10"/>
        </w:rPr>
        <w:t>2010).</w:t>
      </w:r>
    </w:p>
    <w:p w:rsidR="00D81F69" w:rsidRDefault="00330118">
      <w:pPr>
        <w:pStyle w:val="Corpodetexto"/>
        <w:spacing w:before="146" w:line="312" w:lineRule="auto"/>
        <w:ind w:right="192"/>
      </w:pPr>
      <w:r>
        <w:t xml:space="preserve">Antes da condenação, a empresa fora chamada para assinar Termo de Ajuste </w:t>
      </w:r>
      <w:r>
        <w:t xml:space="preserve">de Conduta (TAC), visando regularizar as questões fiscalizadas. Porém, afirmando ter implantado um novo programa de gestão adequado à legislação trabalhista, o termo não foi assinado. Em nova fiscalização, o MPT constatou irregularidades e decidiu ajuizar </w:t>
      </w:r>
      <w:r>
        <w:t>a ação civil pública. A multa diária por descumprimento foi fixada em R$ 1 mil, reversível ao Fundo de Amparo ao Trabalhador (FAT) (MPT- MG, 2010).</w:t>
      </w:r>
    </w:p>
    <w:p w:rsidR="00D81F69" w:rsidRDefault="00330118">
      <w:pPr>
        <w:pStyle w:val="Corpodetexto"/>
        <w:spacing w:before="138" w:line="312" w:lineRule="auto"/>
        <w:ind w:right="184"/>
      </w:pPr>
      <w:r>
        <w:t>Em fevereiro de 2012, os moradores de Ouro Preto, especialmente os da região de Saramenha, divulgaram um aba</w:t>
      </w:r>
      <w:r>
        <w:t xml:space="preserve">ixo-assinado requerendo que o Ministério Público Estadual tome providências para que a Novelis implante medidas efetivas de controle de poluição, de forma a conter o pó e os gases expelidos pela fábrica de alumínio, além de assegurar o pleno funcionamento </w:t>
      </w:r>
      <w:r>
        <w:t>dos equipamentos de proteção ambiental já instalados (PETIÇÃO PÚBLICA, 2012).</w:t>
      </w:r>
    </w:p>
    <w:p w:rsidR="00D81F69" w:rsidRDefault="00D81F69">
      <w:pPr>
        <w:pStyle w:val="Corpodetexto"/>
        <w:spacing w:before="7"/>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193"/>
      </w:pPr>
      <w:r>
        <w:t>A mineração de ouro e bauxita ocorre no município de Ouro Preto (MG). Está localizada na bacia do rio São Francisco, entre as coordenadas 43°38'55"W e 20°</w:t>
      </w:r>
      <w:r>
        <w:t>13'36"S.</w:t>
      </w:r>
    </w:p>
    <w:p w:rsidR="00D81F69" w:rsidRDefault="00D81F69">
      <w:pPr>
        <w:pStyle w:val="Corpodetexto"/>
        <w:ind w:left="0"/>
        <w:jc w:val="left"/>
        <w:rPr>
          <w:sz w:val="29"/>
        </w:rPr>
      </w:pPr>
    </w:p>
    <w:p w:rsidR="00D81F69" w:rsidRDefault="00330118">
      <w:pPr>
        <w:pStyle w:val="Heading7"/>
      </w:pPr>
      <w:r>
        <w:t>REDATORES</w:t>
      </w:r>
    </w:p>
    <w:p w:rsidR="00D81F69" w:rsidRDefault="00330118">
      <w:pPr>
        <w:pStyle w:val="Corpodetexto"/>
        <w:spacing w:before="179"/>
      </w:pPr>
      <w:r>
        <w:t>Laura Maul C. Costa</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187"/>
        <w:jc w:val="both"/>
        <w:rPr>
          <w:sz w:val="16"/>
        </w:rPr>
      </w:pPr>
      <w:r>
        <w:rPr>
          <w:sz w:val="16"/>
        </w:rPr>
        <w:t>ALMÉRI, Nairo. Novelis contrata e investe em Ouro Preto. Hoje em Dia, Coluna Negócios S.A., 22 abr. 2011. Disponível em:</w:t>
      </w:r>
    </w:p>
    <w:p w:rsidR="00D81F69" w:rsidRDefault="00D81F69">
      <w:pPr>
        <w:spacing w:before="2" w:line="312" w:lineRule="auto"/>
        <w:ind w:left="100" w:right="184"/>
        <w:jc w:val="both"/>
        <w:rPr>
          <w:sz w:val="16"/>
        </w:rPr>
      </w:pPr>
      <w:hyperlink r:id="rId1222">
        <w:r w:rsidR="00330118">
          <w:rPr>
            <w:sz w:val="16"/>
          </w:rPr>
          <w:t>&lt;</w:t>
        </w:r>
        <w:r w:rsidR="00330118">
          <w:rPr>
            <w:sz w:val="16"/>
          </w:rPr>
          <w:t xml:space="preserve">http://www.hojeemdia.com.br/colunas-artigos-e- </w:t>
        </w:r>
      </w:hyperlink>
      <w:r w:rsidR="00330118">
        <w:rPr>
          <w:sz w:val="16"/>
        </w:rPr>
        <w:t>blogs/diarios/negocios-s-a-1.11090/novelis-contrata-e-investe-em- ouro-preto-1.269567&gt;. Acesso em: 28 dez. 2011.</w:t>
      </w:r>
    </w:p>
    <w:p w:rsidR="00D81F69" w:rsidRDefault="00330118">
      <w:pPr>
        <w:spacing w:before="2" w:line="312" w:lineRule="auto"/>
        <w:ind w:left="100" w:right="176"/>
        <w:jc w:val="both"/>
        <w:rPr>
          <w:sz w:val="16"/>
        </w:rPr>
      </w:pPr>
      <w:r>
        <w:rPr>
          <w:spacing w:val="3"/>
          <w:sz w:val="16"/>
        </w:rPr>
        <w:t xml:space="preserve">DCI. </w:t>
      </w:r>
      <w:r>
        <w:rPr>
          <w:spacing w:val="5"/>
          <w:sz w:val="16"/>
        </w:rPr>
        <w:t xml:space="preserve">Diário </w:t>
      </w:r>
      <w:r>
        <w:rPr>
          <w:spacing w:val="2"/>
          <w:sz w:val="16"/>
        </w:rPr>
        <w:t xml:space="preserve">de </w:t>
      </w:r>
      <w:r>
        <w:rPr>
          <w:spacing w:val="5"/>
          <w:sz w:val="16"/>
        </w:rPr>
        <w:t xml:space="preserve">Comércio </w:t>
      </w:r>
      <w:r>
        <w:rPr>
          <w:sz w:val="16"/>
        </w:rPr>
        <w:t xml:space="preserve">e </w:t>
      </w:r>
      <w:r>
        <w:rPr>
          <w:spacing w:val="5"/>
          <w:sz w:val="16"/>
        </w:rPr>
        <w:t xml:space="preserve">Indústria. Gerdau expandirá Miguel </w:t>
      </w:r>
      <w:r>
        <w:rPr>
          <w:spacing w:val="20"/>
          <w:sz w:val="16"/>
        </w:rPr>
        <w:t xml:space="preserve">Burnier. </w:t>
      </w:r>
      <w:r>
        <w:rPr>
          <w:spacing w:val="15"/>
          <w:sz w:val="16"/>
        </w:rPr>
        <w:t xml:space="preserve">São </w:t>
      </w:r>
      <w:r>
        <w:rPr>
          <w:spacing w:val="18"/>
          <w:sz w:val="16"/>
        </w:rPr>
        <w:t xml:space="preserve">Paulo, </w:t>
      </w:r>
      <w:r>
        <w:rPr>
          <w:spacing w:val="10"/>
          <w:sz w:val="16"/>
        </w:rPr>
        <w:t>03</w:t>
      </w:r>
      <w:r>
        <w:rPr>
          <w:spacing w:val="65"/>
          <w:sz w:val="16"/>
        </w:rPr>
        <w:t xml:space="preserve"> </w:t>
      </w:r>
      <w:r>
        <w:rPr>
          <w:spacing w:val="16"/>
          <w:sz w:val="16"/>
        </w:rPr>
        <w:t xml:space="preserve">set. </w:t>
      </w:r>
      <w:r>
        <w:rPr>
          <w:spacing w:val="17"/>
          <w:sz w:val="16"/>
        </w:rPr>
        <w:t xml:space="preserve">2009. </w:t>
      </w:r>
      <w:r>
        <w:rPr>
          <w:spacing w:val="20"/>
          <w:sz w:val="16"/>
        </w:rPr>
        <w:t>D</w:t>
      </w:r>
      <w:r>
        <w:rPr>
          <w:spacing w:val="20"/>
          <w:sz w:val="16"/>
        </w:rPr>
        <w:t xml:space="preserve">isponível </w:t>
      </w:r>
      <w:r>
        <w:rPr>
          <w:spacing w:val="15"/>
          <w:sz w:val="16"/>
        </w:rPr>
        <w:t>em:</w:t>
      </w:r>
      <w:r>
        <w:rPr>
          <w:spacing w:val="-21"/>
          <w:sz w:val="16"/>
        </w:rPr>
        <w:t xml:space="preserve"> </w:t>
      </w:r>
    </w:p>
    <w:p w:rsidR="00D81F69" w:rsidRDefault="00D81F69">
      <w:pPr>
        <w:spacing w:before="2" w:line="312" w:lineRule="auto"/>
        <w:ind w:left="100" w:right="216"/>
        <w:jc w:val="both"/>
        <w:rPr>
          <w:sz w:val="16"/>
        </w:rPr>
      </w:pPr>
      <w:hyperlink r:id="rId1223">
        <w:r w:rsidR="00330118">
          <w:rPr>
            <w:sz w:val="16"/>
          </w:rPr>
          <w:t>&lt;http://www.exportaminas.mg.gov.br/noticias/noticia_conteudo.aspx?</w:t>
        </w:r>
      </w:hyperlink>
      <w:r w:rsidR="00330118">
        <w:rPr>
          <w:sz w:val="16"/>
        </w:rPr>
        <w:t xml:space="preserve"> ca=1253&gt;. Acesso em: 28 dez. 2011.</w:t>
      </w:r>
    </w:p>
    <w:p w:rsidR="00D81F69" w:rsidRDefault="00330118">
      <w:pPr>
        <w:spacing w:before="1"/>
        <w:ind w:left="100"/>
        <w:jc w:val="both"/>
        <w:rPr>
          <w:sz w:val="16"/>
        </w:rPr>
      </w:pPr>
      <w:r>
        <w:rPr>
          <w:sz w:val="16"/>
        </w:rPr>
        <w:t>DEFATO ONLINE. Audiência Pública debate expansão de miner</w:t>
      </w:r>
      <w:r>
        <w:rPr>
          <w:sz w:val="16"/>
        </w:rPr>
        <w:t>ação</w:t>
      </w:r>
    </w:p>
    <w:p w:rsidR="00D81F69" w:rsidRDefault="00D81F69">
      <w:pPr>
        <w:jc w:val="both"/>
        <w:rPr>
          <w:sz w:val="16"/>
        </w:rPr>
        <w:sectPr w:rsidR="00D81F69">
          <w:pgSz w:w="11900" w:h="16840"/>
          <w:pgMar w:top="740" w:right="500" w:bottom="620" w:left="620" w:header="0" w:footer="402" w:gutter="0"/>
          <w:cols w:num="2" w:space="720" w:equalWidth="0">
            <w:col w:w="5162" w:space="308"/>
            <w:col w:w="5310"/>
          </w:cols>
        </w:sectPr>
      </w:pPr>
    </w:p>
    <w:p w:rsidR="00D81F69" w:rsidRDefault="00330118">
      <w:pPr>
        <w:spacing w:before="70"/>
        <w:ind w:left="100"/>
        <w:rPr>
          <w:sz w:val="16"/>
        </w:rPr>
      </w:pPr>
      <w:r>
        <w:rPr>
          <w:sz w:val="16"/>
        </w:rPr>
        <w:lastRenderedPageBreak/>
        <w:t>em Miguel Burnier. Minas Gerais, 14 fev. 2011. Disponível em:</w:t>
      </w:r>
    </w:p>
    <w:p w:rsidR="00D81F69" w:rsidRDefault="00D81F69">
      <w:pPr>
        <w:spacing w:before="56" w:line="312" w:lineRule="auto"/>
        <w:ind w:left="100"/>
        <w:rPr>
          <w:sz w:val="16"/>
        </w:rPr>
      </w:pPr>
      <w:hyperlink r:id="rId1224">
        <w:r w:rsidR="00330118">
          <w:rPr>
            <w:sz w:val="16"/>
          </w:rPr>
          <w:t>&lt;http://www.defatoonline.com.br/noticias/ultimas/?IdNoticia=15754&gt;.</w:t>
        </w:r>
      </w:hyperlink>
      <w:r w:rsidR="00330118">
        <w:rPr>
          <w:sz w:val="16"/>
        </w:rPr>
        <w:t xml:space="preserve"> Acesso em:</w:t>
      </w:r>
      <w:r w:rsidR="00330118">
        <w:rPr>
          <w:sz w:val="16"/>
        </w:rPr>
        <w:t xml:space="preserve"> 28 dez. 2011.</w:t>
      </w:r>
    </w:p>
    <w:p w:rsidR="00D81F69" w:rsidRDefault="00330118">
      <w:pPr>
        <w:tabs>
          <w:tab w:val="left" w:pos="515"/>
          <w:tab w:val="left" w:pos="1729"/>
          <w:tab w:val="left" w:pos="2144"/>
          <w:tab w:val="left" w:pos="2764"/>
          <w:tab w:val="left" w:pos="3508"/>
          <w:tab w:val="left" w:pos="4774"/>
        </w:tabs>
        <w:spacing w:before="1" w:line="312" w:lineRule="auto"/>
        <w:ind w:left="100" w:right="40"/>
        <w:rPr>
          <w:sz w:val="16"/>
        </w:rPr>
      </w:pPr>
      <w:r>
        <w:rPr>
          <w:sz w:val="16"/>
        </w:rPr>
        <w:t xml:space="preserve">FRANCIA, Leonardo. Gerdau expande mina de Miguel Burnier. Diário </w:t>
      </w:r>
      <w:r>
        <w:rPr>
          <w:spacing w:val="16"/>
          <w:sz w:val="16"/>
        </w:rPr>
        <w:t>do</w:t>
      </w:r>
      <w:r>
        <w:rPr>
          <w:spacing w:val="16"/>
          <w:sz w:val="16"/>
        </w:rPr>
        <w:tab/>
      </w:r>
      <w:r>
        <w:rPr>
          <w:spacing w:val="30"/>
          <w:sz w:val="16"/>
        </w:rPr>
        <w:t>Comércio,</w:t>
      </w:r>
      <w:r>
        <w:rPr>
          <w:spacing w:val="30"/>
          <w:sz w:val="16"/>
        </w:rPr>
        <w:tab/>
      </w:r>
      <w:r>
        <w:rPr>
          <w:spacing w:val="16"/>
          <w:sz w:val="16"/>
        </w:rPr>
        <w:t>18</w:t>
      </w:r>
      <w:r>
        <w:rPr>
          <w:spacing w:val="16"/>
          <w:sz w:val="16"/>
        </w:rPr>
        <w:tab/>
      </w:r>
      <w:r>
        <w:rPr>
          <w:spacing w:val="25"/>
          <w:sz w:val="16"/>
        </w:rPr>
        <w:t>ago.</w:t>
      </w:r>
      <w:r>
        <w:rPr>
          <w:spacing w:val="25"/>
          <w:sz w:val="16"/>
        </w:rPr>
        <w:tab/>
      </w:r>
      <w:r>
        <w:rPr>
          <w:spacing w:val="27"/>
          <w:sz w:val="16"/>
        </w:rPr>
        <w:t>2011.</w:t>
      </w:r>
      <w:r>
        <w:rPr>
          <w:spacing w:val="27"/>
          <w:sz w:val="16"/>
        </w:rPr>
        <w:tab/>
      </w:r>
      <w:r>
        <w:rPr>
          <w:spacing w:val="30"/>
          <w:sz w:val="16"/>
        </w:rPr>
        <w:t>Disponível</w:t>
      </w:r>
      <w:r>
        <w:rPr>
          <w:spacing w:val="30"/>
          <w:sz w:val="16"/>
        </w:rPr>
        <w:tab/>
      </w:r>
      <w:r>
        <w:rPr>
          <w:spacing w:val="22"/>
          <w:sz w:val="16"/>
        </w:rPr>
        <w:t>em:</w:t>
      </w:r>
      <w:r>
        <w:rPr>
          <w:spacing w:val="-10"/>
          <w:sz w:val="16"/>
        </w:rPr>
        <w:t xml:space="preserve"> </w:t>
      </w:r>
    </w:p>
    <w:p w:rsidR="00D81F69" w:rsidRDefault="00330118">
      <w:pPr>
        <w:spacing w:before="2" w:line="312" w:lineRule="auto"/>
        <w:ind w:left="100"/>
        <w:rPr>
          <w:sz w:val="16"/>
        </w:rPr>
      </w:pPr>
      <w:r>
        <w:rPr>
          <w:sz w:val="16"/>
        </w:rPr>
        <w:t>&lt;https://sisindi.indi.mg.gov.br/sistema.../cake.../2011-08-18&gt;. Acesso em: 28 dez. 2011.</w:t>
      </w:r>
    </w:p>
    <w:p w:rsidR="00D81F69" w:rsidRDefault="00330118">
      <w:pPr>
        <w:tabs>
          <w:tab w:val="left" w:pos="538"/>
          <w:tab w:val="left" w:pos="1804"/>
          <w:tab w:val="left" w:pos="2115"/>
          <w:tab w:val="left" w:pos="2659"/>
          <w:tab w:val="left" w:pos="3439"/>
          <w:tab w:val="left" w:pos="4762"/>
        </w:tabs>
        <w:spacing w:before="2" w:line="312" w:lineRule="auto"/>
        <w:ind w:left="100" w:right="40"/>
        <w:rPr>
          <w:sz w:val="16"/>
        </w:rPr>
      </w:pPr>
      <w:r>
        <w:rPr>
          <w:sz w:val="16"/>
        </w:rPr>
        <w:t xml:space="preserve">FRANCIA, Leonardo. Gerdau mais perto da autossuficiência. Diário </w:t>
      </w:r>
      <w:r>
        <w:rPr>
          <w:spacing w:val="18"/>
          <w:sz w:val="16"/>
        </w:rPr>
        <w:t>do</w:t>
      </w:r>
      <w:r>
        <w:rPr>
          <w:spacing w:val="18"/>
          <w:sz w:val="16"/>
        </w:rPr>
        <w:tab/>
      </w:r>
      <w:r>
        <w:rPr>
          <w:spacing w:val="32"/>
          <w:sz w:val="16"/>
        </w:rPr>
        <w:t>Comércio,</w:t>
      </w:r>
      <w:r>
        <w:rPr>
          <w:spacing w:val="32"/>
          <w:sz w:val="16"/>
        </w:rPr>
        <w:tab/>
      </w:r>
      <w:r>
        <w:rPr>
          <w:sz w:val="16"/>
        </w:rPr>
        <w:t>4</w:t>
      </w:r>
      <w:r>
        <w:rPr>
          <w:sz w:val="16"/>
        </w:rPr>
        <w:tab/>
      </w:r>
      <w:r>
        <w:rPr>
          <w:spacing w:val="27"/>
          <w:sz w:val="16"/>
        </w:rPr>
        <w:t>jul.</w:t>
      </w:r>
      <w:r>
        <w:rPr>
          <w:spacing w:val="27"/>
          <w:sz w:val="16"/>
        </w:rPr>
        <w:tab/>
      </w:r>
      <w:r>
        <w:rPr>
          <w:spacing w:val="30"/>
          <w:sz w:val="16"/>
        </w:rPr>
        <w:t>2012.</w:t>
      </w:r>
      <w:r>
        <w:rPr>
          <w:spacing w:val="30"/>
          <w:sz w:val="16"/>
        </w:rPr>
        <w:tab/>
      </w:r>
      <w:r>
        <w:rPr>
          <w:spacing w:val="33"/>
          <w:sz w:val="16"/>
        </w:rPr>
        <w:t>Disponível</w:t>
      </w:r>
      <w:r>
        <w:rPr>
          <w:spacing w:val="33"/>
          <w:sz w:val="16"/>
        </w:rPr>
        <w:tab/>
      </w:r>
      <w:r>
        <w:rPr>
          <w:spacing w:val="25"/>
          <w:sz w:val="16"/>
        </w:rPr>
        <w:t>em:</w:t>
      </w:r>
      <w:r>
        <w:rPr>
          <w:spacing w:val="-6"/>
          <w:sz w:val="16"/>
        </w:rPr>
        <w:t xml:space="preserve"> </w:t>
      </w:r>
    </w:p>
    <w:p w:rsidR="00D81F69" w:rsidRDefault="00D81F69">
      <w:pPr>
        <w:spacing w:before="1" w:line="312" w:lineRule="auto"/>
        <w:ind w:left="100"/>
        <w:rPr>
          <w:sz w:val="16"/>
        </w:rPr>
      </w:pPr>
      <w:hyperlink r:id="rId1225">
        <w:r w:rsidR="00330118">
          <w:rPr>
            <w:sz w:val="16"/>
          </w:rPr>
          <w:t>&lt;http://www.diariodocomercio.com.br/index.php?id=70&amp;conteudoId=1</w:t>
        </w:r>
      </w:hyperlink>
      <w:r w:rsidR="00330118">
        <w:rPr>
          <w:sz w:val="16"/>
        </w:rPr>
        <w:t xml:space="preserve"> 21172&amp;edicaoId=1276&gt;. Acesso em: 20 jul. 2012.</w:t>
      </w:r>
    </w:p>
    <w:p w:rsidR="00D81F69" w:rsidRDefault="00330118">
      <w:pPr>
        <w:tabs>
          <w:tab w:val="left" w:pos="608"/>
          <w:tab w:val="left" w:pos="1365"/>
          <w:tab w:val="left" w:pos="2546"/>
          <w:tab w:val="left" w:pos="3365"/>
          <w:tab w:val="left" w:pos="4751"/>
        </w:tabs>
        <w:spacing w:before="2" w:line="312" w:lineRule="auto"/>
        <w:ind w:left="100" w:right="38"/>
        <w:rPr>
          <w:sz w:val="16"/>
        </w:rPr>
      </w:pPr>
      <w:r>
        <w:rPr>
          <w:sz w:val="16"/>
        </w:rPr>
        <w:t xml:space="preserve">IBGE. Instituto Brasileiro de Geografia e Estatística. Ouro Preto (MG). </w:t>
      </w:r>
      <w:r>
        <w:rPr>
          <w:spacing w:val="27"/>
          <w:sz w:val="16"/>
        </w:rPr>
        <w:t>In:</w:t>
      </w:r>
      <w:r>
        <w:rPr>
          <w:spacing w:val="27"/>
          <w:sz w:val="16"/>
        </w:rPr>
        <w:tab/>
      </w:r>
      <w:r>
        <w:rPr>
          <w:spacing w:val="31"/>
          <w:sz w:val="16"/>
        </w:rPr>
        <w:t>IBGE</w:t>
      </w:r>
      <w:r>
        <w:rPr>
          <w:spacing w:val="31"/>
          <w:sz w:val="16"/>
        </w:rPr>
        <w:tab/>
      </w:r>
      <w:r>
        <w:rPr>
          <w:spacing w:val="36"/>
          <w:sz w:val="16"/>
        </w:rPr>
        <w:t>Cidades,</w:t>
      </w:r>
      <w:r>
        <w:rPr>
          <w:spacing w:val="36"/>
          <w:sz w:val="16"/>
        </w:rPr>
        <w:tab/>
      </w:r>
      <w:r>
        <w:rPr>
          <w:spacing w:val="33"/>
          <w:sz w:val="16"/>
        </w:rPr>
        <w:t>2010.</w:t>
      </w:r>
      <w:r>
        <w:rPr>
          <w:spacing w:val="33"/>
          <w:sz w:val="16"/>
        </w:rPr>
        <w:tab/>
      </w:r>
      <w:r>
        <w:rPr>
          <w:spacing w:val="37"/>
          <w:sz w:val="16"/>
        </w:rPr>
        <w:t>Disponível</w:t>
      </w:r>
      <w:r>
        <w:rPr>
          <w:spacing w:val="37"/>
          <w:sz w:val="16"/>
        </w:rPr>
        <w:tab/>
      </w:r>
      <w:r>
        <w:rPr>
          <w:spacing w:val="27"/>
          <w:sz w:val="16"/>
        </w:rPr>
        <w:t>em:</w:t>
      </w:r>
      <w:r>
        <w:rPr>
          <w:spacing w:val="-1"/>
          <w:sz w:val="16"/>
        </w:rPr>
        <w:t xml:space="preserve"> </w:t>
      </w:r>
    </w:p>
    <w:p w:rsidR="00D81F69" w:rsidRDefault="00D81F69">
      <w:pPr>
        <w:spacing w:before="1"/>
        <w:ind w:left="100"/>
        <w:rPr>
          <w:sz w:val="16"/>
        </w:rPr>
      </w:pPr>
      <w:hyperlink r:id="rId1226">
        <w:r w:rsidR="00330118">
          <w:rPr>
            <w:sz w:val="16"/>
          </w:rPr>
          <w:t>&lt;http://w</w:t>
        </w:r>
        <w:r w:rsidR="00330118">
          <w:rPr>
            <w:sz w:val="16"/>
          </w:rPr>
          <w:t>ww.ibge.gov.br/cidadesat/xtras/perfil.php?codmun=314610&amp;r</w:t>
        </w:r>
      </w:hyperlink>
    </w:p>
    <w:p w:rsidR="00D81F69" w:rsidRDefault="00330118">
      <w:pPr>
        <w:spacing w:before="56"/>
        <w:ind w:left="100"/>
        <w:rPr>
          <w:sz w:val="16"/>
        </w:rPr>
      </w:pPr>
      <w:r>
        <w:rPr>
          <w:sz w:val="16"/>
        </w:rPr>
        <w:t>=2&gt;. Acesso em: 28 dez. 2011.</w:t>
      </w:r>
    </w:p>
    <w:p w:rsidR="00D81F69" w:rsidRDefault="00330118">
      <w:pPr>
        <w:spacing w:before="57" w:line="312" w:lineRule="auto"/>
        <w:ind w:left="100" w:right="77"/>
        <w:jc w:val="both"/>
        <w:rPr>
          <w:sz w:val="16"/>
        </w:rPr>
      </w:pPr>
      <w:r>
        <w:rPr>
          <w:sz w:val="16"/>
        </w:rPr>
        <w:t xml:space="preserve">MM SOLUÇÕES. Brasil corre risco de se tornar importador do metal em 2012. Disponível em: </w:t>
      </w:r>
      <w:hyperlink r:id="rId1227">
        <w:r>
          <w:rPr>
            <w:sz w:val="16"/>
          </w:rPr>
          <w:t>&lt;http://www.mmsoluc</w:t>
        </w:r>
        <w:r>
          <w:rPr>
            <w:sz w:val="16"/>
          </w:rPr>
          <w:t>oes.net/noticias/brasil-</w:t>
        </w:r>
      </w:hyperlink>
      <w:r>
        <w:rPr>
          <w:sz w:val="16"/>
        </w:rPr>
        <w:t xml:space="preserve"> pode-se-tornar-importador-do-metal-em-2012&gt;. Acesso em: 28 dez. 2011.</w:t>
      </w:r>
    </w:p>
    <w:p w:rsidR="00D81F69" w:rsidRDefault="00330118">
      <w:pPr>
        <w:spacing w:before="3" w:line="312" w:lineRule="auto"/>
        <w:ind w:left="100"/>
        <w:rPr>
          <w:sz w:val="16"/>
        </w:rPr>
      </w:pPr>
      <w:r>
        <w:rPr>
          <w:sz w:val="16"/>
        </w:rPr>
        <w:t xml:space="preserve">MOREIRA, Ivana. Novelis para de produzir alumina em Ouro Preto. O </w:t>
      </w:r>
      <w:r>
        <w:rPr>
          <w:spacing w:val="15"/>
          <w:sz w:val="16"/>
        </w:rPr>
        <w:t xml:space="preserve">Estado </w:t>
      </w:r>
      <w:r>
        <w:rPr>
          <w:spacing w:val="10"/>
          <w:sz w:val="16"/>
        </w:rPr>
        <w:t xml:space="preserve">de </w:t>
      </w:r>
      <w:r>
        <w:rPr>
          <w:spacing w:val="12"/>
          <w:sz w:val="16"/>
        </w:rPr>
        <w:t xml:space="preserve">São </w:t>
      </w:r>
      <w:r>
        <w:rPr>
          <w:spacing w:val="15"/>
          <w:sz w:val="16"/>
        </w:rPr>
        <w:t xml:space="preserve">Paulo, </w:t>
      </w:r>
      <w:r>
        <w:rPr>
          <w:spacing w:val="10"/>
          <w:sz w:val="16"/>
        </w:rPr>
        <w:t xml:space="preserve">31 </w:t>
      </w:r>
      <w:r>
        <w:rPr>
          <w:spacing w:val="15"/>
          <w:sz w:val="16"/>
        </w:rPr>
        <w:t xml:space="preserve">jan. 2009. </w:t>
      </w:r>
      <w:r>
        <w:rPr>
          <w:spacing w:val="17"/>
          <w:sz w:val="16"/>
        </w:rPr>
        <w:t>Disponível</w:t>
      </w:r>
      <w:r>
        <w:rPr>
          <w:spacing w:val="16"/>
          <w:sz w:val="16"/>
        </w:rPr>
        <w:t xml:space="preserve"> </w:t>
      </w:r>
      <w:r>
        <w:rPr>
          <w:spacing w:val="12"/>
          <w:sz w:val="16"/>
        </w:rPr>
        <w:t>em:</w:t>
      </w:r>
      <w:r>
        <w:rPr>
          <w:spacing w:val="-25"/>
          <w:sz w:val="16"/>
        </w:rPr>
        <w:t xml:space="preserve"> </w:t>
      </w:r>
    </w:p>
    <w:p w:rsidR="00D81F69" w:rsidRDefault="00D81F69">
      <w:pPr>
        <w:spacing w:before="1" w:line="312" w:lineRule="auto"/>
        <w:ind w:left="100" w:right="88"/>
        <w:rPr>
          <w:sz w:val="16"/>
        </w:rPr>
      </w:pPr>
      <w:hyperlink r:id="rId1228">
        <w:r w:rsidR="00330118">
          <w:rPr>
            <w:sz w:val="16"/>
          </w:rPr>
          <w:t>&lt;http://www.estadao.com.br/noticias/impresso,novelis-para-de-</w:t>
        </w:r>
      </w:hyperlink>
      <w:r w:rsidR="00330118">
        <w:rPr>
          <w:sz w:val="16"/>
        </w:rPr>
        <w:t xml:space="preserve"> produzir-alumina-em-ouro-preto,315913,0.htm&gt;.</w:t>
      </w:r>
    </w:p>
    <w:p w:rsidR="00D81F69" w:rsidRDefault="00330118">
      <w:pPr>
        <w:spacing w:before="70"/>
        <w:ind w:left="100"/>
        <w:rPr>
          <w:sz w:val="16"/>
        </w:rPr>
      </w:pPr>
      <w:r>
        <w:br w:type="column"/>
      </w:r>
      <w:r>
        <w:rPr>
          <w:sz w:val="16"/>
        </w:rPr>
        <w:lastRenderedPageBreak/>
        <w:t>Acesso em: 28 dez. 2011.</w:t>
      </w:r>
    </w:p>
    <w:p w:rsidR="00D81F69" w:rsidRDefault="00330118">
      <w:pPr>
        <w:spacing w:before="56" w:line="312" w:lineRule="auto"/>
        <w:ind w:left="100" w:right="191"/>
        <w:jc w:val="both"/>
        <w:rPr>
          <w:sz w:val="16"/>
        </w:rPr>
      </w:pPr>
      <w:r>
        <w:rPr>
          <w:sz w:val="16"/>
        </w:rPr>
        <w:t>MPT-MG. Ministério Público do Trabalho de Minas Gerais. In: Repórter Brasil, Agência d</w:t>
      </w:r>
      <w:r>
        <w:rPr>
          <w:sz w:val="16"/>
        </w:rPr>
        <w:t>e Notícias, 21 maio 2010. Disponível em:</w:t>
      </w:r>
    </w:p>
    <w:p w:rsidR="00D81F69" w:rsidRDefault="00330118">
      <w:pPr>
        <w:spacing w:before="1" w:line="312" w:lineRule="auto"/>
        <w:ind w:left="100" w:right="196"/>
        <w:jc w:val="both"/>
        <w:rPr>
          <w:sz w:val="16"/>
        </w:rPr>
      </w:pPr>
      <w:r>
        <w:rPr>
          <w:sz w:val="16"/>
        </w:rPr>
        <w:t>&lt;http://www.reporterbrasil.org.br/clipping.php?id=114821/05/2010&gt;. Acesso em: 28 dez. 2011.</w:t>
      </w:r>
    </w:p>
    <w:p w:rsidR="00D81F69" w:rsidRDefault="00330118">
      <w:pPr>
        <w:spacing w:before="2" w:line="312" w:lineRule="auto"/>
        <w:ind w:left="100" w:right="190"/>
        <w:jc w:val="both"/>
        <w:rPr>
          <w:sz w:val="16"/>
        </w:rPr>
      </w:pPr>
      <w:r>
        <w:rPr>
          <w:sz w:val="16"/>
        </w:rPr>
        <w:t xml:space="preserve">NOVELIS. Sobre a Novelis. Nossa história. Site institucional. Disponível em: </w:t>
      </w:r>
      <w:hyperlink r:id="rId1229">
        <w:r>
          <w:rPr>
            <w:sz w:val="16"/>
          </w:rPr>
          <w:t>&lt;http://www.novelis.com/pt-br/Paginas/Our-</w:t>
        </w:r>
      </w:hyperlink>
      <w:r>
        <w:rPr>
          <w:sz w:val="16"/>
        </w:rPr>
        <w:t xml:space="preserve"> History.aspx&gt;. Acesso em: 28 dez. 2011.</w:t>
      </w:r>
    </w:p>
    <w:p w:rsidR="00D81F69" w:rsidRDefault="00330118">
      <w:pPr>
        <w:tabs>
          <w:tab w:val="left" w:pos="1124"/>
          <w:tab w:val="left" w:pos="2447"/>
          <w:tab w:val="left" w:pos="4635"/>
        </w:tabs>
        <w:spacing w:before="2" w:line="312" w:lineRule="auto"/>
        <w:ind w:left="100" w:right="199"/>
        <w:jc w:val="both"/>
        <w:rPr>
          <w:sz w:val="16"/>
        </w:rPr>
      </w:pPr>
      <w:r>
        <w:rPr>
          <w:sz w:val="16"/>
        </w:rPr>
        <w:t>OUROPRETO.COM.BR. Projetos Sociais aprovados pela Novelis. 29  j   u</w:t>
      </w:r>
      <w:r>
        <w:rPr>
          <w:spacing w:val="26"/>
          <w:sz w:val="16"/>
        </w:rPr>
        <w:t xml:space="preserve"> </w:t>
      </w:r>
      <w:r>
        <w:rPr>
          <w:sz w:val="16"/>
        </w:rPr>
        <w:t xml:space="preserve">l </w:t>
      </w:r>
      <w:r>
        <w:rPr>
          <w:spacing w:val="12"/>
          <w:sz w:val="16"/>
        </w:rPr>
        <w:t xml:space="preserve"> </w:t>
      </w:r>
      <w:r>
        <w:rPr>
          <w:sz w:val="16"/>
        </w:rPr>
        <w:t>.</w:t>
      </w:r>
      <w:r>
        <w:rPr>
          <w:sz w:val="16"/>
        </w:rPr>
        <w:tab/>
        <w:t>2   0   0</w:t>
      </w:r>
      <w:r>
        <w:rPr>
          <w:spacing w:val="-3"/>
          <w:sz w:val="16"/>
        </w:rPr>
        <w:t xml:space="preserve"> </w:t>
      </w:r>
      <w:r>
        <w:rPr>
          <w:sz w:val="16"/>
        </w:rPr>
        <w:t xml:space="preserve">9 </w:t>
      </w:r>
      <w:r>
        <w:rPr>
          <w:spacing w:val="12"/>
          <w:sz w:val="16"/>
        </w:rPr>
        <w:t xml:space="preserve"> </w:t>
      </w:r>
      <w:r>
        <w:rPr>
          <w:sz w:val="16"/>
        </w:rPr>
        <w:t>.</w:t>
      </w:r>
      <w:r>
        <w:rPr>
          <w:sz w:val="16"/>
        </w:rPr>
        <w:tab/>
        <w:t xml:space="preserve">D </w:t>
      </w:r>
      <w:r>
        <w:rPr>
          <w:spacing w:val="12"/>
          <w:sz w:val="16"/>
        </w:rPr>
        <w:t xml:space="preserve"> </w:t>
      </w:r>
      <w:r>
        <w:rPr>
          <w:sz w:val="16"/>
        </w:rPr>
        <w:t xml:space="preserve">i </w:t>
      </w:r>
      <w:r>
        <w:rPr>
          <w:spacing w:val="12"/>
          <w:sz w:val="16"/>
        </w:rPr>
        <w:t xml:space="preserve"> </w:t>
      </w:r>
      <w:r>
        <w:rPr>
          <w:sz w:val="16"/>
        </w:rPr>
        <w:t xml:space="preserve">s </w:t>
      </w:r>
      <w:r>
        <w:rPr>
          <w:spacing w:val="12"/>
          <w:sz w:val="16"/>
        </w:rPr>
        <w:t xml:space="preserve"> </w:t>
      </w:r>
      <w:r>
        <w:rPr>
          <w:sz w:val="16"/>
        </w:rPr>
        <w:t xml:space="preserve">p </w:t>
      </w:r>
      <w:r>
        <w:rPr>
          <w:spacing w:val="12"/>
          <w:sz w:val="16"/>
        </w:rPr>
        <w:t xml:space="preserve"> </w:t>
      </w:r>
      <w:r>
        <w:rPr>
          <w:sz w:val="16"/>
        </w:rPr>
        <w:t xml:space="preserve">o </w:t>
      </w:r>
      <w:r>
        <w:rPr>
          <w:spacing w:val="12"/>
          <w:sz w:val="16"/>
        </w:rPr>
        <w:t xml:space="preserve"> </w:t>
      </w:r>
      <w:r>
        <w:rPr>
          <w:sz w:val="16"/>
        </w:rPr>
        <w:t xml:space="preserve">n </w:t>
      </w:r>
      <w:r>
        <w:rPr>
          <w:spacing w:val="12"/>
          <w:sz w:val="16"/>
        </w:rPr>
        <w:t xml:space="preserve"> </w:t>
      </w:r>
      <w:r>
        <w:rPr>
          <w:sz w:val="16"/>
        </w:rPr>
        <w:t xml:space="preserve">í </w:t>
      </w:r>
      <w:r>
        <w:rPr>
          <w:spacing w:val="12"/>
          <w:sz w:val="16"/>
        </w:rPr>
        <w:t xml:space="preserve"> </w:t>
      </w:r>
      <w:r>
        <w:rPr>
          <w:sz w:val="16"/>
        </w:rPr>
        <w:t xml:space="preserve">v </w:t>
      </w:r>
      <w:r>
        <w:rPr>
          <w:spacing w:val="12"/>
          <w:sz w:val="16"/>
        </w:rPr>
        <w:t xml:space="preserve"> </w:t>
      </w:r>
      <w:r>
        <w:rPr>
          <w:sz w:val="16"/>
        </w:rPr>
        <w:t xml:space="preserve">e </w:t>
      </w:r>
      <w:r>
        <w:rPr>
          <w:spacing w:val="12"/>
          <w:sz w:val="16"/>
        </w:rPr>
        <w:t xml:space="preserve"> </w:t>
      </w:r>
      <w:r>
        <w:rPr>
          <w:sz w:val="16"/>
        </w:rPr>
        <w:t>l</w:t>
      </w:r>
      <w:r>
        <w:rPr>
          <w:sz w:val="16"/>
        </w:rPr>
        <w:tab/>
        <w:t>e m</w:t>
      </w:r>
      <w:r>
        <w:rPr>
          <w:spacing w:val="26"/>
          <w:sz w:val="16"/>
        </w:rPr>
        <w:t xml:space="preserve"> </w:t>
      </w:r>
      <w:r>
        <w:rPr>
          <w:sz w:val="16"/>
        </w:rPr>
        <w:t>:</w:t>
      </w:r>
    </w:p>
    <w:p w:rsidR="00D81F69" w:rsidRDefault="00D81F69">
      <w:pPr>
        <w:spacing w:before="2" w:line="312" w:lineRule="auto"/>
        <w:ind w:left="100" w:right="196"/>
        <w:jc w:val="both"/>
        <w:rPr>
          <w:sz w:val="16"/>
        </w:rPr>
      </w:pPr>
      <w:hyperlink r:id="rId1230">
        <w:r w:rsidR="00330118">
          <w:rPr>
            <w:sz w:val="16"/>
          </w:rPr>
          <w:t>&lt;http://www.ouropreto.com.br/noticias/detalhe.php?idnoticia=2122&gt;.</w:t>
        </w:r>
      </w:hyperlink>
      <w:r w:rsidR="00330118">
        <w:rPr>
          <w:sz w:val="16"/>
        </w:rPr>
        <w:t xml:space="preserve"> Acesso em: 21 jul. 2012.</w:t>
      </w:r>
    </w:p>
    <w:p w:rsidR="00D81F69" w:rsidRDefault="00330118">
      <w:pPr>
        <w:spacing w:before="2" w:line="312" w:lineRule="auto"/>
        <w:ind w:left="100" w:right="125"/>
        <w:jc w:val="both"/>
        <w:rPr>
          <w:sz w:val="16"/>
        </w:rPr>
      </w:pPr>
      <w:r>
        <w:rPr>
          <w:sz w:val="16"/>
        </w:rPr>
        <w:t xml:space="preserve">PETIÇÃO PÚBLICA. Abaixo-assinado contra  a  poluição  da  Novelis </w:t>
      </w:r>
      <w:r>
        <w:rPr>
          <w:spacing w:val="27"/>
          <w:sz w:val="16"/>
        </w:rPr>
        <w:t>e</w:t>
      </w:r>
      <w:r>
        <w:rPr>
          <w:sz w:val="16"/>
        </w:rPr>
        <w:t xml:space="preserve"> m      </w:t>
      </w:r>
      <w:r>
        <w:rPr>
          <w:sz w:val="16"/>
        </w:rPr>
        <w:t xml:space="preserve"> </w:t>
      </w:r>
      <w:r>
        <w:rPr>
          <w:spacing w:val="23"/>
          <w:sz w:val="16"/>
        </w:rPr>
        <w:t xml:space="preserve"> </w:t>
      </w:r>
      <w:r>
        <w:rPr>
          <w:spacing w:val="27"/>
          <w:sz w:val="16"/>
        </w:rPr>
        <w:t>O</w:t>
      </w:r>
      <w:r>
        <w:rPr>
          <w:sz w:val="16"/>
        </w:rPr>
        <w:t xml:space="preserve"> </w:t>
      </w:r>
      <w:r>
        <w:rPr>
          <w:spacing w:val="27"/>
          <w:sz w:val="16"/>
        </w:rPr>
        <w:t>u</w:t>
      </w:r>
      <w:r>
        <w:rPr>
          <w:sz w:val="16"/>
        </w:rPr>
        <w:t xml:space="preserve"> </w:t>
      </w:r>
      <w:r>
        <w:rPr>
          <w:spacing w:val="27"/>
          <w:sz w:val="16"/>
        </w:rPr>
        <w:t>r</w:t>
      </w:r>
      <w:r>
        <w:rPr>
          <w:sz w:val="16"/>
        </w:rPr>
        <w:t xml:space="preserve"> o       </w:t>
      </w:r>
      <w:r>
        <w:rPr>
          <w:spacing w:val="23"/>
          <w:sz w:val="16"/>
        </w:rPr>
        <w:t xml:space="preserve"> </w:t>
      </w:r>
      <w:r>
        <w:rPr>
          <w:spacing w:val="27"/>
          <w:sz w:val="16"/>
        </w:rPr>
        <w:t>P</w:t>
      </w:r>
      <w:r>
        <w:rPr>
          <w:sz w:val="16"/>
        </w:rPr>
        <w:t xml:space="preserve"> </w:t>
      </w:r>
      <w:r>
        <w:rPr>
          <w:spacing w:val="27"/>
          <w:sz w:val="16"/>
        </w:rPr>
        <w:t>r</w:t>
      </w:r>
      <w:r>
        <w:rPr>
          <w:sz w:val="16"/>
        </w:rPr>
        <w:t xml:space="preserve"> </w:t>
      </w:r>
      <w:r>
        <w:rPr>
          <w:spacing w:val="27"/>
          <w:sz w:val="16"/>
        </w:rPr>
        <w:t>e</w:t>
      </w:r>
      <w:r>
        <w:rPr>
          <w:sz w:val="16"/>
        </w:rPr>
        <w:t xml:space="preserve"> </w:t>
      </w:r>
      <w:r>
        <w:rPr>
          <w:spacing w:val="27"/>
          <w:sz w:val="16"/>
        </w:rPr>
        <w:t>t</w:t>
      </w:r>
      <w:r>
        <w:rPr>
          <w:sz w:val="16"/>
        </w:rPr>
        <w:t xml:space="preserve"> </w:t>
      </w:r>
      <w:r>
        <w:rPr>
          <w:spacing w:val="27"/>
          <w:sz w:val="16"/>
        </w:rPr>
        <w:t>o</w:t>
      </w:r>
      <w:r>
        <w:rPr>
          <w:sz w:val="16"/>
        </w:rPr>
        <w:t xml:space="preserve"> .       </w:t>
      </w:r>
      <w:r>
        <w:rPr>
          <w:spacing w:val="23"/>
          <w:sz w:val="16"/>
        </w:rPr>
        <w:t xml:space="preserve"> </w:t>
      </w:r>
      <w:r>
        <w:rPr>
          <w:spacing w:val="27"/>
          <w:sz w:val="16"/>
        </w:rPr>
        <w:t>D</w:t>
      </w:r>
      <w:r>
        <w:rPr>
          <w:sz w:val="16"/>
        </w:rPr>
        <w:t xml:space="preserve"> </w:t>
      </w:r>
      <w:r>
        <w:rPr>
          <w:spacing w:val="27"/>
          <w:sz w:val="16"/>
        </w:rPr>
        <w:t>i</w:t>
      </w:r>
      <w:r>
        <w:rPr>
          <w:sz w:val="16"/>
        </w:rPr>
        <w:t xml:space="preserve"> </w:t>
      </w:r>
      <w:r>
        <w:rPr>
          <w:spacing w:val="27"/>
          <w:sz w:val="16"/>
        </w:rPr>
        <w:t>s</w:t>
      </w:r>
      <w:r>
        <w:rPr>
          <w:sz w:val="16"/>
        </w:rPr>
        <w:t xml:space="preserve"> </w:t>
      </w:r>
      <w:r>
        <w:rPr>
          <w:spacing w:val="27"/>
          <w:sz w:val="16"/>
        </w:rPr>
        <w:t>p</w:t>
      </w:r>
      <w:r>
        <w:rPr>
          <w:sz w:val="16"/>
        </w:rPr>
        <w:t xml:space="preserve"> </w:t>
      </w:r>
      <w:r>
        <w:rPr>
          <w:spacing w:val="27"/>
          <w:sz w:val="16"/>
        </w:rPr>
        <w:t>o</w:t>
      </w:r>
      <w:r>
        <w:rPr>
          <w:sz w:val="16"/>
        </w:rPr>
        <w:t xml:space="preserve"> </w:t>
      </w:r>
      <w:r>
        <w:rPr>
          <w:spacing w:val="27"/>
          <w:sz w:val="16"/>
        </w:rPr>
        <w:t>n</w:t>
      </w:r>
      <w:r>
        <w:rPr>
          <w:sz w:val="16"/>
        </w:rPr>
        <w:t xml:space="preserve"> </w:t>
      </w:r>
      <w:r>
        <w:rPr>
          <w:spacing w:val="27"/>
          <w:sz w:val="16"/>
        </w:rPr>
        <w:t>í</w:t>
      </w:r>
      <w:r>
        <w:rPr>
          <w:sz w:val="16"/>
        </w:rPr>
        <w:t xml:space="preserve"> </w:t>
      </w:r>
      <w:r>
        <w:rPr>
          <w:spacing w:val="27"/>
          <w:sz w:val="16"/>
        </w:rPr>
        <w:t>v</w:t>
      </w:r>
      <w:r>
        <w:rPr>
          <w:sz w:val="16"/>
        </w:rPr>
        <w:t xml:space="preserve"> </w:t>
      </w:r>
      <w:r>
        <w:rPr>
          <w:spacing w:val="27"/>
          <w:sz w:val="16"/>
        </w:rPr>
        <w:t>e</w:t>
      </w:r>
      <w:r>
        <w:rPr>
          <w:sz w:val="16"/>
        </w:rPr>
        <w:t xml:space="preserve"> l       </w:t>
      </w:r>
      <w:r>
        <w:rPr>
          <w:spacing w:val="23"/>
          <w:sz w:val="16"/>
        </w:rPr>
        <w:t xml:space="preserve"> </w:t>
      </w:r>
      <w:r>
        <w:rPr>
          <w:spacing w:val="27"/>
          <w:sz w:val="16"/>
        </w:rPr>
        <w:t>e</w:t>
      </w:r>
      <w:r>
        <w:rPr>
          <w:sz w:val="16"/>
        </w:rPr>
        <w:t xml:space="preserve"> </w:t>
      </w:r>
      <w:r>
        <w:rPr>
          <w:spacing w:val="27"/>
          <w:sz w:val="16"/>
        </w:rPr>
        <w:t>m</w:t>
      </w:r>
      <w:r>
        <w:rPr>
          <w:sz w:val="16"/>
        </w:rPr>
        <w:t xml:space="preserve"> : </w:t>
      </w:r>
      <w:r>
        <w:rPr>
          <w:spacing w:val="-15"/>
          <w:sz w:val="16"/>
        </w:rPr>
        <w:t xml:space="preserve"> </w:t>
      </w:r>
    </w:p>
    <w:p w:rsidR="00D81F69" w:rsidRDefault="00D81F69">
      <w:pPr>
        <w:spacing w:before="1"/>
        <w:ind w:left="100"/>
        <w:rPr>
          <w:sz w:val="16"/>
        </w:rPr>
      </w:pPr>
      <w:hyperlink r:id="rId1231">
        <w:r w:rsidR="00330118">
          <w:rPr>
            <w:sz w:val="16"/>
          </w:rPr>
          <w:t>&lt;http://www.peticaopublica.com.br/PeticaoVer.aspx?pi=P2011N13088</w:t>
        </w:r>
      </w:hyperlink>
    </w:p>
    <w:p w:rsidR="00D81F69" w:rsidRDefault="00330118">
      <w:pPr>
        <w:spacing w:before="56"/>
        <w:ind w:left="100"/>
        <w:rPr>
          <w:sz w:val="16"/>
        </w:rPr>
      </w:pPr>
      <w:r>
        <w:rPr>
          <w:sz w:val="16"/>
        </w:rPr>
        <w:t>&gt;. Acesso em: 18 jan. 2012.</w:t>
      </w:r>
    </w:p>
    <w:p w:rsidR="00D81F69" w:rsidRDefault="00330118">
      <w:pPr>
        <w:tabs>
          <w:tab w:val="left" w:pos="4331"/>
        </w:tabs>
        <w:spacing w:before="56" w:line="312" w:lineRule="auto"/>
        <w:ind w:left="100" w:right="191"/>
        <w:jc w:val="both"/>
        <w:rPr>
          <w:sz w:val="16"/>
        </w:rPr>
      </w:pPr>
      <w:r>
        <w:rPr>
          <w:spacing w:val="3"/>
          <w:sz w:val="16"/>
        </w:rPr>
        <w:t xml:space="preserve">RESENDE, Elaine. Crise </w:t>
      </w:r>
      <w:r>
        <w:rPr>
          <w:spacing w:val="2"/>
          <w:sz w:val="16"/>
        </w:rPr>
        <w:t xml:space="preserve">leva </w:t>
      </w:r>
      <w:r>
        <w:rPr>
          <w:spacing w:val="3"/>
          <w:sz w:val="16"/>
        </w:rPr>
        <w:t xml:space="preserve">fábrica </w:t>
      </w:r>
      <w:r>
        <w:rPr>
          <w:spacing w:val="1"/>
          <w:sz w:val="16"/>
        </w:rPr>
        <w:t xml:space="preserve">em </w:t>
      </w:r>
      <w:r>
        <w:rPr>
          <w:spacing w:val="2"/>
          <w:sz w:val="16"/>
        </w:rPr>
        <w:t xml:space="preserve">Ouro </w:t>
      </w:r>
      <w:r>
        <w:rPr>
          <w:spacing w:val="3"/>
          <w:sz w:val="16"/>
        </w:rPr>
        <w:t xml:space="preserve">Preto </w:t>
      </w:r>
      <w:r>
        <w:rPr>
          <w:sz w:val="16"/>
        </w:rPr>
        <w:t xml:space="preserve">a </w:t>
      </w:r>
      <w:r>
        <w:rPr>
          <w:spacing w:val="5"/>
          <w:sz w:val="16"/>
        </w:rPr>
        <w:t xml:space="preserve">encerrar produção </w:t>
      </w:r>
      <w:r>
        <w:rPr>
          <w:sz w:val="16"/>
        </w:rPr>
        <w:t xml:space="preserve">e  </w:t>
      </w:r>
      <w:r>
        <w:rPr>
          <w:spacing w:val="5"/>
          <w:sz w:val="16"/>
        </w:rPr>
        <w:t xml:space="preserve">demitir </w:t>
      </w:r>
      <w:r>
        <w:rPr>
          <w:spacing w:val="3"/>
          <w:sz w:val="16"/>
        </w:rPr>
        <w:t xml:space="preserve">290 </w:t>
      </w:r>
      <w:r>
        <w:rPr>
          <w:spacing w:val="5"/>
          <w:sz w:val="16"/>
        </w:rPr>
        <w:t xml:space="preserve">funcionários. Portal </w:t>
      </w:r>
      <w:r>
        <w:rPr>
          <w:spacing w:val="3"/>
          <w:sz w:val="16"/>
        </w:rPr>
        <w:t xml:space="preserve">Uai, </w:t>
      </w:r>
      <w:r>
        <w:rPr>
          <w:spacing w:val="2"/>
          <w:sz w:val="16"/>
        </w:rPr>
        <w:t xml:space="preserve">30  </w:t>
      </w:r>
      <w:r>
        <w:rPr>
          <w:spacing w:val="3"/>
          <w:sz w:val="16"/>
        </w:rPr>
        <w:t xml:space="preserve">jan. </w:t>
      </w:r>
      <w:r>
        <w:rPr>
          <w:spacing w:val="5"/>
          <w:sz w:val="16"/>
        </w:rPr>
        <w:t xml:space="preserve">2009.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line="312" w:lineRule="auto"/>
        <w:ind w:left="100" w:right="191"/>
        <w:jc w:val="both"/>
        <w:rPr>
          <w:sz w:val="16"/>
        </w:rPr>
      </w:pPr>
      <w:hyperlink r:id="rId1232">
        <w:r w:rsidR="00330118">
          <w:rPr>
            <w:sz w:val="16"/>
          </w:rPr>
          <w:t>&lt;http://wwo.uai.com.br/UAI/html/sessao_4/2009/01/30/em_noticia_int</w:t>
        </w:r>
      </w:hyperlink>
      <w:r w:rsidR="00330118">
        <w:rPr>
          <w:sz w:val="16"/>
        </w:rPr>
        <w:t xml:space="preserve"> erna,id_sessao=4&amp;id_noticia=97349/em_noticia_interna.shtml&gt;. Acesso em: 28 dez. 2011.</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91" w:space="279"/>
            <w:col w:w="5310"/>
          </w:cols>
        </w:sectPr>
      </w:pPr>
    </w:p>
    <w:p w:rsidR="00D81F69" w:rsidRDefault="00330118">
      <w:pPr>
        <w:pStyle w:val="Heading1"/>
        <w:spacing w:line="208" w:lineRule="auto"/>
        <w:ind w:right="211"/>
        <w:jc w:val="both"/>
      </w:pPr>
      <w:r>
        <w:lastRenderedPageBreak/>
        <w:t>APL de Gemas, Joias e Artefatos de Pedra de Teófilo Otoni (MG) quer reduzir informalidade e resíduos da produção</w:t>
      </w:r>
    </w:p>
    <w:p w:rsidR="00D81F69" w:rsidRDefault="00D81F69">
      <w:pPr>
        <w:pStyle w:val="Corpodetexto"/>
        <w:ind w:left="0"/>
        <w:jc w:val="left"/>
        <w:rPr>
          <w:b/>
          <w:sz w:val="20"/>
        </w:rPr>
      </w:pPr>
    </w:p>
    <w:p w:rsidR="00D81F69" w:rsidRDefault="00D81F69">
      <w:pPr>
        <w:pStyle w:val="Corpodetexto"/>
        <w:spacing w:before="7"/>
        <w:ind w:left="0"/>
        <w:jc w:val="left"/>
        <w:rPr>
          <w:b/>
          <w:sz w:val="23"/>
        </w:rPr>
      </w:pPr>
    </w:p>
    <w:p w:rsidR="00D81F69" w:rsidRDefault="00330118">
      <w:pPr>
        <w:pStyle w:val="Corpodetexto"/>
        <w:spacing w:line="20" w:lineRule="exact"/>
        <w:ind w:left="2164"/>
        <w:jc w:val="left"/>
        <w:rPr>
          <w:sz w:val="2"/>
        </w:rPr>
      </w:pPr>
      <w:r>
        <w:rPr>
          <w:noProof/>
          <w:sz w:val="2"/>
          <w:lang w:val="pt-BR" w:eastAsia="pt-BR"/>
        </w:rPr>
        <w:drawing>
          <wp:inline distT="0" distB="0" distL="0" distR="0">
            <wp:extent cx="1811385" cy="9334"/>
            <wp:effectExtent l="0" t="0" r="0" b="0"/>
            <wp:docPr id="36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D81F69">
      <w:pPr>
        <w:spacing w:line="20" w:lineRule="exact"/>
        <w:rPr>
          <w:sz w:val="2"/>
        </w:rPr>
        <w:sectPr w:rsidR="00D81F69">
          <w:pgSz w:w="11900" w:h="16840"/>
          <w:pgMar w:top="1080" w:right="500" w:bottom="620" w:left="620" w:header="0" w:footer="402" w:gutter="0"/>
          <w:cols w:space="720"/>
        </w:sectPr>
      </w:pPr>
    </w:p>
    <w:p w:rsidR="00D81F69" w:rsidRDefault="00D81F69">
      <w:pPr>
        <w:pStyle w:val="Corpodetexto"/>
        <w:ind w:left="0"/>
        <w:jc w:val="left"/>
        <w:rPr>
          <w:b/>
          <w:sz w:val="15"/>
        </w:rPr>
      </w:pPr>
    </w:p>
    <w:p w:rsidR="00D81F69" w:rsidRDefault="00330118">
      <w:pPr>
        <w:ind w:left="135"/>
        <w:rPr>
          <w:i/>
          <w:sz w:val="14"/>
        </w:rPr>
      </w:pPr>
      <w:r>
        <w:rPr>
          <w:i/>
          <w:sz w:val="14"/>
        </w:rPr>
        <w:t>MUNICÍPIOS</w:t>
      </w:r>
    </w:p>
    <w:p w:rsidR="00D81F69" w:rsidRDefault="00330118">
      <w:pPr>
        <w:spacing w:before="49" w:line="312" w:lineRule="auto"/>
        <w:ind w:left="135" w:right="962"/>
        <w:rPr>
          <w:i/>
          <w:sz w:val="14"/>
        </w:rPr>
      </w:pPr>
      <w:r>
        <w:rPr>
          <w:i/>
          <w:sz w:val="14"/>
        </w:rPr>
        <w:t>MG - Araçuaí MG - Catuji</w:t>
      </w:r>
    </w:p>
    <w:p w:rsidR="00D81F69" w:rsidRDefault="00330118">
      <w:pPr>
        <w:spacing w:before="2" w:line="312" w:lineRule="auto"/>
        <w:ind w:left="135" w:right="558"/>
        <w:rPr>
          <w:i/>
          <w:sz w:val="14"/>
        </w:rPr>
      </w:pPr>
      <w:r>
        <w:rPr>
          <w:i/>
          <w:sz w:val="14"/>
        </w:rPr>
        <w:t>MG - Coronel Murta MG - Diamantina MG - Frei Gaspar</w:t>
      </w:r>
    </w:p>
    <w:p w:rsidR="00D81F69" w:rsidRDefault="00330118">
      <w:pPr>
        <w:spacing w:before="2" w:line="312" w:lineRule="auto"/>
        <w:ind w:left="135" w:right="36"/>
        <w:rPr>
          <w:i/>
          <w:sz w:val="14"/>
        </w:rPr>
      </w:pPr>
      <w:r>
        <w:rPr>
          <w:i/>
          <w:sz w:val="14"/>
        </w:rPr>
        <w:t>MG - Governador Valadares MG - I</w:t>
      </w:r>
      <w:r>
        <w:rPr>
          <w:i/>
          <w:sz w:val="14"/>
        </w:rPr>
        <w:t>tambacuri</w:t>
      </w:r>
    </w:p>
    <w:p w:rsidR="00D81F69" w:rsidRDefault="00330118">
      <w:pPr>
        <w:spacing w:before="1" w:line="312" w:lineRule="auto"/>
        <w:ind w:left="135" w:right="985"/>
        <w:rPr>
          <w:i/>
          <w:sz w:val="14"/>
        </w:rPr>
      </w:pPr>
      <w:r>
        <w:rPr>
          <w:i/>
          <w:sz w:val="14"/>
        </w:rPr>
        <w:t>MG - Itaobim MG - Medina</w:t>
      </w:r>
    </w:p>
    <w:p w:rsidR="00D81F69" w:rsidRDefault="00330118">
      <w:pPr>
        <w:spacing w:before="2"/>
        <w:ind w:left="135"/>
        <w:rPr>
          <w:i/>
          <w:sz w:val="14"/>
        </w:rPr>
      </w:pPr>
      <w:r>
        <w:rPr>
          <w:i/>
          <w:sz w:val="14"/>
        </w:rPr>
        <w:t>MG - Padre Paraíso</w:t>
      </w:r>
    </w:p>
    <w:p w:rsidR="00D81F69" w:rsidRDefault="00330118">
      <w:pPr>
        <w:spacing w:before="49" w:line="312" w:lineRule="auto"/>
        <w:ind w:left="135" w:right="38"/>
        <w:rPr>
          <w:i/>
          <w:sz w:val="14"/>
        </w:rPr>
      </w:pPr>
      <w:r>
        <w:rPr>
          <w:i/>
          <w:sz w:val="14"/>
        </w:rPr>
        <w:t>MG - Santa Maria do Suaçuí MG - São José da Safira MG - Teófilo Otoni</w:t>
      </w:r>
    </w:p>
    <w:p w:rsidR="00D81F69" w:rsidRDefault="00D81F69">
      <w:pPr>
        <w:pStyle w:val="Corpodetexto"/>
        <w:spacing w:before="5"/>
        <w:ind w:left="0"/>
        <w:jc w:val="left"/>
        <w:rPr>
          <w:i/>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-17,8588</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-41,509</w:t>
      </w:r>
    </w:p>
    <w:p w:rsidR="00D81F69" w:rsidRDefault="00330118">
      <w:pPr>
        <w:spacing w:before="25"/>
        <w:ind w:left="135"/>
        <w:rPr>
          <w:i/>
          <w:sz w:val="18"/>
        </w:rPr>
      </w:pPr>
      <w:r>
        <w:br w:type="column"/>
      </w:r>
      <w:r>
        <w:rPr>
          <w:i/>
          <w:sz w:val="18"/>
        </w:rPr>
        <w:lastRenderedPageBreak/>
        <w:t>SÍNTESE</w:t>
      </w:r>
    </w:p>
    <w:p w:rsidR="00D81F69" w:rsidRDefault="00330118">
      <w:pPr>
        <w:spacing w:before="52" w:line="312" w:lineRule="auto"/>
        <w:ind w:left="135" w:right="38"/>
        <w:jc w:val="both"/>
        <w:rPr>
          <w:i/>
          <w:sz w:val="16"/>
        </w:rPr>
      </w:pPr>
      <w:r>
        <w:rPr>
          <w:i/>
          <w:sz w:val="16"/>
        </w:rPr>
        <w:t xml:space="preserve">A região do APL de Gemas, Joias e </w:t>
      </w:r>
      <w:r>
        <w:rPr>
          <w:i/>
          <w:sz w:val="16"/>
        </w:rPr>
        <w:t>Artefatos de Pedra de Teófilo Otoni (MG) é considerada uma das maiores províncias gemológicas do mundo. A cadeia produtiva das gemas é marcada pela informalidade, pelo baixo uso de tecnologia e caracteriza-se pela busca de pedras preciosas de alto valor, o</w:t>
      </w:r>
      <w:r>
        <w:rPr>
          <w:i/>
          <w:sz w:val="16"/>
        </w:rPr>
        <w:t xml:space="preserve"> que acaba gerando grande quantidade de resíduos.</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6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145" w:line="312" w:lineRule="auto"/>
        <w:ind w:left="135" w:right="197"/>
      </w:pPr>
      <w:r>
        <w:br w:type="column"/>
      </w:r>
      <w:r>
        <w:lastRenderedPageBreak/>
        <w:t xml:space="preserve">A cadeia produtiva de gemas envolve trabalhadores nas atividades de garimpo, extração e lapidação, sendo uma fonte de geração de emprego para a população do nordeste do estado (BRASIL MINERAL, 2005). De </w:t>
      </w:r>
      <w:r>
        <w:t>acordo com estudo setorial realizado pela Associação dos Comerciantes e Exportadores de Gemas e Joias do Brasil (GEA, 1995 apud RAMOS; FERREIRA, 2008), aproximadamente 45% da população da região dependem quase que exclusivamente do setor de gemas (RAMOS; F</w:t>
      </w:r>
      <w:r>
        <w:t>ERREIRA, 2008). A atividade extrativa dos minerais se estende por uma vasta área do leste e nordeste do estado. Já a atividade de beneficiamento se concentra em algumas cidades polo da região, como: Teófilo Otoni, Governador Valadares, Diamantina e Araçuaí</w:t>
      </w:r>
      <w:r>
        <w:t xml:space="preserve"> (MATOS, 2004).</w:t>
      </w:r>
    </w:p>
    <w:p w:rsidR="00D81F69" w:rsidRDefault="00330118">
      <w:pPr>
        <w:pStyle w:val="Corpodetexto"/>
        <w:spacing w:before="80" w:line="270" w:lineRule="atLeast"/>
        <w:ind w:left="135" w:right="157"/>
      </w:pPr>
      <w:r>
        <w:t>Com 3.242 km² e 134.733 habitantes (IBGE, 2010), o município de Teófilo Otoni se caracteriza como principal polo</w:t>
      </w:r>
    </w:p>
    <w:p w:rsidR="00D81F69" w:rsidRDefault="00D81F69">
      <w:pPr>
        <w:spacing w:line="270" w:lineRule="atLeast"/>
        <w:sectPr w:rsidR="00D81F69">
          <w:type w:val="continuous"/>
          <w:pgSz w:w="11900" w:h="16840"/>
          <w:pgMar w:top="720" w:right="500" w:bottom="280" w:left="620" w:header="720" w:footer="720" w:gutter="0"/>
          <w:cols w:num="3" w:space="720" w:equalWidth="0">
            <w:col w:w="1950" w:space="50"/>
            <w:col w:w="3113" w:space="322"/>
            <w:col w:w="5345"/>
          </w:cols>
        </w:sectPr>
      </w:pPr>
    </w:p>
    <w:p w:rsidR="00D81F69" w:rsidRDefault="00330118">
      <w:pPr>
        <w:pStyle w:val="Heading4"/>
        <w:spacing w:line="213" w:lineRule="exact"/>
        <w:jc w:val="left"/>
      </w:pPr>
      <w:r>
        <w:lastRenderedPageBreak/>
        <w:t>APRESENTAÇÃO DE CASO</w:t>
      </w:r>
    </w:p>
    <w:p w:rsidR="00D81F69" w:rsidRDefault="00330118">
      <w:pPr>
        <w:pStyle w:val="Corpodetexto"/>
        <w:spacing w:before="170" w:line="312" w:lineRule="auto"/>
        <w:ind w:right="80"/>
      </w:pPr>
      <w:r>
        <w:t xml:space="preserve">A </w:t>
      </w:r>
      <w:r>
        <w:rPr>
          <w:spacing w:val="3"/>
        </w:rPr>
        <w:t xml:space="preserve">extração </w:t>
      </w:r>
      <w:r>
        <w:rPr>
          <w:spacing w:val="1"/>
        </w:rPr>
        <w:t xml:space="preserve">de </w:t>
      </w:r>
      <w:r>
        <w:rPr>
          <w:spacing w:val="3"/>
        </w:rPr>
        <w:t xml:space="preserve">gemas ocorre </w:t>
      </w:r>
      <w:r>
        <w:rPr>
          <w:spacing w:val="1"/>
        </w:rPr>
        <w:t xml:space="preserve">em </w:t>
      </w:r>
      <w:r>
        <w:rPr>
          <w:spacing w:val="3"/>
        </w:rPr>
        <w:t xml:space="preserve">grande parte </w:t>
      </w:r>
      <w:r>
        <w:rPr>
          <w:spacing w:val="1"/>
        </w:rPr>
        <w:t xml:space="preserve">do </w:t>
      </w:r>
      <w:r>
        <w:rPr>
          <w:spacing w:val="5"/>
        </w:rPr>
        <w:t xml:space="preserve">território </w:t>
      </w:r>
      <w:r>
        <w:rPr>
          <w:spacing w:val="3"/>
        </w:rPr>
        <w:t xml:space="preserve">nacional, </w:t>
      </w:r>
      <w:r>
        <w:rPr>
          <w:spacing w:val="2"/>
        </w:rPr>
        <w:t xml:space="preserve">com </w:t>
      </w:r>
      <w:r>
        <w:rPr>
          <w:spacing w:val="3"/>
        </w:rPr>
        <w:t>des</w:t>
      </w:r>
      <w:r>
        <w:rPr>
          <w:spacing w:val="3"/>
        </w:rPr>
        <w:t xml:space="preserve">taque </w:t>
      </w:r>
      <w:r>
        <w:rPr>
          <w:spacing w:val="2"/>
        </w:rPr>
        <w:t xml:space="preserve">para </w:t>
      </w:r>
      <w:r>
        <w:t xml:space="preserve">o </w:t>
      </w:r>
      <w:r>
        <w:rPr>
          <w:spacing w:val="2"/>
        </w:rPr>
        <w:t xml:space="preserve">Rio </w:t>
      </w:r>
      <w:r>
        <w:rPr>
          <w:spacing w:val="3"/>
        </w:rPr>
        <w:t xml:space="preserve">Grande </w:t>
      </w:r>
      <w:r>
        <w:rPr>
          <w:spacing w:val="1"/>
        </w:rPr>
        <w:t xml:space="preserve">do </w:t>
      </w:r>
      <w:r>
        <w:rPr>
          <w:spacing w:val="2"/>
        </w:rPr>
        <w:t xml:space="preserve">Sul, </w:t>
      </w:r>
      <w:r>
        <w:rPr>
          <w:spacing w:val="5"/>
        </w:rPr>
        <w:t xml:space="preserve">Goiás, </w:t>
      </w:r>
      <w:r>
        <w:t>Espírito Santo, além de vários estados do Nordeste brasileiro e de Minas Gerais, onde se situa a maior parte da Província Pegmatítica Oriental, uma das maiores províncias gemíferas do mundo (MATOS, 2004). Minas Gerais</w:t>
      </w:r>
      <w:r>
        <w:t xml:space="preserve"> responde por 80% </w:t>
      </w:r>
      <w:r>
        <w:rPr>
          <w:spacing w:val="5"/>
        </w:rPr>
        <w:t xml:space="preserve">da </w:t>
      </w:r>
      <w:r>
        <w:rPr>
          <w:spacing w:val="10"/>
        </w:rPr>
        <w:t xml:space="preserve">produção nacional </w:t>
      </w:r>
      <w:r>
        <w:rPr>
          <w:spacing w:val="5"/>
        </w:rPr>
        <w:t xml:space="preserve">de </w:t>
      </w:r>
      <w:r>
        <w:rPr>
          <w:spacing w:val="10"/>
        </w:rPr>
        <w:t xml:space="preserve">pedras preciosas </w:t>
      </w:r>
      <w:r>
        <w:rPr>
          <w:spacing w:val="11"/>
        </w:rPr>
        <w:t xml:space="preserve">(BRASIL </w:t>
      </w:r>
      <w:r>
        <w:rPr>
          <w:spacing w:val="10"/>
        </w:rPr>
        <w:t>MINERAL,</w:t>
      </w:r>
      <w:r>
        <w:rPr>
          <w:spacing w:val="60"/>
        </w:rPr>
        <w:t xml:space="preserve"> </w:t>
      </w:r>
      <w:r>
        <w:rPr>
          <w:spacing w:val="11"/>
        </w:rPr>
        <w:t>2005).</w:t>
      </w:r>
    </w:p>
    <w:p w:rsidR="00D81F69" w:rsidRDefault="00330118">
      <w:pPr>
        <w:pStyle w:val="Corpodetexto"/>
        <w:spacing w:before="137" w:line="312" w:lineRule="auto"/>
        <w:ind w:right="125"/>
        <w:jc w:val="left"/>
      </w:pPr>
      <w:r>
        <w:t xml:space="preserve">A </w:t>
      </w:r>
      <w:r>
        <w:rPr>
          <w:spacing w:val="5"/>
        </w:rPr>
        <w:t xml:space="preserve">região </w:t>
      </w:r>
      <w:r>
        <w:rPr>
          <w:spacing w:val="2"/>
        </w:rPr>
        <w:t xml:space="preserve">de </w:t>
      </w:r>
      <w:r>
        <w:rPr>
          <w:spacing w:val="5"/>
        </w:rPr>
        <w:t xml:space="preserve">garimpos </w:t>
      </w:r>
      <w:r>
        <w:rPr>
          <w:spacing w:val="2"/>
        </w:rPr>
        <w:t xml:space="preserve">de </w:t>
      </w:r>
      <w:r>
        <w:rPr>
          <w:spacing w:val="5"/>
        </w:rPr>
        <w:t xml:space="preserve">gemas </w:t>
      </w:r>
      <w:r>
        <w:t xml:space="preserve">e </w:t>
      </w:r>
      <w:r>
        <w:rPr>
          <w:spacing w:val="5"/>
        </w:rPr>
        <w:t xml:space="preserve">pedras preciosas </w:t>
      </w:r>
      <w:r>
        <w:rPr>
          <w:spacing w:val="6"/>
        </w:rPr>
        <w:t xml:space="preserve">no </w:t>
      </w:r>
      <w:r>
        <w:rPr>
          <w:spacing w:val="3"/>
        </w:rPr>
        <w:t xml:space="preserve">nordeste </w:t>
      </w:r>
      <w:r>
        <w:rPr>
          <w:spacing w:val="1"/>
        </w:rPr>
        <w:t xml:space="preserve">do </w:t>
      </w:r>
      <w:r>
        <w:rPr>
          <w:spacing w:val="3"/>
        </w:rPr>
        <w:t xml:space="preserve">estado </w:t>
      </w:r>
      <w:r>
        <w:rPr>
          <w:spacing w:val="1"/>
        </w:rPr>
        <w:t xml:space="preserve">de </w:t>
      </w:r>
      <w:r>
        <w:rPr>
          <w:spacing w:val="3"/>
        </w:rPr>
        <w:t xml:space="preserve">Minas Gerais possui extensão </w:t>
      </w:r>
      <w:r>
        <w:rPr>
          <w:spacing w:val="5"/>
        </w:rPr>
        <w:t xml:space="preserve">de </w:t>
      </w:r>
      <w:r>
        <w:rPr>
          <w:spacing w:val="3"/>
        </w:rPr>
        <w:t xml:space="preserve">cerca </w:t>
      </w:r>
      <w:r>
        <w:rPr>
          <w:spacing w:val="2"/>
        </w:rPr>
        <w:t xml:space="preserve">de </w:t>
      </w:r>
      <w:r>
        <w:rPr>
          <w:spacing w:val="5"/>
        </w:rPr>
        <w:t xml:space="preserve">100.000 </w:t>
      </w:r>
      <w:r>
        <w:rPr>
          <w:spacing w:val="3"/>
        </w:rPr>
        <w:t xml:space="preserve">km², </w:t>
      </w:r>
      <w:r>
        <w:rPr>
          <w:spacing w:val="5"/>
        </w:rPr>
        <w:t xml:space="preserve">compreende aproximadamente 90 </w:t>
      </w:r>
      <w:r>
        <w:t xml:space="preserve">municípios e está situada nos vales do Mucuri, Jequitinhonha  e </w:t>
      </w:r>
      <w:r>
        <w:rPr>
          <w:spacing w:val="2"/>
        </w:rPr>
        <w:t xml:space="preserve">São </w:t>
      </w:r>
      <w:r>
        <w:rPr>
          <w:spacing w:val="3"/>
        </w:rPr>
        <w:t xml:space="preserve">Mateus. Apesar </w:t>
      </w:r>
      <w:r>
        <w:rPr>
          <w:spacing w:val="1"/>
        </w:rPr>
        <w:t xml:space="preserve">da </w:t>
      </w:r>
      <w:r>
        <w:rPr>
          <w:spacing w:val="3"/>
        </w:rPr>
        <w:t xml:space="preserve">riqueza mineral, </w:t>
      </w:r>
      <w:r>
        <w:t xml:space="preserve">o </w:t>
      </w:r>
      <w:r>
        <w:rPr>
          <w:spacing w:val="3"/>
        </w:rPr>
        <w:t xml:space="preserve">nordeste </w:t>
      </w:r>
      <w:r>
        <w:rPr>
          <w:spacing w:val="5"/>
        </w:rPr>
        <w:t xml:space="preserve">de </w:t>
      </w:r>
      <w:r>
        <w:rPr>
          <w:spacing w:val="3"/>
        </w:rPr>
        <w:t xml:space="preserve">Minas Gerais </w:t>
      </w:r>
      <w:r>
        <w:t xml:space="preserve">é a </w:t>
      </w:r>
      <w:r>
        <w:rPr>
          <w:spacing w:val="3"/>
        </w:rPr>
        <w:t xml:space="preserve">localidade </w:t>
      </w:r>
      <w:r>
        <w:rPr>
          <w:spacing w:val="2"/>
        </w:rPr>
        <w:t xml:space="preserve">mais </w:t>
      </w:r>
      <w:r>
        <w:rPr>
          <w:spacing w:val="3"/>
        </w:rPr>
        <w:t xml:space="preserve">pobre </w:t>
      </w:r>
      <w:r>
        <w:rPr>
          <w:spacing w:val="1"/>
        </w:rPr>
        <w:t xml:space="preserve">do </w:t>
      </w:r>
      <w:r>
        <w:rPr>
          <w:spacing w:val="3"/>
        </w:rPr>
        <w:t xml:space="preserve">estado. </w:t>
      </w:r>
      <w:r>
        <w:rPr>
          <w:spacing w:val="5"/>
        </w:rPr>
        <w:t xml:space="preserve">Esta </w:t>
      </w:r>
      <w:r>
        <w:rPr>
          <w:spacing w:val="3"/>
        </w:rPr>
        <w:t xml:space="preserve">condição </w:t>
      </w:r>
      <w:r>
        <w:t xml:space="preserve">é </w:t>
      </w:r>
      <w:r>
        <w:rPr>
          <w:spacing w:val="3"/>
        </w:rPr>
        <w:t xml:space="preserve">agravada </w:t>
      </w:r>
      <w:r>
        <w:rPr>
          <w:spacing w:val="2"/>
        </w:rPr>
        <w:t xml:space="preserve">pelo fato </w:t>
      </w:r>
      <w:r>
        <w:rPr>
          <w:spacing w:val="1"/>
        </w:rPr>
        <w:t xml:space="preserve">de </w:t>
      </w:r>
      <w:r>
        <w:t xml:space="preserve">a </w:t>
      </w:r>
      <w:r>
        <w:rPr>
          <w:spacing w:val="3"/>
        </w:rPr>
        <w:t xml:space="preserve">produção mineral </w:t>
      </w:r>
      <w:r>
        <w:rPr>
          <w:spacing w:val="5"/>
        </w:rPr>
        <w:t xml:space="preserve">da </w:t>
      </w:r>
      <w:r>
        <w:rPr>
          <w:spacing w:val="10"/>
        </w:rPr>
        <w:t xml:space="preserve">região </w:t>
      </w:r>
      <w:r>
        <w:rPr>
          <w:spacing w:val="7"/>
        </w:rPr>
        <w:t xml:space="preserve">ser </w:t>
      </w:r>
      <w:r>
        <w:rPr>
          <w:spacing w:val="10"/>
        </w:rPr>
        <w:t xml:space="preserve">exportada </w:t>
      </w:r>
      <w:r>
        <w:rPr>
          <w:spacing w:val="5"/>
        </w:rPr>
        <w:t xml:space="preserve">na </w:t>
      </w:r>
      <w:r>
        <w:rPr>
          <w:spacing w:val="8"/>
        </w:rPr>
        <w:t>forma</w:t>
      </w:r>
      <w:r>
        <w:rPr>
          <w:spacing w:val="8"/>
        </w:rPr>
        <w:t xml:space="preserve"> </w:t>
      </w:r>
      <w:r>
        <w:rPr>
          <w:spacing w:val="10"/>
        </w:rPr>
        <w:t xml:space="preserve">bruta, </w:t>
      </w:r>
      <w:r>
        <w:rPr>
          <w:spacing w:val="7"/>
        </w:rPr>
        <w:t xml:space="preserve">sem </w:t>
      </w:r>
      <w:r>
        <w:rPr>
          <w:spacing w:val="11"/>
        </w:rPr>
        <w:t xml:space="preserve">nenhuma </w:t>
      </w:r>
      <w:r>
        <w:t xml:space="preserve">transformação ou beneficiamento, para outras partes do país  e </w:t>
      </w:r>
      <w:r>
        <w:rPr>
          <w:spacing w:val="3"/>
        </w:rPr>
        <w:t xml:space="preserve">também </w:t>
      </w:r>
      <w:r>
        <w:rPr>
          <w:spacing w:val="2"/>
        </w:rPr>
        <w:t xml:space="preserve">para </w:t>
      </w:r>
      <w:r>
        <w:t xml:space="preserve">o </w:t>
      </w:r>
      <w:r>
        <w:rPr>
          <w:spacing w:val="3"/>
        </w:rPr>
        <w:t xml:space="preserve">exterior, impedindo </w:t>
      </w:r>
      <w:r>
        <w:rPr>
          <w:spacing w:val="2"/>
        </w:rPr>
        <w:t xml:space="preserve">que </w:t>
      </w:r>
      <w:r>
        <w:t xml:space="preserve">a </w:t>
      </w:r>
      <w:r>
        <w:rPr>
          <w:spacing w:val="3"/>
        </w:rPr>
        <w:t xml:space="preserve">localidade </w:t>
      </w:r>
      <w:r>
        <w:rPr>
          <w:spacing w:val="5"/>
        </w:rPr>
        <w:t xml:space="preserve">se </w:t>
      </w:r>
      <w:r>
        <w:t>beneficie do valor agregado a sua produção (ASSOCIAÇÃO DOS COMERCIANTES E EXPORTADORES DE GEMAS E JOIAS</w:t>
      </w:r>
      <w:r>
        <w:rPr>
          <w:spacing w:val="18"/>
        </w:rPr>
        <w:t xml:space="preserve"> </w:t>
      </w:r>
      <w:r>
        <w:t>DO</w:t>
      </w:r>
      <w:r>
        <w:rPr>
          <w:spacing w:val="18"/>
        </w:rPr>
        <w:t xml:space="preserve"> </w:t>
      </w:r>
      <w:r>
        <w:t>BRASIL,</w:t>
      </w:r>
      <w:r>
        <w:rPr>
          <w:spacing w:val="18"/>
        </w:rPr>
        <w:t xml:space="preserve"> </w:t>
      </w:r>
      <w:r>
        <w:t>1993</w:t>
      </w:r>
      <w:r>
        <w:rPr>
          <w:spacing w:val="18"/>
        </w:rPr>
        <w:t xml:space="preserve"> </w:t>
      </w:r>
      <w:r>
        <w:t>apud</w:t>
      </w:r>
      <w:r>
        <w:rPr>
          <w:spacing w:val="18"/>
        </w:rPr>
        <w:t xml:space="preserve"> </w:t>
      </w:r>
      <w:r>
        <w:t>LIMA</w:t>
      </w:r>
      <w:r>
        <w:rPr>
          <w:spacing w:val="18"/>
        </w:rPr>
        <w:t xml:space="preserve"> </w:t>
      </w:r>
      <w:r>
        <w:t>et</w:t>
      </w:r>
      <w:r>
        <w:rPr>
          <w:spacing w:val="18"/>
        </w:rPr>
        <w:t xml:space="preserve"> </w:t>
      </w:r>
      <w:r>
        <w:t>al.,</w:t>
      </w:r>
      <w:r>
        <w:rPr>
          <w:spacing w:val="18"/>
        </w:rPr>
        <w:t xml:space="preserve"> </w:t>
      </w:r>
      <w:r>
        <w:rPr>
          <w:spacing w:val="1"/>
        </w:rPr>
        <w:t>2004).</w:t>
      </w:r>
    </w:p>
    <w:p w:rsidR="00D81F69" w:rsidRDefault="00330118">
      <w:pPr>
        <w:pStyle w:val="Corpodetexto"/>
        <w:spacing w:before="79" w:line="270" w:lineRule="atLeast"/>
        <w:ind w:right="72"/>
      </w:pPr>
      <w:r>
        <w:t xml:space="preserve">A </w:t>
      </w:r>
      <w:r>
        <w:rPr>
          <w:spacing w:val="3"/>
        </w:rPr>
        <w:t xml:space="preserve">região </w:t>
      </w:r>
      <w:r>
        <w:rPr>
          <w:spacing w:val="2"/>
        </w:rPr>
        <w:t xml:space="preserve">vem </w:t>
      </w:r>
      <w:r>
        <w:rPr>
          <w:spacing w:val="3"/>
        </w:rPr>
        <w:t xml:space="preserve">sendo explorada </w:t>
      </w:r>
      <w:r>
        <w:rPr>
          <w:spacing w:val="1"/>
        </w:rPr>
        <w:t xml:space="preserve">há </w:t>
      </w:r>
      <w:r>
        <w:rPr>
          <w:spacing w:val="2"/>
        </w:rPr>
        <w:t xml:space="preserve">mais </w:t>
      </w:r>
      <w:r>
        <w:rPr>
          <w:spacing w:val="1"/>
        </w:rPr>
        <w:t xml:space="preserve">de 50 </w:t>
      </w:r>
      <w:r>
        <w:rPr>
          <w:spacing w:val="3"/>
        </w:rPr>
        <w:t xml:space="preserve">anos, </w:t>
      </w:r>
      <w:r>
        <w:rPr>
          <w:spacing w:val="5"/>
        </w:rPr>
        <w:t xml:space="preserve">mas </w:t>
      </w:r>
      <w:r>
        <w:t xml:space="preserve">ainda não há conhecimento detalhado sobre a geologia das </w:t>
      </w:r>
      <w:r>
        <w:rPr>
          <w:spacing w:val="3"/>
        </w:rPr>
        <w:t xml:space="preserve">áreas produtoras </w:t>
      </w:r>
      <w:r>
        <w:rPr>
          <w:spacing w:val="1"/>
        </w:rPr>
        <w:t xml:space="preserve">de </w:t>
      </w:r>
      <w:r>
        <w:rPr>
          <w:spacing w:val="3"/>
        </w:rPr>
        <w:t xml:space="preserve">gemas. Assim, alguns garimpos </w:t>
      </w:r>
      <w:r>
        <w:rPr>
          <w:spacing w:val="5"/>
        </w:rPr>
        <w:t xml:space="preserve">que </w:t>
      </w:r>
      <w:r>
        <w:t xml:space="preserve">foram abandonados em função da inexistência de um plano </w:t>
      </w:r>
      <w:r>
        <w:rPr>
          <w:spacing w:val="3"/>
        </w:rPr>
        <w:t xml:space="preserve">de </w:t>
      </w:r>
      <w:r>
        <w:rPr>
          <w:spacing w:val="6"/>
        </w:rPr>
        <w:t xml:space="preserve">trabalho </w:t>
      </w:r>
      <w:r>
        <w:rPr>
          <w:spacing w:val="5"/>
        </w:rPr>
        <w:t xml:space="preserve">que </w:t>
      </w:r>
      <w:r>
        <w:rPr>
          <w:spacing w:val="6"/>
        </w:rPr>
        <w:t xml:space="preserve">orientasse </w:t>
      </w:r>
      <w:r>
        <w:t xml:space="preserve">a </w:t>
      </w:r>
      <w:r>
        <w:rPr>
          <w:spacing w:val="6"/>
        </w:rPr>
        <w:t xml:space="preserve">extração </w:t>
      </w:r>
      <w:r>
        <w:rPr>
          <w:spacing w:val="3"/>
        </w:rPr>
        <w:t xml:space="preserve">ou </w:t>
      </w:r>
      <w:r>
        <w:rPr>
          <w:spacing w:val="5"/>
        </w:rPr>
        <w:t xml:space="preserve">por </w:t>
      </w:r>
      <w:r>
        <w:rPr>
          <w:spacing w:val="7"/>
        </w:rPr>
        <w:t xml:space="preserve">estarem </w:t>
      </w:r>
      <w:r>
        <w:rPr>
          <w:spacing w:val="6"/>
        </w:rPr>
        <w:t xml:space="preserve">voltados </w:t>
      </w:r>
      <w:r>
        <w:rPr>
          <w:spacing w:val="5"/>
        </w:rPr>
        <w:t xml:space="preserve">para </w:t>
      </w:r>
      <w:r>
        <w:t xml:space="preserve">a </w:t>
      </w:r>
      <w:r>
        <w:rPr>
          <w:spacing w:val="5"/>
        </w:rPr>
        <w:t xml:space="preserve">busca </w:t>
      </w:r>
      <w:r>
        <w:rPr>
          <w:spacing w:val="3"/>
        </w:rPr>
        <w:t xml:space="preserve">de </w:t>
      </w:r>
      <w:r>
        <w:rPr>
          <w:spacing w:val="5"/>
        </w:rPr>
        <w:t xml:space="preserve">uma </w:t>
      </w:r>
      <w:r>
        <w:rPr>
          <w:spacing w:val="6"/>
        </w:rPr>
        <w:t xml:space="preserve">determinada </w:t>
      </w:r>
      <w:r>
        <w:rPr>
          <w:spacing w:val="5"/>
        </w:rPr>
        <w:t xml:space="preserve">gema, </w:t>
      </w:r>
      <w:r>
        <w:rPr>
          <w:spacing w:val="7"/>
        </w:rPr>
        <w:t xml:space="preserve">são </w:t>
      </w:r>
      <w:r>
        <w:rPr>
          <w:spacing w:val="5"/>
        </w:rPr>
        <w:t xml:space="preserve">retomados, tempos depois, </w:t>
      </w:r>
      <w:r>
        <w:t xml:space="preserve">e </w:t>
      </w:r>
      <w:r>
        <w:rPr>
          <w:spacing w:val="2"/>
        </w:rPr>
        <w:t xml:space="preserve">se </w:t>
      </w:r>
      <w:r>
        <w:rPr>
          <w:spacing w:val="5"/>
        </w:rPr>
        <w:t xml:space="preserve">tornam produtivos. </w:t>
      </w:r>
      <w:r>
        <w:rPr>
          <w:spacing w:val="6"/>
        </w:rPr>
        <w:t xml:space="preserve">Tal </w:t>
      </w:r>
      <w:r>
        <w:rPr>
          <w:spacing w:val="17"/>
        </w:rPr>
        <w:t xml:space="preserve">prática </w:t>
      </w:r>
      <w:r>
        <w:rPr>
          <w:spacing w:val="13"/>
        </w:rPr>
        <w:t xml:space="preserve">tem </w:t>
      </w:r>
      <w:r>
        <w:rPr>
          <w:spacing w:val="20"/>
        </w:rPr>
        <w:t xml:space="preserve">representado desperdícios, </w:t>
      </w:r>
      <w:r>
        <w:rPr>
          <w:spacing w:val="17"/>
        </w:rPr>
        <w:t xml:space="preserve">gastos </w:t>
      </w:r>
      <w:r>
        <w:rPr>
          <w:spacing w:val="10"/>
        </w:rPr>
        <w:t xml:space="preserve">desnecessários </w:t>
      </w:r>
      <w:r>
        <w:t xml:space="preserve">e </w:t>
      </w:r>
      <w:r>
        <w:rPr>
          <w:spacing w:val="8"/>
        </w:rPr>
        <w:t xml:space="preserve">baixa </w:t>
      </w:r>
      <w:r>
        <w:rPr>
          <w:spacing w:val="10"/>
        </w:rPr>
        <w:t>produtividade (IBGM,</w:t>
      </w:r>
      <w:r>
        <w:rPr>
          <w:spacing w:val="25"/>
        </w:rPr>
        <w:t xml:space="preserve"> </w:t>
      </w:r>
      <w:r>
        <w:rPr>
          <w:spacing w:val="11"/>
        </w:rPr>
        <w:t>2005).</w:t>
      </w:r>
    </w:p>
    <w:p w:rsidR="00D81F69" w:rsidRDefault="00330118">
      <w:pPr>
        <w:pStyle w:val="Corpodetexto"/>
        <w:spacing w:before="63" w:line="312" w:lineRule="auto"/>
        <w:ind w:right="159"/>
        <w:jc w:val="left"/>
      </w:pPr>
      <w:r>
        <w:br w:type="column"/>
      </w:r>
      <w:r>
        <w:rPr>
          <w:spacing w:val="2"/>
        </w:rPr>
        <w:lastRenderedPageBreak/>
        <w:t xml:space="preserve">de </w:t>
      </w:r>
      <w:r>
        <w:rPr>
          <w:spacing w:val="5"/>
        </w:rPr>
        <w:t xml:space="preserve">beneficiamento </w:t>
      </w:r>
      <w:r>
        <w:t xml:space="preserve">e </w:t>
      </w:r>
      <w:r>
        <w:rPr>
          <w:spacing w:val="2"/>
        </w:rPr>
        <w:t xml:space="preserve">de </w:t>
      </w:r>
      <w:r>
        <w:rPr>
          <w:spacing w:val="5"/>
        </w:rPr>
        <w:t xml:space="preserve">exportação </w:t>
      </w:r>
      <w:r>
        <w:rPr>
          <w:spacing w:val="2"/>
        </w:rPr>
        <w:t xml:space="preserve">de </w:t>
      </w:r>
      <w:r>
        <w:rPr>
          <w:spacing w:val="3"/>
        </w:rPr>
        <w:t xml:space="preserve">gemas </w:t>
      </w:r>
      <w:r>
        <w:rPr>
          <w:spacing w:val="2"/>
        </w:rPr>
        <w:t xml:space="preserve">na </w:t>
      </w:r>
      <w:r>
        <w:rPr>
          <w:spacing w:val="5"/>
        </w:rPr>
        <w:t xml:space="preserve">região. </w:t>
      </w:r>
      <w:r>
        <w:rPr>
          <w:spacing w:val="11"/>
        </w:rPr>
        <w:t xml:space="preserve">Recebe matéria prima </w:t>
      </w:r>
      <w:r>
        <w:rPr>
          <w:spacing w:val="12"/>
        </w:rPr>
        <w:t xml:space="preserve">extraída </w:t>
      </w:r>
      <w:r>
        <w:rPr>
          <w:spacing w:val="6"/>
        </w:rPr>
        <w:t xml:space="preserve">em </w:t>
      </w:r>
      <w:r>
        <w:rPr>
          <w:spacing w:val="10"/>
        </w:rPr>
        <w:t xml:space="preserve">todo </w:t>
      </w:r>
      <w:r>
        <w:t xml:space="preserve">o </w:t>
      </w:r>
      <w:r>
        <w:rPr>
          <w:spacing w:val="10"/>
        </w:rPr>
        <w:t xml:space="preserve">Vale </w:t>
      </w:r>
      <w:r>
        <w:rPr>
          <w:spacing w:val="15"/>
        </w:rPr>
        <w:t xml:space="preserve">do </w:t>
      </w:r>
      <w:r>
        <w:rPr>
          <w:spacing w:val="8"/>
        </w:rPr>
        <w:t xml:space="preserve">Jequitinhonha </w:t>
      </w:r>
      <w:r>
        <w:t xml:space="preserve">e </w:t>
      </w:r>
      <w:r>
        <w:rPr>
          <w:spacing w:val="7"/>
        </w:rPr>
        <w:t xml:space="preserve">Mucuri </w:t>
      </w:r>
      <w:r>
        <w:t xml:space="preserve">e </w:t>
      </w:r>
      <w:r>
        <w:rPr>
          <w:spacing w:val="6"/>
        </w:rPr>
        <w:t xml:space="preserve">atua como sede </w:t>
      </w:r>
      <w:r>
        <w:rPr>
          <w:spacing w:val="5"/>
        </w:rPr>
        <w:t xml:space="preserve">do </w:t>
      </w:r>
      <w:r>
        <w:rPr>
          <w:spacing w:val="10"/>
        </w:rPr>
        <w:t xml:space="preserve">Arranjo </w:t>
      </w:r>
      <w:r>
        <w:t xml:space="preserve">Produtivo Local (APL) de Gemas, Joias e Artefatos de Pedra </w:t>
      </w:r>
      <w:r>
        <w:rPr>
          <w:spacing w:val="2"/>
        </w:rPr>
        <w:t xml:space="preserve">de </w:t>
      </w:r>
      <w:r>
        <w:rPr>
          <w:spacing w:val="5"/>
        </w:rPr>
        <w:t xml:space="preserve">Teófilo </w:t>
      </w:r>
      <w:r>
        <w:rPr>
          <w:spacing w:val="3"/>
        </w:rPr>
        <w:t xml:space="preserve">Otoni </w:t>
      </w:r>
      <w:r>
        <w:rPr>
          <w:spacing w:val="5"/>
        </w:rPr>
        <w:t xml:space="preserve">(RAMOS; FERREIRA, 2008). </w:t>
      </w:r>
      <w:r>
        <w:t xml:space="preserve">O </w:t>
      </w:r>
      <w:r>
        <w:rPr>
          <w:spacing w:val="5"/>
        </w:rPr>
        <w:t>Arr</w:t>
      </w:r>
      <w:r>
        <w:rPr>
          <w:spacing w:val="5"/>
        </w:rPr>
        <w:t>anjo</w:t>
      </w:r>
      <w:r>
        <w:rPr>
          <w:spacing w:val="61"/>
        </w:rPr>
        <w:t xml:space="preserve"> </w:t>
      </w:r>
      <w:r>
        <w:t xml:space="preserve">abrange 22 municípios nas microrregiões de Teófilo Otoni e </w:t>
      </w:r>
      <w:r>
        <w:rPr>
          <w:spacing w:val="6"/>
        </w:rPr>
        <w:t xml:space="preserve">Araçuaí, localizados </w:t>
      </w:r>
      <w:r>
        <w:rPr>
          <w:spacing w:val="5"/>
        </w:rPr>
        <w:t xml:space="preserve">numa área </w:t>
      </w:r>
      <w:r>
        <w:rPr>
          <w:spacing w:val="3"/>
        </w:rPr>
        <w:t xml:space="preserve">de </w:t>
      </w:r>
      <w:r>
        <w:rPr>
          <w:spacing w:val="5"/>
        </w:rPr>
        <w:t xml:space="preserve">23.290 km² </w:t>
      </w:r>
      <w:r>
        <w:rPr>
          <w:spacing w:val="7"/>
        </w:rPr>
        <w:t xml:space="preserve">(SILVA; </w:t>
      </w:r>
      <w:r>
        <w:rPr>
          <w:spacing w:val="6"/>
        </w:rPr>
        <w:t>LAMEIRAS,</w:t>
      </w:r>
      <w:r>
        <w:rPr>
          <w:spacing w:val="43"/>
        </w:rPr>
        <w:t xml:space="preserve"> </w:t>
      </w:r>
      <w:r>
        <w:rPr>
          <w:spacing w:val="7"/>
        </w:rPr>
        <w:t>2009).</w:t>
      </w:r>
    </w:p>
    <w:p w:rsidR="00D81F69" w:rsidRDefault="00330118">
      <w:pPr>
        <w:pStyle w:val="Corpodetexto"/>
        <w:spacing w:before="138" w:line="312" w:lineRule="auto"/>
        <w:ind w:right="207"/>
      </w:pPr>
      <w:r>
        <w:t xml:space="preserve">A origem do setor de gemas na região e na cidade de Teófilo </w:t>
      </w:r>
      <w:r>
        <w:rPr>
          <w:spacing w:val="3"/>
        </w:rPr>
        <w:t xml:space="preserve">Otoni </w:t>
      </w:r>
      <w:r>
        <w:rPr>
          <w:spacing w:val="1"/>
        </w:rPr>
        <w:t xml:space="preserve">se </w:t>
      </w:r>
      <w:r>
        <w:rPr>
          <w:spacing w:val="3"/>
        </w:rPr>
        <w:t xml:space="preserve">confunde </w:t>
      </w:r>
      <w:r>
        <w:rPr>
          <w:spacing w:val="2"/>
        </w:rPr>
        <w:t xml:space="preserve">com </w:t>
      </w:r>
      <w:r>
        <w:t xml:space="preserve">a </w:t>
      </w:r>
      <w:r>
        <w:rPr>
          <w:spacing w:val="3"/>
        </w:rPr>
        <w:t xml:space="preserve">história </w:t>
      </w:r>
      <w:r>
        <w:rPr>
          <w:spacing w:val="1"/>
        </w:rPr>
        <w:t xml:space="preserve">da </w:t>
      </w:r>
      <w:r>
        <w:rPr>
          <w:spacing w:val="3"/>
        </w:rPr>
        <w:t xml:space="preserve">ocupação </w:t>
      </w:r>
      <w:r>
        <w:rPr>
          <w:spacing w:val="1"/>
        </w:rPr>
        <w:t xml:space="preserve">do </w:t>
      </w:r>
      <w:r>
        <w:rPr>
          <w:spacing w:val="5"/>
        </w:rPr>
        <w:t xml:space="preserve">próprio </w:t>
      </w:r>
      <w:r>
        <w:t xml:space="preserve">local, que se deve, em grande parte, à busca pelas riquezas de seu subsolo. Um fator importante para o nascimento da indústria de lapidação foi a vinda de imigrantes alemães da região de Idar Oberstein no século XIX, que já trabalhavam com o processamento </w:t>
      </w:r>
      <w:r>
        <w:t xml:space="preserve">de gemas. Esses imigrantes trouxeram na bagagem know-how ao setor e deram início à lapidação de gemas na cidade. Teófilo Otoni se tornou, assim, um polo de indústria e comércio devido ao fato de a indústria de gemas </w:t>
      </w:r>
      <w:r>
        <w:rPr>
          <w:spacing w:val="2"/>
        </w:rPr>
        <w:t xml:space="preserve">ter </w:t>
      </w:r>
      <w:r>
        <w:rPr>
          <w:spacing w:val="1"/>
        </w:rPr>
        <w:t xml:space="preserve">se </w:t>
      </w:r>
      <w:r>
        <w:rPr>
          <w:spacing w:val="3"/>
        </w:rPr>
        <w:t xml:space="preserve">instalado </w:t>
      </w:r>
      <w:r>
        <w:rPr>
          <w:spacing w:val="1"/>
        </w:rPr>
        <w:t xml:space="preserve">na </w:t>
      </w:r>
      <w:r>
        <w:rPr>
          <w:spacing w:val="3"/>
        </w:rPr>
        <w:t>cidade. Posteriormen</w:t>
      </w:r>
      <w:r>
        <w:rPr>
          <w:spacing w:val="3"/>
        </w:rPr>
        <w:t xml:space="preserve">te, </w:t>
      </w:r>
      <w:r>
        <w:t xml:space="preserve">a </w:t>
      </w:r>
      <w:r>
        <w:rPr>
          <w:spacing w:val="3"/>
        </w:rPr>
        <w:t xml:space="preserve">atividade </w:t>
      </w:r>
      <w:r>
        <w:rPr>
          <w:spacing w:val="5"/>
        </w:rPr>
        <w:t xml:space="preserve">se </w:t>
      </w:r>
      <w:r>
        <w:rPr>
          <w:spacing w:val="7"/>
        </w:rPr>
        <w:t xml:space="preserve">espalhou </w:t>
      </w:r>
      <w:r>
        <w:rPr>
          <w:spacing w:val="6"/>
        </w:rPr>
        <w:t xml:space="preserve">para </w:t>
      </w:r>
      <w:r>
        <w:rPr>
          <w:spacing w:val="8"/>
        </w:rPr>
        <w:t xml:space="preserve">municípios </w:t>
      </w:r>
      <w:r>
        <w:rPr>
          <w:spacing w:val="7"/>
        </w:rPr>
        <w:t xml:space="preserve">próximos, </w:t>
      </w:r>
      <w:r>
        <w:rPr>
          <w:spacing w:val="6"/>
        </w:rPr>
        <w:t xml:space="preserve">como </w:t>
      </w:r>
      <w:r>
        <w:rPr>
          <w:spacing w:val="10"/>
        </w:rPr>
        <w:t xml:space="preserve">Governador </w:t>
      </w:r>
      <w:r>
        <w:t>Valadares e outras regiões do país (BAMBERG, 2003 apud MATOS,</w:t>
      </w:r>
      <w:r>
        <w:rPr>
          <w:spacing w:val="13"/>
        </w:rPr>
        <w:t xml:space="preserve"> </w:t>
      </w:r>
      <w:r>
        <w:rPr>
          <w:spacing w:val="1"/>
        </w:rPr>
        <w:t>2004).</w:t>
      </w:r>
    </w:p>
    <w:p w:rsidR="00D81F69" w:rsidRDefault="00330118">
      <w:pPr>
        <w:pStyle w:val="Corpodetexto"/>
        <w:spacing w:before="143" w:line="312" w:lineRule="auto"/>
        <w:ind w:right="188"/>
      </w:pPr>
      <w:r>
        <w:t xml:space="preserve">Desta forma, Teófilo Otoni passou a ser conhecida como a Capital Mundial das Pedras Preciosas, consequência de mais </w:t>
      </w:r>
      <w:r>
        <w:rPr>
          <w:spacing w:val="5"/>
        </w:rPr>
        <w:t>d</w:t>
      </w:r>
      <w:r>
        <w:rPr>
          <w:spacing w:val="5"/>
        </w:rPr>
        <w:t xml:space="preserve">e </w:t>
      </w:r>
      <w:r>
        <w:rPr>
          <w:spacing w:val="7"/>
        </w:rPr>
        <w:t xml:space="preserve">100 </w:t>
      </w:r>
      <w:r>
        <w:rPr>
          <w:spacing w:val="8"/>
        </w:rPr>
        <w:t xml:space="preserve">anos </w:t>
      </w:r>
      <w:r>
        <w:rPr>
          <w:spacing w:val="5"/>
        </w:rPr>
        <w:t xml:space="preserve">de </w:t>
      </w:r>
      <w:r>
        <w:rPr>
          <w:spacing w:val="10"/>
        </w:rPr>
        <w:t xml:space="preserve">tradição </w:t>
      </w:r>
      <w:r>
        <w:rPr>
          <w:spacing w:val="5"/>
        </w:rPr>
        <w:t xml:space="preserve">em </w:t>
      </w:r>
      <w:r>
        <w:rPr>
          <w:spacing w:val="10"/>
        </w:rPr>
        <w:t xml:space="preserve">produção, lapidação </w:t>
      </w:r>
      <w:r>
        <w:t xml:space="preserve">e </w:t>
      </w:r>
      <w:r>
        <w:rPr>
          <w:spacing w:val="3"/>
        </w:rPr>
        <w:t xml:space="preserve">comercialização </w:t>
      </w:r>
      <w:r>
        <w:rPr>
          <w:spacing w:val="1"/>
        </w:rPr>
        <w:t xml:space="preserve">de </w:t>
      </w:r>
      <w:r>
        <w:rPr>
          <w:spacing w:val="3"/>
        </w:rPr>
        <w:t xml:space="preserve">gemas coradas como: </w:t>
      </w:r>
      <w:r>
        <w:rPr>
          <w:spacing w:val="2"/>
        </w:rPr>
        <w:t xml:space="preserve">água </w:t>
      </w:r>
      <w:r>
        <w:rPr>
          <w:spacing w:val="5"/>
        </w:rPr>
        <w:t xml:space="preserve">marinha, </w:t>
      </w:r>
      <w:r>
        <w:rPr>
          <w:spacing w:val="6"/>
        </w:rPr>
        <w:t xml:space="preserve">turmalina, esmeralda, crisoberilo, alexandrita, </w:t>
      </w:r>
      <w:r>
        <w:rPr>
          <w:spacing w:val="7"/>
        </w:rPr>
        <w:t xml:space="preserve">ametista, </w:t>
      </w:r>
      <w:r>
        <w:t>citrino, topázio, etc. Na região, existem centenas de lavras, onde são extraídas gemas conhecidas</w:t>
      </w:r>
      <w:r>
        <w:t xml:space="preserve"> mundialmente, como as águas marinhas Marta Rocha e Estrela D'Alva (MS GEMS, 2010).</w:t>
      </w:r>
      <w:r>
        <w:rPr>
          <w:spacing w:val="20"/>
        </w:rPr>
        <w:t xml:space="preserve"> </w:t>
      </w:r>
      <w:r>
        <w:t>A</w:t>
      </w:r>
      <w:r>
        <w:rPr>
          <w:spacing w:val="20"/>
        </w:rPr>
        <w:t xml:space="preserve"> </w:t>
      </w:r>
      <w:r>
        <w:t>cidade</w:t>
      </w:r>
      <w:r>
        <w:rPr>
          <w:spacing w:val="20"/>
        </w:rPr>
        <w:t xml:space="preserve"> </w:t>
      </w:r>
      <w:r>
        <w:t>também</w:t>
      </w:r>
      <w:r>
        <w:rPr>
          <w:spacing w:val="20"/>
        </w:rPr>
        <w:t xml:space="preserve"> </w:t>
      </w:r>
      <w:r>
        <w:t>integra</w:t>
      </w:r>
      <w:r>
        <w:rPr>
          <w:spacing w:val="20"/>
        </w:rPr>
        <w:t xml:space="preserve"> </w:t>
      </w:r>
      <w:r>
        <w:t>o</w:t>
      </w:r>
      <w:r>
        <w:rPr>
          <w:spacing w:val="20"/>
        </w:rPr>
        <w:t xml:space="preserve"> </w:t>
      </w:r>
      <w:r>
        <w:t>polo</w:t>
      </w:r>
      <w:r>
        <w:rPr>
          <w:spacing w:val="20"/>
        </w:rPr>
        <w:t xml:space="preserve"> </w:t>
      </w:r>
      <w:r>
        <w:t>do</w:t>
      </w:r>
      <w:r>
        <w:rPr>
          <w:spacing w:val="20"/>
        </w:rPr>
        <w:t xml:space="preserve"> </w:t>
      </w:r>
      <w:r>
        <w:t>Circuito</w:t>
      </w:r>
      <w:r>
        <w:rPr>
          <w:spacing w:val="20"/>
        </w:rPr>
        <w:t xml:space="preserve"> </w:t>
      </w:r>
      <w:r>
        <w:t>Turístico</w:t>
      </w:r>
    </w:p>
    <w:p w:rsidR="00D81F69" w:rsidRDefault="00D81F69">
      <w:pPr>
        <w:spacing w:line="312" w:lineRule="auto"/>
        <w:sectPr w:rsidR="00D81F69">
          <w:type w:val="continuous"/>
          <w:pgSz w:w="11900" w:h="16840"/>
          <w:pgMar w:top="720" w:right="500" w:bottom="280" w:left="620" w:header="720" w:footer="720" w:gutter="0"/>
          <w:cols w:num="2" w:space="720" w:equalWidth="0">
            <w:col w:w="5198" w:space="272"/>
            <w:col w:w="5310"/>
          </w:cols>
        </w:sectPr>
      </w:pPr>
    </w:p>
    <w:p w:rsidR="00D81F69" w:rsidRDefault="00330118">
      <w:pPr>
        <w:pStyle w:val="Corpodetexto"/>
        <w:spacing w:before="81" w:line="312" w:lineRule="auto"/>
        <w:ind w:right="64"/>
      </w:pPr>
      <w:r>
        <w:lastRenderedPageBreak/>
        <w:t>das Pedras Preciosas, já certificado pelo governo estadual e cujo principal foco é o turismo</w:t>
      </w:r>
      <w:r>
        <w:t xml:space="preserve"> de negócios (AL-MG, 2008).</w:t>
      </w:r>
    </w:p>
    <w:p w:rsidR="00D81F69" w:rsidRDefault="00330118">
      <w:pPr>
        <w:pStyle w:val="Corpodetexto"/>
        <w:spacing w:before="132" w:line="312" w:lineRule="auto"/>
        <w:ind w:right="38"/>
      </w:pPr>
      <w:r>
        <w:t>No APL de Teófilo Otoni existem 300 estabelecimentos que geram 100 mil empregos (IBGM, 2005). Verifica-se, no entanto, que o APL tem perdido, gradativamente, seu potencial competitivo, não se adequando às novas demandas estabele</w:t>
      </w:r>
      <w:r>
        <w:t>cidas pelo mercado mundial de gemas ao longo da última década. O principal entrave ao setor está na base da cadeia produtiva, ou seja, no garimpo. A atividade extrativa é realizada por garimpeiros autônomos, de forma desorganizada e sem domínio de técnicas</w:t>
      </w:r>
      <w:r>
        <w:t xml:space="preserve"> adequadas para a detecção de ocorrências ou para determinar o aproveitamento das pedras extraídas na indústria de lapidação (MATOS, 2004). O planejamento da extração se dá por meio de indícios da existência de minerais que formam o pegmatito (mica, feldsp</w:t>
      </w:r>
      <w:r>
        <w:t>ato e quartzo), denominado de “linha” no jargão da região (IBGM, 2005).</w:t>
      </w:r>
    </w:p>
    <w:p w:rsidR="00D81F69" w:rsidRDefault="00330118">
      <w:pPr>
        <w:pStyle w:val="Corpodetexto"/>
        <w:spacing w:before="144" w:line="312" w:lineRule="auto"/>
        <w:ind w:right="44"/>
      </w:pPr>
      <w:r>
        <w:t>Em 1995, foi criada a Secretaria de Estado de Meio Ambiente (Semead) em Minas Gerais, o que resultou em maior fiscalização da atividade mineradora e declínio do polo de gemas e artefat</w:t>
      </w:r>
      <w:r>
        <w:t>os de pedras (PEREIRA; GUIMARÃES, 2011).</w:t>
      </w:r>
    </w:p>
    <w:p w:rsidR="00D81F69" w:rsidRDefault="00330118">
      <w:pPr>
        <w:pStyle w:val="Corpodetexto"/>
        <w:spacing w:before="133" w:line="312" w:lineRule="auto"/>
        <w:ind w:right="53"/>
      </w:pPr>
      <w:r>
        <w:t>A maior parte dos garimpeiros se encontra na informalidade devido, dentre outros fatores, à inadequação ao processo burocrático imposto pela Lei nº 7.805/89 (MATOS, 2004), que descaracterizou o garimpeiro como traba</w:t>
      </w:r>
      <w:r>
        <w:t>lhador individual ao estabelecer a obrigatoriedade de: ele estar inserido em uma associação, de obter licenças ambientais e de ter a permissão de lavra garimpeira (LIMA et al., 2004). Também contribuiu para a informalidade da atividade extrativa a ação dos</w:t>
      </w:r>
      <w:r>
        <w:t xml:space="preserve"> órgãos de fiscalização ambiental, muitas vezes omissos nas tarefas de conscientizar os garimpeiros e de criar subsídios que tornem possível a adequação da atividade às normas ambientais (MATOS, 2004).</w:t>
      </w:r>
    </w:p>
    <w:p w:rsidR="00D81F69" w:rsidRDefault="00330118">
      <w:pPr>
        <w:pStyle w:val="Corpodetexto"/>
        <w:spacing w:before="141" w:line="312" w:lineRule="auto"/>
        <w:ind w:right="38"/>
      </w:pPr>
      <w:r>
        <w:t xml:space="preserve">Outro problema inerente à extração de gemas na região </w:t>
      </w:r>
      <w:r>
        <w:t>é a lavra predatória, que se caracteriza pela extração de pedras preciosas apenas. Com isso, são deixadas de lado pedras de menor valor, bem como os rejeitos de outros minerais (IBGM, 2005) como berilo, feldspato, micas (principalmente a vermiculita), cass</w:t>
      </w:r>
      <w:r>
        <w:t>iterita, columbita-tantalita e os minerais de lítio (FONSECA; SALUM, 2003 apud SILVA; LAMEIRAS,</w:t>
      </w:r>
    </w:p>
    <w:p w:rsidR="00D81F69" w:rsidRDefault="00330118">
      <w:pPr>
        <w:pStyle w:val="Corpodetexto"/>
        <w:spacing w:before="7" w:line="312" w:lineRule="auto"/>
        <w:ind w:right="41"/>
      </w:pPr>
      <w:r>
        <w:t>2009), que poderiam representar resultados econômicos (IBGM, 2005). A extração gera, assim, grande quantidade de resíduos amontoados nos leitos dos rios da regi</w:t>
      </w:r>
      <w:r>
        <w:t>ão, podendo acarretar seu assoreamento (MATOS, 2004). Além disso, a exploração dos pegmatitos visando apenas à produção de gemas não atrai setores industriais que usam minerais associados às gemas, como, por exemplo, a indústria cerâmica, consumidora de fe</w:t>
      </w:r>
      <w:r>
        <w:t>ldspato, o qual pode corresponder a 70% do volume processado de pegmatitos na região (FONSECA; SALUM, 2003 apud SILVA; LAMEIRAS, 2009).</w:t>
      </w:r>
    </w:p>
    <w:p w:rsidR="00D81F69" w:rsidRDefault="00330118">
      <w:pPr>
        <w:pStyle w:val="Corpodetexto"/>
        <w:spacing w:before="140" w:line="312" w:lineRule="auto"/>
        <w:ind w:right="62"/>
      </w:pPr>
      <w:r>
        <w:t>Algumas microempresas locais até procuram vender minerais pegmatíticos utilizados pela indústria cerâmica para grandes centros consumidores no Brasil, porém tais minerais têm que</w:t>
      </w:r>
    </w:p>
    <w:p w:rsidR="00D81F69" w:rsidRDefault="00330118">
      <w:pPr>
        <w:pStyle w:val="Corpodetexto"/>
        <w:spacing w:before="81" w:line="312" w:lineRule="auto"/>
        <w:ind w:right="197"/>
      </w:pPr>
      <w:r>
        <w:br w:type="column"/>
      </w:r>
      <w:r>
        <w:lastRenderedPageBreak/>
        <w:t>sair da região com um preço muito baixo devido ao custo do transporte. Por o</w:t>
      </w:r>
      <w:r>
        <w:t>utro lado, se fosse adotada a estratégia de implantação de indústrias cerâmicas no local, seriam necessários grandes investimentos em infraestrutura energética. A iniciativa também colocaria em risco a já devastada vegetação da região, em processo de deser</w:t>
      </w:r>
      <w:r>
        <w:t>tificação em virtude da derrubada da mata para criação de gado. A indústria cerâmica poderia acelerar o desmatamento para obter carvão vegetal (SILVA; LAMEIRAS, 2009).</w:t>
      </w:r>
    </w:p>
    <w:p w:rsidR="00D81F69" w:rsidRDefault="00330118">
      <w:pPr>
        <w:pStyle w:val="Corpodetexto"/>
        <w:spacing w:before="139" w:line="312" w:lineRule="auto"/>
        <w:ind w:right="189"/>
      </w:pPr>
      <w:r>
        <w:t xml:space="preserve">No entanto, algumas possibilidades para o aproveitamento de resíduos na região já foram </w:t>
      </w:r>
      <w:r>
        <w:t xml:space="preserve">vislumbradas por pesquisadores. Por exemplo, os minerais feldspato e muscovita, encontrados </w:t>
      </w:r>
      <w:r>
        <w:rPr>
          <w:spacing w:val="7"/>
        </w:rPr>
        <w:t xml:space="preserve">nos </w:t>
      </w:r>
      <w:r>
        <w:rPr>
          <w:spacing w:val="10"/>
        </w:rPr>
        <w:t xml:space="preserve">resíduos, </w:t>
      </w:r>
      <w:r>
        <w:rPr>
          <w:spacing w:val="7"/>
        </w:rPr>
        <w:t xml:space="preserve">são </w:t>
      </w:r>
      <w:r>
        <w:rPr>
          <w:spacing w:val="10"/>
        </w:rPr>
        <w:t xml:space="preserve">fontes </w:t>
      </w:r>
      <w:r>
        <w:rPr>
          <w:spacing w:val="5"/>
        </w:rPr>
        <w:t xml:space="preserve">de </w:t>
      </w:r>
      <w:r>
        <w:rPr>
          <w:spacing w:val="10"/>
        </w:rPr>
        <w:t xml:space="preserve">potássio, </w:t>
      </w:r>
      <w:r>
        <w:rPr>
          <w:spacing w:val="5"/>
        </w:rPr>
        <w:t xml:space="preserve">um </w:t>
      </w:r>
      <w:r>
        <w:rPr>
          <w:spacing w:val="12"/>
        </w:rPr>
        <w:t xml:space="preserve">elemento considerado macronutriente </w:t>
      </w:r>
      <w:r>
        <w:rPr>
          <w:spacing w:val="6"/>
        </w:rPr>
        <w:t xml:space="preserve">na </w:t>
      </w:r>
      <w:r>
        <w:rPr>
          <w:spacing w:val="12"/>
        </w:rPr>
        <w:t xml:space="preserve">agricultura, </w:t>
      </w:r>
      <w:r>
        <w:rPr>
          <w:spacing w:val="6"/>
        </w:rPr>
        <w:t xml:space="preserve">de </w:t>
      </w:r>
      <w:r>
        <w:rPr>
          <w:spacing w:val="15"/>
        </w:rPr>
        <w:t xml:space="preserve">cuja </w:t>
      </w:r>
      <w:r>
        <w:rPr>
          <w:spacing w:val="5"/>
        </w:rPr>
        <w:t xml:space="preserve">importação </w:t>
      </w:r>
      <w:r>
        <w:t xml:space="preserve">o </w:t>
      </w:r>
      <w:r>
        <w:rPr>
          <w:spacing w:val="5"/>
        </w:rPr>
        <w:t xml:space="preserve">Brasil </w:t>
      </w:r>
      <w:r>
        <w:t xml:space="preserve">é </w:t>
      </w:r>
      <w:r>
        <w:rPr>
          <w:spacing w:val="5"/>
        </w:rPr>
        <w:t>dependente. Torna-se necessário,</w:t>
      </w:r>
      <w:r>
        <w:rPr>
          <w:spacing w:val="61"/>
        </w:rPr>
        <w:t xml:space="preserve"> </w:t>
      </w:r>
      <w:r>
        <w:rPr>
          <w:spacing w:val="10"/>
        </w:rPr>
        <w:t xml:space="preserve">portanto, </w:t>
      </w:r>
      <w:r>
        <w:rPr>
          <w:spacing w:val="7"/>
        </w:rPr>
        <w:t xml:space="preserve">que </w:t>
      </w:r>
      <w:r>
        <w:rPr>
          <w:spacing w:val="10"/>
        </w:rPr>
        <w:t xml:space="preserve">fontes alternativas </w:t>
      </w:r>
      <w:r>
        <w:rPr>
          <w:spacing w:val="5"/>
        </w:rPr>
        <w:t xml:space="preserve">do </w:t>
      </w:r>
      <w:r>
        <w:rPr>
          <w:spacing w:val="10"/>
        </w:rPr>
        <w:t xml:space="preserve">elemento </w:t>
      </w:r>
      <w:r>
        <w:rPr>
          <w:spacing w:val="11"/>
        </w:rPr>
        <w:t xml:space="preserve">sejam </w:t>
      </w:r>
      <w:r>
        <w:t xml:space="preserve">desenvolvidas. Uma possibilidade seria investigar  maneiras de tornar o potássio existente nos resíduos da extração de </w:t>
      </w:r>
      <w:r>
        <w:rPr>
          <w:spacing w:val="1"/>
        </w:rPr>
        <w:t xml:space="preserve">gemas disponível para aproveitamento econômico </w:t>
      </w:r>
      <w:r>
        <w:rPr>
          <w:spacing w:val="2"/>
        </w:rPr>
        <w:t xml:space="preserve">(SILVA; </w:t>
      </w:r>
      <w:r>
        <w:rPr>
          <w:spacing w:val="1"/>
        </w:rPr>
        <w:t>LAMEIRAS,</w:t>
      </w:r>
      <w:r>
        <w:rPr>
          <w:spacing w:val="20"/>
        </w:rPr>
        <w:t xml:space="preserve"> </w:t>
      </w:r>
      <w:r>
        <w:rPr>
          <w:spacing w:val="2"/>
        </w:rPr>
        <w:t>2009).</w:t>
      </w:r>
    </w:p>
    <w:p w:rsidR="00D81F69" w:rsidRDefault="00330118">
      <w:pPr>
        <w:pStyle w:val="Corpodetexto"/>
        <w:spacing w:before="140" w:line="312" w:lineRule="auto"/>
        <w:ind w:right="210"/>
      </w:pPr>
      <w:r>
        <w:rPr>
          <w:spacing w:val="2"/>
        </w:rPr>
        <w:t xml:space="preserve">Além </w:t>
      </w:r>
      <w:r>
        <w:rPr>
          <w:spacing w:val="3"/>
        </w:rPr>
        <w:t xml:space="preserve">disso, </w:t>
      </w:r>
      <w:r>
        <w:rPr>
          <w:spacing w:val="1"/>
        </w:rPr>
        <w:t>a</w:t>
      </w:r>
      <w:r>
        <w:rPr>
          <w:spacing w:val="1"/>
        </w:rPr>
        <w:t xml:space="preserve">s </w:t>
      </w:r>
      <w:r>
        <w:rPr>
          <w:spacing w:val="3"/>
        </w:rPr>
        <w:t xml:space="preserve">partes </w:t>
      </w:r>
      <w:r>
        <w:rPr>
          <w:spacing w:val="2"/>
        </w:rPr>
        <w:t xml:space="preserve">não </w:t>
      </w:r>
      <w:r>
        <w:rPr>
          <w:spacing w:val="3"/>
        </w:rPr>
        <w:t xml:space="preserve">aproveitadas </w:t>
      </w:r>
      <w:r>
        <w:rPr>
          <w:spacing w:val="2"/>
        </w:rPr>
        <w:t xml:space="preserve">pela </w:t>
      </w:r>
      <w:r>
        <w:rPr>
          <w:spacing w:val="3"/>
        </w:rPr>
        <w:t xml:space="preserve">indústria </w:t>
      </w:r>
      <w:r>
        <w:rPr>
          <w:spacing w:val="5"/>
        </w:rPr>
        <w:t xml:space="preserve">de </w:t>
      </w:r>
      <w:r>
        <w:rPr>
          <w:spacing w:val="1"/>
        </w:rPr>
        <w:t xml:space="preserve">gemas, como </w:t>
      </w:r>
      <w:r>
        <w:t xml:space="preserve">as </w:t>
      </w:r>
      <w:r>
        <w:rPr>
          <w:spacing w:val="1"/>
        </w:rPr>
        <w:t xml:space="preserve">lascas </w:t>
      </w:r>
      <w:r>
        <w:t xml:space="preserve">do </w:t>
      </w:r>
      <w:r>
        <w:rPr>
          <w:spacing w:val="1"/>
        </w:rPr>
        <w:t xml:space="preserve">martelamento, </w:t>
      </w:r>
      <w:r>
        <w:t xml:space="preserve">os </w:t>
      </w:r>
      <w:r>
        <w:rPr>
          <w:spacing w:val="1"/>
        </w:rPr>
        <w:t xml:space="preserve">cascalhos </w:t>
      </w:r>
      <w:r>
        <w:rPr>
          <w:spacing w:val="2"/>
        </w:rPr>
        <w:t xml:space="preserve">de </w:t>
      </w:r>
      <w:r>
        <w:t xml:space="preserve">quartzo, águas marinhas, berilos, turmalinas e muitos outros </w:t>
      </w:r>
      <w:r>
        <w:rPr>
          <w:spacing w:val="1"/>
        </w:rPr>
        <w:t xml:space="preserve">minerais podem </w:t>
      </w:r>
      <w:r>
        <w:t xml:space="preserve">se </w:t>
      </w:r>
      <w:r>
        <w:rPr>
          <w:spacing w:val="1"/>
        </w:rPr>
        <w:t xml:space="preserve">tornar matéria prima para obtenção </w:t>
      </w:r>
      <w:r>
        <w:rPr>
          <w:spacing w:val="2"/>
        </w:rPr>
        <w:t xml:space="preserve">de </w:t>
      </w:r>
      <w:r>
        <w:t>pedras compostas, feitas de partículas m</w:t>
      </w:r>
      <w:r>
        <w:t xml:space="preserve">inerais provenientes </w:t>
      </w:r>
      <w:r>
        <w:rPr>
          <w:spacing w:val="3"/>
        </w:rPr>
        <w:t xml:space="preserve">dos </w:t>
      </w:r>
      <w:r>
        <w:rPr>
          <w:spacing w:val="5"/>
        </w:rPr>
        <w:t xml:space="preserve">pegmatitos </w:t>
      </w:r>
      <w:r>
        <w:t xml:space="preserve">e </w:t>
      </w:r>
      <w:r>
        <w:rPr>
          <w:spacing w:val="5"/>
        </w:rPr>
        <w:t xml:space="preserve">resina </w:t>
      </w:r>
      <w:r>
        <w:rPr>
          <w:spacing w:val="2"/>
        </w:rPr>
        <w:t xml:space="preserve">de </w:t>
      </w:r>
      <w:r>
        <w:rPr>
          <w:spacing w:val="5"/>
        </w:rPr>
        <w:t xml:space="preserve">poliestireno. Trata-se </w:t>
      </w:r>
      <w:r>
        <w:rPr>
          <w:spacing w:val="2"/>
        </w:rPr>
        <w:t xml:space="preserve">de </w:t>
      </w:r>
      <w:r>
        <w:rPr>
          <w:spacing w:val="5"/>
        </w:rPr>
        <w:t>um</w:t>
      </w:r>
      <w:r>
        <w:rPr>
          <w:spacing w:val="61"/>
        </w:rPr>
        <w:t xml:space="preserve"> </w:t>
      </w:r>
      <w:r>
        <w:t xml:space="preserve">produto de alto valor agregado, semelhante ao mármore e ao </w:t>
      </w:r>
      <w:r>
        <w:rPr>
          <w:spacing w:val="1"/>
        </w:rPr>
        <w:t xml:space="preserve">granito naturais, porém </w:t>
      </w:r>
      <w:r>
        <w:t xml:space="preserve">com </w:t>
      </w:r>
      <w:r>
        <w:rPr>
          <w:spacing w:val="1"/>
        </w:rPr>
        <w:t xml:space="preserve">vantagens funcionais, </w:t>
      </w:r>
      <w:r>
        <w:rPr>
          <w:spacing w:val="2"/>
        </w:rPr>
        <w:t xml:space="preserve">porque </w:t>
      </w:r>
      <w:r>
        <w:t xml:space="preserve">não possui poros e tem alta resistência à tração e à </w:t>
      </w:r>
      <w:r>
        <w:rPr>
          <w:spacing w:val="1"/>
        </w:rPr>
        <w:t xml:space="preserve">flexão </w:t>
      </w:r>
      <w:r>
        <w:t>(SI</w:t>
      </w:r>
      <w:r>
        <w:t xml:space="preserve">LVA; LAMEIRAS, </w:t>
      </w:r>
      <w:r>
        <w:rPr>
          <w:spacing w:val="1"/>
        </w:rPr>
        <w:t>2009).</w:t>
      </w:r>
    </w:p>
    <w:p w:rsidR="00D81F69" w:rsidRDefault="00330118">
      <w:pPr>
        <w:pStyle w:val="Corpodetexto"/>
        <w:spacing w:before="139" w:line="312" w:lineRule="auto"/>
        <w:ind w:right="189"/>
      </w:pPr>
      <w:r>
        <w:rPr>
          <w:spacing w:val="2"/>
        </w:rPr>
        <w:t xml:space="preserve">No </w:t>
      </w:r>
      <w:r>
        <w:rPr>
          <w:spacing w:val="3"/>
        </w:rPr>
        <w:t xml:space="preserve">que diz </w:t>
      </w:r>
      <w:r>
        <w:rPr>
          <w:spacing w:val="5"/>
        </w:rPr>
        <w:t xml:space="preserve">respeito </w:t>
      </w:r>
      <w:r>
        <w:t xml:space="preserve">à </w:t>
      </w:r>
      <w:r>
        <w:rPr>
          <w:spacing w:val="5"/>
        </w:rPr>
        <w:t xml:space="preserve">lapidação </w:t>
      </w:r>
      <w:r>
        <w:rPr>
          <w:spacing w:val="3"/>
        </w:rPr>
        <w:t xml:space="preserve">das </w:t>
      </w:r>
      <w:r>
        <w:rPr>
          <w:spacing w:val="5"/>
        </w:rPr>
        <w:t xml:space="preserve">pedras, embora os </w:t>
      </w:r>
      <w:r>
        <w:t xml:space="preserve">empresários estejam introduzindo novas técnicas, a maioria ainda não dispõe de equipamentos adequados que garantam </w:t>
      </w:r>
      <w:r>
        <w:rPr>
          <w:spacing w:val="3"/>
        </w:rPr>
        <w:t xml:space="preserve">bom </w:t>
      </w:r>
      <w:r>
        <w:rPr>
          <w:spacing w:val="5"/>
        </w:rPr>
        <w:t xml:space="preserve">desempenho </w:t>
      </w:r>
      <w:r>
        <w:t xml:space="preserve">e </w:t>
      </w:r>
      <w:r>
        <w:rPr>
          <w:spacing w:val="5"/>
        </w:rPr>
        <w:t xml:space="preserve">elevados padrões </w:t>
      </w:r>
      <w:r>
        <w:rPr>
          <w:spacing w:val="2"/>
        </w:rPr>
        <w:t xml:space="preserve">de </w:t>
      </w:r>
      <w:r>
        <w:rPr>
          <w:spacing w:val="5"/>
        </w:rPr>
        <w:t>produtividade,</w:t>
      </w:r>
      <w:r>
        <w:rPr>
          <w:spacing w:val="61"/>
        </w:rPr>
        <w:t xml:space="preserve"> </w:t>
      </w:r>
      <w:r>
        <w:t>principalment</w:t>
      </w:r>
      <w:r>
        <w:t xml:space="preserve">e para as pedras calibradas. De acordo com a </w:t>
      </w:r>
      <w:r>
        <w:rPr>
          <w:spacing w:val="3"/>
        </w:rPr>
        <w:t xml:space="preserve">Rede </w:t>
      </w:r>
      <w:r>
        <w:rPr>
          <w:spacing w:val="2"/>
        </w:rPr>
        <w:t xml:space="preserve">de </w:t>
      </w:r>
      <w:r>
        <w:rPr>
          <w:spacing w:val="3"/>
        </w:rPr>
        <w:t xml:space="preserve">Ações </w:t>
      </w:r>
      <w:r>
        <w:rPr>
          <w:spacing w:val="5"/>
        </w:rPr>
        <w:t xml:space="preserve">Integradas </w:t>
      </w:r>
      <w:r>
        <w:rPr>
          <w:spacing w:val="2"/>
        </w:rPr>
        <w:t xml:space="preserve">em </w:t>
      </w:r>
      <w:r>
        <w:rPr>
          <w:spacing w:val="3"/>
        </w:rPr>
        <w:t xml:space="preserve">prol </w:t>
      </w:r>
      <w:r>
        <w:rPr>
          <w:spacing w:val="2"/>
        </w:rPr>
        <w:t xml:space="preserve">do </w:t>
      </w:r>
      <w:r>
        <w:rPr>
          <w:spacing w:val="5"/>
        </w:rPr>
        <w:t xml:space="preserve">Desenvolvimento </w:t>
      </w:r>
      <w:r>
        <w:t xml:space="preserve">Sustentado de Gemas e Joias de Minas Gerais (Progemas)  há bons lapidários na região, entretanto, não há produção em </w:t>
      </w:r>
      <w:r>
        <w:rPr>
          <w:spacing w:val="5"/>
        </w:rPr>
        <w:t xml:space="preserve">escala. </w:t>
      </w:r>
      <w:r>
        <w:rPr>
          <w:spacing w:val="2"/>
        </w:rPr>
        <w:t xml:space="preserve">Na </w:t>
      </w:r>
      <w:r>
        <w:rPr>
          <w:spacing w:val="5"/>
        </w:rPr>
        <w:t xml:space="preserve">grande </w:t>
      </w:r>
      <w:r>
        <w:rPr>
          <w:spacing w:val="3"/>
        </w:rPr>
        <w:t xml:space="preserve">parte das </w:t>
      </w:r>
      <w:r>
        <w:rPr>
          <w:spacing w:val="5"/>
        </w:rPr>
        <w:t xml:space="preserve">vezes, </w:t>
      </w:r>
      <w:r>
        <w:t xml:space="preserve">a </w:t>
      </w:r>
      <w:r>
        <w:rPr>
          <w:spacing w:val="5"/>
        </w:rPr>
        <w:t xml:space="preserve">lapidação </w:t>
      </w:r>
      <w:r>
        <w:rPr>
          <w:spacing w:val="3"/>
        </w:rPr>
        <w:t xml:space="preserve">ainda </w:t>
      </w:r>
      <w:r>
        <w:t xml:space="preserve">é </w:t>
      </w:r>
      <w:r>
        <w:rPr>
          <w:spacing w:val="8"/>
        </w:rPr>
        <w:t xml:space="preserve">realizada </w:t>
      </w:r>
      <w:r>
        <w:rPr>
          <w:spacing w:val="5"/>
        </w:rPr>
        <w:t xml:space="preserve">de </w:t>
      </w:r>
      <w:r>
        <w:rPr>
          <w:spacing w:val="7"/>
        </w:rPr>
        <w:t xml:space="preserve">forma </w:t>
      </w:r>
      <w:r>
        <w:rPr>
          <w:spacing w:val="8"/>
        </w:rPr>
        <w:t xml:space="preserve">rudimentar gerando </w:t>
      </w:r>
      <w:r>
        <w:rPr>
          <w:spacing w:val="5"/>
        </w:rPr>
        <w:t xml:space="preserve">um </w:t>
      </w:r>
      <w:r>
        <w:rPr>
          <w:spacing w:val="10"/>
        </w:rPr>
        <w:t xml:space="preserve">ambiente </w:t>
      </w:r>
      <w:r>
        <w:t>insalubre, com a exposição do lapidador a metais pesados, que</w:t>
      </w:r>
      <w:r>
        <w:rPr>
          <w:spacing w:val="10"/>
        </w:rPr>
        <w:t xml:space="preserve"> </w:t>
      </w:r>
      <w:r>
        <w:t>também</w:t>
      </w:r>
      <w:r>
        <w:rPr>
          <w:spacing w:val="10"/>
        </w:rPr>
        <w:t xml:space="preserve"> </w:t>
      </w:r>
      <w:r>
        <w:t>causam</w:t>
      </w:r>
      <w:r>
        <w:rPr>
          <w:spacing w:val="10"/>
        </w:rPr>
        <w:t xml:space="preserve"> </w:t>
      </w:r>
      <w:r>
        <w:t>danos</w:t>
      </w:r>
      <w:r>
        <w:rPr>
          <w:spacing w:val="10"/>
        </w:rPr>
        <w:t xml:space="preserve"> </w:t>
      </w:r>
      <w:r>
        <w:t>ao</w:t>
      </w:r>
      <w:r>
        <w:rPr>
          <w:spacing w:val="10"/>
        </w:rPr>
        <w:t xml:space="preserve"> </w:t>
      </w:r>
      <w:r>
        <w:t>meio</w:t>
      </w:r>
      <w:r>
        <w:rPr>
          <w:spacing w:val="10"/>
        </w:rPr>
        <w:t xml:space="preserve"> </w:t>
      </w:r>
      <w:r>
        <w:t>ambiente</w:t>
      </w:r>
      <w:r>
        <w:rPr>
          <w:spacing w:val="10"/>
        </w:rPr>
        <w:t xml:space="preserve"> </w:t>
      </w:r>
      <w:r>
        <w:t>(IBGM,</w:t>
      </w:r>
      <w:r>
        <w:rPr>
          <w:spacing w:val="10"/>
        </w:rPr>
        <w:t xml:space="preserve"> </w:t>
      </w:r>
      <w:r>
        <w:t>2005).</w:t>
      </w:r>
    </w:p>
    <w:p w:rsidR="00D81F69" w:rsidRDefault="00330118">
      <w:pPr>
        <w:pStyle w:val="Corpodetexto"/>
        <w:spacing w:before="142" w:line="312" w:lineRule="auto"/>
        <w:ind w:right="189"/>
      </w:pPr>
      <w:r>
        <w:t>A comercialização das pedras brutas também é bastante informal. Existem div</w:t>
      </w:r>
      <w:r>
        <w:t>ersos pedristas que adquirem mercadorias no garimpo por preços bem inferiores aos comercializados na ponta da cadeia. Há ainda grande comercialização de gemas brutas, principalmente nos municípios produtores como: Santa Maria do Suaçuí, São José da Safira,</w:t>
      </w:r>
      <w:r>
        <w:t xml:space="preserve"> Frei Gaspar, Itambacuri, Catuji, Padre Paraíso, Coronel Murta, geralmente bem pobres (IBGM, 2005).</w:t>
      </w:r>
    </w:p>
    <w:p w:rsidR="00D81F69" w:rsidRDefault="00330118">
      <w:pPr>
        <w:pStyle w:val="Corpodetexto"/>
        <w:spacing w:before="138" w:line="312" w:lineRule="auto"/>
        <w:ind w:right="194"/>
      </w:pPr>
      <w:r>
        <w:t>Dentro da cadeia produtiva das gemas, cabe ainda mencionar os setores de artesanato mineral e o de joalheria e bijuteria,</w:t>
      </w:r>
    </w:p>
    <w:p w:rsidR="00D81F69" w:rsidRDefault="00D81F69">
      <w:pPr>
        <w:spacing w:line="312" w:lineRule="auto"/>
        <w:sectPr w:rsidR="00D81F69">
          <w:pgSz w:w="11900" w:h="16840"/>
          <w:pgMar w:top="740" w:right="500" w:bottom="720" w:left="620" w:header="0" w:footer="402" w:gutter="0"/>
          <w:cols w:num="2" w:space="720" w:equalWidth="0">
            <w:col w:w="5158" w:space="312"/>
            <w:col w:w="5310"/>
          </w:cols>
        </w:sectPr>
      </w:pPr>
    </w:p>
    <w:p w:rsidR="00D81F69" w:rsidRDefault="00330118">
      <w:pPr>
        <w:pStyle w:val="Corpodetexto"/>
        <w:spacing w:before="81" w:line="312" w:lineRule="auto"/>
        <w:ind w:right="42"/>
      </w:pPr>
      <w:r>
        <w:lastRenderedPageBreak/>
        <w:t>que s</w:t>
      </w:r>
      <w:r>
        <w:t xml:space="preserve">ão bem </w:t>
      </w:r>
      <w:r>
        <w:rPr>
          <w:spacing w:val="1"/>
        </w:rPr>
        <w:t xml:space="preserve">expressivos </w:t>
      </w:r>
      <w:r>
        <w:t xml:space="preserve">no </w:t>
      </w:r>
      <w:r>
        <w:rPr>
          <w:spacing w:val="1"/>
        </w:rPr>
        <w:t xml:space="preserve">nordeste </w:t>
      </w:r>
      <w:r>
        <w:t xml:space="preserve">de </w:t>
      </w:r>
      <w:r>
        <w:rPr>
          <w:spacing w:val="1"/>
        </w:rPr>
        <w:t xml:space="preserve">Minas Gerais. </w:t>
      </w:r>
      <w:r>
        <w:t>O estudo setorial realizado pela Associação dos Comerciantes e Exportadores de Gemas e Joias do Brasil, em 1995, verificou a existência de empresas e pequenas oficinas de artesanato mineral nas cidades de Teó</w:t>
      </w:r>
      <w:r>
        <w:t xml:space="preserve">filo Otoni, Governador Valadares, </w:t>
      </w:r>
      <w:r>
        <w:rPr>
          <w:spacing w:val="1"/>
        </w:rPr>
        <w:t xml:space="preserve">Araçuaí, Medina </w:t>
      </w:r>
      <w:r>
        <w:t xml:space="preserve">e </w:t>
      </w:r>
      <w:r>
        <w:rPr>
          <w:spacing w:val="1"/>
        </w:rPr>
        <w:t xml:space="preserve">Itaobim. Este setor utiliza como </w:t>
      </w:r>
      <w:r>
        <w:rPr>
          <w:spacing w:val="2"/>
        </w:rPr>
        <w:t xml:space="preserve">matéria </w:t>
      </w:r>
      <w:r>
        <w:t>prima gemas com defeitos (ou seus rejeitos) e todo tipo de produto mineral não considerado “gema” para a produção de objetos utilitários e de decoração, além de se</w:t>
      </w:r>
      <w:r>
        <w:t>rem empregados na construção civil como revestimento de pisos e paredes e em</w:t>
      </w:r>
      <w:r>
        <w:rPr>
          <w:spacing w:val="12"/>
        </w:rPr>
        <w:t xml:space="preserve"> </w:t>
      </w:r>
      <w:r>
        <w:t>lajotas</w:t>
      </w:r>
      <w:r>
        <w:rPr>
          <w:spacing w:val="12"/>
        </w:rPr>
        <w:t xml:space="preserve"> </w:t>
      </w:r>
      <w:r>
        <w:t>de</w:t>
      </w:r>
      <w:r>
        <w:rPr>
          <w:spacing w:val="12"/>
        </w:rPr>
        <w:t xml:space="preserve"> </w:t>
      </w:r>
      <w:r>
        <w:t>pedra</w:t>
      </w:r>
      <w:r>
        <w:rPr>
          <w:spacing w:val="12"/>
        </w:rPr>
        <w:t xml:space="preserve"> </w:t>
      </w:r>
      <w:r>
        <w:t>polida</w:t>
      </w:r>
      <w:r>
        <w:rPr>
          <w:spacing w:val="12"/>
        </w:rPr>
        <w:t xml:space="preserve"> </w:t>
      </w:r>
      <w:r>
        <w:t>(MATOS,</w:t>
      </w:r>
      <w:r>
        <w:rPr>
          <w:spacing w:val="12"/>
        </w:rPr>
        <w:t xml:space="preserve"> </w:t>
      </w:r>
      <w:r>
        <w:t>2004).</w:t>
      </w:r>
    </w:p>
    <w:p w:rsidR="00D81F69" w:rsidRDefault="00330118">
      <w:pPr>
        <w:pStyle w:val="Corpodetexto"/>
        <w:spacing w:before="140" w:line="312" w:lineRule="auto"/>
        <w:ind w:right="40"/>
      </w:pPr>
      <w:r>
        <w:t xml:space="preserve">Várias instituições atuam no fomento do APL, dentre elas a Associação dos Comerciantes e Exportadores de Gemas e Joias do Brasil, criada em </w:t>
      </w:r>
      <w:r>
        <w:t>1989, que conta com aproximadamente 45 associados. A associação abrange toda a cadeia produtiva de gemas em Teófilo Otoni e na região. Dentre seus associados estão empresas que, além de comercializarem e exportarem as gemas, também participam de sua extraç</w:t>
      </w:r>
      <w:r>
        <w:t>ão e/ou beneficiamento (MATOS, 2004).</w:t>
      </w:r>
    </w:p>
    <w:p w:rsidR="00D81F69" w:rsidRDefault="00330118">
      <w:pPr>
        <w:pStyle w:val="Corpodetexto"/>
        <w:spacing w:before="137" w:line="312" w:lineRule="auto"/>
        <w:ind w:right="42"/>
      </w:pPr>
      <w:r>
        <w:t>A associação tem atuado de diversas formas. Ela mantém um constante diálogo com o poder público, buscando a mediação de conflitos e se empenhando para estabelecer meios para que se supere o alto grau de informalidade v</w:t>
      </w:r>
      <w:r>
        <w:t>igente. Destaca- se, neste sentido, o empenho na mediação dos conflitos entre os órgãos de fiscalização ambiental e os agentes do segmento extrativo, a fim de possibilitar uma adaptação à legislação ambiental sem sacrificar a população garimpeira da região</w:t>
      </w:r>
      <w:r>
        <w:t>. Além disso, em parceria com o Sebrae-MG, realizou, em 1995, o “Diagnóstico Setorial - Gemas e Joias do Nordeste do Estado de Minas Gerais”, que buscou apresentar as características da extração e do beneficiamento de gemas na região, e propor ações que vi</w:t>
      </w:r>
      <w:r>
        <w:t>abilizem a superação de gargalos e o desenvolvimento destas atividades. A associação tem realizado também, desde 1989, a Feira Internacional de Pedras Preciosas (FIPP), em parceria com a Secretaria Municipal de Indústria, Comércio e Turismo de Teófilo Oton</w:t>
      </w:r>
      <w:r>
        <w:t>i (MATOS, 2004).</w:t>
      </w:r>
    </w:p>
    <w:p w:rsidR="00D81F69" w:rsidRDefault="00330118">
      <w:pPr>
        <w:pStyle w:val="Corpodetexto"/>
        <w:spacing w:before="147" w:line="312" w:lineRule="auto"/>
        <w:ind w:right="38"/>
      </w:pPr>
      <w:r>
        <w:t xml:space="preserve">Há ainda iniciativas oriundas de fora do Arranjo por parte de </w:t>
      </w:r>
      <w:r>
        <w:rPr>
          <w:spacing w:val="3"/>
        </w:rPr>
        <w:t xml:space="preserve">universidades </w:t>
      </w:r>
      <w:r>
        <w:t xml:space="preserve">e </w:t>
      </w:r>
      <w:r>
        <w:rPr>
          <w:spacing w:val="1"/>
        </w:rPr>
        <w:t xml:space="preserve">da </w:t>
      </w:r>
      <w:r>
        <w:rPr>
          <w:spacing w:val="3"/>
        </w:rPr>
        <w:t xml:space="preserve">esfera pública, </w:t>
      </w:r>
      <w:r>
        <w:rPr>
          <w:spacing w:val="2"/>
        </w:rPr>
        <w:t xml:space="preserve">como </w:t>
      </w:r>
      <w:r>
        <w:t xml:space="preserve">a </w:t>
      </w:r>
      <w:r>
        <w:rPr>
          <w:spacing w:val="3"/>
        </w:rPr>
        <w:t xml:space="preserve">Progemas </w:t>
      </w:r>
      <w:r>
        <w:t xml:space="preserve">e o </w:t>
      </w:r>
      <w:r>
        <w:rPr>
          <w:spacing w:val="3"/>
        </w:rPr>
        <w:t xml:space="preserve">projeto </w:t>
      </w:r>
      <w:r>
        <w:rPr>
          <w:spacing w:val="1"/>
        </w:rPr>
        <w:t xml:space="preserve">de </w:t>
      </w:r>
      <w:r>
        <w:rPr>
          <w:spacing w:val="3"/>
        </w:rPr>
        <w:t xml:space="preserve">caracterização </w:t>
      </w:r>
      <w:r>
        <w:rPr>
          <w:spacing w:val="1"/>
        </w:rPr>
        <w:t xml:space="preserve">de </w:t>
      </w:r>
      <w:r>
        <w:rPr>
          <w:spacing w:val="3"/>
        </w:rPr>
        <w:t xml:space="preserve">arranjos produtivos </w:t>
      </w:r>
      <w:r>
        <w:rPr>
          <w:spacing w:val="1"/>
        </w:rPr>
        <w:t xml:space="preserve">de </w:t>
      </w:r>
      <w:r>
        <w:rPr>
          <w:spacing w:val="5"/>
        </w:rPr>
        <w:t xml:space="preserve">base </w:t>
      </w:r>
      <w:r>
        <w:rPr>
          <w:spacing w:val="3"/>
        </w:rPr>
        <w:t xml:space="preserve">mineral. </w:t>
      </w:r>
      <w:r>
        <w:t xml:space="preserve">A </w:t>
      </w:r>
      <w:r>
        <w:rPr>
          <w:spacing w:val="3"/>
        </w:rPr>
        <w:t xml:space="preserve">Progemas </w:t>
      </w:r>
      <w:r>
        <w:rPr>
          <w:spacing w:val="2"/>
        </w:rPr>
        <w:t xml:space="preserve">tem como </w:t>
      </w:r>
      <w:r>
        <w:rPr>
          <w:spacing w:val="3"/>
        </w:rPr>
        <w:t xml:space="preserve">executor </w:t>
      </w:r>
      <w:r>
        <w:t xml:space="preserve">a </w:t>
      </w:r>
      <w:r>
        <w:rPr>
          <w:spacing w:val="5"/>
        </w:rPr>
        <w:t xml:space="preserve">Universidade </w:t>
      </w:r>
      <w:r>
        <w:rPr>
          <w:spacing w:val="3"/>
        </w:rPr>
        <w:t xml:space="preserve">Federal </w:t>
      </w:r>
      <w:r>
        <w:rPr>
          <w:spacing w:val="1"/>
        </w:rPr>
        <w:t xml:space="preserve">de </w:t>
      </w:r>
      <w:r>
        <w:rPr>
          <w:spacing w:val="3"/>
        </w:rPr>
        <w:t xml:space="preserve">Minas Gerais (UFMG) </w:t>
      </w:r>
      <w:r>
        <w:rPr>
          <w:spacing w:val="1"/>
        </w:rPr>
        <w:t xml:space="preserve">e, </w:t>
      </w:r>
      <w:r>
        <w:rPr>
          <w:spacing w:val="2"/>
        </w:rPr>
        <w:t xml:space="preserve">como </w:t>
      </w:r>
      <w:r>
        <w:rPr>
          <w:spacing w:val="5"/>
        </w:rPr>
        <w:t xml:space="preserve">coexecutoras, </w:t>
      </w:r>
      <w:r>
        <w:t xml:space="preserve">várias instituições e prefeituras locais. Dentre seus objetivos estão: aumentar e melhorar a regularidade da produção de gemas no norte e nordeste de Minas Gerais através do </w:t>
      </w:r>
      <w:r>
        <w:rPr>
          <w:spacing w:val="1"/>
        </w:rPr>
        <w:t xml:space="preserve">uso  </w:t>
      </w:r>
      <w:r>
        <w:t>de tecnologias de extração mineral;</w:t>
      </w:r>
      <w:r>
        <w:t xml:space="preserve"> agregar valor às gemas </w:t>
      </w:r>
      <w:r>
        <w:rPr>
          <w:spacing w:val="3"/>
        </w:rPr>
        <w:t xml:space="preserve">através </w:t>
      </w:r>
      <w:r>
        <w:rPr>
          <w:spacing w:val="1"/>
        </w:rPr>
        <w:t xml:space="preserve">do </w:t>
      </w:r>
      <w:r>
        <w:rPr>
          <w:spacing w:val="2"/>
        </w:rPr>
        <w:t xml:space="preserve">uso </w:t>
      </w:r>
      <w:r>
        <w:rPr>
          <w:spacing w:val="1"/>
        </w:rPr>
        <w:t xml:space="preserve">de </w:t>
      </w:r>
      <w:r>
        <w:rPr>
          <w:spacing w:val="3"/>
        </w:rPr>
        <w:t xml:space="preserve">técnicas adequadas </w:t>
      </w:r>
      <w:r>
        <w:rPr>
          <w:spacing w:val="1"/>
        </w:rPr>
        <w:t xml:space="preserve">de </w:t>
      </w:r>
      <w:r>
        <w:rPr>
          <w:spacing w:val="3"/>
        </w:rPr>
        <w:t xml:space="preserve">lapidação </w:t>
      </w:r>
      <w:r>
        <w:rPr>
          <w:spacing w:val="5"/>
        </w:rPr>
        <w:t xml:space="preserve">que </w:t>
      </w:r>
      <w:r>
        <w:t xml:space="preserve">possibilitem a criação e o desenvolvimento de novos produtos de joalheria, bijuteria e outros objetos de adorno (artesanato </w:t>
      </w:r>
      <w:r>
        <w:rPr>
          <w:spacing w:val="1"/>
        </w:rPr>
        <w:t xml:space="preserve">mineral); diminuir </w:t>
      </w:r>
      <w:r>
        <w:t xml:space="preserve">os </w:t>
      </w:r>
      <w:r>
        <w:rPr>
          <w:spacing w:val="1"/>
        </w:rPr>
        <w:t xml:space="preserve">impactos ambientais decorrentes </w:t>
      </w:r>
      <w:r>
        <w:rPr>
          <w:spacing w:val="2"/>
        </w:rPr>
        <w:t xml:space="preserve">das </w:t>
      </w:r>
      <w:r>
        <w:rPr>
          <w:spacing w:val="5"/>
        </w:rPr>
        <w:t xml:space="preserve">atividades garimpeiras; capacitar </w:t>
      </w:r>
      <w:r>
        <w:t xml:space="preserve">/ </w:t>
      </w:r>
      <w:r>
        <w:rPr>
          <w:spacing w:val="5"/>
        </w:rPr>
        <w:t xml:space="preserve">formar </w:t>
      </w:r>
      <w:r>
        <w:rPr>
          <w:spacing w:val="3"/>
        </w:rPr>
        <w:t xml:space="preserve">mão </w:t>
      </w:r>
      <w:r>
        <w:rPr>
          <w:spacing w:val="2"/>
        </w:rPr>
        <w:t xml:space="preserve">de </w:t>
      </w:r>
      <w:r>
        <w:rPr>
          <w:spacing w:val="6"/>
        </w:rPr>
        <w:t xml:space="preserve">obra </w:t>
      </w:r>
      <w:r>
        <w:t xml:space="preserve">especializada; e desenvolver ações associadas à tecnologia industrial básica. A Progemas e o projeto de caracterização  de arranjos produtivos de base mineral, no entanto, ainda não </w:t>
      </w:r>
      <w:r>
        <w:rPr>
          <w:spacing w:val="5"/>
        </w:rPr>
        <w:t xml:space="preserve">geraram </w:t>
      </w:r>
      <w:r>
        <w:rPr>
          <w:spacing w:val="6"/>
        </w:rPr>
        <w:t>express</w:t>
      </w:r>
      <w:r>
        <w:rPr>
          <w:spacing w:val="6"/>
        </w:rPr>
        <w:t xml:space="preserve">ivo </w:t>
      </w:r>
      <w:r>
        <w:rPr>
          <w:spacing w:val="5"/>
        </w:rPr>
        <w:t xml:space="preserve">retorno para </w:t>
      </w:r>
      <w:r>
        <w:rPr>
          <w:spacing w:val="3"/>
        </w:rPr>
        <w:t xml:space="preserve">as </w:t>
      </w:r>
      <w:r>
        <w:rPr>
          <w:spacing w:val="6"/>
        </w:rPr>
        <w:t xml:space="preserve">empresas </w:t>
      </w:r>
      <w:r>
        <w:rPr>
          <w:spacing w:val="3"/>
        </w:rPr>
        <w:t>do</w:t>
      </w:r>
      <w:r>
        <w:rPr>
          <w:spacing w:val="-19"/>
        </w:rPr>
        <w:t xml:space="preserve"> </w:t>
      </w:r>
      <w:r>
        <w:rPr>
          <w:spacing w:val="7"/>
        </w:rPr>
        <w:t>APL</w:t>
      </w:r>
    </w:p>
    <w:p w:rsidR="00D81F69" w:rsidRDefault="00330118">
      <w:pPr>
        <w:pStyle w:val="Corpodetexto"/>
        <w:spacing w:before="81"/>
        <w:jc w:val="left"/>
      </w:pPr>
      <w:r>
        <w:br w:type="column"/>
      </w:r>
      <w:r>
        <w:lastRenderedPageBreak/>
        <w:t>(MATOS, 2004).</w:t>
      </w:r>
    </w:p>
    <w:p w:rsidR="00D81F69" w:rsidRDefault="00D81F69">
      <w:pPr>
        <w:pStyle w:val="Corpodetexto"/>
        <w:spacing w:before="9"/>
        <w:ind w:left="0"/>
        <w:jc w:val="left"/>
        <w:rPr>
          <w:sz w:val="16"/>
        </w:rPr>
      </w:pPr>
    </w:p>
    <w:p w:rsidR="00D81F69" w:rsidRDefault="00330118">
      <w:pPr>
        <w:pStyle w:val="Corpodetexto"/>
        <w:spacing w:line="312" w:lineRule="auto"/>
        <w:ind w:right="203"/>
      </w:pPr>
      <w:r>
        <w:rPr>
          <w:spacing w:val="3"/>
        </w:rPr>
        <w:t xml:space="preserve">Cabe ainda </w:t>
      </w:r>
      <w:r>
        <w:rPr>
          <w:spacing w:val="5"/>
        </w:rPr>
        <w:t xml:space="preserve">mencionar </w:t>
      </w:r>
      <w:r>
        <w:t xml:space="preserve">o </w:t>
      </w:r>
      <w:r>
        <w:rPr>
          <w:spacing w:val="5"/>
        </w:rPr>
        <w:t xml:space="preserve">Programa </w:t>
      </w:r>
      <w:r>
        <w:rPr>
          <w:spacing w:val="2"/>
        </w:rPr>
        <w:t xml:space="preserve">de </w:t>
      </w:r>
      <w:r>
        <w:rPr>
          <w:spacing w:val="5"/>
        </w:rPr>
        <w:t>Desenvolvimento</w:t>
      </w:r>
      <w:r>
        <w:rPr>
          <w:spacing w:val="61"/>
        </w:rPr>
        <w:t xml:space="preserve"> </w:t>
      </w:r>
      <w:r>
        <w:rPr>
          <w:spacing w:val="10"/>
        </w:rPr>
        <w:t xml:space="preserve">Integrado </w:t>
      </w:r>
      <w:r>
        <w:t xml:space="preserve">e </w:t>
      </w:r>
      <w:r>
        <w:rPr>
          <w:spacing w:val="10"/>
        </w:rPr>
        <w:t xml:space="preserve">Sustentável </w:t>
      </w:r>
      <w:r>
        <w:rPr>
          <w:spacing w:val="5"/>
        </w:rPr>
        <w:t xml:space="preserve">da </w:t>
      </w:r>
      <w:r>
        <w:rPr>
          <w:spacing w:val="10"/>
        </w:rPr>
        <w:t xml:space="preserve">Mesorregião </w:t>
      </w:r>
      <w:r>
        <w:rPr>
          <w:spacing w:val="5"/>
        </w:rPr>
        <w:t xml:space="preserve">do </w:t>
      </w:r>
      <w:r>
        <w:rPr>
          <w:spacing w:val="8"/>
        </w:rPr>
        <w:t xml:space="preserve">Vale </w:t>
      </w:r>
      <w:r>
        <w:rPr>
          <w:spacing w:val="11"/>
        </w:rPr>
        <w:t xml:space="preserve">do </w:t>
      </w:r>
      <w:r>
        <w:t xml:space="preserve">Jequitinhonha e do Mucuri, desenvolvido pela Secretaria de Programas Regionais do Ministério da Integração Nacional. O </w:t>
      </w:r>
      <w:r>
        <w:rPr>
          <w:spacing w:val="1"/>
        </w:rPr>
        <w:t xml:space="preserve">projeto </w:t>
      </w:r>
      <w:r>
        <w:t xml:space="preserve">tem </w:t>
      </w:r>
      <w:r>
        <w:rPr>
          <w:spacing w:val="1"/>
        </w:rPr>
        <w:t xml:space="preserve">como objetivo implantar </w:t>
      </w:r>
      <w:r>
        <w:t xml:space="preserve">um </w:t>
      </w:r>
      <w:r>
        <w:rPr>
          <w:spacing w:val="1"/>
        </w:rPr>
        <w:t xml:space="preserve">modelo </w:t>
      </w:r>
      <w:r>
        <w:t xml:space="preserve">de </w:t>
      </w:r>
      <w:r>
        <w:rPr>
          <w:spacing w:val="2"/>
        </w:rPr>
        <w:t xml:space="preserve">gestão </w:t>
      </w:r>
      <w:r>
        <w:t xml:space="preserve">para o desenvolvimento sustentável da macrorregião do Vale </w:t>
      </w:r>
      <w:r>
        <w:rPr>
          <w:spacing w:val="1"/>
        </w:rPr>
        <w:t xml:space="preserve">do </w:t>
      </w:r>
      <w:r>
        <w:rPr>
          <w:spacing w:val="3"/>
        </w:rPr>
        <w:t xml:space="preserve">Jequitinhonha </w:t>
      </w:r>
      <w:r>
        <w:t xml:space="preserve">e </w:t>
      </w:r>
      <w:r>
        <w:rPr>
          <w:spacing w:val="3"/>
        </w:rPr>
        <w:t>Muc</w:t>
      </w:r>
      <w:r>
        <w:rPr>
          <w:spacing w:val="3"/>
        </w:rPr>
        <w:t xml:space="preserve">uri, </w:t>
      </w:r>
      <w:r>
        <w:rPr>
          <w:spacing w:val="2"/>
        </w:rPr>
        <w:t xml:space="preserve">por meio </w:t>
      </w:r>
      <w:r>
        <w:rPr>
          <w:spacing w:val="1"/>
        </w:rPr>
        <w:t xml:space="preserve">de </w:t>
      </w:r>
      <w:r>
        <w:rPr>
          <w:spacing w:val="3"/>
        </w:rPr>
        <w:t xml:space="preserve">instrumentos </w:t>
      </w:r>
      <w:r>
        <w:rPr>
          <w:spacing w:val="5"/>
        </w:rPr>
        <w:t xml:space="preserve">que assegurem </w:t>
      </w:r>
      <w:r>
        <w:t xml:space="preserve">o </w:t>
      </w:r>
      <w:r>
        <w:rPr>
          <w:spacing w:val="5"/>
        </w:rPr>
        <w:t xml:space="preserve">fortalecimento </w:t>
      </w:r>
      <w:r>
        <w:rPr>
          <w:spacing w:val="2"/>
        </w:rPr>
        <w:t xml:space="preserve">da </w:t>
      </w:r>
      <w:r>
        <w:rPr>
          <w:spacing w:val="3"/>
        </w:rPr>
        <w:t xml:space="preserve">base </w:t>
      </w:r>
      <w:r>
        <w:rPr>
          <w:spacing w:val="5"/>
        </w:rPr>
        <w:t xml:space="preserve">econômica local, </w:t>
      </w:r>
      <w:r>
        <w:t>a inclusão social crescente e o manejo sustentável dos recursos naturais (MATOS, 2004).</w:t>
      </w:r>
    </w:p>
    <w:p w:rsidR="00D81F69" w:rsidRDefault="00330118">
      <w:pPr>
        <w:pStyle w:val="Corpodetexto"/>
        <w:spacing w:before="139" w:line="312" w:lineRule="auto"/>
        <w:ind w:right="180"/>
      </w:pPr>
      <w:r>
        <w:t>Em 2009, o governo de Minas repassou R$ 6 milhões para Teófilo Otoni e região. Além da consolidação do Polo de Inovação do Norte e Nordeste do estado, os investimentos também foram destinados a projetos de qualificação profissional, pesquisa e inovação. Fo</w:t>
      </w:r>
      <w:r>
        <w:t>i beneficiada, dentre outras iniciativas, a Unidade de Inovação Tecnológica (UNIT), criada para inovação dos processos, maquinários, ferramentas e insumos, buscando o diferencial para as joias produzidas em Teófilo Otoni. As novas linhas de produtos contam</w:t>
      </w:r>
      <w:r>
        <w:t xml:space="preserve"> com design, identidade regional e qualidade certificada (PORTAL JOIABR, 2009).</w:t>
      </w:r>
    </w:p>
    <w:p w:rsidR="00D81F69" w:rsidRDefault="00D81F69">
      <w:pPr>
        <w:pStyle w:val="Corpodetexto"/>
        <w:spacing w:before="10"/>
        <w:ind w:left="0"/>
        <w:jc w:val="left"/>
        <w:rPr>
          <w:sz w:val="21"/>
        </w:rPr>
      </w:pPr>
    </w:p>
    <w:p w:rsidR="00D81F69" w:rsidRDefault="00330118">
      <w:pPr>
        <w:pStyle w:val="Heading7"/>
        <w:jc w:val="left"/>
      </w:pPr>
      <w:r>
        <w:t>LOCALIZAÇÃO GEOGRÁFICA</w:t>
      </w:r>
    </w:p>
    <w:p w:rsidR="00D81F69" w:rsidRDefault="00330118">
      <w:pPr>
        <w:pStyle w:val="Corpodetexto"/>
        <w:spacing w:before="179" w:line="312" w:lineRule="auto"/>
        <w:ind w:right="196"/>
      </w:pPr>
      <w:r>
        <w:t xml:space="preserve">Os municípios que compreendem o Arranjo Produtivo Local </w:t>
      </w:r>
      <w:r>
        <w:rPr>
          <w:spacing w:val="2"/>
        </w:rPr>
        <w:t xml:space="preserve">de </w:t>
      </w:r>
      <w:r>
        <w:rPr>
          <w:spacing w:val="5"/>
        </w:rPr>
        <w:t xml:space="preserve">Gemas, Joias </w:t>
      </w:r>
      <w:r>
        <w:t xml:space="preserve">e </w:t>
      </w:r>
      <w:r>
        <w:rPr>
          <w:spacing w:val="5"/>
        </w:rPr>
        <w:t xml:space="preserve">Artefatos </w:t>
      </w:r>
      <w:r>
        <w:rPr>
          <w:spacing w:val="2"/>
        </w:rPr>
        <w:t xml:space="preserve">da </w:t>
      </w:r>
      <w:r>
        <w:rPr>
          <w:spacing w:val="5"/>
        </w:rPr>
        <w:t xml:space="preserve">Pedra </w:t>
      </w:r>
      <w:r>
        <w:rPr>
          <w:spacing w:val="2"/>
        </w:rPr>
        <w:t xml:space="preserve">de </w:t>
      </w:r>
      <w:r>
        <w:rPr>
          <w:spacing w:val="5"/>
        </w:rPr>
        <w:t xml:space="preserve">Teófilo </w:t>
      </w:r>
      <w:r>
        <w:rPr>
          <w:spacing w:val="6"/>
        </w:rPr>
        <w:t xml:space="preserve">Otoni </w:t>
      </w:r>
      <w:r>
        <w:rPr>
          <w:spacing w:val="8"/>
        </w:rPr>
        <w:t xml:space="preserve">abrigam </w:t>
      </w:r>
      <w:r>
        <w:rPr>
          <w:spacing w:val="6"/>
        </w:rPr>
        <w:t xml:space="preserve">uma das </w:t>
      </w:r>
      <w:r>
        <w:rPr>
          <w:spacing w:val="8"/>
        </w:rPr>
        <w:t xml:space="preserve">maiores províncias </w:t>
      </w:r>
      <w:r>
        <w:rPr>
          <w:spacing w:val="10"/>
        </w:rPr>
        <w:t>gemológ</w:t>
      </w:r>
      <w:r>
        <w:rPr>
          <w:spacing w:val="10"/>
        </w:rPr>
        <w:t xml:space="preserve">icas já </w:t>
      </w:r>
      <w:r>
        <w:t>descobertas no mundo. Em especial, o município de Teófilo Otoni, situado na latitude 17°51'32''S e longitude 41°30'32''W, se destaca por ser o principal polo de beneficiamento e de exportação de gemas da</w:t>
      </w:r>
      <w:r>
        <w:rPr>
          <w:spacing w:val="23"/>
        </w:rPr>
        <w:t xml:space="preserve"> </w:t>
      </w:r>
      <w:r>
        <w:t>região.</w:t>
      </w:r>
    </w:p>
    <w:p w:rsidR="00D81F69" w:rsidRDefault="00D81F69">
      <w:pPr>
        <w:pStyle w:val="Corpodetexto"/>
        <w:spacing w:before="4"/>
        <w:ind w:left="0"/>
        <w:jc w:val="left"/>
        <w:rPr>
          <w:sz w:val="29"/>
        </w:rPr>
      </w:pPr>
    </w:p>
    <w:p w:rsidR="00D81F69" w:rsidRDefault="00330118">
      <w:pPr>
        <w:pStyle w:val="Heading7"/>
        <w:jc w:val="left"/>
      </w:pPr>
      <w:r>
        <w:t>REDATORES</w:t>
      </w:r>
    </w:p>
    <w:p w:rsidR="00D81F69" w:rsidRDefault="00330118">
      <w:pPr>
        <w:pStyle w:val="Corpodetexto"/>
        <w:spacing w:before="179"/>
        <w:jc w:val="left"/>
      </w:pPr>
      <w:r>
        <w:t>Renata Olivieri; Eliane A</w:t>
      </w:r>
      <w:r>
        <w:t>raujo</w:t>
      </w:r>
    </w:p>
    <w:p w:rsidR="00D81F69" w:rsidRDefault="00D81F69">
      <w:pPr>
        <w:pStyle w:val="Corpodetexto"/>
        <w:ind w:left="0"/>
        <w:jc w:val="left"/>
        <w:rPr>
          <w:sz w:val="20"/>
        </w:rPr>
      </w:pPr>
    </w:p>
    <w:p w:rsidR="00D81F69" w:rsidRDefault="00330118">
      <w:pPr>
        <w:pStyle w:val="Heading7"/>
        <w:spacing w:before="164"/>
        <w:jc w:val="left"/>
      </w:pPr>
      <w:r>
        <w:t>REFERÊNCIAS BIBLIOGRÁFICAS</w:t>
      </w:r>
    </w:p>
    <w:p w:rsidR="00D81F69" w:rsidRDefault="00330118">
      <w:pPr>
        <w:spacing w:before="188" w:line="312" w:lineRule="auto"/>
        <w:ind w:left="100" w:right="186"/>
        <w:rPr>
          <w:sz w:val="16"/>
        </w:rPr>
      </w:pPr>
      <w:r>
        <w:rPr>
          <w:sz w:val="16"/>
        </w:rPr>
        <w:t xml:space="preserve">AL-MG, Assembléia Legislativa de Minas Gerais. Encontro Regional </w:t>
      </w:r>
      <w:r>
        <w:rPr>
          <w:spacing w:val="12"/>
          <w:sz w:val="16"/>
        </w:rPr>
        <w:t xml:space="preserve">de </w:t>
      </w:r>
      <w:r>
        <w:rPr>
          <w:spacing w:val="21"/>
          <w:sz w:val="16"/>
        </w:rPr>
        <w:t xml:space="preserve">Teófilo </w:t>
      </w:r>
      <w:r>
        <w:rPr>
          <w:spacing w:val="20"/>
          <w:sz w:val="16"/>
        </w:rPr>
        <w:t>Otoni,</w:t>
      </w:r>
      <w:r>
        <w:rPr>
          <w:spacing w:val="85"/>
          <w:sz w:val="16"/>
        </w:rPr>
        <w:t xml:space="preserve"> </w:t>
      </w:r>
      <w:r>
        <w:rPr>
          <w:spacing w:val="12"/>
          <w:sz w:val="16"/>
        </w:rPr>
        <w:t xml:space="preserve">27 </w:t>
      </w:r>
      <w:r>
        <w:rPr>
          <w:spacing w:val="18"/>
          <w:sz w:val="16"/>
        </w:rPr>
        <w:t xml:space="preserve">mai. </w:t>
      </w:r>
      <w:r>
        <w:rPr>
          <w:spacing w:val="20"/>
          <w:sz w:val="16"/>
        </w:rPr>
        <w:t xml:space="preserve">2008. </w:t>
      </w:r>
      <w:r>
        <w:rPr>
          <w:spacing w:val="22"/>
          <w:sz w:val="16"/>
        </w:rPr>
        <w:t>Disponível</w:t>
      </w:r>
      <w:r>
        <w:rPr>
          <w:spacing w:val="21"/>
          <w:sz w:val="16"/>
        </w:rPr>
        <w:t xml:space="preserve"> </w:t>
      </w:r>
      <w:r>
        <w:rPr>
          <w:spacing w:val="16"/>
          <w:sz w:val="16"/>
        </w:rPr>
        <w:t>em:</w:t>
      </w:r>
      <w:r>
        <w:rPr>
          <w:spacing w:val="-18"/>
          <w:sz w:val="16"/>
        </w:rPr>
        <w:t xml:space="preserve"> </w:t>
      </w:r>
    </w:p>
    <w:p w:rsidR="00D81F69" w:rsidRDefault="00D81F69">
      <w:pPr>
        <w:spacing w:before="1" w:line="312" w:lineRule="auto"/>
        <w:ind w:left="100" w:right="159"/>
        <w:rPr>
          <w:sz w:val="16"/>
        </w:rPr>
      </w:pPr>
      <w:hyperlink r:id="rId1233">
        <w:r w:rsidR="00330118">
          <w:rPr>
            <w:sz w:val="16"/>
          </w:rPr>
          <w:t>&lt;http://www.almg.gov.br/even</w:t>
        </w:r>
        <w:r w:rsidR="00330118">
          <w:rPr>
            <w:sz w:val="16"/>
          </w:rPr>
          <w:t>tos/hot_minasdeminas/programacao/teo</w:t>
        </w:r>
      </w:hyperlink>
      <w:r w:rsidR="00330118">
        <w:rPr>
          <w:sz w:val="16"/>
        </w:rPr>
        <w:t xml:space="preserve"> filo.asp&gt;. Acesso em: 11 nov. 2010.</w:t>
      </w:r>
    </w:p>
    <w:p w:rsidR="00D81F69" w:rsidRDefault="00330118">
      <w:pPr>
        <w:tabs>
          <w:tab w:val="left" w:pos="1211"/>
          <w:tab w:val="left" w:pos="2503"/>
          <w:tab w:val="left" w:pos="4639"/>
        </w:tabs>
        <w:spacing w:before="2" w:line="312" w:lineRule="auto"/>
        <w:ind w:left="100" w:right="159"/>
        <w:rPr>
          <w:sz w:val="16"/>
        </w:rPr>
      </w:pPr>
      <w:r>
        <w:rPr>
          <w:sz w:val="16"/>
        </w:rPr>
        <w:t xml:space="preserve">BRASIL MINERAL. Pedras preciosas: Minas Gerais  exportou  </w:t>
      </w:r>
      <w:r>
        <w:rPr>
          <w:spacing w:val="1"/>
          <w:sz w:val="16"/>
        </w:rPr>
        <w:t xml:space="preserve">US$ </w:t>
      </w:r>
      <w:r>
        <w:rPr>
          <w:sz w:val="16"/>
        </w:rPr>
        <w:t xml:space="preserve">354 milhões no ano passado. In: Brasil Mineral OnLine n. 201, 24        </w:t>
      </w:r>
      <w:r>
        <w:rPr>
          <w:spacing w:val="10"/>
          <w:sz w:val="16"/>
        </w:rPr>
        <w:t>m  a</w:t>
      </w:r>
      <w:r>
        <w:rPr>
          <w:spacing w:val="23"/>
          <w:sz w:val="16"/>
        </w:rPr>
        <w:t xml:space="preserve"> </w:t>
      </w:r>
      <w:r>
        <w:rPr>
          <w:spacing w:val="10"/>
          <w:sz w:val="16"/>
        </w:rPr>
        <w:t>r</w:t>
      </w:r>
      <w:r>
        <w:rPr>
          <w:spacing w:val="43"/>
          <w:sz w:val="16"/>
        </w:rPr>
        <w:t xml:space="preserve"> </w:t>
      </w:r>
      <w:r>
        <w:rPr>
          <w:sz w:val="16"/>
        </w:rPr>
        <w:t>.</w:t>
      </w:r>
      <w:r>
        <w:rPr>
          <w:sz w:val="16"/>
        </w:rPr>
        <w:tab/>
      </w:r>
      <w:r>
        <w:rPr>
          <w:spacing w:val="10"/>
          <w:sz w:val="16"/>
        </w:rPr>
        <w:t>2  0  0</w:t>
      </w:r>
      <w:r>
        <w:rPr>
          <w:spacing w:val="3"/>
          <w:sz w:val="16"/>
        </w:rPr>
        <w:t xml:space="preserve"> </w:t>
      </w:r>
      <w:r>
        <w:rPr>
          <w:spacing w:val="10"/>
          <w:sz w:val="16"/>
        </w:rPr>
        <w:t>5</w:t>
      </w:r>
      <w:r>
        <w:rPr>
          <w:spacing w:val="43"/>
          <w:sz w:val="16"/>
        </w:rPr>
        <w:t xml:space="preserve"> </w:t>
      </w:r>
      <w:r>
        <w:rPr>
          <w:sz w:val="16"/>
        </w:rPr>
        <w:t>.</w:t>
      </w:r>
      <w:r>
        <w:rPr>
          <w:sz w:val="16"/>
        </w:rPr>
        <w:tab/>
      </w:r>
      <w:r>
        <w:rPr>
          <w:spacing w:val="10"/>
          <w:sz w:val="16"/>
        </w:rPr>
        <w:t>D</w:t>
      </w:r>
      <w:r>
        <w:rPr>
          <w:spacing w:val="43"/>
          <w:sz w:val="16"/>
        </w:rPr>
        <w:t xml:space="preserve"> </w:t>
      </w:r>
      <w:r>
        <w:rPr>
          <w:spacing w:val="10"/>
          <w:sz w:val="16"/>
        </w:rPr>
        <w:t>i</w:t>
      </w:r>
      <w:r>
        <w:rPr>
          <w:spacing w:val="43"/>
          <w:sz w:val="16"/>
        </w:rPr>
        <w:t xml:space="preserve"> </w:t>
      </w:r>
      <w:r>
        <w:rPr>
          <w:spacing w:val="10"/>
          <w:sz w:val="16"/>
        </w:rPr>
        <w:t>s</w:t>
      </w:r>
      <w:r>
        <w:rPr>
          <w:spacing w:val="43"/>
          <w:sz w:val="16"/>
        </w:rPr>
        <w:t xml:space="preserve"> </w:t>
      </w:r>
      <w:r>
        <w:rPr>
          <w:spacing w:val="10"/>
          <w:sz w:val="16"/>
        </w:rPr>
        <w:t>p</w:t>
      </w:r>
      <w:r>
        <w:rPr>
          <w:spacing w:val="43"/>
          <w:sz w:val="16"/>
        </w:rPr>
        <w:t xml:space="preserve"> </w:t>
      </w:r>
      <w:r>
        <w:rPr>
          <w:spacing w:val="10"/>
          <w:sz w:val="16"/>
        </w:rPr>
        <w:t>o</w:t>
      </w:r>
      <w:r>
        <w:rPr>
          <w:spacing w:val="43"/>
          <w:sz w:val="16"/>
        </w:rPr>
        <w:t xml:space="preserve"> </w:t>
      </w:r>
      <w:r>
        <w:rPr>
          <w:spacing w:val="10"/>
          <w:sz w:val="16"/>
        </w:rPr>
        <w:t>n</w:t>
      </w:r>
      <w:r>
        <w:rPr>
          <w:spacing w:val="43"/>
          <w:sz w:val="16"/>
        </w:rPr>
        <w:t xml:space="preserve"> </w:t>
      </w:r>
      <w:r>
        <w:rPr>
          <w:spacing w:val="10"/>
          <w:sz w:val="16"/>
        </w:rPr>
        <w:t>í</w:t>
      </w:r>
      <w:r>
        <w:rPr>
          <w:spacing w:val="43"/>
          <w:sz w:val="16"/>
        </w:rPr>
        <w:t xml:space="preserve"> </w:t>
      </w:r>
      <w:r>
        <w:rPr>
          <w:spacing w:val="10"/>
          <w:sz w:val="16"/>
        </w:rPr>
        <w:t>v</w:t>
      </w:r>
      <w:r>
        <w:rPr>
          <w:spacing w:val="43"/>
          <w:sz w:val="16"/>
        </w:rPr>
        <w:t xml:space="preserve"> </w:t>
      </w:r>
      <w:r>
        <w:rPr>
          <w:spacing w:val="10"/>
          <w:sz w:val="16"/>
        </w:rPr>
        <w:t>e</w:t>
      </w:r>
      <w:r>
        <w:rPr>
          <w:spacing w:val="43"/>
          <w:sz w:val="16"/>
        </w:rPr>
        <w:t xml:space="preserve"> </w:t>
      </w:r>
      <w:r>
        <w:rPr>
          <w:sz w:val="16"/>
        </w:rPr>
        <w:t>l</w:t>
      </w:r>
      <w:r>
        <w:rPr>
          <w:sz w:val="16"/>
        </w:rPr>
        <w:tab/>
      </w:r>
      <w:r>
        <w:rPr>
          <w:spacing w:val="10"/>
          <w:sz w:val="16"/>
        </w:rPr>
        <w:t>e m</w:t>
      </w:r>
      <w:r>
        <w:rPr>
          <w:spacing w:val="23"/>
          <w:sz w:val="16"/>
        </w:rPr>
        <w:t xml:space="preserve"> </w:t>
      </w:r>
      <w:r>
        <w:rPr>
          <w:sz w:val="16"/>
        </w:rPr>
        <w:t xml:space="preserve">: </w:t>
      </w:r>
      <w:r>
        <w:rPr>
          <w:spacing w:val="10"/>
          <w:sz w:val="16"/>
        </w:rPr>
        <w:t xml:space="preserve"> </w:t>
      </w:r>
    </w:p>
    <w:p w:rsidR="00D81F69" w:rsidRDefault="00D81F69">
      <w:pPr>
        <w:spacing w:before="2" w:line="312" w:lineRule="auto"/>
        <w:ind w:left="100" w:right="159"/>
        <w:rPr>
          <w:sz w:val="16"/>
        </w:rPr>
      </w:pPr>
      <w:hyperlink r:id="rId1234">
        <w:r w:rsidR="00330118">
          <w:rPr>
            <w:sz w:val="16"/>
          </w:rPr>
          <w:t>&lt;http://www.brasilmineral.com.br/BM/default.asp?COD=1647&amp;busca=</w:t>
        </w:r>
      </w:hyperlink>
      <w:r w:rsidR="00330118">
        <w:rPr>
          <w:sz w:val="16"/>
        </w:rPr>
        <w:t xml:space="preserve"> &amp;numero=201&gt;. Acesso em: 10 nov. 2010.</w:t>
      </w:r>
    </w:p>
    <w:p w:rsidR="00D81F69" w:rsidRDefault="00330118">
      <w:pPr>
        <w:spacing w:before="2" w:line="312" w:lineRule="auto"/>
        <w:ind w:left="100" w:right="159"/>
        <w:rPr>
          <w:sz w:val="16"/>
        </w:rPr>
      </w:pPr>
      <w:r>
        <w:rPr>
          <w:spacing w:val="1"/>
          <w:sz w:val="16"/>
        </w:rPr>
        <w:t xml:space="preserve">IBGE, Instituto Brasileiro </w:t>
      </w:r>
      <w:r>
        <w:rPr>
          <w:sz w:val="16"/>
        </w:rPr>
        <w:t xml:space="preserve">de </w:t>
      </w:r>
      <w:r>
        <w:rPr>
          <w:spacing w:val="1"/>
          <w:sz w:val="16"/>
        </w:rPr>
        <w:t xml:space="preserve">Geografia </w:t>
      </w:r>
      <w:r>
        <w:rPr>
          <w:sz w:val="16"/>
        </w:rPr>
        <w:t xml:space="preserve">e </w:t>
      </w:r>
      <w:r>
        <w:rPr>
          <w:spacing w:val="1"/>
          <w:sz w:val="16"/>
        </w:rPr>
        <w:t xml:space="preserve">Estatística. Teófilo </w:t>
      </w:r>
      <w:r>
        <w:rPr>
          <w:spacing w:val="2"/>
          <w:sz w:val="16"/>
        </w:rPr>
        <w:t xml:space="preserve">Otoni </w:t>
      </w:r>
      <w:r>
        <w:rPr>
          <w:spacing w:val="21"/>
          <w:sz w:val="16"/>
        </w:rPr>
        <w:t>(</w:t>
      </w:r>
      <w:r>
        <w:rPr>
          <w:spacing w:val="21"/>
          <w:sz w:val="16"/>
        </w:rPr>
        <w:t xml:space="preserve">MG).   </w:t>
      </w:r>
      <w:r>
        <w:rPr>
          <w:spacing w:val="17"/>
          <w:sz w:val="16"/>
        </w:rPr>
        <w:t xml:space="preserve">In:   </w:t>
      </w:r>
      <w:r>
        <w:rPr>
          <w:spacing w:val="20"/>
          <w:sz w:val="16"/>
        </w:rPr>
        <w:t xml:space="preserve">IBGE </w:t>
      </w:r>
      <w:r>
        <w:rPr>
          <w:spacing w:val="85"/>
          <w:sz w:val="16"/>
        </w:rPr>
        <w:t xml:space="preserve"> </w:t>
      </w:r>
      <w:r>
        <w:rPr>
          <w:spacing w:val="23"/>
          <w:sz w:val="16"/>
        </w:rPr>
        <w:t xml:space="preserve">Cidades,   </w:t>
      </w:r>
      <w:r>
        <w:rPr>
          <w:spacing w:val="21"/>
          <w:sz w:val="16"/>
        </w:rPr>
        <w:t xml:space="preserve">2010.   </w:t>
      </w:r>
      <w:r>
        <w:rPr>
          <w:spacing w:val="25"/>
          <w:sz w:val="16"/>
        </w:rPr>
        <w:t>Disponível</w:t>
      </w:r>
      <w:r>
        <w:rPr>
          <w:spacing w:val="78"/>
          <w:sz w:val="16"/>
        </w:rPr>
        <w:t xml:space="preserve"> </w:t>
      </w:r>
      <w:r>
        <w:rPr>
          <w:spacing w:val="17"/>
          <w:sz w:val="16"/>
        </w:rPr>
        <w:t>em:</w:t>
      </w:r>
      <w:r>
        <w:rPr>
          <w:spacing w:val="-15"/>
          <w:sz w:val="16"/>
        </w:rPr>
        <w:t xml:space="preserve"> </w:t>
      </w:r>
    </w:p>
    <w:p w:rsidR="00D81F69" w:rsidRDefault="00D81F69">
      <w:pPr>
        <w:spacing w:before="2"/>
        <w:ind w:left="100"/>
        <w:rPr>
          <w:sz w:val="16"/>
        </w:rPr>
      </w:pPr>
      <w:hyperlink r:id="rId1235">
        <w:r w:rsidR="00330118">
          <w:rPr>
            <w:sz w:val="16"/>
          </w:rPr>
          <w:t>&lt;http://www.ibge.gov.br/cidadesat/xtras/perfil.php?codmun=316860&amp;r</w:t>
        </w:r>
      </w:hyperlink>
    </w:p>
    <w:p w:rsidR="00D81F69" w:rsidRDefault="00330118">
      <w:pPr>
        <w:spacing w:before="56"/>
        <w:ind w:left="100"/>
        <w:rPr>
          <w:sz w:val="16"/>
        </w:rPr>
      </w:pPr>
      <w:r>
        <w:rPr>
          <w:sz w:val="16"/>
        </w:rPr>
        <w:t>=2&gt;. Acesso em: 10 mar.2011.</w:t>
      </w:r>
    </w:p>
    <w:p w:rsidR="00D81F69" w:rsidRDefault="00330118">
      <w:pPr>
        <w:tabs>
          <w:tab w:val="left" w:pos="4331"/>
        </w:tabs>
        <w:spacing w:before="56" w:line="312" w:lineRule="auto"/>
        <w:ind w:left="100" w:right="198"/>
        <w:jc w:val="both"/>
        <w:rPr>
          <w:sz w:val="16"/>
        </w:rPr>
      </w:pPr>
      <w:r>
        <w:rPr>
          <w:sz w:val="16"/>
        </w:rPr>
        <w:t>IBGM - Instituto Br</w:t>
      </w:r>
      <w:r>
        <w:rPr>
          <w:sz w:val="16"/>
        </w:rPr>
        <w:t xml:space="preserve">asileiro de Gemas e Metais Preciosos e Ministério do Desenvolvimento, Indústria e Comércio Exterior. Políticas e ações para a cadeia produtiva de gemas e joias, Brasília: Brisa, 2005,116 p.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line="312" w:lineRule="auto"/>
        <w:ind w:left="100" w:right="232"/>
        <w:rPr>
          <w:sz w:val="16"/>
        </w:rPr>
      </w:pPr>
      <w:hyperlink r:id="rId1236">
        <w:r w:rsidR="00330118">
          <w:rPr>
            <w:sz w:val="16"/>
          </w:rPr>
          <w:t>&lt;http://www.ibgm.com.br/UserFiles/File/ibgmMDIC2005all.pdf&gt;.</w:t>
        </w:r>
      </w:hyperlink>
      <w:r w:rsidR="00330118">
        <w:rPr>
          <w:sz w:val="16"/>
        </w:rPr>
        <w:t xml:space="preserve"> Acesso em: 11 nov. 2010.</w:t>
      </w:r>
    </w:p>
    <w:p w:rsidR="00D81F69" w:rsidRDefault="00330118">
      <w:pPr>
        <w:spacing w:before="2"/>
        <w:ind w:left="100"/>
        <w:jc w:val="both"/>
        <w:rPr>
          <w:sz w:val="16"/>
        </w:rPr>
      </w:pPr>
      <w:r>
        <w:rPr>
          <w:sz w:val="16"/>
        </w:rPr>
        <w:t>LIMA, Maria Helena Rocha; PEREIRA FILHO, Saulo Rodrigues;</w:t>
      </w:r>
    </w:p>
    <w:p w:rsidR="00D81F69" w:rsidRDefault="00D81F69">
      <w:pPr>
        <w:jc w:val="both"/>
        <w:rPr>
          <w:sz w:val="16"/>
        </w:rPr>
        <w:sectPr w:rsidR="00D81F69">
          <w:pgSz w:w="11900" w:h="16840"/>
          <w:pgMar w:top="740" w:right="500" w:bottom="680" w:left="620" w:header="0" w:footer="402" w:gutter="0"/>
          <w:cols w:num="2" w:space="720" w:equalWidth="0">
            <w:col w:w="5158" w:space="312"/>
            <w:col w:w="5310"/>
          </w:cols>
        </w:sectPr>
      </w:pPr>
    </w:p>
    <w:p w:rsidR="00D81F69" w:rsidRDefault="00330118">
      <w:pPr>
        <w:tabs>
          <w:tab w:val="left" w:pos="1198"/>
          <w:tab w:val="left" w:pos="2494"/>
          <w:tab w:val="left" w:pos="4639"/>
        </w:tabs>
        <w:spacing w:before="70" w:line="312" w:lineRule="auto"/>
        <w:ind w:left="100" w:right="63"/>
        <w:jc w:val="both"/>
        <w:rPr>
          <w:sz w:val="16"/>
        </w:rPr>
      </w:pPr>
      <w:r>
        <w:rPr>
          <w:spacing w:val="5"/>
          <w:sz w:val="16"/>
        </w:rPr>
        <w:lastRenderedPageBreak/>
        <w:t>SIROTHE</w:t>
      </w:r>
      <w:r>
        <w:rPr>
          <w:spacing w:val="5"/>
          <w:sz w:val="16"/>
        </w:rPr>
        <w:t xml:space="preserve">AU Gloria Janaína; SCHNELLRATH, Jurgen; VILLAS </w:t>
      </w:r>
      <w:r>
        <w:rPr>
          <w:sz w:val="16"/>
        </w:rPr>
        <w:t xml:space="preserve">BOAS, Roberto C. Garimpo e Inclusão Social no Brasil: dois estudos de caso, Anais do III Seminário Internacional Sociedade Inclusiva. PUC Minas - Ações Inclusivas de Sucesso, Belo Horizonte, 24 - 28   m  a </w:t>
      </w:r>
      <w:r>
        <w:rPr>
          <w:spacing w:val="20"/>
          <w:sz w:val="16"/>
        </w:rPr>
        <w:t xml:space="preserve"> </w:t>
      </w:r>
      <w:r>
        <w:rPr>
          <w:sz w:val="16"/>
        </w:rPr>
        <w:t xml:space="preserve">i </w:t>
      </w:r>
      <w:r>
        <w:rPr>
          <w:spacing w:val="10"/>
          <w:sz w:val="16"/>
        </w:rPr>
        <w:t xml:space="preserve"> </w:t>
      </w:r>
      <w:r>
        <w:rPr>
          <w:sz w:val="16"/>
        </w:rPr>
        <w:t>.</w:t>
      </w:r>
      <w:r>
        <w:rPr>
          <w:sz w:val="16"/>
        </w:rPr>
        <w:tab/>
        <w:t xml:space="preserve">2  0  0 </w:t>
      </w:r>
      <w:r>
        <w:rPr>
          <w:spacing w:val="31"/>
          <w:sz w:val="16"/>
        </w:rPr>
        <w:t xml:space="preserve"> </w:t>
      </w:r>
      <w:r>
        <w:rPr>
          <w:sz w:val="16"/>
        </w:rPr>
        <w:t xml:space="preserve">4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0"/>
          <w:sz w:val="16"/>
        </w:rPr>
        <w:t xml:space="preserve"> </w:t>
      </w:r>
      <w:r>
        <w:rPr>
          <w:sz w:val="16"/>
        </w:rPr>
        <w:t>:</w:t>
      </w:r>
    </w:p>
    <w:p w:rsidR="00D81F69" w:rsidRDefault="00D81F69">
      <w:pPr>
        <w:spacing w:before="4" w:line="312" w:lineRule="auto"/>
        <w:ind w:left="100" w:right="83"/>
        <w:jc w:val="both"/>
        <w:rPr>
          <w:sz w:val="16"/>
        </w:rPr>
      </w:pPr>
      <w:hyperlink r:id="rId1237">
        <w:r w:rsidR="00330118">
          <w:rPr>
            <w:sz w:val="16"/>
          </w:rPr>
          <w:t>&lt;http://www.sociedadeinclusiva.pucminas.br/sem3/maria_helena_roc</w:t>
        </w:r>
      </w:hyperlink>
      <w:r w:rsidR="00330118">
        <w:rPr>
          <w:sz w:val="16"/>
        </w:rPr>
        <w:t xml:space="preserve"> ha_lima.pdf&gt;. Acesso em: 11 nov. 2010.</w:t>
      </w:r>
    </w:p>
    <w:p w:rsidR="00D81F69" w:rsidRDefault="00330118">
      <w:pPr>
        <w:spacing w:before="1" w:line="312" w:lineRule="auto"/>
        <w:ind w:left="100" w:right="38"/>
        <w:jc w:val="both"/>
        <w:rPr>
          <w:sz w:val="16"/>
        </w:rPr>
      </w:pPr>
      <w:r>
        <w:rPr>
          <w:sz w:val="16"/>
        </w:rPr>
        <w:t>MATOS, Marcelo Gers</w:t>
      </w:r>
      <w:r>
        <w:rPr>
          <w:sz w:val="16"/>
        </w:rPr>
        <w:t xml:space="preserve">on Pessoa. Políticas Públicas para Arranjos </w:t>
      </w:r>
      <w:r>
        <w:rPr>
          <w:spacing w:val="1"/>
          <w:sz w:val="16"/>
        </w:rPr>
        <w:t xml:space="preserve">Produtivos Locais: </w:t>
      </w:r>
      <w:r>
        <w:rPr>
          <w:sz w:val="16"/>
        </w:rPr>
        <w:t xml:space="preserve">O </w:t>
      </w:r>
      <w:r>
        <w:rPr>
          <w:spacing w:val="1"/>
          <w:sz w:val="16"/>
        </w:rPr>
        <w:t xml:space="preserve">Arranjo </w:t>
      </w:r>
      <w:r>
        <w:rPr>
          <w:sz w:val="16"/>
        </w:rPr>
        <w:t xml:space="preserve">de </w:t>
      </w:r>
      <w:r>
        <w:rPr>
          <w:spacing w:val="1"/>
          <w:sz w:val="16"/>
        </w:rPr>
        <w:t xml:space="preserve">Gemas </w:t>
      </w:r>
      <w:r>
        <w:rPr>
          <w:sz w:val="16"/>
        </w:rPr>
        <w:t xml:space="preserve">de </w:t>
      </w:r>
      <w:r>
        <w:rPr>
          <w:spacing w:val="1"/>
          <w:sz w:val="16"/>
        </w:rPr>
        <w:t xml:space="preserve">Teófilo Otoni </w:t>
      </w:r>
      <w:r>
        <w:rPr>
          <w:sz w:val="16"/>
        </w:rPr>
        <w:t xml:space="preserve">- </w:t>
      </w:r>
      <w:r>
        <w:rPr>
          <w:spacing w:val="2"/>
          <w:sz w:val="16"/>
        </w:rPr>
        <w:t xml:space="preserve">Minas </w:t>
      </w:r>
      <w:r>
        <w:rPr>
          <w:sz w:val="16"/>
        </w:rPr>
        <w:t xml:space="preserve">Gerais. (Monografia em Economia). Universidade Federal do Rio de </w:t>
      </w:r>
      <w:r>
        <w:rPr>
          <w:spacing w:val="25"/>
          <w:sz w:val="16"/>
        </w:rPr>
        <w:t xml:space="preserve">Janeiro, </w:t>
      </w:r>
      <w:r>
        <w:rPr>
          <w:spacing w:val="95"/>
          <w:sz w:val="16"/>
        </w:rPr>
        <w:t xml:space="preserve"> </w:t>
      </w:r>
      <w:r>
        <w:rPr>
          <w:spacing w:val="20"/>
          <w:sz w:val="16"/>
        </w:rPr>
        <w:t xml:space="preserve">Rio   </w:t>
      </w:r>
      <w:r>
        <w:rPr>
          <w:spacing w:val="15"/>
          <w:sz w:val="16"/>
        </w:rPr>
        <w:t xml:space="preserve">de   </w:t>
      </w:r>
      <w:r>
        <w:rPr>
          <w:spacing w:val="25"/>
          <w:sz w:val="16"/>
        </w:rPr>
        <w:t xml:space="preserve">Janeiro, </w:t>
      </w:r>
      <w:r>
        <w:rPr>
          <w:spacing w:val="95"/>
          <w:sz w:val="16"/>
        </w:rPr>
        <w:t xml:space="preserve"> </w:t>
      </w:r>
      <w:r>
        <w:rPr>
          <w:spacing w:val="23"/>
          <w:sz w:val="16"/>
        </w:rPr>
        <w:t xml:space="preserve">2004.   </w:t>
      </w:r>
      <w:r>
        <w:rPr>
          <w:spacing w:val="26"/>
          <w:sz w:val="16"/>
        </w:rPr>
        <w:t>Disponível</w:t>
      </w:r>
      <w:r>
        <w:rPr>
          <w:spacing w:val="25"/>
          <w:sz w:val="16"/>
        </w:rPr>
        <w:t xml:space="preserve"> </w:t>
      </w:r>
      <w:r>
        <w:rPr>
          <w:spacing w:val="20"/>
          <w:sz w:val="16"/>
        </w:rPr>
        <w:t>em:</w:t>
      </w:r>
      <w:r>
        <w:rPr>
          <w:spacing w:val="-15"/>
          <w:sz w:val="16"/>
        </w:rPr>
        <w:t xml:space="preserve"> </w:t>
      </w:r>
    </w:p>
    <w:p w:rsidR="00D81F69" w:rsidRDefault="00D81F69">
      <w:pPr>
        <w:spacing w:before="4" w:line="312" w:lineRule="auto"/>
        <w:ind w:left="100" w:right="58"/>
        <w:jc w:val="both"/>
        <w:rPr>
          <w:sz w:val="16"/>
        </w:rPr>
      </w:pPr>
      <w:hyperlink r:id="rId1238">
        <w:r w:rsidR="00330118">
          <w:rPr>
            <w:sz w:val="16"/>
          </w:rPr>
          <w:t>&lt;http://www.redeaplmineral.org.br/biblioteca/eventos/vi-seminario-</w:t>
        </w:r>
      </w:hyperlink>
      <w:r w:rsidR="00330118">
        <w:rPr>
          <w:sz w:val="16"/>
        </w:rPr>
        <w:t xml:space="preserve"> nacional-3b0-encontro-da-rede-apl-mineral/estudos-e- pesquisas/POLITICAS%20PUBLICAS%20PARA%20ARRANJOS%20 PRO</w:t>
      </w:r>
      <w:r w:rsidR="00330118">
        <w:rPr>
          <w:sz w:val="16"/>
        </w:rPr>
        <w:t>DUTIVOS%20LOCAIS%20O%20ARRANJO%20DE%20GEMAS</w:t>
      </w:r>
    </w:p>
    <w:p w:rsidR="00D81F69" w:rsidRDefault="00330118">
      <w:pPr>
        <w:spacing w:before="3"/>
        <w:ind w:left="100"/>
        <w:jc w:val="both"/>
        <w:rPr>
          <w:sz w:val="16"/>
        </w:rPr>
      </w:pPr>
      <w:r>
        <w:rPr>
          <w:sz w:val="16"/>
        </w:rPr>
        <w:t>%20DE%20TEOFILO%20OTONI.pdf&gt;. Acesso em: 11 nov. 2010.</w:t>
      </w:r>
    </w:p>
    <w:p w:rsidR="00D81F69" w:rsidRDefault="00330118">
      <w:pPr>
        <w:spacing w:before="56" w:line="312" w:lineRule="auto"/>
        <w:ind w:left="100" w:right="45"/>
        <w:jc w:val="both"/>
        <w:rPr>
          <w:sz w:val="16"/>
        </w:rPr>
      </w:pPr>
      <w:r>
        <w:rPr>
          <w:sz w:val="16"/>
        </w:rPr>
        <w:t xml:space="preserve">MS GEMS. Historia de Teófilo Otoni: Teófilo Otoni, cidade polo do </w:t>
      </w:r>
      <w:r>
        <w:rPr>
          <w:spacing w:val="20"/>
          <w:sz w:val="16"/>
        </w:rPr>
        <w:t>nordeste</w:t>
      </w:r>
      <w:r>
        <w:rPr>
          <w:spacing w:val="85"/>
          <w:sz w:val="16"/>
        </w:rPr>
        <w:t xml:space="preserve"> </w:t>
      </w:r>
      <w:r>
        <w:rPr>
          <w:spacing w:val="20"/>
          <w:sz w:val="16"/>
        </w:rPr>
        <w:t>mineiro.</w:t>
      </w:r>
      <w:r>
        <w:rPr>
          <w:spacing w:val="85"/>
          <w:sz w:val="16"/>
        </w:rPr>
        <w:t xml:space="preserve"> </w:t>
      </w:r>
      <w:r>
        <w:rPr>
          <w:spacing w:val="21"/>
          <w:sz w:val="16"/>
        </w:rPr>
        <w:t xml:space="preserve">Disponível </w:t>
      </w:r>
      <w:r>
        <w:rPr>
          <w:spacing w:val="15"/>
          <w:sz w:val="16"/>
        </w:rPr>
        <w:t>em:</w:t>
      </w:r>
      <w:r>
        <w:rPr>
          <w:spacing w:val="75"/>
          <w:sz w:val="16"/>
        </w:rPr>
        <w:t xml:space="preserve"> </w:t>
      </w:r>
      <w:r>
        <w:rPr>
          <w:spacing w:val="22"/>
          <w:sz w:val="16"/>
        </w:rPr>
        <w:t xml:space="preserve">&lt;http://www.ms- </w:t>
      </w:r>
      <w:r>
        <w:rPr>
          <w:spacing w:val="20"/>
          <w:sz w:val="16"/>
        </w:rPr>
        <w:t xml:space="preserve">gems.com/historia.html&gt;. </w:t>
      </w:r>
      <w:r>
        <w:rPr>
          <w:spacing w:val="16"/>
          <w:sz w:val="16"/>
        </w:rPr>
        <w:t xml:space="preserve">Acesso </w:t>
      </w:r>
      <w:r>
        <w:rPr>
          <w:spacing w:val="13"/>
          <w:sz w:val="16"/>
        </w:rPr>
        <w:t xml:space="preserve">em: </w:t>
      </w:r>
      <w:r>
        <w:rPr>
          <w:spacing w:val="10"/>
          <w:sz w:val="16"/>
        </w:rPr>
        <w:t xml:space="preserve">10 </w:t>
      </w:r>
      <w:r>
        <w:rPr>
          <w:spacing w:val="15"/>
          <w:sz w:val="16"/>
        </w:rPr>
        <w:t>nov</w:t>
      </w:r>
      <w:r>
        <w:rPr>
          <w:spacing w:val="15"/>
          <w:sz w:val="16"/>
        </w:rPr>
        <w:t xml:space="preserve">. 2010. </w:t>
      </w:r>
      <w:r>
        <w:rPr>
          <w:spacing w:val="5"/>
          <w:sz w:val="16"/>
        </w:rPr>
        <w:t xml:space="preserve">PEREIRA, Camila Cristina </w:t>
      </w:r>
      <w:r>
        <w:rPr>
          <w:spacing w:val="2"/>
          <w:sz w:val="16"/>
        </w:rPr>
        <w:t xml:space="preserve">de </w:t>
      </w:r>
      <w:r>
        <w:rPr>
          <w:spacing w:val="5"/>
          <w:sz w:val="16"/>
        </w:rPr>
        <w:t xml:space="preserve">Paula; GUIMARÃES, Liliane </w:t>
      </w:r>
      <w:r>
        <w:rPr>
          <w:spacing w:val="6"/>
          <w:sz w:val="16"/>
        </w:rPr>
        <w:t xml:space="preserve">de </w:t>
      </w:r>
      <w:r>
        <w:rPr>
          <w:sz w:val="16"/>
        </w:rPr>
        <w:t>Oliveira. Trajetória e governança do arranjo produtivo local de gemas e artefatos de pedras do Vale do Jequitinhonha e Mucuri em Minas Gerais:</w:t>
      </w:r>
      <w:r>
        <w:rPr>
          <w:spacing w:val="20"/>
          <w:sz w:val="16"/>
        </w:rPr>
        <w:t xml:space="preserve"> </w:t>
      </w:r>
      <w:r>
        <w:rPr>
          <w:sz w:val="16"/>
        </w:rPr>
        <w:t>uma</w:t>
      </w:r>
      <w:r>
        <w:rPr>
          <w:spacing w:val="20"/>
          <w:sz w:val="16"/>
        </w:rPr>
        <w:t xml:space="preserve"> </w:t>
      </w:r>
      <w:r>
        <w:rPr>
          <w:sz w:val="16"/>
        </w:rPr>
        <w:t>análise</w:t>
      </w:r>
      <w:r>
        <w:rPr>
          <w:spacing w:val="20"/>
          <w:sz w:val="16"/>
        </w:rPr>
        <w:t xml:space="preserve"> </w:t>
      </w:r>
      <w:r>
        <w:rPr>
          <w:sz w:val="16"/>
        </w:rPr>
        <w:t>preliminar.</w:t>
      </w:r>
      <w:r>
        <w:rPr>
          <w:spacing w:val="20"/>
          <w:sz w:val="16"/>
        </w:rPr>
        <w:t xml:space="preserve"> </w:t>
      </w:r>
      <w:r>
        <w:rPr>
          <w:sz w:val="16"/>
        </w:rPr>
        <w:t>In:</w:t>
      </w:r>
      <w:r>
        <w:rPr>
          <w:spacing w:val="20"/>
          <w:sz w:val="16"/>
        </w:rPr>
        <w:t xml:space="preserve"> </w:t>
      </w:r>
      <w:r>
        <w:rPr>
          <w:sz w:val="16"/>
        </w:rPr>
        <w:t>FERNANDES,</w:t>
      </w:r>
      <w:r>
        <w:rPr>
          <w:spacing w:val="20"/>
          <w:sz w:val="16"/>
        </w:rPr>
        <w:t xml:space="preserve"> </w:t>
      </w:r>
      <w:r>
        <w:rPr>
          <w:sz w:val="16"/>
        </w:rPr>
        <w:t>Francisco</w:t>
      </w:r>
      <w:r>
        <w:rPr>
          <w:spacing w:val="20"/>
          <w:sz w:val="16"/>
        </w:rPr>
        <w:t xml:space="preserve"> </w:t>
      </w:r>
      <w:r>
        <w:rPr>
          <w:sz w:val="16"/>
        </w:rPr>
        <w:t>Rego</w:t>
      </w:r>
    </w:p>
    <w:p w:rsidR="00D81F69" w:rsidRDefault="00330118">
      <w:pPr>
        <w:spacing w:before="70" w:line="312" w:lineRule="auto"/>
        <w:ind w:left="100" w:right="159"/>
        <w:rPr>
          <w:sz w:val="16"/>
        </w:rPr>
      </w:pPr>
      <w:r>
        <w:br w:type="column"/>
      </w:r>
      <w:r>
        <w:rPr>
          <w:sz w:val="16"/>
        </w:rPr>
        <w:lastRenderedPageBreak/>
        <w:t>Chaves; ENRIQUEZ, Maria Amélia; ALAMINO, Renata de Carvalho Jimenez (Eds.). Recursos Minerais e Territorialidade: v. 2, p. 89-114 - Grandes Minas e Comunidades Locais CETEM/MCTI, 2011.</w:t>
      </w:r>
    </w:p>
    <w:p w:rsidR="00D81F69" w:rsidRDefault="00330118">
      <w:pPr>
        <w:tabs>
          <w:tab w:val="left" w:pos="470"/>
          <w:tab w:val="left" w:pos="760"/>
          <w:tab w:val="left" w:pos="1095"/>
          <w:tab w:val="left" w:pos="1439"/>
          <w:tab w:val="left" w:pos="1782"/>
          <w:tab w:val="left" w:pos="2126"/>
          <w:tab w:val="left" w:pos="2426"/>
          <w:tab w:val="left" w:pos="2760"/>
          <w:tab w:val="left" w:pos="3104"/>
          <w:tab w:val="left" w:pos="4331"/>
          <w:tab w:val="left" w:pos="4674"/>
          <w:tab w:val="left" w:pos="5063"/>
        </w:tabs>
        <w:spacing w:before="2"/>
        <w:ind w:left="100"/>
        <w:rPr>
          <w:sz w:val="16"/>
        </w:rPr>
      </w:pPr>
      <w:r>
        <w:rPr>
          <w:sz w:val="16"/>
        </w:rPr>
        <w:t>D</w:t>
      </w:r>
      <w:r>
        <w:rPr>
          <w:sz w:val="16"/>
        </w:rPr>
        <w:tab/>
        <w:t>i</w:t>
      </w:r>
      <w:r>
        <w:rPr>
          <w:sz w:val="16"/>
        </w:rPr>
        <w:tab/>
        <w:t>s</w:t>
      </w:r>
      <w:r>
        <w:rPr>
          <w:sz w:val="16"/>
        </w:rPr>
        <w:tab/>
        <w:t>p</w:t>
      </w:r>
      <w:r>
        <w:rPr>
          <w:sz w:val="16"/>
        </w:rPr>
        <w:tab/>
        <w:t>o</w:t>
      </w:r>
      <w:r>
        <w:rPr>
          <w:sz w:val="16"/>
        </w:rPr>
        <w:tab/>
        <w:t>n</w:t>
      </w:r>
      <w:r>
        <w:rPr>
          <w:sz w:val="16"/>
        </w:rPr>
        <w:tab/>
        <w:t>í</w:t>
      </w:r>
      <w:r>
        <w:rPr>
          <w:sz w:val="16"/>
        </w:rPr>
        <w:tab/>
        <w:t>v</w:t>
      </w:r>
      <w:r>
        <w:rPr>
          <w:sz w:val="16"/>
        </w:rPr>
        <w:tab/>
        <w:t>e</w:t>
      </w:r>
      <w:r>
        <w:rPr>
          <w:sz w:val="16"/>
        </w:rPr>
        <w:tab/>
        <w:t>l</w:t>
      </w:r>
      <w:r>
        <w:rPr>
          <w:sz w:val="16"/>
        </w:rPr>
        <w:tab/>
        <w:t>e</w:t>
      </w:r>
      <w:r>
        <w:rPr>
          <w:sz w:val="16"/>
        </w:rPr>
        <w:tab/>
        <w:t>m</w:t>
      </w:r>
      <w:r>
        <w:rPr>
          <w:sz w:val="16"/>
        </w:rPr>
        <w:tab/>
        <w:t>:</w:t>
      </w:r>
    </w:p>
    <w:p w:rsidR="00D81F69" w:rsidRDefault="00D81F69">
      <w:pPr>
        <w:spacing w:before="56"/>
        <w:ind w:left="100"/>
        <w:rPr>
          <w:sz w:val="16"/>
        </w:rPr>
      </w:pPr>
      <w:hyperlink r:id="rId1239">
        <w:r w:rsidR="00330118">
          <w:rPr>
            <w:sz w:val="16"/>
          </w:rPr>
          <w:t>&lt;http://www.cetem.gov.br/publicacao/livros/Vol_1_GRANDES_MINAS</w:t>
        </w:r>
      </w:hyperlink>
    </w:p>
    <w:p w:rsidR="00D81F69" w:rsidRDefault="00330118">
      <w:pPr>
        <w:spacing w:before="56"/>
        <w:ind w:left="100"/>
        <w:rPr>
          <w:sz w:val="16"/>
        </w:rPr>
      </w:pPr>
      <w:r>
        <w:rPr>
          <w:sz w:val="16"/>
        </w:rPr>
        <w:t>_TOTAL.pdf&gt;. Acesso em: 11 jan. 2012.</w:t>
      </w:r>
    </w:p>
    <w:p w:rsidR="00D81F69" w:rsidRDefault="00330118">
      <w:pPr>
        <w:spacing w:before="56" w:line="312" w:lineRule="auto"/>
        <w:ind w:left="100" w:right="159"/>
        <w:rPr>
          <w:sz w:val="16"/>
        </w:rPr>
      </w:pPr>
      <w:r>
        <w:rPr>
          <w:sz w:val="16"/>
        </w:rPr>
        <w:t xml:space="preserve">PORTAL JOIABR. Governo de Minas Gerais repassa R$ 6 milhões para Teófilo Otoni e região, 17 nov. 2009. Disponível </w:t>
      </w:r>
      <w:r>
        <w:rPr>
          <w:sz w:val="16"/>
        </w:rPr>
        <w:t>em:</w:t>
      </w:r>
    </w:p>
    <w:p w:rsidR="00D81F69" w:rsidRDefault="00D81F69">
      <w:pPr>
        <w:spacing w:before="2" w:line="312" w:lineRule="auto"/>
        <w:ind w:left="100" w:right="232"/>
        <w:rPr>
          <w:sz w:val="16"/>
        </w:rPr>
      </w:pPr>
      <w:hyperlink r:id="rId1240">
        <w:r w:rsidR="00330118">
          <w:rPr>
            <w:sz w:val="16"/>
          </w:rPr>
          <w:t xml:space="preserve">&lt;http://www.joiabr.com.br/noticias/n171109a.html&gt;. </w:t>
        </w:r>
      </w:hyperlink>
      <w:r w:rsidR="00330118">
        <w:rPr>
          <w:sz w:val="16"/>
        </w:rPr>
        <w:t>Acesso em: 11 nov. 2010.</w:t>
      </w:r>
    </w:p>
    <w:p w:rsidR="00D81F69" w:rsidRDefault="00330118">
      <w:pPr>
        <w:tabs>
          <w:tab w:val="left" w:pos="4331"/>
        </w:tabs>
        <w:spacing w:before="1" w:line="312" w:lineRule="auto"/>
        <w:ind w:left="100" w:right="194"/>
        <w:jc w:val="both"/>
        <w:rPr>
          <w:sz w:val="16"/>
        </w:rPr>
      </w:pPr>
      <w:r>
        <w:rPr>
          <w:sz w:val="16"/>
        </w:rPr>
        <w:t xml:space="preserve">RAMOS, Rossandro; FERREIRA, Léo da Rocha. A importância do </w:t>
      </w:r>
      <w:r>
        <w:rPr>
          <w:spacing w:val="5"/>
          <w:sz w:val="16"/>
        </w:rPr>
        <w:t xml:space="preserve">capital social </w:t>
      </w:r>
      <w:r>
        <w:rPr>
          <w:spacing w:val="2"/>
          <w:sz w:val="16"/>
        </w:rPr>
        <w:t xml:space="preserve">no </w:t>
      </w:r>
      <w:r>
        <w:rPr>
          <w:spacing w:val="5"/>
          <w:sz w:val="16"/>
        </w:rPr>
        <w:t xml:space="preserve">sistema nacional </w:t>
      </w:r>
      <w:r>
        <w:rPr>
          <w:spacing w:val="2"/>
          <w:sz w:val="16"/>
        </w:rPr>
        <w:t xml:space="preserve">de </w:t>
      </w:r>
      <w:r>
        <w:rPr>
          <w:spacing w:val="5"/>
          <w:sz w:val="16"/>
        </w:rPr>
        <w:t xml:space="preserve">inovação para </w:t>
      </w:r>
      <w:r>
        <w:rPr>
          <w:sz w:val="16"/>
        </w:rPr>
        <w:t xml:space="preserve">o </w:t>
      </w:r>
      <w:r>
        <w:rPr>
          <w:spacing w:val="6"/>
          <w:sz w:val="16"/>
        </w:rPr>
        <w:t xml:space="preserve">arranjo </w:t>
      </w:r>
      <w:r>
        <w:rPr>
          <w:spacing w:val="1"/>
          <w:sz w:val="16"/>
        </w:rPr>
        <w:t xml:space="preserve">produtivo local </w:t>
      </w:r>
      <w:r>
        <w:rPr>
          <w:sz w:val="16"/>
        </w:rPr>
        <w:t xml:space="preserve">de </w:t>
      </w:r>
      <w:r>
        <w:rPr>
          <w:spacing w:val="1"/>
          <w:sz w:val="16"/>
        </w:rPr>
        <w:t xml:space="preserve">gemas </w:t>
      </w:r>
      <w:r>
        <w:rPr>
          <w:sz w:val="16"/>
        </w:rPr>
        <w:t xml:space="preserve">de </w:t>
      </w:r>
      <w:r>
        <w:rPr>
          <w:spacing w:val="1"/>
          <w:sz w:val="16"/>
        </w:rPr>
        <w:t xml:space="preserve">Teófilo Otoni. </w:t>
      </w:r>
      <w:r>
        <w:rPr>
          <w:sz w:val="16"/>
        </w:rPr>
        <w:t xml:space="preserve">In: </w:t>
      </w:r>
      <w:r>
        <w:rPr>
          <w:spacing w:val="1"/>
          <w:sz w:val="16"/>
        </w:rPr>
        <w:t xml:space="preserve">Seminário sobre </w:t>
      </w:r>
      <w:r>
        <w:rPr>
          <w:sz w:val="16"/>
        </w:rPr>
        <w:t xml:space="preserve">A </w:t>
      </w:r>
      <w:r>
        <w:rPr>
          <w:spacing w:val="1"/>
          <w:sz w:val="16"/>
        </w:rPr>
        <w:t xml:space="preserve">Economia Mineira. Diamantina, Minas Gerais, CEDEPLAR, </w:t>
      </w:r>
      <w:r>
        <w:rPr>
          <w:spacing w:val="2"/>
          <w:sz w:val="16"/>
        </w:rPr>
        <w:t xml:space="preserve">2008.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5" w:line="312" w:lineRule="auto"/>
        <w:ind w:left="100" w:right="159"/>
        <w:rPr>
          <w:sz w:val="16"/>
        </w:rPr>
      </w:pPr>
      <w:hyperlink r:id="rId1241">
        <w:r w:rsidR="00330118">
          <w:rPr>
            <w:sz w:val="16"/>
          </w:rPr>
          <w:t>&lt;http://www.cedeplar.ufmg.br/seminarios/seminario_diamantina/2008/</w:t>
        </w:r>
      </w:hyperlink>
      <w:r w:rsidR="00330118">
        <w:rPr>
          <w:sz w:val="16"/>
        </w:rPr>
        <w:t xml:space="preserve"> D08A020.pdf&gt;. Acesso em: 12 nov. 2010.</w:t>
      </w:r>
    </w:p>
    <w:p w:rsidR="00D81F69" w:rsidRDefault="00330118">
      <w:pPr>
        <w:spacing w:before="1" w:line="312" w:lineRule="auto"/>
        <w:ind w:left="100" w:right="194"/>
        <w:jc w:val="both"/>
        <w:rPr>
          <w:sz w:val="16"/>
        </w:rPr>
      </w:pPr>
      <w:r>
        <w:rPr>
          <w:sz w:val="16"/>
        </w:rPr>
        <w:t xml:space="preserve">SILVA, E. C.; LAMEIRAS, F. S. Utilização dos resíduos da extração de </w:t>
      </w:r>
      <w:r>
        <w:rPr>
          <w:sz w:val="16"/>
        </w:rPr>
        <w:t xml:space="preserve">gemas no APL de gemas, joias e artefatos de pedra de Teófilo Otoni. In: Congresso Brasileiro de Cerâmica, Guarujá. Belo Horizonte: </w:t>
      </w:r>
      <w:r>
        <w:rPr>
          <w:spacing w:val="1"/>
          <w:sz w:val="16"/>
        </w:rPr>
        <w:t>Associação</w:t>
      </w:r>
      <w:r>
        <w:rPr>
          <w:spacing w:val="31"/>
          <w:sz w:val="16"/>
        </w:rPr>
        <w:t xml:space="preserve"> </w:t>
      </w:r>
      <w:r>
        <w:rPr>
          <w:spacing w:val="1"/>
          <w:sz w:val="16"/>
        </w:rPr>
        <w:t>Brasileira</w:t>
      </w:r>
      <w:r>
        <w:rPr>
          <w:spacing w:val="31"/>
          <w:sz w:val="16"/>
        </w:rPr>
        <w:t xml:space="preserve"> </w:t>
      </w:r>
      <w:r>
        <w:rPr>
          <w:sz w:val="16"/>
        </w:rPr>
        <w:t>de</w:t>
      </w:r>
      <w:r>
        <w:rPr>
          <w:spacing w:val="31"/>
          <w:sz w:val="16"/>
        </w:rPr>
        <w:t xml:space="preserve"> </w:t>
      </w:r>
      <w:r>
        <w:rPr>
          <w:spacing w:val="1"/>
          <w:sz w:val="16"/>
        </w:rPr>
        <w:t>Cerâmica,</w:t>
      </w:r>
      <w:r>
        <w:rPr>
          <w:spacing w:val="31"/>
          <w:sz w:val="16"/>
        </w:rPr>
        <w:t xml:space="preserve"> </w:t>
      </w:r>
      <w:r>
        <w:rPr>
          <w:spacing w:val="1"/>
          <w:sz w:val="16"/>
        </w:rPr>
        <w:t>2009,</w:t>
      </w:r>
      <w:r>
        <w:rPr>
          <w:spacing w:val="31"/>
          <w:sz w:val="16"/>
        </w:rPr>
        <w:t xml:space="preserve"> </w:t>
      </w:r>
      <w:r>
        <w:rPr>
          <w:spacing w:val="1"/>
          <w:sz w:val="16"/>
        </w:rPr>
        <w:t>p.1-12.</w:t>
      </w:r>
      <w:r>
        <w:rPr>
          <w:spacing w:val="31"/>
          <w:sz w:val="16"/>
        </w:rPr>
        <w:t xml:space="preserve"> </w:t>
      </w:r>
      <w:r>
        <w:rPr>
          <w:spacing w:val="1"/>
          <w:sz w:val="16"/>
        </w:rPr>
        <w:t>Disponível</w:t>
      </w:r>
      <w:r>
        <w:rPr>
          <w:spacing w:val="31"/>
          <w:sz w:val="16"/>
        </w:rPr>
        <w:t xml:space="preserve"> </w:t>
      </w:r>
      <w:r>
        <w:rPr>
          <w:spacing w:val="2"/>
          <w:sz w:val="16"/>
        </w:rPr>
        <w:t>em:</w:t>
      </w:r>
    </w:p>
    <w:p w:rsidR="00D81F69" w:rsidRDefault="00D81F69">
      <w:pPr>
        <w:spacing w:before="3" w:line="312" w:lineRule="auto"/>
        <w:ind w:left="100" w:right="232"/>
        <w:rPr>
          <w:sz w:val="16"/>
        </w:rPr>
      </w:pPr>
      <w:hyperlink r:id="rId1242">
        <w:r w:rsidR="00330118">
          <w:rPr>
            <w:sz w:val="16"/>
          </w:rPr>
          <w:t xml:space="preserve">&lt;http://www.simi.org.br/itemBiblioteca/exibir/4582&gt;. </w:t>
        </w:r>
      </w:hyperlink>
      <w:r w:rsidR="00330118">
        <w:rPr>
          <w:sz w:val="16"/>
        </w:rPr>
        <w:t>Acesso em: 12 nov. 2010.</w:t>
      </w:r>
    </w:p>
    <w:p w:rsidR="00D81F69" w:rsidRDefault="00D81F69">
      <w:pPr>
        <w:spacing w:line="312" w:lineRule="auto"/>
        <w:rPr>
          <w:sz w:val="16"/>
        </w:rPr>
        <w:sectPr w:rsidR="00D81F69">
          <w:pgSz w:w="11900" w:h="16840"/>
          <w:pgMar w:top="740" w:right="500" w:bottom="720" w:left="620" w:header="0" w:footer="402" w:gutter="0"/>
          <w:cols w:num="2" w:space="720" w:equalWidth="0">
            <w:col w:w="5178" w:space="292"/>
            <w:col w:w="5310"/>
          </w:cols>
        </w:sectPr>
      </w:pPr>
    </w:p>
    <w:p w:rsidR="00D81F69" w:rsidRDefault="00330118">
      <w:pPr>
        <w:pStyle w:val="Heading1"/>
        <w:spacing w:before="133" w:line="208" w:lineRule="auto"/>
        <w:ind w:left="101" w:right="0"/>
      </w:pPr>
      <w:r>
        <w:rPr>
          <w:color w:val="010202"/>
        </w:rPr>
        <w:lastRenderedPageBreak/>
        <w:t>Mina de ouro em Paracatu (MG) afeta comunidades tradicionais</w:t>
      </w:r>
    </w:p>
    <w:p w:rsidR="00D81F69" w:rsidRDefault="00D81F69">
      <w:pPr>
        <w:pStyle w:val="Corpodetexto"/>
        <w:ind w:left="0"/>
        <w:jc w:val="left"/>
        <w:rPr>
          <w:b/>
          <w:sz w:val="20"/>
        </w:rPr>
      </w:pPr>
    </w:p>
    <w:p w:rsidR="00D81F69" w:rsidRDefault="00D81F69">
      <w:pPr>
        <w:rPr>
          <w:sz w:val="20"/>
        </w:rPr>
        <w:sectPr w:rsidR="00D81F69">
          <w:pgSz w:w="11910" w:h="16840"/>
          <w:pgMar w:top="1060" w:right="50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6"/>
        <w:rPr>
          <w:i/>
          <w:sz w:val="14"/>
        </w:rPr>
      </w:pPr>
      <w:r>
        <w:rPr>
          <w:i/>
          <w:color w:val="010202"/>
          <w:sz w:val="14"/>
        </w:rPr>
        <w:t>MUNICÍPIOS</w:t>
      </w:r>
    </w:p>
    <w:p w:rsidR="00D81F69" w:rsidRDefault="00330118">
      <w:pPr>
        <w:spacing w:before="49"/>
        <w:ind w:left="136"/>
        <w:rPr>
          <w:i/>
          <w:sz w:val="14"/>
        </w:rPr>
      </w:pPr>
      <w:r>
        <w:rPr>
          <w:i/>
          <w:color w:val="010202"/>
          <w:sz w:val="14"/>
        </w:rPr>
        <w:t>MG - Paracatu</w:t>
      </w:r>
    </w:p>
    <w:p w:rsidR="00D81F69" w:rsidRDefault="00D81F69">
      <w:pPr>
        <w:pStyle w:val="Corpodetexto"/>
        <w:spacing w:before="5"/>
        <w:ind w:left="0"/>
        <w:jc w:val="left"/>
        <w:rPr>
          <w:i/>
          <w:sz w:val="22"/>
        </w:rPr>
      </w:pPr>
    </w:p>
    <w:p w:rsidR="00D81F69" w:rsidRDefault="00330118">
      <w:pPr>
        <w:spacing w:before="1"/>
        <w:ind w:left="136"/>
        <w:rPr>
          <w:i/>
          <w:sz w:val="14"/>
        </w:rPr>
      </w:pPr>
      <w:r>
        <w:rPr>
          <w:i/>
          <w:color w:val="010202"/>
          <w:sz w:val="14"/>
        </w:rPr>
        <w:t>LATITUDE</w:t>
      </w:r>
    </w:p>
    <w:p w:rsidR="00D81F69" w:rsidRDefault="00330118">
      <w:pPr>
        <w:spacing w:before="49"/>
        <w:ind w:left="136"/>
        <w:rPr>
          <w:i/>
          <w:sz w:val="14"/>
        </w:rPr>
      </w:pPr>
      <w:r>
        <w:rPr>
          <w:i/>
          <w:color w:val="010202"/>
          <w:sz w:val="14"/>
        </w:rPr>
        <w:t>-17,1858</w:t>
      </w:r>
    </w:p>
    <w:p w:rsidR="00D81F69" w:rsidRDefault="00D81F69">
      <w:pPr>
        <w:pStyle w:val="Corpodetexto"/>
        <w:spacing w:before="5"/>
        <w:ind w:left="0"/>
        <w:jc w:val="left"/>
        <w:rPr>
          <w:i/>
          <w:sz w:val="22"/>
        </w:rPr>
      </w:pPr>
    </w:p>
    <w:p w:rsidR="00D81F69" w:rsidRDefault="00330118">
      <w:pPr>
        <w:spacing w:before="1"/>
        <w:ind w:left="136"/>
        <w:rPr>
          <w:i/>
          <w:sz w:val="14"/>
        </w:rPr>
      </w:pPr>
      <w:r>
        <w:rPr>
          <w:i/>
          <w:color w:val="010202"/>
          <w:sz w:val="14"/>
        </w:rPr>
        <w:t>LONGITUDE</w:t>
      </w:r>
    </w:p>
    <w:p w:rsidR="00D81F69" w:rsidRDefault="00330118">
      <w:pPr>
        <w:spacing w:before="49"/>
        <w:ind w:left="136"/>
        <w:rPr>
          <w:i/>
          <w:sz w:val="14"/>
        </w:rPr>
      </w:pPr>
      <w:r>
        <w:rPr>
          <w:i/>
          <w:color w:val="010202"/>
          <w:sz w:val="14"/>
        </w:rPr>
        <w:t>-46,878</w:t>
      </w:r>
    </w:p>
    <w:p w:rsidR="00D81F69" w:rsidRDefault="00330118">
      <w:pPr>
        <w:pStyle w:val="Corpodetexto"/>
        <w:spacing w:before="2" w:after="40"/>
        <w:ind w:left="0"/>
        <w:jc w:val="left"/>
        <w:rPr>
          <w:i/>
          <w:sz w:val="20"/>
        </w:rPr>
      </w:pPr>
      <w:r>
        <w:br w:type="column"/>
      </w:r>
    </w:p>
    <w:p w:rsidR="00D81F69" w:rsidRDefault="00330118">
      <w:pPr>
        <w:pStyle w:val="Corpodetexto"/>
        <w:spacing w:line="20" w:lineRule="exact"/>
        <w:ind w:left="165"/>
        <w:jc w:val="left"/>
        <w:rPr>
          <w:sz w:val="2"/>
        </w:rPr>
      </w:pPr>
      <w:r>
        <w:rPr>
          <w:noProof/>
          <w:sz w:val="2"/>
          <w:lang w:val="pt-BR" w:eastAsia="pt-BR"/>
        </w:rPr>
        <w:drawing>
          <wp:inline distT="0" distB="0" distL="0" distR="0">
            <wp:extent cx="1811077" cy="9334"/>
            <wp:effectExtent l="0" t="0" r="0" b="0"/>
            <wp:docPr id="371"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42.png"/>
                    <pic:cNvPicPr/>
                  </pic:nvPicPr>
                  <pic:blipFill>
                    <a:blip r:embed="rId1243" cstate="print"/>
                    <a:stretch>
                      <a:fillRect/>
                    </a:stretch>
                  </pic:blipFill>
                  <pic:spPr>
                    <a:xfrm>
                      <a:off x="0" y="0"/>
                      <a:ext cx="1811077" cy="9334"/>
                    </a:xfrm>
                    <a:prstGeom prst="rect">
                      <a:avLst/>
                    </a:prstGeom>
                  </pic:spPr>
                </pic:pic>
              </a:graphicData>
            </a:graphic>
          </wp:inline>
        </w:drawing>
      </w:r>
    </w:p>
    <w:p w:rsidR="00D81F69" w:rsidRDefault="00330118">
      <w:pPr>
        <w:spacing w:before="25"/>
        <w:ind w:left="136"/>
        <w:rPr>
          <w:i/>
          <w:sz w:val="18"/>
        </w:rPr>
      </w:pPr>
      <w:r>
        <w:rPr>
          <w:i/>
          <w:color w:val="010202"/>
          <w:sz w:val="18"/>
        </w:rPr>
        <w:t>SÍNTESE</w:t>
      </w:r>
    </w:p>
    <w:p w:rsidR="00D81F69" w:rsidRDefault="00330118">
      <w:pPr>
        <w:spacing w:before="52" w:line="312" w:lineRule="auto"/>
        <w:ind w:left="136" w:right="38"/>
        <w:jc w:val="both"/>
        <w:rPr>
          <w:i/>
          <w:sz w:val="16"/>
        </w:rPr>
      </w:pPr>
      <w:r>
        <w:rPr>
          <w:i/>
          <w:color w:val="010202"/>
          <w:sz w:val="16"/>
        </w:rPr>
        <w:t>A mina do Morro do Ouro, explorada pela Kinross Gold Corporation, em Paracatu (MG), é atualmente a maior mina de ouro do Brasil em área e volume de extração. Entretanto, sua proximidade excessiva da área urbana e o elevado volume de min</w:t>
      </w:r>
      <w:r>
        <w:rPr>
          <w:i/>
          <w:color w:val="010202"/>
          <w:sz w:val="16"/>
        </w:rPr>
        <w:t>ério extraído, impactam fortemente o território. Desde longa data, a população local mostra-se também apreensiva em relação ao ambiente especialmente à contaminação por arsênio, já que o ouro extraído da mina encontra-se originalmente em rochas ricas em ar</w:t>
      </w:r>
      <w:r>
        <w:rPr>
          <w:i/>
          <w:color w:val="010202"/>
          <w:sz w:val="16"/>
        </w:rPr>
        <w:t xml:space="preserve">senopirita. No entanto, estudo, concluído em 2014 pelo CETEM, aponta que, nas pessoas, nas águas (de beber e dos rios) e nas poeiras transportadas por via aérea, os níveis de arsênio na cidade são baixos e significativamente inferiores ao máximo permitido </w:t>
      </w:r>
      <w:r>
        <w:rPr>
          <w:i/>
          <w:color w:val="010202"/>
          <w:sz w:val="16"/>
        </w:rPr>
        <w:t>pela Organização Mundial de Saúde (OMS), não representando perigo para a população.</w:t>
      </w:r>
    </w:p>
    <w:p w:rsidR="00D81F69" w:rsidRDefault="00330118">
      <w:pPr>
        <w:pStyle w:val="Corpodetexto"/>
        <w:spacing w:line="20" w:lineRule="exact"/>
        <w:ind w:left="165"/>
        <w:jc w:val="left"/>
        <w:rPr>
          <w:sz w:val="2"/>
        </w:rPr>
      </w:pPr>
      <w:r>
        <w:rPr>
          <w:noProof/>
          <w:sz w:val="2"/>
          <w:lang w:val="pt-BR" w:eastAsia="pt-BR"/>
        </w:rPr>
        <w:drawing>
          <wp:inline distT="0" distB="0" distL="0" distR="0">
            <wp:extent cx="1811620" cy="9334"/>
            <wp:effectExtent l="0" t="0" r="0" b="0"/>
            <wp:docPr id="37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42.png"/>
                    <pic:cNvPicPr/>
                  </pic:nvPicPr>
                  <pic:blipFill>
                    <a:blip r:embed="rId1243" cstate="print"/>
                    <a:stretch>
                      <a:fillRect/>
                    </a:stretch>
                  </pic:blipFill>
                  <pic:spPr>
                    <a:xfrm>
                      <a:off x="0" y="0"/>
                      <a:ext cx="1811620"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ind w:left="136"/>
        <w:jc w:val="left"/>
      </w:pPr>
      <w:r>
        <w:rPr>
          <w:color w:val="231F20"/>
        </w:rPr>
        <w:t>à média do Brasil (PNUD, 2013).</w:t>
      </w:r>
    </w:p>
    <w:p w:rsidR="00D81F69" w:rsidRDefault="00D81F69">
      <w:pPr>
        <w:pStyle w:val="Corpodetexto"/>
        <w:spacing w:before="9"/>
        <w:ind w:left="0"/>
        <w:jc w:val="left"/>
        <w:rPr>
          <w:sz w:val="16"/>
        </w:rPr>
      </w:pPr>
    </w:p>
    <w:p w:rsidR="00D81F69" w:rsidRDefault="00330118">
      <w:pPr>
        <w:pStyle w:val="Corpodetexto"/>
        <w:spacing w:line="312" w:lineRule="auto"/>
        <w:ind w:left="136" w:right="203"/>
      </w:pPr>
      <w:r>
        <w:rPr>
          <w:color w:val="231F20"/>
        </w:rPr>
        <w:t xml:space="preserve">O início da exploração mineral empresarial se deu, em 1987, </w:t>
      </w:r>
      <w:r>
        <w:rPr>
          <w:color w:val="231F20"/>
          <w:spacing w:val="3"/>
        </w:rPr>
        <w:t xml:space="preserve">quando </w:t>
      </w:r>
      <w:r>
        <w:rPr>
          <w:color w:val="231F20"/>
        </w:rPr>
        <w:t xml:space="preserve">a </w:t>
      </w:r>
      <w:r>
        <w:rPr>
          <w:color w:val="231F20"/>
          <w:spacing w:val="3"/>
        </w:rPr>
        <w:t xml:space="preserve">empresa </w:t>
      </w:r>
      <w:r>
        <w:rPr>
          <w:color w:val="231F20"/>
          <w:spacing w:val="2"/>
        </w:rPr>
        <w:t xml:space="preserve">Rio </w:t>
      </w:r>
      <w:r>
        <w:rPr>
          <w:color w:val="231F20"/>
          <w:spacing w:val="3"/>
        </w:rPr>
        <w:t xml:space="preserve">Paracatu Mineração (RPM) </w:t>
      </w:r>
      <w:r>
        <w:rPr>
          <w:color w:val="231F20"/>
        </w:rPr>
        <w:t xml:space="preserve">– </w:t>
      </w:r>
      <w:r>
        <w:rPr>
          <w:color w:val="231F20"/>
          <w:spacing w:val="5"/>
        </w:rPr>
        <w:t xml:space="preserve">cujo </w:t>
      </w:r>
      <w:r>
        <w:rPr>
          <w:color w:val="231F20"/>
          <w:spacing w:val="7"/>
        </w:rPr>
        <w:t>controle acionário per</w:t>
      </w:r>
      <w:r>
        <w:rPr>
          <w:color w:val="231F20"/>
          <w:spacing w:val="7"/>
        </w:rPr>
        <w:t xml:space="preserve">tencia </w:t>
      </w:r>
      <w:r>
        <w:rPr>
          <w:color w:val="231F20"/>
          <w:spacing w:val="5"/>
        </w:rPr>
        <w:t xml:space="preserve">ao </w:t>
      </w:r>
      <w:r>
        <w:rPr>
          <w:color w:val="231F20"/>
          <w:spacing w:val="7"/>
        </w:rPr>
        <w:t xml:space="preserve">grupo </w:t>
      </w:r>
      <w:r>
        <w:rPr>
          <w:color w:val="231F20"/>
          <w:spacing w:val="5"/>
        </w:rPr>
        <w:t xml:space="preserve">Rio </w:t>
      </w:r>
      <w:r>
        <w:rPr>
          <w:color w:val="231F20"/>
          <w:spacing w:val="7"/>
        </w:rPr>
        <w:t xml:space="preserve">Tinto </w:t>
      </w:r>
      <w:r>
        <w:rPr>
          <w:color w:val="231F20"/>
          <w:spacing w:val="10"/>
        </w:rPr>
        <w:t xml:space="preserve">Brasil </w:t>
      </w:r>
      <w:r>
        <w:rPr>
          <w:color w:val="231F20"/>
          <w:spacing w:val="3"/>
        </w:rPr>
        <w:t xml:space="preserve">(majoritária) </w:t>
      </w:r>
      <w:r>
        <w:rPr>
          <w:color w:val="231F20"/>
        </w:rPr>
        <w:t xml:space="preserve">e à </w:t>
      </w:r>
      <w:r>
        <w:rPr>
          <w:color w:val="231F20"/>
          <w:spacing w:val="3"/>
        </w:rPr>
        <w:t xml:space="preserve">Autram Mineração (MONTE </w:t>
      </w:r>
      <w:r>
        <w:rPr>
          <w:color w:val="231F20"/>
        </w:rPr>
        <w:t xml:space="preserve">et al, </w:t>
      </w:r>
      <w:r>
        <w:rPr>
          <w:color w:val="231F20"/>
          <w:spacing w:val="1"/>
        </w:rPr>
        <w:t xml:space="preserve">2002) </w:t>
      </w:r>
      <w:r>
        <w:rPr>
          <w:color w:val="231F20"/>
        </w:rPr>
        <w:t xml:space="preserve">- recebeu autorização do governo para explorar a mina Morro do </w:t>
      </w:r>
      <w:r>
        <w:rPr>
          <w:color w:val="231F20"/>
          <w:spacing w:val="1"/>
        </w:rPr>
        <w:t xml:space="preserve">Ouro, instalando-se </w:t>
      </w:r>
      <w:r>
        <w:rPr>
          <w:color w:val="231F20"/>
        </w:rPr>
        <w:t xml:space="preserve">na </w:t>
      </w:r>
      <w:r>
        <w:rPr>
          <w:color w:val="231F20"/>
          <w:spacing w:val="1"/>
        </w:rPr>
        <w:t xml:space="preserve">região </w:t>
      </w:r>
      <w:r>
        <w:rPr>
          <w:color w:val="231F20"/>
        </w:rPr>
        <w:t xml:space="preserve">e </w:t>
      </w:r>
      <w:r>
        <w:rPr>
          <w:color w:val="231F20"/>
          <w:spacing w:val="1"/>
        </w:rPr>
        <w:t xml:space="preserve">construindo </w:t>
      </w:r>
      <w:r>
        <w:rPr>
          <w:color w:val="231F20"/>
        </w:rPr>
        <w:t xml:space="preserve">uma </w:t>
      </w:r>
      <w:r>
        <w:rPr>
          <w:color w:val="231F20"/>
          <w:spacing w:val="2"/>
        </w:rPr>
        <w:t xml:space="preserve">vasta </w:t>
      </w:r>
      <w:r>
        <w:rPr>
          <w:color w:val="231F20"/>
          <w:spacing w:val="1"/>
        </w:rPr>
        <w:t>infraestrutura (KINROSS,</w:t>
      </w:r>
      <w:r>
        <w:rPr>
          <w:color w:val="231F20"/>
          <w:spacing w:val="-10"/>
        </w:rPr>
        <w:t xml:space="preserve"> </w:t>
      </w:r>
      <w:r>
        <w:rPr>
          <w:color w:val="231F20"/>
          <w:spacing w:val="2"/>
        </w:rPr>
        <w:t>2010).</w:t>
      </w:r>
    </w:p>
    <w:p w:rsidR="00D81F69" w:rsidRDefault="00330118">
      <w:pPr>
        <w:pStyle w:val="Corpodetexto"/>
        <w:spacing w:before="136" w:line="312" w:lineRule="auto"/>
        <w:ind w:left="136" w:right="181"/>
      </w:pPr>
      <w:r>
        <w:rPr>
          <w:color w:val="231F20"/>
        </w:rPr>
        <w:t xml:space="preserve">Em 2004, a Kinross comprou a RPM e, em 2006, fechou um </w:t>
      </w:r>
      <w:r>
        <w:rPr>
          <w:color w:val="231F20"/>
          <w:spacing w:val="1"/>
        </w:rPr>
        <w:t xml:space="preserve">projeto para aumentar </w:t>
      </w:r>
      <w:r>
        <w:rPr>
          <w:color w:val="231F20"/>
        </w:rPr>
        <w:t xml:space="preserve">a </w:t>
      </w:r>
      <w:r>
        <w:rPr>
          <w:color w:val="231F20"/>
          <w:spacing w:val="1"/>
        </w:rPr>
        <w:t xml:space="preserve">capacidade </w:t>
      </w:r>
      <w:r>
        <w:rPr>
          <w:color w:val="231F20"/>
        </w:rPr>
        <w:t xml:space="preserve">de </w:t>
      </w:r>
      <w:r>
        <w:rPr>
          <w:color w:val="231F20"/>
          <w:spacing w:val="1"/>
        </w:rPr>
        <w:t xml:space="preserve">produção </w:t>
      </w:r>
      <w:r>
        <w:rPr>
          <w:color w:val="231F20"/>
        </w:rPr>
        <w:t xml:space="preserve">da </w:t>
      </w:r>
      <w:r>
        <w:rPr>
          <w:color w:val="231F20"/>
          <w:spacing w:val="2"/>
        </w:rPr>
        <w:t xml:space="preserve">mina </w:t>
      </w:r>
      <w:r>
        <w:rPr>
          <w:color w:val="231F20"/>
        </w:rPr>
        <w:t xml:space="preserve">Morro do Ouro, a partir de 2008, em função da descoberta de </w:t>
      </w:r>
      <w:r>
        <w:rPr>
          <w:color w:val="231F20"/>
          <w:spacing w:val="15"/>
        </w:rPr>
        <w:t>novas</w:t>
      </w:r>
      <w:r>
        <w:rPr>
          <w:color w:val="231F20"/>
          <w:spacing w:val="81"/>
        </w:rPr>
        <w:t xml:space="preserve"> </w:t>
      </w:r>
      <w:r>
        <w:rPr>
          <w:color w:val="231F20"/>
          <w:spacing w:val="17"/>
        </w:rPr>
        <w:t xml:space="preserve">reservas </w:t>
      </w:r>
      <w:r>
        <w:rPr>
          <w:color w:val="231F20"/>
          <w:spacing w:val="10"/>
        </w:rPr>
        <w:t xml:space="preserve">de </w:t>
      </w:r>
      <w:r>
        <w:rPr>
          <w:color w:val="231F20"/>
          <w:spacing w:val="17"/>
        </w:rPr>
        <w:t xml:space="preserve">minério (SOUZA; ALAMINO; FERNANDES; </w:t>
      </w:r>
      <w:r>
        <w:rPr>
          <w:color w:val="231F20"/>
          <w:spacing w:val="15"/>
        </w:rPr>
        <w:t xml:space="preserve">2011). </w:t>
      </w:r>
      <w:r>
        <w:rPr>
          <w:color w:val="231F20"/>
          <w:spacing w:val="10"/>
        </w:rPr>
        <w:t xml:space="preserve">As </w:t>
      </w:r>
      <w:r>
        <w:rPr>
          <w:color w:val="231F20"/>
          <w:spacing w:val="17"/>
        </w:rPr>
        <w:t xml:space="preserve">instalações </w:t>
      </w:r>
      <w:r>
        <w:rPr>
          <w:color w:val="231F20"/>
          <w:spacing w:val="10"/>
        </w:rPr>
        <w:t xml:space="preserve">da </w:t>
      </w:r>
      <w:r>
        <w:rPr>
          <w:color w:val="231F20"/>
          <w:spacing w:val="16"/>
        </w:rPr>
        <w:t>Kinross</w:t>
      </w:r>
      <w:r>
        <w:rPr>
          <w:color w:val="231F20"/>
          <w:spacing w:val="16"/>
        </w:rPr>
        <w:t xml:space="preserve"> </w:t>
      </w:r>
      <w:r>
        <w:rPr>
          <w:color w:val="231F20"/>
          <w:spacing w:val="8"/>
        </w:rPr>
        <w:t xml:space="preserve">compreendem </w:t>
      </w:r>
      <w:r>
        <w:rPr>
          <w:color w:val="231F20"/>
          <w:spacing w:val="5"/>
        </w:rPr>
        <w:t xml:space="preserve">uma </w:t>
      </w:r>
      <w:r>
        <w:rPr>
          <w:color w:val="231F20"/>
          <w:spacing w:val="6"/>
        </w:rPr>
        <w:t xml:space="preserve">mina </w:t>
      </w:r>
      <w:r>
        <w:rPr>
          <w:color w:val="231F20"/>
        </w:rPr>
        <w:t xml:space="preserve">a </w:t>
      </w:r>
      <w:r>
        <w:rPr>
          <w:color w:val="231F20"/>
          <w:spacing w:val="5"/>
        </w:rPr>
        <w:t xml:space="preserve">céu </w:t>
      </w:r>
      <w:r>
        <w:rPr>
          <w:color w:val="231F20"/>
          <w:spacing w:val="7"/>
        </w:rPr>
        <w:t xml:space="preserve">aberto, </w:t>
      </w:r>
      <w:r>
        <w:rPr>
          <w:color w:val="231F20"/>
          <w:spacing w:val="5"/>
        </w:rPr>
        <w:t xml:space="preserve">uma </w:t>
      </w:r>
      <w:r>
        <w:rPr>
          <w:color w:val="231F20"/>
          <w:spacing w:val="7"/>
        </w:rPr>
        <w:t xml:space="preserve">usina </w:t>
      </w:r>
      <w:r>
        <w:rPr>
          <w:color w:val="231F20"/>
          <w:spacing w:val="10"/>
        </w:rPr>
        <w:t xml:space="preserve">de </w:t>
      </w:r>
      <w:r>
        <w:rPr>
          <w:color w:val="231F20"/>
          <w:spacing w:val="5"/>
        </w:rPr>
        <w:t xml:space="preserve">beneficiamento </w:t>
      </w:r>
      <w:r>
        <w:rPr>
          <w:color w:val="231F20"/>
        </w:rPr>
        <w:t xml:space="preserve">e </w:t>
      </w:r>
      <w:r>
        <w:rPr>
          <w:color w:val="231F20"/>
          <w:spacing w:val="3"/>
        </w:rPr>
        <w:t xml:space="preserve">uma </w:t>
      </w:r>
      <w:r>
        <w:rPr>
          <w:color w:val="231F20"/>
          <w:spacing w:val="5"/>
        </w:rPr>
        <w:t xml:space="preserve">área para disposição </w:t>
      </w:r>
      <w:r>
        <w:rPr>
          <w:color w:val="231F20"/>
          <w:spacing w:val="2"/>
        </w:rPr>
        <w:t xml:space="preserve">de </w:t>
      </w:r>
      <w:r>
        <w:rPr>
          <w:color w:val="231F20"/>
          <w:spacing w:val="6"/>
        </w:rPr>
        <w:t xml:space="preserve">rejeitos </w:t>
      </w:r>
      <w:r>
        <w:rPr>
          <w:color w:val="231F20"/>
        </w:rPr>
        <w:t>minerais, além da infraestrutura superficial (KINROSS, 2010).</w:t>
      </w:r>
    </w:p>
    <w:p w:rsidR="00D81F69" w:rsidRDefault="00330118">
      <w:pPr>
        <w:pStyle w:val="Corpodetexto"/>
        <w:spacing w:before="137" w:line="312" w:lineRule="auto"/>
        <w:ind w:left="136" w:right="198"/>
      </w:pPr>
      <w:r>
        <w:rPr>
          <w:color w:val="231F20"/>
          <w:spacing w:val="6"/>
        </w:rPr>
        <w:t xml:space="preserve">Além </w:t>
      </w:r>
      <w:r>
        <w:rPr>
          <w:color w:val="231F20"/>
          <w:spacing w:val="5"/>
        </w:rPr>
        <w:t xml:space="preserve">da </w:t>
      </w:r>
      <w:r>
        <w:rPr>
          <w:color w:val="231F20"/>
          <w:spacing w:val="6"/>
        </w:rPr>
        <w:t xml:space="preserve">mina </w:t>
      </w:r>
      <w:r>
        <w:rPr>
          <w:color w:val="231F20"/>
          <w:spacing w:val="5"/>
        </w:rPr>
        <w:t xml:space="preserve">de </w:t>
      </w:r>
      <w:r>
        <w:rPr>
          <w:color w:val="231F20"/>
          <w:spacing w:val="7"/>
        </w:rPr>
        <w:t xml:space="preserve">ouro, </w:t>
      </w:r>
      <w:r>
        <w:rPr>
          <w:color w:val="231F20"/>
          <w:spacing w:val="5"/>
        </w:rPr>
        <w:t xml:space="preserve">no </w:t>
      </w:r>
      <w:r>
        <w:rPr>
          <w:color w:val="231F20"/>
          <w:spacing w:val="7"/>
        </w:rPr>
        <w:t xml:space="preserve">município </w:t>
      </w:r>
      <w:r>
        <w:rPr>
          <w:color w:val="231F20"/>
          <w:spacing w:val="5"/>
        </w:rPr>
        <w:t xml:space="preserve">de </w:t>
      </w:r>
      <w:r>
        <w:rPr>
          <w:color w:val="231F20"/>
          <w:spacing w:val="7"/>
        </w:rPr>
        <w:t xml:space="preserve">Paracatu </w:t>
      </w:r>
      <w:r>
        <w:rPr>
          <w:color w:val="231F20"/>
          <w:spacing w:val="10"/>
        </w:rPr>
        <w:t xml:space="preserve">tem </w:t>
      </w:r>
      <w:r>
        <w:rPr>
          <w:color w:val="231F20"/>
          <w:spacing w:val="3"/>
        </w:rPr>
        <w:t xml:space="preserve">instalado </w:t>
      </w:r>
      <w:r>
        <w:rPr>
          <w:color w:val="231F20"/>
          <w:spacing w:val="1"/>
        </w:rPr>
        <w:t xml:space="preserve">em </w:t>
      </w:r>
      <w:r>
        <w:rPr>
          <w:color w:val="231F20"/>
          <w:spacing w:val="2"/>
        </w:rPr>
        <w:t xml:space="preserve">seu </w:t>
      </w:r>
      <w:r>
        <w:rPr>
          <w:color w:val="231F20"/>
          <w:spacing w:val="3"/>
        </w:rPr>
        <w:t xml:space="preserve">território </w:t>
      </w:r>
      <w:r>
        <w:rPr>
          <w:color w:val="231F20"/>
          <w:spacing w:val="2"/>
        </w:rPr>
        <w:t xml:space="preserve">uma mina </w:t>
      </w:r>
      <w:r>
        <w:rPr>
          <w:color w:val="231F20"/>
          <w:spacing w:val="1"/>
        </w:rPr>
        <w:t xml:space="preserve">de </w:t>
      </w:r>
      <w:r>
        <w:rPr>
          <w:color w:val="231F20"/>
          <w:spacing w:val="3"/>
        </w:rPr>
        <w:t xml:space="preserve">zinco </w:t>
      </w:r>
      <w:r>
        <w:rPr>
          <w:color w:val="231F20"/>
        </w:rPr>
        <w:t xml:space="preserve">e </w:t>
      </w:r>
      <w:r>
        <w:rPr>
          <w:color w:val="231F20"/>
          <w:spacing w:val="3"/>
        </w:rPr>
        <w:t xml:space="preserve">outra </w:t>
      </w:r>
      <w:r>
        <w:rPr>
          <w:color w:val="231F20"/>
          <w:spacing w:val="5"/>
        </w:rPr>
        <w:t xml:space="preserve">de </w:t>
      </w:r>
      <w:r>
        <w:rPr>
          <w:color w:val="231F20"/>
        </w:rPr>
        <w:t xml:space="preserve">calcário. O empreendimento de extração de minério de zinco  é </w:t>
      </w:r>
      <w:r>
        <w:rPr>
          <w:color w:val="231F20"/>
          <w:spacing w:val="2"/>
        </w:rPr>
        <w:t xml:space="preserve">de </w:t>
      </w:r>
      <w:r>
        <w:rPr>
          <w:color w:val="231F20"/>
          <w:spacing w:val="5"/>
        </w:rPr>
        <w:t xml:space="preserve">propriedade </w:t>
      </w:r>
      <w:r>
        <w:rPr>
          <w:color w:val="231F20"/>
          <w:spacing w:val="2"/>
        </w:rPr>
        <w:t xml:space="preserve">da </w:t>
      </w:r>
      <w:r>
        <w:rPr>
          <w:color w:val="231F20"/>
          <w:spacing w:val="5"/>
        </w:rPr>
        <w:t xml:space="preserve">Votorantim Metais Zinco, </w:t>
      </w:r>
      <w:r>
        <w:rPr>
          <w:color w:val="231F20"/>
          <w:spacing w:val="3"/>
        </w:rPr>
        <w:t xml:space="preserve">uma </w:t>
      </w:r>
      <w:r>
        <w:rPr>
          <w:color w:val="231F20"/>
          <w:spacing w:val="6"/>
        </w:rPr>
        <w:t xml:space="preserve">das </w:t>
      </w:r>
      <w:r>
        <w:rPr>
          <w:color w:val="231F20"/>
        </w:rPr>
        <w:t xml:space="preserve">empresas do Grupo Votorantim, maior produtora de zinco da </w:t>
      </w:r>
      <w:r>
        <w:rPr>
          <w:color w:val="231F20"/>
          <w:spacing w:val="3"/>
        </w:rPr>
        <w:t xml:space="preserve">América Latina </w:t>
      </w:r>
      <w:r>
        <w:rPr>
          <w:color w:val="231F20"/>
        </w:rPr>
        <w:t xml:space="preserve">e  </w:t>
      </w:r>
      <w:r>
        <w:rPr>
          <w:color w:val="231F20"/>
          <w:spacing w:val="2"/>
        </w:rPr>
        <w:t xml:space="preserve">uma das </w:t>
      </w:r>
      <w:r>
        <w:rPr>
          <w:color w:val="231F20"/>
          <w:spacing w:val="1"/>
        </w:rPr>
        <w:t xml:space="preserve">10  </w:t>
      </w:r>
      <w:r>
        <w:rPr>
          <w:color w:val="231F20"/>
          <w:spacing w:val="3"/>
        </w:rPr>
        <w:t xml:space="preserve">maiores </w:t>
      </w:r>
      <w:r>
        <w:rPr>
          <w:color w:val="231F20"/>
          <w:spacing w:val="1"/>
        </w:rPr>
        <w:t xml:space="preserve">do  </w:t>
      </w:r>
      <w:r>
        <w:rPr>
          <w:color w:val="231F20"/>
          <w:spacing w:val="3"/>
        </w:rPr>
        <w:t xml:space="preserve">mundo. </w:t>
      </w:r>
      <w:r>
        <w:rPr>
          <w:color w:val="231F20"/>
        </w:rPr>
        <w:t xml:space="preserve">A </w:t>
      </w:r>
      <w:r>
        <w:rPr>
          <w:color w:val="231F20"/>
          <w:spacing w:val="18"/>
        </w:rPr>
        <w:t xml:space="preserve"> </w:t>
      </w:r>
      <w:r>
        <w:rPr>
          <w:color w:val="231F20"/>
          <w:spacing w:val="5"/>
        </w:rPr>
        <w:t>mina,</w:t>
      </w:r>
    </w:p>
    <w:p w:rsidR="00D81F69" w:rsidRDefault="00D81F69">
      <w:pPr>
        <w:spacing w:line="312" w:lineRule="auto"/>
        <w:sectPr w:rsidR="00D81F69">
          <w:type w:val="continuous"/>
          <w:pgSz w:w="11910" w:h="16840"/>
          <w:pgMar w:top="720" w:right="500" w:bottom="280" w:left="620" w:header="720" w:footer="720" w:gutter="0"/>
          <w:cols w:num="3" w:space="720" w:equalWidth="0">
            <w:col w:w="1087" w:space="913"/>
            <w:col w:w="3118" w:space="316"/>
            <w:col w:w="5356"/>
          </w:cols>
        </w:sectPr>
      </w:pPr>
    </w:p>
    <w:p w:rsidR="00D81F69" w:rsidRDefault="00330118">
      <w:pPr>
        <w:pStyle w:val="Heading4"/>
        <w:spacing w:line="255" w:lineRule="exact"/>
        <w:ind w:left="101"/>
      </w:pPr>
      <w:r>
        <w:rPr>
          <w:color w:val="010202"/>
        </w:rPr>
        <w:lastRenderedPageBreak/>
        <w:t>APRESENTAÇÃO DE CASO</w:t>
      </w:r>
    </w:p>
    <w:p w:rsidR="00D81F69" w:rsidRDefault="00330118">
      <w:pPr>
        <w:pStyle w:val="Corpodetexto"/>
        <w:spacing w:before="170" w:line="312" w:lineRule="auto"/>
        <w:ind w:left="101" w:right="44"/>
      </w:pPr>
      <w:r>
        <w:rPr>
          <w:color w:val="231F20"/>
        </w:rPr>
        <w:t>A cidade de Paracatu, no noroeste de Minas Gerais - 84.687 habitantes e 8.230 km2 (IBGE, 2010) - é um dos distritos auríferos do greenstone belt (FIGUEIREDO; BORBA; ANGÉLICA; 2006  apud  SOUZA; ALAMINO; FERNANDES;</w:t>
      </w:r>
    </w:p>
    <w:p w:rsidR="00D81F69" w:rsidRDefault="00330118">
      <w:pPr>
        <w:pStyle w:val="Corpodetexto"/>
        <w:spacing w:before="3" w:line="312" w:lineRule="auto"/>
        <w:ind w:left="101" w:right="38"/>
      </w:pPr>
      <w:r>
        <w:rPr>
          <w:color w:val="231F20"/>
        </w:rPr>
        <w:t>2011) e possui uma das poucas operações de</w:t>
      </w:r>
      <w:r>
        <w:rPr>
          <w:color w:val="231F20"/>
        </w:rPr>
        <w:t xml:space="preserve"> extração mineral em atividade no mundo realizada em área densamente povoada, sendo mesmo difícil estabelecer uma linha divisória entre o tecido urbano e as áreas de lavra de minério  (REIS,  2007;  VERDE;  FERNANDES,  2010, </w:t>
      </w:r>
    </w:p>
    <w:p w:rsidR="00D81F69" w:rsidRDefault="00330118">
      <w:pPr>
        <w:pStyle w:val="Corpodetexto"/>
        <w:spacing w:before="5"/>
        <w:ind w:left="101"/>
      </w:pPr>
      <w:r>
        <w:rPr>
          <w:color w:val="231F20"/>
          <w:spacing w:val="12"/>
        </w:rPr>
        <w:t>KINROSS,</w:t>
      </w:r>
      <w:r>
        <w:rPr>
          <w:color w:val="231F20"/>
          <w:spacing w:val="72"/>
        </w:rPr>
        <w:t xml:space="preserve"> </w:t>
      </w:r>
      <w:r>
        <w:rPr>
          <w:color w:val="231F20"/>
          <w:spacing w:val="11"/>
        </w:rPr>
        <w:t>2010).</w:t>
      </w:r>
      <w:r>
        <w:rPr>
          <w:color w:val="231F20"/>
          <w:spacing w:val="-34"/>
        </w:rPr>
        <w:t xml:space="preserve"> </w:t>
      </w:r>
    </w:p>
    <w:p w:rsidR="00D81F69" w:rsidRDefault="00D81F69">
      <w:pPr>
        <w:pStyle w:val="Corpodetexto"/>
        <w:spacing w:before="9"/>
        <w:ind w:left="0"/>
        <w:jc w:val="left"/>
        <w:rPr>
          <w:sz w:val="16"/>
        </w:rPr>
      </w:pPr>
    </w:p>
    <w:p w:rsidR="00D81F69" w:rsidRDefault="00330118">
      <w:pPr>
        <w:pStyle w:val="Corpodetexto"/>
        <w:spacing w:line="312" w:lineRule="auto"/>
        <w:ind w:left="101" w:right="38"/>
      </w:pPr>
      <w:r>
        <w:rPr>
          <w:color w:val="231F20"/>
        </w:rPr>
        <w:t xml:space="preserve">A </w:t>
      </w:r>
      <w:r>
        <w:rPr>
          <w:color w:val="231F20"/>
          <w:spacing w:val="2"/>
        </w:rPr>
        <w:t xml:space="preserve">mina </w:t>
      </w:r>
      <w:r>
        <w:rPr>
          <w:color w:val="231F20"/>
          <w:spacing w:val="3"/>
        </w:rPr>
        <w:t>Morro</w:t>
      </w:r>
      <w:r>
        <w:rPr>
          <w:color w:val="231F20"/>
          <w:spacing w:val="3"/>
        </w:rPr>
        <w:t xml:space="preserve"> </w:t>
      </w:r>
      <w:r>
        <w:rPr>
          <w:color w:val="231F20"/>
          <w:spacing w:val="1"/>
        </w:rPr>
        <w:t xml:space="preserve">do </w:t>
      </w:r>
      <w:r>
        <w:rPr>
          <w:color w:val="231F20"/>
          <w:spacing w:val="3"/>
        </w:rPr>
        <w:t xml:space="preserve">Ouro, </w:t>
      </w:r>
      <w:r>
        <w:rPr>
          <w:color w:val="231F20"/>
          <w:spacing w:val="1"/>
        </w:rPr>
        <w:t xml:space="preserve">da </w:t>
      </w:r>
      <w:r>
        <w:rPr>
          <w:color w:val="231F20"/>
          <w:spacing w:val="3"/>
        </w:rPr>
        <w:t xml:space="preserve">mineradora canadense </w:t>
      </w:r>
      <w:r>
        <w:rPr>
          <w:color w:val="231F20"/>
          <w:spacing w:val="5"/>
        </w:rPr>
        <w:t xml:space="preserve">Kinross </w:t>
      </w:r>
      <w:r>
        <w:rPr>
          <w:color w:val="231F20"/>
        </w:rPr>
        <w:t xml:space="preserve">Gold Corporation, é a maior do Brasil em volume e área de </w:t>
      </w:r>
      <w:r>
        <w:rPr>
          <w:color w:val="231F20"/>
          <w:spacing w:val="13"/>
        </w:rPr>
        <w:t xml:space="preserve">extração </w:t>
      </w:r>
      <w:r>
        <w:rPr>
          <w:color w:val="231F20"/>
          <w:spacing w:val="7"/>
        </w:rPr>
        <w:t xml:space="preserve">de </w:t>
      </w:r>
      <w:r>
        <w:rPr>
          <w:color w:val="231F20"/>
          <w:spacing w:val="13"/>
        </w:rPr>
        <w:t xml:space="preserve">minério </w:t>
      </w:r>
      <w:r>
        <w:rPr>
          <w:color w:val="231F20"/>
          <w:spacing w:val="7"/>
        </w:rPr>
        <w:t xml:space="preserve">de </w:t>
      </w:r>
      <w:r>
        <w:rPr>
          <w:color w:val="231F20"/>
          <w:spacing w:val="11"/>
        </w:rPr>
        <w:t xml:space="preserve">ouro </w:t>
      </w:r>
      <w:r>
        <w:rPr>
          <w:color w:val="231F20"/>
          <w:spacing w:val="13"/>
        </w:rPr>
        <w:t xml:space="preserve">(SOUZA; ALAMINO; </w:t>
      </w:r>
      <w:r>
        <w:rPr>
          <w:color w:val="231F20"/>
        </w:rPr>
        <w:t>FERNANDES; 2011) e a terceira maior do Brasil em produção ROM (run of mine) - a primeira é a mina Casa da Pedra</w:t>
      </w:r>
      <w:r>
        <w:rPr>
          <w:color w:val="231F20"/>
        </w:rPr>
        <w:t xml:space="preserve">, da Companhia Siderúrgica Nacional (CSN), em Congonhas, e a segunda o Complexo Carajás, da Vale. Em 2012, a produção da mina foi de 53 milhões de toneladas ROM, equivalente a 6  t </w:t>
      </w:r>
      <w:r>
        <w:rPr>
          <w:color w:val="231F20"/>
          <w:spacing w:val="1"/>
        </w:rPr>
        <w:t xml:space="preserve">de </w:t>
      </w:r>
      <w:r>
        <w:rPr>
          <w:color w:val="231F20"/>
          <w:spacing w:val="3"/>
        </w:rPr>
        <w:t xml:space="preserve">ouro, </w:t>
      </w:r>
      <w:r>
        <w:rPr>
          <w:color w:val="231F20"/>
        </w:rPr>
        <w:t xml:space="preserve">o </w:t>
      </w:r>
      <w:r>
        <w:rPr>
          <w:color w:val="231F20"/>
          <w:spacing w:val="2"/>
        </w:rPr>
        <w:t xml:space="preserve">que </w:t>
      </w:r>
      <w:r>
        <w:rPr>
          <w:color w:val="231F20"/>
          <w:spacing w:val="3"/>
        </w:rPr>
        <w:t xml:space="preserve">corresponde </w:t>
      </w:r>
      <w:r>
        <w:rPr>
          <w:color w:val="231F20"/>
        </w:rPr>
        <w:t xml:space="preserve">a </w:t>
      </w:r>
      <w:r>
        <w:rPr>
          <w:color w:val="231F20"/>
          <w:spacing w:val="3"/>
        </w:rPr>
        <w:t xml:space="preserve">cerca </w:t>
      </w:r>
      <w:r>
        <w:rPr>
          <w:color w:val="231F20"/>
          <w:spacing w:val="1"/>
        </w:rPr>
        <w:t xml:space="preserve">de </w:t>
      </w:r>
      <w:r>
        <w:rPr>
          <w:color w:val="231F20"/>
          <w:spacing w:val="2"/>
        </w:rPr>
        <w:t xml:space="preserve">15% </w:t>
      </w:r>
      <w:r>
        <w:rPr>
          <w:color w:val="231F20"/>
          <w:spacing w:val="1"/>
        </w:rPr>
        <w:t xml:space="preserve">do </w:t>
      </w:r>
      <w:r>
        <w:rPr>
          <w:color w:val="231F20"/>
          <w:spacing w:val="3"/>
        </w:rPr>
        <w:t xml:space="preserve">total </w:t>
      </w:r>
      <w:r>
        <w:rPr>
          <w:color w:val="231F20"/>
          <w:spacing w:val="5"/>
        </w:rPr>
        <w:t xml:space="preserve">da </w:t>
      </w:r>
      <w:r>
        <w:rPr>
          <w:color w:val="231F20"/>
          <w:spacing w:val="1"/>
        </w:rPr>
        <w:t>produção</w:t>
      </w:r>
      <w:r>
        <w:rPr>
          <w:color w:val="231F20"/>
          <w:spacing w:val="30"/>
        </w:rPr>
        <w:t xml:space="preserve"> </w:t>
      </w:r>
      <w:r>
        <w:rPr>
          <w:color w:val="231F20"/>
          <w:spacing w:val="1"/>
        </w:rPr>
        <w:t>brasileira</w:t>
      </w:r>
      <w:r>
        <w:rPr>
          <w:color w:val="231F20"/>
          <w:spacing w:val="30"/>
        </w:rPr>
        <w:t xml:space="preserve"> </w:t>
      </w:r>
      <w:r>
        <w:rPr>
          <w:color w:val="231F20"/>
        </w:rPr>
        <w:t>do</w:t>
      </w:r>
      <w:r>
        <w:rPr>
          <w:color w:val="231F20"/>
          <w:spacing w:val="30"/>
        </w:rPr>
        <w:t xml:space="preserve"> </w:t>
      </w:r>
      <w:r>
        <w:rPr>
          <w:color w:val="231F20"/>
          <w:spacing w:val="1"/>
        </w:rPr>
        <w:t>metal</w:t>
      </w:r>
      <w:r>
        <w:rPr>
          <w:color w:val="231F20"/>
          <w:spacing w:val="30"/>
        </w:rPr>
        <w:t xml:space="preserve"> </w:t>
      </w:r>
      <w:r>
        <w:rPr>
          <w:color w:val="231F20"/>
          <w:spacing w:val="1"/>
        </w:rPr>
        <w:t>(REVISTA</w:t>
      </w:r>
      <w:r>
        <w:rPr>
          <w:color w:val="231F20"/>
          <w:spacing w:val="30"/>
        </w:rPr>
        <w:t xml:space="preserve"> </w:t>
      </w:r>
      <w:r>
        <w:rPr>
          <w:color w:val="231F20"/>
          <w:spacing w:val="1"/>
        </w:rPr>
        <w:t>MINÉRIOS,</w:t>
      </w:r>
      <w:r>
        <w:rPr>
          <w:color w:val="231F20"/>
          <w:spacing w:val="30"/>
        </w:rPr>
        <w:t xml:space="preserve"> </w:t>
      </w:r>
      <w:r>
        <w:rPr>
          <w:color w:val="231F20"/>
          <w:spacing w:val="2"/>
        </w:rPr>
        <w:t>2013).</w:t>
      </w:r>
    </w:p>
    <w:p w:rsidR="00D81F69" w:rsidRDefault="00330118">
      <w:pPr>
        <w:pStyle w:val="Corpodetexto"/>
        <w:spacing w:before="75" w:line="270" w:lineRule="atLeast"/>
        <w:ind w:left="101" w:right="71"/>
      </w:pPr>
      <w:r>
        <w:rPr>
          <w:color w:val="231F20"/>
        </w:rPr>
        <w:t xml:space="preserve">Apesar do porte do empreendimento, que gera emprego e renda há mais de 25 anos, o município de Paracatu não se destaca no Índice de Desenvolvimento Humano Municipal (IDH-M) brasileiro. Segundo dados mais recentes, apenas </w:t>
      </w:r>
      <w:r>
        <w:rPr>
          <w:color w:val="231F20"/>
        </w:rPr>
        <w:t>atinge valor equivalente à média do estado de Minas Gerais e</w:t>
      </w:r>
    </w:p>
    <w:p w:rsidR="00D81F69" w:rsidRDefault="00330118">
      <w:pPr>
        <w:pStyle w:val="Corpodetexto"/>
        <w:spacing w:before="5" w:line="312" w:lineRule="auto"/>
        <w:ind w:left="101" w:right="199"/>
      </w:pPr>
      <w:r>
        <w:br w:type="column"/>
      </w:r>
      <w:r>
        <w:rPr>
          <w:color w:val="231F20"/>
        </w:rPr>
        <w:lastRenderedPageBreak/>
        <w:t>denominada Morro Agudo, está situada a 50 km do centro urbano do município e tem previsão de exaustão em 2040.</w:t>
      </w:r>
    </w:p>
    <w:p w:rsidR="00D81F69" w:rsidRDefault="00330118">
      <w:pPr>
        <w:pStyle w:val="Corpodetexto"/>
        <w:spacing w:before="132" w:line="312" w:lineRule="auto"/>
        <w:ind w:left="101" w:right="213"/>
      </w:pPr>
      <w:r>
        <w:rPr>
          <w:color w:val="231F20"/>
        </w:rPr>
        <w:t>Ao contrário da exploração de zinco, que está situada em local despovoado e não tem</w:t>
      </w:r>
      <w:r>
        <w:rPr>
          <w:color w:val="231F20"/>
        </w:rPr>
        <w:t xml:space="preserve"> gerado grandes conflitos com a população local, a mineração de ouro da Kinross tem provocado conflitos, controvérsias e alimentado temores de contaminação ambiental, muito gravosa para a saúde humana da população local (SOUZA; FERNANDES; ALAMINO, 2011).</w:t>
      </w:r>
    </w:p>
    <w:p w:rsidR="00D81F69" w:rsidRDefault="00330118">
      <w:pPr>
        <w:pStyle w:val="Corpodetexto"/>
        <w:spacing w:before="135" w:line="312" w:lineRule="auto"/>
        <w:ind w:left="101" w:right="199"/>
      </w:pPr>
      <w:r>
        <w:rPr>
          <w:color w:val="231F20"/>
        </w:rPr>
        <w:t>O</w:t>
      </w:r>
      <w:r>
        <w:rPr>
          <w:color w:val="231F20"/>
        </w:rPr>
        <w:t xml:space="preserve"> minério extraído da mina de ouro de Paracatu encontra-se originalmente em rochas ricas em arsenopirita, mineral que possui alto teor de arsênio. Características geológicas semelhantes ocorrem frequentemente no mundo, e, no Brasil, localizam-se entre outro</w:t>
      </w:r>
      <w:r>
        <w:rPr>
          <w:color w:val="231F20"/>
        </w:rPr>
        <w:t>s, no Quadrilátero Ferrífero (MG); em Crixás (GO) e na Fazenda Brasileiro (BA) (MATSCHULLAT et al., 2000). Em todos esses locais há quantidade considerável de arsênio no material extraído e portanto também nos rejeitos do processo de mineração (SOUZA; FERN</w:t>
      </w:r>
      <w:r>
        <w:rPr>
          <w:color w:val="231F20"/>
        </w:rPr>
        <w:t>ANDES; ALAMINO, 2011). Destaca-se, ainda, que a atividade extrativa da Kinross em Paracatu, por ser a céu aberto, libera ainda grande quantidade de material particulado para a atmosfera (SlLVA, CASTILHOS, SILVA, 2012).</w:t>
      </w:r>
    </w:p>
    <w:p w:rsidR="00D81F69" w:rsidRDefault="00330118">
      <w:pPr>
        <w:pStyle w:val="Corpodetexto"/>
        <w:spacing w:before="78" w:line="270" w:lineRule="atLeast"/>
        <w:ind w:left="101" w:right="213"/>
      </w:pPr>
      <w:r>
        <w:rPr>
          <w:color w:val="231F20"/>
        </w:rPr>
        <w:t>Outro aspecto relevante é o fato de a</w:t>
      </w:r>
      <w:r>
        <w:rPr>
          <w:color w:val="231F20"/>
        </w:rPr>
        <w:t xml:space="preserve"> mina a céu aberto do complexo Kinross ter o menor teor aurífero do mundo – com uma média de 0,40 gramas de ouro por tonelada de minério (HENDERSON, 2006). Isso quer dizer que a quantidade de terra removida no processo de produção é gigantesca</w:t>
      </w:r>
    </w:p>
    <w:p w:rsidR="00D81F69" w:rsidRDefault="00D81F69">
      <w:pPr>
        <w:spacing w:line="270" w:lineRule="atLeast"/>
        <w:sectPr w:rsidR="00D81F69">
          <w:type w:val="continuous"/>
          <w:pgSz w:w="11910" w:h="16840"/>
          <w:pgMar w:top="720" w:right="500" w:bottom="280" w:left="620" w:header="720" w:footer="720" w:gutter="0"/>
          <w:cols w:num="2" w:space="720" w:equalWidth="0">
            <w:col w:w="5168" w:space="301"/>
            <w:col w:w="5321"/>
          </w:cols>
        </w:sectPr>
      </w:pPr>
    </w:p>
    <w:p w:rsidR="00D81F69" w:rsidRDefault="00330118">
      <w:pPr>
        <w:pStyle w:val="Corpodetexto"/>
        <w:spacing w:before="81" w:line="312" w:lineRule="auto"/>
        <w:ind w:left="101" w:right="51"/>
      </w:pPr>
      <w:r>
        <w:rPr>
          <w:color w:val="231F20"/>
        </w:rPr>
        <w:lastRenderedPageBreak/>
        <w:t xml:space="preserve">(FURTADO, 2008). Ademais, no local já houve garimpagem de ouro, o que contaminou o ambiente com metais pesados, </w:t>
      </w:r>
      <w:r>
        <w:rPr>
          <w:color w:val="231F20"/>
          <w:spacing w:val="10"/>
        </w:rPr>
        <w:t xml:space="preserve">especialmente </w:t>
      </w:r>
      <w:r>
        <w:rPr>
          <w:color w:val="231F20"/>
          <w:spacing w:val="8"/>
        </w:rPr>
        <w:t xml:space="preserve">mercúrio, utilizado </w:t>
      </w:r>
      <w:r>
        <w:rPr>
          <w:color w:val="231F20"/>
          <w:spacing w:val="6"/>
        </w:rPr>
        <w:t xml:space="preserve">nos </w:t>
      </w:r>
      <w:r>
        <w:rPr>
          <w:color w:val="231F20"/>
          <w:spacing w:val="8"/>
        </w:rPr>
        <w:t xml:space="preserve">garimpos </w:t>
      </w:r>
      <w:r>
        <w:rPr>
          <w:color w:val="231F20"/>
          <w:spacing w:val="10"/>
        </w:rPr>
        <w:t xml:space="preserve">para </w:t>
      </w:r>
      <w:r>
        <w:rPr>
          <w:color w:val="231F20"/>
          <w:spacing w:val="3"/>
        </w:rPr>
        <w:t xml:space="preserve">separação </w:t>
      </w:r>
      <w:r>
        <w:rPr>
          <w:color w:val="231F20"/>
          <w:spacing w:val="1"/>
        </w:rPr>
        <w:t xml:space="preserve">do </w:t>
      </w:r>
      <w:r>
        <w:rPr>
          <w:color w:val="231F20"/>
          <w:spacing w:val="3"/>
        </w:rPr>
        <w:t xml:space="preserve">ouro, presente </w:t>
      </w:r>
      <w:r>
        <w:rPr>
          <w:color w:val="231F20"/>
          <w:spacing w:val="2"/>
        </w:rPr>
        <w:t xml:space="preserve">sob </w:t>
      </w:r>
      <w:r>
        <w:rPr>
          <w:color w:val="231F20"/>
        </w:rPr>
        <w:t xml:space="preserve">a </w:t>
      </w:r>
      <w:r>
        <w:rPr>
          <w:color w:val="231F20"/>
          <w:spacing w:val="3"/>
        </w:rPr>
        <w:t xml:space="preserve">forma </w:t>
      </w:r>
      <w:r>
        <w:rPr>
          <w:color w:val="231F20"/>
          <w:spacing w:val="1"/>
        </w:rPr>
        <w:t xml:space="preserve">de pó na </w:t>
      </w:r>
      <w:r>
        <w:rPr>
          <w:color w:val="231F20"/>
          <w:spacing w:val="5"/>
        </w:rPr>
        <w:t xml:space="preserve">lama </w:t>
      </w:r>
      <w:r>
        <w:rPr>
          <w:color w:val="231F20"/>
          <w:spacing w:val="3"/>
        </w:rPr>
        <w:t>extraída</w:t>
      </w:r>
      <w:r>
        <w:rPr>
          <w:color w:val="231F20"/>
          <w:spacing w:val="32"/>
        </w:rPr>
        <w:t xml:space="preserve"> </w:t>
      </w:r>
      <w:r>
        <w:rPr>
          <w:color w:val="231F20"/>
          <w:spacing w:val="3"/>
        </w:rPr>
        <w:t>pelos</w:t>
      </w:r>
      <w:r>
        <w:rPr>
          <w:color w:val="231F20"/>
          <w:spacing w:val="32"/>
        </w:rPr>
        <w:t xml:space="preserve"> </w:t>
      </w:r>
      <w:r>
        <w:rPr>
          <w:color w:val="231F20"/>
          <w:spacing w:val="3"/>
        </w:rPr>
        <w:t>garimpeiros</w:t>
      </w:r>
      <w:r>
        <w:rPr>
          <w:color w:val="231F20"/>
          <w:spacing w:val="32"/>
        </w:rPr>
        <w:t xml:space="preserve"> </w:t>
      </w:r>
      <w:r>
        <w:rPr>
          <w:color w:val="231F20"/>
          <w:spacing w:val="3"/>
        </w:rPr>
        <w:t>(SOBRAL,</w:t>
      </w:r>
      <w:r>
        <w:rPr>
          <w:color w:val="231F20"/>
          <w:spacing w:val="32"/>
        </w:rPr>
        <w:t xml:space="preserve"> </w:t>
      </w:r>
      <w:r>
        <w:rPr>
          <w:color w:val="231F20"/>
          <w:spacing w:val="1"/>
        </w:rPr>
        <w:t>et</w:t>
      </w:r>
      <w:r>
        <w:rPr>
          <w:color w:val="231F20"/>
          <w:spacing w:val="32"/>
        </w:rPr>
        <w:t xml:space="preserve"> </w:t>
      </w:r>
      <w:r>
        <w:rPr>
          <w:color w:val="231F20"/>
          <w:spacing w:val="2"/>
        </w:rPr>
        <w:t>al.,</w:t>
      </w:r>
      <w:r>
        <w:rPr>
          <w:color w:val="231F20"/>
          <w:spacing w:val="32"/>
        </w:rPr>
        <w:t xml:space="preserve"> </w:t>
      </w:r>
      <w:r>
        <w:rPr>
          <w:color w:val="231F20"/>
          <w:spacing w:val="5"/>
        </w:rPr>
        <w:t>2008).</w:t>
      </w:r>
    </w:p>
    <w:p w:rsidR="00D81F69" w:rsidRDefault="00330118">
      <w:pPr>
        <w:pStyle w:val="Corpodetexto"/>
        <w:spacing w:before="134" w:line="312" w:lineRule="auto"/>
        <w:ind w:left="101" w:right="63"/>
      </w:pPr>
      <w:r>
        <w:rPr>
          <w:color w:val="231F20"/>
        </w:rPr>
        <w:t xml:space="preserve">Há muita controvérsia sobre a real dimensão dos impactos humanos e ambientais da atividade extrativa mineral de ouro em </w:t>
      </w:r>
      <w:r>
        <w:rPr>
          <w:color w:val="231F20"/>
          <w:spacing w:val="1"/>
        </w:rPr>
        <w:t xml:space="preserve">Paracatu, devido, sobretudo, </w:t>
      </w:r>
      <w:r>
        <w:rPr>
          <w:color w:val="231F20"/>
        </w:rPr>
        <w:t xml:space="preserve">ao </w:t>
      </w:r>
      <w:r>
        <w:rPr>
          <w:color w:val="231F20"/>
          <w:spacing w:val="1"/>
        </w:rPr>
        <w:t xml:space="preserve">fato </w:t>
      </w:r>
      <w:r>
        <w:rPr>
          <w:color w:val="231F20"/>
        </w:rPr>
        <w:t xml:space="preserve">de a </w:t>
      </w:r>
      <w:r>
        <w:rPr>
          <w:color w:val="231F20"/>
          <w:spacing w:val="1"/>
        </w:rPr>
        <w:t xml:space="preserve">Kinross, </w:t>
      </w:r>
      <w:r>
        <w:rPr>
          <w:color w:val="231F20"/>
          <w:spacing w:val="2"/>
        </w:rPr>
        <w:t xml:space="preserve">nos </w:t>
      </w:r>
      <w:r>
        <w:rPr>
          <w:color w:val="231F20"/>
          <w:spacing w:val="3"/>
        </w:rPr>
        <w:t xml:space="preserve">últimos anos, </w:t>
      </w:r>
      <w:r>
        <w:rPr>
          <w:color w:val="231F20"/>
          <w:spacing w:val="2"/>
        </w:rPr>
        <w:t xml:space="preserve">ter </w:t>
      </w:r>
      <w:r>
        <w:rPr>
          <w:color w:val="231F20"/>
          <w:spacing w:val="3"/>
        </w:rPr>
        <w:t xml:space="preserve">realizado </w:t>
      </w:r>
      <w:r>
        <w:rPr>
          <w:color w:val="231F20"/>
          <w:spacing w:val="2"/>
        </w:rPr>
        <w:t xml:space="preserve">uma </w:t>
      </w:r>
      <w:r>
        <w:rPr>
          <w:color w:val="231F20"/>
          <w:spacing w:val="3"/>
        </w:rPr>
        <w:t xml:space="preserve">grande </w:t>
      </w:r>
      <w:r>
        <w:rPr>
          <w:color w:val="231F20"/>
          <w:spacing w:val="3"/>
        </w:rPr>
        <w:t xml:space="preserve">expansão </w:t>
      </w:r>
      <w:r>
        <w:rPr>
          <w:color w:val="231F20"/>
          <w:spacing w:val="1"/>
        </w:rPr>
        <w:t xml:space="preserve">do </w:t>
      </w:r>
      <w:r>
        <w:rPr>
          <w:color w:val="231F20"/>
          <w:spacing w:val="5"/>
        </w:rPr>
        <w:t xml:space="preserve">seu </w:t>
      </w:r>
      <w:r>
        <w:rPr>
          <w:color w:val="231F20"/>
          <w:spacing w:val="1"/>
        </w:rPr>
        <w:t xml:space="preserve">empreendimento. </w:t>
      </w:r>
      <w:r>
        <w:rPr>
          <w:color w:val="231F20"/>
        </w:rPr>
        <w:t xml:space="preserve">A </w:t>
      </w:r>
      <w:r>
        <w:rPr>
          <w:color w:val="231F20"/>
          <w:spacing w:val="1"/>
        </w:rPr>
        <w:t xml:space="preserve">ampliação </w:t>
      </w:r>
      <w:r>
        <w:rPr>
          <w:color w:val="231F20"/>
        </w:rPr>
        <w:t xml:space="preserve">das </w:t>
      </w:r>
      <w:r>
        <w:rPr>
          <w:color w:val="231F20"/>
          <w:spacing w:val="1"/>
        </w:rPr>
        <w:t xml:space="preserve">atividades </w:t>
      </w:r>
      <w:r>
        <w:rPr>
          <w:color w:val="231F20"/>
          <w:spacing w:val="2"/>
        </w:rPr>
        <w:t xml:space="preserve">mineradoras </w:t>
      </w:r>
      <w:r>
        <w:rPr>
          <w:color w:val="231F20"/>
        </w:rPr>
        <w:t xml:space="preserve">para terrenos adjacentes aumentou em cerca de 30 anos a </w:t>
      </w:r>
      <w:r>
        <w:rPr>
          <w:color w:val="231F20"/>
          <w:spacing w:val="3"/>
        </w:rPr>
        <w:t xml:space="preserve">longevidade </w:t>
      </w:r>
      <w:r>
        <w:rPr>
          <w:color w:val="231F20"/>
          <w:spacing w:val="1"/>
        </w:rPr>
        <w:t xml:space="preserve">da </w:t>
      </w:r>
      <w:r>
        <w:rPr>
          <w:color w:val="231F20"/>
          <w:spacing w:val="2"/>
        </w:rPr>
        <w:t xml:space="preserve">mina </w:t>
      </w:r>
      <w:r>
        <w:rPr>
          <w:color w:val="231F20"/>
          <w:spacing w:val="3"/>
        </w:rPr>
        <w:t xml:space="preserve">(FURTADO, 2008), </w:t>
      </w:r>
      <w:r>
        <w:rPr>
          <w:color w:val="231F20"/>
          <w:spacing w:val="2"/>
        </w:rPr>
        <w:t xml:space="preserve">que </w:t>
      </w:r>
      <w:r>
        <w:rPr>
          <w:color w:val="231F20"/>
          <w:spacing w:val="1"/>
        </w:rPr>
        <w:t xml:space="preserve">em </w:t>
      </w:r>
      <w:r>
        <w:rPr>
          <w:color w:val="231F20"/>
          <w:spacing w:val="5"/>
        </w:rPr>
        <w:t xml:space="preserve">princípio </w:t>
      </w:r>
      <w:r>
        <w:rPr>
          <w:color w:val="231F20"/>
        </w:rPr>
        <w:t xml:space="preserve">atingiria a exaustão em 2016 e agora se prolonga até 2036. O volume de minério lavrado quase quatriplicou, passando de </w:t>
      </w:r>
      <w:r>
        <w:rPr>
          <w:color w:val="231F20"/>
          <w:spacing w:val="2"/>
        </w:rPr>
        <w:t xml:space="preserve">17 </w:t>
      </w:r>
      <w:r>
        <w:rPr>
          <w:color w:val="231F20"/>
          <w:spacing w:val="5"/>
        </w:rPr>
        <w:t xml:space="preserve">milhões </w:t>
      </w:r>
      <w:r>
        <w:rPr>
          <w:color w:val="231F20"/>
          <w:spacing w:val="2"/>
        </w:rPr>
        <w:t xml:space="preserve">de </w:t>
      </w:r>
      <w:r>
        <w:rPr>
          <w:color w:val="231F20"/>
          <w:spacing w:val="5"/>
        </w:rPr>
        <w:t xml:space="preserve">toneladas </w:t>
      </w:r>
      <w:r>
        <w:rPr>
          <w:color w:val="231F20"/>
          <w:spacing w:val="3"/>
        </w:rPr>
        <w:t xml:space="preserve">por ano </w:t>
      </w:r>
      <w:r>
        <w:rPr>
          <w:color w:val="231F20"/>
          <w:spacing w:val="5"/>
        </w:rPr>
        <w:t xml:space="preserve">para </w:t>
      </w:r>
      <w:r>
        <w:rPr>
          <w:color w:val="231F20"/>
          <w:spacing w:val="3"/>
        </w:rPr>
        <w:t xml:space="preserve">uma </w:t>
      </w:r>
      <w:r>
        <w:rPr>
          <w:color w:val="231F20"/>
          <w:spacing w:val="6"/>
        </w:rPr>
        <w:t xml:space="preserve">capacidade </w:t>
      </w:r>
      <w:r>
        <w:rPr>
          <w:color w:val="231F20"/>
          <w:spacing w:val="5"/>
        </w:rPr>
        <w:t xml:space="preserve">nominal </w:t>
      </w:r>
      <w:r>
        <w:rPr>
          <w:color w:val="231F20"/>
          <w:spacing w:val="2"/>
        </w:rPr>
        <w:t xml:space="preserve">de 61 </w:t>
      </w:r>
      <w:r>
        <w:rPr>
          <w:color w:val="231F20"/>
          <w:spacing w:val="5"/>
        </w:rPr>
        <w:t xml:space="preserve">milhões </w:t>
      </w:r>
      <w:r>
        <w:rPr>
          <w:color w:val="231F20"/>
          <w:spacing w:val="2"/>
        </w:rPr>
        <w:t xml:space="preserve">de </w:t>
      </w:r>
      <w:r>
        <w:rPr>
          <w:color w:val="231F20"/>
          <w:spacing w:val="5"/>
        </w:rPr>
        <w:t>t/ano (HENDERSON,</w:t>
      </w:r>
      <w:r>
        <w:rPr>
          <w:color w:val="231F20"/>
          <w:spacing w:val="7"/>
        </w:rPr>
        <w:t xml:space="preserve"> </w:t>
      </w:r>
      <w:r>
        <w:rPr>
          <w:color w:val="231F20"/>
          <w:spacing w:val="6"/>
        </w:rPr>
        <w:t>2006).</w:t>
      </w:r>
    </w:p>
    <w:p w:rsidR="00D81F69" w:rsidRDefault="00330118">
      <w:pPr>
        <w:pStyle w:val="Corpodetexto"/>
        <w:spacing w:before="140" w:line="312" w:lineRule="auto"/>
        <w:ind w:left="101" w:right="38"/>
      </w:pPr>
      <w:r>
        <w:rPr>
          <w:color w:val="231F20"/>
          <w:spacing w:val="3"/>
        </w:rPr>
        <w:t xml:space="preserve">Atualmente, </w:t>
      </w:r>
      <w:r>
        <w:rPr>
          <w:color w:val="231F20"/>
        </w:rPr>
        <w:t xml:space="preserve">a </w:t>
      </w:r>
      <w:r>
        <w:rPr>
          <w:color w:val="231F20"/>
          <w:spacing w:val="3"/>
        </w:rPr>
        <w:t xml:space="preserve">empresa minera </w:t>
      </w:r>
      <w:r>
        <w:rPr>
          <w:color w:val="231F20"/>
          <w:spacing w:val="2"/>
        </w:rPr>
        <w:t xml:space="preserve">sem </w:t>
      </w:r>
      <w:r>
        <w:rPr>
          <w:color w:val="231F20"/>
          <w:spacing w:val="3"/>
        </w:rPr>
        <w:t>qu</w:t>
      </w:r>
      <w:r>
        <w:rPr>
          <w:color w:val="231F20"/>
          <w:spacing w:val="3"/>
        </w:rPr>
        <w:t xml:space="preserve">alquer remoção </w:t>
      </w:r>
      <w:r>
        <w:rPr>
          <w:color w:val="231F20"/>
          <w:spacing w:val="5"/>
        </w:rPr>
        <w:t xml:space="preserve">de </w:t>
      </w:r>
      <w:r>
        <w:rPr>
          <w:color w:val="231F20"/>
          <w:spacing w:val="6"/>
        </w:rPr>
        <w:t xml:space="preserve">estéril. </w:t>
      </w:r>
      <w:r>
        <w:rPr>
          <w:color w:val="231F20"/>
        </w:rPr>
        <w:t xml:space="preserve">A </w:t>
      </w:r>
      <w:r>
        <w:rPr>
          <w:color w:val="231F20"/>
          <w:spacing w:val="6"/>
        </w:rPr>
        <w:t xml:space="preserve">extração </w:t>
      </w:r>
      <w:r>
        <w:rPr>
          <w:color w:val="231F20"/>
          <w:spacing w:val="3"/>
        </w:rPr>
        <w:t xml:space="preserve">do </w:t>
      </w:r>
      <w:r>
        <w:rPr>
          <w:color w:val="231F20"/>
          <w:spacing w:val="5"/>
        </w:rPr>
        <w:t xml:space="preserve">minério </w:t>
      </w:r>
      <w:r>
        <w:rPr>
          <w:color w:val="231F20"/>
        </w:rPr>
        <w:t xml:space="preserve">é </w:t>
      </w:r>
      <w:r>
        <w:rPr>
          <w:color w:val="231F20"/>
          <w:spacing w:val="5"/>
        </w:rPr>
        <w:t xml:space="preserve">feita por </w:t>
      </w:r>
      <w:r>
        <w:rPr>
          <w:color w:val="231F20"/>
          <w:spacing w:val="7"/>
        </w:rPr>
        <w:t xml:space="preserve">escarificação </w:t>
      </w:r>
      <w:r>
        <w:rPr>
          <w:color w:val="231F20"/>
          <w:spacing w:val="8"/>
        </w:rPr>
        <w:t xml:space="preserve">[desagregação </w:t>
      </w:r>
      <w:r>
        <w:rPr>
          <w:color w:val="231F20"/>
          <w:spacing w:val="7"/>
        </w:rPr>
        <w:t xml:space="preserve">mecânica </w:t>
      </w:r>
      <w:r>
        <w:rPr>
          <w:color w:val="231F20"/>
          <w:spacing w:val="5"/>
        </w:rPr>
        <w:t xml:space="preserve">dos </w:t>
      </w:r>
      <w:r>
        <w:rPr>
          <w:color w:val="231F20"/>
          <w:spacing w:val="7"/>
        </w:rPr>
        <w:t xml:space="preserve">maciços] </w:t>
      </w:r>
      <w:r>
        <w:rPr>
          <w:color w:val="231F20"/>
          <w:spacing w:val="5"/>
        </w:rPr>
        <w:t xml:space="preserve">com </w:t>
      </w:r>
      <w:r>
        <w:rPr>
          <w:color w:val="231F20"/>
          <w:spacing w:val="7"/>
        </w:rPr>
        <w:t xml:space="preserve">auxílio </w:t>
      </w:r>
      <w:r>
        <w:rPr>
          <w:color w:val="231F20"/>
          <w:spacing w:val="10"/>
        </w:rPr>
        <w:t xml:space="preserve">de </w:t>
      </w:r>
      <w:r>
        <w:rPr>
          <w:color w:val="231F20"/>
        </w:rPr>
        <w:t xml:space="preserve">explosivos (SOUZA; FERNANDES; ALAMINO, 2011). Desde 2010, todos os dias, às 16 horas, 180 buracos são detonados com explosivos, a </w:t>
      </w:r>
      <w:r>
        <w:rPr>
          <w:color w:val="231F20"/>
        </w:rPr>
        <w:t xml:space="preserve">céu aberto, desmontando 180 mil toneladas </w:t>
      </w:r>
      <w:r>
        <w:rPr>
          <w:color w:val="231F20"/>
          <w:spacing w:val="1"/>
        </w:rPr>
        <w:t xml:space="preserve">de </w:t>
      </w:r>
      <w:r>
        <w:rPr>
          <w:color w:val="231F20"/>
          <w:spacing w:val="2"/>
        </w:rPr>
        <w:t xml:space="preserve">uma </w:t>
      </w:r>
      <w:r>
        <w:rPr>
          <w:color w:val="231F20"/>
          <w:spacing w:val="1"/>
        </w:rPr>
        <w:t xml:space="preserve">só </w:t>
      </w:r>
      <w:r>
        <w:rPr>
          <w:color w:val="231F20"/>
          <w:spacing w:val="2"/>
        </w:rPr>
        <w:t xml:space="preserve">vez, </w:t>
      </w:r>
      <w:r>
        <w:rPr>
          <w:color w:val="231F20"/>
          <w:spacing w:val="3"/>
        </w:rPr>
        <w:t xml:space="preserve">removidos, diariamente, </w:t>
      </w:r>
      <w:r>
        <w:rPr>
          <w:color w:val="231F20"/>
          <w:spacing w:val="2"/>
        </w:rPr>
        <w:t xml:space="preserve">para </w:t>
      </w:r>
      <w:r>
        <w:rPr>
          <w:color w:val="231F20"/>
          <w:spacing w:val="5"/>
        </w:rPr>
        <w:t xml:space="preserve">tratamento. </w:t>
      </w:r>
      <w:r>
        <w:rPr>
          <w:color w:val="231F20"/>
        </w:rPr>
        <w:t xml:space="preserve">Para se ter uma ideia do volume, equivalentemente, </w:t>
      </w:r>
      <w:r>
        <w:rPr>
          <w:color w:val="231F20"/>
          <w:spacing w:val="1"/>
        </w:rPr>
        <w:t xml:space="preserve">seriam </w:t>
      </w:r>
      <w:r>
        <w:rPr>
          <w:color w:val="231F20"/>
          <w:spacing w:val="12"/>
        </w:rPr>
        <w:t xml:space="preserve">necessários </w:t>
      </w:r>
      <w:r>
        <w:rPr>
          <w:color w:val="231F20"/>
          <w:spacing w:val="10"/>
        </w:rPr>
        <w:t xml:space="preserve">mais </w:t>
      </w:r>
      <w:r>
        <w:rPr>
          <w:color w:val="231F20"/>
          <w:spacing w:val="6"/>
        </w:rPr>
        <w:t xml:space="preserve">de 20 </w:t>
      </w:r>
      <w:r>
        <w:rPr>
          <w:color w:val="231F20"/>
          <w:spacing w:val="10"/>
        </w:rPr>
        <w:t xml:space="preserve">mil </w:t>
      </w:r>
      <w:r>
        <w:rPr>
          <w:color w:val="231F20"/>
          <w:spacing w:val="12"/>
        </w:rPr>
        <w:t xml:space="preserve">caminhões </w:t>
      </w:r>
      <w:r>
        <w:rPr>
          <w:color w:val="231F20"/>
          <w:spacing w:val="15"/>
        </w:rPr>
        <w:t xml:space="preserve">basculante, </w:t>
      </w:r>
      <w:r>
        <w:rPr>
          <w:color w:val="231F20"/>
          <w:spacing w:val="5"/>
        </w:rPr>
        <w:t xml:space="preserve">diariamente, </w:t>
      </w:r>
      <w:r>
        <w:rPr>
          <w:color w:val="231F20"/>
          <w:spacing w:val="3"/>
        </w:rPr>
        <w:t xml:space="preserve">para </w:t>
      </w:r>
      <w:r>
        <w:rPr>
          <w:color w:val="231F20"/>
          <w:spacing w:val="5"/>
        </w:rPr>
        <w:t xml:space="preserve">transportar </w:t>
      </w:r>
      <w:r>
        <w:rPr>
          <w:color w:val="231F20"/>
          <w:spacing w:val="3"/>
        </w:rPr>
        <w:t xml:space="preserve">esse </w:t>
      </w:r>
      <w:r>
        <w:rPr>
          <w:color w:val="231F20"/>
          <w:spacing w:val="5"/>
        </w:rPr>
        <w:t xml:space="preserve">material, </w:t>
      </w:r>
      <w:r>
        <w:rPr>
          <w:color w:val="231F20"/>
          <w:spacing w:val="2"/>
        </w:rPr>
        <w:t xml:space="preserve">já </w:t>
      </w:r>
      <w:r>
        <w:rPr>
          <w:color w:val="231F20"/>
          <w:spacing w:val="3"/>
        </w:rPr>
        <w:t xml:space="preserve">que </w:t>
      </w:r>
      <w:r>
        <w:rPr>
          <w:color w:val="231F20"/>
          <w:spacing w:val="5"/>
        </w:rPr>
        <w:t xml:space="preserve">cada </w:t>
      </w:r>
      <w:r>
        <w:rPr>
          <w:color w:val="231F20"/>
          <w:spacing w:val="6"/>
        </w:rPr>
        <w:t xml:space="preserve">caminhão </w:t>
      </w:r>
      <w:r>
        <w:rPr>
          <w:color w:val="231F20"/>
          <w:spacing w:val="5"/>
        </w:rPr>
        <w:t xml:space="preserve">tem </w:t>
      </w:r>
      <w:r>
        <w:rPr>
          <w:color w:val="231F20"/>
          <w:spacing w:val="6"/>
        </w:rPr>
        <w:t xml:space="preserve">capacidade </w:t>
      </w:r>
      <w:r>
        <w:rPr>
          <w:color w:val="231F20"/>
          <w:spacing w:val="3"/>
        </w:rPr>
        <w:t xml:space="preserve">de </w:t>
      </w:r>
      <w:r>
        <w:rPr>
          <w:color w:val="231F20"/>
          <w:spacing w:val="5"/>
        </w:rPr>
        <w:t xml:space="preserve">cerca </w:t>
      </w:r>
      <w:r>
        <w:rPr>
          <w:color w:val="231F20"/>
          <w:spacing w:val="3"/>
        </w:rPr>
        <w:t xml:space="preserve">de </w:t>
      </w:r>
      <w:r>
        <w:rPr>
          <w:color w:val="231F20"/>
          <w:spacing w:val="5"/>
        </w:rPr>
        <w:t>oito</w:t>
      </w:r>
      <w:r>
        <w:rPr>
          <w:color w:val="231F20"/>
          <w:spacing w:val="61"/>
        </w:rPr>
        <w:t xml:space="preserve"> </w:t>
      </w:r>
      <w:r>
        <w:rPr>
          <w:color w:val="231F20"/>
          <w:spacing w:val="7"/>
        </w:rPr>
        <w:t xml:space="preserve">toneladas. </w:t>
      </w:r>
      <w:r>
        <w:rPr>
          <w:color w:val="231F20"/>
          <w:spacing w:val="5"/>
        </w:rPr>
        <w:t xml:space="preserve">Estima-se </w:t>
      </w:r>
      <w:r>
        <w:rPr>
          <w:color w:val="231F20"/>
          <w:spacing w:val="3"/>
        </w:rPr>
        <w:t xml:space="preserve">que, até 2040, </w:t>
      </w:r>
      <w:r>
        <w:rPr>
          <w:color w:val="231F20"/>
        </w:rPr>
        <w:t xml:space="preserve">a </w:t>
      </w:r>
      <w:r>
        <w:rPr>
          <w:color w:val="231F20"/>
          <w:spacing w:val="3"/>
        </w:rPr>
        <w:t xml:space="preserve">parte </w:t>
      </w:r>
      <w:r>
        <w:rPr>
          <w:color w:val="231F20"/>
          <w:spacing w:val="5"/>
        </w:rPr>
        <w:t xml:space="preserve">noroeste </w:t>
      </w:r>
      <w:r>
        <w:rPr>
          <w:color w:val="231F20"/>
          <w:spacing w:val="2"/>
        </w:rPr>
        <w:t xml:space="preserve">da </w:t>
      </w:r>
      <w:r>
        <w:rPr>
          <w:color w:val="231F20"/>
          <w:spacing w:val="3"/>
        </w:rPr>
        <w:t xml:space="preserve">mina </w:t>
      </w:r>
      <w:r>
        <w:rPr>
          <w:color w:val="231F20"/>
          <w:spacing w:val="5"/>
        </w:rPr>
        <w:t xml:space="preserve">terá </w:t>
      </w:r>
      <w:r>
        <w:rPr>
          <w:color w:val="231F20"/>
          <w:spacing w:val="1"/>
        </w:rPr>
        <w:t xml:space="preserve">"mergulhado" cerca </w:t>
      </w:r>
      <w:r>
        <w:rPr>
          <w:color w:val="231F20"/>
        </w:rPr>
        <w:t xml:space="preserve">de 200 </w:t>
      </w:r>
      <w:r>
        <w:rPr>
          <w:color w:val="231F20"/>
          <w:spacing w:val="1"/>
        </w:rPr>
        <w:t xml:space="preserve">metros </w:t>
      </w:r>
      <w:r>
        <w:rPr>
          <w:color w:val="231F20"/>
        </w:rPr>
        <w:t xml:space="preserve">de </w:t>
      </w:r>
      <w:r>
        <w:rPr>
          <w:color w:val="231F20"/>
          <w:spacing w:val="1"/>
        </w:rPr>
        <w:t xml:space="preserve">profundidade, </w:t>
      </w:r>
      <w:r>
        <w:rPr>
          <w:color w:val="231F20"/>
          <w:spacing w:val="2"/>
        </w:rPr>
        <w:t xml:space="preserve">cinco </w:t>
      </w:r>
      <w:r>
        <w:rPr>
          <w:color w:val="231F20"/>
          <w:spacing w:val="1"/>
        </w:rPr>
        <w:t xml:space="preserve">vezes mais </w:t>
      </w:r>
      <w:r>
        <w:rPr>
          <w:color w:val="231F20"/>
        </w:rPr>
        <w:t xml:space="preserve">do que </w:t>
      </w:r>
      <w:r>
        <w:rPr>
          <w:color w:val="231F20"/>
          <w:spacing w:val="1"/>
        </w:rPr>
        <w:t>hoje (CANÇADO,</w:t>
      </w:r>
      <w:r>
        <w:rPr>
          <w:color w:val="231F20"/>
        </w:rPr>
        <w:t xml:space="preserve"> </w:t>
      </w:r>
      <w:r>
        <w:rPr>
          <w:color w:val="231F20"/>
          <w:spacing w:val="2"/>
        </w:rPr>
        <w:t>2011).</w:t>
      </w:r>
    </w:p>
    <w:p w:rsidR="00D81F69" w:rsidRDefault="00330118">
      <w:pPr>
        <w:pStyle w:val="Corpodetexto"/>
        <w:spacing w:before="142" w:line="312" w:lineRule="auto"/>
        <w:ind w:left="101" w:right="49"/>
      </w:pPr>
      <w:r>
        <w:rPr>
          <w:color w:val="231F20"/>
        </w:rPr>
        <w:t>A ampliação da produção dependeu diretamente</w:t>
      </w:r>
      <w:r>
        <w:rPr>
          <w:color w:val="231F20"/>
        </w:rPr>
        <w:t xml:space="preserve"> do aprofundamento da mina em 90 metros e da construção de uma barragem de rejeitos tóxicos de 2 mil hectares de superfície, cerca de 10 vezes maior que a área da Lagoa da Pampulha, em Belo Horizonte. A barragem inicial armazena mais de 1 bilhão de tonelad</w:t>
      </w:r>
      <w:r>
        <w:rPr>
          <w:color w:val="231F20"/>
        </w:rPr>
        <w:t>as de rejeitos (FURTADO, 2008).</w:t>
      </w:r>
    </w:p>
    <w:p w:rsidR="00D81F69" w:rsidRDefault="00330118">
      <w:pPr>
        <w:pStyle w:val="Corpodetexto"/>
        <w:spacing w:before="135" w:line="312" w:lineRule="auto"/>
        <w:ind w:left="101" w:right="47"/>
      </w:pPr>
      <w:r>
        <w:rPr>
          <w:color w:val="231F20"/>
        </w:rPr>
        <w:t>Relatório elaborado pela Superintendência Regional de Meio Ambiente e Desenvolvimento Sustentável do Noroeste de Minas (Supram Nor) – agência do governo mineiro encarregada de elaborar os relatórios de licenciamento ambienta</w:t>
      </w:r>
      <w:r>
        <w:rPr>
          <w:color w:val="231F20"/>
        </w:rPr>
        <w:t>l do projeto da mineradora Kinross – apresentou parecer favorável à manutenção da licença de instalação, havendo, assim, o consentimento para expansão das operações e construção da barragem. O estudo avaliou que a expansão da mina trará incrementos positiv</w:t>
      </w:r>
      <w:r>
        <w:rPr>
          <w:color w:val="231F20"/>
        </w:rPr>
        <w:t>os no nível de emprego municipal, de renda e da arrecadação municipal (GOVERNO DO ESTADO DE MINAS GERAIS, 2007).</w:t>
      </w:r>
    </w:p>
    <w:p w:rsidR="00D81F69" w:rsidRDefault="00330118">
      <w:pPr>
        <w:pStyle w:val="Corpodetexto"/>
        <w:spacing w:before="140" w:line="312" w:lineRule="auto"/>
        <w:ind w:left="101" w:right="50"/>
      </w:pPr>
      <w:r>
        <w:rPr>
          <w:color w:val="231F20"/>
        </w:rPr>
        <w:t xml:space="preserve">A questão fundiária sempre foi um dos fatores de conflito entre a empresa e a população local. A nova barragem de rejeitos da Kinross ocupa um </w:t>
      </w:r>
      <w:r>
        <w:rPr>
          <w:color w:val="231F20"/>
        </w:rPr>
        <w:t>vale originário de quilombolas - comunidades de Machadinho, Família dos Amaros e São Domingos -, instaladas desde o século XIX na região, e a mina fica entre dois quilombos. De um lado, a extinta comunidade do Machadinho, que deu lugar à nova represa.</w:t>
      </w:r>
    </w:p>
    <w:p w:rsidR="00D81F69" w:rsidRDefault="00330118">
      <w:pPr>
        <w:pStyle w:val="Corpodetexto"/>
        <w:spacing w:before="81" w:line="312" w:lineRule="auto"/>
        <w:ind w:left="101" w:right="214"/>
      </w:pPr>
      <w:r>
        <w:br w:type="column"/>
      </w:r>
      <w:r>
        <w:rPr>
          <w:color w:val="231F20"/>
        </w:rPr>
        <w:lastRenderedPageBreak/>
        <w:t xml:space="preserve">Do </w:t>
      </w:r>
      <w:r>
        <w:rPr>
          <w:color w:val="231F20"/>
        </w:rPr>
        <w:t>outro, São Domingos, que ainda mantém parte das tradições dos primeiros escravos que chegaram à cidade. Os descendentes dos escravos que trabalharam no Córrego Rico e no Morro do Ouro venderam suas terras e se mudaram para a periferia da cidade (MARTINS, 2</w:t>
      </w:r>
      <w:r>
        <w:rPr>
          <w:color w:val="231F20"/>
        </w:rPr>
        <w:t>010). No entanto, ao menos quatro famílias já recorreram à Justiça para não deixar suas fazendas. A mineradora informa que está em negociação com essas famílias e que tenta encontrar a melhor solução para os impasses (FREIRE, 2010, INCRA, 2010).</w:t>
      </w:r>
    </w:p>
    <w:p w:rsidR="00D81F69" w:rsidRDefault="00330118">
      <w:pPr>
        <w:pStyle w:val="Corpodetexto"/>
        <w:spacing w:before="137" w:line="312" w:lineRule="auto"/>
        <w:ind w:left="101" w:right="196"/>
      </w:pPr>
      <w:r>
        <w:rPr>
          <w:color w:val="231F20"/>
        </w:rPr>
        <w:t xml:space="preserve">De acordo </w:t>
      </w:r>
      <w:r>
        <w:rPr>
          <w:color w:val="231F20"/>
        </w:rPr>
        <w:t>com o Ministério Público Federal (MPF), as práticas da mineradora causam vários danos patrimoniais e morais às famílias quilombolas que moram na região, não só pela expulsão dos moradores, mas pela desagregação de suas identidades culturais (MPF-MG, 2010).</w:t>
      </w:r>
      <w:r>
        <w:rPr>
          <w:color w:val="231F20"/>
        </w:rPr>
        <w:t xml:space="preserve"> No entanto, sentenças posteriores da Justiça Federal negaram pedidos de reparação a comunidades quilombolas pela expansão do empreendimento da Kinross, sob a alegação de que nem todo descendente de ex-escravo pode ser considerado quilombola, porque, para </w:t>
      </w:r>
      <w:r>
        <w:rPr>
          <w:color w:val="231F20"/>
        </w:rPr>
        <w:t>tanto, ele teria que provar que descende de escravo foragido. O Ministério Público de Minas Gerais recorreu, em 2014, afirmando que o critério antropológico de autoidentificação do grupo étnico foi reconhecido pela Convenção 169 da Organização Internaciona</w:t>
      </w:r>
      <w:r>
        <w:rPr>
          <w:color w:val="231F20"/>
        </w:rPr>
        <w:t>l do Trabalho (OIT) e ratificada pelo Congresso Nacional (CEDEFES, 2014).</w:t>
      </w:r>
    </w:p>
    <w:p w:rsidR="00D81F69" w:rsidRDefault="00330118">
      <w:pPr>
        <w:pStyle w:val="Corpodetexto"/>
        <w:spacing w:before="143" w:line="312" w:lineRule="auto"/>
        <w:ind w:left="101" w:right="193"/>
      </w:pPr>
      <w:r>
        <w:rPr>
          <w:color w:val="231F20"/>
          <w:spacing w:val="5"/>
        </w:rPr>
        <w:t xml:space="preserve">Outro motivo </w:t>
      </w:r>
      <w:r>
        <w:rPr>
          <w:color w:val="231F20"/>
          <w:spacing w:val="2"/>
        </w:rPr>
        <w:t xml:space="preserve">de </w:t>
      </w:r>
      <w:r>
        <w:rPr>
          <w:color w:val="231F20"/>
          <w:spacing w:val="5"/>
        </w:rPr>
        <w:t xml:space="preserve">preocupação </w:t>
      </w:r>
      <w:r>
        <w:rPr>
          <w:color w:val="231F20"/>
          <w:spacing w:val="3"/>
        </w:rPr>
        <w:t xml:space="preserve">dos </w:t>
      </w:r>
      <w:r>
        <w:rPr>
          <w:color w:val="231F20"/>
          <w:spacing w:val="5"/>
        </w:rPr>
        <w:t xml:space="preserve">moradores </w:t>
      </w:r>
      <w:r>
        <w:rPr>
          <w:color w:val="231F20"/>
        </w:rPr>
        <w:t xml:space="preserve">é a </w:t>
      </w:r>
      <w:r>
        <w:rPr>
          <w:color w:val="231F20"/>
          <w:spacing w:val="6"/>
        </w:rPr>
        <w:t xml:space="preserve">maior </w:t>
      </w:r>
      <w:r>
        <w:rPr>
          <w:color w:val="231F20"/>
        </w:rPr>
        <w:t xml:space="preserve">utilização, pela empresa, das águas do rio Paracatu, fora o </w:t>
      </w:r>
      <w:r>
        <w:rPr>
          <w:color w:val="231F20"/>
          <w:spacing w:val="2"/>
        </w:rPr>
        <w:t xml:space="preserve">uso </w:t>
      </w:r>
      <w:r>
        <w:rPr>
          <w:color w:val="231F20"/>
          <w:spacing w:val="1"/>
        </w:rPr>
        <w:t xml:space="preserve">de </w:t>
      </w:r>
      <w:r>
        <w:rPr>
          <w:color w:val="231F20"/>
          <w:spacing w:val="3"/>
        </w:rPr>
        <w:t xml:space="preserve">outras fontes </w:t>
      </w:r>
      <w:r>
        <w:rPr>
          <w:color w:val="231F20"/>
          <w:spacing w:val="2"/>
        </w:rPr>
        <w:t xml:space="preserve">como </w:t>
      </w:r>
      <w:r>
        <w:rPr>
          <w:color w:val="231F20"/>
        </w:rPr>
        <w:t xml:space="preserve">o </w:t>
      </w:r>
      <w:r>
        <w:rPr>
          <w:color w:val="231F20"/>
          <w:spacing w:val="3"/>
        </w:rPr>
        <w:t xml:space="preserve">córrego Machadinho, </w:t>
      </w:r>
      <w:r>
        <w:rPr>
          <w:color w:val="231F20"/>
          <w:spacing w:val="2"/>
        </w:rPr>
        <w:t xml:space="preserve">que </w:t>
      </w:r>
      <w:r>
        <w:rPr>
          <w:color w:val="231F20"/>
        </w:rPr>
        <w:t>é represado na nov</w:t>
      </w:r>
      <w:r>
        <w:rPr>
          <w:color w:val="231F20"/>
        </w:rPr>
        <w:t xml:space="preserve">a barragem da empresa. Além de represar </w:t>
      </w:r>
      <w:r>
        <w:rPr>
          <w:color w:val="231F20"/>
          <w:spacing w:val="2"/>
        </w:rPr>
        <w:t xml:space="preserve">água dos </w:t>
      </w:r>
      <w:r>
        <w:rPr>
          <w:color w:val="231F20"/>
          <w:spacing w:val="3"/>
        </w:rPr>
        <w:t xml:space="preserve">cursos naturais, </w:t>
      </w:r>
      <w:r>
        <w:rPr>
          <w:color w:val="231F20"/>
        </w:rPr>
        <w:t xml:space="preserve">a </w:t>
      </w:r>
      <w:r>
        <w:rPr>
          <w:color w:val="231F20"/>
          <w:spacing w:val="2"/>
        </w:rPr>
        <w:t xml:space="preserve">mina </w:t>
      </w:r>
      <w:r>
        <w:rPr>
          <w:color w:val="231F20"/>
          <w:spacing w:val="3"/>
        </w:rPr>
        <w:t xml:space="preserve">Morro </w:t>
      </w:r>
      <w:r>
        <w:rPr>
          <w:color w:val="231F20"/>
          <w:spacing w:val="1"/>
        </w:rPr>
        <w:t xml:space="preserve">do </w:t>
      </w:r>
      <w:r>
        <w:rPr>
          <w:color w:val="231F20"/>
          <w:spacing w:val="2"/>
        </w:rPr>
        <w:t xml:space="preserve">Ouro </w:t>
      </w:r>
      <w:r>
        <w:rPr>
          <w:color w:val="231F20"/>
          <w:spacing w:val="3"/>
        </w:rPr>
        <w:t xml:space="preserve">capta </w:t>
      </w:r>
      <w:r>
        <w:rPr>
          <w:color w:val="231F20"/>
        </w:rPr>
        <w:t xml:space="preserve">à distância um grande volume de água em córregos da bacia do rio São Francisco para o processo de concentração do ouro </w:t>
      </w:r>
      <w:r>
        <w:rPr>
          <w:color w:val="231F20"/>
          <w:spacing w:val="10"/>
        </w:rPr>
        <w:t xml:space="preserve">(SOUZA; FERNANDES; ALAMINO, 2011; </w:t>
      </w:r>
      <w:r>
        <w:rPr>
          <w:color w:val="231F20"/>
          <w:spacing w:val="8"/>
        </w:rPr>
        <w:t xml:space="preserve">MAPA </w:t>
      </w:r>
      <w:r>
        <w:rPr>
          <w:color w:val="231F20"/>
          <w:spacing w:val="12"/>
        </w:rPr>
        <w:t xml:space="preserve">DA </w:t>
      </w:r>
      <w:r>
        <w:rPr>
          <w:color w:val="231F20"/>
          <w:spacing w:val="6"/>
        </w:rPr>
        <w:t xml:space="preserve">INJUSTIÇA  AMBIENTAL  </w:t>
      </w:r>
      <w:r>
        <w:rPr>
          <w:color w:val="231F20"/>
        </w:rPr>
        <w:t xml:space="preserve">E  </w:t>
      </w:r>
      <w:r>
        <w:rPr>
          <w:color w:val="231F20"/>
          <w:spacing w:val="5"/>
        </w:rPr>
        <w:t xml:space="preserve">SAÚDE  </w:t>
      </w:r>
      <w:r>
        <w:rPr>
          <w:color w:val="231F20"/>
          <w:spacing w:val="3"/>
        </w:rPr>
        <w:t xml:space="preserve">NO  </w:t>
      </w:r>
      <w:r>
        <w:rPr>
          <w:color w:val="231F20"/>
          <w:spacing w:val="5"/>
        </w:rPr>
        <w:t>BRASIL,</w:t>
      </w:r>
      <w:r>
        <w:rPr>
          <w:color w:val="231F20"/>
          <w:spacing w:val="-10"/>
        </w:rPr>
        <w:t xml:space="preserve"> </w:t>
      </w:r>
      <w:r>
        <w:rPr>
          <w:color w:val="231F20"/>
          <w:spacing w:val="7"/>
        </w:rPr>
        <w:t>2012).</w:t>
      </w:r>
    </w:p>
    <w:p w:rsidR="00D81F69" w:rsidRDefault="00330118">
      <w:pPr>
        <w:pStyle w:val="Corpodetexto"/>
        <w:spacing w:before="138" w:line="312" w:lineRule="auto"/>
        <w:ind w:left="101" w:right="202"/>
      </w:pPr>
      <w:r>
        <w:rPr>
          <w:color w:val="231F20"/>
        </w:rPr>
        <w:t>Em outubro de 2013, o MPF fez uma vistoria na mina e em outras instalações da Kinross e detectou que no processo de produção de ouro pela mineradora se manipula o cianeto [uma substância altamente tóxica q</w:t>
      </w:r>
      <w:r>
        <w:rPr>
          <w:color w:val="231F20"/>
        </w:rPr>
        <w:t xml:space="preserve">ue é adicionada como um dos ingredientes do processo de concentração da rocha natural aurífera]. A substância não é totalmente destruída após a produção, sendo armazenada em barragens de rejeitos, revestidas com lona PEAD e argila férrica, um material que </w:t>
      </w:r>
      <w:r>
        <w:rPr>
          <w:color w:val="231F20"/>
        </w:rPr>
        <w:t>encurta o tempo de vida da barragem e ocasiona pressão elevada sobre o solo ou maciço. A preocupação do MPF é que as barragens se rompam e o material tóxico possa atingir o lençol freático (NOTÍCIAS DE MINERAÇÃO BRASIL, 2013).</w:t>
      </w:r>
    </w:p>
    <w:p w:rsidR="00D81F69" w:rsidRDefault="00330118">
      <w:pPr>
        <w:pStyle w:val="Corpodetexto"/>
        <w:spacing w:before="79" w:line="270" w:lineRule="atLeast"/>
        <w:ind w:left="101" w:right="188"/>
      </w:pPr>
      <w:r>
        <w:rPr>
          <w:color w:val="231F20"/>
        </w:rPr>
        <w:t>Em 2014, os resultados de um estudo encomendado pela Prefeitura de Paracatu ao CETEM/MCTI, em 2010, demonstraram que mais de 95% da população estudada apresentaram baixa concentração de arsênio na urina. Os teores de arsênio em cabelo da população também i</w:t>
      </w:r>
      <w:r>
        <w:rPr>
          <w:color w:val="231F20"/>
        </w:rPr>
        <w:t>ndicaram baixa exposição (CASTILHOS, 2014). A amostra do estudo foi constituída por mil moradores de dois bairros atendidos por Postos de Saúde da Família, com mais de 40 anos de idade e residentes na cidade de Paracatu há pelo menos 20 anos.</w:t>
      </w:r>
    </w:p>
    <w:p w:rsidR="00D81F69" w:rsidRDefault="00D81F69">
      <w:pPr>
        <w:spacing w:line="270" w:lineRule="atLeast"/>
        <w:sectPr w:rsidR="00D81F69">
          <w:pgSz w:w="11910" w:h="16840"/>
          <w:pgMar w:top="740" w:right="500" w:bottom="620" w:left="620" w:header="0" w:footer="402" w:gutter="0"/>
          <w:cols w:num="2" w:space="720" w:equalWidth="0">
            <w:col w:w="5165" w:space="304"/>
            <w:col w:w="5321"/>
          </w:cols>
        </w:sectPr>
      </w:pPr>
    </w:p>
    <w:p w:rsidR="00D81F69" w:rsidRDefault="00330118">
      <w:pPr>
        <w:pStyle w:val="Corpodetexto"/>
        <w:spacing w:before="81" w:line="312" w:lineRule="auto"/>
        <w:ind w:left="101" w:right="38"/>
      </w:pPr>
      <w:r>
        <w:rPr>
          <w:color w:val="231F20"/>
          <w:spacing w:val="1"/>
        </w:rPr>
        <w:lastRenderedPageBreak/>
        <w:t xml:space="preserve">(CASTILHOS, 2014; SANTOS </w:t>
      </w:r>
      <w:r>
        <w:rPr>
          <w:color w:val="231F20"/>
        </w:rPr>
        <w:t xml:space="preserve">et </w:t>
      </w:r>
      <w:r>
        <w:rPr>
          <w:color w:val="231F20"/>
          <w:spacing w:val="1"/>
        </w:rPr>
        <w:t xml:space="preserve">al., 2013). </w:t>
      </w:r>
      <w:r>
        <w:rPr>
          <w:color w:val="231F20"/>
        </w:rPr>
        <w:t xml:space="preserve">A </w:t>
      </w:r>
      <w:r>
        <w:rPr>
          <w:color w:val="231F20"/>
          <w:spacing w:val="1"/>
        </w:rPr>
        <w:t xml:space="preserve">pesquisa </w:t>
      </w:r>
      <w:r>
        <w:rPr>
          <w:color w:val="231F20"/>
          <w:spacing w:val="2"/>
        </w:rPr>
        <w:t xml:space="preserve">foi </w:t>
      </w:r>
      <w:r>
        <w:rPr>
          <w:color w:val="231F20"/>
        </w:rPr>
        <w:t xml:space="preserve">realizada, durante 34 meses, por mais de 70 pesquisadores </w:t>
      </w:r>
      <w:r>
        <w:rPr>
          <w:color w:val="231F20"/>
          <w:spacing w:val="3"/>
        </w:rPr>
        <w:t xml:space="preserve">independentes vinculados </w:t>
      </w:r>
      <w:r>
        <w:rPr>
          <w:color w:val="231F20"/>
        </w:rPr>
        <w:t xml:space="preserve">a </w:t>
      </w:r>
      <w:r>
        <w:rPr>
          <w:color w:val="231F20"/>
          <w:spacing w:val="2"/>
        </w:rPr>
        <w:t xml:space="preserve">seis </w:t>
      </w:r>
      <w:r>
        <w:rPr>
          <w:color w:val="231F20"/>
          <w:spacing w:val="3"/>
        </w:rPr>
        <w:t xml:space="preserve">instituições públicas </w:t>
      </w:r>
      <w:r>
        <w:rPr>
          <w:color w:val="231F20"/>
          <w:spacing w:val="5"/>
        </w:rPr>
        <w:t xml:space="preserve">de </w:t>
      </w:r>
      <w:r>
        <w:rPr>
          <w:color w:val="231F20"/>
          <w:spacing w:val="3"/>
        </w:rPr>
        <w:t xml:space="preserve">pesquisa </w:t>
      </w:r>
      <w:r>
        <w:rPr>
          <w:color w:val="231F20"/>
        </w:rPr>
        <w:t xml:space="preserve">e </w:t>
      </w:r>
      <w:r>
        <w:rPr>
          <w:color w:val="231F20"/>
          <w:spacing w:val="1"/>
        </w:rPr>
        <w:t xml:space="preserve">os </w:t>
      </w:r>
      <w:r>
        <w:rPr>
          <w:color w:val="231F20"/>
          <w:spacing w:val="3"/>
        </w:rPr>
        <w:t xml:space="preserve">resultados foram apresentados, </w:t>
      </w:r>
      <w:r>
        <w:rPr>
          <w:color w:val="231F20"/>
          <w:spacing w:val="2"/>
        </w:rPr>
        <w:t xml:space="preserve">dia </w:t>
      </w:r>
      <w:r>
        <w:rPr>
          <w:color w:val="231F20"/>
          <w:spacing w:val="1"/>
        </w:rPr>
        <w:t xml:space="preserve">18 </w:t>
      </w:r>
      <w:r>
        <w:rPr>
          <w:color w:val="231F20"/>
          <w:spacing w:val="5"/>
        </w:rPr>
        <w:t xml:space="preserve">de </w:t>
      </w:r>
      <w:r>
        <w:rPr>
          <w:color w:val="231F20"/>
        </w:rPr>
        <w:t>m</w:t>
      </w:r>
      <w:r>
        <w:rPr>
          <w:color w:val="231F20"/>
        </w:rPr>
        <w:t xml:space="preserve">arço de 2014, em audiência pública na Câmara Municipal  </w:t>
      </w:r>
      <w:r>
        <w:rPr>
          <w:color w:val="231F20"/>
          <w:spacing w:val="10"/>
        </w:rPr>
        <w:t>de</w:t>
      </w:r>
      <w:r>
        <w:rPr>
          <w:color w:val="231F20"/>
          <w:spacing w:val="71"/>
        </w:rPr>
        <w:t xml:space="preserve"> </w:t>
      </w:r>
      <w:r>
        <w:rPr>
          <w:color w:val="231F20"/>
          <w:spacing w:val="18"/>
        </w:rPr>
        <w:t xml:space="preserve">Paracatu (PARACA, </w:t>
      </w:r>
      <w:r>
        <w:rPr>
          <w:color w:val="231F20"/>
          <w:spacing w:val="16"/>
        </w:rPr>
        <w:t xml:space="preserve">2014; </w:t>
      </w:r>
      <w:r>
        <w:rPr>
          <w:color w:val="231F20"/>
          <w:spacing w:val="18"/>
        </w:rPr>
        <w:t>KINROSS,</w:t>
      </w:r>
      <w:r>
        <w:rPr>
          <w:color w:val="231F20"/>
          <w:spacing w:val="35"/>
        </w:rPr>
        <w:t xml:space="preserve"> </w:t>
      </w:r>
      <w:r>
        <w:rPr>
          <w:color w:val="231F20"/>
          <w:spacing w:val="16"/>
        </w:rPr>
        <w:t>2014;</w:t>
      </w:r>
      <w:r>
        <w:rPr>
          <w:color w:val="231F20"/>
          <w:spacing w:val="-27"/>
        </w:rPr>
        <w:t xml:space="preserve"> </w:t>
      </w:r>
    </w:p>
    <w:p w:rsidR="00D81F69" w:rsidRDefault="00330118">
      <w:pPr>
        <w:pStyle w:val="Corpodetexto"/>
        <w:spacing w:before="5"/>
        <w:ind w:left="101"/>
      </w:pPr>
      <w:r>
        <w:rPr>
          <w:color w:val="231F20"/>
          <w:spacing w:val="20"/>
        </w:rPr>
        <w:t xml:space="preserve">PARACATU.NET, </w:t>
      </w:r>
      <w:r>
        <w:rPr>
          <w:color w:val="231F20"/>
          <w:spacing w:val="16"/>
        </w:rPr>
        <w:t xml:space="preserve">2014; </w:t>
      </w:r>
      <w:r>
        <w:rPr>
          <w:color w:val="231F20"/>
          <w:spacing w:val="17"/>
        </w:rPr>
        <w:t>IBRAM,</w:t>
      </w:r>
      <w:r>
        <w:rPr>
          <w:color w:val="231F20"/>
          <w:spacing w:val="85"/>
        </w:rPr>
        <w:t xml:space="preserve"> </w:t>
      </w:r>
      <w:r>
        <w:rPr>
          <w:color w:val="231F20"/>
          <w:spacing w:val="17"/>
        </w:rPr>
        <w:t>2014).</w:t>
      </w:r>
      <w:r>
        <w:rPr>
          <w:color w:val="231F20"/>
          <w:spacing w:val="-27"/>
        </w:rPr>
        <w:t xml:space="preserve"> </w:t>
      </w:r>
    </w:p>
    <w:p w:rsidR="00D81F69" w:rsidRDefault="00D81F69">
      <w:pPr>
        <w:pStyle w:val="Corpodetexto"/>
        <w:spacing w:before="9"/>
        <w:ind w:left="0"/>
        <w:jc w:val="left"/>
        <w:rPr>
          <w:sz w:val="16"/>
        </w:rPr>
      </w:pPr>
    </w:p>
    <w:p w:rsidR="00D81F69" w:rsidRDefault="00330118">
      <w:pPr>
        <w:pStyle w:val="Corpodetexto"/>
        <w:spacing w:line="312" w:lineRule="auto"/>
        <w:ind w:left="101" w:right="59"/>
      </w:pPr>
      <w:r>
        <w:rPr>
          <w:color w:val="231F20"/>
        </w:rPr>
        <w:t xml:space="preserve">Durante o estudo, foram feitas coletas de água destinada ao abastecimento doméstico e de córregos, instalados filtros de </w:t>
      </w:r>
      <w:r>
        <w:rPr>
          <w:color w:val="231F20"/>
          <w:spacing w:val="1"/>
        </w:rPr>
        <w:t xml:space="preserve">atmosfera </w:t>
      </w:r>
      <w:r>
        <w:rPr>
          <w:color w:val="231F20"/>
        </w:rPr>
        <w:t xml:space="preserve">e </w:t>
      </w:r>
      <w:r>
        <w:rPr>
          <w:color w:val="231F20"/>
          <w:spacing w:val="1"/>
        </w:rPr>
        <w:t xml:space="preserve">analisado </w:t>
      </w:r>
      <w:r>
        <w:rPr>
          <w:color w:val="231F20"/>
        </w:rPr>
        <w:t xml:space="preserve">o </w:t>
      </w:r>
      <w:r>
        <w:rPr>
          <w:color w:val="231F20"/>
          <w:spacing w:val="1"/>
        </w:rPr>
        <w:t xml:space="preserve">solo. </w:t>
      </w:r>
      <w:r>
        <w:rPr>
          <w:color w:val="231F20"/>
        </w:rPr>
        <w:t xml:space="preserve">A </w:t>
      </w:r>
      <w:r>
        <w:rPr>
          <w:color w:val="231F20"/>
          <w:spacing w:val="1"/>
        </w:rPr>
        <w:t xml:space="preserve">coordenadora </w:t>
      </w:r>
      <w:r>
        <w:rPr>
          <w:color w:val="231F20"/>
        </w:rPr>
        <w:t xml:space="preserve">do </w:t>
      </w:r>
      <w:r>
        <w:rPr>
          <w:color w:val="231F20"/>
          <w:spacing w:val="1"/>
        </w:rPr>
        <w:t xml:space="preserve">estudo </w:t>
      </w:r>
      <w:r>
        <w:rPr>
          <w:color w:val="231F20"/>
        </w:rPr>
        <w:t xml:space="preserve">e </w:t>
      </w:r>
      <w:r>
        <w:rPr>
          <w:color w:val="231F20"/>
          <w:spacing w:val="15"/>
        </w:rPr>
        <w:t xml:space="preserve">pesquisadora </w:t>
      </w:r>
      <w:r>
        <w:rPr>
          <w:color w:val="231F20"/>
          <w:spacing w:val="8"/>
        </w:rPr>
        <w:t xml:space="preserve">do </w:t>
      </w:r>
      <w:r>
        <w:rPr>
          <w:color w:val="231F20"/>
          <w:spacing w:val="13"/>
        </w:rPr>
        <w:t xml:space="preserve">CETEM </w:t>
      </w:r>
      <w:r>
        <w:rPr>
          <w:color w:val="231F20"/>
          <w:spacing w:val="15"/>
        </w:rPr>
        <w:t xml:space="preserve">explicou </w:t>
      </w:r>
      <w:r>
        <w:rPr>
          <w:color w:val="231F20"/>
          <w:spacing w:val="11"/>
        </w:rPr>
        <w:t xml:space="preserve">que </w:t>
      </w:r>
      <w:r>
        <w:rPr>
          <w:color w:val="231F20"/>
          <w:spacing w:val="13"/>
        </w:rPr>
        <w:t xml:space="preserve">águas </w:t>
      </w:r>
      <w:r>
        <w:rPr>
          <w:color w:val="231F20"/>
          <w:spacing w:val="8"/>
        </w:rPr>
        <w:t xml:space="preserve">de </w:t>
      </w:r>
      <w:r>
        <w:rPr>
          <w:color w:val="231F20"/>
          <w:spacing w:val="5"/>
        </w:rPr>
        <w:t xml:space="preserve">abastecimento doméstico </w:t>
      </w:r>
      <w:r>
        <w:rPr>
          <w:color w:val="231F20"/>
          <w:spacing w:val="2"/>
        </w:rPr>
        <w:t xml:space="preserve">de </w:t>
      </w:r>
      <w:r>
        <w:rPr>
          <w:color w:val="231F20"/>
          <w:spacing w:val="5"/>
        </w:rPr>
        <w:t>Paracatu mostraram baixos</w:t>
      </w:r>
      <w:r>
        <w:rPr>
          <w:color w:val="231F20"/>
          <w:spacing w:val="61"/>
        </w:rPr>
        <w:t xml:space="preserve"> </w:t>
      </w:r>
      <w:r>
        <w:rPr>
          <w:color w:val="231F20"/>
          <w:spacing w:val="1"/>
        </w:rPr>
        <w:t xml:space="preserve">teores </w:t>
      </w:r>
      <w:r>
        <w:rPr>
          <w:color w:val="231F20"/>
        </w:rPr>
        <w:t xml:space="preserve">de </w:t>
      </w:r>
      <w:r>
        <w:rPr>
          <w:color w:val="231F20"/>
          <w:spacing w:val="1"/>
        </w:rPr>
        <w:t xml:space="preserve">arsênio </w:t>
      </w:r>
      <w:r>
        <w:rPr>
          <w:color w:val="231F20"/>
        </w:rPr>
        <w:t xml:space="preserve">e não </w:t>
      </w:r>
      <w:r>
        <w:rPr>
          <w:color w:val="231F20"/>
          <w:spacing w:val="1"/>
        </w:rPr>
        <w:t xml:space="preserve">estão contaminadas. </w:t>
      </w:r>
      <w:r>
        <w:rPr>
          <w:color w:val="231F20"/>
        </w:rPr>
        <w:t xml:space="preserve">No </w:t>
      </w:r>
      <w:r>
        <w:rPr>
          <w:color w:val="231F20"/>
          <w:spacing w:val="1"/>
        </w:rPr>
        <w:t xml:space="preserve">caso </w:t>
      </w:r>
      <w:r>
        <w:rPr>
          <w:color w:val="231F20"/>
          <w:spacing w:val="2"/>
        </w:rPr>
        <w:t xml:space="preserve">das </w:t>
      </w:r>
      <w:r>
        <w:rPr>
          <w:color w:val="231F20"/>
          <w:spacing w:val="1"/>
        </w:rPr>
        <w:t xml:space="preserve">poeiras respiráveis </w:t>
      </w:r>
      <w:r>
        <w:rPr>
          <w:color w:val="231F20"/>
        </w:rPr>
        <w:t xml:space="preserve">no </w:t>
      </w:r>
      <w:r>
        <w:rPr>
          <w:color w:val="231F20"/>
          <w:spacing w:val="1"/>
        </w:rPr>
        <w:t xml:space="preserve">município, </w:t>
      </w:r>
      <w:r>
        <w:rPr>
          <w:color w:val="231F20"/>
        </w:rPr>
        <w:t xml:space="preserve">o </w:t>
      </w:r>
      <w:r>
        <w:rPr>
          <w:color w:val="231F20"/>
          <w:spacing w:val="1"/>
        </w:rPr>
        <w:t>estudo rev</w:t>
      </w:r>
      <w:r>
        <w:rPr>
          <w:color w:val="231F20"/>
          <w:spacing w:val="1"/>
        </w:rPr>
        <w:t xml:space="preserve">elou </w:t>
      </w:r>
      <w:r>
        <w:rPr>
          <w:color w:val="231F20"/>
          <w:spacing w:val="2"/>
        </w:rPr>
        <w:t xml:space="preserve">arsênio </w:t>
      </w:r>
      <w:r>
        <w:rPr>
          <w:color w:val="231F20"/>
        </w:rPr>
        <w:t xml:space="preserve">dentro da faixa encontrada em áreas urbanas em vários locais do mundo. No entanto, em áreas próximas à mineração de ouro e na direção predominante dos ventos, embora </w:t>
      </w:r>
      <w:r>
        <w:rPr>
          <w:color w:val="231F20"/>
          <w:spacing w:val="1"/>
        </w:rPr>
        <w:t xml:space="preserve">dentro  </w:t>
      </w:r>
      <w:r>
        <w:rPr>
          <w:color w:val="231F20"/>
        </w:rPr>
        <w:t>da faixa, os valores se mostraram mais elevados, o que, de acordo com</w:t>
      </w:r>
      <w:r>
        <w:rPr>
          <w:color w:val="231F20"/>
        </w:rPr>
        <w:t xml:space="preserve"> os pesquisadores, sugere que devam ser objeto </w:t>
      </w:r>
      <w:r>
        <w:rPr>
          <w:color w:val="231F20"/>
          <w:spacing w:val="6"/>
        </w:rPr>
        <w:t xml:space="preserve">de </w:t>
      </w:r>
      <w:r>
        <w:rPr>
          <w:color w:val="231F20"/>
          <w:spacing w:val="13"/>
        </w:rPr>
        <w:t xml:space="preserve">monitoramentos </w:t>
      </w:r>
      <w:r>
        <w:rPr>
          <w:color w:val="231F20"/>
          <w:spacing w:val="12"/>
        </w:rPr>
        <w:t xml:space="preserve">detalhados </w:t>
      </w:r>
      <w:r>
        <w:rPr>
          <w:color w:val="231F20"/>
          <w:spacing w:val="10"/>
        </w:rPr>
        <w:t xml:space="preserve">pelo </w:t>
      </w:r>
      <w:r>
        <w:rPr>
          <w:color w:val="231F20"/>
          <w:spacing w:val="11"/>
        </w:rPr>
        <w:t xml:space="preserve">poder </w:t>
      </w:r>
      <w:r>
        <w:rPr>
          <w:color w:val="231F20"/>
          <w:spacing w:val="12"/>
        </w:rPr>
        <w:t xml:space="preserve">público </w:t>
      </w:r>
      <w:r>
        <w:rPr>
          <w:color w:val="231F20"/>
        </w:rPr>
        <w:t>(CASTILHOS, 2014; PARACATU.NET, 2014; SANTOS et al., 2013;</w:t>
      </w:r>
      <w:r>
        <w:rPr>
          <w:color w:val="231F20"/>
          <w:spacing w:val="10"/>
        </w:rPr>
        <w:t xml:space="preserve"> </w:t>
      </w:r>
      <w:r>
        <w:rPr>
          <w:color w:val="231F20"/>
        </w:rPr>
        <w:t>MATOS</w:t>
      </w:r>
      <w:r>
        <w:rPr>
          <w:color w:val="231F20"/>
          <w:spacing w:val="10"/>
        </w:rPr>
        <w:t xml:space="preserve"> </w:t>
      </w:r>
      <w:r>
        <w:rPr>
          <w:color w:val="231F20"/>
        </w:rPr>
        <w:t>et,al.,</w:t>
      </w:r>
      <w:r>
        <w:rPr>
          <w:color w:val="231F20"/>
          <w:spacing w:val="10"/>
        </w:rPr>
        <w:t xml:space="preserve"> </w:t>
      </w:r>
      <w:r>
        <w:rPr>
          <w:color w:val="231F20"/>
        </w:rPr>
        <w:t>2013;</w:t>
      </w:r>
      <w:r>
        <w:rPr>
          <w:color w:val="231F20"/>
          <w:spacing w:val="10"/>
        </w:rPr>
        <w:t xml:space="preserve"> </w:t>
      </w:r>
      <w:r>
        <w:rPr>
          <w:color w:val="231F20"/>
        </w:rPr>
        <w:t>SÁ</w:t>
      </w:r>
      <w:r>
        <w:rPr>
          <w:color w:val="231F20"/>
          <w:spacing w:val="10"/>
        </w:rPr>
        <w:t xml:space="preserve"> </w:t>
      </w:r>
      <w:r>
        <w:rPr>
          <w:color w:val="231F20"/>
        </w:rPr>
        <w:t>et</w:t>
      </w:r>
      <w:r>
        <w:rPr>
          <w:color w:val="231F20"/>
          <w:spacing w:val="10"/>
        </w:rPr>
        <w:t xml:space="preserve"> </w:t>
      </w:r>
      <w:r>
        <w:rPr>
          <w:color w:val="231F20"/>
        </w:rPr>
        <w:t>al.,</w:t>
      </w:r>
      <w:r>
        <w:rPr>
          <w:color w:val="231F20"/>
          <w:spacing w:val="10"/>
        </w:rPr>
        <w:t xml:space="preserve"> </w:t>
      </w:r>
      <w:r>
        <w:rPr>
          <w:color w:val="231F20"/>
        </w:rPr>
        <w:t>2013;</w:t>
      </w:r>
      <w:r>
        <w:rPr>
          <w:color w:val="231F20"/>
          <w:spacing w:val="10"/>
        </w:rPr>
        <w:t xml:space="preserve"> </w:t>
      </w:r>
      <w:r>
        <w:rPr>
          <w:color w:val="231F20"/>
        </w:rPr>
        <w:t>FERREIRA</w:t>
      </w:r>
      <w:r>
        <w:rPr>
          <w:color w:val="231F20"/>
          <w:spacing w:val="10"/>
        </w:rPr>
        <w:t xml:space="preserve"> </w:t>
      </w:r>
      <w:r>
        <w:rPr>
          <w:color w:val="231F20"/>
        </w:rPr>
        <w:t>et</w:t>
      </w:r>
      <w:r>
        <w:rPr>
          <w:color w:val="231F20"/>
          <w:spacing w:val="10"/>
        </w:rPr>
        <w:t xml:space="preserve"> </w:t>
      </w:r>
      <w:r>
        <w:rPr>
          <w:color w:val="231F20"/>
        </w:rPr>
        <w:t>al.,</w:t>
      </w:r>
    </w:p>
    <w:p w:rsidR="00D81F69" w:rsidRDefault="00330118">
      <w:pPr>
        <w:pStyle w:val="Corpodetexto"/>
        <w:spacing w:before="13"/>
        <w:ind w:left="101"/>
      </w:pPr>
      <w:r>
        <w:rPr>
          <w:color w:val="231F20"/>
        </w:rPr>
        <w:t>2013; MARQUES, PINHO, 2013).</w:t>
      </w:r>
    </w:p>
    <w:p w:rsidR="00D81F69" w:rsidRDefault="00D81F69">
      <w:pPr>
        <w:pStyle w:val="Corpodetexto"/>
        <w:spacing w:before="9"/>
        <w:ind w:left="0"/>
        <w:jc w:val="left"/>
        <w:rPr>
          <w:sz w:val="16"/>
        </w:rPr>
      </w:pPr>
    </w:p>
    <w:p w:rsidR="00D81F69" w:rsidRDefault="00330118">
      <w:pPr>
        <w:pStyle w:val="Corpodetexto"/>
        <w:spacing w:line="312" w:lineRule="auto"/>
        <w:ind w:left="101" w:right="54"/>
      </w:pPr>
      <w:r>
        <w:rPr>
          <w:color w:val="231F20"/>
        </w:rPr>
        <w:t xml:space="preserve">O estudo indicou ainda que, em águas superficiais e solos, os teores de arsênio encontrados, embora tenham se mostrado </w:t>
      </w:r>
      <w:r>
        <w:rPr>
          <w:color w:val="231F20"/>
          <w:spacing w:val="2"/>
        </w:rPr>
        <w:t xml:space="preserve">não </w:t>
      </w:r>
      <w:r>
        <w:rPr>
          <w:color w:val="231F20"/>
          <w:spacing w:val="3"/>
        </w:rPr>
        <w:t xml:space="preserve">adequados </w:t>
      </w:r>
      <w:r>
        <w:rPr>
          <w:color w:val="231F20"/>
          <w:spacing w:val="2"/>
        </w:rPr>
        <w:t xml:space="preserve">para </w:t>
      </w:r>
      <w:r>
        <w:rPr>
          <w:color w:val="231F20"/>
          <w:spacing w:val="3"/>
        </w:rPr>
        <w:t xml:space="preserve">consumo humano, estão abaixo </w:t>
      </w:r>
      <w:r>
        <w:rPr>
          <w:color w:val="231F20"/>
          <w:spacing w:val="5"/>
        </w:rPr>
        <w:t xml:space="preserve">dos </w:t>
      </w:r>
      <w:r>
        <w:rPr>
          <w:color w:val="231F20"/>
          <w:spacing w:val="1"/>
        </w:rPr>
        <w:t xml:space="preserve">teores máximos estipulados pela legislação brasileira </w:t>
      </w:r>
      <w:r>
        <w:rPr>
          <w:color w:val="231F20"/>
          <w:spacing w:val="2"/>
        </w:rPr>
        <w:t xml:space="preserve">para </w:t>
      </w:r>
      <w:r>
        <w:rPr>
          <w:color w:val="231F20"/>
          <w:spacing w:val="3"/>
        </w:rPr>
        <w:t xml:space="preserve">uso </w:t>
      </w:r>
      <w:r>
        <w:rPr>
          <w:color w:val="231F20"/>
          <w:spacing w:val="2"/>
        </w:rPr>
        <w:t xml:space="preserve">em </w:t>
      </w:r>
      <w:r>
        <w:rPr>
          <w:color w:val="231F20"/>
          <w:spacing w:val="5"/>
        </w:rPr>
        <w:t>dessedentação anima</w:t>
      </w:r>
      <w:r>
        <w:rPr>
          <w:color w:val="231F20"/>
          <w:spacing w:val="5"/>
        </w:rPr>
        <w:t xml:space="preserve">l </w:t>
      </w:r>
      <w:r>
        <w:rPr>
          <w:color w:val="231F20"/>
        </w:rPr>
        <w:t xml:space="preserve">e </w:t>
      </w:r>
      <w:r>
        <w:rPr>
          <w:color w:val="231F20"/>
          <w:spacing w:val="5"/>
        </w:rPr>
        <w:t>irrigação (CASTILHOS,</w:t>
      </w:r>
      <w:r>
        <w:rPr>
          <w:color w:val="231F20"/>
          <w:spacing w:val="61"/>
        </w:rPr>
        <w:t xml:space="preserve"> </w:t>
      </w:r>
      <w:r>
        <w:rPr>
          <w:color w:val="231F20"/>
        </w:rPr>
        <w:t>2014; SANTOS et al., 2013; MATOS et,al., 2013; SÁ et al.,</w:t>
      </w:r>
    </w:p>
    <w:p w:rsidR="00D81F69" w:rsidRDefault="00330118">
      <w:pPr>
        <w:pStyle w:val="Corpodetexto"/>
        <w:spacing w:before="5"/>
        <w:ind w:left="101"/>
      </w:pPr>
      <w:r>
        <w:rPr>
          <w:color w:val="231F20"/>
        </w:rPr>
        <w:t>2013; FERREIRA et al., 2013; MARQUES, PINHO, 2013).</w:t>
      </w:r>
    </w:p>
    <w:p w:rsidR="00D81F69" w:rsidRDefault="00D81F69">
      <w:pPr>
        <w:pStyle w:val="Corpodetexto"/>
        <w:spacing w:before="9"/>
        <w:ind w:left="0"/>
        <w:jc w:val="left"/>
        <w:rPr>
          <w:sz w:val="16"/>
        </w:rPr>
      </w:pPr>
    </w:p>
    <w:p w:rsidR="00D81F69" w:rsidRDefault="00330118">
      <w:pPr>
        <w:pStyle w:val="Corpodetexto"/>
        <w:spacing w:line="312" w:lineRule="auto"/>
        <w:ind w:left="101" w:right="68"/>
      </w:pPr>
      <w:r>
        <w:rPr>
          <w:color w:val="231F20"/>
        </w:rPr>
        <w:t>O relatório do estudo também faz diferentes recomendações ao poder público de Paracatu, como: monitoramento ambiental s</w:t>
      </w:r>
      <w:r>
        <w:rPr>
          <w:color w:val="231F20"/>
        </w:rPr>
        <w:t>istemático e abrangente; estudo focalizado para obtenção de informações em relação aos empregados da mineradora de ouro, porque é o grupo mais vulnerável à exposição ao arsênio e, embora convidados, não participaram da pesquisa; realização de novos estudos</w:t>
      </w:r>
      <w:r>
        <w:rPr>
          <w:color w:val="231F20"/>
        </w:rPr>
        <w:t xml:space="preserve"> sobre a exposição ao arsênio nas crianças moradoras em áreas próximas à mineração, devido ao hábito mão-boca, muito frequente na idade pré-escolar; avaliação aprofundada do comportamento do arsênio e de outros contaminantes nos solos agrícolas pelo uso da</w:t>
      </w:r>
      <w:r>
        <w:rPr>
          <w:color w:val="231F20"/>
        </w:rPr>
        <w:t>s águas de irrigação (CASTILHOS, 2014).</w:t>
      </w:r>
    </w:p>
    <w:p w:rsidR="00D81F69" w:rsidRDefault="00330118">
      <w:pPr>
        <w:pStyle w:val="Corpodetexto"/>
        <w:spacing w:before="141" w:line="312" w:lineRule="auto"/>
        <w:ind w:left="101" w:right="59"/>
      </w:pPr>
      <w:r>
        <w:rPr>
          <w:color w:val="231F20"/>
        </w:rPr>
        <w:t>Finalmente, os pesquisadores manifestaram preocupação com o desenvolvimento sustentável do município, propondo que sejam realizadas ações, de curto, médio e longo prazos, que possam preparar a cidade para o fechament</w:t>
      </w:r>
      <w:r>
        <w:rPr>
          <w:color w:val="231F20"/>
        </w:rPr>
        <w:t>o da mina de ouro, o que deve ocorrer em 2032 (CASTILHOS, 2014).</w:t>
      </w:r>
    </w:p>
    <w:p w:rsidR="00D81F69" w:rsidRDefault="00D81F69">
      <w:pPr>
        <w:pStyle w:val="Corpodetexto"/>
        <w:spacing w:before="4"/>
        <w:ind w:left="0"/>
        <w:jc w:val="left"/>
        <w:rPr>
          <w:sz w:val="21"/>
        </w:rPr>
      </w:pPr>
    </w:p>
    <w:p w:rsidR="00D81F69" w:rsidRDefault="00330118">
      <w:pPr>
        <w:pStyle w:val="Heading7"/>
        <w:ind w:left="101"/>
      </w:pPr>
      <w:r>
        <w:rPr>
          <w:color w:val="010202"/>
        </w:rPr>
        <w:t>LOCALIZAÇÃO GEOGRÁFICA</w:t>
      </w:r>
    </w:p>
    <w:p w:rsidR="00D81F69" w:rsidRDefault="00330118">
      <w:pPr>
        <w:pStyle w:val="Corpodetexto"/>
        <w:spacing w:before="179" w:line="312" w:lineRule="auto"/>
        <w:ind w:left="101" w:right="48"/>
      </w:pPr>
      <w:r>
        <w:rPr>
          <w:color w:val="231F20"/>
        </w:rPr>
        <w:t>O município de Paracatu possui uma mina de ouro, denominada Morro do Ouro, que se localiza na latitude 17°11’9”S e longitude 46°52’41”W, próxima à nascente do rio Córrego Rico. A mina está na sub-bacia do rio Paracatu que pertence à bacia do rio São Franci</w:t>
      </w:r>
      <w:r>
        <w:rPr>
          <w:color w:val="231F20"/>
        </w:rPr>
        <w:t>sco.</w:t>
      </w:r>
    </w:p>
    <w:p w:rsidR="00D81F69" w:rsidRDefault="00330118">
      <w:pPr>
        <w:pStyle w:val="Corpodetexto"/>
        <w:ind w:left="0"/>
        <w:jc w:val="left"/>
        <w:rPr>
          <w:sz w:val="22"/>
        </w:rPr>
      </w:pPr>
      <w:r>
        <w:br w:type="column"/>
      </w:r>
    </w:p>
    <w:p w:rsidR="00D81F69" w:rsidRDefault="00330118">
      <w:pPr>
        <w:pStyle w:val="Heading7"/>
        <w:spacing w:before="139"/>
        <w:ind w:left="101"/>
      </w:pPr>
      <w:r>
        <w:rPr>
          <w:color w:val="010202"/>
        </w:rPr>
        <w:t>REDATORES</w:t>
      </w:r>
    </w:p>
    <w:p w:rsidR="00D81F69" w:rsidRDefault="00330118">
      <w:pPr>
        <w:pStyle w:val="Corpodetexto"/>
        <w:spacing w:before="179"/>
        <w:ind w:left="101"/>
      </w:pPr>
      <w:r>
        <w:rPr>
          <w:color w:val="231F20"/>
        </w:rPr>
        <w:t>Pedro Schprejer; Eliane Araujo</w:t>
      </w:r>
    </w:p>
    <w:p w:rsidR="00D81F69" w:rsidRDefault="00D81F69">
      <w:pPr>
        <w:pStyle w:val="Corpodetexto"/>
        <w:ind w:left="0"/>
        <w:jc w:val="left"/>
        <w:rPr>
          <w:sz w:val="20"/>
        </w:rPr>
      </w:pPr>
    </w:p>
    <w:p w:rsidR="00D81F69" w:rsidRDefault="00330118">
      <w:pPr>
        <w:pStyle w:val="Heading7"/>
        <w:spacing w:before="164"/>
        <w:ind w:left="101"/>
      </w:pPr>
      <w:r>
        <w:rPr>
          <w:color w:val="010202"/>
        </w:rPr>
        <w:t>REFERÊNCIAS BIBLIOGRÁFICAS</w:t>
      </w:r>
    </w:p>
    <w:p w:rsidR="00D81F69" w:rsidRDefault="00330118">
      <w:pPr>
        <w:spacing w:before="187" w:line="312" w:lineRule="auto"/>
        <w:ind w:left="101" w:right="216"/>
        <w:jc w:val="both"/>
        <w:rPr>
          <w:sz w:val="16"/>
        </w:rPr>
      </w:pPr>
      <w:r>
        <w:rPr>
          <w:color w:val="231F20"/>
          <w:sz w:val="16"/>
        </w:rPr>
        <w:t xml:space="preserve">CANÇADO, Patricia. A corrida do ouro na última grande mina descoberta no Brasil. O Estado de S. Paulo, 10 jan. 2011. Disponível em: </w:t>
      </w:r>
      <w:hyperlink r:id="rId1244">
        <w:r>
          <w:rPr>
            <w:color w:val="231F20"/>
            <w:sz w:val="16"/>
          </w:rPr>
          <w:t>&lt;http://www.estadao.com.br/noticias/impresso,a-corrida-do-ouro-</w:t>
        </w:r>
      </w:hyperlink>
      <w:r>
        <w:rPr>
          <w:color w:val="231F20"/>
          <w:sz w:val="16"/>
        </w:rPr>
        <w:t xml:space="preserve"> na-ultima-grande-mina-descoberta-no-brasil,664127,0.htm&gt;. Acesso em 05 maio 2014.</w:t>
      </w:r>
    </w:p>
    <w:p w:rsidR="00D81F69" w:rsidRDefault="00330118">
      <w:pPr>
        <w:spacing w:before="4" w:line="312" w:lineRule="auto"/>
        <w:ind w:left="101" w:right="205"/>
        <w:jc w:val="both"/>
        <w:rPr>
          <w:sz w:val="16"/>
        </w:rPr>
      </w:pPr>
      <w:r>
        <w:rPr>
          <w:color w:val="231F20"/>
          <w:sz w:val="16"/>
        </w:rPr>
        <w:t>CASTILHOS, Zuleica C. Finalizada a avaliação da contaminação ambiental ao ar</w:t>
      </w:r>
      <w:r>
        <w:rPr>
          <w:color w:val="231F20"/>
          <w:sz w:val="16"/>
        </w:rPr>
        <w:t>senio e de exposição de população de Paracatu-MG. Resumo das conclusões do estudo “Avaliação da contaminação ambiental por arsênio e estudo epidemiológico da exposição ambiental da população humana de Paracatu – MG”. Rio de Janeiro, CETEM, abril 2014.</w:t>
      </w:r>
    </w:p>
    <w:p w:rsidR="00D81F69" w:rsidRDefault="00330118">
      <w:pPr>
        <w:tabs>
          <w:tab w:val="left" w:pos="4330"/>
        </w:tabs>
        <w:spacing w:before="5" w:line="312" w:lineRule="auto"/>
        <w:ind w:left="101" w:right="201"/>
        <w:jc w:val="both"/>
        <w:rPr>
          <w:sz w:val="16"/>
        </w:rPr>
      </w:pPr>
      <w:r>
        <w:rPr>
          <w:color w:val="231F20"/>
          <w:spacing w:val="16"/>
          <w:sz w:val="16"/>
        </w:rPr>
        <w:t xml:space="preserve">CEDEFES. </w:t>
      </w:r>
      <w:r>
        <w:rPr>
          <w:color w:val="231F20"/>
          <w:spacing w:val="15"/>
          <w:sz w:val="16"/>
        </w:rPr>
        <w:t>MPF/MG</w:t>
      </w:r>
      <w:r>
        <w:rPr>
          <w:color w:val="231F20"/>
          <w:spacing w:val="75"/>
          <w:sz w:val="16"/>
        </w:rPr>
        <w:t xml:space="preserve"> </w:t>
      </w:r>
      <w:r>
        <w:rPr>
          <w:color w:val="231F20"/>
          <w:spacing w:val="16"/>
          <w:sz w:val="16"/>
        </w:rPr>
        <w:t xml:space="preserve">recorre </w:t>
      </w:r>
      <w:r>
        <w:rPr>
          <w:color w:val="231F20"/>
          <w:spacing w:val="10"/>
          <w:sz w:val="16"/>
        </w:rPr>
        <w:t xml:space="preserve">de </w:t>
      </w:r>
      <w:r>
        <w:rPr>
          <w:color w:val="231F20"/>
          <w:spacing w:val="16"/>
          <w:sz w:val="16"/>
        </w:rPr>
        <w:t xml:space="preserve">sentença </w:t>
      </w:r>
      <w:r>
        <w:rPr>
          <w:color w:val="231F20"/>
          <w:spacing w:val="12"/>
          <w:sz w:val="16"/>
        </w:rPr>
        <w:t xml:space="preserve">que </w:t>
      </w:r>
      <w:r>
        <w:rPr>
          <w:color w:val="231F20"/>
          <w:spacing w:val="15"/>
          <w:sz w:val="16"/>
        </w:rPr>
        <w:t xml:space="preserve">negou </w:t>
      </w:r>
      <w:r>
        <w:rPr>
          <w:color w:val="231F20"/>
          <w:spacing w:val="3"/>
          <w:sz w:val="16"/>
        </w:rPr>
        <w:t xml:space="preserve">autorreconhecimento </w:t>
      </w:r>
      <w:r>
        <w:rPr>
          <w:color w:val="231F20"/>
          <w:sz w:val="16"/>
        </w:rPr>
        <w:t xml:space="preserve">a </w:t>
      </w:r>
      <w:r>
        <w:rPr>
          <w:color w:val="231F20"/>
          <w:spacing w:val="3"/>
          <w:sz w:val="16"/>
        </w:rPr>
        <w:t xml:space="preserve">comunidades quilombolas. </w:t>
      </w:r>
      <w:r>
        <w:rPr>
          <w:color w:val="231F20"/>
          <w:spacing w:val="1"/>
          <w:sz w:val="16"/>
        </w:rPr>
        <w:t xml:space="preserve">31 </w:t>
      </w:r>
      <w:r>
        <w:rPr>
          <w:color w:val="231F20"/>
          <w:spacing w:val="2"/>
          <w:sz w:val="16"/>
        </w:rPr>
        <w:t xml:space="preserve">mar.  </w:t>
      </w:r>
      <w:r>
        <w:rPr>
          <w:color w:val="231F20"/>
          <w:spacing w:val="5"/>
          <w:sz w:val="16"/>
        </w:rPr>
        <w:t xml:space="preserve">2014. </w:t>
      </w:r>
      <w:r>
        <w:rPr>
          <w:color w:val="231F20"/>
          <w:sz w:val="16"/>
        </w:rPr>
        <w:t xml:space="preserve">D      i      s      p      o      n      í      v  </w:t>
      </w:r>
      <w:r>
        <w:rPr>
          <w:color w:val="231F20"/>
          <w:spacing w:val="28"/>
          <w:sz w:val="16"/>
        </w:rPr>
        <w:t xml:space="preserve"> </w:t>
      </w:r>
      <w:r>
        <w:rPr>
          <w:color w:val="231F20"/>
          <w:sz w:val="16"/>
        </w:rPr>
        <w:t xml:space="preserve">e    </w:t>
      </w:r>
      <w:r>
        <w:rPr>
          <w:color w:val="231F20"/>
          <w:spacing w:val="30"/>
          <w:sz w:val="16"/>
        </w:rPr>
        <w:t xml:space="preserve"> </w:t>
      </w:r>
      <w:r>
        <w:rPr>
          <w:color w:val="231F20"/>
          <w:sz w:val="16"/>
        </w:rPr>
        <w:t>l</w:t>
      </w:r>
      <w:r>
        <w:rPr>
          <w:color w:val="231F20"/>
          <w:sz w:val="16"/>
        </w:rPr>
        <w:tab/>
        <w:t>e m</w:t>
      </w:r>
      <w:r>
        <w:rPr>
          <w:color w:val="231F20"/>
          <w:spacing w:val="17"/>
          <w:sz w:val="16"/>
        </w:rPr>
        <w:t xml:space="preserve"> </w:t>
      </w:r>
      <w:r>
        <w:rPr>
          <w:color w:val="231F20"/>
          <w:sz w:val="16"/>
        </w:rPr>
        <w:t>:</w:t>
      </w:r>
    </w:p>
    <w:p w:rsidR="00D81F69" w:rsidRDefault="00D81F69">
      <w:pPr>
        <w:spacing w:before="2" w:line="312" w:lineRule="auto"/>
        <w:ind w:left="101" w:right="222"/>
        <w:jc w:val="both"/>
        <w:rPr>
          <w:sz w:val="16"/>
        </w:rPr>
      </w:pPr>
      <w:hyperlink r:id="rId1245">
        <w:r w:rsidR="00330118">
          <w:rPr>
            <w:color w:val="231F20"/>
            <w:sz w:val="16"/>
          </w:rPr>
          <w:t>&lt;htt</w:t>
        </w:r>
        <w:r w:rsidR="00330118">
          <w:rPr>
            <w:color w:val="231F20"/>
            <w:sz w:val="16"/>
          </w:rPr>
          <w:t xml:space="preserve">p://www.cedefes.org.br/?p=afro_detalhe&amp;id_afro=11719&gt;. </w:t>
        </w:r>
      </w:hyperlink>
      <w:r w:rsidR="00330118">
        <w:rPr>
          <w:color w:val="231F20"/>
          <w:sz w:val="16"/>
        </w:rPr>
        <w:t>Acesso em 05 maio 2014.</w:t>
      </w:r>
    </w:p>
    <w:p w:rsidR="00D81F69" w:rsidRDefault="00330118">
      <w:pPr>
        <w:spacing w:before="2" w:line="312" w:lineRule="auto"/>
        <w:ind w:left="101" w:right="201"/>
        <w:jc w:val="both"/>
        <w:rPr>
          <w:sz w:val="16"/>
        </w:rPr>
      </w:pPr>
      <w:r>
        <w:rPr>
          <w:color w:val="231F20"/>
          <w:sz w:val="16"/>
        </w:rPr>
        <w:t>ENRÍQUEZ M. A. R. S. Maldição ou dádiva? Os dilemas do desenvolvimento sustentável a partir de uma base mineira. Tese (Doutorado em Desenvolvimento Sustentável), Centro de Desen</w:t>
      </w:r>
      <w:r>
        <w:rPr>
          <w:color w:val="231F20"/>
          <w:sz w:val="16"/>
        </w:rPr>
        <w:t>volvimento Sustentável da Universidade de Brasília, 2007. Disponível em:</w:t>
      </w:r>
    </w:p>
    <w:p w:rsidR="00D81F69" w:rsidRDefault="00D81F69">
      <w:pPr>
        <w:spacing w:before="4" w:line="312" w:lineRule="auto"/>
        <w:ind w:left="101" w:right="205"/>
        <w:jc w:val="both"/>
        <w:rPr>
          <w:sz w:val="16"/>
        </w:rPr>
      </w:pPr>
      <w:hyperlink r:id="rId1246">
        <w:r w:rsidR="00330118">
          <w:rPr>
            <w:color w:val="231F20"/>
            <w:sz w:val="16"/>
          </w:rPr>
          <w:t>&lt;http://bdtd.bce.unb.br/tedesimplificado/tde_arquivos/4/TDE-2008-01-</w:t>
        </w:r>
      </w:hyperlink>
      <w:r w:rsidR="00330118">
        <w:rPr>
          <w:color w:val="231F20"/>
          <w:sz w:val="16"/>
        </w:rPr>
        <w:t xml:space="preserve"> 14T141228Z-2169/Publico/Tese_Maria%20Amelia%20Enriquez.pdf&gt;. Acesso em: 13 mar. 2010.</w:t>
      </w:r>
    </w:p>
    <w:p w:rsidR="00D81F69" w:rsidRDefault="00330118">
      <w:pPr>
        <w:spacing w:before="2"/>
        <w:ind w:left="101"/>
        <w:jc w:val="both"/>
        <w:rPr>
          <w:sz w:val="16"/>
        </w:rPr>
      </w:pPr>
      <w:r>
        <w:rPr>
          <w:color w:val="231F20"/>
          <w:sz w:val="16"/>
        </w:rPr>
        <w:t>FERREIRA, Marcos M.; SÁ, Alana R. C.; PATCHINEELAM,</w:t>
      </w:r>
    </w:p>
    <w:p w:rsidR="00D81F69" w:rsidRDefault="00330118">
      <w:pPr>
        <w:spacing w:before="56" w:line="312" w:lineRule="auto"/>
        <w:ind w:left="101" w:right="198"/>
        <w:jc w:val="both"/>
        <w:rPr>
          <w:sz w:val="16"/>
        </w:rPr>
      </w:pPr>
      <w:r>
        <w:rPr>
          <w:color w:val="231F20"/>
          <w:sz w:val="16"/>
        </w:rPr>
        <w:t xml:space="preserve">Sambasiva R.; CASTILHOS, Zuleica C.; CALMANO, Wolfgang. Teores de Arsênio em sedimentos superficias do córrego Rico, </w:t>
      </w:r>
      <w:r>
        <w:rPr>
          <w:color w:val="231F20"/>
          <w:sz w:val="16"/>
        </w:rPr>
        <w:t>Paracatu-MG. XIV Congresso Brasileiro de Geoquimica. Simpósio Latino-Americano de Mapeamento Geoquímico. Casa da Glória, Diamantina – MG, 13- 18 out. 2013.</w:t>
      </w:r>
    </w:p>
    <w:p w:rsidR="00D81F69" w:rsidRDefault="00330118">
      <w:pPr>
        <w:spacing w:before="4" w:line="312" w:lineRule="auto"/>
        <w:ind w:left="101" w:right="202"/>
        <w:jc w:val="both"/>
        <w:rPr>
          <w:sz w:val="16"/>
        </w:rPr>
      </w:pPr>
      <w:r>
        <w:rPr>
          <w:color w:val="231F20"/>
          <w:sz w:val="16"/>
        </w:rPr>
        <w:t xml:space="preserve">FREIRE, J. R. M. Polêmica obra de expansão. Correio Braziliense, Brasília, 20 set. 2010. Disponível </w:t>
      </w:r>
      <w:r>
        <w:rPr>
          <w:color w:val="231F20"/>
          <w:sz w:val="16"/>
        </w:rPr>
        <w:t>em:</w:t>
      </w:r>
    </w:p>
    <w:p w:rsidR="00D81F69" w:rsidRDefault="00D81F69">
      <w:pPr>
        <w:spacing w:before="1" w:line="312" w:lineRule="auto"/>
        <w:ind w:left="101" w:right="222"/>
        <w:jc w:val="both"/>
        <w:rPr>
          <w:sz w:val="16"/>
        </w:rPr>
      </w:pPr>
      <w:hyperlink r:id="rId1247">
        <w:r w:rsidR="00330118">
          <w:rPr>
            <w:color w:val="231F20"/>
            <w:sz w:val="16"/>
          </w:rPr>
          <w:t>&lt;http://www.correiobraziliense.com.br/app/noticia182/2010/05/31/eco</w:t>
        </w:r>
      </w:hyperlink>
      <w:r w:rsidR="00330118">
        <w:rPr>
          <w:color w:val="231F20"/>
          <w:sz w:val="16"/>
        </w:rPr>
        <w:t xml:space="preserve"> nomia,i=195281/POLEMICA+OBRA+DE+EXPANSAO.shtml&gt;. Acesso em: set. 2010.</w:t>
      </w:r>
    </w:p>
    <w:p w:rsidR="00D81F69" w:rsidRDefault="00330118">
      <w:pPr>
        <w:spacing w:before="3" w:line="312" w:lineRule="auto"/>
        <w:ind w:left="101" w:right="199"/>
        <w:jc w:val="both"/>
        <w:rPr>
          <w:sz w:val="16"/>
        </w:rPr>
      </w:pPr>
      <w:r>
        <w:rPr>
          <w:color w:val="231F20"/>
          <w:sz w:val="16"/>
        </w:rPr>
        <w:t>FURTADO, Bernardino. Extração</w:t>
      </w:r>
      <w:r>
        <w:rPr>
          <w:color w:val="231F20"/>
          <w:sz w:val="16"/>
        </w:rPr>
        <w:t xml:space="preserve"> de ouro ameaça Paracatu. O Estado de Minas, Belo Horizonte, 14 jul. 2008. Disponível em:</w:t>
      </w:r>
    </w:p>
    <w:p w:rsidR="00D81F69" w:rsidRDefault="00D81F69">
      <w:pPr>
        <w:spacing w:before="1" w:line="312" w:lineRule="auto"/>
        <w:ind w:left="101" w:right="222"/>
        <w:jc w:val="both"/>
        <w:rPr>
          <w:sz w:val="16"/>
        </w:rPr>
      </w:pPr>
      <w:hyperlink r:id="rId1248">
        <w:r w:rsidR="00330118">
          <w:rPr>
            <w:color w:val="231F20"/>
            <w:sz w:val="16"/>
          </w:rPr>
          <w:t>&lt;http://www.justicaambiental.org.br/noar/anexos/acervo/17_080714_e</w:t>
        </w:r>
      </w:hyperlink>
      <w:r w:rsidR="00330118">
        <w:rPr>
          <w:color w:val="231F20"/>
          <w:sz w:val="16"/>
        </w:rPr>
        <w:t xml:space="preserve"> xtracao_ouro_ameaca_paracatu.pdf&gt;. Acesso em: 12 abr. 2010.</w:t>
      </w:r>
    </w:p>
    <w:p w:rsidR="00D81F69" w:rsidRDefault="00330118">
      <w:pPr>
        <w:spacing w:before="2"/>
        <w:ind w:left="101"/>
        <w:jc w:val="both"/>
        <w:rPr>
          <w:sz w:val="16"/>
        </w:rPr>
      </w:pPr>
      <w:r>
        <w:rPr>
          <w:color w:val="231F20"/>
          <w:spacing w:val="10"/>
          <w:sz w:val="16"/>
        </w:rPr>
        <w:t xml:space="preserve">GOVERNO </w:t>
      </w:r>
      <w:r>
        <w:rPr>
          <w:color w:val="231F20"/>
          <w:spacing w:val="5"/>
          <w:sz w:val="16"/>
        </w:rPr>
        <w:t xml:space="preserve">DO </w:t>
      </w:r>
      <w:r>
        <w:rPr>
          <w:color w:val="231F20"/>
          <w:spacing w:val="10"/>
          <w:sz w:val="16"/>
        </w:rPr>
        <w:t xml:space="preserve">ESTADO </w:t>
      </w:r>
      <w:r>
        <w:rPr>
          <w:color w:val="231F20"/>
          <w:spacing w:val="5"/>
          <w:sz w:val="16"/>
        </w:rPr>
        <w:t xml:space="preserve">DE </w:t>
      </w:r>
      <w:r>
        <w:rPr>
          <w:color w:val="231F20"/>
          <w:spacing w:val="10"/>
          <w:sz w:val="16"/>
        </w:rPr>
        <w:t xml:space="preserve">MINAS GERAIS. Projeto </w:t>
      </w:r>
      <w:r>
        <w:rPr>
          <w:color w:val="231F20"/>
          <w:spacing w:val="5"/>
          <w:sz w:val="16"/>
        </w:rPr>
        <w:t>de</w:t>
      </w:r>
      <w:r>
        <w:rPr>
          <w:color w:val="231F20"/>
          <w:spacing w:val="-30"/>
          <w:sz w:val="16"/>
        </w:rPr>
        <w:t xml:space="preserve"> </w:t>
      </w:r>
    </w:p>
    <w:p w:rsidR="00D81F69" w:rsidRDefault="00330118">
      <w:pPr>
        <w:spacing w:before="56" w:line="312" w:lineRule="auto"/>
        <w:ind w:left="101" w:right="206"/>
        <w:jc w:val="both"/>
        <w:rPr>
          <w:sz w:val="16"/>
        </w:rPr>
      </w:pPr>
      <w:r>
        <w:rPr>
          <w:color w:val="231F20"/>
          <w:sz w:val="16"/>
        </w:rPr>
        <w:t>Licenciamento Ambiental n. 0099/1985/046/2007. Unaí, Minas Gerais, jul. 2007. Disponível em:</w:t>
      </w:r>
    </w:p>
    <w:p w:rsidR="00D81F69" w:rsidRDefault="00D81F69">
      <w:pPr>
        <w:spacing w:before="1" w:line="312" w:lineRule="auto"/>
        <w:ind w:left="101" w:right="155"/>
        <w:jc w:val="both"/>
        <w:rPr>
          <w:sz w:val="16"/>
        </w:rPr>
      </w:pPr>
      <w:hyperlink r:id="rId1249">
        <w:r w:rsidR="00330118">
          <w:rPr>
            <w:color w:val="231F20"/>
            <w:sz w:val="16"/>
          </w:rPr>
          <w:t>&lt;http://docs.google.com/viewer?a=v&amp;q=cache:5rqMIa1rc0EJ:200.198.</w:t>
        </w:r>
      </w:hyperlink>
      <w:r w:rsidR="00330118">
        <w:rPr>
          <w:color w:val="231F20"/>
          <w:sz w:val="16"/>
        </w:rPr>
        <w:t xml:space="preserve"> 22.171/down.asp%3Fx_caminho%3Dreunioes/sistema/arquivos/mater </w:t>
      </w:r>
      <w:r w:rsidR="00330118">
        <w:rPr>
          <w:color w:val="231F20"/>
          <w:spacing w:val="25"/>
          <w:sz w:val="16"/>
        </w:rPr>
        <w:t>i</w:t>
      </w:r>
      <w:r w:rsidR="00330118">
        <w:rPr>
          <w:color w:val="231F20"/>
          <w:sz w:val="16"/>
        </w:rPr>
        <w:t xml:space="preserve"> </w:t>
      </w:r>
      <w:r w:rsidR="00330118">
        <w:rPr>
          <w:color w:val="231F20"/>
          <w:spacing w:val="25"/>
          <w:sz w:val="16"/>
        </w:rPr>
        <w:t>a</w:t>
      </w:r>
      <w:r w:rsidR="00330118">
        <w:rPr>
          <w:color w:val="231F20"/>
          <w:sz w:val="16"/>
        </w:rPr>
        <w:t xml:space="preserve"> </w:t>
      </w:r>
      <w:r w:rsidR="00330118">
        <w:rPr>
          <w:color w:val="231F20"/>
          <w:spacing w:val="25"/>
          <w:sz w:val="16"/>
        </w:rPr>
        <w:t>l</w:t>
      </w:r>
      <w:r w:rsidR="00330118">
        <w:rPr>
          <w:color w:val="231F20"/>
          <w:sz w:val="16"/>
        </w:rPr>
        <w:t xml:space="preserve"> </w:t>
      </w:r>
      <w:r w:rsidR="00330118">
        <w:rPr>
          <w:color w:val="231F20"/>
          <w:spacing w:val="25"/>
          <w:sz w:val="16"/>
        </w:rPr>
        <w:t>/</w:t>
      </w:r>
      <w:r w:rsidR="00330118">
        <w:rPr>
          <w:color w:val="231F20"/>
          <w:sz w:val="16"/>
        </w:rPr>
        <w:t xml:space="preserve"> </w:t>
      </w:r>
      <w:r w:rsidR="00330118">
        <w:rPr>
          <w:color w:val="231F20"/>
          <w:spacing w:val="25"/>
          <w:sz w:val="16"/>
        </w:rPr>
        <w:t>%</w:t>
      </w:r>
      <w:r w:rsidR="00330118">
        <w:rPr>
          <w:color w:val="231F20"/>
          <w:sz w:val="16"/>
        </w:rPr>
        <w:t xml:space="preserve"> </w:t>
      </w:r>
      <w:r w:rsidR="00330118">
        <w:rPr>
          <w:color w:val="231F20"/>
          <w:spacing w:val="25"/>
          <w:sz w:val="16"/>
        </w:rPr>
        <w:t>2</w:t>
      </w:r>
      <w:r w:rsidR="00330118">
        <w:rPr>
          <w:color w:val="231F20"/>
          <w:sz w:val="16"/>
        </w:rPr>
        <w:t xml:space="preserve"> </w:t>
      </w:r>
      <w:r w:rsidR="00330118">
        <w:rPr>
          <w:color w:val="231F20"/>
          <w:spacing w:val="25"/>
          <w:sz w:val="16"/>
        </w:rPr>
        <w:t>6</w:t>
      </w:r>
      <w:r w:rsidR="00330118">
        <w:rPr>
          <w:color w:val="231F20"/>
          <w:sz w:val="16"/>
        </w:rPr>
        <w:t xml:space="preserve"> </w:t>
      </w:r>
      <w:r w:rsidR="00330118">
        <w:rPr>
          <w:color w:val="231F20"/>
          <w:spacing w:val="25"/>
          <w:sz w:val="16"/>
        </w:rPr>
        <w:t>x</w:t>
      </w:r>
      <w:r w:rsidR="00330118">
        <w:rPr>
          <w:color w:val="231F20"/>
          <w:sz w:val="16"/>
        </w:rPr>
        <w:t xml:space="preserve"> </w:t>
      </w:r>
      <w:r w:rsidR="00330118">
        <w:rPr>
          <w:color w:val="231F20"/>
          <w:spacing w:val="25"/>
          <w:sz w:val="16"/>
        </w:rPr>
        <w:t>_</w:t>
      </w:r>
      <w:r w:rsidR="00330118">
        <w:rPr>
          <w:color w:val="231F20"/>
          <w:sz w:val="16"/>
        </w:rPr>
        <w:t xml:space="preserve"> </w:t>
      </w:r>
      <w:r w:rsidR="00330118">
        <w:rPr>
          <w:color w:val="231F20"/>
          <w:spacing w:val="25"/>
          <w:sz w:val="16"/>
        </w:rPr>
        <w:t>n</w:t>
      </w:r>
      <w:r w:rsidR="00330118">
        <w:rPr>
          <w:color w:val="231F20"/>
          <w:sz w:val="16"/>
        </w:rPr>
        <w:t xml:space="preserve"> </w:t>
      </w:r>
      <w:r w:rsidR="00330118">
        <w:rPr>
          <w:color w:val="231F20"/>
          <w:spacing w:val="25"/>
          <w:sz w:val="16"/>
        </w:rPr>
        <w:t>o</w:t>
      </w:r>
      <w:r w:rsidR="00330118">
        <w:rPr>
          <w:color w:val="231F20"/>
          <w:sz w:val="16"/>
        </w:rPr>
        <w:t xml:space="preserve"> </w:t>
      </w:r>
      <w:r w:rsidR="00330118">
        <w:rPr>
          <w:color w:val="231F20"/>
          <w:spacing w:val="25"/>
          <w:sz w:val="16"/>
        </w:rPr>
        <w:t>m</w:t>
      </w:r>
      <w:r w:rsidR="00330118">
        <w:rPr>
          <w:color w:val="231F20"/>
          <w:sz w:val="16"/>
        </w:rPr>
        <w:t xml:space="preserve"> </w:t>
      </w:r>
      <w:r w:rsidR="00330118">
        <w:rPr>
          <w:color w:val="231F20"/>
          <w:spacing w:val="25"/>
          <w:sz w:val="16"/>
        </w:rPr>
        <w:t>e</w:t>
      </w:r>
      <w:r w:rsidR="00330118">
        <w:rPr>
          <w:color w:val="231F20"/>
          <w:sz w:val="16"/>
        </w:rPr>
        <w:t xml:space="preserve"> </w:t>
      </w:r>
      <w:r w:rsidR="00330118">
        <w:rPr>
          <w:color w:val="231F20"/>
          <w:spacing w:val="25"/>
          <w:sz w:val="16"/>
        </w:rPr>
        <w:t>%</w:t>
      </w:r>
      <w:r w:rsidR="00330118">
        <w:rPr>
          <w:color w:val="231F20"/>
          <w:sz w:val="16"/>
        </w:rPr>
        <w:t xml:space="preserve"> </w:t>
      </w:r>
      <w:r w:rsidR="00330118">
        <w:rPr>
          <w:color w:val="231F20"/>
          <w:spacing w:val="25"/>
          <w:sz w:val="16"/>
        </w:rPr>
        <w:t>3</w:t>
      </w:r>
      <w:r w:rsidR="00330118">
        <w:rPr>
          <w:color w:val="231F20"/>
          <w:sz w:val="16"/>
        </w:rPr>
        <w:t xml:space="preserve"> </w:t>
      </w:r>
      <w:r w:rsidR="00330118">
        <w:rPr>
          <w:color w:val="231F20"/>
          <w:spacing w:val="25"/>
          <w:sz w:val="16"/>
        </w:rPr>
        <w:t>D</w:t>
      </w:r>
      <w:r w:rsidR="00330118">
        <w:rPr>
          <w:color w:val="231F20"/>
          <w:sz w:val="16"/>
        </w:rPr>
        <w:t xml:space="preserve"> </w:t>
      </w:r>
      <w:r w:rsidR="00330118">
        <w:rPr>
          <w:color w:val="231F20"/>
          <w:spacing w:val="25"/>
          <w:sz w:val="16"/>
        </w:rPr>
        <w:t>I</w:t>
      </w:r>
      <w:r w:rsidR="00330118">
        <w:rPr>
          <w:color w:val="231F20"/>
          <w:sz w:val="16"/>
        </w:rPr>
        <w:t xml:space="preserve"> </w:t>
      </w:r>
      <w:r w:rsidR="00330118">
        <w:rPr>
          <w:color w:val="231F20"/>
          <w:spacing w:val="25"/>
          <w:sz w:val="16"/>
        </w:rPr>
        <w:t>T</w:t>
      </w:r>
      <w:r w:rsidR="00330118">
        <w:rPr>
          <w:color w:val="231F20"/>
          <w:sz w:val="16"/>
        </w:rPr>
        <w:t xml:space="preserve"> </w:t>
      </w:r>
      <w:r w:rsidR="00330118">
        <w:rPr>
          <w:color w:val="231F20"/>
          <w:spacing w:val="25"/>
          <w:sz w:val="16"/>
        </w:rPr>
        <w:t>E</w:t>
      </w:r>
      <w:r w:rsidR="00330118">
        <w:rPr>
          <w:color w:val="231F20"/>
          <w:sz w:val="16"/>
        </w:rPr>
        <w:t xml:space="preserve"> </w:t>
      </w:r>
      <w:r w:rsidR="00330118">
        <w:rPr>
          <w:color w:val="231F20"/>
          <w:spacing w:val="25"/>
          <w:sz w:val="16"/>
        </w:rPr>
        <w:t>M</w:t>
      </w:r>
      <w:r w:rsidR="00330118">
        <w:rPr>
          <w:color w:val="231F20"/>
          <w:sz w:val="16"/>
        </w:rPr>
        <w:t xml:space="preserve"> </w:t>
      </w:r>
      <w:r w:rsidR="00330118">
        <w:rPr>
          <w:color w:val="231F20"/>
          <w:spacing w:val="25"/>
          <w:sz w:val="16"/>
        </w:rPr>
        <w:t>_</w:t>
      </w:r>
      <w:r w:rsidR="00330118">
        <w:rPr>
          <w:color w:val="231F20"/>
          <w:sz w:val="16"/>
        </w:rPr>
        <w:t xml:space="preserve"> </w:t>
      </w:r>
      <w:r w:rsidR="00330118">
        <w:rPr>
          <w:color w:val="231F20"/>
          <w:spacing w:val="25"/>
          <w:sz w:val="16"/>
        </w:rPr>
        <w:t>1</w:t>
      </w:r>
      <w:r w:rsidR="00330118">
        <w:rPr>
          <w:color w:val="231F20"/>
          <w:sz w:val="16"/>
        </w:rPr>
        <w:t xml:space="preserve"> </w:t>
      </w:r>
      <w:r w:rsidR="00330118">
        <w:rPr>
          <w:color w:val="231F20"/>
          <w:spacing w:val="25"/>
          <w:sz w:val="16"/>
        </w:rPr>
        <w:t>5</w:t>
      </w:r>
      <w:r w:rsidR="00330118">
        <w:rPr>
          <w:color w:val="231F20"/>
          <w:sz w:val="16"/>
        </w:rPr>
        <w:t xml:space="preserve"> </w:t>
      </w:r>
      <w:r w:rsidR="00330118">
        <w:rPr>
          <w:color w:val="231F20"/>
          <w:spacing w:val="25"/>
          <w:sz w:val="16"/>
        </w:rPr>
        <w:t>.</w:t>
      </w:r>
      <w:r w:rsidR="00330118">
        <w:rPr>
          <w:color w:val="231F20"/>
          <w:sz w:val="16"/>
        </w:rPr>
        <w:t xml:space="preserve"> </w:t>
      </w:r>
      <w:r w:rsidR="00330118">
        <w:rPr>
          <w:color w:val="231F20"/>
          <w:spacing w:val="25"/>
          <w:sz w:val="16"/>
        </w:rPr>
        <w:t>1</w:t>
      </w:r>
      <w:r w:rsidR="00330118">
        <w:rPr>
          <w:color w:val="231F20"/>
          <w:sz w:val="16"/>
        </w:rPr>
        <w:t xml:space="preserve"> </w:t>
      </w:r>
      <w:r w:rsidR="00330118">
        <w:rPr>
          <w:color w:val="231F20"/>
          <w:spacing w:val="25"/>
          <w:sz w:val="16"/>
        </w:rPr>
        <w:t>_</w:t>
      </w:r>
      <w:r w:rsidR="00330118">
        <w:rPr>
          <w:color w:val="231F20"/>
          <w:sz w:val="16"/>
        </w:rPr>
        <w:t xml:space="preserve"> </w:t>
      </w:r>
      <w:r w:rsidR="00330118">
        <w:rPr>
          <w:color w:val="231F20"/>
          <w:spacing w:val="25"/>
          <w:sz w:val="16"/>
        </w:rPr>
        <w:t>-</w:t>
      </w:r>
      <w:r w:rsidR="00330118">
        <w:rPr>
          <w:color w:val="231F20"/>
          <w:sz w:val="16"/>
        </w:rPr>
        <w:t xml:space="preserve"> </w:t>
      </w:r>
      <w:r w:rsidR="00330118">
        <w:rPr>
          <w:color w:val="231F20"/>
          <w:spacing w:val="25"/>
          <w:sz w:val="16"/>
        </w:rPr>
        <w:t>_</w:t>
      </w:r>
      <w:r w:rsidR="00330118">
        <w:rPr>
          <w:color w:val="231F20"/>
          <w:sz w:val="16"/>
        </w:rPr>
        <w:t xml:space="preserve"> </w:t>
      </w:r>
      <w:r w:rsidR="00330118">
        <w:rPr>
          <w:color w:val="231F20"/>
          <w:spacing w:val="25"/>
          <w:sz w:val="16"/>
        </w:rPr>
        <w:t>P</w:t>
      </w:r>
      <w:r w:rsidR="00330118">
        <w:rPr>
          <w:color w:val="231F20"/>
          <w:sz w:val="16"/>
        </w:rPr>
        <w:t xml:space="preserve"> </w:t>
      </w:r>
      <w:r w:rsidR="00330118">
        <w:rPr>
          <w:color w:val="231F20"/>
          <w:spacing w:val="25"/>
          <w:sz w:val="16"/>
        </w:rPr>
        <w:t>U</w:t>
      </w:r>
      <w:r w:rsidR="00330118">
        <w:rPr>
          <w:color w:val="231F20"/>
          <w:sz w:val="16"/>
        </w:rPr>
        <w:t xml:space="preserve"> </w:t>
      </w:r>
      <w:r w:rsidR="00330118">
        <w:rPr>
          <w:color w:val="231F20"/>
          <w:spacing w:val="25"/>
          <w:sz w:val="16"/>
        </w:rPr>
        <w:t>_</w:t>
      </w:r>
      <w:r w:rsidR="00330118">
        <w:rPr>
          <w:color w:val="231F20"/>
          <w:sz w:val="16"/>
        </w:rPr>
        <w:t xml:space="preserve"> - </w:t>
      </w:r>
      <w:r w:rsidR="00330118">
        <w:rPr>
          <w:color w:val="231F20"/>
          <w:spacing w:val="-19"/>
          <w:sz w:val="16"/>
        </w:rPr>
        <w:t xml:space="preserve"> </w:t>
      </w:r>
    </w:p>
    <w:p w:rsidR="00D81F69" w:rsidRDefault="00330118">
      <w:pPr>
        <w:spacing w:before="3" w:line="312" w:lineRule="auto"/>
        <w:ind w:left="101" w:right="174"/>
        <w:rPr>
          <w:sz w:val="16"/>
        </w:rPr>
      </w:pPr>
      <w:r>
        <w:rPr>
          <w:color w:val="231F20"/>
          <w:sz w:val="16"/>
        </w:rPr>
        <w:t xml:space="preserve">_Rio_Parac._Minera%25E7%25E3o_S.A.pdf+Projeto+de+Licenciame </w:t>
      </w:r>
      <w:r>
        <w:rPr>
          <w:color w:val="231F20"/>
          <w:spacing w:val="18"/>
          <w:sz w:val="16"/>
        </w:rPr>
        <w:t xml:space="preserve">nto+Ambiental+N%C2%BA+0099/1985/046/2007&amp;hl=pt- </w:t>
      </w:r>
      <w:r>
        <w:rPr>
          <w:color w:val="231F20"/>
          <w:sz w:val="16"/>
        </w:rPr>
        <w:t xml:space="preserve">BR&amp;gl=br&amp;pid=bl&amp;srcid=ADGEESggHZS6_ZhXdDz4jNbSrirbQFS9zI M   K   C   -   b   0   y   e   H   y   F   n   i   l   b   0   E   h   Z   7   i   -      </w:t>
      </w:r>
      <w:r>
        <w:rPr>
          <w:color w:val="231F20"/>
          <w:sz w:val="16"/>
        </w:rPr>
        <w:t xml:space="preserve"> </w:t>
      </w:r>
      <w:r>
        <w:rPr>
          <w:color w:val="231F20"/>
          <w:spacing w:val="5"/>
          <w:sz w:val="16"/>
        </w:rPr>
        <w:t>S</w:t>
      </w:r>
      <w:r>
        <w:rPr>
          <w:color w:val="231F20"/>
          <w:sz w:val="16"/>
        </w:rPr>
        <w:t xml:space="preserve"> </w:t>
      </w:r>
      <w:r>
        <w:rPr>
          <w:color w:val="231F20"/>
          <w:spacing w:val="5"/>
          <w:sz w:val="16"/>
        </w:rPr>
        <w:t>J</w:t>
      </w:r>
      <w:r>
        <w:rPr>
          <w:color w:val="231F20"/>
          <w:sz w:val="16"/>
        </w:rPr>
        <w:t xml:space="preserve"> </w:t>
      </w:r>
      <w:r>
        <w:rPr>
          <w:color w:val="231F20"/>
          <w:spacing w:val="5"/>
          <w:sz w:val="16"/>
        </w:rPr>
        <w:t>y</w:t>
      </w:r>
      <w:r>
        <w:rPr>
          <w:color w:val="231F20"/>
          <w:sz w:val="16"/>
        </w:rPr>
        <w:t xml:space="preserve"> </w:t>
      </w:r>
      <w:r>
        <w:rPr>
          <w:color w:val="231F20"/>
          <w:spacing w:val="5"/>
          <w:sz w:val="16"/>
        </w:rPr>
        <w:t>M</w:t>
      </w:r>
      <w:r>
        <w:rPr>
          <w:color w:val="231F20"/>
          <w:sz w:val="16"/>
        </w:rPr>
        <w:t xml:space="preserve"> </w:t>
      </w:r>
      <w:r>
        <w:rPr>
          <w:color w:val="231F20"/>
          <w:spacing w:val="5"/>
          <w:sz w:val="16"/>
        </w:rPr>
        <w:t>x</w:t>
      </w:r>
      <w:r>
        <w:rPr>
          <w:color w:val="231F20"/>
          <w:sz w:val="16"/>
        </w:rPr>
        <w:t xml:space="preserve"> </w:t>
      </w:r>
      <w:r>
        <w:rPr>
          <w:color w:val="231F20"/>
          <w:spacing w:val="5"/>
          <w:sz w:val="16"/>
        </w:rPr>
        <w:t>x</w:t>
      </w:r>
      <w:r>
        <w:rPr>
          <w:color w:val="231F20"/>
          <w:sz w:val="16"/>
        </w:rPr>
        <w:t xml:space="preserve"> </w:t>
      </w:r>
      <w:r>
        <w:rPr>
          <w:color w:val="231F20"/>
          <w:spacing w:val="5"/>
          <w:sz w:val="16"/>
        </w:rPr>
        <w:t>b</w:t>
      </w:r>
      <w:r>
        <w:rPr>
          <w:color w:val="231F20"/>
          <w:sz w:val="16"/>
        </w:rPr>
        <w:t xml:space="preserve"> </w:t>
      </w:r>
      <w:r>
        <w:rPr>
          <w:color w:val="231F20"/>
          <w:spacing w:val="5"/>
          <w:sz w:val="16"/>
        </w:rPr>
        <w:t>u</w:t>
      </w:r>
      <w:r>
        <w:rPr>
          <w:color w:val="231F20"/>
          <w:sz w:val="16"/>
        </w:rPr>
        <w:t xml:space="preserve"> </w:t>
      </w:r>
      <w:r>
        <w:rPr>
          <w:color w:val="231F20"/>
          <w:spacing w:val="5"/>
          <w:sz w:val="16"/>
        </w:rPr>
        <w:t>m</w:t>
      </w:r>
      <w:r>
        <w:rPr>
          <w:color w:val="231F20"/>
          <w:sz w:val="16"/>
        </w:rPr>
        <w:t xml:space="preserve"> </w:t>
      </w:r>
      <w:r>
        <w:rPr>
          <w:color w:val="231F20"/>
          <w:spacing w:val="5"/>
          <w:sz w:val="16"/>
        </w:rPr>
        <w:t>b</w:t>
      </w:r>
      <w:r>
        <w:rPr>
          <w:color w:val="231F20"/>
          <w:sz w:val="16"/>
        </w:rPr>
        <w:t xml:space="preserve"> </w:t>
      </w:r>
      <w:r>
        <w:rPr>
          <w:color w:val="231F20"/>
          <w:spacing w:val="5"/>
          <w:sz w:val="16"/>
        </w:rPr>
        <w:t>d</w:t>
      </w:r>
      <w:r>
        <w:rPr>
          <w:color w:val="231F20"/>
          <w:sz w:val="16"/>
        </w:rPr>
        <w:t xml:space="preserve"> </w:t>
      </w:r>
      <w:r>
        <w:rPr>
          <w:color w:val="231F20"/>
          <w:spacing w:val="5"/>
          <w:sz w:val="16"/>
        </w:rPr>
        <w:t>3</w:t>
      </w:r>
      <w:r>
        <w:rPr>
          <w:color w:val="231F20"/>
          <w:sz w:val="16"/>
        </w:rPr>
        <w:t xml:space="preserve"> </w:t>
      </w:r>
      <w:r>
        <w:rPr>
          <w:color w:val="231F20"/>
          <w:spacing w:val="5"/>
          <w:sz w:val="16"/>
        </w:rPr>
        <w:t>e</w:t>
      </w:r>
      <w:r>
        <w:rPr>
          <w:color w:val="231F20"/>
          <w:sz w:val="16"/>
        </w:rPr>
        <w:t xml:space="preserve"> </w:t>
      </w:r>
      <w:r>
        <w:rPr>
          <w:color w:val="231F20"/>
          <w:spacing w:val="5"/>
          <w:sz w:val="16"/>
        </w:rPr>
        <w:t>h</w:t>
      </w:r>
      <w:r>
        <w:rPr>
          <w:color w:val="231F20"/>
          <w:sz w:val="16"/>
        </w:rPr>
        <w:t xml:space="preserve"> </w:t>
      </w:r>
      <w:r>
        <w:rPr>
          <w:color w:val="231F20"/>
          <w:spacing w:val="5"/>
          <w:sz w:val="16"/>
        </w:rPr>
        <w:t>G</w:t>
      </w:r>
      <w:r>
        <w:rPr>
          <w:color w:val="231F20"/>
          <w:sz w:val="16"/>
        </w:rPr>
        <w:t xml:space="preserve"> </w:t>
      </w:r>
      <w:r>
        <w:rPr>
          <w:color w:val="231F20"/>
          <w:spacing w:val="5"/>
          <w:sz w:val="16"/>
        </w:rPr>
        <w:t>F</w:t>
      </w:r>
      <w:r>
        <w:rPr>
          <w:color w:val="231F20"/>
          <w:sz w:val="16"/>
        </w:rPr>
        <w:t xml:space="preserve"> </w:t>
      </w:r>
      <w:r>
        <w:rPr>
          <w:color w:val="231F20"/>
          <w:spacing w:val="5"/>
          <w:sz w:val="16"/>
        </w:rPr>
        <w:t>U</w:t>
      </w:r>
      <w:r>
        <w:rPr>
          <w:color w:val="231F20"/>
          <w:sz w:val="16"/>
        </w:rPr>
        <w:t xml:space="preserve"> </w:t>
      </w:r>
      <w:r>
        <w:rPr>
          <w:color w:val="231F20"/>
          <w:spacing w:val="5"/>
          <w:sz w:val="16"/>
        </w:rPr>
        <w:t>3</w:t>
      </w:r>
      <w:r>
        <w:rPr>
          <w:color w:val="231F20"/>
          <w:sz w:val="16"/>
        </w:rPr>
        <w:t xml:space="preserve"> </w:t>
      </w:r>
      <w:r>
        <w:rPr>
          <w:color w:val="231F20"/>
          <w:spacing w:val="5"/>
          <w:sz w:val="16"/>
        </w:rPr>
        <w:t>6</w:t>
      </w:r>
      <w:r>
        <w:rPr>
          <w:color w:val="231F20"/>
          <w:sz w:val="16"/>
        </w:rPr>
        <w:t xml:space="preserve"> </w:t>
      </w:r>
      <w:r>
        <w:rPr>
          <w:color w:val="231F20"/>
          <w:spacing w:val="5"/>
          <w:sz w:val="16"/>
        </w:rPr>
        <w:t>H</w:t>
      </w:r>
      <w:r>
        <w:rPr>
          <w:color w:val="231F20"/>
          <w:sz w:val="16"/>
        </w:rPr>
        <w:t xml:space="preserve"> </w:t>
      </w:r>
      <w:r>
        <w:rPr>
          <w:color w:val="231F20"/>
          <w:spacing w:val="5"/>
          <w:sz w:val="16"/>
        </w:rPr>
        <w:t>H</w:t>
      </w:r>
      <w:r>
        <w:rPr>
          <w:color w:val="231F20"/>
          <w:sz w:val="16"/>
        </w:rPr>
        <w:t xml:space="preserve"> </w:t>
      </w:r>
      <w:r>
        <w:rPr>
          <w:color w:val="231F20"/>
          <w:spacing w:val="5"/>
          <w:sz w:val="16"/>
        </w:rPr>
        <w:t>b</w:t>
      </w:r>
      <w:r>
        <w:rPr>
          <w:color w:val="231F20"/>
          <w:sz w:val="16"/>
        </w:rPr>
        <w:t xml:space="preserve"> </w:t>
      </w:r>
      <w:r>
        <w:rPr>
          <w:color w:val="231F20"/>
          <w:spacing w:val="5"/>
          <w:sz w:val="16"/>
        </w:rPr>
        <w:t>G</w:t>
      </w:r>
      <w:r>
        <w:rPr>
          <w:color w:val="231F20"/>
          <w:sz w:val="16"/>
        </w:rPr>
        <w:t xml:space="preserve"> </w:t>
      </w:r>
      <w:r>
        <w:rPr>
          <w:color w:val="231F20"/>
          <w:spacing w:val="5"/>
          <w:sz w:val="16"/>
        </w:rPr>
        <w:t>H</w:t>
      </w:r>
      <w:r>
        <w:rPr>
          <w:color w:val="231F20"/>
          <w:sz w:val="16"/>
        </w:rPr>
        <w:t xml:space="preserve"> </w:t>
      </w:r>
      <w:r>
        <w:rPr>
          <w:color w:val="231F20"/>
          <w:spacing w:val="5"/>
          <w:sz w:val="16"/>
        </w:rPr>
        <w:t>P</w:t>
      </w:r>
      <w:r>
        <w:rPr>
          <w:color w:val="231F20"/>
          <w:sz w:val="16"/>
        </w:rPr>
        <w:t xml:space="preserve"> </w:t>
      </w:r>
      <w:r>
        <w:rPr>
          <w:color w:val="231F20"/>
          <w:spacing w:val="5"/>
          <w:sz w:val="16"/>
        </w:rPr>
        <w:t>d</w:t>
      </w:r>
      <w:r>
        <w:rPr>
          <w:color w:val="231F20"/>
          <w:sz w:val="16"/>
        </w:rPr>
        <w:t xml:space="preserve"> </w:t>
      </w:r>
      <w:r>
        <w:rPr>
          <w:color w:val="231F20"/>
          <w:spacing w:val="5"/>
          <w:sz w:val="16"/>
        </w:rPr>
        <w:t>a</w:t>
      </w:r>
      <w:r>
        <w:rPr>
          <w:color w:val="231F20"/>
          <w:sz w:val="16"/>
        </w:rPr>
        <w:t xml:space="preserve"> </w:t>
      </w:r>
      <w:r>
        <w:rPr>
          <w:color w:val="231F20"/>
          <w:spacing w:val="5"/>
          <w:sz w:val="16"/>
        </w:rPr>
        <w:t>s</w:t>
      </w:r>
      <w:r>
        <w:rPr>
          <w:color w:val="231F20"/>
          <w:sz w:val="16"/>
        </w:rPr>
        <w:t xml:space="preserve"> </w:t>
      </w:r>
      <w:r>
        <w:rPr>
          <w:color w:val="231F20"/>
          <w:spacing w:val="5"/>
          <w:sz w:val="16"/>
        </w:rPr>
        <w:t>t</w:t>
      </w:r>
      <w:r>
        <w:rPr>
          <w:color w:val="231F20"/>
          <w:sz w:val="16"/>
        </w:rPr>
        <w:t xml:space="preserve"> </w:t>
      </w:r>
      <w:r>
        <w:rPr>
          <w:color w:val="231F20"/>
          <w:spacing w:val="5"/>
          <w:sz w:val="16"/>
        </w:rPr>
        <w:t>i</w:t>
      </w:r>
      <w:r>
        <w:rPr>
          <w:color w:val="231F20"/>
          <w:sz w:val="16"/>
        </w:rPr>
        <w:t xml:space="preserve"> </w:t>
      </w:r>
      <w:r>
        <w:rPr>
          <w:color w:val="231F20"/>
          <w:spacing w:val="5"/>
          <w:sz w:val="16"/>
        </w:rPr>
        <w:t>f</w:t>
      </w:r>
      <w:r>
        <w:rPr>
          <w:color w:val="231F20"/>
          <w:sz w:val="16"/>
        </w:rPr>
        <w:t xml:space="preserve"> </w:t>
      </w:r>
      <w:r>
        <w:rPr>
          <w:color w:val="231F20"/>
          <w:spacing w:val="5"/>
          <w:sz w:val="16"/>
        </w:rPr>
        <w:t>i</w:t>
      </w:r>
      <w:r>
        <w:rPr>
          <w:color w:val="231F20"/>
          <w:sz w:val="16"/>
        </w:rPr>
        <w:t xml:space="preserve"> </w:t>
      </w:r>
      <w:r>
        <w:rPr>
          <w:color w:val="231F20"/>
          <w:spacing w:val="5"/>
          <w:sz w:val="16"/>
        </w:rPr>
        <w:t>y</w:t>
      </w:r>
      <w:r>
        <w:rPr>
          <w:color w:val="231F20"/>
          <w:sz w:val="16"/>
        </w:rPr>
        <w:t xml:space="preserve"> </w:t>
      </w:r>
      <w:r>
        <w:rPr>
          <w:color w:val="231F20"/>
          <w:spacing w:val="5"/>
          <w:sz w:val="16"/>
        </w:rPr>
        <w:t>b</w:t>
      </w:r>
      <w:r>
        <w:rPr>
          <w:color w:val="231F20"/>
          <w:sz w:val="16"/>
        </w:rPr>
        <w:t xml:space="preserve"> </w:t>
      </w:r>
      <w:r>
        <w:rPr>
          <w:color w:val="231F20"/>
          <w:spacing w:val="5"/>
          <w:sz w:val="16"/>
        </w:rPr>
        <w:t>X</w:t>
      </w:r>
      <w:r>
        <w:rPr>
          <w:color w:val="231F20"/>
          <w:sz w:val="16"/>
        </w:rPr>
        <w:t xml:space="preserve"> - 80Kd214xmIwGWNV_aY5JYFBhbARzOk2CedaCZ4uZEcKRGogx&amp;si g=AHIEtbTaLr1tLxFh0XfB6RMUTaOfFzxMEg&gt;. Acesso em: 17 abr. 2010.</w:t>
      </w:r>
    </w:p>
    <w:p w:rsidR="00D81F69" w:rsidRDefault="00330118">
      <w:pPr>
        <w:spacing w:before="6" w:line="312" w:lineRule="auto"/>
        <w:ind w:left="101" w:right="220"/>
        <w:jc w:val="both"/>
        <w:rPr>
          <w:sz w:val="16"/>
        </w:rPr>
      </w:pPr>
      <w:r>
        <w:rPr>
          <w:color w:val="231F20"/>
          <w:sz w:val="16"/>
        </w:rPr>
        <w:t>HENDERSON, R. D. Paracatu Mine Technical Report. Kinross Gold Corporation, 2006. Disponível em:</w:t>
      </w:r>
    </w:p>
    <w:p w:rsidR="00D81F69" w:rsidRDefault="00D81F69">
      <w:pPr>
        <w:spacing w:before="2"/>
        <w:ind w:left="101"/>
        <w:jc w:val="both"/>
        <w:rPr>
          <w:sz w:val="16"/>
        </w:rPr>
      </w:pPr>
      <w:hyperlink r:id="rId1250">
        <w:r w:rsidR="00330118">
          <w:rPr>
            <w:color w:val="231F20"/>
            <w:sz w:val="16"/>
          </w:rPr>
          <w:t xml:space="preserve">&lt;http://www.kinross.com/pdf/operations/Technical-Report- </w:t>
        </w:r>
      </w:hyperlink>
    </w:p>
    <w:p w:rsidR="00D81F69" w:rsidRDefault="00D81F69">
      <w:pPr>
        <w:jc w:val="both"/>
        <w:rPr>
          <w:sz w:val="16"/>
        </w:rPr>
        <w:sectPr w:rsidR="00D81F69">
          <w:pgSz w:w="11910" w:h="16840"/>
          <w:pgMar w:top="740" w:right="500" w:bottom="720" w:left="620" w:header="0" w:footer="402" w:gutter="0"/>
          <w:cols w:num="2" w:space="720" w:equalWidth="0">
            <w:col w:w="5173" w:space="296"/>
            <w:col w:w="5321"/>
          </w:cols>
        </w:sectPr>
      </w:pPr>
    </w:p>
    <w:p w:rsidR="00D81F69" w:rsidRDefault="00330118">
      <w:pPr>
        <w:spacing w:before="69"/>
        <w:ind w:left="101"/>
        <w:jc w:val="both"/>
        <w:rPr>
          <w:sz w:val="16"/>
        </w:rPr>
      </w:pPr>
      <w:r>
        <w:rPr>
          <w:color w:val="231F20"/>
          <w:sz w:val="16"/>
        </w:rPr>
        <w:lastRenderedPageBreak/>
        <w:t>Paracatu.pdf&gt;. Acesso em: set. 2010.</w:t>
      </w:r>
    </w:p>
    <w:p w:rsidR="00D81F69" w:rsidRDefault="00330118">
      <w:pPr>
        <w:spacing w:before="56" w:line="312" w:lineRule="auto"/>
        <w:ind w:left="101" w:right="66"/>
        <w:jc w:val="both"/>
        <w:rPr>
          <w:sz w:val="16"/>
        </w:rPr>
      </w:pPr>
      <w:r>
        <w:rPr>
          <w:color w:val="231F20"/>
          <w:sz w:val="16"/>
        </w:rPr>
        <w:t>IBRAM, Instituto Brasileiro de Mineração. Estudo aponta baixo risco à saúde associado à ocorrência de arsênio, 25 mar. 2014. Disponível em:</w:t>
      </w:r>
    </w:p>
    <w:p w:rsidR="00D81F69" w:rsidRDefault="00D81F69">
      <w:pPr>
        <w:spacing w:before="3" w:line="312" w:lineRule="auto"/>
        <w:ind w:left="101" w:right="47"/>
        <w:jc w:val="both"/>
        <w:rPr>
          <w:sz w:val="16"/>
        </w:rPr>
      </w:pPr>
      <w:hyperlink r:id="rId1251">
        <w:r w:rsidR="00330118">
          <w:rPr>
            <w:color w:val="231F20"/>
            <w:sz w:val="16"/>
          </w:rPr>
          <w:t>&lt;ht</w:t>
        </w:r>
        <w:r w:rsidR="00330118">
          <w:rPr>
            <w:color w:val="231F20"/>
            <w:sz w:val="16"/>
          </w:rPr>
          <w:t>tp://www.ibram.org.br/150/15001002.asp?ttCD_CHAVE=227389&gt;.</w:t>
        </w:r>
      </w:hyperlink>
      <w:r w:rsidR="00330118">
        <w:rPr>
          <w:color w:val="231F20"/>
          <w:sz w:val="16"/>
        </w:rPr>
        <w:t xml:space="preserve"> Acesso em: abr. 2014.</w:t>
      </w:r>
    </w:p>
    <w:p w:rsidR="00D81F69" w:rsidRDefault="00330118">
      <w:pPr>
        <w:spacing w:before="1" w:line="312" w:lineRule="auto"/>
        <w:ind w:left="101" w:right="45"/>
        <w:jc w:val="both"/>
        <w:rPr>
          <w:sz w:val="16"/>
        </w:rPr>
      </w:pPr>
      <w:r>
        <w:rPr>
          <w:color w:val="231F20"/>
          <w:sz w:val="16"/>
        </w:rPr>
        <w:t>IBGE. Instituto Brasileiro de Geografia e Estatística. Paracatu, 2010. Disponível em:</w:t>
      </w:r>
    </w:p>
    <w:p w:rsidR="00D81F69" w:rsidRDefault="00D81F69">
      <w:pPr>
        <w:spacing w:before="2"/>
        <w:ind w:left="101"/>
        <w:jc w:val="both"/>
        <w:rPr>
          <w:sz w:val="16"/>
        </w:rPr>
      </w:pPr>
      <w:hyperlink r:id="rId1252">
        <w:r w:rsidR="00330118">
          <w:rPr>
            <w:color w:val="231F20"/>
            <w:sz w:val="16"/>
          </w:rPr>
          <w:t>&lt;h</w:t>
        </w:r>
        <w:r w:rsidR="00330118">
          <w:rPr>
            <w:color w:val="231F20"/>
            <w:sz w:val="16"/>
          </w:rPr>
          <w:t>ttp://www.ibge.gov.br/cidadesat/xtras/perfil.php?codmun=314700&amp;r</w:t>
        </w:r>
      </w:hyperlink>
    </w:p>
    <w:p w:rsidR="00D81F69" w:rsidRDefault="00330118">
      <w:pPr>
        <w:spacing w:before="56"/>
        <w:ind w:left="101"/>
        <w:jc w:val="both"/>
        <w:rPr>
          <w:sz w:val="16"/>
        </w:rPr>
      </w:pPr>
      <w:r>
        <w:rPr>
          <w:color w:val="231F20"/>
          <w:sz w:val="16"/>
        </w:rPr>
        <w:t>=2 &gt;. Acesso em: 28 fev.2011.</w:t>
      </w:r>
    </w:p>
    <w:p w:rsidR="00D81F69" w:rsidRDefault="00330118">
      <w:pPr>
        <w:spacing w:before="56" w:line="312" w:lineRule="auto"/>
        <w:ind w:left="101" w:right="46"/>
        <w:jc w:val="both"/>
        <w:rPr>
          <w:sz w:val="16"/>
        </w:rPr>
      </w:pPr>
      <w:r>
        <w:rPr>
          <w:color w:val="231F20"/>
          <w:sz w:val="16"/>
        </w:rPr>
        <w:t>INCRA. Incra solicita suspensão de atividade mineraria que ameaça existência de quilombolas em Paracatu-MG. Publicado em 26 ago. 2010. Disponível em:</w:t>
      </w:r>
    </w:p>
    <w:p w:rsidR="00D81F69" w:rsidRDefault="00330118">
      <w:pPr>
        <w:spacing w:before="2" w:line="312" w:lineRule="auto"/>
        <w:ind w:left="101" w:right="67"/>
        <w:jc w:val="both"/>
        <w:rPr>
          <w:sz w:val="16"/>
        </w:rPr>
      </w:pPr>
      <w:r>
        <w:rPr>
          <w:color w:val="231F20"/>
          <w:sz w:val="16"/>
        </w:rPr>
        <w:t>&lt; h t t p :</w:t>
      </w:r>
      <w:r>
        <w:rPr>
          <w:color w:val="231F20"/>
          <w:sz w:val="16"/>
        </w:rPr>
        <w:t xml:space="preserve"> / / i n c r a - web.incra.gov.br/portal/index.php?view=article&amp;catid=380:n&gt;. Acesso em: 22 set. 2010.</w:t>
      </w:r>
    </w:p>
    <w:p w:rsidR="00D81F69" w:rsidRDefault="00330118">
      <w:pPr>
        <w:spacing w:before="3"/>
        <w:ind w:left="101"/>
        <w:jc w:val="both"/>
        <w:rPr>
          <w:sz w:val="16"/>
        </w:rPr>
      </w:pPr>
      <w:r>
        <w:rPr>
          <w:color w:val="231F20"/>
          <w:sz w:val="16"/>
        </w:rPr>
        <w:t>KINROSS. Operações. Disponível em:</w:t>
      </w:r>
    </w:p>
    <w:p w:rsidR="00D81F69" w:rsidRDefault="00D81F69">
      <w:pPr>
        <w:spacing w:before="56" w:line="312" w:lineRule="auto"/>
        <w:ind w:left="101" w:right="64"/>
        <w:jc w:val="both"/>
        <w:rPr>
          <w:sz w:val="16"/>
        </w:rPr>
      </w:pPr>
      <w:hyperlink r:id="rId1253">
        <w:r w:rsidR="00330118">
          <w:rPr>
            <w:color w:val="231F20"/>
            <w:sz w:val="16"/>
          </w:rPr>
          <w:t>&lt;</w:t>
        </w:r>
        <w:r w:rsidR="00330118">
          <w:rPr>
            <w:color w:val="231F20"/>
            <w:sz w:val="16"/>
          </w:rPr>
          <w:t xml:space="preserve">http://www.kinross.com.br/operacoes.php?id_category=2&gt;. </w:t>
        </w:r>
      </w:hyperlink>
      <w:r w:rsidR="00330118">
        <w:rPr>
          <w:color w:val="231F20"/>
          <w:sz w:val="16"/>
        </w:rPr>
        <w:t>Acesso em: 17 abr. 2010.</w:t>
      </w:r>
    </w:p>
    <w:p w:rsidR="00D81F69" w:rsidRDefault="00330118">
      <w:pPr>
        <w:tabs>
          <w:tab w:val="left" w:pos="816"/>
        </w:tabs>
        <w:spacing w:before="1" w:line="312" w:lineRule="auto"/>
        <w:ind w:left="101" w:right="68"/>
        <w:jc w:val="both"/>
        <w:rPr>
          <w:sz w:val="16"/>
        </w:rPr>
      </w:pPr>
      <w:r>
        <w:rPr>
          <w:color w:val="231F20"/>
          <w:sz w:val="16"/>
          <w:u w:val="single" w:color="221E1F"/>
        </w:rPr>
        <w:t xml:space="preserve"> </w:t>
      </w:r>
      <w:r>
        <w:rPr>
          <w:color w:val="231F20"/>
          <w:sz w:val="16"/>
          <w:u w:val="single" w:color="221E1F"/>
        </w:rPr>
        <w:tab/>
      </w:r>
      <w:r>
        <w:rPr>
          <w:color w:val="231F20"/>
          <w:sz w:val="16"/>
        </w:rPr>
        <w:t>. Estudo aponta baixo risco à saúde associado à ocorrência de arsênio. Site Institucional, Notícias, 20 mar. 2014. Disponível</w:t>
      </w:r>
      <w:r>
        <w:rPr>
          <w:color w:val="231F20"/>
          <w:spacing w:val="16"/>
          <w:sz w:val="16"/>
        </w:rPr>
        <w:t xml:space="preserve"> </w:t>
      </w:r>
      <w:r>
        <w:rPr>
          <w:color w:val="231F20"/>
          <w:sz w:val="16"/>
        </w:rPr>
        <w:t>em:</w:t>
      </w:r>
    </w:p>
    <w:p w:rsidR="00D81F69" w:rsidRDefault="00D81F69">
      <w:pPr>
        <w:spacing w:before="2" w:line="312" w:lineRule="auto"/>
        <w:ind w:left="101" w:right="61"/>
        <w:jc w:val="both"/>
        <w:rPr>
          <w:sz w:val="16"/>
        </w:rPr>
      </w:pPr>
      <w:hyperlink r:id="rId1254">
        <w:r w:rsidR="00330118">
          <w:rPr>
            <w:color w:val="231F20"/>
            <w:sz w:val="16"/>
          </w:rPr>
          <w:t>&lt;http://www.kinross.com.br/index.php/estudo-aponta-baixo-risco-a-</w:t>
        </w:r>
      </w:hyperlink>
      <w:r w:rsidR="00330118">
        <w:rPr>
          <w:color w:val="231F20"/>
          <w:sz w:val="16"/>
        </w:rPr>
        <w:t xml:space="preserve"> saude-associado-a-ocorrencia-de-arsenio/&gt;. Acesso em: 29 abril 2014.</w:t>
      </w:r>
    </w:p>
    <w:p w:rsidR="00D81F69" w:rsidRDefault="00330118">
      <w:pPr>
        <w:spacing w:before="2"/>
        <w:ind w:left="101"/>
        <w:jc w:val="both"/>
        <w:rPr>
          <w:sz w:val="16"/>
        </w:rPr>
      </w:pPr>
      <w:r>
        <w:rPr>
          <w:color w:val="231F20"/>
          <w:sz w:val="16"/>
        </w:rPr>
        <w:t>MAPA DA INJUSTIÇA AMBIENTAL E SAÚDE NO BRASIL. Poluição</w:t>
      </w:r>
    </w:p>
    <w:p w:rsidR="00D81F69" w:rsidRDefault="00330118">
      <w:pPr>
        <w:spacing w:before="56" w:line="312" w:lineRule="auto"/>
        <w:ind w:left="101" w:right="47"/>
        <w:jc w:val="both"/>
        <w:rPr>
          <w:sz w:val="16"/>
        </w:rPr>
      </w:pPr>
      <w:r>
        <w:rPr>
          <w:color w:val="231F20"/>
          <w:sz w:val="16"/>
        </w:rPr>
        <w:t>ambiental grave e persiste</w:t>
      </w:r>
      <w:r>
        <w:rPr>
          <w:color w:val="231F20"/>
          <w:sz w:val="16"/>
        </w:rPr>
        <w:t>nte, exposição crônica ao arsênio e outras substâncias tóxicas, além de expulsão de comunidades tradicionais, são algumas das consequências da extração de ouro a céu aberto em Paracatu. Banco de dados, dez. 2009. Disponível em:</w:t>
      </w:r>
    </w:p>
    <w:p w:rsidR="00D81F69" w:rsidRDefault="00D81F69">
      <w:pPr>
        <w:spacing w:before="3" w:line="312" w:lineRule="auto"/>
        <w:ind w:left="101" w:right="65"/>
        <w:jc w:val="both"/>
        <w:rPr>
          <w:sz w:val="16"/>
        </w:rPr>
      </w:pPr>
      <w:hyperlink r:id="rId1255">
        <w:r w:rsidR="00330118">
          <w:rPr>
            <w:color w:val="231F20"/>
            <w:sz w:val="16"/>
          </w:rPr>
          <w:t>&lt;http://www.conflitoambiental.icict.fiocruz.br/index.php?pag=ficha&amp;co</w:t>
        </w:r>
      </w:hyperlink>
      <w:r w:rsidR="00330118">
        <w:rPr>
          <w:color w:val="231F20"/>
          <w:sz w:val="16"/>
        </w:rPr>
        <w:t xml:space="preserve"> d=219&gt;. Acesso em: 1 fev. 2012.</w:t>
      </w:r>
    </w:p>
    <w:p w:rsidR="00D81F69" w:rsidRDefault="00330118">
      <w:pPr>
        <w:spacing w:before="2" w:line="312" w:lineRule="auto"/>
        <w:ind w:left="101" w:right="50"/>
        <w:jc w:val="both"/>
        <w:rPr>
          <w:sz w:val="16"/>
        </w:rPr>
      </w:pPr>
      <w:r>
        <w:rPr>
          <w:color w:val="231F20"/>
          <w:sz w:val="16"/>
        </w:rPr>
        <w:t>MARTINS, V. Desenvolvimento inequívoco deixa as suas mazelas no progresso. Correio Brazilien</w:t>
      </w:r>
      <w:r>
        <w:rPr>
          <w:color w:val="231F20"/>
          <w:sz w:val="16"/>
        </w:rPr>
        <w:t>se, Brasília, 31 maio 2010. Disponível em:</w:t>
      </w:r>
    </w:p>
    <w:p w:rsidR="00D81F69" w:rsidRDefault="00D81F69">
      <w:pPr>
        <w:spacing w:before="1" w:line="312" w:lineRule="auto"/>
        <w:ind w:left="101" w:right="50"/>
        <w:rPr>
          <w:sz w:val="16"/>
        </w:rPr>
      </w:pPr>
      <w:hyperlink r:id="rId1256">
        <w:r w:rsidR="00330118">
          <w:rPr>
            <w:color w:val="231F20"/>
            <w:sz w:val="16"/>
          </w:rPr>
          <w:t>&lt;http://www.correiobraziliense.com.br/app/noticia182/2010/05/31/eco</w:t>
        </w:r>
      </w:hyperlink>
      <w:r w:rsidR="00330118">
        <w:rPr>
          <w:color w:val="231F20"/>
          <w:sz w:val="16"/>
        </w:rPr>
        <w:t xml:space="preserve"> nomia,i=195280/DESENVOLVIMENTO+IINEQUIVOC+DEIXA+AS+S UAS+MAZE</w:t>
      </w:r>
      <w:r w:rsidR="00330118">
        <w:rPr>
          <w:color w:val="231F20"/>
          <w:sz w:val="16"/>
        </w:rPr>
        <w:t>LAS+NO+PROGRESSO.shtml&gt;. Acesso em: set. 2010. MATOS, Janaina; DE MELLO, William Zamboni ; CASTILHOS, Zuleica Carmen; DA SILVA, Lilian Irene Dias; CARNEIRO Manuel Castro. Variabilidade espacial e temporal das concentrações de As no material particulado atm</w:t>
      </w:r>
      <w:r w:rsidR="00330118">
        <w:rPr>
          <w:color w:val="231F20"/>
          <w:sz w:val="16"/>
        </w:rPr>
        <w:t>osférico em Paracatu (MG). XIV Congresso Brasileiro de Geoquimica. Simpósio Latino-Americano de Mapeamento Geoquímico. Casa da Glória, Diamantina – MG, 13- 18 out. 2013.</w:t>
      </w:r>
    </w:p>
    <w:p w:rsidR="00D81F69" w:rsidRDefault="00330118">
      <w:pPr>
        <w:spacing w:before="8" w:line="312" w:lineRule="auto"/>
        <w:ind w:left="101" w:right="60"/>
        <w:rPr>
          <w:sz w:val="16"/>
        </w:rPr>
      </w:pPr>
      <w:r>
        <w:rPr>
          <w:color w:val="231F20"/>
          <w:spacing w:val="1"/>
          <w:sz w:val="16"/>
        </w:rPr>
        <w:t xml:space="preserve">MATSCHULLAT, Jorg; BORBA, Ricardo Perobelli; </w:t>
      </w:r>
      <w:r>
        <w:rPr>
          <w:color w:val="231F20"/>
          <w:spacing w:val="2"/>
          <w:sz w:val="16"/>
        </w:rPr>
        <w:t xml:space="preserve">DESCHAMPS, </w:t>
      </w:r>
      <w:r>
        <w:rPr>
          <w:color w:val="231F20"/>
          <w:spacing w:val="6"/>
          <w:sz w:val="16"/>
        </w:rPr>
        <w:t>Eleonora; FIGUEIREDO, Bernardi</w:t>
      </w:r>
      <w:r>
        <w:rPr>
          <w:color w:val="231F20"/>
          <w:spacing w:val="6"/>
          <w:sz w:val="16"/>
        </w:rPr>
        <w:t xml:space="preserve">no Figueiredo; </w:t>
      </w:r>
      <w:r>
        <w:rPr>
          <w:color w:val="231F20"/>
          <w:spacing w:val="5"/>
          <w:sz w:val="16"/>
        </w:rPr>
        <w:t xml:space="preserve">GABRIO, </w:t>
      </w:r>
      <w:r>
        <w:rPr>
          <w:color w:val="231F20"/>
          <w:spacing w:val="7"/>
          <w:sz w:val="16"/>
        </w:rPr>
        <w:t xml:space="preserve">T.; </w:t>
      </w:r>
      <w:r>
        <w:rPr>
          <w:color w:val="231F20"/>
          <w:sz w:val="16"/>
        </w:rPr>
        <w:t>SCHWENK, M. Human and environmental contamination in the Iron Quadrangle, Brazil. Applied Geochemistry, v.15, p.181-190, 2000. MONTE, Marisa Bezerra de Mello; SOBRAL, Luis Gonzaga Santos; SANTOS, Ronaldo. Caracterização tecnológica e  reprocessamento de re</w:t>
      </w:r>
      <w:r>
        <w:rPr>
          <w:color w:val="231F20"/>
          <w:sz w:val="16"/>
        </w:rPr>
        <w:t>jeitos de garimpo. Proposta de trabalho elaborada para a RPM. CETEM, Rio de Janeiro, jun.</w:t>
      </w:r>
      <w:r>
        <w:rPr>
          <w:color w:val="231F20"/>
          <w:spacing w:val="36"/>
          <w:sz w:val="16"/>
        </w:rPr>
        <w:t xml:space="preserve"> </w:t>
      </w:r>
      <w:r>
        <w:rPr>
          <w:color w:val="231F20"/>
          <w:sz w:val="16"/>
        </w:rPr>
        <w:t>2005.</w:t>
      </w:r>
    </w:p>
    <w:p w:rsidR="00D81F69" w:rsidRDefault="00330118">
      <w:pPr>
        <w:spacing w:before="6" w:line="312" w:lineRule="auto"/>
        <w:ind w:left="101" w:right="60"/>
        <w:jc w:val="both"/>
        <w:rPr>
          <w:sz w:val="16"/>
        </w:rPr>
      </w:pPr>
      <w:r>
        <w:rPr>
          <w:color w:val="231F20"/>
          <w:sz w:val="16"/>
        </w:rPr>
        <w:t xml:space="preserve">MPF-MG, Ministério Público Federal de Minas Gerais. Procuradoria </w:t>
      </w:r>
      <w:r>
        <w:rPr>
          <w:color w:val="231F20"/>
          <w:spacing w:val="2"/>
          <w:sz w:val="16"/>
        </w:rPr>
        <w:t xml:space="preserve">da </w:t>
      </w:r>
      <w:r>
        <w:rPr>
          <w:color w:val="231F20"/>
          <w:spacing w:val="5"/>
          <w:sz w:val="16"/>
        </w:rPr>
        <w:t xml:space="preserve">República </w:t>
      </w:r>
      <w:r>
        <w:rPr>
          <w:color w:val="231F20"/>
          <w:spacing w:val="2"/>
          <w:sz w:val="16"/>
        </w:rPr>
        <w:t xml:space="preserve">em </w:t>
      </w:r>
      <w:r>
        <w:rPr>
          <w:color w:val="231F20"/>
          <w:spacing w:val="3"/>
          <w:sz w:val="16"/>
        </w:rPr>
        <w:t xml:space="preserve">Minas </w:t>
      </w:r>
      <w:r>
        <w:rPr>
          <w:color w:val="231F20"/>
          <w:spacing w:val="5"/>
          <w:sz w:val="16"/>
        </w:rPr>
        <w:t xml:space="preserve">Gerais. Justiça impede mineradora de </w:t>
      </w:r>
      <w:r>
        <w:rPr>
          <w:color w:val="231F20"/>
          <w:spacing w:val="1"/>
          <w:sz w:val="16"/>
        </w:rPr>
        <w:t xml:space="preserve">construir estrada </w:t>
      </w:r>
      <w:r>
        <w:rPr>
          <w:color w:val="231F20"/>
          <w:sz w:val="16"/>
        </w:rPr>
        <w:t xml:space="preserve">em </w:t>
      </w:r>
      <w:r>
        <w:rPr>
          <w:color w:val="231F20"/>
          <w:spacing w:val="1"/>
          <w:sz w:val="16"/>
        </w:rPr>
        <w:t xml:space="preserve">terras </w:t>
      </w:r>
      <w:r>
        <w:rPr>
          <w:color w:val="231F20"/>
          <w:sz w:val="16"/>
        </w:rPr>
        <w:t xml:space="preserve">de </w:t>
      </w:r>
      <w:r>
        <w:rPr>
          <w:color w:val="231F20"/>
          <w:spacing w:val="1"/>
          <w:sz w:val="16"/>
        </w:rPr>
        <w:t xml:space="preserve">comunidade quilombola. Patos </w:t>
      </w:r>
      <w:r>
        <w:rPr>
          <w:color w:val="231F20"/>
          <w:spacing w:val="2"/>
          <w:sz w:val="16"/>
        </w:rPr>
        <w:t xml:space="preserve">de </w:t>
      </w:r>
      <w:r>
        <w:rPr>
          <w:color w:val="231F20"/>
          <w:spacing w:val="1"/>
          <w:sz w:val="16"/>
        </w:rPr>
        <w:t>Minas,</w:t>
      </w:r>
      <w:r>
        <w:rPr>
          <w:color w:val="231F20"/>
          <w:spacing w:val="21"/>
          <w:sz w:val="16"/>
        </w:rPr>
        <w:t xml:space="preserve"> </w:t>
      </w:r>
      <w:r>
        <w:rPr>
          <w:color w:val="231F20"/>
          <w:sz w:val="16"/>
        </w:rPr>
        <w:t>10</w:t>
      </w:r>
      <w:r>
        <w:rPr>
          <w:color w:val="231F20"/>
          <w:spacing w:val="21"/>
          <w:sz w:val="16"/>
        </w:rPr>
        <w:t xml:space="preserve"> </w:t>
      </w:r>
      <w:r>
        <w:rPr>
          <w:color w:val="231F20"/>
          <w:spacing w:val="1"/>
          <w:sz w:val="16"/>
        </w:rPr>
        <w:t>maio</w:t>
      </w:r>
      <w:r>
        <w:rPr>
          <w:color w:val="231F20"/>
          <w:spacing w:val="21"/>
          <w:sz w:val="16"/>
        </w:rPr>
        <w:t xml:space="preserve"> </w:t>
      </w:r>
      <w:r>
        <w:rPr>
          <w:color w:val="231F20"/>
          <w:spacing w:val="1"/>
          <w:sz w:val="16"/>
        </w:rPr>
        <w:t>2010.</w:t>
      </w:r>
      <w:r>
        <w:rPr>
          <w:color w:val="231F20"/>
          <w:spacing w:val="21"/>
          <w:sz w:val="16"/>
        </w:rPr>
        <w:t xml:space="preserve"> </w:t>
      </w:r>
      <w:r>
        <w:rPr>
          <w:color w:val="231F20"/>
          <w:spacing w:val="1"/>
          <w:sz w:val="16"/>
        </w:rPr>
        <w:t>Disponível</w:t>
      </w:r>
      <w:r>
        <w:rPr>
          <w:color w:val="231F20"/>
          <w:spacing w:val="21"/>
          <w:sz w:val="16"/>
        </w:rPr>
        <w:t xml:space="preserve"> </w:t>
      </w:r>
      <w:r>
        <w:rPr>
          <w:color w:val="231F20"/>
          <w:spacing w:val="2"/>
          <w:sz w:val="16"/>
        </w:rPr>
        <w:t>em:</w:t>
      </w:r>
    </w:p>
    <w:p w:rsidR="00D81F69" w:rsidRDefault="00D81F69">
      <w:pPr>
        <w:spacing w:before="3" w:line="312" w:lineRule="auto"/>
        <w:ind w:left="101" w:right="61"/>
        <w:jc w:val="both"/>
        <w:rPr>
          <w:sz w:val="16"/>
        </w:rPr>
      </w:pPr>
      <w:hyperlink r:id="rId1257">
        <w:r w:rsidR="00330118">
          <w:rPr>
            <w:color w:val="231F20"/>
            <w:sz w:val="16"/>
          </w:rPr>
          <w:t>&lt;http://www.prmg.mpf.gov.br/patosdeminas/noticias/@@noticia_prm_</w:t>
        </w:r>
      </w:hyperlink>
      <w:r w:rsidR="00330118">
        <w:rPr>
          <w:color w:val="231F20"/>
          <w:sz w:val="16"/>
        </w:rPr>
        <w:t xml:space="preserve"> view?noticia=/internet/imprensa/notici</w:t>
      </w:r>
      <w:r w:rsidR="00330118">
        <w:rPr>
          <w:color w:val="231F20"/>
          <w:sz w:val="16"/>
        </w:rPr>
        <w:t>as/indios-e-minorias/justica- impede-mineradora-de-construir-estrada-em-terras-de-comunidade- quilombola&gt;. Acesso em: 31 mar. 2010.</w:t>
      </w:r>
    </w:p>
    <w:p w:rsidR="00D81F69" w:rsidRDefault="00330118">
      <w:pPr>
        <w:spacing w:before="4" w:line="312" w:lineRule="auto"/>
        <w:ind w:left="101" w:right="62"/>
        <w:jc w:val="both"/>
        <w:rPr>
          <w:sz w:val="16"/>
        </w:rPr>
      </w:pPr>
      <w:r>
        <w:rPr>
          <w:color w:val="231F20"/>
          <w:sz w:val="16"/>
        </w:rPr>
        <w:t>PARACA, Almir. Sem contaminação por arsênio, o momento é de traçar metas para Paracatu. Blog, 2 abr. 2014. Disponível em:</w:t>
      </w:r>
    </w:p>
    <w:p w:rsidR="00D81F69" w:rsidRDefault="00D81F69">
      <w:pPr>
        <w:spacing w:before="1" w:line="312" w:lineRule="auto"/>
        <w:ind w:left="101" w:right="44"/>
        <w:jc w:val="both"/>
        <w:rPr>
          <w:sz w:val="16"/>
        </w:rPr>
      </w:pPr>
      <w:hyperlink r:id="rId1258">
        <w:r w:rsidR="00330118">
          <w:rPr>
            <w:color w:val="231F20"/>
            <w:sz w:val="16"/>
          </w:rPr>
          <w:t>&lt;http://almirparaca.com/blog/sem-contaminacao-por-arsenio-o-</w:t>
        </w:r>
      </w:hyperlink>
      <w:r w:rsidR="00330118">
        <w:rPr>
          <w:color w:val="231F20"/>
          <w:sz w:val="16"/>
        </w:rPr>
        <w:t xml:space="preserve"> momento-e-de-tracar-metas-para-paracatu/&gt;. Acesso em: 29 abr.</w:t>
      </w:r>
    </w:p>
    <w:p w:rsidR="00D81F69" w:rsidRDefault="00330118">
      <w:pPr>
        <w:spacing w:before="2"/>
        <w:ind w:left="101"/>
        <w:jc w:val="both"/>
        <w:rPr>
          <w:sz w:val="16"/>
        </w:rPr>
      </w:pPr>
      <w:r>
        <w:rPr>
          <w:color w:val="231F20"/>
          <w:sz w:val="16"/>
        </w:rPr>
        <w:t>2014.</w:t>
      </w:r>
    </w:p>
    <w:p w:rsidR="00D81F69" w:rsidRDefault="00330118">
      <w:pPr>
        <w:spacing w:before="69" w:line="312" w:lineRule="auto"/>
        <w:ind w:left="101" w:right="192"/>
        <w:jc w:val="both"/>
        <w:rPr>
          <w:sz w:val="16"/>
        </w:rPr>
      </w:pPr>
      <w:r>
        <w:br w:type="column"/>
      </w:r>
      <w:r>
        <w:rPr>
          <w:color w:val="231F20"/>
          <w:sz w:val="16"/>
        </w:rPr>
        <w:lastRenderedPageBreak/>
        <w:t>MARQUES, Eduardo Duarte; PINHO, Júlio Murilo Martin</w:t>
      </w:r>
      <w:r>
        <w:rPr>
          <w:color w:val="231F20"/>
          <w:sz w:val="16"/>
        </w:rPr>
        <w:t>o. Mapeamento Geoquímico Regional por Sedimentos de Corrente e Solos do Projeto Vazante-Paracatu I. Anais do XIV Congresso Brasileiro de Geoquimica. Simpósio Latino-Americano de Mapeamento Geoquímico. Casa da Glória, Diamantina – MG, 13- 18 out. 2013.</w:t>
      </w:r>
    </w:p>
    <w:p w:rsidR="00D81F69" w:rsidRDefault="00330118">
      <w:pPr>
        <w:spacing w:before="5" w:line="312" w:lineRule="auto"/>
        <w:ind w:left="101" w:right="113"/>
        <w:jc w:val="both"/>
        <w:rPr>
          <w:sz w:val="16"/>
        </w:rPr>
      </w:pPr>
      <w:r>
        <w:rPr>
          <w:color w:val="231F20"/>
          <w:sz w:val="16"/>
        </w:rPr>
        <w:t>PNUD</w:t>
      </w:r>
      <w:r>
        <w:rPr>
          <w:color w:val="231F20"/>
          <w:sz w:val="16"/>
        </w:rPr>
        <w:t>, Programa das Nações Unidas para o Desenvolvimento. Atlas   B r a s i l 2 0 1 3 . D i s p o n í v e l e m</w:t>
      </w:r>
      <w:r>
        <w:rPr>
          <w:color w:val="231F20"/>
          <w:spacing w:val="-18"/>
          <w:sz w:val="16"/>
        </w:rPr>
        <w:t xml:space="preserve"> </w:t>
      </w:r>
      <w:r>
        <w:rPr>
          <w:color w:val="231F20"/>
          <w:sz w:val="16"/>
        </w:rPr>
        <w:t xml:space="preserve">: </w:t>
      </w:r>
      <w:r>
        <w:rPr>
          <w:color w:val="231F20"/>
          <w:spacing w:val="1"/>
          <w:sz w:val="16"/>
        </w:rPr>
        <w:t xml:space="preserve"> </w:t>
      </w:r>
    </w:p>
    <w:p w:rsidR="00D81F69" w:rsidRDefault="00D81F69">
      <w:pPr>
        <w:spacing w:before="2" w:line="312" w:lineRule="auto"/>
        <w:ind w:left="101" w:right="220"/>
        <w:jc w:val="both"/>
        <w:rPr>
          <w:sz w:val="16"/>
        </w:rPr>
      </w:pPr>
      <w:hyperlink r:id="rId1259">
        <w:r w:rsidR="00330118">
          <w:rPr>
            <w:color w:val="231F20"/>
            <w:sz w:val="16"/>
          </w:rPr>
          <w:t xml:space="preserve">&lt;http://www.atlasbrasil.org.br/2013/pt/home/&gt;. </w:t>
        </w:r>
      </w:hyperlink>
      <w:r w:rsidR="00330118">
        <w:rPr>
          <w:color w:val="231F20"/>
          <w:sz w:val="16"/>
        </w:rPr>
        <w:t>Acesso em: 05 maio 2014.</w:t>
      </w:r>
    </w:p>
    <w:p w:rsidR="00D81F69" w:rsidRDefault="00330118">
      <w:pPr>
        <w:spacing w:before="1" w:line="312" w:lineRule="auto"/>
        <w:ind w:left="101" w:right="217"/>
        <w:jc w:val="both"/>
        <w:rPr>
          <w:sz w:val="16"/>
        </w:rPr>
      </w:pPr>
      <w:r>
        <w:rPr>
          <w:color w:val="231F20"/>
          <w:sz w:val="16"/>
        </w:rPr>
        <w:t xml:space="preserve">REIS, Roque </w:t>
      </w:r>
      <w:r>
        <w:rPr>
          <w:color w:val="231F20"/>
          <w:sz w:val="16"/>
        </w:rPr>
        <w:t>Luiz Godoy. Projeto de ampliação entra na etapa decisiva. Revista Brasil Mineral, n. 267, ago. 2007.</w:t>
      </w:r>
    </w:p>
    <w:p w:rsidR="00D81F69" w:rsidRDefault="00330118">
      <w:pPr>
        <w:spacing w:before="2" w:line="312" w:lineRule="auto"/>
        <w:ind w:left="101" w:right="200"/>
        <w:jc w:val="both"/>
        <w:rPr>
          <w:sz w:val="16"/>
        </w:rPr>
      </w:pPr>
      <w:r>
        <w:rPr>
          <w:color w:val="231F20"/>
          <w:sz w:val="16"/>
        </w:rPr>
        <w:t>REVISTA MINÉRIOS. 200 Maiores Minas Brasileiras. Ranking Geral por Produção Anual em Toneladas (ROM) - Ano Base 2012. Out. 2013. Disponível em:</w:t>
      </w:r>
    </w:p>
    <w:p w:rsidR="00D81F69" w:rsidRDefault="00D81F69">
      <w:pPr>
        <w:spacing w:before="2" w:line="312" w:lineRule="auto"/>
        <w:ind w:left="101" w:right="201"/>
        <w:jc w:val="both"/>
        <w:rPr>
          <w:sz w:val="16"/>
        </w:rPr>
      </w:pPr>
      <w:hyperlink r:id="rId1260">
        <w:r w:rsidR="00330118">
          <w:rPr>
            <w:color w:val="231F20"/>
            <w:sz w:val="16"/>
          </w:rPr>
          <w:t>&lt;http://gc.revistaminerios.com.br/Conteudo/Arquivos/Pdf/ROM.pdf&gt;.</w:t>
        </w:r>
      </w:hyperlink>
      <w:r w:rsidR="00330118">
        <w:rPr>
          <w:color w:val="231F20"/>
          <w:sz w:val="16"/>
        </w:rPr>
        <w:t xml:space="preserve"> Acesso em: 05 maio 2014.</w:t>
      </w:r>
    </w:p>
    <w:p w:rsidR="00D81F69" w:rsidRDefault="00330118">
      <w:pPr>
        <w:spacing w:before="2" w:line="312" w:lineRule="auto"/>
        <w:ind w:left="101" w:right="194"/>
        <w:jc w:val="both"/>
        <w:rPr>
          <w:sz w:val="16"/>
        </w:rPr>
      </w:pPr>
      <w:r>
        <w:rPr>
          <w:color w:val="231F20"/>
          <w:sz w:val="16"/>
        </w:rPr>
        <w:t>SÁ, Alana R. C.; FERREIRA. Marcos M.; SANTOS-NEVES, Joanna M.C.O.;  PATCHINEELAM,  Sambasiva  R.;  ALVES,Ana  L. M.;</w:t>
      </w:r>
    </w:p>
    <w:p w:rsidR="00D81F69" w:rsidRDefault="00330118">
      <w:pPr>
        <w:spacing w:before="1" w:line="312" w:lineRule="auto"/>
        <w:ind w:left="101" w:right="188"/>
        <w:jc w:val="both"/>
        <w:rPr>
          <w:sz w:val="16"/>
        </w:rPr>
      </w:pPr>
      <w:r>
        <w:rPr>
          <w:color w:val="231F20"/>
          <w:sz w:val="16"/>
        </w:rPr>
        <w:t>ARARIPE,Denise R.; CASTILHOS, Zuleica C. Comportamento do arsênio em amostras de solos e sedimentos do município de Paracatu, MG, Brasil. A</w:t>
      </w:r>
      <w:r>
        <w:rPr>
          <w:color w:val="231F20"/>
          <w:sz w:val="16"/>
        </w:rPr>
        <w:t xml:space="preserve">nais do XIV Congresso Brasileiro de Geoquimica. Simpósio Latino-Americano de Mapeamento Geoquímico. Casa da Glória, Diamantina – MG, 13- 18 out. 2013. SAMPAIO, João Alves; GONTIJO; Paulo Ferreira; TONDO, Luís Albano.  OURO  –   RIO  PARACATU  MINERAÇÃO  – </w:t>
      </w:r>
      <w:r>
        <w:rPr>
          <w:color w:val="231F20"/>
          <w:sz w:val="16"/>
        </w:rPr>
        <w:t xml:space="preserve">  RPM. </w:t>
      </w:r>
    </w:p>
    <w:p w:rsidR="00D81F69" w:rsidRDefault="00330118">
      <w:pPr>
        <w:spacing w:before="6" w:line="312" w:lineRule="auto"/>
        <w:ind w:left="101" w:right="203"/>
        <w:jc w:val="both"/>
        <w:rPr>
          <w:sz w:val="16"/>
        </w:rPr>
      </w:pPr>
      <w:r>
        <w:rPr>
          <w:color w:val="231F20"/>
          <w:sz w:val="16"/>
        </w:rPr>
        <w:t>Comunicação Técnica elaborada para o Livro Usina de Beneficiamento de Minérios do Brasil. CETEM, Rio de Janeiro, dez. 2002.</w:t>
      </w:r>
    </w:p>
    <w:p w:rsidR="00D81F69" w:rsidRDefault="00330118">
      <w:pPr>
        <w:spacing w:before="2" w:line="312" w:lineRule="auto"/>
        <w:ind w:left="101" w:right="221"/>
        <w:jc w:val="both"/>
        <w:rPr>
          <w:sz w:val="16"/>
        </w:rPr>
      </w:pPr>
      <w:r>
        <w:rPr>
          <w:color w:val="231F20"/>
          <w:sz w:val="16"/>
        </w:rPr>
        <w:t>SANTOS, Maria Carla B.; CASTILHOS, Zuleica C.; BERTOLINO, Luiz Carlos, BIDONE, Edison. Avaliação da contaminação por Arsênio</w:t>
      </w:r>
      <w:r>
        <w:rPr>
          <w:color w:val="231F20"/>
          <w:sz w:val="16"/>
        </w:rPr>
        <w:t xml:space="preserve"> (As) em águas de bacias hidrográficas no Município de Paracatu, MG. XIV Congresso Brasileiro de Geoquimica. Simpósio Latino-Americano de Mapeamento Geoquímico. Casa da Glória, Diamantina – MG, 13- 18 out. 2013.</w:t>
      </w:r>
    </w:p>
    <w:p w:rsidR="00D81F69" w:rsidRDefault="00330118">
      <w:pPr>
        <w:spacing w:before="5" w:line="312" w:lineRule="auto"/>
        <w:ind w:left="101" w:right="205"/>
        <w:jc w:val="both"/>
        <w:rPr>
          <w:sz w:val="16"/>
        </w:rPr>
      </w:pPr>
      <w:r>
        <w:rPr>
          <w:color w:val="231F20"/>
          <w:sz w:val="16"/>
        </w:rPr>
        <w:t>SILVA, Letícia do Nascimento; CASTILHOS, Zul</w:t>
      </w:r>
      <w:r>
        <w:rPr>
          <w:color w:val="231F20"/>
          <w:sz w:val="16"/>
        </w:rPr>
        <w:t>eica Carmem; SILVA, Lílian Irene Dias da. Validação do Método de Determinação de Arsênio em Material Particulado Atmosférico de Paracatu (MG) em Filtros de Fibra de Vidro. XX Jornada de Iniciação Científica do CETEM. Poster 50. Rio de Janeiro, 26 e 27 jul.</w:t>
      </w:r>
      <w:r>
        <w:rPr>
          <w:color w:val="231F20"/>
          <w:sz w:val="16"/>
        </w:rPr>
        <w:t xml:space="preserve"> 2012.</w:t>
      </w:r>
    </w:p>
    <w:p w:rsidR="00D81F69" w:rsidRDefault="00330118">
      <w:pPr>
        <w:spacing w:before="4"/>
        <w:ind w:left="101"/>
        <w:jc w:val="both"/>
        <w:rPr>
          <w:sz w:val="16"/>
        </w:rPr>
      </w:pPr>
      <w:r>
        <w:rPr>
          <w:color w:val="231F20"/>
          <w:sz w:val="16"/>
        </w:rPr>
        <w:t>SOBRAL, Luis; CALDAS, Ary; CHIRINOS, Jaime; CALIZAYA.</w:t>
      </w:r>
    </w:p>
    <w:p w:rsidR="00D81F69" w:rsidRDefault="00330118">
      <w:pPr>
        <w:spacing w:before="56" w:line="312" w:lineRule="auto"/>
        <w:ind w:left="101" w:right="211"/>
        <w:jc w:val="both"/>
        <w:rPr>
          <w:sz w:val="16"/>
        </w:rPr>
      </w:pPr>
      <w:r>
        <w:rPr>
          <w:color w:val="231F20"/>
          <w:sz w:val="16"/>
        </w:rPr>
        <w:t>Federico; GUERRERO, Juan C. Treatment of amalgamation residues for recovering gold and mercury for further minimizing the environmental impact. Comunicação Técnica elaborada para o II Internacion</w:t>
      </w:r>
      <w:r>
        <w:rPr>
          <w:color w:val="231F20"/>
          <w:sz w:val="16"/>
        </w:rPr>
        <w:t>al Workshopon Process Hydrometallurgy – Hydroprocess 2008, Santiago, Chile, 14-16 maio. CETEM, Rio de Janeiro, maio 2008.</w:t>
      </w:r>
    </w:p>
    <w:p w:rsidR="00D81F69" w:rsidRDefault="00330118">
      <w:pPr>
        <w:spacing w:before="4" w:line="312" w:lineRule="auto"/>
        <w:ind w:left="101" w:right="196"/>
        <w:jc w:val="both"/>
        <w:rPr>
          <w:sz w:val="16"/>
        </w:rPr>
      </w:pPr>
      <w:r>
        <w:rPr>
          <w:color w:val="231F20"/>
          <w:sz w:val="16"/>
        </w:rPr>
        <w:t>SOUZA; Keila Valente; FERNANDES, Francisco Rego Chaves; ALAMINO, Renata de Carvalho Jimenez. Paracatu (MG): o conflito entre o “Rio Bom” e a mineração. In: FERNANDES, Francisco Rego Chaves; ENRIQUEZ, Maria Amélia; ALAMINO, Renata de Carvalho Jimenez (Eds.)</w:t>
      </w:r>
      <w:r>
        <w:rPr>
          <w:color w:val="231F20"/>
          <w:sz w:val="16"/>
        </w:rPr>
        <w:t>. Recursos Minerais e Territorialidade: v. 1, p.259-282. Grandes Minas e Comunidades Locais, CETEM/MCTI, 2011. Disponível em:</w:t>
      </w:r>
    </w:p>
    <w:p w:rsidR="00D81F69" w:rsidRDefault="00D81F69">
      <w:pPr>
        <w:spacing w:before="6"/>
        <w:ind w:left="101"/>
        <w:jc w:val="both"/>
        <w:rPr>
          <w:sz w:val="16"/>
        </w:rPr>
      </w:pPr>
      <w:hyperlink r:id="rId1261">
        <w:r w:rsidR="00330118">
          <w:rPr>
            <w:color w:val="231F20"/>
            <w:sz w:val="16"/>
          </w:rPr>
          <w:t>&lt;http://www.cetem.gov.br/publicacao/livros/Vol_1_GR</w:t>
        </w:r>
        <w:r w:rsidR="00330118">
          <w:rPr>
            <w:color w:val="231F20"/>
            <w:sz w:val="16"/>
          </w:rPr>
          <w:t>ANDES_MINAS</w:t>
        </w:r>
      </w:hyperlink>
    </w:p>
    <w:p w:rsidR="00D81F69" w:rsidRDefault="00330118">
      <w:pPr>
        <w:spacing w:before="56"/>
        <w:ind w:left="101"/>
        <w:jc w:val="both"/>
        <w:rPr>
          <w:sz w:val="16"/>
        </w:rPr>
      </w:pPr>
      <w:r>
        <w:rPr>
          <w:color w:val="231F20"/>
          <w:sz w:val="16"/>
        </w:rPr>
        <w:t>_TOTAL.pdf&gt;. Acesso em: 29 de jan. 2012.</w:t>
      </w:r>
    </w:p>
    <w:p w:rsidR="00D81F69" w:rsidRDefault="00330118">
      <w:pPr>
        <w:spacing w:before="56" w:line="312" w:lineRule="auto"/>
        <w:ind w:left="101" w:right="214"/>
        <w:jc w:val="both"/>
        <w:rPr>
          <w:sz w:val="16"/>
        </w:rPr>
      </w:pPr>
      <w:r>
        <w:rPr>
          <w:color w:val="231F20"/>
          <w:sz w:val="16"/>
        </w:rPr>
        <w:t>VERDE, Rodrigo Braga da Rocha Villa; FERNANDES, Francisco Rego Chaves. Impactos da mineração e da agroindústria em Paracatu (MG): ênfase em recursos hídricos. In: Anais XVIII JIC. Rio de Janeiro, 2010.</w:t>
      </w:r>
    </w:p>
    <w:p w:rsidR="00D81F69" w:rsidRDefault="00330118">
      <w:pPr>
        <w:spacing w:before="3" w:line="312" w:lineRule="auto"/>
        <w:ind w:left="101" w:right="201"/>
        <w:jc w:val="both"/>
        <w:rPr>
          <w:sz w:val="16"/>
        </w:rPr>
      </w:pPr>
      <w:r>
        <w:rPr>
          <w:color w:val="231F20"/>
          <w:sz w:val="16"/>
        </w:rPr>
        <w:t>P</w:t>
      </w:r>
      <w:r>
        <w:rPr>
          <w:color w:val="231F20"/>
          <w:sz w:val="16"/>
        </w:rPr>
        <w:t>ARACATU.NET. Relatório afirma que não há contaminação por arsênio em Paracatu. WebReporter, 18 mar. 2014. Disponível em:</w:t>
      </w:r>
    </w:p>
    <w:p w:rsidR="00D81F69" w:rsidRDefault="00D81F69">
      <w:pPr>
        <w:spacing w:before="1"/>
        <w:ind w:left="101"/>
        <w:jc w:val="both"/>
        <w:rPr>
          <w:sz w:val="16"/>
        </w:rPr>
      </w:pPr>
      <w:hyperlink r:id="rId1262">
        <w:r w:rsidR="00330118">
          <w:rPr>
            <w:color w:val="231F20"/>
            <w:sz w:val="16"/>
          </w:rPr>
          <w:t>&lt;http://paracatu.net/view/5230-relatorio-afirma-que-nao-ha-</w:t>
        </w:r>
      </w:hyperlink>
    </w:p>
    <w:p w:rsidR="00D81F69" w:rsidRDefault="00330118">
      <w:pPr>
        <w:spacing w:before="56"/>
        <w:ind w:left="101"/>
        <w:jc w:val="both"/>
        <w:rPr>
          <w:sz w:val="16"/>
        </w:rPr>
      </w:pPr>
      <w:r>
        <w:rPr>
          <w:color w:val="231F20"/>
          <w:sz w:val="16"/>
        </w:rPr>
        <w:t>contaminacao-por-arsenio-em-paracatu/&gt;. Acesso em: 29 abr. 2014.</w:t>
      </w:r>
    </w:p>
    <w:p w:rsidR="00D81F69" w:rsidRDefault="00D81F69">
      <w:pPr>
        <w:jc w:val="both"/>
        <w:rPr>
          <w:sz w:val="16"/>
        </w:rPr>
        <w:sectPr w:rsidR="00D81F69">
          <w:pgSz w:w="11910" w:h="16840"/>
          <w:pgMar w:top="740" w:right="500" w:bottom="640" w:left="620" w:header="0" w:footer="402" w:gutter="0"/>
          <w:cols w:num="2" w:space="720" w:equalWidth="0">
            <w:col w:w="5160" w:space="310"/>
            <w:col w:w="5320"/>
          </w:cols>
        </w:sectPr>
      </w:pPr>
    </w:p>
    <w:p w:rsidR="00D81F69" w:rsidRDefault="00330118">
      <w:pPr>
        <w:pStyle w:val="Heading1"/>
        <w:spacing w:line="208" w:lineRule="auto"/>
      </w:pPr>
      <w:r>
        <w:rPr>
          <w:spacing w:val="13"/>
        </w:rPr>
        <w:lastRenderedPageBreak/>
        <w:t xml:space="preserve">Arsênio </w:t>
      </w:r>
      <w:r>
        <w:rPr>
          <w:spacing w:val="7"/>
        </w:rPr>
        <w:t xml:space="preserve">na </w:t>
      </w:r>
      <w:r>
        <w:rPr>
          <w:spacing w:val="11"/>
        </w:rPr>
        <w:t xml:space="preserve">água </w:t>
      </w:r>
      <w:r>
        <w:rPr>
          <w:spacing w:val="7"/>
        </w:rPr>
        <w:t xml:space="preserve">de </w:t>
      </w:r>
      <w:r>
        <w:rPr>
          <w:spacing w:val="11"/>
        </w:rPr>
        <w:t xml:space="preserve">Ouro </w:t>
      </w:r>
      <w:r>
        <w:rPr>
          <w:spacing w:val="12"/>
        </w:rPr>
        <w:t xml:space="preserve">Preto </w:t>
      </w:r>
      <w:r>
        <w:t xml:space="preserve">e </w:t>
      </w:r>
      <w:r>
        <w:rPr>
          <w:spacing w:val="13"/>
        </w:rPr>
        <w:t xml:space="preserve">Mariana </w:t>
      </w:r>
      <w:r>
        <w:rPr>
          <w:spacing w:val="11"/>
        </w:rPr>
        <w:t xml:space="preserve">(MG) </w:t>
      </w:r>
      <w:r>
        <w:t xml:space="preserve">é </w:t>
      </w:r>
      <w:r>
        <w:rPr>
          <w:spacing w:val="15"/>
        </w:rPr>
        <w:t xml:space="preserve">creditado </w:t>
      </w:r>
      <w:r>
        <w:t xml:space="preserve">à </w:t>
      </w:r>
      <w:r>
        <w:rPr>
          <w:spacing w:val="15"/>
        </w:rPr>
        <w:t xml:space="preserve">mineração </w:t>
      </w:r>
      <w:r>
        <w:rPr>
          <w:spacing w:val="7"/>
        </w:rPr>
        <w:t>de</w:t>
      </w:r>
      <w:r>
        <w:rPr>
          <w:spacing w:val="75"/>
        </w:rPr>
        <w:t xml:space="preserve"> </w:t>
      </w:r>
      <w:r>
        <w:rPr>
          <w:spacing w:val="16"/>
        </w:rPr>
        <w:t>ouro</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20"/>
        <w:rPr>
          <w:i/>
          <w:sz w:val="14"/>
        </w:rPr>
      </w:pPr>
      <w:r>
        <w:rPr>
          <w:i/>
          <w:sz w:val="14"/>
        </w:rPr>
        <w:t>MG - Mariana MG - Ouro Preto</w:t>
      </w:r>
    </w:p>
    <w:p w:rsidR="00D81F69" w:rsidRDefault="00D81F69">
      <w:pPr>
        <w:pStyle w:val="Corpodetexto"/>
        <w:spacing w:before="4"/>
        <w:ind w:left="0"/>
        <w:jc w:val="left"/>
        <w:rPr>
          <w:i/>
        </w:rPr>
      </w:pPr>
    </w:p>
    <w:p w:rsidR="00D81F69" w:rsidRDefault="00330118">
      <w:pPr>
        <w:spacing w:before="1"/>
        <w:ind w:left="135"/>
        <w:rPr>
          <w:i/>
          <w:sz w:val="14"/>
        </w:rPr>
      </w:pPr>
      <w:r>
        <w:rPr>
          <w:i/>
          <w:sz w:val="14"/>
        </w:rPr>
        <w:t>LATITUDE</w:t>
      </w:r>
    </w:p>
    <w:p w:rsidR="00D81F69" w:rsidRDefault="00330118">
      <w:pPr>
        <w:spacing w:before="49"/>
        <w:ind w:left="135"/>
        <w:rPr>
          <w:i/>
          <w:sz w:val="14"/>
        </w:rPr>
      </w:pPr>
      <w:r>
        <w:rPr>
          <w:i/>
          <w:sz w:val="14"/>
        </w:rPr>
        <w:t>-20,1775</w:t>
      </w:r>
    </w:p>
    <w:p w:rsidR="00D81F69" w:rsidRDefault="00D81F69">
      <w:pPr>
        <w:pStyle w:val="Corpodetexto"/>
        <w:spacing w:before="5"/>
        <w:ind w:left="0"/>
        <w:jc w:val="left"/>
        <w:rPr>
          <w:i/>
          <w:sz w:val="22"/>
        </w:rPr>
      </w:pPr>
    </w:p>
    <w:p w:rsidR="00D81F69" w:rsidRDefault="00330118">
      <w:pPr>
        <w:spacing w:before="1"/>
        <w:ind w:left="135"/>
        <w:rPr>
          <w:i/>
          <w:sz w:val="14"/>
        </w:rPr>
      </w:pPr>
      <w:r>
        <w:rPr>
          <w:i/>
          <w:sz w:val="14"/>
        </w:rPr>
        <w:t>LONGITUDE</w:t>
      </w:r>
    </w:p>
    <w:p w:rsidR="00D81F69" w:rsidRDefault="00330118">
      <w:pPr>
        <w:spacing w:before="49"/>
        <w:ind w:left="135"/>
        <w:rPr>
          <w:i/>
          <w:sz w:val="14"/>
        </w:rPr>
      </w:pPr>
      <w:r>
        <w:rPr>
          <w:i/>
          <w:sz w:val="14"/>
        </w:rPr>
        <w:t>-43,2041</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7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pacing w:val="3"/>
          <w:sz w:val="16"/>
        </w:rPr>
        <w:t xml:space="preserve">Pesquisas recentes registraram </w:t>
      </w:r>
      <w:r>
        <w:rPr>
          <w:i/>
          <w:spacing w:val="5"/>
          <w:sz w:val="16"/>
        </w:rPr>
        <w:t xml:space="preserve">altas </w:t>
      </w:r>
      <w:r>
        <w:rPr>
          <w:i/>
          <w:spacing w:val="20"/>
          <w:sz w:val="16"/>
        </w:rPr>
        <w:t>doses</w:t>
      </w:r>
      <w:r>
        <w:rPr>
          <w:i/>
          <w:spacing w:val="85"/>
          <w:sz w:val="16"/>
        </w:rPr>
        <w:t xml:space="preserve"> </w:t>
      </w:r>
      <w:r>
        <w:rPr>
          <w:i/>
          <w:spacing w:val="12"/>
          <w:sz w:val="16"/>
        </w:rPr>
        <w:t xml:space="preserve">de </w:t>
      </w:r>
      <w:r>
        <w:rPr>
          <w:i/>
          <w:spacing w:val="22"/>
          <w:sz w:val="16"/>
        </w:rPr>
        <w:t xml:space="preserve">arsênio </w:t>
      </w:r>
      <w:r>
        <w:rPr>
          <w:i/>
          <w:spacing w:val="12"/>
          <w:sz w:val="16"/>
        </w:rPr>
        <w:t xml:space="preserve">em </w:t>
      </w:r>
      <w:r>
        <w:rPr>
          <w:i/>
          <w:spacing w:val="20"/>
          <w:sz w:val="16"/>
        </w:rPr>
        <w:t xml:space="preserve">águas </w:t>
      </w:r>
      <w:r>
        <w:rPr>
          <w:i/>
          <w:sz w:val="16"/>
        </w:rPr>
        <w:t xml:space="preserve">subterrâneas que abastecem as cidades </w:t>
      </w:r>
      <w:r>
        <w:rPr>
          <w:i/>
          <w:spacing w:val="2"/>
          <w:sz w:val="16"/>
        </w:rPr>
        <w:t xml:space="preserve">de </w:t>
      </w:r>
      <w:r>
        <w:rPr>
          <w:i/>
          <w:spacing w:val="5"/>
          <w:sz w:val="16"/>
        </w:rPr>
        <w:t xml:space="preserve">Ouro Preto </w:t>
      </w:r>
      <w:r>
        <w:rPr>
          <w:i/>
          <w:sz w:val="16"/>
        </w:rPr>
        <w:t xml:space="preserve">e </w:t>
      </w:r>
      <w:r>
        <w:rPr>
          <w:i/>
          <w:spacing w:val="5"/>
          <w:sz w:val="16"/>
        </w:rPr>
        <w:t xml:space="preserve">Mariana, </w:t>
      </w:r>
      <w:r>
        <w:rPr>
          <w:i/>
          <w:spacing w:val="2"/>
          <w:sz w:val="16"/>
        </w:rPr>
        <w:t xml:space="preserve">em </w:t>
      </w:r>
      <w:r>
        <w:rPr>
          <w:i/>
          <w:spacing w:val="6"/>
          <w:sz w:val="16"/>
        </w:rPr>
        <w:t xml:space="preserve">Minas </w:t>
      </w:r>
      <w:r>
        <w:rPr>
          <w:i/>
          <w:spacing w:val="5"/>
          <w:sz w:val="16"/>
        </w:rPr>
        <w:t xml:space="preserve">Gerais. </w:t>
      </w:r>
      <w:r>
        <w:rPr>
          <w:i/>
          <w:sz w:val="16"/>
        </w:rPr>
        <w:t xml:space="preserve">A </w:t>
      </w:r>
      <w:r>
        <w:rPr>
          <w:i/>
          <w:spacing w:val="5"/>
          <w:sz w:val="16"/>
        </w:rPr>
        <w:t xml:space="preserve">contaminação </w:t>
      </w:r>
      <w:r>
        <w:rPr>
          <w:i/>
          <w:sz w:val="16"/>
        </w:rPr>
        <w:t xml:space="preserve">é </w:t>
      </w:r>
      <w:r>
        <w:rPr>
          <w:i/>
          <w:spacing w:val="5"/>
          <w:sz w:val="16"/>
        </w:rPr>
        <w:t xml:space="preserve">creditada, </w:t>
      </w:r>
      <w:r>
        <w:rPr>
          <w:i/>
          <w:spacing w:val="10"/>
          <w:sz w:val="16"/>
        </w:rPr>
        <w:t xml:space="preserve">sobretudo, </w:t>
      </w:r>
      <w:r>
        <w:rPr>
          <w:i/>
          <w:spacing w:val="5"/>
          <w:sz w:val="16"/>
        </w:rPr>
        <w:t xml:space="preserve">ao </w:t>
      </w:r>
      <w:r>
        <w:rPr>
          <w:i/>
          <w:spacing w:val="10"/>
          <w:sz w:val="16"/>
        </w:rPr>
        <w:t xml:space="preserve">conjunto </w:t>
      </w:r>
      <w:r>
        <w:rPr>
          <w:i/>
          <w:spacing w:val="5"/>
          <w:sz w:val="16"/>
        </w:rPr>
        <w:t xml:space="preserve">de </w:t>
      </w:r>
      <w:r>
        <w:rPr>
          <w:i/>
          <w:spacing w:val="10"/>
          <w:sz w:val="16"/>
        </w:rPr>
        <w:t xml:space="preserve">danos </w:t>
      </w:r>
      <w:r>
        <w:rPr>
          <w:i/>
          <w:spacing w:val="13"/>
          <w:sz w:val="16"/>
        </w:rPr>
        <w:t xml:space="preserve">causados </w:t>
      </w:r>
      <w:r>
        <w:rPr>
          <w:i/>
          <w:spacing w:val="11"/>
          <w:sz w:val="16"/>
        </w:rPr>
        <w:t xml:space="preserve">pela </w:t>
      </w:r>
      <w:r>
        <w:rPr>
          <w:i/>
          <w:spacing w:val="12"/>
          <w:sz w:val="16"/>
        </w:rPr>
        <w:t xml:space="preserve">intensa </w:t>
      </w:r>
      <w:r>
        <w:rPr>
          <w:i/>
          <w:spacing w:val="13"/>
          <w:sz w:val="16"/>
        </w:rPr>
        <w:t xml:space="preserve">atividade </w:t>
      </w:r>
      <w:r>
        <w:rPr>
          <w:i/>
          <w:sz w:val="16"/>
        </w:rPr>
        <w:t>mineradora de ouro na região durante os últimos 300 anos.</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7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07"/>
      </w:pPr>
      <w:r>
        <w:t>Saúde (OMS) para o consumo humano é de 10 µg/L. Na maioria dos pontos analisados, a quantidade excedeu esta medida (GARDENAL, 2002).</w:t>
      </w:r>
    </w:p>
    <w:p w:rsidR="00D81F69" w:rsidRDefault="00330118">
      <w:pPr>
        <w:pStyle w:val="Corpodetexto"/>
        <w:spacing w:before="69" w:line="270" w:lineRule="atLeast"/>
        <w:ind w:left="135" w:right="217"/>
        <w:jc w:val="left"/>
      </w:pPr>
      <w:r>
        <w:t>O estudo revelou, ainda, a existência, em alguns locais, de quantidade alta de arsênio inorgânico trivalente (As³+), a espécie mais tóxica, em concentrações de até 86 µg/L. Além disso, também foram encontrados vestígios do metalóide no solo da região. Esse</w:t>
      </w:r>
      <w:r>
        <w:t xml:space="preserve"> tipo de situação preocupa quando se sabe que, em algumas áreas próximas aos locais de mineração, as águas são utilizadas no cultivo de alimentos (GARDENAL, 2002).</w:t>
      </w:r>
    </w:p>
    <w:p w:rsidR="00D81F69" w:rsidRDefault="00D81F69">
      <w:pPr>
        <w:spacing w:line="270" w:lineRule="atLeast"/>
        <w:sectPr w:rsidR="00D81F69">
          <w:type w:val="continuous"/>
          <w:pgSz w:w="11900" w:h="16840"/>
          <w:pgMar w:top="720" w:right="500" w:bottom="280" w:left="620" w:header="720" w:footer="720" w:gutter="0"/>
          <w:cols w:num="3" w:space="720" w:equalWidth="0">
            <w:col w:w="1210" w:space="790"/>
            <w:col w:w="3122" w:space="313"/>
            <w:col w:w="5345"/>
          </w:cols>
        </w:sectPr>
      </w:pPr>
    </w:p>
    <w:p w:rsidR="00D81F69" w:rsidRDefault="00330118">
      <w:pPr>
        <w:pStyle w:val="Heading4"/>
        <w:spacing w:line="183" w:lineRule="exact"/>
      </w:pPr>
      <w:r>
        <w:lastRenderedPageBreak/>
        <w:t>APRESENTAÇÃO DE CASO</w:t>
      </w:r>
    </w:p>
    <w:p w:rsidR="00D81F69" w:rsidRDefault="00330118">
      <w:pPr>
        <w:pStyle w:val="Corpodetexto"/>
        <w:spacing w:before="170" w:line="312" w:lineRule="auto"/>
        <w:ind w:right="61"/>
      </w:pPr>
      <w:r>
        <w:t>No Quadrilátero Ferrífero, o abastecime</w:t>
      </w:r>
      <w:r>
        <w:t>nto público de água provém majoritariamente das bacias hidrográficas do alto do rio das Velhas e do rio Doce. Em 2002, uma análise realizada pelo Instituto Mineiro de Gestão das Águas (IGAM) revelou a presença de elevada contaminação por esgoto e alguns me</w:t>
      </w:r>
      <w:r>
        <w:t>tais pesados em diversos pontos dos rios que abastecem a região (BORBA; FIGUEIREDO; CAVALCANTI, 2006).</w:t>
      </w:r>
    </w:p>
    <w:p w:rsidR="00D81F69" w:rsidRDefault="00330118">
      <w:pPr>
        <w:pStyle w:val="Corpodetexto"/>
        <w:spacing w:before="136" w:line="312" w:lineRule="auto"/>
        <w:ind w:right="38"/>
      </w:pPr>
      <w:r>
        <w:t>A água que chega às casas da população dos municípios de Ouro Preto e Mariana, entretanto, possui outra origem: provém da captação de água superficial de</w:t>
      </w:r>
      <w:r>
        <w:t xml:space="preserve"> nascentes. Em Ouro Preto, as águas subterrâneas presentes em antigas minas de ouro podem eventualmente ser utilizadas pelos habitantes. Apesar de estarem livres de parte da poluição, estas águas podem trazer outro perigo para a saúde, a presença de doses </w:t>
      </w:r>
      <w:r>
        <w:t xml:space="preserve">significativas de </w:t>
      </w:r>
      <w:hyperlink r:id="rId1263">
        <w:r>
          <w:t>arsênio</w:t>
        </w:r>
      </w:hyperlink>
      <w:r>
        <w:t xml:space="preserve"> (BORBA; FIGUEIREDO; CAVALCANTI, 2004).</w:t>
      </w:r>
    </w:p>
    <w:p w:rsidR="00D81F69" w:rsidRDefault="00330118">
      <w:pPr>
        <w:pStyle w:val="Corpodetexto"/>
        <w:spacing w:before="139" w:line="312" w:lineRule="auto"/>
        <w:ind w:right="47"/>
      </w:pPr>
      <w:r>
        <w:t xml:space="preserve">O </w:t>
      </w:r>
      <w:r>
        <w:rPr>
          <w:spacing w:val="3"/>
        </w:rPr>
        <w:t xml:space="preserve">minério </w:t>
      </w:r>
      <w:r>
        <w:rPr>
          <w:spacing w:val="1"/>
        </w:rPr>
        <w:t xml:space="preserve">de </w:t>
      </w:r>
      <w:r>
        <w:rPr>
          <w:spacing w:val="2"/>
        </w:rPr>
        <w:t xml:space="preserve">onde </w:t>
      </w:r>
      <w:r>
        <w:t xml:space="preserve">é </w:t>
      </w:r>
      <w:r>
        <w:rPr>
          <w:spacing w:val="3"/>
        </w:rPr>
        <w:t xml:space="preserve">extraído </w:t>
      </w:r>
      <w:r>
        <w:t xml:space="preserve">o </w:t>
      </w:r>
      <w:r>
        <w:rPr>
          <w:spacing w:val="2"/>
        </w:rPr>
        <w:t xml:space="preserve">ouro </w:t>
      </w:r>
      <w:r>
        <w:rPr>
          <w:spacing w:val="1"/>
        </w:rPr>
        <w:t xml:space="preserve">de </w:t>
      </w:r>
      <w:r>
        <w:rPr>
          <w:spacing w:val="3"/>
        </w:rPr>
        <w:t xml:space="preserve">muitas minas </w:t>
      </w:r>
      <w:r>
        <w:rPr>
          <w:spacing w:val="5"/>
        </w:rPr>
        <w:t xml:space="preserve">do </w:t>
      </w:r>
      <w:r>
        <w:t>Brasil costuma ser rico em arsenopirita, o que</w:t>
      </w:r>
      <w:r>
        <w:t xml:space="preserve"> quer dizer que  o ouro encontra-se associado ao arsênio, elemento altamente tóxico. Características geológicas semelhantes ocorrem, por </w:t>
      </w:r>
      <w:r>
        <w:rPr>
          <w:spacing w:val="1"/>
        </w:rPr>
        <w:t xml:space="preserve">exemplo, </w:t>
      </w:r>
      <w:r>
        <w:t xml:space="preserve">em </w:t>
      </w:r>
      <w:r>
        <w:rPr>
          <w:spacing w:val="1"/>
        </w:rPr>
        <w:t xml:space="preserve">Crixás (GO); </w:t>
      </w:r>
      <w:r>
        <w:t xml:space="preserve">no </w:t>
      </w:r>
      <w:r>
        <w:rPr>
          <w:spacing w:val="1"/>
        </w:rPr>
        <w:t xml:space="preserve">Morro </w:t>
      </w:r>
      <w:r>
        <w:t xml:space="preserve">do </w:t>
      </w:r>
      <w:r>
        <w:rPr>
          <w:spacing w:val="1"/>
        </w:rPr>
        <w:t xml:space="preserve">Ouro, </w:t>
      </w:r>
      <w:r>
        <w:t xml:space="preserve">em </w:t>
      </w:r>
      <w:r>
        <w:rPr>
          <w:spacing w:val="2"/>
        </w:rPr>
        <w:t xml:space="preserve">Paracatu </w:t>
      </w:r>
      <w:r>
        <w:t xml:space="preserve">(MG); e na Fazenda Brasileiro (BA) (FIGUEIREDO; BORBA; </w:t>
      </w:r>
      <w:r>
        <w:rPr>
          <w:spacing w:val="3"/>
        </w:rPr>
        <w:t>ANGÉLICA,</w:t>
      </w:r>
      <w:r>
        <w:rPr>
          <w:spacing w:val="3"/>
        </w:rPr>
        <w:t xml:space="preserve"> 2006). </w:t>
      </w:r>
      <w:r>
        <w:rPr>
          <w:spacing w:val="1"/>
        </w:rPr>
        <w:t xml:space="preserve">Em </w:t>
      </w:r>
      <w:r>
        <w:rPr>
          <w:spacing w:val="3"/>
        </w:rPr>
        <w:t xml:space="preserve">todos esses locais, </w:t>
      </w:r>
      <w:r>
        <w:rPr>
          <w:spacing w:val="1"/>
        </w:rPr>
        <w:t xml:space="preserve">há </w:t>
      </w:r>
      <w:r>
        <w:rPr>
          <w:spacing w:val="5"/>
        </w:rPr>
        <w:t xml:space="preserve">quantidade </w:t>
      </w:r>
      <w:r>
        <w:rPr>
          <w:spacing w:val="10"/>
        </w:rPr>
        <w:t xml:space="preserve">considerável </w:t>
      </w:r>
      <w:r>
        <w:rPr>
          <w:spacing w:val="5"/>
        </w:rPr>
        <w:t xml:space="preserve">de </w:t>
      </w:r>
      <w:r>
        <w:rPr>
          <w:spacing w:val="8"/>
        </w:rPr>
        <w:t xml:space="preserve">arsênio </w:t>
      </w:r>
      <w:r>
        <w:rPr>
          <w:spacing w:val="6"/>
        </w:rPr>
        <w:t xml:space="preserve">nos </w:t>
      </w:r>
      <w:r>
        <w:rPr>
          <w:spacing w:val="8"/>
        </w:rPr>
        <w:t xml:space="preserve">rejeitos </w:t>
      </w:r>
      <w:r>
        <w:rPr>
          <w:spacing w:val="5"/>
        </w:rPr>
        <w:t xml:space="preserve">do </w:t>
      </w:r>
      <w:r>
        <w:rPr>
          <w:spacing w:val="8"/>
        </w:rPr>
        <w:t xml:space="preserve">processo </w:t>
      </w:r>
      <w:r>
        <w:rPr>
          <w:spacing w:val="10"/>
        </w:rPr>
        <w:t xml:space="preserve">de </w:t>
      </w:r>
      <w:r>
        <w:t>mineração, razão pela qual a gestão deste material deve ser feita com muita atenção às normas ambientais (GARDENAL, 2002).</w:t>
      </w:r>
    </w:p>
    <w:p w:rsidR="00D81F69" w:rsidRDefault="00330118">
      <w:pPr>
        <w:pStyle w:val="Corpodetexto"/>
        <w:spacing w:before="140" w:line="312" w:lineRule="auto"/>
        <w:ind w:right="61"/>
      </w:pPr>
      <w:r>
        <w:t>Pesquisas realizadas em Ouro Preto e</w:t>
      </w:r>
      <w:r>
        <w:t xml:space="preserve"> Mariana associam a contaminação ao acúmulo de rejeitos provenientes de mais  </w:t>
      </w:r>
      <w:r>
        <w:rPr>
          <w:spacing w:val="2"/>
        </w:rPr>
        <w:t xml:space="preserve">de </w:t>
      </w:r>
      <w:r>
        <w:rPr>
          <w:spacing w:val="3"/>
        </w:rPr>
        <w:t xml:space="preserve">três </w:t>
      </w:r>
      <w:r>
        <w:rPr>
          <w:spacing w:val="5"/>
        </w:rPr>
        <w:t xml:space="preserve">séculos </w:t>
      </w:r>
      <w:r>
        <w:rPr>
          <w:spacing w:val="2"/>
        </w:rPr>
        <w:t xml:space="preserve">de </w:t>
      </w:r>
      <w:r>
        <w:rPr>
          <w:spacing w:val="5"/>
        </w:rPr>
        <w:t xml:space="preserve">mineração </w:t>
      </w:r>
      <w:r>
        <w:rPr>
          <w:spacing w:val="2"/>
        </w:rPr>
        <w:t xml:space="preserve">de </w:t>
      </w:r>
      <w:r>
        <w:rPr>
          <w:spacing w:val="3"/>
        </w:rPr>
        <w:t xml:space="preserve">ouro </w:t>
      </w:r>
      <w:r>
        <w:rPr>
          <w:spacing w:val="2"/>
        </w:rPr>
        <w:t xml:space="preserve">em </w:t>
      </w:r>
      <w:r>
        <w:rPr>
          <w:spacing w:val="3"/>
        </w:rPr>
        <w:t xml:space="preserve">Minas </w:t>
      </w:r>
      <w:r>
        <w:rPr>
          <w:spacing w:val="5"/>
        </w:rPr>
        <w:t xml:space="preserve">Gerais </w:t>
      </w:r>
      <w:r>
        <w:t>(BORBA;</w:t>
      </w:r>
      <w:r>
        <w:rPr>
          <w:spacing w:val="28"/>
        </w:rPr>
        <w:t xml:space="preserve"> </w:t>
      </w:r>
      <w:r>
        <w:t>FIGUEIREDO;</w:t>
      </w:r>
      <w:r>
        <w:rPr>
          <w:spacing w:val="28"/>
        </w:rPr>
        <w:t xml:space="preserve"> </w:t>
      </w:r>
      <w:r>
        <w:t>CAVALCANTI,</w:t>
      </w:r>
      <w:r>
        <w:rPr>
          <w:spacing w:val="28"/>
        </w:rPr>
        <w:t xml:space="preserve"> </w:t>
      </w:r>
      <w:r>
        <w:t>2004;</w:t>
      </w:r>
      <w:r>
        <w:rPr>
          <w:spacing w:val="28"/>
        </w:rPr>
        <w:t xml:space="preserve"> </w:t>
      </w:r>
      <w:r>
        <w:t>GONÇALVES</w:t>
      </w:r>
    </w:p>
    <w:p w:rsidR="00D81F69" w:rsidRDefault="00330118">
      <w:pPr>
        <w:pStyle w:val="Corpodetexto"/>
        <w:spacing w:before="4" w:line="312" w:lineRule="auto"/>
        <w:ind w:right="51"/>
      </w:pPr>
      <w:r>
        <w:t>et al., 2006). Análises feitas em minas subterrâneas, poços artesianos e nasc</w:t>
      </w:r>
      <w:r>
        <w:t>entes dos municípios revelaram concentrações de arsênio na água que variaram entre 2 e 2.980 µg/L (BORBA; FIGUEIREDO; CAVALCANTI, 2006). A</w:t>
      </w:r>
    </w:p>
    <w:p w:rsidR="00D81F69" w:rsidRDefault="00330118">
      <w:pPr>
        <w:pStyle w:val="Corpodetexto"/>
        <w:spacing w:before="3"/>
      </w:pPr>
      <w:r>
        <w:t>quantidade máxima permitida pela Organização Mundial da</w:t>
      </w:r>
    </w:p>
    <w:p w:rsidR="00D81F69" w:rsidRDefault="00330118">
      <w:pPr>
        <w:pStyle w:val="Corpodetexto"/>
        <w:spacing w:before="9"/>
        <w:ind w:left="0"/>
        <w:jc w:val="left"/>
        <w:rPr>
          <w:sz w:val="16"/>
        </w:rPr>
      </w:pPr>
      <w:r>
        <w:br w:type="column"/>
      </w:r>
    </w:p>
    <w:p w:rsidR="00D81F69" w:rsidRDefault="00330118">
      <w:pPr>
        <w:pStyle w:val="Corpodetexto"/>
        <w:spacing w:line="312" w:lineRule="auto"/>
        <w:ind w:right="213"/>
      </w:pPr>
      <w:r>
        <w:t>Até a década de 1980, o rejeito do processo de mineração do</w:t>
      </w:r>
      <w:r>
        <w:t xml:space="preserve"> ouro era despejado nos rios da região. Desta forma, o arsênio foi sendo gradualmente liberado, e o dano causado ao meio ambiente por essa prática tornou-se uma das heranças da época do ouro em Minas Gerais (GARDENAL, 2002).</w:t>
      </w:r>
    </w:p>
    <w:p w:rsidR="00D81F69" w:rsidRDefault="00330118">
      <w:pPr>
        <w:pStyle w:val="Corpodetexto"/>
        <w:spacing w:before="135" w:line="312" w:lineRule="auto"/>
        <w:ind w:right="195"/>
      </w:pPr>
      <w:r>
        <w:t>Geólogos da Universidade Federa</w:t>
      </w:r>
      <w:r>
        <w:t>l de Ouro Preto realizaram, em 2003, um estudo hidrogeoquímico das águas que chegavam às casas da população do município monitorando as residências pelo período de um ano. Foram detectados vestígios de arsênio em quatro dos 17 pontos monitorados (GONÇALVES</w:t>
      </w:r>
      <w:r>
        <w:t xml:space="preserve"> et al., 2006).</w:t>
      </w:r>
    </w:p>
    <w:p w:rsidR="00D81F69" w:rsidRDefault="00330118">
      <w:pPr>
        <w:pStyle w:val="Corpodetexto"/>
        <w:spacing w:before="136" w:line="312" w:lineRule="auto"/>
        <w:ind w:right="187"/>
      </w:pPr>
      <w:r>
        <w:t xml:space="preserve">Outro estudo, realizado por pesquisadores da Universidade Federal de Minas Gerais (UFMG), entre 1994 e 1998, detectou novos fatores de risco à saúde humana em Ouro Preto e Mariana, desta vez devido à intoxicação por </w:t>
      </w:r>
      <w:hyperlink r:id="rId1264">
        <w:r>
          <w:t>mercúrio.</w:t>
        </w:r>
      </w:hyperlink>
      <w:r>
        <w:t xml:space="preserve"> Tais fatores de risco se devem, em especial, ao fato de a queima do ouro amalgamado ser feita sem o emprego de retorta [equipamento destinado à queima do amá</w:t>
      </w:r>
      <w:r>
        <w:t>lgama em circuito fechado] (DESCHAMPS et al., 1999). Dentre as principais disfunções causadas pela intoxicação por mercúrio, podem-se citar: bronquite aguda, cefaléia, catarata, tremor, fraqueza, insuficiência renal crônica, edema pulmonar agudo, pneumonia</w:t>
      </w:r>
      <w:r>
        <w:t>, etc. (MALM, 1991 apud DESCHAMPS et al., 1999).</w:t>
      </w:r>
    </w:p>
    <w:p w:rsidR="00D81F69" w:rsidRDefault="00330118">
      <w:pPr>
        <w:pStyle w:val="Corpodetexto"/>
        <w:spacing w:before="142" w:line="312" w:lineRule="auto"/>
        <w:ind w:right="189"/>
      </w:pPr>
      <w:r>
        <w:t>As atividades mineradoras em Minas Gerais tiveram início no final do século XVII, quando expedições comandadas por bandeirantes descobriram ouro no local. Com a notícia, hordas de aventureiros se mobilizaram e migraram para Minas em busca de fortuna. Já na</w:t>
      </w:r>
      <w:r>
        <w:t>s primeiras décadas do século XVIII, havia mais de 40 mil pessoas habitando a cidade de Vila Rica, futura Ouro Preto (OURO PRETO, 2010).</w:t>
      </w:r>
    </w:p>
    <w:p w:rsidR="00D81F69" w:rsidRDefault="00330118">
      <w:pPr>
        <w:pStyle w:val="Corpodetexto"/>
        <w:spacing w:before="73" w:line="270" w:lineRule="atLeast"/>
        <w:ind w:right="193"/>
      </w:pPr>
      <w:r>
        <w:t>No início do século XIX, o ouro, cuja produção escasseara, perdeu importância na economia brasileira, o que levou à dec</w:t>
      </w:r>
      <w:r>
        <w:t>adência de Vila Rica. Embora numa escala muito menor, a mineração em busca de ouro continuaria ocorrendo na região, com todas as suas consequências ambientais (OURO PRETO, 2010).</w:t>
      </w:r>
    </w:p>
    <w:p w:rsidR="00D81F69" w:rsidRDefault="00D81F69">
      <w:pPr>
        <w:spacing w:line="270" w:lineRule="atLeast"/>
        <w:sectPr w:rsidR="00D81F69">
          <w:type w:val="continuous"/>
          <w:pgSz w:w="11900" w:h="16840"/>
          <w:pgMar w:top="720" w:right="500" w:bottom="280" w:left="620" w:header="720" w:footer="720" w:gutter="0"/>
          <w:cols w:num="2" w:space="720" w:equalWidth="0">
            <w:col w:w="5162" w:space="308"/>
            <w:col w:w="5310"/>
          </w:cols>
        </w:sectPr>
      </w:pPr>
    </w:p>
    <w:p w:rsidR="00D81F69" w:rsidRDefault="00D81F69">
      <w:pPr>
        <w:pStyle w:val="Corpodetexto"/>
        <w:ind w:left="0"/>
        <w:jc w:val="left"/>
        <w:rPr>
          <w:sz w:val="22"/>
        </w:rPr>
      </w:pPr>
    </w:p>
    <w:p w:rsidR="00D81F69" w:rsidRDefault="00330118">
      <w:pPr>
        <w:pStyle w:val="Heading7"/>
        <w:spacing w:before="139"/>
        <w:jc w:val="left"/>
      </w:pPr>
      <w:r>
        <w:t>LOCALIZAÇÃO GEOGRÁFICA</w:t>
      </w:r>
    </w:p>
    <w:p w:rsidR="00D81F69" w:rsidRDefault="00330118">
      <w:pPr>
        <w:pStyle w:val="Corpodetexto"/>
        <w:spacing w:before="179" w:line="312" w:lineRule="auto"/>
        <w:ind w:right="43"/>
      </w:pPr>
      <w:r>
        <w:t>O município de Mariana (MG</w:t>
      </w:r>
      <w:r>
        <w:t>) possui múltiplas ocorrências de ouro localizadas na sub-bacia do Rio do Carmo. A mina Cata Preta é a única exceção, pois se localiza na sub-bacia do Rio Piracicaba, próximo ao canal principal de mesmo nome. As duas sub-bacias pertencem à bacia do Rio Doc</w:t>
      </w:r>
      <w:r>
        <w:t>e, que deságua no mar. As minas estão compreendidas entre as latitudes 20°10’39”S - 20°29’7”S e longitudes 43°12’15”W - 43°27’15”W. No município de Ouro Preto existem várias minas de ouro compreendidas entre as latitudes 20°17’41”S - 20°28’9”S e longitudes</w:t>
      </w:r>
      <w:r>
        <w:t xml:space="preserve"> 43°28’22”W - 43°36’40”W. As minas Bico da Pedra, Antonio Pereira, Serra da Brígida, Ouro Preto, Lavras Novas e Bom Jesus das Flores estão localizadas na sub-bacia do Rio do Carmo. As minas Tapera e Ouro Preto estão localizadas na sub-bacia do Rio das Velh</w:t>
      </w:r>
      <w:r>
        <w:t>as, pertencente à bacia do Rio São Francisco.</w:t>
      </w:r>
    </w:p>
    <w:p w:rsidR="00D81F69" w:rsidRDefault="00D81F69">
      <w:pPr>
        <w:pStyle w:val="Corpodetexto"/>
        <w:ind w:left="0"/>
        <w:jc w:val="left"/>
        <w:rPr>
          <w:sz w:val="20"/>
        </w:rPr>
      </w:pPr>
    </w:p>
    <w:p w:rsidR="00D81F69" w:rsidRDefault="00330118">
      <w:pPr>
        <w:pStyle w:val="Heading7"/>
        <w:spacing w:before="115"/>
        <w:jc w:val="left"/>
      </w:pPr>
      <w:r>
        <w:t>REDATORES</w:t>
      </w:r>
    </w:p>
    <w:p w:rsidR="00D81F69" w:rsidRDefault="00330118">
      <w:pPr>
        <w:pStyle w:val="Corpodetexto"/>
        <w:spacing w:before="179"/>
        <w:jc w:val="left"/>
      </w:pPr>
      <w:r>
        <w:t>Pedro Schprejer</w:t>
      </w:r>
    </w:p>
    <w:p w:rsidR="00D81F69" w:rsidRDefault="00D81F69">
      <w:pPr>
        <w:pStyle w:val="Corpodetexto"/>
        <w:ind w:left="0"/>
        <w:jc w:val="left"/>
        <w:rPr>
          <w:sz w:val="20"/>
        </w:rPr>
      </w:pPr>
    </w:p>
    <w:p w:rsidR="00D81F69" w:rsidRDefault="00330118">
      <w:pPr>
        <w:pStyle w:val="Heading7"/>
        <w:spacing w:before="164"/>
        <w:jc w:val="left"/>
      </w:pPr>
      <w:r>
        <w:t>REFERÊNCIAS BIBLIOGRÁFICAS</w:t>
      </w:r>
    </w:p>
    <w:p w:rsidR="00D81F69" w:rsidRDefault="00330118">
      <w:pPr>
        <w:spacing w:before="188" w:line="312" w:lineRule="auto"/>
        <w:ind w:left="100" w:right="53"/>
        <w:jc w:val="both"/>
        <w:rPr>
          <w:sz w:val="16"/>
        </w:rPr>
      </w:pPr>
      <w:r>
        <w:rPr>
          <w:sz w:val="16"/>
        </w:rPr>
        <w:t>BORBA, Ricardo Perobelli; FIGUEIREDO, Bernardino Ribeiro; CAVALCANTI, José Adilson. Arsênio na água subterrânea em Ouro Preto e Mariana, Quadrilátero Ferrí</w:t>
      </w:r>
      <w:r>
        <w:rPr>
          <w:sz w:val="16"/>
        </w:rPr>
        <w:t>fero (MG). Revista Escola de Minas vol. 57 n. 1, Ouro Preto, jan - mar, 2004. Disponível em:</w:t>
      </w:r>
    </w:p>
    <w:p w:rsidR="00D81F69" w:rsidRDefault="00D81F69">
      <w:pPr>
        <w:spacing w:before="3" w:line="312" w:lineRule="auto"/>
        <w:ind w:left="100"/>
        <w:rPr>
          <w:sz w:val="16"/>
        </w:rPr>
      </w:pPr>
      <w:hyperlink r:id="rId1265">
        <w:r w:rsidR="00330118">
          <w:rPr>
            <w:sz w:val="16"/>
          </w:rPr>
          <w:t xml:space="preserve">&lt;http://www.scielo.br/scielo.php?pid=S0370- </w:t>
        </w:r>
      </w:hyperlink>
      <w:r w:rsidR="00330118">
        <w:rPr>
          <w:sz w:val="16"/>
        </w:rPr>
        <w:t>44672004000100009&amp;script=sci_arttext&gt;. Acesso em: 12 maio 2</w:t>
      </w:r>
      <w:r w:rsidR="00330118">
        <w:rPr>
          <w:sz w:val="16"/>
        </w:rPr>
        <w:t>011.</w:t>
      </w:r>
    </w:p>
    <w:p w:rsidR="00D81F69" w:rsidRDefault="00330118">
      <w:pPr>
        <w:tabs>
          <w:tab w:val="left" w:pos="1874"/>
          <w:tab w:val="left" w:pos="2933"/>
          <w:tab w:val="left" w:pos="4699"/>
        </w:tabs>
        <w:spacing w:before="70" w:line="312" w:lineRule="auto"/>
        <w:ind w:left="100" w:right="159"/>
        <w:rPr>
          <w:sz w:val="16"/>
        </w:rPr>
      </w:pPr>
      <w:r>
        <w:br w:type="column"/>
      </w:r>
      <w:r>
        <w:rPr>
          <w:spacing w:val="5"/>
          <w:sz w:val="16"/>
        </w:rPr>
        <w:lastRenderedPageBreak/>
        <w:t xml:space="preserve">DESCHAMPS, Eleonora; CUSSIOL, Noil Amorim </w:t>
      </w:r>
      <w:r>
        <w:rPr>
          <w:spacing w:val="2"/>
          <w:sz w:val="16"/>
        </w:rPr>
        <w:t xml:space="preserve">de </w:t>
      </w:r>
      <w:r>
        <w:rPr>
          <w:spacing w:val="6"/>
          <w:sz w:val="16"/>
        </w:rPr>
        <w:t xml:space="preserve">Menezes; </w:t>
      </w:r>
      <w:r>
        <w:rPr>
          <w:spacing w:val="3"/>
          <w:sz w:val="16"/>
        </w:rPr>
        <w:t xml:space="preserve">SANTOS, Maria Guimarães Vieira </w:t>
      </w:r>
      <w:r>
        <w:rPr>
          <w:spacing w:val="2"/>
          <w:sz w:val="16"/>
        </w:rPr>
        <w:t xml:space="preserve">dos; </w:t>
      </w:r>
      <w:r>
        <w:rPr>
          <w:spacing w:val="3"/>
          <w:sz w:val="16"/>
        </w:rPr>
        <w:t xml:space="preserve">FIELDS, David </w:t>
      </w:r>
      <w:r>
        <w:rPr>
          <w:spacing w:val="5"/>
          <w:sz w:val="16"/>
        </w:rPr>
        <w:t xml:space="preserve">Edward. </w:t>
      </w:r>
      <w:r>
        <w:rPr>
          <w:sz w:val="16"/>
        </w:rPr>
        <w:t xml:space="preserve">Avaliação de risco ambiental em garimpo de ouro do estado de Minas </w:t>
      </w:r>
      <w:r>
        <w:rPr>
          <w:spacing w:val="7"/>
          <w:sz w:val="16"/>
        </w:rPr>
        <w:t xml:space="preserve">Gerais. </w:t>
      </w:r>
      <w:r>
        <w:rPr>
          <w:spacing w:val="5"/>
          <w:sz w:val="16"/>
        </w:rPr>
        <w:t xml:space="preserve">20º </w:t>
      </w:r>
      <w:r>
        <w:rPr>
          <w:spacing w:val="7"/>
          <w:sz w:val="16"/>
        </w:rPr>
        <w:t xml:space="preserve">Congresso  </w:t>
      </w:r>
      <w:r>
        <w:rPr>
          <w:spacing w:val="8"/>
          <w:sz w:val="16"/>
        </w:rPr>
        <w:t xml:space="preserve">Brasileiro  </w:t>
      </w:r>
      <w:r>
        <w:rPr>
          <w:spacing w:val="5"/>
          <w:sz w:val="16"/>
        </w:rPr>
        <w:t xml:space="preserve">de  </w:t>
      </w:r>
      <w:r>
        <w:rPr>
          <w:spacing w:val="8"/>
          <w:sz w:val="16"/>
        </w:rPr>
        <w:t xml:space="preserve">Engenharia  </w:t>
      </w:r>
      <w:r>
        <w:rPr>
          <w:spacing w:val="7"/>
          <w:sz w:val="16"/>
        </w:rPr>
        <w:t xml:space="preserve">Sanitária  </w:t>
      </w:r>
      <w:r>
        <w:rPr>
          <w:sz w:val="16"/>
        </w:rPr>
        <w:t xml:space="preserve">e </w:t>
      </w:r>
      <w:r>
        <w:rPr>
          <w:spacing w:val="25"/>
          <w:sz w:val="16"/>
        </w:rPr>
        <w:t>A</w:t>
      </w:r>
      <w:r>
        <w:rPr>
          <w:sz w:val="16"/>
        </w:rPr>
        <w:t xml:space="preserve"> </w:t>
      </w:r>
      <w:r>
        <w:rPr>
          <w:spacing w:val="25"/>
          <w:sz w:val="16"/>
        </w:rPr>
        <w:t>m</w:t>
      </w:r>
      <w:r>
        <w:rPr>
          <w:sz w:val="16"/>
        </w:rPr>
        <w:t xml:space="preserve"> </w:t>
      </w:r>
      <w:r>
        <w:rPr>
          <w:spacing w:val="25"/>
          <w:sz w:val="16"/>
        </w:rPr>
        <w:t>b</w:t>
      </w:r>
      <w:r>
        <w:rPr>
          <w:sz w:val="16"/>
        </w:rPr>
        <w:t xml:space="preserve"> </w:t>
      </w:r>
      <w:r>
        <w:rPr>
          <w:spacing w:val="25"/>
          <w:sz w:val="16"/>
        </w:rPr>
        <w:t>i</w:t>
      </w:r>
      <w:r>
        <w:rPr>
          <w:sz w:val="16"/>
        </w:rPr>
        <w:t xml:space="preserve"> </w:t>
      </w:r>
      <w:r>
        <w:rPr>
          <w:spacing w:val="25"/>
          <w:sz w:val="16"/>
        </w:rPr>
        <w:t>e</w:t>
      </w:r>
      <w:r>
        <w:rPr>
          <w:sz w:val="16"/>
        </w:rPr>
        <w:t xml:space="preserve"> </w:t>
      </w:r>
      <w:r>
        <w:rPr>
          <w:spacing w:val="25"/>
          <w:sz w:val="16"/>
        </w:rPr>
        <w:t>n</w:t>
      </w:r>
      <w:r>
        <w:rPr>
          <w:sz w:val="16"/>
        </w:rPr>
        <w:t xml:space="preserve"> </w:t>
      </w:r>
      <w:r>
        <w:rPr>
          <w:spacing w:val="25"/>
          <w:sz w:val="16"/>
        </w:rPr>
        <w:t>t</w:t>
      </w:r>
      <w:r>
        <w:rPr>
          <w:sz w:val="16"/>
        </w:rPr>
        <w:t xml:space="preserve"> </w:t>
      </w:r>
      <w:r>
        <w:rPr>
          <w:spacing w:val="25"/>
          <w:sz w:val="16"/>
        </w:rPr>
        <w:t>a</w:t>
      </w:r>
      <w:r>
        <w:rPr>
          <w:sz w:val="16"/>
        </w:rPr>
        <w:t xml:space="preserve"> </w:t>
      </w:r>
      <w:r>
        <w:rPr>
          <w:spacing w:val="25"/>
          <w:sz w:val="16"/>
        </w:rPr>
        <w:t>l</w:t>
      </w:r>
      <w:r>
        <w:rPr>
          <w:sz w:val="16"/>
        </w:rPr>
        <w:t xml:space="preserve"> ,</w:t>
      </w:r>
      <w:r>
        <w:rPr>
          <w:sz w:val="16"/>
        </w:rPr>
        <w:tab/>
      </w:r>
      <w:r>
        <w:rPr>
          <w:spacing w:val="25"/>
          <w:sz w:val="16"/>
        </w:rPr>
        <w:t>1</w:t>
      </w:r>
      <w:r>
        <w:rPr>
          <w:sz w:val="16"/>
        </w:rPr>
        <w:t xml:space="preserve"> </w:t>
      </w:r>
      <w:r>
        <w:rPr>
          <w:spacing w:val="25"/>
          <w:sz w:val="16"/>
        </w:rPr>
        <w:t>9</w:t>
      </w:r>
      <w:r>
        <w:rPr>
          <w:sz w:val="16"/>
        </w:rPr>
        <w:t xml:space="preserve"> </w:t>
      </w:r>
      <w:r>
        <w:rPr>
          <w:spacing w:val="25"/>
          <w:sz w:val="16"/>
        </w:rPr>
        <w:t>9</w:t>
      </w:r>
      <w:r>
        <w:rPr>
          <w:sz w:val="16"/>
        </w:rPr>
        <w:t xml:space="preserve"> </w:t>
      </w:r>
      <w:r>
        <w:rPr>
          <w:spacing w:val="25"/>
          <w:sz w:val="16"/>
        </w:rPr>
        <w:t>9</w:t>
      </w:r>
      <w:r>
        <w:rPr>
          <w:sz w:val="16"/>
        </w:rPr>
        <w:t xml:space="preserve"> .</w:t>
      </w:r>
      <w:r>
        <w:rPr>
          <w:sz w:val="16"/>
        </w:rPr>
        <w:tab/>
      </w:r>
      <w:r>
        <w:rPr>
          <w:spacing w:val="25"/>
          <w:sz w:val="16"/>
        </w:rPr>
        <w:t>D</w:t>
      </w:r>
      <w:r>
        <w:rPr>
          <w:sz w:val="16"/>
        </w:rPr>
        <w:t xml:space="preserve"> </w:t>
      </w:r>
      <w:r>
        <w:rPr>
          <w:spacing w:val="25"/>
          <w:sz w:val="16"/>
        </w:rPr>
        <w:t>i</w:t>
      </w:r>
      <w:r>
        <w:rPr>
          <w:sz w:val="16"/>
        </w:rPr>
        <w:t xml:space="preserve"> </w:t>
      </w:r>
      <w:r>
        <w:rPr>
          <w:spacing w:val="25"/>
          <w:sz w:val="16"/>
        </w:rPr>
        <w:t>s</w:t>
      </w:r>
      <w:r>
        <w:rPr>
          <w:sz w:val="16"/>
        </w:rPr>
        <w:t xml:space="preserve"> </w:t>
      </w:r>
      <w:r>
        <w:rPr>
          <w:spacing w:val="25"/>
          <w:sz w:val="16"/>
        </w:rPr>
        <w:t>p</w:t>
      </w:r>
      <w:r>
        <w:rPr>
          <w:sz w:val="16"/>
        </w:rPr>
        <w:t xml:space="preserve"> </w:t>
      </w:r>
      <w:r>
        <w:rPr>
          <w:spacing w:val="25"/>
          <w:sz w:val="16"/>
        </w:rPr>
        <w:t>o</w:t>
      </w:r>
      <w:r>
        <w:rPr>
          <w:sz w:val="16"/>
        </w:rPr>
        <w:t xml:space="preserve"> </w:t>
      </w:r>
      <w:r>
        <w:rPr>
          <w:spacing w:val="25"/>
          <w:sz w:val="16"/>
        </w:rPr>
        <w:t>n</w:t>
      </w:r>
      <w:r>
        <w:rPr>
          <w:sz w:val="16"/>
        </w:rPr>
        <w:t xml:space="preserve"> </w:t>
      </w:r>
      <w:r>
        <w:rPr>
          <w:spacing w:val="25"/>
          <w:sz w:val="16"/>
        </w:rPr>
        <w:t>í</w:t>
      </w:r>
      <w:r>
        <w:rPr>
          <w:sz w:val="16"/>
        </w:rPr>
        <w:t xml:space="preserve"> </w:t>
      </w:r>
      <w:r>
        <w:rPr>
          <w:spacing w:val="25"/>
          <w:sz w:val="16"/>
        </w:rPr>
        <w:t>v</w:t>
      </w:r>
      <w:r>
        <w:rPr>
          <w:sz w:val="16"/>
        </w:rPr>
        <w:t xml:space="preserve"> </w:t>
      </w:r>
      <w:r>
        <w:rPr>
          <w:spacing w:val="25"/>
          <w:sz w:val="16"/>
        </w:rPr>
        <w:t>e</w:t>
      </w:r>
      <w:r>
        <w:rPr>
          <w:sz w:val="16"/>
        </w:rPr>
        <w:t xml:space="preserve"> l</w:t>
      </w:r>
      <w:r>
        <w:rPr>
          <w:sz w:val="16"/>
        </w:rPr>
        <w:tab/>
      </w:r>
      <w:r>
        <w:rPr>
          <w:spacing w:val="25"/>
          <w:sz w:val="16"/>
        </w:rPr>
        <w:t>e m</w:t>
      </w:r>
      <w:r>
        <w:rPr>
          <w:spacing w:val="-25"/>
          <w:sz w:val="16"/>
        </w:rPr>
        <w:t xml:space="preserve"> </w:t>
      </w:r>
      <w:r>
        <w:rPr>
          <w:sz w:val="16"/>
        </w:rPr>
        <w:t xml:space="preserve">: </w:t>
      </w:r>
      <w:r>
        <w:rPr>
          <w:spacing w:val="-17"/>
          <w:sz w:val="16"/>
        </w:rPr>
        <w:t xml:space="preserve"> </w:t>
      </w:r>
    </w:p>
    <w:p w:rsidR="00D81F69" w:rsidRDefault="00D81F69">
      <w:pPr>
        <w:spacing w:before="4" w:line="312" w:lineRule="auto"/>
        <w:ind w:left="100" w:right="171"/>
        <w:rPr>
          <w:sz w:val="16"/>
        </w:rPr>
      </w:pPr>
      <w:hyperlink r:id="rId1266">
        <w:r w:rsidR="00330118">
          <w:rPr>
            <w:sz w:val="16"/>
          </w:rPr>
          <w:t xml:space="preserve">&lt;http://www.bvsde.paho.org//bvsaidis//brasil20//vi-063.pdf&gt;. </w:t>
        </w:r>
      </w:hyperlink>
      <w:r w:rsidR="00330118">
        <w:rPr>
          <w:sz w:val="16"/>
        </w:rPr>
        <w:t>Acesso em: 12 maio 2011.</w:t>
      </w:r>
    </w:p>
    <w:p w:rsidR="00D81F69" w:rsidRDefault="00330118">
      <w:pPr>
        <w:tabs>
          <w:tab w:val="left" w:pos="1506"/>
          <w:tab w:val="left" w:pos="2694"/>
          <w:tab w:val="left" w:pos="4666"/>
        </w:tabs>
        <w:spacing w:before="1" w:line="312" w:lineRule="auto"/>
        <w:ind w:left="100" w:right="159"/>
        <w:rPr>
          <w:sz w:val="16"/>
        </w:rPr>
      </w:pPr>
      <w:r>
        <w:rPr>
          <w:spacing w:val="5"/>
          <w:sz w:val="16"/>
        </w:rPr>
        <w:t xml:space="preserve">FIGUEIREDO, Bernardino Ribeiro; BORBA, </w:t>
      </w:r>
      <w:r>
        <w:rPr>
          <w:spacing w:val="5"/>
          <w:sz w:val="16"/>
        </w:rPr>
        <w:t xml:space="preserve">Ricardo </w:t>
      </w:r>
      <w:r>
        <w:rPr>
          <w:spacing w:val="6"/>
          <w:sz w:val="16"/>
        </w:rPr>
        <w:t xml:space="preserve">Perobelli. </w:t>
      </w:r>
      <w:r>
        <w:rPr>
          <w:sz w:val="16"/>
        </w:rPr>
        <w:t xml:space="preserve">ANGÉLICA, Rômulo Simões. Arsênio no Brasil e exposição humana. </w:t>
      </w:r>
      <w:r>
        <w:rPr>
          <w:spacing w:val="3"/>
          <w:sz w:val="16"/>
        </w:rPr>
        <w:t xml:space="preserve">In: </w:t>
      </w:r>
      <w:r>
        <w:rPr>
          <w:spacing w:val="5"/>
          <w:sz w:val="16"/>
        </w:rPr>
        <w:t xml:space="preserve">SILVA, Cássio Roberto; FIGUEIREDO, Bernardino </w:t>
      </w:r>
      <w:r>
        <w:rPr>
          <w:spacing w:val="6"/>
          <w:sz w:val="16"/>
        </w:rPr>
        <w:t xml:space="preserve">Ribeiro; </w:t>
      </w:r>
      <w:r>
        <w:rPr>
          <w:sz w:val="16"/>
        </w:rPr>
        <w:t xml:space="preserve">CAPITANI, Eduardo Mello; CUNHA, Fernanda Gonçalves. Geologia </w:t>
      </w:r>
      <w:r>
        <w:rPr>
          <w:spacing w:val="3"/>
          <w:sz w:val="16"/>
        </w:rPr>
        <w:t xml:space="preserve">Médica </w:t>
      </w:r>
      <w:r>
        <w:rPr>
          <w:spacing w:val="1"/>
          <w:sz w:val="16"/>
        </w:rPr>
        <w:t xml:space="preserve">no </w:t>
      </w:r>
      <w:r>
        <w:rPr>
          <w:spacing w:val="3"/>
          <w:sz w:val="16"/>
        </w:rPr>
        <w:t xml:space="preserve">Brasil. </w:t>
      </w:r>
      <w:r>
        <w:rPr>
          <w:spacing w:val="2"/>
          <w:sz w:val="16"/>
        </w:rPr>
        <w:t xml:space="preserve">Rio </w:t>
      </w:r>
      <w:r>
        <w:rPr>
          <w:spacing w:val="1"/>
          <w:sz w:val="16"/>
        </w:rPr>
        <w:t xml:space="preserve">de  </w:t>
      </w:r>
      <w:r>
        <w:rPr>
          <w:spacing w:val="3"/>
          <w:sz w:val="16"/>
        </w:rPr>
        <w:t xml:space="preserve">Janeiro: </w:t>
      </w:r>
      <w:r>
        <w:rPr>
          <w:spacing w:val="2"/>
          <w:sz w:val="16"/>
        </w:rPr>
        <w:t xml:space="preserve">CPRM  </w:t>
      </w:r>
      <w:r>
        <w:rPr>
          <w:sz w:val="16"/>
        </w:rPr>
        <w:t xml:space="preserve">–  </w:t>
      </w:r>
      <w:r>
        <w:rPr>
          <w:spacing w:val="3"/>
          <w:sz w:val="16"/>
        </w:rPr>
        <w:t>Serviço Ge</w:t>
      </w:r>
      <w:r>
        <w:rPr>
          <w:spacing w:val="3"/>
          <w:sz w:val="16"/>
        </w:rPr>
        <w:t xml:space="preserve">ológico </w:t>
      </w:r>
      <w:r>
        <w:rPr>
          <w:spacing w:val="5"/>
          <w:sz w:val="16"/>
        </w:rPr>
        <w:t xml:space="preserve">do </w:t>
      </w:r>
      <w:r>
        <w:rPr>
          <w:spacing w:val="40"/>
          <w:sz w:val="16"/>
        </w:rPr>
        <w:t>B</w:t>
      </w:r>
      <w:r>
        <w:rPr>
          <w:sz w:val="16"/>
        </w:rPr>
        <w:t xml:space="preserve"> </w:t>
      </w:r>
      <w:r>
        <w:rPr>
          <w:spacing w:val="40"/>
          <w:sz w:val="16"/>
        </w:rPr>
        <w:t>r</w:t>
      </w:r>
      <w:r>
        <w:rPr>
          <w:sz w:val="16"/>
        </w:rPr>
        <w:t xml:space="preserve"> </w:t>
      </w:r>
      <w:r>
        <w:rPr>
          <w:spacing w:val="40"/>
          <w:sz w:val="16"/>
        </w:rPr>
        <w:t>a</w:t>
      </w:r>
      <w:r>
        <w:rPr>
          <w:sz w:val="16"/>
        </w:rPr>
        <w:t xml:space="preserve"> </w:t>
      </w:r>
      <w:r>
        <w:rPr>
          <w:spacing w:val="40"/>
          <w:sz w:val="16"/>
        </w:rPr>
        <w:t>s</w:t>
      </w:r>
      <w:r>
        <w:rPr>
          <w:sz w:val="16"/>
        </w:rPr>
        <w:t xml:space="preserve"> </w:t>
      </w:r>
      <w:r>
        <w:rPr>
          <w:spacing w:val="40"/>
          <w:sz w:val="16"/>
        </w:rPr>
        <w:t>i</w:t>
      </w:r>
      <w:r>
        <w:rPr>
          <w:sz w:val="16"/>
        </w:rPr>
        <w:t xml:space="preserve"> </w:t>
      </w:r>
      <w:r>
        <w:rPr>
          <w:spacing w:val="40"/>
          <w:sz w:val="16"/>
        </w:rPr>
        <w:t>l</w:t>
      </w:r>
      <w:r>
        <w:rPr>
          <w:sz w:val="16"/>
        </w:rPr>
        <w:t xml:space="preserve"> ,</w:t>
      </w:r>
      <w:r>
        <w:rPr>
          <w:sz w:val="16"/>
        </w:rPr>
        <w:tab/>
      </w:r>
      <w:r>
        <w:rPr>
          <w:spacing w:val="40"/>
          <w:sz w:val="16"/>
        </w:rPr>
        <w:t>2</w:t>
      </w:r>
      <w:r>
        <w:rPr>
          <w:sz w:val="16"/>
        </w:rPr>
        <w:t xml:space="preserve"> </w:t>
      </w:r>
      <w:r>
        <w:rPr>
          <w:spacing w:val="40"/>
          <w:sz w:val="16"/>
        </w:rPr>
        <w:t>0</w:t>
      </w:r>
      <w:r>
        <w:rPr>
          <w:sz w:val="16"/>
        </w:rPr>
        <w:t xml:space="preserve"> </w:t>
      </w:r>
      <w:r>
        <w:rPr>
          <w:spacing w:val="40"/>
          <w:sz w:val="16"/>
        </w:rPr>
        <w:t>0</w:t>
      </w:r>
      <w:r>
        <w:rPr>
          <w:sz w:val="16"/>
        </w:rPr>
        <w:t xml:space="preserve"> </w:t>
      </w:r>
      <w:r>
        <w:rPr>
          <w:spacing w:val="40"/>
          <w:sz w:val="16"/>
        </w:rPr>
        <w:t>6</w:t>
      </w:r>
      <w:r>
        <w:rPr>
          <w:sz w:val="16"/>
        </w:rPr>
        <w:t xml:space="preserve"> .</w:t>
      </w:r>
      <w:r>
        <w:rPr>
          <w:sz w:val="16"/>
        </w:rPr>
        <w:tab/>
      </w:r>
      <w:r>
        <w:rPr>
          <w:spacing w:val="40"/>
          <w:sz w:val="16"/>
        </w:rPr>
        <w:t>D</w:t>
      </w:r>
      <w:r>
        <w:rPr>
          <w:sz w:val="16"/>
        </w:rPr>
        <w:t xml:space="preserve"> </w:t>
      </w:r>
      <w:r>
        <w:rPr>
          <w:spacing w:val="40"/>
          <w:sz w:val="16"/>
        </w:rPr>
        <w:t>i</w:t>
      </w:r>
      <w:r>
        <w:rPr>
          <w:sz w:val="16"/>
        </w:rPr>
        <w:t xml:space="preserve"> </w:t>
      </w:r>
      <w:r>
        <w:rPr>
          <w:spacing w:val="40"/>
          <w:sz w:val="16"/>
        </w:rPr>
        <w:t>s</w:t>
      </w:r>
      <w:r>
        <w:rPr>
          <w:sz w:val="16"/>
        </w:rPr>
        <w:t xml:space="preserve"> </w:t>
      </w:r>
      <w:r>
        <w:rPr>
          <w:spacing w:val="40"/>
          <w:sz w:val="16"/>
        </w:rPr>
        <w:t>p</w:t>
      </w:r>
      <w:r>
        <w:rPr>
          <w:sz w:val="16"/>
        </w:rPr>
        <w:t xml:space="preserve"> </w:t>
      </w:r>
      <w:r>
        <w:rPr>
          <w:spacing w:val="40"/>
          <w:sz w:val="16"/>
        </w:rPr>
        <w:t>o</w:t>
      </w:r>
      <w:r>
        <w:rPr>
          <w:sz w:val="16"/>
        </w:rPr>
        <w:t xml:space="preserve"> </w:t>
      </w:r>
      <w:r>
        <w:rPr>
          <w:spacing w:val="40"/>
          <w:sz w:val="16"/>
        </w:rPr>
        <w:t>n</w:t>
      </w:r>
      <w:r>
        <w:rPr>
          <w:sz w:val="16"/>
        </w:rPr>
        <w:t xml:space="preserve"> </w:t>
      </w:r>
      <w:r>
        <w:rPr>
          <w:spacing w:val="40"/>
          <w:sz w:val="16"/>
        </w:rPr>
        <w:t>í</w:t>
      </w:r>
      <w:r>
        <w:rPr>
          <w:sz w:val="16"/>
        </w:rPr>
        <w:t xml:space="preserve"> </w:t>
      </w:r>
      <w:r>
        <w:rPr>
          <w:spacing w:val="40"/>
          <w:sz w:val="16"/>
        </w:rPr>
        <w:t>v</w:t>
      </w:r>
      <w:r>
        <w:rPr>
          <w:sz w:val="16"/>
        </w:rPr>
        <w:t xml:space="preserve"> </w:t>
      </w:r>
      <w:r>
        <w:rPr>
          <w:spacing w:val="40"/>
          <w:sz w:val="16"/>
        </w:rPr>
        <w:t>e</w:t>
      </w:r>
      <w:r>
        <w:rPr>
          <w:sz w:val="16"/>
        </w:rPr>
        <w:t xml:space="preserve"> l</w:t>
      </w:r>
      <w:r>
        <w:rPr>
          <w:sz w:val="16"/>
        </w:rPr>
        <w:tab/>
      </w:r>
      <w:r>
        <w:rPr>
          <w:spacing w:val="40"/>
          <w:sz w:val="16"/>
        </w:rPr>
        <w:t>e</w:t>
      </w:r>
      <w:r>
        <w:rPr>
          <w:sz w:val="16"/>
        </w:rPr>
        <w:t xml:space="preserve"> </w:t>
      </w:r>
      <w:r>
        <w:rPr>
          <w:spacing w:val="40"/>
          <w:sz w:val="16"/>
        </w:rPr>
        <w:t>m</w:t>
      </w:r>
      <w:r>
        <w:rPr>
          <w:sz w:val="16"/>
        </w:rPr>
        <w:t xml:space="preserve"> : </w:t>
      </w:r>
      <w:r>
        <w:rPr>
          <w:spacing w:val="-2"/>
          <w:sz w:val="16"/>
        </w:rPr>
        <w:t xml:space="preserve"> </w:t>
      </w:r>
    </w:p>
    <w:p w:rsidR="00D81F69" w:rsidRDefault="00D81F69">
      <w:pPr>
        <w:spacing w:before="5" w:line="312" w:lineRule="auto"/>
        <w:ind w:left="100" w:right="232"/>
        <w:rPr>
          <w:sz w:val="16"/>
        </w:rPr>
      </w:pPr>
      <w:hyperlink r:id="rId1267">
        <w:r w:rsidR="00330118">
          <w:rPr>
            <w:sz w:val="16"/>
          </w:rPr>
          <w:t xml:space="preserve">&lt;http://www.cprm.gov.br/publique/media/geo_med10.pdf&gt;. </w:t>
        </w:r>
      </w:hyperlink>
      <w:r w:rsidR="00330118">
        <w:rPr>
          <w:sz w:val="16"/>
        </w:rPr>
        <w:t>Acesso em: 10 jul. 2012.</w:t>
      </w:r>
    </w:p>
    <w:p w:rsidR="00D81F69" w:rsidRDefault="00330118">
      <w:pPr>
        <w:spacing w:before="2" w:line="312" w:lineRule="auto"/>
        <w:ind w:left="100" w:right="186"/>
        <w:jc w:val="both"/>
        <w:rPr>
          <w:sz w:val="16"/>
        </w:rPr>
      </w:pPr>
      <w:r>
        <w:rPr>
          <w:sz w:val="16"/>
        </w:rPr>
        <w:t>GARDENAL, Isabel. O arsênio como herança: Quadrilátero Ferrífero ainda sofre contaminação causada por 300 anos de mineração. Jornal da Unicamp, Campinas, nov. 2002. Disponível em:</w:t>
      </w:r>
    </w:p>
    <w:p w:rsidR="00D81F69" w:rsidRDefault="00D81F69">
      <w:pPr>
        <w:spacing w:before="2" w:line="312" w:lineRule="auto"/>
        <w:ind w:left="100" w:right="159"/>
        <w:rPr>
          <w:sz w:val="16"/>
        </w:rPr>
      </w:pPr>
      <w:hyperlink r:id="rId1268">
        <w:r w:rsidR="00330118">
          <w:rPr>
            <w:sz w:val="16"/>
          </w:rPr>
          <w:t>&lt;http://www.unicamp.br/unicamp/unicamp_hoje/ju/novembro2002/uni</w:t>
        </w:r>
      </w:hyperlink>
      <w:r w:rsidR="00330118">
        <w:rPr>
          <w:sz w:val="16"/>
        </w:rPr>
        <w:t xml:space="preserve"> hoje_ju198pag10a.html&gt;. Acesso em: 12 maio 2011.</w:t>
      </w:r>
    </w:p>
    <w:p w:rsidR="00D81F69" w:rsidRDefault="00330118">
      <w:pPr>
        <w:spacing w:before="2" w:line="312" w:lineRule="auto"/>
        <w:ind w:left="100" w:right="190"/>
        <w:jc w:val="both"/>
        <w:rPr>
          <w:sz w:val="16"/>
        </w:rPr>
      </w:pPr>
      <w:r>
        <w:rPr>
          <w:sz w:val="16"/>
        </w:rPr>
        <w:t>GONÇALVES, José Augusto Costa; PEREIRA, Margarete Aparecida; PAIVA, José Fernando; LENA, Jorge Carvalho. O arsênio nas águas subterrâneas d</w:t>
      </w:r>
      <w:r>
        <w:rPr>
          <w:sz w:val="16"/>
        </w:rPr>
        <w:t>e Ouro Preto (MG). In: SILVA, Cássio Roberto; FIGUEIREDO, Bernardino Ribeiro; CAPITANI, Eduardo Mello; CUNHA, Fernanda Gonçalves. Geologia Médica no Brasil. Rio de Janeiro: CPRM – Serviço Geológico do Brasil, 2006. Disponível em:</w:t>
      </w:r>
    </w:p>
    <w:p w:rsidR="00D81F69" w:rsidRDefault="00D81F69">
      <w:pPr>
        <w:spacing w:before="5" w:line="312" w:lineRule="auto"/>
        <w:ind w:left="100" w:right="232"/>
        <w:rPr>
          <w:sz w:val="16"/>
        </w:rPr>
      </w:pPr>
      <w:hyperlink r:id="rId1269">
        <w:r w:rsidR="00330118">
          <w:rPr>
            <w:sz w:val="16"/>
          </w:rPr>
          <w:t xml:space="preserve">&lt;http://www.cprm.gov.br/publique/media/geo_med11.pdf&gt;. </w:t>
        </w:r>
      </w:hyperlink>
      <w:r w:rsidR="00330118">
        <w:rPr>
          <w:sz w:val="16"/>
        </w:rPr>
        <w:t>Acesso em: 10 jul. 2012.</w:t>
      </w:r>
    </w:p>
    <w:p w:rsidR="00D81F69" w:rsidRDefault="00330118">
      <w:pPr>
        <w:tabs>
          <w:tab w:val="left" w:pos="1586"/>
          <w:tab w:val="left" w:pos="2745"/>
          <w:tab w:val="left" w:pos="4671"/>
        </w:tabs>
        <w:spacing w:before="2" w:line="312" w:lineRule="auto"/>
        <w:ind w:left="100" w:right="159"/>
        <w:rPr>
          <w:sz w:val="16"/>
        </w:rPr>
      </w:pPr>
      <w:r>
        <w:rPr>
          <w:sz w:val="16"/>
        </w:rPr>
        <w:t xml:space="preserve">OURO PRETO. Site oficial do turismo. Nasce Vila Rica: Sementes      </w:t>
      </w:r>
      <w:r>
        <w:rPr>
          <w:spacing w:val="37"/>
          <w:sz w:val="16"/>
        </w:rPr>
        <w:t>N</w:t>
      </w:r>
      <w:r>
        <w:rPr>
          <w:sz w:val="16"/>
        </w:rPr>
        <w:t xml:space="preserve"> </w:t>
      </w:r>
      <w:r>
        <w:rPr>
          <w:spacing w:val="37"/>
          <w:sz w:val="16"/>
        </w:rPr>
        <w:t>e</w:t>
      </w:r>
      <w:r>
        <w:rPr>
          <w:sz w:val="16"/>
        </w:rPr>
        <w:t xml:space="preserve"> </w:t>
      </w:r>
      <w:r>
        <w:rPr>
          <w:spacing w:val="37"/>
          <w:sz w:val="16"/>
        </w:rPr>
        <w:t>g</w:t>
      </w:r>
      <w:r>
        <w:rPr>
          <w:sz w:val="16"/>
        </w:rPr>
        <w:t xml:space="preserve"> </w:t>
      </w:r>
      <w:r>
        <w:rPr>
          <w:spacing w:val="37"/>
          <w:sz w:val="16"/>
        </w:rPr>
        <w:t>r</w:t>
      </w:r>
      <w:r>
        <w:rPr>
          <w:sz w:val="16"/>
        </w:rPr>
        <w:t xml:space="preserve"> </w:t>
      </w:r>
      <w:r>
        <w:rPr>
          <w:spacing w:val="37"/>
          <w:sz w:val="16"/>
        </w:rPr>
        <w:t>a</w:t>
      </w:r>
      <w:r>
        <w:rPr>
          <w:sz w:val="16"/>
        </w:rPr>
        <w:t xml:space="preserve"> </w:t>
      </w:r>
      <w:r>
        <w:rPr>
          <w:spacing w:val="37"/>
          <w:sz w:val="16"/>
        </w:rPr>
        <w:t>s</w:t>
      </w:r>
      <w:r>
        <w:rPr>
          <w:sz w:val="16"/>
        </w:rPr>
        <w:t xml:space="preserve"> ,</w:t>
      </w:r>
      <w:r>
        <w:rPr>
          <w:sz w:val="16"/>
        </w:rPr>
        <w:tab/>
      </w:r>
      <w:r>
        <w:rPr>
          <w:spacing w:val="37"/>
          <w:sz w:val="16"/>
        </w:rPr>
        <w:t>2</w:t>
      </w:r>
      <w:r>
        <w:rPr>
          <w:sz w:val="16"/>
        </w:rPr>
        <w:t xml:space="preserve"> </w:t>
      </w:r>
      <w:r>
        <w:rPr>
          <w:spacing w:val="37"/>
          <w:sz w:val="16"/>
        </w:rPr>
        <w:t>0</w:t>
      </w:r>
      <w:r>
        <w:rPr>
          <w:sz w:val="16"/>
        </w:rPr>
        <w:t xml:space="preserve"> </w:t>
      </w:r>
      <w:r>
        <w:rPr>
          <w:spacing w:val="37"/>
          <w:sz w:val="16"/>
        </w:rPr>
        <w:t>1</w:t>
      </w:r>
      <w:r>
        <w:rPr>
          <w:sz w:val="16"/>
        </w:rPr>
        <w:t xml:space="preserve"> </w:t>
      </w:r>
      <w:r>
        <w:rPr>
          <w:spacing w:val="37"/>
          <w:sz w:val="16"/>
        </w:rPr>
        <w:t>0</w:t>
      </w:r>
      <w:r>
        <w:rPr>
          <w:sz w:val="16"/>
        </w:rPr>
        <w:t xml:space="preserve"> .</w:t>
      </w:r>
      <w:r>
        <w:rPr>
          <w:sz w:val="16"/>
        </w:rPr>
        <w:tab/>
      </w:r>
      <w:r>
        <w:rPr>
          <w:spacing w:val="37"/>
          <w:sz w:val="16"/>
        </w:rPr>
        <w:t>D</w:t>
      </w:r>
      <w:r>
        <w:rPr>
          <w:sz w:val="16"/>
        </w:rPr>
        <w:t xml:space="preserve"> </w:t>
      </w:r>
      <w:r>
        <w:rPr>
          <w:spacing w:val="37"/>
          <w:sz w:val="16"/>
        </w:rPr>
        <w:t>i</w:t>
      </w:r>
      <w:r>
        <w:rPr>
          <w:sz w:val="16"/>
        </w:rPr>
        <w:t xml:space="preserve"> </w:t>
      </w:r>
      <w:r>
        <w:rPr>
          <w:spacing w:val="37"/>
          <w:sz w:val="16"/>
        </w:rPr>
        <w:t>s</w:t>
      </w:r>
      <w:r>
        <w:rPr>
          <w:sz w:val="16"/>
        </w:rPr>
        <w:t xml:space="preserve"> </w:t>
      </w:r>
      <w:r>
        <w:rPr>
          <w:spacing w:val="37"/>
          <w:sz w:val="16"/>
        </w:rPr>
        <w:t>p</w:t>
      </w:r>
      <w:r>
        <w:rPr>
          <w:sz w:val="16"/>
        </w:rPr>
        <w:t xml:space="preserve"> </w:t>
      </w:r>
      <w:r>
        <w:rPr>
          <w:spacing w:val="37"/>
          <w:sz w:val="16"/>
        </w:rPr>
        <w:t>o</w:t>
      </w:r>
      <w:r>
        <w:rPr>
          <w:sz w:val="16"/>
        </w:rPr>
        <w:t xml:space="preserve"> </w:t>
      </w:r>
      <w:r>
        <w:rPr>
          <w:spacing w:val="37"/>
          <w:sz w:val="16"/>
        </w:rPr>
        <w:t>n</w:t>
      </w:r>
      <w:r>
        <w:rPr>
          <w:sz w:val="16"/>
        </w:rPr>
        <w:t xml:space="preserve"> </w:t>
      </w:r>
      <w:r>
        <w:rPr>
          <w:spacing w:val="37"/>
          <w:sz w:val="16"/>
        </w:rPr>
        <w:t>í</w:t>
      </w:r>
      <w:r>
        <w:rPr>
          <w:sz w:val="16"/>
        </w:rPr>
        <w:t xml:space="preserve"> </w:t>
      </w:r>
      <w:r>
        <w:rPr>
          <w:spacing w:val="37"/>
          <w:sz w:val="16"/>
        </w:rPr>
        <w:t>v</w:t>
      </w:r>
      <w:r>
        <w:rPr>
          <w:sz w:val="16"/>
        </w:rPr>
        <w:t xml:space="preserve"> </w:t>
      </w:r>
      <w:r>
        <w:rPr>
          <w:spacing w:val="37"/>
          <w:sz w:val="16"/>
        </w:rPr>
        <w:t>e</w:t>
      </w:r>
      <w:r>
        <w:rPr>
          <w:sz w:val="16"/>
        </w:rPr>
        <w:t xml:space="preserve"> l</w:t>
      </w:r>
      <w:r>
        <w:rPr>
          <w:sz w:val="16"/>
        </w:rPr>
        <w:tab/>
      </w:r>
      <w:r>
        <w:rPr>
          <w:spacing w:val="37"/>
          <w:sz w:val="16"/>
        </w:rPr>
        <w:t>e</w:t>
      </w:r>
      <w:r>
        <w:rPr>
          <w:sz w:val="16"/>
        </w:rPr>
        <w:t xml:space="preserve"> </w:t>
      </w:r>
      <w:r>
        <w:rPr>
          <w:spacing w:val="37"/>
          <w:sz w:val="16"/>
        </w:rPr>
        <w:t>m</w:t>
      </w:r>
      <w:r>
        <w:rPr>
          <w:sz w:val="16"/>
        </w:rPr>
        <w:t xml:space="preserve"> : </w:t>
      </w:r>
      <w:r>
        <w:rPr>
          <w:spacing w:val="-5"/>
          <w:sz w:val="16"/>
        </w:rPr>
        <w:t xml:space="preserve"> </w:t>
      </w:r>
    </w:p>
    <w:p w:rsidR="00D81F69" w:rsidRDefault="00D81F69">
      <w:pPr>
        <w:spacing w:before="1" w:line="312" w:lineRule="auto"/>
        <w:ind w:left="100" w:right="159"/>
        <w:rPr>
          <w:sz w:val="16"/>
        </w:rPr>
      </w:pPr>
      <w:hyperlink r:id="rId1270">
        <w:r w:rsidR="00330118">
          <w:rPr>
            <w:sz w:val="16"/>
          </w:rPr>
          <w:t xml:space="preserve">&lt;http://www.ouropreto.org.br/imagem/TituloHistoria2.jpg&gt;. </w:t>
        </w:r>
      </w:hyperlink>
      <w:r w:rsidR="00330118">
        <w:rPr>
          <w:sz w:val="16"/>
        </w:rPr>
        <w:t>Acesso em: 20 mar. 2010.</w:t>
      </w:r>
    </w:p>
    <w:p w:rsidR="00D81F69" w:rsidRDefault="00D81F69">
      <w:pPr>
        <w:spacing w:line="312" w:lineRule="auto"/>
        <w:rPr>
          <w:sz w:val="16"/>
        </w:rPr>
        <w:sectPr w:rsidR="00D81F69">
          <w:pgSz w:w="11900" w:h="16840"/>
          <w:pgMar w:top="740" w:right="500" w:bottom="720" w:left="620" w:header="0" w:footer="402" w:gutter="0"/>
          <w:cols w:num="2" w:space="720" w:equalWidth="0">
            <w:col w:w="5173" w:space="297"/>
            <w:col w:w="5310"/>
          </w:cols>
        </w:sectPr>
      </w:pPr>
    </w:p>
    <w:p w:rsidR="00D81F69" w:rsidRDefault="00330118">
      <w:pPr>
        <w:pStyle w:val="Heading1"/>
        <w:spacing w:line="208" w:lineRule="auto"/>
        <w:ind w:right="301"/>
      </w:pPr>
      <w:r>
        <w:lastRenderedPageBreak/>
        <w:t>Exploração de quartzito em São Thomé das Letras (MG) passa por reestruturação</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7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MG - São Thomé das Letras</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-21,725</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-44,9352</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7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O município de São Thomé das Letras </w:t>
      </w:r>
      <w:r>
        <w:rPr>
          <w:i/>
          <w:sz w:val="16"/>
        </w:rPr>
        <w:t>constitui o centro brasileiro mais importante de lavra de quartzitos plaqueados e/ou foliados, utilizados como material de ornamentação e revestimento. Porém, a atividade mineradora vem sendo responsável por vários impactos ambientais. Para mitigar os efei</w:t>
      </w:r>
      <w:r>
        <w:rPr>
          <w:i/>
          <w:sz w:val="16"/>
        </w:rPr>
        <w:t>tos dessa exploração, diversos órgãos têm realizado estudos e projetos. Além disso, foi implantado um Arranjo Produtivo Local na região.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8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57"/>
        <w:jc w:val="left"/>
      </w:pPr>
      <w:r>
        <w:t>produtor de São Thomé é de 200 mil t/ano, que se transformam em cerca de 3,4 milhões de m²/ano de lajotas quadradas e retangulares, blocos almofadados, cacos (cavacos) e filetes (palitos), além de novos produtos referentes a placas polidas, pedra pavê e an</w:t>
      </w:r>
      <w:r>
        <w:t>ticatos (CHIODI, 2003).</w:t>
      </w:r>
    </w:p>
    <w:p w:rsidR="00D81F69" w:rsidRDefault="00330118">
      <w:pPr>
        <w:pStyle w:val="Corpodetexto"/>
        <w:spacing w:before="135" w:line="312" w:lineRule="auto"/>
        <w:ind w:left="135" w:right="189"/>
      </w:pPr>
      <w:r>
        <w:t xml:space="preserve">A mineração, no entanto, vem causando, ao longo dos anos, </w:t>
      </w:r>
      <w:r>
        <w:rPr>
          <w:spacing w:val="5"/>
        </w:rPr>
        <w:t xml:space="preserve">grande impacto ambiental </w:t>
      </w:r>
      <w:r>
        <w:rPr>
          <w:spacing w:val="2"/>
        </w:rPr>
        <w:t xml:space="preserve">na </w:t>
      </w:r>
      <w:r>
        <w:rPr>
          <w:spacing w:val="5"/>
        </w:rPr>
        <w:t xml:space="preserve">região (BARBOSA, </w:t>
      </w:r>
      <w:r>
        <w:rPr>
          <w:spacing w:val="6"/>
        </w:rPr>
        <w:t xml:space="preserve">2008). </w:t>
      </w:r>
      <w:r>
        <w:rPr>
          <w:spacing w:val="3"/>
        </w:rPr>
        <w:t xml:space="preserve">Devido </w:t>
      </w:r>
      <w:r>
        <w:t xml:space="preserve">à </w:t>
      </w:r>
      <w:r>
        <w:rPr>
          <w:spacing w:val="3"/>
        </w:rPr>
        <w:t xml:space="preserve">falta </w:t>
      </w:r>
      <w:r>
        <w:rPr>
          <w:spacing w:val="1"/>
        </w:rPr>
        <w:t xml:space="preserve">de </w:t>
      </w:r>
      <w:r>
        <w:rPr>
          <w:spacing w:val="3"/>
        </w:rPr>
        <w:t xml:space="preserve">planejamento, </w:t>
      </w:r>
      <w:r>
        <w:t xml:space="preserve">a </w:t>
      </w:r>
      <w:r>
        <w:rPr>
          <w:spacing w:val="3"/>
        </w:rPr>
        <w:t xml:space="preserve">atividade </w:t>
      </w:r>
      <w:r>
        <w:rPr>
          <w:spacing w:val="5"/>
        </w:rPr>
        <w:t xml:space="preserve">compromete </w:t>
      </w:r>
      <w:r>
        <w:t>nascente de rios, mananciais, vegetação natural, qualidade  de vida</w:t>
      </w:r>
      <w:r>
        <w:t xml:space="preserve"> da população, além de afetar o turismo (CARRISSO; PIRES,</w:t>
      </w:r>
      <w:r>
        <w:rPr>
          <w:spacing w:val="8"/>
        </w:rPr>
        <w:t xml:space="preserve"> </w:t>
      </w:r>
      <w:r>
        <w:t>2011).</w:t>
      </w:r>
    </w:p>
    <w:p w:rsidR="00D81F69" w:rsidRDefault="00330118">
      <w:pPr>
        <w:pStyle w:val="Corpodetexto"/>
        <w:spacing w:before="136" w:line="172" w:lineRule="exact"/>
        <w:ind w:left="135"/>
        <w:jc w:val="left"/>
      </w:pPr>
      <w:r>
        <w:t>Os moradores de São Thomé das Letras relatam que, nos</w:t>
      </w:r>
    </w:p>
    <w:p w:rsidR="00D81F69" w:rsidRDefault="00D81F69">
      <w:pPr>
        <w:spacing w:line="172" w:lineRule="exact"/>
        <w:sectPr w:rsidR="00D81F69">
          <w:type w:val="continuous"/>
          <w:pgSz w:w="11900" w:h="16840"/>
          <w:pgMar w:top="720" w:right="500" w:bottom="280" w:left="620" w:header="720" w:footer="720" w:gutter="0"/>
          <w:cols w:num="3" w:space="720" w:equalWidth="0">
            <w:col w:w="1942" w:space="58"/>
            <w:col w:w="3115" w:space="320"/>
            <w:col w:w="5345"/>
          </w:cols>
        </w:sectPr>
      </w:pPr>
    </w:p>
    <w:p w:rsidR="00D81F69" w:rsidRDefault="00330118">
      <w:pPr>
        <w:pStyle w:val="Heading4"/>
        <w:spacing w:line="268" w:lineRule="exact"/>
        <w:jc w:val="left"/>
      </w:pPr>
      <w:r>
        <w:lastRenderedPageBreak/>
        <w:t>APRESENTAÇÃO DE CASO</w:t>
      </w:r>
    </w:p>
    <w:p w:rsidR="00D81F69" w:rsidRDefault="00330118">
      <w:pPr>
        <w:pStyle w:val="Corpodetexto"/>
        <w:spacing w:before="170" w:line="312" w:lineRule="auto"/>
        <w:ind w:right="98"/>
      </w:pPr>
      <w:r>
        <w:t xml:space="preserve">O </w:t>
      </w:r>
      <w:r>
        <w:rPr>
          <w:spacing w:val="3"/>
        </w:rPr>
        <w:t xml:space="preserve">estado </w:t>
      </w:r>
      <w:r>
        <w:rPr>
          <w:spacing w:val="1"/>
        </w:rPr>
        <w:t xml:space="preserve">de </w:t>
      </w:r>
      <w:r>
        <w:rPr>
          <w:spacing w:val="3"/>
        </w:rPr>
        <w:t xml:space="preserve">Minas Gerais responde </w:t>
      </w:r>
      <w:r>
        <w:rPr>
          <w:spacing w:val="2"/>
        </w:rPr>
        <w:t xml:space="preserve">pela </w:t>
      </w:r>
      <w:r>
        <w:rPr>
          <w:spacing w:val="3"/>
        </w:rPr>
        <w:t xml:space="preserve">maior parte </w:t>
      </w:r>
      <w:r>
        <w:rPr>
          <w:spacing w:val="5"/>
        </w:rPr>
        <w:t xml:space="preserve">da </w:t>
      </w:r>
      <w:r>
        <w:rPr>
          <w:spacing w:val="3"/>
        </w:rPr>
        <w:t xml:space="preserve">produção brasileira </w:t>
      </w:r>
      <w:r>
        <w:rPr>
          <w:spacing w:val="1"/>
        </w:rPr>
        <w:t xml:space="preserve">de </w:t>
      </w:r>
      <w:r>
        <w:rPr>
          <w:spacing w:val="3"/>
        </w:rPr>
        <w:t xml:space="preserve">quartzitos, </w:t>
      </w:r>
      <w:r>
        <w:rPr>
          <w:spacing w:val="2"/>
        </w:rPr>
        <w:t xml:space="preserve">com </w:t>
      </w:r>
      <w:r>
        <w:rPr>
          <w:spacing w:val="3"/>
        </w:rPr>
        <w:t xml:space="preserve">quatro centros </w:t>
      </w:r>
      <w:r>
        <w:rPr>
          <w:spacing w:val="5"/>
        </w:rPr>
        <w:t xml:space="preserve">de </w:t>
      </w:r>
      <w:r>
        <w:t>lavras do minério que é utilizado como rocha ornamental e de revestimento. O mais expressivo é o centro de São Thomé das Letras, seguindo-se Alpinópolis, Ouro Preto e Diamantina (FERNANDES; GODOY; FERNANDES,</w:t>
      </w:r>
      <w:r>
        <w:rPr>
          <w:spacing w:val="7"/>
        </w:rPr>
        <w:t xml:space="preserve"> </w:t>
      </w:r>
      <w:r>
        <w:t>2003).</w:t>
      </w:r>
    </w:p>
    <w:p w:rsidR="00D81F69" w:rsidRDefault="00330118">
      <w:pPr>
        <w:pStyle w:val="Corpodetexto"/>
        <w:spacing w:before="136" w:line="312" w:lineRule="auto"/>
        <w:ind w:right="65"/>
        <w:jc w:val="left"/>
      </w:pPr>
      <w:r>
        <w:rPr>
          <w:spacing w:val="3"/>
        </w:rPr>
        <w:t>São Tho</w:t>
      </w:r>
      <w:r>
        <w:rPr>
          <w:spacing w:val="3"/>
        </w:rPr>
        <w:t xml:space="preserve">mé das </w:t>
      </w:r>
      <w:r>
        <w:rPr>
          <w:spacing w:val="5"/>
        </w:rPr>
        <w:t xml:space="preserve">Letras, </w:t>
      </w:r>
      <w:r>
        <w:rPr>
          <w:spacing w:val="3"/>
        </w:rPr>
        <w:t xml:space="preserve">com 370 km² </w:t>
      </w:r>
      <w:r>
        <w:t xml:space="preserve">e </w:t>
      </w:r>
      <w:r>
        <w:rPr>
          <w:spacing w:val="3"/>
        </w:rPr>
        <w:t xml:space="preserve">6.655 </w:t>
      </w:r>
      <w:r>
        <w:rPr>
          <w:spacing w:val="5"/>
        </w:rPr>
        <w:t xml:space="preserve">habitantes </w:t>
      </w:r>
      <w:r>
        <w:t xml:space="preserve">(IBGE, 2010), localiza-se na região sul do estado de Minas </w:t>
      </w:r>
      <w:r>
        <w:rPr>
          <w:spacing w:val="3"/>
        </w:rPr>
        <w:t xml:space="preserve">Gerais. </w:t>
      </w:r>
      <w:r>
        <w:t xml:space="preserve">A </w:t>
      </w:r>
      <w:r>
        <w:rPr>
          <w:spacing w:val="2"/>
        </w:rPr>
        <w:t xml:space="preserve">área </w:t>
      </w:r>
      <w:r>
        <w:rPr>
          <w:spacing w:val="3"/>
        </w:rPr>
        <w:t xml:space="preserve">urbana </w:t>
      </w:r>
      <w:r>
        <w:rPr>
          <w:spacing w:val="1"/>
        </w:rPr>
        <w:t xml:space="preserve">do </w:t>
      </w:r>
      <w:r>
        <w:rPr>
          <w:spacing w:val="3"/>
        </w:rPr>
        <w:t xml:space="preserve">município </w:t>
      </w:r>
      <w:r>
        <w:rPr>
          <w:spacing w:val="2"/>
        </w:rPr>
        <w:t xml:space="preserve">fica </w:t>
      </w:r>
      <w:r>
        <w:rPr>
          <w:spacing w:val="1"/>
        </w:rPr>
        <w:t xml:space="preserve">no </w:t>
      </w:r>
      <w:r>
        <w:rPr>
          <w:spacing w:val="2"/>
        </w:rPr>
        <w:t xml:space="preserve">topo </w:t>
      </w:r>
      <w:r>
        <w:rPr>
          <w:spacing w:val="1"/>
        </w:rPr>
        <w:t xml:space="preserve">de </w:t>
      </w:r>
      <w:r>
        <w:rPr>
          <w:spacing w:val="5"/>
        </w:rPr>
        <w:t xml:space="preserve">uma </w:t>
      </w:r>
      <w:r>
        <w:t xml:space="preserve">montanha, a uma altitude de 1.480 m acima do nível do mar (FLEISCHER, 2006). Os principais rios </w:t>
      </w:r>
      <w:r>
        <w:t xml:space="preserve">da cidade são o Peixe e o </w:t>
      </w:r>
      <w:r>
        <w:rPr>
          <w:spacing w:val="1"/>
        </w:rPr>
        <w:t xml:space="preserve">Cai, </w:t>
      </w:r>
      <w:r>
        <w:t xml:space="preserve">que </w:t>
      </w:r>
      <w:r>
        <w:rPr>
          <w:spacing w:val="1"/>
        </w:rPr>
        <w:t xml:space="preserve">fazem parte </w:t>
      </w:r>
      <w:r>
        <w:t xml:space="preserve">da </w:t>
      </w:r>
      <w:r>
        <w:rPr>
          <w:spacing w:val="1"/>
        </w:rPr>
        <w:t xml:space="preserve">Bacia </w:t>
      </w:r>
      <w:r>
        <w:t xml:space="preserve">Rio </w:t>
      </w:r>
      <w:r>
        <w:rPr>
          <w:spacing w:val="1"/>
        </w:rPr>
        <w:t xml:space="preserve">Grande (IGA; </w:t>
      </w:r>
      <w:r>
        <w:rPr>
          <w:spacing w:val="2"/>
        </w:rPr>
        <w:t xml:space="preserve">IBGE </w:t>
      </w:r>
      <w:r>
        <w:rPr>
          <w:spacing w:val="1"/>
        </w:rPr>
        <w:t>apud ALMG,</w:t>
      </w:r>
      <w:r>
        <w:rPr>
          <w:spacing w:val="-16"/>
        </w:rPr>
        <w:t xml:space="preserve"> </w:t>
      </w:r>
      <w:r>
        <w:rPr>
          <w:spacing w:val="2"/>
        </w:rPr>
        <w:t>2010).</w:t>
      </w:r>
    </w:p>
    <w:p w:rsidR="00D81F69" w:rsidRDefault="00330118">
      <w:pPr>
        <w:pStyle w:val="Corpodetexto"/>
        <w:spacing w:before="136" w:line="312" w:lineRule="auto"/>
        <w:ind w:right="78"/>
      </w:pPr>
      <w:r>
        <w:t xml:space="preserve">A produção mineral – com a lavra de quartzitos plaqueados e/ou foliados (CARRISSO; PIRES, 2011) – constitui a base da </w:t>
      </w:r>
      <w:r>
        <w:rPr>
          <w:spacing w:val="3"/>
        </w:rPr>
        <w:t xml:space="preserve">atividade econômica </w:t>
      </w:r>
      <w:r>
        <w:rPr>
          <w:spacing w:val="1"/>
        </w:rPr>
        <w:t xml:space="preserve">de </w:t>
      </w:r>
      <w:r>
        <w:rPr>
          <w:spacing w:val="2"/>
        </w:rPr>
        <w:t xml:space="preserve">São </w:t>
      </w:r>
      <w:r>
        <w:rPr>
          <w:spacing w:val="3"/>
        </w:rPr>
        <w:t xml:space="preserve">Thomé </w:t>
      </w:r>
      <w:r>
        <w:rPr>
          <w:spacing w:val="2"/>
        </w:rPr>
        <w:t xml:space="preserve">das </w:t>
      </w:r>
      <w:r>
        <w:rPr>
          <w:spacing w:val="3"/>
        </w:rPr>
        <w:t>Letra</w:t>
      </w:r>
      <w:r>
        <w:rPr>
          <w:spacing w:val="3"/>
        </w:rPr>
        <w:t xml:space="preserve">s, </w:t>
      </w:r>
      <w:r>
        <w:rPr>
          <w:spacing w:val="5"/>
        </w:rPr>
        <w:t xml:space="preserve">gerando </w:t>
      </w:r>
      <w:r>
        <w:rPr>
          <w:spacing w:val="3"/>
        </w:rPr>
        <w:t xml:space="preserve">empregos </w:t>
      </w:r>
      <w:r>
        <w:rPr>
          <w:spacing w:val="2"/>
        </w:rPr>
        <w:t xml:space="preserve">não </w:t>
      </w:r>
      <w:r>
        <w:rPr>
          <w:spacing w:val="1"/>
        </w:rPr>
        <w:t xml:space="preserve">só </w:t>
      </w:r>
      <w:r>
        <w:rPr>
          <w:spacing w:val="2"/>
        </w:rPr>
        <w:t xml:space="preserve">para </w:t>
      </w:r>
      <w:r>
        <w:t xml:space="preserve">a </w:t>
      </w:r>
      <w:r>
        <w:rPr>
          <w:spacing w:val="3"/>
        </w:rPr>
        <w:t xml:space="preserve">maior parte </w:t>
      </w:r>
      <w:r>
        <w:rPr>
          <w:spacing w:val="1"/>
        </w:rPr>
        <w:t xml:space="preserve">da </w:t>
      </w:r>
      <w:r>
        <w:rPr>
          <w:spacing w:val="3"/>
        </w:rPr>
        <w:t xml:space="preserve">população </w:t>
      </w:r>
      <w:r>
        <w:rPr>
          <w:spacing w:val="5"/>
        </w:rPr>
        <w:t xml:space="preserve">local, como também para </w:t>
      </w:r>
      <w:r>
        <w:rPr>
          <w:spacing w:val="2"/>
        </w:rPr>
        <w:t xml:space="preserve">os </w:t>
      </w:r>
      <w:r>
        <w:rPr>
          <w:spacing w:val="5"/>
        </w:rPr>
        <w:t xml:space="preserve">moradores </w:t>
      </w:r>
      <w:r>
        <w:rPr>
          <w:spacing w:val="3"/>
        </w:rPr>
        <w:t xml:space="preserve">das </w:t>
      </w:r>
      <w:r>
        <w:rPr>
          <w:spacing w:val="5"/>
        </w:rPr>
        <w:t xml:space="preserve">cidades </w:t>
      </w:r>
      <w:r>
        <w:rPr>
          <w:spacing w:val="6"/>
        </w:rPr>
        <w:t xml:space="preserve">vizinhas </w:t>
      </w:r>
      <w:r>
        <w:t xml:space="preserve">(AGÊNCIA MINAS, 2008). Além disso, a economia da cidade gira em torno do comércio, da agricultura e, principalmente,  </w:t>
      </w:r>
      <w:r>
        <w:rPr>
          <w:spacing w:val="3"/>
        </w:rPr>
        <w:t xml:space="preserve">do </w:t>
      </w:r>
      <w:r>
        <w:rPr>
          <w:spacing w:val="6"/>
        </w:rPr>
        <w:t xml:space="preserve">turismo, </w:t>
      </w:r>
      <w:r>
        <w:rPr>
          <w:spacing w:val="5"/>
        </w:rPr>
        <w:t>que vem c</w:t>
      </w:r>
      <w:r>
        <w:rPr>
          <w:spacing w:val="5"/>
        </w:rPr>
        <w:t xml:space="preserve">riando cada vez mais </w:t>
      </w:r>
      <w:r>
        <w:rPr>
          <w:spacing w:val="7"/>
        </w:rPr>
        <w:t xml:space="preserve">empregos </w:t>
      </w:r>
      <w:r>
        <w:rPr>
          <w:spacing w:val="6"/>
        </w:rPr>
        <w:t xml:space="preserve">(CARRISSO; </w:t>
      </w:r>
      <w:r>
        <w:rPr>
          <w:spacing w:val="5"/>
        </w:rPr>
        <w:t>PIRES,</w:t>
      </w:r>
      <w:r>
        <w:rPr>
          <w:spacing w:val="22"/>
        </w:rPr>
        <w:t xml:space="preserve"> </w:t>
      </w:r>
      <w:r>
        <w:rPr>
          <w:spacing w:val="7"/>
        </w:rPr>
        <w:t>2011).</w:t>
      </w:r>
    </w:p>
    <w:p w:rsidR="00D81F69" w:rsidRDefault="00330118">
      <w:pPr>
        <w:pStyle w:val="Corpodetexto"/>
        <w:spacing w:before="138" w:line="312" w:lineRule="auto"/>
        <w:ind w:right="72"/>
      </w:pPr>
      <w:r>
        <w:t>Estima-se que a maior parte das exportações de quartzitos foliados e extraídos em placas de Minas Gerais seja proveniente do centro produtor de São Thomé das Letras, e sua importância pode ser avaliada</w:t>
      </w:r>
      <w:r>
        <w:t xml:space="preserve"> pelo uso genérico do termo “Pedra São Thomé”, utilizado para designar quartzitos plaqueados comercializados no Brasil (FERNANDES; GODOY; FERNANDES, 2003).</w:t>
      </w:r>
    </w:p>
    <w:p w:rsidR="00D81F69" w:rsidRDefault="00330118">
      <w:pPr>
        <w:pStyle w:val="Corpodetexto"/>
        <w:spacing w:before="137" w:line="312" w:lineRule="auto"/>
        <w:ind w:right="77"/>
      </w:pPr>
      <w:r>
        <w:t xml:space="preserve">O potencial econômico das jazidas de quartzito do município foi descoberto no início dos anos 1950, </w:t>
      </w:r>
      <w:r>
        <w:t xml:space="preserve">e sua exploração se </w:t>
      </w:r>
      <w:r>
        <w:rPr>
          <w:spacing w:val="5"/>
        </w:rPr>
        <w:t xml:space="preserve">intensificou </w:t>
      </w:r>
      <w:r>
        <w:rPr>
          <w:spacing w:val="2"/>
        </w:rPr>
        <w:t xml:space="preserve">na </w:t>
      </w:r>
      <w:r>
        <w:rPr>
          <w:spacing w:val="5"/>
        </w:rPr>
        <w:t xml:space="preserve">década </w:t>
      </w:r>
      <w:r>
        <w:rPr>
          <w:spacing w:val="2"/>
        </w:rPr>
        <w:t xml:space="preserve">de </w:t>
      </w:r>
      <w:r>
        <w:rPr>
          <w:spacing w:val="3"/>
        </w:rPr>
        <w:t xml:space="preserve">1970 </w:t>
      </w:r>
      <w:r>
        <w:rPr>
          <w:spacing w:val="5"/>
        </w:rPr>
        <w:t>(FERNANDES; GODOY;</w:t>
      </w:r>
      <w:r>
        <w:rPr>
          <w:spacing w:val="61"/>
        </w:rPr>
        <w:t xml:space="preserve"> </w:t>
      </w:r>
      <w:r>
        <w:rPr>
          <w:spacing w:val="3"/>
        </w:rPr>
        <w:t xml:space="preserve">FERNANDES, 2003). </w:t>
      </w:r>
      <w:r>
        <w:t xml:space="preserve">A </w:t>
      </w:r>
      <w:r>
        <w:rPr>
          <w:spacing w:val="3"/>
        </w:rPr>
        <w:t xml:space="preserve">produção estimada </w:t>
      </w:r>
      <w:r>
        <w:rPr>
          <w:spacing w:val="2"/>
        </w:rPr>
        <w:t xml:space="preserve">para </w:t>
      </w:r>
      <w:r>
        <w:t xml:space="preserve">o </w:t>
      </w:r>
      <w:r>
        <w:rPr>
          <w:spacing w:val="5"/>
        </w:rPr>
        <w:t>centro</w:t>
      </w:r>
    </w:p>
    <w:p w:rsidR="00D81F69" w:rsidRDefault="00330118">
      <w:pPr>
        <w:pStyle w:val="Corpodetexto"/>
        <w:spacing w:before="98" w:line="312" w:lineRule="auto"/>
        <w:ind w:right="192"/>
      </w:pPr>
      <w:r>
        <w:br w:type="column"/>
      </w:r>
      <w:r>
        <w:lastRenderedPageBreak/>
        <w:t>últimos anos, a região vem sofrendo com a exploração desregulada de empresas mineradoras, havendo pontos de desmatamento em toda a área do município, muitos deles com alto grau de dificuldade de recuperação (CARRISSO; PIRES, 2011).</w:t>
      </w:r>
    </w:p>
    <w:p w:rsidR="00D81F69" w:rsidRDefault="00330118">
      <w:pPr>
        <w:pStyle w:val="Corpodetexto"/>
        <w:spacing w:before="135" w:line="312" w:lineRule="auto"/>
        <w:ind w:right="196"/>
      </w:pPr>
      <w:r>
        <w:t>As mineradoras locais extraem pedras somente próximo à superfície. Desta forma, as jazidas avançam horizontalmente, ocupando cada vez mais áreas de mata nativa. Além disso, a extração de quartzito compromete cursos d’água por assoreamento de resíduos e pre</w:t>
      </w:r>
      <w:r>
        <w:t>judica o patrimônio arquitetônico local ao utilizar dinamite e transportar as pedras em caminhões pesados que circulam dentro da cidade (FLEISCHER, 2006).</w:t>
      </w:r>
    </w:p>
    <w:p w:rsidR="00D81F69" w:rsidRDefault="00330118">
      <w:pPr>
        <w:pStyle w:val="Corpodetexto"/>
        <w:spacing w:before="137" w:line="312" w:lineRule="auto"/>
        <w:ind w:right="188"/>
      </w:pPr>
      <w:r>
        <w:t xml:space="preserve">As condições de lavra dos quartzitos foliados são, no </w:t>
      </w:r>
      <w:r>
        <w:rPr>
          <w:spacing w:val="1"/>
        </w:rPr>
        <w:t xml:space="preserve">geral, </w:t>
      </w:r>
      <w:r>
        <w:rPr>
          <w:spacing w:val="3"/>
        </w:rPr>
        <w:t xml:space="preserve">rudimentares, </w:t>
      </w:r>
      <w:r>
        <w:rPr>
          <w:spacing w:val="2"/>
        </w:rPr>
        <w:t xml:space="preserve">com </w:t>
      </w:r>
      <w:r>
        <w:rPr>
          <w:spacing w:val="3"/>
        </w:rPr>
        <w:t xml:space="preserve">algumas empresas </w:t>
      </w:r>
      <w:r>
        <w:rPr>
          <w:spacing w:val="1"/>
        </w:rPr>
        <w:t xml:space="preserve">já </w:t>
      </w:r>
      <w:r>
        <w:rPr>
          <w:spacing w:val="5"/>
        </w:rPr>
        <w:t>ex</w:t>
      </w:r>
      <w:r>
        <w:rPr>
          <w:spacing w:val="5"/>
        </w:rPr>
        <w:t xml:space="preserve">perimentando </w:t>
      </w:r>
      <w:r>
        <w:rPr>
          <w:spacing w:val="3"/>
        </w:rPr>
        <w:t xml:space="preserve">processos </w:t>
      </w:r>
      <w:r>
        <w:rPr>
          <w:spacing w:val="1"/>
        </w:rPr>
        <w:t xml:space="preserve">de </w:t>
      </w:r>
      <w:r>
        <w:rPr>
          <w:spacing w:val="3"/>
        </w:rPr>
        <w:t xml:space="preserve">modernização. </w:t>
      </w:r>
      <w:r>
        <w:t xml:space="preserve">O </w:t>
      </w:r>
      <w:r>
        <w:rPr>
          <w:spacing w:val="3"/>
        </w:rPr>
        <w:t xml:space="preserve">beneficiamento </w:t>
      </w:r>
      <w:r>
        <w:t xml:space="preserve">é </w:t>
      </w:r>
      <w:r>
        <w:rPr>
          <w:spacing w:val="5"/>
        </w:rPr>
        <w:t xml:space="preserve">também </w:t>
      </w:r>
      <w:r>
        <w:t xml:space="preserve">ainda bastante simples e efetuado basicamente através do corte manual ou serrado, de lajotas, registrando-se, contudo,  a </w:t>
      </w:r>
      <w:r>
        <w:rPr>
          <w:spacing w:val="10"/>
        </w:rPr>
        <w:t xml:space="preserve">disseminação </w:t>
      </w:r>
      <w:r>
        <w:rPr>
          <w:spacing w:val="5"/>
        </w:rPr>
        <w:t xml:space="preserve">de </w:t>
      </w:r>
      <w:r>
        <w:rPr>
          <w:spacing w:val="7"/>
        </w:rPr>
        <w:t xml:space="preserve">novas </w:t>
      </w:r>
      <w:r>
        <w:rPr>
          <w:spacing w:val="10"/>
        </w:rPr>
        <w:t xml:space="preserve">tecnologias </w:t>
      </w:r>
      <w:r>
        <w:rPr>
          <w:spacing w:val="5"/>
        </w:rPr>
        <w:t xml:space="preserve">de </w:t>
      </w:r>
      <w:r>
        <w:rPr>
          <w:spacing w:val="8"/>
        </w:rPr>
        <w:t xml:space="preserve">processo </w:t>
      </w:r>
      <w:r>
        <w:t xml:space="preserve">e </w:t>
      </w:r>
      <w:r>
        <w:rPr>
          <w:spacing w:val="5"/>
        </w:rPr>
        <w:t xml:space="preserve">diversificação </w:t>
      </w:r>
      <w:r>
        <w:rPr>
          <w:spacing w:val="3"/>
        </w:rPr>
        <w:t xml:space="preserve">dos </w:t>
      </w:r>
      <w:r>
        <w:rPr>
          <w:spacing w:val="5"/>
        </w:rPr>
        <w:t>p</w:t>
      </w:r>
      <w:r>
        <w:rPr>
          <w:spacing w:val="5"/>
        </w:rPr>
        <w:t>rodutos comerciais (CHIODI,</w:t>
      </w:r>
      <w:r>
        <w:rPr>
          <w:spacing w:val="3"/>
        </w:rPr>
        <w:t xml:space="preserve"> </w:t>
      </w:r>
      <w:r>
        <w:rPr>
          <w:spacing w:val="6"/>
        </w:rPr>
        <w:t>2003).</w:t>
      </w:r>
    </w:p>
    <w:p w:rsidR="00D81F69" w:rsidRDefault="00330118">
      <w:pPr>
        <w:pStyle w:val="Corpodetexto"/>
        <w:spacing w:before="137" w:line="312" w:lineRule="auto"/>
        <w:ind w:right="187"/>
      </w:pPr>
      <w:r>
        <w:t>Segundo operários das mineradoras, o aproveitamento na extração não passa de 40%. Todo o resto vira rejeito, acomodado em montanhas de pedra, com altura máxima de 5m, que modificam a topografia da cidade, fazendo surgir n</w:t>
      </w:r>
      <w:r>
        <w:t>o horizonte montanhas quadradas e sem cobertura vegetal (FLEISCHER, 2006).</w:t>
      </w:r>
    </w:p>
    <w:p w:rsidR="00D81F69" w:rsidRDefault="00330118">
      <w:pPr>
        <w:pStyle w:val="Corpodetexto"/>
        <w:spacing w:before="135" w:line="312" w:lineRule="auto"/>
        <w:ind w:right="177"/>
      </w:pPr>
      <w:r>
        <w:rPr>
          <w:spacing w:val="1"/>
        </w:rPr>
        <w:t xml:space="preserve">Muitas vezes </w:t>
      </w:r>
      <w:r>
        <w:t xml:space="preserve">não há </w:t>
      </w:r>
      <w:r>
        <w:rPr>
          <w:spacing w:val="1"/>
        </w:rPr>
        <w:t xml:space="preserve">sequer levantamentos topográficos </w:t>
      </w:r>
      <w:r>
        <w:t xml:space="preserve">e geológicos das minas para indicar a localização dos </w:t>
      </w:r>
      <w:r>
        <w:rPr>
          <w:spacing w:val="1"/>
        </w:rPr>
        <w:t xml:space="preserve">corpos  </w:t>
      </w:r>
      <w:r>
        <w:t>de minério. Com isso, pilhas de estéril são depositadas sobre ele</w:t>
      </w:r>
      <w:r>
        <w:t xml:space="preserve">s, necessitando de posterior remobilização, com a perda </w:t>
      </w:r>
      <w:r>
        <w:rPr>
          <w:spacing w:val="11"/>
        </w:rPr>
        <w:t xml:space="preserve">dos </w:t>
      </w:r>
      <w:r>
        <w:rPr>
          <w:spacing w:val="15"/>
        </w:rPr>
        <w:t xml:space="preserve">serviços </w:t>
      </w:r>
      <w:r>
        <w:rPr>
          <w:spacing w:val="8"/>
        </w:rPr>
        <w:t xml:space="preserve">de </w:t>
      </w:r>
      <w:r>
        <w:rPr>
          <w:spacing w:val="15"/>
        </w:rPr>
        <w:t xml:space="preserve">implantação </w:t>
      </w:r>
      <w:r>
        <w:rPr>
          <w:spacing w:val="8"/>
        </w:rPr>
        <w:t xml:space="preserve">de </w:t>
      </w:r>
      <w:r>
        <w:rPr>
          <w:spacing w:val="12"/>
        </w:rPr>
        <w:t xml:space="preserve">vias </w:t>
      </w:r>
      <w:r>
        <w:rPr>
          <w:spacing w:val="8"/>
        </w:rPr>
        <w:t xml:space="preserve">de </w:t>
      </w:r>
      <w:r>
        <w:rPr>
          <w:spacing w:val="15"/>
        </w:rPr>
        <w:t xml:space="preserve">acesso, </w:t>
      </w:r>
      <w:r>
        <w:rPr>
          <w:spacing w:val="10"/>
        </w:rPr>
        <w:t xml:space="preserve">retaludamento, drenagem, revegetação, </w:t>
      </w:r>
      <w:r>
        <w:rPr>
          <w:spacing w:val="8"/>
        </w:rPr>
        <w:t xml:space="preserve">etc. </w:t>
      </w:r>
      <w:r>
        <w:rPr>
          <w:spacing w:val="11"/>
        </w:rPr>
        <w:t xml:space="preserve">(VIANA; </w:t>
      </w:r>
      <w:r>
        <w:rPr>
          <w:spacing w:val="10"/>
        </w:rPr>
        <w:t>BURSZTYN,</w:t>
      </w:r>
      <w:r>
        <w:rPr>
          <w:spacing w:val="57"/>
        </w:rPr>
        <w:t xml:space="preserve"> </w:t>
      </w:r>
      <w:r>
        <w:rPr>
          <w:spacing w:val="11"/>
        </w:rPr>
        <w:t>2010).</w:t>
      </w:r>
    </w:p>
    <w:p w:rsidR="00D81F69" w:rsidRDefault="00330118">
      <w:pPr>
        <w:pStyle w:val="Corpodetexto"/>
        <w:spacing w:before="137"/>
      </w:pPr>
      <w:r>
        <w:t>Estima-se que a recuperação dos passivos e a mitigação dos</w:t>
      </w:r>
    </w:p>
    <w:p w:rsidR="00D81F69" w:rsidRDefault="00D81F69">
      <w:pPr>
        <w:sectPr w:rsidR="00D81F69">
          <w:type w:val="continuous"/>
          <w:pgSz w:w="11900" w:h="16840"/>
          <w:pgMar w:top="720" w:right="500" w:bottom="280" w:left="620" w:header="720" w:footer="720" w:gutter="0"/>
          <w:cols w:num="2" w:space="720" w:equalWidth="0">
            <w:col w:w="5198" w:space="272"/>
            <w:col w:w="5310"/>
          </w:cols>
        </w:sectPr>
      </w:pPr>
    </w:p>
    <w:p w:rsidR="00D81F69" w:rsidRDefault="00330118">
      <w:pPr>
        <w:pStyle w:val="Corpodetexto"/>
        <w:spacing w:before="81" w:line="312" w:lineRule="auto"/>
        <w:ind w:right="41"/>
      </w:pPr>
      <w:r>
        <w:lastRenderedPageBreak/>
        <w:t>impactos ambientais de São Thomé das Letras dependam de iniciativas articuladas e não apenas de ações isoladas de fiscalização sobre a atividade de lavra (CARRISSO; PIRES, 2011).</w:t>
      </w:r>
    </w:p>
    <w:p w:rsidR="00D81F69" w:rsidRDefault="00330118">
      <w:pPr>
        <w:pStyle w:val="Corpodetexto"/>
        <w:spacing w:before="134" w:line="312" w:lineRule="auto"/>
        <w:ind w:right="40"/>
      </w:pPr>
      <w:r>
        <w:t xml:space="preserve">Em </w:t>
      </w:r>
      <w:r>
        <w:rPr>
          <w:spacing w:val="1"/>
        </w:rPr>
        <w:t xml:space="preserve">1993, </w:t>
      </w:r>
      <w:r>
        <w:t xml:space="preserve">a </w:t>
      </w:r>
      <w:r>
        <w:rPr>
          <w:spacing w:val="1"/>
        </w:rPr>
        <w:t xml:space="preserve">Fundação Estadual </w:t>
      </w:r>
      <w:r>
        <w:t xml:space="preserve">do </w:t>
      </w:r>
      <w:r>
        <w:rPr>
          <w:spacing w:val="1"/>
        </w:rPr>
        <w:t xml:space="preserve">Meio Ambiente </w:t>
      </w:r>
      <w:r>
        <w:rPr>
          <w:spacing w:val="2"/>
        </w:rPr>
        <w:t xml:space="preserve">(Feam) </w:t>
      </w:r>
      <w:r>
        <w:t>realizou os primeiros t</w:t>
      </w:r>
      <w:r>
        <w:t>rabalhos de fiscalização no município, constatando deficiências e iniciando uma ação orientadora em relação aos mineradores. A partir de 1998, essas ações foram ancoradas pelo projeto Minas Ambiente, um convênio entre a Universidade Federal de Minas Gerais</w:t>
      </w:r>
      <w:r>
        <w:t xml:space="preserve"> (UFMG), o Conselho </w:t>
      </w:r>
      <w:r>
        <w:rPr>
          <w:spacing w:val="3"/>
        </w:rPr>
        <w:t xml:space="preserve">de </w:t>
      </w:r>
      <w:r>
        <w:rPr>
          <w:spacing w:val="6"/>
        </w:rPr>
        <w:t xml:space="preserve">Desenvolvimento </w:t>
      </w:r>
      <w:r>
        <w:rPr>
          <w:spacing w:val="3"/>
        </w:rPr>
        <w:t xml:space="preserve">de </w:t>
      </w:r>
      <w:r>
        <w:rPr>
          <w:spacing w:val="6"/>
        </w:rPr>
        <w:t xml:space="preserve">Tecnologia </w:t>
      </w:r>
      <w:r>
        <w:rPr>
          <w:spacing w:val="5"/>
        </w:rPr>
        <w:t xml:space="preserve">Nuclear (CDTN), </w:t>
      </w:r>
      <w:r>
        <w:t xml:space="preserve">a Fundação de Amparo à Pesquisa de Minas Gerais (Fapemig) e a Sociedade Alemã de Cooperação Técnica (GTZ). Desde </w:t>
      </w:r>
      <w:r>
        <w:rPr>
          <w:spacing w:val="5"/>
        </w:rPr>
        <w:t xml:space="preserve">então, </w:t>
      </w:r>
      <w:r>
        <w:rPr>
          <w:spacing w:val="3"/>
        </w:rPr>
        <w:t xml:space="preserve">vêm </w:t>
      </w:r>
      <w:r>
        <w:rPr>
          <w:spacing w:val="5"/>
        </w:rPr>
        <w:t xml:space="preserve">sendo realizados estudos sistemáticos </w:t>
      </w:r>
      <w:r>
        <w:rPr>
          <w:spacing w:val="6"/>
        </w:rPr>
        <w:t xml:space="preserve">para </w:t>
      </w:r>
      <w:r>
        <w:rPr>
          <w:spacing w:val="1"/>
        </w:rPr>
        <w:t xml:space="preserve">adequação </w:t>
      </w:r>
      <w:r>
        <w:t xml:space="preserve">da </w:t>
      </w:r>
      <w:r>
        <w:rPr>
          <w:spacing w:val="1"/>
        </w:rPr>
        <w:t xml:space="preserve">lavra </w:t>
      </w:r>
      <w:r>
        <w:t>e</w:t>
      </w:r>
      <w:r>
        <w:t xml:space="preserve"> </w:t>
      </w:r>
      <w:r>
        <w:rPr>
          <w:spacing w:val="1"/>
        </w:rPr>
        <w:t xml:space="preserve">aproveitamento </w:t>
      </w:r>
      <w:r>
        <w:t xml:space="preserve">de </w:t>
      </w:r>
      <w:r>
        <w:rPr>
          <w:spacing w:val="1"/>
        </w:rPr>
        <w:t xml:space="preserve">rejeitos </w:t>
      </w:r>
      <w:r>
        <w:rPr>
          <w:spacing w:val="2"/>
        </w:rPr>
        <w:t>(CHIODI, 2003).</w:t>
      </w:r>
    </w:p>
    <w:p w:rsidR="00D81F69" w:rsidRDefault="00330118">
      <w:pPr>
        <w:pStyle w:val="Corpodetexto"/>
        <w:spacing w:before="141" w:line="312" w:lineRule="auto"/>
        <w:ind w:right="38"/>
      </w:pPr>
      <w:r>
        <w:t>O projeto Minas Ambiente foi dividido em quatro vertentes, sendo uma delas sobre mineração. Classificada como um subprojeto, esta foi, por sua vez, dividida em quatro linhas: estudos de alternativas de lavras; disposição correta da pilha de resíduos; estud</w:t>
      </w:r>
      <w:r>
        <w:t>os de alternativas de vegetação para reintegrar essas montanhas ao ambiente local; e reaproveitamento dos rejeitos (PEDREIRAS SÃO TOMÉ, 2010).</w:t>
      </w:r>
    </w:p>
    <w:p w:rsidR="00D81F69" w:rsidRDefault="00330118">
      <w:pPr>
        <w:pStyle w:val="Corpodetexto"/>
        <w:spacing w:before="137" w:line="312" w:lineRule="auto"/>
        <w:ind w:right="54"/>
      </w:pPr>
      <w:r>
        <w:t>Outros problemas graves no município são a falta de regularização dos direitos de mineração, tendo em vista a gra</w:t>
      </w:r>
      <w:r>
        <w:t>nde quantidade de empresas sem títulos minerários, e a falta de condições adequadas de segurança e saúde dos trabalhadores (DNPM, 2006).</w:t>
      </w:r>
    </w:p>
    <w:p w:rsidR="00D81F69" w:rsidRDefault="00330118">
      <w:pPr>
        <w:pStyle w:val="Corpodetexto"/>
        <w:spacing w:before="135" w:line="312" w:lineRule="auto"/>
        <w:ind w:right="41"/>
      </w:pPr>
      <w:r>
        <w:t xml:space="preserve">Em função destas questões, teve início, em 20 de novembro </w:t>
      </w:r>
      <w:r>
        <w:rPr>
          <w:spacing w:val="1"/>
        </w:rPr>
        <w:t xml:space="preserve">de </w:t>
      </w:r>
      <w:r>
        <w:rPr>
          <w:spacing w:val="3"/>
        </w:rPr>
        <w:t xml:space="preserve">2006, </w:t>
      </w:r>
      <w:r>
        <w:t xml:space="preserve">a </w:t>
      </w:r>
      <w:r>
        <w:rPr>
          <w:spacing w:val="3"/>
        </w:rPr>
        <w:t xml:space="preserve">Operação </w:t>
      </w:r>
      <w:r>
        <w:rPr>
          <w:spacing w:val="2"/>
        </w:rPr>
        <w:t xml:space="preserve">Sul </w:t>
      </w:r>
      <w:r>
        <w:rPr>
          <w:spacing w:val="1"/>
        </w:rPr>
        <w:t xml:space="preserve">de </w:t>
      </w:r>
      <w:r>
        <w:rPr>
          <w:spacing w:val="3"/>
        </w:rPr>
        <w:t xml:space="preserve">Minas, realizada </w:t>
      </w:r>
      <w:r>
        <w:rPr>
          <w:spacing w:val="2"/>
        </w:rPr>
        <w:t xml:space="preserve">pelo </w:t>
      </w:r>
      <w:r>
        <w:rPr>
          <w:spacing w:val="5"/>
        </w:rPr>
        <w:t xml:space="preserve">Grupo </w:t>
      </w:r>
      <w:r>
        <w:t>Coorde</w:t>
      </w:r>
      <w:r>
        <w:t>nador de Fiscalização Ambiental Integrada (GCFAI), com o objetivo acabar com a extração irregular de quartzito em São Thomé das Letras e Luminárias. Durante a operação, cerca de 12 quilos de nitrato de potássio, substância utilizada como explosivo nas área</w:t>
      </w:r>
      <w:r>
        <w:t xml:space="preserve">s de mineração, foram apreendidos, em São Thomé. A mineradora onde houve a apreensão de explosivos estava regularizada nos órgãos de meio ambiente, </w:t>
      </w:r>
      <w:r>
        <w:rPr>
          <w:spacing w:val="7"/>
        </w:rPr>
        <w:t xml:space="preserve">porém </w:t>
      </w:r>
      <w:r>
        <w:t xml:space="preserve">o </w:t>
      </w:r>
      <w:r>
        <w:rPr>
          <w:spacing w:val="8"/>
        </w:rPr>
        <w:t xml:space="preserve">material </w:t>
      </w:r>
      <w:r>
        <w:rPr>
          <w:spacing w:val="10"/>
        </w:rPr>
        <w:t xml:space="preserve">encontrava-se </w:t>
      </w:r>
      <w:r>
        <w:rPr>
          <w:spacing w:val="7"/>
        </w:rPr>
        <w:t xml:space="preserve">fora </w:t>
      </w:r>
      <w:r>
        <w:rPr>
          <w:spacing w:val="6"/>
        </w:rPr>
        <w:t xml:space="preserve">dos </w:t>
      </w:r>
      <w:r>
        <w:rPr>
          <w:spacing w:val="8"/>
        </w:rPr>
        <w:t xml:space="preserve">padrões </w:t>
      </w:r>
      <w:r>
        <w:rPr>
          <w:spacing w:val="10"/>
        </w:rPr>
        <w:t xml:space="preserve">de armazenagem </w:t>
      </w:r>
      <w:r>
        <w:rPr>
          <w:spacing w:val="8"/>
        </w:rPr>
        <w:t>(FEAM,</w:t>
      </w:r>
      <w:r>
        <w:rPr>
          <w:spacing w:val="36"/>
        </w:rPr>
        <w:t xml:space="preserve"> </w:t>
      </w:r>
      <w:r>
        <w:rPr>
          <w:spacing w:val="10"/>
        </w:rPr>
        <w:t>2006).</w:t>
      </w:r>
    </w:p>
    <w:p w:rsidR="00D81F69" w:rsidRDefault="00330118">
      <w:pPr>
        <w:pStyle w:val="Corpodetexto"/>
        <w:spacing w:before="140" w:line="312" w:lineRule="auto"/>
        <w:ind w:right="55"/>
      </w:pPr>
      <w:r>
        <w:rPr>
          <w:spacing w:val="5"/>
        </w:rPr>
        <w:t xml:space="preserve">Ainda </w:t>
      </w:r>
      <w:r>
        <w:rPr>
          <w:spacing w:val="2"/>
        </w:rPr>
        <w:t xml:space="preserve">em </w:t>
      </w:r>
      <w:r>
        <w:rPr>
          <w:spacing w:val="5"/>
        </w:rPr>
        <w:t xml:space="preserve">2006, </w:t>
      </w:r>
      <w:r>
        <w:t xml:space="preserve">o </w:t>
      </w:r>
      <w:r>
        <w:rPr>
          <w:spacing w:val="5"/>
        </w:rPr>
        <w:t>Departamento N</w:t>
      </w:r>
      <w:r>
        <w:rPr>
          <w:spacing w:val="5"/>
        </w:rPr>
        <w:t xml:space="preserve">acional </w:t>
      </w:r>
      <w:r>
        <w:rPr>
          <w:spacing w:val="2"/>
        </w:rPr>
        <w:t xml:space="preserve">de </w:t>
      </w:r>
      <w:r>
        <w:rPr>
          <w:spacing w:val="6"/>
        </w:rPr>
        <w:t xml:space="preserve">Produção </w:t>
      </w:r>
      <w:r>
        <w:rPr>
          <w:spacing w:val="3"/>
        </w:rPr>
        <w:t xml:space="preserve">Mineral (DNPM) participou </w:t>
      </w:r>
      <w:r>
        <w:rPr>
          <w:spacing w:val="1"/>
        </w:rPr>
        <w:t xml:space="preserve">de </w:t>
      </w:r>
      <w:r>
        <w:rPr>
          <w:spacing w:val="2"/>
        </w:rPr>
        <w:t xml:space="preserve">uma </w:t>
      </w:r>
      <w:r>
        <w:rPr>
          <w:spacing w:val="3"/>
        </w:rPr>
        <w:t xml:space="preserve">audiência pública </w:t>
      </w:r>
      <w:r>
        <w:rPr>
          <w:spacing w:val="5"/>
        </w:rPr>
        <w:t xml:space="preserve">para </w:t>
      </w:r>
      <w:r>
        <w:t xml:space="preserve">discutir o futuro do aproveitamento econômico dos quartzitos </w:t>
      </w:r>
      <w:r>
        <w:rPr>
          <w:spacing w:val="1"/>
        </w:rPr>
        <w:t xml:space="preserve">de </w:t>
      </w:r>
      <w:r>
        <w:rPr>
          <w:spacing w:val="2"/>
        </w:rPr>
        <w:t xml:space="preserve">São </w:t>
      </w:r>
      <w:r>
        <w:rPr>
          <w:spacing w:val="3"/>
        </w:rPr>
        <w:t xml:space="preserve">Thomé. </w:t>
      </w:r>
      <w:r>
        <w:rPr>
          <w:spacing w:val="1"/>
        </w:rPr>
        <w:t xml:space="preserve">Na </w:t>
      </w:r>
      <w:r>
        <w:rPr>
          <w:spacing w:val="3"/>
        </w:rPr>
        <w:t xml:space="preserve">ocasião, cerca </w:t>
      </w:r>
      <w:r>
        <w:rPr>
          <w:spacing w:val="1"/>
        </w:rPr>
        <w:t xml:space="preserve">de </w:t>
      </w:r>
      <w:r>
        <w:rPr>
          <w:spacing w:val="2"/>
        </w:rPr>
        <w:t xml:space="preserve">20% das </w:t>
      </w:r>
      <w:r>
        <w:rPr>
          <w:spacing w:val="3"/>
        </w:rPr>
        <w:t xml:space="preserve">frentes </w:t>
      </w:r>
      <w:r>
        <w:rPr>
          <w:spacing w:val="5"/>
        </w:rPr>
        <w:t xml:space="preserve">de </w:t>
      </w:r>
      <w:r>
        <w:t>lavra encontravam-se paralisadas. Os autos de infração foram lavr</w:t>
      </w:r>
      <w:r>
        <w:t xml:space="preserve">ados pelo III Distrito do DNPM-MG e pela Feam, </w:t>
      </w:r>
      <w:r>
        <w:rPr>
          <w:spacing w:val="1"/>
        </w:rPr>
        <w:t xml:space="preserve">depois </w:t>
      </w:r>
      <w:r>
        <w:t>da</w:t>
      </w:r>
      <w:r>
        <w:rPr>
          <w:spacing w:val="15"/>
        </w:rPr>
        <w:t xml:space="preserve"> </w:t>
      </w:r>
      <w:r>
        <w:t>Operação</w:t>
      </w:r>
      <w:r>
        <w:rPr>
          <w:spacing w:val="15"/>
        </w:rPr>
        <w:t xml:space="preserve"> </w:t>
      </w:r>
      <w:r>
        <w:t>Sul</w:t>
      </w:r>
      <w:r>
        <w:rPr>
          <w:spacing w:val="15"/>
        </w:rPr>
        <w:t xml:space="preserve"> </w:t>
      </w:r>
      <w:r>
        <w:t>de</w:t>
      </w:r>
      <w:r>
        <w:rPr>
          <w:spacing w:val="15"/>
        </w:rPr>
        <w:t xml:space="preserve"> </w:t>
      </w:r>
      <w:r>
        <w:t>Minas</w:t>
      </w:r>
      <w:r>
        <w:rPr>
          <w:spacing w:val="15"/>
        </w:rPr>
        <w:t xml:space="preserve"> </w:t>
      </w:r>
      <w:r>
        <w:t>(DNPM,</w:t>
      </w:r>
      <w:r>
        <w:rPr>
          <w:spacing w:val="15"/>
        </w:rPr>
        <w:t xml:space="preserve"> </w:t>
      </w:r>
      <w:r>
        <w:rPr>
          <w:spacing w:val="1"/>
        </w:rPr>
        <w:t>2006).</w:t>
      </w:r>
    </w:p>
    <w:p w:rsidR="00D81F69" w:rsidRDefault="00330118">
      <w:pPr>
        <w:pStyle w:val="Corpodetexto"/>
        <w:spacing w:before="73" w:line="270" w:lineRule="atLeast"/>
        <w:ind w:right="57"/>
      </w:pPr>
      <w:r>
        <w:t>Na audiência, o DNPM expôs as condições para que as frentes de lavra paralisadas pudessem ser recolocadas em atividade. Em reunião com os associados da Cooperativa</w:t>
      </w:r>
      <w:r>
        <w:t xml:space="preserve"> dos Extratores de Pedras do Patrimônio de São Thomé das Letras (Coopedra), foram tratados os pontos relacionados à integridade física dos trabalhadores em situação de risco nas frentes de lavra da cooperativa. Na ocasião, a Coopedra</w:t>
      </w:r>
    </w:p>
    <w:p w:rsidR="00D81F69" w:rsidRDefault="00330118">
      <w:pPr>
        <w:pStyle w:val="Corpodetexto"/>
        <w:spacing w:before="81" w:line="312" w:lineRule="auto"/>
        <w:ind w:right="212"/>
      </w:pPr>
      <w:r>
        <w:br w:type="column"/>
      </w:r>
      <w:r>
        <w:lastRenderedPageBreak/>
        <w:t>comprometeu-se a apresentar um novo plano de lavra para agilizar o retorno às suas atividades de forma sustentável (DNPM, 2006).</w:t>
      </w:r>
    </w:p>
    <w:p w:rsidR="00D81F69" w:rsidRDefault="00330118">
      <w:pPr>
        <w:pStyle w:val="Corpodetexto"/>
        <w:spacing w:before="133" w:line="312" w:lineRule="auto"/>
        <w:ind w:right="204"/>
      </w:pPr>
      <w:r>
        <w:t>Dois anos depois, em abril de 2008, foi realizada uma nova reunião do DNPM com a Associação das Empresas Mineradoras, Beneficia</w:t>
      </w:r>
      <w:r>
        <w:t>doras e do Comércio de Quartzitos da Região de São Thomé das Letras (Amist) e com o Sindicato Intermunicipal da Indústria de Rochas Ornamentais de Minas Gerais para discutir soluções visando ao processo de regularização dos direitos minerários na região. F</w:t>
      </w:r>
      <w:r>
        <w:t>oram cadastradas mais de 270 frentes de lavra, que, em sua maioria, encontravam-se em situação irregular, pois tinham entrado com o processo, mas ainda não haviam obtido o título (DNPM, 2008).</w:t>
      </w:r>
    </w:p>
    <w:p w:rsidR="00D81F69" w:rsidRDefault="00330118">
      <w:pPr>
        <w:pStyle w:val="Corpodetexto"/>
        <w:spacing w:before="140" w:line="312" w:lineRule="auto"/>
        <w:ind w:right="215"/>
      </w:pPr>
      <w:r>
        <w:t>Foi criado também, pela prefeitura, o Departamento de Meio Ambi</w:t>
      </w:r>
      <w:r>
        <w:t>ente e Mineração, com o objetivo de acompanhar o processo de regularização das empresas no DNPM, Feam e na Prefeitura (CARRISSO; PIRES, 2011).</w:t>
      </w:r>
    </w:p>
    <w:p w:rsidR="00D81F69" w:rsidRDefault="00330118">
      <w:pPr>
        <w:pStyle w:val="Corpodetexto"/>
        <w:spacing w:before="133" w:line="312" w:lineRule="auto"/>
        <w:ind w:right="193"/>
      </w:pPr>
      <w:r>
        <w:t>Desta forma, o setor produtivo dos quartzitos São Thomé tem buscado conciliar aspectos técnicos, econômicos, come</w:t>
      </w:r>
      <w:r>
        <w:t xml:space="preserve">rciais e ambientais para o aprimoramento das atividades mínero- industriais sob sua responsabilidade (BARBOSA, 2008). As iniciativas empresariais e institucionais mais recentes buscam a </w:t>
      </w:r>
      <w:r>
        <w:rPr>
          <w:spacing w:val="3"/>
        </w:rPr>
        <w:t xml:space="preserve">diversificação </w:t>
      </w:r>
      <w:r>
        <w:rPr>
          <w:spacing w:val="1"/>
        </w:rPr>
        <w:t xml:space="preserve">de </w:t>
      </w:r>
      <w:r>
        <w:rPr>
          <w:spacing w:val="3"/>
        </w:rPr>
        <w:t xml:space="preserve">produtos comerciais </w:t>
      </w:r>
      <w:r>
        <w:rPr>
          <w:spacing w:val="1"/>
        </w:rPr>
        <w:t xml:space="preserve">do </w:t>
      </w:r>
      <w:r>
        <w:rPr>
          <w:spacing w:val="3"/>
        </w:rPr>
        <w:t xml:space="preserve">quartzito </w:t>
      </w:r>
      <w:r>
        <w:rPr>
          <w:spacing w:val="5"/>
        </w:rPr>
        <w:t xml:space="preserve">São Thomé; </w:t>
      </w:r>
      <w:r>
        <w:t xml:space="preserve">o </w:t>
      </w:r>
      <w:r>
        <w:rPr>
          <w:spacing w:val="5"/>
        </w:rPr>
        <w:t>atendi</w:t>
      </w:r>
      <w:r>
        <w:rPr>
          <w:spacing w:val="5"/>
        </w:rPr>
        <w:t xml:space="preserve">mento </w:t>
      </w:r>
      <w:r>
        <w:rPr>
          <w:spacing w:val="2"/>
        </w:rPr>
        <w:t xml:space="preserve">de </w:t>
      </w:r>
      <w:r>
        <w:rPr>
          <w:spacing w:val="3"/>
        </w:rPr>
        <w:t xml:space="preserve">novos </w:t>
      </w:r>
      <w:r>
        <w:rPr>
          <w:spacing w:val="5"/>
        </w:rPr>
        <w:t xml:space="preserve">mercados potenciais; </w:t>
      </w:r>
      <w:r>
        <w:t xml:space="preserve">o </w:t>
      </w:r>
      <w:r>
        <w:rPr>
          <w:spacing w:val="3"/>
        </w:rPr>
        <w:t xml:space="preserve">desenvolvimento tecnológico </w:t>
      </w:r>
      <w:r>
        <w:rPr>
          <w:spacing w:val="2"/>
        </w:rPr>
        <w:t xml:space="preserve">para </w:t>
      </w:r>
      <w:r>
        <w:t xml:space="preserve">o </w:t>
      </w:r>
      <w:r>
        <w:rPr>
          <w:spacing w:val="3"/>
        </w:rPr>
        <w:t xml:space="preserve">processo industrial; </w:t>
      </w:r>
      <w:r>
        <w:t xml:space="preserve">a melhoria do índice de recuperação e de controle ambiental na </w:t>
      </w:r>
      <w:r>
        <w:rPr>
          <w:spacing w:val="5"/>
        </w:rPr>
        <w:t xml:space="preserve">lavra; </w:t>
      </w:r>
      <w:r>
        <w:t xml:space="preserve">e o </w:t>
      </w:r>
      <w:r>
        <w:rPr>
          <w:spacing w:val="5"/>
        </w:rPr>
        <w:t xml:space="preserve">impacto </w:t>
      </w:r>
      <w:r>
        <w:rPr>
          <w:spacing w:val="6"/>
        </w:rPr>
        <w:t xml:space="preserve">regional positivo </w:t>
      </w:r>
      <w:r>
        <w:rPr>
          <w:spacing w:val="5"/>
        </w:rPr>
        <w:t xml:space="preserve">para </w:t>
      </w:r>
      <w:r>
        <w:t xml:space="preserve">a </w:t>
      </w:r>
      <w:r>
        <w:rPr>
          <w:spacing w:val="5"/>
        </w:rPr>
        <w:t xml:space="preserve">geração </w:t>
      </w:r>
      <w:r>
        <w:rPr>
          <w:spacing w:val="7"/>
        </w:rPr>
        <w:t xml:space="preserve">de </w:t>
      </w:r>
      <w:r>
        <w:rPr>
          <w:spacing w:val="1"/>
        </w:rPr>
        <w:t xml:space="preserve">emprego </w:t>
      </w:r>
      <w:r>
        <w:t xml:space="preserve">e de </w:t>
      </w:r>
      <w:r>
        <w:rPr>
          <w:spacing w:val="1"/>
        </w:rPr>
        <w:t xml:space="preserve">renda (ABIROCHAS, 2007 apud </w:t>
      </w:r>
      <w:r>
        <w:rPr>
          <w:spacing w:val="2"/>
        </w:rPr>
        <w:t>BARBOSA, 2008).</w:t>
      </w:r>
    </w:p>
    <w:p w:rsidR="00D81F69" w:rsidRDefault="00330118">
      <w:pPr>
        <w:pStyle w:val="Corpodetexto"/>
        <w:spacing w:before="142" w:line="312" w:lineRule="auto"/>
        <w:ind w:right="202"/>
      </w:pPr>
      <w:r>
        <w:t>Apesar dos esforços e de 90% das empresas associadas à Amist terem conseguido regularizar o licenciamento ambiental, muitas empresas têm tido dificuldade de cumprir prazos e de se adaptar à legislação em vigor. Os mineradores alegam que, de</w:t>
      </w:r>
      <w:r>
        <w:t>vido à crescente visibilidade social e comercial de São Thomé das Letras, a fiscalização é exercida com muita rigidez e tem ocasionado tributação excessiva, fazendo com que as empresas locais percam competitividade em relação a outros centros produtores (M</w:t>
      </w:r>
      <w:r>
        <w:t>CT, 2006 apud CARRISSO; PIRES, 2011). Alegam que quem tem lucrado com a atividade mineradora são empresas que não estão registradas no município e, com isso, os impostos não são recolhidos na localidade e não geram benefícios para a população (CARRISSO; PI</w:t>
      </w:r>
      <w:r>
        <w:t>RES, 2011).</w:t>
      </w:r>
    </w:p>
    <w:p w:rsidR="00D81F69" w:rsidRDefault="00330118">
      <w:pPr>
        <w:pStyle w:val="Corpodetexto"/>
        <w:spacing w:before="142" w:line="312" w:lineRule="auto"/>
        <w:ind w:right="212"/>
      </w:pPr>
      <w:r>
        <w:t>Com o objetivo de organizar a produção do município, a Financiadora de Estudos e Projetos (Finep) contratou o Instituto Euvaldo Lodi (IEL), com recursos do Fundo Nacional de Desenvolvimento Científico e Tecnológico (FNDCT / CT- Mineral), para d</w:t>
      </w:r>
      <w:r>
        <w:t>etalhar os estudos de implantação do Arranjo Produtivo Local dos Quartzitos de São Thomé das Letras. O detalhamento apontou que ações interinstitucionais poderiam contribuir para o desenvolvimento harmônico da atividade de aproveitamento econômico dos quar</w:t>
      </w:r>
      <w:r>
        <w:t>tzitos com preservação ambiental e garantia de qualidade de vida da comunidade</w:t>
      </w:r>
    </w:p>
    <w:p w:rsidR="00D81F69" w:rsidRDefault="00D81F69">
      <w:pPr>
        <w:spacing w:line="312" w:lineRule="auto"/>
        <w:sectPr w:rsidR="00D81F69">
          <w:pgSz w:w="11900" w:h="16840"/>
          <w:pgMar w:top="740" w:right="500" w:bottom="640" w:left="620" w:header="0" w:footer="402" w:gutter="0"/>
          <w:cols w:num="2" w:space="720" w:equalWidth="0">
            <w:col w:w="5158" w:space="312"/>
            <w:col w:w="5310"/>
          </w:cols>
        </w:sectPr>
      </w:pPr>
    </w:p>
    <w:p w:rsidR="00D81F69" w:rsidRDefault="00330118">
      <w:pPr>
        <w:pStyle w:val="Corpodetexto"/>
        <w:spacing w:before="81"/>
      </w:pPr>
      <w:r>
        <w:lastRenderedPageBreak/>
        <w:t>local (DNPM, 2006).</w:t>
      </w:r>
    </w:p>
    <w:p w:rsidR="00D81F69" w:rsidRDefault="00D81F69">
      <w:pPr>
        <w:pStyle w:val="Corpodetexto"/>
        <w:spacing w:before="9"/>
        <w:ind w:left="0"/>
        <w:jc w:val="left"/>
        <w:rPr>
          <w:sz w:val="16"/>
        </w:rPr>
      </w:pPr>
    </w:p>
    <w:p w:rsidR="00D81F69" w:rsidRDefault="00330118">
      <w:pPr>
        <w:pStyle w:val="Corpodetexto"/>
        <w:spacing w:line="312" w:lineRule="auto"/>
        <w:ind w:right="43"/>
      </w:pPr>
      <w:r>
        <w:t>O APL de São Thomé das Letras, homologado em 10 de dezembro de 2010 no município de Três Corações (EDYL, 2010), reúne outros no</w:t>
      </w:r>
      <w:r>
        <w:t>ve municípios – Baependi; Carrancas; Caxambu; Conceição do Rio Verde; Cruzília; Luminárias; São Bento do Abade; Três Corações; Varginha (NGAPL-MG, 2009).</w:t>
      </w:r>
    </w:p>
    <w:p w:rsidR="00D81F69" w:rsidRDefault="00330118">
      <w:pPr>
        <w:pStyle w:val="Corpodetexto"/>
        <w:spacing w:before="135" w:line="312" w:lineRule="auto"/>
        <w:ind w:right="50"/>
      </w:pPr>
      <w:r>
        <w:t>O APL conta com 110 estabelecimentos formais e 80 informais e gera 4 mil empregos formalizados e mil i</w:t>
      </w:r>
      <w:r>
        <w:t xml:space="preserve">nformais. A base produtiva é formada por 45 empresas, das quais 27 têm menos de 20 empregados, além da Coopedra, que por sua vez tem 82 empresas cooperadas atuando em uma área de 48,5 hectares. Sua produção destina-se principalmente ao estado de São Paulo </w:t>
      </w:r>
      <w:r>
        <w:t>e à região Sul (65%), sendo que 20% desse quantitativo são exportados (NGAPL-MG, 2009).</w:t>
      </w:r>
    </w:p>
    <w:p w:rsidR="00D81F69" w:rsidRDefault="00330118">
      <w:pPr>
        <w:pStyle w:val="Corpodetexto"/>
        <w:spacing w:before="138" w:line="312" w:lineRule="auto"/>
        <w:ind w:right="44"/>
      </w:pPr>
      <w:r>
        <w:t>Em 2010, o Ministério Público Estadual de Minas Gerais promoveu a assinatura de um Termo de Ajustamento de Conduta (TAC) com o município de São Thomé das Letras visando</w:t>
      </w:r>
      <w:r>
        <w:t xml:space="preserve"> à adoção de medidas emergenciais para a visitação sustentável da Gruta de São Thomé”, tombada pelo poder municipal. Na ocasião, os promotores afirmaram que aqueles que se omitirem no dever de prevenir, minimizar e compensar os danos causados pela exploraç</w:t>
      </w:r>
      <w:r>
        <w:t>ão minerária na região, e que praticarem a atividade em desconformidade com a legislação ambiental, serão responsabilizados pelo MPE, tanto no âmbito cível quanto criminal. Foi informado, ainda, que será instaurado um Inquérito Civil Público para cada empr</w:t>
      </w:r>
      <w:r>
        <w:t>eendimento irregular (LOSEKANN, 2010).</w:t>
      </w:r>
    </w:p>
    <w:p w:rsidR="00D81F69" w:rsidRDefault="00330118">
      <w:pPr>
        <w:pStyle w:val="Corpodetexto"/>
        <w:spacing w:before="142" w:line="312" w:lineRule="auto"/>
        <w:ind w:right="56"/>
      </w:pPr>
      <w:r>
        <w:t>Outro problema local diz respeito à sonegação da Contribuição Financeira por Exploração Mineral (CFEM) referente à extração de quartzito. Em 2012, o Tribunal de Contas da União (TCU) determinou que o DNPM aumentasse a</w:t>
      </w:r>
      <w:r>
        <w:t xml:space="preserve"> fiscalização sobre a arrecadação dos royalties. Segundo o TCU, "ao instruir os autos, a Unidade Técnica registra que foram arrecadados R$ 348.990,99 a título de CFEM, no município de São Thomé das Letras, entre os anos de 2009 e 2011. No entanto, no mesmo</w:t>
      </w:r>
      <w:r>
        <w:t xml:space="preserve"> período, as autuações feitas pelos fiscais do DNPM geraram processos em que se discutem valores acima de R$ 3.700.000,00 referentes à CFEM somente” (PROMOTORIA ESTADUAL DE DEFESA DO PATRIMÔNIO, 2012).</w:t>
      </w:r>
    </w:p>
    <w:p w:rsidR="00D81F69" w:rsidRDefault="00330118">
      <w:pPr>
        <w:pStyle w:val="Corpodetexto"/>
        <w:spacing w:before="142" w:line="312" w:lineRule="auto"/>
        <w:ind w:right="38"/>
      </w:pPr>
      <w:r>
        <w:t>Além de todos os problemas socioambientais e econômicos, hoje, um dos grandes desafios de São Thomé das Letras é conciliar suas duas principais atividades produtivas: mineração e turismo. Os conflitos são inevitáveis, tendo em vista que a primeira atividad</w:t>
      </w:r>
      <w:r>
        <w:t>e extrai recursos naturais, enquanto a outra se alicerça em sua preservação. A degradação ambiental provocada pela mineração coloca em risco a promoção do município como polo de ecoturismo (FLEISCHER, 2006). Diante deste quadro, a população local se divide</w:t>
      </w:r>
      <w:r>
        <w:t xml:space="preserve"> em três grupos: há aqueles que defendem a mineração por ser uma atividade geradora de empregos; outros que reconhecem a necessidade da atividade minerária, mas condenam a degradação ambiental; e os que condenam</w:t>
      </w:r>
    </w:p>
    <w:p w:rsidR="00D81F69" w:rsidRDefault="00330118">
      <w:pPr>
        <w:pStyle w:val="Corpodetexto"/>
        <w:spacing w:before="81"/>
      </w:pPr>
      <w:r>
        <w:br w:type="column"/>
      </w:r>
      <w:r>
        <w:lastRenderedPageBreak/>
        <w:t>totalmente a mineração (CARRISSO; PIRES, 20</w:t>
      </w:r>
      <w:r>
        <w:t>11).</w:t>
      </w:r>
    </w:p>
    <w:p w:rsidR="00D81F69" w:rsidRDefault="00D81F69">
      <w:pPr>
        <w:pStyle w:val="Corpodetexto"/>
        <w:spacing w:before="5"/>
        <w:ind w:left="0"/>
        <w:jc w:val="left"/>
        <w:rPr>
          <w:sz w:val="26"/>
        </w:rPr>
      </w:pPr>
    </w:p>
    <w:p w:rsidR="00D81F69" w:rsidRDefault="00330118">
      <w:pPr>
        <w:pStyle w:val="Heading7"/>
      </w:pPr>
      <w:r>
        <w:t>LOCALIZAÇÃO GEOGRÁFICA</w:t>
      </w:r>
    </w:p>
    <w:p w:rsidR="00D81F69" w:rsidRDefault="00330118">
      <w:pPr>
        <w:pStyle w:val="Corpodetexto"/>
        <w:spacing w:before="179" w:line="312" w:lineRule="auto"/>
        <w:ind w:right="208"/>
      </w:pPr>
      <w:r>
        <w:t>As ocorrências de quartzito se concentram na bacia do rio Sapucaí que pertence a bacia do rio Paraná. Está localizado entre as latitudes 21°43’30”S - 21°38’17”S e longitudes 44°56’7”W – 44°59’10”W.</w:t>
      </w:r>
    </w:p>
    <w:p w:rsidR="00D81F69" w:rsidRDefault="00D81F69">
      <w:pPr>
        <w:pStyle w:val="Corpodetexto"/>
        <w:spacing w:before="1"/>
        <w:ind w:left="0"/>
        <w:jc w:val="left"/>
        <w:rPr>
          <w:sz w:val="29"/>
        </w:rPr>
      </w:pPr>
    </w:p>
    <w:p w:rsidR="00D81F69" w:rsidRDefault="00330118">
      <w:pPr>
        <w:pStyle w:val="Heading7"/>
      </w:pPr>
      <w:r>
        <w:t>REDATORES</w:t>
      </w:r>
    </w:p>
    <w:p w:rsidR="00D81F69" w:rsidRDefault="00330118">
      <w:pPr>
        <w:pStyle w:val="Corpodetexto"/>
        <w:spacing w:before="179"/>
      </w:pPr>
      <w:r>
        <w:t>Renata Olivieri; E</w:t>
      </w:r>
      <w:r>
        <w:t>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tabs>
          <w:tab w:val="left" w:pos="4331"/>
        </w:tabs>
        <w:spacing w:before="188" w:line="312" w:lineRule="auto"/>
        <w:ind w:left="100" w:right="192"/>
        <w:jc w:val="both"/>
        <w:rPr>
          <w:sz w:val="16"/>
        </w:rPr>
      </w:pPr>
      <w:r>
        <w:rPr>
          <w:sz w:val="16"/>
        </w:rPr>
        <w:t xml:space="preserve">AGÊNCIA MINAS. Mineração de quartzito em São Tomé das Letras é </w:t>
      </w:r>
      <w:r>
        <w:rPr>
          <w:spacing w:val="3"/>
          <w:sz w:val="16"/>
        </w:rPr>
        <w:t xml:space="preserve">tema </w:t>
      </w:r>
      <w:r>
        <w:rPr>
          <w:spacing w:val="2"/>
          <w:sz w:val="16"/>
        </w:rPr>
        <w:t xml:space="preserve">de  </w:t>
      </w:r>
      <w:r>
        <w:rPr>
          <w:spacing w:val="5"/>
          <w:sz w:val="16"/>
        </w:rPr>
        <w:t xml:space="preserve">livro. </w:t>
      </w:r>
      <w:r>
        <w:rPr>
          <w:spacing w:val="3"/>
          <w:sz w:val="16"/>
        </w:rPr>
        <w:t xml:space="preserve">In: </w:t>
      </w:r>
      <w:r>
        <w:rPr>
          <w:spacing w:val="5"/>
          <w:sz w:val="16"/>
        </w:rPr>
        <w:t xml:space="preserve">Portal </w:t>
      </w:r>
      <w:r>
        <w:rPr>
          <w:spacing w:val="3"/>
          <w:sz w:val="16"/>
        </w:rPr>
        <w:t xml:space="preserve">São Thomé das </w:t>
      </w:r>
      <w:r>
        <w:rPr>
          <w:spacing w:val="5"/>
          <w:sz w:val="16"/>
        </w:rPr>
        <w:t xml:space="preserve">Letras, </w:t>
      </w:r>
      <w:r>
        <w:rPr>
          <w:spacing w:val="2"/>
          <w:sz w:val="16"/>
        </w:rPr>
        <w:t xml:space="preserve">29  </w:t>
      </w:r>
      <w:r>
        <w:rPr>
          <w:spacing w:val="3"/>
          <w:sz w:val="16"/>
        </w:rPr>
        <w:t xml:space="preserve">abr. </w:t>
      </w:r>
      <w:r>
        <w:rPr>
          <w:spacing w:val="5"/>
          <w:sz w:val="16"/>
        </w:rPr>
        <w:t xml:space="preserve">2008.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216"/>
        <w:jc w:val="both"/>
        <w:rPr>
          <w:sz w:val="16"/>
        </w:rPr>
      </w:pPr>
      <w:hyperlink r:id="rId1271">
        <w:r w:rsidR="00330118">
          <w:rPr>
            <w:sz w:val="16"/>
          </w:rPr>
          <w:t>&lt;http://turismosaothomedasletras.blogspot.com/2008/04/minerao-de-</w:t>
        </w:r>
      </w:hyperlink>
      <w:r w:rsidR="00330118">
        <w:rPr>
          <w:sz w:val="16"/>
        </w:rPr>
        <w:t xml:space="preserve"> quartzito-em-so-tom-das.html&gt;. Acesso em: 06 out. 2010.</w:t>
      </w:r>
    </w:p>
    <w:p w:rsidR="00D81F69" w:rsidRDefault="00330118">
      <w:pPr>
        <w:spacing w:before="2" w:line="312" w:lineRule="auto"/>
        <w:ind w:left="100" w:right="140"/>
        <w:jc w:val="both"/>
        <w:rPr>
          <w:sz w:val="16"/>
        </w:rPr>
      </w:pPr>
      <w:r>
        <w:rPr>
          <w:spacing w:val="7"/>
          <w:sz w:val="16"/>
        </w:rPr>
        <w:t xml:space="preserve">ALMG, </w:t>
      </w:r>
      <w:r>
        <w:rPr>
          <w:spacing w:val="8"/>
          <w:sz w:val="16"/>
        </w:rPr>
        <w:t xml:space="preserve">Assembléia Legislativa  </w:t>
      </w:r>
      <w:r>
        <w:rPr>
          <w:spacing w:val="5"/>
          <w:sz w:val="16"/>
        </w:rPr>
        <w:t xml:space="preserve">do  </w:t>
      </w:r>
      <w:r>
        <w:rPr>
          <w:spacing w:val="7"/>
          <w:sz w:val="16"/>
        </w:rPr>
        <w:t xml:space="preserve">Estado  </w:t>
      </w:r>
      <w:r>
        <w:rPr>
          <w:spacing w:val="5"/>
          <w:sz w:val="16"/>
        </w:rPr>
        <w:t xml:space="preserve">de  </w:t>
      </w:r>
      <w:r>
        <w:rPr>
          <w:spacing w:val="7"/>
          <w:sz w:val="16"/>
        </w:rPr>
        <w:t xml:space="preserve">Minas  </w:t>
      </w:r>
      <w:r>
        <w:rPr>
          <w:spacing w:val="10"/>
          <w:sz w:val="16"/>
        </w:rPr>
        <w:t>G</w:t>
      </w:r>
      <w:r>
        <w:rPr>
          <w:spacing w:val="10"/>
          <w:sz w:val="16"/>
        </w:rPr>
        <w:t xml:space="preserve">erais. </w:t>
      </w:r>
      <w:r>
        <w:rPr>
          <w:spacing w:val="15"/>
          <w:sz w:val="16"/>
        </w:rPr>
        <w:t>C</w:t>
      </w:r>
      <w:r>
        <w:rPr>
          <w:sz w:val="16"/>
        </w:rPr>
        <w:t xml:space="preserve"> </w:t>
      </w:r>
      <w:r>
        <w:rPr>
          <w:spacing w:val="15"/>
          <w:sz w:val="16"/>
        </w:rPr>
        <w:t>a</w:t>
      </w:r>
      <w:r>
        <w:rPr>
          <w:sz w:val="16"/>
        </w:rPr>
        <w:t xml:space="preserve"> </w:t>
      </w:r>
      <w:r>
        <w:rPr>
          <w:spacing w:val="15"/>
          <w:sz w:val="16"/>
        </w:rPr>
        <w:t>r</w:t>
      </w:r>
      <w:r>
        <w:rPr>
          <w:sz w:val="16"/>
        </w:rPr>
        <w:t xml:space="preserve"> </w:t>
      </w:r>
      <w:r>
        <w:rPr>
          <w:spacing w:val="15"/>
          <w:sz w:val="16"/>
        </w:rPr>
        <w:t>a</w:t>
      </w:r>
      <w:r>
        <w:rPr>
          <w:sz w:val="16"/>
        </w:rPr>
        <w:t xml:space="preserve"> </w:t>
      </w:r>
      <w:r>
        <w:rPr>
          <w:spacing w:val="15"/>
          <w:sz w:val="16"/>
        </w:rPr>
        <w:t>c</w:t>
      </w:r>
      <w:r>
        <w:rPr>
          <w:sz w:val="16"/>
        </w:rPr>
        <w:t xml:space="preserve"> </w:t>
      </w:r>
      <w:r>
        <w:rPr>
          <w:spacing w:val="15"/>
          <w:sz w:val="16"/>
        </w:rPr>
        <w:t>t</w:t>
      </w:r>
      <w:r>
        <w:rPr>
          <w:sz w:val="16"/>
        </w:rPr>
        <w:t xml:space="preserve"> </w:t>
      </w:r>
      <w:r>
        <w:rPr>
          <w:spacing w:val="15"/>
          <w:sz w:val="16"/>
        </w:rPr>
        <w:t>e</w:t>
      </w:r>
      <w:r>
        <w:rPr>
          <w:sz w:val="16"/>
        </w:rPr>
        <w:t xml:space="preserve"> </w:t>
      </w:r>
      <w:r>
        <w:rPr>
          <w:spacing w:val="15"/>
          <w:sz w:val="16"/>
        </w:rPr>
        <w:t>r</w:t>
      </w:r>
      <w:r>
        <w:rPr>
          <w:sz w:val="16"/>
        </w:rPr>
        <w:t xml:space="preserve"> </w:t>
      </w:r>
      <w:r>
        <w:rPr>
          <w:spacing w:val="15"/>
          <w:sz w:val="16"/>
        </w:rPr>
        <w:t>i</w:t>
      </w:r>
      <w:r>
        <w:rPr>
          <w:sz w:val="16"/>
        </w:rPr>
        <w:t xml:space="preserve"> </w:t>
      </w:r>
      <w:r>
        <w:rPr>
          <w:spacing w:val="15"/>
          <w:sz w:val="16"/>
        </w:rPr>
        <w:t>z</w:t>
      </w:r>
      <w:r>
        <w:rPr>
          <w:sz w:val="16"/>
        </w:rPr>
        <w:t xml:space="preserve"> </w:t>
      </w:r>
      <w:r>
        <w:rPr>
          <w:spacing w:val="15"/>
          <w:sz w:val="16"/>
        </w:rPr>
        <w:t>a</w:t>
      </w:r>
      <w:r>
        <w:rPr>
          <w:sz w:val="16"/>
        </w:rPr>
        <w:t xml:space="preserve"> </w:t>
      </w:r>
      <w:r>
        <w:rPr>
          <w:spacing w:val="15"/>
          <w:sz w:val="16"/>
        </w:rPr>
        <w:t>ç</w:t>
      </w:r>
      <w:r>
        <w:rPr>
          <w:sz w:val="16"/>
        </w:rPr>
        <w:t xml:space="preserve"> </w:t>
      </w:r>
      <w:r>
        <w:rPr>
          <w:spacing w:val="15"/>
          <w:sz w:val="16"/>
        </w:rPr>
        <w:t>ã</w:t>
      </w:r>
      <w:r>
        <w:rPr>
          <w:sz w:val="16"/>
        </w:rPr>
        <w:t xml:space="preserve"> </w:t>
      </w:r>
      <w:r>
        <w:rPr>
          <w:spacing w:val="15"/>
          <w:sz w:val="16"/>
        </w:rPr>
        <w:t>o</w:t>
      </w:r>
      <w:r>
        <w:rPr>
          <w:sz w:val="16"/>
        </w:rPr>
        <w:t xml:space="preserve"> ,</w:t>
      </w:r>
      <w:r>
        <w:rPr>
          <w:sz w:val="16"/>
        </w:rPr>
        <w:t xml:space="preserve"> </w:t>
      </w:r>
      <w:r>
        <w:rPr>
          <w:spacing w:val="15"/>
          <w:sz w:val="16"/>
        </w:rPr>
        <w:t>s</w:t>
      </w:r>
      <w:r>
        <w:rPr>
          <w:sz w:val="16"/>
        </w:rPr>
        <w:t xml:space="preserve"> </w:t>
      </w:r>
      <w:r>
        <w:rPr>
          <w:spacing w:val="15"/>
          <w:sz w:val="16"/>
        </w:rPr>
        <w:t>.</w:t>
      </w:r>
      <w:r>
        <w:rPr>
          <w:sz w:val="16"/>
        </w:rPr>
        <w:t xml:space="preserve"> </w:t>
      </w:r>
      <w:r>
        <w:rPr>
          <w:spacing w:val="15"/>
          <w:sz w:val="16"/>
        </w:rPr>
        <w:t>d</w:t>
      </w:r>
      <w:r>
        <w:rPr>
          <w:sz w:val="16"/>
        </w:rPr>
        <w:t xml:space="preserve"> .</w:t>
      </w:r>
      <w:r>
        <w:rPr>
          <w:sz w:val="16"/>
        </w:rPr>
        <w:t xml:space="preserve"> </w:t>
      </w:r>
      <w:r>
        <w:rPr>
          <w:spacing w:val="15"/>
          <w:sz w:val="16"/>
        </w:rPr>
        <w:t>D</w:t>
      </w:r>
      <w:r>
        <w:rPr>
          <w:sz w:val="16"/>
        </w:rPr>
        <w:t xml:space="preserve"> </w:t>
      </w:r>
      <w:r>
        <w:rPr>
          <w:spacing w:val="15"/>
          <w:sz w:val="16"/>
        </w:rPr>
        <w:t>i</w:t>
      </w:r>
      <w:r>
        <w:rPr>
          <w:sz w:val="16"/>
        </w:rPr>
        <w:t xml:space="preserve"> </w:t>
      </w:r>
      <w:r>
        <w:rPr>
          <w:spacing w:val="15"/>
          <w:sz w:val="16"/>
        </w:rPr>
        <w:t>s</w:t>
      </w:r>
      <w:r>
        <w:rPr>
          <w:sz w:val="16"/>
        </w:rPr>
        <w:t xml:space="preserve"> </w:t>
      </w:r>
      <w:r>
        <w:rPr>
          <w:spacing w:val="15"/>
          <w:sz w:val="16"/>
        </w:rPr>
        <w:t>p</w:t>
      </w:r>
      <w:r>
        <w:rPr>
          <w:sz w:val="16"/>
        </w:rPr>
        <w:t xml:space="preserve"> </w:t>
      </w:r>
      <w:r>
        <w:rPr>
          <w:spacing w:val="15"/>
          <w:sz w:val="16"/>
        </w:rPr>
        <w:t>o</w:t>
      </w:r>
      <w:r>
        <w:rPr>
          <w:sz w:val="16"/>
        </w:rPr>
        <w:t xml:space="preserve"> </w:t>
      </w:r>
      <w:r>
        <w:rPr>
          <w:spacing w:val="15"/>
          <w:sz w:val="16"/>
        </w:rPr>
        <w:t>n</w:t>
      </w:r>
      <w:r>
        <w:rPr>
          <w:sz w:val="16"/>
        </w:rPr>
        <w:t xml:space="preserve"> </w:t>
      </w:r>
      <w:r>
        <w:rPr>
          <w:spacing w:val="15"/>
          <w:sz w:val="16"/>
        </w:rPr>
        <w:t>í</w:t>
      </w:r>
      <w:r>
        <w:rPr>
          <w:sz w:val="16"/>
        </w:rPr>
        <w:t xml:space="preserve"> </w:t>
      </w:r>
      <w:r>
        <w:rPr>
          <w:spacing w:val="15"/>
          <w:sz w:val="16"/>
        </w:rPr>
        <w:t>v</w:t>
      </w:r>
      <w:r>
        <w:rPr>
          <w:sz w:val="16"/>
        </w:rPr>
        <w:t xml:space="preserve"> </w:t>
      </w:r>
      <w:r>
        <w:rPr>
          <w:spacing w:val="15"/>
          <w:sz w:val="16"/>
        </w:rPr>
        <w:t>e</w:t>
      </w:r>
      <w:r>
        <w:rPr>
          <w:sz w:val="16"/>
        </w:rPr>
        <w:t xml:space="preserve"> l</w:t>
      </w:r>
      <w:r>
        <w:rPr>
          <w:sz w:val="16"/>
        </w:rPr>
        <w:t xml:space="preserve"> </w:t>
      </w:r>
      <w:r>
        <w:rPr>
          <w:spacing w:val="15"/>
          <w:sz w:val="16"/>
        </w:rPr>
        <w:t>e</w:t>
      </w:r>
      <w:r>
        <w:rPr>
          <w:sz w:val="16"/>
        </w:rPr>
        <w:t xml:space="preserve"> </w:t>
      </w:r>
      <w:r>
        <w:rPr>
          <w:spacing w:val="15"/>
          <w:sz w:val="16"/>
        </w:rPr>
        <w:t>m</w:t>
      </w:r>
      <w:r>
        <w:rPr>
          <w:sz w:val="16"/>
        </w:rPr>
        <w:t xml:space="preserve"> :</w:t>
      </w:r>
      <w:r>
        <w:rPr>
          <w:spacing w:val="15"/>
          <w:sz w:val="16"/>
        </w:rPr>
        <w:t xml:space="preserve"> </w:t>
      </w:r>
    </w:p>
    <w:p w:rsidR="00D81F69" w:rsidRDefault="00D81F69">
      <w:pPr>
        <w:spacing w:before="2" w:line="312" w:lineRule="auto"/>
        <w:ind w:left="100" w:right="196"/>
        <w:jc w:val="both"/>
        <w:rPr>
          <w:sz w:val="16"/>
        </w:rPr>
      </w:pPr>
      <w:hyperlink r:id="rId1272">
        <w:r w:rsidR="00330118">
          <w:rPr>
            <w:sz w:val="16"/>
          </w:rPr>
          <w:t xml:space="preserve">&lt;http://www.almg.gov.br/munmg/m65206.asp&gt;. </w:t>
        </w:r>
      </w:hyperlink>
      <w:r w:rsidR="00330118">
        <w:rPr>
          <w:sz w:val="16"/>
        </w:rPr>
        <w:t>Acesso em: 06 out. 2010.</w:t>
      </w:r>
    </w:p>
    <w:p w:rsidR="00D81F69" w:rsidRDefault="00330118">
      <w:pPr>
        <w:spacing w:before="1" w:line="312" w:lineRule="auto"/>
        <w:ind w:left="100" w:right="189"/>
        <w:jc w:val="both"/>
        <w:rPr>
          <w:sz w:val="16"/>
        </w:rPr>
      </w:pPr>
      <w:r>
        <w:rPr>
          <w:sz w:val="16"/>
        </w:rPr>
        <w:t>BARBOSA, Michele Cristina Rufino. Avaliação sistêmica de tecnologias aplicáveis ao APL de Lagoa Santa. Ouro Preto, mar. 2008. 105 f. Dissertação (Mestrado em Engenharia Mineral). Universidade Federal de Ouro Preto, Minas Gerais. Disponível em:</w:t>
      </w:r>
    </w:p>
    <w:p w:rsidR="00D81F69" w:rsidRDefault="00D81F69">
      <w:pPr>
        <w:spacing w:before="4" w:line="312" w:lineRule="auto"/>
        <w:ind w:left="100" w:right="196"/>
        <w:jc w:val="both"/>
        <w:rPr>
          <w:sz w:val="16"/>
        </w:rPr>
      </w:pPr>
      <w:hyperlink r:id="rId1273">
        <w:r w:rsidR="00330118">
          <w:rPr>
            <w:sz w:val="16"/>
          </w:rPr>
          <w:t>&lt;http://www.tede.ufop.br/tde_busca/arquivo.php?codArquivo=428&gt;.</w:t>
        </w:r>
      </w:hyperlink>
      <w:r w:rsidR="00330118">
        <w:rPr>
          <w:sz w:val="16"/>
        </w:rPr>
        <w:t xml:space="preserve"> Acesso em: 08 out. 2010.</w:t>
      </w:r>
    </w:p>
    <w:p w:rsidR="00D81F69" w:rsidRDefault="00330118">
      <w:pPr>
        <w:tabs>
          <w:tab w:val="left" w:pos="4331"/>
        </w:tabs>
        <w:spacing w:before="1" w:line="312" w:lineRule="auto"/>
        <w:ind w:left="100" w:right="190"/>
        <w:jc w:val="both"/>
        <w:rPr>
          <w:sz w:val="16"/>
        </w:rPr>
      </w:pPr>
      <w:r>
        <w:rPr>
          <w:sz w:val="16"/>
        </w:rPr>
        <w:t>CARRISSO, Regina Coeli Casseres; PIRES, Daniel Coelho Barçante. A Pedra “São Thomé”: tensões e confli</w:t>
      </w:r>
      <w:r>
        <w:rPr>
          <w:sz w:val="16"/>
        </w:rPr>
        <w:t xml:space="preserve">tos entre a APL mineral e o </w:t>
      </w:r>
      <w:r>
        <w:rPr>
          <w:spacing w:val="3"/>
          <w:sz w:val="16"/>
        </w:rPr>
        <w:t xml:space="preserve">turismo. </w:t>
      </w:r>
      <w:r>
        <w:rPr>
          <w:spacing w:val="2"/>
          <w:sz w:val="16"/>
        </w:rPr>
        <w:t xml:space="preserve">In: </w:t>
      </w:r>
      <w:r>
        <w:rPr>
          <w:spacing w:val="3"/>
          <w:sz w:val="16"/>
        </w:rPr>
        <w:t xml:space="preserve">FERNANDES, Francisco </w:t>
      </w:r>
      <w:r>
        <w:rPr>
          <w:spacing w:val="2"/>
          <w:sz w:val="16"/>
        </w:rPr>
        <w:t xml:space="preserve">Rego </w:t>
      </w:r>
      <w:r>
        <w:rPr>
          <w:spacing w:val="3"/>
          <w:sz w:val="16"/>
        </w:rPr>
        <w:t xml:space="preserve">Chaves; </w:t>
      </w:r>
      <w:r>
        <w:rPr>
          <w:spacing w:val="5"/>
          <w:sz w:val="16"/>
        </w:rPr>
        <w:t xml:space="preserve">ENRIQUEZ, Maria Amélia; ALAMINO, Renata </w:t>
      </w:r>
      <w:r>
        <w:rPr>
          <w:spacing w:val="2"/>
          <w:sz w:val="16"/>
        </w:rPr>
        <w:t xml:space="preserve">de </w:t>
      </w:r>
      <w:r>
        <w:rPr>
          <w:spacing w:val="5"/>
          <w:sz w:val="16"/>
        </w:rPr>
        <w:t xml:space="preserve">Carvalho Jimenez </w:t>
      </w:r>
      <w:r>
        <w:rPr>
          <w:spacing w:val="6"/>
          <w:sz w:val="16"/>
        </w:rPr>
        <w:t xml:space="preserve">(Eds.). </w:t>
      </w:r>
      <w:r>
        <w:rPr>
          <w:spacing w:val="1"/>
          <w:sz w:val="16"/>
        </w:rPr>
        <w:t xml:space="preserve">Recursos Minerais </w:t>
      </w:r>
      <w:r>
        <w:rPr>
          <w:sz w:val="16"/>
        </w:rPr>
        <w:t xml:space="preserve">e </w:t>
      </w:r>
      <w:r>
        <w:rPr>
          <w:spacing w:val="1"/>
          <w:sz w:val="16"/>
        </w:rPr>
        <w:t xml:space="preserve">Sustentabilidade Territorial: </w:t>
      </w:r>
      <w:r>
        <w:rPr>
          <w:sz w:val="16"/>
        </w:rPr>
        <w:t xml:space="preserve">v. 2, </w:t>
      </w:r>
      <w:r>
        <w:rPr>
          <w:spacing w:val="2"/>
          <w:sz w:val="16"/>
        </w:rPr>
        <w:t xml:space="preserve">p.115-138. </w:t>
      </w:r>
      <w:r>
        <w:rPr>
          <w:spacing w:val="7"/>
          <w:sz w:val="16"/>
        </w:rPr>
        <w:t xml:space="preserve">Grandes Minas </w:t>
      </w:r>
      <w:r>
        <w:rPr>
          <w:sz w:val="16"/>
        </w:rPr>
        <w:t xml:space="preserve">e  </w:t>
      </w:r>
      <w:r>
        <w:rPr>
          <w:spacing w:val="8"/>
          <w:sz w:val="16"/>
        </w:rPr>
        <w:t xml:space="preserve">Comunidades </w:t>
      </w:r>
      <w:r>
        <w:rPr>
          <w:spacing w:val="7"/>
          <w:sz w:val="16"/>
        </w:rPr>
        <w:t xml:space="preserve">Locais,  </w:t>
      </w:r>
      <w:r>
        <w:rPr>
          <w:spacing w:val="8"/>
          <w:sz w:val="16"/>
        </w:rPr>
        <w:t>CETEM/MC</w:t>
      </w:r>
      <w:r>
        <w:rPr>
          <w:spacing w:val="8"/>
          <w:sz w:val="16"/>
        </w:rPr>
        <w:t xml:space="preserve">TI, </w:t>
      </w:r>
      <w:r>
        <w:rPr>
          <w:spacing w:val="10"/>
          <w:sz w:val="16"/>
        </w:rPr>
        <w:t xml:space="preserve">2011.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6"/>
        <w:ind w:left="100"/>
        <w:jc w:val="both"/>
        <w:rPr>
          <w:sz w:val="16"/>
        </w:rPr>
      </w:pPr>
      <w:hyperlink r:id="rId1274">
        <w:r w:rsidR="00330118">
          <w:rPr>
            <w:sz w:val="16"/>
          </w:rPr>
          <w:t>&lt;http://www.cetem.gov.br/publicacao/livros/Vol_1_GRANDES_MINAS</w:t>
        </w:r>
      </w:hyperlink>
    </w:p>
    <w:p w:rsidR="00D81F69" w:rsidRDefault="00330118">
      <w:pPr>
        <w:spacing w:before="56"/>
        <w:ind w:left="100"/>
        <w:jc w:val="both"/>
        <w:rPr>
          <w:sz w:val="16"/>
        </w:rPr>
      </w:pPr>
      <w:r>
        <w:rPr>
          <w:sz w:val="16"/>
        </w:rPr>
        <w:t>_TOTAL.pdf&gt;. Acesso em: 16 de ago. 20</w:t>
      </w:r>
      <w:r>
        <w:rPr>
          <w:sz w:val="16"/>
        </w:rPr>
        <w:t>12.</w:t>
      </w:r>
    </w:p>
    <w:p w:rsidR="00D81F69" w:rsidRDefault="00330118">
      <w:pPr>
        <w:spacing w:before="56" w:line="312" w:lineRule="auto"/>
        <w:ind w:left="100" w:right="184"/>
        <w:jc w:val="both"/>
        <w:rPr>
          <w:sz w:val="16"/>
        </w:rPr>
      </w:pPr>
      <w:r>
        <w:rPr>
          <w:sz w:val="16"/>
        </w:rPr>
        <w:t xml:space="preserve">CHIODI, Denize Kistemann. Os quartzitos de São Thomé das Letras, Minas Gerais: principais demandas para o desenvolvimento sustentável da atividade produtiva. Seminário sobre Arranjos Produtivos de Base Mineral, nov. 2003. Disponível em: </w:t>
      </w:r>
    </w:p>
    <w:p w:rsidR="00D81F69" w:rsidRDefault="00D81F69">
      <w:pPr>
        <w:spacing w:before="3" w:line="312" w:lineRule="auto"/>
        <w:ind w:left="100" w:right="216"/>
        <w:jc w:val="both"/>
        <w:rPr>
          <w:sz w:val="16"/>
        </w:rPr>
      </w:pPr>
      <w:hyperlink r:id="rId1275">
        <w:r w:rsidR="00330118">
          <w:rPr>
            <w:sz w:val="16"/>
          </w:rPr>
          <w:t>&lt;http://www.abirochas.com.br/en/info_mercado/Quartzitos_Sao_Tom</w:t>
        </w:r>
      </w:hyperlink>
      <w:r w:rsidR="00330118">
        <w:rPr>
          <w:sz w:val="16"/>
        </w:rPr>
        <w:t xml:space="preserve"> e.pdf&gt;. Acesso em: 08 out. 2010.</w:t>
      </w:r>
    </w:p>
    <w:p w:rsidR="00D81F69" w:rsidRDefault="00330118">
      <w:pPr>
        <w:spacing w:before="2" w:line="312" w:lineRule="auto"/>
        <w:ind w:left="100" w:right="195"/>
        <w:jc w:val="both"/>
        <w:rPr>
          <w:sz w:val="16"/>
        </w:rPr>
      </w:pPr>
      <w:r>
        <w:rPr>
          <w:sz w:val="16"/>
        </w:rPr>
        <w:t>DNPM, Departamento Nacional de Produção Mineral. Minas Gerais: Pedra São Thomé, solução à vis</w:t>
      </w:r>
      <w:r>
        <w:rPr>
          <w:sz w:val="16"/>
        </w:rPr>
        <w:t>ta, 01 dez. 2006. Disponível em:</w:t>
      </w:r>
    </w:p>
    <w:p w:rsidR="00D81F69" w:rsidRDefault="00D81F69">
      <w:pPr>
        <w:spacing w:before="2" w:line="312" w:lineRule="auto"/>
        <w:ind w:left="100" w:right="216"/>
        <w:jc w:val="both"/>
        <w:rPr>
          <w:sz w:val="16"/>
        </w:rPr>
      </w:pPr>
      <w:hyperlink r:id="rId1276">
        <w:r w:rsidR="00330118">
          <w:rPr>
            <w:sz w:val="16"/>
          </w:rPr>
          <w:t>&lt;http://www.dnpm.gov.br/conteudo.asp?IDSecao=99&amp;IDPagina=72&amp;I</w:t>
        </w:r>
      </w:hyperlink>
      <w:r w:rsidR="00330118">
        <w:rPr>
          <w:sz w:val="16"/>
        </w:rPr>
        <w:t xml:space="preserve"> DNoticiaNoticia=231&gt;. Acesso em: 08 out. 2010.</w:t>
      </w:r>
    </w:p>
    <w:p w:rsidR="00D81F69" w:rsidRDefault="00330118">
      <w:pPr>
        <w:spacing w:before="1" w:line="312" w:lineRule="auto"/>
        <w:ind w:left="100" w:right="159"/>
        <w:jc w:val="both"/>
        <w:rPr>
          <w:sz w:val="16"/>
        </w:rPr>
      </w:pPr>
      <w:r>
        <w:rPr>
          <w:sz w:val="16"/>
        </w:rPr>
        <w:t xml:space="preserve">______. DNPM discute regularização da mineração em São Tomé </w:t>
      </w:r>
      <w:r>
        <w:rPr>
          <w:spacing w:val="25"/>
          <w:sz w:val="16"/>
        </w:rPr>
        <w:t xml:space="preserve">das </w:t>
      </w:r>
      <w:r>
        <w:rPr>
          <w:spacing w:val="31"/>
          <w:sz w:val="16"/>
        </w:rPr>
        <w:t xml:space="preserve">Letras, </w:t>
      </w:r>
      <w:r>
        <w:rPr>
          <w:spacing w:val="18"/>
          <w:sz w:val="16"/>
        </w:rPr>
        <w:t xml:space="preserve">20 </w:t>
      </w:r>
      <w:r>
        <w:rPr>
          <w:spacing w:val="27"/>
          <w:sz w:val="16"/>
        </w:rPr>
        <w:t xml:space="preserve">abr. </w:t>
      </w:r>
      <w:r>
        <w:rPr>
          <w:spacing w:val="30"/>
          <w:sz w:val="16"/>
        </w:rPr>
        <w:t xml:space="preserve">2008. </w:t>
      </w:r>
      <w:r>
        <w:rPr>
          <w:spacing w:val="33"/>
          <w:sz w:val="16"/>
        </w:rPr>
        <w:t>Disponível</w:t>
      </w:r>
      <w:r>
        <w:rPr>
          <w:spacing w:val="108"/>
          <w:sz w:val="16"/>
        </w:rPr>
        <w:t xml:space="preserve"> </w:t>
      </w:r>
      <w:r>
        <w:rPr>
          <w:spacing w:val="25"/>
          <w:sz w:val="16"/>
        </w:rPr>
        <w:t>em:</w:t>
      </w:r>
      <w:r>
        <w:rPr>
          <w:spacing w:val="-6"/>
          <w:sz w:val="16"/>
        </w:rPr>
        <w:t xml:space="preserve"> </w:t>
      </w:r>
    </w:p>
    <w:p w:rsidR="00D81F69" w:rsidRDefault="00D81F69">
      <w:pPr>
        <w:spacing w:before="2" w:line="312" w:lineRule="auto"/>
        <w:ind w:left="100" w:right="216"/>
        <w:jc w:val="both"/>
        <w:rPr>
          <w:sz w:val="16"/>
        </w:rPr>
      </w:pPr>
      <w:hyperlink r:id="rId1277">
        <w:r w:rsidR="00330118">
          <w:rPr>
            <w:sz w:val="16"/>
          </w:rPr>
          <w:t>&lt;http://www.dnpm.gov.br/conteudo.asp?IDSecao=99&amp;IDPagina=72&amp;I</w:t>
        </w:r>
      </w:hyperlink>
      <w:r w:rsidR="00330118">
        <w:rPr>
          <w:sz w:val="16"/>
        </w:rPr>
        <w:t xml:space="preserve"> DNoticiaNoticia=326&gt;. Acesso em: 15 out. 2010.</w:t>
      </w:r>
    </w:p>
    <w:p w:rsidR="00D81F69" w:rsidRDefault="00330118">
      <w:pPr>
        <w:spacing w:before="2" w:line="312" w:lineRule="auto"/>
        <w:ind w:left="100" w:right="182"/>
        <w:jc w:val="both"/>
        <w:rPr>
          <w:sz w:val="16"/>
        </w:rPr>
      </w:pPr>
      <w:r>
        <w:rPr>
          <w:sz w:val="16"/>
        </w:rPr>
        <w:t xml:space="preserve">EDYL, Carlos. Vereadora Regina preside reunião com produtores do Vale da Sílica. Câmara Municipal de três Corações, Departamento de comunicação. Publicado em dez. 2010. Disponível em: </w:t>
      </w:r>
    </w:p>
    <w:p w:rsidR="00D81F69" w:rsidRDefault="00D81F69">
      <w:pPr>
        <w:spacing w:before="2" w:line="312" w:lineRule="auto"/>
        <w:ind w:left="100" w:right="215"/>
        <w:jc w:val="both"/>
        <w:rPr>
          <w:sz w:val="16"/>
        </w:rPr>
      </w:pPr>
      <w:hyperlink r:id="rId1278">
        <w:r w:rsidR="00330118">
          <w:rPr>
            <w:sz w:val="16"/>
          </w:rPr>
          <w:t xml:space="preserve">&lt;http://www.camaratc.mg.gov.br/noticias/noticias0266.htm&gt;. </w:t>
        </w:r>
      </w:hyperlink>
      <w:r w:rsidR="00330118">
        <w:rPr>
          <w:sz w:val="16"/>
        </w:rPr>
        <w:t>Acesso em: 13 mar. 2011.</w:t>
      </w:r>
    </w:p>
    <w:p w:rsidR="00D81F69" w:rsidRDefault="00330118">
      <w:pPr>
        <w:spacing w:before="2" w:line="312" w:lineRule="auto"/>
        <w:ind w:left="100" w:right="148"/>
        <w:jc w:val="both"/>
        <w:rPr>
          <w:sz w:val="16"/>
        </w:rPr>
      </w:pPr>
      <w:r>
        <w:rPr>
          <w:spacing w:val="3"/>
          <w:sz w:val="16"/>
        </w:rPr>
        <w:t xml:space="preserve">FEAM, Fundação Estadual </w:t>
      </w:r>
      <w:r>
        <w:rPr>
          <w:spacing w:val="1"/>
          <w:sz w:val="16"/>
        </w:rPr>
        <w:t xml:space="preserve">de </w:t>
      </w:r>
      <w:r>
        <w:rPr>
          <w:spacing w:val="2"/>
          <w:sz w:val="16"/>
        </w:rPr>
        <w:t xml:space="preserve">Meio  </w:t>
      </w:r>
      <w:r>
        <w:rPr>
          <w:spacing w:val="3"/>
          <w:sz w:val="16"/>
        </w:rPr>
        <w:t xml:space="preserve">Ambiente. Operação </w:t>
      </w:r>
      <w:r>
        <w:rPr>
          <w:spacing w:val="2"/>
          <w:sz w:val="16"/>
        </w:rPr>
        <w:t xml:space="preserve">Sul  </w:t>
      </w:r>
      <w:r>
        <w:rPr>
          <w:spacing w:val="5"/>
          <w:sz w:val="16"/>
        </w:rPr>
        <w:t xml:space="preserve">de  M i n a s </w:t>
      </w:r>
      <w:r>
        <w:rPr>
          <w:sz w:val="16"/>
        </w:rPr>
        <w:t xml:space="preserve">, </w:t>
      </w:r>
      <w:r>
        <w:rPr>
          <w:spacing w:val="5"/>
          <w:sz w:val="16"/>
        </w:rPr>
        <w:t xml:space="preserve">0 </w:t>
      </w:r>
      <w:r>
        <w:rPr>
          <w:sz w:val="16"/>
        </w:rPr>
        <w:t xml:space="preserve">7 </w:t>
      </w:r>
      <w:r>
        <w:rPr>
          <w:spacing w:val="5"/>
          <w:sz w:val="16"/>
        </w:rPr>
        <w:t xml:space="preserve">d e z </w:t>
      </w:r>
      <w:r>
        <w:rPr>
          <w:sz w:val="16"/>
        </w:rPr>
        <w:t xml:space="preserve">. </w:t>
      </w:r>
      <w:r>
        <w:rPr>
          <w:spacing w:val="5"/>
          <w:sz w:val="16"/>
        </w:rPr>
        <w:t xml:space="preserve">2 0 0 6 </w:t>
      </w:r>
      <w:r>
        <w:rPr>
          <w:sz w:val="16"/>
        </w:rPr>
        <w:t xml:space="preserve">. </w:t>
      </w:r>
      <w:r>
        <w:rPr>
          <w:spacing w:val="5"/>
          <w:sz w:val="16"/>
        </w:rPr>
        <w:t xml:space="preserve">D i s p o n í v e </w:t>
      </w:r>
      <w:r>
        <w:rPr>
          <w:sz w:val="16"/>
        </w:rPr>
        <w:t>l</w:t>
      </w:r>
      <w:r>
        <w:rPr>
          <w:spacing w:val="22"/>
          <w:sz w:val="16"/>
        </w:rPr>
        <w:t xml:space="preserve"> </w:t>
      </w:r>
      <w:r>
        <w:rPr>
          <w:spacing w:val="5"/>
          <w:sz w:val="16"/>
        </w:rPr>
        <w:t xml:space="preserve">e m </w:t>
      </w:r>
      <w:r>
        <w:rPr>
          <w:sz w:val="16"/>
        </w:rPr>
        <w:t>:</w:t>
      </w:r>
      <w:r>
        <w:rPr>
          <w:spacing w:val="6"/>
          <w:sz w:val="16"/>
        </w:rPr>
        <w:t xml:space="preserve"> </w:t>
      </w:r>
    </w:p>
    <w:p w:rsidR="00D81F69" w:rsidRDefault="00D81F69">
      <w:pPr>
        <w:spacing w:before="1" w:line="312" w:lineRule="auto"/>
        <w:ind w:left="100" w:right="213"/>
        <w:jc w:val="both"/>
        <w:rPr>
          <w:sz w:val="16"/>
        </w:rPr>
      </w:pPr>
      <w:hyperlink r:id="rId1279">
        <w:r w:rsidR="00330118">
          <w:rPr>
            <w:sz w:val="16"/>
          </w:rPr>
          <w:t xml:space="preserve">&lt;http://www.feam.br/noticias/1/96-operacao-sul-de-minas&gt; </w:t>
        </w:r>
      </w:hyperlink>
      <w:r w:rsidR="00330118">
        <w:rPr>
          <w:sz w:val="16"/>
        </w:rPr>
        <w:t>Acesso em: 15 out. 2010.</w:t>
      </w:r>
    </w:p>
    <w:p w:rsidR="00D81F69" w:rsidRDefault="00330118">
      <w:pPr>
        <w:spacing w:before="2"/>
        <w:ind w:left="100"/>
        <w:jc w:val="both"/>
        <w:rPr>
          <w:sz w:val="16"/>
        </w:rPr>
      </w:pPr>
      <w:r>
        <w:rPr>
          <w:sz w:val="16"/>
        </w:rPr>
        <w:t>FERNANDES, Tânia Maria Gomes; GODOY, Antonio Misson;</w:t>
      </w:r>
    </w:p>
    <w:p w:rsidR="00D81F69" w:rsidRDefault="00D81F69">
      <w:pPr>
        <w:jc w:val="both"/>
        <w:rPr>
          <w:sz w:val="16"/>
        </w:rPr>
        <w:sectPr w:rsidR="00D81F69">
          <w:pgSz w:w="11900" w:h="16840"/>
          <w:pgMar w:top="740" w:right="500" w:bottom="700" w:left="620" w:header="0" w:footer="402" w:gutter="0"/>
          <w:cols w:num="2" w:space="720" w:equalWidth="0">
            <w:col w:w="5165" w:space="305"/>
            <w:col w:w="5310"/>
          </w:cols>
        </w:sectPr>
      </w:pPr>
    </w:p>
    <w:p w:rsidR="00D81F69" w:rsidRDefault="00330118">
      <w:pPr>
        <w:spacing w:before="70" w:line="312" w:lineRule="auto"/>
        <w:ind w:left="100" w:right="75"/>
        <w:jc w:val="both"/>
        <w:rPr>
          <w:sz w:val="16"/>
        </w:rPr>
      </w:pPr>
      <w:r>
        <w:rPr>
          <w:sz w:val="16"/>
        </w:rPr>
        <w:lastRenderedPageBreak/>
        <w:t>FERNANDES, Nedson Hu</w:t>
      </w:r>
      <w:r>
        <w:rPr>
          <w:sz w:val="16"/>
        </w:rPr>
        <w:t>mberto. Aspectos geológicos e tecnológicos dos quartzitos do centro produtor de São Thomé das Letras (MG). São Paulo, UNESP, Geociências, v. 22, n. 2, p. 129-141,</w:t>
      </w:r>
    </w:p>
    <w:p w:rsidR="00D81F69" w:rsidRDefault="00330118">
      <w:pPr>
        <w:tabs>
          <w:tab w:val="left" w:pos="1785"/>
          <w:tab w:val="left" w:pos="4548"/>
        </w:tabs>
        <w:spacing w:before="2"/>
        <w:ind w:left="100"/>
        <w:jc w:val="both"/>
        <w:rPr>
          <w:sz w:val="16"/>
        </w:rPr>
      </w:pPr>
      <w:r>
        <w:rPr>
          <w:sz w:val="16"/>
        </w:rPr>
        <w:t xml:space="preserve">2   0   0  </w:t>
      </w:r>
      <w:r>
        <w:rPr>
          <w:spacing w:val="35"/>
          <w:sz w:val="16"/>
        </w:rPr>
        <w:t xml:space="preserve"> </w:t>
      </w:r>
      <w:r>
        <w:rPr>
          <w:sz w:val="16"/>
        </w:rPr>
        <w:t xml:space="preserve">3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75"/>
        <w:jc w:val="both"/>
        <w:rPr>
          <w:sz w:val="16"/>
        </w:rPr>
      </w:pPr>
      <w:hyperlink r:id="rId1280">
        <w:r w:rsidR="00330118">
          <w:rPr>
            <w:sz w:val="16"/>
          </w:rPr>
          <w:t xml:space="preserve">&lt;http://jasper.rc.unesp.br/revistageociencias/22_2/3.pdf&gt;. </w:t>
        </w:r>
      </w:hyperlink>
      <w:r w:rsidR="00330118">
        <w:rPr>
          <w:sz w:val="16"/>
        </w:rPr>
        <w:t>Acesso em: 05 out. 2010.</w:t>
      </w:r>
    </w:p>
    <w:p w:rsidR="00D81F69" w:rsidRDefault="00330118">
      <w:pPr>
        <w:spacing w:before="2" w:line="312" w:lineRule="auto"/>
        <w:ind w:left="100" w:right="38"/>
        <w:jc w:val="both"/>
        <w:rPr>
          <w:sz w:val="16"/>
        </w:rPr>
      </w:pPr>
      <w:r>
        <w:rPr>
          <w:spacing w:val="1"/>
          <w:sz w:val="16"/>
        </w:rPr>
        <w:t xml:space="preserve">FLEISCHER, David Ivan Rezende. </w:t>
      </w:r>
      <w:r>
        <w:rPr>
          <w:sz w:val="16"/>
        </w:rPr>
        <w:t xml:space="preserve">São </w:t>
      </w:r>
      <w:r>
        <w:rPr>
          <w:spacing w:val="1"/>
          <w:sz w:val="16"/>
        </w:rPr>
        <w:t xml:space="preserve">Tomé </w:t>
      </w:r>
      <w:r>
        <w:rPr>
          <w:sz w:val="16"/>
        </w:rPr>
        <w:t xml:space="preserve">das </w:t>
      </w:r>
      <w:r>
        <w:rPr>
          <w:spacing w:val="1"/>
          <w:sz w:val="16"/>
        </w:rPr>
        <w:t xml:space="preserve">Letras </w:t>
      </w:r>
      <w:r>
        <w:rPr>
          <w:sz w:val="16"/>
        </w:rPr>
        <w:t xml:space="preserve">e </w:t>
      </w:r>
      <w:r>
        <w:rPr>
          <w:spacing w:val="2"/>
          <w:sz w:val="16"/>
        </w:rPr>
        <w:t xml:space="preserve">Lagoa </w:t>
      </w:r>
      <w:r>
        <w:rPr>
          <w:sz w:val="16"/>
        </w:rPr>
        <w:t>Santa: mineração, turismo e risco ao patri</w:t>
      </w:r>
      <w:r>
        <w:rPr>
          <w:sz w:val="16"/>
        </w:rPr>
        <w:t xml:space="preserve">mônio histórico e natural. </w:t>
      </w:r>
      <w:r>
        <w:rPr>
          <w:spacing w:val="31"/>
          <w:sz w:val="16"/>
        </w:rPr>
        <w:t xml:space="preserve">Cadernos </w:t>
      </w:r>
      <w:r>
        <w:rPr>
          <w:spacing w:val="17"/>
          <w:sz w:val="16"/>
        </w:rPr>
        <w:t xml:space="preserve">de </w:t>
      </w:r>
      <w:r>
        <w:rPr>
          <w:spacing w:val="30"/>
          <w:sz w:val="16"/>
        </w:rPr>
        <w:t xml:space="preserve">Campo, </w:t>
      </w:r>
      <w:r>
        <w:rPr>
          <w:spacing w:val="28"/>
          <w:sz w:val="16"/>
        </w:rPr>
        <w:t xml:space="preserve">2006. </w:t>
      </w:r>
      <w:r>
        <w:rPr>
          <w:spacing w:val="32"/>
          <w:sz w:val="16"/>
        </w:rPr>
        <w:t>Disponível</w:t>
      </w:r>
      <w:r>
        <w:rPr>
          <w:spacing w:val="31"/>
          <w:sz w:val="16"/>
        </w:rPr>
        <w:t xml:space="preserve"> </w:t>
      </w:r>
      <w:r>
        <w:rPr>
          <w:spacing w:val="23"/>
          <w:sz w:val="16"/>
        </w:rPr>
        <w:t>em:</w:t>
      </w:r>
      <w:r>
        <w:rPr>
          <w:spacing w:val="-7"/>
          <w:sz w:val="16"/>
        </w:rPr>
        <w:t xml:space="preserve"> </w:t>
      </w:r>
    </w:p>
    <w:p w:rsidR="00D81F69" w:rsidRDefault="00D81F69">
      <w:pPr>
        <w:spacing w:before="2" w:line="312" w:lineRule="auto"/>
        <w:ind w:left="100" w:right="92"/>
        <w:jc w:val="both"/>
        <w:rPr>
          <w:sz w:val="16"/>
        </w:rPr>
      </w:pPr>
      <w:hyperlink r:id="rId1281">
        <w:r w:rsidR="00330118">
          <w:rPr>
            <w:sz w:val="16"/>
          </w:rPr>
          <w:t>&lt;http://www.fflch.usp.br/da/cadcampo/ed_ant/revistas_completas/14-</w:t>
        </w:r>
      </w:hyperlink>
      <w:r w:rsidR="00330118">
        <w:rPr>
          <w:sz w:val="16"/>
        </w:rPr>
        <w:t xml:space="preserve"> 15.pdf#page=11&gt;. Acesso em: 05 out. 20</w:t>
      </w:r>
      <w:r w:rsidR="00330118">
        <w:rPr>
          <w:sz w:val="16"/>
        </w:rPr>
        <w:t>10.</w:t>
      </w:r>
    </w:p>
    <w:p w:rsidR="00D81F69" w:rsidRDefault="00330118">
      <w:pPr>
        <w:spacing w:before="2" w:line="312" w:lineRule="auto"/>
        <w:ind w:left="100" w:right="57"/>
        <w:jc w:val="both"/>
        <w:rPr>
          <w:sz w:val="16"/>
        </w:rPr>
      </w:pPr>
      <w:r>
        <w:rPr>
          <w:sz w:val="16"/>
        </w:rPr>
        <w:t xml:space="preserve">IBGE, Instituto Brasileiro de Geografia e Estatística. São Thomé das </w:t>
      </w:r>
      <w:r>
        <w:rPr>
          <w:spacing w:val="13"/>
          <w:sz w:val="16"/>
        </w:rPr>
        <w:t xml:space="preserve">Letras </w:t>
      </w:r>
      <w:r>
        <w:rPr>
          <w:spacing w:val="12"/>
          <w:sz w:val="16"/>
        </w:rPr>
        <w:t xml:space="preserve">(MG). </w:t>
      </w:r>
      <w:r>
        <w:rPr>
          <w:spacing w:val="10"/>
          <w:sz w:val="16"/>
        </w:rPr>
        <w:t>In:</w:t>
      </w:r>
      <w:r>
        <w:rPr>
          <w:spacing w:val="65"/>
          <w:sz w:val="16"/>
        </w:rPr>
        <w:t xml:space="preserve"> </w:t>
      </w:r>
      <w:r>
        <w:rPr>
          <w:spacing w:val="11"/>
          <w:sz w:val="16"/>
        </w:rPr>
        <w:t xml:space="preserve">IBGE </w:t>
      </w:r>
      <w:r>
        <w:rPr>
          <w:spacing w:val="13"/>
          <w:sz w:val="16"/>
        </w:rPr>
        <w:t xml:space="preserve">Cidades, </w:t>
      </w:r>
      <w:r>
        <w:rPr>
          <w:spacing w:val="12"/>
          <w:sz w:val="16"/>
        </w:rPr>
        <w:t xml:space="preserve">2010. </w:t>
      </w:r>
      <w:r>
        <w:rPr>
          <w:spacing w:val="15"/>
          <w:sz w:val="16"/>
        </w:rPr>
        <w:t xml:space="preserve">Disponível </w:t>
      </w:r>
      <w:r>
        <w:rPr>
          <w:spacing w:val="10"/>
          <w:sz w:val="16"/>
        </w:rPr>
        <w:t>em:</w:t>
      </w:r>
      <w:r>
        <w:rPr>
          <w:spacing w:val="-27"/>
          <w:sz w:val="16"/>
        </w:rPr>
        <w:t xml:space="preserve"> </w:t>
      </w:r>
    </w:p>
    <w:p w:rsidR="00D81F69" w:rsidRDefault="00D81F69">
      <w:pPr>
        <w:spacing w:before="1"/>
        <w:ind w:left="100"/>
        <w:rPr>
          <w:sz w:val="16"/>
        </w:rPr>
      </w:pPr>
      <w:hyperlink r:id="rId1282">
        <w:r w:rsidR="00330118">
          <w:rPr>
            <w:sz w:val="16"/>
          </w:rPr>
          <w:t>&lt;http://www.ibge.gov.br/cidadesat/xtras/per</w:t>
        </w:r>
        <w:r w:rsidR="00330118">
          <w:rPr>
            <w:sz w:val="16"/>
          </w:rPr>
          <w:t>fil.php?codmun=316520&amp;r</w:t>
        </w:r>
      </w:hyperlink>
    </w:p>
    <w:p w:rsidR="00D81F69" w:rsidRDefault="00330118">
      <w:pPr>
        <w:spacing w:before="56"/>
        <w:ind w:left="100"/>
        <w:rPr>
          <w:sz w:val="16"/>
        </w:rPr>
      </w:pPr>
      <w:r>
        <w:rPr>
          <w:sz w:val="16"/>
        </w:rPr>
        <w:t>=2&gt;. Acesso em 08 out. 2010.</w:t>
      </w:r>
    </w:p>
    <w:p w:rsidR="00D81F69" w:rsidRDefault="00330118">
      <w:pPr>
        <w:spacing w:before="57"/>
        <w:ind w:left="100"/>
        <w:rPr>
          <w:sz w:val="16"/>
        </w:rPr>
      </w:pPr>
      <w:r>
        <w:rPr>
          <w:sz w:val="16"/>
        </w:rPr>
        <w:t>LOSEKANN, Silvana. Minas Gerais – Promotores querem preservar</w:t>
      </w:r>
    </w:p>
    <w:p w:rsidR="00D81F69" w:rsidRDefault="00330118">
      <w:pPr>
        <w:spacing w:before="56" w:line="312" w:lineRule="auto"/>
        <w:ind w:left="100" w:right="74"/>
        <w:jc w:val="both"/>
        <w:rPr>
          <w:sz w:val="16"/>
        </w:rPr>
      </w:pPr>
      <w:r>
        <w:rPr>
          <w:sz w:val="16"/>
        </w:rPr>
        <w:t xml:space="preserve">S. Thomé das Letras. Defender, Defesa Civil do Patrimônio Histórico, 8 </w:t>
      </w:r>
      <w:r>
        <w:rPr>
          <w:spacing w:val="2"/>
          <w:sz w:val="16"/>
        </w:rPr>
        <w:t xml:space="preserve">mar. </w:t>
      </w:r>
      <w:r>
        <w:rPr>
          <w:spacing w:val="3"/>
          <w:sz w:val="16"/>
        </w:rPr>
        <w:t xml:space="preserve">2010. Disponível </w:t>
      </w:r>
      <w:r>
        <w:rPr>
          <w:spacing w:val="2"/>
          <w:sz w:val="16"/>
        </w:rPr>
        <w:t xml:space="preserve">em: </w:t>
      </w:r>
      <w:hyperlink r:id="rId1283">
        <w:r>
          <w:rPr>
            <w:spacing w:val="5"/>
            <w:sz w:val="16"/>
          </w:rPr>
          <w:t>&lt;http://www.defender.org.br/minas-</w:t>
        </w:r>
      </w:hyperlink>
      <w:r>
        <w:rPr>
          <w:spacing w:val="5"/>
          <w:sz w:val="16"/>
        </w:rPr>
        <w:t xml:space="preserve"> </w:t>
      </w:r>
      <w:r>
        <w:rPr>
          <w:sz w:val="16"/>
        </w:rPr>
        <w:t xml:space="preserve">gerais-promotores-querem-preservar-s-thome-das-letras/&gt;. </w:t>
      </w:r>
      <w:r>
        <w:rPr>
          <w:spacing w:val="1"/>
          <w:sz w:val="16"/>
        </w:rPr>
        <w:t xml:space="preserve">Acesso </w:t>
      </w:r>
      <w:r>
        <w:rPr>
          <w:sz w:val="16"/>
        </w:rPr>
        <w:t>em: 16 ago.</w:t>
      </w:r>
      <w:r>
        <w:rPr>
          <w:spacing w:val="1"/>
          <w:sz w:val="16"/>
        </w:rPr>
        <w:t xml:space="preserve"> </w:t>
      </w:r>
      <w:r>
        <w:rPr>
          <w:sz w:val="16"/>
        </w:rPr>
        <w:t>2010.</w:t>
      </w:r>
    </w:p>
    <w:p w:rsidR="00D81F69" w:rsidRDefault="00330118">
      <w:pPr>
        <w:spacing w:before="3" w:line="312" w:lineRule="auto"/>
        <w:ind w:left="100" w:right="64"/>
        <w:jc w:val="both"/>
        <w:rPr>
          <w:sz w:val="16"/>
        </w:rPr>
      </w:pPr>
      <w:r>
        <w:rPr>
          <w:sz w:val="16"/>
        </w:rPr>
        <w:t>NGAPL-MG, Núcleo Gestor de Apoio aos Arranjos Produtivos Locais de Minas Gerais. APLs de b</w:t>
      </w:r>
      <w:r>
        <w:rPr>
          <w:sz w:val="16"/>
        </w:rPr>
        <w:t>ase mineral em Minas Gerais: características e questões de política.</w:t>
      </w:r>
    </w:p>
    <w:p w:rsidR="00D81F69" w:rsidRDefault="00330118">
      <w:pPr>
        <w:spacing w:before="70" w:line="312" w:lineRule="auto"/>
        <w:ind w:left="100" w:right="194"/>
        <w:jc w:val="both"/>
        <w:rPr>
          <w:sz w:val="16"/>
        </w:rPr>
      </w:pPr>
      <w:r>
        <w:br w:type="column"/>
      </w:r>
      <w:r>
        <w:rPr>
          <w:sz w:val="16"/>
        </w:rPr>
        <w:lastRenderedPageBreak/>
        <w:t>Subsecretaria de Indústria, Comércio e Serviços, Secretaria de Estado de  Desenvolvimento Econômico de  Minas Gerais, 30  set.</w:t>
      </w:r>
    </w:p>
    <w:p w:rsidR="00D81F69" w:rsidRDefault="00330118">
      <w:pPr>
        <w:tabs>
          <w:tab w:val="left" w:pos="1785"/>
          <w:tab w:val="left" w:pos="4548"/>
        </w:tabs>
        <w:spacing w:before="1"/>
        <w:ind w:left="100"/>
        <w:jc w:val="both"/>
        <w:rPr>
          <w:sz w:val="16"/>
        </w:rPr>
      </w:pPr>
      <w:r>
        <w:rPr>
          <w:sz w:val="16"/>
        </w:rPr>
        <w:t xml:space="preserve">2   0   0  </w:t>
      </w:r>
      <w:r>
        <w:rPr>
          <w:spacing w:val="35"/>
          <w:sz w:val="16"/>
        </w:rPr>
        <w:t xml:space="preserve"> </w:t>
      </w:r>
      <w:r>
        <w:rPr>
          <w:sz w:val="16"/>
        </w:rPr>
        <w:t xml:space="preserve">9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r>
      <w:r>
        <w:rPr>
          <w:sz w:val="16"/>
        </w:rPr>
        <w:t xml:space="preserve">e   m  </w:t>
      </w:r>
      <w:r>
        <w:rPr>
          <w:spacing w:val="22"/>
          <w:sz w:val="16"/>
        </w:rPr>
        <w:t xml:space="preserve"> </w:t>
      </w:r>
      <w:r>
        <w:rPr>
          <w:sz w:val="16"/>
        </w:rPr>
        <w:t>:</w:t>
      </w:r>
    </w:p>
    <w:p w:rsidR="00D81F69" w:rsidRDefault="00D81F69">
      <w:pPr>
        <w:spacing w:before="56" w:line="312" w:lineRule="auto"/>
        <w:ind w:left="100" w:right="173"/>
        <w:jc w:val="both"/>
        <w:rPr>
          <w:sz w:val="16"/>
        </w:rPr>
      </w:pPr>
      <w:hyperlink r:id="rId1284">
        <w:r w:rsidR="00330118">
          <w:rPr>
            <w:sz w:val="16"/>
          </w:rPr>
          <w:t xml:space="preserve">&lt;http://www.desenvolvimento.gov.br/conferencia- </w:t>
        </w:r>
      </w:hyperlink>
      <w:r w:rsidR="00330118">
        <w:rPr>
          <w:sz w:val="16"/>
        </w:rPr>
        <w:t xml:space="preserve">apl/modulos/arquivos/MarilenaChaves.pdf&gt;. Acesso em: 19 out. 2010. PEDREIRAS   SÃO   TOMÉ.   Produtos.   Disponível em: </w:t>
      </w:r>
    </w:p>
    <w:p w:rsidR="00D81F69" w:rsidRDefault="00D81F69">
      <w:pPr>
        <w:spacing w:before="3" w:line="312" w:lineRule="auto"/>
        <w:ind w:left="100" w:right="194"/>
        <w:jc w:val="both"/>
        <w:rPr>
          <w:sz w:val="16"/>
        </w:rPr>
      </w:pPr>
      <w:hyperlink r:id="rId1285">
        <w:r w:rsidR="00330118">
          <w:rPr>
            <w:sz w:val="16"/>
          </w:rPr>
          <w:t>&lt;http://www.pedreirassaotome.com.br/produtodetalhado.php?idprod=</w:t>
        </w:r>
      </w:hyperlink>
      <w:r w:rsidR="00330118">
        <w:rPr>
          <w:sz w:val="16"/>
        </w:rPr>
        <w:t xml:space="preserve"> 190&amp;tituloproduto=Igreja%20do%20Rosario&gt;. Acesso em: 08 out. 2010.</w:t>
      </w:r>
    </w:p>
    <w:p w:rsidR="00D81F69" w:rsidRDefault="00330118">
      <w:pPr>
        <w:spacing w:before="2"/>
        <w:ind w:left="100"/>
        <w:jc w:val="both"/>
        <w:rPr>
          <w:sz w:val="16"/>
        </w:rPr>
      </w:pPr>
      <w:r>
        <w:rPr>
          <w:sz w:val="16"/>
        </w:rPr>
        <w:t>PROMOTORIA ESTADUAL DE  DEFESA DO  PATRIMÔNIO.   TCU</w:t>
      </w:r>
    </w:p>
    <w:p w:rsidR="00D81F69" w:rsidRDefault="00330118">
      <w:pPr>
        <w:spacing w:before="56" w:line="312" w:lineRule="auto"/>
        <w:ind w:left="100" w:right="198"/>
        <w:jc w:val="both"/>
        <w:rPr>
          <w:sz w:val="16"/>
        </w:rPr>
      </w:pPr>
      <w:r>
        <w:rPr>
          <w:spacing w:val="1"/>
          <w:sz w:val="16"/>
        </w:rPr>
        <w:t>acat</w:t>
      </w:r>
      <w:r>
        <w:rPr>
          <w:spacing w:val="1"/>
          <w:sz w:val="16"/>
        </w:rPr>
        <w:t xml:space="preserve">a pedido </w:t>
      </w:r>
      <w:r>
        <w:rPr>
          <w:sz w:val="16"/>
        </w:rPr>
        <w:t xml:space="preserve">do </w:t>
      </w:r>
      <w:r>
        <w:rPr>
          <w:spacing w:val="1"/>
          <w:sz w:val="16"/>
        </w:rPr>
        <w:t xml:space="preserve">MPMG </w:t>
      </w:r>
      <w:r>
        <w:rPr>
          <w:sz w:val="16"/>
        </w:rPr>
        <w:t xml:space="preserve">e </w:t>
      </w:r>
      <w:r>
        <w:rPr>
          <w:spacing w:val="1"/>
          <w:sz w:val="16"/>
        </w:rPr>
        <w:t xml:space="preserve">recomenda aumento </w:t>
      </w:r>
      <w:r>
        <w:rPr>
          <w:sz w:val="16"/>
        </w:rPr>
        <w:t xml:space="preserve">da </w:t>
      </w:r>
      <w:r>
        <w:rPr>
          <w:spacing w:val="1"/>
          <w:sz w:val="16"/>
        </w:rPr>
        <w:t xml:space="preserve">fiscalização </w:t>
      </w:r>
      <w:r>
        <w:rPr>
          <w:spacing w:val="2"/>
          <w:sz w:val="16"/>
        </w:rPr>
        <w:t xml:space="preserve">do </w:t>
      </w:r>
      <w:r>
        <w:rPr>
          <w:spacing w:val="3"/>
          <w:sz w:val="16"/>
        </w:rPr>
        <w:t xml:space="preserve">pagamento </w:t>
      </w:r>
      <w:r>
        <w:rPr>
          <w:spacing w:val="2"/>
          <w:sz w:val="16"/>
        </w:rPr>
        <w:t xml:space="preserve">dos </w:t>
      </w:r>
      <w:r>
        <w:rPr>
          <w:spacing w:val="3"/>
          <w:sz w:val="16"/>
        </w:rPr>
        <w:t xml:space="preserve">royalties </w:t>
      </w:r>
      <w:r>
        <w:rPr>
          <w:spacing w:val="1"/>
          <w:sz w:val="16"/>
        </w:rPr>
        <w:t xml:space="preserve">da </w:t>
      </w:r>
      <w:r>
        <w:rPr>
          <w:spacing w:val="3"/>
          <w:sz w:val="16"/>
        </w:rPr>
        <w:t xml:space="preserve">mineração. </w:t>
      </w:r>
      <w:r>
        <w:rPr>
          <w:spacing w:val="2"/>
          <w:sz w:val="16"/>
        </w:rPr>
        <w:t xml:space="preserve">In: </w:t>
      </w:r>
      <w:r>
        <w:rPr>
          <w:spacing w:val="3"/>
          <w:sz w:val="16"/>
        </w:rPr>
        <w:t xml:space="preserve">Ministério Público </w:t>
      </w:r>
      <w:r>
        <w:rPr>
          <w:spacing w:val="5"/>
          <w:sz w:val="16"/>
        </w:rPr>
        <w:t xml:space="preserve">do </w:t>
      </w:r>
      <w:r>
        <w:rPr>
          <w:sz w:val="16"/>
        </w:rPr>
        <w:t>Estado de Minas Gerais - Coordenadoria Regional das Promotorias de</w:t>
      </w:r>
      <w:r>
        <w:rPr>
          <w:spacing w:val="8"/>
          <w:sz w:val="16"/>
        </w:rPr>
        <w:t xml:space="preserve"> </w:t>
      </w:r>
      <w:r>
        <w:rPr>
          <w:sz w:val="16"/>
        </w:rPr>
        <w:t>Justiça</w:t>
      </w:r>
      <w:r>
        <w:rPr>
          <w:spacing w:val="8"/>
          <w:sz w:val="16"/>
        </w:rPr>
        <w:t xml:space="preserve"> </w:t>
      </w:r>
      <w:r>
        <w:rPr>
          <w:sz w:val="16"/>
        </w:rPr>
        <w:t>do</w:t>
      </w:r>
      <w:r>
        <w:rPr>
          <w:spacing w:val="8"/>
          <w:sz w:val="16"/>
        </w:rPr>
        <w:t xml:space="preserve"> </w:t>
      </w:r>
      <w:r>
        <w:rPr>
          <w:sz w:val="16"/>
        </w:rPr>
        <w:t>Meio</w:t>
      </w:r>
      <w:r>
        <w:rPr>
          <w:spacing w:val="8"/>
          <w:sz w:val="16"/>
        </w:rPr>
        <w:t xml:space="preserve"> </w:t>
      </w:r>
      <w:r>
        <w:rPr>
          <w:sz w:val="16"/>
        </w:rPr>
        <w:t>Ambiente</w:t>
      </w:r>
      <w:r>
        <w:rPr>
          <w:spacing w:val="8"/>
          <w:sz w:val="16"/>
        </w:rPr>
        <w:t xml:space="preserve"> </w:t>
      </w:r>
      <w:r>
        <w:rPr>
          <w:sz w:val="16"/>
        </w:rPr>
        <w:t>da</w:t>
      </w:r>
      <w:r>
        <w:rPr>
          <w:spacing w:val="8"/>
          <w:sz w:val="16"/>
        </w:rPr>
        <w:t xml:space="preserve"> </w:t>
      </w:r>
      <w:r>
        <w:rPr>
          <w:sz w:val="16"/>
        </w:rPr>
        <w:t>Bacia</w:t>
      </w:r>
      <w:r>
        <w:rPr>
          <w:spacing w:val="8"/>
          <w:sz w:val="16"/>
        </w:rPr>
        <w:t xml:space="preserve"> </w:t>
      </w:r>
      <w:r>
        <w:rPr>
          <w:sz w:val="16"/>
        </w:rPr>
        <w:t>do</w:t>
      </w:r>
      <w:r>
        <w:rPr>
          <w:spacing w:val="8"/>
          <w:sz w:val="16"/>
        </w:rPr>
        <w:t xml:space="preserve"> </w:t>
      </w:r>
      <w:r>
        <w:rPr>
          <w:sz w:val="16"/>
        </w:rPr>
        <w:t>Rio</w:t>
      </w:r>
      <w:r>
        <w:rPr>
          <w:spacing w:val="8"/>
          <w:sz w:val="16"/>
        </w:rPr>
        <w:t xml:space="preserve"> </w:t>
      </w:r>
      <w:r>
        <w:rPr>
          <w:sz w:val="16"/>
        </w:rPr>
        <w:t>Grande.</w:t>
      </w:r>
      <w:r>
        <w:rPr>
          <w:spacing w:val="8"/>
          <w:sz w:val="16"/>
        </w:rPr>
        <w:t xml:space="preserve"> </w:t>
      </w:r>
      <w:r>
        <w:rPr>
          <w:sz w:val="16"/>
        </w:rPr>
        <w:t>Minas</w:t>
      </w:r>
      <w:r>
        <w:rPr>
          <w:spacing w:val="8"/>
          <w:sz w:val="16"/>
        </w:rPr>
        <w:t xml:space="preserve"> </w:t>
      </w:r>
      <w:r>
        <w:rPr>
          <w:sz w:val="16"/>
        </w:rPr>
        <w:t>Gerais,</w:t>
      </w:r>
    </w:p>
    <w:p w:rsidR="00D81F69" w:rsidRDefault="00330118">
      <w:pPr>
        <w:spacing w:before="3"/>
        <w:ind w:left="100"/>
        <w:jc w:val="both"/>
        <w:rPr>
          <w:sz w:val="16"/>
        </w:rPr>
      </w:pPr>
      <w:r>
        <w:rPr>
          <w:sz w:val="16"/>
        </w:rPr>
        <w:t xml:space="preserve">2 5         j a n .         2 0 1 2 .         D i s p o n í v e l         e m :  </w:t>
      </w:r>
    </w:p>
    <w:p w:rsidR="00D81F69" w:rsidRDefault="00D81F69">
      <w:pPr>
        <w:spacing w:before="57" w:line="312" w:lineRule="auto"/>
        <w:ind w:left="100" w:right="215"/>
        <w:jc w:val="both"/>
        <w:rPr>
          <w:sz w:val="16"/>
        </w:rPr>
      </w:pPr>
      <w:hyperlink r:id="rId1286">
        <w:r w:rsidR="00330118">
          <w:rPr>
            <w:sz w:val="16"/>
          </w:rPr>
          <w:t>&lt;http://baciariograndemp.blogspot.com.br/2012/01/tcu-acata-pedido-</w:t>
        </w:r>
      </w:hyperlink>
      <w:r w:rsidR="00330118">
        <w:rPr>
          <w:sz w:val="16"/>
        </w:rPr>
        <w:t xml:space="preserve"> do-mpmg.html&gt;. Acesso em</w:t>
      </w:r>
      <w:r w:rsidR="00330118">
        <w:rPr>
          <w:sz w:val="16"/>
        </w:rPr>
        <w:t>: 16 ago. 2010.</w:t>
      </w:r>
    </w:p>
    <w:p w:rsidR="00D81F69" w:rsidRDefault="00330118">
      <w:pPr>
        <w:spacing w:before="1" w:line="312" w:lineRule="auto"/>
        <w:ind w:left="100" w:right="185"/>
        <w:jc w:val="both"/>
        <w:rPr>
          <w:sz w:val="16"/>
        </w:rPr>
      </w:pPr>
      <w:r>
        <w:rPr>
          <w:sz w:val="16"/>
        </w:rPr>
        <w:t xml:space="preserve">VIANA, Maurício Boratto; BURSZTYN, Maria Augusta Almeida. Regularização ambiental de minerações em Minas Gerais. Rem: Rev. Esc. Minas, 2010, v.63, n.2, p. 363-369. Disponível em: </w:t>
      </w:r>
    </w:p>
    <w:p w:rsidR="00D81F69" w:rsidRDefault="00D81F69">
      <w:pPr>
        <w:spacing w:before="3" w:line="312" w:lineRule="auto"/>
        <w:ind w:left="100" w:right="197"/>
        <w:jc w:val="both"/>
        <w:rPr>
          <w:sz w:val="16"/>
        </w:rPr>
      </w:pPr>
      <w:hyperlink r:id="rId1287">
        <w:r w:rsidR="00330118">
          <w:rPr>
            <w:sz w:val="16"/>
          </w:rPr>
          <w:t xml:space="preserve">&lt;http://www.scielo.br/pdf/rem/v63n2/remv63n2a22.pdf&gt;. </w:t>
        </w:r>
      </w:hyperlink>
      <w:r w:rsidR="00330118">
        <w:rPr>
          <w:sz w:val="16"/>
        </w:rPr>
        <w:t>Acesso em: nov. 2010.</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86" w:space="284"/>
            <w:col w:w="5310"/>
          </w:cols>
        </w:sectPr>
      </w:pPr>
    </w:p>
    <w:p w:rsidR="00D81F69" w:rsidRDefault="00330118">
      <w:pPr>
        <w:pStyle w:val="Heading1"/>
        <w:spacing w:line="208" w:lineRule="auto"/>
      </w:pPr>
      <w:r>
        <w:lastRenderedPageBreak/>
        <w:t>Disposição incorreta de resíduos gerou drenagem ácida de minas (DAM) na mineração de urânio em MG</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MG - Caldas</w:t>
      </w:r>
    </w:p>
    <w:p w:rsidR="00D81F69" w:rsidRDefault="00330118">
      <w:pPr>
        <w:spacing w:before="49"/>
        <w:ind w:left="135"/>
        <w:rPr>
          <w:i/>
          <w:sz w:val="14"/>
        </w:rPr>
      </w:pPr>
      <w:r>
        <w:rPr>
          <w:i/>
          <w:sz w:val="14"/>
        </w:rPr>
        <w:t>MG - Poços de Caldas</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-21,82</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-46,484</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8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A extração e o beneficiamento do urânio </w:t>
      </w:r>
      <w:r>
        <w:rPr>
          <w:i/>
          <w:sz w:val="16"/>
        </w:rPr>
        <w:t>no Complexo Industrial de Poços de Caldas (CIPC) – atual Unidade de Tratamento de Minério (UTM) operada pelas Indústrias Nucleares do Brasil (INB) - causaram impactos ambientais negativos nas bacias hidrográficas das cidades de Poços de Caldas e Caldas (MG</w:t>
      </w:r>
      <w:r>
        <w:rPr>
          <w:i/>
          <w:sz w:val="16"/>
        </w:rPr>
        <w:t>). A drenagem ácida de mina (DAM) é o principal problema ambiental no local.</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8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54"/>
        <w:jc w:val="left"/>
      </w:pPr>
      <w:r>
        <w:t>do Ribeirão das Antas e a do Rio Verde, possuindo área total de 15km² (NASCIMENTO, 1988). O empreendimento era, à época, a única instalação do país a produzir concentrado de urânio para as termonucleares (NASCIMENTO, 1998).</w:t>
      </w:r>
    </w:p>
    <w:p w:rsidR="00D81F69" w:rsidRDefault="00330118">
      <w:pPr>
        <w:pStyle w:val="Corpodetexto"/>
        <w:spacing w:before="133" w:line="312" w:lineRule="auto"/>
        <w:ind w:left="135" w:right="205"/>
      </w:pPr>
      <w:r>
        <w:t>O início do ciclo produtivo do C</w:t>
      </w:r>
      <w:r>
        <w:t>IPC ocorreu com a lavra a céu aberto e o processamento físico e químico do urânio. Na etapa de mineração e processamentos químicos e físicos, é obtido o diuranato de amônio (DUA), conhecido como “yellow- cake”, matéria prima para produção de combustíveis n</w:t>
      </w:r>
      <w:r>
        <w:t>ucleares. O material base para a fabricação do DUA era retirado da mina de Usama Utsumi, que recebeu esse nome em homenagem póstuma ao geólogo pioneiro na prospecção</w:t>
      </w:r>
    </w:p>
    <w:p w:rsidR="00D81F69" w:rsidRDefault="00D81F69">
      <w:pPr>
        <w:spacing w:line="312" w:lineRule="auto"/>
        <w:sectPr w:rsidR="00D81F69">
          <w:type w:val="continuous"/>
          <w:pgSz w:w="11900" w:h="16840"/>
          <w:pgMar w:top="720" w:right="500" w:bottom="280" w:left="620" w:header="720" w:footer="720" w:gutter="0"/>
          <w:cols w:num="3" w:space="720" w:equalWidth="0">
            <w:col w:w="1584" w:space="416"/>
            <w:col w:w="3107" w:space="328"/>
            <w:col w:w="5345"/>
          </w:cols>
        </w:sectPr>
      </w:pPr>
    </w:p>
    <w:p w:rsidR="00D81F69" w:rsidRDefault="00330118">
      <w:pPr>
        <w:pStyle w:val="Heading4"/>
        <w:spacing w:before="61"/>
      </w:pPr>
      <w:r>
        <w:lastRenderedPageBreak/>
        <w:t>APRESENTAÇÃO DE CASO</w:t>
      </w:r>
    </w:p>
    <w:p w:rsidR="00D81F69" w:rsidRDefault="00330118">
      <w:pPr>
        <w:pStyle w:val="Corpodetexto"/>
        <w:spacing w:before="171" w:line="312" w:lineRule="auto"/>
        <w:ind w:right="92"/>
      </w:pPr>
      <w:r>
        <w:t xml:space="preserve">O Brasil detém a sexta maior reserva </w:t>
      </w:r>
      <w:r>
        <w:t xml:space="preserve">de </w:t>
      </w:r>
      <w:hyperlink r:id="rId1288">
        <w:r>
          <w:t xml:space="preserve">urânio </w:t>
        </w:r>
      </w:hyperlink>
      <w:r>
        <w:t>do mundo. A produção atual do minério é direcionada, principalmente, ao abastecimento do mercado interno e à geração de energia elétrica em usinas termonuc</w:t>
      </w:r>
      <w:r>
        <w:t>leares (Angra 1 e Angra 2). Entretanto, apenas um terço do território foi pesquisado, o que aumenta o potencial de produção de reservas e dos possíveis impactos da extração a longo prazo (FRANKLIN, 2007).</w:t>
      </w:r>
    </w:p>
    <w:p w:rsidR="00D81F69" w:rsidRDefault="00330118">
      <w:pPr>
        <w:pStyle w:val="Corpodetexto"/>
        <w:spacing w:before="137" w:line="312" w:lineRule="auto"/>
        <w:ind w:right="91"/>
      </w:pPr>
      <w:r>
        <w:rPr>
          <w:spacing w:val="2"/>
        </w:rPr>
        <w:t xml:space="preserve">Em </w:t>
      </w:r>
      <w:r>
        <w:rPr>
          <w:spacing w:val="3"/>
        </w:rPr>
        <w:t xml:space="preserve">todas </w:t>
      </w:r>
      <w:r>
        <w:rPr>
          <w:spacing w:val="2"/>
        </w:rPr>
        <w:t xml:space="preserve">as </w:t>
      </w:r>
      <w:r>
        <w:rPr>
          <w:spacing w:val="3"/>
        </w:rPr>
        <w:t xml:space="preserve">fases </w:t>
      </w:r>
      <w:r>
        <w:rPr>
          <w:spacing w:val="2"/>
        </w:rPr>
        <w:t xml:space="preserve">do </w:t>
      </w:r>
      <w:r>
        <w:rPr>
          <w:spacing w:val="3"/>
        </w:rPr>
        <w:t xml:space="preserve">ciclo </w:t>
      </w:r>
      <w:r>
        <w:rPr>
          <w:spacing w:val="2"/>
        </w:rPr>
        <w:t xml:space="preserve">de </w:t>
      </w:r>
      <w:r>
        <w:rPr>
          <w:spacing w:val="5"/>
        </w:rPr>
        <w:t xml:space="preserve">produção </w:t>
      </w:r>
      <w:r>
        <w:rPr>
          <w:spacing w:val="2"/>
        </w:rPr>
        <w:t xml:space="preserve">do </w:t>
      </w:r>
      <w:r>
        <w:rPr>
          <w:spacing w:val="5"/>
        </w:rPr>
        <w:t>combustív</w:t>
      </w:r>
      <w:r>
        <w:rPr>
          <w:spacing w:val="5"/>
        </w:rPr>
        <w:t>el</w:t>
      </w:r>
      <w:r>
        <w:rPr>
          <w:spacing w:val="61"/>
        </w:rPr>
        <w:t xml:space="preserve"> </w:t>
      </w:r>
      <w:r>
        <w:t xml:space="preserve">nuclear – mineração e beneficiamento do minério; conversão  e </w:t>
      </w:r>
      <w:r>
        <w:rPr>
          <w:spacing w:val="6"/>
        </w:rPr>
        <w:t xml:space="preserve">enriquecimento; fabricação </w:t>
      </w:r>
      <w:r>
        <w:rPr>
          <w:spacing w:val="3"/>
        </w:rPr>
        <w:t xml:space="preserve">do </w:t>
      </w:r>
      <w:r>
        <w:rPr>
          <w:spacing w:val="6"/>
        </w:rPr>
        <w:t xml:space="preserve">elemento </w:t>
      </w:r>
      <w:r>
        <w:rPr>
          <w:spacing w:val="7"/>
        </w:rPr>
        <w:t xml:space="preserve">combustível; </w:t>
      </w:r>
      <w:r>
        <w:rPr>
          <w:spacing w:val="3"/>
        </w:rPr>
        <w:t xml:space="preserve">utilização </w:t>
      </w:r>
      <w:r>
        <w:rPr>
          <w:spacing w:val="1"/>
        </w:rPr>
        <w:t xml:space="preserve">em </w:t>
      </w:r>
      <w:r>
        <w:rPr>
          <w:spacing w:val="3"/>
        </w:rPr>
        <w:t xml:space="preserve">reatores; tratamento </w:t>
      </w:r>
      <w:r>
        <w:rPr>
          <w:spacing w:val="1"/>
        </w:rPr>
        <w:t xml:space="preserve">do </w:t>
      </w:r>
      <w:r>
        <w:rPr>
          <w:spacing w:val="3"/>
        </w:rPr>
        <w:t xml:space="preserve">combustível </w:t>
      </w:r>
      <w:r>
        <w:rPr>
          <w:spacing w:val="5"/>
        </w:rPr>
        <w:t xml:space="preserve">gasto; </w:t>
      </w:r>
      <w:r>
        <w:t>deposição final de rejeitos – são gerados rejeitos radioativos (FRANKLIN,</w:t>
      </w:r>
      <w:r>
        <w:rPr>
          <w:spacing w:val="8"/>
        </w:rPr>
        <w:t xml:space="preserve"> </w:t>
      </w:r>
      <w:r>
        <w:t>2007).</w:t>
      </w:r>
    </w:p>
    <w:p w:rsidR="00D81F69" w:rsidRDefault="00330118">
      <w:pPr>
        <w:pStyle w:val="Corpodetexto"/>
        <w:spacing w:before="136" w:line="312" w:lineRule="auto"/>
        <w:ind w:right="98"/>
      </w:pPr>
      <w:r>
        <w:t>A</w:t>
      </w:r>
      <w:r>
        <w:t xml:space="preserve"> produção industrial de urânio no país começou, em 1982, </w:t>
      </w:r>
      <w:r>
        <w:rPr>
          <w:spacing w:val="2"/>
        </w:rPr>
        <w:t xml:space="preserve">no </w:t>
      </w:r>
      <w:r>
        <w:rPr>
          <w:spacing w:val="5"/>
        </w:rPr>
        <w:t xml:space="preserve">Complexo Mínero-Industrial </w:t>
      </w:r>
      <w:r>
        <w:rPr>
          <w:spacing w:val="2"/>
        </w:rPr>
        <w:t xml:space="preserve">do </w:t>
      </w:r>
      <w:r>
        <w:rPr>
          <w:spacing w:val="5"/>
        </w:rPr>
        <w:t xml:space="preserve">Planalto </w:t>
      </w:r>
      <w:r>
        <w:rPr>
          <w:spacing w:val="2"/>
        </w:rPr>
        <w:t xml:space="preserve">de </w:t>
      </w:r>
      <w:r>
        <w:rPr>
          <w:spacing w:val="3"/>
        </w:rPr>
        <w:t xml:space="preserve">Poços </w:t>
      </w:r>
      <w:r>
        <w:rPr>
          <w:spacing w:val="5"/>
        </w:rPr>
        <w:t xml:space="preserve">de Caldas (CIPC), </w:t>
      </w:r>
      <w:r>
        <w:rPr>
          <w:spacing w:val="2"/>
        </w:rPr>
        <w:t xml:space="preserve">30 </w:t>
      </w:r>
      <w:r>
        <w:rPr>
          <w:spacing w:val="3"/>
        </w:rPr>
        <w:t xml:space="preserve">anos após </w:t>
      </w:r>
      <w:r>
        <w:rPr>
          <w:spacing w:val="2"/>
        </w:rPr>
        <w:t xml:space="preserve">as </w:t>
      </w:r>
      <w:r>
        <w:rPr>
          <w:spacing w:val="5"/>
        </w:rPr>
        <w:t xml:space="preserve">primeiras pesquisas do </w:t>
      </w:r>
      <w:r>
        <w:t>minério no Brasil. À época, o fato foi considerado um passo importante rumo à independência</w:t>
      </w:r>
      <w:r>
        <w:t xml:space="preserve"> do país na exploração da energia núcleo-elétrica (CIPRIANI, 2002), “pois garantiria o suprimento de combustível reator de Angra I e a realização do Acordo Nuclear Brasil-Alemanha” (CIPRIANI, 2002, p. 223). </w:t>
      </w:r>
      <w:r>
        <w:rPr>
          <w:spacing w:val="5"/>
        </w:rPr>
        <w:t xml:space="preserve">Hoje, </w:t>
      </w:r>
      <w:r>
        <w:t xml:space="preserve">o </w:t>
      </w:r>
      <w:r>
        <w:rPr>
          <w:spacing w:val="5"/>
        </w:rPr>
        <w:t xml:space="preserve">CIPC </w:t>
      </w:r>
      <w:r>
        <w:t xml:space="preserve">é </w:t>
      </w:r>
      <w:r>
        <w:rPr>
          <w:spacing w:val="5"/>
        </w:rPr>
        <w:t xml:space="preserve">denominado Unidade </w:t>
      </w:r>
      <w:r>
        <w:rPr>
          <w:spacing w:val="2"/>
        </w:rPr>
        <w:t xml:space="preserve">de </w:t>
      </w:r>
      <w:r>
        <w:rPr>
          <w:spacing w:val="5"/>
        </w:rPr>
        <w:t xml:space="preserve">Tratamento </w:t>
      </w:r>
      <w:r>
        <w:rPr>
          <w:spacing w:val="6"/>
        </w:rPr>
        <w:t>d</w:t>
      </w:r>
      <w:r>
        <w:rPr>
          <w:spacing w:val="6"/>
        </w:rPr>
        <w:t xml:space="preserve">e </w:t>
      </w:r>
      <w:r>
        <w:t xml:space="preserve">Minérios (UTM), sendo operado pelas Indústrias Nucleares do Brasil (INB), cujo principal acionista é a comissão Nacional de Energia Nuclear (CNEN) (FRANKLIN, 2007). A INB atua na </w:t>
      </w:r>
      <w:r>
        <w:rPr>
          <w:spacing w:val="7"/>
        </w:rPr>
        <w:t xml:space="preserve">cadeia produtiva </w:t>
      </w:r>
      <w:r>
        <w:rPr>
          <w:spacing w:val="5"/>
        </w:rPr>
        <w:t xml:space="preserve">do </w:t>
      </w:r>
      <w:r>
        <w:rPr>
          <w:spacing w:val="7"/>
        </w:rPr>
        <w:t xml:space="preserve">urânio, desde </w:t>
      </w:r>
      <w:r>
        <w:t xml:space="preserve">a </w:t>
      </w:r>
      <w:r>
        <w:rPr>
          <w:spacing w:val="7"/>
        </w:rPr>
        <w:t xml:space="preserve">mineração </w:t>
      </w:r>
      <w:r>
        <w:rPr>
          <w:spacing w:val="5"/>
        </w:rPr>
        <w:t xml:space="preserve">até </w:t>
      </w:r>
      <w:r>
        <w:t xml:space="preserve">a </w:t>
      </w:r>
      <w:r>
        <w:rPr>
          <w:spacing w:val="5"/>
        </w:rPr>
        <w:t xml:space="preserve">fabricação </w:t>
      </w:r>
      <w:r>
        <w:rPr>
          <w:spacing w:val="2"/>
        </w:rPr>
        <w:t xml:space="preserve">do </w:t>
      </w:r>
      <w:r>
        <w:rPr>
          <w:spacing w:val="5"/>
        </w:rPr>
        <w:t xml:space="preserve">combustível </w:t>
      </w:r>
      <w:r>
        <w:rPr>
          <w:spacing w:val="3"/>
        </w:rPr>
        <w:t xml:space="preserve">que gera </w:t>
      </w:r>
      <w:r>
        <w:rPr>
          <w:spacing w:val="5"/>
        </w:rPr>
        <w:t xml:space="preserve">energia elétrica nas usinas nucleares </w:t>
      </w:r>
      <w:r>
        <w:rPr>
          <w:spacing w:val="3"/>
        </w:rPr>
        <w:t>(INB,</w:t>
      </w:r>
      <w:r>
        <w:rPr>
          <w:spacing w:val="-22"/>
        </w:rPr>
        <w:t xml:space="preserve"> </w:t>
      </w:r>
      <w:r>
        <w:rPr>
          <w:spacing w:val="5"/>
        </w:rPr>
        <w:t>2012).</w:t>
      </w:r>
    </w:p>
    <w:p w:rsidR="00D81F69" w:rsidRDefault="00330118">
      <w:pPr>
        <w:pStyle w:val="Corpodetexto"/>
        <w:spacing w:before="143" w:line="312" w:lineRule="auto"/>
        <w:ind w:right="61"/>
      </w:pPr>
      <w:r>
        <w:t>A descoberta de urânio no Planalto de Poços de Caldas data de 1948 (FRANKLIN, 2007). As instalações do CIPC localizam-se a 30 km de Poços de Caldas – 547,261 km² e</w:t>
      </w:r>
    </w:p>
    <w:p w:rsidR="00D81F69" w:rsidRDefault="00330118">
      <w:pPr>
        <w:pStyle w:val="Corpodetexto"/>
        <w:spacing w:before="3" w:line="312" w:lineRule="auto"/>
        <w:ind w:right="38"/>
      </w:pPr>
      <w:r>
        <w:t>152.435 habitantes (</w:t>
      </w:r>
      <w:r>
        <w:t>IBGE, 2010a) – e a 70 km da sede do município Caldas – 711,414 km² e 13.633 habitantes (IBGE,</w:t>
      </w:r>
    </w:p>
    <w:p w:rsidR="00D81F69" w:rsidRDefault="00330118">
      <w:pPr>
        <w:pStyle w:val="Corpodetexto"/>
        <w:spacing w:before="2"/>
      </w:pPr>
      <w:r>
        <w:t>2010b) –, próximo a duas importantes bacias hidrográficas: a</w:t>
      </w:r>
    </w:p>
    <w:p w:rsidR="00D81F69" w:rsidRDefault="00330118">
      <w:pPr>
        <w:pStyle w:val="Corpodetexto"/>
        <w:spacing w:before="8"/>
      </w:pPr>
      <w:r>
        <w:br w:type="column"/>
      </w:r>
      <w:r>
        <w:lastRenderedPageBreak/>
        <w:t>de urânio em Poços de Caldas (FRANKLIN, 2007).</w:t>
      </w:r>
    </w:p>
    <w:p w:rsidR="00D81F69" w:rsidRDefault="00D81F69">
      <w:pPr>
        <w:pStyle w:val="Corpodetexto"/>
        <w:spacing w:before="8"/>
        <w:ind w:left="0"/>
        <w:jc w:val="left"/>
        <w:rPr>
          <w:sz w:val="16"/>
        </w:rPr>
      </w:pPr>
    </w:p>
    <w:p w:rsidR="00D81F69" w:rsidRDefault="00330118">
      <w:pPr>
        <w:pStyle w:val="Corpodetexto"/>
        <w:spacing w:before="1" w:line="312" w:lineRule="auto"/>
        <w:ind w:right="193"/>
      </w:pPr>
      <w:r>
        <w:rPr>
          <w:spacing w:val="1"/>
        </w:rPr>
        <w:t xml:space="preserve">Além </w:t>
      </w:r>
      <w:r>
        <w:t xml:space="preserve">da </w:t>
      </w:r>
      <w:r>
        <w:rPr>
          <w:spacing w:val="1"/>
        </w:rPr>
        <w:t xml:space="preserve">mina Usama Utsumi, </w:t>
      </w:r>
      <w:r>
        <w:t xml:space="preserve">o </w:t>
      </w:r>
      <w:r>
        <w:rPr>
          <w:spacing w:val="1"/>
        </w:rPr>
        <w:t xml:space="preserve">complexo </w:t>
      </w:r>
      <w:r>
        <w:t xml:space="preserve">é </w:t>
      </w:r>
      <w:r>
        <w:rPr>
          <w:spacing w:val="1"/>
        </w:rPr>
        <w:t xml:space="preserve">composto </w:t>
      </w:r>
      <w:r>
        <w:rPr>
          <w:spacing w:val="2"/>
        </w:rPr>
        <w:t xml:space="preserve">por: </w:t>
      </w:r>
      <w:r>
        <w:t xml:space="preserve">área de beneficiamento físico (britagem, moagem e preparo </w:t>
      </w:r>
      <w:r>
        <w:rPr>
          <w:spacing w:val="2"/>
        </w:rPr>
        <w:t xml:space="preserve">da </w:t>
      </w:r>
      <w:r>
        <w:rPr>
          <w:spacing w:val="5"/>
        </w:rPr>
        <w:t xml:space="preserve">polpa </w:t>
      </w:r>
      <w:r>
        <w:rPr>
          <w:spacing w:val="2"/>
        </w:rPr>
        <w:t xml:space="preserve">de </w:t>
      </w:r>
      <w:r>
        <w:rPr>
          <w:spacing w:val="5"/>
        </w:rPr>
        <w:t xml:space="preserve">minérios); área </w:t>
      </w:r>
      <w:r>
        <w:rPr>
          <w:spacing w:val="2"/>
        </w:rPr>
        <w:t xml:space="preserve">de </w:t>
      </w:r>
      <w:r>
        <w:rPr>
          <w:spacing w:val="5"/>
        </w:rPr>
        <w:t xml:space="preserve">beneficiamento </w:t>
      </w:r>
      <w:r>
        <w:rPr>
          <w:spacing w:val="6"/>
        </w:rPr>
        <w:t xml:space="preserve">químico </w:t>
      </w:r>
      <w:r>
        <w:rPr>
          <w:spacing w:val="3"/>
        </w:rPr>
        <w:t xml:space="preserve">(lixiviação </w:t>
      </w:r>
      <w:r>
        <w:rPr>
          <w:spacing w:val="1"/>
        </w:rPr>
        <w:t xml:space="preserve">do </w:t>
      </w:r>
      <w:r>
        <w:rPr>
          <w:spacing w:val="3"/>
        </w:rPr>
        <w:t xml:space="preserve">urânio, filtração </w:t>
      </w:r>
      <w:r>
        <w:rPr>
          <w:spacing w:val="2"/>
        </w:rPr>
        <w:t xml:space="preserve">para </w:t>
      </w:r>
      <w:r>
        <w:rPr>
          <w:spacing w:val="3"/>
        </w:rPr>
        <w:t xml:space="preserve">separação </w:t>
      </w:r>
      <w:r>
        <w:rPr>
          <w:spacing w:val="1"/>
        </w:rPr>
        <w:t xml:space="preserve">do </w:t>
      </w:r>
      <w:r>
        <w:rPr>
          <w:spacing w:val="3"/>
        </w:rPr>
        <w:t xml:space="preserve">licor </w:t>
      </w:r>
      <w:r>
        <w:rPr>
          <w:spacing w:val="5"/>
        </w:rPr>
        <w:t xml:space="preserve">de </w:t>
      </w:r>
      <w:r>
        <w:t>urânio, secagem e estocagem do DUA); área de tratamento de efluentes líquidos e</w:t>
      </w:r>
      <w:r>
        <w:t xml:space="preserve"> sólidos; bacia de rejeitos; fábrica de ácido sulfúrico; área de estocagem de insumos; depósitos de materiais nucleares (NASCIMENTO,</w:t>
      </w:r>
      <w:r>
        <w:rPr>
          <w:spacing w:val="20"/>
        </w:rPr>
        <w:t xml:space="preserve"> </w:t>
      </w:r>
      <w:r>
        <w:t>1998).</w:t>
      </w:r>
    </w:p>
    <w:p w:rsidR="00D81F69" w:rsidRDefault="00330118">
      <w:pPr>
        <w:pStyle w:val="Corpodetexto"/>
        <w:spacing w:before="137" w:line="312" w:lineRule="auto"/>
        <w:ind w:right="207"/>
      </w:pPr>
      <w:r>
        <w:t>Entre 1990 e 1992, as atividades do CIPC foram paralisadas devido aos custos de produção e à reduzida demanda do min</w:t>
      </w:r>
      <w:r>
        <w:t>ério. Em 1993, a produção foi reiniciada, para, em outubro de 1995, ser definitivamente encerrada, em função do esgotamento da jazida (FRANKLIN, 2007).</w:t>
      </w:r>
    </w:p>
    <w:p w:rsidR="00D81F69" w:rsidRDefault="00330118">
      <w:pPr>
        <w:pStyle w:val="Corpodetexto"/>
        <w:spacing w:before="135" w:line="312" w:lineRule="auto"/>
        <w:ind w:right="189"/>
      </w:pPr>
      <w:r>
        <w:t>Com o avanço das prospecções geológicas, outras reservas de urânio foram descobertas, como a de Caetité,</w:t>
      </w:r>
      <w:r>
        <w:t xml:space="preserve"> na </w:t>
      </w:r>
      <w:r>
        <w:rPr>
          <w:spacing w:val="1"/>
        </w:rPr>
        <w:t xml:space="preserve">Bahia, </w:t>
      </w:r>
      <w:r>
        <w:t xml:space="preserve">que começou a ser explorada em 1998. O local, com 1.800 hectares de extensão, possui uma reserva estimada de 100 mil toneladas exclusivamente de urânio, sem outros minerais </w:t>
      </w:r>
      <w:r>
        <w:rPr>
          <w:spacing w:val="2"/>
        </w:rPr>
        <w:t xml:space="preserve">de </w:t>
      </w:r>
      <w:r>
        <w:rPr>
          <w:spacing w:val="5"/>
        </w:rPr>
        <w:t xml:space="preserve">interesse associados </w:t>
      </w:r>
      <w:r>
        <w:rPr>
          <w:spacing w:val="3"/>
        </w:rPr>
        <w:t xml:space="preserve">(INB, </w:t>
      </w:r>
      <w:r>
        <w:rPr>
          <w:spacing w:val="5"/>
        </w:rPr>
        <w:t xml:space="preserve">2002-2003 </w:t>
      </w:r>
      <w:r>
        <w:rPr>
          <w:spacing w:val="3"/>
        </w:rPr>
        <w:t xml:space="preserve">apud </w:t>
      </w:r>
      <w:r>
        <w:rPr>
          <w:spacing w:val="5"/>
        </w:rPr>
        <w:t xml:space="preserve">PRADO, </w:t>
      </w:r>
      <w:r>
        <w:rPr>
          <w:spacing w:val="3"/>
        </w:rPr>
        <w:t>2007; INB,</w:t>
      </w:r>
      <w:r>
        <w:rPr>
          <w:spacing w:val="11"/>
        </w:rPr>
        <w:t xml:space="preserve"> </w:t>
      </w:r>
      <w:r>
        <w:rPr>
          <w:spacing w:val="5"/>
        </w:rPr>
        <w:t>2012b).</w:t>
      </w:r>
    </w:p>
    <w:p w:rsidR="00D81F69" w:rsidRDefault="00330118">
      <w:pPr>
        <w:pStyle w:val="Corpodetexto"/>
        <w:spacing w:before="136" w:line="312" w:lineRule="auto"/>
        <w:ind w:right="195"/>
      </w:pPr>
      <w:r>
        <w:rPr>
          <w:spacing w:val="10"/>
        </w:rPr>
        <w:t>S</w:t>
      </w:r>
      <w:r>
        <w:rPr>
          <w:spacing w:val="10"/>
        </w:rPr>
        <w:t xml:space="preserve">endo assim, desde 1995, </w:t>
      </w:r>
      <w:r>
        <w:rPr>
          <w:spacing w:val="5"/>
        </w:rPr>
        <w:t xml:space="preserve">as </w:t>
      </w:r>
      <w:r>
        <w:rPr>
          <w:spacing w:val="10"/>
        </w:rPr>
        <w:t xml:space="preserve">instalações </w:t>
      </w:r>
      <w:r>
        <w:rPr>
          <w:spacing w:val="5"/>
        </w:rPr>
        <w:t xml:space="preserve">da </w:t>
      </w:r>
      <w:r>
        <w:rPr>
          <w:spacing w:val="12"/>
        </w:rPr>
        <w:t xml:space="preserve">CIPC </w:t>
      </w:r>
      <w:r>
        <w:rPr>
          <w:spacing w:val="5"/>
        </w:rPr>
        <w:t xml:space="preserve">encontravam-se </w:t>
      </w:r>
      <w:r>
        <w:rPr>
          <w:spacing w:val="2"/>
        </w:rPr>
        <w:t xml:space="preserve">em </w:t>
      </w:r>
      <w:r>
        <w:rPr>
          <w:spacing w:val="5"/>
        </w:rPr>
        <w:t xml:space="preserve">processo </w:t>
      </w:r>
      <w:r>
        <w:rPr>
          <w:spacing w:val="2"/>
        </w:rPr>
        <w:t xml:space="preserve">de </w:t>
      </w:r>
      <w:r>
        <w:rPr>
          <w:spacing w:val="5"/>
        </w:rPr>
        <w:t xml:space="preserve">descomissionamento </w:t>
      </w:r>
      <w:r>
        <w:t xml:space="preserve">e fechamento, embora, em 1997, tenha operado um processo </w:t>
      </w:r>
      <w:r>
        <w:rPr>
          <w:spacing w:val="3"/>
        </w:rPr>
        <w:t xml:space="preserve">de </w:t>
      </w:r>
      <w:r>
        <w:rPr>
          <w:spacing w:val="6"/>
        </w:rPr>
        <w:t xml:space="preserve">tratamento conjunto </w:t>
      </w:r>
      <w:r>
        <w:rPr>
          <w:spacing w:val="3"/>
        </w:rPr>
        <w:t xml:space="preserve">de </w:t>
      </w:r>
      <w:r>
        <w:rPr>
          <w:spacing w:val="5"/>
        </w:rPr>
        <w:t xml:space="preserve">minério com </w:t>
      </w:r>
      <w:r>
        <w:rPr>
          <w:spacing w:val="3"/>
        </w:rPr>
        <w:t xml:space="preserve">um </w:t>
      </w:r>
      <w:r>
        <w:rPr>
          <w:spacing w:val="5"/>
        </w:rPr>
        <w:t xml:space="preserve">resíduo </w:t>
      </w:r>
      <w:r>
        <w:rPr>
          <w:spacing w:val="7"/>
        </w:rPr>
        <w:t xml:space="preserve">do </w:t>
      </w:r>
      <w:r>
        <w:t>tratamento da monazita, rico em urânio e tório, cha</w:t>
      </w:r>
      <w:r>
        <w:t xml:space="preserve">mado torta </w:t>
      </w:r>
      <w:r>
        <w:rPr>
          <w:spacing w:val="1"/>
        </w:rPr>
        <w:t xml:space="preserve">II </w:t>
      </w:r>
      <w:r>
        <w:rPr>
          <w:spacing w:val="3"/>
        </w:rPr>
        <w:t xml:space="preserve">(CIPRIANI, 2002). </w:t>
      </w:r>
      <w:r>
        <w:rPr>
          <w:spacing w:val="2"/>
        </w:rPr>
        <w:t xml:space="preserve">Esse </w:t>
      </w:r>
      <w:r>
        <w:rPr>
          <w:spacing w:val="3"/>
        </w:rPr>
        <w:t xml:space="preserve">subproduto </w:t>
      </w:r>
      <w:r>
        <w:rPr>
          <w:spacing w:val="2"/>
        </w:rPr>
        <w:t xml:space="preserve">era </w:t>
      </w:r>
      <w:r>
        <w:rPr>
          <w:spacing w:val="3"/>
        </w:rPr>
        <w:t xml:space="preserve">proveniente </w:t>
      </w:r>
      <w:r>
        <w:rPr>
          <w:spacing w:val="5"/>
        </w:rPr>
        <w:t xml:space="preserve">de </w:t>
      </w:r>
      <w:r>
        <w:t xml:space="preserve">outra filial da INB, a Nuclemon, que fechou sua usina após irregularidades em São Paulo. O tratamento da torta II visava à produção de concentrado de terra raras. A INB estima que, em </w:t>
      </w:r>
      <w:r>
        <w:rPr>
          <w:spacing w:val="1"/>
        </w:rPr>
        <w:t xml:space="preserve">1999, cerca </w:t>
      </w:r>
      <w:r>
        <w:t xml:space="preserve">de </w:t>
      </w:r>
      <w:r>
        <w:rPr>
          <w:spacing w:val="1"/>
        </w:rPr>
        <w:t xml:space="preserve">2.473.140 toneladas </w:t>
      </w:r>
      <w:r>
        <w:t xml:space="preserve">de </w:t>
      </w:r>
      <w:r>
        <w:rPr>
          <w:spacing w:val="1"/>
        </w:rPr>
        <w:t xml:space="preserve">sólidos </w:t>
      </w:r>
      <w:r>
        <w:rPr>
          <w:spacing w:val="2"/>
        </w:rPr>
        <w:t xml:space="preserve">tenham </w:t>
      </w:r>
      <w:r>
        <w:rPr>
          <w:spacing w:val="5"/>
        </w:rPr>
        <w:t xml:space="preserve">sido enviadas </w:t>
      </w:r>
      <w:r>
        <w:t xml:space="preserve">à </w:t>
      </w:r>
      <w:r>
        <w:rPr>
          <w:spacing w:val="5"/>
        </w:rPr>
        <w:t xml:space="preserve">barragem </w:t>
      </w:r>
      <w:r>
        <w:rPr>
          <w:spacing w:val="2"/>
        </w:rPr>
        <w:t xml:space="preserve">de </w:t>
      </w:r>
      <w:r>
        <w:rPr>
          <w:spacing w:val="5"/>
        </w:rPr>
        <w:t xml:space="preserve">rejeitos, como produto </w:t>
      </w:r>
      <w:r>
        <w:rPr>
          <w:spacing w:val="6"/>
        </w:rPr>
        <w:t xml:space="preserve">da </w:t>
      </w:r>
      <w:r>
        <w:t>correção da drenagem ácida e também da torta II (FLORES, 2006).</w:t>
      </w:r>
    </w:p>
    <w:p w:rsidR="00D81F69" w:rsidRDefault="00330118">
      <w:pPr>
        <w:pStyle w:val="Corpodetexto"/>
        <w:spacing w:before="142"/>
      </w:pPr>
      <w:r>
        <w:t>Durante 13 anos de operação não contínua, o CIPC produziu</w:t>
      </w:r>
    </w:p>
    <w:p w:rsidR="00D81F69" w:rsidRDefault="00330118">
      <w:pPr>
        <w:pStyle w:val="Corpodetexto"/>
        <w:spacing w:before="63"/>
      </w:pPr>
      <w:r>
        <w:t>1.242 toneladas de diuranat</w:t>
      </w:r>
      <w:r>
        <w:t>o de amônio, gerou 44,8•106 m³</w:t>
      </w:r>
    </w:p>
    <w:p w:rsidR="00D81F69" w:rsidRDefault="00D81F69">
      <w:pPr>
        <w:sectPr w:rsidR="00D81F69">
          <w:type w:val="continuous"/>
          <w:pgSz w:w="11900" w:h="16840"/>
          <w:pgMar w:top="720" w:right="500" w:bottom="280" w:left="620" w:header="720" w:footer="720" w:gutter="0"/>
          <w:cols w:num="2" w:space="720" w:equalWidth="0">
            <w:col w:w="5214" w:space="256"/>
            <w:col w:w="5310"/>
          </w:cols>
        </w:sectPr>
      </w:pPr>
    </w:p>
    <w:p w:rsidR="00D81F69" w:rsidRDefault="00330118">
      <w:pPr>
        <w:pStyle w:val="Corpodetexto"/>
        <w:spacing w:before="81" w:line="312" w:lineRule="auto"/>
        <w:jc w:val="left"/>
      </w:pPr>
      <w:r>
        <w:lastRenderedPageBreak/>
        <w:t>de estéreis rochosos (rejeitos de mineração) e cerca de 2,39•106 m³ de rejeitos do beneficiamento químico, conhecidos como “tailings” (URÂNIO DO BRASIL, 1988; MAJDALANI &amp; TAVARES, 2001 apud FRANKIN,</w:t>
      </w:r>
      <w:r>
        <w:t xml:space="preserve"> 2007).</w:t>
      </w:r>
    </w:p>
    <w:p w:rsidR="00D81F69" w:rsidRDefault="00330118">
      <w:pPr>
        <w:pStyle w:val="Corpodetexto"/>
        <w:spacing w:before="134" w:line="312" w:lineRule="auto"/>
        <w:ind w:right="120"/>
      </w:pPr>
      <w:r>
        <w:t xml:space="preserve">Por ter sido uma instalação nuclear, o CIPC foi submetido ao </w:t>
      </w:r>
      <w:r>
        <w:rPr>
          <w:spacing w:val="5"/>
        </w:rPr>
        <w:t xml:space="preserve">licenciamento nuclear </w:t>
      </w:r>
      <w:r>
        <w:rPr>
          <w:spacing w:val="2"/>
        </w:rPr>
        <w:t xml:space="preserve">na </w:t>
      </w:r>
      <w:r>
        <w:rPr>
          <w:spacing w:val="5"/>
        </w:rPr>
        <w:t xml:space="preserve">Comissão Nacional </w:t>
      </w:r>
      <w:r>
        <w:rPr>
          <w:spacing w:val="2"/>
        </w:rPr>
        <w:t xml:space="preserve">de </w:t>
      </w:r>
      <w:r>
        <w:rPr>
          <w:spacing w:val="5"/>
        </w:rPr>
        <w:t>Energia</w:t>
      </w:r>
      <w:r>
        <w:rPr>
          <w:spacing w:val="61"/>
        </w:rPr>
        <w:t xml:space="preserve"> </w:t>
      </w:r>
      <w:r>
        <w:rPr>
          <w:spacing w:val="5"/>
        </w:rPr>
        <w:t xml:space="preserve">Nuclear (CNEN). </w:t>
      </w:r>
      <w:r>
        <w:rPr>
          <w:spacing w:val="2"/>
        </w:rPr>
        <w:t xml:space="preserve">No </w:t>
      </w:r>
      <w:r>
        <w:rPr>
          <w:spacing w:val="5"/>
        </w:rPr>
        <w:t xml:space="preserve">entanto, </w:t>
      </w:r>
      <w:r>
        <w:rPr>
          <w:spacing w:val="3"/>
        </w:rPr>
        <w:t xml:space="preserve">não </w:t>
      </w:r>
      <w:r>
        <w:rPr>
          <w:spacing w:val="5"/>
        </w:rPr>
        <w:t xml:space="preserve">possuía licenciamento </w:t>
      </w:r>
      <w:r>
        <w:t xml:space="preserve">ambiental em virtude de sua construção e de sua entrada em </w:t>
      </w:r>
      <w:r>
        <w:rPr>
          <w:spacing w:val="7"/>
        </w:rPr>
        <w:t>operação terem ocorr</w:t>
      </w:r>
      <w:r>
        <w:rPr>
          <w:spacing w:val="7"/>
        </w:rPr>
        <w:t xml:space="preserve">ido antes </w:t>
      </w:r>
      <w:r>
        <w:rPr>
          <w:spacing w:val="5"/>
        </w:rPr>
        <w:t xml:space="preserve">de </w:t>
      </w:r>
      <w:r>
        <w:t xml:space="preserve">a </w:t>
      </w:r>
      <w:r>
        <w:rPr>
          <w:spacing w:val="7"/>
        </w:rPr>
        <w:t xml:space="preserve">portaria </w:t>
      </w:r>
      <w:r>
        <w:rPr>
          <w:spacing w:val="10"/>
        </w:rPr>
        <w:t xml:space="preserve">Conama </w:t>
      </w:r>
      <w:r>
        <w:rPr>
          <w:spacing w:val="1"/>
        </w:rPr>
        <w:t xml:space="preserve">001/1986 </w:t>
      </w:r>
      <w:r>
        <w:t xml:space="preserve">– que </w:t>
      </w:r>
      <w:r>
        <w:rPr>
          <w:spacing w:val="1"/>
        </w:rPr>
        <w:t xml:space="preserve">estabelece </w:t>
      </w:r>
      <w:r>
        <w:t xml:space="preserve">as </w:t>
      </w:r>
      <w:r>
        <w:rPr>
          <w:spacing w:val="1"/>
        </w:rPr>
        <w:t xml:space="preserve">bases para </w:t>
      </w:r>
      <w:r>
        <w:t xml:space="preserve">o </w:t>
      </w:r>
      <w:r>
        <w:rPr>
          <w:spacing w:val="2"/>
        </w:rPr>
        <w:t xml:space="preserve">licenciamento </w:t>
      </w:r>
      <w:r>
        <w:t>ambiental, de responsabilidade do Instituto Brasileiro do Meio Ambiente e dos Recursos Naturais Renováveis (Ibama) – ter entrado em vigor (CNEN, IBAMA apud FRANKLIN, 200</w:t>
      </w:r>
      <w:r>
        <w:t>7).</w:t>
      </w:r>
    </w:p>
    <w:p w:rsidR="00D81F69" w:rsidRDefault="00330118">
      <w:pPr>
        <w:pStyle w:val="Corpodetexto"/>
        <w:spacing w:before="138" w:line="312" w:lineRule="auto"/>
        <w:ind w:right="124"/>
      </w:pPr>
      <w:r>
        <w:t xml:space="preserve">Desta forma, não foram tomados os devidos cuidados na caracterização mineralógica do material que recobria a mina (capeamento). Este foi removido e depositado nas áreas circunvizinhas aos locais de tratamento de minério. Da mesma forma, os estéreis da </w:t>
      </w:r>
      <w:r>
        <w:t>produção foram armazenados em pilhas denominadas “bota-foras” (FLORES, 2006).</w:t>
      </w:r>
    </w:p>
    <w:p w:rsidR="00D81F69" w:rsidRDefault="00330118">
      <w:pPr>
        <w:pStyle w:val="Corpodetexto"/>
        <w:spacing w:before="135" w:line="312" w:lineRule="auto"/>
        <w:ind w:right="107"/>
      </w:pPr>
      <w:r>
        <w:t>As principais fontes de contaminação provenientes do CIPC são: a bacia de rejeitos, a cava da mina e as pilhas de estéril. O maior problema ambiental associado as suas atividades</w:t>
      </w:r>
      <w:r>
        <w:t xml:space="preserve"> é a drenagem ácida de mina (DAM), causada, basicamente, pela oxidação natural dos sulfetos metálicos (expostos na cava, pilha de estéreis e barragem de rejeitos) em presença de água e oxigênio (SOUZA, 2001; NÓBREGA; LIMA; LEITE, 2008).</w:t>
      </w:r>
    </w:p>
    <w:p w:rsidR="00D81F69" w:rsidRDefault="00330118">
      <w:pPr>
        <w:pStyle w:val="Corpodetexto"/>
        <w:spacing w:before="138" w:line="312" w:lineRule="auto"/>
        <w:ind w:right="106"/>
      </w:pPr>
      <w:r>
        <w:t>Como resultado da D</w:t>
      </w:r>
      <w:r>
        <w:t>AM, há formação de ácido sulfúrico, redução do pH e dissolução de metais pesados associados às matrizes rochosas, com graves impactos ambientais (NÓBREGA; LIMA; LEITE, 2008), como inibição do crescimento de plantas e coberturas vegetais, provocando a erosã</w:t>
      </w:r>
      <w:r>
        <w:t>o do solo e a acidificação de aquíferos (NASCIMENTO, 1998), bem como danos a ecossistemas aquáticos e terrestres, com redução da biodiversidade (KELLY, 1988 apud OLIVEIRA, 2010).</w:t>
      </w:r>
    </w:p>
    <w:p w:rsidR="00D81F69" w:rsidRDefault="00330118">
      <w:pPr>
        <w:pStyle w:val="Corpodetexto"/>
        <w:spacing w:before="138" w:line="312" w:lineRule="auto"/>
        <w:ind w:right="99"/>
      </w:pPr>
      <w:r>
        <w:t>A DAM na Mina Osamu Utsumi é considerada relevante, tanto do ponto de vista a</w:t>
      </w:r>
      <w:r>
        <w:t xml:space="preserve">mbiental, quanto pelos custos envolvidos </w:t>
      </w:r>
      <w:r>
        <w:rPr>
          <w:spacing w:val="1"/>
        </w:rPr>
        <w:t xml:space="preserve">em </w:t>
      </w:r>
      <w:r>
        <w:rPr>
          <w:spacing w:val="2"/>
        </w:rPr>
        <w:t xml:space="preserve">sua </w:t>
      </w:r>
      <w:r>
        <w:rPr>
          <w:spacing w:val="3"/>
        </w:rPr>
        <w:t xml:space="preserve">neutralização (NÓBREGA; LIMA; LEITE, 2008). </w:t>
      </w:r>
      <w:r>
        <w:t xml:space="preserve">O </w:t>
      </w:r>
      <w:r>
        <w:rPr>
          <w:spacing w:val="3"/>
        </w:rPr>
        <w:t xml:space="preserve">tempo </w:t>
      </w:r>
      <w:r>
        <w:rPr>
          <w:spacing w:val="1"/>
        </w:rPr>
        <w:t xml:space="preserve">de </w:t>
      </w:r>
      <w:r>
        <w:rPr>
          <w:spacing w:val="3"/>
        </w:rPr>
        <w:t xml:space="preserve">duração </w:t>
      </w:r>
      <w:r>
        <w:rPr>
          <w:spacing w:val="1"/>
        </w:rPr>
        <w:t xml:space="preserve">da </w:t>
      </w:r>
      <w:r>
        <w:rPr>
          <w:spacing w:val="3"/>
        </w:rPr>
        <w:t xml:space="preserve">drenagem ácida </w:t>
      </w:r>
      <w:r>
        <w:t xml:space="preserve">a </w:t>
      </w:r>
      <w:r>
        <w:rPr>
          <w:spacing w:val="3"/>
        </w:rPr>
        <w:t xml:space="preserve">partir </w:t>
      </w:r>
      <w:r>
        <w:rPr>
          <w:spacing w:val="1"/>
        </w:rPr>
        <w:t xml:space="preserve">da </w:t>
      </w:r>
      <w:r>
        <w:rPr>
          <w:spacing w:val="3"/>
        </w:rPr>
        <w:t xml:space="preserve">pilha </w:t>
      </w:r>
      <w:r>
        <w:rPr>
          <w:spacing w:val="5"/>
        </w:rPr>
        <w:t xml:space="preserve">de </w:t>
      </w:r>
      <w:r>
        <w:rPr>
          <w:spacing w:val="3"/>
        </w:rPr>
        <w:t xml:space="preserve">estéril </w:t>
      </w:r>
      <w:r>
        <w:t xml:space="preserve">e </w:t>
      </w:r>
      <w:r>
        <w:rPr>
          <w:spacing w:val="1"/>
        </w:rPr>
        <w:t xml:space="preserve">da </w:t>
      </w:r>
      <w:r>
        <w:rPr>
          <w:spacing w:val="3"/>
        </w:rPr>
        <w:t xml:space="preserve">bacia </w:t>
      </w:r>
      <w:r>
        <w:rPr>
          <w:spacing w:val="1"/>
        </w:rPr>
        <w:t xml:space="preserve">de </w:t>
      </w:r>
      <w:r>
        <w:rPr>
          <w:spacing w:val="3"/>
        </w:rPr>
        <w:t xml:space="preserve">rejeitos </w:t>
      </w:r>
      <w:r>
        <w:rPr>
          <w:spacing w:val="1"/>
        </w:rPr>
        <w:t xml:space="preserve">da </w:t>
      </w:r>
      <w:r>
        <w:rPr>
          <w:spacing w:val="2"/>
        </w:rPr>
        <w:t xml:space="preserve">mina foi </w:t>
      </w:r>
      <w:r>
        <w:rPr>
          <w:spacing w:val="3"/>
        </w:rPr>
        <w:t xml:space="preserve">estimado </w:t>
      </w:r>
      <w:r>
        <w:rPr>
          <w:spacing w:val="2"/>
        </w:rPr>
        <w:t xml:space="preserve">em, </w:t>
      </w:r>
      <w:r>
        <w:rPr>
          <w:spacing w:val="5"/>
        </w:rPr>
        <w:t xml:space="preserve">no </w:t>
      </w:r>
      <w:r>
        <w:t>mínimo, 600 e 200 anos, respectivamente. O long</w:t>
      </w:r>
      <w:r>
        <w:t xml:space="preserve">o período  </w:t>
      </w:r>
      <w:r>
        <w:rPr>
          <w:spacing w:val="2"/>
        </w:rPr>
        <w:t xml:space="preserve">do </w:t>
      </w:r>
      <w:r>
        <w:rPr>
          <w:spacing w:val="5"/>
        </w:rPr>
        <w:t xml:space="preserve">fenômeno implica, segundo estudiosos, </w:t>
      </w:r>
      <w:r>
        <w:t xml:space="preserve">a </w:t>
      </w:r>
      <w:r>
        <w:rPr>
          <w:spacing w:val="5"/>
        </w:rPr>
        <w:t>adoção de</w:t>
      </w:r>
      <w:r>
        <w:rPr>
          <w:spacing w:val="61"/>
        </w:rPr>
        <w:t xml:space="preserve"> </w:t>
      </w:r>
      <w:r>
        <w:rPr>
          <w:spacing w:val="10"/>
        </w:rPr>
        <w:t xml:space="preserve">medidas permanentes </w:t>
      </w:r>
      <w:r>
        <w:rPr>
          <w:spacing w:val="5"/>
        </w:rPr>
        <w:t xml:space="preserve">de </w:t>
      </w:r>
      <w:r>
        <w:rPr>
          <w:spacing w:val="10"/>
        </w:rPr>
        <w:t xml:space="preserve">remediação </w:t>
      </w:r>
      <w:r>
        <w:rPr>
          <w:spacing w:val="11"/>
        </w:rPr>
        <w:t xml:space="preserve">(FERNANDES; </w:t>
      </w:r>
      <w:r>
        <w:rPr>
          <w:spacing w:val="10"/>
        </w:rPr>
        <w:t xml:space="preserve">FRANKLIN, </w:t>
      </w:r>
      <w:r>
        <w:rPr>
          <w:spacing w:val="8"/>
        </w:rPr>
        <w:t xml:space="preserve">2001 apud </w:t>
      </w:r>
      <w:r>
        <w:rPr>
          <w:spacing w:val="10"/>
        </w:rPr>
        <w:t>FRANKLIN,</w:t>
      </w:r>
      <w:r>
        <w:rPr>
          <w:spacing w:val="40"/>
        </w:rPr>
        <w:t xml:space="preserve"> </w:t>
      </w:r>
      <w:r>
        <w:rPr>
          <w:spacing w:val="11"/>
        </w:rPr>
        <w:t>2007).</w:t>
      </w:r>
    </w:p>
    <w:p w:rsidR="00D81F69" w:rsidRDefault="00330118">
      <w:pPr>
        <w:pStyle w:val="Corpodetexto"/>
        <w:spacing w:before="138" w:line="312" w:lineRule="auto"/>
        <w:ind w:right="101"/>
      </w:pPr>
      <w:r>
        <w:t>Na UTM, os efluentes radioativos gerados pela DAM são tratados por processos químicos com hidróxido e óxido de cálcio (cal hidratada), floculantes, e, depois, conduzidos para bacia de decantação para que ocorra a sedimentação dos metais pesados (NÓBREGA; L</w:t>
      </w:r>
      <w:r>
        <w:t>IMA: LEITE, 2008), antes de serem lançados na represa das Antas, na Sub-bacia Hidrográfica do Ribeirão das Antas (FERRARI, 2010).</w:t>
      </w:r>
    </w:p>
    <w:p w:rsidR="00D81F69" w:rsidRDefault="00330118">
      <w:pPr>
        <w:pStyle w:val="Corpodetexto"/>
        <w:spacing w:before="137"/>
      </w:pPr>
      <w:r>
        <w:t>O descomissionamento e o encerramento total das atividades</w:t>
      </w:r>
    </w:p>
    <w:p w:rsidR="00D81F69" w:rsidRDefault="00330118">
      <w:pPr>
        <w:pStyle w:val="Corpodetexto"/>
        <w:spacing w:before="81" w:line="312" w:lineRule="auto"/>
        <w:ind w:right="213"/>
      </w:pPr>
      <w:r>
        <w:br w:type="column"/>
      </w:r>
      <w:r>
        <w:lastRenderedPageBreak/>
        <w:t xml:space="preserve">são limitados por este passivo ambiental. Para a manutenção dos serviços de coleta e tratamento da drenagem ácida são mantidos na unidade da empresa cerca de 160 funcionários e comprados reagentes necessários para a correção do pH. O destino das pilhas de </w:t>
      </w:r>
      <w:r>
        <w:t>minérios localizadas dentro da área de beneficiamento químico e a descontaminação da área devem fazer parte do plano de fechamento da mina, previsto para ocorrer, definitivamente, em 15 anos (FLORES, 2006).</w:t>
      </w:r>
    </w:p>
    <w:p w:rsidR="00D81F69" w:rsidRDefault="00330118">
      <w:pPr>
        <w:pStyle w:val="Corpodetexto"/>
        <w:spacing w:before="137" w:line="312" w:lineRule="auto"/>
        <w:ind w:right="184"/>
      </w:pPr>
      <w:r>
        <w:t>Mesmo com o encerramento da lavra, existe um moni</w:t>
      </w:r>
      <w:r>
        <w:t xml:space="preserve">toramento frequente da qualidade da água, com: coletas de amostras para testes de pH e análise constante do material particulado, para verificações de radioatividade ou contaminação por </w:t>
      </w:r>
      <w:hyperlink r:id="rId1289">
        <w:r>
          <w:t>chumbo</w:t>
        </w:r>
      </w:hyperlink>
      <w:r>
        <w:t xml:space="preserve"> e urânio. As análises são realizadas em pontos próximos da área da UTM e visam diagnósticos de contaminação de águas superficiais, subterrâneas ou de sedimentos coletados ao longo de cursos de água em bacias de decantação e lago</w:t>
      </w:r>
      <w:r>
        <w:t>s. Também são monitorados solos e peixes (FLORES, 2006; OLIVEIRA, 2010).</w:t>
      </w:r>
    </w:p>
    <w:p w:rsidR="00D81F69" w:rsidRDefault="00330118">
      <w:pPr>
        <w:pStyle w:val="Corpodetexto"/>
        <w:spacing w:before="140" w:line="312" w:lineRule="auto"/>
        <w:ind w:right="195"/>
      </w:pPr>
      <w:r>
        <w:t>Em 2007, numa ação conjunta entre o Ibama, CNEN e Fundação Estadual de Meio Ambiente de MG (Feam-MG), a INB assinou um Termo de Compromisso Ambiental (TCA), no qual se comprometia, de</w:t>
      </w:r>
      <w:r>
        <w:t>ntre outras coisas, a apresentar um Plano de Recuperação de Áreas Degradadas (PRAD), dentro do projeto de descomissionamento da instalação (FRANKIN, 2007).</w:t>
      </w:r>
    </w:p>
    <w:p w:rsidR="00D81F69" w:rsidRDefault="00330118">
      <w:pPr>
        <w:pStyle w:val="Corpodetexto"/>
        <w:spacing w:before="137" w:line="312" w:lineRule="auto"/>
        <w:ind w:right="204"/>
      </w:pPr>
      <w:r>
        <w:t xml:space="preserve">Em 2010, foi criada uma comissão integrada por vereadores </w:t>
      </w:r>
      <w:r>
        <w:rPr>
          <w:spacing w:val="2"/>
        </w:rPr>
        <w:t xml:space="preserve">de </w:t>
      </w:r>
      <w:r>
        <w:rPr>
          <w:spacing w:val="3"/>
        </w:rPr>
        <w:t xml:space="preserve">Poços </w:t>
      </w:r>
      <w:r>
        <w:rPr>
          <w:spacing w:val="2"/>
        </w:rPr>
        <w:t xml:space="preserve">de </w:t>
      </w:r>
      <w:r>
        <w:rPr>
          <w:spacing w:val="5"/>
        </w:rPr>
        <w:t xml:space="preserve">Caldas </w:t>
      </w:r>
      <w:r>
        <w:t xml:space="preserve">e </w:t>
      </w:r>
      <w:r>
        <w:rPr>
          <w:spacing w:val="5"/>
        </w:rPr>
        <w:t xml:space="preserve">representantes </w:t>
      </w:r>
      <w:r>
        <w:rPr>
          <w:spacing w:val="2"/>
        </w:rPr>
        <w:t xml:space="preserve">do </w:t>
      </w:r>
      <w:r>
        <w:rPr>
          <w:spacing w:val="5"/>
        </w:rPr>
        <w:t>Dep</w:t>
      </w:r>
      <w:r>
        <w:rPr>
          <w:spacing w:val="5"/>
        </w:rPr>
        <w:t xml:space="preserve">artamento </w:t>
      </w:r>
      <w:r>
        <w:rPr>
          <w:spacing w:val="8"/>
        </w:rPr>
        <w:t xml:space="preserve">Municipal </w:t>
      </w:r>
      <w:r>
        <w:rPr>
          <w:spacing w:val="5"/>
        </w:rPr>
        <w:t xml:space="preserve">de </w:t>
      </w:r>
      <w:r>
        <w:rPr>
          <w:spacing w:val="7"/>
        </w:rPr>
        <w:t xml:space="preserve">Água </w:t>
      </w:r>
      <w:r>
        <w:t xml:space="preserve">e </w:t>
      </w:r>
      <w:r>
        <w:rPr>
          <w:spacing w:val="8"/>
        </w:rPr>
        <w:t xml:space="preserve">Esgoto, </w:t>
      </w:r>
      <w:r>
        <w:rPr>
          <w:spacing w:val="10"/>
        </w:rPr>
        <w:t xml:space="preserve">Departamento </w:t>
      </w:r>
      <w:r>
        <w:rPr>
          <w:spacing w:val="5"/>
        </w:rPr>
        <w:t xml:space="preserve">de </w:t>
      </w:r>
      <w:r>
        <w:rPr>
          <w:spacing w:val="10"/>
        </w:rPr>
        <w:t xml:space="preserve">Meio </w:t>
      </w:r>
      <w:r>
        <w:t xml:space="preserve">Ambiente, Associação Nacional dos Servidores Municipais de </w:t>
      </w:r>
      <w:r>
        <w:rPr>
          <w:spacing w:val="5"/>
        </w:rPr>
        <w:t xml:space="preserve">Saneamento </w:t>
      </w:r>
      <w:r>
        <w:t xml:space="preserve">e </w:t>
      </w:r>
      <w:r>
        <w:rPr>
          <w:spacing w:val="2"/>
        </w:rPr>
        <w:t xml:space="preserve">do </w:t>
      </w:r>
      <w:r>
        <w:rPr>
          <w:spacing w:val="5"/>
        </w:rPr>
        <w:t xml:space="preserve">Comitê </w:t>
      </w:r>
      <w:r>
        <w:rPr>
          <w:spacing w:val="2"/>
        </w:rPr>
        <w:t xml:space="preserve">de </w:t>
      </w:r>
      <w:r>
        <w:rPr>
          <w:spacing w:val="5"/>
        </w:rPr>
        <w:t xml:space="preserve">Bacias Hidrográficas Mogi- </w:t>
      </w:r>
      <w:r>
        <w:t xml:space="preserve">Pardo, além de especialistas da CNEN e da INB. A comissão </w:t>
      </w:r>
      <w:r>
        <w:rPr>
          <w:spacing w:val="5"/>
        </w:rPr>
        <w:t xml:space="preserve">constatou </w:t>
      </w:r>
      <w:r>
        <w:t xml:space="preserve">a </w:t>
      </w:r>
      <w:r>
        <w:rPr>
          <w:spacing w:val="5"/>
        </w:rPr>
        <w:t xml:space="preserve">ausência </w:t>
      </w:r>
      <w:r>
        <w:rPr>
          <w:spacing w:val="2"/>
        </w:rPr>
        <w:t xml:space="preserve">de </w:t>
      </w:r>
      <w:r>
        <w:rPr>
          <w:spacing w:val="5"/>
        </w:rPr>
        <w:t>rad</w:t>
      </w:r>
      <w:r>
        <w:rPr>
          <w:spacing w:val="5"/>
        </w:rPr>
        <w:t xml:space="preserve">ioatividade </w:t>
      </w:r>
      <w:r>
        <w:rPr>
          <w:spacing w:val="2"/>
        </w:rPr>
        <w:t xml:space="preserve">no </w:t>
      </w:r>
      <w:r>
        <w:rPr>
          <w:spacing w:val="5"/>
        </w:rPr>
        <w:t>Ribeirão das</w:t>
      </w:r>
      <w:r>
        <w:rPr>
          <w:spacing w:val="61"/>
        </w:rPr>
        <w:t xml:space="preserve"> </w:t>
      </w:r>
      <w:r>
        <w:rPr>
          <w:spacing w:val="3"/>
        </w:rPr>
        <w:t xml:space="preserve">Antas. </w:t>
      </w:r>
      <w:r>
        <w:t xml:space="preserve">A </w:t>
      </w:r>
      <w:r>
        <w:rPr>
          <w:spacing w:val="2"/>
        </w:rPr>
        <w:t xml:space="preserve">INB </w:t>
      </w:r>
      <w:r>
        <w:rPr>
          <w:spacing w:val="3"/>
        </w:rPr>
        <w:t xml:space="preserve">ainda mantém estocada </w:t>
      </w:r>
      <w:r>
        <w:rPr>
          <w:spacing w:val="1"/>
        </w:rPr>
        <w:t xml:space="preserve">12 </w:t>
      </w:r>
      <w:r>
        <w:rPr>
          <w:spacing w:val="2"/>
        </w:rPr>
        <w:t xml:space="preserve">mil </w:t>
      </w:r>
      <w:r>
        <w:rPr>
          <w:spacing w:val="3"/>
        </w:rPr>
        <w:t xml:space="preserve">toneladas </w:t>
      </w:r>
      <w:r>
        <w:rPr>
          <w:spacing w:val="5"/>
        </w:rPr>
        <w:t xml:space="preserve">de </w:t>
      </w:r>
      <w:r>
        <w:rPr>
          <w:spacing w:val="3"/>
        </w:rPr>
        <w:t xml:space="preserve">torta </w:t>
      </w:r>
      <w:r>
        <w:rPr>
          <w:spacing w:val="1"/>
        </w:rPr>
        <w:t xml:space="preserve">II na </w:t>
      </w:r>
      <w:r>
        <w:rPr>
          <w:spacing w:val="2"/>
        </w:rPr>
        <w:t xml:space="preserve">área </w:t>
      </w:r>
      <w:r>
        <w:rPr>
          <w:spacing w:val="1"/>
        </w:rPr>
        <w:t xml:space="preserve">do </w:t>
      </w:r>
      <w:r>
        <w:rPr>
          <w:spacing w:val="2"/>
        </w:rPr>
        <w:t xml:space="preserve">CIPC </w:t>
      </w:r>
      <w:r>
        <w:rPr>
          <w:spacing w:val="3"/>
        </w:rPr>
        <w:t>(INB,</w:t>
      </w:r>
      <w:r>
        <w:rPr>
          <w:spacing w:val="2"/>
        </w:rPr>
        <w:t xml:space="preserve"> </w:t>
      </w:r>
      <w:r>
        <w:rPr>
          <w:spacing w:val="5"/>
        </w:rPr>
        <w:t>2012c).</w:t>
      </w:r>
    </w:p>
    <w:p w:rsidR="00D81F69" w:rsidRDefault="00330118">
      <w:pPr>
        <w:pStyle w:val="Corpodetexto"/>
        <w:spacing w:before="138" w:line="312" w:lineRule="auto"/>
        <w:ind w:right="210"/>
      </w:pPr>
      <w:r>
        <w:t>Após o encerramento das atividades com urânio, a INB vem buscando viabilizar o funcionamento da UTM com outros bens minerais. Desde 19</w:t>
      </w:r>
      <w:r>
        <w:t>98, encontra-se em licenciamento a produção de terras raras a partir da monazita. A empresa também pretende processar minérios contendo columbita e zirconita, além de outros concentrados com terras raras (CNEN, 2006).</w:t>
      </w:r>
    </w:p>
    <w:p w:rsidR="00D81F69" w:rsidRDefault="00D81F69">
      <w:pPr>
        <w:pStyle w:val="Corpodetexto"/>
        <w:spacing w:before="6"/>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211"/>
      </w:pPr>
      <w:r>
        <w:t>Situados entre</w:t>
      </w:r>
      <w:r>
        <w:t xml:space="preserve"> as latitude 21°41'38"S – 22°02'02"S e longitudes 46°37'30" W – 46°07'55" W, os municípios de Poços de Caldas e Caldas estão localizados na bacia do rio Pardo que pertence à bacia do rio Paraná.</w:t>
      </w:r>
    </w:p>
    <w:p w:rsidR="00D81F69" w:rsidRDefault="00D81F69">
      <w:pPr>
        <w:pStyle w:val="Corpodetexto"/>
        <w:spacing w:before="1"/>
        <w:ind w:left="0"/>
        <w:jc w:val="left"/>
        <w:rPr>
          <w:sz w:val="29"/>
        </w:rPr>
      </w:pPr>
    </w:p>
    <w:p w:rsidR="00D81F69" w:rsidRDefault="00330118">
      <w:pPr>
        <w:pStyle w:val="Heading7"/>
        <w:spacing w:before="1"/>
      </w:pPr>
      <w:r>
        <w:t>REDATORES</w:t>
      </w:r>
    </w:p>
    <w:p w:rsidR="00D81F69" w:rsidRDefault="00330118">
      <w:pPr>
        <w:pStyle w:val="Corpodetexto"/>
        <w:spacing w:before="178"/>
      </w:pPr>
      <w:r>
        <w:t>Maria de Fátima das Dores dos Santos Lima</w:t>
      </w:r>
    </w:p>
    <w:p w:rsidR="00D81F69" w:rsidRDefault="00D81F69">
      <w:pPr>
        <w:pStyle w:val="Corpodetexto"/>
        <w:ind w:left="0"/>
        <w:jc w:val="left"/>
        <w:rPr>
          <w:sz w:val="20"/>
        </w:rPr>
      </w:pPr>
    </w:p>
    <w:p w:rsidR="00D81F69" w:rsidRDefault="00330118">
      <w:pPr>
        <w:pStyle w:val="Heading7"/>
        <w:spacing w:before="165"/>
      </w:pPr>
      <w:r>
        <w:t>REFERÊNCIAS BIBLIOGRÁFICAS</w:t>
      </w:r>
    </w:p>
    <w:p w:rsidR="00D81F69" w:rsidRDefault="00D81F69">
      <w:pPr>
        <w:sectPr w:rsidR="00D81F69">
          <w:pgSz w:w="11900" w:h="16840"/>
          <w:pgMar w:top="740" w:right="500" w:bottom="720" w:left="620" w:header="0" w:footer="402" w:gutter="0"/>
          <w:cols w:num="2" w:space="720" w:equalWidth="0">
            <w:col w:w="5225" w:space="245"/>
            <w:col w:w="5310"/>
          </w:cols>
        </w:sectPr>
      </w:pPr>
    </w:p>
    <w:p w:rsidR="00D81F69" w:rsidRDefault="00330118">
      <w:pPr>
        <w:spacing w:before="70" w:line="312" w:lineRule="auto"/>
        <w:ind w:left="100" w:right="38"/>
        <w:jc w:val="both"/>
        <w:rPr>
          <w:sz w:val="16"/>
        </w:rPr>
      </w:pPr>
      <w:r>
        <w:rPr>
          <w:spacing w:val="3"/>
          <w:sz w:val="16"/>
        </w:rPr>
        <w:lastRenderedPageBreak/>
        <w:t xml:space="preserve">CIPRIANI, Moacir. Mitigação </w:t>
      </w:r>
      <w:r>
        <w:rPr>
          <w:spacing w:val="2"/>
          <w:sz w:val="16"/>
        </w:rPr>
        <w:t xml:space="preserve">dos </w:t>
      </w:r>
      <w:r>
        <w:rPr>
          <w:spacing w:val="3"/>
          <w:sz w:val="16"/>
        </w:rPr>
        <w:t xml:space="preserve">impactos sociais </w:t>
      </w:r>
      <w:r>
        <w:rPr>
          <w:sz w:val="16"/>
        </w:rPr>
        <w:t xml:space="preserve">e </w:t>
      </w:r>
      <w:r>
        <w:rPr>
          <w:spacing w:val="5"/>
          <w:sz w:val="16"/>
        </w:rPr>
        <w:t xml:space="preserve">ambientais </w:t>
      </w:r>
      <w:r>
        <w:rPr>
          <w:sz w:val="16"/>
        </w:rPr>
        <w:t xml:space="preserve">decorrentes do fechamento definitivo de minas de urânio. 2002. 360f. Tese (Doutorado em Ciências nas Áreas de Administração e Políticas </w:t>
      </w:r>
      <w:r>
        <w:rPr>
          <w:spacing w:val="3"/>
          <w:sz w:val="16"/>
        </w:rPr>
        <w:t xml:space="preserve">de </w:t>
      </w:r>
      <w:r>
        <w:rPr>
          <w:spacing w:val="6"/>
          <w:sz w:val="16"/>
        </w:rPr>
        <w:t xml:space="preserve">Recursos Minerais), Universidade Estadual </w:t>
      </w:r>
      <w:r>
        <w:rPr>
          <w:spacing w:val="3"/>
          <w:sz w:val="16"/>
        </w:rPr>
        <w:t xml:space="preserve">de </w:t>
      </w:r>
      <w:r>
        <w:rPr>
          <w:spacing w:val="7"/>
          <w:sz w:val="16"/>
        </w:rPr>
        <w:t xml:space="preserve">Campinas, </w:t>
      </w:r>
      <w:r>
        <w:rPr>
          <w:spacing w:val="30"/>
          <w:sz w:val="16"/>
        </w:rPr>
        <w:t>Campinas,</w:t>
      </w:r>
      <w:r>
        <w:rPr>
          <w:spacing w:val="105"/>
          <w:sz w:val="16"/>
        </w:rPr>
        <w:t xml:space="preserve"> </w:t>
      </w:r>
      <w:r>
        <w:rPr>
          <w:spacing w:val="22"/>
          <w:sz w:val="16"/>
        </w:rPr>
        <w:t xml:space="preserve">São </w:t>
      </w:r>
      <w:r>
        <w:rPr>
          <w:spacing w:val="28"/>
          <w:sz w:val="16"/>
        </w:rPr>
        <w:t xml:space="preserve">Paulo, </w:t>
      </w:r>
      <w:r>
        <w:rPr>
          <w:spacing w:val="27"/>
          <w:sz w:val="16"/>
        </w:rPr>
        <w:t xml:space="preserve">2002. </w:t>
      </w:r>
      <w:r>
        <w:rPr>
          <w:spacing w:val="30"/>
          <w:sz w:val="16"/>
        </w:rPr>
        <w:t xml:space="preserve">Disponível </w:t>
      </w:r>
      <w:r>
        <w:rPr>
          <w:spacing w:val="22"/>
          <w:sz w:val="16"/>
        </w:rPr>
        <w:t>em:</w:t>
      </w:r>
      <w:r>
        <w:rPr>
          <w:spacing w:val="-9"/>
          <w:sz w:val="16"/>
        </w:rPr>
        <w:t xml:space="preserve"> </w:t>
      </w:r>
    </w:p>
    <w:p w:rsidR="00D81F69" w:rsidRDefault="00D81F69">
      <w:pPr>
        <w:spacing w:before="4" w:line="312" w:lineRule="auto"/>
        <w:ind w:left="100" w:right="83"/>
        <w:jc w:val="both"/>
        <w:rPr>
          <w:sz w:val="16"/>
        </w:rPr>
      </w:pPr>
      <w:hyperlink r:id="rId1290">
        <w:r w:rsidR="00330118">
          <w:rPr>
            <w:sz w:val="16"/>
          </w:rPr>
          <w:t>&lt;http://www.openthesis.org/documents/dos-impactos-sociais-e-</w:t>
        </w:r>
      </w:hyperlink>
      <w:r w:rsidR="00330118">
        <w:rPr>
          <w:sz w:val="16"/>
        </w:rPr>
        <w:t xml:space="preserve"> ambientais-446637</w:t>
      </w:r>
      <w:r w:rsidR="00330118">
        <w:rPr>
          <w:sz w:val="16"/>
        </w:rPr>
        <w:t>.html&gt;. Acesso em: 18 maio 2012.</w:t>
      </w:r>
    </w:p>
    <w:p w:rsidR="00D81F69" w:rsidRDefault="00330118">
      <w:pPr>
        <w:spacing w:before="70" w:line="312" w:lineRule="auto"/>
        <w:ind w:left="100" w:right="159"/>
        <w:rPr>
          <w:sz w:val="16"/>
        </w:rPr>
      </w:pPr>
      <w:r>
        <w:br w:type="column"/>
      </w:r>
      <w:r>
        <w:rPr>
          <w:spacing w:val="1"/>
          <w:sz w:val="16"/>
        </w:rPr>
        <w:lastRenderedPageBreak/>
        <w:t xml:space="preserve">INB, Indústrias Nucleares </w:t>
      </w:r>
      <w:r>
        <w:rPr>
          <w:sz w:val="16"/>
        </w:rPr>
        <w:t xml:space="preserve">do </w:t>
      </w:r>
      <w:r>
        <w:rPr>
          <w:spacing w:val="1"/>
          <w:sz w:val="16"/>
        </w:rPr>
        <w:t xml:space="preserve">Brasil. Urânio </w:t>
      </w:r>
      <w:r>
        <w:rPr>
          <w:sz w:val="16"/>
        </w:rPr>
        <w:t xml:space="preserve">- </w:t>
      </w:r>
      <w:r>
        <w:rPr>
          <w:spacing w:val="1"/>
          <w:sz w:val="16"/>
        </w:rPr>
        <w:t xml:space="preserve">mais energia para </w:t>
      </w:r>
      <w:r>
        <w:rPr>
          <w:sz w:val="16"/>
        </w:rPr>
        <w:t xml:space="preserve">o </w:t>
      </w:r>
      <w:r>
        <w:rPr>
          <w:spacing w:val="20"/>
          <w:sz w:val="16"/>
        </w:rPr>
        <w:t>desenvolvimento</w:t>
      </w:r>
      <w:r>
        <w:rPr>
          <w:spacing w:val="85"/>
          <w:sz w:val="16"/>
        </w:rPr>
        <w:t xml:space="preserve"> </w:t>
      </w:r>
      <w:r>
        <w:rPr>
          <w:spacing w:val="10"/>
          <w:sz w:val="16"/>
        </w:rPr>
        <w:t>do</w:t>
      </w:r>
      <w:r>
        <w:rPr>
          <w:spacing w:val="65"/>
          <w:sz w:val="16"/>
        </w:rPr>
        <w:t xml:space="preserve"> </w:t>
      </w:r>
      <w:r>
        <w:rPr>
          <w:spacing w:val="17"/>
          <w:sz w:val="16"/>
        </w:rPr>
        <w:t xml:space="preserve">país, </w:t>
      </w:r>
      <w:r>
        <w:rPr>
          <w:spacing w:val="16"/>
          <w:sz w:val="16"/>
        </w:rPr>
        <w:t xml:space="preserve">2012 </w:t>
      </w:r>
      <w:r>
        <w:rPr>
          <w:spacing w:val="10"/>
          <w:sz w:val="16"/>
        </w:rPr>
        <w:t>a.</w:t>
      </w:r>
      <w:r>
        <w:rPr>
          <w:spacing w:val="65"/>
          <w:sz w:val="16"/>
        </w:rPr>
        <w:t xml:space="preserve"> </w:t>
      </w:r>
      <w:r>
        <w:rPr>
          <w:spacing w:val="20"/>
          <w:sz w:val="16"/>
        </w:rPr>
        <w:t xml:space="preserve">Disponível </w:t>
      </w:r>
      <w:r>
        <w:rPr>
          <w:spacing w:val="15"/>
          <w:sz w:val="16"/>
        </w:rPr>
        <w:t>em:</w:t>
      </w:r>
      <w:r>
        <w:rPr>
          <w:spacing w:val="-20"/>
          <w:sz w:val="16"/>
        </w:rPr>
        <w:t xml:space="preserve"> </w:t>
      </w:r>
    </w:p>
    <w:p w:rsidR="00D81F69" w:rsidRDefault="00D81F69">
      <w:pPr>
        <w:spacing w:before="1" w:line="312" w:lineRule="auto"/>
        <w:ind w:left="100" w:right="159"/>
        <w:rPr>
          <w:sz w:val="16"/>
        </w:rPr>
      </w:pPr>
      <w:hyperlink r:id="rId1291">
        <w:r w:rsidR="00330118">
          <w:rPr>
            <w:sz w:val="16"/>
          </w:rPr>
          <w:t>&lt;</w:t>
        </w:r>
        <w:r w:rsidR="00330118">
          <w:rPr>
            <w:sz w:val="16"/>
          </w:rPr>
          <w:t xml:space="preserve">http://www.inb.gov.br/pt-br/WebForms/default.aspx&gt;. </w:t>
        </w:r>
      </w:hyperlink>
      <w:r w:rsidR="00330118">
        <w:rPr>
          <w:sz w:val="16"/>
        </w:rPr>
        <w:t>Acesso em: 28 ago. 2012.</w:t>
      </w:r>
    </w:p>
    <w:p w:rsidR="00D81F69" w:rsidRDefault="00330118">
      <w:pPr>
        <w:spacing w:before="2"/>
        <w:ind w:left="100"/>
        <w:rPr>
          <w:sz w:val="16"/>
        </w:rPr>
      </w:pPr>
      <w:r>
        <w:rPr>
          <w:sz w:val="16"/>
        </w:rPr>
        <w:t xml:space="preserve">______. Unidades produtoras, 2012b. Disponível em: </w:t>
      </w:r>
    </w:p>
    <w:p w:rsidR="00D81F69" w:rsidRDefault="00D81F69">
      <w:pPr>
        <w:spacing w:before="56" w:line="312" w:lineRule="auto"/>
        <w:ind w:left="100" w:right="159"/>
        <w:rPr>
          <w:sz w:val="16"/>
        </w:rPr>
      </w:pPr>
      <w:hyperlink r:id="rId1292">
        <w:r w:rsidR="00330118">
          <w:rPr>
            <w:sz w:val="16"/>
          </w:rPr>
          <w:t>&lt;http://www.inb.gov.br/pt-br/WebForms/interna.as</w:t>
        </w:r>
        <w:r w:rsidR="00330118">
          <w:rPr>
            <w:sz w:val="16"/>
          </w:rPr>
          <w:t>px?secao_id=50&gt;.</w:t>
        </w:r>
      </w:hyperlink>
      <w:r w:rsidR="00330118">
        <w:rPr>
          <w:sz w:val="16"/>
        </w:rPr>
        <w:t xml:space="preserve"> Acesso em: 28 ago. 2012.</w:t>
      </w:r>
    </w:p>
    <w:p w:rsidR="00D81F69" w:rsidRDefault="00D81F69">
      <w:pPr>
        <w:spacing w:line="312" w:lineRule="auto"/>
        <w:rPr>
          <w:sz w:val="16"/>
        </w:rPr>
        <w:sectPr w:rsidR="00D81F69">
          <w:pgSz w:w="11900" w:h="16840"/>
          <w:pgMar w:top="740" w:right="500" w:bottom="720" w:left="620" w:header="0" w:footer="402" w:gutter="0"/>
          <w:cols w:num="2" w:space="720" w:equalWidth="0">
            <w:col w:w="5185" w:space="285"/>
            <w:col w:w="5310"/>
          </w:cols>
        </w:sectPr>
      </w:pPr>
    </w:p>
    <w:p w:rsidR="00D81F69" w:rsidRDefault="00330118">
      <w:pPr>
        <w:tabs>
          <w:tab w:val="left" w:pos="5569"/>
          <w:tab w:val="left" w:pos="6114"/>
        </w:tabs>
        <w:spacing w:before="1"/>
        <w:ind w:left="100"/>
        <w:rPr>
          <w:sz w:val="16"/>
        </w:rPr>
      </w:pPr>
      <w:r>
        <w:rPr>
          <w:sz w:val="16"/>
        </w:rPr>
        <w:lastRenderedPageBreak/>
        <w:t>CNEN,</w:t>
      </w:r>
      <w:r>
        <w:rPr>
          <w:spacing w:val="17"/>
          <w:sz w:val="16"/>
        </w:rPr>
        <w:t xml:space="preserve"> </w:t>
      </w:r>
      <w:r>
        <w:rPr>
          <w:sz w:val="16"/>
        </w:rPr>
        <w:t>Comissão</w:t>
      </w:r>
      <w:r>
        <w:rPr>
          <w:spacing w:val="17"/>
          <w:sz w:val="16"/>
        </w:rPr>
        <w:t xml:space="preserve"> </w:t>
      </w:r>
      <w:r>
        <w:rPr>
          <w:sz w:val="16"/>
        </w:rPr>
        <w:t>Nacional</w:t>
      </w:r>
      <w:r>
        <w:rPr>
          <w:spacing w:val="17"/>
          <w:sz w:val="16"/>
        </w:rPr>
        <w:t xml:space="preserve"> </w:t>
      </w:r>
      <w:r>
        <w:rPr>
          <w:sz w:val="16"/>
        </w:rPr>
        <w:t>de</w:t>
      </w:r>
      <w:r>
        <w:rPr>
          <w:spacing w:val="17"/>
          <w:sz w:val="16"/>
        </w:rPr>
        <w:t xml:space="preserve"> </w:t>
      </w:r>
      <w:r>
        <w:rPr>
          <w:sz w:val="16"/>
        </w:rPr>
        <w:t>Energia</w:t>
      </w:r>
      <w:r>
        <w:rPr>
          <w:spacing w:val="17"/>
          <w:sz w:val="16"/>
        </w:rPr>
        <w:t xml:space="preserve"> </w:t>
      </w:r>
      <w:r>
        <w:rPr>
          <w:sz w:val="16"/>
        </w:rPr>
        <w:t>Nuclear.</w:t>
      </w:r>
      <w:r>
        <w:rPr>
          <w:spacing w:val="17"/>
          <w:sz w:val="16"/>
        </w:rPr>
        <w:t xml:space="preserve"> </w:t>
      </w:r>
      <w:r>
        <w:rPr>
          <w:sz w:val="16"/>
        </w:rPr>
        <w:t>INB/UTM</w:t>
      </w:r>
      <w:r>
        <w:rPr>
          <w:spacing w:val="17"/>
          <w:sz w:val="16"/>
        </w:rPr>
        <w:t xml:space="preserve"> </w:t>
      </w:r>
      <w:r>
        <w:rPr>
          <w:sz w:val="16"/>
        </w:rPr>
        <w:t>-</w:t>
      </w:r>
      <w:r>
        <w:rPr>
          <w:spacing w:val="17"/>
          <w:sz w:val="16"/>
        </w:rPr>
        <w:t xml:space="preserve"> </w:t>
      </w:r>
      <w:r>
        <w:rPr>
          <w:sz w:val="16"/>
        </w:rPr>
        <w:t>Unidade</w:t>
      </w:r>
      <w:r>
        <w:rPr>
          <w:sz w:val="16"/>
        </w:rPr>
        <w:tab/>
      </w:r>
      <w:r>
        <w:rPr>
          <w:sz w:val="16"/>
          <w:u w:val="single"/>
        </w:rPr>
        <w:t xml:space="preserve"> </w:t>
      </w:r>
      <w:r>
        <w:rPr>
          <w:sz w:val="16"/>
          <w:u w:val="single"/>
        </w:rPr>
        <w:tab/>
      </w:r>
      <w:r>
        <w:rPr>
          <w:sz w:val="16"/>
        </w:rPr>
        <w:t>.</w:t>
      </w:r>
      <w:r>
        <w:rPr>
          <w:spacing w:val="10"/>
          <w:sz w:val="16"/>
        </w:rPr>
        <w:t xml:space="preserve"> </w:t>
      </w:r>
      <w:r>
        <w:rPr>
          <w:sz w:val="16"/>
        </w:rPr>
        <w:t>Águas</w:t>
      </w:r>
      <w:r>
        <w:rPr>
          <w:spacing w:val="10"/>
          <w:sz w:val="16"/>
        </w:rPr>
        <w:t xml:space="preserve"> </w:t>
      </w:r>
      <w:r>
        <w:rPr>
          <w:sz w:val="16"/>
        </w:rPr>
        <w:t>do</w:t>
      </w:r>
      <w:r>
        <w:rPr>
          <w:spacing w:val="10"/>
          <w:sz w:val="16"/>
        </w:rPr>
        <w:t xml:space="preserve"> </w:t>
      </w:r>
      <w:r>
        <w:rPr>
          <w:sz w:val="16"/>
        </w:rPr>
        <w:t>Ribeirão</w:t>
      </w:r>
      <w:r>
        <w:rPr>
          <w:spacing w:val="10"/>
          <w:sz w:val="16"/>
        </w:rPr>
        <w:t xml:space="preserve"> </w:t>
      </w:r>
      <w:r>
        <w:rPr>
          <w:sz w:val="16"/>
        </w:rPr>
        <w:t>das</w:t>
      </w:r>
      <w:r>
        <w:rPr>
          <w:spacing w:val="10"/>
          <w:sz w:val="16"/>
        </w:rPr>
        <w:t xml:space="preserve"> </w:t>
      </w:r>
      <w:r>
        <w:rPr>
          <w:sz w:val="16"/>
        </w:rPr>
        <w:t>Antas</w:t>
      </w:r>
      <w:r>
        <w:rPr>
          <w:spacing w:val="10"/>
          <w:sz w:val="16"/>
        </w:rPr>
        <w:t xml:space="preserve"> </w:t>
      </w:r>
      <w:r>
        <w:rPr>
          <w:sz w:val="16"/>
        </w:rPr>
        <w:t>estão</w:t>
      </w:r>
      <w:r>
        <w:rPr>
          <w:spacing w:val="10"/>
          <w:sz w:val="16"/>
        </w:rPr>
        <w:t xml:space="preserve"> </w:t>
      </w:r>
      <w:r>
        <w:rPr>
          <w:sz w:val="16"/>
        </w:rPr>
        <w:t>livres</w:t>
      </w:r>
      <w:r>
        <w:rPr>
          <w:spacing w:val="10"/>
          <w:sz w:val="16"/>
        </w:rPr>
        <w:t xml:space="preserve"> </w:t>
      </w:r>
      <w:r>
        <w:rPr>
          <w:sz w:val="16"/>
        </w:rPr>
        <w:t>de</w:t>
      </w:r>
      <w:r>
        <w:rPr>
          <w:spacing w:val="10"/>
          <w:sz w:val="16"/>
        </w:rPr>
        <w:t xml:space="preserve"> </w:t>
      </w:r>
      <w:r>
        <w:rPr>
          <w:sz w:val="16"/>
        </w:rPr>
        <w:t>radioatividade,</w:t>
      </w:r>
    </w:p>
    <w:p w:rsidR="00D81F69" w:rsidRDefault="00D81F69">
      <w:pPr>
        <w:rPr>
          <w:sz w:val="16"/>
        </w:rPr>
        <w:sectPr w:rsidR="00D81F69">
          <w:type w:val="continuous"/>
          <w:pgSz w:w="11900" w:h="16840"/>
          <w:pgMar w:top="720" w:right="500" w:bottom="280" w:left="620" w:header="720" w:footer="720" w:gutter="0"/>
          <w:cols w:space="720"/>
        </w:sectPr>
      </w:pPr>
    </w:p>
    <w:p w:rsidR="00D81F69" w:rsidRDefault="00330118">
      <w:pPr>
        <w:spacing w:before="56"/>
        <w:ind w:left="100"/>
        <w:rPr>
          <w:sz w:val="16"/>
        </w:rPr>
      </w:pPr>
      <w:r>
        <w:rPr>
          <w:sz w:val="16"/>
        </w:rPr>
        <w:lastRenderedPageBreak/>
        <w:t>de Tratamento de Minérios em Caldas – MG, 2</w:t>
      </w:r>
      <w:r>
        <w:rPr>
          <w:sz w:val="16"/>
        </w:rPr>
        <w:t>006. Disponível em:</w:t>
      </w:r>
    </w:p>
    <w:p w:rsidR="00D81F69" w:rsidRDefault="00D81F69">
      <w:pPr>
        <w:spacing w:before="56" w:line="312" w:lineRule="auto"/>
        <w:ind w:left="100" w:right="138"/>
        <w:jc w:val="both"/>
        <w:rPr>
          <w:sz w:val="16"/>
        </w:rPr>
      </w:pPr>
      <w:hyperlink r:id="rId1293">
        <w:r w:rsidR="00330118">
          <w:rPr>
            <w:sz w:val="16"/>
          </w:rPr>
          <w:t xml:space="preserve">&lt;http://www.cnen.gov.br/lapoc/tecnica/licfisc.asp&gt;. </w:t>
        </w:r>
      </w:hyperlink>
      <w:r w:rsidR="00330118">
        <w:rPr>
          <w:sz w:val="16"/>
        </w:rPr>
        <w:t>Acesso em: 28 ago. 2012.</w:t>
      </w:r>
    </w:p>
    <w:p w:rsidR="00D81F69" w:rsidRDefault="00330118">
      <w:pPr>
        <w:spacing w:before="2" w:line="312" w:lineRule="auto"/>
        <w:ind w:left="100" w:right="132"/>
        <w:jc w:val="both"/>
        <w:rPr>
          <w:sz w:val="16"/>
        </w:rPr>
      </w:pPr>
      <w:r>
        <w:rPr>
          <w:sz w:val="16"/>
        </w:rPr>
        <w:t xml:space="preserve">FERRARI, Carla Rolim. Avaliação de efeitos ambientais de efluentes </w:t>
      </w:r>
      <w:r>
        <w:rPr>
          <w:spacing w:val="8"/>
          <w:sz w:val="16"/>
        </w:rPr>
        <w:t xml:space="preserve">radioativos </w:t>
      </w:r>
      <w:r>
        <w:rPr>
          <w:spacing w:val="5"/>
          <w:sz w:val="16"/>
        </w:rPr>
        <w:t xml:space="preserve">de </w:t>
      </w:r>
      <w:r>
        <w:rPr>
          <w:spacing w:val="7"/>
          <w:sz w:val="16"/>
        </w:rPr>
        <w:t xml:space="preserve">mineração </w:t>
      </w:r>
      <w:r>
        <w:rPr>
          <w:spacing w:val="5"/>
          <w:sz w:val="16"/>
        </w:rPr>
        <w:t xml:space="preserve">de </w:t>
      </w:r>
      <w:r>
        <w:rPr>
          <w:spacing w:val="7"/>
          <w:sz w:val="16"/>
        </w:rPr>
        <w:t xml:space="preserve">urânio sobre </w:t>
      </w:r>
      <w:r>
        <w:rPr>
          <w:spacing w:val="5"/>
          <w:sz w:val="16"/>
        </w:rPr>
        <w:t xml:space="preserve">as </w:t>
      </w:r>
      <w:r>
        <w:rPr>
          <w:spacing w:val="10"/>
          <w:sz w:val="16"/>
        </w:rPr>
        <w:t xml:space="preserve">características </w:t>
      </w:r>
      <w:r>
        <w:rPr>
          <w:spacing w:val="1"/>
          <w:sz w:val="16"/>
        </w:rPr>
        <w:t xml:space="preserve">físicas,químicas </w:t>
      </w:r>
      <w:r>
        <w:rPr>
          <w:sz w:val="16"/>
        </w:rPr>
        <w:t xml:space="preserve">e </w:t>
      </w:r>
      <w:r>
        <w:rPr>
          <w:spacing w:val="1"/>
          <w:sz w:val="16"/>
        </w:rPr>
        <w:t xml:space="preserve">diversidade </w:t>
      </w:r>
      <w:r>
        <w:rPr>
          <w:sz w:val="16"/>
        </w:rPr>
        <w:t xml:space="preserve">da </w:t>
      </w:r>
      <w:r>
        <w:rPr>
          <w:spacing w:val="1"/>
          <w:sz w:val="16"/>
        </w:rPr>
        <w:t xml:space="preserve">Comunidade Zooplanctônica </w:t>
      </w:r>
      <w:r>
        <w:rPr>
          <w:spacing w:val="2"/>
          <w:sz w:val="16"/>
        </w:rPr>
        <w:t xml:space="preserve">na </w:t>
      </w:r>
      <w:r>
        <w:rPr>
          <w:sz w:val="16"/>
        </w:rPr>
        <w:t>Unidade de Tratamento de Minérios, Represa das Antas e Represa Bortolan, Poços de Caldas (MG). 2010, 132f. Dissertação (Mestrado em Biotecnologia) – Instituto de Ciências Biomédicas, Universidade de São Paulo, São Paulo,</w:t>
      </w:r>
      <w:r>
        <w:rPr>
          <w:spacing w:val="8"/>
          <w:sz w:val="16"/>
        </w:rPr>
        <w:t xml:space="preserve"> </w:t>
      </w:r>
      <w:r>
        <w:rPr>
          <w:sz w:val="16"/>
        </w:rPr>
        <w:t>2010.</w:t>
      </w:r>
    </w:p>
    <w:p w:rsidR="00D81F69" w:rsidRDefault="00330118">
      <w:pPr>
        <w:spacing w:before="6" w:line="312" w:lineRule="auto"/>
        <w:ind w:left="100" w:right="107"/>
        <w:jc w:val="both"/>
        <w:rPr>
          <w:sz w:val="16"/>
        </w:rPr>
      </w:pPr>
      <w:r>
        <w:rPr>
          <w:spacing w:val="3"/>
          <w:sz w:val="16"/>
        </w:rPr>
        <w:t xml:space="preserve">FLORES, </w:t>
      </w:r>
      <w:r>
        <w:rPr>
          <w:spacing w:val="2"/>
          <w:sz w:val="16"/>
        </w:rPr>
        <w:t xml:space="preserve">José Cruz </w:t>
      </w:r>
      <w:r>
        <w:rPr>
          <w:spacing w:val="1"/>
          <w:sz w:val="16"/>
        </w:rPr>
        <w:t xml:space="preserve">do </w:t>
      </w:r>
      <w:r>
        <w:rPr>
          <w:spacing w:val="3"/>
          <w:sz w:val="16"/>
        </w:rPr>
        <w:t>Carmo. F</w:t>
      </w:r>
      <w:r>
        <w:rPr>
          <w:spacing w:val="3"/>
          <w:sz w:val="16"/>
        </w:rPr>
        <w:t xml:space="preserve">echamento </w:t>
      </w:r>
      <w:r>
        <w:rPr>
          <w:spacing w:val="1"/>
          <w:sz w:val="16"/>
        </w:rPr>
        <w:t xml:space="preserve">de </w:t>
      </w:r>
      <w:r>
        <w:rPr>
          <w:spacing w:val="3"/>
          <w:sz w:val="16"/>
        </w:rPr>
        <w:t xml:space="preserve">mina: </w:t>
      </w:r>
      <w:r>
        <w:rPr>
          <w:spacing w:val="5"/>
          <w:sz w:val="16"/>
        </w:rPr>
        <w:t xml:space="preserve">Aspectos </w:t>
      </w:r>
      <w:r>
        <w:rPr>
          <w:sz w:val="16"/>
        </w:rPr>
        <w:t xml:space="preserve">técnicos, jurídicos e socioambientais. 2006. 309 f. Tese (Doutorado em Ciências) - Instituto de Geociências, Universidade Estadual de </w:t>
      </w:r>
      <w:r>
        <w:rPr>
          <w:spacing w:val="13"/>
          <w:sz w:val="16"/>
        </w:rPr>
        <w:t xml:space="preserve">Campinas, Campinas, </w:t>
      </w:r>
      <w:r>
        <w:rPr>
          <w:spacing w:val="10"/>
          <w:sz w:val="16"/>
        </w:rPr>
        <w:t xml:space="preserve">São </w:t>
      </w:r>
      <w:r>
        <w:rPr>
          <w:spacing w:val="11"/>
          <w:sz w:val="16"/>
        </w:rPr>
        <w:t xml:space="preserve">Paulo 2006. </w:t>
      </w:r>
      <w:r>
        <w:rPr>
          <w:spacing w:val="13"/>
          <w:sz w:val="16"/>
        </w:rPr>
        <w:t>Disponível</w:t>
      </w:r>
      <w:r>
        <w:rPr>
          <w:spacing w:val="1"/>
          <w:sz w:val="16"/>
        </w:rPr>
        <w:t xml:space="preserve"> </w:t>
      </w:r>
      <w:r>
        <w:rPr>
          <w:spacing w:val="10"/>
          <w:sz w:val="16"/>
        </w:rPr>
        <w:t>em:</w:t>
      </w:r>
      <w:r>
        <w:rPr>
          <w:spacing w:val="-28"/>
          <w:sz w:val="16"/>
        </w:rPr>
        <w:t xml:space="preserve"> </w:t>
      </w:r>
    </w:p>
    <w:p w:rsidR="00D81F69" w:rsidRDefault="00D81F69">
      <w:pPr>
        <w:spacing w:before="3" w:line="312" w:lineRule="auto"/>
        <w:ind w:left="100" w:right="141"/>
        <w:jc w:val="both"/>
        <w:rPr>
          <w:sz w:val="16"/>
        </w:rPr>
      </w:pPr>
      <w:hyperlink r:id="rId1294">
        <w:r w:rsidR="00330118">
          <w:rPr>
            <w:sz w:val="16"/>
          </w:rPr>
          <w:t>&lt;http://www.bibliotecadigital.unicamp.br/document/?code=vtls000406</w:t>
        </w:r>
      </w:hyperlink>
      <w:r w:rsidR="00330118">
        <w:rPr>
          <w:sz w:val="16"/>
        </w:rPr>
        <w:t xml:space="preserve"> 634&amp;fd=y&gt;. Acesso em: 18 maio 2012.</w:t>
      </w:r>
    </w:p>
    <w:p w:rsidR="00D81F69" w:rsidRDefault="00330118">
      <w:pPr>
        <w:spacing w:before="2" w:line="312" w:lineRule="auto"/>
        <w:ind w:left="100" w:right="62"/>
        <w:jc w:val="both"/>
        <w:rPr>
          <w:sz w:val="16"/>
        </w:rPr>
      </w:pPr>
      <w:r>
        <w:rPr>
          <w:sz w:val="16"/>
        </w:rPr>
        <w:t xml:space="preserve">FRANKLIN, Mariza Ramalho. Modelagem numérica do escoamento </w:t>
      </w:r>
      <w:r>
        <w:rPr>
          <w:spacing w:val="1"/>
          <w:sz w:val="16"/>
        </w:rPr>
        <w:t xml:space="preserve">hidrológico </w:t>
      </w:r>
      <w:r>
        <w:rPr>
          <w:sz w:val="16"/>
        </w:rPr>
        <w:t xml:space="preserve">e dos </w:t>
      </w:r>
      <w:r>
        <w:rPr>
          <w:spacing w:val="1"/>
          <w:sz w:val="16"/>
        </w:rPr>
        <w:t xml:space="preserve">processos geoquímicos aplicados </w:t>
      </w:r>
      <w:r>
        <w:rPr>
          <w:sz w:val="16"/>
        </w:rPr>
        <w:t xml:space="preserve">à </w:t>
      </w:r>
      <w:r>
        <w:rPr>
          <w:spacing w:val="1"/>
          <w:sz w:val="16"/>
        </w:rPr>
        <w:t>p</w:t>
      </w:r>
      <w:r>
        <w:rPr>
          <w:spacing w:val="1"/>
          <w:sz w:val="16"/>
        </w:rPr>
        <w:t xml:space="preserve">revisão </w:t>
      </w:r>
      <w:r>
        <w:rPr>
          <w:spacing w:val="2"/>
          <w:sz w:val="16"/>
        </w:rPr>
        <w:t xml:space="preserve">da </w:t>
      </w:r>
      <w:r>
        <w:rPr>
          <w:sz w:val="16"/>
        </w:rPr>
        <w:t xml:space="preserve">drenagem ácida em uma pilha de estéril da mina de urânio de Poços </w:t>
      </w:r>
      <w:r>
        <w:rPr>
          <w:spacing w:val="1"/>
          <w:sz w:val="16"/>
        </w:rPr>
        <w:t xml:space="preserve">de </w:t>
      </w:r>
      <w:r>
        <w:rPr>
          <w:spacing w:val="3"/>
          <w:sz w:val="16"/>
        </w:rPr>
        <w:t xml:space="preserve">Caldas </w:t>
      </w:r>
      <w:r>
        <w:rPr>
          <w:sz w:val="16"/>
        </w:rPr>
        <w:t xml:space="preserve">- </w:t>
      </w:r>
      <w:r>
        <w:rPr>
          <w:spacing w:val="2"/>
          <w:sz w:val="16"/>
        </w:rPr>
        <w:t xml:space="preserve">MG. </w:t>
      </w:r>
      <w:r>
        <w:rPr>
          <w:spacing w:val="3"/>
          <w:sz w:val="16"/>
        </w:rPr>
        <w:t xml:space="preserve">2007. </w:t>
      </w:r>
      <w:r>
        <w:rPr>
          <w:spacing w:val="2"/>
          <w:sz w:val="16"/>
        </w:rPr>
        <w:t xml:space="preserve">337 </w:t>
      </w:r>
      <w:r>
        <w:rPr>
          <w:spacing w:val="1"/>
          <w:sz w:val="16"/>
        </w:rPr>
        <w:t xml:space="preserve">f. </w:t>
      </w:r>
      <w:r>
        <w:rPr>
          <w:spacing w:val="2"/>
          <w:sz w:val="16"/>
        </w:rPr>
        <w:t xml:space="preserve">Tese </w:t>
      </w:r>
      <w:r>
        <w:rPr>
          <w:spacing w:val="3"/>
          <w:sz w:val="16"/>
        </w:rPr>
        <w:t xml:space="preserve">(Doutorado </w:t>
      </w:r>
      <w:r>
        <w:rPr>
          <w:spacing w:val="1"/>
          <w:sz w:val="16"/>
        </w:rPr>
        <w:t xml:space="preserve">em </w:t>
      </w:r>
      <w:r>
        <w:rPr>
          <w:spacing w:val="3"/>
          <w:sz w:val="16"/>
        </w:rPr>
        <w:t xml:space="preserve">Ciências </w:t>
      </w:r>
      <w:r>
        <w:rPr>
          <w:spacing w:val="5"/>
          <w:sz w:val="16"/>
        </w:rPr>
        <w:t xml:space="preserve">em </w:t>
      </w:r>
      <w:r>
        <w:rPr>
          <w:sz w:val="16"/>
        </w:rPr>
        <w:t>Engenharia Civil) - Instituto Alberto Luiz Coimbra de Pós-Graduação e Pesquisa de Engenharia, Universidade Federal do R</w:t>
      </w:r>
      <w:r>
        <w:rPr>
          <w:sz w:val="16"/>
        </w:rPr>
        <w:t xml:space="preserve">io de Janeiro, Rio </w:t>
      </w:r>
      <w:r>
        <w:rPr>
          <w:spacing w:val="20"/>
          <w:sz w:val="16"/>
        </w:rPr>
        <w:t>d</w:t>
      </w:r>
      <w:r>
        <w:rPr>
          <w:sz w:val="16"/>
        </w:rPr>
        <w:t xml:space="preserve"> e</w:t>
      </w:r>
      <w:r>
        <w:rPr>
          <w:spacing w:val="25"/>
          <w:sz w:val="16"/>
        </w:rPr>
        <w:t xml:space="preserve"> </w:t>
      </w:r>
      <w:r>
        <w:rPr>
          <w:spacing w:val="20"/>
          <w:sz w:val="16"/>
        </w:rPr>
        <w:t>J</w:t>
      </w:r>
      <w:r>
        <w:rPr>
          <w:sz w:val="16"/>
        </w:rPr>
        <w:t xml:space="preserve"> </w:t>
      </w:r>
      <w:r>
        <w:rPr>
          <w:spacing w:val="20"/>
          <w:sz w:val="16"/>
        </w:rPr>
        <w:t>a</w:t>
      </w:r>
      <w:r>
        <w:rPr>
          <w:sz w:val="16"/>
        </w:rPr>
        <w:t xml:space="preserve"> </w:t>
      </w:r>
      <w:r>
        <w:rPr>
          <w:spacing w:val="20"/>
          <w:sz w:val="16"/>
        </w:rPr>
        <w:t>n</w:t>
      </w:r>
      <w:r>
        <w:rPr>
          <w:sz w:val="16"/>
        </w:rPr>
        <w:t xml:space="preserve"> </w:t>
      </w:r>
      <w:r>
        <w:rPr>
          <w:spacing w:val="20"/>
          <w:sz w:val="16"/>
        </w:rPr>
        <w:t>e</w:t>
      </w:r>
      <w:r>
        <w:rPr>
          <w:sz w:val="16"/>
        </w:rPr>
        <w:t xml:space="preserve"> </w:t>
      </w:r>
      <w:r>
        <w:rPr>
          <w:spacing w:val="20"/>
          <w:sz w:val="16"/>
        </w:rPr>
        <w:t>i</w:t>
      </w:r>
      <w:r>
        <w:rPr>
          <w:sz w:val="16"/>
        </w:rPr>
        <w:t xml:space="preserve"> </w:t>
      </w:r>
      <w:r>
        <w:rPr>
          <w:spacing w:val="20"/>
          <w:sz w:val="16"/>
        </w:rPr>
        <w:t>r</w:t>
      </w:r>
      <w:r>
        <w:rPr>
          <w:sz w:val="16"/>
        </w:rPr>
        <w:t xml:space="preserve"> </w:t>
      </w:r>
      <w:r>
        <w:rPr>
          <w:spacing w:val="20"/>
          <w:sz w:val="16"/>
        </w:rPr>
        <w:t>o</w:t>
      </w:r>
      <w:r>
        <w:rPr>
          <w:sz w:val="16"/>
        </w:rPr>
        <w:t xml:space="preserve"> .</w:t>
      </w:r>
      <w:r>
        <w:rPr>
          <w:spacing w:val="25"/>
          <w:sz w:val="16"/>
        </w:rPr>
        <w:t xml:space="preserve"> </w:t>
      </w:r>
      <w:r>
        <w:rPr>
          <w:spacing w:val="20"/>
          <w:sz w:val="16"/>
        </w:rPr>
        <w:t>2</w:t>
      </w:r>
      <w:r>
        <w:rPr>
          <w:sz w:val="16"/>
        </w:rPr>
        <w:t xml:space="preserve"> </w:t>
      </w:r>
      <w:r>
        <w:rPr>
          <w:spacing w:val="20"/>
          <w:sz w:val="16"/>
        </w:rPr>
        <w:t>0</w:t>
      </w:r>
      <w:r>
        <w:rPr>
          <w:sz w:val="16"/>
        </w:rPr>
        <w:t xml:space="preserve"> </w:t>
      </w:r>
      <w:r>
        <w:rPr>
          <w:spacing w:val="20"/>
          <w:sz w:val="16"/>
        </w:rPr>
        <w:t>0</w:t>
      </w:r>
      <w:r>
        <w:rPr>
          <w:sz w:val="16"/>
        </w:rPr>
        <w:t xml:space="preserve"> </w:t>
      </w:r>
      <w:r>
        <w:rPr>
          <w:spacing w:val="20"/>
          <w:sz w:val="16"/>
        </w:rPr>
        <w:t>7</w:t>
      </w:r>
      <w:r>
        <w:rPr>
          <w:sz w:val="16"/>
        </w:rPr>
        <w:t xml:space="preserve"> .</w:t>
      </w:r>
      <w:r>
        <w:rPr>
          <w:spacing w:val="25"/>
          <w:sz w:val="16"/>
        </w:rPr>
        <w:t xml:space="preserve"> </w:t>
      </w:r>
      <w:r>
        <w:rPr>
          <w:spacing w:val="20"/>
          <w:sz w:val="16"/>
        </w:rPr>
        <w:t>D</w:t>
      </w:r>
      <w:r>
        <w:rPr>
          <w:sz w:val="16"/>
        </w:rPr>
        <w:t xml:space="preserve"> </w:t>
      </w:r>
      <w:r>
        <w:rPr>
          <w:spacing w:val="20"/>
          <w:sz w:val="16"/>
        </w:rPr>
        <w:t>i</w:t>
      </w:r>
      <w:r>
        <w:rPr>
          <w:sz w:val="16"/>
        </w:rPr>
        <w:t xml:space="preserve"> </w:t>
      </w:r>
      <w:r>
        <w:rPr>
          <w:spacing w:val="20"/>
          <w:sz w:val="16"/>
        </w:rPr>
        <w:t>s</w:t>
      </w:r>
      <w:r>
        <w:rPr>
          <w:sz w:val="16"/>
        </w:rPr>
        <w:t xml:space="preserve"> </w:t>
      </w:r>
      <w:r>
        <w:rPr>
          <w:spacing w:val="20"/>
          <w:sz w:val="16"/>
        </w:rPr>
        <w:t>p</w:t>
      </w:r>
      <w:r>
        <w:rPr>
          <w:sz w:val="16"/>
        </w:rPr>
        <w:t xml:space="preserve"> </w:t>
      </w:r>
      <w:r>
        <w:rPr>
          <w:spacing w:val="20"/>
          <w:sz w:val="16"/>
        </w:rPr>
        <w:t>o</w:t>
      </w:r>
      <w:r>
        <w:rPr>
          <w:sz w:val="16"/>
        </w:rPr>
        <w:t xml:space="preserve"> </w:t>
      </w:r>
      <w:r>
        <w:rPr>
          <w:spacing w:val="20"/>
          <w:sz w:val="16"/>
        </w:rPr>
        <w:t>n</w:t>
      </w:r>
      <w:r>
        <w:rPr>
          <w:sz w:val="16"/>
        </w:rPr>
        <w:t xml:space="preserve"> </w:t>
      </w:r>
      <w:r>
        <w:rPr>
          <w:spacing w:val="20"/>
          <w:sz w:val="16"/>
        </w:rPr>
        <w:t>í</w:t>
      </w:r>
      <w:r>
        <w:rPr>
          <w:sz w:val="16"/>
        </w:rPr>
        <w:t xml:space="preserve"> </w:t>
      </w:r>
      <w:r>
        <w:rPr>
          <w:spacing w:val="20"/>
          <w:sz w:val="16"/>
        </w:rPr>
        <w:t>v</w:t>
      </w:r>
      <w:r>
        <w:rPr>
          <w:sz w:val="16"/>
        </w:rPr>
        <w:t xml:space="preserve"> </w:t>
      </w:r>
      <w:r>
        <w:rPr>
          <w:spacing w:val="20"/>
          <w:sz w:val="16"/>
        </w:rPr>
        <w:t>e</w:t>
      </w:r>
      <w:r>
        <w:rPr>
          <w:sz w:val="16"/>
        </w:rPr>
        <w:t xml:space="preserve"> l</w:t>
      </w:r>
      <w:r>
        <w:rPr>
          <w:spacing w:val="25"/>
          <w:sz w:val="16"/>
        </w:rPr>
        <w:t xml:space="preserve"> </w:t>
      </w:r>
      <w:r>
        <w:rPr>
          <w:spacing w:val="20"/>
          <w:sz w:val="16"/>
        </w:rPr>
        <w:t>e</w:t>
      </w:r>
      <w:r>
        <w:rPr>
          <w:sz w:val="16"/>
        </w:rPr>
        <w:t xml:space="preserve"> </w:t>
      </w:r>
      <w:r>
        <w:rPr>
          <w:spacing w:val="20"/>
          <w:sz w:val="16"/>
        </w:rPr>
        <w:t>m</w:t>
      </w:r>
      <w:r>
        <w:rPr>
          <w:sz w:val="16"/>
        </w:rPr>
        <w:t xml:space="preserve"> :</w:t>
      </w:r>
      <w:r>
        <w:rPr>
          <w:spacing w:val="20"/>
          <w:sz w:val="16"/>
        </w:rPr>
        <w:t xml:space="preserve"> </w:t>
      </w:r>
    </w:p>
    <w:p w:rsidR="00D81F69" w:rsidRDefault="00D81F69">
      <w:pPr>
        <w:spacing w:before="5" w:line="312" w:lineRule="auto"/>
        <w:ind w:left="100" w:right="140"/>
        <w:jc w:val="both"/>
        <w:rPr>
          <w:sz w:val="16"/>
        </w:rPr>
      </w:pPr>
      <w:hyperlink r:id="rId1295">
        <w:r w:rsidR="00330118">
          <w:rPr>
            <w:sz w:val="16"/>
          </w:rPr>
          <w:t xml:space="preserve">&lt;http://teses.ufrj.br/COPPE_D/MarizaRamalhoFranklin.pdf&gt;. </w:t>
        </w:r>
      </w:hyperlink>
      <w:r w:rsidR="00330118">
        <w:rPr>
          <w:sz w:val="16"/>
        </w:rPr>
        <w:t>Acesso em: 15 maio 2012.</w:t>
      </w:r>
    </w:p>
    <w:p w:rsidR="00D81F69" w:rsidRDefault="00330118">
      <w:pPr>
        <w:spacing w:before="2"/>
        <w:ind w:left="100"/>
        <w:jc w:val="both"/>
        <w:rPr>
          <w:sz w:val="16"/>
        </w:rPr>
      </w:pPr>
      <w:r>
        <w:rPr>
          <w:sz w:val="16"/>
        </w:rPr>
        <w:t>IBGE, Instituto Brasileiro de Geografia e Estatística. Poços de Caldas</w:t>
      </w:r>
    </w:p>
    <w:p w:rsidR="00D81F69" w:rsidRDefault="00330118">
      <w:pPr>
        <w:spacing w:before="56"/>
        <w:ind w:left="100"/>
        <w:jc w:val="both"/>
        <w:rPr>
          <w:sz w:val="16"/>
        </w:rPr>
      </w:pPr>
      <w:r>
        <w:rPr>
          <w:sz w:val="16"/>
        </w:rPr>
        <w:t xml:space="preserve">( M G ) ,          2 0 1 0 a .          D i s p o n í v e l          e m :  </w:t>
      </w:r>
    </w:p>
    <w:p w:rsidR="00D81F69" w:rsidRDefault="00D81F69">
      <w:pPr>
        <w:spacing w:before="56"/>
        <w:ind w:left="100"/>
        <w:jc w:val="both"/>
        <w:rPr>
          <w:sz w:val="16"/>
        </w:rPr>
      </w:pPr>
      <w:hyperlink r:id="rId1296">
        <w:r w:rsidR="00330118">
          <w:rPr>
            <w:sz w:val="16"/>
          </w:rPr>
          <w:t>&lt;http://www.ibge.gov.</w:t>
        </w:r>
        <w:r w:rsidR="00330118">
          <w:rPr>
            <w:sz w:val="16"/>
          </w:rPr>
          <w:t>br/cidadesat/xtras/perfil.php?codmun=315180&amp;r</w:t>
        </w:r>
      </w:hyperlink>
    </w:p>
    <w:p w:rsidR="00D81F69" w:rsidRDefault="00330118">
      <w:pPr>
        <w:spacing w:before="56"/>
        <w:ind w:left="100"/>
        <w:jc w:val="both"/>
        <w:rPr>
          <w:sz w:val="16"/>
        </w:rPr>
      </w:pPr>
      <w:r>
        <w:rPr>
          <w:sz w:val="16"/>
        </w:rPr>
        <w:t>=2&gt; Acesso em: 27 ago. 2012.</w:t>
      </w:r>
    </w:p>
    <w:p w:rsidR="00D81F69" w:rsidRDefault="00330118">
      <w:pPr>
        <w:spacing w:before="56"/>
        <w:ind w:left="100"/>
        <w:jc w:val="both"/>
        <w:rPr>
          <w:sz w:val="16"/>
        </w:rPr>
      </w:pPr>
      <w:r>
        <w:rPr>
          <w:spacing w:val="26"/>
          <w:sz w:val="16"/>
        </w:rPr>
        <w:t xml:space="preserve">______,   </w:t>
      </w:r>
      <w:r>
        <w:rPr>
          <w:spacing w:val="25"/>
          <w:sz w:val="16"/>
        </w:rPr>
        <w:t xml:space="preserve">Caldas </w:t>
      </w:r>
      <w:r>
        <w:rPr>
          <w:spacing w:val="95"/>
          <w:sz w:val="16"/>
        </w:rPr>
        <w:t xml:space="preserve"> </w:t>
      </w:r>
      <w:r>
        <w:rPr>
          <w:spacing w:val="25"/>
          <w:sz w:val="16"/>
        </w:rPr>
        <w:t xml:space="preserve">(MG),   2010b. </w:t>
      </w:r>
      <w:r>
        <w:rPr>
          <w:spacing w:val="95"/>
          <w:sz w:val="16"/>
        </w:rPr>
        <w:t xml:space="preserve"> </w:t>
      </w:r>
      <w:r>
        <w:rPr>
          <w:spacing w:val="27"/>
          <w:sz w:val="16"/>
        </w:rPr>
        <w:t xml:space="preserve">Disponível </w:t>
      </w:r>
      <w:r>
        <w:rPr>
          <w:spacing w:val="26"/>
          <w:sz w:val="16"/>
        </w:rPr>
        <w:t xml:space="preserve"> </w:t>
      </w:r>
      <w:r>
        <w:rPr>
          <w:spacing w:val="20"/>
          <w:sz w:val="16"/>
        </w:rPr>
        <w:t>em:</w:t>
      </w:r>
      <w:r>
        <w:rPr>
          <w:spacing w:val="-11"/>
          <w:sz w:val="16"/>
        </w:rPr>
        <w:t xml:space="preserve"> </w:t>
      </w:r>
    </w:p>
    <w:p w:rsidR="00D81F69" w:rsidRDefault="00D81F69">
      <w:pPr>
        <w:spacing w:before="56"/>
        <w:ind w:left="100"/>
        <w:jc w:val="both"/>
        <w:rPr>
          <w:sz w:val="16"/>
        </w:rPr>
      </w:pPr>
      <w:hyperlink r:id="rId1297">
        <w:r w:rsidR="00330118">
          <w:rPr>
            <w:sz w:val="16"/>
          </w:rPr>
          <w:t>&lt;http://www.ibge.gov.br/cidadesat/xtras/per</w:t>
        </w:r>
        <w:r w:rsidR="00330118">
          <w:rPr>
            <w:sz w:val="16"/>
          </w:rPr>
          <w:t>fil.php?codmun=311030&amp;r</w:t>
        </w:r>
      </w:hyperlink>
    </w:p>
    <w:p w:rsidR="00D81F69" w:rsidRDefault="00330118">
      <w:pPr>
        <w:spacing w:before="56"/>
        <w:ind w:left="100"/>
        <w:jc w:val="both"/>
        <w:rPr>
          <w:sz w:val="16"/>
        </w:rPr>
      </w:pPr>
      <w:r>
        <w:rPr>
          <w:sz w:val="16"/>
        </w:rPr>
        <w:t>=2&gt;. Acesso em: 27 ago. 2012.</w:t>
      </w:r>
    </w:p>
    <w:p w:rsidR="00D81F69" w:rsidRDefault="00330118">
      <w:pPr>
        <w:spacing w:before="56" w:line="312" w:lineRule="auto"/>
        <w:ind w:left="100" w:right="193"/>
        <w:jc w:val="both"/>
        <w:rPr>
          <w:sz w:val="16"/>
        </w:rPr>
      </w:pPr>
      <w:r>
        <w:br w:type="column"/>
      </w:r>
      <w:r>
        <w:rPr>
          <w:spacing w:val="17"/>
          <w:sz w:val="16"/>
        </w:rPr>
        <w:lastRenderedPageBreak/>
        <w:t xml:space="preserve">2012 </w:t>
      </w:r>
      <w:r>
        <w:rPr>
          <w:spacing w:val="11"/>
          <w:sz w:val="16"/>
        </w:rPr>
        <w:t xml:space="preserve">c. </w:t>
      </w:r>
      <w:r>
        <w:rPr>
          <w:spacing w:val="21"/>
          <w:sz w:val="16"/>
        </w:rPr>
        <w:t xml:space="preserve">Disponível </w:t>
      </w:r>
      <w:r>
        <w:rPr>
          <w:spacing w:val="15"/>
          <w:sz w:val="16"/>
        </w:rPr>
        <w:t>em:</w:t>
      </w:r>
      <w:r>
        <w:rPr>
          <w:spacing w:val="75"/>
          <w:sz w:val="16"/>
        </w:rPr>
        <w:t xml:space="preserve"> </w:t>
      </w:r>
      <w:hyperlink r:id="rId1298">
        <w:r>
          <w:rPr>
            <w:spacing w:val="23"/>
            <w:sz w:val="16"/>
          </w:rPr>
          <w:t xml:space="preserve">&lt;http://www.inb.gov.br/pt- </w:t>
        </w:r>
      </w:hyperlink>
      <w:r>
        <w:rPr>
          <w:spacing w:val="3"/>
          <w:sz w:val="16"/>
        </w:rPr>
        <w:t xml:space="preserve">br/WebForms/interna2.aspx?campo=1959&gt;. Acesso </w:t>
      </w:r>
      <w:r>
        <w:rPr>
          <w:spacing w:val="2"/>
          <w:sz w:val="16"/>
        </w:rPr>
        <w:t xml:space="preserve">em: </w:t>
      </w:r>
      <w:r>
        <w:rPr>
          <w:spacing w:val="1"/>
          <w:sz w:val="16"/>
        </w:rPr>
        <w:t xml:space="preserve">28 </w:t>
      </w:r>
      <w:r>
        <w:rPr>
          <w:spacing w:val="5"/>
          <w:sz w:val="16"/>
        </w:rPr>
        <w:t>ago. 2012.</w:t>
      </w:r>
    </w:p>
    <w:p w:rsidR="00D81F69" w:rsidRDefault="00330118">
      <w:pPr>
        <w:spacing w:before="3" w:line="312" w:lineRule="auto"/>
        <w:ind w:left="100" w:right="192"/>
        <w:jc w:val="both"/>
        <w:rPr>
          <w:sz w:val="16"/>
        </w:rPr>
      </w:pPr>
      <w:r>
        <w:rPr>
          <w:sz w:val="16"/>
        </w:rPr>
        <w:t>NASCIMENTO, M. R. L. Remoção e recuperação de urânio de águas ácidas de mina por resina de troca iônica, 1998. 93f. Dissertação (Mestrado em Química Analítica) – Departamento de Química, Universidade Federal de São Carlos, São Carlos, São Paulo, 1998. Aces</w:t>
      </w:r>
      <w:r>
        <w:rPr>
          <w:sz w:val="16"/>
        </w:rPr>
        <w:t>so em: 18 maio 2012.</w:t>
      </w:r>
    </w:p>
    <w:p w:rsidR="00D81F69" w:rsidRDefault="00330118">
      <w:pPr>
        <w:spacing w:before="4" w:line="312" w:lineRule="auto"/>
        <w:ind w:left="100" w:right="136"/>
        <w:jc w:val="both"/>
        <w:rPr>
          <w:sz w:val="16"/>
        </w:rPr>
      </w:pPr>
      <w:r>
        <w:rPr>
          <w:sz w:val="16"/>
        </w:rPr>
        <w:t xml:space="preserve">NÓBREGA, Flávia Andrade; LIMA, Hernani Mota de; LEITE, Adilson  do </w:t>
      </w:r>
      <w:r>
        <w:rPr>
          <w:spacing w:val="1"/>
          <w:sz w:val="16"/>
        </w:rPr>
        <w:t xml:space="preserve">Lago. Análise </w:t>
      </w:r>
      <w:r>
        <w:rPr>
          <w:sz w:val="16"/>
        </w:rPr>
        <w:t xml:space="preserve">de </w:t>
      </w:r>
      <w:r>
        <w:rPr>
          <w:spacing w:val="1"/>
          <w:sz w:val="16"/>
        </w:rPr>
        <w:t xml:space="preserve">múltiplas variáveis </w:t>
      </w:r>
      <w:r>
        <w:rPr>
          <w:sz w:val="16"/>
        </w:rPr>
        <w:t xml:space="preserve">no </w:t>
      </w:r>
      <w:r>
        <w:rPr>
          <w:spacing w:val="1"/>
          <w:sz w:val="16"/>
        </w:rPr>
        <w:t xml:space="preserve">fechamento </w:t>
      </w:r>
      <w:r>
        <w:rPr>
          <w:sz w:val="16"/>
        </w:rPr>
        <w:t xml:space="preserve">de </w:t>
      </w:r>
      <w:r>
        <w:rPr>
          <w:spacing w:val="1"/>
          <w:sz w:val="16"/>
        </w:rPr>
        <w:t xml:space="preserve">mina </w:t>
      </w:r>
      <w:r>
        <w:rPr>
          <w:sz w:val="16"/>
        </w:rPr>
        <w:t xml:space="preserve">- Estudo de caso da pilha de estéril BF-4, Mina Osamu Utsumi, </w:t>
      </w:r>
      <w:r>
        <w:rPr>
          <w:spacing w:val="1"/>
          <w:sz w:val="16"/>
        </w:rPr>
        <w:t xml:space="preserve">INB </w:t>
      </w:r>
      <w:r>
        <w:rPr>
          <w:sz w:val="16"/>
        </w:rPr>
        <w:t xml:space="preserve">Caldas, Minas Gerais. Rem: Rev. Esc. Minas </w:t>
      </w:r>
      <w:r>
        <w:rPr>
          <w:sz w:val="16"/>
        </w:rPr>
        <w:t xml:space="preserve">v. 61 n. 2 Ouro Preto –   </w:t>
      </w:r>
      <w:r>
        <w:rPr>
          <w:spacing w:val="17"/>
          <w:sz w:val="16"/>
        </w:rPr>
        <w:t>a</w:t>
      </w:r>
      <w:r>
        <w:rPr>
          <w:sz w:val="16"/>
        </w:rPr>
        <w:t xml:space="preserve"> </w:t>
      </w:r>
      <w:r>
        <w:rPr>
          <w:spacing w:val="17"/>
          <w:sz w:val="16"/>
        </w:rPr>
        <w:t>b</w:t>
      </w:r>
      <w:r>
        <w:rPr>
          <w:sz w:val="16"/>
        </w:rPr>
        <w:t xml:space="preserve"> </w:t>
      </w:r>
      <w:r>
        <w:rPr>
          <w:spacing w:val="17"/>
          <w:sz w:val="16"/>
        </w:rPr>
        <w:t>r</w:t>
      </w:r>
      <w:r>
        <w:rPr>
          <w:sz w:val="16"/>
        </w:rPr>
        <w:t xml:space="preserve"> .</w:t>
      </w:r>
      <w:r>
        <w:rPr>
          <w:spacing w:val="22"/>
          <w:sz w:val="16"/>
        </w:rPr>
        <w:t xml:space="preserve"> </w:t>
      </w:r>
      <w:r>
        <w:rPr>
          <w:sz w:val="16"/>
        </w:rPr>
        <w:t>-</w:t>
      </w:r>
      <w:r>
        <w:rPr>
          <w:spacing w:val="22"/>
          <w:sz w:val="16"/>
        </w:rPr>
        <w:t xml:space="preserve"> </w:t>
      </w:r>
      <w:r>
        <w:rPr>
          <w:spacing w:val="17"/>
          <w:sz w:val="16"/>
        </w:rPr>
        <w:t>j</w:t>
      </w:r>
      <w:r>
        <w:rPr>
          <w:sz w:val="16"/>
        </w:rPr>
        <w:t xml:space="preserve"> </w:t>
      </w:r>
      <w:r>
        <w:rPr>
          <w:spacing w:val="17"/>
          <w:sz w:val="16"/>
        </w:rPr>
        <w:t>u</w:t>
      </w:r>
      <w:r>
        <w:rPr>
          <w:sz w:val="16"/>
        </w:rPr>
        <w:t xml:space="preserve"> </w:t>
      </w:r>
      <w:r>
        <w:rPr>
          <w:spacing w:val="17"/>
          <w:sz w:val="16"/>
        </w:rPr>
        <w:t>n</w:t>
      </w:r>
      <w:r>
        <w:rPr>
          <w:sz w:val="16"/>
        </w:rPr>
        <w:t xml:space="preserve"> </w:t>
      </w:r>
      <w:r>
        <w:rPr>
          <w:spacing w:val="17"/>
          <w:sz w:val="16"/>
        </w:rPr>
        <w:t>.</w:t>
      </w:r>
      <w:r>
        <w:rPr>
          <w:sz w:val="16"/>
        </w:rPr>
        <w:t xml:space="preserve"> ,</w:t>
      </w:r>
      <w:r>
        <w:rPr>
          <w:spacing w:val="22"/>
          <w:sz w:val="16"/>
        </w:rPr>
        <w:t xml:space="preserve"> </w:t>
      </w:r>
      <w:r>
        <w:rPr>
          <w:spacing w:val="17"/>
          <w:sz w:val="16"/>
        </w:rPr>
        <w:t>2</w:t>
      </w:r>
      <w:r>
        <w:rPr>
          <w:sz w:val="16"/>
        </w:rPr>
        <w:t xml:space="preserve"> </w:t>
      </w:r>
      <w:r>
        <w:rPr>
          <w:spacing w:val="17"/>
          <w:sz w:val="16"/>
        </w:rPr>
        <w:t>0</w:t>
      </w:r>
      <w:r>
        <w:rPr>
          <w:sz w:val="16"/>
        </w:rPr>
        <w:t xml:space="preserve"> </w:t>
      </w:r>
      <w:r>
        <w:rPr>
          <w:spacing w:val="17"/>
          <w:sz w:val="16"/>
        </w:rPr>
        <w:t>0</w:t>
      </w:r>
      <w:r>
        <w:rPr>
          <w:sz w:val="16"/>
        </w:rPr>
        <w:t xml:space="preserve"> 8</w:t>
      </w:r>
      <w:r>
        <w:rPr>
          <w:spacing w:val="22"/>
          <w:sz w:val="16"/>
        </w:rPr>
        <w:t xml:space="preserve"> </w:t>
      </w:r>
      <w:r>
        <w:rPr>
          <w:spacing w:val="17"/>
          <w:sz w:val="16"/>
        </w:rPr>
        <w:t>D</w:t>
      </w:r>
      <w:r>
        <w:rPr>
          <w:sz w:val="16"/>
        </w:rPr>
        <w:t xml:space="preserve"> </w:t>
      </w:r>
      <w:r>
        <w:rPr>
          <w:spacing w:val="17"/>
          <w:sz w:val="16"/>
        </w:rPr>
        <w:t>i</w:t>
      </w:r>
      <w:r>
        <w:rPr>
          <w:sz w:val="16"/>
        </w:rPr>
        <w:t xml:space="preserve"> </w:t>
      </w:r>
      <w:r>
        <w:rPr>
          <w:spacing w:val="17"/>
          <w:sz w:val="16"/>
        </w:rPr>
        <w:t>s</w:t>
      </w:r>
      <w:r>
        <w:rPr>
          <w:sz w:val="16"/>
        </w:rPr>
        <w:t xml:space="preserve"> </w:t>
      </w:r>
      <w:r>
        <w:rPr>
          <w:spacing w:val="17"/>
          <w:sz w:val="16"/>
        </w:rPr>
        <w:t>p</w:t>
      </w:r>
      <w:r>
        <w:rPr>
          <w:sz w:val="16"/>
        </w:rPr>
        <w:t xml:space="preserve"> </w:t>
      </w:r>
      <w:r>
        <w:rPr>
          <w:spacing w:val="17"/>
          <w:sz w:val="16"/>
        </w:rPr>
        <w:t>o</w:t>
      </w:r>
      <w:r>
        <w:rPr>
          <w:sz w:val="16"/>
        </w:rPr>
        <w:t xml:space="preserve"> </w:t>
      </w:r>
      <w:r>
        <w:rPr>
          <w:spacing w:val="17"/>
          <w:sz w:val="16"/>
        </w:rPr>
        <w:t>n</w:t>
      </w:r>
      <w:r>
        <w:rPr>
          <w:sz w:val="16"/>
        </w:rPr>
        <w:t xml:space="preserve"> </w:t>
      </w:r>
      <w:r>
        <w:rPr>
          <w:spacing w:val="17"/>
          <w:sz w:val="16"/>
        </w:rPr>
        <w:t>í</w:t>
      </w:r>
      <w:r>
        <w:rPr>
          <w:sz w:val="16"/>
        </w:rPr>
        <w:t xml:space="preserve"> </w:t>
      </w:r>
      <w:r>
        <w:rPr>
          <w:spacing w:val="17"/>
          <w:sz w:val="16"/>
        </w:rPr>
        <w:t>v</w:t>
      </w:r>
      <w:r>
        <w:rPr>
          <w:sz w:val="16"/>
        </w:rPr>
        <w:t xml:space="preserve"> </w:t>
      </w:r>
      <w:r>
        <w:rPr>
          <w:spacing w:val="17"/>
          <w:sz w:val="16"/>
        </w:rPr>
        <w:t>e</w:t>
      </w:r>
      <w:r>
        <w:rPr>
          <w:sz w:val="16"/>
        </w:rPr>
        <w:t xml:space="preserve"> l</w:t>
      </w:r>
      <w:r>
        <w:rPr>
          <w:spacing w:val="22"/>
          <w:sz w:val="16"/>
        </w:rPr>
        <w:t xml:space="preserve"> </w:t>
      </w:r>
      <w:r>
        <w:rPr>
          <w:spacing w:val="17"/>
          <w:sz w:val="16"/>
        </w:rPr>
        <w:t>e</w:t>
      </w:r>
      <w:r>
        <w:rPr>
          <w:sz w:val="16"/>
        </w:rPr>
        <w:t xml:space="preserve"> </w:t>
      </w:r>
      <w:r>
        <w:rPr>
          <w:spacing w:val="17"/>
          <w:sz w:val="16"/>
        </w:rPr>
        <w:t>m</w:t>
      </w:r>
      <w:r>
        <w:rPr>
          <w:sz w:val="16"/>
        </w:rPr>
        <w:t xml:space="preserve"> :</w:t>
      </w:r>
      <w:r>
        <w:rPr>
          <w:spacing w:val="18"/>
          <w:sz w:val="16"/>
        </w:rPr>
        <w:t xml:space="preserve"> </w:t>
      </w:r>
    </w:p>
    <w:p w:rsidR="00D81F69" w:rsidRDefault="00D81F69">
      <w:pPr>
        <w:spacing w:before="4" w:line="312" w:lineRule="auto"/>
        <w:ind w:left="100" w:right="215"/>
        <w:jc w:val="both"/>
        <w:rPr>
          <w:sz w:val="16"/>
        </w:rPr>
      </w:pPr>
      <w:hyperlink r:id="rId1299">
        <w:r w:rsidR="00330118">
          <w:rPr>
            <w:sz w:val="16"/>
          </w:rPr>
          <w:t xml:space="preserve">&lt;http://www.scielo.br/pdf/rem/v61n2/a14v61n2.pdf&gt;. </w:t>
        </w:r>
      </w:hyperlink>
      <w:r w:rsidR="00330118">
        <w:rPr>
          <w:sz w:val="16"/>
        </w:rPr>
        <w:t>Acesso em: 29 ago. 2012.</w:t>
      </w:r>
    </w:p>
    <w:p w:rsidR="00D81F69" w:rsidRDefault="00330118">
      <w:pPr>
        <w:tabs>
          <w:tab w:val="left" w:pos="4331"/>
        </w:tabs>
        <w:spacing w:before="2" w:line="312" w:lineRule="auto"/>
        <w:ind w:left="100" w:right="198"/>
        <w:jc w:val="both"/>
        <w:rPr>
          <w:sz w:val="16"/>
        </w:rPr>
      </w:pPr>
      <w:r>
        <w:rPr>
          <w:sz w:val="16"/>
        </w:rPr>
        <w:t>OLIVEIRA, Guilherme Henrique Duart</w:t>
      </w:r>
      <w:r>
        <w:rPr>
          <w:sz w:val="16"/>
        </w:rPr>
        <w:t xml:space="preserve">e de. Redução de sulfato de </w:t>
      </w:r>
      <w:r>
        <w:rPr>
          <w:spacing w:val="3"/>
          <w:sz w:val="16"/>
        </w:rPr>
        <w:t xml:space="preserve">águas </w:t>
      </w:r>
      <w:r>
        <w:rPr>
          <w:spacing w:val="1"/>
          <w:sz w:val="16"/>
        </w:rPr>
        <w:t xml:space="preserve">de </w:t>
      </w:r>
      <w:r>
        <w:rPr>
          <w:spacing w:val="3"/>
          <w:sz w:val="16"/>
        </w:rPr>
        <w:t xml:space="preserve">drenagem ácida </w:t>
      </w:r>
      <w:r>
        <w:rPr>
          <w:spacing w:val="1"/>
          <w:sz w:val="16"/>
        </w:rPr>
        <w:t xml:space="preserve">de </w:t>
      </w:r>
      <w:r>
        <w:rPr>
          <w:spacing w:val="3"/>
          <w:sz w:val="16"/>
        </w:rPr>
        <w:t xml:space="preserve">minas </w:t>
      </w:r>
      <w:r>
        <w:rPr>
          <w:spacing w:val="1"/>
          <w:sz w:val="16"/>
        </w:rPr>
        <w:t xml:space="preserve">em </w:t>
      </w:r>
      <w:r>
        <w:rPr>
          <w:spacing w:val="3"/>
          <w:sz w:val="16"/>
        </w:rPr>
        <w:t xml:space="preserve">reator </w:t>
      </w:r>
      <w:r>
        <w:rPr>
          <w:spacing w:val="1"/>
          <w:sz w:val="16"/>
        </w:rPr>
        <w:t xml:space="preserve">de </w:t>
      </w:r>
      <w:r>
        <w:rPr>
          <w:spacing w:val="3"/>
          <w:sz w:val="16"/>
        </w:rPr>
        <w:t xml:space="preserve">manta </w:t>
      </w:r>
      <w:r>
        <w:rPr>
          <w:spacing w:val="1"/>
          <w:sz w:val="16"/>
        </w:rPr>
        <w:t xml:space="preserve">de </w:t>
      </w:r>
      <w:r>
        <w:rPr>
          <w:spacing w:val="5"/>
          <w:sz w:val="16"/>
        </w:rPr>
        <w:t xml:space="preserve">lodo </w:t>
      </w:r>
      <w:r>
        <w:rPr>
          <w:sz w:val="16"/>
        </w:rPr>
        <w:t xml:space="preserve">(UASB). Monografia (Graduação em Engenharia Ambiental), Escola de Engenharia de São Paulo, USP-SP, São Carlos, São Paulo, 2010.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4" w:line="312" w:lineRule="auto"/>
        <w:ind w:left="100" w:right="198"/>
        <w:jc w:val="both"/>
        <w:rPr>
          <w:sz w:val="16"/>
        </w:rPr>
      </w:pPr>
      <w:hyperlink r:id="rId1300">
        <w:r w:rsidR="00330118">
          <w:rPr>
            <w:sz w:val="16"/>
          </w:rPr>
          <w:t>&lt;www.tcc.sc.usp.br/.../Oliveira_Guilherme_Henrique_Duarte_de.pdf&gt;.</w:t>
        </w:r>
      </w:hyperlink>
      <w:r w:rsidR="00330118">
        <w:rPr>
          <w:sz w:val="16"/>
        </w:rPr>
        <w:t xml:space="preserve"> Acesso em: 28 ago. 2012.</w:t>
      </w:r>
    </w:p>
    <w:p w:rsidR="00D81F69" w:rsidRDefault="00330118">
      <w:pPr>
        <w:spacing w:before="1" w:line="312" w:lineRule="auto"/>
        <w:ind w:left="100" w:right="176"/>
        <w:jc w:val="both"/>
        <w:rPr>
          <w:sz w:val="16"/>
        </w:rPr>
      </w:pPr>
      <w:r>
        <w:rPr>
          <w:sz w:val="16"/>
        </w:rPr>
        <w:t>PRADO, Geórgia Reis. Estudo de contaminação ambiental por urânio no município de Caetité-Ba, utilizando dentes humanos como bioindicadore</w:t>
      </w:r>
      <w:r>
        <w:rPr>
          <w:sz w:val="16"/>
        </w:rPr>
        <w:t xml:space="preserve">s. 2007 182f. Dissertação (Mestrado em Desenvolvimento Regional e Meio Ambiente), Universidade Estadual de Santa Cruz, Ilhéus, Bahia, 2007. Disponível em: </w:t>
      </w:r>
    </w:p>
    <w:p w:rsidR="00D81F69" w:rsidRDefault="00D81F69">
      <w:pPr>
        <w:spacing w:before="5" w:line="312" w:lineRule="auto"/>
        <w:ind w:left="100" w:right="216"/>
        <w:jc w:val="both"/>
        <w:rPr>
          <w:sz w:val="16"/>
        </w:rPr>
      </w:pPr>
      <w:hyperlink r:id="rId1301">
        <w:r w:rsidR="00330118">
          <w:rPr>
            <w:sz w:val="16"/>
          </w:rPr>
          <w:t>&lt;http://www.uesc.br</w:t>
        </w:r>
        <w:r w:rsidR="00330118">
          <w:rPr>
            <w:sz w:val="16"/>
          </w:rPr>
          <w:t>/cursos/pos_graduacao/mestrado/mdrma/disserta</w:t>
        </w:r>
      </w:hyperlink>
      <w:r w:rsidR="00330118">
        <w:rPr>
          <w:sz w:val="16"/>
        </w:rPr>
        <w:t xml:space="preserve"> coes/georgiareisprado.rtf&gt;. Acesso em: 22 mar. 2010.</w:t>
      </w:r>
    </w:p>
    <w:p w:rsidR="00D81F69" w:rsidRDefault="00D81F69">
      <w:pPr>
        <w:spacing w:line="312" w:lineRule="auto"/>
        <w:jc w:val="both"/>
        <w:rPr>
          <w:sz w:val="16"/>
        </w:rPr>
        <w:sectPr w:rsidR="00D81F69">
          <w:type w:val="continuous"/>
          <w:pgSz w:w="11900" w:h="16840"/>
          <w:pgMar w:top="720" w:right="500" w:bottom="280" w:left="620" w:header="720" w:footer="720" w:gutter="0"/>
          <w:cols w:num="2" w:space="720" w:equalWidth="0">
            <w:col w:w="5236" w:space="234"/>
            <w:col w:w="5310"/>
          </w:cols>
        </w:sectPr>
      </w:pPr>
    </w:p>
    <w:p w:rsidR="00D81F69" w:rsidRDefault="00330118">
      <w:pPr>
        <w:pStyle w:val="Heading1"/>
        <w:spacing w:line="208" w:lineRule="auto"/>
      </w:pPr>
      <w:r>
        <w:lastRenderedPageBreak/>
        <w:t>Exploração de minérios em Araxá (MG) e Tapira (MG) afetam meio ambiente</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7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106"/>
        <w:rPr>
          <w:i/>
          <w:sz w:val="14"/>
        </w:rPr>
      </w:pPr>
      <w:r>
        <w:rPr>
          <w:i/>
          <w:sz w:val="14"/>
        </w:rPr>
        <w:t>MG - Araxá MG - Tapira</w:t>
      </w:r>
    </w:p>
    <w:p w:rsidR="00D81F69" w:rsidRDefault="00D81F69">
      <w:pPr>
        <w:pStyle w:val="Corpodetexto"/>
        <w:spacing w:before="4"/>
        <w:ind w:left="0"/>
        <w:jc w:val="left"/>
        <w:rPr>
          <w:i/>
        </w:rPr>
      </w:pPr>
    </w:p>
    <w:p w:rsidR="00D81F69" w:rsidRDefault="00330118">
      <w:pPr>
        <w:spacing w:before="1"/>
        <w:ind w:left="135"/>
        <w:rPr>
          <w:i/>
          <w:sz w:val="14"/>
        </w:rPr>
      </w:pPr>
      <w:r>
        <w:rPr>
          <w:i/>
          <w:sz w:val="14"/>
        </w:rPr>
        <w:t>LATITUDE</w:t>
      </w:r>
    </w:p>
    <w:p w:rsidR="00D81F69" w:rsidRDefault="00330118">
      <w:pPr>
        <w:spacing w:before="49"/>
        <w:ind w:left="135"/>
        <w:rPr>
          <w:i/>
          <w:sz w:val="14"/>
        </w:rPr>
      </w:pPr>
      <w:r>
        <w:rPr>
          <w:i/>
          <w:sz w:val="14"/>
        </w:rPr>
        <w:t>-19,5908</w:t>
      </w:r>
    </w:p>
    <w:p w:rsidR="00D81F69" w:rsidRDefault="00D81F69">
      <w:pPr>
        <w:pStyle w:val="Corpodetexto"/>
        <w:spacing w:before="5"/>
        <w:ind w:left="0"/>
        <w:jc w:val="left"/>
        <w:rPr>
          <w:i/>
          <w:sz w:val="22"/>
        </w:rPr>
      </w:pPr>
    </w:p>
    <w:p w:rsidR="00D81F69" w:rsidRDefault="00330118">
      <w:pPr>
        <w:spacing w:before="1"/>
        <w:ind w:left="135"/>
        <w:rPr>
          <w:i/>
          <w:sz w:val="14"/>
        </w:rPr>
      </w:pPr>
      <w:r>
        <w:rPr>
          <w:i/>
          <w:sz w:val="14"/>
        </w:rPr>
        <w:t>LONGITUDE</w:t>
      </w:r>
    </w:p>
    <w:p w:rsidR="00D81F69" w:rsidRDefault="00330118">
      <w:pPr>
        <w:spacing w:before="49"/>
        <w:ind w:left="135"/>
        <w:rPr>
          <w:i/>
          <w:sz w:val="14"/>
        </w:rPr>
      </w:pPr>
      <w:r>
        <w:rPr>
          <w:i/>
          <w:sz w:val="14"/>
        </w:rPr>
        <w:t>-46,9083</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8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Araxá possui mineralizações de apatita e </w:t>
      </w:r>
      <w:r>
        <w:rPr>
          <w:i/>
          <w:sz w:val="16"/>
        </w:rPr>
        <w:t xml:space="preserve">pirocloro no Complexo Alcalino do Barreiro. Na região são relatados impactos socioambientais, como poluição atmosférica, contaminação das águas superficiais, aquíferos, e danos à saúde da população. Já em Tapira, a alta dependência do município em relação </w:t>
      </w:r>
      <w:r>
        <w:rPr>
          <w:i/>
          <w:sz w:val="16"/>
        </w:rPr>
        <w:t xml:space="preserve">à extração do fosfato, responsável direto por 50% do PIB municipal, vem preocupando a comunidade, pesquisadores e autoridades. </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8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92"/>
      </w:pPr>
      <w:r>
        <w:t>1950. De importância estratégica, a mina de Araxá é uma das três existentes no mundo e produz três quintos do nióbio consumido no planeta, com reservas para mais 400 anos de exploração (PINTO et al., 2011). Em 1965, foi fundada a Distribuidora e Exportador</w:t>
      </w:r>
      <w:r>
        <w:t>a de Minérios e Adubos (Dema), que anos mais tarde se tornou a CBMM, atualmente uma empresa 100% brasileira (ROCHA, 2008). Com capacidade instalada de 90 mil toneladas anuais de nióbio, a CBMM é detentora de 100% do mercado nacional (DCI, 2009).</w:t>
      </w:r>
    </w:p>
    <w:p w:rsidR="00D81F69" w:rsidRDefault="00330118">
      <w:pPr>
        <w:pStyle w:val="Corpodetexto"/>
        <w:spacing w:before="138" w:line="312" w:lineRule="auto"/>
        <w:ind w:left="135" w:right="193"/>
      </w:pPr>
      <w:r>
        <w:t>O uso indu</w:t>
      </w:r>
      <w:r>
        <w:t>strial principal do nióbio é como elemento de liga para melhorar alguns produtos feitos de aço, sobretudo aços usados na fabricação de automóveis e tubulações para a transmissão de  gás  sob  alta pressão (PINTO et  al.,  2011).</w:t>
      </w:r>
    </w:p>
    <w:p w:rsidR="00D81F69" w:rsidRDefault="00330118">
      <w:pPr>
        <w:pStyle w:val="Corpodetexto"/>
        <w:spacing w:before="134" w:line="142" w:lineRule="exact"/>
        <w:ind w:left="135"/>
      </w:pPr>
      <w:r>
        <w:t>O estado de Minas Gerais, p</w:t>
      </w:r>
      <w:r>
        <w:t>or meio da Companhia de</w:t>
      </w:r>
    </w:p>
    <w:p w:rsidR="00D81F69" w:rsidRDefault="00D81F69">
      <w:pPr>
        <w:spacing w:line="142" w:lineRule="exact"/>
        <w:sectPr w:rsidR="00D81F69">
          <w:type w:val="continuous"/>
          <w:pgSz w:w="11900" w:h="16840"/>
          <w:pgMar w:top="720" w:right="500" w:bottom="280" w:left="620" w:header="720" w:footer="720" w:gutter="0"/>
          <w:cols w:num="3" w:space="720" w:equalWidth="0">
            <w:col w:w="1008" w:space="992"/>
            <w:col w:w="3132" w:space="303"/>
            <w:col w:w="5345"/>
          </w:cols>
        </w:sectPr>
      </w:pPr>
    </w:p>
    <w:p w:rsidR="00D81F69" w:rsidRDefault="00330118">
      <w:pPr>
        <w:pStyle w:val="Heading4"/>
        <w:spacing w:line="268" w:lineRule="exact"/>
      </w:pPr>
      <w:r>
        <w:lastRenderedPageBreak/>
        <w:t>APRESENTAÇÃO DE CASO</w:t>
      </w:r>
    </w:p>
    <w:p w:rsidR="00D81F69" w:rsidRDefault="00330118">
      <w:pPr>
        <w:pStyle w:val="Corpodetexto"/>
        <w:spacing w:before="170" w:line="312" w:lineRule="auto"/>
        <w:ind w:right="76"/>
      </w:pPr>
      <w:r>
        <w:t>O município mineiro de Araxá, a 340 km de Belo Horizonte, é uma estância hidromineral do Circuito das Águas de Minas Gerais (MANCINI; BONOTTO, 2004; SCHNELLRATH, 2002;</w:t>
      </w:r>
    </w:p>
    <w:p w:rsidR="00D81F69" w:rsidRDefault="00330118">
      <w:pPr>
        <w:pStyle w:val="Corpodetexto"/>
        <w:spacing w:before="3" w:line="312" w:lineRule="auto"/>
        <w:ind w:right="90"/>
      </w:pPr>
      <w:r>
        <w:t>ROCHA, 2008</w:t>
      </w:r>
      <w:r>
        <w:t xml:space="preserve">). O município possui mineralizações de apatita (utilizada na produção de fosfato e fertilizantes) e de pirocloro (fonte de nióbio e tântalo), localizadas no Complexo Alcalino </w:t>
      </w:r>
      <w:hyperlink r:id="rId1302">
        <w:r>
          <w:t xml:space="preserve">do Barreiro. Além disso, urânio </w:t>
        </w:r>
      </w:hyperlink>
      <w:r>
        <w:t xml:space="preserve">e tório aparecem na região em </w:t>
      </w:r>
      <w:r>
        <w:rPr>
          <w:spacing w:val="5"/>
        </w:rPr>
        <w:t xml:space="preserve">minerais secundários, sujeitos </w:t>
      </w:r>
      <w:r>
        <w:t xml:space="preserve">a </w:t>
      </w:r>
      <w:r>
        <w:rPr>
          <w:spacing w:val="5"/>
        </w:rPr>
        <w:t>processos intempéricos</w:t>
      </w:r>
      <w:r>
        <w:rPr>
          <w:spacing w:val="61"/>
        </w:rPr>
        <w:t xml:space="preserve"> </w:t>
      </w:r>
      <w:r>
        <w:rPr>
          <w:spacing w:val="5"/>
        </w:rPr>
        <w:t>(MANCINI; BONOTTO, 2004).</w:t>
      </w:r>
    </w:p>
    <w:p w:rsidR="00D81F69" w:rsidRDefault="00330118">
      <w:pPr>
        <w:pStyle w:val="Corpodetexto"/>
        <w:spacing w:before="135" w:line="312" w:lineRule="auto"/>
        <w:ind w:right="68"/>
      </w:pPr>
      <w:r>
        <w:t>A mineraçao em Araxá se dá em duas frentes: a extração do fosfato (apatita), realizada pela Vale Fert</w:t>
      </w:r>
      <w:r>
        <w:t xml:space="preserve">ilizantes S.A., e a do nióbio, pela Companhia Brasileira de Metalurgia e Mineração </w:t>
      </w:r>
      <w:r>
        <w:rPr>
          <w:spacing w:val="5"/>
        </w:rPr>
        <w:t xml:space="preserve">(CBMM). </w:t>
      </w:r>
      <w:r>
        <w:t xml:space="preserve">O </w:t>
      </w:r>
      <w:r>
        <w:rPr>
          <w:spacing w:val="5"/>
        </w:rPr>
        <w:t xml:space="preserve">Complexo Alcalino </w:t>
      </w:r>
      <w:r>
        <w:rPr>
          <w:spacing w:val="2"/>
        </w:rPr>
        <w:t xml:space="preserve">do </w:t>
      </w:r>
      <w:r>
        <w:rPr>
          <w:spacing w:val="5"/>
        </w:rPr>
        <w:t xml:space="preserve">Barreiro </w:t>
      </w:r>
      <w:r>
        <w:t xml:space="preserve">é </w:t>
      </w:r>
      <w:r>
        <w:rPr>
          <w:spacing w:val="2"/>
        </w:rPr>
        <w:t xml:space="preserve">um </w:t>
      </w:r>
      <w:r>
        <w:rPr>
          <w:spacing w:val="5"/>
        </w:rPr>
        <w:t xml:space="preserve">grande </w:t>
      </w:r>
      <w:r>
        <w:t xml:space="preserve">conjunto de formações geológicas com mais de 8 milhões de anos e forte presença de apatita e nióbio, localizado a 6 km  </w:t>
      </w:r>
      <w:r>
        <w:rPr>
          <w:spacing w:val="3"/>
        </w:rPr>
        <w:t>d</w:t>
      </w:r>
      <w:r>
        <w:rPr>
          <w:spacing w:val="3"/>
        </w:rPr>
        <w:t xml:space="preserve">o </w:t>
      </w:r>
      <w:r>
        <w:rPr>
          <w:spacing w:val="5"/>
        </w:rPr>
        <w:t xml:space="preserve">centro urbano </w:t>
      </w:r>
      <w:r>
        <w:rPr>
          <w:spacing w:val="3"/>
        </w:rPr>
        <w:t xml:space="preserve">de </w:t>
      </w:r>
      <w:r>
        <w:rPr>
          <w:spacing w:val="5"/>
        </w:rPr>
        <w:t xml:space="preserve">Araxá </w:t>
      </w:r>
      <w:r>
        <w:rPr>
          <w:spacing w:val="6"/>
        </w:rPr>
        <w:t xml:space="preserve">(TORRES; </w:t>
      </w:r>
      <w:r>
        <w:rPr>
          <w:spacing w:val="5"/>
        </w:rPr>
        <w:t xml:space="preserve">GASPAR, </w:t>
      </w:r>
      <w:r>
        <w:rPr>
          <w:spacing w:val="7"/>
        </w:rPr>
        <w:t xml:space="preserve">1995; </w:t>
      </w:r>
      <w:r>
        <w:rPr>
          <w:spacing w:val="5"/>
        </w:rPr>
        <w:t xml:space="preserve">PINTO </w:t>
      </w:r>
      <w:r>
        <w:rPr>
          <w:spacing w:val="3"/>
        </w:rPr>
        <w:t xml:space="preserve">et </w:t>
      </w:r>
      <w:r>
        <w:rPr>
          <w:spacing w:val="5"/>
        </w:rPr>
        <w:t>al.,</w:t>
      </w:r>
      <w:r>
        <w:rPr>
          <w:spacing w:val="10"/>
        </w:rPr>
        <w:t xml:space="preserve"> </w:t>
      </w:r>
      <w:r>
        <w:rPr>
          <w:spacing w:val="7"/>
        </w:rPr>
        <w:t>2011).</w:t>
      </w:r>
    </w:p>
    <w:p w:rsidR="00D81F69" w:rsidRDefault="00330118">
      <w:pPr>
        <w:pStyle w:val="Corpodetexto"/>
        <w:spacing w:before="138" w:line="312" w:lineRule="auto"/>
        <w:jc w:val="left"/>
      </w:pPr>
      <w:r>
        <w:t>Com 93.672 habitantes e 1.164, 358 km² (IBGE, 2010a), Araxá está inserida no Bioma Cerrado, na Macrorregião do Alto Paranaíba, na Bacia do Rio Araguari, e na Microrregião de Araxá (ARAFÉR</w:t>
      </w:r>
      <w:r>
        <w:t>TIL, 1997 apud ROCHA, 2006). Em 1944, o</w:t>
      </w:r>
    </w:p>
    <w:p w:rsidR="00D81F69" w:rsidRDefault="00330118">
      <w:pPr>
        <w:pStyle w:val="Corpodetexto"/>
        <w:spacing w:before="3" w:line="312" w:lineRule="auto"/>
        <w:ind w:right="94"/>
      </w:pPr>
      <w:r>
        <w:t>então presidente Getúlio Vargas inaugurou solenemente o balneário hidrotermal do Barreiro e o imponente Grande Hotel de Araxá. A cidade rapidamente tornou-se um polo turístico famoso e muito visitado pelas suas águas</w:t>
      </w:r>
      <w:r>
        <w:t xml:space="preserve"> termais e sofisticada estrutura hoteleira (PINTO et al., 2011).</w:t>
      </w:r>
    </w:p>
    <w:p w:rsidR="00D81F69" w:rsidRDefault="00330118">
      <w:pPr>
        <w:pStyle w:val="Corpodetexto"/>
        <w:spacing w:before="135" w:line="312" w:lineRule="auto"/>
        <w:ind w:right="83"/>
      </w:pPr>
      <w:r>
        <w:t>Paralelamente, ocorreram estudos e levantamentos geológicos para identificação do potencial econômico dos minérios encontrados no Barreiro, cuja exploração econômica teve início a partir da d</w:t>
      </w:r>
      <w:r>
        <w:t>écada de 1950, através do governo do estado de Minas Gerais (ROCHA, 2008).</w:t>
      </w:r>
    </w:p>
    <w:p w:rsidR="00D81F69" w:rsidRDefault="00330118">
      <w:pPr>
        <w:pStyle w:val="Corpodetexto"/>
        <w:spacing w:before="135"/>
      </w:pPr>
      <w:r>
        <w:t>A descoberta do nióbio em Minas Gerais ocorreu nos anos</w:t>
      </w:r>
    </w:p>
    <w:p w:rsidR="00D81F69" w:rsidRDefault="00330118">
      <w:pPr>
        <w:pStyle w:val="Corpodetexto"/>
        <w:spacing w:before="128" w:line="312" w:lineRule="auto"/>
        <w:ind w:right="191"/>
      </w:pPr>
      <w:r>
        <w:br w:type="column"/>
      </w:r>
      <w:r>
        <w:lastRenderedPageBreak/>
        <w:t xml:space="preserve">Desenvolvimento Econômico de Minas Gerias (Codemig), é o </w:t>
      </w:r>
      <w:r>
        <w:rPr>
          <w:spacing w:val="7"/>
        </w:rPr>
        <w:t xml:space="preserve">detentor </w:t>
      </w:r>
      <w:r>
        <w:rPr>
          <w:spacing w:val="5"/>
        </w:rPr>
        <w:t xml:space="preserve">da </w:t>
      </w:r>
      <w:r>
        <w:rPr>
          <w:spacing w:val="7"/>
        </w:rPr>
        <w:t xml:space="preserve">jazida </w:t>
      </w:r>
      <w:r>
        <w:rPr>
          <w:spacing w:val="5"/>
        </w:rPr>
        <w:t xml:space="preserve">de </w:t>
      </w:r>
      <w:r>
        <w:rPr>
          <w:spacing w:val="7"/>
        </w:rPr>
        <w:t xml:space="preserve">nióbio </w:t>
      </w:r>
      <w:r>
        <w:rPr>
          <w:spacing w:val="5"/>
        </w:rPr>
        <w:t xml:space="preserve">de </w:t>
      </w:r>
      <w:r>
        <w:rPr>
          <w:spacing w:val="7"/>
        </w:rPr>
        <w:t xml:space="preserve">Araxá. </w:t>
      </w:r>
      <w:r>
        <w:t xml:space="preserve">A </w:t>
      </w:r>
      <w:r>
        <w:rPr>
          <w:spacing w:val="10"/>
        </w:rPr>
        <w:t xml:space="preserve">Companhia </w:t>
      </w:r>
      <w:r>
        <w:rPr>
          <w:spacing w:val="3"/>
        </w:rPr>
        <w:t xml:space="preserve">Mineradora </w:t>
      </w:r>
      <w:r>
        <w:rPr>
          <w:spacing w:val="1"/>
        </w:rPr>
        <w:t xml:space="preserve">do </w:t>
      </w:r>
      <w:r>
        <w:rPr>
          <w:spacing w:val="3"/>
        </w:rPr>
        <w:t xml:space="preserve">Pirocloro </w:t>
      </w:r>
      <w:r>
        <w:rPr>
          <w:spacing w:val="1"/>
        </w:rPr>
        <w:t xml:space="preserve">de </w:t>
      </w:r>
      <w:r>
        <w:rPr>
          <w:spacing w:val="3"/>
        </w:rPr>
        <w:t xml:space="preserve">Araxá (Comipa) </w:t>
      </w:r>
      <w:r>
        <w:t xml:space="preserve">é a </w:t>
      </w:r>
      <w:r>
        <w:rPr>
          <w:spacing w:val="5"/>
        </w:rPr>
        <w:t xml:space="preserve">empresa </w:t>
      </w:r>
      <w:r>
        <w:rPr>
          <w:spacing w:val="3"/>
        </w:rPr>
        <w:t xml:space="preserve">arrendatária </w:t>
      </w:r>
      <w:r>
        <w:rPr>
          <w:spacing w:val="2"/>
        </w:rPr>
        <w:t xml:space="preserve">dos </w:t>
      </w:r>
      <w:r>
        <w:rPr>
          <w:spacing w:val="3"/>
        </w:rPr>
        <w:t xml:space="preserve">direitos </w:t>
      </w:r>
      <w:r>
        <w:rPr>
          <w:spacing w:val="1"/>
        </w:rPr>
        <w:t xml:space="preserve">de </w:t>
      </w:r>
      <w:r>
        <w:rPr>
          <w:spacing w:val="3"/>
        </w:rPr>
        <w:t xml:space="preserve">lavra </w:t>
      </w:r>
      <w:r>
        <w:rPr>
          <w:spacing w:val="1"/>
        </w:rPr>
        <w:t xml:space="preserve">do </w:t>
      </w:r>
      <w:r>
        <w:rPr>
          <w:spacing w:val="3"/>
        </w:rPr>
        <w:t xml:space="preserve">minério </w:t>
      </w:r>
      <w:r>
        <w:rPr>
          <w:spacing w:val="1"/>
        </w:rPr>
        <w:t xml:space="preserve">de </w:t>
      </w:r>
      <w:r>
        <w:rPr>
          <w:spacing w:val="5"/>
        </w:rPr>
        <w:t xml:space="preserve">pirocloro, concedidos </w:t>
      </w:r>
      <w:r>
        <w:rPr>
          <w:spacing w:val="3"/>
        </w:rPr>
        <w:t xml:space="preserve">não </w:t>
      </w:r>
      <w:r>
        <w:rPr>
          <w:spacing w:val="2"/>
        </w:rPr>
        <w:t xml:space="preserve">só </w:t>
      </w:r>
      <w:r>
        <w:t xml:space="preserve">à </w:t>
      </w:r>
      <w:r>
        <w:rPr>
          <w:spacing w:val="5"/>
        </w:rPr>
        <w:t xml:space="preserve">CBMM, como também </w:t>
      </w:r>
      <w:r>
        <w:t xml:space="preserve">à </w:t>
      </w:r>
      <w:r>
        <w:rPr>
          <w:spacing w:val="6"/>
        </w:rPr>
        <w:t xml:space="preserve">Codemig </w:t>
      </w:r>
      <w:r>
        <w:t>(SUPRAM, 2009). A CBMM é uma empresa do Grupo Moreira Salles que extrai, processa, fabrica e comercializa pr</w:t>
      </w:r>
      <w:r>
        <w:t xml:space="preserve">odutos à base de nióbio. Sua capacidade atual de produção chega a  </w:t>
      </w:r>
      <w:r>
        <w:rPr>
          <w:spacing w:val="5"/>
        </w:rPr>
        <w:t xml:space="preserve">90 mil </w:t>
      </w:r>
      <w:r>
        <w:rPr>
          <w:spacing w:val="7"/>
        </w:rPr>
        <w:t xml:space="preserve">toneladas anuais. </w:t>
      </w:r>
      <w:r>
        <w:t xml:space="preserve">A </w:t>
      </w:r>
      <w:r>
        <w:rPr>
          <w:spacing w:val="7"/>
        </w:rPr>
        <w:t xml:space="preserve">empresa investe muito </w:t>
      </w:r>
      <w:r>
        <w:rPr>
          <w:spacing w:val="10"/>
        </w:rPr>
        <w:t xml:space="preserve">em </w:t>
      </w:r>
      <w:r>
        <w:t>pesquisa, desenvolvendo novas tecnologias para trabalhar o nióbio, visando ampliar a difusão mundial do produto (PINTO et al.,</w:t>
      </w:r>
      <w:r>
        <w:rPr>
          <w:spacing w:val="11"/>
        </w:rPr>
        <w:t xml:space="preserve"> </w:t>
      </w:r>
      <w:r>
        <w:t>2011).</w:t>
      </w:r>
    </w:p>
    <w:p w:rsidR="00D81F69" w:rsidRDefault="00330118">
      <w:pPr>
        <w:pStyle w:val="Corpodetexto"/>
        <w:spacing w:before="141" w:line="312" w:lineRule="auto"/>
        <w:ind w:right="209"/>
      </w:pPr>
      <w:r>
        <w:rPr>
          <w:spacing w:val="1"/>
        </w:rPr>
        <w:t>Tod</w:t>
      </w:r>
      <w:r>
        <w:rPr>
          <w:spacing w:val="1"/>
        </w:rPr>
        <w:t xml:space="preserve">o </w:t>
      </w:r>
      <w:r>
        <w:t xml:space="preserve">o </w:t>
      </w:r>
      <w:r>
        <w:rPr>
          <w:spacing w:val="1"/>
        </w:rPr>
        <w:t xml:space="preserve">minério lavrado pela Comipa </w:t>
      </w:r>
      <w:r>
        <w:t xml:space="preserve">é </w:t>
      </w:r>
      <w:r>
        <w:rPr>
          <w:spacing w:val="1"/>
        </w:rPr>
        <w:t xml:space="preserve">enviado, através </w:t>
      </w:r>
      <w:r>
        <w:rPr>
          <w:spacing w:val="2"/>
        </w:rPr>
        <w:t xml:space="preserve">de </w:t>
      </w:r>
      <w:r>
        <w:t xml:space="preserve">correia transportadora de 3,2 km, às instalações industriais da </w:t>
      </w:r>
      <w:r>
        <w:rPr>
          <w:spacing w:val="3"/>
        </w:rPr>
        <w:t xml:space="preserve">CBMM, </w:t>
      </w:r>
      <w:r>
        <w:rPr>
          <w:spacing w:val="5"/>
        </w:rPr>
        <w:t xml:space="preserve">responsável </w:t>
      </w:r>
      <w:r>
        <w:rPr>
          <w:spacing w:val="3"/>
        </w:rPr>
        <w:t xml:space="preserve">pela </w:t>
      </w:r>
      <w:r>
        <w:rPr>
          <w:spacing w:val="5"/>
        </w:rPr>
        <w:t xml:space="preserve">concentração </w:t>
      </w:r>
      <w:r>
        <w:rPr>
          <w:spacing w:val="2"/>
        </w:rPr>
        <w:t xml:space="preserve">do </w:t>
      </w:r>
      <w:r>
        <w:rPr>
          <w:spacing w:val="5"/>
        </w:rPr>
        <w:t xml:space="preserve">minério </w:t>
      </w:r>
      <w:r>
        <w:rPr>
          <w:spacing w:val="3"/>
        </w:rPr>
        <w:t xml:space="preserve">até </w:t>
      </w:r>
      <w:r>
        <w:t xml:space="preserve">a </w:t>
      </w:r>
      <w:r>
        <w:rPr>
          <w:spacing w:val="1"/>
        </w:rPr>
        <w:t xml:space="preserve">produção </w:t>
      </w:r>
      <w:r>
        <w:t xml:space="preserve">de </w:t>
      </w:r>
      <w:r>
        <w:rPr>
          <w:spacing w:val="1"/>
        </w:rPr>
        <w:t xml:space="preserve">ferronióbio, nióbio metálico, ligas especiais </w:t>
      </w:r>
      <w:r>
        <w:t xml:space="preserve">e </w:t>
      </w:r>
      <w:r>
        <w:rPr>
          <w:spacing w:val="5"/>
        </w:rPr>
        <w:t xml:space="preserve">óxidos </w:t>
      </w:r>
      <w:r>
        <w:rPr>
          <w:spacing w:val="2"/>
        </w:rPr>
        <w:t xml:space="preserve">de </w:t>
      </w:r>
      <w:r>
        <w:rPr>
          <w:spacing w:val="5"/>
        </w:rPr>
        <w:t>nióbio (SUPRAM,</w:t>
      </w:r>
      <w:r>
        <w:rPr>
          <w:spacing w:val="5"/>
        </w:rPr>
        <w:t xml:space="preserve"> 2009). </w:t>
      </w:r>
      <w:r>
        <w:t xml:space="preserve">O </w:t>
      </w:r>
      <w:r>
        <w:rPr>
          <w:spacing w:val="5"/>
        </w:rPr>
        <w:t>complexo minero-</w:t>
      </w:r>
      <w:r>
        <w:rPr>
          <w:spacing w:val="61"/>
        </w:rPr>
        <w:t xml:space="preserve"> </w:t>
      </w:r>
      <w:r>
        <w:rPr>
          <w:spacing w:val="5"/>
        </w:rPr>
        <w:t xml:space="preserve">industrial </w:t>
      </w:r>
      <w:r>
        <w:rPr>
          <w:spacing w:val="2"/>
        </w:rPr>
        <w:t xml:space="preserve">da </w:t>
      </w:r>
      <w:r>
        <w:rPr>
          <w:spacing w:val="3"/>
        </w:rPr>
        <w:t xml:space="preserve">CBMM </w:t>
      </w:r>
      <w:r>
        <w:t xml:space="preserve">é </w:t>
      </w:r>
      <w:r>
        <w:rPr>
          <w:spacing w:val="5"/>
        </w:rPr>
        <w:t xml:space="preserve">constituído </w:t>
      </w:r>
      <w:r>
        <w:rPr>
          <w:spacing w:val="3"/>
        </w:rPr>
        <w:t xml:space="preserve">pela mina, </w:t>
      </w:r>
      <w:r>
        <w:rPr>
          <w:spacing w:val="5"/>
        </w:rPr>
        <w:t xml:space="preserve">instalações </w:t>
      </w:r>
      <w:r>
        <w:t xml:space="preserve">industriais de produção, bacias e depósitos de rejeitos. Estes </w:t>
      </w:r>
      <w:r>
        <w:rPr>
          <w:spacing w:val="3"/>
        </w:rPr>
        <w:t xml:space="preserve">são </w:t>
      </w:r>
      <w:r>
        <w:rPr>
          <w:spacing w:val="5"/>
        </w:rPr>
        <w:t xml:space="preserve">resultantes </w:t>
      </w:r>
      <w:r>
        <w:rPr>
          <w:spacing w:val="2"/>
        </w:rPr>
        <w:t xml:space="preserve">do </w:t>
      </w:r>
      <w:r>
        <w:rPr>
          <w:spacing w:val="5"/>
        </w:rPr>
        <w:t xml:space="preserve">beneficiamento físico </w:t>
      </w:r>
      <w:r>
        <w:rPr>
          <w:spacing w:val="2"/>
        </w:rPr>
        <w:t xml:space="preserve">do </w:t>
      </w:r>
      <w:r>
        <w:rPr>
          <w:spacing w:val="5"/>
        </w:rPr>
        <w:t xml:space="preserve">pirocloro, </w:t>
      </w:r>
      <w:r>
        <w:t xml:space="preserve">e </w:t>
      </w:r>
      <w:r>
        <w:rPr>
          <w:spacing w:val="3"/>
        </w:rPr>
        <w:t xml:space="preserve">também constituem finos </w:t>
      </w:r>
      <w:r>
        <w:rPr>
          <w:spacing w:val="1"/>
        </w:rPr>
        <w:t xml:space="preserve">de </w:t>
      </w:r>
      <w:hyperlink r:id="rId1303">
        <w:r>
          <w:rPr>
            <w:spacing w:val="3"/>
          </w:rPr>
          <w:t>chumbo,</w:t>
        </w:r>
      </w:hyperlink>
      <w:r>
        <w:rPr>
          <w:spacing w:val="3"/>
        </w:rPr>
        <w:t xml:space="preserve"> </w:t>
      </w:r>
      <w:r>
        <w:rPr>
          <w:spacing w:val="2"/>
        </w:rPr>
        <w:t xml:space="preserve">liga </w:t>
      </w:r>
      <w:r>
        <w:rPr>
          <w:spacing w:val="3"/>
        </w:rPr>
        <w:t xml:space="preserve">ferro-fósforo </w:t>
      </w:r>
      <w:r>
        <w:t xml:space="preserve">e </w:t>
      </w:r>
      <w:r>
        <w:rPr>
          <w:spacing w:val="3"/>
        </w:rPr>
        <w:t>escória metalúrgica (ROCHA,</w:t>
      </w:r>
      <w:r>
        <w:rPr>
          <w:spacing w:val="2"/>
        </w:rPr>
        <w:t xml:space="preserve"> </w:t>
      </w:r>
      <w:r>
        <w:rPr>
          <w:spacing w:val="5"/>
        </w:rPr>
        <w:t>2008).</w:t>
      </w:r>
    </w:p>
    <w:p w:rsidR="00D81F69" w:rsidRDefault="00330118">
      <w:pPr>
        <w:pStyle w:val="Corpodetexto"/>
        <w:spacing w:before="139" w:line="312" w:lineRule="auto"/>
        <w:ind w:right="206"/>
      </w:pPr>
      <w:r>
        <w:t>Em 2007, a CBMM investiu milhões na ampliação da capacidade de produção de ferronióbio em sua unidade no município. A primeira etapa da expansão aumentou a produção de 70 mil t/ano para 90 mil t/ano. A nova fase pretende elevar a capacidade da fábrica para</w:t>
      </w:r>
      <w:r>
        <w:t xml:space="preserve"> 110 mil t/ano no biênio 2010/11. A expansão visa atender à construção da segunda linha do gasoduto Leste-Oeste, da estatal petrolífera chinesa CNPC (BRASIL MINERAL, 2007).</w:t>
      </w:r>
    </w:p>
    <w:p w:rsidR="00D81F69" w:rsidRDefault="00330118">
      <w:pPr>
        <w:pStyle w:val="Corpodetexto"/>
        <w:spacing w:before="75" w:line="270" w:lineRule="atLeast"/>
        <w:ind w:right="210"/>
      </w:pPr>
      <w:r>
        <w:t>Diversos programas de contribuição social são desenvolvidos para os funcionários da</w:t>
      </w:r>
      <w:r>
        <w:t xml:space="preserve"> empresa em Araxá, abrangendo saúde, educação, moradia e um fundo de pensão. A comunidade local também foi contemplada com a construção</w:t>
      </w:r>
    </w:p>
    <w:p w:rsidR="00D81F69" w:rsidRDefault="00D81F69">
      <w:pPr>
        <w:spacing w:line="270" w:lineRule="atLeast"/>
        <w:sectPr w:rsidR="00D81F69">
          <w:type w:val="continuous"/>
          <w:pgSz w:w="11900" w:h="16840"/>
          <w:pgMar w:top="720" w:right="500" w:bottom="280" w:left="620" w:header="720" w:footer="720" w:gutter="0"/>
          <w:cols w:num="2" w:space="720" w:equalWidth="0">
            <w:col w:w="5191" w:space="279"/>
            <w:col w:w="5310"/>
          </w:cols>
        </w:sectPr>
      </w:pPr>
    </w:p>
    <w:p w:rsidR="00D81F69" w:rsidRDefault="00330118">
      <w:pPr>
        <w:pStyle w:val="Corpodetexto"/>
        <w:spacing w:before="81" w:line="312" w:lineRule="auto"/>
        <w:ind w:right="55"/>
      </w:pPr>
      <w:r>
        <w:lastRenderedPageBreak/>
        <w:t xml:space="preserve">e </w:t>
      </w:r>
      <w:r>
        <w:rPr>
          <w:spacing w:val="5"/>
        </w:rPr>
        <w:t xml:space="preserve">equipagem </w:t>
      </w:r>
      <w:r>
        <w:rPr>
          <w:spacing w:val="2"/>
        </w:rPr>
        <w:t xml:space="preserve">do </w:t>
      </w:r>
      <w:r>
        <w:rPr>
          <w:spacing w:val="5"/>
        </w:rPr>
        <w:t xml:space="preserve">Senai/Sesi, centro </w:t>
      </w:r>
      <w:r>
        <w:rPr>
          <w:spacing w:val="3"/>
        </w:rPr>
        <w:t xml:space="preserve">com </w:t>
      </w:r>
      <w:r>
        <w:rPr>
          <w:spacing w:val="5"/>
        </w:rPr>
        <w:t>diversos cursos</w:t>
      </w:r>
      <w:r>
        <w:rPr>
          <w:spacing w:val="61"/>
        </w:rPr>
        <w:t xml:space="preserve"> </w:t>
      </w:r>
      <w:r>
        <w:rPr>
          <w:spacing w:val="3"/>
        </w:rPr>
        <w:t xml:space="preserve">profissionalizantes. </w:t>
      </w:r>
      <w:r>
        <w:t xml:space="preserve">A </w:t>
      </w:r>
      <w:r>
        <w:rPr>
          <w:spacing w:val="2"/>
        </w:rPr>
        <w:t xml:space="preserve">CBMM </w:t>
      </w:r>
      <w:r>
        <w:rPr>
          <w:spacing w:val="3"/>
        </w:rPr>
        <w:t>investe tam</w:t>
      </w:r>
      <w:r>
        <w:rPr>
          <w:spacing w:val="3"/>
        </w:rPr>
        <w:t xml:space="preserve">bém </w:t>
      </w:r>
      <w:r>
        <w:rPr>
          <w:spacing w:val="1"/>
        </w:rPr>
        <w:t xml:space="preserve">em </w:t>
      </w:r>
      <w:r>
        <w:rPr>
          <w:spacing w:val="5"/>
        </w:rPr>
        <w:t xml:space="preserve">projetos </w:t>
      </w:r>
      <w:r>
        <w:t xml:space="preserve">ambientais, como a construção e manutenção de viveiros e </w:t>
      </w:r>
      <w:r>
        <w:rPr>
          <w:spacing w:val="3"/>
        </w:rPr>
        <w:t xml:space="preserve">criadouros </w:t>
      </w:r>
      <w:r>
        <w:rPr>
          <w:spacing w:val="2"/>
        </w:rPr>
        <w:t xml:space="preserve">para </w:t>
      </w:r>
      <w:r>
        <w:rPr>
          <w:spacing w:val="3"/>
        </w:rPr>
        <w:t xml:space="preserve">espécies ameaçadas </w:t>
      </w:r>
      <w:r>
        <w:rPr>
          <w:spacing w:val="1"/>
        </w:rPr>
        <w:t xml:space="preserve">da </w:t>
      </w:r>
      <w:r>
        <w:rPr>
          <w:spacing w:val="3"/>
        </w:rPr>
        <w:t xml:space="preserve">região; </w:t>
      </w:r>
      <w:r>
        <w:t xml:space="preserve">e </w:t>
      </w:r>
      <w:r>
        <w:rPr>
          <w:spacing w:val="1"/>
        </w:rPr>
        <w:t xml:space="preserve">de </w:t>
      </w:r>
      <w:r>
        <w:rPr>
          <w:spacing w:val="5"/>
        </w:rPr>
        <w:t xml:space="preserve">um </w:t>
      </w:r>
      <w:r>
        <w:rPr>
          <w:spacing w:val="3"/>
        </w:rPr>
        <w:t xml:space="preserve">núcleo </w:t>
      </w:r>
      <w:r>
        <w:rPr>
          <w:spacing w:val="1"/>
        </w:rPr>
        <w:t xml:space="preserve">de </w:t>
      </w:r>
      <w:r>
        <w:rPr>
          <w:spacing w:val="3"/>
        </w:rPr>
        <w:t xml:space="preserve">educação ambiental (PINTO </w:t>
      </w:r>
      <w:r>
        <w:rPr>
          <w:spacing w:val="1"/>
        </w:rPr>
        <w:t xml:space="preserve">et </w:t>
      </w:r>
      <w:r>
        <w:rPr>
          <w:spacing w:val="2"/>
        </w:rPr>
        <w:t>al.,</w:t>
      </w:r>
      <w:r>
        <w:rPr>
          <w:spacing w:val="1"/>
        </w:rPr>
        <w:t xml:space="preserve"> </w:t>
      </w:r>
      <w:r>
        <w:rPr>
          <w:spacing w:val="5"/>
        </w:rPr>
        <w:t>2011).</w:t>
      </w:r>
    </w:p>
    <w:p w:rsidR="00D81F69" w:rsidRDefault="00330118">
      <w:pPr>
        <w:pStyle w:val="Corpodetexto"/>
        <w:spacing w:before="134" w:line="312" w:lineRule="auto"/>
        <w:ind w:right="38"/>
      </w:pPr>
      <w:r>
        <w:t>A despeito de sua contribuição para a comunidade, pesquisas demonstram a compl</w:t>
      </w:r>
      <w:r>
        <w:t xml:space="preserve">exidade das relações da empresa com o </w:t>
      </w:r>
      <w:r>
        <w:rPr>
          <w:spacing w:val="1"/>
        </w:rPr>
        <w:t xml:space="preserve">meio ambiente, </w:t>
      </w:r>
      <w:r>
        <w:t xml:space="preserve">em </w:t>
      </w:r>
      <w:r>
        <w:rPr>
          <w:spacing w:val="1"/>
        </w:rPr>
        <w:t xml:space="preserve">função </w:t>
      </w:r>
      <w:r>
        <w:t xml:space="preserve">da </w:t>
      </w:r>
      <w:r>
        <w:rPr>
          <w:spacing w:val="1"/>
        </w:rPr>
        <w:t xml:space="preserve">natureza </w:t>
      </w:r>
      <w:r>
        <w:t xml:space="preserve">do </w:t>
      </w:r>
      <w:r>
        <w:rPr>
          <w:spacing w:val="1"/>
        </w:rPr>
        <w:t xml:space="preserve">próprio </w:t>
      </w:r>
      <w:r>
        <w:rPr>
          <w:spacing w:val="2"/>
        </w:rPr>
        <w:t xml:space="preserve">minério </w:t>
      </w:r>
      <w:r>
        <w:t xml:space="preserve">com que trabalha. No processo produtivo do nióbio, verifica- </w:t>
      </w:r>
      <w:r>
        <w:rPr>
          <w:spacing w:val="1"/>
        </w:rPr>
        <w:t xml:space="preserve">se </w:t>
      </w:r>
      <w:r>
        <w:t xml:space="preserve">a </w:t>
      </w:r>
      <w:r>
        <w:rPr>
          <w:spacing w:val="3"/>
        </w:rPr>
        <w:t xml:space="preserve">presença </w:t>
      </w:r>
      <w:r>
        <w:rPr>
          <w:spacing w:val="1"/>
        </w:rPr>
        <w:t xml:space="preserve">de </w:t>
      </w:r>
      <w:r>
        <w:rPr>
          <w:spacing w:val="3"/>
        </w:rPr>
        <w:t xml:space="preserve">minerais radioativos, terras raras, </w:t>
      </w:r>
      <w:r>
        <w:rPr>
          <w:spacing w:val="5"/>
        </w:rPr>
        <w:t xml:space="preserve">bário, </w:t>
      </w:r>
      <w:r>
        <w:t>cloro, dentre outros elementos, fontes po</w:t>
      </w:r>
      <w:r>
        <w:t xml:space="preserve">tenciais de impactos </w:t>
      </w:r>
      <w:r>
        <w:rPr>
          <w:spacing w:val="1"/>
        </w:rPr>
        <w:t xml:space="preserve">ambientais. Além disso, outros efeitos colaterais comuns </w:t>
      </w:r>
      <w:r>
        <w:t xml:space="preserve">à mineração se destacam, como a supressão de vegetação, a modificação do relevo, a emissão de efluentes líquidos e de </w:t>
      </w:r>
      <w:r>
        <w:rPr>
          <w:spacing w:val="1"/>
        </w:rPr>
        <w:t xml:space="preserve">particulados, </w:t>
      </w:r>
      <w:r>
        <w:t xml:space="preserve">e a </w:t>
      </w:r>
      <w:r>
        <w:rPr>
          <w:spacing w:val="1"/>
        </w:rPr>
        <w:t xml:space="preserve">verticalização </w:t>
      </w:r>
      <w:r>
        <w:t xml:space="preserve">da </w:t>
      </w:r>
      <w:r>
        <w:rPr>
          <w:spacing w:val="1"/>
        </w:rPr>
        <w:t xml:space="preserve">cadeia produtiva, </w:t>
      </w:r>
      <w:r>
        <w:t xml:space="preserve">com a </w:t>
      </w:r>
      <w:r>
        <w:rPr>
          <w:spacing w:val="1"/>
        </w:rPr>
        <w:t xml:space="preserve">indústria </w:t>
      </w:r>
      <w:r>
        <w:t xml:space="preserve">da </w:t>
      </w:r>
      <w:r>
        <w:rPr>
          <w:spacing w:val="1"/>
        </w:rPr>
        <w:t xml:space="preserve">transformação mineral (PINTO </w:t>
      </w:r>
      <w:r>
        <w:t xml:space="preserve">et </w:t>
      </w:r>
      <w:r>
        <w:rPr>
          <w:spacing w:val="1"/>
        </w:rPr>
        <w:t>al.,</w:t>
      </w:r>
      <w:r>
        <w:rPr>
          <w:spacing w:val="12"/>
        </w:rPr>
        <w:t xml:space="preserve"> </w:t>
      </w:r>
      <w:r>
        <w:rPr>
          <w:spacing w:val="2"/>
        </w:rPr>
        <w:t>2011).</w:t>
      </w:r>
    </w:p>
    <w:p w:rsidR="00D81F69" w:rsidRDefault="00330118">
      <w:pPr>
        <w:pStyle w:val="Corpodetexto"/>
        <w:spacing w:before="141" w:line="312" w:lineRule="auto"/>
        <w:ind w:right="44"/>
      </w:pPr>
      <w:r>
        <w:t xml:space="preserve">O </w:t>
      </w:r>
      <w:r>
        <w:rPr>
          <w:spacing w:val="5"/>
        </w:rPr>
        <w:t xml:space="preserve">primeiro conflito entre </w:t>
      </w:r>
      <w:r>
        <w:rPr>
          <w:spacing w:val="3"/>
        </w:rPr>
        <w:t xml:space="preserve">uma </w:t>
      </w:r>
      <w:r>
        <w:rPr>
          <w:spacing w:val="5"/>
        </w:rPr>
        <w:t xml:space="preserve">parte </w:t>
      </w:r>
      <w:r>
        <w:rPr>
          <w:spacing w:val="2"/>
        </w:rPr>
        <w:t xml:space="preserve">da </w:t>
      </w:r>
      <w:r>
        <w:rPr>
          <w:spacing w:val="5"/>
        </w:rPr>
        <w:t xml:space="preserve">comunidade </w:t>
      </w:r>
      <w:r>
        <w:t xml:space="preserve">e a empresa se deu em 1982, quando foi detectado que as águas subterrâneas situadas a jusante da Barragem 4 do complexo </w:t>
      </w:r>
      <w:r>
        <w:rPr>
          <w:spacing w:val="5"/>
        </w:rPr>
        <w:t xml:space="preserve">da </w:t>
      </w:r>
      <w:r>
        <w:rPr>
          <w:spacing w:val="6"/>
        </w:rPr>
        <w:t xml:space="preserve">CBMM </w:t>
      </w:r>
      <w:r>
        <w:rPr>
          <w:spacing w:val="7"/>
        </w:rPr>
        <w:t xml:space="preserve">estavam </w:t>
      </w:r>
      <w:r>
        <w:rPr>
          <w:spacing w:val="8"/>
        </w:rPr>
        <w:t xml:space="preserve">contaminadas </w:t>
      </w:r>
      <w:r>
        <w:rPr>
          <w:spacing w:val="5"/>
        </w:rPr>
        <w:t xml:space="preserve">por </w:t>
      </w:r>
      <w:r>
        <w:rPr>
          <w:spacing w:val="7"/>
        </w:rPr>
        <w:t xml:space="preserve">bário, </w:t>
      </w:r>
      <w:r>
        <w:rPr>
          <w:spacing w:val="5"/>
        </w:rPr>
        <w:t xml:space="preserve">um </w:t>
      </w:r>
      <w:r>
        <w:rPr>
          <w:spacing w:val="10"/>
        </w:rPr>
        <w:t xml:space="preserve">metal </w:t>
      </w:r>
      <w:r>
        <w:rPr>
          <w:spacing w:val="5"/>
        </w:rPr>
        <w:t xml:space="preserve">considerado potencialmente tóxico. Apesar </w:t>
      </w:r>
      <w:r>
        <w:rPr>
          <w:spacing w:val="2"/>
        </w:rPr>
        <w:t xml:space="preserve">da </w:t>
      </w:r>
      <w:r>
        <w:rPr>
          <w:spacing w:val="5"/>
        </w:rPr>
        <w:t>presença</w:t>
      </w:r>
      <w:r>
        <w:rPr>
          <w:spacing w:val="61"/>
        </w:rPr>
        <w:t xml:space="preserve"> </w:t>
      </w:r>
      <w:r>
        <w:rPr>
          <w:spacing w:val="3"/>
        </w:rPr>
        <w:t xml:space="preserve">natural </w:t>
      </w:r>
      <w:r>
        <w:rPr>
          <w:spacing w:val="1"/>
        </w:rPr>
        <w:t xml:space="preserve">de um </w:t>
      </w:r>
      <w:r>
        <w:rPr>
          <w:spacing w:val="2"/>
        </w:rPr>
        <w:t xml:space="preserve">alto </w:t>
      </w:r>
      <w:r>
        <w:rPr>
          <w:spacing w:val="3"/>
        </w:rPr>
        <w:t xml:space="preserve">“background” natural </w:t>
      </w:r>
      <w:r>
        <w:rPr>
          <w:spacing w:val="1"/>
        </w:rPr>
        <w:t xml:space="preserve">do </w:t>
      </w:r>
      <w:r>
        <w:rPr>
          <w:spacing w:val="3"/>
        </w:rPr>
        <w:t xml:space="preserve">elemento, </w:t>
      </w:r>
      <w:r>
        <w:rPr>
          <w:spacing w:val="5"/>
        </w:rPr>
        <w:t xml:space="preserve">foi </w:t>
      </w:r>
      <w:r>
        <w:t xml:space="preserve">comprovada a contaminação pelos efluentes do processo de </w:t>
      </w:r>
      <w:r>
        <w:rPr>
          <w:spacing w:val="1"/>
        </w:rPr>
        <w:t xml:space="preserve">lixiviação </w:t>
      </w:r>
      <w:r>
        <w:t xml:space="preserve">do </w:t>
      </w:r>
      <w:r>
        <w:rPr>
          <w:spacing w:val="1"/>
        </w:rPr>
        <w:t xml:space="preserve">minério. </w:t>
      </w:r>
      <w:r>
        <w:t xml:space="preserve">A </w:t>
      </w:r>
      <w:r>
        <w:rPr>
          <w:spacing w:val="1"/>
        </w:rPr>
        <w:t xml:space="preserve">CMBB assumiu </w:t>
      </w:r>
      <w:r>
        <w:t xml:space="preserve">a </w:t>
      </w:r>
      <w:r>
        <w:rPr>
          <w:spacing w:val="2"/>
        </w:rPr>
        <w:t xml:space="preserve">responsabilidade </w:t>
      </w:r>
      <w:r>
        <w:rPr>
          <w:spacing w:val="11"/>
        </w:rPr>
        <w:t xml:space="preserve">pelo </w:t>
      </w:r>
      <w:r>
        <w:rPr>
          <w:spacing w:val="15"/>
        </w:rPr>
        <w:t xml:space="preserve">ocorrido, </w:t>
      </w:r>
      <w:r>
        <w:rPr>
          <w:spacing w:val="13"/>
        </w:rPr>
        <w:t xml:space="preserve">passando </w:t>
      </w:r>
      <w:r>
        <w:t xml:space="preserve">a </w:t>
      </w:r>
      <w:r>
        <w:rPr>
          <w:spacing w:val="13"/>
        </w:rPr>
        <w:t xml:space="preserve">adotar </w:t>
      </w:r>
      <w:r>
        <w:rPr>
          <w:spacing w:val="10"/>
        </w:rPr>
        <w:t xml:space="preserve">bem </w:t>
      </w:r>
      <w:r>
        <w:rPr>
          <w:spacing w:val="15"/>
        </w:rPr>
        <w:t xml:space="preserve">sucedidos </w:t>
      </w:r>
      <w:r>
        <w:t>procedimentos de controle, monitoramento e neutralização de possíveis danos (PINTO et al., 2011).</w:t>
      </w:r>
    </w:p>
    <w:p w:rsidR="00D81F69" w:rsidRDefault="00330118">
      <w:pPr>
        <w:pStyle w:val="Corpodetexto"/>
        <w:spacing w:before="140" w:line="312" w:lineRule="auto"/>
        <w:ind w:right="39"/>
      </w:pPr>
      <w:r>
        <w:t xml:space="preserve">Já em fevereiro de 1991, em função de uma inversão térmica, não houve dispersão do material processado pela empresa </w:t>
      </w:r>
      <w:r>
        <w:t xml:space="preserve">CBMM, e todo o resultado da combustão no processo metalúrgico foi lançado diretamente na atmosfera de Araxá (ROCHA, 2008). A CBMM garantiu que apenas óxido de </w:t>
      </w:r>
      <w:hyperlink r:id="rId1304">
        <w:r>
          <w:t>alumíni</w:t>
        </w:r>
        <w:r>
          <w:t>o</w:t>
        </w:r>
      </w:hyperlink>
      <w:r>
        <w:t xml:space="preserve"> havia sido emitido, e que, na proporção em que aconteceu, não era prejudicial à saúde. Entretanto, a ecóloga Rosângela Rios relatou, à época, que, possivelmente, a cidade pode ter sido submetida à chuva ácida, resultante da combustão do ácido clorídrico.</w:t>
      </w:r>
      <w:r>
        <w:t xml:space="preserve"> Afirmou também que deve ter sido lançado radônio na atmosfera da cidade, uma vez que, quando os minerais radioativos não voláteis são queimados, parte deles é liberada. A empresa, mesmo não confirmando tais informações, passou a usar filtros antipoluentes</w:t>
      </w:r>
      <w:r>
        <w:t xml:space="preserve"> (CORREIO DE ARAXÁ, 1991 apud ROCHA, 2008).</w:t>
      </w:r>
    </w:p>
    <w:p w:rsidR="00D81F69" w:rsidRDefault="00330118">
      <w:pPr>
        <w:pStyle w:val="Corpodetexto"/>
        <w:spacing w:before="144" w:line="312" w:lineRule="auto"/>
        <w:ind w:right="42"/>
      </w:pPr>
      <w:r>
        <w:t>Já a descoberta da apatita se deu em 1925, mas o Complexo Carbonatítico do Barreiro só começou a ser explorado para produção de fosfato e fertilizante no início da década de 1970, quando um empreendimento deste p</w:t>
      </w:r>
      <w:r>
        <w:t>orte se tornou viável economicamente. Foi criado, então, em 1971, o Complexo Industrial da Arafértil S.A. para exploração do maior depósito fosfático do país, cujas reservas foram avaliadas em 90 milhões de toneladas. No ano seguinte, a Arafértil assinou u</w:t>
      </w:r>
      <w:r>
        <w:t>m contrato de arrendamento com a Companhia Agrícola de Minas Gerais (Camig) e, em 1978, inaugurou o Complexo Industrial de Araxá (ROCHA, 2008).</w:t>
      </w:r>
    </w:p>
    <w:p w:rsidR="00D81F69" w:rsidRDefault="00330118">
      <w:pPr>
        <w:pStyle w:val="Corpodetexto"/>
        <w:spacing w:before="140"/>
      </w:pPr>
      <w:r>
        <w:t>Em apenas quatro anos de atividades, a Arafértil foi apontada</w:t>
      </w:r>
    </w:p>
    <w:p w:rsidR="00D81F69" w:rsidRDefault="00330118">
      <w:pPr>
        <w:pStyle w:val="Corpodetexto"/>
        <w:spacing w:before="81" w:line="312" w:lineRule="auto"/>
        <w:ind w:right="192"/>
      </w:pPr>
      <w:r>
        <w:br w:type="column"/>
      </w:r>
      <w:r>
        <w:lastRenderedPageBreak/>
        <w:t xml:space="preserve">pelo poder público e pela comunidade de Araxá ao </w:t>
      </w:r>
      <w:r>
        <w:t xml:space="preserve">órgão ambiental de Minas Gerais e ao Conselho Estadual de Política Ambiental (Copam). As queixas foram analisadas e o órgão impôs uma série de normas à atividade da Arafértil, além de reduzir a vida útil da mina de 30 para apenas 3 anos (ROCHA, 2008). Com </w:t>
      </w:r>
      <w:r>
        <w:t>o passar dos anos, a situação foi se agravando, com casos de poluição atmosférica, poluição e assoreamento dos mananciais de abastecimento da estância hidromineral e dos lagos de interesses turísticos, bem como erosão dos solos (ESTADO DE MINAS apud ROCHA,</w:t>
      </w:r>
      <w:r>
        <w:t xml:space="preserve"> 2008).</w:t>
      </w:r>
    </w:p>
    <w:p w:rsidR="00D81F69" w:rsidRDefault="00330118">
      <w:pPr>
        <w:pStyle w:val="Corpodetexto"/>
        <w:spacing w:before="139" w:line="312" w:lineRule="auto"/>
        <w:ind w:right="189"/>
      </w:pPr>
      <w:r>
        <w:t xml:space="preserve">A Arafértil chegou a assinar um acordo com a prefeitura de Araxá, se comprometendo a recuperar as áreas degradas e a </w:t>
      </w:r>
      <w:r>
        <w:rPr>
          <w:spacing w:val="1"/>
        </w:rPr>
        <w:t xml:space="preserve">reduzir </w:t>
      </w:r>
      <w:r>
        <w:t xml:space="preserve">os </w:t>
      </w:r>
      <w:r>
        <w:rPr>
          <w:spacing w:val="1"/>
        </w:rPr>
        <w:t xml:space="preserve">impactos </w:t>
      </w:r>
      <w:r>
        <w:t xml:space="preserve">de sua </w:t>
      </w:r>
      <w:r>
        <w:rPr>
          <w:spacing w:val="1"/>
        </w:rPr>
        <w:t xml:space="preserve">produção, </w:t>
      </w:r>
      <w:r>
        <w:t xml:space="preserve">mas a </w:t>
      </w:r>
      <w:r>
        <w:rPr>
          <w:spacing w:val="1"/>
        </w:rPr>
        <w:t xml:space="preserve">relação </w:t>
      </w:r>
      <w:r>
        <w:rPr>
          <w:spacing w:val="2"/>
        </w:rPr>
        <w:t xml:space="preserve">entre </w:t>
      </w:r>
      <w:r>
        <w:t xml:space="preserve">empresa e população acabou se degradando, o que levou a </w:t>
      </w:r>
      <w:r>
        <w:rPr>
          <w:spacing w:val="5"/>
        </w:rPr>
        <w:t>algumas manifestaç</w:t>
      </w:r>
      <w:r>
        <w:rPr>
          <w:spacing w:val="5"/>
        </w:rPr>
        <w:t xml:space="preserve">ões populares contrárias </w:t>
      </w:r>
      <w:r>
        <w:t xml:space="preserve">à </w:t>
      </w:r>
      <w:r>
        <w:rPr>
          <w:spacing w:val="5"/>
        </w:rPr>
        <w:t>empresa,</w:t>
      </w:r>
      <w:r>
        <w:rPr>
          <w:spacing w:val="61"/>
        </w:rPr>
        <w:t xml:space="preserve"> </w:t>
      </w:r>
      <w:r>
        <w:t xml:space="preserve">ainda na década de 1980 (PINTO et al., 2011). Em 1997, a </w:t>
      </w:r>
      <w:r>
        <w:rPr>
          <w:spacing w:val="1"/>
        </w:rPr>
        <w:t xml:space="preserve">Arafértil passaria para </w:t>
      </w:r>
      <w:r>
        <w:t xml:space="preserve">as </w:t>
      </w:r>
      <w:r>
        <w:rPr>
          <w:spacing w:val="1"/>
        </w:rPr>
        <w:t xml:space="preserve">mãos </w:t>
      </w:r>
      <w:r>
        <w:t xml:space="preserve">da </w:t>
      </w:r>
      <w:r>
        <w:rPr>
          <w:spacing w:val="1"/>
        </w:rPr>
        <w:t xml:space="preserve">Mineração Serrana, </w:t>
      </w:r>
      <w:r>
        <w:rPr>
          <w:spacing w:val="2"/>
        </w:rPr>
        <w:t xml:space="preserve">do </w:t>
      </w:r>
      <w:r>
        <w:t xml:space="preserve">Grupo Bunge e, em 2010, para a Vale Fertilizantes S.A. </w:t>
      </w:r>
      <w:r>
        <w:rPr>
          <w:spacing w:val="1"/>
        </w:rPr>
        <w:t xml:space="preserve">(J. </w:t>
      </w:r>
      <w:r>
        <w:t xml:space="preserve">MENDO, 2009, CETEM, 2010 apud PINTO et al., </w:t>
      </w:r>
      <w:r>
        <w:rPr>
          <w:spacing w:val="1"/>
        </w:rPr>
        <w:t>201</w:t>
      </w:r>
      <w:r>
        <w:rPr>
          <w:spacing w:val="1"/>
        </w:rPr>
        <w:t>1).</w:t>
      </w:r>
    </w:p>
    <w:p w:rsidR="00D81F69" w:rsidRDefault="00330118">
      <w:pPr>
        <w:pStyle w:val="Corpodetexto"/>
        <w:spacing w:before="138" w:line="312" w:lineRule="auto"/>
        <w:ind w:right="190"/>
      </w:pPr>
      <w:r>
        <w:t>A Bunge realizava suas atividades de mineração da apatita a céu aberto e com explosivos, em área que foi arrendada em concessão da Codemig (ROCHA, 2006). As barragens de rejeito se encontravam próximas à área industrial da empresa, onde eram depositados an</w:t>
      </w:r>
      <w:r>
        <w:t>ualmente cerca de 3,2 milhões de toneladas. A massa total acumulada até 2007 era de 65 milhões de toneladas (MINÉRIOS &amp; MINERALES, 2009).</w:t>
      </w:r>
    </w:p>
    <w:p w:rsidR="00D81F69" w:rsidRDefault="00330118">
      <w:pPr>
        <w:pStyle w:val="Corpodetexto"/>
        <w:spacing w:before="137" w:line="312" w:lineRule="auto"/>
        <w:ind w:right="194"/>
      </w:pPr>
      <w:r>
        <w:t xml:space="preserve">A </w:t>
      </w:r>
      <w:r>
        <w:rPr>
          <w:spacing w:val="5"/>
        </w:rPr>
        <w:t xml:space="preserve">exploração </w:t>
      </w:r>
      <w:r>
        <w:rPr>
          <w:spacing w:val="2"/>
        </w:rPr>
        <w:t xml:space="preserve">da </w:t>
      </w:r>
      <w:r>
        <w:rPr>
          <w:spacing w:val="5"/>
        </w:rPr>
        <w:t xml:space="preserve">apatita requer </w:t>
      </w:r>
      <w:r>
        <w:t xml:space="preserve">o </w:t>
      </w:r>
      <w:r>
        <w:rPr>
          <w:spacing w:val="3"/>
        </w:rPr>
        <w:t xml:space="preserve">uso </w:t>
      </w:r>
      <w:r>
        <w:rPr>
          <w:spacing w:val="2"/>
        </w:rPr>
        <w:t xml:space="preserve">de </w:t>
      </w:r>
      <w:r>
        <w:rPr>
          <w:spacing w:val="3"/>
        </w:rPr>
        <w:t xml:space="preserve">ácido </w:t>
      </w:r>
      <w:r>
        <w:rPr>
          <w:spacing w:val="5"/>
        </w:rPr>
        <w:t>sulfúrico</w:t>
      </w:r>
      <w:r>
        <w:rPr>
          <w:spacing w:val="61"/>
        </w:rPr>
        <w:t xml:space="preserve"> </w:t>
      </w:r>
      <w:r>
        <w:t>(H2SO4). O produto obtido é o ácido fosfórico de via úmida, qu</w:t>
      </w:r>
      <w:r>
        <w:t xml:space="preserve">e </w:t>
      </w:r>
      <w:r>
        <w:rPr>
          <w:spacing w:val="1"/>
        </w:rPr>
        <w:t xml:space="preserve">contém urânio dissolvido (NOGUEIRA, 1984). </w:t>
      </w:r>
      <w:r>
        <w:t xml:space="preserve">O </w:t>
      </w:r>
      <w:r>
        <w:rPr>
          <w:spacing w:val="2"/>
        </w:rPr>
        <w:t xml:space="preserve">ácido </w:t>
      </w:r>
      <w:r>
        <w:t>sulfúrico tem a capacidade de lixiviar os metais contidos nas rochas, podendo contaminar, dessa forma, águas superficiais e subterrâneas (BIODIESEL.BR.COM,</w:t>
      </w:r>
      <w:r>
        <w:rPr>
          <w:spacing w:val="15"/>
        </w:rPr>
        <w:t xml:space="preserve"> </w:t>
      </w:r>
      <w:r>
        <w:t>2010).</w:t>
      </w:r>
    </w:p>
    <w:p w:rsidR="00D81F69" w:rsidRDefault="00330118">
      <w:pPr>
        <w:pStyle w:val="Corpodetexto"/>
        <w:spacing w:before="135" w:line="312" w:lineRule="auto"/>
        <w:ind w:right="194"/>
      </w:pPr>
      <w:r>
        <w:t xml:space="preserve">Em 1999, a Bunge decidiu que seria mais </w:t>
      </w:r>
      <w:r>
        <w:t>rentável fabricar ácido sulfúrico dentro de seu complexo industrial em Araxá, em vez de comprá-lo de outros municípios, como fazia antes. A possível instalação da indústria a 2 km da estância do Barreiro gerou alarde na cidade, devido à possibilidade de ch</w:t>
      </w:r>
      <w:r>
        <w:t>uva ácida. Depois de muita resistência, a empresa conseguiu, em 2000, autorização para instalação da fábrica. A única alteração feita no projeto original foi a mudança da localização do empreendimento, que ficaria a 7 km de Barreiro, numa área de eucalipto</w:t>
      </w:r>
      <w:r>
        <w:t>s, para atenuar os impactos ambientais (ROCHA, 2008).</w:t>
      </w:r>
    </w:p>
    <w:p w:rsidR="00D81F69" w:rsidRDefault="00330118">
      <w:pPr>
        <w:pStyle w:val="Corpodetexto"/>
        <w:spacing w:before="141" w:line="312" w:lineRule="auto"/>
        <w:ind w:right="188"/>
      </w:pPr>
      <w:r>
        <w:rPr>
          <w:spacing w:val="5"/>
        </w:rPr>
        <w:t xml:space="preserve">Outro risco constante </w:t>
      </w:r>
      <w:r>
        <w:rPr>
          <w:spacing w:val="2"/>
        </w:rPr>
        <w:t xml:space="preserve">na </w:t>
      </w:r>
      <w:r>
        <w:rPr>
          <w:spacing w:val="5"/>
        </w:rPr>
        <w:t xml:space="preserve">indústria </w:t>
      </w:r>
      <w:r>
        <w:rPr>
          <w:spacing w:val="2"/>
        </w:rPr>
        <w:t xml:space="preserve">de </w:t>
      </w:r>
      <w:r>
        <w:rPr>
          <w:spacing w:val="5"/>
        </w:rPr>
        <w:t xml:space="preserve">fosfato </w:t>
      </w:r>
      <w:r>
        <w:t xml:space="preserve">é </w:t>
      </w:r>
      <w:r>
        <w:rPr>
          <w:spacing w:val="5"/>
        </w:rPr>
        <w:t xml:space="preserve">que, </w:t>
      </w:r>
      <w:r>
        <w:rPr>
          <w:spacing w:val="6"/>
        </w:rPr>
        <w:t xml:space="preserve">na </w:t>
      </w:r>
      <w:r>
        <w:rPr>
          <w:spacing w:val="1"/>
        </w:rPr>
        <w:t xml:space="preserve">produção </w:t>
      </w:r>
      <w:r>
        <w:t xml:space="preserve">do </w:t>
      </w:r>
      <w:r>
        <w:rPr>
          <w:spacing w:val="1"/>
        </w:rPr>
        <w:t xml:space="preserve">ácido fosfórico (H3PO4) produz-se também </w:t>
      </w:r>
      <w:r>
        <w:t xml:space="preserve">o fosfogesso, subproduto constituído basicamente por  sulfato de cálcio (CaSO4). Dependendo das concentrações de urânio e </w:t>
      </w:r>
      <w:r>
        <w:rPr>
          <w:spacing w:val="5"/>
        </w:rPr>
        <w:t xml:space="preserve">tório </w:t>
      </w:r>
      <w:r>
        <w:rPr>
          <w:spacing w:val="2"/>
        </w:rPr>
        <w:t xml:space="preserve">na </w:t>
      </w:r>
      <w:r>
        <w:rPr>
          <w:spacing w:val="5"/>
        </w:rPr>
        <w:t xml:space="preserve">rocha fosfática, </w:t>
      </w:r>
      <w:r>
        <w:t xml:space="preserve">o </w:t>
      </w:r>
      <w:r>
        <w:rPr>
          <w:spacing w:val="5"/>
        </w:rPr>
        <w:t xml:space="preserve">fosfogesso pode </w:t>
      </w:r>
      <w:r>
        <w:rPr>
          <w:spacing w:val="2"/>
        </w:rPr>
        <w:t xml:space="preserve">se </w:t>
      </w:r>
      <w:r>
        <w:rPr>
          <w:spacing w:val="6"/>
        </w:rPr>
        <w:t xml:space="preserve">tornar </w:t>
      </w:r>
      <w:r>
        <w:rPr>
          <w:spacing w:val="12"/>
        </w:rPr>
        <w:t xml:space="preserve">bastante radioativo. </w:t>
      </w:r>
      <w:r>
        <w:rPr>
          <w:spacing w:val="10"/>
        </w:rPr>
        <w:t xml:space="preserve">Esse </w:t>
      </w:r>
      <w:r>
        <w:rPr>
          <w:spacing w:val="12"/>
        </w:rPr>
        <w:t xml:space="preserve">subproduto </w:t>
      </w:r>
      <w:r>
        <w:t xml:space="preserve">é </w:t>
      </w:r>
      <w:r>
        <w:rPr>
          <w:spacing w:val="15"/>
        </w:rPr>
        <w:t xml:space="preserve">geralmente </w:t>
      </w:r>
      <w:r>
        <w:rPr>
          <w:spacing w:val="6"/>
        </w:rPr>
        <w:t xml:space="preserve">armazenado </w:t>
      </w:r>
      <w:r>
        <w:rPr>
          <w:spacing w:val="3"/>
        </w:rPr>
        <w:t xml:space="preserve">em </w:t>
      </w:r>
      <w:r>
        <w:rPr>
          <w:spacing w:val="5"/>
        </w:rPr>
        <w:t xml:space="preserve">pilhas, nas </w:t>
      </w:r>
      <w:r>
        <w:rPr>
          <w:spacing w:val="6"/>
        </w:rPr>
        <w:t>prox</w:t>
      </w:r>
      <w:r>
        <w:rPr>
          <w:spacing w:val="6"/>
        </w:rPr>
        <w:t xml:space="preserve">imidades </w:t>
      </w:r>
      <w:r>
        <w:rPr>
          <w:spacing w:val="5"/>
        </w:rPr>
        <w:t xml:space="preserve">das </w:t>
      </w:r>
      <w:r>
        <w:rPr>
          <w:spacing w:val="7"/>
        </w:rPr>
        <w:t xml:space="preserve">fábricas, </w:t>
      </w:r>
      <w:r>
        <w:t xml:space="preserve">podendo atingir os cursos d´água. O risco é maior ainda se levarmos em conta que o fosfogesso, assim como as cinzas </w:t>
      </w:r>
      <w:r>
        <w:rPr>
          <w:spacing w:val="1"/>
        </w:rPr>
        <w:t xml:space="preserve">do </w:t>
      </w:r>
      <w:r>
        <w:rPr>
          <w:spacing w:val="3"/>
        </w:rPr>
        <w:t xml:space="preserve">carvão, muitas vezes </w:t>
      </w:r>
      <w:r>
        <w:t xml:space="preserve">é </w:t>
      </w:r>
      <w:r>
        <w:rPr>
          <w:spacing w:val="3"/>
        </w:rPr>
        <w:t xml:space="preserve">usado </w:t>
      </w:r>
      <w:r>
        <w:rPr>
          <w:spacing w:val="1"/>
        </w:rPr>
        <w:t xml:space="preserve">na </w:t>
      </w:r>
      <w:r>
        <w:rPr>
          <w:spacing w:val="3"/>
        </w:rPr>
        <w:t xml:space="preserve">construção civil </w:t>
      </w:r>
      <w:r>
        <w:t xml:space="preserve">e </w:t>
      </w:r>
      <w:r>
        <w:rPr>
          <w:spacing w:val="5"/>
        </w:rPr>
        <w:t xml:space="preserve">na </w:t>
      </w:r>
      <w:r>
        <w:t>agricultura (como fertilizante) (BIODIESEL.BR.COM,</w:t>
      </w:r>
      <w:r>
        <w:rPr>
          <w:spacing w:val="25"/>
        </w:rPr>
        <w:t xml:space="preserve"> </w:t>
      </w:r>
      <w:r>
        <w:rPr>
          <w:spacing w:val="1"/>
        </w:rPr>
        <w:t>2011).</w:t>
      </w:r>
    </w:p>
    <w:p w:rsidR="00D81F69" w:rsidRDefault="00D81F69">
      <w:pPr>
        <w:spacing w:line="312" w:lineRule="auto"/>
        <w:sectPr w:rsidR="00D81F69">
          <w:pgSz w:w="11900" w:h="16840"/>
          <w:pgMar w:top="740" w:right="500" w:bottom="720" w:left="620" w:header="0" w:footer="402" w:gutter="0"/>
          <w:cols w:num="2" w:space="720" w:equalWidth="0">
            <w:col w:w="5156" w:space="314"/>
            <w:col w:w="5310"/>
          </w:cols>
        </w:sectPr>
      </w:pPr>
    </w:p>
    <w:p w:rsidR="00D81F69" w:rsidRDefault="00D81F69">
      <w:pPr>
        <w:pStyle w:val="Corpodetexto"/>
        <w:spacing w:before="5"/>
        <w:ind w:left="0"/>
        <w:jc w:val="left"/>
        <w:rPr>
          <w:sz w:val="24"/>
        </w:rPr>
      </w:pPr>
    </w:p>
    <w:p w:rsidR="00D81F69" w:rsidRDefault="00330118">
      <w:pPr>
        <w:pStyle w:val="Corpodetexto"/>
        <w:spacing w:line="312" w:lineRule="auto"/>
        <w:ind w:right="43"/>
      </w:pPr>
      <w:r>
        <w:t xml:space="preserve">Em Araxá, o urânio aparece também associado ao pirocloro (NOGUEIRA, 1984). Estudos sobre o processo operacional  de uma indústria de lavra e beneficiamento de nióbio no Brasil </w:t>
      </w:r>
      <w:r>
        <w:rPr>
          <w:spacing w:val="6"/>
        </w:rPr>
        <w:t xml:space="preserve">demonstraram </w:t>
      </w:r>
      <w:r>
        <w:rPr>
          <w:spacing w:val="5"/>
        </w:rPr>
        <w:t xml:space="preserve">aumento </w:t>
      </w:r>
      <w:r>
        <w:rPr>
          <w:spacing w:val="3"/>
        </w:rPr>
        <w:t xml:space="preserve">da </w:t>
      </w:r>
      <w:r>
        <w:rPr>
          <w:spacing w:val="6"/>
        </w:rPr>
        <w:t xml:space="preserve">concentração </w:t>
      </w:r>
      <w:r>
        <w:rPr>
          <w:spacing w:val="3"/>
        </w:rPr>
        <w:t xml:space="preserve">de </w:t>
      </w:r>
      <w:r>
        <w:rPr>
          <w:spacing w:val="7"/>
        </w:rPr>
        <w:t>elementos</w:t>
      </w:r>
      <w:r>
        <w:rPr>
          <w:spacing w:val="7"/>
        </w:rPr>
        <w:t xml:space="preserve"> </w:t>
      </w:r>
      <w:r>
        <w:t xml:space="preserve">radioativos nos resíduos da lixiviação e na escória. Do ponto </w:t>
      </w:r>
      <w:r>
        <w:rPr>
          <w:spacing w:val="1"/>
        </w:rPr>
        <w:t xml:space="preserve">de </w:t>
      </w:r>
      <w:r>
        <w:rPr>
          <w:spacing w:val="3"/>
        </w:rPr>
        <w:t xml:space="preserve">vista gerencial, </w:t>
      </w:r>
      <w:r>
        <w:rPr>
          <w:spacing w:val="2"/>
        </w:rPr>
        <w:t xml:space="preserve">tais </w:t>
      </w:r>
      <w:r>
        <w:rPr>
          <w:spacing w:val="3"/>
        </w:rPr>
        <w:t xml:space="preserve">rejeitos devem </w:t>
      </w:r>
      <w:r>
        <w:rPr>
          <w:spacing w:val="2"/>
        </w:rPr>
        <w:t xml:space="preserve">ser </w:t>
      </w:r>
      <w:r>
        <w:rPr>
          <w:spacing w:val="3"/>
        </w:rPr>
        <w:t xml:space="preserve">separados </w:t>
      </w:r>
      <w:r>
        <w:rPr>
          <w:spacing w:val="5"/>
        </w:rPr>
        <w:t xml:space="preserve">dos demais, </w:t>
      </w:r>
      <w:r>
        <w:t xml:space="preserve">e </w:t>
      </w:r>
      <w:r>
        <w:rPr>
          <w:spacing w:val="2"/>
        </w:rPr>
        <w:t xml:space="preserve">os </w:t>
      </w:r>
      <w:r>
        <w:rPr>
          <w:spacing w:val="5"/>
        </w:rPr>
        <w:t xml:space="preserve">locais onde serão depositados devem </w:t>
      </w:r>
      <w:r>
        <w:rPr>
          <w:spacing w:val="6"/>
        </w:rPr>
        <w:t xml:space="preserve">ser </w:t>
      </w:r>
      <w:r>
        <w:rPr>
          <w:spacing w:val="15"/>
        </w:rPr>
        <w:t xml:space="preserve">isolados </w:t>
      </w:r>
      <w:r>
        <w:rPr>
          <w:spacing w:val="8"/>
        </w:rPr>
        <w:t xml:space="preserve">de </w:t>
      </w:r>
      <w:r>
        <w:rPr>
          <w:spacing w:val="13"/>
        </w:rPr>
        <w:t xml:space="preserve">forma </w:t>
      </w:r>
      <w:r>
        <w:t xml:space="preserve">a </w:t>
      </w:r>
      <w:r>
        <w:rPr>
          <w:spacing w:val="15"/>
        </w:rPr>
        <w:t xml:space="preserve">evitar </w:t>
      </w:r>
      <w:r>
        <w:rPr>
          <w:spacing w:val="11"/>
        </w:rPr>
        <w:t xml:space="preserve">que </w:t>
      </w:r>
      <w:r>
        <w:rPr>
          <w:spacing w:val="15"/>
        </w:rPr>
        <w:t xml:space="preserve">qualquer pessoa </w:t>
      </w:r>
      <w:r>
        <w:rPr>
          <w:spacing w:val="8"/>
        </w:rPr>
        <w:t xml:space="preserve">(trabalhadores </w:t>
      </w:r>
      <w:r>
        <w:rPr>
          <w:spacing w:val="5"/>
        </w:rPr>
        <w:t xml:space="preserve">ou </w:t>
      </w:r>
      <w:r>
        <w:rPr>
          <w:spacing w:val="6"/>
        </w:rPr>
        <w:t xml:space="preserve">não) seja </w:t>
      </w:r>
      <w:r>
        <w:rPr>
          <w:spacing w:val="7"/>
        </w:rPr>
        <w:t>exposta</w:t>
      </w:r>
      <w:r>
        <w:rPr>
          <w:spacing w:val="7"/>
        </w:rPr>
        <w:t xml:space="preserve"> </w:t>
      </w:r>
      <w:r>
        <w:t xml:space="preserve">à </w:t>
      </w:r>
      <w:r>
        <w:rPr>
          <w:spacing w:val="10"/>
        </w:rPr>
        <w:t xml:space="preserve">radioatividade </w:t>
      </w:r>
      <w:r>
        <w:rPr>
          <w:spacing w:val="8"/>
        </w:rPr>
        <w:t>(BIODIESEL.BR.COM,</w:t>
      </w:r>
      <w:r>
        <w:rPr>
          <w:spacing w:val="53"/>
        </w:rPr>
        <w:t xml:space="preserve"> </w:t>
      </w:r>
      <w:r>
        <w:rPr>
          <w:spacing w:val="10"/>
        </w:rPr>
        <w:t>2010).</w:t>
      </w:r>
    </w:p>
    <w:p w:rsidR="00D81F69" w:rsidRDefault="00330118">
      <w:pPr>
        <w:pStyle w:val="Corpodetexto"/>
        <w:spacing w:before="139" w:line="312" w:lineRule="auto"/>
        <w:ind w:right="41"/>
      </w:pPr>
      <w:r>
        <w:t>Em 1984, foi desenvolvido um projeto denominado Pró-Araxá, como decorrência da necessidade de conciliação entre as atividades de mineração, turístico-hoteleira e de extração de água mineral, destinado à preservaç</w:t>
      </w:r>
      <w:r>
        <w:t>ão ecológica da Bacia do Barreiro (FUNTEC, 1984 apud MANCINI; BONOTTO, 2006).</w:t>
      </w:r>
    </w:p>
    <w:p w:rsidR="00D81F69" w:rsidRDefault="00330118">
      <w:pPr>
        <w:pStyle w:val="Corpodetexto"/>
        <w:spacing w:before="135" w:line="312" w:lineRule="auto"/>
        <w:ind w:right="54"/>
      </w:pPr>
      <w:r>
        <w:rPr>
          <w:spacing w:val="2"/>
        </w:rPr>
        <w:t xml:space="preserve">Um </w:t>
      </w:r>
      <w:r>
        <w:rPr>
          <w:spacing w:val="5"/>
        </w:rPr>
        <w:t xml:space="preserve">estudo apresentado </w:t>
      </w:r>
      <w:r>
        <w:rPr>
          <w:spacing w:val="3"/>
        </w:rPr>
        <w:t xml:space="preserve">pela </w:t>
      </w:r>
      <w:r>
        <w:rPr>
          <w:spacing w:val="5"/>
        </w:rPr>
        <w:t>Companhia Mineradora de</w:t>
      </w:r>
      <w:r>
        <w:rPr>
          <w:spacing w:val="61"/>
        </w:rPr>
        <w:t xml:space="preserve"> </w:t>
      </w:r>
      <w:r>
        <w:t xml:space="preserve">Minas Gerais (Comig), em 1999, detectou que o rebaixamento do nível freático para extração de fosfato causou alterações </w:t>
      </w:r>
      <w:r>
        <w:rPr>
          <w:spacing w:val="1"/>
        </w:rPr>
        <w:t xml:space="preserve">na </w:t>
      </w:r>
      <w:r>
        <w:rPr>
          <w:spacing w:val="3"/>
        </w:rPr>
        <w:t xml:space="preserve">hidrodinâmica </w:t>
      </w:r>
      <w:r>
        <w:rPr>
          <w:spacing w:val="1"/>
        </w:rPr>
        <w:t xml:space="preserve">do </w:t>
      </w:r>
      <w:r>
        <w:rPr>
          <w:spacing w:val="3"/>
        </w:rPr>
        <w:t xml:space="preserve">aquífero </w:t>
      </w:r>
      <w:r>
        <w:rPr>
          <w:spacing w:val="2"/>
        </w:rPr>
        <w:t xml:space="preserve">que </w:t>
      </w:r>
      <w:r>
        <w:rPr>
          <w:spacing w:val="3"/>
        </w:rPr>
        <w:t xml:space="preserve">alimenta </w:t>
      </w:r>
      <w:r>
        <w:t xml:space="preserve">a </w:t>
      </w:r>
      <w:r>
        <w:rPr>
          <w:spacing w:val="3"/>
        </w:rPr>
        <w:t xml:space="preserve">Fonte </w:t>
      </w:r>
      <w:r>
        <w:rPr>
          <w:spacing w:val="5"/>
        </w:rPr>
        <w:t xml:space="preserve">Dona Beija, </w:t>
      </w:r>
      <w:r>
        <w:rPr>
          <w:spacing w:val="2"/>
        </w:rPr>
        <w:t xml:space="preserve">em </w:t>
      </w:r>
      <w:r>
        <w:rPr>
          <w:spacing w:val="5"/>
        </w:rPr>
        <w:t xml:space="preserve">Araxá, </w:t>
      </w:r>
      <w:r>
        <w:t xml:space="preserve">e a </w:t>
      </w:r>
      <w:r>
        <w:rPr>
          <w:spacing w:val="5"/>
        </w:rPr>
        <w:t xml:space="preserve">construção </w:t>
      </w:r>
      <w:r>
        <w:rPr>
          <w:spacing w:val="2"/>
        </w:rPr>
        <w:t xml:space="preserve">de </w:t>
      </w:r>
      <w:r>
        <w:rPr>
          <w:spacing w:val="5"/>
        </w:rPr>
        <w:t xml:space="preserve">duas barragens </w:t>
      </w:r>
      <w:r>
        <w:rPr>
          <w:spacing w:val="6"/>
        </w:rPr>
        <w:t xml:space="preserve">de </w:t>
      </w:r>
      <w:r>
        <w:t xml:space="preserve">infiltração mantiveram o nível d’água a jusante da mina. Já o beneficiamento do pirocloro resultou, como um dos produtos </w:t>
      </w:r>
      <w:r>
        <w:rPr>
          <w:spacing w:val="3"/>
        </w:rPr>
        <w:t xml:space="preserve">finais, </w:t>
      </w:r>
      <w:r>
        <w:rPr>
          <w:spacing w:val="1"/>
        </w:rPr>
        <w:t xml:space="preserve">em </w:t>
      </w:r>
      <w:r>
        <w:rPr>
          <w:spacing w:val="3"/>
        </w:rPr>
        <w:t xml:space="preserve">cloreto </w:t>
      </w:r>
      <w:r>
        <w:rPr>
          <w:spacing w:val="1"/>
        </w:rPr>
        <w:t xml:space="preserve">de </w:t>
      </w:r>
      <w:r>
        <w:rPr>
          <w:spacing w:val="3"/>
        </w:rPr>
        <w:t xml:space="preserve">bário, </w:t>
      </w:r>
      <w:r>
        <w:rPr>
          <w:spacing w:val="2"/>
        </w:rPr>
        <w:t>s</w:t>
      </w:r>
      <w:r>
        <w:rPr>
          <w:spacing w:val="2"/>
        </w:rPr>
        <w:t xml:space="preserve">al </w:t>
      </w:r>
      <w:r>
        <w:rPr>
          <w:spacing w:val="3"/>
        </w:rPr>
        <w:t xml:space="preserve">altamente solúvel, </w:t>
      </w:r>
      <w:r>
        <w:rPr>
          <w:spacing w:val="2"/>
        </w:rPr>
        <w:t xml:space="preserve">que </w:t>
      </w:r>
      <w:r>
        <w:rPr>
          <w:spacing w:val="5"/>
        </w:rPr>
        <w:t xml:space="preserve">foi </w:t>
      </w:r>
      <w:r>
        <w:t>lançado em uma barragem de rejeito de onde contaminou o aquífero</w:t>
      </w:r>
      <w:r>
        <w:rPr>
          <w:spacing w:val="15"/>
        </w:rPr>
        <w:t xml:space="preserve"> </w:t>
      </w:r>
      <w:r>
        <w:t>subjacente</w:t>
      </w:r>
      <w:r>
        <w:rPr>
          <w:spacing w:val="15"/>
        </w:rPr>
        <w:t xml:space="preserve"> </w:t>
      </w:r>
      <w:r>
        <w:t>(BEATO,</w:t>
      </w:r>
      <w:r>
        <w:rPr>
          <w:spacing w:val="15"/>
        </w:rPr>
        <w:t xml:space="preserve"> </w:t>
      </w:r>
      <w:r>
        <w:t>VIANA,</w:t>
      </w:r>
      <w:r>
        <w:rPr>
          <w:spacing w:val="15"/>
        </w:rPr>
        <w:t xml:space="preserve"> </w:t>
      </w:r>
      <w:r>
        <w:t>DAVIS,</w:t>
      </w:r>
      <w:r>
        <w:rPr>
          <w:spacing w:val="15"/>
        </w:rPr>
        <w:t xml:space="preserve"> </w:t>
      </w:r>
      <w:r>
        <w:t>2004).</w:t>
      </w:r>
    </w:p>
    <w:p w:rsidR="00D81F69" w:rsidRDefault="00330118">
      <w:pPr>
        <w:pStyle w:val="Corpodetexto"/>
        <w:spacing w:before="139" w:line="312" w:lineRule="auto"/>
        <w:ind w:right="38"/>
      </w:pPr>
      <w:r>
        <w:t xml:space="preserve">Em 2002, órgãos ambientais fizeram uma pesquisa na cidade, concluindo que uma emissão irregular de </w:t>
      </w:r>
      <w:hyperlink r:id="rId1305">
        <w:r>
          <w:t xml:space="preserve">flúor </w:t>
        </w:r>
      </w:hyperlink>
      <w:r>
        <w:t xml:space="preserve">teria poluído o ar e a </w:t>
      </w:r>
      <w:r>
        <w:rPr>
          <w:spacing w:val="1"/>
        </w:rPr>
        <w:t xml:space="preserve">água, afetando lavouras </w:t>
      </w:r>
      <w:r>
        <w:t xml:space="preserve">e </w:t>
      </w:r>
      <w:r>
        <w:rPr>
          <w:spacing w:val="1"/>
        </w:rPr>
        <w:t xml:space="preserve">causado dano </w:t>
      </w:r>
      <w:r>
        <w:rPr>
          <w:spacing w:val="2"/>
        </w:rPr>
        <w:t xml:space="preserve">ambiental. </w:t>
      </w:r>
      <w:r>
        <w:rPr>
          <w:spacing w:val="3"/>
        </w:rPr>
        <w:t xml:space="preserve">Constatada </w:t>
      </w:r>
      <w:r>
        <w:t xml:space="preserve">a </w:t>
      </w:r>
      <w:r>
        <w:rPr>
          <w:spacing w:val="3"/>
        </w:rPr>
        <w:t xml:space="preserve">responsabilidade </w:t>
      </w:r>
      <w:r>
        <w:rPr>
          <w:spacing w:val="1"/>
        </w:rPr>
        <w:t xml:space="preserve">da </w:t>
      </w:r>
      <w:r>
        <w:rPr>
          <w:spacing w:val="3"/>
        </w:rPr>
        <w:t xml:space="preserve">Bunge, </w:t>
      </w:r>
      <w:r>
        <w:rPr>
          <w:spacing w:val="2"/>
        </w:rPr>
        <w:t xml:space="preserve">uma vez que </w:t>
      </w:r>
      <w:r>
        <w:t xml:space="preserve">o </w:t>
      </w:r>
      <w:r>
        <w:rPr>
          <w:spacing w:val="5"/>
        </w:rPr>
        <w:t xml:space="preserve">acidente </w:t>
      </w:r>
      <w:r>
        <w:rPr>
          <w:spacing w:val="3"/>
        </w:rPr>
        <w:t xml:space="preserve">foi </w:t>
      </w:r>
      <w:r>
        <w:rPr>
          <w:spacing w:val="5"/>
        </w:rPr>
        <w:t xml:space="preserve">causado </w:t>
      </w:r>
      <w:r>
        <w:rPr>
          <w:spacing w:val="3"/>
        </w:rPr>
        <w:t xml:space="preserve">por </w:t>
      </w:r>
      <w:r>
        <w:rPr>
          <w:spacing w:val="5"/>
        </w:rPr>
        <w:t xml:space="preserve">incapacidade </w:t>
      </w:r>
      <w:r>
        <w:rPr>
          <w:spacing w:val="2"/>
        </w:rPr>
        <w:t xml:space="preserve">de </w:t>
      </w:r>
      <w:r>
        <w:rPr>
          <w:spacing w:val="3"/>
        </w:rPr>
        <w:t xml:space="preserve">seus </w:t>
      </w:r>
      <w:r>
        <w:rPr>
          <w:spacing w:val="5"/>
        </w:rPr>
        <w:t>filtros,</w:t>
      </w:r>
      <w:r>
        <w:rPr>
          <w:spacing w:val="5"/>
        </w:rPr>
        <w:t xml:space="preserve"> </w:t>
      </w:r>
      <w:r>
        <w:t>o Ministério Público propôs um acordo com a mineradora, tendo sido assinado um Termo de Ajustamento de Conduta (TAC), visando à realização de plano de monitoramento (CORREIO DE ARAXÁ, 2002 apud ROCHA, 2008). A Bunge concordou em indenizar agricultores que</w:t>
      </w:r>
      <w:r>
        <w:t xml:space="preserve"> foram prejudicados e investiu </w:t>
      </w:r>
      <w:r>
        <w:rPr>
          <w:spacing w:val="2"/>
        </w:rPr>
        <w:t xml:space="preserve">em um </w:t>
      </w:r>
      <w:r>
        <w:rPr>
          <w:spacing w:val="5"/>
        </w:rPr>
        <w:t xml:space="preserve">sistema </w:t>
      </w:r>
      <w:r>
        <w:rPr>
          <w:spacing w:val="2"/>
        </w:rPr>
        <w:t xml:space="preserve">de </w:t>
      </w:r>
      <w:r>
        <w:rPr>
          <w:spacing w:val="5"/>
        </w:rPr>
        <w:t xml:space="preserve">monitoramento </w:t>
      </w:r>
      <w:r>
        <w:rPr>
          <w:spacing w:val="2"/>
        </w:rPr>
        <w:t xml:space="preserve">de </w:t>
      </w:r>
      <w:r>
        <w:rPr>
          <w:spacing w:val="5"/>
        </w:rPr>
        <w:t xml:space="preserve">emissão </w:t>
      </w:r>
      <w:r>
        <w:rPr>
          <w:spacing w:val="2"/>
        </w:rPr>
        <w:t xml:space="preserve">de </w:t>
      </w:r>
      <w:r>
        <w:rPr>
          <w:spacing w:val="5"/>
        </w:rPr>
        <w:t xml:space="preserve">gases (PINTO </w:t>
      </w:r>
      <w:r>
        <w:rPr>
          <w:spacing w:val="2"/>
        </w:rPr>
        <w:t xml:space="preserve">et </w:t>
      </w:r>
      <w:r>
        <w:rPr>
          <w:spacing w:val="3"/>
        </w:rPr>
        <w:t>al.,</w:t>
      </w:r>
      <w:r>
        <w:rPr>
          <w:spacing w:val="-16"/>
        </w:rPr>
        <w:t xml:space="preserve"> </w:t>
      </w:r>
      <w:r>
        <w:rPr>
          <w:spacing w:val="5"/>
        </w:rPr>
        <w:t>2011).</w:t>
      </w:r>
    </w:p>
    <w:p w:rsidR="00D81F69" w:rsidRDefault="00330118">
      <w:pPr>
        <w:pStyle w:val="Corpodetexto"/>
        <w:spacing w:before="141" w:line="312" w:lineRule="auto"/>
        <w:ind w:right="52"/>
      </w:pPr>
      <w:r>
        <w:t>Em 2004, foi apresentada uma pesquisa para avaliar a presença de urânio, tório e rádio, a partir de análises radiométricas nas águas subterrâneas e supe</w:t>
      </w:r>
      <w:r>
        <w:t>rficiais. Os resultados apontaram, dentre outras conclusões, a ocorrência de um maior transporte de rádio pelas águas subterrâneas em relação a águas superficiais. Como recomendações os pesquisadores sugeriram realizar periódicos monitoramentos hidroquímic</w:t>
      </w:r>
      <w:r>
        <w:t>os além de análises sistemáticas semestrais (uma no período chuvoso e outra no período seco) nos sedimentos de fundo dos córregos e barragens. Sugeriu-se também realizar análises de urânio, tório, rádio e radônio para as águas das fontes Dona Beija e Andra</w:t>
      </w:r>
      <w:r>
        <w:t>de Junior, e a posterior informação dos valores obtidos por meio de placas indicativas locais (MANCINI; BONOTTO, 2004).</w:t>
      </w:r>
    </w:p>
    <w:p w:rsidR="00D81F69" w:rsidRDefault="00330118">
      <w:pPr>
        <w:pStyle w:val="Corpodetexto"/>
        <w:spacing w:before="143" w:line="312" w:lineRule="auto"/>
        <w:ind w:right="54"/>
      </w:pPr>
      <w:r>
        <w:rPr>
          <w:spacing w:val="5"/>
        </w:rPr>
        <w:t xml:space="preserve">Como </w:t>
      </w:r>
      <w:r>
        <w:t xml:space="preserve">o </w:t>
      </w:r>
      <w:r>
        <w:rPr>
          <w:spacing w:val="5"/>
        </w:rPr>
        <w:t xml:space="preserve">conhecimento </w:t>
      </w:r>
      <w:r>
        <w:rPr>
          <w:spacing w:val="2"/>
        </w:rPr>
        <w:t xml:space="preserve">da </w:t>
      </w:r>
      <w:r>
        <w:rPr>
          <w:spacing w:val="5"/>
        </w:rPr>
        <w:t xml:space="preserve">presença </w:t>
      </w:r>
      <w:r>
        <w:rPr>
          <w:spacing w:val="2"/>
        </w:rPr>
        <w:t xml:space="preserve">de </w:t>
      </w:r>
      <w:r>
        <w:rPr>
          <w:spacing w:val="5"/>
        </w:rPr>
        <w:t xml:space="preserve">rádio </w:t>
      </w:r>
      <w:r>
        <w:rPr>
          <w:spacing w:val="3"/>
        </w:rPr>
        <w:t xml:space="preserve">nas </w:t>
      </w:r>
      <w:r>
        <w:rPr>
          <w:spacing w:val="6"/>
        </w:rPr>
        <w:t xml:space="preserve">águas </w:t>
      </w:r>
      <w:r>
        <w:rPr>
          <w:spacing w:val="10"/>
        </w:rPr>
        <w:t xml:space="preserve">subterrâneas </w:t>
      </w:r>
      <w:r>
        <w:t xml:space="preserve">e </w:t>
      </w:r>
      <w:r>
        <w:rPr>
          <w:spacing w:val="10"/>
        </w:rPr>
        <w:t xml:space="preserve">superficiais </w:t>
      </w:r>
      <w:r>
        <w:rPr>
          <w:spacing w:val="5"/>
        </w:rPr>
        <w:t xml:space="preserve">do </w:t>
      </w:r>
      <w:r>
        <w:rPr>
          <w:spacing w:val="8"/>
        </w:rPr>
        <w:t xml:space="preserve">município </w:t>
      </w:r>
      <w:r>
        <w:rPr>
          <w:spacing w:val="5"/>
        </w:rPr>
        <w:t xml:space="preserve">de </w:t>
      </w:r>
      <w:r>
        <w:rPr>
          <w:spacing w:val="7"/>
        </w:rPr>
        <w:t>Araxá</w:t>
      </w:r>
      <w:r>
        <w:rPr>
          <w:spacing w:val="61"/>
        </w:rPr>
        <w:t xml:space="preserve"> </w:t>
      </w:r>
      <w:r>
        <w:t>é</w:t>
      </w:r>
    </w:p>
    <w:p w:rsidR="00D81F69" w:rsidRDefault="00330118">
      <w:pPr>
        <w:pStyle w:val="Corpodetexto"/>
        <w:spacing w:before="81" w:line="312" w:lineRule="auto"/>
        <w:ind w:right="204"/>
      </w:pPr>
      <w:r>
        <w:br w:type="column"/>
      </w:r>
      <w:r>
        <w:lastRenderedPageBreak/>
        <w:t>importante, pois esses recursos são utilizados tanto para o abastecimento público quanto para o turismo, em 2006, os mesmos pesquisadores publicaram uma versão mais completa do estudo que investigou a migração (dispersão e transporte) de rádio em duas área</w:t>
      </w:r>
      <w:r>
        <w:t>s, sendo uma no Complexo Alcalino do Barreiro em Araxá (MANCINI; BONOTTO, 2006).</w:t>
      </w:r>
    </w:p>
    <w:p w:rsidR="00D81F69" w:rsidRDefault="00330118">
      <w:pPr>
        <w:pStyle w:val="Corpodetexto"/>
        <w:spacing w:before="135" w:line="312" w:lineRule="auto"/>
        <w:ind w:right="188"/>
      </w:pPr>
      <w:r>
        <w:t>Mais recentemente, em 2008, constatou-se que a água consumida pelos moradores do Barreiro estava contaminada por bário (JORNAL DE UBERABA, 2009). O metal é considerado potencialmente tóxico, pois pode entrar na cadeia alimentar através das plantas (SANTOS,</w:t>
      </w:r>
      <w:r>
        <w:t xml:space="preserve"> 2010). Os laudos das análises solicitadas pela Associação dos Moradores do Barreiro aos laboratórios Araxá Ambiental e ao Centro de Sedimentometria e Qualidade de Água (Belo Horizonte) apontaram índices de 1,07 mg/l e 1,36 mg/l, respectivamente. Segundo o</w:t>
      </w:r>
      <w:r>
        <w:t xml:space="preserve"> Ministério da Saúde, o valor máximo permitido (VMP) para o consumo da substância é de 0,7 mg/l. Diante deste cenário, a associação entrou com ação judicial contra a CBMM e Bunge Fertilizantes, pedindo indenização de R$ 16,3 milhões para as cerca de 120 fa</w:t>
      </w:r>
      <w:r>
        <w:t>mílias que moram no complexo (DIÁRIO DE ARAXÁ, 2008).</w:t>
      </w:r>
    </w:p>
    <w:p w:rsidR="00D81F69" w:rsidRDefault="00330118">
      <w:pPr>
        <w:pStyle w:val="Corpodetexto"/>
        <w:spacing w:before="144" w:line="312" w:lineRule="auto"/>
        <w:ind w:right="195"/>
      </w:pPr>
      <w:r>
        <w:t>Em fevereiro de 2009, a CBMM apresentou nota à imprensa, se defendendo de qualquer responsabilidade pelas altas concentrações de bário no laudo apresentado pela Associação dos Moradores do Barreiro, ten</w:t>
      </w:r>
      <w:r>
        <w:t>do em vista o histórico hidrogeológico e os teores naturais de bário verificados na região (DIÁRIO DE ARAXÁ, 2009).</w:t>
      </w:r>
    </w:p>
    <w:p w:rsidR="00D81F69" w:rsidRDefault="00330118">
      <w:pPr>
        <w:pStyle w:val="Corpodetexto"/>
        <w:spacing w:before="136" w:line="312" w:lineRule="auto"/>
        <w:ind w:right="196"/>
      </w:pPr>
      <w:r>
        <w:t xml:space="preserve">Após sete anos sem produção, a Água Mineral Araxá voltou a ser comercializada. De acordo com a Copasa, </w:t>
      </w:r>
      <w:r>
        <w:rPr>
          <w:spacing w:val="1"/>
        </w:rPr>
        <w:t xml:space="preserve">controladora </w:t>
      </w:r>
      <w:r>
        <w:t>da subsidiária Águas Min</w:t>
      </w:r>
      <w:r>
        <w:t xml:space="preserve">erais de Minas, até o fim de 2012 serão comercializados 40% da capacidade de 50 milhões de litros anuais da marca Araxá. A Água Mineral Araxá deixou de </w:t>
      </w:r>
      <w:r>
        <w:rPr>
          <w:spacing w:val="3"/>
        </w:rPr>
        <w:t xml:space="preserve">ser </w:t>
      </w:r>
      <w:r>
        <w:rPr>
          <w:spacing w:val="5"/>
        </w:rPr>
        <w:t xml:space="preserve">vendida porque </w:t>
      </w:r>
      <w:r>
        <w:t xml:space="preserve">a </w:t>
      </w:r>
      <w:r>
        <w:rPr>
          <w:spacing w:val="5"/>
        </w:rPr>
        <w:t xml:space="preserve">empresa Superágua, </w:t>
      </w:r>
      <w:r>
        <w:rPr>
          <w:spacing w:val="3"/>
        </w:rPr>
        <w:t xml:space="preserve">que </w:t>
      </w:r>
      <w:r>
        <w:rPr>
          <w:spacing w:val="5"/>
        </w:rPr>
        <w:t xml:space="preserve">tinha </w:t>
      </w:r>
      <w:r>
        <w:t>a concessão das fontes de água mineral no estado desde</w:t>
      </w:r>
      <w:r>
        <w:t xml:space="preserve"> 1981, perdeu disputa judicial contra o governo estadual e fechou as portas em 2005 (DIÁRIO DE ARAXÁ,</w:t>
      </w:r>
      <w:r>
        <w:rPr>
          <w:spacing w:val="27"/>
        </w:rPr>
        <w:t xml:space="preserve"> </w:t>
      </w:r>
      <w:r>
        <w:t>2012).</w:t>
      </w:r>
    </w:p>
    <w:p w:rsidR="00D81F69" w:rsidRDefault="00330118">
      <w:pPr>
        <w:pStyle w:val="Corpodetexto"/>
        <w:spacing w:before="138" w:line="312" w:lineRule="auto"/>
        <w:ind w:right="186"/>
        <w:jc w:val="left"/>
      </w:pPr>
      <w:r>
        <w:t>Outro município mineiro que tem vivido problemas relacionados à mineração do fosfato é Tapira. Com 4.112 habitantes e uma área de 1.179.248 km² (IB</w:t>
      </w:r>
      <w:r>
        <w:t>GE, 2010b), o município, situado no Alto Paranaíba, é extremamente dependente da mineração do fostato, atividade responsável diretamente por 50% do seu PIB e, indiretamente, por outra parte considerável. Adquirida pela Vale, em 2010, a empresa Fosfértil S.</w:t>
      </w:r>
      <w:r>
        <w:t>A. esteve à frente da extração do fosfato no município por décadas, sendo rebatizada como Vale Fertilizantes (PINTO et al., 2011).</w:t>
      </w:r>
    </w:p>
    <w:p w:rsidR="00D81F69" w:rsidRDefault="00330118">
      <w:pPr>
        <w:pStyle w:val="Corpodetexto"/>
        <w:spacing w:before="139" w:line="312" w:lineRule="auto"/>
        <w:ind w:right="213"/>
      </w:pPr>
      <w:r>
        <w:t>Com esgotamento previsto dentro de 50 anos, o complexo de mineração de Tapira é atualmente o maior produtor de rocha fosfátic</w:t>
      </w:r>
      <w:r>
        <w:t>a do Brasil, com uma capacidade produtiva de 16,5 milhões de toneladas anuais, ocupando o 11º lugar entre as 200 maiores minas brasileiras (J. MENDO, 2009 apud PINTO et al., 2011).</w:t>
      </w:r>
    </w:p>
    <w:p w:rsidR="00D81F69" w:rsidRDefault="00330118">
      <w:pPr>
        <w:pStyle w:val="Corpodetexto"/>
        <w:spacing w:before="73" w:line="270" w:lineRule="atLeast"/>
        <w:ind w:right="212"/>
      </w:pPr>
      <w:r>
        <w:t>A usina produz o concentrado fosfático convencional, com teor de 35,8% de f</w:t>
      </w:r>
      <w:r>
        <w:t>ósforo (P2O5), constituindo 95% do total, e</w:t>
      </w:r>
    </w:p>
    <w:p w:rsidR="00D81F69" w:rsidRDefault="00D81F69">
      <w:pPr>
        <w:spacing w:line="270" w:lineRule="atLeast"/>
        <w:sectPr w:rsidR="00D81F69">
          <w:pgSz w:w="11900" w:h="16840"/>
          <w:pgMar w:top="740" w:right="500" w:bottom="640" w:left="620" w:header="0" w:footer="402" w:gutter="0"/>
          <w:cols w:num="2" w:space="720" w:equalWidth="0">
            <w:col w:w="5156" w:space="314"/>
            <w:col w:w="5310"/>
          </w:cols>
        </w:sectPr>
      </w:pPr>
    </w:p>
    <w:p w:rsidR="00D81F69" w:rsidRDefault="00330118">
      <w:pPr>
        <w:pStyle w:val="Corpodetexto"/>
        <w:spacing w:before="81" w:line="312" w:lineRule="auto"/>
        <w:ind w:right="60"/>
      </w:pPr>
      <w:r>
        <w:lastRenderedPageBreak/>
        <w:t xml:space="preserve">o concentrado ultrafino, com teor de 35,2% de fósforo. Em seguida, ambos são enviados ao Complexo Industrial de Uberaba, que dista120 km da usina. Lá, são incorporados na produção de </w:t>
      </w:r>
      <w:r>
        <w:t xml:space="preserve">ácido fosfórico e fertilizantes. Ao todo, o complexo de mineração conta com seis barragens. Cada uma delas acondiciona os rejeitos de magnetita. As barragens são monitoradas pelo sistema integrado de gestão de barragens SIGBAR, que zela pela segurança das </w:t>
      </w:r>
      <w:r>
        <w:t>operações (MINÉRIOS &amp; MINERALES, 2009 apud PINTO et al., 2011).</w:t>
      </w:r>
    </w:p>
    <w:p w:rsidR="00D81F69" w:rsidRDefault="00330118">
      <w:pPr>
        <w:pStyle w:val="Corpodetexto"/>
        <w:spacing w:before="138" w:line="312" w:lineRule="auto"/>
        <w:ind w:right="40"/>
      </w:pPr>
      <w:r>
        <w:t xml:space="preserve">A empresa também tem investido em uma série de ações de </w:t>
      </w:r>
      <w:r>
        <w:rPr>
          <w:spacing w:val="5"/>
        </w:rPr>
        <w:t xml:space="preserve">controle ambiental preventivo, </w:t>
      </w:r>
      <w:r>
        <w:rPr>
          <w:spacing w:val="3"/>
        </w:rPr>
        <w:t xml:space="preserve">como: </w:t>
      </w:r>
      <w:r>
        <w:rPr>
          <w:spacing w:val="5"/>
        </w:rPr>
        <w:t>inventário florestal;</w:t>
      </w:r>
      <w:r>
        <w:rPr>
          <w:spacing w:val="61"/>
        </w:rPr>
        <w:t xml:space="preserve"> </w:t>
      </w:r>
      <w:r>
        <w:rPr>
          <w:spacing w:val="3"/>
        </w:rPr>
        <w:t xml:space="preserve">retirada </w:t>
      </w:r>
      <w:r>
        <w:t xml:space="preserve">e </w:t>
      </w:r>
      <w:r>
        <w:rPr>
          <w:spacing w:val="3"/>
        </w:rPr>
        <w:t xml:space="preserve">estocagem </w:t>
      </w:r>
      <w:r>
        <w:rPr>
          <w:spacing w:val="1"/>
        </w:rPr>
        <w:t xml:space="preserve">da </w:t>
      </w:r>
      <w:r>
        <w:rPr>
          <w:spacing w:val="3"/>
        </w:rPr>
        <w:t xml:space="preserve">camada superficial </w:t>
      </w:r>
      <w:r>
        <w:rPr>
          <w:spacing w:val="1"/>
        </w:rPr>
        <w:t xml:space="preserve">da </w:t>
      </w:r>
      <w:r>
        <w:rPr>
          <w:spacing w:val="5"/>
        </w:rPr>
        <w:t xml:space="preserve">vegetação </w:t>
      </w:r>
      <w:r>
        <w:t>para recomposição das</w:t>
      </w:r>
      <w:r>
        <w:t xml:space="preserve"> áreas na mina, a partir da reutilização deste material; sistemas de drenagem na mina; plantio anual </w:t>
      </w:r>
      <w:r>
        <w:rPr>
          <w:spacing w:val="3"/>
        </w:rPr>
        <w:t xml:space="preserve">superior </w:t>
      </w:r>
      <w:r>
        <w:t xml:space="preserve">a </w:t>
      </w:r>
      <w:r>
        <w:rPr>
          <w:spacing w:val="1"/>
        </w:rPr>
        <w:t xml:space="preserve">30 </w:t>
      </w:r>
      <w:r>
        <w:rPr>
          <w:spacing w:val="2"/>
        </w:rPr>
        <w:t xml:space="preserve">mil </w:t>
      </w:r>
      <w:r>
        <w:rPr>
          <w:spacing w:val="3"/>
        </w:rPr>
        <w:t xml:space="preserve">mudas </w:t>
      </w:r>
      <w:r>
        <w:rPr>
          <w:spacing w:val="1"/>
        </w:rPr>
        <w:t xml:space="preserve">de </w:t>
      </w:r>
      <w:r>
        <w:rPr>
          <w:spacing w:val="3"/>
        </w:rPr>
        <w:t xml:space="preserve">árvores </w:t>
      </w:r>
      <w:r>
        <w:rPr>
          <w:spacing w:val="1"/>
        </w:rPr>
        <w:t xml:space="preserve">de </w:t>
      </w:r>
      <w:r>
        <w:rPr>
          <w:spacing w:val="3"/>
        </w:rPr>
        <w:t xml:space="preserve">diversas </w:t>
      </w:r>
      <w:r>
        <w:rPr>
          <w:spacing w:val="5"/>
        </w:rPr>
        <w:t xml:space="preserve">espécies; </w:t>
      </w:r>
      <w:r>
        <w:t xml:space="preserve">áreas de tanques de produtos com pisos impermeabilizados e </w:t>
      </w:r>
      <w:r>
        <w:rPr>
          <w:spacing w:val="5"/>
        </w:rPr>
        <w:t xml:space="preserve">sistemas </w:t>
      </w:r>
      <w:r>
        <w:rPr>
          <w:spacing w:val="2"/>
        </w:rPr>
        <w:t xml:space="preserve">de </w:t>
      </w:r>
      <w:r>
        <w:rPr>
          <w:spacing w:val="5"/>
        </w:rPr>
        <w:t>contenção secundária; monit</w:t>
      </w:r>
      <w:r>
        <w:rPr>
          <w:spacing w:val="5"/>
        </w:rPr>
        <w:t>oramentos das</w:t>
      </w:r>
      <w:r>
        <w:rPr>
          <w:spacing w:val="61"/>
        </w:rPr>
        <w:t xml:space="preserve"> </w:t>
      </w:r>
      <w:r>
        <w:t>pilhas controladas de estéril e titânio, dentre outras (PINTO et al., 2011).</w:t>
      </w:r>
    </w:p>
    <w:p w:rsidR="00D81F69" w:rsidRDefault="00330118">
      <w:pPr>
        <w:pStyle w:val="Corpodetexto"/>
        <w:spacing w:before="139" w:line="312" w:lineRule="auto"/>
        <w:ind w:right="39"/>
      </w:pPr>
      <w:r>
        <w:t xml:space="preserve">A </w:t>
      </w:r>
      <w:r>
        <w:rPr>
          <w:spacing w:val="3"/>
        </w:rPr>
        <w:t xml:space="preserve">Vale </w:t>
      </w:r>
      <w:r>
        <w:rPr>
          <w:spacing w:val="5"/>
        </w:rPr>
        <w:t xml:space="preserve">Fertilizante afirma </w:t>
      </w:r>
      <w:r>
        <w:rPr>
          <w:spacing w:val="3"/>
        </w:rPr>
        <w:t xml:space="preserve">que </w:t>
      </w:r>
      <w:r>
        <w:rPr>
          <w:spacing w:val="2"/>
        </w:rPr>
        <w:t xml:space="preserve">as </w:t>
      </w:r>
      <w:r>
        <w:rPr>
          <w:spacing w:val="3"/>
        </w:rPr>
        <w:t xml:space="preserve">ações </w:t>
      </w:r>
      <w:r>
        <w:rPr>
          <w:spacing w:val="5"/>
        </w:rPr>
        <w:t>socioambientais</w:t>
      </w:r>
      <w:r>
        <w:rPr>
          <w:spacing w:val="61"/>
        </w:rPr>
        <w:t xml:space="preserve"> </w:t>
      </w:r>
      <w:r>
        <w:t>desenvolvidas pela antiga gestão estão sendo mantidas na nova empresa. Dentre as práticas estão educação ecol</w:t>
      </w:r>
      <w:r>
        <w:t xml:space="preserve">ógica, </w:t>
      </w:r>
      <w:r>
        <w:rPr>
          <w:spacing w:val="2"/>
        </w:rPr>
        <w:t xml:space="preserve">com </w:t>
      </w:r>
      <w:r>
        <w:t xml:space="preserve">o </w:t>
      </w:r>
      <w:r>
        <w:rPr>
          <w:spacing w:val="3"/>
        </w:rPr>
        <w:t xml:space="preserve">objetivo </w:t>
      </w:r>
      <w:r>
        <w:rPr>
          <w:spacing w:val="1"/>
        </w:rPr>
        <w:t xml:space="preserve">de </w:t>
      </w:r>
      <w:r>
        <w:rPr>
          <w:spacing w:val="3"/>
        </w:rPr>
        <w:t xml:space="preserve">encontrar soluções sustentáveis </w:t>
      </w:r>
      <w:r>
        <w:rPr>
          <w:spacing w:val="2"/>
        </w:rPr>
        <w:t xml:space="preserve">para </w:t>
      </w:r>
      <w:r>
        <w:t xml:space="preserve">a </w:t>
      </w:r>
      <w:r>
        <w:rPr>
          <w:spacing w:val="5"/>
        </w:rPr>
        <w:t xml:space="preserve">coleta seletiva </w:t>
      </w:r>
      <w:r>
        <w:rPr>
          <w:spacing w:val="2"/>
        </w:rPr>
        <w:t xml:space="preserve">de </w:t>
      </w:r>
      <w:r>
        <w:rPr>
          <w:spacing w:val="3"/>
        </w:rPr>
        <w:t xml:space="preserve">lixo, </w:t>
      </w:r>
      <w:r>
        <w:t xml:space="preserve">e </w:t>
      </w:r>
      <w:r>
        <w:rPr>
          <w:spacing w:val="5"/>
        </w:rPr>
        <w:t xml:space="preserve">recuperação </w:t>
      </w:r>
      <w:r>
        <w:rPr>
          <w:spacing w:val="2"/>
        </w:rPr>
        <w:t xml:space="preserve">de </w:t>
      </w:r>
      <w:r>
        <w:rPr>
          <w:spacing w:val="3"/>
        </w:rPr>
        <w:t xml:space="preserve">matas </w:t>
      </w:r>
      <w:r>
        <w:rPr>
          <w:spacing w:val="5"/>
        </w:rPr>
        <w:t>ciliares;</w:t>
      </w:r>
      <w:r>
        <w:rPr>
          <w:spacing w:val="61"/>
        </w:rPr>
        <w:t xml:space="preserve"> </w:t>
      </w:r>
      <w:r>
        <w:t xml:space="preserve">programa Fertilizar, com foco na educação para crianças e </w:t>
      </w:r>
      <w:r>
        <w:rPr>
          <w:spacing w:val="5"/>
        </w:rPr>
        <w:t xml:space="preserve">adolescentes; </w:t>
      </w:r>
      <w:r>
        <w:rPr>
          <w:spacing w:val="3"/>
        </w:rPr>
        <w:t xml:space="preserve">além </w:t>
      </w:r>
      <w:r>
        <w:rPr>
          <w:spacing w:val="2"/>
        </w:rPr>
        <w:t xml:space="preserve">de </w:t>
      </w:r>
      <w:r>
        <w:rPr>
          <w:spacing w:val="5"/>
        </w:rPr>
        <w:t xml:space="preserve">patrocínios </w:t>
      </w:r>
      <w:r>
        <w:rPr>
          <w:spacing w:val="2"/>
        </w:rPr>
        <w:t xml:space="preserve">de </w:t>
      </w:r>
      <w:r>
        <w:rPr>
          <w:spacing w:val="5"/>
        </w:rPr>
        <w:t xml:space="preserve">incentivo </w:t>
      </w:r>
      <w:r>
        <w:t xml:space="preserve">à </w:t>
      </w:r>
      <w:r>
        <w:rPr>
          <w:spacing w:val="5"/>
        </w:rPr>
        <w:t xml:space="preserve">cultura (PINTO </w:t>
      </w:r>
      <w:r>
        <w:rPr>
          <w:spacing w:val="2"/>
        </w:rPr>
        <w:t xml:space="preserve">et </w:t>
      </w:r>
      <w:r>
        <w:rPr>
          <w:spacing w:val="3"/>
        </w:rPr>
        <w:t>al.,</w:t>
      </w:r>
      <w:r>
        <w:rPr>
          <w:spacing w:val="2"/>
        </w:rPr>
        <w:t xml:space="preserve"> </w:t>
      </w:r>
      <w:r>
        <w:rPr>
          <w:spacing w:val="5"/>
        </w:rPr>
        <w:t>2011).</w:t>
      </w:r>
    </w:p>
    <w:p w:rsidR="00D81F69" w:rsidRDefault="00330118">
      <w:pPr>
        <w:pStyle w:val="Corpodetexto"/>
        <w:spacing w:before="138" w:line="312" w:lineRule="auto"/>
        <w:ind w:right="38"/>
      </w:pPr>
      <w:r>
        <w:rPr>
          <w:spacing w:val="5"/>
        </w:rPr>
        <w:t xml:space="preserve">Entretanto, analisando </w:t>
      </w:r>
      <w:r>
        <w:rPr>
          <w:spacing w:val="2"/>
        </w:rPr>
        <w:t xml:space="preserve">os </w:t>
      </w:r>
      <w:r>
        <w:rPr>
          <w:spacing w:val="5"/>
        </w:rPr>
        <w:t>investimentos socioambientais</w:t>
      </w:r>
      <w:r>
        <w:rPr>
          <w:spacing w:val="61"/>
        </w:rPr>
        <w:t xml:space="preserve"> </w:t>
      </w:r>
      <w:r>
        <w:rPr>
          <w:spacing w:val="5"/>
        </w:rPr>
        <w:t xml:space="preserve">feitos </w:t>
      </w:r>
      <w:r>
        <w:rPr>
          <w:spacing w:val="2"/>
        </w:rPr>
        <w:t xml:space="preserve">na </w:t>
      </w:r>
      <w:r>
        <w:rPr>
          <w:spacing w:val="5"/>
        </w:rPr>
        <w:t xml:space="preserve">época </w:t>
      </w:r>
      <w:r>
        <w:rPr>
          <w:spacing w:val="2"/>
        </w:rPr>
        <w:t xml:space="preserve">da </w:t>
      </w:r>
      <w:r>
        <w:rPr>
          <w:spacing w:val="5"/>
        </w:rPr>
        <w:t xml:space="preserve">Fosfértil percebe-se </w:t>
      </w:r>
      <w:r>
        <w:rPr>
          <w:spacing w:val="3"/>
        </w:rPr>
        <w:t xml:space="preserve">que </w:t>
      </w:r>
      <w:r>
        <w:rPr>
          <w:spacing w:val="5"/>
        </w:rPr>
        <w:t xml:space="preserve">Tapira </w:t>
      </w:r>
      <w:r>
        <w:rPr>
          <w:spacing w:val="6"/>
        </w:rPr>
        <w:t xml:space="preserve">não </w:t>
      </w:r>
      <w:r>
        <w:rPr>
          <w:spacing w:val="5"/>
        </w:rPr>
        <w:t xml:space="preserve">recebeu esse tipo </w:t>
      </w:r>
      <w:r>
        <w:rPr>
          <w:spacing w:val="3"/>
        </w:rPr>
        <w:t xml:space="preserve">de </w:t>
      </w:r>
      <w:r>
        <w:rPr>
          <w:spacing w:val="6"/>
        </w:rPr>
        <w:t xml:space="preserve">programas </w:t>
      </w:r>
      <w:r>
        <w:rPr>
          <w:spacing w:val="3"/>
        </w:rPr>
        <w:t xml:space="preserve">de </w:t>
      </w:r>
      <w:r>
        <w:rPr>
          <w:spacing w:val="5"/>
        </w:rPr>
        <w:t xml:space="preserve">forma </w:t>
      </w:r>
      <w:r>
        <w:rPr>
          <w:spacing w:val="7"/>
        </w:rPr>
        <w:t xml:space="preserve">consistente. </w:t>
      </w:r>
      <w:r>
        <w:t xml:space="preserve">Mesmo assim, não haveria como afirmar que a comunidade e a </w:t>
      </w:r>
      <w:r>
        <w:rPr>
          <w:spacing w:val="3"/>
        </w:rPr>
        <w:t xml:space="preserve">empresa vivam </w:t>
      </w:r>
      <w:r>
        <w:rPr>
          <w:spacing w:val="1"/>
        </w:rPr>
        <w:t xml:space="preserve">em um </w:t>
      </w:r>
      <w:r>
        <w:rPr>
          <w:spacing w:val="3"/>
        </w:rPr>
        <w:t xml:space="preserve">clima </w:t>
      </w:r>
      <w:r>
        <w:rPr>
          <w:spacing w:val="3"/>
        </w:rPr>
        <w:t xml:space="preserve">conflituoso (PINTO </w:t>
      </w:r>
      <w:r>
        <w:rPr>
          <w:spacing w:val="1"/>
        </w:rPr>
        <w:t xml:space="preserve">et </w:t>
      </w:r>
      <w:r>
        <w:rPr>
          <w:spacing w:val="5"/>
        </w:rPr>
        <w:t>al., 2011).</w:t>
      </w:r>
    </w:p>
    <w:p w:rsidR="00D81F69" w:rsidRDefault="00330118">
      <w:pPr>
        <w:pStyle w:val="Corpodetexto"/>
        <w:spacing w:before="135" w:line="312" w:lineRule="auto"/>
        <w:ind w:right="40"/>
      </w:pPr>
      <w:r>
        <w:t xml:space="preserve">Ao contrário do que ocorre em Araxá, não há processos de </w:t>
      </w:r>
      <w:r>
        <w:rPr>
          <w:spacing w:val="1"/>
        </w:rPr>
        <w:t xml:space="preserve">transformação mineral </w:t>
      </w:r>
      <w:r>
        <w:t xml:space="preserve">em </w:t>
      </w:r>
      <w:r>
        <w:rPr>
          <w:spacing w:val="1"/>
        </w:rPr>
        <w:t xml:space="preserve">Tapira, pois estes </w:t>
      </w:r>
      <w:r>
        <w:t xml:space="preserve">são </w:t>
      </w:r>
      <w:r>
        <w:rPr>
          <w:spacing w:val="1"/>
        </w:rPr>
        <w:t xml:space="preserve">feitos </w:t>
      </w:r>
      <w:r>
        <w:rPr>
          <w:spacing w:val="2"/>
        </w:rPr>
        <w:t xml:space="preserve">em </w:t>
      </w:r>
      <w:r>
        <w:rPr>
          <w:spacing w:val="10"/>
        </w:rPr>
        <w:t xml:space="preserve">Uberaba. Tapira participa </w:t>
      </w:r>
      <w:r>
        <w:rPr>
          <w:spacing w:val="5"/>
        </w:rPr>
        <w:t xml:space="preserve">da </w:t>
      </w:r>
      <w:r>
        <w:rPr>
          <w:spacing w:val="10"/>
        </w:rPr>
        <w:t xml:space="preserve">cadeia produtiva </w:t>
      </w:r>
      <w:r>
        <w:rPr>
          <w:spacing w:val="11"/>
        </w:rPr>
        <w:t xml:space="preserve">como </w:t>
      </w:r>
      <w:r>
        <w:t>fornecedor de concentrado de matéria prima para fabricaç</w:t>
      </w:r>
      <w:r>
        <w:t xml:space="preserve">ão dos fertilizantes. A transformação mineral é o processo </w:t>
      </w:r>
      <w:r>
        <w:rPr>
          <w:spacing w:val="1"/>
        </w:rPr>
        <w:t xml:space="preserve">que </w:t>
      </w:r>
      <w:r>
        <w:t xml:space="preserve">mais causa danos ao meio ambiente, mas, por outro lado, é </w:t>
      </w:r>
      <w:r>
        <w:rPr>
          <w:spacing w:val="2"/>
        </w:rPr>
        <w:t xml:space="preserve">no </w:t>
      </w:r>
      <w:r>
        <w:rPr>
          <w:spacing w:val="3"/>
        </w:rPr>
        <w:t xml:space="preserve">seu </w:t>
      </w:r>
      <w:r>
        <w:rPr>
          <w:spacing w:val="5"/>
        </w:rPr>
        <w:t xml:space="preserve">entorno </w:t>
      </w:r>
      <w:r>
        <w:rPr>
          <w:spacing w:val="3"/>
        </w:rPr>
        <w:t xml:space="preserve">que giram mais </w:t>
      </w:r>
      <w:r>
        <w:rPr>
          <w:spacing w:val="5"/>
        </w:rPr>
        <w:t xml:space="preserve">empregos (PINTO </w:t>
      </w:r>
      <w:r>
        <w:rPr>
          <w:spacing w:val="2"/>
        </w:rPr>
        <w:t xml:space="preserve">et </w:t>
      </w:r>
      <w:r>
        <w:rPr>
          <w:spacing w:val="5"/>
        </w:rPr>
        <w:t>al.,</w:t>
      </w:r>
      <w:r>
        <w:rPr>
          <w:spacing w:val="61"/>
        </w:rPr>
        <w:t xml:space="preserve"> </w:t>
      </w:r>
      <w:r>
        <w:rPr>
          <w:spacing w:val="5"/>
        </w:rPr>
        <w:t>2011).</w:t>
      </w:r>
    </w:p>
    <w:p w:rsidR="00D81F69" w:rsidRDefault="00330118">
      <w:pPr>
        <w:pStyle w:val="Corpodetexto"/>
        <w:spacing w:before="138" w:line="312" w:lineRule="auto"/>
        <w:ind w:right="44"/>
      </w:pPr>
      <w:r>
        <w:t>O estudo de caso intitulado Grandes Minas e Comunidades, envolvendo o maio</w:t>
      </w:r>
      <w:r>
        <w:t>r polo produtor de rochas fosfáticas e de nióbio do país, revelou que há um bom nível de aceitação da atividade mineral pelas comunidades analisadas. Tal aceitação impressiona quando comparada à realidade conflituosa de outro polos mineradores do país (PIN</w:t>
      </w:r>
      <w:r>
        <w:t>TO et al., 2011).</w:t>
      </w:r>
    </w:p>
    <w:p w:rsidR="00D81F69" w:rsidRDefault="00330118">
      <w:pPr>
        <w:pStyle w:val="Corpodetexto"/>
        <w:spacing w:before="73" w:line="270" w:lineRule="atLeast"/>
        <w:ind w:right="46"/>
      </w:pPr>
      <w:r>
        <w:t xml:space="preserve">Mas, se em Araxá já ocorreram graves acidentes ambientais, em Tapira preocupam a forte dependência econômica, social e </w:t>
      </w:r>
      <w:r>
        <w:rPr>
          <w:spacing w:val="8"/>
        </w:rPr>
        <w:t xml:space="preserve">cultural </w:t>
      </w:r>
      <w:r>
        <w:rPr>
          <w:spacing w:val="5"/>
        </w:rPr>
        <w:t xml:space="preserve">do </w:t>
      </w:r>
      <w:r>
        <w:rPr>
          <w:spacing w:val="8"/>
        </w:rPr>
        <w:t xml:space="preserve">município </w:t>
      </w:r>
      <w:r>
        <w:rPr>
          <w:spacing w:val="5"/>
        </w:rPr>
        <w:t xml:space="preserve">em </w:t>
      </w:r>
      <w:r>
        <w:rPr>
          <w:spacing w:val="8"/>
        </w:rPr>
        <w:t xml:space="preserve">relação </w:t>
      </w:r>
      <w:r>
        <w:t xml:space="preserve">à </w:t>
      </w:r>
      <w:r>
        <w:rPr>
          <w:spacing w:val="8"/>
        </w:rPr>
        <w:t xml:space="preserve">mineração </w:t>
      </w:r>
      <w:r>
        <w:t>e a inexistência, até o momento, de um plano sustentável para o momento pós-desativação da atividade mineral (PINTO et al., 2011).</w:t>
      </w:r>
    </w:p>
    <w:p w:rsidR="00D81F69" w:rsidRDefault="00330118">
      <w:pPr>
        <w:pStyle w:val="Corpodetexto"/>
        <w:ind w:left="0"/>
        <w:jc w:val="left"/>
        <w:rPr>
          <w:sz w:val="22"/>
        </w:rPr>
      </w:pPr>
      <w:r>
        <w:br w:type="column"/>
      </w:r>
    </w:p>
    <w:p w:rsidR="00D81F69" w:rsidRDefault="00330118">
      <w:pPr>
        <w:pStyle w:val="Heading7"/>
        <w:spacing w:before="139"/>
        <w:jc w:val="left"/>
      </w:pPr>
      <w:r>
        <w:t>LOCALIZAÇÃO GEOGRÁFICA</w:t>
      </w:r>
    </w:p>
    <w:p w:rsidR="00D81F69" w:rsidRDefault="00330118">
      <w:pPr>
        <w:pStyle w:val="Corpodetexto"/>
        <w:spacing w:before="179" w:line="312" w:lineRule="auto"/>
        <w:ind w:right="216"/>
      </w:pPr>
      <w:r>
        <w:t xml:space="preserve">O município de Araxá possui quatro minas de nióbio e uma de fósforo. As minas estão localizadas entre o rio Capivara e o Córrego Fundo, na sub-bacia do rio Araguari, tributário do rio Paraná. Os impactos estão compreendidos entre as latitudes 19°35’27”S – </w:t>
      </w:r>
      <w:r>
        <w:t>19°40’15”S e as longitudes 46°54’30”W -</w:t>
      </w:r>
    </w:p>
    <w:p w:rsidR="00D81F69" w:rsidRDefault="00330118">
      <w:pPr>
        <w:pStyle w:val="Corpodetexto"/>
        <w:spacing w:before="5"/>
      </w:pPr>
      <w:r>
        <w:t>46°57’1”W.</w:t>
      </w:r>
    </w:p>
    <w:p w:rsidR="00D81F69" w:rsidRDefault="00D81F69">
      <w:pPr>
        <w:pStyle w:val="Corpodetexto"/>
        <w:ind w:left="0"/>
        <w:jc w:val="left"/>
        <w:rPr>
          <w:sz w:val="20"/>
        </w:rPr>
      </w:pPr>
    </w:p>
    <w:p w:rsidR="00D81F69" w:rsidRDefault="00330118">
      <w:pPr>
        <w:pStyle w:val="Heading7"/>
        <w:spacing w:before="164"/>
      </w:pPr>
      <w:r>
        <w:t>REDATORES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7"/>
        <w:ind w:left="100"/>
        <w:jc w:val="both"/>
        <w:rPr>
          <w:sz w:val="16"/>
        </w:rPr>
      </w:pPr>
      <w:r>
        <w:rPr>
          <w:sz w:val="16"/>
        </w:rPr>
        <w:t>BEATO, Décio Antonio Chaves; VIANA, Haroldo S.; DAVIS, Elizabeth</w:t>
      </w:r>
    </w:p>
    <w:p w:rsidR="00D81F69" w:rsidRDefault="00330118">
      <w:pPr>
        <w:tabs>
          <w:tab w:val="left" w:pos="1119"/>
          <w:tab w:val="left" w:pos="2444"/>
          <w:tab w:val="left" w:pos="4634"/>
        </w:tabs>
        <w:spacing w:before="56" w:line="312" w:lineRule="auto"/>
        <w:ind w:left="100" w:right="232"/>
        <w:rPr>
          <w:sz w:val="16"/>
        </w:rPr>
      </w:pPr>
      <w:r>
        <w:rPr>
          <w:sz w:val="16"/>
        </w:rPr>
        <w:t xml:space="preserve">G. </w:t>
      </w:r>
      <w:r>
        <w:rPr>
          <w:spacing w:val="1"/>
          <w:sz w:val="16"/>
        </w:rPr>
        <w:t xml:space="preserve">Hidrogeologia </w:t>
      </w:r>
      <w:r>
        <w:rPr>
          <w:sz w:val="16"/>
        </w:rPr>
        <w:t xml:space="preserve">do </w:t>
      </w:r>
      <w:r>
        <w:rPr>
          <w:spacing w:val="1"/>
          <w:sz w:val="16"/>
        </w:rPr>
        <w:t xml:space="preserve">Complexo Carbonatítico </w:t>
      </w:r>
      <w:r>
        <w:rPr>
          <w:sz w:val="16"/>
        </w:rPr>
        <w:t xml:space="preserve">do  </w:t>
      </w:r>
      <w:r>
        <w:rPr>
          <w:spacing w:val="1"/>
          <w:sz w:val="16"/>
        </w:rPr>
        <w:t xml:space="preserve">Barreiro, Araxá </w:t>
      </w:r>
      <w:r>
        <w:rPr>
          <w:sz w:val="16"/>
        </w:rPr>
        <w:t xml:space="preserve">–  M </w:t>
      </w:r>
      <w:r>
        <w:rPr>
          <w:spacing w:val="12"/>
          <w:sz w:val="16"/>
        </w:rPr>
        <w:t xml:space="preserve"> </w:t>
      </w:r>
      <w:r>
        <w:rPr>
          <w:sz w:val="16"/>
        </w:rPr>
        <w:t>G</w:t>
      </w:r>
      <w:r>
        <w:rPr>
          <w:sz w:val="16"/>
        </w:rPr>
        <w:t xml:space="preserve"> </w:t>
      </w:r>
      <w:r>
        <w:rPr>
          <w:spacing w:val="12"/>
          <w:sz w:val="16"/>
        </w:rPr>
        <w:t xml:space="preserve"> </w:t>
      </w:r>
      <w:r>
        <w:rPr>
          <w:sz w:val="16"/>
        </w:rPr>
        <w:t>,</w:t>
      </w:r>
      <w:r>
        <w:rPr>
          <w:sz w:val="16"/>
        </w:rPr>
        <w:tab/>
        <w:t>2   0   0</w:t>
      </w:r>
      <w:r>
        <w:rPr>
          <w:spacing w:val="-3"/>
          <w:sz w:val="16"/>
        </w:rPr>
        <w:t xml:space="preserve"> </w:t>
      </w:r>
      <w:r>
        <w:rPr>
          <w:sz w:val="16"/>
        </w:rPr>
        <w:t xml:space="preserve">4 </w:t>
      </w:r>
      <w:r>
        <w:rPr>
          <w:spacing w:val="12"/>
          <w:sz w:val="16"/>
        </w:rPr>
        <w:t xml:space="preserve"> </w:t>
      </w:r>
      <w:r>
        <w:rPr>
          <w:sz w:val="16"/>
        </w:rPr>
        <w:t>.</w:t>
      </w:r>
      <w:r>
        <w:rPr>
          <w:sz w:val="16"/>
        </w:rPr>
        <w:tab/>
        <w:t xml:space="preserve">D </w:t>
      </w:r>
      <w:r>
        <w:rPr>
          <w:spacing w:val="12"/>
          <w:sz w:val="16"/>
        </w:rPr>
        <w:t xml:space="preserve"> </w:t>
      </w:r>
      <w:r>
        <w:rPr>
          <w:sz w:val="16"/>
        </w:rPr>
        <w:t xml:space="preserve">i </w:t>
      </w:r>
      <w:r>
        <w:rPr>
          <w:spacing w:val="12"/>
          <w:sz w:val="16"/>
        </w:rPr>
        <w:t xml:space="preserve"> </w:t>
      </w:r>
      <w:r>
        <w:rPr>
          <w:sz w:val="16"/>
        </w:rPr>
        <w:t xml:space="preserve">s </w:t>
      </w:r>
      <w:r>
        <w:rPr>
          <w:spacing w:val="12"/>
          <w:sz w:val="16"/>
        </w:rPr>
        <w:t xml:space="preserve"> </w:t>
      </w:r>
      <w:r>
        <w:rPr>
          <w:sz w:val="16"/>
        </w:rPr>
        <w:t xml:space="preserve">p </w:t>
      </w:r>
      <w:r>
        <w:rPr>
          <w:spacing w:val="12"/>
          <w:sz w:val="16"/>
        </w:rPr>
        <w:t xml:space="preserve"> </w:t>
      </w:r>
      <w:r>
        <w:rPr>
          <w:sz w:val="16"/>
        </w:rPr>
        <w:t xml:space="preserve">o </w:t>
      </w:r>
      <w:r>
        <w:rPr>
          <w:spacing w:val="12"/>
          <w:sz w:val="16"/>
        </w:rPr>
        <w:t xml:space="preserve"> </w:t>
      </w:r>
      <w:r>
        <w:rPr>
          <w:sz w:val="16"/>
        </w:rPr>
        <w:t xml:space="preserve">n </w:t>
      </w:r>
      <w:r>
        <w:rPr>
          <w:spacing w:val="12"/>
          <w:sz w:val="16"/>
        </w:rPr>
        <w:t xml:space="preserve"> </w:t>
      </w:r>
      <w:r>
        <w:rPr>
          <w:sz w:val="16"/>
        </w:rPr>
        <w:t xml:space="preserve">í </w:t>
      </w:r>
      <w:r>
        <w:rPr>
          <w:spacing w:val="12"/>
          <w:sz w:val="16"/>
        </w:rPr>
        <w:t xml:space="preserve"> </w:t>
      </w:r>
      <w:r>
        <w:rPr>
          <w:sz w:val="16"/>
        </w:rPr>
        <w:t xml:space="preserve">v </w:t>
      </w:r>
      <w:r>
        <w:rPr>
          <w:spacing w:val="12"/>
          <w:sz w:val="16"/>
        </w:rPr>
        <w:t xml:space="preserve"> </w:t>
      </w:r>
      <w:r>
        <w:rPr>
          <w:sz w:val="16"/>
        </w:rPr>
        <w:t xml:space="preserve">e </w:t>
      </w:r>
      <w:r>
        <w:rPr>
          <w:spacing w:val="12"/>
          <w:sz w:val="16"/>
        </w:rPr>
        <w:t xml:space="preserve"> </w:t>
      </w:r>
      <w:r>
        <w:rPr>
          <w:sz w:val="16"/>
        </w:rPr>
        <w:t>l</w:t>
      </w:r>
      <w:r>
        <w:rPr>
          <w:sz w:val="16"/>
        </w:rPr>
        <w:tab/>
        <w:t>e m</w:t>
      </w:r>
      <w:r>
        <w:rPr>
          <w:spacing w:val="26"/>
          <w:sz w:val="16"/>
        </w:rPr>
        <w:t xml:space="preserve"> </w:t>
      </w:r>
      <w:r>
        <w:rPr>
          <w:sz w:val="16"/>
        </w:rPr>
        <w:t>:</w:t>
      </w:r>
    </w:p>
    <w:p w:rsidR="00D81F69" w:rsidRDefault="00330118">
      <w:pPr>
        <w:spacing w:before="2" w:line="312" w:lineRule="auto"/>
        <w:ind w:left="100" w:right="159"/>
        <w:rPr>
          <w:sz w:val="16"/>
        </w:rPr>
      </w:pPr>
      <w:r>
        <w:rPr>
          <w:sz w:val="16"/>
        </w:rPr>
        <w:t>&lt;sbgeo.org.br/pub_sbg/cbg/2004ARAXA/20_1106_BEATODAC.pdf&gt;. Acesso em: 21 set. 2010.</w:t>
      </w:r>
    </w:p>
    <w:p w:rsidR="00D81F69" w:rsidRDefault="00330118">
      <w:pPr>
        <w:spacing w:before="2"/>
        <w:ind w:left="100"/>
        <w:rPr>
          <w:sz w:val="16"/>
        </w:rPr>
      </w:pPr>
      <w:r>
        <w:rPr>
          <w:sz w:val="16"/>
        </w:rPr>
        <w:t>BIODIESEL.BR.COM. Radiação e radioatividade. Disponível em:</w:t>
      </w:r>
    </w:p>
    <w:p w:rsidR="00D81F69" w:rsidRDefault="00D81F69">
      <w:pPr>
        <w:spacing w:before="56" w:line="312" w:lineRule="auto"/>
        <w:ind w:left="100" w:right="159"/>
        <w:rPr>
          <w:sz w:val="16"/>
        </w:rPr>
      </w:pPr>
      <w:hyperlink r:id="rId1306">
        <w:r w:rsidR="00330118">
          <w:rPr>
            <w:spacing w:val="18"/>
            <w:sz w:val="16"/>
          </w:rPr>
          <w:t xml:space="preserve">&lt;http://www.biodieselbr.com/energia/nuclear/radiacao- </w:t>
        </w:r>
      </w:hyperlink>
      <w:r w:rsidR="00330118">
        <w:rPr>
          <w:spacing w:val="18"/>
          <w:sz w:val="16"/>
        </w:rPr>
        <w:t xml:space="preserve">radioatividade.htm&gt;. </w:t>
      </w:r>
      <w:r w:rsidR="00330118">
        <w:rPr>
          <w:spacing w:val="15"/>
          <w:sz w:val="16"/>
        </w:rPr>
        <w:t>Acesso</w:t>
      </w:r>
      <w:r w:rsidR="00330118">
        <w:rPr>
          <w:spacing w:val="75"/>
          <w:sz w:val="16"/>
        </w:rPr>
        <w:t xml:space="preserve"> </w:t>
      </w:r>
      <w:r w:rsidR="00330118">
        <w:rPr>
          <w:spacing w:val="12"/>
          <w:sz w:val="16"/>
        </w:rPr>
        <w:t xml:space="preserve">em: </w:t>
      </w:r>
      <w:r w:rsidR="00330118">
        <w:rPr>
          <w:spacing w:val="10"/>
          <w:sz w:val="16"/>
        </w:rPr>
        <w:t xml:space="preserve">15 </w:t>
      </w:r>
      <w:r w:rsidR="00330118">
        <w:rPr>
          <w:spacing w:val="15"/>
          <w:sz w:val="16"/>
        </w:rPr>
        <w:t>set. 2010.</w:t>
      </w:r>
      <w:r w:rsidR="00330118">
        <w:rPr>
          <w:spacing w:val="-23"/>
          <w:sz w:val="16"/>
        </w:rPr>
        <w:t xml:space="preserve"> </w:t>
      </w:r>
    </w:p>
    <w:p w:rsidR="00D81F69" w:rsidRDefault="00330118">
      <w:pPr>
        <w:spacing w:before="1" w:line="312" w:lineRule="auto"/>
        <w:ind w:left="100" w:right="159"/>
        <w:rPr>
          <w:sz w:val="16"/>
        </w:rPr>
      </w:pPr>
      <w:r>
        <w:rPr>
          <w:sz w:val="16"/>
        </w:rPr>
        <w:t>BRASIL MINERAL. Ferro-nióbio. CBMM expande de olho no mercado chinês. Brasil Mineral Online, n. 323, 10 out. 2007. Disponível em:</w:t>
      </w:r>
    </w:p>
    <w:p w:rsidR="00D81F69" w:rsidRDefault="00D81F69">
      <w:pPr>
        <w:spacing w:before="2" w:line="312" w:lineRule="auto"/>
        <w:ind w:left="100" w:right="159"/>
        <w:rPr>
          <w:sz w:val="16"/>
        </w:rPr>
      </w:pPr>
      <w:hyperlink r:id="rId1307">
        <w:r w:rsidR="00330118">
          <w:rPr>
            <w:sz w:val="16"/>
          </w:rPr>
          <w:t>&lt;http://www.brasilmineral.com.br/BM/default.asp?COD=3225&amp;busca=</w:t>
        </w:r>
      </w:hyperlink>
      <w:r w:rsidR="00330118">
        <w:rPr>
          <w:sz w:val="16"/>
        </w:rPr>
        <w:t xml:space="preserve"> &amp;numero=323&gt;. Acesso em: 21 set. 2010.</w:t>
      </w:r>
    </w:p>
    <w:p w:rsidR="00D81F69" w:rsidRDefault="00330118">
      <w:pPr>
        <w:spacing w:before="2"/>
        <w:ind w:left="100"/>
        <w:jc w:val="both"/>
        <w:rPr>
          <w:sz w:val="16"/>
        </w:rPr>
      </w:pPr>
      <w:r>
        <w:rPr>
          <w:sz w:val="16"/>
        </w:rPr>
        <w:t>CÉSAR, Alexandre. Água Mineral Araxá só em 2011. In: Portal Araxá,</w:t>
      </w:r>
    </w:p>
    <w:p w:rsidR="00D81F69" w:rsidRDefault="00330118">
      <w:pPr>
        <w:spacing w:before="56"/>
        <w:ind w:left="100"/>
        <w:jc w:val="both"/>
        <w:rPr>
          <w:sz w:val="16"/>
        </w:rPr>
      </w:pPr>
      <w:r>
        <w:rPr>
          <w:sz w:val="16"/>
        </w:rPr>
        <w:t xml:space="preserve">1 7  </w:t>
      </w:r>
      <w:r>
        <w:rPr>
          <w:sz w:val="16"/>
        </w:rPr>
        <w:t xml:space="preserve">       s e t .         2 0 1 0 .         D i s p o n í v e l         e m :  </w:t>
      </w:r>
    </w:p>
    <w:p w:rsidR="00D81F69" w:rsidRDefault="00D81F69">
      <w:pPr>
        <w:spacing w:before="56"/>
        <w:ind w:left="100"/>
        <w:jc w:val="both"/>
        <w:rPr>
          <w:sz w:val="16"/>
        </w:rPr>
      </w:pPr>
      <w:hyperlink r:id="rId1308">
        <w:r w:rsidR="00330118">
          <w:rPr>
            <w:sz w:val="16"/>
          </w:rPr>
          <w:t>&lt;http://www.portalaraxa.com.br/portalaraxa/noticia/noticiadetalhe.php</w:t>
        </w:r>
      </w:hyperlink>
    </w:p>
    <w:p w:rsidR="00D81F69" w:rsidRDefault="00330118">
      <w:pPr>
        <w:spacing w:before="56"/>
        <w:ind w:left="100"/>
        <w:jc w:val="both"/>
        <w:rPr>
          <w:sz w:val="16"/>
        </w:rPr>
      </w:pPr>
      <w:r>
        <w:rPr>
          <w:sz w:val="16"/>
        </w:rPr>
        <w:t>?NOTICIA_ID=2073&gt;. Aces</w:t>
      </w:r>
      <w:r>
        <w:rPr>
          <w:sz w:val="16"/>
        </w:rPr>
        <w:t>so em: 21 set. 2010.</w:t>
      </w:r>
    </w:p>
    <w:p w:rsidR="00D81F69" w:rsidRDefault="00330118">
      <w:pPr>
        <w:tabs>
          <w:tab w:val="left" w:pos="2559"/>
          <w:tab w:val="left" w:pos="5063"/>
        </w:tabs>
        <w:spacing w:before="56" w:line="312" w:lineRule="auto"/>
        <w:ind w:left="100" w:right="197"/>
        <w:jc w:val="both"/>
        <w:rPr>
          <w:sz w:val="16"/>
        </w:rPr>
      </w:pPr>
      <w:r>
        <w:rPr>
          <w:sz w:val="16"/>
        </w:rPr>
        <w:t>DCI, Diário Comércio, Indústria e Serviços. Líder mundial em nióbio, CBMM busca reação pós-crise. In: Ibram, 20 out. 2009. Disponível     e</w:t>
      </w:r>
      <w:r>
        <w:rPr>
          <w:sz w:val="16"/>
        </w:rPr>
        <w:tab/>
        <w:t>m</w:t>
      </w:r>
      <w:r>
        <w:rPr>
          <w:sz w:val="16"/>
        </w:rPr>
        <w:tab/>
        <w:t>:</w:t>
      </w:r>
    </w:p>
    <w:p w:rsidR="00D81F69" w:rsidRDefault="00D81F69">
      <w:pPr>
        <w:spacing w:before="2" w:line="312" w:lineRule="auto"/>
        <w:ind w:left="100" w:right="159"/>
        <w:rPr>
          <w:sz w:val="16"/>
        </w:rPr>
      </w:pPr>
      <w:hyperlink r:id="rId1309">
        <w:r w:rsidR="00330118">
          <w:rPr>
            <w:sz w:val="16"/>
          </w:rPr>
          <w:t>&lt;http://www.ibra</w:t>
        </w:r>
        <w:r w:rsidR="00330118">
          <w:rPr>
            <w:sz w:val="16"/>
          </w:rPr>
          <w:t>m.org.br/150/15001002.asp?ttCD_CHAVE=95061&gt;.</w:t>
        </w:r>
      </w:hyperlink>
      <w:r w:rsidR="00330118">
        <w:rPr>
          <w:sz w:val="16"/>
        </w:rPr>
        <w:t xml:space="preserve"> Acesso em: 16 set. 2010.</w:t>
      </w:r>
    </w:p>
    <w:p w:rsidR="00D81F69" w:rsidRDefault="00330118">
      <w:pPr>
        <w:spacing w:before="2" w:line="312" w:lineRule="auto"/>
        <w:ind w:left="100" w:right="159"/>
        <w:rPr>
          <w:sz w:val="16"/>
        </w:rPr>
      </w:pPr>
      <w:r>
        <w:rPr>
          <w:sz w:val="16"/>
        </w:rPr>
        <w:t xml:space="preserve">DIÁRIO DE ARAXÁ. CBMM apresenta defesa à ação movida pelos moradores do Barreiro, 19 fev. 2009. Disponível em: </w:t>
      </w:r>
    </w:p>
    <w:p w:rsidR="00D81F69" w:rsidRDefault="00D81F69">
      <w:pPr>
        <w:spacing w:before="1" w:line="312" w:lineRule="auto"/>
        <w:ind w:left="100" w:right="159"/>
        <w:rPr>
          <w:sz w:val="16"/>
        </w:rPr>
      </w:pPr>
      <w:hyperlink r:id="rId1310">
        <w:r w:rsidR="00330118">
          <w:rPr>
            <w:sz w:val="16"/>
          </w:rPr>
          <w:t>&lt;http://www.diariodearaxa.com.br/index.php?go=noticia&amp;ed=20&amp;id=1</w:t>
        </w:r>
      </w:hyperlink>
      <w:r w:rsidR="00330118">
        <w:rPr>
          <w:sz w:val="16"/>
        </w:rPr>
        <w:t xml:space="preserve"> 652&gt;. Acesso em: 21 set. 2010.</w:t>
      </w:r>
    </w:p>
    <w:p w:rsidR="00D81F69" w:rsidRDefault="00330118">
      <w:pPr>
        <w:tabs>
          <w:tab w:val="left" w:pos="637"/>
        </w:tabs>
        <w:spacing w:before="2" w:line="312" w:lineRule="auto"/>
        <w:ind w:left="100" w:right="171"/>
        <w:rPr>
          <w:sz w:val="16"/>
        </w:rPr>
      </w:pPr>
      <w:r>
        <w:rPr>
          <w:sz w:val="16"/>
          <w:u w:val="single"/>
        </w:rPr>
        <w:t xml:space="preserve"> </w:t>
      </w:r>
      <w:r>
        <w:rPr>
          <w:sz w:val="16"/>
          <w:u w:val="single"/>
        </w:rPr>
        <w:tab/>
      </w:r>
      <w:r>
        <w:rPr>
          <w:sz w:val="16"/>
        </w:rPr>
        <w:t xml:space="preserve">. Moradores processam mineradoras e pedem indenização de </w:t>
      </w:r>
      <w:r>
        <w:rPr>
          <w:spacing w:val="13"/>
          <w:sz w:val="16"/>
        </w:rPr>
        <w:t xml:space="preserve">R$ </w:t>
      </w:r>
      <w:r>
        <w:rPr>
          <w:spacing w:val="20"/>
          <w:sz w:val="16"/>
        </w:rPr>
        <w:t>16,3</w:t>
      </w:r>
      <w:r>
        <w:rPr>
          <w:spacing w:val="85"/>
          <w:sz w:val="16"/>
        </w:rPr>
        <w:t xml:space="preserve"> </w:t>
      </w:r>
      <w:r>
        <w:rPr>
          <w:spacing w:val="23"/>
          <w:sz w:val="16"/>
        </w:rPr>
        <w:t xml:space="preserve">milhões, </w:t>
      </w:r>
      <w:r>
        <w:rPr>
          <w:sz w:val="16"/>
        </w:rPr>
        <w:t xml:space="preserve">7 </w:t>
      </w:r>
      <w:r>
        <w:rPr>
          <w:spacing w:val="20"/>
          <w:sz w:val="16"/>
        </w:rPr>
        <w:t>nov.</w:t>
      </w:r>
      <w:r>
        <w:rPr>
          <w:spacing w:val="85"/>
          <w:sz w:val="16"/>
        </w:rPr>
        <w:t xml:space="preserve"> </w:t>
      </w:r>
      <w:r>
        <w:rPr>
          <w:spacing w:val="21"/>
          <w:sz w:val="16"/>
        </w:rPr>
        <w:t xml:space="preserve">2008. </w:t>
      </w:r>
      <w:r>
        <w:rPr>
          <w:spacing w:val="25"/>
          <w:sz w:val="16"/>
        </w:rPr>
        <w:t>Disponível</w:t>
      </w:r>
      <w:r>
        <w:rPr>
          <w:spacing w:val="78"/>
          <w:sz w:val="16"/>
        </w:rPr>
        <w:t xml:space="preserve"> </w:t>
      </w:r>
      <w:r>
        <w:rPr>
          <w:spacing w:val="17"/>
          <w:sz w:val="16"/>
        </w:rPr>
        <w:t>em:</w:t>
      </w:r>
      <w:r>
        <w:rPr>
          <w:spacing w:val="-16"/>
          <w:sz w:val="16"/>
        </w:rPr>
        <w:t xml:space="preserve"> </w:t>
      </w:r>
    </w:p>
    <w:p w:rsidR="00D81F69" w:rsidRDefault="00D81F69">
      <w:pPr>
        <w:spacing w:before="2" w:line="312" w:lineRule="auto"/>
        <w:ind w:left="100" w:right="159"/>
        <w:rPr>
          <w:sz w:val="16"/>
        </w:rPr>
      </w:pPr>
      <w:hyperlink r:id="rId1311">
        <w:r w:rsidR="00330118">
          <w:rPr>
            <w:sz w:val="16"/>
          </w:rPr>
          <w:t>&lt;http://www.diariodearaxa.com.br/index.php?go=noticia&amp;ed=20&amp;id=1</w:t>
        </w:r>
      </w:hyperlink>
      <w:r w:rsidR="00330118">
        <w:rPr>
          <w:sz w:val="16"/>
        </w:rPr>
        <w:t xml:space="preserve"> 091&gt;. Acesso em: 21 set. 2010.</w:t>
      </w:r>
    </w:p>
    <w:p w:rsidR="00D81F69" w:rsidRDefault="00330118">
      <w:pPr>
        <w:tabs>
          <w:tab w:val="left" w:pos="1211"/>
          <w:tab w:val="left" w:pos="2503"/>
          <w:tab w:val="left" w:pos="4639"/>
        </w:tabs>
        <w:spacing w:before="1" w:line="312" w:lineRule="auto"/>
        <w:ind w:left="100" w:right="159"/>
        <w:rPr>
          <w:sz w:val="16"/>
        </w:rPr>
      </w:pPr>
      <w:r>
        <w:rPr>
          <w:sz w:val="16"/>
        </w:rPr>
        <w:t xml:space="preserve">_____. Água Mineral Araxá volta a ser comercializada em abril, 15      </w:t>
      </w:r>
      <w:r>
        <w:rPr>
          <w:spacing w:val="10"/>
          <w:sz w:val="16"/>
        </w:rPr>
        <w:t>m  a</w:t>
      </w:r>
      <w:r>
        <w:rPr>
          <w:spacing w:val="23"/>
          <w:sz w:val="16"/>
        </w:rPr>
        <w:t xml:space="preserve"> </w:t>
      </w:r>
      <w:r>
        <w:rPr>
          <w:spacing w:val="10"/>
          <w:sz w:val="16"/>
        </w:rPr>
        <w:t>r</w:t>
      </w:r>
      <w:r>
        <w:rPr>
          <w:spacing w:val="43"/>
          <w:sz w:val="16"/>
        </w:rPr>
        <w:t xml:space="preserve"> </w:t>
      </w:r>
      <w:r>
        <w:rPr>
          <w:sz w:val="16"/>
        </w:rPr>
        <w:t>.</w:t>
      </w:r>
      <w:r>
        <w:rPr>
          <w:sz w:val="16"/>
        </w:rPr>
        <w:tab/>
      </w:r>
      <w:r>
        <w:rPr>
          <w:spacing w:val="10"/>
          <w:sz w:val="16"/>
        </w:rPr>
        <w:t>2  0  1</w:t>
      </w:r>
      <w:r>
        <w:rPr>
          <w:spacing w:val="3"/>
          <w:sz w:val="16"/>
        </w:rPr>
        <w:t xml:space="preserve"> </w:t>
      </w:r>
      <w:r>
        <w:rPr>
          <w:spacing w:val="10"/>
          <w:sz w:val="16"/>
        </w:rPr>
        <w:t>2</w:t>
      </w:r>
      <w:r>
        <w:rPr>
          <w:spacing w:val="43"/>
          <w:sz w:val="16"/>
        </w:rPr>
        <w:t xml:space="preserve"> </w:t>
      </w:r>
      <w:r>
        <w:rPr>
          <w:sz w:val="16"/>
        </w:rPr>
        <w:t>.</w:t>
      </w:r>
      <w:r>
        <w:rPr>
          <w:sz w:val="16"/>
        </w:rPr>
        <w:tab/>
      </w:r>
      <w:r>
        <w:rPr>
          <w:spacing w:val="10"/>
          <w:sz w:val="16"/>
        </w:rPr>
        <w:t>D</w:t>
      </w:r>
      <w:r>
        <w:rPr>
          <w:spacing w:val="43"/>
          <w:sz w:val="16"/>
        </w:rPr>
        <w:t xml:space="preserve"> </w:t>
      </w:r>
      <w:r>
        <w:rPr>
          <w:spacing w:val="10"/>
          <w:sz w:val="16"/>
        </w:rPr>
        <w:t>i</w:t>
      </w:r>
      <w:r>
        <w:rPr>
          <w:spacing w:val="43"/>
          <w:sz w:val="16"/>
        </w:rPr>
        <w:t xml:space="preserve"> </w:t>
      </w:r>
      <w:r>
        <w:rPr>
          <w:spacing w:val="10"/>
          <w:sz w:val="16"/>
        </w:rPr>
        <w:t>s</w:t>
      </w:r>
      <w:r>
        <w:rPr>
          <w:spacing w:val="43"/>
          <w:sz w:val="16"/>
        </w:rPr>
        <w:t xml:space="preserve"> </w:t>
      </w:r>
      <w:r>
        <w:rPr>
          <w:spacing w:val="10"/>
          <w:sz w:val="16"/>
        </w:rPr>
        <w:t>p</w:t>
      </w:r>
      <w:r>
        <w:rPr>
          <w:spacing w:val="43"/>
          <w:sz w:val="16"/>
        </w:rPr>
        <w:t xml:space="preserve"> </w:t>
      </w:r>
      <w:r>
        <w:rPr>
          <w:spacing w:val="10"/>
          <w:sz w:val="16"/>
        </w:rPr>
        <w:t>o</w:t>
      </w:r>
      <w:r>
        <w:rPr>
          <w:spacing w:val="43"/>
          <w:sz w:val="16"/>
        </w:rPr>
        <w:t xml:space="preserve"> </w:t>
      </w:r>
      <w:r>
        <w:rPr>
          <w:spacing w:val="10"/>
          <w:sz w:val="16"/>
        </w:rPr>
        <w:t>n</w:t>
      </w:r>
      <w:r>
        <w:rPr>
          <w:spacing w:val="43"/>
          <w:sz w:val="16"/>
        </w:rPr>
        <w:t xml:space="preserve"> </w:t>
      </w:r>
      <w:r>
        <w:rPr>
          <w:spacing w:val="10"/>
          <w:sz w:val="16"/>
        </w:rPr>
        <w:t>í</w:t>
      </w:r>
      <w:r>
        <w:rPr>
          <w:spacing w:val="43"/>
          <w:sz w:val="16"/>
        </w:rPr>
        <w:t xml:space="preserve"> </w:t>
      </w:r>
      <w:r>
        <w:rPr>
          <w:spacing w:val="10"/>
          <w:sz w:val="16"/>
        </w:rPr>
        <w:t>v</w:t>
      </w:r>
      <w:r>
        <w:rPr>
          <w:spacing w:val="43"/>
          <w:sz w:val="16"/>
        </w:rPr>
        <w:t xml:space="preserve"> </w:t>
      </w:r>
      <w:r>
        <w:rPr>
          <w:spacing w:val="10"/>
          <w:sz w:val="16"/>
        </w:rPr>
        <w:t>e</w:t>
      </w:r>
      <w:r>
        <w:rPr>
          <w:spacing w:val="43"/>
          <w:sz w:val="16"/>
        </w:rPr>
        <w:t xml:space="preserve"> </w:t>
      </w:r>
      <w:r>
        <w:rPr>
          <w:sz w:val="16"/>
        </w:rPr>
        <w:t>l</w:t>
      </w:r>
      <w:r>
        <w:rPr>
          <w:sz w:val="16"/>
        </w:rPr>
        <w:tab/>
      </w:r>
      <w:r>
        <w:rPr>
          <w:spacing w:val="10"/>
          <w:sz w:val="16"/>
        </w:rPr>
        <w:t>e m</w:t>
      </w:r>
      <w:r>
        <w:rPr>
          <w:spacing w:val="23"/>
          <w:sz w:val="16"/>
        </w:rPr>
        <w:t xml:space="preserve"> </w:t>
      </w:r>
      <w:r>
        <w:rPr>
          <w:sz w:val="16"/>
        </w:rPr>
        <w:t xml:space="preserve">: </w:t>
      </w:r>
      <w:r>
        <w:rPr>
          <w:spacing w:val="10"/>
          <w:sz w:val="16"/>
        </w:rPr>
        <w:t xml:space="preserve"> </w:t>
      </w:r>
    </w:p>
    <w:p w:rsidR="00D81F69" w:rsidRDefault="00D81F69">
      <w:pPr>
        <w:spacing w:before="2" w:line="312" w:lineRule="auto"/>
        <w:ind w:left="100" w:right="190"/>
        <w:jc w:val="both"/>
        <w:rPr>
          <w:sz w:val="16"/>
        </w:rPr>
      </w:pPr>
      <w:hyperlink r:id="rId1312">
        <w:r w:rsidR="00330118">
          <w:rPr>
            <w:sz w:val="16"/>
          </w:rPr>
          <w:t>&lt;http://www.diariodearaxa.com.br/Noticia/Cidade/2012/3/Agua-</w:t>
        </w:r>
      </w:hyperlink>
      <w:r w:rsidR="00330118">
        <w:rPr>
          <w:sz w:val="16"/>
        </w:rPr>
        <w:t xml:space="preserve"> Mineral-Araxa-volta-a-ser-comercializada-em-abril/9508.aspx&gt;. Acesso em: 25 jul. 2012.</w:t>
      </w:r>
    </w:p>
    <w:p w:rsidR="00D81F69" w:rsidRDefault="00330118">
      <w:pPr>
        <w:tabs>
          <w:tab w:val="left" w:pos="805"/>
          <w:tab w:val="left" w:pos="1827"/>
          <w:tab w:val="left" w:pos="2588"/>
          <w:tab w:val="left" w:pos="3475"/>
          <w:tab w:val="left" w:pos="4768"/>
        </w:tabs>
        <w:spacing w:before="2" w:line="312" w:lineRule="auto"/>
        <w:ind w:left="100" w:right="160"/>
        <w:rPr>
          <w:sz w:val="16"/>
        </w:rPr>
      </w:pPr>
      <w:r>
        <w:rPr>
          <w:sz w:val="16"/>
        </w:rPr>
        <w:t xml:space="preserve">IBGE, Instituto Brasileiro de Geografia e Estatística. Araxá (MG). In: </w:t>
      </w:r>
      <w:r>
        <w:rPr>
          <w:spacing w:val="26"/>
          <w:sz w:val="16"/>
        </w:rPr>
        <w:t>IBGE</w:t>
      </w:r>
      <w:r>
        <w:rPr>
          <w:spacing w:val="26"/>
          <w:sz w:val="16"/>
        </w:rPr>
        <w:tab/>
      </w:r>
      <w:r>
        <w:rPr>
          <w:spacing w:val="30"/>
          <w:sz w:val="16"/>
        </w:rPr>
        <w:t>Cidades</w:t>
      </w:r>
      <w:r>
        <w:rPr>
          <w:spacing w:val="30"/>
          <w:sz w:val="16"/>
        </w:rPr>
        <w:tab/>
      </w:r>
      <w:r>
        <w:rPr>
          <w:spacing w:val="27"/>
          <w:sz w:val="16"/>
        </w:rPr>
        <w:t>2010.</w:t>
      </w:r>
      <w:r>
        <w:rPr>
          <w:spacing w:val="27"/>
          <w:sz w:val="16"/>
        </w:rPr>
        <w:tab/>
      </w:r>
      <w:r>
        <w:rPr>
          <w:spacing w:val="30"/>
          <w:sz w:val="16"/>
        </w:rPr>
        <w:t>2010a.</w:t>
      </w:r>
      <w:r>
        <w:rPr>
          <w:spacing w:val="30"/>
          <w:sz w:val="16"/>
        </w:rPr>
        <w:tab/>
      </w:r>
      <w:r>
        <w:rPr>
          <w:spacing w:val="31"/>
          <w:sz w:val="16"/>
        </w:rPr>
        <w:t>Disponível</w:t>
      </w:r>
      <w:r>
        <w:rPr>
          <w:spacing w:val="31"/>
          <w:sz w:val="16"/>
        </w:rPr>
        <w:tab/>
      </w:r>
      <w:r>
        <w:rPr>
          <w:spacing w:val="23"/>
          <w:sz w:val="16"/>
        </w:rPr>
        <w:t>em:</w:t>
      </w:r>
      <w:r>
        <w:rPr>
          <w:spacing w:val="-8"/>
          <w:sz w:val="16"/>
        </w:rPr>
        <w:t xml:space="preserve"> </w:t>
      </w:r>
    </w:p>
    <w:p w:rsidR="00D81F69" w:rsidRDefault="00D81F69">
      <w:pPr>
        <w:spacing w:before="2"/>
        <w:ind w:left="100"/>
        <w:jc w:val="both"/>
        <w:rPr>
          <w:sz w:val="16"/>
        </w:rPr>
      </w:pPr>
      <w:hyperlink r:id="rId1313">
        <w:r w:rsidR="00330118">
          <w:rPr>
            <w:sz w:val="16"/>
          </w:rPr>
          <w:t>&lt;http://www.ibge.gov.br/cidadesat/xtras/perfil.php?codmu</w:t>
        </w:r>
        <w:r w:rsidR="00330118">
          <w:rPr>
            <w:sz w:val="16"/>
          </w:rPr>
          <w:t>n=310400&amp;r</w:t>
        </w:r>
      </w:hyperlink>
    </w:p>
    <w:p w:rsidR="00D81F69" w:rsidRDefault="00330118">
      <w:pPr>
        <w:spacing w:before="56"/>
        <w:ind w:left="100"/>
        <w:jc w:val="both"/>
        <w:rPr>
          <w:sz w:val="16"/>
        </w:rPr>
      </w:pPr>
      <w:r>
        <w:rPr>
          <w:sz w:val="16"/>
        </w:rPr>
        <w:t>=2&gt;. Acesso em: 23 nov. 2011.</w:t>
      </w:r>
    </w:p>
    <w:p w:rsidR="00D81F69" w:rsidRDefault="00330118">
      <w:pPr>
        <w:tabs>
          <w:tab w:val="left" w:pos="641"/>
        </w:tabs>
        <w:spacing w:before="56"/>
        <w:ind w:left="100"/>
        <w:jc w:val="both"/>
        <w:rPr>
          <w:sz w:val="16"/>
        </w:rPr>
      </w:pPr>
      <w:r>
        <w:rPr>
          <w:sz w:val="16"/>
          <w:u w:val="single"/>
        </w:rPr>
        <w:t xml:space="preserve"> </w:t>
      </w:r>
      <w:r>
        <w:rPr>
          <w:sz w:val="16"/>
          <w:u w:val="single"/>
        </w:rPr>
        <w:tab/>
      </w:r>
      <w:r>
        <w:rPr>
          <w:sz w:val="16"/>
        </w:rPr>
        <w:t>.</w:t>
      </w:r>
      <w:r>
        <w:rPr>
          <w:spacing w:val="8"/>
          <w:sz w:val="16"/>
        </w:rPr>
        <w:t xml:space="preserve"> </w:t>
      </w:r>
      <w:r>
        <w:rPr>
          <w:sz w:val="16"/>
        </w:rPr>
        <w:t>Tapira</w:t>
      </w:r>
      <w:r>
        <w:rPr>
          <w:spacing w:val="8"/>
          <w:sz w:val="16"/>
        </w:rPr>
        <w:t xml:space="preserve"> </w:t>
      </w:r>
      <w:r>
        <w:rPr>
          <w:sz w:val="16"/>
        </w:rPr>
        <w:t>(MG).</w:t>
      </w:r>
      <w:r>
        <w:rPr>
          <w:spacing w:val="8"/>
          <w:sz w:val="16"/>
        </w:rPr>
        <w:t xml:space="preserve"> </w:t>
      </w:r>
      <w:r>
        <w:rPr>
          <w:sz w:val="16"/>
        </w:rPr>
        <w:t>In:</w:t>
      </w:r>
      <w:r>
        <w:rPr>
          <w:spacing w:val="8"/>
          <w:sz w:val="16"/>
        </w:rPr>
        <w:t xml:space="preserve"> </w:t>
      </w:r>
      <w:r>
        <w:rPr>
          <w:sz w:val="16"/>
        </w:rPr>
        <w:t>IBGE</w:t>
      </w:r>
      <w:r>
        <w:rPr>
          <w:spacing w:val="8"/>
          <w:sz w:val="16"/>
        </w:rPr>
        <w:t xml:space="preserve"> </w:t>
      </w:r>
      <w:r>
        <w:rPr>
          <w:sz w:val="16"/>
        </w:rPr>
        <w:t>Cidades</w:t>
      </w:r>
      <w:r>
        <w:rPr>
          <w:spacing w:val="8"/>
          <w:sz w:val="16"/>
        </w:rPr>
        <w:t xml:space="preserve"> </w:t>
      </w:r>
      <w:r>
        <w:rPr>
          <w:sz w:val="16"/>
        </w:rPr>
        <w:t>2010.</w:t>
      </w:r>
      <w:r>
        <w:rPr>
          <w:spacing w:val="8"/>
          <w:sz w:val="16"/>
        </w:rPr>
        <w:t xml:space="preserve"> </w:t>
      </w:r>
      <w:r>
        <w:rPr>
          <w:sz w:val="16"/>
        </w:rPr>
        <w:t>2010b.</w:t>
      </w:r>
      <w:r>
        <w:rPr>
          <w:spacing w:val="8"/>
          <w:sz w:val="16"/>
        </w:rPr>
        <w:t xml:space="preserve"> </w:t>
      </w:r>
      <w:r>
        <w:rPr>
          <w:sz w:val="16"/>
        </w:rPr>
        <w:t>Disponível</w:t>
      </w:r>
      <w:r>
        <w:rPr>
          <w:spacing w:val="8"/>
          <w:sz w:val="16"/>
        </w:rPr>
        <w:t xml:space="preserve"> </w:t>
      </w:r>
      <w:r>
        <w:rPr>
          <w:sz w:val="16"/>
        </w:rPr>
        <w:t>em:</w:t>
      </w:r>
    </w:p>
    <w:p w:rsidR="00D81F69" w:rsidRDefault="00D81F69">
      <w:pPr>
        <w:spacing w:before="56"/>
        <w:ind w:left="100"/>
        <w:jc w:val="both"/>
        <w:rPr>
          <w:sz w:val="16"/>
        </w:rPr>
      </w:pPr>
      <w:hyperlink r:id="rId1314">
        <w:r w:rsidR="00330118">
          <w:rPr>
            <w:sz w:val="16"/>
          </w:rPr>
          <w:t>&lt;http://www.ibge.gov.br/cidadesat/xtras/perfil.php?codmun=316810&amp;r</w:t>
        </w:r>
      </w:hyperlink>
    </w:p>
    <w:p w:rsidR="00D81F69" w:rsidRDefault="00330118">
      <w:pPr>
        <w:spacing w:before="56"/>
        <w:ind w:left="100"/>
        <w:jc w:val="both"/>
        <w:rPr>
          <w:sz w:val="16"/>
        </w:rPr>
      </w:pPr>
      <w:r>
        <w:rPr>
          <w:sz w:val="16"/>
        </w:rPr>
        <w:t>=2&gt;. Acesso em: 23 nov. 2011.</w:t>
      </w:r>
    </w:p>
    <w:p w:rsidR="00D81F69" w:rsidRDefault="00330118">
      <w:pPr>
        <w:tabs>
          <w:tab w:val="left" w:pos="1681"/>
          <w:tab w:val="left" w:pos="2109"/>
          <w:tab w:val="left" w:pos="2708"/>
          <w:tab w:val="left" w:pos="3469"/>
          <w:tab w:val="left" w:pos="4763"/>
        </w:tabs>
        <w:spacing w:before="56" w:line="312" w:lineRule="auto"/>
        <w:ind w:left="100" w:right="166"/>
        <w:rPr>
          <w:sz w:val="16"/>
        </w:rPr>
      </w:pPr>
      <w:r>
        <w:rPr>
          <w:spacing w:val="5"/>
          <w:sz w:val="16"/>
        </w:rPr>
        <w:t xml:space="preserve">JORNAL </w:t>
      </w:r>
      <w:r>
        <w:rPr>
          <w:spacing w:val="3"/>
          <w:sz w:val="16"/>
        </w:rPr>
        <w:t xml:space="preserve">DE </w:t>
      </w:r>
      <w:r>
        <w:rPr>
          <w:spacing w:val="6"/>
          <w:sz w:val="16"/>
        </w:rPr>
        <w:t xml:space="preserve">UBERABA. </w:t>
      </w:r>
      <w:r>
        <w:rPr>
          <w:spacing w:val="5"/>
          <w:sz w:val="16"/>
        </w:rPr>
        <w:t xml:space="preserve">Codemig faz </w:t>
      </w:r>
      <w:r>
        <w:rPr>
          <w:spacing w:val="6"/>
          <w:sz w:val="16"/>
        </w:rPr>
        <w:t xml:space="preserve">levantamento </w:t>
      </w:r>
      <w:r>
        <w:rPr>
          <w:spacing w:val="3"/>
          <w:sz w:val="16"/>
        </w:rPr>
        <w:t xml:space="preserve">de </w:t>
      </w:r>
      <w:r>
        <w:rPr>
          <w:spacing w:val="7"/>
          <w:sz w:val="16"/>
        </w:rPr>
        <w:t xml:space="preserve">água </w:t>
      </w:r>
      <w:r>
        <w:rPr>
          <w:spacing w:val="32"/>
          <w:sz w:val="16"/>
        </w:rPr>
        <w:t>contaminada,</w:t>
      </w:r>
      <w:r>
        <w:rPr>
          <w:spacing w:val="32"/>
          <w:sz w:val="16"/>
        </w:rPr>
        <w:tab/>
      </w:r>
      <w:r>
        <w:rPr>
          <w:spacing w:val="17"/>
          <w:sz w:val="16"/>
        </w:rPr>
        <w:t>08</w:t>
      </w:r>
      <w:r>
        <w:rPr>
          <w:spacing w:val="17"/>
          <w:sz w:val="16"/>
        </w:rPr>
        <w:tab/>
      </w:r>
      <w:r>
        <w:rPr>
          <w:spacing w:val="26"/>
          <w:sz w:val="16"/>
        </w:rPr>
        <w:t>abr.</w:t>
      </w:r>
      <w:r>
        <w:rPr>
          <w:spacing w:val="26"/>
          <w:sz w:val="16"/>
        </w:rPr>
        <w:tab/>
      </w:r>
      <w:r>
        <w:rPr>
          <w:spacing w:val="27"/>
          <w:sz w:val="16"/>
        </w:rPr>
        <w:t>2009.</w:t>
      </w:r>
      <w:r>
        <w:rPr>
          <w:spacing w:val="27"/>
          <w:sz w:val="16"/>
        </w:rPr>
        <w:tab/>
      </w:r>
      <w:r>
        <w:rPr>
          <w:spacing w:val="31"/>
          <w:sz w:val="16"/>
        </w:rPr>
        <w:t>Disponível</w:t>
      </w:r>
      <w:r>
        <w:rPr>
          <w:spacing w:val="31"/>
          <w:sz w:val="16"/>
        </w:rPr>
        <w:tab/>
      </w:r>
      <w:r>
        <w:rPr>
          <w:spacing w:val="23"/>
          <w:sz w:val="16"/>
        </w:rPr>
        <w:t>em:</w:t>
      </w:r>
      <w:r>
        <w:rPr>
          <w:spacing w:val="-8"/>
          <w:sz w:val="16"/>
        </w:rPr>
        <w:t xml:space="preserve"> </w:t>
      </w:r>
    </w:p>
    <w:p w:rsidR="00D81F69" w:rsidRDefault="00D81F69">
      <w:pPr>
        <w:spacing w:before="2"/>
        <w:ind w:left="100"/>
        <w:rPr>
          <w:sz w:val="16"/>
        </w:rPr>
      </w:pPr>
      <w:hyperlink r:id="rId1315">
        <w:r w:rsidR="00330118">
          <w:rPr>
            <w:sz w:val="16"/>
          </w:rPr>
          <w:t>&lt;http://www.jornaldeuberaba.com.br/?MENU=CadernoB&amp;</w:t>
        </w:r>
        <w:r w:rsidR="00330118">
          <w:rPr>
            <w:sz w:val="16"/>
          </w:rPr>
          <w:t>SUBMENU</w:t>
        </w:r>
      </w:hyperlink>
    </w:p>
    <w:p w:rsidR="00D81F69" w:rsidRDefault="00330118">
      <w:pPr>
        <w:spacing w:before="56"/>
        <w:ind w:left="100"/>
        <w:rPr>
          <w:sz w:val="16"/>
        </w:rPr>
      </w:pPr>
      <w:r>
        <w:rPr>
          <w:sz w:val="16"/>
        </w:rPr>
        <w:t>=Saude&amp;CODIGO=5845&gt;. Acesso em: 21 set. 2010.</w:t>
      </w:r>
    </w:p>
    <w:p w:rsidR="00D81F69" w:rsidRDefault="00330118">
      <w:pPr>
        <w:spacing w:line="240" w:lineRule="atLeast"/>
        <w:ind w:left="100" w:right="159"/>
        <w:rPr>
          <w:sz w:val="16"/>
        </w:rPr>
      </w:pPr>
      <w:r>
        <w:rPr>
          <w:sz w:val="16"/>
        </w:rPr>
        <w:t>MANCINI, Luís Henrique; BONOTTO, Daniel Marcos. Análise radiométrica nas águas e sedimentos do Barreiro, Araxá -MG, 2004.</w:t>
      </w:r>
    </w:p>
    <w:p w:rsidR="00D81F69" w:rsidRDefault="00D81F69">
      <w:pPr>
        <w:spacing w:line="240" w:lineRule="atLeast"/>
        <w:rPr>
          <w:sz w:val="16"/>
        </w:rPr>
        <w:sectPr w:rsidR="00D81F69">
          <w:pgSz w:w="11900" w:h="16840"/>
          <w:pgMar w:top="740" w:right="500" w:bottom="600" w:left="620" w:header="0" w:footer="402" w:gutter="0"/>
          <w:cols w:num="2" w:space="720" w:equalWidth="0">
            <w:col w:w="5160" w:space="310"/>
            <w:col w:w="5310"/>
          </w:cols>
        </w:sectPr>
      </w:pPr>
    </w:p>
    <w:p w:rsidR="00D81F69" w:rsidRDefault="00330118">
      <w:pPr>
        <w:spacing w:before="70" w:line="312" w:lineRule="auto"/>
        <w:ind w:left="100" w:right="47"/>
        <w:jc w:val="both"/>
        <w:rPr>
          <w:sz w:val="16"/>
        </w:rPr>
      </w:pPr>
      <w:r>
        <w:rPr>
          <w:spacing w:val="15"/>
          <w:sz w:val="16"/>
        </w:rPr>
        <w:lastRenderedPageBreak/>
        <w:t xml:space="preserve">Disponível </w:t>
      </w:r>
      <w:r>
        <w:rPr>
          <w:spacing w:val="10"/>
          <w:sz w:val="16"/>
        </w:rPr>
        <w:t>em:</w:t>
      </w:r>
      <w:r>
        <w:rPr>
          <w:spacing w:val="65"/>
          <w:sz w:val="16"/>
        </w:rPr>
        <w:t xml:space="preserve"> </w:t>
      </w:r>
      <w:hyperlink r:id="rId1316">
        <w:r>
          <w:rPr>
            <w:spacing w:val="15"/>
            <w:sz w:val="16"/>
          </w:rPr>
          <w:t xml:space="preserve">&lt;http://sbgeo.org.br/pub_sbg/cbg/2004- </w:t>
        </w:r>
      </w:hyperlink>
      <w:r>
        <w:rPr>
          <w:spacing w:val="8"/>
          <w:sz w:val="16"/>
        </w:rPr>
        <w:t xml:space="preserve">ARAXA/18_684_MANCINILH.pdf&gt;.  </w:t>
      </w:r>
      <w:r>
        <w:rPr>
          <w:spacing w:val="7"/>
          <w:sz w:val="16"/>
        </w:rPr>
        <w:t xml:space="preserve">Acesso  </w:t>
      </w:r>
      <w:r>
        <w:rPr>
          <w:spacing w:val="5"/>
          <w:sz w:val="16"/>
        </w:rPr>
        <w:t xml:space="preserve">em:  14  </w:t>
      </w:r>
      <w:r>
        <w:rPr>
          <w:spacing w:val="6"/>
          <w:sz w:val="16"/>
        </w:rPr>
        <w:t>set.</w:t>
      </w:r>
      <w:r>
        <w:rPr>
          <w:spacing w:val="5"/>
          <w:sz w:val="16"/>
        </w:rPr>
        <w:t xml:space="preserve"> </w:t>
      </w:r>
      <w:r>
        <w:rPr>
          <w:spacing w:val="10"/>
          <w:sz w:val="16"/>
        </w:rPr>
        <w:t>2010.</w:t>
      </w:r>
    </w:p>
    <w:p w:rsidR="00D81F69" w:rsidRDefault="00330118">
      <w:pPr>
        <w:tabs>
          <w:tab w:val="left" w:pos="725"/>
        </w:tabs>
        <w:spacing w:before="1" w:line="312" w:lineRule="auto"/>
        <w:ind w:left="100" w:right="48"/>
        <w:jc w:val="both"/>
        <w:rPr>
          <w:sz w:val="16"/>
        </w:rPr>
      </w:pPr>
      <w:r>
        <w:rPr>
          <w:sz w:val="16"/>
          <w:u w:val="single"/>
        </w:rPr>
        <w:t xml:space="preserve"> </w:t>
      </w:r>
      <w:r>
        <w:rPr>
          <w:sz w:val="16"/>
          <w:u w:val="single"/>
        </w:rPr>
        <w:tab/>
      </w:r>
      <w:r>
        <w:rPr>
          <w:sz w:val="16"/>
        </w:rPr>
        <w:t xml:space="preserve">. Migração de rádio nas águas superficiais e subterrâneas do Morro do Ferro e Complexo Alcalino do Barreiro, Minas Gerais, Brasil. </w:t>
      </w:r>
      <w:r>
        <w:rPr>
          <w:spacing w:val="6"/>
          <w:sz w:val="16"/>
        </w:rPr>
        <w:t xml:space="preserve">Geochimica  Brasiliensis,  20(3)251-266,  </w:t>
      </w:r>
      <w:r>
        <w:rPr>
          <w:spacing w:val="5"/>
          <w:sz w:val="16"/>
        </w:rPr>
        <w:t xml:space="preserve">2006.  </w:t>
      </w:r>
      <w:r>
        <w:rPr>
          <w:spacing w:val="6"/>
          <w:sz w:val="16"/>
        </w:rPr>
        <w:t>Disponível</w:t>
      </w:r>
      <w:r>
        <w:rPr>
          <w:spacing w:val="43"/>
          <w:sz w:val="16"/>
        </w:rPr>
        <w:t xml:space="preserve"> </w:t>
      </w:r>
      <w:r>
        <w:rPr>
          <w:spacing w:val="7"/>
          <w:sz w:val="16"/>
        </w:rPr>
        <w:t>em:</w:t>
      </w:r>
    </w:p>
    <w:p w:rsidR="00D81F69" w:rsidRDefault="00D81F69">
      <w:pPr>
        <w:spacing w:before="3" w:line="312" w:lineRule="auto"/>
        <w:ind w:left="100" w:right="56"/>
        <w:jc w:val="both"/>
        <w:rPr>
          <w:sz w:val="16"/>
        </w:rPr>
      </w:pPr>
      <w:hyperlink r:id="rId1317">
        <w:r w:rsidR="00330118">
          <w:rPr>
            <w:sz w:val="16"/>
          </w:rPr>
          <w:t xml:space="preserve">&lt;http://www.sbgq.org.br/arquivos/art10058.pdf&gt;. </w:t>
        </w:r>
      </w:hyperlink>
      <w:r w:rsidR="00330118">
        <w:rPr>
          <w:sz w:val="16"/>
        </w:rPr>
        <w:t>Acesso em: 14 set. 2010.</w:t>
      </w:r>
    </w:p>
    <w:p w:rsidR="00D81F69" w:rsidRDefault="00330118">
      <w:pPr>
        <w:spacing w:before="1" w:line="312" w:lineRule="auto"/>
        <w:ind w:left="100" w:right="38"/>
        <w:jc w:val="both"/>
        <w:rPr>
          <w:sz w:val="16"/>
        </w:rPr>
      </w:pPr>
      <w:r>
        <w:rPr>
          <w:spacing w:val="5"/>
          <w:sz w:val="16"/>
        </w:rPr>
        <w:t xml:space="preserve">MINÉRIOS </w:t>
      </w:r>
      <w:r>
        <w:rPr>
          <w:sz w:val="16"/>
        </w:rPr>
        <w:t xml:space="preserve">&amp; </w:t>
      </w:r>
      <w:r>
        <w:rPr>
          <w:spacing w:val="5"/>
          <w:sz w:val="16"/>
        </w:rPr>
        <w:t xml:space="preserve">MINERALES. Barreiros: Fosfato. </w:t>
      </w:r>
      <w:r>
        <w:rPr>
          <w:spacing w:val="3"/>
          <w:sz w:val="16"/>
        </w:rPr>
        <w:t xml:space="preserve">In: </w:t>
      </w:r>
      <w:r>
        <w:rPr>
          <w:spacing w:val="5"/>
          <w:sz w:val="16"/>
        </w:rPr>
        <w:t xml:space="preserve">Minérios </w:t>
      </w:r>
      <w:r>
        <w:rPr>
          <w:sz w:val="16"/>
        </w:rPr>
        <w:t xml:space="preserve">&amp; </w:t>
      </w:r>
      <w:r>
        <w:rPr>
          <w:spacing w:val="15"/>
          <w:sz w:val="16"/>
        </w:rPr>
        <w:t xml:space="preserve">Minerales, edição </w:t>
      </w:r>
      <w:r>
        <w:rPr>
          <w:spacing w:val="12"/>
          <w:sz w:val="16"/>
        </w:rPr>
        <w:t xml:space="preserve">316, </w:t>
      </w:r>
      <w:r>
        <w:rPr>
          <w:spacing w:val="8"/>
          <w:sz w:val="16"/>
        </w:rPr>
        <w:t xml:space="preserve">20 </w:t>
      </w:r>
      <w:r>
        <w:rPr>
          <w:spacing w:val="12"/>
          <w:sz w:val="16"/>
        </w:rPr>
        <w:t xml:space="preserve">jun. </w:t>
      </w:r>
      <w:r>
        <w:rPr>
          <w:spacing w:val="13"/>
          <w:sz w:val="16"/>
        </w:rPr>
        <w:t xml:space="preserve">2009. </w:t>
      </w:r>
      <w:r>
        <w:rPr>
          <w:spacing w:val="15"/>
          <w:sz w:val="16"/>
        </w:rPr>
        <w:t xml:space="preserve">Disponível </w:t>
      </w:r>
      <w:r>
        <w:rPr>
          <w:spacing w:val="11"/>
          <w:sz w:val="16"/>
        </w:rPr>
        <w:t>em:</w:t>
      </w:r>
      <w:r>
        <w:rPr>
          <w:spacing w:val="-25"/>
          <w:sz w:val="16"/>
        </w:rPr>
        <w:t xml:space="preserve"> </w:t>
      </w:r>
    </w:p>
    <w:p w:rsidR="00D81F69" w:rsidRDefault="00D81F69">
      <w:pPr>
        <w:spacing w:before="2" w:line="312" w:lineRule="auto"/>
        <w:ind w:left="100" w:right="57"/>
        <w:jc w:val="both"/>
        <w:rPr>
          <w:sz w:val="16"/>
        </w:rPr>
      </w:pPr>
      <w:hyperlink r:id="rId1318">
        <w:r w:rsidR="00330118">
          <w:rPr>
            <w:sz w:val="16"/>
          </w:rPr>
          <w:t>&lt;http://www.minerios.com.br/index.php?page=materia.php&amp;id=1306&gt;.</w:t>
        </w:r>
      </w:hyperlink>
      <w:r w:rsidR="00330118">
        <w:rPr>
          <w:sz w:val="16"/>
        </w:rPr>
        <w:t xml:space="preserve"> Acesso em: 14 set. 2010.</w:t>
      </w:r>
    </w:p>
    <w:p w:rsidR="00D81F69" w:rsidRDefault="00330118">
      <w:pPr>
        <w:tabs>
          <w:tab w:val="left" w:pos="1763"/>
          <w:tab w:val="left" w:pos="4547"/>
        </w:tabs>
        <w:spacing w:before="2" w:line="312" w:lineRule="auto"/>
        <w:ind w:left="100" w:right="54"/>
        <w:jc w:val="both"/>
        <w:rPr>
          <w:sz w:val="16"/>
        </w:rPr>
      </w:pPr>
      <w:r>
        <w:rPr>
          <w:spacing w:val="3"/>
          <w:sz w:val="16"/>
        </w:rPr>
        <w:t xml:space="preserve">NOGUEIRA, Ângela Cristina Ribeiro. Estudo </w:t>
      </w:r>
      <w:r>
        <w:rPr>
          <w:spacing w:val="2"/>
          <w:sz w:val="16"/>
        </w:rPr>
        <w:t xml:space="preserve">para </w:t>
      </w:r>
      <w:r>
        <w:rPr>
          <w:sz w:val="16"/>
        </w:rPr>
        <w:t xml:space="preserve">a </w:t>
      </w:r>
      <w:r>
        <w:rPr>
          <w:spacing w:val="3"/>
          <w:sz w:val="16"/>
        </w:rPr>
        <w:t xml:space="preserve">extração </w:t>
      </w:r>
      <w:r>
        <w:rPr>
          <w:spacing w:val="5"/>
          <w:sz w:val="16"/>
        </w:rPr>
        <w:t xml:space="preserve">de </w:t>
      </w:r>
      <w:r>
        <w:rPr>
          <w:sz w:val="16"/>
        </w:rPr>
        <w:t>urânio em ácido fosfórico comercial. Dissertação (mestrado),1984. 197 f. Instituto de Pesquisas Energéticas e Nuclear, USP, São Paulo  (    S    P</w:t>
      </w:r>
      <w:r>
        <w:rPr>
          <w:spacing w:val="40"/>
          <w:sz w:val="16"/>
        </w:rPr>
        <w:t xml:space="preserve"> </w:t>
      </w:r>
      <w:r>
        <w:rPr>
          <w:sz w:val="16"/>
        </w:rPr>
        <w:t xml:space="preserve">)  </w:t>
      </w:r>
      <w:r>
        <w:rPr>
          <w:spacing w:val="12"/>
          <w:sz w:val="16"/>
        </w:rPr>
        <w:t xml:space="preserve"> </w:t>
      </w:r>
      <w:r>
        <w:rPr>
          <w:sz w:val="16"/>
        </w:rPr>
        <w:t>,</w:t>
      </w:r>
      <w:r>
        <w:rPr>
          <w:sz w:val="16"/>
        </w:rPr>
        <w:tab/>
        <w:t xml:space="preserve">D  </w:t>
      </w:r>
      <w:r>
        <w:rPr>
          <w:spacing w:val="12"/>
          <w:sz w:val="16"/>
        </w:rPr>
        <w:t xml:space="preserve"> </w:t>
      </w:r>
      <w:r>
        <w:rPr>
          <w:sz w:val="16"/>
        </w:rPr>
        <w:t xml:space="preserve">i  </w:t>
      </w:r>
      <w:r>
        <w:rPr>
          <w:spacing w:val="12"/>
          <w:sz w:val="16"/>
        </w:rPr>
        <w:t xml:space="preserve"> </w:t>
      </w:r>
      <w:r>
        <w:rPr>
          <w:sz w:val="16"/>
        </w:rPr>
        <w:t xml:space="preserve">s  </w:t>
      </w:r>
      <w:r>
        <w:rPr>
          <w:spacing w:val="12"/>
          <w:sz w:val="16"/>
        </w:rPr>
        <w:t xml:space="preserve"> </w:t>
      </w:r>
      <w:r>
        <w:rPr>
          <w:sz w:val="16"/>
        </w:rPr>
        <w:t xml:space="preserve">p  </w:t>
      </w:r>
      <w:r>
        <w:rPr>
          <w:spacing w:val="12"/>
          <w:sz w:val="16"/>
        </w:rPr>
        <w:t xml:space="preserve"> </w:t>
      </w:r>
      <w:r>
        <w:rPr>
          <w:sz w:val="16"/>
        </w:rPr>
        <w:t xml:space="preserve">o  </w:t>
      </w:r>
      <w:r>
        <w:rPr>
          <w:spacing w:val="12"/>
          <w:sz w:val="16"/>
        </w:rPr>
        <w:t xml:space="preserve"> </w:t>
      </w:r>
      <w:r>
        <w:rPr>
          <w:sz w:val="16"/>
        </w:rPr>
        <w:t xml:space="preserve">n  </w:t>
      </w:r>
      <w:r>
        <w:rPr>
          <w:spacing w:val="12"/>
          <w:sz w:val="16"/>
        </w:rPr>
        <w:t xml:space="preserve"> </w:t>
      </w:r>
      <w:r>
        <w:rPr>
          <w:sz w:val="16"/>
        </w:rPr>
        <w:t xml:space="preserve">í  </w:t>
      </w:r>
      <w:r>
        <w:rPr>
          <w:spacing w:val="12"/>
          <w:sz w:val="16"/>
        </w:rPr>
        <w:t xml:space="preserve"> </w:t>
      </w:r>
      <w:r>
        <w:rPr>
          <w:sz w:val="16"/>
        </w:rPr>
        <w:t xml:space="preserve">v  </w:t>
      </w:r>
      <w:r>
        <w:rPr>
          <w:spacing w:val="12"/>
          <w:sz w:val="16"/>
        </w:rPr>
        <w:t xml:space="preserve"> </w:t>
      </w:r>
      <w:r>
        <w:rPr>
          <w:sz w:val="16"/>
        </w:rPr>
        <w:t xml:space="preserve">e  </w:t>
      </w:r>
      <w:r>
        <w:rPr>
          <w:spacing w:val="12"/>
          <w:sz w:val="16"/>
        </w:rPr>
        <w:t xml:space="preserve"> </w:t>
      </w:r>
      <w:r>
        <w:rPr>
          <w:sz w:val="16"/>
        </w:rPr>
        <w:t>l</w:t>
      </w:r>
      <w:r>
        <w:rPr>
          <w:sz w:val="16"/>
        </w:rPr>
        <w:tab/>
        <w:t>e m</w:t>
      </w:r>
      <w:r>
        <w:rPr>
          <w:spacing w:val="26"/>
          <w:sz w:val="16"/>
        </w:rPr>
        <w:t xml:space="preserve"> </w:t>
      </w:r>
      <w:r>
        <w:rPr>
          <w:sz w:val="16"/>
        </w:rPr>
        <w:t>:</w:t>
      </w:r>
    </w:p>
    <w:p w:rsidR="00D81F69" w:rsidRDefault="00D81F69">
      <w:pPr>
        <w:spacing w:before="3" w:line="312" w:lineRule="auto"/>
        <w:ind w:left="100" w:right="74"/>
        <w:jc w:val="both"/>
        <w:rPr>
          <w:sz w:val="16"/>
        </w:rPr>
      </w:pPr>
      <w:hyperlink r:id="rId1319">
        <w:r w:rsidR="00330118">
          <w:rPr>
            <w:sz w:val="16"/>
          </w:rPr>
          <w:t>&lt;http://pelicano.ipen.br/PosG30/TextoCompleto/Angela%20Cristina%</w:t>
        </w:r>
      </w:hyperlink>
      <w:r w:rsidR="00330118">
        <w:rPr>
          <w:sz w:val="16"/>
        </w:rPr>
        <w:t xml:space="preserve"> 20Ribeiro%20Nogueira_M.pdf&gt;. Acesso em: 16 set. 2010.</w:t>
      </w:r>
    </w:p>
    <w:p w:rsidR="00D81F69" w:rsidRDefault="00330118">
      <w:pPr>
        <w:tabs>
          <w:tab w:val="left" w:pos="4331"/>
        </w:tabs>
        <w:spacing w:before="2" w:line="312" w:lineRule="auto"/>
        <w:ind w:left="100" w:right="47"/>
        <w:jc w:val="both"/>
        <w:rPr>
          <w:sz w:val="16"/>
        </w:rPr>
      </w:pPr>
      <w:r>
        <w:rPr>
          <w:spacing w:val="5"/>
          <w:sz w:val="16"/>
        </w:rPr>
        <w:t xml:space="preserve">PINTO, Cláudio </w:t>
      </w:r>
      <w:r>
        <w:rPr>
          <w:spacing w:val="3"/>
          <w:sz w:val="16"/>
        </w:rPr>
        <w:t xml:space="preserve">Lúcio </w:t>
      </w:r>
      <w:r>
        <w:rPr>
          <w:spacing w:val="5"/>
          <w:sz w:val="16"/>
        </w:rPr>
        <w:t xml:space="preserve">Lopes; DUTRA, </w:t>
      </w:r>
      <w:r>
        <w:rPr>
          <w:spacing w:val="3"/>
          <w:sz w:val="16"/>
        </w:rPr>
        <w:t xml:space="preserve">José </w:t>
      </w:r>
      <w:r>
        <w:rPr>
          <w:spacing w:val="5"/>
          <w:sz w:val="16"/>
        </w:rPr>
        <w:t>Ildefonso Gu</w:t>
      </w:r>
      <w:r>
        <w:rPr>
          <w:spacing w:val="5"/>
          <w:sz w:val="16"/>
        </w:rPr>
        <w:t xml:space="preserve">smão; </w:t>
      </w:r>
      <w:r>
        <w:rPr>
          <w:spacing w:val="3"/>
          <w:sz w:val="16"/>
        </w:rPr>
        <w:t xml:space="preserve">SALUM, Maria </w:t>
      </w:r>
      <w:r>
        <w:rPr>
          <w:spacing w:val="2"/>
          <w:sz w:val="16"/>
        </w:rPr>
        <w:t xml:space="preserve">Jose </w:t>
      </w:r>
      <w:r>
        <w:rPr>
          <w:spacing w:val="3"/>
          <w:sz w:val="16"/>
        </w:rPr>
        <w:t xml:space="preserve">Gazzi; GANINE, </w:t>
      </w:r>
      <w:r>
        <w:rPr>
          <w:spacing w:val="2"/>
          <w:sz w:val="16"/>
        </w:rPr>
        <w:t xml:space="preserve">Jose </w:t>
      </w:r>
      <w:r>
        <w:rPr>
          <w:spacing w:val="3"/>
          <w:sz w:val="16"/>
        </w:rPr>
        <w:t xml:space="preserve">Fernando; </w:t>
      </w:r>
      <w:r>
        <w:rPr>
          <w:spacing w:val="5"/>
          <w:sz w:val="16"/>
        </w:rPr>
        <w:t xml:space="preserve">OLIVEIRA, </w:t>
      </w:r>
      <w:r>
        <w:rPr>
          <w:spacing w:val="3"/>
          <w:sz w:val="16"/>
        </w:rPr>
        <w:t xml:space="preserve">Michelly </w:t>
      </w:r>
      <w:r>
        <w:rPr>
          <w:spacing w:val="2"/>
          <w:sz w:val="16"/>
        </w:rPr>
        <w:t xml:space="preserve">dos </w:t>
      </w:r>
      <w:r>
        <w:rPr>
          <w:spacing w:val="3"/>
          <w:sz w:val="16"/>
        </w:rPr>
        <w:t xml:space="preserve">Santos. Estudo </w:t>
      </w:r>
      <w:r>
        <w:rPr>
          <w:spacing w:val="1"/>
          <w:sz w:val="16"/>
        </w:rPr>
        <w:t xml:space="preserve">de </w:t>
      </w:r>
      <w:r>
        <w:rPr>
          <w:spacing w:val="3"/>
          <w:sz w:val="16"/>
        </w:rPr>
        <w:t xml:space="preserve">caso: principal </w:t>
      </w:r>
      <w:r>
        <w:rPr>
          <w:spacing w:val="2"/>
          <w:sz w:val="16"/>
        </w:rPr>
        <w:t xml:space="preserve">Polo </w:t>
      </w:r>
      <w:r>
        <w:rPr>
          <w:spacing w:val="3"/>
          <w:sz w:val="16"/>
        </w:rPr>
        <w:t xml:space="preserve">Produtor </w:t>
      </w:r>
      <w:r>
        <w:rPr>
          <w:spacing w:val="5"/>
          <w:sz w:val="16"/>
        </w:rPr>
        <w:t xml:space="preserve">de </w:t>
      </w:r>
      <w:r>
        <w:rPr>
          <w:sz w:val="16"/>
        </w:rPr>
        <w:t xml:space="preserve">Fosfato e Nióbio do País. In: FERNANDES, Francisco Rego Chaves; ENRIQUEZ, Maria Amélia; ALAMINO, Renata de Carvalho Jimenez. </w:t>
      </w:r>
      <w:r>
        <w:rPr>
          <w:spacing w:val="1"/>
          <w:sz w:val="16"/>
        </w:rPr>
        <w:t>Rec</w:t>
      </w:r>
      <w:r>
        <w:rPr>
          <w:spacing w:val="1"/>
          <w:sz w:val="16"/>
        </w:rPr>
        <w:t xml:space="preserve">ursos minerais </w:t>
      </w:r>
      <w:r>
        <w:rPr>
          <w:sz w:val="16"/>
        </w:rPr>
        <w:t xml:space="preserve">&amp; </w:t>
      </w:r>
      <w:r>
        <w:rPr>
          <w:spacing w:val="1"/>
          <w:sz w:val="16"/>
        </w:rPr>
        <w:t xml:space="preserve">sustentabilidade territorial: </w:t>
      </w:r>
      <w:r>
        <w:rPr>
          <w:sz w:val="16"/>
        </w:rPr>
        <w:t xml:space="preserve">v. 1, p. </w:t>
      </w:r>
      <w:r>
        <w:rPr>
          <w:spacing w:val="2"/>
          <w:sz w:val="16"/>
        </w:rPr>
        <w:t xml:space="preserve">283-305. </w:t>
      </w:r>
      <w:r>
        <w:rPr>
          <w:spacing w:val="7"/>
          <w:sz w:val="16"/>
        </w:rPr>
        <w:t xml:space="preserve">Grandes Minas </w:t>
      </w:r>
      <w:r>
        <w:rPr>
          <w:sz w:val="16"/>
        </w:rPr>
        <w:t xml:space="preserve">e  </w:t>
      </w:r>
      <w:r>
        <w:rPr>
          <w:spacing w:val="8"/>
          <w:sz w:val="16"/>
        </w:rPr>
        <w:t xml:space="preserve">Comunidades </w:t>
      </w:r>
      <w:r>
        <w:rPr>
          <w:spacing w:val="7"/>
          <w:sz w:val="16"/>
        </w:rPr>
        <w:t xml:space="preserve">Locais  </w:t>
      </w:r>
      <w:r>
        <w:rPr>
          <w:spacing w:val="8"/>
          <w:sz w:val="16"/>
        </w:rPr>
        <w:t xml:space="preserve">CETEM/MCTI, </w:t>
      </w:r>
      <w:r>
        <w:rPr>
          <w:spacing w:val="10"/>
          <w:sz w:val="16"/>
        </w:rPr>
        <w:t xml:space="preserve">2011.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6" w:line="312" w:lineRule="auto"/>
        <w:ind w:left="100" w:right="42"/>
        <w:jc w:val="both"/>
        <w:rPr>
          <w:sz w:val="16"/>
        </w:rPr>
      </w:pPr>
      <w:hyperlink r:id="rId1320">
        <w:r w:rsidR="00330118">
          <w:rPr>
            <w:spacing w:val="11"/>
            <w:sz w:val="16"/>
          </w:rPr>
          <w:t>&lt;http://www.cetem.gov.br/workshop/pdf/vol1grandesminas&gt;.</w:t>
        </w:r>
      </w:hyperlink>
      <w:r w:rsidR="00330118">
        <w:rPr>
          <w:spacing w:val="11"/>
          <w:sz w:val="16"/>
        </w:rPr>
        <w:t xml:space="preserve"> </w:t>
      </w:r>
      <w:r w:rsidR="00330118">
        <w:rPr>
          <w:spacing w:val="1"/>
          <w:sz w:val="16"/>
        </w:rPr>
        <w:t xml:space="preserve">ROCHA, Maria Beatriz Brandão. Levantamento </w:t>
      </w:r>
      <w:r w:rsidR="00330118">
        <w:rPr>
          <w:sz w:val="16"/>
        </w:rPr>
        <w:t xml:space="preserve">do </w:t>
      </w:r>
      <w:r w:rsidR="00330118">
        <w:rPr>
          <w:spacing w:val="1"/>
          <w:sz w:val="16"/>
        </w:rPr>
        <w:t xml:space="preserve">meio físico </w:t>
      </w:r>
      <w:r w:rsidR="00330118">
        <w:rPr>
          <w:spacing w:val="2"/>
          <w:sz w:val="16"/>
        </w:rPr>
        <w:t xml:space="preserve">do </w:t>
      </w:r>
      <w:r w:rsidR="00330118">
        <w:rPr>
          <w:sz w:val="16"/>
        </w:rPr>
        <w:t xml:space="preserve">município de Araxá - MG, utilizando técnicas de geoprocessamento, </w:t>
      </w:r>
      <w:r w:rsidR="00330118">
        <w:rPr>
          <w:spacing w:val="3"/>
          <w:sz w:val="16"/>
        </w:rPr>
        <w:t>Dis</w:t>
      </w:r>
      <w:r w:rsidR="00330118">
        <w:rPr>
          <w:spacing w:val="3"/>
          <w:sz w:val="16"/>
        </w:rPr>
        <w:t xml:space="preserve">sertação (mestrado </w:t>
      </w:r>
      <w:r w:rsidR="00330118">
        <w:rPr>
          <w:spacing w:val="1"/>
          <w:sz w:val="16"/>
        </w:rPr>
        <w:t xml:space="preserve">em </w:t>
      </w:r>
      <w:r w:rsidR="00330118">
        <w:rPr>
          <w:spacing w:val="3"/>
          <w:sz w:val="16"/>
        </w:rPr>
        <w:t xml:space="preserve">Geografia), 2006. 118f. </w:t>
      </w:r>
      <w:r w:rsidR="00330118">
        <w:rPr>
          <w:spacing w:val="5"/>
          <w:sz w:val="16"/>
        </w:rPr>
        <w:t xml:space="preserve">Universidade </w:t>
      </w:r>
      <w:r w:rsidR="00330118">
        <w:rPr>
          <w:spacing w:val="11"/>
          <w:sz w:val="16"/>
        </w:rPr>
        <w:t xml:space="preserve">Federal </w:t>
      </w:r>
      <w:r w:rsidR="00330118">
        <w:rPr>
          <w:spacing w:val="6"/>
          <w:sz w:val="16"/>
        </w:rPr>
        <w:t xml:space="preserve">de </w:t>
      </w:r>
      <w:r w:rsidR="00330118">
        <w:rPr>
          <w:spacing w:val="12"/>
          <w:sz w:val="16"/>
        </w:rPr>
        <w:t xml:space="preserve">Uberlândia, Uberlândia, </w:t>
      </w:r>
      <w:r w:rsidR="00330118">
        <w:rPr>
          <w:spacing w:val="10"/>
          <w:sz w:val="16"/>
        </w:rPr>
        <w:t xml:space="preserve">MG, </w:t>
      </w:r>
      <w:r w:rsidR="00330118">
        <w:rPr>
          <w:spacing w:val="12"/>
          <w:sz w:val="16"/>
        </w:rPr>
        <w:t>Disponível</w:t>
      </w:r>
      <w:r w:rsidR="00330118">
        <w:rPr>
          <w:spacing w:val="65"/>
          <w:sz w:val="16"/>
        </w:rPr>
        <w:t xml:space="preserve"> </w:t>
      </w:r>
      <w:r w:rsidR="00330118">
        <w:rPr>
          <w:spacing w:val="10"/>
          <w:sz w:val="16"/>
        </w:rPr>
        <w:t>em:</w:t>
      </w:r>
      <w:r w:rsidR="00330118">
        <w:rPr>
          <w:spacing w:val="-29"/>
          <w:sz w:val="16"/>
        </w:rPr>
        <w:t xml:space="preserve"> </w:t>
      </w:r>
    </w:p>
    <w:p w:rsidR="00D81F69" w:rsidRDefault="00D81F69">
      <w:pPr>
        <w:spacing w:before="4" w:line="312" w:lineRule="auto"/>
        <w:ind w:left="100" w:right="54"/>
        <w:jc w:val="both"/>
        <w:rPr>
          <w:sz w:val="16"/>
        </w:rPr>
      </w:pPr>
      <w:hyperlink r:id="rId1321">
        <w:r w:rsidR="00330118">
          <w:rPr>
            <w:sz w:val="16"/>
          </w:rPr>
          <w:t xml:space="preserve">&lt;http://www.bdtd.ufu.br/tde_busca/arquivo.php?codArquivo=500 </w:t>
        </w:r>
      </w:hyperlink>
      <w:r w:rsidR="00330118">
        <w:rPr>
          <w:sz w:val="16"/>
        </w:rPr>
        <w:t>&gt;. A</w:t>
      </w:r>
      <w:r w:rsidR="00330118">
        <w:rPr>
          <w:sz w:val="16"/>
        </w:rPr>
        <w:t>cesso em 14 set. 2010.</w:t>
      </w:r>
    </w:p>
    <w:p w:rsidR="00D81F69" w:rsidRDefault="00330118">
      <w:pPr>
        <w:tabs>
          <w:tab w:val="left" w:pos="4331"/>
        </w:tabs>
        <w:spacing w:before="70" w:line="312" w:lineRule="auto"/>
        <w:ind w:left="100" w:right="191"/>
        <w:jc w:val="both"/>
        <w:rPr>
          <w:sz w:val="16"/>
        </w:rPr>
      </w:pPr>
      <w:r>
        <w:br w:type="column"/>
      </w:r>
      <w:r>
        <w:rPr>
          <w:sz w:val="16"/>
        </w:rPr>
        <w:lastRenderedPageBreak/>
        <w:t xml:space="preserve">ROCHA, Erilda Marques Pereira da. Educação ambiental na história de Araxá (1950-2000). Dissertação (mestrado em Educação), 2008, </w:t>
      </w:r>
      <w:r>
        <w:rPr>
          <w:spacing w:val="5"/>
          <w:sz w:val="16"/>
        </w:rPr>
        <w:t xml:space="preserve">144f.  </w:t>
      </w:r>
      <w:r>
        <w:rPr>
          <w:spacing w:val="6"/>
          <w:sz w:val="16"/>
        </w:rPr>
        <w:t xml:space="preserve">Universidade Metodista </w:t>
      </w:r>
      <w:r>
        <w:rPr>
          <w:spacing w:val="3"/>
          <w:sz w:val="16"/>
        </w:rPr>
        <w:t xml:space="preserve">de  </w:t>
      </w:r>
      <w:r>
        <w:rPr>
          <w:spacing w:val="6"/>
          <w:sz w:val="16"/>
        </w:rPr>
        <w:t xml:space="preserve">Piracicaba, Piracicaba </w:t>
      </w:r>
      <w:r>
        <w:rPr>
          <w:spacing w:val="7"/>
          <w:sz w:val="16"/>
        </w:rPr>
        <w:t>(SP).</w:t>
      </w:r>
      <w:r>
        <w:rPr>
          <w:spacing w:val="60"/>
          <w:sz w:val="16"/>
        </w:rPr>
        <w:t xml:space="preserve">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ind w:left="100"/>
        <w:jc w:val="both"/>
        <w:rPr>
          <w:sz w:val="16"/>
        </w:rPr>
      </w:pPr>
      <w:hyperlink r:id="rId1322">
        <w:r w:rsidR="00330118">
          <w:rPr>
            <w:sz w:val="16"/>
          </w:rPr>
          <w:t>&lt;http://www.unimep.br/phpg/bibdig/pdfs/2006/KEFMEBVCKXGC.pdf&gt;</w:t>
        </w:r>
      </w:hyperlink>
    </w:p>
    <w:p w:rsidR="00D81F69" w:rsidRDefault="00330118">
      <w:pPr>
        <w:spacing w:before="56"/>
        <w:ind w:left="100"/>
        <w:jc w:val="both"/>
        <w:rPr>
          <w:sz w:val="16"/>
        </w:rPr>
      </w:pPr>
      <w:r>
        <w:rPr>
          <w:sz w:val="16"/>
        </w:rPr>
        <w:t>. Acesso em: 15 set. 2010.</w:t>
      </w:r>
    </w:p>
    <w:p w:rsidR="00D81F69" w:rsidRDefault="00330118">
      <w:pPr>
        <w:spacing w:before="56" w:line="312" w:lineRule="auto"/>
        <w:ind w:left="100" w:right="215"/>
        <w:jc w:val="both"/>
        <w:rPr>
          <w:sz w:val="16"/>
        </w:rPr>
      </w:pPr>
      <w:r>
        <w:rPr>
          <w:sz w:val="16"/>
        </w:rPr>
        <w:t xml:space="preserve">SALIBA, William. Cenibra mostra o seu balanço social de 2011. Portal Hoje em Dia. Disponível em: </w:t>
      </w:r>
      <w:hyperlink r:id="rId1323">
        <w:r>
          <w:rPr>
            <w:sz w:val="16"/>
          </w:rPr>
          <w:t>&lt;http://www.hojeemdia.com.br/colunas-</w:t>
        </w:r>
      </w:hyperlink>
      <w:r>
        <w:rPr>
          <w:sz w:val="16"/>
        </w:rPr>
        <w:t xml:space="preserve"> artigos-e-blogs/semanais/william-saliba-1.348/cenibra-mostra-o-seu-</w:t>
      </w:r>
      <w:r>
        <w:rPr>
          <w:sz w:val="16"/>
        </w:rPr>
        <w:t xml:space="preserve"> balanco-social-de-2011-1.385542&gt;. Acesso em: 23 nov. 2011.</w:t>
      </w:r>
    </w:p>
    <w:p w:rsidR="00D81F69" w:rsidRDefault="00330118">
      <w:pPr>
        <w:spacing w:before="3" w:line="312" w:lineRule="auto"/>
        <w:ind w:left="100" w:right="198"/>
        <w:jc w:val="both"/>
        <w:rPr>
          <w:sz w:val="16"/>
        </w:rPr>
      </w:pPr>
      <w:r>
        <w:rPr>
          <w:sz w:val="16"/>
        </w:rPr>
        <w:t>SANTOS, Maria Aparecida. Barreiro do Araxá/MG – um lugar que pode desaparecer, X Encontro de História Oral, 2010. Disponível em:</w:t>
      </w:r>
    </w:p>
    <w:p w:rsidR="00D81F69" w:rsidRDefault="00D81F69">
      <w:pPr>
        <w:spacing w:before="2" w:line="312" w:lineRule="auto"/>
        <w:ind w:left="100" w:right="217"/>
        <w:jc w:val="both"/>
        <w:rPr>
          <w:sz w:val="16"/>
        </w:rPr>
      </w:pPr>
      <w:hyperlink r:id="rId1324">
        <w:r w:rsidR="00330118">
          <w:rPr>
            <w:sz w:val="16"/>
          </w:rPr>
          <w:t xml:space="preserve">&lt;http://www.historal.kit.net/maria_aparecida_dos_santos.pdf&gt;. </w:t>
        </w:r>
      </w:hyperlink>
      <w:r w:rsidR="00330118">
        <w:rPr>
          <w:sz w:val="16"/>
        </w:rPr>
        <w:t>Acesso em: 21 set. 2010.</w:t>
      </w:r>
    </w:p>
    <w:p w:rsidR="00D81F69" w:rsidRDefault="00330118">
      <w:pPr>
        <w:spacing w:before="1" w:line="312" w:lineRule="auto"/>
        <w:ind w:left="100" w:right="184"/>
        <w:jc w:val="both"/>
        <w:rPr>
          <w:sz w:val="16"/>
        </w:rPr>
      </w:pPr>
      <w:r>
        <w:rPr>
          <w:sz w:val="16"/>
        </w:rPr>
        <w:t>SCHNELLRATH, Jürgen; CORREIA, Júlio Cesar Guedes; GUIMARÃES, Rogério Contato; TEIXEIRA, Sebastião Hipólito A. Fosfato - Mina de Araxá – Serrana,</w:t>
      </w:r>
    </w:p>
    <w:p w:rsidR="00D81F69" w:rsidRDefault="00330118">
      <w:pPr>
        <w:spacing w:before="3"/>
        <w:ind w:left="100"/>
        <w:jc w:val="both"/>
        <w:rPr>
          <w:sz w:val="16"/>
        </w:rPr>
      </w:pPr>
      <w:r>
        <w:rPr>
          <w:sz w:val="16"/>
        </w:rPr>
        <w:t>CETEM, Rio de J</w:t>
      </w:r>
      <w:r>
        <w:rPr>
          <w:sz w:val="16"/>
        </w:rPr>
        <w:t xml:space="preserve">aneiro, dez. 2002. Disponível em: </w:t>
      </w:r>
    </w:p>
    <w:p w:rsidR="00D81F69" w:rsidRDefault="00D81F69">
      <w:pPr>
        <w:spacing w:before="56" w:line="312" w:lineRule="auto"/>
        <w:ind w:left="100" w:right="191"/>
        <w:jc w:val="both"/>
        <w:rPr>
          <w:sz w:val="16"/>
        </w:rPr>
      </w:pPr>
      <w:hyperlink r:id="rId1325">
        <w:r w:rsidR="00330118">
          <w:rPr>
            <w:sz w:val="16"/>
          </w:rPr>
          <w:t>&lt;http://www.cetem.gov.br/publicacao/CTs/CT2002-186-00.pdf&gt;.</w:t>
        </w:r>
      </w:hyperlink>
      <w:r w:rsidR="00330118">
        <w:rPr>
          <w:sz w:val="16"/>
        </w:rPr>
        <w:t xml:space="preserve"> Acesso em: 14 set. 2010.</w:t>
      </w:r>
    </w:p>
    <w:p w:rsidR="00D81F69" w:rsidRDefault="00330118">
      <w:pPr>
        <w:spacing w:before="2" w:line="312" w:lineRule="auto"/>
        <w:ind w:left="100" w:right="144"/>
        <w:jc w:val="both"/>
        <w:rPr>
          <w:sz w:val="16"/>
        </w:rPr>
      </w:pPr>
      <w:r>
        <w:rPr>
          <w:spacing w:val="3"/>
          <w:sz w:val="16"/>
        </w:rPr>
        <w:t xml:space="preserve">SUPRAM, Superintendência Regional </w:t>
      </w:r>
      <w:r>
        <w:rPr>
          <w:sz w:val="16"/>
        </w:rPr>
        <w:t xml:space="preserve">- </w:t>
      </w:r>
      <w:r>
        <w:rPr>
          <w:spacing w:val="3"/>
          <w:sz w:val="16"/>
        </w:rPr>
        <w:t xml:space="preserve">Triângulo Mineiro </w:t>
      </w:r>
      <w:r>
        <w:rPr>
          <w:sz w:val="16"/>
        </w:rPr>
        <w:t xml:space="preserve">e </w:t>
      </w:r>
      <w:r>
        <w:rPr>
          <w:spacing w:val="5"/>
          <w:sz w:val="16"/>
        </w:rPr>
        <w:t xml:space="preserve">Alto </w:t>
      </w:r>
      <w:r>
        <w:rPr>
          <w:sz w:val="16"/>
        </w:rPr>
        <w:t>P</w:t>
      </w:r>
      <w:r>
        <w:rPr>
          <w:sz w:val="16"/>
        </w:rPr>
        <w:t xml:space="preserve">aranaíba, Companhia Mineradora do Pirocloro de Araxá - Parecer     </w:t>
      </w:r>
      <w:r>
        <w:rPr>
          <w:spacing w:val="7"/>
          <w:sz w:val="16"/>
        </w:rPr>
        <w:t xml:space="preserve">ú n i c o </w:t>
      </w:r>
      <w:r>
        <w:rPr>
          <w:sz w:val="16"/>
        </w:rPr>
        <w:t xml:space="preserve">.      </w:t>
      </w:r>
      <w:r>
        <w:rPr>
          <w:spacing w:val="7"/>
          <w:sz w:val="16"/>
        </w:rPr>
        <w:t xml:space="preserve">1 </w:t>
      </w:r>
      <w:r>
        <w:rPr>
          <w:sz w:val="16"/>
        </w:rPr>
        <w:t xml:space="preserve">0      </w:t>
      </w:r>
      <w:r>
        <w:rPr>
          <w:spacing w:val="7"/>
          <w:sz w:val="16"/>
        </w:rPr>
        <w:t xml:space="preserve">j a n </w:t>
      </w:r>
      <w:r>
        <w:rPr>
          <w:sz w:val="16"/>
        </w:rPr>
        <w:t xml:space="preserve">.      </w:t>
      </w:r>
      <w:r>
        <w:rPr>
          <w:spacing w:val="7"/>
          <w:sz w:val="16"/>
        </w:rPr>
        <w:t xml:space="preserve">2 0 0 9 </w:t>
      </w:r>
      <w:r>
        <w:rPr>
          <w:sz w:val="16"/>
        </w:rPr>
        <w:t xml:space="preserve">.      </w:t>
      </w:r>
      <w:r>
        <w:rPr>
          <w:spacing w:val="7"/>
          <w:sz w:val="16"/>
        </w:rPr>
        <w:t xml:space="preserve">D i s p o n í v e </w:t>
      </w:r>
      <w:r>
        <w:rPr>
          <w:sz w:val="16"/>
        </w:rPr>
        <w:t xml:space="preserve">l   </w:t>
      </w:r>
      <w:r>
        <w:rPr>
          <w:spacing w:val="20"/>
          <w:sz w:val="16"/>
        </w:rPr>
        <w:t xml:space="preserve"> </w:t>
      </w:r>
      <w:r>
        <w:rPr>
          <w:spacing w:val="7"/>
          <w:sz w:val="16"/>
        </w:rPr>
        <w:t xml:space="preserve">e m </w:t>
      </w:r>
      <w:r>
        <w:rPr>
          <w:sz w:val="16"/>
        </w:rPr>
        <w:t>:</w:t>
      </w:r>
      <w:r>
        <w:rPr>
          <w:spacing w:val="8"/>
          <w:sz w:val="16"/>
        </w:rPr>
        <w:t xml:space="preserve"> </w:t>
      </w:r>
    </w:p>
    <w:p w:rsidR="00D81F69" w:rsidRDefault="00330118">
      <w:pPr>
        <w:spacing w:before="2" w:line="312" w:lineRule="auto"/>
        <w:ind w:left="100" w:right="215"/>
        <w:jc w:val="both"/>
        <w:rPr>
          <w:sz w:val="16"/>
        </w:rPr>
      </w:pPr>
      <w:r>
        <w:rPr>
          <w:sz w:val="16"/>
        </w:rPr>
        <w:t>&lt;http://200.198.22.171/down.asp?x_caminho=reunioes/sistema/arquiv os/material?&amp;</w:t>
      </w:r>
      <w:r>
        <w:rPr>
          <w:sz w:val="16"/>
        </w:rPr>
        <w:t>x_nome=ITEM_10.1_Cia_Mineradora_do_Pirocloro_de</w:t>
      </w:r>
    </w:p>
    <w:p w:rsidR="00D81F69" w:rsidRDefault="00330118">
      <w:pPr>
        <w:spacing w:before="2"/>
        <w:ind w:left="100"/>
        <w:jc w:val="both"/>
        <w:rPr>
          <w:sz w:val="16"/>
        </w:rPr>
      </w:pPr>
      <w:r>
        <w:rPr>
          <w:sz w:val="16"/>
        </w:rPr>
        <w:t>_Arax%E1_-_PU.pdf&gt;. Acesso em: 14 set. 2010.</w:t>
      </w:r>
    </w:p>
    <w:p w:rsidR="00D81F69" w:rsidRDefault="00330118">
      <w:pPr>
        <w:spacing w:before="56" w:line="312" w:lineRule="auto"/>
        <w:ind w:left="100" w:right="169"/>
        <w:jc w:val="both"/>
        <w:rPr>
          <w:sz w:val="16"/>
        </w:rPr>
      </w:pPr>
      <w:r>
        <w:rPr>
          <w:spacing w:val="3"/>
          <w:sz w:val="16"/>
        </w:rPr>
        <w:t xml:space="preserve">TORRES, Murilo Gomes; GASPAR, </w:t>
      </w:r>
      <w:r>
        <w:rPr>
          <w:spacing w:val="2"/>
          <w:sz w:val="16"/>
        </w:rPr>
        <w:t xml:space="preserve">José </w:t>
      </w:r>
      <w:r>
        <w:rPr>
          <w:spacing w:val="3"/>
          <w:sz w:val="16"/>
        </w:rPr>
        <w:t xml:space="preserve">Carlos. Geoquímica </w:t>
      </w:r>
      <w:r>
        <w:rPr>
          <w:spacing w:val="5"/>
          <w:sz w:val="16"/>
        </w:rPr>
        <w:t xml:space="preserve">do </w:t>
      </w:r>
      <w:r>
        <w:rPr>
          <w:sz w:val="16"/>
        </w:rPr>
        <w:t xml:space="preserve">manto de intemperismo da mina de fosfato do Complexo Alcalino- </w:t>
      </w:r>
      <w:r>
        <w:rPr>
          <w:spacing w:val="3"/>
          <w:sz w:val="16"/>
        </w:rPr>
        <w:t xml:space="preserve">Carbonatítico </w:t>
      </w:r>
      <w:r>
        <w:rPr>
          <w:spacing w:val="1"/>
          <w:sz w:val="16"/>
        </w:rPr>
        <w:t xml:space="preserve">do </w:t>
      </w:r>
      <w:r>
        <w:rPr>
          <w:spacing w:val="3"/>
          <w:sz w:val="16"/>
        </w:rPr>
        <w:t xml:space="preserve">Barreiro Araxá- </w:t>
      </w:r>
      <w:r>
        <w:rPr>
          <w:spacing w:val="2"/>
          <w:sz w:val="16"/>
        </w:rPr>
        <w:t xml:space="preserve">MG, </w:t>
      </w:r>
      <w:r>
        <w:rPr>
          <w:sz w:val="16"/>
        </w:rPr>
        <w:t xml:space="preserve">V </w:t>
      </w:r>
      <w:r>
        <w:rPr>
          <w:spacing w:val="3"/>
          <w:sz w:val="16"/>
        </w:rPr>
        <w:t>Cong</w:t>
      </w:r>
      <w:r>
        <w:rPr>
          <w:spacing w:val="3"/>
          <w:sz w:val="16"/>
        </w:rPr>
        <w:t xml:space="preserve">resso Brasileiro </w:t>
      </w:r>
      <w:r>
        <w:rPr>
          <w:spacing w:val="5"/>
          <w:sz w:val="16"/>
        </w:rPr>
        <w:t xml:space="preserve">de </w:t>
      </w:r>
      <w:r>
        <w:rPr>
          <w:sz w:val="16"/>
        </w:rPr>
        <w:t xml:space="preserve">Geoquímica e III Congresso de Geoquímica dos países de </w:t>
      </w:r>
      <w:r>
        <w:rPr>
          <w:spacing w:val="1"/>
          <w:sz w:val="16"/>
        </w:rPr>
        <w:t xml:space="preserve">Língua </w:t>
      </w:r>
      <w:r>
        <w:rPr>
          <w:spacing w:val="30"/>
          <w:sz w:val="16"/>
        </w:rPr>
        <w:t xml:space="preserve">Portuguesa,   Niterói/RJ,   </w:t>
      </w:r>
      <w:r>
        <w:rPr>
          <w:spacing w:val="25"/>
          <w:sz w:val="16"/>
        </w:rPr>
        <w:t xml:space="preserve">1995. </w:t>
      </w:r>
      <w:r>
        <w:rPr>
          <w:spacing w:val="95"/>
          <w:sz w:val="16"/>
        </w:rPr>
        <w:t xml:space="preserve"> </w:t>
      </w:r>
      <w:r>
        <w:rPr>
          <w:spacing w:val="28"/>
          <w:sz w:val="16"/>
        </w:rPr>
        <w:t xml:space="preserve">Disponível </w:t>
      </w:r>
      <w:r>
        <w:rPr>
          <w:spacing w:val="27"/>
          <w:sz w:val="16"/>
        </w:rPr>
        <w:t xml:space="preserve"> </w:t>
      </w:r>
      <w:r>
        <w:rPr>
          <w:spacing w:val="21"/>
          <w:sz w:val="16"/>
        </w:rPr>
        <w:t>em:</w:t>
      </w:r>
      <w:r>
        <w:rPr>
          <w:spacing w:val="-11"/>
          <w:sz w:val="16"/>
        </w:rPr>
        <w:t xml:space="preserve"> </w:t>
      </w:r>
    </w:p>
    <w:p w:rsidR="00D81F69" w:rsidRDefault="00D81F69">
      <w:pPr>
        <w:spacing w:before="4"/>
        <w:ind w:left="100"/>
        <w:jc w:val="both"/>
        <w:rPr>
          <w:sz w:val="16"/>
        </w:rPr>
      </w:pPr>
      <w:hyperlink r:id="rId1326">
        <w:r w:rsidR="00330118">
          <w:rPr>
            <w:sz w:val="16"/>
          </w:rPr>
          <w:t>&lt;</w:t>
        </w:r>
        <w:r w:rsidR="00330118">
          <w:rPr>
            <w:sz w:val="16"/>
          </w:rPr>
          <w:t>http://ftp.unb.br/pub/download/ig/ProdCient/Resumos/Torres_Gaspar</w:t>
        </w:r>
      </w:hyperlink>
    </w:p>
    <w:p w:rsidR="00D81F69" w:rsidRDefault="00330118">
      <w:pPr>
        <w:spacing w:before="56"/>
        <w:ind w:left="100"/>
        <w:jc w:val="both"/>
        <w:rPr>
          <w:sz w:val="16"/>
        </w:rPr>
      </w:pPr>
      <w:r>
        <w:rPr>
          <w:sz w:val="16"/>
        </w:rPr>
        <w:t>_1995.PDF&gt;. Acesso em 14 set. 2010.</w:t>
      </w:r>
    </w:p>
    <w:p w:rsidR="00D81F69" w:rsidRDefault="00D81F69">
      <w:pPr>
        <w:jc w:val="both"/>
        <w:rPr>
          <w:sz w:val="16"/>
        </w:rPr>
        <w:sectPr w:rsidR="00D81F69">
          <w:pgSz w:w="11900" w:h="16840"/>
          <w:pgMar w:top="740" w:right="500" w:bottom="720" w:left="620" w:header="0" w:footer="402" w:gutter="0"/>
          <w:cols w:num="2" w:space="720" w:equalWidth="0">
            <w:col w:w="5169" w:space="301"/>
            <w:col w:w="5310"/>
          </w:cols>
        </w:sectPr>
      </w:pPr>
    </w:p>
    <w:p w:rsidR="00D81F69" w:rsidRDefault="00330118">
      <w:pPr>
        <w:pStyle w:val="Heading1"/>
        <w:tabs>
          <w:tab w:val="left" w:pos="2537"/>
          <w:tab w:val="left" w:pos="3859"/>
          <w:tab w:val="left" w:pos="4702"/>
          <w:tab w:val="left" w:pos="5341"/>
          <w:tab w:val="left" w:pos="6072"/>
          <w:tab w:val="left" w:pos="6616"/>
          <w:tab w:val="left" w:pos="7442"/>
          <w:tab w:val="left" w:pos="8606"/>
        </w:tabs>
        <w:spacing w:line="208" w:lineRule="auto"/>
        <w:ind w:right="192"/>
      </w:pPr>
      <w:r>
        <w:rPr>
          <w:spacing w:val="22"/>
        </w:rPr>
        <w:lastRenderedPageBreak/>
        <w:t>Mineração</w:t>
      </w:r>
      <w:r>
        <w:rPr>
          <w:spacing w:val="22"/>
        </w:rPr>
        <w:tab/>
        <w:t>subterrânea</w:t>
      </w:r>
      <w:r>
        <w:rPr>
          <w:spacing w:val="22"/>
        </w:rPr>
        <w:tab/>
      </w:r>
      <w:r>
        <w:rPr>
          <w:spacing w:val="12"/>
        </w:rPr>
        <w:t>de</w:t>
      </w:r>
      <w:r>
        <w:rPr>
          <w:spacing w:val="12"/>
        </w:rPr>
        <w:tab/>
      </w:r>
      <w:r>
        <w:rPr>
          <w:spacing w:val="20"/>
        </w:rPr>
        <w:t>zinco</w:t>
      </w:r>
      <w:r>
        <w:rPr>
          <w:spacing w:val="20"/>
        </w:rPr>
        <w:tab/>
      </w:r>
      <w:r>
        <w:rPr>
          <w:spacing w:val="18"/>
        </w:rPr>
        <w:t>gera</w:t>
      </w:r>
      <w:r>
        <w:rPr>
          <w:spacing w:val="18"/>
        </w:rPr>
        <w:tab/>
      </w:r>
      <w:r>
        <w:rPr>
          <w:spacing w:val="25"/>
        </w:rPr>
        <w:t xml:space="preserve">impactos </w:t>
      </w:r>
      <w:r>
        <w:rPr>
          <w:spacing w:val="23"/>
        </w:rPr>
        <w:t>socioambientais</w:t>
      </w:r>
      <w:r>
        <w:rPr>
          <w:spacing w:val="23"/>
        </w:rPr>
        <w:tab/>
      </w:r>
      <w:r>
        <w:rPr>
          <w:spacing w:val="12"/>
        </w:rPr>
        <w:t>em</w:t>
      </w:r>
      <w:r>
        <w:rPr>
          <w:spacing w:val="12"/>
        </w:rPr>
        <w:tab/>
      </w:r>
      <w:r>
        <w:rPr>
          <w:spacing w:val="21"/>
        </w:rPr>
        <w:t>Vazante</w:t>
      </w:r>
      <w:r>
        <w:rPr>
          <w:spacing w:val="21"/>
        </w:rPr>
        <w:tab/>
      </w:r>
      <w:r>
        <w:rPr>
          <w:spacing w:val="25"/>
        </w:rPr>
        <w:t>(MG)</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7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MG - Vazante</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-17,9898</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-46,8998</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9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A mineração subterrânea de zinco, </w:t>
      </w:r>
      <w:r>
        <w:rPr>
          <w:i/>
          <w:sz w:val="16"/>
        </w:rPr>
        <w:t xml:space="preserve">explorada pela Votorantim Metais Zinco S.A, é apontada como uma das causas do aparecimento de crateras no solo do município de Vazante (MG). Também são atribuídos à atividade mineral a contaminação das águas dos rios e o comprometimento do lençol freático </w:t>
      </w:r>
      <w:r>
        <w:rPr>
          <w:i/>
          <w:sz w:val="16"/>
        </w:rPr>
        <w:t>da região.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9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94"/>
      </w:pPr>
      <w:r>
        <w:t xml:space="preserve">capacidade para tal volume (FURTARDO, 2004), a água era despejada no córrego Barroquinha, principal afluente do </w:t>
      </w:r>
      <w:r>
        <w:rPr>
          <w:spacing w:val="1"/>
        </w:rPr>
        <w:t xml:space="preserve">rio </w:t>
      </w:r>
      <w:r>
        <w:t>Santa Catarina, que, por sua vez, deságua no rio Paracatu, um</w:t>
      </w:r>
      <w:r>
        <w:rPr>
          <w:spacing w:val="18"/>
        </w:rPr>
        <w:t xml:space="preserve"> </w:t>
      </w:r>
      <w:r>
        <w:t>dos</w:t>
      </w:r>
      <w:r>
        <w:rPr>
          <w:spacing w:val="18"/>
        </w:rPr>
        <w:t xml:space="preserve"> </w:t>
      </w:r>
      <w:r>
        <w:t>afluentes</w:t>
      </w:r>
      <w:r>
        <w:rPr>
          <w:spacing w:val="18"/>
        </w:rPr>
        <w:t xml:space="preserve"> </w:t>
      </w:r>
      <w:r>
        <w:t>do</w:t>
      </w:r>
      <w:r>
        <w:rPr>
          <w:spacing w:val="18"/>
        </w:rPr>
        <w:t xml:space="preserve"> </w:t>
      </w:r>
      <w:r>
        <w:t>São</w:t>
      </w:r>
      <w:r>
        <w:rPr>
          <w:spacing w:val="18"/>
        </w:rPr>
        <w:t xml:space="preserve"> </w:t>
      </w:r>
      <w:r>
        <w:t>Francisco</w:t>
      </w:r>
      <w:r>
        <w:rPr>
          <w:spacing w:val="18"/>
        </w:rPr>
        <w:t xml:space="preserve"> </w:t>
      </w:r>
      <w:r>
        <w:t>(MPF,</w:t>
      </w:r>
      <w:r>
        <w:rPr>
          <w:spacing w:val="18"/>
        </w:rPr>
        <w:t xml:space="preserve"> </w:t>
      </w:r>
      <w:r>
        <w:rPr>
          <w:spacing w:val="1"/>
        </w:rPr>
        <w:t>2008).</w:t>
      </w:r>
    </w:p>
    <w:p w:rsidR="00D81F69" w:rsidRDefault="00330118">
      <w:pPr>
        <w:pStyle w:val="Corpodetexto"/>
        <w:spacing w:before="70" w:line="270" w:lineRule="atLeast"/>
        <w:ind w:left="135"/>
        <w:jc w:val="left"/>
      </w:pPr>
      <w:r>
        <w:t>Tal bombeamento, su</w:t>
      </w:r>
      <w:r>
        <w:t xml:space="preserve">perior a 8.000 m³/h de água, causou o rebaixamento do lençol freático (responsável pelo desaparecimento de lagoas e pela extinção de nascentes, que comprometem o abastecimento de água potável da cidade), zonas de depressão e afundamento no solo, fenômenos </w:t>
      </w:r>
      <w:r>
        <w:t>esses conhecidos por dolinas. Técnicos da Universidade Federal de Uberlândia, em inspeção realizada a</w:t>
      </w:r>
    </w:p>
    <w:p w:rsidR="00D81F69" w:rsidRDefault="00D81F69">
      <w:pPr>
        <w:spacing w:line="270" w:lineRule="atLeast"/>
        <w:sectPr w:rsidR="00D81F69">
          <w:type w:val="continuous"/>
          <w:pgSz w:w="11900" w:h="16840"/>
          <w:pgMar w:top="720" w:right="500" w:bottom="280" w:left="620" w:header="720" w:footer="720" w:gutter="0"/>
          <w:cols w:num="3" w:space="720" w:equalWidth="0">
            <w:col w:w="1039" w:space="961"/>
            <w:col w:w="3125" w:space="310"/>
            <w:col w:w="5345"/>
          </w:cols>
        </w:sectPr>
      </w:pPr>
    </w:p>
    <w:p w:rsidR="00D81F69" w:rsidRDefault="00330118">
      <w:pPr>
        <w:pStyle w:val="Heading4"/>
        <w:spacing w:line="183" w:lineRule="exact"/>
        <w:jc w:val="left"/>
      </w:pPr>
      <w:r>
        <w:lastRenderedPageBreak/>
        <w:t>APRESENTAÇÃO DE CASO</w:t>
      </w:r>
    </w:p>
    <w:p w:rsidR="00D81F69" w:rsidRDefault="00330118">
      <w:pPr>
        <w:pStyle w:val="Corpodetexto"/>
        <w:spacing w:before="170" w:line="312" w:lineRule="auto"/>
        <w:ind w:right="105"/>
        <w:jc w:val="left"/>
      </w:pPr>
      <w:r>
        <w:t xml:space="preserve">Conhecido como a capital do </w:t>
      </w:r>
      <w:hyperlink r:id="rId1327">
        <w:r>
          <w:t xml:space="preserve">zinco, </w:t>
        </w:r>
      </w:hyperlink>
      <w:r>
        <w:t xml:space="preserve">o município de Vazante </w:t>
      </w:r>
      <w:r>
        <w:rPr>
          <w:spacing w:val="2"/>
        </w:rPr>
        <w:t xml:space="preserve">está </w:t>
      </w:r>
      <w:r>
        <w:rPr>
          <w:spacing w:val="3"/>
        </w:rPr>
        <w:t xml:space="preserve">situado </w:t>
      </w:r>
      <w:r>
        <w:rPr>
          <w:spacing w:val="1"/>
        </w:rPr>
        <w:t xml:space="preserve">no </w:t>
      </w:r>
      <w:r>
        <w:rPr>
          <w:spacing w:val="3"/>
        </w:rPr>
        <w:t xml:space="preserve">noroeste </w:t>
      </w:r>
      <w:r>
        <w:rPr>
          <w:spacing w:val="1"/>
        </w:rPr>
        <w:t xml:space="preserve">de </w:t>
      </w:r>
      <w:r>
        <w:rPr>
          <w:spacing w:val="3"/>
        </w:rPr>
        <w:t xml:space="preserve">Minas Gerais, limitado </w:t>
      </w:r>
      <w:r>
        <w:rPr>
          <w:spacing w:val="5"/>
        </w:rPr>
        <w:t xml:space="preserve">pelas </w:t>
      </w:r>
      <w:r>
        <w:t xml:space="preserve">cidades de Paracatu e Lagoa Grande, ao norte; Coromandel, </w:t>
      </w:r>
      <w:r>
        <w:rPr>
          <w:spacing w:val="5"/>
        </w:rPr>
        <w:t xml:space="preserve">ao </w:t>
      </w:r>
      <w:r>
        <w:rPr>
          <w:spacing w:val="6"/>
        </w:rPr>
        <w:t xml:space="preserve">sul; </w:t>
      </w:r>
      <w:r>
        <w:rPr>
          <w:spacing w:val="7"/>
        </w:rPr>
        <w:t xml:space="preserve">Lagamar, </w:t>
      </w:r>
      <w:r>
        <w:rPr>
          <w:spacing w:val="5"/>
        </w:rPr>
        <w:t xml:space="preserve">ao </w:t>
      </w:r>
      <w:r>
        <w:rPr>
          <w:spacing w:val="7"/>
        </w:rPr>
        <w:t>le</w:t>
      </w:r>
      <w:r>
        <w:rPr>
          <w:spacing w:val="7"/>
        </w:rPr>
        <w:t xml:space="preserve">ste; </w:t>
      </w:r>
      <w:r>
        <w:t xml:space="preserve">e </w:t>
      </w:r>
      <w:r>
        <w:rPr>
          <w:spacing w:val="8"/>
        </w:rPr>
        <w:t xml:space="preserve">Guarda-Mor, </w:t>
      </w:r>
      <w:r>
        <w:t xml:space="preserve">a </w:t>
      </w:r>
      <w:r>
        <w:rPr>
          <w:spacing w:val="7"/>
        </w:rPr>
        <w:t xml:space="preserve">oeste, </w:t>
      </w:r>
      <w:r>
        <w:t xml:space="preserve">e contabiliza uma população de 19.721 habitantes numa área  de 1.913,395 km² (IBGE, 2010a). A descoberta do minério de zinco no município ocorreu em 1933, por meio de pesquisas realizadas pelo engenheiro chileno Ângelo Custódio </w:t>
      </w:r>
      <w:r>
        <w:t xml:space="preserve">Solis. Em 1969 deu-se início a exploração do minério que começou a  ser transportado para a metalúrgica de Três Marias (MG), da </w:t>
      </w:r>
      <w:r>
        <w:rPr>
          <w:spacing w:val="6"/>
        </w:rPr>
        <w:t xml:space="preserve">Cia. </w:t>
      </w:r>
      <w:r>
        <w:rPr>
          <w:spacing w:val="7"/>
        </w:rPr>
        <w:t xml:space="preserve">Mineira </w:t>
      </w:r>
      <w:r>
        <w:rPr>
          <w:spacing w:val="5"/>
        </w:rPr>
        <w:t xml:space="preserve">de </w:t>
      </w:r>
      <w:r>
        <w:rPr>
          <w:spacing w:val="7"/>
        </w:rPr>
        <w:t xml:space="preserve">Metais (CMM), </w:t>
      </w:r>
      <w:r>
        <w:rPr>
          <w:spacing w:val="8"/>
        </w:rPr>
        <w:t xml:space="preserve">pertencente </w:t>
      </w:r>
      <w:r>
        <w:rPr>
          <w:spacing w:val="5"/>
        </w:rPr>
        <w:t xml:space="preserve">ao </w:t>
      </w:r>
      <w:r>
        <w:rPr>
          <w:spacing w:val="10"/>
        </w:rPr>
        <w:t xml:space="preserve">Grupo </w:t>
      </w:r>
      <w:r>
        <w:rPr>
          <w:spacing w:val="6"/>
        </w:rPr>
        <w:t xml:space="preserve">Votorantim </w:t>
      </w:r>
      <w:r>
        <w:rPr>
          <w:spacing w:val="5"/>
        </w:rPr>
        <w:t xml:space="preserve">(IBGE, 2010b). Hoje, </w:t>
      </w:r>
      <w:r>
        <w:t xml:space="preserve">a </w:t>
      </w:r>
      <w:r>
        <w:rPr>
          <w:spacing w:val="5"/>
        </w:rPr>
        <w:t xml:space="preserve">empresa </w:t>
      </w:r>
      <w:r>
        <w:t xml:space="preserve">é a </w:t>
      </w:r>
      <w:r>
        <w:rPr>
          <w:spacing w:val="7"/>
        </w:rPr>
        <w:t xml:space="preserve">maior </w:t>
      </w:r>
      <w:r>
        <w:rPr>
          <w:spacing w:val="13"/>
        </w:rPr>
        <w:t xml:space="preserve">produtora </w:t>
      </w:r>
      <w:r>
        <w:rPr>
          <w:spacing w:val="7"/>
        </w:rPr>
        <w:t xml:space="preserve">de </w:t>
      </w:r>
      <w:r>
        <w:rPr>
          <w:spacing w:val="11"/>
        </w:rPr>
        <w:t xml:space="preserve">zinco </w:t>
      </w:r>
      <w:r>
        <w:rPr>
          <w:spacing w:val="13"/>
        </w:rPr>
        <w:t xml:space="preserve">eletrolítico </w:t>
      </w:r>
      <w:r>
        <w:rPr>
          <w:spacing w:val="7"/>
        </w:rPr>
        <w:t xml:space="preserve">da </w:t>
      </w:r>
      <w:r>
        <w:rPr>
          <w:spacing w:val="12"/>
        </w:rPr>
        <w:t xml:space="preserve">América Latina </w:t>
      </w:r>
      <w:r>
        <w:rPr>
          <w:spacing w:val="13"/>
        </w:rPr>
        <w:t xml:space="preserve">(VOTORANTIM </w:t>
      </w:r>
      <w:r>
        <w:rPr>
          <w:spacing w:val="12"/>
        </w:rPr>
        <w:t>METAIS,</w:t>
      </w:r>
      <w:r>
        <w:rPr>
          <w:spacing w:val="22"/>
        </w:rPr>
        <w:t xml:space="preserve"> </w:t>
      </w:r>
      <w:r>
        <w:rPr>
          <w:spacing w:val="12"/>
        </w:rPr>
        <w:t>2007).</w:t>
      </w:r>
      <w:r>
        <w:rPr>
          <w:spacing w:val="-33"/>
        </w:rPr>
        <w:t xml:space="preserve"> </w:t>
      </w:r>
    </w:p>
    <w:p w:rsidR="00D81F69" w:rsidRDefault="00330118">
      <w:pPr>
        <w:pStyle w:val="Corpodetexto"/>
        <w:spacing w:before="143" w:line="312" w:lineRule="auto"/>
        <w:ind w:right="79"/>
      </w:pPr>
      <w:r>
        <w:t>No início, a CMM dividia com a Mineração Areiense S.A. (Masa) — subsidiária da Cia. Mercantil e Industrial Ingá — os direitos de exploração do minério em Vazante. Em 1998, com a falência do grupo m</w:t>
      </w:r>
      <w:r>
        <w:t>inerometalúrgico Ingá, a mina teve suas atividades paralisadas, e seus direitos de exploração arrematados pela Votorantim por US$ 5 milhões (JESUS, 2005).</w:t>
      </w:r>
    </w:p>
    <w:p w:rsidR="00D81F69" w:rsidRDefault="00330118">
      <w:pPr>
        <w:pStyle w:val="Corpodetexto"/>
        <w:spacing w:before="73" w:line="270" w:lineRule="atLeast"/>
        <w:ind w:right="38"/>
        <w:jc w:val="left"/>
      </w:pPr>
      <w:r>
        <w:t>A empresa começou a extrair minério do subsolo em 1994 e, para isso, precisava bombear a água subterr</w:t>
      </w:r>
      <w:r>
        <w:t xml:space="preserve">ânea. Em 1999,   a </w:t>
      </w:r>
      <w:r>
        <w:rPr>
          <w:spacing w:val="5"/>
        </w:rPr>
        <w:t xml:space="preserve">mina estava </w:t>
      </w:r>
      <w:r>
        <w:rPr>
          <w:spacing w:val="2"/>
        </w:rPr>
        <w:t xml:space="preserve">em </w:t>
      </w:r>
      <w:r>
        <w:rPr>
          <w:spacing w:val="5"/>
        </w:rPr>
        <w:t xml:space="preserve">expansão. </w:t>
      </w:r>
      <w:r>
        <w:t xml:space="preserve">A </w:t>
      </w:r>
      <w:r>
        <w:rPr>
          <w:spacing w:val="5"/>
        </w:rPr>
        <w:t xml:space="preserve">empresa construiu </w:t>
      </w:r>
      <w:r>
        <w:rPr>
          <w:spacing w:val="6"/>
        </w:rPr>
        <w:t xml:space="preserve">uma </w:t>
      </w:r>
      <w:r>
        <w:t>galeria a 300 m de profundidade e, abaixo dela, uma grande caixa d'água. O escoamento da água por meio de canaletas e os furos na rocha até o reservatório permitiriam a extração do minério</w:t>
      </w:r>
      <w:r>
        <w:t xml:space="preserve"> sem o inconveniente de inundações e jorros de água </w:t>
      </w:r>
      <w:r>
        <w:rPr>
          <w:spacing w:val="15"/>
        </w:rPr>
        <w:t xml:space="preserve">intermitentes. </w:t>
      </w:r>
      <w:r>
        <w:t xml:space="preserve">A </w:t>
      </w:r>
      <w:r>
        <w:rPr>
          <w:spacing w:val="12"/>
        </w:rPr>
        <w:t xml:space="preserve">água </w:t>
      </w:r>
      <w:r>
        <w:rPr>
          <w:spacing w:val="15"/>
        </w:rPr>
        <w:t xml:space="preserve">acumulada </w:t>
      </w:r>
      <w:r>
        <w:rPr>
          <w:spacing w:val="8"/>
        </w:rPr>
        <w:t xml:space="preserve">no </w:t>
      </w:r>
      <w:r>
        <w:rPr>
          <w:spacing w:val="13"/>
        </w:rPr>
        <w:t xml:space="preserve">fundo seria </w:t>
      </w:r>
      <w:r>
        <w:rPr>
          <w:spacing w:val="8"/>
        </w:rPr>
        <w:t xml:space="preserve">constantemente </w:t>
      </w:r>
      <w:r>
        <w:rPr>
          <w:spacing w:val="7"/>
        </w:rPr>
        <w:t xml:space="preserve">bombeada </w:t>
      </w:r>
      <w:r>
        <w:rPr>
          <w:spacing w:val="6"/>
        </w:rPr>
        <w:t xml:space="preserve">para </w:t>
      </w:r>
      <w:r>
        <w:rPr>
          <w:spacing w:val="7"/>
        </w:rPr>
        <w:t xml:space="preserve">lagoas </w:t>
      </w:r>
      <w:r>
        <w:rPr>
          <w:spacing w:val="5"/>
        </w:rPr>
        <w:t xml:space="preserve">na </w:t>
      </w:r>
      <w:r>
        <w:rPr>
          <w:spacing w:val="10"/>
        </w:rPr>
        <w:t xml:space="preserve">superfície. </w:t>
      </w:r>
      <w:r>
        <w:rPr>
          <w:spacing w:val="5"/>
        </w:rPr>
        <w:t xml:space="preserve">Durante </w:t>
      </w:r>
      <w:r>
        <w:t xml:space="preserve">a </w:t>
      </w:r>
      <w:r>
        <w:rPr>
          <w:spacing w:val="5"/>
        </w:rPr>
        <w:t xml:space="preserve">construção </w:t>
      </w:r>
      <w:r>
        <w:rPr>
          <w:spacing w:val="3"/>
        </w:rPr>
        <w:t xml:space="preserve">desta </w:t>
      </w:r>
      <w:r>
        <w:rPr>
          <w:spacing w:val="5"/>
        </w:rPr>
        <w:t xml:space="preserve">galeria, </w:t>
      </w:r>
      <w:r>
        <w:t xml:space="preserve">a </w:t>
      </w:r>
      <w:r>
        <w:rPr>
          <w:spacing w:val="3"/>
        </w:rPr>
        <w:t xml:space="preserve">CMM diz ter </w:t>
      </w:r>
      <w:r>
        <w:rPr>
          <w:spacing w:val="5"/>
        </w:rPr>
        <w:t xml:space="preserve">sido </w:t>
      </w:r>
      <w:r>
        <w:rPr>
          <w:spacing w:val="3"/>
        </w:rPr>
        <w:t xml:space="preserve">surpreendida </w:t>
      </w:r>
      <w:r>
        <w:rPr>
          <w:spacing w:val="2"/>
        </w:rPr>
        <w:t xml:space="preserve">por </w:t>
      </w:r>
      <w:r>
        <w:rPr>
          <w:spacing w:val="1"/>
        </w:rPr>
        <w:t xml:space="preserve">um </w:t>
      </w:r>
      <w:r>
        <w:rPr>
          <w:spacing w:val="2"/>
        </w:rPr>
        <w:t xml:space="preserve">novo </w:t>
      </w:r>
      <w:r>
        <w:rPr>
          <w:spacing w:val="3"/>
        </w:rPr>
        <w:t xml:space="preserve">afloramento </w:t>
      </w:r>
      <w:r>
        <w:rPr>
          <w:spacing w:val="1"/>
        </w:rPr>
        <w:t xml:space="preserve">de </w:t>
      </w:r>
      <w:r>
        <w:rPr>
          <w:spacing w:val="3"/>
        </w:rPr>
        <w:t xml:space="preserve">água. </w:t>
      </w:r>
      <w:r>
        <w:t xml:space="preserve">A </w:t>
      </w:r>
      <w:r>
        <w:rPr>
          <w:spacing w:val="5"/>
        </w:rPr>
        <w:t>vaz</w:t>
      </w:r>
      <w:r>
        <w:rPr>
          <w:spacing w:val="5"/>
        </w:rPr>
        <w:t xml:space="preserve">ão </w:t>
      </w:r>
      <w:r>
        <w:rPr>
          <w:spacing w:val="3"/>
        </w:rPr>
        <w:t xml:space="preserve">começou pequena, </w:t>
      </w:r>
      <w:r>
        <w:rPr>
          <w:spacing w:val="1"/>
        </w:rPr>
        <w:t xml:space="preserve">na </w:t>
      </w:r>
      <w:r>
        <w:rPr>
          <w:spacing w:val="3"/>
        </w:rPr>
        <w:t xml:space="preserve">faixa </w:t>
      </w:r>
      <w:r>
        <w:rPr>
          <w:spacing w:val="1"/>
        </w:rPr>
        <w:t xml:space="preserve">de </w:t>
      </w:r>
      <w:r>
        <w:rPr>
          <w:spacing w:val="2"/>
        </w:rPr>
        <w:t xml:space="preserve">200 </w:t>
      </w:r>
      <w:r>
        <w:rPr>
          <w:spacing w:val="3"/>
        </w:rPr>
        <w:t xml:space="preserve">m³/h, </w:t>
      </w:r>
      <w:r>
        <w:rPr>
          <w:spacing w:val="2"/>
        </w:rPr>
        <w:t xml:space="preserve">mas, </w:t>
      </w:r>
      <w:r>
        <w:rPr>
          <w:spacing w:val="1"/>
        </w:rPr>
        <w:t xml:space="preserve">em </w:t>
      </w:r>
      <w:r>
        <w:rPr>
          <w:spacing w:val="5"/>
        </w:rPr>
        <w:t xml:space="preserve">poucos dias, chegou </w:t>
      </w:r>
      <w:r>
        <w:t xml:space="preserve">a </w:t>
      </w:r>
      <w:r>
        <w:rPr>
          <w:spacing w:val="5"/>
        </w:rPr>
        <w:t xml:space="preserve">5.000 m³/h. Para </w:t>
      </w:r>
      <w:r>
        <w:rPr>
          <w:spacing w:val="3"/>
        </w:rPr>
        <w:t xml:space="preserve">não </w:t>
      </w:r>
      <w:r>
        <w:rPr>
          <w:spacing w:val="5"/>
        </w:rPr>
        <w:t xml:space="preserve">perder </w:t>
      </w:r>
      <w:r>
        <w:t xml:space="preserve">a </w:t>
      </w:r>
      <w:r>
        <w:rPr>
          <w:spacing w:val="5"/>
        </w:rPr>
        <w:t xml:space="preserve">mina </w:t>
      </w:r>
      <w:r>
        <w:rPr>
          <w:spacing w:val="6"/>
        </w:rPr>
        <w:t xml:space="preserve">por </w:t>
      </w:r>
      <w:r>
        <w:rPr>
          <w:spacing w:val="5"/>
        </w:rPr>
        <w:t xml:space="preserve">inundação, </w:t>
      </w:r>
      <w:r>
        <w:t xml:space="preserve">a </w:t>
      </w:r>
      <w:r>
        <w:rPr>
          <w:spacing w:val="5"/>
        </w:rPr>
        <w:t xml:space="preserve">empresa </w:t>
      </w:r>
      <w:r>
        <w:rPr>
          <w:spacing w:val="3"/>
        </w:rPr>
        <w:t xml:space="preserve">teve que </w:t>
      </w:r>
      <w:r>
        <w:rPr>
          <w:spacing w:val="5"/>
        </w:rPr>
        <w:t xml:space="preserve">acelerar bruscamente </w:t>
      </w:r>
      <w:r>
        <w:t xml:space="preserve">o </w:t>
      </w:r>
      <w:r>
        <w:rPr>
          <w:spacing w:val="5"/>
        </w:rPr>
        <w:t xml:space="preserve">bombeamento, </w:t>
      </w:r>
      <w:r>
        <w:t xml:space="preserve">o </w:t>
      </w:r>
      <w:r>
        <w:rPr>
          <w:spacing w:val="3"/>
        </w:rPr>
        <w:t xml:space="preserve">que </w:t>
      </w:r>
      <w:r>
        <w:rPr>
          <w:spacing w:val="5"/>
        </w:rPr>
        <w:t xml:space="preserve">deixou </w:t>
      </w:r>
      <w:r>
        <w:t xml:space="preserve">a </w:t>
      </w:r>
      <w:r>
        <w:rPr>
          <w:spacing w:val="3"/>
        </w:rPr>
        <w:t xml:space="preserve">água </w:t>
      </w:r>
      <w:r>
        <w:rPr>
          <w:spacing w:val="5"/>
        </w:rPr>
        <w:t xml:space="preserve">carregada </w:t>
      </w:r>
      <w:r>
        <w:rPr>
          <w:spacing w:val="2"/>
        </w:rPr>
        <w:t xml:space="preserve">de </w:t>
      </w:r>
      <w:r>
        <w:rPr>
          <w:spacing w:val="5"/>
        </w:rPr>
        <w:t>lama.</w:t>
      </w:r>
      <w:r>
        <w:rPr>
          <w:spacing w:val="61"/>
        </w:rPr>
        <w:t xml:space="preserve"> </w:t>
      </w:r>
      <w:r>
        <w:rPr>
          <w:spacing w:val="2"/>
        </w:rPr>
        <w:t>Como</w:t>
      </w:r>
      <w:r>
        <w:rPr>
          <w:spacing w:val="23"/>
        </w:rPr>
        <w:t xml:space="preserve"> </w:t>
      </w:r>
      <w:r>
        <w:rPr>
          <w:spacing w:val="1"/>
        </w:rPr>
        <w:t>as</w:t>
      </w:r>
      <w:r>
        <w:rPr>
          <w:spacing w:val="23"/>
        </w:rPr>
        <w:t xml:space="preserve"> </w:t>
      </w:r>
      <w:r>
        <w:rPr>
          <w:spacing w:val="3"/>
        </w:rPr>
        <w:t>represas</w:t>
      </w:r>
      <w:r>
        <w:rPr>
          <w:spacing w:val="23"/>
        </w:rPr>
        <w:t xml:space="preserve"> </w:t>
      </w:r>
      <w:r>
        <w:rPr>
          <w:spacing w:val="1"/>
        </w:rPr>
        <w:t>de</w:t>
      </w:r>
      <w:r>
        <w:rPr>
          <w:spacing w:val="23"/>
        </w:rPr>
        <w:t xml:space="preserve"> </w:t>
      </w:r>
      <w:r>
        <w:rPr>
          <w:spacing w:val="3"/>
        </w:rPr>
        <w:t>contenção</w:t>
      </w:r>
      <w:r>
        <w:rPr>
          <w:spacing w:val="23"/>
        </w:rPr>
        <w:t xml:space="preserve"> </w:t>
      </w:r>
      <w:r>
        <w:rPr>
          <w:spacing w:val="1"/>
        </w:rPr>
        <w:t>na</w:t>
      </w:r>
      <w:r>
        <w:rPr>
          <w:spacing w:val="23"/>
        </w:rPr>
        <w:t xml:space="preserve"> </w:t>
      </w:r>
      <w:r>
        <w:rPr>
          <w:spacing w:val="3"/>
        </w:rPr>
        <w:t>superfície</w:t>
      </w:r>
      <w:r>
        <w:rPr>
          <w:spacing w:val="23"/>
        </w:rPr>
        <w:t xml:space="preserve"> </w:t>
      </w:r>
      <w:r>
        <w:rPr>
          <w:spacing w:val="2"/>
        </w:rPr>
        <w:t>não</w:t>
      </w:r>
      <w:r>
        <w:rPr>
          <w:spacing w:val="23"/>
        </w:rPr>
        <w:t xml:space="preserve"> </w:t>
      </w:r>
      <w:r>
        <w:rPr>
          <w:spacing w:val="5"/>
        </w:rPr>
        <w:t>tinham</w:t>
      </w:r>
    </w:p>
    <w:p w:rsidR="00D81F69" w:rsidRDefault="00330118">
      <w:pPr>
        <w:pStyle w:val="Corpodetexto"/>
        <w:spacing w:before="63" w:line="312" w:lineRule="auto"/>
        <w:ind w:right="196"/>
      </w:pPr>
      <w:r>
        <w:br w:type="column"/>
      </w:r>
      <w:r>
        <w:lastRenderedPageBreak/>
        <w:t>pedido do Ministério Público Federal (MPF), constataram que “o fenômeno ocorreu na parte interna da área de mineração e no seu entorno, num raio de 1 km, já tendo sido constatado o surgimento de mais de 2.000 dolinas” na região (MPF,</w:t>
      </w:r>
      <w:r>
        <w:t xml:space="preserve"> 2008).</w:t>
      </w:r>
    </w:p>
    <w:p w:rsidR="00D81F69" w:rsidRDefault="00330118">
      <w:pPr>
        <w:pStyle w:val="Corpodetexto"/>
        <w:spacing w:before="134" w:line="312" w:lineRule="auto"/>
        <w:ind w:right="179"/>
        <w:jc w:val="left"/>
      </w:pPr>
      <w:r>
        <w:t xml:space="preserve">Em nota, a Votorantim afirmou que os buracos no solo </w:t>
      </w:r>
      <w:r>
        <w:rPr>
          <w:spacing w:val="1"/>
        </w:rPr>
        <w:t xml:space="preserve">não </w:t>
      </w:r>
      <w:r>
        <w:rPr>
          <w:spacing w:val="3"/>
        </w:rPr>
        <w:t xml:space="preserve">são </w:t>
      </w:r>
      <w:r>
        <w:rPr>
          <w:spacing w:val="5"/>
        </w:rPr>
        <w:t xml:space="preserve">causados </w:t>
      </w:r>
      <w:r>
        <w:rPr>
          <w:spacing w:val="3"/>
        </w:rPr>
        <w:t xml:space="preserve">pela </w:t>
      </w:r>
      <w:r>
        <w:rPr>
          <w:spacing w:val="5"/>
        </w:rPr>
        <w:t xml:space="preserve">atividade mineradora (ALVES, 2008), </w:t>
      </w:r>
      <w:r>
        <w:t>sendo eventos geológicos naturais que ocorrem em regiões calcárias e dolomíticas. A Votorantim afirma ainda que possui outorga para capta</w:t>
      </w:r>
      <w:r>
        <w:t xml:space="preserve">r até 13,6 mil m³/h de água e que os órgãos </w:t>
      </w:r>
      <w:r>
        <w:rPr>
          <w:spacing w:val="5"/>
        </w:rPr>
        <w:t xml:space="preserve">ambientais mineiros atestaram </w:t>
      </w:r>
      <w:r>
        <w:rPr>
          <w:spacing w:val="3"/>
        </w:rPr>
        <w:t xml:space="preserve">que </w:t>
      </w:r>
      <w:r>
        <w:rPr>
          <w:spacing w:val="5"/>
        </w:rPr>
        <w:t xml:space="preserve">todas </w:t>
      </w:r>
      <w:r>
        <w:rPr>
          <w:spacing w:val="2"/>
        </w:rPr>
        <w:t xml:space="preserve">as </w:t>
      </w:r>
      <w:r>
        <w:rPr>
          <w:spacing w:val="6"/>
        </w:rPr>
        <w:t xml:space="preserve">exigências </w:t>
      </w:r>
      <w:r>
        <w:rPr>
          <w:spacing w:val="17"/>
        </w:rPr>
        <w:t xml:space="preserve">ambientais </w:t>
      </w:r>
      <w:r>
        <w:rPr>
          <w:spacing w:val="16"/>
        </w:rPr>
        <w:t xml:space="preserve">estariam </w:t>
      </w:r>
      <w:r>
        <w:rPr>
          <w:spacing w:val="15"/>
        </w:rPr>
        <w:t xml:space="preserve">sendo </w:t>
      </w:r>
      <w:r>
        <w:rPr>
          <w:spacing w:val="16"/>
        </w:rPr>
        <w:t xml:space="preserve">cumpridas (CASTRO; </w:t>
      </w:r>
      <w:r>
        <w:t>HENNEMANN, 2009; MAPA DA INJUSTIÇA AMBIENTAL E SAÚDE NO BRASIL,</w:t>
      </w:r>
      <w:r>
        <w:rPr>
          <w:spacing w:val="43"/>
        </w:rPr>
        <w:t xml:space="preserve"> </w:t>
      </w:r>
      <w:r>
        <w:rPr>
          <w:spacing w:val="1"/>
        </w:rPr>
        <w:t>2009).</w:t>
      </w:r>
    </w:p>
    <w:p w:rsidR="00D81F69" w:rsidRDefault="00330118">
      <w:pPr>
        <w:pStyle w:val="Corpodetexto"/>
        <w:spacing w:before="138" w:line="312" w:lineRule="auto"/>
        <w:ind w:right="201"/>
      </w:pPr>
      <w:r>
        <w:t xml:space="preserve">As dolinas acontecem em terreno seco, mas </w:t>
      </w:r>
      <w:r>
        <w:t xml:space="preserve">podem ocorrer também no fundo das lagoas, na forma de sumidouros [locais </w:t>
      </w:r>
      <w:r>
        <w:rPr>
          <w:spacing w:val="2"/>
        </w:rPr>
        <w:t xml:space="preserve">por onde </w:t>
      </w:r>
      <w:r>
        <w:rPr>
          <w:spacing w:val="1"/>
        </w:rPr>
        <w:t xml:space="preserve">as </w:t>
      </w:r>
      <w:r>
        <w:rPr>
          <w:spacing w:val="3"/>
        </w:rPr>
        <w:t xml:space="preserve">águas escoam]. </w:t>
      </w:r>
      <w:r>
        <w:rPr>
          <w:spacing w:val="1"/>
        </w:rPr>
        <w:t xml:space="preserve">Na </w:t>
      </w:r>
      <w:r>
        <w:rPr>
          <w:spacing w:val="3"/>
        </w:rPr>
        <w:t xml:space="preserve">realidade, </w:t>
      </w:r>
      <w:r>
        <w:rPr>
          <w:spacing w:val="1"/>
        </w:rPr>
        <w:t xml:space="preserve">um </w:t>
      </w:r>
      <w:r>
        <w:rPr>
          <w:spacing w:val="5"/>
        </w:rPr>
        <w:t xml:space="preserve">sumidouro </w:t>
      </w:r>
      <w:r>
        <w:t xml:space="preserve">surgiu numa bacia de rejeitos da própria mina, antes que esta </w:t>
      </w:r>
      <w:r>
        <w:rPr>
          <w:spacing w:val="7"/>
        </w:rPr>
        <w:t xml:space="preserve">fosse </w:t>
      </w:r>
      <w:r>
        <w:rPr>
          <w:spacing w:val="8"/>
        </w:rPr>
        <w:t xml:space="preserve">desativada. </w:t>
      </w:r>
      <w:r>
        <w:rPr>
          <w:spacing w:val="7"/>
        </w:rPr>
        <w:t xml:space="preserve">Esses rejeitos podem </w:t>
      </w:r>
      <w:r>
        <w:rPr>
          <w:spacing w:val="5"/>
        </w:rPr>
        <w:t xml:space="preserve">ter </w:t>
      </w:r>
      <w:r>
        <w:rPr>
          <w:spacing w:val="10"/>
        </w:rPr>
        <w:t xml:space="preserve">provocado </w:t>
      </w:r>
      <w:r>
        <w:rPr>
          <w:spacing w:val="5"/>
        </w:rPr>
        <w:t>também estrago</w:t>
      </w:r>
      <w:r>
        <w:rPr>
          <w:spacing w:val="5"/>
        </w:rPr>
        <w:t xml:space="preserve"> </w:t>
      </w:r>
      <w:r>
        <w:rPr>
          <w:spacing w:val="2"/>
        </w:rPr>
        <w:t xml:space="preserve">no </w:t>
      </w:r>
      <w:r>
        <w:rPr>
          <w:spacing w:val="5"/>
        </w:rPr>
        <w:t xml:space="preserve">lençol freático. Medições feitas </w:t>
      </w:r>
      <w:r>
        <w:rPr>
          <w:spacing w:val="6"/>
        </w:rPr>
        <w:t xml:space="preserve">por </w:t>
      </w:r>
      <w:r>
        <w:rPr>
          <w:spacing w:val="5"/>
        </w:rPr>
        <w:t xml:space="preserve">técnicos </w:t>
      </w:r>
      <w:r>
        <w:rPr>
          <w:spacing w:val="2"/>
        </w:rPr>
        <w:t xml:space="preserve">da </w:t>
      </w:r>
      <w:r>
        <w:rPr>
          <w:spacing w:val="5"/>
        </w:rPr>
        <w:t xml:space="preserve">Universidade Federal </w:t>
      </w:r>
      <w:r>
        <w:rPr>
          <w:spacing w:val="2"/>
        </w:rPr>
        <w:t xml:space="preserve">de </w:t>
      </w:r>
      <w:r>
        <w:rPr>
          <w:spacing w:val="5"/>
        </w:rPr>
        <w:t xml:space="preserve">Uberlândia para </w:t>
      </w:r>
      <w:r>
        <w:t xml:space="preserve">a </w:t>
      </w:r>
      <w:r>
        <w:rPr>
          <w:spacing w:val="12"/>
        </w:rPr>
        <w:t xml:space="preserve">Prefeitura </w:t>
      </w:r>
      <w:r>
        <w:rPr>
          <w:spacing w:val="6"/>
        </w:rPr>
        <w:t xml:space="preserve">de </w:t>
      </w:r>
      <w:r>
        <w:rPr>
          <w:spacing w:val="11"/>
        </w:rPr>
        <w:t xml:space="preserve">Vazante </w:t>
      </w:r>
      <w:r>
        <w:rPr>
          <w:spacing w:val="12"/>
        </w:rPr>
        <w:t xml:space="preserve">constataram </w:t>
      </w:r>
      <w:r>
        <w:t xml:space="preserve">o </w:t>
      </w:r>
      <w:r>
        <w:rPr>
          <w:spacing w:val="10"/>
        </w:rPr>
        <w:t xml:space="preserve">alto </w:t>
      </w:r>
      <w:r>
        <w:rPr>
          <w:spacing w:val="11"/>
        </w:rPr>
        <w:t xml:space="preserve">nível </w:t>
      </w:r>
      <w:r>
        <w:rPr>
          <w:spacing w:val="15"/>
        </w:rPr>
        <w:t xml:space="preserve">de </w:t>
      </w:r>
      <w:r>
        <w:t>contaminação das águas do rio, o que explica as notificações feitas pelos fazendeiros da região a respeito da m</w:t>
      </w:r>
      <w:r>
        <w:t xml:space="preserve">ortandade </w:t>
      </w:r>
      <w:r>
        <w:rPr>
          <w:spacing w:val="2"/>
        </w:rPr>
        <w:t xml:space="preserve">de </w:t>
      </w:r>
      <w:r>
        <w:rPr>
          <w:spacing w:val="5"/>
        </w:rPr>
        <w:t xml:space="preserve">peixes </w:t>
      </w:r>
      <w:r>
        <w:t xml:space="preserve">e </w:t>
      </w:r>
      <w:r>
        <w:rPr>
          <w:spacing w:val="2"/>
        </w:rPr>
        <w:t xml:space="preserve">do </w:t>
      </w:r>
      <w:r>
        <w:rPr>
          <w:spacing w:val="5"/>
        </w:rPr>
        <w:t xml:space="preserve">definhamento </w:t>
      </w:r>
      <w:r>
        <w:rPr>
          <w:spacing w:val="2"/>
        </w:rPr>
        <w:t xml:space="preserve">do </w:t>
      </w:r>
      <w:r>
        <w:rPr>
          <w:spacing w:val="3"/>
        </w:rPr>
        <w:t xml:space="preserve">gado que bebe </w:t>
      </w:r>
      <w:r>
        <w:t xml:space="preserve">a </w:t>
      </w:r>
      <w:r>
        <w:rPr>
          <w:spacing w:val="5"/>
        </w:rPr>
        <w:t>água (ASSIS,</w:t>
      </w:r>
      <w:r>
        <w:rPr>
          <w:spacing w:val="33"/>
        </w:rPr>
        <w:t xml:space="preserve"> </w:t>
      </w:r>
      <w:r>
        <w:rPr>
          <w:spacing w:val="5"/>
        </w:rPr>
        <w:t>2009).</w:t>
      </w:r>
    </w:p>
    <w:p w:rsidR="00D81F69" w:rsidRDefault="00330118">
      <w:pPr>
        <w:pStyle w:val="Corpodetexto"/>
        <w:spacing w:before="141" w:line="312" w:lineRule="auto"/>
        <w:ind w:right="193"/>
      </w:pPr>
      <w:r>
        <w:t xml:space="preserve">Os técnicos constataram que o nível de zinco no rio era 50 vezes maior do que o limite permitido por lei; o de chumbo, 137 vezes; o de manganês, 149 vezes; e o de </w:t>
      </w:r>
      <w:hyperlink r:id="rId1328">
        <w:r>
          <w:t xml:space="preserve">ferro, </w:t>
        </w:r>
      </w:hyperlink>
      <w:r>
        <w:t>9 vezes maior do que o limite legal (MENDONÇA,</w:t>
      </w:r>
      <w:r>
        <w:rPr>
          <w:spacing w:val="15"/>
        </w:rPr>
        <w:t xml:space="preserve"> </w:t>
      </w:r>
      <w:r>
        <w:t>2008b).</w:t>
      </w:r>
    </w:p>
    <w:p w:rsidR="00D81F69" w:rsidRDefault="00330118">
      <w:pPr>
        <w:pStyle w:val="Corpodetexto"/>
        <w:spacing w:before="71" w:line="270" w:lineRule="atLeast"/>
        <w:ind w:right="192"/>
      </w:pPr>
      <w:r>
        <w:t>Para medir a qualidade das águas do rio Santa Catarina, o Instituto Mineiro de Gestão das Águas (Igam) ins</w:t>
      </w:r>
      <w:r>
        <w:t xml:space="preserve">talou, em junho de 2006, medidores antes e depois do ponto onde a empresa despejava rejeitos industriais. As análises oficiais comprovaram índices de </w:t>
      </w:r>
      <w:hyperlink r:id="rId1329">
        <w:r>
          <w:t xml:space="preserve">cádmio, </w:t>
        </w:r>
      </w:hyperlink>
      <w:r>
        <w:t xml:space="preserve">zinco e </w:t>
      </w:r>
      <w:r>
        <w:t>outros poluentes bem acima dos recomendados pela Resolução 357/2005 do Conselho Nacional do Meio Ambiente (Conama) (BRASIL, 2005). Também foi detectada poluição por esgoto, já que</w:t>
      </w:r>
    </w:p>
    <w:p w:rsidR="00D81F69" w:rsidRDefault="00D81F69">
      <w:pPr>
        <w:spacing w:line="270" w:lineRule="atLeast"/>
        <w:sectPr w:rsidR="00D81F69">
          <w:type w:val="continuous"/>
          <w:pgSz w:w="11900" w:h="16840"/>
          <w:pgMar w:top="720" w:right="500" w:bottom="280" w:left="620" w:header="720" w:footer="720" w:gutter="0"/>
          <w:cols w:num="2" w:space="720" w:equalWidth="0">
            <w:col w:w="5199" w:space="271"/>
            <w:col w:w="5310"/>
          </w:cols>
        </w:sectPr>
      </w:pPr>
    </w:p>
    <w:p w:rsidR="00D81F69" w:rsidRDefault="00330118">
      <w:pPr>
        <w:pStyle w:val="Corpodetexto"/>
        <w:spacing w:before="81" w:line="312" w:lineRule="auto"/>
        <w:ind w:right="63"/>
      </w:pPr>
      <w:r>
        <w:lastRenderedPageBreak/>
        <w:t>Vazante ainda não tratava esse tipo de resíduo. A</w:t>
      </w:r>
      <w:r>
        <w:t>s medições ocorreram apenas em águas superficiais. Não foram feitos testes em águas subterrâneas, que abastecem o município (BOURSCHEIT, 2008).</w:t>
      </w:r>
    </w:p>
    <w:p w:rsidR="00D81F69" w:rsidRDefault="00330118">
      <w:pPr>
        <w:pStyle w:val="Corpodetexto"/>
        <w:spacing w:before="134" w:line="312" w:lineRule="auto"/>
        <w:ind w:right="55"/>
      </w:pPr>
      <w:r>
        <w:t xml:space="preserve">Há também o receio de que a atividade mineradora na região coloque em risco algumas das maiores grutas de Minas </w:t>
      </w:r>
      <w:r>
        <w:t>Gerais, que podem desmoronar devido ao rebaixamento do lençol freático. Um laudo elaborado por técnicos da Universidade Federal de Uberlândia constatou que a diminuição do nível do aquífero pode levar à destruição de edifícios e equipamentos urbanos (MENDO</w:t>
      </w:r>
      <w:r>
        <w:t>NÇA, 2008b).</w:t>
      </w:r>
    </w:p>
    <w:p w:rsidR="00D81F69" w:rsidRDefault="00330118">
      <w:pPr>
        <w:pStyle w:val="Corpodetexto"/>
        <w:spacing w:before="136" w:line="312" w:lineRule="auto"/>
        <w:ind w:right="38"/>
      </w:pPr>
      <w:r>
        <w:t>Para avaliar a contaminação do solo em Vazante, por zinco, pesquisadores do Centro Universitário da Caratinga, do Departamento de Solos da Universidade Federal de Viçosa (UFV) e do Departamento de Geologia da Universidade Federal de Minas Gerais (UFMG) col</w:t>
      </w:r>
      <w:r>
        <w:t>etaram, em 2008, amostras em solos remanescentes na área mineralizada, a jusante e montante das áreas sob influência da mineração (BORGES JÚNIOR et al., 2008).</w:t>
      </w:r>
    </w:p>
    <w:p w:rsidR="00D81F69" w:rsidRDefault="00330118">
      <w:pPr>
        <w:pStyle w:val="Corpodetexto"/>
        <w:spacing w:before="137" w:line="312" w:lineRule="auto"/>
        <w:ind w:right="63"/>
      </w:pPr>
      <w:r>
        <w:t>O estudo concluiu, dentre outras coisas, que os perfis das áreas mineralizadas, de modo geral, n</w:t>
      </w:r>
      <w:r>
        <w:t>ão revelaram acúmulo de zinco na superfície. Para áreas a montante e a jusante, o fator de acumulação aumentou muito. Além disso, o valor de referência local (VRL) obtido para zinco - superior ao valor de referência de qualidade adotado para o estado de Sã</w:t>
      </w:r>
      <w:r>
        <w:t>o Paulo</w:t>
      </w:r>
    </w:p>
    <w:p w:rsidR="00D81F69" w:rsidRDefault="00330118">
      <w:pPr>
        <w:pStyle w:val="PargrafodaLista"/>
        <w:numPr>
          <w:ilvl w:val="0"/>
          <w:numId w:val="3"/>
        </w:numPr>
        <w:tabs>
          <w:tab w:val="left" w:pos="261"/>
        </w:tabs>
        <w:spacing w:before="6" w:line="312" w:lineRule="auto"/>
        <w:ind w:right="65" w:firstLine="0"/>
        <w:rPr>
          <w:sz w:val="18"/>
        </w:rPr>
      </w:pPr>
      <w:r>
        <w:rPr>
          <w:sz w:val="18"/>
        </w:rPr>
        <w:t>indica a necessidade de monitoramento e restrição do uso agrícola e residencial dos solos na área (BORGES JÚNIOR et al., 2008).</w:t>
      </w:r>
    </w:p>
    <w:p w:rsidR="00D81F69" w:rsidRDefault="00330118">
      <w:pPr>
        <w:pStyle w:val="Corpodetexto"/>
        <w:spacing w:before="133" w:line="312" w:lineRule="auto"/>
        <w:ind w:right="60"/>
      </w:pPr>
      <w:r>
        <w:t>Há, entretanto, resultados de relatórios técnicos do Sistema Estadual de Meio Ambiente (SISEMA – MG) que confirmam índic</w:t>
      </w:r>
      <w:r>
        <w:t>es de contaminação por metais pesados na água. O nível de zinco nas águas do córrego Consciência, afluente do São Francisco que recebe dejetos da Votorantim, atingia, segundo este estudo, o alarmante índice de 5.280 vezes acima do limite legal, o cádmio ap</w:t>
      </w:r>
      <w:r>
        <w:t xml:space="preserve">resentava uma quantidade 1140 vezes acima do permitido, o chumbo, 46 vezes, e o </w:t>
      </w:r>
      <w:hyperlink r:id="rId1330">
        <w:r>
          <w:t xml:space="preserve">cobre </w:t>
        </w:r>
      </w:hyperlink>
      <w:r>
        <w:t>32 vezes acima do limite legal (MENDONÇA, 2008a; MAPA DA INJUSTIÇA AMBIENTAL E S</w:t>
      </w:r>
      <w:r>
        <w:t>AÚDE, 2009).</w:t>
      </w:r>
    </w:p>
    <w:p w:rsidR="00D81F69" w:rsidRDefault="00330118">
      <w:pPr>
        <w:pStyle w:val="Corpodetexto"/>
        <w:spacing w:before="139" w:line="312" w:lineRule="auto"/>
        <w:ind w:right="44"/>
      </w:pPr>
      <w:r>
        <w:t>Em setembro de 2008, mediante uma notificação extrajudicial, 42 fazendeiros proprietários de terras banhadas pelas águas do rio Santa Catarina - na parte inferior do local onde a Votorantim derrama o esgoto produzido na exploração mineral - ex</w:t>
      </w:r>
      <w:r>
        <w:t xml:space="preserve">igiram que a empresa paralisasse as atividades, pois estavam provocando a poluição das águas e o assoreamento do rio, causando prejuízos aos moradores da região, como a desvalorização de seus imóveis rurais e a paralisação de suas atividades agropecuárias </w:t>
      </w:r>
      <w:r>
        <w:t>(ASSIS, 2009). Também em 2008, o Ministério Público Federal em Uberlândia (MG) ajuizou uma ação civil pública pedindo a imediata paralisação das atividades de mineração da empresa e a interdição do local (MPF, 2008).</w:t>
      </w:r>
    </w:p>
    <w:p w:rsidR="00D81F69" w:rsidRDefault="00330118">
      <w:pPr>
        <w:pStyle w:val="Corpodetexto"/>
        <w:spacing w:before="79" w:line="270" w:lineRule="atLeast"/>
        <w:ind w:right="64"/>
      </w:pPr>
      <w:r>
        <w:t>Em vistoria realizada, em 2008, na mina</w:t>
      </w:r>
      <w:r>
        <w:t xml:space="preserve"> e adjacências, a Fundação Estadual do Meio Ambiente (Feam) constatou os danos ambientais alegados pelos fazendeiros e foi informada</w:t>
      </w:r>
    </w:p>
    <w:p w:rsidR="00D81F69" w:rsidRDefault="00330118">
      <w:pPr>
        <w:pStyle w:val="Corpodetexto"/>
        <w:spacing w:before="81" w:line="312" w:lineRule="auto"/>
        <w:ind w:right="206"/>
      </w:pPr>
      <w:r>
        <w:br w:type="column"/>
      </w:r>
      <w:r>
        <w:rPr>
          <w:spacing w:val="6"/>
        </w:rPr>
        <w:lastRenderedPageBreak/>
        <w:t xml:space="preserve">pela </w:t>
      </w:r>
      <w:r>
        <w:rPr>
          <w:spacing w:val="8"/>
        </w:rPr>
        <w:t xml:space="preserve">Votorantim </w:t>
      </w:r>
      <w:r>
        <w:rPr>
          <w:spacing w:val="5"/>
        </w:rPr>
        <w:t xml:space="preserve">das </w:t>
      </w:r>
      <w:r>
        <w:rPr>
          <w:spacing w:val="8"/>
        </w:rPr>
        <w:t xml:space="preserve">providências </w:t>
      </w:r>
      <w:r>
        <w:rPr>
          <w:spacing w:val="5"/>
        </w:rPr>
        <w:t xml:space="preserve">que </w:t>
      </w:r>
      <w:r>
        <w:rPr>
          <w:spacing w:val="7"/>
        </w:rPr>
        <w:t xml:space="preserve">estavam </w:t>
      </w:r>
      <w:r>
        <w:rPr>
          <w:spacing w:val="10"/>
        </w:rPr>
        <w:t xml:space="preserve">sendo </w:t>
      </w:r>
      <w:r>
        <w:rPr>
          <w:spacing w:val="5"/>
        </w:rPr>
        <w:t xml:space="preserve">adotadas. </w:t>
      </w:r>
      <w:r>
        <w:t xml:space="preserve">A </w:t>
      </w:r>
      <w:r>
        <w:rPr>
          <w:spacing w:val="5"/>
        </w:rPr>
        <w:t xml:space="preserve">empresa apontou </w:t>
      </w:r>
      <w:r>
        <w:rPr>
          <w:spacing w:val="3"/>
        </w:rPr>
        <w:t xml:space="preserve">como </w:t>
      </w:r>
      <w:r>
        <w:rPr>
          <w:spacing w:val="5"/>
        </w:rPr>
        <w:t xml:space="preserve">solução definitiva </w:t>
      </w:r>
      <w:r>
        <w:t xml:space="preserve">a </w:t>
      </w:r>
      <w:r>
        <w:rPr>
          <w:spacing w:val="5"/>
        </w:rPr>
        <w:t xml:space="preserve">construção </w:t>
      </w:r>
      <w:r>
        <w:rPr>
          <w:spacing w:val="2"/>
        </w:rPr>
        <w:t xml:space="preserve">de </w:t>
      </w:r>
      <w:r>
        <w:rPr>
          <w:spacing w:val="3"/>
        </w:rPr>
        <w:t>uma</w:t>
      </w:r>
      <w:r>
        <w:rPr>
          <w:spacing w:val="3"/>
        </w:rPr>
        <w:t xml:space="preserve"> </w:t>
      </w:r>
      <w:r>
        <w:rPr>
          <w:spacing w:val="5"/>
        </w:rPr>
        <w:t xml:space="preserve">Estação </w:t>
      </w:r>
      <w:r>
        <w:rPr>
          <w:spacing w:val="2"/>
        </w:rPr>
        <w:t xml:space="preserve">de </w:t>
      </w:r>
      <w:r>
        <w:rPr>
          <w:spacing w:val="5"/>
        </w:rPr>
        <w:t xml:space="preserve">Tratamento </w:t>
      </w:r>
      <w:r>
        <w:rPr>
          <w:spacing w:val="2"/>
        </w:rPr>
        <w:t xml:space="preserve">de </w:t>
      </w:r>
      <w:r>
        <w:rPr>
          <w:spacing w:val="5"/>
        </w:rPr>
        <w:t xml:space="preserve">Efluentes </w:t>
      </w:r>
      <w:r>
        <w:rPr>
          <w:spacing w:val="3"/>
        </w:rPr>
        <w:t xml:space="preserve">(ETE). </w:t>
      </w:r>
      <w:r>
        <w:rPr>
          <w:spacing w:val="2"/>
        </w:rPr>
        <w:t xml:space="preserve">Para </w:t>
      </w:r>
      <w:r>
        <w:rPr>
          <w:spacing w:val="3"/>
        </w:rPr>
        <w:t xml:space="preserve">solucionar </w:t>
      </w:r>
      <w:r>
        <w:t xml:space="preserve">o </w:t>
      </w:r>
      <w:r>
        <w:rPr>
          <w:spacing w:val="3"/>
        </w:rPr>
        <w:t xml:space="preserve">problema, </w:t>
      </w:r>
      <w:r>
        <w:t xml:space="preserve">a </w:t>
      </w:r>
      <w:r>
        <w:rPr>
          <w:spacing w:val="3"/>
        </w:rPr>
        <w:t xml:space="preserve">Votorantim </w:t>
      </w:r>
      <w:r>
        <w:rPr>
          <w:spacing w:val="5"/>
        </w:rPr>
        <w:t xml:space="preserve">também </w:t>
      </w:r>
      <w:r>
        <w:t xml:space="preserve">realizou a abertura de poços artesianos para o fornecimento de água a fazendas atingidas pela poluição do rio. Em outros </w:t>
      </w:r>
      <w:r>
        <w:rPr>
          <w:spacing w:val="1"/>
        </w:rPr>
        <w:t xml:space="preserve">casos, providenciou </w:t>
      </w:r>
      <w:r>
        <w:t xml:space="preserve">o </w:t>
      </w:r>
      <w:r>
        <w:rPr>
          <w:spacing w:val="1"/>
        </w:rPr>
        <w:t xml:space="preserve">aterramento </w:t>
      </w:r>
      <w:r>
        <w:t xml:space="preserve">das </w:t>
      </w:r>
      <w:r>
        <w:rPr>
          <w:spacing w:val="1"/>
        </w:rPr>
        <w:t>dolina</w:t>
      </w:r>
      <w:r>
        <w:rPr>
          <w:spacing w:val="1"/>
        </w:rPr>
        <w:t xml:space="preserve">s. </w:t>
      </w:r>
      <w:r>
        <w:t xml:space="preserve">A </w:t>
      </w:r>
      <w:r>
        <w:rPr>
          <w:spacing w:val="2"/>
        </w:rPr>
        <w:t xml:space="preserve">empresa </w:t>
      </w:r>
      <w:r>
        <w:t>cogitou, ainda, construir um aqueduto para o abastecimento da cidade, já que as fontes naturais estariam comprometidas (ASSIS,</w:t>
      </w:r>
      <w:r>
        <w:rPr>
          <w:spacing w:val="6"/>
        </w:rPr>
        <w:t xml:space="preserve"> </w:t>
      </w:r>
      <w:r>
        <w:t>2009).</w:t>
      </w:r>
    </w:p>
    <w:p w:rsidR="00D81F69" w:rsidRDefault="00330118">
      <w:pPr>
        <w:pStyle w:val="Corpodetexto"/>
        <w:spacing w:before="139" w:line="312" w:lineRule="auto"/>
        <w:ind w:right="189"/>
      </w:pPr>
      <w:r>
        <w:t xml:space="preserve">Em outra vistoria, realizada em abril de 2009, a Feam constatou que a Barragem de Rejeito I, onde é disposto </w:t>
      </w:r>
      <w:r>
        <w:t>o rejeito do processo industrial, estava com a capacidade quase esgotada. Três módulos foram construídos na Barragem II/III, mas dois deles ficaram comprometidos por dolinamentos internos. Foram encontradas também dolinas recentes em áreas internas e exter</w:t>
      </w:r>
      <w:r>
        <w:t>nas à empresa. Em alguns casos, verificou-se que as dolinas afetavam residências (ASSIS, 2009).</w:t>
      </w:r>
    </w:p>
    <w:p w:rsidR="00D81F69" w:rsidRDefault="00330118">
      <w:pPr>
        <w:pStyle w:val="Corpodetexto"/>
        <w:spacing w:before="138" w:line="312" w:lineRule="auto"/>
        <w:ind w:right="209"/>
      </w:pPr>
      <w:r>
        <w:t xml:space="preserve">Em 2008, o grupo Votorantim anunciou investimentos de R$ 369 milhões no processo produtivo e na expansão da mina em Vazante, ampliando a capacidade de produção </w:t>
      </w:r>
      <w:r>
        <w:t xml:space="preserve">de 152 mil t/ano para 200 mil t/ano de zinco contido. O aporte faz parte do plano de expansão do grupo, que prevê investimentos de R$ </w:t>
      </w:r>
      <w:r>
        <w:rPr>
          <w:spacing w:val="1"/>
        </w:rPr>
        <w:t xml:space="preserve">25,7 bilhões </w:t>
      </w:r>
      <w:r>
        <w:t xml:space="preserve">nos </w:t>
      </w:r>
      <w:r>
        <w:rPr>
          <w:spacing w:val="1"/>
        </w:rPr>
        <w:t xml:space="preserve">próximos anos </w:t>
      </w:r>
      <w:r>
        <w:t xml:space="preserve">em </w:t>
      </w:r>
      <w:r>
        <w:rPr>
          <w:spacing w:val="1"/>
        </w:rPr>
        <w:t xml:space="preserve">todas </w:t>
      </w:r>
      <w:r>
        <w:t xml:space="preserve">as </w:t>
      </w:r>
      <w:r>
        <w:rPr>
          <w:spacing w:val="2"/>
        </w:rPr>
        <w:t xml:space="preserve">unidades </w:t>
      </w:r>
      <w:r>
        <w:t xml:space="preserve">industriais, sendo R$ 11,1 bilhões relativos aos investimentos somente na área de metais (zinco, </w:t>
      </w:r>
      <w:hyperlink r:id="rId1331">
        <w:r>
          <w:t xml:space="preserve">níquel, </w:t>
        </w:r>
      </w:hyperlink>
      <w:r>
        <w:t xml:space="preserve">aço e alumínio). A </w:t>
      </w:r>
      <w:r>
        <w:rPr>
          <w:spacing w:val="3"/>
        </w:rPr>
        <w:t xml:space="preserve">expectativa </w:t>
      </w:r>
      <w:r>
        <w:t xml:space="preserve">é </w:t>
      </w:r>
      <w:r>
        <w:rPr>
          <w:spacing w:val="1"/>
        </w:rPr>
        <w:t xml:space="preserve">de </w:t>
      </w:r>
      <w:r>
        <w:rPr>
          <w:spacing w:val="2"/>
        </w:rPr>
        <w:t xml:space="preserve">que </w:t>
      </w:r>
      <w:r>
        <w:t xml:space="preserve">a </w:t>
      </w:r>
      <w:r>
        <w:rPr>
          <w:spacing w:val="3"/>
        </w:rPr>
        <w:t xml:space="preserve">capacidade </w:t>
      </w:r>
      <w:r>
        <w:rPr>
          <w:spacing w:val="1"/>
        </w:rPr>
        <w:t xml:space="preserve">de </w:t>
      </w:r>
      <w:r>
        <w:rPr>
          <w:spacing w:val="3"/>
        </w:rPr>
        <w:t>prod</w:t>
      </w:r>
      <w:r>
        <w:rPr>
          <w:spacing w:val="3"/>
        </w:rPr>
        <w:t xml:space="preserve">ução </w:t>
      </w:r>
      <w:r>
        <w:rPr>
          <w:spacing w:val="1"/>
        </w:rPr>
        <w:t xml:space="preserve">de </w:t>
      </w:r>
      <w:r>
        <w:rPr>
          <w:spacing w:val="5"/>
        </w:rPr>
        <w:t xml:space="preserve">zinco </w:t>
      </w:r>
      <w:r>
        <w:t xml:space="preserve">metálico da companhia passe de 402 mil t/ano para 873 mil </w:t>
      </w:r>
      <w:r>
        <w:rPr>
          <w:spacing w:val="5"/>
        </w:rPr>
        <w:t xml:space="preserve">t/ano, </w:t>
      </w:r>
      <w:r>
        <w:t xml:space="preserve">o </w:t>
      </w:r>
      <w:r>
        <w:rPr>
          <w:spacing w:val="3"/>
        </w:rPr>
        <w:t xml:space="preserve">que </w:t>
      </w:r>
      <w:r>
        <w:rPr>
          <w:spacing w:val="5"/>
        </w:rPr>
        <w:t xml:space="preserve">representa </w:t>
      </w:r>
      <w:r>
        <w:rPr>
          <w:spacing w:val="2"/>
        </w:rPr>
        <w:t xml:space="preserve">um </w:t>
      </w:r>
      <w:r>
        <w:rPr>
          <w:spacing w:val="5"/>
        </w:rPr>
        <w:t xml:space="preserve">aumento </w:t>
      </w:r>
      <w:r>
        <w:rPr>
          <w:spacing w:val="2"/>
        </w:rPr>
        <w:t xml:space="preserve">de </w:t>
      </w:r>
      <w:r>
        <w:rPr>
          <w:spacing w:val="5"/>
        </w:rPr>
        <w:t xml:space="preserve">118% </w:t>
      </w:r>
      <w:r>
        <w:rPr>
          <w:spacing w:val="6"/>
        </w:rPr>
        <w:t xml:space="preserve">(BRASIL </w:t>
      </w:r>
      <w:r>
        <w:rPr>
          <w:spacing w:val="5"/>
        </w:rPr>
        <w:t>MINERAL,</w:t>
      </w:r>
      <w:r>
        <w:rPr>
          <w:spacing w:val="36"/>
        </w:rPr>
        <w:t xml:space="preserve"> </w:t>
      </w:r>
      <w:r>
        <w:rPr>
          <w:spacing w:val="6"/>
        </w:rPr>
        <w:t>2008).</w:t>
      </w:r>
    </w:p>
    <w:p w:rsidR="00D81F69" w:rsidRDefault="00330118">
      <w:pPr>
        <w:pStyle w:val="Corpodetexto"/>
        <w:spacing w:before="141" w:line="312" w:lineRule="auto"/>
        <w:ind w:right="194"/>
      </w:pPr>
      <w:r>
        <w:t xml:space="preserve">Com a continuação da mineração subterrânea, será necessário o bombeamento de volumes crescentes de água, aumentando, </w:t>
      </w:r>
      <w:r>
        <w:t>portanto, os espaços vazios e sem sustentação do subsolo poroso. Áreas cada vez maiores da superfície, a grandes distâncias da boca da mina, estarão sujeitas ao afundamento repentino, com riscos para pessoas e animais, assim como para as propriedades. Além</w:t>
      </w:r>
      <w:r>
        <w:t xml:space="preserve"> disso, como já se verifica nas Barragens de Rejeito II/III, nada garante que outras barragens de contenção não sofram os efeitos do dolinamento, com o aparecimento de sumidouros que comprometerão ainda mais o lençol freático de Vazante (ASSIS, 2009).</w:t>
      </w:r>
    </w:p>
    <w:p w:rsidR="00D81F69" w:rsidRDefault="00330118">
      <w:pPr>
        <w:pStyle w:val="Corpodetexto"/>
        <w:spacing w:before="142" w:line="312" w:lineRule="auto"/>
        <w:ind w:right="190"/>
      </w:pPr>
      <w:r>
        <w:t>A ár</w:t>
      </w:r>
      <w:r>
        <w:t>ea total impactada por todas as atividades de mineração gira em torno de 602 ha. Deste valor, 152 ha já estão aprovados para recuperação. Entre 2006 e 2010, foram recuperados 77,5 ha. Alguns incômodos da mineração, tais como a redução da quantidade de água</w:t>
      </w:r>
      <w:r>
        <w:t xml:space="preserve">s e sua poluição, foram apontados no trabalho de campo realizado na área por Saulo Rodrigues Filho e Maurício Boratto Viana (RODRIGUES; VIANA, 2011). </w:t>
      </w:r>
    </w:p>
    <w:p w:rsidR="00D81F69" w:rsidRDefault="00D81F69">
      <w:pPr>
        <w:pStyle w:val="Corpodetexto"/>
        <w:spacing w:before="6"/>
        <w:ind w:left="0"/>
        <w:jc w:val="left"/>
        <w:rPr>
          <w:sz w:val="21"/>
        </w:rPr>
      </w:pPr>
    </w:p>
    <w:p w:rsidR="00D81F69" w:rsidRDefault="00330118">
      <w:pPr>
        <w:pStyle w:val="Heading7"/>
        <w:spacing w:before="1"/>
      </w:pPr>
      <w:r>
        <w:t>LOCALIZAÇÃO GEOGRÁFICA</w:t>
      </w:r>
    </w:p>
    <w:p w:rsidR="00D81F69" w:rsidRDefault="00330118">
      <w:pPr>
        <w:pStyle w:val="Corpodetexto"/>
        <w:spacing w:before="178"/>
      </w:pPr>
      <w:r>
        <w:t>O município de Vazante está situado à latitude 17°59'23"S e</w:t>
      </w:r>
    </w:p>
    <w:p w:rsidR="00D81F69" w:rsidRDefault="00D81F69">
      <w:pPr>
        <w:sectPr w:rsidR="00D81F69">
          <w:pgSz w:w="11900" w:h="16840"/>
          <w:pgMar w:top="740" w:right="500" w:bottom="640" w:left="620" w:header="0" w:footer="402" w:gutter="0"/>
          <w:cols w:num="2" w:space="720" w:equalWidth="0">
            <w:col w:w="5161" w:space="309"/>
            <w:col w:w="5310"/>
          </w:cols>
        </w:sectPr>
      </w:pPr>
    </w:p>
    <w:p w:rsidR="00D81F69" w:rsidRDefault="00330118">
      <w:pPr>
        <w:pStyle w:val="Corpodetexto"/>
        <w:spacing w:before="81" w:line="312" w:lineRule="auto"/>
        <w:ind w:right="66"/>
      </w:pPr>
      <w:r>
        <w:rPr>
          <w:spacing w:val="18"/>
        </w:rPr>
        <w:lastRenderedPageBreak/>
        <w:t xml:space="preserve">longitude </w:t>
      </w:r>
      <w:r>
        <w:rPr>
          <w:spacing w:val="20"/>
        </w:rPr>
        <w:t xml:space="preserve">46°53'59"W. </w:t>
      </w:r>
      <w:r>
        <w:rPr>
          <w:spacing w:val="10"/>
        </w:rPr>
        <w:t>Ao</w:t>
      </w:r>
      <w:r>
        <w:rPr>
          <w:spacing w:val="71"/>
        </w:rPr>
        <w:t xml:space="preserve"> </w:t>
      </w:r>
      <w:r>
        <w:rPr>
          <w:spacing w:val="15"/>
        </w:rPr>
        <w:t>todo</w:t>
      </w:r>
      <w:r>
        <w:rPr>
          <w:spacing w:val="81"/>
        </w:rPr>
        <w:t xml:space="preserve"> </w:t>
      </w:r>
      <w:r>
        <w:rPr>
          <w:spacing w:val="13"/>
        </w:rPr>
        <w:t xml:space="preserve">são </w:t>
      </w:r>
      <w:r>
        <w:rPr>
          <w:spacing w:val="18"/>
        </w:rPr>
        <w:t xml:space="preserve">apontados, </w:t>
      </w:r>
      <w:r>
        <w:rPr>
          <w:spacing w:val="10"/>
        </w:rPr>
        <w:t xml:space="preserve">aproximadamente, </w:t>
      </w:r>
      <w:r>
        <w:rPr>
          <w:spacing w:val="6"/>
        </w:rPr>
        <w:t xml:space="preserve">602 </w:t>
      </w:r>
      <w:r>
        <w:rPr>
          <w:spacing w:val="5"/>
        </w:rPr>
        <w:t xml:space="preserve">ha </w:t>
      </w:r>
      <w:r>
        <w:rPr>
          <w:spacing w:val="8"/>
        </w:rPr>
        <w:t xml:space="preserve">impactados </w:t>
      </w:r>
      <w:r>
        <w:rPr>
          <w:spacing w:val="7"/>
        </w:rPr>
        <w:t xml:space="preserve">pela </w:t>
      </w:r>
      <w:r>
        <w:rPr>
          <w:spacing w:val="10"/>
        </w:rPr>
        <w:t xml:space="preserve">atividade </w:t>
      </w:r>
      <w:r>
        <w:rPr>
          <w:spacing w:val="8"/>
        </w:rPr>
        <w:t xml:space="preserve">mineradora </w:t>
      </w:r>
      <w:r>
        <w:rPr>
          <w:spacing w:val="5"/>
        </w:rPr>
        <w:t xml:space="preserve">em </w:t>
      </w:r>
      <w:r>
        <w:rPr>
          <w:spacing w:val="10"/>
        </w:rPr>
        <w:t>Vazante.</w:t>
      </w:r>
    </w:p>
    <w:p w:rsidR="00D81F69" w:rsidRDefault="00D81F69">
      <w:pPr>
        <w:pStyle w:val="Corpodetexto"/>
        <w:ind w:left="0"/>
        <w:jc w:val="left"/>
        <w:rPr>
          <w:sz w:val="29"/>
        </w:rPr>
      </w:pPr>
    </w:p>
    <w:p w:rsidR="00D81F69" w:rsidRDefault="00330118">
      <w:pPr>
        <w:pStyle w:val="Heading7"/>
      </w:pPr>
      <w:r>
        <w:t>REDATORES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tabs>
          <w:tab w:val="left" w:pos="2559"/>
          <w:tab w:val="left" w:pos="5063"/>
        </w:tabs>
        <w:spacing w:before="188" w:line="312" w:lineRule="auto"/>
        <w:ind w:left="100" w:right="92"/>
        <w:jc w:val="both"/>
        <w:rPr>
          <w:sz w:val="16"/>
        </w:rPr>
      </w:pPr>
      <w:r>
        <w:rPr>
          <w:spacing w:val="3"/>
          <w:sz w:val="16"/>
        </w:rPr>
        <w:t xml:space="preserve">ALVES, Roberto. Ministério </w:t>
      </w:r>
      <w:r>
        <w:rPr>
          <w:spacing w:val="1"/>
          <w:sz w:val="16"/>
        </w:rPr>
        <w:t xml:space="preserve">do </w:t>
      </w:r>
      <w:r>
        <w:rPr>
          <w:spacing w:val="2"/>
          <w:sz w:val="16"/>
        </w:rPr>
        <w:t xml:space="preserve">Meio </w:t>
      </w:r>
      <w:r>
        <w:rPr>
          <w:spacing w:val="3"/>
          <w:sz w:val="16"/>
        </w:rPr>
        <w:t xml:space="preserve">Ambiente exige </w:t>
      </w:r>
      <w:r>
        <w:rPr>
          <w:spacing w:val="5"/>
          <w:sz w:val="16"/>
        </w:rPr>
        <w:t xml:space="preserve">reparação </w:t>
      </w:r>
      <w:r>
        <w:rPr>
          <w:sz w:val="16"/>
        </w:rPr>
        <w:t>ambiental em Vazante. GloboMinas.com, 03 dez. 2008. Disponível     e</w:t>
      </w:r>
      <w:r>
        <w:rPr>
          <w:sz w:val="16"/>
        </w:rPr>
        <w:tab/>
        <w:t>m</w:t>
      </w:r>
      <w:r>
        <w:rPr>
          <w:sz w:val="16"/>
        </w:rPr>
        <w:tab/>
        <w:t>:</w:t>
      </w:r>
    </w:p>
    <w:p w:rsidR="00D81F69" w:rsidRDefault="00D81F69">
      <w:pPr>
        <w:spacing w:before="2" w:line="312" w:lineRule="auto"/>
        <w:ind w:left="100" w:right="89"/>
        <w:jc w:val="both"/>
        <w:rPr>
          <w:sz w:val="16"/>
        </w:rPr>
      </w:pPr>
      <w:hyperlink r:id="rId1332">
        <w:r w:rsidR="00330118">
          <w:rPr>
            <w:sz w:val="16"/>
          </w:rPr>
          <w:t>&lt;http://globominas.globo.com/GloboMinas/Noticias/BomDiaMinas/0,,</w:t>
        </w:r>
      </w:hyperlink>
      <w:r w:rsidR="00330118">
        <w:rPr>
          <w:sz w:val="16"/>
        </w:rPr>
        <w:t xml:space="preserve"> MUL909170-9077</w:t>
      </w:r>
      <w:r w:rsidR="00330118">
        <w:rPr>
          <w:sz w:val="16"/>
        </w:rPr>
        <w:t>,00.html&gt;. Acesso em: 30 set. 2010.</w:t>
      </w:r>
    </w:p>
    <w:p w:rsidR="00D81F69" w:rsidRDefault="00330118">
      <w:pPr>
        <w:spacing w:before="2" w:line="312" w:lineRule="auto"/>
        <w:ind w:left="100" w:right="65"/>
        <w:jc w:val="both"/>
        <w:rPr>
          <w:sz w:val="16"/>
        </w:rPr>
      </w:pPr>
      <w:r>
        <w:rPr>
          <w:sz w:val="16"/>
        </w:rPr>
        <w:t xml:space="preserve">ASSIS, J. Carlos. Dolinas de Vazante provocam desastre ecológico </w:t>
      </w:r>
      <w:r>
        <w:rPr>
          <w:spacing w:val="12"/>
          <w:sz w:val="16"/>
        </w:rPr>
        <w:t xml:space="preserve">em </w:t>
      </w:r>
      <w:r>
        <w:rPr>
          <w:spacing w:val="22"/>
          <w:sz w:val="16"/>
        </w:rPr>
        <w:t xml:space="preserve">cascata. </w:t>
      </w:r>
      <w:r>
        <w:rPr>
          <w:spacing w:val="23"/>
          <w:sz w:val="16"/>
        </w:rPr>
        <w:t xml:space="preserve">Ecodenúncia, </w:t>
      </w:r>
      <w:r>
        <w:rPr>
          <w:spacing w:val="20"/>
          <w:sz w:val="16"/>
        </w:rPr>
        <w:t>2009.</w:t>
      </w:r>
      <w:r>
        <w:rPr>
          <w:spacing w:val="85"/>
          <w:sz w:val="16"/>
        </w:rPr>
        <w:t xml:space="preserve"> </w:t>
      </w:r>
      <w:r>
        <w:rPr>
          <w:spacing w:val="23"/>
          <w:sz w:val="16"/>
        </w:rPr>
        <w:t>Disponível</w:t>
      </w:r>
      <w:r>
        <w:rPr>
          <w:spacing w:val="80"/>
          <w:sz w:val="16"/>
        </w:rPr>
        <w:t xml:space="preserve"> </w:t>
      </w:r>
      <w:r>
        <w:rPr>
          <w:spacing w:val="17"/>
          <w:sz w:val="16"/>
        </w:rPr>
        <w:t>em:</w:t>
      </w:r>
      <w:r>
        <w:rPr>
          <w:spacing w:val="-17"/>
          <w:sz w:val="16"/>
        </w:rPr>
        <w:t xml:space="preserve"> </w:t>
      </w:r>
    </w:p>
    <w:p w:rsidR="00D81F69" w:rsidRDefault="00D81F69">
      <w:pPr>
        <w:spacing w:before="2" w:line="312" w:lineRule="auto"/>
        <w:ind w:left="100" w:right="89"/>
        <w:jc w:val="both"/>
        <w:rPr>
          <w:sz w:val="16"/>
        </w:rPr>
      </w:pPr>
      <w:hyperlink r:id="rId1333">
        <w:r w:rsidR="00330118">
          <w:rPr>
            <w:sz w:val="16"/>
          </w:rPr>
          <w:t xml:space="preserve">&lt;http://www.ecodenuncia.org/fato_ocrime.html&gt;. </w:t>
        </w:r>
      </w:hyperlink>
      <w:r w:rsidR="00330118">
        <w:rPr>
          <w:sz w:val="16"/>
        </w:rPr>
        <w:t>Acesso em: 12 jun. 2010.</w:t>
      </w:r>
    </w:p>
    <w:p w:rsidR="00D81F69" w:rsidRDefault="00330118">
      <w:pPr>
        <w:spacing w:before="1" w:line="312" w:lineRule="auto"/>
        <w:ind w:left="100" w:right="38"/>
        <w:jc w:val="both"/>
        <w:rPr>
          <w:sz w:val="16"/>
        </w:rPr>
      </w:pPr>
      <w:r>
        <w:rPr>
          <w:spacing w:val="5"/>
          <w:sz w:val="16"/>
        </w:rPr>
        <w:t xml:space="preserve">BORGES JÚNIOR, Meubles; MELLO, </w:t>
      </w:r>
      <w:r>
        <w:rPr>
          <w:spacing w:val="3"/>
          <w:sz w:val="16"/>
        </w:rPr>
        <w:t xml:space="preserve">Jaime </w:t>
      </w:r>
      <w:r>
        <w:rPr>
          <w:spacing w:val="5"/>
          <w:sz w:val="16"/>
        </w:rPr>
        <w:t xml:space="preserve">Wilson Vargas de; </w:t>
      </w:r>
      <w:r>
        <w:rPr>
          <w:sz w:val="16"/>
        </w:rPr>
        <w:t>SCHAEFER, Carlos Ernesto G. R.; DUSSIN, Tânia Mara; ABRAHÃO, Walter Antônio Pereira. Valores de referência local e avaliação da contaminação por zinco em solos adjacentes a áre</w:t>
      </w:r>
      <w:r>
        <w:rPr>
          <w:sz w:val="16"/>
        </w:rPr>
        <w:t xml:space="preserve">as mineradas no </w:t>
      </w:r>
      <w:r>
        <w:rPr>
          <w:spacing w:val="3"/>
          <w:sz w:val="16"/>
        </w:rPr>
        <w:t xml:space="preserve">município </w:t>
      </w:r>
      <w:r>
        <w:rPr>
          <w:spacing w:val="1"/>
          <w:sz w:val="16"/>
        </w:rPr>
        <w:t xml:space="preserve">de </w:t>
      </w:r>
      <w:r>
        <w:rPr>
          <w:spacing w:val="3"/>
          <w:sz w:val="16"/>
        </w:rPr>
        <w:t xml:space="preserve">Vazante-MG. </w:t>
      </w:r>
      <w:r>
        <w:rPr>
          <w:spacing w:val="2"/>
          <w:sz w:val="16"/>
        </w:rPr>
        <w:t xml:space="preserve">Rev. </w:t>
      </w:r>
      <w:r>
        <w:rPr>
          <w:spacing w:val="3"/>
          <w:sz w:val="16"/>
        </w:rPr>
        <w:t xml:space="preserve">Bras. Ciênc. Solo, </w:t>
      </w:r>
      <w:r>
        <w:rPr>
          <w:spacing w:val="1"/>
          <w:sz w:val="16"/>
        </w:rPr>
        <w:t xml:space="preserve">v.  </w:t>
      </w:r>
      <w:r>
        <w:rPr>
          <w:spacing w:val="2"/>
          <w:sz w:val="16"/>
        </w:rPr>
        <w:t xml:space="preserve">32,  </w:t>
      </w:r>
      <w:r>
        <w:rPr>
          <w:spacing w:val="1"/>
          <w:sz w:val="16"/>
        </w:rPr>
        <w:t xml:space="preserve">n.  </w:t>
      </w:r>
      <w:r>
        <w:rPr>
          <w:spacing w:val="5"/>
          <w:sz w:val="16"/>
        </w:rPr>
        <w:t xml:space="preserve">spe, </w:t>
      </w:r>
      <w:r>
        <w:rPr>
          <w:spacing w:val="10"/>
          <w:sz w:val="16"/>
        </w:rPr>
        <w:t xml:space="preserve">2 0 0 8 </w:t>
      </w:r>
      <w:r>
        <w:rPr>
          <w:sz w:val="16"/>
        </w:rPr>
        <w:t xml:space="preserve">. </w:t>
      </w:r>
      <w:r>
        <w:rPr>
          <w:spacing w:val="10"/>
          <w:sz w:val="16"/>
        </w:rPr>
        <w:t xml:space="preserve">2 8 8 3 - 2 8 9 </w:t>
      </w:r>
      <w:r>
        <w:rPr>
          <w:sz w:val="16"/>
        </w:rPr>
        <w:t xml:space="preserve">3 </w:t>
      </w:r>
      <w:r>
        <w:rPr>
          <w:spacing w:val="10"/>
          <w:sz w:val="16"/>
        </w:rPr>
        <w:t xml:space="preserve">p p </w:t>
      </w:r>
      <w:r>
        <w:rPr>
          <w:sz w:val="16"/>
        </w:rPr>
        <w:t xml:space="preserve">. </w:t>
      </w:r>
      <w:r>
        <w:rPr>
          <w:spacing w:val="10"/>
          <w:sz w:val="16"/>
        </w:rPr>
        <w:t xml:space="preserve">D i s p o n í v e </w:t>
      </w:r>
      <w:r>
        <w:rPr>
          <w:sz w:val="16"/>
        </w:rPr>
        <w:t>l</w:t>
      </w:r>
      <w:r>
        <w:rPr>
          <w:spacing w:val="32"/>
          <w:sz w:val="16"/>
        </w:rPr>
        <w:t xml:space="preserve"> </w:t>
      </w:r>
      <w:r>
        <w:rPr>
          <w:spacing w:val="10"/>
          <w:sz w:val="16"/>
        </w:rPr>
        <w:t xml:space="preserve">e m </w:t>
      </w:r>
      <w:r>
        <w:rPr>
          <w:sz w:val="16"/>
        </w:rPr>
        <w:t>:</w:t>
      </w:r>
      <w:r>
        <w:rPr>
          <w:spacing w:val="10"/>
          <w:sz w:val="16"/>
        </w:rPr>
        <w:t xml:space="preserve"> </w:t>
      </w:r>
    </w:p>
    <w:p w:rsidR="00D81F69" w:rsidRDefault="00D81F69">
      <w:pPr>
        <w:spacing w:before="5" w:line="312" w:lineRule="auto"/>
        <w:ind w:left="100" w:right="67"/>
        <w:jc w:val="both"/>
        <w:rPr>
          <w:sz w:val="16"/>
        </w:rPr>
      </w:pPr>
      <w:hyperlink r:id="rId1334">
        <w:r w:rsidR="00330118">
          <w:rPr>
            <w:sz w:val="16"/>
          </w:rPr>
          <w:t xml:space="preserve">&lt;http://www.scielo.br/scielo.php?pid=S0100- </w:t>
        </w:r>
      </w:hyperlink>
      <w:r w:rsidR="00330118">
        <w:rPr>
          <w:sz w:val="16"/>
        </w:rPr>
        <w:t>06832008000700036&amp;script=sci_arttext&amp;tlng&gt;. Acesso em: 10 jun. 2010.</w:t>
      </w:r>
    </w:p>
    <w:p w:rsidR="00D81F69" w:rsidRDefault="00330118">
      <w:pPr>
        <w:tabs>
          <w:tab w:val="left" w:pos="1198"/>
          <w:tab w:val="left" w:pos="2495"/>
          <w:tab w:val="left" w:pos="4639"/>
        </w:tabs>
        <w:spacing w:before="3" w:line="312" w:lineRule="auto"/>
        <w:ind w:left="100" w:right="93"/>
        <w:jc w:val="both"/>
        <w:rPr>
          <w:sz w:val="16"/>
        </w:rPr>
      </w:pPr>
      <w:r>
        <w:rPr>
          <w:sz w:val="16"/>
        </w:rPr>
        <w:t xml:space="preserve">BOURSCHEIT, Aldem. Um município entrando no buraco. O Eco, 19 n  o </w:t>
      </w:r>
      <w:r>
        <w:rPr>
          <w:spacing w:val="20"/>
          <w:sz w:val="16"/>
        </w:rPr>
        <w:t xml:space="preserve"> </w:t>
      </w:r>
      <w:r>
        <w:rPr>
          <w:sz w:val="16"/>
        </w:rPr>
        <w:t xml:space="preserve">v </w:t>
      </w:r>
      <w:r>
        <w:rPr>
          <w:spacing w:val="10"/>
          <w:sz w:val="16"/>
        </w:rPr>
        <w:t xml:space="preserve"> </w:t>
      </w:r>
      <w:r>
        <w:rPr>
          <w:sz w:val="16"/>
        </w:rPr>
        <w:t>.</w:t>
      </w:r>
      <w:r>
        <w:rPr>
          <w:sz w:val="16"/>
        </w:rPr>
        <w:tab/>
        <w:t xml:space="preserve">2  0  0 </w:t>
      </w:r>
      <w:r>
        <w:rPr>
          <w:spacing w:val="31"/>
          <w:sz w:val="16"/>
        </w:rPr>
        <w:t xml:space="preserve"> </w:t>
      </w:r>
      <w:r>
        <w:rPr>
          <w:sz w:val="16"/>
        </w:rPr>
        <w:t xml:space="preserve">8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0"/>
          <w:sz w:val="16"/>
        </w:rPr>
        <w:t xml:space="preserve"> </w:t>
      </w:r>
      <w:r>
        <w:rPr>
          <w:sz w:val="16"/>
        </w:rPr>
        <w:t>:</w:t>
      </w:r>
    </w:p>
    <w:p w:rsidR="00D81F69" w:rsidRDefault="00D81F69">
      <w:pPr>
        <w:spacing w:before="1" w:line="312" w:lineRule="auto"/>
        <w:ind w:left="100" w:right="107"/>
        <w:jc w:val="both"/>
        <w:rPr>
          <w:sz w:val="16"/>
        </w:rPr>
      </w:pPr>
      <w:hyperlink r:id="rId1335">
        <w:r w:rsidR="00330118">
          <w:rPr>
            <w:sz w:val="16"/>
          </w:rPr>
          <w:t>&lt;http://www.oeco.com.br/reportagens/20291-um-municipio-entrando-</w:t>
        </w:r>
      </w:hyperlink>
      <w:r w:rsidR="00330118">
        <w:rPr>
          <w:sz w:val="16"/>
        </w:rPr>
        <w:t xml:space="preserve"> no-buraco&gt;. Acesso em: 11 jun. 2010.</w:t>
      </w:r>
    </w:p>
    <w:p w:rsidR="00D81F69" w:rsidRDefault="00330118">
      <w:pPr>
        <w:spacing w:before="2"/>
        <w:ind w:left="100"/>
        <w:jc w:val="both"/>
        <w:rPr>
          <w:sz w:val="16"/>
        </w:rPr>
      </w:pPr>
      <w:r>
        <w:rPr>
          <w:sz w:val="16"/>
        </w:rPr>
        <w:t>BRASIL.  CONSELHO  NACIONAL  DO  MEIO AMBIENTE-CONAMA.</w:t>
      </w:r>
    </w:p>
    <w:p w:rsidR="00D81F69" w:rsidRDefault="00330118">
      <w:pPr>
        <w:spacing w:before="56"/>
        <w:ind w:left="100"/>
        <w:jc w:val="both"/>
        <w:rPr>
          <w:sz w:val="16"/>
        </w:rPr>
      </w:pPr>
      <w:r>
        <w:rPr>
          <w:sz w:val="16"/>
        </w:rPr>
        <w:t xml:space="preserve">Resolução  nº  357, </w:t>
      </w:r>
      <w:r>
        <w:rPr>
          <w:sz w:val="16"/>
        </w:rPr>
        <w:t xml:space="preserve"> de  17  de  março  de  2005.  Disponível em:</w:t>
      </w:r>
    </w:p>
    <w:p w:rsidR="00D81F69" w:rsidRDefault="00D81F69">
      <w:pPr>
        <w:spacing w:before="56" w:line="312" w:lineRule="auto"/>
        <w:ind w:left="100" w:right="83"/>
        <w:jc w:val="both"/>
        <w:rPr>
          <w:sz w:val="16"/>
        </w:rPr>
      </w:pPr>
      <w:hyperlink r:id="rId1336">
        <w:r w:rsidR="00330118">
          <w:rPr>
            <w:sz w:val="16"/>
          </w:rPr>
          <w:t>&lt;http://www.mma.gov.br/port/conama/res/res05/res35705.pdf&gt;.</w:t>
        </w:r>
      </w:hyperlink>
      <w:r w:rsidR="00330118">
        <w:rPr>
          <w:sz w:val="16"/>
        </w:rPr>
        <w:t xml:space="preserve"> Acesso em: 18 jul. 2012.</w:t>
      </w:r>
    </w:p>
    <w:p w:rsidR="00D81F69" w:rsidRDefault="00330118">
      <w:pPr>
        <w:tabs>
          <w:tab w:val="left" w:pos="4331"/>
        </w:tabs>
        <w:spacing w:before="2" w:line="312" w:lineRule="auto"/>
        <w:ind w:left="100" w:right="83"/>
        <w:jc w:val="both"/>
        <w:rPr>
          <w:sz w:val="16"/>
        </w:rPr>
      </w:pPr>
      <w:r>
        <w:rPr>
          <w:sz w:val="16"/>
        </w:rPr>
        <w:t>BRASIL MINERAL ONLINE. VM investe R$ 763 milhões pa</w:t>
      </w:r>
      <w:r>
        <w:rPr>
          <w:sz w:val="16"/>
        </w:rPr>
        <w:t xml:space="preserve">ra ampliar </w:t>
      </w:r>
      <w:r>
        <w:rPr>
          <w:spacing w:val="5"/>
          <w:sz w:val="16"/>
        </w:rPr>
        <w:t xml:space="preserve">produção </w:t>
      </w:r>
      <w:r>
        <w:rPr>
          <w:spacing w:val="2"/>
          <w:sz w:val="16"/>
        </w:rPr>
        <w:t xml:space="preserve">em  </w:t>
      </w:r>
      <w:r>
        <w:rPr>
          <w:spacing w:val="3"/>
          <w:sz w:val="16"/>
        </w:rPr>
        <w:t xml:space="preserve">MG. </w:t>
      </w:r>
      <w:r>
        <w:rPr>
          <w:spacing w:val="5"/>
          <w:sz w:val="16"/>
        </w:rPr>
        <w:t xml:space="preserve">Brasil Mineral OnLine </w:t>
      </w:r>
      <w:r>
        <w:rPr>
          <w:spacing w:val="2"/>
          <w:sz w:val="16"/>
        </w:rPr>
        <w:t xml:space="preserve">n.  </w:t>
      </w:r>
      <w:r>
        <w:rPr>
          <w:spacing w:val="3"/>
          <w:sz w:val="16"/>
        </w:rPr>
        <w:t xml:space="preserve">341, </w:t>
      </w:r>
      <w:r>
        <w:rPr>
          <w:spacing w:val="2"/>
          <w:sz w:val="16"/>
        </w:rPr>
        <w:t xml:space="preserve">27  </w:t>
      </w:r>
      <w:r>
        <w:rPr>
          <w:spacing w:val="3"/>
          <w:sz w:val="16"/>
        </w:rPr>
        <w:t xml:space="preserve">fev. </w:t>
      </w:r>
      <w:r>
        <w:rPr>
          <w:spacing w:val="5"/>
          <w:sz w:val="16"/>
        </w:rPr>
        <w:t xml:space="preserve">2008.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108"/>
        <w:jc w:val="both"/>
        <w:rPr>
          <w:sz w:val="16"/>
        </w:rPr>
      </w:pPr>
      <w:hyperlink r:id="rId1337">
        <w:r w:rsidR="00330118">
          <w:rPr>
            <w:sz w:val="16"/>
          </w:rPr>
          <w:t>&lt;http://www.brasilmineral.co</w:t>
        </w:r>
        <w:r w:rsidR="00330118">
          <w:rPr>
            <w:sz w:val="16"/>
          </w:rPr>
          <w:t>m.br/BM/default.asp?busca=Vazante&amp;im</w:t>
        </w:r>
      </w:hyperlink>
      <w:r w:rsidR="00330118">
        <w:rPr>
          <w:sz w:val="16"/>
        </w:rPr>
        <w:t xml:space="preserve"> age.x=14&amp;image.y=3&gt;. Acesso em: 10 jun. 2010.</w:t>
      </w:r>
    </w:p>
    <w:p w:rsidR="00D81F69" w:rsidRDefault="00330118">
      <w:pPr>
        <w:tabs>
          <w:tab w:val="left" w:pos="4331"/>
        </w:tabs>
        <w:spacing w:before="2" w:line="312" w:lineRule="auto"/>
        <w:ind w:left="100" w:right="82"/>
        <w:jc w:val="both"/>
        <w:rPr>
          <w:sz w:val="16"/>
        </w:rPr>
      </w:pPr>
      <w:r>
        <w:rPr>
          <w:spacing w:val="3"/>
          <w:sz w:val="16"/>
        </w:rPr>
        <w:t xml:space="preserve">CASTRO, </w:t>
      </w:r>
      <w:r>
        <w:rPr>
          <w:spacing w:val="1"/>
          <w:sz w:val="16"/>
        </w:rPr>
        <w:t xml:space="preserve">C. </w:t>
      </w:r>
      <w:r>
        <w:rPr>
          <w:spacing w:val="2"/>
          <w:sz w:val="16"/>
        </w:rPr>
        <w:t xml:space="preserve">M.; </w:t>
      </w:r>
      <w:r>
        <w:rPr>
          <w:spacing w:val="3"/>
          <w:sz w:val="16"/>
        </w:rPr>
        <w:t xml:space="preserve">HENNEMANN, </w:t>
      </w:r>
      <w:r>
        <w:rPr>
          <w:spacing w:val="1"/>
          <w:sz w:val="16"/>
        </w:rPr>
        <w:t xml:space="preserve">G. </w:t>
      </w:r>
      <w:r>
        <w:rPr>
          <w:spacing w:val="3"/>
          <w:sz w:val="16"/>
        </w:rPr>
        <w:t xml:space="preserve">Votorantim </w:t>
      </w:r>
      <w:r>
        <w:rPr>
          <w:spacing w:val="2"/>
          <w:sz w:val="16"/>
        </w:rPr>
        <w:t xml:space="preserve">nega que </w:t>
      </w:r>
      <w:r>
        <w:rPr>
          <w:spacing w:val="5"/>
          <w:sz w:val="16"/>
        </w:rPr>
        <w:t xml:space="preserve">tenha gerado buraco. Folha </w:t>
      </w:r>
      <w:r>
        <w:rPr>
          <w:spacing w:val="3"/>
          <w:sz w:val="16"/>
        </w:rPr>
        <w:t xml:space="preserve">de  S.  </w:t>
      </w:r>
      <w:r>
        <w:rPr>
          <w:spacing w:val="5"/>
          <w:sz w:val="16"/>
        </w:rPr>
        <w:t xml:space="preserve">Paulo, São  Paulo, </w:t>
      </w:r>
      <w:r>
        <w:rPr>
          <w:spacing w:val="3"/>
          <w:sz w:val="16"/>
        </w:rPr>
        <w:t xml:space="preserve">01  </w:t>
      </w:r>
      <w:r>
        <w:rPr>
          <w:spacing w:val="5"/>
          <w:sz w:val="16"/>
        </w:rPr>
        <w:t xml:space="preserve">fev. </w:t>
      </w:r>
      <w:r>
        <w:rPr>
          <w:spacing w:val="7"/>
          <w:sz w:val="16"/>
        </w:rPr>
        <w:t xml:space="preserve">2009.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82"/>
        <w:jc w:val="both"/>
        <w:rPr>
          <w:sz w:val="16"/>
        </w:rPr>
      </w:pPr>
      <w:hyperlink r:id="rId1338">
        <w:r w:rsidR="00330118">
          <w:rPr>
            <w:sz w:val="16"/>
          </w:rPr>
          <w:t>&lt;http://www1.folha.uol.com.br/fsp/cotidian/ff0102200917.htm&gt;.</w:t>
        </w:r>
      </w:hyperlink>
      <w:r w:rsidR="00330118">
        <w:rPr>
          <w:sz w:val="16"/>
        </w:rPr>
        <w:t xml:space="preserve"> Acesso em: set. 2010.</w:t>
      </w:r>
    </w:p>
    <w:p w:rsidR="00D81F69" w:rsidRDefault="00330118">
      <w:pPr>
        <w:spacing w:before="2" w:line="312" w:lineRule="auto"/>
        <w:ind w:left="100" w:right="108"/>
        <w:jc w:val="both"/>
        <w:rPr>
          <w:sz w:val="16"/>
        </w:rPr>
      </w:pPr>
      <w:r>
        <w:rPr>
          <w:sz w:val="16"/>
        </w:rPr>
        <w:t>FURTARDO, B. Pisando em dolinas. Correio Braziliense. Brasília, 20 jun. 2004.</w:t>
      </w:r>
    </w:p>
    <w:p w:rsidR="00D81F69" w:rsidRDefault="00330118">
      <w:pPr>
        <w:tabs>
          <w:tab w:val="left" w:pos="921"/>
          <w:tab w:val="left" w:pos="1928"/>
          <w:tab w:val="left" w:pos="2201"/>
          <w:tab w:val="left" w:pos="2738"/>
          <w:tab w:val="left" w:pos="3235"/>
          <w:tab w:val="left" w:pos="4736"/>
        </w:tabs>
        <w:spacing w:before="70" w:line="312" w:lineRule="auto"/>
        <w:ind w:left="100" w:right="144"/>
        <w:rPr>
          <w:sz w:val="16"/>
        </w:rPr>
      </w:pPr>
      <w:r>
        <w:br w:type="column"/>
      </w:r>
      <w:r>
        <w:rPr>
          <w:spacing w:val="30"/>
          <w:sz w:val="16"/>
        </w:rPr>
        <w:lastRenderedPageBreak/>
        <w:t>D</w:t>
      </w:r>
      <w:r>
        <w:rPr>
          <w:sz w:val="16"/>
        </w:rPr>
        <w:t xml:space="preserve"> </w:t>
      </w:r>
      <w:r>
        <w:rPr>
          <w:spacing w:val="30"/>
          <w:sz w:val="16"/>
        </w:rPr>
        <w:t>i</w:t>
      </w:r>
      <w:r>
        <w:rPr>
          <w:sz w:val="16"/>
        </w:rPr>
        <w:t xml:space="preserve"> </w:t>
      </w:r>
      <w:r>
        <w:rPr>
          <w:spacing w:val="30"/>
          <w:sz w:val="16"/>
        </w:rPr>
        <w:t>s</w:t>
      </w:r>
      <w:r>
        <w:rPr>
          <w:sz w:val="16"/>
        </w:rPr>
        <w:t xml:space="preserve"> </w:t>
      </w:r>
      <w:r>
        <w:rPr>
          <w:spacing w:val="30"/>
          <w:sz w:val="16"/>
        </w:rPr>
        <w:t>p</w:t>
      </w:r>
      <w:r>
        <w:rPr>
          <w:sz w:val="16"/>
        </w:rPr>
        <w:t xml:space="preserve"> </w:t>
      </w:r>
      <w:r>
        <w:rPr>
          <w:spacing w:val="30"/>
          <w:sz w:val="16"/>
        </w:rPr>
        <w:t>o</w:t>
      </w:r>
      <w:r>
        <w:rPr>
          <w:sz w:val="16"/>
        </w:rPr>
        <w:t xml:space="preserve"> </w:t>
      </w:r>
      <w:r>
        <w:rPr>
          <w:spacing w:val="30"/>
          <w:sz w:val="16"/>
        </w:rPr>
        <w:t>n</w:t>
      </w:r>
      <w:r>
        <w:rPr>
          <w:sz w:val="16"/>
        </w:rPr>
        <w:t xml:space="preserve"> </w:t>
      </w:r>
      <w:r>
        <w:rPr>
          <w:spacing w:val="30"/>
          <w:sz w:val="16"/>
        </w:rPr>
        <w:t>í</w:t>
      </w:r>
      <w:r>
        <w:rPr>
          <w:sz w:val="16"/>
        </w:rPr>
        <w:t xml:space="preserve"> </w:t>
      </w:r>
      <w:r>
        <w:rPr>
          <w:spacing w:val="30"/>
          <w:sz w:val="16"/>
        </w:rPr>
        <w:t>v</w:t>
      </w:r>
      <w:r>
        <w:rPr>
          <w:sz w:val="16"/>
        </w:rPr>
        <w:t xml:space="preserve"> </w:t>
      </w:r>
      <w:r>
        <w:rPr>
          <w:spacing w:val="30"/>
          <w:sz w:val="16"/>
        </w:rPr>
        <w:t>e</w:t>
      </w:r>
      <w:r>
        <w:rPr>
          <w:sz w:val="16"/>
        </w:rPr>
        <w:t xml:space="preserve"> l</w:t>
      </w:r>
      <w:r>
        <w:rPr>
          <w:sz w:val="16"/>
        </w:rPr>
        <w:tab/>
      </w:r>
      <w:r>
        <w:rPr>
          <w:spacing w:val="30"/>
          <w:sz w:val="16"/>
        </w:rPr>
        <w:t>e</w:t>
      </w:r>
      <w:r>
        <w:rPr>
          <w:sz w:val="16"/>
        </w:rPr>
        <w:t xml:space="preserve"> </w:t>
      </w:r>
      <w:r>
        <w:rPr>
          <w:spacing w:val="30"/>
          <w:sz w:val="16"/>
        </w:rPr>
        <w:t>m</w:t>
      </w:r>
      <w:r>
        <w:rPr>
          <w:sz w:val="16"/>
        </w:rPr>
        <w:t xml:space="preserve"> :</w:t>
      </w:r>
      <w:r>
        <w:rPr>
          <w:sz w:val="16"/>
        </w:rPr>
        <w:tab/>
      </w:r>
      <w:r>
        <w:rPr>
          <w:spacing w:val="30"/>
          <w:sz w:val="16"/>
        </w:rPr>
        <w:t>&lt;</w:t>
      </w:r>
      <w:r>
        <w:rPr>
          <w:sz w:val="16"/>
        </w:rPr>
        <w:t xml:space="preserve"> </w:t>
      </w:r>
      <w:r>
        <w:rPr>
          <w:spacing w:val="30"/>
          <w:sz w:val="16"/>
        </w:rPr>
        <w:t>h</w:t>
      </w:r>
      <w:r>
        <w:rPr>
          <w:sz w:val="16"/>
        </w:rPr>
        <w:t xml:space="preserve"> </w:t>
      </w:r>
      <w:r>
        <w:rPr>
          <w:spacing w:val="30"/>
          <w:sz w:val="16"/>
        </w:rPr>
        <w:t>t</w:t>
      </w:r>
      <w:r>
        <w:rPr>
          <w:sz w:val="16"/>
        </w:rPr>
        <w:t xml:space="preserve"> </w:t>
      </w:r>
      <w:r>
        <w:rPr>
          <w:spacing w:val="30"/>
          <w:sz w:val="16"/>
        </w:rPr>
        <w:t>t</w:t>
      </w:r>
      <w:r>
        <w:rPr>
          <w:sz w:val="16"/>
        </w:rPr>
        <w:t xml:space="preserve"> </w:t>
      </w:r>
      <w:r>
        <w:rPr>
          <w:spacing w:val="30"/>
          <w:sz w:val="16"/>
        </w:rPr>
        <w:t>p</w:t>
      </w:r>
      <w:r>
        <w:rPr>
          <w:sz w:val="16"/>
        </w:rPr>
        <w:t xml:space="preserve"> </w:t>
      </w:r>
      <w:r>
        <w:rPr>
          <w:spacing w:val="30"/>
          <w:sz w:val="16"/>
        </w:rPr>
        <w:t>:</w:t>
      </w:r>
      <w:r>
        <w:rPr>
          <w:sz w:val="16"/>
        </w:rPr>
        <w:t xml:space="preserve"> </w:t>
      </w:r>
      <w:r>
        <w:rPr>
          <w:spacing w:val="30"/>
          <w:sz w:val="16"/>
        </w:rPr>
        <w:t>/</w:t>
      </w:r>
      <w:r>
        <w:rPr>
          <w:sz w:val="16"/>
        </w:rPr>
        <w:t xml:space="preserve"> </w:t>
      </w:r>
      <w:r>
        <w:rPr>
          <w:spacing w:val="30"/>
          <w:sz w:val="16"/>
        </w:rPr>
        <w:t>/</w:t>
      </w:r>
      <w:r>
        <w:rPr>
          <w:sz w:val="16"/>
        </w:rPr>
        <w:t xml:space="preserve"> </w:t>
      </w:r>
      <w:r>
        <w:rPr>
          <w:spacing w:val="30"/>
          <w:sz w:val="16"/>
        </w:rPr>
        <w:t>w</w:t>
      </w:r>
      <w:r>
        <w:rPr>
          <w:sz w:val="16"/>
        </w:rPr>
        <w:t xml:space="preserve"> </w:t>
      </w:r>
      <w:r>
        <w:rPr>
          <w:spacing w:val="30"/>
          <w:sz w:val="16"/>
        </w:rPr>
        <w:t>w</w:t>
      </w:r>
      <w:r>
        <w:rPr>
          <w:sz w:val="16"/>
        </w:rPr>
        <w:t xml:space="preserve"> </w:t>
      </w:r>
      <w:r>
        <w:rPr>
          <w:spacing w:val="30"/>
          <w:sz w:val="16"/>
        </w:rPr>
        <w:t>w</w:t>
      </w:r>
      <w:r>
        <w:rPr>
          <w:sz w:val="16"/>
        </w:rPr>
        <w:t xml:space="preserve"> </w:t>
      </w:r>
      <w:r>
        <w:rPr>
          <w:spacing w:val="30"/>
          <w:sz w:val="16"/>
        </w:rPr>
        <w:t>.</w:t>
      </w:r>
      <w:r>
        <w:rPr>
          <w:sz w:val="16"/>
        </w:rPr>
        <w:t xml:space="preserve"> </w:t>
      </w:r>
      <w:r>
        <w:rPr>
          <w:spacing w:val="30"/>
          <w:sz w:val="16"/>
        </w:rPr>
        <w:t>e</w:t>
      </w:r>
      <w:r>
        <w:rPr>
          <w:sz w:val="16"/>
        </w:rPr>
        <w:t xml:space="preserve"> </w:t>
      </w:r>
      <w:r>
        <w:rPr>
          <w:spacing w:val="30"/>
          <w:sz w:val="16"/>
        </w:rPr>
        <w:t>c</w:t>
      </w:r>
      <w:r>
        <w:rPr>
          <w:sz w:val="16"/>
        </w:rPr>
        <w:t xml:space="preserve"> </w:t>
      </w:r>
      <w:r>
        <w:rPr>
          <w:spacing w:val="30"/>
          <w:sz w:val="16"/>
        </w:rPr>
        <w:t>o</w:t>
      </w:r>
      <w:r>
        <w:rPr>
          <w:sz w:val="16"/>
        </w:rPr>
        <w:t xml:space="preserve"> - subterraneo.com.br/component/docman/doc_download/319-correio- braziliense-df-20062004-pisando-em-dolinas&gt;. Acesso em: set. 2010. IBGE, Instituto Brasileiro de Geografia e Estatística. Vazante (MG).    </w:t>
      </w:r>
      <w:r>
        <w:rPr>
          <w:sz w:val="16"/>
        </w:rPr>
        <w:t xml:space="preserve">  </w:t>
      </w:r>
      <w:r>
        <w:rPr>
          <w:spacing w:val="6"/>
          <w:sz w:val="16"/>
        </w:rPr>
        <w:t>I B</w:t>
      </w:r>
      <w:r>
        <w:rPr>
          <w:spacing w:val="-6"/>
          <w:sz w:val="16"/>
        </w:rPr>
        <w:t xml:space="preserve"> </w:t>
      </w:r>
      <w:r>
        <w:rPr>
          <w:spacing w:val="6"/>
          <w:sz w:val="16"/>
        </w:rPr>
        <w:t>G</w:t>
      </w:r>
      <w:r>
        <w:rPr>
          <w:sz w:val="16"/>
        </w:rPr>
        <w:t xml:space="preserve"> E</w:t>
      </w:r>
      <w:r>
        <w:rPr>
          <w:sz w:val="16"/>
        </w:rPr>
        <w:tab/>
      </w:r>
      <w:r>
        <w:rPr>
          <w:spacing w:val="6"/>
          <w:sz w:val="16"/>
        </w:rPr>
        <w:t>C i d a d e</w:t>
      </w:r>
      <w:r>
        <w:rPr>
          <w:spacing w:val="-30"/>
          <w:sz w:val="16"/>
        </w:rPr>
        <w:t xml:space="preserve"> </w:t>
      </w:r>
      <w:r>
        <w:rPr>
          <w:spacing w:val="6"/>
          <w:sz w:val="16"/>
        </w:rPr>
        <w:t>s</w:t>
      </w:r>
      <w:r>
        <w:rPr>
          <w:sz w:val="16"/>
        </w:rPr>
        <w:t xml:space="preserve"> ,</w:t>
      </w:r>
      <w:r>
        <w:rPr>
          <w:sz w:val="16"/>
        </w:rPr>
        <w:tab/>
      </w:r>
      <w:r>
        <w:rPr>
          <w:sz w:val="16"/>
        </w:rPr>
        <w:tab/>
      </w:r>
      <w:r>
        <w:rPr>
          <w:spacing w:val="6"/>
          <w:sz w:val="16"/>
        </w:rPr>
        <w:t>2 0 1 0</w:t>
      </w:r>
      <w:r>
        <w:rPr>
          <w:spacing w:val="-19"/>
          <w:sz w:val="16"/>
        </w:rPr>
        <w:t xml:space="preserve"> </w:t>
      </w:r>
      <w:r>
        <w:rPr>
          <w:spacing w:val="6"/>
          <w:sz w:val="16"/>
        </w:rPr>
        <w:t>a</w:t>
      </w:r>
      <w:r>
        <w:rPr>
          <w:sz w:val="16"/>
        </w:rPr>
        <w:t xml:space="preserve"> .</w:t>
      </w:r>
      <w:r>
        <w:rPr>
          <w:sz w:val="16"/>
        </w:rPr>
        <w:tab/>
      </w:r>
      <w:r>
        <w:rPr>
          <w:spacing w:val="6"/>
          <w:sz w:val="16"/>
        </w:rPr>
        <w:t>D</w:t>
      </w:r>
      <w:r>
        <w:rPr>
          <w:sz w:val="16"/>
        </w:rPr>
        <w:t xml:space="preserve"> </w:t>
      </w:r>
      <w:r>
        <w:rPr>
          <w:spacing w:val="6"/>
          <w:sz w:val="16"/>
        </w:rPr>
        <w:t>i</w:t>
      </w:r>
      <w:r>
        <w:rPr>
          <w:sz w:val="16"/>
        </w:rPr>
        <w:t xml:space="preserve"> </w:t>
      </w:r>
      <w:r>
        <w:rPr>
          <w:spacing w:val="6"/>
          <w:sz w:val="16"/>
        </w:rPr>
        <w:t>s</w:t>
      </w:r>
      <w:r>
        <w:rPr>
          <w:sz w:val="16"/>
        </w:rPr>
        <w:t xml:space="preserve"> </w:t>
      </w:r>
      <w:r>
        <w:rPr>
          <w:spacing w:val="6"/>
          <w:sz w:val="16"/>
        </w:rPr>
        <w:t>p</w:t>
      </w:r>
      <w:r>
        <w:rPr>
          <w:sz w:val="16"/>
        </w:rPr>
        <w:t xml:space="preserve"> </w:t>
      </w:r>
      <w:r>
        <w:rPr>
          <w:spacing w:val="6"/>
          <w:sz w:val="16"/>
        </w:rPr>
        <w:t>o</w:t>
      </w:r>
      <w:r>
        <w:rPr>
          <w:sz w:val="16"/>
        </w:rPr>
        <w:t xml:space="preserve"> </w:t>
      </w:r>
      <w:r>
        <w:rPr>
          <w:spacing w:val="6"/>
          <w:sz w:val="16"/>
        </w:rPr>
        <w:t>n</w:t>
      </w:r>
      <w:r>
        <w:rPr>
          <w:sz w:val="16"/>
        </w:rPr>
        <w:t xml:space="preserve"> </w:t>
      </w:r>
      <w:r>
        <w:rPr>
          <w:spacing w:val="6"/>
          <w:sz w:val="16"/>
        </w:rPr>
        <w:t>í</w:t>
      </w:r>
      <w:r>
        <w:rPr>
          <w:sz w:val="16"/>
        </w:rPr>
        <w:t xml:space="preserve"> </w:t>
      </w:r>
      <w:r>
        <w:rPr>
          <w:spacing w:val="6"/>
          <w:sz w:val="16"/>
        </w:rPr>
        <w:t>v</w:t>
      </w:r>
      <w:r>
        <w:rPr>
          <w:sz w:val="16"/>
        </w:rPr>
        <w:t xml:space="preserve"> </w:t>
      </w:r>
      <w:r>
        <w:rPr>
          <w:spacing w:val="6"/>
          <w:sz w:val="16"/>
        </w:rPr>
        <w:t>e</w:t>
      </w:r>
      <w:r>
        <w:rPr>
          <w:sz w:val="16"/>
        </w:rPr>
        <w:t xml:space="preserve"> l</w:t>
      </w:r>
      <w:r>
        <w:rPr>
          <w:sz w:val="16"/>
        </w:rPr>
        <w:tab/>
      </w:r>
      <w:r>
        <w:rPr>
          <w:spacing w:val="6"/>
          <w:sz w:val="16"/>
        </w:rPr>
        <w:t>e m</w:t>
      </w:r>
      <w:r>
        <w:rPr>
          <w:spacing w:val="-6"/>
          <w:sz w:val="16"/>
        </w:rPr>
        <w:t xml:space="preserve"> </w:t>
      </w:r>
      <w:r>
        <w:rPr>
          <w:sz w:val="16"/>
        </w:rPr>
        <w:t>:</w:t>
      </w:r>
      <w:r>
        <w:rPr>
          <w:spacing w:val="7"/>
          <w:sz w:val="16"/>
        </w:rPr>
        <w:t xml:space="preserve"> </w:t>
      </w:r>
    </w:p>
    <w:p w:rsidR="00D81F69" w:rsidRDefault="00D81F69">
      <w:pPr>
        <w:spacing w:before="4"/>
        <w:ind w:left="100"/>
        <w:rPr>
          <w:sz w:val="16"/>
        </w:rPr>
      </w:pPr>
      <w:hyperlink r:id="rId1339">
        <w:r w:rsidR="00330118">
          <w:rPr>
            <w:sz w:val="16"/>
          </w:rPr>
          <w:t>&lt;http://www.ibge.gov.br/cidadesat/xtras/perfil.php?codmun=317100&amp;r</w:t>
        </w:r>
      </w:hyperlink>
    </w:p>
    <w:p w:rsidR="00D81F69" w:rsidRDefault="00330118">
      <w:pPr>
        <w:spacing w:before="56"/>
        <w:ind w:left="100"/>
        <w:rPr>
          <w:sz w:val="16"/>
        </w:rPr>
      </w:pPr>
      <w:r>
        <w:rPr>
          <w:sz w:val="16"/>
        </w:rPr>
        <w:t>=2&gt;. Acesso em: 03 jun. 2010.</w:t>
      </w:r>
    </w:p>
    <w:p w:rsidR="00D81F69" w:rsidRDefault="00330118">
      <w:pPr>
        <w:spacing w:before="56" w:line="312" w:lineRule="auto"/>
        <w:ind w:left="100" w:right="125"/>
        <w:jc w:val="both"/>
        <w:rPr>
          <w:sz w:val="16"/>
        </w:rPr>
      </w:pPr>
      <w:r>
        <w:rPr>
          <w:sz w:val="16"/>
        </w:rPr>
        <w:t>______. Documentação Territorial do Brasil. Vazante. Minas Gerais      ( M G ) , 2 0 1 0 b . D i s p o n í v e l e</w:t>
      </w:r>
      <w:r>
        <w:rPr>
          <w:spacing w:val="5"/>
          <w:sz w:val="16"/>
        </w:rPr>
        <w:t xml:space="preserve"> </w:t>
      </w:r>
      <w:r>
        <w:rPr>
          <w:sz w:val="16"/>
        </w:rPr>
        <w:t xml:space="preserve">m </w:t>
      </w:r>
      <w:r>
        <w:rPr>
          <w:spacing w:val="2"/>
          <w:sz w:val="16"/>
        </w:rPr>
        <w:t xml:space="preserve"> </w:t>
      </w:r>
    </w:p>
    <w:p w:rsidR="00D81F69" w:rsidRDefault="00D81F69">
      <w:pPr>
        <w:spacing w:before="1" w:line="312" w:lineRule="auto"/>
        <w:ind w:left="100" w:right="213"/>
        <w:jc w:val="both"/>
        <w:rPr>
          <w:sz w:val="16"/>
        </w:rPr>
      </w:pPr>
      <w:hyperlink r:id="rId1340">
        <w:r w:rsidR="00330118">
          <w:rPr>
            <w:sz w:val="16"/>
          </w:rPr>
          <w:t xml:space="preserve">&lt;http://biblioteca.ibge.gov.br/dtbs_detalhes.php?id=5675&gt;. </w:t>
        </w:r>
      </w:hyperlink>
      <w:r w:rsidR="00330118">
        <w:rPr>
          <w:sz w:val="16"/>
        </w:rPr>
        <w:t>Acess</w:t>
      </w:r>
      <w:r w:rsidR="00330118">
        <w:rPr>
          <w:sz w:val="16"/>
        </w:rPr>
        <w:t>o em: 15 mar. 2011.</w:t>
      </w:r>
    </w:p>
    <w:p w:rsidR="00D81F69" w:rsidRDefault="00330118">
      <w:pPr>
        <w:spacing w:before="2" w:line="312" w:lineRule="auto"/>
        <w:ind w:left="100" w:right="213"/>
        <w:jc w:val="both"/>
        <w:rPr>
          <w:sz w:val="16"/>
        </w:rPr>
      </w:pPr>
      <w:r>
        <w:rPr>
          <w:sz w:val="16"/>
        </w:rPr>
        <w:t>JESUS, Carlos Antônio Gonçalves de. Zinco. In: Sumário Mineral Brasileiro, 2005. DNPM, p. 119-120. Disponível em:</w:t>
      </w:r>
    </w:p>
    <w:p w:rsidR="00D81F69" w:rsidRDefault="00D81F69">
      <w:pPr>
        <w:spacing w:before="2" w:line="312" w:lineRule="auto"/>
        <w:ind w:left="100" w:right="216"/>
        <w:jc w:val="both"/>
        <w:rPr>
          <w:sz w:val="16"/>
        </w:rPr>
      </w:pPr>
      <w:hyperlink r:id="rId1341">
        <w:r w:rsidR="00330118">
          <w:rPr>
            <w:sz w:val="16"/>
          </w:rPr>
          <w:t>&lt;http://www.dnpm.gov.br/assets/galeriadoc</w:t>
        </w:r>
        <w:r w:rsidR="00330118">
          <w:rPr>
            <w:sz w:val="16"/>
          </w:rPr>
          <w:t>umento/sumariomineral20</w:t>
        </w:r>
      </w:hyperlink>
      <w:r w:rsidR="00330118">
        <w:rPr>
          <w:sz w:val="16"/>
        </w:rPr>
        <w:t xml:space="preserve"> 05/ZINCO%202005rev.doc&gt;. Acesso em: 24 mar. 2011.</w:t>
      </w:r>
    </w:p>
    <w:p w:rsidR="00D81F69" w:rsidRDefault="00330118">
      <w:pPr>
        <w:spacing w:before="1"/>
        <w:ind w:left="100"/>
        <w:rPr>
          <w:sz w:val="16"/>
        </w:rPr>
      </w:pPr>
      <w:r>
        <w:rPr>
          <w:sz w:val="16"/>
        </w:rPr>
        <w:t>MAPA DA INJUSTIÇA AMBIENTAL E SAÚDE NO BRASIL. Atividade</w:t>
      </w:r>
    </w:p>
    <w:p w:rsidR="00D81F69" w:rsidRDefault="00330118">
      <w:pPr>
        <w:spacing w:before="56" w:line="312" w:lineRule="auto"/>
        <w:ind w:left="100" w:right="191"/>
        <w:jc w:val="both"/>
        <w:rPr>
          <w:sz w:val="16"/>
        </w:rPr>
      </w:pPr>
      <w:r>
        <w:rPr>
          <w:sz w:val="16"/>
        </w:rPr>
        <w:t>de empresas de Mineração e Siderurgia, em Vazante e Três Marias, é foco importante da contaminação do rio São Francisco. Pescadores artesanais já denunciaram as graves consequências para as águas e peixes da região. Banco de dados, dez. 2009. Disponível em</w:t>
      </w:r>
      <w:r>
        <w:rPr>
          <w:sz w:val="16"/>
        </w:rPr>
        <w:t>:</w:t>
      </w:r>
    </w:p>
    <w:p w:rsidR="00D81F69" w:rsidRDefault="00D81F69">
      <w:pPr>
        <w:spacing w:before="4" w:line="312" w:lineRule="auto"/>
        <w:ind w:left="100" w:right="216"/>
        <w:jc w:val="both"/>
        <w:rPr>
          <w:sz w:val="16"/>
        </w:rPr>
      </w:pPr>
      <w:hyperlink r:id="rId1342">
        <w:r w:rsidR="00330118">
          <w:rPr>
            <w:sz w:val="16"/>
          </w:rPr>
          <w:t>&lt;http://www.conflitoambiental.icict.fiocruz.br/index.php?pag=ficha&amp;co</w:t>
        </w:r>
      </w:hyperlink>
      <w:r w:rsidR="00330118">
        <w:rPr>
          <w:sz w:val="16"/>
        </w:rPr>
        <w:t xml:space="preserve"> d=224&gt;. Acesso em: 10 jun. 2010.</w:t>
      </w:r>
    </w:p>
    <w:p w:rsidR="00D81F69" w:rsidRDefault="00330118">
      <w:pPr>
        <w:spacing w:before="1" w:line="312" w:lineRule="auto"/>
        <w:ind w:left="100" w:right="196"/>
        <w:jc w:val="both"/>
        <w:rPr>
          <w:sz w:val="16"/>
        </w:rPr>
      </w:pPr>
      <w:r>
        <w:rPr>
          <w:sz w:val="16"/>
        </w:rPr>
        <w:t>MENDONÇA, Maria Luisa. Grupo Votorantim causa desastre ecológ</w:t>
      </w:r>
      <w:r>
        <w:rPr>
          <w:sz w:val="16"/>
        </w:rPr>
        <w:t xml:space="preserve">ico em Minas Gerais. Brasil de Fato, São Paulo, 03 abr. 2008. 2008a.Disponível em: </w:t>
      </w:r>
      <w:hyperlink r:id="rId1343">
        <w:r>
          <w:rPr>
            <w:sz w:val="16"/>
          </w:rPr>
          <w:t>&lt;http://www.brasildefato.com.br/node/1107&gt;.</w:t>
        </w:r>
      </w:hyperlink>
      <w:r>
        <w:rPr>
          <w:sz w:val="16"/>
        </w:rPr>
        <w:t xml:space="preserve"> Acesso em: 8 maio 2012.</w:t>
      </w:r>
    </w:p>
    <w:p w:rsidR="00D81F69" w:rsidRDefault="00330118">
      <w:pPr>
        <w:spacing w:before="4" w:line="312" w:lineRule="auto"/>
        <w:ind w:left="100" w:right="192"/>
        <w:jc w:val="both"/>
        <w:rPr>
          <w:sz w:val="16"/>
        </w:rPr>
      </w:pPr>
      <w:r>
        <w:rPr>
          <w:sz w:val="16"/>
        </w:rPr>
        <w:t>_____. Mina subterrânea da Votorantim gera deva</w:t>
      </w:r>
      <w:r>
        <w:rPr>
          <w:sz w:val="16"/>
        </w:rPr>
        <w:t>stação ambiental. Agência Adital, Fortaleza, 22 abr. 2008. 2008b. Disponível em:</w:t>
      </w:r>
    </w:p>
    <w:p w:rsidR="00D81F69" w:rsidRDefault="00D81F69">
      <w:pPr>
        <w:spacing w:before="1" w:line="312" w:lineRule="auto"/>
        <w:ind w:left="100" w:right="197"/>
        <w:jc w:val="both"/>
        <w:rPr>
          <w:sz w:val="16"/>
        </w:rPr>
      </w:pPr>
      <w:hyperlink r:id="rId1344">
        <w:r w:rsidR="00330118">
          <w:rPr>
            <w:sz w:val="16"/>
          </w:rPr>
          <w:t xml:space="preserve">&lt;http://www.social.org.br/artigos/artigo045.htm&gt;. </w:t>
        </w:r>
      </w:hyperlink>
      <w:r w:rsidR="00330118">
        <w:rPr>
          <w:sz w:val="16"/>
        </w:rPr>
        <w:t>Acesso em: 11 jun. 2010.</w:t>
      </w:r>
    </w:p>
    <w:p w:rsidR="00D81F69" w:rsidRDefault="00330118">
      <w:pPr>
        <w:spacing w:before="2" w:line="312" w:lineRule="auto"/>
        <w:ind w:left="100" w:right="195"/>
        <w:jc w:val="both"/>
        <w:rPr>
          <w:sz w:val="16"/>
        </w:rPr>
      </w:pPr>
      <w:r>
        <w:rPr>
          <w:sz w:val="16"/>
        </w:rPr>
        <w:t>MPF, Ministério Público Federal de M</w:t>
      </w:r>
      <w:r>
        <w:rPr>
          <w:sz w:val="16"/>
        </w:rPr>
        <w:t>inas Gerais. MPF/MG pede fim da mineração de zinco em Vazante, 21 nov. 2008. Disponível em:</w:t>
      </w:r>
    </w:p>
    <w:p w:rsidR="00D81F69" w:rsidRDefault="00D81F69">
      <w:pPr>
        <w:spacing w:before="1" w:line="312" w:lineRule="auto"/>
        <w:ind w:left="100" w:right="210"/>
        <w:jc w:val="both"/>
        <w:rPr>
          <w:sz w:val="16"/>
        </w:rPr>
      </w:pPr>
      <w:hyperlink r:id="rId1345">
        <w:r w:rsidR="00330118">
          <w:rPr>
            <w:sz w:val="16"/>
          </w:rPr>
          <w:t>&lt;http://noticias.pgr.mpf.gov.br/noticias/noticias-do-site/copy_of_meio-</w:t>
        </w:r>
      </w:hyperlink>
      <w:r w:rsidR="00330118">
        <w:rPr>
          <w:sz w:val="16"/>
        </w:rPr>
        <w:t xml:space="preserve"> ambi</w:t>
      </w:r>
      <w:r w:rsidR="00330118">
        <w:rPr>
          <w:sz w:val="16"/>
        </w:rPr>
        <w:t>ente-e-patrimonio-cultural/mpf-pede-fim-da-mineracao-de-zinco- em-vazante-mg-devido-aos-graves-danos-causados-a-saude-da- populacao-e-ao-meio-ambiente-1&gt;. Acesso em: 10 jun. 2010.</w:t>
      </w:r>
    </w:p>
    <w:p w:rsidR="00D81F69" w:rsidRDefault="00330118">
      <w:pPr>
        <w:spacing w:before="4" w:line="312" w:lineRule="auto"/>
        <w:ind w:left="100" w:right="159"/>
        <w:jc w:val="both"/>
        <w:rPr>
          <w:sz w:val="16"/>
        </w:rPr>
      </w:pPr>
      <w:r>
        <w:rPr>
          <w:spacing w:val="1"/>
          <w:sz w:val="16"/>
        </w:rPr>
        <w:t xml:space="preserve">RODRIGUES FILHO, Saulo; VIANA, Maurício Boratto. Gestão </w:t>
      </w:r>
      <w:r>
        <w:rPr>
          <w:spacing w:val="2"/>
          <w:sz w:val="16"/>
        </w:rPr>
        <w:t xml:space="preserve">da </w:t>
      </w:r>
      <w:r>
        <w:rPr>
          <w:spacing w:val="3"/>
          <w:sz w:val="16"/>
        </w:rPr>
        <w:t xml:space="preserve">água: </w:t>
      </w:r>
      <w:r>
        <w:rPr>
          <w:sz w:val="16"/>
        </w:rPr>
        <w:t xml:space="preserve">o </w:t>
      </w:r>
      <w:r>
        <w:rPr>
          <w:spacing w:val="5"/>
          <w:sz w:val="16"/>
        </w:rPr>
        <w:t xml:space="preserve">desafio </w:t>
      </w:r>
      <w:r>
        <w:rPr>
          <w:spacing w:val="2"/>
          <w:sz w:val="16"/>
        </w:rPr>
        <w:t xml:space="preserve">do </w:t>
      </w:r>
      <w:r>
        <w:rPr>
          <w:spacing w:val="3"/>
          <w:sz w:val="16"/>
        </w:rPr>
        <w:t xml:space="preserve">zinco </w:t>
      </w:r>
      <w:r>
        <w:rPr>
          <w:spacing w:val="2"/>
          <w:sz w:val="16"/>
        </w:rPr>
        <w:t xml:space="preserve">em </w:t>
      </w:r>
      <w:r>
        <w:rPr>
          <w:spacing w:val="5"/>
          <w:sz w:val="16"/>
        </w:rPr>
        <w:t xml:space="preserve">Vazante </w:t>
      </w:r>
      <w:r>
        <w:rPr>
          <w:sz w:val="16"/>
        </w:rPr>
        <w:t xml:space="preserve">- </w:t>
      </w:r>
      <w:r>
        <w:rPr>
          <w:spacing w:val="3"/>
          <w:sz w:val="16"/>
        </w:rPr>
        <w:t xml:space="preserve">MG. In: </w:t>
      </w:r>
      <w:r>
        <w:rPr>
          <w:spacing w:val="5"/>
          <w:sz w:val="16"/>
        </w:rPr>
        <w:t xml:space="preserve">FERNANDES, Francisco </w:t>
      </w:r>
      <w:r>
        <w:rPr>
          <w:spacing w:val="3"/>
          <w:sz w:val="16"/>
        </w:rPr>
        <w:t xml:space="preserve">Rego </w:t>
      </w:r>
      <w:r>
        <w:rPr>
          <w:spacing w:val="5"/>
          <w:sz w:val="16"/>
        </w:rPr>
        <w:t xml:space="preserve">Chaves; ENRIQUEZ, </w:t>
      </w:r>
      <w:r>
        <w:rPr>
          <w:spacing w:val="3"/>
          <w:sz w:val="16"/>
        </w:rPr>
        <w:t xml:space="preserve">Maria </w:t>
      </w:r>
      <w:r>
        <w:rPr>
          <w:spacing w:val="5"/>
          <w:sz w:val="16"/>
        </w:rPr>
        <w:t xml:space="preserve">Amélia; ALAMINO, </w:t>
      </w:r>
      <w:r>
        <w:rPr>
          <w:spacing w:val="8"/>
          <w:sz w:val="16"/>
        </w:rPr>
        <w:t xml:space="preserve">Renata </w:t>
      </w:r>
      <w:r>
        <w:rPr>
          <w:spacing w:val="5"/>
          <w:sz w:val="16"/>
        </w:rPr>
        <w:t xml:space="preserve">de </w:t>
      </w:r>
      <w:r>
        <w:rPr>
          <w:spacing w:val="8"/>
          <w:sz w:val="16"/>
        </w:rPr>
        <w:t xml:space="preserve">Carvalho Jimenez (Eds.). Recursos Minerais </w:t>
      </w:r>
      <w:r>
        <w:rPr>
          <w:sz w:val="16"/>
        </w:rPr>
        <w:t xml:space="preserve">e Territorialidade: v. 1, p. 333-360 - Grandes Minas e Comunidades </w:t>
      </w:r>
      <w:r>
        <w:rPr>
          <w:spacing w:val="30"/>
          <w:sz w:val="16"/>
        </w:rPr>
        <w:t xml:space="preserve">Locais, </w:t>
      </w:r>
      <w:r>
        <w:rPr>
          <w:spacing w:val="105"/>
          <w:sz w:val="16"/>
        </w:rPr>
        <w:t xml:space="preserve"> </w:t>
      </w:r>
      <w:r>
        <w:rPr>
          <w:spacing w:val="32"/>
          <w:sz w:val="16"/>
        </w:rPr>
        <w:t xml:space="preserve">CETEM/MCTI,   </w:t>
      </w:r>
      <w:r>
        <w:rPr>
          <w:spacing w:val="28"/>
          <w:sz w:val="16"/>
        </w:rPr>
        <w:t xml:space="preserve">2011.   </w:t>
      </w:r>
      <w:r>
        <w:rPr>
          <w:spacing w:val="32"/>
          <w:sz w:val="16"/>
        </w:rPr>
        <w:t>Disponív</w:t>
      </w:r>
      <w:r>
        <w:rPr>
          <w:spacing w:val="32"/>
          <w:sz w:val="16"/>
        </w:rPr>
        <w:t xml:space="preserve">el   </w:t>
      </w:r>
      <w:r>
        <w:rPr>
          <w:spacing w:val="23"/>
          <w:sz w:val="16"/>
        </w:rPr>
        <w:t>em:</w:t>
      </w:r>
      <w:r>
        <w:rPr>
          <w:spacing w:val="-7"/>
          <w:sz w:val="16"/>
        </w:rPr>
        <w:t xml:space="preserve"> </w:t>
      </w:r>
    </w:p>
    <w:p w:rsidR="00D81F69" w:rsidRDefault="00D81F69">
      <w:pPr>
        <w:spacing w:before="5"/>
        <w:ind w:left="100"/>
        <w:rPr>
          <w:sz w:val="16"/>
        </w:rPr>
      </w:pPr>
      <w:hyperlink r:id="rId1346">
        <w:r w:rsidR="00330118">
          <w:rPr>
            <w:sz w:val="16"/>
          </w:rPr>
          <w:t>&lt;http://www.cetem.gov.br/publicacao/livros/Vol_1_GRANDES_MINAS</w:t>
        </w:r>
      </w:hyperlink>
    </w:p>
    <w:p w:rsidR="00D81F69" w:rsidRDefault="00330118">
      <w:pPr>
        <w:spacing w:before="56"/>
        <w:ind w:left="100"/>
        <w:rPr>
          <w:sz w:val="16"/>
        </w:rPr>
      </w:pPr>
      <w:r>
        <w:rPr>
          <w:sz w:val="16"/>
        </w:rPr>
        <w:t>_TOTAL.pdf&gt;. Acesso em: 17 out. 2011.</w:t>
      </w:r>
    </w:p>
    <w:p w:rsidR="00D81F69" w:rsidRDefault="00330118">
      <w:pPr>
        <w:spacing w:before="56" w:line="312" w:lineRule="auto"/>
        <w:ind w:left="100" w:right="184"/>
        <w:jc w:val="both"/>
        <w:rPr>
          <w:sz w:val="16"/>
        </w:rPr>
      </w:pPr>
      <w:r>
        <w:rPr>
          <w:sz w:val="16"/>
        </w:rPr>
        <w:t xml:space="preserve">VOTORANTIM METAIS. Negócios VM. Níquel e zinco, 2007. Disponível em: </w:t>
      </w:r>
      <w:hyperlink r:id="rId1347">
        <w:r>
          <w:rPr>
            <w:sz w:val="16"/>
          </w:rPr>
          <w:t xml:space="preserve">&lt;http://www.vmetais.com.br/pt- </w:t>
        </w:r>
      </w:hyperlink>
      <w:r>
        <w:rPr>
          <w:sz w:val="16"/>
        </w:rPr>
        <w:t>br/negociosVM/introducao/Paginas/introducao.aspx&gt;. Acesso em: 11 jun. 2010.</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202" w:space="268"/>
            <w:col w:w="5310"/>
          </w:cols>
        </w:sectPr>
      </w:pPr>
    </w:p>
    <w:p w:rsidR="00D81F69" w:rsidRDefault="00330118">
      <w:pPr>
        <w:pStyle w:val="Heading1"/>
        <w:spacing w:line="208" w:lineRule="auto"/>
        <w:ind w:right="301"/>
      </w:pPr>
      <w:r>
        <w:lastRenderedPageBreak/>
        <w:t>Prod</w:t>
      </w:r>
      <w:r>
        <w:t>ução de zinco afeta ambiente em Juiz de Fora (MG) e não melhora condições sociais</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MG - Juiz de Fora</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-21,88583333</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-43,58194444</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9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A produção de zinco em Juiz de Fora </w:t>
      </w:r>
      <w:r>
        <w:rPr>
          <w:i/>
          <w:sz w:val="16"/>
        </w:rPr>
        <w:t>acontece desde 1980 e tem causado problemas socioambientais. A população local está em expectativa diante da ampliação dos investimentos na região e da inauguração da primeira unidade de polimetálicos do Brasil. Após mais de 20 anos de atividades produtiva</w:t>
      </w:r>
      <w:r>
        <w:rPr>
          <w:i/>
          <w:sz w:val="16"/>
        </w:rPr>
        <w:t>s, os moradores ainda não experimentaram melhorias em suas condições de vida.</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9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ind w:left="135"/>
        <w:jc w:val="left"/>
      </w:pPr>
      <w:r>
        <w:t>servir à empresa (BASTOS, 2005).</w:t>
      </w:r>
    </w:p>
    <w:p w:rsidR="00D81F69" w:rsidRDefault="00D81F69">
      <w:pPr>
        <w:pStyle w:val="Corpodetexto"/>
        <w:spacing w:before="8"/>
        <w:ind w:left="0"/>
        <w:jc w:val="left"/>
        <w:rPr>
          <w:sz w:val="16"/>
        </w:rPr>
      </w:pPr>
    </w:p>
    <w:p w:rsidR="00D81F69" w:rsidRDefault="00330118">
      <w:pPr>
        <w:pStyle w:val="Corpodetexto"/>
        <w:spacing w:before="1" w:line="312" w:lineRule="auto"/>
        <w:ind w:left="135" w:right="190"/>
      </w:pPr>
      <w:r>
        <w:t>Com o início das operações da CPM houve um aumento considerável na produção nacional de zinco metálico, que passou, na ocasião, de 30 mil to</w:t>
      </w:r>
      <w:r>
        <w:t xml:space="preserve">neladas/ ano para 135 mil t/ano. Ao longo dos anos, a empresa passou a produzir, também, subprodutos como sulfato de </w:t>
      </w:r>
      <w:hyperlink r:id="rId1348">
        <w:r>
          <w:t xml:space="preserve">manganês, </w:t>
        </w:r>
      </w:hyperlink>
      <w:r>
        <w:t xml:space="preserve">sulfato de cobalto, sulfato de </w:t>
      </w:r>
      <w:hyperlink r:id="rId1349">
        <w:r>
          <w:t xml:space="preserve">níquel, </w:t>
        </w:r>
      </w:hyperlink>
      <w:r>
        <w:t xml:space="preserve">óxido de cobre, hidrossulfito de sódio, bauxita refratária, </w:t>
      </w:r>
      <w:hyperlink r:id="rId1350">
        <w:r>
          <w:t xml:space="preserve">chumbo </w:t>
        </w:r>
      </w:hyperlink>
      <w:r>
        <w:t>e prat</w:t>
      </w:r>
      <w:r>
        <w:t>a refinados (BASTOS, 2004 apud MOREIRA, 2011).</w:t>
      </w:r>
    </w:p>
    <w:p w:rsidR="00D81F69" w:rsidRDefault="00330118">
      <w:pPr>
        <w:pStyle w:val="Corpodetexto"/>
        <w:spacing w:before="137" w:line="312" w:lineRule="auto"/>
        <w:ind w:left="135" w:right="191"/>
      </w:pPr>
      <w:r>
        <w:t>A fábrica está situada no norte do município, no bairro de Igrejinha, (FIEMG apud MOREIRA, 2011), que, em 2006,</w:t>
      </w:r>
    </w:p>
    <w:p w:rsidR="00D81F69" w:rsidRDefault="00D81F69">
      <w:pPr>
        <w:spacing w:line="312" w:lineRule="auto"/>
        <w:sectPr w:rsidR="00D81F69">
          <w:type w:val="continuous"/>
          <w:pgSz w:w="11900" w:h="16840"/>
          <w:pgMar w:top="720" w:right="500" w:bottom="280" w:left="620" w:header="720" w:footer="720" w:gutter="0"/>
          <w:cols w:num="3" w:space="720" w:equalWidth="0">
            <w:col w:w="1296" w:space="704"/>
            <w:col w:w="3118" w:space="317"/>
            <w:col w:w="5345"/>
          </w:cols>
        </w:sectPr>
      </w:pPr>
    </w:p>
    <w:p w:rsidR="00D81F69" w:rsidRDefault="00330118">
      <w:pPr>
        <w:pStyle w:val="Heading4"/>
        <w:spacing w:line="232" w:lineRule="exact"/>
        <w:jc w:val="left"/>
      </w:pPr>
      <w:r>
        <w:lastRenderedPageBreak/>
        <w:t>APRESENTAÇÃO DE CASO</w:t>
      </w:r>
    </w:p>
    <w:p w:rsidR="00D81F69" w:rsidRDefault="00330118">
      <w:pPr>
        <w:pStyle w:val="Corpodetexto"/>
        <w:spacing w:before="170" w:line="312" w:lineRule="auto"/>
        <w:ind w:right="77"/>
      </w:pPr>
      <w:r>
        <w:rPr>
          <w:spacing w:val="3"/>
        </w:rPr>
        <w:t xml:space="preserve">Dentre </w:t>
      </w:r>
      <w:r>
        <w:rPr>
          <w:spacing w:val="1"/>
        </w:rPr>
        <w:t xml:space="preserve">os </w:t>
      </w:r>
      <w:r>
        <w:rPr>
          <w:spacing w:val="3"/>
        </w:rPr>
        <w:t xml:space="preserve">metais </w:t>
      </w:r>
      <w:r>
        <w:rPr>
          <w:spacing w:val="2"/>
        </w:rPr>
        <w:t xml:space="preserve">não </w:t>
      </w:r>
      <w:r>
        <w:rPr>
          <w:spacing w:val="3"/>
        </w:rPr>
        <w:t xml:space="preserve">ferrosos, </w:t>
      </w:r>
      <w:r>
        <w:t xml:space="preserve">o </w:t>
      </w:r>
      <w:r>
        <w:rPr>
          <w:spacing w:val="3"/>
        </w:rPr>
        <w:t xml:space="preserve">zinco </w:t>
      </w:r>
      <w:r>
        <w:t xml:space="preserve">é o </w:t>
      </w:r>
      <w:r>
        <w:rPr>
          <w:spacing w:val="3"/>
        </w:rPr>
        <w:t>t</w:t>
      </w:r>
      <w:r>
        <w:rPr>
          <w:spacing w:val="3"/>
        </w:rPr>
        <w:t xml:space="preserve">erceiro </w:t>
      </w:r>
      <w:r>
        <w:rPr>
          <w:spacing w:val="5"/>
        </w:rPr>
        <w:t xml:space="preserve">mais </w:t>
      </w:r>
      <w:r>
        <w:rPr>
          <w:spacing w:val="7"/>
        </w:rPr>
        <w:t xml:space="preserve">consumido </w:t>
      </w:r>
      <w:r>
        <w:rPr>
          <w:spacing w:val="5"/>
        </w:rPr>
        <w:t xml:space="preserve">no </w:t>
      </w:r>
      <w:r>
        <w:rPr>
          <w:spacing w:val="7"/>
        </w:rPr>
        <w:t xml:space="preserve">mundo, depois </w:t>
      </w:r>
      <w:r>
        <w:rPr>
          <w:spacing w:val="5"/>
        </w:rPr>
        <w:t xml:space="preserve">do </w:t>
      </w:r>
      <w:hyperlink r:id="rId1351">
        <w:r>
          <w:rPr>
            <w:spacing w:val="7"/>
          </w:rPr>
          <w:t>alumínio</w:t>
        </w:r>
      </w:hyperlink>
      <w:r>
        <w:rPr>
          <w:spacing w:val="7"/>
        </w:rPr>
        <w:t xml:space="preserve"> </w:t>
      </w:r>
      <w:r>
        <w:t xml:space="preserve">e </w:t>
      </w:r>
      <w:r>
        <w:rPr>
          <w:spacing w:val="5"/>
        </w:rPr>
        <w:t xml:space="preserve">do </w:t>
      </w:r>
      <w:hyperlink r:id="rId1352">
        <w:r>
          <w:rPr>
            <w:spacing w:val="10"/>
          </w:rPr>
          <w:t>cobre</w:t>
        </w:r>
      </w:hyperlink>
      <w:r>
        <w:rPr>
          <w:spacing w:val="10"/>
        </w:rPr>
        <w:t xml:space="preserve"> </w:t>
      </w:r>
      <w:r>
        <w:rPr>
          <w:spacing w:val="7"/>
        </w:rPr>
        <w:t xml:space="preserve">(SANTOS, 2010). Trata-se </w:t>
      </w:r>
      <w:r>
        <w:rPr>
          <w:spacing w:val="5"/>
        </w:rPr>
        <w:t xml:space="preserve">de um </w:t>
      </w:r>
      <w:r>
        <w:rPr>
          <w:spacing w:val="7"/>
        </w:rPr>
        <w:t xml:space="preserve">metal </w:t>
      </w:r>
      <w:r>
        <w:rPr>
          <w:spacing w:val="5"/>
        </w:rPr>
        <w:t xml:space="preserve">que </w:t>
      </w:r>
      <w:r>
        <w:rPr>
          <w:spacing w:val="6"/>
        </w:rPr>
        <w:t xml:space="preserve">pode </w:t>
      </w:r>
      <w:r>
        <w:rPr>
          <w:spacing w:val="10"/>
        </w:rPr>
        <w:t xml:space="preserve">ser </w:t>
      </w:r>
      <w:r>
        <w:t xml:space="preserve">reciclado indefinidamente sem perda de suas </w:t>
      </w:r>
      <w:r>
        <w:rPr>
          <w:spacing w:val="1"/>
        </w:rPr>
        <w:t xml:space="preserve">propriedades </w:t>
      </w:r>
      <w:r>
        <w:rPr>
          <w:spacing w:val="5"/>
        </w:rPr>
        <w:t xml:space="preserve">físicas </w:t>
      </w:r>
      <w:r>
        <w:rPr>
          <w:spacing w:val="2"/>
        </w:rPr>
        <w:t xml:space="preserve">ou </w:t>
      </w:r>
      <w:r>
        <w:rPr>
          <w:spacing w:val="5"/>
        </w:rPr>
        <w:t xml:space="preserve">químicas. </w:t>
      </w:r>
      <w:r>
        <w:t xml:space="preserve">É </w:t>
      </w:r>
      <w:r>
        <w:rPr>
          <w:spacing w:val="3"/>
        </w:rPr>
        <w:t xml:space="preserve">muito </w:t>
      </w:r>
      <w:r>
        <w:rPr>
          <w:spacing w:val="5"/>
        </w:rPr>
        <w:t xml:space="preserve">empregado </w:t>
      </w:r>
      <w:r>
        <w:rPr>
          <w:spacing w:val="2"/>
        </w:rPr>
        <w:t xml:space="preserve">na </w:t>
      </w:r>
      <w:r>
        <w:rPr>
          <w:spacing w:val="5"/>
        </w:rPr>
        <w:t xml:space="preserve">indústria de </w:t>
      </w:r>
      <w:r>
        <w:rPr>
          <w:spacing w:val="1"/>
        </w:rPr>
        <w:t xml:space="preserve">galvanização para proteção contra corrosão. Além disso, </w:t>
      </w:r>
      <w:r>
        <w:t>é utilizado para produção de ligas, la</w:t>
      </w:r>
      <w:r>
        <w:t xml:space="preserve">tão e produtos químicos. </w:t>
      </w:r>
      <w:r>
        <w:rPr>
          <w:spacing w:val="1"/>
        </w:rPr>
        <w:t xml:space="preserve">No </w:t>
      </w:r>
      <w:r>
        <w:rPr>
          <w:spacing w:val="3"/>
        </w:rPr>
        <w:t xml:space="preserve">Brasil, </w:t>
      </w:r>
      <w:r>
        <w:t xml:space="preserve">a </w:t>
      </w:r>
      <w:r>
        <w:rPr>
          <w:spacing w:val="3"/>
        </w:rPr>
        <w:t xml:space="preserve">demanda </w:t>
      </w:r>
      <w:r>
        <w:rPr>
          <w:spacing w:val="2"/>
        </w:rPr>
        <w:t xml:space="preserve">pelo </w:t>
      </w:r>
      <w:r>
        <w:rPr>
          <w:spacing w:val="3"/>
        </w:rPr>
        <w:t xml:space="preserve">metal </w:t>
      </w:r>
      <w:r>
        <w:rPr>
          <w:spacing w:val="2"/>
        </w:rPr>
        <w:t xml:space="preserve">tem sido </w:t>
      </w:r>
      <w:r>
        <w:rPr>
          <w:spacing w:val="5"/>
        </w:rPr>
        <w:t xml:space="preserve">historicamente </w:t>
      </w:r>
      <w:r>
        <w:rPr>
          <w:spacing w:val="7"/>
        </w:rPr>
        <w:t xml:space="preserve">superior </w:t>
      </w:r>
      <w:r>
        <w:t xml:space="preserve">à </w:t>
      </w:r>
      <w:r>
        <w:rPr>
          <w:spacing w:val="6"/>
        </w:rPr>
        <w:t xml:space="preserve">taxa </w:t>
      </w:r>
      <w:r>
        <w:rPr>
          <w:spacing w:val="5"/>
        </w:rPr>
        <w:t xml:space="preserve">de </w:t>
      </w:r>
      <w:r>
        <w:rPr>
          <w:spacing w:val="8"/>
        </w:rPr>
        <w:t xml:space="preserve">crescimento </w:t>
      </w:r>
      <w:r>
        <w:rPr>
          <w:spacing w:val="5"/>
        </w:rPr>
        <w:t xml:space="preserve">da </w:t>
      </w:r>
      <w:r>
        <w:rPr>
          <w:spacing w:val="7"/>
        </w:rPr>
        <w:t xml:space="preserve">economia </w:t>
      </w:r>
      <w:r>
        <w:rPr>
          <w:spacing w:val="10"/>
        </w:rPr>
        <w:t xml:space="preserve">nacional </w:t>
      </w:r>
      <w:r>
        <w:rPr>
          <w:spacing w:val="7"/>
        </w:rPr>
        <w:t>(MOREIRA,</w:t>
      </w:r>
      <w:r>
        <w:rPr>
          <w:spacing w:val="47"/>
        </w:rPr>
        <w:t xml:space="preserve"> </w:t>
      </w:r>
      <w:r>
        <w:rPr>
          <w:spacing w:val="10"/>
        </w:rPr>
        <w:t>2011).</w:t>
      </w:r>
    </w:p>
    <w:p w:rsidR="00D81F69" w:rsidRDefault="00330118">
      <w:pPr>
        <w:pStyle w:val="Corpodetexto"/>
        <w:spacing w:before="139" w:line="312" w:lineRule="auto"/>
        <w:ind w:right="75"/>
      </w:pPr>
      <w:r>
        <w:t xml:space="preserve">O </w:t>
      </w:r>
      <w:hyperlink r:id="rId1353">
        <w:r>
          <w:t xml:space="preserve">zinco </w:t>
        </w:r>
      </w:hyperlink>
      <w:r>
        <w:t>é obtid</w:t>
      </w:r>
      <w:r>
        <w:t>o a partir de concentrados minerais, sulfetados ou silicatados, por meio de processos hidrometalúrgicos com recuperação final do metal por eletrólise, num processo que demanda a utilização de muita energia elétrica (SANTOS, 2010). A Votorantim Metais Zinco</w:t>
      </w:r>
      <w:r>
        <w:t xml:space="preserve"> S.A. é uma das cinco maiores produtoras mundiais do metal (VOTORANTIM METAIS, 2012) e produz concentrado de zinco nas minas de Vazante e Morro Agudo, em Minas Gerais, e zinco refinado nas usinas de Três Marias e Juiz de Fora, no mesmo estado (SANTOS, 2010</w:t>
      </w:r>
      <w:r>
        <w:t>).</w:t>
      </w:r>
    </w:p>
    <w:p w:rsidR="00D81F69" w:rsidRDefault="00330118">
      <w:pPr>
        <w:pStyle w:val="Corpodetexto"/>
        <w:spacing w:before="139" w:line="312" w:lineRule="auto"/>
        <w:ind w:right="38"/>
        <w:jc w:val="left"/>
      </w:pPr>
      <w:r>
        <w:t xml:space="preserve">A produção de zinco em Juiz de Fora - 1.436 km² e 516.247 habitantes (IBGE, 2010) - teve início em 1980, com a fundação da Companhia Paraibuna de Metais (CPM). Em 2005, a empresa foi vendida ao grupo Votorantim, passando a se denominar Votorantim Metais e </w:t>
      </w:r>
      <w:r>
        <w:t>Zinco S. A. - única produtora de  zinco  primário do  Brasil (MOREIRA,  2011).</w:t>
      </w:r>
    </w:p>
    <w:p w:rsidR="00D81F69" w:rsidRDefault="00330118">
      <w:pPr>
        <w:pStyle w:val="Corpodetexto"/>
        <w:spacing w:before="73" w:line="270" w:lineRule="atLeast"/>
        <w:ind w:right="74"/>
      </w:pPr>
      <w:r>
        <w:t>A implantação da CPM em Juiz de Fora se deveu a uma série de políticas de intervenção do Estado na economia, após os anos 1970. A cidade, que foi o maior centro urbano-industria</w:t>
      </w:r>
      <w:r>
        <w:t xml:space="preserve">l do </w:t>
      </w:r>
      <w:r>
        <w:rPr>
          <w:spacing w:val="1"/>
        </w:rPr>
        <w:t xml:space="preserve">estado mineiro </w:t>
      </w:r>
      <w:r>
        <w:t xml:space="preserve">até os </w:t>
      </w:r>
      <w:r>
        <w:rPr>
          <w:spacing w:val="1"/>
        </w:rPr>
        <w:t xml:space="preserve">anos 1930, vivia </w:t>
      </w:r>
      <w:r>
        <w:t xml:space="preserve">um </w:t>
      </w:r>
      <w:r>
        <w:rPr>
          <w:spacing w:val="1"/>
        </w:rPr>
        <w:t xml:space="preserve">processo </w:t>
      </w:r>
      <w:r>
        <w:rPr>
          <w:spacing w:val="2"/>
        </w:rPr>
        <w:t xml:space="preserve">de </w:t>
      </w:r>
      <w:r>
        <w:t xml:space="preserve">declínio industrial e desaceleração econômica. Para atrair a CPM, o governo federal concedeu isenção total de impostos </w:t>
      </w:r>
      <w:r>
        <w:rPr>
          <w:spacing w:val="1"/>
        </w:rPr>
        <w:t xml:space="preserve">de </w:t>
      </w:r>
      <w:r>
        <w:rPr>
          <w:spacing w:val="3"/>
        </w:rPr>
        <w:t xml:space="preserve">importação </w:t>
      </w:r>
      <w:r>
        <w:rPr>
          <w:spacing w:val="1"/>
        </w:rPr>
        <w:t xml:space="preserve">de </w:t>
      </w:r>
      <w:r>
        <w:rPr>
          <w:spacing w:val="3"/>
        </w:rPr>
        <w:t xml:space="preserve">máquinas </w:t>
      </w:r>
      <w:r>
        <w:t xml:space="preserve">e </w:t>
      </w:r>
      <w:r>
        <w:rPr>
          <w:spacing w:val="3"/>
        </w:rPr>
        <w:t xml:space="preserve">equipamentos </w:t>
      </w:r>
      <w:r>
        <w:t xml:space="preserve">e </w:t>
      </w:r>
      <w:r>
        <w:rPr>
          <w:spacing w:val="3"/>
        </w:rPr>
        <w:t xml:space="preserve">recursos </w:t>
      </w:r>
      <w:r>
        <w:t xml:space="preserve">a </w:t>
      </w:r>
      <w:r>
        <w:rPr>
          <w:spacing w:val="1"/>
        </w:rPr>
        <w:t xml:space="preserve">juros baixos. </w:t>
      </w:r>
      <w:r>
        <w:t xml:space="preserve">A </w:t>
      </w:r>
      <w:r>
        <w:rPr>
          <w:spacing w:val="1"/>
        </w:rPr>
        <w:t>prefeitu</w:t>
      </w:r>
      <w:r>
        <w:rPr>
          <w:spacing w:val="1"/>
        </w:rPr>
        <w:t xml:space="preserve">ra isentou </w:t>
      </w:r>
      <w:r>
        <w:t xml:space="preserve">a </w:t>
      </w:r>
      <w:r>
        <w:rPr>
          <w:spacing w:val="1"/>
        </w:rPr>
        <w:t xml:space="preserve">empresa </w:t>
      </w:r>
      <w:r>
        <w:t xml:space="preserve">dos </w:t>
      </w:r>
      <w:r>
        <w:rPr>
          <w:spacing w:val="2"/>
        </w:rPr>
        <w:t xml:space="preserve">impostos </w:t>
      </w:r>
      <w:r>
        <w:rPr>
          <w:spacing w:val="3"/>
        </w:rPr>
        <w:t xml:space="preserve">municipais </w:t>
      </w:r>
      <w:r>
        <w:rPr>
          <w:spacing w:val="2"/>
        </w:rPr>
        <w:t xml:space="preserve">por dez </w:t>
      </w:r>
      <w:r>
        <w:rPr>
          <w:spacing w:val="3"/>
        </w:rPr>
        <w:t xml:space="preserve">anos, </w:t>
      </w:r>
      <w:r>
        <w:t xml:space="preserve">e o </w:t>
      </w:r>
      <w:r>
        <w:rPr>
          <w:spacing w:val="3"/>
        </w:rPr>
        <w:t xml:space="preserve">estado viabilizou </w:t>
      </w:r>
      <w:r>
        <w:t xml:space="preserve">a </w:t>
      </w:r>
      <w:r>
        <w:rPr>
          <w:spacing w:val="5"/>
        </w:rPr>
        <w:t xml:space="preserve">energia, </w:t>
      </w:r>
      <w:r>
        <w:rPr>
          <w:spacing w:val="1"/>
        </w:rPr>
        <w:t>fornecida</w:t>
      </w:r>
      <w:r>
        <w:rPr>
          <w:spacing w:val="25"/>
        </w:rPr>
        <w:t xml:space="preserve"> </w:t>
      </w:r>
      <w:r>
        <w:rPr>
          <w:spacing w:val="1"/>
        </w:rPr>
        <w:t>pela</w:t>
      </w:r>
      <w:r>
        <w:rPr>
          <w:spacing w:val="25"/>
        </w:rPr>
        <w:t xml:space="preserve"> </w:t>
      </w:r>
      <w:r>
        <w:rPr>
          <w:spacing w:val="1"/>
        </w:rPr>
        <w:t>Cemig,</w:t>
      </w:r>
      <w:r>
        <w:rPr>
          <w:spacing w:val="25"/>
        </w:rPr>
        <w:t xml:space="preserve"> </w:t>
      </w:r>
      <w:r>
        <w:t>e</w:t>
      </w:r>
      <w:r>
        <w:rPr>
          <w:spacing w:val="25"/>
        </w:rPr>
        <w:t xml:space="preserve"> </w:t>
      </w:r>
      <w:r>
        <w:rPr>
          <w:spacing w:val="1"/>
        </w:rPr>
        <w:t>reativou</w:t>
      </w:r>
      <w:r>
        <w:rPr>
          <w:spacing w:val="25"/>
        </w:rPr>
        <w:t xml:space="preserve"> </w:t>
      </w:r>
      <w:r>
        <w:t>um</w:t>
      </w:r>
      <w:r>
        <w:rPr>
          <w:spacing w:val="25"/>
        </w:rPr>
        <w:t xml:space="preserve"> </w:t>
      </w:r>
      <w:r>
        <w:rPr>
          <w:spacing w:val="1"/>
        </w:rPr>
        <w:t>ramal</w:t>
      </w:r>
      <w:r>
        <w:rPr>
          <w:spacing w:val="25"/>
        </w:rPr>
        <w:t xml:space="preserve"> </w:t>
      </w:r>
      <w:r>
        <w:rPr>
          <w:spacing w:val="1"/>
        </w:rPr>
        <w:t>ferroviário</w:t>
      </w:r>
      <w:r>
        <w:rPr>
          <w:spacing w:val="25"/>
        </w:rPr>
        <w:t xml:space="preserve"> </w:t>
      </w:r>
      <w:r>
        <w:rPr>
          <w:spacing w:val="2"/>
        </w:rPr>
        <w:t>para</w:t>
      </w:r>
    </w:p>
    <w:p w:rsidR="00D81F69" w:rsidRDefault="00330118">
      <w:pPr>
        <w:pStyle w:val="Corpodetexto"/>
        <w:spacing w:before="2" w:line="312" w:lineRule="auto"/>
        <w:ind w:right="195"/>
      </w:pPr>
      <w:r>
        <w:br w:type="column"/>
      </w:r>
      <w:r>
        <w:lastRenderedPageBreak/>
        <w:t>contava com 7 mil habitantes, 95% dos quais de baixa renda (ATLAS SOCIAL DE JUIZ DE FORA, 2006 apud MOREIRA, 2011).</w:t>
      </w:r>
    </w:p>
    <w:p w:rsidR="00D81F69" w:rsidRDefault="00330118">
      <w:pPr>
        <w:pStyle w:val="Corpodetexto"/>
        <w:spacing w:before="133" w:line="312" w:lineRule="auto"/>
        <w:ind w:right="188"/>
      </w:pPr>
      <w:r>
        <w:t>Os impactos socioambientais decorrentes da atuação da empresa têm sido sentidos pela população. Um relatório sobre a qualidade das águas sup</w:t>
      </w:r>
      <w:r>
        <w:t xml:space="preserve">erficiais no estado de Minas Gerais, de 2005, revelou que, no período de 1997 a 2005, houve contaminação por cádmio no rio Paraibuna e foram registradas altas concentrações de metais como cobre, </w:t>
      </w:r>
      <w:hyperlink r:id="rId1354">
        <w:r>
          <w:t>arsênio,</w:t>
        </w:r>
      </w:hyperlink>
      <w:r>
        <w:t xml:space="preserve"> chumbo, zinco, mercúrio, cromo, em trechos localizados a jusante das cidades de Juiz de Fora, em função de atividades industriais dos ramos têxtil, metalúrgico e siderúrgico. A população se queixa ainda da poluição do </w:t>
      </w:r>
      <w:r>
        <w:t xml:space="preserve">ar e do aumento da incidência de doenças, especialmente as respiratórias e as decorrentes da exposição ao chumbo, </w:t>
      </w:r>
      <w:hyperlink r:id="rId1355">
        <w:r>
          <w:t>cádmio</w:t>
        </w:r>
      </w:hyperlink>
      <w:r>
        <w:t xml:space="preserve"> e zinco (MOREIRA, 2011).</w:t>
      </w:r>
    </w:p>
    <w:p w:rsidR="00D81F69" w:rsidRDefault="00330118">
      <w:pPr>
        <w:pStyle w:val="Corpodetexto"/>
        <w:spacing w:before="142" w:line="312" w:lineRule="auto"/>
        <w:ind w:right="193"/>
      </w:pPr>
      <w:r>
        <w:rPr>
          <w:spacing w:val="1"/>
        </w:rPr>
        <w:t xml:space="preserve">Os </w:t>
      </w:r>
      <w:r>
        <w:rPr>
          <w:spacing w:val="3"/>
        </w:rPr>
        <w:t xml:space="preserve">trabalhadores </w:t>
      </w:r>
      <w:r>
        <w:rPr>
          <w:spacing w:val="1"/>
        </w:rPr>
        <w:t xml:space="preserve">da </w:t>
      </w:r>
      <w:r>
        <w:rPr>
          <w:spacing w:val="3"/>
        </w:rPr>
        <w:t xml:space="preserve">fábrica também enfrentam </w:t>
      </w:r>
      <w:r>
        <w:rPr>
          <w:spacing w:val="5"/>
        </w:rPr>
        <w:t xml:space="preserve">situações </w:t>
      </w:r>
      <w:r>
        <w:t xml:space="preserve">adversas, como ruído ensurdecedor, poeira em suspensão, </w:t>
      </w:r>
      <w:r>
        <w:rPr>
          <w:spacing w:val="3"/>
        </w:rPr>
        <w:t xml:space="preserve">além </w:t>
      </w:r>
      <w:r>
        <w:rPr>
          <w:spacing w:val="2"/>
        </w:rPr>
        <w:t xml:space="preserve">de </w:t>
      </w:r>
      <w:r>
        <w:rPr>
          <w:spacing w:val="5"/>
        </w:rPr>
        <w:t xml:space="preserve">estarem expostos </w:t>
      </w:r>
      <w:r>
        <w:t xml:space="preserve">a </w:t>
      </w:r>
      <w:r>
        <w:rPr>
          <w:spacing w:val="5"/>
        </w:rPr>
        <w:t>diversos produtos químicos</w:t>
      </w:r>
      <w:r>
        <w:rPr>
          <w:spacing w:val="61"/>
        </w:rPr>
        <w:t xml:space="preserve"> </w:t>
      </w:r>
      <w:r>
        <w:rPr>
          <w:spacing w:val="6"/>
        </w:rPr>
        <w:t xml:space="preserve">(MOREIRA, </w:t>
      </w:r>
      <w:r>
        <w:rPr>
          <w:spacing w:val="5"/>
        </w:rPr>
        <w:t xml:space="preserve">2011). Outro </w:t>
      </w:r>
      <w:r>
        <w:rPr>
          <w:spacing w:val="6"/>
        </w:rPr>
        <w:t xml:space="preserve">problema </w:t>
      </w:r>
      <w:r>
        <w:t xml:space="preserve">é a </w:t>
      </w:r>
      <w:r>
        <w:rPr>
          <w:spacing w:val="6"/>
        </w:rPr>
        <w:t xml:space="preserve">contratação </w:t>
      </w:r>
      <w:r>
        <w:rPr>
          <w:spacing w:val="7"/>
        </w:rPr>
        <w:t xml:space="preserve">de </w:t>
      </w:r>
      <w:r>
        <w:rPr>
          <w:spacing w:val="3"/>
        </w:rPr>
        <w:t xml:space="preserve">terceirizados. </w:t>
      </w:r>
      <w:r>
        <w:rPr>
          <w:spacing w:val="1"/>
        </w:rPr>
        <w:t xml:space="preserve">Em </w:t>
      </w:r>
      <w:r>
        <w:rPr>
          <w:spacing w:val="3"/>
        </w:rPr>
        <w:t xml:space="preserve">2012, </w:t>
      </w:r>
      <w:r>
        <w:t xml:space="preserve">a </w:t>
      </w:r>
      <w:r>
        <w:rPr>
          <w:spacing w:val="3"/>
        </w:rPr>
        <w:t xml:space="preserve">empresa </w:t>
      </w:r>
      <w:r>
        <w:rPr>
          <w:spacing w:val="2"/>
        </w:rPr>
        <w:t xml:space="preserve">foi </w:t>
      </w:r>
      <w:r>
        <w:rPr>
          <w:spacing w:val="3"/>
        </w:rPr>
        <w:t xml:space="preserve">condenada </w:t>
      </w:r>
      <w:r>
        <w:rPr>
          <w:spacing w:val="2"/>
        </w:rPr>
        <w:t xml:space="preserve">pela </w:t>
      </w:r>
      <w:r>
        <w:rPr>
          <w:spacing w:val="5"/>
        </w:rPr>
        <w:t>5ª Vara</w:t>
      </w:r>
      <w:r>
        <w:rPr>
          <w:spacing w:val="5"/>
        </w:rPr>
        <w:t xml:space="preserve"> </w:t>
      </w:r>
      <w:r>
        <w:rPr>
          <w:spacing w:val="3"/>
        </w:rPr>
        <w:t xml:space="preserve">do </w:t>
      </w:r>
      <w:r>
        <w:rPr>
          <w:spacing w:val="6"/>
        </w:rPr>
        <w:t xml:space="preserve">Trabalho </w:t>
      </w:r>
      <w:r>
        <w:rPr>
          <w:spacing w:val="3"/>
        </w:rPr>
        <w:t xml:space="preserve">de </w:t>
      </w:r>
      <w:r>
        <w:rPr>
          <w:spacing w:val="5"/>
        </w:rPr>
        <w:t xml:space="preserve">Belo </w:t>
      </w:r>
      <w:r>
        <w:rPr>
          <w:spacing w:val="6"/>
        </w:rPr>
        <w:t xml:space="preserve">Horizonte </w:t>
      </w:r>
      <w:r>
        <w:rPr>
          <w:spacing w:val="3"/>
        </w:rPr>
        <w:t xml:space="preserve">ao </w:t>
      </w:r>
      <w:r>
        <w:rPr>
          <w:spacing w:val="6"/>
        </w:rPr>
        <w:t xml:space="preserve">pagamento </w:t>
      </w:r>
      <w:r>
        <w:rPr>
          <w:spacing w:val="7"/>
        </w:rPr>
        <w:t xml:space="preserve">de </w:t>
      </w:r>
      <w:r>
        <w:rPr>
          <w:spacing w:val="5"/>
        </w:rPr>
        <w:t xml:space="preserve">indenização </w:t>
      </w:r>
      <w:r>
        <w:rPr>
          <w:spacing w:val="2"/>
        </w:rPr>
        <w:t xml:space="preserve">no </w:t>
      </w:r>
      <w:r>
        <w:rPr>
          <w:spacing w:val="3"/>
        </w:rPr>
        <w:t xml:space="preserve">valor </w:t>
      </w:r>
      <w:r>
        <w:rPr>
          <w:spacing w:val="2"/>
        </w:rPr>
        <w:t xml:space="preserve">de R$ </w:t>
      </w:r>
      <w:r>
        <w:t xml:space="preserve">2 </w:t>
      </w:r>
      <w:r>
        <w:rPr>
          <w:spacing w:val="5"/>
        </w:rPr>
        <w:t xml:space="preserve">milhões </w:t>
      </w:r>
      <w:r>
        <w:rPr>
          <w:spacing w:val="3"/>
        </w:rPr>
        <w:t xml:space="preserve">por danos </w:t>
      </w:r>
      <w:r>
        <w:rPr>
          <w:spacing w:val="5"/>
        </w:rPr>
        <w:t xml:space="preserve">morais coletivos </w:t>
      </w:r>
      <w:r>
        <w:rPr>
          <w:spacing w:val="2"/>
        </w:rPr>
        <w:t xml:space="preserve">em </w:t>
      </w:r>
      <w:r>
        <w:rPr>
          <w:spacing w:val="5"/>
        </w:rPr>
        <w:t xml:space="preserve">ação civil pública </w:t>
      </w:r>
      <w:r>
        <w:rPr>
          <w:spacing w:val="2"/>
        </w:rPr>
        <w:t xml:space="preserve">do </w:t>
      </w:r>
      <w:r>
        <w:rPr>
          <w:spacing w:val="5"/>
        </w:rPr>
        <w:t xml:space="preserve">Ministério Público </w:t>
      </w:r>
      <w:r>
        <w:rPr>
          <w:spacing w:val="6"/>
        </w:rPr>
        <w:t xml:space="preserve">do </w:t>
      </w:r>
      <w:r>
        <w:t>Trabalho (MPT). A razão da condenação foi a terceirização de atividades essenciais e finalísticas,</w:t>
      </w:r>
      <w:r>
        <w:t xml:space="preserve"> que integram o processo </w:t>
      </w:r>
      <w:r>
        <w:rPr>
          <w:spacing w:val="2"/>
        </w:rPr>
        <w:t xml:space="preserve">de </w:t>
      </w:r>
      <w:r>
        <w:rPr>
          <w:spacing w:val="5"/>
        </w:rPr>
        <w:t xml:space="preserve">produção </w:t>
      </w:r>
      <w:r>
        <w:rPr>
          <w:spacing w:val="2"/>
        </w:rPr>
        <w:t xml:space="preserve">do </w:t>
      </w:r>
      <w:r>
        <w:rPr>
          <w:spacing w:val="5"/>
        </w:rPr>
        <w:t xml:space="preserve">zinco </w:t>
      </w:r>
      <w:r>
        <w:t xml:space="preserve">e a </w:t>
      </w:r>
      <w:r>
        <w:rPr>
          <w:spacing w:val="5"/>
        </w:rPr>
        <w:t xml:space="preserve">contratação </w:t>
      </w:r>
      <w:r>
        <w:rPr>
          <w:spacing w:val="2"/>
        </w:rPr>
        <w:t xml:space="preserve">de </w:t>
      </w:r>
      <w:r>
        <w:rPr>
          <w:spacing w:val="6"/>
        </w:rPr>
        <w:t xml:space="preserve">trabalhadores </w:t>
      </w:r>
      <w:r>
        <w:t xml:space="preserve">temporários. Em caso de descumprimento das obrigações, a </w:t>
      </w:r>
      <w:r>
        <w:rPr>
          <w:spacing w:val="3"/>
        </w:rPr>
        <w:t xml:space="preserve">empresa </w:t>
      </w:r>
      <w:r>
        <w:rPr>
          <w:spacing w:val="2"/>
        </w:rPr>
        <w:t xml:space="preserve">está </w:t>
      </w:r>
      <w:r>
        <w:rPr>
          <w:spacing w:val="3"/>
        </w:rPr>
        <w:t xml:space="preserve">sujeita </w:t>
      </w:r>
      <w:r>
        <w:t xml:space="preserve">à </w:t>
      </w:r>
      <w:r>
        <w:rPr>
          <w:spacing w:val="3"/>
        </w:rPr>
        <w:t xml:space="preserve">multa </w:t>
      </w:r>
      <w:r>
        <w:rPr>
          <w:spacing w:val="1"/>
        </w:rPr>
        <w:t xml:space="preserve">de R$ </w:t>
      </w:r>
      <w:r>
        <w:t xml:space="preserve">5 </w:t>
      </w:r>
      <w:r>
        <w:rPr>
          <w:spacing w:val="2"/>
        </w:rPr>
        <w:t xml:space="preserve">mil por </w:t>
      </w:r>
      <w:r>
        <w:rPr>
          <w:spacing w:val="5"/>
        </w:rPr>
        <w:t xml:space="preserve">empregado </w:t>
      </w:r>
      <w:r>
        <w:rPr>
          <w:spacing w:val="3"/>
        </w:rPr>
        <w:t xml:space="preserve">encontrado </w:t>
      </w:r>
      <w:r>
        <w:rPr>
          <w:spacing w:val="1"/>
        </w:rPr>
        <w:t xml:space="preserve">em </w:t>
      </w:r>
      <w:r>
        <w:rPr>
          <w:spacing w:val="3"/>
        </w:rPr>
        <w:t>situação irregular (MPT,</w:t>
      </w:r>
      <w:r>
        <w:rPr>
          <w:spacing w:val="2"/>
        </w:rPr>
        <w:t xml:space="preserve"> </w:t>
      </w:r>
      <w:r>
        <w:rPr>
          <w:spacing w:val="5"/>
        </w:rPr>
        <w:t>2012).</w:t>
      </w:r>
    </w:p>
    <w:p w:rsidR="00D81F69" w:rsidRDefault="00330118">
      <w:pPr>
        <w:pStyle w:val="Corpodetexto"/>
        <w:spacing w:before="143" w:line="312" w:lineRule="auto"/>
        <w:ind w:right="204"/>
      </w:pPr>
      <w:r>
        <w:t>Atualmente, a população local está em expectativa em relação à expansão das atividades da empresa. Em dezembro de 2006, a Votorantim assinou um protocolo de intenções com governo do estado de Minas Gerais que previa investimentos na unidade de Juiz de Fora</w:t>
      </w:r>
      <w:r>
        <w:t xml:space="preserve"> para expansão da produção de zinco. Este protocolo teve um primeiro aditivo em 2007, e um segundo, em 2008, quando foram incluídos novos</w:t>
      </w:r>
    </w:p>
    <w:p w:rsidR="00D81F69" w:rsidRDefault="00D81F69">
      <w:pPr>
        <w:spacing w:line="312" w:lineRule="auto"/>
        <w:sectPr w:rsidR="00D81F69">
          <w:type w:val="continuous"/>
          <w:pgSz w:w="11900" w:h="16840"/>
          <w:pgMar w:top="720" w:right="500" w:bottom="280" w:left="620" w:header="720" w:footer="720" w:gutter="0"/>
          <w:cols w:num="2" w:space="720" w:equalWidth="0">
            <w:col w:w="5194" w:space="276"/>
            <w:col w:w="5310"/>
          </w:cols>
        </w:sectPr>
      </w:pPr>
    </w:p>
    <w:p w:rsidR="00D81F69" w:rsidRDefault="00330118">
      <w:pPr>
        <w:pStyle w:val="Corpodetexto"/>
        <w:spacing w:before="81" w:line="312" w:lineRule="auto"/>
        <w:ind w:right="46"/>
      </w:pPr>
      <w:r>
        <w:lastRenderedPageBreak/>
        <w:t>investimentos com a previsão de uma planta para produção de</w:t>
      </w:r>
      <w:r>
        <w:rPr>
          <w:spacing w:val="28"/>
        </w:rPr>
        <w:t xml:space="preserve"> </w:t>
      </w:r>
      <w:r>
        <w:t>chumbo</w:t>
      </w:r>
      <w:r>
        <w:rPr>
          <w:spacing w:val="28"/>
        </w:rPr>
        <w:t xml:space="preserve"> </w:t>
      </w:r>
      <w:r>
        <w:t>(PORTUGAL</w:t>
      </w:r>
      <w:r>
        <w:rPr>
          <w:spacing w:val="28"/>
        </w:rPr>
        <w:t xml:space="preserve"> </w:t>
      </w:r>
      <w:r>
        <w:t>DIGITAL,</w:t>
      </w:r>
      <w:r>
        <w:rPr>
          <w:spacing w:val="28"/>
        </w:rPr>
        <w:t xml:space="preserve"> </w:t>
      </w:r>
      <w:r>
        <w:t>2011;</w:t>
      </w:r>
      <w:r>
        <w:rPr>
          <w:spacing w:val="28"/>
        </w:rPr>
        <w:t xml:space="preserve"> </w:t>
      </w:r>
      <w:r>
        <w:t>REZENDE,</w:t>
      </w:r>
      <w:r>
        <w:rPr>
          <w:spacing w:val="28"/>
        </w:rPr>
        <w:t xml:space="preserve"> </w:t>
      </w:r>
      <w:r>
        <w:rPr>
          <w:spacing w:val="1"/>
        </w:rPr>
        <w:t>2011).</w:t>
      </w:r>
    </w:p>
    <w:p w:rsidR="00D81F69" w:rsidRDefault="00330118">
      <w:pPr>
        <w:pStyle w:val="Corpodetexto"/>
        <w:spacing w:before="2" w:line="312" w:lineRule="auto"/>
        <w:ind w:right="52"/>
      </w:pPr>
      <w:r>
        <w:t>No entanto, após a assinatura do termo, a empresa suspendeu a construção da fábrica devido à crise financeira mundial de 2008/2009. Em 2011, um terceiro aditivo foi assinado, e os empreendimentos foram retomados (FRANCIA, 2012), com previs</w:t>
      </w:r>
      <w:r>
        <w:t>ão de investimentos de R$ 904 milhões (LAGUNA, 2011; BRASIL MINERAL, 2011).</w:t>
      </w:r>
    </w:p>
    <w:p w:rsidR="00D81F69" w:rsidRDefault="00330118">
      <w:pPr>
        <w:pStyle w:val="Corpodetexto"/>
        <w:spacing w:before="135" w:line="312" w:lineRule="auto"/>
        <w:ind w:right="40"/>
      </w:pPr>
      <w:r>
        <w:t>Em 2012, a empresa inaugurou, em Juiz de Fora, a primeira unidade de polimetálicos do Brasil, que demandou investimentos de R$ 521 milhões (PORTUGAL DIGITAL, 2011). A tecnologia em</w:t>
      </w:r>
      <w:r>
        <w:t>pregada no Polimetálicos permitirá consumir resíduos que antes ficavam dispostos em depósitos, reduzindo em 85% a geração de resíduos da fábrica de zinco, já que a nova tecnologia, denominada processo Waelz, acabará com a jarosita, o principal resíduo gera</w:t>
      </w:r>
      <w:r>
        <w:t>do pela planta (VOTORANTIM METAIS, 2011).</w:t>
      </w:r>
    </w:p>
    <w:p w:rsidR="00D81F69" w:rsidRDefault="00330118">
      <w:pPr>
        <w:pStyle w:val="Corpodetexto"/>
        <w:spacing w:before="139" w:line="312" w:lineRule="auto"/>
        <w:ind w:right="48"/>
      </w:pPr>
      <w:r>
        <w:t xml:space="preserve">Além disso, vai recuperar minérios de baixo teor e resíduos gerados na produção de aço. Um desses resíduos, o pó de </w:t>
      </w:r>
      <w:r>
        <w:rPr>
          <w:spacing w:val="3"/>
        </w:rPr>
        <w:t xml:space="preserve">aciaria elétrico, </w:t>
      </w:r>
      <w:r>
        <w:t xml:space="preserve">é </w:t>
      </w:r>
      <w:r>
        <w:rPr>
          <w:spacing w:val="3"/>
        </w:rPr>
        <w:t xml:space="preserve">considerado Classe </w:t>
      </w:r>
      <w:r>
        <w:t xml:space="preserve">1 </w:t>
      </w:r>
      <w:r>
        <w:rPr>
          <w:spacing w:val="3"/>
        </w:rPr>
        <w:t xml:space="preserve">(perigoso), </w:t>
      </w:r>
      <w:r>
        <w:t xml:space="preserve">o </w:t>
      </w:r>
      <w:r>
        <w:rPr>
          <w:spacing w:val="5"/>
        </w:rPr>
        <w:t xml:space="preserve">que significa </w:t>
      </w:r>
      <w:r>
        <w:rPr>
          <w:spacing w:val="3"/>
        </w:rPr>
        <w:t xml:space="preserve">que </w:t>
      </w:r>
      <w:r>
        <w:rPr>
          <w:spacing w:val="5"/>
        </w:rPr>
        <w:t xml:space="preserve">precisa </w:t>
      </w:r>
      <w:r>
        <w:rPr>
          <w:spacing w:val="3"/>
        </w:rPr>
        <w:t xml:space="preserve">ser </w:t>
      </w:r>
      <w:r>
        <w:rPr>
          <w:spacing w:val="5"/>
        </w:rPr>
        <w:t>acondicionado</w:t>
      </w:r>
      <w:r>
        <w:rPr>
          <w:spacing w:val="5"/>
        </w:rPr>
        <w:t xml:space="preserve"> </w:t>
      </w:r>
      <w:r>
        <w:rPr>
          <w:spacing w:val="2"/>
        </w:rPr>
        <w:t xml:space="preserve">em </w:t>
      </w:r>
      <w:r>
        <w:rPr>
          <w:spacing w:val="5"/>
        </w:rPr>
        <w:t xml:space="preserve">depósitos. </w:t>
      </w:r>
      <w:r>
        <w:t xml:space="preserve">A </w:t>
      </w:r>
      <w:r>
        <w:rPr>
          <w:spacing w:val="3"/>
        </w:rPr>
        <w:t xml:space="preserve">tecnologia empregada </w:t>
      </w:r>
      <w:r>
        <w:rPr>
          <w:spacing w:val="1"/>
        </w:rPr>
        <w:t xml:space="preserve">no </w:t>
      </w:r>
      <w:r>
        <w:rPr>
          <w:spacing w:val="3"/>
        </w:rPr>
        <w:t xml:space="preserve">Polimetálicos processa </w:t>
      </w:r>
      <w:r>
        <w:t xml:space="preserve">o </w:t>
      </w:r>
      <w:r>
        <w:rPr>
          <w:spacing w:val="1"/>
        </w:rPr>
        <w:t xml:space="preserve">pó </w:t>
      </w:r>
      <w:r>
        <w:rPr>
          <w:spacing w:val="5"/>
        </w:rPr>
        <w:t xml:space="preserve">de </w:t>
      </w:r>
      <w:r>
        <w:t xml:space="preserve">aciaria e retira dele zinco e sais mistos, que serão utilizados </w:t>
      </w:r>
      <w:r>
        <w:rPr>
          <w:spacing w:val="1"/>
        </w:rPr>
        <w:t xml:space="preserve">na </w:t>
      </w:r>
      <w:r>
        <w:rPr>
          <w:spacing w:val="3"/>
        </w:rPr>
        <w:t xml:space="preserve">indústria </w:t>
      </w:r>
      <w:r>
        <w:rPr>
          <w:spacing w:val="1"/>
        </w:rPr>
        <w:t xml:space="preserve">de </w:t>
      </w:r>
      <w:r>
        <w:rPr>
          <w:spacing w:val="3"/>
        </w:rPr>
        <w:t xml:space="preserve">reciclagem </w:t>
      </w:r>
      <w:r>
        <w:rPr>
          <w:spacing w:val="1"/>
        </w:rPr>
        <w:t xml:space="preserve">de </w:t>
      </w:r>
      <w:r>
        <w:rPr>
          <w:spacing w:val="3"/>
        </w:rPr>
        <w:t xml:space="preserve">alumínio, </w:t>
      </w:r>
      <w:r>
        <w:t xml:space="preserve">e </w:t>
      </w:r>
      <w:r>
        <w:rPr>
          <w:spacing w:val="2"/>
        </w:rPr>
        <w:t xml:space="preserve">uma </w:t>
      </w:r>
      <w:r>
        <w:rPr>
          <w:spacing w:val="3"/>
        </w:rPr>
        <w:t xml:space="preserve">escória </w:t>
      </w:r>
      <w:r>
        <w:rPr>
          <w:spacing w:val="5"/>
        </w:rPr>
        <w:t xml:space="preserve">de </w:t>
      </w:r>
      <w:hyperlink r:id="rId1356">
        <w:r>
          <w:rPr>
            <w:spacing w:val="15"/>
          </w:rPr>
          <w:t>ferro,</w:t>
        </w:r>
      </w:hyperlink>
      <w:r>
        <w:rPr>
          <w:spacing w:val="15"/>
        </w:rPr>
        <w:t xml:space="preserve"> </w:t>
      </w:r>
      <w:r>
        <w:rPr>
          <w:spacing w:val="11"/>
        </w:rPr>
        <w:t xml:space="preserve">que irá </w:t>
      </w:r>
      <w:r>
        <w:rPr>
          <w:spacing w:val="12"/>
        </w:rPr>
        <w:t xml:space="preserve">para </w:t>
      </w:r>
      <w:r>
        <w:t xml:space="preserve">a </w:t>
      </w:r>
      <w:r>
        <w:rPr>
          <w:spacing w:val="15"/>
        </w:rPr>
        <w:t xml:space="preserve">pavimentação </w:t>
      </w:r>
      <w:r>
        <w:rPr>
          <w:spacing w:val="8"/>
        </w:rPr>
        <w:t xml:space="preserve">de </w:t>
      </w:r>
      <w:r>
        <w:rPr>
          <w:spacing w:val="15"/>
        </w:rPr>
        <w:t>estradas (VOTORANTIM METAIS,</w:t>
      </w:r>
      <w:r>
        <w:rPr>
          <w:spacing w:val="33"/>
        </w:rPr>
        <w:t xml:space="preserve"> </w:t>
      </w:r>
      <w:r>
        <w:rPr>
          <w:spacing w:val="15"/>
        </w:rPr>
        <w:t>2011).</w:t>
      </w:r>
      <w:r>
        <w:rPr>
          <w:spacing w:val="-31"/>
        </w:rPr>
        <w:t xml:space="preserve"> </w:t>
      </w:r>
    </w:p>
    <w:p w:rsidR="00D81F69" w:rsidRDefault="00330118">
      <w:pPr>
        <w:pStyle w:val="Corpodetexto"/>
        <w:spacing w:before="138" w:line="312" w:lineRule="auto"/>
        <w:ind w:right="45"/>
      </w:pPr>
      <w:r>
        <w:t xml:space="preserve">A nova unidade possibilitará também fabricar outros metais que seriam descartados no processo produtivo, como índio, chumbo metálico e ligas de prata com </w:t>
      </w:r>
      <w:r>
        <w:t>ouro e polipropileno (O TEMPO, 2012; VOTORANTIM METAIS, 2012). A produção</w:t>
      </w:r>
    </w:p>
    <w:p w:rsidR="00D81F69" w:rsidRDefault="00330118">
      <w:pPr>
        <w:pStyle w:val="Corpodetexto"/>
        <w:spacing w:before="4" w:line="312" w:lineRule="auto"/>
        <w:ind w:right="40"/>
      </w:pPr>
      <w:r>
        <w:t xml:space="preserve">de índio - utilizado na indústria de fabricação de televisões, </w:t>
      </w:r>
      <w:r>
        <w:rPr>
          <w:spacing w:val="3"/>
        </w:rPr>
        <w:t xml:space="preserve">telas </w:t>
      </w:r>
      <w:r>
        <w:rPr>
          <w:spacing w:val="5"/>
        </w:rPr>
        <w:t xml:space="preserve">planas </w:t>
      </w:r>
      <w:r>
        <w:t xml:space="preserve">e </w:t>
      </w:r>
      <w:r>
        <w:rPr>
          <w:spacing w:val="3"/>
        </w:rPr>
        <w:t xml:space="preserve">telas </w:t>
      </w:r>
      <w:r>
        <w:rPr>
          <w:spacing w:val="2"/>
        </w:rPr>
        <w:t xml:space="preserve">de </w:t>
      </w:r>
      <w:r>
        <w:rPr>
          <w:spacing w:val="5"/>
        </w:rPr>
        <w:t xml:space="preserve">plasma </w:t>
      </w:r>
      <w:r>
        <w:t xml:space="preserve">- </w:t>
      </w:r>
      <w:r>
        <w:rPr>
          <w:spacing w:val="5"/>
        </w:rPr>
        <w:t xml:space="preserve">deverá chegar </w:t>
      </w:r>
      <w:r>
        <w:t xml:space="preserve">a </w:t>
      </w:r>
      <w:r>
        <w:rPr>
          <w:spacing w:val="2"/>
        </w:rPr>
        <w:t xml:space="preserve">15 </w:t>
      </w:r>
      <w:r>
        <w:rPr>
          <w:spacing w:val="5"/>
        </w:rPr>
        <w:t xml:space="preserve">mil </w:t>
      </w:r>
      <w:r>
        <w:rPr>
          <w:spacing w:val="6"/>
        </w:rPr>
        <w:t xml:space="preserve">toneladas/ano </w:t>
      </w:r>
      <w:r>
        <w:t xml:space="preserve">e </w:t>
      </w:r>
      <w:r>
        <w:rPr>
          <w:spacing w:val="5"/>
        </w:rPr>
        <w:t xml:space="preserve">será </w:t>
      </w:r>
      <w:r>
        <w:rPr>
          <w:spacing w:val="6"/>
        </w:rPr>
        <w:t xml:space="preserve">exportada (PORTUGAL </w:t>
      </w:r>
      <w:r>
        <w:rPr>
          <w:spacing w:val="7"/>
        </w:rPr>
        <w:t xml:space="preserve">DIGITAL, </w:t>
      </w:r>
      <w:r>
        <w:t xml:space="preserve">2011). Já a produção de chumbo metálico deverá ser de 75 </w:t>
      </w:r>
      <w:r>
        <w:rPr>
          <w:spacing w:val="6"/>
        </w:rPr>
        <w:t xml:space="preserve">mil </w:t>
      </w:r>
      <w:r>
        <w:rPr>
          <w:spacing w:val="8"/>
        </w:rPr>
        <w:t xml:space="preserve">t/ano, </w:t>
      </w:r>
      <w:r>
        <w:rPr>
          <w:spacing w:val="10"/>
        </w:rPr>
        <w:t xml:space="preserve">equivalente </w:t>
      </w:r>
      <w:r>
        <w:t xml:space="preserve">a </w:t>
      </w:r>
      <w:r>
        <w:rPr>
          <w:spacing w:val="6"/>
        </w:rPr>
        <w:t xml:space="preserve">50% </w:t>
      </w:r>
      <w:r>
        <w:rPr>
          <w:spacing w:val="5"/>
        </w:rPr>
        <w:t xml:space="preserve">do </w:t>
      </w:r>
      <w:r>
        <w:rPr>
          <w:spacing w:val="8"/>
        </w:rPr>
        <w:t xml:space="preserve">consumo </w:t>
      </w:r>
      <w:r>
        <w:rPr>
          <w:spacing w:val="10"/>
        </w:rPr>
        <w:t xml:space="preserve">doméstico </w:t>
      </w:r>
      <w:r>
        <w:t>brasileiro, enquanto a de liga de prata com ouro é estimada em 91 mil toneladas, e a de polipropileno, em 6 mil toneladas (VOTORANTIM METAIS,</w:t>
      </w:r>
      <w:r>
        <w:rPr>
          <w:spacing w:val="10"/>
        </w:rPr>
        <w:t xml:space="preserve"> </w:t>
      </w:r>
      <w:r>
        <w:t>2012).</w:t>
      </w:r>
    </w:p>
    <w:p w:rsidR="00D81F69" w:rsidRDefault="00330118">
      <w:pPr>
        <w:pStyle w:val="Corpodetexto"/>
        <w:spacing w:before="137" w:line="312" w:lineRule="auto"/>
        <w:ind w:right="38"/>
      </w:pPr>
      <w:r>
        <w:t>Apesar do alto custo de implementação, se tiver êxito, a nova unidade poderá auxiliar a empresa na destinação de rejeitos, um problema crônico (O TEMPO, 2012). A nova planta também reduzirá a dependência de importação de minério concentrado de zinco, ao po</w:t>
      </w:r>
      <w:r>
        <w:t>ssibilitar a recuperação de zinco contido em pó de aciarias elétricas (RIBEIRO, 2011). Segundo a Votorantim, o empreendimento deve adicionar 15 mil toneladas anuais à produção de zinco da unidade de Juiz de Fora, e reduzir em cerca de 30% a importação do c</w:t>
      </w:r>
      <w:r>
        <w:t>oncentrado (FRANCIA, 2012).</w:t>
      </w:r>
    </w:p>
    <w:p w:rsidR="00D81F69" w:rsidRDefault="00330118">
      <w:pPr>
        <w:pStyle w:val="Corpodetexto"/>
        <w:spacing w:before="139" w:line="312" w:lineRule="auto"/>
        <w:ind w:right="39"/>
      </w:pPr>
      <w:r>
        <w:t xml:space="preserve">No </w:t>
      </w:r>
      <w:r>
        <w:rPr>
          <w:spacing w:val="1"/>
        </w:rPr>
        <w:t xml:space="preserve">entanto, apesar </w:t>
      </w:r>
      <w:r>
        <w:t xml:space="preserve">do </w:t>
      </w:r>
      <w:r>
        <w:rPr>
          <w:spacing w:val="1"/>
        </w:rPr>
        <w:t xml:space="preserve">crescimento </w:t>
      </w:r>
      <w:r>
        <w:t xml:space="preserve">e da </w:t>
      </w:r>
      <w:r>
        <w:rPr>
          <w:spacing w:val="1"/>
        </w:rPr>
        <w:t xml:space="preserve">diversificação </w:t>
      </w:r>
      <w:r>
        <w:rPr>
          <w:spacing w:val="2"/>
        </w:rPr>
        <w:t xml:space="preserve">das </w:t>
      </w:r>
      <w:r>
        <w:t xml:space="preserve">atividades empresariais no local, a população de Igrejinha não tem se beneficiado dos bens produzidos nos últimos 30 anos  e </w:t>
      </w:r>
      <w:r>
        <w:rPr>
          <w:spacing w:val="6"/>
        </w:rPr>
        <w:t xml:space="preserve">continua </w:t>
      </w:r>
      <w:r>
        <w:rPr>
          <w:spacing w:val="5"/>
        </w:rPr>
        <w:t xml:space="preserve">vivendo </w:t>
      </w:r>
      <w:r>
        <w:rPr>
          <w:spacing w:val="3"/>
        </w:rPr>
        <w:t xml:space="preserve">em </w:t>
      </w:r>
      <w:r>
        <w:rPr>
          <w:spacing w:val="6"/>
        </w:rPr>
        <w:t xml:space="preserve">situação </w:t>
      </w:r>
      <w:r>
        <w:rPr>
          <w:spacing w:val="3"/>
        </w:rPr>
        <w:t xml:space="preserve">de </w:t>
      </w:r>
      <w:r>
        <w:rPr>
          <w:spacing w:val="5"/>
        </w:rPr>
        <w:t>pobreza extre</w:t>
      </w:r>
      <w:r>
        <w:rPr>
          <w:spacing w:val="5"/>
        </w:rPr>
        <w:t xml:space="preserve">ma </w:t>
      </w:r>
      <w:r>
        <w:t xml:space="preserve">e </w:t>
      </w:r>
      <w:r>
        <w:rPr>
          <w:spacing w:val="8"/>
        </w:rPr>
        <w:t xml:space="preserve">convivendo </w:t>
      </w:r>
      <w:r>
        <w:rPr>
          <w:spacing w:val="5"/>
        </w:rPr>
        <w:t xml:space="preserve">com os </w:t>
      </w:r>
      <w:r>
        <w:rPr>
          <w:spacing w:val="7"/>
        </w:rPr>
        <w:t xml:space="preserve">impactos </w:t>
      </w:r>
      <w:r>
        <w:rPr>
          <w:spacing w:val="8"/>
        </w:rPr>
        <w:t xml:space="preserve">decorrentes </w:t>
      </w:r>
      <w:r>
        <w:rPr>
          <w:spacing w:val="5"/>
        </w:rPr>
        <w:t xml:space="preserve">da </w:t>
      </w:r>
      <w:r>
        <w:rPr>
          <w:spacing w:val="10"/>
        </w:rPr>
        <w:t xml:space="preserve">atividade </w:t>
      </w:r>
      <w:r>
        <w:rPr>
          <w:spacing w:val="6"/>
        </w:rPr>
        <w:t xml:space="preserve">produtiva, especialmente </w:t>
      </w:r>
      <w:r>
        <w:t xml:space="preserve">a </w:t>
      </w:r>
      <w:r>
        <w:rPr>
          <w:spacing w:val="6"/>
        </w:rPr>
        <w:t>poluição (MOREIRA,</w:t>
      </w:r>
      <w:r>
        <w:rPr>
          <w:spacing w:val="10"/>
        </w:rPr>
        <w:t xml:space="preserve"> </w:t>
      </w:r>
      <w:r>
        <w:rPr>
          <w:spacing w:val="7"/>
        </w:rPr>
        <w:t>2011).</w:t>
      </w:r>
    </w:p>
    <w:p w:rsidR="00D81F69" w:rsidRDefault="00330118">
      <w:pPr>
        <w:pStyle w:val="Corpodetexto"/>
        <w:ind w:left="0"/>
        <w:jc w:val="left"/>
        <w:rPr>
          <w:sz w:val="22"/>
        </w:rPr>
      </w:pPr>
      <w:r>
        <w:br w:type="column"/>
      </w:r>
    </w:p>
    <w:p w:rsidR="00D81F69" w:rsidRDefault="00330118">
      <w:pPr>
        <w:pStyle w:val="Heading7"/>
        <w:spacing w:before="139"/>
      </w:pPr>
      <w:r>
        <w:t>LOCALIZAÇÃO GEOGRÁFICA</w:t>
      </w:r>
    </w:p>
    <w:p w:rsidR="00D81F69" w:rsidRDefault="00330118">
      <w:pPr>
        <w:pStyle w:val="Corpodetexto"/>
        <w:spacing w:before="179" w:line="312" w:lineRule="auto"/>
        <w:ind w:right="216"/>
      </w:pPr>
      <w:r>
        <w:t xml:space="preserve">No município de Juiz de Fora (MG), a mineração de zinco é realizada na bacia do rio Preto, próximo à latitude 21°53'11"S </w:t>
      </w:r>
      <w:r>
        <w:t>e longitude 43°34'56"W, que deságua no rio Paraíba do Sul</w:t>
      </w:r>
    </w:p>
    <w:p w:rsidR="00D81F69" w:rsidRDefault="00D81F69">
      <w:pPr>
        <w:pStyle w:val="Corpodetexto"/>
        <w:ind w:left="0"/>
        <w:jc w:val="left"/>
        <w:rPr>
          <w:sz w:val="29"/>
        </w:rPr>
      </w:pPr>
    </w:p>
    <w:p w:rsidR="00D81F69" w:rsidRDefault="00330118">
      <w:pPr>
        <w:pStyle w:val="Heading7"/>
      </w:pPr>
      <w:r>
        <w:t>REDATORES</w:t>
      </w:r>
    </w:p>
    <w:p w:rsidR="00D81F69" w:rsidRDefault="00330118">
      <w:pPr>
        <w:pStyle w:val="Corpodetexto"/>
        <w:spacing w:before="179"/>
      </w:pPr>
      <w:r>
        <w:t>Eliane Araujo; Renata Olivieri</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192"/>
        <w:jc w:val="both"/>
        <w:rPr>
          <w:sz w:val="16"/>
        </w:rPr>
      </w:pPr>
      <w:r>
        <w:rPr>
          <w:sz w:val="16"/>
        </w:rPr>
        <w:t>BASTOS, Suzana Quinet de Andrade. Disritmia espaço-tempo: Análise das estratégias de desenvolvimento adotadas em Juiz de Fora (M</w:t>
      </w:r>
      <w:r>
        <w:rPr>
          <w:sz w:val="16"/>
        </w:rPr>
        <w:t>G), pós anos 70. Fórum BNB de Desenvolvimento - X Encontro Regional de Economia, Fortaleza, 2005. Disponível em:</w:t>
      </w:r>
    </w:p>
    <w:p w:rsidR="00D81F69" w:rsidRDefault="00D81F69">
      <w:pPr>
        <w:spacing w:before="3" w:line="312" w:lineRule="auto"/>
        <w:ind w:left="100" w:right="199"/>
        <w:jc w:val="both"/>
        <w:rPr>
          <w:sz w:val="16"/>
        </w:rPr>
      </w:pPr>
      <w:hyperlink r:id="rId1357">
        <w:r w:rsidR="00330118">
          <w:rPr>
            <w:sz w:val="16"/>
          </w:rPr>
          <w:t>&lt;http://buscapdf.com.br/ver/?pdf=http://www.bnb.gov.br/content/aplica</w:t>
        </w:r>
      </w:hyperlink>
      <w:r w:rsidR="00330118">
        <w:rPr>
          <w:sz w:val="16"/>
        </w:rPr>
        <w:t xml:space="preserve"> cao/ETENE/Anais/doc</w:t>
      </w:r>
      <w:r w:rsidR="00330118">
        <w:rPr>
          <w:sz w:val="16"/>
        </w:rPr>
        <w:t>s/mesa4_texto1.pdf&gt;. Acesso em: 04 set. 2012. BRASIL MINERAL. Votorantim amplia investimentos em MG, 14 mar.</w:t>
      </w:r>
    </w:p>
    <w:p w:rsidR="00D81F69" w:rsidRDefault="00330118">
      <w:pPr>
        <w:tabs>
          <w:tab w:val="left" w:pos="1785"/>
          <w:tab w:val="left" w:pos="4548"/>
        </w:tabs>
        <w:spacing w:before="3"/>
        <w:ind w:left="100"/>
        <w:jc w:val="both"/>
        <w:rPr>
          <w:sz w:val="16"/>
        </w:rPr>
      </w:pPr>
      <w:r>
        <w:rPr>
          <w:sz w:val="16"/>
        </w:rPr>
        <w:t xml:space="preserve">2   0   1  </w:t>
      </w:r>
      <w:r>
        <w:rPr>
          <w:spacing w:val="35"/>
          <w:sz w:val="16"/>
        </w:rPr>
        <w:t xml:space="preserve"> </w:t>
      </w:r>
      <w:r>
        <w:rPr>
          <w:sz w:val="16"/>
        </w:rPr>
        <w:t xml:space="preserve">1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16"/>
        <w:jc w:val="both"/>
        <w:rPr>
          <w:sz w:val="16"/>
        </w:rPr>
      </w:pPr>
      <w:hyperlink r:id="rId1358">
        <w:r w:rsidR="00330118">
          <w:rPr>
            <w:sz w:val="16"/>
          </w:rPr>
          <w:t>&lt;http://www.brasilmineral.com.br/BM/default.asp?COD=5384&amp;busca=</w:t>
        </w:r>
      </w:hyperlink>
      <w:r w:rsidR="00330118">
        <w:rPr>
          <w:sz w:val="16"/>
        </w:rPr>
        <w:t xml:space="preserve"> Juiz de Fora&amp;numero=567&gt;. Acesso em: 04 set. 2012.</w:t>
      </w:r>
    </w:p>
    <w:p w:rsidR="00D81F69" w:rsidRDefault="00330118">
      <w:pPr>
        <w:spacing w:before="1" w:line="312" w:lineRule="auto"/>
        <w:ind w:left="100" w:right="194"/>
        <w:jc w:val="both"/>
        <w:rPr>
          <w:sz w:val="16"/>
        </w:rPr>
      </w:pPr>
      <w:r>
        <w:rPr>
          <w:sz w:val="16"/>
        </w:rPr>
        <w:t>FRANCIA, Leonardo. Votorantim perto de inaugurar planta de polimetálicos. Diário do Comércio, 16 maio 2012. Disponível em:</w:t>
      </w:r>
    </w:p>
    <w:p w:rsidR="00D81F69" w:rsidRDefault="00D81F69">
      <w:pPr>
        <w:spacing w:before="2" w:line="312" w:lineRule="auto"/>
        <w:ind w:left="100" w:right="216"/>
        <w:jc w:val="both"/>
        <w:rPr>
          <w:sz w:val="16"/>
        </w:rPr>
      </w:pPr>
      <w:hyperlink r:id="rId1359">
        <w:r w:rsidR="00330118">
          <w:rPr>
            <w:sz w:val="16"/>
          </w:rPr>
          <w:t>&lt;http://www.metalica.com.br/siderurgia/votorant</w:t>
        </w:r>
        <w:r w:rsidR="00330118">
          <w:rPr>
            <w:sz w:val="16"/>
          </w:rPr>
          <w:t>im-perto-de-inaugurar-</w:t>
        </w:r>
      </w:hyperlink>
      <w:r w:rsidR="00330118">
        <w:rPr>
          <w:sz w:val="16"/>
        </w:rPr>
        <w:t xml:space="preserve"> planta-de-polimetalicos-fabrica-de-juiz-de-fora-demandou-aporte-de-r- 521-mi&gt;. Acesso em: 04 set. 2012.</w:t>
      </w:r>
    </w:p>
    <w:p w:rsidR="00D81F69" w:rsidRDefault="00330118">
      <w:pPr>
        <w:spacing w:before="3" w:line="312" w:lineRule="auto"/>
        <w:ind w:left="100" w:right="170"/>
        <w:jc w:val="both"/>
        <w:rPr>
          <w:sz w:val="16"/>
        </w:rPr>
      </w:pPr>
      <w:r>
        <w:rPr>
          <w:sz w:val="16"/>
        </w:rPr>
        <w:t xml:space="preserve">IBGE, Instituto Brasileiro de Geografia e Estatística. Juiz de Fora (MG). In: IBGE Cidades, 2010. Disponível em: </w:t>
      </w:r>
    </w:p>
    <w:p w:rsidR="00D81F69" w:rsidRDefault="00D81F69">
      <w:pPr>
        <w:spacing w:before="1"/>
        <w:ind w:left="100"/>
        <w:jc w:val="both"/>
        <w:rPr>
          <w:sz w:val="16"/>
        </w:rPr>
      </w:pPr>
      <w:hyperlink r:id="rId1360">
        <w:r w:rsidR="00330118">
          <w:rPr>
            <w:sz w:val="16"/>
          </w:rPr>
          <w:t>&lt;http://www.ibge.gov.br/cidadesat/painel/painel.php?codmun=313670</w:t>
        </w:r>
      </w:hyperlink>
    </w:p>
    <w:p w:rsidR="00D81F69" w:rsidRDefault="00330118">
      <w:pPr>
        <w:spacing w:before="56"/>
        <w:ind w:left="100"/>
        <w:jc w:val="both"/>
        <w:rPr>
          <w:sz w:val="16"/>
        </w:rPr>
      </w:pPr>
      <w:r>
        <w:rPr>
          <w:sz w:val="16"/>
        </w:rPr>
        <w:t>#&gt;. Acesso em: 04 set. 2012.</w:t>
      </w:r>
    </w:p>
    <w:p w:rsidR="00D81F69" w:rsidRDefault="00330118">
      <w:pPr>
        <w:spacing w:before="56" w:line="312" w:lineRule="auto"/>
        <w:ind w:left="100" w:right="193"/>
        <w:jc w:val="both"/>
        <w:rPr>
          <w:sz w:val="16"/>
        </w:rPr>
      </w:pPr>
      <w:r>
        <w:rPr>
          <w:sz w:val="16"/>
        </w:rPr>
        <w:t>LAGUNA, Eduardo. Votorantim eleva investimento na unidade de zinco em Juiz de Fora. Valor Onli</w:t>
      </w:r>
      <w:r>
        <w:rPr>
          <w:sz w:val="16"/>
        </w:rPr>
        <w:t xml:space="preserve">ne, São Paulo, 02 mar. 2011. Disponível em: </w:t>
      </w:r>
      <w:hyperlink r:id="rId1361">
        <w:r>
          <w:rPr>
            <w:sz w:val="16"/>
          </w:rPr>
          <w:t>&lt;http://oglobo.globo.com/economia/votorantim-eleva-</w:t>
        </w:r>
      </w:hyperlink>
      <w:r>
        <w:rPr>
          <w:sz w:val="16"/>
        </w:rPr>
        <w:t xml:space="preserve"> investimento-na-unidade-de-zinco-em-juiz-de-fora-2815791l&gt;. Acesso em: 04 set. 2012.</w:t>
      </w:r>
    </w:p>
    <w:p w:rsidR="00D81F69" w:rsidRDefault="00330118">
      <w:pPr>
        <w:spacing w:before="4" w:line="312" w:lineRule="auto"/>
        <w:ind w:left="100" w:right="194"/>
        <w:jc w:val="both"/>
        <w:rPr>
          <w:sz w:val="16"/>
        </w:rPr>
      </w:pPr>
      <w:r>
        <w:rPr>
          <w:sz w:val="16"/>
        </w:rPr>
        <w:t>MOREIRA</w:t>
      </w:r>
      <w:r>
        <w:rPr>
          <w:sz w:val="16"/>
        </w:rPr>
        <w:t>, Edna Maria Carvalho. Questão social e meio ambiente: apropriação do território e os impactos ambientais em Juiz de Fora/MG. 2011, 134 f. Dissertação (Mestrado em Serviço Social). Universidade Federal de Juiz de Fora, Juiz de Fora (MG), 2011. Disponível e</w:t>
      </w:r>
      <w:r>
        <w:rPr>
          <w:sz w:val="16"/>
        </w:rPr>
        <w:t xml:space="preserve">m: </w:t>
      </w:r>
      <w:hyperlink r:id="rId1362">
        <w:r>
          <w:rPr>
            <w:sz w:val="16"/>
          </w:rPr>
          <w:t>&lt;http://www.ufjf.br/ppgservicosocial/dissertacoes-</w:t>
        </w:r>
      </w:hyperlink>
      <w:r>
        <w:rPr>
          <w:sz w:val="16"/>
        </w:rPr>
        <w:t xml:space="preserve"> defendidas/dissertacoes-defendidas-ano-2011/&gt;. Acesso em: 04 set. 2012.</w:t>
      </w:r>
    </w:p>
    <w:p w:rsidR="00D81F69" w:rsidRDefault="00330118">
      <w:pPr>
        <w:spacing w:before="6" w:line="312" w:lineRule="auto"/>
        <w:ind w:left="100" w:right="216"/>
        <w:jc w:val="both"/>
        <w:rPr>
          <w:sz w:val="16"/>
        </w:rPr>
      </w:pPr>
      <w:r>
        <w:rPr>
          <w:sz w:val="16"/>
        </w:rPr>
        <w:t>MPT, Ministério Público do Trabalho. Votorantim é condenada a p</w:t>
      </w:r>
      <w:r>
        <w:rPr>
          <w:sz w:val="16"/>
        </w:rPr>
        <w:t xml:space="preserve">agar R$2 milhões por dano moral coletivo, 16 abr. 2012. Disponível </w:t>
      </w:r>
      <w:hyperlink r:id="rId1363">
        <w:r>
          <w:rPr>
            <w:sz w:val="16"/>
          </w:rPr>
          <w:t xml:space="preserve">em: &lt;http://www.prt3.mpt.gov.br/imprensa/?p=10688&gt;. </w:t>
        </w:r>
      </w:hyperlink>
      <w:r>
        <w:rPr>
          <w:sz w:val="16"/>
        </w:rPr>
        <w:t>Acesso em: 04 set. 2012.</w:t>
      </w:r>
    </w:p>
    <w:p w:rsidR="00D81F69" w:rsidRDefault="00330118">
      <w:pPr>
        <w:spacing w:before="3" w:line="312" w:lineRule="auto"/>
        <w:ind w:left="100" w:right="178"/>
        <w:jc w:val="both"/>
        <w:rPr>
          <w:sz w:val="16"/>
        </w:rPr>
      </w:pPr>
      <w:r>
        <w:rPr>
          <w:sz w:val="16"/>
        </w:rPr>
        <w:t xml:space="preserve">O TEMPO. Investimentos somam mais de R$ 3 bilhões </w:t>
      </w:r>
      <w:r>
        <w:rPr>
          <w:sz w:val="16"/>
        </w:rPr>
        <w:t xml:space="preserve">só para este ano. Minas Gerais, 26 jan. 2012. Disponível em: </w:t>
      </w:r>
    </w:p>
    <w:p w:rsidR="00D81F69" w:rsidRDefault="00D81F69">
      <w:pPr>
        <w:spacing w:before="2" w:line="312" w:lineRule="auto"/>
        <w:ind w:left="100" w:right="198"/>
        <w:jc w:val="both"/>
        <w:rPr>
          <w:sz w:val="16"/>
        </w:rPr>
      </w:pPr>
      <w:hyperlink r:id="rId1364">
        <w:r w:rsidR="00330118">
          <w:rPr>
            <w:sz w:val="16"/>
          </w:rPr>
          <w:t>&lt;http://www.ibram.org.br/150/15001002.asp?ttCD_CHAVE=156931&gt;.</w:t>
        </w:r>
      </w:hyperlink>
      <w:r w:rsidR="00330118">
        <w:rPr>
          <w:sz w:val="16"/>
        </w:rPr>
        <w:t xml:space="preserve"> Acesso em: 04 set. 2012.</w:t>
      </w:r>
    </w:p>
    <w:p w:rsidR="00D81F69" w:rsidRDefault="00330118">
      <w:pPr>
        <w:spacing w:before="2" w:line="312" w:lineRule="auto"/>
        <w:ind w:left="100" w:right="195"/>
        <w:jc w:val="both"/>
        <w:rPr>
          <w:sz w:val="16"/>
        </w:rPr>
      </w:pPr>
      <w:r>
        <w:rPr>
          <w:sz w:val="16"/>
        </w:rPr>
        <w:t xml:space="preserve">PORTUGAL DIGITAL. Votorantim reforça seus investimentos em Minas Gerais. In: Instituto de Metais Não Ferrosos, 04 mar. 2011. Disponível em: </w:t>
      </w:r>
      <w:hyperlink r:id="rId1365">
        <w:r>
          <w:rPr>
            <w:sz w:val="16"/>
          </w:rPr>
          <w:t>&lt;http://www.icz.org.br/icz-noticias-ler.php?cod</w:t>
        </w:r>
        <w:r>
          <w:rPr>
            <w:sz w:val="16"/>
          </w:rPr>
          <w:t>=3361&gt;.</w:t>
        </w:r>
      </w:hyperlink>
      <w:r>
        <w:rPr>
          <w:sz w:val="16"/>
        </w:rPr>
        <w:t xml:space="preserve"> Acesso em: 04 set. 2012.</w:t>
      </w:r>
    </w:p>
    <w:p w:rsidR="00D81F69" w:rsidRDefault="00330118">
      <w:pPr>
        <w:spacing w:before="3" w:line="312" w:lineRule="auto"/>
        <w:ind w:left="100" w:right="176"/>
        <w:jc w:val="both"/>
        <w:rPr>
          <w:sz w:val="16"/>
        </w:rPr>
      </w:pPr>
      <w:r>
        <w:rPr>
          <w:spacing w:val="1"/>
          <w:sz w:val="16"/>
        </w:rPr>
        <w:t xml:space="preserve">REZENDE, Lídia. Votorantim confirma </w:t>
      </w:r>
      <w:r>
        <w:rPr>
          <w:sz w:val="16"/>
        </w:rPr>
        <w:t xml:space="preserve">o </w:t>
      </w:r>
      <w:r>
        <w:rPr>
          <w:spacing w:val="1"/>
          <w:sz w:val="16"/>
        </w:rPr>
        <w:t xml:space="preserve">aporte </w:t>
      </w:r>
      <w:r>
        <w:rPr>
          <w:sz w:val="16"/>
        </w:rPr>
        <w:t xml:space="preserve">em </w:t>
      </w:r>
      <w:r>
        <w:rPr>
          <w:spacing w:val="1"/>
          <w:sz w:val="16"/>
        </w:rPr>
        <w:t xml:space="preserve">Minas </w:t>
      </w:r>
      <w:r>
        <w:rPr>
          <w:spacing w:val="2"/>
          <w:sz w:val="16"/>
        </w:rPr>
        <w:t xml:space="preserve">Gerais. </w:t>
      </w:r>
      <w:r>
        <w:rPr>
          <w:spacing w:val="17"/>
          <w:sz w:val="16"/>
        </w:rPr>
        <w:t xml:space="preserve">Diário </w:t>
      </w:r>
      <w:r>
        <w:rPr>
          <w:spacing w:val="10"/>
          <w:sz w:val="16"/>
        </w:rPr>
        <w:t>do</w:t>
      </w:r>
      <w:r>
        <w:rPr>
          <w:spacing w:val="65"/>
          <w:sz w:val="16"/>
        </w:rPr>
        <w:t xml:space="preserve"> </w:t>
      </w:r>
      <w:r>
        <w:rPr>
          <w:spacing w:val="18"/>
          <w:sz w:val="16"/>
        </w:rPr>
        <w:t xml:space="preserve">Comércio, </w:t>
      </w:r>
      <w:r>
        <w:rPr>
          <w:spacing w:val="10"/>
          <w:sz w:val="16"/>
        </w:rPr>
        <w:t>13</w:t>
      </w:r>
      <w:r>
        <w:rPr>
          <w:spacing w:val="65"/>
          <w:sz w:val="16"/>
        </w:rPr>
        <w:t xml:space="preserve"> </w:t>
      </w:r>
      <w:r>
        <w:rPr>
          <w:spacing w:val="15"/>
          <w:sz w:val="16"/>
        </w:rPr>
        <w:t>set.</w:t>
      </w:r>
      <w:r>
        <w:rPr>
          <w:spacing w:val="75"/>
          <w:sz w:val="16"/>
        </w:rPr>
        <w:t xml:space="preserve"> </w:t>
      </w:r>
      <w:r>
        <w:rPr>
          <w:spacing w:val="16"/>
          <w:sz w:val="16"/>
        </w:rPr>
        <w:t xml:space="preserve">2011. </w:t>
      </w:r>
      <w:r>
        <w:rPr>
          <w:spacing w:val="18"/>
          <w:sz w:val="16"/>
        </w:rPr>
        <w:t>Disponível</w:t>
      </w:r>
      <w:r>
        <w:rPr>
          <w:spacing w:val="17"/>
          <w:sz w:val="16"/>
        </w:rPr>
        <w:t xml:space="preserve"> </w:t>
      </w:r>
      <w:r>
        <w:rPr>
          <w:spacing w:val="13"/>
          <w:sz w:val="16"/>
        </w:rPr>
        <w:t>em:</w:t>
      </w:r>
      <w:r>
        <w:rPr>
          <w:spacing w:val="-21"/>
          <w:sz w:val="16"/>
        </w:rPr>
        <w:t xml:space="preserve"> </w:t>
      </w:r>
    </w:p>
    <w:p w:rsidR="00D81F69" w:rsidRDefault="00D81F69">
      <w:pPr>
        <w:spacing w:before="2" w:line="312" w:lineRule="auto"/>
        <w:ind w:left="100" w:right="217"/>
        <w:jc w:val="both"/>
        <w:rPr>
          <w:sz w:val="16"/>
        </w:rPr>
      </w:pPr>
      <w:hyperlink r:id="rId1366">
        <w:r w:rsidR="00330118">
          <w:rPr>
            <w:sz w:val="16"/>
          </w:rPr>
          <w:t>&lt;</w:t>
        </w:r>
        <w:r w:rsidR="00330118">
          <w:rPr>
            <w:sz w:val="16"/>
          </w:rPr>
          <w:t>http://www.diariodocomercio.com.br/index.php?conteudoId=94557&amp;n</w:t>
        </w:r>
      </w:hyperlink>
      <w:r w:rsidR="00330118">
        <w:rPr>
          <w:sz w:val="16"/>
        </w:rPr>
        <w:t xml:space="preserve"> ewsLetterId=655&amp;usuarioId=16086&gt;. Acesso em: 04 set. 2012.</w:t>
      </w:r>
    </w:p>
    <w:p w:rsidR="00D81F69" w:rsidRDefault="00330118">
      <w:pPr>
        <w:spacing w:before="1" w:line="312" w:lineRule="auto"/>
        <w:ind w:left="100" w:right="213"/>
        <w:jc w:val="both"/>
        <w:rPr>
          <w:sz w:val="16"/>
        </w:rPr>
      </w:pPr>
      <w:r>
        <w:rPr>
          <w:sz w:val="16"/>
        </w:rPr>
        <w:t>RIBEIRO, Ivo. Votorantim Metais investirá R$ 1 bilhão, Minas será beneficiada com parte dos investimentos – empresa vai gastar R$</w:t>
      </w:r>
    </w:p>
    <w:p w:rsidR="00D81F69" w:rsidRDefault="00330118">
      <w:pPr>
        <w:spacing w:before="2"/>
        <w:ind w:left="100"/>
        <w:jc w:val="both"/>
        <w:rPr>
          <w:sz w:val="16"/>
        </w:rPr>
      </w:pPr>
      <w:r>
        <w:rPr>
          <w:sz w:val="16"/>
        </w:rPr>
        <w:t>380</w:t>
      </w:r>
      <w:r>
        <w:rPr>
          <w:sz w:val="16"/>
        </w:rPr>
        <w:t xml:space="preserve"> milhões no estado. Valor Econômico. In: Jogo do Poder, 13 abr.</w:t>
      </w:r>
    </w:p>
    <w:p w:rsidR="00D81F69" w:rsidRDefault="00D81F69">
      <w:pPr>
        <w:jc w:val="both"/>
        <w:rPr>
          <w:sz w:val="16"/>
        </w:rPr>
        <w:sectPr w:rsidR="00D81F69">
          <w:pgSz w:w="11900" w:h="16840"/>
          <w:pgMar w:top="740" w:right="500" w:bottom="700" w:left="620" w:header="0" w:footer="402" w:gutter="0"/>
          <w:cols w:num="2" w:space="720" w:equalWidth="0">
            <w:col w:w="5162" w:space="308"/>
            <w:col w:w="5310"/>
          </w:cols>
        </w:sectPr>
      </w:pPr>
    </w:p>
    <w:p w:rsidR="00D81F69" w:rsidRDefault="00330118">
      <w:pPr>
        <w:tabs>
          <w:tab w:val="left" w:pos="1785"/>
          <w:tab w:val="left" w:pos="4548"/>
        </w:tabs>
        <w:spacing w:before="70"/>
        <w:ind w:left="100"/>
        <w:rPr>
          <w:sz w:val="16"/>
        </w:rPr>
      </w:pPr>
      <w:r>
        <w:rPr>
          <w:sz w:val="16"/>
        </w:rPr>
        <w:lastRenderedPageBreak/>
        <w:t xml:space="preserve">2   0   1  </w:t>
      </w:r>
      <w:r>
        <w:rPr>
          <w:spacing w:val="35"/>
          <w:sz w:val="16"/>
        </w:rPr>
        <w:t xml:space="preserve"> </w:t>
      </w:r>
      <w:r>
        <w:rPr>
          <w:sz w:val="16"/>
        </w:rPr>
        <w:t xml:space="preserve">1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2"/>
          <w:sz w:val="16"/>
        </w:rPr>
        <w:t xml:space="preserve"> </w:t>
      </w:r>
      <w:r>
        <w:rPr>
          <w:sz w:val="16"/>
        </w:rPr>
        <w:t>:</w:t>
      </w:r>
    </w:p>
    <w:p w:rsidR="00D81F69" w:rsidRDefault="00D81F69">
      <w:pPr>
        <w:spacing w:before="56" w:line="312" w:lineRule="auto"/>
        <w:ind w:left="100" w:right="49"/>
        <w:jc w:val="both"/>
        <w:rPr>
          <w:sz w:val="16"/>
        </w:rPr>
      </w:pPr>
      <w:hyperlink r:id="rId1367">
        <w:r w:rsidR="00330118">
          <w:rPr>
            <w:sz w:val="16"/>
          </w:rPr>
          <w:t>&lt;http://www.jogodopoder.</w:t>
        </w:r>
        <w:r w:rsidR="00330118">
          <w:rPr>
            <w:sz w:val="16"/>
          </w:rPr>
          <w:t>com/blog/economia/votorantim-metais-</w:t>
        </w:r>
      </w:hyperlink>
      <w:r w:rsidR="00330118">
        <w:rPr>
          <w:sz w:val="16"/>
        </w:rPr>
        <w:t xml:space="preserve"> investira-r-1-bilhao-minas-sera-beneficiada-com-parte-dos- investimentos/&gt;. Acesso em: 04 set. 2012.</w:t>
      </w:r>
    </w:p>
    <w:p w:rsidR="00D81F69" w:rsidRDefault="00330118">
      <w:pPr>
        <w:spacing w:before="2" w:line="312" w:lineRule="auto"/>
        <w:ind w:left="100" w:right="38"/>
        <w:jc w:val="both"/>
        <w:rPr>
          <w:sz w:val="16"/>
        </w:rPr>
      </w:pPr>
      <w:r>
        <w:rPr>
          <w:sz w:val="16"/>
        </w:rPr>
        <w:t>SANTOS, Juarez Fontana dos. Produto 16: Minério de Zinco. Relatório Técnico 25. Ministério de Minas e Energia, Secreta</w:t>
      </w:r>
      <w:r>
        <w:rPr>
          <w:sz w:val="16"/>
        </w:rPr>
        <w:t>ria de Geologia, Mineração e Transformação Mineral, Banco Mundial. Fev.</w:t>
      </w:r>
    </w:p>
    <w:p w:rsidR="00D81F69" w:rsidRDefault="00330118">
      <w:pPr>
        <w:tabs>
          <w:tab w:val="left" w:pos="1785"/>
          <w:tab w:val="left" w:pos="4548"/>
        </w:tabs>
        <w:spacing w:before="3"/>
        <w:ind w:left="100"/>
        <w:jc w:val="both"/>
        <w:rPr>
          <w:sz w:val="16"/>
        </w:rPr>
      </w:pPr>
      <w:r>
        <w:rPr>
          <w:sz w:val="16"/>
        </w:rPr>
        <w:t xml:space="preserve">2   0   1  </w:t>
      </w:r>
      <w:r>
        <w:rPr>
          <w:spacing w:val="35"/>
          <w:sz w:val="16"/>
        </w:rPr>
        <w:t xml:space="preserve"> </w:t>
      </w:r>
      <w:r>
        <w:rPr>
          <w:sz w:val="16"/>
        </w:rPr>
        <w:t xml:space="preserve">0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ind w:left="100"/>
        <w:jc w:val="both"/>
        <w:rPr>
          <w:sz w:val="16"/>
        </w:rPr>
      </w:pPr>
      <w:hyperlink r:id="rId1368">
        <w:r w:rsidR="00330118">
          <w:rPr>
            <w:sz w:val="16"/>
          </w:rPr>
          <w:t>&lt;</w:t>
        </w:r>
        <w:r w:rsidR="00330118">
          <w:rPr>
            <w:sz w:val="16"/>
          </w:rPr>
          <w:t>http://www.mme.gov.br/sgm/galerias/arquivos/plano_duo_decenal/a</w:t>
        </w:r>
      </w:hyperlink>
    </w:p>
    <w:p w:rsidR="00D81F69" w:rsidRDefault="00330118">
      <w:pPr>
        <w:spacing w:before="56"/>
        <w:ind w:left="100"/>
        <w:jc w:val="both"/>
        <w:rPr>
          <w:sz w:val="16"/>
        </w:rPr>
      </w:pPr>
      <w:r>
        <w:rPr>
          <w:sz w:val="16"/>
        </w:rPr>
        <w:t>_mineracao_brasileira/P16_RT25_Perfil_do_Minxrio_de_Zinco.pdf&gt;.</w:t>
      </w:r>
    </w:p>
    <w:p w:rsidR="00D81F69" w:rsidRDefault="00330118">
      <w:pPr>
        <w:spacing w:before="70"/>
        <w:ind w:left="100"/>
        <w:rPr>
          <w:sz w:val="16"/>
        </w:rPr>
      </w:pPr>
      <w:r>
        <w:br w:type="column"/>
      </w:r>
      <w:r>
        <w:rPr>
          <w:sz w:val="16"/>
        </w:rPr>
        <w:lastRenderedPageBreak/>
        <w:t>Acesso em: 04 set. 2012.</w:t>
      </w:r>
    </w:p>
    <w:p w:rsidR="00D81F69" w:rsidRDefault="00330118">
      <w:pPr>
        <w:spacing w:before="56" w:line="312" w:lineRule="auto"/>
        <w:ind w:left="100" w:right="159"/>
        <w:rPr>
          <w:sz w:val="16"/>
        </w:rPr>
      </w:pPr>
      <w:r>
        <w:rPr>
          <w:sz w:val="16"/>
        </w:rPr>
        <w:t>VOTORANTIM METAIS. Votorantim Metais vence prêmio ambiental promovido pela Feam. In: Mining.com, 20 no</w:t>
      </w:r>
      <w:r>
        <w:rPr>
          <w:sz w:val="16"/>
        </w:rPr>
        <w:t>v. 2011. Disponível em:</w:t>
      </w:r>
    </w:p>
    <w:p w:rsidR="00D81F69" w:rsidRDefault="00D81F69">
      <w:pPr>
        <w:spacing w:before="1" w:line="312" w:lineRule="auto"/>
        <w:ind w:left="100" w:right="197"/>
        <w:jc w:val="both"/>
        <w:rPr>
          <w:sz w:val="16"/>
        </w:rPr>
      </w:pPr>
      <w:hyperlink r:id="rId1369">
        <w:r w:rsidR="00330118">
          <w:rPr>
            <w:sz w:val="16"/>
          </w:rPr>
          <w:t>&lt;http://noticiasmineracao.mining.com/2011/11/30/votorantim-metais-</w:t>
        </w:r>
      </w:hyperlink>
      <w:r w:rsidR="00330118">
        <w:rPr>
          <w:sz w:val="16"/>
        </w:rPr>
        <w:t xml:space="preserve"> vence-premio-ambiental-promovido-pela-feam/&gt;. Acesso em: 12 set. 2012.</w:t>
      </w:r>
    </w:p>
    <w:p w:rsidR="00D81F69" w:rsidRDefault="00330118">
      <w:pPr>
        <w:spacing w:before="3"/>
        <w:ind w:left="100"/>
        <w:rPr>
          <w:sz w:val="16"/>
        </w:rPr>
      </w:pPr>
      <w:r>
        <w:rPr>
          <w:sz w:val="16"/>
        </w:rPr>
        <w:t>_______. Qu</w:t>
      </w:r>
      <w:r>
        <w:rPr>
          <w:sz w:val="16"/>
        </w:rPr>
        <w:t>em somos. Site institucional. Disponível em:</w:t>
      </w:r>
    </w:p>
    <w:p w:rsidR="00D81F69" w:rsidRDefault="00D81F69">
      <w:pPr>
        <w:spacing w:before="56" w:line="312" w:lineRule="auto"/>
        <w:ind w:left="100" w:right="107"/>
        <w:rPr>
          <w:sz w:val="16"/>
        </w:rPr>
      </w:pPr>
      <w:hyperlink r:id="rId1370">
        <w:r w:rsidR="00330118">
          <w:rPr>
            <w:sz w:val="16"/>
          </w:rPr>
          <w:t xml:space="preserve">&lt; h t t p : / / w w w . v m e t a i s . c o m . b r / p t - </w:t>
        </w:r>
      </w:hyperlink>
      <w:r w:rsidR="00330118">
        <w:rPr>
          <w:sz w:val="16"/>
        </w:rPr>
        <w:t>BR/Institucional/Paginas/QuemSomos.aspx&gt;. Acesso em: 12 set. 2012.</w:t>
      </w:r>
    </w:p>
    <w:p w:rsidR="00D81F69" w:rsidRDefault="00D81F69">
      <w:pPr>
        <w:spacing w:line="312" w:lineRule="auto"/>
        <w:rPr>
          <w:sz w:val="16"/>
        </w:rPr>
        <w:sectPr w:rsidR="00D81F69">
          <w:pgSz w:w="11900" w:h="16840"/>
          <w:pgMar w:top="740" w:right="500" w:bottom="720" w:left="620" w:header="0" w:footer="402" w:gutter="0"/>
          <w:cols w:num="2" w:space="720" w:equalWidth="0">
            <w:col w:w="5157" w:space="313"/>
            <w:col w:w="5310"/>
          </w:cols>
        </w:sectPr>
      </w:pPr>
    </w:p>
    <w:p w:rsidR="00D81F69" w:rsidRDefault="00330118">
      <w:pPr>
        <w:pStyle w:val="Heading1"/>
        <w:tabs>
          <w:tab w:val="left" w:pos="2018"/>
          <w:tab w:val="left" w:pos="2373"/>
          <w:tab w:val="left" w:pos="2716"/>
          <w:tab w:val="left" w:pos="3182"/>
          <w:tab w:val="left" w:pos="5234"/>
          <w:tab w:val="left" w:pos="5954"/>
          <w:tab w:val="left" w:pos="7273"/>
          <w:tab w:val="left" w:pos="9013"/>
          <w:tab w:val="left" w:pos="9778"/>
        </w:tabs>
        <w:spacing w:line="208" w:lineRule="auto"/>
        <w:ind w:right="200"/>
      </w:pPr>
      <w:r>
        <w:rPr>
          <w:spacing w:val="16"/>
        </w:rPr>
        <w:lastRenderedPageBreak/>
        <w:t>Rejeitos</w:t>
      </w:r>
      <w:r>
        <w:rPr>
          <w:spacing w:val="16"/>
        </w:rPr>
        <w:tab/>
      </w:r>
      <w:r>
        <w:rPr>
          <w:spacing w:val="10"/>
        </w:rPr>
        <w:t>da</w:t>
      </w:r>
      <w:r>
        <w:rPr>
          <w:spacing w:val="10"/>
        </w:rPr>
        <w:tab/>
      </w:r>
      <w:r>
        <w:rPr>
          <w:spacing w:val="17"/>
        </w:rPr>
        <w:t>exploração</w:t>
      </w:r>
      <w:r>
        <w:rPr>
          <w:spacing w:val="17"/>
        </w:rPr>
        <w:tab/>
      </w:r>
      <w:r>
        <w:rPr>
          <w:spacing w:val="10"/>
        </w:rPr>
        <w:t>do</w:t>
      </w:r>
      <w:r>
        <w:rPr>
          <w:spacing w:val="10"/>
        </w:rPr>
        <w:tab/>
      </w:r>
      <w:r>
        <w:rPr>
          <w:spacing w:val="15"/>
        </w:rPr>
        <w:t>zinco</w:t>
      </w:r>
      <w:r>
        <w:rPr>
          <w:spacing w:val="15"/>
        </w:rPr>
        <w:tab/>
        <w:t>poluem</w:t>
      </w:r>
      <w:r>
        <w:rPr>
          <w:spacing w:val="15"/>
        </w:rPr>
        <w:tab/>
      </w:r>
      <w:r>
        <w:rPr>
          <w:spacing w:val="12"/>
        </w:rPr>
        <w:t>rio</w:t>
      </w:r>
      <w:r>
        <w:rPr>
          <w:spacing w:val="12"/>
        </w:rPr>
        <w:tab/>
      </w:r>
      <w:r>
        <w:rPr>
          <w:spacing w:val="20"/>
        </w:rPr>
        <w:t xml:space="preserve">São </w:t>
      </w:r>
      <w:r>
        <w:rPr>
          <w:spacing w:val="16"/>
        </w:rPr>
        <w:t>Francisco</w:t>
      </w:r>
      <w:r>
        <w:rPr>
          <w:spacing w:val="16"/>
        </w:rPr>
        <w:tab/>
      </w:r>
      <w:r>
        <w:rPr>
          <w:spacing w:val="10"/>
        </w:rPr>
        <w:t>em</w:t>
      </w:r>
      <w:r>
        <w:rPr>
          <w:spacing w:val="10"/>
        </w:rPr>
        <w:tab/>
      </w:r>
      <w:r>
        <w:rPr>
          <w:spacing w:val="20"/>
        </w:rPr>
        <w:t>MG</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MG - Três Marias</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-18,1891</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-45,2419</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39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Relatórios de órgãos governamentais e </w:t>
      </w:r>
      <w:r>
        <w:rPr>
          <w:i/>
          <w:sz w:val="16"/>
        </w:rPr>
        <w:t>da sociedade civil apontam a Votorantim Metais Zinco, unidade Três Marias, como uma das responsáveis pela contaminação do Vale do São Francisco. A degradação ambiental se reflete em prejuízos no modo de vida das comunidades da região que têm na pesca sua f</w:t>
      </w:r>
      <w:r>
        <w:rPr>
          <w:i/>
          <w:sz w:val="16"/>
        </w:rPr>
        <w:t>onte de alimento e renda. A empresa nega ser responsável pela poluição.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0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94"/>
      </w:pPr>
      <w:r>
        <w:t>(OLIVEIRA, 2007), com o nome de Companhia Mineira de Metais (CMM), sendo a primeira empresa da Votorantim no ramo de zinco (LUCAS, 2009). A unidade começou a operar, de fato, em 19</w:t>
      </w:r>
      <w:r>
        <w:t>69, tendo como principais produtos: óxido de zinco, ligas, lingote, zinco líquido, pó de zinco e ácido sulfúrico (OLIVEIRA; HORN, 2006). É líder mundial na produção do metal a partir de minério silicatado (OLIVEIRA, 2007).</w:t>
      </w:r>
    </w:p>
    <w:p w:rsidR="00D81F69" w:rsidRDefault="00330118">
      <w:pPr>
        <w:pStyle w:val="Corpodetexto"/>
        <w:spacing w:before="137" w:line="312" w:lineRule="auto"/>
        <w:ind w:left="135" w:right="210"/>
      </w:pPr>
      <w:r>
        <w:t>A planta metalúrgica da empresa é</w:t>
      </w:r>
      <w:r>
        <w:t xml:space="preserve"> abastecida pelas minas dos municípios de Vazante e Morro Agudo, localizadas no noroeste de Minas Gerais. Vazante é responsável pelos concentrados de silicatados; já Morro Agudo, pelos sulfetados</w:t>
      </w:r>
    </w:p>
    <w:p w:rsidR="00D81F69" w:rsidRDefault="00D81F69">
      <w:pPr>
        <w:spacing w:line="312" w:lineRule="auto"/>
        <w:sectPr w:rsidR="00D81F69">
          <w:type w:val="continuous"/>
          <w:pgSz w:w="11900" w:h="16840"/>
          <w:pgMar w:top="720" w:right="500" w:bottom="280" w:left="620" w:header="720" w:footer="720" w:gutter="0"/>
          <w:cols w:num="3" w:space="720" w:equalWidth="0">
            <w:col w:w="1264" w:space="736"/>
            <w:col w:w="3124" w:space="311"/>
            <w:col w:w="5345"/>
          </w:cols>
        </w:sectPr>
      </w:pPr>
    </w:p>
    <w:p w:rsidR="00D81F69" w:rsidRDefault="00330118">
      <w:pPr>
        <w:pStyle w:val="Heading4"/>
        <w:spacing w:before="57"/>
        <w:jc w:val="left"/>
      </w:pPr>
      <w:r>
        <w:lastRenderedPageBreak/>
        <w:t>APRESENTAÇÃO DE CASO</w:t>
      </w:r>
    </w:p>
    <w:p w:rsidR="00D81F69" w:rsidRDefault="00330118">
      <w:pPr>
        <w:pStyle w:val="Corpodetexto"/>
        <w:spacing w:before="171" w:line="312" w:lineRule="auto"/>
        <w:ind w:right="99"/>
      </w:pPr>
      <w:r>
        <w:t xml:space="preserve">A maior parte do Vale do São Francisco é rica em depósitos minerais. Produz zinco, </w:t>
      </w:r>
      <w:hyperlink r:id="rId1371">
        <w:r>
          <w:t>cromo,</w:t>
        </w:r>
      </w:hyperlink>
      <w:r>
        <w:t xml:space="preserve"> diamante, prata e agalmatolito, além de chumbo, </w:t>
      </w:r>
      <w:hyperlink r:id="rId1372">
        <w:r>
          <w:t xml:space="preserve">cobre, </w:t>
        </w:r>
      </w:hyperlink>
      <w:r>
        <w:t xml:space="preserve">ouro, gipsita e pirofilita (MME/SMM/DNPM, 1998). No entanto, as atividades industriais de mineração e siderurgia, juntamente com outras atividades antrópicas, vêm gerando vários impactos </w:t>
      </w:r>
      <w:r>
        <w:t>na região, comprometendo a sobrevivência de diversas comunidades ao longo do Alto e Médio Rio São Francisco (MAPA DA INJUSTIÇA AMBIENTAL E SAÚDE NO BRASIL,</w:t>
      </w:r>
    </w:p>
    <w:p w:rsidR="00D81F69" w:rsidRDefault="00330118">
      <w:pPr>
        <w:pStyle w:val="Corpodetexto"/>
        <w:spacing w:before="8" w:line="312" w:lineRule="auto"/>
        <w:ind w:right="41"/>
        <w:jc w:val="left"/>
      </w:pPr>
      <w:r>
        <w:t>2009). É o caso do município mineiro de Três Marias, localizado na margem direita do rio (VALE DO SÃ</w:t>
      </w:r>
      <w:r>
        <w:t>O FRANCISCO, 2011), a 276 km de Belo Horizonte (OLIVEIRA, 2007), e que tem 2.678,251 km² e 28.318 habitantes (IBGE, 2010).</w:t>
      </w:r>
    </w:p>
    <w:p w:rsidR="00D81F69" w:rsidRDefault="00330118">
      <w:pPr>
        <w:pStyle w:val="Corpodetexto"/>
        <w:spacing w:before="135" w:line="312" w:lineRule="auto"/>
        <w:ind w:right="108"/>
      </w:pPr>
      <w:r>
        <w:t xml:space="preserve">O município é sede de uma metalurgia da Votorantim Metais Zinco, que produz 180 mil t/ano de </w:t>
      </w:r>
      <w:hyperlink r:id="rId1373">
        <w:r>
          <w:t xml:space="preserve">zinco </w:t>
        </w:r>
      </w:hyperlink>
      <w:r>
        <w:t xml:space="preserve">metálico (BRASIL MINERAL, 2008). A empresa é tida como uma das que mais </w:t>
      </w:r>
      <w:r>
        <w:rPr>
          <w:spacing w:val="8"/>
        </w:rPr>
        <w:t xml:space="preserve">contribuem </w:t>
      </w:r>
      <w:r>
        <w:rPr>
          <w:spacing w:val="7"/>
        </w:rPr>
        <w:t xml:space="preserve">para </w:t>
      </w:r>
      <w:r>
        <w:t xml:space="preserve">a </w:t>
      </w:r>
      <w:r>
        <w:rPr>
          <w:spacing w:val="8"/>
        </w:rPr>
        <w:t xml:space="preserve">degradação ambiental </w:t>
      </w:r>
      <w:r>
        <w:rPr>
          <w:spacing w:val="5"/>
        </w:rPr>
        <w:t xml:space="preserve">do </w:t>
      </w:r>
      <w:r>
        <w:rPr>
          <w:spacing w:val="6"/>
        </w:rPr>
        <w:t xml:space="preserve">rio </w:t>
      </w:r>
      <w:r>
        <w:rPr>
          <w:spacing w:val="10"/>
        </w:rPr>
        <w:t xml:space="preserve">São </w:t>
      </w:r>
      <w:r>
        <w:rPr>
          <w:spacing w:val="3"/>
        </w:rPr>
        <w:t xml:space="preserve">Francisco. </w:t>
      </w:r>
      <w:r>
        <w:rPr>
          <w:spacing w:val="2"/>
        </w:rPr>
        <w:t xml:space="preserve">Até </w:t>
      </w:r>
      <w:r>
        <w:rPr>
          <w:spacing w:val="3"/>
        </w:rPr>
        <w:t xml:space="preserve">2001, </w:t>
      </w:r>
      <w:r>
        <w:t xml:space="preserve">a </w:t>
      </w:r>
      <w:r>
        <w:rPr>
          <w:spacing w:val="3"/>
        </w:rPr>
        <w:t xml:space="preserve">unidade </w:t>
      </w:r>
      <w:r>
        <w:rPr>
          <w:spacing w:val="2"/>
        </w:rPr>
        <w:t xml:space="preserve">Três </w:t>
      </w:r>
      <w:r>
        <w:rPr>
          <w:spacing w:val="3"/>
        </w:rPr>
        <w:t xml:space="preserve">Marias lançava </w:t>
      </w:r>
      <w:r>
        <w:rPr>
          <w:spacing w:val="5"/>
        </w:rPr>
        <w:t xml:space="preserve">seu </w:t>
      </w:r>
      <w:r>
        <w:rPr>
          <w:spacing w:val="3"/>
        </w:rPr>
        <w:t>rejeito diretamente so</w:t>
      </w:r>
      <w:r>
        <w:rPr>
          <w:spacing w:val="3"/>
        </w:rPr>
        <w:t xml:space="preserve">bre </w:t>
      </w:r>
      <w:r>
        <w:t xml:space="preserve">o </w:t>
      </w:r>
      <w:r>
        <w:rPr>
          <w:spacing w:val="3"/>
        </w:rPr>
        <w:t xml:space="preserve">solo, gerando </w:t>
      </w:r>
      <w:r>
        <w:t xml:space="preserve">a </w:t>
      </w:r>
      <w:r>
        <w:rPr>
          <w:spacing w:val="3"/>
        </w:rPr>
        <w:t xml:space="preserve">lixiviação </w:t>
      </w:r>
      <w:r>
        <w:rPr>
          <w:spacing w:val="5"/>
        </w:rPr>
        <w:t xml:space="preserve">de </w:t>
      </w:r>
      <w:r>
        <w:rPr>
          <w:spacing w:val="7"/>
        </w:rPr>
        <w:t xml:space="preserve">metais pesados </w:t>
      </w:r>
      <w:r>
        <w:rPr>
          <w:spacing w:val="6"/>
        </w:rPr>
        <w:t xml:space="preserve">para </w:t>
      </w:r>
      <w:r>
        <w:rPr>
          <w:spacing w:val="7"/>
        </w:rPr>
        <w:t xml:space="preserve">zonas </w:t>
      </w:r>
      <w:r>
        <w:rPr>
          <w:spacing w:val="8"/>
        </w:rPr>
        <w:t xml:space="preserve">profundas, </w:t>
      </w:r>
      <w:r>
        <w:t xml:space="preserve">o </w:t>
      </w:r>
      <w:r>
        <w:rPr>
          <w:spacing w:val="5"/>
        </w:rPr>
        <w:t xml:space="preserve">que </w:t>
      </w:r>
      <w:r>
        <w:rPr>
          <w:spacing w:val="10"/>
        </w:rPr>
        <w:t xml:space="preserve">acabou </w:t>
      </w:r>
      <w:r>
        <w:t xml:space="preserve">causando a contaminação do lençol freático e das águas do </w:t>
      </w:r>
      <w:r>
        <w:rPr>
          <w:spacing w:val="8"/>
        </w:rPr>
        <w:t xml:space="preserve">rio, </w:t>
      </w:r>
      <w:r>
        <w:rPr>
          <w:spacing w:val="7"/>
        </w:rPr>
        <w:t xml:space="preserve">bem </w:t>
      </w:r>
      <w:r>
        <w:rPr>
          <w:spacing w:val="8"/>
        </w:rPr>
        <w:t xml:space="preserve">como </w:t>
      </w:r>
      <w:r>
        <w:rPr>
          <w:spacing w:val="10"/>
        </w:rPr>
        <w:t xml:space="preserve">outros impactos ambientais, </w:t>
      </w:r>
      <w:r>
        <w:rPr>
          <w:spacing w:val="8"/>
        </w:rPr>
        <w:t xml:space="preserve">como </w:t>
      </w:r>
      <w:r>
        <w:t xml:space="preserve">a </w:t>
      </w:r>
      <w:r>
        <w:rPr>
          <w:spacing w:val="10"/>
        </w:rPr>
        <w:t xml:space="preserve">mortandade </w:t>
      </w:r>
      <w:r>
        <w:rPr>
          <w:spacing w:val="5"/>
        </w:rPr>
        <w:t xml:space="preserve">de </w:t>
      </w:r>
      <w:r>
        <w:rPr>
          <w:spacing w:val="10"/>
        </w:rPr>
        <w:t>peixes (OLIVEIRA,</w:t>
      </w:r>
      <w:r>
        <w:rPr>
          <w:spacing w:val="66"/>
        </w:rPr>
        <w:t xml:space="preserve"> </w:t>
      </w:r>
      <w:r>
        <w:rPr>
          <w:spacing w:val="12"/>
        </w:rPr>
        <w:t>2007).</w:t>
      </w:r>
    </w:p>
    <w:p w:rsidR="00D81F69" w:rsidRDefault="00330118">
      <w:pPr>
        <w:pStyle w:val="Corpodetexto"/>
        <w:spacing w:before="139" w:line="312" w:lineRule="auto"/>
        <w:ind w:right="111"/>
      </w:pPr>
      <w:r>
        <w:t xml:space="preserve">A Votorantim Metais apresenta estudos que eximem sua responsabilidade e atestam a normalidade dos índices medidores de substâncias tóxicas no rio. Já a Fundação Estadual de Meio Ambiente (Feam) e o Instituto Estadual de Florestas (IEF) fazem levantamentos </w:t>
      </w:r>
      <w:r>
        <w:t>que indicam a responsabilidade da empresa. Entre 1993 e 2008, a empresa foi multada 15 vezes por poluição do rio São Francisco e de afluentes (MAPA DA INJUSTIÇA AMBIENTAL E SAÚDE NO BRASIL, 2009).</w:t>
      </w:r>
    </w:p>
    <w:p w:rsidR="00D81F69" w:rsidRDefault="00330118">
      <w:pPr>
        <w:pStyle w:val="Corpodetexto"/>
        <w:spacing w:before="75" w:line="270" w:lineRule="atLeast"/>
        <w:ind w:right="107"/>
      </w:pPr>
      <w:r>
        <w:t>A unidade de Três Marias da Votorantim Metais Zinco foi cri</w:t>
      </w:r>
      <w:r>
        <w:t>ada em 1956, a jusante da Represa Três Marias</w:t>
      </w:r>
    </w:p>
    <w:p w:rsidR="00D81F69" w:rsidRDefault="00330118">
      <w:pPr>
        <w:pStyle w:val="Corpodetexto"/>
        <w:spacing w:before="4"/>
        <w:jc w:val="left"/>
      </w:pPr>
      <w:r>
        <w:br w:type="column"/>
      </w:r>
      <w:r>
        <w:lastRenderedPageBreak/>
        <w:t>(OLIVEIRA, 2007).</w:t>
      </w:r>
    </w:p>
    <w:p w:rsidR="00D81F69" w:rsidRDefault="00D81F69">
      <w:pPr>
        <w:pStyle w:val="Corpodetexto"/>
        <w:spacing w:before="8"/>
        <w:ind w:left="0"/>
        <w:jc w:val="left"/>
        <w:rPr>
          <w:sz w:val="16"/>
        </w:rPr>
      </w:pPr>
    </w:p>
    <w:p w:rsidR="00D81F69" w:rsidRDefault="00330118">
      <w:pPr>
        <w:pStyle w:val="Corpodetexto"/>
        <w:spacing w:before="1" w:line="312" w:lineRule="auto"/>
        <w:ind w:right="181"/>
      </w:pPr>
      <w:r>
        <w:rPr>
          <w:spacing w:val="3"/>
        </w:rPr>
        <w:t xml:space="preserve">Em </w:t>
      </w:r>
      <w:r>
        <w:rPr>
          <w:spacing w:val="5"/>
        </w:rPr>
        <w:t xml:space="preserve">1973, </w:t>
      </w:r>
      <w:r>
        <w:t xml:space="preserve">o </w:t>
      </w:r>
      <w:r>
        <w:rPr>
          <w:spacing w:val="5"/>
        </w:rPr>
        <w:t xml:space="preserve">então </w:t>
      </w:r>
      <w:r>
        <w:rPr>
          <w:spacing w:val="6"/>
        </w:rPr>
        <w:t xml:space="preserve">Departamento Nacional </w:t>
      </w:r>
      <w:r>
        <w:rPr>
          <w:spacing w:val="3"/>
        </w:rPr>
        <w:t xml:space="preserve">de </w:t>
      </w:r>
      <w:r>
        <w:rPr>
          <w:spacing w:val="5"/>
        </w:rPr>
        <w:t xml:space="preserve">Águas </w:t>
      </w:r>
      <w:r>
        <w:t xml:space="preserve">e Energia Elétrica (DNAEE), hoje Agência Nacional de Energia Elétrica (Aneel), já apontava a Unidade de Três Marias como </w:t>
      </w:r>
      <w:r>
        <w:rPr>
          <w:spacing w:val="6"/>
        </w:rPr>
        <w:t xml:space="preserve">responsável </w:t>
      </w:r>
      <w:r>
        <w:rPr>
          <w:spacing w:val="5"/>
        </w:rPr>
        <w:t xml:space="preserve">pela </w:t>
      </w:r>
      <w:r>
        <w:rPr>
          <w:spacing w:val="6"/>
        </w:rPr>
        <w:t>polu</w:t>
      </w:r>
      <w:r>
        <w:rPr>
          <w:spacing w:val="6"/>
        </w:rPr>
        <w:t xml:space="preserve">ição </w:t>
      </w:r>
      <w:r>
        <w:rPr>
          <w:spacing w:val="3"/>
        </w:rPr>
        <w:t xml:space="preserve">do </w:t>
      </w:r>
      <w:r>
        <w:rPr>
          <w:spacing w:val="5"/>
        </w:rPr>
        <w:t xml:space="preserve">rio São </w:t>
      </w:r>
      <w:r>
        <w:rPr>
          <w:spacing w:val="6"/>
        </w:rPr>
        <w:t xml:space="preserve">Francisco </w:t>
      </w:r>
      <w:r>
        <w:t xml:space="preserve">e </w:t>
      </w:r>
      <w:r>
        <w:rPr>
          <w:spacing w:val="7"/>
        </w:rPr>
        <w:t xml:space="preserve">pelo </w:t>
      </w:r>
      <w:r>
        <w:rPr>
          <w:spacing w:val="1"/>
        </w:rPr>
        <w:t xml:space="preserve">lançamento </w:t>
      </w:r>
      <w:r>
        <w:t xml:space="preserve">de </w:t>
      </w:r>
      <w:r>
        <w:rPr>
          <w:spacing w:val="1"/>
        </w:rPr>
        <w:t xml:space="preserve">grandes quantidades </w:t>
      </w:r>
      <w:r>
        <w:t xml:space="preserve">de </w:t>
      </w:r>
      <w:r>
        <w:rPr>
          <w:spacing w:val="1"/>
        </w:rPr>
        <w:t xml:space="preserve">material tóxico </w:t>
      </w:r>
      <w:r>
        <w:rPr>
          <w:spacing w:val="2"/>
        </w:rPr>
        <w:t xml:space="preserve">em </w:t>
      </w:r>
      <w:r>
        <w:t xml:space="preserve">suas águas. No mesmo ano, o Centro Tecnológico de Minas Gerais (Cetec) constatou estagnação das águas do ribeirão </w:t>
      </w:r>
      <w:r>
        <w:rPr>
          <w:spacing w:val="5"/>
        </w:rPr>
        <w:t xml:space="preserve">Consciência, afluente </w:t>
      </w:r>
      <w:r>
        <w:rPr>
          <w:spacing w:val="2"/>
        </w:rPr>
        <w:t xml:space="preserve">do </w:t>
      </w:r>
      <w:r>
        <w:rPr>
          <w:spacing w:val="3"/>
        </w:rPr>
        <w:t xml:space="preserve">rio São </w:t>
      </w:r>
      <w:r>
        <w:rPr>
          <w:spacing w:val="5"/>
        </w:rPr>
        <w:t>Francisco, localizad</w:t>
      </w:r>
      <w:r>
        <w:rPr>
          <w:spacing w:val="5"/>
        </w:rPr>
        <w:t xml:space="preserve">o </w:t>
      </w:r>
      <w:r>
        <w:t xml:space="preserve">a jusante da empresa. Durante os períodos de chuvas, quando o </w:t>
      </w:r>
      <w:r>
        <w:rPr>
          <w:spacing w:val="3"/>
        </w:rPr>
        <w:t xml:space="preserve">nível </w:t>
      </w:r>
      <w:r>
        <w:rPr>
          <w:spacing w:val="1"/>
        </w:rPr>
        <w:t xml:space="preserve">de </w:t>
      </w:r>
      <w:r>
        <w:rPr>
          <w:spacing w:val="2"/>
        </w:rPr>
        <w:t xml:space="preserve">água </w:t>
      </w:r>
      <w:r>
        <w:rPr>
          <w:spacing w:val="1"/>
        </w:rPr>
        <w:t xml:space="preserve">no </w:t>
      </w:r>
      <w:r>
        <w:rPr>
          <w:spacing w:val="2"/>
        </w:rPr>
        <w:t xml:space="preserve">São </w:t>
      </w:r>
      <w:r>
        <w:rPr>
          <w:spacing w:val="3"/>
        </w:rPr>
        <w:t xml:space="preserve">Francisco </w:t>
      </w:r>
      <w:r>
        <w:rPr>
          <w:spacing w:val="1"/>
        </w:rPr>
        <w:t xml:space="preserve">se </w:t>
      </w:r>
      <w:r>
        <w:rPr>
          <w:spacing w:val="3"/>
        </w:rPr>
        <w:t xml:space="preserve">elevava, </w:t>
      </w:r>
      <w:r>
        <w:t xml:space="preserve">o </w:t>
      </w:r>
      <w:r>
        <w:rPr>
          <w:spacing w:val="5"/>
        </w:rPr>
        <w:t xml:space="preserve">ribeirão </w:t>
      </w:r>
      <w:r>
        <w:rPr>
          <w:spacing w:val="11"/>
        </w:rPr>
        <w:t xml:space="preserve">passava </w:t>
      </w:r>
      <w:r>
        <w:t xml:space="preserve">a </w:t>
      </w:r>
      <w:r>
        <w:rPr>
          <w:spacing w:val="10"/>
        </w:rPr>
        <w:t xml:space="preserve">agir como uma </w:t>
      </w:r>
      <w:r>
        <w:rPr>
          <w:spacing w:val="11"/>
        </w:rPr>
        <w:t xml:space="preserve">bacia </w:t>
      </w:r>
      <w:r>
        <w:rPr>
          <w:spacing w:val="6"/>
        </w:rPr>
        <w:t xml:space="preserve">de </w:t>
      </w:r>
      <w:r>
        <w:rPr>
          <w:spacing w:val="15"/>
        </w:rPr>
        <w:t xml:space="preserve">sedimentação, </w:t>
      </w:r>
      <w:r>
        <w:rPr>
          <w:spacing w:val="1"/>
        </w:rPr>
        <w:t xml:space="preserve">acumulando grandes quantidades </w:t>
      </w:r>
      <w:r>
        <w:t xml:space="preserve">de </w:t>
      </w:r>
      <w:r>
        <w:rPr>
          <w:spacing w:val="1"/>
        </w:rPr>
        <w:t xml:space="preserve">sedimentos </w:t>
      </w:r>
      <w:r>
        <w:rPr>
          <w:spacing w:val="2"/>
        </w:rPr>
        <w:t xml:space="preserve">(CETEC, </w:t>
      </w:r>
      <w:r>
        <w:rPr>
          <w:spacing w:val="1"/>
        </w:rPr>
        <w:t>1980 apud OLIVEIRA; HORN,</w:t>
      </w:r>
      <w:r>
        <w:rPr>
          <w:spacing w:val="30"/>
        </w:rPr>
        <w:t xml:space="preserve"> </w:t>
      </w:r>
      <w:r>
        <w:rPr>
          <w:spacing w:val="2"/>
        </w:rPr>
        <w:t>2006).</w:t>
      </w:r>
    </w:p>
    <w:p w:rsidR="00D81F69" w:rsidRDefault="00330118">
      <w:pPr>
        <w:pStyle w:val="Corpodetexto"/>
        <w:spacing w:before="142" w:line="312" w:lineRule="auto"/>
        <w:ind w:right="201"/>
      </w:pPr>
      <w:r>
        <w:t>De ac</w:t>
      </w:r>
      <w:r>
        <w:t xml:space="preserve">ordo com relato de 1974 do DNAEE, na foz do ribeirão Consciência, o pH chegava a 3, indicando a natureza ácida dos efluentes da Votorantim Metais Zinco. A acidez da água </w:t>
      </w:r>
      <w:r>
        <w:rPr>
          <w:spacing w:val="12"/>
        </w:rPr>
        <w:t xml:space="preserve">favorece </w:t>
      </w:r>
      <w:r>
        <w:t xml:space="preserve">a </w:t>
      </w:r>
      <w:r>
        <w:rPr>
          <w:spacing w:val="12"/>
        </w:rPr>
        <w:t xml:space="preserve">mobilidade </w:t>
      </w:r>
      <w:r>
        <w:rPr>
          <w:spacing w:val="10"/>
        </w:rPr>
        <w:t xml:space="preserve">dos </w:t>
      </w:r>
      <w:r>
        <w:rPr>
          <w:spacing w:val="11"/>
        </w:rPr>
        <w:t xml:space="preserve">metais, </w:t>
      </w:r>
      <w:r>
        <w:rPr>
          <w:spacing w:val="6"/>
        </w:rPr>
        <w:t xml:space="preserve">e, </w:t>
      </w:r>
      <w:r>
        <w:rPr>
          <w:spacing w:val="11"/>
        </w:rPr>
        <w:t xml:space="preserve">quando </w:t>
      </w:r>
      <w:r>
        <w:rPr>
          <w:spacing w:val="10"/>
        </w:rPr>
        <w:t xml:space="preserve">sua </w:t>
      </w:r>
      <w:r>
        <w:t xml:space="preserve">concentração atinge níveis tóxicos, a </w:t>
      </w:r>
      <w:r>
        <w:t xml:space="preserve">população planctônica </w:t>
      </w:r>
      <w:r>
        <w:rPr>
          <w:spacing w:val="8"/>
        </w:rPr>
        <w:t xml:space="preserve">desaparece, </w:t>
      </w:r>
      <w:r>
        <w:rPr>
          <w:spacing w:val="7"/>
        </w:rPr>
        <w:t xml:space="preserve">alterando </w:t>
      </w:r>
      <w:r>
        <w:t xml:space="preserve">a </w:t>
      </w:r>
      <w:r>
        <w:rPr>
          <w:spacing w:val="7"/>
        </w:rPr>
        <w:t xml:space="preserve">cadeia alimentar </w:t>
      </w:r>
      <w:r>
        <w:t xml:space="preserve">e </w:t>
      </w:r>
      <w:r>
        <w:rPr>
          <w:spacing w:val="10"/>
        </w:rPr>
        <w:t xml:space="preserve">causando </w:t>
      </w:r>
      <w:r>
        <w:rPr>
          <w:spacing w:val="5"/>
        </w:rPr>
        <w:t xml:space="preserve">prejuízos </w:t>
      </w:r>
      <w:r>
        <w:rPr>
          <w:spacing w:val="2"/>
        </w:rPr>
        <w:t xml:space="preserve">ao </w:t>
      </w:r>
      <w:r>
        <w:rPr>
          <w:spacing w:val="5"/>
        </w:rPr>
        <w:t xml:space="preserve">ecossistema </w:t>
      </w:r>
      <w:r>
        <w:rPr>
          <w:spacing w:val="2"/>
        </w:rPr>
        <w:t xml:space="preserve">da </w:t>
      </w:r>
      <w:r>
        <w:rPr>
          <w:spacing w:val="5"/>
        </w:rPr>
        <w:t xml:space="preserve">região (CETEC, </w:t>
      </w:r>
      <w:r>
        <w:rPr>
          <w:spacing w:val="3"/>
        </w:rPr>
        <w:t xml:space="preserve">1980 </w:t>
      </w:r>
      <w:r>
        <w:rPr>
          <w:spacing w:val="5"/>
        </w:rPr>
        <w:t>apud</w:t>
      </w:r>
      <w:r>
        <w:rPr>
          <w:spacing w:val="61"/>
        </w:rPr>
        <w:t xml:space="preserve"> </w:t>
      </w:r>
      <w:r>
        <w:t xml:space="preserve">OLIVEIRA; HORN, 2006). O DNAEE também apontou que as </w:t>
      </w:r>
      <w:r>
        <w:rPr>
          <w:spacing w:val="5"/>
        </w:rPr>
        <w:t xml:space="preserve">águas </w:t>
      </w:r>
      <w:r>
        <w:rPr>
          <w:spacing w:val="2"/>
        </w:rPr>
        <w:t xml:space="preserve">do </w:t>
      </w:r>
      <w:r>
        <w:rPr>
          <w:spacing w:val="5"/>
        </w:rPr>
        <w:t xml:space="preserve">ribeirão apresentavam altos teores </w:t>
      </w:r>
      <w:r>
        <w:rPr>
          <w:spacing w:val="2"/>
        </w:rPr>
        <w:t xml:space="preserve">de </w:t>
      </w:r>
      <w:r>
        <w:rPr>
          <w:spacing w:val="6"/>
        </w:rPr>
        <w:t xml:space="preserve">metais </w:t>
      </w:r>
      <w:r>
        <w:t xml:space="preserve">pesados, como zinco, </w:t>
      </w:r>
      <w:hyperlink r:id="rId1374">
        <w:r>
          <w:t xml:space="preserve">cádmio </w:t>
        </w:r>
      </w:hyperlink>
      <w:r>
        <w:t>e cobre: o de zinco alcançava o valor de 560 mg/L; o de cádmio 0,17 mg/L; e o de cobre 7,2 mg/L (CETEC, 1980 apud OLIVEIRA; HORN, 2006).</w:t>
      </w:r>
    </w:p>
    <w:p w:rsidR="00D81F69" w:rsidRDefault="00330118">
      <w:pPr>
        <w:pStyle w:val="Corpodetexto"/>
        <w:spacing w:before="78" w:line="270" w:lineRule="atLeast"/>
        <w:ind w:right="195"/>
      </w:pPr>
      <w:r>
        <w:t xml:space="preserve">Em 1976, de acordo com </w:t>
      </w:r>
      <w:r>
        <w:t xml:space="preserve">relatório da Companhia de Pesquisa </w:t>
      </w:r>
      <w:r>
        <w:rPr>
          <w:spacing w:val="5"/>
        </w:rPr>
        <w:t xml:space="preserve">de </w:t>
      </w:r>
      <w:r>
        <w:rPr>
          <w:spacing w:val="7"/>
        </w:rPr>
        <w:t xml:space="preserve">Recursos Minerais (CPRM), </w:t>
      </w:r>
      <w:r>
        <w:t xml:space="preserve">o </w:t>
      </w:r>
      <w:r>
        <w:rPr>
          <w:spacing w:val="7"/>
        </w:rPr>
        <w:t xml:space="preserve">ribeirão </w:t>
      </w:r>
      <w:r>
        <w:rPr>
          <w:spacing w:val="10"/>
        </w:rPr>
        <w:t xml:space="preserve">Consciência </w:t>
      </w:r>
      <w:r>
        <w:t xml:space="preserve">continuava recebendo rejeito da empresa. Segundo a CPRM, o problema só não alcançava proporções maiores, devido ao </w:t>
      </w:r>
      <w:r>
        <w:rPr>
          <w:spacing w:val="10"/>
        </w:rPr>
        <w:t xml:space="preserve">grande volume </w:t>
      </w:r>
      <w:r>
        <w:rPr>
          <w:spacing w:val="5"/>
        </w:rPr>
        <w:t xml:space="preserve">de </w:t>
      </w:r>
      <w:r>
        <w:rPr>
          <w:spacing w:val="8"/>
        </w:rPr>
        <w:t xml:space="preserve">água </w:t>
      </w:r>
      <w:r>
        <w:rPr>
          <w:spacing w:val="5"/>
        </w:rPr>
        <w:t xml:space="preserve">do </w:t>
      </w:r>
      <w:r>
        <w:rPr>
          <w:spacing w:val="7"/>
        </w:rPr>
        <w:t xml:space="preserve">rio São </w:t>
      </w:r>
      <w:r>
        <w:rPr>
          <w:spacing w:val="10"/>
        </w:rPr>
        <w:t xml:space="preserve">Francisco </w:t>
      </w:r>
      <w:r>
        <w:t xml:space="preserve">e </w:t>
      </w:r>
      <w:r>
        <w:rPr>
          <w:spacing w:val="11"/>
        </w:rPr>
        <w:t xml:space="preserve">sua </w:t>
      </w:r>
      <w:r>
        <w:t>decor</w:t>
      </w:r>
      <w:r>
        <w:t xml:space="preserve">rente capacidade de diluição. Já em 1978, o Conselho Estadual de Política Ambiental (Copam) relatou que as lamas, </w:t>
      </w:r>
      <w:r>
        <w:rPr>
          <w:spacing w:val="3"/>
        </w:rPr>
        <w:t xml:space="preserve">depositadas </w:t>
      </w:r>
      <w:r>
        <w:rPr>
          <w:spacing w:val="2"/>
        </w:rPr>
        <w:t xml:space="preserve">nos </w:t>
      </w:r>
      <w:r>
        <w:rPr>
          <w:spacing w:val="3"/>
        </w:rPr>
        <w:t xml:space="preserve">terrenos </w:t>
      </w:r>
      <w:r>
        <w:rPr>
          <w:spacing w:val="1"/>
        </w:rPr>
        <w:t xml:space="preserve">da </w:t>
      </w:r>
      <w:r>
        <w:rPr>
          <w:spacing w:val="3"/>
        </w:rPr>
        <w:t xml:space="preserve">empresa, poluíam </w:t>
      </w:r>
      <w:r>
        <w:rPr>
          <w:spacing w:val="1"/>
        </w:rPr>
        <w:t xml:space="preserve">os </w:t>
      </w:r>
      <w:r>
        <w:rPr>
          <w:spacing w:val="2"/>
        </w:rPr>
        <w:t xml:space="preserve">solo </w:t>
      </w:r>
      <w:r>
        <w:t>e também o rio São Francisco (CETEC, 1980 apud OLIVEIRA; HORN, 2006). Chuvas fortes carre</w:t>
      </w:r>
      <w:r>
        <w:t xml:space="preserve">avam grandes quantidades de </w:t>
      </w:r>
      <w:r>
        <w:rPr>
          <w:spacing w:val="1"/>
        </w:rPr>
        <w:t xml:space="preserve">lamas residuárias para </w:t>
      </w:r>
      <w:r>
        <w:t xml:space="preserve">o </w:t>
      </w:r>
      <w:r>
        <w:rPr>
          <w:spacing w:val="1"/>
        </w:rPr>
        <w:t>rio, provocando, dentre</w:t>
      </w:r>
      <w:r>
        <w:rPr>
          <w:spacing w:val="45"/>
        </w:rPr>
        <w:t xml:space="preserve"> </w:t>
      </w:r>
      <w:r>
        <w:rPr>
          <w:spacing w:val="2"/>
        </w:rPr>
        <w:t>outros</w:t>
      </w:r>
    </w:p>
    <w:p w:rsidR="00D81F69" w:rsidRDefault="00D81F69">
      <w:pPr>
        <w:spacing w:line="270" w:lineRule="atLeast"/>
        <w:sectPr w:rsidR="00D81F69">
          <w:type w:val="continuous"/>
          <w:pgSz w:w="11900" w:h="16840"/>
          <w:pgMar w:top="720" w:right="500" w:bottom="280" w:left="620" w:header="720" w:footer="720" w:gutter="0"/>
          <w:cols w:num="2" w:space="720" w:equalWidth="0">
            <w:col w:w="5214" w:space="256"/>
            <w:col w:w="5310"/>
          </w:cols>
        </w:sectPr>
      </w:pPr>
    </w:p>
    <w:p w:rsidR="00D81F69" w:rsidRDefault="00330118">
      <w:pPr>
        <w:pStyle w:val="Corpodetexto"/>
        <w:spacing w:before="81"/>
      </w:pPr>
      <w:r>
        <w:lastRenderedPageBreak/>
        <w:t>impactos, a mortandade de peixes (OLIVEIRA; HORN, 2006).</w:t>
      </w:r>
    </w:p>
    <w:p w:rsidR="00D81F69" w:rsidRDefault="00D81F69">
      <w:pPr>
        <w:pStyle w:val="Corpodetexto"/>
        <w:spacing w:before="9"/>
        <w:ind w:left="0"/>
        <w:jc w:val="left"/>
        <w:rPr>
          <w:sz w:val="16"/>
        </w:rPr>
      </w:pPr>
    </w:p>
    <w:p w:rsidR="00D81F69" w:rsidRDefault="00330118">
      <w:pPr>
        <w:pStyle w:val="Corpodetexto"/>
        <w:spacing w:line="312" w:lineRule="auto"/>
        <w:ind w:right="38"/>
      </w:pPr>
      <w:r>
        <w:t xml:space="preserve">Para tentar solucionar a questão, a empresa construiu a Barragem Velha, que entrou em funcionamento em 1983, para receber o resíduo do processamento do zinco (OLIVEIRA, 2007). No entanto, a barragem, que operou até 2002, foi construída na barranca do rio, </w:t>
      </w:r>
      <w:r>
        <w:t>o que fez com que os metais pesados continuassem a se acumular em seu leito, gerando uma lama tóxica. Quando as comportas da barragem de Três Marias eram abertas, a lama era revolvida, contaminando a água e os peixes do rio (MOREIRA, 2009).</w:t>
      </w:r>
    </w:p>
    <w:p w:rsidR="00D81F69" w:rsidRDefault="00330118">
      <w:pPr>
        <w:pStyle w:val="Corpodetexto"/>
        <w:spacing w:before="138" w:line="312" w:lineRule="auto"/>
        <w:ind w:right="49"/>
      </w:pPr>
      <w:r>
        <w:t>Em 1991, estudo</w:t>
      </w:r>
      <w:r>
        <w:t>s realizados por alunos de mestrado da Universidade Fachhochschule München, de Monique (Alemanha), sob orientação do professor Adolf Heinrich Horn, na região da represa Três Marias e na zona de influência da Votorantim Metais Zinco, constataram novamente í</w:t>
      </w:r>
      <w:r>
        <w:t xml:space="preserve">ndices de metais pesados, acima do recomendável nas margens do rio (OLIVEIRA, 2007). Em 1999, a organização Greenpeace também alertou sobre a contaminação no local, pelos elementos zinco, cádmio, cobre e </w:t>
      </w:r>
      <w:hyperlink r:id="rId1375">
        <w:r>
          <w:t>chumbo.</w:t>
        </w:r>
      </w:hyperlink>
      <w:r>
        <w:t xml:space="preserve"> Segundo a organização, a causa de contaminação eram as áreas de deposição de resíduos metalúrgicos (GREENPEACE, 2002 apud OLIVEIRA; HORN, 2006).</w:t>
      </w:r>
    </w:p>
    <w:p w:rsidR="00D81F69" w:rsidRDefault="00330118">
      <w:pPr>
        <w:pStyle w:val="Corpodetexto"/>
        <w:spacing w:before="141" w:line="312" w:lineRule="auto"/>
        <w:ind w:right="54"/>
      </w:pPr>
      <w:r>
        <w:t>Em 2002, a Votorantim iniciou o processo de licenciamento ambien</w:t>
      </w:r>
      <w:r>
        <w:t>tal para a construção de uma nova barragem no leito do córrego Lavagem. A área determinada não era geologicamente adequada para esta finalidade, devido, dentre outros fatores, a suscetibilidade à infiltração. A licença foi concedida à empresa sob a condiçã</w:t>
      </w:r>
      <w:r>
        <w:t>o de que fosse aplicada uma manta de polietileno de alta densidade, que se estenderia da parede interna da barragem até uma distância de 200 m (MAB, 2009).</w:t>
      </w:r>
    </w:p>
    <w:p w:rsidR="00D81F69" w:rsidRDefault="00330118">
      <w:pPr>
        <w:pStyle w:val="Corpodetexto"/>
        <w:spacing w:before="139" w:line="312" w:lineRule="auto"/>
        <w:ind w:right="66"/>
      </w:pPr>
      <w:r>
        <w:t xml:space="preserve">A </w:t>
      </w:r>
      <w:r>
        <w:rPr>
          <w:spacing w:val="6"/>
        </w:rPr>
        <w:t xml:space="preserve">Votorantim </w:t>
      </w:r>
      <w:r>
        <w:rPr>
          <w:spacing w:val="5"/>
        </w:rPr>
        <w:t xml:space="preserve">iniciou </w:t>
      </w:r>
      <w:r>
        <w:t xml:space="preserve">a </w:t>
      </w:r>
      <w:r>
        <w:rPr>
          <w:spacing w:val="6"/>
        </w:rPr>
        <w:t xml:space="preserve">construção </w:t>
      </w:r>
      <w:r>
        <w:rPr>
          <w:spacing w:val="3"/>
        </w:rPr>
        <w:t xml:space="preserve">da </w:t>
      </w:r>
      <w:r>
        <w:rPr>
          <w:spacing w:val="6"/>
        </w:rPr>
        <w:t xml:space="preserve">barragem </w:t>
      </w:r>
      <w:r>
        <w:rPr>
          <w:spacing w:val="5"/>
        </w:rPr>
        <w:t xml:space="preserve">sem </w:t>
      </w:r>
      <w:r>
        <w:t xml:space="preserve">a utilização da referida manta, tendo a obra sido </w:t>
      </w:r>
      <w:r>
        <w:t>liberada pelo Copam. Como resultado, ocorreram vários vazamentos após a construção da barragem, e, à medida que a contaminação avançava pelo leito e pelas margens do córrego, a empresa construía caixas de concreto para barrar a poluição. Nesse sistema, a á</w:t>
      </w:r>
      <w:r>
        <w:t xml:space="preserve">gua era levada de volta à barragem por meio de bombas automáticas. Porém, em dezembro de 2005, houve uma pane nas bombas que provocou o transbordamento e o </w:t>
      </w:r>
      <w:r>
        <w:rPr>
          <w:spacing w:val="1"/>
        </w:rPr>
        <w:t xml:space="preserve">vazamento </w:t>
      </w:r>
      <w:r>
        <w:t xml:space="preserve">de uma das </w:t>
      </w:r>
      <w:r>
        <w:rPr>
          <w:spacing w:val="1"/>
        </w:rPr>
        <w:t xml:space="preserve">caixas </w:t>
      </w:r>
      <w:r>
        <w:t xml:space="preserve">de </w:t>
      </w:r>
      <w:r>
        <w:rPr>
          <w:spacing w:val="1"/>
        </w:rPr>
        <w:t xml:space="preserve">concreto córrego </w:t>
      </w:r>
      <w:r>
        <w:rPr>
          <w:spacing w:val="2"/>
        </w:rPr>
        <w:t xml:space="preserve">abaixo </w:t>
      </w:r>
      <w:r>
        <w:rPr>
          <w:spacing w:val="1"/>
        </w:rPr>
        <w:t>(MAB,</w:t>
      </w:r>
      <w:r>
        <w:rPr>
          <w:spacing w:val="20"/>
        </w:rPr>
        <w:t xml:space="preserve"> </w:t>
      </w:r>
      <w:r>
        <w:rPr>
          <w:spacing w:val="2"/>
        </w:rPr>
        <w:t>2009).</w:t>
      </w:r>
    </w:p>
    <w:p w:rsidR="00D81F69" w:rsidRDefault="00330118">
      <w:pPr>
        <w:pStyle w:val="Corpodetexto"/>
        <w:spacing w:before="140" w:line="312" w:lineRule="auto"/>
        <w:ind w:right="48"/>
      </w:pPr>
      <w:r>
        <w:t xml:space="preserve">De 2003 a 2006, novas amostras de água foram coletadas a montante e a jusante da Votorantim Metais Zinco, na área do </w:t>
      </w:r>
      <w:r>
        <w:rPr>
          <w:spacing w:val="8"/>
        </w:rPr>
        <w:t xml:space="preserve">entorno </w:t>
      </w:r>
      <w:r>
        <w:rPr>
          <w:spacing w:val="5"/>
        </w:rPr>
        <w:t xml:space="preserve">da </w:t>
      </w:r>
      <w:r>
        <w:rPr>
          <w:spacing w:val="8"/>
        </w:rPr>
        <w:t xml:space="preserve">empresa </w:t>
      </w:r>
      <w:r>
        <w:t xml:space="preserve">e </w:t>
      </w:r>
      <w:r>
        <w:rPr>
          <w:spacing w:val="5"/>
        </w:rPr>
        <w:t xml:space="preserve">na </w:t>
      </w:r>
      <w:r>
        <w:rPr>
          <w:spacing w:val="10"/>
        </w:rPr>
        <w:t xml:space="preserve">confluência </w:t>
      </w:r>
      <w:r>
        <w:rPr>
          <w:spacing w:val="6"/>
        </w:rPr>
        <w:t xml:space="preserve">com </w:t>
      </w:r>
      <w:r>
        <w:t xml:space="preserve">o </w:t>
      </w:r>
      <w:r>
        <w:rPr>
          <w:spacing w:val="6"/>
        </w:rPr>
        <w:t xml:space="preserve">rio </w:t>
      </w:r>
      <w:r>
        <w:rPr>
          <w:spacing w:val="10"/>
        </w:rPr>
        <w:t>São</w:t>
      </w:r>
      <w:r>
        <w:rPr>
          <w:spacing w:val="71"/>
        </w:rPr>
        <w:t xml:space="preserve"> </w:t>
      </w:r>
      <w:r>
        <w:t xml:space="preserve">Francisco, por um pesquisador da Universidade Federal de </w:t>
      </w:r>
      <w:r>
        <w:rPr>
          <w:spacing w:val="5"/>
        </w:rPr>
        <w:t xml:space="preserve">Minas Gerais (UFMG). </w:t>
      </w:r>
      <w:r>
        <w:rPr>
          <w:spacing w:val="3"/>
        </w:rPr>
        <w:t xml:space="preserve">Ao se </w:t>
      </w:r>
      <w:r>
        <w:rPr>
          <w:spacing w:val="6"/>
        </w:rPr>
        <w:t>compa</w:t>
      </w:r>
      <w:r>
        <w:rPr>
          <w:spacing w:val="6"/>
        </w:rPr>
        <w:t xml:space="preserve">rar </w:t>
      </w:r>
      <w:r>
        <w:t xml:space="preserve">o </w:t>
      </w:r>
      <w:r>
        <w:rPr>
          <w:spacing w:val="6"/>
        </w:rPr>
        <w:t xml:space="preserve">resultado </w:t>
      </w:r>
      <w:r>
        <w:rPr>
          <w:spacing w:val="7"/>
        </w:rPr>
        <w:t xml:space="preserve">da </w:t>
      </w:r>
      <w:r>
        <w:t xml:space="preserve">concentração de 1991 com as amostragens nesta pesquisa, </w:t>
      </w:r>
      <w:r>
        <w:rPr>
          <w:spacing w:val="8"/>
        </w:rPr>
        <w:t xml:space="preserve">observou-se </w:t>
      </w:r>
      <w:r>
        <w:rPr>
          <w:spacing w:val="5"/>
        </w:rPr>
        <w:t xml:space="preserve">que </w:t>
      </w:r>
      <w:r>
        <w:t xml:space="preserve">a </w:t>
      </w:r>
      <w:r>
        <w:rPr>
          <w:spacing w:val="8"/>
        </w:rPr>
        <w:t xml:space="preserve">concentração </w:t>
      </w:r>
      <w:r>
        <w:rPr>
          <w:spacing w:val="5"/>
        </w:rPr>
        <w:t xml:space="preserve">de </w:t>
      </w:r>
      <w:r>
        <w:rPr>
          <w:spacing w:val="7"/>
        </w:rPr>
        <w:t xml:space="preserve">zinco </w:t>
      </w:r>
      <w:r>
        <w:rPr>
          <w:spacing w:val="10"/>
        </w:rPr>
        <w:t xml:space="preserve">permanecia </w:t>
      </w:r>
      <w:r>
        <w:rPr>
          <w:spacing w:val="1"/>
        </w:rPr>
        <w:t xml:space="preserve">elevada, porém </w:t>
      </w:r>
      <w:r>
        <w:t xml:space="preserve">as de </w:t>
      </w:r>
      <w:r>
        <w:rPr>
          <w:spacing w:val="1"/>
        </w:rPr>
        <w:t xml:space="preserve">cádmio </w:t>
      </w:r>
      <w:r>
        <w:t xml:space="preserve">e </w:t>
      </w:r>
      <w:r>
        <w:rPr>
          <w:spacing w:val="1"/>
        </w:rPr>
        <w:t xml:space="preserve">chumbo estavam </w:t>
      </w:r>
      <w:r>
        <w:rPr>
          <w:spacing w:val="2"/>
        </w:rPr>
        <w:t xml:space="preserve">menores </w:t>
      </w:r>
      <w:r>
        <w:rPr>
          <w:spacing w:val="1"/>
        </w:rPr>
        <w:t>(OLIVEIRA; HORN,</w:t>
      </w:r>
      <w:r>
        <w:t xml:space="preserve"> </w:t>
      </w:r>
      <w:r>
        <w:rPr>
          <w:spacing w:val="2"/>
        </w:rPr>
        <w:t>2006).</w:t>
      </w:r>
    </w:p>
    <w:p w:rsidR="00D81F69" w:rsidRDefault="00330118">
      <w:pPr>
        <w:pStyle w:val="Corpodetexto"/>
        <w:spacing w:before="75" w:line="270" w:lineRule="atLeast"/>
        <w:ind w:right="66"/>
      </w:pPr>
      <w:r>
        <w:t>Em outubro de 2009, membros da Articulação Popular em</w:t>
      </w:r>
      <w:r>
        <w:t xml:space="preserve"> Defesa do Rio São Francisco afirmaram que, entre 2004 e 2009, pelo menos 200 toneladas de peixes, principalmente</w:t>
      </w:r>
    </w:p>
    <w:p w:rsidR="00D81F69" w:rsidRDefault="00330118">
      <w:pPr>
        <w:pStyle w:val="Corpodetexto"/>
        <w:spacing w:before="81" w:line="312" w:lineRule="auto"/>
        <w:ind w:right="202"/>
      </w:pPr>
      <w:r>
        <w:br w:type="column"/>
      </w:r>
      <w:r>
        <w:lastRenderedPageBreak/>
        <w:t xml:space="preserve">surubins adultos, morreram contaminados por rejeitos tóxicos </w:t>
      </w:r>
      <w:r>
        <w:rPr>
          <w:spacing w:val="10"/>
        </w:rPr>
        <w:t xml:space="preserve">lançados </w:t>
      </w:r>
      <w:r>
        <w:rPr>
          <w:spacing w:val="8"/>
        </w:rPr>
        <w:t xml:space="preserve">pelo </w:t>
      </w:r>
      <w:r>
        <w:rPr>
          <w:spacing w:val="11"/>
        </w:rPr>
        <w:t xml:space="preserve">processamento </w:t>
      </w:r>
      <w:r>
        <w:rPr>
          <w:spacing w:val="5"/>
        </w:rPr>
        <w:t xml:space="preserve">de </w:t>
      </w:r>
      <w:r>
        <w:rPr>
          <w:spacing w:val="10"/>
        </w:rPr>
        <w:t xml:space="preserve">zinco </w:t>
      </w:r>
      <w:r>
        <w:rPr>
          <w:spacing w:val="5"/>
        </w:rPr>
        <w:t xml:space="preserve">da </w:t>
      </w:r>
      <w:r>
        <w:rPr>
          <w:spacing w:val="12"/>
        </w:rPr>
        <w:t xml:space="preserve">empresa </w:t>
      </w:r>
      <w:r>
        <w:rPr>
          <w:spacing w:val="10"/>
        </w:rPr>
        <w:t>(MOREIRA,</w:t>
      </w:r>
      <w:r>
        <w:rPr>
          <w:spacing w:val="63"/>
        </w:rPr>
        <w:t xml:space="preserve"> </w:t>
      </w:r>
      <w:r>
        <w:rPr>
          <w:spacing w:val="12"/>
        </w:rPr>
        <w:t>2009).</w:t>
      </w:r>
    </w:p>
    <w:p w:rsidR="00D81F69" w:rsidRDefault="00330118">
      <w:pPr>
        <w:pStyle w:val="Corpodetexto"/>
        <w:spacing w:before="133" w:line="312" w:lineRule="auto"/>
        <w:ind w:right="210"/>
      </w:pPr>
      <w:r>
        <w:t>De acordo com a</w:t>
      </w:r>
      <w:r>
        <w:t xml:space="preserve"> Comissão Pastoral da Terra em Minas Gerais, o período mais difícil para os ribeirinhos ocorreu entre 2004 e 2006, quando a mortandade de peixes os impediu de pescar, comprometendo sua segurança alimentar e seu meio de sobrevivência (ADITAL, 2009).</w:t>
      </w:r>
    </w:p>
    <w:p w:rsidR="00D81F69" w:rsidRDefault="00330118">
      <w:pPr>
        <w:pStyle w:val="Corpodetexto"/>
        <w:spacing w:before="134" w:line="312" w:lineRule="auto"/>
        <w:ind w:right="204"/>
      </w:pPr>
      <w:r>
        <w:t>Ainda e</w:t>
      </w:r>
      <w:r>
        <w:t>m 2009, uma pesquisadora da UFMG mapeou a presença de metais pesados em trechos do rio São Francisco. Segundo ela, os níveis de contaminação provocados por zinco, cádmio e cromo podiam atingir até 200 vezes o limite permitido pela legislação nas proximidad</w:t>
      </w:r>
      <w:r>
        <w:t>es das áreas industriais de Três Marias, Barreiro Grande e Pirapora (BOLETIM UFMG, 2011).</w:t>
      </w:r>
    </w:p>
    <w:p w:rsidR="00D81F69" w:rsidRDefault="00330118">
      <w:pPr>
        <w:pStyle w:val="Corpodetexto"/>
        <w:spacing w:before="137" w:line="312" w:lineRule="auto"/>
        <w:ind w:right="197"/>
      </w:pPr>
      <w:r>
        <w:t xml:space="preserve">Mesmo diante do cenário apresentado, a Votorantim nega que a causa da morte dos peixes na bacia do rio São Francisco seja a contaminação por metais pesados, alegando </w:t>
      </w:r>
      <w:r>
        <w:t xml:space="preserve">que se trata de um problema multifatorial, representando um reflexo da degradação da bacia (MAB, 2009). O gerente corporativo de Meio Ambiente da Votorantim Metais afirma que “não há risco nenhum à saúde humana e que os peixes não estão contaminados”. Ele </w:t>
      </w:r>
      <w:r>
        <w:t>assegura que a metalúrgica “não descarta mais resíduos no rio”, cumpre as condicionantes da licença ambiental e monitora “exaustivamente” a área conforme a legislação ambiental. O gerente informou ainda a pretensão de retirar das proximidades do rio um dep</w:t>
      </w:r>
      <w:r>
        <w:t>ósito já desativado de resíduos (COSTA, 2011).</w:t>
      </w:r>
    </w:p>
    <w:p w:rsidR="00D81F69" w:rsidRDefault="00D81F69">
      <w:pPr>
        <w:pStyle w:val="Corpodetexto"/>
        <w:spacing w:before="1"/>
        <w:ind w:left="0"/>
        <w:jc w:val="left"/>
        <w:rPr>
          <w:sz w:val="22"/>
        </w:rPr>
      </w:pPr>
    </w:p>
    <w:p w:rsidR="00D81F69" w:rsidRDefault="00330118">
      <w:pPr>
        <w:pStyle w:val="Heading7"/>
      </w:pPr>
      <w:r>
        <w:t>LOCALIZAÇÃO GEOGRÁFICA</w:t>
      </w:r>
    </w:p>
    <w:p w:rsidR="00D81F69" w:rsidRDefault="00330118">
      <w:pPr>
        <w:pStyle w:val="Corpodetexto"/>
        <w:spacing w:before="179" w:line="312" w:lineRule="auto"/>
        <w:ind w:right="200"/>
      </w:pPr>
      <w:r>
        <w:t>A unidade industrial da Votorantim Metais Zinco se encontra dentro da bacia do rio São Francisco, nas proximidades do rio Borrachudo, na latitude 18°11’21”S e na longitude 45°14’31”W.</w:t>
      </w:r>
    </w:p>
    <w:p w:rsidR="00D81F69" w:rsidRDefault="00D81F69">
      <w:pPr>
        <w:pStyle w:val="Corpodetexto"/>
        <w:spacing w:before="1"/>
        <w:ind w:left="0"/>
        <w:jc w:val="left"/>
        <w:rPr>
          <w:sz w:val="29"/>
        </w:rPr>
      </w:pPr>
    </w:p>
    <w:p w:rsidR="00D81F69" w:rsidRDefault="00330118">
      <w:pPr>
        <w:pStyle w:val="Heading7"/>
      </w:pPr>
      <w:r>
        <w:t>REDATORES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158"/>
        <w:jc w:val="both"/>
        <w:rPr>
          <w:sz w:val="16"/>
        </w:rPr>
      </w:pPr>
      <w:r>
        <w:rPr>
          <w:spacing w:val="1"/>
          <w:sz w:val="16"/>
        </w:rPr>
        <w:t xml:space="preserve">ADITAL. Mortandade </w:t>
      </w:r>
      <w:r>
        <w:rPr>
          <w:sz w:val="16"/>
        </w:rPr>
        <w:t xml:space="preserve">de </w:t>
      </w:r>
      <w:r>
        <w:rPr>
          <w:spacing w:val="1"/>
          <w:sz w:val="16"/>
        </w:rPr>
        <w:t xml:space="preserve">peixes permanece </w:t>
      </w:r>
      <w:r>
        <w:rPr>
          <w:sz w:val="16"/>
        </w:rPr>
        <w:t xml:space="preserve">no rio São </w:t>
      </w:r>
      <w:r>
        <w:rPr>
          <w:spacing w:val="2"/>
          <w:sz w:val="16"/>
        </w:rPr>
        <w:t xml:space="preserve">Francisco. </w:t>
      </w:r>
      <w:r>
        <w:rPr>
          <w:spacing w:val="35"/>
          <w:sz w:val="16"/>
        </w:rPr>
        <w:t xml:space="preserve">Fortaleza, </w:t>
      </w:r>
      <w:r>
        <w:rPr>
          <w:spacing w:val="20"/>
          <w:sz w:val="16"/>
        </w:rPr>
        <w:t xml:space="preserve">04 </w:t>
      </w:r>
      <w:r>
        <w:rPr>
          <w:spacing w:val="30"/>
          <w:sz w:val="16"/>
        </w:rPr>
        <w:t xml:space="preserve">mar. </w:t>
      </w:r>
      <w:r>
        <w:rPr>
          <w:spacing w:val="31"/>
          <w:sz w:val="16"/>
        </w:rPr>
        <w:t xml:space="preserve">2009. </w:t>
      </w:r>
      <w:r>
        <w:rPr>
          <w:spacing w:val="35"/>
          <w:sz w:val="16"/>
        </w:rPr>
        <w:t xml:space="preserve">Disponível </w:t>
      </w:r>
      <w:r>
        <w:rPr>
          <w:spacing w:val="26"/>
          <w:sz w:val="16"/>
        </w:rPr>
        <w:t>em:</w:t>
      </w:r>
      <w:r>
        <w:rPr>
          <w:spacing w:val="-2"/>
          <w:sz w:val="16"/>
        </w:rPr>
        <w:t xml:space="preserve"> </w:t>
      </w:r>
    </w:p>
    <w:p w:rsidR="00D81F69" w:rsidRDefault="00D81F69">
      <w:pPr>
        <w:spacing w:before="1" w:line="312" w:lineRule="auto"/>
        <w:ind w:left="100" w:right="192"/>
        <w:jc w:val="both"/>
        <w:rPr>
          <w:sz w:val="16"/>
        </w:rPr>
      </w:pPr>
      <w:hyperlink r:id="rId1376">
        <w:r w:rsidR="00330118">
          <w:rPr>
            <w:sz w:val="16"/>
          </w:rPr>
          <w:t>&lt;</w:t>
        </w:r>
        <w:r w:rsidR="00330118">
          <w:rPr>
            <w:sz w:val="16"/>
          </w:rPr>
          <w:t>http://www.adital.org.br/site/noticia.asp?lang=PT&amp;cod=37569&gt;.</w:t>
        </w:r>
      </w:hyperlink>
      <w:r w:rsidR="00330118">
        <w:rPr>
          <w:sz w:val="16"/>
        </w:rPr>
        <w:t xml:space="preserve"> Acesso em: 16 jun. 2010.</w:t>
      </w:r>
    </w:p>
    <w:p w:rsidR="00D81F69" w:rsidRDefault="00330118">
      <w:pPr>
        <w:spacing w:before="2" w:line="312" w:lineRule="auto"/>
        <w:ind w:left="100" w:right="189"/>
        <w:jc w:val="both"/>
        <w:rPr>
          <w:sz w:val="16"/>
        </w:rPr>
      </w:pPr>
      <w:r>
        <w:rPr>
          <w:sz w:val="16"/>
        </w:rPr>
        <w:t>BOLETIM UFMG. Estudo mapeia presença de metais tóxicos em trechos do Rio São Francisco, 07 fev. 2011. Disponível em:</w:t>
      </w:r>
    </w:p>
    <w:p w:rsidR="00D81F69" w:rsidRDefault="00D81F69">
      <w:pPr>
        <w:spacing w:before="2" w:line="312" w:lineRule="auto"/>
        <w:ind w:left="100" w:right="214"/>
        <w:jc w:val="both"/>
        <w:rPr>
          <w:sz w:val="16"/>
        </w:rPr>
      </w:pPr>
      <w:hyperlink r:id="rId1377">
        <w:r w:rsidR="00330118">
          <w:rPr>
            <w:sz w:val="16"/>
          </w:rPr>
          <w:t xml:space="preserve">&lt;http://www.ufmg.br/online/arquivos/018138.shtml&gt;. </w:t>
        </w:r>
      </w:hyperlink>
      <w:r w:rsidR="00330118">
        <w:rPr>
          <w:sz w:val="16"/>
        </w:rPr>
        <w:t>Acesso em: 17 out. 2011.</w:t>
      </w:r>
    </w:p>
    <w:p w:rsidR="00D81F69" w:rsidRDefault="00330118">
      <w:pPr>
        <w:tabs>
          <w:tab w:val="left" w:pos="4331"/>
        </w:tabs>
        <w:spacing w:before="1" w:line="312" w:lineRule="auto"/>
        <w:ind w:left="100" w:right="194"/>
        <w:jc w:val="both"/>
        <w:rPr>
          <w:sz w:val="16"/>
        </w:rPr>
      </w:pPr>
      <w:r>
        <w:rPr>
          <w:sz w:val="16"/>
        </w:rPr>
        <w:t xml:space="preserve">BRASIL MINERAL. Zinco. VM investe R$ 763 milhões para ampliar </w:t>
      </w:r>
      <w:r>
        <w:rPr>
          <w:spacing w:val="3"/>
          <w:sz w:val="16"/>
        </w:rPr>
        <w:t xml:space="preserve">produção </w:t>
      </w:r>
      <w:r>
        <w:rPr>
          <w:spacing w:val="1"/>
          <w:sz w:val="16"/>
        </w:rPr>
        <w:t xml:space="preserve">em </w:t>
      </w:r>
      <w:r>
        <w:rPr>
          <w:spacing w:val="2"/>
          <w:sz w:val="16"/>
        </w:rPr>
        <w:t xml:space="preserve">MG. In: </w:t>
      </w:r>
      <w:r>
        <w:rPr>
          <w:spacing w:val="3"/>
          <w:sz w:val="16"/>
        </w:rPr>
        <w:t xml:space="preserve">Brasil Mineral OnLine n°341, </w:t>
      </w:r>
      <w:r>
        <w:rPr>
          <w:spacing w:val="1"/>
          <w:sz w:val="16"/>
        </w:rPr>
        <w:t xml:space="preserve">27 </w:t>
      </w:r>
      <w:r>
        <w:rPr>
          <w:spacing w:val="2"/>
          <w:sz w:val="16"/>
        </w:rPr>
        <w:t xml:space="preserve">fev. </w:t>
      </w:r>
      <w:r>
        <w:rPr>
          <w:spacing w:val="5"/>
          <w:sz w:val="16"/>
        </w:rPr>
        <w:t xml:space="preserve">2008.   </w:t>
      </w:r>
      <w:r>
        <w:rPr>
          <w:sz w:val="16"/>
        </w:rPr>
        <w:t xml:space="preserve">D      i      s      p      o      n    </w:t>
      </w:r>
      <w:r>
        <w:rPr>
          <w:sz w:val="16"/>
        </w:rPr>
        <w:t xml:space="preserve">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line="312" w:lineRule="auto"/>
        <w:ind w:left="100" w:right="192"/>
        <w:jc w:val="both"/>
        <w:rPr>
          <w:sz w:val="16"/>
        </w:rPr>
      </w:pPr>
      <w:hyperlink r:id="rId1378">
        <w:r w:rsidR="00330118">
          <w:rPr>
            <w:sz w:val="16"/>
          </w:rPr>
          <w:t>&lt;http://www.brasilmineral.com.br/BM/default.asp?numero=341&gt;.</w:t>
        </w:r>
      </w:hyperlink>
      <w:r w:rsidR="00330118">
        <w:rPr>
          <w:sz w:val="16"/>
        </w:rPr>
        <w:t xml:space="preserve"> Acesso em: 18 out. 2011.</w:t>
      </w:r>
    </w:p>
    <w:p w:rsidR="00D81F69" w:rsidRDefault="00330118">
      <w:pPr>
        <w:spacing w:before="1" w:line="312" w:lineRule="auto"/>
        <w:ind w:left="100" w:right="197"/>
        <w:jc w:val="both"/>
        <w:rPr>
          <w:sz w:val="16"/>
        </w:rPr>
      </w:pPr>
      <w:r>
        <w:rPr>
          <w:sz w:val="16"/>
        </w:rPr>
        <w:t>COSTA, Gilberto. Pesquisas feitas pela UFMG mostram contaminação do Rio São Francisco. Agência Brasil, Brasília, 8 fev.</w:t>
      </w:r>
    </w:p>
    <w:p w:rsidR="00D81F69" w:rsidRDefault="00D81F69">
      <w:pPr>
        <w:spacing w:line="312" w:lineRule="auto"/>
        <w:jc w:val="both"/>
        <w:rPr>
          <w:sz w:val="16"/>
        </w:rPr>
        <w:sectPr w:rsidR="00D81F69">
          <w:pgSz w:w="11900" w:h="16840"/>
          <w:pgMar w:top="740" w:right="500" w:bottom="640" w:left="620" w:header="0" w:footer="402" w:gutter="0"/>
          <w:cols w:num="2" w:space="720" w:equalWidth="0">
            <w:col w:w="5164" w:space="306"/>
            <w:col w:w="5310"/>
          </w:cols>
        </w:sectPr>
      </w:pPr>
    </w:p>
    <w:p w:rsidR="00D81F69" w:rsidRDefault="00330118">
      <w:pPr>
        <w:spacing w:before="70" w:line="312" w:lineRule="auto"/>
        <w:ind w:left="100" w:right="83"/>
        <w:jc w:val="both"/>
        <w:rPr>
          <w:sz w:val="16"/>
        </w:rPr>
      </w:pPr>
      <w:r>
        <w:rPr>
          <w:sz w:val="16"/>
        </w:rPr>
        <w:lastRenderedPageBreak/>
        <w:t xml:space="preserve">2011. Disponível em: </w:t>
      </w:r>
      <w:hyperlink r:id="rId1379">
        <w:r>
          <w:rPr>
            <w:sz w:val="16"/>
          </w:rPr>
          <w:t>&lt;http://agenciabrasil.e</w:t>
        </w:r>
        <w:r>
          <w:rPr>
            <w:sz w:val="16"/>
          </w:rPr>
          <w:t>bc.com.br/noticia/2011-</w:t>
        </w:r>
      </w:hyperlink>
      <w:r>
        <w:rPr>
          <w:sz w:val="16"/>
        </w:rPr>
        <w:t xml:space="preserve"> 02-08/pesquisas-feitas-pela-ufmg-mostram-contaminacao-do-rio-sao- francisco&gt;. Acesso em: 20 jul. 2012.</w:t>
      </w:r>
    </w:p>
    <w:p w:rsidR="00D81F69" w:rsidRDefault="00330118">
      <w:pPr>
        <w:spacing w:before="2" w:line="312" w:lineRule="auto"/>
        <w:ind w:left="100" w:right="38"/>
        <w:jc w:val="both"/>
        <w:rPr>
          <w:sz w:val="16"/>
        </w:rPr>
      </w:pPr>
      <w:r>
        <w:rPr>
          <w:spacing w:val="3"/>
          <w:sz w:val="16"/>
        </w:rPr>
        <w:t xml:space="preserve">IBGE, Instituto Brasileiro </w:t>
      </w:r>
      <w:r>
        <w:rPr>
          <w:spacing w:val="1"/>
          <w:sz w:val="16"/>
        </w:rPr>
        <w:t xml:space="preserve">de </w:t>
      </w:r>
      <w:r>
        <w:rPr>
          <w:spacing w:val="3"/>
          <w:sz w:val="16"/>
        </w:rPr>
        <w:t xml:space="preserve">Geografia </w:t>
      </w:r>
      <w:r>
        <w:rPr>
          <w:sz w:val="16"/>
        </w:rPr>
        <w:t xml:space="preserve">e </w:t>
      </w:r>
      <w:r>
        <w:rPr>
          <w:spacing w:val="3"/>
          <w:sz w:val="16"/>
        </w:rPr>
        <w:t xml:space="preserve">Estatística. </w:t>
      </w:r>
      <w:r>
        <w:rPr>
          <w:spacing w:val="2"/>
          <w:sz w:val="16"/>
        </w:rPr>
        <w:t xml:space="preserve">Três </w:t>
      </w:r>
      <w:r>
        <w:rPr>
          <w:spacing w:val="5"/>
          <w:sz w:val="16"/>
        </w:rPr>
        <w:t xml:space="preserve">Marias </w:t>
      </w:r>
      <w:r>
        <w:rPr>
          <w:spacing w:val="21"/>
          <w:sz w:val="16"/>
        </w:rPr>
        <w:t xml:space="preserve">(MG). </w:t>
      </w:r>
      <w:r>
        <w:rPr>
          <w:spacing w:val="17"/>
          <w:sz w:val="16"/>
        </w:rPr>
        <w:t xml:space="preserve">In: </w:t>
      </w:r>
      <w:r>
        <w:rPr>
          <w:spacing w:val="20"/>
          <w:sz w:val="16"/>
        </w:rPr>
        <w:t>IBGE</w:t>
      </w:r>
      <w:r>
        <w:rPr>
          <w:spacing w:val="85"/>
          <w:sz w:val="16"/>
        </w:rPr>
        <w:t xml:space="preserve"> </w:t>
      </w:r>
      <w:r>
        <w:rPr>
          <w:spacing w:val="23"/>
          <w:sz w:val="16"/>
        </w:rPr>
        <w:t xml:space="preserve">Cidades. </w:t>
      </w:r>
      <w:r>
        <w:rPr>
          <w:spacing w:val="21"/>
          <w:sz w:val="16"/>
        </w:rPr>
        <w:t xml:space="preserve">2010. </w:t>
      </w:r>
      <w:r>
        <w:rPr>
          <w:spacing w:val="25"/>
          <w:sz w:val="16"/>
        </w:rPr>
        <w:t>Disponível</w:t>
      </w:r>
      <w:r>
        <w:rPr>
          <w:spacing w:val="75"/>
          <w:sz w:val="16"/>
        </w:rPr>
        <w:t xml:space="preserve"> </w:t>
      </w:r>
      <w:r>
        <w:rPr>
          <w:spacing w:val="17"/>
          <w:sz w:val="16"/>
        </w:rPr>
        <w:t>em:</w:t>
      </w:r>
      <w:r>
        <w:rPr>
          <w:spacing w:val="-15"/>
          <w:sz w:val="16"/>
        </w:rPr>
        <w:t xml:space="preserve"> </w:t>
      </w:r>
    </w:p>
    <w:p w:rsidR="00D81F69" w:rsidRDefault="00D81F69">
      <w:pPr>
        <w:spacing w:before="2" w:line="312" w:lineRule="auto"/>
        <w:ind w:left="100" w:right="66"/>
        <w:jc w:val="both"/>
        <w:rPr>
          <w:sz w:val="16"/>
        </w:rPr>
      </w:pPr>
      <w:hyperlink r:id="rId1380">
        <w:r w:rsidR="00330118">
          <w:rPr>
            <w:sz w:val="16"/>
          </w:rPr>
          <w:t xml:space="preserve">&lt;http://selo.cptec.inpe.br/IBGE/cidade/316935&gt;. </w:t>
        </w:r>
      </w:hyperlink>
      <w:r w:rsidR="00330118">
        <w:rPr>
          <w:sz w:val="16"/>
        </w:rPr>
        <w:t>Acesso em: 17 out. 2011.</w:t>
      </w:r>
    </w:p>
    <w:p w:rsidR="00D81F69" w:rsidRDefault="00330118">
      <w:pPr>
        <w:spacing w:before="1" w:line="312" w:lineRule="auto"/>
        <w:ind w:left="100" w:right="50"/>
        <w:jc w:val="both"/>
        <w:rPr>
          <w:sz w:val="16"/>
        </w:rPr>
      </w:pPr>
      <w:r>
        <w:rPr>
          <w:sz w:val="16"/>
        </w:rPr>
        <w:t>LUCAS, Marcílio Rodrigues. Dilemas do sindicalismo no contexto da reestruturação produtiva. Revista Espaço de Diálogo e Des</w:t>
      </w:r>
      <w:r>
        <w:rPr>
          <w:sz w:val="16"/>
        </w:rPr>
        <w:t xml:space="preserve">conexão, Araraquara, v. 1, n. 2, jan-jun, 2009. Disponível em: </w:t>
      </w:r>
    </w:p>
    <w:p w:rsidR="00D81F69" w:rsidRDefault="00D81F69">
      <w:pPr>
        <w:spacing w:before="3" w:line="312" w:lineRule="auto"/>
        <w:ind w:left="100" w:right="68"/>
        <w:jc w:val="both"/>
        <w:rPr>
          <w:sz w:val="16"/>
        </w:rPr>
      </w:pPr>
      <w:hyperlink r:id="rId1381">
        <w:r w:rsidR="00330118">
          <w:rPr>
            <w:sz w:val="16"/>
          </w:rPr>
          <w:t xml:space="preserve">&lt;http://200.145.78.103/index.php/redd/article/view/1731&gt;. </w:t>
        </w:r>
      </w:hyperlink>
      <w:r w:rsidR="00330118">
        <w:rPr>
          <w:sz w:val="16"/>
        </w:rPr>
        <w:t>Acesso em: 15 jun. 2010.</w:t>
      </w:r>
    </w:p>
    <w:p w:rsidR="00D81F69" w:rsidRDefault="00330118">
      <w:pPr>
        <w:spacing w:before="1" w:line="312" w:lineRule="auto"/>
        <w:ind w:left="100" w:right="50"/>
        <w:jc w:val="both"/>
        <w:rPr>
          <w:sz w:val="16"/>
        </w:rPr>
      </w:pPr>
      <w:r>
        <w:rPr>
          <w:sz w:val="16"/>
        </w:rPr>
        <w:t>MAB, Movimento dos Atingidos por Barr</w:t>
      </w:r>
      <w:r>
        <w:rPr>
          <w:sz w:val="16"/>
        </w:rPr>
        <w:t xml:space="preserve">agens. Mortandade de peixes no   Rio  São  Francisco,  03   mar.  2009.  Disponível   em: </w:t>
      </w:r>
    </w:p>
    <w:p w:rsidR="00D81F69" w:rsidRDefault="00D81F69">
      <w:pPr>
        <w:spacing w:before="2"/>
        <w:ind w:left="100"/>
        <w:rPr>
          <w:sz w:val="16"/>
        </w:rPr>
      </w:pPr>
      <w:hyperlink r:id="rId1382">
        <w:r w:rsidR="00330118">
          <w:rPr>
            <w:sz w:val="16"/>
          </w:rPr>
          <w:t>&lt;http://www.mabnacional.org.br/noticias/030309_mortandade_peixes</w:t>
        </w:r>
      </w:hyperlink>
    </w:p>
    <w:p w:rsidR="00D81F69" w:rsidRDefault="00330118">
      <w:pPr>
        <w:spacing w:before="56"/>
        <w:ind w:left="100"/>
        <w:rPr>
          <w:sz w:val="16"/>
        </w:rPr>
      </w:pPr>
      <w:r>
        <w:rPr>
          <w:sz w:val="16"/>
        </w:rPr>
        <w:t xml:space="preserve">_rsf.html&gt;. Acesso </w:t>
      </w:r>
      <w:r>
        <w:rPr>
          <w:sz w:val="16"/>
        </w:rPr>
        <w:t>em: 15 jun. 2010.</w:t>
      </w:r>
    </w:p>
    <w:p w:rsidR="00D81F69" w:rsidRDefault="00330118">
      <w:pPr>
        <w:spacing w:before="56"/>
        <w:ind w:left="100"/>
        <w:rPr>
          <w:sz w:val="16"/>
        </w:rPr>
      </w:pPr>
      <w:r>
        <w:rPr>
          <w:sz w:val="16"/>
        </w:rPr>
        <w:t>MAPA DA INJUSTIÇA AMBIENTAL E SAÚDE NO BRASIL. Atividade</w:t>
      </w:r>
    </w:p>
    <w:p w:rsidR="00D81F69" w:rsidRDefault="00330118">
      <w:pPr>
        <w:spacing w:before="56" w:line="312" w:lineRule="auto"/>
        <w:ind w:left="100" w:right="39"/>
        <w:jc w:val="both"/>
        <w:rPr>
          <w:sz w:val="16"/>
        </w:rPr>
      </w:pPr>
      <w:r>
        <w:rPr>
          <w:sz w:val="16"/>
        </w:rPr>
        <w:t xml:space="preserve">de empresas de Mineração e Siderurgia, em Vazante e Três Marias, é foco importante da contaminação do rio São Francisco. Pescadores artesanais já denunciaram as graves consequências para as águas e </w:t>
      </w:r>
      <w:r>
        <w:rPr>
          <w:spacing w:val="20"/>
          <w:sz w:val="16"/>
        </w:rPr>
        <w:t xml:space="preserve">peixes   </w:t>
      </w:r>
      <w:r>
        <w:rPr>
          <w:spacing w:val="11"/>
          <w:sz w:val="16"/>
        </w:rPr>
        <w:t xml:space="preserve">da   </w:t>
      </w:r>
      <w:r>
        <w:rPr>
          <w:spacing w:val="20"/>
          <w:sz w:val="16"/>
        </w:rPr>
        <w:t xml:space="preserve">região, </w:t>
      </w:r>
      <w:r>
        <w:rPr>
          <w:spacing w:val="85"/>
          <w:sz w:val="16"/>
        </w:rPr>
        <w:t xml:space="preserve"> </w:t>
      </w:r>
      <w:r>
        <w:rPr>
          <w:spacing w:val="11"/>
          <w:sz w:val="16"/>
        </w:rPr>
        <w:t xml:space="preserve">21   </w:t>
      </w:r>
      <w:r>
        <w:rPr>
          <w:spacing w:val="17"/>
          <w:sz w:val="16"/>
        </w:rPr>
        <w:t xml:space="preserve">dez.   </w:t>
      </w:r>
      <w:r>
        <w:rPr>
          <w:spacing w:val="20"/>
          <w:sz w:val="16"/>
        </w:rPr>
        <w:t xml:space="preserve">2009.   </w:t>
      </w:r>
      <w:r>
        <w:rPr>
          <w:spacing w:val="21"/>
          <w:sz w:val="16"/>
        </w:rPr>
        <w:t>Disponível</w:t>
      </w:r>
      <w:r>
        <w:rPr>
          <w:spacing w:val="20"/>
          <w:sz w:val="16"/>
        </w:rPr>
        <w:t xml:space="preserve"> </w:t>
      </w:r>
      <w:r>
        <w:rPr>
          <w:spacing w:val="15"/>
          <w:sz w:val="16"/>
        </w:rPr>
        <w:t>em:</w:t>
      </w:r>
      <w:r>
        <w:rPr>
          <w:spacing w:val="-18"/>
          <w:sz w:val="16"/>
        </w:rPr>
        <w:t xml:space="preserve"> </w:t>
      </w:r>
    </w:p>
    <w:p w:rsidR="00D81F69" w:rsidRDefault="00D81F69">
      <w:pPr>
        <w:spacing w:before="3" w:line="312" w:lineRule="auto"/>
        <w:ind w:left="100" w:right="85"/>
        <w:jc w:val="both"/>
        <w:rPr>
          <w:sz w:val="16"/>
        </w:rPr>
      </w:pPr>
      <w:hyperlink r:id="rId1383">
        <w:r w:rsidR="00330118">
          <w:rPr>
            <w:sz w:val="16"/>
          </w:rPr>
          <w:t>&lt;http://www.conflitoambiental.icict.fiocruz.br/index.php?pag=ficha&amp;co</w:t>
        </w:r>
      </w:hyperlink>
      <w:r w:rsidR="00330118">
        <w:rPr>
          <w:sz w:val="16"/>
        </w:rPr>
        <w:t xml:space="preserve"> d=224&gt;. Acesso em: 18 out. 2011.</w:t>
      </w:r>
    </w:p>
    <w:p w:rsidR="00D81F69" w:rsidRDefault="00330118">
      <w:pPr>
        <w:spacing w:before="2" w:line="312" w:lineRule="auto"/>
        <w:ind w:left="100" w:right="85"/>
        <w:jc w:val="both"/>
        <w:rPr>
          <w:sz w:val="16"/>
        </w:rPr>
      </w:pPr>
      <w:r>
        <w:rPr>
          <w:sz w:val="16"/>
        </w:rPr>
        <w:t>MME; SMM; DNPM. Ministério de Minas e Energia; Departamento de</w:t>
      </w:r>
      <w:r>
        <w:rPr>
          <w:sz w:val="16"/>
        </w:rPr>
        <w:t xml:space="preserve"> Engenharia de Materiais;</w:t>
      </w:r>
    </w:p>
    <w:p w:rsidR="00D81F69" w:rsidRDefault="00330118">
      <w:pPr>
        <w:spacing w:before="70" w:line="312" w:lineRule="auto"/>
        <w:ind w:left="100" w:right="172"/>
        <w:jc w:val="both"/>
        <w:rPr>
          <w:sz w:val="16"/>
        </w:rPr>
      </w:pPr>
      <w:r>
        <w:br w:type="column"/>
      </w:r>
      <w:r>
        <w:rPr>
          <w:spacing w:val="3"/>
          <w:sz w:val="16"/>
        </w:rPr>
        <w:lastRenderedPageBreak/>
        <w:t xml:space="preserve">Departamento Nacional </w:t>
      </w:r>
      <w:r>
        <w:rPr>
          <w:spacing w:val="1"/>
          <w:sz w:val="16"/>
        </w:rPr>
        <w:t xml:space="preserve">de </w:t>
      </w:r>
      <w:r>
        <w:rPr>
          <w:spacing w:val="3"/>
          <w:sz w:val="16"/>
        </w:rPr>
        <w:t xml:space="preserve">Produção Mineral. Potencial </w:t>
      </w:r>
      <w:r>
        <w:rPr>
          <w:spacing w:val="5"/>
          <w:sz w:val="16"/>
        </w:rPr>
        <w:t xml:space="preserve">Mineral, </w:t>
      </w:r>
      <w:r>
        <w:rPr>
          <w:spacing w:val="20"/>
          <w:sz w:val="16"/>
        </w:rPr>
        <w:t xml:space="preserve">1998. </w:t>
      </w:r>
      <w:r>
        <w:rPr>
          <w:spacing w:val="15"/>
          <w:sz w:val="16"/>
        </w:rPr>
        <w:t>In:</w:t>
      </w:r>
      <w:r>
        <w:rPr>
          <w:spacing w:val="75"/>
          <w:sz w:val="16"/>
        </w:rPr>
        <w:t xml:space="preserve"> </w:t>
      </w:r>
      <w:r>
        <w:rPr>
          <w:spacing w:val="17"/>
          <w:sz w:val="16"/>
        </w:rPr>
        <w:t xml:space="preserve">Vale </w:t>
      </w:r>
      <w:r>
        <w:rPr>
          <w:spacing w:val="11"/>
          <w:sz w:val="16"/>
        </w:rPr>
        <w:t xml:space="preserve">do </w:t>
      </w:r>
      <w:r>
        <w:rPr>
          <w:spacing w:val="15"/>
          <w:sz w:val="16"/>
        </w:rPr>
        <w:t>São</w:t>
      </w:r>
      <w:r>
        <w:rPr>
          <w:spacing w:val="75"/>
          <w:sz w:val="16"/>
        </w:rPr>
        <w:t xml:space="preserve"> </w:t>
      </w:r>
      <w:r>
        <w:rPr>
          <w:spacing w:val="21"/>
          <w:sz w:val="16"/>
        </w:rPr>
        <w:t>Francisco. Disponível</w:t>
      </w:r>
      <w:r>
        <w:rPr>
          <w:spacing w:val="20"/>
          <w:sz w:val="16"/>
        </w:rPr>
        <w:t xml:space="preserve"> </w:t>
      </w:r>
      <w:r>
        <w:rPr>
          <w:spacing w:val="15"/>
          <w:sz w:val="16"/>
        </w:rPr>
        <w:t>em:</w:t>
      </w:r>
      <w:r>
        <w:rPr>
          <w:spacing w:val="-20"/>
          <w:sz w:val="16"/>
        </w:rPr>
        <w:t xml:space="preserve"> </w:t>
      </w:r>
    </w:p>
    <w:p w:rsidR="00D81F69" w:rsidRDefault="00D81F69">
      <w:pPr>
        <w:spacing w:before="1" w:line="312" w:lineRule="auto"/>
        <w:ind w:left="100" w:right="217"/>
        <w:jc w:val="both"/>
        <w:rPr>
          <w:sz w:val="16"/>
        </w:rPr>
      </w:pPr>
      <w:hyperlink r:id="rId1384">
        <w:r w:rsidR="00330118">
          <w:rPr>
            <w:sz w:val="16"/>
          </w:rPr>
          <w:t>&lt;</w:t>
        </w:r>
        <w:r w:rsidR="00330118">
          <w:rPr>
            <w:sz w:val="16"/>
          </w:rPr>
          <w:t>http://www.valedosaofrancisco.com.br/Economia/PotencialMineral.as</w:t>
        </w:r>
      </w:hyperlink>
      <w:r w:rsidR="00330118">
        <w:rPr>
          <w:sz w:val="16"/>
        </w:rPr>
        <w:t xml:space="preserve"> p&gt;. Acesso em: 17 out. 2011.</w:t>
      </w:r>
    </w:p>
    <w:p w:rsidR="00D81F69" w:rsidRDefault="00330118">
      <w:pPr>
        <w:spacing w:before="2" w:line="312" w:lineRule="auto"/>
        <w:ind w:left="100" w:right="192"/>
        <w:jc w:val="both"/>
        <w:rPr>
          <w:sz w:val="16"/>
        </w:rPr>
      </w:pPr>
      <w:r>
        <w:rPr>
          <w:sz w:val="16"/>
        </w:rPr>
        <w:t>MOREIRA, Gilvander. Votorantim continua causando morte no rio São Francisco. Adital, Fortaleza, 06 out. 2009. Disponível em:</w:t>
      </w:r>
    </w:p>
    <w:p w:rsidR="00D81F69" w:rsidRDefault="00D81F69">
      <w:pPr>
        <w:spacing w:before="2" w:line="312" w:lineRule="auto"/>
        <w:ind w:left="100" w:right="193"/>
        <w:jc w:val="both"/>
        <w:rPr>
          <w:sz w:val="16"/>
        </w:rPr>
      </w:pPr>
      <w:hyperlink r:id="rId1385">
        <w:r w:rsidR="00330118">
          <w:rPr>
            <w:sz w:val="16"/>
          </w:rPr>
          <w:t>&lt;http://www.adital.com.br/site/noticia.asp?lang=PT&amp;cod=41716&gt;.</w:t>
        </w:r>
      </w:hyperlink>
      <w:r w:rsidR="00330118">
        <w:rPr>
          <w:sz w:val="16"/>
        </w:rPr>
        <w:t xml:space="preserve"> Acesso em: 16 jun. 2010.</w:t>
      </w:r>
    </w:p>
    <w:p w:rsidR="00D81F69" w:rsidRDefault="00330118">
      <w:pPr>
        <w:spacing w:before="1" w:line="312" w:lineRule="auto"/>
        <w:ind w:left="100" w:right="140"/>
        <w:jc w:val="both"/>
        <w:rPr>
          <w:sz w:val="16"/>
        </w:rPr>
      </w:pPr>
      <w:r>
        <w:rPr>
          <w:spacing w:val="3"/>
          <w:sz w:val="16"/>
        </w:rPr>
        <w:t xml:space="preserve">OLIVEIRA, </w:t>
      </w:r>
      <w:r>
        <w:rPr>
          <w:spacing w:val="2"/>
          <w:sz w:val="16"/>
        </w:rPr>
        <w:t xml:space="preserve">Mara </w:t>
      </w:r>
      <w:r>
        <w:rPr>
          <w:spacing w:val="3"/>
          <w:sz w:val="16"/>
        </w:rPr>
        <w:t xml:space="preserve">Regina </w:t>
      </w:r>
      <w:r>
        <w:rPr>
          <w:spacing w:val="2"/>
          <w:sz w:val="16"/>
        </w:rPr>
        <w:t xml:space="preserve">de. </w:t>
      </w:r>
      <w:r>
        <w:rPr>
          <w:spacing w:val="3"/>
          <w:sz w:val="16"/>
        </w:rPr>
        <w:t xml:space="preserve">Investigação </w:t>
      </w:r>
      <w:r>
        <w:rPr>
          <w:spacing w:val="1"/>
          <w:sz w:val="16"/>
        </w:rPr>
        <w:t xml:space="preserve">da </w:t>
      </w:r>
      <w:r>
        <w:rPr>
          <w:spacing w:val="3"/>
          <w:sz w:val="16"/>
        </w:rPr>
        <w:t xml:space="preserve">contaminação </w:t>
      </w:r>
      <w:r>
        <w:rPr>
          <w:spacing w:val="5"/>
          <w:sz w:val="16"/>
        </w:rPr>
        <w:t xml:space="preserve">por </w:t>
      </w:r>
      <w:r>
        <w:rPr>
          <w:sz w:val="16"/>
        </w:rPr>
        <w:t>metais pesados da água e do sedimento de corrente nas margens do</w:t>
      </w:r>
      <w:r>
        <w:rPr>
          <w:sz w:val="16"/>
        </w:rPr>
        <w:t xml:space="preserve"> rio São Francisco e tributários, a jusante da Represa da Cemig, no município de Três Marias, Minas Gerais, 13 dez. 2007. 149 f. Tese </w:t>
      </w:r>
      <w:r>
        <w:rPr>
          <w:spacing w:val="1"/>
          <w:sz w:val="16"/>
        </w:rPr>
        <w:t xml:space="preserve">(Doutorado </w:t>
      </w:r>
      <w:r>
        <w:rPr>
          <w:sz w:val="16"/>
        </w:rPr>
        <w:t xml:space="preserve">em  </w:t>
      </w:r>
      <w:r>
        <w:rPr>
          <w:spacing w:val="1"/>
          <w:sz w:val="16"/>
        </w:rPr>
        <w:t xml:space="preserve">Geologia), Universidade Federal </w:t>
      </w:r>
      <w:r>
        <w:rPr>
          <w:sz w:val="16"/>
        </w:rPr>
        <w:t xml:space="preserve">de  </w:t>
      </w:r>
      <w:r>
        <w:rPr>
          <w:spacing w:val="1"/>
          <w:sz w:val="16"/>
        </w:rPr>
        <w:t xml:space="preserve">Minas </w:t>
      </w:r>
      <w:r>
        <w:rPr>
          <w:spacing w:val="2"/>
          <w:sz w:val="16"/>
        </w:rPr>
        <w:t>Gerais,</w:t>
      </w:r>
      <w:r>
        <w:rPr>
          <w:spacing w:val="50"/>
          <w:sz w:val="16"/>
        </w:rPr>
        <w:t xml:space="preserve"> </w:t>
      </w:r>
      <w:r>
        <w:rPr>
          <w:spacing w:val="10"/>
          <w:sz w:val="16"/>
        </w:rPr>
        <w:t xml:space="preserve">B e l </w:t>
      </w:r>
      <w:r>
        <w:rPr>
          <w:sz w:val="16"/>
        </w:rPr>
        <w:t xml:space="preserve">o </w:t>
      </w:r>
      <w:r>
        <w:rPr>
          <w:spacing w:val="10"/>
          <w:sz w:val="16"/>
        </w:rPr>
        <w:t xml:space="preserve">H o r i z o n t e </w:t>
      </w:r>
      <w:r>
        <w:rPr>
          <w:sz w:val="16"/>
        </w:rPr>
        <w:t xml:space="preserve">, </w:t>
      </w:r>
      <w:r>
        <w:rPr>
          <w:spacing w:val="10"/>
          <w:sz w:val="16"/>
        </w:rPr>
        <w:t xml:space="preserve">M G </w:t>
      </w:r>
      <w:r>
        <w:rPr>
          <w:sz w:val="16"/>
        </w:rPr>
        <w:t xml:space="preserve">. </w:t>
      </w:r>
      <w:r>
        <w:rPr>
          <w:spacing w:val="10"/>
          <w:sz w:val="16"/>
        </w:rPr>
        <w:t xml:space="preserve">D i s p o n í v e </w:t>
      </w:r>
      <w:r>
        <w:rPr>
          <w:sz w:val="16"/>
        </w:rPr>
        <w:t>l</w:t>
      </w:r>
      <w:r>
        <w:rPr>
          <w:spacing w:val="23"/>
          <w:sz w:val="16"/>
        </w:rPr>
        <w:t xml:space="preserve"> </w:t>
      </w:r>
      <w:r>
        <w:rPr>
          <w:spacing w:val="10"/>
          <w:sz w:val="16"/>
        </w:rPr>
        <w:t>e m</w:t>
      </w:r>
      <w:r>
        <w:rPr>
          <w:spacing w:val="10"/>
          <w:sz w:val="16"/>
        </w:rPr>
        <w:t xml:space="preserve"> </w:t>
      </w:r>
      <w:r>
        <w:rPr>
          <w:sz w:val="16"/>
        </w:rPr>
        <w:t>:</w:t>
      </w:r>
      <w:r>
        <w:rPr>
          <w:spacing w:val="11"/>
          <w:sz w:val="16"/>
        </w:rPr>
        <w:t xml:space="preserve"> </w:t>
      </w:r>
    </w:p>
    <w:p w:rsidR="00D81F69" w:rsidRDefault="00D81F69">
      <w:pPr>
        <w:spacing w:before="5" w:line="312" w:lineRule="auto"/>
        <w:ind w:left="100" w:right="188"/>
        <w:jc w:val="both"/>
        <w:rPr>
          <w:sz w:val="16"/>
        </w:rPr>
      </w:pPr>
      <w:hyperlink r:id="rId1386">
        <w:r w:rsidR="00330118">
          <w:rPr>
            <w:sz w:val="16"/>
          </w:rPr>
          <w:t xml:space="preserve">&lt;http://dspace.lcc.ufmg.br/dspace/bitstream/1843/MPBB- </w:t>
        </w:r>
      </w:hyperlink>
      <w:r w:rsidR="00330118">
        <w:rPr>
          <w:sz w:val="16"/>
        </w:rPr>
        <w:t>7ECMJ8/1/tesemara_regina.pdf&gt;. Acesso em: 16 jun. 2010. OLIVEIRA, Mara Regina de; HORN, Adolf Heinrich. Comparação da concentr</w:t>
      </w:r>
      <w:r w:rsidR="00330118">
        <w:rPr>
          <w:sz w:val="16"/>
        </w:rPr>
        <w:t>ação de metais pesados nas águas do rio São Francisco em Três Marias, desde 1991 até hoje, relacionando a atuação da CMM - Três Marias. Instituto de Geociências/UFMG, 2006. Disponível em:</w:t>
      </w:r>
    </w:p>
    <w:p w:rsidR="00D81F69" w:rsidRDefault="00D81F69">
      <w:pPr>
        <w:spacing w:before="5" w:line="312" w:lineRule="auto"/>
        <w:ind w:left="100" w:right="215"/>
        <w:jc w:val="both"/>
        <w:rPr>
          <w:sz w:val="16"/>
        </w:rPr>
      </w:pPr>
      <w:hyperlink r:id="rId1387">
        <w:r w:rsidR="00330118">
          <w:rPr>
            <w:sz w:val="16"/>
          </w:rPr>
          <w:t>&lt;http://www.igc.ufmg.br/geonomos/PDFs/14_2_55_63_Oliveira.pdf&gt;</w:t>
        </w:r>
      </w:hyperlink>
      <w:r w:rsidR="00330118">
        <w:rPr>
          <w:sz w:val="16"/>
        </w:rPr>
        <w:t xml:space="preserve"> Acesso em: 16 jun. 2010.</w:t>
      </w:r>
    </w:p>
    <w:p w:rsidR="00D81F69" w:rsidRDefault="00330118">
      <w:pPr>
        <w:spacing w:before="2"/>
        <w:ind w:left="100"/>
        <w:rPr>
          <w:sz w:val="16"/>
        </w:rPr>
      </w:pPr>
      <w:r>
        <w:rPr>
          <w:sz w:val="16"/>
        </w:rPr>
        <w:t>VALE DO SÃO FRANCISCO. Minas Gerais. Disponível em:</w:t>
      </w:r>
    </w:p>
    <w:p w:rsidR="00D81F69" w:rsidRDefault="00D81F69">
      <w:pPr>
        <w:spacing w:before="56" w:line="312" w:lineRule="auto"/>
        <w:ind w:left="100" w:right="213"/>
        <w:jc w:val="both"/>
        <w:rPr>
          <w:sz w:val="16"/>
        </w:rPr>
      </w:pPr>
      <w:hyperlink r:id="rId1388">
        <w:r w:rsidR="00330118">
          <w:rPr>
            <w:sz w:val="16"/>
          </w:rPr>
          <w:t>&lt;http://www.valedosaofrancisco.com.br/Municipios/DivisaoPolitica-</w:t>
        </w:r>
      </w:hyperlink>
      <w:r w:rsidR="00330118">
        <w:rPr>
          <w:sz w:val="16"/>
        </w:rPr>
        <w:t xml:space="preserve"> MG.asp&gt;. Acesso em: 17 out. 2011.</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79" w:space="291"/>
            <w:col w:w="5310"/>
          </w:cols>
        </w:sectPr>
      </w:pPr>
    </w:p>
    <w:p w:rsidR="00D81F69" w:rsidRDefault="00330118">
      <w:pPr>
        <w:pStyle w:val="Heading1"/>
        <w:tabs>
          <w:tab w:val="left" w:pos="2400"/>
          <w:tab w:val="left" w:pos="2608"/>
          <w:tab w:val="left" w:pos="4917"/>
          <w:tab w:val="left" w:pos="5772"/>
          <w:tab w:val="left" w:pos="8191"/>
          <w:tab w:val="left" w:pos="9305"/>
        </w:tabs>
        <w:spacing w:line="208" w:lineRule="auto"/>
        <w:ind w:right="189"/>
      </w:pPr>
      <w:r>
        <w:rPr>
          <w:spacing w:val="25"/>
        </w:rPr>
        <w:lastRenderedPageBreak/>
        <w:t>Produção</w:t>
      </w:r>
      <w:r>
        <w:rPr>
          <w:spacing w:val="25"/>
        </w:rPr>
        <w:tab/>
      </w:r>
      <w:r>
        <w:rPr>
          <w:spacing w:val="26"/>
        </w:rPr>
        <w:t>cimenteira</w:t>
      </w:r>
      <w:r>
        <w:rPr>
          <w:spacing w:val="26"/>
        </w:rPr>
        <w:tab/>
      </w:r>
      <w:r>
        <w:rPr>
          <w:spacing w:val="15"/>
        </w:rPr>
        <w:t>em</w:t>
      </w:r>
      <w:r>
        <w:rPr>
          <w:spacing w:val="15"/>
        </w:rPr>
        <w:tab/>
      </w:r>
      <w:r>
        <w:rPr>
          <w:spacing w:val="25"/>
        </w:rPr>
        <w:t>Cantagalo</w:t>
      </w:r>
      <w:r>
        <w:rPr>
          <w:spacing w:val="25"/>
        </w:rPr>
        <w:tab/>
      </w:r>
      <w:r>
        <w:rPr>
          <w:spacing w:val="21"/>
        </w:rPr>
        <w:t>(RJ)</w:t>
      </w:r>
      <w:r>
        <w:rPr>
          <w:spacing w:val="21"/>
        </w:rPr>
        <w:tab/>
      </w:r>
      <w:r>
        <w:rPr>
          <w:spacing w:val="30"/>
        </w:rPr>
        <w:t xml:space="preserve">causa </w:t>
      </w:r>
      <w:r>
        <w:rPr>
          <w:spacing w:val="25"/>
        </w:rPr>
        <w:t>problemas</w:t>
      </w:r>
      <w:r>
        <w:rPr>
          <w:spacing w:val="25"/>
        </w:rPr>
        <w:tab/>
      </w:r>
      <w:r>
        <w:rPr>
          <w:spacing w:val="25"/>
        </w:rPr>
        <w:tab/>
      </w:r>
      <w:r>
        <w:rPr>
          <w:spacing w:val="30"/>
        </w:rPr>
        <w:t>ambientais</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7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RJ - Cantagalo</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-21,913</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-42,2566</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0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Em Cantagalo, município situado no </w:t>
      </w:r>
      <w:r>
        <w:rPr>
          <w:i/>
          <w:sz w:val="16"/>
        </w:rPr>
        <w:t>noroeste do estado do Rio de Janeiro, a indústria cimenteira, ao tentar minimizar os custos da produção, vem utilizando o processo de coincineração de resíduos industriais. A alternativa, no entanto, gera poluição atmosférica e danos à saúde da população l</w:t>
      </w:r>
      <w:r>
        <w:rPr>
          <w:i/>
          <w:sz w:val="16"/>
        </w:rPr>
        <w:t>ocal.</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0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11"/>
      </w:pPr>
      <w:r>
        <w:t>impactos negativos sobre a saúde de trabalhadores e da população vizinha às fábricas, bem como ao meio ambiente (PINTO JÚNIOR, 2009).</w:t>
      </w:r>
    </w:p>
    <w:p w:rsidR="00D81F69" w:rsidRDefault="00330118">
      <w:pPr>
        <w:pStyle w:val="Corpodetexto"/>
        <w:spacing w:before="69" w:line="270" w:lineRule="atLeast"/>
        <w:ind w:left="135" w:right="190"/>
      </w:pPr>
      <w:r>
        <w:t>Para a realização da coincineração, os resíduos são misturados de forma a adquirir algumas propriedades semelhan</w:t>
      </w:r>
      <w:r>
        <w:t xml:space="preserve">tes aos combustíveis normalmente usados. Esse coquetel de resíduos, chamado genericamente de blend, pode também substituir, em parte, alguns aditivos usados na produção do cimento, como óxido de </w:t>
      </w:r>
      <w:hyperlink r:id="rId1389">
        <w:r>
          <w:t xml:space="preserve">ferro </w:t>
        </w:r>
      </w:hyperlink>
      <w:r>
        <w:t>ou de alumínio. Dentro dos fornos, parte dos materiais poluentes é destruída</w:t>
      </w:r>
    </w:p>
    <w:p w:rsidR="00D81F69" w:rsidRDefault="00D81F69">
      <w:pPr>
        <w:spacing w:line="270" w:lineRule="atLeast"/>
        <w:sectPr w:rsidR="00D81F69">
          <w:type w:val="continuous"/>
          <w:pgSz w:w="11900" w:h="16840"/>
          <w:pgMar w:top="720" w:right="500" w:bottom="280" w:left="620" w:header="720" w:footer="720" w:gutter="0"/>
          <w:cols w:num="3" w:space="720" w:equalWidth="0">
            <w:col w:w="1109" w:space="891"/>
            <w:col w:w="3121" w:space="314"/>
            <w:col w:w="5345"/>
          </w:cols>
        </w:sectPr>
      </w:pPr>
    </w:p>
    <w:p w:rsidR="00D81F69" w:rsidRDefault="00330118">
      <w:pPr>
        <w:pStyle w:val="Heading4"/>
        <w:spacing w:line="213" w:lineRule="exact"/>
        <w:jc w:val="left"/>
      </w:pPr>
      <w:r>
        <w:lastRenderedPageBreak/>
        <w:t>APRESENTAÇÃO DE CASO</w:t>
      </w:r>
    </w:p>
    <w:p w:rsidR="00D81F69" w:rsidRDefault="00330118">
      <w:pPr>
        <w:pStyle w:val="Corpodetexto"/>
        <w:spacing w:before="170" w:line="312" w:lineRule="auto"/>
        <w:ind w:right="114"/>
      </w:pPr>
      <w:r>
        <w:rPr>
          <w:spacing w:val="3"/>
        </w:rPr>
        <w:t xml:space="preserve">Até </w:t>
      </w:r>
      <w:r>
        <w:rPr>
          <w:spacing w:val="5"/>
        </w:rPr>
        <w:t xml:space="preserve">meados </w:t>
      </w:r>
      <w:r>
        <w:rPr>
          <w:spacing w:val="2"/>
        </w:rPr>
        <w:t xml:space="preserve">da </w:t>
      </w:r>
      <w:r>
        <w:rPr>
          <w:spacing w:val="5"/>
        </w:rPr>
        <w:t xml:space="preserve">década </w:t>
      </w:r>
      <w:r>
        <w:rPr>
          <w:spacing w:val="2"/>
        </w:rPr>
        <w:t xml:space="preserve">de </w:t>
      </w:r>
      <w:r>
        <w:rPr>
          <w:spacing w:val="3"/>
        </w:rPr>
        <w:t xml:space="preserve">1970, </w:t>
      </w:r>
      <w:r>
        <w:rPr>
          <w:spacing w:val="5"/>
        </w:rPr>
        <w:t xml:space="preserve">Cantagalo </w:t>
      </w:r>
      <w:r>
        <w:rPr>
          <w:spacing w:val="3"/>
        </w:rPr>
        <w:t xml:space="preserve">(RJ) era </w:t>
      </w:r>
      <w:r>
        <w:rPr>
          <w:spacing w:val="5"/>
        </w:rPr>
        <w:t>um</w:t>
      </w:r>
      <w:r>
        <w:rPr>
          <w:spacing w:val="61"/>
        </w:rPr>
        <w:t xml:space="preserve"> </w:t>
      </w:r>
      <w:r>
        <w:rPr>
          <w:spacing w:val="1"/>
        </w:rPr>
        <w:t xml:space="preserve">município voltado para </w:t>
      </w:r>
      <w:r>
        <w:t xml:space="preserve">a </w:t>
      </w:r>
      <w:r>
        <w:rPr>
          <w:spacing w:val="1"/>
        </w:rPr>
        <w:t>atividade agrí</w:t>
      </w:r>
      <w:r>
        <w:rPr>
          <w:spacing w:val="1"/>
        </w:rPr>
        <w:t xml:space="preserve">cola. Porém, </w:t>
      </w:r>
      <w:r>
        <w:t xml:space="preserve">com a </w:t>
      </w:r>
      <w:r>
        <w:rPr>
          <w:spacing w:val="3"/>
        </w:rPr>
        <w:t xml:space="preserve">instalação </w:t>
      </w:r>
      <w:r>
        <w:rPr>
          <w:spacing w:val="1"/>
        </w:rPr>
        <w:t xml:space="preserve">de </w:t>
      </w:r>
      <w:r>
        <w:rPr>
          <w:spacing w:val="3"/>
        </w:rPr>
        <w:t xml:space="preserve">fábricas </w:t>
      </w:r>
      <w:r>
        <w:rPr>
          <w:spacing w:val="1"/>
        </w:rPr>
        <w:t xml:space="preserve">de </w:t>
      </w:r>
      <w:r>
        <w:rPr>
          <w:spacing w:val="3"/>
        </w:rPr>
        <w:t xml:space="preserve">cimento, </w:t>
      </w:r>
      <w:r>
        <w:t xml:space="preserve">a </w:t>
      </w:r>
      <w:r>
        <w:rPr>
          <w:spacing w:val="3"/>
        </w:rPr>
        <w:t xml:space="preserve">cidade perdeu </w:t>
      </w:r>
      <w:r>
        <w:rPr>
          <w:spacing w:val="5"/>
        </w:rPr>
        <w:t xml:space="preserve">essa </w:t>
      </w:r>
      <w:r>
        <w:t>característica e passou a ter um novo perfil econômico, social e político (ENSP, 2009).</w:t>
      </w:r>
    </w:p>
    <w:p w:rsidR="00D81F69" w:rsidRDefault="00330118">
      <w:pPr>
        <w:pStyle w:val="Corpodetexto"/>
        <w:spacing w:before="135" w:line="312" w:lineRule="auto"/>
        <w:ind w:right="52"/>
        <w:jc w:val="left"/>
      </w:pPr>
      <w:r>
        <w:t>Com uma população de 19.826 habitantes, o município situa- se na região noroeste do estado do Rio de Janeiro. Possui clima tropical de altitude, uma superfície de 749 km² (IBGE, 2010) e faz parte do sistema hidrográfico do Rio Paraíba do Sul. O município p</w:t>
      </w:r>
      <w:r>
        <w:t>ossui várias jazidas de calcário e abriga um polo cimenteiro, considerado o terceiro maior do país, que reúne três grandes grupos: Holcim, Lafarge e Votorantim (PREFEITURA MUNICIPAL DE CANTAGALO, 2010). A maior</w:t>
      </w:r>
    </w:p>
    <w:p w:rsidR="00D81F69" w:rsidRDefault="00330118">
      <w:pPr>
        <w:pStyle w:val="Corpodetexto"/>
        <w:spacing w:before="7" w:line="312" w:lineRule="auto"/>
        <w:ind w:right="100"/>
      </w:pPr>
      <w:r>
        <w:t>parte da produção de cimento de Cantagalo destina-se ao atendimento do mercado interno (MATTOS; RIBEIRO, 1997).</w:t>
      </w:r>
    </w:p>
    <w:p w:rsidR="00D81F69" w:rsidRDefault="00330118">
      <w:pPr>
        <w:pStyle w:val="Corpodetexto"/>
        <w:spacing w:before="132" w:line="312" w:lineRule="auto"/>
        <w:ind w:right="92"/>
      </w:pPr>
      <w:r>
        <w:t xml:space="preserve">No processo de fabricação do cimento, o calcário é extraído e </w:t>
      </w:r>
      <w:r>
        <w:rPr>
          <w:spacing w:val="3"/>
        </w:rPr>
        <w:t xml:space="preserve">moído </w:t>
      </w:r>
      <w:r>
        <w:t xml:space="preserve">e </w:t>
      </w:r>
      <w:r>
        <w:rPr>
          <w:spacing w:val="3"/>
        </w:rPr>
        <w:t xml:space="preserve">depois misturado </w:t>
      </w:r>
      <w:r>
        <w:t xml:space="preserve">a </w:t>
      </w:r>
      <w:r>
        <w:rPr>
          <w:spacing w:val="3"/>
        </w:rPr>
        <w:t xml:space="preserve">outros minerais </w:t>
      </w:r>
      <w:r>
        <w:rPr>
          <w:spacing w:val="2"/>
        </w:rPr>
        <w:t xml:space="preserve">como </w:t>
      </w:r>
      <w:r>
        <w:rPr>
          <w:spacing w:val="5"/>
        </w:rPr>
        <w:t xml:space="preserve">argila, </w:t>
      </w:r>
      <w:r>
        <w:t xml:space="preserve">óxido de ferro e óxido de </w:t>
      </w:r>
      <w:hyperlink r:id="rId1390">
        <w:r>
          <w:t xml:space="preserve">alumínio. </w:t>
        </w:r>
      </w:hyperlink>
      <w:r>
        <w:t xml:space="preserve">Essa mistura, chamada de farinha crua, é encaminhada para os fornos, sendo calcinada a temperaturas que variam entre 1.200°C e 1.500°C. Durante </w:t>
      </w:r>
      <w:r>
        <w:rPr>
          <w:spacing w:val="5"/>
        </w:rPr>
        <w:t>esse process</w:t>
      </w:r>
      <w:r>
        <w:rPr>
          <w:spacing w:val="5"/>
        </w:rPr>
        <w:t xml:space="preserve">o, ocorrem </w:t>
      </w:r>
      <w:r>
        <w:t xml:space="preserve">a </w:t>
      </w:r>
      <w:r>
        <w:rPr>
          <w:spacing w:val="5"/>
        </w:rPr>
        <w:t xml:space="preserve">fusão parcial </w:t>
      </w:r>
      <w:r>
        <w:rPr>
          <w:spacing w:val="2"/>
        </w:rPr>
        <w:t xml:space="preserve">do </w:t>
      </w:r>
      <w:r>
        <w:rPr>
          <w:spacing w:val="5"/>
        </w:rPr>
        <w:t xml:space="preserve">material </w:t>
      </w:r>
      <w:r>
        <w:t xml:space="preserve">e a </w:t>
      </w:r>
      <w:r>
        <w:rPr>
          <w:spacing w:val="5"/>
        </w:rPr>
        <w:t xml:space="preserve">formação </w:t>
      </w:r>
      <w:r>
        <w:rPr>
          <w:spacing w:val="3"/>
        </w:rPr>
        <w:t xml:space="preserve">dos </w:t>
      </w:r>
      <w:r>
        <w:rPr>
          <w:spacing w:val="5"/>
        </w:rPr>
        <w:t xml:space="preserve">grânulos </w:t>
      </w:r>
      <w:r>
        <w:rPr>
          <w:spacing w:val="2"/>
        </w:rPr>
        <w:t xml:space="preserve">de </w:t>
      </w:r>
      <w:r>
        <w:rPr>
          <w:spacing w:val="5"/>
        </w:rPr>
        <w:t xml:space="preserve">clínquer, </w:t>
      </w:r>
      <w:r>
        <w:rPr>
          <w:spacing w:val="3"/>
        </w:rPr>
        <w:t xml:space="preserve">que são </w:t>
      </w:r>
      <w:r>
        <w:rPr>
          <w:spacing w:val="6"/>
        </w:rPr>
        <w:t xml:space="preserve">resfriados, </w:t>
      </w:r>
      <w:r>
        <w:rPr>
          <w:spacing w:val="3"/>
        </w:rPr>
        <w:t xml:space="preserve">misturados </w:t>
      </w:r>
      <w:r>
        <w:t xml:space="preserve">a </w:t>
      </w:r>
      <w:r>
        <w:rPr>
          <w:spacing w:val="3"/>
        </w:rPr>
        <w:t xml:space="preserve">outros aditivos </w:t>
      </w:r>
      <w:r>
        <w:t xml:space="preserve">e </w:t>
      </w:r>
      <w:r>
        <w:rPr>
          <w:spacing w:val="3"/>
        </w:rPr>
        <w:t xml:space="preserve">moídos, dando origem </w:t>
      </w:r>
      <w:r>
        <w:rPr>
          <w:spacing w:val="5"/>
        </w:rPr>
        <w:t xml:space="preserve">ao </w:t>
      </w:r>
      <w:r>
        <w:t>cimento (ACHTERNBOSCH et al., 2003; SANTI, 2003 apud MILANEZ; FERNANDES; PORTO,</w:t>
      </w:r>
      <w:r>
        <w:rPr>
          <w:spacing w:val="48"/>
        </w:rPr>
        <w:t xml:space="preserve"> </w:t>
      </w:r>
      <w:r>
        <w:rPr>
          <w:spacing w:val="1"/>
        </w:rPr>
        <w:t>2009).</w:t>
      </w:r>
    </w:p>
    <w:p w:rsidR="00D81F69" w:rsidRDefault="00330118">
      <w:pPr>
        <w:pStyle w:val="Corpodetexto"/>
        <w:spacing w:before="139" w:line="312" w:lineRule="auto"/>
        <w:ind w:right="100"/>
      </w:pPr>
      <w:r>
        <w:t>O uso de resíduo</w:t>
      </w:r>
      <w:r>
        <w:t>s como fonte de energia na produção de clínquer reduz a necessidade do uso de combustíveis fósseis. Esta utilização é uma prática comum na indústria cimenteira nacional desde 1991 (PINTO JÚNIOR, 2009). Chamada de coincineração de resíduos, este procediment</w:t>
      </w:r>
      <w:r>
        <w:t>o visa reduzir o uso de combustíveis virgens, minimizando custos operacionais na produção de cimento, que depende de muita energia em seu processo produtivo (MILANEZ; FERNANDES; PORTO, 2009). As empresas do setor justificam a coincineração como expressão d</w:t>
      </w:r>
      <w:r>
        <w:t>e responsabilidade ambiental, tendo em vista que é uma forma de eliminar rejeitos, retirando-os do ambiente. Entretanto, a prática gera</w:t>
      </w:r>
    </w:p>
    <w:p w:rsidR="00D81F69" w:rsidRDefault="00330118">
      <w:pPr>
        <w:pStyle w:val="Corpodetexto"/>
        <w:spacing w:before="63" w:line="312" w:lineRule="auto"/>
        <w:ind w:right="190"/>
      </w:pPr>
      <w:r>
        <w:br w:type="column"/>
      </w:r>
      <w:r>
        <w:lastRenderedPageBreak/>
        <w:t xml:space="preserve">pelas altas temperaturas, uma segunda parte é incorporada </w:t>
      </w:r>
      <w:r>
        <w:rPr>
          <w:spacing w:val="1"/>
        </w:rPr>
        <w:t xml:space="preserve">ao </w:t>
      </w:r>
      <w:r>
        <w:rPr>
          <w:spacing w:val="3"/>
        </w:rPr>
        <w:t xml:space="preserve">clínquer, </w:t>
      </w:r>
      <w:r>
        <w:t xml:space="preserve">e </w:t>
      </w:r>
      <w:r>
        <w:rPr>
          <w:spacing w:val="2"/>
        </w:rPr>
        <w:t xml:space="preserve">uma </w:t>
      </w:r>
      <w:r>
        <w:rPr>
          <w:spacing w:val="3"/>
        </w:rPr>
        <w:t xml:space="preserve">terceira </w:t>
      </w:r>
      <w:r>
        <w:t xml:space="preserve">é </w:t>
      </w:r>
      <w:r>
        <w:rPr>
          <w:spacing w:val="3"/>
        </w:rPr>
        <w:t xml:space="preserve">dispersa juntamente </w:t>
      </w:r>
      <w:r>
        <w:rPr>
          <w:spacing w:val="2"/>
        </w:rPr>
        <w:t xml:space="preserve">com </w:t>
      </w:r>
      <w:r>
        <w:rPr>
          <w:spacing w:val="5"/>
        </w:rPr>
        <w:t>as emis</w:t>
      </w:r>
      <w:r>
        <w:rPr>
          <w:spacing w:val="5"/>
        </w:rPr>
        <w:t xml:space="preserve">sões atmosféricas </w:t>
      </w:r>
      <w:r>
        <w:t xml:space="preserve">e </w:t>
      </w:r>
      <w:r>
        <w:rPr>
          <w:spacing w:val="3"/>
        </w:rPr>
        <w:t xml:space="preserve">com </w:t>
      </w:r>
      <w:r>
        <w:t xml:space="preserve">o </w:t>
      </w:r>
      <w:r>
        <w:rPr>
          <w:spacing w:val="5"/>
        </w:rPr>
        <w:t xml:space="preserve">produto </w:t>
      </w:r>
      <w:r>
        <w:rPr>
          <w:spacing w:val="3"/>
        </w:rPr>
        <w:t xml:space="preserve">final </w:t>
      </w:r>
      <w:r>
        <w:rPr>
          <w:spacing w:val="5"/>
        </w:rPr>
        <w:t>(MILANEZ; FERNANDES; PORTO, 2009).</w:t>
      </w:r>
    </w:p>
    <w:p w:rsidR="00D81F69" w:rsidRDefault="00330118">
      <w:pPr>
        <w:pStyle w:val="Corpodetexto"/>
        <w:spacing w:before="134" w:line="312" w:lineRule="auto"/>
        <w:ind w:right="206"/>
      </w:pPr>
      <w:r>
        <w:rPr>
          <w:spacing w:val="2"/>
        </w:rPr>
        <w:t xml:space="preserve">As </w:t>
      </w:r>
      <w:r>
        <w:rPr>
          <w:spacing w:val="5"/>
        </w:rPr>
        <w:t xml:space="preserve">emissões atmosféricas produzidas pela produção </w:t>
      </w:r>
      <w:r>
        <w:rPr>
          <w:spacing w:val="6"/>
        </w:rPr>
        <w:t xml:space="preserve">de </w:t>
      </w:r>
      <w:r>
        <w:t xml:space="preserve">cimento e pela coincineração geram diversos efeitos adversos à </w:t>
      </w:r>
      <w:r>
        <w:rPr>
          <w:spacing w:val="1"/>
        </w:rPr>
        <w:t xml:space="preserve">saúde humana </w:t>
      </w:r>
      <w:r>
        <w:t xml:space="preserve">e ao </w:t>
      </w:r>
      <w:r>
        <w:rPr>
          <w:spacing w:val="1"/>
        </w:rPr>
        <w:t xml:space="preserve">meio ambiente. Estes impactos </w:t>
      </w:r>
      <w:r>
        <w:rPr>
          <w:spacing w:val="2"/>
        </w:rPr>
        <w:t xml:space="preserve">não </w:t>
      </w:r>
      <w:r>
        <w:rPr>
          <w:spacing w:val="3"/>
        </w:rPr>
        <w:t xml:space="preserve">estão </w:t>
      </w:r>
      <w:r>
        <w:rPr>
          <w:spacing w:val="5"/>
        </w:rPr>
        <w:t>relacio</w:t>
      </w:r>
      <w:r>
        <w:rPr>
          <w:spacing w:val="5"/>
        </w:rPr>
        <w:t xml:space="preserve">nados apenas </w:t>
      </w:r>
      <w:r>
        <w:rPr>
          <w:spacing w:val="2"/>
        </w:rPr>
        <w:t xml:space="preserve">ao </w:t>
      </w:r>
      <w:r>
        <w:rPr>
          <w:spacing w:val="5"/>
        </w:rPr>
        <w:t>material particulado, mas</w:t>
      </w:r>
      <w:r>
        <w:rPr>
          <w:spacing w:val="61"/>
        </w:rPr>
        <w:t xml:space="preserve"> </w:t>
      </w:r>
      <w:r>
        <w:rPr>
          <w:spacing w:val="7"/>
        </w:rPr>
        <w:t xml:space="preserve">também </w:t>
      </w:r>
      <w:r>
        <w:t xml:space="preserve">a </w:t>
      </w:r>
      <w:r>
        <w:rPr>
          <w:spacing w:val="7"/>
        </w:rPr>
        <w:t xml:space="preserve">outros poluentes </w:t>
      </w:r>
      <w:r>
        <w:rPr>
          <w:spacing w:val="5"/>
        </w:rPr>
        <w:t xml:space="preserve">que </w:t>
      </w:r>
      <w:r>
        <w:rPr>
          <w:spacing w:val="7"/>
        </w:rPr>
        <w:t xml:space="preserve">exigem controle </w:t>
      </w:r>
      <w:r>
        <w:rPr>
          <w:spacing w:val="10"/>
        </w:rPr>
        <w:t xml:space="preserve">mais </w:t>
      </w:r>
      <w:r>
        <w:rPr>
          <w:spacing w:val="8"/>
        </w:rPr>
        <w:t xml:space="preserve">sofisticado, </w:t>
      </w:r>
      <w:r>
        <w:rPr>
          <w:spacing w:val="6"/>
        </w:rPr>
        <w:t xml:space="preserve">como </w:t>
      </w:r>
      <w:r>
        <w:rPr>
          <w:spacing w:val="7"/>
        </w:rPr>
        <w:t xml:space="preserve">amônia </w:t>
      </w:r>
      <w:r>
        <w:t xml:space="preserve">e </w:t>
      </w:r>
      <w:r>
        <w:rPr>
          <w:spacing w:val="7"/>
        </w:rPr>
        <w:t xml:space="preserve">cloro, </w:t>
      </w:r>
      <w:r>
        <w:rPr>
          <w:spacing w:val="6"/>
        </w:rPr>
        <w:t xml:space="preserve">além </w:t>
      </w:r>
      <w:r>
        <w:rPr>
          <w:spacing w:val="5"/>
        </w:rPr>
        <w:t xml:space="preserve">de </w:t>
      </w:r>
      <w:r>
        <w:rPr>
          <w:spacing w:val="7"/>
        </w:rPr>
        <w:t xml:space="preserve">óxidos </w:t>
      </w:r>
      <w:r>
        <w:rPr>
          <w:spacing w:val="10"/>
        </w:rPr>
        <w:t xml:space="preserve">de </w:t>
      </w:r>
      <w:r>
        <w:t xml:space="preserve">nitrogênio e enxofre que contribuem para produção de chuva </w:t>
      </w:r>
      <w:r>
        <w:rPr>
          <w:spacing w:val="3"/>
        </w:rPr>
        <w:t xml:space="preserve">ácida, </w:t>
      </w:r>
      <w:r>
        <w:t xml:space="preserve">e </w:t>
      </w:r>
      <w:r>
        <w:rPr>
          <w:spacing w:val="1"/>
        </w:rPr>
        <w:t xml:space="preserve">os </w:t>
      </w:r>
      <w:r>
        <w:rPr>
          <w:spacing w:val="3"/>
        </w:rPr>
        <w:t xml:space="preserve">poluentes orgânicos persistentes (POPs), </w:t>
      </w:r>
      <w:r>
        <w:rPr>
          <w:spacing w:val="5"/>
        </w:rPr>
        <w:t xml:space="preserve">em </w:t>
      </w:r>
      <w:r>
        <w:rPr>
          <w:spacing w:val="7"/>
        </w:rPr>
        <w:t xml:space="preserve">especial </w:t>
      </w:r>
      <w:r>
        <w:rPr>
          <w:spacing w:val="5"/>
        </w:rPr>
        <w:t xml:space="preserve">as </w:t>
      </w:r>
      <w:r>
        <w:rPr>
          <w:spacing w:val="7"/>
        </w:rPr>
        <w:t xml:space="preserve">dioxinas </w:t>
      </w:r>
      <w:r>
        <w:t xml:space="preserve">e </w:t>
      </w:r>
      <w:r>
        <w:rPr>
          <w:spacing w:val="5"/>
        </w:rPr>
        <w:t xml:space="preserve">os </w:t>
      </w:r>
      <w:r>
        <w:rPr>
          <w:spacing w:val="7"/>
        </w:rPr>
        <w:t xml:space="preserve">furanos. Quanto </w:t>
      </w:r>
      <w:r>
        <w:rPr>
          <w:spacing w:val="5"/>
        </w:rPr>
        <w:t xml:space="preserve">aos </w:t>
      </w:r>
      <w:r>
        <w:rPr>
          <w:spacing w:val="10"/>
        </w:rPr>
        <w:t xml:space="preserve">metais </w:t>
      </w:r>
      <w:r>
        <w:rPr>
          <w:spacing w:val="7"/>
        </w:rPr>
        <w:t xml:space="preserve">presentes </w:t>
      </w:r>
      <w:r>
        <w:rPr>
          <w:spacing w:val="5"/>
        </w:rPr>
        <w:t xml:space="preserve">nos </w:t>
      </w:r>
      <w:r>
        <w:rPr>
          <w:spacing w:val="8"/>
        </w:rPr>
        <w:t xml:space="preserve">combustíveis </w:t>
      </w:r>
      <w:r>
        <w:t xml:space="preserve">e </w:t>
      </w:r>
      <w:r>
        <w:rPr>
          <w:spacing w:val="7"/>
        </w:rPr>
        <w:t xml:space="preserve">resíduos </w:t>
      </w:r>
      <w:r>
        <w:rPr>
          <w:spacing w:val="8"/>
        </w:rPr>
        <w:t xml:space="preserve">queimados, </w:t>
      </w:r>
      <w:r>
        <w:t xml:space="preserve">a </w:t>
      </w:r>
      <w:r>
        <w:rPr>
          <w:spacing w:val="5"/>
        </w:rPr>
        <w:t xml:space="preserve">preocupação está </w:t>
      </w:r>
      <w:r>
        <w:rPr>
          <w:spacing w:val="2"/>
        </w:rPr>
        <w:t xml:space="preserve">no </w:t>
      </w:r>
      <w:r>
        <w:rPr>
          <w:spacing w:val="5"/>
        </w:rPr>
        <w:t xml:space="preserve">fato destes </w:t>
      </w:r>
      <w:r>
        <w:rPr>
          <w:spacing w:val="3"/>
        </w:rPr>
        <w:t xml:space="preserve">não </w:t>
      </w:r>
      <w:r>
        <w:rPr>
          <w:spacing w:val="5"/>
        </w:rPr>
        <w:t xml:space="preserve">serem </w:t>
      </w:r>
      <w:r>
        <w:rPr>
          <w:spacing w:val="6"/>
        </w:rPr>
        <w:t xml:space="preserve">destruídos </w:t>
      </w:r>
      <w:r>
        <w:rPr>
          <w:spacing w:val="3"/>
        </w:rPr>
        <w:t xml:space="preserve">durante </w:t>
      </w:r>
      <w:r>
        <w:t xml:space="preserve">a </w:t>
      </w:r>
      <w:r>
        <w:rPr>
          <w:spacing w:val="3"/>
        </w:rPr>
        <w:t xml:space="preserve">coincineração, sendo redistribuídos através </w:t>
      </w:r>
      <w:r>
        <w:rPr>
          <w:spacing w:val="5"/>
        </w:rPr>
        <w:t>d</w:t>
      </w:r>
      <w:r>
        <w:rPr>
          <w:spacing w:val="5"/>
        </w:rPr>
        <w:t xml:space="preserve">e </w:t>
      </w:r>
      <w:r>
        <w:t>emissões atmosféricas, de cinzas, de material particulado e de</w:t>
      </w:r>
      <w:r>
        <w:rPr>
          <w:spacing w:val="20"/>
        </w:rPr>
        <w:t xml:space="preserve"> </w:t>
      </w:r>
      <w:r>
        <w:t>clínquer</w:t>
      </w:r>
      <w:r>
        <w:rPr>
          <w:spacing w:val="20"/>
        </w:rPr>
        <w:t xml:space="preserve"> </w:t>
      </w:r>
      <w:r>
        <w:t>(MILANEZ;</w:t>
      </w:r>
      <w:r>
        <w:rPr>
          <w:spacing w:val="20"/>
        </w:rPr>
        <w:t xml:space="preserve"> </w:t>
      </w:r>
      <w:r>
        <w:t>FERNANDES;</w:t>
      </w:r>
      <w:r>
        <w:rPr>
          <w:spacing w:val="20"/>
        </w:rPr>
        <w:t xml:space="preserve"> </w:t>
      </w:r>
      <w:r>
        <w:t>PORTO,</w:t>
      </w:r>
      <w:r>
        <w:rPr>
          <w:spacing w:val="20"/>
        </w:rPr>
        <w:t xml:space="preserve"> </w:t>
      </w:r>
      <w:r>
        <w:rPr>
          <w:spacing w:val="1"/>
        </w:rPr>
        <w:t>2009).</w:t>
      </w:r>
    </w:p>
    <w:p w:rsidR="00D81F69" w:rsidRDefault="00330118">
      <w:pPr>
        <w:pStyle w:val="Corpodetexto"/>
        <w:spacing w:before="143" w:line="312" w:lineRule="auto"/>
        <w:ind w:right="196"/>
      </w:pPr>
      <w:r>
        <w:t xml:space="preserve">O cimento, independentemente de ser fabricado com o uso da coincineração, possui uma pequena quantidade de metais em sua composição que têm origem </w:t>
      </w:r>
      <w:r>
        <w:t>nas impurezas dos combustíveis e das matérias primas. Entretanto, estudos empíricos e modelos matemáticos mostram que a queima de resíduos industriais tende a aumentar a concentração desses materiais no clínquer (LEGATOR et al., 1998 apud MILANEZ; FERNANDE</w:t>
      </w:r>
      <w:r>
        <w:t>S; PORTO, 2009).</w:t>
      </w:r>
    </w:p>
    <w:p w:rsidR="00D81F69" w:rsidRDefault="00330118">
      <w:pPr>
        <w:pStyle w:val="Corpodetexto"/>
        <w:spacing w:before="137" w:line="312" w:lineRule="auto"/>
        <w:ind w:right="195"/>
      </w:pPr>
      <w:r>
        <w:rPr>
          <w:spacing w:val="3"/>
        </w:rPr>
        <w:t xml:space="preserve">Os </w:t>
      </w:r>
      <w:r>
        <w:rPr>
          <w:spacing w:val="6"/>
        </w:rPr>
        <w:t xml:space="preserve">funcionários </w:t>
      </w:r>
      <w:r>
        <w:rPr>
          <w:spacing w:val="5"/>
        </w:rPr>
        <w:t xml:space="preserve">das </w:t>
      </w:r>
      <w:r>
        <w:rPr>
          <w:spacing w:val="6"/>
        </w:rPr>
        <w:t xml:space="preserve">cimenteiras </w:t>
      </w:r>
      <w:r>
        <w:t xml:space="preserve">e </w:t>
      </w:r>
      <w:r>
        <w:rPr>
          <w:spacing w:val="3"/>
        </w:rPr>
        <w:t xml:space="preserve">os </w:t>
      </w:r>
      <w:r>
        <w:rPr>
          <w:spacing w:val="6"/>
        </w:rPr>
        <w:t xml:space="preserve">trabalhadores </w:t>
      </w:r>
      <w:r>
        <w:rPr>
          <w:spacing w:val="7"/>
        </w:rPr>
        <w:t xml:space="preserve">da </w:t>
      </w:r>
      <w:r>
        <w:t xml:space="preserve">construção civil entram em contato direto com esse material </w:t>
      </w:r>
      <w:r>
        <w:rPr>
          <w:spacing w:val="3"/>
        </w:rPr>
        <w:t xml:space="preserve">antes </w:t>
      </w:r>
      <w:r>
        <w:rPr>
          <w:spacing w:val="2"/>
        </w:rPr>
        <w:t xml:space="preserve">da </w:t>
      </w:r>
      <w:r>
        <w:rPr>
          <w:spacing w:val="3"/>
        </w:rPr>
        <w:t xml:space="preserve">cura </w:t>
      </w:r>
      <w:r>
        <w:rPr>
          <w:spacing w:val="2"/>
        </w:rPr>
        <w:t xml:space="preserve">do </w:t>
      </w:r>
      <w:r>
        <w:rPr>
          <w:spacing w:val="5"/>
        </w:rPr>
        <w:t xml:space="preserve">cimento [procedimento </w:t>
      </w:r>
      <w:r>
        <w:rPr>
          <w:spacing w:val="2"/>
        </w:rPr>
        <w:t xml:space="preserve">de </w:t>
      </w:r>
      <w:r>
        <w:rPr>
          <w:spacing w:val="5"/>
        </w:rPr>
        <w:t xml:space="preserve">secagem da </w:t>
      </w:r>
      <w:r>
        <w:rPr>
          <w:spacing w:val="3"/>
        </w:rPr>
        <w:t xml:space="preserve">massa </w:t>
      </w:r>
      <w:r>
        <w:rPr>
          <w:spacing w:val="2"/>
        </w:rPr>
        <w:t xml:space="preserve">que </w:t>
      </w:r>
      <w:r>
        <w:rPr>
          <w:spacing w:val="3"/>
        </w:rPr>
        <w:t xml:space="preserve">evita </w:t>
      </w:r>
      <w:r>
        <w:t xml:space="preserve">a </w:t>
      </w:r>
      <w:r>
        <w:rPr>
          <w:spacing w:val="3"/>
        </w:rPr>
        <w:t xml:space="preserve">evaporação rápida </w:t>
      </w:r>
      <w:r>
        <w:rPr>
          <w:spacing w:val="1"/>
        </w:rPr>
        <w:t xml:space="preserve">da </w:t>
      </w:r>
      <w:r>
        <w:rPr>
          <w:spacing w:val="3"/>
        </w:rPr>
        <w:t xml:space="preserve">água] </w:t>
      </w:r>
      <w:r>
        <w:t xml:space="preserve">e </w:t>
      </w:r>
      <w:r>
        <w:rPr>
          <w:spacing w:val="5"/>
        </w:rPr>
        <w:t xml:space="preserve">aspiram </w:t>
      </w:r>
      <w:r>
        <w:rPr>
          <w:spacing w:val="8"/>
        </w:rPr>
        <w:t>grande quantidade</w:t>
      </w:r>
      <w:r>
        <w:rPr>
          <w:spacing w:val="8"/>
        </w:rPr>
        <w:t xml:space="preserve"> </w:t>
      </w:r>
      <w:r>
        <w:rPr>
          <w:spacing w:val="5"/>
        </w:rPr>
        <w:t xml:space="preserve">de </w:t>
      </w:r>
      <w:r>
        <w:rPr>
          <w:spacing w:val="10"/>
        </w:rPr>
        <w:t xml:space="preserve">partículas. </w:t>
      </w:r>
      <w:r>
        <w:rPr>
          <w:spacing w:val="5"/>
        </w:rPr>
        <w:t xml:space="preserve">Um </w:t>
      </w:r>
      <w:r>
        <w:rPr>
          <w:spacing w:val="6"/>
        </w:rPr>
        <w:t xml:space="preserve">dos </w:t>
      </w:r>
      <w:r>
        <w:rPr>
          <w:spacing w:val="10"/>
        </w:rPr>
        <w:t xml:space="preserve">problemas </w:t>
      </w:r>
      <w:r>
        <w:t xml:space="preserve">causados pelo contato com o cimento é a dermatite, que se caracteriza por sensações de coceira, irritação e queimação. No </w:t>
      </w:r>
      <w:r>
        <w:rPr>
          <w:spacing w:val="1"/>
        </w:rPr>
        <w:t xml:space="preserve">caso </w:t>
      </w:r>
      <w:r>
        <w:t xml:space="preserve">dos </w:t>
      </w:r>
      <w:r>
        <w:rPr>
          <w:spacing w:val="1"/>
        </w:rPr>
        <w:t xml:space="preserve">trabalhadores </w:t>
      </w:r>
      <w:r>
        <w:t xml:space="preserve">da </w:t>
      </w:r>
      <w:r>
        <w:rPr>
          <w:spacing w:val="1"/>
        </w:rPr>
        <w:t xml:space="preserve">construção civil, </w:t>
      </w:r>
      <w:r>
        <w:t xml:space="preserve">a </w:t>
      </w:r>
      <w:r>
        <w:rPr>
          <w:spacing w:val="2"/>
        </w:rPr>
        <w:t xml:space="preserve">dermatite </w:t>
      </w:r>
      <w:r>
        <w:t xml:space="preserve">ocorre pelo caráter alcalino do cimento, mas é intensificada  na presença de </w:t>
      </w:r>
      <w:hyperlink r:id="rId1391">
        <w:r>
          <w:t xml:space="preserve">cromo </w:t>
        </w:r>
      </w:hyperlink>
      <w:r>
        <w:t>IV e cromo VI (que se apresentam em maior concentração no caso da coincineração) po</w:t>
      </w:r>
      <w:r>
        <w:t>r causa de sua</w:t>
      </w:r>
      <w:r>
        <w:rPr>
          <w:spacing w:val="20"/>
        </w:rPr>
        <w:t xml:space="preserve"> </w:t>
      </w:r>
      <w:r>
        <w:t>ação</w:t>
      </w:r>
      <w:r>
        <w:rPr>
          <w:spacing w:val="20"/>
        </w:rPr>
        <w:t xml:space="preserve"> </w:t>
      </w:r>
      <w:r>
        <w:t>irritante</w:t>
      </w:r>
      <w:r>
        <w:rPr>
          <w:spacing w:val="20"/>
        </w:rPr>
        <w:t xml:space="preserve"> </w:t>
      </w:r>
      <w:r>
        <w:t>(MILANEZ;</w:t>
      </w:r>
      <w:r>
        <w:rPr>
          <w:spacing w:val="20"/>
        </w:rPr>
        <w:t xml:space="preserve"> </w:t>
      </w:r>
      <w:r>
        <w:t>FERNANDES;</w:t>
      </w:r>
      <w:r>
        <w:rPr>
          <w:spacing w:val="20"/>
        </w:rPr>
        <w:t xml:space="preserve"> </w:t>
      </w:r>
      <w:r>
        <w:t>PORTO,</w:t>
      </w:r>
      <w:r>
        <w:rPr>
          <w:spacing w:val="20"/>
        </w:rPr>
        <w:t xml:space="preserve"> </w:t>
      </w:r>
      <w:r>
        <w:t>2009).</w:t>
      </w:r>
    </w:p>
    <w:p w:rsidR="00D81F69" w:rsidRDefault="00D81F69">
      <w:pPr>
        <w:spacing w:line="312" w:lineRule="auto"/>
        <w:sectPr w:rsidR="00D81F69">
          <w:type w:val="continuous"/>
          <w:pgSz w:w="11900" w:h="16840"/>
          <w:pgMar w:top="720" w:right="500" w:bottom="280" w:left="620" w:header="720" w:footer="720" w:gutter="0"/>
          <w:cols w:num="2" w:space="720" w:equalWidth="0">
            <w:col w:w="5215" w:space="255"/>
            <w:col w:w="5310"/>
          </w:cols>
        </w:sectPr>
      </w:pPr>
    </w:p>
    <w:p w:rsidR="00D81F69" w:rsidRDefault="00330118">
      <w:pPr>
        <w:pStyle w:val="Corpodetexto"/>
        <w:spacing w:before="81" w:line="312" w:lineRule="auto"/>
        <w:ind w:right="38"/>
      </w:pPr>
      <w:r>
        <w:lastRenderedPageBreak/>
        <w:t>Outros riscos associados à coincineração referem-se à manipulação do blend e ao transporte dos resíduos. Durante as diferentes etapas da blendagem, existe uma série</w:t>
      </w:r>
      <w:r>
        <w:t xml:space="preserve"> de exposições dos trabalhadores - tanto por contato direto, quanto por inalação de gases e vapores - com os resíduos tóxicos. O caso dos trabalhadores que manipulam as substâncias no preparo do blend é um problema especialmente sério, já que a legislação </w:t>
      </w:r>
      <w:r>
        <w:t>não prevê os efeitos sinérgicos da exposição a múltiplos agentes químicos (MILANEZ; FERNANDES; PORTO, 2009).</w:t>
      </w:r>
    </w:p>
    <w:p w:rsidR="00D81F69" w:rsidRDefault="00330118">
      <w:pPr>
        <w:pStyle w:val="Corpodetexto"/>
        <w:spacing w:before="139" w:line="312" w:lineRule="auto"/>
        <w:ind w:right="38"/>
      </w:pPr>
      <w:r>
        <w:rPr>
          <w:spacing w:val="1"/>
        </w:rPr>
        <w:t xml:space="preserve">No </w:t>
      </w:r>
      <w:r>
        <w:rPr>
          <w:spacing w:val="2"/>
        </w:rPr>
        <w:t xml:space="preserve">que </w:t>
      </w:r>
      <w:r>
        <w:rPr>
          <w:spacing w:val="1"/>
        </w:rPr>
        <w:t xml:space="preserve">se </w:t>
      </w:r>
      <w:r>
        <w:rPr>
          <w:spacing w:val="3"/>
        </w:rPr>
        <w:t xml:space="preserve">refere </w:t>
      </w:r>
      <w:r>
        <w:t xml:space="preserve">a </w:t>
      </w:r>
      <w:r>
        <w:rPr>
          <w:spacing w:val="3"/>
        </w:rPr>
        <w:t xml:space="preserve">Cantagalo, </w:t>
      </w:r>
      <w:r>
        <w:t xml:space="preserve">a </w:t>
      </w:r>
      <w:r>
        <w:rPr>
          <w:spacing w:val="3"/>
        </w:rPr>
        <w:t xml:space="preserve">Secretaria </w:t>
      </w:r>
      <w:r>
        <w:rPr>
          <w:spacing w:val="1"/>
        </w:rPr>
        <w:t xml:space="preserve">de </w:t>
      </w:r>
      <w:r>
        <w:rPr>
          <w:spacing w:val="3"/>
        </w:rPr>
        <w:t xml:space="preserve">Saúde </w:t>
      </w:r>
      <w:r>
        <w:rPr>
          <w:spacing w:val="5"/>
        </w:rPr>
        <w:t xml:space="preserve">do </w:t>
      </w:r>
      <w:r>
        <w:t>município registrou, em 1993, problemas de intoxicação de trabalhadores (MILANEZ; FERNANDES;</w:t>
      </w:r>
      <w:r>
        <w:t xml:space="preserve"> PORTO, 2009) da </w:t>
      </w:r>
      <w:r>
        <w:rPr>
          <w:spacing w:val="7"/>
        </w:rPr>
        <w:t xml:space="preserve">Ambiência (atual Essencis Soluções </w:t>
      </w:r>
      <w:r>
        <w:rPr>
          <w:spacing w:val="8"/>
        </w:rPr>
        <w:t xml:space="preserve">Ambientais), </w:t>
      </w:r>
      <w:r>
        <w:rPr>
          <w:spacing w:val="10"/>
        </w:rPr>
        <w:t xml:space="preserve">que </w:t>
      </w:r>
      <w:r>
        <w:t>realizava coincineração utilizando forno do grupo Votorantim (RBJA; FBOMS; CESTEH, 2006). Em função disso, acionou o Ministério Público do Trabalho (MPT). Os problemas atingiam, principal</w:t>
      </w:r>
      <w:r>
        <w:t xml:space="preserve">mente, funcionários terceirizados, responsáveis </w:t>
      </w:r>
      <w:r>
        <w:rPr>
          <w:spacing w:val="1"/>
        </w:rPr>
        <w:t xml:space="preserve">por </w:t>
      </w:r>
      <w:r>
        <w:rPr>
          <w:spacing w:val="3"/>
        </w:rPr>
        <w:t xml:space="preserve">fazer </w:t>
      </w:r>
      <w:r>
        <w:t xml:space="preserve">a </w:t>
      </w:r>
      <w:r>
        <w:rPr>
          <w:spacing w:val="3"/>
        </w:rPr>
        <w:t xml:space="preserve">blendagem </w:t>
      </w:r>
      <w:r>
        <w:rPr>
          <w:spacing w:val="2"/>
        </w:rPr>
        <w:t xml:space="preserve">dos </w:t>
      </w:r>
      <w:r>
        <w:rPr>
          <w:spacing w:val="3"/>
        </w:rPr>
        <w:t xml:space="preserve">resíduos trazidos, </w:t>
      </w:r>
      <w:r>
        <w:rPr>
          <w:spacing w:val="1"/>
        </w:rPr>
        <w:t xml:space="preserve">em </w:t>
      </w:r>
      <w:r>
        <w:rPr>
          <w:spacing w:val="3"/>
        </w:rPr>
        <w:t xml:space="preserve">especial, </w:t>
      </w:r>
      <w:r>
        <w:rPr>
          <w:spacing w:val="5"/>
        </w:rPr>
        <w:t xml:space="preserve">do estado </w:t>
      </w:r>
      <w:r>
        <w:rPr>
          <w:spacing w:val="2"/>
        </w:rPr>
        <w:t xml:space="preserve">de </w:t>
      </w:r>
      <w:r>
        <w:rPr>
          <w:spacing w:val="3"/>
        </w:rPr>
        <w:t xml:space="preserve">São </w:t>
      </w:r>
      <w:r>
        <w:rPr>
          <w:spacing w:val="5"/>
        </w:rPr>
        <w:t xml:space="preserve">Paulo. </w:t>
      </w:r>
      <w:r>
        <w:rPr>
          <w:spacing w:val="3"/>
        </w:rPr>
        <w:t xml:space="preserve">Estes </w:t>
      </w:r>
      <w:r>
        <w:rPr>
          <w:spacing w:val="5"/>
        </w:rPr>
        <w:t xml:space="preserve">trabalhadores </w:t>
      </w:r>
      <w:r>
        <w:rPr>
          <w:spacing w:val="3"/>
        </w:rPr>
        <w:t xml:space="preserve">não </w:t>
      </w:r>
      <w:r>
        <w:rPr>
          <w:spacing w:val="5"/>
        </w:rPr>
        <w:t xml:space="preserve">tinham </w:t>
      </w:r>
      <w:r>
        <w:t xml:space="preserve">o mesmo treinamento dos funcionários da empresa de cimento e trabalhavam em locais com sistema </w:t>
      </w:r>
      <w:r>
        <w:t xml:space="preserve">de segurança menos rigoroso. A empresa teve sua licença de operação suspensa em 1995 e, em 1996, foi lavrado um termo de intimação pelas </w:t>
      </w:r>
      <w:r>
        <w:rPr>
          <w:spacing w:val="5"/>
        </w:rPr>
        <w:t xml:space="preserve">fiscalizações estadual </w:t>
      </w:r>
      <w:r>
        <w:t xml:space="preserve">e </w:t>
      </w:r>
      <w:r>
        <w:rPr>
          <w:spacing w:val="5"/>
        </w:rPr>
        <w:t xml:space="preserve">municipal, </w:t>
      </w:r>
      <w:r>
        <w:rPr>
          <w:spacing w:val="3"/>
        </w:rPr>
        <w:t xml:space="preserve">dando </w:t>
      </w:r>
      <w:r>
        <w:rPr>
          <w:spacing w:val="5"/>
        </w:rPr>
        <w:t xml:space="preserve">prazos </w:t>
      </w:r>
      <w:r>
        <w:rPr>
          <w:spacing w:val="3"/>
        </w:rPr>
        <w:t xml:space="preserve">para </w:t>
      </w:r>
      <w:r>
        <w:t xml:space="preserve">o </w:t>
      </w:r>
      <w:r>
        <w:rPr>
          <w:spacing w:val="5"/>
        </w:rPr>
        <w:t xml:space="preserve">cumprimento </w:t>
      </w:r>
      <w:r>
        <w:rPr>
          <w:spacing w:val="2"/>
        </w:rPr>
        <w:t xml:space="preserve">de </w:t>
      </w:r>
      <w:r>
        <w:rPr>
          <w:spacing w:val="3"/>
        </w:rPr>
        <w:t xml:space="preserve">uma série </w:t>
      </w:r>
      <w:r>
        <w:rPr>
          <w:spacing w:val="2"/>
        </w:rPr>
        <w:t xml:space="preserve">de </w:t>
      </w:r>
      <w:r>
        <w:rPr>
          <w:spacing w:val="5"/>
        </w:rPr>
        <w:t xml:space="preserve">determinações (MILANEZ; FERNANDES; </w:t>
      </w:r>
      <w:r>
        <w:rPr>
          <w:spacing w:val="5"/>
        </w:rPr>
        <w:t>PORTO,</w:t>
      </w:r>
      <w:r>
        <w:rPr>
          <w:spacing w:val="2"/>
        </w:rPr>
        <w:t xml:space="preserve"> </w:t>
      </w:r>
      <w:r>
        <w:rPr>
          <w:spacing w:val="5"/>
        </w:rPr>
        <w:t>2009).</w:t>
      </w:r>
    </w:p>
    <w:p w:rsidR="00D81F69" w:rsidRDefault="00330118">
      <w:pPr>
        <w:pStyle w:val="Corpodetexto"/>
        <w:spacing w:before="146" w:line="312" w:lineRule="auto"/>
        <w:ind w:right="39"/>
      </w:pPr>
      <w:r>
        <w:t xml:space="preserve">Em 1998, o MPT convidou uma equipe do Centro de Estudos </w:t>
      </w:r>
      <w:r>
        <w:rPr>
          <w:spacing w:val="10"/>
        </w:rPr>
        <w:t>de</w:t>
      </w:r>
      <w:r>
        <w:rPr>
          <w:spacing w:val="71"/>
        </w:rPr>
        <w:t xml:space="preserve"> </w:t>
      </w:r>
      <w:r>
        <w:rPr>
          <w:spacing w:val="17"/>
        </w:rPr>
        <w:t xml:space="preserve">Saúde </w:t>
      </w:r>
      <w:r>
        <w:rPr>
          <w:spacing w:val="10"/>
        </w:rPr>
        <w:t>do</w:t>
      </w:r>
      <w:r>
        <w:rPr>
          <w:spacing w:val="71"/>
        </w:rPr>
        <w:t xml:space="preserve"> </w:t>
      </w:r>
      <w:r>
        <w:rPr>
          <w:spacing w:val="20"/>
        </w:rPr>
        <w:t xml:space="preserve">Trabalhador </w:t>
      </w:r>
      <w:r>
        <w:t xml:space="preserve">e </w:t>
      </w:r>
      <w:r>
        <w:rPr>
          <w:spacing w:val="20"/>
        </w:rPr>
        <w:t xml:space="preserve">Ecologia </w:t>
      </w:r>
      <w:r>
        <w:rPr>
          <w:spacing w:val="18"/>
        </w:rPr>
        <w:t xml:space="preserve">Humana </w:t>
      </w:r>
      <w:r>
        <w:rPr>
          <w:spacing w:val="3"/>
        </w:rPr>
        <w:t xml:space="preserve">(CESTEH/ENSP/FIOCRUZ) </w:t>
      </w:r>
      <w:r>
        <w:rPr>
          <w:spacing w:val="2"/>
        </w:rPr>
        <w:t xml:space="preserve">para </w:t>
      </w:r>
      <w:r>
        <w:rPr>
          <w:spacing w:val="1"/>
        </w:rPr>
        <w:t xml:space="preserve">ir ao </w:t>
      </w:r>
      <w:r>
        <w:rPr>
          <w:spacing w:val="3"/>
        </w:rPr>
        <w:t xml:space="preserve">local </w:t>
      </w:r>
      <w:r>
        <w:t xml:space="preserve">e </w:t>
      </w:r>
      <w:r>
        <w:rPr>
          <w:spacing w:val="3"/>
        </w:rPr>
        <w:t xml:space="preserve">fazer </w:t>
      </w:r>
      <w:r>
        <w:rPr>
          <w:spacing w:val="5"/>
        </w:rPr>
        <w:t xml:space="preserve">novas </w:t>
      </w:r>
      <w:r>
        <w:rPr>
          <w:spacing w:val="8"/>
        </w:rPr>
        <w:t xml:space="preserve">inspeções, </w:t>
      </w:r>
      <w:r>
        <w:rPr>
          <w:spacing w:val="7"/>
        </w:rPr>
        <w:t xml:space="preserve">junto </w:t>
      </w:r>
      <w:r>
        <w:rPr>
          <w:spacing w:val="5"/>
        </w:rPr>
        <w:t xml:space="preserve">com </w:t>
      </w:r>
      <w:r>
        <w:t xml:space="preserve">a </w:t>
      </w:r>
      <w:r>
        <w:rPr>
          <w:spacing w:val="8"/>
        </w:rPr>
        <w:t xml:space="preserve">Secretaria </w:t>
      </w:r>
      <w:r>
        <w:rPr>
          <w:spacing w:val="7"/>
        </w:rPr>
        <w:t xml:space="preserve">Estadual </w:t>
      </w:r>
      <w:r>
        <w:rPr>
          <w:spacing w:val="5"/>
        </w:rPr>
        <w:t xml:space="preserve">de </w:t>
      </w:r>
      <w:r>
        <w:rPr>
          <w:spacing w:val="10"/>
        </w:rPr>
        <w:t xml:space="preserve">Saúde </w:t>
      </w:r>
      <w:r>
        <w:rPr>
          <w:spacing w:val="7"/>
        </w:rPr>
        <w:t xml:space="preserve">(MILANEZ; </w:t>
      </w:r>
      <w:r>
        <w:rPr>
          <w:spacing w:val="8"/>
        </w:rPr>
        <w:t xml:space="preserve">FERNANDES; </w:t>
      </w:r>
      <w:r>
        <w:rPr>
          <w:spacing w:val="7"/>
        </w:rPr>
        <w:t>PORTO,</w:t>
      </w:r>
      <w:r>
        <w:rPr>
          <w:spacing w:val="6"/>
        </w:rPr>
        <w:t xml:space="preserve"> </w:t>
      </w:r>
      <w:r>
        <w:rPr>
          <w:spacing w:val="10"/>
        </w:rPr>
        <w:t>2009).</w:t>
      </w:r>
    </w:p>
    <w:p w:rsidR="00D81F69" w:rsidRDefault="00330118">
      <w:pPr>
        <w:pStyle w:val="Corpodetexto"/>
        <w:spacing w:before="134" w:line="312" w:lineRule="auto"/>
        <w:ind w:right="42"/>
      </w:pPr>
      <w:r>
        <w:t>A equipe notificou que havia falha na identificação de tonéis e que muitos se encontravam destampados. Com relação à manipulação dos materiais, com exceção do empilhamento, todas as atividades (incluindo preparo de misturas) eram feitas manualmente. A equi</w:t>
      </w:r>
      <w:r>
        <w:t xml:space="preserve">pe coletou amostras de ar, carvão, cimento e filtro eletrostático e identificou no cimento concentrações de alguns metais pesados (cádmio, chumbo, </w:t>
      </w:r>
      <w:hyperlink r:id="rId1392">
        <w:r>
          <w:t xml:space="preserve">cobre </w:t>
        </w:r>
      </w:hyperlink>
      <w:r>
        <w:t>e zinco) da m</w:t>
      </w:r>
      <w:r>
        <w:t xml:space="preserve">esma ordem de grandeza da presente nos filtros. Para outros metais, a concentração no cimento em algumas amostras chegou a ser três vezes maior do que no filtro, no caso do </w:t>
      </w:r>
      <w:hyperlink r:id="rId1393">
        <w:r>
          <w:t xml:space="preserve">manganês, </w:t>
        </w:r>
      </w:hyperlink>
      <w:r>
        <w:t>e sete vezes maior, no caso do cromo (RBJA; FBOMS; CESTEH, 2006).</w:t>
      </w:r>
    </w:p>
    <w:p w:rsidR="00D81F69" w:rsidRDefault="00330118">
      <w:pPr>
        <w:pStyle w:val="Corpodetexto"/>
        <w:spacing w:before="78" w:line="270" w:lineRule="atLeast"/>
        <w:ind w:right="55"/>
      </w:pPr>
      <w:r>
        <w:t xml:space="preserve">Durante nova visita, feita em 2000, verificou-se que, </w:t>
      </w:r>
      <w:r>
        <w:rPr>
          <w:spacing w:val="1"/>
        </w:rPr>
        <w:t xml:space="preserve">apesar </w:t>
      </w:r>
      <w:r>
        <w:rPr>
          <w:spacing w:val="5"/>
        </w:rPr>
        <w:t xml:space="preserve">da </w:t>
      </w:r>
      <w:r>
        <w:rPr>
          <w:spacing w:val="8"/>
        </w:rPr>
        <w:t xml:space="preserve">transferência </w:t>
      </w:r>
      <w:r>
        <w:rPr>
          <w:spacing w:val="5"/>
        </w:rPr>
        <w:t xml:space="preserve">das </w:t>
      </w:r>
      <w:r>
        <w:rPr>
          <w:spacing w:val="8"/>
        </w:rPr>
        <w:t xml:space="preserve">atividades </w:t>
      </w:r>
      <w:r>
        <w:rPr>
          <w:spacing w:val="5"/>
        </w:rPr>
        <w:t xml:space="preserve">de </w:t>
      </w:r>
      <w:r>
        <w:rPr>
          <w:spacing w:val="7"/>
        </w:rPr>
        <w:t xml:space="preserve">blendagem </w:t>
      </w:r>
      <w:r>
        <w:rPr>
          <w:spacing w:val="6"/>
        </w:rPr>
        <w:t xml:space="preserve">para </w:t>
      </w:r>
      <w:r>
        <w:t xml:space="preserve">o </w:t>
      </w:r>
      <w:r>
        <w:rPr>
          <w:spacing w:val="3"/>
        </w:rPr>
        <w:t xml:space="preserve">município </w:t>
      </w:r>
      <w:r>
        <w:rPr>
          <w:spacing w:val="1"/>
        </w:rPr>
        <w:t xml:space="preserve">de </w:t>
      </w:r>
      <w:r>
        <w:rPr>
          <w:spacing w:val="2"/>
        </w:rPr>
        <w:t xml:space="preserve">Magé </w:t>
      </w:r>
      <w:r>
        <w:rPr>
          <w:spacing w:val="3"/>
        </w:rPr>
        <w:t xml:space="preserve">(também </w:t>
      </w:r>
      <w:r>
        <w:rPr>
          <w:spacing w:val="1"/>
        </w:rPr>
        <w:t xml:space="preserve">no </w:t>
      </w:r>
      <w:r>
        <w:rPr>
          <w:spacing w:val="2"/>
        </w:rPr>
        <w:t xml:space="preserve">Rio </w:t>
      </w:r>
      <w:r>
        <w:rPr>
          <w:spacing w:val="1"/>
        </w:rPr>
        <w:t xml:space="preserve">de </w:t>
      </w:r>
      <w:r>
        <w:rPr>
          <w:spacing w:val="3"/>
        </w:rPr>
        <w:t xml:space="preserve">Janeiro), </w:t>
      </w:r>
      <w:r>
        <w:rPr>
          <w:spacing w:val="5"/>
        </w:rPr>
        <w:t xml:space="preserve">diversos </w:t>
      </w:r>
      <w:r>
        <w:t>prob</w:t>
      </w:r>
      <w:r>
        <w:t xml:space="preserve">lemas continuavam. Nesta ocasião, foi identificado </w:t>
      </w:r>
      <w:r>
        <w:rPr>
          <w:spacing w:val="1"/>
        </w:rPr>
        <w:t xml:space="preserve">que </w:t>
      </w:r>
      <w:r>
        <w:t xml:space="preserve">não </w:t>
      </w:r>
      <w:r>
        <w:rPr>
          <w:spacing w:val="1"/>
        </w:rPr>
        <w:t xml:space="preserve">havia </w:t>
      </w:r>
      <w:r>
        <w:t xml:space="preserve">um </w:t>
      </w:r>
      <w:r>
        <w:rPr>
          <w:spacing w:val="1"/>
        </w:rPr>
        <w:t xml:space="preserve">sistema confiável </w:t>
      </w:r>
      <w:r>
        <w:t xml:space="preserve">de </w:t>
      </w:r>
      <w:r>
        <w:rPr>
          <w:spacing w:val="1"/>
        </w:rPr>
        <w:t xml:space="preserve">avaliação </w:t>
      </w:r>
      <w:r>
        <w:t xml:space="preserve">dos </w:t>
      </w:r>
      <w:r>
        <w:rPr>
          <w:spacing w:val="2"/>
        </w:rPr>
        <w:t xml:space="preserve">resíduos </w:t>
      </w:r>
      <w:r>
        <w:t xml:space="preserve">recebidos, e a rotulagem continuava falha. Além disso, foram </w:t>
      </w:r>
      <w:r>
        <w:rPr>
          <w:spacing w:val="12"/>
        </w:rPr>
        <w:t xml:space="preserve">verificados vazamentos </w:t>
      </w:r>
      <w:r>
        <w:rPr>
          <w:spacing w:val="6"/>
        </w:rPr>
        <w:t xml:space="preserve">de </w:t>
      </w:r>
      <w:r>
        <w:rPr>
          <w:spacing w:val="12"/>
        </w:rPr>
        <w:t xml:space="preserve">líquidos </w:t>
      </w:r>
      <w:r>
        <w:rPr>
          <w:spacing w:val="10"/>
        </w:rPr>
        <w:t xml:space="preserve">nos </w:t>
      </w:r>
      <w:r>
        <w:rPr>
          <w:spacing w:val="11"/>
        </w:rPr>
        <w:t xml:space="preserve">galpões </w:t>
      </w:r>
      <w:r>
        <w:t xml:space="preserve">e </w:t>
      </w:r>
      <w:r>
        <w:rPr>
          <w:spacing w:val="8"/>
        </w:rPr>
        <w:t xml:space="preserve">irregularidades </w:t>
      </w:r>
      <w:r>
        <w:rPr>
          <w:spacing w:val="5"/>
        </w:rPr>
        <w:t xml:space="preserve">no </w:t>
      </w:r>
      <w:r>
        <w:rPr>
          <w:spacing w:val="8"/>
        </w:rPr>
        <w:t>acondicionament</w:t>
      </w:r>
      <w:r>
        <w:rPr>
          <w:spacing w:val="8"/>
        </w:rPr>
        <w:t xml:space="preserve">o </w:t>
      </w:r>
      <w:r>
        <w:t xml:space="preserve">e </w:t>
      </w:r>
      <w:r>
        <w:rPr>
          <w:spacing w:val="8"/>
        </w:rPr>
        <w:t xml:space="preserve">transporte </w:t>
      </w:r>
      <w:r>
        <w:rPr>
          <w:spacing w:val="10"/>
        </w:rPr>
        <w:t xml:space="preserve">dos </w:t>
      </w:r>
      <w:r>
        <w:t xml:space="preserve">materiais. Durante a avaliação dos documentos enviados para </w:t>
      </w:r>
      <w:r>
        <w:rPr>
          <w:spacing w:val="3"/>
        </w:rPr>
        <w:t xml:space="preserve">inspeção, também foram encontradas incorreções, </w:t>
      </w:r>
      <w:r>
        <w:rPr>
          <w:spacing w:val="2"/>
        </w:rPr>
        <w:t xml:space="preserve">pois </w:t>
      </w:r>
      <w:r>
        <w:t>a empresa</w:t>
      </w:r>
      <w:r>
        <w:rPr>
          <w:spacing w:val="18"/>
        </w:rPr>
        <w:t xml:space="preserve"> </w:t>
      </w:r>
      <w:r>
        <w:t>havia</w:t>
      </w:r>
      <w:r>
        <w:rPr>
          <w:spacing w:val="18"/>
        </w:rPr>
        <w:t xml:space="preserve"> </w:t>
      </w:r>
      <w:r>
        <w:t>escolhido</w:t>
      </w:r>
      <w:r>
        <w:rPr>
          <w:spacing w:val="18"/>
        </w:rPr>
        <w:t xml:space="preserve"> </w:t>
      </w:r>
      <w:r>
        <w:t>pontos</w:t>
      </w:r>
      <w:r>
        <w:rPr>
          <w:spacing w:val="18"/>
        </w:rPr>
        <w:t xml:space="preserve"> </w:t>
      </w:r>
      <w:r>
        <w:t>de</w:t>
      </w:r>
      <w:r>
        <w:rPr>
          <w:spacing w:val="18"/>
        </w:rPr>
        <w:t xml:space="preserve"> </w:t>
      </w:r>
      <w:r>
        <w:t>amostra</w:t>
      </w:r>
      <w:r>
        <w:rPr>
          <w:spacing w:val="18"/>
        </w:rPr>
        <w:t xml:space="preserve"> </w:t>
      </w:r>
      <w:r>
        <w:t>para</w:t>
      </w:r>
      <w:r>
        <w:rPr>
          <w:spacing w:val="18"/>
        </w:rPr>
        <w:t xml:space="preserve"> </w:t>
      </w:r>
      <w:r>
        <w:t>análise</w:t>
      </w:r>
      <w:r>
        <w:rPr>
          <w:spacing w:val="18"/>
        </w:rPr>
        <w:t xml:space="preserve"> </w:t>
      </w:r>
      <w:r>
        <w:t>de</w:t>
      </w:r>
    </w:p>
    <w:p w:rsidR="00D81F69" w:rsidRDefault="00330118">
      <w:pPr>
        <w:pStyle w:val="Corpodetexto"/>
        <w:spacing w:before="81" w:line="312" w:lineRule="auto"/>
        <w:ind w:right="191"/>
      </w:pPr>
      <w:r>
        <w:br w:type="column"/>
      </w:r>
      <w:r>
        <w:lastRenderedPageBreak/>
        <w:t>dispersão dos gases que ficavam na direção contrária aos ventos predominantes (MILANEZ; FERNANDES; PORTO, 2009).</w:t>
      </w:r>
    </w:p>
    <w:p w:rsidR="00D81F69" w:rsidRDefault="00330118">
      <w:pPr>
        <w:pStyle w:val="Corpodetexto"/>
        <w:spacing w:before="133" w:line="312" w:lineRule="auto"/>
        <w:ind w:right="185"/>
      </w:pPr>
      <w:r>
        <w:t>Uma das principais recomendações do CESTEH foi a atuação conjunta do Ministério Público do Trabalho, do Ministério Público Estadual (através de</w:t>
      </w:r>
      <w:r>
        <w:t xml:space="preserve"> sua Coordenadoria de Meio Ambiente) e da agência ambiental do estado no acompanhamento do processo. Entretanto, dificuldades de articulação entre as instituições e diferentes prioridades levaram à interrupção dos trabalhos (RBJA; FBOMS; CESTEH, 2006).</w:t>
      </w:r>
    </w:p>
    <w:p w:rsidR="00D81F69" w:rsidRDefault="00330118">
      <w:pPr>
        <w:pStyle w:val="Corpodetexto"/>
        <w:spacing w:before="137" w:line="312" w:lineRule="auto"/>
        <w:ind w:right="196"/>
      </w:pPr>
      <w:r>
        <w:rPr>
          <w:spacing w:val="3"/>
        </w:rPr>
        <w:t>Por</w:t>
      </w:r>
      <w:r>
        <w:rPr>
          <w:spacing w:val="3"/>
        </w:rPr>
        <w:t xml:space="preserve"> causa das </w:t>
      </w:r>
      <w:r>
        <w:rPr>
          <w:spacing w:val="5"/>
        </w:rPr>
        <w:t xml:space="preserve">cimenteiras, Cantagalo </w:t>
      </w:r>
      <w:r>
        <w:rPr>
          <w:spacing w:val="3"/>
        </w:rPr>
        <w:t xml:space="preserve">foi </w:t>
      </w:r>
      <w:r>
        <w:rPr>
          <w:spacing w:val="5"/>
        </w:rPr>
        <w:t xml:space="preserve">apontada pelo </w:t>
      </w:r>
      <w:r>
        <w:rPr>
          <w:spacing w:val="1"/>
        </w:rPr>
        <w:t xml:space="preserve">Instituto Brasileiro </w:t>
      </w:r>
      <w:r>
        <w:t xml:space="preserve">de </w:t>
      </w:r>
      <w:r>
        <w:rPr>
          <w:spacing w:val="1"/>
        </w:rPr>
        <w:t xml:space="preserve">Geografia </w:t>
      </w:r>
      <w:r>
        <w:t xml:space="preserve">e </w:t>
      </w:r>
      <w:r>
        <w:rPr>
          <w:spacing w:val="1"/>
        </w:rPr>
        <w:t xml:space="preserve">Estatística (IBGE) </w:t>
      </w:r>
      <w:r>
        <w:rPr>
          <w:spacing w:val="2"/>
        </w:rPr>
        <w:t xml:space="preserve">como </w:t>
      </w:r>
      <w:r>
        <w:t xml:space="preserve">uma das três cidades do estado do Rio com maior potencial </w:t>
      </w:r>
      <w:r>
        <w:rPr>
          <w:spacing w:val="6"/>
        </w:rPr>
        <w:t xml:space="preserve">de </w:t>
      </w:r>
      <w:r>
        <w:rPr>
          <w:spacing w:val="11"/>
        </w:rPr>
        <w:t xml:space="preserve">emissão </w:t>
      </w:r>
      <w:r>
        <w:rPr>
          <w:spacing w:val="6"/>
        </w:rPr>
        <w:t xml:space="preserve">de </w:t>
      </w:r>
      <w:r>
        <w:rPr>
          <w:spacing w:val="12"/>
        </w:rPr>
        <w:t xml:space="preserve">poluentes </w:t>
      </w:r>
      <w:r>
        <w:rPr>
          <w:spacing w:val="11"/>
        </w:rPr>
        <w:t xml:space="preserve">gerados </w:t>
      </w:r>
      <w:r>
        <w:rPr>
          <w:spacing w:val="10"/>
        </w:rPr>
        <w:t xml:space="preserve">pela </w:t>
      </w:r>
      <w:r>
        <w:rPr>
          <w:spacing w:val="11"/>
        </w:rPr>
        <w:t xml:space="preserve">queima </w:t>
      </w:r>
      <w:r>
        <w:rPr>
          <w:spacing w:val="6"/>
        </w:rPr>
        <w:t xml:space="preserve">de </w:t>
      </w:r>
      <w:r>
        <w:t>combustíveis pesados em processos indus</w:t>
      </w:r>
      <w:r>
        <w:t>triais (IBGE, 2008). Para discutir esse assunto, foram realizadas duas audiências públicas com representantes das empresas, da prefeitura, dos órgãos ambientais e da sociedade organizada (GLOBO.COM, 2009).</w:t>
      </w:r>
    </w:p>
    <w:p w:rsidR="00D81F69" w:rsidRDefault="00330118">
      <w:pPr>
        <w:pStyle w:val="Corpodetexto"/>
        <w:spacing w:before="138" w:line="312" w:lineRule="auto"/>
        <w:ind w:right="212"/>
      </w:pPr>
      <w:r>
        <w:t>Por sua vez, a Associação Brasileira de Cimento in</w:t>
      </w:r>
      <w:r>
        <w:t xml:space="preserve">formou que a eliminação de resíduos em fornos de cimento é prática regulamentada e segura. Disse também que departamentos ambientais do estado fazem o controle da atividade, e que as indústrias realizam controles adicionais sobre a saúde dos trabalhadores </w:t>
      </w:r>
      <w:r>
        <w:t>(GLOBO.COM, 2009).</w:t>
      </w:r>
    </w:p>
    <w:p w:rsidR="00D81F69" w:rsidRDefault="00D81F69">
      <w:pPr>
        <w:pStyle w:val="Corpodetexto"/>
        <w:spacing w:before="5"/>
        <w:ind w:left="0"/>
        <w:jc w:val="left"/>
        <w:rPr>
          <w:sz w:val="21"/>
        </w:rPr>
      </w:pPr>
    </w:p>
    <w:p w:rsidR="00D81F69" w:rsidRDefault="00330118">
      <w:pPr>
        <w:pStyle w:val="Heading7"/>
        <w:spacing w:before="1"/>
      </w:pPr>
      <w:r>
        <w:t>LOCALIZAÇÃO GEOGRÁFICA</w:t>
      </w:r>
    </w:p>
    <w:p w:rsidR="00D81F69" w:rsidRDefault="00330118">
      <w:pPr>
        <w:pStyle w:val="Corpodetexto"/>
        <w:spacing w:before="178" w:line="312" w:lineRule="auto"/>
        <w:ind w:right="189"/>
      </w:pPr>
      <w:r>
        <w:t>As ocorrências de calcário do município de Cantagalo são denominadas Fazendas Boa Sorte, Boa Vista, Tanques, Tanquinhos, Pouso Alegre, Paracatu, Água Quente e Fundão.A produção de cimento se encontra na bacia do R</w:t>
      </w:r>
      <w:r>
        <w:t>io Paraíba do Sul, entre o Rio Preto e o Ribeirão da Areias. As minas se concentram entre as latitudes 21°54’47”S – 21°49’39”S e longitudes 42°15’24”W - 42°12’35”W.</w:t>
      </w:r>
    </w:p>
    <w:p w:rsidR="00D81F69" w:rsidRDefault="00D81F69">
      <w:pPr>
        <w:pStyle w:val="Corpodetexto"/>
        <w:spacing w:before="4"/>
        <w:ind w:left="0"/>
        <w:jc w:val="left"/>
        <w:rPr>
          <w:sz w:val="29"/>
        </w:rPr>
      </w:pPr>
    </w:p>
    <w:p w:rsidR="00D81F69" w:rsidRDefault="00330118">
      <w:pPr>
        <w:pStyle w:val="Heading7"/>
        <w:spacing w:before="1"/>
      </w:pPr>
      <w:r>
        <w:t>REDATORES</w:t>
      </w:r>
    </w:p>
    <w:p w:rsidR="00D81F69" w:rsidRDefault="00330118">
      <w:pPr>
        <w:pStyle w:val="Corpodetexto"/>
        <w:spacing w:before="178"/>
      </w:pPr>
      <w:r>
        <w:t>Renata Olivieri; Eliane Araujo</w:t>
      </w:r>
    </w:p>
    <w:p w:rsidR="00D81F69" w:rsidRDefault="00D81F69">
      <w:pPr>
        <w:pStyle w:val="Corpodetexto"/>
        <w:ind w:left="0"/>
        <w:jc w:val="left"/>
        <w:rPr>
          <w:sz w:val="20"/>
        </w:rPr>
      </w:pPr>
    </w:p>
    <w:p w:rsidR="00D81F69" w:rsidRDefault="00330118">
      <w:pPr>
        <w:pStyle w:val="Heading7"/>
        <w:spacing w:before="165"/>
      </w:pPr>
      <w:r>
        <w:t>REFERÊNCIAS BIBLIOGRÁFICAS</w:t>
      </w:r>
    </w:p>
    <w:p w:rsidR="00D81F69" w:rsidRDefault="00330118">
      <w:pPr>
        <w:spacing w:before="187" w:line="312" w:lineRule="auto"/>
        <w:ind w:left="100" w:right="184"/>
        <w:jc w:val="both"/>
        <w:rPr>
          <w:sz w:val="16"/>
        </w:rPr>
      </w:pPr>
      <w:r>
        <w:rPr>
          <w:sz w:val="16"/>
        </w:rPr>
        <w:t>ENSP. Escola Nacional</w:t>
      </w:r>
      <w:r>
        <w:rPr>
          <w:sz w:val="16"/>
        </w:rPr>
        <w:t xml:space="preserve"> de Saúde Pública Sergio Arouca. Atividades irregulares em região cimenteira do Rio ameaçam a saúde da população. Informe Ensp, 27 abr. 2009. Disponível em: </w:t>
      </w:r>
    </w:p>
    <w:p w:rsidR="00D81F69" w:rsidRDefault="00D81F69">
      <w:pPr>
        <w:spacing w:before="3" w:line="312" w:lineRule="auto"/>
        <w:ind w:left="100" w:right="159"/>
        <w:rPr>
          <w:sz w:val="16"/>
        </w:rPr>
      </w:pPr>
      <w:hyperlink r:id="rId1394">
        <w:r w:rsidR="00330118">
          <w:rPr>
            <w:sz w:val="16"/>
          </w:rPr>
          <w:t xml:space="preserve">&lt; h t t p : / / w w w . e n s p . f i o c r u </w:t>
        </w:r>
        <w:r w:rsidR="00330118">
          <w:rPr>
            <w:sz w:val="16"/>
          </w:rPr>
          <w:t xml:space="preserve">z . b r / p o r t a l - </w:t>
        </w:r>
      </w:hyperlink>
      <w:r w:rsidR="00330118">
        <w:rPr>
          <w:sz w:val="16"/>
        </w:rPr>
        <w:t>ensp/informe/materia/index.php?matid=16186&gt;. Acesso em 26 ago. 2010.</w:t>
      </w:r>
    </w:p>
    <w:p w:rsidR="00D81F69" w:rsidRDefault="00330118">
      <w:pPr>
        <w:spacing w:before="2" w:line="312" w:lineRule="auto"/>
        <w:ind w:left="100" w:right="193"/>
        <w:jc w:val="both"/>
        <w:rPr>
          <w:sz w:val="16"/>
        </w:rPr>
      </w:pPr>
      <w:r>
        <w:rPr>
          <w:sz w:val="16"/>
        </w:rPr>
        <w:t xml:space="preserve">GLOBO. COM. Resíduos das fábricas de cimentos causam problemas de saúdes aos moradores de Cantagalo, 28 out. 2009. Disponível em: </w:t>
      </w:r>
      <w:hyperlink r:id="rId1395">
        <w:r>
          <w:rPr>
            <w:sz w:val="16"/>
          </w:rPr>
          <w:t>&lt;http://in360.globo.com/rj/noticias.php?id=6005&gt;.</w:t>
        </w:r>
      </w:hyperlink>
      <w:r>
        <w:rPr>
          <w:sz w:val="16"/>
        </w:rPr>
        <w:t xml:space="preserve"> Acesso em 23 ago. 2010.</w:t>
      </w:r>
    </w:p>
    <w:p w:rsidR="00D81F69" w:rsidRDefault="00330118">
      <w:pPr>
        <w:spacing w:before="3" w:line="312" w:lineRule="auto"/>
        <w:ind w:left="100" w:right="115"/>
        <w:jc w:val="both"/>
        <w:rPr>
          <w:sz w:val="16"/>
        </w:rPr>
      </w:pPr>
      <w:r>
        <w:rPr>
          <w:sz w:val="16"/>
        </w:rPr>
        <w:t xml:space="preserve">IBGE, Instituto Brasileiro  de  Geografia  e  Estatística.  Cantagalo.  </w:t>
      </w:r>
      <w:r>
        <w:rPr>
          <w:spacing w:val="1"/>
          <w:sz w:val="16"/>
        </w:rPr>
        <w:t xml:space="preserve">In: </w:t>
      </w:r>
      <w:r>
        <w:rPr>
          <w:spacing w:val="36"/>
          <w:sz w:val="16"/>
        </w:rPr>
        <w:t>I</w:t>
      </w:r>
      <w:r>
        <w:rPr>
          <w:sz w:val="16"/>
        </w:rPr>
        <w:t xml:space="preserve"> </w:t>
      </w:r>
      <w:r>
        <w:rPr>
          <w:spacing w:val="36"/>
          <w:sz w:val="16"/>
        </w:rPr>
        <w:t>B</w:t>
      </w:r>
      <w:r>
        <w:rPr>
          <w:sz w:val="16"/>
        </w:rPr>
        <w:t xml:space="preserve"> </w:t>
      </w:r>
      <w:r>
        <w:rPr>
          <w:spacing w:val="36"/>
          <w:sz w:val="16"/>
        </w:rPr>
        <w:t>G</w:t>
      </w:r>
      <w:r>
        <w:rPr>
          <w:sz w:val="16"/>
        </w:rPr>
        <w:t xml:space="preserve"> E</w:t>
      </w:r>
      <w:r>
        <w:rPr>
          <w:spacing w:val="17"/>
          <w:sz w:val="16"/>
        </w:rPr>
        <w:t xml:space="preserve"> </w:t>
      </w:r>
      <w:r>
        <w:rPr>
          <w:spacing w:val="36"/>
          <w:sz w:val="16"/>
        </w:rPr>
        <w:t>C</w:t>
      </w:r>
      <w:r>
        <w:rPr>
          <w:sz w:val="16"/>
        </w:rPr>
        <w:t xml:space="preserve"> </w:t>
      </w:r>
      <w:r>
        <w:rPr>
          <w:spacing w:val="36"/>
          <w:sz w:val="16"/>
        </w:rPr>
        <w:t>i</w:t>
      </w:r>
      <w:r>
        <w:rPr>
          <w:sz w:val="16"/>
        </w:rPr>
        <w:t xml:space="preserve"> </w:t>
      </w:r>
      <w:r>
        <w:rPr>
          <w:spacing w:val="36"/>
          <w:sz w:val="16"/>
        </w:rPr>
        <w:t>d</w:t>
      </w:r>
      <w:r>
        <w:rPr>
          <w:sz w:val="16"/>
        </w:rPr>
        <w:t xml:space="preserve"> </w:t>
      </w:r>
      <w:r>
        <w:rPr>
          <w:spacing w:val="36"/>
          <w:sz w:val="16"/>
        </w:rPr>
        <w:t>a</w:t>
      </w:r>
      <w:r>
        <w:rPr>
          <w:sz w:val="16"/>
        </w:rPr>
        <w:t xml:space="preserve"> </w:t>
      </w:r>
      <w:r>
        <w:rPr>
          <w:spacing w:val="36"/>
          <w:sz w:val="16"/>
        </w:rPr>
        <w:t>d</w:t>
      </w:r>
      <w:r>
        <w:rPr>
          <w:sz w:val="16"/>
        </w:rPr>
        <w:t xml:space="preserve"> </w:t>
      </w:r>
      <w:r>
        <w:rPr>
          <w:spacing w:val="36"/>
          <w:sz w:val="16"/>
        </w:rPr>
        <w:t>e</w:t>
      </w:r>
      <w:r>
        <w:rPr>
          <w:sz w:val="16"/>
        </w:rPr>
        <w:t xml:space="preserve"> </w:t>
      </w:r>
      <w:r>
        <w:rPr>
          <w:spacing w:val="36"/>
          <w:sz w:val="16"/>
        </w:rPr>
        <w:t>s</w:t>
      </w:r>
      <w:r>
        <w:rPr>
          <w:sz w:val="16"/>
        </w:rPr>
        <w:t xml:space="preserve"> .</w:t>
      </w:r>
      <w:r>
        <w:rPr>
          <w:spacing w:val="17"/>
          <w:sz w:val="16"/>
        </w:rPr>
        <w:t xml:space="preserve"> </w:t>
      </w:r>
      <w:r>
        <w:rPr>
          <w:spacing w:val="36"/>
          <w:sz w:val="16"/>
        </w:rPr>
        <w:t>D</w:t>
      </w:r>
      <w:r>
        <w:rPr>
          <w:sz w:val="16"/>
        </w:rPr>
        <w:t xml:space="preserve"> </w:t>
      </w:r>
      <w:r>
        <w:rPr>
          <w:spacing w:val="36"/>
          <w:sz w:val="16"/>
        </w:rPr>
        <w:t>i</w:t>
      </w:r>
      <w:r>
        <w:rPr>
          <w:sz w:val="16"/>
        </w:rPr>
        <w:t xml:space="preserve"> </w:t>
      </w:r>
      <w:r>
        <w:rPr>
          <w:spacing w:val="36"/>
          <w:sz w:val="16"/>
        </w:rPr>
        <w:t>s</w:t>
      </w:r>
      <w:r>
        <w:rPr>
          <w:sz w:val="16"/>
        </w:rPr>
        <w:t xml:space="preserve"> </w:t>
      </w:r>
      <w:r>
        <w:rPr>
          <w:spacing w:val="36"/>
          <w:sz w:val="16"/>
        </w:rPr>
        <w:t>p</w:t>
      </w:r>
      <w:r>
        <w:rPr>
          <w:sz w:val="16"/>
        </w:rPr>
        <w:t xml:space="preserve"> </w:t>
      </w:r>
      <w:r>
        <w:rPr>
          <w:spacing w:val="36"/>
          <w:sz w:val="16"/>
        </w:rPr>
        <w:t>o</w:t>
      </w:r>
      <w:r>
        <w:rPr>
          <w:sz w:val="16"/>
        </w:rPr>
        <w:t xml:space="preserve"> </w:t>
      </w:r>
      <w:r>
        <w:rPr>
          <w:spacing w:val="36"/>
          <w:sz w:val="16"/>
        </w:rPr>
        <w:t>n</w:t>
      </w:r>
      <w:r>
        <w:rPr>
          <w:sz w:val="16"/>
        </w:rPr>
        <w:t xml:space="preserve"> </w:t>
      </w:r>
      <w:r>
        <w:rPr>
          <w:spacing w:val="36"/>
          <w:sz w:val="16"/>
        </w:rPr>
        <w:t>í</w:t>
      </w:r>
      <w:r>
        <w:rPr>
          <w:sz w:val="16"/>
        </w:rPr>
        <w:t xml:space="preserve"> </w:t>
      </w:r>
      <w:r>
        <w:rPr>
          <w:spacing w:val="36"/>
          <w:sz w:val="16"/>
        </w:rPr>
        <w:t>v</w:t>
      </w:r>
      <w:r>
        <w:rPr>
          <w:sz w:val="16"/>
        </w:rPr>
        <w:t xml:space="preserve"> </w:t>
      </w:r>
      <w:r>
        <w:rPr>
          <w:spacing w:val="36"/>
          <w:sz w:val="16"/>
        </w:rPr>
        <w:t>e</w:t>
      </w:r>
      <w:r>
        <w:rPr>
          <w:sz w:val="16"/>
        </w:rPr>
        <w:t xml:space="preserve"> l</w:t>
      </w:r>
      <w:r>
        <w:rPr>
          <w:spacing w:val="17"/>
          <w:sz w:val="16"/>
        </w:rPr>
        <w:t xml:space="preserve"> </w:t>
      </w:r>
      <w:r>
        <w:rPr>
          <w:spacing w:val="36"/>
          <w:sz w:val="16"/>
        </w:rPr>
        <w:t>e</w:t>
      </w:r>
      <w:r>
        <w:rPr>
          <w:sz w:val="16"/>
        </w:rPr>
        <w:t xml:space="preserve"> </w:t>
      </w:r>
      <w:r>
        <w:rPr>
          <w:spacing w:val="36"/>
          <w:sz w:val="16"/>
        </w:rPr>
        <w:t>m</w:t>
      </w:r>
      <w:r>
        <w:rPr>
          <w:sz w:val="16"/>
        </w:rPr>
        <w:t xml:space="preserve"> : </w:t>
      </w:r>
      <w:r>
        <w:rPr>
          <w:spacing w:val="-7"/>
          <w:sz w:val="16"/>
        </w:rPr>
        <w:t xml:space="preserve"> </w:t>
      </w:r>
    </w:p>
    <w:p w:rsidR="00D81F69" w:rsidRDefault="00D81F69">
      <w:pPr>
        <w:spacing w:before="2"/>
        <w:ind w:left="100"/>
        <w:jc w:val="both"/>
        <w:rPr>
          <w:sz w:val="16"/>
        </w:rPr>
      </w:pPr>
      <w:hyperlink r:id="rId1396">
        <w:r w:rsidR="00330118">
          <w:rPr>
            <w:sz w:val="16"/>
          </w:rPr>
          <w:t>&lt;http://www.ibge.gov.br/cidadesat/xtras/perfil.php?codmun=330110&amp;r</w:t>
        </w:r>
      </w:hyperlink>
    </w:p>
    <w:p w:rsidR="00D81F69" w:rsidRDefault="00330118">
      <w:pPr>
        <w:spacing w:before="56"/>
        <w:ind w:left="100"/>
        <w:jc w:val="both"/>
        <w:rPr>
          <w:sz w:val="16"/>
        </w:rPr>
      </w:pPr>
      <w:r>
        <w:rPr>
          <w:sz w:val="16"/>
        </w:rPr>
        <w:t>=2&gt;. Acesso em 13 mar. 2011.</w:t>
      </w:r>
    </w:p>
    <w:p w:rsidR="00D81F69" w:rsidRDefault="00330118">
      <w:pPr>
        <w:spacing w:before="56"/>
        <w:ind w:left="100"/>
        <w:jc w:val="both"/>
        <w:rPr>
          <w:sz w:val="16"/>
        </w:rPr>
      </w:pPr>
      <w:r>
        <w:rPr>
          <w:sz w:val="16"/>
        </w:rPr>
        <w:t>______. Potencial de poluição industrial do ar no estado do Rio</w:t>
      </w:r>
    </w:p>
    <w:p w:rsidR="00D81F69" w:rsidRDefault="00D81F69">
      <w:pPr>
        <w:jc w:val="both"/>
        <w:rPr>
          <w:sz w:val="16"/>
        </w:rPr>
        <w:sectPr w:rsidR="00D81F69">
          <w:pgSz w:w="11900" w:h="16840"/>
          <w:pgMar w:top="740" w:right="500" w:bottom="620" w:left="620" w:header="0" w:footer="402" w:gutter="0"/>
          <w:cols w:num="2" w:space="720" w:equalWidth="0">
            <w:col w:w="5159" w:space="311"/>
            <w:col w:w="5310"/>
          </w:cols>
        </w:sectPr>
      </w:pPr>
    </w:p>
    <w:p w:rsidR="00D81F69" w:rsidRDefault="00330118">
      <w:pPr>
        <w:tabs>
          <w:tab w:val="left" w:pos="4331"/>
        </w:tabs>
        <w:spacing w:before="70" w:line="312" w:lineRule="auto"/>
        <w:ind w:left="100" w:right="94"/>
        <w:jc w:val="both"/>
        <w:rPr>
          <w:sz w:val="16"/>
        </w:rPr>
      </w:pPr>
      <w:r>
        <w:rPr>
          <w:sz w:val="16"/>
        </w:rPr>
        <w:lastRenderedPageBreak/>
        <w:t xml:space="preserve">concentra-se em 4 municípios. Comunicação Social, 13 JUN 2008.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1" w:line="312" w:lineRule="auto"/>
        <w:ind w:left="100" w:right="114"/>
        <w:jc w:val="both"/>
        <w:rPr>
          <w:sz w:val="16"/>
        </w:rPr>
      </w:pPr>
      <w:hyperlink r:id="rId1397">
        <w:r w:rsidR="00330118">
          <w:rPr>
            <w:sz w:val="16"/>
          </w:rPr>
          <w:t>&lt;http:/</w:t>
        </w:r>
        <w:r w:rsidR="00330118">
          <w:rPr>
            <w:sz w:val="16"/>
          </w:rPr>
          <w:t>/www.ibge.gov.br/home/presidencia/noticias/noticia_visualiza.p</w:t>
        </w:r>
      </w:hyperlink>
      <w:r w:rsidR="00330118">
        <w:rPr>
          <w:sz w:val="16"/>
        </w:rPr>
        <w:t xml:space="preserve"> hp?id_noticia=1154&amp;id_pagina=1&gt;</w:t>
      </w:r>
    </w:p>
    <w:p w:rsidR="00D81F69" w:rsidRDefault="00330118">
      <w:pPr>
        <w:spacing w:before="2" w:line="312" w:lineRule="auto"/>
        <w:ind w:left="100" w:right="38"/>
        <w:jc w:val="both"/>
        <w:rPr>
          <w:sz w:val="16"/>
        </w:rPr>
      </w:pPr>
      <w:r>
        <w:rPr>
          <w:spacing w:val="5"/>
          <w:sz w:val="16"/>
        </w:rPr>
        <w:t xml:space="preserve">MATTOS, </w:t>
      </w:r>
      <w:r>
        <w:rPr>
          <w:spacing w:val="6"/>
          <w:sz w:val="16"/>
        </w:rPr>
        <w:t xml:space="preserve">Ubirajara </w:t>
      </w:r>
      <w:r>
        <w:rPr>
          <w:spacing w:val="3"/>
          <w:sz w:val="16"/>
        </w:rPr>
        <w:t xml:space="preserve">A. </w:t>
      </w:r>
      <w:r>
        <w:rPr>
          <w:spacing w:val="5"/>
          <w:sz w:val="16"/>
        </w:rPr>
        <w:t xml:space="preserve">O.; </w:t>
      </w:r>
      <w:r>
        <w:rPr>
          <w:spacing w:val="6"/>
          <w:sz w:val="16"/>
        </w:rPr>
        <w:t xml:space="preserve">RIBEIRO, </w:t>
      </w:r>
      <w:r>
        <w:rPr>
          <w:spacing w:val="5"/>
          <w:sz w:val="16"/>
        </w:rPr>
        <w:t xml:space="preserve">Fátima Sueli Neto. </w:t>
      </w:r>
      <w:r>
        <w:rPr>
          <w:spacing w:val="7"/>
          <w:sz w:val="16"/>
        </w:rPr>
        <w:t xml:space="preserve">Co- </w:t>
      </w:r>
      <w:r>
        <w:rPr>
          <w:spacing w:val="3"/>
          <w:sz w:val="16"/>
        </w:rPr>
        <w:t xml:space="preserve">processamento </w:t>
      </w:r>
      <w:r>
        <w:rPr>
          <w:spacing w:val="1"/>
          <w:sz w:val="16"/>
        </w:rPr>
        <w:t xml:space="preserve">de </w:t>
      </w:r>
      <w:r>
        <w:rPr>
          <w:spacing w:val="3"/>
          <w:sz w:val="16"/>
        </w:rPr>
        <w:t xml:space="preserve">resíduos químicos </w:t>
      </w:r>
      <w:r>
        <w:rPr>
          <w:sz w:val="16"/>
        </w:rPr>
        <w:t xml:space="preserve">e o </w:t>
      </w:r>
      <w:r>
        <w:rPr>
          <w:spacing w:val="3"/>
          <w:sz w:val="16"/>
        </w:rPr>
        <w:t xml:space="preserve">impacto </w:t>
      </w:r>
      <w:r>
        <w:rPr>
          <w:spacing w:val="1"/>
          <w:sz w:val="16"/>
        </w:rPr>
        <w:t xml:space="preserve">na </w:t>
      </w:r>
      <w:r>
        <w:rPr>
          <w:spacing w:val="3"/>
          <w:sz w:val="16"/>
        </w:rPr>
        <w:t xml:space="preserve">saúde </w:t>
      </w:r>
      <w:r>
        <w:rPr>
          <w:spacing w:val="5"/>
          <w:sz w:val="16"/>
        </w:rPr>
        <w:t xml:space="preserve">do </w:t>
      </w:r>
      <w:r>
        <w:rPr>
          <w:sz w:val="16"/>
        </w:rPr>
        <w:t xml:space="preserve">trabalhador e no meio ambiente: o caso da indústria de cimento de     </w:t>
      </w:r>
      <w:r>
        <w:rPr>
          <w:spacing w:val="15"/>
          <w:sz w:val="16"/>
        </w:rPr>
        <w:t>C</w:t>
      </w:r>
      <w:r>
        <w:rPr>
          <w:sz w:val="16"/>
        </w:rPr>
        <w:t xml:space="preserve"> </w:t>
      </w:r>
      <w:r>
        <w:rPr>
          <w:spacing w:val="15"/>
          <w:sz w:val="16"/>
        </w:rPr>
        <w:t>a</w:t>
      </w:r>
      <w:r>
        <w:rPr>
          <w:sz w:val="16"/>
        </w:rPr>
        <w:t xml:space="preserve"> </w:t>
      </w:r>
      <w:r>
        <w:rPr>
          <w:spacing w:val="15"/>
          <w:sz w:val="16"/>
        </w:rPr>
        <w:t>n</w:t>
      </w:r>
      <w:r>
        <w:rPr>
          <w:sz w:val="16"/>
        </w:rPr>
        <w:t xml:space="preserve"> </w:t>
      </w:r>
      <w:r>
        <w:rPr>
          <w:spacing w:val="15"/>
          <w:sz w:val="16"/>
        </w:rPr>
        <w:t>t</w:t>
      </w:r>
      <w:r>
        <w:rPr>
          <w:sz w:val="16"/>
        </w:rPr>
        <w:t xml:space="preserve"> </w:t>
      </w:r>
      <w:r>
        <w:rPr>
          <w:spacing w:val="15"/>
          <w:sz w:val="16"/>
        </w:rPr>
        <w:t>a</w:t>
      </w:r>
      <w:r>
        <w:rPr>
          <w:sz w:val="16"/>
        </w:rPr>
        <w:t xml:space="preserve"> </w:t>
      </w:r>
      <w:r>
        <w:rPr>
          <w:spacing w:val="15"/>
          <w:sz w:val="16"/>
        </w:rPr>
        <w:t>g</w:t>
      </w:r>
      <w:r>
        <w:rPr>
          <w:sz w:val="16"/>
        </w:rPr>
        <w:t xml:space="preserve"> </w:t>
      </w:r>
      <w:r>
        <w:rPr>
          <w:spacing w:val="15"/>
          <w:sz w:val="16"/>
        </w:rPr>
        <w:t>a</w:t>
      </w:r>
      <w:r>
        <w:rPr>
          <w:sz w:val="16"/>
        </w:rPr>
        <w:t xml:space="preserve"> </w:t>
      </w:r>
      <w:r>
        <w:rPr>
          <w:spacing w:val="15"/>
          <w:sz w:val="16"/>
        </w:rPr>
        <w:t>l</w:t>
      </w:r>
      <w:r>
        <w:rPr>
          <w:sz w:val="16"/>
        </w:rPr>
        <w:t xml:space="preserve"> </w:t>
      </w:r>
      <w:r>
        <w:rPr>
          <w:spacing w:val="15"/>
          <w:sz w:val="16"/>
        </w:rPr>
        <w:t>o</w:t>
      </w:r>
      <w:r>
        <w:rPr>
          <w:sz w:val="16"/>
        </w:rPr>
        <w:t xml:space="preserve"> </w:t>
      </w:r>
      <w:r>
        <w:rPr>
          <w:spacing w:val="15"/>
          <w:sz w:val="16"/>
        </w:rPr>
        <w:t>/</w:t>
      </w:r>
      <w:r>
        <w:rPr>
          <w:sz w:val="16"/>
        </w:rPr>
        <w:t xml:space="preserve"> </w:t>
      </w:r>
      <w:r>
        <w:rPr>
          <w:spacing w:val="15"/>
          <w:sz w:val="16"/>
        </w:rPr>
        <w:t>R</w:t>
      </w:r>
      <w:r>
        <w:rPr>
          <w:sz w:val="16"/>
        </w:rPr>
        <w:t xml:space="preserve"> </w:t>
      </w:r>
      <w:r>
        <w:rPr>
          <w:spacing w:val="15"/>
          <w:sz w:val="16"/>
        </w:rPr>
        <w:t>J</w:t>
      </w:r>
      <w:r>
        <w:rPr>
          <w:sz w:val="16"/>
        </w:rPr>
        <w:t xml:space="preserve"> ,</w:t>
      </w:r>
      <w:r>
        <w:rPr>
          <w:spacing w:val="5"/>
          <w:sz w:val="16"/>
        </w:rPr>
        <w:t xml:space="preserve"> </w:t>
      </w:r>
      <w:r>
        <w:rPr>
          <w:spacing w:val="15"/>
          <w:sz w:val="16"/>
        </w:rPr>
        <w:t>1</w:t>
      </w:r>
      <w:r>
        <w:rPr>
          <w:sz w:val="16"/>
        </w:rPr>
        <w:t xml:space="preserve"> </w:t>
      </w:r>
      <w:r>
        <w:rPr>
          <w:spacing w:val="15"/>
          <w:sz w:val="16"/>
        </w:rPr>
        <w:t>9</w:t>
      </w:r>
      <w:r>
        <w:rPr>
          <w:sz w:val="16"/>
        </w:rPr>
        <w:t xml:space="preserve"> </w:t>
      </w:r>
      <w:r>
        <w:rPr>
          <w:spacing w:val="15"/>
          <w:sz w:val="16"/>
        </w:rPr>
        <w:t>9</w:t>
      </w:r>
      <w:r>
        <w:rPr>
          <w:sz w:val="16"/>
        </w:rPr>
        <w:t xml:space="preserve"> </w:t>
      </w:r>
      <w:r>
        <w:rPr>
          <w:spacing w:val="15"/>
          <w:sz w:val="16"/>
        </w:rPr>
        <w:t>7</w:t>
      </w:r>
      <w:r>
        <w:rPr>
          <w:sz w:val="16"/>
        </w:rPr>
        <w:t xml:space="preserve"> .</w:t>
      </w:r>
      <w:r>
        <w:rPr>
          <w:spacing w:val="5"/>
          <w:sz w:val="16"/>
        </w:rPr>
        <w:t xml:space="preserve"> </w:t>
      </w:r>
      <w:r>
        <w:rPr>
          <w:spacing w:val="15"/>
          <w:sz w:val="16"/>
        </w:rPr>
        <w:t>D</w:t>
      </w:r>
      <w:r>
        <w:rPr>
          <w:sz w:val="16"/>
        </w:rPr>
        <w:t xml:space="preserve"> </w:t>
      </w:r>
      <w:r>
        <w:rPr>
          <w:spacing w:val="15"/>
          <w:sz w:val="16"/>
        </w:rPr>
        <w:t>i</w:t>
      </w:r>
      <w:r>
        <w:rPr>
          <w:sz w:val="16"/>
        </w:rPr>
        <w:t xml:space="preserve"> </w:t>
      </w:r>
      <w:r>
        <w:rPr>
          <w:spacing w:val="15"/>
          <w:sz w:val="16"/>
        </w:rPr>
        <w:t>s</w:t>
      </w:r>
      <w:r>
        <w:rPr>
          <w:sz w:val="16"/>
        </w:rPr>
        <w:t xml:space="preserve"> </w:t>
      </w:r>
      <w:r>
        <w:rPr>
          <w:spacing w:val="15"/>
          <w:sz w:val="16"/>
        </w:rPr>
        <w:t>p</w:t>
      </w:r>
      <w:r>
        <w:rPr>
          <w:sz w:val="16"/>
        </w:rPr>
        <w:t xml:space="preserve"> </w:t>
      </w:r>
      <w:r>
        <w:rPr>
          <w:spacing w:val="15"/>
          <w:sz w:val="16"/>
        </w:rPr>
        <w:t>o</w:t>
      </w:r>
      <w:r>
        <w:rPr>
          <w:sz w:val="16"/>
        </w:rPr>
        <w:t xml:space="preserve"> </w:t>
      </w:r>
      <w:r>
        <w:rPr>
          <w:spacing w:val="15"/>
          <w:sz w:val="16"/>
        </w:rPr>
        <w:t>n</w:t>
      </w:r>
      <w:r>
        <w:rPr>
          <w:sz w:val="16"/>
        </w:rPr>
        <w:t xml:space="preserve"> </w:t>
      </w:r>
      <w:r>
        <w:rPr>
          <w:spacing w:val="15"/>
          <w:sz w:val="16"/>
        </w:rPr>
        <w:t>í</w:t>
      </w:r>
      <w:r>
        <w:rPr>
          <w:sz w:val="16"/>
        </w:rPr>
        <w:t xml:space="preserve"> </w:t>
      </w:r>
      <w:r>
        <w:rPr>
          <w:spacing w:val="15"/>
          <w:sz w:val="16"/>
        </w:rPr>
        <w:t>v</w:t>
      </w:r>
      <w:r>
        <w:rPr>
          <w:sz w:val="16"/>
        </w:rPr>
        <w:t xml:space="preserve"> </w:t>
      </w:r>
      <w:r>
        <w:rPr>
          <w:spacing w:val="15"/>
          <w:sz w:val="16"/>
        </w:rPr>
        <w:t>e</w:t>
      </w:r>
      <w:r>
        <w:rPr>
          <w:sz w:val="16"/>
        </w:rPr>
        <w:t xml:space="preserve"> l</w:t>
      </w:r>
      <w:r>
        <w:rPr>
          <w:spacing w:val="5"/>
          <w:sz w:val="16"/>
        </w:rPr>
        <w:t xml:space="preserve"> </w:t>
      </w:r>
      <w:r>
        <w:rPr>
          <w:spacing w:val="15"/>
          <w:sz w:val="16"/>
        </w:rPr>
        <w:t>e</w:t>
      </w:r>
      <w:r>
        <w:rPr>
          <w:sz w:val="16"/>
        </w:rPr>
        <w:t xml:space="preserve"> </w:t>
      </w:r>
      <w:r>
        <w:rPr>
          <w:spacing w:val="15"/>
          <w:sz w:val="16"/>
        </w:rPr>
        <w:t>m</w:t>
      </w:r>
      <w:r>
        <w:rPr>
          <w:sz w:val="16"/>
        </w:rPr>
        <w:t xml:space="preserve"> :</w:t>
      </w:r>
      <w:r>
        <w:rPr>
          <w:spacing w:val="15"/>
          <w:sz w:val="16"/>
        </w:rPr>
        <w:t xml:space="preserve"> </w:t>
      </w:r>
    </w:p>
    <w:p w:rsidR="00D81F69" w:rsidRDefault="00D81F69">
      <w:pPr>
        <w:spacing w:before="3" w:line="312" w:lineRule="auto"/>
        <w:ind w:left="100" w:right="92"/>
        <w:jc w:val="both"/>
        <w:rPr>
          <w:sz w:val="16"/>
        </w:rPr>
      </w:pPr>
      <w:hyperlink r:id="rId1398">
        <w:r w:rsidR="00330118">
          <w:rPr>
            <w:sz w:val="16"/>
          </w:rPr>
          <w:t>&lt;http://www.abepro.org.br/biblioteca/ENEGEP1997_T</w:t>
        </w:r>
        <w:r w:rsidR="00330118">
          <w:rPr>
            <w:sz w:val="16"/>
          </w:rPr>
          <w:t>2113.PDF&gt;.</w:t>
        </w:r>
      </w:hyperlink>
      <w:r w:rsidR="00330118">
        <w:rPr>
          <w:sz w:val="16"/>
        </w:rPr>
        <w:t xml:space="preserve"> Acesso em 24 ago. 2010.</w:t>
      </w:r>
    </w:p>
    <w:p w:rsidR="00D81F69" w:rsidRDefault="00330118">
      <w:pPr>
        <w:spacing w:before="2" w:line="312" w:lineRule="auto"/>
        <w:ind w:left="100" w:right="92"/>
        <w:jc w:val="both"/>
        <w:rPr>
          <w:sz w:val="16"/>
        </w:rPr>
      </w:pPr>
      <w:r>
        <w:rPr>
          <w:sz w:val="16"/>
        </w:rPr>
        <w:t>MILANEZ, Bruno; FERNANDES, Lúcia de Oliveira; PORTO, Marcelo Firpo de Souza. A coincineração de resíduos em fornos de cimento: riscos para a saúde e o meio ambiente. Revista Ciência &amp; Saúde Coletiva, vol. 14, n. 6, Rio de</w:t>
      </w:r>
      <w:r>
        <w:rPr>
          <w:sz w:val="16"/>
        </w:rPr>
        <w:t xml:space="preserve"> Janeiro dez. 2009. Disponível em:</w:t>
      </w:r>
    </w:p>
    <w:p w:rsidR="00D81F69" w:rsidRDefault="00D81F69">
      <w:pPr>
        <w:spacing w:before="3" w:line="312" w:lineRule="auto"/>
        <w:ind w:left="100" w:right="80"/>
        <w:jc w:val="both"/>
        <w:rPr>
          <w:sz w:val="16"/>
        </w:rPr>
      </w:pPr>
      <w:hyperlink r:id="rId1399">
        <w:r w:rsidR="00330118">
          <w:rPr>
            <w:sz w:val="16"/>
          </w:rPr>
          <w:t xml:space="preserve">&lt;http://www.scielosp.org/scielo.php?pid=S1413- </w:t>
        </w:r>
      </w:hyperlink>
      <w:r w:rsidR="00330118">
        <w:rPr>
          <w:sz w:val="16"/>
        </w:rPr>
        <w:t>81232009000600021&amp;script=sci_arttext&gt;</w:t>
      </w:r>
      <w:r w:rsidR="00330118">
        <w:rPr>
          <w:sz w:val="16"/>
        </w:rPr>
        <w:t>. Acesso em 23 ago. 2010. PINTO JÚNIOR, Afrânio Gomes; BRAGA, Ana Maria Cheble Bahia. Trabalho e saúde: a atividade da queima de resíduos tóxicos em fornos de cimenteiras de Cantagalo, Rio de Janeiro.</w:t>
      </w:r>
    </w:p>
    <w:p w:rsidR="00D81F69" w:rsidRDefault="00330118">
      <w:pPr>
        <w:spacing w:before="70" w:line="312" w:lineRule="auto"/>
        <w:ind w:left="100" w:right="187"/>
        <w:jc w:val="both"/>
        <w:rPr>
          <w:sz w:val="16"/>
        </w:rPr>
      </w:pPr>
      <w:r>
        <w:br w:type="column"/>
      </w:r>
      <w:r>
        <w:rPr>
          <w:sz w:val="16"/>
        </w:rPr>
        <w:lastRenderedPageBreak/>
        <w:t xml:space="preserve">Ciência &amp; Saúde Coletiva vol.14, n.6, Rio de Janeiro, </w:t>
      </w:r>
      <w:r>
        <w:rPr>
          <w:sz w:val="16"/>
        </w:rPr>
        <w:t xml:space="preserve">dez. 2009. Disponível em: </w:t>
      </w:r>
      <w:hyperlink r:id="rId1400">
        <w:r>
          <w:rPr>
            <w:sz w:val="16"/>
          </w:rPr>
          <w:t xml:space="preserve">&lt;http://noalaincineracion.org/wp- </w:t>
        </w:r>
      </w:hyperlink>
      <w:r>
        <w:rPr>
          <w:sz w:val="16"/>
        </w:rPr>
        <w:t>content/uploads/Microsoft-Word-cement1.pdf&gt; Acesso em 24 ago. 2010.</w:t>
      </w:r>
    </w:p>
    <w:p w:rsidR="00D81F69" w:rsidRDefault="00330118">
      <w:pPr>
        <w:spacing w:before="3" w:line="312" w:lineRule="auto"/>
        <w:ind w:left="100" w:right="198"/>
        <w:jc w:val="both"/>
        <w:rPr>
          <w:sz w:val="16"/>
        </w:rPr>
      </w:pPr>
      <w:r>
        <w:rPr>
          <w:sz w:val="16"/>
        </w:rPr>
        <w:t xml:space="preserve">PREFEITURA MUNICIPAL DE CANTAGALO. Aspectos geográficos. Disponível em: </w:t>
      </w:r>
      <w:hyperlink r:id="rId1401">
        <w:r>
          <w:rPr>
            <w:sz w:val="16"/>
          </w:rPr>
          <w:t xml:space="preserve">&lt;http://www.cantagalo.rj.gov.br/web/&gt;. </w:t>
        </w:r>
      </w:hyperlink>
      <w:r>
        <w:rPr>
          <w:sz w:val="16"/>
        </w:rPr>
        <w:t>Acesso em 26 ago. 2010.</w:t>
      </w:r>
    </w:p>
    <w:p w:rsidR="00D81F69" w:rsidRDefault="00330118">
      <w:pPr>
        <w:spacing w:before="2" w:line="312" w:lineRule="auto"/>
        <w:ind w:left="100" w:right="205"/>
        <w:jc w:val="both"/>
        <w:rPr>
          <w:sz w:val="16"/>
        </w:rPr>
      </w:pPr>
      <w:r>
        <w:rPr>
          <w:sz w:val="16"/>
        </w:rPr>
        <w:t>RBJA, Rede Brasileira de Justiça Ambiental; FBOMS, Fórum Brasileiro de ONGs e Movimentos Sociais para o Meio Ambiente e o Desenvolvimento; CES</w:t>
      </w:r>
      <w:r>
        <w:rPr>
          <w:sz w:val="16"/>
        </w:rPr>
        <w:t>TEH/ENSP/FIOCRUZ, Centro de Estudos da Saúde do Trabalhador e Ecologia Humana – Escola Nacional de Saúde Pública da Fundação Oswaldo Cruz. Co-incineração de resíduos em fornos de cimento: uma visão da Justiça Ambiental sobre o chamado “co-processamento”. R</w:t>
      </w:r>
      <w:r>
        <w:rPr>
          <w:sz w:val="16"/>
        </w:rPr>
        <w:t xml:space="preserve">elatório da oficina realizada em 21 ago. 2006. Disponível em: </w:t>
      </w:r>
      <w:hyperlink r:id="rId1402">
        <w:r>
          <w:rPr>
            <w:sz w:val="16"/>
          </w:rPr>
          <w:t>&lt;http://noalaincineracion.org/wp-</w:t>
        </w:r>
      </w:hyperlink>
      <w:r>
        <w:rPr>
          <w:sz w:val="16"/>
        </w:rPr>
        <w:t xml:space="preserve"> content/uploads/relatorio-oficina-co-incineracao-versao-final- 14052007.pdf&gt;. Acesso em 31 ago. 2010.</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209" w:space="261"/>
            <w:col w:w="5310"/>
          </w:cols>
        </w:sectPr>
      </w:pPr>
    </w:p>
    <w:p w:rsidR="00D81F69" w:rsidRDefault="00330118">
      <w:pPr>
        <w:pStyle w:val="Heading1"/>
        <w:tabs>
          <w:tab w:val="left" w:pos="3411"/>
          <w:tab w:val="left" w:pos="6101"/>
          <w:tab w:val="left" w:pos="7704"/>
          <w:tab w:val="left" w:pos="8841"/>
        </w:tabs>
        <w:spacing w:line="208" w:lineRule="auto"/>
      </w:pPr>
      <w:r>
        <w:rPr>
          <w:spacing w:val="67"/>
        </w:rPr>
        <w:lastRenderedPageBreak/>
        <w:t>Superporto</w:t>
      </w:r>
      <w:r>
        <w:rPr>
          <w:spacing w:val="67"/>
        </w:rPr>
        <w:tab/>
      </w:r>
      <w:r>
        <w:rPr>
          <w:spacing w:val="65"/>
        </w:rPr>
        <w:t>Sudeste:</w:t>
      </w:r>
      <w:r>
        <w:rPr>
          <w:spacing w:val="65"/>
        </w:rPr>
        <w:tab/>
      </w:r>
      <w:r>
        <w:rPr>
          <w:spacing w:val="56"/>
        </w:rPr>
        <w:t>mais</w:t>
      </w:r>
      <w:r>
        <w:rPr>
          <w:spacing w:val="56"/>
        </w:rPr>
        <w:tab/>
      </w:r>
      <w:r>
        <w:rPr>
          <w:spacing w:val="37"/>
        </w:rPr>
        <w:t>um</w:t>
      </w:r>
      <w:r>
        <w:rPr>
          <w:spacing w:val="37"/>
        </w:rPr>
        <w:tab/>
      </w:r>
      <w:r>
        <w:rPr>
          <w:spacing w:val="62"/>
        </w:rPr>
        <w:t xml:space="preserve">grande </w:t>
      </w:r>
      <w:r>
        <w:rPr>
          <w:spacing w:val="5"/>
        </w:rPr>
        <w:t xml:space="preserve">empreendimento </w:t>
      </w:r>
      <w:r>
        <w:t xml:space="preserve">a </w:t>
      </w:r>
      <w:r>
        <w:rPr>
          <w:spacing w:val="5"/>
        </w:rPr>
        <w:t xml:space="preserve">afetar </w:t>
      </w:r>
      <w:r>
        <w:t xml:space="preserve">o </w:t>
      </w:r>
      <w:r>
        <w:rPr>
          <w:spacing w:val="5"/>
        </w:rPr>
        <w:t xml:space="preserve">município </w:t>
      </w:r>
      <w:r>
        <w:rPr>
          <w:spacing w:val="2"/>
        </w:rPr>
        <w:t>de</w:t>
      </w:r>
      <w:r>
        <w:rPr>
          <w:spacing w:val="25"/>
        </w:rPr>
        <w:t xml:space="preserve"> </w:t>
      </w:r>
      <w:r>
        <w:rPr>
          <w:spacing w:val="5"/>
        </w:rPr>
        <w:t>Itaguaí (RJ)</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4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RJ - Itaguaí</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-22,8965</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-43,8443</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0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O município de Itaguaí é considerado o </w:t>
      </w:r>
      <w:r>
        <w:rPr>
          <w:i/>
          <w:spacing w:val="10"/>
          <w:sz w:val="16"/>
        </w:rPr>
        <w:t>de</w:t>
      </w:r>
      <w:r>
        <w:rPr>
          <w:i/>
          <w:spacing w:val="65"/>
          <w:sz w:val="16"/>
        </w:rPr>
        <w:t xml:space="preserve"> </w:t>
      </w:r>
      <w:r>
        <w:rPr>
          <w:i/>
          <w:spacing w:val="17"/>
          <w:sz w:val="16"/>
        </w:rPr>
        <w:t xml:space="preserve">maior </w:t>
      </w:r>
      <w:r>
        <w:rPr>
          <w:i/>
          <w:spacing w:val="20"/>
          <w:sz w:val="16"/>
        </w:rPr>
        <w:t xml:space="preserve">potencial </w:t>
      </w:r>
      <w:r>
        <w:rPr>
          <w:i/>
          <w:spacing w:val="10"/>
          <w:sz w:val="16"/>
        </w:rPr>
        <w:t>da</w:t>
      </w:r>
      <w:r>
        <w:rPr>
          <w:i/>
          <w:spacing w:val="65"/>
          <w:sz w:val="16"/>
        </w:rPr>
        <w:t xml:space="preserve"> </w:t>
      </w:r>
      <w:r>
        <w:rPr>
          <w:i/>
          <w:spacing w:val="18"/>
          <w:sz w:val="16"/>
        </w:rPr>
        <w:t xml:space="preserve">região </w:t>
      </w:r>
      <w:r>
        <w:rPr>
          <w:i/>
          <w:sz w:val="16"/>
        </w:rPr>
        <w:t xml:space="preserve">metropolitana do estado, localizando-se num </w:t>
      </w:r>
      <w:r>
        <w:rPr>
          <w:i/>
          <w:spacing w:val="1"/>
          <w:sz w:val="16"/>
        </w:rPr>
        <w:t xml:space="preserve">entorno geoeconômico tido </w:t>
      </w:r>
      <w:r>
        <w:rPr>
          <w:i/>
          <w:spacing w:val="2"/>
          <w:sz w:val="16"/>
        </w:rPr>
        <w:t xml:space="preserve">como </w:t>
      </w:r>
      <w:r>
        <w:rPr>
          <w:i/>
          <w:sz w:val="16"/>
        </w:rPr>
        <w:t xml:space="preserve">um dos </w:t>
      </w:r>
      <w:r>
        <w:rPr>
          <w:i/>
          <w:spacing w:val="1"/>
          <w:sz w:val="16"/>
        </w:rPr>
        <w:t xml:space="preserve">mais importantes </w:t>
      </w:r>
      <w:r>
        <w:rPr>
          <w:i/>
          <w:sz w:val="16"/>
        </w:rPr>
        <w:t xml:space="preserve">do </w:t>
      </w:r>
      <w:r>
        <w:rPr>
          <w:i/>
          <w:spacing w:val="1"/>
          <w:sz w:val="16"/>
        </w:rPr>
        <w:t xml:space="preserve">país. </w:t>
      </w:r>
      <w:r>
        <w:rPr>
          <w:i/>
          <w:spacing w:val="2"/>
          <w:sz w:val="16"/>
        </w:rPr>
        <w:t xml:space="preserve">Por </w:t>
      </w:r>
      <w:r>
        <w:rPr>
          <w:i/>
          <w:sz w:val="16"/>
        </w:rPr>
        <w:t>isso, foi escolhido para sediar a Zona de Processamento de Exportação (ZPE) do estado. O município, que abriga grandes</w:t>
      </w:r>
      <w:r>
        <w:rPr>
          <w:i/>
          <w:sz w:val="16"/>
        </w:rPr>
        <w:t xml:space="preserve"> empreendimentos, convive com diversos impactos socioambientais, assim como outras cidades do entorno.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0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96"/>
      </w:pPr>
      <w:r>
        <w:t xml:space="preserve">2007). Ainda na década de 1960, instalou-se, às margens da Baía de Sepetiba, a Companhia Mercantil Industrial Ingá, que, mesmo após sua falência, em </w:t>
      </w:r>
      <w:r>
        <w:t>1998 (PINTO, 2005), deixou um dos maiores passivos ambientais do estado do Rio de Janeiro (FINAMORE, 2010). As atividades da empresa são consideradas uma grande fonte de contaminação da baía por metais pesados (PINTO, 2005).</w:t>
      </w:r>
    </w:p>
    <w:p w:rsidR="00D81F69" w:rsidRDefault="00330118">
      <w:pPr>
        <w:pStyle w:val="Corpodetexto"/>
        <w:spacing w:before="136" w:line="312" w:lineRule="auto"/>
        <w:ind w:left="135" w:right="154"/>
        <w:jc w:val="left"/>
      </w:pPr>
      <w:r>
        <w:t>Com 275.867 km² e 109.091 habit</w:t>
      </w:r>
      <w:r>
        <w:t>antes (IBGE, 2010), o município de Itaguaí é considerado o de maior potencial industrial da região metropolitana, localizando-se num entorno geoeconômico tido como um dos mais importantes do país, o qual abrange as cidades do Rio de Janeiro, São Paulo, Bel</w:t>
      </w:r>
      <w:r>
        <w:t>o</w:t>
      </w:r>
    </w:p>
    <w:p w:rsidR="00D81F69" w:rsidRDefault="00D81F69">
      <w:pPr>
        <w:spacing w:line="312" w:lineRule="auto"/>
        <w:sectPr w:rsidR="00D81F69">
          <w:type w:val="continuous"/>
          <w:pgSz w:w="11900" w:h="16840"/>
          <w:pgMar w:top="720" w:right="500" w:bottom="280" w:left="620" w:header="720" w:footer="720" w:gutter="0"/>
          <w:cols w:num="3" w:space="720" w:equalWidth="0">
            <w:col w:w="1008" w:space="992"/>
            <w:col w:w="3121" w:space="314"/>
            <w:col w:w="5345"/>
          </w:cols>
        </w:sectPr>
      </w:pPr>
    </w:p>
    <w:p w:rsidR="00D81F69" w:rsidRDefault="00330118">
      <w:pPr>
        <w:pStyle w:val="Heading4"/>
        <w:spacing w:before="58"/>
        <w:jc w:val="left"/>
      </w:pPr>
      <w:r>
        <w:lastRenderedPageBreak/>
        <w:t>APRESENTAÇÃO DE CASO</w:t>
      </w:r>
    </w:p>
    <w:p w:rsidR="00D81F69" w:rsidRDefault="00330118">
      <w:pPr>
        <w:pStyle w:val="Corpodetexto"/>
        <w:spacing w:before="171" w:line="312" w:lineRule="auto"/>
        <w:ind w:right="44"/>
      </w:pPr>
      <w:r>
        <w:t>A Baía de Sepetiba, localizada a oeste da metrópole fluminense, possui importantes ecossistemas, como floresta, restinga, manguezais e áreas remanescentes da Mata Atlântica, abrigando diversas espécies ameaçadas de extinção. No local, vivem comunidades qui</w:t>
      </w:r>
      <w:r>
        <w:t>lombolas, pescadores artesanais e caiçaras, que se dedicam a atividades tradicionais, como, por exemplo, a pesca artesanal (PATO, 2010). Tal configuração, no entanto, vem se modificando ao longo das últimas décadas. Devido à sua localização estratégica, os</w:t>
      </w:r>
      <w:r>
        <w:t xml:space="preserve"> municípios que integram a baía vêm passando por um intenso desenvolvimento industrial (RIBEIRO, 2006).</w:t>
      </w:r>
    </w:p>
    <w:p w:rsidR="00D81F69" w:rsidRDefault="00330118">
      <w:pPr>
        <w:pStyle w:val="Corpodetexto"/>
        <w:spacing w:before="141" w:line="312" w:lineRule="auto"/>
        <w:ind w:right="50"/>
      </w:pPr>
      <w:r>
        <w:t>O setor industrial começou a ser implantado na região na década de 1960. Nos anos 1970, a criação da rodovia BR-101 e do Porto de Itaguaí, juntamente co</w:t>
      </w:r>
      <w:r>
        <w:t>m o aumento das atividades turísticas, provocou diversos impactos socioambientais, tendência que vem se consolidando ao longo dos anos (PATO, 2010). O processo de ocupação industrial não só vem causando danos ao meio ambiente, prejudicando atividades tradi</w:t>
      </w:r>
      <w:r>
        <w:t>cionais e inibindo o turismo, como contribui para a precarização das relações de trabalho e para o aumento dos índices de violência e desemprego (MAPA DA INJUSTIÇA AMBIENTAL E SAÚDE NO BRASIL, 2009).</w:t>
      </w:r>
    </w:p>
    <w:p w:rsidR="00D81F69" w:rsidRDefault="00330118">
      <w:pPr>
        <w:pStyle w:val="Corpodetexto"/>
        <w:spacing w:before="141" w:line="312" w:lineRule="auto"/>
        <w:ind w:right="38"/>
      </w:pPr>
      <w:r>
        <w:t>Trata-se de um quadro comum em áreas de grandes empreend</w:t>
      </w:r>
      <w:r>
        <w:t xml:space="preserve">imentos. Em geral, durante a etapa das obras civis, há um grande afluxo migratório pela expectativa da oferta de emprego, maior remuneração e garantias trabalhistas superiores. No momento em que acabam as obras, ocorre desmobilização da maior parte da mão </w:t>
      </w:r>
      <w:r>
        <w:t>de obra, principalmente devido à não qualificação, o que transforma o local num bolsão de desemprego, desencadeando diversos problemas sociais (ARAÚJO; VAINER, 1992 apud PATO, 2010).</w:t>
      </w:r>
    </w:p>
    <w:p w:rsidR="00D81F69" w:rsidRDefault="00330118">
      <w:pPr>
        <w:pStyle w:val="Corpodetexto"/>
        <w:spacing w:before="139"/>
      </w:pPr>
      <w:r>
        <w:t>É o que vem ocorrendo no município de Itaguaí (VIEGAS,</w:t>
      </w:r>
    </w:p>
    <w:p w:rsidR="00D81F69" w:rsidRDefault="00330118">
      <w:pPr>
        <w:pStyle w:val="Corpodetexto"/>
        <w:spacing w:before="5" w:line="312" w:lineRule="auto"/>
        <w:ind w:right="194"/>
      </w:pPr>
      <w:r>
        <w:br w:type="column"/>
      </w:r>
      <w:r>
        <w:lastRenderedPageBreak/>
        <w:t>Horizonte e Vitór</w:t>
      </w:r>
      <w:r>
        <w:t>ia. Por isso, foi escolhido para sediar a Zona de Processamento de Exportação (ZPE) do estado, ou seja, um distrito industrial aberto às indústrias voltadas ao mercado internacional, com uma área de livre comércio com o exterior (VIEGAS, 2007).</w:t>
      </w:r>
    </w:p>
    <w:p w:rsidR="00D81F69" w:rsidRDefault="00330118">
      <w:pPr>
        <w:pStyle w:val="Corpodetexto"/>
        <w:spacing w:before="134" w:line="312" w:lineRule="auto"/>
        <w:ind w:right="193"/>
      </w:pPr>
      <w:r>
        <w:t>O município</w:t>
      </w:r>
      <w:r>
        <w:t xml:space="preserve"> é sede de grandes empreendimentos, o que, a priori, poderiam impulsionar seu desenvolvimento e proporcionar oportunidades de emprego e mais qualidade de vida para sua população. No entanto, Itaguaí tem sido constantemente impactado negativamente: presenci</w:t>
      </w:r>
      <w:r>
        <w:t>a um crescimento desordenado, sem que haja investimentos em infraestrutura, o que vem acarretando, dentre outros problemas, alto índice de favelização na região (MENDES, 1999 apud VIEGAS, 2007). Além disso, a poluição hídrica é evidente, não só por conta d</w:t>
      </w:r>
      <w:r>
        <w:t>as atividades da extinta Companhia Ingá Mercantil, como também pelo Porto de Sepetiba, pelo lixão existente na cidade e pelo precário saneamento (VIEGAS, 2007).</w:t>
      </w:r>
    </w:p>
    <w:p w:rsidR="00D81F69" w:rsidRDefault="00330118">
      <w:pPr>
        <w:pStyle w:val="Corpodetexto"/>
        <w:spacing w:before="142" w:line="312" w:lineRule="auto"/>
        <w:ind w:right="192"/>
      </w:pPr>
      <w:r>
        <w:t xml:space="preserve">O município, no entanto, continua a receber novos empreendimentos, como é o caso do Superporto </w:t>
      </w:r>
      <w:r>
        <w:t xml:space="preserve">Sudeste, uma iniciativa estratégica do Grupo EBX para exportar a produção de minério de </w:t>
      </w:r>
      <w:hyperlink r:id="rId1403">
        <w:r>
          <w:t xml:space="preserve">ferro </w:t>
        </w:r>
      </w:hyperlink>
      <w:r>
        <w:t>do Sistema Sudeste (O GLOBO, 2010; BRASIL MINERAL, 2011; MMX, 2011a), co</w:t>
      </w:r>
      <w:r>
        <w:t>mposto pela</w:t>
      </w:r>
    </w:p>
    <w:p w:rsidR="00D81F69" w:rsidRDefault="00330118">
      <w:pPr>
        <w:pStyle w:val="Corpodetexto"/>
        <w:spacing w:before="5" w:line="312" w:lineRule="auto"/>
        <w:ind w:right="211"/>
      </w:pPr>
      <w:r>
        <w:t>Unidade Serra Azul e pela Unidade Bom Sucesso, ambas em Minas Gerais (MMX, 2011a), implementado pela empresa MMX (O GLOBO, 2010; BRASIL MINERAL, 2011). O porto</w:t>
      </w:r>
    </w:p>
    <w:p w:rsidR="00D81F69" w:rsidRDefault="00330118">
      <w:pPr>
        <w:pStyle w:val="Corpodetexto"/>
        <w:spacing w:before="3" w:line="312" w:lineRule="auto"/>
        <w:ind w:right="203"/>
      </w:pPr>
      <w:r>
        <w:rPr>
          <w:spacing w:val="8"/>
        </w:rPr>
        <w:t xml:space="preserve">terá </w:t>
      </w:r>
      <w:r>
        <w:rPr>
          <w:spacing w:val="10"/>
        </w:rPr>
        <w:t xml:space="preserve">capacidade </w:t>
      </w:r>
      <w:r>
        <w:rPr>
          <w:spacing w:val="8"/>
        </w:rPr>
        <w:t xml:space="preserve">para </w:t>
      </w:r>
      <w:r>
        <w:rPr>
          <w:spacing w:val="10"/>
        </w:rPr>
        <w:t xml:space="preserve">armazenar </w:t>
      </w:r>
      <w:r>
        <w:rPr>
          <w:spacing w:val="7"/>
        </w:rPr>
        <w:t xml:space="preserve">até </w:t>
      </w:r>
      <w:r>
        <w:rPr>
          <w:spacing w:val="5"/>
        </w:rPr>
        <w:t xml:space="preserve">25 </w:t>
      </w:r>
      <w:r>
        <w:rPr>
          <w:spacing w:val="10"/>
        </w:rPr>
        <w:t xml:space="preserve">milhões </w:t>
      </w:r>
      <w:r>
        <w:rPr>
          <w:spacing w:val="12"/>
        </w:rPr>
        <w:t xml:space="preserve">de </w:t>
      </w:r>
      <w:r>
        <w:t>toneladas/ano de minério de ferro e</w:t>
      </w:r>
      <w:r>
        <w:t xml:space="preserve"> movimentar 20% de todo o minério exportado pelo país (THUSWOHL,</w:t>
      </w:r>
      <w:r>
        <w:rPr>
          <w:spacing w:val="40"/>
        </w:rPr>
        <w:t xml:space="preserve"> </w:t>
      </w:r>
      <w:r>
        <w:t>2009).</w:t>
      </w:r>
    </w:p>
    <w:p w:rsidR="00D81F69" w:rsidRDefault="00330118">
      <w:pPr>
        <w:pStyle w:val="Corpodetexto"/>
        <w:spacing w:before="132" w:line="312" w:lineRule="auto"/>
        <w:ind w:right="191"/>
      </w:pPr>
      <w:r>
        <w:t>Para ligar a estrutura offshore aos pátios de estocagem, o Superporto Sudeste conta com um túnel de 1,8 km de extensão, 11 m de altura e 20,5 m de altura. A estrutura offshore terá dois berços para movimentação de navios e profundidade de 20 m, o que permi</w:t>
      </w:r>
      <w:r>
        <w:t>tirá o recebimento de navios de  grande calado, do  tipo capesize (MMX,  2011a).</w:t>
      </w:r>
    </w:p>
    <w:p w:rsidR="00D81F69" w:rsidRDefault="00330118">
      <w:pPr>
        <w:pStyle w:val="Corpodetexto"/>
        <w:spacing w:before="136"/>
      </w:pPr>
      <w:r>
        <w:t>Recentemente, a MMX anunciou investimento adicional de R$</w:t>
      </w:r>
    </w:p>
    <w:p w:rsidR="00D81F69" w:rsidRDefault="00D81F69">
      <w:pPr>
        <w:sectPr w:rsidR="00D81F69">
          <w:type w:val="continuous"/>
          <w:pgSz w:w="11900" w:h="16840"/>
          <w:pgMar w:top="720" w:right="500" w:bottom="280" w:left="620" w:header="720" w:footer="720" w:gutter="0"/>
          <w:cols w:num="2" w:space="720" w:equalWidth="0">
            <w:col w:w="5171" w:space="299"/>
            <w:col w:w="5310"/>
          </w:cols>
        </w:sectPr>
      </w:pPr>
    </w:p>
    <w:p w:rsidR="00D81F69" w:rsidRDefault="00330118">
      <w:pPr>
        <w:pStyle w:val="Corpodetexto"/>
        <w:spacing w:before="81" w:line="312" w:lineRule="auto"/>
        <w:ind w:right="49"/>
      </w:pPr>
      <w:r>
        <w:lastRenderedPageBreak/>
        <w:t xml:space="preserve">600 milhões no projeto do porto, fazendo com que o </w:t>
      </w:r>
      <w:r>
        <w:rPr>
          <w:spacing w:val="1"/>
        </w:rPr>
        <w:t xml:space="preserve">aporte </w:t>
      </w:r>
      <w:r>
        <w:rPr>
          <w:spacing w:val="3"/>
        </w:rPr>
        <w:t xml:space="preserve">total </w:t>
      </w:r>
      <w:r>
        <w:rPr>
          <w:spacing w:val="1"/>
        </w:rPr>
        <w:t xml:space="preserve">da </w:t>
      </w:r>
      <w:r>
        <w:rPr>
          <w:spacing w:val="3"/>
        </w:rPr>
        <w:t xml:space="preserve">iniciativa passasse </w:t>
      </w:r>
      <w:r>
        <w:rPr>
          <w:spacing w:val="1"/>
        </w:rPr>
        <w:t xml:space="preserve">de </w:t>
      </w:r>
      <w:r>
        <w:rPr>
          <w:spacing w:val="1"/>
        </w:rPr>
        <w:t xml:space="preserve">R$ </w:t>
      </w:r>
      <w:r>
        <w:rPr>
          <w:spacing w:val="2"/>
        </w:rPr>
        <w:t xml:space="preserve">1,8 </w:t>
      </w:r>
      <w:r>
        <w:rPr>
          <w:spacing w:val="3"/>
        </w:rPr>
        <w:t xml:space="preserve">bilhão </w:t>
      </w:r>
      <w:r>
        <w:rPr>
          <w:spacing w:val="2"/>
        </w:rPr>
        <w:t xml:space="preserve">para </w:t>
      </w:r>
      <w:r>
        <w:rPr>
          <w:spacing w:val="1"/>
        </w:rPr>
        <w:t xml:space="preserve">R$ </w:t>
      </w:r>
      <w:r>
        <w:rPr>
          <w:spacing w:val="5"/>
        </w:rPr>
        <w:t xml:space="preserve">2,4 </w:t>
      </w:r>
      <w:r>
        <w:t xml:space="preserve">bilhões (BRASIL MINERAL, 2011). O aumento foi resultado  de mudanças no projeto, com a ampliação da movimentação </w:t>
      </w:r>
      <w:r>
        <w:rPr>
          <w:spacing w:val="1"/>
        </w:rPr>
        <w:t xml:space="preserve">de </w:t>
      </w:r>
      <w:r>
        <w:rPr>
          <w:spacing w:val="3"/>
        </w:rPr>
        <w:t xml:space="preserve">minério </w:t>
      </w:r>
      <w:r>
        <w:rPr>
          <w:spacing w:val="1"/>
        </w:rPr>
        <w:t xml:space="preserve">de </w:t>
      </w:r>
      <w:r>
        <w:rPr>
          <w:spacing w:val="3"/>
        </w:rPr>
        <w:t xml:space="preserve">ferro </w:t>
      </w:r>
      <w:r>
        <w:rPr>
          <w:spacing w:val="1"/>
        </w:rPr>
        <w:t xml:space="preserve">de 50 </w:t>
      </w:r>
      <w:r>
        <w:rPr>
          <w:spacing w:val="3"/>
        </w:rPr>
        <w:t xml:space="preserve">milhões </w:t>
      </w:r>
      <w:r>
        <w:rPr>
          <w:spacing w:val="1"/>
        </w:rPr>
        <w:t xml:space="preserve">de </w:t>
      </w:r>
      <w:r>
        <w:rPr>
          <w:spacing w:val="3"/>
        </w:rPr>
        <w:t xml:space="preserve">toneladas </w:t>
      </w:r>
      <w:r>
        <w:rPr>
          <w:spacing w:val="2"/>
        </w:rPr>
        <w:t xml:space="preserve">para </w:t>
      </w:r>
      <w:r>
        <w:rPr>
          <w:spacing w:val="5"/>
        </w:rPr>
        <w:t xml:space="preserve">100 </w:t>
      </w:r>
      <w:r>
        <w:t xml:space="preserve">milhões de toneladas (TEIXEIRA, 2011). Para elevar a taxa  </w:t>
      </w:r>
      <w:r>
        <w:rPr>
          <w:spacing w:val="1"/>
        </w:rPr>
        <w:t>de</w:t>
      </w:r>
      <w:r>
        <w:rPr>
          <w:spacing w:val="1"/>
        </w:rPr>
        <w:t xml:space="preserve"> </w:t>
      </w:r>
      <w:r>
        <w:rPr>
          <w:spacing w:val="3"/>
        </w:rPr>
        <w:t xml:space="preserve">carregamento, </w:t>
      </w:r>
      <w:r>
        <w:t xml:space="preserve">a </w:t>
      </w:r>
      <w:r>
        <w:rPr>
          <w:spacing w:val="2"/>
        </w:rPr>
        <w:t xml:space="preserve">MMX </w:t>
      </w:r>
      <w:r>
        <w:rPr>
          <w:spacing w:val="3"/>
        </w:rPr>
        <w:t xml:space="preserve">adquiriu </w:t>
      </w:r>
      <w:r>
        <w:rPr>
          <w:spacing w:val="2"/>
        </w:rPr>
        <w:t xml:space="preserve">mais 140 </w:t>
      </w:r>
      <w:r>
        <w:rPr>
          <w:spacing w:val="1"/>
        </w:rPr>
        <w:t xml:space="preserve">m2 de </w:t>
      </w:r>
      <w:r>
        <w:rPr>
          <w:spacing w:val="5"/>
        </w:rPr>
        <w:t xml:space="preserve">terras </w:t>
      </w:r>
      <w:r>
        <w:t xml:space="preserve">adjacentes à área do porto. Com isto, o início das operações foi adiado para o primeiro trimestre de 2013 (TEIXEIRA, 2011; </w:t>
      </w:r>
      <w:r>
        <w:rPr>
          <w:spacing w:val="3"/>
        </w:rPr>
        <w:t xml:space="preserve">MMX, </w:t>
      </w:r>
      <w:r>
        <w:rPr>
          <w:spacing w:val="5"/>
        </w:rPr>
        <w:t xml:space="preserve">2011a), </w:t>
      </w:r>
      <w:r>
        <w:t xml:space="preserve">e </w:t>
      </w:r>
      <w:r>
        <w:rPr>
          <w:spacing w:val="5"/>
        </w:rPr>
        <w:t xml:space="preserve">posteriormente </w:t>
      </w:r>
      <w:r>
        <w:rPr>
          <w:spacing w:val="3"/>
        </w:rPr>
        <w:t xml:space="preserve">para </w:t>
      </w:r>
      <w:r>
        <w:rPr>
          <w:spacing w:val="5"/>
        </w:rPr>
        <w:t xml:space="preserve">dezembro </w:t>
      </w:r>
      <w:r>
        <w:rPr>
          <w:spacing w:val="2"/>
        </w:rPr>
        <w:t xml:space="preserve">de </w:t>
      </w:r>
      <w:r>
        <w:rPr>
          <w:spacing w:val="5"/>
        </w:rPr>
        <w:t>2013 (VEJA,</w:t>
      </w:r>
      <w:r>
        <w:rPr>
          <w:spacing w:val="32"/>
        </w:rPr>
        <w:t xml:space="preserve"> </w:t>
      </w:r>
      <w:r>
        <w:rPr>
          <w:spacing w:val="5"/>
        </w:rPr>
        <w:t>2013).</w:t>
      </w:r>
    </w:p>
    <w:p w:rsidR="00D81F69" w:rsidRDefault="00330118">
      <w:pPr>
        <w:pStyle w:val="Corpodetexto"/>
        <w:spacing w:before="140" w:line="312" w:lineRule="auto"/>
        <w:ind w:right="62"/>
      </w:pPr>
      <w:r>
        <w:t xml:space="preserve">A </w:t>
      </w:r>
      <w:r>
        <w:rPr>
          <w:spacing w:val="2"/>
        </w:rPr>
        <w:t xml:space="preserve">MMX </w:t>
      </w:r>
      <w:r>
        <w:rPr>
          <w:spacing w:val="3"/>
        </w:rPr>
        <w:t xml:space="preserve">também </w:t>
      </w:r>
      <w:r>
        <w:rPr>
          <w:spacing w:val="2"/>
        </w:rPr>
        <w:t xml:space="preserve">está </w:t>
      </w:r>
      <w:r>
        <w:rPr>
          <w:spacing w:val="1"/>
        </w:rPr>
        <w:t xml:space="preserve">em </w:t>
      </w:r>
      <w:r>
        <w:rPr>
          <w:spacing w:val="3"/>
        </w:rPr>
        <w:t xml:space="preserve">negociação </w:t>
      </w:r>
      <w:r>
        <w:rPr>
          <w:spacing w:val="2"/>
        </w:rPr>
        <w:t xml:space="preserve">com </w:t>
      </w:r>
      <w:r>
        <w:t xml:space="preserve">a </w:t>
      </w:r>
      <w:r>
        <w:rPr>
          <w:spacing w:val="2"/>
        </w:rPr>
        <w:t xml:space="preserve">MRS para </w:t>
      </w:r>
      <w:r>
        <w:t xml:space="preserve">a </w:t>
      </w:r>
      <w:r>
        <w:rPr>
          <w:spacing w:val="5"/>
        </w:rPr>
        <w:t xml:space="preserve">utilização </w:t>
      </w:r>
      <w:r>
        <w:rPr>
          <w:spacing w:val="2"/>
        </w:rPr>
        <w:t xml:space="preserve">da </w:t>
      </w:r>
      <w:r>
        <w:rPr>
          <w:spacing w:val="5"/>
        </w:rPr>
        <w:t xml:space="preserve">ferrovia </w:t>
      </w:r>
      <w:r>
        <w:rPr>
          <w:spacing w:val="3"/>
        </w:rPr>
        <w:t xml:space="preserve">que vai ligar </w:t>
      </w:r>
      <w:r>
        <w:rPr>
          <w:spacing w:val="2"/>
        </w:rPr>
        <w:t xml:space="preserve">as </w:t>
      </w:r>
      <w:r>
        <w:rPr>
          <w:spacing w:val="3"/>
        </w:rPr>
        <w:t xml:space="preserve">minas </w:t>
      </w:r>
      <w:r>
        <w:rPr>
          <w:spacing w:val="2"/>
        </w:rPr>
        <w:t xml:space="preserve">do </w:t>
      </w:r>
      <w:r>
        <w:rPr>
          <w:spacing w:val="5"/>
        </w:rPr>
        <w:t>Sistema</w:t>
      </w:r>
      <w:r>
        <w:rPr>
          <w:spacing w:val="61"/>
        </w:rPr>
        <w:t xml:space="preserve"> </w:t>
      </w:r>
      <w:r>
        <w:t xml:space="preserve">Sudeste ao porto. O contrato básico está fechado e determina que haja um aviso prévio de 25 meses sobre o volume </w:t>
      </w:r>
      <w:r>
        <w:rPr>
          <w:spacing w:val="1"/>
        </w:rPr>
        <w:t xml:space="preserve">que </w:t>
      </w:r>
      <w:r>
        <w:rPr>
          <w:spacing w:val="6"/>
        </w:rPr>
        <w:t xml:space="preserve">será </w:t>
      </w:r>
      <w:r>
        <w:rPr>
          <w:spacing w:val="8"/>
        </w:rPr>
        <w:t xml:space="preserve">transportado. </w:t>
      </w:r>
      <w:r>
        <w:t xml:space="preserve">A </w:t>
      </w:r>
      <w:r>
        <w:rPr>
          <w:spacing w:val="5"/>
        </w:rPr>
        <w:t xml:space="preserve">MMX já </w:t>
      </w:r>
      <w:r>
        <w:rPr>
          <w:spacing w:val="7"/>
        </w:rPr>
        <w:t xml:space="preserve">notificou </w:t>
      </w:r>
      <w:r>
        <w:t xml:space="preserve">a </w:t>
      </w:r>
      <w:r>
        <w:rPr>
          <w:spacing w:val="5"/>
        </w:rPr>
        <w:t xml:space="preserve">MRS </w:t>
      </w:r>
      <w:r>
        <w:rPr>
          <w:spacing w:val="7"/>
        </w:rPr>
        <w:t>so</w:t>
      </w:r>
      <w:r>
        <w:rPr>
          <w:spacing w:val="7"/>
        </w:rPr>
        <w:t xml:space="preserve">bre </w:t>
      </w:r>
      <w:r>
        <w:t xml:space="preserve">o aumento de 25 milhões de toneladas em Serra Azul e de 10 milhões de toneladas em Bom Sucesso (ENNES, 2010). Em </w:t>
      </w:r>
      <w:r>
        <w:rPr>
          <w:spacing w:val="3"/>
        </w:rPr>
        <w:t xml:space="preserve">2012, para </w:t>
      </w:r>
      <w:r>
        <w:rPr>
          <w:spacing w:val="5"/>
        </w:rPr>
        <w:t xml:space="preserve">viabilizar </w:t>
      </w:r>
      <w:r>
        <w:t xml:space="preserve">o </w:t>
      </w:r>
      <w:r>
        <w:rPr>
          <w:spacing w:val="5"/>
        </w:rPr>
        <w:t xml:space="preserve">acesso </w:t>
      </w:r>
      <w:r>
        <w:rPr>
          <w:spacing w:val="3"/>
        </w:rPr>
        <w:t xml:space="preserve">dos trens </w:t>
      </w:r>
      <w:r>
        <w:rPr>
          <w:spacing w:val="2"/>
        </w:rPr>
        <w:t xml:space="preserve">da </w:t>
      </w:r>
      <w:r>
        <w:rPr>
          <w:spacing w:val="3"/>
        </w:rPr>
        <w:t xml:space="preserve">MRS </w:t>
      </w:r>
      <w:r>
        <w:t xml:space="preserve">à </w:t>
      </w:r>
      <w:r>
        <w:rPr>
          <w:spacing w:val="5"/>
        </w:rPr>
        <w:t xml:space="preserve">pera </w:t>
      </w:r>
      <w:r>
        <w:t xml:space="preserve">ferroviária do Superporto Sudeste, foi iniciada a construção de um </w:t>
      </w:r>
      <w:r>
        <w:rPr>
          <w:spacing w:val="1"/>
        </w:rPr>
        <w:t xml:space="preserve">ramal ferroviário </w:t>
      </w:r>
      <w:r>
        <w:t xml:space="preserve">de 2,3 km e de uma </w:t>
      </w:r>
      <w:r>
        <w:rPr>
          <w:spacing w:val="1"/>
        </w:rPr>
        <w:t xml:space="preserve">ponte </w:t>
      </w:r>
      <w:r>
        <w:rPr>
          <w:spacing w:val="2"/>
        </w:rPr>
        <w:t xml:space="preserve">ferroviária </w:t>
      </w:r>
      <w:r>
        <w:rPr>
          <w:spacing w:val="1"/>
        </w:rPr>
        <w:t xml:space="preserve">sobre </w:t>
      </w:r>
      <w:r>
        <w:t xml:space="preserve">o Rio </w:t>
      </w:r>
      <w:r>
        <w:rPr>
          <w:spacing w:val="1"/>
        </w:rPr>
        <w:t>Cação (MMX,</w:t>
      </w:r>
      <w:r>
        <w:t xml:space="preserve"> </w:t>
      </w:r>
      <w:r>
        <w:rPr>
          <w:spacing w:val="2"/>
        </w:rPr>
        <w:t>2011b).</w:t>
      </w:r>
    </w:p>
    <w:p w:rsidR="00D81F69" w:rsidRDefault="00330118">
      <w:pPr>
        <w:pStyle w:val="Corpodetexto"/>
        <w:spacing w:before="140" w:line="312" w:lineRule="auto"/>
        <w:ind w:right="38"/>
      </w:pPr>
      <w:r>
        <w:t xml:space="preserve">O porto Sudeste também será usado para escoar a produção da Mineração Usiminas. A empresa firmou um acordo com a MMX </w:t>
      </w:r>
      <w:r>
        <w:rPr>
          <w:spacing w:val="1"/>
        </w:rPr>
        <w:t xml:space="preserve">para usar </w:t>
      </w:r>
      <w:r>
        <w:t xml:space="preserve">o </w:t>
      </w:r>
      <w:r>
        <w:rPr>
          <w:spacing w:val="1"/>
        </w:rPr>
        <w:t xml:space="preserve">porto </w:t>
      </w:r>
      <w:r>
        <w:t xml:space="preserve">por </w:t>
      </w:r>
      <w:r>
        <w:rPr>
          <w:spacing w:val="1"/>
        </w:rPr>
        <w:t xml:space="preserve">cinco anos, podendo </w:t>
      </w:r>
      <w:r>
        <w:rPr>
          <w:spacing w:val="2"/>
        </w:rPr>
        <w:t xml:space="preserve">renová-lo </w:t>
      </w:r>
      <w:r>
        <w:rPr>
          <w:spacing w:val="5"/>
        </w:rPr>
        <w:t xml:space="preserve">pelo mesmo período. Inicialmente, </w:t>
      </w:r>
      <w:r>
        <w:t xml:space="preserve">a </w:t>
      </w:r>
      <w:r>
        <w:rPr>
          <w:spacing w:val="5"/>
        </w:rPr>
        <w:t xml:space="preserve">Usiminas </w:t>
      </w:r>
      <w:r>
        <w:rPr>
          <w:spacing w:val="6"/>
        </w:rPr>
        <w:t xml:space="preserve">pretende </w:t>
      </w:r>
      <w:r>
        <w:rPr>
          <w:spacing w:val="5"/>
        </w:rPr>
        <w:t xml:space="preserve">movimentar </w:t>
      </w:r>
      <w:r>
        <w:t xml:space="preserve">3 </w:t>
      </w:r>
      <w:r>
        <w:rPr>
          <w:spacing w:val="5"/>
        </w:rPr>
        <w:t xml:space="preserve">milhões </w:t>
      </w:r>
      <w:r>
        <w:rPr>
          <w:spacing w:val="2"/>
        </w:rPr>
        <w:t xml:space="preserve">de </w:t>
      </w:r>
      <w:r>
        <w:rPr>
          <w:spacing w:val="5"/>
        </w:rPr>
        <w:t xml:space="preserve">toneladas </w:t>
      </w:r>
      <w:r>
        <w:rPr>
          <w:spacing w:val="2"/>
        </w:rPr>
        <w:t xml:space="preserve">de </w:t>
      </w:r>
      <w:r>
        <w:rPr>
          <w:spacing w:val="5"/>
        </w:rPr>
        <w:t xml:space="preserve">minério </w:t>
      </w:r>
      <w:r>
        <w:rPr>
          <w:spacing w:val="2"/>
        </w:rPr>
        <w:t xml:space="preserve">de </w:t>
      </w:r>
      <w:r>
        <w:rPr>
          <w:spacing w:val="5"/>
        </w:rPr>
        <w:t xml:space="preserve">ferro, </w:t>
      </w:r>
      <w:r>
        <w:rPr>
          <w:spacing w:val="7"/>
        </w:rPr>
        <w:t xml:space="preserve">podendo chegar </w:t>
      </w:r>
      <w:r>
        <w:t xml:space="preserve">a </w:t>
      </w:r>
      <w:r>
        <w:rPr>
          <w:spacing w:val="5"/>
        </w:rPr>
        <w:t xml:space="preserve">12 </w:t>
      </w:r>
      <w:r>
        <w:rPr>
          <w:spacing w:val="7"/>
        </w:rPr>
        <w:t xml:space="preserve">milhões </w:t>
      </w:r>
      <w:r>
        <w:rPr>
          <w:spacing w:val="5"/>
        </w:rPr>
        <w:t xml:space="preserve">de </w:t>
      </w:r>
      <w:r>
        <w:rPr>
          <w:spacing w:val="7"/>
        </w:rPr>
        <w:t xml:space="preserve">toneladas </w:t>
      </w:r>
      <w:r>
        <w:rPr>
          <w:spacing w:val="5"/>
        </w:rPr>
        <w:t xml:space="preserve">em </w:t>
      </w:r>
      <w:r>
        <w:rPr>
          <w:spacing w:val="10"/>
        </w:rPr>
        <w:t xml:space="preserve">2015. </w:t>
      </w:r>
      <w:r>
        <w:t xml:space="preserve">Paralelamente, a empresa está dando prosseguimento </w:t>
      </w:r>
      <w:r>
        <w:rPr>
          <w:spacing w:val="1"/>
        </w:rPr>
        <w:t xml:space="preserve">aos </w:t>
      </w:r>
      <w:r>
        <w:t>estudos de viabilidade técnica e econômica</w:t>
      </w:r>
      <w:r>
        <w:t xml:space="preserve"> para construção de um porto (BRASIL MINERAL, 2010), no antigo terreno da Ingá Mercantil, arrecadado por ela em leilão, no ano de 2008, o qual está descontaminando (PORTAL ECODEBATE, 2009). O </w:t>
      </w:r>
      <w:r>
        <w:rPr>
          <w:spacing w:val="3"/>
        </w:rPr>
        <w:t xml:space="preserve">acordo entre </w:t>
      </w:r>
      <w:r>
        <w:rPr>
          <w:spacing w:val="2"/>
        </w:rPr>
        <w:t xml:space="preserve">MMX </w:t>
      </w:r>
      <w:r>
        <w:t xml:space="preserve">e a </w:t>
      </w:r>
      <w:r>
        <w:rPr>
          <w:spacing w:val="3"/>
        </w:rPr>
        <w:t xml:space="preserve">Usiminas estabelece também </w:t>
      </w:r>
      <w:r>
        <w:t>o desenvolviment</w:t>
      </w:r>
      <w:r>
        <w:t xml:space="preserve">o de atividades de lavra conjunta na mina Pau de Vinho, da Mineração Usiminas. De acordo com análises,  há recursos minerais suficientes para produzir 8 milhões de t/ano, volume previsto a partir de 2021 (BRASIL MINERAL, </w:t>
      </w:r>
      <w:r>
        <w:rPr>
          <w:spacing w:val="1"/>
        </w:rPr>
        <w:t>2010).</w:t>
      </w:r>
    </w:p>
    <w:p w:rsidR="00D81F69" w:rsidRDefault="00330118">
      <w:pPr>
        <w:pStyle w:val="Corpodetexto"/>
        <w:spacing w:before="146" w:line="312" w:lineRule="auto"/>
        <w:ind w:right="45"/>
      </w:pPr>
      <w:r>
        <w:t>A construção do porto Sudest</w:t>
      </w:r>
      <w:r>
        <w:t xml:space="preserve">e, no entanto, vem sendo encarado como um impacto negativo na região. Cinco ações movidas por associações de pescadores pediam a imediata suspensão das licenças de instalação do empreendimento: duas em Itaguaí, duas em Mangaratiba e uma no Rio de Janeiro. </w:t>
      </w:r>
      <w:r>
        <w:t>A 14ª Vara de Fazenda Pública do RJ chegou a embargar o projeto até que as denúncias de irregularidades ambientais fossem apuradas (THUSWOHL, 2009).</w:t>
      </w:r>
    </w:p>
    <w:p w:rsidR="00D81F69" w:rsidRDefault="00330118">
      <w:pPr>
        <w:pStyle w:val="Corpodetexto"/>
        <w:spacing w:before="74" w:line="270" w:lineRule="atLeast"/>
        <w:ind w:right="38"/>
      </w:pPr>
      <w:r>
        <w:t>Os pescadores da Ilha da Madeira, localizada no município de Itaguaí, alegam que há pressões para que venda</w:t>
      </w:r>
      <w:r>
        <w:t>m suas casas, e que, se não venderem, acabarão desapropriados. Dizem ainda que o porto vai contribuir para inviabilizar a pesca, prática econômica característica do local há séculos, que já vem sendo comprometida por outros empreendimentos. A Baía de Sepet</w:t>
      </w:r>
      <w:r>
        <w:t>iba já foi a segunda maior produtora de pescado do Brasil. Por isso, os pescadores se</w:t>
      </w:r>
    </w:p>
    <w:p w:rsidR="00D81F69" w:rsidRDefault="00330118">
      <w:pPr>
        <w:pStyle w:val="Corpodetexto"/>
        <w:spacing w:before="81" w:line="312" w:lineRule="auto"/>
        <w:ind w:right="195"/>
      </w:pPr>
      <w:r>
        <w:br w:type="column"/>
      </w:r>
      <w:r>
        <w:lastRenderedPageBreak/>
        <w:t>uniram para entrar com ações judiciais contra a licença de instalação concedida ao Porto Sudeste (THUSWOHL, 2009).</w:t>
      </w:r>
    </w:p>
    <w:p w:rsidR="00D81F69" w:rsidRDefault="00330118">
      <w:pPr>
        <w:pStyle w:val="Corpodetexto"/>
        <w:spacing w:before="132" w:line="312" w:lineRule="auto"/>
        <w:ind w:right="204"/>
      </w:pPr>
      <w:r>
        <w:t>Diante das várias mudanças por que tem passado o proje</w:t>
      </w:r>
      <w:r>
        <w:t xml:space="preserve">to, a </w:t>
      </w:r>
      <w:r>
        <w:rPr>
          <w:spacing w:val="5"/>
        </w:rPr>
        <w:t xml:space="preserve">Câmara </w:t>
      </w:r>
      <w:r>
        <w:rPr>
          <w:spacing w:val="2"/>
        </w:rPr>
        <w:t xml:space="preserve">de </w:t>
      </w:r>
      <w:r>
        <w:rPr>
          <w:spacing w:val="5"/>
        </w:rPr>
        <w:t xml:space="preserve">Itaguaí </w:t>
      </w:r>
      <w:r>
        <w:rPr>
          <w:spacing w:val="3"/>
        </w:rPr>
        <w:t xml:space="preserve">criou uma </w:t>
      </w:r>
      <w:r>
        <w:rPr>
          <w:spacing w:val="5"/>
        </w:rPr>
        <w:t xml:space="preserve">Comissão Parlamentar de </w:t>
      </w:r>
      <w:r>
        <w:rPr>
          <w:spacing w:val="10"/>
        </w:rPr>
        <w:t xml:space="preserve">Inquérito (CPI). Dentre outras questões, </w:t>
      </w:r>
      <w:r>
        <w:rPr>
          <w:spacing w:val="8"/>
        </w:rPr>
        <w:t xml:space="preserve">está </w:t>
      </w:r>
      <w:r>
        <w:rPr>
          <w:spacing w:val="11"/>
        </w:rPr>
        <w:t xml:space="preserve">sendo </w:t>
      </w:r>
      <w:r>
        <w:t xml:space="preserve">investigado o licenciamento concedido pelo Instituto Estadual do Ambiente (Inea). Há grande preocupação com a dragagem </w:t>
      </w:r>
      <w:r>
        <w:rPr>
          <w:spacing w:val="5"/>
        </w:rPr>
        <w:t xml:space="preserve">do </w:t>
      </w:r>
      <w:r>
        <w:rPr>
          <w:spacing w:val="7"/>
        </w:rPr>
        <w:t xml:space="preserve">canal </w:t>
      </w:r>
      <w:r>
        <w:rPr>
          <w:spacing w:val="5"/>
        </w:rPr>
        <w:t xml:space="preserve">do </w:t>
      </w:r>
      <w:r>
        <w:rPr>
          <w:spacing w:val="8"/>
        </w:rPr>
        <w:t xml:space="preserve">porto. </w:t>
      </w:r>
      <w:r>
        <w:t xml:space="preserve">O </w:t>
      </w:r>
      <w:r>
        <w:rPr>
          <w:spacing w:val="8"/>
        </w:rPr>
        <w:t>descar</w:t>
      </w:r>
      <w:r>
        <w:rPr>
          <w:spacing w:val="8"/>
        </w:rPr>
        <w:t xml:space="preserve">te </w:t>
      </w:r>
      <w:r>
        <w:rPr>
          <w:spacing w:val="5"/>
        </w:rPr>
        <w:t xml:space="preserve">de </w:t>
      </w:r>
      <w:r>
        <w:rPr>
          <w:spacing w:val="8"/>
        </w:rPr>
        <w:t xml:space="preserve">material, </w:t>
      </w:r>
      <w:r>
        <w:rPr>
          <w:spacing w:val="6"/>
        </w:rPr>
        <w:t xml:space="preserve">que </w:t>
      </w:r>
      <w:r>
        <w:rPr>
          <w:spacing w:val="10"/>
        </w:rPr>
        <w:t xml:space="preserve">tem </w:t>
      </w:r>
      <w:r>
        <w:t xml:space="preserve">possibilidade de estar contaminado, é feito em um bota-fora no distrito de Chaperó. O deslocamento e a ampliação do cais </w:t>
      </w:r>
      <w:r>
        <w:rPr>
          <w:spacing w:val="7"/>
        </w:rPr>
        <w:t xml:space="preserve">também </w:t>
      </w:r>
      <w:r>
        <w:rPr>
          <w:spacing w:val="5"/>
        </w:rPr>
        <w:t xml:space="preserve">são </w:t>
      </w:r>
      <w:r>
        <w:rPr>
          <w:spacing w:val="7"/>
        </w:rPr>
        <w:t xml:space="preserve">vistos </w:t>
      </w:r>
      <w:r>
        <w:rPr>
          <w:spacing w:val="6"/>
        </w:rPr>
        <w:t xml:space="preserve">como </w:t>
      </w:r>
      <w:r>
        <w:rPr>
          <w:spacing w:val="8"/>
        </w:rPr>
        <w:t xml:space="preserve">empecilhos </w:t>
      </w:r>
      <w:r>
        <w:t xml:space="preserve">à </w:t>
      </w:r>
      <w:r>
        <w:rPr>
          <w:spacing w:val="7"/>
        </w:rPr>
        <w:t xml:space="preserve">navegação </w:t>
      </w:r>
      <w:r>
        <w:rPr>
          <w:spacing w:val="10"/>
        </w:rPr>
        <w:t xml:space="preserve">de </w:t>
      </w:r>
      <w:r>
        <w:rPr>
          <w:spacing w:val="8"/>
        </w:rPr>
        <w:t xml:space="preserve">embarcações </w:t>
      </w:r>
      <w:r>
        <w:t xml:space="preserve">e à </w:t>
      </w:r>
      <w:r>
        <w:rPr>
          <w:spacing w:val="7"/>
        </w:rPr>
        <w:t>pesca artesanal (MELO,</w:t>
      </w:r>
      <w:r>
        <w:t xml:space="preserve"> </w:t>
      </w:r>
      <w:r>
        <w:rPr>
          <w:spacing w:val="10"/>
        </w:rPr>
        <w:t>2011).</w:t>
      </w:r>
    </w:p>
    <w:p w:rsidR="00D81F69" w:rsidRDefault="00330118">
      <w:pPr>
        <w:pStyle w:val="Corpodetexto"/>
        <w:spacing w:before="139" w:line="312" w:lineRule="auto"/>
        <w:ind w:right="196"/>
      </w:pPr>
      <w:r>
        <w:t>A MMX, em seu site sobre iniciativas socioambientais, informa que, dentre vários programas desenvolvidos para a comunidade, desde 2010, monitora mensalmente dez pontos distintos do manguezal da Ilha da Madeira, avaliando as características físicas, química</w:t>
      </w:r>
      <w:r>
        <w:t xml:space="preserve">s e biológicas do ecossistema. Além disso, também apoia a atividade pesqueira na região através do ‘Plano de Investimento Social da Pesca Artesanal’, iniciado em 2009, buscando melhorar as condições de trabalho das associações e colônias de pescadores que </w:t>
      </w:r>
      <w:r>
        <w:t>atuam na região (MMX, 2011c).</w:t>
      </w:r>
    </w:p>
    <w:p w:rsidR="00D81F69" w:rsidRDefault="00330118">
      <w:pPr>
        <w:pStyle w:val="Corpodetexto"/>
        <w:spacing w:before="139" w:line="312" w:lineRule="auto"/>
        <w:ind w:right="201"/>
      </w:pPr>
      <w:r>
        <w:t xml:space="preserve">Devido ao alto endividamento das empresas do grupo EBX e da dificuldade de obter crédito, aumentaram os rumores da venda da MMX. A empresa de mineração de ferro, cujo ativo mais valioso é o Porto Sudeste, tem a suíça Glencore </w:t>
      </w:r>
      <w:r>
        <w:t>Xstrata como uma das empresas favoritas para realizar negócio, que pode ainda envolver parceria com o BTG Pactual, banco que tem acordo de cooperação estratégica com o EBX (SCHÜFFNER; GÓES; SARAIVA, 2013). Além da Glencore, a</w:t>
      </w:r>
    </w:p>
    <w:p w:rsidR="00D81F69" w:rsidRDefault="00330118">
      <w:pPr>
        <w:pStyle w:val="Corpodetexto"/>
        <w:spacing w:before="8" w:line="312" w:lineRule="auto"/>
        <w:ind w:right="209"/>
      </w:pPr>
      <w:r>
        <w:t>holandesa Trafigura também dem</w:t>
      </w:r>
      <w:r>
        <w:t>onstrou interesse pela MMX. As duas companhias estão em "due dilligence" com a MMX (LANDIM, 2013).</w:t>
      </w:r>
    </w:p>
    <w:p w:rsidR="00D81F69" w:rsidRDefault="00330118">
      <w:pPr>
        <w:pStyle w:val="Corpodetexto"/>
        <w:spacing w:before="132" w:line="312" w:lineRule="auto"/>
        <w:ind w:right="189"/>
      </w:pPr>
      <w:r>
        <w:t xml:space="preserve">No dia 24 de junho de 2013, a MMX anunciou, em seu site, </w:t>
      </w:r>
      <w:r>
        <w:rPr>
          <w:spacing w:val="1"/>
        </w:rPr>
        <w:t xml:space="preserve">em </w:t>
      </w:r>
      <w:r>
        <w:rPr>
          <w:spacing w:val="2"/>
        </w:rPr>
        <w:t xml:space="preserve">fato </w:t>
      </w:r>
      <w:r>
        <w:rPr>
          <w:spacing w:val="3"/>
        </w:rPr>
        <w:t xml:space="preserve">relevante, </w:t>
      </w:r>
      <w:r>
        <w:rPr>
          <w:spacing w:val="2"/>
        </w:rPr>
        <w:t xml:space="preserve">que </w:t>
      </w:r>
      <w:r>
        <w:rPr>
          <w:spacing w:val="3"/>
        </w:rPr>
        <w:t xml:space="preserve">“está avaliando oportunidades </w:t>
      </w:r>
      <w:r>
        <w:rPr>
          <w:spacing w:val="5"/>
        </w:rPr>
        <w:t xml:space="preserve">de </w:t>
      </w:r>
      <w:r>
        <w:t>negócios, incluindo, mas não se limitando, à</w:t>
      </w:r>
      <w:r>
        <w:t xml:space="preserve"> venda de ações detidas pelo acionista controlador da Companhia, assim como </w:t>
      </w:r>
      <w:r>
        <w:rPr>
          <w:spacing w:val="2"/>
        </w:rPr>
        <w:t xml:space="preserve">de </w:t>
      </w:r>
      <w:r>
        <w:rPr>
          <w:spacing w:val="3"/>
        </w:rPr>
        <w:t xml:space="preserve">seus </w:t>
      </w:r>
      <w:r>
        <w:rPr>
          <w:spacing w:val="5"/>
        </w:rPr>
        <w:t xml:space="preserve">ativos, </w:t>
      </w:r>
      <w:r>
        <w:rPr>
          <w:spacing w:val="3"/>
        </w:rPr>
        <w:t xml:space="preserve">tanto para </w:t>
      </w:r>
      <w:r>
        <w:rPr>
          <w:spacing w:val="5"/>
        </w:rPr>
        <w:t xml:space="preserve">investidores nacionais quanto estrangeiros (“Operações”). </w:t>
      </w:r>
      <w:r>
        <w:t xml:space="preserve">A </w:t>
      </w:r>
      <w:r>
        <w:rPr>
          <w:spacing w:val="5"/>
        </w:rPr>
        <w:t xml:space="preserve">Companhia, desse </w:t>
      </w:r>
      <w:r>
        <w:rPr>
          <w:spacing w:val="6"/>
        </w:rPr>
        <w:t xml:space="preserve">modo, </w:t>
      </w:r>
      <w:r>
        <w:rPr>
          <w:spacing w:val="5"/>
        </w:rPr>
        <w:t xml:space="preserve">contratou assessores financeiros </w:t>
      </w:r>
      <w:r>
        <w:t xml:space="preserve">e </w:t>
      </w:r>
      <w:r>
        <w:rPr>
          <w:spacing w:val="5"/>
        </w:rPr>
        <w:t xml:space="preserve">iniciou </w:t>
      </w:r>
      <w:r>
        <w:rPr>
          <w:spacing w:val="2"/>
        </w:rPr>
        <w:t xml:space="preserve">um </w:t>
      </w:r>
      <w:r>
        <w:rPr>
          <w:spacing w:val="6"/>
        </w:rPr>
        <w:t xml:space="preserve">processo </w:t>
      </w:r>
      <w:r>
        <w:t>competitivo e o</w:t>
      </w:r>
      <w:r>
        <w:t xml:space="preserve">rganizado, focado em gerar valor para todos  os seus acionistas.” (MMX, 2013). Todas as opções estão em </w:t>
      </w:r>
      <w:r>
        <w:rPr>
          <w:spacing w:val="5"/>
        </w:rPr>
        <w:t xml:space="preserve">aberto: vender </w:t>
      </w:r>
      <w:r>
        <w:rPr>
          <w:spacing w:val="3"/>
        </w:rPr>
        <w:t xml:space="preserve">um </w:t>
      </w:r>
      <w:r>
        <w:rPr>
          <w:spacing w:val="5"/>
        </w:rPr>
        <w:t xml:space="preserve">ativo, uma fatia </w:t>
      </w:r>
      <w:r>
        <w:rPr>
          <w:spacing w:val="6"/>
        </w:rPr>
        <w:t xml:space="preserve">minoritária </w:t>
      </w:r>
      <w:r>
        <w:rPr>
          <w:spacing w:val="3"/>
        </w:rPr>
        <w:t xml:space="preserve">ou </w:t>
      </w:r>
      <w:r>
        <w:rPr>
          <w:spacing w:val="7"/>
        </w:rPr>
        <w:t xml:space="preserve">uma </w:t>
      </w:r>
      <w:r>
        <w:rPr>
          <w:spacing w:val="6"/>
        </w:rPr>
        <w:t>majoritária (LANDIM,</w:t>
      </w:r>
      <w:r>
        <w:rPr>
          <w:spacing w:val="25"/>
        </w:rPr>
        <w:t xml:space="preserve"> </w:t>
      </w:r>
      <w:r>
        <w:rPr>
          <w:spacing w:val="7"/>
        </w:rPr>
        <w:t>2013).</w:t>
      </w:r>
    </w:p>
    <w:p w:rsidR="00D81F69" w:rsidRDefault="00330118">
      <w:pPr>
        <w:pStyle w:val="Corpodetexto"/>
        <w:spacing w:before="140" w:line="312" w:lineRule="auto"/>
        <w:ind w:right="209"/>
      </w:pPr>
      <w:r>
        <w:t xml:space="preserve">O maior interesse das empresas é o porto do Sudeste (ao contrário dos </w:t>
      </w:r>
      <w:r>
        <w:t>outros empreendimentos, o porto já está 75% concluído e tem previsão para começar a funcionar em dezembro de 2013) (LANDIM, 2013).</w:t>
      </w:r>
    </w:p>
    <w:p w:rsidR="00D81F69" w:rsidRDefault="00D81F69">
      <w:pPr>
        <w:pStyle w:val="Corpodetexto"/>
        <w:spacing w:before="4"/>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185"/>
      </w:pPr>
      <w:r>
        <w:t>O porto localizado no município de Itaguaí se encontra, aproximadamente, na latitude 22°55’46”S e longitude 43°49’52”W. Está na região costeira do Atlântico Sul.</w:t>
      </w:r>
    </w:p>
    <w:p w:rsidR="00D81F69" w:rsidRDefault="00D81F69">
      <w:pPr>
        <w:spacing w:line="312" w:lineRule="auto"/>
        <w:sectPr w:rsidR="00D81F69">
          <w:pgSz w:w="11900" w:h="16840"/>
          <w:pgMar w:top="740" w:right="500" w:bottom="620" w:left="620" w:header="0" w:footer="402" w:gutter="0"/>
          <w:cols w:num="2" w:space="720" w:equalWidth="0">
            <w:col w:w="5163" w:space="307"/>
            <w:col w:w="5310"/>
          </w:cols>
        </w:sectPr>
      </w:pPr>
    </w:p>
    <w:p w:rsidR="00D81F69" w:rsidRDefault="00330118">
      <w:pPr>
        <w:pStyle w:val="Heading7"/>
        <w:spacing w:before="92"/>
        <w:jc w:val="left"/>
      </w:pPr>
      <w:r>
        <w:lastRenderedPageBreak/>
        <w:t>REDATORES</w:t>
      </w:r>
    </w:p>
    <w:p w:rsidR="00D81F69" w:rsidRDefault="00330118">
      <w:pPr>
        <w:pStyle w:val="Corpodetexto"/>
        <w:spacing w:before="179"/>
        <w:jc w:val="left"/>
      </w:pPr>
      <w:r>
        <w:t>Renata Olivieri; Eliane Araujo</w:t>
      </w:r>
    </w:p>
    <w:p w:rsidR="00D81F69" w:rsidRDefault="00D81F69">
      <w:pPr>
        <w:pStyle w:val="Corpodetexto"/>
        <w:ind w:left="0"/>
        <w:jc w:val="left"/>
        <w:rPr>
          <w:sz w:val="20"/>
        </w:rPr>
      </w:pPr>
    </w:p>
    <w:p w:rsidR="00D81F69" w:rsidRDefault="00330118">
      <w:pPr>
        <w:pStyle w:val="Heading7"/>
        <w:spacing w:before="164"/>
        <w:jc w:val="left"/>
      </w:pPr>
      <w:r>
        <w:t>REFERÊNCIAS BIBLIOGRÁFI</w:t>
      </w:r>
      <w:r>
        <w:t>CAS</w:t>
      </w:r>
    </w:p>
    <w:p w:rsidR="00D81F69" w:rsidRDefault="00330118">
      <w:pPr>
        <w:tabs>
          <w:tab w:val="left" w:pos="4331"/>
        </w:tabs>
        <w:spacing w:before="188" w:line="312" w:lineRule="auto"/>
        <w:ind w:left="100" w:right="115"/>
        <w:jc w:val="both"/>
        <w:rPr>
          <w:sz w:val="16"/>
        </w:rPr>
      </w:pPr>
      <w:r>
        <w:rPr>
          <w:sz w:val="16"/>
        </w:rPr>
        <w:t xml:space="preserve">BRASIL MINERAL. Logística. Mineração Usiminas firma acordo com </w:t>
      </w:r>
      <w:r>
        <w:rPr>
          <w:spacing w:val="2"/>
          <w:sz w:val="16"/>
        </w:rPr>
        <w:t xml:space="preserve">MMX </w:t>
      </w:r>
      <w:r>
        <w:rPr>
          <w:spacing w:val="1"/>
          <w:sz w:val="16"/>
        </w:rPr>
        <w:t xml:space="preserve">em </w:t>
      </w:r>
      <w:r>
        <w:rPr>
          <w:spacing w:val="3"/>
          <w:sz w:val="16"/>
        </w:rPr>
        <w:t xml:space="preserve">Itaguaí. </w:t>
      </w:r>
      <w:r>
        <w:rPr>
          <w:spacing w:val="2"/>
          <w:sz w:val="16"/>
        </w:rPr>
        <w:t xml:space="preserve">In: </w:t>
      </w:r>
      <w:r>
        <w:rPr>
          <w:spacing w:val="3"/>
          <w:sz w:val="16"/>
        </w:rPr>
        <w:t xml:space="preserve">Brasil Mineral Online </w:t>
      </w:r>
      <w:r>
        <w:rPr>
          <w:spacing w:val="1"/>
          <w:sz w:val="16"/>
        </w:rPr>
        <w:t xml:space="preserve">n.  </w:t>
      </w:r>
      <w:r>
        <w:rPr>
          <w:spacing w:val="2"/>
          <w:sz w:val="16"/>
        </w:rPr>
        <w:t xml:space="preserve">478, </w:t>
      </w:r>
      <w:r>
        <w:rPr>
          <w:spacing w:val="1"/>
          <w:sz w:val="16"/>
        </w:rPr>
        <w:t xml:space="preserve">19  </w:t>
      </w:r>
      <w:r>
        <w:rPr>
          <w:spacing w:val="2"/>
          <w:sz w:val="16"/>
        </w:rPr>
        <w:t xml:space="preserve">nov. </w:t>
      </w:r>
      <w:r>
        <w:rPr>
          <w:spacing w:val="5"/>
          <w:sz w:val="16"/>
        </w:rPr>
        <w:t xml:space="preserve">2010.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 xml:space="preserve">e m : </w:t>
      </w:r>
      <w:hyperlink r:id="rId1404">
        <w:r>
          <w:rPr>
            <w:sz w:val="16"/>
          </w:rPr>
          <w:t>http://www.brasilmineral.com.br/BM/default.asp?COD=5236&amp;busca=&amp;</w:t>
        </w:r>
      </w:hyperlink>
      <w:r>
        <w:rPr>
          <w:sz w:val="16"/>
        </w:rPr>
        <w:t xml:space="preserve"> numero=478&gt;. Acesso em: 10 dez.</w:t>
      </w:r>
      <w:r>
        <w:rPr>
          <w:spacing w:val="3"/>
          <w:sz w:val="16"/>
        </w:rPr>
        <w:t xml:space="preserve"> </w:t>
      </w:r>
      <w:r>
        <w:rPr>
          <w:sz w:val="16"/>
        </w:rPr>
        <w:t>2011.</w:t>
      </w:r>
    </w:p>
    <w:p w:rsidR="00D81F69" w:rsidRDefault="00330118">
      <w:pPr>
        <w:spacing w:before="4" w:line="312" w:lineRule="auto"/>
        <w:ind w:left="100" w:right="179"/>
        <w:rPr>
          <w:sz w:val="16"/>
        </w:rPr>
      </w:pPr>
      <w:r>
        <w:rPr>
          <w:sz w:val="16"/>
        </w:rPr>
        <w:t>______. Logística. MMX adiciona R$ 600 milhões ao porto Sudeste. In: Bras</w:t>
      </w:r>
      <w:r>
        <w:rPr>
          <w:sz w:val="16"/>
        </w:rPr>
        <w:t>il Mineral Online n. 527, 09 nov. 2011. Disponível em:</w:t>
      </w:r>
    </w:p>
    <w:p w:rsidR="00D81F69" w:rsidRDefault="00D81F69">
      <w:pPr>
        <w:spacing w:before="1" w:line="312" w:lineRule="auto"/>
        <w:ind w:left="100"/>
        <w:rPr>
          <w:sz w:val="16"/>
        </w:rPr>
      </w:pPr>
      <w:hyperlink r:id="rId1405">
        <w:r w:rsidR="00330118">
          <w:rPr>
            <w:sz w:val="16"/>
          </w:rPr>
          <w:t>&lt;http://www.brasilmineral.com.br/BM/default.asp?COD=5867&amp;busca=</w:t>
        </w:r>
      </w:hyperlink>
      <w:r w:rsidR="00330118">
        <w:rPr>
          <w:sz w:val="16"/>
        </w:rPr>
        <w:t xml:space="preserve"> &amp;numero=527&gt;. Acesso em: 10 dez. 2011.</w:t>
      </w:r>
    </w:p>
    <w:p w:rsidR="00D81F69" w:rsidRDefault="00330118">
      <w:pPr>
        <w:tabs>
          <w:tab w:val="left" w:pos="1654"/>
          <w:tab w:val="left" w:pos="2082"/>
          <w:tab w:val="left" w:pos="2708"/>
          <w:tab w:val="left" w:pos="3469"/>
          <w:tab w:val="left" w:pos="4763"/>
        </w:tabs>
        <w:spacing w:before="2" w:line="312" w:lineRule="auto"/>
        <w:ind w:left="100" w:right="88"/>
        <w:rPr>
          <w:sz w:val="16"/>
        </w:rPr>
      </w:pPr>
      <w:r>
        <w:rPr>
          <w:sz w:val="16"/>
        </w:rPr>
        <w:t>ENNES, Juliana.</w:t>
      </w:r>
      <w:r>
        <w:rPr>
          <w:sz w:val="16"/>
        </w:rPr>
        <w:t xml:space="preserve"> MMX acredita que não haverá porto para todas as </w:t>
      </w:r>
      <w:r>
        <w:rPr>
          <w:spacing w:val="32"/>
          <w:sz w:val="16"/>
        </w:rPr>
        <w:t>mineradoras,</w:t>
      </w:r>
      <w:r>
        <w:rPr>
          <w:spacing w:val="32"/>
          <w:sz w:val="16"/>
        </w:rPr>
        <w:tab/>
      </w:r>
      <w:r>
        <w:rPr>
          <w:spacing w:val="17"/>
          <w:sz w:val="16"/>
        </w:rPr>
        <w:t>13</w:t>
      </w:r>
      <w:r>
        <w:rPr>
          <w:spacing w:val="17"/>
          <w:sz w:val="16"/>
        </w:rPr>
        <w:tab/>
      </w:r>
      <w:r>
        <w:rPr>
          <w:spacing w:val="26"/>
          <w:sz w:val="16"/>
        </w:rPr>
        <w:t>dez.</w:t>
      </w:r>
      <w:r>
        <w:rPr>
          <w:spacing w:val="26"/>
          <w:sz w:val="16"/>
        </w:rPr>
        <w:tab/>
      </w:r>
      <w:r>
        <w:rPr>
          <w:spacing w:val="27"/>
          <w:sz w:val="16"/>
        </w:rPr>
        <w:t>2010.</w:t>
      </w:r>
      <w:r>
        <w:rPr>
          <w:spacing w:val="27"/>
          <w:sz w:val="16"/>
        </w:rPr>
        <w:tab/>
      </w:r>
      <w:r>
        <w:rPr>
          <w:spacing w:val="31"/>
          <w:sz w:val="16"/>
        </w:rPr>
        <w:t>Disponível</w:t>
      </w:r>
      <w:r>
        <w:rPr>
          <w:spacing w:val="31"/>
          <w:sz w:val="16"/>
        </w:rPr>
        <w:tab/>
      </w:r>
      <w:r>
        <w:rPr>
          <w:spacing w:val="23"/>
          <w:sz w:val="16"/>
        </w:rPr>
        <w:t>em:</w:t>
      </w:r>
      <w:r>
        <w:rPr>
          <w:spacing w:val="-8"/>
          <w:sz w:val="16"/>
        </w:rPr>
        <w:t xml:space="preserve"> </w:t>
      </w:r>
    </w:p>
    <w:p w:rsidR="00D81F69" w:rsidRDefault="00D81F69">
      <w:pPr>
        <w:spacing w:before="2" w:line="312" w:lineRule="auto"/>
        <w:ind w:left="100" w:right="116"/>
        <w:jc w:val="both"/>
        <w:rPr>
          <w:sz w:val="16"/>
        </w:rPr>
      </w:pPr>
      <w:hyperlink r:id="rId1406">
        <w:r w:rsidR="00330118">
          <w:rPr>
            <w:sz w:val="16"/>
          </w:rPr>
          <w:t>&lt;http://www.valor.com.br/arquivo/693591/mmx-acredita-que-nao-</w:t>
        </w:r>
      </w:hyperlink>
      <w:r w:rsidR="00330118">
        <w:rPr>
          <w:sz w:val="16"/>
        </w:rPr>
        <w:t xml:space="preserve"> havera-porto-para-todas-</w:t>
      </w:r>
      <w:r w:rsidR="00330118">
        <w:rPr>
          <w:sz w:val="16"/>
        </w:rPr>
        <w:t>mineradoras&gt;. Acesso em: 12 dez. 2011. FINAMORE, Renan. Contaminação do solo e conflitos: o caso da empresa Centres. In: RGSA – Revista de Gestão Social e Ambiental, set. – dez. 2010, v.4, n.3, p. 119-135, dez. 2010. Disponível em:</w:t>
      </w:r>
    </w:p>
    <w:p w:rsidR="00D81F69" w:rsidRDefault="00D81F69">
      <w:pPr>
        <w:spacing w:before="4" w:line="312" w:lineRule="auto"/>
        <w:ind w:left="100" w:right="88"/>
        <w:rPr>
          <w:sz w:val="16"/>
        </w:rPr>
      </w:pPr>
      <w:hyperlink r:id="rId1407">
        <w:r w:rsidR="00330118">
          <w:rPr>
            <w:sz w:val="16"/>
          </w:rPr>
          <w:t>&lt;http://www.revistargsa.org/ojs/index.php/rgsa/article/viewFile/332/11</w:t>
        </w:r>
      </w:hyperlink>
      <w:r w:rsidR="00330118">
        <w:rPr>
          <w:sz w:val="16"/>
        </w:rPr>
        <w:t xml:space="preserve"> 8&gt; Acesso em: 11 dez 2011.</w:t>
      </w:r>
    </w:p>
    <w:p w:rsidR="00D81F69" w:rsidRDefault="00330118">
      <w:pPr>
        <w:tabs>
          <w:tab w:val="left" w:pos="945"/>
          <w:tab w:val="left" w:pos="2263"/>
          <w:tab w:val="left" w:pos="3182"/>
          <w:tab w:val="left" w:pos="4727"/>
        </w:tabs>
        <w:spacing w:before="1" w:line="312" w:lineRule="auto"/>
        <w:ind w:left="100" w:right="88"/>
        <w:rPr>
          <w:sz w:val="16"/>
        </w:rPr>
      </w:pPr>
      <w:r>
        <w:rPr>
          <w:sz w:val="16"/>
        </w:rPr>
        <w:t xml:space="preserve">IBGE, Instituto Brasileiro de Geografia e Estatística. Itaguaí (RJ). In: </w:t>
      </w:r>
      <w:r>
        <w:rPr>
          <w:sz w:val="16"/>
        </w:rPr>
        <w:t xml:space="preserve">    </w:t>
      </w:r>
      <w:r>
        <w:rPr>
          <w:spacing w:val="10"/>
          <w:sz w:val="16"/>
        </w:rPr>
        <w:t>I B</w:t>
      </w:r>
      <w:r>
        <w:rPr>
          <w:spacing w:val="-9"/>
          <w:sz w:val="16"/>
        </w:rPr>
        <w:t xml:space="preserve"> </w:t>
      </w:r>
      <w:r>
        <w:rPr>
          <w:spacing w:val="10"/>
          <w:sz w:val="16"/>
        </w:rPr>
        <w:t>G</w:t>
      </w:r>
      <w:r>
        <w:rPr>
          <w:sz w:val="16"/>
        </w:rPr>
        <w:t xml:space="preserve"> E</w:t>
      </w:r>
      <w:r>
        <w:rPr>
          <w:sz w:val="16"/>
        </w:rPr>
        <w:tab/>
      </w:r>
      <w:r>
        <w:rPr>
          <w:spacing w:val="10"/>
          <w:sz w:val="16"/>
        </w:rPr>
        <w:t>C</w:t>
      </w:r>
      <w:r>
        <w:rPr>
          <w:sz w:val="16"/>
        </w:rPr>
        <w:t xml:space="preserve"> </w:t>
      </w:r>
      <w:r>
        <w:rPr>
          <w:spacing w:val="10"/>
          <w:sz w:val="16"/>
        </w:rPr>
        <w:t>i</w:t>
      </w:r>
      <w:r>
        <w:rPr>
          <w:sz w:val="16"/>
        </w:rPr>
        <w:t xml:space="preserve"> </w:t>
      </w:r>
      <w:r>
        <w:rPr>
          <w:spacing w:val="10"/>
          <w:sz w:val="16"/>
        </w:rPr>
        <w:t>d</w:t>
      </w:r>
      <w:r>
        <w:rPr>
          <w:sz w:val="16"/>
        </w:rPr>
        <w:t xml:space="preserve"> </w:t>
      </w:r>
      <w:r>
        <w:rPr>
          <w:spacing w:val="10"/>
          <w:sz w:val="16"/>
        </w:rPr>
        <w:t>a</w:t>
      </w:r>
      <w:r>
        <w:rPr>
          <w:sz w:val="16"/>
        </w:rPr>
        <w:t xml:space="preserve"> </w:t>
      </w:r>
      <w:r>
        <w:rPr>
          <w:spacing w:val="10"/>
          <w:sz w:val="16"/>
        </w:rPr>
        <w:t>d</w:t>
      </w:r>
      <w:r>
        <w:rPr>
          <w:sz w:val="16"/>
        </w:rPr>
        <w:t xml:space="preserve"> </w:t>
      </w:r>
      <w:r>
        <w:rPr>
          <w:spacing w:val="10"/>
          <w:sz w:val="16"/>
        </w:rPr>
        <w:t>e</w:t>
      </w:r>
      <w:r>
        <w:rPr>
          <w:sz w:val="16"/>
        </w:rPr>
        <w:t xml:space="preserve"> </w:t>
      </w:r>
      <w:r>
        <w:rPr>
          <w:spacing w:val="10"/>
          <w:sz w:val="16"/>
        </w:rPr>
        <w:t>s</w:t>
      </w:r>
      <w:r>
        <w:rPr>
          <w:sz w:val="16"/>
        </w:rPr>
        <w:t xml:space="preserve"> ,</w:t>
      </w:r>
      <w:r>
        <w:rPr>
          <w:sz w:val="16"/>
        </w:rPr>
        <w:tab/>
      </w:r>
      <w:r>
        <w:rPr>
          <w:spacing w:val="10"/>
          <w:sz w:val="16"/>
        </w:rPr>
        <w:t>2 0 1</w:t>
      </w:r>
      <w:r>
        <w:rPr>
          <w:spacing w:val="-19"/>
          <w:sz w:val="16"/>
        </w:rPr>
        <w:t xml:space="preserve"> </w:t>
      </w:r>
      <w:r>
        <w:rPr>
          <w:spacing w:val="10"/>
          <w:sz w:val="16"/>
        </w:rPr>
        <w:t>0</w:t>
      </w:r>
      <w:r>
        <w:rPr>
          <w:sz w:val="16"/>
        </w:rPr>
        <w:t xml:space="preserve"> .</w:t>
      </w:r>
      <w:r>
        <w:rPr>
          <w:sz w:val="16"/>
        </w:rPr>
        <w:tab/>
      </w:r>
      <w:r>
        <w:rPr>
          <w:spacing w:val="10"/>
          <w:sz w:val="16"/>
        </w:rPr>
        <w:t>D</w:t>
      </w:r>
      <w:r>
        <w:rPr>
          <w:sz w:val="16"/>
        </w:rPr>
        <w:t xml:space="preserve"> </w:t>
      </w:r>
      <w:r>
        <w:rPr>
          <w:spacing w:val="10"/>
          <w:sz w:val="16"/>
        </w:rPr>
        <w:t>i</w:t>
      </w:r>
      <w:r>
        <w:rPr>
          <w:sz w:val="16"/>
        </w:rPr>
        <w:t xml:space="preserve"> </w:t>
      </w:r>
      <w:r>
        <w:rPr>
          <w:spacing w:val="10"/>
          <w:sz w:val="16"/>
        </w:rPr>
        <w:t>s</w:t>
      </w:r>
      <w:r>
        <w:rPr>
          <w:sz w:val="16"/>
        </w:rPr>
        <w:t xml:space="preserve"> </w:t>
      </w:r>
      <w:r>
        <w:rPr>
          <w:spacing w:val="10"/>
          <w:sz w:val="16"/>
        </w:rPr>
        <w:t>p</w:t>
      </w:r>
      <w:r>
        <w:rPr>
          <w:sz w:val="16"/>
        </w:rPr>
        <w:t xml:space="preserve"> </w:t>
      </w:r>
      <w:r>
        <w:rPr>
          <w:spacing w:val="10"/>
          <w:sz w:val="16"/>
        </w:rPr>
        <w:t>o</w:t>
      </w:r>
      <w:r>
        <w:rPr>
          <w:sz w:val="16"/>
        </w:rPr>
        <w:t xml:space="preserve"> </w:t>
      </w:r>
      <w:r>
        <w:rPr>
          <w:spacing w:val="10"/>
          <w:sz w:val="16"/>
        </w:rPr>
        <w:t>n</w:t>
      </w:r>
      <w:r>
        <w:rPr>
          <w:sz w:val="16"/>
        </w:rPr>
        <w:t xml:space="preserve"> </w:t>
      </w:r>
      <w:r>
        <w:rPr>
          <w:spacing w:val="10"/>
          <w:sz w:val="16"/>
        </w:rPr>
        <w:t>í</w:t>
      </w:r>
      <w:r>
        <w:rPr>
          <w:sz w:val="16"/>
        </w:rPr>
        <w:t xml:space="preserve"> </w:t>
      </w:r>
      <w:r>
        <w:rPr>
          <w:spacing w:val="10"/>
          <w:sz w:val="16"/>
        </w:rPr>
        <w:t>v</w:t>
      </w:r>
      <w:r>
        <w:rPr>
          <w:sz w:val="16"/>
        </w:rPr>
        <w:t xml:space="preserve"> </w:t>
      </w:r>
      <w:r>
        <w:rPr>
          <w:spacing w:val="10"/>
          <w:sz w:val="16"/>
        </w:rPr>
        <w:t>e</w:t>
      </w:r>
      <w:r>
        <w:rPr>
          <w:sz w:val="16"/>
        </w:rPr>
        <w:t xml:space="preserve"> l</w:t>
      </w:r>
      <w:r>
        <w:rPr>
          <w:sz w:val="16"/>
        </w:rPr>
        <w:tab/>
      </w:r>
      <w:r>
        <w:rPr>
          <w:spacing w:val="10"/>
          <w:sz w:val="16"/>
        </w:rPr>
        <w:t>e m</w:t>
      </w:r>
      <w:r>
        <w:rPr>
          <w:spacing w:val="-9"/>
          <w:sz w:val="16"/>
        </w:rPr>
        <w:t xml:space="preserve"> </w:t>
      </w:r>
      <w:r>
        <w:rPr>
          <w:sz w:val="16"/>
        </w:rPr>
        <w:t>:</w:t>
      </w:r>
      <w:r>
        <w:rPr>
          <w:spacing w:val="10"/>
          <w:sz w:val="16"/>
        </w:rPr>
        <w:t xml:space="preserve"> </w:t>
      </w:r>
    </w:p>
    <w:p w:rsidR="00D81F69" w:rsidRDefault="00D81F69">
      <w:pPr>
        <w:spacing w:before="2"/>
        <w:ind w:left="100"/>
        <w:rPr>
          <w:sz w:val="16"/>
        </w:rPr>
      </w:pPr>
      <w:hyperlink r:id="rId1408">
        <w:r w:rsidR="00330118">
          <w:rPr>
            <w:sz w:val="16"/>
          </w:rPr>
          <w:t>&lt;http://www.ibge.gov.br/cidadesat/xtras/perfil.php?codmun=330200&amp;r</w:t>
        </w:r>
      </w:hyperlink>
    </w:p>
    <w:p w:rsidR="00D81F69" w:rsidRDefault="00330118">
      <w:pPr>
        <w:spacing w:before="56"/>
        <w:ind w:left="100"/>
        <w:rPr>
          <w:sz w:val="16"/>
        </w:rPr>
      </w:pPr>
      <w:r>
        <w:rPr>
          <w:sz w:val="16"/>
        </w:rPr>
        <w:t>=2&gt;. Acesso em: 13 out. 2011.</w:t>
      </w:r>
    </w:p>
    <w:p w:rsidR="00D81F69" w:rsidRDefault="00330118">
      <w:pPr>
        <w:spacing w:before="56" w:line="312" w:lineRule="auto"/>
        <w:ind w:left="100" w:right="111"/>
        <w:rPr>
          <w:sz w:val="16"/>
        </w:rPr>
      </w:pPr>
      <w:r>
        <w:rPr>
          <w:sz w:val="16"/>
        </w:rPr>
        <w:t xml:space="preserve">LANDIM, Raquel. Grupo holandês entra na disputa pela mineradora </w:t>
      </w:r>
      <w:r>
        <w:rPr>
          <w:spacing w:val="5"/>
          <w:sz w:val="16"/>
        </w:rPr>
        <w:t>de</w:t>
      </w:r>
      <w:r>
        <w:rPr>
          <w:spacing w:val="47"/>
          <w:sz w:val="16"/>
        </w:rPr>
        <w:t xml:space="preserve"> </w:t>
      </w:r>
      <w:r>
        <w:rPr>
          <w:spacing w:val="7"/>
          <w:sz w:val="16"/>
        </w:rPr>
        <w:t>Eike.</w:t>
      </w:r>
      <w:r>
        <w:rPr>
          <w:spacing w:val="47"/>
          <w:sz w:val="16"/>
        </w:rPr>
        <w:t xml:space="preserve"> </w:t>
      </w:r>
      <w:r>
        <w:rPr>
          <w:spacing w:val="7"/>
          <w:sz w:val="16"/>
        </w:rPr>
        <w:t>Folha</w:t>
      </w:r>
      <w:r>
        <w:rPr>
          <w:spacing w:val="47"/>
          <w:sz w:val="16"/>
        </w:rPr>
        <w:t xml:space="preserve"> </w:t>
      </w:r>
      <w:r>
        <w:rPr>
          <w:spacing w:val="5"/>
          <w:sz w:val="16"/>
        </w:rPr>
        <w:t>de</w:t>
      </w:r>
      <w:r>
        <w:rPr>
          <w:spacing w:val="47"/>
          <w:sz w:val="16"/>
        </w:rPr>
        <w:t xml:space="preserve"> </w:t>
      </w:r>
      <w:r>
        <w:rPr>
          <w:spacing w:val="5"/>
          <w:sz w:val="16"/>
        </w:rPr>
        <w:t>São</w:t>
      </w:r>
      <w:r>
        <w:rPr>
          <w:spacing w:val="47"/>
          <w:sz w:val="16"/>
        </w:rPr>
        <w:t xml:space="preserve"> </w:t>
      </w:r>
      <w:r>
        <w:rPr>
          <w:spacing w:val="7"/>
          <w:sz w:val="16"/>
        </w:rPr>
        <w:t>Paulo,</w:t>
      </w:r>
      <w:r>
        <w:rPr>
          <w:spacing w:val="47"/>
          <w:sz w:val="16"/>
        </w:rPr>
        <w:t xml:space="preserve"> </w:t>
      </w:r>
      <w:r>
        <w:rPr>
          <w:spacing w:val="5"/>
          <w:sz w:val="16"/>
        </w:rPr>
        <w:t>25</w:t>
      </w:r>
      <w:r>
        <w:rPr>
          <w:spacing w:val="47"/>
          <w:sz w:val="16"/>
        </w:rPr>
        <w:t xml:space="preserve"> </w:t>
      </w:r>
      <w:r>
        <w:rPr>
          <w:spacing w:val="6"/>
          <w:sz w:val="16"/>
        </w:rPr>
        <w:t>jun.</w:t>
      </w:r>
      <w:r>
        <w:rPr>
          <w:spacing w:val="47"/>
          <w:sz w:val="16"/>
        </w:rPr>
        <w:t xml:space="preserve"> </w:t>
      </w:r>
      <w:r>
        <w:rPr>
          <w:spacing w:val="7"/>
          <w:sz w:val="16"/>
        </w:rPr>
        <w:t>2013.</w:t>
      </w:r>
      <w:r>
        <w:rPr>
          <w:spacing w:val="47"/>
          <w:sz w:val="16"/>
        </w:rPr>
        <w:t xml:space="preserve"> </w:t>
      </w:r>
      <w:r>
        <w:rPr>
          <w:spacing w:val="8"/>
          <w:sz w:val="16"/>
        </w:rPr>
        <w:t>Disponível</w:t>
      </w:r>
      <w:r>
        <w:rPr>
          <w:spacing w:val="47"/>
          <w:sz w:val="16"/>
        </w:rPr>
        <w:t xml:space="preserve"> </w:t>
      </w:r>
      <w:r>
        <w:rPr>
          <w:spacing w:val="10"/>
          <w:sz w:val="16"/>
        </w:rPr>
        <w:t>em:</w:t>
      </w:r>
    </w:p>
    <w:p w:rsidR="00D81F69" w:rsidRDefault="00D81F69">
      <w:pPr>
        <w:spacing w:before="2" w:line="312" w:lineRule="auto"/>
        <w:ind w:left="100" w:right="132"/>
        <w:jc w:val="both"/>
        <w:rPr>
          <w:sz w:val="16"/>
        </w:rPr>
      </w:pPr>
      <w:hyperlink r:id="rId1409">
        <w:r w:rsidR="00330118">
          <w:rPr>
            <w:sz w:val="16"/>
          </w:rPr>
          <w:t>&lt;http://www1.folha.uol.com.br/mercado/2013/06/1300784-gru</w:t>
        </w:r>
        <w:r w:rsidR="00330118">
          <w:rPr>
            <w:sz w:val="16"/>
          </w:rPr>
          <w:t>po-</w:t>
        </w:r>
      </w:hyperlink>
      <w:r w:rsidR="00330118">
        <w:rPr>
          <w:sz w:val="16"/>
        </w:rPr>
        <w:t xml:space="preserve"> holandes-entra-na-disputa-pela-mineradora-de-eike.shtml&gt;. Acesso em: 1 jul. 2013.</w:t>
      </w:r>
    </w:p>
    <w:p w:rsidR="00D81F69" w:rsidRDefault="00330118">
      <w:pPr>
        <w:spacing w:before="2"/>
        <w:ind w:left="100"/>
        <w:rPr>
          <w:sz w:val="16"/>
        </w:rPr>
      </w:pPr>
      <w:r>
        <w:rPr>
          <w:sz w:val="16"/>
        </w:rPr>
        <w:t>MAPA  DA  INJUSTIÇA  AMBIENTAL  E   SAÚDE  NO BRASIL.</w:t>
      </w:r>
    </w:p>
    <w:p w:rsidR="00D81F69" w:rsidRDefault="00330118">
      <w:pPr>
        <w:spacing w:before="56" w:line="312" w:lineRule="auto"/>
        <w:ind w:left="100" w:right="38"/>
        <w:jc w:val="both"/>
        <w:rPr>
          <w:sz w:val="16"/>
        </w:rPr>
      </w:pPr>
      <w:r>
        <w:rPr>
          <w:sz w:val="16"/>
        </w:rPr>
        <w:t xml:space="preserve">Pescadores artesanais, quilombolas e outros moradores do entorno   </w:t>
      </w:r>
      <w:r>
        <w:rPr>
          <w:spacing w:val="1"/>
          <w:sz w:val="16"/>
        </w:rPr>
        <w:t xml:space="preserve">da </w:t>
      </w:r>
      <w:r>
        <w:rPr>
          <w:spacing w:val="2"/>
          <w:sz w:val="16"/>
        </w:rPr>
        <w:t xml:space="preserve">Baía </w:t>
      </w:r>
      <w:r>
        <w:rPr>
          <w:spacing w:val="1"/>
          <w:sz w:val="16"/>
        </w:rPr>
        <w:t xml:space="preserve">de </w:t>
      </w:r>
      <w:r>
        <w:rPr>
          <w:spacing w:val="3"/>
          <w:sz w:val="16"/>
        </w:rPr>
        <w:t xml:space="preserve">Sepetiba: </w:t>
      </w:r>
      <w:r>
        <w:rPr>
          <w:spacing w:val="2"/>
          <w:sz w:val="16"/>
        </w:rPr>
        <w:t xml:space="preserve">sem </w:t>
      </w:r>
      <w:r>
        <w:rPr>
          <w:spacing w:val="3"/>
          <w:sz w:val="16"/>
        </w:rPr>
        <w:t xml:space="preserve">peixes, expostos </w:t>
      </w:r>
      <w:r>
        <w:rPr>
          <w:sz w:val="16"/>
        </w:rPr>
        <w:t xml:space="preserve">a </w:t>
      </w:r>
      <w:r>
        <w:rPr>
          <w:spacing w:val="3"/>
          <w:sz w:val="16"/>
        </w:rPr>
        <w:t>conta</w:t>
      </w:r>
      <w:r>
        <w:rPr>
          <w:spacing w:val="3"/>
          <w:sz w:val="16"/>
        </w:rPr>
        <w:t xml:space="preserve">minações </w:t>
      </w:r>
      <w:r>
        <w:rPr>
          <w:sz w:val="16"/>
        </w:rPr>
        <w:t xml:space="preserve">e ameaçados por milícias ligadas a empreendimentos em construção,    </w:t>
      </w:r>
      <w:r>
        <w:rPr>
          <w:spacing w:val="36"/>
          <w:sz w:val="16"/>
        </w:rPr>
        <w:t>0</w:t>
      </w:r>
      <w:r>
        <w:rPr>
          <w:sz w:val="16"/>
        </w:rPr>
        <w:t xml:space="preserve"> 3        </w:t>
      </w:r>
      <w:r>
        <w:rPr>
          <w:spacing w:val="18"/>
          <w:sz w:val="16"/>
        </w:rPr>
        <w:t xml:space="preserve"> </w:t>
      </w:r>
      <w:r>
        <w:rPr>
          <w:spacing w:val="36"/>
          <w:sz w:val="16"/>
        </w:rPr>
        <w:t>d</w:t>
      </w:r>
      <w:r>
        <w:rPr>
          <w:sz w:val="16"/>
        </w:rPr>
        <w:t xml:space="preserve"> </w:t>
      </w:r>
      <w:r>
        <w:rPr>
          <w:spacing w:val="36"/>
          <w:sz w:val="16"/>
        </w:rPr>
        <w:t>e</w:t>
      </w:r>
      <w:r>
        <w:rPr>
          <w:sz w:val="16"/>
        </w:rPr>
        <w:t xml:space="preserve"> z        </w:t>
      </w:r>
      <w:r>
        <w:rPr>
          <w:spacing w:val="18"/>
          <w:sz w:val="16"/>
        </w:rPr>
        <w:t xml:space="preserve"> </w:t>
      </w:r>
      <w:r>
        <w:rPr>
          <w:spacing w:val="36"/>
          <w:sz w:val="16"/>
        </w:rPr>
        <w:t>2</w:t>
      </w:r>
      <w:r>
        <w:rPr>
          <w:sz w:val="16"/>
        </w:rPr>
        <w:t xml:space="preserve"> </w:t>
      </w:r>
      <w:r>
        <w:rPr>
          <w:spacing w:val="36"/>
          <w:sz w:val="16"/>
        </w:rPr>
        <w:t>0</w:t>
      </w:r>
      <w:r>
        <w:rPr>
          <w:sz w:val="16"/>
        </w:rPr>
        <w:t xml:space="preserve"> </w:t>
      </w:r>
      <w:r>
        <w:rPr>
          <w:spacing w:val="36"/>
          <w:sz w:val="16"/>
        </w:rPr>
        <w:t>0</w:t>
      </w:r>
      <w:r>
        <w:rPr>
          <w:sz w:val="16"/>
        </w:rPr>
        <w:t xml:space="preserve"> </w:t>
      </w:r>
      <w:r>
        <w:rPr>
          <w:spacing w:val="36"/>
          <w:sz w:val="16"/>
        </w:rPr>
        <w:t>9</w:t>
      </w:r>
      <w:r>
        <w:rPr>
          <w:sz w:val="16"/>
        </w:rPr>
        <w:t xml:space="preserve"> .        </w:t>
      </w:r>
      <w:r>
        <w:rPr>
          <w:spacing w:val="18"/>
          <w:sz w:val="16"/>
        </w:rPr>
        <w:t xml:space="preserve"> </w:t>
      </w:r>
      <w:r>
        <w:rPr>
          <w:spacing w:val="36"/>
          <w:sz w:val="16"/>
        </w:rPr>
        <w:t>D</w:t>
      </w:r>
      <w:r>
        <w:rPr>
          <w:sz w:val="16"/>
        </w:rPr>
        <w:t xml:space="preserve"> </w:t>
      </w:r>
      <w:r>
        <w:rPr>
          <w:spacing w:val="36"/>
          <w:sz w:val="16"/>
        </w:rPr>
        <w:t>i</w:t>
      </w:r>
      <w:r>
        <w:rPr>
          <w:sz w:val="16"/>
        </w:rPr>
        <w:t xml:space="preserve"> </w:t>
      </w:r>
      <w:r>
        <w:rPr>
          <w:spacing w:val="36"/>
          <w:sz w:val="16"/>
        </w:rPr>
        <w:t>s</w:t>
      </w:r>
      <w:r>
        <w:rPr>
          <w:sz w:val="16"/>
        </w:rPr>
        <w:t xml:space="preserve"> </w:t>
      </w:r>
      <w:r>
        <w:rPr>
          <w:spacing w:val="36"/>
          <w:sz w:val="16"/>
        </w:rPr>
        <w:t>p</w:t>
      </w:r>
      <w:r>
        <w:rPr>
          <w:sz w:val="16"/>
        </w:rPr>
        <w:t xml:space="preserve"> </w:t>
      </w:r>
      <w:r>
        <w:rPr>
          <w:spacing w:val="36"/>
          <w:sz w:val="16"/>
        </w:rPr>
        <w:t>o</w:t>
      </w:r>
      <w:r>
        <w:rPr>
          <w:sz w:val="16"/>
        </w:rPr>
        <w:t xml:space="preserve"> </w:t>
      </w:r>
      <w:r>
        <w:rPr>
          <w:spacing w:val="36"/>
          <w:sz w:val="16"/>
        </w:rPr>
        <w:t>n</w:t>
      </w:r>
      <w:r>
        <w:rPr>
          <w:sz w:val="16"/>
        </w:rPr>
        <w:t xml:space="preserve"> </w:t>
      </w:r>
      <w:r>
        <w:rPr>
          <w:spacing w:val="36"/>
          <w:sz w:val="16"/>
        </w:rPr>
        <w:t>í</w:t>
      </w:r>
      <w:r>
        <w:rPr>
          <w:sz w:val="16"/>
        </w:rPr>
        <w:t xml:space="preserve"> </w:t>
      </w:r>
      <w:r>
        <w:rPr>
          <w:spacing w:val="36"/>
          <w:sz w:val="16"/>
        </w:rPr>
        <w:t>v</w:t>
      </w:r>
      <w:r>
        <w:rPr>
          <w:sz w:val="16"/>
        </w:rPr>
        <w:t xml:space="preserve"> </w:t>
      </w:r>
      <w:r>
        <w:rPr>
          <w:spacing w:val="36"/>
          <w:sz w:val="16"/>
        </w:rPr>
        <w:t>e</w:t>
      </w:r>
      <w:r>
        <w:rPr>
          <w:sz w:val="16"/>
        </w:rPr>
        <w:t xml:space="preserve"> l        </w:t>
      </w:r>
      <w:r>
        <w:rPr>
          <w:spacing w:val="18"/>
          <w:sz w:val="16"/>
        </w:rPr>
        <w:t xml:space="preserve"> </w:t>
      </w:r>
      <w:r>
        <w:rPr>
          <w:spacing w:val="36"/>
          <w:sz w:val="16"/>
        </w:rPr>
        <w:t>e</w:t>
      </w:r>
      <w:r>
        <w:rPr>
          <w:sz w:val="16"/>
        </w:rPr>
        <w:t xml:space="preserve"> </w:t>
      </w:r>
      <w:r>
        <w:rPr>
          <w:spacing w:val="36"/>
          <w:sz w:val="16"/>
        </w:rPr>
        <w:t>m</w:t>
      </w:r>
      <w:r>
        <w:rPr>
          <w:sz w:val="16"/>
        </w:rPr>
        <w:t xml:space="preserve"> : </w:t>
      </w:r>
      <w:r>
        <w:rPr>
          <w:spacing w:val="-7"/>
          <w:sz w:val="16"/>
        </w:rPr>
        <w:t xml:space="preserve"> </w:t>
      </w:r>
    </w:p>
    <w:p w:rsidR="00D81F69" w:rsidRDefault="00D81F69">
      <w:pPr>
        <w:spacing w:before="4" w:line="312" w:lineRule="auto"/>
        <w:ind w:left="100"/>
        <w:rPr>
          <w:sz w:val="16"/>
        </w:rPr>
      </w:pPr>
      <w:hyperlink r:id="rId1410">
        <w:r w:rsidR="00330118">
          <w:rPr>
            <w:sz w:val="16"/>
          </w:rPr>
          <w:t>&lt;</w:t>
        </w:r>
        <w:r w:rsidR="00330118">
          <w:rPr>
            <w:sz w:val="16"/>
          </w:rPr>
          <w:t>http://www.conflitoambiental.icict.fiocruz.br/index.php?pag=ficha&amp;co</w:t>
        </w:r>
      </w:hyperlink>
      <w:r w:rsidR="00330118">
        <w:rPr>
          <w:sz w:val="16"/>
        </w:rPr>
        <w:t xml:space="preserve"> d=109&gt;. Acesso em: 13 out. 2011.</w:t>
      </w:r>
    </w:p>
    <w:p w:rsidR="00D81F69" w:rsidRDefault="00330118">
      <w:pPr>
        <w:spacing w:before="1" w:line="312" w:lineRule="auto"/>
        <w:ind w:left="100" w:right="179"/>
        <w:rPr>
          <w:sz w:val="16"/>
        </w:rPr>
      </w:pPr>
      <w:r>
        <w:rPr>
          <w:sz w:val="16"/>
        </w:rPr>
        <w:t>MELO, Plinio. Câmara de Itaguaí cria CPI para investigar construção do Porto da LLX. O Blog da Mongue, 04 jul. 2011. Disponível em:</w:t>
      </w:r>
    </w:p>
    <w:p w:rsidR="00D81F69" w:rsidRDefault="00D81F69">
      <w:pPr>
        <w:spacing w:before="2" w:line="312" w:lineRule="auto"/>
        <w:ind w:left="100" w:right="88"/>
        <w:rPr>
          <w:sz w:val="16"/>
        </w:rPr>
      </w:pPr>
      <w:hyperlink r:id="rId1411">
        <w:r w:rsidR="00330118">
          <w:rPr>
            <w:sz w:val="16"/>
          </w:rPr>
          <w:t xml:space="preserve">&lt;http://www.mongue.org.br/blongue/?p=898&gt;. </w:t>
        </w:r>
      </w:hyperlink>
      <w:r w:rsidR="00330118">
        <w:rPr>
          <w:sz w:val="16"/>
        </w:rPr>
        <w:t>Acesso em: 10 dez. 2011.</w:t>
      </w:r>
    </w:p>
    <w:p w:rsidR="00D81F69" w:rsidRDefault="00330118">
      <w:pPr>
        <w:spacing w:before="1"/>
        <w:ind w:left="100"/>
        <w:rPr>
          <w:sz w:val="16"/>
        </w:rPr>
      </w:pPr>
      <w:r>
        <w:rPr>
          <w:sz w:val="16"/>
        </w:rPr>
        <w:t>MMX. Nossos negócios. Superporto Sudeste. 2011a. Disponível em:</w:t>
      </w:r>
    </w:p>
    <w:p w:rsidR="00D81F69" w:rsidRDefault="00D81F69">
      <w:pPr>
        <w:spacing w:before="56" w:line="312" w:lineRule="auto"/>
        <w:ind w:left="100"/>
        <w:rPr>
          <w:sz w:val="16"/>
        </w:rPr>
      </w:pPr>
      <w:hyperlink r:id="rId1412">
        <w:r w:rsidR="00330118">
          <w:rPr>
            <w:sz w:val="16"/>
          </w:rPr>
          <w:t>&lt;</w:t>
        </w:r>
        <w:r w:rsidR="00330118">
          <w:rPr>
            <w:sz w:val="16"/>
          </w:rPr>
          <w:t>http://www.mmx.com.br/pt/nossos-negocios/Paginas/Superporto-</w:t>
        </w:r>
      </w:hyperlink>
      <w:r w:rsidR="00330118">
        <w:rPr>
          <w:sz w:val="16"/>
        </w:rPr>
        <w:t xml:space="preserve"> Sudeste.aspx&gt;. Acesso em: 12 dez. 2011.</w:t>
      </w:r>
    </w:p>
    <w:p w:rsidR="00D81F69" w:rsidRDefault="00330118">
      <w:pPr>
        <w:spacing w:before="2"/>
        <w:ind w:left="100"/>
        <w:rPr>
          <w:sz w:val="16"/>
        </w:rPr>
      </w:pPr>
      <w:r>
        <w:rPr>
          <w:spacing w:val="15"/>
          <w:sz w:val="16"/>
        </w:rPr>
        <w:t>_____.</w:t>
      </w:r>
      <w:r>
        <w:rPr>
          <w:spacing w:val="75"/>
          <w:sz w:val="16"/>
        </w:rPr>
        <w:t xml:space="preserve"> </w:t>
      </w:r>
      <w:r>
        <w:rPr>
          <w:spacing w:val="17"/>
          <w:sz w:val="16"/>
        </w:rPr>
        <w:t xml:space="preserve">Principais estruturas. </w:t>
      </w:r>
      <w:r>
        <w:rPr>
          <w:spacing w:val="15"/>
          <w:sz w:val="16"/>
        </w:rPr>
        <w:t>2011b.</w:t>
      </w:r>
      <w:r>
        <w:rPr>
          <w:spacing w:val="75"/>
          <w:sz w:val="16"/>
        </w:rPr>
        <w:t xml:space="preserve"> </w:t>
      </w:r>
      <w:r>
        <w:rPr>
          <w:spacing w:val="17"/>
          <w:sz w:val="16"/>
        </w:rPr>
        <w:t>Disponível</w:t>
      </w:r>
      <w:r>
        <w:rPr>
          <w:spacing w:val="16"/>
          <w:sz w:val="16"/>
        </w:rPr>
        <w:t xml:space="preserve"> </w:t>
      </w:r>
      <w:r>
        <w:rPr>
          <w:spacing w:val="12"/>
          <w:sz w:val="16"/>
        </w:rPr>
        <w:t>em:</w:t>
      </w:r>
      <w:r>
        <w:rPr>
          <w:spacing w:val="-23"/>
          <w:sz w:val="16"/>
        </w:rPr>
        <w:t xml:space="preserve"> </w:t>
      </w:r>
    </w:p>
    <w:p w:rsidR="00D81F69" w:rsidRDefault="00D81F69">
      <w:pPr>
        <w:spacing w:before="56" w:line="312" w:lineRule="auto"/>
        <w:ind w:left="100"/>
        <w:rPr>
          <w:sz w:val="16"/>
        </w:rPr>
      </w:pPr>
      <w:hyperlink r:id="rId1413">
        <w:r w:rsidR="00330118">
          <w:rPr>
            <w:sz w:val="16"/>
          </w:rPr>
          <w:t xml:space="preserve">&lt; h t t p : / / w w w . m m x . c o m . b r / p t / </w:t>
        </w:r>
        <w:r w:rsidR="00330118">
          <w:rPr>
            <w:sz w:val="16"/>
          </w:rPr>
          <w:t xml:space="preserve">n o s s o s - </w:t>
        </w:r>
      </w:hyperlink>
      <w:r w:rsidR="00330118">
        <w:rPr>
          <w:sz w:val="16"/>
        </w:rPr>
        <w:t>negocios/Superporto/Paginas/tecnologia.aspx&gt;. Acesso em: 20 jun. 2013.</w:t>
      </w:r>
    </w:p>
    <w:p w:rsidR="00D81F69" w:rsidRDefault="00330118">
      <w:pPr>
        <w:tabs>
          <w:tab w:val="left" w:pos="470"/>
          <w:tab w:val="left" w:pos="760"/>
          <w:tab w:val="left" w:pos="1095"/>
          <w:tab w:val="left" w:pos="1439"/>
          <w:tab w:val="left" w:pos="1782"/>
          <w:tab w:val="left" w:pos="2126"/>
          <w:tab w:val="left" w:pos="2426"/>
          <w:tab w:val="left" w:pos="2760"/>
          <w:tab w:val="left" w:pos="3104"/>
          <w:tab w:val="left" w:pos="4331"/>
          <w:tab w:val="left" w:pos="4674"/>
          <w:tab w:val="left" w:pos="5063"/>
        </w:tabs>
        <w:spacing w:before="3" w:line="312" w:lineRule="auto"/>
        <w:ind w:left="100" w:right="114"/>
        <w:rPr>
          <w:sz w:val="16"/>
        </w:rPr>
      </w:pPr>
      <w:r>
        <w:rPr>
          <w:spacing w:val="3"/>
          <w:sz w:val="16"/>
        </w:rPr>
        <w:t xml:space="preserve">_____. Iniciativas Socioambientais. Superporto Sudeste. </w:t>
      </w:r>
      <w:r>
        <w:rPr>
          <w:spacing w:val="5"/>
          <w:sz w:val="16"/>
        </w:rPr>
        <w:t xml:space="preserve">2011c.   </w:t>
      </w:r>
      <w:r>
        <w:rPr>
          <w:sz w:val="16"/>
        </w:rPr>
        <w:t>D</w:t>
      </w:r>
      <w:r>
        <w:rPr>
          <w:sz w:val="16"/>
        </w:rPr>
        <w:tab/>
        <w:t>i</w:t>
      </w:r>
      <w:r>
        <w:rPr>
          <w:sz w:val="16"/>
        </w:rPr>
        <w:tab/>
        <w:t>s</w:t>
      </w:r>
      <w:r>
        <w:rPr>
          <w:sz w:val="16"/>
        </w:rPr>
        <w:tab/>
        <w:t>p</w:t>
      </w:r>
      <w:r>
        <w:rPr>
          <w:sz w:val="16"/>
        </w:rPr>
        <w:tab/>
        <w:t>o</w:t>
      </w:r>
      <w:r>
        <w:rPr>
          <w:sz w:val="16"/>
        </w:rPr>
        <w:tab/>
        <w:t>n</w:t>
      </w:r>
      <w:r>
        <w:rPr>
          <w:sz w:val="16"/>
        </w:rPr>
        <w:tab/>
        <w:t>í</w:t>
      </w:r>
      <w:r>
        <w:rPr>
          <w:sz w:val="16"/>
        </w:rPr>
        <w:tab/>
        <w:t>v</w:t>
      </w:r>
      <w:r>
        <w:rPr>
          <w:sz w:val="16"/>
        </w:rPr>
        <w:tab/>
        <w:t>e</w:t>
      </w:r>
      <w:r>
        <w:rPr>
          <w:sz w:val="16"/>
        </w:rPr>
        <w:tab/>
        <w:t>l</w:t>
      </w:r>
      <w:r>
        <w:rPr>
          <w:sz w:val="16"/>
        </w:rPr>
        <w:tab/>
        <w:t>e</w:t>
      </w:r>
      <w:r>
        <w:rPr>
          <w:sz w:val="16"/>
        </w:rPr>
        <w:tab/>
        <w:t>m</w:t>
      </w:r>
      <w:r>
        <w:rPr>
          <w:sz w:val="16"/>
        </w:rPr>
        <w:tab/>
        <w:t>:</w:t>
      </w:r>
    </w:p>
    <w:p w:rsidR="00D81F69" w:rsidRDefault="00D81F69">
      <w:pPr>
        <w:spacing w:before="1" w:line="312" w:lineRule="auto"/>
        <w:ind w:left="100"/>
        <w:rPr>
          <w:sz w:val="16"/>
        </w:rPr>
      </w:pPr>
      <w:hyperlink r:id="rId1414">
        <w:r w:rsidR="00330118">
          <w:rPr>
            <w:sz w:val="16"/>
          </w:rPr>
          <w:t>&lt;</w:t>
        </w:r>
        <w:r w:rsidR="00330118">
          <w:rPr>
            <w:sz w:val="16"/>
          </w:rPr>
          <w:t>http://www.mmx.com.br/pt/sustentabilidade/Paginas/superporto-</w:t>
        </w:r>
      </w:hyperlink>
      <w:r w:rsidR="00330118">
        <w:rPr>
          <w:sz w:val="16"/>
        </w:rPr>
        <w:t xml:space="preserve"> sudeste.aspx&gt;. Acesso em: 1 jul. 2013.</w:t>
      </w:r>
    </w:p>
    <w:p w:rsidR="00D81F69" w:rsidRDefault="00330118">
      <w:pPr>
        <w:spacing w:before="2"/>
        <w:ind w:left="100"/>
        <w:jc w:val="both"/>
        <w:rPr>
          <w:sz w:val="16"/>
        </w:rPr>
      </w:pPr>
      <w:r>
        <w:rPr>
          <w:sz w:val="16"/>
          <w:u w:val="single"/>
        </w:rPr>
        <w:t xml:space="preserve">          </w:t>
      </w:r>
      <w:r>
        <w:rPr>
          <w:sz w:val="16"/>
        </w:rPr>
        <w:t>. Fato Relevante: MMX avalia oportunidades de negócios.</w:t>
      </w:r>
    </w:p>
    <w:p w:rsidR="00D81F69" w:rsidRDefault="00330118">
      <w:pPr>
        <w:spacing w:before="70" w:line="312" w:lineRule="auto"/>
        <w:ind w:left="100" w:right="396"/>
        <w:rPr>
          <w:sz w:val="16"/>
        </w:rPr>
      </w:pPr>
      <w:r>
        <w:br w:type="column"/>
      </w:r>
      <w:hyperlink r:id="rId1415">
        <w:r>
          <w:rPr>
            <w:sz w:val="16"/>
          </w:rPr>
          <w:t>Disponível em: &lt;</w:t>
        </w:r>
        <w:r>
          <w:rPr>
            <w:sz w:val="16"/>
          </w:rPr>
          <w:t>http://ri.mmx.com.br/Show.aspx?</w:t>
        </w:r>
      </w:hyperlink>
      <w:r>
        <w:rPr>
          <w:sz w:val="16"/>
        </w:rPr>
        <w:t xml:space="preserve"> idMateria=CeXYyrdDYqnPiZe0yf5HBw==&gt;. Acesso em: 1 jul. 2013.</w:t>
      </w:r>
    </w:p>
    <w:p w:rsidR="00D81F69" w:rsidRDefault="00330118">
      <w:pPr>
        <w:spacing w:before="1" w:line="312" w:lineRule="auto"/>
        <w:ind w:left="100" w:right="186"/>
        <w:jc w:val="both"/>
        <w:rPr>
          <w:sz w:val="16"/>
        </w:rPr>
      </w:pPr>
      <w:r>
        <w:rPr>
          <w:sz w:val="16"/>
        </w:rPr>
        <w:t>O GLOBO. LLX firma contrato de compra de equipamento para Porto Sudeste, em Itaguaí, no RJ, 30 jun. 2010. Disponível em:</w:t>
      </w:r>
    </w:p>
    <w:p w:rsidR="00D81F69" w:rsidRDefault="00D81F69">
      <w:pPr>
        <w:spacing w:before="2" w:line="312" w:lineRule="auto"/>
        <w:ind w:left="100" w:right="215"/>
        <w:jc w:val="both"/>
        <w:rPr>
          <w:sz w:val="16"/>
        </w:rPr>
      </w:pPr>
      <w:hyperlink r:id="rId1416">
        <w:r w:rsidR="00330118">
          <w:rPr>
            <w:sz w:val="16"/>
          </w:rPr>
          <w:t>&lt;http://oglobo.globo.com/economia/llx-firma-contrato-de-compra-de-</w:t>
        </w:r>
      </w:hyperlink>
      <w:r w:rsidR="00330118">
        <w:rPr>
          <w:sz w:val="16"/>
        </w:rPr>
        <w:t xml:space="preserve"> equipamento-para-porto-sudeste-em-itaguai-no-rj-2986009&gt;. Acesso em: 10 dez. 2011.</w:t>
      </w:r>
    </w:p>
    <w:p w:rsidR="00D81F69" w:rsidRDefault="00330118">
      <w:pPr>
        <w:spacing w:before="2" w:line="312" w:lineRule="auto"/>
        <w:ind w:left="100" w:right="188"/>
        <w:jc w:val="both"/>
        <w:rPr>
          <w:sz w:val="16"/>
        </w:rPr>
      </w:pPr>
      <w:r>
        <w:rPr>
          <w:sz w:val="16"/>
        </w:rPr>
        <w:t xml:space="preserve">PATO, Patrícia Santiago. Implantação da Companhia Siderúrgica do </w:t>
      </w:r>
      <w:r>
        <w:rPr>
          <w:sz w:val="16"/>
        </w:rPr>
        <w:t>Atlântico na Baía de Sepetiba – RJ. Revista Tamoios, jul./dez. - Ano VI, n. 2, 2010. Disponível em: &lt;http://www.e- publicacoes.uerj.br/ojs/index.php/tamoios/article/viewFile/1419/1275&gt;. Acesso em: 10 dez. 2011.</w:t>
      </w:r>
    </w:p>
    <w:p w:rsidR="00D81F69" w:rsidRDefault="00330118">
      <w:pPr>
        <w:spacing w:before="4" w:line="312" w:lineRule="auto"/>
        <w:ind w:left="100" w:right="198"/>
        <w:jc w:val="both"/>
        <w:rPr>
          <w:sz w:val="16"/>
        </w:rPr>
      </w:pPr>
      <w:r>
        <w:rPr>
          <w:sz w:val="16"/>
        </w:rPr>
        <w:t xml:space="preserve">PINTO, Luciana Madeira de Oliveira. Implicações da contaminação por metais pesados no meio ambiente da Baía de Sepetiba e entorno: o </w:t>
      </w:r>
      <w:r>
        <w:rPr>
          <w:spacing w:val="2"/>
          <w:sz w:val="16"/>
        </w:rPr>
        <w:t xml:space="preserve">caso </w:t>
      </w:r>
      <w:r>
        <w:rPr>
          <w:spacing w:val="1"/>
          <w:sz w:val="16"/>
        </w:rPr>
        <w:t xml:space="preserve">da </w:t>
      </w:r>
      <w:r>
        <w:rPr>
          <w:spacing w:val="2"/>
          <w:sz w:val="16"/>
        </w:rPr>
        <w:t xml:space="preserve">Cia </w:t>
      </w:r>
      <w:r>
        <w:rPr>
          <w:spacing w:val="3"/>
          <w:sz w:val="16"/>
        </w:rPr>
        <w:t xml:space="preserve">Mercantil Ingá, 2005. Dissertação (Mestrado </w:t>
      </w:r>
      <w:r>
        <w:rPr>
          <w:spacing w:val="5"/>
          <w:sz w:val="16"/>
        </w:rPr>
        <w:t xml:space="preserve">em </w:t>
      </w:r>
      <w:r>
        <w:rPr>
          <w:sz w:val="16"/>
        </w:rPr>
        <w:t>Sistemas de Gestão), Universidade Federal Fluminense, Niterói (R</w:t>
      </w:r>
      <w:r>
        <w:rPr>
          <w:sz w:val="16"/>
        </w:rPr>
        <w:t xml:space="preserve">J). Disponível em: </w:t>
      </w:r>
      <w:hyperlink r:id="rId1417">
        <w:r>
          <w:rPr>
            <w:sz w:val="16"/>
          </w:rPr>
          <w:t xml:space="preserve">&lt;http://en.scientificcommons.org/16435753&gt;. </w:t>
        </w:r>
      </w:hyperlink>
      <w:r>
        <w:rPr>
          <w:sz w:val="16"/>
        </w:rPr>
        <w:t>Acesso em: 10 dez.</w:t>
      </w:r>
      <w:r>
        <w:rPr>
          <w:spacing w:val="20"/>
          <w:sz w:val="16"/>
        </w:rPr>
        <w:t xml:space="preserve"> </w:t>
      </w:r>
      <w:r>
        <w:rPr>
          <w:sz w:val="16"/>
        </w:rPr>
        <w:t>2011.</w:t>
      </w:r>
    </w:p>
    <w:p w:rsidR="00D81F69" w:rsidRDefault="00330118">
      <w:pPr>
        <w:spacing w:before="5" w:line="312" w:lineRule="auto"/>
        <w:ind w:left="100" w:right="148"/>
        <w:jc w:val="both"/>
        <w:rPr>
          <w:sz w:val="16"/>
        </w:rPr>
      </w:pPr>
      <w:r>
        <w:rPr>
          <w:sz w:val="16"/>
        </w:rPr>
        <w:t xml:space="preserve">PORTAL ECODEBATE. RJ inicia a descontaminação do terreno da Companhia Ingá Mercantil, um dos maiores passivos </w:t>
      </w:r>
      <w:r>
        <w:rPr>
          <w:sz w:val="16"/>
        </w:rPr>
        <w:t xml:space="preserve">ambientais do    </w:t>
      </w:r>
      <w:r>
        <w:rPr>
          <w:spacing w:val="5"/>
          <w:sz w:val="16"/>
        </w:rPr>
        <w:t xml:space="preserve">e s t a d o </w:t>
      </w:r>
      <w:r>
        <w:rPr>
          <w:sz w:val="16"/>
        </w:rPr>
        <w:t xml:space="preserve">, </w:t>
      </w:r>
      <w:r>
        <w:rPr>
          <w:spacing w:val="5"/>
          <w:sz w:val="16"/>
        </w:rPr>
        <w:t xml:space="preserve">0 </w:t>
      </w:r>
      <w:r>
        <w:rPr>
          <w:sz w:val="16"/>
        </w:rPr>
        <w:t xml:space="preserve">5 </w:t>
      </w:r>
      <w:r>
        <w:rPr>
          <w:spacing w:val="5"/>
          <w:sz w:val="16"/>
        </w:rPr>
        <w:t xml:space="preserve">j u n </w:t>
      </w:r>
      <w:r>
        <w:rPr>
          <w:sz w:val="16"/>
        </w:rPr>
        <w:t xml:space="preserve">. </w:t>
      </w:r>
      <w:r>
        <w:rPr>
          <w:spacing w:val="5"/>
          <w:sz w:val="16"/>
        </w:rPr>
        <w:t xml:space="preserve">2 0 0 9 </w:t>
      </w:r>
      <w:r>
        <w:rPr>
          <w:sz w:val="16"/>
        </w:rPr>
        <w:t xml:space="preserve">. </w:t>
      </w:r>
      <w:r>
        <w:rPr>
          <w:spacing w:val="5"/>
          <w:sz w:val="16"/>
        </w:rPr>
        <w:t xml:space="preserve">D i s p o n í v e </w:t>
      </w:r>
      <w:r>
        <w:rPr>
          <w:sz w:val="16"/>
        </w:rPr>
        <w:t>l</w:t>
      </w:r>
      <w:r>
        <w:rPr>
          <w:spacing w:val="17"/>
          <w:sz w:val="16"/>
        </w:rPr>
        <w:t xml:space="preserve"> </w:t>
      </w:r>
      <w:r>
        <w:rPr>
          <w:spacing w:val="5"/>
          <w:sz w:val="16"/>
        </w:rPr>
        <w:t xml:space="preserve">e m </w:t>
      </w:r>
      <w:r>
        <w:rPr>
          <w:sz w:val="16"/>
        </w:rPr>
        <w:t>:</w:t>
      </w:r>
      <w:r>
        <w:rPr>
          <w:spacing w:val="5"/>
          <w:sz w:val="16"/>
        </w:rPr>
        <w:t xml:space="preserve"> </w:t>
      </w:r>
    </w:p>
    <w:p w:rsidR="00D81F69" w:rsidRDefault="00D81F69">
      <w:pPr>
        <w:spacing w:before="3" w:line="312" w:lineRule="auto"/>
        <w:ind w:left="100" w:right="192"/>
        <w:jc w:val="both"/>
        <w:rPr>
          <w:sz w:val="16"/>
        </w:rPr>
      </w:pPr>
      <w:hyperlink r:id="rId1418">
        <w:r w:rsidR="00330118">
          <w:rPr>
            <w:spacing w:val="21"/>
            <w:sz w:val="16"/>
          </w:rPr>
          <w:t xml:space="preserve">&lt;http://www.ecodebate.com.br/2009/06/05/rj-inicia-a- </w:t>
        </w:r>
      </w:hyperlink>
      <w:r w:rsidR="00330118">
        <w:rPr>
          <w:sz w:val="16"/>
        </w:rPr>
        <w:t>descontaminacao-do-terreno-da-companhia-inga-mercantil</w:t>
      </w:r>
      <w:r w:rsidR="00330118">
        <w:rPr>
          <w:sz w:val="16"/>
        </w:rPr>
        <w:t xml:space="preserve">-um-dos- maiores-passivos-ambientais-do-estado/&gt; Acesso em: 10 dez. 2011. </w:t>
      </w:r>
      <w:r w:rsidR="00330118">
        <w:rPr>
          <w:spacing w:val="7"/>
          <w:sz w:val="16"/>
        </w:rPr>
        <w:t xml:space="preserve">RIBEIRO, Andreza Portella. </w:t>
      </w:r>
      <w:r w:rsidR="00330118">
        <w:rPr>
          <w:spacing w:val="8"/>
          <w:sz w:val="16"/>
        </w:rPr>
        <w:t xml:space="preserve">Procedimento </w:t>
      </w:r>
      <w:r w:rsidR="00330118">
        <w:rPr>
          <w:spacing w:val="5"/>
          <w:sz w:val="16"/>
        </w:rPr>
        <w:t xml:space="preserve">de </w:t>
      </w:r>
      <w:r w:rsidR="00330118">
        <w:rPr>
          <w:spacing w:val="10"/>
          <w:sz w:val="16"/>
        </w:rPr>
        <w:t xml:space="preserve">fracionamento </w:t>
      </w:r>
      <w:r w:rsidR="00330118">
        <w:rPr>
          <w:sz w:val="16"/>
        </w:rPr>
        <w:t xml:space="preserve">comparado a modelo de atenuação para a avaliação de mobilidade  </w:t>
      </w:r>
      <w:r w:rsidR="00330118">
        <w:rPr>
          <w:spacing w:val="1"/>
          <w:sz w:val="16"/>
        </w:rPr>
        <w:t xml:space="preserve">de </w:t>
      </w:r>
      <w:r w:rsidR="00330118">
        <w:rPr>
          <w:spacing w:val="3"/>
          <w:sz w:val="16"/>
        </w:rPr>
        <w:t xml:space="preserve">metais pesados </w:t>
      </w:r>
      <w:r w:rsidR="00330118">
        <w:rPr>
          <w:spacing w:val="1"/>
          <w:sz w:val="16"/>
        </w:rPr>
        <w:t xml:space="preserve">em </w:t>
      </w:r>
      <w:r w:rsidR="00330118">
        <w:rPr>
          <w:spacing w:val="3"/>
          <w:sz w:val="16"/>
        </w:rPr>
        <w:t xml:space="preserve">sedimentos </w:t>
      </w:r>
      <w:r w:rsidR="00330118">
        <w:rPr>
          <w:spacing w:val="1"/>
          <w:sz w:val="16"/>
        </w:rPr>
        <w:t xml:space="preserve">da </w:t>
      </w:r>
      <w:r w:rsidR="00330118">
        <w:rPr>
          <w:spacing w:val="2"/>
          <w:sz w:val="16"/>
        </w:rPr>
        <w:t xml:space="preserve">Baía </w:t>
      </w:r>
      <w:r w:rsidR="00330118">
        <w:rPr>
          <w:spacing w:val="1"/>
          <w:sz w:val="16"/>
        </w:rPr>
        <w:t xml:space="preserve">de </w:t>
      </w:r>
      <w:r w:rsidR="00330118">
        <w:rPr>
          <w:spacing w:val="3"/>
          <w:sz w:val="16"/>
        </w:rPr>
        <w:t xml:space="preserve">Sepetiba, </w:t>
      </w:r>
      <w:r w:rsidR="00330118">
        <w:rPr>
          <w:spacing w:val="2"/>
          <w:sz w:val="16"/>
        </w:rPr>
        <w:t xml:space="preserve">Rio </w:t>
      </w:r>
      <w:r w:rsidR="00330118">
        <w:rPr>
          <w:spacing w:val="5"/>
          <w:sz w:val="16"/>
        </w:rPr>
        <w:t xml:space="preserve">de </w:t>
      </w:r>
      <w:r w:rsidR="00330118">
        <w:rPr>
          <w:sz w:val="16"/>
        </w:rPr>
        <w:t>J</w:t>
      </w:r>
      <w:r w:rsidR="00330118">
        <w:rPr>
          <w:sz w:val="16"/>
        </w:rPr>
        <w:t>aneiro.</w:t>
      </w:r>
      <w:r w:rsidR="00330118">
        <w:rPr>
          <w:spacing w:val="12"/>
          <w:sz w:val="16"/>
        </w:rPr>
        <w:t xml:space="preserve"> </w:t>
      </w:r>
      <w:r w:rsidR="00330118">
        <w:rPr>
          <w:sz w:val="16"/>
        </w:rPr>
        <w:t>Instituto</w:t>
      </w:r>
      <w:r w:rsidR="00330118">
        <w:rPr>
          <w:spacing w:val="12"/>
          <w:sz w:val="16"/>
        </w:rPr>
        <w:t xml:space="preserve"> </w:t>
      </w:r>
      <w:r w:rsidR="00330118">
        <w:rPr>
          <w:sz w:val="16"/>
        </w:rPr>
        <w:t>de</w:t>
      </w:r>
      <w:r w:rsidR="00330118">
        <w:rPr>
          <w:spacing w:val="12"/>
          <w:sz w:val="16"/>
        </w:rPr>
        <w:t xml:space="preserve"> </w:t>
      </w:r>
      <w:r w:rsidR="00330118">
        <w:rPr>
          <w:sz w:val="16"/>
        </w:rPr>
        <w:t>Pesquisas</w:t>
      </w:r>
      <w:r w:rsidR="00330118">
        <w:rPr>
          <w:spacing w:val="12"/>
          <w:sz w:val="16"/>
        </w:rPr>
        <w:t xml:space="preserve"> </w:t>
      </w:r>
      <w:r w:rsidR="00330118">
        <w:rPr>
          <w:sz w:val="16"/>
        </w:rPr>
        <w:t>Energéticas</w:t>
      </w:r>
      <w:r w:rsidR="00330118">
        <w:rPr>
          <w:spacing w:val="12"/>
          <w:sz w:val="16"/>
        </w:rPr>
        <w:t xml:space="preserve"> </w:t>
      </w:r>
      <w:r w:rsidR="00330118">
        <w:rPr>
          <w:sz w:val="16"/>
        </w:rPr>
        <w:t>e</w:t>
      </w:r>
      <w:r w:rsidR="00330118">
        <w:rPr>
          <w:spacing w:val="12"/>
          <w:sz w:val="16"/>
        </w:rPr>
        <w:t xml:space="preserve"> </w:t>
      </w:r>
      <w:r w:rsidR="00330118">
        <w:rPr>
          <w:sz w:val="16"/>
        </w:rPr>
        <w:t>Nucleares,</w:t>
      </w:r>
      <w:r w:rsidR="00330118">
        <w:rPr>
          <w:spacing w:val="12"/>
          <w:sz w:val="16"/>
        </w:rPr>
        <w:t xml:space="preserve"> </w:t>
      </w:r>
      <w:r w:rsidR="00330118">
        <w:rPr>
          <w:sz w:val="16"/>
        </w:rPr>
        <w:t>São</w:t>
      </w:r>
      <w:r w:rsidR="00330118">
        <w:rPr>
          <w:spacing w:val="12"/>
          <w:sz w:val="16"/>
        </w:rPr>
        <w:t xml:space="preserve"> </w:t>
      </w:r>
      <w:r w:rsidR="00330118">
        <w:rPr>
          <w:sz w:val="16"/>
        </w:rPr>
        <w:t>Paulo,</w:t>
      </w:r>
    </w:p>
    <w:p w:rsidR="00D81F69" w:rsidRDefault="00330118">
      <w:pPr>
        <w:tabs>
          <w:tab w:val="left" w:pos="1785"/>
          <w:tab w:val="left" w:pos="4548"/>
        </w:tabs>
        <w:spacing w:before="6"/>
        <w:ind w:left="100"/>
        <w:jc w:val="both"/>
        <w:rPr>
          <w:sz w:val="16"/>
        </w:rPr>
      </w:pPr>
      <w:r>
        <w:rPr>
          <w:sz w:val="16"/>
        </w:rPr>
        <w:t xml:space="preserve">2   0   0  </w:t>
      </w:r>
      <w:r>
        <w:rPr>
          <w:spacing w:val="35"/>
          <w:sz w:val="16"/>
        </w:rPr>
        <w:t xml:space="preserve"> </w:t>
      </w:r>
      <w:r>
        <w:rPr>
          <w:sz w:val="16"/>
        </w:rPr>
        <w:t xml:space="preserve">6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2"/>
          <w:sz w:val="16"/>
        </w:rPr>
        <w:t xml:space="preserve"> </w:t>
      </w:r>
      <w:r>
        <w:rPr>
          <w:sz w:val="16"/>
        </w:rPr>
        <w:t>:</w:t>
      </w:r>
    </w:p>
    <w:p w:rsidR="00D81F69" w:rsidRDefault="00D81F69">
      <w:pPr>
        <w:spacing w:before="56"/>
        <w:ind w:left="100"/>
        <w:jc w:val="both"/>
        <w:rPr>
          <w:sz w:val="16"/>
        </w:rPr>
      </w:pPr>
      <w:hyperlink r:id="rId1419">
        <w:r w:rsidR="00330118">
          <w:rPr>
            <w:sz w:val="16"/>
          </w:rPr>
          <w:t>&lt;</w:t>
        </w:r>
        <w:r w:rsidR="00330118">
          <w:rPr>
            <w:sz w:val="16"/>
          </w:rPr>
          <w:t>http://pelicano.ipen.br/PosG30/PDF/Andreza%20Portella%20Ribeiro</w:t>
        </w:r>
      </w:hyperlink>
    </w:p>
    <w:p w:rsidR="00D81F69" w:rsidRDefault="00330118">
      <w:pPr>
        <w:spacing w:before="56"/>
        <w:ind w:left="100"/>
        <w:jc w:val="both"/>
        <w:rPr>
          <w:sz w:val="16"/>
        </w:rPr>
      </w:pPr>
      <w:r>
        <w:rPr>
          <w:sz w:val="16"/>
        </w:rPr>
        <w:t>%20D.pdf&gt;. Acesso em: 10 dez. 2011.</w:t>
      </w:r>
    </w:p>
    <w:p w:rsidR="00D81F69" w:rsidRDefault="00330118">
      <w:pPr>
        <w:spacing w:before="56" w:line="312" w:lineRule="auto"/>
        <w:ind w:left="100" w:right="191"/>
        <w:jc w:val="both"/>
        <w:rPr>
          <w:sz w:val="16"/>
        </w:rPr>
      </w:pPr>
      <w:r>
        <w:rPr>
          <w:sz w:val="16"/>
        </w:rPr>
        <w:t>TEIXEIRA, Marcelo. MMX eleva para R$2,4 bi investimento para porto Sudeste. Estadão.com.br, 08 nov. 2011. Disponível em:</w:t>
      </w:r>
    </w:p>
    <w:p w:rsidR="00D81F69" w:rsidRDefault="00D81F69">
      <w:pPr>
        <w:spacing w:before="1" w:line="312" w:lineRule="auto"/>
        <w:ind w:left="100" w:right="198"/>
        <w:jc w:val="both"/>
        <w:rPr>
          <w:sz w:val="16"/>
        </w:rPr>
      </w:pPr>
      <w:hyperlink r:id="rId1420">
        <w:r w:rsidR="00330118">
          <w:rPr>
            <w:sz w:val="16"/>
          </w:rPr>
          <w:t>&lt;http://www.estadao.com.br/noticias/geral,mmx-eleva-para-r24-bi-</w:t>
        </w:r>
      </w:hyperlink>
      <w:r w:rsidR="00330118">
        <w:rPr>
          <w:sz w:val="16"/>
        </w:rPr>
        <w:t xml:space="preserve"> investimento-para-porto-sudeste,796149,0.htm&gt;. Acesso em: 10 dez. 2011.</w:t>
      </w:r>
    </w:p>
    <w:p w:rsidR="00D81F69" w:rsidRDefault="00330118">
      <w:pPr>
        <w:spacing w:before="3" w:line="312" w:lineRule="auto"/>
        <w:ind w:left="100" w:right="171"/>
        <w:jc w:val="both"/>
        <w:rPr>
          <w:sz w:val="16"/>
        </w:rPr>
      </w:pPr>
      <w:r>
        <w:rPr>
          <w:sz w:val="16"/>
        </w:rPr>
        <w:t xml:space="preserve">THUSWOHL, Maurício. Morte anunciada de uma triste baía. Revista </w:t>
      </w:r>
      <w:r>
        <w:rPr>
          <w:spacing w:val="11"/>
          <w:sz w:val="16"/>
        </w:rPr>
        <w:t xml:space="preserve">do </w:t>
      </w:r>
      <w:r>
        <w:rPr>
          <w:spacing w:val="20"/>
          <w:sz w:val="16"/>
        </w:rPr>
        <w:t>Bras</w:t>
      </w:r>
      <w:r>
        <w:rPr>
          <w:spacing w:val="20"/>
          <w:sz w:val="16"/>
        </w:rPr>
        <w:t xml:space="preserve">il, </w:t>
      </w:r>
      <w:r>
        <w:rPr>
          <w:spacing w:val="15"/>
          <w:sz w:val="16"/>
        </w:rPr>
        <w:t>Ed.</w:t>
      </w:r>
      <w:r>
        <w:rPr>
          <w:spacing w:val="75"/>
          <w:sz w:val="16"/>
        </w:rPr>
        <w:t xml:space="preserve"> </w:t>
      </w:r>
      <w:r>
        <w:rPr>
          <w:spacing w:val="15"/>
          <w:sz w:val="16"/>
        </w:rPr>
        <w:t>34,</w:t>
      </w:r>
      <w:r>
        <w:rPr>
          <w:spacing w:val="75"/>
          <w:sz w:val="16"/>
        </w:rPr>
        <w:t xml:space="preserve"> </w:t>
      </w:r>
      <w:r>
        <w:rPr>
          <w:spacing w:val="11"/>
          <w:sz w:val="16"/>
        </w:rPr>
        <w:t xml:space="preserve">05 </w:t>
      </w:r>
      <w:r>
        <w:rPr>
          <w:spacing w:val="17"/>
          <w:sz w:val="16"/>
        </w:rPr>
        <w:t xml:space="preserve">abr. </w:t>
      </w:r>
      <w:r>
        <w:rPr>
          <w:spacing w:val="20"/>
          <w:sz w:val="16"/>
        </w:rPr>
        <w:t xml:space="preserve">2009. </w:t>
      </w:r>
      <w:r>
        <w:rPr>
          <w:spacing w:val="21"/>
          <w:sz w:val="16"/>
        </w:rPr>
        <w:t>Disponível</w:t>
      </w:r>
      <w:r>
        <w:rPr>
          <w:spacing w:val="20"/>
          <w:sz w:val="16"/>
        </w:rPr>
        <w:t xml:space="preserve"> </w:t>
      </w:r>
      <w:r>
        <w:rPr>
          <w:spacing w:val="15"/>
          <w:sz w:val="16"/>
        </w:rPr>
        <w:t>em:</w:t>
      </w:r>
      <w:r>
        <w:rPr>
          <w:spacing w:val="-19"/>
          <w:sz w:val="16"/>
        </w:rPr>
        <w:t xml:space="preserve"> </w:t>
      </w:r>
    </w:p>
    <w:p w:rsidR="00D81F69" w:rsidRDefault="00D81F69">
      <w:pPr>
        <w:spacing w:before="1" w:line="312" w:lineRule="auto"/>
        <w:ind w:left="100" w:right="214"/>
        <w:jc w:val="both"/>
        <w:rPr>
          <w:sz w:val="16"/>
        </w:rPr>
      </w:pPr>
      <w:hyperlink r:id="rId1421">
        <w:r w:rsidR="00330118">
          <w:rPr>
            <w:sz w:val="16"/>
          </w:rPr>
          <w:t>&lt;http://www.redebrasilatual.com.br/revistas/34/morte-anunciada-de-</w:t>
        </w:r>
      </w:hyperlink>
      <w:r w:rsidR="00330118">
        <w:rPr>
          <w:sz w:val="16"/>
        </w:rPr>
        <w:t xml:space="preserve"> uma-triste-baia&gt;. Acesso em: 12 dez. 2011.</w:t>
      </w:r>
    </w:p>
    <w:p w:rsidR="00D81F69" w:rsidRDefault="00330118">
      <w:pPr>
        <w:spacing w:before="2"/>
        <w:ind w:left="100"/>
        <w:jc w:val="both"/>
        <w:rPr>
          <w:sz w:val="16"/>
        </w:rPr>
      </w:pPr>
      <w:r>
        <w:rPr>
          <w:sz w:val="16"/>
        </w:rPr>
        <w:t xml:space="preserve">SCHÜFFNER,  CLÁUDIA;  GÓES,  FRANCISCO;  SARAIVA, </w:t>
      </w:r>
    </w:p>
    <w:p w:rsidR="00D81F69" w:rsidRDefault="00330118">
      <w:pPr>
        <w:spacing w:before="56" w:line="312" w:lineRule="auto"/>
        <w:ind w:left="100" w:right="157"/>
        <w:jc w:val="both"/>
        <w:rPr>
          <w:sz w:val="16"/>
        </w:rPr>
      </w:pPr>
      <w:r>
        <w:rPr>
          <w:spacing w:val="8"/>
          <w:sz w:val="16"/>
        </w:rPr>
        <w:t xml:space="preserve">ALESSANDRA. </w:t>
      </w:r>
      <w:r>
        <w:rPr>
          <w:spacing w:val="5"/>
          <w:sz w:val="16"/>
        </w:rPr>
        <w:t xml:space="preserve">BTG </w:t>
      </w:r>
      <w:r>
        <w:rPr>
          <w:sz w:val="16"/>
        </w:rPr>
        <w:t xml:space="preserve">e </w:t>
      </w:r>
      <w:r>
        <w:rPr>
          <w:spacing w:val="7"/>
          <w:sz w:val="16"/>
        </w:rPr>
        <w:t xml:space="preserve">Glencore </w:t>
      </w:r>
      <w:r>
        <w:rPr>
          <w:spacing w:val="5"/>
          <w:sz w:val="16"/>
        </w:rPr>
        <w:t xml:space="preserve">vão </w:t>
      </w:r>
      <w:r>
        <w:rPr>
          <w:spacing w:val="7"/>
          <w:sz w:val="16"/>
        </w:rPr>
        <w:t xml:space="preserve">juntos </w:t>
      </w:r>
      <w:r>
        <w:rPr>
          <w:spacing w:val="5"/>
          <w:sz w:val="16"/>
        </w:rPr>
        <w:t xml:space="preserve">na </w:t>
      </w:r>
      <w:r>
        <w:rPr>
          <w:spacing w:val="6"/>
          <w:sz w:val="16"/>
        </w:rPr>
        <w:t xml:space="preserve">MMX. </w:t>
      </w:r>
      <w:r>
        <w:rPr>
          <w:spacing w:val="10"/>
          <w:sz w:val="16"/>
        </w:rPr>
        <w:t xml:space="preserve">Valor </w:t>
      </w:r>
      <w:r>
        <w:rPr>
          <w:spacing w:val="35"/>
          <w:sz w:val="16"/>
        </w:rPr>
        <w:t xml:space="preserve">Econômico,   </w:t>
      </w:r>
      <w:r>
        <w:rPr>
          <w:spacing w:val="20"/>
          <w:sz w:val="16"/>
        </w:rPr>
        <w:t xml:space="preserve">25    </w:t>
      </w:r>
      <w:r>
        <w:rPr>
          <w:spacing w:val="30"/>
          <w:sz w:val="16"/>
        </w:rPr>
        <w:t xml:space="preserve">jun.   </w:t>
      </w:r>
      <w:r>
        <w:rPr>
          <w:spacing w:val="31"/>
          <w:sz w:val="16"/>
        </w:rPr>
        <w:t xml:space="preserve">2013.   </w:t>
      </w:r>
      <w:r>
        <w:rPr>
          <w:spacing w:val="35"/>
          <w:sz w:val="16"/>
        </w:rPr>
        <w:t xml:space="preserve">Disponível </w:t>
      </w:r>
      <w:r>
        <w:rPr>
          <w:spacing w:val="108"/>
          <w:sz w:val="16"/>
        </w:rPr>
        <w:t xml:space="preserve"> </w:t>
      </w:r>
      <w:r>
        <w:rPr>
          <w:spacing w:val="25"/>
          <w:sz w:val="16"/>
        </w:rPr>
        <w:t>em:</w:t>
      </w:r>
      <w:r>
        <w:rPr>
          <w:spacing w:val="-3"/>
          <w:sz w:val="16"/>
        </w:rPr>
        <w:t xml:space="preserve"> </w:t>
      </w:r>
    </w:p>
    <w:p w:rsidR="00D81F69" w:rsidRDefault="00D81F69">
      <w:pPr>
        <w:spacing w:before="2" w:line="312" w:lineRule="auto"/>
        <w:ind w:left="100" w:right="211"/>
        <w:jc w:val="both"/>
        <w:rPr>
          <w:sz w:val="16"/>
        </w:rPr>
      </w:pPr>
      <w:hyperlink r:id="rId1422">
        <w:r w:rsidR="00330118">
          <w:rPr>
            <w:sz w:val="16"/>
          </w:rPr>
          <w:t>&lt;http://www.valor.com.br</w:t>
        </w:r>
        <w:r w:rsidR="00330118">
          <w:rPr>
            <w:sz w:val="16"/>
          </w:rPr>
          <w:t>/empresas/3173270/btg-e-glencore-vao-</w:t>
        </w:r>
      </w:hyperlink>
      <w:r w:rsidR="00330118">
        <w:rPr>
          <w:sz w:val="16"/>
        </w:rPr>
        <w:t xml:space="preserve"> juntos-na-mmx&gt;. Acesso em: 1 jul. 2013.</w:t>
      </w:r>
    </w:p>
    <w:p w:rsidR="00D81F69" w:rsidRDefault="00330118">
      <w:pPr>
        <w:spacing w:before="1" w:line="312" w:lineRule="auto"/>
        <w:ind w:left="100" w:right="178"/>
        <w:jc w:val="both"/>
        <w:rPr>
          <w:sz w:val="16"/>
        </w:rPr>
      </w:pPr>
      <w:r>
        <w:rPr>
          <w:spacing w:val="3"/>
          <w:sz w:val="16"/>
        </w:rPr>
        <w:t xml:space="preserve">VEJA. </w:t>
      </w:r>
      <w:r>
        <w:rPr>
          <w:spacing w:val="2"/>
          <w:sz w:val="16"/>
        </w:rPr>
        <w:t xml:space="preserve">MMX, </w:t>
      </w:r>
      <w:r>
        <w:rPr>
          <w:spacing w:val="1"/>
          <w:sz w:val="16"/>
        </w:rPr>
        <w:t xml:space="preserve">de </w:t>
      </w:r>
      <w:r>
        <w:rPr>
          <w:spacing w:val="2"/>
          <w:sz w:val="16"/>
        </w:rPr>
        <w:t xml:space="preserve">Eike </w:t>
      </w:r>
      <w:r>
        <w:rPr>
          <w:spacing w:val="3"/>
          <w:sz w:val="16"/>
        </w:rPr>
        <w:t xml:space="preserve">Batista, receberá </w:t>
      </w:r>
      <w:r>
        <w:rPr>
          <w:spacing w:val="2"/>
          <w:sz w:val="16"/>
        </w:rPr>
        <w:t xml:space="preserve">mais </w:t>
      </w:r>
      <w:r>
        <w:rPr>
          <w:spacing w:val="1"/>
          <w:sz w:val="16"/>
        </w:rPr>
        <w:t xml:space="preserve">R$ </w:t>
      </w:r>
      <w:r>
        <w:rPr>
          <w:spacing w:val="2"/>
          <w:sz w:val="16"/>
        </w:rPr>
        <w:t xml:space="preserve">935 </w:t>
      </w:r>
      <w:r>
        <w:rPr>
          <w:spacing w:val="3"/>
          <w:sz w:val="16"/>
        </w:rPr>
        <w:t xml:space="preserve">milhões </w:t>
      </w:r>
      <w:r>
        <w:rPr>
          <w:spacing w:val="5"/>
          <w:sz w:val="16"/>
        </w:rPr>
        <w:t xml:space="preserve">do </w:t>
      </w:r>
      <w:r>
        <w:rPr>
          <w:spacing w:val="15"/>
          <w:sz w:val="16"/>
        </w:rPr>
        <w:t xml:space="preserve">BNDES.  </w:t>
      </w:r>
      <w:r>
        <w:rPr>
          <w:spacing w:val="16"/>
          <w:sz w:val="16"/>
        </w:rPr>
        <w:t xml:space="preserve">Revista  </w:t>
      </w:r>
      <w:r>
        <w:rPr>
          <w:spacing w:val="15"/>
          <w:sz w:val="16"/>
        </w:rPr>
        <w:t xml:space="preserve">Veja,  </w:t>
      </w:r>
      <w:r>
        <w:rPr>
          <w:spacing w:val="10"/>
          <w:sz w:val="16"/>
        </w:rPr>
        <w:t xml:space="preserve">18   </w:t>
      </w:r>
      <w:r>
        <w:rPr>
          <w:spacing w:val="15"/>
          <w:sz w:val="16"/>
        </w:rPr>
        <w:t xml:space="preserve">abr.  2013.  </w:t>
      </w:r>
      <w:r>
        <w:rPr>
          <w:spacing w:val="17"/>
          <w:sz w:val="16"/>
        </w:rPr>
        <w:t xml:space="preserve">Disponível </w:t>
      </w:r>
      <w:r>
        <w:rPr>
          <w:spacing w:val="77"/>
          <w:sz w:val="16"/>
        </w:rPr>
        <w:t xml:space="preserve"> </w:t>
      </w:r>
      <w:r>
        <w:rPr>
          <w:spacing w:val="12"/>
          <w:sz w:val="16"/>
        </w:rPr>
        <w:t>em:</w:t>
      </w:r>
      <w:r>
        <w:rPr>
          <w:spacing w:val="-25"/>
          <w:sz w:val="16"/>
        </w:rPr>
        <w:t xml:space="preserve"> </w:t>
      </w:r>
    </w:p>
    <w:p w:rsidR="00D81F69" w:rsidRDefault="00D81F69">
      <w:pPr>
        <w:spacing w:before="2" w:line="312" w:lineRule="auto"/>
        <w:ind w:left="100" w:right="170"/>
        <w:jc w:val="both"/>
        <w:rPr>
          <w:sz w:val="16"/>
        </w:rPr>
      </w:pPr>
      <w:hyperlink r:id="rId1423">
        <w:r w:rsidR="00330118">
          <w:rPr>
            <w:spacing w:val="6"/>
            <w:sz w:val="16"/>
          </w:rPr>
          <w:t>&lt;http://veja.abril.com.br/noticia/economia/mmx-de-eike-batista-</w:t>
        </w:r>
      </w:hyperlink>
      <w:r w:rsidR="00330118">
        <w:rPr>
          <w:spacing w:val="6"/>
          <w:sz w:val="16"/>
        </w:rPr>
        <w:t xml:space="preserve"> </w:t>
      </w:r>
      <w:r w:rsidR="00330118">
        <w:rPr>
          <w:sz w:val="16"/>
        </w:rPr>
        <w:t>recebera-mais-r-935-milhoes-do-bndes&gt;. Acesso em: 20 jun. 2013. VIEGAS, Rodrigo Nuñez. Conflitos ambientais no Rio</w:t>
      </w:r>
      <w:r w:rsidR="00330118">
        <w:rPr>
          <w:sz w:val="16"/>
        </w:rPr>
        <w:t xml:space="preserve"> de Janeiro: Um estudo dos casos do projeto da Usina Termelétrica (UTE) de Sepetiba e do </w:t>
      </w:r>
      <w:r w:rsidR="00330118">
        <w:rPr>
          <w:spacing w:val="1"/>
          <w:sz w:val="16"/>
        </w:rPr>
        <w:t xml:space="preserve">projeto </w:t>
      </w:r>
      <w:r w:rsidR="00330118">
        <w:rPr>
          <w:sz w:val="16"/>
        </w:rPr>
        <w:t xml:space="preserve">da </w:t>
      </w:r>
      <w:r w:rsidR="00330118">
        <w:rPr>
          <w:spacing w:val="1"/>
          <w:sz w:val="16"/>
        </w:rPr>
        <w:t xml:space="preserve">Companhia Siderúrgica </w:t>
      </w:r>
      <w:r w:rsidR="00330118">
        <w:rPr>
          <w:sz w:val="16"/>
        </w:rPr>
        <w:t xml:space="preserve">do </w:t>
      </w:r>
      <w:r w:rsidR="00330118">
        <w:rPr>
          <w:spacing w:val="1"/>
          <w:sz w:val="16"/>
        </w:rPr>
        <w:t xml:space="preserve">Atlântico (CSA), </w:t>
      </w:r>
      <w:r w:rsidR="00330118">
        <w:rPr>
          <w:spacing w:val="2"/>
          <w:sz w:val="16"/>
        </w:rPr>
        <w:t xml:space="preserve">2007. </w:t>
      </w:r>
      <w:r w:rsidR="00330118">
        <w:rPr>
          <w:sz w:val="16"/>
        </w:rPr>
        <w:t xml:space="preserve">Dissertação (Mestrado em Sociologia), Universidade Federal do Rio </w:t>
      </w:r>
      <w:r w:rsidR="00330118">
        <w:rPr>
          <w:spacing w:val="11"/>
          <w:sz w:val="16"/>
        </w:rPr>
        <w:t xml:space="preserve">de   </w:t>
      </w:r>
      <w:r w:rsidR="00330118">
        <w:rPr>
          <w:spacing w:val="20"/>
          <w:sz w:val="16"/>
        </w:rPr>
        <w:t xml:space="preserve">Janeiro, </w:t>
      </w:r>
      <w:r w:rsidR="00330118">
        <w:rPr>
          <w:spacing w:val="85"/>
          <w:sz w:val="16"/>
        </w:rPr>
        <w:t xml:space="preserve"> </w:t>
      </w:r>
      <w:r w:rsidR="00330118">
        <w:rPr>
          <w:spacing w:val="15"/>
          <w:sz w:val="16"/>
        </w:rPr>
        <w:t xml:space="preserve">Rio </w:t>
      </w:r>
      <w:r w:rsidR="00330118">
        <w:rPr>
          <w:spacing w:val="75"/>
          <w:sz w:val="16"/>
        </w:rPr>
        <w:t xml:space="preserve"> </w:t>
      </w:r>
      <w:r w:rsidR="00330118">
        <w:rPr>
          <w:spacing w:val="11"/>
          <w:sz w:val="16"/>
        </w:rPr>
        <w:t xml:space="preserve">de   </w:t>
      </w:r>
      <w:r w:rsidR="00330118">
        <w:rPr>
          <w:spacing w:val="20"/>
          <w:sz w:val="16"/>
        </w:rPr>
        <w:t xml:space="preserve">Janeiro </w:t>
      </w:r>
      <w:r w:rsidR="00330118">
        <w:rPr>
          <w:spacing w:val="85"/>
          <w:sz w:val="16"/>
        </w:rPr>
        <w:t xml:space="preserve"> </w:t>
      </w:r>
      <w:r w:rsidR="00330118">
        <w:rPr>
          <w:spacing w:val="20"/>
          <w:sz w:val="16"/>
        </w:rPr>
        <w:t xml:space="preserve">(RJ).   </w:t>
      </w:r>
      <w:r w:rsidR="00330118">
        <w:rPr>
          <w:spacing w:val="21"/>
          <w:sz w:val="16"/>
        </w:rPr>
        <w:t>Disponível</w:t>
      </w:r>
      <w:r w:rsidR="00330118">
        <w:rPr>
          <w:spacing w:val="27"/>
          <w:sz w:val="16"/>
        </w:rPr>
        <w:t xml:space="preserve"> </w:t>
      </w:r>
      <w:r w:rsidR="00330118">
        <w:rPr>
          <w:spacing w:val="15"/>
          <w:sz w:val="16"/>
        </w:rPr>
        <w:t>em:</w:t>
      </w:r>
      <w:r w:rsidR="00330118">
        <w:rPr>
          <w:spacing w:val="-19"/>
          <w:sz w:val="16"/>
        </w:rPr>
        <w:t xml:space="preserve"> </w:t>
      </w:r>
    </w:p>
    <w:p w:rsidR="00D81F69" w:rsidRDefault="00D81F69">
      <w:pPr>
        <w:spacing w:before="6" w:line="312" w:lineRule="auto"/>
        <w:ind w:left="100" w:right="196"/>
        <w:jc w:val="both"/>
        <w:rPr>
          <w:sz w:val="16"/>
        </w:rPr>
      </w:pPr>
      <w:hyperlink r:id="rId1424">
        <w:r w:rsidR="00330118">
          <w:rPr>
            <w:sz w:val="16"/>
          </w:rPr>
          <w:t xml:space="preserve">&lt;http://teses.ufrj.br/IFCS_M/RodrigoNunezViegas.pdf&gt;. </w:t>
        </w:r>
      </w:hyperlink>
      <w:r w:rsidR="00330118">
        <w:rPr>
          <w:sz w:val="16"/>
        </w:rPr>
        <w:t xml:space="preserve">Acesso </w:t>
      </w:r>
      <w:r w:rsidR="00330118">
        <w:rPr>
          <w:spacing w:val="1"/>
          <w:sz w:val="16"/>
        </w:rPr>
        <w:t xml:space="preserve">em: </w:t>
      </w:r>
      <w:r w:rsidR="00330118">
        <w:rPr>
          <w:sz w:val="16"/>
        </w:rPr>
        <w:t>12 dez.</w:t>
      </w:r>
      <w:r w:rsidR="00330118">
        <w:rPr>
          <w:spacing w:val="-18"/>
          <w:sz w:val="16"/>
        </w:rPr>
        <w:t xml:space="preserve"> </w:t>
      </w:r>
      <w:r w:rsidR="00330118">
        <w:rPr>
          <w:sz w:val="16"/>
        </w:rPr>
        <w:t>2011.</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232" w:space="238"/>
            <w:col w:w="5310"/>
          </w:cols>
        </w:sectPr>
      </w:pPr>
    </w:p>
    <w:p w:rsidR="00D81F69" w:rsidRDefault="00330118">
      <w:pPr>
        <w:pStyle w:val="Heading1"/>
        <w:spacing w:line="208" w:lineRule="auto"/>
      </w:pPr>
      <w:r>
        <w:lastRenderedPageBreak/>
        <w:t>Construção do Complexo Industrial do Superporto do Açu provoca d</w:t>
      </w:r>
      <w:r>
        <w:t>anos ambientais e conflitos sociais</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RJ - São João da Barra</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-21,624167</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-41,018889</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1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O Complexo Industrial do Superporto do </w:t>
      </w:r>
      <w:r>
        <w:rPr>
          <w:i/>
          <w:sz w:val="16"/>
        </w:rPr>
        <w:t>Açu é considerado o maior empreendimento porto-indústria da América Latina. O projeto, de responsabilidade da LLX, empresa logística do Grupo EBX, contará com distrito industrial contendo siderúrgicas, cimenteiras, polo metalomecânico, unidade de tratament</w:t>
      </w:r>
      <w:r>
        <w:rPr>
          <w:i/>
          <w:sz w:val="16"/>
        </w:rPr>
        <w:t>o e armazenamento de petróleo, etc. No entanto, o megaempreendimento já vem causando alterações ambientais e socioespaciais no município e entorno e conflitos com moradores.</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1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92"/>
      </w:pPr>
      <w:r>
        <w:t>REZENDE; PEDLOWSKI, 2010), como parte de um projeto maior da MMX [empresa de m</w:t>
      </w:r>
      <w:r>
        <w:t xml:space="preserve">ineração do Grupo EBX], o Sistema Minas-Rio, que compreende ainda a construção de uma usina para extração de minério de </w:t>
      </w:r>
      <w:hyperlink r:id="rId1425">
        <w:r>
          <w:t xml:space="preserve">ferro </w:t>
        </w:r>
      </w:hyperlink>
      <w:r>
        <w:t>em Alvorada (MG), com capacidade produti</w:t>
      </w:r>
      <w:r>
        <w:t>va em torno de 26,5 milhões de toneladas ao ano de finos de pelotização, e um mineroduto de 525 km de extensão, que passará por 20 municípios de Minas Gerais e sete do estado do Rio de Janeiro (no Norte e Noroeste Fluminense) e será utilizado para transpor</w:t>
      </w:r>
      <w:r>
        <w:t>tar minério de  ferro até o  Porto do  Açu (LOPES et  al., 2011).</w:t>
      </w:r>
    </w:p>
    <w:p w:rsidR="00D81F69" w:rsidRDefault="00330118">
      <w:pPr>
        <w:pStyle w:val="Corpodetexto"/>
        <w:spacing w:before="139" w:line="312" w:lineRule="auto"/>
        <w:ind w:left="135" w:right="177"/>
        <w:jc w:val="left"/>
      </w:pPr>
      <w:r>
        <w:t>O Complexo terá área de 90 km², e dois terminais: TX1 e TX2. Os terminais terão profundidade de até 26 metros e 17 km de píer, e poderão receber até 47 embarcações. Em abril de 2013, cerca d</w:t>
      </w:r>
      <w:r>
        <w:t>e 60% da montagem das máquinas haviam sido concluídas. A previsão é que a operação do terminal de</w:t>
      </w:r>
    </w:p>
    <w:p w:rsidR="00D81F69" w:rsidRDefault="00D81F69">
      <w:pPr>
        <w:spacing w:line="312" w:lineRule="auto"/>
        <w:sectPr w:rsidR="00D81F69">
          <w:type w:val="continuous"/>
          <w:pgSz w:w="11900" w:h="16840"/>
          <w:pgMar w:top="720" w:right="500" w:bottom="280" w:left="620" w:header="720" w:footer="720" w:gutter="0"/>
          <w:cols w:num="3" w:space="720" w:equalWidth="0">
            <w:col w:w="1638" w:space="362"/>
            <w:col w:w="3128" w:space="307"/>
            <w:col w:w="5345"/>
          </w:cols>
        </w:sectPr>
      </w:pPr>
    </w:p>
    <w:p w:rsidR="00D81F69" w:rsidRDefault="00330118">
      <w:pPr>
        <w:pStyle w:val="Heading4"/>
        <w:spacing w:line="244" w:lineRule="exact"/>
        <w:jc w:val="left"/>
      </w:pPr>
      <w:r>
        <w:lastRenderedPageBreak/>
        <w:t>APRESENTAÇÃO DE CASO</w:t>
      </w:r>
    </w:p>
    <w:p w:rsidR="00D81F69" w:rsidRDefault="00330118">
      <w:pPr>
        <w:pStyle w:val="Corpodetexto"/>
        <w:spacing w:before="170" w:line="312" w:lineRule="auto"/>
        <w:ind w:right="81"/>
        <w:jc w:val="left"/>
      </w:pPr>
      <w:r>
        <w:t xml:space="preserve">No município de São João da Barra - 455, 044 km² e 32.747 habitantes (IBGE, 2010) — no Norte Fluminense, está sendo </w:t>
      </w:r>
      <w:r>
        <w:rPr>
          <w:spacing w:val="8"/>
        </w:rPr>
        <w:t xml:space="preserve">construído </w:t>
      </w:r>
      <w:r>
        <w:t xml:space="preserve">o </w:t>
      </w:r>
      <w:r>
        <w:rPr>
          <w:spacing w:val="7"/>
        </w:rPr>
        <w:t xml:space="preserve">maior </w:t>
      </w:r>
      <w:r>
        <w:rPr>
          <w:spacing w:val="8"/>
        </w:rPr>
        <w:t xml:space="preserve">empreendimento porto-indústria </w:t>
      </w:r>
      <w:r>
        <w:rPr>
          <w:spacing w:val="10"/>
        </w:rPr>
        <w:t xml:space="preserve">da </w:t>
      </w:r>
      <w:r>
        <w:t>América Latina: o Complexo Industrial do Superporto do Açu, que deverá movimentar cerca</w:t>
      </w:r>
      <w:r>
        <w:t xml:space="preserve"> de 350 milhões de toneladas  por </w:t>
      </w:r>
      <w:r>
        <w:rPr>
          <w:spacing w:val="1"/>
        </w:rPr>
        <w:t xml:space="preserve">ano, entre exportações </w:t>
      </w:r>
      <w:r>
        <w:t xml:space="preserve">e </w:t>
      </w:r>
      <w:r>
        <w:rPr>
          <w:spacing w:val="1"/>
        </w:rPr>
        <w:t xml:space="preserve">importações, </w:t>
      </w:r>
      <w:r>
        <w:t xml:space="preserve">se </w:t>
      </w:r>
      <w:r>
        <w:rPr>
          <w:spacing w:val="1"/>
        </w:rPr>
        <w:t xml:space="preserve">tornando </w:t>
      </w:r>
      <w:r>
        <w:rPr>
          <w:spacing w:val="2"/>
        </w:rPr>
        <w:t xml:space="preserve">um </w:t>
      </w:r>
      <w:r>
        <w:t>dos três maiores complexos portuários do mundo (LLX,</w:t>
      </w:r>
      <w:r>
        <w:rPr>
          <w:spacing w:val="6"/>
        </w:rPr>
        <w:t xml:space="preserve"> </w:t>
      </w:r>
      <w:r>
        <w:t>2011).</w:t>
      </w:r>
    </w:p>
    <w:p w:rsidR="00D81F69" w:rsidRDefault="00330118">
      <w:pPr>
        <w:pStyle w:val="Corpodetexto"/>
        <w:spacing w:before="136" w:line="312" w:lineRule="auto"/>
        <w:ind w:right="85"/>
      </w:pPr>
      <w:r>
        <w:t>O projeto do superporto, de responsabilidade da LLX Logística S.A. (LLX), ocupará uma área inicial de 1.900 h</w:t>
      </w:r>
      <w:r>
        <w:t>ectares (RODRIGUES; LEMOS, 2011). A LLX integrava o Grupo EBX, mas, em agosto de 2013, passou a ser controlada pela empresa americana do setor de energia EIG Management Company. A LLX firmou um termo de compromisso para receber da EIG R$ 1,3 bilhão, que pe</w:t>
      </w:r>
      <w:r>
        <w:t>rmitirão à empresa de logística executar o Porto do Açu (TERRA, 2013; G1, 2013).</w:t>
      </w:r>
    </w:p>
    <w:p w:rsidR="00D81F69" w:rsidRDefault="00330118">
      <w:pPr>
        <w:pStyle w:val="Corpodetexto"/>
        <w:spacing w:before="139" w:line="312" w:lineRule="auto"/>
        <w:ind w:right="78"/>
      </w:pPr>
      <w:r>
        <w:t xml:space="preserve">O </w:t>
      </w:r>
      <w:r>
        <w:rPr>
          <w:spacing w:val="3"/>
        </w:rPr>
        <w:t xml:space="preserve">empreendimento prevê também </w:t>
      </w:r>
      <w:r>
        <w:t xml:space="preserve">a </w:t>
      </w:r>
      <w:r>
        <w:rPr>
          <w:spacing w:val="3"/>
        </w:rPr>
        <w:t xml:space="preserve">instalação </w:t>
      </w:r>
      <w:r>
        <w:rPr>
          <w:spacing w:val="1"/>
        </w:rPr>
        <w:t xml:space="preserve">de </w:t>
      </w:r>
      <w:r>
        <w:rPr>
          <w:spacing w:val="5"/>
        </w:rPr>
        <w:t xml:space="preserve">usinas </w:t>
      </w:r>
      <w:r>
        <w:rPr>
          <w:spacing w:val="22"/>
        </w:rPr>
        <w:t xml:space="preserve">siderúrgicas, </w:t>
      </w:r>
      <w:r>
        <w:rPr>
          <w:spacing w:val="17"/>
        </w:rPr>
        <w:t xml:space="preserve">polo </w:t>
      </w:r>
      <w:r>
        <w:rPr>
          <w:spacing w:val="22"/>
        </w:rPr>
        <w:t xml:space="preserve">metalmecânico, </w:t>
      </w:r>
      <w:r>
        <w:rPr>
          <w:spacing w:val="20"/>
        </w:rPr>
        <w:t xml:space="preserve">unidade </w:t>
      </w:r>
      <w:r>
        <w:rPr>
          <w:spacing w:val="11"/>
        </w:rPr>
        <w:t xml:space="preserve">de </w:t>
      </w:r>
      <w:r>
        <w:t xml:space="preserve">armazenamento e tratamento de petróleo, estaleiro, indústrias </w:t>
      </w:r>
      <w:r>
        <w:rPr>
          <w:spacing w:val="10"/>
        </w:rPr>
        <w:t>offshore, plant</w:t>
      </w:r>
      <w:r>
        <w:rPr>
          <w:spacing w:val="10"/>
        </w:rPr>
        <w:t xml:space="preserve">as </w:t>
      </w:r>
      <w:r>
        <w:rPr>
          <w:spacing w:val="5"/>
        </w:rPr>
        <w:t xml:space="preserve">de </w:t>
      </w:r>
      <w:r>
        <w:rPr>
          <w:spacing w:val="10"/>
        </w:rPr>
        <w:t xml:space="preserve">pelotização, cimenteiras, </w:t>
      </w:r>
      <w:r>
        <w:rPr>
          <w:spacing w:val="12"/>
        </w:rPr>
        <w:t xml:space="preserve">usina </w:t>
      </w:r>
      <w:r>
        <w:rPr>
          <w:spacing w:val="3"/>
        </w:rPr>
        <w:t xml:space="preserve">termoelétrica, indústrias </w:t>
      </w:r>
      <w:r>
        <w:rPr>
          <w:spacing w:val="1"/>
        </w:rPr>
        <w:t xml:space="preserve">de </w:t>
      </w:r>
      <w:r>
        <w:rPr>
          <w:spacing w:val="3"/>
        </w:rPr>
        <w:t xml:space="preserve">tecnologia </w:t>
      </w:r>
      <w:r>
        <w:rPr>
          <w:spacing w:val="1"/>
        </w:rPr>
        <w:t xml:space="preserve">da </w:t>
      </w:r>
      <w:r>
        <w:rPr>
          <w:spacing w:val="3"/>
        </w:rPr>
        <w:t xml:space="preserve">informação, </w:t>
      </w:r>
      <w:r>
        <w:rPr>
          <w:spacing w:val="5"/>
        </w:rPr>
        <w:t xml:space="preserve">um </w:t>
      </w:r>
      <w:r>
        <w:t xml:space="preserve">complexo de geração de energia, uma montadora, indústrias de autopeças e um polo de indústrias e serviços de apoio ao </w:t>
      </w:r>
      <w:r>
        <w:rPr>
          <w:spacing w:val="1"/>
        </w:rPr>
        <w:t xml:space="preserve">offshore </w:t>
      </w:r>
      <w:r>
        <w:t xml:space="preserve">e </w:t>
      </w:r>
      <w:r>
        <w:rPr>
          <w:spacing w:val="1"/>
        </w:rPr>
        <w:t xml:space="preserve">indústrias </w:t>
      </w:r>
      <w:r>
        <w:t xml:space="preserve">de </w:t>
      </w:r>
      <w:r>
        <w:rPr>
          <w:spacing w:val="1"/>
        </w:rPr>
        <w:t xml:space="preserve">tecnologia </w:t>
      </w:r>
      <w:r>
        <w:t xml:space="preserve">da </w:t>
      </w:r>
      <w:r>
        <w:rPr>
          <w:spacing w:val="1"/>
        </w:rPr>
        <w:t xml:space="preserve">informação, </w:t>
      </w:r>
      <w:r>
        <w:t xml:space="preserve">com </w:t>
      </w:r>
      <w:r>
        <w:rPr>
          <w:spacing w:val="2"/>
        </w:rPr>
        <w:t xml:space="preserve">um </w:t>
      </w:r>
      <w:r>
        <w:t>investimento conjunto de mais de US$ 40 bilhões e geração de</w:t>
      </w:r>
      <w:r>
        <w:rPr>
          <w:spacing w:val="13"/>
        </w:rPr>
        <w:t xml:space="preserve"> </w:t>
      </w:r>
      <w:r>
        <w:t>cerca</w:t>
      </w:r>
      <w:r>
        <w:rPr>
          <w:spacing w:val="13"/>
        </w:rPr>
        <w:t xml:space="preserve"> </w:t>
      </w:r>
      <w:r>
        <w:t>de</w:t>
      </w:r>
      <w:r>
        <w:rPr>
          <w:spacing w:val="13"/>
        </w:rPr>
        <w:t xml:space="preserve"> </w:t>
      </w:r>
      <w:r>
        <w:t>50</w:t>
      </w:r>
      <w:r>
        <w:rPr>
          <w:spacing w:val="13"/>
        </w:rPr>
        <w:t xml:space="preserve"> </w:t>
      </w:r>
      <w:r>
        <w:t>mil</w:t>
      </w:r>
      <w:r>
        <w:rPr>
          <w:spacing w:val="13"/>
        </w:rPr>
        <w:t xml:space="preserve"> </w:t>
      </w:r>
      <w:r>
        <w:t>empregos</w:t>
      </w:r>
      <w:r>
        <w:rPr>
          <w:spacing w:val="13"/>
        </w:rPr>
        <w:t xml:space="preserve"> </w:t>
      </w:r>
      <w:r>
        <w:t>na</w:t>
      </w:r>
      <w:r>
        <w:rPr>
          <w:spacing w:val="13"/>
        </w:rPr>
        <w:t xml:space="preserve"> </w:t>
      </w:r>
      <w:r>
        <w:t>região</w:t>
      </w:r>
      <w:r>
        <w:rPr>
          <w:spacing w:val="13"/>
        </w:rPr>
        <w:t xml:space="preserve"> </w:t>
      </w:r>
      <w:r>
        <w:t>(LLX,</w:t>
      </w:r>
      <w:r>
        <w:rPr>
          <w:spacing w:val="13"/>
        </w:rPr>
        <w:t xml:space="preserve"> </w:t>
      </w:r>
      <w:r>
        <w:t>2011).</w:t>
      </w:r>
    </w:p>
    <w:p w:rsidR="00D81F69" w:rsidRDefault="00330118">
      <w:pPr>
        <w:pStyle w:val="Corpodetexto"/>
        <w:spacing w:before="139" w:line="312" w:lineRule="auto"/>
        <w:ind w:right="74"/>
      </w:pPr>
      <w:r>
        <w:t xml:space="preserve">O empreendimento, no entanto, já está causando diversas alterações econômicas, ambientais, sociais e administrativas na região, </w:t>
      </w:r>
      <w:r>
        <w:t>com repercussão direta no cotidiano da população do município e entorno (KURY; REZENDE; PEDLOWSKI, 2010).</w:t>
      </w:r>
    </w:p>
    <w:p w:rsidR="00D81F69" w:rsidRDefault="00330118">
      <w:pPr>
        <w:pStyle w:val="Corpodetexto"/>
        <w:spacing w:before="135"/>
      </w:pPr>
      <w:r>
        <w:t>O supeporto começou a ser construído em 2007 (KURY;</w:t>
      </w:r>
    </w:p>
    <w:p w:rsidR="00D81F69" w:rsidRDefault="00330118">
      <w:pPr>
        <w:pStyle w:val="Corpodetexto"/>
        <w:spacing w:before="4" w:line="312" w:lineRule="auto"/>
        <w:ind w:right="212"/>
      </w:pPr>
      <w:r>
        <w:br w:type="column"/>
      </w:r>
      <w:r>
        <w:lastRenderedPageBreak/>
        <w:t>minério de ferro seja iniciada no segundo semestre de 2014 (BLOG DO COMPLEXO INDUSTRIAL DO SUPERP</w:t>
      </w:r>
      <w:r>
        <w:t>ORTO DO AÇU, 2013).</w:t>
      </w:r>
    </w:p>
    <w:p w:rsidR="00D81F69" w:rsidRDefault="00330118">
      <w:pPr>
        <w:pStyle w:val="Corpodetexto"/>
        <w:spacing w:before="133" w:line="312" w:lineRule="auto"/>
        <w:ind w:right="194"/>
      </w:pPr>
      <w:r>
        <w:t xml:space="preserve">O TX1 corresponderá aos terminais offshore, e abrigará nove berços, sendo quatro dedicados ao minério de ferro e cinco </w:t>
      </w:r>
      <w:r>
        <w:rPr>
          <w:spacing w:val="5"/>
        </w:rPr>
        <w:t xml:space="preserve">voltados </w:t>
      </w:r>
      <w:r>
        <w:t xml:space="preserve">à </w:t>
      </w:r>
      <w:r>
        <w:rPr>
          <w:spacing w:val="5"/>
        </w:rPr>
        <w:t xml:space="preserve">movimentação </w:t>
      </w:r>
      <w:r>
        <w:rPr>
          <w:spacing w:val="2"/>
        </w:rPr>
        <w:t xml:space="preserve">de </w:t>
      </w:r>
      <w:r>
        <w:rPr>
          <w:spacing w:val="3"/>
        </w:rPr>
        <w:t xml:space="preserve">até </w:t>
      </w:r>
      <w:r>
        <w:t xml:space="preserve">2 </w:t>
      </w:r>
      <w:r>
        <w:rPr>
          <w:spacing w:val="5"/>
        </w:rPr>
        <w:t xml:space="preserve">milhões </w:t>
      </w:r>
      <w:r>
        <w:rPr>
          <w:spacing w:val="2"/>
        </w:rPr>
        <w:t xml:space="preserve">de </w:t>
      </w:r>
      <w:r>
        <w:rPr>
          <w:spacing w:val="5"/>
        </w:rPr>
        <w:t>barris de</w:t>
      </w:r>
      <w:r>
        <w:rPr>
          <w:spacing w:val="61"/>
        </w:rPr>
        <w:t xml:space="preserve"> </w:t>
      </w:r>
      <w:r>
        <w:rPr>
          <w:spacing w:val="5"/>
        </w:rPr>
        <w:t xml:space="preserve">petróleo </w:t>
      </w:r>
      <w:r>
        <w:rPr>
          <w:spacing w:val="3"/>
        </w:rPr>
        <w:t xml:space="preserve">por dia </w:t>
      </w:r>
      <w:r>
        <w:rPr>
          <w:spacing w:val="5"/>
        </w:rPr>
        <w:t xml:space="preserve">(bpd). </w:t>
      </w:r>
      <w:r>
        <w:rPr>
          <w:spacing w:val="2"/>
        </w:rPr>
        <w:t xml:space="preserve">Já </w:t>
      </w:r>
      <w:r>
        <w:t xml:space="preserve">o </w:t>
      </w:r>
      <w:r>
        <w:rPr>
          <w:spacing w:val="5"/>
        </w:rPr>
        <w:t xml:space="preserve">TX2, terminal onshore, </w:t>
      </w:r>
      <w:r>
        <w:rPr>
          <w:spacing w:val="6"/>
        </w:rPr>
        <w:t xml:space="preserve">vai </w:t>
      </w:r>
      <w:r>
        <w:t>oferece</w:t>
      </w:r>
      <w:r>
        <w:t>r vantagens significativas para atividades de suporte às operações de exploração e produção (E&amp;P) de óleo e gás e dispor de toda a infraestrutura de um complexo industrial, onde empresas do setor poderão se instalar e funcionar de forma integrada e sinérgi</w:t>
      </w:r>
      <w:r>
        <w:t xml:space="preserve">ca, beneficiando-se de baixos custos </w:t>
      </w:r>
      <w:r>
        <w:rPr>
          <w:spacing w:val="1"/>
        </w:rPr>
        <w:t xml:space="preserve">logísticos. </w:t>
      </w:r>
      <w:r>
        <w:t xml:space="preserve">A </w:t>
      </w:r>
      <w:r>
        <w:rPr>
          <w:spacing w:val="1"/>
        </w:rPr>
        <w:t xml:space="preserve">Unidade </w:t>
      </w:r>
      <w:r>
        <w:t xml:space="preserve">de </w:t>
      </w:r>
      <w:r>
        <w:rPr>
          <w:spacing w:val="1"/>
        </w:rPr>
        <w:t xml:space="preserve">Tratamento </w:t>
      </w:r>
      <w:r>
        <w:t xml:space="preserve">de </w:t>
      </w:r>
      <w:r>
        <w:rPr>
          <w:spacing w:val="1"/>
        </w:rPr>
        <w:t xml:space="preserve">Petróleo (UTP) </w:t>
      </w:r>
      <w:r>
        <w:rPr>
          <w:spacing w:val="2"/>
        </w:rPr>
        <w:t xml:space="preserve">do </w:t>
      </w:r>
      <w:r>
        <w:t>superporto vai processar, em especial, o petróleo das Bacias de Campos, do Espírito Santo e parte da produção do pré-sal da Bacia de Santos (BA) (LLX,</w:t>
      </w:r>
      <w:r>
        <w:rPr>
          <w:spacing w:val="22"/>
        </w:rPr>
        <w:t xml:space="preserve"> </w:t>
      </w:r>
      <w:r>
        <w:t>2011).</w:t>
      </w:r>
    </w:p>
    <w:p w:rsidR="00D81F69" w:rsidRDefault="00330118">
      <w:pPr>
        <w:pStyle w:val="Corpodetexto"/>
        <w:spacing w:before="142" w:line="312" w:lineRule="auto"/>
        <w:ind w:right="192"/>
      </w:pPr>
      <w:r>
        <w:t>O TX</w:t>
      </w:r>
      <w:r>
        <w:t xml:space="preserve">2 permitirá ainda a atracação de navios de granéis sólidos, produtos siderúrgicos, carvão, ferro-gusa, escória, além de granéis líquidos, carga geral e veículos. Fora isso, vai ter uma área destinada a aluguel para empresas de apoio às atividades offshore </w:t>
      </w:r>
      <w:r>
        <w:t>de petróleo e gás. A área ficará de frente para o canal interno de águas abrigadas, totalizando 1,7 milhões m² (LLX, 2011).</w:t>
      </w:r>
    </w:p>
    <w:p w:rsidR="00D81F69" w:rsidRDefault="00330118">
      <w:pPr>
        <w:pStyle w:val="Corpodetexto"/>
        <w:spacing w:before="74" w:line="270" w:lineRule="atLeast"/>
        <w:ind w:right="191"/>
      </w:pPr>
      <w:r>
        <w:t xml:space="preserve">A escolha da região para a construção do superporto deve-se a diversos fatores, como: localização estratégica de São João da Barra; </w:t>
      </w:r>
      <w:r>
        <w:t>sua posição favorável para escoar a produção de minério de ferro do estado de Minas Gerais; proximidade com a área de exploração de petróleo e gás natural da Bacia de Campos e do Espírito Santo, o que permitirá ao Complexo alocar atividades de apoio ao set</w:t>
      </w:r>
      <w:r>
        <w:t>or petrolífero; ligação com a BR 101 e com a malha da Ferrovia Centro-Atlântica (FCA); acessibilidade ao Centro-Oeste do Brasil, servindo como alternativa para exportação de grãos, etc. (RODRIGUES; LEMOS, 2011).</w:t>
      </w:r>
    </w:p>
    <w:p w:rsidR="00D81F69" w:rsidRDefault="00D81F69">
      <w:pPr>
        <w:spacing w:line="270" w:lineRule="atLeast"/>
        <w:sectPr w:rsidR="00D81F69">
          <w:type w:val="continuous"/>
          <w:pgSz w:w="11900" w:h="16840"/>
          <w:pgMar w:top="720" w:right="500" w:bottom="280" w:left="620" w:header="720" w:footer="720" w:gutter="0"/>
          <w:cols w:num="2" w:space="720" w:equalWidth="0">
            <w:col w:w="5194" w:space="276"/>
            <w:col w:w="5310"/>
          </w:cols>
        </w:sectPr>
      </w:pPr>
    </w:p>
    <w:p w:rsidR="00D81F69" w:rsidRDefault="00D81F69">
      <w:pPr>
        <w:pStyle w:val="Corpodetexto"/>
        <w:spacing w:before="5"/>
        <w:ind w:left="0"/>
        <w:jc w:val="left"/>
        <w:rPr>
          <w:sz w:val="24"/>
        </w:rPr>
      </w:pPr>
    </w:p>
    <w:p w:rsidR="00D81F69" w:rsidRDefault="00330118">
      <w:pPr>
        <w:pStyle w:val="Corpodetexto"/>
        <w:spacing w:line="312" w:lineRule="auto"/>
        <w:ind w:right="52"/>
      </w:pPr>
      <w:r>
        <w:t>O minério de fer</w:t>
      </w:r>
      <w:r>
        <w:t>ro, que vai chegar ao superporto através de mineroduto ou ferrovia, poderá ser diretamente exportado ou alimentar as siderúrgicas do complexo. As siderúrgicas vão fornecer bobinas e outros produtos para metalúrgicas instaladas no polo metalomecânico. Estas</w:t>
      </w:r>
      <w:r>
        <w:t xml:space="preserve"> atenderão às indústrias e prestadores de serviços situados no canal escavado, que vão apoiar as operações de exploração e produção de óleo e gás (LLX, 2011).</w:t>
      </w:r>
    </w:p>
    <w:p w:rsidR="00D81F69" w:rsidRDefault="00330118">
      <w:pPr>
        <w:pStyle w:val="Corpodetexto"/>
        <w:spacing w:before="137" w:line="312" w:lineRule="auto"/>
        <w:ind w:right="53"/>
      </w:pPr>
      <w:r>
        <w:t>Já o carvão, necessário para o processo siderúrgico, vai chegar pelo porto. O carvão e o minério serão transformados em aço pelas siderúrgicas e exportados. A escória será utilizada como matéria prima para as cimenteiras. Estas vão receber o coque e produz</w:t>
      </w:r>
      <w:r>
        <w:t>ir o cimento que será vendido para o mercado interno. A escória excedente será enviada ao exterior (LLX, 2011).</w:t>
      </w:r>
    </w:p>
    <w:p w:rsidR="00D81F69" w:rsidRDefault="00330118">
      <w:pPr>
        <w:pStyle w:val="Corpodetexto"/>
        <w:spacing w:before="137" w:line="312" w:lineRule="auto"/>
        <w:ind w:right="52"/>
      </w:pPr>
      <w:r>
        <w:t xml:space="preserve">Desde o início das obras do superporto, o Grupo EBX vem negociando a instalação de empresas no condomínio industrial que será construído na sua </w:t>
      </w:r>
      <w:r>
        <w:t>área de retaguarda. O grupo ítalo-argentinoTechint, líder na produção de aço e derivados na América Latina, foi um dos que manifestaram interesse de ter uma siderúrgica no local, através de uma de suas holdings, a Ternium (MAPA DA INJUSTIÇA AMBIENTAL E SAÚ</w:t>
      </w:r>
      <w:r>
        <w:t>DE NO BRASIL, 2009; BRASIL MINERAL, 2010). No</w:t>
      </w:r>
    </w:p>
    <w:p w:rsidR="00D81F69" w:rsidRDefault="00330118">
      <w:pPr>
        <w:pStyle w:val="Corpodetexto"/>
        <w:spacing w:before="7" w:line="312" w:lineRule="auto"/>
        <w:ind w:right="50"/>
      </w:pPr>
      <w:r>
        <w:t>entanto, especula-se que, em 2013, a empresa tenha devolvido a área que esteve reservada para construção da siderúrgica. A empresa teria decidido comprar 22% do controle acionário da Usiminas para abastecer mai</w:t>
      </w:r>
      <w:r>
        <w:t>s rapidamente seus laminadores no México e EUA, que estavam trabalhando a meia carga (MORAES, 2013).</w:t>
      </w:r>
    </w:p>
    <w:p w:rsidR="00D81F69" w:rsidRDefault="00330118">
      <w:pPr>
        <w:pStyle w:val="Corpodetexto"/>
        <w:spacing w:before="136" w:line="312" w:lineRule="auto"/>
        <w:ind w:right="44"/>
      </w:pPr>
      <w:r>
        <w:t>De acordo com o blog que a LLX criou em 2013 dedicado ao empreendimento, as empresas NOV, OSX e Anglo American já começaram a construção de unidades no complexo, e outras, como V&amp;M, Intermoor, GE, MPX, Asco, MFX, Wärtsilä e Ternium, já assinaram contrato e</w:t>
      </w:r>
      <w:r>
        <w:t xml:space="preserve"> devem começar obras em breve (BLOG DO COMPLEXO INDUSTRIAL DO SUPERPORTO DO AÇU, 2013). </w:t>
      </w:r>
    </w:p>
    <w:p w:rsidR="00D81F69" w:rsidRDefault="00330118">
      <w:pPr>
        <w:pStyle w:val="Corpodetexto"/>
        <w:spacing w:before="136" w:line="312" w:lineRule="auto"/>
        <w:ind w:right="41"/>
      </w:pPr>
      <w:r>
        <w:t>No entanto, apesar das várias vantagens econômicas apresentadas pelo projeto do superporto, que é tido como capaz de tirar São João da Barra e o norte fluminense da po</w:t>
      </w:r>
      <w:r>
        <w:t>breza, atrair investimentos industriais estrangeiros para a região e reverter o processo de êxodo das plantas industriais do Rio de Janeiro para outros estados do Sul e Nordeste (MAPA DA INJUSTIÇA E SAÙDE AMBIENTAL NO BRASIL,</w:t>
      </w:r>
    </w:p>
    <w:p w:rsidR="00D81F69" w:rsidRDefault="00330118">
      <w:pPr>
        <w:pStyle w:val="Corpodetexto"/>
        <w:spacing w:before="7" w:line="312" w:lineRule="auto"/>
        <w:ind w:right="38"/>
      </w:pPr>
      <w:r>
        <w:rPr>
          <w:spacing w:val="3"/>
        </w:rPr>
        <w:t xml:space="preserve">2009), </w:t>
      </w:r>
      <w:r>
        <w:t xml:space="preserve">o </w:t>
      </w:r>
      <w:r>
        <w:rPr>
          <w:spacing w:val="3"/>
        </w:rPr>
        <w:t xml:space="preserve">empreendimento </w:t>
      </w:r>
      <w:r>
        <w:rPr>
          <w:spacing w:val="2"/>
        </w:rPr>
        <w:t xml:space="preserve">pode </w:t>
      </w:r>
      <w:r>
        <w:rPr>
          <w:spacing w:val="3"/>
        </w:rPr>
        <w:t>a</w:t>
      </w:r>
      <w:r>
        <w:rPr>
          <w:spacing w:val="3"/>
        </w:rPr>
        <w:t xml:space="preserve">fetar </w:t>
      </w:r>
      <w:r>
        <w:rPr>
          <w:spacing w:val="2"/>
        </w:rPr>
        <w:t xml:space="preserve">não </w:t>
      </w:r>
      <w:r>
        <w:rPr>
          <w:spacing w:val="1"/>
        </w:rPr>
        <w:t xml:space="preserve">só </w:t>
      </w:r>
      <w:r>
        <w:t xml:space="preserve">o </w:t>
      </w:r>
      <w:r>
        <w:rPr>
          <w:spacing w:val="5"/>
        </w:rPr>
        <w:t xml:space="preserve">ambiente, </w:t>
      </w:r>
      <w:r>
        <w:rPr>
          <w:spacing w:val="3"/>
        </w:rPr>
        <w:t xml:space="preserve">mas </w:t>
      </w:r>
      <w:r>
        <w:t xml:space="preserve">a </w:t>
      </w:r>
      <w:r>
        <w:rPr>
          <w:spacing w:val="5"/>
        </w:rPr>
        <w:t xml:space="preserve">dinâmica socioespacial </w:t>
      </w:r>
      <w:r>
        <w:rPr>
          <w:spacing w:val="3"/>
        </w:rPr>
        <w:t xml:space="preserve">dos </w:t>
      </w:r>
      <w:r>
        <w:rPr>
          <w:spacing w:val="5"/>
        </w:rPr>
        <w:t xml:space="preserve">municípios </w:t>
      </w:r>
      <w:r>
        <w:rPr>
          <w:spacing w:val="2"/>
        </w:rPr>
        <w:t xml:space="preserve">da </w:t>
      </w:r>
      <w:r>
        <w:rPr>
          <w:spacing w:val="5"/>
        </w:rPr>
        <w:t>região</w:t>
      </w:r>
      <w:r>
        <w:rPr>
          <w:spacing w:val="61"/>
        </w:rPr>
        <w:t xml:space="preserve"> </w:t>
      </w:r>
      <w:r>
        <w:rPr>
          <w:spacing w:val="3"/>
        </w:rPr>
        <w:t xml:space="preserve">(COUTINHO, </w:t>
      </w:r>
      <w:r>
        <w:rPr>
          <w:spacing w:val="2"/>
        </w:rPr>
        <w:t xml:space="preserve">2009 apud </w:t>
      </w:r>
      <w:r>
        <w:rPr>
          <w:spacing w:val="3"/>
        </w:rPr>
        <w:t xml:space="preserve">KURY; REZENDE; </w:t>
      </w:r>
      <w:r>
        <w:rPr>
          <w:spacing w:val="5"/>
        </w:rPr>
        <w:t>PEDLOWSKI, 2010).</w:t>
      </w:r>
    </w:p>
    <w:p w:rsidR="00D81F69" w:rsidRDefault="00330118">
      <w:pPr>
        <w:pStyle w:val="Corpodetexto"/>
        <w:spacing w:before="133" w:line="312" w:lineRule="auto"/>
        <w:ind w:right="39"/>
      </w:pPr>
      <w:r>
        <w:t xml:space="preserve">Para começar, as atividades do complexo poderão afetar o ecossistema do entorno, formado por manguezais, restingas, lagoas </w:t>
      </w:r>
      <w:r>
        <w:t>costeiras e remanescentes de Mata Atlântica, e, por consequência, a vida das comunidades locais (KURY et.al, 2010 apud KURY; REZENDE; PEDLOWSKI, 2010), que</w:t>
      </w:r>
    </w:p>
    <w:p w:rsidR="00D81F69" w:rsidRDefault="00330118">
      <w:pPr>
        <w:pStyle w:val="Corpodetexto"/>
        <w:spacing w:before="5"/>
      </w:pPr>
      <w:r>
        <w:t>vivem da pesca e de pequenas culturas (VIDIGAL, 2010 apud</w:t>
      </w:r>
    </w:p>
    <w:p w:rsidR="00D81F69" w:rsidRDefault="00330118">
      <w:pPr>
        <w:pStyle w:val="Corpodetexto"/>
        <w:spacing w:before="81" w:line="312" w:lineRule="auto"/>
        <w:ind w:right="193"/>
      </w:pPr>
      <w:r>
        <w:br w:type="column"/>
      </w:r>
      <w:r>
        <w:lastRenderedPageBreak/>
        <w:t>KURY; REZENDE; PEDLOWSKI, 2010). A locali</w:t>
      </w:r>
      <w:r>
        <w:t xml:space="preserve">dade do Açu, por exemplo, já vem sofrendo rápido processo de valorização e </w:t>
      </w:r>
      <w:r>
        <w:rPr>
          <w:spacing w:val="17"/>
        </w:rPr>
        <w:t xml:space="preserve">concentração </w:t>
      </w:r>
      <w:r>
        <w:rPr>
          <w:spacing w:val="16"/>
        </w:rPr>
        <w:t xml:space="preserve">fundiária </w:t>
      </w:r>
      <w:r>
        <w:rPr>
          <w:spacing w:val="15"/>
        </w:rPr>
        <w:t xml:space="preserve">devido </w:t>
      </w:r>
      <w:r>
        <w:t xml:space="preserve">à </w:t>
      </w:r>
      <w:r>
        <w:rPr>
          <w:spacing w:val="17"/>
        </w:rPr>
        <w:t xml:space="preserve">influência </w:t>
      </w:r>
      <w:r>
        <w:rPr>
          <w:spacing w:val="10"/>
        </w:rPr>
        <w:t xml:space="preserve">do </w:t>
      </w:r>
      <w:r>
        <w:t>empreendimento, o que se reflete no aumento do preço dos aluguéis</w:t>
      </w:r>
      <w:r>
        <w:rPr>
          <w:spacing w:val="18"/>
        </w:rPr>
        <w:t xml:space="preserve"> </w:t>
      </w:r>
      <w:r>
        <w:t>e</w:t>
      </w:r>
      <w:r>
        <w:rPr>
          <w:spacing w:val="18"/>
        </w:rPr>
        <w:t xml:space="preserve"> </w:t>
      </w:r>
      <w:r>
        <w:t>do</w:t>
      </w:r>
      <w:r>
        <w:rPr>
          <w:spacing w:val="18"/>
        </w:rPr>
        <w:t xml:space="preserve"> </w:t>
      </w:r>
      <w:r>
        <w:t>custo</w:t>
      </w:r>
      <w:r>
        <w:rPr>
          <w:spacing w:val="18"/>
        </w:rPr>
        <w:t xml:space="preserve"> </w:t>
      </w:r>
      <w:r>
        <w:t>de</w:t>
      </w:r>
      <w:r>
        <w:rPr>
          <w:spacing w:val="18"/>
        </w:rPr>
        <w:t xml:space="preserve"> </w:t>
      </w:r>
      <w:r>
        <w:t>vida</w:t>
      </w:r>
      <w:r>
        <w:rPr>
          <w:spacing w:val="18"/>
        </w:rPr>
        <w:t xml:space="preserve"> </w:t>
      </w:r>
      <w:r>
        <w:t>(RODRIGUES;</w:t>
      </w:r>
      <w:r>
        <w:rPr>
          <w:spacing w:val="18"/>
        </w:rPr>
        <w:t xml:space="preserve"> </w:t>
      </w:r>
      <w:r>
        <w:t>LEMOS,</w:t>
      </w:r>
      <w:r>
        <w:rPr>
          <w:spacing w:val="18"/>
        </w:rPr>
        <w:t xml:space="preserve"> </w:t>
      </w:r>
      <w:r>
        <w:t>2011).</w:t>
      </w:r>
    </w:p>
    <w:p w:rsidR="00D81F69" w:rsidRDefault="00330118">
      <w:pPr>
        <w:pStyle w:val="Corpodetexto"/>
        <w:spacing w:before="134" w:line="312" w:lineRule="auto"/>
        <w:ind w:right="193"/>
      </w:pPr>
      <w:r>
        <w:t>Além disso, a alta ofeta</w:t>
      </w:r>
      <w:r>
        <w:t xml:space="preserve"> de emprego já vem gerando aumento populacional e, como consequência, crescimento da demanda por bens, serviços e infraestrutura básica. A previsão é de que a população de São João da Barra salte (COUTINHO, 2009 apud KURY; REZENDE; PEDLOWSKI, 2010) de 32.7</w:t>
      </w:r>
      <w:r>
        <w:t>47</w:t>
      </w:r>
    </w:p>
    <w:p w:rsidR="00D81F69" w:rsidRDefault="00330118">
      <w:pPr>
        <w:pStyle w:val="Corpodetexto"/>
        <w:spacing w:before="5" w:line="312" w:lineRule="auto"/>
        <w:ind w:right="195"/>
      </w:pPr>
      <w:r>
        <w:t>habitantes (IBGE, 2010) para 200 mil até 2025 (COUTINHO, 2009 apud KURY; REZENDE; PEDLOWSKI, 2010). Porém, o</w:t>
      </w:r>
    </w:p>
    <w:p w:rsidR="00D81F69" w:rsidRDefault="00330118">
      <w:pPr>
        <w:pStyle w:val="Corpodetexto"/>
        <w:spacing w:before="2" w:line="312" w:lineRule="auto"/>
        <w:ind w:right="176"/>
      </w:pPr>
      <w:r>
        <w:t xml:space="preserve">receio é que as populações afetadas pelo empreendimento não estejam suficentemente cientes e preparadas para enfrentar as mudanças geradas pela </w:t>
      </w:r>
      <w:r>
        <w:t xml:space="preserve">construção e funcionamento do superporto (KURY; REZENDE; PEDLOWSKI, 2010). </w:t>
      </w:r>
    </w:p>
    <w:p w:rsidR="00D81F69" w:rsidRDefault="00330118">
      <w:pPr>
        <w:pStyle w:val="Corpodetexto"/>
        <w:spacing w:before="135" w:line="312" w:lineRule="auto"/>
        <w:ind w:right="193"/>
      </w:pPr>
      <w:r>
        <w:t>Outra questão controversa foi o decreto do governo do estado do Rio de Janeiro, em junho de 2009, desapropriando uma área de 7.200 hectares, no 5º distrito de São João da Barra, at</w:t>
      </w:r>
      <w:r>
        <w:t>ravés da Companhia de Desenvolvimento Industrial do Estado do Rio de Janeiro (Codin). Na área, pretende-se construir o condomínio industrial do complexo. No entanto, tanto esta inciativa, quanto o porto são empreendimentos que estão sendo viabilizados e ge</w:t>
      </w:r>
      <w:r>
        <w:t>ridos com recursos privados, e a desapropriação estaria sendo realizada com recursos de uma autarquia pública. Além disso, as comunidades se queixam da forma como vem ocorrendo o processo de desapropriação. A medida provocou reação dos moradores das locali</w:t>
      </w:r>
      <w:r>
        <w:t>dades de Mato Escuro e Água Preta (MAPA DA INJUSTIÇA E SAÚDE AMBIENTAL NO BRASIL, 2009).</w:t>
      </w:r>
    </w:p>
    <w:p w:rsidR="00D81F69" w:rsidRDefault="00330118">
      <w:pPr>
        <w:pStyle w:val="Corpodetexto"/>
        <w:spacing w:before="142" w:line="312" w:lineRule="auto"/>
        <w:ind w:right="210"/>
      </w:pPr>
      <w:r>
        <w:t>De acordo com a Associação dos Produtores Rurais e Imóveis da região, as pessoas que tiveram propriedades desapropriadas preferem indenização a ir para a Vila da Terra, conjunto de casas que está sendo construído pela LLX (LUNA, 2012).</w:t>
      </w:r>
    </w:p>
    <w:p w:rsidR="00D81F69" w:rsidRDefault="00330118">
      <w:pPr>
        <w:pStyle w:val="Corpodetexto"/>
        <w:spacing w:before="135" w:line="312" w:lineRule="auto"/>
        <w:ind w:right="207"/>
      </w:pPr>
      <w:r>
        <w:t>Ainda em 2009, a Com</w:t>
      </w:r>
      <w:r>
        <w:t xml:space="preserve">issão Estadual de Controle Ambiental </w:t>
      </w:r>
      <w:r>
        <w:rPr>
          <w:spacing w:val="3"/>
        </w:rPr>
        <w:t xml:space="preserve">(Ceca) anunciou </w:t>
      </w:r>
      <w:r>
        <w:t xml:space="preserve">a </w:t>
      </w:r>
      <w:r>
        <w:rPr>
          <w:spacing w:val="3"/>
        </w:rPr>
        <w:t xml:space="preserve">concessão </w:t>
      </w:r>
      <w:r>
        <w:rPr>
          <w:spacing w:val="1"/>
        </w:rPr>
        <w:t xml:space="preserve">da </w:t>
      </w:r>
      <w:r>
        <w:rPr>
          <w:spacing w:val="3"/>
        </w:rPr>
        <w:t xml:space="preserve">licença prévia </w:t>
      </w:r>
      <w:r>
        <w:rPr>
          <w:spacing w:val="1"/>
        </w:rPr>
        <w:t xml:space="preserve">da </w:t>
      </w:r>
      <w:r>
        <w:rPr>
          <w:spacing w:val="5"/>
        </w:rPr>
        <w:t xml:space="preserve">Usina </w:t>
      </w:r>
      <w:r>
        <w:rPr>
          <w:spacing w:val="6"/>
        </w:rPr>
        <w:t xml:space="preserve">Termoelétrica </w:t>
      </w:r>
      <w:r>
        <w:rPr>
          <w:spacing w:val="5"/>
        </w:rPr>
        <w:t xml:space="preserve">Porto </w:t>
      </w:r>
      <w:r>
        <w:rPr>
          <w:spacing w:val="3"/>
        </w:rPr>
        <w:t xml:space="preserve">do </w:t>
      </w:r>
      <w:r>
        <w:rPr>
          <w:spacing w:val="5"/>
        </w:rPr>
        <w:t xml:space="preserve">Açu, que vai </w:t>
      </w:r>
      <w:r>
        <w:rPr>
          <w:spacing w:val="6"/>
        </w:rPr>
        <w:t xml:space="preserve">garantir </w:t>
      </w:r>
      <w:r>
        <w:t xml:space="preserve">a </w:t>
      </w:r>
      <w:r>
        <w:rPr>
          <w:spacing w:val="7"/>
        </w:rPr>
        <w:t xml:space="preserve">energia </w:t>
      </w:r>
      <w:r>
        <w:rPr>
          <w:spacing w:val="6"/>
        </w:rPr>
        <w:t xml:space="preserve">necessária </w:t>
      </w:r>
      <w:r>
        <w:rPr>
          <w:spacing w:val="3"/>
        </w:rPr>
        <w:t xml:space="preserve">ao </w:t>
      </w:r>
      <w:r>
        <w:rPr>
          <w:spacing w:val="6"/>
        </w:rPr>
        <w:t xml:space="preserve">funcionamento </w:t>
      </w:r>
      <w:r>
        <w:rPr>
          <w:spacing w:val="5"/>
        </w:rPr>
        <w:t xml:space="preserve">dos </w:t>
      </w:r>
      <w:r>
        <w:rPr>
          <w:spacing w:val="6"/>
        </w:rPr>
        <w:t xml:space="preserve">empreendimentos </w:t>
      </w:r>
      <w:r>
        <w:rPr>
          <w:spacing w:val="7"/>
        </w:rPr>
        <w:t xml:space="preserve">ali </w:t>
      </w:r>
      <w:r>
        <w:rPr>
          <w:spacing w:val="5"/>
        </w:rPr>
        <w:t xml:space="preserve">instalados. </w:t>
      </w:r>
      <w:r>
        <w:rPr>
          <w:spacing w:val="2"/>
        </w:rPr>
        <w:t xml:space="preserve">No </w:t>
      </w:r>
      <w:r>
        <w:rPr>
          <w:spacing w:val="3"/>
        </w:rPr>
        <w:t xml:space="preserve">mesmo ano, </w:t>
      </w:r>
      <w:r>
        <w:t xml:space="preserve">o </w:t>
      </w:r>
      <w:r>
        <w:rPr>
          <w:spacing w:val="5"/>
        </w:rPr>
        <w:t>Ministério Público Federal</w:t>
      </w:r>
      <w:r>
        <w:rPr>
          <w:spacing w:val="61"/>
        </w:rPr>
        <w:t xml:space="preserve"> </w:t>
      </w:r>
      <w:r>
        <w:t>(MPF) ajuizou ação civil pública para impedir a continuidade das obras de instalação do Mineroduto Minas-Rio (MAPA DA INJUSTIÇA E SAÚDE AMBIENTAL NO BRASIL, 2009).</w:t>
      </w:r>
    </w:p>
    <w:p w:rsidR="00D81F69" w:rsidRDefault="00330118">
      <w:pPr>
        <w:pStyle w:val="Corpodetexto"/>
        <w:spacing w:before="137" w:line="312" w:lineRule="auto"/>
        <w:ind w:right="195"/>
      </w:pPr>
      <w:r>
        <w:t>De acordo com o MPF, o fracionamento na licença ambiental do empreendimento ocorreu para dri</w:t>
      </w:r>
      <w:r>
        <w:t xml:space="preserve">blar entraves ambientais </w:t>
      </w:r>
      <w:r>
        <w:rPr>
          <w:spacing w:val="6"/>
        </w:rPr>
        <w:t xml:space="preserve">que </w:t>
      </w:r>
      <w:r>
        <w:rPr>
          <w:spacing w:val="8"/>
        </w:rPr>
        <w:t xml:space="preserve">teriam </w:t>
      </w:r>
      <w:r>
        <w:rPr>
          <w:spacing w:val="5"/>
        </w:rPr>
        <w:t xml:space="preserve">de </w:t>
      </w:r>
      <w:r>
        <w:rPr>
          <w:spacing w:val="6"/>
        </w:rPr>
        <w:t xml:space="preserve">ser </w:t>
      </w:r>
      <w:r>
        <w:rPr>
          <w:spacing w:val="10"/>
        </w:rPr>
        <w:t xml:space="preserve">enfrentados </w:t>
      </w:r>
      <w:r>
        <w:rPr>
          <w:spacing w:val="6"/>
        </w:rPr>
        <w:t xml:space="preserve">num </w:t>
      </w:r>
      <w:r>
        <w:rPr>
          <w:spacing w:val="10"/>
        </w:rPr>
        <w:t>procedimento de</w:t>
      </w:r>
      <w:r>
        <w:rPr>
          <w:spacing w:val="71"/>
        </w:rPr>
        <w:t xml:space="preserve"> </w:t>
      </w:r>
      <w:r>
        <w:t>licenciamento único. O MPF também verificou que o projeto da iniciativa foi licenciado sem o traçado do mineroduto, e que ele atingiria vários sítios históricos e arqueológicos ao l</w:t>
      </w:r>
      <w:r>
        <w:t xml:space="preserve">ongo do caminho, com impactos sobre comunidades </w:t>
      </w:r>
      <w:r>
        <w:rPr>
          <w:spacing w:val="1"/>
        </w:rPr>
        <w:t xml:space="preserve">tradicionais </w:t>
      </w:r>
      <w:r>
        <w:t>(MAPA DA INJUSTIÇA E SAÚDE AMBIENTAL NO BRASIL, 2009).</w:t>
      </w:r>
    </w:p>
    <w:p w:rsidR="00D81F69" w:rsidRDefault="00330118">
      <w:pPr>
        <w:pStyle w:val="Corpodetexto"/>
        <w:spacing w:before="139"/>
      </w:pPr>
      <w:r>
        <w:t>Também em 2009, a procuradoria do MPF no Rio de Janeiro</w:t>
      </w:r>
    </w:p>
    <w:p w:rsidR="00D81F69" w:rsidRDefault="00D81F69">
      <w:pPr>
        <w:sectPr w:rsidR="00D81F69">
          <w:pgSz w:w="11900" w:h="16840"/>
          <w:pgMar w:top="740" w:right="500" w:bottom="640" w:left="620" w:header="0" w:footer="402" w:gutter="0"/>
          <w:cols w:num="2" w:space="720" w:equalWidth="0">
            <w:col w:w="5157" w:space="313"/>
            <w:col w:w="5310"/>
          </w:cols>
        </w:sectPr>
      </w:pPr>
    </w:p>
    <w:p w:rsidR="00D81F69" w:rsidRDefault="00330118">
      <w:pPr>
        <w:pStyle w:val="Corpodetexto"/>
        <w:spacing w:before="81" w:line="312" w:lineRule="auto"/>
        <w:ind w:right="50"/>
      </w:pPr>
      <w:r>
        <w:rPr>
          <w:spacing w:val="7"/>
        </w:rPr>
        <w:lastRenderedPageBreak/>
        <w:t xml:space="preserve">ajuizou </w:t>
      </w:r>
      <w:r>
        <w:rPr>
          <w:spacing w:val="6"/>
        </w:rPr>
        <w:t xml:space="preserve">ação </w:t>
      </w:r>
      <w:r>
        <w:rPr>
          <w:spacing w:val="7"/>
        </w:rPr>
        <w:t xml:space="preserve">similar pedindo liminar </w:t>
      </w:r>
      <w:r>
        <w:rPr>
          <w:spacing w:val="6"/>
        </w:rPr>
        <w:t xml:space="preserve">para </w:t>
      </w:r>
      <w:r>
        <w:rPr>
          <w:spacing w:val="5"/>
        </w:rPr>
        <w:t xml:space="preserve">que </w:t>
      </w:r>
      <w:r>
        <w:rPr>
          <w:spacing w:val="10"/>
        </w:rPr>
        <w:t xml:space="preserve">fossem </w:t>
      </w:r>
      <w:r>
        <w:t>pa</w:t>
      </w:r>
      <w:r>
        <w:t xml:space="preserve">ralisadas as obras do Porto do Açu. Para tanto, alegou o fato de o empreendimento não ter sido licitado, de a cessão da área para o porto ter sido indevida e de a licença ambiental </w:t>
      </w:r>
      <w:r>
        <w:rPr>
          <w:spacing w:val="2"/>
        </w:rPr>
        <w:t xml:space="preserve">dada </w:t>
      </w:r>
      <w:r>
        <w:rPr>
          <w:spacing w:val="1"/>
        </w:rPr>
        <w:t xml:space="preserve">ao </w:t>
      </w:r>
      <w:r>
        <w:rPr>
          <w:spacing w:val="3"/>
        </w:rPr>
        <w:t xml:space="preserve">empreendimento </w:t>
      </w:r>
      <w:r>
        <w:rPr>
          <w:spacing w:val="2"/>
        </w:rPr>
        <w:t xml:space="preserve">ter </w:t>
      </w:r>
      <w:r>
        <w:rPr>
          <w:spacing w:val="3"/>
        </w:rPr>
        <w:t xml:space="preserve">ocorrido </w:t>
      </w:r>
      <w:r>
        <w:rPr>
          <w:spacing w:val="2"/>
        </w:rPr>
        <w:t xml:space="preserve">sem </w:t>
      </w:r>
      <w:r>
        <w:rPr>
          <w:spacing w:val="3"/>
        </w:rPr>
        <w:t xml:space="preserve">aprovação </w:t>
      </w:r>
      <w:r>
        <w:rPr>
          <w:spacing w:val="5"/>
        </w:rPr>
        <w:t xml:space="preserve">do </w:t>
      </w:r>
      <w:r>
        <w:t>Estudo de Impacto Ambi</w:t>
      </w:r>
      <w:r>
        <w:t>ental (EIA) (MAPA DA INJUSTIÇA E SAÚDE AMBIENTAL NO BRASIL,</w:t>
      </w:r>
      <w:r>
        <w:rPr>
          <w:spacing w:val="25"/>
        </w:rPr>
        <w:t xml:space="preserve"> </w:t>
      </w:r>
      <w:r>
        <w:t>2009).</w:t>
      </w:r>
    </w:p>
    <w:p w:rsidR="00D81F69" w:rsidRDefault="00330118">
      <w:pPr>
        <w:pStyle w:val="Corpodetexto"/>
        <w:spacing w:before="136" w:line="312" w:lineRule="auto"/>
        <w:ind w:right="57"/>
      </w:pPr>
      <w:r>
        <w:t>Em dezembro de 2011, o MPF ajuizou nova ação, desta vez alegando que a desapropriação de terras para instalação do distrito industrial do superporto estava sendo feita de uma forma que lemb</w:t>
      </w:r>
      <w:r>
        <w:t>rava atos de milícia. No início de 2012, o Conselho Estadual de Direitos Humanos do Estado do Rio de Janeiro, formado por órgãos governamentais e da sociedade civil, começou a investigar falhas e irregularidades na questão da desapropriação (BATISTA, 2012)</w:t>
      </w:r>
      <w:r>
        <w:t>.</w:t>
      </w:r>
    </w:p>
    <w:p w:rsidR="00D81F69" w:rsidRDefault="00330118">
      <w:pPr>
        <w:pStyle w:val="Corpodetexto"/>
        <w:spacing w:before="138" w:line="312" w:lineRule="auto"/>
        <w:ind w:right="48"/>
      </w:pPr>
      <w:r>
        <w:t>Em fevereiro de 2012, os operários da obra de construção do superporto paralisaram seus serviços, reivindicando o pagamento de domingos trabalhados e o total de horas gastas no deslocamento de suas casas até o canteiro de obras. Além disso, pedem adicion</w:t>
      </w:r>
      <w:r>
        <w:t>ais de insalubridade e periculosidade. De acordo com a LLX, a empresa exige que todas as prestadoras de serviço do grupo EBX cumpram rigorosamente todas as normas e determinações da legislação trabalhista brasileira (R7, 2012).</w:t>
      </w:r>
    </w:p>
    <w:p w:rsidR="00D81F69" w:rsidRDefault="00330118">
      <w:pPr>
        <w:pStyle w:val="Corpodetexto"/>
        <w:spacing w:before="138" w:line="312" w:lineRule="auto"/>
        <w:ind w:right="44"/>
      </w:pPr>
      <w:r>
        <w:t>Em 2013, agricultores desapr</w:t>
      </w:r>
      <w:r>
        <w:t xml:space="preserve">opriados decidiram, através de advogado, entrar com petição no Superior Tribunal de Justiça </w:t>
      </w:r>
      <w:r>
        <w:rPr>
          <w:spacing w:val="15"/>
        </w:rPr>
        <w:t xml:space="preserve">(STJ), </w:t>
      </w:r>
      <w:r>
        <w:rPr>
          <w:spacing w:val="16"/>
        </w:rPr>
        <w:t xml:space="preserve">alegando </w:t>
      </w:r>
      <w:r>
        <w:rPr>
          <w:spacing w:val="17"/>
        </w:rPr>
        <w:t xml:space="preserve">irregularidades </w:t>
      </w:r>
      <w:r>
        <w:rPr>
          <w:spacing w:val="10"/>
        </w:rPr>
        <w:t xml:space="preserve">no </w:t>
      </w:r>
      <w:r>
        <w:rPr>
          <w:spacing w:val="16"/>
        </w:rPr>
        <w:t xml:space="preserve">processo </w:t>
      </w:r>
      <w:r>
        <w:rPr>
          <w:spacing w:val="10"/>
        </w:rPr>
        <w:t xml:space="preserve">de </w:t>
      </w:r>
      <w:r>
        <w:rPr>
          <w:spacing w:val="1"/>
        </w:rPr>
        <w:t xml:space="preserve">desapropriação. </w:t>
      </w:r>
      <w:r>
        <w:t xml:space="preserve">Os </w:t>
      </w:r>
      <w:r>
        <w:rPr>
          <w:spacing w:val="1"/>
        </w:rPr>
        <w:t xml:space="preserve">moradores queixam-se ainda </w:t>
      </w:r>
      <w:r>
        <w:t xml:space="preserve">da </w:t>
      </w:r>
      <w:r>
        <w:rPr>
          <w:spacing w:val="2"/>
        </w:rPr>
        <w:t xml:space="preserve">forma como são </w:t>
      </w:r>
      <w:r>
        <w:rPr>
          <w:spacing w:val="3"/>
        </w:rPr>
        <w:t xml:space="preserve">retirados </w:t>
      </w:r>
      <w:r>
        <w:rPr>
          <w:spacing w:val="1"/>
        </w:rPr>
        <w:t xml:space="preserve">de </w:t>
      </w:r>
      <w:r>
        <w:rPr>
          <w:spacing w:val="2"/>
        </w:rPr>
        <w:t xml:space="preserve">suas </w:t>
      </w:r>
      <w:r>
        <w:rPr>
          <w:spacing w:val="3"/>
        </w:rPr>
        <w:t xml:space="preserve">casas. Segundo eles, </w:t>
      </w:r>
      <w:r>
        <w:rPr>
          <w:spacing w:val="2"/>
        </w:rPr>
        <w:t xml:space="preserve">não </w:t>
      </w:r>
      <w:r>
        <w:rPr>
          <w:spacing w:val="5"/>
        </w:rPr>
        <w:t xml:space="preserve">há </w:t>
      </w:r>
      <w:r>
        <w:rPr>
          <w:spacing w:val="8"/>
        </w:rPr>
        <w:t>negocia</w:t>
      </w:r>
      <w:r>
        <w:rPr>
          <w:spacing w:val="8"/>
        </w:rPr>
        <w:t xml:space="preserve">ção: </w:t>
      </w:r>
      <w:r>
        <w:rPr>
          <w:spacing w:val="6"/>
        </w:rPr>
        <w:t xml:space="preserve">caso </w:t>
      </w:r>
      <w:r>
        <w:rPr>
          <w:spacing w:val="5"/>
        </w:rPr>
        <w:t xml:space="preserve">não </w:t>
      </w:r>
      <w:r>
        <w:rPr>
          <w:spacing w:val="7"/>
        </w:rPr>
        <w:t xml:space="preserve">aceitem </w:t>
      </w:r>
      <w:r>
        <w:t xml:space="preserve">o </w:t>
      </w:r>
      <w:r>
        <w:rPr>
          <w:spacing w:val="7"/>
        </w:rPr>
        <w:t xml:space="preserve">valor oferecido </w:t>
      </w:r>
      <w:r>
        <w:rPr>
          <w:spacing w:val="10"/>
        </w:rPr>
        <w:t xml:space="preserve">pela </w:t>
      </w:r>
      <w:r>
        <w:t xml:space="preserve">empresa, têm de recorrer à Justiça. Muitos sequer receberam a </w:t>
      </w:r>
      <w:r>
        <w:rPr>
          <w:spacing w:val="5"/>
        </w:rPr>
        <w:t xml:space="preserve">indenização </w:t>
      </w:r>
      <w:r>
        <w:t xml:space="preserve">e </w:t>
      </w:r>
      <w:r>
        <w:rPr>
          <w:spacing w:val="3"/>
        </w:rPr>
        <w:t xml:space="preserve">estão </w:t>
      </w:r>
      <w:r>
        <w:rPr>
          <w:spacing w:val="5"/>
        </w:rPr>
        <w:t>enfrentando diversas dificuldades</w:t>
      </w:r>
      <w:r>
        <w:rPr>
          <w:spacing w:val="61"/>
        </w:rPr>
        <w:t xml:space="preserve"> </w:t>
      </w:r>
      <w:r>
        <w:rPr>
          <w:spacing w:val="5"/>
        </w:rPr>
        <w:t>(FREITAS, 2013).</w:t>
      </w:r>
    </w:p>
    <w:p w:rsidR="00D81F69" w:rsidRDefault="00330118">
      <w:pPr>
        <w:pStyle w:val="Corpodetexto"/>
        <w:spacing w:before="138" w:line="312" w:lineRule="auto"/>
        <w:ind w:right="49"/>
      </w:pPr>
      <w:r>
        <w:t>Formado por propriedades e lotes rurais divididos em 350 pequenas casas e 1.40</w:t>
      </w:r>
      <w:r>
        <w:t>8 loteamentos, o Açu tem mais de dois mil moradores, segundo estudo da Associação dos Geógrafos do Brasil, de 2008. Muitos moradores não possuem escrituras, mas residem no local há mais de 10 anos (FREITAS, 2013).</w:t>
      </w:r>
    </w:p>
    <w:p w:rsidR="00D81F69" w:rsidRDefault="00330118">
      <w:pPr>
        <w:pStyle w:val="Corpodetexto"/>
        <w:spacing w:before="136" w:line="312" w:lineRule="auto"/>
        <w:ind w:right="39"/>
      </w:pPr>
      <w:r>
        <w:rPr>
          <w:spacing w:val="5"/>
        </w:rPr>
        <w:t xml:space="preserve">Segundo </w:t>
      </w:r>
      <w:r>
        <w:t xml:space="preserve">o </w:t>
      </w:r>
      <w:r>
        <w:rPr>
          <w:spacing w:val="5"/>
        </w:rPr>
        <w:t xml:space="preserve">vice-presidente </w:t>
      </w:r>
      <w:r>
        <w:rPr>
          <w:spacing w:val="2"/>
        </w:rPr>
        <w:t xml:space="preserve">da </w:t>
      </w:r>
      <w:r>
        <w:rPr>
          <w:spacing w:val="5"/>
        </w:rPr>
        <w:t xml:space="preserve">Associação </w:t>
      </w:r>
      <w:r>
        <w:rPr>
          <w:spacing w:val="2"/>
        </w:rPr>
        <w:t xml:space="preserve">de </w:t>
      </w:r>
      <w:r>
        <w:rPr>
          <w:spacing w:val="5"/>
        </w:rPr>
        <w:t xml:space="preserve">Pequenos </w:t>
      </w:r>
      <w:r>
        <w:t xml:space="preserve">Produtores e Agricultores do local (Asprim), Rodrigo Santos, </w:t>
      </w:r>
      <w:r>
        <w:rPr>
          <w:spacing w:val="1"/>
        </w:rPr>
        <w:t xml:space="preserve">os </w:t>
      </w:r>
      <w:r>
        <w:rPr>
          <w:spacing w:val="3"/>
        </w:rPr>
        <w:t xml:space="preserve">decretos </w:t>
      </w:r>
      <w:r>
        <w:rPr>
          <w:spacing w:val="2"/>
        </w:rPr>
        <w:t xml:space="preserve">que </w:t>
      </w:r>
      <w:r>
        <w:rPr>
          <w:spacing w:val="3"/>
        </w:rPr>
        <w:t xml:space="preserve">desapropriaram </w:t>
      </w:r>
      <w:r>
        <w:t xml:space="preserve">a </w:t>
      </w:r>
      <w:r>
        <w:rPr>
          <w:spacing w:val="2"/>
        </w:rPr>
        <w:t xml:space="preserve">área </w:t>
      </w:r>
      <w:r>
        <w:rPr>
          <w:spacing w:val="3"/>
        </w:rPr>
        <w:t xml:space="preserve">foram votados </w:t>
      </w:r>
      <w:r>
        <w:rPr>
          <w:spacing w:val="5"/>
        </w:rPr>
        <w:t xml:space="preserve">na </w:t>
      </w:r>
      <w:r>
        <w:t>Câmara dos Vereadores de São João da Barra em caráter de urgência, no início de 2009, e foram alterados para beneficiar a LLX na</w:t>
      </w:r>
      <w:r>
        <w:t xml:space="preserve"> ocupação do solo, além de garantir a doação </w:t>
      </w:r>
      <w:r>
        <w:rPr>
          <w:spacing w:val="1"/>
        </w:rPr>
        <w:t xml:space="preserve">das terras pela Codin. </w:t>
      </w:r>
      <w:r>
        <w:t xml:space="preserve">Em </w:t>
      </w:r>
      <w:r>
        <w:rPr>
          <w:spacing w:val="1"/>
        </w:rPr>
        <w:t xml:space="preserve">junho </w:t>
      </w:r>
      <w:r>
        <w:t xml:space="preserve">de </w:t>
      </w:r>
      <w:r>
        <w:rPr>
          <w:spacing w:val="1"/>
        </w:rPr>
        <w:t xml:space="preserve">2009, </w:t>
      </w:r>
      <w:r>
        <w:t xml:space="preserve">os </w:t>
      </w:r>
      <w:r>
        <w:rPr>
          <w:spacing w:val="1"/>
        </w:rPr>
        <w:t xml:space="preserve">requerimentos </w:t>
      </w:r>
      <w:r>
        <w:rPr>
          <w:spacing w:val="2"/>
        </w:rPr>
        <w:t xml:space="preserve">da </w:t>
      </w:r>
      <w:r>
        <w:rPr>
          <w:spacing w:val="3"/>
        </w:rPr>
        <w:t xml:space="preserve">Codin foram acatados </w:t>
      </w:r>
      <w:r>
        <w:rPr>
          <w:spacing w:val="2"/>
        </w:rPr>
        <w:t xml:space="preserve">pela </w:t>
      </w:r>
      <w:r>
        <w:rPr>
          <w:spacing w:val="3"/>
        </w:rPr>
        <w:t xml:space="preserve">Justiça, </w:t>
      </w:r>
      <w:r>
        <w:t xml:space="preserve">e </w:t>
      </w:r>
      <w:r>
        <w:rPr>
          <w:spacing w:val="1"/>
        </w:rPr>
        <w:t xml:space="preserve">as </w:t>
      </w:r>
      <w:r>
        <w:rPr>
          <w:spacing w:val="5"/>
        </w:rPr>
        <w:t xml:space="preserve">desapropriações </w:t>
      </w:r>
      <w:r>
        <w:rPr>
          <w:spacing w:val="3"/>
        </w:rPr>
        <w:t xml:space="preserve">tiveram início </w:t>
      </w:r>
      <w:r>
        <w:rPr>
          <w:spacing w:val="1"/>
        </w:rPr>
        <w:t xml:space="preserve">no </w:t>
      </w:r>
      <w:r>
        <w:rPr>
          <w:spacing w:val="2"/>
        </w:rPr>
        <w:t xml:space="preserve">Açu </w:t>
      </w:r>
      <w:r>
        <w:rPr>
          <w:spacing w:val="3"/>
        </w:rPr>
        <w:t>(FREITAS,</w:t>
      </w:r>
      <w:r>
        <w:rPr>
          <w:spacing w:val="6"/>
        </w:rPr>
        <w:t xml:space="preserve"> </w:t>
      </w:r>
      <w:r>
        <w:rPr>
          <w:spacing w:val="5"/>
        </w:rPr>
        <w:t>2013).</w:t>
      </w:r>
    </w:p>
    <w:p w:rsidR="00D81F69" w:rsidRDefault="00330118">
      <w:pPr>
        <w:pStyle w:val="Corpodetexto"/>
        <w:spacing w:before="75" w:line="270" w:lineRule="atLeast"/>
        <w:ind w:right="38"/>
      </w:pPr>
      <w:r>
        <w:t>Rodrigo afirma que, até o momento, só foram construídos</w:t>
      </w:r>
      <w:r>
        <w:t xml:space="preserve"> 10% do empreendimento, numa área bem próxima ao mar. No local onde foram realizadas as desapropriações, chamado de retroárea, os terrenos estão ociosos. Ele diz que, das 350 propriedades do Açu, aproximadamente 250 já foram demolidas. Alguns dos 100 morad</w:t>
      </w:r>
      <w:r>
        <w:t>ores restantes afirmam que</w:t>
      </w:r>
    </w:p>
    <w:p w:rsidR="00D81F69" w:rsidRDefault="00330118">
      <w:pPr>
        <w:pStyle w:val="Corpodetexto"/>
        <w:spacing w:before="81" w:line="312" w:lineRule="auto"/>
        <w:ind w:right="194"/>
      </w:pPr>
      <w:r>
        <w:br w:type="column"/>
      </w:r>
      <w:r>
        <w:lastRenderedPageBreak/>
        <w:t>vão resistir à desocupação (FREITAS, 2013). Desde o início de agosto de 2013, a LLX começou a cercar algumas propriedades sob seu controle, deixando de fora aquelas que estão em disputa judicial, talvez numa tentativa de se prec</w:t>
      </w:r>
      <w:r>
        <w:t>aver contra ações de reintegração de posse (MORAES, 2013).</w:t>
      </w:r>
    </w:p>
    <w:p w:rsidR="00D81F69" w:rsidRDefault="00330118">
      <w:pPr>
        <w:pStyle w:val="Corpodetexto"/>
        <w:spacing w:before="135" w:line="312" w:lineRule="auto"/>
        <w:ind w:right="194"/>
      </w:pPr>
      <w:r>
        <w:t>Ainda de acordo com o vice-presidente da Asprim, parte das famílias recebeu, em média, R$ 80 mil por suas terras e foi reassentada numa localidade chamada Fazenda Palacete. O valor do ressarcimento está sendo utilizado para refazerem suas plantações e obte</w:t>
      </w:r>
      <w:r>
        <w:t>rem renda familiar (FREITAS, 2013).</w:t>
      </w:r>
    </w:p>
    <w:p w:rsidR="00D81F69" w:rsidRDefault="00330118">
      <w:pPr>
        <w:pStyle w:val="Corpodetexto"/>
        <w:spacing w:before="135" w:line="312" w:lineRule="auto"/>
        <w:ind w:right="189"/>
      </w:pPr>
      <w:r>
        <w:t xml:space="preserve">Além dos processos movidos pelos moradores, outras ações </w:t>
      </w:r>
      <w:r>
        <w:rPr>
          <w:spacing w:val="3"/>
        </w:rPr>
        <w:t xml:space="preserve">tramitam </w:t>
      </w:r>
      <w:r>
        <w:rPr>
          <w:spacing w:val="1"/>
        </w:rPr>
        <w:t xml:space="preserve">no </w:t>
      </w:r>
      <w:r>
        <w:rPr>
          <w:spacing w:val="3"/>
        </w:rPr>
        <w:t xml:space="preserve">Ministério Público </w:t>
      </w:r>
      <w:r>
        <w:rPr>
          <w:spacing w:val="1"/>
        </w:rPr>
        <w:t xml:space="preserve">de </w:t>
      </w:r>
      <w:r>
        <w:rPr>
          <w:spacing w:val="3"/>
        </w:rPr>
        <w:t xml:space="preserve">Campos, motivadas </w:t>
      </w:r>
      <w:r>
        <w:rPr>
          <w:spacing w:val="5"/>
        </w:rPr>
        <w:t xml:space="preserve">por </w:t>
      </w:r>
      <w:r>
        <w:rPr>
          <w:spacing w:val="8"/>
        </w:rPr>
        <w:t xml:space="preserve">questões </w:t>
      </w:r>
      <w:r>
        <w:rPr>
          <w:spacing w:val="10"/>
        </w:rPr>
        <w:t xml:space="preserve">ambientais. </w:t>
      </w:r>
      <w:r>
        <w:rPr>
          <w:spacing w:val="7"/>
        </w:rPr>
        <w:t xml:space="preserve">Essas ações </w:t>
      </w:r>
      <w:r>
        <w:rPr>
          <w:spacing w:val="6"/>
        </w:rPr>
        <w:t xml:space="preserve">são </w:t>
      </w:r>
      <w:r>
        <w:rPr>
          <w:spacing w:val="8"/>
        </w:rPr>
        <w:t xml:space="preserve">movidas </w:t>
      </w:r>
      <w:r>
        <w:rPr>
          <w:spacing w:val="10"/>
        </w:rPr>
        <w:t xml:space="preserve">pela </w:t>
      </w:r>
      <w:r>
        <w:rPr>
          <w:spacing w:val="5"/>
        </w:rPr>
        <w:t xml:space="preserve">Comissão Pastoral </w:t>
      </w:r>
      <w:r>
        <w:rPr>
          <w:spacing w:val="2"/>
        </w:rPr>
        <w:t xml:space="preserve">da </w:t>
      </w:r>
      <w:r>
        <w:rPr>
          <w:spacing w:val="5"/>
        </w:rPr>
        <w:t xml:space="preserve">Terra, </w:t>
      </w:r>
      <w:r>
        <w:t xml:space="preserve">o </w:t>
      </w:r>
      <w:r>
        <w:rPr>
          <w:spacing w:val="5"/>
        </w:rPr>
        <w:t xml:space="preserve">Instituto </w:t>
      </w:r>
      <w:r>
        <w:rPr>
          <w:spacing w:val="2"/>
        </w:rPr>
        <w:t xml:space="preserve">de </w:t>
      </w:r>
      <w:r>
        <w:rPr>
          <w:spacing w:val="3"/>
        </w:rPr>
        <w:t xml:space="preserve">Visão </w:t>
      </w:r>
      <w:r>
        <w:rPr>
          <w:spacing w:val="5"/>
        </w:rPr>
        <w:t>Sócio-</w:t>
      </w:r>
      <w:r>
        <w:rPr>
          <w:spacing w:val="61"/>
        </w:rPr>
        <w:t xml:space="preserve"> </w:t>
      </w:r>
      <w:r>
        <w:rPr>
          <w:spacing w:val="3"/>
        </w:rPr>
        <w:t>A</w:t>
      </w:r>
      <w:r>
        <w:rPr>
          <w:spacing w:val="3"/>
        </w:rPr>
        <w:t xml:space="preserve">mbiental </w:t>
      </w:r>
      <w:r>
        <w:t xml:space="preserve">e </w:t>
      </w:r>
      <w:r>
        <w:rPr>
          <w:spacing w:val="2"/>
        </w:rPr>
        <w:t xml:space="preserve">pelo </w:t>
      </w:r>
      <w:r>
        <w:rPr>
          <w:spacing w:val="3"/>
        </w:rPr>
        <w:t xml:space="preserve">Instituto </w:t>
      </w:r>
      <w:r>
        <w:rPr>
          <w:spacing w:val="1"/>
        </w:rPr>
        <w:t xml:space="preserve">de </w:t>
      </w:r>
      <w:r>
        <w:rPr>
          <w:spacing w:val="3"/>
        </w:rPr>
        <w:t xml:space="preserve">Justiça Ambiental. Áreas </w:t>
      </w:r>
      <w:r>
        <w:rPr>
          <w:spacing w:val="5"/>
        </w:rPr>
        <w:t xml:space="preserve">de </w:t>
      </w:r>
      <w:r>
        <w:t xml:space="preserve">restinga estariam sendo degradadas; os índices de salinidade </w:t>
      </w:r>
      <w:r>
        <w:rPr>
          <w:spacing w:val="3"/>
        </w:rPr>
        <w:t xml:space="preserve">das </w:t>
      </w:r>
      <w:r>
        <w:rPr>
          <w:spacing w:val="5"/>
        </w:rPr>
        <w:t xml:space="preserve">fontes naturais, elevados; </w:t>
      </w:r>
      <w:r>
        <w:t xml:space="preserve">e </w:t>
      </w:r>
      <w:r>
        <w:rPr>
          <w:spacing w:val="2"/>
        </w:rPr>
        <w:t xml:space="preserve">as </w:t>
      </w:r>
      <w:r>
        <w:rPr>
          <w:spacing w:val="5"/>
        </w:rPr>
        <w:t xml:space="preserve">águas </w:t>
      </w:r>
      <w:r>
        <w:rPr>
          <w:spacing w:val="2"/>
        </w:rPr>
        <w:t xml:space="preserve">de </w:t>
      </w:r>
      <w:r>
        <w:rPr>
          <w:spacing w:val="6"/>
        </w:rPr>
        <w:t xml:space="preserve">córregos, </w:t>
      </w:r>
      <w:r>
        <w:t>contaminadas pelas atividades da empresa (FREITAS, 2013).</w:t>
      </w:r>
    </w:p>
    <w:p w:rsidR="00D81F69" w:rsidRDefault="00330118">
      <w:pPr>
        <w:pStyle w:val="Corpodetexto"/>
        <w:spacing w:before="137" w:line="312" w:lineRule="auto"/>
        <w:ind w:right="189"/>
      </w:pPr>
      <w:r>
        <w:t>No entanto, desde o iníci</w:t>
      </w:r>
      <w:r>
        <w:t>o de 2013, o grupo EBX vem passando por uma fase difícil (VAZ, 2013), devido a problemas enfrentados pela empresa de petróleo OGX, o que tem afetado os negócios de outras empresas do grupo, despertando desconfiança do mercado e alimentando rumores (VERSIGN</w:t>
      </w:r>
      <w:r>
        <w:t>ASSI, 2013). Para aumentar a liquidez dos negócios, o grupo passa por uma reestruturação que envolve demissões, revisão de projetos e a possível venda de algumas empresas (VAZ, 2013). Em São João da Barra, há incerteza quanto à continuidade das obras do Po</w:t>
      </w:r>
      <w:r>
        <w:t>rto Açu e temor de que as obras do porto e do estaleiro, que estariam em ritmo lento, sejam paralisadas (FREITAS, 2013).</w:t>
      </w:r>
    </w:p>
    <w:p w:rsidR="00D81F69" w:rsidRDefault="00330118">
      <w:pPr>
        <w:pStyle w:val="Corpodetexto"/>
        <w:spacing w:before="141" w:line="312" w:lineRule="auto"/>
        <w:ind w:right="197"/>
      </w:pPr>
      <w:r>
        <w:rPr>
          <w:spacing w:val="3"/>
        </w:rPr>
        <w:t xml:space="preserve">Fala-se também </w:t>
      </w:r>
      <w:r>
        <w:rPr>
          <w:spacing w:val="2"/>
        </w:rPr>
        <w:t xml:space="preserve">que </w:t>
      </w:r>
      <w:r>
        <w:t xml:space="preserve">a </w:t>
      </w:r>
      <w:r>
        <w:rPr>
          <w:spacing w:val="2"/>
        </w:rPr>
        <w:t xml:space="preserve">LLX </w:t>
      </w:r>
      <w:r>
        <w:rPr>
          <w:spacing w:val="3"/>
        </w:rPr>
        <w:t xml:space="preserve">estaria negociando cessão </w:t>
      </w:r>
      <w:r>
        <w:rPr>
          <w:spacing w:val="5"/>
        </w:rPr>
        <w:t xml:space="preserve">de </w:t>
      </w:r>
      <w:r>
        <w:t xml:space="preserve">terras para a Construtora ARG que, desde 2007, trabalha na construção do porto e que tem créditos não recebidos da LLX. De </w:t>
      </w:r>
      <w:r>
        <w:rPr>
          <w:spacing w:val="1"/>
        </w:rPr>
        <w:t xml:space="preserve">acordo Roberto Moraes, professor </w:t>
      </w:r>
      <w:r>
        <w:t xml:space="preserve">e </w:t>
      </w:r>
      <w:r>
        <w:rPr>
          <w:spacing w:val="1"/>
        </w:rPr>
        <w:t xml:space="preserve">engenheiro </w:t>
      </w:r>
      <w:r>
        <w:t xml:space="preserve">do </w:t>
      </w:r>
      <w:r>
        <w:rPr>
          <w:spacing w:val="2"/>
        </w:rPr>
        <w:t xml:space="preserve">IFF </w:t>
      </w:r>
      <w:r>
        <w:rPr>
          <w:spacing w:val="5"/>
        </w:rPr>
        <w:t xml:space="preserve">(ex-CEFET) </w:t>
      </w:r>
      <w:r>
        <w:rPr>
          <w:spacing w:val="2"/>
        </w:rPr>
        <w:t xml:space="preserve">em </w:t>
      </w:r>
      <w:r>
        <w:rPr>
          <w:spacing w:val="5"/>
        </w:rPr>
        <w:t xml:space="preserve">Campos </w:t>
      </w:r>
      <w:r>
        <w:rPr>
          <w:spacing w:val="3"/>
        </w:rPr>
        <w:t xml:space="preserve">dos </w:t>
      </w:r>
      <w:r>
        <w:rPr>
          <w:spacing w:val="5"/>
        </w:rPr>
        <w:t xml:space="preserve">Goytacazes </w:t>
      </w:r>
      <w:r>
        <w:rPr>
          <w:spacing w:val="3"/>
        </w:rPr>
        <w:t xml:space="preserve">(RJ), </w:t>
      </w:r>
      <w:r>
        <w:rPr>
          <w:spacing w:val="2"/>
        </w:rPr>
        <w:t xml:space="preserve">as </w:t>
      </w:r>
      <w:r>
        <w:rPr>
          <w:spacing w:val="5"/>
        </w:rPr>
        <w:t>terras</w:t>
      </w:r>
      <w:r>
        <w:rPr>
          <w:spacing w:val="61"/>
        </w:rPr>
        <w:t xml:space="preserve"> </w:t>
      </w:r>
      <w:r>
        <w:rPr>
          <w:spacing w:val="7"/>
        </w:rPr>
        <w:t xml:space="preserve">estão servindo </w:t>
      </w:r>
      <w:r>
        <w:rPr>
          <w:spacing w:val="5"/>
        </w:rPr>
        <w:t xml:space="preserve">de </w:t>
      </w:r>
      <w:r>
        <w:rPr>
          <w:spacing w:val="7"/>
        </w:rPr>
        <w:t xml:space="preserve">ativos </w:t>
      </w:r>
      <w:r>
        <w:rPr>
          <w:spacing w:val="6"/>
        </w:rPr>
        <w:t>par</w:t>
      </w:r>
      <w:r>
        <w:rPr>
          <w:spacing w:val="6"/>
        </w:rPr>
        <w:t xml:space="preserve">a </w:t>
      </w:r>
      <w:r>
        <w:rPr>
          <w:spacing w:val="7"/>
        </w:rPr>
        <w:t xml:space="preserve">obtenção </w:t>
      </w:r>
      <w:r>
        <w:rPr>
          <w:spacing w:val="5"/>
        </w:rPr>
        <w:t xml:space="preserve">de </w:t>
      </w:r>
      <w:r>
        <w:rPr>
          <w:spacing w:val="7"/>
        </w:rPr>
        <w:t xml:space="preserve">renda </w:t>
      </w:r>
      <w:r>
        <w:rPr>
          <w:spacing w:val="10"/>
        </w:rPr>
        <w:t xml:space="preserve">que </w:t>
      </w:r>
      <w:r>
        <w:t xml:space="preserve">viabilizem a conclusão das obras do porto. O professor afirma que “os fatos reforçam a hipótese de que o grupo EBX, leia- se, o empresário Eike Batista, não deve mais ficar à frente de </w:t>
      </w:r>
      <w:r>
        <w:rPr>
          <w:spacing w:val="3"/>
        </w:rPr>
        <w:t xml:space="preserve">nenhum </w:t>
      </w:r>
      <w:r>
        <w:rPr>
          <w:spacing w:val="2"/>
        </w:rPr>
        <w:t xml:space="preserve">dos </w:t>
      </w:r>
      <w:r>
        <w:rPr>
          <w:spacing w:val="3"/>
        </w:rPr>
        <w:t xml:space="preserve">empreendimentos; </w:t>
      </w:r>
      <w:r>
        <w:rPr>
          <w:spacing w:val="1"/>
        </w:rPr>
        <w:t xml:space="preserve">no </w:t>
      </w:r>
      <w:r>
        <w:rPr>
          <w:spacing w:val="3"/>
        </w:rPr>
        <w:t xml:space="preserve">máximo, </w:t>
      </w:r>
      <w:r>
        <w:rPr>
          <w:spacing w:val="2"/>
        </w:rPr>
        <w:t xml:space="preserve">caso </w:t>
      </w:r>
      <w:r>
        <w:rPr>
          <w:spacing w:val="5"/>
        </w:rPr>
        <w:t>con</w:t>
      </w:r>
      <w:r>
        <w:rPr>
          <w:spacing w:val="5"/>
        </w:rPr>
        <w:t xml:space="preserve">siga </w:t>
      </w:r>
      <w:r>
        <w:t>êxito nas negociações, participações acionárias minoritárias na</w:t>
      </w:r>
      <w:r>
        <w:rPr>
          <w:spacing w:val="12"/>
        </w:rPr>
        <w:t xml:space="preserve"> </w:t>
      </w:r>
      <w:r>
        <w:t>LLX,</w:t>
      </w:r>
      <w:r>
        <w:rPr>
          <w:spacing w:val="12"/>
        </w:rPr>
        <w:t xml:space="preserve"> </w:t>
      </w:r>
      <w:r>
        <w:t>OSX</w:t>
      </w:r>
      <w:r>
        <w:rPr>
          <w:spacing w:val="12"/>
        </w:rPr>
        <w:t xml:space="preserve"> </w:t>
      </w:r>
      <w:r>
        <w:t>e</w:t>
      </w:r>
      <w:r>
        <w:rPr>
          <w:spacing w:val="12"/>
        </w:rPr>
        <w:t xml:space="preserve"> </w:t>
      </w:r>
      <w:r>
        <w:t>OGX”</w:t>
      </w:r>
      <w:r>
        <w:rPr>
          <w:spacing w:val="12"/>
        </w:rPr>
        <w:t xml:space="preserve"> </w:t>
      </w:r>
      <w:r>
        <w:t>(MORAES,</w:t>
      </w:r>
      <w:r>
        <w:rPr>
          <w:spacing w:val="12"/>
        </w:rPr>
        <w:t xml:space="preserve"> </w:t>
      </w:r>
      <w:r>
        <w:t>2013).</w:t>
      </w:r>
    </w:p>
    <w:p w:rsidR="00D81F69" w:rsidRDefault="00330118">
      <w:pPr>
        <w:pStyle w:val="Corpodetexto"/>
        <w:spacing w:before="142" w:line="312" w:lineRule="auto"/>
        <w:ind w:right="210"/>
      </w:pPr>
      <w:r>
        <w:t xml:space="preserve">Em seu blog, o professor afirma que apenas dois dos projetos licenciados e apresentados sob a forma de "protocolos de intenção" ou "termos de compromisso" </w:t>
      </w:r>
      <w:r>
        <w:t>para instalação no Complexo do Açu estão nas mesas de negociação, para transferência para novos investidores: o porto com os dois terminais e a área da Unidade de Construção Naval (UCN) - estaleiro da OSX. Ele afirma que o porto apresenta problemas técnico</w:t>
      </w:r>
      <w:r>
        <w:t>s e custos muito mais elevados do que os inicialmente projetados (MORAES, 2013).</w:t>
      </w:r>
    </w:p>
    <w:p w:rsidR="00D81F69" w:rsidRDefault="00D81F69">
      <w:pPr>
        <w:pStyle w:val="Corpodetexto"/>
        <w:spacing w:before="7"/>
        <w:ind w:left="0"/>
        <w:jc w:val="left"/>
        <w:rPr>
          <w:sz w:val="21"/>
        </w:rPr>
      </w:pPr>
    </w:p>
    <w:p w:rsidR="00D81F69" w:rsidRDefault="00330118">
      <w:pPr>
        <w:pStyle w:val="Heading7"/>
        <w:spacing w:before="1"/>
      </w:pPr>
      <w:r>
        <w:t>LOCALIZAÇÃO GEOGRÁFICA</w:t>
      </w:r>
    </w:p>
    <w:p w:rsidR="00D81F69" w:rsidRDefault="00D81F69">
      <w:pPr>
        <w:sectPr w:rsidR="00D81F69">
          <w:pgSz w:w="11900" w:h="16840"/>
          <w:pgMar w:top="740" w:right="500" w:bottom="640" w:left="620" w:header="0" w:footer="402" w:gutter="0"/>
          <w:cols w:num="2" w:space="720" w:equalWidth="0">
            <w:col w:w="5155" w:space="315"/>
            <w:col w:w="5310"/>
          </w:cols>
        </w:sectPr>
      </w:pPr>
    </w:p>
    <w:p w:rsidR="00D81F69" w:rsidRDefault="00330118">
      <w:pPr>
        <w:pStyle w:val="Corpodetexto"/>
        <w:spacing w:before="81" w:line="312" w:lineRule="auto"/>
        <w:ind w:right="128"/>
      </w:pPr>
      <w:r>
        <w:lastRenderedPageBreak/>
        <w:t>O Complexo Industrial do Superporto do Açu se localiza no município de São João da Barra na latitude de 21°37'27"S e longi</w:t>
      </w:r>
      <w:r>
        <w:t>tude 41°01'08"W, na Região Norte-Fluminense do estado do Rio de Janeiro.</w:t>
      </w:r>
    </w:p>
    <w:p w:rsidR="00D81F69" w:rsidRDefault="00D81F69">
      <w:pPr>
        <w:pStyle w:val="Corpodetexto"/>
        <w:spacing w:before="1"/>
        <w:ind w:left="0"/>
        <w:jc w:val="left"/>
        <w:rPr>
          <w:sz w:val="29"/>
        </w:rPr>
      </w:pPr>
    </w:p>
    <w:p w:rsidR="00D81F69" w:rsidRDefault="00330118">
      <w:pPr>
        <w:pStyle w:val="Heading7"/>
      </w:pPr>
      <w:r>
        <w:t>REDATORES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111"/>
        <w:jc w:val="both"/>
        <w:rPr>
          <w:sz w:val="16"/>
        </w:rPr>
      </w:pPr>
      <w:r>
        <w:rPr>
          <w:sz w:val="16"/>
        </w:rPr>
        <w:t>BARRA FM NOTÍCIAS. Projeto de Siderúrgica da Ternium foi apresentado em São João da Barra, 13 maio 2011. Disponível em:</w:t>
      </w:r>
    </w:p>
    <w:p w:rsidR="00D81F69" w:rsidRDefault="00D81F69">
      <w:pPr>
        <w:spacing w:before="2" w:line="312" w:lineRule="auto"/>
        <w:ind w:left="100" w:right="130"/>
        <w:jc w:val="both"/>
        <w:rPr>
          <w:sz w:val="16"/>
        </w:rPr>
      </w:pPr>
      <w:hyperlink r:id="rId1426">
        <w:r w:rsidR="00330118">
          <w:rPr>
            <w:sz w:val="16"/>
          </w:rPr>
          <w:t>&lt;http://barrafmnoticias.blogspot.com/2011/05/projet</w:t>
        </w:r>
        <w:r w:rsidR="00330118">
          <w:rPr>
            <w:sz w:val="16"/>
          </w:rPr>
          <w:t>o-de-siderurgica-</w:t>
        </w:r>
      </w:hyperlink>
      <w:r w:rsidR="00330118">
        <w:rPr>
          <w:sz w:val="16"/>
        </w:rPr>
        <w:t xml:space="preserve"> da-ternium-foi.html&gt;. Acesso em: 20 dez. 2011.</w:t>
      </w:r>
    </w:p>
    <w:p w:rsidR="00D81F69" w:rsidRDefault="00330118">
      <w:pPr>
        <w:spacing w:before="1" w:line="312" w:lineRule="auto"/>
        <w:ind w:left="100" w:right="102"/>
        <w:jc w:val="both"/>
        <w:rPr>
          <w:sz w:val="16"/>
        </w:rPr>
      </w:pPr>
      <w:r>
        <w:rPr>
          <w:sz w:val="16"/>
        </w:rPr>
        <w:t>BATISTA, Henrique Gomes. Conselho apura denúncias no Superporto do Açu. O Globo, 19 jan. 2012. Disponível em:</w:t>
      </w:r>
    </w:p>
    <w:p w:rsidR="00D81F69" w:rsidRDefault="00D81F69">
      <w:pPr>
        <w:spacing w:before="2" w:line="312" w:lineRule="auto"/>
        <w:ind w:left="100" w:right="127"/>
        <w:jc w:val="both"/>
        <w:rPr>
          <w:sz w:val="16"/>
        </w:rPr>
      </w:pPr>
      <w:hyperlink r:id="rId1427">
        <w:r w:rsidR="00330118">
          <w:rPr>
            <w:sz w:val="16"/>
          </w:rPr>
          <w:t>&lt;h</w:t>
        </w:r>
        <w:r w:rsidR="00330118">
          <w:rPr>
            <w:sz w:val="16"/>
          </w:rPr>
          <w:t>ttp://oglobo.globo.com/economia/conselho-apura-denuncias-no-</w:t>
        </w:r>
      </w:hyperlink>
      <w:r w:rsidR="00330118">
        <w:rPr>
          <w:sz w:val="16"/>
        </w:rPr>
        <w:t xml:space="preserve"> superporto-do-acu-3709193&gt;. Acesso em: 24 fev. 2012.</w:t>
      </w:r>
    </w:p>
    <w:p w:rsidR="00D81F69" w:rsidRDefault="00330118">
      <w:pPr>
        <w:spacing w:before="1"/>
        <w:ind w:left="100"/>
        <w:jc w:val="both"/>
        <w:rPr>
          <w:sz w:val="16"/>
        </w:rPr>
      </w:pPr>
      <w:r>
        <w:rPr>
          <w:sz w:val="16"/>
        </w:rPr>
        <w:t>BLOG DO COMPLEXO INDUSTRIAL DO SUPERPORTO DO AÇU.</w:t>
      </w:r>
    </w:p>
    <w:p w:rsidR="00D81F69" w:rsidRDefault="00330118">
      <w:pPr>
        <w:spacing w:before="56" w:line="312" w:lineRule="auto"/>
        <w:ind w:left="100" w:right="112"/>
        <w:jc w:val="both"/>
        <w:rPr>
          <w:sz w:val="16"/>
        </w:rPr>
      </w:pPr>
      <w:r>
        <w:rPr>
          <w:sz w:val="16"/>
        </w:rPr>
        <w:t xml:space="preserve">Máquinas para transporte de minério de ferro são instaladas, 02 abr. 2013. Disponível em: </w:t>
      </w:r>
      <w:hyperlink r:id="rId1428">
        <w:r>
          <w:rPr>
            <w:sz w:val="16"/>
          </w:rPr>
          <w:t>&lt;http://www.superportodoacu.com.br/tag/tx1/&gt;.</w:t>
        </w:r>
      </w:hyperlink>
      <w:r>
        <w:rPr>
          <w:sz w:val="16"/>
        </w:rPr>
        <w:t xml:space="preserve"> Acesso em: 29 ago. 2013.</w:t>
      </w:r>
    </w:p>
    <w:p w:rsidR="00D81F69" w:rsidRDefault="00330118">
      <w:pPr>
        <w:spacing w:before="3"/>
        <w:ind w:left="100"/>
        <w:jc w:val="both"/>
        <w:rPr>
          <w:sz w:val="16"/>
        </w:rPr>
      </w:pPr>
      <w:r>
        <w:rPr>
          <w:spacing w:val="21"/>
          <w:sz w:val="16"/>
        </w:rPr>
        <w:t xml:space="preserve">___________. </w:t>
      </w:r>
      <w:r>
        <w:rPr>
          <w:sz w:val="16"/>
        </w:rPr>
        <w:t xml:space="preserve">O </w:t>
      </w:r>
      <w:r>
        <w:rPr>
          <w:spacing w:val="21"/>
          <w:sz w:val="16"/>
        </w:rPr>
        <w:t xml:space="preserve">Complexo. </w:t>
      </w:r>
      <w:r>
        <w:rPr>
          <w:spacing w:val="20"/>
          <w:sz w:val="16"/>
        </w:rPr>
        <w:t xml:space="preserve">2013. </w:t>
      </w:r>
      <w:r>
        <w:rPr>
          <w:spacing w:val="21"/>
          <w:sz w:val="16"/>
        </w:rPr>
        <w:t>Disponível</w:t>
      </w:r>
      <w:r>
        <w:rPr>
          <w:spacing w:val="20"/>
          <w:sz w:val="16"/>
        </w:rPr>
        <w:t xml:space="preserve"> </w:t>
      </w:r>
      <w:r>
        <w:rPr>
          <w:spacing w:val="15"/>
          <w:sz w:val="16"/>
        </w:rPr>
        <w:t>em:</w:t>
      </w:r>
      <w:r>
        <w:rPr>
          <w:spacing w:val="-19"/>
          <w:sz w:val="16"/>
        </w:rPr>
        <w:t xml:space="preserve"> </w:t>
      </w:r>
    </w:p>
    <w:p w:rsidR="00D81F69" w:rsidRDefault="00D81F69">
      <w:pPr>
        <w:spacing w:before="56" w:line="312" w:lineRule="auto"/>
        <w:ind w:left="100" w:right="129"/>
        <w:jc w:val="both"/>
        <w:rPr>
          <w:sz w:val="16"/>
        </w:rPr>
      </w:pPr>
      <w:hyperlink r:id="rId1429">
        <w:r w:rsidR="00330118">
          <w:rPr>
            <w:sz w:val="16"/>
          </w:rPr>
          <w:t>&lt;http://www.super</w:t>
        </w:r>
        <w:r w:rsidR="00330118">
          <w:rPr>
            <w:sz w:val="16"/>
          </w:rPr>
          <w:t xml:space="preserve">portodoacu.com.br/o-complexo/&gt;. </w:t>
        </w:r>
      </w:hyperlink>
      <w:r w:rsidR="00330118">
        <w:rPr>
          <w:sz w:val="16"/>
        </w:rPr>
        <w:t>Acesso em: 29 ago. 2013.</w:t>
      </w:r>
    </w:p>
    <w:p w:rsidR="00D81F69" w:rsidRDefault="00330118">
      <w:pPr>
        <w:spacing w:before="2" w:line="312" w:lineRule="auto"/>
        <w:ind w:left="100" w:right="100"/>
        <w:jc w:val="both"/>
        <w:rPr>
          <w:sz w:val="16"/>
        </w:rPr>
      </w:pPr>
      <w:r>
        <w:rPr>
          <w:sz w:val="16"/>
        </w:rPr>
        <w:t xml:space="preserve">BOVESPAIM. LLX aluga área do Superporto do Açu para InterMoor </w:t>
      </w:r>
      <w:r>
        <w:rPr>
          <w:spacing w:val="5"/>
          <w:sz w:val="16"/>
        </w:rPr>
        <w:t xml:space="preserve">do </w:t>
      </w:r>
      <w:r>
        <w:rPr>
          <w:spacing w:val="10"/>
          <w:sz w:val="16"/>
        </w:rPr>
        <w:t xml:space="preserve">Brasil. </w:t>
      </w:r>
      <w:r>
        <w:rPr>
          <w:spacing w:val="7"/>
          <w:sz w:val="16"/>
        </w:rPr>
        <w:t xml:space="preserve">In: </w:t>
      </w:r>
      <w:r>
        <w:rPr>
          <w:spacing w:val="8"/>
          <w:sz w:val="16"/>
        </w:rPr>
        <w:t xml:space="preserve">Info </w:t>
      </w:r>
      <w:r>
        <w:rPr>
          <w:spacing w:val="10"/>
          <w:sz w:val="16"/>
        </w:rPr>
        <w:t xml:space="preserve">Money, </w:t>
      </w:r>
      <w:r>
        <w:rPr>
          <w:spacing w:val="5"/>
          <w:sz w:val="16"/>
        </w:rPr>
        <w:t xml:space="preserve">05 </w:t>
      </w:r>
      <w:r>
        <w:rPr>
          <w:spacing w:val="8"/>
          <w:sz w:val="16"/>
        </w:rPr>
        <w:t xml:space="preserve">dez. </w:t>
      </w:r>
      <w:r>
        <w:rPr>
          <w:spacing w:val="10"/>
          <w:sz w:val="16"/>
        </w:rPr>
        <w:t>2011. Disponível</w:t>
      </w:r>
      <w:r>
        <w:rPr>
          <w:spacing w:val="53"/>
          <w:sz w:val="16"/>
        </w:rPr>
        <w:t xml:space="preserve"> </w:t>
      </w:r>
      <w:r>
        <w:rPr>
          <w:spacing w:val="7"/>
          <w:sz w:val="16"/>
        </w:rPr>
        <w:t>em:</w:t>
      </w:r>
      <w:r>
        <w:rPr>
          <w:spacing w:val="-30"/>
          <w:sz w:val="16"/>
        </w:rPr>
        <w:t xml:space="preserve"> </w:t>
      </w:r>
    </w:p>
    <w:p w:rsidR="00D81F69" w:rsidRDefault="00D81F69">
      <w:pPr>
        <w:spacing w:before="1" w:line="312" w:lineRule="auto"/>
        <w:ind w:left="100" w:right="113"/>
        <w:jc w:val="both"/>
        <w:rPr>
          <w:sz w:val="16"/>
        </w:rPr>
      </w:pPr>
      <w:hyperlink r:id="rId1430">
        <w:r w:rsidR="00330118">
          <w:rPr>
            <w:sz w:val="16"/>
          </w:rPr>
          <w:t>&lt;http</w:t>
        </w:r>
        <w:r w:rsidR="00330118">
          <w:rPr>
            <w:sz w:val="16"/>
          </w:rPr>
          <w:t xml:space="preserve">://www.infomoney.com.br/llxlogistica/noticia/2276525- </w:t>
        </w:r>
      </w:hyperlink>
      <w:r w:rsidR="00330118">
        <w:rPr>
          <w:sz w:val="16"/>
        </w:rPr>
        <w:t>llx+aluga+area+superporto+acu+para+intermoor+brasil&gt;. Acesso em: 20 dez. 2011.</w:t>
      </w:r>
    </w:p>
    <w:p w:rsidR="00D81F69" w:rsidRDefault="00330118">
      <w:pPr>
        <w:tabs>
          <w:tab w:val="left" w:pos="2559"/>
          <w:tab w:val="left" w:pos="5063"/>
        </w:tabs>
        <w:spacing w:before="3" w:line="312" w:lineRule="auto"/>
        <w:ind w:left="100" w:right="114"/>
        <w:jc w:val="both"/>
        <w:rPr>
          <w:sz w:val="16"/>
        </w:rPr>
      </w:pPr>
      <w:r>
        <w:rPr>
          <w:sz w:val="16"/>
        </w:rPr>
        <w:t>BRASIL MINERAL. Siderurgia I. Ternium vai construir usina de US$ 6 bilhões em Açu. In: Brasil Mineral Online, 22 set. 2010. Disponível      e</w:t>
      </w:r>
      <w:r>
        <w:rPr>
          <w:sz w:val="16"/>
        </w:rPr>
        <w:tab/>
        <w:t>m</w:t>
      </w:r>
      <w:r>
        <w:rPr>
          <w:sz w:val="16"/>
        </w:rPr>
        <w:tab/>
        <w:t>:</w:t>
      </w:r>
    </w:p>
    <w:p w:rsidR="00D81F69" w:rsidRDefault="00D81F69">
      <w:pPr>
        <w:spacing w:before="2" w:line="312" w:lineRule="auto"/>
        <w:ind w:left="100" w:right="131"/>
        <w:jc w:val="both"/>
        <w:rPr>
          <w:sz w:val="16"/>
        </w:rPr>
      </w:pPr>
      <w:hyperlink r:id="rId1431">
        <w:r w:rsidR="00330118">
          <w:rPr>
            <w:sz w:val="16"/>
          </w:rPr>
          <w:t>&lt;http://www.brasilmineral.c</w:t>
        </w:r>
        <w:r w:rsidR="00330118">
          <w:rPr>
            <w:sz w:val="16"/>
          </w:rPr>
          <w:t>om.br/BM/default.asp?COD=5145&amp;busca=</w:t>
        </w:r>
      </w:hyperlink>
      <w:r w:rsidR="00330118">
        <w:rPr>
          <w:sz w:val="16"/>
        </w:rPr>
        <w:t xml:space="preserve"> &amp;numero=470&gt;. Acesso em: 20 dez. 2011.</w:t>
      </w:r>
    </w:p>
    <w:p w:rsidR="00D81F69" w:rsidRDefault="00330118">
      <w:pPr>
        <w:spacing w:before="2" w:line="312" w:lineRule="auto"/>
        <w:ind w:left="100" w:right="94"/>
        <w:jc w:val="both"/>
        <w:rPr>
          <w:sz w:val="16"/>
        </w:rPr>
      </w:pPr>
      <w:r>
        <w:rPr>
          <w:spacing w:val="3"/>
          <w:sz w:val="16"/>
        </w:rPr>
        <w:t xml:space="preserve">CLUBE </w:t>
      </w:r>
      <w:r>
        <w:rPr>
          <w:spacing w:val="1"/>
          <w:sz w:val="16"/>
        </w:rPr>
        <w:t xml:space="preserve">DE </w:t>
      </w:r>
      <w:r>
        <w:rPr>
          <w:spacing w:val="3"/>
          <w:sz w:val="16"/>
        </w:rPr>
        <w:t xml:space="preserve">ENGENHARIA. Clube </w:t>
      </w:r>
      <w:r>
        <w:rPr>
          <w:spacing w:val="1"/>
          <w:sz w:val="16"/>
        </w:rPr>
        <w:t xml:space="preserve">de </w:t>
      </w:r>
      <w:r>
        <w:rPr>
          <w:spacing w:val="3"/>
          <w:sz w:val="16"/>
        </w:rPr>
        <w:t xml:space="preserve">Engenharia visita obras </w:t>
      </w:r>
      <w:r>
        <w:rPr>
          <w:spacing w:val="5"/>
          <w:sz w:val="16"/>
        </w:rPr>
        <w:t xml:space="preserve">do </w:t>
      </w:r>
      <w:r>
        <w:rPr>
          <w:spacing w:val="18"/>
          <w:sz w:val="16"/>
        </w:rPr>
        <w:t xml:space="preserve">Superporto </w:t>
      </w:r>
      <w:r>
        <w:rPr>
          <w:spacing w:val="10"/>
          <w:sz w:val="16"/>
        </w:rPr>
        <w:t>do</w:t>
      </w:r>
      <w:r>
        <w:rPr>
          <w:spacing w:val="65"/>
          <w:sz w:val="16"/>
        </w:rPr>
        <w:t xml:space="preserve"> </w:t>
      </w:r>
      <w:r>
        <w:rPr>
          <w:spacing w:val="15"/>
          <w:sz w:val="16"/>
        </w:rPr>
        <w:t>Açu,</w:t>
      </w:r>
      <w:r>
        <w:rPr>
          <w:spacing w:val="75"/>
          <w:sz w:val="16"/>
        </w:rPr>
        <w:t xml:space="preserve"> </w:t>
      </w:r>
      <w:r>
        <w:rPr>
          <w:spacing w:val="10"/>
          <w:sz w:val="16"/>
        </w:rPr>
        <w:t>16</w:t>
      </w:r>
      <w:r>
        <w:rPr>
          <w:spacing w:val="65"/>
          <w:sz w:val="16"/>
        </w:rPr>
        <w:t xml:space="preserve"> </w:t>
      </w:r>
      <w:r>
        <w:rPr>
          <w:spacing w:val="15"/>
          <w:sz w:val="16"/>
        </w:rPr>
        <w:t>ago.</w:t>
      </w:r>
      <w:r>
        <w:rPr>
          <w:spacing w:val="75"/>
          <w:sz w:val="16"/>
        </w:rPr>
        <w:t xml:space="preserve"> </w:t>
      </w:r>
      <w:r>
        <w:rPr>
          <w:spacing w:val="16"/>
          <w:sz w:val="16"/>
        </w:rPr>
        <w:t xml:space="preserve">2013. </w:t>
      </w:r>
      <w:r>
        <w:rPr>
          <w:spacing w:val="18"/>
          <w:sz w:val="16"/>
        </w:rPr>
        <w:t>Disponível</w:t>
      </w:r>
      <w:r>
        <w:rPr>
          <w:spacing w:val="17"/>
          <w:sz w:val="16"/>
        </w:rPr>
        <w:t xml:space="preserve"> </w:t>
      </w:r>
      <w:r>
        <w:rPr>
          <w:spacing w:val="13"/>
          <w:sz w:val="16"/>
        </w:rPr>
        <w:t>em:</w:t>
      </w:r>
      <w:r>
        <w:rPr>
          <w:spacing w:val="-21"/>
          <w:sz w:val="16"/>
        </w:rPr>
        <w:t xml:space="preserve"> </w:t>
      </w:r>
    </w:p>
    <w:p w:rsidR="00D81F69" w:rsidRDefault="00D81F69">
      <w:pPr>
        <w:spacing w:before="1" w:line="312" w:lineRule="auto"/>
        <w:ind w:left="100" w:right="131"/>
        <w:jc w:val="both"/>
        <w:rPr>
          <w:sz w:val="16"/>
        </w:rPr>
      </w:pPr>
      <w:hyperlink r:id="rId1432">
        <w:r w:rsidR="00330118">
          <w:rPr>
            <w:sz w:val="16"/>
          </w:rPr>
          <w:t>&lt;http://www.portalclubedeengenharia.org.br/info/clube-de-engenharia-</w:t>
        </w:r>
      </w:hyperlink>
      <w:r w:rsidR="00330118">
        <w:rPr>
          <w:sz w:val="16"/>
        </w:rPr>
        <w:t xml:space="preserve"> visita-obras-do-superporto-do-acu&gt;. Acesso em: 29 ago. 2013.</w:t>
      </w:r>
    </w:p>
    <w:p w:rsidR="00D81F69" w:rsidRDefault="00330118">
      <w:pPr>
        <w:tabs>
          <w:tab w:val="left" w:pos="4331"/>
        </w:tabs>
        <w:spacing w:before="2" w:line="312" w:lineRule="auto"/>
        <w:ind w:left="100" w:right="109"/>
        <w:jc w:val="both"/>
        <w:rPr>
          <w:sz w:val="16"/>
        </w:rPr>
      </w:pPr>
      <w:r>
        <w:rPr>
          <w:sz w:val="16"/>
        </w:rPr>
        <w:t xml:space="preserve">FREITAS, Cláudia. Moradores desapropriados </w:t>
      </w:r>
      <w:r>
        <w:rPr>
          <w:sz w:val="16"/>
        </w:rPr>
        <w:t xml:space="preserve">pelo governo no Porto do Açu </w:t>
      </w:r>
      <w:r>
        <w:rPr>
          <w:spacing w:val="1"/>
          <w:sz w:val="16"/>
        </w:rPr>
        <w:t xml:space="preserve">denunciam Cabral </w:t>
      </w:r>
      <w:r>
        <w:rPr>
          <w:sz w:val="16"/>
        </w:rPr>
        <w:t xml:space="preserve">e  </w:t>
      </w:r>
      <w:r>
        <w:rPr>
          <w:spacing w:val="1"/>
          <w:sz w:val="16"/>
        </w:rPr>
        <w:t xml:space="preserve">Eike. Jornal </w:t>
      </w:r>
      <w:r>
        <w:rPr>
          <w:sz w:val="16"/>
        </w:rPr>
        <w:t xml:space="preserve">do  </w:t>
      </w:r>
      <w:r>
        <w:rPr>
          <w:spacing w:val="1"/>
          <w:sz w:val="16"/>
        </w:rPr>
        <w:t xml:space="preserve">Brasil, </w:t>
      </w:r>
      <w:r>
        <w:rPr>
          <w:sz w:val="16"/>
        </w:rPr>
        <w:t xml:space="preserve">10  </w:t>
      </w:r>
      <w:r>
        <w:rPr>
          <w:spacing w:val="1"/>
          <w:sz w:val="16"/>
        </w:rPr>
        <w:t xml:space="preserve">ago. </w:t>
      </w:r>
      <w:r>
        <w:rPr>
          <w:spacing w:val="2"/>
          <w:sz w:val="16"/>
        </w:rPr>
        <w:t xml:space="preserve">2013.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line="312" w:lineRule="auto"/>
        <w:ind w:left="100" w:right="115"/>
        <w:jc w:val="both"/>
        <w:rPr>
          <w:sz w:val="16"/>
        </w:rPr>
      </w:pPr>
      <w:hyperlink r:id="rId1433">
        <w:r w:rsidR="00330118">
          <w:rPr>
            <w:sz w:val="16"/>
          </w:rPr>
          <w:t>&lt;http://www.jb.com.br/rio/</w:t>
        </w:r>
        <w:r w:rsidR="00330118">
          <w:rPr>
            <w:sz w:val="16"/>
          </w:rPr>
          <w:t xml:space="preserve">noticias/2013/08/10/moradores- </w:t>
        </w:r>
      </w:hyperlink>
      <w:r w:rsidR="00330118">
        <w:rPr>
          <w:sz w:val="16"/>
        </w:rPr>
        <w:t>desapropriados-pelo-governo-no-porto-do-acu-denunciam-cabral-e- eike/&gt;. Acesso em: 29 ago. 2013.</w:t>
      </w:r>
    </w:p>
    <w:p w:rsidR="00D81F69" w:rsidRDefault="00330118">
      <w:pPr>
        <w:spacing w:before="2"/>
        <w:ind w:left="100"/>
        <w:jc w:val="both"/>
        <w:rPr>
          <w:sz w:val="16"/>
        </w:rPr>
      </w:pPr>
      <w:r>
        <w:rPr>
          <w:sz w:val="16"/>
        </w:rPr>
        <w:t>G1. Eike Batista renuncia à presidência do conselho da LLX. Reuters,</w:t>
      </w:r>
    </w:p>
    <w:p w:rsidR="00D81F69" w:rsidRDefault="00330118">
      <w:pPr>
        <w:spacing w:before="56"/>
        <w:ind w:left="100"/>
        <w:jc w:val="both"/>
        <w:rPr>
          <w:sz w:val="16"/>
        </w:rPr>
      </w:pPr>
      <w:r>
        <w:rPr>
          <w:sz w:val="16"/>
        </w:rPr>
        <w:t>2 8         a g o .         2 0 1 3 .         D i s p o n í</w:t>
      </w:r>
      <w:r>
        <w:rPr>
          <w:sz w:val="16"/>
        </w:rPr>
        <w:t xml:space="preserve"> v e l         e m :  </w:t>
      </w:r>
    </w:p>
    <w:p w:rsidR="00D81F69" w:rsidRDefault="00D81F69">
      <w:pPr>
        <w:spacing w:before="56" w:line="312" w:lineRule="auto"/>
        <w:ind w:left="100" w:right="104"/>
        <w:jc w:val="both"/>
        <w:rPr>
          <w:sz w:val="16"/>
        </w:rPr>
      </w:pPr>
      <w:hyperlink r:id="rId1434">
        <w:r w:rsidR="00330118">
          <w:rPr>
            <w:sz w:val="16"/>
          </w:rPr>
          <w:t>&lt;http://g1.globo.com/economia/noticia/2013/08/eike-batista-renuncia-</w:t>
        </w:r>
      </w:hyperlink>
      <w:r w:rsidR="00330118">
        <w:rPr>
          <w:sz w:val="16"/>
        </w:rPr>
        <w:t xml:space="preserve"> a-presidencia-do-conselho-da-llx-roberto-senna-assume.html&gt;. Acesso em: 30 ago.</w:t>
      </w:r>
      <w:r w:rsidR="00330118">
        <w:rPr>
          <w:sz w:val="16"/>
        </w:rPr>
        <w:t xml:space="preserve"> 2013.</w:t>
      </w:r>
    </w:p>
    <w:p w:rsidR="00D81F69" w:rsidRDefault="00330118">
      <w:pPr>
        <w:spacing w:before="3" w:line="312" w:lineRule="auto"/>
        <w:ind w:left="100" w:right="92"/>
        <w:jc w:val="both"/>
        <w:rPr>
          <w:sz w:val="16"/>
        </w:rPr>
      </w:pPr>
      <w:r>
        <w:rPr>
          <w:spacing w:val="1"/>
          <w:sz w:val="16"/>
        </w:rPr>
        <w:t xml:space="preserve">IBGE, Instituto Brasileiro </w:t>
      </w:r>
      <w:r>
        <w:rPr>
          <w:sz w:val="16"/>
        </w:rPr>
        <w:t xml:space="preserve">de </w:t>
      </w:r>
      <w:r>
        <w:rPr>
          <w:spacing w:val="1"/>
          <w:sz w:val="16"/>
        </w:rPr>
        <w:t xml:space="preserve">Geografia </w:t>
      </w:r>
      <w:r>
        <w:rPr>
          <w:sz w:val="16"/>
        </w:rPr>
        <w:t xml:space="preserve">e </w:t>
      </w:r>
      <w:r>
        <w:rPr>
          <w:spacing w:val="1"/>
          <w:sz w:val="16"/>
        </w:rPr>
        <w:t xml:space="preserve">Estatística. </w:t>
      </w:r>
      <w:r>
        <w:rPr>
          <w:sz w:val="16"/>
        </w:rPr>
        <w:t xml:space="preserve">São </w:t>
      </w:r>
      <w:r>
        <w:rPr>
          <w:spacing w:val="1"/>
          <w:sz w:val="16"/>
        </w:rPr>
        <w:t xml:space="preserve">João </w:t>
      </w:r>
      <w:r>
        <w:rPr>
          <w:spacing w:val="2"/>
          <w:sz w:val="16"/>
        </w:rPr>
        <w:t xml:space="preserve">da </w:t>
      </w:r>
      <w:r>
        <w:rPr>
          <w:spacing w:val="15"/>
          <w:sz w:val="16"/>
        </w:rPr>
        <w:t xml:space="preserve">Barra (RJ). </w:t>
      </w:r>
      <w:r>
        <w:rPr>
          <w:spacing w:val="12"/>
          <w:sz w:val="16"/>
        </w:rPr>
        <w:t xml:space="preserve">In: </w:t>
      </w:r>
      <w:r>
        <w:rPr>
          <w:spacing w:val="15"/>
          <w:sz w:val="16"/>
        </w:rPr>
        <w:t xml:space="preserve">IBGE </w:t>
      </w:r>
      <w:r>
        <w:rPr>
          <w:spacing w:val="16"/>
          <w:sz w:val="16"/>
        </w:rPr>
        <w:t xml:space="preserve">Cidades, </w:t>
      </w:r>
      <w:r>
        <w:rPr>
          <w:spacing w:val="15"/>
          <w:sz w:val="16"/>
        </w:rPr>
        <w:t xml:space="preserve">2010. </w:t>
      </w:r>
      <w:r>
        <w:rPr>
          <w:spacing w:val="17"/>
          <w:sz w:val="16"/>
        </w:rPr>
        <w:t>Disponível</w:t>
      </w:r>
      <w:r>
        <w:rPr>
          <w:spacing w:val="68"/>
          <w:sz w:val="16"/>
        </w:rPr>
        <w:t xml:space="preserve"> </w:t>
      </w:r>
      <w:r>
        <w:rPr>
          <w:spacing w:val="12"/>
          <w:sz w:val="16"/>
        </w:rPr>
        <w:t>em:</w:t>
      </w:r>
      <w:r>
        <w:rPr>
          <w:spacing w:val="-25"/>
          <w:sz w:val="16"/>
        </w:rPr>
        <w:t xml:space="preserve"> </w:t>
      </w:r>
    </w:p>
    <w:p w:rsidR="00D81F69" w:rsidRDefault="00D81F69">
      <w:pPr>
        <w:spacing w:before="1"/>
        <w:ind w:left="100"/>
        <w:jc w:val="both"/>
        <w:rPr>
          <w:sz w:val="16"/>
        </w:rPr>
      </w:pPr>
      <w:hyperlink r:id="rId1435">
        <w:r w:rsidR="00330118">
          <w:rPr>
            <w:sz w:val="16"/>
          </w:rPr>
          <w:t>&lt;</w:t>
        </w:r>
        <w:r w:rsidR="00330118">
          <w:rPr>
            <w:sz w:val="16"/>
          </w:rPr>
          <w:t>http://www.ibge.gov.br/cidadesat/xtras/perfil.php?codmun=330500&amp;r</w:t>
        </w:r>
      </w:hyperlink>
    </w:p>
    <w:p w:rsidR="00D81F69" w:rsidRDefault="00330118">
      <w:pPr>
        <w:spacing w:before="56"/>
        <w:ind w:left="100"/>
        <w:jc w:val="both"/>
        <w:rPr>
          <w:sz w:val="16"/>
        </w:rPr>
      </w:pPr>
      <w:r>
        <w:rPr>
          <w:sz w:val="16"/>
        </w:rPr>
        <w:t>=2&gt;. Acesso em: 20 dez. 2011.</w:t>
      </w:r>
    </w:p>
    <w:p w:rsidR="00D81F69" w:rsidRDefault="00330118">
      <w:pPr>
        <w:spacing w:before="56" w:line="312" w:lineRule="auto"/>
        <w:ind w:left="100" w:right="111"/>
        <w:jc w:val="both"/>
        <w:rPr>
          <w:sz w:val="16"/>
        </w:rPr>
      </w:pPr>
      <w:r>
        <w:rPr>
          <w:sz w:val="16"/>
        </w:rPr>
        <w:t>KURY, Karla Aguiar; REZENDE, Carlos Eduardo de; PEDLOWSKI, Marcos Antonio. O Entendimento da População de São João da Barra sobre a Influência do mega-empreendi</w:t>
      </w:r>
      <w:r>
        <w:rPr>
          <w:sz w:val="16"/>
        </w:rPr>
        <w:t>mento do Complexo Portuário  e Industrial do Açu em seu cotidiano. V Encontro Nacional da Anppas, 4-7 out. 2010, Florianópolis (SC) – Brasil. Disponível</w:t>
      </w:r>
      <w:r>
        <w:rPr>
          <w:spacing w:val="6"/>
          <w:sz w:val="16"/>
        </w:rPr>
        <w:t xml:space="preserve"> </w:t>
      </w:r>
      <w:r>
        <w:rPr>
          <w:sz w:val="16"/>
        </w:rPr>
        <w:t>em:</w:t>
      </w:r>
    </w:p>
    <w:p w:rsidR="00D81F69" w:rsidRDefault="00330118">
      <w:pPr>
        <w:spacing w:before="70" w:line="312" w:lineRule="auto"/>
        <w:ind w:left="100" w:right="207"/>
        <w:jc w:val="both"/>
        <w:rPr>
          <w:sz w:val="16"/>
        </w:rPr>
      </w:pPr>
      <w:r>
        <w:br w:type="column"/>
      </w:r>
      <w:hyperlink r:id="rId1436">
        <w:r>
          <w:rPr>
            <w:sz w:val="16"/>
          </w:rPr>
          <w:t>&lt;http://www.anppas.org</w:t>
        </w:r>
        <w:r>
          <w:rPr>
            <w:sz w:val="16"/>
          </w:rPr>
          <w:t>.br/encontro5/cd/artigos/GT14-38-290-</w:t>
        </w:r>
      </w:hyperlink>
      <w:r>
        <w:rPr>
          <w:sz w:val="16"/>
        </w:rPr>
        <w:t xml:space="preserve"> 20100903220103.pdf&gt;. Acesso em: 20 dez. 2011.</w:t>
      </w:r>
    </w:p>
    <w:p w:rsidR="00D81F69" w:rsidRDefault="00330118">
      <w:pPr>
        <w:spacing w:before="1"/>
        <w:ind w:left="100"/>
        <w:jc w:val="both"/>
        <w:rPr>
          <w:sz w:val="16"/>
        </w:rPr>
      </w:pPr>
      <w:r>
        <w:rPr>
          <w:spacing w:val="30"/>
          <w:sz w:val="16"/>
        </w:rPr>
        <w:t>LLX.</w:t>
      </w:r>
      <w:r>
        <w:rPr>
          <w:spacing w:val="105"/>
          <w:sz w:val="16"/>
        </w:rPr>
        <w:t xml:space="preserve"> </w:t>
      </w:r>
      <w:r>
        <w:rPr>
          <w:spacing w:val="36"/>
          <w:sz w:val="16"/>
        </w:rPr>
        <w:t xml:space="preserve">Superporto </w:t>
      </w:r>
      <w:r>
        <w:rPr>
          <w:spacing w:val="20"/>
          <w:sz w:val="16"/>
        </w:rPr>
        <w:t xml:space="preserve">do </w:t>
      </w:r>
      <w:r>
        <w:rPr>
          <w:spacing w:val="30"/>
          <w:sz w:val="16"/>
        </w:rPr>
        <w:t>Açu.</w:t>
      </w:r>
      <w:r>
        <w:rPr>
          <w:spacing w:val="105"/>
          <w:sz w:val="16"/>
        </w:rPr>
        <w:t xml:space="preserve"> </w:t>
      </w:r>
      <w:r>
        <w:rPr>
          <w:spacing w:val="36"/>
          <w:sz w:val="16"/>
        </w:rPr>
        <w:t>Disponível</w:t>
      </w:r>
      <w:r>
        <w:rPr>
          <w:spacing w:val="35"/>
          <w:sz w:val="16"/>
        </w:rPr>
        <w:t xml:space="preserve"> </w:t>
      </w:r>
      <w:r>
        <w:rPr>
          <w:spacing w:val="27"/>
          <w:sz w:val="16"/>
        </w:rPr>
        <w:t>em:</w:t>
      </w:r>
      <w:r>
        <w:rPr>
          <w:spacing w:val="-2"/>
          <w:sz w:val="16"/>
        </w:rPr>
        <w:t xml:space="preserve"> </w:t>
      </w:r>
    </w:p>
    <w:p w:rsidR="00D81F69" w:rsidRDefault="00D81F69">
      <w:pPr>
        <w:spacing w:before="56" w:line="312" w:lineRule="auto"/>
        <w:ind w:left="100" w:right="198"/>
        <w:jc w:val="both"/>
        <w:rPr>
          <w:sz w:val="16"/>
        </w:rPr>
      </w:pPr>
      <w:hyperlink r:id="rId1437">
        <w:r w:rsidR="00330118">
          <w:rPr>
            <w:sz w:val="16"/>
          </w:rPr>
          <w:t>&lt;http://www.llx.com.br/cgi/cgilua.exe/sys/sta</w:t>
        </w:r>
        <w:r w:rsidR="00330118">
          <w:rPr>
            <w:sz w:val="16"/>
          </w:rPr>
          <w:t>rt.htm?sid=162&amp;lng=br&gt;.</w:t>
        </w:r>
      </w:hyperlink>
      <w:r w:rsidR="00330118">
        <w:rPr>
          <w:sz w:val="16"/>
        </w:rPr>
        <w:t xml:space="preserve"> Acesso em: 20 dez. 2011.</w:t>
      </w:r>
    </w:p>
    <w:p w:rsidR="00D81F69" w:rsidRDefault="00330118">
      <w:pPr>
        <w:spacing w:before="2" w:line="312" w:lineRule="auto"/>
        <w:ind w:left="100" w:right="192"/>
        <w:jc w:val="both"/>
        <w:rPr>
          <w:sz w:val="16"/>
        </w:rPr>
      </w:pPr>
      <w:r>
        <w:rPr>
          <w:sz w:val="16"/>
        </w:rPr>
        <w:t>LOPES, Bruno da Silva; MORAES, Diego Azevedo; MARTINS, Ewerton Victer; MIRANDA, Lauro Gonçalves de; GOMES, Gleide Terezinha de Azevedo. Complexo Portuário do Açu: propostas para que a riqueza gerada possa re</w:t>
      </w:r>
      <w:r>
        <w:rPr>
          <w:sz w:val="16"/>
        </w:rPr>
        <w:t>tornar à comunidade de São João da Barra utilizando a ferramenta accountability. Perspectivas online - Ciências Exatas e Engenharia, v. 1, n. 1, 2011. Disponível em:</w:t>
      </w:r>
    </w:p>
    <w:p w:rsidR="00D81F69" w:rsidRDefault="00D81F69">
      <w:pPr>
        <w:spacing w:before="5" w:line="312" w:lineRule="auto"/>
        <w:ind w:left="100" w:right="216"/>
        <w:jc w:val="both"/>
        <w:rPr>
          <w:sz w:val="16"/>
        </w:rPr>
      </w:pPr>
      <w:hyperlink r:id="rId1438">
        <w:r w:rsidR="00330118">
          <w:rPr>
            <w:sz w:val="16"/>
          </w:rPr>
          <w:t>&lt;ht</w:t>
        </w:r>
        <w:r w:rsidR="00330118">
          <w:rPr>
            <w:sz w:val="16"/>
          </w:rPr>
          <w:t>tp://seer.perspectivasonline.com.br/index.php/EE/article/viewFile/3</w:t>
        </w:r>
      </w:hyperlink>
      <w:r w:rsidR="00330118">
        <w:rPr>
          <w:sz w:val="16"/>
        </w:rPr>
        <w:t xml:space="preserve"> 1/50&gt;. Acesso em: 20 dez. 2011.</w:t>
      </w:r>
    </w:p>
    <w:p w:rsidR="00D81F69" w:rsidRDefault="00330118">
      <w:pPr>
        <w:spacing w:before="1" w:line="312" w:lineRule="auto"/>
        <w:ind w:left="100" w:right="194"/>
        <w:jc w:val="both"/>
        <w:rPr>
          <w:sz w:val="16"/>
        </w:rPr>
      </w:pPr>
      <w:r>
        <w:rPr>
          <w:sz w:val="16"/>
        </w:rPr>
        <w:t xml:space="preserve">LUNA, Denise. Demora em liberação de área afeta ida de siderúrgica para o RJ. Agência de Notícias da Polícia Federal, 19 jan. 2012. Disponível em: </w:t>
      </w:r>
      <w:hyperlink r:id="rId1439">
        <w:r>
          <w:rPr>
            <w:sz w:val="16"/>
          </w:rPr>
          <w:t xml:space="preserve">&lt;http://www.dpf.gov.br/agencia/pf-na- </w:t>
        </w:r>
      </w:hyperlink>
      <w:r>
        <w:rPr>
          <w:sz w:val="16"/>
        </w:rPr>
        <w:t>midia/jornal/2012/janeiro/demora-em-liberacao-de-area-afeta-ida-de- siderurgica-para-o-rj&gt;. Acesso em: 24 fev. 2012.</w:t>
      </w:r>
    </w:p>
    <w:p w:rsidR="00D81F69" w:rsidRDefault="00330118">
      <w:pPr>
        <w:spacing w:before="5"/>
        <w:ind w:left="100"/>
        <w:jc w:val="both"/>
        <w:rPr>
          <w:sz w:val="16"/>
        </w:rPr>
      </w:pPr>
      <w:r>
        <w:rPr>
          <w:sz w:val="16"/>
        </w:rPr>
        <w:t>MAPA  DA  INJUSTIÇA  AMBIENTAL  E   SAÚDE  NO BRASIL.</w:t>
      </w:r>
    </w:p>
    <w:p w:rsidR="00D81F69" w:rsidRDefault="00330118">
      <w:pPr>
        <w:tabs>
          <w:tab w:val="left" w:pos="2559"/>
          <w:tab w:val="left" w:pos="5063"/>
        </w:tabs>
        <w:spacing w:before="56" w:line="312" w:lineRule="auto"/>
        <w:ind w:left="100" w:right="200"/>
        <w:jc w:val="both"/>
        <w:rPr>
          <w:sz w:val="16"/>
        </w:rPr>
      </w:pPr>
      <w:r>
        <w:rPr>
          <w:sz w:val="16"/>
        </w:rPr>
        <w:t>Fragilidade no processo de licenciamento ambiental do Complexo Portuário de Açu coloca em risco comunidades de 32 municípios dos estados de Minas Gerais e Rio de Janeiro, 03 dez. 2009. Disponível   e</w:t>
      </w:r>
      <w:r>
        <w:rPr>
          <w:sz w:val="16"/>
        </w:rPr>
        <w:tab/>
        <w:t>m</w:t>
      </w:r>
      <w:r>
        <w:rPr>
          <w:sz w:val="16"/>
        </w:rPr>
        <w:tab/>
        <w:t>:</w:t>
      </w:r>
    </w:p>
    <w:p w:rsidR="00D81F69" w:rsidRDefault="00D81F69">
      <w:pPr>
        <w:spacing w:before="3" w:line="312" w:lineRule="auto"/>
        <w:ind w:left="100" w:right="216"/>
        <w:jc w:val="both"/>
        <w:rPr>
          <w:sz w:val="16"/>
        </w:rPr>
      </w:pPr>
      <w:hyperlink r:id="rId1440">
        <w:r w:rsidR="00330118">
          <w:rPr>
            <w:sz w:val="16"/>
          </w:rPr>
          <w:t>&lt;http://www.conflitoambiental.icict.fiocruz.br/index.php?pag=ficha&amp;co</w:t>
        </w:r>
      </w:hyperlink>
      <w:r w:rsidR="00330118">
        <w:rPr>
          <w:sz w:val="16"/>
        </w:rPr>
        <w:t xml:space="preserve"> d=121&gt;. Acesso em: 20 dez. 2011.</w:t>
      </w:r>
    </w:p>
    <w:p w:rsidR="00D81F69" w:rsidRDefault="00330118">
      <w:pPr>
        <w:spacing w:before="2" w:line="312" w:lineRule="auto"/>
        <w:ind w:left="100" w:right="199"/>
        <w:jc w:val="both"/>
        <w:rPr>
          <w:sz w:val="16"/>
        </w:rPr>
      </w:pPr>
      <w:r>
        <w:rPr>
          <w:sz w:val="16"/>
        </w:rPr>
        <w:t>MORAES, ROBERTO. Movimentação da LLX e atual situação das terras no Açu. Blog do Roberto Moraes, 08 ago. 2013. Disp</w:t>
      </w:r>
      <w:r>
        <w:rPr>
          <w:sz w:val="16"/>
        </w:rPr>
        <w:t>onível em:</w:t>
      </w:r>
    </w:p>
    <w:p w:rsidR="00D81F69" w:rsidRDefault="00D81F69">
      <w:pPr>
        <w:spacing w:before="1" w:line="312" w:lineRule="auto"/>
        <w:ind w:left="100" w:right="214"/>
        <w:jc w:val="both"/>
        <w:rPr>
          <w:sz w:val="16"/>
        </w:rPr>
      </w:pPr>
      <w:hyperlink r:id="rId1441">
        <w:r w:rsidR="00330118">
          <w:rPr>
            <w:sz w:val="16"/>
          </w:rPr>
          <w:t>&lt;http://www.robertomoraes.com.br/2013/08/movimentacao-da-llx-e-</w:t>
        </w:r>
      </w:hyperlink>
      <w:r w:rsidR="00330118">
        <w:rPr>
          <w:sz w:val="16"/>
        </w:rPr>
        <w:t xml:space="preserve"> atual-situacao.html&gt;. Acesso em: 30 ago. 2013.</w:t>
      </w:r>
    </w:p>
    <w:p w:rsidR="00D81F69" w:rsidRDefault="00330118">
      <w:pPr>
        <w:spacing w:before="2" w:line="312" w:lineRule="auto"/>
        <w:ind w:left="100" w:right="194"/>
        <w:jc w:val="both"/>
        <w:rPr>
          <w:sz w:val="16"/>
        </w:rPr>
      </w:pPr>
      <w:r>
        <w:rPr>
          <w:sz w:val="16"/>
        </w:rPr>
        <w:t xml:space="preserve">PORTAL OZK NEWS. Siderúrgica Ternium do Porto do Açu, </w:t>
      </w:r>
      <w:r>
        <w:rPr>
          <w:sz w:val="16"/>
        </w:rPr>
        <w:t>em São João da Barra, deverá ter licença prévia em até 10 dias, 17 ago.</w:t>
      </w:r>
    </w:p>
    <w:p w:rsidR="00D81F69" w:rsidRDefault="00330118">
      <w:pPr>
        <w:tabs>
          <w:tab w:val="left" w:pos="1785"/>
          <w:tab w:val="left" w:pos="4548"/>
        </w:tabs>
        <w:spacing w:before="1"/>
        <w:ind w:left="100"/>
        <w:jc w:val="both"/>
        <w:rPr>
          <w:sz w:val="16"/>
        </w:rPr>
      </w:pPr>
      <w:r>
        <w:rPr>
          <w:sz w:val="16"/>
        </w:rPr>
        <w:t xml:space="preserve">2   0   1  </w:t>
      </w:r>
      <w:r>
        <w:rPr>
          <w:spacing w:val="35"/>
          <w:sz w:val="16"/>
        </w:rPr>
        <w:t xml:space="preserve"> </w:t>
      </w:r>
      <w:r>
        <w:rPr>
          <w:sz w:val="16"/>
        </w:rPr>
        <w:t xml:space="preserve">1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2"/>
          <w:sz w:val="16"/>
        </w:rPr>
        <w:t xml:space="preserve"> </w:t>
      </w:r>
      <w:r>
        <w:rPr>
          <w:sz w:val="16"/>
        </w:rPr>
        <w:t>:</w:t>
      </w:r>
    </w:p>
    <w:p w:rsidR="00D81F69" w:rsidRDefault="00D81F69">
      <w:pPr>
        <w:spacing w:before="56" w:line="312" w:lineRule="auto"/>
        <w:ind w:left="100" w:right="215"/>
        <w:jc w:val="both"/>
        <w:rPr>
          <w:sz w:val="16"/>
        </w:rPr>
      </w:pPr>
      <w:hyperlink r:id="rId1442">
        <w:r w:rsidR="00330118">
          <w:rPr>
            <w:sz w:val="16"/>
          </w:rPr>
          <w:t>&lt;</w:t>
        </w:r>
        <w:r w:rsidR="00330118">
          <w:rPr>
            <w:sz w:val="16"/>
          </w:rPr>
          <w:t>http://portalozknews.com.br/v1/materia/saojoaodabarra/2011/08/17/s</w:t>
        </w:r>
      </w:hyperlink>
      <w:r w:rsidR="00330118">
        <w:rPr>
          <w:sz w:val="16"/>
        </w:rPr>
        <w:t xml:space="preserve"> iderurgica-ternium-do-porto-do-acu-em-sao-joao-da-barra-devera-ter- licenca-previa-em-ate-10-dias/&gt;. Acesso em: 20 dez. 2011.</w:t>
      </w:r>
    </w:p>
    <w:p w:rsidR="00D81F69" w:rsidRDefault="00330118">
      <w:pPr>
        <w:spacing w:before="3" w:line="312" w:lineRule="auto"/>
        <w:ind w:left="100" w:right="189"/>
        <w:jc w:val="both"/>
        <w:rPr>
          <w:sz w:val="16"/>
        </w:rPr>
      </w:pPr>
      <w:r>
        <w:rPr>
          <w:sz w:val="16"/>
        </w:rPr>
        <w:t xml:space="preserve">R7. Em greve, operários do super porto do Açu mantêm estrada </w:t>
      </w:r>
      <w:hyperlink r:id="rId1443">
        <w:r>
          <w:rPr>
            <w:sz w:val="16"/>
          </w:rPr>
          <w:t>fechada no norte do estado. Disponível em: &lt;http://noticias.r7.com/rio-</w:t>
        </w:r>
      </w:hyperlink>
      <w:r>
        <w:rPr>
          <w:sz w:val="16"/>
        </w:rPr>
        <w:t xml:space="preserve"> de-janeiro/noticias/em-greve-operarios-do-super-porto-do-acu- mantem-estrada-fechada-no-norte-do-estado-20120228.html&gt;. Acesso em: 28 fev. 20</w:t>
      </w:r>
      <w:r>
        <w:rPr>
          <w:sz w:val="16"/>
        </w:rPr>
        <w:t>12.</w:t>
      </w:r>
    </w:p>
    <w:p w:rsidR="00D81F69" w:rsidRDefault="00330118">
      <w:pPr>
        <w:spacing w:before="4" w:line="312" w:lineRule="auto"/>
        <w:ind w:left="100" w:right="193"/>
        <w:jc w:val="both"/>
        <w:rPr>
          <w:sz w:val="16"/>
        </w:rPr>
      </w:pPr>
      <w:r>
        <w:rPr>
          <w:sz w:val="16"/>
        </w:rPr>
        <w:t>RODRIGUES, Rejane Cristina de Araujo; LEMOS, Linovaldo Miranda. Logística e território no Brasil – Os complexos portuários do Norte Fluminense. Revista Geográfica de América Central, Número Especial EGAL, 2011- Costa Rica. 2º semestre 2011, pp. 1-16. T</w:t>
      </w:r>
      <w:r>
        <w:rPr>
          <w:sz w:val="16"/>
        </w:rPr>
        <w:t>ERRA. Eike vende o  controle da  LLX  por  R$  1,3  bilhão, 14 ago.</w:t>
      </w:r>
    </w:p>
    <w:p w:rsidR="00D81F69" w:rsidRDefault="00330118">
      <w:pPr>
        <w:tabs>
          <w:tab w:val="left" w:pos="1785"/>
          <w:tab w:val="left" w:pos="4548"/>
        </w:tabs>
        <w:spacing w:before="4"/>
        <w:ind w:left="100"/>
        <w:jc w:val="both"/>
        <w:rPr>
          <w:sz w:val="16"/>
        </w:rPr>
      </w:pPr>
      <w:r>
        <w:rPr>
          <w:sz w:val="16"/>
        </w:rPr>
        <w:t xml:space="preserve">2   0   1  </w:t>
      </w:r>
      <w:r>
        <w:rPr>
          <w:spacing w:val="35"/>
          <w:sz w:val="16"/>
        </w:rPr>
        <w:t xml:space="preserve"> </w:t>
      </w:r>
      <w:r>
        <w:rPr>
          <w:sz w:val="16"/>
        </w:rPr>
        <w:t xml:space="preserve">3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17"/>
        <w:jc w:val="both"/>
        <w:rPr>
          <w:sz w:val="16"/>
        </w:rPr>
      </w:pPr>
      <w:hyperlink r:id="rId1444">
        <w:r w:rsidR="00330118">
          <w:rPr>
            <w:sz w:val="16"/>
          </w:rPr>
          <w:t>&lt;</w:t>
        </w:r>
        <w:r w:rsidR="00330118">
          <w:rPr>
            <w:sz w:val="16"/>
          </w:rPr>
          <w:t>http://economia.terra.com.br/noticias/noticia.aspx?idNoticia=2013081</w:t>
        </w:r>
      </w:hyperlink>
      <w:r w:rsidR="00330118">
        <w:rPr>
          <w:sz w:val="16"/>
        </w:rPr>
        <w:t xml:space="preserve"> 42116_RTR_SPE97D096&gt;. Acesso em: 30 ago. 2013.</w:t>
      </w:r>
    </w:p>
    <w:p w:rsidR="00D81F69" w:rsidRDefault="00330118">
      <w:pPr>
        <w:tabs>
          <w:tab w:val="left" w:pos="875"/>
          <w:tab w:val="left" w:pos="2464"/>
          <w:tab w:val="left" w:pos="4635"/>
        </w:tabs>
        <w:spacing w:before="2" w:line="312" w:lineRule="auto"/>
        <w:ind w:left="100" w:right="201"/>
        <w:jc w:val="both"/>
        <w:rPr>
          <w:sz w:val="16"/>
        </w:rPr>
      </w:pPr>
      <w:r>
        <w:rPr>
          <w:sz w:val="16"/>
        </w:rPr>
        <w:t xml:space="preserve">VAZ, TATIANA. Cortes e empresas à venda: 10 medidas de Eike para s </w:t>
      </w:r>
      <w:r>
        <w:rPr>
          <w:spacing w:val="11"/>
          <w:sz w:val="16"/>
        </w:rPr>
        <w:t xml:space="preserve"> </w:t>
      </w:r>
      <w:r>
        <w:rPr>
          <w:sz w:val="16"/>
        </w:rPr>
        <w:t>e</w:t>
      </w:r>
      <w:r>
        <w:rPr>
          <w:sz w:val="16"/>
        </w:rPr>
        <w:tab/>
        <w:t xml:space="preserve">s </w:t>
      </w:r>
      <w:r>
        <w:rPr>
          <w:spacing w:val="11"/>
          <w:sz w:val="16"/>
        </w:rPr>
        <w:t xml:space="preserve"> </w:t>
      </w:r>
      <w:r>
        <w:rPr>
          <w:sz w:val="16"/>
        </w:rPr>
        <w:t xml:space="preserve">a </w:t>
      </w:r>
      <w:r>
        <w:rPr>
          <w:spacing w:val="11"/>
          <w:sz w:val="16"/>
        </w:rPr>
        <w:t xml:space="preserve"> </w:t>
      </w:r>
      <w:r>
        <w:rPr>
          <w:sz w:val="16"/>
        </w:rPr>
        <w:t xml:space="preserve">l </w:t>
      </w:r>
      <w:r>
        <w:rPr>
          <w:spacing w:val="11"/>
          <w:sz w:val="16"/>
        </w:rPr>
        <w:t xml:space="preserve"> </w:t>
      </w:r>
      <w:r>
        <w:rPr>
          <w:sz w:val="16"/>
        </w:rPr>
        <w:t xml:space="preserve">v </w:t>
      </w:r>
      <w:r>
        <w:rPr>
          <w:spacing w:val="11"/>
          <w:sz w:val="16"/>
        </w:rPr>
        <w:t xml:space="preserve"> </w:t>
      </w:r>
      <w:r>
        <w:rPr>
          <w:sz w:val="16"/>
        </w:rPr>
        <w:t xml:space="preserve">a </w:t>
      </w:r>
      <w:r>
        <w:rPr>
          <w:spacing w:val="11"/>
          <w:sz w:val="16"/>
        </w:rPr>
        <w:t xml:space="preserve"> </w:t>
      </w:r>
      <w:r>
        <w:rPr>
          <w:sz w:val="16"/>
        </w:rPr>
        <w:t xml:space="preserve">r </w:t>
      </w:r>
      <w:r>
        <w:rPr>
          <w:spacing w:val="11"/>
          <w:sz w:val="16"/>
        </w:rPr>
        <w:t xml:space="preserve"> </w:t>
      </w:r>
      <w:r>
        <w:rPr>
          <w:sz w:val="16"/>
        </w:rPr>
        <w:t>.</w:t>
      </w:r>
      <w:r>
        <w:rPr>
          <w:sz w:val="16"/>
        </w:rPr>
        <w:tab/>
        <w:t xml:space="preserve">D </w:t>
      </w:r>
      <w:r>
        <w:rPr>
          <w:spacing w:val="11"/>
          <w:sz w:val="16"/>
        </w:rPr>
        <w:t xml:space="preserve"> </w:t>
      </w:r>
      <w:r>
        <w:rPr>
          <w:sz w:val="16"/>
        </w:rPr>
        <w:t xml:space="preserve">i </w:t>
      </w:r>
      <w:r>
        <w:rPr>
          <w:spacing w:val="11"/>
          <w:sz w:val="16"/>
        </w:rPr>
        <w:t xml:space="preserve"> </w:t>
      </w:r>
      <w:r>
        <w:rPr>
          <w:sz w:val="16"/>
        </w:rPr>
        <w:t xml:space="preserve">s </w:t>
      </w:r>
      <w:r>
        <w:rPr>
          <w:spacing w:val="11"/>
          <w:sz w:val="16"/>
        </w:rPr>
        <w:t xml:space="preserve"> </w:t>
      </w:r>
      <w:r>
        <w:rPr>
          <w:sz w:val="16"/>
        </w:rPr>
        <w:t xml:space="preserve">p </w:t>
      </w:r>
      <w:r>
        <w:rPr>
          <w:spacing w:val="11"/>
          <w:sz w:val="16"/>
        </w:rPr>
        <w:t xml:space="preserve"> </w:t>
      </w:r>
      <w:r>
        <w:rPr>
          <w:sz w:val="16"/>
        </w:rPr>
        <w:t xml:space="preserve">o </w:t>
      </w:r>
      <w:r>
        <w:rPr>
          <w:spacing w:val="11"/>
          <w:sz w:val="16"/>
        </w:rPr>
        <w:t xml:space="preserve"> </w:t>
      </w:r>
      <w:r>
        <w:rPr>
          <w:sz w:val="16"/>
        </w:rPr>
        <w:t xml:space="preserve">n </w:t>
      </w:r>
      <w:r>
        <w:rPr>
          <w:spacing w:val="11"/>
          <w:sz w:val="16"/>
        </w:rPr>
        <w:t xml:space="preserve"> </w:t>
      </w:r>
      <w:r>
        <w:rPr>
          <w:sz w:val="16"/>
        </w:rPr>
        <w:t xml:space="preserve">í </w:t>
      </w:r>
      <w:r>
        <w:rPr>
          <w:spacing w:val="11"/>
          <w:sz w:val="16"/>
        </w:rPr>
        <w:t xml:space="preserve"> </w:t>
      </w:r>
      <w:r>
        <w:rPr>
          <w:sz w:val="16"/>
        </w:rPr>
        <w:t xml:space="preserve">v </w:t>
      </w:r>
      <w:r>
        <w:rPr>
          <w:spacing w:val="11"/>
          <w:sz w:val="16"/>
        </w:rPr>
        <w:t xml:space="preserve"> </w:t>
      </w:r>
      <w:r>
        <w:rPr>
          <w:sz w:val="16"/>
        </w:rPr>
        <w:t xml:space="preserve">e </w:t>
      </w:r>
      <w:r>
        <w:rPr>
          <w:spacing w:val="11"/>
          <w:sz w:val="16"/>
        </w:rPr>
        <w:t xml:space="preserve"> </w:t>
      </w:r>
      <w:r>
        <w:rPr>
          <w:sz w:val="16"/>
        </w:rPr>
        <w:t>l</w:t>
      </w:r>
      <w:r>
        <w:rPr>
          <w:sz w:val="16"/>
        </w:rPr>
        <w:tab/>
        <w:t>e m</w:t>
      </w:r>
      <w:r>
        <w:rPr>
          <w:spacing w:val="25"/>
          <w:sz w:val="16"/>
        </w:rPr>
        <w:t xml:space="preserve"> </w:t>
      </w:r>
      <w:r>
        <w:rPr>
          <w:sz w:val="16"/>
        </w:rPr>
        <w:t>:</w:t>
      </w:r>
    </w:p>
    <w:p w:rsidR="00D81F69" w:rsidRDefault="00D81F69">
      <w:pPr>
        <w:spacing w:before="1" w:line="312" w:lineRule="auto"/>
        <w:ind w:left="100" w:right="193"/>
        <w:jc w:val="both"/>
        <w:rPr>
          <w:sz w:val="16"/>
        </w:rPr>
      </w:pPr>
      <w:hyperlink r:id="rId1445">
        <w:r w:rsidR="00330118">
          <w:rPr>
            <w:sz w:val="16"/>
          </w:rPr>
          <w:t>&lt;http://exame.abril.com.br/negocios/noticias/cortes-e-empresas-a-</w:t>
        </w:r>
      </w:hyperlink>
      <w:r w:rsidR="00330118">
        <w:rPr>
          <w:sz w:val="16"/>
        </w:rPr>
        <w:t xml:space="preserve"> venda-10-medidas-de-eike-para-se-salvar&gt;. Acesso em: 30 ago. 2013.</w:t>
      </w:r>
    </w:p>
    <w:p w:rsidR="00D81F69" w:rsidRDefault="00330118">
      <w:pPr>
        <w:spacing w:before="3" w:line="312" w:lineRule="auto"/>
        <w:ind w:left="100" w:right="174"/>
        <w:jc w:val="both"/>
        <w:rPr>
          <w:sz w:val="16"/>
        </w:rPr>
      </w:pPr>
      <w:r>
        <w:rPr>
          <w:spacing w:val="3"/>
          <w:sz w:val="16"/>
        </w:rPr>
        <w:t xml:space="preserve">VERSIGNASSI, Alexandre. </w:t>
      </w:r>
      <w:r>
        <w:rPr>
          <w:spacing w:val="2"/>
          <w:sz w:val="16"/>
        </w:rPr>
        <w:t xml:space="preserve">Como Eike </w:t>
      </w:r>
      <w:r>
        <w:rPr>
          <w:spacing w:val="3"/>
          <w:sz w:val="16"/>
        </w:rPr>
        <w:t>Batista f</w:t>
      </w:r>
      <w:r>
        <w:rPr>
          <w:spacing w:val="3"/>
          <w:sz w:val="16"/>
        </w:rPr>
        <w:t xml:space="preserve">icou pobre. </w:t>
      </w:r>
      <w:r>
        <w:rPr>
          <w:spacing w:val="5"/>
          <w:sz w:val="16"/>
        </w:rPr>
        <w:t xml:space="preserve">Blog </w:t>
      </w:r>
      <w:r>
        <w:rPr>
          <w:spacing w:val="23"/>
          <w:sz w:val="16"/>
        </w:rPr>
        <w:t xml:space="preserve">Superinteressante, </w:t>
      </w:r>
      <w:r>
        <w:rPr>
          <w:spacing w:val="12"/>
          <w:sz w:val="16"/>
        </w:rPr>
        <w:t xml:space="preserve">28 </w:t>
      </w:r>
      <w:r>
        <w:rPr>
          <w:spacing w:val="18"/>
          <w:sz w:val="16"/>
        </w:rPr>
        <w:t xml:space="preserve">fev. </w:t>
      </w:r>
      <w:r>
        <w:rPr>
          <w:spacing w:val="20"/>
          <w:sz w:val="16"/>
        </w:rPr>
        <w:t xml:space="preserve">2013. </w:t>
      </w:r>
      <w:r>
        <w:rPr>
          <w:spacing w:val="22"/>
          <w:sz w:val="16"/>
        </w:rPr>
        <w:t>Disponível</w:t>
      </w:r>
      <w:r>
        <w:rPr>
          <w:spacing w:val="81"/>
          <w:sz w:val="16"/>
        </w:rPr>
        <w:t xml:space="preserve"> </w:t>
      </w:r>
      <w:r>
        <w:rPr>
          <w:spacing w:val="16"/>
          <w:sz w:val="16"/>
        </w:rPr>
        <w:t>em:</w:t>
      </w:r>
      <w:r>
        <w:rPr>
          <w:spacing w:val="-18"/>
          <w:sz w:val="16"/>
        </w:rPr>
        <w:t xml:space="preserve"> </w:t>
      </w:r>
    </w:p>
    <w:p w:rsidR="00D81F69" w:rsidRDefault="00D81F69">
      <w:pPr>
        <w:spacing w:before="2" w:line="312" w:lineRule="auto"/>
        <w:ind w:left="100" w:right="190"/>
        <w:jc w:val="both"/>
        <w:rPr>
          <w:sz w:val="16"/>
        </w:rPr>
      </w:pPr>
      <w:hyperlink r:id="rId1446">
        <w:r w:rsidR="00330118">
          <w:rPr>
            <w:sz w:val="16"/>
          </w:rPr>
          <w:t>&lt;http://super.abril.com.br/blogs/crash/como-eike-ficou-pobre/&gt;.</w:t>
        </w:r>
      </w:hyperlink>
      <w:r w:rsidR="00330118">
        <w:rPr>
          <w:sz w:val="16"/>
        </w:rPr>
        <w:t xml:space="preserve"> Acesso em: 30 ago. 2013.</w:t>
      </w:r>
    </w:p>
    <w:p w:rsidR="00D81F69" w:rsidRDefault="00330118">
      <w:pPr>
        <w:spacing w:before="1" w:line="312" w:lineRule="auto"/>
        <w:ind w:left="100" w:right="165"/>
        <w:jc w:val="both"/>
        <w:rPr>
          <w:sz w:val="16"/>
        </w:rPr>
      </w:pPr>
      <w:r>
        <w:rPr>
          <w:sz w:val="16"/>
        </w:rPr>
        <w:t>SRZD. Siderúrgica chine</w:t>
      </w:r>
      <w:r>
        <w:rPr>
          <w:sz w:val="16"/>
        </w:rPr>
        <w:t xml:space="preserve">sa será instalada em São João da Barra em até três anos, 17 abr. 2010. Disponível em: </w:t>
      </w:r>
    </w:p>
    <w:p w:rsidR="00D81F69" w:rsidRDefault="00D81F69">
      <w:pPr>
        <w:spacing w:before="2" w:line="312" w:lineRule="auto"/>
        <w:ind w:left="100" w:right="216"/>
        <w:jc w:val="both"/>
        <w:rPr>
          <w:sz w:val="16"/>
        </w:rPr>
      </w:pPr>
      <w:hyperlink r:id="rId1447">
        <w:r w:rsidR="00330118">
          <w:rPr>
            <w:sz w:val="16"/>
          </w:rPr>
          <w:t>&lt;http://www.sidneyrezende.com/noticia/82464+siderurgica+chinesa+s</w:t>
        </w:r>
      </w:hyperlink>
      <w:r w:rsidR="00330118">
        <w:rPr>
          <w:sz w:val="16"/>
        </w:rPr>
        <w:t xml:space="preserve"> era+instalada+e</w:t>
      </w:r>
      <w:r w:rsidR="00330118">
        <w:rPr>
          <w:sz w:val="16"/>
        </w:rPr>
        <w:t>m+sao+joao+da+barra+em+ate+tres+anos&gt;. Acesso em: 20 dez. 2011.</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225" w:space="245"/>
            <w:col w:w="5310"/>
          </w:cols>
        </w:sectPr>
      </w:pPr>
    </w:p>
    <w:p w:rsidR="00D81F69" w:rsidRDefault="00330118">
      <w:pPr>
        <w:pStyle w:val="Heading1"/>
        <w:tabs>
          <w:tab w:val="left" w:pos="1159"/>
          <w:tab w:val="left" w:pos="3885"/>
          <w:tab w:val="left" w:pos="4642"/>
          <w:tab w:val="left" w:pos="6822"/>
          <w:tab w:val="left" w:pos="8310"/>
        </w:tabs>
        <w:spacing w:line="208" w:lineRule="auto"/>
        <w:ind w:right="187"/>
      </w:pPr>
      <w:r>
        <w:rPr>
          <w:spacing w:val="20"/>
        </w:rPr>
        <w:lastRenderedPageBreak/>
        <w:t>Cia.</w:t>
      </w:r>
      <w:r>
        <w:rPr>
          <w:spacing w:val="20"/>
        </w:rPr>
        <w:tab/>
      </w:r>
      <w:r>
        <w:rPr>
          <w:spacing w:val="23"/>
        </w:rPr>
        <w:t>Siderúrgica</w:t>
      </w:r>
      <w:r>
        <w:rPr>
          <w:spacing w:val="23"/>
        </w:rPr>
        <w:tab/>
      </w:r>
      <w:r>
        <w:rPr>
          <w:spacing w:val="12"/>
        </w:rPr>
        <w:t>do</w:t>
      </w:r>
      <w:r>
        <w:rPr>
          <w:spacing w:val="12"/>
        </w:rPr>
        <w:tab/>
      </w:r>
      <w:r>
        <w:rPr>
          <w:spacing w:val="23"/>
        </w:rPr>
        <w:t>Atlântico</w:t>
      </w:r>
      <w:r>
        <w:rPr>
          <w:spacing w:val="23"/>
        </w:rPr>
        <w:tab/>
      </w:r>
      <w:r>
        <w:rPr>
          <w:spacing w:val="20"/>
        </w:rPr>
        <w:t>causa</w:t>
      </w:r>
      <w:r>
        <w:rPr>
          <w:spacing w:val="20"/>
        </w:rPr>
        <w:tab/>
      </w:r>
      <w:r>
        <w:rPr>
          <w:spacing w:val="26"/>
        </w:rPr>
        <w:t xml:space="preserve">problemas </w:t>
      </w:r>
      <w:r>
        <w:t>ambientais e de saúde à população de Santa Cruz</w:t>
      </w:r>
      <w:r>
        <w:rPr>
          <w:spacing w:val="67"/>
        </w:rPr>
        <w:t xml:space="preserve"> </w:t>
      </w:r>
      <w:r>
        <w:t>(RJ)</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4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RJ - Rio de Janeiro</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-22,5358</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-43,4357</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1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15"/>
        <w:rPr>
          <w:i/>
          <w:sz w:val="16"/>
        </w:rPr>
      </w:pPr>
      <w:r>
        <w:rPr>
          <w:i/>
          <w:sz w:val="16"/>
        </w:rPr>
        <w:t xml:space="preserve">A Companhia Siderúrgica do Atlântico </w:t>
      </w:r>
      <w:r>
        <w:rPr>
          <w:i/>
          <w:sz w:val="16"/>
        </w:rPr>
        <w:t>(CSA) é o maior empreendimento siderúrgico da América Latina e ocupa uma área, doada pelo governo do estado do Rio de Janeiro, de 9 km² às margens da baía de Sepetiba, no distrito de Santa Cruz. Desde a sua implantação são divulgados relatos de irregularid</w:t>
      </w:r>
      <w:r>
        <w:rPr>
          <w:i/>
          <w:sz w:val="16"/>
        </w:rPr>
        <w:t>ades na baía de Sepetiba, como: dragagens, circulação de navios, destruição do manguezal, etc.</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1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ind w:left="135"/>
        <w:jc w:val="left"/>
      </w:pPr>
      <w:r>
        <w:t>instaladas na mesma região (LIMA, 2008).</w:t>
      </w:r>
    </w:p>
    <w:p w:rsidR="00D81F69" w:rsidRDefault="00D81F69">
      <w:pPr>
        <w:pStyle w:val="Corpodetexto"/>
        <w:spacing w:before="8"/>
        <w:ind w:left="0"/>
        <w:jc w:val="left"/>
        <w:rPr>
          <w:sz w:val="16"/>
        </w:rPr>
      </w:pPr>
    </w:p>
    <w:p w:rsidR="00D81F69" w:rsidRDefault="00330118">
      <w:pPr>
        <w:pStyle w:val="Corpodetexto"/>
        <w:spacing w:before="1" w:line="312" w:lineRule="auto"/>
        <w:ind w:left="135" w:right="195"/>
      </w:pPr>
      <w:r>
        <w:rPr>
          <w:spacing w:val="1"/>
        </w:rPr>
        <w:t xml:space="preserve">Desde </w:t>
      </w:r>
      <w:r>
        <w:t xml:space="preserve">o </w:t>
      </w:r>
      <w:r>
        <w:rPr>
          <w:spacing w:val="1"/>
        </w:rPr>
        <w:t xml:space="preserve">início </w:t>
      </w:r>
      <w:r>
        <w:t xml:space="preserve">da </w:t>
      </w:r>
      <w:r>
        <w:rPr>
          <w:spacing w:val="1"/>
        </w:rPr>
        <w:t xml:space="preserve">construção </w:t>
      </w:r>
      <w:r>
        <w:t xml:space="preserve">da </w:t>
      </w:r>
      <w:r>
        <w:rPr>
          <w:spacing w:val="1"/>
        </w:rPr>
        <w:t xml:space="preserve">siderúrgica, </w:t>
      </w:r>
      <w:r>
        <w:t xml:space="preserve">uma </w:t>
      </w:r>
      <w:r>
        <w:rPr>
          <w:spacing w:val="1"/>
        </w:rPr>
        <w:t xml:space="preserve">série </w:t>
      </w:r>
      <w:r>
        <w:rPr>
          <w:spacing w:val="2"/>
        </w:rPr>
        <w:t xml:space="preserve">de </w:t>
      </w:r>
      <w:r>
        <w:t>relatos de irregularidades chamou a atenção da imprensa e</w:t>
      </w:r>
      <w:r>
        <w:t xml:space="preserve">  do Ministério Público (MP). Entre eles figuram as dragagens,  a circulação de navios, a destruição do manguezal da baía de </w:t>
      </w:r>
      <w:r>
        <w:rPr>
          <w:spacing w:val="7"/>
        </w:rPr>
        <w:t xml:space="preserve">Sepetiba, </w:t>
      </w:r>
      <w:r>
        <w:rPr>
          <w:spacing w:val="5"/>
        </w:rPr>
        <w:t xml:space="preserve">os </w:t>
      </w:r>
      <w:r>
        <w:rPr>
          <w:spacing w:val="7"/>
        </w:rPr>
        <w:t xml:space="preserve">problemas </w:t>
      </w:r>
      <w:r>
        <w:rPr>
          <w:spacing w:val="8"/>
        </w:rPr>
        <w:t xml:space="preserve">trabalhistas referentes </w:t>
      </w:r>
      <w:r>
        <w:t xml:space="preserve">a </w:t>
      </w:r>
      <w:r>
        <w:rPr>
          <w:spacing w:val="10"/>
        </w:rPr>
        <w:t xml:space="preserve">120 </w:t>
      </w:r>
      <w:r>
        <w:t>trabalhadores chineses mobilizados para construção da usina sem contrato de tr</w:t>
      </w:r>
      <w:r>
        <w:t>abalho, além de operários subcontratados em</w:t>
      </w:r>
      <w:r>
        <w:rPr>
          <w:spacing w:val="17"/>
        </w:rPr>
        <w:t xml:space="preserve"> </w:t>
      </w:r>
      <w:r>
        <w:t>condições</w:t>
      </w:r>
      <w:r>
        <w:rPr>
          <w:spacing w:val="17"/>
        </w:rPr>
        <w:t xml:space="preserve"> </w:t>
      </w:r>
      <w:r>
        <w:t>degradantes</w:t>
      </w:r>
      <w:r>
        <w:rPr>
          <w:spacing w:val="17"/>
        </w:rPr>
        <w:t xml:space="preserve"> </w:t>
      </w:r>
      <w:r>
        <w:t>de</w:t>
      </w:r>
      <w:r>
        <w:rPr>
          <w:spacing w:val="17"/>
        </w:rPr>
        <w:t xml:space="preserve"> </w:t>
      </w:r>
      <w:r>
        <w:t>trabalho</w:t>
      </w:r>
      <w:r>
        <w:rPr>
          <w:spacing w:val="17"/>
        </w:rPr>
        <w:t xml:space="preserve"> </w:t>
      </w:r>
      <w:r>
        <w:t>(FIOCRUZ,</w:t>
      </w:r>
      <w:r>
        <w:rPr>
          <w:spacing w:val="17"/>
        </w:rPr>
        <w:t xml:space="preserve"> </w:t>
      </w:r>
      <w:r>
        <w:t>2011).</w:t>
      </w:r>
    </w:p>
    <w:p w:rsidR="00D81F69" w:rsidRDefault="00330118">
      <w:pPr>
        <w:pStyle w:val="Corpodetexto"/>
        <w:spacing w:before="74" w:line="270" w:lineRule="atLeast"/>
        <w:ind w:left="135" w:right="209"/>
      </w:pPr>
      <w:r>
        <w:t>Em duas ocasiões, agosto e dezembro de 2010, alguns moradores relataram o aumento da poluição atmosférica, com a aparição de um pó brilhoso prateado que estaria causando</w:t>
      </w:r>
    </w:p>
    <w:p w:rsidR="00D81F69" w:rsidRDefault="00D81F69">
      <w:pPr>
        <w:spacing w:line="270" w:lineRule="atLeast"/>
        <w:sectPr w:rsidR="00D81F69">
          <w:type w:val="continuous"/>
          <w:pgSz w:w="11900" w:h="16840"/>
          <w:pgMar w:top="720" w:right="500" w:bottom="280" w:left="620" w:header="720" w:footer="720" w:gutter="0"/>
          <w:cols w:num="3" w:space="720" w:equalWidth="0">
            <w:col w:w="1374" w:space="626"/>
            <w:col w:w="3154" w:space="281"/>
            <w:col w:w="5345"/>
          </w:cols>
        </w:sectPr>
      </w:pPr>
    </w:p>
    <w:p w:rsidR="00D81F69" w:rsidRDefault="00330118">
      <w:pPr>
        <w:pStyle w:val="Heading4"/>
        <w:spacing w:line="263" w:lineRule="exact"/>
        <w:jc w:val="left"/>
      </w:pPr>
      <w:r>
        <w:lastRenderedPageBreak/>
        <w:t>APRESENTAÇÃO DE CASO</w:t>
      </w:r>
    </w:p>
    <w:p w:rsidR="00D81F69" w:rsidRDefault="00330118">
      <w:pPr>
        <w:pStyle w:val="Corpodetexto"/>
        <w:spacing w:before="170" w:line="312" w:lineRule="auto"/>
        <w:ind w:right="77"/>
      </w:pPr>
      <w:r>
        <w:t>Localizado na zona oeste carioca,</w:t>
      </w:r>
      <w:r>
        <w:t xml:space="preserve"> o bairro de Santa Cruz é </w:t>
      </w:r>
      <w:r>
        <w:rPr>
          <w:spacing w:val="1"/>
        </w:rPr>
        <w:t xml:space="preserve">formado </w:t>
      </w:r>
      <w:r>
        <w:t xml:space="preserve">por </w:t>
      </w:r>
      <w:r>
        <w:rPr>
          <w:spacing w:val="1"/>
        </w:rPr>
        <w:t xml:space="preserve">áreas comerciais, residenciais </w:t>
      </w:r>
      <w:r>
        <w:t xml:space="preserve">e </w:t>
      </w:r>
      <w:r>
        <w:rPr>
          <w:spacing w:val="1"/>
        </w:rPr>
        <w:t xml:space="preserve">rurais. </w:t>
      </w:r>
      <w:r>
        <w:t xml:space="preserve">Mas a </w:t>
      </w:r>
      <w:r>
        <w:rPr>
          <w:spacing w:val="1"/>
        </w:rPr>
        <w:t xml:space="preserve">atividade econômica mais importante </w:t>
      </w:r>
      <w:r>
        <w:t xml:space="preserve">ali é a </w:t>
      </w:r>
      <w:r>
        <w:rPr>
          <w:spacing w:val="1"/>
        </w:rPr>
        <w:t xml:space="preserve">industrial. </w:t>
      </w:r>
      <w:r>
        <w:rPr>
          <w:spacing w:val="2"/>
        </w:rPr>
        <w:t xml:space="preserve">Em </w:t>
      </w:r>
      <w:r>
        <w:rPr>
          <w:spacing w:val="3"/>
        </w:rPr>
        <w:t xml:space="preserve">Santa </w:t>
      </w:r>
      <w:r>
        <w:rPr>
          <w:spacing w:val="2"/>
        </w:rPr>
        <w:t xml:space="preserve">Cruz </w:t>
      </w:r>
      <w:r>
        <w:t xml:space="preserve">e </w:t>
      </w:r>
      <w:r>
        <w:rPr>
          <w:spacing w:val="2"/>
        </w:rPr>
        <w:t xml:space="preserve">nas suas </w:t>
      </w:r>
      <w:r>
        <w:rPr>
          <w:spacing w:val="3"/>
        </w:rPr>
        <w:t xml:space="preserve">cercanias concentram-se </w:t>
      </w:r>
      <w:r>
        <w:rPr>
          <w:spacing w:val="5"/>
        </w:rPr>
        <w:t xml:space="preserve">diversas </w:t>
      </w:r>
      <w:r>
        <w:t>indústrias de grande porte, como a Casa da Moeda do Brasi</w:t>
      </w:r>
      <w:r>
        <w:t xml:space="preserve">l, a Fábrica Carioca de Catalisadores, a Companhia Siderúrgica da Guanabara (Cosigua), a Valesul Alumínio S.A e a White Martins. A proximidade ao Porto de Sepetiba dá à região um </w:t>
      </w:r>
      <w:r>
        <w:rPr>
          <w:spacing w:val="5"/>
        </w:rPr>
        <w:t xml:space="preserve">caráter estratégico para </w:t>
      </w:r>
      <w:r>
        <w:t xml:space="preserve">o </w:t>
      </w:r>
      <w:r>
        <w:rPr>
          <w:spacing w:val="5"/>
        </w:rPr>
        <w:t xml:space="preserve">escoamento </w:t>
      </w:r>
      <w:r>
        <w:rPr>
          <w:spacing w:val="2"/>
        </w:rPr>
        <w:t xml:space="preserve">da </w:t>
      </w:r>
      <w:r>
        <w:rPr>
          <w:spacing w:val="5"/>
        </w:rPr>
        <w:t xml:space="preserve">produção </w:t>
      </w:r>
      <w:r>
        <w:rPr>
          <w:spacing w:val="6"/>
        </w:rPr>
        <w:t xml:space="preserve">do </w:t>
      </w:r>
      <w:r>
        <w:rPr>
          <w:spacing w:val="5"/>
        </w:rPr>
        <w:t>Distrito</w:t>
      </w:r>
      <w:r>
        <w:rPr>
          <w:spacing w:val="41"/>
        </w:rPr>
        <w:t xml:space="preserve"> </w:t>
      </w:r>
      <w:r>
        <w:rPr>
          <w:spacing w:val="5"/>
        </w:rPr>
        <w:t>Industrial</w:t>
      </w:r>
      <w:r>
        <w:rPr>
          <w:spacing w:val="41"/>
        </w:rPr>
        <w:t xml:space="preserve"> </w:t>
      </w:r>
      <w:r>
        <w:rPr>
          <w:spacing w:val="2"/>
        </w:rPr>
        <w:t>de</w:t>
      </w:r>
      <w:r>
        <w:rPr>
          <w:spacing w:val="41"/>
        </w:rPr>
        <w:t xml:space="preserve"> </w:t>
      </w:r>
      <w:r>
        <w:rPr>
          <w:spacing w:val="5"/>
        </w:rPr>
        <w:t>S</w:t>
      </w:r>
      <w:r>
        <w:rPr>
          <w:spacing w:val="5"/>
        </w:rPr>
        <w:t>anta</w:t>
      </w:r>
      <w:r>
        <w:rPr>
          <w:spacing w:val="41"/>
        </w:rPr>
        <w:t xml:space="preserve"> </w:t>
      </w:r>
      <w:r>
        <w:rPr>
          <w:spacing w:val="5"/>
        </w:rPr>
        <w:t>Cruz</w:t>
      </w:r>
      <w:r>
        <w:rPr>
          <w:spacing w:val="41"/>
        </w:rPr>
        <w:t xml:space="preserve"> </w:t>
      </w:r>
      <w:r>
        <w:rPr>
          <w:spacing w:val="5"/>
        </w:rPr>
        <w:t>(VIÉGAS,</w:t>
      </w:r>
      <w:r>
        <w:rPr>
          <w:spacing w:val="41"/>
        </w:rPr>
        <w:t xml:space="preserve"> </w:t>
      </w:r>
      <w:r>
        <w:rPr>
          <w:spacing w:val="6"/>
        </w:rPr>
        <w:t>2011).</w:t>
      </w:r>
    </w:p>
    <w:p w:rsidR="00D81F69" w:rsidRDefault="00330118">
      <w:pPr>
        <w:pStyle w:val="Corpodetexto"/>
        <w:spacing w:before="139" w:line="312" w:lineRule="auto"/>
        <w:ind w:right="75"/>
      </w:pPr>
      <w:r>
        <w:rPr>
          <w:spacing w:val="2"/>
        </w:rPr>
        <w:t xml:space="preserve">Em </w:t>
      </w:r>
      <w:r>
        <w:rPr>
          <w:spacing w:val="5"/>
        </w:rPr>
        <w:t xml:space="preserve">julho </w:t>
      </w:r>
      <w:r>
        <w:rPr>
          <w:spacing w:val="2"/>
        </w:rPr>
        <w:t xml:space="preserve">de </w:t>
      </w:r>
      <w:r>
        <w:rPr>
          <w:spacing w:val="5"/>
        </w:rPr>
        <w:t xml:space="preserve">2010, </w:t>
      </w:r>
      <w:r>
        <w:rPr>
          <w:spacing w:val="3"/>
        </w:rPr>
        <w:t xml:space="preserve">uma </w:t>
      </w:r>
      <w:r>
        <w:rPr>
          <w:spacing w:val="5"/>
        </w:rPr>
        <w:t xml:space="preserve">nova indústria </w:t>
      </w:r>
      <w:r>
        <w:rPr>
          <w:spacing w:val="2"/>
        </w:rPr>
        <w:t xml:space="preserve">de </w:t>
      </w:r>
      <w:r>
        <w:rPr>
          <w:spacing w:val="5"/>
        </w:rPr>
        <w:t xml:space="preserve">grande </w:t>
      </w:r>
      <w:r>
        <w:rPr>
          <w:spacing w:val="6"/>
        </w:rPr>
        <w:t xml:space="preserve">porte </w:t>
      </w:r>
      <w:r>
        <w:rPr>
          <w:spacing w:val="3"/>
        </w:rPr>
        <w:t xml:space="preserve">começou </w:t>
      </w:r>
      <w:r>
        <w:t xml:space="preserve">a </w:t>
      </w:r>
      <w:r>
        <w:rPr>
          <w:spacing w:val="3"/>
        </w:rPr>
        <w:t xml:space="preserve">operar </w:t>
      </w:r>
      <w:r>
        <w:rPr>
          <w:spacing w:val="1"/>
        </w:rPr>
        <w:t xml:space="preserve">no </w:t>
      </w:r>
      <w:r>
        <w:rPr>
          <w:spacing w:val="3"/>
        </w:rPr>
        <w:t xml:space="preserve">Distrito Industrial </w:t>
      </w:r>
      <w:r>
        <w:rPr>
          <w:spacing w:val="1"/>
        </w:rPr>
        <w:t xml:space="preserve">de </w:t>
      </w:r>
      <w:r>
        <w:rPr>
          <w:spacing w:val="3"/>
        </w:rPr>
        <w:t xml:space="preserve">Santa Cruz: </w:t>
      </w:r>
      <w:r>
        <w:t xml:space="preserve">a ThyssenKrupp Companhia Siderúrgica do Atlântico (TKCSA), </w:t>
      </w:r>
      <w:r>
        <w:rPr>
          <w:spacing w:val="10"/>
        </w:rPr>
        <w:t xml:space="preserve">uma </w:t>
      </w:r>
      <w:r>
        <w:rPr>
          <w:spacing w:val="11"/>
        </w:rPr>
        <w:t xml:space="preserve">joint </w:t>
      </w:r>
      <w:r>
        <w:rPr>
          <w:spacing w:val="12"/>
        </w:rPr>
        <w:t xml:space="preserve">venture formada </w:t>
      </w:r>
      <w:r>
        <w:rPr>
          <w:spacing w:val="11"/>
        </w:rPr>
        <w:t xml:space="preserve">pela </w:t>
      </w:r>
      <w:r>
        <w:rPr>
          <w:spacing w:val="13"/>
        </w:rPr>
        <w:t xml:space="preserve">companhia </w:t>
      </w:r>
      <w:r>
        <w:rPr>
          <w:spacing w:val="11"/>
        </w:rPr>
        <w:t xml:space="preserve">alemã </w:t>
      </w:r>
      <w:r>
        <w:t>ThyssenKrupp Ste</w:t>
      </w:r>
      <w:r>
        <w:t xml:space="preserve">el, que detém 73% das ações, e pela Vale, que desde 2009 ampliou sua participação para cerca de 27% </w:t>
      </w:r>
      <w:r>
        <w:rPr>
          <w:spacing w:val="5"/>
        </w:rPr>
        <w:t xml:space="preserve">do </w:t>
      </w:r>
      <w:r>
        <w:rPr>
          <w:spacing w:val="8"/>
        </w:rPr>
        <w:t xml:space="preserve">projeto. </w:t>
      </w:r>
      <w:r>
        <w:t xml:space="preserve">A </w:t>
      </w:r>
      <w:r>
        <w:rPr>
          <w:spacing w:val="7"/>
        </w:rPr>
        <w:t xml:space="preserve">TKCSA </w:t>
      </w:r>
      <w:r>
        <w:rPr>
          <w:spacing w:val="6"/>
        </w:rPr>
        <w:t xml:space="preserve">foi </w:t>
      </w:r>
      <w:r>
        <w:rPr>
          <w:spacing w:val="8"/>
        </w:rPr>
        <w:t xml:space="preserve">projetada </w:t>
      </w:r>
      <w:r>
        <w:rPr>
          <w:spacing w:val="7"/>
        </w:rPr>
        <w:t xml:space="preserve">para </w:t>
      </w:r>
      <w:r>
        <w:rPr>
          <w:spacing w:val="6"/>
        </w:rPr>
        <w:t xml:space="preserve">ser </w:t>
      </w:r>
      <w:r>
        <w:t xml:space="preserve">a </w:t>
      </w:r>
      <w:r>
        <w:rPr>
          <w:spacing w:val="10"/>
        </w:rPr>
        <w:t xml:space="preserve">maior </w:t>
      </w:r>
      <w:r>
        <w:t xml:space="preserve">siderúrgica da América Latina, com capacidade de produzir </w:t>
      </w:r>
      <w:r>
        <w:rPr>
          <w:spacing w:val="7"/>
        </w:rPr>
        <w:t xml:space="preserve">até </w:t>
      </w:r>
      <w:r>
        <w:rPr>
          <w:spacing w:val="5"/>
        </w:rPr>
        <w:t xml:space="preserve">10 </w:t>
      </w:r>
      <w:r>
        <w:rPr>
          <w:spacing w:val="10"/>
        </w:rPr>
        <w:t xml:space="preserve">milhões </w:t>
      </w:r>
      <w:r>
        <w:rPr>
          <w:spacing w:val="5"/>
        </w:rPr>
        <w:t xml:space="preserve">de </w:t>
      </w:r>
      <w:r>
        <w:rPr>
          <w:spacing w:val="11"/>
        </w:rPr>
        <w:t xml:space="preserve">toneladas/ano </w:t>
      </w:r>
      <w:r>
        <w:rPr>
          <w:spacing w:val="5"/>
        </w:rPr>
        <w:t xml:space="preserve">de </w:t>
      </w:r>
      <w:r>
        <w:rPr>
          <w:spacing w:val="10"/>
        </w:rPr>
        <w:t xml:space="preserve">placas </w:t>
      </w:r>
      <w:r>
        <w:rPr>
          <w:spacing w:val="5"/>
        </w:rPr>
        <w:t xml:space="preserve">de </w:t>
      </w:r>
      <w:r>
        <w:rPr>
          <w:spacing w:val="12"/>
        </w:rPr>
        <w:t xml:space="preserve">aço </w:t>
      </w:r>
      <w:r>
        <w:t>semielaboradas</w:t>
      </w:r>
      <w:r>
        <w:rPr>
          <w:spacing w:val="26"/>
        </w:rPr>
        <w:t xml:space="preserve"> </w:t>
      </w:r>
      <w:r>
        <w:t>para</w:t>
      </w:r>
      <w:r>
        <w:rPr>
          <w:spacing w:val="26"/>
        </w:rPr>
        <w:t xml:space="preserve"> </w:t>
      </w:r>
      <w:r>
        <w:t>exportação</w:t>
      </w:r>
      <w:r>
        <w:rPr>
          <w:spacing w:val="26"/>
        </w:rPr>
        <w:t xml:space="preserve"> </w:t>
      </w:r>
      <w:r>
        <w:t>(KATO;</w:t>
      </w:r>
      <w:r>
        <w:rPr>
          <w:spacing w:val="26"/>
        </w:rPr>
        <w:t xml:space="preserve"> </w:t>
      </w:r>
      <w:r>
        <w:t>QUINTELA,</w:t>
      </w:r>
      <w:r>
        <w:rPr>
          <w:spacing w:val="26"/>
        </w:rPr>
        <w:t xml:space="preserve"> </w:t>
      </w:r>
      <w:r>
        <w:t>2009).</w:t>
      </w:r>
    </w:p>
    <w:p w:rsidR="00D81F69" w:rsidRDefault="00330118">
      <w:pPr>
        <w:pStyle w:val="Corpodetexto"/>
        <w:spacing w:before="139" w:line="312" w:lineRule="auto"/>
        <w:ind w:right="38"/>
        <w:jc w:val="left"/>
      </w:pPr>
      <w:r>
        <w:t xml:space="preserve">O megaprojeto ocupa uma área de 9 km², às margens da baía </w:t>
      </w:r>
      <w:r>
        <w:rPr>
          <w:spacing w:val="5"/>
        </w:rPr>
        <w:t xml:space="preserve">de </w:t>
      </w:r>
      <w:r>
        <w:rPr>
          <w:spacing w:val="7"/>
        </w:rPr>
        <w:t xml:space="preserve">Sepetiba. Trata-se </w:t>
      </w:r>
      <w:r>
        <w:rPr>
          <w:spacing w:val="5"/>
        </w:rPr>
        <w:t xml:space="preserve">de um </w:t>
      </w:r>
      <w:r>
        <w:rPr>
          <w:spacing w:val="8"/>
        </w:rPr>
        <w:t xml:space="preserve">conglomerado </w:t>
      </w:r>
      <w:r>
        <w:rPr>
          <w:spacing w:val="10"/>
        </w:rPr>
        <w:t xml:space="preserve">industrial </w:t>
      </w:r>
      <w:r>
        <w:rPr>
          <w:spacing w:val="5"/>
        </w:rPr>
        <w:t xml:space="preserve">siderúrgico-portuário, </w:t>
      </w:r>
      <w:r>
        <w:rPr>
          <w:spacing w:val="3"/>
        </w:rPr>
        <w:t xml:space="preserve">com </w:t>
      </w:r>
      <w:r>
        <w:rPr>
          <w:spacing w:val="5"/>
        </w:rPr>
        <w:t xml:space="preserve">capacidade </w:t>
      </w:r>
      <w:r>
        <w:rPr>
          <w:spacing w:val="3"/>
        </w:rPr>
        <w:t xml:space="preserve">para </w:t>
      </w:r>
      <w:r>
        <w:rPr>
          <w:spacing w:val="5"/>
        </w:rPr>
        <w:t xml:space="preserve">produzir 5,5 </w:t>
      </w:r>
      <w:r>
        <w:rPr>
          <w:spacing w:val="3"/>
        </w:rPr>
        <w:t xml:space="preserve">milhões </w:t>
      </w:r>
      <w:r>
        <w:rPr>
          <w:spacing w:val="1"/>
        </w:rPr>
        <w:t xml:space="preserve">de </w:t>
      </w:r>
      <w:r>
        <w:rPr>
          <w:spacing w:val="3"/>
        </w:rPr>
        <w:t xml:space="preserve">toneladas </w:t>
      </w:r>
      <w:r>
        <w:rPr>
          <w:spacing w:val="1"/>
        </w:rPr>
        <w:t xml:space="preserve">de </w:t>
      </w:r>
      <w:r>
        <w:rPr>
          <w:spacing w:val="3"/>
        </w:rPr>
        <w:t xml:space="preserve">placas </w:t>
      </w:r>
      <w:r>
        <w:rPr>
          <w:spacing w:val="1"/>
        </w:rPr>
        <w:t xml:space="preserve">de </w:t>
      </w:r>
      <w:r>
        <w:rPr>
          <w:spacing w:val="3"/>
        </w:rPr>
        <w:t xml:space="preserve">aço/ano destinadas </w:t>
      </w:r>
      <w:r>
        <w:t xml:space="preserve">à exportação (60% para os EUA e 40% para a Alemanha). O </w:t>
      </w:r>
      <w:r>
        <w:rPr>
          <w:spacing w:val="5"/>
        </w:rPr>
        <w:t xml:space="preserve">projeto contempla também </w:t>
      </w:r>
      <w:r>
        <w:rPr>
          <w:spacing w:val="3"/>
        </w:rPr>
        <w:t xml:space="preserve">uma usina </w:t>
      </w:r>
      <w:r>
        <w:rPr>
          <w:spacing w:val="5"/>
        </w:rPr>
        <w:t xml:space="preserve">termoelétrica com </w:t>
      </w:r>
      <w:r>
        <w:rPr>
          <w:spacing w:val="1"/>
        </w:rPr>
        <w:t xml:space="preserve">capacidade para gerar </w:t>
      </w:r>
      <w:r>
        <w:t xml:space="preserve">490 MW de </w:t>
      </w:r>
      <w:r>
        <w:rPr>
          <w:spacing w:val="1"/>
        </w:rPr>
        <w:t xml:space="preserve">energia, </w:t>
      </w:r>
      <w:r>
        <w:t xml:space="preserve">um </w:t>
      </w:r>
      <w:r>
        <w:rPr>
          <w:spacing w:val="1"/>
        </w:rPr>
        <w:t xml:space="preserve">porto </w:t>
      </w:r>
      <w:r>
        <w:rPr>
          <w:spacing w:val="2"/>
        </w:rPr>
        <w:t xml:space="preserve">com </w:t>
      </w:r>
      <w:r>
        <w:t>dois terminais, um píer de 700 m e uma ponte de acesso ao mar</w:t>
      </w:r>
      <w:r>
        <w:rPr>
          <w:spacing w:val="10"/>
        </w:rPr>
        <w:t xml:space="preserve"> </w:t>
      </w:r>
      <w:r>
        <w:t>com</w:t>
      </w:r>
      <w:r>
        <w:rPr>
          <w:spacing w:val="10"/>
        </w:rPr>
        <w:t xml:space="preserve"> </w:t>
      </w:r>
      <w:r>
        <w:t>4</w:t>
      </w:r>
      <w:r>
        <w:rPr>
          <w:spacing w:val="10"/>
        </w:rPr>
        <w:t xml:space="preserve"> </w:t>
      </w:r>
      <w:r>
        <w:t>km</w:t>
      </w:r>
      <w:r>
        <w:rPr>
          <w:spacing w:val="10"/>
        </w:rPr>
        <w:t xml:space="preserve"> </w:t>
      </w:r>
      <w:r>
        <w:t>de</w:t>
      </w:r>
      <w:r>
        <w:rPr>
          <w:spacing w:val="10"/>
        </w:rPr>
        <w:t xml:space="preserve"> </w:t>
      </w:r>
      <w:r>
        <w:t>extensão</w:t>
      </w:r>
      <w:r>
        <w:rPr>
          <w:spacing w:val="10"/>
        </w:rPr>
        <w:t xml:space="preserve"> </w:t>
      </w:r>
      <w:r>
        <w:t>(LIMA,</w:t>
      </w:r>
      <w:r>
        <w:rPr>
          <w:spacing w:val="10"/>
        </w:rPr>
        <w:t xml:space="preserve"> </w:t>
      </w:r>
      <w:r>
        <w:t>2008).</w:t>
      </w:r>
    </w:p>
    <w:p w:rsidR="00D81F69" w:rsidRDefault="00330118">
      <w:pPr>
        <w:pStyle w:val="Corpodetexto"/>
        <w:spacing w:before="76" w:line="270" w:lineRule="atLeast"/>
        <w:ind w:right="85"/>
      </w:pPr>
      <w:r>
        <w:t>O projeto, cujas obras tiveram início em 2006, teve financiamento do Banco Nacional de Desenvolvimento Econômico e Social (BNDES) e é parte do Programa de Aceleração do Crescimento (PAC) do governo federal. A área do complexo foi doada pelo governo do esta</w:t>
      </w:r>
      <w:r>
        <w:t>do do Rio. A TKCSA é a primeira de um plano de três siderúrgicas a serem</w:t>
      </w:r>
    </w:p>
    <w:p w:rsidR="00D81F69" w:rsidRDefault="00330118">
      <w:pPr>
        <w:pStyle w:val="Corpodetexto"/>
        <w:spacing w:before="63" w:line="312" w:lineRule="auto"/>
        <w:ind w:right="195"/>
      </w:pPr>
      <w:r>
        <w:br w:type="column"/>
      </w:r>
      <w:r>
        <w:lastRenderedPageBreak/>
        <w:t>problemas de saúde. O material particulado foi chamado de “chuva de prata”. A TKCSA declarou que a poluição ocorreu por causa de um defeito em um guindaste da aciaria (unidade que pr</w:t>
      </w:r>
      <w:r>
        <w:t>ocessa o ferro-gusa produzido pelos fornos). Assim, foi obrigada a utilizar o poço de emergência para escoar o produto, o que acabou provocando as emissões (OLIVEIRA, 2011).</w:t>
      </w:r>
    </w:p>
    <w:p w:rsidR="00D81F69" w:rsidRDefault="00330118">
      <w:pPr>
        <w:pStyle w:val="Corpodetexto"/>
        <w:spacing w:before="136" w:line="312" w:lineRule="auto"/>
        <w:ind w:right="208"/>
      </w:pPr>
      <w:r>
        <w:t>Pelos episódios, a TKCSA, após ser delatada duas vezes à Justiça pelo MP-RJ, foi m</w:t>
      </w:r>
      <w:r>
        <w:t>ultada em R$ 1,2 milhão e R$ 2,4 milhões, respectivamente, tendo ainda que investir R$ 14 milhões em obras de saúde e infraestrutura na região (LEITÃO, 2011; FIOCRUZ, 2011).</w:t>
      </w:r>
    </w:p>
    <w:p w:rsidR="00D81F69" w:rsidRDefault="00330118">
      <w:pPr>
        <w:pStyle w:val="Corpodetexto"/>
        <w:spacing w:before="135" w:line="312" w:lineRule="auto"/>
        <w:ind w:right="194"/>
      </w:pPr>
      <w:r>
        <w:t>O MP-RJ baseou-se no relatório elaborado por pesquisadores da Fundação Oswaldo Cru</w:t>
      </w:r>
      <w:r>
        <w:t xml:space="preserve">z (Fiocruz) intitulado ‘Avaliação dos </w:t>
      </w:r>
      <w:r>
        <w:rPr>
          <w:spacing w:val="7"/>
        </w:rPr>
        <w:t xml:space="preserve">impactos </w:t>
      </w:r>
      <w:r>
        <w:rPr>
          <w:spacing w:val="8"/>
        </w:rPr>
        <w:t xml:space="preserve">socioambientais </w:t>
      </w:r>
      <w:r>
        <w:t xml:space="preserve">e </w:t>
      </w:r>
      <w:r>
        <w:rPr>
          <w:spacing w:val="5"/>
        </w:rPr>
        <w:t xml:space="preserve">de </w:t>
      </w:r>
      <w:r>
        <w:rPr>
          <w:spacing w:val="7"/>
        </w:rPr>
        <w:t xml:space="preserve">saúde </w:t>
      </w:r>
      <w:r>
        <w:rPr>
          <w:spacing w:val="5"/>
        </w:rPr>
        <w:t xml:space="preserve">em </w:t>
      </w:r>
      <w:r>
        <w:rPr>
          <w:spacing w:val="7"/>
        </w:rPr>
        <w:t xml:space="preserve">Santa </w:t>
      </w:r>
      <w:r>
        <w:rPr>
          <w:spacing w:val="10"/>
        </w:rPr>
        <w:t xml:space="preserve">Cruz </w:t>
      </w:r>
      <w:r>
        <w:rPr>
          <w:spacing w:val="8"/>
        </w:rPr>
        <w:t xml:space="preserve">decorrentes </w:t>
      </w:r>
      <w:r>
        <w:rPr>
          <w:spacing w:val="5"/>
        </w:rPr>
        <w:t xml:space="preserve">da </w:t>
      </w:r>
      <w:r>
        <w:rPr>
          <w:spacing w:val="8"/>
        </w:rPr>
        <w:t xml:space="preserve">instalação </w:t>
      </w:r>
      <w:r>
        <w:t xml:space="preserve">e </w:t>
      </w:r>
      <w:r>
        <w:rPr>
          <w:spacing w:val="5"/>
        </w:rPr>
        <w:t xml:space="preserve">da </w:t>
      </w:r>
      <w:r>
        <w:rPr>
          <w:spacing w:val="7"/>
        </w:rPr>
        <w:t xml:space="preserve">operação </w:t>
      </w:r>
      <w:r>
        <w:rPr>
          <w:spacing w:val="5"/>
        </w:rPr>
        <w:t xml:space="preserve">da </w:t>
      </w:r>
      <w:r>
        <w:rPr>
          <w:spacing w:val="10"/>
        </w:rPr>
        <w:t xml:space="preserve">empresa </w:t>
      </w:r>
      <w:r>
        <w:rPr>
          <w:spacing w:val="5"/>
        </w:rPr>
        <w:t xml:space="preserve">TKCSA’. Pelo documento, </w:t>
      </w:r>
      <w:r>
        <w:t xml:space="preserve">o </w:t>
      </w:r>
      <w:r>
        <w:rPr>
          <w:spacing w:val="2"/>
        </w:rPr>
        <w:t xml:space="preserve">pó </w:t>
      </w:r>
      <w:r>
        <w:rPr>
          <w:spacing w:val="5"/>
        </w:rPr>
        <w:t xml:space="preserve">emitido </w:t>
      </w:r>
      <w:r>
        <w:rPr>
          <w:spacing w:val="2"/>
        </w:rPr>
        <w:t xml:space="preserve">em </w:t>
      </w:r>
      <w:r>
        <w:rPr>
          <w:spacing w:val="5"/>
        </w:rPr>
        <w:t xml:space="preserve">Santa </w:t>
      </w:r>
      <w:r>
        <w:rPr>
          <w:spacing w:val="6"/>
        </w:rPr>
        <w:t xml:space="preserve">Cruz </w:t>
      </w:r>
      <w:r>
        <w:t>contém substâncias tóxicas (ferro, cálcio, manganês, silício, enxo</w:t>
      </w:r>
      <w:r>
        <w:t xml:space="preserve">fre, </w:t>
      </w:r>
      <w:hyperlink r:id="rId1448">
        <w:r>
          <w:t xml:space="preserve">alumínio, </w:t>
        </w:r>
      </w:hyperlink>
      <w:r>
        <w:t xml:space="preserve">magnésio, estanho, titânio, zinco e </w:t>
      </w:r>
      <w:hyperlink r:id="rId1449">
        <w:r>
          <w:t>cádmio,</w:t>
        </w:r>
      </w:hyperlink>
      <w:r>
        <w:t xml:space="preserve"> </w:t>
      </w:r>
      <w:r>
        <w:rPr>
          <w:spacing w:val="5"/>
        </w:rPr>
        <w:t xml:space="preserve">etc.). Segundo </w:t>
      </w:r>
      <w:r>
        <w:t xml:space="preserve">o </w:t>
      </w:r>
      <w:r>
        <w:rPr>
          <w:spacing w:val="5"/>
        </w:rPr>
        <w:t xml:space="preserve">requerimento </w:t>
      </w:r>
      <w:r>
        <w:rPr>
          <w:spacing w:val="2"/>
        </w:rPr>
        <w:t xml:space="preserve">do </w:t>
      </w:r>
      <w:r>
        <w:rPr>
          <w:spacing w:val="5"/>
        </w:rPr>
        <w:t xml:space="preserve">MP-RJ, </w:t>
      </w:r>
      <w:r>
        <w:t xml:space="preserve">a </w:t>
      </w:r>
      <w:r>
        <w:rPr>
          <w:spacing w:val="5"/>
        </w:rPr>
        <w:t>emissão de</w:t>
      </w:r>
      <w:r>
        <w:rPr>
          <w:spacing w:val="61"/>
        </w:rPr>
        <w:t xml:space="preserve"> </w:t>
      </w:r>
      <w:r>
        <w:t>substâncias poluentes ultrapassa em três ou quatro vezes o estipulado pela Organização Mundial de Saúde (OMS) (LIMA, 2011; FIOCRUZ, 2011).</w:t>
      </w:r>
    </w:p>
    <w:p w:rsidR="00D81F69" w:rsidRDefault="00330118">
      <w:pPr>
        <w:pStyle w:val="Corpodetexto"/>
        <w:spacing w:before="140" w:line="312" w:lineRule="auto"/>
        <w:ind w:right="190"/>
      </w:pPr>
      <w:r>
        <w:t xml:space="preserve">Em nota, a assessoria de imprensa da TKCSA informou que </w:t>
      </w:r>
      <w:r>
        <w:rPr>
          <w:spacing w:val="1"/>
        </w:rPr>
        <w:t xml:space="preserve">“a </w:t>
      </w:r>
      <w:r>
        <w:rPr>
          <w:spacing w:val="3"/>
        </w:rPr>
        <w:t xml:space="preserve">empresa adotou </w:t>
      </w:r>
      <w:r>
        <w:rPr>
          <w:spacing w:val="2"/>
        </w:rPr>
        <w:t xml:space="preserve">uma </w:t>
      </w:r>
      <w:r>
        <w:rPr>
          <w:spacing w:val="3"/>
        </w:rPr>
        <w:t>sér</w:t>
      </w:r>
      <w:r>
        <w:rPr>
          <w:spacing w:val="3"/>
        </w:rPr>
        <w:t xml:space="preserve">ie </w:t>
      </w:r>
      <w:r>
        <w:rPr>
          <w:spacing w:val="1"/>
        </w:rPr>
        <w:t xml:space="preserve">de </w:t>
      </w:r>
      <w:r>
        <w:rPr>
          <w:spacing w:val="3"/>
        </w:rPr>
        <w:t xml:space="preserve">medidas corretivas </w:t>
      </w:r>
      <w:r>
        <w:rPr>
          <w:spacing w:val="5"/>
        </w:rPr>
        <w:t xml:space="preserve">que </w:t>
      </w:r>
      <w:r>
        <w:t xml:space="preserve">inclusive já apresentaram resultados positivos". Segundo a companhia, “a qualidade do ar é (...) monitorada, em tempo </w:t>
      </w:r>
      <w:r>
        <w:rPr>
          <w:spacing w:val="3"/>
        </w:rPr>
        <w:t xml:space="preserve">real, </w:t>
      </w:r>
      <w:r>
        <w:rPr>
          <w:spacing w:val="2"/>
        </w:rPr>
        <w:t xml:space="preserve">por três </w:t>
      </w:r>
      <w:r>
        <w:rPr>
          <w:spacing w:val="3"/>
        </w:rPr>
        <w:t xml:space="preserve">estações automáticas </w:t>
      </w:r>
      <w:r>
        <w:rPr>
          <w:spacing w:val="1"/>
        </w:rPr>
        <w:t xml:space="preserve">de </w:t>
      </w:r>
      <w:r>
        <w:rPr>
          <w:spacing w:val="3"/>
        </w:rPr>
        <w:t xml:space="preserve">monitoramento </w:t>
      </w:r>
      <w:r>
        <w:rPr>
          <w:spacing w:val="5"/>
        </w:rPr>
        <w:t xml:space="preserve">de </w:t>
      </w:r>
      <w:r>
        <w:t xml:space="preserve">qualidade do ar ambiente, no entorno da TKCSA”. </w:t>
      </w:r>
      <w:r>
        <w:rPr>
          <w:spacing w:val="1"/>
        </w:rPr>
        <w:t>També</w:t>
      </w:r>
      <w:r>
        <w:rPr>
          <w:spacing w:val="1"/>
        </w:rPr>
        <w:t xml:space="preserve">m </w:t>
      </w:r>
      <w:r>
        <w:t xml:space="preserve">negou que tal emissão tenha provocado danos à saúde das comunidades vizinhas: “O material particulado é formado em </w:t>
      </w:r>
      <w:r>
        <w:rPr>
          <w:spacing w:val="2"/>
        </w:rPr>
        <w:t xml:space="preserve">70% por </w:t>
      </w:r>
      <w:r>
        <w:rPr>
          <w:spacing w:val="3"/>
        </w:rPr>
        <w:t xml:space="preserve">grafite (igual ponta </w:t>
      </w:r>
      <w:r>
        <w:rPr>
          <w:spacing w:val="1"/>
        </w:rPr>
        <w:t xml:space="preserve">de </w:t>
      </w:r>
      <w:r>
        <w:rPr>
          <w:spacing w:val="3"/>
        </w:rPr>
        <w:t xml:space="preserve">lápis) </w:t>
      </w:r>
      <w:r>
        <w:t xml:space="preserve">e </w:t>
      </w:r>
      <w:r>
        <w:rPr>
          <w:spacing w:val="1"/>
        </w:rPr>
        <w:t xml:space="preserve">em </w:t>
      </w:r>
      <w:r>
        <w:rPr>
          <w:spacing w:val="2"/>
        </w:rPr>
        <w:t xml:space="preserve">30% por </w:t>
      </w:r>
      <w:hyperlink r:id="rId1450">
        <w:r>
          <w:rPr>
            <w:spacing w:val="5"/>
          </w:rPr>
          <w:t>ferro.</w:t>
        </w:r>
      </w:hyperlink>
      <w:r>
        <w:rPr>
          <w:spacing w:val="5"/>
        </w:rPr>
        <w:t xml:space="preserve"> </w:t>
      </w:r>
      <w:r>
        <w:rPr>
          <w:spacing w:val="7"/>
        </w:rPr>
        <w:t xml:space="preserve">Ambos </w:t>
      </w:r>
      <w:r>
        <w:rPr>
          <w:spacing w:val="6"/>
        </w:rPr>
        <w:t xml:space="preserve">são </w:t>
      </w:r>
      <w:r>
        <w:rPr>
          <w:spacing w:val="8"/>
        </w:rPr>
        <w:t xml:space="preserve">inertes </w:t>
      </w:r>
      <w:r>
        <w:t xml:space="preserve">e </w:t>
      </w:r>
      <w:r>
        <w:rPr>
          <w:spacing w:val="6"/>
        </w:rPr>
        <w:t xml:space="preserve">não </w:t>
      </w:r>
      <w:r>
        <w:rPr>
          <w:spacing w:val="8"/>
        </w:rPr>
        <w:t xml:space="preserve">inaláveis segundo </w:t>
      </w:r>
      <w:r>
        <w:rPr>
          <w:spacing w:val="10"/>
        </w:rPr>
        <w:t xml:space="preserve">padrões </w:t>
      </w:r>
      <w:r>
        <w:rPr>
          <w:spacing w:val="5"/>
        </w:rPr>
        <w:t xml:space="preserve">internacionais </w:t>
      </w:r>
      <w:r>
        <w:rPr>
          <w:spacing w:val="2"/>
        </w:rPr>
        <w:t xml:space="preserve">da </w:t>
      </w:r>
      <w:r>
        <w:rPr>
          <w:spacing w:val="5"/>
        </w:rPr>
        <w:t xml:space="preserve">OMS. (...) </w:t>
      </w:r>
      <w:r>
        <w:t xml:space="preserve">o </w:t>
      </w:r>
      <w:r>
        <w:rPr>
          <w:spacing w:val="2"/>
        </w:rPr>
        <w:t xml:space="preserve">ar da </w:t>
      </w:r>
      <w:r>
        <w:rPr>
          <w:spacing w:val="5"/>
        </w:rPr>
        <w:t xml:space="preserve">região </w:t>
      </w:r>
      <w:r>
        <w:rPr>
          <w:spacing w:val="6"/>
        </w:rPr>
        <w:t xml:space="preserve">encontra-se </w:t>
      </w:r>
      <w:r>
        <w:rPr>
          <w:spacing w:val="3"/>
        </w:rPr>
        <w:t xml:space="preserve">sempre dentro </w:t>
      </w:r>
      <w:r>
        <w:rPr>
          <w:spacing w:val="2"/>
        </w:rPr>
        <w:t xml:space="preserve">das </w:t>
      </w:r>
      <w:r>
        <w:rPr>
          <w:spacing w:val="3"/>
        </w:rPr>
        <w:t xml:space="preserve">faixas </w:t>
      </w:r>
      <w:r>
        <w:rPr>
          <w:spacing w:val="1"/>
        </w:rPr>
        <w:t xml:space="preserve">de </w:t>
      </w:r>
      <w:r>
        <w:rPr>
          <w:spacing w:val="3"/>
        </w:rPr>
        <w:t xml:space="preserve">qualidade "boa" </w:t>
      </w:r>
      <w:r>
        <w:t xml:space="preserve">e </w:t>
      </w:r>
      <w:r>
        <w:rPr>
          <w:spacing w:val="5"/>
        </w:rPr>
        <w:t xml:space="preserve">"regular", </w:t>
      </w:r>
      <w:r>
        <w:t>sendo</w:t>
      </w:r>
      <w:r>
        <w:rPr>
          <w:spacing w:val="21"/>
        </w:rPr>
        <w:t xml:space="preserve"> </w:t>
      </w:r>
      <w:r>
        <w:t>que</w:t>
      </w:r>
      <w:r>
        <w:rPr>
          <w:spacing w:val="21"/>
        </w:rPr>
        <w:t xml:space="preserve"> </w:t>
      </w:r>
      <w:r>
        <w:t>ambas</w:t>
      </w:r>
      <w:r>
        <w:rPr>
          <w:spacing w:val="21"/>
        </w:rPr>
        <w:t xml:space="preserve"> </w:t>
      </w:r>
      <w:r>
        <w:t>traduzem</w:t>
      </w:r>
      <w:r>
        <w:rPr>
          <w:spacing w:val="21"/>
        </w:rPr>
        <w:t xml:space="preserve"> </w:t>
      </w:r>
      <w:r>
        <w:t>concentrações</w:t>
      </w:r>
      <w:r>
        <w:rPr>
          <w:spacing w:val="21"/>
        </w:rPr>
        <w:t xml:space="preserve"> </w:t>
      </w:r>
      <w:r>
        <w:t>de</w:t>
      </w:r>
      <w:r>
        <w:rPr>
          <w:spacing w:val="21"/>
        </w:rPr>
        <w:t xml:space="preserve"> </w:t>
      </w:r>
      <w:r>
        <w:t>poluentes</w:t>
      </w:r>
      <w:r>
        <w:rPr>
          <w:spacing w:val="21"/>
        </w:rPr>
        <w:t xml:space="preserve"> </w:t>
      </w:r>
      <w:r>
        <w:t>no</w:t>
      </w:r>
    </w:p>
    <w:p w:rsidR="00D81F69" w:rsidRDefault="00D81F69">
      <w:pPr>
        <w:spacing w:line="312" w:lineRule="auto"/>
        <w:sectPr w:rsidR="00D81F69">
          <w:type w:val="continuous"/>
          <w:pgSz w:w="11900" w:h="16840"/>
          <w:pgMar w:top="720" w:right="500" w:bottom="280" w:left="620" w:header="720" w:footer="720" w:gutter="0"/>
          <w:cols w:num="2" w:space="720" w:equalWidth="0">
            <w:col w:w="5192" w:space="278"/>
            <w:col w:w="5310"/>
          </w:cols>
        </w:sectPr>
      </w:pPr>
    </w:p>
    <w:p w:rsidR="00D81F69" w:rsidRDefault="00330118">
      <w:pPr>
        <w:pStyle w:val="Corpodetexto"/>
        <w:spacing w:before="81"/>
      </w:pPr>
      <w:r>
        <w:lastRenderedPageBreak/>
        <w:t>ar ambiente toleráveis.” (O GLOBO, 2011; LIMA, 2011).</w:t>
      </w:r>
    </w:p>
    <w:p w:rsidR="00D81F69" w:rsidRDefault="00D81F69">
      <w:pPr>
        <w:pStyle w:val="Corpodetexto"/>
        <w:spacing w:before="9"/>
        <w:ind w:left="0"/>
        <w:jc w:val="left"/>
        <w:rPr>
          <w:sz w:val="16"/>
        </w:rPr>
      </w:pPr>
    </w:p>
    <w:p w:rsidR="00D81F69" w:rsidRDefault="00330118">
      <w:pPr>
        <w:pStyle w:val="Corpodetexto"/>
        <w:spacing w:line="312" w:lineRule="auto"/>
        <w:ind w:right="52"/>
      </w:pPr>
      <w:r>
        <w:t>A Assembleia Legislativa do Estado do Rio de Janeiro (ALERJ) propôs o fechamento provisório da usina, em junho de 2011, até que todas as informações sobre os impactos causados à população do entorno, b</w:t>
      </w:r>
      <w:r>
        <w:t>aseadas em laudos técnicos, fossem apresentadas de forma clara à sociedade (LEITÃO, 2011).</w:t>
      </w:r>
    </w:p>
    <w:p w:rsidR="00D81F69" w:rsidRDefault="00330118">
      <w:pPr>
        <w:pStyle w:val="Corpodetexto"/>
        <w:spacing w:before="135" w:line="312" w:lineRule="auto"/>
        <w:ind w:right="49"/>
      </w:pPr>
      <w:r>
        <w:rPr>
          <w:spacing w:val="5"/>
        </w:rPr>
        <w:t xml:space="preserve">Em </w:t>
      </w:r>
      <w:r>
        <w:rPr>
          <w:spacing w:val="7"/>
        </w:rPr>
        <w:t xml:space="preserve">resposta </w:t>
      </w:r>
      <w:r>
        <w:t xml:space="preserve">à </w:t>
      </w:r>
      <w:r>
        <w:rPr>
          <w:spacing w:val="7"/>
        </w:rPr>
        <w:t xml:space="preserve">proposta </w:t>
      </w:r>
      <w:r>
        <w:rPr>
          <w:spacing w:val="5"/>
        </w:rPr>
        <w:t xml:space="preserve">de </w:t>
      </w:r>
      <w:r>
        <w:rPr>
          <w:spacing w:val="8"/>
        </w:rPr>
        <w:t xml:space="preserve">fechamento provisório </w:t>
      </w:r>
      <w:r>
        <w:rPr>
          <w:spacing w:val="10"/>
        </w:rPr>
        <w:t xml:space="preserve">da siderúrgica, </w:t>
      </w:r>
      <w:r>
        <w:t xml:space="preserve">a </w:t>
      </w:r>
      <w:r>
        <w:rPr>
          <w:spacing w:val="8"/>
        </w:rPr>
        <w:t xml:space="preserve">companhia negou, </w:t>
      </w:r>
      <w:r>
        <w:rPr>
          <w:spacing w:val="5"/>
        </w:rPr>
        <w:t xml:space="preserve">em </w:t>
      </w:r>
      <w:r>
        <w:rPr>
          <w:spacing w:val="7"/>
        </w:rPr>
        <w:t xml:space="preserve">nota, </w:t>
      </w:r>
      <w:r>
        <w:rPr>
          <w:spacing w:val="6"/>
        </w:rPr>
        <w:t xml:space="preserve">que </w:t>
      </w:r>
      <w:r>
        <w:rPr>
          <w:spacing w:val="10"/>
        </w:rPr>
        <w:t xml:space="preserve">suas operações </w:t>
      </w:r>
      <w:r>
        <w:rPr>
          <w:spacing w:val="8"/>
        </w:rPr>
        <w:t xml:space="preserve">sejam </w:t>
      </w:r>
      <w:r>
        <w:rPr>
          <w:spacing w:val="10"/>
        </w:rPr>
        <w:t xml:space="preserve">responsáveis </w:t>
      </w:r>
      <w:r>
        <w:rPr>
          <w:spacing w:val="8"/>
        </w:rPr>
        <w:t xml:space="preserve">pelo </w:t>
      </w:r>
      <w:r>
        <w:rPr>
          <w:spacing w:val="10"/>
        </w:rPr>
        <w:t xml:space="preserve">assoreamento </w:t>
      </w:r>
      <w:r>
        <w:t xml:space="preserve">e </w:t>
      </w:r>
      <w:r>
        <w:rPr>
          <w:spacing w:val="6"/>
        </w:rPr>
        <w:t xml:space="preserve">contaminação </w:t>
      </w:r>
      <w:r>
        <w:rPr>
          <w:spacing w:val="3"/>
        </w:rPr>
        <w:t>da</w:t>
      </w:r>
      <w:r>
        <w:rPr>
          <w:spacing w:val="3"/>
        </w:rPr>
        <w:t xml:space="preserve"> </w:t>
      </w:r>
      <w:r>
        <w:rPr>
          <w:spacing w:val="5"/>
        </w:rPr>
        <w:t xml:space="preserve">baía </w:t>
      </w:r>
      <w:r>
        <w:rPr>
          <w:spacing w:val="3"/>
        </w:rPr>
        <w:t xml:space="preserve">de </w:t>
      </w:r>
      <w:r>
        <w:rPr>
          <w:spacing w:val="6"/>
        </w:rPr>
        <w:t xml:space="preserve">Sepetiba. </w:t>
      </w:r>
      <w:r>
        <w:rPr>
          <w:spacing w:val="3"/>
        </w:rPr>
        <w:t xml:space="preserve">No </w:t>
      </w:r>
      <w:r>
        <w:rPr>
          <w:spacing w:val="6"/>
        </w:rPr>
        <w:t xml:space="preserve">comunicado, </w:t>
      </w:r>
      <w:r>
        <w:t xml:space="preserve">a </w:t>
      </w:r>
      <w:r>
        <w:rPr>
          <w:spacing w:val="3"/>
        </w:rPr>
        <w:t xml:space="preserve">ThyssenKrupp </w:t>
      </w:r>
      <w:r>
        <w:rPr>
          <w:spacing w:val="2"/>
        </w:rPr>
        <w:t xml:space="preserve">CSA nega </w:t>
      </w:r>
      <w:r>
        <w:rPr>
          <w:spacing w:val="1"/>
        </w:rPr>
        <w:t xml:space="preserve">as </w:t>
      </w:r>
      <w:r>
        <w:rPr>
          <w:spacing w:val="3"/>
        </w:rPr>
        <w:t xml:space="preserve">acusações apresentadas </w:t>
      </w:r>
      <w:r>
        <w:rPr>
          <w:spacing w:val="5"/>
        </w:rPr>
        <w:t xml:space="preserve">em </w:t>
      </w:r>
      <w:r>
        <w:t xml:space="preserve">audiência pública na ALERJ e “esclarece que as operações </w:t>
      </w:r>
      <w:r>
        <w:rPr>
          <w:spacing w:val="5"/>
        </w:rPr>
        <w:t xml:space="preserve">da </w:t>
      </w:r>
      <w:r>
        <w:rPr>
          <w:spacing w:val="8"/>
        </w:rPr>
        <w:t xml:space="preserve">empresa </w:t>
      </w:r>
      <w:r>
        <w:rPr>
          <w:spacing w:val="6"/>
        </w:rPr>
        <w:t xml:space="preserve">não são </w:t>
      </w:r>
      <w:r>
        <w:rPr>
          <w:spacing w:val="10"/>
        </w:rPr>
        <w:t xml:space="preserve">responsáveis </w:t>
      </w:r>
      <w:r>
        <w:rPr>
          <w:spacing w:val="7"/>
        </w:rPr>
        <w:t xml:space="preserve">pelo </w:t>
      </w:r>
      <w:r>
        <w:rPr>
          <w:spacing w:val="8"/>
        </w:rPr>
        <w:t xml:space="preserve">declínio </w:t>
      </w:r>
      <w:r>
        <w:rPr>
          <w:spacing w:val="10"/>
        </w:rPr>
        <w:t xml:space="preserve">das </w:t>
      </w:r>
      <w:r>
        <w:rPr>
          <w:spacing w:val="5"/>
        </w:rPr>
        <w:t xml:space="preserve">atividades </w:t>
      </w:r>
      <w:r>
        <w:rPr>
          <w:spacing w:val="2"/>
        </w:rPr>
        <w:t xml:space="preserve">de </w:t>
      </w:r>
      <w:r>
        <w:rPr>
          <w:spacing w:val="3"/>
        </w:rPr>
        <w:t xml:space="preserve">pesca </w:t>
      </w:r>
      <w:r>
        <w:rPr>
          <w:spacing w:val="2"/>
        </w:rPr>
        <w:t xml:space="preserve">na </w:t>
      </w:r>
      <w:r>
        <w:rPr>
          <w:spacing w:val="5"/>
        </w:rPr>
        <w:t xml:space="preserve">região, </w:t>
      </w:r>
      <w:r>
        <w:rPr>
          <w:spacing w:val="3"/>
        </w:rPr>
        <w:t xml:space="preserve">como </w:t>
      </w:r>
      <w:r>
        <w:rPr>
          <w:spacing w:val="2"/>
        </w:rPr>
        <w:t xml:space="preserve">já </w:t>
      </w:r>
      <w:r>
        <w:rPr>
          <w:spacing w:val="5"/>
        </w:rPr>
        <w:t>comprovado em</w:t>
      </w:r>
      <w:r>
        <w:rPr>
          <w:spacing w:val="61"/>
        </w:rPr>
        <w:t xml:space="preserve"> </w:t>
      </w:r>
      <w:r>
        <w:t>estudos e</w:t>
      </w:r>
      <w:r>
        <w:t xml:space="preserve"> análises dos órgãos competentes”. Informa ainda </w:t>
      </w:r>
      <w:r>
        <w:rPr>
          <w:spacing w:val="3"/>
        </w:rPr>
        <w:t xml:space="preserve">“que </w:t>
      </w:r>
      <w:r>
        <w:rPr>
          <w:spacing w:val="2"/>
        </w:rPr>
        <w:t xml:space="preserve">se </w:t>
      </w:r>
      <w:r>
        <w:rPr>
          <w:spacing w:val="5"/>
        </w:rPr>
        <w:t xml:space="preserve">encontra aberta </w:t>
      </w:r>
      <w:r>
        <w:rPr>
          <w:spacing w:val="3"/>
        </w:rPr>
        <w:t xml:space="preserve">para </w:t>
      </w:r>
      <w:r>
        <w:rPr>
          <w:spacing w:val="5"/>
        </w:rPr>
        <w:t xml:space="preserve">prestar quaisquer </w:t>
      </w:r>
      <w:r>
        <w:rPr>
          <w:spacing w:val="3"/>
        </w:rPr>
        <w:t xml:space="preserve">tipos </w:t>
      </w:r>
      <w:r>
        <w:rPr>
          <w:spacing w:val="5"/>
        </w:rPr>
        <w:t xml:space="preserve">de esclarecimentos necessários, caso seja interpelada </w:t>
      </w:r>
      <w:r>
        <w:rPr>
          <w:spacing w:val="6"/>
        </w:rPr>
        <w:t xml:space="preserve">por </w:t>
      </w:r>
      <w:r>
        <w:rPr>
          <w:spacing w:val="5"/>
        </w:rPr>
        <w:t>entidades governamentais” (CORRÊA,</w:t>
      </w:r>
      <w:r>
        <w:rPr>
          <w:spacing w:val="-1"/>
        </w:rPr>
        <w:t xml:space="preserve"> </w:t>
      </w:r>
      <w:r>
        <w:rPr>
          <w:spacing w:val="6"/>
        </w:rPr>
        <w:t>2011).</w:t>
      </w:r>
    </w:p>
    <w:p w:rsidR="00D81F69" w:rsidRDefault="00330118">
      <w:pPr>
        <w:pStyle w:val="Corpodetexto"/>
        <w:spacing w:before="142" w:line="312" w:lineRule="auto"/>
        <w:ind w:right="54"/>
      </w:pPr>
      <w:r>
        <w:t xml:space="preserve">Em </w:t>
      </w:r>
      <w:r>
        <w:rPr>
          <w:spacing w:val="1"/>
        </w:rPr>
        <w:t xml:space="preserve">agosto </w:t>
      </w:r>
      <w:r>
        <w:t xml:space="preserve">de </w:t>
      </w:r>
      <w:r>
        <w:rPr>
          <w:spacing w:val="1"/>
        </w:rPr>
        <w:t xml:space="preserve">2011, </w:t>
      </w:r>
      <w:r>
        <w:t xml:space="preserve">a </w:t>
      </w:r>
      <w:r>
        <w:rPr>
          <w:spacing w:val="1"/>
        </w:rPr>
        <w:t xml:space="preserve">empresa assinou </w:t>
      </w:r>
      <w:r>
        <w:t xml:space="preserve">um </w:t>
      </w:r>
      <w:r>
        <w:rPr>
          <w:spacing w:val="1"/>
        </w:rPr>
        <w:t xml:space="preserve">acordo </w:t>
      </w:r>
      <w:r>
        <w:t>com a S</w:t>
      </w:r>
      <w:r>
        <w:t xml:space="preserve">ecretaria Estadual do Ambiente do Rio de Janeiro (SEA/RJ) e com associações de pescadores da baía de Sepetiba para </w:t>
      </w:r>
      <w:r>
        <w:rPr>
          <w:spacing w:val="6"/>
        </w:rPr>
        <w:t xml:space="preserve">financiamento </w:t>
      </w:r>
      <w:r>
        <w:rPr>
          <w:spacing w:val="3"/>
        </w:rPr>
        <w:t xml:space="preserve">de </w:t>
      </w:r>
      <w:r>
        <w:rPr>
          <w:spacing w:val="5"/>
        </w:rPr>
        <w:t xml:space="preserve">vários </w:t>
      </w:r>
      <w:r>
        <w:rPr>
          <w:spacing w:val="6"/>
        </w:rPr>
        <w:t xml:space="preserve">projetos </w:t>
      </w:r>
      <w:r>
        <w:rPr>
          <w:spacing w:val="3"/>
        </w:rPr>
        <w:t xml:space="preserve">na </w:t>
      </w:r>
      <w:r>
        <w:rPr>
          <w:spacing w:val="5"/>
        </w:rPr>
        <w:t xml:space="preserve">área </w:t>
      </w:r>
      <w:r>
        <w:rPr>
          <w:spacing w:val="6"/>
        </w:rPr>
        <w:t xml:space="preserve">pesqueira. </w:t>
      </w:r>
      <w:r>
        <w:t xml:space="preserve">A compensação financeira aos pescadores foi acertada durante o processo de licenciamento </w:t>
      </w:r>
      <w:r>
        <w:t xml:space="preserve">ambiental da usina. Assim, ficou acertado o montante de R$ 4,6 milhões a serem gastos em </w:t>
      </w:r>
      <w:r>
        <w:rPr>
          <w:spacing w:val="6"/>
        </w:rPr>
        <w:t xml:space="preserve">projetos </w:t>
      </w:r>
      <w:r>
        <w:rPr>
          <w:spacing w:val="5"/>
        </w:rPr>
        <w:t xml:space="preserve">como </w:t>
      </w:r>
      <w:r>
        <w:rPr>
          <w:spacing w:val="6"/>
        </w:rPr>
        <w:t xml:space="preserve">transporte </w:t>
      </w:r>
      <w:r>
        <w:rPr>
          <w:spacing w:val="3"/>
        </w:rPr>
        <w:t xml:space="preserve">de </w:t>
      </w:r>
      <w:r>
        <w:rPr>
          <w:spacing w:val="5"/>
        </w:rPr>
        <w:t xml:space="preserve">peixes, </w:t>
      </w:r>
      <w:r>
        <w:rPr>
          <w:spacing w:val="6"/>
        </w:rPr>
        <w:t xml:space="preserve">beneficiamento </w:t>
      </w:r>
      <w:r>
        <w:rPr>
          <w:spacing w:val="7"/>
        </w:rPr>
        <w:t xml:space="preserve">do </w:t>
      </w:r>
      <w:r>
        <w:t>pescado e educação para os filhos dos pescadores da região (ABDALA,</w:t>
      </w:r>
      <w:r>
        <w:rPr>
          <w:spacing w:val="3"/>
        </w:rPr>
        <w:t xml:space="preserve"> </w:t>
      </w:r>
      <w:r>
        <w:t>2011).</w:t>
      </w:r>
    </w:p>
    <w:p w:rsidR="00D81F69" w:rsidRDefault="00330118">
      <w:pPr>
        <w:pStyle w:val="Corpodetexto"/>
        <w:spacing w:before="139" w:line="312" w:lineRule="auto"/>
        <w:ind w:right="38"/>
      </w:pPr>
      <w:r>
        <w:rPr>
          <w:spacing w:val="1"/>
        </w:rPr>
        <w:t xml:space="preserve">Em </w:t>
      </w:r>
      <w:r>
        <w:rPr>
          <w:spacing w:val="3"/>
        </w:rPr>
        <w:t xml:space="preserve">outubro </w:t>
      </w:r>
      <w:r>
        <w:rPr>
          <w:spacing w:val="1"/>
        </w:rPr>
        <w:t xml:space="preserve">de </w:t>
      </w:r>
      <w:r>
        <w:rPr>
          <w:spacing w:val="3"/>
        </w:rPr>
        <w:t xml:space="preserve">2011, </w:t>
      </w:r>
      <w:r>
        <w:t xml:space="preserve">a </w:t>
      </w:r>
      <w:r>
        <w:rPr>
          <w:spacing w:val="3"/>
        </w:rPr>
        <w:t xml:space="preserve">TKCSA ajuizou ações contra </w:t>
      </w:r>
      <w:r>
        <w:rPr>
          <w:spacing w:val="5"/>
        </w:rPr>
        <w:t xml:space="preserve">dois </w:t>
      </w:r>
      <w:r>
        <w:rPr>
          <w:spacing w:val="12"/>
        </w:rPr>
        <w:t xml:space="preserve">pesquisadores </w:t>
      </w:r>
      <w:r>
        <w:rPr>
          <w:spacing w:val="6"/>
        </w:rPr>
        <w:t xml:space="preserve">da </w:t>
      </w:r>
      <w:r>
        <w:rPr>
          <w:spacing w:val="11"/>
        </w:rPr>
        <w:t xml:space="preserve">Fiocruz </w:t>
      </w:r>
      <w:r>
        <w:t xml:space="preserve">e </w:t>
      </w:r>
      <w:r>
        <w:rPr>
          <w:spacing w:val="10"/>
        </w:rPr>
        <w:t xml:space="preserve">uma </w:t>
      </w:r>
      <w:r>
        <w:rPr>
          <w:spacing w:val="12"/>
        </w:rPr>
        <w:t xml:space="preserve">pesquisadora </w:t>
      </w:r>
      <w:r>
        <w:rPr>
          <w:spacing w:val="6"/>
        </w:rPr>
        <w:t xml:space="preserve">da </w:t>
      </w:r>
      <w:r>
        <w:t xml:space="preserve">Universidade do Estado do Rio de Janeiro (UERJ). Eles foram acusados por danos morais devido às declarações e laudos técnicos emitidos relatando prejuízos ambientais e riscos à </w:t>
      </w:r>
      <w:r>
        <w:t xml:space="preserve">saúde da população provocados pela atividade da empresa em </w:t>
      </w:r>
      <w:r>
        <w:rPr>
          <w:spacing w:val="1"/>
        </w:rPr>
        <w:t xml:space="preserve">Santa Cruz (XINGU VIVO, 2012). </w:t>
      </w:r>
      <w:r>
        <w:t xml:space="preserve">A </w:t>
      </w:r>
      <w:r>
        <w:rPr>
          <w:spacing w:val="1"/>
        </w:rPr>
        <w:t xml:space="preserve">siderúrgica </w:t>
      </w:r>
      <w:r>
        <w:rPr>
          <w:spacing w:val="2"/>
        </w:rPr>
        <w:t xml:space="preserve">alegou que </w:t>
      </w:r>
      <w:r>
        <w:rPr>
          <w:spacing w:val="1"/>
        </w:rPr>
        <w:t xml:space="preserve">as </w:t>
      </w:r>
      <w:r>
        <w:rPr>
          <w:spacing w:val="3"/>
        </w:rPr>
        <w:t xml:space="preserve">ações foram motivadas </w:t>
      </w:r>
      <w:r>
        <w:rPr>
          <w:spacing w:val="2"/>
        </w:rPr>
        <w:t xml:space="preserve">por </w:t>
      </w:r>
      <w:r>
        <w:rPr>
          <w:spacing w:val="3"/>
        </w:rPr>
        <w:t xml:space="preserve">"declarações </w:t>
      </w:r>
      <w:r>
        <w:rPr>
          <w:spacing w:val="5"/>
        </w:rPr>
        <w:t xml:space="preserve">públicas </w:t>
      </w:r>
      <w:r>
        <w:t xml:space="preserve">contendo acusações graves e infundadas". Indagada sobre a </w:t>
      </w:r>
      <w:r>
        <w:rPr>
          <w:spacing w:val="1"/>
        </w:rPr>
        <w:t xml:space="preserve">possível relação entre </w:t>
      </w:r>
      <w:r>
        <w:t xml:space="preserve">a </w:t>
      </w:r>
      <w:r>
        <w:rPr>
          <w:spacing w:val="1"/>
        </w:rPr>
        <w:t>divulga</w:t>
      </w:r>
      <w:r>
        <w:rPr>
          <w:spacing w:val="1"/>
        </w:rPr>
        <w:t xml:space="preserve">ção </w:t>
      </w:r>
      <w:r>
        <w:t xml:space="preserve">do </w:t>
      </w:r>
      <w:r>
        <w:rPr>
          <w:spacing w:val="1"/>
        </w:rPr>
        <w:t xml:space="preserve">relatório </w:t>
      </w:r>
      <w:r>
        <w:t xml:space="preserve">da </w:t>
      </w:r>
      <w:r>
        <w:rPr>
          <w:spacing w:val="2"/>
        </w:rPr>
        <w:t xml:space="preserve">Fiocruz com </w:t>
      </w:r>
      <w:r>
        <w:t xml:space="preserve">a </w:t>
      </w:r>
      <w:r>
        <w:rPr>
          <w:spacing w:val="3"/>
        </w:rPr>
        <w:t xml:space="preserve">decisão </w:t>
      </w:r>
      <w:r>
        <w:rPr>
          <w:spacing w:val="1"/>
        </w:rPr>
        <w:t xml:space="preserve">de </w:t>
      </w:r>
      <w:r>
        <w:rPr>
          <w:spacing w:val="3"/>
        </w:rPr>
        <w:t xml:space="preserve">processar </w:t>
      </w:r>
      <w:r>
        <w:rPr>
          <w:spacing w:val="1"/>
        </w:rPr>
        <w:t xml:space="preserve">os </w:t>
      </w:r>
      <w:r>
        <w:rPr>
          <w:spacing w:val="3"/>
        </w:rPr>
        <w:t xml:space="preserve">pesquisadores, </w:t>
      </w:r>
      <w:r>
        <w:t xml:space="preserve">a </w:t>
      </w:r>
      <w:r>
        <w:rPr>
          <w:spacing w:val="5"/>
        </w:rPr>
        <w:t xml:space="preserve">TKCSA </w:t>
      </w:r>
      <w:r>
        <w:rPr>
          <w:spacing w:val="15"/>
        </w:rPr>
        <w:t xml:space="preserve">informou </w:t>
      </w:r>
      <w:r>
        <w:rPr>
          <w:spacing w:val="11"/>
        </w:rPr>
        <w:t xml:space="preserve">que </w:t>
      </w:r>
      <w:r>
        <w:rPr>
          <w:spacing w:val="13"/>
        </w:rPr>
        <w:t xml:space="preserve">houve </w:t>
      </w:r>
      <w:r>
        <w:rPr>
          <w:spacing w:val="15"/>
        </w:rPr>
        <w:t xml:space="preserve">"coincidência" </w:t>
      </w:r>
      <w:r>
        <w:t xml:space="preserve">e </w:t>
      </w:r>
      <w:r>
        <w:rPr>
          <w:spacing w:val="11"/>
        </w:rPr>
        <w:t xml:space="preserve">que </w:t>
      </w:r>
      <w:r>
        <w:rPr>
          <w:spacing w:val="15"/>
        </w:rPr>
        <w:t xml:space="preserve">estava </w:t>
      </w:r>
      <w:r>
        <w:t xml:space="preserve">“questionando pessoas físicas" e não a instituição (BIANCHI, </w:t>
      </w:r>
      <w:r>
        <w:rPr>
          <w:spacing w:val="1"/>
        </w:rPr>
        <w:t>2011;</w:t>
      </w:r>
      <w:r>
        <w:rPr>
          <w:spacing w:val="27"/>
        </w:rPr>
        <w:t xml:space="preserve"> </w:t>
      </w:r>
      <w:r>
        <w:rPr>
          <w:spacing w:val="1"/>
        </w:rPr>
        <w:t>WERNECK,</w:t>
      </w:r>
      <w:r>
        <w:rPr>
          <w:spacing w:val="27"/>
        </w:rPr>
        <w:t xml:space="preserve"> </w:t>
      </w:r>
      <w:r>
        <w:rPr>
          <w:spacing w:val="1"/>
        </w:rPr>
        <w:t>2011;</w:t>
      </w:r>
      <w:r>
        <w:rPr>
          <w:spacing w:val="27"/>
        </w:rPr>
        <w:t xml:space="preserve"> </w:t>
      </w:r>
      <w:r>
        <w:rPr>
          <w:spacing w:val="1"/>
        </w:rPr>
        <w:t>CSP,</w:t>
      </w:r>
      <w:r>
        <w:rPr>
          <w:spacing w:val="27"/>
        </w:rPr>
        <w:t xml:space="preserve"> </w:t>
      </w:r>
      <w:r>
        <w:rPr>
          <w:spacing w:val="1"/>
        </w:rPr>
        <w:t>2012).</w:t>
      </w:r>
      <w:r>
        <w:rPr>
          <w:spacing w:val="27"/>
        </w:rPr>
        <w:t xml:space="preserve"> </w:t>
      </w:r>
      <w:r>
        <w:t>Em</w:t>
      </w:r>
      <w:r>
        <w:rPr>
          <w:spacing w:val="27"/>
        </w:rPr>
        <w:t xml:space="preserve"> </w:t>
      </w:r>
      <w:r>
        <w:rPr>
          <w:spacing w:val="1"/>
        </w:rPr>
        <w:t>janeiro</w:t>
      </w:r>
      <w:r>
        <w:rPr>
          <w:spacing w:val="27"/>
        </w:rPr>
        <w:t xml:space="preserve"> </w:t>
      </w:r>
      <w:r>
        <w:t>de</w:t>
      </w:r>
      <w:r>
        <w:rPr>
          <w:spacing w:val="27"/>
        </w:rPr>
        <w:t xml:space="preserve"> </w:t>
      </w:r>
      <w:r>
        <w:rPr>
          <w:spacing w:val="2"/>
        </w:rPr>
        <w:t>2012,</w:t>
      </w:r>
    </w:p>
    <w:p w:rsidR="00D81F69" w:rsidRDefault="00330118">
      <w:pPr>
        <w:pStyle w:val="Corpodetexto"/>
        <w:spacing w:before="13" w:line="312" w:lineRule="auto"/>
        <w:ind w:right="54"/>
      </w:pPr>
      <w:r>
        <w:t>durante um enc</w:t>
      </w:r>
      <w:r>
        <w:t>ontro realizado na Ordem dos Advogados do Brasil - Seccional Rio de Janeiro (OAB/RJ), a empresa assinou uma petição de desistência formalizando, assim, a extinção dos processos judiciais contra os pesquisadores (XINGU VIVO, 2012).</w:t>
      </w:r>
    </w:p>
    <w:p w:rsidR="00D81F69" w:rsidRDefault="00330118">
      <w:pPr>
        <w:pStyle w:val="Corpodetexto"/>
        <w:spacing w:before="134" w:line="312" w:lineRule="auto"/>
        <w:ind w:right="41"/>
      </w:pPr>
      <w:r>
        <w:t>A ThyssenKrupp anunciou, no começo de dezembro de 2011, uma depreciação de R$ 5 bilhões decorrentes do empreendimento. Em janeiro de 2012, a revista alemã Manager divulgou que a empresa alemã estava considerando vender a CSA (FLOR; RESENDE, 2012), e, em ma</w:t>
      </w:r>
      <w:r>
        <w:t>io de 2012, a ThyssenKrupp comunicou oficialmente a intenção de vender</w:t>
      </w:r>
    </w:p>
    <w:p w:rsidR="00D81F69" w:rsidRDefault="00330118">
      <w:pPr>
        <w:pStyle w:val="Corpodetexto"/>
        <w:spacing w:before="81" w:line="312" w:lineRule="auto"/>
        <w:ind w:right="190"/>
      </w:pPr>
      <w:r>
        <w:br w:type="column"/>
      </w:r>
      <w:r>
        <w:lastRenderedPageBreak/>
        <w:t>sua fatia da CSA. A negociação está sendo feita paralelamente à venda da laminadora de Calvert, seu ativo de aço no Alabama (Estados Unidos) (RIBEIRO, MOREIRA; DURÃO, 2012).</w:t>
      </w:r>
    </w:p>
    <w:p w:rsidR="00D81F69" w:rsidRDefault="00330118">
      <w:pPr>
        <w:pStyle w:val="Corpodetexto"/>
        <w:spacing w:before="134" w:line="312" w:lineRule="auto"/>
        <w:ind w:right="192"/>
      </w:pPr>
      <w:r>
        <w:t>O futuro c</w:t>
      </w:r>
      <w:r>
        <w:t>omprador da CSA terá de passar pela aprovação da Vale. A mineradora tem, conforme cláusulas no acordo de acionistas, até 90 dias para dar seu parecer sobre o novo controlador da siderúrgica (RIBEIRO; MOREIRA; DURÃO, 2012). Além disso, a venda só poderá ser</w:t>
      </w:r>
      <w:r>
        <w:t xml:space="preserve"> efetivada com a anuência do BNDES, principal credor da empresa (GANDRA, 2012).</w:t>
      </w:r>
    </w:p>
    <w:p w:rsidR="00D81F69" w:rsidRDefault="00330118">
      <w:pPr>
        <w:pStyle w:val="Corpodetexto"/>
        <w:spacing w:before="136" w:line="312" w:lineRule="auto"/>
        <w:ind w:right="191"/>
      </w:pPr>
      <w:r>
        <w:t xml:space="preserve">O processo de auditorias, iniciado em novembro de 2012, já </w:t>
      </w:r>
      <w:r>
        <w:rPr>
          <w:spacing w:val="3"/>
        </w:rPr>
        <w:t xml:space="preserve">se </w:t>
      </w:r>
      <w:r>
        <w:rPr>
          <w:spacing w:val="6"/>
        </w:rPr>
        <w:t xml:space="preserve">encerrou. </w:t>
      </w:r>
      <w:r>
        <w:rPr>
          <w:spacing w:val="3"/>
        </w:rPr>
        <w:t xml:space="preserve">Da </w:t>
      </w:r>
      <w:r>
        <w:rPr>
          <w:spacing w:val="5"/>
        </w:rPr>
        <w:t xml:space="preserve">‘due </w:t>
      </w:r>
      <w:r>
        <w:rPr>
          <w:spacing w:val="6"/>
        </w:rPr>
        <w:t xml:space="preserve">diligence’ [análise sistemática </w:t>
      </w:r>
      <w:r>
        <w:rPr>
          <w:spacing w:val="7"/>
        </w:rPr>
        <w:t xml:space="preserve">de </w:t>
      </w:r>
      <w:r>
        <w:t xml:space="preserve">documentos e informações de uma empresa para mensurar </w:t>
      </w:r>
      <w:r>
        <w:rPr>
          <w:spacing w:val="7"/>
        </w:rPr>
        <w:t xml:space="preserve">riscos efetivos </w:t>
      </w:r>
      <w:r>
        <w:t xml:space="preserve">e </w:t>
      </w:r>
      <w:r>
        <w:rPr>
          <w:spacing w:val="8"/>
        </w:rPr>
        <w:t xml:space="preserve">potenciais </w:t>
      </w:r>
      <w:r>
        <w:rPr>
          <w:spacing w:val="5"/>
        </w:rPr>
        <w:t xml:space="preserve">de </w:t>
      </w:r>
      <w:r>
        <w:rPr>
          <w:spacing w:val="7"/>
        </w:rPr>
        <w:t xml:space="preserve">negócios] </w:t>
      </w:r>
      <w:r>
        <w:rPr>
          <w:spacing w:val="10"/>
        </w:rPr>
        <w:t xml:space="preserve">participaram </w:t>
      </w:r>
      <w:r>
        <w:rPr>
          <w:spacing w:val="3"/>
        </w:rPr>
        <w:t xml:space="preserve">inicialmente </w:t>
      </w:r>
      <w:r>
        <w:rPr>
          <w:spacing w:val="2"/>
        </w:rPr>
        <w:t xml:space="preserve">seis </w:t>
      </w:r>
      <w:r>
        <w:rPr>
          <w:spacing w:val="3"/>
        </w:rPr>
        <w:t xml:space="preserve">interessados: </w:t>
      </w:r>
      <w:r>
        <w:rPr>
          <w:spacing w:val="2"/>
        </w:rPr>
        <w:t xml:space="preserve">CSN, </w:t>
      </w:r>
      <w:r>
        <w:rPr>
          <w:spacing w:val="3"/>
        </w:rPr>
        <w:t xml:space="preserve">ArcelorMittal, </w:t>
      </w:r>
      <w:r>
        <w:rPr>
          <w:spacing w:val="5"/>
        </w:rPr>
        <w:t xml:space="preserve">Nucor, </w:t>
      </w:r>
      <w:r>
        <w:rPr>
          <w:spacing w:val="3"/>
        </w:rPr>
        <w:t xml:space="preserve">Ternium, Nippon Steel </w:t>
      </w:r>
      <w:r>
        <w:t xml:space="preserve">e </w:t>
      </w:r>
      <w:r>
        <w:rPr>
          <w:spacing w:val="1"/>
        </w:rPr>
        <w:t xml:space="preserve">US </w:t>
      </w:r>
      <w:r>
        <w:rPr>
          <w:spacing w:val="3"/>
        </w:rPr>
        <w:t>Steel (DURÃO,</w:t>
      </w:r>
      <w:r>
        <w:rPr>
          <w:spacing w:val="10"/>
        </w:rPr>
        <w:t xml:space="preserve"> </w:t>
      </w:r>
      <w:r>
        <w:rPr>
          <w:spacing w:val="5"/>
        </w:rPr>
        <w:t>2013).</w:t>
      </w:r>
    </w:p>
    <w:p w:rsidR="00D81F69" w:rsidRDefault="00330118">
      <w:pPr>
        <w:pStyle w:val="Corpodetexto"/>
        <w:spacing w:before="136" w:line="312" w:lineRule="auto"/>
        <w:ind w:right="191"/>
      </w:pPr>
      <w:r>
        <w:t>Uma campanha de mobilização, a ‘Pare a TKCSA!’, integrada por organizações da sociedade civil,</w:t>
      </w:r>
      <w:r>
        <w:t xml:space="preserve"> movimentos sociais, movimentos populares, nacionais e internacionais, bem como moradores e pescadores da baía de Sepetiba, reivindica não só o fim do processo de venda da empresa, como também a revogação completa da licença de instalação, a desapropriação</w:t>
      </w:r>
      <w:r>
        <w:t xml:space="preserve"> da planta pelo Estado, e sua transformação em um centro ecotecnológico que beneficie a população local e gere desenvolvimento (PACS, 2012). Em setembro de 2012, a campanha enviou, aos possíveis interessados na compra da planta siderúrgica, um relatório de</w:t>
      </w:r>
      <w:r>
        <w:t xml:space="preserve"> irregularidades causadas pela empresa desde a sua instalação (GANDRA, 2012).</w:t>
      </w:r>
    </w:p>
    <w:p w:rsidR="00D81F69" w:rsidRDefault="00330118">
      <w:pPr>
        <w:pStyle w:val="Corpodetexto"/>
        <w:spacing w:before="142" w:line="312" w:lineRule="auto"/>
        <w:ind w:right="208"/>
      </w:pPr>
      <w:r>
        <w:t>Até março de 2013, o grupo alemão só havia recebido duas ofertas de compra por seus ativos de aço nas Américas: uma da Ternium, empresa do grupo Techint, pela CSA, e outra do con</w:t>
      </w:r>
      <w:r>
        <w:t>sórcio ArcelorMittal / NipponSteel &amp; Sumitomo, pela laminadora do Alabama. A CSN, que se mostrou interessada pelos dois ativos, não entregou proposta (DURÃO, 2013).</w:t>
      </w:r>
    </w:p>
    <w:p w:rsidR="00D81F69" w:rsidRDefault="00330118">
      <w:pPr>
        <w:pStyle w:val="Corpodetexto"/>
        <w:spacing w:before="135" w:line="312" w:lineRule="auto"/>
        <w:ind w:right="209"/>
      </w:pPr>
      <w:r>
        <w:t>Existe uma expectativa de que haja prorrogação do prazo para o grupo alemão fechar o negóci</w:t>
      </w:r>
      <w:r>
        <w:t>o até o fim do primeiro semestre de 2013. O adiamento daria tempo para uma retomada das conversas com a CSN, cuja oferta pelos dois ativos estaria dependente de acerto com o BNDES, na forma de empréstimo ou de sociedade no negócio (DURÃO, 2013).</w:t>
      </w:r>
    </w:p>
    <w:p w:rsidR="00D81F69" w:rsidRDefault="00330118">
      <w:pPr>
        <w:pStyle w:val="Corpodetexto"/>
        <w:spacing w:before="136" w:line="312" w:lineRule="auto"/>
        <w:ind w:right="195"/>
      </w:pPr>
      <w:r>
        <w:rPr>
          <w:spacing w:val="3"/>
        </w:rPr>
        <w:t xml:space="preserve">Enquanto </w:t>
      </w:r>
      <w:r>
        <w:rPr>
          <w:spacing w:val="2"/>
        </w:rPr>
        <w:t>n</w:t>
      </w:r>
      <w:r>
        <w:rPr>
          <w:spacing w:val="2"/>
        </w:rPr>
        <w:t xml:space="preserve">ão </w:t>
      </w:r>
      <w:r>
        <w:rPr>
          <w:spacing w:val="3"/>
        </w:rPr>
        <w:t xml:space="preserve">avança </w:t>
      </w:r>
      <w:r>
        <w:t xml:space="preserve">o </w:t>
      </w:r>
      <w:r>
        <w:rPr>
          <w:spacing w:val="3"/>
        </w:rPr>
        <w:t xml:space="preserve">processo </w:t>
      </w:r>
      <w:r>
        <w:rPr>
          <w:spacing w:val="1"/>
        </w:rPr>
        <w:t xml:space="preserve">de </w:t>
      </w:r>
      <w:r>
        <w:rPr>
          <w:spacing w:val="3"/>
        </w:rPr>
        <w:t xml:space="preserve">venda, </w:t>
      </w:r>
      <w:r>
        <w:t xml:space="preserve">a </w:t>
      </w:r>
      <w:r>
        <w:rPr>
          <w:spacing w:val="5"/>
        </w:rPr>
        <w:t xml:space="preserve">siderúrgica depende </w:t>
      </w:r>
      <w:r>
        <w:rPr>
          <w:spacing w:val="2"/>
        </w:rPr>
        <w:t xml:space="preserve">de </w:t>
      </w:r>
      <w:r>
        <w:rPr>
          <w:spacing w:val="5"/>
        </w:rPr>
        <w:t xml:space="preserve">autorização ambiental para operar </w:t>
      </w:r>
      <w:r>
        <w:t xml:space="preserve">a </w:t>
      </w:r>
      <w:r>
        <w:rPr>
          <w:spacing w:val="6"/>
        </w:rPr>
        <w:t xml:space="preserve">plena </w:t>
      </w:r>
      <w:r>
        <w:rPr>
          <w:spacing w:val="5"/>
        </w:rPr>
        <w:t xml:space="preserve">capacidade, </w:t>
      </w:r>
      <w:r>
        <w:rPr>
          <w:spacing w:val="2"/>
        </w:rPr>
        <w:t xml:space="preserve">já </w:t>
      </w:r>
      <w:r>
        <w:rPr>
          <w:spacing w:val="3"/>
        </w:rPr>
        <w:t xml:space="preserve">que, hoje, com uma </w:t>
      </w:r>
      <w:r>
        <w:rPr>
          <w:spacing w:val="5"/>
        </w:rPr>
        <w:t xml:space="preserve">licença </w:t>
      </w:r>
      <w:r>
        <w:rPr>
          <w:spacing w:val="2"/>
        </w:rPr>
        <w:t xml:space="preserve">de </w:t>
      </w:r>
      <w:r>
        <w:rPr>
          <w:spacing w:val="5"/>
        </w:rPr>
        <w:t xml:space="preserve">operação </w:t>
      </w:r>
      <w:r>
        <w:t xml:space="preserve">provisória, ela trabalha apenas com 75% de sua capacidade. A licença definitiva só deverá ser concedida </w:t>
      </w:r>
      <w:r>
        <w:t>caso ela cumpra 100%</w:t>
      </w:r>
      <w:r>
        <w:rPr>
          <w:spacing w:val="17"/>
        </w:rPr>
        <w:t xml:space="preserve"> </w:t>
      </w:r>
      <w:r>
        <w:t>de</w:t>
      </w:r>
      <w:r>
        <w:rPr>
          <w:spacing w:val="17"/>
        </w:rPr>
        <w:t xml:space="preserve"> </w:t>
      </w:r>
      <w:r>
        <w:t>um</w:t>
      </w:r>
      <w:r>
        <w:rPr>
          <w:spacing w:val="17"/>
        </w:rPr>
        <w:t xml:space="preserve"> </w:t>
      </w:r>
      <w:r>
        <w:t>Termo</w:t>
      </w:r>
      <w:r>
        <w:rPr>
          <w:spacing w:val="17"/>
        </w:rPr>
        <w:t xml:space="preserve"> </w:t>
      </w:r>
      <w:r>
        <w:t>de</w:t>
      </w:r>
      <w:r>
        <w:rPr>
          <w:spacing w:val="17"/>
        </w:rPr>
        <w:t xml:space="preserve"> </w:t>
      </w:r>
      <w:r>
        <w:t>Ajustamento</w:t>
      </w:r>
      <w:r>
        <w:rPr>
          <w:spacing w:val="17"/>
        </w:rPr>
        <w:t xml:space="preserve"> </w:t>
      </w:r>
      <w:r>
        <w:t>de</w:t>
      </w:r>
      <w:r>
        <w:rPr>
          <w:spacing w:val="17"/>
        </w:rPr>
        <w:t xml:space="preserve"> </w:t>
      </w:r>
      <w:r>
        <w:t>Conduta</w:t>
      </w:r>
      <w:r>
        <w:rPr>
          <w:spacing w:val="17"/>
        </w:rPr>
        <w:t xml:space="preserve"> </w:t>
      </w:r>
      <w:r>
        <w:t>(TAC)</w:t>
      </w:r>
      <w:r>
        <w:rPr>
          <w:spacing w:val="17"/>
        </w:rPr>
        <w:t xml:space="preserve"> </w:t>
      </w:r>
      <w:r>
        <w:t>com</w:t>
      </w:r>
    </w:p>
    <w:p w:rsidR="00D81F69" w:rsidRDefault="00330118">
      <w:pPr>
        <w:pStyle w:val="Corpodetexto"/>
        <w:spacing w:before="5" w:line="312" w:lineRule="auto"/>
        <w:ind w:right="204"/>
      </w:pPr>
      <w:r>
        <w:t>130 itens (60% das medidas determinadas já foram cumpridas) assinado em 2012 com o Instituto Estadual do Ambiente (Inea) (DURÃO, 2013).</w:t>
      </w:r>
    </w:p>
    <w:p w:rsidR="00D81F69" w:rsidRDefault="00D81F69">
      <w:pPr>
        <w:pStyle w:val="Corpodetexto"/>
        <w:spacing w:before="2"/>
        <w:ind w:left="0"/>
        <w:jc w:val="left"/>
        <w:rPr>
          <w:sz w:val="21"/>
        </w:rPr>
      </w:pPr>
    </w:p>
    <w:p w:rsidR="00D81F69" w:rsidRDefault="00330118">
      <w:pPr>
        <w:pStyle w:val="Heading7"/>
        <w:spacing w:before="1"/>
      </w:pPr>
      <w:r>
        <w:t>LOCALIZAÇÃO GEOGRÁFICA</w:t>
      </w:r>
    </w:p>
    <w:p w:rsidR="00D81F69" w:rsidRDefault="00D81F69">
      <w:pPr>
        <w:sectPr w:rsidR="00D81F69">
          <w:pgSz w:w="11900" w:h="16840"/>
          <w:pgMar w:top="740" w:right="500" w:bottom="720" w:left="620" w:header="0" w:footer="402" w:gutter="0"/>
          <w:cols w:num="2" w:space="720" w:equalWidth="0">
            <w:col w:w="5156" w:space="314"/>
            <w:col w:w="5310"/>
          </w:cols>
        </w:sectPr>
      </w:pPr>
    </w:p>
    <w:p w:rsidR="00D81F69" w:rsidRDefault="00330118">
      <w:pPr>
        <w:pStyle w:val="Corpodetexto"/>
        <w:spacing w:before="81" w:line="312" w:lineRule="auto"/>
        <w:ind w:right="49"/>
      </w:pPr>
      <w:r>
        <w:lastRenderedPageBreak/>
        <w:t>A empresa localiza-se próxima a latitude 22°32' 09"S e longitude 43°26' 09"W, na região costeira do Atlântico Sul.</w:t>
      </w:r>
    </w:p>
    <w:p w:rsidR="00D81F69" w:rsidRDefault="00D81F69">
      <w:pPr>
        <w:pStyle w:val="Corpodetexto"/>
        <w:spacing w:before="11"/>
        <w:ind w:left="0"/>
        <w:jc w:val="left"/>
        <w:rPr>
          <w:sz w:val="28"/>
        </w:rPr>
      </w:pPr>
    </w:p>
    <w:p w:rsidR="00D81F69" w:rsidRDefault="00330118">
      <w:pPr>
        <w:pStyle w:val="Heading7"/>
      </w:pPr>
      <w:r>
        <w:t>REDATORES</w:t>
      </w:r>
    </w:p>
    <w:p w:rsidR="00D81F69" w:rsidRDefault="00330118">
      <w:pPr>
        <w:pStyle w:val="Corpodetexto"/>
        <w:spacing w:before="179"/>
      </w:pPr>
      <w:r>
        <w:t>Renata de Carvalho Jimenez Alamino; Pedro Schprejer</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51"/>
        <w:jc w:val="both"/>
        <w:rPr>
          <w:sz w:val="16"/>
        </w:rPr>
      </w:pPr>
      <w:r>
        <w:rPr>
          <w:sz w:val="16"/>
        </w:rPr>
        <w:t xml:space="preserve">ABDALA, Vitor. Siderúrgica do Atlântico aplicará R$ 4,6 milhões em projetos do setor pesqueiro no Rio. Agência Brasil, 21 ago. 2011. Disponível em: </w:t>
      </w:r>
      <w:hyperlink r:id="rId1451">
        <w:r>
          <w:rPr>
            <w:sz w:val="16"/>
          </w:rPr>
          <w:t>&lt;http://agenciabrasil.ebc.com.br/noticia/2</w:t>
        </w:r>
        <w:r>
          <w:rPr>
            <w:sz w:val="16"/>
          </w:rPr>
          <w:t>011-08-</w:t>
        </w:r>
      </w:hyperlink>
      <w:r>
        <w:rPr>
          <w:sz w:val="16"/>
        </w:rPr>
        <w:t xml:space="preserve"> 21/siderurgica-do-atlantico-aplicara-r-46-milhoes-em-projetos-do- setor-pesqueiro-no-rio&gt;. Acesso em: 13 mar. 2012.</w:t>
      </w:r>
    </w:p>
    <w:p w:rsidR="00D81F69" w:rsidRDefault="00330118">
      <w:pPr>
        <w:spacing w:before="4" w:line="312" w:lineRule="auto"/>
        <w:ind w:left="100" w:right="55"/>
        <w:jc w:val="both"/>
        <w:rPr>
          <w:sz w:val="16"/>
        </w:rPr>
      </w:pPr>
      <w:r>
        <w:rPr>
          <w:sz w:val="16"/>
        </w:rPr>
        <w:t xml:space="preserve">BIANCHI, Paula. Siderúrgica processa pesquisadores que avaliam impacto ambiental no Rio. Folha de S. Paulo, São Paulo, 1 nov. 2011. </w:t>
      </w:r>
      <w:r>
        <w:rPr>
          <w:sz w:val="16"/>
        </w:rPr>
        <w:t xml:space="preserve">Disponível em: </w:t>
      </w:r>
      <w:hyperlink r:id="rId1452">
        <w:r>
          <w:rPr>
            <w:sz w:val="16"/>
          </w:rPr>
          <w:t>&lt;http://www1.folha.uol.com.br/ambiente/999903-</w:t>
        </w:r>
      </w:hyperlink>
      <w:r>
        <w:rPr>
          <w:sz w:val="16"/>
        </w:rPr>
        <w:t xml:space="preserve"> siderurgica-processa-pesquisadores-que-avaliam-impacto-ambiental- no-rio.shtml&gt;. Acesso em: 13 mar. 2012.</w:t>
      </w:r>
    </w:p>
    <w:p w:rsidR="00D81F69" w:rsidRDefault="00330118">
      <w:pPr>
        <w:spacing w:before="4" w:line="312" w:lineRule="auto"/>
        <w:ind w:left="100" w:right="50"/>
        <w:jc w:val="both"/>
        <w:rPr>
          <w:sz w:val="16"/>
        </w:rPr>
      </w:pPr>
      <w:r>
        <w:rPr>
          <w:sz w:val="16"/>
        </w:rPr>
        <w:t>CORRÊA, Douglas. CSA nega</w:t>
      </w:r>
      <w:r>
        <w:rPr>
          <w:sz w:val="16"/>
        </w:rPr>
        <w:t xml:space="preserve"> que seja responsável pelo declínio da atividade pesqueira na Baía de Sepetiba. Agência Brasil, 14 jun. 2011. Disponível em: </w:t>
      </w:r>
      <w:hyperlink r:id="rId1453">
        <w:r>
          <w:rPr>
            <w:sz w:val="16"/>
          </w:rPr>
          <w:t>&lt;http://agenciabrasil.ebc.com.br/noticia/2011-</w:t>
        </w:r>
      </w:hyperlink>
      <w:r>
        <w:rPr>
          <w:sz w:val="16"/>
        </w:rPr>
        <w:t xml:space="preserve"> 06-14/csa-nega-que-se</w:t>
      </w:r>
      <w:r>
        <w:rPr>
          <w:sz w:val="16"/>
        </w:rPr>
        <w:t>ja-responsavel-pelo-declinio-da-atividade- pesqueira-na-baia-de-sepetiba&gt;. Acesso em: 13 mar. 2012.</w:t>
      </w:r>
    </w:p>
    <w:p w:rsidR="00D81F69" w:rsidRDefault="00330118">
      <w:pPr>
        <w:spacing w:before="4" w:line="312" w:lineRule="auto"/>
        <w:ind w:left="100" w:right="54"/>
        <w:jc w:val="both"/>
        <w:rPr>
          <w:sz w:val="16"/>
        </w:rPr>
      </w:pPr>
      <w:r>
        <w:rPr>
          <w:sz w:val="16"/>
        </w:rPr>
        <w:t xml:space="preserve">CSP - CENTRAL SINDICAL E POPULAR. Moção de repúdio à TKCSA e de apoio aos servidores processados pela empresa. 3 jan. 2012. Disponível em: </w:t>
      </w:r>
      <w:hyperlink r:id="rId1454">
        <w:r>
          <w:rPr>
            <w:sz w:val="16"/>
          </w:rPr>
          <w:t>&lt;http://cspconlutas.org.br/2012/01/mocao-de-</w:t>
        </w:r>
      </w:hyperlink>
      <w:r>
        <w:rPr>
          <w:sz w:val="16"/>
        </w:rPr>
        <w:t xml:space="preserve"> repudio-a-tkcsa-e-de-solidariedade-aos-servidores-processados-pela- empresa/&gt;. Acesso em: 13 mar. 2012.</w:t>
      </w:r>
    </w:p>
    <w:p w:rsidR="00D81F69" w:rsidRDefault="00330118">
      <w:pPr>
        <w:spacing w:before="4" w:line="312" w:lineRule="auto"/>
        <w:ind w:left="100" w:right="38"/>
        <w:jc w:val="both"/>
        <w:rPr>
          <w:sz w:val="16"/>
        </w:rPr>
      </w:pPr>
      <w:r>
        <w:rPr>
          <w:sz w:val="16"/>
        </w:rPr>
        <w:t>DURÃO, Vera Saavedra. ThyssenKrupp só recebe uma oferta por CSA</w:t>
      </w:r>
      <w:r>
        <w:rPr>
          <w:sz w:val="16"/>
        </w:rPr>
        <w:t xml:space="preserve">. Valor Econômico, 15 mar. 2013. Disponível em: </w:t>
      </w:r>
    </w:p>
    <w:p w:rsidR="00D81F69" w:rsidRDefault="00D81F69">
      <w:pPr>
        <w:spacing w:before="2" w:line="312" w:lineRule="auto"/>
        <w:ind w:left="100" w:right="64"/>
        <w:jc w:val="both"/>
        <w:rPr>
          <w:sz w:val="16"/>
        </w:rPr>
      </w:pPr>
      <w:hyperlink r:id="rId1455">
        <w:r w:rsidR="00330118">
          <w:rPr>
            <w:sz w:val="16"/>
          </w:rPr>
          <w:t>&lt;http://www.valor.com.br/empresas/3046282/thyssenkrupp-so-</w:t>
        </w:r>
      </w:hyperlink>
      <w:r w:rsidR="00330118">
        <w:rPr>
          <w:sz w:val="16"/>
        </w:rPr>
        <w:t xml:space="preserve"> recebe-uma-oferta-por-csa&gt;. Acesso em: 15 mar. 2013.</w:t>
      </w:r>
    </w:p>
    <w:p w:rsidR="00D81F69" w:rsidRDefault="00330118">
      <w:pPr>
        <w:spacing w:before="1" w:line="312" w:lineRule="auto"/>
        <w:ind w:left="100" w:right="53"/>
        <w:jc w:val="both"/>
        <w:rPr>
          <w:sz w:val="16"/>
        </w:rPr>
      </w:pPr>
      <w:r>
        <w:rPr>
          <w:sz w:val="16"/>
        </w:rPr>
        <w:t>FIOCRUZ - FUNDAÇÃO O</w:t>
      </w:r>
      <w:r>
        <w:rPr>
          <w:sz w:val="16"/>
        </w:rPr>
        <w:t>SWALDO CRUZ. Avaliação dos impactos socioambientais e de saúde em Santa Cruz decorrentes da instalação e operação da empresa TKCSA. FIOCRUZ: Rio de Janeiro, 22 set.</w:t>
      </w:r>
    </w:p>
    <w:p w:rsidR="00D81F69" w:rsidRDefault="00330118">
      <w:pPr>
        <w:tabs>
          <w:tab w:val="left" w:pos="1785"/>
          <w:tab w:val="left" w:pos="4548"/>
        </w:tabs>
        <w:spacing w:before="3"/>
        <w:ind w:left="100"/>
        <w:jc w:val="both"/>
        <w:rPr>
          <w:sz w:val="16"/>
        </w:rPr>
      </w:pPr>
      <w:r>
        <w:rPr>
          <w:sz w:val="16"/>
        </w:rPr>
        <w:t xml:space="preserve">2   0   1  </w:t>
      </w:r>
      <w:r>
        <w:rPr>
          <w:spacing w:val="35"/>
          <w:sz w:val="16"/>
        </w:rPr>
        <w:t xml:space="preserve"> </w:t>
      </w:r>
      <w:r>
        <w:rPr>
          <w:sz w:val="16"/>
        </w:rPr>
        <w:t xml:space="preserve">1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72"/>
        <w:jc w:val="both"/>
        <w:rPr>
          <w:sz w:val="16"/>
        </w:rPr>
      </w:pPr>
      <w:hyperlink r:id="rId1456">
        <w:r w:rsidR="00330118">
          <w:rPr>
            <w:sz w:val="16"/>
          </w:rPr>
          <w:t xml:space="preserve">&lt;http://www.epsjv.fiocruz.br/upload/d/Relatorio_TKCSA.pdf&gt;. </w:t>
        </w:r>
      </w:hyperlink>
      <w:r w:rsidR="00330118">
        <w:rPr>
          <w:sz w:val="16"/>
        </w:rPr>
        <w:t>Acesso em: 7 mar. 2012.</w:t>
      </w:r>
    </w:p>
    <w:p w:rsidR="00D81F69" w:rsidRDefault="00330118">
      <w:pPr>
        <w:spacing w:before="1" w:line="312" w:lineRule="auto"/>
        <w:ind w:left="100" w:right="51"/>
        <w:jc w:val="both"/>
        <w:rPr>
          <w:sz w:val="16"/>
        </w:rPr>
      </w:pPr>
      <w:r>
        <w:rPr>
          <w:sz w:val="16"/>
        </w:rPr>
        <w:t>FLOR, Katarine; RESENDE, Gilka. A alemã ThyssenKrupp considera vender siderúrgica no Brasil. Agência</w:t>
      </w:r>
      <w:r>
        <w:rPr>
          <w:sz w:val="16"/>
        </w:rPr>
        <w:t xml:space="preserve"> Radiofônica Pulsar, 20 jan.</w:t>
      </w:r>
    </w:p>
    <w:p w:rsidR="00D81F69" w:rsidRDefault="00330118">
      <w:pPr>
        <w:tabs>
          <w:tab w:val="left" w:pos="1785"/>
          <w:tab w:val="left" w:pos="4548"/>
        </w:tabs>
        <w:spacing w:before="2"/>
        <w:ind w:left="100"/>
        <w:jc w:val="both"/>
        <w:rPr>
          <w:sz w:val="16"/>
        </w:rPr>
      </w:pPr>
      <w:r>
        <w:rPr>
          <w:sz w:val="16"/>
        </w:rPr>
        <w:t xml:space="preserve">2   0   1  </w:t>
      </w:r>
      <w:r>
        <w:rPr>
          <w:spacing w:val="35"/>
          <w:sz w:val="16"/>
        </w:rPr>
        <w:t xml:space="preserve"> </w:t>
      </w:r>
      <w:r>
        <w:rPr>
          <w:sz w:val="16"/>
        </w:rPr>
        <w:t xml:space="preserve">2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54"/>
        <w:jc w:val="both"/>
        <w:rPr>
          <w:sz w:val="16"/>
        </w:rPr>
      </w:pPr>
      <w:hyperlink r:id="rId1457">
        <w:r w:rsidR="00330118">
          <w:rPr>
            <w:sz w:val="16"/>
          </w:rPr>
          <w:t xml:space="preserve">&lt;http://www.brasil.agenciapulsar.org/nota.php?id=8494&gt;. </w:t>
        </w:r>
      </w:hyperlink>
      <w:r w:rsidR="00330118">
        <w:rPr>
          <w:sz w:val="16"/>
        </w:rPr>
        <w:t>Acesso em: 12 mar. 2012.</w:t>
      </w:r>
    </w:p>
    <w:p w:rsidR="00D81F69" w:rsidRDefault="00330118">
      <w:pPr>
        <w:spacing w:before="2" w:line="312" w:lineRule="auto"/>
        <w:ind w:left="100" w:right="53"/>
        <w:jc w:val="both"/>
        <w:rPr>
          <w:sz w:val="16"/>
        </w:rPr>
      </w:pPr>
      <w:r>
        <w:rPr>
          <w:sz w:val="16"/>
        </w:rPr>
        <w:t>GANDRA, Alana. Organizações da sociedade civil pedem fechamento de siderúrgica no Rio. Agência Brasil, 28 set. 2012. Disponível em:</w:t>
      </w:r>
    </w:p>
    <w:p w:rsidR="00D81F69" w:rsidRDefault="00D81F69">
      <w:pPr>
        <w:spacing w:before="1" w:line="312" w:lineRule="auto"/>
        <w:ind w:left="100" w:right="69"/>
        <w:jc w:val="both"/>
        <w:rPr>
          <w:sz w:val="16"/>
        </w:rPr>
      </w:pPr>
      <w:hyperlink r:id="rId1458">
        <w:r w:rsidR="00330118">
          <w:rPr>
            <w:sz w:val="16"/>
          </w:rPr>
          <w:t>&lt;http://agenciabrasil.ebc.com.br/notici</w:t>
        </w:r>
        <w:r w:rsidR="00330118">
          <w:rPr>
            <w:sz w:val="16"/>
          </w:rPr>
          <w:t>a/2012-09-28/organizacoes-da-</w:t>
        </w:r>
      </w:hyperlink>
      <w:r w:rsidR="00330118">
        <w:rPr>
          <w:sz w:val="16"/>
        </w:rPr>
        <w:t xml:space="preserve"> sociedade-civil-pedem-fechamento-de-siderurgica-no-rio&gt;. Acesso em: 15 mar. 2013.</w:t>
      </w:r>
    </w:p>
    <w:p w:rsidR="00D81F69" w:rsidRDefault="00330118">
      <w:pPr>
        <w:spacing w:before="3" w:line="312" w:lineRule="auto"/>
        <w:ind w:left="100" w:right="66"/>
        <w:jc w:val="both"/>
        <w:rPr>
          <w:sz w:val="16"/>
        </w:rPr>
      </w:pPr>
      <w:r>
        <w:rPr>
          <w:sz w:val="16"/>
        </w:rPr>
        <w:t>KATO, Karina; QUINTELA, Sandra. Companhia Siderúrgica do Atlântico – TKCSA: Impactos e irregularidades na Zona Oeste do Rio de Janeiro. PACS - I</w:t>
      </w:r>
      <w:r>
        <w:rPr>
          <w:sz w:val="16"/>
        </w:rPr>
        <w:t>nstituto Políticas Alternativas para o Cone Sul:</w:t>
      </w:r>
    </w:p>
    <w:p w:rsidR="00D81F69" w:rsidRDefault="00330118">
      <w:pPr>
        <w:spacing w:before="70"/>
        <w:ind w:left="100"/>
        <w:jc w:val="both"/>
        <w:rPr>
          <w:sz w:val="16"/>
        </w:rPr>
      </w:pPr>
      <w:r>
        <w:br w:type="column"/>
      </w:r>
      <w:r>
        <w:rPr>
          <w:spacing w:val="23"/>
          <w:sz w:val="16"/>
        </w:rPr>
        <w:lastRenderedPageBreak/>
        <w:t xml:space="preserve">Rio   </w:t>
      </w:r>
      <w:r>
        <w:rPr>
          <w:spacing w:val="17"/>
          <w:sz w:val="16"/>
        </w:rPr>
        <w:t xml:space="preserve">de    </w:t>
      </w:r>
      <w:r>
        <w:rPr>
          <w:spacing w:val="30"/>
          <w:sz w:val="16"/>
        </w:rPr>
        <w:t xml:space="preserve">Janeiro. </w:t>
      </w:r>
      <w:r>
        <w:rPr>
          <w:spacing w:val="105"/>
          <w:sz w:val="16"/>
        </w:rPr>
        <w:t xml:space="preserve"> </w:t>
      </w:r>
      <w:r>
        <w:rPr>
          <w:spacing w:val="26"/>
          <w:sz w:val="16"/>
        </w:rPr>
        <w:t xml:space="preserve">nov,   </w:t>
      </w:r>
      <w:r>
        <w:rPr>
          <w:spacing w:val="27"/>
          <w:sz w:val="16"/>
        </w:rPr>
        <w:t xml:space="preserve">2009.   </w:t>
      </w:r>
      <w:r>
        <w:rPr>
          <w:spacing w:val="31"/>
          <w:sz w:val="16"/>
        </w:rPr>
        <w:t xml:space="preserve">Disponível </w:t>
      </w:r>
      <w:r>
        <w:rPr>
          <w:spacing w:val="30"/>
          <w:sz w:val="16"/>
        </w:rPr>
        <w:t xml:space="preserve"> </w:t>
      </w:r>
      <w:r>
        <w:rPr>
          <w:spacing w:val="23"/>
          <w:sz w:val="16"/>
        </w:rPr>
        <w:t>em:</w:t>
      </w:r>
      <w:r>
        <w:rPr>
          <w:spacing w:val="-8"/>
          <w:sz w:val="16"/>
        </w:rPr>
        <w:t xml:space="preserve"> </w:t>
      </w:r>
    </w:p>
    <w:p w:rsidR="00D81F69" w:rsidRDefault="00D81F69">
      <w:pPr>
        <w:spacing w:before="56" w:line="312" w:lineRule="auto"/>
        <w:ind w:left="100" w:right="216"/>
        <w:jc w:val="both"/>
        <w:rPr>
          <w:sz w:val="16"/>
        </w:rPr>
      </w:pPr>
      <w:hyperlink r:id="rId1459">
        <w:r w:rsidR="00330118">
          <w:rPr>
            <w:sz w:val="16"/>
          </w:rPr>
          <w:t>&lt;http://www.pacs.org.br/uploaded_files/20091126224843_printed_out</w:t>
        </w:r>
      </w:hyperlink>
      <w:r w:rsidR="00330118">
        <w:rPr>
          <w:sz w:val="16"/>
        </w:rPr>
        <w:t xml:space="preserve"> ras_UEFDU19Fc3R1ZG9fZGVfQ2Fzb19US0NTQS0yMDA5LnBkZg=</w:t>
      </w:r>
    </w:p>
    <w:p w:rsidR="00D81F69" w:rsidRDefault="00330118">
      <w:pPr>
        <w:spacing w:before="1"/>
        <w:ind w:left="100"/>
        <w:jc w:val="both"/>
        <w:rPr>
          <w:sz w:val="16"/>
        </w:rPr>
      </w:pPr>
      <w:r>
        <w:rPr>
          <w:sz w:val="16"/>
        </w:rPr>
        <w:t>=.pdf&gt;. Acesso em: 07 mar. 2012.</w:t>
      </w:r>
    </w:p>
    <w:p w:rsidR="00D81F69" w:rsidRDefault="00330118">
      <w:pPr>
        <w:spacing w:before="56" w:line="312" w:lineRule="auto"/>
        <w:ind w:left="100" w:right="198"/>
        <w:jc w:val="both"/>
        <w:rPr>
          <w:sz w:val="16"/>
        </w:rPr>
      </w:pPr>
      <w:r>
        <w:rPr>
          <w:sz w:val="16"/>
        </w:rPr>
        <w:t xml:space="preserve">LEITÃO, Thais. Comissão especial da Alerj vai propor fechamento provisório da siderúrgica CSA de Santa Cruz. Agência Brasil, 14 jun. 2011. Disponível em: </w:t>
      </w:r>
      <w:hyperlink r:id="rId1460">
        <w:r>
          <w:rPr>
            <w:sz w:val="16"/>
          </w:rPr>
          <w:t>&lt;http://agenciabrasil.ebc.com.br/noticia/2011-</w:t>
        </w:r>
      </w:hyperlink>
      <w:r>
        <w:rPr>
          <w:sz w:val="16"/>
        </w:rPr>
        <w:t xml:space="preserve"> 06-14/comissao-especial-da-alerj-vai-propor-fechamento-provisorio- da-siderurgica-csa-de-santa-cruz&gt;. Acesso em: 13 mar. 2012.</w:t>
      </w:r>
    </w:p>
    <w:p w:rsidR="00D81F69" w:rsidRDefault="00330118">
      <w:pPr>
        <w:spacing w:before="4" w:line="312" w:lineRule="auto"/>
        <w:ind w:left="100" w:right="172"/>
        <w:jc w:val="both"/>
        <w:rPr>
          <w:sz w:val="16"/>
        </w:rPr>
      </w:pPr>
      <w:r>
        <w:rPr>
          <w:sz w:val="16"/>
        </w:rPr>
        <w:t>LIMA, Gislene. Complexo siderúrgico</w:t>
      </w:r>
      <w:r>
        <w:rPr>
          <w:sz w:val="16"/>
        </w:rPr>
        <w:t xml:space="preserve"> da ThyssenKrupp causa danos sociais e ambientais no Rio. Kooperation Brasilien (KoBra). 5 nov. 2008. Disponível em: </w:t>
      </w:r>
      <w:hyperlink r:id="rId1461">
        <w:r>
          <w:rPr>
            <w:sz w:val="16"/>
          </w:rPr>
          <w:t xml:space="preserve">&lt;http://kooperation- </w:t>
        </w:r>
      </w:hyperlink>
      <w:r>
        <w:rPr>
          <w:sz w:val="16"/>
        </w:rPr>
        <w:t>brasilien.org/index.php?Itemid=56&amp;id=363&amp;option=com_content&amp;task</w:t>
      </w:r>
    </w:p>
    <w:p w:rsidR="00D81F69" w:rsidRDefault="00330118">
      <w:pPr>
        <w:spacing w:before="4"/>
        <w:ind w:left="100"/>
        <w:jc w:val="both"/>
        <w:rPr>
          <w:sz w:val="16"/>
        </w:rPr>
      </w:pPr>
      <w:r>
        <w:rPr>
          <w:sz w:val="16"/>
        </w:rPr>
        <w:t xml:space="preserve">=view&gt;. Acesso </w:t>
      </w:r>
      <w:r>
        <w:rPr>
          <w:sz w:val="16"/>
        </w:rPr>
        <w:t>em: 07 mar. 2012.</w:t>
      </w:r>
    </w:p>
    <w:p w:rsidR="00D81F69" w:rsidRDefault="00330118">
      <w:pPr>
        <w:tabs>
          <w:tab w:val="left" w:pos="2559"/>
          <w:tab w:val="left" w:pos="5063"/>
        </w:tabs>
        <w:spacing w:before="56" w:line="312" w:lineRule="auto"/>
        <w:ind w:left="100" w:right="200"/>
        <w:jc w:val="both"/>
        <w:rPr>
          <w:sz w:val="16"/>
        </w:rPr>
      </w:pPr>
      <w:r>
        <w:rPr>
          <w:spacing w:val="5"/>
          <w:sz w:val="16"/>
        </w:rPr>
        <w:t xml:space="preserve">LIMA, Kelly. CSA </w:t>
      </w:r>
      <w:r>
        <w:rPr>
          <w:sz w:val="16"/>
        </w:rPr>
        <w:t xml:space="preserve">é </w:t>
      </w:r>
      <w:r>
        <w:rPr>
          <w:spacing w:val="6"/>
          <w:sz w:val="16"/>
        </w:rPr>
        <w:t xml:space="preserve">novamente denunciada </w:t>
      </w:r>
      <w:r>
        <w:rPr>
          <w:spacing w:val="3"/>
          <w:sz w:val="16"/>
        </w:rPr>
        <w:t xml:space="preserve">no RJ </w:t>
      </w:r>
      <w:r>
        <w:rPr>
          <w:spacing w:val="5"/>
          <w:sz w:val="16"/>
        </w:rPr>
        <w:t xml:space="preserve">por </w:t>
      </w:r>
      <w:r>
        <w:rPr>
          <w:spacing w:val="7"/>
          <w:sz w:val="16"/>
        </w:rPr>
        <w:t xml:space="preserve">crime </w:t>
      </w:r>
      <w:r>
        <w:rPr>
          <w:sz w:val="16"/>
        </w:rPr>
        <w:t>ambiental. O Estado de S. Paulo, São Paulo, 8 jun. 2011. Disponível  e</w:t>
      </w:r>
      <w:r>
        <w:rPr>
          <w:sz w:val="16"/>
        </w:rPr>
        <w:tab/>
        <w:t>m</w:t>
      </w:r>
      <w:r>
        <w:rPr>
          <w:sz w:val="16"/>
        </w:rPr>
        <w:tab/>
        <w:t>:</w:t>
      </w:r>
    </w:p>
    <w:p w:rsidR="00D81F69" w:rsidRDefault="00D81F69">
      <w:pPr>
        <w:spacing w:before="2" w:line="312" w:lineRule="auto"/>
        <w:ind w:left="100" w:right="176"/>
        <w:jc w:val="both"/>
        <w:rPr>
          <w:sz w:val="16"/>
        </w:rPr>
      </w:pPr>
      <w:hyperlink r:id="rId1462">
        <w:r w:rsidR="00330118">
          <w:rPr>
            <w:sz w:val="16"/>
          </w:rPr>
          <w:t>&lt;</w:t>
        </w:r>
        <w:r w:rsidR="00330118">
          <w:rPr>
            <w:sz w:val="16"/>
          </w:rPr>
          <w:t>http://economia.estadao.com.br/noticia_imp.php?req=negocios%20g</w:t>
        </w:r>
      </w:hyperlink>
      <w:r w:rsidR="00330118">
        <w:rPr>
          <w:sz w:val="16"/>
        </w:rPr>
        <w:t xml:space="preserve"> </w:t>
      </w:r>
      <w:r w:rsidR="00330118">
        <w:rPr>
          <w:spacing w:val="28"/>
          <w:sz w:val="16"/>
        </w:rPr>
        <w:t xml:space="preserve">eral,csa-e-novamente-denunciada-no-rj-por-crime- </w:t>
      </w:r>
      <w:r w:rsidR="00330118">
        <w:rPr>
          <w:spacing w:val="20"/>
          <w:sz w:val="16"/>
        </w:rPr>
        <w:t xml:space="preserve">ambiental,70717,0.htm&gt;.  </w:t>
      </w:r>
      <w:r w:rsidR="00330118">
        <w:rPr>
          <w:spacing w:val="16"/>
          <w:sz w:val="16"/>
        </w:rPr>
        <w:t xml:space="preserve">Acesso  </w:t>
      </w:r>
      <w:r w:rsidR="00330118">
        <w:rPr>
          <w:spacing w:val="13"/>
          <w:sz w:val="16"/>
        </w:rPr>
        <w:t xml:space="preserve">em:  </w:t>
      </w:r>
      <w:r w:rsidR="00330118">
        <w:rPr>
          <w:spacing w:val="10"/>
          <w:sz w:val="16"/>
        </w:rPr>
        <w:t xml:space="preserve">07  </w:t>
      </w:r>
      <w:r w:rsidR="00330118">
        <w:rPr>
          <w:spacing w:val="15"/>
          <w:sz w:val="16"/>
        </w:rPr>
        <w:t xml:space="preserve">mar.   2012. </w:t>
      </w:r>
      <w:r w:rsidR="00330118">
        <w:rPr>
          <w:sz w:val="16"/>
        </w:rPr>
        <w:t xml:space="preserve">O </w:t>
      </w:r>
      <w:r w:rsidR="00330118">
        <w:rPr>
          <w:spacing w:val="3"/>
          <w:sz w:val="16"/>
        </w:rPr>
        <w:t xml:space="preserve">GLOBO. ThyssenKrupp </w:t>
      </w:r>
      <w:r w:rsidR="00330118">
        <w:rPr>
          <w:spacing w:val="2"/>
          <w:sz w:val="16"/>
        </w:rPr>
        <w:t xml:space="preserve">CSA </w:t>
      </w:r>
      <w:r w:rsidR="00330118">
        <w:rPr>
          <w:spacing w:val="3"/>
          <w:sz w:val="16"/>
        </w:rPr>
        <w:t xml:space="preserve">envia </w:t>
      </w:r>
      <w:r w:rsidR="00330118">
        <w:rPr>
          <w:spacing w:val="2"/>
          <w:sz w:val="16"/>
        </w:rPr>
        <w:t xml:space="preserve">nota </w:t>
      </w:r>
      <w:r w:rsidR="00330118">
        <w:rPr>
          <w:spacing w:val="3"/>
          <w:sz w:val="16"/>
        </w:rPr>
        <w:t xml:space="preserve">sobre </w:t>
      </w:r>
      <w:r w:rsidR="00330118">
        <w:rPr>
          <w:sz w:val="16"/>
        </w:rPr>
        <w:t xml:space="preserve">a </w:t>
      </w:r>
      <w:r w:rsidR="00330118">
        <w:rPr>
          <w:spacing w:val="3"/>
          <w:sz w:val="16"/>
        </w:rPr>
        <w:t xml:space="preserve">denúncia </w:t>
      </w:r>
      <w:r w:rsidR="00330118">
        <w:rPr>
          <w:spacing w:val="5"/>
          <w:sz w:val="16"/>
        </w:rPr>
        <w:t xml:space="preserve">por </w:t>
      </w:r>
      <w:r w:rsidR="00330118">
        <w:rPr>
          <w:sz w:val="16"/>
        </w:rPr>
        <w:t>crimes ambientais. O Globo, Ri</w:t>
      </w:r>
      <w:r w:rsidR="00330118">
        <w:rPr>
          <w:sz w:val="16"/>
        </w:rPr>
        <w:t xml:space="preserve">o de Janeiro, 8 jun. 2011. Disponível em: </w:t>
      </w:r>
      <w:hyperlink r:id="rId1463">
        <w:r w:rsidR="00330118">
          <w:rPr>
            <w:sz w:val="16"/>
          </w:rPr>
          <w:t>&lt;http://oglobo.globo.com/rio/thyssenkrupp-csa-envia-nota-sobre-</w:t>
        </w:r>
      </w:hyperlink>
      <w:r w:rsidR="00330118">
        <w:rPr>
          <w:sz w:val="16"/>
        </w:rPr>
        <w:t xml:space="preserve"> denuncia-por-crimes-ambientais-2877701#ixzz2NXjCySik&gt;. </w:t>
      </w:r>
      <w:r w:rsidR="00330118">
        <w:rPr>
          <w:spacing w:val="1"/>
          <w:sz w:val="16"/>
        </w:rPr>
        <w:t xml:space="preserve">Acesso </w:t>
      </w:r>
      <w:r w:rsidR="00330118">
        <w:rPr>
          <w:sz w:val="16"/>
        </w:rPr>
        <w:t>em: 13 m</w:t>
      </w:r>
      <w:r w:rsidR="00330118">
        <w:rPr>
          <w:sz w:val="16"/>
        </w:rPr>
        <w:t>ar.</w:t>
      </w:r>
      <w:r w:rsidR="00330118">
        <w:rPr>
          <w:spacing w:val="40"/>
          <w:sz w:val="16"/>
        </w:rPr>
        <w:t xml:space="preserve"> </w:t>
      </w:r>
      <w:r w:rsidR="00330118">
        <w:rPr>
          <w:sz w:val="16"/>
        </w:rPr>
        <w:t>2013.</w:t>
      </w:r>
    </w:p>
    <w:p w:rsidR="00D81F69" w:rsidRDefault="00330118">
      <w:pPr>
        <w:tabs>
          <w:tab w:val="left" w:pos="1164"/>
          <w:tab w:val="left" w:pos="2473"/>
          <w:tab w:val="left" w:pos="4636"/>
        </w:tabs>
        <w:spacing w:before="7" w:line="312" w:lineRule="auto"/>
        <w:ind w:left="100" w:right="201"/>
        <w:jc w:val="both"/>
        <w:rPr>
          <w:sz w:val="16"/>
        </w:rPr>
      </w:pPr>
      <w:r>
        <w:rPr>
          <w:sz w:val="16"/>
        </w:rPr>
        <w:t xml:space="preserve">OLIVEIRA, Nielmar. Companhia Siderúrgica do Atlântico poderá ter multa pesada por poluição no Rio. Agência Brasil, Rio de Janeiro, 05   j  a </w:t>
      </w:r>
      <w:r>
        <w:rPr>
          <w:spacing w:val="22"/>
          <w:sz w:val="16"/>
        </w:rPr>
        <w:t xml:space="preserve"> </w:t>
      </w:r>
      <w:r>
        <w:rPr>
          <w:sz w:val="16"/>
        </w:rPr>
        <w:t xml:space="preserve">n </w:t>
      </w:r>
      <w:r>
        <w:rPr>
          <w:spacing w:val="10"/>
          <w:sz w:val="16"/>
        </w:rPr>
        <w:t xml:space="preserve"> </w:t>
      </w:r>
      <w:r>
        <w:rPr>
          <w:sz w:val="16"/>
        </w:rPr>
        <w:t>.</w:t>
      </w:r>
      <w:r>
        <w:rPr>
          <w:sz w:val="16"/>
        </w:rPr>
        <w:tab/>
        <w:t xml:space="preserve">2  0  1 </w:t>
      </w:r>
      <w:r>
        <w:rPr>
          <w:spacing w:val="35"/>
          <w:sz w:val="16"/>
        </w:rPr>
        <w:t xml:space="preserve"> </w:t>
      </w:r>
      <w:r>
        <w:rPr>
          <w:sz w:val="16"/>
        </w:rPr>
        <w:t xml:space="preserve">1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2"/>
          <w:sz w:val="16"/>
        </w:rPr>
        <w:t xml:space="preserve"> </w:t>
      </w:r>
      <w:r>
        <w:rPr>
          <w:sz w:val="16"/>
        </w:rPr>
        <w:t>:</w:t>
      </w:r>
    </w:p>
    <w:p w:rsidR="00D81F69" w:rsidRDefault="00D81F69">
      <w:pPr>
        <w:spacing w:before="2" w:line="312" w:lineRule="auto"/>
        <w:ind w:left="100" w:right="209"/>
        <w:jc w:val="both"/>
        <w:rPr>
          <w:sz w:val="16"/>
        </w:rPr>
      </w:pPr>
      <w:hyperlink r:id="rId1464">
        <w:r w:rsidR="00330118">
          <w:rPr>
            <w:sz w:val="16"/>
          </w:rPr>
          <w:t>&lt;http://agenciabrasil.ebc.com.br/noticia/2011-01-05/companhia-</w:t>
        </w:r>
      </w:hyperlink>
      <w:r w:rsidR="00330118">
        <w:rPr>
          <w:sz w:val="16"/>
        </w:rPr>
        <w:t xml:space="preserve"> siderurgica-do-atlantico-podera-ter-multa-pesada-por-poluicao-no- rio&gt;. Acesso em: 15 mar. 2013.</w:t>
      </w:r>
    </w:p>
    <w:p w:rsidR="00D81F69" w:rsidRDefault="00330118">
      <w:pPr>
        <w:spacing w:before="3" w:line="312" w:lineRule="auto"/>
        <w:ind w:left="100" w:right="186"/>
        <w:rPr>
          <w:sz w:val="16"/>
        </w:rPr>
      </w:pPr>
      <w:r>
        <w:rPr>
          <w:sz w:val="16"/>
        </w:rPr>
        <w:t xml:space="preserve">PACS - Instituto Políticas Alternativas para o Cone Sul. Nota da Campanha “Pare a TKCSA!” contra a venda da siderúrgica. 26 set. 2012. Disponível em: </w:t>
      </w:r>
      <w:hyperlink r:id="rId1465">
        <w:r>
          <w:rPr>
            <w:sz w:val="16"/>
          </w:rPr>
          <w:t>&lt;http://www.pacs.org.br/files/2012/12/Nota-</w:t>
        </w:r>
      </w:hyperlink>
      <w:r>
        <w:rPr>
          <w:sz w:val="16"/>
        </w:rPr>
        <w:t xml:space="preserve"> publica-Final-MUDADA-0510-1.pdf&gt;. Acesso em: 15 mar. 2013. RIBEIRO, Ivo; MOREIRA, Talita; DURÃO, Vera Saavedra. ThyssenKrupp tenta fechar venda da CSA. Valor Econômico, 7 dez.</w:t>
      </w:r>
    </w:p>
    <w:p w:rsidR="00D81F69" w:rsidRDefault="00330118">
      <w:pPr>
        <w:tabs>
          <w:tab w:val="left" w:pos="1785"/>
          <w:tab w:val="left" w:pos="4548"/>
        </w:tabs>
        <w:spacing w:before="5"/>
        <w:ind w:left="100"/>
        <w:jc w:val="both"/>
        <w:rPr>
          <w:sz w:val="16"/>
        </w:rPr>
      </w:pPr>
      <w:r>
        <w:rPr>
          <w:sz w:val="16"/>
        </w:rPr>
        <w:t xml:space="preserve">2   0   1  </w:t>
      </w:r>
      <w:r>
        <w:rPr>
          <w:spacing w:val="35"/>
          <w:sz w:val="16"/>
        </w:rPr>
        <w:t xml:space="preserve"> </w:t>
      </w:r>
      <w:r>
        <w:rPr>
          <w:sz w:val="16"/>
        </w:rPr>
        <w:t xml:space="preserve">2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133"/>
        <w:jc w:val="both"/>
        <w:rPr>
          <w:sz w:val="16"/>
        </w:rPr>
      </w:pPr>
      <w:hyperlink r:id="rId1466">
        <w:r w:rsidR="00330118">
          <w:rPr>
            <w:spacing w:val="5"/>
            <w:sz w:val="16"/>
          </w:rPr>
          <w:t>&lt;http://www.valor.com.br/empresas/2931746/thyssenkrupp-tenta-</w:t>
        </w:r>
      </w:hyperlink>
      <w:r w:rsidR="00330118">
        <w:rPr>
          <w:spacing w:val="5"/>
          <w:sz w:val="16"/>
        </w:rPr>
        <w:t xml:space="preserve"> </w:t>
      </w:r>
      <w:r w:rsidR="00330118">
        <w:rPr>
          <w:sz w:val="16"/>
        </w:rPr>
        <w:t xml:space="preserve">fechar-venda-da-csa#ixzz2NdNEkmVl&gt;. Acesso em: 15 mar. 2013. </w:t>
      </w:r>
      <w:r w:rsidR="00330118">
        <w:rPr>
          <w:spacing w:val="5"/>
          <w:sz w:val="16"/>
        </w:rPr>
        <w:t xml:space="preserve">VIÉGAS, Rodrigo Nuñez. Desigualdade Ambiental </w:t>
      </w:r>
      <w:r w:rsidR="00330118">
        <w:rPr>
          <w:sz w:val="16"/>
        </w:rPr>
        <w:t xml:space="preserve">e  </w:t>
      </w:r>
      <w:r w:rsidR="00330118">
        <w:rPr>
          <w:spacing w:val="5"/>
          <w:sz w:val="16"/>
        </w:rPr>
        <w:t xml:space="preserve">“Zonas de    </w:t>
      </w:r>
      <w:r w:rsidR="00330118">
        <w:rPr>
          <w:spacing w:val="21"/>
          <w:sz w:val="16"/>
        </w:rPr>
        <w:t>S</w:t>
      </w:r>
      <w:r w:rsidR="00330118">
        <w:rPr>
          <w:sz w:val="16"/>
        </w:rPr>
        <w:t xml:space="preserve"> </w:t>
      </w:r>
      <w:r w:rsidR="00330118">
        <w:rPr>
          <w:spacing w:val="21"/>
          <w:sz w:val="16"/>
        </w:rPr>
        <w:t>a</w:t>
      </w:r>
      <w:r w:rsidR="00330118">
        <w:rPr>
          <w:sz w:val="16"/>
        </w:rPr>
        <w:t xml:space="preserve"> </w:t>
      </w:r>
      <w:r w:rsidR="00330118">
        <w:rPr>
          <w:spacing w:val="21"/>
          <w:sz w:val="16"/>
        </w:rPr>
        <w:t>c</w:t>
      </w:r>
      <w:r w:rsidR="00330118">
        <w:rPr>
          <w:sz w:val="16"/>
        </w:rPr>
        <w:t xml:space="preserve"> </w:t>
      </w:r>
      <w:r w:rsidR="00330118">
        <w:rPr>
          <w:spacing w:val="21"/>
          <w:sz w:val="16"/>
        </w:rPr>
        <w:t>r</w:t>
      </w:r>
      <w:r w:rsidR="00330118">
        <w:rPr>
          <w:sz w:val="16"/>
        </w:rPr>
        <w:t xml:space="preserve"> </w:t>
      </w:r>
      <w:r w:rsidR="00330118">
        <w:rPr>
          <w:spacing w:val="21"/>
          <w:sz w:val="16"/>
        </w:rPr>
        <w:t>i</w:t>
      </w:r>
      <w:r w:rsidR="00330118">
        <w:rPr>
          <w:sz w:val="16"/>
        </w:rPr>
        <w:t xml:space="preserve"> </w:t>
      </w:r>
      <w:r w:rsidR="00330118">
        <w:rPr>
          <w:spacing w:val="21"/>
          <w:sz w:val="16"/>
        </w:rPr>
        <w:t>f</w:t>
      </w:r>
      <w:r w:rsidR="00330118">
        <w:rPr>
          <w:sz w:val="16"/>
        </w:rPr>
        <w:t xml:space="preserve"> </w:t>
      </w:r>
      <w:r w:rsidR="00330118">
        <w:rPr>
          <w:spacing w:val="21"/>
          <w:sz w:val="16"/>
        </w:rPr>
        <w:t>í</w:t>
      </w:r>
      <w:r w:rsidR="00330118">
        <w:rPr>
          <w:sz w:val="16"/>
        </w:rPr>
        <w:t xml:space="preserve"> </w:t>
      </w:r>
      <w:r w:rsidR="00330118">
        <w:rPr>
          <w:spacing w:val="21"/>
          <w:sz w:val="16"/>
        </w:rPr>
        <w:t>c</w:t>
      </w:r>
      <w:r w:rsidR="00330118">
        <w:rPr>
          <w:sz w:val="16"/>
        </w:rPr>
        <w:t xml:space="preserve"> </w:t>
      </w:r>
      <w:r w:rsidR="00330118">
        <w:rPr>
          <w:spacing w:val="21"/>
          <w:sz w:val="16"/>
        </w:rPr>
        <w:t>i</w:t>
      </w:r>
      <w:r w:rsidR="00330118">
        <w:rPr>
          <w:sz w:val="16"/>
        </w:rPr>
        <w:t xml:space="preserve"> </w:t>
      </w:r>
      <w:r w:rsidR="00330118">
        <w:rPr>
          <w:spacing w:val="21"/>
          <w:sz w:val="16"/>
        </w:rPr>
        <w:t>o</w:t>
      </w:r>
      <w:r w:rsidR="00330118">
        <w:rPr>
          <w:sz w:val="16"/>
        </w:rPr>
        <w:t xml:space="preserve"> </w:t>
      </w:r>
      <w:r w:rsidR="00330118">
        <w:rPr>
          <w:spacing w:val="21"/>
          <w:sz w:val="16"/>
        </w:rPr>
        <w:t>”</w:t>
      </w:r>
      <w:r w:rsidR="00330118">
        <w:rPr>
          <w:sz w:val="16"/>
        </w:rPr>
        <w:t xml:space="preserve"> ,</w:t>
      </w:r>
      <w:r w:rsidR="00330118">
        <w:rPr>
          <w:spacing w:val="43"/>
          <w:sz w:val="16"/>
        </w:rPr>
        <w:t xml:space="preserve"> </w:t>
      </w:r>
      <w:r w:rsidR="00330118">
        <w:rPr>
          <w:spacing w:val="21"/>
          <w:sz w:val="16"/>
        </w:rPr>
        <w:t>2</w:t>
      </w:r>
      <w:r w:rsidR="00330118">
        <w:rPr>
          <w:sz w:val="16"/>
        </w:rPr>
        <w:t xml:space="preserve"> </w:t>
      </w:r>
      <w:r w:rsidR="00330118">
        <w:rPr>
          <w:spacing w:val="21"/>
          <w:sz w:val="16"/>
        </w:rPr>
        <w:t>0</w:t>
      </w:r>
      <w:r w:rsidR="00330118">
        <w:rPr>
          <w:sz w:val="16"/>
        </w:rPr>
        <w:t xml:space="preserve"> </w:t>
      </w:r>
      <w:r w:rsidR="00330118">
        <w:rPr>
          <w:spacing w:val="21"/>
          <w:sz w:val="16"/>
        </w:rPr>
        <w:t>0</w:t>
      </w:r>
      <w:r w:rsidR="00330118">
        <w:rPr>
          <w:sz w:val="16"/>
        </w:rPr>
        <w:t xml:space="preserve"> </w:t>
      </w:r>
      <w:r w:rsidR="00330118">
        <w:rPr>
          <w:spacing w:val="21"/>
          <w:sz w:val="16"/>
        </w:rPr>
        <w:t>6</w:t>
      </w:r>
      <w:r w:rsidR="00330118">
        <w:rPr>
          <w:sz w:val="16"/>
        </w:rPr>
        <w:t xml:space="preserve"> .</w:t>
      </w:r>
      <w:r w:rsidR="00330118">
        <w:rPr>
          <w:spacing w:val="43"/>
          <w:sz w:val="16"/>
        </w:rPr>
        <w:t xml:space="preserve"> </w:t>
      </w:r>
      <w:r w:rsidR="00330118">
        <w:rPr>
          <w:spacing w:val="21"/>
          <w:sz w:val="16"/>
        </w:rPr>
        <w:t>D</w:t>
      </w:r>
      <w:r w:rsidR="00330118">
        <w:rPr>
          <w:sz w:val="16"/>
        </w:rPr>
        <w:t xml:space="preserve"> </w:t>
      </w:r>
      <w:r w:rsidR="00330118">
        <w:rPr>
          <w:spacing w:val="21"/>
          <w:sz w:val="16"/>
        </w:rPr>
        <w:t>i</w:t>
      </w:r>
      <w:r w:rsidR="00330118">
        <w:rPr>
          <w:sz w:val="16"/>
        </w:rPr>
        <w:t xml:space="preserve"> </w:t>
      </w:r>
      <w:r w:rsidR="00330118">
        <w:rPr>
          <w:spacing w:val="21"/>
          <w:sz w:val="16"/>
        </w:rPr>
        <w:t>s</w:t>
      </w:r>
      <w:r w:rsidR="00330118">
        <w:rPr>
          <w:sz w:val="16"/>
        </w:rPr>
        <w:t xml:space="preserve"> </w:t>
      </w:r>
      <w:r w:rsidR="00330118">
        <w:rPr>
          <w:spacing w:val="21"/>
          <w:sz w:val="16"/>
        </w:rPr>
        <w:t>p</w:t>
      </w:r>
      <w:r w:rsidR="00330118">
        <w:rPr>
          <w:sz w:val="16"/>
        </w:rPr>
        <w:t xml:space="preserve"> </w:t>
      </w:r>
      <w:r w:rsidR="00330118">
        <w:rPr>
          <w:spacing w:val="21"/>
          <w:sz w:val="16"/>
        </w:rPr>
        <w:t>o</w:t>
      </w:r>
      <w:r w:rsidR="00330118">
        <w:rPr>
          <w:sz w:val="16"/>
        </w:rPr>
        <w:t xml:space="preserve"> </w:t>
      </w:r>
      <w:r w:rsidR="00330118">
        <w:rPr>
          <w:spacing w:val="21"/>
          <w:sz w:val="16"/>
        </w:rPr>
        <w:t>n</w:t>
      </w:r>
      <w:r w:rsidR="00330118">
        <w:rPr>
          <w:sz w:val="16"/>
        </w:rPr>
        <w:t xml:space="preserve"> </w:t>
      </w:r>
      <w:r w:rsidR="00330118">
        <w:rPr>
          <w:spacing w:val="21"/>
          <w:sz w:val="16"/>
        </w:rPr>
        <w:t>í</w:t>
      </w:r>
      <w:r w:rsidR="00330118">
        <w:rPr>
          <w:sz w:val="16"/>
        </w:rPr>
        <w:t xml:space="preserve"> </w:t>
      </w:r>
      <w:r w:rsidR="00330118">
        <w:rPr>
          <w:spacing w:val="21"/>
          <w:sz w:val="16"/>
        </w:rPr>
        <w:t>v</w:t>
      </w:r>
      <w:r w:rsidR="00330118">
        <w:rPr>
          <w:sz w:val="16"/>
        </w:rPr>
        <w:t xml:space="preserve"> </w:t>
      </w:r>
      <w:r w:rsidR="00330118">
        <w:rPr>
          <w:spacing w:val="21"/>
          <w:sz w:val="16"/>
        </w:rPr>
        <w:t>e</w:t>
      </w:r>
      <w:r w:rsidR="00330118">
        <w:rPr>
          <w:sz w:val="16"/>
        </w:rPr>
        <w:t xml:space="preserve"> l</w:t>
      </w:r>
      <w:r w:rsidR="00330118">
        <w:rPr>
          <w:spacing w:val="43"/>
          <w:sz w:val="16"/>
        </w:rPr>
        <w:t xml:space="preserve"> </w:t>
      </w:r>
      <w:r w:rsidR="00330118">
        <w:rPr>
          <w:spacing w:val="21"/>
          <w:sz w:val="16"/>
        </w:rPr>
        <w:t>e</w:t>
      </w:r>
      <w:r w:rsidR="00330118">
        <w:rPr>
          <w:sz w:val="16"/>
        </w:rPr>
        <w:t xml:space="preserve"> </w:t>
      </w:r>
      <w:r w:rsidR="00330118">
        <w:rPr>
          <w:spacing w:val="21"/>
          <w:sz w:val="16"/>
        </w:rPr>
        <w:t>m</w:t>
      </w:r>
      <w:r w:rsidR="00330118">
        <w:rPr>
          <w:sz w:val="16"/>
        </w:rPr>
        <w:t xml:space="preserve"> : </w:t>
      </w:r>
      <w:r w:rsidR="00330118">
        <w:rPr>
          <w:spacing w:val="-21"/>
          <w:sz w:val="16"/>
        </w:rPr>
        <w:t xml:space="preserve"> </w:t>
      </w:r>
    </w:p>
    <w:p w:rsidR="00D81F69" w:rsidRDefault="00D81F69">
      <w:pPr>
        <w:spacing w:before="3" w:line="312" w:lineRule="auto"/>
        <w:ind w:left="100" w:right="195"/>
        <w:jc w:val="both"/>
        <w:rPr>
          <w:sz w:val="16"/>
        </w:rPr>
      </w:pPr>
      <w:hyperlink r:id="rId1467">
        <w:r w:rsidR="00330118">
          <w:rPr>
            <w:sz w:val="16"/>
          </w:rPr>
          <w:t>&lt;http://www.dominiopublico.gov.br/download/texto/ea000392.pdf&gt;.</w:t>
        </w:r>
      </w:hyperlink>
      <w:r w:rsidR="00330118">
        <w:rPr>
          <w:sz w:val="16"/>
        </w:rPr>
        <w:t xml:space="preserve"> Acesso em: 10 dez. 2011.</w:t>
      </w:r>
    </w:p>
    <w:p w:rsidR="00D81F69" w:rsidRDefault="00330118">
      <w:pPr>
        <w:spacing w:before="1" w:line="312" w:lineRule="auto"/>
        <w:ind w:left="100" w:right="182"/>
        <w:jc w:val="both"/>
        <w:rPr>
          <w:sz w:val="16"/>
        </w:rPr>
      </w:pPr>
      <w:r>
        <w:rPr>
          <w:sz w:val="16"/>
        </w:rPr>
        <w:t xml:space="preserve">WERNECK, Felipe. Siderúrgica processa cientistas no RJ. O Estado de S. Paulo, São Paulo, 1 nov. 2011. Disponível em: </w:t>
      </w:r>
    </w:p>
    <w:p w:rsidR="00D81F69" w:rsidRDefault="00D81F69">
      <w:pPr>
        <w:spacing w:before="2" w:line="312" w:lineRule="auto"/>
        <w:ind w:left="100" w:right="215"/>
        <w:jc w:val="both"/>
        <w:rPr>
          <w:sz w:val="16"/>
        </w:rPr>
      </w:pPr>
      <w:hyperlink r:id="rId1468">
        <w:r w:rsidR="00330118">
          <w:rPr>
            <w:sz w:val="16"/>
          </w:rPr>
          <w:t>&lt;http://www.estadao.com.br/noticias/impresso,siderurg</w:t>
        </w:r>
        <w:r w:rsidR="00330118">
          <w:rPr>
            <w:sz w:val="16"/>
          </w:rPr>
          <w:t>ica-processa-</w:t>
        </w:r>
      </w:hyperlink>
      <w:r w:rsidR="00330118">
        <w:rPr>
          <w:sz w:val="16"/>
        </w:rPr>
        <w:t xml:space="preserve"> cientistas-no-rj-,793092,0.htm&gt;. Acesso em: 13 mar. 2012.</w:t>
      </w:r>
    </w:p>
    <w:p w:rsidR="00D81F69" w:rsidRDefault="00330118">
      <w:pPr>
        <w:spacing w:before="2" w:line="312" w:lineRule="auto"/>
        <w:ind w:left="100" w:right="173"/>
        <w:jc w:val="both"/>
        <w:rPr>
          <w:sz w:val="16"/>
        </w:rPr>
      </w:pPr>
      <w:r>
        <w:rPr>
          <w:sz w:val="16"/>
        </w:rPr>
        <w:t xml:space="preserve">XINGU VIVO. Após intervenção da OAB, ThyssenKrupp retira ação </w:t>
      </w:r>
      <w:r>
        <w:rPr>
          <w:spacing w:val="21"/>
          <w:sz w:val="16"/>
        </w:rPr>
        <w:t xml:space="preserve">contra   </w:t>
      </w:r>
      <w:r>
        <w:rPr>
          <w:spacing w:val="23"/>
          <w:sz w:val="16"/>
        </w:rPr>
        <w:t xml:space="preserve">cientistas.   </w:t>
      </w:r>
      <w:r>
        <w:rPr>
          <w:spacing w:val="12"/>
          <w:sz w:val="16"/>
        </w:rPr>
        <w:t xml:space="preserve">17   </w:t>
      </w:r>
      <w:r>
        <w:rPr>
          <w:spacing w:val="20"/>
          <w:sz w:val="16"/>
        </w:rPr>
        <w:t xml:space="preserve">jan.   2012. </w:t>
      </w:r>
      <w:r>
        <w:rPr>
          <w:spacing w:val="85"/>
          <w:sz w:val="16"/>
        </w:rPr>
        <w:t xml:space="preserve"> </w:t>
      </w:r>
      <w:r>
        <w:rPr>
          <w:spacing w:val="23"/>
          <w:sz w:val="16"/>
        </w:rPr>
        <w:t>Disponível</w:t>
      </w:r>
      <w:r>
        <w:rPr>
          <w:spacing w:val="22"/>
          <w:sz w:val="16"/>
        </w:rPr>
        <w:t xml:space="preserve"> </w:t>
      </w:r>
      <w:r>
        <w:rPr>
          <w:spacing w:val="17"/>
          <w:sz w:val="16"/>
        </w:rPr>
        <w:t>em:</w:t>
      </w:r>
      <w:r>
        <w:rPr>
          <w:spacing w:val="-17"/>
          <w:sz w:val="16"/>
        </w:rPr>
        <w:t xml:space="preserve"> </w:t>
      </w:r>
    </w:p>
    <w:p w:rsidR="00D81F69" w:rsidRDefault="00D81F69">
      <w:pPr>
        <w:spacing w:before="1"/>
        <w:ind w:left="100"/>
        <w:jc w:val="both"/>
        <w:rPr>
          <w:sz w:val="16"/>
        </w:rPr>
      </w:pPr>
      <w:hyperlink r:id="rId1469">
        <w:r w:rsidR="00330118">
          <w:rPr>
            <w:sz w:val="16"/>
          </w:rPr>
          <w:t>&lt;http:/</w:t>
        </w:r>
        <w:r w:rsidR="00330118">
          <w:rPr>
            <w:sz w:val="16"/>
          </w:rPr>
          <w:t xml:space="preserve">/xinguvivo.org.br/votevale/?p=210&gt;. </w:t>
        </w:r>
      </w:hyperlink>
      <w:r w:rsidR="00330118">
        <w:rPr>
          <w:sz w:val="16"/>
        </w:rPr>
        <w:t>Acesso em: 15 mar. 2013.</w:t>
      </w:r>
    </w:p>
    <w:p w:rsidR="00D81F69" w:rsidRDefault="00D81F69">
      <w:pPr>
        <w:jc w:val="both"/>
        <w:rPr>
          <w:sz w:val="16"/>
        </w:rPr>
        <w:sectPr w:rsidR="00D81F69">
          <w:pgSz w:w="11900" w:h="16840"/>
          <w:pgMar w:top="740" w:right="500" w:bottom="720" w:left="620" w:header="0" w:footer="402" w:gutter="0"/>
          <w:cols w:num="2" w:space="720" w:equalWidth="0">
            <w:col w:w="5167" w:space="303"/>
            <w:col w:w="5310"/>
          </w:cols>
        </w:sectPr>
      </w:pPr>
    </w:p>
    <w:p w:rsidR="00D81F69" w:rsidRDefault="00330118">
      <w:pPr>
        <w:pStyle w:val="Heading1"/>
        <w:spacing w:before="65"/>
        <w:ind w:right="0"/>
      </w:pPr>
      <w:r>
        <w:lastRenderedPageBreak/>
        <w:t>Centres deixa passivo ambiental em Queimados (RJ)</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720" w:left="620" w:header="0" w:footer="402" w:gutter="0"/>
          <w:cols w:space="720"/>
        </w:sectPr>
      </w:pPr>
    </w:p>
    <w:p w:rsidR="00D81F69" w:rsidRDefault="00D81F69">
      <w:pPr>
        <w:pStyle w:val="Corpodetexto"/>
        <w:ind w:left="0"/>
        <w:jc w:val="left"/>
        <w:rPr>
          <w:b/>
          <w:sz w:val="16"/>
        </w:rPr>
      </w:pPr>
    </w:p>
    <w:p w:rsidR="00D81F69" w:rsidRDefault="00D81F69">
      <w:pPr>
        <w:pStyle w:val="Corpodetexto"/>
        <w:spacing w:before="5"/>
        <w:ind w:left="0"/>
        <w:jc w:val="left"/>
        <w:rPr>
          <w:b/>
          <w:sz w:val="23"/>
        </w:rPr>
      </w:pPr>
    </w:p>
    <w:p w:rsidR="00D81F69" w:rsidRDefault="00330118">
      <w:pPr>
        <w:ind w:left="135"/>
        <w:rPr>
          <w:i/>
          <w:sz w:val="14"/>
        </w:rPr>
      </w:pPr>
      <w:r>
        <w:rPr>
          <w:i/>
          <w:sz w:val="14"/>
        </w:rPr>
        <w:t>MUNICÍPIOS</w:t>
      </w:r>
    </w:p>
    <w:p w:rsidR="00D81F69" w:rsidRDefault="00330118">
      <w:pPr>
        <w:spacing w:before="49"/>
        <w:ind w:left="135"/>
        <w:rPr>
          <w:i/>
          <w:sz w:val="14"/>
        </w:rPr>
      </w:pPr>
      <w:r>
        <w:rPr>
          <w:i/>
          <w:sz w:val="14"/>
        </w:rPr>
        <w:t>RJ - Queimados</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-22,7243</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-43,6</w:t>
      </w:r>
    </w:p>
    <w:p w:rsidR="00D81F69" w:rsidRDefault="00330118">
      <w:pPr>
        <w:pStyle w:val="Corpodetexto"/>
        <w:spacing w:before="3" w:after="39"/>
        <w:ind w:left="0"/>
        <w:jc w:val="left"/>
        <w:rPr>
          <w:i/>
          <w:sz w:val="19"/>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1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O município de Queimados convive com </w:t>
      </w:r>
      <w:r>
        <w:rPr>
          <w:i/>
          <w:spacing w:val="6"/>
          <w:sz w:val="16"/>
        </w:rPr>
        <w:t xml:space="preserve">as </w:t>
      </w:r>
      <w:r>
        <w:rPr>
          <w:i/>
          <w:spacing w:val="12"/>
          <w:sz w:val="16"/>
        </w:rPr>
        <w:t xml:space="preserve">consequências </w:t>
      </w:r>
      <w:r>
        <w:rPr>
          <w:i/>
          <w:spacing w:val="10"/>
          <w:sz w:val="16"/>
        </w:rPr>
        <w:t xml:space="preserve">das </w:t>
      </w:r>
      <w:r>
        <w:rPr>
          <w:i/>
          <w:spacing w:val="12"/>
          <w:sz w:val="16"/>
        </w:rPr>
        <w:t xml:space="preserve">atividades </w:t>
      </w:r>
      <w:r>
        <w:rPr>
          <w:i/>
          <w:sz w:val="16"/>
        </w:rPr>
        <w:t xml:space="preserve">inadequadas do Centro de Tratamento </w:t>
      </w:r>
      <w:r>
        <w:rPr>
          <w:i/>
          <w:spacing w:val="5"/>
          <w:sz w:val="16"/>
        </w:rPr>
        <w:t xml:space="preserve">de </w:t>
      </w:r>
      <w:r>
        <w:rPr>
          <w:i/>
          <w:spacing w:val="7"/>
          <w:sz w:val="16"/>
        </w:rPr>
        <w:t xml:space="preserve">Resíduos Sólidos (Centres) </w:t>
      </w:r>
      <w:r>
        <w:rPr>
          <w:i/>
          <w:spacing w:val="10"/>
          <w:sz w:val="16"/>
        </w:rPr>
        <w:t xml:space="preserve">que </w:t>
      </w:r>
      <w:r>
        <w:rPr>
          <w:i/>
          <w:sz w:val="16"/>
        </w:rPr>
        <w:t xml:space="preserve">funcionou na região entre 1987 e 1998. O Centro recebia resíduos industriais de grandes empresas (armazenou mais de </w:t>
      </w:r>
      <w:r>
        <w:rPr>
          <w:i/>
          <w:spacing w:val="1"/>
          <w:sz w:val="16"/>
        </w:rPr>
        <w:t>1</w:t>
      </w:r>
      <w:r>
        <w:rPr>
          <w:i/>
          <w:spacing w:val="1"/>
          <w:sz w:val="16"/>
        </w:rPr>
        <w:t xml:space="preserve">8 </w:t>
      </w:r>
      <w:r>
        <w:rPr>
          <w:i/>
          <w:spacing w:val="3"/>
          <w:sz w:val="16"/>
        </w:rPr>
        <w:t xml:space="preserve">toneladas) </w:t>
      </w:r>
      <w:r>
        <w:rPr>
          <w:i/>
          <w:sz w:val="16"/>
        </w:rPr>
        <w:t xml:space="preserve">o </w:t>
      </w:r>
      <w:r>
        <w:rPr>
          <w:i/>
          <w:spacing w:val="2"/>
          <w:sz w:val="16"/>
        </w:rPr>
        <w:t xml:space="preserve">que </w:t>
      </w:r>
      <w:r>
        <w:rPr>
          <w:i/>
          <w:spacing w:val="3"/>
          <w:sz w:val="16"/>
        </w:rPr>
        <w:t xml:space="preserve">contribuiu </w:t>
      </w:r>
      <w:r>
        <w:rPr>
          <w:i/>
          <w:spacing w:val="2"/>
          <w:sz w:val="16"/>
        </w:rPr>
        <w:t xml:space="preserve">para </w:t>
      </w:r>
      <w:r>
        <w:rPr>
          <w:i/>
          <w:sz w:val="16"/>
        </w:rPr>
        <w:t xml:space="preserve">a </w:t>
      </w:r>
      <w:r>
        <w:rPr>
          <w:i/>
          <w:spacing w:val="20"/>
          <w:sz w:val="16"/>
        </w:rPr>
        <w:t xml:space="preserve">contaminação </w:t>
      </w:r>
      <w:r>
        <w:rPr>
          <w:i/>
          <w:spacing w:val="10"/>
          <w:sz w:val="16"/>
        </w:rPr>
        <w:t>de</w:t>
      </w:r>
      <w:r>
        <w:rPr>
          <w:i/>
          <w:spacing w:val="65"/>
          <w:sz w:val="16"/>
        </w:rPr>
        <w:t xml:space="preserve"> </w:t>
      </w:r>
      <w:r>
        <w:rPr>
          <w:i/>
          <w:spacing w:val="15"/>
          <w:sz w:val="16"/>
        </w:rPr>
        <w:t>solo</w:t>
      </w:r>
      <w:r>
        <w:rPr>
          <w:i/>
          <w:spacing w:val="75"/>
          <w:sz w:val="16"/>
        </w:rPr>
        <w:t xml:space="preserve"> </w:t>
      </w:r>
      <w:r>
        <w:rPr>
          <w:i/>
          <w:sz w:val="16"/>
        </w:rPr>
        <w:t xml:space="preserve">e </w:t>
      </w:r>
      <w:r>
        <w:rPr>
          <w:i/>
          <w:spacing w:val="15"/>
          <w:sz w:val="16"/>
        </w:rPr>
        <w:t xml:space="preserve">água </w:t>
      </w:r>
      <w:r>
        <w:rPr>
          <w:i/>
          <w:spacing w:val="12"/>
          <w:sz w:val="16"/>
        </w:rPr>
        <w:t xml:space="preserve">subterrânea </w:t>
      </w:r>
      <w:r>
        <w:rPr>
          <w:i/>
          <w:spacing w:val="10"/>
          <w:sz w:val="16"/>
        </w:rPr>
        <w:t xml:space="preserve">por </w:t>
      </w:r>
      <w:r>
        <w:rPr>
          <w:i/>
          <w:spacing w:val="11"/>
          <w:sz w:val="16"/>
        </w:rPr>
        <w:t xml:space="preserve">metais </w:t>
      </w:r>
      <w:r>
        <w:rPr>
          <w:i/>
          <w:spacing w:val="12"/>
          <w:sz w:val="16"/>
        </w:rPr>
        <w:t xml:space="preserve">pesados, </w:t>
      </w:r>
      <w:r>
        <w:rPr>
          <w:i/>
          <w:spacing w:val="1"/>
          <w:sz w:val="16"/>
        </w:rPr>
        <w:t xml:space="preserve">gerando danos </w:t>
      </w:r>
      <w:r>
        <w:rPr>
          <w:i/>
          <w:sz w:val="16"/>
        </w:rPr>
        <w:t xml:space="preserve">à </w:t>
      </w:r>
      <w:r>
        <w:rPr>
          <w:i/>
          <w:spacing w:val="1"/>
          <w:sz w:val="16"/>
        </w:rPr>
        <w:t xml:space="preserve">saúde </w:t>
      </w:r>
      <w:r>
        <w:rPr>
          <w:i/>
          <w:sz w:val="16"/>
        </w:rPr>
        <w:t>da</w:t>
      </w:r>
      <w:r>
        <w:rPr>
          <w:i/>
          <w:spacing w:val="37"/>
          <w:sz w:val="16"/>
        </w:rPr>
        <w:t xml:space="preserve"> </w:t>
      </w:r>
      <w:r>
        <w:rPr>
          <w:i/>
          <w:spacing w:val="2"/>
          <w:sz w:val="16"/>
        </w:rPr>
        <w:t>população.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2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19"/>
        </w:rPr>
      </w:pPr>
      <w:r>
        <w:br w:type="column"/>
      </w:r>
    </w:p>
    <w:p w:rsidR="00D81F69" w:rsidRDefault="00330118">
      <w:pPr>
        <w:pStyle w:val="Corpodetexto"/>
        <w:spacing w:line="312" w:lineRule="auto"/>
        <w:ind w:left="135" w:right="196"/>
      </w:pPr>
      <w:r>
        <w:t xml:space="preserve">aproximadamente, 24 mil indústrias que funcionam sem o controle das agências ambientais do estado, muitas delas produzindo lixo tóxico. Além disso, o Rio de Janeiro recebe resíduos provenientes de outros estados, como Minas Gerais, São Paulo e Bahia. Tais </w:t>
      </w:r>
      <w:r>
        <w:t>resíduos deveriam ser queimados em fornos do Rio, mas boa parte deles é lançada, valendo-se das deficiências na fiscalização, em despejos clandestinos ao longo do caminho, para evitar o pagamento dos custos de incineração (ACSELRAD, 2006).</w:t>
      </w:r>
    </w:p>
    <w:p w:rsidR="00D81F69" w:rsidRDefault="00330118">
      <w:pPr>
        <w:pStyle w:val="Corpodetexto"/>
        <w:spacing w:before="139" w:line="312" w:lineRule="auto"/>
        <w:ind w:left="135" w:right="210"/>
      </w:pPr>
      <w:r>
        <w:t>As evidências ap</w:t>
      </w:r>
      <w:r>
        <w:t>ontam que a deposição dos resíduos, na maior parte das vezes, é feita em áreas periféricas, ondem residem populações de baixa renda, com dificuldades de</w:t>
      </w:r>
    </w:p>
    <w:p w:rsidR="00D81F69" w:rsidRDefault="00D81F69">
      <w:pPr>
        <w:spacing w:line="312" w:lineRule="auto"/>
        <w:sectPr w:rsidR="00D81F69">
          <w:type w:val="continuous"/>
          <w:pgSz w:w="11900" w:h="16840"/>
          <w:pgMar w:top="720" w:right="500" w:bottom="280" w:left="620" w:header="720" w:footer="720" w:gutter="0"/>
          <w:cols w:num="3" w:space="720" w:equalWidth="0">
            <w:col w:w="1187" w:space="813"/>
            <w:col w:w="3130" w:space="305"/>
            <w:col w:w="5345"/>
          </w:cols>
        </w:sectPr>
      </w:pPr>
    </w:p>
    <w:p w:rsidR="00D81F69" w:rsidRDefault="00330118">
      <w:pPr>
        <w:pStyle w:val="Heading4"/>
        <w:spacing w:before="56"/>
        <w:jc w:val="left"/>
      </w:pPr>
      <w:r>
        <w:lastRenderedPageBreak/>
        <w:t>APRESENTAÇÃO DE CASO</w:t>
      </w:r>
    </w:p>
    <w:p w:rsidR="00D81F69" w:rsidRDefault="00330118">
      <w:pPr>
        <w:pStyle w:val="Corpodetexto"/>
        <w:spacing w:before="171" w:line="312" w:lineRule="auto"/>
        <w:ind w:right="38"/>
        <w:jc w:val="left"/>
      </w:pPr>
      <w:r>
        <w:t xml:space="preserve">No </w:t>
      </w:r>
      <w:r>
        <w:rPr>
          <w:spacing w:val="1"/>
        </w:rPr>
        <w:t xml:space="preserve">estado </w:t>
      </w:r>
      <w:r>
        <w:t xml:space="preserve">do Rio de </w:t>
      </w:r>
      <w:r>
        <w:rPr>
          <w:spacing w:val="1"/>
        </w:rPr>
        <w:t xml:space="preserve">Janeiro, podem-se citar, pelo </w:t>
      </w:r>
      <w:r>
        <w:rPr>
          <w:spacing w:val="2"/>
        </w:rPr>
        <w:t xml:space="preserve">menos, </w:t>
      </w:r>
      <w:r>
        <w:rPr>
          <w:spacing w:val="7"/>
        </w:rPr>
        <w:t xml:space="preserve">três </w:t>
      </w:r>
      <w:r>
        <w:rPr>
          <w:spacing w:val="8"/>
        </w:rPr>
        <w:t xml:space="preserve">grandes </w:t>
      </w:r>
      <w:r>
        <w:rPr>
          <w:spacing w:val="7"/>
        </w:rPr>
        <w:t xml:space="preserve">casos </w:t>
      </w:r>
      <w:r>
        <w:rPr>
          <w:spacing w:val="5"/>
        </w:rPr>
        <w:t xml:space="preserve">de </w:t>
      </w:r>
      <w:r>
        <w:rPr>
          <w:spacing w:val="10"/>
        </w:rPr>
        <w:t xml:space="preserve">contaminação </w:t>
      </w:r>
      <w:r>
        <w:rPr>
          <w:spacing w:val="8"/>
        </w:rPr>
        <w:t xml:space="preserve">ambiental, </w:t>
      </w:r>
      <w:r>
        <w:rPr>
          <w:spacing w:val="10"/>
        </w:rPr>
        <w:t xml:space="preserve">com </w:t>
      </w:r>
      <w:r>
        <w:t>consequentes danos à população: o da Companhia Industrial  e Mercantil Ingá, empresa localizada no município de Itaguaí   e uma das maiores responsáveis pelo lançamento de metais pesados na Baía de S</w:t>
      </w:r>
      <w:r>
        <w:t xml:space="preserve">epetiba; o da contaminação do solo por </w:t>
      </w:r>
      <w:r>
        <w:rPr>
          <w:spacing w:val="7"/>
        </w:rPr>
        <w:t xml:space="preserve">restos </w:t>
      </w:r>
      <w:r>
        <w:rPr>
          <w:spacing w:val="5"/>
        </w:rPr>
        <w:t xml:space="preserve">de </w:t>
      </w:r>
      <w:r>
        <w:rPr>
          <w:spacing w:val="8"/>
        </w:rPr>
        <w:t xml:space="preserve">pesticidas, </w:t>
      </w:r>
      <w:r>
        <w:t xml:space="preserve">e </w:t>
      </w:r>
      <w:r>
        <w:rPr>
          <w:spacing w:val="7"/>
        </w:rPr>
        <w:t xml:space="preserve">rejeitos </w:t>
      </w:r>
      <w:r>
        <w:t xml:space="preserve">e </w:t>
      </w:r>
      <w:r>
        <w:rPr>
          <w:spacing w:val="8"/>
        </w:rPr>
        <w:t xml:space="preserve">subprodutos </w:t>
      </w:r>
      <w:r>
        <w:rPr>
          <w:spacing w:val="5"/>
        </w:rPr>
        <w:t xml:space="preserve">de </w:t>
      </w:r>
      <w:r>
        <w:rPr>
          <w:spacing w:val="10"/>
        </w:rPr>
        <w:t xml:space="preserve">seu </w:t>
      </w:r>
      <w:r>
        <w:rPr>
          <w:spacing w:val="6"/>
        </w:rPr>
        <w:t xml:space="preserve">processamento </w:t>
      </w:r>
      <w:r>
        <w:rPr>
          <w:spacing w:val="3"/>
        </w:rPr>
        <w:t xml:space="preserve">na </w:t>
      </w:r>
      <w:r>
        <w:rPr>
          <w:spacing w:val="5"/>
        </w:rPr>
        <w:t xml:space="preserve">Cidade dos </w:t>
      </w:r>
      <w:r>
        <w:rPr>
          <w:spacing w:val="6"/>
        </w:rPr>
        <w:t xml:space="preserve">Meninos, </w:t>
      </w:r>
      <w:r>
        <w:rPr>
          <w:spacing w:val="3"/>
        </w:rPr>
        <w:t xml:space="preserve">em </w:t>
      </w:r>
      <w:r>
        <w:rPr>
          <w:spacing w:val="5"/>
        </w:rPr>
        <w:t xml:space="preserve">Duque </w:t>
      </w:r>
      <w:r>
        <w:rPr>
          <w:spacing w:val="7"/>
        </w:rPr>
        <w:t xml:space="preserve">de </w:t>
      </w:r>
      <w:r>
        <w:rPr>
          <w:spacing w:val="1"/>
        </w:rPr>
        <w:t xml:space="preserve">Caxias; </w:t>
      </w:r>
      <w:r>
        <w:t xml:space="preserve">e o do </w:t>
      </w:r>
      <w:r>
        <w:rPr>
          <w:spacing w:val="1"/>
        </w:rPr>
        <w:t xml:space="preserve">Centro </w:t>
      </w:r>
      <w:r>
        <w:t xml:space="preserve">de </w:t>
      </w:r>
      <w:r>
        <w:rPr>
          <w:spacing w:val="1"/>
        </w:rPr>
        <w:t xml:space="preserve">Tratamento </w:t>
      </w:r>
      <w:r>
        <w:t xml:space="preserve">de </w:t>
      </w:r>
      <w:r>
        <w:rPr>
          <w:spacing w:val="1"/>
        </w:rPr>
        <w:t xml:space="preserve">Resíduos </w:t>
      </w:r>
      <w:r>
        <w:rPr>
          <w:spacing w:val="2"/>
        </w:rPr>
        <w:t xml:space="preserve">Sólidos </w:t>
      </w:r>
      <w:r>
        <w:t>(Centres) (FINAMORE, 2010), empresa privada (JB ONLINE, 20</w:t>
      </w:r>
      <w:r>
        <w:t xml:space="preserve">08), localizada no que é hoje o município de Queimados (FINAMORE, 2010), que tem 75.695 km² e 137.962 habitantes (IBGE, 2010) e ocupa a 89º posição no ranking do estado do </w:t>
      </w:r>
      <w:r>
        <w:rPr>
          <w:spacing w:val="2"/>
        </w:rPr>
        <w:t xml:space="preserve">Rio </w:t>
      </w:r>
      <w:r>
        <w:rPr>
          <w:spacing w:val="1"/>
        </w:rPr>
        <w:t xml:space="preserve">de </w:t>
      </w:r>
      <w:r>
        <w:rPr>
          <w:spacing w:val="3"/>
        </w:rPr>
        <w:t xml:space="preserve">Janeiro </w:t>
      </w:r>
      <w:r>
        <w:rPr>
          <w:spacing w:val="2"/>
        </w:rPr>
        <w:t xml:space="preserve">com </w:t>
      </w:r>
      <w:r>
        <w:rPr>
          <w:spacing w:val="1"/>
        </w:rPr>
        <w:t xml:space="preserve">um </w:t>
      </w:r>
      <w:r>
        <w:rPr>
          <w:spacing w:val="3"/>
        </w:rPr>
        <w:t xml:space="preserve">Índice Firjan </w:t>
      </w:r>
      <w:r>
        <w:rPr>
          <w:spacing w:val="1"/>
        </w:rPr>
        <w:t xml:space="preserve">de </w:t>
      </w:r>
      <w:r>
        <w:rPr>
          <w:spacing w:val="5"/>
        </w:rPr>
        <w:t xml:space="preserve">Desenvolvimento </w:t>
      </w:r>
      <w:r>
        <w:t>Humano Municipal (IFDM) de 0,59 (SISTEMA FIRJAN,</w:t>
      </w:r>
      <w:r>
        <w:rPr>
          <w:spacing w:val="26"/>
        </w:rPr>
        <w:t xml:space="preserve"> </w:t>
      </w:r>
      <w:r>
        <w:t>2009).</w:t>
      </w:r>
    </w:p>
    <w:p w:rsidR="00D81F69" w:rsidRDefault="00330118">
      <w:pPr>
        <w:pStyle w:val="Corpodetexto"/>
        <w:spacing w:before="143" w:line="312" w:lineRule="auto"/>
        <w:ind w:right="74"/>
      </w:pPr>
      <w:r>
        <w:rPr>
          <w:spacing w:val="5"/>
        </w:rPr>
        <w:t xml:space="preserve">Criado </w:t>
      </w:r>
      <w:r>
        <w:rPr>
          <w:spacing w:val="2"/>
        </w:rPr>
        <w:t xml:space="preserve">em </w:t>
      </w:r>
      <w:r>
        <w:rPr>
          <w:spacing w:val="3"/>
        </w:rPr>
        <w:t xml:space="preserve">1987, </w:t>
      </w:r>
      <w:r>
        <w:t xml:space="preserve">o </w:t>
      </w:r>
      <w:r>
        <w:rPr>
          <w:spacing w:val="5"/>
        </w:rPr>
        <w:t xml:space="preserve">Centres </w:t>
      </w:r>
      <w:r>
        <w:rPr>
          <w:spacing w:val="3"/>
        </w:rPr>
        <w:t xml:space="preserve">tinha como </w:t>
      </w:r>
      <w:r>
        <w:rPr>
          <w:spacing w:val="5"/>
        </w:rPr>
        <w:t xml:space="preserve">objetivo oferecer </w:t>
      </w:r>
      <w:r>
        <w:t xml:space="preserve">soluções para os rejeitos industriais de várias empresas do país (SANTOS, 2011). No entanto, as atividades do centro, </w:t>
      </w:r>
      <w:r>
        <w:rPr>
          <w:spacing w:val="5"/>
        </w:rPr>
        <w:t xml:space="preserve">desativado </w:t>
      </w:r>
      <w:r>
        <w:rPr>
          <w:spacing w:val="2"/>
        </w:rPr>
        <w:t xml:space="preserve">em </w:t>
      </w:r>
      <w:r>
        <w:rPr>
          <w:spacing w:val="3"/>
        </w:rPr>
        <w:t xml:space="preserve">1998, </w:t>
      </w:r>
      <w:r>
        <w:rPr>
          <w:spacing w:val="5"/>
        </w:rPr>
        <w:t>deixara</w:t>
      </w:r>
      <w:r>
        <w:rPr>
          <w:spacing w:val="5"/>
        </w:rPr>
        <w:t xml:space="preserve">m </w:t>
      </w:r>
      <w:r>
        <w:rPr>
          <w:spacing w:val="3"/>
        </w:rPr>
        <w:t xml:space="preserve">como </w:t>
      </w:r>
      <w:r>
        <w:rPr>
          <w:spacing w:val="5"/>
        </w:rPr>
        <w:t xml:space="preserve">legado </w:t>
      </w:r>
      <w:r>
        <w:rPr>
          <w:spacing w:val="2"/>
        </w:rPr>
        <w:t xml:space="preserve">um </w:t>
      </w:r>
      <w:r>
        <w:rPr>
          <w:spacing w:val="5"/>
        </w:rPr>
        <w:t>passivo</w:t>
      </w:r>
      <w:r>
        <w:rPr>
          <w:spacing w:val="61"/>
        </w:rPr>
        <w:t xml:space="preserve"> </w:t>
      </w:r>
      <w:r>
        <w:t>ambiental ainda não totalmente avaliado em termos de riscos e</w:t>
      </w:r>
      <w:r>
        <w:rPr>
          <w:spacing w:val="26"/>
        </w:rPr>
        <w:t xml:space="preserve"> </w:t>
      </w:r>
      <w:r>
        <w:rPr>
          <w:spacing w:val="3"/>
        </w:rPr>
        <w:t>impactos</w:t>
      </w:r>
      <w:r>
        <w:rPr>
          <w:spacing w:val="26"/>
        </w:rPr>
        <w:t xml:space="preserve"> </w:t>
      </w:r>
      <w:r>
        <w:rPr>
          <w:spacing w:val="3"/>
        </w:rPr>
        <w:t>socioambientais.</w:t>
      </w:r>
      <w:r>
        <w:rPr>
          <w:spacing w:val="26"/>
        </w:rPr>
        <w:t xml:space="preserve"> </w:t>
      </w:r>
      <w:r>
        <w:rPr>
          <w:spacing w:val="3"/>
        </w:rPr>
        <w:t>Estima-se</w:t>
      </w:r>
      <w:r>
        <w:rPr>
          <w:spacing w:val="26"/>
        </w:rPr>
        <w:t xml:space="preserve"> </w:t>
      </w:r>
      <w:r>
        <w:rPr>
          <w:spacing w:val="2"/>
        </w:rPr>
        <w:t>que</w:t>
      </w:r>
      <w:r>
        <w:rPr>
          <w:spacing w:val="26"/>
        </w:rPr>
        <w:t xml:space="preserve"> </w:t>
      </w:r>
      <w:r>
        <w:rPr>
          <w:spacing w:val="2"/>
        </w:rPr>
        <w:t>haja</w:t>
      </w:r>
      <w:r>
        <w:rPr>
          <w:spacing w:val="26"/>
        </w:rPr>
        <w:t xml:space="preserve"> </w:t>
      </w:r>
      <w:r>
        <w:rPr>
          <w:spacing w:val="3"/>
        </w:rPr>
        <w:t>cerca</w:t>
      </w:r>
      <w:r>
        <w:rPr>
          <w:spacing w:val="26"/>
        </w:rPr>
        <w:t xml:space="preserve"> </w:t>
      </w:r>
      <w:r>
        <w:rPr>
          <w:spacing w:val="5"/>
        </w:rPr>
        <w:t>de</w:t>
      </w:r>
    </w:p>
    <w:p w:rsidR="00D81F69" w:rsidRDefault="00330118">
      <w:pPr>
        <w:pStyle w:val="Corpodetexto"/>
        <w:spacing w:before="6" w:line="312" w:lineRule="auto"/>
        <w:ind w:right="96"/>
      </w:pPr>
      <w:r>
        <w:t>29.000 m3 de solo contaminado na área do empreendimento (FINAMORE, 2010).</w:t>
      </w:r>
    </w:p>
    <w:p w:rsidR="00D81F69" w:rsidRDefault="00330118">
      <w:pPr>
        <w:pStyle w:val="Corpodetexto"/>
        <w:spacing w:before="132" w:line="312" w:lineRule="auto"/>
        <w:ind w:right="93"/>
      </w:pPr>
      <w:r>
        <w:t>Após o fechamento do Centres, o governo d</w:t>
      </w:r>
      <w:r>
        <w:t>o Estado, em parceria com a Petrobras, realizou a retirada dos resíduos de superfície que estavam no local, mas persistiu o problema do resíduo químico (JB ONLINE, 2011).</w:t>
      </w:r>
    </w:p>
    <w:p w:rsidR="00D81F69" w:rsidRDefault="00330118">
      <w:pPr>
        <w:pStyle w:val="Corpodetexto"/>
        <w:spacing w:before="133" w:line="312" w:lineRule="auto"/>
        <w:ind w:right="49"/>
      </w:pPr>
      <w:r>
        <w:t xml:space="preserve">De acordo com a Comissão de Meio Ambiente da Assembléia </w:t>
      </w:r>
      <w:r>
        <w:rPr>
          <w:spacing w:val="3"/>
        </w:rPr>
        <w:t xml:space="preserve">Legislativa </w:t>
      </w:r>
      <w:r>
        <w:rPr>
          <w:spacing w:val="1"/>
        </w:rPr>
        <w:t xml:space="preserve">do </w:t>
      </w:r>
      <w:r>
        <w:rPr>
          <w:spacing w:val="3"/>
        </w:rPr>
        <w:t xml:space="preserve">Estado </w:t>
      </w:r>
      <w:r>
        <w:rPr>
          <w:spacing w:val="1"/>
        </w:rPr>
        <w:t xml:space="preserve">do </w:t>
      </w:r>
      <w:r>
        <w:rPr>
          <w:spacing w:val="2"/>
        </w:rPr>
        <w:t xml:space="preserve">Rio </w:t>
      </w:r>
      <w:r>
        <w:rPr>
          <w:spacing w:val="1"/>
        </w:rPr>
        <w:t xml:space="preserve">de </w:t>
      </w:r>
      <w:r>
        <w:rPr>
          <w:spacing w:val="3"/>
        </w:rPr>
        <w:t xml:space="preserve">Janeiro, anualmente </w:t>
      </w:r>
      <w:r>
        <w:rPr>
          <w:spacing w:val="5"/>
        </w:rPr>
        <w:t xml:space="preserve">são </w:t>
      </w:r>
      <w:r>
        <w:t xml:space="preserve">produzidas no estado cerca de 800 mil toneladas de resíduos </w:t>
      </w:r>
      <w:r>
        <w:rPr>
          <w:spacing w:val="8"/>
        </w:rPr>
        <w:t xml:space="preserve">industriais, </w:t>
      </w:r>
      <w:r>
        <w:rPr>
          <w:spacing w:val="5"/>
        </w:rPr>
        <w:t xml:space="preserve">dos </w:t>
      </w:r>
      <w:r>
        <w:rPr>
          <w:spacing w:val="7"/>
        </w:rPr>
        <w:t xml:space="preserve">quais </w:t>
      </w:r>
      <w:r>
        <w:rPr>
          <w:spacing w:val="5"/>
        </w:rPr>
        <w:t xml:space="preserve">240 mil são </w:t>
      </w:r>
      <w:r>
        <w:rPr>
          <w:spacing w:val="7"/>
        </w:rPr>
        <w:t xml:space="preserve">tóxicos. </w:t>
      </w:r>
      <w:r>
        <w:rPr>
          <w:spacing w:val="10"/>
        </w:rPr>
        <w:t xml:space="preserve">Estima-se, </w:t>
      </w:r>
      <w:r>
        <w:t xml:space="preserve">entretanto, que as agências ambientais não tenham controle </w:t>
      </w:r>
      <w:r>
        <w:rPr>
          <w:spacing w:val="2"/>
        </w:rPr>
        <w:t xml:space="preserve">de </w:t>
      </w:r>
      <w:r>
        <w:rPr>
          <w:spacing w:val="5"/>
        </w:rPr>
        <w:t xml:space="preserve">pelo menos </w:t>
      </w:r>
      <w:r>
        <w:rPr>
          <w:spacing w:val="3"/>
        </w:rPr>
        <w:t xml:space="preserve">50% </w:t>
      </w:r>
      <w:r>
        <w:rPr>
          <w:spacing w:val="2"/>
        </w:rPr>
        <w:t xml:space="preserve">do </w:t>
      </w:r>
      <w:r>
        <w:rPr>
          <w:spacing w:val="5"/>
        </w:rPr>
        <w:t xml:space="preserve">total deste volume </w:t>
      </w:r>
      <w:r>
        <w:rPr>
          <w:spacing w:val="2"/>
        </w:rPr>
        <w:t xml:space="preserve">de </w:t>
      </w:r>
      <w:r>
        <w:rPr>
          <w:spacing w:val="6"/>
        </w:rPr>
        <w:t xml:space="preserve">resíduos </w:t>
      </w:r>
      <w:r>
        <w:rPr>
          <w:spacing w:val="3"/>
        </w:rPr>
        <w:t>tóx</w:t>
      </w:r>
      <w:r>
        <w:rPr>
          <w:spacing w:val="3"/>
        </w:rPr>
        <w:t xml:space="preserve">icos. Segundo </w:t>
      </w:r>
      <w:r>
        <w:t xml:space="preserve">a </w:t>
      </w:r>
      <w:r>
        <w:rPr>
          <w:spacing w:val="3"/>
        </w:rPr>
        <w:t xml:space="preserve">Fundação Estadual </w:t>
      </w:r>
      <w:r>
        <w:rPr>
          <w:spacing w:val="1"/>
        </w:rPr>
        <w:t xml:space="preserve">de </w:t>
      </w:r>
      <w:r>
        <w:rPr>
          <w:spacing w:val="3"/>
        </w:rPr>
        <w:t xml:space="preserve">Engenharia </w:t>
      </w:r>
      <w:r>
        <w:rPr>
          <w:spacing w:val="5"/>
        </w:rPr>
        <w:t xml:space="preserve">do </w:t>
      </w:r>
      <w:r>
        <w:rPr>
          <w:spacing w:val="2"/>
        </w:rPr>
        <w:t xml:space="preserve">Meio </w:t>
      </w:r>
      <w:r>
        <w:rPr>
          <w:spacing w:val="3"/>
        </w:rPr>
        <w:t xml:space="preserve">Ambiente </w:t>
      </w:r>
      <w:r>
        <w:rPr>
          <w:spacing w:val="1"/>
        </w:rPr>
        <w:t xml:space="preserve">do </w:t>
      </w:r>
      <w:r>
        <w:rPr>
          <w:spacing w:val="2"/>
        </w:rPr>
        <w:t xml:space="preserve">Rio </w:t>
      </w:r>
      <w:r>
        <w:rPr>
          <w:spacing w:val="1"/>
        </w:rPr>
        <w:t xml:space="preserve">de </w:t>
      </w:r>
      <w:r>
        <w:rPr>
          <w:spacing w:val="3"/>
        </w:rPr>
        <w:t xml:space="preserve">Janeiro (Feema) [atual </w:t>
      </w:r>
      <w:r>
        <w:rPr>
          <w:spacing w:val="5"/>
        </w:rPr>
        <w:t xml:space="preserve">Instituto </w:t>
      </w:r>
      <w:r>
        <w:rPr>
          <w:spacing w:val="21"/>
        </w:rPr>
        <w:t xml:space="preserve">Estadual </w:t>
      </w:r>
      <w:r>
        <w:rPr>
          <w:spacing w:val="12"/>
        </w:rPr>
        <w:t xml:space="preserve">do </w:t>
      </w:r>
      <w:r>
        <w:rPr>
          <w:spacing w:val="18"/>
        </w:rPr>
        <w:t xml:space="preserve">Meio </w:t>
      </w:r>
      <w:r>
        <w:rPr>
          <w:spacing w:val="21"/>
        </w:rPr>
        <w:t>Ambiente (Inea)],</w:t>
      </w:r>
      <w:r>
        <w:rPr>
          <w:spacing w:val="31"/>
        </w:rPr>
        <w:t xml:space="preserve"> </w:t>
      </w:r>
      <w:r>
        <w:rPr>
          <w:spacing w:val="21"/>
        </w:rPr>
        <w:t>existem,</w:t>
      </w:r>
      <w:r>
        <w:rPr>
          <w:spacing w:val="-24"/>
        </w:rPr>
        <w:t xml:space="preserve"> </w:t>
      </w:r>
    </w:p>
    <w:p w:rsidR="00D81F69" w:rsidRDefault="00330118">
      <w:pPr>
        <w:pStyle w:val="Corpodetexto"/>
        <w:spacing w:before="3" w:line="312" w:lineRule="auto"/>
        <w:ind w:right="196"/>
      </w:pPr>
      <w:r>
        <w:br w:type="column"/>
      </w:r>
      <w:r>
        <w:lastRenderedPageBreak/>
        <w:t>acesso a serviços públicos e à infraestrutura, e baixa capacidade de influência sobre o poder regulatório e fiscalizatório. Tal prática contribui, dessa forma, para aumentar a vulnerabilidade social das populações envolvidas. Foi o que aconteceu no caso do</w:t>
      </w:r>
      <w:r>
        <w:t xml:space="preserve"> Centres (ACSELRAD, 2006).</w:t>
      </w:r>
    </w:p>
    <w:p w:rsidR="00D81F69" w:rsidRDefault="00330118">
      <w:pPr>
        <w:pStyle w:val="Corpodetexto"/>
        <w:spacing w:before="134" w:line="312" w:lineRule="auto"/>
        <w:ind w:right="192"/>
      </w:pPr>
      <w:r>
        <w:t xml:space="preserve">Inicialmente, o centro deveria ser construído no bairro de Adrianópolis, em Nova Iguaçu. Mas, como a localidade era classificada como zona rural pelo município, as obras do empreendimento só poderiam ser iniciadas após alteração </w:t>
      </w:r>
      <w:r>
        <w:t>deste zoneamento. Até que a alteração fosse efetivada pelo poder público, a Feema e o Centres decidiram que a empresa funcionaria em um pátio de estocagem transitória de resíduos industriais, no bairro Santo Expedito, na periferia de Queimados, à época dis</w:t>
      </w:r>
      <w:r>
        <w:t>trito de Nova Iguaçu (FINAMORE, 2010).</w:t>
      </w:r>
    </w:p>
    <w:p w:rsidR="00D81F69" w:rsidRDefault="00330118">
      <w:pPr>
        <w:pStyle w:val="Corpodetexto"/>
        <w:spacing w:before="139" w:line="312" w:lineRule="auto"/>
        <w:ind w:right="195"/>
      </w:pPr>
      <w:r>
        <w:t xml:space="preserve">Como outros bairros de periferia, Santo Expedito ainda </w:t>
      </w:r>
      <w:r>
        <w:rPr>
          <w:spacing w:val="1"/>
        </w:rPr>
        <w:t xml:space="preserve">não </w:t>
      </w:r>
      <w:r>
        <w:rPr>
          <w:spacing w:val="5"/>
        </w:rPr>
        <w:t xml:space="preserve">tem </w:t>
      </w:r>
      <w:r>
        <w:rPr>
          <w:spacing w:val="6"/>
        </w:rPr>
        <w:t xml:space="preserve">pavimentação adequada, </w:t>
      </w:r>
      <w:r>
        <w:rPr>
          <w:spacing w:val="5"/>
        </w:rPr>
        <w:t xml:space="preserve">nem coleta </w:t>
      </w:r>
      <w:r>
        <w:rPr>
          <w:spacing w:val="3"/>
        </w:rPr>
        <w:t xml:space="preserve">de </w:t>
      </w:r>
      <w:r>
        <w:rPr>
          <w:spacing w:val="5"/>
        </w:rPr>
        <w:t xml:space="preserve">esgoto. </w:t>
      </w:r>
      <w:r>
        <w:t>O abastecimento público de água é deficiente, o que obriga a população local, estimada em 2.200 habitantes, a</w:t>
      </w:r>
      <w:r>
        <w:t xml:space="preserve"> usar poços </w:t>
      </w:r>
      <w:r>
        <w:rPr>
          <w:spacing w:val="1"/>
        </w:rPr>
        <w:t xml:space="preserve">artesianos para abastecer suas moradias. Além disso, </w:t>
      </w:r>
      <w:r>
        <w:rPr>
          <w:spacing w:val="2"/>
        </w:rPr>
        <w:t xml:space="preserve">boa </w:t>
      </w:r>
      <w:r>
        <w:rPr>
          <w:spacing w:val="7"/>
        </w:rPr>
        <w:t xml:space="preserve">parte </w:t>
      </w:r>
      <w:r>
        <w:rPr>
          <w:spacing w:val="5"/>
        </w:rPr>
        <w:t xml:space="preserve">da </w:t>
      </w:r>
      <w:r>
        <w:rPr>
          <w:spacing w:val="7"/>
        </w:rPr>
        <w:t xml:space="preserve">população </w:t>
      </w:r>
      <w:r>
        <w:rPr>
          <w:spacing w:val="6"/>
        </w:rPr>
        <w:t xml:space="preserve">vive </w:t>
      </w:r>
      <w:r>
        <w:rPr>
          <w:spacing w:val="5"/>
        </w:rPr>
        <w:t xml:space="preserve">do </w:t>
      </w:r>
      <w:r>
        <w:rPr>
          <w:spacing w:val="8"/>
        </w:rPr>
        <w:t xml:space="preserve">subemprego. </w:t>
      </w:r>
      <w:r>
        <w:t xml:space="preserve">À </w:t>
      </w:r>
      <w:r>
        <w:rPr>
          <w:spacing w:val="7"/>
        </w:rPr>
        <w:t xml:space="preserve">época </w:t>
      </w:r>
      <w:r>
        <w:rPr>
          <w:spacing w:val="10"/>
        </w:rPr>
        <w:t xml:space="preserve">da </w:t>
      </w:r>
      <w:r>
        <w:rPr>
          <w:spacing w:val="17"/>
        </w:rPr>
        <w:t xml:space="preserve">instalação </w:t>
      </w:r>
      <w:r>
        <w:rPr>
          <w:spacing w:val="10"/>
        </w:rPr>
        <w:t xml:space="preserve">do </w:t>
      </w:r>
      <w:r>
        <w:rPr>
          <w:spacing w:val="17"/>
        </w:rPr>
        <w:t xml:space="preserve">Centres </w:t>
      </w:r>
      <w:r>
        <w:rPr>
          <w:spacing w:val="10"/>
        </w:rPr>
        <w:t xml:space="preserve">na </w:t>
      </w:r>
      <w:r>
        <w:rPr>
          <w:spacing w:val="17"/>
        </w:rPr>
        <w:t xml:space="preserve">região, </w:t>
      </w:r>
      <w:r>
        <w:rPr>
          <w:spacing w:val="10"/>
        </w:rPr>
        <w:t xml:space="preserve">as </w:t>
      </w:r>
      <w:r>
        <w:rPr>
          <w:spacing w:val="17"/>
        </w:rPr>
        <w:t xml:space="preserve">condições </w:t>
      </w:r>
      <w:r>
        <w:t>socioeconômicas eram ainda mais adversas, sem contar que a população já sofria o estigma de</w:t>
      </w:r>
      <w:r>
        <w:t xml:space="preserve"> ser moradora de um lixão. Isso porque, entre 1984 e 1985, a prefeitura de Nova Iguaçu </w:t>
      </w:r>
      <w:r>
        <w:rPr>
          <w:spacing w:val="3"/>
        </w:rPr>
        <w:t xml:space="preserve">havia </w:t>
      </w:r>
      <w:r>
        <w:rPr>
          <w:spacing w:val="5"/>
        </w:rPr>
        <w:t xml:space="preserve">implantado </w:t>
      </w:r>
      <w:r>
        <w:rPr>
          <w:spacing w:val="2"/>
        </w:rPr>
        <w:t xml:space="preserve">um </w:t>
      </w:r>
      <w:r>
        <w:rPr>
          <w:spacing w:val="3"/>
        </w:rPr>
        <w:t xml:space="preserve">lixão </w:t>
      </w:r>
      <w:r>
        <w:rPr>
          <w:spacing w:val="5"/>
        </w:rPr>
        <w:t xml:space="preserve">doméstico </w:t>
      </w:r>
      <w:r>
        <w:rPr>
          <w:spacing w:val="2"/>
        </w:rPr>
        <w:t xml:space="preserve">na </w:t>
      </w:r>
      <w:r>
        <w:rPr>
          <w:spacing w:val="3"/>
        </w:rPr>
        <w:t xml:space="preserve">área, </w:t>
      </w:r>
      <w:r>
        <w:t xml:space="preserve">o </w:t>
      </w:r>
      <w:r>
        <w:rPr>
          <w:spacing w:val="3"/>
        </w:rPr>
        <w:t xml:space="preserve">qual </w:t>
      </w:r>
      <w:r>
        <w:rPr>
          <w:spacing w:val="5"/>
        </w:rPr>
        <w:t>foi</w:t>
      </w:r>
      <w:r>
        <w:rPr>
          <w:spacing w:val="61"/>
        </w:rPr>
        <w:t xml:space="preserve"> </w:t>
      </w:r>
      <w:r>
        <w:t>posteriomente retirado diante das reivindicações (FINAMORE, 2010).</w:t>
      </w:r>
    </w:p>
    <w:p w:rsidR="00D81F69" w:rsidRDefault="00330118">
      <w:pPr>
        <w:pStyle w:val="Corpodetexto"/>
        <w:spacing w:before="142" w:line="312" w:lineRule="auto"/>
        <w:ind w:right="135"/>
      </w:pPr>
      <w:r>
        <w:t>As operações do Centres começaram, em 1988, em um terreno (FINAMORE, 2010) de 70 mil m² (JB ONLINE, 2008),</w:t>
      </w:r>
    </w:p>
    <w:p w:rsidR="00D81F69" w:rsidRDefault="00330118">
      <w:pPr>
        <w:pStyle w:val="Corpodetexto"/>
        <w:spacing w:before="2" w:line="312" w:lineRule="auto"/>
        <w:ind w:right="195"/>
      </w:pPr>
      <w:r>
        <w:t>pertencente à Companhia de Desenvolvimento de Nova Iguaçu (Codeni). À epoca, o empreendimento foi apresentado à comunidade local como benéfico ao mei</w:t>
      </w:r>
      <w:r>
        <w:t>o ambiente e gerador de empregos. No entanto, com o decorrer do tempo, viu-se que só contribuiu para aumentar a estigmatização da população, que continuou a ser denominada comunidade de lixão: antes doméstico e, posteriormente, tóxico (FINAMORE,</w:t>
      </w:r>
    </w:p>
    <w:p w:rsidR="00D81F69" w:rsidRDefault="00330118">
      <w:pPr>
        <w:pStyle w:val="Corpodetexto"/>
        <w:spacing w:before="7"/>
      </w:pPr>
      <w:r>
        <w:t>2010)</w:t>
      </w:r>
    </w:p>
    <w:p w:rsidR="00D81F69" w:rsidRDefault="00D81F69">
      <w:pPr>
        <w:sectPr w:rsidR="00D81F69">
          <w:type w:val="continuous"/>
          <w:pgSz w:w="11900" w:h="16840"/>
          <w:pgMar w:top="720" w:right="500" w:bottom="280" w:left="620" w:header="720" w:footer="720" w:gutter="0"/>
          <w:cols w:num="2" w:space="720" w:equalWidth="0">
            <w:col w:w="5191" w:space="279"/>
            <w:col w:w="5310"/>
          </w:cols>
        </w:sectPr>
      </w:pPr>
    </w:p>
    <w:p w:rsidR="00D81F69" w:rsidRDefault="00330118">
      <w:pPr>
        <w:pStyle w:val="Corpodetexto"/>
        <w:spacing w:before="81" w:line="312" w:lineRule="auto"/>
        <w:ind w:right="53"/>
      </w:pPr>
      <w:r>
        <w:lastRenderedPageBreak/>
        <w:t xml:space="preserve">De acordo com o licenciamento ambiental da iniciativa, assim que a central de Adrianópolis estivesse concluída, todos os resíduos industriais até então depositados em Santo Expedito deveriam ser transferidos para lá. No caso de </w:t>
      </w:r>
      <w:r>
        <w:t xml:space="preserve">a central </w:t>
      </w:r>
      <w:r>
        <w:rPr>
          <w:spacing w:val="1"/>
        </w:rPr>
        <w:t xml:space="preserve">não </w:t>
      </w:r>
      <w:r>
        <w:t xml:space="preserve">ser construída, os resíduos industriais deveriam retornar às suas empresas geradoras (CAIXETA, 2003 apud FINAMORE, 2010). A central de Adrianópolis nunca foi concretizada, e o Centres permaneceu em Santo Expedito até sua interdição, em </w:t>
      </w:r>
      <w:r>
        <w:rPr>
          <w:spacing w:val="1"/>
        </w:rPr>
        <w:t xml:space="preserve">1998, </w:t>
      </w:r>
      <w:r>
        <w:rPr>
          <w:spacing w:val="1"/>
        </w:rPr>
        <w:t xml:space="preserve">após sofrer três incêndios, </w:t>
      </w:r>
      <w:r>
        <w:t xml:space="preserve">que </w:t>
      </w:r>
      <w:r>
        <w:rPr>
          <w:spacing w:val="1"/>
        </w:rPr>
        <w:t xml:space="preserve">atemorizaram </w:t>
      </w:r>
      <w:r>
        <w:rPr>
          <w:spacing w:val="2"/>
        </w:rPr>
        <w:t xml:space="preserve">os </w:t>
      </w:r>
      <w:r>
        <w:rPr>
          <w:spacing w:val="1"/>
        </w:rPr>
        <w:t xml:space="preserve">moradores </w:t>
      </w:r>
      <w:r>
        <w:t xml:space="preserve">da </w:t>
      </w:r>
      <w:r>
        <w:rPr>
          <w:spacing w:val="1"/>
        </w:rPr>
        <w:t>localidade (FINAMORE,</w:t>
      </w:r>
      <w:r>
        <w:rPr>
          <w:spacing w:val="35"/>
        </w:rPr>
        <w:t xml:space="preserve"> </w:t>
      </w:r>
      <w:r>
        <w:rPr>
          <w:spacing w:val="2"/>
        </w:rPr>
        <w:t>2010).</w:t>
      </w:r>
    </w:p>
    <w:p w:rsidR="00D81F69" w:rsidRDefault="00330118">
      <w:pPr>
        <w:pStyle w:val="Corpodetexto"/>
        <w:spacing w:before="139" w:line="312" w:lineRule="auto"/>
        <w:ind w:right="55"/>
      </w:pPr>
      <w:r>
        <w:t xml:space="preserve">O </w:t>
      </w:r>
      <w:r>
        <w:rPr>
          <w:spacing w:val="1"/>
        </w:rPr>
        <w:t xml:space="preserve">Centres recebeu, </w:t>
      </w:r>
      <w:r>
        <w:t xml:space="preserve">ao </w:t>
      </w:r>
      <w:r>
        <w:rPr>
          <w:spacing w:val="1"/>
        </w:rPr>
        <w:t xml:space="preserve">longo </w:t>
      </w:r>
      <w:r>
        <w:t xml:space="preserve">de </w:t>
      </w:r>
      <w:r>
        <w:rPr>
          <w:spacing w:val="1"/>
        </w:rPr>
        <w:t xml:space="preserve">suas atividades, </w:t>
      </w:r>
      <w:r>
        <w:rPr>
          <w:spacing w:val="2"/>
        </w:rPr>
        <w:t xml:space="preserve">resíduos </w:t>
      </w:r>
      <w:r>
        <w:t>tóxicos industriais de empresas como: Cera Johnson, Casa  da Moeda, Xerox do Brasil, Sulzer do Brasil S.A., D</w:t>
      </w:r>
      <w:r>
        <w:t xml:space="preserve">uloren, Rio Paracatu Mineração S.A., Smithkline Becham do Brasil Ltda, </w:t>
      </w:r>
      <w:r>
        <w:rPr>
          <w:spacing w:val="3"/>
        </w:rPr>
        <w:t xml:space="preserve">Souza Cruz, </w:t>
      </w:r>
      <w:r>
        <w:rPr>
          <w:spacing w:val="2"/>
        </w:rPr>
        <w:t xml:space="preserve">Sony </w:t>
      </w:r>
      <w:r>
        <w:rPr>
          <w:spacing w:val="3"/>
        </w:rPr>
        <w:t xml:space="preserve">Music, Oxiteno, Siemens, Varig, </w:t>
      </w:r>
      <w:r>
        <w:rPr>
          <w:spacing w:val="5"/>
        </w:rPr>
        <w:t xml:space="preserve">Inepar </w:t>
      </w:r>
      <w:r>
        <w:t xml:space="preserve">S.A., Vale do Rio Doce, Fiocruz, Tibogue Guimarães Ltda e </w:t>
      </w:r>
      <w:r>
        <w:rPr>
          <w:spacing w:val="5"/>
        </w:rPr>
        <w:t xml:space="preserve">Coelce (FEEMA apud PINTO, 2001). Tais </w:t>
      </w:r>
      <w:r>
        <w:rPr>
          <w:spacing w:val="6"/>
        </w:rPr>
        <w:t xml:space="preserve">resíduos, </w:t>
      </w:r>
      <w:r>
        <w:rPr>
          <w:spacing w:val="7"/>
        </w:rPr>
        <w:t xml:space="preserve">no </w:t>
      </w:r>
      <w:r>
        <w:t>entanto, não eram tr</w:t>
      </w:r>
      <w:r>
        <w:t>atados como previsto inicialmente, mas apenas estocados (SANTOS,</w:t>
      </w:r>
      <w:r>
        <w:rPr>
          <w:spacing w:val="42"/>
        </w:rPr>
        <w:t xml:space="preserve"> </w:t>
      </w:r>
      <w:r>
        <w:t>2011).</w:t>
      </w:r>
    </w:p>
    <w:p w:rsidR="00D81F69" w:rsidRDefault="00330118">
      <w:pPr>
        <w:pStyle w:val="Corpodetexto"/>
        <w:spacing w:before="138" w:line="312" w:lineRule="auto"/>
        <w:ind w:right="63"/>
      </w:pPr>
      <w:r>
        <w:t xml:space="preserve">Para se ter uma ideia, em 1991, a prefeitura de Nova Iguaçu e a Feema autorizaram o Centres a sublocar parte do centro tecnológico para a instalação de uma oficina de resídulos contaminados por ascarel e outros produtos de alta toxicidade, como </w:t>
      </w:r>
      <w:hyperlink r:id="rId1470">
        <w:r>
          <w:t xml:space="preserve">chumbo </w:t>
        </w:r>
      </w:hyperlink>
      <w:r>
        <w:t>tetra-etila. Tal atitude contrariava não só cláusulas contratuais, como também o licenciamento ambiental (CAIXETA, 2003 apud FINAMORE, 2010).</w:t>
      </w:r>
    </w:p>
    <w:p w:rsidR="00D81F69" w:rsidRDefault="00330118">
      <w:pPr>
        <w:pStyle w:val="Corpodetexto"/>
        <w:spacing w:before="137" w:line="312" w:lineRule="auto"/>
        <w:ind w:right="67"/>
      </w:pPr>
      <w:r>
        <w:t>Em 1992, Queimados emancipo</w:t>
      </w:r>
      <w:r>
        <w:t>u-se de Nova Iguaçu, e, em 1996, foi implantada a Secretaria Municipal de Urbanismo e Meio Ambiente (Semurna), que passou a inspecionar questões ambientais no município. O pátio do Centres foi o principal problema encontrado (SANTOS, 2011).</w:t>
      </w:r>
    </w:p>
    <w:p w:rsidR="00D81F69" w:rsidRDefault="00330118">
      <w:pPr>
        <w:pStyle w:val="Corpodetexto"/>
        <w:spacing w:before="134" w:line="312" w:lineRule="auto"/>
        <w:ind w:right="52"/>
      </w:pPr>
      <w:r>
        <w:t>Constatou-se qu</w:t>
      </w:r>
      <w:r>
        <w:t>e a disposição de rejeitos era feita a céu aberto no pátio da empresa, em tambores colocados diretamente sob o solo, sem proteção, o que permitia a lixiviação e a percolação de substâncias para o solo e águas subterrâneas. Os tambores também não apresentav</w:t>
      </w:r>
      <w:r>
        <w:t xml:space="preserve">am rótulos, identificando as substâncias que continham (PINTO, 2001; SILVA, 2007 apud SANTOS 2011). Fora isso, muitos galões com resíduos tóxicos (como ascarel, </w:t>
      </w:r>
      <w:hyperlink r:id="rId1471">
        <w:r>
          <w:t>ciane</w:t>
        </w:r>
        <w:r>
          <w:t xml:space="preserve">to, </w:t>
        </w:r>
      </w:hyperlink>
      <w:r>
        <w:t>etc.) foram enterrados diretamente no solo (FINAMORE, 2010).</w:t>
      </w:r>
    </w:p>
    <w:p w:rsidR="00D81F69" w:rsidRDefault="00330118">
      <w:pPr>
        <w:pStyle w:val="Corpodetexto"/>
        <w:spacing w:before="139" w:line="312" w:lineRule="auto"/>
        <w:ind w:right="38"/>
      </w:pPr>
      <w:r>
        <w:t xml:space="preserve">De acordo com especialistas, o Centres contaminou o solo e  o </w:t>
      </w:r>
      <w:r>
        <w:rPr>
          <w:spacing w:val="7"/>
        </w:rPr>
        <w:t xml:space="preserve">lençol freático </w:t>
      </w:r>
      <w:r>
        <w:rPr>
          <w:spacing w:val="5"/>
        </w:rPr>
        <w:t xml:space="preserve">do </w:t>
      </w:r>
      <w:r>
        <w:rPr>
          <w:spacing w:val="7"/>
        </w:rPr>
        <w:t xml:space="preserve">local </w:t>
      </w:r>
      <w:r>
        <w:rPr>
          <w:spacing w:val="5"/>
        </w:rPr>
        <w:t xml:space="preserve">com </w:t>
      </w:r>
      <w:r>
        <w:rPr>
          <w:spacing w:val="7"/>
        </w:rPr>
        <w:t xml:space="preserve">dejetos químicos, </w:t>
      </w:r>
      <w:r>
        <w:rPr>
          <w:spacing w:val="10"/>
        </w:rPr>
        <w:t xml:space="preserve">como </w:t>
      </w:r>
      <w:r>
        <w:rPr>
          <w:spacing w:val="16"/>
        </w:rPr>
        <w:t xml:space="preserve">chumbo, cianeto, </w:t>
      </w:r>
      <w:hyperlink r:id="rId1472">
        <w:r>
          <w:rPr>
            <w:spacing w:val="16"/>
          </w:rPr>
          <w:t>cádmio,</w:t>
        </w:r>
      </w:hyperlink>
      <w:r>
        <w:rPr>
          <w:spacing w:val="16"/>
        </w:rPr>
        <w:t xml:space="preserve"> </w:t>
      </w:r>
      <w:hyperlink r:id="rId1473">
        <w:r>
          <w:rPr>
            <w:spacing w:val="15"/>
          </w:rPr>
          <w:t>cromo,</w:t>
        </w:r>
      </w:hyperlink>
      <w:r>
        <w:rPr>
          <w:spacing w:val="15"/>
        </w:rPr>
        <w:t xml:space="preserve"> dentre </w:t>
      </w:r>
      <w:r>
        <w:rPr>
          <w:spacing w:val="16"/>
        </w:rPr>
        <w:t xml:space="preserve">outros, </w:t>
      </w:r>
      <w:r>
        <w:t>contabilizando 18 toneladas de produtos tóxicos armazenados de forma irregular (COSTA, 2010).</w:t>
      </w:r>
    </w:p>
    <w:p w:rsidR="00D81F69" w:rsidRDefault="00330118">
      <w:pPr>
        <w:pStyle w:val="Corpodetexto"/>
        <w:spacing w:before="71" w:line="270" w:lineRule="atLeast"/>
        <w:ind w:right="50"/>
      </w:pPr>
      <w:r>
        <w:t>A falta de s</w:t>
      </w:r>
      <w:r>
        <w:t xml:space="preserve">egurança no armazenamento, acondicionamento e </w:t>
      </w:r>
      <w:r>
        <w:rPr>
          <w:spacing w:val="8"/>
        </w:rPr>
        <w:t xml:space="preserve">manipulação </w:t>
      </w:r>
      <w:r>
        <w:rPr>
          <w:spacing w:val="5"/>
        </w:rPr>
        <w:t xml:space="preserve">dos </w:t>
      </w:r>
      <w:r>
        <w:rPr>
          <w:spacing w:val="7"/>
        </w:rPr>
        <w:t xml:space="preserve">resíduos acabou expondo </w:t>
      </w:r>
      <w:r>
        <w:rPr>
          <w:spacing w:val="5"/>
        </w:rPr>
        <w:t xml:space="preserve">não só </w:t>
      </w:r>
      <w:r>
        <w:rPr>
          <w:spacing w:val="10"/>
        </w:rPr>
        <w:t xml:space="preserve">os </w:t>
      </w:r>
      <w:r>
        <w:t xml:space="preserve">funcionários do empeendimento à contaminação por produtos </w:t>
      </w:r>
      <w:r>
        <w:rPr>
          <w:spacing w:val="5"/>
        </w:rPr>
        <w:t xml:space="preserve">tóxicos, </w:t>
      </w:r>
      <w:r>
        <w:rPr>
          <w:spacing w:val="3"/>
        </w:rPr>
        <w:t xml:space="preserve">como </w:t>
      </w:r>
      <w:r>
        <w:rPr>
          <w:spacing w:val="5"/>
        </w:rPr>
        <w:t xml:space="preserve">também </w:t>
      </w:r>
      <w:r>
        <w:rPr>
          <w:spacing w:val="2"/>
        </w:rPr>
        <w:t xml:space="preserve">os </w:t>
      </w:r>
      <w:r>
        <w:rPr>
          <w:spacing w:val="5"/>
        </w:rPr>
        <w:t xml:space="preserve">moradores </w:t>
      </w:r>
      <w:r>
        <w:rPr>
          <w:spacing w:val="2"/>
        </w:rPr>
        <w:t xml:space="preserve">de </w:t>
      </w:r>
      <w:r>
        <w:rPr>
          <w:spacing w:val="3"/>
        </w:rPr>
        <w:t xml:space="preserve">Santo </w:t>
      </w:r>
      <w:r>
        <w:rPr>
          <w:spacing w:val="5"/>
        </w:rPr>
        <w:t>Expedito.</w:t>
      </w:r>
      <w:r>
        <w:rPr>
          <w:spacing w:val="61"/>
        </w:rPr>
        <w:t xml:space="preserve"> </w:t>
      </w:r>
      <w:r>
        <w:t>Como exemplos de fontes de exposição aos resíduos</w:t>
      </w:r>
      <w:r>
        <w:t xml:space="preserve"> podem- se citar: consumo de água para fins domésticos e utilização dos tambores como caixas d´água em algumas residências (FINAMORE, </w:t>
      </w:r>
      <w:r>
        <w:rPr>
          <w:spacing w:val="1"/>
        </w:rPr>
        <w:t>2010).</w:t>
      </w:r>
    </w:p>
    <w:p w:rsidR="00D81F69" w:rsidRDefault="00330118">
      <w:pPr>
        <w:pStyle w:val="Corpodetexto"/>
        <w:spacing w:before="81" w:line="312" w:lineRule="auto"/>
        <w:ind w:right="195"/>
      </w:pPr>
      <w:r>
        <w:br w:type="column"/>
      </w:r>
      <w:r>
        <w:lastRenderedPageBreak/>
        <w:t>O efeito da contaminação na saúde das pessoas não foi quantificado e qualificado, mas, no início dos anos 2000, fo</w:t>
      </w:r>
      <w:r>
        <w:t>i detectado que para cada 129 moradores de Santo Expedito, um possuía câncer. A título de comparação, no município do Rio de Janeiro, a relação era de 1 para 760 (CAIXETA, 2003 apud FINAMORE, 2010).</w:t>
      </w:r>
    </w:p>
    <w:p w:rsidR="00D81F69" w:rsidRDefault="00330118">
      <w:pPr>
        <w:pStyle w:val="Corpodetexto"/>
        <w:spacing w:before="135" w:line="312" w:lineRule="auto"/>
        <w:ind w:right="190"/>
      </w:pPr>
      <w:r>
        <w:t xml:space="preserve">A mobilização da população local contra o empreendimento </w:t>
      </w:r>
      <w:r>
        <w:t>começou a ocorrer mais efetivamente em meados do ano 2000, a partir da articulação da ONG Grupo de Defesa Ambiental com a Comissão de Meio Ambiente da Assembléia Legislativa do Rio de Janeiro (Alerj) (CAIXETA, 2003 apud FINAMORE, 2010). A ONG ocupou e cont</w:t>
      </w:r>
      <w:r>
        <w:t>rolou o local até 2010 (SANTOS, 2011). Durante este período, inventariou todos os resíduos armazenados no local, bem com as empresas geradoras (CAIXETA, 2003 apud FINAMORE, 2010).</w:t>
      </w:r>
    </w:p>
    <w:p w:rsidR="00D81F69" w:rsidRDefault="00330118">
      <w:pPr>
        <w:pStyle w:val="Corpodetexto"/>
        <w:spacing w:before="140" w:line="312" w:lineRule="auto"/>
        <w:ind w:right="192"/>
      </w:pPr>
      <w:r>
        <w:t xml:space="preserve">Em </w:t>
      </w:r>
      <w:r>
        <w:rPr>
          <w:spacing w:val="1"/>
        </w:rPr>
        <w:t xml:space="preserve">2003, </w:t>
      </w:r>
      <w:r>
        <w:t xml:space="preserve">a </w:t>
      </w:r>
      <w:r>
        <w:rPr>
          <w:spacing w:val="1"/>
        </w:rPr>
        <w:t xml:space="preserve">Feema firmou acordo </w:t>
      </w:r>
      <w:r>
        <w:t xml:space="preserve">com a </w:t>
      </w:r>
      <w:r>
        <w:rPr>
          <w:spacing w:val="1"/>
        </w:rPr>
        <w:t xml:space="preserve">Petrobras para </w:t>
      </w:r>
      <w:r>
        <w:t xml:space="preserve">a retirada total dos resíduos do Centres e a descontaminação do pátio. Houve a retirada de resíduos superficiais, mas uma </w:t>
      </w:r>
      <w:r>
        <w:rPr>
          <w:spacing w:val="3"/>
        </w:rPr>
        <w:t xml:space="preserve">parte considerável ainda continuou enterrada. </w:t>
      </w:r>
      <w:r>
        <w:rPr>
          <w:spacing w:val="2"/>
        </w:rPr>
        <w:t xml:space="preserve">Além </w:t>
      </w:r>
      <w:r>
        <w:rPr>
          <w:spacing w:val="5"/>
        </w:rPr>
        <w:t xml:space="preserve">disso, </w:t>
      </w:r>
      <w:r>
        <w:t>não</w:t>
      </w:r>
      <w:r>
        <w:rPr>
          <w:spacing w:val="21"/>
        </w:rPr>
        <w:t xml:space="preserve"> </w:t>
      </w:r>
      <w:r>
        <w:t>houve</w:t>
      </w:r>
      <w:r>
        <w:rPr>
          <w:spacing w:val="21"/>
        </w:rPr>
        <w:t xml:space="preserve"> </w:t>
      </w:r>
      <w:r>
        <w:t>a</w:t>
      </w:r>
      <w:r>
        <w:rPr>
          <w:spacing w:val="21"/>
        </w:rPr>
        <w:t xml:space="preserve"> </w:t>
      </w:r>
      <w:r>
        <w:t>descontaminação</w:t>
      </w:r>
      <w:r>
        <w:rPr>
          <w:spacing w:val="21"/>
        </w:rPr>
        <w:t xml:space="preserve"> </w:t>
      </w:r>
      <w:r>
        <w:t>do</w:t>
      </w:r>
      <w:r>
        <w:rPr>
          <w:spacing w:val="21"/>
        </w:rPr>
        <w:t xml:space="preserve"> </w:t>
      </w:r>
      <w:r>
        <w:t>pátio</w:t>
      </w:r>
      <w:r>
        <w:rPr>
          <w:spacing w:val="21"/>
        </w:rPr>
        <w:t xml:space="preserve"> </w:t>
      </w:r>
      <w:r>
        <w:t>(FINAMORE,</w:t>
      </w:r>
      <w:r>
        <w:rPr>
          <w:spacing w:val="21"/>
        </w:rPr>
        <w:t xml:space="preserve"> </w:t>
      </w:r>
      <w:r>
        <w:t>2010).</w:t>
      </w:r>
    </w:p>
    <w:p w:rsidR="00D81F69" w:rsidRDefault="00330118">
      <w:pPr>
        <w:pStyle w:val="Corpodetexto"/>
        <w:spacing w:before="134" w:line="312" w:lineRule="auto"/>
        <w:ind w:right="213"/>
      </w:pPr>
      <w:r>
        <w:t>Em 2008, foi anunciado novo projeto de remoção e descontaminação definitiva da área do Centres, a partir de um convênio firmado entre a Petrobras e a Secretaria Estadual do Ambiente do Rio de Janeiro. Orçado em R$ 20 milhões, a inciativa, com término previ</w:t>
      </w:r>
      <w:r>
        <w:t>sto para 2011, ficou a cargo da Feema (FINAMORE, 2010).</w:t>
      </w:r>
    </w:p>
    <w:p w:rsidR="00D81F69" w:rsidRDefault="00330118">
      <w:pPr>
        <w:pStyle w:val="Corpodetexto"/>
        <w:spacing w:before="136" w:line="312" w:lineRule="auto"/>
        <w:ind w:right="194"/>
      </w:pPr>
      <w:r>
        <w:t>Enquanto a situação não é definitivamente resolvida, a população de Queimados, especialmente os moradores de Santo Expedito, está em condição de vulnerabilidade social, que só aumentou desde a instala</w:t>
      </w:r>
      <w:r>
        <w:t>ção do Centres na região (FINAMORE, 2010).</w:t>
      </w:r>
    </w:p>
    <w:p w:rsidR="00D81F69" w:rsidRDefault="00D81F69">
      <w:pPr>
        <w:pStyle w:val="Corpodetexto"/>
        <w:spacing w:before="4"/>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214"/>
      </w:pPr>
      <w:r>
        <w:t>O Centro de Tratamento de Resíduos Sólidos (Centres), que funcionou na região entre 1987 e 1998, esteve localizado no Município de Queimados na Latitude 22°27'00"S e longitude 43°55'00"W, n</w:t>
      </w:r>
      <w:r>
        <w:t>o estado do Rio de Janeiro.</w:t>
      </w:r>
    </w:p>
    <w:p w:rsidR="00D81F69" w:rsidRDefault="00D81F69">
      <w:pPr>
        <w:pStyle w:val="Corpodetexto"/>
        <w:spacing w:before="1"/>
        <w:ind w:left="0"/>
        <w:jc w:val="left"/>
        <w:rPr>
          <w:sz w:val="29"/>
        </w:rPr>
      </w:pPr>
    </w:p>
    <w:p w:rsidR="00D81F69" w:rsidRDefault="00330118">
      <w:pPr>
        <w:pStyle w:val="Heading7"/>
      </w:pPr>
      <w:r>
        <w:t>REDATORES</w:t>
      </w:r>
    </w:p>
    <w:p w:rsidR="00D81F69" w:rsidRDefault="00330118">
      <w:pPr>
        <w:pStyle w:val="Corpodetexto"/>
        <w:spacing w:before="179"/>
      </w:pPr>
      <w:r>
        <w:t>Maria de Fátima das Dores dos Santos Lima</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tabs>
          <w:tab w:val="left" w:pos="4331"/>
        </w:tabs>
        <w:spacing w:before="188" w:line="312" w:lineRule="auto"/>
        <w:ind w:left="100" w:right="196"/>
        <w:jc w:val="both"/>
        <w:rPr>
          <w:sz w:val="16"/>
        </w:rPr>
      </w:pPr>
      <w:r>
        <w:rPr>
          <w:sz w:val="16"/>
        </w:rPr>
        <w:t xml:space="preserve">ACSELRAD, Henri. Tecnologias sociais e sistemas locais de poluição. Horizonte Antropológico, v.12, n. 25, Porto Alegre, jan.-jun., 2006.      D    </w:t>
      </w:r>
      <w:r>
        <w:rPr>
          <w:sz w:val="16"/>
        </w:rPr>
        <w:t xml:space="preserve">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208"/>
        <w:jc w:val="both"/>
        <w:rPr>
          <w:sz w:val="16"/>
        </w:rPr>
      </w:pPr>
      <w:hyperlink r:id="rId1474">
        <w:r w:rsidR="00330118">
          <w:rPr>
            <w:sz w:val="16"/>
          </w:rPr>
          <w:t>&lt;http://www.scielo.br/scielo.php?script=sci_arttext&amp;pid=S0104-</w:t>
        </w:r>
      </w:hyperlink>
      <w:r w:rsidR="00330118">
        <w:rPr>
          <w:sz w:val="16"/>
        </w:rPr>
        <w:t xml:space="preserve"> 71832006000100007&gt;. Acesso em: 27 set. 2011.</w:t>
      </w:r>
    </w:p>
    <w:p w:rsidR="00D81F69" w:rsidRDefault="00330118">
      <w:pPr>
        <w:spacing w:before="2"/>
        <w:ind w:left="100"/>
        <w:jc w:val="both"/>
        <w:rPr>
          <w:sz w:val="16"/>
        </w:rPr>
      </w:pPr>
      <w:r>
        <w:rPr>
          <w:sz w:val="16"/>
        </w:rPr>
        <w:t>COSTA, Cláudio. Preço do abandono. In: Revista Viva Favela, 24 out.</w:t>
      </w:r>
    </w:p>
    <w:p w:rsidR="00D81F69" w:rsidRDefault="00330118">
      <w:pPr>
        <w:tabs>
          <w:tab w:val="left" w:pos="1785"/>
          <w:tab w:val="left" w:pos="4548"/>
        </w:tabs>
        <w:spacing w:before="56"/>
        <w:ind w:left="100"/>
        <w:jc w:val="both"/>
        <w:rPr>
          <w:sz w:val="16"/>
        </w:rPr>
      </w:pPr>
      <w:r>
        <w:rPr>
          <w:sz w:val="16"/>
        </w:rPr>
        <w:t xml:space="preserve">2   0   1  </w:t>
      </w:r>
      <w:r>
        <w:rPr>
          <w:spacing w:val="35"/>
          <w:sz w:val="16"/>
        </w:rPr>
        <w:t xml:space="preserve"> </w:t>
      </w:r>
      <w:r>
        <w:rPr>
          <w:sz w:val="16"/>
        </w:rPr>
        <w:t xml:space="preserve">0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194"/>
        <w:jc w:val="both"/>
        <w:rPr>
          <w:sz w:val="16"/>
        </w:rPr>
      </w:pPr>
      <w:hyperlink r:id="rId1475">
        <w:r w:rsidR="00330118">
          <w:rPr>
            <w:sz w:val="16"/>
          </w:rPr>
          <w:t>&lt;http://acervo.vivafavela.com.br/pu</w:t>
        </w:r>
        <w:r w:rsidR="00330118">
          <w:rPr>
            <w:sz w:val="16"/>
          </w:rPr>
          <w:t>blique/cgi/cgilua.exe/sys/start.htm?</w:t>
        </w:r>
      </w:hyperlink>
      <w:r w:rsidR="00330118">
        <w:rPr>
          <w:sz w:val="16"/>
        </w:rPr>
        <w:t xml:space="preserve"> from_info_index=196&amp;infoid=45470&amp;sid=87&gt;. Acesso em: 22 set. 2011.</w:t>
      </w:r>
    </w:p>
    <w:p w:rsidR="00D81F69" w:rsidRDefault="00D81F69">
      <w:pPr>
        <w:spacing w:line="312" w:lineRule="auto"/>
        <w:jc w:val="both"/>
        <w:rPr>
          <w:sz w:val="16"/>
        </w:rPr>
        <w:sectPr w:rsidR="00D81F69">
          <w:pgSz w:w="11900" w:h="16840"/>
          <w:pgMar w:top="940" w:right="500" w:bottom="700" w:left="620" w:header="0" w:footer="402" w:gutter="0"/>
          <w:cols w:num="2" w:space="720" w:equalWidth="0">
            <w:col w:w="5170" w:space="300"/>
            <w:col w:w="5310"/>
          </w:cols>
        </w:sectPr>
      </w:pPr>
    </w:p>
    <w:p w:rsidR="00D81F69" w:rsidRDefault="00330118">
      <w:pPr>
        <w:tabs>
          <w:tab w:val="left" w:pos="4331"/>
        </w:tabs>
        <w:spacing w:before="70" w:line="312" w:lineRule="auto"/>
        <w:ind w:left="100" w:right="70"/>
        <w:jc w:val="both"/>
        <w:rPr>
          <w:sz w:val="16"/>
        </w:rPr>
      </w:pPr>
      <w:r>
        <w:rPr>
          <w:spacing w:val="1"/>
          <w:sz w:val="16"/>
        </w:rPr>
        <w:lastRenderedPageBreak/>
        <w:t xml:space="preserve">FINAMORE, Renan. Contaminação </w:t>
      </w:r>
      <w:r>
        <w:rPr>
          <w:sz w:val="16"/>
        </w:rPr>
        <w:t xml:space="preserve">do </w:t>
      </w:r>
      <w:r>
        <w:rPr>
          <w:spacing w:val="1"/>
          <w:sz w:val="16"/>
        </w:rPr>
        <w:t xml:space="preserve">solo </w:t>
      </w:r>
      <w:r>
        <w:rPr>
          <w:sz w:val="16"/>
        </w:rPr>
        <w:t xml:space="preserve">e </w:t>
      </w:r>
      <w:r>
        <w:rPr>
          <w:spacing w:val="1"/>
          <w:sz w:val="16"/>
        </w:rPr>
        <w:t xml:space="preserve">conflitos: </w:t>
      </w:r>
      <w:r>
        <w:rPr>
          <w:sz w:val="16"/>
        </w:rPr>
        <w:t xml:space="preserve">o </w:t>
      </w:r>
      <w:r>
        <w:rPr>
          <w:spacing w:val="1"/>
          <w:sz w:val="16"/>
        </w:rPr>
        <w:t xml:space="preserve">caso </w:t>
      </w:r>
      <w:r>
        <w:rPr>
          <w:spacing w:val="2"/>
          <w:sz w:val="16"/>
        </w:rPr>
        <w:t xml:space="preserve">da </w:t>
      </w:r>
      <w:r>
        <w:rPr>
          <w:spacing w:val="5"/>
          <w:sz w:val="16"/>
        </w:rPr>
        <w:t xml:space="preserve">empresa </w:t>
      </w:r>
      <w:r>
        <w:rPr>
          <w:spacing w:val="6"/>
          <w:sz w:val="16"/>
        </w:rPr>
        <w:t xml:space="preserve">CENTRES. </w:t>
      </w:r>
      <w:r>
        <w:rPr>
          <w:spacing w:val="5"/>
          <w:sz w:val="16"/>
        </w:rPr>
        <w:t xml:space="preserve">In: RGSA </w:t>
      </w:r>
      <w:r>
        <w:rPr>
          <w:sz w:val="16"/>
        </w:rPr>
        <w:t xml:space="preserve">– </w:t>
      </w:r>
      <w:r>
        <w:rPr>
          <w:spacing w:val="5"/>
          <w:sz w:val="16"/>
        </w:rPr>
        <w:t xml:space="preserve">Revista </w:t>
      </w:r>
      <w:r>
        <w:rPr>
          <w:spacing w:val="3"/>
          <w:sz w:val="16"/>
        </w:rPr>
        <w:t xml:space="preserve">de </w:t>
      </w:r>
      <w:r>
        <w:rPr>
          <w:spacing w:val="5"/>
          <w:sz w:val="16"/>
        </w:rPr>
        <w:t xml:space="preserve">Gestão Social </w:t>
      </w:r>
      <w:r>
        <w:rPr>
          <w:sz w:val="16"/>
        </w:rPr>
        <w:t xml:space="preserve">e </w:t>
      </w:r>
      <w:r>
        <w:rPr>
          <w:spacing w:val="6"/>
          <w:sz w:val="16"/>
        </w:rPr>
        <w:t xml:space="preserve">Ambiental </w:t>
      </w:r>
      <w:r>
        <w:rPr>
          <w:spacing w:val="5"/>
          <w:sz w:val="16"/>
        </w:rPr>
        <w:t xml:space="preserve">Set. </w:t>
      </w:r>
      <w:r>
        <w:rPr>
          <w:sz w:val="16"/>
        </w:rPr>
        <w:t xml:space="preserve">–  </w:t>
      </w:r>
      <w:r>
        <w:rPr>
          <w:spacing w:val="5"/>
          <w:sz w:val="16"/>
        </w:rPr>
        <w:t xml:space="preserve">Dez. 2010, v.4, n.3, </w:t>
      </w:r>
      <w:r>
        <w:rPr>
          <w:spacing w:val="3"/>
          <w:sz w:val="16"/>
        </w:rPr>
        <w:t xml:space="preserve">p.  </w:t>
      </w:r>
      <w:r>
        <w:rPr>
          <w:spacing w:val="6"/>
          <w:sz w:val="16"/>
        </w:rPr>
        <w:t xml:space="preserve">119-135, </w:t>
      </w:r>
      <w:r>
        <w:rPr>
          <w:spacing w:val="5"/>
          <w:sz w:val="16"/>
        </w:rPr>
        <w:t xml:space="preserve">dez. </w:t>
      </w:r>
      <w:r>
        <w:rPr>
          <w:spacing w:val="7"/>
          <w:sz w:val="16"/>
        </w:rPr>
        <w:t xml:space="preserve">2010.  </w:t>
      </w:r>
      <w:r>
        <w:rPr>
          <w:spacing w:val="60"/>
          <w:sz w:val="16"/>
        </w:rPr>
        <w:t xml:space="preserve">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line="312" w:lineRule="auto"/>
        <w:ind w:left="100" w:right="96"/>
        <w:jc w:val="both"/>
        <w:rPr>
          <w:sz w:val="16"/>
        </w:rPr>
      </w:pPr>
      <w:hyperlink r:id="rId1476">
        <w:r w:rsidR="00330118">
          <w:rPr>
            <w:sz w:val="16"/>
          </w:rPr>
          <w:t>&lt;http://www.revistargsa.org/ojs/index</w:t>
        </w:r>
        <w:r w:rsidR="00330118">
          <w:rPr>
            <w:sz w:val="16"/>
          </w:rPr>
          <w:t>.php/rgsa/article/viewFile/332/11</w:t>
        </w:r>
      </w:hyperlink>
      <w:r w:rsidR="00330118">
        <w:rPr>
          <w:sz w:val="16"/>
        </w:rPr>
        <w:t xml:space="preserve"> 8&gt;. Acesso em: 22 set 2011.</w:t>
      </w:r>
    </w:p>
    <w:p w:rsidR="00D81F69" w:rsidRDefault="00330118">
      <w:pPr>
        <w:spacing w:before="2" w:line="312" w:lineRule="auto"/>
        <w:ind w:left="100" w:right="38"/>
        <w:jc w:val="both"/>
        <w:rPr>
          <w:sz w:val="16"/>
        </w:rPr>
      </w:pPr>
      <w:r>
        <w:rPr>
          <w:sz w:val="16"/>
        </w:rPr>
        <w:t xml:space="preserve">IBGE, Instituto Brasileiro de Geografia e Estatística. Queimados (RJ). In: IBGE Cidades, 2010. Disponível em: </w:t>
      </w:r>
    </w:p>
    <w:p w:rsidR="00D81F69" w:rsidRDefault="00D81F69">
      <w:pPr>
        <w:spacing w:before="1"/>
        <w:ind w:left="100"/>
        <w:rPr>
          <w:sz w:val="16"/>
        </w:rPr>
      </w:pPr>
      <w:hyperlink r:id="rId1477">
        <w:r w:rsidR="00330118">
          <w:rPr>
            <w:sz w:val="16"/>
          </w:rPr>
          <w:t>&lt;http://www.ibge.gov.br/cidadesat/xtras/perfil.php?codmun=330414&amp;r</w:t>
        </w:r>
      </w:hyperlink>
    </w:p>
    <w:p w:rsidR="00D81F69" w:rsidRDefault="00330118">
      <w:pPr>
        <w:spacing w:before="56"/>
        <w:ind w:left="100"/>
        <w:rPr>
          <w:sz w:val="16"/>
        </w:rPr>
      </w:pPr>
      <w:r>
        <w:rPr>
          <w:sz w:val="16"/>
        </w:rPr>
        <w:t>=2&gt;. Acesso em: 25 nov. 2011.</w:t>
      </w:r>
    </w:p>
    <w:p w:rsidR="00D81F69" w:rsidRDefault="00330118">
      <w:pPr>
        <w:spacing w:before="56" w:line="312" w:lineRule="auto"/>
        <w:ind w:left="100" w:right="96"/>
        <w:jc w:val="both"/>
        <w:rPr>
          <w:sz w:val="16"/>
        </w:rPr>
      </w:pPr>
      <w:r>
        <w:rPr>
          <w:sz w:val="16"/>
        </w:rPr>
        <w:t>JB ONLINE. Estado e Petrobras vão tratar lixo químico deixado pelo Centres em Queimados – RJ, 09 jul. 2008. Disponível em:</w:t>
      </w:r>
    </w:p>
    <w:p w:rsidR="00D81F69" w:rsidRDefault="00D81F69">
      <w:pPr>
        <w:spacing w:before="2" w:line="312" w:lineRule="auto"/>
        <w:ind w:left="100" w:right="72"/>
        <w:jc w:val="both"/>
        <w:rPr>
          <w:sz w:val="16"/>
        </w:rPr>
      </w:pPr>
      <w:hyperlink r:id="rId1478">
        <w:r w:rsidR="00330118">
          <w:rPr>
            <w:sz w:val="16"/>
          </w:rPr>
          <w:t>&lt;http://jbonline.terra.com.br/extra/2008/06/20/e20067415.html&gt;.</w:t>
        </w:r>
      </w:hyperlink>
      <w:r w:rsidR="00330118">
        <w:rPr>
          <w:sz w:val="16"/>
        </w:rPr>
        <w:t xml:space="preserve"> Acesso em: 25 nov. 2011.</w:t>
      </w:r>
    </w:p>
    <w:p w:rsidR="00D81F69" w:rsidRDefault="00330118">
      <w:pPr>
        <w:spacing w:before="1" w:line="312" w:lineRule="auto"/>
        <w:ind w:left="100" w:right="96"/>
        <w:jc w:val="both"/>
        <w:rPr>
          <w:sz w:val="16"/>
        </w:rPr>
      </w:pPr>
      <w:r>
        <w:rPr>
          <w:sz w:val="16"/>
          <w:u w:val="single"/>
        </w:rPr>
        <w:t xml:space="preserve">          </w:t>
      </w:r>
      <w:r>
        <w:rPr>
          <w:sz w:val="16"/>
        </w:rPr>
        <w:t xml:space="preserve">. Estado e Petrobras vão tratar lixo químico do Centres. 24 out 2011. Disponível </w:t>
      </w:r>
      <w:r>
        <w:rPr>
          <w:sz w:val="16"/>
        </w:rPr>
        <w:t>em:</w:t>
      </w:r>
    </w:p>
    <w:p w:rsidR="00D81F69" w:rsidRDefault="00330118">
      <w:pPr>
        <w:spacing w:before="70" w:line="312" w:lineRule="auto"/>
        <w:ind w:left="100" w:right="130"/>
        <w:rPr>
          <w:sz w:val="16"/>
        </w:rPr>
      </w:pPr>
      <w:r>
        <w:br w:type="column"/>
      </w:r>
      <w:hyperlink r:id="rId1479">
        <w:r>
          <w:rPr>
            <w:sz w:val="16"/>
          </w:rPr>
          <w:t xml:space="preserve">&lt; h t t p : / / w w w . j b . c o m . b r / c i e n c i a - e - </w:t>
        </w:r>
      </w:hyperlink>
      <w:r>
        <w:rPr>
          <w:sz w:val="16"/>
        </w:rPr>
        <w:t>tecnologia/noticias/2008/06/21/estado-e-petrobras-vao-tratar-lixo- quimico-do-centres/&gt;. Acesso em: 06 mar. 2013.</w:t>
      </w:r>
    </w:p>
    <w:p w:rsidR="00D81F69" w:rsidRDefault="00330118">
      <w:pPr>
        <w:spacing w:before="2" w:line="312" w:lineRule="auto"/>
        <w:ind w:left="100" w:right="195"/>
        <w:jc w:val="both"/>
        <w:rPr>
          <w:sz w:val="16"/>
        </w:rPr>
      </w:pPr>
      <w:r>
        <w:rPr>
          <w:sz w:val="16"/>
        </w:rPr>
        <w:t xml:space="preserve">PINTO, E. M. Principais </w:t>
      </w:r>
      <w:r>
        <w:rPr>
          <w:sz w:val="16"/>
        </w:rPr>
        <w:t>Dificuldades de Gerenciamento de Resíduos Industriais no Estado do Rio de Janeiro: O Caso Centres - Centro  Tecnológico de Resíduos, localizado no Município de Queimados, 2001 (Dissertação de Mestrado). UFF, Niterói, 2001</w:t>
      </w:r>
    </w:p>
    <w:p w:rsidR="00D81F69" w:rsidRDefault="00330118">
      <w:pPr>
        <w:spacing w:before="3" w:line="312" w:lineRule="auto"/>
        <w:ind w:left="100" w:right="197"/>
        <w:jc w:val="both"/>
        <w:rPr>
          <w:sz w:val="16"/>
        </w:rPr>
      </w:pPr>
      <w:r>
        <w:rPr>
          <w:sz w:val="16"/>
        </w:rPr>
        <w:t>SANTOS, Maria Carla Barreto. Avali</w:t>
      </w:r>
      <w:r>
        <w:rPr>
          <w:sz w:val="16"/>
        </w:rPr>
        <w:t>ação da contaminação por metais em solos impactados pela disposição de rejeitos industriais: estudo de caso – CENTRES (Queimados, RJ). Maria Carla Barreto Santos. –. Niterói: [s.n.], 2011. 66 f.: il., 30 cm. Dissertação (Mestrado em Geociências – Geoquímic</w:t>
      </w:r>
      <w:r>
        <w:rPr>
          <w:sz w:val="16"/>
        </w:rPr>
        <w:t>a Ambiental). Universidade Federal Fluminense, 2011.</w:t>
      </w:r>
    </w:p>
    <w:p w:rsidR="00D81F69" w:rsidRDefault="00330118">
      <w:pPr>
        <w:spacing w:before="5" w:line="312" w:lineRule="auto"/>
        <w:ind w:left="100" w:right="184"/>
        <w:jc w:val="both"/>
        <w:rPr>
          <w:sz w:val="16"/>
        </w:rPr>
      </w:pPr>
      <w:r>
        <w:rPr>
          <w:sz w:val="16"/>
        </w:rPr>
        <w:t xml:space="preserve">SISTEMA FIRJAN. Índice Firjan de Desenvolvimento Humano Municipal  (IFDM).  Rio  de  Janeiro,  2009.  Disponível  em: </w:t>
      </w:r>
    </w:p>
    <w:p w:rsidR="00D81F69" w:rsidRDefault="00D81F69">
      <w:pPr>
        <w:spacing w:before="2"/>
        <w:ind w:left="100"/>
        <w:jc w:val="both"/>
        <w:rPr>
          <w:sz w:val="16"/>
        </w:rPr>
      </w:pPr>
      <w:hyperlink r:id="rId1480">
        <w:r w:rsidR="00330118">
          <w:rPr>
            <w:sz w:val="16"/>
          </w:rPr>
          <w:t>&lt;http://www.firjan.org.br/IFDM/&gt;.</w:t>
        </w:r>
      </w:hyperlink>
      <w:r w:rsidR="00330118">
        <w:rPr>
          <w:sz w:val="16"/>
        </w:rPr>
        <w:t xml:space="preserve">  A</w:t>
      </w:r>
      <w:r w:rsidR="00330118">
        <w:rPr>
          <w:sz w:val="16"/>
        </w:rPr>
        <w:t>cesso  em:  22  set.  2011.</w:t>
      </w:r>
    </w:p>
    <w:p w:rsidR="00D81F69" w:rsidRDefault="00D81F69">
      <w:pPr>
        <w:jc w:val="both"/>
        <w:rPr>
          <w:sz w:val="16"/>
        </w:rPr>
        <w:sectPr w:rsidR="00D81F69">
          <w:pgSz w:w="11900" w:h="16840"/>
          <w:pgMar w:top="740" w:right="500" w:bottom="720" w:left="620" w:header="0" w:footer="402" w:gutter="0"/>
          <w:cols w:num="2" w:space="720" w:equalWidth="0">
            <w:col w:w="5191" w:space="279"/>
            <w:col w:w="5310"/>
          </w:cols>
        </w:sectPr>
      </w:pPr>
    </w:p>
    <w:p w:rsidR="00D81F69" w:rsidRDefault="00330118">
      <w:pPr>
        <w:pStyle w:val="Heading1"/>
        <w:spacing w:line="208" w:lineRule="auto"/>
        <w:ind w:right="194"/>
        <w:jc w:val="both"/>
      </w:pPr>
      <w:r>
        <w:lastRenderedPageBreak/>
        <w:t>APL de Santo Antônio de Pádua (RJ) encontra alternativas para impactos da exploração de rochas ornamentais</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RJ - Santo Antônio de Pádua</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-21,5997</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-42,0805</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2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O projeto ambiental de Santo Antônio de Pádua vem sendo desenvolvido desde 1999, quando o CETEM criou a Rede de Pesquisa Cooperativa RETECMIN. O desenvolvimento de uma tecnologia adaptada à realidade das serrarias permitiu a reciclagem</w:t>
      </w:r>
      <w:r>
        <w:rPr>
          <w:i/>
          <w:sz w:val="16"/>
        </w:rPr>
        <w:t xml:space="preserve"> da água usada no corte das rochas e diminuiu a carga poluidora dos rejeitos.</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2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line="312" w:lineRule="auto"/>
        <w:ind w:left="135" w:right="187"/>
      </w:pPr>
      <w:r>
        <w:t>a crescer a partir de 1980, com a difusão, no município, do processo de cantaria. Além das empresas que atuam diretamente na extração e beneficiamento das rochas, existem aqu</w:t>
      </w:r>
      <w:r>
        <w:t>elas que fabricam e prestam serviços de manutenção em serras de pequeno porte e outros equipamentos, bem como as que fabricam artefatos de cimento que utilizam como matéria prima o pó de pedra e brita adquiridos das empresas de rochas ornamentais (SEBRAE-R</w:t>
      </w:r>
      <w:r>
        <w:t>J, 2010).</w:t>
      </w:r>
    </w:p>
    <w:p w:rsidR="00D81F69" w:rsidRDefault="00330118">
      <w:pPr>
        <w:pStyle w:val="Corpodetexto"/>
        <w:spacing w:before="76" w:line="270" w:lineRule="atLeast"/>
        <w:ind w:left="135" w:right="201"/>
      </w:pPr>
      <w:r>
        <w:t>Até a década de 1990, não se observava nenhum planejamento da lavra nem da produção das pedreiras. O</w:t>
      </w:r>
    </w:p>
    <w:p w:rsidR="00D81F69" w:rsidRDefault="00D81F69">
      <w:pPr>
        <w:spacing w:line="270" w:lineRule="atLeast"/>
        <w:sectPr w:rsidR="00D81F69">
          <w:type w:val="continuous"/>
          <w:pgSz w:w="11900" w:h="16840"/>
          <w:pgMar w:top="720" w:right="500" w:bottom="280" w:left="620" w:header="720" w:footer="720" w:gutter="0"/>
          <w:cols w:num="3" w:space="720" w:equalWidth="0">
            <w:col w:w="1949" w:space="51"/>
            <w:col w:w="3106" w:space="329"/>
            <w:col w:w="5345"/>
          </w:cols>
        </w:sectPr>
      </w:pPr>
    </w:p>
    <w:p w:rsidR="00D81F69" w:rsidRDefault="00330118">
      <w:pPr>
        <w:pStyle w:val="Heading4"/>
        <w:spacing w:line="183" w:lineRule="exact"/>
        <w:jc w:val="left"/>
      </w:pPr>
      <w:r>
        <w:lastRenderedPageBreak/>
        <w:t>APRESENTAÇÃO DE CASO</w:t>
      </w:r>
    </w:p>
    <w:p w:rsidR="00D81F69" w:rsidRDefault="00330118">
      <w:pPr>
        <w:pStyle w:val="Corpodetexto"/>
        <w:spacing w:before="170" w:line="312" w:lineRule="auto"/>
        <w:ind w:right="63"/>
        <w:jc w:val="left"/>
      </w:pPr>
      <w:r>
        <w:t>Com 603,355 km² e uma população de 40.589 habitantes (IBGE, 2010), Santo Antônio de Pádua se localiza no noroeste do Rio de Janeiro, a 260 km da capital. A região é composta por treze municípios, sendo considerada a menos desenvolvida do estado (PEITER; CA</w:t>
      </w:r>
      <w:r>
        <w:t>RRISSO; PIRES, 2011).</w:t>
      </w:r>
    </w:p>
    <w:p w:rsidR="00D81F69" w:rsidRDefault="00330118">
      <w:pPr>
        <w:pStyle w:val="Corpodetexto"/>
        <w:spacing w:before="135" w:line="312" w:lineRule="auto"/>
        <w:ind w:right="95"/>
      </w:pPr>
      <w:r>
        <w:t xml:space="preserve">O </w:t>
      </w:r>
      <w:r>
        <w:rPr>
          <w:spacing w:val="3"/>
        </w:rPr>
        <w:t xml:space="preserve">município </w:t>
      </w:r>
      <w:r>
        <w:rPr>
          <w:spacing w:val="2"/>
        </w:rPr>
        <w:t xml:space="preserve">tem como </w:t>
      </w:r>
      <w:r>
        <w:rPr>
          <w:spacing w:val="3"/>
        </w:rPr>
        <w:t xml:space="preserve">principais atividades econômicas </w:t>
      </w:r>
      <w:r>
        <w:t xml:space="preserve">a extração mineral de pedras ornamentais; a pecuária leiteira; a indústria de papéis; e o comércio. O rio Pomba é o principal da </w:t>
      </w:r>
      <w:r>
        <w:rPr>
          <w:spacing w:val="1"/>
        </w:rPr>
        <w:t xml:space="preserve">cidade </w:t>
      </w:r>
      <w:r>
        <w:t xml:space="preserve">e um dos </w:t>
      </w:r>
      <w:r>
        <w:rPr>
          <w:spacing w:val="1"/>
        </w:rPr>
        <w:t xml:space="preserve">afluentes </w:t>
      </w:r>
      <w:r>
        <w:t xml:space="preserve">da </w:t>
      </w:r>
      <w:r>
        <w:rPr>
          <w:spacing w:val="1"/>
        </w:rPr>
        <w:t xml:space="preserve">margem esquerda </w:t>
      </w:r>
      <w:r>
        <w:t xml:space="preserve">do </w:t>
      </w:r>
      <w:r>
        <w:rPr>
          <w:spacing w:val="2"/>
        </w:rPr>
        <w:t>rio</w:t>
      </w:r>
      <w:r>
        <w:rPr>
          <w:spacing w:val="2"/>
        </w:rPr>
        <w:t xml:space="preserve"> </w:t>
      </w:r>
      <w:r>
        <w:rPr>
          <w:spacing w:val="5"/>
        </w:rPr>
        <w:t xml:space="preserve">Paraíba </w:t>
      </w:r>
      <w:r>
        <w:rPr>
          <w:spacing w:val="3"/>
        </w:rPr>
        <w:t xml:space="preserve">do </w:t>
      </w:r>
      <w:r>
        <w:rPr>
          <w:spacing w:val="5"/>
        </w:rPr>
        <w:t xml:space="preserve">Sul </w:t>
      </w:r>
      <w:r>
        <w:rPr>
          <w:spacing w:val="6"/>
        </w:rPr>
        <w:t xml:space="preserve">(PREFEITURA MUNICIPAL </w:t>
      </w:r>
      <w:r>
        <w:rPr>
          <w:spacing w:val="3"/>
        </w:rPr>
        <w:t xml:space="preserve">DE </w:t>
      </w:r>
      <w:r>
        <w:rPr>
          <w:spacing w:val="7"/>
        </w:rPr>
        <w:t xml:space="preserve">SANTO </w:t>
      </w:r>
      <w:r>
        <w:rPr>
          <w:spacing w:val="5"/>
        </w:rPr>
        <w:t xml:space="preserve">ANTÔNIO </w:t>
      </w:r>
      <w:r>
        <w:rPr>
          <w:spacing w:val="3"/>
        </w:rPr>
        <w:t xml:space="preserve">DE </w:t>
      </w:r>
      <w:r>
        <w:rPr>
          <w:spacing w:val="5"/>
        </w:rPr>
        <w:t xml:space="preserve">PÁDUA, </w:t>
      </w:r>
      <w:r>
        <w:rPr>
          <w:spacing w:val="7"/>
        </w:rPr>
        <w:t>2010).</w:t>
      </w:r>
    </w:p>
    <w:p w:rsidR="00D81F69" w:rsidRDefault="00330118">
      <w:pPr>
        <w:pStyle w:val="Corpodetexto"/>
        <w:spacing w:before="135" w:line="312" w:lineRule="auto"/>
        <w:ind w:right="82"/>
      </w:pPr>
      <w:r>
        <w:t xml:space="preserve">O </w:t>
      </w:r>
      <w:r>
        <w:rPr>
          <w:spacing w:val="6"/>
        </w:rPr>
        <w:t xml:space="preserve">município, juntamente </w:t>
      </w:r>
      <w:r>
        <w:rPr>
          <w:spacing w:val="5"/>
        </w:rPr>
        <w:t xml:space="preserve">com </w:t>
      </w:r>
      <w:r>
        <w:rPr>
          <w:spacing w:val="6"/>
        </w:rPr>
        <w:t xml:space="preserve">Miracema, Porciúncula </w:t>
      </w:r>
      <w:r>
        <w:t xml:space="preserve">e Aperibé, possui jazidas de rochas ornamentais que permitem o desenvolvimento de muitas pequenas indústrias extrativas </w:t>
      </w:r>
      <w:r>
        <w:rPr>
          <w:spacing w:val="1"/>
        </w:rPr>
        <w:t xml:space="preserve">da </w:t>
      </w:r>
      <w:r>
        <w:rPr>
          <w:spacing w:val="3"/>
        </w:rPr>
        <w:t xml:space="preserve">pedra paduana, </w:t>
      </w:r>
      <w:r>
        <w:t xml:space="preserve">o </w:t>
      </w:r>
      <w:r>
        <w:rPr>
          <w:spacing w:val="2"/>
        </w:rPr>
        <w:t xml:space="preserve">que </w:t>
      </w:r>
      <w:r>
        <w:rPr>
          <w:spacing w:val="3"/>
        </w:rPr>
        <w:t xml:space="preserve">favoreceu </w:t>
      </w:r>
      <w:r>
        <w:t xml:space="preserve">a </w:t>
      </w:r>
      <w:r>
        <w:rPr>
          <w:spacing w:val="3"/>
        </w:rPr>
        <w:t xml:space="preserve">criação </w:t>
      </w:r>
      <w:r>
        <w:rPr>
          <w:spacing w:val="1"/>
        </w:rPr>
        <w:t xml:space="preserve">do </w:t>
      </w:r>
      <w:r>
        <w:rPr>
          <w:spacing w:val="2"/>
        </w:rPr>
        <w:t xml:space="preserve">polo </w:t>
      </w:r>
      <w:r>
        <w:rPr>
          <w:spacing w:val="5"/>
        </w:rPr>
        <w:t xml:space="preserve">de </w:t>
      </w:r>
      <w:r>
        <w:rPr>
          <w:spacing w:val="10"/>
        </w:rPr>
        <w:t xml:space="preserve">rochas ornamentais </w:t>
      </w:r>
      <w:r>
        <w:rPr>
          <w:spacing w:val="5"/>
        </w:rPr>
        <w:t xml:space="preserve">da </w:t>
      </w:r>
      <w:r>
        <w:rPr>
          <w:spacing w:val="10"/>
        </w:rPr>
        <w:t xml:space="preserve">região Noroeste </w:t>
      </w:r>
      <w:r>
        <w:rPr>
          <w:spacing w:val="12"/>
        </w:rPr>
        <w:t xml:space="preserve">Fluminense </w:t>
      </w:r>
      <w:r>
        <w:t>(FERREIRA, 2005). A variedade de tipos litológicos colocou Santo Antônio de Pádua em posição de destaque no estado, como Parque Produtor de Rochas Ornament</w:t>
      </w:r>
      <w:r>
        <w:t>ais (BAPTISTA FILHO; TANAKA,</w:t>
      </w:r>
      <w:r>
        <w:rPr>
          <w:spacing w:val="28"/>
        </w:rPr>
        <w:t xml:space="preserve"> </w:t>
      </w:r>
      <w:r>
        <w:rPr>
          <w:spacing w:val="1"/>
        </w:rPr>
        <w:t>2002).</w:t>
      </w:r>
    </w:p>
    <w:p w:rsidR="00D81F69" w:rsidRDefault="00330118">
      <w:pPr>
        <w:pStyle w:val="Corpodetexto"/>
        <w:spacing w:before="138" w:line="312" w:lineRule="auto"/>
        <w:ind w:right="75"/>
      </w:pPr>
      <w:r>
        <w:t>As rochas encontradas na região fazem parte do Complexo Paraíba do Sul / Unidade Santo Eduardo (GROSSI SAD et al., 1980 apud SILVA; MARGUERON, 2002) e ocorrem em duas serras, a do Bonfim e a do Catete, que margeiam a rod</w:t>
      </w:r>
      <w:r>
        <w:t>ovia Pádua-Pirapetinga, uma de cada lado (BOCLIN, 2009). Merecem destaque as seguintes: olho de pombo, a mais comum e comercializada; pedra madeira (nas cores rosa, amarela, verde e branca); pinta branca e pinta rosa (REGAZZI et al., 2004). Tais pedras, ap</w:t>
      </w:r>
      <w:r>
        <w:t>ós beneficiadas, são usadas em revestimentos, pisos, paralelepípedos (obtidos a partir de rejeitos de pedreiras) e diferentes classes de brita, resultantes da britagem dos rejeitos das pedreiras e serrarias (PEITER et al., 2004).</w:t>
      </w:r>
    </w:p>
    <w:p w:rsidR="00D81F69" w:rsidRDefault="00330118">
      <w:pPr>
        <w:pStyle w:val="Corpodetexto"/>
        <w:spacing w:before="79" w:line="270" w:lineRule="atLeast"/>
        <w:ind w:right="101"/>
      </w:pPr>
      <w:r>
        <w:t>A extração de rochas na re</w:t>
      </w:r>
      <w:r>
        <w:t>gião de Santo Antônio de Pádua iniciou-se na década de 1950 em pequena escala e começou</w:t>
      </w:r>
    </w:p>
    <w:p w:rsidR="00D81F69" w:rsidRDefault="00330118">
      <w:pPr>
        <w:pStyle w:val="Corpodetexto"/>
        <w:spacing w:before="63" w:line="312" w:lineRule="auto"/>
        <w:ind w:right="204"/>
      </w:pPr>
      <w:r>
        <w:br w:type="column"/>
      </w:r>
      <w:r>
        <w:lastRenderedPageBreak/>
        <w:t>simples fato de encontrarem um afloramento rochoso era motivo para o desencadeamento do processo de retirada do capeamento e desmonte de maciço, surgindo, assim, uma n</w:t>
      </w:r>
      <w:r>
        <w:t>ova pedreira (PEITER et al., 2004). A ausência de conhecimentos, em especial por parte dos pequenos extratores, sobre as melhores práticas para a explotação mineral começou a gerar uma grande quantidade de resíduos (FERREIRA, 2005).</w:t>
      </w:r>
    </w:p>
    <w:p w:rsidR="00D81F69" w:rsidRDefault="00330118">
      <w:pPr>
        <w:pStyle w:val="Corpodetexto"/>
        <w:spacing w:before="137" w:line="312" w:lineRule="auto"/>
        <w:ind w:right="184"/>
      </w:pPr>
      <w:r>
        <w:t>A partir de 1995, com a</w:t>
      </w:r>
      <w:r>
        <w:t xml:space="preserve"> aplicação do flame jet [maçarico para cortar a rocha], para a abertura de canais ou trincheiras, </w:t>
      </w:r>
      <w:r>
        <w:rPr>
          <w:spacing w:val="1"/>
        </w:rPr>
        <w:t xml:space="preserve">foi </w:t>
      </w:r>
      <w:r>
        <w:t xml:space="preserve">possível desenvolver um trabalho mais seguro em Pádua. O </w:t>
      </w:r>
      <w:r>
        <w:rPr>
          <w:spacing w:val="7"/>
        </w:rPr>
        <w:t xml:space="preserve">uso </w:t>
      </w:r>
      <w:r>
        <w:rPr>
          <w:spacing w:val="5"/>
        </w:rPr>
        <w:t xml:space="preserve">do </w:t>
      </w:r>
      <w:r>
        <w:rPr>
          <w:spacing w:val="10"/>
        </w:rPr>
        <w:t xml:space="preserve">instrumento, </w:t>
      </w:r>
      <w:r>
        <w:rPr>
          <w:spacing w:val="5"/>
        </w:rPr>
        <w:t xml:space="preserve">em </w:t>
      </w:r>
      <w:r>
        <w:rPr>
          <w:spacing w:val="10"/>
        </w:rPr>
        <w:t xml:space="preserve">substituição </w:t>
      </w:r>
      <w:r>
        <w:rPr>
          <w:spacing w:val="7"/>
        </w:rPr>
        <w:t xml:space="preserve">aos </w:t>
      </w:r>
      <w:r>
        <w:rPr>
          <w:spacing w:val="11"/>
        </w:rPr>
        <w:t xml:space="preserve">explosivos, </w:t>
      </w:r>
      <w:r>
        <w:rPr>
          <w:spacing w:val="3"/>
        </w:rPr>
        <w:t xml:space="preserve">contribuiu </w:t>
      </w:r>
      <w:r>
        <w:rPr>
          <w:spacing w:val="2"/>
        </w:rPr>
        <w:t xml:space="preserve">para </w:t>
      </w:r>
      <w:r>
        <w:rPr>
          <w:spacing w:val="3"/>
        </w:rPr>
        <w:t xml:space="preserve">redução </w:t>
      </w:r>
      <w:r>
        <w:rPr>
          <w:spacing w:val="1"/>
        </w:rPr>
        <w:t xml:space="preserve">de </w:t>
      </w:r>
      <w:r>
        <w:rPr>
          <w:spacing w:val="3"/>
        </w:rPr>
        <w:t xml:space="preserve">acidentes </w:t>
      </w:r>
      <w:r>
        <w:rPr>
          <w:spacing w:val="1"/>
        </w:rPr>
        <w:t xml:space="preserve">de </w:t>
      </w:r>
      <w:r>
        <w:rPr>
          <w:spacing w:val="3"/>
        </w:rPr>
        <w:t>traba</w:t>
      </w:r>
      <w:r>
        <w:rPr>
          <w:spacing w:val="3"/>
        </w:rPr>
        <w:t xml:space="preserve">lho </w:t>
      </w:r>
      <w:r>
        <w:t xml:space="preserve">e </w:t>
      </w:r>
      <w:r>
        <w:rPr>
          <w:spacing w:val="5"/>
        </w:rPr>
        <w:t xml:space="preserve">para </w:t>
      </w:r>
      <w:r>
        <w:t xml:space="preserve">diminuição de perdas na lavra (MEDINA et al., 2003). Além </w:t>
      </w:r>
      <w:r>
        <w:rPr>
          <w:spacing w:val="5"/>
        </w:rPr>
        <w:t xml:space="preserve">disso, </w:t>
      </w:r>
      <w:r>
        <w:rPr>
          <w:spacing w:val="2"/>
        </w:rPr>
        <w:t xml:space="preserve">em </w:t>
      </w:r>
      <w:r>
        <w:rPr>
          <w:spacing w:val="5"/>
        </w:rPr>
        <w:t xml:space="preserve">função </w:t>
      </w:r>
      <w:r>
        <w:rPr>
          <w:spacing w:val="2"/>
        </w:rPr>
        <w:t xml:space="preserve">da </w:t>
      </w:r>
      <w:r>
        <w:rPr>
          <w:spacing w:val="5"/>
        </w:rPr>
        <w:t xml:space="preserve">implantação </w:t>
      </w:r>
      <w:r>
        <w:rPr>
          <w:spacing w:val="2"/>
        </w:rPr>
        <w:t xml:space="preserve">da </w:t>
      </w:r>
      <w:r>
        <w:rPr>
          <w:spacing w:val="5"/>
        </w:rPr>
        <w:t>Pedreira Escola da</w:t>
      </w:r>
      <w:r>
        <w:rPr>
          <w:spacing w:val="61"/>
        </w:rPr>
        <w:t xml:space="preserve"> </w:t>
      </w:r>
      <w:r>
        <w:rPr>
          <w:spacing w:val="1"/>
        </w:rPr>
        <w:t xml:space="preserve">Fundação </w:t>
      </w:r>
      <w:r>
        <w:t xml:space="preserve">de </w:t>
      </w:r>
      <w:r>
        <w:rPr>
          <w:spacing w:val="1"/>
        </w:rPr>
        <w:t xml:space="preserve">Apoio </w:t>
      </w:r>
      <w:r>
        <w:t xml:space="preserve">à </w:t>
      </w:r>
      <w:r>
        <w:rPr>
          <w:spacing w:val="1"/>
        </w:rPr>
        <w:t xml:space="preserve">Escola Técnica </w:t>
      </w:r>
      <w:r>
        <w:t xml:space="preserve">do </w:t>
      </w:r>
      <w:r>
        <w:rPr>
          <w:spacing w:val="1"/>
        </w:rPr>
        <w:t xml:space="preserve">Estado </w:t>
      </w:r>
      <w:r>
        <w:t xml:space="preserve">do Rio </w:t>
      </w:r>
      <w:r>
        <w:rPr>
          <w:spacing w:val="2"/>
        </w:rPr>
        <w:t xml:space="preserve">de </w:t>
      </w:r>
      <w:r>
        <w:rPr>
          <w:spacing w:val="5"/>
        </w:rPr>
        <w:t xml:space="preserve">Janeiro (Faetec), </w:t>
      </w:r>
      <w:r>
        <w:rPr>
          <w:spacing w:val="2"/>
        </w:rPr>
        <w:t xml:space="preserve">os </w:t>
      </w:r>
      <w:r>
        <w:rPr>
          <w:spacing w:val="5"/>
        </w:rPr>
        <w:t xml:space="preserve">blocos começaram </w:t>
      </w:r>
      <w:r>
        <w:t xml:space="preserve">a </w:t>
      </w:r>
      <w:r>
        <w:rPr>
          <w:spacing w:val="3"/>
        </w:rPr>
        <w:t xml:space="preserve">ser </w:t>
      </w:r>
      <w:r>
        <w:rPr>
          <w:spacing w:val="6"/>
        </w:rPr>
        <w:t xml:space="preserve">extraídos </w:t>
      </w:r>
      <w:r>
        <w:rPr>
          <w:spacing w:val="5"/>
        </w:rPr>
        <w:t xml:space="preserve">através </w:t>
      </w:r>
      <w:r>
        <w:rPr>
          <w:spacing w:val="2"/>
        </w:rPr>
        <w:t xml:space="preserve">do </w:t>
      </w:r>
      <w:r>
        <w:rPr>
          <w:spacing w:val="3"/>
        </w:rPr>
        <w:t xml:space="preserve">fio </w:t>
      </w:r>
      <w:r>
        <w:rPr>
          <w:spacing w:val="5"/>
        </w:rPr>
        <w:t>diamantad</w:t>
      </w:r>
      <w:r>
        <w:rPr>
          <w:spacing w:val="5"/>
        </w:rPr>
        <w:t xml:space="preserve">o, </w:t>
      </w:r>
      <w:r>
        <w:rPr>
          <w:spacing w:val="3"/>
        </w:rPr>
        <w:t xml:space="preserve">uma </w:t>
      </w:r>
      <w:r>
        <w:rPr>
          <w:spacing w:val="5"/>
        </w:rPr>
        <w:t xml:space="preserve">tecnologia </w:t>
      </w:r>
      <w:r>
        <w:rPr>
          <w:spacing w:val="3"/>
        </w:rPr>
        <w:t xml:space="preserve">que </w:t>
      </w:r>
      <w:r>
        <w:rPr>
          <w:spacing w:val="5"/>
        </w:rPr>
        <w:t xml:space="preserve">reduz </w:t>
      </w:r>
      <w:r>
        <w:t xml:space="preserve">a </w:t>
      </w:r>
      <w:r>
        <w:rPr>
          <w:spacing w:val="1"/>
        </w:rPr>
        <w:t xml:space="preserve">produção </w:t>
      </w:r>
      <w:r>
        <w:t xml:space="preserve">de </w:t>
      </w:r>
      <w:r>
        <w:rPr>
          <w:spacing w:val="1"/>
        </w:rPr>
        <w:t xml:space="preserve">rejeitos </w:t>
      </w:r>
      <w:r>
        <w:t xml:space="preserve">e </w:t>
      </w:r>
      <w:r>
        <w:rPr>
          <w:spacing w:val="1"/>
        </w:rPr>
        <w:t xml:space="preserve">possibilita </w:t>
      </w:r>
      <w:r>
        <w:t xml:space="preserve">a </w:t>
      </w:r>
      <w:r>
        <w:rPr>
          <w:spacing w:val="1"/>
        </w:rPr>
        <w:t xml:space="preserve">exploração </w:t>
      </w:r>
      <w:r>
        <w:t xml:space="preserve">de </w:t>
      </w:r>
      <w:r>
        <w:rPr>
          <w:spacing w:val="2"/>
        </w:rPr>
        <w:t xml:space="preserve">grandes </w:t>
      </w:r>
      <w:r>
        <w:rPr>
          <w:spacing w:val="1"/>
        </w:rPr>
        <w:t>blocos (SEBRAE-RJ,</w:t>
      </w:r>
      <w:r>
        <w:t xml:space="preserve"> </w:t>
      </w:r>
      <w:r>
        <w:rPr>
          <w:spacing w:val="2"/>
        </w:rPr>
        <w:t>2010).</w:t>
      </w:r>
    </w:p>
    <w:p w:rsidR="00D81F69" w:rsidRDefault="00330118">
      <w:pPr>
        <w:pStyle w:val="Corpodetexto"/>
        <w:spacing w:before="141" w:line="312" w:lineRule="auto"/>
        <w:ind w:right="185"/>
      </w:pPr>
      <w:r>
        <w:t>Em 1996, a multiplicação de problemas ambientais no município levou o Batalhão de Polícia Florestal e Meio Ambiente (BPFMA) a fazer uma intervenção no local. Posteriormente, o Departamento de Recursos Minerais do Estado do Rio de Janeiro (DRM/RJ), em conju</w:t>
      </w:r>
      <w:r>
        <w:t>nto com a Secretaria de Estado do Meio Ambiente e a antiga Fundação Estadual de Engenharia e Meio Ambiente (Feema), iniciou um processo de regularização da atividade, com as primeiras licenças ambientais sendo emitidas em 1998 (REGAZZI et al., 2004; PEITER</w:t>
      </w:r>
      <w:r>
        <w:t>; CARRISSO; PIRES, 2011).).</w:t>
      </w:r>
    </w:p>
    <w:p w:rsidR="00D81F69" w:rsidRDefault="00330118">
      <w:pPr>
        <w:pStyle w:val="Corpodetexto"/>
        <w:spacing w:before="139" w:line="312" w:lineRule="auto"/>
        <w:ind w:right="207"/>
      </w:pPr>
      <w:r>
        <w:t xml:space="preserve">Para superar as dificuldades, foi formada, em 1999, a Rede </w:t>
      </w:r>
      <w:r>
        <w:rPr>
          <w:spacing w:val="3"/>
        </w:rPr>
        <w:t xml:space="preserve">de </w:t>
      </w:r>
      <w:r>
        <w:rPr>
          <w:spacing w:val="6"/>
        </w:rPr>
        <w:t xml:space="preserve">Tecnologia </w:t>
      </w:r>
      <w:r>
        <w:rPr>
          <w:spacing w:val="5"/>
        </w:rPr>
        <w:t xml:space="preserve">Mineral </w:t>
      </w:r>
      <w:r>
        <w:rPr>
          <w:spacing w:val="3"/>
        </w:rPr>
        <w:t xml:space="preserve">do </w:t>
      </w:r>
      <w:r>
        <w:rPr>
          <w:spacing w:val="5"/>
        </w:rPr>
        <w:t xml:space="preserve">Rio </w:t>
      </w:r>
      <w:r>
        <w:rPr>
          <w:spacing w:val="3"/>
        </w:rPr>
        <w:t xml:space="preserve">de </w:t>
      </w:r>
      <w:r>
        <w:rPr>
          <w:spacing w:val="5"/>
        </w:rPr>
        <w:t xml:space="preserve">Janeiro </w:t>
      </w:r>
      <w:r>
        <w:rPr>
          <w:spacing w:val="7"/>
        </w:rPr>
        <w:t xml:space="preserve">(RETECMIN) </w:t>
      </w:r>
      <w:r>
        <w:t xml:space="preserve">(PEITER et al., 2004), que passou a desenvolver atividades de legalização, racionalização na extração e diminuição de </w:t>
      </w:r>
      <w:r>
        <w:t>impactos ambientais. Além disso, começaram a ser realizados projetos</w:t>
      </w:r>
      <w:r>
        <w:rPr>
          <w:spacing w:val="31"/>
        </w:rPr>
        <w:t xml:space="preserve"> </w:t>
      </w:r>
      <w:r>
        <w:t>para</w:t>
      </w:r>
      <w:r>
        <w:rPr>
          <w:spacing w:val="31"/>
        </w:rPr>
        <w:t xml:space="preserve"> </w:t>
      </w:r>
      <w:r>
        <w:t>o</w:t>
      </w:r>
      <w:r>
        <w:rPr>
          <w:spacing w:val="31"/>
        </w:rPr>
        <w:t xml:space="preserve"> </w:t>
      </w:r>
      <w:r>
        <w:t>beneficiamento</w:t>
      </w:r>
      <w:r>
        <w:rPr>
          <w:spacing w:val="31"/>
        </w:rPr>
        <w:t xml:space="preserve"> </w:t>
      </w:r>
      <w:r>
        <w:t>da</w:t>
      </w:r>
      <w:r>
        <w:rPr>
          <w:spacing w:val="31"/>
        </w:rPr>
        <w:t xml:space="preserve"> </w:t>
      </w:r>
      <w:r>
        <w:t>pedra</w:t>
      </w:r>
      <w:r>
        <w:rPr>
          <w:spacing w:val="31"/>
        </w:rPr>
        <w:t xml:space="preserve"> </w:t>
      </w:r>
      <w:r>
        <w:t>e</w:t>
      </w:r>
      <w:r>
        <w:rPr>
          <w:spacing w:val="31"/>
        </w:rPr>
        <w:t xml:space="preserve"> </w:t>
      </w:r>
      <w:r>
        <w:t>comercialização</w:t>
      </w:r>
    </w:p>
    <w:p w:rsidR="00D81F69" w:rsidRDefault="00D81F69">
      <w:pPr>
        <w:spacing w:line="312" w:lineRule="auto"/>
        <w:sectPr w:rsidR="00D81F69">
          <w:type w:val="continuous"/>
          <w:pgSz w:w="11900" w:h="16840"/>
          <w:pgMar w:top="720" w:right="500" w:bottom="280" w:left="620" w:header="720" w:footer="720" w:gutter="0"/>
          <w:cols w:num="2" w:space="720" w:equalWidth="0">
            <w:col w:w="5197" w:space="273"/>
            <w:col w:w="5310"/>
          </w:cols>
        </w:sectPr>
      </w:pPr>
    </w:p>
    <w:p w:rsidR="00D81F69" w:rsidRDefault="00330118">
      <w:pPr>
        <w:pStyle w:val="Corpodetexto"/>
        <w:spacing w:before="81"/>
      </w:pPr>
      <w:r>
        <w:lastRenderedPageBreak/>
        <w:t>em melhores bases (REGAZZI et al., 2004).</w:t>
      </w:r>
    </w:p>
    <w:p w:rsidR="00D81F69" w:rsidRDefault="00D81F69">
      <w:pPr>
        <w:pStyle w:val="Corpodetexto"/>
        <w:spacing w:before="9"/>
        <w:ind w:left="0"/>
        <w:jc w:val="left"/>
        <w:rPr>
          <w:sz w:val="16"/>
        </w:rPr>
      </w:pPr>
    </w:p>
    <w:p w:rsidR="00D81F69" w:rsidRDefault="00330118">
      <w:pPr>
        <w:pStyle w:val="Corpodetexto"/>
        <w:spacing w:line="312" w:lineRule="auto"/>
        <w:ind w:right="99"/>
      </w:pPr>
      <w:r>
        <w:t xml:space="preserve">A </w:t>
      </w:r>
      <w:r>
        <w:rPr>
          <w:spacing w:val="7"/>
        </w:rPr>
        <w:t xml:space="preserve">rede </w:t>
      </w:r>
      <w:r>
        <w:rPr>
          <w:spacing w:val="8"/>
        </w:rPr>
        <w:t xml:space="preserve">congrega </w:t>
      </w:r>
      <w:r>
        <w:rPr>
          <w:spacing w:val="10"/>
        </w:rPr>
        <w:t xml:space="preserve">pesquisadores </w:t>
      </w:r>
      <w:r>
        <w:t xml:space="preserve">e </w:t>
      </w:r>
      <w:r>
        <w:rPr>
          <w:spacing w:val="8"/>
        </w:rPr>
        <w:t xml:space="preserve">técnicos </w:t>
      </w:r>
      <w:r>
        <w:rPr>
          <w:spacing w:val="5"/>
        </w:rPr>
        <w:t xml:space="preserve">de </w:t>
      </w:r>
      <w:r>
        <w:rPr>
          <w:spacing w:val="10"/>
        </w:rPr>
        <w:t xml:space="preserve">várias </w:t>
      </w:r>
      <w:r>
        <w:t xml:space="preserve">instituições, cada qual responsável por uma linha de trabalho: o </w:t>
      </w:r>
      <w:r>
        <w:rPr>
          <w:spacing w:val="7"/>
        </w:rPr>
        <w:t xml:space="preserve">Centro </w:t>
      </w:r>
      <w:r>
        <w:rPr>
          <w:spacing w:val="5"/>
        </w:rPr>
        <w:t xml:space="preserve">de </w:t>
      </w:r>
      <w:r>
        <w:rPr>
          <w:spacing w:val="8"/>
        </w:rPr>
        <w:t xml:space="preserve">Tecnologia </w:t>
      </w:r>
      <w:r>
        <w:rPr>
          <w:spacing w:val="7"/>
        </w:rPr>
        <w:t xml:space="preserve">Mineral (CETEM) ficou </w:t>
      </w:r>
      <w:r>
        <w:rPr>
          <w:spacing w:val="10"/>
        </w:rPr>
        <w:t xml:space="preserve">como </w:t>
      </w:r>
      <w:r>
        <w:rPr>
          <w:spacing w:val="13"/>
        </w:rPr>
        <w:t xml:space="preserve">coordenador </w:t>
      </w:r>
      <w:r>
        <w:t xml:space="preserve">e </w:t>
      </w:r>
      <w:r>
        <w:rPr>
          <w:spacing w:val="13"/>
        </w:rPr>
        <w:t xml:space="preserve">responsável </w:t>
      </w:r>
      <w:r>
        <w:rPr>
          <w:spacing w:val="11"/>
        </w:rPr>
        <w:t xml:space="preserve">pela parte </w:t>
      </w:r>
      <w:r>
        <w:rPr>
          <w:spacing w:val="7"/>
        </w:rPr>
        <w:t xml:space="preserve">de </w:t>
      </w:r>
      <w:r>
        <w:rPr>
          <w:spacing w:val="11"/>
        </w:rPr>
        <w:t xml:space="preserve">lavra </w:t>
      </w:r>
      <w:r>
        <w:t xml:space="preserve">e </w:t>
      </w:r>
      <w:r>
        <w:rPr>
          <w:spacing w:val="10"/>
        </w:rPr>
        <w:t xml:space="preserve">beneficiamento </w:t>
      </w:r>
      <w:r>
        <w:rPr>
          <w:spacing w:val="6"/>
        </w:rPr>
        <w:t xml:space="preserve">das </w:t>
      </w:r>
      <w:r>
        <w:rPr>
          <w:spacing w:val="8"/>
        </w:rPr>
        <w:t xml:space="preserve">rochas </w:t>
      </w:r>
      <w:r>
        <w:t xml:space="preserve">e </w:t>
      </w:r>
      <w:r>
        <w:rPr>
          <w:spacing w:val="8"/>
        </w:rPr>
        <w:t xml:space="preserve">tecnologia ambiental; </w:t>
      </w:r>
      <w:r>
        <w:t>o Departamento de Geologia da Universidade Fe</w:t>
      </w:r>
      <w:r>
        <w:t xml:space="preserve">deral do </w:t>
      </w:r>
      <w:r>
        <w:rPr>
          <w:spacing w:val="1"/>
        </w:rPr>
        <w:t xml:space="preserve">Rio  </w:t>
      </w:r>
      <w:r>
        <w:rPr>
          <w:spacing w:val="2"/>
        </w:rPr>
        <w:t xml:space="preserve">de </w:t>
      </w:r>
      <w:r>
        <w:rPr>
          <w:spacing w:val="5"/>
        </w:rPr>
        <w:t xml:space="preserve">Janeiro (UFRJ) </w:t>
      </w:r>
      <w:r>
        <w:rPr>
          <w:spacing w:val="3"/>
        </w:rPr>
        <w:t xml:space="preserve">ficou </w:t>
      </w:r>
      <w:r>
        <w:rPr>
          <w:spacing w:val="5"/>
        </w:rPr>
        <w:t xml:space="preserve">encarregado </w:t>
      </w:r>
      <w:r>
        <w:rPr>
          <w:spacing w:val="3"/>
        </w:rPr>
        <w:t xml:space="preserve">pelo </w:t>
      </w:r>
      <w:r>
        <w:rPr>
          <w:spacing w:val="5"/>
        </w:rPr>
        <w:t xml:space="preserve">levantamento </w:t>
      </w:r>
      <w:r>
        <w:t xml:space="preserve">geológico da área de produção; o DRM-RJ, pela orientação </w:t>
      </w:r>
      <w:r>
        <w:rPr>
          <w:spacing w:val="5"/>
        </w:rPr>
        <w:t xml:space="preserve">para </w:t>
      </w:r>
      <w:r>
        <w:rPr>
          <w:spacing w:val="6"/>
        </w:rPr>
        <w:t xml:space="preserve">legalização </w:t>
      </w:r>
      <w:r>
        <w:rPr>
          <w:spacing w:val="3"/>
        </w:rPr>
        <w:t xml:space="preserve">de </w:t>
      </w:r>
      <w:r>
        <w:rPr>
          <w:spacing w:val="6"/>
        </w:rPr>
        <w:t xml:space="preserve">pedreiras </w:t>
      </w:r>
      <w:r>
        <w:t xml:space="preserve">e </w:t>
      </w:r>
      <w:r>
        <w:rPr>
          <w:spacing w:val="6"/>
        </w:rPr>
        <w:t xml:space="preserve">serrarias; </w:t>
      </w:r>
      <w:r>
        <w:t xml:space="preserve">e o </w:t>
      </w:r>
      <w:r>
        <w:rPr>
          <w:spacing w:val="7"/>
        </w:rPr>
        <w:t xml:space="preserve">Instituto </w:t>
      </w:r>
      <w:r>
        <w:t xml:space="preserve">Nacional de Tecnologia (INT), pela caracterização tecnológica e </w:t>
      </w:r>
      <w:r>
        <w:rPr>
          <w:spacing w:val="10"/>
        </w:rPr>
        <w:t xml:space="preserve">identificação </w:t>
      </w:r>
      <w:r>
        <w:rPr>
          <w:spacing w:val="5"/>
        </w:rPr>
        <w:t xml:space="preserve">de </w:t>
      </w:r>
      <w:r>
        <w:rPr>
          <w:spacing w:val="10"/>
        </w:rPr>
        <w:t xml:space="preserve">alternativas </w:t>
      </w:r>
      <w:r>
        <w:rPr>
          <w:spacing w:val="5"/>
        </w:rPr>
        <w:t xml:space="preserve">de </w:t>
      </w:r>
      <w:r>
        <w:rPr>
          <w:spacing w:val="6"/>
        </w:rPr>
        <w:t xml:space="preserve">uso </w:t>
      </w:r>
      <w:r>
        <w:rPr>
          <w:spacing w:val="5"/>
        </w:rPr>
        <w:t xml:space="preserve">de </w:t>
      </w:r>
      <w:r>
        <w:rPr>
          <w:spacing w:val="8"/>
        </w:rPr>
        <w:t xml:space="preserve">produtos </w:t>
      </w:r>
      <w:r>
        <w:t xml:space="preserve">e </w:t>
      </w:r>
      <w:r>
        <w:rPr>
          <w:spacing w:val="10"/>
        </w:rPr>
        <w:t xml:space="preserve">subprodutos </w:t>
      </w:r>
      <w:r>
        <w:rPr>
          <w:spacing w:val="6"/>
        </w:rPr>
        <w:t xml:space="preserve">das </w:t>
      </w:r>
      <w:r>
        <w:rPr>
          <w:spacing w:val="8"/>
        </w:rPr>
        <w:t xml:space="preserve">rochas (PEITER </w:t>
      </w:r>
      <w:r>
        <w:rPr>
          <w:spacing w:val="5"/>
        </w:rPr>
        <w:t xml:space="preserve">et </w:t>
      </w:r>
      <w:r>
        <w:rPr>
          <w:spacing w:val="7"/>
        </w:rPr>
        <w:t>al.,</w:t>
      </w:r>
      <w:r>
        <w:rPr>
          <w:spacing w:val="20"/>
        </w:rPr>
        <w:t xml:space="preserve"> </w:t>
      </w:r>
      <w:r>
        <w:rPr>
          <w:spacing w:val="10"/>
        </w:rPr>
        <w:t>2004).</w:t>
      </w:r>
    </w:p>
    <w:p w:rsidR="00D81F69" w:rsidRDefault="00330118">
      <w:pPr>
        <w:pStyle w:val="Corpodetexto"/>
        <w:spacing w:before="141" w:line="312" w:lineRule="auto"/>
        <w:jc w:val="left"/>
      </w:pPr>
      <w:r>
        <w:t>Em 2002, o município foi caracterizado como um Arranjo Produtivo Local, com a participação relativa da atividade, no total de estabelecimentos industriais no m</w:t>
      </w:r>
      <w:r>
        <w:t>unicípio, 40,3 vezes superior à média nacional (REGAZZI et al., 2004). A produção anual de rochas ornamentais em Pádua foi estimada em 3,6 milhões m²/ano (CAMPOS et. al., 1999 apud MEDINA et al., 2003).</w:t>
      </w:r>
    </w:p>
    <w:p w:rsidR="00D81F69" w:rsidRDefault="00330118">
      <w:pPr>
        <w:pStyle w:val="Corpodetexto"/>
        <w:spacing w:before="136" w:line="312" w:lineRule="auto"/>
        <w:ind w:right="116"/>
      </w:pPr>
      <w:r>
        <w:t>Em 2003, havia mais de 200 pedreiras e mais de 50 ser</w:t>
      </w:r>
      <w:r>
        <w:t>rarias em operação (a maioria em situação irregular), distribuídas de forma contínua ao longo dos municípios de Santo Antônio de Pádua, Miracema e Itaperuna, as quais seguiam um plano pouco ordenado, carente de tecnologia adequada e, em sua quase totalidad</w:t>
      </w:r>
      <w:r>
        <w:t>e, sem planejamento ambiental (DAYAN, 2002 apud MEDINA et al., 2003).</w:t>
      </w:r>
    </w:p>
    <w:p w:rsidR="00D81F69" w:rsidRDefault="00330118">
      <w:pPr>
        <w:pStyle w:val="Corpodetexto"/>
        <w:spacing w:before="137" w:line="312" w:lineRule="auto"/>
        <w:ind w:right="98"/>
      </w:pPr>
      <w:r>
        <w:t>O beneficiamento das rochas ornamentais é feito em pequenas serrarias; já a comercialização dos produtos ocorre diretamente a partir do produtor, normalmente nas serrarias. Até 2004, ape</w:t>
      </w:r>
      <w:r>
        <w:t>nas uma delas estava equipada para obter grande escala de produtos com melhor apuro dimensional e esquadrejamento adequado (PEITER et al., 2004). As perdas nas pedreiras e serrarias da região de Santo Antônio de Pádua eram estimadas em torno de 80%, gerand</w:t>
      </w:r>
      <w:r>
        <w:t>o problemas ambientais, como acúmulo de rejeitos próximo à lavra e às serrarias, poluição sonora e contaminação do Rio Pomba (principal rio da cidade) e seus afluentes com os resíduos sólidos provenientes do corte das serras (RETECMIN, 2010).</w:t>
      </w:r>
    </w:p>
    <w:p w:rsidR="00D81F69" w:rsidRDefault="00330118">
      <w:pPr>
        <w:pStyle w:val="Corpodetexto"/>
        <w:spacing w:before="141" w:line="312" w:lineRule="auto"/>
        <w:ind w:right="90"/>
      </w:pPr>
      <w:r>
        <w:t>Pesquisadores</w:t>
      </w:r>
      <w:r>
        <w:t xml:space="preserve"> do Departamento de Geologia, do Instituto de </w:t>
      </w:r>
      <w:r>
        <w:rPr>
          <w:spacing w:val="3"/>
        </w:rPr>
        <w:t xml:space="preserve">Geociências </w:t>
      </w:r>
      <w:r>
        <w:rPr>
          <w:spacing w:val="1"/>
        </w:rPr>
        <w:t xml:space="preserve">da </w:t>
      </w:r>
      <w:r>
        <w:rPr>
          <w:spacing w:val="3"/>
        </w:rPr>
        <w:t xml:space="preserve">UFRJ, realizaram </w:t>
      </w:r>
      <w:r>
        <w:rPr>
          <w:spacing w:val="1"/>
        </w:rPr>
        <w:t xml:space="preserve">um </w:t>
      </w:r>
      <w:r>
        <w:rPr>
          <w:spacing w:val="3"/>
        </w:rPr>
        <w:t xml:space="preserve">estudo </w:t>
      </w:r>
      <w:r>
        <w:rPr>
          <w:spacing w:val="1"/>
        </w:rPr>
        <w:t xml:space="preserve">na </w:t>
      </w:r>
      <w:r>
        <w:rPr>
          <w:spacing w:val="5"/>
        </w:rPr>
        <w:t xml:space="preserve">pedreira </w:t>
      </w:r>
      <w:r>
        <w:t xml:space="preserve">“Raio de Sol”, localizada na estrada Pádua-Paraoquena, na </w:t>
      </w:r>
      <w:r>
        <w:rPr>
          <w:spacing w:val="3"/>
        </w:rPr>
        <w:t xml:space="preserve">Fazenda </w:t>
      </w:r>
      <w:r>
        <w:rPr>
          <w:spacing w:val="1"/>
        </w:rPr>
        <w:t xml:space="preserve">de </w:t>
      </w:r>
      <w:r>
        <w:rPr>
          <w:spacing w:val="3"/>
        </w:rPr>
        <w:t xml:space="preserve">Cachoeira Alegre, </w:t>
      </w:r>
      <w:r>
        <w:t xml:space="preserve">à </w:t>
      </w:r>
      <w:r>
        <w:rPr>
          <w:spacing w:val="3"/>
        </w:rPr>
        <w:t xml:space="preserve">esquerda </w:t>
      </w:r>
      <w:r>
        <w:rPr>
          <w:spacing w:val="1"/>
        </w:rPr>
        <w:t xml:space="preserve">do </w:t>
      </w:r>
      <w:r>
        <w:rPr>
          <w:spacing w:val="2"/>
        </w:rPr>
        <w:t xml:space="preserve">rio </w:t>
      </w:r>
      <w:r>
        <w:rPr>
          <w:spacing w:val="5"/>
        </w:rPr>
        <w:t xml:space="preserve">Pomba. </w:t>
      </w:r>
      <w:r>
        <w:t>Foram apontados vários impactos no local, co</w:t>
      </w:r>
      <w:r>
        <w:t xml:space="preserve">mo: alteração </w:t>
      </w:r>
      <w:r>
        <w:rPr>
          <w:spacing w:val="2"/>
        </w:rPr>
        <w:t xml:space="preserve">dos </w:t>
      </w:r>
      <w:r>
        <w:rPr>
          <w:spacing w:val="3"/>
        </w:rPr>
        <w:t xml:space="preserve">recursos hídricos, </w:t>
      </w:r>
      <w:r>
        <w:rPr>
          <w:spacing w:val="2"/>
        </w:rPr>
        <w:t xml:space="preserve">com </w:t>
      </w:r>
      <w:r>
        <w:rPr>
          <w:spacing w:val="3"/>
        </w:rPr>
        <w:t xml:space="preserve">assoreamento </w:t>
      </w:r>
      <w:r>
        <w:rPr>
          <w:spacing w:val="1"/>
        </w:rPr>
        <w:t xml:space="preserve">do </w:t>
      </w:r>
      <w:r>
        <w:rPr>
          <w:spacing w:val="2"/>
        </w:rPr>
        <w:t xml:space="preserve">rio </w:t>
      </w:r>
      <w:r>
        <w:rPr>
          <w:spacing w:val="3"/>
        </w:rPr>
        <w:t xml:space="preserve">Pomba </w:t>
      </w:r>
      <w:r>
        <w:t xml:space="preserve">e turbidez de suas águas; devastação da mata ciliar; poluição </w:t>
      </w:r>
      <w:r>
        <w:rPr>
          <w:spacing w:val="2"/>
        </w:rPr>
        <w:t xml:space="preserve">do ar </w:t>
      </w:r>
      <w:r>
        <w:t xml:space="preserve">e </w:t>
      </w:r>
      <w:r>
        <w:rPr>
          <w:spacing w:val="3"/>
        </w:rPr>
        <w:t xml:space="preserve">das </w:t>
      </w:r>
      <w:r>
        <w:rPr>
          <w:spacing w:val="5"/>
        </w:rPr>
        <w:t xml:space="preserve">águas, </w:t>
      </w:r>
      <w:r>
        <w:rPr>
          <w:spacing w:val="3"/>
        </w:rPr>
        <w:t xml:space="preserve">não </w:t>
      </w:r>
      <w:r>
        <w:rPr>
          <w:spacing w:val="2"/>
        </w:rPr>
        <w:t xml:space="preserve">só do </w:t>
      </w:r>
      <w:r>
        <w:rPr>
          <w:spacing w:val="3"/>
        </w:rPr>
        <w:t xml:space="preserve">rio Pomba como </w:t>
      </w:r>
      <w:r>
        <w:rPr>
          <w:spacing w:val="2"/>
        </w:rPr>
        <w:t xml:space="preserve">de </w:t>
      </w:r>
      <w:r>
        <w:rPr>
          <w:spacing w:val="5"/>
        </w:rPr>
        <w:t xml:space="preserve">seus </w:t>
      </w:r>
      <w:r>
        <w:rPr>
          <w:spacing w:val="8"/>
        </w:rPr>
        <w:t xml:space="preserve">afluentes, </w:t>
      </w:r>
      <w:r>
        <w:rPr>
          <w:spacing w:val="5"/>
        </w:rPr>
        <w:t xml:space="preserve">por </w:t>
      </w:r>
      <w:r>
        <w:rPr>
          <w:spacing w:val="7"/>
        </w:rPr>
        <w:t xml:space="preserve">finos </w:t>
      </w:r>
      <w:r>
        <w:rPr>
          <w:spacing w:val="5"/>
        </w:rPr>
        <w:t xml:space="preserve">de </w:t>
      </w:r>
      <w:r>
        <w:rPr>
          <w:spacing w:val="7"/>
        </w:rPr>
        <w:t xml:space="preserve">serraria, dentre outros </w:t>
      </w:r>
      <w:r>
        <w:rPr>
          <w:spacing w:val="10"/>
        </w:rPr>
        <w:t xml:space="preserve">(SILVA; </w:t>
      </w:r>
      <w:r>
        <w:rPr>
          <w:spacing w:val="8"/>
        </w:rPr>
        <w:t>MARGUERON,</w:t>
      </w:r>
      <w:r>
        <w:rPr>
          <w:spacing w:val="46"/>
        </w:rPr>
        <w:t xml:space="preserve"> </w:t>
      </w:r>
      <w:r>
        <w:rPr>
          <w:spacing w:val="10"/>
        </w:rPr>
        <w:t>2002).</w:t>
      </w:r>
    </w:p>
    <w:p w:rsidR="00D81F69" w:rsidRDefault="00330118">
      <w:pPr>
        <w:pStyle w:val="Corpodetexto"/>
        <w:spacing w:before="76" w:line="270" w:lineRule="atLeast"/>
        <w:ind w:right="116"/>
      </w:pPr>
      <w:r>
        <w:t>A</w:t>
      </w:r>
      <w:r>
        <w:t xml:space="preserve"> RETECMIN foi bem sucedida ao estabelecer um processo simples e barato para captar, limpar e reciclar a água das serrarias, um dos principais problemas legais/ ambientais dos produtores, devido, dentre outros fatores, às longas estiagens na região, e aos c</w:t>
      </w:r>
      <w:r>
        <w:t>onflitos entre mineradores e agricultores por</w:t>
      </w:r>
    </w:p>
    <w:p w:rsidR="00D81F69" w:rsidRDefault="00330118">
      <w:pPr>
        <w:pStyle w:val="Corpodetexto"/>
        <w:spacing w:before="81" w:line="312" w:lineRule="auto"/>
        <w:ind w:right="193"/>
      </w:pPr>
      <w:r>
        <w:br w:type="column"/>
      </w:r>
      <w:r>
        <w:lastRenderedPageBreak/>
        <w:t xml:space="preserve">água limpa. Após a inauguração das duas primeiras unidades, em </w:t>
      </w:r>
      <w:r>
        <w:rPr>
          <w:spacing w:val="1"/>
        </w:rPr>
        <w:t xml:space="preserve">abril </w:t>
      </w:r>
      <w:r>
        <w:t xml:space="preserve">de </w:t>
      </w:r>
      <w:r>
        <w:rPr>
          <w:spacing w:val="1"/>
        </w:rPr>
        <w:t xml:space="preserve">2001, </w:t>
      </w:r>
      <w:r>
        <w:t xml:space="preserve">com o </w:t>
      </w:r>
      <w:r>
        <w:rPr>
          <w:spacing w:val="1"/>
        </w:rPr>
        <w:t xml:space="preserve">apoio </w:t>
      </w:r>
      <w:r>
        <w:t xml:space="preserve">da </w:t>
      </w:r>
      <w:r>
        <w:rPr>
          <w:spacing w:val="1"/>
        </w:rPr>
        <w:t xml:space="preserve">rede, foram </w:t>
      </w:r>
      <w:r>
        <w:rPr>
          <w:spacing w:val="2"/>
        </w:rPr>
        <w:t xml:space="preserve">construídas, </w:t>
      </w:r>
      <w:r>
        <w:t>pelas próprias serrarias, outras 45 unidades de tratamento de lama, com a supervisão de téc</w:t>
      </w:r>
      <w:r>
        <w:t>nicos do CETEM (PEITER et al., 2004). Com isto, houve redução da contaminação do rio Pomba</w:t>
      </w:r>
      <w:r>
        <w:rPr>
          <w:spacing w:val="15"/>
        </w:rPr>
        <w:t xml:space="preserve"> </w:t>
      </w:r>
      <w:r>
        <w:t>e</w:t>
      </w:r>
      <w:r>
        <w:rPr>
          <w:spacing w:val="15"/>
        </w:rPr>
        <w:t xml:space="preserve"> </w:t>
      </w:r>
      <w:r>
        <w:t>seus</w:t>
      </w:r>
      <w:r>
        <w:rPr>
          <w:spacing w:val="15"/>
        </w:rPr>
        <w:t xml:space="preserve"> </w:t>
      </w:r>
      <w:r>
        <w:t>afluentes</w:t>
      </w:r>
      <w:r>
        <w:rPr>
          <w:spacing w:val="15"/>
        </w:rPr>
        <w:t xml:space="preserve"> </w:t>
      </w:r>
      <w:r>
        <w:t>(CARVALHO</w:t>
      </w:r>
      <w:r>
        <w:rPr>
          <w:spacing w:val="15"/>
        </w:rPr>
        <w:t xml:space="preserve"> </w:t>
      </w:r>
      <w:r>
        <w:t>et</w:t>
      </w:r>
      <w:r>
        <w:rPr>
          <w:spacing w:val="15"/>
        </w:rPr>
        <w:t xml:space="preserve"> </w:t>
      </w:r>
      <w:r>
        <w:t>al.,</w:t>
      </w:r>
      <w:r>
        <w:rPr>
          <w:spacing w:val="15"/>
        </w:rPr>
        <w:t xml:space="preserve"> </w:t>
      </w:r>
      <w:r>
        <w:t>2002).</w:t>
      </w:r>
    </w:p>
    <w:p w:rsidR="00D81F69" w:rsidRDefault="00330118">
      <w:pPr>
        <w:pStyle w:val="Corpodetexto"/>
        <w:spacing w:before="135" w:line="312" w:lineRule="auto"/>
        <w:ind w:right="196"/>
      </w:pPr>
      <w:r>
        <w:t xml:space="preserve">As </w:t>
      </w:r>
      <w:r>
        <w:rPr>
          <w:spacing w:val="1"/>
        </w:rPr>
        <w:t xml:space="preserve">serrarias </w:t>
      </w:r>
      <w:r>
        <w:t xml:space="preserve">que têm </w:t>
      </w:r>
      <w:r>
        <w:rPr>
          <w:spacing w:val="1"/>
        </w:rPr>
        <w:t xml:space="preserve">unidades </w:t>
      </w:r>
      <w:r>
        <w:t xml:space="preserve">de </w:t>
      </w:r>
      <w:r>
        <w:rPr>
          <w:spacing w:val="1"/>
        </w:rPr>
        <w:t xml:space="preserve">tratamento </w:t>
      </w:r>
      <w:r>
        <w:t xml:space="preserve">de </w:t>
      </w:r>
      <w:r>
        <w:rPr>
          <w:spacing w:val="2"/>
        </w:rPr>
        <w:t xml:space="preserve">efluentes </w:t>
      </w:r>
      <w:r>
        <w:t xml:space="preserve">apresentam um total de 138 unidades operacionais de serras, gerando cerca de 720 t/mês de produto fino. Cerca de 95% da água presente nos efluentes das serrarias começaram a ser recicladas, enquanto o resíduo sólido passou a ser removido </w:t>
      </w:r>
      <w:r>
        <w:rPr>
          <w:spacing w:val="3"/>
        </w:rPr>
        <w:t xml:space="preserve">dos </w:t>
      </w:r>
      <w:r>
        <w:rPr>
          <w:spacing w:val="5"/>
        </w:rPr>
        <w:t xml:space="preserve">tanques </w:t>
      </w:r>
      <w:r>
        <w:rPr>
          <w:spacing w:val="2"/>
        </w:rPr>
        <w:t xml:space="preserve">de </w:t>
      </w:r>
      <w:r>
        <w:rPr>
          <w:spacing w:val="5"/>
        </w:rPr>
        <w:t>dec</w:t>
      </w:r>
      <w:r>
        <w:rPr>
          <w:spacing w:val="5"/>
        </w:rPr>
        <w:t xml:space="preserve">antação, através </w:t>
      </w:r>
      <w:r>
        <w:rPr>
          <w:spacing w:val="2"/>
        </w:rPr>
        <w:t xml:space="preserve">do </w:t>
      </w:r>
      <w:r>
        <w:rPr>
          <w:spacing w:val="3"/>
        </w:rPr>
        <w:t xml:space="preserve">uso </w:t>
      </w:r>
      <w:r>
        <w:rPr>
          <w:spacing w:val="2"/>
        </w:rPr>
        <w:t xml:space="preserve">de </w:t>
      </w:r>
      <w:r>
        <w:rPr>
          <w:spacing w:val="5"/>
        </w:rPr>
        <w:t xml:space="preserve">bombas </w:t>
      </w:r>
      <w:r>
        <w:t xml:space="preserve">autoescovantes, até uma área próxima onde é realizada a sua pré-secagem. No entanto, o resíduo sólido, após um período de secagem de aproximadamente 15 dias, apresenta cerca  </w:t>
      </w:r>
      <w:r>
        <w:rPr>
          <w:spacing w:val="1"/>
        </w:rPr>
        <w:t xml:space="preserve">de </w:t>
      </w:r>
      <w:r>
        <w:rPr>
          <w:spacing w:val="2"/>
        </w:rPr>
        <w:t xml:space="preserve">40% </w:t>
      </w:r>
      <w:r>
        <w:rPr>
          <w:spacing w:val="1"/>
        </w:rPr>
        <w:t xml:space="preserve">de </w:t>
      </w:r>
      <w:r>
        <w:rPr>
          <w:spacing w:val="3"/>
        </w:rPr>
        <w:t xml:space="preserve">umidade. </w:t>
      </w:r>
      <w:r>
        <w:t xml:space="preserve">A </w:t>
      </w:r>
      <w:r>
        <w:rPr>
          <w:spacing w:val="3"/>
        </w:rPr>
        <w:t xml:space="preserve">falta </w:t>
      </w:r>
      <w:r>
        <w:rPr>
          <w:spacing w:val="1"/>
        </w:rPr>
        <w:t xml:space="preserve">de </w:t>
      </w:r>
      <w:r>
        <w:rPr>
          <w:spacing w:val="3"/>
        </w:rPr>
        <w:t xml:space="preserve">locais adequados </w:t>
      </w:r>
      <w:r>
        <w:rPr>
          <w:spacing w:val="2"/>
        </w:rPr>
        <w:t xml:space="preserve">para </w:t>
      </w:r>
      <w:r>
        <w:t xml:space="preserve">o </w:t>
      </w:r>
      <w:r>
        <w:rPr>
          <w:spacing w:val="3"/>
        </w:rPr>
        <w:t xml:space="preserve">depósito desse resíduo passou </w:t>
      </w:r>
      <w:r>
        <w:t xml:space="preserve">a </w:t>
      </w:r>
      <w:r>
        <w:rPr>
          <w:spacing w:val="2"/>
        </w:rPr>
        <w:t xml:space="preserve">ser </w:t>
      </w:r>
      <w:r>
        <w:rPr>
          <w:spacing w:val="1"/>
        </w:rPr>
        <w:t xml:space="preserve">um </w:t>
      </w:r>
      <w:r>
        <w:rPr>
          <w:spacing w:val="3"/>
        </w:rPr>
        <w:t xml:space="preserve">problema </w:t>
      </w:r>
      <w:r>
        <w:t xml:space="preserve">a </w:t>
      </w:r>
      <w:r>
        <w:rPr>
          <w:spacing w:val="5"/>
        </w:rPr>
        <w:t xml:space="preserve">ser </w:t>
      </w:r>
      <w:r>
        <w:rPr>
          <w:spacing w:val="3"/>
        </w:rPr>
        <w:t>solucionado</w:t>
      </w:r>
      <w:r>
        <w:rPr>
          <w:spacing w:val="30"/>
        </w:rPr>
        <w:t xml:space="preserve"> </w:t>
      </w:r>
      <w:r>
        <w:rPr>
          <w:spacing w:val="3"/>
        </w:rPr>
        <w:t>(CARVALHO</w:t>
      </w:r>
      <w:r>
        <w:rPr>
          <w:spacing w:val="30"/>
        </w:rPr>
        <w:t xml:space="preserve"> </w:t>
      </w:r>
      <w:r>
        <w:rPr>
          <w:spacing w:val="1"/>
        </w:rPr>
        <w:t>et</w:t>
      </w:r>
      <w:r>
        <w:rPr>
          <w:spacing w:val="30"/>
        </w:rPr>
        <w:t xml:space="preserve"> </w:t>
      </w:r>
      <w:r>
        <w:rPr>
          <w:spacing w:val="2"/>
        </w:rPr>
        <w:t>al.,</w:t>
      </w:r>
      <w:r>
        <w:rPr>
          <w:spacing w:val="30"/>
        </w:rPr>
        <w:t xml:space="preserve"> </w:t>
      </w:r>
      <w:r>
        <w:rPr>
          <w:spacing w:val="5"/>
        </w:rPr>
        <w:t>2002).</w:t>
      </w:r>
    </w:p>
    <w:p w:rsidR="00D81F69" w:rsidRDefault="00330118">
      <w:pPr>
        <w:pStyle w:val="Corpodetexto"/>
        <w:spacing w:before="141" w:line="312" w:lineRule="auto"/>
        <w:ind w:right="188"/>
      </w:pPr>
      <w:r>
        <w:t>Para resolver a questão, em 2008, o CETEM e o INT desenvolveram uma argamassa ambiental a partir da utilização dos resíduos descartados pelas serrarias de roc</w:t>
      </w:r>
      <w:r>
        <w:t xml:space="preserve">has ornamentais nos riachos e rios do município. O projeto é uma alternativa ecológica e econômica às 720 t/mês de resíduos finos lançados pelas serrarias. A nova técnica, além de reciclar a água poluída, gera um resíduo sólido que, após secagem, pode ser </w:t>
      </w:r>
      <w:r>
        <w:t>utilizado na formulação da argamassa. Segundo o CETEM, a argamassa ambiental permite economia de outras substâncias minerais, como a cal ou o calcário, que serão substituídos pelo pó de rocha na formulação da argamassa (BRASIL MINERAL ONLINE, 2008). A tecn</w:t>
      </w:r>
      <w:r>
        <w:t>ologia já foi transferida para a Argamil (ACV, 2009), empresa especializada na produção de argamassa para construção civil, que investiu R$ 2,9 milhões na instalação da fábrica na cidade, inaugurada em 2008 (JORNAL DO COMMERCIO, 2008).</w:t>
      </w:r>
    </w:p>
    <w:p w:rsidR="00D81F69" w:rsidRDefault="00330118">
      <w:pPr>
        <w:pStyle w:val="Corpodetexto"/>
        <w:spacing w:before="146" w:line="312" w:lineRule="auto"/>
        <w:ind w:right="206"/>
      </w:pPr>
      <w:r>
        <w:rPr>
          <w:spacing w:val="6"/>
        </w:rPr>
        <w:t xml:space="preserve">Após </w:t>
      </w:r>
      <w:r>
        <w:t xml:space="preserve">a </w:t>
      </w:r>
      <w:r>
        <w:rPr>
          <w:spacing w:val="8"/>
        </w:rPr>
        <w:t>transferência</w:t>
      </w:r>
      <w:r>
        <w:rPr>
          <w:spacing w:val="8"/>
        </w:rPr>
        <w:t xml:space="preserve"> </w:t>
      </w:r>
      <w:r>
        <w:rPr>
          <w:spacing w:val="5"/>
        </w:rPr>
        <w:t xml:space="preserve">da </w:t>
      </w:r>
      <w:r>
        <w:rPr>
          <w:spacing w:val="8"/>
        </w:rPr>
        <w:t xml:space="preserve">tecnologia </w:t>
      </w:r>
      <w:r>
        <w:rPr>
          <w:spacing w:val="6"/>
        </w:rPr>
        <w:t xml:space="preserve">para </w:t>
      </w:r>
      <w:r>
        <w:rPr>
          <w:spacing w:val="7"/>
        </w:rPr>
        <w:t xml:space="preserve">produção </w:t>
      </w:r>
      <w:r>
        <w:rPr>
          <w:spacing w:val="10"/>
        </w:rPr>
        <w:t xml:space="preserve">de </w:t>
      </w:r>
      <w:r>
        <w:t xml:space="preserve">argamassa utilizando essa matéria prima, a partir de 2008, foi </w:t>
      </w:r>
      <w:r>
        <w:rPr>
          <w:spacing w:val="3"/>
        </w:rPr>
        <w:t xml:space="preserve">desenvolvida também </w:t>
      </w:r>
      <w:r>
        <w:rPr>
          <w:spacing w:val="2"/>
        </w:rPr>
        <w:t xml:space="preserve">uma </w:t>
      </w:r>
      <w:r>
        <w:rPr>
          <w:spacing w:val="3"/>
        </w:rPr>
        <w:t xml:space="preserve">técnica </w:t>
      </w:r>
      <w:r>
        <w:rPr>
          <w:spacing w:val="2"/>
        </w:rPr>
        <w:t xml:space="preserve">para </w:t>
      </w:r>
      <w:r>
        <w:t xml:space="preserve">a </w:t>
      </w:r>
      <w:r>
        <w:rPr>
          <w:spacing w:val="3"/>
        </w:rPr>
        <w:t xml:space="preserve">composição </w:t>
      </w:r>
      <w:r>
        <w:rPr>
          <w:spacing w:val="5"/>
        </w:rPr>
        <w:t xml:space="preserve">de </w:t>
      </w:r>
      <w:r>
        <w:rPr>
          <w:spacing w:val="3"/>
        </w:rPr>
        <w:t xml:space="preserve">pedras artificiais, </w:t>
      </w:r>
      <w:r>
        <w:rPr>
          <w:spacing w:val="2"/>
        </w:rPr>
        <w:t xml:space="preserve">mais </w:t>
      </w:r>
      <w:r>
        <w:rPr>
          <w:spacing w:val="3"/>
        </w:rPr>
        <w:t xml:space="preserve">resistentes </w:t>
      </w:r>
      <w:r>
        <w:t xml:space="preserve">e </w:t>
      </w:r>
      <w:r>
        <w:rPr>
          <w:spacing w:val="3"/>
        </w:rPr>
        <w:t xml:space="preserve">versáteis </w:t>
      </w:r>
      <w:r>
        <w:rPr>
          <w:spacing w:val="1"/>
        </w:rPr>
        <w:t xml:space="preserve">do </w:t>
      </w:r>
      <w:r>
        <w:rPr>
          <w:spacing w:val="2"/>
        </w:rPr>
        <w:t xml:space="preserve">que </w:t>
      </w:r>
      <w:r>
        <w:rPr>
          <w:spacing w:val="5"/>
        </w:rPr>
        <w:t xml:space="preserve">as </w:t>
      </w:r>
      <w:r>
        <w:t>naturais. Com esse projeto foi reduzido o descart</w:t>
      </w:r>
      <w:r>
        <w:t>e dos restos de pedras no solo. A solução também contribuiu para redução do impacto ambiental e para o desenvolvimento econômico  da região (ROCHAZ,</w:t>
      </w:r>
      <w:r>
        <w:rPr>
          <w:spacing w:val="47"/>
        </w:rPr>
        <w:t xml:space="preserve"> </w:t>
      </w:r>
      <w:r>
        <w:rPr>
          <w:spacing w:val="1"/>
        </w:rPr>
        <w:t>2010).</w:t>
      </w:r>
    </w:p>
    <w:p w:rsidR="00D81F69" w:rsidRDefault="00330118">
      <w:pPr>
        <w:pStyle w:val="Corpodetexto"/>
        <w:spacing w:before="75" w:line="270" w:lineRule="atLeast"/>
        <w:ind w:right="205"/>
      </w:pPr>
      <w:r>
        <w:t xml:space="preserve">Outra iniciativa para dinamizar o setor de rochas ornamentais de Pádua foi a criação da Plataforma Tecnológica de Rochas </w:t>
      </w:r>
      <w:r>
        <w:rPr>
          <w:spacing w:val="5"/>
        </w:rPr>
        <w:t xml:space="preserve">Ornamentais </w:t>
      </w:r>
      <w:r>
        <w:rPr>
          <w:spacing w:val="2"/>
        </w:rPr>
        <w:t xml:space="preserve">do </w:t>
      </w:r>
      <w:r>
        <w:rPr>
          <w:spacing w:val="5"/>
        </w:rPr>
        <w:t xml:space="preserve">Noroeste </w:t>
      </w:r>
      <w:r>
        <w:rPr>
          <w:spacing w:val="2"/>
        </w:rPr>
        <w:t xml:space="preserve">do </w:t>
      </w:r>
      <w:r>
        <w:rPr>
          <w:spacing w:val="5"/>
        </w:rPr>
        <w:t xml:space="preserve">Estado </w:t>
      </w:r>
      <w:r>
        <w:rPr>
          <w:spacing w:val="2"/>
        </w:rPr>
        <w:t xml:space="preserve">do </w:t>
      </w:r>
      <w:r>
        <w:rPr>
          <w:spacing w:val="3"/>
        </w:rPr>
        <w:t xml:space="preserve">Rio </w:t>
      </w:r>
      <w:r>
        <w:rPr>
          <w:spacing w:val="2"/>
        </w:rPr>
        <w:t xml:space="preserve">de </w:t>
      </w:r>
      <w:r>
        <w:rPr>
          <w:spacing w:val="6"/>
        </w:rPr>
        <w:t xml:space="preserve">Janeiro </w:t>
      </w:r>
      <w:r>
        <w:t>(PEITER et al., 2004). Constituída pela parceria do Ministério da Ciência, Tecnolog</w:t>
      </w:r>
      <w:r>
        <w:t xml:space="preserve">ia e Inovação (MCTI) com a Secretaria </w:t>
      </w:r>
      <w:r>
        <w:rPr>
          <w:spacing w:val="5"/>
        </w:rPr>
        <w:t xml:space="preserve">de </w:t>
      </w:r>
      <w:r>
        <w:rPr>
          <w:spacing w:val="7"/>
        </w:rPr>
        <w:t xml:space="preserve">Ciência </w:t>
      </w:r>
      <w:r>
        <w:t xml:space="preserve">e </w:t>
      </w:r>
      <w:r>
        <w:rPr>
          <w:spacing w:val="8"/>
        </w:rPr>
        <w:t xml:space="preserve">Tecnologia </w:t>
      </w:r>
      <w:r>
        <w:rPr>
          <w:spacing w:val="7"/>
        </w:rPr>
        <w:t xml:space="preserve">Estadual, </w:t>
      </w:r>
      <w:r>
        <w:rPr>
          <w:spacing w:val="5"/>
        </w:rPr>
        <w:t xml:space="preserve">tem </w:t>
      </w:r>
      <w:r>
        <w:rPr>
          <w:spacing w:val="6"/>
        </w:rPr>
        <w:t xml:space="preserve">como </w:t>
      </w:r>
      <w:r>
        <w:rPr>
          <w:spacing w:val="10"/>
        </w:rPr>
        <w:t xml:space="preserve">objetivo </w:t>
      </w:r>
      <w:r>
        <w:t xml:space="preserve">identificar os gargalos tecnológicos existentes e aumentar a capacidade de inovação do cluster. No caso de Santo Antônio </w:t>
      </w:r>
      <w:r>
        <w:rPr>
          <w:spacing w:val="5"/>
        </w:rPr>
        <w:t xml:space="preserve">de </w:t>
      </w:r>
      <w:r>
        <w:rPr>
          <w:spacing w:val="7"/>
        </w:rPr>
        <w:t xml:space="preserve">Pádua, </w:t>
      </w:r>
      <w:r>
        <w:t xml:space="preserve">o </w:t>
      </w:r>
      <w:r>
        <w:rPr>
          <w:spacing w:val="7"/>
        </w:rPr>
        <w:t xml:space="preserve">projeto </w:t>
      </w:r>
      <w:r>
        <w:t xml:space="preserve">é </w:t>
      </w:r>
      <w:r>
        <w:rPr>
          <w:spacing w:val="8"/>
        </w:rPr>
        <w:t xml:space="preserve">coordenado </w:t>
      </w:r>
      <w:r>
        <w:rPr>
          <w:spacing w:val="6"/>
        </w:rPr>
        <w:t xml:space="preserve">pelo </w:t>
      </w:r>
      <w:r>
        <w:rPr>
          <w:spacing w:val="7"/>
        </w:rPr>
        <w:t xml:space="preserve">CETEM. </w:t>
      </w:r>
      <w:r>
        <w:rPr>
          <w:spacing w:val="10"/>
        </w:rPr>
        <w:t xml:space="preserve">Com </w:t>
      </w:r>
      <w:r>
        <w:t xml:space="preserve">recursos do MCTI, e com base nas informações levantadas </w:t>
      </w:r>
      <w:r>
        <w:rPr>
          <w:spacing w:val="3"/>
        </w:rPr>
        <w:t xml:space="preserve">nos </w:t>
      </w:r>
      <w:r>
        <w:rPr>
          <w:spacing w:val="5"/>
        </w:rPr>
        <w:t xml:space="preserve">últimos anos, </w:t>
      </w:r>
      <w:r>
        <w:t xml:space="preserve">e </w:t>
      </w:r>
      <w:r>
        <w:rPr>
          <w:spacing w:val="2"/>
        </w:rPr>
        <w:t xml:space="preserve">no </w:t>
      </w:r>
      <w:r>
        <w:rPr>
          <w:spacing w:val="5"/>
        </w:rPr>
        <w:t xml:space="preserve">plano </w:t>
      </w:r>
      <w:r>
        <w:rPr>
          <w:spacing w:val="2"/>
        </w:rPr>
        <w:t xml:space="preserve">de </w:t>
      </w:r>
      <w:r>
        <w:rPr>
          <w:spacing w:val="5"/>
        </w:rPr>
        <w:t xml:space="preserve">ação desenvolvido </w:t>
      </w:r>
      <w:r>
        <w:rPr>
          <w:spacing w:val="6"/>
        </w:rPr>
        <w:t xml:space="preserve">por </w:t>
      </w:r>
      <w:r>
        <w:t>empresários</w:t>
      </w:r>
      <w:r>
        <w:rPr>
          <w:spacing w:val="17"/>
        </w:rPr>
        <w:t xml:space="preserve"> </w:t>
      </w:r>
      <w:r>
        <w:t>locais,</w:t>
      </w:r>
      <w:r>
        <w:rPr>
          <w:spacing w:val="17"/>
        </w:rPr>
        <w:t xml:space="preserve"> </w:t>
      </w:r>
      <w:r>
        <w:t>em</w:t>
      </w:r>
      <w:r>
        <w:rPr>
          <w:spacing w:val="17"/>
        </w:rPr>
        <w:t xml:space="preserve"> </w:t>
      </w:r>
      <w:r>
        <w:t>parceria</w:t>
      </w:r>
      <w:r>
        <w:rPr>
          <w:spacing w:val="17"/>
        </w:rPr>
        <w:t xml:space="preserve"> </w:t>
      </w:r>
      <w:r>
        <w:t>com</w:t>
      </w:r>
      <w:r>
        <w:rPr>
          <w:spacing w:val="17"/>
        </w:rPr>
        <w:t xml:space="preserve"> </w:t>
      </w:r>
      <w:r>
        <w:t>o</w:t>
      </w:r>
      <w:r>
        <w:rPr>
          <w:spacing w:val="17"/>
        </w:rPr>
        <w:t xml:space="preserve"> </w:t>
      </w:r>
      <w:r>
        <w:t>Sebrae,</w:t>
      </w:r>
      <w:r>
        <w:rPr>
          <w:spacing w:val="17"/>
        </w:rPr>
        <w:t xml:space="preserve"> </w:t>
      </w:r>
      <w:r>
        <w:t>a</w:t>
      </w:r>
      <w:r>
        <w:rPr>
          <w:spacing w:val="17"/>
        </w:rPr>
        <w:t xml:space="preserve"> </w:t>
      </w:r>
      <w:r>
        <w:t>plataforma</w:t>
      </w:r>
    </w:p>
    <w:p w:rsidR="00D81F69" w:rsidRDefault="00D81F69">
      <w:pPr>
        <w:spacing w:line="270" w:lineRule="atLeast"/>
        <w:sectPr w:rsidR="00D81F69">
          <w:pgSz w:w="11900" w:h="16840"/>
          <w:pgMar w:top="740" w:right="500" w:bottom="620" w:left="620" w:header="0" w:footer="402" w:gutter="0"/>
          <w:cols w:num="2" w:space="720" w:equalWidth="0">
            <w:col w:w="5214" w:space="256"/>
            <w:col w:w="5310"/>
          </w:cols>
        </w:sectPr>
      </w:pPr>
    </w:p>
    <w:p w:rsidR="00D81F69" w:rsidRDefault="00330118">
      <w:pPr>
        <w:pStyle w:val="Corpodetexto"/>
        <w:spacing w:before="81" w:line="312" w:lineRule="auto"/>
        <w:ind w:right="39"/>
      </w:pPr>
      <w:r>
        <w:lastRenderedPageBreak/>
        <w:t>aplicou uma matriz de prioridades, identificando os maiores gargalos tecnológicos e propondo ações efetivas para o desenvolvimento tecnológico local (REGAZZI et al., 2004).</w:t>
      </w:r>
    </w:p>
    <w:p w:rsidR="00D81F69" w:rsidRDefault="00330118">
      <w:pPr>
        <w:pStyle w:val="Corpodetexto"/>
        <w:spacing w:before="133" w:line="312" w:lineRule="auto"/>
        <w:ind w:right="43"/>
      </w:pPr>
      <w:r>
        <w:rPr>
          <w:spacing w:val="3"/>
        </w:rPr>
        <w:t xml:space="preserve">Da </w:t>
      </w:r>
      <w:r>
        <w:rPr>
          <w:spacing w:val="6"/>
        </w:rPr>
        <w:t xml:space="preserve">Plataforma </w:t>
      </w:r>
      <w:r>
        <w:rPr>
          <w:spacing w:val="5"/>
        </w:rPr>
        <w:t xml:space="preserve">saiu, por </w:t>
      </w:r>
      <w:r>
        <w:rPr>
          <w:spacing w:val="6"/>
        </w:rPr>
        <w:t xml:space="preserve">exemplo, </w:t>
      </w:r>
      <w:r>
        <w:rPr>
          <w:spacing w:val="5"/>
        </w:rPr>
        <w:t xml:space="preserve">apoio </w:t>
      </w:r>
      <w:r>
        <w:t xml:space="preserve">à </w:t>
      </w:r>
      <w:r>
        <w:rPr>
          <w:spacing w:val="6"/>
        </w:rPr>
        <w:t xml:space="preserve">iniciativa </w:t>
      </w:r>
      <w:r>
        <w:rPr>
          <w:spacing w:val="7"/>
        </w:rPr>
        <w:t xml:space="preserve">do </w:t>
      </w:r>
      <w:r>
        <w:rPr>
          <w:spacing w:val="6"/>
        </w:rPr>
        <w:t xml:space="preserve">Sebrae-RJ </w:t>
      </w:r>
      <w:r>
        <w:rPr>
          <w:spacing w:val="5"/>
        </w:rPr>
        <w:t xml:space="preserve">para criar </w:t>
      </w:r>
      <w:r>
        <w:rPr>
          <w:spacing w:val="3"/>
        </w:rPr>
        <w:t xml:space="preserve">um </w:t>
      </w:r>
      <w:r>
        <w:rPr>
          <w:spacing w:val="6"/>
        </w:rPr>
        <w:t>prim</w:t>
      </w:r>
      <w:r>
        <w:rPr>
          <w:spacing w:val="6"/>
        </w:rPr>
        <w:t xml:space="preserve">eiro </w:t>
      </w:r>
      <w:r>
        <w:rPr>
          <w:spacing w:val="5"/>
        </w:rPr>
        <w:t xml:space="preserve">grupo </w:t>
      </w:r>
      <w:r>
        <w:rPr>
          <w:spacing w:val="3"/>
        </w:rPr>
        <w:t xml:space="preserve">de </w:t>
      </w:r>
      <w:r>
        <w:rPr>
          <w:spacing w:val="7"/>
        </w:rPr>
        <w:t xml:space="preserve">produtores </w:t>
      </w:r>
      <w:r>
        <w:t xml:space="preserve">voltados ao mercado externo (PEITER et al., 2004). Uma das </w:t>
      </w:r>
      <w:r>
        <w:rPr>
          <w:spacing w:val="5"/>
        </w:rPr>
        <w:t xml:space="preserve">ações com saldo </w:t>
      </w:r>
      <w:r>
        <w:rPr>
          <w:spacing w:val="6"/>
        </w:rPr>
        <w:t xml:space="preserve">positivo </w:t>
      </w:r>
      <w:r>
        <w:t xml:space="preserve">é o </w:t>
      </w:r>
      <w:r>
        <w:rPr>
          <w:spacing w:val="5"/>
        </w:rPr>
        <w:t xml:space="preserve">projeto </w:t>
      </w:r>
      <w:r>
        <w:rPr>
          <w:spacing w:val="3"/>
        </w:rPr>
        <w:t xml:space="preserve">de </w:t>
      </w:r>
      <w:r>
        <w:rPr>
          <w:spacing w:val="7"/>
        </w:rPr>
        <w:t xml:space="preserve">planejamento </w:t>
      </w:r>
      <w:r>
        <w:rPr>
          <w:spacing w:val="12"/>
        </w:rPr>
        <w:t xml:space="preserve">realizado </w:t>
      </w:r>
      <w:r>
        <w:rPr>
          <w:spacing w:val="6"/>
        </w:rPr>
        <w:t xml:space="preserve">em </w:t>
      </w:r>
      <w:r>
        <w:rPr>
          <w:spacing w:val="12"/>
        </w:rPr>
        <w:t xml:space="preserve">parceria </w:t>
      </w:r>
      <w:r>
        <w:rPr>
          <w:spacing w:val="10"/>
        </w:rPr>
        <w:t xml:space="preserve">com </w:t>
      </w:r>
      <w:r>
        <w:t xml:space="preserve">o </w:t>
      </w:r>
      <w:r>
        <w:rPr>
          <w:spacing w:val="12"/>
        </w:rPr>
        <w:t xml:space="preserve">Sindicato </w:t>
      </w:r>
      <w:r>
        <w:rPr>
          <w:spacing w:val="6"/>
        </w:rPr>
        <w:t xml:space="preserve">de </w:t>
      </w:r>
      <w:r>
        <w:rPr>
          <w:spacing w:val="11"/>
        </w:rPr>
        <w:t xml:space="preserve">Rochas </w:t>
      </w:r>
      <w:r>
        <w:t xml:space="preserve">Ornamentais de Santo Antônio de Pádua, a prefeitura e 22 </w:t>
      </w:r>
      <w:r>
        <w:rPr>
          <w:spacing w:val="3"/>
        </w:rPr>
        <w:t xml:space="preserve">empresários </w:t>
      </w:r>
      <w:r>
        <w:rPr>
          <w:spacing w:val="1"/>
        </w:rPr>
        <w:t xml:space="preserve">do </w:t>
      </w:r>
      <w:r>
        <w:rPr>
          <w:spacing w:val="3"/>
        </w:rPr>
        <w:t xml:space="preserve">setor. </w:t>
      </w:r>
      <w:r>
        <w:rPr>
          <w:spacing w:val="2"/>
        </w:rPr>
        <w:t xml:space="preserve">Com </w:t>
      </w:r>
      <w:r>
        <w:rPr>
          <w:spacing w:val="3"/>
        </w:rPr>
        <w:t xml:space="preserve">isso, definiu-se </w:t>
      </w:r>
      <w:r>
        <w:rPr>
          <w:spacing w:val="2"/>
        </w:rPr>
        <w:t xml:space="preserve">uma </w:t>
      </w:r>
      <w:r>
        <w:rPr>
          <w:spacing w:val="3"/>
        </w:rPr>
        <w:t xml:space="preserve">visão </w:t>
      </w:r>
      <w:r>
        <w:rPr>
          <w:spacing w:val="5"/>
        </w:rPr>
        <w:t xml:space="preserve">de </w:t>
      </w:r>
      <w:r>
        <w:rPr>
          <w:spacing w:val="3"/>
        </w:rPr>
        <w:t xml:space="preserve">futuro compartilhada </w:t>
      </w:r>
      <w:r>
        <w:t xml:space="preserve">e </w:t>
      </w:r>
      <w:r>
        <w:rPr>
          <w:spacing w:val="1"/>
        </w:rPr>
        <w:t xml:space="preserve">um </w:t>
      </w:r>
      <w:r>
        <w:rPr>
          <w:spacing w:val="3"/>
        </w:rPr>
        <w:t xml:space="preserve">plano </w:t>
      </w:r>
      <w:r>
        <w:rPr>
          <w:spacing w:val="1"/>
        </w:rPr>
        <w:t xml:space="preserve">de </w:t>
      </w:r>
      <w:r>
        <w:rPr>
          <w:spacing w:val="2"/>
        </w:rPr>
        <w:t xml:space="preserve">ação </w:t>
      </w:r>
      <w:r>
        <w:rPr>
          <w:spacing w:val="3"/>
        </w:rPr>
        <w:t xml:space="preserve">objetivando </w:t>
      </w:r>
      <w:r>
        <w:rPr>
          <w:spacing w:val="5"/>
        </w:rPr>
        <w:t xml:space="preserve">dar </w:t>
      </w:r>
      <w:r>
        <w:t xml:space="preserve">prioridade ao desenvolvimento do setor. Como consequência, foi organizado um consórcio de 22 produtores, denominado </w:t>
      </w:r>
      <w:r>
        <w:rPr>
          <w:spacing w:val="1"/>
        </w:rPr>
        <w:t xml:space="preserve">“Pedra Pádua Brasil”. </w:t>
      </w:r>
      <w:r>
        <w:t xml:space="preserve">O </w:t>
      </w:r>
      <w:r>
        <w:rPr>
          <w:spacing w:val="1"/>
        </w:rPr>
        <w:t xml:space="preserve">objetivo </w:t>
      </w:r>
      <w:r>
        <w:t xml:space="preserve">do </w:t>
      </w:r>
      <w:r>
        <w:rPr>
          <w:spacing w:val="1"/>
        </w:rPr>
        <w:t>cons</w:t>
      </w:r>
      <w:r>
        <w:rPr>
          <w:spacing w:val="1"/>
        </w:rPr>
        <w:t xml:space="preserve">órcio </w:t>
      </w:r>
      <w:r>
        <w:t xml:space="preserve">é </w:t>
      </w:r>
      <w:r>
        <w:rPr>
          <w:spacing w:val="1"/>
        </w:rPr>
        <w:t xml:space="preserve">atender </w:t>
      </w:r>
      <w:r>
        <w:t>a novos mercados, ter acesso a crédito e a novas tecnologias de</w:t>
      </w:r>
      <w:r>
        <w:rPr>
          <w:spacing w:val="12"/>
        </w:rPr>
        <w:t xml:space="preserve"> </w:t>
      </w:r>
      <w:r>
        <w:t>gestão</w:t>
      </w:r>
      <w:r>
        <w:rPr>
          <w:spacing w:val="12"/>
        </w:rPr>
        <w:t xml:space="preserve"> </w:t>
      </w:r>
      <w:r>
        <w:t>e</w:t>
      </w:r>
      <w:r>
        <w:rPr>
          <w:spacing w:val="12"/>
        </w:rPr>
        <w:t xml:space="preserve"> </w:t>
      </w:r>
      <w:r>
        <w:t>produção</w:t>
      </w:r>
      <w:r>
        <w:rPr>
          <w:spacing w:val="12"/>
        </w:rPr>
        <w:t xml:space="preserve"> </w:t>
      </w:r>
      <w:r>
        <w:t>(REGAZZI</w:t>
      </w:r>
      <w:r>
        <w:rPr>
          <w:spacing w:val="12"/>
        </w:rPr>
        <w:t xml:space="preserve"> </w:t>
      </w:r>
      <w:r>
        <w:t>et</w:t>
      </w:r>
      <w:r>
        <w:rPr>
          <w:spacing w:val="12"/>
        </w:rPr>
        <w:t xml:space="preserve"> </w:t>
      </w:r>
      <w:r>
        <w:t>al.,</w:t>
      </w:r>
      <w:r>
        <w:rPr>
          <w:spacing w:val="12"/>
        </w:rPr>
        <w:t xml:space="preserve"> </w:t>
      </w:r>
      <w:r>
        <w:t>2004).</w:t>
      </w:r>
    </w:p>
    <w:p w:rsidR="00D81F69" w:rsidRDefault="00330118">
      <w:pPr>
        <w:pStyle w:val="Corpodetexto"/>
        <w:spacing w:before="142" w:line="312" w:lineRule="auto"/>
        <w:ind w:right="52"/>
      </w:pPr>
      <w:r>
        <w:t>O resultado deste trabalho gerou uma reorganização produtiva para atendimento às especificações ditadas pelo mercado internacional, co</w:t>
      </w:r>
      <w:r>
        <w:t>mo novas padronizações de produto e design, além da organização da produção de forma cooperativa para atender a grandes pedidos. A iniciativa proporcionou a venda inicial, no final de 2002, de 14 containers, totalizando 360 toneladas, no valor de US$ 75 mi</w:t>
      </w:r>
      <w:r>
        <w:t>l (REGAZZI et al., 2004).</w:t>
      </w:r>
    </w:p>
    <w:p w:rsidR="00D81F69" w:rsidRDefault="00330118">
      <w:pPr>
        <w:pStyle w:val="Corpodetexto"/>
        <w:spacing w:before="137" w:line="312" w:lineRule="auto"/>
        <w:ind w:right="39"/>
      </w:pPr>
      <w:r>
        <w:t>O PIB per capita e o Índice de Desenvolvimento Humano (IDH) demonstram que a região de Santo Antônio de Pádua ainda não alcançou o nível de desenvolvimento médio do município do Rio de Janeiro, por exemplo. No entanto, outros indi</w:t>
      </w:r>
      <w:r>
        <w:t>cadores ligados à infraestrutura municipal demonstraram que os esforças para o desenvolvimento da região tem gerado resultados positivos (PEITER; CARRISSO; PIRES, 2011).</w:t>
      </w:r>
    </w:p>
    <w:p w:rsidR="00D81F69" w:rsidRDefault="00330118">
      <w:pPr>
        <w:pStyle w:val="Corpodetexto"/>
        <w:spacing w:before="137" w:line="312" w:lineRule="auto"/>
        <w:ind w:right="38"/>
      </w:pPr>
      <w:r>
        <w:t xml:space="preserve">O investimento das instituições públicas no fomento da atividade mineral do município </w:t>
      </w:r>
      <w:r>
        <w:t>foi muito importante “para impedir o aumento do impacto ambiental e do desperdício na produção local. Contudo verifica-se que o avanço tecnológico da região ainda está longe do ideal sendo necessários ainda grandes investimentos no aprendizado dos empresár</w:t>
      </w:r>
      <w:r>
        <w:t>ios locais e na agregação de valor ao minério produzido” (PEITER; CARRISSO; PIRES, 2011).</w:t>
      </w:r>
    </w:p>
    <w:p w:rsidR="00D81F69" w:rsidRDefault="00D81F69">
      <w:pPr>
        <w:pStyle w:val="Corpodetexto"/>
        <w:spacing w:before="7"/>
        <w:ind w:left="0"/>
        <w:jc w:val="left"/>
        <w:rPr>
          <w:sz w:val="21"/>
        </w:rPr>
      </w:pPr>
    </w:p>
    <w:p w:rsidR="00D81F69" w:rsidRDefault="00330118">
      <w:pPr>
        <w:pStyle w:val="Heading7"/>
        <w:spacing w:before="1"/>
      </w:pPr>
      <w:r>
        <w:t>LOCALIZAÇÃO GEOGRÁFICA</w:t>
      </w:r>
    </w:p>
    <w:p w:rsidR="00D81F69" w:rsidRDefault="00330118">
      <w:pPr>
        <w:pStyle w:val="Corpodetexto"/>
        <w:spacing w:before="178" w:line="312" w:lineRule="auto"/>
        <w:ind w:right="62"/>
      </w:pPr>
      <w:r>
        <w:t>As ocorrências de rochas ornamentais do município de Santo Antônio de Pádua estão na bacia do rio Pomba, ao longo do seu canal principal, loca</w:t>
      </w:r>
      <w:r>
        <w:t>lizadas entre as latitudes 21°35’59”S</w:t>
      </w:r>
    </w:p>
    <w:p w:rsidR="00D81F69" w:rsidRDefault="00330118">
      <w:pPr>
        <w:pStyle w:val="Corpodetexto"/>
        <w:spacing w:before="3"/>
      </w:pPr>
      <w:r>
        <w:t>– 21°29’59”S e longitudes 42°4’50”W – 42°14’27”W.</w:t>
      </w:r>
    </w:p>
    <w:p w:rsidR="00D81F69" w:rsidRDefault="00D81F69">
      <w:pPr>
        <w:pStyle w:val="Corpodetexto"/>
        <w:ind w:left="0"/>
        <w:jc w:val="left"/>
        <w:rPr>
          <w:sz w:val="20"/>
        </w:rPr>
      </w:pPr>
    </w:p>
    <w:p w:rsidR="00D81F69" w:rsidRDefault="00330118">
      <w:pPr>
        <w:pStyle w:val="Heading7"/>
        <w:spacing w:before="164"/>
      </w:pPr>
      <w:r>
        <w:t>REDATORES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60"/>
        <w:jc w:val="both"/>
        <w:rPr>
          <w:sz w:val="16"/>
        </w:rPr>
      </w:pPr>
      <w:r>
        <w:rPr>
          <w:sz w:val="16"/>
        </w:rPr>
        <w:t>ACV, Avaliação do Ciclo de Vida. INT desenvolve tecnologia para produzir vidro a partir de resíduos de rochas ornamentais. In: REDE</w:t>
      </w:r>
    </w:p>
    <w:p w:rsidR="00D81F69" w:rsidRDefault="00330118">
      <w:pPr>
        <w:spacing w:before="70"/>
        <w:ind w:left="100"/>
        <w:jc w:val="both"/>
        <w:rPr>
          <w:sz w:val="16"/>
        </w:rPr>
      </w:pPr>
      <w:r>
        <w:br w:type="column"/>
      </w:r>
      <w:r>
        <w:rPr>
          <w:spacing w:val="10"/>
          <w:sz w:val="16"/>
        </w:rPr>
        <w:lastRenderedPageBreak/>
        <w:t>APL</w:t>
      </w:r>
      <w:r>
        <w:rPr>
          <w:spacing w:val="65"/>
          <w:sz w:val="16"/>
        </w:rPr>
        <w:t xml:space="preserve"> </w:t>
      </w:r>
      <w:r>
        <w:rPr>
          <w:spacing w:val="13"/>
          <w:sz w:val="16"/>
        </w:rPr>
        <w:t xml:space="preserve">MINERAL, </w:t>
      </w:r>
      <w:r>
        <w:rPr>
          <w:spacing w:val="15"/>
          <w:sz w:val="16"/>
        </w:rPr>
        <w:t xml:space="preserve">Brasília, </w:t>
      </w:r>
      <w:r>
        <w:rPr>
          <w:spacing w:val="7"/>
          <w:sz w:val="16"/>
        </w:rPr>
        <w:t xml:space="preserve">23 </w:t>
      </w:r>
      <w:r>
        <w:rPr>
          <w:spacing w:val="11"/>
          <w:sz w:val="16"/>
        </w:rPr>
        <w:t xml:space="preserve">jul. </w:t>
      </w:r>
      <w:r>
        <w:rPr>
          <w:spacing w:val="12"/>
          <w:sz w:val="16"/>
        </w:rPr>
        <w:t xml:space="preserve">2009. </w:t>
      </w:r>
      <w:r>
        <w:rPr>
          <w:spacing w:val="15"/>
          <w:sz w:val="16"/>
        </w:rPr>
        <w:t xml:space="preserve">Disponível </w:t>
      </w:r>
      <w:r>
        <w:rPr>
          <w:spacing w:val="10"/>
          <w:sz w:val="16"/>
        </w:rPr>
        <w:t>em:</w:t>
      </w:r>
      <w:r>
        <w:rPr>
          <w:spacing w:val="-26"/>
          <w:sz w:val="16"/>
        </w:rPr>
        <w:t xml:space="preserve"> </w:t>
      </w:r>
    </w:p>
    <w:p w:rsidR="00D81F69" w:rsidRDefault="00D81F69">
      <w:pPr>
        <w:spacing w:before="56" w:line="312" w:lineRule="auto"/>
        <w:ind w:left="100" w:right="195"/>
        <w:jc w:val="both"/>
        <w:rPr>
          <w:sz w:val="16"/>
        </w:rPr>
      </w:pPr>
      <w:hyperlink r:id="rId1481">
        <w:r w:rsidR="00330118">
          <w:rPr>
            <w:sz w:val="16"/>
          </w:rPr>
          <w:t>&lt;http://www.redeaplmineral.org.br/noticias/destaque-2/int-desenvolve-</w:t>
        </w:r>
      </w:hyperlink>
      <w:r w:rsidR="00330118">
        <w:rPr>
          <w:sz w:val="16"/>
        </w:rPr>
        <w:t xml:space="preserve"> tecnologia-para-produzir-vidro-a-partir-de-residuos-de- rochas/?searchterm=Santo%20Antonio%20Pádua&gt;. A</w:t>
      </w:r>
      <w:r w:rsidR="00330118">
        <w:rPr>
          <w:sz w:val="16"/>
        </w:rPr>
        <w:t>cesso em: 25 set. 2010.</w:t>
      </w:r>
    </w:p>
    <w:p w:rsidR="00D81F69" w:rsidRDefault="00330118">
      <w:pPr>
        <w:spacing w:before="3" w:line="312" w:lineRule="auto"/>
        <w:ind w:left="100" w:right="190"/>
        <w:jc w:val="both"/>
        <w:rPr>
          <w:sz w:val="16"/>
        </w:rPr>
      </w:pPr>
      <w:r>
        <w:rPr>
          <w:sz w:val="16"/>
        </w:rPr>
        <w:t>BRASIL MINERAL ONLINE. CETEM e INT desenvolvem argamassa ambiental. São Paulo, n. 356, 11 jun. 2008. Disponível em:</w:t>
      </w:r>
    </w:p>
    <w:p w:rsidR="00D81F69" w:rsidRDefault="00D81F69">
      <w:pPr>
        <w:spacing w:before="2" w:line="312" w:lineRule="auto"/>
        <w:ind w:left="100" w:right="216"/>
        <w:jc w:val="both"/>
        <w:rPr>
          <w:sz w:val="16"/>
        </w:rPr>
      </w:pPr>
      <w:hyperlink r:id="rId1482">
        <w:r w:rsidR="00330118">
          <w:rPr>
            <w:sz w:val="16"/>
          </w:rPr>
          <w:t>&lt;http://www.brasilmineral.com.br/</w:t>
        </w:r>
        <w:r w:rsidR="00330118">
          <w:rPr>
            <w:sz w:val="16"/>
          </w:rPr>
          <w:t>bm/default.asp?COD=3631&amp;busca=</w:t>
        </w:r>
      </w:hyperlink>
      <w:r w:rsidR="00330118">
        <w:rPr>
          <w:sz w:val="16"/>
        </w:rPr>
        <w:t xml:space="preserve"> &amp;numero=356&gt;. Acesso em: 13 mar. 2013.</w:t>
      </w:r>
    </w:p>
    <w:p w:rsidR="00D81F69" w:rsidRDefault="00330118">
      <w:pPr>
        <w:spacing w:before="1" w:line="312" w:lineRule="auto"/>
        <w:ind w:left="100" w:right="177"/>
        <w:jc w:val="both"/>
        <w:rPr>
          <w:sz w:val="16"/>
        </w:rPr>
      </w:pPr>
      <w:r>
        <w:rPr>
          <w:spacing w:val="1"/>
          <w:sz w:val="16"/>
        </w:rPr>
        <w:t xml:space="preserve">BAPTISTA FILHO, João; TANAKA, Maria Damião. </w:t>
      </w:r>
      <w:r>
        <w:rPr>
          <w:spacing w:val="2"/>
          <w:sz w:val="16"/>
        </w:rPr>
        <w:t xml:space="preserve">Considerações </w:t>
      </w:r>
      <w:r>
        <w:rPr>
          <w:spacing w:val="3"/>
          <w:sz w:val="16"/>
        </w:rPr>
        <w:t xml:space="preserve">geológicas </w:t>
      </w:r>
      <w:r>
        <w:rPr>
          <w:sz w:val="16"/>
        </w:rPr>
        <w:t xml:space="preserve">e </w:t>
      </w:r>
      <w:r>
        <w:rPr>
          <w:spacing w:val="3"/>
          <w:sz w:val="16"/>
        </w:rPr>
        <w:t xml:space="preserve">sobre </w:t>
      </w:r>
      <w:r>
        <w:rPr>
          <w:sz w:val="16"/>
        </w:rPr>
        <w:t xml:space="preserve">o </w:t>
      </w:r>
      <w:r>
        <w:rPr>
          <w:spacing w:val="3"/>
          <w:sz w:val="16"/>
        </w:rPr>
        <w:t xml:space="preserve">parque produtor </w:t>
      </w:r>
      <w:r>
        <w:rPr>
          <w:spacing w:val="1"/>
          <w:sz w:val="16"/>
        </w:rPr>
        <w:t xml:space="preserve">de </w:t>
      </w:r>
      <w:r>
        <w:rPr>
          <w:spacing w:val="3"/>
          <w:sz w:val="16"/>
        </w:rPr>
        <w:t xml:space="preserve">rochas ornamentais </w:t>
      </w:r>
      <w:r>
        <w:rPr>
          <w:spacing w:val="5"/>
          <w:sz w:val="16"/>
        </w:rPr>
        <w:t xml:space="preserve">no </w:t>
      </w:r>
      <w:r>
        <w:rPr>
          <w:sz w:val="16"/>
        </w:rPr>
        <w:t xml:space="preserve">município de Santo Antônio de Pádua – RJ. Anuário do Instituto de </w:t>
      </w:r>
      <w:r>
        <w:rPr>
          <w:spacing w:val="20"/>
          <w:sz w:val="16"/>
        </w:rPr>
        <w:t xml:space="preserve">Geociências </w:t>
      </w:r>
      <w:r>
        <w:rPr>
          <w:sz w:val="16"/>
        </w:rPr>
        <w:t xml:space="preserve">– </w:t>
      </w:r>
      <w:r>
        <w:rPr>
          <w:spacing w:val="16"/>
          <w:sz w:val="16"/>
        </w:rPr>
        <w:t xml:space="preserve">UFRJ, </w:t>
      </w:r>
      <w:r>
        <w:rPr>
          <w:spacing w:val="10"/>
          <w:sz w:val="16"/>
        </w:rPr>
        <w:t>v.</w:t>
      </w:r>
      <w:r>
        <w:rPr>
          <w:spacing w:val="65"/>
          <w:sz w:val="16"/>
        </w:rPr>
        <w:t xml:space="preserve"> </w:t>
      </w:r>
      <w:r>
        <w:rPr>
          <w:spacing w:val="13"/>
          <w:sz w:val="16"/>
        </w:rPr>
        <w:t xml:space="preserve">25, </w:t>
      </w:r>
      <w:r>
        <w:rPr>
          <w:spacing w:val="16"/>
          <w:sz w:val="16"/>
        </w:rPr>
        <w:t xml:space="preserve">2002. </w:t>
      </w:r>
      <w:r>
        <w:rPr>
          <w:spacing w:val="18"/>
          <w:sz w:val="16"/>
        </w:rPr>
        <w:t>Disponível</w:t>
      </w:r>
      <w:r>
        <w:rPr>
          <w:spacing w:val="17"/>
          <w:sz w:val="16"/>
        </w:rPr>
        <w:t xml:space="preserve"> </w:t>
      </w:r>
      <w:r>
        <w:rPr>
          <w:spacing w:val="13"/>
          <w:sz w:val="16"/>
        </w:rPr>
        <w:t>em:</w:t>
      </w:r>
      <w:r>
        <w:rPr>
          <w:spacing w:val="-21"/>
          <w:sz w:val="16"/>
        </w:rPr>
        <w:t xml:space="preserve"> </w:t>
      </w:r>
    </w:p>
    <w:p w:rsidR="00D81F69" w:rsidRDefault="00D81F69">
      <w:pPr>
        <w:spacing w:before="3" w:line="312" w:lineRule="auto"/>
        <w:ind w:left="100" w:right="193"/>
        <w:jc w:val="both"/>
        <w:rPr>
          <w:sz w:val="16"/>
        </w:rPr>
      </w:pPr>
      <w:hyperlink r:id="rId1483">
        <w:r w:rsidR="00330118">
          <w:rPr>
            <w:sz w:val="16"/>
          </w:rPr>
          <w:t>&lt;http://www.anuario.igeo.ufrj.br/anuario_2002/vol25_68_84.pdf&gt;.</w:t>
        </w:r>
      </w:hyperlink>
      <w:r w:rsidR="00330118">
        <w:rPr>
          <w:sz w:val="16"/>
        </w:rPr>
        <w:t xml:space="preserve"> Acesso em: 23 set. 2010.</w:t>
      </w:r>
    </w:p>
    <w:p w:rsidR="00D81F69" w:rsidRDefault="00330118">
      <w:pPr>
        <w:spacing w:before="2" w:line="312" w:lineRule="auto"/>
        <w:ind w:left="100" w:right="137"/>
        <w:jc w:val="both"/>
        <w:rPr>
          <w:sz w:val="16"/>
        </w:rPr>
      </w:pPr>
      <w:r>
        <w:rPr>
          <w:spacing w:val="5"/>
          <w:sz w:val="16"/>
        </w:rPr>
        <w:t xml:space="preserve">BOCLIN, Henrique Pazos Siqueira. </w:t>
      </w:r>
      <w:r>
        <w:rPr>
          <w:spacing w:val="2"/>
          <w:sz w:val="16"/>
        </w:rPr>
        <w:t xml:space="preserve">Os </w:t>
      </w:r>
      <w:r>
        <w:rPr>
          <w:spacing w:val="5"/>
          <w:sz w:val="16"/>
        </w:rPr>
        <w:t>impa</w:t>
      </w:r>
      <w:r>
        <w:rPr>
          <w:spacing w:val="5"/>
          <w:sz w:val="16"/>
        </w:rPr>
        <w:t xml:space="preserve">ctos </w:t>
      </w:r>
      <w:r>
        <w:rPr>
          <w:spacing w:val="3"/>
          <w:sz w:val="16"/>
        </w:rPr>
        <w:t xml:space="preserve">dos </w:t>
      </w:r>
      <w:r>
        <w:rPr>
          <w:spacing w:val="6"/>
          <w:sz w:val="16"/>
        </w:rPr>
        <w:t xml:space="preserve">arranjos </w:t>
      </w:r>
      <w:r>
        <w:rPr>
          <w:sz w:val="16"/>
        </w:rPr>
        <w:t xml:space="preserve">produtivos locais – APLs de confecção em Nova Friburgo e rochas ornamentais em Santo Antônio de Pádua na economia do estado do </w:t>
      </w:r>
      <w:r>
        <w:rPr>
          <w:spacing w:val="7"/>
          <w:sz w:val="16"/>
        </w:rPr>
        <w:t xml:space="preserve">Rio  </w:t>
      </w:r>
      <w:r>
        <w:rPr>
          <w:spacing w:val="5"/>
          <w:sz w:val="16"/>
        </w:rPr>
        <w:t xml:space="preserve">de  </w:t>
      </w:r>
      <w:r>
        <w:rPr>
          <w:spacing w:val="10"/>
          <w:sz w:val="16"/>
        </w:rPr>
        <w:t xml:space="preserve">janeiro,  </w:t>
      </w:r>
      <w:r>
        <w:rPr>
          <w:spacing w:val="5"/>
          <w:sz w:val="16"/>
        </w:rPr>
        <w:t xml:space="preserve">30   </w:t>
      </w:r>
      <w:r>
        <w:rPr>
          <w:spacing w:val="8"/>
          <w:sz w:val="16"/>
        </w:rPr>
        <w:t xml:space="preserve">jun.  </w:t>
      </w:r>
      <w:r>
        <w:rPr>
          <w:spacing w:val="10"/>
          <w:sz w:val="16"/>
        </w:rPr>
        <w:t xml:space="preserve">2009.  Dissertação  (mestrado  </w:t>
      </w:r>
      <w:r>
        <w:rPr>
          <w:spacing w:val="5"/>
          <w:sz w:val="16"/>
        </w:rPr>
        <w:t xml:space="preserve">em </w:t>
      </w:r>
      <w:r>
        <w:rPr>
          <w:spacing w:val="15"/>
          <w:sz w:val="16"/>
        </w:rPr>
        <w:t>A</w:t>
      </w:r>
      <w:r>
        <w:rPr>
          <w:sz w:val="16"/>
        </w:rPr>
        <w:t xml:space="preserve"> </w:t>
      </w:r>
      <w:r>
        <w:rPr>
          <w:spacing w:val="15"/>
          <w:sz w:val="16"/>
        </w:rPr>
        <w:t>d</w:t>
      </w:r>
      <w:r>
        <w:rPr>
          <w:sz w:val="16"/>
        </w:rPr>
        <w:t xml:space="preserve"> </w:t>
      </w:r>
      <w:r>
        <w:rPr>
          <w:spacing w:val="15"/>
          <w:sz w:val="16"/>
        </w:rPr>
        <w:t>m</w:t>
      </w:r>
      <w:r>
        <w:rPr>
          <w:sz w:val="16"/>
        </w:rPr>
        <w:t xml:space="preserve"> </w:t>
      </w:r>
      <w:r>
        <w:rPr>
          <w:spacing w:val="15"/>
          <w:sz w:val="16"/>
        </w:rPr>
        <w:t>i</w:t>
      </w:r>
      <w:r>
        <w:rPr>
          <w:sz w:val="16"/>
        </w:rPr>
        <w:t xml:space="preserve"> </w:t>
      </w:r>
      <w:r>
        <w:rPr>
          <w:spacing w:val="15"/>
          <w:sz w:val="16"/>
        </w:rPr>
        <w:t>n</w:t>
      </w:r>
      <w:r>
        <w:rPr>
          <w:sz w:val="16"/>
        </w:rPr>
        <w:t xml:space="preserve"> </w:t>
      </w:r>
      <w:r>
        <w:rPr>
          <w:spacing w:val="15"/>
          <w:sz w:val="16"/>
        </w:rPr>
        <w:t>i</w:t>
      </w:r>
      <w:r>
        <w:rPr>
          <w:sz w:val="16"/>
        </w:rPr>
        <w:t xml:space="preserve"> </w:t>
      </w:r>
      <w:r>
        <w:rPr>
          <w:spacing w:val="15"/>
          <w:sz w:val="16"/>
        </w:rPr>
        <w:t>s</w:t>
      </w:r>
      <w:r>
        <w:rPr>
          <w:sz w:val="16"/>
        </w:rPr>
        <w:t xml:space="preserve"> </w:t>
      </w:r>
      <w:r>
        <w:rPr>
          <w:spacing w:val="15"/>
          <w:sz w:val="16"/>
        </w:rPr>
        <w:t>t</w:t>
      </w:r>
      <w:r>
        <w:rPr>
          <w:sz w:val="16"/>
        </w:rPr>
        <w:t xml:space="preserve"> </w:t>
      </w:r>
      <w:r>
        <w:rPr>
          <w:spacing w:val="15"/>
          <w:sz w:val="16"/>
        </w:rPr>
        <w:t>r</w:t>
      </w:r>
      <w:r>
        <w:rPr>
          <w:sz w:val="16"/>
        </w:rPr>
        <w:t xml:space="preserve"> </w:t>
      </w:r>
      <w:r>
        <w:rPr>
          <w:spacing w:val="15"/>
          <w:sz w:val="16"/>
        </w:rPr>
        <w:t>a</w:t>
      </w:r>
      <w:r>
        <w:rPr>
          <w:sz w:val="16"/>
        </w:rPr>
        <w:t xml:space="preserve"> </w:t>
      </w:r>
      <w:r>
        <w:rPr>
          <w:spacing w:val="15"/>
          <w:sz w:val="16"/>
        </w:rPr>
        <w:t>ç</w:t>
      </w:r>
      <w:r>
        <w:rPr>
          <w:sz w:val="16"/>
        </w:rPr>
        <w:t xml:space="preserve"> </w:t>
      </w:r>
      <w:r>
        <w:rPr>
          <w:spacing w:val="15"/>
          <w:sz w:val="16"/>
        </w:rPr>
        <w:t>ã</w:t>
      </w:r>
      <w:r>
        <w:rPr>
          <w:sz w:val="16"/>
        </w:rPr>
        <w:t xml:space="preserve"> </w:t>
      </w:r>
      <w:r>
        <w:rPr>
          <w:spacing w:val="15"/>
          <w:sz w:val="16"/>
        </w:rPr>
        <w:t>o</w:t>
      </w:r>
      <w:r>
        <w:rPr>
          <w:sz w:val="16"/>
        </w:rPr>
        <w:t xml:space="preserve"> )</w:t>
      </w:r>
      <w:r>
        <w:rPr>
          <w:spacing w:val="16"/>
          <w:sz w:val="16"/>
        </w:rPr>
        <w:t xml:space="preserve"> </w:t>
      </w:r>
      <w:r>
        <w:rPr>
          <w:spacing w:val="15"/>
          <w:sz w:val="16"/>
        </w:rPr>
        <w:t>8</w:t>
      </w:r>
      <w:r>
        <w:rPr>
          <w:sz w:val="16"/>
        </w:rPr>
        <w:t xml:space="preserve"> </w:t>
      </w:r>
      <w:r>
        <w:rPr>
          <w:spacing w:val="15"/>
          <w:sz w:val="16"/>
        </w:rPr>
        <w:t>3</w:t>
      </w:r>
      <w:r>
        <w:rPr>
          <w:sz w:val="16"/>
        </w:rPr>
        <w:t xml:space="preserve"> </w:t>
      </w:r>
      <w:r>
        <w:rPr>
          <w:spacing w:val="15"/>
          <w:sz w:val="16"/>
        </w:rPr>
        <w:t>f</w:t>
      </w:r>
      <w:r>
        <w:rPr>
          <w:sz w:val="16"/>
        </w:rPr>
        <w:t xml:space="preserve"> .</w:t>
      </w:r>
      <w:r>
        <w:rPr>
          <w:spacing w:val="16"/>
          <w:sz w:val="16"/>
        </w:rPr>
        <w:t xml:space="preserve"> </w:t>
      </w:r>
      <w:r>
        <w:rPr>
          <w:spacing w:val="15"/>
          <w:sz w:val="16"/>
        </w:rPr>
        <w:t>D</w:t>
      </w:r>
      <w:r>
        <w:rPr>
          <w:sz w:val="16"/>
        </w:rPr>
        <w:t xml:space="preserve"> </w:t>
      </w:r>
      <w:r>
        <w:rPr>
          <w:spacing w:val="15"/>
          <w:sz w:val="16"/>
        </w:rPr>
        <w:t>i</w:t>
      </w:r>
      <w:r>
        <w:rPr>
          <w:sz w:val="16"/>
        </w:rPr>
        <w:t xml:space="preserve"> </w:t>
      </w:r>
      <w:r>
        <w:rPr>
          <w:spacing w:val="15"/>
          <w:sz w:val="16"/>
        </w:rPr>
        <w:t>s</w:t>
      </w:r>
      <w:r>
        <w:rPr>
          <w:sz w:val="16"/>
        </w:rPr>
        <w:t xml:space="preserve"> </w:t>
      </w:r>
      <w:r>
        <w:rPr>
          <w:spacing w:val="15"/>
          <w:sz w:val="16"/>
        </w:rPr>
        <w:t>p</w:t>
      </w:r>
      <w:r>
        <w:rPr>
          <w:sz w:val="16"/>
        </w:rPr>
        <w:t xml:space="preserve"> </w:t>
      </w:r>
      <w:r>
        <w:rPr>
          <w:spacing w:val="15"/>
          <w:sz w:val="16"/>
        </w:rPr>
        <w:t>o</w:t>
      </w:r>
      <w:r>
        <w:rPr>
          <w:sz w:val="16"/>
        </w:rPr>
        <w:t xml:space="preserve"> </w:t>
      </w:r>
      <w:r>
        <w:rPr>
          <w:spacing w:val="15"/>
          <w:sz w:val="16"/>
        </w:rPr>
        <w:t>n</w:t>
      </w:r>
      <w:r>
        <w:rPr>
          <w:sz w:val="16"/>
        </w:rPr>
        <w:t xml:space="preserve"> </w:t>
      </w:r>
      <w:r>
        <w:rPr>
          <w:spacing w:val="15"/>
          <w:sz w:val="16"/>
        </w:rPr>
        <w:t>í</w:t>
      </w:r>
      <w:r>
        <w:rPr>
          <w:sz w:val="16"/>
        </w:rPr>
        <w:t xml:space="preserve"> </w:t>
      </w:r>
      <w:r>
        <w:rPr>
          <w:spacing w:val="15"/>
          <w:sz w:val="16"/>
        </w:rPr>
        <w:t>v</w:t>
      </w:r>
      <w:r>
        <w:rPr>
          <w:sz w:val="16"/>
        </w:rPr>
        <w:t xml:space="preserve"> </w:t>
      </w:r>
      <w:r>
        <w:rPr>
          <w:spacing w:val="15"/>
          <w:sz w:val="16"/>
        </w:rPr>
        <w:t>e</w:t>
      </w:r>
      <w:r>
        <w:rPr>
          <w:sz w:val="16"/>
        </w:rPr>
        <w:t xml:space="preserve"> l</w:t>
      </w:r>
      <w:r>
        <w:rPr>
          <w:spacing w:val="16"/>
          <w:sz w:val="16"/>
        </w:rPr>
        <w:t xml:space="preserve"> </w:t>
      </w:r>
      <w:r>
        <w:rPr>
          <w:spacing w:val="15"/>
          <w:sz w:val="16"/>
        </w:rPr>
        <w:t>e</w:t>
      </w:r>
      <w:r>
        <w:rPr>
          <w:sz w:val="16"/>
        </w:rPr>
        <w:t xml:space="preserve"> </w:t>
      </w:r>
      <w:r>
        <w:rPr>
          <w:spacing w:val="15"/>
          <w:sz w:val="16"/>
        </w:rPr>
        <w:t>m</w:t>
      </w:r>
      <w:r>
        <w:rPr>
          <w:sz w:val="16"/>
        </w:rPr>
        <w:t xml:space="preserve"> :</w:t>
      </w:r>
      <w:r>
        <w:rPr>
          <w:spacing w:val="16"/>
          <w:sz w:val="16"/>
        </w:rPr>
        <w:t xml:space="preserve"> </w:t>
      </w:r>
    </w:p>
    <w:p w:rsidR="00D81F69" w:rsidRDefault="00D81F69">
      <w:pPr>
        <w:spacing w:before="4" w:line="312" w:lineRule="auto"/>
        <w:ind w:left="100" w:right="216"/>
        <w:jc w:val="both"/>
        <w:rPr>
          <w:sz w:val="16"/>
        </w:rPr>
      </w:pPr>
      <w:hyperlink r:id="rId1484">
        <w:r w:rsidR="00330118">
          <w:rPr>
            <w:sz w:val="16"/>
          </w:rPr>
          <w:t>&lt;http://www.ibmecrj.br/sub/RJ/files/dissert_mestrado/ADM_henriqueb</w:t>
        </w:r>
      </w:hyperlink>
      <w:r w:rsidR="00330118">
        <w:rPr>
          <w:sz w:val="16"/>
        </w:rPr>
        <w:t xml:space="preserve"> oclin_jun.pdf&gt;. Acesso em: 24 set. 2010.</w:t>
      </w:r>
    </w:p>
    <w:p w:rsidR="00D81F69" w:rsidRDefault="00330118">
      <w:pPr>
        <w:spacing w:before="2" w:line="312" w:lineRule="auto"/>
        <w:ind w:left="100" w:right="210"/>
        <w:jc w:val="both"/>
        <w:rPr>
          <w:sz w:val="16"/>
        </w:rPr>
      </w:pPr>
      <w:r>
        <w:rPr>
          <w:sz w:val="16"/>
        </w:rPr>
        <w:t>CAMPOS, A. R. [et. al.]. Santo Antônio de Pádua: um polo de extração de rochas ornamentais no Estado do Rio de Janeiro. Revista Mineração e Metalurgia, v. 63, nº 551, pp. 15-21, 1999.</w:t>
      </w:r>
    </w:p>
    <w:p w:rsidR="00D81F69" w:rsidRDefault="00330118">
      <w:pPr>
        <w:spacing w:before="2" w:line="312" w:lineRule="auto"/>
        <w:ind w:left="100" w:right="198"/>
        <w:jc w:val="both"/>
        <w:rPr>
          <w:sz w:val="16"/>
        </w:rPr>
      </w:pPr>
      <w:r>
        <w:rPr>
          <w:sz w:val="16"/>
        </w:rPr>
        <w:t>CARVALHO, Eduardo Augusto de; CAMPOS, Antônio Rodrigues de; PEITER, Carl</w:t>
      </w:r>
      <w:r>
        <w:rPr>
          <w:sz w:val="16"/>
        </w:rPr>
        <w:t>os César; ROCHA, José Carlos da. Aproveitamento dos resíduos finos das serrarias de Santo Antônio de Pádua/RJ. III Simpósio de Rochas Ornamentais do Nordeste, Recife, Pernambuco,</w:t>
      </w:r>
    </w:p>
    <w:p w:rsidR="00D81F69" w:rsidRDefault="00330118">
      <w:pPr>
        <w:spacing w:before="4"/>
        <w:ind w:left="100"/>
        <w:jc w:val="both"/>
        <w:rPr>
          <w:sz w:val="16"/>
        </w:rPr>
      </w:pPr>
      <w:r>
        <w:rPr>
          <w:sz w:val="16"/>
        </w:rPr>
        <w:t>2 6      a      2 9      n o v .      2 0 0 2 .      D i s p o n í v e l    e</w:t>
      </w:r>
      <w:r>
        <w:rPr>
          <w:sz w:val="16"/>
        </w:rPr>
        <w:t xml:space="preserve"> m : </w:t>
      </w:r>
    </w:p>
    <w:p w:rsidR="00D81F69" w:rsidRDefault="00D81F69">
      <w:pPr>
        <w:spacing w:before="56" w:line="312" w:lineRule="auto"/>
        <w:ind w:left="100" w:right="213"/>
        <w:jc w:val="both"/>
        <w:rPr>
          <w:sz w:val="16"/>
        </w:rPr>
      </w:pPr>
      <w:hyperlink r:id="rId1485">
        <w:r w:rsidR="00330118">
          <w:rPr>
            <w:sz w:val="16"/>
          </w:rPr>
          <w:t>&lt;http://www.fiec.org.br/sindicatos/simagran/artigos_palestras/Aproveit</w:t>
        </w:r>
      </w:hyperlink>
      <w:r w:rsidR="00330118">
        <w:rPr>
          <w:sz w:val="16"/>
        </w:rPr>
        <w:t xml:space="preserve"> amento_dos_Residuos_Finos_das_Serrarias.htm&gt;. Acesso em: 26 set. 2010.</w:t>
      </w:r>
    </w:p>
    <w:p w:rsidR="00D81F69" w:rsidRDefault="00330118">
      <w:pPr>
        <w:spacing w:before="2" w:line="312" w:lineRule="auto"/>
        <w:ind w:left="100" w:right="198"/>
        <w:jc w:val="both"/>
        <w:rPr>
          <w:sz w:val="16"/>
        </w:rPr>
      </w:pPr>
      <w:r>
        <w:rPr>
          <w:sz w:val="16"/>
        </w:rPr>
        <w:t>DAYAN, H. Relatório F</w:t>
      </w:r>
      <w:r>
        <w:rPr>
          <w:sz w:val="16"/>
        </w:rPr>
        <w:t>inal de projeto referente ao mapeamento geológico estrutural - em CDROM. Projeto RETECMIN - RJ/CETEM, 2002.</w:t>
      </w:r>
    </w:p>
    <w:p w:rsidR="00D81F69" w:rsidRDefault="00330118">
      <w:pPr>
        <w:spacing w:before="3" w:line="312" w:lineRule="auto"/>
        <w:ind w:left="100" w:right="217"/>
        <w:jc w:val="both"/>
        <w:rPr>
          <w:sz w:val="16"/>
        </w:rPr>
      </w:pPr>
      <w:r>
        <w:rPr>
          <w:sz w:val="16"/>
        </w:rPr>
        <w:t>FERREIRA, Gilson Ezequiel. O arranjo produtivo de Santo Antônio de Pádua. CETEM, Rio de Janeiro, ago. 2005.</w:t>
      </w:r>
    </w:p>
    <w:p w:rsidR="00D81F69" w:rsidRDefault="00330118">
      <w:pPr>
        <w:spacing w:before="1" w:line="312" w:lineRule="auto"/>
        <w:ind w:left="100" w:right="199"/>
        <w:jc w:val="both"/>
        <w:rPr>
          <w:sz w:val="16"/>
        </w:rPr>
      </w:pPr>
      <w:r>
        <w:rPr>
          <w:sz w:val="16"/>
        </w:rPr>
        <w:t>GROSSI SAD, J.H. &amp; Donadello Moreira, M.</w:t>
      </w:r>
      <w:r>
        <w:rPr>
          <w:sz w:val="16"/>
        </w:rPr>
        <w:t xml:space="preserve"> Geologia e Recursos Minerais da Folha Santo Antônio de Pádua, Estado do Rio de Janeiro, Brasil. Mapa Geológico e Texto Explicativo. Convênio DRM-GEOSOL. Niterói, 1980.</w:t>
      </w:r>
    </w:p>
    <w:p w:rsidR="00D81F69" w:rsidRDefault="00330118">
      <w:pPr>
        <w:spacing w:before="3" w:line="312" w:lineRule="auto"/>
        <w:ind w:left="100" w:right="172"/>
        <w:jc w:val="both"/>
        <w:rPr>
          <w:sz w:val="16"/>
        </w:rPr>
      </w:pPr>
      <w:r>
        <w:rPr>
          <w:sz w:val="16"/>
        </w:rPr>
        <w:t xml:space="preserve">IBGE, Instituto Brasileiro de Geografia e Estatística. Santo Antônio de </w:t>
      </w:r>
      <w:r>
        <w:rPr>
          <w:spacing w:val="20"/>
          <w:sz w:val="16"/>
        </w:rPr>
        <w:t xml:space="preserve">Pádua. </w:t>
      </w:r>
      <w:r>
        <w:rPr>
          <w:spacing w:val="85"/>
          <w:sz w:val="16"/>
        </w:rPr>
        <w:t xml:space="preserve"> </w:t>
      </w:r>
      <w:r>
        <w:rPr>
          <w:spacing w:val="16"/>
          <w:sz w:val="16"/>
        </w:rPr>
        <w:t xml:space="preserve">In:   </w:t>
      </w:r>
      <w:r>
        <w:rPr>
          <w:spacing w:val="18"/>
          <w:sz w:val="16"/>
        </w:rPr>
        <w:t xml:space="preserve">IBGE   </w:t>
      </w:r>
      <w:r>
        <w:rPr>
          <w:spacing w:val="21"/>
          <w:sz w:val="16"/>
        </w:rPr>
        <w:t xml:space="preserve">Cidades,   </w:t>
      </w:r>
      <w:r>
        <w:rPr>
          <w:spacing w:val="20"/>
          <w:sz w:val="16"/>
        </w:rPr>
        <w:t xml:space="preserve">2010.   </w:t>
      </w:r>
      <w:r>
        <w:rPr>
          <w:spacing w:val="22"/>
          <w:sz w:val="16"/>
        </w:rPr>
        <w:t>Disponível</w:t>
      </w:r>
      <w:r>
        <w:rPr>
          <w:spacing w:val="21"/>
          <w:sz w:val="16"/>
        </w:rPr>
        <w:t xml:space="preserve"> </w:t>
      </w:r>
      <w:r>
        <w:rPr>
          <w:spacing w:val="16"/>
          <w:sz w:val="16"/>
        </w:rPr>
        <w:t>em:</w:t>
      </w:r>
      <w:r>
        <w:rPr>
          <w:spacing w:val="-17"/>
          <w:sz w:val="16"/>
        </w:rPr>
        <w:t xml:space="preserve"> </w:t>
      </w:r>
    </w:p>
    <w:p w:rsidR="00D81F69" w:rsidRDefault="00D81F69">
      <w:pPr>
        <w:spacing w:before="2"/>
        <w:ind w:left="100"/>
        <w:jc w:val="both"/>
        <w:rPr>
          <w:sz w:val="16"/>
        </w:rPr>
      </w:pPr>
      <w:hyperlink r:id="rId1486">
        <w:r w:rsidR="00330118">
          <w:rPr>
            <w:sz w:val="16"/>
          </w:rPr>
          <w:t>&lt;http://www.ibge.gov.br/cidadesat/xtras/perfil.php?codmun=330470&amp;r</w:t>
        </w:r>
      </w:hyperlink>
    </w:p>
    <w:p w:rsidR="00D81F69" w:rsidRDefault="00330118">
      <w:pPr>
        <w:spacing w:before="56"/>
        <w:ind w:left="100"/>
        <w:jc w:val="both"/>
        <w:rPr>
          <w:sz w:val="16"/>
        </w:rPr>
      </w:pPr>
      <w:r>
        <w:rPr>
          <w:sz w:val="16"/>
        </w:rPr>
        <w:t>=2&gt;. Acesso em: 20 ago. 2012.</w:t>
      </w:r>
    </w:p>
    <w:p w:rsidR="00D81F69" w:rsidRDefault="00330118">
      <w:pPr>
        <w:spacing w:before="56" w:line="312" w:lineRule="auto"/>
        <w:ind w:left="100" w:right="187"/>
        <w:jc w:val="both"/>
        <w:rPr>
          <w:sz w:val="16"/>
        </w:rPr>
      </w:pPr>
      <w:r>
        <w:rPr>
          <w:sz w:val="16"/>
        </w:rPr>
        <w:t>JORNAL DO COMMERCIO. Argamil e</w:t>
      </w:r>
      <w:r>
        <w:rPr>
          <w:sz w:val="16"/>
        </w:rPr>
        <w:t>ntra em operação de olho no meio ambiente. Rio de Janeiro, jun. 2008. Disponível em:</w:t>
      </w:r>
    </w:p>
    <w:p w:rsidR="00D81F69" w:rsidRDefault="00D81F69">
      <w:pPr>
        <w:spacing w:before="2" w:line="312" w:lineRule="auto"/>
        <w:ind w:left="100" w:right="212"/>
        <w:jc w:val="both"/>
        <w:rPr>
          <w:sz w:val="16"/>
        </w:rPr>
      </w:pPr>
      <w:hyperlink r:id="rId1487">
        <w:r w:rsidR="00330118">
          <w:rPr>
            <w:sz w:val="16"/>
          </w:rPr>
          <w:t>&lt;http://www.superobra.com.br/admin/news.asp?ID_New=2344&amp;Pag=</w:t>
        </w:r>
      </w:hyperlink>
      <w:r w:rsidR="00330118">
        <w:rPr>
          <w:sz w:val="16"/>
        </w:rPr>
        <w:t xml:space="preserve"> all_news.asp&amp;ID_Sessao_New=4&amp;</w:t>
      </w:r>
      <w:r w:rsidR="00330118">
        <w:rPr>
          <w:sz w:val="16"/>
        </w:rPr>
        <w:t>ID_ANew=16&gt;. Acesso em: 27 set. 2010.</w:t>
      </w:r>
    </w:p>
    <w:p w:rsidR="00D81F69" w:rsidRDefault="00330118">
      <w:pPr>
        <w:spacing w:before="2" w:line="312" w:lineRule="auto"/>
        <w:ind w:left="100" w:right="130"/>
        <w:jc w:val="both"/>
        <w:rPr>
          <w:sz w:val="16"/>
        </w:rPr>
      </w:pPr>
      <w:r>
        <w:rPr>
          <w:spacing w:val="1"/>
          <w:sz w:val="16"/>
        </w:rPr>
        <w:t xml:space="preserve">MEDINA, Heloísa; PEITER, Carlos César; DEUS, Leandro </w:t>
      </w:r>
      <w:r>
        <w:rPr>
          <w:spacing w:val="2"/>
          <w:sz w:val="16"/>
        </w:rPr>
        <w:t xml:space="preserve">Andrei </w:t>
      </w:r>
      <w:r>
        <w:rPr>
          <w:spacing w:val="3"/>
          <w:sz w:val="16"/>
        </w:rPr>
        <w:t xml:space="preserve">Beser </w:t>
      </w:r>
      <w:r>
        <w:rPr>
          <w:spacing w:val="2"/>
          <w:sz w:val="16"/>
        </w:rPr>
        <w:t xml:space="preserve">de. </w:t>
      </w:r>
      <w:r>
        <w:rPr>
          <w:sz w:val="16"/>
        </w:rPr>
        <w:t xml:space="preserve">A </w:t>
      </w:r>
      <w:r>
        <w:rPr>
          <w:spacing w:val="3"/>
          <w:sz w:val="16"/>
        </w:rPr>
        <w:t xml:space="preserve">cadeia produtiva </w:t>
      </w:r>
      <w:r>
        <w:rPr>
          <w:spacing w:val="1"/>
          <w:sz w:val="16"/>
        </w:rPr>
        <w:t xml:space="preserve">de </w:t>
      </w:r>
      <w:r>
        <w:rPr>
          <w:spacing w:val="3"/>
          <w:sz w:val="16"/>
        </w:rPr>
        <w:t xml:space="preserve">rochas ornamentais </w:t>
      </w:r>
      <w:r>
        <w:rPr>
          <w:spacing w:val="1"/>
          <w:sz w:val="16"/>
        </w:rPr>
        <w:t xml:space="preserve">em </w:t>
      </w:r>
      <w:r>
        <w:rPr>
          <w:spacing w:val="5"/>
          <w:sz w:val="16"/>
        </w:rPr>
        <w:t xml:space="preserve">Santo </w:t>
      </w:r>
      <w:r>
        <w:rPr>
          <w:sz w:val="16"/>
        </w:rPr>
        <w:t>Antônio de Pádua. CETEM, XXIII ENEGEP - Encontro Nacional de Engenharia de Produção. Escola de Min</w:t>
      </w:r>
      <w:r>
        <w:rPr>
          <w:sz w:val="16"/>
        </w:rPr>
        <w:t xml:space="preserve">as da UFOP. Ouro Preto, 21   a      </w:t>
      </w:r>
      <w:r>
        <w:rPr>
          <w:spacing w:val="42"/>
          <w:sz w:val="16"/>
        </w:rPr>
        <w:t xml:space="preserve"> </w:t>
      </w:r>
      <w:r>
        <w:rPr>
          <w:spacing w:val="21"/>
          <w:sz w:val="16"/>
        </w:rPr>
        <w:t>2</w:t>
      </w:r>
      <w:r>
        <w:rPr>
          <w:sz w:val="16"/>
        </w:rPr>
        <w:t xml:space="preserve"> 4      </w:t>
      </w:r>
      <w:r>
        <w:rPr>
          <w:spacing w:val="42"/>
          <w:sz w:val="16"/>
        </w:rPr>
        <w:t xml:space="preserve"> </w:t>
      </w:r>
      <w:r>
        <w:rPr>
          <w:spacing w:val="21"/>
          <w:sz w:val="16"/>
        </w:rPr>
        <w:t>o</w:t>
      </w:r>
      <w:r>
        <w:rPr>
          <w:sz w:val="16"/>
        </w:rPr>
        <w:t xml:space="preserve"> </w:t>
      </w:r>
      <w:r>
        <w:rPr>
          <w:spacing w:val="21"/>
          <w:sz w:val="16"/>
        </w:rPr>
        <w:t>u</w:t>
      </w:r>
      <w:r>
        <w:rPr>
          <w:sz w:val="16"/>
        </w:rPr>
        <w:t xml:space="preserve"> </w:t>
      </w:r>
      <w:r>
        <w:rPr>
          <w:spacing w:val="21"/>
          <w:sz w:val="16"/>
        </w:rPr>
        <w:t>t</w:t>
      </w:r>
      <w:r>
        <w:rPr>
          <w:sz w:val="16"/>
        </w:rPr>
        <w:t xml:space="preserve"> .      </w:t>
      </w:r>
      <w:r>
        <w:rPr>
          <w:spacing w:val="42"/>
          <w:sz w:val="16"/>
        </w:rPr>
        <w:t xml:space="preserve"> </w:t>
      </w:r>
      <w:r>
        <w:rPr>
          <w:spacing w:val="21"/>
          <w:sz w:val="16"/>
        </w:rPr>
        <w:t>2</w:t>
      </w:r>
      <w:r>
        <w:rPr>
          <w:sz w:val="16"/>
        </w:rPr>
        <w:t xml:space="preserve"> </w:t>
      </w:r>
      <w:r>
        <w:rPr>
          <w:spacing w:val="21"/>
          <w:sz w:val="16"/>
        </w:rPr>
        <w:t>0</w:t>
      </w:r>
      <w:r>
        <w:rPr>
          <w:sz w:val="16"/>
        </w:rPr>
        <w:t xml:space="preserve"> </w:t>
      </w:r>
      <w:r>
        <w:rPr>
          <w:spacing w:val="21"/>
          <w:sz w:val="16"/>
        </w:rPr>
        <w:t>0</w:t>
      </w:r>
      <w:r>
        <w:rPr>
          <w:sz w:val="16"/>
        </w:rPr>
        <w:t xml:space="preserve"> </w:t>
      </w:r>
      <w:r>
        <w:rPr>
          <w:spacing w:val="21"/>
          <w:sz w:val="16"/>
        </w:rPr>
        <w:t>3</w:t>
      </w:r>
      <w:r>
        <w:rPr>
          <w:sz w:val="16"/>
        </w:rPr>
        <w:t xml:space="preserve"> .      </w:t>
      </w:r>
      <w:r>
        <w:rPr>
          <w:spacing w:val="42"/>
          <w:sz w:val="16"/>
        </w:rPr>
        <w:t xml:space="preserve"> </w:t>
      </w:r>
      <w:r>
        <w:rPr>
          <w:spacing w:val="21"/>
          <w:sz w:val="16"/>
        </w:rPr>
        <w:t>D</w:t>
      </w:r>
      <w:r>
        <w:rPr>
          <w:sz w:val="16"/>
        </w:rPr>
        <w:t xml:space="preserve"> </w:t>
      </w:r>
      <w:r>
        <w:rPr>
          <w:spacing w:val="21"/>
          <w:sz w:val="16"/>
        </w:rPr>
        <w:t>i</w:t>
      </w:r>
      <w:r>
        <w:rPr>
          <w:sz w:val="16"/>
        </w:rPr>
        <w:t xml:space="preserve"> </w:t>
      </w:r>
      <w:r>
        <w:rPr>
          <w:spacing w:val="21"/>
          <w:sz w:val="16"/>
        </w:rPr>
        <w:t>s</w:t>
      </w:r>
      <w:r>
        <w:rPr>
          <w:sz w:val="16"/>
        </w:rPr>
        <w:t xml:space="preserve"> </w:t>
      </w:r>
      <w:r>
        <w:rPr>
          <w:spacing w:val="21"/>
          <w:sz w:val="16"/>
        </w:rPr>
        <w:t>p</w:t>
      </w:r>
      <w:r>
        <w:rPr>
          <w:sz w:val="16"/>
        </w:rPr>
        <w:t xml:space="preserve"> </w:t>
      </w:r>
      <w:r>
        <w:rPr>
          <w:spacing w:val="21"/>
          <w:sz w:val="16"/>
        </w:rPr>
        <w:t>o</w:t>
      </w:r>
      <w:r>
        <w:rPr>
          <w:sz w:val="16"/>
        </w:rPr>
        <w:t xml:space="preserve"> </w:t>
      </w:r>
      <w:r>
        <w:rPr>
          <w:spacing w:val="21"/>
          <w:sz w:val="16"/>
        </w:rPr>
        <w:t>n</w:t>
      </w:r>
      <w:r>
        <w:rPr>
          <w:sz w:val="16"/>
        </w:rPr>
        <w:t xml:space="preserve"> </w:t>
      </w:r>
      <w:r>
        <w:rPr>
          <w:spacing w:val="21"/>
          <w:sz w:val="16"/>
        </w:rPr>
        <w:t>í</w:t>
      </w:r>
      <w:r>
        <w:rPr>
          <w:sz w:val="16"/>
        </w:rPr>
        <w:t xml:space="preserve"> </w:t>
      </w:r>
      <w:r>
        <w:rPr>
          <w:spacing w:val="21"/>
          <w:sz w:val="16"/>
        </w:rPr>
        <w:t>v</w:t>
      </w:r>
      <w:r>
        <w:rPr>
          <w:sz w:val="16"/>
        </w:rPr>
        <w:t xml:space="preserve"> </w:t>
      </w:r>
      <w:r>
        <w:rPr>
          <w:spacing w:val="21"/>
          <w:sz w:val="16"/>
        </w:rPr>
        <w:t>e</w:t>
      </w:r>
      <w:r>
        <w:rPr>
          <w:sz w:val="16"/>
        </w:rPr>
        <w:t xml:space="preserve"> l      </w:t>
      </w:r>
      <w:r>
        <w:rPr>
          <w:spacing w:val="42"/>
          <w:sz w:val="16"/>
        </w:rPr>
        <w:t xml:space="preserve"> </w:t>
      </w:r>
      <w:r>
        <w:rPr>
          <w:spacing w:val="21"/>
          <w:sz w:val="16"/>
        </w:rPr>
        <w:t>e</w:t>
      </w:r>
      <w:r>
        <w:rPr>
          <w:sz w:val="16"/>
        </w:rPr>
        <w:t xml:space="preserve"> </w:t>
      </w:r>
      <w:r>
        <w:rPr>
          <w:spacing w:val="21"/>
          <w:sz w:val="16"/>
        </w:rPr>
        <w:t>m</w:t>
      </w:r>
      <w:r>
        <w:rPr>
          <w:sz w:val="16"/>
        </w:rPr>
        <w:t xml:space="preserve"> : </w:t>
      </w:r>
      <w:r>
        <w:rPr>
          <w:spacing w:val="-21"/>
          <w:sz w:val="16"/>
        </w:rPr>
        <w:t xml:space="preserve"> </w:t>
      </w:r>
    </w:p>
    <w:p w:rsidR="00D81F69" w:rsidRDefault="00D81F69">
      <w:pPr>
        <w:spacing w:before="4" w:line="312" w:lineRule="auto"/>
        <w:ind w:left="100" w:right="185"/>
        <w:jc w:val="both"/>
        <w:rPr>
          <w:sz w:val="16"/>
        </w:rPr>
      </w:pPr>
      <w:hyperlink r:id="rId1488">
        <w:r w:rsidR="00330118">
          <w:rPr>
            <w:sz w:val="16"/>
          </w:rPr>
          <w:t xml:space="preserve">&lt;http://www.redeaplmineral.org.br/biblioteca/rochas- </w:t>
        </w:r>
      </w:hyperlink>
      <w:r w:rsidR="00330118">
        <w:rPr>
          <w:sz w:val="16"/>
        </w:rPr>
        <w:t>ornamentais/Cadeia_produtiva_Padua.pdf&gt;. Acesso em: 25 set. 2010. PEITER, Carlos César; CAMPOS, Antonio Rodrigues de; CARVALHO, Eduardo Augusto de; GAMEIRO, Maria Martha de Magalhães. Arranjos Produtivos Locais do setor de rochas ornamentais e a experiênci</w:t>
      </w:r>
      <w:r w:rsidR="00330118">
        <w:rPr>
          <w:sz w:val="16"/>
        </w:rPr>
        <w:t>a do Pólo de Santo Antonio de Pádua, RJ. Centro de Tecnologia Mineral, Rio de Janeiro, 2004. Disponível em:</w:t>
      </w:r>
    </w:p>
    <w:p w:rsidR="00D81F69" w:rsidRDefault="00D81F69">
      <w:pPr>
        <w:spacing w:before="6"/>
        <w:ind w:left="100"/>
        <w:jc w:val="both"/>
        <w:rPr>
          <w:sz w:val="16"/>
        </w:rPr>
      </w:pPr>
      <w:hyperlink r:id="rId1489">
        <w:r w:rsidR="00330118">
          <w:rPr>
            <w:sz w:val="16"/>
          </w:rPr>
          <w:t>&lt;http://www.cetem.gov.br/publicacao/CTs/CT2003-105-00.pdf&gt;.</w:t>
        </w:r>
      </w:hyperlink>
    </w:p>
    <w:p w:rsidR="00D81F69" w:rsidRDefault="00D81F69">
      <w:pPr>
        <w:jc w:val="both"/>
        <w:rPr>
          <w:sz w:val="16"/>
        </w:rPr>
        <w:sectPr w:rsidR="00D81F69">
          <w:pgSz w:w="11900" w:h="16840"/>
          <w:pgMar w:top="740" w:right="500" w:bottom="640" w:left="620" w:header="0" w:footer="402" w:gutter="0"/>
          <w:cols w:num="2" w:space="720" w:equalWidth="0">
            <w:col w:w="5157" w:space="313"/>
            <w:col w:w="5310"/>
          </w:cols>
        </w:sectPr>
      </w:pPr>
    </w:p>
    <w:p w:rsidR="00D81F69" w:rsidRDefault="00330118">
      <w:pPr>
        <w:spacing w:before="70"/>
        <w:ind w:left="100"/>
        <w:rPr>
          <w:sz w:val="16"/>
        </w:rPr>
      </w:pPr>
      <w:r>
        <w:rPr>
          <w:sz w:val="16"/>
        </w:rPr>
        <w:lastRenderedPageBreak/>
        <w:t>Acesso em: 25 set. 2010.</w:t>
      </w:r>
    </w:p>
    <w:p w:rsidR="00D81F69" w:rsidRDefault="00330118">
      <w:pPr>
        <w:tabs>
          <w:tab w:val="left" w:pos="4331"/>
        </w:tabs>
        <w:spacing w:before="56" w:line="312" w:lineRule="auto"/>
        <w:ind w:left="100" w:right="38"/>
        <w:jc w:val="both"/>
        <w:rPr>
          <w:sz w:val="16"/>
        </w:rPr>
      </w:pPr>
      <w:r>
        <w:rPr>
          <w:sz w:val="16"/>
        </w:rPr>
        <w:t xml:space="preserve">PEITER, Carlos César; CARRISSO, Regina Coeli Casseres; PIRES, Daniel Coelho Barçante. O Arranjo Produtivo Local de Santo Antônio de Pádua. In: FERNANDES, Francisco Rego Chaves; ENRIQUEZ, </w:t>
      </w:r>
      <w:r>
        <w:rPr>
          <w:spacing w:val="5"/>
          <w:sz w:val="16"/>
        </w:rPr>
        <w:t xml:space="preserve">Maria Amélia; </w:t>
      </w:r>
      <w:r>
        <w:rPr>
          <w:spacing w:val="5"/>
          <w:sz w:val="16"/>
        </w:rPr>
        <w:t xml:space="preserve">ALAMINO, Renata </w:t>
      </w:r>
      <w:r>
        <w:rPr>
          <w:spacing w:val="2"/>
          <w:sz w:val="16"/>
        </w:rPr>
        <w:t xml:space="preserve">de </w:t>
      </w:r>
      <w:r>
        <w:rPr>
          <w:spacing w:val="5"/>
          <w:sz w:val="16"/>
        </w:rPr>
        <w:t xml:space="preserve">Carvalho Jimenez </w:t>
      </w:r>
      <w:r>
        <w:rPr>
          <w:spacing w:val="6"/>
          <w:sz w:val="16"/>
        </w:rPr>
        <w:t xml:space="preserve">(Eds.). </w:t>
      </w:r>
      <w:r>
        <w:rPr>
          <w:spacing w:val="1"/>
          <w:sz w:val="16"/>
        </w:rPr>
        <w:t xml:space="preserve">Recursos Minerais </w:t>
      </w:r>
      <w:r>
        <w:rPr>
          <w:sz w:val="16"/>
        </w:rPr>
        <w:t xml:space="preserve">e </w:t>
      </w:r>
      <w:r>
        <w:rPr>
          <w:spacing w:val="1"/>
          <w:sz w:val="16"/>
        </w:rPr>
        <w:t xml:space="preserve">Sustentabilidade Territorial: </w:t>
      </w:r>
      <w:r>
        <w:rPr>
          <w:sz w:val="16"/>
        </w:rPr>
        <w:t xml:space="preserve">v. 2, </w:t>
      </w:r>
      <w:r>
        <w:rPr>
          <w:spacing w:val="2"/>
          <w:sz w:val="16"/>
        </w:rPr>
        <w:t xml:space="preserve">p.177-198. </w:t>
      </w:r>
      <w:r>
        <w:rPr>
          <w:spacing w:val="7"/>
          <w:sz w:val="16"/>
        </w:rPr>
        <w:t xml:space="preserve">Grandes Minas </w:t>
      </w:r>
      <w:r>
        <w:rPr>
          <w:sz w:val="16"/>
        </w:rPr>
        <w:t xml:space="preserve">e  </w:t>
      </w:r>
      <w:r>
        <w:rPr>
          <w:spacing w:val="8"/>
          <w:sz w:val="16"/>
        </w:rPr>
        <w:t xml:space="preserve">Comunidades </w:t>
      </w:r>
      <w:r>
        <w:rPr>
          <w:spacing w:val="7"/>
          <w:sz w:val="16"/>
        </w:rPr>
        <w:t xml:space="preserve">Locais,  </w:t>
      </w:r>
      <w:r>
        <w:rPr>
          <w:spacing w:val="8"/>
          <w:sz w:val="16"/>
        </w:rPr>
        <w:t xml:space="preserve">CETEM/MCTI, </w:t>
      </w:r>
      <w:r>
        <w:rPr>
          <w:spacing w:val="10"/>
          <w:sz w:val="16"/>
        </w:rPr>
        <w:t xml:space="preserve">2011.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5"/>
        <w:ind w:left="100"/>
        <w:jc w:val="both"/>
        <w:rPr>
          <w:sz w:val="16"/>
        </w:rPr>
      </w:pPr>
      <w:hyperlink r:id="rId1490">
        <w:r w:rsidR="00330118">
          <w:rPr>
            <w:sz w:val="16"/>
          </w:rPr>
          <w:t>&lt;http://www.cetem.gov.br/publicacao/livros/Vol_1_GRANDES_MINAS</w:t>
        </w:r>
      </w:hyperlink>
    </w:p>
    <w:p w:rsidR="00D81F69" w:rsidRDefault="00330118">
      <w:pPr>
        <w:spacing w:before="56"/>
        <w:ind w:left="100"/>
        <w:jc w:val="both"/>
        <w:rPr>
          <w:sz w:val="16"/>
        </w:rPr>
      </w:pPr>
      <w:r>
        <w:rPr>
          <w:sz w:val="16"/>
        </w:rPr>
        <w:t>_TOTAL.pdf&gt;. Acesso em: 21 de ago. 2012.</w:t>
      </w:r>
    </w:p>
    <w:p w:rsidR="00D81F69" w:rsidRDefault="00330118">
      <w:pPr>
        <w:spacing w:before="56"/>
        <w:ind w:left="100"/>
        <w:jc w:val="both"/>
        <w:rPr>
          <w:sz w:val="16"/>
        </w:rPr>
      </w:pPr>
      <w:r>
        <w:rPr>
          <w:sz w:val="16"/>
        </w:rPr>
        <w:t>PREFEITURA  MUNICIPAL  DE  SANTO  ANTÔNIO  DE PÁDUA.</w:t>
      </w:r>
    </w:p>
    <w:p w:rsidR="00D81F69" w:rsidRDefault="00330118">
      <w:pPr>
        <w:tabs>
          <w:tab w:val="left" w:pos="2317"/>
          <w:tab w:val="left" w:pos="4616"/>
        </w:tabs>
        <w:spacing w:before="56"/>
        <w:ind w:left="100"/>
        <w:jc w:val="both"/>
        <w:rPr>
          <w:sz w:val="16"/>
        </w:rPr>
      </w:pPr>
      <w:r>
        <w:rPr>
          <w:sz w:val="16"/>
        </w:rPr>
        <w:t xml:space="preserve">H </w:t>
      </w:r>
      <w:r>
        <w:rPr>
          <w:spacing w:val="21"/>
          <w:sz w:val="16"/>
        </w:rPr>
        <w:t xml:space="preserve"> </w:t>
      </w:r>
      <w:r>
        <w:rPr>
          <w:sz w:val="16"/>
        </w:rPr>
        <w:t xml:space="preserve">i </w:t>
      </w:r>
      <w:r>
        <w:rPr>
          <w:spacing w:val="21"/>
          <w:sz w:val="16"/>
        </w:rPr>
        <w:t xml:space="preserve"> </w:t>
      </w:r>
      <w:r>
        <w:rPr>
          <w:sz w:val="16"/>
        </w:rPr>
        <w:t xml:space="preserve">s </w:t>
      </w:r>
      <w:r>
        <w:rPr>
          <w:spacing w:val="21"/>
          <w:sz w:val="16"/>
        </w:rPr>
        <w:t xml:space="preserve"> </w:t>
      </w:r>
      <w:r>
        <w:rPr>
          <w:sz w:val="16"/>
        </w:rPr>
        <w:t xml:space="preserve">t </w:t>
      </w:r>
      <w:r>
        <w:rPr>
          <w:spacing w:val="21"/>
          <w:sz w:val="16"/>
        </w:rPr>
        <w:t xml:space="preserve"> </w:t>
      </w:r>
      <w:r>
        <w:rPr>
          <w:sz w:val="16"/>
        </w:rPr>
        <w:t xml:space="preserve">ó </w:t>
      </w:r>
      <w:r>
        <w:rPr>
          <w:spacing w:val="21"/>
          <w:sz w:val="16"/>
        </w:rPr>
        <w:t xml:space="preserve"> </w:t>
      </w:r>
      <w:r>
        <w:rPr>
          <w:sz w:val="16"/>
        </w:rPr>
        <w:t xml:space="preserve">r </w:t>
      </w:r>
      <w:r>
        <w:rPr>
          <w:spacing w:val="21"/>
          <w:sz w:val="16"/>
        </w:rPr>
        <w:t xml:space="preserve"> </w:t>
      </w:r>
      <w:r>
        <w:rPr>
          <w:sz w:val="16"/>
        </w:rPr>
        <w:t xml:space="preserve">i </w:t>
      </w:r>
      <w:r>
        <w:rPr>
          <w:spacing w:val="21"/>
          <w:sz w:val="16"/>
        </w:rPr>
        <w:t xml:space="preserve"> </w:t>
      </w:r>
      <w:r>
        <w:rPr>
          <w:sz w:val="16"/>
        </w:rPr>
        <w:t xml:space="preserve">c </w:t>
      </w:r>
      <w:r>
        <w:rPr>
          <w:spacing w:val="21"/>
          <w:sz w:val="16"/>
        </w:rPr>
        <w:t xml:space="preserve"> </w:t>
      </w:r>
      <w:r>
        <w:rPr>
          <w:sz w:val="16"/>
        </w:rPr>
        <w:t xml:space="preserve">o </w:t>
      </w:r>
      <w:r>
        <w:rPr>
          <w:spacing w:val="21"/>
          <w:sz w:val="16"/>
        </w:rPr>
        <w:t xml:space="preserve"> </w:t>
      </w:r>
      <w:r>
        <w:rPr>
          <w:sz w:val="16"/>
        </w:rPr>
        <w:t>.</w:t>
      </w:r>
      <w:r>
        <w:rPr>
          <w:sz w:val="16"/>
        </w:rPr>
        <w:tab/>
        <w:t xml:space="preserve">D </w:t>
      </w:r>
      <w:r>
        <w:rPr>
          <w:spacing w:val="21"/>
          <w:sz w:val="16"/>
        </w:rPr>
        <w:t xml:space="preserve"> </w:t>
      </w:r>
      <w:r>
        <w:rPr>
          <w:sz w:val="16"/>
        </w:rPr>
        <w:t xml:space="preserve">i </w:t>
      </w:r>
      <w:r>
        <w:rPr>
          <w:spacing w:val="21"/>
          <w:sz w:val="16"/>
        </w:rPr>
        <w:t xml:space="preserve"> </w:t>
      </w:r>
      <w:r>
        <w:rPr>
          <w:sz w:val="16"/>
        </w:rPr>
        <w:t xml:space="preserve">s </w:t>
      </w:r>
      <w:r>
        <w:rPr>
          <w:spacing w:val="21"/>
          <w:sz w:val="16"/>
        </w:rPr>
        <w:t xml:space="preserve"> </w:t>
      </w:r>
      <w:r>
        <w:rPr>
          <w:sz w:val="16"/>
        </w:rPr>
        <w:t xml:space="preserve">p </w:t>
      </w:r>
      <w:r>
        <w:rPr>
          <w:spacing w:val="21"/>
          <w:sz w:val="16"/>
        </w:rPr>
        <w:t xml:space="preserve"> </w:t>
      </w:r>
      <w:r>
        <w:rPr>
          <w:sz w:val="16"/>
        </w:rPr>
        <w:t xml:space="preserve">o </w:t>
      </w:r>
      <w:r>
        <w:rPr>
          <w:spacing w:val="21"/>
          <w:sz w:val="16"/>
        </w:rPr>
        <w:t xml:space="preserve"> </w:t>
      </w:r>
      <w:r>
        <w:rPr>
          <w:sz w:val="16"/>
        </w:rPr>
        <w:t xml:space="preserve">n </w:t>
      </w:r>
      <w:r>
        <w:rPr>
          <w:spacing w:val="21"/>
          <w:sz w:val="16"/>
        </w:rPr>
        <w:t xml:space="preserve"> </w:t>
      </w:r>
      <w:r>
        <w:rPr>
          <w:sz w:val="16"/>
        </w:rPr>
        <w:t xml:space="preserve">í </w:t>
      </w:r>
      <w:r>
        <w:rPr>
          <w:spacing w:val="21"/>
          <w:sz w:val="16"/>
        </w:rPr>
        <w:t xml:space="preserve"> </w:t>
      </w:r>
      <w:r>
        <w:rPr>
          <w:sz w:val="16"/>
        </w:rPr>
        <w:t xml:space="preserve">v </w:t>
      </w:r>
      <w:r>
        <w:rPr>
          <w:spacing w:val="21"/>
          <w:sz w:val="16"/>
        </w:rPr>
        <w:t xml:space="preserve"> </w:t>
      </w:r>
      <w:r>
        <w:rPr>
          <w:sz w:val="16"/>
        </w:rPr>
        <w:t xml:space="preserve">e </w:t>
      </w:r>
      <w:r>
        <w:rPr>
          <w:spacing w:val="21"/>
          <w:sz w:val="16"/>
        </w:rPr>
        <w:t xml:space="preserve"> </w:t>
      </w:r>
      <w:r>
        <w:rPr>
          <w:sz w:val="16"/>
        </w:rPr>
        <w:t>l</w:t>
      </w:r>
      <w:r>
        <w:rPr>
          <w:sz w:val="16"/>
        </w:rPr>
        <w:tab/>
        <w:t>e   m  :</w:t>
      </w:r>
    </w:p>
    <w:p w:rsidR="00D81F69" w:rsidRDefault="00D81F69">
      <w:pPr>
        <w:spacing w:before="56" w:line="312" w:lineRule="auto"/>
        <w:ind w:left="100" w:right="60"/>
        <w:jc w:val="both"/>
        <w:rPr>
          <w:sz w:val="16"/>
        </w:rPr>
      </w:pPr>
      <w:hyperlink r:id="rId1491">
        <w:r w:rsidR="00330118">
          <w:rPr>
            <w:sz w:val="16"/>
          </w:rPr>
          <w:t xml:space="preserve">&lt;http://www.santoantoniodepadua.rj.gov.br/historico.php&gt;. </w:t>
        </w:r>
      </w:hyperlink>
      <w:r w:rsidR="00330118">
        <w:rPr>
          <w:sz w:val="16"/>
        </w:rPr>
        <w:t>Acesso em: 23 set. 2010.</w:t>
      </w:r>
    </w:p>
    <w:p w:rsidR="00D81F69" w:rsidRDefault="00330118">
      <w:pPr>
        <w:tabs>
          <w:tab w:val="left" w:pos="4331"/>
        </w:tabs>
        <w:spacing w:before="2" w:line="312" w:lineRule="auto"/>
        <w:ind w:left="100" w:right="40"/>
        <w:jc w:val="both"/>
        <w:rPr>
          <w:sz w:val="16"/>
        </w:rPr>
      </w:pPr>
      <w:r>
        <w:rPr>
          <w:sz w:val="16"/>
        </w:rPr>
        <w:t xml:space="preserve">REGAZZI, Renato Dias; EPSZTEJN, Ruth; PEIXOTO, José Antônio </w:t>
      </w:r>
      <w:r>
        <w:rPr>
          <w:spacing w:val="5"/>
          <w:sz w:val="16"/>
        </w:rPr>
        <w:t xml:space="preserve">Assunção. Estudo </w:t>
      </w:r>
      <w:r>
        <w:rPr>
          <w:spacing w:val="3"/>
          <w:sz w:val="16"/>
        </w:rPr>
        <w:t xml:space="preserve">para </w:t>
      </w:r>
      <w:r>
        <w:rPr>
          <w:sz w:val="16"/>
        </w:rPr>
        <w:t xml:space="preserve">a </w:t>
      </w:r>
      <w:r>
        <w:rPr>
          <w:spacing w:val="5"/>
          <w:sz w:val="16"/>
        </w:rPr>
        <w:t xml:space="preserve">dinamização </w:t>
      </w:r>
      <w:r>
        <w:rPr>
          <w:spacing w:val="2"/>
          <w:sz w:val="16"/>
        </w:rPr>
        <w:t xml:space="preserve">do </w:t>
      </w:r>
      <w:r>
        <w:rPr>
          <w:spacing w:val="5"/>
          <w:sz w:val="16"/>
        </w:rPr>
        <w:t xml:space="preserve">arranjo produtivo de </w:t>
      </w:r>
      <w:r>
        <w:rPr>
          <w:spacing w:val="1"/>
          <w:sz w:val="16"/>
        </w:rPr>
        <w:t xml:space="preserve">pequenas </w:t>
      </w:r>
      <w:r>
        <w:rPr>
          <w:sz w:val="16"/>
        </w:rPr>
        <w:t xml:space="preserve">e </w:t>
      </w:r>
      <w:r>
        <w:rPr>
          <w:spacing w:val="1"/>
          <w:sz w:val="16"/>
        </w:rPr>
        <w:t xml:space="preserve">médias empresas </w:t>
      </w:r>
      <w:r>
        <w:rPr>
          <w:sz w:val="16"/>
        </w:rPr>
        <w:t xml:space="preserve">do </w:t>
      </w:r>
      <w:r>
        <w:rPr>
          <w:spacing w:val="1"/>
          <w:sz w:val="16"/>
        </w:rPr>
        <w:t xml:space="preserve">pólo </w:t>
      </w:r>
      <w:r>
        <w:rPr>
          <w:sz w:val="16"/>
        </w:rPr>
        <w:t xml:space="preserve">de </w:t>
      </w:r>
      <w:r>
        <w:rPr>
          <w:spacing w:val="1"/>
          <w:sz w:val="16"/>
        </w:rPr>
        <w:t xml:space="preserve">rochas ornamentais </w:t>
      </w:r>
      <w:r>
        <w:rPr>
          <w:spacing w:val="2"/>
          <w:sz w:val="16"/>
        </w:rPr>
        <w:t xml:space="preserve">de </w:t>
      </w:r>
      <w:r>
        <w:rPr>
          <w:spacing w:val="3"/>
          <w:sz w:val="16"/>
        </w:rPr>
        <w:t xml:space="preserve">Santo Antônio </w:t>
      </w:r>
      <w:r>
        <w:rPr>
          <w:spacing w:val="1"/>
          <w:sz w:val="16"/>
        </w:rPr>
        <w:t xml:space="preserve">de </w:t>
      </w:r>
      <w:r>
        <w:rPr>
          <w:spacing w:val="3"/>
          <w:sz w:val="16"/>
        </w:rPr>
        <w:t xml:space="preserve">Pádua </w:t>
      </w:r>
      <w:r>
        <w:rPr>
          <w:sz w:val="16"/>
        </w:rPr>
        <w:t xml:space="preserve">– </w:t>
      </w:r>
      <w:r>
        <w:rPr>
          <w:spacing w:val="2"/>
          <w:sz w:val="16"/>
        </w:rPr>
        <w:t xml:space="preserve">RJ. XXIV </w:t>
      </w:r>
      <w:r>
        <w:rPr>
          <w:spacing w:val="3"/>
          <w:sz w:val="16"/>
        </w:rPr>
        <w:t xml:space="preserve">Encontro </w:t>
      </w:r>
      <w:r>
        <w:rPr>
          <w:spacing w:val="2"/>
          <w:sz w:val="16"/>
        </w:rPr>
        <w:t xml:space="preserve">Nac. </w:t>
      </w:r>
      <w:r>
        <w:rPr>
          <w:spacing w:val="1"/>
          <w:sz w:val="16"/>
        </w:rPr>
        <w:t xml:space="preserve">de </w:t>
      </w:r>
      <w:r>
        <w:rPr>
          <w:spacing w:val="2"/>
          <w:sz w:val="16"/>
        </w:rPr>
        <w:t xml:space="preserve">Eng. </w:t>
      </w:r>
      <w:r>
        <w:rPr>
          <w:spacing w:val="5"/>
          <w:sz w:val="16"/>
        </w:rPr>
        <w:t xml:space="preserve">de </w:t>
      </w:r>
      <w:r>
        <w:rPr>
          <w:spacing w:val="3"/>
          <w:sz w:val="16"/>
        </w:rPr>
        <w:t xml:space="preserve">Produção </w:t>
      </w:r>
      <w:r>
        <w:rPr>
          <w:sz w:val="16"/>
        </w:rPr>
        <w:t xml:space="preserve">- </w:t>
      </w:r>
      <w:r>
        <w:rPr>
          <w:spacing w:val="3"/>
          <w:sz w:val="16"/>
        </w:rPr>
        <w:t xml:space="preserve">Florianópolis, </w:t>
      </w:r>
      <w:r>
        <w:rPr>
          <w:spacing w:val="2"/>
          <w:sz w:val="16"/>
        </w:rPr>
        <w:t xml:space="preserve">SC, </w:t>
      </w:r>
      <w:r>
        <w:rPr>
          <w:spacing w:val="3"/>
          <w:sz w:val="16"/>
        </w:rPr>
        <w:t xml:space="preserve">Brasil, </w:t>
      </w:r>
      <w:r>
        <w:rPr>
          <w:spacing w:val="1"/>
          <w:sz w:val="16"/>
        </w:rPr>
        <w:t xml:space="preserve">03  </w:t>
      </w:r>
      <w:r>
        <w:rPr>
          <w:sz w:val="16"/>
        </w:rPr>
        <w:t xml:space="preserve">a  </w:t>
      </w:r>
      <w:r>
        <w:rPr>
          <w:spacing w:val="1"/>
          <w:sz w:val="16"/>
        </w:rPr>
        <w:t xml:space="preserve">05  de  </w:t>
      </w:r>
      <w:r>
        <w:rPr>
          <w:spacing w:val="2"/>
          <w:sz w:val="16"/>
        </w:rPr>
        <w:t xml:space="preserve">nov. </w:t>
      </w:r>
      <w:r>
        <w:rPr>
          <w:spacing w:val="1"/>
          <w:sz w:val="16"/>
        </w:rPr>
        <w:t xml:space="preserve">de  </w:t>
      </w:r>
      <w:r>
        <w:rPr>
          <w:spacing w:val="5"/>
          <w:sz w:val="16"/>
        </w:rPr>
        <w:t xml:space="preserve">2004.  </w:t>
      </w:r>
      <w:r>
        <w:rPr>
          <w:sz w:val="16"/>
        </w:rPr>
        <w:t>D      i</w:t>
      </w:r>
      <w:r>
        <w:rPr>
          <w:sz w:val="16"/>
        </w:rPr>
        <w:t xml:space="preserve">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5" w:line="312" w:lineRule="auto"/>
        <w:ind w:left="100" w:right="65"/>
        <w:jc w:val="both"/>
        <w:rPr>
          <w:sz w:val="16"/>
        </w:rPr>
      </w:pPr>
      <w:hyperlink r:id="rId1492">
        <w:r w:rsidR="00330118">
          <w:rPr>
            <w:sz w:val="16"/>
          </w:rPr>
          <w:t>&lt;http://www.abepro.org.br/biblioteca/ENEGEP2004_Enegep0803_198</w:t>
        </w:r>
      </w:hyperlink>
      <w:r w:rsidR="00330118">
        <w:rPr>
          <w:sz w:val="16"/>
        </w:rPr>
        <w:t xml:space="preserve"> 9.pdf&gt;. Acesso em: 23 set. 2010.</w:t>
      </w:r>
    </w:p>
    <w:p w:rsidR="00D81F69" w:rsidRDefault="00330118">
      <w:pPr>
        <w:spacing w:before="2"/>
        <w:ind w:left="100"/>
        <w:jc w:val="both"/>
        <w:rPr>
          <w:sz w:val="16"/>
        </w:rPr>
      </w:pPr>
      <w:r>
        <w:rPr>
          <w:sz w:val="16"/>
        </w:rPr>
        <w:t>RETECMIN, Rede Cooperativa de Pesquisa e Uso de Bens Minerais</w:t>
      </w:r>
    </w:p>
    <w:p w:rsidR="00D81F69" w:rsidRDefault="00330118">
      <w:pPr>
        <w:spacing w:before="70" w:line="312" w:lineRule="auto"/>
        <w:ind w:left="100" w:right="135"/>
        <w:jc w:val="both"/>
        <w:rPr>
          <w:sz w:val="16"/>
        </w:rPr>
      </w:pPr>
      <w:r>
        <w:br w:type="column"/>
      </w:r>
      <w:r>
        <w:rPr>
          <w:spacing w:val="3"/>
          <w:sz w:val="16"/>
        </w:rPr>
        <w:lastRenderedPageBreak/>
        <w:t xml:space="preserve">destinados </w:t>
      </w:r>
      <w:r>
        <w:rPr>
          <w:sz w:val="16"/>
        </w:rPr>
        <w:t xml:space="preserve">à  </w:t>
      </w:r>
      <w:r>
        <w:rPr>
          <w:spacing w:val="3"/>
          <w:sz w:val="16"/>
        </w:rPr>
        <w:t xml:space="preserve">Construção Civil. Fábrica </w:t>
      </w:r>
      <w:r>
        <w:rPr>
          <w:spacing w:val="1"/>
          <w:sz w:val="16"/>
        </w:rPr>
        <w:t xml:space="preserve">de  </w:t>
      </w:r>
      <w:r>
        <w:rPr>
          <w:spacing w:val="3"/>
          <w:sz w:val="16"/>
        </w:rPr>
        <w:t xml:space="preserve">Argamassa </w:t>
      </w:r>
      <w:r>
        <w:rPr>
          <w:spacing w:val="1"/>
          <w:sz w:val="16"/>
        </w:rPr>
        <w:t xml:space="preserve">de  </w:t>
      </w:r>
      <w:r>
        <w:rPr>
          <w:spacing w:val="5"/>
          <w:sz w:val="16"/>
        </w:rPr>
        <w:t xml:space="preserve">Santo  </w:t>
      </w:r>
      <w:r>
        <w:rPr>
          <w:spacing w:val="16"/>
          <w:sz w:val="16"/>
        </w:rPr>
        <w:t>A</w:t>
      </w:r>
      <w:r>
        <w:rPr>
          <w:sz w:val="16"/>
        </w:rPr>
        <w:t xml:space="preserve"> </w:t>
      </w:r>
      <w:r>
        <w:rPr>
          <w:spacing w:val="16"/>
          <w:sz w:val="16"/>
        </w:rPr>
        <w:t>n</w:t>
      </w:r>
      <w:r>
        <w:rPr>
          <w:sz w:val="16"/>
        </w:rPr>
        <w:t xml:space="preserve"> </w:t>
      </w:r>
      <w:r>
        <w:rPr>
          <w:spacing w:val="16"/>
          <w:sz w:val="16"/>
        </w:rPr>
        <w:t>t</w:t>
      </w:r>
      <w:r>
        <w:rPr>
          <w:sz w:val="16"/>
        </w:rPr>
        <w:t xml:space="preserve"> </w:t>
      </w:r>
      <w:r>
        <w:rPr>
          <w:spacing w:val="16"/>
          <w:sz w:val="16"/>
        </w:rPr>
        <w:t>ô</w:t>
      </w:r>
      <w:r>
        <w:rPr>
          <w:sz w:val="16"/>
        </w:rPr>
        <w:t xml:space="preserve"> </w:t>
      </w:r>
      <w:r>
        <w:rPr>
          <w:spacing w:val="16"/>
          <w:sz w:val="16"/>
        </w:rPr>
        <w:t>n</w:t>
      </w:r>
      <w:r>
        <w:rPr>
          <w:sz w:val="16"/>
        </w:rPr>
        <w:t xml:space="preserve"> </w:t>
      </w:r>
      <w:r>
        <w:rPr>
          <w:spacing w:val="16"/>
          <w:sz w:val="16"/>
        </w:rPr>
        <w:t>i</w:t>
      </w:r>
      <w:r>
        <w:rPr>
          <w:sz w:val="16"/>
        </w:rPr>
        <w:t xml:space="preserve"> o      </w:t>
      </w:r>
      <w:r>
        <w:rPr>
          <w:spacing w:val="20"/>
          <w:sz w:val="16"/>
        </w:rPr>
        <w:t xml:space="preserve"> </w:t>
      </w:r>
      <w:r>
        <w:rPr>
          <w:spacing w:val="16"/>
          <w:sz w:val="16"/>
        </w:rPr>
        <w:t>d</w:t>
      </w:r>
      <w:r>
        <w:rPr>
          <w:sz w:val="16"/>
        </w:rPr>
        <w:t xml:space="preserve"> e      </w:t>
      </w:r>
      <w:r>
        <w:rPr>
          <w:spacing w:val="20"/>
          <w:sz w:val="16"/>
        </w:rPr>
        <w:t xml:space="preserve"> </w:t>
      </w:r>
      <w:r>
        <w:rPr>
          <w:spacing w:val="16"/>
          <w:sz w:val="16"/>
        </w:rPr>
        <w:t>P</w:t>
      </w:r>
      <w:r>
        <w:rPr>
          <w:sz w:val="16"/>
        </w:rPr>
        <w:t xml:space="preserve"> </w:t>
      </w:r>
      <w:r>
        <w:rPr>
          <w:spacing w:val="16"/>
          <w:sz w:val="16"/>
        </w:rPr>
        <w:t>á</w:t>
      </w:r>
      <w:r>
        <w:rPr>
          <w:sz w:val="16"/>
        </w:rPr>
        <w:t xml:space="preserve"> </w:t>
      </w:r>
      <w:r>
        <w:rPr>
          <w:spacing w:val="16"/>
          <w:sz w:val="16"/>
        </w:rPr>
        <w:t>d</w:t>
      </w:r>
      <w:r>
        <w:rPr>
          <w:sz w:val="16"/>
        </w:rPr>
        <w:t xml:space="preserve"> </w:t>
      </w:r>
      <w:r>
        <w:rPr>
          <w:spacing w:val="16"/>
          <w:sz w:val="16"/>
        </w:rPr>
        <w:t>u</w:t>
      </w:r>
      <w:r>
        <w:rPr>
          <w:sz w:val="16"/>
        </w:rPr>
        <w:t xml:space="preserve"> </w:t>
      </w:r>
      <w:r>
        <w:rPr>
          <w:spacing w:val="16"/>
          <w:sz w:val="16"/>
        </w:rPr>
        <w:t>a</w:t>
      </w:r>
      <w:r>
        <w:rPr>
          <w:sz w:val="16"/>
        </w:rPr>
        <w:t xml:space="preserve"> .      </w:t>
      </w:r>
      <w:r>
        <w:rPr>
          <w:spacing w:val="20"/>
          <w:sz w:val="16"/>
        </w:rPr>
        <w:t xml:space="preserve"> </w:t>
      </w:r>
      <w:r>
        <w:rPr>
          <w:spacing w:val="16"/>
          <w:sz w:val="16"/>
        </w:rPr>
        <w:t>D</w:t>
      </w:r>
      <w:r>
        <w:rPr>
          <w:sz w:val="16"/>
        </w:rPr>
        <w:t xml:space="preserve"> </w:t>
      </w:r>
      <w:r>
        <w:rPr>
          <w:spacing w:val="16"/>
          <w:sz w:val="16"/>
        </w:rPr>
        <w:t>i</w:t>
      </w:r>
      <w:r>
        <w:rPr>
          <w:sz w:val="16"/>
        </w:rPr>
        <w:t xml:space="preserve"> </w:t>
      </w:r>
      <w:r>
        <w:rPr>
          <w:spacing w:val="16"/>
          <w:sz w:val="16"/>
        </w:rPr>
        <w:t>s</w:t>
      </w:r>
      <w:r>
        <w:rPr>
          <w:sz w:val="16"/>
        </w:rPr>
        <w:t xml:space="preserve"> </w:t>
      </w:r>
      <w:r>
        <w:rPr>
          <w:spacing w:val="16"/>
          <w:sz w:val="16"/>
        </w:rPr>
        <w:t>p</w:t>
      </w:r>
      <w:r>
        <w:rPr>
          <w:sz w:val="16"/>
        </w:rPr>
        <w:t xml:space="preserve"> </w:t>
      </w:r>
      <w:r>
        <w:rPr>
          <w:spacing w:val="16"/>
          <w:sz w:val="16"/>
        </w:rPr>
        <w:t>o</w:t>
      </w:r>
      <w:r>
        <w:rPr>
          <w:sz w:val="16"/>
        </w:rPr>
        <w:t xml:space="preserve"> </w:t>
      </w:r>
      <w:r>
        <w:rPr>
          <w:spacing w:val="16"/>
          <w:sz w:val="16"/>
        </w:rPr>
        <w:t>n</w:t>
      </w:r>
      <w:r>
        <w:rPr>
          <w:sz w:val="16"/>
        </w:rPr>
        <w:t xml:space="preserve"> </w:t>
      </w:r>
      <w:r>
        <w:rPr>
          <w:spacing w:val="16"/>
          <w:sz w:val="16"/>
        </w:rPr>
        <w:t>í</w:t>
      </w:r>
      <w:r>
        <w:rPr>
          <w:sz w:val="16"/>
        </w:rPr>
        <w:t xml:space="preserve"> </w:t>
      </w:r>
      <w:r>
        <w:rPr>
          <w:spacing w:val="16"/>
          <w:sz w:val="16"/>
        </w:rPr>
        <w:t>v</w:t>
      </w:r>
      <w:r>
        <w:rPr>
          <w:sz w:val="16"/>
        </w:rPr>
        <w:t xml:space="preserve"> </w:t>
      </w:r>
      <w:r>
        <w:rPr>
          <w:spacing w:val="16"/>
          <w:sz w:val="16"/>
        </w:rPr>
        <w:t>e</w:t>
      </w:r>
      <w:r>
        <w:rPr>
          <w:sz w:val="16"/>
        </w:rPr>
        <w:t xml:space="preserve"> l      </w:t>
      </w:r>
      <w:r>
        <w:rPr>
          <w:spacing w:val="20"/>
          <w:sz w:val="16"/>
        </w:rPr>
        <w:t xml:space="preserve"> </w:t>
      </w:r>
      <w:r>
        <w:rPr>
          <w:spacing w:val="16"/>
          <w:sz w:val="16"/>
        </w:rPr>
        <w:t>e</w:t>
      </w:r>
      <w:r>
        <w:rPr>
          <w:sz w:val="16"/>
        </w:rPr>
        <w:t xml:space="preserve"> </w:t>
      </w:r>
      <w:r>
        <w:rPr>
          <w:spacing w:val="16"/>
          <w:sz w:val="16"/>
        </w:rPr>
        <w:t>m</w:t>
      </w:r>
      <w:r>
        <w:rPr>
          <w:sz w:val="16"/>
        </w:rPr>
        <w:t xml:space="preserve"> :</w:t>
      </w:r>
      <w:r>
        <w:rPr>
          <w:spacing w:val="17"/>
          <w:sz w:val="16"/>
        </w:rPr>
        <w:t xml:space="preserve"> </w:t>
      </w:r>
    </w:p>
    <w:p w:rsidR="00D81F69" w:rsidRDefault="00D81F69">
      <w:pPr>
        <w:spacing w:before="1"/>
        <w:ind w:left="100"/>
        <w:jc w:val="both"/>
        <w:rPr>
          <w:sz w:val="16"/>
        </w:rPr>
      </w:pPr>
      <w:hyperlink r:id="rId1493">
        <w:r w:rsidR="00330118">
          <w:rPr>
            <w:sz w:val="16"/>
          </w:rPr>
          <w:t xml:space="preserve">&lt;http://www.cetem.gov.br/retecmin/Retecmin%20- </w:t>
        </w:r>
      </w:hyperlink>
    </w:p>
    <w:p w:rsidR="00D81F69" w:rsidRDefault="00330118">
      <w:pPr>
        <w:spacing w:before="56" w:line="312" w:lineRule="auto"/>
        <w:ind w:left="100" w:right="188"/>
        <w:jc w:val="both"/>
        <w:rPr>
          <w:sz w:val="16"/>
        </w:rPr>
      </w:pPr>
      <w:r>
        <w:rPr>
          <w:sz w:val="16"/>
        </w:rPr>
        <w:t>%20Links%20Interessantes.htm&gt;. Acesso em: 23 set. 2010. ROCHAZ. Tecnologias para aproveitamento de resíduos de rochas ornamentais são destaque na Merconoroeste. In: Rede APL Mineral,</w:t>
      </w:r>
    </w:p>
    <w:p w:rsidR="00D81F69" w:rsidRDefault="00330118">
      <w:pPr>
        <w:spacing w:before="3"/>
        <w:ind w:left="100"/>
        <w:jc w:val="both"/>
        <w:rPr>
          <w:sz w:val="16"/>
        </w:rPr>
      </w:pPr>
      <w:r>
        <w:rPr>
          <w:sz w:val="16"/>
        </w:rPr>
        <w:t xml:space="preserve">1 6      </w:t>
      </w:r>
      <w:r>
        <w:rPr>
          <w:sz w:val="16"/>
        </w:rPr>
        <w:t xml:space="preserve">   j u l .         2 0 1 0 .         D i s p o n í v e l         e m :  </w:t>
      </w:r>
    </w:p>
    <w:p w:rsidR="00D81F69" w:rsidRDefault="00D81F69">
      <w:pPr>
        <w:spacing w:before="56" w:line="312" w:lineRule="auto"/>
        <w:ind w:left="100" w:right="205"/>
        <w:jc w:val="both"/>
        <w:rPr>
          <w:sz w:val="16"/>
        </w:rPr>
      </w:pPr>
      <w:hyperlink r:id="rId1494">
        <w:r w:rsidR="00330118">
          <w:rPr>
            <w:sz w:val="16"/>
          </w:rPr>
          <w:t>&lt;http://www.redeaplmineral.org.br/noticias/tecnologias-para-</w:t>
        </w:r>
      </w:hyperlink>
      <w:r w:rsidR="00330118">
        <w:rPr>
          <w:sz w:val="16"/>
        </w:rPr>
        <w:t xml:space="preserve"> aproveitamento-de-residuos-de-rochas-ornament</w:t>
      </w:r>
      <w:r w:rsidR="00330118">
        <w:rPr>
          <w:sz w:val="16"/>
        </w:rPr>
        <w:t>ais-sao-destaque- na-merconoroeste&gt;. Acesso em: 27 set. 2010.</w:t>
      </w:r>
    </w:p>
    <w:p w:rsidR="00D81F69" w:rsidRDefault="00330118">
      <w:pPr>
        <w:tabs>
          <w:tab w:val="left" w:pos="1943"/>
          <w:tab w:val="left" w:pos="4570"/>
        </w:tabs>
        <w:spacing w:before="2" w:line="312" w:lineRule="auto"/>
        <w:ind w:left="100" w:right="198"/>
        <w:jc w:val="both"/>
        <w:rPr>
          <w:sz w:val="16"/>
        </w:rPr>
      </w:pPr>
      <w:r>
        <w:rPr>
          <w:spacing w:val="3"/>
          <w:sz w:val="16"/>
        </w:rPr>
        <w:t xml:space="preserve">SEBRAE_RJ. </w:t>
      </w:r>
      <w:r>
        <w:rPr>
          <w:spacing w:val="2"/>
          <w:sz w:val="16"/>
        </w:rPr>
        <w:t xml:space="preserve">APL </w:t>
      </w:r>
      <w:r>
        <w:rPr>
          <w:spacing w:val="1"/>
          <w:sz w:val="16"/>
        </w:rPr>
        <w:t xml:space="preserve">de  </w:t>
      </w:r>
      <w:r>
        <w:rPr>
          <w:spacing w:val="3"/>
          <w:sz w:val="16"/>
        </w:rPr>
        <w:t xml:space="preserve">rochas ornamentais </w:t>
      </w:r>
      <w:r>
        <w:rPr>
          <w:spacing w:val="1"/>
          <w:sz w:val="16"/>
        </w:rPr>
        <w:t xml:space="preserve">em  </w:t>
      </w:r>
      <w:r>
        <w:rPr>
          <w:spacing w:val="3"/>
          <w:sz w:val="16"/>
        </w:rPr>
        <w:t xml:space="preserve">Santo Antônio </w:t>
      </w:r>
      <w:r>
        <w:rPr>
          <w:spacing w:val="5"/>
          <w:sz w:val="16"/>
        </w:rPr>
        <w:t xml:space="preserve">de  </w:t>
      </w:r>
      <w:r>
        <w:rPr>
          <w:sz w:val="16"/>
        </w:rPr>
        <w:t xml:space="preserve">P   á   d   u  </w:t>
      </w:r>
      <w:r>
        <w:rPr>
          <w:spacing w:val="6"/>
          <w:sz w:val="16"/>
        </w:rPr>
        <w:t xml:space="preserve"> </w:t>
      </w:r>
      <w:r>
        <w:rPr>
          <w:sz w:val="16"/>
        </w:rPr>
        <w:t xml:space="preserve">a  </w:t>
      </w:r>
      <w:r>
        <w:rPr>
          <w:sz w:val="16"/>
        </w:rPr>
        <w:t xml:space="preserve"> </w:t>
      </w:r>
      <w:r>
        <w:rPr>
          <w:sz w:val="16"/>
        </w:rPr>
        <w:t>.</w:t>
      </w:r>
      <w:r>
        <w:rPr>
          <w:sz w:val="16"/>
        </w:rPr>
        <w:tab/>
        <w:t xml:space="preserve">D   i   s   p   o   n   í   v  </w:t>
      </w:r>
      <w:r>
        <w:rPr>
          <w:spacing w:val="15"/>
          <w:sz w:val="16"/>
        </w:rPr>
        <w:t xml:space="preserve"> </w:t>
      </w:r>
      <w:r>
        <w:rPr>
          <w:sz w:val="16"/>
        </w:rPr>
        <w:t xml:space="preserve">e  </w:t>
      </w:r>
      <w:r>
        <w:rPr>
          <w:sz w:val="16"/>
        </w:rPr>
        <w:t xml:space="preserve"> </w:t>
      </w:r>
      <w:r>
        <w:rPr>
          <w:sz w:val="16"/>
        </w:rPr>
        <w:t>l</w:t>
      </w:r>
      <w:r>
        <w:rPr>
          <w:sz w:val="16"/>
        </w:rPr>
        <w:tab/>
        <w:t>e m</w:t>
      </w:r>
      <w:r>
        <w:rPr>
          <w:spacing w:val="2"/>
          <w:sz w:val="16"/>
        </w:rPr>
        <w:t xml:space="preserve"> </w:t>
      </w:r>
      <w:r>
        <w:rPr>
          <w:sz w:val="16"/>
        </w:rPr>
        <w:t>:</w:t>
      </w:r>
    </w:p>
    <w:p w:rsidR="00D81F69" w:rsidRDefault="00D81F69">
      <w:pPr>
        <w:spacing w:before="2" w:line="312" w:lineRule="auto"/>
        <w:ind w:left="100" w:right="198"/>
        <w:jc w:val="both"/>
        <w:rPr>
          <w:sz w:val="16"/>
        </w:rPr>
      </w:pPr>
      <w:hyperlink r:id="rId1495">
        <w:r w:rsidR="00330118">
          <w:rPr>
            <w:sz w:val="16"/>
          </w:rPr>
          <w:t>&lt;http://www.sebraerj.com.br/data/Pages/SEBRAEAB7A3C39ITEMID8</w:t>
        </w:r>
      </w:hyperlink>
      <w:r w:rsidR="00330118">
        <w:rPr>
          <w:sz w:val="16"/>
        </w:rPr>
        <w:t xml:space="preserve"> B3E27BB74D744E1A2FCD9FBEBE3F911PTBRIE.htm&gt;. Acesso em: 25 set. 2010.</w:t>
      </w:r>
    </w:p>
    <w:p w:rsidR="00D81F69" w:rsidRDefault="00330118">
      <w:pPr>
        <w:spacing w:before="2" w:line="312" w:lineRule="auto"/>
        <w:ind w:left="100" w:right="172"/>
        <w:jc w:val="both"/>
        <w:rPr>
          <w:sz w:val="16"/>
        </w:rPr>
      </w:pPr>
      <w:r>
        <w:rPr>
          <w:sz w:val="16"/>
        </w:rPr>
        <w:t>SILVA, Rosana Elisa Coppedê; MARGUERON, Claudio. Es</w:t>
      </w:r>
      <w:r>
        <w:rPr>
          <w:sz w:val="16"/>
        </w:rPr>
        <w:t xml:space="preserve">tudo ambiental de uma pedreira de rocha ornamental no município de Santo Antônio de Pádua - Rio de Janeiro. Anuário do Instituto de Geociências – UFRJ, v.25, 2002. Disponível em: </w:t>
      </w:r>
    </w:p>
    <w:p w:rsidR="00D81F69" w:rsidRDefault="00D81F69">
      <w:pPr>
        <w:spacing w:before="4" w:line="312" w:lineRule="auto"/>
        <w:ind w:left="100" w:right="196"/>
        <w:jc w:val="both"/>
        <w:rPr>
          <w:sz w:val="16"/>
        </w:rPr>
      </w:pPr>
      <w:hyperlink r:id="rId1496">
        <w:r w:rsidR="00330118">
          <w:rPr>
            <w:sz w:val="16"/>
          </w:rPr>
          <w:t>&lt;http://www.anuario.igeo.ufrj.br/anuario_2002/vol25_151_171.pdf&gt;.</w:t>
        </w:r>
      </w:hyperlink>
      <w:r w:rsidR="00330118">
        <w:rPr>
          <w:sz w:val="16"/>
        </w:rPr>
        <w:t xml:space="preserve"> Acesso em: 27 set. 2010.</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58" w:space="312"/>
            <w:col w:w="5310"/>
          </w:cols>
        </w:sectPr>
      </w:pPr>
    </w:p>
    <w:p w:rsidR="00D81F69" w:rsidRDefault="00330118">
      <w:pPr>
        <w:pStyle w:val="Heading1"/>
        <w:spacing w:line="208" w:lineRule="auto"/>
      </w:pPr>
      <w:r>
        <w:lastRenderedPageBreak/>
        <w:t>Volta Redonda (RJ) convive com efeitos cumulativos de 71 anos de atividade siderúrgica</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RJ - Volta Re</w:t>
      </w:r>
      <w:r>
        <w:rPr>
          <w:i/>
          <w:sz w:val="14"/>
        </w:rPr>
        <w:t>donda</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-22,544722</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-44,066111</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2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A cidade fluminense de Volta Redonda </w:t>
      </w:r>
      <w:r>
        <w:rPr>
          <w:i/>
          <w:sz w:val="16"/>
        </w:rPr>
        <w:t>surgiu e cresceu em torno da Companhia Siderúrgica Nacional (CSN). Hoje, o município convive com os efeitos de 71 anos de atividades siderúrgicas, especialmente com o passivo ambiental deixado pelas primeiras cinco décadas, quando as medidas de gestão ambi</w:t>
      </w:r>
      <w:r>
        <w:rPr>
          <w:i/>
          <w:sz w:val="16"/>
        </w:rPr>
        <w:t>ental eram inexistentes ou muito precárias.</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2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82"/>
      </w:pPr>
      <w:r>
        <w:rPr>
          <w:spacing w:val="2"/>
        </w:rPr>
        <w:t xml:space="preserve">Em </w:t>
      </w:r>
      <w:r>
        <w:rPr>
          <w:spacing w:val="3"/>
        </w:rPr>
        <w:t xml:space="preserve">1961, </w:t>
      </w:r>
      <w:r>
        <w:t xml:space="preserve">o </w:t>
      </w:r>
      <w:r>
        <w:rPr>
          <w:spacing w:val="5"/>
        </w:rPr>
        <w:t xml:space="preserve">empreendimento passou </w:t>
      </w:r>
      <w:r>
        <w:t xml:space="preserve">a </w:t>
      </w:r>
      <w:r>
        <w:rPr>
          <w:spacing w:val="2"/>
        </w:rPr>
        <w:t xml:space="preserve">se </w:t>
      </w:r>
      <w:r>
        <w:rPr>
          <w:spacing w:val="5"/>
        </w:rPr>
        <w:t xml:space="preserve">chamar Usina </w:t>
      </w:r>
      <w:r>
        <w:t xml:space="preserve">Presidente Vargas e incorporou a Minerações Casa de Pedra, </w:t>
      </w:r>
      <w:r>
        <w:rPr>
          <w:spacing w:val="1"/>
        </w:rPr>
        <w:t xml:space="preserve">situada </w:t>
      </w:r>
      <w:r>
        <w:t xml:space="preserve">em </w:t>
      </w:r>
      <w:r>
        <w:rPr>
          <w:spacing w:val="1"/>
        </w:rPr>
        <w:t xml:space="preserve">Casa </w:t>
      </w:r>
      <w:r>
        <w:t xml:space="preserve">de </w:t>
      </w:r>
      <w:r>
        <w:rPr>
          <w:spacing w:val="1"/>
        </w:rPr>
        <w:t xml:space="preserve">Pedra (MG) </w:t>
      </w:r>
      <w:r>
        <w:t xml:space="preserve">e a </w:t>
      </w:r>
      <w:r>
        <w:rPr>
          <w:spacing w:val="1"/>
        </w:rPr>
        <w:t xml:space="preserve">Arcos, mineradora </w:t>
      </w:r>
      <w:r>
        <w:rPr>
          <w:spacing w:val="2"/>
        </w:rPr>
        <w:t xml:space="preserve">de </w:t>
      </w:r>
      <w:r>
        <w:rPr>
          <w:spacing w:val="5"/>
        </w:rPr>
        <w:t xml:space="preserve">fundentes (calcário </w:t>
      </w:r>
      <w:r>
        <w:t xml:space="preserve">e </w:t>
      </w:r>
      <w:r>
        <w:rPr>
          <w:spacing w:val="5"/>
        </w:rPr>
        <w:t xml:space="preserve">dolomita), situada </w:t>
      </w:r>
      <w:r>
        <w:rPr>
          <w:spacing w:val="2"/>
        </w:rPr>
        <w:t>em</w:t>
      </w:r>
      <w:r>
        <w:rPr>
          <w:spacing w:val="2"/>
        </w:rPr>
        <w:t xml:space="preserve"> </w:t>
      </w:r>
      <w:r>
        <w:rPr>
          <w:spacing w:val="3"/>
        </w:rPr>
        <w:t xml:space="preserve">Arcos </w:t>
      </w:r>
      <w:r>
        <w:rPr>
          <w:spacing w:val="5"/>
        </w:rPr>
        <w:t>(MG).</w:t>
      </w:r>
      <w:r>
        <w:rPr>
          <w:spacing w:val="61"/>
        </w:rPr>
        <w:t xml:space="preserve"> </w:t>
      </w:r>
      <w:r>
        <w:rPr>
          <w:spacing w:val="8"/>
        </w:rPr>
        <w:t xml:space="preserve">Privatizada </w:t>
      </w:r>
      <w:r>
        <w:rPr>
          <w:spacing w:val="5"/>
        </w:rPr>
        <w:t xml:space="preserve">em </w:t>
      </w:r>
      <w:r>
        <w:rPr>
          <w:spacing w:val="7"/>
        </w:rPr>
        <w:t xml:space="preserve">1993, </w:t>
      </w:r>
      <w:r>
        <w:t xml:space="preserve">a </w:t>
      </w:r>
      <w:r>
        <w:rPr>
          <w:spacing w:val="5"/>
        </w:rPr>
        <w:t xml:space="preserve">CSN </w:t>
      </w:r>
      <w:r>
        <w:rPr>
          <w:spacing w:val="7"/>
        </w:rPr>
        <w:t xml:space="preserve">tornou-se </w:t>
      </w:r>
      <w:r>
        <w:rPr>
          <w:spacing w:val="5"/>
        </w:rPr>
        <w:t xml:space="preserve">uma </w:t>
      </w:r>
      <w:r>
        <w:rPr>
          <w:spacing w:val="10"/>
        </w:rPr>
        <w:t xml:space="preserve">empresa </w:t>
      </w:r>
      <w:r>
        <w:t xml:space="preserve">internacionalizada e de capital aberto. Hoje, é controlada pelo Grupo Vicunha, que detém 47,86% de seu capital. Seguindo as tendências da globalização, em 2003, transferiu sua sede </w:t>
      </w:r>
      <w:r>
        <w:rPr>
          <w:spacing w:val="8"/>
        </w:rPr>
        <w:t xml:space="preserve">para </w:t>
      </w:r>
      <w:r>
        <w:t xml:space="preserve">a </w:t>
      </w:r>
      <w:r>
        <w:rPr>
          <w:spacing w:val="10"/>
        </w:rPr>
        <w:t>cidade</w:t>
      </w:r>
      <w:r>
        <w:rPr>
          <w:spacing w:val="10"/>
        </w:rPr>
        <w:t xml:space="preserve"> </w:t>
      </w:r>
      <w:r>
        <w:rPr>
          <w:spacing w:val="5"/>
        </w:rPr>
        <w:t xml:space="preserve">de </w:t>
      </w:r>
      <w:r>
        <w:rPr>
          <w:spacing w:val="7"/>
        </w:rPr>
        <w:t xml:space="preserve">São </w:t>
      </w:r>
      <w:r>
        <w:rPr>
          <w:spacing w:val="10"/>
        </w:rPr>
        <w:t xml:space="preserve">Paulo (CARVALHO; </w:t>
      </w:r>
      <w:r>
        <w:rPr>
          <w:spacing w:val="12"/>
        </w:rPr>
        <w:t xml:space="preserve">TRINTA; </w:t>
      </w:r>
      <w:r>
        <w:rPr>
          <w:spacing w:val="10"/>
        </w:rPr>
        <w:t>BARCELLAR,</w:t>
      </w:r>
      <w:r>
        <w:rPr>
          <w:spacing w:val="65"/>
        </w:rPr>
        <w:t xml:space="preserve"> </w:t>
      </w:r>
      <w:r>
        <w:rPr>
          <w:spacing w:val="12"/>
        </w:rPr>
        <w:t>2009).</w:t>
      </w:r>
    </w:p>
    <w:p w:rsidR="00D81F69" w:rsidRDefault="00330118">
      <w:pPr>
        <w:pStyle w:val="Corpodetexto"/>
        <w:spacing w:before="139" w:line="122" w:lineRule="exact"/>
        <w:ind w:left="135"/>
      </w:pPr>
      <w:r>
        <w:t>A empresa é um grande complexo que conta com uma usina</w:t>
      </w:r>
    </w:p>
    <w:p w:rsidR="00D81F69" w:rsidRDefault="00D81F69">
      <w:pPr>
        <w:spacing w:line="122" w:lineRule="exact"/>
        <w:sectPr w:rsidR="00D81F69">
          <w:type w:val="continuous"/>
          <w:pgSz w:w="11900" w:h="16840"/>
          <w:pgMar w:top="720" w:right="500" w:bottom="280" w:left="620" w:header="720" w:footer="720" w:gutter="0"/>
          <w:cols w:num="3" w:space="720" w:equalWidth="0">
            <w:col w:w="1397" w:space="603"/>
            <w:col w:w="3118" w:space="317"/>
            <w:col w:w="5345"/>
          </w:cols>
        </w:sectPr>
      </w:pPr>
    </w:p>
    <w:p w:rsidR="00D81F69" w:rsidRDefault="00330118">
      <w:pPr>
        <w:pStyle w:val="Heading4"/>
        <w:spacing w:line="268" w:lineRule="exact"/>
      </w:pPr>
      <w:r>
        <w:lastRenderedPageBreak/>
        <w:t>APRESENTAÇÃO DE CASO</w:t>
      </w:r>
    </w:p>
    <w:p w:rsidR="00D81F69" w:rsidRDefault="00330118">
      <w:pPr>
        <w:pStyle w:val="Corpodetexto"/>
        <w:spacing w:before="170" w:line="312" w:lineRule="auto"/>
        <w:ind w:right="94"/>
      </w:pPr>
      <w:r>
        <w:t>Fundada, em 1941, pelo presidente Getúlio Vargas, a Companhia Siderúrgica Nacional (CSN) entrou e</w:t>
      </w:r>
      <w:r>
        <w:t>m operação em 1946 (CARVALHO; TRINTA; BARCELLAR, 2009), no</w:t>
      </w:r>
    </w:p>
    <w:p w:rsidR="00D81F69" w:rsidRDefault="00330118">
      <w:pPr>
        <w:pStyle w:val="Corpodetexto"/>
        <w:spacing w:before="3" w:line="312" w:lineRule="auto"/>
        <w:ind w:right="74"/>
      </w:pPr>
      <w:r>
        <w:t>atual município de Volta Redonda, no sul do estado do Rio de Janeiro. Foi a primeira grande siderúrgica brasileira e um marco do processo de industrialização do país (BENTES, 2008). Sua produção de</w:t>
      </w:r>
      <w:r>
        <w:t xml:space="preserve"> aços planos e não planos viabilizou a implantação das primeiras indústrias nacionais (CARVALHO; TRINTA; BARCELLAR, 2009).</w:t>
      </w:r>
    </w:p>
    <w:p w:rsidR="00D81F69" w:rsidRDefault="00330118">
      <w:pPr>
        <w:pStyle w:val="Corpodetexto"/>
        <w:spacing w:before="135" w:line="312" w:lineRule="auto"/>
        <w:ind w:right="77"/>
      </w:pPr>
      <w:r>
        <w:t>Na ocasião da instalação da empresa, Volta Redonda era um distrito de Barra Mansa, formado por dois povoados, um em cada margem do rio Paraíba do Sul. Era um local estratégico por ser cortado pela rodovia Presidente Dutra (BR-116) e pela ferrovia Central d</w:t>
      </w:r>
      <w:r>
        <w:t>o Brasil, que liga São Paulo e Rio de Janeiro, dois grandes centros econômicos do país e principais consumidores dos produtos feitos a partir do aço (BENTES, 2008).</w:t>
      </w:r>
    </w:p>
    <w:p w:rsidR="00D81F69" w:rsidRDefault="00330118">
      <w:pPr>
        <w:pStyle w:val="Corpodetexto"/>
        <w:spacing w:before="138" w:line="312" w:lineRule="auto"/>
        <w:ind w:right="74"/>
      </w:pPr>
      <w:r>
        <w:t>Em paralelo à construção do complexo siderúrgico, a empresa ergueu uma vila operária, com 4</w:t>
      </w:r>
      <w:r>
        <w:t xml:space="preserve"> mil habitações, infraestrutura e equipamentos urbanos. O distrito tornou-se atrativo e passou a receber investimentos federais e uma grande quantidade de trabalhadores, muitos dos quais não conseguiram uma colocação profissional e passaram a viver em cond</w:t>
      </w:r>
      <w:r>
        <w:t>ições de vulnerabilidade (BENTES, 2008).</w:t>
      </w:r>
    </w:p>
    <w:p w:rsidR="00D81F69" w:rsidRDefault="00330118">
      <w:pPr>
        <w:pStyle w:val="Corpodetexto"/>
        <w:spacing w:before="136" w:line="312" w:lineRule="auto"/>
        <w:ind w:right="38"/>
      </w:pPr>
      <w:r>
        <w:t>Ao lado da vila operária, surgiu o que ficou conhecido como “Cidade Livre”, que abrigava os trabalhadores menos qualificados e aqueles que ficaram sem trabalho com o término da construção do empreendimento. Não plan</w:t>
      </w:r>
      <w:r>
        <w:t>ejado, esse espaço da cidade cresceu rapidamente, sem infraestrutura ou recursos governamentais. Em 1949, surgia a primeira favela no local. A falta de investimentos na “Cidade Livre” levou à mobilização da população e acabou provocando a emancipação do di</w:t>
      </w:r>
      <w:r>
        <w:t>strito, em 1954. O novo município, que tem 182 km² e conta com 257.803 habitantes (IBGE, 2010), se desenvolveu dependente da CSN (BENTES, 2008).</w:t>
      </w:r>
    </w:p>
    <w:p w:rsidR="00D81F69" w:rsidRDefault="00330118">
      <w:pPr>
        <w:pStyle w:val="Corpodetexto"/>
        <w:spacing w:before="148" w:line="312" w:lineRule="auto"/>
        <w:ind w:right="192"/>
      </w:pPr>
      <w:r>
        <w:br w:type="column"/>
      </w:r>
      <w:r>
        <w:lastRenderedPageBreak/>
        <w:t>siderúrgica integrada, cinco unidades industriais, sendo duas delas no exterior (Estados Unidos e Portugal), m</w:t>
      </w:r>
      <w:r>
        <w:t xml:space="preserve">inas de minério de </w:t>
      </w:r>
      <w:hyperlink r:id="rId1497">
        <w:r>
          <w:t>ferro,</w:t>
        </w:r>
      </w:hyperlink>
      <w:r>
        <w:t xml:space="preserve"> calcário, dolomita e estanho, uma distribuidora de aços planos, terminais portuários, além de participação em estradas de ferro e em duas usinas hidroelétricas (CARVALHO; TRINTA; BARCELLAR, 2009).</w:t>
      </w:r>
    </w:p>
    <w:p w:rsidR="00D81F69" w:rsidRDefault="00330118">
      <w:pPr>
        <w:pStyle w:val="Corpodetexto"/>
        <w:spacing w:before="136" w:line="312" w:lineRule="auto"/>
        <w:ind w:right="188"/>
      </w:pPr>
      <w:r>
        <w:rPr>
          <w:spacing w:val="10"/>
        </w:rPr>
        <w:t xml:space="preserve">Toda essa </w:t>
      </w:r>
      <w:r>
        <w:rPr>
          <w:spacing w:val="12"/>
        </w:rPr>
        <w:t xml:space="preserve">infraestrutura permitiu </w:t>
      </w:r>
      <w:r>
        <w:rPr>
          <w:spacing w:val="10"/>
        </w:rPr>
        <w:t xml:space="preserve">que </w:t>
      </w:r>
      <w:r>
        <w:rPr>
          <w:spacing w:val="6"/>
        </w:rPr>
        <w:t xml:space="preserve">se </w:t>
      </w:r>
      <w:r>
        <w:rPr>
          <w:spacing w:val="12"/>
        </w:rPr>
        <w:t xml:space="preserve">tornasse </w:t>
      </w:r>
      <w:r>
        <w:t>autossuf</w:t>
      </w:r>
      <w:r>
        <w:t xml:space="preserve">iciente em minério de ferro e energia e tivesse uma das </w:t>
      </w:r>
      <w:r>
        <w:rPr>
          <w:spacing w:val="1"/>
        </w:rPr>
        <w:t xml:space="preserve">maiores rentabilidades </w:t>
      </w:r>
      <w:r>
        <w:t xml:space="preserve">do </w:t>
      </w:r>
      <w:r>
        <w:rPr>
          <w:spacing w:val="1"/>
        </w:rPr>
        <w:t xml:space="preserve">mundo </w:t>
      </w:r>
      <w:r>
        <w:t xml:space="preserve">no </w:t>
      </w:r>
      <w:r>
        <w:rPr>
          <w:spacing w:val="1"/>
        </w:rPr>
        <w:t xml:space="preserve">setor </w:t>
      </w:r>
      <w:r>
        <w:rPr>
          <w:spacing w:val="2"/>
        </w:rPr>
        <w:t xml:space="preserve">siderúrgico, </w:t>
      </w:r>
      <w:r>
        <w:rPr>
          <w:spacing w:val="3"/>
        </w:rPr>
        <w:t xml:space="preserve">tendo </w:t>
      </w:r>
      <w:r>
        <w:rPr>
          <w:spacing w:val="2"/>
        </w:rPr>
        <w:t xml:space="preserve">em </w:t>
      </w:r>
      <w:r>
        <w:rPr>
          <w:spacing w:val="3"/>
        </w:rPr>
        <w:t xml:space="preserve">vista </w:t>
      </w:r>
      <w:r>
        <w:rPr>
          <w:spacing w:val="2"/>
        </w:rPr>
        <w:t xml:space="preserve">os </w:t>
      </w:r>
      <w:r>
        <w:rPr>
          <w:spacing w:val="5"/>
        </w:rPr>
        <w:t xml:space="preserve">baixos custos </w:t>
      </w:r>
      <w:r>
        <w:rPr>
          <w:spacing w:val="2"/>
        </w:rPr>
        <w:t xml:space="preserve">de </w:t>
      </w:r>
      <w:r>
        <w:rPr>
          <w:spacing w:val="5"/>
        </w:rPr>
        <w:t>produção (BENTES,</w:t>
      </w:r>
      <w:r>
        <w:rPr>
          <w:spacing w:val="61"/>
        </w:rPr>
        <w:t xml:space="preserve"> </w:t>
      </w:r>
      <w:r>
        <w:t>2008). A siderúrgica oferece uma das mais completas linhas de aços planos e revestidos da Amé</w:t>
      </w:r>
      <w:r>
        <w:t xml:space="preserve">rica do Sul, de alto valor </w:t>
      </w:r>
      <w:r>
        <w:rPr>
          <w:spacing w:val="5"/>
        </w:rPr>
        <w:t xml:space="preserve">agregado. </w:t>
      </w:r>
      <w:r>
        <w:rPr>
          <w:spacing w:val="2"/>
        </w:rPr>
        <w:t xml:space="preserve">Em </w:t>
      </w:r>
      <w:r>
        <w:rPr>
          <w:spacing w:val="5"/>
        </w:rPr>
        <w:t xml:space="preserve">2001, adquiriu ativos </w:t>
      </w:r>
      <w:r>
        <w:rPr>
          <w:spacing w:val="2"/>
        </w:rPr>
        <w:t xml:space="preserve">da </w:t>
      </w:r>
      <w:r>
        <w:rPr>
          <w:spacing w:val="5"/>
        </w:rPr>
        <w:t xml:space="preserve">Heartland </w:t>
      </w:r>
      <w:r>
        <w:rPr>
          <w:spacing w:val="6"/>
        </w:rPr>
        <w:t xml:space="preserve">Steel, </w:t>
      </w:r>
      <w:r>
        <w:rPr>
          <w:spacing w:val="5"/>
        </w:rPr>
        <w:t xml:space="preserve">criando </w:t>
      </w:r>
      <w:r>
        <w:t xml:space="preserve">a </w:t>
      </w:r>
      <w:r>
        <w:rPr>
          <w:spacing w:val="5"/>
        </w:rPr>
        <w:t xml:space="preserve">CSN LLC, nos Estados Unidos </w:t>
      </w:r>
      <w:r>
        <w:rPr>
          <w:spacing w:val="7"/>
        </w:rPr>
        <w:t xml:space="preserve">(CARVALHO; </w:t>
      </w:r>
      <w:r>
        <w:rPr>
          <w:spacing w:val="5"/>
        </w:rPr>
        <w:t xml:space="preserve">TRINTA; </w:t>
      </w:r>
      <w:r>
        <w:rPr>
          <w:spacing w:val="6"/>
        </w:rPr>
        <w:t>BARCELLAR,</w:t>
      </w:r>
      <w:r>
        <w:rPr>
          <w:spacing w:val="5"/>
        </w:rPr>
        <w:t xml:space="preserve"> </w:t>
      </w:r>
      <w:r>
        <w:rPr>
          <w:spacing w:val="7"/>
        </w:rPr>
        <w:t>2009).</w:t>
      </w:r>
    </w:p>
    <w:p w:rsidR="00D81F69" w:rsidRDefault="00330118">
      <w:pPr>
        <w:pStyle w:val="Corpodetexto"/>
        <w:spacing w:before="138" w:line="312" w:lineRule="auto"/>
        <w:ind w:right="196"/>
      </w:pPr>
      <w:r>
        <w:t xml:space="preserve">Ao mesmo tempo em que propiciou o crescimento econômico de </w:t>
      </w:r>
      <w:r>
        <w:rPr>
          <w:spacing w:val="1"/>
        </w:rPr>
        <w:t xml:space="preserve">Volta Redonda, </w:t>
      </w:r>
      <w:r>
        <w:t xml:space="preserve">a </w:t>
      </w:r>
      <w:r>
        <w:rPr>
          <w:spacing w:val="1"/>
        </w:rPr>
        <w:t xml:space="preserve">atividade produtiva </w:t>
      </w:r>
      <w:r>
        <w:t xml:space="preserve">da </w:t>
      </w:r>
      <w:r>
        <w:t xml:space="preserve">CSN tem </w:t>
      </w:r>
      <w:r>
        <w:rPr>
          <w:spacing w:val="2"/>
        </w:rPr>
        <w:t xml:space="preserve">sido </w:t>
      </w:r>
      <w:r>
        <w:rPr>
          <w:spacing w:val="7"/>
        </w:rPr>
        <w:t xml:space="preserve">fonte </w:t>
      </w:r>
      <w:r>
        <w:rPr>
          <w:spacing w:val="5"/>
        </w:rPr>
        <w:t xml:space="preserve">de </w:t>
      </w:r>
      <w:r>
        <w:rPr>
          <w:spacing w:val="7"/>
        </w:rPr>
        <w:t xml:space="preserve">diversos problemas </w:t>
      </w:r>
      <w:r>
        <w:rPr>
          <w:spacing w:val="8"/>
        </w:rPr>
        <w:t xml:space="preserve">socioambientais. </w:t>
      </w:r>
      <w:r>
        <w:rPr>
          <w:spacing w:val="6"/>
        </w:rPr>
        <w:t xml:space="preserve">Após </w:t>
      </w:r>
      <w:r>
        <w:t>a privatização, a empresa demitiu cerca de 10 mil empregados, o que acarretou problemas para a cidade e região, gerando uma crise social (CARVALHO; TRINTA; BARCELLAR,</w:t>
      </w:r>
      <w:r>
        <w:rPr>
          <w:spacing w:val="17"/>
        </w:rPr>
        <w:t xml:space="preserve"> </w:t>
      </w:r>
      <w:r>
        <w:t>2009).</w:t>
      </w:r>
    </w:p>
    <w:p w:rsidR="00D81F69" w:rsidRDefault="00330118">
      <w:pPr>
        <w:pStyle w:val="Corpodetexto"/>
        <w:spacing w:before="6" w:line="312" w:lineRule="auto"/>
        <w:ind w:right="190"/>
      </w:pPr>
      <w:r>
        <w:t>Além disso, o munic</w:t>
      </w:r>
      <w:r>
        <w:t xml:space="preserve">ípio tem convivido com o lançamento de </w:t>
      </w:r>
      <w:r>
        <w:rPr>
          <w:spacing w:val="3"/>
        </w:rPr>
        <w:t xml:space="preserve">cerca </w:t>
      </w:r>
      <w:r>
        <w:rPr>
          <w:spacing w:val="1"/>
        </w:rPr>
        <w:t xml:space="preserve">de 35 </w:t>
      </w:r>
      <w:r>
        <w:rPr>
          <w:spacing w:val="2"/>
        </w:rPr>
        <w:t xml:space="preserve">mil </w:t>
      </w:r>
      <w:r>
        <w:rPr>
          <w:spacing w:val="3"/>
        </w:rPr>
        <w:t xml:space="preserve">toneladas/ano </w:t>
      </w:r>
      <w:r>
        <w:rPr>
          <w:spacing w:val="1"/>
        </w:rPr>
        <w:t xml:space="preserve">de </w:t>
      </w:r>
      <w:r>
        <w:rPr>
          <w:spacing w:val="3"/>
        </w:rPr>
        <w:t xml:space="preserve">poluentes </w:t>
      </w:r>
      <w:r>
        <w:rPr>
          <w:spacing w:val="1"/>
        </w:rPr>
        <w:t xml:space="preserve">na </w:t>
      </w:r>
      <w:r>
        <w:rPr>
          <w:spacing w:val="5"/>
        </w:rPr>
        <w:t xml:space="preserve">atmosfera, </w:t>
      </w:r>
      <w:r>
        <w:t>resíduos contaminantes depositados no solo, adoecimento da população circunvizinha (BENTES, 2008), além de drenagem e contaminação do rio Paraíba do Sul por met</w:t>
      </w:r>
      <w:r>
        <w:t xml:space="preserve">ais pesados e </w:t>
      </w:r>
      <w:r>
        <w:rPr>
          <w:spacing w:val="5"/>
        </w:rPr>
        <w:t xml:space="preserve">produtos químicos, </w:t>
      </w:r>
      <w:r>
        <w:t xml:space="preserve">o </w:t>
      </w:r>
      <w:r>
        <w:rPr>
          <w:spacing w:val="3"/>
        </w:rPr>
        <w:t xml:space="preserve">que levou </w:t>
      </w:r>
      <w:r>
        <w:t xml:space="preserve">à </w:t>
      </w:r>
      <w:r>
        <w:rPr>
          <w:spacing w:val="5"/>
        </w:rPr>
        <w:t xml:space="preserve">deterioração </w:t>
      </w:r>
      <w:r>
        <w:rPr>
          <w:spacing w:val="2"/>
        </w:rPr>
        <w:t xml:space="preserve">da </w:t>
      </w:r>
      <w:r>
        <w:rPr>
          <w:spacing w:val="5"/>
        </w:rPr>
        <w:t xml:space="preserve">bacia </w:t>
      </w:r>
      <w:r>
        <w:rPr>
          <w:spacing w:val="1"/>
        </w:rPr>
        <w:t xml:space="preserve">hidrográfica deste </w:t>
      </w:r>
      <w:r>
        <w:t xml:space="preserve">rio </w:t>
      </w:r>
      <w:r>
        <w:rPr>
          <w:spacing w:val="1"/>
        </w:rPr>
        <w:t xml:space="preserve">(DANTAS, 2005), </w:t>
      </w:r>
      <w:r>
        <w:t xml:space="preserve">que </w:t>
      </w:r>
      <w:r>
        <w:rPr>
          <w:spacing w:val="1"/>
        </w:rPr>
        <w:t xml:space="preserve">responde </w:t>
      </w:r>
      <w:r>
        <w:rPr>
          <w:spacing w:val="2"/>
        </w:rPr>
        <w:t xml:space="preserve">pelo </w:t>
      </w:r>
      <w:r>
        <w:t xml:space="preserve">abastecimento de água de 12 milhões de pessoas que moram em </w:t>
      </w:r>
      <w:r>
        <w:rPr>
          <w:spacing w:val="1"/>
        </w:rPr>
        <w:t xml:space="preserve">cidades </w:t>
      </w:r>
      <w:r>
        <w:t xml:space="preserve">à </w:t>
      </w:r>
      <w:r>
        <w:rPr>
          <w:spacing w:val="1"/>
        </w:rPr>
        <w:t xml:space="preserve">jusante </w:t>
      </w:r>
      <w:r>
        <w:t xml:space="preserve">da </w:t>
      </w:r>
      <w:r>
        <w:rPr>
          <w:spacing w:val="1"/>
        </w:rPr>
        <w:t xml:space="preserve">região, incluindo grande parte </w:t>
      </w:r>
      <w:r>
        <w:rPr>
          <w:spacing w:val="2"/>
        </w:rPr>
        <w:t xml:space="preserve">da </w:t>
      </w:r>
      <w:r>
        <w:rPr>
          <w:spacing w:val="3"/>
        </w:rPr>
        <w:t xml:space="preserve">Região Metropolitana </w:t>
      </w:r>
      <w:r>
        <w:rPr>
          <w:spacing w:val="1"/>
        </w:rPr>
        <w:t xml:space="preserve">do </w:t>
      </w:r>
      <w:r>
        <w:rPr>
          <w:spacing w:val="2"/>
        </w:rPr>
        <w:t xml:space="preserve">Rio </w:t>
      </w:r>
      <w:r>
        <w:rPr>
          <w:spacing w:val="1"/>
        </w:rPr>
        <w:t xml:space="preserve">de </w:t>
      </w:r>
      <w:r>
        <w:rPr>
          <w:spacing w:val="3"/>
        </w:rPr>
        <w:t xml:space="preserve">Janeiro (BENTES, </w:t>
      </w:r>
      <w:r>
        <w:rPr>
          <w:spacing w:val="5"/>
        </w:rPr>
        <w:t xml:space="preserve">2008; </w:t>
      </w:r>
      <w:r>
        <w:rPr>
          <w:spacing w:val="3"/>
        </w:rPr>
        <w:t>CARVALHO; TRINTA; BARCELLAR,</w:t>
      </w:r>
      <w:r>
        <w:rPr>
          <w:spacing w:val="-23"/>
        </w:rPr>
        <w:t xml:space="preserve"> </w:t>
      </w:r>
      <w:r>
        <w:rPr>
          <w:spacing w:val="5"/>
        </w:rPr>
        <w:t>2009).</w:t>
      </w:r>
    </w:p>
    <w:p w:rsidR="00D81F69" w:rsidRDefault="00330118">
      <w:pPr>
        <w:pStyle w:val="Corpodetexto"/>
        <w:spacing w:before="77" w:line="270" w:lineRule="atLeast"/>
        <w:ind w:right="196"/>
      </w:pPr>
      <w:r>
        <w:t xml:space="preserve">Apesar de ser considerada a maior indústria de aço do Brasil, a produção de coque neste tipo de indústria é a maior fonte  de emissão de compostos aromáticos (GIODA, </w:t>
      </w:r>
      <w:r>
        <w:t xml:space="preserve">2004). Ainda é verificado em alguns bairros de Volta Redonda (RJ) elevado </w:t>
      </w:r>
      <w:r>
        <w:rPr>
          <w:spacing w:val="1"/>
        </w:rPr>
        <w:t xml:space="preserve">nível </w:t>
      </w:r>
      <w:r>
        <w:t xml:space="preserve">de </w:t>
      </w:r>
      <w:r>
        <w:rPr>
          <w:spacing w:val="1"/>
        </w:rPr>
        <w:t xml:space="preserve">poluição, provocando condições materiais </w:t>
      </w:r>
      <w:r>
        <w:t xml:space="preserve">de </w:t>
      </w:r>
      <w:r>
        <w:rPr>
          <w:spacing w:val="2"/>
        </w:rPr>
        <w:t xml:space="preserve">vida </w:t>
      </w:r>
      <w:r>
        <w:rPr>
          <w:spacing w:val="5"/>
        </w:rPr>
        <w:t xml:space="preserve">desfavoráveis </w:t>
      </w:r>
      <w:r>
        <w:rPr>
          <w:spacing w:val="2"/>
        </w:rPr>
        <w:t xml:space="preserve">ou </w:t>
      </w:r>
      <w:r>
        <w:rPr>
          <w:spacing w:val="3"/>
        </w:rPr>
        <w:t xml:space="preserve">muito </w:t>
      </w:r>
      <w:r>
        <w:rPr>
          <w:spacing w:val="5"/>
        </w:rPr>
        <w:t xml:space="preserve">desfavoráveis </w:t>
      </w:r>
      <w:r>
        <w:t xml:space="preserve">à </w:t>
      </w:r>
      <w:r>
        <w:rPr>
          <w:spacing w:val="5"/>
        </w:rPr>
        <w:t>população</w:t>
      </w:r>
      <w:r>
        <w:rPr>
          <w:spacing w:val="30"/>
        </w:rPr>
        <w:t xml:space="preserve"> </w:t>
      </w:r>
      <w:r>
        <w:rPr>
          <w:spacing w:val="5"/>
        </w:rPr>
        <w:t>local</w:t>
      </w:r>
    </w:p>
    <w:p w:rsidR="00D81F69" w:rsidRDefault="00D81F69">
      <w:pPr>
        <w:spacing w:line="270" w:lineRule="atLeast"/>
        <w:sectPr w:rsidR="00D81F69">
          <w:type w:val="continuous"/>
          <w:pgSz w:w="11900" w:h="16840"/>
          <w:pgMar w:top="720" w:right="500" w:bottom="280" w:left="620" w:header="720" w:footer="720" w:gutter="0"/>
          <w:cols w:num="2" w:space="720" w:equalWidth="0">
            <w:col w:w="5194" w:space="276"/>
            <w:col w:w="5310"/>
          </w:cols>
        </w:sectPr>
      </w:pPr>
    </w:p>
    <w:p w:rsidR="00D81F69" w:rsidRDefault="00330118">
      <w:pPr>
        <w:pStyle w:val="Corpodetexto"/>
        <w:spacing w:before="81"/>
      </w:pPr>
      <w:r>
        <w:lastRenderedPageBreak/>
        <w:t>(PEITER; TOBAR, 1998).</w:t>
      </w:r>
    </w:p>
    <w:p w:rsidR="00D81F69" w:rsidRDefault="00D81F69">
      <w:pPr>
        <w:pStyle w:val="Corpodetexto"/>
        <w:spacing w:before="9"/>
        <w:ind w:left="0"/>
        <w:jc w:val="left"/>
        <w:rPr>
          <w:sz w:val="16"/>
        </w:rPr>
      </w:pPr>
    </w:p>
    <w:p w:rsidR="00D81F69" w:rsidRDefault="00330118">
      <w:pPr>
        <w:pStyle w:val="Corpodetexto"/>
        <w:spacing w:line="312" w:lineRule="auto"/>
        <w:ind w:right="42"/>
      </w:pPr>
      <w:r>
        <w:rPr>
          <w:spacing w:val="5"/>
        </w:rPr>
        <w:t xml:space="preserve">Para tentar </w:t>
      </w:r>
      <w:r>
        <w:rPr>
          <w:spacing w:val="6"/>
        </w:rPr>
        <w:t>soluci</w:t>
      </w:r>
      <w:r>
        <w:rPr>
          <w:spacing w:val="6"/>
        </w:rPr>
        <w:t xml:space="preserve">onar </w:t>
      </w:r>
      <w:r>
        <w:rPr>
          <w:spacing w:val="3"/>
        </w:rPr>
        <w:t xml:space="preserve">os </w:t>
      </w:r>
      <w:r>
        <w:rPr>
          <w:spacing w:val="6"/>
        </w:rPr>
        <w:t xml:space="preserve">problemas decorrentes </w:t>
      </w:r>
      <w:r>
        <w:rPr>
          <w:spacing w:val="7"/>
        </w:rPr>
        <w:t xml:space="preserve">deste </w:t>
      </w:r>
      <w:r>
        <w:rPr>
          <w:spacing w:val="5"/>
        </w:rPr>
        <w:t xml:space="preserve">passivo ambiental, </w:t>
      </w:r>
      <w:r>
        <w:rPr>
          <w:spacing w:val="2"/>
        </w:rPr>
        <w:t xml:space="preserve">em </w:t>
      </w:r>
      <w:r>
        <w:rPr>
          <w:spacing w:val="3"/>
        </w:rPr>
        <w:t xml:space="preserve">2000, </w:t>
      </w:r>
      <w:r>
        <w:t xml:space="preserve">a </w:t>
      </w:r>
      <w:r>
        <w:rPr>
          <w:spacing w:val="5"/>
        </w:rPr>
        <w:t xml:space="preserve">empresa assinou, </w:t>
      </w:r>
      <w:r>
        <w:rPr>
          <w:spacing w:val="3"/>
        </w:rPr>
        <w:t xml:space="preserve">com </w:t>
      </w:r>
      <w:r>
        <w:t xml:space="preserve">a antiga Fundação Estadual de Engenharia do Meio Ambiente (Feema), um Termo de Ajuste de Conduta (TAC), pelo qual se </w:t>
      </w:r>
      <w:r>
        <w:rPr>
          <w:spacing w:val="3"/>
        </w:rPr>
        <w:t xml:space="preserve">comprometeu </w:t>
      </w:r>
      <w:r>
        <w:t xml:space="preserve">a </w:t>
      </w:r>
      <w:r>
        <w:rPr>
          <w:spacing w:val="3"/>
        </w:rPr>
        <w:t xml:space="preserve">realizar </w:t>
      </w:r>
      <w:r>
        <w:rPr>
          <w:spacing w:val="2"/>
        </w:rPr>
        <w:t xml:space="preserve">130 </w:t>
      </w:r>
      <w:r>
        <w:rPr>
          <w:spacing w:val="3"/>
        </w:rPr>
        <w:t xml:space="preserve">projetos ambientais </w:t>
      </w:r>
      <w:r>
        <w:t xml:space="preserve">e </w:t>
      </w:r>
      <w:r>
        <w:rPr>
          <w:spacing w:val="5"/>
        </w:rPr>
        <w:t>ati</w:t>
      </w:r>
      <w:r>
        <w:rPr>
          <w:spacing w:val="5"/>
        </w:rPr>
        <w:t xml:space="preserve">ngir </w:t>
      </w:r>
      <w:r>
        <w:rPr>
          <w:spacing w:val="1"/>
        </w:rPr>
        <w:t xml:space="preserve">metas </w:t>
      </w:r>
      <w:r>
        <w:t xml:space="preserve">de </w:t>
      </w:r>
      <w:r>
        <w:rPr>
          <w:spacing w:val="1"/>
        </w:rPr>
        <w:t xml:space="preserve">desempenho relacionadas </w:t>
      </w:r>
      <w:r>
        <w:t xml:space="preserve">ao </w:t>
      </w:r>
      <w:r>
        <w:rPr>
          <w:spacing w:val="1"/>
        </w:rPr>
        <w:t xml:space="preserve">meio ambiente </w:t>
      </w:r>
      <w:r>
        <w:rPr>
          <w:spacing w:val="2"/>
        </w:rPr>
        <w:t xml:space="preserve">em </w:t>
      </w:r>
      <w:r>
        <w:t xml:space="preserve">Volta Redonda. Esse acordo foi concluído em abril de 2003 e implicou investimentos de R$ 252 milhões em equipamentos  e </w:t>
      </w:r>
      <w:r>
        <w:rPr>
          <w:spacing w:val="5"/>
        </w:rPr>
        <w:t xml:space="preserve">ações </w:t>
      </w:r>
      <w:r>
        <w:rPr>
          <w:spacing w:val="3"/>
        </w:rPr>
        <w:t xml:space="preserve">de </w:t>
      </w:r>
      <w:r>
        <w:rPr>
          <w:spacing w:val="6"/>
        </w:rPr>
        <w:t xml:space="preserve">controle </w:t>
      </w:r>
      <w:r>
        <w:rPr>
          <w:spacing w:val="3"/>
        </w:rPr>
        <w:t xml:space="preserve">da </w:t>
      </w:r>
      <w:r>
        <w:rPr>
          <w:spacing w:val="6"/>
        </w:rPr>
        <w:t xml:space="preserve">poluição atmosférica </w:t>
      </w:r>
      <w:r>
        <w:t xml:space="preserve">e </w:t>
      </w:r>
      <w:r>
        <w:rPr>
          <w:spacing w:val="7"/>
        </w:rPr>
        <w:t xml:space="preserve">hídrica, </w:t>
      </w:r>
      <w:r>
        <w:t>tratamento de resíduos só</w:t>
      </w:r>
      <w:r>
        <w:t xml:space="preserve">lidos, monitoramento, estudos para desativação de equipamentos e gestão de risco. Além disso,  o TAC </w:t>
      </w:r>
      <w:r>
        <w:rPr>
          <w:spacing w:val="1"/>
        </w:rPr>
        <w:t xml:space="preserve">incluiu três medidas compensatórias </w:t>
      </w:r>
      <w:r>
        <w:t xml:space="preserve">à </w:t>
      </w:r>
      <w:r>
        <w:rPr>
          <w:spacing w:val="2"/>
        </w:rPr>
        <w:t xml:space="preserve">comunidade: </w:t>
      </w:r>
      <w:r>
        <w:t xml:space="preserve">duplicação da capacidade da Estação de Tratamento de Água </w:t>
      </w:r>
      <w:r>
        <w:rPr>
          <w:spacing w:val="10"/>
        </w:rPr>
        <w:t xml:space="preserve">Potável </w:t>
      </w:r>
      <w:r>
        <w:rPr>
          <w:spacing w:val="5"/>
        </w:rPr>
        <w:t xml:space="preserve">de </w:t>
      </w:r>
      <w:r>
        <w:rPr>
          <w:spacing w:val="10"/>
        </w:rPr>
        <w:t xml:space="preserve">Volta Redonda, doação </w:t>
      </w:r>
      <w:r>
        <w:rPr>
          <w:spacing w:val="5"/>
        </w:rPr>
        <w:t xml:space="preserve">de </w:t>
      </w:r>
      <w:r>
        <w:rPr>
          <w:spacing w:val="10"/>
        </w:rPr>
        <w:t xml:space="preserve">terreno </w:t>
      </w:r>
      <w:r>
        <w:rPr>
          <w:spacing w:val="12"/>
        </w:rPr>
        <w:t>par</w:t>
      </w:r>
      <w:r>
        <w:rPr>
          <w:spacing w:val="12"/>
        </w:rPr>
        <w:t xml:space="preserve">a construção </w:t>
      </w:r>
      <w:r>
        <w:rPr>
          <w:spacing w:val="6"/>
        </w:rPr>
        <w:t xml:space="preserve">da </w:t>
      </w:r>
      <w:r>
        <w:rPr>
          <w:spacing w:val="11"/>
        </w:rPr>
        <w:t xml:space="preserve">Estação </w:t>
      </w:r>
      <w:r>
        <w:rPr>
          <w:spacing w:val="6"/>
        </w:rPr>
        <w:t xml:space="preserve">de </w:t>
      </w:r>
      <w:r>
        <w:rPr>
          <w:spacing w:val="12"/>
        </w:rPr>
        <w:t xml:space="preserve">Tratamento </w:t>
      </w:r>
      <w:r>
        <w:rPr>
          <w:spacing w:val="6"/>
        </w:rPr>
        <w:t xml:space="preserve">de </w:t>
      </w:r>
      <w:r>
        <w:rPr>
          <w:spacing w:val="11"/>
        </w:rPr>
        <w:t xml:space="preserve">Esgotos </w:t>
      </w:r>
      <w:r>
        <w:rPr>
          <w:spacing w:val="3"/>
        </w:rPr>
        <w:t xml:space="preserve">Domésticos </w:t>
      </w:r>
      <w:r>
        <w:t xml:space="preserve">e </w:t>
      </w:r>
      <w:r>
        <w:rPr>
          <w:spacing w:val="3"/>
        </w:rPr>
        <w:t xml:space="preserve">construção </w:t>
      </w:r>
      <w:r>
        <w:rPr>
          <w:spacing w:val="1"/>
        </w:rPr>
        <w:t xml:space="preserve">de um </w:t>
      </w:r>
      <w:r>
        <w:rPr>
          <w:spacing w:val="3"/>
        </w:rPr>
        <w:t xml:space="preserve">aterro sanitário, </w:t>
      </w:r>
      <w:r>
        <w:rPr>
          <w:spacing w:val="1"/>
        </w:rPr>
        <w:t xml:space="preserve">em </w:t>
      </w:r>
      <w:r>
        <w:rPr>
          <w:spacing w:val="5"/>
        </w:rPr>
        <w:t xml:space="preserve">área </w:t>
      </w:r>
      <w:r>
        <w:rPr>
          <w:spacing w:val="16"/>
        </w:rPr>
        <w:t xml:space="preserve">escolhida </w:t>
      </w:r>
      <w:r>
        <w:rPr>
          <w:spacing w:val="15"/>
        </w:rPr>
        <w:t xml:space="preserve">pela </w:t>
      </w:r>
      <w:r>
        <w:rPr>
          <w:spacing w:val="17"/>
        </w:rPr>
        <w:t xml:space="preserve">prefeitura (CARVALHO; </w:t>
      </w:r>
      <w:r>
        <w:rPr>
          <w:spacing w:val="16"/>
        </w:rPr>
        <w:t xml:space="preserve">TRINTA; </w:t>
      </w:r>
      <w:r>
        <w:rPr>
          <w:spacing w:val="17"/>
        </w:rPr>
        <w:t>BARCELLAR,</w:t>
      </w:r>
      <w:r>
        <w:rPr>
          <w:spacing w:val="28"/>
        </w:rPr>
        <w:t xml:space="preserve"> </w:t>
      </w:r>
      <w:r>
        <w:rPr>
          <w:spacing w:val="15"/>
        </w:rPr>
        <w:t>2009).</w:t>
      </w:r>
      <w:r>
        <w:rPr>
          <w:spacing w:val="-29"/>
        </w:rPr>
        <w:t xml:space="preserve"> </w:t>
      </w:r>
    </w:p>
    <w:p w:rsidR="00D81F69" w:rsidRPr="00392EAD" w:rsidRDefault="00330118">
      <w:pPr>
        <w:pStyle w:val="Corpodetexto"/>
        <w:spacing w:before="147" w:line="312" w:lineRule="auto"/>
        <w:ind w:right="45"/>
        <w:rPr>
          <w:lang w:val="pt-BR"/>
        </w:rPr>
      </w:pPr>
      <w:r w:rsidRPr="00392EAD">
        <w:rPr>
          <w:lang w:val="pt-BR"/>
        </w:rPr>
        <w:t>No entanto, dois anos depois, a CSN foi condenada pela 3ª Vara Federal de Volta Redonda a reparar os danos ambientais causados no passado pela sua atividade industrial. Segundo a juíza, alguns dos “poluentes, encontrados em altas concentrações à jusante da</w:t>
      </w:r>
      <w:r w:rsidRPr="00392EAD">
        <w:rPr>
          <w:lang w:val="pt-BR"/>
        </w:rPr>
        <w:t xml:space="preserve"> CSN, eram cancerígenos e potenciais causadores de mutações genéticas e efeitos sistêmicos”. Na mesma sentença, a magistrada ressalva que “alguns anos após a privatização, a CSN, sob nova administração, passou a adotar política de gestão ambiental de vangu</w:t>
      </w:r>
      <w:r w:rsidRPr="00392EAD">
        <w:rPr>
          <w:lang w:val="pt-BR"/>
        </w:rPr>
        <w:t>arda, bem como a investir seriamente em processos industriais mais limpos e eficientes” (DANTAS, 2005).</w:t>
      </w:r>
    </w:p>
    <w:p w:rsidR="00D81F69" w:rsidRPr="00392EAD" w:rsidRDefault="00330118">
      <w:pPr>
        <w:pStyle w:val="Corpodetexto"/>
        <w:spacing w:before="141" w:line="312" w:lineRule="auto"/>
        <w:ind w:right="38"/>
        <w:rPr>
          <w:lang w:val="pt-BR"/>
        </w:rPr>
      </w:pPr>
      <w:r w:rsidRPr="00392EAD">
        <w:rPr>
          <w:spacing w:val="16"/>
          <w:lang w:val="pt-BR"/>
        </w:rPr>
        <w:t xml:space="preserve">Apesar </w:t>
      </w:r>
      <w:r w:rsidRPr="00392EAD">
        <w:rPr>
          <w:spacing w:val="13"/>
          <w:lang w:val="pt-BR"/>
        </w:rPr>
        <w:t xml:space="preserve">dos </w:t>
      </w:r>
      <w:r w:rsidRPr="00392EAD">
        <w:rPr>
          <w:spacing w:val="17"/>
          <w:lang w:val="pt-BR"/>
        </w:rPr>
        <w:t xml:space="preserve">alegados </w:t>
      </w:r>
      <w:r w:rsidRPr="00392EAD">
        <w:rPr>
          <w:spacing w:val="18"/>
          <w:lang w:val="pt-BR"/>
        </w:rPr>
        <w:t xml:space="preserve">investimentos ambientais, </w:t>
      </w:r>
      <w:r w:rsidRPr="00392EAD">
        <w:rPr>
          <w:lang w:val="pt-BR"/>
        </w:rPr>
        <w:t xml:space="preserve">irregularidades vêm acontecendo seguidamente. Em 2006, o </w:t>
      </w:r>
      <w:r w:rsidRPr="00392EAD">
        <w:rPr>
          <w:spacing w:val="3"/>
          <w:lang w:val="pt-BR"/>
        </w:rPr>
        <w:t xml:space="preserve">Ministério Público Federal </w:t>
      </w:r>
      <w:r w:rsidRPr="00392EAD">
        <w:rPr>
          <w:spacing w:val="1"/>
          <w:lang w:val="pt-BR"/>
        </w:rPr>
        <w:t xml:space="preserve">em </w:t>
      </w:r>
      <w:r w:rsidRPr="00392EAD">
        <w:rPr>
          <w:spacing w:val="3"/>
          <w:lang w:val="pt-BR"/>
        </w:rPr>
        <w:t xml:space="preserve">Volta Redonda </w:t>
      </w:r>
      <w:r w:rsidRPr="00392EAD">
        <w:rPr>
          <w:spacing w:val="5"/>
          <w:lang w:val="pt-BR"/>
        </w:rPr>
        <w:t xml:space="preserve">apresentou </w:t>
      </w:r>
      <w:r w:rsidRPr="00392EAD">
        <w:rPr>
          <w:lang w:val="pt-BR"/>
        </w:rPr>
        <w:t>denúncia criminal à Justiça Federal contra a empresa, pelo lançamento de resíduos industriais no ar e no rio Paraíba do Sul. Segundo a ação, a CSN teria lançado benzo-a-pireno em altos níveis no rio entre os anos de 1990 e 2000, oriundo das água</w:t>
      </w:r>
      <w:r w:rsidRPr="00392EAD">
        <w:rPr>
          <w:lang w:val="pt-BR"/>
        </w:rPr>
        <w:t xml:space="preserve">s de lavagem dos gases dos alto-fornos e da produção  de </w:t>
      </w:r>
      <w:r w:rsidRPr="00392EAD">
        <w:rPr>
          <w:spacing w:val="1"/>
          <w:lang w:val="pt-BR"/>
        </w:rPr>
        <w:t xml:space="preserve">coque </w:t>
      </w:r>
      <w:r w:rsidRPr="00392EAD">
        <w:rPr>
          <w:lang w:val="pt-BR"/>
        </w:rPr>
        <w:t xml:space="preserve">e </w:t>
      </w:r>
      <w:r w:rsidRPr="00392EAD">
        <w:rPr>
          <w:spacing w:val="1"/>
          <w:lang w:val="pt-BR"/>
        </w:rPr>
        <w:t xml:space="preserve">carboquímica </w:t>
      </w:r>
      <w:r w:rsidRPr="00392EAD">
        <w:rPr>
          <w:lang w:val="pt-BR"/>
        </w:rPr>
        <w:t xml:space="preserve">de </w:t>
      </w:r>
      <w:r w:rsidRPr="00392EAD">
        <w:rPr>
          <w:spacing w:val="1"/>
          <w:lang w:val="pt-BR"/>
        </w:rPr>
        <w:t xml:space="preserve">coquerias [conjunto </w:t>
      </w:r>
      <w:r w:rsidRPr="00392EAD">
        <w:rPr>
          <w:lang w:val="pt-BR"/>
        </w:rPr>
        <w:t xml:space="preserve">de </w:t>
      </w:r>
      <w:r w:rsidRPr="00392EAD">
        <w:rPr>
          <w:spacing w:val="2"/>
          <w:lang w:val="pt-BR"/>
        </w:rPr>
        <w:t xml:space="preserve">fornos </w:t>
      </w:r>
      <w:r w:rsidRPr="00392EAD">
        <w:rPr>
          <w:lang w:val="pt-BR"/>
        </w:rPr>
        <w:t xml:space="preserve">onde o carvão é transformado em coque siderúrgico para ser levado ao alto-forno]. Alegou-se ainda emissão de benzeno  </w:t>
      </w:r>
      <w:r w:rsidRPr="00392EAD">
        <w:rPr>
          <w:spacing w:val="1"/>
          <w:lang w:val="pt-BR"/>
        </w:rPr>
        <w:t xml:space="preserve">no ar da </w:t>
      </w:r>
      <w:r w:rsidRPr="00392EAD">
        <w:rPr>
          <w:spacing w:val="3"/>
          <w:lang w:val="pt-BR"/>
        </w:rPr>
        <w:t xml:space="preserve">cidade </w:t>
      </w:r>
      <w:r w:rsidRPr="00392EAD">
        <w:rPr>
          <w:spacing w:val="1"/>
          <w:lang w:val="pt-BR"/>
        </w:rPr>
        <w:t xml:space="preserve">de </w:t>
      </w:r>
      <w:r w:rsidRPr="00392EAD">
        <w:rPr>
          <w:spacing w:val="3"/>
          <w:lang w:val="pt-BR"/>
        </w:rPr>
        <w:t>Volta Re</w:t>
      </w:r>
      <w:r w:rsidRPr="00392EAD">
        <w:rPr>
          <w:spacing w:val="3"/>
          <w:lang w:val="pt-BR"/>
        </w:rPr>
        <w:t xml:space="preserve">donda </w:t>
      </w:r>
      <w:r w:rsidRPr="00392EAD">
        <w:rPr>
          <w:lang w:val="pt-BR"/>
        </w:rPr>
        <w:t xml:space="preserve">e </w:t>
      </w:r>
      <w:r w:rsidRPr="00392EAD">
        <w:rPr>
          <w:spacing w:val="3"/>
          <w:lang w:val="pt-BR"/>
        </w:rPr>
        <w:t xml:space="preserve">arredores </w:t>
      </w:r>
      <w:r w:rsidRPr="00392EAD">
        <w:rPr>
          <w:spacing w:val="5"/>
          <w:lang w:val="pt-BR"/>
        </w:rPr>
        <w:t xml:space="preserve">(ESPAÇO </w:t>
      </w:r>
      <w:r w:rsidRPr="00392EAD">
        <w:rPr>
          <w:spacing w:val="3"/>
          <w:lang w:val="pt-BR"/>
        </w:rPr>
        <w:t>VITAL,</w:t>
      </w:r>
      <w:r w:rsidRPr="00392EAD">
        <w:rPr>
          <w:spacing w:val="25"/>
          <w:lang w:val="pt-BR"/>
        </w:rPr>
        <w:t xml:space="preserve"> </w:t>
      </w:r>
      <w:r w:rsidRPr="00392EAD">
        <w:rPr>
          <w:spacing w:val="5"/>
          <w:lang w:val="pt-BR"/>
        </w:rPr>
        <w:t>2006).</w:t>
      </w:r>
    </w:p>
    <w:p w:rsidR="00D81F69" w:rsidRPr="00392EAD" w:rsidRDefault="00330118">
      <w:pPr>
        <w:pStyle w:val="Corpodetexto"/>
        <w:spacing w:before="142" w:line="312" w:lineRule="auto"/>
        <w:ind w:right="69"/>
        <w:rPr>
          <w:lang w:val="pt-BR"/>
        </w:rPr>
      </w:pPr>
      <w:r w:rsidRPr="00392EAD">
        <w:rPr>
          <w:lang w:val="pt-BR"/>
        </w:rPr>
        <w:t>Em agosto de 2009, houve um vazamento de óleo da Usina Presidente Vargas no rio Paraíba do Sul, sem que a empresa houvesse comunicado o fato à Superintendência de Meio Ambiente em Volta Redonda, no momento em que det</w:t>
      </w:r>
      <w:r w:rsidRPr="00392EAD">
        <w:rPr>
          <w:lang w:val="pt-BR"/>
        </w:rPr>
        <w:t>ectou o problema. Na ocasião, a secretária Estadual de Meio Ambiente, Marilene Ramos, estranhou que, “depois de ter passado por um processo de melhorias ambientais, a empresa não conseguisse detectar e controlar o vazamento" (AGÊNCIA ESTADO, 2009).</w:t>
      </w:r>
    </w:p>
    <w:p w:rsidR="00D81F69" w:rsidRPr="00392EAD" w:rsidRDefault="00330118">
      <w:pPr>
        <w:pStyle w:val="Corpodetexto"/>
        <w:spacing w:before="138"/>
        <w:rPr>
          <w:lang w:val="pt-BR"/>
        </w:rPr>
      </w:pPr>
      <w:r w:rsidRPr="00392EAD">
        <w:rPr>
          <w:lang w:val="pt-BR"/>
        </w:rPr>
        <w:t>Cerca d</w:t>
      </w:r>
      <w:r w:rsidRPr="00392EAD">
        <w:rPr>
          <w:lang w:val="pt-BR"/>
        </w:rPr>
        <w:t>e um mês antes, a siderúrgica fora multada pelo</w:t>
      </w:r>
    </w:p>
    <w:p w:rsidR="00D81F69" w:rsidRPr="00392EAD" w:rsidRDefault="00330118">
      <w:pPr>
        <w:pStyle w:val="Corpodetexto"/>
        <w:spacing w:before="81" w:line="312" w:lineRule="auto"/>
        <w:ind w:right="200"/>
        <w:rPr>
          <w:lang w:val="pt-BR"/>
        </w:rPr>
      </w:pPr>
      <w:r w:rsidRPr="00392EAD">
        <w:rPr>
          <w:lang w:val="pt-BR"/>
        </w:rPr>
        <w:br w:type="column"/>
      </w:r>
      <w:r w:rsidRPr="00392EAD">
        <w:rPr>
          <w:lang w:val="pt-BR"/>
        </w:rPr>
        <w:lastRenderedPageBreak/>
        <w:t>Instituto Estadual do Ambiente (Inea), devido a uma espessa nuvem de fuligem de carvão que cobriu parte da cidade de Volta Redonda. A poluição foi decorrente de um problema no alto-forno 3 da usina e, em not</w:t>
      </w:r>
      <w:r w:rsidRPr="00392EAD">
        <w:rPr>
          <w:lang w:val="pt-BR"/>
        </w:rPr>
        <w:t>a, a CSN afirmou que o vazamento da fuligem foi causado por uma "uma sobrepressão no topo do forno", que provocou a abertura das válvulas de alívio, deixando escapar o material poluente por dois minutos e 19 segundos (AGÊNCIA ESTADO, 2009).</w:t>
      </w:r>
    </w:p>
    <w:p w:rsidR="00D81F69" w:rsidRPr="00392EAD" w:rsidRDefault="00330118">
      <w:pPr>
        <w:pStyle w:val="Corpodetexto"/>
        <w:spacing w:before="137" w:line="312" w:lineRule="auto"/>
        <w:ind w:right="195"/>
        <w:rPr>
          <w:lang w:val="pt-BR"/>
        </w:rPr>
      </w:pPr>
      <w:r w:rsidRPr="00392EAD">
        <w:rPr>
          <w:lang w:val="pt-BR"/>
        </w:rPr>
        <w:t xml:space="preserve">Nos dias 3 e 6 </w:t>
      </w:r>
      <w:r w:rsidRPr="00392EAD">
        <w:rPr>
          <w:lang w:val="pt-BR"/>
        </w:rPr>
        <w:t>agosto de 2010, equipes do Inea identificaram novo vazamento de óleo proveniente da Estação de Tratamento de Efluentes do Alto Forno 2 da usina (TEIXERA, 2011), que mais uma vez atingiu o rio. Na ocasião, a empresa alegou ignorar as causas do vazamento por</w:t>
      </w:r>
      <w:r w:rsidRPr="00392EAD">
        <w:rPr>
          <w:lang w:val="pt-BR"/>
        </w:rPr>
        <w:t xml:space="preserve"> ter uma “malha hídrica muito extensa e antiga”. O Inea aplicou multa de R$ 5 milhões pelos dois vazamentos e multa diária durante a violação dos padrões de emissão dos efluentes no rio (MPF, 2010).</w:t>
      </w:r>
    </w:p>
    <w:p w:rsidR="00D81F69" w:rsidRPr="00392EAD" w:rsidRDefault="00330118">
      <w:pPr>
        <w:pStyle w:val="Corpodetexto"/>
        <w:spacing w:before="139" w:line="312" w:lineRule="auto"/>
        <w:ind w:right="208"/>
        <w:rPr>
          <w:lang w:val="pt-BR"/>
        </w:rPr>
      </w:pPr>
      <w:r w:rsidRPr="00392EAD">
        <w:rPr>
          <w:spacing w:val="3"/>
          <w:lang w:val="pt-BR"/>
        </w:rPr>
        <w:t xml:space="preserve">Após </w:t>
      </w:r>
      <w:r w:rsidRPr="00392EAD">
        <w:rPr>
          <w:spacing w:val="5"/>
          <w:lang w:val="pt-BR"/>
        </w:rPr>
        <w:t xml:space="preserve">analisar </w:t>
      </w:r>
      <w:r w:rsidRPr="00392EAD">
        <w:rPr>
          <w:spacing w:val="2"/>
          <w:lang w:val="pt-BR"/>
        </w:rPr>
        <w:t xml:space="preserve">os </w:t>
      </w:r>
      <w:r w:rsidRPr="00392EAD">
        <w:rPr>
          <w:spacing w:val="5"/>
          <w:lang w:val="pt-BR"/>
        </w:rPr>
        <w:t xml:space="preserve">laudos </w:t>
      </w:r>
      <w:r w:rsidRPr="00392EAD">
        <w:rPr>
          <w:spacing w:val="2"/>
          <w:lang w:val="pt-BR"/>
        </w:rPr>
        <w:t xml:space="preserve">de </w:t>
      </w:r>
      <w:r w:rsidRPr="00392EAD">
        <w:rPr>
          <w:spacing w:val="5"/>
          <w:lang w:val="pt-BR"/>
        </w:rPr>
        <w:t xml:space="preserve">vistoria, </w:t>
      </w:r>
      <w:r w:rsidRPr="00392EAD">
        <w:rPr>
          <w:lang w:val="pt-BR"/>
        </w:rPr>
        <w:t xml:space="preserve">o </w:t>
      </w:r>
      <w:r w:rsidRPr="00392EAD">
        <w:rPr>
          <w:spacing w:val="5"/>
          <w:lang w:val="pt-BR"/>
        </w:rPr>
        <w:t>Ministério Público</w:t>
      </w:r>
      <w:r w:rsidRPr="00392EAD">
        <w:rPr>
          <w:spacing w:val="61"/>
          <w:lang w:val="pt-BR"/>
        </w:rPr>
        <w:t xml:space="preserve"> </w:t>
      </w:r>
      <w:r w:rsidRPr="00392EAD">
        <w:rPr>
          <w:spacing w:val="5"/>
          <w:lang w:val="pt-BR"/>
        </w:rPr>
        <w:t xml:space="preserve">Federal (MPF) </w:t>
      </w:r>
      <w:r w:rsidRPr="00392EAD">
        <w:rPr>
          <w:spacing w:val="3"/>
          <w:lang w:val="pt-BR"/>
        </w:rPr>
        <w:t xml:space="preserve">em </w:t>
      </w:r>
      <w:r w:rsidRPr="00392EAD">
        <w:rPr>
          <w:spacing w:val="5"/>
          <w:lang w:val="pt-BR"/>
        </w:rPr>
        <w:t xml:space="preserve">Volta Redonda </w:t>
      </w:r>
      <w:r w:rsidRPr="00392EAD">
        <w:rPr>
          <w:spacing w:val="6"/>
          <w:lang w:val="pt-BR"/>
        </w:rPr>
        <w:t xml:space="preserve">concluiu </w:t>
      </w:r>
      <w:r w:rsidRPr="00392EAD">
        <w:rPr>
          <w:spacing w:val="5"/>
          <w:lang w:val="pt-BR"/>
        </w:rPr>
        <w:t xml:space="preserve">que </w:t>
      </w:r>
      <w:r w:rsidRPr="00392EAD">
        <w:rPr>
          <w:lang w:val="pt-BR"/>
        </w:rPr>
        <w:t xml:space="preserve">a </w:t>
      </w:r>
      <w:r w:rsidRPr="00392EAD">
        <w:rPr>
          <w:spacing w:val="7"/>
          <w:lang w:val="pt-BR"/>
        </w:rPr>
        <w:t xml:space="preserve">CSN </w:t>
      </w:r>
      <w:r w:rsidRPr="00392EAD">
        <w:rPr>
          <w:lang w:val="pt-BR"/>
        </w:rPr>
        <w:t xml:space="preserve">precisava de uma completa reformulação em sua política de prevenção a riscos ambientais. Desta forma, recomendou à empresa que: analisasse o nível de contaminação do solo e </w:t>
      </w:r>
      <w:r w:rsidRPr="00392EAD">
        <w:rPr>
          <w:spacing w:val="3"/>
          <w:lang w:val="pt-BR"/>
        </w:rPr>
        <w:t xml:space="preserve">das </w:t>
      </w:r>
      <w:r w:rsidRPr="00392EAD">
        <w:rPr>
          <w:spacing w:val="5"/>
          <w:lang w:val="pt-BR"/>
        </w:rPr>
        <w:t xml:space="preserve">águas subterrâneas </w:t>
      </w:r>
      <w:r w:rsidRPr="00392EAD">
        <w:rPr>
          <w:spacing w:val="2"/>
          <w:lang w:val="pt-BR"/>
        </w:rPr>
        <w:t xml:space="preserve">de </w:t>
      </w:r>
      <w:r w:rsidRPr="00392EAD">
        <w:rPr>
          <w:spacing w:val="3"/>
          <w:lang w:val="pt-BR"/>
        </w:rPr>
        <w:t xml:space="preserve">sua </w:t>
      </w:r>
      <w:r w:rsidRPr="00392EAD">
        <w:rPr>
          <w:spacing w:val="5"/>
          <w:lang w:val="pt-BR"/>
        </w:rPr>
        <w:t>us</w:t>
      </w:r>
      <w:r w:rsidRPr="00392EAD">
        <w:rPr>
          <w:spacing w:val="5"/>
          <w:lang w:val="pt-BR"/>
        </w:rPr>
        <w:t xml:space="preserve">ina; contratasse </w:t>
      </w:r>
      <w:r w:rsidRPr="00392EAD">
        <w:rPr>
          <w:spacing w:val="6"/>
          <w:lang w:val="pt-BR"/>
        </w:rPr>
        <w:t xml:space="preserve">uma </w:t>
      </w:r>
      <w:r w:rsidRPr="00392EAD">
        <w:rPr>
          <w:lang w:val="pt-BR"/>
        </w:rPr>
        <w:t>auditoria ambiental independente para apurar as condições das tubulações; e que reformulasse seu plano de emergência em caso de acidente ambiental (MPF, 2010).</w:t>
      </w:r>
    </w:p>
    <w:p w:rsidR="00D81F69" w:rsidRPr="00392EAD" w:rsidRDefault="00330118">
      <w:pPr>
        <w:pStyle w:val="Corpodetexto"/>
        <w:spacing w:before="138" w:line="312" w:lineRule="auto"/>
        <w:ind w:right="186"/>
        <w:rPr>
          <w:lang w:val="pt-BR"/>
        </w:rPr>
      </w:pPr>
      <w:r w:rsidRPr="00392EAD">
        <w:rPr>
          <w:spacing w:val="5"/>
          <w:lang w:val="pt-BR"/>
        </w:rPr>
        <w:t xml:space="preserve">No </w:t>
      </w:r>
      <w:r w:rsidRPr="00392EAD">
        <w:rPr>
          <w:spacing w:val="7"/>
          <w:lang w:val="pt-BR"/>
        </w:rPr>
        <w:t xml:space="preserve">mesmo </w:t>
      </w:r>
      <w:r w:rsidRPr="00392EAD">
        <w:rPr>
          <w:spacing w:val="6"/>
          <w:lang w:val="pt-BR"/>
        </w:rPr>
        <w:t xml:space="preserve">ano, </w:t>
      </w:r>
      <w:r w:rsidRPr="00392EAD">
        <w:rPr>
          <w:spacing w:val="7"/>
          <w:lang w:val="pt-BR"/>
        </w:rPr>
        <w:t xml:space="preserve">durante </w:t>
      </w:r>
      <w:r w:rsidRPr="00392EAD">
        <w:rPr>
          <w:lang w:val="pt-BR"/>
        </w:rPr>
        <w:t xml:space="preserve">a </w:t>
      </w:r>
      <w:r w:rsidRPr="00392EAD">
        <w:rPr>
          <w:spacing w:val="8"/>
          <w:lang w:val="pt-BR"/>
        </w:rPr>
        <w:t xml:space="preserve">construção </w:t>
      </w:r>
      <w:r w:rsidRPr="00392EAD">
        <w:rPr>
          <w:spacing w:val="5"/>
          <w:lang w:val="pt-BR"/>
        </w:rPr>
        <w:t xml:space="preserve">da </w:t>
      </w:r>
      <w:r w:rsidRPr="00392EAD">
        <w:rPr>
          <w:spacing w:val="7"/>
          <w:lang w:val="pt-BR"/>
        </w:rPr>
        <w:t xml:space="preserve">Rodovia </w:t>
      </w:r>
      <w:r w:rsidRPr="00392EAD">
        <w:rPr>
          <w:spacing w:val="10"/>
          <w:lang w:val="pt-BR"/>
        </w:rPr>
        <w:t xml:space="preserve">do </w:t>
      </w:r>
      <w:r w:rsidRPr="00392EAD">
        <w:rPr>
          <w:spacing w:val="5"/>
          <w:lang w:val="pt-BR"/>
        </w:rPr>
        <w:t xml:space="preserve">Contorno, </w:t>
      </w:r>
      <w:r w:rsidRPr="00392EAD">
        <w:rPr>
          <w:spacing w:val="2"/>
          <w:lang w:val="pt-BR"/>
        </w:rPr>
        <w:t xml:space="preserve">em </w:t>
      </w:r>
      <w:r w:rsidRPr="00392EAD">
        <w:rPr>
          <w:spacing w:val="5"/>
          <w:lang w:val="pt-BR"/>
        </w:rPr>
        <w:t xml:space="preserve">Volta </w:t>
      </w:r>
      <w:r w:rsidRPr="00392EAD">
        <w:rPr>
          <w:spacing w:val="5"/>
          <w:lang w:val="pt-BR"/>
        </w:rPr>
        <w:t xml:space="preserve">Redonda, </w:t>
      </w:r>
      <w:r w:rsidRPr="00392EAD">
        <w:rPr>
          <w:spacing w:val="3"/>
          <w:lang w:val="pt-BR"/>
        </w:rPr>
        <w:t xml:space="preserve">foi </w:t>
      </w:r>
      <w:r w:rsidRPr="00392EAD">
        <w:rPr>
          <w:spacing w:val="5"/>
          <w:lang w:val="pt-BR"/>
        </w:rPr>
        <w:t xml:space="preserve">interceptado </w:t>
      </w:r>
      <w:r w:rsidRPr="00392EAD">
        <w:rPr>
          <w:spacing w:val="2"/>
          <w:lang w:val="pt-BR"/>
        </w:rPr>
        <w:t xml:space="preserve">um </w:t>
      </w:r>
      <w:r w:rsidRPr="00392EAD">
        <w:rPr>
          <w:spacing w:val="6"/>
          <w:lang w:val="pt-BR"/>
        </w:rPr>
        <w:t xml:space="preserve">lixão </w:t>
      </w:r>
      <w:r w:rsidRPr="00392EAD">
        <w:rPr>
          <w:lang w:val="pt-BR"/>
        </w:rPr>
        <w:t xml:space="preserve">industrial clandestino, conhecido como aterro Márcia 1 - com </w:t>
      </w:r>
      <w:r w:rsidRPr="00392EAD">
        <w:rPr>
          <w:spacing w:val="2"/>
          <w:lang w:val="pt-BR"/>
        </w:rPr>
        <w:t xml:space="preserve">540 mil </w:t>
      </w:r>
      <w:r w:rsidRPr="00392EAD">
        <w:rPr>
          <w:spacing w:val="3"/>
          <w:lang w:val="pt-BR"/>
        </w:rPr>
        <w:t xml:space="preserve">toneladas </w:t>
      </w:r>
      <w:r w:rsidRPr="00392EAD">
        <w:rPr>
          <w:spacing w:val="1"/>
          <w:lang w:val="pt-BR"/>
        </w:rPr>
        <w:t xml:space="preserve">de </w:t>
      </w:r>
      <w:r w:rsidRPr="00392EAD">
        <w:rPr>
          <w:spacing w:val="3"/>
          <w:lang w:val="pt-BR"/>
        </w:rPr>
        <w:t xml:space="preserve">resíduos perigosos </w:t>
      </w:r>
      <w:r w:rsidRPr="00392EAD">
        <w:rPr>
          <w:spacing w:val="1"/>
          <w:lang w:val="pt-BR"/>
        </w:rPr>
        <w:t xml:space="preserve">-, </w:t>
      </w:r>
      <w:r w:rsidRPr="00392EAD">
        <w:rPr>
          <w:spacing w:val="2"/>
          <w:lang w:val="pt-BR"/>
        </w:rPr>
        <w:t xml:space="preserve">que </w:t>
      </w:r>
      <w:r w:rsidRPr="00392EAD">
        <w:rPr>
          <w:spacing w:val="3"/>
          <w:lang w:val="pt-BR"/>
        </w:rPr>
        <w:t xml:space="preserve">teria </w:t>
      </w:r>
      <w:r w:rsidRPr="00392EAD">
        <w:rPr>
          <w:spacing w:val="5"/>
          <w:lang w:val="pt-BR"/>
        </w:rPr>
        <w:t xml:space="preserve">sido </w:t>
      </w:r>
      <w:r w:rsidRPr="00392EAD">
        <w:rPr>
          <w:spacing w:val="7"/>
          <w:lang w:val="pt-BR"/>
        </w:rPr>
        <w:t xml:space="preserve">mantido </w:t>
      </w:r>
      <w:r w:rsidRPr="00392EAD">
        <w:rPr>
          <w:spacing w:val="6"/>
          <w:lang w:val="pt-BR"/>
        </w:rPr>
        <w:t xml:space="preserve">pela </w:t>
      </w:r>
      <w:r w:rsidRPr="00392EAD">
        <w:rPr>
          <w:spacing w:val="7"/>
          <w:lang w:val="pt-BR"/>
        </w:rPr>
        <w:t xml:space="preserve">empresa durante </w:t>
      </w:r>
      <w:r w:rsidRPr="00392EAD">
        <w:rPr>
          <w:spacing w:val="6"/>
          <w:lang w:val="pt-BR"/>
        </w:rPr>
        <w:t xml:space="preserve">mais </w:t>
      </w:r>
      <w:r w:rsidRPr="00392EAD">
        <w:rPr>
          <w:spacing w:val="5"/>
          <w:lang w:val="pt-BR"/>
        </w:rPr>
        <w:t xml:space="preserve">de </w:t>
      </w:r>
      <w:r w:rsidRPr="00392EAD">
        <w:rPr>
          <w:spacing w:val="6"/>
          <w:lang w:val="pt-BR"/>
        </w:rPr>
        <w:t xml:space="preserve">duas </w:t>
      </w:r>
      <w:r w:rsidRPr="00392EAD">
        <w:rPr>
          <w:spacing w:val="10"/>
          <w:lang w:val="pt-BR"/>
        </w:rPr>
        <w:t xml:space="preserve">décadas. </w:t>
      </w:r>
      <w:r w:rsidRPr="00392EAD">
        <w:rPr>
          <w:spacing w:val="3"/>
          <w:lang w:val="pt-BR"/>
        </w:rPr>
        <w:t xml:space="preserve">Intimada </w:t>
      </w:r>
      <w:r w:rsidRPr="00392EAD">
        <w:rPr>
          <w:spacing w:val="2"/>
          <w:lang w:val="pt-BR"/>
        </w:rPr>
        <w:t xml:space="preserve">pelo </w:t>
      </w:r>
      <w:r w:rsidRPr="00392EAD">
        <w:rPr>
          <w:spacing w:val="3"/>
          <w:lang w:val="pt-BR"/>
        </w:rPr>
        <w:t xml:space="preserve">Inea, </w:t>
      </w:r>
      <w:r w:rsidRPr="00392EAD">
        <w:rPr>
          <w:lang w:val="pt-BR"/>
        </w:rPr>
        <w:t xml:space="preserve">a </w:t>
      </w:r>
      <w:r w:rsidRPr="00392EAD">
        <w:rPr>
          <w:spacing w:val="3"/>
          <w:lang w:val="pt-BR"/>
        </w:rPr>
        <w:t xml:space="preserve">siderúrgica informou </w:t>
      </w:r>
      <w:r w:rsidRPr="00392EAD">
        <w:rPr>
          <w:spacing w:val="2"/>
          <w:lang w:val="pt-BR"/>
        </w:rPr>
        <w:t xml:space="preserve">que </w:t>
      </w:r>
      <w:r w:rsidRPr="00392EAD">
        <w:rPr>
          <w:lang w:val="pt-BR"/>
        </w:rPr>
        <w:t xml:space="preserve">o </w:t>
      </w:r>
      <w:r w:rsidRPr="00392EAD">
        <w:rPr>
          <w:spacing w:val="5"/>
          <w:lang w:val="pt-BR"/>
        </w:rPr>
        <w:t>de</w:t>
      </w:r>
      <w:r w:rsidRPr="00392EAD">
        <w:rPr>
          <w:spacing w:val="5"/>
          <w:lang w:val="pt-BR"/>
        </w:rPr>
        <w:t xml:space="preserve">pósito </w:t>
      </w:r>
      <w:r w:rsidRPr="00392EAD">
        <w:rPr>
          <w:lang w:val="pt-BR"/>
        </w:rPr>
        <w:t xml:space="preserve">funcionou a partir de 1989 e revelou a existência de </w:t>
      </w:r>
      <w:r w:rsidRPr="00392EAD">
        <w:rPr>
          <w:spacing w:val="1"/>
          <w:lang w:val="pt-BR"/>
        </w:rPr>
        <w:t xml:space="preserve">outros </w:t>
      </w:r>
      <w:r w:rsidRPr="00392EAD">
        <w:rPr>
          <w:lang w:val="pt-BR"/>
        </w:rPr>
        <w:t>três aterros irregulares – Márcia 2, Márcia 3 e Wandir, o</w:t>
      </w:r>
      <w:r w:rsidRPr="00392EAD">
        <w:rPr>
          <w:spacing w:val="10"/>
          <w:lang w:val="pt-BR"/>
        </w:rPr>
        <w:t xml:space="preserve"> </w:t>
      </w:r>
      <w:r w:rsidRPr="00392EAD">
        <w:rPr>
          <w:lang w:val="pt-BR"/>
        </w:rPr>
        <w:t>maior</w:t>
      </w:r>
    </w:p>
    <w:p w:rsidR="00D81F69" w:rsidRPr="00392EAD" w:rsidRDefault="00330118">
      <w:pPr>
        <w:pStyle w:val="PargrafodaLista"/>
        <w:numPr>
          <w:ilvl w:val="0"/>
          <w:numId w:val="3"/>
        </w:numPr>
        <w:tabs>
          <w:tab w:val="left" w:pos="257"/>
        </w:tabs>
        <w:spacing w:before="7" w:line="312" w:lineRule="auto"/>
        <w:ind w:right="157" w:firstLine="0"/>
        <w:jc w:val="left"/>
        <w:rPr>
          <w:sz w:val="18"/>
          <w:lang w:val="pt-BR"/>
        </w:rPr>
      </w:pPr>
      <w:r w:rsidRPr="00392EAD">
        <w:rPr>
          <w:sz w:val="18"/>
          <w:lang w:val="pt-BR"/>
        </w:rPr>
        <w:t xml:space="preserve">para onde eram transportados resíduos industriais classe 1 </w:t>
      </w:r>
      <w:r w:rsidRPr="00392EAD">
        <w:rPr>
          <w:spacing w:val="3"/>
          <w:sz w:val="18"/>
          <w:lang w:val="pt-BR"/>
        </w:rPr>
        <w:t xml:space="preserve">(perigosos). Depois </w:t>
      </w:r>
      <w:r w:rsidRPr="00392EAD">
        <w:rPr>
          <w:spacing w:val="1"/>
          <w:sz w:val="18"/>
          <w:lang w:val="pt-BR"/>
        </w:rPr>
        <w:t xml:space="preserve">de </w:t>
      </w:r>
      <w:r w:rsidRPr="00392EAD">
        <w:rPr>
          <w:spacing w:val="3"/>
          <w:sz w:val="18"/>
          <w:lang w:val="pt-BR"/>
        </w:rPr>
        <w:t xml:space="preserve">tentar </w:t>
      </w:r>
      <w:r w:rsidRPr="00392EAD">
        <w:rPr>
          <w:spacing w:val="1"/>
          <w:sz w:val="18"/>
          <w:lang w:val="pt-BR"/>
        </w:rPr>
        <w:t xml:space="preserve">um </w:t>
      </w:r>
      <w:r w:rsidRPr="00392EAD">
        <w:rPr>
          <w:spacing w:val="3"/>
          <w:sz w:val="18"/>
          <w:lang w:val="pt-BR"/>
        </w:rPr>
        <w:t xml:space="preserve">acordo extrajudicial </w:t>
      </w:r>
      <w:r w:rsidRPr="00392EAD">
        <w:rPr>
          <w:spacing w:val="5"/>
          <w:sz w:val="18"/>
          <w:lang w:val="pt-BR"/>
        </w:rPr>
        <w:t xml:space="preserve">sem </w:t>
      </w:r>
      <w:r w:rsidRPr="00392EAD">
        <w:rPr>
          <w:sz w:val="18"/>
          <w:lang w:val="pt-BR"/>
        </w:rPr>
        <w:t>sucesso,</w:t>
      </w:r>
      <w:r w:rsidRPr="00392EAD">
        <w:rPr>
          <w:sz w:val="18"/>
          <w:lang w:val="pt-BR"/>
        </w:rPr>
        <w:t xml:space="preserve"> o MPF moveu ação civil pública, no valor de R$ 300 milhões, relativa apenas ao Márcia 1, que tem 300 mil m³. A multa foi calculada em R$ 1 mil por metro cúbico. Como os </w:t>
      </w:r>
      <w:r w:rsidRPr="00392EAD">
        <w:rPr>
          <w:spacing w:val="7"/>
          <w:sz w:val="18"/>
          <w:lang w:val="pt-BR"/>
        </w:rPr>
        <w:t xml:space="preserve">depósitos ocupam áreas </w:t>
      </w:r>
      <w:r w:rsidRPr="00392EAD">
        <w:rPr>
          <w:spacing w:val="8"/>
          <w:sz w:val="18"/>
          <w:lang w:val="pt-BR"/>
        </w:rPr>
        <w:t xml:space="preserve">equivalentes, </w:t>
      </w:r>
      <w:r w:rsidRPr="00392EAD">
        <w:rPr>
          <w:spacing w:val="5"/>
          <w:sz w:val="18"/>
          <w:lang w:val="pt-BR"/>
        </w:rPr>
        <w:t xml:space="preserve">os </w:t>
      </w:r>
      <w:r w:rsidRPr="00392EAD">
        <w:rPr>
          <w:spacing w:val="7"/>
          <w:sz w:val="18"/>
          <w:lang w:val="pt-BR"/>
        </w:rPr>
        <w:t xml:space="preserve">pedidos </w:t>
      </w:r>
      <w:r w:rsidRPr="00392EAD">
        <w:rPr>
          <w:spacing w:val="10"/>
          <w:sz w:val="18"/>
          <w:lang w:val="pt-BR"/>
        </w:rPr>
        <w:t xml:space="preserve">de </w:t>
      </w:r>
      <w:r w:rsidRPr="00392EAD">
        <w:rPr>
          <w:spacing w:val="5"/>
          <w:sz w:val="18"/>
          <w:lang w:val="pt-BR"/>
        </w:rPr>
        <w:t xml:space="preserve">indenização devem superar </w:t>
      </w:r>
      <w:r w:rsidRPr="00392EAD">
        <w:rPr>
          <w:spacing w:val="2"/>
          <w:sz w:val="18"/>
          <w:lang w:val="pt-BR"/>
        </w:rPr>
        <w:t xml:space="preserve">R$ </w:t>
      </w:r>
      <w:r w:rsidRPr="00392EAD">
        <w:rPr>
          <w:sz w:val="18"/>
          <w:lang w:val="pt-BR"/>
        </w:rPr>
        <w:t xml:space="preserve">1 </w:t>
      </w:r>
      <w:r w:rsidRPr="00392EAD">
        <w:rPr>
          <w:spacing w:val="5"/>
          <w:sz w:val="18"/>
          <w:lang w:val="pt-BR"/>
        </w:rPr>
        <w:t>bilh</w:t>
      </w:r>
      <w:r w:rsidRPr="00392EAD">
        <w:rPr>
          <w:spacing w:val="5"/>
          <w:sz w:val="18"/>
          <w:lang w:val="pt-BR"/>
        </w:rPr>
        <w:t xml:space="preserve">ão. </w:t>
      </w:r>
      <w:r w:rsidRPr="00392EAD">
        <w:rPr>
          <w:sz w:val="18"/>
          <w:lang w:val="pt-BR"/>
        </w:rPr>
        <w:t xml:space="preserve">A </w:t>
      </w:r>
      <w:r w:rsidRPr="00392EAD">
        <w:rPr>
          <w:spacing w:val="5"/>
          <w:sz w:val="18"/>
          <w:lang w:val="pt-BR"/>
        </w:rPr>
        <w:t xml:space="preserve">intenção </w:t>
      </w:r>
      <w:r w:rsidRPr="00392EAD">
        <w:rPr>
          <w:spacing w:val="6"/>
          <w:sz w:val="18"/>
          <w:lang w:val="pt-BR"/>
        </w:rPr>
        <w:t xml:space="preserve">da </w:t>
      </w:r>
      <w:r w:rsidRPr="00392EAD">
        <w:rPr>
          <w:spacing w:val="1"/>
          <w:sz w:val="18"/>
          <w:lang w:val="pt-BR"/>
        </w:rPr>
        <w:t xml:space="preserve">empresa </w:t>
      </w:r>
      <w:r w:rsidRPr="00392EAD">
        <w:rPr>
          <w:sz w:val="18"/>
          <w:lang w:val="pt-BR"/>
        </w:rPr>
        <w:t xml:space="preserve">é </w:t>
      </w:r>
      <w:r w:rsidRPr="00392EAD">
        <w:rPr>
          <w:spacing w:val="1"/>
          <w:sz w:val="18"/>
          <w:lang w:val="pt-BR"/>
        </w:rPr>
        <w:t xml:space="preserve">fazer </w:t>
      </w:r>
      <w:r w:rsidRPr="00392EAD">
        <w:rPr>
          <w:sz w:val="18"/>
          <w:lang w:val="pt-BR"/>
        </w:rPr>
        <w:t xml:space="preserve">o </w:t>
      </w:r>
      <w:r w:rsidRPr="00392EAD">
        <w:rPr>
          <w:spacing w:val="1"/>
          <w:sz w:val="18"/>
          <w:lang w:val="pt-BR"/>
        </w:rPr>
        <w:t xml:space="preserve">tratamento </w:t>
      </w:r>
      <w:r w:rsidRPr="00392EAD">
        <w:rPr>
          <w:sz w:val="18"/>
          <w:lang w:val="pt-BR"/>
        </w:rPr>
        <w:t xml:space="preserve">do </w:t>
      </w:r>
      <w:r w:rsidRPr="00392EAD">
        <w:rPr>
          <w:spacing w:val="1"/>
          <w:sz w:val="18"/>
          <w:lang w:val="pt-BR"/>
        </w:rPr>
        <w:t xml:space="preserve">material depositado, </w:t>
      </w:r>
      <w:r w:rsidRPr="00392EAD">
        <w:rPr>
          <w:spacing w:val="2"/>
          <w:sz w:val="18"/>
          <w:lang w:val="pt-BR"/>
        </w:rPr>
        <w:t xml:space="preserve">sem </w:t>
      </w:r>
      <w:r w:rsidRPr="00392EAD">
        <w:rPr>
          <w:spacing w:val="1"/>
          <w:sz w:val="18"/>
          <w:lang w:val="pt-BR"/>
        </w:rPr>
        <w:t xml:space="preserve">removê-lo, como solicita </w:t>
      </w:r>
      <w:r w:rsidRPr="00392EAD">
        <w:rPr>
          <w:sz w:val="18"/>
          <w:lang w:val="pt-BR"/>
        </w:rPr>
        <w:t xml:space="preserve">o MPF </w:t>
      </w:r>
      <w:r w:rsidRPr="00392EAD">
        <w:rPr>
          <w:spacing w:val="1"/>
          <w:sz w:val="18"/>
          <w:lang w:val="pt-BR"/>
        </w:rPr>
        <w:t>(GOMIDE,</w:t>
      </w:r>
      <w:r w:rsidRPr="00392EAD">
        <w:rPr>
          <w:spacing w:val="25"/>
          <w:sz w:val="18"/>
          <w:lang w:val="pt-BR"/>
        </w:rPr>
        <w:t xml:space="preserve"> </w:t>
      </w:r>
      <w:r w:rsidRPr="00392EAD">
        <w:rPr>
          <w:spacing w:val="2"/>
          <w:sz w:val="18"/>
          <w:lang w:val="pt-BR"/>
        </w:rPr>
        <w:t>2011).</w:t>
      </w:r>
    </w:p>
    <w:p w:rsidR="00D81F69" w:rsidRDefault="00330118">
      <w:pPr>
        <w:pStyle w:val="Corpodetexto"/>
        <w:spacing w:before="139" w:line="312" w:lineRule="auto"/>
        <w:ind w:right="188"/>
      </w:pPr>
      <w:r w:rsidRPr="00392EAD">
        <w:rPr>
          <w:lang w:val="pt-BR"/>
        </w:rPr>
        <w:t>Em 2011, outro vazamento, desta vez de resíduos químicos em depósitos da empresa, também levou material tóxico para o rio Paraíba do Sul. Segundo o procurador da República Rodrigo Lines "nas primeiras intervenções que fizemos, descobrimos a existência de u</w:t>
      </w:r>
      <w:r w:rsidRPr="00392EAD">
        <w:rPr>
          <w:lang w:val="pt-BR"/>
        </w:rPr>
        <w:t xml:space="preserve">m córrego que passa por todas essas áreas e deságua diretamente no rio Paraíba do Sul. </w:t>
      </w:r>
      <w:r>
        <w:t>Ainda não é possível precisar o grau de contaminação e o impacto socioambiental, mas não tenho a menor dúvida de que esse riacho está levando material tóxico para o rio"</w:t>
      </w:r>
      <w:r>
        <w:t xml:space="preserve"> (TEIXEIRA, 2011).</w:t>
      </w:r>
    </w:p>
    <w:p w:rsidR="00D81F69" w:rsidRPr="00392EAD" w:rsidRDefault="00330118">
      <w:pPr>
        <w:pStyle w:val="Corpodetexto"/>
        <w:spacing w:before="139"/>
        <w:rPr>
          <w:lang w:val="pt-BR"/>
        </w:rPr>
      </w:pPr>
      <w:r w:rsidRPr="00392EAD">
        <w:rPr>
          <w:lang w:val="pt-BR"/>
        </w:rPr>
        <w:t>A falta de controle e de inventário da disposição de resíduos</w:t>
      </w:r>
    </w:p>
    <w:p w:rsidR="00D81F69" w:rsidRPr="00392EAD" w:rsidRDefault="00D81F69">
      <w:pPr>
        <w:rPr>
          <w:lang w:val="pt-BR"/>
        </w:rPr>
        <w:sectPr w:rsidR="00D81F69" w:rsidRPr="00392EAD">
          <w:pgSz w:w="11900" w:h="16840"/>
          <w:pgMar w:top="740" w:right="500" w:bottom="720" w:left="620" w:header="0" w:footer="402" w:gutter="0"/>
          <w:cols w:num="2" w:space="720" w:equalWidth="0">
            <w:col w:w="5173" w:space="297"/>
            <w:col w:w="5310"/>
          </w:cols>
        </w:sectPr>
      </w:pPr>
    </w:p>
    <w:p w:rsidR="00D81F69" w:rsidRPr="00392EAD" w:rsidRDefault="00330118">
      <w:pPr>
        <w:pStyle w:val="Corpodetexto"/>
        <w:spacing w:before="81" w:line="312" w:lineRule="auto"/>
        <w:ind w:right="57"/>
        <w:rPr>
          <w:lang w:val="pt-BR"/>
        </w:rPr>
      </w:pPr>
      <w:r w:rsidRPr="00392EAD">
        <w:rPr>
          <w:lang w:val="pt-BR"/>
        </w:rPr>
        <w:lastRenderedPageBreak/>
        <w:t>permitiu que terrenos contaminados fossem ocupados, tanto de forma irregular, quanto regular, a exemplo da construção do conjunto habitacional Vol</w:t>
      </w:r>
      <w:r w:rsidRPr="00392EAD">
        <w:rPr>
          <w:lang w:val="pt-BR"/>
        </w:rPr>
        <w:t xml:space="preserve">ta Grande IV (TIEZZI, 2005 apud </w:t>
      </w:r>
      <w:r w:rsidRPr="00392EAD">
        <w:rPr>
          <w:spacing w:val="5"/>
          <w:lang w:val="pt-BR"/>
        </w:rPr>
        <w:t xml:space="preserve">BENTES, 2008). </w:t>
      </w:r>
      <w:r w:rsidRPr="00392EAD">
        <w:rPr>
          <w:spacing w:val="3"/>
          <w:lang w:val="pt-BR"/>
        </w:rPr>
        <w:t xml:space="preserve">Isso </w:t>
      </w:r>
      <w:r w:rsidRPr="00392EAD">
        <w:rPr>
          <w:spacing w:val="5"/>
          <w:lang w:val="pt-BR"/>
        </w:rPr>
        <w:t xml:space="preserve">resultou </w:t>
      </w:r>
      <w:r w:rsidRPr="00392EAD">
        <w:rPr>
          <w:spacing w:val="2"/>
          <w:lang w:val="pt-BR"/>
        </w:rPr>
        <w:t xml:space="preserve">em </w:t>
      </w:r>
      <w:r w:rsidRPr="00392EAD">
        <w:rPr>
          <w:spacing w:val="3"/>
          <w:lang w:val="pt-BR"/>
        </w:rPr>
        <w:t xml:space="preserve">outro grave </w:t>
      </w:r>
      <w:r w:rsidRPr="00392EAD">
        <w:rPr>
          <w:spacing w:val="5"/>
          <w:lang w:val="pt-BR"/>
        </w:rPr>
        <w:t xml:space="preserve">problema </w:t>
      </w:r>
      <w:r w:rsidRPr="00392EAD">
        <w:rPr>
          <w:lang w:val="pt-BR"/>
        </w:rPr>
        <w:t xml:space="preserve">ambiental. Em 2012, o Ministério Público do Estado do Rio de </w:t>
      </w:r>
      <w:r w:rsidRPr="00392EAD">
        <w:rPr>
          <w:spacing w:val="1"/>
          <w:lang w:val="pt-BR"/>
        </w:rPr>
        <w:t xml:space="preserve">Janeiro pediu </w:t>
      </w:r>
      <w:r w:rsidRPr="00392EAD">
        <w:rPr>
          <w:lang w:val="pt-BR"/>
        </w:rPr>
        <w:t xml:space="preserve">que a </w:t>
      </w:r>
      <w:r w:rsidRPr="00392EAD">
        <w:rPr>
          <w:spacing w:val="1"/>
          <w:lang w:val="pt-BR"/>
        </w:rPr>
        <w:t xml:space="preserve">empresa removesse </w:t>
      </w:r>
      <w:r w:rsidRPr="00392EAD">
        <w:rPr>
          <w:lang w:val="pt-BR"/>
        </w:rPr>
        <w:t xml:space="preserve">750 </w:t>
      </w:r>
      <w:r w:rsidRPr="00392EAD">
        <w:rPr>
          <w:spacing w:val="1"/>
          <w:lang w:val="pt-BR"/>
        </w:rPr>
        <w:t xml:space="preserve">famílias </w:t>
      </w:r>
      <w:r w:rsidRPr="00392EAD">
        <w:rPr>
          <w:spacing w:val="2"/>
          <w:lang w:val="pt-BR"/>
        </w:rPr>
        <w:t xml:space="preserve">que </w:t>
      </w:r>
      <w:r w:rsidRPr="00392EAD">
        <w:rPr>
          <w:spacing w:val="3"/>
          <w:lang w:val="pt-BR"/>
        </w:rPr>
        <w:t xml:space="preserve">moram </w:t>
      </w:r>
      <w:r w:rsidRPr="00392EAD">
        <w:rPr>
          <w:spacing w:val="2"/>
          <w:lang w:val="pt-BR"/>
        </w:rPr>
        <w:t xml:space="preserve">no </w:t>
      </w:r>
      <w:r w:rsidRPr="00392EAD">
        <w:rPr>
          <w:spacing w:val="5"/>
          <w:lang w:val="pt-BR"/>
        </w:rPr>
        <w:t xml:space="preserve">bairro </w:t>
      </w:r>
      <w:r w:rsidRPr="00392EAD">
        <w:rPr>
          <w:spacing w:val="3"/>
          <w:lang w:val="pt-BR"/>
        </w:rPr>
        <w:t xml:space="preserve">Volta </w:t>
      </w:r>
      <w:r w:rsidRPr="00392EAD">
        <w:rPr>
          <w:spacing w:val="5"/>
          <w:lang w:val="pt-BR"/>
        </w:rPr>
        <w:t xml:space="preserve">Grande </w:t>
      </w:r>
      <w:r w:rsidRPr="00392EAD">
        <w:rPr>
          <w:spacing w:val="3"/>
          <w:lang w:val="pt-BR"/>
        </w:rPr>
        <w:t xml:space="preserve">IV, por </w:t>
      </w:r>
      <w:r w:rsidRPr="00392EAD">
        <w:rPr>
          <w:spacing w:val="5"/>
          <w:lang w:val="pt-BR"/>
        </w:rPr>
        <w:t xml:space="preserve">estarem </w:t>
      </w:r>
      <w:r w:rsidRPr="00392EAD">
        <w:rPr>
          <w:spacing w:val="2"/>
          <w:lang w:val="pt-BR"/>
        </w:rPr>
        <w:t xml:space="preserve">em </w:t>
      </w:r>
      <w:r w:rsidRPr="00392EAD">
        <w:rPr>
          <w:spacing w:val="5"/>
          <w:lang w:val="pt-BR"/>
        </w:rPr>
        <w:t xml:space="preserve">área </w:t>
      </w:r>
      <w:r w:rsidRPr="00392EAD">
        <w:rPr>
          <w:lang w:val="pt-BR"/>
        </w:rPr>
        <w:t>co</w:t>
      </w:r>
      <w:r w:rsidRPr="00392EAD">
        <w:rPr>
          <w:lang w:val="pt-BR"/>
        </w:rPr>
        <w:t xml:space="preserve">ntaminada por resíduos perigosos, como “lama da ETEQ </w:t>
      </w:r>
      <w:r w:rsidRPr="00392EAD">
        <w:rPr>
          <w:spacing w:val="3"/>
          <w:lang w:val="pt-BR"/>
        </w:rPr>
        <w:t xml:space="preserve">(metais), </w:t>
      </w:r>
      <w:r w:rsidRPr="00392EAD">
        <w:rPr>
          <w:spacing w:val="2"/>
          <w:lang w:val="pt-BR"/>
        </w:rPr>
        <w:t xml:space="preserve">solo </w:t>
      </w:r>
      <w:r w:rsidRPr="00392EAD">
        <w:rPr>
          <w:spacing w:val="3"/>
          <w:lang w:val="pt-BR"/>
        </w:rPr>
        <w:t xml:space="preserve">contaminado </w:t>
      </w:r>
      <w:r w:rsidRPr="00392EAD">
        <w:rPr>
          <w:spacing w:val="2"/>
          <w:lang w:val="pt-BR"/>
        </w:rPr>
        <w:t xml:space="preserve">com óleo </w:t>
      </w:r>
      <w:r w:rsidRPr="00392EAD">
        <w:rPr>
          <w:lang w:val="pt-BR"/>
        </w:rPr>
        <w:t xml:space="preserve">e </w:t>
      </w:r>
      <w:r w:rsidRPr="00392EAD">
        <w:rPr>
          <w:spacing w:val="3"/>
          <w:lang w:val="pt-BR"/>
        </w:rPr>
        <w:t xml:space="preserve">alcatrão, </w:t>
      </w:r>
      <w:r w:rsidRPr="00392EAD">
        <w:rPr>
          <w:spacing w:val="5"/>
          <w:lang w:val="pt-BR"/>
        </w:rPr>
        <w:t xml:space="preserve">resíduos </w:t>
      </w:r>
      <w:r w:rsidRPr="00392EAD">
        <w:rPr>
          <w:lang w:val="pt-BR"/>
        </w:rPr>
        <w:t xml:space="preserve">laboratoriais, plásticos contaminados com </w:t>
      </w:r>
      <w:hyperlink r:id="rId1498">
        <w:r w:rsidRPr="00392EAD">
          <w:rPr>
            <w:lang w:val="pt-BR"/>
          </w:rPr>
          <w:t xml:space="preserve">cromo, </w:t>
        </w:r>
      </w:hyperlink>
      <w:r w:rsidRPr="00392EAD">
        <w:rPr>
          <w:lang w:val="pt-BR"/>
        </w:rPr>
        <w:t>resíduo</w:t>
      </w:r>
      <w:r w:rsidRPr="00392EAD">
        <w:rPr>
          <w:lang w:val="pt-BR"/>
        </w:rPr>
        <w:t xml:space="preserve">s de gás de coqueria, borras ácidas da carboquímica, borras de alcatrão e borras oleosas”. Os depósitos foram feitos, entre 1984 e 1999, num aterro ao lado do conjunto habitacional. Na </w:t>
      </w:r>
      <w:r w:rsidRPr="00392EAD">
        <w:rPr>
          <w:spacing w:val="6"/>
          <w:lang w:val="pt-BR"/>
        </w:rPr>
        <w:t xml:space="preserve">ação </w:t>
      </w:r>
      <w:r w:rsidRPr="00392EAD">
        <w:rPr>
          <w:spacing w:val="7"/>
          <w:lang w:val="pt-BR"/>
        </w:rPr>
        <w:t xml:space="preserve">civil pública, datada </w:t>
      </w:r>
      <w:r w:rsidRPr="00392EAD">
        <w:rPr>
          <w:spacing w:val="5"/>
          <w:lang w:val="pt-BR"/>
        </w:rPr>
        <w:t xml:space="preserve">de 10 de </w:t>
      </w:r>
      <w:r w:rsidRPr="00392EAD">
        <w:rPr>
          <w:spacing w:val="7"/>
          <w:lang w:val="pt-BR"/>
        </w:rPr>
        <w:t xml:space="preserve">julho, </w:t>
      </w:r>
      <w:r w:rsidRPr="00392EAD">
        <w:rPr>
          <w:lang w:val="pt-BR"/>
        </w:rPr>
        <w:t xml:space="preserve">o </w:t>
      </w:r>
      <w:r w:rsidRPr="00392EAD">
        <w:rPr>
          <w:spacing w:val="5"/>
          <w:lang w:val="pt-BR"/>
        </w:rPr>
        <w:t xml:space="preserve">MP </w:t>
      </w:r>
      <w:r w:rsidRPr="00392EAD">
        <w:rPr>
          <w:spacing w:val="10"/>
          <w:lang w:val="pt-BR"/>
        </w:rPr>
        <w:t xml:space="preserve">pediu </w:t>
      </w:r>
      <w:r w:rsidRPr="00392EAD">
        <w:rPr>
          <w:lang w:val="pt-BR"/>
        </w:rPr>
        <w:t>indenização no va</w:t>
      </w:r>
      <w:r w:rsidRPr="00392EAD">
        <w:rPr>
          <w:lang w:val="pt-BR"/>
        </w:rPr>
        <w:t xml:space="preserve">lor de R$ 5 milhões além de indenização por danos morais e patrimoniais aos moradores. De </w:t>
      </w:r>
      <w:r w:rsidRPr="00392EAD">
        <w:rPr>
          <w:spacing w:val="1"/>
          <w:lang w:val="pt-BR"/>
        </w:rPr>
        <w:t xml:space="preserve">acordo </w:t>
      </w:r>
      <w:r w:rsidRPr="00392EAD">
        <w:rPr>
          <w:spacing w:val="2"/>
          <w:lang w:val="pt-BR"/>
        </w:rPr>
        <w:t xml:space="preserve">com </w:t>
      </w:r>
      <w:r w:rsidRPr="00392EAD">
        <w:rPr>
          <w:lang w:val="pt-BR"/>
        </w:rPr>
        <w:t xml:space="preserve">o </w:t>
      </w:r>
      <w:r w:rsidRPr="00392EAD">
        <w:rPr>
          <w:spacing w:val="2"/>
          <w:lang w:val="pt-BR"/>
        </w:rPr>
        <w:t xml:space="preserve">MP, </w:t>
      </w:r>
      <w:r w:rsidRPr="00392EAD">
        <w:rPr>
          <w:spacing w:val="3"/>
          <w:lang w:val="pt-BR"/>
        </w:rPr>
        <w:t xml:space="preserve">depósitos irregulares contaminaram </w:t>
      </w:r>
      <w:r w:rsidRPr="00392EAD">
        <w:rPr>
          <w:lang w:val="pt-BR"/>
        </w:rPr>
        <w:t xml:space="preserve">o </w:t>
      </w:r>
      <w:r w:rsidRPr="00392EAD">
        <w:rPr>
          <w:spacing w:val="2"/>
          <w:lang w:val="pt-BR"/>
        </w:rPr>
        <w:t xml:space="preserve">solo </w:t>
      </w:r>
      <w:r w:rsidRPr="00392EAD">
        <w:rPr>
          <w:lang w:val="pt-BR"/>
        </w:rPr>
        <w:t xml:space="preserve">e a </w:t>
      </w:r>
      <w:r w:rsidRPr="00392EAD">
        <w:rPr>
          <w:spacing w:val="1"/>
          <w:lang w:val="pt-BR"/>
        </w:rPr>
        <w:t xml:space="preserve">água subterrânea </w:t>
      </w:r>
      <w:r w:rsidRPr="00392EAD">
        <w:rPr>
          <w:lang w:val="pt-BR"/>
        </w:rPr>
        <w:t xml:space="preserve">sob o </w:t>
      </w:r>
      <w:r w:rsidRPr="00392EAD">
        <w:rPr>
          <w:spacing w:val="1"/>
          <w:lang w:val="pt-BR"/>
        </w:rPr>
        <w:t xml:space="preserve">bairro, “com substâncias tóxicas </w:t>
      </w:r>
      <w:r w:rsidRPr="00392EAD">
        <w:rPr>
          <w:lang w:val="pt-BR"/>
        </w:rPr>
        <w:t xml:space="preserve">e </w:t>
      </w:r>
      <w:r w:rsidRPr="00392EAD">
        <w:rPr>
          <w:spacing w:val="1"/>
          <w:lang w:val="pt-BR"/>
        </w:rPr>
        <w:t>cancerígenas” (GOMIDE, 2012; MAGRO,</w:t>
      </w:r>
      <w:r w:rsidRPr="00392EAD">
        <w:rPr>
          <w:spacing w:val="25"/>
          <w:lang w:val="pt-BR"/>
        </w:rPr>
        <w:t xml:space="preserve"> </w:t>
      </w:r>
      <w:r w:rsidRPr="00392EAD">
        <w:rPr>
          <w:spacing w:val="2"/>
          <w:lang w:val="pt-BR"/>
        </w:rPr>
        <w:t>2012).</w:t>
      </w:r>
    </w:p>
    <w:p w:rsidR="00D81F69" w:rsidRPr="00392EAD" w:rsidRDefault="00330118">
      <w:pPr>
        <w:pStyle w:val="Corpodetexto"/>
        <w:spacing w:before="147" w:line="312" w:lineRule="auto"/>
        <w:ind w:right="38"/>
        <w:rPr>
          <w:lang w:val="pt-BR"/>
        </w:rPr>
      </w:pPr>
      <w:r w:rsidRPr="00392EAD">
        <w:rPr>
          <w:lang w:val="pt-BR"/>
        </w:rPr>
        <w:t xml:space="preserve">A </w:t>
      </w:r>
      <w:r w:rsidRPr="00392EAD">
        <w:rPr>
          <w:lang w:val="pt-BR"/>
        </w:rPr>
        <w:t xml:space="preserve">CSN doara o terreno para o Sindicato dos Metalúrgicos, em </w:t>
      </w:r>
      <w:r w:rsidRPr="00392EAD">
        <w:rPr>
          <w:spacing w:val="1"/>
          <w:lang w:val="pt-BR"/>
        </w:rPr>
        <w:t xml:space="preserve">1995. </w:t>
      </w:r>
      <w:r w:rsidRPr="00392EAD">
        <w:rPr>
          <w:lang w:val="pt-BR"/>
        </w:rPr>
        <w:t xml:space="preserve">No </w:t>
      </w:r>
      <w:r w:rsidRPr="00392EAD">
        <w:rPr>
          <w:spacing w:val="1"/>
          <w:lang w:val="pt-BR"/>
        </w:rPr>
        <w:t xml:space="preserve">local, vivem cerca </w:t>
      </w:r>
      <w:r w:rsidRPr="00392EAD">
        <w:rPr>
          <w:lang w:val="pt-BR"/>
        </w:rPr>
        <w:t xml:space="preserve">de </w:t>
      </w:r>
      <w:r w:rsidRPr="00392EAD">
        <w:rPr>
          <w:spacing w:val="1"/>
          <w:lang w:val="pt-BR"/>
        </w:rPr>
        <w:t xml:space="preserve">2.200 pessoas. </w:t>
      </w:r>
      <w:r w:rsidRPr="00392EAD">
        <w:rPr>
          <w:lang w:val="pt-BR"/>
        </w:rPr>
        <w:t xml:space="preserve">A </w:t>
      </w:r>
      <w:r w:rsidRPr="00392EAD">
        <w:rPr>
          <w:spacing w:val="2"/>
          <w:lang w:val="pt-BR"/>
        </w:rPr>
        <w:t xml:space="preserve">empresa </w:t>
      </w:r>
      <w:r w:rsidRPr="00392EAD">
        <w:rPr>
          <w:spacing w:val="7"/>
          <w:lang w:val="pt-BR"/>
        </w:rPr>
        <w:t xml:space="preserve">reconhece </w:t>
      </w:r>
      <w:r w:rsidRPr="00392EAD">
        <w:rPr>
          <w:spacing w:val="5"/>
          <w:lang w:val="pt-BR"/>
        </w:rPr>
        <w:t xml:space="preserve">que </w:t>
      </w:r>
      <w:r w:rsidRPr="00392EAD">
        <w:rPr>
          <w:lang w:val="pt-BR"/>
        </w:rPr>
        <w:t xml:space="preserve">a </w:t>
      </w:r>
      <w:r w:rsidRPr="00392EAD">
        <w:rPr>
          <w:spacing w:val="6"/>
          <w:lang w:val="pt-BR"/>
        </w:rPr>
        <w:t xml:space="preserve">área </w:t>
      </w:r>
      <w:r w:rsidRPr="00392EAD">
        <w:rPr>
          <w:lang w:val="pt-BR"/>
        </w:rPr>
        <w:t xml:space="preserve">é </w:t>
      </w:r>
      <w:r w:rsidRPr="00392EAD">
        <w:rPr>
          <w:spacing w:val="8"/>
          <w:lang w:val="pt-BR"/>
        </w:rPr>
        <w:t xml:space="preserve">contaminada, </w:t>
      </w:r>
      <w:r w:rsidRPr="00392EAD">
        <w:rPr>
          <w:spacing w:val="5"/>
          <w:lang w:val="pt-BR"/>
        </w:rPr>
        <w:t xml:space="preserve">mas </w:t>
      </w:r>
      <w:r w:rsidRPr="00392EAD">
        <w:rPr>
          <w:spacing w:val="7"/>
          <w:lang w:val="pt-BR"/>
        </w:rPr>
        <w:t xml:space="preserve">alega </w:t>
      </w:r>
      <w:r w:rsidRPr="00392EAD">
        <w:rPr>
          <w:spacing w:val="10"/>
          <w:lang w:val="pt-BR"/>
        </w:rPr>
        <w:t xml:space="preserve">que, </w:t>
      </w:r>
      <w:r w:rsidRPr="00392EAD">
        <w:rPr>
          <w:spacing w:val="1"/>
          <w:lang w:val="pt-BR"/>
        </w:rPr>
        <w:t xml:space="preserve">respeitadas </w:t>
      </w:r>
      <w:r w:rsidRPr="00392EAD">
        <w:rPr>
          <w:lang w:val="pt-BR"/>
        </w:rPr>
        <w:t xml:space="preserve">as </w:t>
      </w:r>
      <w:r w:rsidRPr="00392EAD">
        <w:rPr>
          <w:spacing w:val="1"/>
          <w:lang w:val="pt-BR"/>
        </w:rPr>
        <w:t xml:space="preserve">limitações </w:t>
      </w:r>
      <w:r w:rsidRPr="00392EAD">
        <w:rPr>
          <w:lang w:val="pt-BR"/>
        </w:rPr>
        <w:t xml:space="preserve">- </w:t>
      </w:r>
      <w:r w:rsidRPr="00392EAD">
        <w:rPr>
          <w:spacing w:val="1"/>
          <w:lang w:val="pt-BR"/>
        </w:rPr>
        <w:t xml:space="preserve">como </w:t>
      </w:r>
      <w:r w:rsidRPr="00392EAD">
        <w:rPr>
          <w:lang w:val="pt-BR"/>
        </w:rPr>
        <w:t xml:space="preserve">o uso de </w:t>
      </w:r>
      <w:r w:rsidRPr="00392EAD">
        <w:rPr>
          <w:spacing w:val="1"/>
          <w:lang w:val="pt-BR"/>
        </w:rPr>
        <w:t xml:space="preserve">água </w:t>
      </w:r>
      <w:r w:rsidRPr="00392EAD">
        <w:rPr>
          <w:lang w:val="pt-BR"/>
        </w:rPr>
        <w:t xml:space="preserve">de </w:t>
      </w:r>
      <w:r w:rsidRPr="00392EAD">
        <w:rPr>
          <w:spacing w:val="1"/>
          <w:lang w:val="pt-BR"/>
        </w:rPr>
        <w:t xml:space="preserve">poço </w:t>
      </w:r>
      <w:r w:rsidRPr="00392EAD">
        <w:rPr>
          <w:lang w:val="pt-BR"/>
        </w:rPr>
        <w:t xml:space="preserve">e cultivo de hortaliças –, não há risco, porque a contaminação está um metro abaixo do chão, pavimentado. De acordo com  o </w:t>
      </w:r>
      <w:r w:rsidRPr="00392EAD">
        <w:rPr>
          <w:spacing w:val="3"/>
          <w:lang w:val="pt-BR"/>
        </w:rPr>
        <w:t xml:space="preserve">MP, </w:t>
      </w:r>
      <w:r w:rsidRPr="00392EAD">
        <w:rPr>
          <w:lang w:val="pt-BR"/>
        </w:rPr>
        <w:t xml:space="preserve">a </w:t>
      </w:r>
      <w:r w:rsidRPr="00392EAD">
        <w:rPr>
          <w:spacing w:val="3"/>
          <w:lang w:val="pt-BR"/>
        </w:rPr>
        <w:t xml:space="preserve">CSN </w:t>
      </w:r>
      <w:r w:rsidRPr="00392EAD">
        <w:rPr>
          <w:spacing w:val="5"/>
          <w:lang w:val="pt-BR"/>
        </w:rPr>
        <w:t xml:space="preserve">contratou </w:t>
      </w:r>
      <w:r w:rsidRPr="00392EAD">
        <w:rPr>
          <w:spacing w:val="2"/>
          <w:lang w:val="pt-BR"/>
        </w:rPr>
        <w:t xml:space="preserve">um </w:t>
      </w:r>
      <w:r w:rsidRPr="00392EAD">
        <w:rPr>
          <w:spacing w:val="5"/>
          <w:lang w:val="pt-BR"/>
        </w:rPr>
        <w:t xml:space="preserve">estudo </w:t>
      </w:r>
      <w:r w:rsidRPr="00392EAD">
        <w:rPr>
          <w:spacing w:val="2"/>
          <w:lang w:val="pt-BR"/>
        </w:rPr>
        <w:t xml:space="preserve">no </w:t>
      </w:r>
      <w:r w:rsidRPr="00392EAD">
        <w:rPr>
          <w:spacing w:val="5"/>
          <w:lang w:val="pt-BR"/>
        </w:rPr>
        <w:t xml:space="preserve">início </w:t>
      </w:r>
      <w:r w:rsidRPr="00392EAD">
        <w:rPr>
          <w:spacing w:val="2"/>
          <w:lang w:val="pt-BR"/>
        </w:rPr>
        <w:t xml:space="preserve">do </w:t>
      </w:r>
      <w:r w:rsidRPr="00392EAD">
        <w:rPr>
          <w:spacing w:val="3"/>
          <w:lang w:val="pt-BR"/>
        </w:rPr>
        <w:t xml:space="preserve">ano </w:t>
      </w:r>
      <w:r w:rsidRPr="00392EAD">
        <w:rPr>
          <w:spacing w:val="5"/>
          <w:lang w:val="pt-BR"/>
        </w:rPr>
        <w:t xml:space="preserve">que “detectou graves contaminações </w:t>
      </w:r>
      <w:r w:rsidRPr="00392EAD">
        <w:rPr>
          <w:lang w:val="pt-BR"/>
        </w:rPr>
        <w:t xml:space="preserve">e </w:t>
      </w:r>
      <w:r w:rsidRPr="00392EAD">
        <w:rPr>
          <w:spacing w:val="5"/>
          <w:lang w:val="pt-BR"/>
        </w:rPr>
        <w:t xml:space="preserve">exposição </w:t>
      </w:r>
      <w:r w:rsidRPr="00392EAD">
        <w:rPr>
          <w:lang w:val="pt-BR"/>
        </w:rPr>
        <w:t xml:space="preserve">a </w:t>
      </w:r>
      <w:r w:rsidRPr="00392EAD">
        <w:rPr>
          <w:spacing w:val="3"/>
          <w:lang w:val="pt-BR"/>
        </w:rPr>
        <w:t xml:space="preserve">risco </w:t>
      </w:r>
      <w:r w:rsidRPr="00392EAD">
        <w:rPr>
          <w:spacing w:val="5"/>
          <w:lang w:val="pt-BR"/>
        </w:rPr>
        <w:t xml:space="preserve">da </w:t>
      </w:r>
      <w:r w:rsidRPr="00392EAD">
        <w:rPr>
          <w:spacing w:val="7"/>
          <w:lang w:val="pt-BR"/>
        </w:rPr>
        <w:t xml:space="preserve">população </w:t>
      </w:r>
      <w:r w:rsidRPr="00392EAD">
        <w:rPr>
          <w:spacing w:val="5"/>
          <w:lang w:val="pt-BR"/>
        </w:rPr>
        <w:t xml:space="preserve">do </w:t>
      </w:r>
      <w:r w:rsidRPr="00392EAD">
        <w:rPr>
          <w:spacing w:val="8"/>
          <w:lang w:val="pt-BR"/>
        </w:rPr>
        <w:t xml:space="preserve">condomínio”, </w:t>
      </w:r>
      <w:r w:rsidRPr="00392EAD">
        <w:rPr>
          <w:spacing w:val="5"/>
          <w:lang w:val="pt-BR"/>
        </w:rPr>
        <w:t>ma</w:t>
      </w:r>
      <w:r w:rsidRPr="00392EAD">
        <w:rPr>
          <w:spacing w:val="5"/>
          <w:lang w:val="pt-BR"/>
        </w:rPr>
        <w:t xml:space="preserve">s </w:t>
      </w:r>
      <w:r w:rsidRPr="00392EAD">
        <w:rPr>
          <w:spacing w:val="6"/>
          <w:lang w:val="pt-BR"/>
        </w:rPr>
        <w:t xml:space="preserve">“não </w:t>
      </w:r>
      <w:r w:rsidRPr="00392EAD">
        <w:rPr>
          <w:spacing w:val="7"/>
          <w:lang w:val="pt-BR"/>
        </w:rPr>
        <w:t xml:space="preserve">adotou </w:t>
      </w:r>
      <w:r w:rsidRPr="00392EAD">
        <w:rPr>
          <w:spacing w:val="10"/>
          <w:lang w:val="pt-BR"/>
        </w:rPr>
        <w:t xml:space="preserve">medidas mitigadoras emergenciais </w:t>
      </w:r>
      <w:r w:rsidRPr="00392EAD">
        <w:rPr>
          <w:lang w:val="pt-BR"/>
        </w:rPr>
        <w:t xml:space="preserve">e </w:t>
      </w:r>
      <w:r w:rsidRPr="00392EAD">
        <w:rPr>
          <w:spacing w:val="10"/>
          <w:lang w:val="pt-BR"/>
        </w:rPr>
        <w:t xml:space="preserve">efetivas </w:t>
      </w:r>
      <w:r w:rsidRPr="00392EAD">
        <w:rPr>
          <w:spacing w:val="5"/>
          <w:lang w:val="pt-BR"/>
        </w:rPr>
        <w:t xml:space="preserve">de </w:t>
      </w:r>
      <w:r w:rsidRPr="00392EAD">
        <w:rPr>
          <w:spacing w:val="11"/>
          <w:lang w:val="pt-BR"/>
        </w:rPr>
        <w:t xml:space="preserve">remediação” </w:t>
      </w:r>
      <w:r w:rsidRPr="00392EAD">
        <w:rPr>
          <w:spacing w:val="10"/>
          <w:lang w:val="pt-BR"/>
        </w:rPr>
        <w:t>(GOMIDE,</w:t>
      </w:r>
      <w:r w:rsidRPr="00392EAD">
        <w:rPr>
          <w:spacing w:val="58"/>
          <w:lang w:val="pt-BR"/>
        </w:rPr>
        <w:t xml:space="preserve"> </w:t>
      </w:r>
      <w:r w:rsidRPr="00392EAD">
        <w:rPr>
          <w:spacing w:val="11"/>
          <w:lang w:val="pt-BR"/>
        </w:rPr>
        <w:t>2012).</w:t>
      </w:r>
    </w:p>
    <w:p w:rsidR="00D81F69" w:rsidRPr="00392EAD" w:rsidRDefault="00330118">
      <w:pPr>
        <w:pStyle w:val="Corpodetexto"/>
        <w:spacing w:before="141" w:line="312" w:lineRule="auto"/>
        <w:ind w:right="43"/>
        <w:rPr>
          <w:lang w:val="pt-BR"/>
        </w:rPr>
      </w:pPr>
      <w:r w:rsidRPr="00392EAD">
        <w:rPr>
          <w:lang w:val="pt-BR"/>
        </w:rPr>
        <w:t xml:space="preserve">O site IG havia mostrado, em 2000, a ocorrência de vazamento na área, que percolou [se espalhou por dentro do solo] e atingiu o lençol freático. Compostos como </w:t>
      </w:r>
      <w:hyperlink r:id="rId1499">
        <w:r w:rsidRPr="00392EAD">
          <w:rPr>
            <w:lang w:val="pt-BR"/>
          </w:rPr>
          <w:t>chumbo,</w:t>
        </w:r>
      </w:hyperlink>
      <w:r w:rsidRPr="00392EAD">
        <w:rPr>
          <w:lang w:val="pt-BR"/>
        </w:rPr>
        <w:t xml:space="preserve"> naftaleno, benzeno, tolueno, cromo, </w:t>
      </w:r>
      <w:hyperlink r:id="rId1500">
        <w:r w:rsidRPr="00392EAD">
          <w:rPr>
            <w:lang w:val="pt-BR"/>
          </w:rPr>
          <w:t xml:space="preserve">zinco, </w:t>
        </w:r>
      </w:hyperlink>
      <w:r w:rsidRPr="00392EAD">
        <w:rPr>
          <w:lang w:val="pt-BR"/>
        </w:rPr>
        <w:t>xilenos, Poluentes Orgâni</w:t>
      </w:r>
      <w:r w:rsidRPr="00392EAD">
        <w:rPr>
          <w:lang w:val="pt-BR"/>
        </w:rPr>
        <w:t>cos Persistentes (POPs), sob as casas e nas áreas comuns, estão acima dos limites máximos tolerados e podem provocar vários problemas de saúde, desde asma e dermatites alérgicas, a diversos tipos de câncer (GOMIDE, 2012; ALENCAR, 2012).</w:t>
      </w:r>
    </w:p>
    <w:p w:rsidR="00D81F69" w:rsidRPr="00392EAD" w:rsidRDefault="00330118">
      <w:pPr>
        <w:pStyle w:val="Corpodetexto"/>
        <w:spacing w:before="138" w:line="312" w:lineRule="auto"/>
        <w:ind w:right="43"/>
        <w:rPr>
          <w:lang w:val="pt-BR"/>
        </w:rPr>
      </w:pPr>
      <w:r w:rsidRPr="00392EAD">
        <w:rPr>
          <w:lang w:val="pt-BR"/>
        </w:rPr>
        <w:t>A incidência de doe</w:t>
      </w:r>
      <w:r w:rsidRPr="00392EAD">
        <w:rPr>
          <w:lang w:val="pt-BR"/>
        </w:rPr>
        <w:t xml:space="preserve">nças nos moradores fora identificada pela </w:t>
      </w:r>
      <w:r w:rsidRPr="00392EAD">
        <w:rPr>
          <w:spacing w:val="17"/>
          <w:lang w:val="pt-BR"/>
        </w:rPr>
        <w:t xml:space="preserve">prefeitura </w:t>
      </w:r>
      <w:r w:rsidRPr="00392EAD">
        <w:rPr>
          <w:spacing w:val="10"/>
          <w:lang w:val="pt-BR"/>
        </w:rPr>
        <w:t xml:space="preserve">em </w:t>
      </w:r>
      <w:r w:rsidRPr="00392EAD">
        <w:rPr>
          <w:spacing w:val="15"/>
          <w:lang w:val="pt-BR"/>
        </w:rPr>
        <w:t xml:space="preserve">2004, quando </w:t>
      </w:r>
      <w:r w:rsidRPr="00392EAD">
        <w:rPr>
          <w:spacing w:val="16"/>
          <w:lang w:val="pt-BR"/>
        </w:rPr>
        <w:t xml:space="preserve">realizou </w:t>
      </w:r>
      <w:r w:rsidRPr="00392EAD">
        <w:rPr>
          <w:spacing w:val="10"/>
          <w:lang w:val="pt-BR"/>
        </w:rPr>
        <w:t xml:space="preserve">um </w:t>
      </w:r>
      <w:r w:rsidRPr="00392EAD">
        <w:rPr>
          <w:spacing w:val="15"/>
          <w:lang w:val="pt-BR"/>
        </w:rPr>
        <w:t xml:space="preserve">estudo </w:t>
      </w:r>
      <w:r w:rsidRPr="00392EAD">
        <w:rPr>
          <w:spacing w:val="3"/>
          <w:lang w:val="pt-BR"/>
        </w:rPr>
        <w:t xml:space="preserve">epidemiológico </w:t>
      </w:r>
      <w:r w:rsidRPr="00392EAD">
        <w:rPr>
          <w:spacing w:val="2"/>
          <w:lang w:val="pt-BR"/>
        </w:rPr>
        <w:t xml:space="preserve">que </w:t>
      </w:r>
      <w:r w:rsidRPr="00392EAD">
        <w:rPr>
          <w:spacing w:val="3"/>
          <w:lang w:val="pt-BR"/>
        </w:rPr>
        <w:t xml:space="preserve">apontou </w:t>
      </w:r>
      <w:r w:rsidRPr="00392EAD">
        <w:rPr>
          <w:spacing w:val="2"/>
          <w:lang w:val="pt-BR"/>
        </w:rPr>
        <w:t xml:space="preserve">alta </w:t>
      </w:r>
      <w:r w:rsidRPr="00392EAD">
        <w:rPr>
          <w:spacing w:val="3"/>
          <w:lang w:val="pt-BR"/>
        </w:rPr>
        <w:t xml:space="preserve">incidência </w:t>
      </w:r>
      <w:r w:rsidRPr="00392EAD">
        <w:rPr>
          <w:spacing w:val="1"/>
          <w:lang w:val="pt-BR"/>
        </w:rPr>
        <w:t xml:space="preserve">de </w:t>
      </w:r>
      <w:r w:rsidRPr="00392EAD">
        <w:rPr>
          <w:spacing w:val="3"/>
          <w:lang w:val="pt-BR"/>
        </w:rPr>
        <w:t xml:space="preserve">abortos </w:t>
      </w:r>
      <w:r w:rsidRPr="00392EAD">
        <w:rPr>
          <w:lang w:val="pt-BR"/>
        </w:rPr>
        <w:t xml:space="preserve">e </w:t>
      </w:r>
      <w:r w:rsidRPr="00392EAD">
        <w:rPr>
          <w:spacing w:val="3"/>
          <w:lang w:val="pt-BR"/>
        </w:rPr>
        <w:t xml:space="preserve">leucopenia [redução </w:t>
      </w:r>
      <w:r w:rsidRPr="00392EAD">
        <w:rPr>
          <w:spacing w:val="1"/>
          <w:lang w:val="pt-BR"/>
        </w:rPr>
        <w:t xml:space="preserve">do </w:t>
      </w:r>
      <w:r w:rsidRPr="00392EAD">
        <w:rPr>
          <w:spacing w:val="3"/>
          <w:lang w:val="pt-BR"/>
        </w:rPr>
        <w:t xml:space="preserve">número </w:t>
      </w:r>
      <w:r w:rsidRPr="00392EAD">
        <w:rPr>
          <w:spacing w:val="1"/>
          <w:lang w:val="pt-BR"/>
        </w:rPr>
        <w:t xml:space="preserve">de </w:t>
      </w:r>
      <w:r w:rsidRPr="00392EAD">
        <w:rPr>
          <w:spacing w:val="3"/>
          <w:lang w:val="pt-BR"/>
        </w:rPr>
        <w:t xml:space="preserve">leucócitos </w:t>
      </w:r>
      <w:r w:rsidRPr="00392EAD">
        <w:rPr>
          <w:spacing w:val="1"/>
          <w:lang w:val="pt-BR"/>
        </w:rPr>
        <w:t xml:space="preserve">no </w:t>
      </w:r>
      <w:r w:rsidRPr="00392EAD">
        <w:rPr>
          <w:spacing w:val="5"/>
          <w:lang w:val="pt-BR"/>
        </w:rPr>
        <w:t xml:space="preserve">sangue] </w:t>
      </w:r>
      <w:r w:rsidRPr="00392EAD">
        <w:rPr>
          <w:spacing w:val="1"/>
          <w:lang w:val="pt-BR"/>
        </w:rPr>
        <w:t xml:space="preserve">entre </w:t>
      </w:r>
      <w:r w:rsidRPr="00392EAD">
        <w:rPr>
          <w:lang w:val="pt-BR"/>
        </w:rPr>
        <w:t xml:space="preserve">os </w:t>
      </w:r>
      <w:r w:rsidRPr="00392EAD">
        <w:rPr>
          <w:spacing w:val="1"/>
          <w:lang w:val="pt-BR"/>
        </w:rPr>
        <w:t xml:space="preserve">moradores </w:t>
      </w:r>
      <w:r w:rsidRPr="00392EAD">
        <w:rPr>
          <w:lang w:val="pt-BR"/>
        </w:rPr>
        <w:t xml:space="preserve">do </w:t>
      </w:r>
      <w:r w:rsidRPr="00392EAD">
        <w:rPr>
          <w:spacing w:val="1"/>
          <w:lang w:val="pt-BR"/>
        </w:rPr>
        <w:t xml:space="preserve">bairro (GOMIDE, 2012; </w:t>
      </w:r>
      <w:r w:rsidRPr="00392EAD">
        <w:rPr>
          <w:spacing w:val="2"/>
          <w:lang w:val="pt-BR"/>
        </w:rPr>
        <w:t xml:space="preserve">WERNECK; </w:t>
      </w:r>
      <w:r w:rsidRPr="00392EAD">
        <w:rPr>
          <w:spacing w:val="3"/>
          <w:lang w:val="pt-BR"/>
        </w:rPr>
        <w:t xml:space="preserve">SOUZA, 2012). </w:t>
      </w:r>
      <w:r w:rsidRPr="00392EAD">
        <w:rPr>
          <w:spacing w:val="1"/>
          <w:lang w:val="pt-BR"/>
        </w:rPr>
        <w:t xml:space="preserve">Em </w:t>
      </w:r>
      <w:r w:rsidRPr="00392EAD">
        <w:rPr>
          <w:spacing w:val="2"/>
          <w:lang w:val="pt-BR"/>
        </w:rPr>
        <w:t xml:space="preserve">nota </w:t>
      </w:r>
      <w:r w:rsidRPr="00392EAD">
        <w:rPr>
          <w:spacing w:val="3"/>
          <w:lang w:val="pt-BR"/>
        </w:rPr>
        <w:t xml:space="preserve">oficial, </w:t>
      </w:r>
      <w:r w:rsidRPr="00392EAD">
        <w:rPr>
          <w:lang w:val="pt-BR"/>
        </w:rPr>
        <w:t xml:space="preserve">a </w:t>
      </w:r>
      <w:r w:rsidRPr="00392EAD">
        <w:rPr>
          <w:spacing w:val="3"/>
          <w:lang w:val="pt-BR"/>
        </w:rPr>
        <w:t xml:space="preserve">siderúrgica negou </w:t>
      </w:r>
      <w:r w:rsidRPr="00392EAD">
        <w:rPr>
          <w:spacing w:val="5"/>
          <w:lang w:val="pt-BR"/>
        </w:rPr>
        <w:t xml:space="preserve">que </w:t>
      </w:r>
      <w:r w:rsidRPr="00392EAD">
        <w:rPr>
          <w:lang w:val="pt-BR"/>
        </w:rPr>
        <w:t xml:space="preserve">tenham sido constatados danos à saúde dos moradores do Volta Grande IV, devido ao depósito de resíduos industriais  </w:t>
      </w:r>
      <w:r w:rsidRPr="00392EAD">
        <w:rPr>
          <w:spacing w:val="2"/>
          <w:lang w:val="pt-BR"/>
        </w:rPr>
        <w:t xml:space="preserve">no </w:t>
      </w:r>
      <w:r w:rsidRPr="00392EAD">
        <w:rPr>
          <w:spacing w:val="3"/>
          <w:lang w:val="pt-BR"/>
        </w:rPr>
        <w:t xml:space="preserve">local antes </w:t>
      </w:r>
      <w:r w:rsidRPr="00392EAD">
        <w:rPr>
          <w:spacing w:val="2"/>
          <w:lang w:val="pt-BR"/>
        </w:rPr>
        <w:t xml:space="preserve">da </w:t>
      </w:r>
      <w:r w:rsidRPr="00392EAD">
        <w:rPr>
          <w:spacing w:val="5"/>
          <w:lang w:val="pt-BR"/>
        </w:rPr>
        <w:t xml:space="preserve">construção </w:t>
      </w:r>
      <w:r w:rsidRPr="00392EAD">
        <w:rPr>
          <w:spacing w:val="3"/>
          <w:lang w:val="pt-BR"/>
        </w:rPr>
        <w:t xml:space="preserve">das casas que </w:t>
      </w:r>
      <w:r w:rsidRPr="00392EAD">
        <w:rPr>
          <w:spacing w:val="5"/>
          <w:lang w:val="pt-BR"/>
        </w:rPr>
        <w:t>atualmente</w:t>
      </w:r>
      <w:r w:rsidRPr="00392EAD">
        <w:rPr>
          <w:spacing w:val="61"/>
          <w:lang w:val="pt-BR"/>
        </w:rPr>
        <w:t xml:space="preserve"> </w:t>
      </w:r>
      <w:r w:rsidRPr="00392EAD">
        <w:rPr>
          <w:spacing w:val="5"/>
          <w:lang w:val="pt-BR"/>
        </w:rPr>
        <w:t xml:space="preserve">formam </w:t>
      </w:r>
      <w:r w:rsidRPr="00392EAD">
        <w:rPr>
          <w:lang w:val="pt-BR"/>
        </w:rPr>
        <w:t xml:space="preserve">o </w:t>
      </w:r>
      <w:r w:rsidRPr="00392EAD">
        <w:rPr>
          <w:spacing w:val="5"/>
          <w:lang w:val="pt-BR"/>
        </w:rPr>
        <w:t xml:space="preserve">bairro (DIÁRIO </w:t>
      </w:r>
      <w:r w:rsidRPr="00392EAD">
        <w:rPr>
          <w:spacing w:val="2"/>
          <w:lang w:val="pt-BR"/>
        </w:rPr>
        <w:t xml:space="preserve">DO </w:t>
      </w:r>
      <w:r w:rsidRPr="00392EAD">
        <w:rPr>
          <w:spacing w:val="3"/>
          <w:lang w:val="pt-BR"/>
        </w:rPr>
        <w:t>VALE</w:t>
      </w:r>
      <w:r w:rsidRPr="00392EAD">
        <w:rPr>
          <w:spacing w:val="3"/>
          <w:lang w:val="pt-BR"/>
        </w:rPr>
        <w:t>,</w:t>
      </w:r>
      <w:r w:rsidRPr="00392EAD">
        <w:rPr>
          <w:spacing w:val="37"/>
          <w:lang w:val="pt-BR"/>
        </w:rPr>
        <w:t xml:space="preserve"> </w:t>
      </w:r>
      <w:r w:rsidRPr="00392EAD">
        <w:rPr>
          <w:spacing w:val="5"/>
          <w:lang w:val="pt-BR"/>
        </w:rPr>
        <w:t>2012).</w:t>
      </w:r>
    </w:p>
    <w:p w:rsidR="00D81F69" w:rsidRPr="00392EAD" w:rsidRDefault="00330118">
      <w:pPr>
        <w:pStyle w:val="Corpodetexto"/>
        <w:spacing w:before="76" w:line="270" w:lineRule="atLeast"/>
        <w:ind w:right="42"/>
        <w:rPr>
          <w:lang w:val="pt-BR"/>
        </w:rPr>
      </w:pPr>
      <w:r w:rsidRPr="00392EAD">
        <w:rPr>
          <w:lang w:val="pt-BR"/>
        </w:rPr>
        <w:t>A empresa propôs a assinatura de um TAC, onde se comprometeria à conclusão de estudos já iniciados na área contaminada, monitoramento da área e controle da contaminação com o fechamento de poços que não estejam de acordo com as normas da Associaçã</w:t>
      </w:r>
      <w:r w:rsidRPr="00392EAD">
        <w:rPr>
          <w:lang w:val="pt-BR"/>
        </w:rPr>
        <w:t>o Brasileira de Normas Técnicas (ABNT), comunicação com a população,</w:t>
      </w:r>
    </w:p>
    <w:p w:rsidR="00D81F69" w:rsidRPr="00392EAD" w:rsidRDefault="00330118">
      <w:pPr>
        <w:pStyle w:val="Corpodetexto"/>
        <w:spacing w:before="81" w:line="312" w:lineRule="auto"/>
        <w:ind w:right="208"/>
        <w:rPr>
          <w:lang w:val="pt-BR"/>
        </w:rPr>
      </w:pPr>
      <w:r w:rsidRPr="00392EAD">
        <w:rPr>
          <w:lang w:val="pt-BR"/>
        </w:rPr>
        <w:br w:type="column"/>
      </w:r>
      <w:r w:rsidRPr="00392EAD">
        <w:rPr>
          <w:lang w:val="pt-BR"/>
        </w:rPr>
        <w:lastRenderedPageBreak/>
        <w:t>impermeabilização de áreas com grande concentração de produtos químicos, e colocação de avisos alertando sobre risco à saúde ao se manter contato com o solo, água subterrânea e consumo d</w:t>
      </w:r>
      <w:r w:rsidRPr="00392EAD">
        <w:rPr>
          <w:lang w:val="pt-BR"/>
        </w:rPr>
        <w:t>e frutas e hortaliças produzidas no local. No entanto, o MP recusou, alegando que tais medidas são ineficazes e compulsórias, não acrescentando nada para solucionar o problema (NITAHARA, 2012).</w:t>
      </w:r>
    </w:p>
    <w:p w:rsidR="00D81F69" w:rsidRPr="00392EAD" w:rsidRDefault="00330118">
      <w:pPr>
        <w:pStyle w:val="Corpodetexto"/>
        <w:spacing w:before="136" w:line="312" w:lineRule="auto"/>
        <w:ind w:right="196"/>
        <w:rPr>
          <w:lang w:val="pt-BR"/>
        </w:rPr>
      </w:pPr>
      <w:r w:rsidRPr="00392EAD">
        <w:rPr>
          <w:lang w:val="pt-BR"/>
        </w:rPr>
        <w:t>O MP recomenda que seja feito um plano de realocação, com cada</w:t>
      </w:r>
      <w:r w:rsidRPr="00392EAD">
        <w:rPr>
          <w:lang w:val="pt-BR"/>
        </w:rPr>
        <w:t xml:space="preserve">stramento de pessoas e mapeamento de áreas próximas, e garantia de aluguel custeado pela CSN em imóveis iguais ou superiores aos atuais. O valor de locação não poderá ser inferior a cinco vezes o valor médio de locação em Volta Redonda, com antecipação de </w:t>
      </w:r>
      <w:r w:rsidRPr="00392EAD">
        <w:rPr>
          <w:lang w:val="pt-BR"/>
        </w:rPr>
        <w:t>12 meses de aluguel, além de todas as despesas decorrentes da mudança. Segundo a ação, a CSN, que teve receita líquida de R$ 16,5 bilhões em 2011, tem meios para custear (GOMIDE, 2012).</w:t>
      </w:r>
    </w:p>
    <w:p w:rsidR="00D81F69" w:rsidRPr="00392EAD" w:rsidRDefault="00330118">
      <w:pPr>
        <w:pStyle w:val="Corpodetexto"/>
        <w:spacing w:before="139" w:line="312" w:lineRule="auto"/>
        <w:ind w:right="205"/>
        <w:rPr>
          <w:lang w:val="pt-BR"/>
        </w:rPr>
      </w:pPr>
      <w:r w:rsidRPr="00392EAD">
        <w:rPr>
          <w:lang w:val="pt-BR"/>
        </w:rPr>
        <w:t>Ainda em 2012, outras irregularidades foram identificadas. Em janeiro,</w:t>
      </w:r>
      <w:r w:rsidRPr="00392EAD">
        <w:rPr>
          <w:lang w:val="pt-BR"/>
        </w:rPr>
        <w:t xml:space="preserve"> um vazamento de óleo da CSN contaminou o rio Paraíba do Sul. Consultorias ambientais contratadas pela própria empresa constataram que a siderúrgica é responsável pelo vazamento de substâncias tóxicas e cancerígenas, tais como bifenilas policloradas. No mê</w:t>
      </w:r>
      <w:r w:rsidRPr="00392EAD">
        <w:rPr>
          <w:lang w:val="pt-BR"/>
        </w:rPr>
        <w:t xml:space="preserve">s seguinte, fiscais do governo estadual flagraram a empresa jogando resíduos químicos nas margens do mesmo rio. Nesse mesmo ano, a siderúrgica foi condenada por danos à saúde de um funcionário, que contraiu benzenismo [intoxicação por benzeno], doença que </w:t>
      </w:r>
      <w:r w:rsidRPr="00392EAD">
        <w:rPr>
          <w:lang w:val="pt-BR"/>
        </w:rPr>
        <w:t>atinge a medula óssea e o sistema nervoso (CASARA, 2012).</w:t>
      </w:r>
    </w:p>
    <w:p w:rsidR="00D81F69" w:rsidRPr="00392EAD" w:rsidRDefault="00330118">
      <w:pPr>
        <w:pStyle w:val="Corpodetexto"/>
        <w:spacing w:before="141" w:line="312" w:lineRule="auto"/>
        <w:ind w:right="189"/>
        <w:rPr>
          <w:lang w:val="pt-BR"/>
        </w:rPr>
      </w:pPr>
      <w:r w:rsidRPr="00392EAD">
        <w:rPr>
          <w:lang w:val="pt-BR"/>
        </w:rPr>
        <w:t xml:space="preserve">A </w:t>
      </w:r>
      <w:r w:rsidRPr="00392EAD">
        <w:rPr>
          <w:spacing w:val="7"/>
          <w:lang w:val="pt-BR"/>
        </w:rPr>
        <w:t xml:space="preserve">despeito </w:t>
      </w:r>
      <w:r w:rsidRPr="00392EAD">
        <w:rPr>
          <w:spacing w:val="5"/>
          <w:lang w:val="pt-BR"/>
        </w:rPr>
        <w:t xml:space="preserve">dos </w:t>
      </w:r>
      <w:r w:rsidRPr="00392EAD">
        <w:rPr>
          <w:spacing w:val="7"/>
          <w:lang w:val="pt-BR"/>
        </w:rPr>
        <w:t xml:space="preserve">diversos problemas causados </w:t>
      </w:r>
      <w:r w:rsidRPr="00392EAD">
        <w:rPr>
          <w:spacing w:val="5"/>
          <w:lang w:val="pt-BR"/>
        </w:rPr>
        <w:t xml:space="preserve">por </w:t>
      </w:r>
      <w:r w:rsidRPr="00392EAD">
        <w:rPr>
          <w:spacing w:val="10"/>
          <w:lang w:val="pt-BR"/>
        </w:rPr>
        <w:t xml:space="preserve">sua </w:t>
      </w:r>
      <w:r w:rsidRPr="00392EAD">
        <w:rPr>
          <w:spacing w:val="12"/>
          <w:lang w:val="pt-BR"/>
        </w:rPr>
        <w:t xml:space="preserve">atividade produtiva, </w:t>
      </w:r>
      <w:r w:rsidRPr="00392EAD">
        <w:rPr>
          <w:lang w:val="pt-BR"/>
        </w:rPr>
        <w:t xml:space="preserve">a </w:t>
      </w:r>
      <w:r w:rsidRPr="00392EAD">
        <w:rPr>
          <w:spacing w:val="10"/>
          <w:lang w:val="pt-BR"/>
        </w:rPr>
        <w:t xml:space="preserve">CSN faz </w:t>
      </w:r>
      <w:r w:rsidRPr="00392EAD">
        <w:rPr>
          <w:spacing w:val="11"/>
          <w:lang w:val="pt-BR"/>
        </w:rPr>
        <w:t xml:space="preserve">planos </w:t>
      </w:r>
      <w:r w:rsidRPr="00392EAD">
        <w:rPr>
          <w:spacing w:val="10"/>
          <w:lang w:val="pt-BR"/>
        </w:rPr>
        <w:t xml:space="preserve">para </w:t>
      </w:r>
      <w:r w:rsidRPr="00392EAD">
        <w:rPr>
          <w:spacing w:val="11"/>
          <w:lang w:val="pt-BR"/>
        </w:rPr>
        <w:t xml:space="preserve">novos </w:t>
      </w:r>
      <w:r w:rsidRPr="00392EAD">
        <w:rPr>
          <w:lang w:val="pt-BR"/>
        </w:rPr>
        <w:t>investimentos na cidade. Representantes da siderúrgica se reuniram, no dia 10 de setembro de 2012,</w:t>
      </w:r>
      <w:r w:rsidRPr="00392EAD">
        <w:rPr>
          <w:lang w:val="pt-BR"/>
        </w:rPr>
        <w:t xml:space="preserve"> com a presidente da Companhia de Desenvolvimento Industrial do Estado do Rio de Janeiro (Codin) para se informarem sobre incentivos </w:t>
      </w:r>
      <w:r w:rsidRPr="00392EAD">
        <w:rPr>
          <w:spacing w:val="3"/>
          <w:lang w:val="pt-BR"/>
        </w:rPr>
        <w:t xml:space="preserve">fiscais oferecidos </w:t>
      </w:r>
      <w:r w:rsidRPr="00392EAD">
        <w:rPr>
          <w:spacing w:val="2"/>
          <w:lang w:val="pt-BR"/>
        </w:rPr>
        <w:t xml:space="preserve">pelo </w:t>
      </w:r>
      <w:r w:rsidRPr="00392EAD">
        <w:rPr>
          <w:spacing w:val="3"/>
          <w:lang w:val="pt-BR"/>
        </w:rPr>
        <w:t xml:space="preserve">governo estadual </w:t>
      </w:r>
      <w:r w:rsidRPr="00392EAD">
        <w:rPr>
          <w:spacing w:val="2"/>
          <w:lang w:val="pt-BR"/>
        </w:rPr>
        <w:t xml:space="preserve">para dois </w:t>
      </w:r>
      <w:r w:rsidRPr="00392EAD">
        <w:rPr>
          <w:spacing w:val="5"/>
          <w:lang w:val="pt-BR"/>
        </w:rPr>
        <w:t xml:space="preserve">novos </w:t>
      </w:r>
      <w:r w:rsidRPr="00392EAD">
        <w:rPr>
          <w:lang w:val="pt-BR"/>
        </w:rPr>
        <w:t xml:space="preserve">empreendimentos em Volta Redonda: uma fábrica de latas de </w:t>
      </w:r>
      <w:r w:rsidRPr="00392EAD">
        <w:rPr>
          <w:spacing w:val="3"/>
          <w:lang w:val="pt-BR"/>
        </w:rPr>
        <w:t xml:space="preserve">aço </w:t>
      </w:r>
      <w:r w:rsidRPr="00392EAD">
        <w:rPr>
          <w:lang w:val="pt-BR"/>
        </w:rPr>
        <w:t xml:space="preserve">e </w:t>
      </w:r>
      <w:r w:rsidRPr="00392EAD">
        <w:rPr>
          <w:spacing w:val="3"/>
          <w:lang w:val="pt-BR"/>
        </w:rPr>
        <w:t>um</w:t>
      </w:r>
      <w:r w:rsidRPr="00392EAD">
        <w:rPr>
          <w:spacing w:val="3"/>
          <w:lang w:val="pt-BR"/>
        </w:rPr>
        <w:t xml:space="preserve">a </w:t>
      </w:r>
      <w:r w:rsidRPr="00392EAD">
        <w:rPr>
          <w:spacing w:val="5"/>
          <w:lang w:val="pt-BR"/>
        </w:rPr>
        <w:t xml:space="preserve">empresa </w:t>
      </w:r>
      <w:r w:rsidRPr="00392EAD">
        <w:rPr>
          <w:spacing w:val="2"/>
          <w:lang w:val="pt-BR"/>
        </w:rPr>
        <w:t xml:space="preserve">de </w:t>
      </w:r>
      <w:r w:rsidRPr="00392EAD">
        <w:rPr>
          <w:spacing w:val="5"/>
          <w:lang w:val="pt-BR"/>
        </w:rPr>
        <w:t xml:space="preserve">beneficiamento </w:t>
      </w:r>
      <w:r w:rsidRPr="00392EAD">
        <w:rPr>
          <w:spacing w:val="2"/>
          <w:lang w:val="pt-BR"/>
        </w:rPr>
        <w:t xml:space="preserve">de </w:t>
      </w:r>
      <w:r w:rsidRPr="00392EAD">
        <w:rPr>
          <w:spacing w:val="5"/>
          <w:lang w:val="pt-BR"/>
        </w:rPr>
        <w:t xml:space="preserve">aços </w:t>
      </w:r>
      <w:r w:rsidRPr="00392EAD">
        <w:rPr>
          <w:spacing w:val="6"/>
          <w:lang w:val="pt-BR"/>
        </w:rPr>
        <w:t xml:space="preserve">longos, </w:t>
      </w:r>
      <w:r w:rsidRPr="00392EAD">
        <w:rPr>
          <w:lang w:val="pt-BR"/>
        </w:rPr>
        <w:t>ambos ainda sem prazo definido de implantação (MOREIRA, 2012).</w:t>
      </w:r>
    </w:p>
    <w:p w:rsidR="00D81F69" w:rsidRPr="00392EAD" w:rsidRDefault="00D81F69">
      <w:pPr>
        <w:pStyle w:val="Corpodetexto"/>
        <w:spacing w:before="9"/>
        <w:ind w:left="0"/>
        <w:jc w:val="left"/>
        <w:rPr>
          <w:sz w:val="21"/>
          <w:lang w:val="pt-BR"/>
        </w:rPr>
      </w:pPr>
    </w:p>
    <w:p w:rsidR="00D81F69" w:rsidRPr="00392EAD" w:rsidRDefault="00330118">
      <w:pPr>
        <w:pStyle w:val="Heading7"/>
        <w:spacing w:before="1"/>
        <w:rPr>
          <w:lang w:val="pt-BR"/>
        </w:rPr>
      </w:pPr>
      <w:r w:rsidRPr="00392EAD">
        <w:rPr>
          <w:lang w:val="pt-BR"/>
        </w:rPr>
        <w:t>LOCALIZAÇÃO GEOGRÁFICA</w:t>
      </w:r>
    </w:p>
    <w:p w:rsidR="00D81F69" w:rsidRPr="00392EAD" w:rsidRDefault="00330118">
      <w:pPr>
        <w:pStyle w:val="Corpodetexto"/>
        <w:spacing w:before="178" w:line="312" w:lineRule="auto"/>
        <w:ind w:right="211"/>
        <w:rPr>
          <w:lang w:val="pt-BR"/>
        </w:rPr>
      </w:pPr>
      <w:r w:rsidRPr="00392EAD">
        <w:rPr>
          <w:lang w:val="pt-BR"/>
        </w:rPr>
        <w:t>A siderurgia está localizada no município de Volta Redonda (RJ) na latitude 22°32’41”S e longitude 44°03’58”W. Está localizad</w:t>
      </w:r>
      <w:r w:rsidRPr="00392EAD">
        <w:rPr>
          <w:lang w:val="pt-BR"/>
        </w:rPr>
        <w:t>a na bacia do rio Paraíba do Sul que pertence à região costeira do Atlântico Sul.</w:t>
      </w:r>
    </w:p>
    <w:p w:rsidR="00D81F69" w:rsidRPr="00392EAD" w:rsidRDefault="00D81F69">
      <w:pPr>
        <w:pStyle w:val="Corpodetexto"/>
        <w:spacing w:before="2"/>
        <w:ind w:left="0"/>
        <w:jc w:val="left"/>
        <w:rPr>
          <w:sz w:val="29"/>
          <w:lang w:val="pt-BR"/>
        </w:rPr>
      </w:pPr>
    </w:p>
    <w:p w:rsidR="00D81F69" w:rsidRPr="00392EAD" w:rsidRDefault="00330118">
      <w:pPr>
        <w:pStyle w:val="Heading7"/>
        <w:rPr>
          <w:lang w:val="pt-BR"/>
        </w:rPr>
      </w:pPr>
      <w:r w:rsidRPr="00392EAD">
        <w:rPr>
          <w:lang w:val="pt-BR"/>
        </w:rPr>
        <w:t>REDATORES</w:t>
      </w:r>
    </w:p>
    <w:p w:rsidR="00D81F69" w:rsidRPr="00392EAD" w:rsidRDefault="00330118">
      <w:pPr>
        <w:pStyle w:val="Corpodetexto"/>
        <w:spacing w:before="179"/>
        <w:rPr>
          <w:lang w:val="pt-BR"/>
        </w:rPr>
      </w:pPr>
      <w:r w:rsidRPr="00392EAD">
        <w:rPr>
          <w:lang w:val="pt-BR"/>
        </w:rPr>
        <w:t>Eliane Araujo; Renata Olivieri;</w:t>
      </w:r>
    </w:p>
    <w:p w:rsidR="00D81F69" w:rsidRPr="00392EAD" w:rsidRDefault="00D81F69">
      <w:pPr>
        <w:pStyle w:val="Corpodetexto"/>
        <w:ind w:left="0"/>
        <w:jc w:val="left"/>
        <w:rPr>
          <w:sz w:val="20"/>
          <w:lang w:val="pt-BR"/>
        </w:rPr>
      </w:pPr>
    </w:p>
    <w:p w:rsidR="00D81F69" w:rsidRPr="00392EAD" w:rsidRDefault="00330118">
      <w:pPr>
        <w:pStyle w:val="Heading7"/>
        <w:spacing w:before="164"/>
        <w:rPr>
          <w:lang w:val="pt-BR"/>
        </w:rPr>
      </w:pPr>
      <w:r w:rsidRPr="00392EAD">
        <w:rPr>
          <w:lang w:val="pt-BR"/>
        </w:rPr>
        <w:t>REFERÊNCIAS BIBLIOGRÁFICAS</w:t>
      </w:r>
    </w:p>
    <w:p w:rsidR="00D81F69" w:rsidRDefault="00330118">
      <w:pPr>
        <w:spacing w:before="187" w:line="312" w:lineRule="auto"/>
        <w:ind w:left="100" w:right="196"/>
        <w:jc w:val="both"/>
        <w:rPr>
          <w:sz w:val="16"/>
        </w:rPr>
      </w:pPr>
      <w:r w:rsidRPr="00392EAD">
        <w:rPr>
          <w:sz w:val="16"/>
          <w:lang w:val="pt-BR"/>
        </w:rPr>
        <w:t xml:space="preserve">AGÊNCIA ESTADO. CSN pode ser multada por falta de aviso sobre vazamento de óleo. </w:t>
      </w:r>
      <w:r>
        <w:rPr>
          <w:sz w:val="16"/>
        </w:rPr>
        <w:t>In: Bem Paraná, 04 ago. 2009. Disponível em:</w:t>
      </w:r>
    </w:p>
    <w:p w:rsidR="00D81F69" w:rsidRDefault="00D81F69">
      <w:pPr>
        <w:spacing w:before="2"/>
        <w:ind w:left="100"/>
        <w:jc w:val="both"/>
        <w:rPr>
          <w:sz w:val="16"/>
        </w:rPr>
      </w:pPr>
      <w:hyperlink r:id="rId1501">
        <w:r w:rsidR="00330118">
          <w:rPr>
            <w:sz w:val="16"/>
          </w:rPr>
          <w:t>&lt;</w:t>
        </w:r>
        <w:r w:rsidR="00330118">
          <w:rPr>
            <w:sz w:val="16"/>
          </w:rPr>
          <w:t>http://www.bemparana.com.br/noticia/116632/csn-pode-ser-multada-</w:t>
        </w:r>
      </w:hyperlink>
    </w:p>
    <w:p w:rsidR="00D81F69" w:rsidRPr="00392EAD" w:rsidRDefault="00330118">
      <w:pPr>
        <w:spacing w:before="56"/>
        <w:ind w:left="100"/>
        <w:jc w:val="both"/>
        <w:rPr>
          <w:sz w:val="16"/>
          <w:lang w:val="pt-BR"/>
        </w:rPr>
      </w:pPr>
      <w:r w:rsidRPr="00392EAD">
        <w:rPr>
          <w:sz w:val="16"/>
          <w:lang w:val="pt-BR"/>
        </w:rPr>
        <w:t>por-falta-de-aviso-sobre-vazamento-de-oleo&gt;.  Acesso  em:  20  set.</w:t>
      </w:r>
    </w:p>
    <w:p w:rsidR="00D81F69" w:rsidRPr="00392EAD" w:rsidRDefault="00D81F69">
      <w:pPr>
        <w:jc w:val="both"/>
        <w:rPr>
          <w:sz w:val="16"/>
          <w:lang w:val="pt-BR"/>
        </w:rPr>
        <w:sectPr w:rsidR="00D81F69" w:rsidRPr="00392EAD">
          <w:pgSz w:w="11900" w:h="16840"/>
          <w:pgMar w:top="740" w:right="500" w:bottom="620" w:left="620" w:header="0" w:footer="402" w:gutter="0"/>
          <w:cols w:num="2" w:space="720" w:equalWidth="0">
            <w:col w:w="5161" w:space="309"/>
            <w:col w:w="5310"/>
          </w:cols>
        </w:sectPr>
      </w:pPr>
    </w:p>
    <w:p w:rsidR="00D81F69" w:rsidRPr="00392EAD" w:rsidRDefault="00330118">
      <w:pPr>
        <w:spacing w:before="70"/>
        <w:ind w:left="100"/>
        <w:jc w:val="both"/>
        <w:rPr>
          <w:sz w:val="16"/>
          <w:lang w:val="pt-BR"/>
        </w:rPr>
      </w:pPr>
      <w:r w:rsidRPr="00392EAD">
        <w:rPr>
          <w:sz w:val="16"/>
          <w:lang w:val="pt-BR"/>
        </w:rPr>
        <w:lastRenderedPageBreak/>
        <w:t>2012.</w:t>
      </w:r>
    </w:p>
    <w:p w:rsidR="00D81F69" w:rsidRDefault="00330118">
      <w:pPr>
        <w:spacing w:before="56" w:line="312" w:lineRule="auto"/>
        <w:ind w:left="100" w:right="92"/>
        <w:jc w:val="both"/>
        <w:rPr>
          <w:sz w:val="16"/>
        </w:rPr>
      </w:pPr>
      <w:r w:rsidRPr="00392EAD">
        <w:rPr>
          <w:sz w:val="16"/>
          <w:lang w:val="pt-BR"/>
        </w:rPr>
        <w:t xml:space="preserve">ALENCAR, Emanuel. CSN terá que remediar outras cinco áreas contaminadas. </w:t>
      </w:r>
      <w:r>
        <w:rPr>
          <w:sz w:val="16"/>
        </w:rPr>
        <w:t>O Globo, 15 set</w:t>
      </w:r>
      <w:r>
        <w:rPr>
          <w:sz w:val="16"/>
        </w:rPr>
        <w:t xml:space="preserve">. 2012. Disponível em: </w:t>
      </w:r>
    </w:p>
    <w:p w:rsidR="00D81F69" w:rsidRPr="00392EAD" w:rsidRDefault="00D81F69">
      <w:pPr>
        <w:spacing w:before="1" w:line="312" w:lineRule="auto"/>
        <w:ind w:left="100" w:right="120"/>
        <w:jc w:val="both"/>
        <w:rPr>
          <w:sz w:val="16"/>
          <w:lang w:val="pt-BR"/>
        </w:rPr>
      </w:pPr>
      <w:hyperlink r:id="rId1502">
        <w:r w:rsidR="00330118" w:rsidRPr="00392EAD">
          <w:rPr>
            <w:sz w:val="16"/>
            <w:lang w:val="pt-BR"/>
          </w:rPr>
          <w:t>&lt;http://oglobo.globo.com/rio/csn-tera-que-remediar-outras-cinco-</w:t>
        </w:r>
      </w:hyperlink>
      <w:r w:rsidR="00330118" w:rsidRPr="00392EAD">
        <w:rPr>
          <w:sz w:val="16"/>
          <w:lang w:val="pt-BR"/>
        </w:rPr>
        <w:t xml:space="preserve"> areas-contaminadas-6105575&gt;. Acesso em: 20 set. 2012.</w:t>
      </w:r>
    </w:p>
    <w:p w:rsidR="00D81F69" w:rsidRPr="00392EAD" w:rsidRDefault="00330118">
      <w:pPr>
        <w:tabs>
          <w:tab w:val="left" w:pos="4331"/>
        </w:tabs>
        <w:spacing w:before="2" w:line="312" w:lineRule="auto"/>
        <w:ind w:left="100" w:right="99"/>
        <w:jc w:val="both"/>
        <w:rPr>
          <w:sz w:val="16"/>
          <w:lang w:val="pt-BR"/>
        </w:rPr>
      </w:pPr>
      <w:r w:rsidRPr="00392EAD">
        <w:rPr>
          <w:spacing w:val="3"/>
          <w:sz w:val="16"/>
          <w:lang w:val="pt-BR"/>
        </w:rPr>
        <w:t xml:space="preserve">BENTES, Júlio Cláudio </w:t>
      </w:r>
      <w:r w:rsidRPr="00392EAD">
        <w:rPr>
          <w:spacing w:val="1"/>
          <w:sz w:val="16"/>
          <w:lang w:val="pt-BR"/>
        </w:rPr>
        <w:t xml:space="preserve">da </w:t>
      </w:r>
      <w:r w:rsidRPr="00392EAD">
        <w:rPr>
          <w:spacing w:val="3"/>
          <w:sz w:val="16"/>
          <w:lang w:val="pt-BR"/>
        </w:rPr>
        <w:t>Gama. A</w:t>
      </w:r>
      <w:r w:rsidRPr="00392EAD">
        <w:rPr>
          <w:spacing w:val="3"/>
          <w:sz w:val="16"/>
          <w:lang w:val="pt-BR"/>
        </w:rPr>
        <w:t xml:space="preserve">nálise ambiental-urbana </w:t>
      </w:r>
      <w:r w:rsidRPr="00392EAD">
        <w:rPr>
          <w:spacing w:val="5"/>
          <w:sz w:val="16"/>
          <w:lang w:val="pt-BR"/>
        </w:rPr>
        <w:t xml:space="preserve">da </w:t>
      </w:r>
      <w:r w:rsidRPr="00392EAD">
        <w:rPr>
          <w:spacing w:val="3"/>
          <w:sz w:val="16"/>
          <w:lang w:val="pt-BR"/>
        </w:rPr>
        <w:t xml:space="preserve">conurbação Volta Redonda-Barra Mansa, </w:t>
      </w:r>
      <w:r w:rsidRPr="00392EAD">
        <w:rPr>
          <w:spacing w:val="1"/>
          <w:sz w:val="16"/>
          <w:lang w:val="pt-BR"/>
        </w:rPr>
        <w:t xml:space="preserve">no </w:t>
      </w:r>
      <w:r w:rsidRPr="00392EAD">
        <w:rPr>
          <w:spacing w:val="2"/>
          <w:sz w:val="16"/>
          <w:lang w:val="pt-BR"/>
        </w:rPr>
        <w:t xml:space="preserve">sul </w:t>
      </w:r>
      <w:r w:rsidRPr="00392EAD">
        <w:rPr>
          <w:spacing w:val="3"/>
          <w:sz w:val="16"/>
          <w:lang w:val="pt-BR"/>
        </w:rPr>
        <w:t xml:space="preserve">fluminense. </w:t>
      </w:r>
      <w:r w:rsidRPr="00392EAD">
        <w:rPr>
          <w:spacing w:val="5"/>
          <w:sz w:val="16"/>
          <w:lang w:val="pt-BR"/>
        </w:rPr>
        <w:t xml:space="preserve">IV </w:t>
      </w:r>
      <w:r w:rsidRPr="00392EAD">
        <w:rPr>
          <w:spacing w:val="6"/>
          <w:sz w:val="16"/>
          <w:lang w:val="pt-BR"/>
        </w:rPr>
        <w:t xml:space="preserve">Encontro Nacional </w:t>
      </w:r>
      <w:r w:rsidRPr="00392EAD">
        <w:rPr>
          <w:spacing w:val="3"/>
          <w:sz w:val="16"/>
          <w:lang w:val="pt-BR"/>
        </w:rPr>
        <w:t xml:space="preserve">da  </w:t>
      </w:r>
      <w:r w:rsidRPr="00392EAD">
        <w:rPr>
          <w:spacing w:val="5"/>
          <w:sz w:val="16"/>
          <w:lang w:val="pt-BR"/>
        </w:rPr>
        <w:t xml:space="preserve">ANPPAS, </w:t>
      </w:r>
      <w:r w:rsidRPr="00392EAD">
        <w:rPr>
          <w:spacing w:val="6"/>
          <w:sz w:val="16"/>
          <w:lang w:val="pt-BR"/>
        </w:rPr>
        <w:t xml:space="preserve">Brasília </w:t>
      </w:r>
      <w:r w:rsidRPr="00392EAD">
        <w:rPr>
          <w:spacing w:val="5"/>
          <w:sz w:val="16"/>
          <w:lang w:val="pt-BR"/>
        </w:rPr>
        <w:t xml:space="preserve">(DF), 4-6  jun. </w:t>
      </w:r>
      <w:r w:rsidRPr="00392EAD">
        <w:rPr>
          <w:spacing w:val="7"/>
          <w:sz w:val="16"/>
          <w:lang w:val="pt-BR"/>
        </w:rPr>
        <w:t xml:space="preserve">2008.   </w:t>
      </w:r>
      <w:r w:rsidRPr="00392EAD">
        <w:rPr>
          <w:sz w:val="16"/>
          <w:lang w:val="pt-BR"/>
        </w:rPr>
        <w:t xml:space="preserve">D      i      s      p      o      n      í      v  </w:t>
      </w:r>
      <w:r w:rsidRPr="00392EAD">
        <w:rPr>
          <w:spacing w:val="36"/>
          <w:sz w:val="16"/>
          <w:lang w:val="pt-BR"/>
        </w:rPr>
        <w:t xml:space="preserve"> </w:t>
      </w:r>
      <w:r w:rsidRPr="00392EAD">
        <w:rPr>
          <w:sz w:val="16"/>
          <w:lang w:val="pt-BR"/>
        </w:rPr>
        <w:t xml:space="preserve">e    </w:t>
      </w:r>
      <w:r w:rsidRPr="00392EAD">
        <w:rPr>
          <w:spacing w:val="31"/>
          <w:sz w:val="16"/>
          <w:lang w:val="pt-BR"/>
        </w:rPr>
        <w:t xml:space="preserve"> </w:t>
      </w:r>
      <w:r w:rsidRPr="00392EAD">
        <w:rPr>
          <w:sz w:val="16"/>
          <w:lang w:val="pt-BR"/>
        </w:rPr>
        <w:t>l</w:t>
      </w:r>
      <w:r w:rsidRPr="00392EAD">
        <w:rPr>
          <w:sz w:val="16"/>
          <w:lang w:val="pt-BR"/>
        </w:rPr>
        <w:tab/>
        <w:t xml:space="preserve">e      m    </w:t>
      </w:r>
      <w:r w:rsidRPr="00392EAD">
        <w:rPr>
          <w:spacing w:val="20"/>
          <w:sz w:val="16"/>
          <w:lang w:val="pt-BR"/>
        </w:rPr>
        <w:t xml:space="preserve"> </w:t>
      </w:r>
      <w:r w:rsidRPr="00392EAD">
        <w:rPr>
          <w:sz w:val="16"/>
          <w:lang w:val="pt-BR"/>
        </w:rPr>
        <w:t>:</w:t>
      </w:r>
    </w:p>
    <w:p w:rsidR="00D81F69" w:rsidRPr="00392EAD" w:rsidRDefault="00D81F69">
      <w:pPr>
        <w:spacing w:before="3"/>
        <w:ind w:left="100"/>
        <w:jc w:val="both"/>
        <w:rPr>
          <w:sz w:val="16"/>
          <w:lang w:val="pt-BR"/>
        </w:rPr>
      </w:pPr>
      <w:hyperlink r:id="rId1503">
        <w:r w:rsidR="00330118" w:rsidRPr="00392EAD">
          <w:rPr>
            <w:sz w:val="16"/>
            <w:lang w:val="pt-BR"/>
          </w:rPr>
          <w:t>&lt;http://www.google.com.br/url?sa=t&amp;rct=j&amp;q=&amp;esrc=s&amp;frm=1&amp;source</w:t>
        </w:r>
      </w:hyperlink>
    </w:p>
    <w:p w:rsidR="00D81F69" w:rsidRPr="00392EAD" w:rsidRDefault="00D81F69">
      <w:pPr>
        <w:spacing w:before="56" w:line="312" w:lineRule="auto"/>
        <w:ind w:left="100" w:right="38"/>
        <w:jc w:val="both"/>
        <w:rPr>
          <w:sz w:val="16"/>
          <w:lang w:val="pt-BR"/>
        </w:rPr>
      </w:pPr>
      <w:hyperlink r:id="rId1504">
        <w:r w:rsidR="00330118" w:rsidRPr="00392EAD">
          <w:rPr>
            <w:sz w:val="16"/>
            <w:lang w:val="pt-BR"/>
          </w:rPr>
          <w:t>=web&amp;cd=2&amp;ved=0CCoQFjAB&amp;url=http%3A%2F%2Fwww.anppas.or</w:t>
        </w:r>
      </w:hyperlink>
      <w:r w:rsidR="00330118" w:rsidRPr="00392EAD">
        <w:rPr>
          <w:sz w:val="16"/>
          <w:lang w:val="pt-BR"/>
        </w:rPr>
        <w:t xml:space="preserve"> </w:t>
      </w:r>
      <w:r w:rsidR="00330118" w:rsidRPr="00392EAD">
        <w:rPr>
          <w:spacing w:val="11"/>
          <w:sz w:val="16"/>
          <w:lang w:val="pt-BR"/>
        </w:rPr>
        <w:t>g.br%2Fencontro4%2Fcd%2FARQUI</w:t>
      </w:r>
      <w:r w:rsidR="00330118" w:rsidRPr="00392EAD">
        <w:rPr>
          <w:spacing w:val="11"/>
          <w:sz w:val="16"/>
          <w:lang w:val="pt-BR"/>
        </w:rPr>
        <w:t xml:space="preserve">VOS%2FGT8-814-501-  </w:t>
      </w:r>
      <w:r w:rsidR="00330118" w:rsidRPr="00392EAD">
        <w:rPr>
          <w:spacing w:val="41"/>
          <w:sz w:val="16"/>
          <w:lang w:val="pt-BR"/>
        </w:rPr>
        <w:t>2</w:t>
      </w:r>
      <w:r w:rsidR="00330118" w:rsidRPr="00392EAD">
        <w:rPr>
          <w:sz w:val="16"/>
          <w:lang w:val="pt-BR"/>
        </w:rPr>
        <w:t xml:space="preserve"> </w:t>
      </w:r>
      <w:r w:rsidR="00330118" w:rsidRPr="00392EAD">
        <w:rPr>
          <w:spacing w:val="41"/>
          <w:sz w:val="16"/>
          <w:lang w:val="pt-BR"/>
        </w:rPr>
        <w:t>0</w:t>
      </w:r>
      <w:r w:rsidR="00330118" w:rsidRPr="00392EAD">
        <w:rPr>
          <w:sz w:val="16"/>
          <w:lang w:val="pt-BR"/>
        </w:rPr>
        <w:t xml:space="preserve"> </w:t>
      </w:r>
      <w:r w:rsidR="00330118" w:rsidRPr="00392EAD">
        <w:rPr>
          <w:spacing w:val="41"/>
          <w:sz w:val="16"/>
          <w:lang w:val="pt-BR"/>
        </w:rPr>
        <w:t>0</w:t>
      </w:r>
      <w:r w:rsidR="00330118" w:rsidRPr="00392EAD">
        <w:rPr>
          <w:sz w:val="16"/>
          <w:lang w:val="pt-BR"/>
        </w:rPr>
        <w:t xml:space="preserve"> </w:t>
      </w:r>
      <w:r w:rsidR="00330118" w:rsidRPr="00392EAD">
        <w:rPr>
          <w:spacing w:val="41"/>
          <w:sz w:val="16"/>
          <w:lang w:val="pt-BR"/>
        </w:rPr>
        <w:t>8</w:t>
      </w:r>
      <w:r w:rsidR="00330118" w:rsidRPr="00392EAD">
        <w:rPr>
          <w:sz w:val="16"/>
          <w:lang w:val="pt-BR"/>
        </w:rPr>
        <w:t xml:space="preserve"> </w:t>
      </w:r>
      <w:r w:rsidR="00330118" w:rsidRPr="00392EAD">
        <w:rPr>
          <w:spacing w:val="41"/>
          <w:sz w:val="16"/>
          <w:lang w:val="pt-BR"/>
        </w:rPr>
        <w:t>0</w:t>
      </w:r>
      <w:r w:rsidR="00330118" w:rsidRPr="00392EAD">
        <w:rPr>
          <w:sz w:val="16"/>
          <w:lang w:val="pt-BR"/>
        </w:rPr>
        <w:t xml:space="preserve"> </w:t>
      </w:r>
      <w:r w:rsidR="00330118" w:rsidRPr="00392EAD">
        <w:rPr>
          <w:spacing w:val="41"/>
          <w:sz w:val="16"/>
          <w:lang w:val="pt-BR"/>
        </w:rPr>
        <w:t>5</w:t>
      </w:r>
      <w:r w:rsidR="00330118" w:rsidRPr="00392EAD">
        <w:rPr>
          <w:sz w:val="16"/>
          <w:lang w:val="pt-BR"/>
        </w:rPr>
        <w:t xml:space="preserve"> </w:t>
      </w:r>
      <w:r w:rsidR="00330118" w:rsidRPr="00392EAD">
        <w:rPr>
          <w:spacing w:val="41"/>
          <w:sz w:val="16"/>
          <w:lang w:val="pt-BR"/>
        </w:rPr>
        <w:t>1</w:t>
      </w:r>
      <w:r w:rsidR="00330118" w:rsidRPr="00392EAD">
        <w:rPr>
          <w:sz w:val="16"/>
          <w:lang w:val="pt-BR"/>
        </w:rPr>
        <w:t xml:space="preserve"> </w:t>
      </w:r>
      <w:r w:rsidR="00330118" w:rsidRPr="00392EAD">
        <w:rPr>
          <w:spacing w:val="41"/>
          <w:sz w:val="16"/>
          <w:lang w:val="pt-BR"/>
        </w:rPr>
        <w:t>0</w:t>
      </w:r>
      <w:r w:rsidR="00330118" w:rsidRPr="00392EAD">
        <w:rPr>
          <w:sz w:val="16"/>
          <w:lang w:val="pt-BR"/>
        </w:rPr>
        <w:t xml:space="preserve"> </w:t>
      </w:r>
      <w:r w:rsidR="00330118" w:rsidRPr="00392EAD">
        <w:rPr>
          <w:spacing w:val="41"/>
          <w:sz w:val="16"/>
          <w:lang w:val="pt-BR"/>
        </w:rPr>
        <w:t>2</w:t>
      </w:r>
      <w:r w:rsidR="00330118" w:rsidRPr="00392EAD">
        <w:rPr>
          <w:sz w:val="16"/>
          <w:lang w:val="pt-BR"/>
        </w:rPr>
        <w:t xml:space="preserve"> </w:t>
      </w:r>
      <w:r w:rsidR="00330118" w:rsidRPr="00392EAD">
        <w:rPr>
          <w:spacing w:val="41"/>
          <w:sz w:val="16"/>
          <w:lang w:val="pt-BR"/>
        </w:rPr>
        <w:t>1</w:t>
      </w:r>
      <w:r w:rsidR="00330118" w:rsidRPr="00392EAD">
        <w:rPr>
          <w:sz w:val="16"/>
          <w:lang w:val="pt-BR"/>
        </w:rPr>
        <w:t xml:space="preserve"> </w:t>
      </w:r>
      <w:r w:rsidR="00330118" w:rsidRPr="00392EAD">
        <w:rPr>
          <w:spacing w:val="41"/>
          <w:sz w:val="16"/>
          <w:lang w:val="pt-BR"/>
        </w:rPr>
        <w:t>1</w:t>
      </w:r>
      <w:r w:rsidR="00330118" w:rsidRPr="00392EAD">
        <w:rPr>
          <w:sz w:val="16"/>
          <w:lang w:val="pt-BR"/>
        </w:rPr>
        <w:t xml:space="preserve"> </w:t>
      </w:r>
      <w:r w:rsidR="00330118" w:rsidRPr="00392EAD">
        <w:rPr>
          <w:spacing w:val="41"/>
          <w:sz w:val="16"/>
          <w:lang w:val="pt-BR"/>
        </w:rPr>
        <w:t>3</w:t>
      </w:r>
      <w:r w:rsidR="00330118" w:rsidRPr="00392EAD">
        <w:rPr>
          <w:sz w:val="16"/>
          <w:lang w:val="pt-BR"/>
        </w:rPr>
        <w:t xml:space="preserve"> </w:t>
      </w:r>
      <w:r w:rsidR="00330118" w:rsidRPr="00392EAD">
        <w:rPr>
          <w:spacing w:val="41"/>
          <w:sz w:val="16"/>
          <w:lang w:val="pt-BR"/>
        </w:rPr>
        <w:t>3</w:t>
      </w:r>
      <w:r w:rsidR="00330118" w:rsidRPr="00392EAD">
        <w:rPr>
          <w:sz w:val="16"/>
          <w:lang w:val="pt-BR"/>
        </w:rPr>
        <w:t xml:space="preserve"> </w:t>
      </w:r>
      <w:r w:rsidR="00330118" w:rsidRPr="00392EAD">
        <w:rPr>
          <w:spacing w:val="41"/>
          <w:sz w:val="16"/>
          <w:lang w:val="pt-BR"/>
        </w:rPr>
        <w:t>9</w:t>
      </w:r>
      <w:r w:rsidR="00330118" w:rsidRPr="00392EAD">
        <w:rPr>
          <w:sz w:val="16"/>
          <w:lang w:val="pt-BR"/>
        </w:rPr>
        <w:t xml:space="preserve"> </w:t>
      </w:r>
      <w:r w:rsidR="00330118" w:rsidRPr="00392EAD">
        <w:rPr>
          <w:spacing w:val="41"/>
          <w:sz w:val="16"/>
          <w:lang w:val="pt-BR"/>
        </w:rPr>
        <w:t>.</w:t>
      </w:r>
      <w:r w:rsidR="00330118" w:rsidRPr="00392EAD">
        <w:rPr>
          <w:sz w:val="16"/>
          <w:lang w:val="pt-BR"/>
        </w:rPr>
        <w:t xml:space="preserve"> </w:t>
      </w:r>
      <w:r w:rsidR="00330118" w:rsidRPr="00392EAD">
        <w:rPr>
          <w:spacing w:val="41"/>
          <w:sz w:val="16"/>
          <w:lang w:val="pt-BR"/>
        </w:rPr>
        <w:t>p</w:t>
      </w:r>
      <w:r w:rsidR="00330118" w:rsidRPr="00392EAD">
        <w:rPr>
          <w:sz w:val="16"/>
          <w:lang w:val="pt-BR"/>
        </w:rPr>
        <w:t xml:space="preserve"> </w:t>
      </w:r>
      <w:r w:rsidR="00330118" w:rsidRPr="00392EAD">
        <w:rPr>
          <w:spacing w:val="41"/>
          <w:sz w:val="16"/>
          <w:lang w:val="pt-BR"/>
        </w:rPr>
        <w:t>d</w:t>
      </w:r>
      <w:r w:rsidR="00330118" w:rsidRPr="00392EAD">
        <w:rPr>
          <w:sz w:val="16"/>
          <w:lang w:val="pt-BR"/>
        </w:rPr>
        <w:t xml:space="preserve"> </w:t>
      </w:r>
      <w:r w:rsidR="00330118" w:rsidRPr="00392EAD">
        <w:rPr>
          <w:spacing w:val="41"/>
          <w:sz w:val="16"/>
          <w:lang w:val="pt-BR"/>
        </w:rPr>
        <w:t>f</w:t>
      </w:r>
      <w:r w:rsidR="00330118" w:rsidRPr="00392EAD">
        <w:rPr>
          <w:sz w:val="16"/>
          <w:lang w:val="pt-BR"/>
        </w:rPr>
        <w:t xml:space="preserve"> </w:t>
      </w:r>
      <w:r w:rsidR="00330118" w:rsidRPr="00392EAD">
        <w:rPr>
          <w:spacing w:val="41"/>
          <w:sz w:val="16"/>
          <w:lang w:val="pt-BR"/>
        </w:rPr>
        <w:t>&amp;</w:t>
      </w:r>
      <w:r w:rsidR="00330118" w:rsidRPr="00392EAD">
        <w:rPr>
          <w:sz w:val="16"/>
          <w:lang w:val="pt-BR"/>
        </w:rPr>
        <w:t xml:space="preserve"> </w:t>
      </w:r>
      <w:r w:rsidR="00330118" w:rsidRPr="00392EAD">
        <w:rPr>
          <w:spacing w:val="41"/>
          <w:sz w:val="16"/>
          <w:lang w:val="pt-BR"/>
        </w:rPr>
        <w:t>e</w:t>
      </w:r>
      <w:r w:rsidR="00330118" w:rsidRPr="00392EAD">
        <w:rPr>
          <w:sz w:val="16"/>
          <w:lang w:val="pt-BR"/>
        </w:rPr>
        <w:t xml:space="preserve"> </w:t>
      </w:r>
      <w:r w:rsidR="00330118" w:rsidRPr="00392EAD">
        <w:rPr>
          <w:spacing w:val="41"/>
          <w:sz w:val="16"/>
          <w:lang w:val="pt-BR"/>
        </w:rPr>
        <w:t>i</w:t>
      </w:r>
      <w:r w:rsidR="00330118" w:rsidRPr="00392EAD">
        <w:rPr>
          <w:sz w:val="16"/>
          <w:lang w:val="pt-BR"/>
        </w:rPr>
        <w:t xml:space="preserve"> </w:t>
      </w:r>
      <w:r w:rsidR="00330118" w:rsidRPr="00392EAD">
        <w:rPr>
          <w:spacing w:val="41"/>
          <w:sz w:val="16"/>
          <w:lang w:val="pt-BR"/>
        </w:rPr>
        <w:t>=</w:t>
      </w:r>
      <w:r w:rsidR="00330118" w:rsidRPr="00392EAD">
        <w:rPr>
          <w:sz w:val="16"/>
          <w:lang w:val="pt-BR"/>
        </w:rPr>
        <w:t xml:space="preserve"> </w:t>
      </w:r>
      <w:r w:rsidR="00330118" w:rsidRPr="00392EAD">
        <w:rPr>
          <w:spacing w:val="41"/>
          <w:sz w:val="16"/>
          <w:lang w:val="pt-BR"/>
        </w:rPr>
        <w:t>B</w:t>
      </w:r>
      <w:r w:rsidR="00330118" w:rsidRPr="00392EAD">
        <w:rPr>
          <w:sz w:val="16"/>
          <w:lang w:val="pt-BR"/>
        </w:rPr>
        <w:t xml:space="preserve"> </w:t>
      </w:r>
      <w:r w:rsidR="00330118" w:rsidRPr="00392EAD">
        <w:rPr>
          <w:spacing w:val="41"/>
          <w:sz w:val="16"/>
          <w:lang w:val="pt-BR"/>
        </w:rPr>
        <w:t>S</w:t>
      </w:r>
      <w:r w:rsidR="00330118" w:rsidRPr="00392EAD">
        <w:rPr>
          <w:sz w:val="16"/>
          <w:lang w:val="pt-BR"/>
        </w:rPr>
        <w:t xml:space="preserve"> </w:t>
      </w:r>
      <w:r w:rsidR="00330118" w:rsidRPr="00392EAD">
        <w:rPr>
          <w:spacing w:val="41"/>
          <w:sz w:val="16"/>
          <w:lang w:val="pt-BR"/>
        </w:rPr>
        <w:t>R</w:t>
      </w:r>
      <w:r w:rsidR="00330118" w:rsidRPr="00392EAD">
        <w:rPr>
          <w:sz w:val="16"/>
          <w:lang w:val="pt-BR"/>
        </w:rPr>
        <w:t xml:space="preserve"> </w:t>
      </w:r>
      <w:r w:rsidR="00330118" w:rsidRPr="00392EAD">
        <w:rPr>
          <w:spacing w:val="41"/>
          <w:sz w:val="16"/>
          <w:lang w:val="pt-BR"/>
        </w:rPr>
        <w:t>Z</w:t>
      </w:r>
      <w:r w:rsidR="00330118" w:rsidRPr="00392EAD">
        <w:rPr>
          <w:sz w:val="16"/>
          <w:lang w:val="pt-BR"/>
        </w:rPr>
        <w:t xml:space="preserve"> </w:t>
      </w:r>
      <w:r w:rsidR="00330118" w:rsidRPr="00392EAD">
        <w:rPr>
          <w:spacing w:val="41"/>
          <w:sz w:val="16"/>
          <w:lang w:val="pt-BR"/>
        </w:rPr>
        <w:t>U</w:t>
      </w:r>
      <w:r w:rsidR="00330118" w:rsidRPr="00392EAD">
        <w:rPr>
          <w:sz w:val="16"/>
          <w:lang w:val="pt-BR"/>
        </w:rPr>
        <w:t xml:space="preserve"> </w:t>
      </w:r>
      <w:r w:rsidR="00330118" w:rsidRPr="00392EAD">
        <w:rPr>
          <w:spacing w:val="41"/>
          <w:sz w:val="16"/>
          <w:lang w:val="pt-BR"/>
        </w:rPr>
        <w:t>P</w:t>
      </w:r>
      <w:r w:rsidR="00330118" w:rsidRPr="00392EAD">
        <w:rPr>
          <w:sz w:val="16"/>
          <w:lang w:val="pt-BR"/>
        </w:rPr>
        <w:t xml:space="preserve"> - </w:t>
      </w:r>
      <w:r w:rsidR="00330118" w:rsidRPr="00392EAD">
        <w:rPr>
          <w:spacing w:val="-2"/>
          <w:sz w:val="16"/>
          <w:lang w:val="pt-BR"/>
        </w:rPr>
        <w:t xml:space="preserve"> </w:t>
      </w:r>
    </w:p>
    <w:p w:rsidR="00D81F69" w:rsidRPr="00392EAD" w:rsidRDefault="00330118">
      <w:pPr>
        <w:spacing w:before="3" w:line="312" w:lineRule="auto"/>
        <w:ind w:left="100" w:right="91"/>
        <w:jc w:val="both"/>
        <w:rPr>
          <w:sz w:val="16"/>
          <w:lang w:val="pt-BR"/>
        </w:rPr>
      </w:pPr>
      <w:r w:rsidRPr="00392EAD">
        <w:rPr>
          <w:sz w:val="16"/>
          <w:lang w:val="pt-BR"/>
        </w:rPr>
        <w:t xml:space="preserve">2D4S29QSYgYHIDA&amp;usg=AFQjCNGdkG6bSVQ_Ng5KMLCGZceum qcGzA&amp;sig2=Vk33fChLN68p8G-EJx7jxg&gt;. </w:t>
      </w:r>
      <w:r>
        <w:rPr>
          <w:sz w:val="16"/>
        </w:rPr>
        <w:t xml:space="preserve">Acesso em: 20 set. 2012. </w:t>
      </w:r>
      <w:r>
        <w:rPr>
          <w:spacing w:val="10"/>
          <w:sz w:val="16"/>
        </w:rPr>
        <w:t xml:space="preserve">CARVALHO, </w:t>
      </w:r>
      <w:r>
        <w:rPr>
          <w:spacing w:val="8"/>
          <w:sz w:val="16"/>
        </w:rPr>
        <w:t xml:space="preserve">Rita </w:t>
      </w:r>
      <w:r>
        <w:rPr>
          <w:spacing w:val="5"/>
          <w:sz w:val="16"/>
        </w:rPr>
        <w:t xml:space="preserve">de </w:t>
      </w:r>
      <w:r>
        <w:rPr>
          <w:spacing w:val="10"/>
          <w:sz w:val="16"/>
        </w:rPr>
        <w:t xml:space="preserve">Cássia Santos; TRINTA, </w:t>
      </w:r>
      <w:r>
        <w:rPr>
          <w:spacing w:val="8"/>
          <w:sz w:val="16"/>
        </w:rPr>
        <w:t xml:space="preserve">José </w:t>
      </w:r>
      <w:r>
        <w:rPr>
          <w:spacing w:val="10"/>
          <w:sz w:val="16"/>
        </w:rPr>
        <w:t xml:space="preserve">Luiz; </w:t>
      </w:r>
      <w:r>
        <w:rPr>
          <w:spacing w:val="1"/>
          <w:sz w:val="16"/>
        </w:rPr>
        <w:t xml:space="preserve">BARCELLAR, Fátima Cristina Trindade. </w:t>
      </w:r>
      <w:r w:rsidRPr="00392EAD">
        <w:rPr>
          <w:sz w:val="16"/>
          <w:lang w:val="pt-BR"/>
        </w:rPr>
        <w:t xml:space="preserve">CSN e </w:t>
      </w:r>
      <w:r w:rsidRPr="00392EAD">
        <w:rPr>
          <w:spacing w:val="2"/>
          <w:sz w:val="16"/>
          <w:lang w:val="pt-BR"/>
        </w:rPr>
        <w:t xml:space="preserve">Responsabilidade </w:t>
      </w:r>
      <w:r w:rsidRPr="00392EAD">
        <w:rPr>
          <w:spacing w:val="3"/>
          <w:sz w:val="16"/>
          <w:lang w:val="pt-BR"/>
        </w:rPr>
        <w:t xml:space="preserve">Sócio-Ambiental: Conscientização, Estratégia </w:t>
      </w:r>
      <w:r w:rsidRPr="00392EAD">
        <w:rPr>
          <w:spacing w:val="1"/>
          <w:sz w:val="16"/>
          <w:lang w:val="pt-BR"/>
        </w:rPr>
        <w:t xml:space="preserve">ou </w:t>
      </w:r>
      <w:r w:rsidRPr="00392EAD">
        <w:rPr>
          <w:spacing w:val="5"/>
          <w:sz w:val="16"/>
          <w:lang w:val="pt-BR"/>
        </w:rPr>
        <w:t xml:space="preserve">Necessidade? </w:t>
      </w:r>
      <w:r w:rsidRPr="00392EAD">
        <w:rPr>
          <w:spacing w:val="13"/>
          <w:sz w:val="16"/>
          <w:lang w:val="pt-BR"/>
        </w:rPr>
        <w:t xml:space="preserve">Cadernos  UniFOA,  </w:t>
      </w:r>
      <w:r w:rsidRPr="00392EAD">
        <w:rPr>
          <w:spacing w:val="10"/>
          <w:sz w:val="16"/>
          <w:lang w:val="pt-BR"/>
        </w:rPr>
        <w:t xml:space="preserve">Ed. </w:t>
      </w:r>
      <w:r w:rsidRPr="00392EAD">
        <w:rPr>
          <w:spacing w:val="65"/>
          <w:sz w:val="16"/>
          <w:lang w:val="pt-BR"/>
        </w:rPr>
        <w:t xml:space="preserve"> </w:t>
      </w:r>
      <w:r>
        <w:rPr>
          <w:spacing w:val="10"/>
          <w:sz w:val="16"/>
        </w:rPr>
        <w:t xml:space="preserve">10, </w:t>
      </w:r>
      <w:r>
        <w:rPr>
          <w:spacing w:val="65"/>
          <w:sz w:val="16"/>
        </w:rPr>
        <w:t xml:space="preserve"> </w:t>
      </w:r>
      <w:r>
        <w:rPr>
          <w:spacing w:val="11"/>
          <w:sz w:val="16"/>
        </w:rPr>
        <w:t xml:space="preserve">ago.  </w:t>
      </w:r>
      <w:r>
        <w:rPr>
          <w:spacing w:val="12"/>
          <w:sz w:val="16"/>
        </w:rPr>
        <w:t xml:space="preserve">2009.  </w:t>
      </w:r>
      <w:r w:rsidRPr="00392EAD">
        <w:rPr>
          <w:spacing w:val="15"/>
          <w:sz w:val="16"/>
          <w:lang w:val="pt-BR"/>
        </w:rPr>
        <w:t xml:space="preserve">Disponível  </w:t>
      </w:r>
      <w:r w:rsidRPr="00392EAD">
        <w:rPr>
          <w:spacing w:val="10"/>
          <w:sz w:val="16"/>
          <w:lang w:val="pt-BR"/>
        </w:rPr>
        <w:t>em:</w:t>
      </w:r>
      <w:r w:rsidRPr="00392EAD">
        <w:rPr>
          <w:spacing w:val="-27"/>
          <w:sz w:val="16"/>
          <w:lang w:val="pt-BR"/>
        </w:rPr>
        <w:t xml:space="preserve"> </w:t>
      </w:r>
    </w:p>
    <w:p w:rsidR="00D81F69" w:rsidRPr="00392EAD" w:rsidRDefault="00D81F69">
      <w:pPr>
        <w:spacing w:before="5"/>
        <w:ind w:left="100"/>
        <w:jc w:val="both"/>
        <w:rPr>
          <w:sz w:val="16"/>
          <w:lang w:val="pt-BR"/>
        </w:rPr>
      </w:pPr>
      <w:hyperlink r:id="rId1505">
        <w:r w:rsidR="00330118" w:rsidRPr="00392EAD">
          <w:rPr>
            <w:sz w:val="16"/>
            <w:lang w:val="pt-BR"/>
          </w:rPr>
          <w:t>&lt;http://www.google.com.br/url?sa=t&amp;rct=j&amp;q=&amp;esrc=s&amp;frm=1&amp;source</w:t>
        </w:r>
      </w:hyperlink>
    </w:p>
    <w:p w:rsidR="00D81F69" w:rsidRPr="00392EAD" w:rsidRDefault="00D81F69">
      <w:pPr>
        <w:spacing w:before="56" w:line="312" w:lineRule="auto"/>
        <w:ind w:left="100" w:right="109"/>
        <w:jc w:val="both"/>
        <w:rPr>
          <w:sz w:val="16"/>
          <w:lang w:val="pt-BR"/>
        </w:rPr>
      </w:pPr>
      <w:hyperlink r:id="rId1506">
        <w:r w:rsidR="00330118" w:rsidRPr="00392EAD">
          <w:rPr>
            <w:sz w:val="16"/>
            <w:lang w:val="pt-BR"/>
          </w:rPr>
          <w:t>=web&amp;cd=6&amp;ved=0CE0QFjAF&amp;url=http%3A%2F%2Fwww.unifoa.edu.</w:t>
        </w:r>
      </w:hyperlink>
      <w:r w:rsidR="00330118" w:rsidRPr="00392EAD">
        <w:rPr>
          <w:sz w:val="16"/>
          <w:lang w:val="pt-BR"/>
        </w:rPr>
        <w:t xml:space="preserve"> </w:t>
      </w:r>
      <w:r w:rsidR="00330118">
        <w:rPr>
          <w:sz w:val="16"/>
        </w:rPr>
        <w:t>br%2Fcadernos%2Fedicao%2F10%2F41.pdf&amp;ei=BSRZUP- 2D4S29QSYgYHIDA&amp;</w:t>
      </w:r>
      <w:r w:rsidR="00330118">
        <w:rPr>
          <w:sz w:val="16"/>
        </w:rPr>
        <w:t xml:space="preserve">usg=AFQjCNFq9yVqFtFn1CZzPWv6tvvaTzSY 1w&amp;sig2=l3o_vUwrYxf2-Tj92ejbsg&gt;. </w:t>
      </w:r>
      <w:r w:rsidR="00330118" w:rsidRPr="00392EAD">
        <w:rPr>
          <w:sz w:val="16"/>
          <w:lang w:val="pt-BR"/>
        </w:rPr>
        <w:t>Acesso em: 20 set. 2012.</w:t>
      </w:r>
    </w:p>
    <w:p w:rsidR="00D81F69" w:rsidRDefault="00330118">
      <w:pPr>
        <w:spacing w:before="3" w:line="312" w:lineRule="auto"/>
        <w:ind w:left="100" w:right="107"/>
        <w:jc w:val="both"/>
        <w:rPr>
          <w:sz w:val="16"/>
        </w:rPr>
      </w:pPr>
      <w:r w:rsidRPr="00392EAD">
        <w:rPr>
          <w:sz w:val="16"/>
          <w:lang w:val="pt-BR"/>
        </w:rPr>
        <w:t xml:space="preserve">CASARA, Marques. Doença e contaminação ambiental na cadeia produtiva da CSN. </w:t>
      </w:r>
      <w:r>
        <w:rPr>
          <w:sz w:val="16"/>
        </w:rPr>
        <w:t>Rede Sustentável, 15 ago. 2012. Disponível em:</w:t>
      </w:r>
    </w:p>
    <w:p w:rsidR="00D81F69" w:rsidRPr="00392EAD" w:rsidRDefault="00D81F69">
      <w:pPr>
        <w:spacing w:before="2" w:line="312" w:lineRule="auto"/>
        <w:ind w:left="100" w:right="112"/>
        <w:jc w:val="both"/>
        <w:rPr>
          <w:sz w:val="16"/>
          <w:lang w:val="pt-BR"/>
        </w:rPr>
      </w:pPr>
      <w:hyperlink r:id="rId1507">
        <w:r w:rsidR="00330118" w:rsidRPr="00392EAD">
          <w:rPr>
            <w:sz w:val="16"/>
            <w:lang w:val="pt-BR"/>
          </w:rPr>
          <w:t xml:space="preserve">&lt;http://redesustentavelbrasil.com.br/2012/08/15/doenca-e- </w:t>
        </w:r>
      </w:hyperlink>
      <w:r w:rsidR="00330118" w:rsidRPr="00392EAD">
        <w:rPr>
          <w:sz w:val="16"/>
          <w:lang w:val="pt-BR"/>
        </w:rPr>
        <w:t xml:space="preserve">contaminacao-csn/&gt;. Acesso em: 20 set. 2012. </w:t>
      </w:r>
    </w:p>
    <w:p w:rsidR="00D81F69" w:rsidRDefault="00330118">
      <w:pPr>
        <w:spacing w:before="1" w:line="312" w:lineRule="auto"/>
        <w:ind w:left="100" w:right="105"/>
        <w:jc w:val="both"/>
        <w:rPr>
          <w:sz w:val="16"/>
        </w:rPr>
      </w:pPr>
      <w:r w:rsidRPr="00392EAD">
        <w:rPr>
          <w:sz w:val="16"/>
          <w:lang w:val="pt-BR"/>
        </w:rPr>
        <w:t xml:space="preserve">DANTAS, Edna. CSN é condenada a reparar danos ambientais do passado. </w:t>
      </w:r>
      <w:r>
        <w:rPr>
          <w:sz w:val="16"/>
        </w:rPr>
        <w:t>Revista Consultor Jurídico, 06 jul. 2005. Disp</w:t>
      </w:r>
      <w:r>
        <w:rPr>
          <w:sz w:val="16"/>
        </w:rPr>
        <w:t>onível em:</w:t>
      </w:r>
    </w:p>
    <w:p w:rsidR="00D81F69" w:rsidRDefault="00D81F69">
      <w:pPr>
        <w:spacing w:before="2" w:line="312" w:lineRule="auto"/>
        <w:ind w:left="100" w:right="44"/>
        <w:rPr>
          <w:sz w:val="16"/>
        </w:rPr>
      </w:pPr>
      <w:hyperlink r:id="rId1508">
        <w:r w:rsidR="00330118" w:rsidRPr="00392EAD">
          <w:rPr>
            <w:sz w:val="16"/>
            <w:lang w:val="pt-BR"/>
          </w:rPr>
          <w:t xml:space="preserve">&lt; h t t p : / / w w w . c o n j u r . c o m . b r / 2 0 0 5 - j u l - </w:t>
        </w:r>
      </w:hyperlink>
      <w:r w:rsidR="00330118" w:rsidRPr="00392EAD">
        <w:rPr>
          <w:sz w:val="16"/>
          <w:lang w:val="pt-BR"/>
        </w:rPr>
        <w:t xml:space="preserve">06/csn_condenada_reparar_danos_ambientais_passado&gt;. </w:t>
      </w:r>
      <w:r w:rsidR="00330118">
        <w:rPr>
          <w:sz w:val="16"/>
        </w:rPr>
        <w:t>Acesso em: 20 set. 2012.</w:t>
      </w:r>
    </w:p>
    <w:p w:rsidR="00D81F69" w:rsidRDefault="00330118">
      <w:pPr>
        <w:spacing w:before="2" w:line="312" w:lineRule="auto"/>
        <w:ind w:left="100" w:right="95"/>
        <w:jc w:val="both"/>
        <w:rPr>
          <w:sz w:val="16"/>
        </w:rPr>
      </w:pPr>
      <w:r>
        <w:rPr>
          <w:sz w:val="16"/>
        </w:rPr>
        <w:t>DIÁRIO DO VALE. CSN nega danos à saúde de mora</w:t>
      </w:r>
      <w:r>
        <w:rPr>
          <w:sz w:val="16"/>
        </w:rPr>
        <w:t xml:space="preserve">dores do Volta Grande IV. Volta Redonda, 05 jul. 2012. Disponível em: </w:t>
      </w:r>
    </w:p>
    <w:p w:rsidR="00D81F69" w:rsidRDefault="00D81F69">
      <w:pPr>
        <w:spacing w:before="2" w:line="312" w:lineRule="auto"/>
        <w:ind w:left="100" w:right="102"/>
        <w:jc w:val="both"/>
        <w:rPr>
          <w:sz w:val="16"/>
        </w:rPr>
      </w:pPr>
      <w:hyperlink r:id="rId1509">
        <w:r w:rsidR="00330118">
          <w:rPr>
            <w:sz w:val="16"/>
          </w:rPr>
          <w:t>&lt;http://diariodovale.uol.com.br/noticias/0,59674,CSN-nega-danos-a-</w:t>
        </w:r>
      </w:hyperlink>
      <w:r w:rsidR="00330118">
        <w:rPr>
          <w:sz w:val="16"/>
        </w:rPr>
        <w:t xml:space="preserve"> saude-de-moradores-do-Volta-Gra</w:t>
      </w:r>
      <w:r w:rsidR="00330118">
        <w:rPr>
          <w:sz w:val="16"/>
        </w:rPr>
        <w:t>nde-IV.html#axzz26sTdIVGi&gt;. Acesso em: 20 set. 2012.</w:t>
      </w:r>
    </w:p>
    <w:p w:rsidR="00D81F69" w:rsidRDefault="00330118">
      <w:pPr>
        <w:spacing w:before="2" w:line="312" w:lineRule="auto"/>
        <w:ind w:left="100" w:right="104"/>
        <w:jc w:val="both"/>
        <w:rPr>
          <w:sz w:val="16"/>
        </w:rPr>
      </w:pPr>
      <w:r>
        <w:rPr>
          <w:sz w:val="16"/>
        </w:rPr>
        <w:t>ESPAÇO VITAL. MPF denuncia CSN e empresário Benjamin Steinbruch por crimes ambientais. 30 ago. 2006. Disponível em:</w:t>
      </w:r>
    </w:p>
    <w:p w:rsidR="00D81F69" w:rsidRDefault="00D81F69">
      <w:pPr>
        <w:spacing w:before="2" w:line="312" w:lineRule="auto"/>
        <w:ind w:left="100" w:right="109"/>
        <w:jc w:val="both"/>
        <w:rPr>
          <w:sz w:val="16"/>
        </w:rPr>
      </w:pPr>
      <w:hyperlink r:id="rId1510">
        <w:r w:rsidR="00330118">
          <w:rPr>
            <w:sz w:val="16"/>
          </w:rPr>
          <w:t>&lt;</w:t>
        </w:r>
        <w:r w:rsidR="00330118">
          <w:rPr>
            <w:sz w:val="16"/>
          </w:rPr>
          <w:t xml:space="preserve">http://www.espacovital.com.br/noticia_ler.php?id=4865&gt;. </w:t>
        </w:r>
      </w:hyperlink>
      <w:r w:rsidR="00330118">
        <w:rPr>
          <w:sz w:val="16"/>
        </w:rPr>
        <w:t>Acesso em: 20 set. 2012.</w:t>
      </w:r>
    </w:p>
    <w:p w:rsidR="00D81F69" w:rsidRDefault="00330118">
      <w:pPr>
        <w:spacing w:before="2"/>
        <w:ind w:left="100"/>
        <w:jc w:val="both"/>
        <w:rPr>
          <w:sz w:val="16"/>
        </w:rPr>
      </w:pPr>
      <w:r>
        <w:rPr>
          <w:sz w:val="16"/>
        </w:rPr>
        <w:t>GIODA, Adriana; SALESC, José A.; CAVALCANTI, Paulina M. S.;</w:t>
      </w:r>
    </w:p>
    <w:p w:rsidR="00D81F69" w:rsidRDefault="00330118">
      <w:pPr>
        <w:spacing w:before="56"/>
        <w:ind w:left="100"/>
        <w:jc w:val="both"/>
        <w:rPr>
          <w:sz w:val="16"/>
        </w:rPr>
      </w:pPr>
      <w:r>
        <w:rPr>
          <w:sz w:val="16"/>
        </w:rPr>
        <w:t>MAIAC, Marilza F.; MAIAD, Luiz F. P. G.; AQUINO NETO, Francisco</w:t>
      </w:r>
    </w:p>
    <w:p w:rsidR="00D81F69" w:rsidRDefault="00330118">
      <w:pPr>
        <w:spacing w:before="56" w:line="312" w:lineRule="auto"/>
        <w:ind w:left="100" w:right="107"/>
        <w:jc w:val="both"/>
        <w:rPr>
          <w:sz w:val="16"/>
        </w:rPr>
      </w:pPr>
      <w:r>
        <w:rPr>
          <w:sz w:val="16"/>
        </w:rPr>
        <w:t>R. J. Evaluation of Air Quality in Volta Redonda, t</w:t>
      </w:r>
      <w:r>
        <w:rPr>
          <w:sz w:val="16"/>
        </w:rPr>
        <w:t>he Main Metallurgical Industrial City in Brazil. Journal of the Brazilian Chemical Society, Rio de Janeiro, vol. 15, n. 6, 856-864, 2004. Disponível em:</w:t>
      </w:r>
    </w:p>
    <w:p w:rsidR="00D81F69" w:rsidRDefault="00D81F69">
      <w:pPr>
        <w:spacing w:before="2" w:line="312" w:lineRule="auto"/>
        <w:ind w:left="100" w:right="85"/>
        <w:jc w:val="both"/>
        <w:rPr>
          <w:sz w:val="16"/>
        </w:rPr>
      </w:pPr>
      <w:hyperlink r:id="rId1511">
        <w:r w:rsidR="00330118">
          <w:rPr>
            <w:sz w:val="16"/>
          </w:rPr>
          <w:t>&lt;http://www.scielo.br/scielo.php?pid=S0103-</w:t>
        </w:r>
        <w:r w:rsidR="00330118">
          <w:rPr>
            <w:sz w:val="16"/>
          </w:rPr>
          <w:t xml:space="preserve"> </w:t>
        </w:r>
      </w:hyperlink>
      <w:r w:rsidR="00330118">
        <w:rPr>
          <w:sz w:val="16"/>
        </w:rPr>
        <w:t>50532004000600012&amp;script=sci_arttext&gt;.  Acesso  em:  06  fev. 2013.</w:t>
      </w:r>
    </w:p>
    <w:p w:rsidR="00D81F69" w:rsidRDefault="00330118">
      <w:pPr>
        <w:spacing w:before="70" w:line="312" w:lineRule="auto"/>
        <w:ind w:left="100" w:right="186"/>
        <w:jc w:val="both"/>
        <w:rPr>
          <w:sz w:val="16"/>
        </w:rPr>
      </w:pPr>
      <w:r>
        <w:br w:type="column"/>
      </w:r>
      <w:r>
        <w:rPr>
          <w:sz w:val="16"/>
        </w:rPr>
        <w:lastRenderedPageBreak/>
        <w:t>GOMIDE, Raphael. CSN manteve quatro lixões tóxicos clandestinos por duas décadas. Site IG, 09 maio 2011. Disponível em:</w:t>
      </w:r>
    </w:p>
    <w:p w:rsidR="00D81F69" w:rsidRDefault="00D81F69">
      <w:pPr>
        <w:spacing w:before="1" w:line="312" w:lineRule="auto"/>
        <w:ind w:left="100" w:right="193"/>
        <w:jc w:val="both"/>
        <w:rPr>
          <w:sz w:val="16"/>
        </w:rPr>
      </w:pPr>
      <w:hyperlink r:id="rId1512">
        <w:r w:rsidR="00330118">
          <w:rPr>
            <w:sz w:val="16"/>
          </w:rPr>
          <w:t>&lt;http://ultimosegundo.ig.com.br/brasil/rj/csn+manteve+quatro+lixoes+t</w:t>
        </w:r>
      </w:hyperlink>
      <w:r w:rsidR="00330118">
        <w:rPr>
          <w:sz w:val="16"/>
        </w:rPr>
        <w:t xml:space="preserve"> oxicos+clandestinos+por+duas+decadas/n1596936119634.html&gt;. Acesso em: 20 set. 2012.</w:t>
      </w:r>
    </w:p>
    <w:p w:rsidR="00D81F69" w:rsidRDefault="00330118">
      <w:pPr>
        <w:spacing w:before="3" w:line="312" w:lineRule="auto"/>
        <w:ind w:left="100" w:right="197"/>
        <w:jc w:val="both"/>
        <w:rPr>
          <w:sz w:val="16"/>
        </w:rPr>
      </w:pPr>
      <w:r>
        <w:rPr>
          <w:sz w:val="16"/>
        </w:rPr>
        <w:t>_______. MP quer remoção de 750 famílias em área contaminada pela</w:t>
      </w:r>
      <w:r>
        <w:rPr>
          <w:spacing w:val="18"/>
          <w:sz w:val="16"/>
        </w:rPr>
        <w:t xml:space="preserve"> </w:t>
      </w:r>
      <w:r>
        <w:rPr>
          <w:sz w:val="16"/>
        </w:rPr>
        <w:t>CSN</w:t>
      </w:r>
      <w:r>
        <w:rPr>
          <w:spacing w:val="18"/>
          <w:sz w:val="16"/>
        </w:rPr>
        <w:t xml:space="preserve"> </w:t>
      </w:r>
      <w:r>
        <w:rPr>
          <w:sz w:val="16"/>
        </w:rPr>
        <w:t>em</w:t>
      </w:r>
      <w:r>
        <w:rPr>
          <w:spacing w:val="18"/>
          <w:sz w:val="16"/>
        </w:rPr>
        <w:t xml:space="preserve"> </w:t>
      </w:r>
      <w:r>
        <w:rPr>
          <w:sz w:val="16"/>
        </w:rPr>
        <w:t>V</w:t>
      </w:r>
      <w:r>
        <w:rPr>
          <w:sz w:val="16"/>
        </w:rPr>
        <w:t>olta</w:t>
      </w:r>
      <w:r>
        <w:rPr>
          <w:spacing w:val="18"/>
          <w:sz w:val="16"/>
        </w:rPr>
        <w:t xml:space="preserve"> </w:t>
      </w:r>
      <w:r>
        <w:rPr>
          <w:sz w:val="16"/>
        </w:rPr>
        <w:t>Redonda.</w:t>
      </w:r>
      <w:r>
        <w:rPr>
          <w:spacing w:val="18"/>
          <w:sz w:val="16"/>
        </w:rPr>
        <w:t xml:space="preserve"> </w:t>
      </w:r>
      <w:r>
        <w:rPr>
          <w:sz w:val="16"/>
        </w:rPr>
        <w:t>Site</w:t>
      </w:r>
      <w:r>
        <w:rPr>
          <w:spacing w:val="18"/>
          <w:sz w:val="16"/>
        </w:rPr>
        <w:t xml:space="preserve"> </w:t>
      </w:r>
      <w:r>
        <w:rPr>
          <w:sz w:val="16"/>
        </w:rPr>
        <w:t>IG,</w:t>
      </w:r>
      <w:r>
        <w:rPr>
          <w:spacing w:val="18"/>
          <w:sz w:val="16"/>
        </w:rPr>
        <w:t xml:space="preserve"> </w:t>
      </w:r>
      <w:r>
        <w:rPr>
          <w:sz w:val="16"/>
        </w:rPr>
        <w:t>14</w:t>
      </w:r>
      <w:r>
        <w:rPr>
          <w:spacing w:val="18"/>
          <w:sz w:val="16"/>
        </w:rPr>
        <w:t xml:space="preserve"> </w:t>
      </w:r>
      <w:r>
        <w:rPr>
          <w:sz w:val="16"/>
        </w:rPr>
        <w:t>set.</w:t>
      </w:r>
      <w:r>
        <w:rPr>
          <w:spacing w:val="18"/>
          <w:sz w:val="16"/>
        </w:rPr>
        <w:t xml:space="preserve"> </w:t>
      </w:r>
      <w:r>
        <w:rPr>
          <w:sz w:val="16"/>
        </w:rPr>
        <w:t>2012.</w:t>
      </w:r>
      <w:r>
        <w:rPr>
          <w:spacing w:val="18"/>
          <w:sz w:val="16"/>
        </w:rPr>
        <w:t xml:space="preserve"> </w:t>
      </w:r>
      <w:r>
        <w:rPr>
          <w:sz w:val="16"/>
        </w:rPr>
        <w:t>Disponível</w:t>
      </w:r>
      <w:r>
        <w:rPr>
          <w:spacing w:val="18"/>
          <w:sz w:val="16"/>
        </w:rPr>
        <w:t xml:space="preserve"> </w:t>
      </w:r>
      <w:r>
        <w:rPr>
          <w:sz w:val="16"/>
        </w:rPr>
        <w:t>em:</w:t>
      </w:r>
    </w:p>
    <w:p w:rsidR="00D81F69" w:rsidRDefault="00D81F69">
      <w:pPr>
        <w:spacing w:before="1" w:line="312" w:lineRule="auto"/>
        <w:ind w:left="100" w:right="206"/>
        <w:jc w:val="both"/>
        <w:rPr>
          <w:sz w:val="16"/>
        </w:rPr>
      </w:pPr>
      <w:hyperlink r:id="rId1513">
        <w:r w:rsidR="00330118">
          <w:rPr>
            <w:sz w:val="16"/>
          </w:rPr>
          <w:t>&lt;http://ultimosegundo.ig.com.br/brasil/rj/2012-09-14/mp-quer-</w:t>
        </w:r>
      </w:hyperlink>
      <w:r w:rsidR="00330118">
        <w:rPr>
          <w:sz w:val="16"/>
        </w:rPr>
        <w:t xml:space="preserve"> remocao-de-750-familias-em-area-contaminada-pela-csn-em-volta- r</w:t>
      </w:r>
      <w:r w:rsidR="00330118">
        <w:rPr>
          <w:sz w:val="16"/>
        </w:rPr>
        <w:t>edonda.html&gt;. Acesso em: 20 set. 2012.</w:t>
      </w:r>
    </w:p>
    <w:p w:rsidR="00D81F69" w:rsidRDefault="00330118">
      <w:pPr>
        <w:spacing w:before="3" w:line="312" w:lineRule="auto"/>
        <w:ind w:left="100" w:right="169"/>
        <w:jc w:val="both"/>
        <w:rPr>
          <w:sz w:val="16"/>
        </w:rPr>
      </w:pPr>
      <w:r>
        <w:rPr>
          <w:sz w:val="16"/>
        </w:rPr>
        <w:t xml:space="preserve">IBGE, Instituto Brasileiro de Geografia e Estatística. Volta Redonda </w:t>
      </w:r>
      <w:r>
        <w:rPr>
          <w:spacing w:val="20"/>
          <w:sz w:val="16"/>
        </w:rPr>
        <w:t xml:space="preserve">(RJ). </w:t>
      </w:r>
      <w:r>
        <w:rPr>
          <w:spacing w:val="17"/>
          <w:sz w:val="16"/>
        </w:rPr>
        <w:t xml:space="preserve">In: </w:t>
      </w:r>
      <w:r>
        <w:rPr>
          <w:spacing w:val="20"/>
          <w:sz w:val="16"/>
        </w:rPr>
        <w:t xml:space="preserve">IBGE </w:t>
      </w:r>
      <w:r>
        <w:rPr>
          <w:spacing w:val="22"/>
          <w:sz w:val="16"/>
        </w:rPr>
        <w:t xml:space="preserve">Cidades, </w:t>
      </w:r>
      <w:r>
        <w:rPr>
          <w:spacing w:val="20"/>
          <w:sz w:val="16"/>
        </w:rPr>
        <w:t>2010.</w:t>
      </w:r>
      <w:r>
        <w:rPr>
          <w:spacing w:val="85"/>
          <w:sz w:val="16"/>
        </w:rPr>
        <w:t xml:space="preserve"> </w:t>
      </w:r>
      <w:r>
        <w:rPr>
          <w:spacing w:val="23"/>
          <w:sz w:val="16"/>
        </w:rPr>
        <w:t>Disponível</w:t>
      </w:r>
      <w:r>
        <w:rPr>
          <w:spacing w:val="22"/>
          <w:sz w:val="16"/>
        </w:rPr>
        <w:t xml:space="preserve"> </w:t>
      </w:r>
      <w:r>
        <w:rPr>
          <w:spacing w:val="17"/>
          <w:sz w:val="16"/>
        </w:rPr>
        <w:t>em:</w:t>
      </w:r>
      <w:r>
        <w:rPr>
          <w:spacing w:val="-17"/>
          <w:sz w:val="16"/>
        </w:rPr>
        <w:t xml:space="preserve"> </w:t>
      </w:r>
    </w:p>
    <w:p w:rsidR="00D81F69" w:rsidRDefault="00D81F69">
      <w:pPr>
        <w:spacing w:before="1"/>
        <w:ind w:left="100"/>
        <w:jc w:val="both"/>
        <w:rPr>
          <w:sz w:val="16"/>
        </w:rPr>
      </w:pPr>
      <w:hyperlink r:id="rId1514">
        <w:r w:rsidR="00330118">
          <w:rPr>
            <w:sz w:val="16"/>
          </w:rPr>
          <w:t>&lt;</w:t>
        </w:r>
        <w:r w:rsidR="00330118">
          <w:rPr>
            <w:sz w:val="16"/>
          </w:rPr>
          <w:t>http://www.ibge.gov.br/cidadesat/painel/painel.php?codmun=330630</w:t>
        </w:r>
      </w:hyperlink>
    </w:p>
    <w:p w:rsidR="00D81F69" w:rsidRDefault="00330118">
      <w:pPr>
        <w:spacing w:before="56"/>
        <w:ind w:left="100"/>
        <w:jc w:val="both"/>
        <w:rPr>
          <w:sz w:val="16"/>
        </w:rPr>
      </w:pPr>
      <w:r>
        <w:rPr>
          <w:sz w:val="16"/>
        </w:rPr>
        <w:t>&gt;. Acesso em: 20 set. 2012.</w:t>
      </w:r>
    </w:p>
    <w:p w:rsidR="00D81F69" w:rsidRDefault="00330118">
      <w:pPr>
        <w:spacing w:before="56" w:line="312" w:lineRule="auto"/>
        <w:ind w:left="100" w:right="192"/>
        <w:jc w:val="both"/>
        <w:rPr>
          <w:sz w:val="16"/>
        </w:rPr>
      </w:pPr>
      <w:r>
        <w:rPr>
          <w:sz w:val="16"/>
        </w:rPr>
        <w:t>MAGRO, Maíra. MPF processa CSN por contaminação de solo em Volta Redonda. Valor Econômico, 05 jul. 2012. Disponível em:</w:t>
      </w:r>
    </w:p>
    <w:p w:rsidR="00D81F69" w:rsidRDefault="00D81F69">
      <w:pPr>
        <w:spacing w:before="2" w:line="312" w:lineRule="auto"/>
        <w:ind w:left="100" w:right="184"/>
        <w:jc w:val="both"/>
        <w:rPr>
          <w:sz w:val="16"/>
        </w:rPr>
      </w:pPr>
      <w:hyperlink r:id="rId1515">
        <w:r w:rsidR="00330118">
          <w:rPr>
            <w:sz w:val="16"/>
          </w:rPr>
          <w:t>&lt;http://www.valor.com.br/empresas/2740264/mpf-processa-csn-por-</w:t>
        </w:r>
      </w:hyperlink>
      <w:r w:rsidR="00330118">
        <w:rPr>
          <w:sz w:val="16"/>
        </w:rPr>
        <w:t xml:space="preserve"> contaminacao-de-solo-em-volta-redonda&gt;. Acesso em: 20 set. 2012. MOREIRA, Paulo. CSN estuda instalar duas empresas em Volta Redonda,  Diário  do   Vale,  1</w:t>
      </w:r>
      <w:r w:rsidR="00330118">
        <w:rPr>
          <w:sz w:val="16"/>
        </w:rPr>
        <w:t xml:space="preserve">1   set.  2012.    Disponível em: </w:t>
      </w:r>
    </w:p>
    <w:p w:rsidR="00D81F69" w:rsidRDefault="00D81F69">
      <w:pPr>
        <w:spacing w:before="3" w:line="312" w:lineRule="auto"/>
        <w:ind w:left="100" w:right="213"/>
        <w:jc w:val="both"/>
        <w:rPr>
          <w:sz w:val="16"/>
        </w:rPr>
      </w:pPr>
      <w:hyperlink r:id="rId1516">
        <w:r w:rsidR="00330118">
          <w:rPr>
            <w:sz w:val="16"/>
          </w:rPr>
          <w:t>&lt;http://diariodovale.uol.com.br/noticias/0,62844,CSN-estuda-instalar-</w:t>
        </w:r>
      </w:hyperlink>
      <w:r w:rsidR="00330118">
        <w:rPr>
          <w:sz w:val="16"/>
        </w:rPr>
        <w:t xml:space="preserve"> duas-empresas-em-Volta-Redonda.html#axzz26sTdIVGi&gt;. Acesso em</w:t>
      </w:r>
      <w:r w:rsidR="00330118">
        <w:rPr>
          <w:sz w:val="16"/>
        </w:rPr>
        <w:t>: 20 set. 2012.</w:t>
      </w:r>
    </w:p>
    <w:p w:rsidR="00D81F69" w:rsidRDefault="00330118">
      <w:pPr>
        <w:spacing w:before="3" w:line="312" w:lineRule="auto"/>
        <w:ind w:left="100" w:right="192"/>
        <w:jc w:val="both"/>
        <w:rPr>
          <w:sz w:val="16"/>
        </w:rPr>
      </w:pPr>
      <w:r>
        <w:rPr>
          <w:sz w:val="16"/>
        </w:rPr>
        <w:t>MPF, Ministério Público Federal. Acidente mostra falha de siderúrgica na prevenção de riscos ambientais. jan., 2010. Disponível em:</w:t>
      </w:r>
    </w:p>
    <w:p w:rsidR="00D81F69" w:rsidRDefault="00D81F69">
      <w:pPr>
        <w:spacing w:before="2" w:line="312" w:lineRule="auto"/>
        <w:ind w:left="100" w:right="198"/>
        <w:jc w:val="both"/>
        <w:rPr>
          <w:sz w:val="16"/>
        </w:rPr>
      </w:pPr>
      <w:hyperlink r:id="rId1517">
        <w:r w:rsidR="00330118">
          <w:rPr>
            <w:sz w:val="16"/>
          </w:rPr>
          <w:t>&lt;http://www.carneleg</w:t>
        </w:r>
        <w:r w:rsidR="00330118">
          <w:rPr>
            <w:sz w:val="16"/>
          </w:rPr>
          <w:t>al.mpf.gov.br/noticias/noticias_new/noticias/notici</w:t>
        </w:r>
      </w:hyperlink>
      <w:r w:rsidR="00330118">
        <w:rPr>
          <w:sz w:val="16"/>
        </w:rPr>
        <w:t xml:space="preserve"> as-do-site/copy_of_meio-ambiente-e-patrimonio-cultural/mpf-rj-quer- que-csn-apure-contaminacao-em-volta-redonda&gt;. Acesso em: 20 set. 2012.</w:t>
      </w:r>
    </w:p>
    <w:p w:rsidR="00D81F69" w:rsidRDefault="00330118">
      <w:pPr>
        <w:spacing w:before="3" w:line="312" w:lineRule="auto"/>
        <w:ind w:left="100" w:right="198"/>
        <w:jc w:val="both"/>
        <w:rPr>
          <w:sz w:val="16"/>
        </w:rPr>
      </w:pPr>
      <w:r>
        <w:rPr>
          <w:sz w:val="16"/>
        </w:rPr>
        <w:t>NITAHARA, Akemi. Ministério Público do Rio recusa TAC da CSN em p</w:t>
      </w:r>
      <w:r>
        <w:rPr>
          <w:sz w:val="16"/>
        </w:rPr>
        <w:t xml:space="preserve">rocesso de dano ambiental e à saúde. Agência Brasil, 17 set. 2012. Disponível em: </w:t>
      </w:r>
      <w:hyperlink r:id="rId1518">
        <w:r>
          <w:rPr>
            <w:sz w:val="16"/>
          </w:rPr>
          <w:t>&lt;http://agenciabrasil.ebc.com.br/noticia/2012-09-</w:t>
        </w:r>
      </w:hyperlink>
      <w:r>
        <w:rPr>
          <w:sz w:val="16"/>
        </w:rPr>
        <w:t xml:space="preserve"> 17/ministerio-publico-do-rio-recusa-tac-da-csn-em-processo</w:t>
      </w:r>
      <w:r>
        <w:rPr>
          <w:sz w:val="16"/>
        </w:rPr>
        <w:t>-de-dano- ambiental-e-saude&gt;. Acesso em: 20 set. 2012.</w:t>
      </w:r>
    </w:p>
    <w:p w:rsidR="00D81F69" w:rsidRDefault="00330118">
      <w:pPr>
        <w:spacing w:before="4" w:line="312" w:lineRule="auto"/>
        <w:ind w:left="100" w:right="198"/>
        <w:jc w:val="both"/>
        <w:rPr>
          <w:sz w:val="16"/>
        </w:rPr>
      </w:pPr>
      <w:r>
        <w:rPr>
          <w:sz w:val="16"/>
        </w:rPr>
        <w:t>PEITER, Paulo; TOBAR, Carlos. Poluição do ar e condições de vida: uma análise geográfica de riscos à saúde em Volta Redonda, Rio de Janeiro, Brasil. Saúde Pública, Rio de Janeiro, 14(3):473-485, jul-se</w:t>
      </w:r>
      <w:r>
        <w:rPr>
          <w:sz w:val="16"/>
        </w:rPr>
        <w:t>t,</w:t>
      </w:r>
    </w:p>
    <w:p w:rsidR="00D81F69" w:rsidRDefault="00330118">
      <w:pPr>
        <w:tabs>
          <w:tab w:val="left" w:pos="1785"/>
          <w:tab w:val="left" w:pos="4548"/>
        </w:tabs>
        <w:spacing w:before="2"/>
        <w:ind w:left="100"/>
        <w:jc w:val="both"/>
        <w:rPr>
          <w:sz w:val="16"/>
        </w:rPr>
      </w:pPr>
      <w:r>
        <w:rPr>
          <w:sz w:val="16"/>
        </w:rPr>
        <w:t xml:space="preserve">1   9   9  </w:t>
      </w:r>
      <w:r>
        <w:rPr>
          <w:spacing w:val="35"/>
          <w:sz w:val="16"/>
        </w:rPr>
        <w:t xml:space="preserve"> </w:t>
      </w:r>
      <w:r>
        <w:rPr>
          <w:sz w:val="16"/>
        </w:rPr>
        <w:t xml:space="preserve">8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08"/>
        <w:jc w:val="both"/>
        <w:rPr>
          <w:sz w:val="16"/>
        </w:rPr>
      </w:pPr>
      <w:hyperlink r:id="rId1519">
        <w:r w:rsidR="00330118">
          <w:rPr>
            <w:sz w:val="16"/>
          </w:rPr>
          <w:t>&lt;http://www.scielosp.org/pdf/csp/v14n3/0083.pdf&gt;.</w:t>
        </w:r>
      </w:hyperlink>
      <w:r w:rsidR="00330118">
        <w:rPr>
          <w:sz w:val="16"/>
        </w:rPr>
        <w:t xml:space="preserve"> Acesso em 06/02/2013.</w:t>
      </w:r>
    </w:p>
    <w:p w:rsidR="00D81F69" w:rsidRDefault="00330118">
      <w:pPr>
        <w:spacing w:before="2" w:line="312" w:lineRule="auto"/>
        <w:ind w:left="100" w:right="190"/>
        <w:jc w:val="both"/>
        <w:rPr>
          <w:sz w:val="16"/>
        </w:rPr>
      </w:pPr>
      <w:r>
        <w:rPr>
          <w:sz w:val="16"/>
        </w:rPr>
        <w:t>TEIXEIRA, Ricardo. Impactos Ambientais da CSN no Rio Paraíba do Sul. Blog O Rio Paraíba e CSN, 3 jul. 2011. Disponível em:</w:t>
      </w:r>
    </w:p>
    <w:p w:rsidR="00D81F69" w:rsidRDefault="00D81F69">
      <w:pPr>
        <w:spacing w:before="2" w:line="312" w:lineRule="auto"/>
        <w:ind w:left="100" w:right="216"/>
        <w:jc w:val="both"/>
        <w:rPr>
          <w:sz w:val="16"/>
        </w:rPr>
      </w:pPr>
      <w:hyperlink r:id="rId1520">
        <w:r w:rsidR="00330118">
          <w:rPr>
            <w:sz w:val="16"/>
          </w:rPr>
          <w:t>&lt;</w:t>
        </w:r>
        <w:r w:rsidR="00330118">
          <w:rPr>
            <w:sz w:val="16"/>
          </w:rPr>
          <w:t>http://rioparaibaecsn.blogspot.com.br/2011/07/impactos-ambientais-</w:t>
        </w:r>
      </w:hyperlink>
      <w:r w:rsidR="00330118">
        <w:rPr>
          <w:sz w:val="16"/>
        </w:rPr>
        <w:t xml:space="preserve"> da-csn-no-rio.html&gt;. Acesso em: 20 set. 2012.</w:t>
      </w:r>
    </w:p>
    <w:p w:rsidR="00D81F69" w:rsidRDefault="00330118">
      <w:pPr>
        <w:spacing w:before="1" w:line="312" w:lineRule="auto"/>
        <w:ind w:left="100" w:right="197"/>
        <w:jc w:val="both"/>
        <w:rPr>
          <w:sz w:val="16"/>
        </w:rPr>
      </w:pPr>
      <w:r>
        <w:rPr>
          <w:sz w:val="16"/>
        </w:rPr>
        <w:t xml:space="preserve">WERNECK, Antônio; SOUZA, Dicler de Melo e. MP processa </w:t>
      </w:r>
      <w:r>
        <w:rPr>
          <w:spacing w:val="1"/>
          <w:sz w:val="16"/>
        </w:rPr>
        <w:t xml:space="preserve">CSN </w:t>
      </w:r>
      <w:r>
        <w:rPr>
          <w:sz w:val="16"/>
        </w:rPr>
        <w:t>por</w:t>
      </w:r>
      <w:r>
        <w:rPr>
          <w:spacing w:val="17"/>
          <w:sz w:val="16"/>
        </w:rPr>
        <w:t xml:space="preserve"> </w:t>
      </w:r>
      <w:r>
        <w:rPr>
          <w:sz w:val="16"/>
        </w:rPr>
        <w:t>danos</w:t>
      </w:r>
      <w:r>
        <w:rPr>
          <w:spacing w:val="17"/>
          <w:sz w:val="16"/>
        </w:rPr>
        <w:t xml:space="preserve"> </w:t>
      </w:r>
      <w:r>
        <w:rPr>
          <w:sz w:val="16"/>
        </w:rPr>
        <w:t>ao</w:t>
      </w:r>
      <w:r>
        <w:rPr>
          <w:spacing w:val="17"/>
          <w:sz w:val="16"/>
        </w:rPr>
        <w:t xml:space="preserve"> </w:t>
      </w:r>
      <w:r>
        <w:rPr>
          <w:sz w:val="16"/>
        </w:rPr>
        <w:t>meio</w:t>
      </w:r>
      <w:r>
        <w:rPr>
          <w:spacing w:val="17"/>
          <w:sz w:val="16"/>
        </w:rPr>
        <w:t xml:space="preserve"> </w:t>
      </w:r>
      <w:r>
        <w:rPr>
          <w:sz w:val="16"/>
        </w:rPr>
        <w:t>ambiente.</w:t>
      </w:r>
      <w:r>
        <w:rPr>
          <w:spacing w:val="17"/>
          <w:sz w:val="16"/>
        </w:rPr>
        <w:t xml:space="preserve"> </w:t>
      </w:r>
      <w:r>
        <w:rPr>
          <w:sz w:val="16"/>
        </w:rPr>
        <w:t>O</w:t>
      </w:r>
      <w:r>
        <w:rPr>
          <w:spacing w:val="17"/>
          <w:sz w:val="16"/>
        </w:rPr>
        <w:t xml:space="preserve"> </w:t>
      </w:r>
      <w:r>
        <w:rPr>
          <w:sz w:val="16"/>
        </w:rPr>
        <w:t>Globo,</w:t>
      </w:r>
      <w:r>
        <w:rPr>
          <w:spacing w:val="17"/>
          <w:sz w:val="16"/>
        </w:rPr>
        <w:t xml:space="preserve"> </w:t>
      </w:r>
      <w:r>
        <w:rPr>
          <w:sz w:val="16"/>
        </w:rPr>
        <w:t>05</w:t>
      </w:r>
      <w:r>
        <w:rPr>
          <w:spacing w:val="17"/>
          <w:sz w:val="16"/>
        </w:rPr>
        <w:t xml:space="preserve"> </w:t>
      </w:r>
      <w:r>
        <w:rPr>
          <w:sz w:val="16"/>
        </w:rPr>
        <w:t>jul.</w:t>
      </w:r>
      <w:r>
        <w:rPr>
          <w:spacing w:val="17"/>
          <w:sz w:val="16"/>
        </w:rPr>
        <w:t xml:space="preserve"> </w:t>
      </w:r>
      <w:r>
        <w:rPr>
          <w:sz w:val="16"/>
        </w:rPr>
        <w:t>2012.</w:t>
      </w:r>
      <w:r>
        <w:rPr>
          <w:spacing w:val="17"/>
          <w:sz w:val="16"/>
        </w:rPr>
        <w:t xml:space="preserve"> </w:t>
      </w:r>
      <w:r>
        <w:rPr>
          <w:sz w:val="16"/>
        </w:rPr>
        <w:t>Disponível</w:t>
      </w:r>
      <w:r>
        <w:rPr>
          <w:spacing w:val="17"/>
          <w:sz w:val="16"/>
        </w:rPr>
        <w:t xml:space="preserve"> </w:t>
      </w:r>
      <w:r>
        <w:rPr>
          <w:sz w:val="16"/>
        </w:rPr>
        <w:t>em:</w:t>
      </w:r>
    </w:p>
    <w:p w:rsidR="00D81F69" w:rsidRDefault="00D81F69">
      <w:pPr>
        <w:spacing w:before="2" w:line="312" w:lineRule="auto"/>
        <w:ind w:left="100" w:right="212"/>
        <w:jc w:val="both"/>
        <w:rPr>
          <w:sz w:val="16"/>
        </w:rPr>
      </w:pPr>
      <w:hyperlink r:id="rId1521">
        <w:r w:rsidR="00330118">
          <w:rPr>
            <w:sz w:val="16"/>
          </w:rPr>
          <w:t>&lt;http://oglobo.globo.com/rio/mp-processa-csn-por-danos-ao-meio-</w:t>
        </w:r>
      </w:hyperlink>
      <w:r w:rsidR="00330118">
        <w:rPr>
          <w:sz w:val="16"/>
        </w:rPr>
        <w:t xml:space="preserve"> ambiente-5399837&gt;. Acesso em: 20 set. 2012.</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221" w:space="249"/>
            <w:col w:w="5310"/>
          </w:cols>
        </w:sectPr>
      </w:pPr>
    </w:p>
    <w:p w:rsidR="00D81F69" w:rsidRDefault="00330118">
      <w:pPr>
        <w:pStyle w:val="Heading1"/>
        <w:tabs>
          <w:tab w:val="left" w:pos="2598"/>
          <w:tab w:val="left" w:pos="2643"/>
          <w:tab w:val="left" w:pos="3333"/>
          <w:tab w:val="left" w:pos="3640"/>
          <w:tab w:val="left" w:pos="4750"/>
          <w:tab w:val="left" w:pos="4858"/>
          <w:tab w:val="left" w:pos="6013"/>
          <w:tab w:val="left" w:pos="6056"/>
          <w:tab w:val="left" w:pos="6815"/>
          <w:tab w:val="left" w:pos="7793"/>
          <w:tab w:val="left" w:pos="10049"/>
        </w:tabs>
        <w:spacing w:line="208" w:lineRule="auto"/>
        <w:ind w:right="199"/>
      </w:pPr>
      <w:r>
        <w:rPr>
          <w:spacing w:val="17"/>
        </w:rPr>
        <w:lastRenderedPageBreak/>
        <w:t>Exploração</w:t>
      </w:r>
      <w:r>
        <w:rPr>
          <w:spacing w:val="17"/>
        </w:rPr>
        <w:tab/>
      </w:r>
      <w:r>
        <w:rPr>
          <w:spacing w:val="17"/>
        </w:rPr>
        <w:tab/>
      </w:r>
      <w:r>
        <w:rPr>
          <w:spacing w:val="10"/>
        </w:rPr>
        <w:t>de</w:t>
      </w:r>
      <w:r>
        <w:rPr>
          <w:spacing w:val="10"/>
        </w:rPr>
        <w:tab/>
      </w:r>
      <w:r>
        <w:rPr>
          <w:spacing w:val="15"/>
        </w:rPr>
        <w:t>terras</w:t>
      </w:r>
      <w:r>
        <w:rPr>
          <w:spacing w:val="15"/>
        </w:rPr>
        <w:tab/>
        <w:t>raras</w:t>
      </w:r>
      <w:r>
        <w:rPr>
          <w:spacing w:val="15"/>
        </w:rPr>
        <w:tab/>
      </w:r>
      <w:r>
        <w:rPr>
          <w:spacing w:val="10"/>
        </w:rPr>
        <w:t>em</w:t>
      </w:r>
      <w:r>
        <w:rPr>
          <w:spacing w:val="10"/>
        </w:rPr>
        <w:tab/>
      </w:r>
      <w:r>
        <w:rPr>
          <w:spacing w:val="12"/>
        </w:rPr>
        <w:t>São</w:t>
      </w:r>
      <w:r>
        <w:rPr>
          <w:spacing w:val="12"/>
        </w:rPr>
        <w:tab/>
      </w:r>
      <w:r>
        <w:rPr>
          <w:spacing w:val="16"/>
        </w:rPr>
        <w:t>Francisco</w:t>
      </w:r>
      <w:r>
        <w:rPr>
          <w:spacing w:val="16"/>
        </w:rPr>
        <w:tab/>
      </w:r>
      <w:r>
        <w:rPr>
          <w:spacing w:val="20"/>
        </w:rPr>
        <w:t xml:space="preserve">do </w:t>
      </w:r>
      <w:r>
        <w:rPr>
          <w:spacing w:val="17"/>
        </w:rPr>
        <w:t>Itabapoan</w:t>
      </w:r>
      <w:r>
        <w:rPr>
          <w:spacing w:val="17"/>
        </w:rPr>
        <w:t>a</w:t>
      </w:r>
      <w:r>
        <w:rPr>
          <w:spacing w:val="17"/>
        </w:rPr>
        <w:tab/>
      </w:r>
      <w:r>
        <w:rPr>
          <w:spacing w:val="15"/>
        </w:rPr>
        <w:t>(RJ)</w:t>
      </w:r>
      <w:r>
        <w:rPr>
          <w:spacing w:val="15"/>
        </w:rPr>
        <w:tab/>
        <w:t>afeta</w:t>
      </w:r>
      <w:r>
        <w:rPr>
          <w:spacing w:val="15"/>
        </w:rPr>
        <w:tab/>
      </w:r>
      <w:r>
        <w:rPr>
          <w:spacing w:val="15"/>
        </w:rPr>
        <w:tab/>
        <w:t>meio</w:t>
      </w:r>
      <w:r>
        <w:rPr>
          <w:spacing w:val="15"/>
        </w:rPr>
        <w:tab/>
      </w:r>
      <w:r>
        <w:rPr>
          <w:spacing w:val="15"/>
        </w:rPr>
        <w:tab/>
      </w:r>
      <w:r>
        <w:rPr>
          <w:spacing w:val="20"/>
        </w:rPr>
        <w:t>ambiente</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20"/>
        <w:rPr>
          <w:i/>
          <w:sz w:val="14"/>
        </w:rPr>
      </w:pPr>
      <w:r>
        <w:rPr>
          <w:i/>
          <w:sz w:val="14"/>
        </w:rPr>
        <w:t>RJ - São Francisco de Itabapoana</w:t>
      </w:r>
    </w:p>
    <w:p w:rsidR="00D81F69" w:rsidRDefault="00D81F69">
      <w:pPr>
        <w:pStyle w:val="Corpodetexto"/>
        <w:spacing w:before="4"/>
        <w:ind w:left="0"/>
        <w:jc w:val="left"/>
        <w:rPr>
          <w:i/>
        </w:rPr>
      </w:pPr>
    </w:p>
    <w:p w:rsidR="00D81F69" w:rsidRDefault="00330118">
      <w:pPr>
        <w:spacing w:before="1"/>
        <w:ind w:left="135"/>
        <w:rPr>
          <w:i/>
          <w:sz w:val="14"/>
        </w:rPr>
      </w:pPr>
      <w:r>
        <w:rPr>
          <w:i/>
          <w:sz w:val="14"/>
        </w:rPr>
        <w:t>LATITUDE</w:t>
      </w:r>
    </w:p>
    <w:p w:rsidR="00D81F69" w:rsidRDefault="00330118">
      <w:pPr>
        <w:spacing w:before="49"/>
        <w:ind w:left="135"/>
        <w:rPr>
          <w:i/>
          <w:sz w:val="14"/>
        </w:rPr>
      </w:pPr>
      <w:r>
        <w:rPr>
          <w:i/>
          <w:sz w:val="14"/>
        </w:rPr>
        <w:t>-21,45833333</w:t>
      </w:r>
    </w:p>
    <w:p w:rsidR="00D81F69" w:rsidRDefault="00D81F69">
      <w:pPr>
        <w:pStyle w:val="Corpodetexto"/>
        <w:spacing w:before="5"/>
        <w:ind w:left="0"/>
        <w:jc w:val="left"/>
        <w:rPr>
          <w:i/>
          <w:sz w:val="22"/>
        </w:rPr>
      </w:pPr>
    </w:p>
    <w:p w:rsidR="00D81F69" w:rsidRDefault="00330118">
      <w:pPr>
        <w:spacing w:before="1"/>
        <w:ind w:left="135"/>
        <w:rPr>
          <w:i/>
          <w:sz w:val="14"/>
        </w:rPr>
      </w:pPr>
      <w:r>
        <w:rPr>
          <w:i/>
          <w:sz w:val="14"/>
        </w:rPr>
        <w:t>LONGITUDE</w:t>
      </w:r>
    </w:p>
    <w:p w:rsidR="00D81F69" w:rsidRDefault="00330118">
      <w:pPr>
        <w:spacing w:before="49"/>
        <w:ind w:left="135"/>
        <w:rPr>
          <w:i/>
          <w:sz w:val="14"/>
        </w:rPr>
      </w:pPr>
      <w:r>
        <w:rPr>
          <w:i/>
          <w:sz w:val="14"/>
        </w:rPr>
        <w:t>-41,041666</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3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rPr>
          <w:i/>
          <w:sz w:val="16"/>
        </w:rPr>
      </w:pPr>
      <w:r>
        <w:rPr>
          <w:i/>
          <w:sz w:val="16"/>
        </w:rPr>
        <w:t xml:space="preserve">A localidade de Buena, em São Francisco de Itabapoana, no norte </w:t>
      </w:r>
      <w:r>
        <w:rPr>
          <w:i/>
          <w:sz w:val="16"/>
        </w:rPr>
        <w:t>fluminense, é conhecida por possuir uma das maiores reservas de monazita do Brasil. Atualmente, as reservas de Buena encontram-se esgotadas, mas, durante décadas, foram exploradas pelas Indústrias Nucleares do Brasil (INB) e suas antecessoras. Ambientalist</w:t>
      </w:r>
      <w:r>
        <w:rPr>
          <w:i/>
          <w:sz w:val="16"/>
        </w:rPr>
        <w:t xml:space="preserve">as as apontam como responsáveis por diversos impactos socioambientais na localidade e arredores. </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3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ind w:left="135"/>
        <w:jc w:val="left"/>
      </w:pPr>
      <w:r>
        <w:t>2005).</w:t>
      </w:r>
    </w:p>
    <w:p w:rsidR="00D81F69" w:rsidRDefault="00D81F69">
      <w:pPr>
        <w:pStyle w:val="Corpodetexto"/>
        <w:spacing w:before="8"/>
        <w:ind w:left="0"/>
        <w:jc w:val="left"/>
        <w:rPr>
          <w:sz w:val="16"/>
        </w:rPr>
      </w:pPr>
    </w:p>
    <w:p w:rsidR="00D81F69" w:rsidRDefault="00330118">
      <w:pPr>
        <w:pStyle w:val="Corpodetexto"/>
        <w:spacing w:before="1" w:line="312" w:lineRule="auto"/>
        <w:ind w:left="135" w:right="188"/>
      </w:pPr>
      <w:r>
        <w:t>Fazendo um breve histórico, o início da produção de terras raras no país ocorreu, no final da década de 1940, com a Usina Santo Amaro (Usam), pertencente a Indústrias Químicas Reunidas S.A. (Orquimia), localizada na cidade de São Paulo (SP). A produção era</w:t>
      </w:r>
      <w:r>
        <w:t xml:space="preserve"> realizada a partir da monazita vinda da Usina de Praia (Upra), pertencente à Sociedade Comercial de Minérios Ltda. (Sulba), localizada em Buena, no município de São Francisco de Itabapoana, no norte do estado do Rio de Janeiro (ROSENTAL, 2008), conhecida </w:t>
      </w:r>
      <w:r>
        <w:t>por possuir uma das maiores reservas de monazita do Brasil (LAURIA; ALMEIDA, 2005).</w:t>
      </w:r>
    </w:p>
    <w:p w:rsidR="00D81F69" w:rsidRDefault="00330118">
      <w:pPr>
        <w:pStyle w:val="Corpodetexto"/>
        <w:spacing w:before="77" w:line="270" w:lineRule="atLeast"/>
        <w:ind w:left="135" w:right="195"/>
      </w:pPr>
      <w:r>
        <w:t>Em 1960, devido à descoberta de urânio e tório na monazita, a Sulba foi estatizada e suas atividades foram assumidas pela</w:t>
      </w:r>
    </w:p>
    <w:p w:rsidR="00D81F69" w:rsidRDefault="00D81F69">
      <w:pPr>
        <w:spacing w:line="270" w:lineRule="atLeast"/>
        <w:sectPr w:rsidR="00D81F69">
          <w:type w:val="continuous"/>
          <w:pgSz w:w="11900" w:h="16840"/>
          <w:pgMar w:top="720" w:right="500" w:bottom="280" w:left="620" w:header="720" w:footer="720" w:gutter="0"/>
          <w:cols w:num="3" w:space="720" w:equalWidth="0">
            <w:col w:w="1560" w:space="440"/>
            <w:col w:w="3144" w:space="291"/>
            <w:col w:w="5345"/>
          </w:cols>
        </w:sectPr>
      </w:pPr>
    </w:p>
    <w:p w:rsidR="00D81F69" w:rsidRDefault="00330118">
      <w:pPr>
        <w:pStyle w:val="Heading4"/>
        <w:spacing w:line="203" w:lineRule="exact"/>
      </w:pPr>
      <w:r>
        <w:lastRenderedPageBreak/>
        <w:t>APRESENTAÇÃO DE CA</w:t>
      </w:r>
      <w:r>
        <w:t>SO</w:t>
      </w:r>
    </w:p>
    <w:p w:rsidR="00D81F69" w:rsidRDefault="00330118">
      <w:pPr>
        <w:pStyle w:val="Corpodetexto"/>
        <w:spacing w:before="170" w:line="312" w:lineRule="auto"/>
        <w:ind w:right="38"/>
      </w:pPr>
      <w:r>
        <w:t xml:space="preserve">De acordo com estudo da consultoria Ernst &amp;Young (E&amp;Y), o volume movimentado pelo setor de terras raras deve passar de </w:t>
      </w:r>
      <w:r>
        <w:rPr>
          <w:spacing w:val="1"/>
        </w:rPr>
        <w:t xml:space="preserve">cerca </w:t>
      </w:r>
      <w:r>
        <w:t xml:space="preserve">de US$ 3 </w:t>
      </w:r>
      <w:r>
        <w:rPr>
          <w:spacing w:val="1"/>
        </w:rPr>
        <w:t xml:space="preserve">bilhões para algo entre </w:t>
      </w:r>
      <w:r>
        <w:t xml:space="preserve">US$ 4 e US$ 6 </w:t>
      </w:r>
      <w:r>
        <w:rPr>
          <w:spacing w:val="3"/>
        </w:rPr>
        <w:t xml:space="preserve">bilhões </w:t>
      </w:r>
      <w:r>
        <w:rPr>
          <w:spacing w:val="2"/>
        </w:rPr>
        <w:t xml:space="preserve">até </w:t>
      </w:r>
      <w:r>
        <w:rPr>
          <w:spacing w:val="3"/>
        </w:rPr>
        <w:t xml:space="preserve">2015. Segundo </w:t>
      </w:r>
      <w:r>
        <w:t xml:space="preserve">o </w:t>
      </w:r>
      <w:r>
        <w:rPr>
          <w:spacing w:val="3"/>
        </w:rPr>
        <w:t xml:space="preserve">estudo, </w:t>
      </w:r>
      <w:r>
        <w:rPr>
          <w:spacing w:val="1"/>
        </w:rPr>
        <w:t xml:space="preserve">há </w:t>
      </w:r>
      <w:r>
        <w:rPr>
          <w:spacing w:val="2"/>
        </w:rPr>
        <w:t xml:space="preserve">251 </w:t>
      </w:r>
      <w:r>
        <w:rPr>
          <w:spacing w:val="3"/>
        </w:rPr>
        <w:t xml:space="preserve">projetos </w:t>
      </w:r>
      <w:r>
        <w:rPr>
          <w:spacing w:val="5"/>
        </w:rPr>
        <w:t xml:space="preserve">de </w:t>
      </w:r>
      <w:r>
        <w:rPr>
          <w:spacing w:val="3"/>
        </w:rPr>
        <w:t xml:space="preserve">exploração </w:t>
      </w:r>
      <w:r>
        <w:rPr>
          <w:spacing w:val="1"/>
        </w:rPr>
        <w:t xml:space="preserve">de </w:t>
      </w:r>
      <w:r>
        <w:rPr>
          <w:spacing w:val="3"/>
        </w:rPr>
        <w:t>terras raras</w:t>
      </w:r>
      <w:r>
        <w:rPr>
          <w:spacing w:val="3"/>
        </w:rPr>
        <w:t xml:space="preserve"> </w:t>
      </w:r>
      <w:r>
        <w:rPr>
          <w:spacing w:val="1"/>
        </w:rPr>
        <w:t xml:space="preserve">em 24 </w:t>
      </w:r>
      <w:r>
        <w:rPr>
          <w:spacing w:val="3"/>
        </w:rPr>
        <w:t xml:space="preserve">países, </w:t>
      </w:r>
      <w:r>
        <w:rPr>
          <w:spacing w:val="2"/>
        </w:rPr>
        <w:t xml:space="preserve">além </w:t>
      </w:r>
      <w:r>
        <w:rPr>
          <w:spacing w:val="1"/>
        </w:rPr>
        <w:t xml:space="preserve">da </w:t>
      </w:r>
      <w:r>
        <w:rPr>
          <w:spacing w:val="5"/>
        </w:rPr>
        <w:t xml:space="preserve">China </w:t>
      </w:r>
      <w:r>
        <w:rPr>
          <w:spacing w:val="8"/>
        </w:rPr>
        <w:t xml:space="preserve">(BRASIL MINERAL, 2011c), </w:t>
      </w:r>
      <w:r>
        <w:rPr>
          <w:spacing w:val="10"/>
        </w:rPr>
        <w:t xml:space="preserve">responsável </w:t>
      </w:r>
      <w:r>
        <w:rPr>
          <w:spacing w:val="6"/>
        </w:rPr>
        <w:t xml:space="preserve">por 97% </w:t>
      </w:r>
      <w:r>
        <w:rPr>
          <w:spacing w:val="10"/>
        </w:rPr>
        <w:t xml:space="preserve">da </w:t>
      </w:r>
      <w:r>
        <w:rPr>
          <w:spacing w:val="7"/>
        </w:rPr>
        <w:t xml:space="preserve">produção mundial destes minérios (BRASIL </w:t>
      </w:r>
      <w:r>
        <w:rPr>
          <w:spacing w:val="10"/>
        </w:rPr>
        <w:t>MINERAL, 2011a).</w:t>
      </w:r>
    </w:p>
    <w:p w:rsidR="00D81F69" w:rsidRDefault="00330118">
      <w:pPr>
        <w:pStyle w:val="Corpodetexto"/>
        <w:spacing w:before="137" w:line="312" w:lineRule="auto"/>
        <w:ind w:right="39"/>
      </w:pPr>
      <w:r>
        <w:t>São chamados de terras raras 15 elementos químicos, constituídos pela família dos lantanídeos mais o ítrio (ROSENTAL, 200</w:t>
      </w:r>
      <w:r>
        <w:t>8), usados na indústria de alta tecnologia e também em baterias de alta performance de celulares e carros elétricos (BRASIL MINERAL, 2011c).</w:t>
      </w:r>
    </w:p>
    <w:p w:rsidR="00D81F69" w:rsidRDefault="00330118">
      <w:pPr>
        <w:pStyle w:val="Corpodetexto"/>
        <w:spacing w:before="135" w:line="312" w:lineRule="auto"/>
        <w:ind w:right="41"/>
      </w:pPr>
      <w:r>
        <w:t xml:space="preserve">Estes elementos são encontrados na natureza em vários tipos </w:t>
      </w:r>
      <w:r>
        <w:rPr>
          <w:spacing w:val="1"/>
        </w:rPr>
        <w:t xml:space="preserve">de </w:t>
      </w:r>
      <w:r>
        <w:rPr>
          <w:spacing w:val="3"/>
        </w:rPr>
        <w:t xml:space="preserve">minerais. </w:t>
      </w:r>
      <w:r>
        <w:rPr>
          <w:spacing w:val="2"/>
        </w:rPr>
        <w:t xml:space="preserve">Suas </w:t>
      </w:r>
      <w:r>
        <w:rPr>
          <w:spacing w:val="3"/>
        </w:rPr>
        <w:t xml:space="preserve">principais fontes </w:t>
      </w:r>
      <w:r>
        <w:rPr>
          <w:spacing w:val="2"/>
        </w:rPr>
        <w:t xml:space="preserve">são: </w:t>
      </w:r>
      <w:r>
        <w:rPr>
          <w:spacing w:val="3"/>
        </w:rPr>
        <w:t xml:space="preserve">bastnaesita; </w:t>
      </w:r>
      <w:r>
        <w:rPr>
          <w:spacing w:val="5"/>
        </w:rPr>
        <w:t>i</w:t>
      </w:r>
      <w:r>
        <w:rPr>
          <w:spacing w:val="5"/>
        </w:rPr>
        <w:t xml:space="preserve">on </w:t>
      </w:r>
      <w:r>
        <w:t xml:space="preserve">adsorption clays; xenotima; apatita; e monazita. No Brasil, o </w:t>
      </w:r>
      <w:r>
        <w:rPr>
          <w:spacing w:val="1"/>
        </w:rPr>
        <w:t xml:space="preserve">mineral utilizado industrialmente </w:t>
      </w:r>
      <w:r>
        <w:t xml:space="preserve">é a </w:t>
      </w:r>
      <w:r>
        <w:rPr>
          <w:spacing w:val="1"/>
        </w:rPr>
        <w:t xml:space="preserve">monazita </w:t>
      </w:r>
      <w:r>
        <w:t xml:space="preserve">- </w:t>
      </w:r>
      <w:r>
        <w:rPr>
          <w:spacing w:val="1"/>
        </w:rPr>
        <w:t xml:space="preserve">fosfato </w:t>
      </w:r>
      <w:r>
        <w:rPr>
          <w:spacing w:val="2"/>
        </w:rPr>
        <w:t xml:space="preserve">de </w:t>
      </w:r>
      <w:r>
        <w:rPr>
          <w:spacing w:val="8"/>
        </w:rPr>
        <w:t xml:space="preserve">terras raras, contendo </w:t>
      </w:r>
      <w:r>
        <w:rPr>
          <w:spacing w:val="7"/>
        </w:rPr>
        <w:t xml:space="preserve">tório </w:t>
      </w:r>
      <w:r>
        <w:t xml:space="preserve">e </w:t>
      </w:r>
      <w:hyperlink r:id="rId1522">
        <w:r>
          <w:rPr>
            <w:spacing w:val="8"/>
          </w:rPr>
          <w:t>urânio</w:t>
        </w:r>
      </w:hyperlink>
      <w:r>
        <w:rPr>
          <w:spacing w:val="8"/>
        </w:rPr>
        <w:t xml:space="preserve"> </w:t>
      </w:r>
      <w:r>
        <w:rPr>
          <w:spacing w:val="5"/>
        </w:rPr>
        <w:t xml:space="preserve">-, </w:t>
      </w:r>
      <w:r>
        <w:rPr>
          <w:spacing w:val="10"/>
        </w:rPr>
        <w:t xml:space="preserve">normalmente </w:t>
      </w:r>
      <w:r>
        <w:rPr>
          <w:spacing w:val="3"/>
        </w:rPr>
        <w:t xml:space="preserve">encontrada </w:t>
      </w:r>
      <w:r>
        <w:rPr>
          <w:spacing w:val="1"/>
        </w:rPr>
        <w:t xml:space="preserve">em </w:t>
      </w:r>
      <w:r>
        <w:rPr>
          <w:spacing w:val="3"/>
        </w:rPr>
        <w:t xml:space="preserve">placers marinhos, </w:t>
      </w:r>
      <w:r>
        <w:rPr>
          <w:spacing w:val="2"/>
        </w:rPr>
        <w:t xml:space="preserve">como </w:t>
      </w:r>
      <w:r>
        <w:rPr>
          <w:spacing w:val="3"/>
        </w:rPr>
        <w:t xml:space="preserve">areias </w:t>
      </w:r>
      <w:r>
        <w:rPr>
          <w:spacing w:val="1"/>
        </w:rPr>
        <w:t xml:space="preserve">de </w:t>
      </w:r>
      <w:r>
        <w:rPr>
          <w:spacing w:val="5"/>
        </w:rPr>
        <w:t xml:space="preserve">praias, </w:t>
      </w:r>
      <w:r>
        <w:t>paleopraias [territórios que geologicamente já foram praias], e deltas de rios. A monazita ocorre associada a outros minerais pesados, sendo os de valor comercial a ilmenita, a zirconita</w:t>
      </w:r>
      <w:r>
        <w:t xml:space="preserve"> e o rutilo. Os quatro são chamados de minerais pesados úteis (ROSENTAL,</w:t>
      </w:r>
      <w:r>
        <w:rPr>
          <w:spacing w:val="10"/>
        </w:rPr>
        <w:t xml:space="preserve"> </w:t>
      </w:r>
      <w:r>
        <w:t>2008).</w:t>
      </w:r>
    </w:p>
    <w:p w:rsidR="00D81F69" w:rsidRDefault="00330118">
      <w:pPr>
        <w:pStyle w:val="Corpodetexto"/>
        <w:spacing w:before="140" w:line="312" w:lineRule="auto"/>
        <w:ind w:right="48"/>
      </w:pPr>
      <w:r>
        <w:t xml:space="preserve">A </w:t>
      </w:r>
      <w:r>
        <w:rPr>
          <w:spacing w:val="10"/>
        </w:rPr>
        <w:t xml:space="preserve">expressão terras </w:t>
      </w:r>
      <w:r>
        <w:rPr>
          <w:spacing w:val="8"/>
        </w:rPr>
        <w:t xml:space="preserve">raras </w:t>
      </w:r>
      <w:r>
        <w:t xml:space="preserve">é </w:t>
      </w:r>
      <w:r>
        <w:rPr>
          <w:spacing w:val="10"/>
        </w:rPr>
        <w:t xml:space="preserve">considerada, </w:t>
      </w:r>
      <w:r>
        <w:rPr>
          <w:spacing w:val="7"/>
        </w:rPr>
        <w:t xml:space="preserve">por </w:t>
      </w:r>
      <w:r>
        <w:rPr>
          <w:spacing w:val="11"/>
        </w:rPr>
        <w:t xml:space="preserve">muitos </w:t>
      </w:r>
      <w:r>
        <w:rPr>
          <w:spacing w:val="3"/>
        </w:rPr>
        <w:t xml:space="preserve">especialistas, imprópria. </w:t>
      </w:r>
      <w:r>
        <w:rPr>
          <w:spacing w:val="2"/>
        </w:rPr>
        <w:t xml:space="preserve">Além </w:t>
      </w:r>
      <w:r>
        <w:rPr>
          <w:spacing w:val="1"/>
        </w:rPr>
        <w:t xml:space="preserve">da </w:t>
      </w:r>
      <w:r>
        <w:rPr>
          <w:spacing w:val="3"/>
        </w:rPr>
        <w:t xml:space="preserve">palavra “terras” </w:t>
      </w:r>
      <w:r>
        <w:rPr>
          <w:spacing w:val="2"/>
        </w:rPr>
        <w:t xml:space="preserve">não </w:t>
      </w:r>
      <w:r>
        <w:rPr>
          <w:spacing w:val="5"/>
        </w:rPr>
        <w:t xml:space="preserve">ser apropriada </w:t>
      </w:r>
      <w:r>
        <w:t xml:space="preserve">à </w:t>
      </w:r>
      <w:r>
        <w:rPr>
          <w:spacing w:val="5"/>
        </w:rPr>
        <w:t xml:space="preserve">denominação </w:t>
      </w:r>
      <w:r>
        <w:rPr>
          <w:spacing w:val="2"/>
        </w:rPr>
        <w:t xml:space="preserve">de </w:t>
      </w:r>
      <w:r>
        <w:rPr>
          <w:spacing w:val="3"/>
        </w:rPr>
        <w:t xml:space="preserve">tais </w:t>
      </w:r>
      <w:r>
        <w:rPr>
          <w:spacing w:val="5"/>
        </w:rPr>
        <w:t xml:space="preserve">elementos, </w:t>
      </w:r>
      <w:r>
        <w:t xml:space="preserve">a </w:t>
      </w:r>
      <w:r>
        <w:rPr>
          <w:spacing w:val="5"/>
        </w:rPr>
        <w:t>palavra</w:t>
      </w:r>
      <w:r>
        <w:rPr>
          <w:spacing w:val="61"/>
        </w:rPr>
        <w:t xml:space="preserve"> </w:t>
      </w:r>
      <w:r>
        <w:t>“raras” tamb</w:t>
      </w:r>
      <w:r>
        <w:t>ém não está de acordo, pois os lantanídeos são mais abundantes (com exceção do promécio que não ocorre na natureza) do que muitos outros elementos. Os elementos túlio e lutécio, por exemplo, que são as terras raras menos encontradas na crosta terrestre, sã</w:t>
      </w:r>
      <w:r>
        <w:t>o mais abundantes do que a prata e o bismuto (ABRÃO, 1994 apud MARTINS; ISOLANI,</w:t>
      </w:r>
    </w:p>
    <w:p w:rsidR="00D81F69" w:rsidRDefault="00330118">
      <w:pPr>
        <w:pStyle w:val="Corpodetexto"/>
        <w:spacing w:before="63" w:line="312" w:lineRule="auto"/>
        <w:ind w:right="192"/>
      </w:pPr>
      <w:r>
        <w:br w:type="column"/>
      </w:r>
      <w:r>
        <w:lastRenderedPageBreak/>
        <w:t>Comissão Nacional de Energia Nuclear (CNEN). Após diversas sucessões, a estatal Indústrias Nucleares do Brasil (INB), criada em 1988, sucedeu a Nuclebrás (ROSENTAL, 2008; INB</w:t>
      </w:r>
      <w:r>
        <w:t>, 2012a). Em 1994, a INB incorporou as controladas da antiga Nuclebrás – a Nuclebrás Enriquecimento Isotópico</w:t>
      </w:r>
    </w:p>
    <w:p w:rsidR="00D81F69" w:rsidRDefault="00330118">
      <w:pPr>
        <w:pStyle w:val="Corpodetexto"/>
        <w:spacing w:before="4" w:line="312" w:lineRule="auto"/>
        <w:ind w:right="212"/>
      </w:pPr>
      <w:r>
        <w:t>S.A. (Nuclei), a Urânio do Brasil S.A. e a Nuclemon Mínero- Química Ltda –, absorvendo suas atividades e atribuições (INB, 2012a).</w:t>
      </w:r>
    </w:p>
    <w:p w:rsidR="00D81F69" w:rsidRDefault="00330118">
      <w:pPr>
        <w:pStyle w:val="Corpodetexto"/>
        <w:spacing w:before="133" w:line="312" w:lineRule="auto"/>
        <w:ind w:right="186"/>
      </w:pPr>
      <w:r>
        <w:t>Atualmente, as terras raras vendidas no país são oriundas dos estoques acumulados da INB (BRASIL MINERAL, 2011a). A Unidade de Minerais Pesados (UMP) da INB, em Buena, é responsável pela prospecção, pesquisa mineral, lavra, beneficiamento, industrialização</w:t>
      </w:r>
      <w:r>
        <w:t xml:space="preserve"> e comercialização de monazita, ilmenita, zirconita e rutilo (PREFEITURA DE SÂO FRANCISCO DE ITABAPOANA, 2011; INB, 2012a; INB,</w:t>
      </w:r>
    </w:p>
    <w:p w:rsidR="00D81F69" w:rsidRDefault="00330118">
      <w:pPr>
        <w:pStyle w:val="Corpodetexto"/>
        <w:spacing w:before="7" w:line="312" w:lineRule="auto"/>
        <w:ind w:right="213"/>
      </w:pPr>
      <w:r>
        <w:t>2012b), conhecidos popularmente como areias monazíticas (INB, 2012b).</w:t>
      </w:r>
    </w:p>
    <w:p w:rsidR="00D81F69" w:rsidRDefault="00330118">
      <w:pPr>
        <w:pStyle w:val="Corpodetexto"/>
        <w:spacing w:before="131" w:line="312" w:lineRule="auto"/>
        <w:ind w:right="206"/>
      </w:pPr>
      <w:r>
        <w:t>O processo de lavra começa pela retirada da camada superfi</w:t>
      </w:r>
      <w:r>
        <w:t>cial do solo rico em matéria orgânica. Depois, com auxílio de escavadeiras hidráulicas e caminhões basculantes convencionais, o minério é extraído e levado para ser beneficiado na Unidade de Tratamento de Minérios. A camada superficial do solo é estocada n</w:t>
      </w:r>
      <w:r>
        <w:t>o próprio local de lavra para ser utilizada na fase final de recuperação dos terrenos lavrados (INB, 2012b).</w:t>
      </w:r>
    </w:p>
    <w:p w:rsidR="00D81F69" w:rsidRDefault="00330118">
      <w:pPr>
        <w:pStyle w:val="Corpodetexto"/>
        <w:spacing w:before="138" w:line="312" w:lineRule="auto"/>
        <w:ind w:right="195"/>
      </w:pPr>
      <w:r>
        <w:t xml:space="preserve">“Após a separação da fração útil (pesada) que corresponde a 10 ou 15% do volume total do minério, é dada sequência ao </w:t>
      </w:r>
      <w:r>
        <w:rPr>
          <w:spacing w:val="5"/>
        </w:rPr>
        <w:t xml:space="preserve">processo </w:t>
      </w:r>
      <w:r>
        <w:rPr>
          <w:spacing w:val="2"/>
        </w:rPr>
        <w:t xml:space="preserve">de </w:t>
      </w:r>
      <w:r>
        <w:rPr>
          <w:spacing w:val="5"/>
        </w:rPr>
        <w:t xml:space="preserve">beneficiamento. </w:t>
      </w:r>
      <w:r>
        <w:t>A</w:t>
      </w:r>
      <w:r>
        <w:t xml:space="preserve"> </w:t>
      </w:r>
      <w:r>
        <w:rPr>
          <w:spacing w:val="5"/>
        </w:rPr>
        <w:t>fração estéril (leve), que</w:t>
      </w:r>
      <w:r>
        <w:rPr>
          <w:spacing w:val="61"/>
        </w:rPr>
        <w:t xml:space="preserve"> </w:t>
      </w:r>
      <w:r>
        <w:t>representa os 85 a 90% restantes, é reconduzida à mina para a obturação da cava resultante da extração do minério” (INB, 2012b).</w:t>
      </w:r>
    </w:p>
    <w:p w:rsidR="00D81F69" w:rsidRDefault="00330118">
      <w:pPr>
        <w:pStyle w:val="Corpodetexto"/>
        <w:spacing w:before="72" w:line="270" w:lineRule="atLeast"/>
        <w:ind w:right="210"/>
      </w:pPr>
      <w:r>
        <w:t>De acordo com a INB, como os procedimentos de extração do minério e recomposição dos terrenos são e</w:t>
      </w:r>
      <w:r>
        <w:t>xecutados de maneira integrada, com a abertura da cava e logo depois sua</w:t>
      </w:r>
    </w:p>
    <w:p w:rsidR="00D81F69" w:rsidRDefault="00D81F69">
      <w:pPr>
        <w:spacing w:line="270" w:lineRule="atLeast"/>
        <w:sectPr w:rsidR="00D81F69">
          <w:type w:val="continuous"/>
          <w:pgSz w:w="11900" w:h="16840"/>
          <w:pgMar w:top="720" w:right="500" w:bottom="280" w:left="620" w:header="720" w:footer="720" w:gutter="0"/>
          <w:cols w:num="2" w:space="720" w:equalWidth="0">
            <w:col w:w="5161" w:space="309"/>
            <w:col w:w="5310"/>
          </w:cols>
        </w:sectPr>
      </w:pPr>
    </w:p>
    <w:p w:rsidR="00D81F69" w:rsidRDefault="00330118">
      <w:pPr>
        <w:pStyle w:val="Corpodetexto"/>
        <w:spacing w:before="81" w:line="312" w:lineRule="auto"/>
        <w:ind w:right="121"/>
      </w:pPr>
      <w:r>
        <w:lastRenderedPageBreak/>
        <w:t>obturação, não há impactos ambientais significativos, e toda a área lavrada é rapidamente liberada para plantio, pastagens e outras atividades (PREFEITURA D</w:t>
      </w:r>
      <w:r>
        <w:t>E SÂO FRANCISCO DE ITABAPOANA, 2011; INB, 2012b).</w:t>
      </w:r>
    </w:p>
    <w:p w:rsidR="00D81F69" w:rsidRDefault="00330118">
      <w:pPr>
        <w:pStyle w:val="Corpodetexto"/>
        <w:spacing w:before="134" w:line="312" w:lineRule="auto"/>
        <w:ind w:right="35"/>
        <w:jc w:val="left"/>
      </w:pPr>
      <w:r>
        <w:t>No entanto, alguns ambientalistas afirmam que as operações da INB, e suas antecessoras em Buena, vêm, sim, modificando e impactando a geografia e o meio ambiente de São Francisco de Itabapoana (FOLHA DA MAN</w:t>
      </w:r>
      <w:r>
        <w:t>HÃ, 2011), município com 1.122,437 km² e 41.354 habitantes (IBGE, 2010).</w:t>
      </w:r>
    </w:p>
    <w:p w:rsidR="00D81F69" w:rsidRDefault="00330118">
      <w:pPr>
        <w:pStyle w:val="Corpodetexto"/>
        <w:spacing w:before="135" w:line="312" w:lineRule="auto"/>
        <w:ind w:right="118"/>
      </w:pPr>
      <w:r>
        <w:t xml:space="preserve">Ressaltam que, ainda na década de 1980, quando a unidade </w:t>
      </w:r>
      <w:r>
        <w:rPr>
          <w:spacing w:val="3"/>
        </w:rPr>
        <w:t xml:space="preserve">pertencia </w:t>
      </w:r>
      <w:r>
        <w:t xml:space="preserve">à </w:t>
      </w:r>
      <w:r>
        <w:rPr>
          <w:spacing w:val="3"/>
        </w:rPr>
        <w:t xml:space="preserve">extinta Nuclemon, </w:t>
      </w:r>
      <w:r>
        <w:t xml:space="preserve">e </w:t>
      </w:r>
      <w:r>
        <w:rPr>
          <w:spacing w:val="3"/>
        </w:rPr>
        <w:t xml:space="preserve">mandava terras raras </w:t>
      </w:r>
      <w:r>
        <w:rPr>
          <w:spacing w:val="5"/>
        </w:rPr>
        <w:t xml:space="preserve">da </w:t>
      </w:r>
      <w:r>
        <w:t>região para sua unidade em São Paulo, a empresa recebia os rejeitos ra</w:t>
      </w:r>
      <w:r>
        <w:t>dioativos de lá. À época, um ex-funcionário relatara a</w:t>
      </w:r>
      <w:r>
        <w:rPr>
          <w:spacing w:val="17"/>
        </w:rPr>
        <w:t xml:space="preserve"> </w:t>
      </w:r>
      <w:r>
        <w:t>existência</w:t>
      </w:r>
      <w:r>
        <w:rPr>
          <w:spacing w:val="17"/>
        </w:rPr>
        <w:t xml:space="preserve"> </w:t>
      </w:r>
      <w:r>
        <w:t>de</w:t>
      </w:r>
      <w:r>
        <w:rPr>
          <w:spacing w:val="17"/>
        </w:rPr>
        <w:t xml:space="preserve"> </w:t>
      </w:r>
      <w:r>
        <w:t>28</w:t>
      </w:r>
      <w:r>
        <w:rPr>
          <w:spacing w:val="17"/>
        </w:rPr>
        <w:t xml:space="preserve"> </w:t>
      </w:r>
      <w:r>
        <w:t>tambores</w:t>
      </w:r>
      <w:r>
        <w:rPr>
          <w:spacing w:val="17"/>
        </w:rPr>
        <w:t xml:space="preserve"> </w:t>
      </w:r>
      <w:r>
        <w:t>de</w:t>
      </w:r>
      <w:r>
        <w:rPr>
          <w:spacing w:val="17"/>
        </w:rPr>
        <w:t xml:space="preserve"> </w:t>
      </w:r>
      <w:r>
        <w:t>tório</w:t>
      </w:r>
      <w:r>
        <w:rPr>
          <w:spacing w:val="17"/>
        </w:rPr>
        <w:t xml:space="preserve"> </w:t>
      </w:r>
      <w:r>
        <w:t>—</w:t>
      </w:r>
      <w:r>
        <w:rPr>
          <w:spacing w:val="17"/>
        </w:rPr>
        <w:t xml:space="preserve"> </w:t>
      </w:r>
      <w:r>
        <w:t>altamente</w:t>
      </w:r>
      <w:r>
        <w:rPr>
          <w:spacing w:val="17"/>
        </w:rPr>
        <w:t xml:space="preserve"> </w:t>
      </w:r>
      <w:r>
        <w:t>radioativo</w:t>
      </w:r>
    </w:p>
    <w:p w:rsidR="00D81F69" w:rsidRDefault="00330118">
      <w:pPr>
        <w:pStyle w:val="Corpodetexto"/>
        <w:spacing w:before="5" w:line="312" w:lineRule="auto"/>
        <w:ind w:right="112"/>
      </w:pPr>
      <w:r>
        <w:t>— enterrados na praia da Lagoa Doce. A par da situação, o Ministério Público Estadual realizou uma diligência no local e exigiu a retirada dos tambores, vários deles com vazamento de material radioativo devido ao contato com a água salgada (FOLHA DA MANHÃ,</w:t>
      </w:r>
      <w:r>
        <w:t xml:space="preserve"> 2011). A Comissão Nacional de Energia Nuclear paralisou as atividades da unidade de Buena por 19 </w:t>
      </w:r>
      <w:r>
        <w:rPr>
          <w:spacing w:val="7"/>
        </w:rPr>
        <w:t xml:space="preserve">dias, </w:t>
      </w:r>
      <w:r>
        <w:rPr>
          <w:spacing w:val="5"/>
        </w:rPr>
        <w:t xml:space="preserve">os </w:t>
      </w:r>
      <w:r>
        <w:rPr>
          <w:spacing w:val="8"/>
        </w:rPr>
        <w:t xml:space="preserve">tambores </w:t>
      </w:r>
      <w:r>
        <w:rPr>
          <w:spacing w:val="7"/>
        </w:rPr>
        <w:t xml:space="preserve">foram </w:t>
      </w:r>
      <w:r>
        <w:rPr>
          <w:spacing w:val="10"/>
        </w:rPr>
        <w:t xml:space="preserve">desenterrados </w:t>
      </w:r>
      <w:r>
        <w:t xml:space="preserve">e </w:t>
      </w:r>
      <w:r>
        <w:rPr>
          <w:spacing w:val="8"/>
        </w:rPr>
        <w:t xml:space="preserve">ficaram </w:t>
      </w:r>
      <w:r>
        <w:rPr>
          <w:spacing w:val="10"/>
        </w:rPr>
        <w:t xml:space="preserve">na </w:t>
      </w:r>
      <w:r>
        <w:t>superfície cobertos por plástico preto. Depois sumiram, e a questão</w:t>
      </w:r>
      <w:r>
        <w:rPr>
          <w:spacing w:val="18"/>
        </w:rPr>
        <w:t xml:space="preserve"> </w:t>
      </w:r>
      <w:r>
        <w:t>caiu</w:t>
      </w:r>
      <w:r>
        <w:rPr>
          <w:spacing w:val="18"/>
        </w:rPr>
        <w:t xml:space="preserve"> </w:t>
      </w:r>
      <w:r>
        <w:t>no</w:t>
      </w:r>
      <w:r>
        <w:rPr>
          <w:spacing w:val="18"/>
        </w:rPr>
        <w:t xml:space="preserve"> </w:t>
      </w:r>
      <w:r>
        <w:t>esquecimento</w:t>
      </w:r>
      <w:r>
        <w:rPr>
          <w:spacing w:val="18"/>
        </w:rPr>
        <w:t xml:space="preserve"> </w:t>
      </w:r>
      <w:r>
        <w:t>(ANBIO,</w:t>
      </w:r>
      <w:r>
        <w:rPr>
          <w:spacing w:val="18"/>
        </w:rPr>
        <w:t xml:space="preserve"> </w:t>
      </w:r>
      <w:r>
        <w:rPr>
          <w:spacing w:val="1"/>
        </w:rPr>
        <w:t>2002).</w:t>
      </w:r>
    </w:p>
    <w:p w:rsidR="00D81F69" w:rsidRDefault="00330118">
      <w:pPr>
        <w:pStyle w:val="Corpodetexto"/>
        <w:spacing w:before="138" w:line="312" w:lineRule="auto"/>
        <w:ind w:right="98"/>
      </w:pPr>
      <w:r>
        <w:t>Afi</w:t>
      </w:r>
      <w:r>
        <w:t xml:space="preserve">rmam, ainda, que quando se trata de lavra em propriedade particular, a INB tapa o buraco e recompõe o solo, mas, em  se tratando de área pública, os estragos não são reparados. Como exemplo, citam a Lagoa Salgada, que teve seu trecho </w:t>
      </w:r>
      <w:r>
        <w:rPr>
          <w:spacing w:val="1"/>
        </w:rPr>
        <w:t xml:space="preserve">final aterrado, </w:t>
      </w:r>
      <w:r>
        <w:t xml:space="preserve">e a </w:t>
      </w:r>
      <w:r>
        <w:rPr>
          <w:spacing w:val="1"/>
        </w:rPr>
        <w:t>en</w:t>
      </w:r>
      <w:r>
        <w:rPr>
          <w:spacing w:val="1"/>
        </w:rPr>
        <w:t xml:space="preserve">orme poça d'água aberta </w:t>
      </w:r>
      <w:r>
        <w:t xml:space="preserve">na </w:t>
      </w:r>
      <w:r>
        <w:rPr>
          <w:spacing w:val="1"/>
        </w:rPr>
        <w:t xml:space="preserve">praia </w:t>
      </w:r>
      <w:r>
        <w:rPr>
          <w:spacing w:val="2"/>
        </w:rPr>
        <w:t xml:space="preserve">da </w:t>
      </w:r>
      <w:r>
        <w:t xml:space="preserve">Lagoa Doce, onde o terreno sofreu elevação com o acúmulo </w:t>
      </w:r>
      <w:r>
        <w:rPr>
          <w:spacing w:val="1"/>
        </w:rPr>
        <w:t xml:space="preserve">de </w:t>
      </w:r>
      <w:r>
        <w:rPr>
          <w:spacing w:val="3"/>
        </w:rPr>
        <w:t xml:space="preserve">areia, </w:t>
      </w:r>
      <w:r>
        <w:t xml:space="preserve">e o </w:t>
      </w:r>
      <w:r>
        <w:rPr>
          <w:spacing w:val="3"/>
        </w:rPr>
        <w:t xml:space="preserve">talude </w:t>
      </w:r>
      <w:r>
        <w:rPr>
          <w:spacing w:val="1"/>
        </w:rPr>
        <w:t xml:space="preserve">do </w:t>
      </w:r>
      <w:r>
        <w:rPr>
          <w:spacing w:val="3"/>
        </w:rPr>
        <w:t xml:space="preserve">tabuleiro norte </w:t>
      </w:r>
      <w:r>
        <w:rPr>
          <w:spacing w:val="2"/>
        </w:rPr>
        <w:t xml:space="preserve">foi </w:t>
      </w:r>
      <w:r>
        <w:rPr>
          <w:spacing w:val="5"/>
        </w:rPr>
        <w:t xml:space="preserve">desbarrancado, </w:t>
      </w:r>
      <w:r>
        <w:t>recuando cerca de 100 metros, com a remoção da vegetação nativa de restinga. Citam ainda o aterramento d</w:t>
      </w:r>
      <w:r>
        <w:t>o manguezal de um ribeirão denominado Guriri, devido à movimentação de terras pela empresa no processo de lavra (ANBIO,</w:t>
      </w:r>
      <w:r>
        <w:rPr>
          <w:spacing w:val="22"/>
        </w:rPr>
        <w:t xml:space="preserve"> </w:t>
      </w:r>
      <w:r>
        <w:t>2002).</w:t>
      </w:r>
    </w:p>
    <w:p w:rsidR="00D81F69" w:rsidRDefault="00330118">
      <w:pPr>
        <w:pStyle w:val="Corpodetexto"/>
        <w:spacing w:before="140" w:line="312" w:lineRule="auto"/>
        <w:ind w:right="100"/>
      </w:pPr>
      <w:r>
        <w:t>Em 2002, foram anunciadas pesquisas científicas para determinar o impacto socioambiental decorrente das atividades da produção de</w:t>
      </w:r>
      <w:r>
        <w:t xml:space="preserve"> minerais pesados pela INB em Buena. No bairro Nuclemon, a 300 metros da fábrica, a população sofria com problemas de saúde, como coceiras, possivelmente resultantes das atividades da INB. De acordo com a tese de doutorado da pesquisadora Dejanira da Costa</w:t>
      </w:r>
      <w:r>
        <w:t xml:space="preserve"> Lauria, do Departamento de Química da Pontifícia Universidade Católica do Rio de Janeiro (PUC-Rio), intitulada “Transporte de radionuclídeos naturais e elementos das terras raras leves no sistema lagunar de Buena, RJ”, o índice de radiação naquela área es</w:t>
      </w:r>
      <w:r>
        <w:t>tava acima do normal (CAMPOS, 2002).</w:t>
      </w:r>
    </w:p>
    <w:p w:rsidR="00D81F69" w:rsidRDefault="00330118">
      <w:pPr>
        <w:pStyle w:val="Corpodetexto"/>
        <w:spacing w:before="142" w:line="312" w:lineRule="auto"/>
        <w:ind w:right="95"/>
      </w:pPr>
      <w:r>
        <w:t>À época, a UMP de Buena afirmou que as atividades da empresa não causavam nenhum problema ao meio ambiente ou à saúde das pessoas residentes em suas imediações. Explicou ainda que o material produzido no local era trans</w:t>
      </w:r>
      <w:r>
        <w:t>portado para a fábrica de Poços de Caldas (MG), seguindo todas as normas da CNEN, e que nos trabalhos</w:t>
      </w:r>
    </w:p>
    <w:p w:rsidR="00D81F69" w:rsidRDefault="00330118">
      <w:pPr>
        <w:pStyle w:val="Corpodetexto"/>
        <w:spacing w:before="81" w:line="312" w:lineRule="auto"/>
        <w:ind w:right="196"/>
      </w:pPr>
      <w:r>
        <w:br w:type="column"/>
      </w:r>
      <w:r>
        <w:lastRenderedPageBreak/>
        <w:t>internos havia um sistema de segurança contra o excesso de radioatividade, inclusive através de dosímetros, que monitoravam a carga radioativa nos trabalhadores (CAMPOS, 2002). Segundo a gerência de produção da unidade de Buena, a UMP trouxe benefícios à r</w:t>
      </w:r>
      <w:r>
        <w:t>egião, que surgiu em função da extração de terras raras. Salientou que oferece empregos diretos a 60 pessoas e a 150 terceirizados (FOLHA DA MANHÃ, 2011).</w:t>
      </w:r>
    </w:p>
    <w:p w:rsidR="00D81F69" w:rsidRDefault="00330118">
      <w:pPr>
        <w:pStyle w:val="Corpodetexto"/>
        <w:spacing w:before="137" w:line="312" w:lineRule="auto"/>
        <w:ind w:right="194"/>
      </w:pPr>
      <w:r>
        <w:rPr>
          <w:spacing w:val="1"/>
        </w:rPr>
        <w:t xml:space="preserve">Desde março </w:t>
      </w:r>
      <w:r>
        <w:t xml:space="preserve">de </w:t>
      </w:r>
      <w:r>
        <w:rPr>
          <w:spacing w:val="1"/>
        </w:rPr>
        <w:t xml:space="preserve">2010, </w:t>
      </w:r>
      <w:r>
        <w:t xml:space="preserve">a UMP de </w:t>
      </w:r>
      <w:r>
        <w:rPr>
          <w:spacing w:val="1"/>
        </w:rPr>
        <w:t xml:space="preserve">Buena está </w:t>
      </w:r>
      <w:r>
        <w:rPr>
          <w:spacing w:val="2"/>
        </w:rPr>
        <w:t xml:space="preserve">funcionando </w:t>
      </w:r>
      <w:r>
        <w:t>abaixo de sua capacidade, pois suas fontes de ex</w:t>
      </w:r>
      <w:r>
        <w:t>tração no local se esgotaram. A unidade está se valendo de estoques  da unidade de São Paulo, já desativada, e que processava quimicamente o extrato de onde eram retirados os minerais raros, processo não realizado no local (FOLHA DA MANHÃ, 2011).</w:t>
      </w:r>
    </w:p>
    <w:p w:rsidR="00D81F69" w:rsidRDefault="00330118">
      <w:pPr>
        <w:pStyle w:val="Corpodetexto"/>
        <w:spacing w:before="137" w:line="312" w:lineRule="auto"/>
        <w:ind w:right="195"/>
      </w:pPr>
      <w:r>
        <w:t>De acordo</w:t>
      </w:r>
      <w:r>
        <w:t xml:space="preserve"> com o pesquisador Simon Rosental, do Centro de Tecnologia Mineral (Cetem), não há expectativas de reservas de terras raras na costa brasileira, semelhantes às explotadas pela INB e suas antecessoras. Das ocorrências detectadas no litoral, a maioria não pe</w:t>
      </w:r>
      <w:r>
        <w:t xml:space="preserve">rmite mais a lavra, ou por questões de preservação ambiental ou pelo fato de a região ser habitada,  o </w:t>
      </w:r>
      <w:r>
        <w:rPr>
          <w:spacing w:val="7"/>
        </w:rPr>
        <w:t xml:space="preserve">que </w:t>
      </w:r>
      <w:r>
        <w:rPr>
          <w:spacing w:val="10"/>
        </w:rPr>
        <w:t xml:space="preserve">torna </w:t>
      </w:r>
      <w:r>
        <w:t xml:space="preserve">o </w:t>
      </w:r>
      <w:r>
        <w:rPr>
          <w:spacing w:val="10"/>
        </w:rPr>
        <w:t xml:space="preserve">acesso </w:t>
      </w:r>
      <w:r>
        <w:rPr>
          <w:spacing w:val="5"/>
        </w:rPr>
        <w:t xml:space="preserve">ao </w:t>
      </w:r>
      <w:r>
        <w:rPr>
          <w:spacing w:val="10"/>
        </w:rPr>
        <w:t xml:space="preserve">subsolo quase </w:t>
      </w:r>
      <w:r>
        <w:rPr>
          <w:spacing w:val="12"/>
        </w:rPr>
        <w:t xml:space="preserve">impossível </w:t>
      </w:r>
      <w:r>
        <w:rPr>
          <w:spacing w:val="10"/>
        </w:rPr>
        <w:t>(ROSENTAL,</w:t>
      </w:r>
      <w:r>
        <w:rPr>
          <w:spacing w:val="62"/>
        </w:rPr>
        <w:t xml:space="preserve"> </w:t>
      </w:r>
      <w:r>
        <w:rPr>
          <w:spacing w:val="12"/>
        </w:rPr>
        <w:t>2008).</w:t>
      </w:r>
    </w:p>
    <w:p w:rsidR="00D81F69" w:rsidRDefault="00330118">
      <w:pPr>
        <w:pStyle w:val="Corpodetexto"/>
        <w:spacing w:before="137" w:line="312" w:lineRule="auto"/>
        <w:ind w:right="189"/>
      </w:pPr>
      <w:r>
        <w:t>No entanto, segundo o pesquisador, existem outros minerais contendo terras raras, que nã</w:t>
      </w:r>
      <w:r>
        <w:t>o são provenientes de aluviões marinhos, e que podem ser estudados com o objetivo de se encontrarem fontes alternativas para se obter monazita. O mais promissor seria o minério do Córrego do Garimpo, localizado em Catalão (GO), cujos direitos minerários pe</w:t>
      </w:r>
      <w:r>
        <w:t>rtencem à Ultrafértil (ROSENTAL, 2008).</w:t>
      </w:r>
    </w:p>
    <w:p w:rsidR="00D81F69" w:rsidRDefault="00330118">
      <w:pPr>
        <w:pStyle w:val="Corpodetexto"/>
        <w:spacing w:before="137" w:line="312" w:lineRule="auto"/>
        <w:ind w:right="193"/>
      </w:pPr>
      <w:r>
        <w:t xml:space="preserve">Em 2010, os norteamericanos afirmaram que o Brasil possui uma das </w:t>
      </w:r>
      <w:r>
        <w:rPr>
          <w:spacing w:val="1"/>
        </w:rPr>
        <w:t xml:space="preserve">maiores reservas </w:t>
      </w:r>
      <w:r>
        <w:t xml:space="preserve">de </w:t>
      </w:r>
      <w:r>
        <w:rPr>
          <w:spacing w:val="1"/>
        </w:rPr>
        <w:t xml:space="preserve">‘terras raras’ </w:t>
      </w:r>
      <w:r>
        <w:t xml:space="preserve">do </w:t>
      </w:r>
      <w:r>
        <w:rPr>
          <w:spacing w:val="1"/>
        </w:rPr>
        <w:t xml:space="preserve">mundo, </w:t>
      </w:r>
      <w:r>
        <w:rPr>
          <w:spacing w:val="2"/>
        </w:rPr>
        <w:t xml:space="preserve">que </w:t>
      </w:r>
      <w:r>
        <w:t xml:space="preserve">estariam concentradas no noroeste da Amazônia, na fronteira </w:t>
      </w:r>
      <w:r>
        <w:rPr>
          <w:spacing w:val="2"/>
        </w:rPr>
        <w:t xml:space="preserve">com </w:t>
      </w:r>
      <w:r>
        <w:t xml:space="preserve">a </w:t>
      </w:r>
      <w:r>
        <w:rPr>
          <w:spacing w:val="3"/>
        </w:rPr>
        <w:t xml:space="preserve">Colômbia, </w:t>
      </w:r>
      <w:r>
        <w:t xml:space="preserve">e </w:t>
      </w:r>
      <w:r>
        <w:rPr>
          <w:spacing w:val="1"/>
        </w:rPr>
        <w:t xml:space="preserve">em </w:t>
      </w:r>
      <w:r>
        <w:rPr>
          <w:spacing w:val="3"/>
        </w:rPr>
        <w:t xml:space="preserve">Goiás </w:t>
      </w:r>
      <w:r>
        <w:t xml:space="preserve">e </w:t>
      </w:r>
      <w:r>
        <w:rPr>
          <w:spacing w:val="3"/>
        </w:rPr>
        <w:t xml:space="preserve">Minas Gerais. Segundo </w:t>
      </w:r>
      <w:r>
        <w:t xml:space="preserve">o </w:t>
      </w:r>
      <w:r>
        <w:rPr>
          <w:spacing w:val="5"/>
        </w:rPr>
        <w:t xml:space="preserve">Instituto </w:t>
      </w:r>
      <w:r>
        <w:rPr>
          <w:spacing w:val="2"/>
        </w:rPr>
        <w:t xml:space="preserve">de </w:t>
      </w:r>
      <w:r>
        <w:rPr>
          <w:spacing w:val="5"/>
        </w:rPr>
        <w:t xml:space="preserve">Pesquisas Tecnológicas (IPT), </w:t>
      </w:r>
      <w:r>
        <w:rPr>
          <w:spacing w:val="2"/>
        </w:rPr>
        <w:t xml:space="preserve">os </w:t>
      </w:r>
      <w:r>
        <w:rPr>
          <w:spacing w:val="6"/>
        </w:rPr>
        <w:t xml:space="preserve">geólogos </w:t>
      </w:r>
      <w:r>
        <w:t xml:space="preserve">brasileiros já sabiam disso, só que transformar a riqueza do </w:t>
      </w:r>
      <w:r>
        <w:rPr>
          <w:spacing w:val="3"/>
        </w:rPr>
        <w:t xml:space="preserve">solo </w:t>
      </w:r>
      <w:r>
        <w:rPr>
          <w:spacing w:val="2"/>
        </w:rPr>
        <w:t xml:space="preserve">em </w:t>
      </w:r>
      <w:r>
        <w:rPr>
          <w:spacing w:val="5"/>
        </w:rPr>
        <w:t xml:space="preserve">produto comercial </w:t>
      </w:r>
      <w:r>
        <w:t xml:space="preserve">é </w:t>
      </w:r>
      <w:r>
        <w:rPr>
          <w:spacing w:val="2"/>
        </w:rPr>
        <w:t xml:space="preserve">um </w:t>
      </w:r>
      <w:r>
        <w:rPr>
          <w:spacing w:val="5"/>
        </w:rPr>
        <w:t xml:space="preserve">investimento </w:t>
      </w:r>
      <w:r>
        <w:rPr>
          <w:spacing w:val="3"/>
        </w:rPr>
        <w:t xml:space="preserve">caro, </w:t>
      </w:r>
      <w:r>
        <w:rPr>
          <w:spacing w:val="5"/>
        </w:rPr>
        <w:t xml:space="preserve">que </w:t>
      </w:r>
      <w:r>
        <w:t>precisa de pelo menos sete etapas tecnológicas diferentes. Tal</w:t>
      </w:r>
      <w:r>
        <w:t xml:space="preserve"> investimento precisaria da garantia de que as terras raras </w:t>
      </w:r>
      <w:r>
        <w:rPr>
          <w:spacing w:val="1"/>
        </w:rPr>
        <w:t xml:space="preserve">continuariam </w:t>
      </w:r>
      <w:r>
        <w:t xml:space="preserve">em </w:t>
      </w:r>
      <w:r>
        <w:rPr>
          <w:spacing w:val="1"/>
        </w:rPr>
        <w:t xml:space="preserve">alta. Além disso, gera lixo radiativo </w:t>
      </w:r>
      <w:r>
        <w:rPr>
          <w:spacing w:val="2"/>
        </w:rPr>
        <w:t xml:space="preserve">(BOM </w:t>
      </w:r>
      <w:r>
        <w:t xml:space="preserve">DIA </w:t>
      </w:r>
      <w:r>
        <w:rPr>
          <w:spacing w:val="1"/>
        </w:rPr>
        <w:t>BRASIL,</w:t>
      </w:r>
      <w:r>
        <w:rPr>
          <w:spacing w:val="-14"/>
        </w:rPr>
        <w:t xml:space="preserve"> </w:t>
      </w:r>
      <w:r>
        <w:rPr>
          <w:spacing w:val="2"/>
        </w:rPr>
        <w:t>2012).</w:t>
      </w:r>
    </w:p>
    <w:p w:rsidR="00D81F69" w:rsidRDefault="00330118">
      <w:pPr>
        <w:pStyle w:val="Corpodetexto"/>
        <w:spacing w:before="140" w:line="312" w:lineRule="auto"/>
        <w:ind w:right="195"/>
      </w:pPr>
      <w:r>
        <w:t>Sem concorrência, a China impõe o preço que quer ao mercado internacional (BOM DIA BRASIL, 2012). No início de 2011, o</w:t>
      </w:r>
      <w:r>
        <w:t xml:space="preserve"> país elevou os impostos sobre terras raras de 3 yuans para 30 yuans (R$ 7,48) a 60 yuans (R$ 14,96) por tonelada. Com a medida, o governo brasileiro criou um Grupo de Trabalho Interministerial para debater como aproveitar suas reservas (BRASIL MINERAL, 20</w:t>
      </w:r>
      <w:r>
        <w:t>11a), que são gigantescas (BOM DIA BRASIL, 2012) e definir prioridades para incentivos governamentais (BRASIL MINERAL, 2011a),</w:t>
      </w:r>
    </w:p>
    <w:p w:rsidR="00D81F69" w:rsidRDefault="00330118">
      <w:pPr>
        <w:pStyle w:val="Corpodetexto"/>
        <w:spacing w:before="75" w:line="270" w:lineRule="atLeast"/>
        <w:ind w:right="213"/>
      </w:pPr>
      <w:r>
        <w:t>Para enfrentar a concorrência chinesa, além de problemas logísticos e de custo para a produção de terras raras, o governo brasile</w:t>
      </w:r>
      <w:r>
        <w:t>iro também tenta atrair empresas como a Vale para projetos de exploração destes minérios e para projetos</w:t>
      </w:r>
    </w:p>
    <w:p w:rsidR="00D81F69" w:rsidRDefault="00D81F69">
      <w:pPr>
        <w:spacing w:line="270" w:lineRule="atLeast"/>
        <w:sectPr w:rsidR="00D81F69">
          <w:pgSz w:w="11900" w:h="16840"/>
          <w:pgMar w:top="740" w:right="500" w:bottom="640" w:left="620" w:header="0" w:footer="402" w:gutter="0"/>
          <w:cols w:num="2" w:space="720" w:equalWidth="0">
            <w:col w:w="5218" w:space="252"/>
            <w:col w:w="5310"/>
          </w:cols>
        </w:sectPr>
      </w:pPr>
    </w:p>
    <w:p w:rsidR="00D81F69" w:rsidRDefault="00330118">
      <w:pPr>
        <w:pStyle w:val="Corpodetexto"/>
        <w:spacing w:before="81" w:line="312" w:lineRule="auto"/>
        <w:ind w:right="58"/>
      </w:pPr>
      <w:r>
        <w:lastRenderedPageBreak/>
        <w:t xml:space="preserve">que agreguem mais valor a eles, como ímãs de alta potência, usados em turbinas de geração de energia eólica ou </w:t>
      </w:r>
      <w:r>
        <w:rPr>
          <w:spacing w:val="1"/>
        </w:rPr>
        <w:t xml:space="preserve">discos </w:t>
      </w:r>
      <w:r>
        <w:rPr>
          <w:spacing w:val="5"/>
        </w:rPr>
        <w:t>rígi</w:t>
      </w:r>
      <w:r>
        <w:rPr>
          <w:spacing w:val="5"/>
        </w:rPr>
        <w:t xml:space="preserve">dos </w:t>
      </w:r>
      <w:r>
        <w:rPr>
          <w:spacing w:val="2"/>
        </w:rPr>
        <w:t xml:space="preserve">de </w:t>
      </w:r>
      <w:r>
        <w:rPr>
          <w:spacing w:val="5"/>
        </w:rPr>
        <w:t xml:space="preserve">computador. </w:t>
      </w:r>
      <w:r>
        <w:rPr>
          <w:spacing w:val="3"/>
        </w:rPr>
        <w:t xml:space="preserve">Além </w:t>
      </w:r>
      <w:r>
        <w:rPr>
          <w:spacing w:val="5"/>
        </w:rPr>
        <w:t>disso, negocia cooperação</w:t>
      </w:r>
      <w:r>
        <w:rPr>
          <w:spacing w:val="61"/>
        </w:rPr>
        <w:t xml:space="preserve"> </w:t>
      </w:r>
      <w:r>
        <w:t xml:space="preserve">técnica em inovação com a Alemanha, visando transformar a produção de ímãs de terras raras no país em um dos projetos </w:t>
      </w:r>
      <w:r>
        <w:rPr>
          <w:spacing w:val="5"/>
        </w:rPr>
        <w:t xml:space="preserve">piloto </w:t>
      </w:r>
      <w:r>
        <w:rPr>
          <w:spacing w:val="2"/>
        </w:rPr>
        <w:t xml:space="preserve">da </w:t>
      </w:r>
      <w:r>
        <w:rPr>
          <w:spacing w:val="5"/>
        </w:rPr>
        <w:t xml:space="preserve">parceria </w:t>
      </w:r>
      <w:r>
        <w:rPr>
          <w:spacing w:val="3"/>
        </w:rPr>
        <w:t xml:space="preserve">com </w:t>
      </w:r>
      <w:r>
        <w:t xml:space="preserve">a </w:t>
      </w:r>
      <w:r>
        <w:rPr>
          <w:spacing w:val="5"/>
        </w:rPr>
        <w:t>Fundação Frahnhoffer (BRASIL</w:t>
      </w:r>
      <w:r>
        <w:rPr>
          <w:spacing w:val="61"/>
        </w:rPr>
        <w:t xml:space="preserve"> </w:t>
      </w:r>
      <w:r>
        <w:rPr>
          <w:spacing w:val="5"/>
        </w:rPr>
        <w:t xml:space="preserve">MINERAL, </w:t>
      </w:r>
      <w:r>
        <w:rPr>
          <w:spacing w:val="3"/>
        </w:rPr>
        <w:t>2011</w:t>
      </w:r>
      <w:r>
        <w:rPr>
          <w:spacing w:val="2"/>
        </w:rPr>
        <w:t xml:space="preserve"> </w:t>
      </w:r>
      <w:r>
        <w:rPr>
          <w:spacing w:val="5"/>
        </w:rPr>
        <w:t>b).</w:t>
      </w:r>
    </w:p>
    <w:p w:rsidR="00D81F69" w:rsidRDefault="00330118">
      <w:pPr>
        <w:pStyle w:val="Corpodetexto"/>
        <w:spacing w:before="136" w:line="312" w:lineRule="auto"/>
        <w:ind w:right="71"/>
      </w:pPr>
      <w:r>
        <w:t>Enquanto a quest</w:t>
      </w:r>
      <w:r>
        <w:t xml:space="preserve">ão das terras raras não é resolvida, o município de São Francisco de Itabapoana enfrenta outras preocupações, como é o caso do Superporto do Açu, no município vizinho de São João da Barra. “A conclusão das obras da Ponte João Figueiredo, que liga a cidade </w:t>
      </w:r>
      <w:r>
        <w:t>a São João da Barra, pode fazer com que grande parte da população prevista para habitar a região até 2025 escolha São Francisco para morar”. No entanto, o município sequer foi considerado no Estudo do Impacto Ambiental do complexo portuário (CÉSAR, 2011).</w:t>
      </w:r>
    </w:p>
    <w:p w:rsidR="00D81F69" w:rsidRDefault="00330118">
      <w:pPr>
        <w:pStyle w:val="Corpodetexto"/>
        <w:spacing w:before="140" w:line="312" w:lineRule="auto"/>
        <w:ind w:right="75"/>
      </w:pPr>
      <w:r>
        <w:t>Além disso, São Francisco de Itabapoana deverá sediar uma usina termoelétrica (UTE) movida a gás. O empreendimento é do BTS2 Empreendimentos SPE, do grupo Genpower. A iniciativa, estimada em R$ 1,4 bilhão, terá 700 megawatts de potência instalada, o sufici</w:t>
      </w:r>
      <w:r>
        <w:t>ente para abastecer uma cidade com 3 milhões de residências (PENHA, 2011).</w:t>
      </w:r>
    </w:p>
    <w:p w:rsidR="00D81F69" w:rsidRDefault="00D81F69">
      <w:pPr>
        <w:pStyle w:val="Corpodetexto"/>
        <w:spacing w:before="5"/>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52"/>
      </w:pPr>
      <w:r>
        <w:t>As minas de tório do município de São Francisco de Itabapoana (RJ) estão próximas à latitude 21°27'30"S e longitude 41°02'30"</w:t>
      </w:r>
      <w:r>
        <w:t>W, localizadas na região costeira sul.</w:t>
      </w:r>
    </w:p>
    <w:p w:rsidR="00D81F69" w:rsidRDefault="00D81F69">
      <w:pPr>
        <w:pStyle w:val="Corpodetexto"/>
        <w:ind w:left="0"/>
        <w:jc w:val="left"/>
        <w:rPr>
          <w:sz w:val="29"/>
        </w:rPr>
      </w:pPr>
    </w:p>
    <w:p w:rsidR="00D81F69" w:rsidRDefault="00330118">
      <w:pPr>
        <w:pStyle w:val="Heading7"/>
      </w:pPr>
      <w:r>
        <w:t>REDATORES</w:t>
      </w:r>
    </w:p>
    <w:p w:rsidR="00D81F69" w:rsidRDefault="00330118">
      <w:pPr>
        <w:pStyle w:val="Corpodetexto"/>
        <w:spacing w:before="179"/>
      </w:pPr>
      <w:r>
        <w:t>Renata Olivieri; Eliane Araujo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55"/>
        <w:jc w:val="both"/>
        <w:rPr>
          <w:sz w:val="16"/>
        </w:rPr>
      </w:pPr>
      <w:r>
        <w:rPr>
          <w:sz w:val="16"/>
        </w:rPr>
        <w:t>ANBIO, Associação Nacional de Biossegurança. Atividadas da INB/Buena. Notícias da província, 29 abr. 2002. Disponível em:</w:t>
      </w:r>
    </w:p>
    <w:p w:rsidR="00D81F69" w:rsidRDefault="00D81F69">
      <w:pPr>
        <w:spacing w:before="1" w:line="312" w:lineRule="auto"/>
        <w:ind w:left="100" w:right="61"/>
        <w:jc w:val="both"/>
        <w:rPr>
          <w:sz w:val="16"/>
        </w:rPr>
      </w:pPr>
      <w:hyperlink r:id="rId1523">
        <w:r w:rsidR="00330118">
          <w:rPr>
            <w:sz w:val="16"/>
          </w:rPr>
          <w:t xml:space="preserve">&lt;http://www.anbio.org.br/bio/biodiver_not32.htm&gt;. </w:t>
        </w:r>
      </w:hyperlink>
      <w:r w:rsidR="00330118">
        <w:rPr>
          <w:sz w:val="16"/>
        </w:rPr>
        <w:t>Acesso em: 07 dez. 2011.</w:t>
      </w:r>
    </w:p>
    <w:p w:rsidR="00D81F69" w:rsidRDefault="00330118">
      <w:pPr>
        <w:spacing w:before="2" w:line="312" w:lineRule="auto"/>
        <w:ind w:left="100" w:right="38"/>
        <w:jc w:val="both"/>
        <w:rPr>
          <w:sz w:val="16"/>
        </w:rPr>
      </w:pPr>
      <w:r>
        <w:rPr>
          <w:sz w:val="16"/>
        </w:rPr>
        <w:t xml:space="preserve">BOM DIA BRASIL. Brasil tem uma das maiores reservas de metal que </w:t>
      </w:r>
      <w:r>
        <w:rPr>
          <w:spacing w:val="18"/>
          <w:sz w:val="16"/>
        </w:rPr>
        <w:t xml:space="preserve">movimenta milhões, </w:t>
      </w:r>
      <w:r>
        <w:rPr>
          <w:spacing w:val="10"/>
          <w:sz w:val="16"/>
        </w:rPr>
        <w:t>21</w:t>
      </w:r>
      <w:r>
        <w:rPr>
          <w:spacing w:val="65"/>
          <w:sz w:val="16"/>
        </w:rPr>
        <w:t xml:space="preserve"> </w:t>
      </w:r>
      <w:r>
        <w:rPr>
          <w:spacing w:val="15"/>
          <w:sz w:val="16"/>
        </w:rPr>
        <w:t>mar.</w:t>
      </w:r>
      <w:r>
        <w:rPr>
          <w:spacing w:val="75"/>
          <w:sz w:val="16"/>
        </w:rPr>
        <w:t xml:space="preserve"> </w:t>
      </w:r>
      <w:r>
        <w:rPr>
          <w:spacing w:val="16"/>
          <w:sz w:val="16"/>
        </w:rPr>
        <w:t xml:space="preserve">2012. </w:t>
      </w:r>
      <w:r>
        <w:rPr>
          <w:spacing w:val="18"/>
          <w:sz w:val="16"/>
        </w:rPr>
        <w:t>Disponível</w:t>
      </w:r>
      <w:r>
        <w:rPr>
          <w:spacing w:val="17"/>
          <w:sz w:val="16"/>
        </w:rPr>
        <w:t xml:space="preserve"> </w:t>
      </w:r>
      <w:r>
        <w:rPr>
          <w:spacing w:val="13"/>
          <w:sz w:val="16"/>
        </w:rPr>
        <w:t>em:</w:t>
      </w:r>
      <w:r>
        <w:rPr>
          <w:spacing w:val="-21"/>
          <w:sz w:val="16"/>
        </w:rPr>
        <w:t xml:space="preserve"> </w:t>
      </w:r>
    </w:p>
    <w:p w:rsidR="00D81F69" w:rsidRDefault="00D81F69">
      <w:pPr>
        <w:spacing w:before="2" w:line="312" w:lineRule="auto"/>
        <w:ind w:left="100" w:right="52"/>
        <w:jc w:val="both"/>
        <w:rPr>
          <w:sz w:val="16"/>
        </w:rPr>
      </w:pPr>
      <w:hyperlink r:id="rId1524">
        <w:r w:rsidR="00330118">
          <w:rPr>
            <w:sz w:val="16"/>
          </w:rPr>
          <w:t>&lt;http://g1.globo.com/bom-dia-brasil/noticia/2012/03/brasil-tem-uma-</w:t>
        </w:r>
      </w:hyperlink>
      <w:r w:rsidR="00330118">
        <w:rPr>
          <w:sz w:val="16"/>
        </w:rPr>
        <w:t xml:space="preserve"> das-maiores-reservas-de-metal-que-movimenta-milhoes.html&gt;. Acesso em: 21 mar. 2012.</w:t>
      </w:r>
    </w:p>
    <w:p w:rsidR="00D81F69" w:rsidRDefault="00330118">
      <w:pPr>
        <w:tabs>
          <w:tab w:val="left" w:pos="4331"/>
        </w:tabs>
        <w:spacing w:before="2" w:line="312" w:lineRule="auto"/>
        <w:ind w:left="100" w:right="53"/>
        <w:jc w:val="both"/>
        <w:rPr>
          <w:sz w:val="16"/>
        </w:rPr>
      </w:pPr>
      <w:r>
        <w:rPr>
          <w:spacing w:val="3"/>
          <w:sz w:val="16"/>
        </w:rPr>
        <w:t>BRASIL MINERAL. Terras Ra</w:t>
      </w:r>
      <w:r>
        <w:rPr>
          <w:spacing w:val="3"/>
          <w:sz w:val="16"/>
        </w:rPr>
        <w:t xml:space="preserve">ras. China aumenta imposto </w:t>
      </w:r>
      <w:r>
        <w:rPr>
          <w:spacing w:val="5"/>
          <w:sz w:val="16"/>
        </w:rPr>
        <w:t xml:space="preserve">para </w:t>
      </w:r>
      <w:r>
        <w:rPr>
          <w:spacing w:val="6"/>
          <w:sz w:val="16"/>
        </w:rPr>
        <w:t xml:space="preserve">exportação. </w:t>
      </w:r>
      <w:r>
        <w:rPr>
          <w:spacing w:val="5"/>
          <w:sz w:val="16"/>
        </w:rPr>
        <w:t xml:space="preserve">In:  Brasil Mineral Online, </w:t>
      </w:r>
      <w:r>
        <w:rPr>
          <w:spacing w:val="3"/>
          <w:sz w:val="16"/>
        </w:rPr>
        <w:t xml:space="preserve">n.  </w:t>
      </w:r>
      <w:r>
        <w:rPr>
          <w:spacing w:val="5"/>
          <w:sz w:val="16"/>
        </w:rPr>
        <w:t xml:space="preserve">496, </w:t>
      </w:r>
      <w:r>
        <w:rPr>
          <w:spacing w:val="3"/>
          <w:sz w:val="16"/>
        </w:rPr>
        <w:t xml:space="preserve">07  </w:t>
      </w:r>
      <w:r>
        <w:rPr>
          <w:spacing w:val="5"/>
          <w:sz w:val="16"/>
        </w:rPr>
        <w:t xml:space="preserve">abr. </w:t>
      </w:r>
      <w:r>
        <w:rPr>
          <w:spacing w:val="7"/>
          <w:sz w:val="16"/>
        </w:rPr>
        <w:t xml:space="preserve">2011a.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line="312" w:lineRule="auto"/>
        <w:ind w:left="100" w:right="79"/>
        <w:jc w:val="both"/>
        <w:rPr>
          <w:sz w:val="16"/>
        </w:rPr>
      </w:pPr>
      <w:hyperlink r:id="rId1525">
        <w:r w:rsidR="00330118">
          <w:rPr>
            <w:sz w:val="16"/>
          </w:rPr>
          <w:t>&lt;http:/</w:t>
        </w:r>
        <w:r w:rsidR="00330118">
          <w:rPr>
            <w:sz w:val="16"/>
          </w:rPr>
          <w:t>/www.brasilmineral.com.br/BM/default.asp?COD=5435&amp;busca=</w:t>
        </w:r>
      </w:hyperlink>
      <w:r w:rsidR="00330118">
        <w:rPr>
          <w:sz w:val="16"/>
        </w:rPr>
        <w:t xml:space="preserve"> &amp;numero=496&gt;. Acesso em: 02 dez. 2011.</w:t>
      </w:r>
    </w:p>
    <w:p w:rsidR="00D81F69" w:rsidRDefault="00330118">
      <w:pPr>
        <w:spacing w:before="1" w:line="312" w:lineRule="auto"/>
        <w:ind w:left="100" w:right="53"/>
        <w:jc w:val="both"/>
        <w:rPr>
          <w:sz w:val="16"/>
        </w:rPr>
      </w:pPr>
      <w:r>
        <w:rPr>
          <w:sz w:val="16"/>
        </w:rPr>
        <w:t>______. Terras Raras. Governo tenta atrair Vale para produção. In: Brasil Mineral Online, n. 502, 20 maio, 2011b. Disponível em:</w:t>
      </w:r>
    </w:p>
    <w:p w:rsidR="00D81F69" w:rsidRDefault="00D81F69">
      <w:pPr>
        <w:spacing w:before="2"/>
        <w:ind w:left="100"/>
        <w:jc w:val="both"/>
        <w:rPr>
          <w:sz w:val="16"/>
        </w:rPr>
      </w:pPr>
      <w:hyperlink r:id="rId1526">
        <w:r w:rsidR="00330118">
          <w:rPr>
            <w:sz w:val="16"/>
          </w:rPr>
          <w:t>&lt;http://www.brasilmineral.com.br/BM/default.asp?COD=5540&amp;busca=</w:t>
        </w:r>
      </w:hyperlink>
    </w:p>
    <w:p w:rsidR="00D81F69" w:rsidRDefault="00330118">
      <w:pPr>
        <w:spacing w:before="70"/>
        <w:ind w:left="100"/>
        <w:jc w:val="both"/>
        <w:rPr>
          <w:sz w:val="16"/>
        </w:rPr>
      </w:pPr>
      <w:r>
        <w:br w:type="column"/>
      </w:r>
      <w:r>
        <w:rPr>
          <w:sz w:val="16"/>
        </w:rPr>
        <w:lastRenderedPageBreak/>
        <w:t>&amp;numero=502&gt;. Acesso em: 03 dez. 2011.</w:t>
      </w:r>
    </w:p>
    <w:p w:rsidR="00D81F69" w:rsidRDefault="00330118">
      <w:pPr>
        <w:tabs>
          <w:tab w:val="left" w:pos="644"/>
          <w:tab w:val="left" w:pos="2559"/>
          <w:tab w:val="left" w:pos="5063"/>
        </w:tabs>
        <w:spacing w:before="56" w:line="312" w:lineRule="auto"/>
        <w:ind w:left="100" w:right="200"/>
        <w:jc w:val="both"/>
        <w:rPr>
          <w:sz w:val="16"/>
        </w:rPr>
      </w:pPr>
      <w:r>
        <w:rPr>
          <w:sz w:val="16"/>
          <w:u w:val="single"/>
        </w:rPr>
        <w:t xml:space="preserve"> </w:t>
      </w:r>
      <w:r>
        <w:rPr>
          <w:sz w:val="16"/>
          <w:u w:val="single"/>
        </w:rPr>
        <w:tab/>
      </w:r>
      <w:r>
        <w:rPr>
          <w:sz w:val="16"/>
        </w:rPr>
        <w:t>. Terras Raras. Mercado deve movimentar até US$ 6 bilhões em 2015. In</w:t>
      </w:r>
      <w:r>
        <w:rPr>
          <w:sz w:val="16"/>
        </w:rPr>
        <w:t>: Brasil Mineral Online, n. 503, 26 maio 2011c. Disponível e</w:t>
      </w:r>
      <w:r>
        <w:rPr>
          <w:sz w:val="16"/>
        </w:rPr>
        <w:tab/>
      </w:r>
      <w:r>
        <w:rPr>
          <w:sz w:val="16"/>
        </w:rPr>
        <w:tab/>
        <w:t>m</w:t>
      </w:r>
      <w:r>
        <w:rPr>
          <w:sz w:val="16"/>
        </w:rPr>
        <w:tab/>
        <w:t>:</w:t>
      </w:r>
    </w:p>
    <w:p w:rsidR="00D81F69" w:rsidRDefault="00D81F69">
      <w:pPr>
        <w:spacing w:before="2" w:line="312" w:lineRule="auto"/>
        <w:ind w:left="100" w:right="216"/>
        <w:jc w:val="both"/>
        <w:rPr>
          <w:sz w:val="16"/>
        </w:rPr>
      </w:pPr>
      <w:hyperlink r:id="rId1527">
        <w:r w:rsidR="00330118">
          <w:rPr>
            <w:sz w:val="16"/>
          </w:rPr>
          <w:t>&lt;http://www.brasilmineral.com.br/BM/default.asp?COD=5553&amp;busca=</w:t>
        </w:r>
      </w:hyperlink>
      <w:r w:rsidR="00330118">
        <w:rPr>
          <w:sz w:val="16"/>
        </w:rPr>
        <w:t xml:space="preserve"> &amp;numero=503&gt;. Acesso em: 03 dez. 2011.</w:t>
      </w:r>
    </w:p>
    <w:p w:rsidR="00D81F69" w:rsidRDefault="00330118">
      <w:pPr>
        <w:spacing w:before="2" w:line="312" w:lineRule="auto"/>
        <w:ind w:left="100" w:right="181"/>
        <w:jc w:val="both"/>
        <w:rPr>
          <w:sz w:val="16"/>
        </w:rPr>
      </w:pPr>
      <w:r>
        <w:rPr>
          <w:sz w:val="16"/>
        </w:rPr>
        <w:t xml:space="preserve">CAMPOS, Otávio. Professor denuncia radioatividade, Folha da Manhã, Campos, 14 abr. 2002. Anbio. Disponível em: </w:t>
      </w:r>
    </w:p>
    <w:p w:rsidR="00D81F69" w:rsidRDefault="00D81F69">
      <w:pPr>
        <w:spacing w:before="1" w:line="312" w:lineRule="auto"/>
        <w:ind w:left="100" w:right="199"/>
        <w:jc w:val="both"/>
        <w:rPr>
          <w:sz w:val="16"/>
        </w:rPr>
      </w:pPr>
      <w:hyperlink r:id="rId1528">
        <w:r w:rsidR="00330118">
          <w:rPr>
            <w:sz w:val="16"/>
          </w:rPr>
          <w:t xml:space="preserve">&lt;http://www.anbio.org.br/bio/biodiver_not32.htm&gt;. </w:t>
        </w:r>
      </w:hyperlink>
      <w:r w:rsidR="00330118">
        <w:rPr>
          <w:sz w:val="16"/>
        </w:rPr>
        <w:t>Acesso em: 07 dez. 2011.</w:t>
      </w:r>
    </w:p>
    <w:p w:rsidR="00D81F69" w:rsidRDefault="00330118">
      <w:pPr>
        <w:tabs>
          <w:tab w:val="left" w:pos="1164"/>
          <w:tab w:val="left" w:pos="2473"/>
          <w:tab w:val="left" w:pos="4636"/>
        </w:tabs>
        <w:spacing w:before="2" w:line="312" w:lineRule="auto"/>
        <w:ind w:left="100" w:right="201"/>
        <w:jc w:val="both"/>
        <w:rPr>
          <w:sz w:val="16"/>
        </w:rPr>
      </w:pPr>
      <w:r>
        <w:rPr>
          <w:spacing w:val="3"/>
          <w:sz w:val="16"/>
        </w:rPr>
        <w:t>CÉSAR</w:t>
      </w:r>
      <w:r>
        <w:rPr>
          <w:spacing w:val="3"/>
          <w:sz w:val="16"/>
        </w:rPr>
        <w:t xml:space="preserve">, Júlio. </w:t>
      </w:r>
      <w:r>
        <w:rPr>
          <w:spacing w:val="2"/>
          <w:sz w:val="16"/>
        </w:rPr>
        <w:t xml:space="preserve">São </w:t>
      </w:r>
      <w:r>
        <w:rPr>
          <w:spacing w:val="3"/>
          <w:sz w:val="16"/>
        </w:rPr>
        <w:t xml:space="preserve">Francisco </w:t>
      </w:r>
      <w:r>
        <w:rPr>
          <w:spacing w:val="1"/>
          <w:sz w:val="16"/>
        </w:rPr>
        <w:t xml:space="preserve">de </w:t>
      </w:r>
      <w:r>
        <w:rPr>
          <w:spacing w:val="3"/>
          <w:sz w:val="16"/>
        </w:rPr>
        <w:t xml:space="preserve">Itabapoana-RJ </w:t>
      </w:r>
      <w:r>
        <w:rPr>
          <w:spacing w:val="2"/>
          <w:sz w:val="16"/>
        </w:rPr>
        <w:t xml:space="preserve">quer </w:t>
      </w:r>
      <w:r>
        <w:rPr>
          <w:spacing w:val="3"/>
          <w:sz w:val="16"/>
        </w:rPr>
        <w:t xml:space="preserve">Estudo </w:t>
      </w:r>
      <w:r>
        <w:rPr>
          <w:spacing w:val="5"/>
          <w:sz w:val="16"/>
        </w:rPr>
        <w:t xml:space="preserve">de </w:t>
      </w:r>
      <w:r>
        <w:rPr>
          <w:sz w:val="16"/>
        </w:rPr>
        <w:t xml:space="preserve">Impacto Ambiental por causa do Porto do Açu. Show Francisco, 03    s  e </w:t>
      </w:r>
      <w:r>
        <w:rPr>
          <w:spacing w:val="22"/>
          <w:sz w:val="16"/>
        </w:rPr>
        <w:t xml:space="preserve"> </w:t>
      </w:r>
      <w:r>
        <w:rPr>
          <w:sz w:val="16"/>
        </w:rPr>
        <w:t xml:space="preserve">t </w:t>
      </w:r>
      <w:r>
        <w:rPr>
          <w:spacing w:val="10"/>
          <w:sz w:val="16"/>
        </w:rPr>
        <w:t xml:space="preserve"> </w:t>
      </w:r>
      <w:r>
        <w:rPr>
          <w:sz w:val="16"/>
        </w:rPr>
        <w:t>.</w:t>
      </w:r>
      <w:r>
        <w:rPr>
          <w:sz w:val="16"/>
        </w:rPr>
        <w:tab/>
        <w:t xml:space="preserve">2  0  1 </w:t>
      </w:r>
      <w:r>
        <w:rPr>
          <w:spacing w:val="35"/>
          <w:sz w:val="16"/>
        </w:rPr>
        <w:t xml:space="preserve"> </w:t>
      </w:r>
      <w:r>
        <w:rPr>
          <w:sz w:val="16"/>
        </w:rPr>
        <w:t xml:space="preserve">1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2" w:line="312" w:lineRule="auto"/>
        <w:ind w:left="100" w:right="180"/>
        <w:jc w:val="both"/>
        <w:rPr>
          <w:sz w:val="16"/>
        </w:rPr>
      </w:pPr>
      <w:hyperlink r:id="rId1529">
        <w:r w:rsidR="00330118">
          <w:rPr>
            <w:spacing w:val="10"/>
            <w:sz w:val="16"/>
          </w:rPr>
          <w:t>&lt;http://showfranciscodacidade.blogspot.com.br/2011/09/sao-</w:t>
        </w:r>
      </w:hyperlink>
      <w:r w:rsidR="00330118">
        <w:rPr>
          <w:spacing w:val="10"/>
          <w:sz w:val="16"/>
        </w:rPr>
        <w:t xml:space="preserve"> </w:t>
      </w:r>
      <w:r w:rsidR="00330118">
        <w:rPr>
          <w:spacing w:val="3"/>
          <w:sz w:val="16"/>
        </w:rPr>
        <w:t xml:space="preserve">francisco-de-itabapoana-rjquer.html&gt;. Acesso </w:t>
      </w:r>
      <w:r w:rsidR="00330118">
        <w:rPr>
          <w:spacing w:val="2"/>
          <w:sz w:val="16"/>
        </w:rPr>
        <w:t xml:space="preserve">em: </w:t>
      </w:r>
      <w:r w:rsidR="00330118">
        <w:rPr>
          <w:spacing w:val="1"/>
          <w:sz w:val="16"/>
        </w:rPr>
        <w:t xml:space="preserve">07 </w:t>
      </w:r>
      <w:r w:rsidR="00330118">
        <w:rPr>
          <w:spacing w:val="2"/>
          <w:sz w:val="16"/>
        </w:rPr>
        <w:t xml:space="preserve">dez. </w:t>
      </w:r>
      <w:r w:rsidR="00330118">
        <w:rPr>
          <w:spacing w:val="5"/>
          <w:sz w:val="16"/>
        </w:rPr>
        <w:t xml:space="preserve">2011. </w:t>
      </w:r>
      <w:r w:rsidR="00330118">
        <w:rPr>
          <w:sz w:val="16"/>
        </w:rPr>
        <w:t xml:space="preserve">IBGE, Instituto Brasileiro de Geografia e Estatística. São Francisco de </w:t>
      </w:r>
      <w:r w:rsidR="00330118">
        <w:rPr>
          <w:spacing w:val="17"/>
          <w:sz w:val="16"/>
        </w:rPr>
        <w:t xml:space="preserve">Itabapoana  </w:t>
      </w:r>
      <w:r w:rsidR="00330118">
        <w:rPr>
          <w:spacing w:val="15"/>
          <w:sz w:val="16"/>
        </w:rPr>
        <w:t xml:space="preserve">(RJ). </w:t>
      </w:r>
      <w:r w:rsidR="00330118">
        <w:rPr>
          <w:spacing w:val="75"/>
          <w:sz w:val="16"/>
        </w:rPr>
        <w:t xml:space="preserve"> </w:t>
      </w:r>
      <w:r w:rsidR="00330118">
        <w:rPr>
          <w:spacing w:val="13"/>
          <w:sz w:val="16"/>
        </w:rPr>
        <w:t xml:space="preserve">In:   </w:t>
      </w:r>
      <w:r w:rsidR="00330118">
        <w:rPr>
          <w:spacing w:val="15"/>
          <w:sz w:val="16"/>
        </w:rPr>
        <w:t xml:space="preserve">IBGE   </w:t>
      </w:r>
      <w:r w:rsidR="00330118">
        <w:rPr>
          <w:spacing w:val="17"/>
          <w:sz w:val="16"/>
        </w:rPr>
        <w:t xml:space="preserve">Cidades.  Disponível </w:t>
      </w:r>
      <w:r w:rsidR="00330118">
        <w:rPr>
          <w:spacing w:val="16"/>
          <w:sz w:val="16"/>
        </w:rPr>
        <w:t xml:space="preserve"> </w:t>
      </w:r>
      <w:r w:rsidR="00330118">
        <w:rPr>
          <w:spacing w:val="13"/>
          <w:sz w:val="16"/>
        </w:rPr>
        <w:t>em:</w:t>
      </w:r>
      <w:r w:rsidR="00330118">
        <w:rPr>
          <w:spacing w:val="-23"/>
          <w:sz w:val="16"/>
        </w:rPr>
        <w:t xml:space="preserve"> </w:t>
      </w:r>
    </w:p>
    <w:p w:rsidR="00D81F69" w:rsidRDefault="00D81F69">
      <w:pPr>
        <w:spacing w:before="4"/>
        <w:ind w:left="100"/>
        <w:jc w:val="both"/>
        <w:rPr>
          <w:sz w:val="16"/>
        </w:rPr>
      </w:pPr>
      <w:hyperlink r:id="rId1530">
        <w:r w:rsidR="00330118">
          <w:rPr>
            <w:sz w:val="16"/>
          </w:rPr>
          <w:t>&lt;http://www.ibge.gov.br/cidadesat/xtras/perfil.php?codmun=330475&amp;r</w:t>
        </w:r>
      </w:hyperlink>
    </w:p>
    <w:p w:rsidR="00D81F69" w:rsidRDefault="00330118">
      <w:pPr>
        <w:spacing w:before="56"/>
        <w:ind w:left="100"/>
        <w:jc w:val="both"/>
        <w:rPr>
          <w:sz w:val="16"/>
        </w:rPr>
      </w:pPr>
      <w:r>
        <w:rPr>
          <w:sz w:val="16"/>
        </w:rPr>
        <w:t>=2&gt;. Acesso em: 03 dez. 2011.</w:t>
      </w:r>
    </w:p>
    <w:p w:rsidR="00D81F69" w:rsidRDefault="00330118">
      <w:pPr>
        <w:spacing w:before="56" w:line="312" w:lineRule="auto"/>
        <w:ind w:left="100" w:right="193"/>
        <w:jc w:val="both"/>
        <w:rPr>
          <w:sz w:val="16"/>
        </w:rPr>
      </w:pPr>
      <w:r>
        <w:rPr>
          <w:sz w:val="16"/>
        </w:rPr>
        <w:t>INB, Indústrias Nucleares do Brasil. Institucional. Urânio - mais energi</w:t>
      </w:r>
      <w:r>
        <w:rPr>
          <w:sz w:val="16"/>
        </w:rPr>
        <w:t>a para o desenvolvimento do país, 2012a. Disponível em:</w:t>
      </w:r>
    </w:p>
    <w:p w:rsidR="00D81F69" w:rsidRDefault="00D81F69">
      <w:pPr>
        <w:spacing w:before="1" w:line="312" w:lineRule="auto"/>
        <w:ind w:left="100" w:right="195"/>
        <w:jc w:val="both"/>
        <w:rPr>
          <w:sz w:val="16"/>
        </w:rPr>
      </w:pPr>
      <w:hyperlink r:id="rId1531">
        <w:r w:rsidR="00330118">
          <w:rPr>
            <w:sz w:val="16"/>
          </w:rPr>
          <w:t>&lt;http://www.inb.gov.br/inb/WebForms/Interna2.aspx?secao_id=4&gt;.</w:t>
        </w:r>
      </w:hyperlink>
      <w:r w:rsidR="00330118">
        <w:rPr>
          <w:sz w:val="16"/>
        </w:rPr>
        <w:t xml:space="preserve"> Acesso em: 19 mar. 2012.</w:t>
      </w:r>
    </w:p>
    <w:p w:rsidR="00D81F69" w:rsidRDefault="00330118">
      <w:pPr>
        <w:tabs>
          <w:tab w:val="left" w:pos="2559"/>
          <w:tab w:val="left" w:pos="5063"/>
        </w:tabs>
        <w:spacing w:before="2" w:line="312" w:lineRule="auto"/>
        <w:ind w:left="100" w:right="200"/>
        <w:jc w:val="both"/>
        <w:rPr>
          <w:sz w:val="16"/>
        </w:rPr>
      </w:pPr>
      <w:r>
        <w:rPr>
          <w:sz w:val="16"/>
        </w:rPr>
        <w:t>______. Buena - Unidade de Minerais</w:t>
      </w:r>
      <w:r>
        <w:rPr>
          <w:sz w:val="16"/>
        </w:rPr>
        <w:t xml:space="preserve"> Pesados, 2012b. Disponível     e</w:t>
      </w:r>
      <w:r>
        <w:rPr>
          <w:sz w:val="16"/>
        </w:rPr>
        <w:tab/>
        <w:t>m</w:t>
      </w:r>
      <w:r>
        <w:rPr>
          <w:sz w:val="16"/>
        </w:rPr>
        <w:tab/>
        <w:t>:</w:t>
      </w:r>
    </w:p>
    <w:p w:rsidR="00D81F69" w:rsidRDefault="00D81F69">
      <w:pPr>
        <w:spacing w:before="2" w:line="312" w:lineRule="auto"/>
        <w:ind w:left="100" w:right="195"/>
        <w:jc w:val="both"/>
        <w:rPr>
          <w:sz w:val="16"/>
        </w:rPr>
      </w:pPr>
      <w:hyperlink r:id="rId1532">
        <w:r w:rsidR="00330118">
          <w:rPr>
            <w:sz w:val="16"/>
          </w:rPr>
          <w:t>&lt;http://www.inb.gov.br/inb/WebForms/interna.aspx?secao_id=62&gt;.</w:t>
        </w:r>
      </w:hyperlink>
      <w:r w:rsidR="00330118">
        <w:rPr>
          <w:sz w:val="16"/>
        </w:rPr>
        <w:t xml:space="preserve"> Acesso em: 19 mar. 2012.</w:t>
      </w:r>
    </w:p>
    <w:p w:rsidR="00D81F69" w:rsidRDefault="00330118">
      <w:pPr>
        <w:spacing w:before="1" w:line="312" w:lineRule="auto"/>
        <w:ind w:left="100" w:right="183"/>
        <w:jc w:val="both"/>
        <w:rPr>
          <w:sz w:val="16"/>
        </w:rPr>
      </w:pPr>
      <w:r>
        <w:rPr>
          <w:sz w:val="16"/>
        </w:rPr>
        <w:t>FOLHA DA MANHÃ. “Terras raras” ainda mais raras em Bu</w:t>
      </w:r>
      <w:r>
        <w:rPr>
          <w:sz w:val="16"/>
        </w:rPr>
        <w:t xml:space="preserve">ena. BLOG ALÔ A TODOS, 06 fev. 2011. Disponível em: </w:t>
      </w:r>
    </w:p>
    <w:p w:rsidR="00D81F69" w:rsidRDefault="00D81F69">
      <w:pPr>
        <w:spacing w:before="2" w:line="312" w:lineRule="auto"/>
        <w:ind w:left="100" w:right="213"/>
        <w:jc w:val="both"/>
        <w:rPr>
          <w:sz w:val="16"/>
        </w:rPr>
      </w:pPr>
      <w:hyperlink r:id="rId1533">
        <w:r w:rsidR="00330118">
          <w:rPr>
            <w:sz w:val="16"/>
          </w:rPr>
          <w:t>&lt;http://aloatodos.blogspot.com.br/2011/02/terras-raras-ainda-mais-</w:t>
        </w:r>
      </w:hyperlink>
      <w:r w:rsidR="00330118">
        <w:rPr>
          <w:sz w:val="16"/>
        </w:rPr>
        <w:t xml:space="preserve"> raras-em-buena.html&gt;. Acesso em: 02 dez. 2011.</w:t>
      </w:r>
    </w:p>
    <w:p w:rsidR="00D81F69" w:rsidRDefault="00330118">
      <w:pPr>
        <w:spacing w:before="2" w:line="312" w:lineRule="auto"/>
        <w:ind w:left="100" w:right="191"/>
        <w:jc w:val="both"/>
        <w:rPr>
          <w:sz w:val="16"/>
        </w:rPr>
      </w:pPr>
      <w:r>
        <w:rPr>
          <w:sz w:val="16"/>
        </w:rPr>
        <w:t>LAURIA</w:t>
      </w:r>
      <w:r>
        <w:rPr>
          <w:sz w:val="16"/>
        </w:rPr>
        <w:t>, Dejanira C.; ALMEIDA, Rodrigo M. R. de. Análise estatítica como ferramenta para avaliar fontes de radionuclídeos em águas subterrâneas, INAC 2005, Santos, SP, Brazil. Disponível em:</w:t>
      </w:r>
    </w:p>
    <w:p w:rsidR="00D81F69" w:rsidRDefault="00D81F69">
      <w:pPr>
        <w:spacing w:before="2" w:line="312" w:lineRule="auto"/>
        <w:ind w:left="100" w:right="193"/>
        <w:jc w:val="both"/>
        <w:rPr>
          <w:sz w:val="16"/>
        </w:rPr>
      </w:pPr>
      <w:hyperlink r:id="rId1534">
        <w:r w:rsidR="00330118">
          <w:rPr>
            <w:sz w:val="16"/>
          </w:rPr>
          <w:t>&lt;http://pintassilgo2.ipen.br/biblioteca/cd/inac/2005/full/1900.pdf&gt;.</w:t>
        </w:r>
      </w:hyperlink>
      <w:r w:rsidR="00330118">
        <w:rPr>
          <w:sz w:val="16"/>
        </w:rPr>
        <w:t xml:space="preserve"> Acesso em: 03 dez. 2011.</w:t>
      </w:r>
    </w:p>
    <w:p w:rsidR="00D81F69" w:rsidRDefault="00330118">
      <w:pPr>
        <w:spacing w:before="2" w:line="312" w:lineRule="auto"/>
        <w:ind w:left="100" w:right="188"/>
        <w:jc w:val="both"/>
        <w:rPr>
          <w:sz w:val="16"/>
        </w:rPr>
      </w:pPr>
      <w:r>
        <w:rPr>
          <w:sz w:val="16"/>
        </w:rPr>
        <w:t xml:space="preserve">MARTINS, Tereza. S.; ISOLANI, Paulo Celso.Terras raras: Aplicações industriais e </w:t>
      </w:r>
      <w:r>
        <w:rPr>
          <w:sz w:val="16"/>
        </w:rPr>
        <w:t>biológicas, Quim. Nova, vol. 28, n. 1, 111-</w:t>
      </w:r>
    </w:p>
    <w:p w:rsidR="00D81F69" w:rsidRDefault="00330118">
      <w:pPr>
        <w:pStyle w:val="PargrafodaLista"/>
        <w:numPr>
          <w:ilvl w:val="0"/>
          <w:numId w:val="1"/>
        </w:numPr>
        <w:tabs>
          <w:tab w:val="left" w:pos="289"/>
          <w:tab w:val="left" w:pos="1205"/>
          <w:tab w:val="left" w:pos="2500"/>
          <w:tab w:val="left" w:pos="4642"/>
        </w:tabs>
        <w:spacing w:before="1"/>
        <w:ind w:hanging="188"/>
        <w:jc w:val="both"/>
        <w:rPr>
          <w:sz w:val="16"/>
        </w:rPr>
      </w:pPr>
      <w:r>
        <w:rPr>
          <w:sz w:val="16"/>
        </w:rPr>
        <w:t xml:space="preserve">1 </w:t>
      </w:r>
      <w:r>
        <w:rPr>
          <w:spacing w:val="10"/>
          <w:sz w:val="16"/>
        </w:rPr>
        <w:t xml:space="preserve"> </w:t>
      </w:r>
      <w:r>
        <w:rPr>
          <w:sz w:val="16"/>
        </w:rPr>
        <w:t xml:space="preserve">7 </w:t>
      </w:r>
      <w:r>
        <w:rPr>
          <w:spacing w:val="10"/>
          <w:sz w:val="16"/>
        </w:rPr>
        <w:t xml:space="preserve"> </w:t>
      </w:r>
      <w:r>
        <w:rPr>
          <w:sz w:val="16"/>
        </w:rPr>
        <w:t>,</w:t>
      </w:r>
      <w:r>
        <w:rPr>
          <w:sz w:val="16"/>
        </w:rPr>
        <w:tab/>
        <w:t xml:space="preserve">2  0  0 </w:t>
      </w:r>
      <w:r>
        <w:rPr>
          <w:spacing w:val="31"/>
          <w:sz w:val="16"/>
        </w:rPr>
        <w:t xml:space="preserve"> </w:t>
      </w:r>
      <w:r>
        <w:rPr>
          <w:sz w:val="16"/>
        </w:rPr>
        <w:t xml:space="preserve">5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0"/>
          <w:sz w:val="16"/>
        </w:rPr>
        <w:t xml:space="preserve"> </w:t>
      </w:r>
      <w:r>
        <w:rPr>
          <w:sz w:val="16"/>
        </w:rPr>
        <w:t>:</w:t>
      </w:r>
    </w:p>
    <w:p w:rsidR="00D81F69" w:rsidRDefault="00D81F69">
      <w:pPr>
        <w:spacing w:before="56" w:line="312" w:lineRule="auto"/>
        <w:ind w:left="100" w:right="197"/>
        <w:jc w:val="both"/>
        <w:rPr>
          <w:sz w:val="16"/>
        </w:rPr>
      </w:pPr>
      <w:hyperlink r:id="rId1535">
        <w:r w:rsidR="00330118">
          <w:rPr>
            <w:sz w:val="16"/>
          </w:rPr>
          <w:t xml:space="preserve">&lt;http://www.scielo.br/pdf/qn/v28n1/23047.pdf&gt;. </w:t>
        </w:r>
      </w:hyperlink>
      <w:r w:rsidR="00330118">
        <w:rPr>
          <w:sz w:val="16"/>
        </w:rPr>
        <w:t>Acesso em: 02 dez. 2011.</w:t>
      </w:r>
    </w:p>
    <w:p w:rsidR="00D81F69" w:rsidRDefault="00330118">
      <w:pPr>
        <w:spacing w:before="2" w:line="312" w:lineRule="auto"/>
        <w:ind w:left="100" w:right="165"/>
        <w:jc w:val="both"/>
        <w:rPr>
          <w:sz w:val="16"/>
        </w:rPr>
      </w:pPr>
      <w:r>
        <w:rPr>
          <w:sz w:val="16"/>
        </w:rPr>
        <w:t>PENHA, Maria da. BTS</w:t>
      </w:r>
      <w:r>
        <w:rPr>
          <w:sz w:val="16"/>
        </w:rPr>
        <w:t xml:space="preserve"> Empreendimentos apresenta licenciamento ambiental em audiência pública em SFI, Prefeitura de São Francisco de Itabapoana, 17 fev. 2011. Disponível em: </w:t>
      </w:r>
    </w:p>
    <w:p w:rsidR="00D81F69" w:rsidRDefault="00D81F69">
      <w:pPr>
        <w:spacing w:before="2" w:line="312" w:lineRule="auto"/>
        <w:ind w:left="100" w:right="217"/>
        <w:jc w:val="both"/>
        <w:rPr>
          <w:sz w:val="16"/>
        </w:rPr>
      </w:pPr>
      <w:hyperlink r:id="rId1536">
        <w:r w:rsidR="00330118">
          <w:rPr>
            <w:sz w:val="16"/>
          </w:rPr>
          <w:t>&lt;http://www.pmsfi.rj.gov</w:t>
        </w:r>
        <w:r w:rsidR="00330118">
          <w:rPr>
            <w:sz w:val="16"/>
          </w:rPr>
          <w:t xml:space="preserve">.br/noti/noticia.php?id=1003&amp;mod=7&gt;. </w:t>
        </w:r>
      </w:hyperlink>
      <w:r w:rsidR="00330118">
        <w:rPr>
          <w:sz w:val="16"/>
        </w:rPr>
        <w:t>Acesso em: 07 dez. 2011.</w:t>
      </w:r>
    </w:p>
    <w:p w:rsidR="00D81F69" w:rsidRDefault="00330118">
      <w:pPr>
        <w:spacing w:before="2"/>
        <w:ind w:left="100"/>
        <w:jc w:val="both"/>
        <w:rPr>
          <w:sz w:val="16"/>
        </w:rPr>
      </w:pPr>
      <w:r>
        <w:rPr>
          <w:sz w:val="16"/>
        </w:rPr>
        <w:t>PREFEITURA DE SÃO FRANCISCO DE ITABAPOANA. Dados do</w:t>
      </w:r>
    </w:p>
    <w:p w:rsidR="00D81F69" w:rsidRDefault="00330118">
      <w:pPr>
        <w:tabs>
          <w:tab w:val="left" w:pos="2352"/>
          <w:tab w:val="left" w:pos="4623"/>
        </w:tabs>
        <w:spacing w:before="56"/>
        <w:ind w:left="100"/>
        <w:jc w:val="both"/>
        <w:rPr>
          <w:sz w:val="16"/>
        </w:rPr>
      </w:pPr>
      <w:r>
        <w:rPr>
          <w:sz w:val="16"/>
        </w:rPr>
        <w:t xml:space="preserve">m </w:t>
      </w:r>
      <w:r>
        <w:rPr>
          <w:spacing w:val="20"/>
          <w:sz w:val="16"/>
        </w:rPr>
        <w:t xml:space="preserve"> </w:t>
      </w:r>
      <w:r>
        <w:rPr>
          <w:sz w:val="16"/>
        </w:rPr>
        <w:t xml:space="preserve">u </w:t>
      </w:r>
      <w:r>
        <w:rPr>
          <w:spacing w:val="20"/>
          <w:sz w:val="16"/>
        </w:rPr>
        <w:t xml:space="preserve"> </w:t>
      </w:r>
      <w:r>
        <w:rPr>
          <w:sz w:val="16"/>
        </w:rPr>
        <w:t xml:space="preserve">n </w:t>
      </w:r>
      <w:r>
        <w:rPr>
          <w:spacing w:val="20"/>
          <w:sz w:val="16"/>
        </w:rPr>
        <w:t xml:space="preserve"> </w:t>
      </w:r>
      <w:r>
        <w:rPr>
          <w:sz w:val="16"/>
        </w:rPr>
        <w:t xml:space="preserve">i </w:t>
      </w:r>
      <w:r>
        <w:rPr>
          <w:spacing w:val="20"/>
          <w:sz w:val="16"/>
        </w:rPr>
        <w:t xml:space="preserve"> </w:t>
      </w:r>
      <w:r>
        <w:rPr>
          <w:sz w:val="16"/>
        </w:rPr>
        <w:t xml:space="preserve">c </w:t>
      </w:r>
      <w:r>
        <w:rPr>
          <w:spacing w:val="20"/>
          <w:sz w:val="16"/>
        </w:rPr>
        <w:t xml:space="preserve"> </w:t>
      </w:r>
      <w:r>
        <w:rPr>
          <w:sz w:val="16"/>
        </w:rPr>
        <w:t xml:space="preserve">í </w:t>
      </w:r>
      <w:r>
        <w:rPr>
          <w:spacing w:val="20"/>
          <w:sz w:val="16"/>
        </w:rPr>
        <w:t xml:space="preserve"> </w:t>
      </w:r>
      <w:r>
        <w:rPr>
          <w:sz w:val="16"/>
        </w:rPr>
        <w:t xml:space="preserve">p </w:t>
      </w:r>
      <w:r>
        <w:rPr>
          <w:spacing w:val="20"/>
          <w:sz w:val="16"/>
        </w:rPr>
        <w:t xml:space="preserve"> </w:t>
      </w:r>
      <w:r>
        <w:rPr>
          <w:sz w:val="16"/>
        </w:rPr>
        <w:t xml:space="preserve">i </w:t>
      </w:r>
      <w:r>
        <w:rPr>
          <w:spacing w:val="20"/>
          <w:sz w:val="16"/>
        </w:rPr>
        <w:t xml:space="preserve"> </w:t>
      </w:r>
      <w:r>
        <w:rPr>
          <w:sz w:val="16"/>
        </w:rPr>
        <w:t xml:space="preserve">o </w:t>
      </w:r>
      <w:r>
        <w:rPr>
          <w:spacing w:val="20"/>
          <w:sz w:val="16"/>
        </w:rPr>
        <w:t xml:space="preserve"> </w:t>
      </w:r>
      <w:r>
        <w:rPr>
          <w:sz w:val="16"/>
        </w:rPr>
        <w:t>.</w:t>
      </w:r>
      <w:r>
        <w:rPr>
          <w:sz w:val="16"/>
        </w:rPr>
        <w:tab/>
        <w:t xml:space="preserve">D </w:t>
      </w:r>
      <w:r>
        <w:rPr>
          <w:spacing w:val="20"/>
          <w:sz w:val="16"/>
        </w:rPr>
        <w:t xml:space="preserve"> </w:t>
      </w:r>
      <w:r>
        <w:rPr>
          <w:sz w:val="16"/>
        </w:rPr>
        <w:t xml:space="preserve">i </w:t>
      </w:r>
      <w:r>
        <w:rPr>
          <w:spacing w:val="20"/>
          <w:sz w:val="16"/>
        </w:rPr>
        <w:t xml:space="preserve"> </w:t>
      </w:r>
      <w:r>
        <w:rPr>
          <w:sz w:val="16"/>
        </w:rPr>
        <w:t xml:space="preserve">s </w:t>
      </w:r>
      <w:r>
        <w:rPr>
          <w:spacing w:val="20"/>
          <w:sz w:val="16"/>
        </w:rPr>
        <w:t xml:space="preserve"> </w:t>
      </w:r>
      <w:r>
        <w:rPr>
          <w:sz w:val="16"/>
        </w:rPr>
        <w:t xml:space="preserve">p </w:t>
      </w:r>
      <w:r>
        <w:rPr>
          <w:spacing w:val="20"/>
          <w:sz w:val="16"/>
        </w:rPr>
        <w:t xml:space="preserve"> </w:t>
      </w:r>
      <w:r>
        <w:rPr>
          <w:sz w:val="16"/>
        </w:rPr>
        <w:t xml:space="preserve">o </w:t>
      </w:r>
      <w:r>
        <w:rPr>
          <w:spacing w:val="20"/>
          <w:sz w:val="16"/>
        </w:rPr>
        <w:t xml:space="preserve"> </w:t>
      </w:r>
      <w:r>
        <w:rPr>
          <w:sz w:val="16"/>
        </w:rPr>
        <w:t xml:space="preserve">n </w:t>
      </w:r>
      <w:r>
        <w:rPr>
          <w:spacing w:val="20"/>
          <w:sz w:val="16"/>
        </w:rPr>
        <w:t xml:space="preserve"> </w:t>
      </w:r>
      <w:r>
        <w:rPr>
          <w:sz w:val="16"/>
        </w:rPr>
        <w:t xml:space="preserve">í </w:t>
      </w:r>
      <w:r>
        <w:rPr>
          <w:spacing w:val="20"/>
          <w:sz w:val="16"/>
        </w:rPr>
        <w:t xml:space="preserve"> </w:t>
      </w:r>
      <w:r>
        <w:rPr>
          <w:sz w:val="16"/>
        </w:rPr>
        <w:t xml:space="preserve">v </w:t>
      </w:r>
      <w:r>
        <w:rPr>
          <w:spacing w:val="20"/>
          <w:sz w:val="16"/>
        </w:rPr>
        <w:t xml:space="preserve"> </w:t>
      </w:r>
      <w:r>
        <w:rPr>
          <w:sz w:val="16"/>
        </w:rPr>
        <w:t xml:space="preserve">e </w:t>
      </w:r>
      <w:r>
        <w:rPr>
          <w:spacing w:val="20"/>
          <w:sz w:val="16"/>
        </w:rPr>
        <w:t xml:space="preserve"> </w:t>
      </w:r>
      <w:r>
        <w:rPr>
          <w:sz w:val="16"/>
        </w:rPr>
        <w:t>l</w:t>
      </w:r>
      <w:r>
        <w:rPr>
          <w:sz w:val="16"/>
        </w:rPr>
        <w:tab/>
        <w:t>e   m</w:t>
      </w:r>
      <w:r>
        <w:rPr>
          <w:spacing w:val="40"/>
          <w:sz w:val="16"/>
        </w:rPr>
        <w:t xml:space="preserve"> </w:t>
      </w:r>
      <w:r>
        <w:rPr>
          <w:sz w:val="16"/>
        </w:rPr>
        <w:t>:</w:t>
      </w:r>
    </w:p>
    <w:p w:rsidR="00D81F69" w:rsidRDefault="00D81F69">
      <w:pPr>
        <w:spacing w:before="56" w:line="312" w:lineRule="auto"/>
        <w:ind w:left="100" w:right="213"/>
        <w:jc w:val="both"/>
        <w:rPr>
          <w:sz w:val="16"/>
        </w:rPr>
      </w:pPr>
      <w:hyperlink r:id="rId1537">
        <w:r w:rsidR="00330118">
          <w:rPr>
            <w:sz w:val="16"/>
          </w:rPr>
          <w:t>&lt;</w:t>
        </w:r>
        <w:r w:rsidR="00330118">
          <w:rPr>
            <w:sz w:val="16"/>
          </w:rPr>
          <w:t xml:space="preserve">http://www.pmsfi.rj.gov.br/ctdo/index.php?id=29&gt;. </w:t>
        </w:r>
      </w:hyperlink>
      <w:r w:rsidR="00330118">
        <w:rPr>
          <w:sz w:val="16"/>
        </w:rPr>
        <w:t>Acesso em: 03 dez. 2011.</w:t>
      </w:r>
    </w:p>
    <w:p w:rsidR="00D81F69" w:rsidRDefault="00330118">
      <w:pPr>
        <w:spacing w:before="2" w:line="312" w:lineRule="auto"/>
        <w:ind w:left="100" w:right="196"/>
        <w:jc w:val="both"/>
        <w:rPr>
          <w:sz w:val="16"/>
        </w:rPr>
      </w:pPr>
      <w:r>
        <w:rPr>
          <w:sz w:val="16"/>
        </w:rPr>
        <w:t>ROSENTAL, Simon. Terras raras. In: Rochas Minerais Industriais: Usos e Especificações, Parte 2 – Rochas e Minerais Industriais: Usos e Especificações, cap. 36, p. 817 – 840, Cetem, Rio de Janeiro, dez.</w:t>
      </w:r>
    </w:p>
    <w:p w:rsidR="00D81F69" w:rsidRDefault="00330118">
      <w:pPr>
        <w:pStyle w:val="PargrafodaLista"/>
        <w:numPr>
          <w:ilvl w:val="0"/>
          <w:numId w:val="1"/>
        </w:numPr>
        <w:tabs>
          <w:tab w:val="left" w:pos="335"/>
          <w:tab w:val="left" w:pos="1785"/>
          <w:tab w:val="left" w:pos="4548"/>
        </w:tabs>
        <w:ind w:left="334" w:hanging="234"/>
        <w:jc w:val="both"/>
        <w:rPr>
          <w:sz w:val="16"/>
        </w:rPr>
      </w:pPr>
      <w:r>
        <w:rPr>
          <w:sz w:val="16"/>
        </w:rPr>
        <w:t xml:space="preserve">0   0  </w:t>
      </w:r>
      <w:r>
        <w:rPr>
          <w:spacing w:val="22"/>
          <w:sz w:val="16"/>
        </w:rPr>
        <w:t xml:space="preserve"> </w:t>
      </w:r>
      <w:r>
        <w:rPr>
          <w:sz w:val="16"/>
        </w:rPr>
        <w:t xml:space="preserve">8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w:t>
      </w:r>
      <w:r>
        <w:rPr>
          <w:sz w:val="16"/>
        </w:rPr>
        <w:t xml:space="preserve">  m  </w:t>
      </w:r>
      <w:r>
        <w:rPr>
          <w:spacing w:val="22"/>
          <w:sz w:val="16"/>
        </w:rPr>
        <w:t xml:space="preserve"> </w:t>
      </w:r>
      <w:r>
        <w:rPr>
          <w:sz w:val="16"/>
        </w:rPr>
        <w:t>:</w:t>
      </w:r>
    </w:p>
    <w:p w:rsidR="00D81F69" w:rsidRDefault="00D81F69">
      <w:pPr>
        <w:spacing w:before="56" w:line="312" w:lineRule="auto"/>
        <w:ind w:left="100" w:right="191"/>
        <w:jc w:val="both"/>
        <w:rPr>
          <w:sz w:val="16"/>
        </w:rPr>
      </w:pPr>
      <w:hyperlink r:id="rId1538">
        <w:r w:rsidR="00330118">
          <w:rPr>
            <w:sz w:val="16"/>
          </w:rPr>
          <w:t>&lt;http://www.cetem.gov.br/publicacao/CTs/CT2008-188-00.pdf&gt;.</w:t>
        </w:r>
      </w:hyperlink>
      <w:r w:rsidR="00330118">
        <w:rPr>
          <w:sz w:val="16"/>
        </w:rPr>
        <w:t xml:space="preserve"> Acesso em: 02 dez. 2011.</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73" w:space="297"/>
            <w:col w:w="5310"/>
          </w:cols>
        </w:sectPr>
      </w:pPr>
    </w:p>
    <w:p w:rsidR="00D81F69" w:rsidRDefault="00330118">
      <w:pPr>
        <w:pStyle w:val="Heading1"/>
        <w:spacing w:line="208" w:lineRule="auto"/>
      </w:pPr>
      <w:r>
        <w:lastRenderedPageBreak/>
        <w:t>Companhia Mercantil e Industrial Ingá deixa passivo ambienta</w:t>
      </w:r>
      <w:r>
        <w:t>l à Baía de Sepetiba (RJ)</w:t>
      </w:r>
    </w:p>
    <w:p w:rsidR="00D81F69" w:rsidRDefault="00D81F69">
      <w:pPr>
        <w:pStyle w:val="Corpodetexto"/>
        <w:ind w:left="0"/>
        <w:jc w:val="left"/>
        <w:rPr>
          <w:b/>
          <w:sz w:val="20"/>
        </w:rPr>
      </w:pPr>
    </w:p>
    <w:p w:rsidR="00D81F69" w:rsidRDefault="00D81F69">
      <w:pPr>
        <w:pStyle w:val="Corpodetexto"/>
        <w:spacing w:before="7"/>
        <w:ind w:left="0"/>
        <w:jc w:val="left"/>
        <w:rPr>
          <w:b/>
          <w:sz w:val="23"/>
        </w:rPr>
      </w:pPr>
    </w:p>
    <w:p w:rsidR="00D81F69" w:rsidRDefault="00330118">
      <w:pPr>
        <w:pStyle w:val="Corpodetexto"/>
        <w:spacing w:line="20" w:lineRule="exact"/>
        <w:ind w:left="2164"/>
        <w:jc w:val="left"/>
        <w:rPr>
          <w:sz w:val="2"/>
        </w:rPr>
      </w:pPr>
      <w:r>
        <w:rPr>
          <w:noProof/>
          <w:sz w:val="2"/>
          <w:lang w:val="pt-BR" w:eastAsia="pt-BR"/>
        </w:rPr>
        <w:drawing>
          <wp:inline distT="0" distB="0" distL="0" distR="0">
            <wp:extent cx="1811385" cy="9334"/>
            <wp:effectExtent l="0" t="0" r="0" b="0"/>
            <wp:docPr id="43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D81F69">
      <w:pPr>
        <w:spacing w:line="20" w:lineRule="exact"/>
        <w:rPr>
          <w:sz w:val="2"/>
        </w:rPr>
        <w:sectPr w:rsidR="00D81F69">
          <w:pgSz w:w="11900" w:h="16840"/>
          <w:pgMar w:top="1080" w:right="500" w:bottom="620" w:left="620" w:header="0" w:footer="402" w:gutter="0"/>
          <w:cols w:space="720"/>
        </w:sectPr>
      </w:pPr>
    </w:p>
    <w:p w:rsidR="00D81F69" w:rsidRDefault="00D81F69">
      <w:pPr>
        <w:pStyle w:val="Corpodetexto"/>
        <w:ind w:left="0"/>
        <w:jc w:val="left"/>
        <w:rPr>
          <w:b/>
          <w:sz w:val="15"/>
        </w:rPr>
      </w:pPr>
    </w:p>
    <w:p w:rsidR="00D81F69" w:rsidRDefault="00330118">
      <w:pPr>
        <w:ind w:left="135"/>
        <w:rPr>
          <w:i/>
          <w:sz w:val="14"/>
        </w:rPr>
      </w:pPr>
      <w:r>
        <w:rPr>
          <w:i/>
          <w:sz w:val="14"/>
        </w:rPr>
        <w:t>MUNICÍPIOS</w:t>
      </w:r>
    </w:p>
    <w:p w:rsidR="00D81F69" w:rsidRDefault="00330118">
      <w:pPr>
        <w:spacing w:before="49"/>
        <w:ind w:left="135"/>
        <w:rPr>
          <w:i/>
          <w:sz w:val="14"/>
        </w:rPr>
      </w:pPr>
      <w:r>
        <w:rPr>
          <w:i/>
          <w:sz w:val="14"/>
        </w:rPr>
        <w:t>RJ - Itaguaí</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-22,9147</w:t>
      </w:r>
    </w:p>
    <w:p w:rsidR="00D81F69" w:rsidRDefault="00D81F69">
      <w:pPr>
        <w:pStyle w:val="Corpodetexto"/>
        <w:spacing w:before="6"/>
        <w:ind w:left="0"/>
        <w:jc w:val="left"/>
        <w:rPr>
          <w:i/>
          <w:sz w:val="22"/>
        </w:rPr>
      </w:pPr>
    </w:p>
    <w:p w:rsidR="00D81F69" w:rsidRDefault="00330118">
      <w:pPr>
        <w:spacing w:before="1"/>
        <w:ind w:left="135"/>
        <w:rPr>
          <w:i/>
          <w:sz w:val="14"/>
        </w:rPr>
      </w:pPr>
      <w:r>
        <w:rPr>
          <w:i/>
          <w:sz w:val="14"/>
        </w:rPr>
        <w:t>LONGITUDE</w:t>
      </w:r>
    </w:p>
    <w:p w:rsidR="00D81F69" w:rsidRDefault="00330118">
      <w:pPr>
        <w:spacing w:before="49"/>
        <w:ind w:left="135"/>
        <w:rPr>
          <w:i/>
          <w:sz w:val="14"/>
        </w:rPr>
      </w:pPr>
      <w:r>
        <w:rPr>
          <w:i/>
          <w:sz w:val="14"/>
        </w:rPr>
        <w:t>-43,8275</w:t>
      </w:r>
    </w:p>
    <w:p w:rsidR="00D81F69" w:rsidRDefault="00330118">
      <w:pPr>
        <w:spacing w:before="25"/>
        <w:ind w:left="135"/>
        <w:rPr>
          <w:i/>
          <w:sz w:val="18"/>
        </w:rPr>
      </w:pPr>
      <w:r>
        <w:br w:type="column"/>
      </w:r>
      <w:r>
        <w:rPr>
          <w:i/>
          <w:sz w:val="18"/>
        </w:rPr>
        <w:lastRenderedPageBreak/>
        <w:t>SÍNTESE</w:t>
      </w:r>
    </w:p>
    <w:p w:rsidR="00D81F69" w:rsidRDefault="00330118">
      <w:pPr>
        <w:spacing w:before="52" w:line="312" w:lineRule="auto"/>
        <w:ind w:left="135" w:right="38"/>
        <w:jc w:val="both"/>
        <w:rPr>
          <w:i/>
          <w:sz w:val="16"/>
        </w:rPr>
      </w:pPr>
      <w:r>
        <w:rPr>
          <w:i/>
          <w:sz w:val="16"/>
        </w:rPr>
        <w:t xml:space="preserve">Entre as indústrias mais poluidoras da </w:t>
      </w:r>
      <w:r>
        <w:rPr>
          <w:i/>
          <w:sz w:val="16"/>
        </w:rPr>
        <w:t xml:space="preserve">baía de Sepetiba, no Rio de Janeiro, está a Companhia Mercantil e Industrial Ingá, indústria de zinco desativada em 1998. Seus estoques de resíduos, acumulados por mais de 30 anos no local de produção, ameaçam até hoje o patrimônio socioambiental da baía, </w:t>
      </w:r>
      <w:r>
        <w:rPr>
          <w:i/>
          <w:sz w:val="16"/>
        </w:rPr>
        <w:t>causando diversos impactos ao meio ambiente e à população.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145" w:line="312" w:lineRule="auto"/>
        <w:ind w:left="135" w:right="188"/>
      </w:pPr>
      <w:r>
        <w:br w:type="column"/>
      </w:r>
      <w:r>
        <w:rPr>
          <w:spacing w:val="1"/>
        </w:rPr>
        <w:lastRenderedPageBreak/>
        <w:t xml:space="preserve">As </w:t>
      </w:r>
      <w:r>
        <w:rPr>
          <w:spacing w:val="3"/>
        </w:rPr>
        <w:t xml:space="preserve">consequências </w:t>
      </w:r>
      <w:r>
        <w:rPr>
          <w:spacing w:val="1"/>
        </w:rPr>
        <w:t xml:space="preserve">da </w:t>
      </w:r>
      <w:r>
        <w:rPr>
          <w:spacing w:val="3"/>
        </w:rPr>
        <w:t xml:space="preserve">contaminação </w:t>
      </w:r>
      <w:r>
        <w:rPr>
          <w:spacing w:val="1"/>
        </w:rPr>
        <w:t xml:space="preserve">da </w:t>
      </w:r>
      <w:r>
        <w:rPr>
          <w:spacing w:val="2"/>
        </w:rPr>
        <w:t xml:space="preserve">baía </w:t>
      </w:r>
      <w:r>
        <w:rPr>
          <w:spacing w:val="1"/>
        </w:rPr>
        <w:t xml:space="preserve">de </w:t>
      </w:r>
      <w:r>
        <w:rPr>
          <w:spacing w:val="5"/>
        </w:rPr>
        <w:t xml:space="preserve">Sepetiba </w:t>
      </w:r>
      <w:r>
        <w:rPr>
          <w:spacing w:val="3"/>
        </w:rPr>
        <w:t xml:space="preserve">pelas </w:t>
      </w:r>
      <w:r>
        <w:rPr>
          <w:spacing w:val="5"/>
        </w:rPr>
        <w:t xml:space="preserve">atividades </w:t>
      </w:r>
      <w:r>
        <w:rPr>
          <w:spacing w:val="2"/>
        </w:rPr>
        <w:t xml:space="preserve">da </w:t>
      </w:r>
      <w:r>
        <w:rPr>
          <w:spacing w:val="5"/>
        </w:rPr>
        <w:t xml:space="preserve">Companhia Mercantil Industrial Ingá tiveram impacto direto </w:t>
      </w:r>
      <w:r>
        <w:rPr>
          <w:spacing w:val="2"/>
        </w:rPr>
        <w:t xml:space="preserve">na </w:t>
      </w:r>
      <w:r>
        <w:rPr>
          <w:spacing w:val="5"/>
        </w:rPr>
        <w:t xml:space="preserve">vida </w:t>
      </w:r>
      <w:r>
        <w:rPr>
          <w:spacing w:val="2"/>
        </w:rPr>
        <w:t xml:space="preserve">da </w:t>
      </w:r>
      <w:r>
        <w:rPr>
          <w:spacing w:val="5"/>
        </w:rPr>
        <w:t xml:space="preserve">população local, </w:t>
      </w:r>
      <w:r>
        <w:rPr>
          <w:spacing w:val="6"/>
        </w:rPr>
        <w:t xml:space="preserve">que, </w:t>
      </w:r>
      <w:r>
        <w:rPr>
          <w:spacing w:val="18"/>
        </w:rPr>
        <w:t xml:space="preserve">temerosa, </w:t>
      </w:r>
      <w:r>
        <w:rPr>
          <w:spacing w:val="13"/>
        </w:rPr>
        <w:t xml:space="preserve">não </w:t>
      </w:r>
      <w:r>
        <w:rPr>
          <w:spacing w:val="10"/>
        </w:rPr>
        <w:t>vê</w:t>
      </w:r>
      <w:r>
        <w:rPr>
          <w:spacing w:val="71"/>
        </w:rPr>
        <w:t xml:space="preserve"> </w:t>
      </w:r>
      <w:r>
        <w:t xml:space="preserve">o </w:t>
      </w:r>
      <w:r>
        <w:rPr>
          <w:spacing w:val="20"/>
        </w:rPr>
        <w:t>estabeleci</w:t>
      </w:r>
      <w:r>
        <w:rPr>
          <w:spacing w:val="20"/>
        </w:rPr>
        <w:t xml:space="preserve">mento </w:t>
      </w:r>
      <w:r>
        <w:rPr>
          <w:spacing w:val="10"/>
        </w:rPr>
        <w:t>de</w:t>
      </w:r>
      <w:r>
        <w:rPr>
          <w:spacing w:val="71"/>
        </w:rPr>
        <w:t xml:space="preserve"> </w:t>
      </w:r>
      <w:r>
        <w:rPr>
          <w:spacing w:val="16"/>
        </w:rPr>
        <w:t xml:space="preserve">novos </w:t>
      </w:r>
      <w:r>
        <w:t xml:space="preserve">empreendimentos na região como fator de melhoria de suas </w:t>
      </w:r>
      <w:r>
        <w:rPr>
          <w:spacing w:val="7"/>
        </w:rPr>
        <w:t xml:space="preserve">condições </w:t>
      </w:r>
      <w:r>
        <w:rPr>
          <w:spacing w:val="5"/>
        </w:rPr>
        <w:t xml:space="preserve">de </w:t>
      </w:r>
      <w:r>
        <w:rPr>
          <w:spacing w:val="7"/>
        </w:rPr>
        <w:t xml:space="preserve">vida, </w:t>
      </w:r>
      <w:r>
        <w:t xml:space="preserve">a </w:t>
      </w:r>
      <w:r>
        <w:rPr>
          <w:spacing w:val="5"/>
        </w:rPr>
        <w:t xml:space="preserve">não ser que </w:t>
      </w:r>
      <w:r>
        <w:rPr>
          <w:spacing w:val="6"/>
        </w:rPr>
        <w:t xml:space="preserve">haja </w:t>
      </w:r>
      <w:r>
        <w:rPr>
          <w:spacing w:val="5"/>
        </w:rPr>
        <w:t xml:space="preserve">uma </w:t>
      </w:r>
      <w:r>
        <w:rPr>
          <w:spacing w:val="10"/>
        </w:rPr>
        <w:t xml:space="preserve">eficiente </w:t>
      </w:r>
      <w:r>
        <w:rPr>
          <w:spacing w:val="8"/>
        </w:rPr>
        <w:t>fiscalização (LINDOLFO,</w:t>
      </w:r>
      <w:r>
        <w:rPr>
          <w:spacing w:val="7"/>
        </w:rPr>
        <w:t xml:space="preserve"> </w:t>
      </w:r>
      <w:r>
        <w:rPr>
          <w:spacing w:val="10"/>
        </w:rPr>
        <w:t>2011).</w:t>
      </w:r>
    </w:p>
    <w:p w:rsidR="00D81F69" w:rsidRDefault="00330118">
      <w:pPr>
        <w:pStyle w:val="Corpodetexto"/>
        <w:spacing w:before="74" w:line="270" w:lineRule="atLeast"/>
        <w:ind w:left="135" w:right="210"/>
      </w:pPr>
      <w:r>
        <w:t>Mesmo após a falência da empresa, em 1998, diversos episódios de contaminação continuaram ocorrendo na baía de Sepetiba, em decorrência do vazamento de diques contendo rejeitos, que se encontram na área do empreendimento, cuja</w:t>
      </w:r>
    </w:p>
    <w:p w:rsidR="00D81F69" w:rsidRDefault="00D81F69">
      <w:pPr>
        <w:spacing w:line="270" w:lineRule="atLeast"/>
        <w:sectPr w:rsidR="00D81F69">
          <w:type w:val="continuous"/>
          <w:pgSz w:w="11900" w:h="16840"/>
          <w:pgMar w:top="720" w:right="500" w:bottom="280" w:left="620" w:header="720" w:footer="720" w:gutter="0"/>
          <w:cols w:num="3" w:space="720" w:equalWidth="0">
            <w:col w:w="1008" w:space="992"/>
            <w:col w:w="3126" w:space="309"/>
            <w:col w:w="5345"/>
          </w:cols>
        </w:sectPr>
      </w:pPr>
    </w:p>
    <w:p w:rsidR="00D81F69" w:rsidRDefault="00330118">
      <w:pPr>
        <w:pStyle w:val="Heading4"/>
        <w:spacing w:line="223" w:lineRule="exact"/>
        <w:jc w:val="left"/>
      </w:pPr>
      <w:r>
        <w:lastRenderedPageBreak/>
        <w:t>APRESENTAÇÃO DE CASO</w:t>
      </w:r>
    </w:p>
    <w:p w:rsidR="00D81F69" w:rsidRDefault="00330118">
      <w:pPr>
        <w:pStyle w:val="Corpodetexto"/>
        <w:spacing w:before="170" w:line="312" w:lineRule="auto"/>
        <w:ind w:right="79"/>
      </w:pPr>
      <w:r>
        <w:t xml:space="preserve">Localizada a 60 km da região metropolitana do Rio de Janeiro (RIBEIRO, 2006), a baía de Sepetiba proporcionou, durante </w:t>
      </w:r>
      <w:r>
        <w:rPr>
          <w:spacing w:val="7"/>
        </w:rPr>
        <w:t xml:space="preserve">séculos, </w:t>
      </w:r>
      <w:r>
        <w:t xml:space="preserve">a </w:t>
      </w:r>
      <w:r>
        <w:rPr>
          <w:spacing w:val="6"/>
        </w:rPr>
        <w:t xml:space="preserve">base </w:t>
      </w:r>
      <w:r>
        <w:rPr>
          <w:spacing w:val="7"/>
        </w:rPr>
        <w:t xml:space="preserve">econômica </w:t>
      </w:r>
      <w:r>
        <w:rPr>
          <w:spacing w:val="5"/>
        </w:rPr>
        <w:t xml:space="preserve">de </w:t>
      </w:r>
      <w:r>
        <w:rPr>
          <w:spacing w:val="7"/>
        </w:rPr>
        <w:t xml:space="preserve">diversas </w:t>
      </w:r>
      <w:r>
        <w:rPr>
          <w:spacing w:val="10"/>
        </w:rPr>
        <w:t xml:space="preserve">comunidades </w:t>
      </w:r>
      <w:r>
        <w:t>residentes ao longo de suas marge</w:t>
      </w:r>
      <w:r>
        <w:t xml:space="preserve">ns e ilhas. Seu pescado </w:t>
      </w:r>
      <w:r>
        <w:rPr>
          <w:spacing w:val="2"/>
        </w:rPr>
        <w:t xml:space="preserve">era </w:t>
      </w:r>
      <w:r>
        <w:rPr>
          <w:spacing w:val="3"/>
        </w:rPr>
        <w:t xml:space="preserve">usado </w:t>
      </w:r>
      <w:r>
        <w:rPr>
          <w:spacing w:val="2"/>
        </w:rPr>
        <w:t xml:space="preserve">não </w:t>
      </w:r>
      <w:r>
        <w:rPr>
          <w:spacing w:val="1"/>
        </w:rPr>
        <w:t xml:space="preserve">só </w:t>
      </w:r>
      <w:r>
        <w:rPr>
          <w:spacing w:val="2"/>
        </w:rPr>
        <w:t xml:space="preserve">para </w:t>
      </w:r>
      <w:r>
        <w:t xml:space="preserve">a </w:t>
      </w:r>
      <w:r>
        <w:rPr>
          <w:spacing w:val="3"/>
        </w:rPr>
        <w:t xml:space="preserve">subsistência, </w:t>
      </w:r>
      <w:r>
        <w:rPr>
          <w:spacing w:val="2"/>
        </w:rPr>
        <w:t xml:space="preserve">como </w:t>
      </w:r>
      <w:r>
        <w:rPr>
          <w:spacing w:val="3"/>
        </w:rPr>
        <w:t xml:space="preserve">também </w:t>
      </w:r>
      <w:r>
        <w:rPr>
          <w:spacing w:val="5"/>
        </w:rPr>
        <w:t xml:space="preserve">era </w:t>
      </w:r>
      <w:r>
        <w:rPr>
          <w:spacing w:val="3"/>
        </w:rPr>
        <w:t xml:space="preserve">vendido </w:t>
      </w:r>
      <w:r>
        <w:rPr>
          <w:spacing w:val="2"/>
        </w:rPr>
        <w:t xml:space="preserve">para </w:t>
      </w:r>
      <w:r>
        <w:rPr>
          <w:spacing w:val="3"/>
        </w:rPr>
        <w:t xml:space="preserve">diversos mercados </w:t>
      </w:r>
      <w:r>
        <w:rPr>
          <w:spacing w:val="1"/>
        </w:rPr>
        <w:t xml:space="preserve">da </w:t>
      </w:r>
      <w:r>
        <w:rPr>
          <w:spacing w:val="3"/>
        </w:rPr>
        <w:t xml:space="preserve">região </w:t>
      </w:r>
      <w:r>
        <w:rPr>
          <w:spacing w:val="5"/>
        </w:rPr>
        <w:t xml:space="preserve">metropolitana </w:t>
      </w:r>
      <w:r>
        <w:t>(MAPA DA INJUSTIÇA AMBIENTAL E SAÚDE NO BRASIL, 2009).</w:t>
      </w:r>
    </w:p>
    <w:p w:rsidR="00D81F69" w:rsidRDefault="00330118">
      <w:pPr>
        <w:pStyle w:val="Corpodetexto"/>
        <w:spacing w:before="137" w:line="312" w:lineRule="auto"/>
        <w:ind w:right="73"/>
      </w:pPr>
      <w:r>
        <w:rPr>
          <w:spacing w:val="1"/>
        </w:rPr>
        <w:t xml:space="preserve">No </w:t>
      </w:r>
      <w:r>
        <w:rPr>
          <w:spacing w:val="3"/>
        </w:rPr>
        <w:t xml:space="preserve">entanto, </w:t>
      </w:r>
      <w:r>
        <w:rPr>
          <w:spacing w:val="2"/>
        </w:rPr>
        <w:t xml:space="preserve">nas </w:t>
      </w:r>
      <w:r>
        <w:rPr>
          <w:spacing w:val="3"/>
        </w:rPr>
        <w:t xml:space="preserve">últimas décadas, </w:t>
      </w:r>
      <w:r>
        <w:t xml:space="preserve">a </w:t>
      </w:r>
      <w:r>
        <w:rPr>
          <w:spacing w:val="2"/>
        </w:rPr>
        <w:t xml:space="preserve">baía </w:t>
      </w:r>
      <w:r>
        <w:rPr>
          <w:spacing w:val="1"/>
        </w:rPr>
        <w:t xml:space="preserve">de </w:t>
      </w:r>
      <w:r>
        <w:rPr>
          <w:spacing w:val="3"/>
        </w:rPr>
        <w:t xml:space="preserve">Sepetiba </w:t>
      </w:r>
      <w:r>
        <w:rPr>
          <w:spacing w:val="5"/>
        </w:rPr>
        <w:t xml:space="preserve">tem </w:t>
      </w:r>
      <w:r>
        <w:t xml:space="preserve">passado por </w:t>
      </w:r>
      <w:r>
        <w:t xml:space="preserve">um intenso desenvolvimento industrial, contando com cerca de 400 indústrias, grande parte delas metalúrgicas. </w:t>
      </w:r>
      <w:r>
        <w:rPr>
          <w:spacing w:val="1"/>
        </w:rPr>
        <w:t xml:space="preserve">Tais indústrias lançam seus resíduos </w:t>
      </w:r>
      <w:r>
        <w:t xml:space="preserve">e </w:t>
      </w:r>
      <w:r>
        <w:rPr>
          <w:spacing w:val="1"/>
        </w:rPr>
        <w:t xml:space="preserve">efluentes, ricos </w:t>
      </w:r>
      <w:r>
        <w:rPr>
          <w:spacing w:val="2"/>
        </w:rPr>
        <w:t xml:space="preserve">em </w:t>
      </w:r>
      <w:r>
        <w:t>metais pesados e outras substâncias tóxicas, diretamente na baía ou corpos d´água da re</w:t>
      </w:r>
      <w:r>
        <w:t xml:space="preserve">gião, provocando sua poluição e </w:t>
      </w:r>
      <w:r>
        <w:rPr>
          <w:spacing w:val="5"/>
        </w:rPr>
        <w:t xml:space="preserve">causando diversos impactos socioambientais </w:t>
      </w:r>
      <w:r>
        <w:rPr>
          <w:spacing w:val="6"/>
        </w:rPr>
        <w:t xml:space="preserve">(RIBEIRO, </w:t>
      </w:r>
      <w:r>
        <w:rPr>
          <w:spacing w:val="3"/>
        </w:rPr>
        <w:t xml:space="preserve">2006) nos </w:t>
      </w:r>
      <w:r>
        <w:rPr>
          <w:spacing w:val="5"/>
        </w:rPr>
        <w:t xml:space="preserve">municípios </w:t>
      </w:r>
      <w:r>
        <w:rPr>
          <w:spacing w:val="3"/>
        </w:rPr>
        <w:t xml:space="preserve">que </w:t>
      </w:r>
      <w:r>
        <w:rPr>
          <w:spacing w:val="5"/>
        </w:rPr>
        <w:t xml:space="preserve">compõem </w:t>
      </w:r>
      <w:r>
        <w:t xml:space="preserve">a </w:t>
      </w:r>
      <w:r>
        <w:rPr>
          <w:spacing w:val="3"/>
        </w:rPr>
        <w:t xml:space="preserve">bacia </w:t>
      </w:r>
      <w:r>
        <w:rPr>
          <w:spacing w:val="2"/>
        </w:rPr>
        <w:t xml:space="preserve">da </w:t>
      </w:r>
      <w:r>
        <w:rPr>
          <w:spacing w:val="3"/>
        </w:rPr>
        <w:t xml:space="preserve">baía </w:t>
      </w:r>
      <w:r>
        <w:rPr>
          <w:spacing w:val="5"/>
        </w:rPr>
        <w:t xml:space="preserve">de Sepetiba, dentre </w:t>
      </w:r>
      <w:r>
        <w:rPr>
          <w:spacing w:val="3"/>
        </w:rPr>
        <w:t xml:space="preserve">eles: </w:t>
      </w:r>
      <w:r>
        <w:rPr>
          <w:spacing w:val="5"/>
        </w:rPr>
        <w:t>Itaguaí; Seropédica; Mangaratiba;</w:t>
      </w:r>
      <w:r>
        <w:rPr>
          <w:spacing w:val="61"/>
        </w:rPr>
        <w:t xml:space="preserve"> </w:t>
      </w:r>
      <w:r>
        <w:rPr>
          <w:spacing w:val="5"/>
        </w:rPr>
        <w:t xml:space="preserve">Queimados; Japeri; </w:t>
      </w:r>
      <w:r>
        <w:t xml:space="preserve">e </w:t>
      </w:r>
      <w:r>
        <w:rPr>
          <w:spacing w:val="5"/>
        </w:rPr>
        <w:t>Paracambi (SEMADS, 2001).</w:t>
      </w:r>
    </w:p>
    <w:p w:rsidR="00D81F69" w:rsidRDefault="00330118">
      <w:pPr>
        <w:pStyle w:val="Corpodetexto"/>
        <w:spacing w:before="140" w:line="312" w:lineRule="auto"/>
        <w:ind w:right="79"/>
      </w:pPr>
      <w:r>
        <w:t xml:space="preserve">A </w:t>
      </w:r>
      <w:r>
        <w:rPr>
          <w:spacing w:val="5"/>
        </w:rPr>
        <w:t xml:space="preserve">degradação ambiental </w:t>
      </w:r>
      <w:r>
        <w:rPr>
          <w:spacing w:val="2"/>
        </w:rPr>
        <w:t xml:space="preserve">na </w:t>
      </w:r>
      <w:r>
        <w:rPr>
          <w:spacing w:val="5"/>
        </w:rPr>
        <w:t xml:space="preserve">região </w:t>
      </w:r>
      <w:r>
        <w:rPr>
          <w:spacing w:val="3"/>
        </w:rPr>
        <w:t xml:space="preserve">não </w:t>
      </w:r>
      <w:r>
        <w:rPr>
          <w:spacing w:val="2"/>
        </w:rPr>
        <w:t xml:space="preserve">só </w:t>
      </w:r>
      <w:r>
        <w:rPr>
          <w:spacing w:val="5"/>
        </w:rPr>
        <w:t xml:space="preserve">prejudicou </w:t>
      </w:r>
      <w:r>
        <w:t>a atividade pesqueira como inibiu o turismo. Já a modernização de algumas indústrias e a falência de outras contribuíram para a precarização das relações de trabalho e para a redução das oportunidades de emp</w:t>
      </w:r>
      <w:r>
        <w:t xml:space="preserve">rego e renda, aumentando os índices de </w:t>
      </w:r>
      <w:r>
        <w:rPr>
          <w:spacing w:val="1"/>
        </w:rPr>
        <w:t xml:space="preserve">violência </w:t>
      </w:r>
      <w:r>
        <w:t xml:space="preserve">e </w:t>
      </w:r>
      <w:r>
        <w:rPr>
          <w:spacing w:val="1"/>
        </w:rPr>
        <w:t xml:space="preserve">desemprego, dentre outras questões </w:t>
      </w:r>
      <w:r>
        <w:rPr>
          <w:spacing w:val="2"/>
        </w:rPr>
        <w:t xml:space="preserve">sociais </w:t>
      </w:r>
      <w:r>
        <w:t>(MAPA DA INJUSTIÇA AMBIENTAL E SAÚDE NO BRASIL, 2009).</w:t>
      </w:r>
    </w:p>
    <w:p w:rsidR="00D81F69" w:rsidRDefault="00330118">
      <w:pPr>
        <w:pStyle w:val="Corpodetexto"/>
        <w:spacing w:before="74" w:line="270" w:lineRule="atLeast"/>
        <w:ind w:right="72"/>
        <w:jc w:val="left"/>
      </w:pPr>
      <w:r>
        <w:t xml:space="preserve">Neste contexto, está a Companhia Mercantil e Industrial Ingá, indústria de </w:t>
      </w:r>
      <w:hyperlink r:id="rId1539">
        <w:r>
          <w:t xml:space="preserve">zinco, </w:t>
        </w:r>
      </w:hyperlink>
      <w:r>
        <w:t>atualmente desativada (RIBEIRO, 2006), que está situada a 85 km do Rio de Janeiro, na ilha da Madeira, em Itaguaí, município com 275,867 km² e 109.091 habitante</w:t>
      </w:r>
      <w:r>
        <w:t>s (IBGE, 2010). As instalações da empresa são consideradas a maior área de contaminação por lixo tóxico do Brasil (MAGALHÃES, et al., 2000 apud PINTO, 2005) e representam um dos maiores passivos ambientais do Estado do Rio de Janeiro (MAGALHÃES, et al., 20</w:t>
      </w:r>
      <w:r>
        <w:t>00 apud PINTO, 2005; BRASIL MINERAL, 2008).</w:t>
      </w:r>
    </w:p>
    <w:p w:rsidR="00D81F69" w:rsidRDefault="00330118">
      <w:pPr>
        <w:pStyle w:val="Corpodetexto"/>
        <w:spacing w:before="63" w:line="312" w:lineRule="auto"/>
        <w:ind w:right="194"/>
      </w:pPr>
      <w:r>
        <w:br w:type="column"/>
      </w:r>
      <w:r>
        <w:lastRenderedPageBreak/>
        <w:t xml:space="preserve">principal atividade era o processamento do minério calamina para a produção de zinco com alta pureza (RIBEIRO, 2006). Elementos-traços, como </w:t>
      </w:r>
      <w:hyperlink r:id="rId1540">
        <w:r>
          <w:t xml:space="preserve">cádmio, </w:t>
        </w:r>
      </w:hyperlink>
      <w:r>
        <w:t xml:space="preserve">zinco, </w:t>
      </w:r>
      <w:hyperlink r:id="rId1541">
        <w:r>
          <w:t xml:space="preserve">mercúrio </w:t>
        </w:r>
      </w:hyperlink>
      <w:r>
        <w:t xml:space="preserve">e </w:t>
      </w:r>
      <w:hyperlink r:id="rId1542">
        <w:r>
          <w:t>chumbo,</w:t>
        </w:r>
      </w:hyperlink>
      <w:r>
        <w:t xml:space="preserve"> continuam poluindo o</w:t>
      </w:r>
      <w:r>
        <w:t xml:space="preserve"> solo e a água, comprometendo a biota, o </w:t>
      </w:r>
      <w:r>
        <w:rPr>
          <w:spacing w:val="8"/>
        </w:rPr>
        <w:t xml:space="preserve">meio </w:t>
      </w:r>
      <w:r>
        <w:rPr>
          <w:spacing w:val="5"/>
        </w:rPr>
        <w:t xml:space="preserve">de </w:t>
      </w:r>
      <w:r>
        <w:rPr>
          <w:spacing w:val="8"/>
        </w:rPr>
        <w:t xml:space="preserve">vida </w:t>
      </w:r>
      <w:r>
        <w:t xml:space="preserve">e a </w:t>
      </w:r>
      <w:r>
        <w:rPr>
          <w:spacing w:val="8"/>
        </w:rPr>
        <w:t xml:space="preserve">saúde </w:t>
      </w:r>
      <w:r>
        <w:rPr>
          <w:spacing w:val="7"/>
        </w:rPr>
        <w:t xml:space="preserve">dos </w:t>
      </w:r>
      <w:r>
        <w:rPr>
          <w:spacing w:val="10"/>
        </w:rPr>
        <w:t xml:space="preserve">habitantes </w:t>
      </w:r>
      <w:r>
        <w:rPr>
          <w:spacing w:val="5"/>
        </w:rPr>
        <w:t xml:space="preserve">da </w:t>
      </w:r>
      <w:r>
        <w:rPr>
          <w:spacing w:val="11"/>
        </w:rPr>
        <w:t xml:space="preserve">região </w:t>
      </w:r>
      <w:r>
        <w:rPr>
          <w:spacing w:val="10"/>
        </w:rPr>
        <w:t xml:space="preserve">(MAGALHÃES, </w:t>
      </w:r>
      <w:r>
        <w:rPr>
          <w:spacing w:val="5"/>
        </w:rPr>
        <w:t xml:space="preserve">et </w:t>
      </w:r>
      <w:r>
        <w:rPr>
          <w:spacing w:val="8"/>
        </w:rPr>
        <w:t xml:space="preserve">al., 2000 apud </w:t>
      </w:r>
      <w:r>
        <w:rPr>
          <w:spacing w:val="10"/>
        </w:rPr>
        <w:t>PINTO,</w:t>
      </w:r>
      <w:r>
        <w:rPr>
          <w:spacing w:val="41"/>
        </w:rPr>
        <w:t xml:space="preserve"> </w:t>
      </w:r>
      <w:r>
        <w:rPr>
          <w:spacing w:val="11"/>
        </w:rPr>
        <w:t>2005).</w:t>
      </w:r>
    </w:p>
    <w:p w:rsidR="00D81F69" w:rsidRDefault="00330118">
      <w:pPr>
        <w:pStyle w:val="Corpodetexto"/>
        <w:spacing w:before="135" w:line="312" w:lineRule="auto"/>
        <w:ind w:right="193"/>
      </w:pPr>
      <w:r>
        <w:t>A Companhia Mercantil Industrial Ingá instalou-se em Itaguaí, em 1962. Desde então, suas atividades passaram a gerar resídu</w:t>
      </w:r>
      <w:r>
        <w:t>os que foram se acumulando e formando montanhas de material tóxico a céu aberto, no pátio da empresa (PINTO, 2005). Durante o período em que esteve funcionando, a companhia poluía a baía de Sepetiba de forma rotineira e também acidental. A poluição rotinei</w:t>
      </w:r>
      <w:r>
        <w:t>ra estava associada aos efluentes líquidos represados e à disposição inadequada dos rejeitos que acabavam sendo arrastados para a baía. Já a poluição acidental ocorria devido ao rompimento dos sistemas de contenção e disposição de resíduos, causando situaç</w:t>
      </w:r>
      <w:r>
        <w:t>ões extremas de poluição (BREDARIOL, 2002).</w:t>
      </w:r>
    </w:p>
    <w:p w:rsidR="00D81F69" w:rsidRDefault="00330118">
      <w:pPr>
        <w:pStyle w:val="Corpodetexto"/>
        <w:spacing w:before="141" w:line="312" w:lineRule="auto"/>
        <w:ind w:right="206"/>
      </w:pPr>
      <w:r>
        <w:t>Com a falência da empresa, a indústria foi abandonada, e os sistemas de controle, desativados, o que deu continuidade ao processo de contaminação e aos riscos de acidentes ambientais (BREDARIOL, 2002).</w:t>
      </w:r>
    </w:p>
    <w:p w:rsidR="00D81F69" w:rsidRDefault="00330118">
      <w:pPr>
        <w:pStyle w:val="Corpodetexto"/>
        <w:spacing w:before="134" w:line="312" w:lineRule="auto"/>
        <w:ind w:right="206"/>
      </w:pPr>
      <w:r>
        <w:t>Devido a t</w:t>
      </w:r>
      <w:r>
        <w:t>odos esses fatores, no decorrer de sua história, a empresa foi alvo de duas ações civis públicas (uma movida pelo Ministério Público Estadual e outra, pelo Ministério Público Federal) e lhe foram aplicadas dezenas de multas pelos órgãos responsáveis pela f</w:t>
      </w:r>
      <w:r>
        <w:t>iscalização ambiental (CECA; FEEMA, 2004 apud VIÉGAS, 2006).</w:t>
      </w:r>
    </w:p>
    <w:p w:rsidR="00D81F69" w:rsidRDefault="00330118">
      <w:pPr>
        <w:pStyle w:val="Corpodetexto"/>
        <w:spacing w:before="136" w:line="312" w:lineRule="auto"/>
        <w:ind w:right="186"/>
      </w:pPr>
      <w:r>
        <w:t>Ainda em 1965, a população residente próxima à área da empresa se queixou de sintomas de queimação devido ao ar inalado na região. Relatou também que a companhia lançava um líquido quente numa va</w:t>
      </w:r>
      <w:r>
        <w:t>la que saía no manguezal, provocando a mortandade de espécies nativas (PINTO, 2005).</w:t>
      </w:r>
    </w:p>
    <w:p w:rsidR="00D81F69" w:rsidRDefault="00330118">
      <w:pPr>
        <w:pStyle w:val="Corpodetexto"/>
        <w:spacing w:before="135" w:line="312" w:lineRule="auto"/>
        <w:ind w:right="209"/>
      </w:pPr>
      <w:r>
        <w:t>Em 1984, por recomendação da Fundação Estadual de Engenharia do Meio Ambiente (Feema) (VIÉGAS, 2006), a</w:t>
      </w:r>
    </w:p>
    <w:p w:rsidR="00D81F69" w:rsidRDefault="00D81F69">
      <w:pPr>
        <w:spacing w:line="312" w:lineRule="auto"/>
        <w:sectPr w:rsidR="00D81F69">
          <w:type w:val="continuous"/>
          <w:pgSz w:w="11900" w:h="16840"/>
          <w:pgMar w:top="720" w:right="500" w:bottom="280" w:left="620" w:header="720" w:footer="720" w:gutter="0"/>
          <w:cols w:num="2" w:space="720" w:equalWidth="0">
            <w:col w:w="5195" w:space="275"/>
            <w:col w:w="5310"/>
          </w:cols>
        </w:sectPr>
      </w:pPr>
    </w:p>
    <w:p w:rsidR="00D81F69" w:rsidRDefault="00330118">
      <w:pPr>
        <w:pStyle w:val="Corpodetexto"/>
        <w:spacing w:before="81" w:line="312" w:lineRule="auto"/>
        <w:ind w:right="77"/>
      </w:pPr>
      <w:r>
        <w:lastRenderedPageBreak/>
        <w:t xml:space="preserve">empresa construiu um dique de contenção </w:t>
      </w:r>
      <w:r>
        <w:t>na área de deposição de seus resíduos. Também instalou tanques de acumulação de águas e uma estação de tratamento de resíduos e de águas residuárias. Tais medidas deveriam minimizar o despejo de resíduos tóxicos na baía de Sepetiba (BREDARIOL, 2002), mas s</w:t>
      </w:r>
      <w:r>
        <w:t>ondagens geotécnicas realizadas no local revelaram que a construção do dique havia sido malfeita, pois ficava muito próximo ao mar e num terreno baixo, o que o deixou vulnerável a rompimentos (VIÉGAS, 2006).</w:t>
      </w:r>
    </w:p>
    <w:p w:rsidR="00D81F69" w:rsidRDefault="00330118">
      <w:pPr>
        <w:pStyle w:val="Corpodetexto"/>
        <w:spacing w:before="139" w:line="312" w:lineRule="auto"/>
        <w:ind w:right="74"/>
      </w:pPr>
      <w:r>
        <w:t xml:space="preserve">Em </w:t>
      </w:r>
      <w:r>
        <w:rPr>
          <w:spacing w:val="1"/>
        </w:rPr>
        <w:t xml:space="preserve">fevereiro </w:t>
      </w:r>
      <w:r>
        <w:t xml:space="preserve">de </w:t>
      </w:r>
      <w:r>
        <w:rPr>
          <w:spacing w:val="1"/>
        </w:rPr>
        <w:t xml:space="preserve">1996, </w:t>
      </w:r>
      <w:r>
        <w:t xml:space="preserve">em </w:t>
      </w:r>
      <w:r>
        <w:rPr>
          <w:spacing w:val="1"/>
        </w:rPr>
        <w:t xml:space="preserve">decorrência </w:t>
      </w:r>
      <w:r>
        <w:t xml:space="preserve">de </w:t>
      </w:r>
      <w:r>
        <w:rPr>
          <w:spacing w:val="1"/>
        </w:rPr>
        <w:t>fortes c</w:t>
      </w:r>
      <w:r>
        <w:rPr>
          <w:spacing w:val="1"/>
        </w:rPr>
        <w:t xml:space="preserve">huvas, </w:t>
      </w:r>
      <w:r>
        <w:t xml:space="preserve">o </w:t>
      </w:r>
      <w:r>
        <w:rPr>
          <w:spacing w:val="1"/>
        </w:rPr>
        <w:t xml:space="preserve">dique </w:t>
      </w:r>
      <w:r>
        <w:t xml:space="preserve">de </w:t>
      </w:r>
      <w:r>
        <w:rPr>
          <w:spacing w:val="1"/>
        </w:rPr>
        <w:t xml:space="preserve">contenção </w:t>
      </w:r>
      <w:r>
        <w:t xml:space="preserve">da </w:t>
      </w:r>
      <w:r>
        <w:rPr>
          <w:spacing w:val="1"/>
        </w:rPr>
        <w:t xml:space="preserve">empresa </w:t>
      </w:r>
      <w:r>
        <w:t xml:space="preserve">se </w:t>
      </w:r>
      <w:r>
        <w:rPr>
          <w:spacing w:val="1"/>
        </w:rPr>
        <w:t xml:space="preserve">rompeu, </w:t>
      </w:r>
      <w:r>
        <w:rPr>
          <w:spacing w:val="2"/>
        </w:rPr>
        <w:t xml:space="preserve">contaminando </w:t>
      </w:r>
      <w:r>
        <w:t xml:space="preserve">com metais pesados a baía de Sepetiba, e causando um dos </w:t>
      </w:r>
      <w:r>
        <w:rPr>
          <w:spacing w:val="5"/>
        </w:rPr>
        <w:t xml:space="preserve">maiores desastres ambientais </w:t>
      </w:r>
      <w:r>
        <w:rPr>
          <w:spacing w:val="2"/>
        </w:rPr>
        <w:t xml:space="preserve">do </w:t>
      </w:r>
      <w:r>
        <w:rPr>
          <w:spacing w:val="3"/>
        </w:rPr>
        <w:t xml:space="preserve">Rio </w:t>
      </w:r>
      <w:r>
        <w:rPr>
          <w:spacing w:val="2"/>
        </w:rPr>
        <w:t xml:space="preserve">de </w:t>
      </w:r>
      <w:r>
        <w:rPr>
          <w:spacing w:val="5"/>
        </w:rPr>
        <w:t xml:space="preserve">Janeiro. Então, órgãos ambientais, moradores </w:t>
      </w:r>
      <w:r>
        <w:t xml:space="preserve">e a </w:t>
      </w:r>
      <w:r>
        <w:rPr>
          <w:spacing w:val="5"/>
        </w:rPr>
        <w:t xml:space="preserve">prefeitura </w:t>
      </w:r>
      <w:r>
        <w:rPr>
          <w:spacing w:val="2"/>
        </w:rPr>
        <w:t xml:space="preserve">de </w:t>
      </w:r>
      <w:r>
        <w:rPr>
          <w:spacing w:val="6"/>
        </w:rPr>
        <w:t xml:space="preserve">Itaguaí </w:t>
      </w:r>
      <w:r>
        <w:t>solicitaram à Secretaria d</w:t>
      </w:r>
      <w:r>
        <w:t xml:space="preserve">e Estado do Meio Ambiente (Sema- RJ) uma análise da água. O órgão afirmou que o problema </w:t>
      </w:r>
      <w:r>
        <w:rPr>
          <w:spacing w:val="2"/>
        </w:rPr>
        <w:t xml:space="preserve">não era </w:t>
      </w:r>
      <w:r>
        <w:rPr>
          <w:spacing w:val="3"/>
        </w:rPr>
        <w:t xml:space="preserve">grave, </w:t>
      </w:r>
      <w:r>
        <w:rPr>
          <w:spacing w:val="1"/>
        </w:rPr>
        <w:t xml:space="preserve">no </w:t>
      </w:r>
      <w:r>
        <w:rPr>
          <w:spacing w:val="3"/>
        </w:rPr>
        <w:t xml:space="preserve">entanto, </w:t>
      </w:r>
      <w:r>
        <w:t xml:space="preserve">o </w:t>
      </w:r>
      <w:r>
        <w:rPr>
          <w:spacing w:val="3"/>
        </w:rPr>
        <w:t xml:space="preserve">Laboratório </w:t>
      </w:r>
      <w:r>
        <w:rPr>
          <w:spacing w:val="1"/>
        </w:rPr>
        <w:t xml:space="preserve">de </w:t>
      </w:r>
      <w:r>
        <w:rPr>
          <w:spacing w:val="3"/>
        </w:rPr>
        <w:t xml:space="preserve">Biofísica </w:t>
      </w:r>
      <w:r>
        <w:rPr>
          <w:spacing w:val="5"/>
        </w:rPr>
        <w:t xml:space="preserve">da </w:t>
      </w:r>
      <w:r>
        <w:t>Universidade Federal do Rio de Janeiro (UFRJ) constatou, no local, índices de cádmio e zinco em mariscos até 60 vezes mais altos do que os admitidos pelo Ministério da Saúde (O GLOBO, 1996 apud PINTO,</w:t>
      </w:r>
      <w:r>
        <w:rPr>
          <w:spacing w:val="5"/>
        </w:rPr>
        <w:t xml:space="preserve"> </w:t>
      </w:r>
      <w:r>
        <w:t>2005).</w:t>
      </w:r>
    </w:p>
    <w:p w:rsidR="00D81F69" w:rsidRDefault="00330118">
      <w:pPr>
        <w:pStyle w:val="Corpodetexto"/>
        <w:spacing w:before="141" w:line="312" w:lineRule="auto"/>
        <w:ind w:right="80"/>
      </w:pPr>
      <w:r>
        <w:t xml:space="preserve">Em 1998, foi decretada a falência da indústria, </w:t>
      </w:r>
      <w:r>
        <w:t>que deixou um passivo ambiental avaliado, à época, em R$ 20 milhões (PINTO, 2005). Em 2002, fortes chuvas causaram o transbordamento de lixo químico do dique da companhia em direção à baía de Sepetiba. Uma vistoria, realizada por técnicos do Instituto Bras</w:t>
      </w:r>
      <w:r>
        <w:t>ileiro do Meio Ambiente e dos Recursos Naturais Renováveis (Ibama), representantes do Ministério Público Estadual e dirigentes da Assembléia Permanente de Entidades de Defesa do Meio Ambiente (Apedema), detectaram que o lençol freático e poços artesianos d</w:t>
      </w:r>
      <w:r>
        <w:t>a região estavam contaminados (VIÉGAS, 2006).</w:t>
      </w:r>
    </w:p>
    <w:p w:rsidR="00D81F69" w:rsidRDefault="00330118">
      <w:pPr>
        <w:pStyle w:val="Corpodetexto"/>
        <w:spacing w:before="140" w:line="312" w:lineRule="auto"/>
        <w:ind w:right="72"/>
        <w:jc w:val="left"/>
      </w:pPr>
      <w:r>
        <w:t>Em 2003, o dique rompeu-se novamente, e a água e lama tóxicas escoaram para os manguezais da baía, repetindo o desastre ecológico de 1996. Cerca de 6.000 m² do mangue foram atingidos. Em alguns pontos, a vegetação ficou soterrada (VIÉGAS, 2006).</w:t>
      </w:r>
    </w:p>
    <w:p w:rsidR="00D81F69" w:rsidRDefault="00330118">
      <w:pPr>
        <w:pStyle w:val="Corpodetexto"/>
        <w:spacing w:before="135" w:line="312" w:lineRule="auto"/>
        <w:ind w:right="79"/>
      </w:pPr>
      <w:r>
        <w:rPr>
          <w:spacing w:val="7"/>
        </w:rPr>
        <w:t xml:space="preserve">Ainda </w:t>
      </w:r>
      <w:r>
        <w:rPr>
          <w:spacing w:val="5"/>
        </w:rPr>
        <w:t xml:space="preserve">em </w:t>
      </w:r>
      <w:r>
        <w:rPr>
          <w:spacing w:val="7"/>
        </w:rPr>
        <w:t>2</w:t>
      </w:r>
      <w:r>
        <w:rPr>
          <w:spacing w:val="7"/>
        </w:rPr>
        <w:t xml:space="preserve">003, devido </w:t>
      </w:r>
      <w:r>
        <w:rPr>
          <w:spacing w:val="5"/>
        </w:rPr>
        <w:t xml:space="preserve">ao </w:t>
      </w:r>
      <w:r>
        <w:rPr>
          <w:spacing w:val="7"/>
        </w:rPr>
        <w:t xml:space="preserve">colapso </w:t>
      </w:r>
      <w:r>
        <w:rPr>
          <w:spacing w:val="5"/>
        </w:rPr>
        <w:t xml:space="preserve">das </w:t>
      </w:r>
      <w:r>
        <w:rPr>
          <w:spacing w:val="7"/>
        </w:rPr>
        <w:t xml:space="preserve">condições </w:t>
      </w:r>
      <w:r>
        <w:rPr>
          <w:spacing w:val="10"/>
        </w:rPr>
        <w:t xml:space="preserve">de </w:t>
      </w:r>
      <w:r>
        <w:t xml:space="preserve">segurança do dique da Companhia Ingá Mercantil (VIÉGAS, </w:t>
      </w:r>
      <w:r>
        <w:rPr>
          <w:spacing w:val="3"/>
        </w:rPr>
        <w:t xml:space="preserve">2006), </w:t>
      </w:r>
      <w:r>
        <w:t xml:space="preserve">e </w:t>
      </w:r>
      <w:r>
        <w:rPr>
          <w:spacing w:val="1"/>
        </w:rPr>
        <w:t xml:space="preserve">ao </w:t>
      </w:r>
      <w:r>
        <w:rPr>
          <w:spacing w:val="2"/>
        </w:rPr>
        <w:t xml:space="preserve">fato </w:t>
      </w:r>
      <w:r>
        <w:rPr>
          <w:spacing w:val="1"/>
        </w:rPr>
        <w:t xml:space="preserve">de </w:t>
      </w:r>
      <w:r>
        <w:rPr>
          <w:spacing w:val="2"/>
        </w:rPr>
        <w:t xml:space="preserve">nada ter sido </w:t>
      </w:r>
      <w:r>
        <w:rPr>
          <w:spacing w:val="3"/>
        </w:rPr>
        <w:t xml:space="preserve">feito </w:t>
      </w:r>
      <w:r>
        <w:rPr>
          <w:spacing w:val="2"/>
        </w:rPr>
        <w:t xml:space="preserve">para </w:t>
      </w:r>
      <w:r>
        <w:rPr>
          <w:spacing w:val="3"/>
        </w:rPr>
        <w:t xml:space="preserve">solucionar </w:t>
      </w:r>
      <w:r>
        <w:rPr>
          <w:spacing w:val="5"/>
        </w:rPr>
        <w:t xml:space="preserve">os </w:t>
      </w:r>
      <w:r>
        <w:t>problemas que ocorriam desde 1997 (PORTAL ECODEBATE, 2009), o Ministério Público Federal determinou q</w:t>
      </w:r>
      <w:r>
        <w:t>ue o Estado do Rio de Janeiro assumisse o compromisso de realizar obras que impedissem o rompimento da estrutura de contenção da empresa (LOPES, 2004 apud LINDOLFO, 2011). A Secretaria de Estado do Meio Ambiente autorizou, então, recursos para  o início do</w:t>
      </w:r>
      <w:r>
        <w:t xml:space="preserve">s trabalhos, que foram coordenados pelo Instituto </w:t>
      </w:r>
      <w:r>
        <w:rPr>
          <w:spacing w:val="5"/>
        </w:rPr>
        <w:t xml:space="preserve">Alberto Luiz Coimbra </w:t>
      </w:r>
      <w:r>
        <w:rPr>
          <w:spacing w:val="2"/>
        </w:rPr>
        <w:t xml:space="preserve">de </w:t>
      </w:r>
      <w:r>
        <w:rPr>
          <w:spacing w:val="5"/>
        </w:rPr>
        <w:t xml:space="preserve">Pós-graduação </w:t>
      </w:r>
      <w:r>
        <w:t xml:space="preserve">e </w:t>
      </w:r>
      <w:r>
        <w:rPr>
          <w:spacing w:val="5"/>
        </w:rPr>
        <w:t xml:space="preserve">Pesquisa </w:t>
      </w:r>
      <w:r>
        <w:rPr>
          <w:spacing w:val="6"/>
        </w:rPr>
        <w:t xml:space="preserve">de </w:t>
      </w:r>
      <w:r>
        <w:rPr>
          <w:spacing w:val="5"/>
        </w:rPr>
        <w:t xml:space="preserve">Engenharia </w:t>
      </w:r>
      <w:r>
        <w:rPr>
          <w:spacing w:val="2"/>
        </w:rPr>
        <w:t xml:space="preserve">da </w:t>
      </w:r>
      <w:r>
        <w:rPr>
          <w:spacing w:val="5"/>
        </w:rPr>
        <w:t xml:space="preserve">Universidade Federal </w:t>
      </w:r>
      <w:r>
        <w:rPr>
          <w:spacing w:val="2"/>
        </w:rPr>
        <w:t xml:space="preserve">do </w:t>
      </w:r>
      <w:r>
        <w:rPr>
          <w:spacing w:val="3"/>
        </w:rPr>
        <w:t xml:space="preserve">Rio </w:t>
      </w:r>
      <w:r>
        <w:rPr>
          <w:spacing w:val="2"/>
        </w:rPr>
        <w:t xml:space="preserve">de </w:t>
      </w:r>
      <w:r>
        <w:rPr>
          <w:spacing w:val="6"/>
        </w:rPr>
        <w:t xml:space="preserve">Janeiro </w:t>
      </w:r>
      <w:r>
        <w:rPr>
          <w:spacing w:val="5"/>
        </w:rPr>
        <w:t>(Coppe/UFRJ) (VIÉGAS,</w:t>
      </w:r>
      <w:r>
        <w:rPr>
          <w:spacing w:val="17"/>
        </w:rPr>
        <w:t xml:space="preserve"> </w:t>
      </w:r>
      <w:r>
        <w:rPr>
          <w:spacing w:val="6"/>
        </w:rPr>
        <w:t>2006).</w:t>
      </w:r>
    </w:p>
    <w:p w:rsidR="00D81F69" w:rsidRDefault="00330118">
      <w:pPr>
        <w:pStyle w:val="Corpodetexto"/>
        <w:spacing w:before="142" w:line="312" w:lineRule="auto"/>
        <w:ind w:right="94"/>
      </w:pPr>
      <w:r>
        <w:t>Em 2004, uma liminar concedida pelo Ministério Público determinou indeni</w:t>
      </w:r>
      <w:r>
        <w:t>zação de um salário mínimo por semana a cada pescador da região. A indenização referia-se ao período</w:t>
      </w:r>
    </w:p>
    <w:p w:rsidR="00D81F69" w:rsidRDefault="00330118">
      <w:pPr>
        <w:pStyle w:val="Corpodetexto"/>
        <w:spacing w:before="81" w:line="312" w:lineRule="auto"/>
        <w:ind w:right="196"/>
      </w:pPr>
      <w:r>
        <w:br w:type="column"/>
      </w:r>
      <w:r>
        <w:lastRenderedPageBreak/>
        <w:t>de fevereiro de 1996 – data do primeiro grande desastre causado pela Companhia Ingá Mercantil – até o dia em que a baía de Sepetiba fosse recuperada. No m</w:t>
      </w:r>
      <w:r>
        <w:t>esmo ano, o governo do Estado do Rio liberou verba para o término das obras do reservatório da companhia. O objetivo era elevar e reforçar o dique de contenção dos resíduos químicos armazenados, diminuindo, assim, o risco de transbordamento. Foi criada, ai</w:t>
      </w:r>
      <w:r>
        <w:t>nda, uma comissão com representantes dos governos federal e estadual e da prefeitura para que fosse apresentado um projeto para a Companhia Ingá Mercantil e para todo o passivo que ela representava (PINNA et al., 2004; WAMBIER, 2004 apud PINTO, 2005).</w:t>
      </w:r>
    </w:p>
    <w:p w:rsidR="00D81F69" w:rsidRDefault="00330118">
      <w:pPr>
        <w:pStyle w:val="Corpodetexto"/>
        <w:spacing w:before="141" w:line="312" w:lineRule="auto"/>
        <w:ind w:right="197"/>
      </w:pPr>
      <w:r>
        <w:t xml:space="preserve">“Em </w:t>
      </w:r>
      <w:r>
        <w:t>janeiro 2005, os ex-diretores da empresa foram condenados por crime ambiental, pela poluição da baía de Sepetiba” (VIÉGAS, 2006, p. 4) e, em 2007, o governo do estado juntamente com o então administrador e representante da massa falida iniciaram a desconta</w:t>
      </w:r>
      <w:r>
        <w:t xml:space="preserve">minação do terreno da Companhia Mercantil e Industrial Ingá (PORTAL ECODEBATE, 2009). </w:t>
      </w:r>
    </w:p>
    <w:p w:rsidR="00D81F69" w:rsidRDefault="00330118">
      <w:pPr>
        <w:pStyle w:val="Corpodetexto"/>
        <w:spacing w:before="136" w:line="312" w:lineRule="auto"/>
        <w:ind w:right="193"/>
      </w:pPr>
      <w:r>
        <w:t xml:space="preserve">Em junho de 2008, o terreno da companhia foi arrematado, em leilão, pela Usiminas, (PORTAL ECODEBATE, 2009) que, </w:t>
      </w:r>
      <w:r>
        <w:rPr>
          <w:spacing w:val="2"/>
        </w:rPr>
        <w:t xml:space="preserve">em </w:t>
      </w:r>
      <w:r>
        <w:rPr>
          <w:spacing w:val="5"/>
        </w:rPr>
        <w:t xml:space="preserve">2009, reiniciou </w:t>
      </w:r>
      <w:r>
        <w:t xml:space="preserve">o </w:t>
      </w:r>
      <w:r>
        <w:rPr>
          <w:spacing w:val="5"/>
        </w:rPr>
        <w:t xml:space="preserve">processo </w:t>
      </w:r>
      <w:r>
        <w:rPr>
          <w:spacing w:val="2"/>
        </w:rPr>
        <w:t xml:space="preserve">de </w:t>
      </w:r>
      <w:r>
        <w:rPr>
          <w:spacing w:val="5"/>
        </w:rPr>
        <w:t xml:space="preserve">descontaminação </w:t>
      </w:r>
      <w:r>
        <w:rPr>
          <w:spacing w:val="6"/>
        </w:rPr>
        <w:t xml:space="preserve">em </w:t>
      </w:r>
      <w:r>
        <w:rPr>
          <w:spacing w:val="7"/>
        </w:rPr>
        <w:t>parc</w:t>
      </w:r>
      <w:r>
        <w:rPr>
          <w:spacing w:val="7"/>
        </w:rPr>
        <w:t xml:space="preserve">eria </w:t>
      </w:r>
      <w:r>
        <w:rPr>
          <w:spacing w:val="5"/>
        </w:rPr>
        <w:t xml:space="preserve">com </w:t>
      </w:r>
      <w:r>
        <w:t xml:space="preserve">o </w:t>
      </w:r>
      <w:r>
        <w:rPr>
          <w:spacing w:val="7"/>
        </w:rPr>
        <w:t xml:space="preserve">governo </w:t>
      </w:r>
      <w:r>
        <w:rPr>
          <w:spacing w:val="5"/>
        </w:rPr>
        <w:t xml:space="preserve">do </w:t>
      </w:r>
      <w:r>
        <w:rPr>
          <w:spacing w:val="7"/>
        </w:rPr>
        <w:t xml:space="preserve">Estado </w:t>
      </w:r>
      <w:r>
        <w:rPr>
          <w:spacing w:val="5"/>
        </w:rPr>
        <w:t xml:space="preserve">do Rio de </w:t>
      </w:r>
      <w:r>
        <w:rPr>
          <w:spacing w:val="10"/>
        </w:rPr>
        <w:t xml:space="preserve">Janeiro </w:t>
      </w:r>
      <w:r>
        <w:t>(AGÊNCIA RIO DE NOTÍCIAS, 2009). No período de maio de 2011 até novembro de 2012, a empresa pretendia investir R$ 92 milhões na recuperação ambiental do terreno. O projeto previa, além do encapsulamento, o tra</w:t>
      </w:r>
      <w:r>
        <w:t xml:space="preserve">tamento e a renovação </w:t>
      </w:r>
      <w:r>
        <w:rPr>
          <w:spacing w:val="2"/>
        </w:rPr>
        <w:t xml:space="preserve">da </w:t>
      </w:r>
      <w:r>
        <w:rPr>
          <w:spacing w:val="3"/>
        </w:rPr>
        <w:t xml:space="preserve">água </w:t>
      </w:r>
      <w:r>
        <w:rPr>
          <w:spacing w:val="5"/>
        </w:rPr>
        <w:t xml:space="preserve">subterrânea, </w:t>
      </w:r>
      <w:r>
        <w:rPr>
          <w:spacing w:val="3"/>
        </w:rPr>
        <w:t xml:space="preserve">que </w:t>
      </w:r>
      <w:r>
        <w:rPr>
          <w:spacing w:val="5"/>
        </w:rPr>
        <w:t xml:space="preserve">também </w:t>
      </w:r>
      <w:r>
        <w:rPr>
          <w:spacing w:val="3"/>
        </w:rPr>
        <w:t xml:space="preserve">está </w:t>
      </w:r>
      <w:r>
        <w:rPr>
          <w:spacing w:val="5"/>
        </w:rPr>
        <w:t xml:space="preserve">contaminada. </w:t>
      </w:r>
      <w:r>
        <w:t xml:space="preserve">A </w:t>
      </w:r>
      <w:r>
        <w:rPr>
          <w:spacing w:val="3"/>
        </w:rPr>
        <w:t xml:space="preserve">Usiminas estima </w:t>
      </w:r>
      <w:r>
        <w:rPr>
          <w:spacing w:val="2"/>
        </w:rPr>
        <w:t xml:space="preserve">que, para </w:t>
      </w:r>
      <w:r>
        <w:rPr>
          <w:spacing w:val="3"/>
        </w:rPr>
        <w:t xml:space="preserve">total eliminação </w:t>
      </w:r>
      <w:r>
        <w:rPr>
          <w:spacing w:val="2"/>
        </w:rPr>
        <w:t xml:space="preserve">dos </w:t>
      </w:r>
      <w:r>
        <w:rPr>
          <w:spacing w:val="5"/>
        </w:rPr>
        <w:t xml:space="preserve">produtos </w:t>
      </w:r>
      <w:r>
        <w:t>tóxicos, a água terá que ser bombeada por aproximadamente 20 anos (GONÇALVES,</w:t>
      </w:r>
      <w:r>
        <w:rPr>
          <w:spacing w:val="10"/>
        </w:rPr>
        <w:t xml:space="preserve"> </w:t>
      </w:r>
      <w:r>
        <w:t>2011).</w:t>
      </w:r>
    </w:p>
    <w:p w:rsidR="00D81F69" w:rsidRDefault="00330118">
      <w:pPr>
        <w:pStyle w:val="Corpodetexto"/>
        <w:spacing w:before="141" w:line="312" w:lineRule="auto"/>
        <w:ind w:right="209"/>
      </w:pPr>
      <w:r>
        <w:t>A iniciativa de recuperação ambiental com</w:t>
      </w:r>
      <w:r>
        <w:t>preende, dentre outras ações, a instalação de uma barreira hidráulica para contenção do fluxo do lençol freático; o tratamento dos efluentes líquidos retirados; a implantação de um sistema de monitoramento da área; e o acondicionamento seguro da água conta</w:t>
      </w:r>
      <w:r>
        <w:t>minada do reservatório da Companhia Mercantil e Industrial Ingá (PORTAL ECODEBATE, 2009).</w:t>
      </w:r>
    </w:p>
    <w:p w:rsidR="00D81F69" w:rsidRDefault="00330118">
      <w:pPr>
        <w:pStyle w:val="Corpodetexto"/>
        <w:spacing w:before="137" w:line="312" w:lineRule="auto"/>
        <w:ind w:right="196"/>
      </w:pPr>
      <w:r>
        <w:t xml:space="preserve">No terreno arrematado, a Usiminas pretende construir um porto para escoamento do minério de </w:t>
      </w:r>
      <w:hyperlink r:id="rId1543">
        <w:r>
          <w:t xml:space="preserve">ferro </w:t>
        </w:r>
      </w:hyperlink>
      <w:r>
        <w:t xml:space="preserve">(ALECRIM, 2010). Enquanto não conclui a iniciativa, a empresa firmou contrato de operação portuária que permitirá o escoamento do minério pelo porto Sudeste - da </w:t>
      </w:r>
      <w:r>
        <w:t>LLX, empresa logística do Grupo EBX. O acordo prevê o embarque de 3 milhões de toneladas no primeiro ano, chegando até 12 milhões de toneladas anuais em 2016 (VALOR ONLINE, 2011).</w:t>
      </w:r>
    </w:p>
    <w:p w:rsidR="00D81F69" w:rsidRDefault="00D81F69">
      <w:pPr>
        <w:pStyle w:val="Corpodetexto"/>
        <w:spacing w:before="7"/>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212"/>
      </w:pPr>
      <w:r>
        <w:t xml:space="preserve">A </w:t>
      </w:r>
      <w:r>
        <w:rPr>
          <w:spacing w:val="1"/>
        </w:rPr>
        <w:t xml:space="preserve">Companhia Mercantil </w:t>
      </w:r>
      <w:r>
        <w:t xml:space="preserve">e </w:t>
      </w:r>
      <w:r>
        <w:rPr>
          <w:spacing w:val="1"/>
        </w:rPr>
        <w:t>Industrial Ingá está instala</w:t>
      </w:r>
      <w:r>
        <w:rPr>
          <w:spacing w:val="1"/>
        </w:rPr>
        <w:t xml:space="preserve">da </w:t>
      </w:r>
      <w:r>
        <w:rPr>
          <w:spacing w:val="2"/>
        </w:rPr>
        <w:t xml:space="preserve">no </w:t>
      </w:r>
      <w:r>
        <w:t xml:space="preserve">município de Itaguaí, na região costeira Sul/Sudeste do </w:t>
      </w:r>
      <w:r>
        <w:rPr>
          <w:spacing w:val="1"/>
        </w:rPr>
        <w:t xml:space="preserve">Rio </w:t>
      </w:r>
      <w:r>
        <w:t>de</w:t>
      </w:r>
      <w:r>
        <w:rPr>
          <w:spacing w:val="28"/>
        </w:rPr>
        <w:t xml:space="preserve"> </w:t>
      </w:r>
      <w:r>
        <w:t>Janeiro,</w:t>
      </w:r>
      <w:r>
        <w:rPr>
          <w:spacing w:val="28"/>
        </w:rPr>
        <w:t xml:space="preserve"> </w:t>
      </w:r>
      <w:r>
        <w:t>na</w:t>
      </w:r>
      <w:r>
        <w:rPr>
          <w:spacing w:val="28"/>
        </w:rPr>
        <w:t xml:space="preserve"> </w:t>
      </w:r>
      <w:r>
        <w:t>latitude</w:t>
      </w:r>
      <w:r>
        <w:rPr>
          <w:spacing w:val="28"/>
        </w:rPr>
        <w:t xml:space="preserve"> </w:t>
      </w:r>
      <w:r>
        <w:t>22°54’53”S</w:t>
      </w:r>
      <w:r>
        <w:rPr>
          <w:spacing w:val="28"/>
        </w:rPr>
        <w:t xml:space="preserve"> </w:t>
      </w:r>
      <w:r>
        <w:t>e</w:t>
      </w:r>
      <w:r>
        <w:rPr>
          <w:spacing w:val="28"/>
        </w:rPr>
        <w:t xml:space="preserve"> </w:t>
      </w:r>
      <w:r>
        <w:t>longitude</w:t>
      </w:r>
      <w:r>
        <w:rPr>
          <w:spacing w:val="28"/>
        </w:rPr>
        <w:t xml:space="preserve"> </w:t>
      </w:r>
      <w:r>
        <w:t>43°49’39”W.</w:t>
      </w:r>
    </w:p>
    <w:p w:rsidR="00D81F69" w:rsidRDefault="00D81F69">
      <w:pPr>
        <w:pStyle w:val="Corpodetexto"/>
        <w:ind w:left="0"/>
        <w:jc w:val="left"/>
        <w:rPr>
          <w:sz w:val="29"/>
        </w:rPr>
      </w:pPr>
    </w:p>
    <w:p w:rsidR="00D81F69" w:rsidRDefault="00330118">
      <w:pPr>
        <w:pStyle w:val="Heading7"/>
      </w:pPr>
      <w:r>
        <w:t>REDATORES</w:t>
      </w:r>
    </w:p>
    <w:p w:rsidR="00D81F69" w:rsidRDefault="00D81F69">
      <w:pPr>
        <w:sectPr w:rsidR="00D81F69">
          <w:pgSz w:w="11900" w:h="16840"/>
          <w:pgMar w:top="740" w:right="500" w:bottom="720" w:left="620" w:header="0" w:footer="402" w:gutter="0"/>
          <w:cols w:num="2" w:space="720" w:equalWidth="0">
            <w:col w:w="5195" w:space="275"/>
            <w:col w:w="5310"/>
          </w:cols>
        </w:sectPr>
      </w:pPr>
    </w:p>
    <w:p w:rsidR="00D81F69" w:rsidRDefault="00330118">
      <w:pPr>
        <w:pStyle w:val="Corpodetexto"/>
        <w:spacing w:before="81"/>
        <w:jc w:val="left"/>
      </w:pPr>
      <w:r>
        <w:lastRenderedPageBreak/>
        <w:t>Eliane Araujo; Renata Olivieri</w:t>
      </w:r>
    </w:p>
    <w:p w:rsidR="00D81F69" w:rsidRDefault="00D81F69">
      <w:pPr>
        <w:pStyle w:val="Corpodetexto"/>
        <w:ind w:left="0"/>
        <w:jc w:val="left"/>
        <w:rPr>
          <w:sz w:val="20"/>
        </w:rPr>
      </w:pPr>
    </w:p>
    <w:p w:rsidR="00D81F69" w:rsidRDefault="00330118">
      <w:pPr>
        <w:pStyle w:val="Heading7"/>
        <w:spacing w:before="164"/>
        <w:jc w:val="left"/>
      </w:pPr>
      <w:r>
        <w:t>REFERÊNCIAS BIBLIOGRÁFICAS</w:t>
      </w:r>
    </w:p>
    <w:p w:rsidR="00D81F69" w:rsidRDefault="00330118">
      <w:pPr>
        <w:spacing w:before="188" w:line="312" w:lineRule="auto"/>
        <w:ind w:left="100" w:right="38"/>
        <w:jc w:val="both"/>
        <w:rPr>
          <w:sz w:val="16"/>
        </w:rPr>
      </w:pPr>
      <w:r>
        <w:rPr>
          <w:sz w:val="16"/>
        </w:rPr>
        <w:t xml:space="preserve">ALECRIM, Michel. US$ 600 milhões para o Rio. O Dia on line, São     </w:t>
      </w:r>
      <w:r>
        <w:rPr>
          <w:spacing w:val="6"/>
          <w:sz w:val="16"/>
        </w:rPr>
        <w:t xml:space="preserve">P a u l o </w:t>
      </w:r>
      <w:r>
        <w:rPr>
          <w:sz w:val="16"/>
        </w:rPr>
        <w:t xml:space="preserve">,      </w:t>
      </w:r>
      <w:r>
        <w:rPr>
          <w:spacing w:val="6"/>
          <w:sz w:val="16"/>
        </w:rPr>
        <w:t xml:space="preserve">2 </w:t>
      </w:r>
      <w:r>
        <w:rPr>
          <w:sz w:val="16"/>
        </w:rPr>
        <w:t xml:space="preserve">6      </w:t>
      </w:r>
      <w:r>
        <w:rPr>
          <w:spacing w:val="6"/>
          <w:sz w:val="16"/>
        </w:rPr>
        <w:t xml:space="preserve">f e v </w:t>
      </w:r>
      <w:r>
        <w:rPr>
          <w:sz w:val="16"/>
        </w:rPr>
        <w:t xml:space="preserve">.      </w:t>
      </w:r>
      <w:r>
        <w:rPr>
          <w:spacing w:val="6"/>
          <w:sz w:val="16"/>
        </w:rPr>
        <w:t xml:space="preserve">2 0 1 0 </w:t>
      </w:r>
      <w:r>
        <w:rPr>
          <w:sz w:val="16"/>
        </w:rPr>
        <w:t xml:space="preserve">.      </w:t>
      </w:r>
      <w:r>
        <w:rPr>
          <w:spacing w:val="6"/>
          <w:sz w:val="16"/>
        </w:rPr>
        <w:t xml:space="preserve">D i s p o n í v e </w:t>
      </w:r>
      <w:r>
        <w:rPr>
          <w:sz w:val="16"/>
        </w:rPr>
        <w:t xml:space="preserve">l   </w:t>
      </w:r>
      <w:r>
        <w:rPr>
          <w:spacing w:val="28"/>
          <w:sz w:val="16"/>
        </w:rPr>
        <w:t xml:space="preserve"> </w:t>
      </w:r>
      <w:r>
        <w:rPr>
          <w:spacing w:val="6"/>
          <w:sz w:val="16"/>
        </w:rPr>
        <w:t xml:space="preserve">e m </w:t>
      </w:r>
      <w:r>
        <w:rPr>
          <w:sz w:val="16"/>
        </w:rPr>
        <w:t>:</w:t>
      </w:r>
      <w:r>
        <w:rPr>
          <w:spacing w:val="7"/>
          <w:sz w:val="16"/>
        </w:rPr>
        <w:t xml:space="preserve"> </w:t>
      </w:r>
    </w:p>
    <w:p w:rsidR="00D81F69" w:rsidRDefault="00D81F69">
      <w:pPr>
        <w:spacing w:before="1"/>
        <w:ind w:left="100"/>
        <w:rPr>
          <w:sz w:val="16"/>
        </w:rPr>
      </w:pPr>
      <w:hyperlink r:id="rId1544">
        <w:r w:rsidR="00330118">
          <w:rPr>
            <w:sz w:val="16"/>
          </w:rPr>
          <w:t>&lt;http://odia.terra.</w:t>
        </w:r>
        <w:r w:rsidR="00330118">
          <w:rPr>
            <w:sz w:val="16"/>
          </w:rPr>
          <w:t>com.br/portal/economia/html/2010/2/us_600_milhoes</w:t>
        </w:r>
      </w:hyperlink>
    </w:p>
    <w:p w:rsidR="00D81F69" w:rsidRDefault="00330118">
      <w:pPr>
        <w:spacing w:before="56"/>
        <w:ind w:left="100"/>
        <w:rPr>
          <w:sz w:val="16"/>
        </w:rPr>
      </w:pPr>
      <w:r>
        <w:rPr>
          <w:sz w:val="16"/>
        </w:rPr>
        <w:t>_para_o_rio_66203.html&gt;. Acesso em 30 mar. 2010.</w:t>
      </w:r>
    </w:p>
    <w:p w:rsidR="00D81F69" w:rsidRDefault="00330118">
      <w:pPr>
        <w:spacing w:before="56" w:line="312" w:lineRule="auto"/>
        <w:ind w:left="100" w:right="82"/>
        <w:jc w:val="both"/>
        <w:rPr>
          <w:sz w:val="16"/>
        </w:rPr>
      </w:pPr>
      <w:r>
        <w:rPr>
          <w:sz w:val="16"/>
        </w:rPr>
        <w:t xml:space="preserve">AGÊNCIA RIO DE NOTÍCIAS. Começa descontaminação da Ingá Mercantil em Itaguaí. In: Blog Informativo Rio, 05 jun. 2009. Disponível em: </w:t>
      </w:r>
      <w:hyperlink r:id="rId1545">
        <w:r>
          <w:rPr>
            <w:sz w:val="16"/>
          </w:rPr>
          <w:t>&lt;http://informativorio.blogspot.com/2009/06/comeca-</w:t>
        </w:r>
      </w:hyperlink>
      <w:r>
        <w:rPr>
          <w:sz w:val="16"/>
        </w:rPr>
        <w:t xml:space="preserve"> descontaminacao-da-inga.html&gt;. Acesso em: 27 mar. 2010.</w:t>
      </w:r>
    </w:p>
    <w:p w:rsidR="00D81F69" w:rsidRDefault="00330118">
      <w:pPr>
        <w:spacing w:before="4" w:line="312" w:lineRule="auto"/>
        <w:ind w:left="100" w:right="89"/>
        <w:jc w:val="both"/>
        <w:rPr>
          <w:sz w:val="16"/>
        </w:rPr>
      </w:pPr>
      <w:r>
        <w:rPr>
          <w:sz w:val="16"/>
        </w:rPr>
        <w:t>BRASIL MINERAL. Brasil. Passivo ambiental. Ingá continua sem comprador. In: Mineral OnLine, n. 348, 16 a</w:t>
      </w:r>
      <w:r>
        <w:rPr>
          <w:sz w:val="16"/>
        </w:rPr>
        <w:t>br. 2008. Disponível em:</w:t>
      </w:r>
    </w:p>
    <w:p w:rsidR="00D81F69" w:rsidRDefault="00D81F69">
      <w:pPr>
        <w:spacing w:before="1" w:line="312" w:lineRule="auto"/>
        <w:ind w:left="100" w:right="108"/>
        <w:jc w:val="both"/>
        <w:rPr>
          <w:sz w:val="16"/>
        </w:rPr>
      </w:pPr>
      <w:hyperlink r:id="rId1546">
        <w:r w:rsidR="00330118">
          <w:rPr>
            <w:sz w:val="16"/>
          </w:rPr>
          <w:t>&lt;http://www.brasilmineral.com.br/BM/default.asp?COD=3521&amp;busca=</w:t>
        </w:r>
      </w:hyperlink>
      <w:r w:rsidR="00330118">
        <w:rPr>
          <w:sz w:val="16"/>
        </w:rPr>
        <w:t xml:space="preserve"> &amp;numero=348&gt;. Acesso em: 13 out. 2011.</w:t>
      </w:r>
    </w:p>
    <w:p w:rsidR="00D81F69" w:rsidRDefault="00330118">
      <w:pPr>
        <w:spacing w:before="2" w:line="312" w:lineRule="auto"/>
        <w:ind w:left="100" w:right="91"/>
        <w:jc w:val="both"/>
        <w:rPr>
          <w:sz w:val="16"/>
        </w:rPr>
      </w:pPr>
      <w:r>
        <w:rPr>
          <w:sz w:val="16"/>
        </w:rPr>
        <w:t>BREDARIOL, Celso Simões. O Aprendizado da neg</w:t>
      </w:r>
      <w:r>
        <w:rPr>
          <w:sz w:val="16"/>
        </w:rPr>
        <w:t>ociação em conflitos ambientais. A Associação Nacional de Pós-Graduação e Pesquisa em Ambiente e Sociedade (ANPPAS), 2002. Disponível em:</w:t>
      </w:r>
    </w:p>
    <w:p w:rsidR="00D81F69" w:rsidRDefault="00D81F69">
      <w:pPr>
        <w:spacing w:before="2" w:line="312" w:lineRule="auto"/>
        <w:ind w:left="100" w:right="108"/>
        <w:jc w:val="both"/>
        <w:rPr>
          <w:sz w:val="16"/>
        </w:rPr>
      </w:pPr>
      <w:hyperlink r:id="rId1547">
        <w:r w:rsidR="00330118">
          <w:rPr>
            <w:sz w:val="16"/>
          </w:rPr>
          <w:t>&lt;</w:t>
        </w:r>
        <w:r w:rsidR="00330118">
          <w:rPr>
            <w:sz w:val="16"/>
          </w:rPr>
          <w:t>http://www.anppas.org.br/encontro_anual/encontro2/GT/GT17/gt17_</w:t>
        </w:r>
      </w:hyperlink>
      <w:r w:rsidR="00330118">
        <w:rPr>
          <w:sz w:val="16"/>
        </w:rPr>
        <w:t xml:space="preserve"> celso_bredariol.pdf&gt;. Acesso em: 29 mar.2010</w:t>
      </w:r>
    </w:p>
    <w:p w:rsidR="00D81F69" w:rsidRDefault="00330118">
      <w:pPr>
        <w:spacing w:before="2" w:line="312" w:lineRule="auto"/>
        <w:ind w:left="100" w:right="38"/>
        <w:jc w:val="both"/>
        <w:rPr>
          <w:sz w:val="16"/>
        </w:rPr>
      </w:pPr>
      <w:r>
        <w:rPr>
          <w:sz w:val="16"/>
        </w:rPr>
        <w:t xml:space="preserve">IBGE, Instituto Brasileiro de Geografia e Estatística. Itaguaí (RJ). In:     </w:t>
      </w:r>
      <w:r>
        <w:rPr>
          <w:spacing w:val="10"/>
          <w:sz w:val="16"/>
        </w:rPr>
        <w:t xml:space="preserve">I B G </w:t>
      </w:r>
      <w:r>
        <w:rPr>
          <w:sz w:val="16"/>
        </w:rPr>
        <w:t xml:space="preserve">E </w:t>
      </w:r>
      <w:r>
        <w:rPr>
          <w:spacing w:val="10"/>
          <w:sz w:val="16"/>
        </w:rPr>
        <w:t xml:space="preserve">C i d a d e s </w:t>
      </w:r>
      <w:r>
        <w:rPr>
          <w:sz w:val="16"/>
        </w:rPr>
        <w:t xml:space="preserve">, </w:t>
      </w:r>
      <w:r>
        <w:rPr>
          <w:spacing w:val="10"/>
          <w:sz w:val="16"/>
        </w:rPr>
        <w:t xml:space="preserve">2 0 1 0 </w:t>
      </w:r>
      <w:r>
        <w:rPr>
          <w:sz w:val="16"/>
        </w:rPr>
        <w:t xml:space="preserve">. </w:t>
      </w:r>
      <w:r>
        <w:rPr>
          <w:spacing w:val="10"/>
          <w:sz w:val="16"/>
        </w:rPr>
        <w:t xml:space="preserve">D i s p o n í v e </w:t>
      </w:r>
      <w:r>
        <w:rPr>
          <w:sz w:val="16"/>
        </w:rPr>
        <w:t>l</w:t>
      </w:r>
      <w:r>
        <w:rPr>
          <w:spacing w:val="20"/>
          <w:sz w:val="16"/>
        </w:rPr>
        <w:t xml:space="preserve"> </w:t>
      </w:r>
      <w:r>
        <w:rPr>
          <w:spacing w:val="10"/>
          <w:sz w:val="16"/>
        </w:rPr>
        <w:t xml:space="preserve">e m </w:t>
      </w:r>
      <w:r>
        <w:rPr>
          <w:sz w:val="16"/>
        </w:rPr>
        <w:t>:</w:t>
      </w:r>
      <w:r>
        <w:rPr>
          <w:spacing w:val="10"/>
          <w:sz w:val="16"/>
        </w:rPr>
        <w:t xml:space="preserve"> </w:t>
      </w:r>
    </w:p>
    <w:p w:rsidR="00D81F69" w:rsidRDefault="00D81F69">
      <w:pPr>
        <w:spacing w:before="2"/>
        <w:ind w:left="100"/>
        <w:rPr>
          <w:sz w:val="16"/>
        </w:rPr>
      </w:pPr>
      <w:hyperlink r:id="rId1548">
        <w:r w:rsidR="00330118">
          <w:rPr>
            <w:sz w:val="16"/>
          </w:rPr>
          <w:t>&lt;http://www.ibge.gov.br/cidadesat/xtras/perfil.php?codmun=330200&amp;r</w:t>
        </w:r>
      </w:hyperlink>
    </w:p>
    <w:p w:rsidR="00D81F69" w:rsidRDefault="00330118">
      <w:pPr>
        <w:spacing w:before="56"/>
        <w:ind w:left="100"/>
        <w:rPr>
          <w:sz w:val="16"/>
        </w:rPr>
      </w:pPr>
      <w:r>
        <w:rPr>
          <w:sz w:val="16"/>
        </w:rPr>
        <w:t>=2&gt;. Acesso em: 13 out. 2011.</w:t>
      </w:r>
    </w:p>
    <w:p w:rsidR="00D81F69" w:rsidRDefault="00330118">
      <w:pPr>
        <w:spacing w:before="56" w:line="312" w:lineRule="auto"/>
        <w:ind w:left="100" w:right="55"/>
        <w:jc w:val="both"/>
        <w:rPr>
          <w:sz w:val="16"/>
        </w:rPr>
      </w:pPr>
      <w:r>
        <w:rPr>
          <w:spacing w:val="12"/>
          <w:sz w:val="16"/>
        </w:rPr>
        <w:t xml:space="preserve">GONÇALVES, Carolina. Recuperação ambiental </w:t>
      </w:r>
      <w:r>
        <w:rPr>
          <w:spacing w:val="6"/>
          <w:sz w:val="16"/>
        </w:rPr>
        <w:t xml:space="preserve">de </w:t>
      </w:r>
      <w:r>
        <w:rPr>
          <w:spacing w:val="10"/>
          <w:sz w:val="16"/>
        </w:rPr>
        <w:t xml:space="preserve">área </w:t>
      </w:r>
      <w:r>
        <w:rPr>
          <w:sz w:val="16"/>
        </w:rPr>
        <w:t>contaminada pela Ingá M</w:t>
      </w:r>
      <w:r>
        <w:rPr>
          <w:sz w:val="16"/>
        </w:rPr>
        <w:t xml:space="preserve">ercantil envolverá mais de R$ 92 milhões. </w:t>
      </w:r>
      <w:r>
        <w:rPr>
          <w:spacing w:val="25"/>
          <w:sz w:val="16"/>
        </w:rPr>
        <w:t>Agência</w:t>
      </w:r>
      <w:r>
        <w:rPr>
          <w:spacing w:val="95"/>
          <w:sz w:val="16"/>
        </w:rPr>
        <w:t xml:space="preserve"> </w:t>
      </w:r>
      <w:r>
        <w:rPr>
          <w:spacing w:val="25"/>
          <w:sz w:val="16"/>
        </w:rPr>
        <w:t>Brasil,</w:t>
      </w:r>
      <w:r>
        <w:rPr>
          <w:spacing w:val="95"/>
          <w:sz w:val="16"/>
        </w:rPr>
        <w:t xml:space="preserve"> </w:t>
      </w:r>
      <w:r>
        <w:rPr>
          <w:spacing w:val="15"/>
          <w:sz w:val="16"/>
        </w:rPr>
        <w:t xml:space="preserve">23 </w:t>
      </w:r>
      <w:r>
        <w:rPr>
          <w:spacing w:val="22"/>
          <w:sz w:val="16"/>
        </w:rPr>
        <w:t xml:space="preserve">abr. </w:t>
      </w:r>
      <w:r>
        <w:rPr>
          <w:spacing w:val="23"/>
          <w:sz w:val="16"/>
        </w:rPr>
        <w:t xml:space="preserve">2011. </w:t>
      </w:r>
      <w:r>
        <w:rPr>
          <w:spacing w:val="26"/>
          <w:sz w:val="16"/>
        </w:rPr>
        <w:t>Disponível</w:t>
      </w:r>
      <w:r>
        <w:rPr>
          <w:spacing w:val="25"/>
          <w:sz w:val="16"/>
        </w:rPr>
        <w:t xml:space="preserve"> </w:t>
      </w:r>
      <w:r>
        <w:rPr>
          <w:spacing w:val="20"/>
          <w:sz w:val="16"/>
        </w:rPr>
        <w:t>em:</w:t>
      </w:r>
      <w:r>
        <w:rPr>
          <w:spacing w:val="-13"/>
          <w:sz w:val="16"/>
        </w:rPr>
        <w:t xml:space="preserve"> </w:t>
      </w:r>
    </w:p>
    <w:p w:rsidR="00D81F69" w:rsidRDefault="00D81F69">
      <w:pPr>
        <w:spacing w:before="2" w:line="312" w:lineRule="auto"/>
        <w:ind w:left="100" w:right="103"/>
        <w:jc w:val="both"/>
        <w:rPr>
          <w:sz w:val="16"/>
        </w:rPr>
      </w:pPr>
      <w:hyperlink r:id="rId1549">
        <w:r w:rsidR="00330118">
          <w:rPr>
            <w:sz w:val="16"/>
          </w:rPr>
          <w:t>&lt;http://agenciabrasil.ebc.com.br/noticia/2011-04-26/recuperacao-</w:t>
        </w:r>
      </w:hyperlink>
      <w:r w:rsidR="00330118">
        <w:rPr>
          <w:sz w:val="16"/>
        </w:rPr>
        <w:t xml:space="preserve"> ambiental-de-area-cont</w:t>
      </w:r>
      <w:r w:rsidR="00330118">
        <w:rPr>
          <w:sz w:val="16"/>
        </w:rPr>
        <w:t>aminada-pela-inga-mercantil-envolvera-mais- de-r-92-milhoes&gt;. Acesso em 10 nov. 2011.</w:t>
      </w:r>
    </w:p>
    <w:p w:rsidR="00D81F69" w:rsidRDefault="00330118">
      <w:pPr>
        <w:spacing w:before="3" w:line="312" w:lineRule="auto"/>
        <w:ind w:left="100" w:right="90"/>
        <w:jc w:val="both"/>
        <w:rPr>
          <w:sz w:val="16"/>
        </w:rPr>
      </w:pPr>
      <w:r>
        <w:rPr>
          <w:sz w:val="16"/>
        </w:rPr>
        <w:t>LINDOLFO, Nathalia dos Santos. Percepção da população local frente ao impacto ambiental causado pela Companhia Ingá, CETEM,</w:t>
      </w:r>
    </w:p>
    <w:p w:rsidR="00D81F69" w:rsidRDefault="00330118">
      <w:pPr>
        <w:tabs>
          <w:tab w:val="left" w:pos="1785"/>
          <w:tab w:val="left" w:pos="4548"/>
        </w:tabs>
        <w:spacing w:before="1"/>
        <w:ind w:left="100"/>
        <w:rPr>
          <w:sz w:val="16"/>
        </w:rPr>
      </w:pPr>
      <w:r>
        <w:rPr>
          <w:sz w:val="16"/>
        </w:rPr>
        <w:t xml:space="preserve">2   0   1  </w:t>
      </w:r>
      <w:r>
        <w:rPr>
          <w:spacing w:val="35"/>
          <w:sz w:val="16"/>
        </w:rPr>
        <w:t xml:space="preserve"> </w:t>
      </w:r>
      <w:r>
        <w:rPr>
          <w:sz w:val="16"/>
        </w:rPr>
        <w:t xml:space="preserve">1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109"/>
        <w:jc w:val="both"/>
        <w:rPr>
          <w:sz w:val="16"/>
        </w:rPr>
      </w:pPr>
      <w:hyperlink r:id="rId1550">
        <w:r w:rsidR="00330118">
          <w:rPr>
            <w:sz w:val="16"/>
          </w:rPr>
          <w:t>&lt;http://www.cetem.gov.br/publicacao/serie_anais_XIX_jic_2011/XIX_J</w:t>
        </w:r>
      </w:hyperlink>
      <w:r w:rsidR="00330118">
        <w:rPr>
          <w:sz w:val="16"/>
        </w:rPr>
        <w:t xml:space="preserve"> IC2011_nathalia_santos_lindolfo.pdf&gt;. Acesso em: 14 out. 2011.</w:t>
      </w:r>
    </w:p>
    <w:p w:rsidR="00D81F69" w:rsidRDefault="00330118">
      <w:pPr>
        <w:spacing w:before="2"/>
        <w:ind w:left="100"/>
        <w:rPr>
          <w:sz w:val="16"/>
        </w:rPr>
      </w:pPr>
      <w:r>
        <w:rPr>
          <w:sz w:val="16"/>
        </w:rPr>
        <w:t>MAPA DA INJUSTIÇA AMBIENTAL E SAÚDE NO BRASIL.</w:t>
      </w:r>
    </w:p>
    <w:p w:rsidR="00D81F69" w:rsidRDefault="00330118">
      <w:pPr>
        <w:spacing w:before="56" w:line="312" w:lineRule="auto"/>
        <w:ind w:left="100" w:right="107"/>
        <w:jc w:val="both"/>
        <w:rPr>
          <w:sz w:val="16"/>
        </w:rPr>
      </w:pPr>
      <w:r>
        <w:rPr>
          <w:sz w:val="16"/>
        </w:rPr>
        <w:t>Pescadores artesanais, quilombolas e outros moradores do entorno da</w:t>
      </w:r>
      <w:r>
        <w:rPr>
          <w:spacing w:val="15"/>
          <w:sz w:val="16"/>
        </w:rPr>
        <w:t xml:space="preserve"> </w:t>
      </w:r>
      <w:r>
        <w:rPr>
          <w:sz w:val="16"/>
        </w:rPr>
        <w:t>Baía</w:t>
      </w:r>
      <w:r>
        <w:rPr>
          <w:spacing w:val="15"/>
          <w:sz w:val="16"/>
        </w:rPr>
        <w:t xml:space="preserve"> </w:t>
      </w:r>
      <w:r>
        <w:rPr>
          <w:sz w:val="16"/>
        </w:rPr>
        <w:t>de</w:t>
      </w:r>
      <w:r>
        <w:rPr>
          <w:spacing w:val="15"/>
          <w:sz w:val="16"/>
        </w:rPr>
        <w:t xml:space="preserve"> </w:t>
      </w:r>
      <w:r>
        <w:rPr>
          <w:sz w:val="16"/>
        </w:rPr>
        <w:t>Sepetiba:</w:t>
      </w:r>
      <w:r>
        <w:rPr>
          <w:spacing w:val="15"/>
          <w:sz w:val="16"/>
        </w:rPr>
        <w:t xml:space="preserve"> </w:t>
      </w:r>
      <w:r>
        <w:rPr>
          <w:sz w:val="16"/>
        </w:rPr>
        <w:t>sem</w:t>
      </w:r>
      <w:r>
        <w:rPr>
          <w:spacing w:val="15"/>
          <w:sz w:val="16"/>
        </w:rPr>
        <w:t xml:space="preserve"> </w:t>
      </w:r>
      <w:r>
        <w:rPr>
          <w:sz w:val="16"/>
        </w:rPr>
        <w:t>peixes,</w:t>
      </w:r>
      <w:r>
        <w:rPr>
          <w:spacing w:val="15"/>
          <w:sz w:val="16"/>
        </w:rPr>
        <w:t xml:space="preserve"> </w:t>
      </w:r>
      <w:r>
        <w:rPr>
          <w:sz w:val="16"/>
        </w:rPr>
        <w:t>expostos</w:t>
      </w:r>
      <w:r>
        <w:rPr>
          <w:spacing w:val="15"/>
          <w:sz w:val="16"/>
        </w:rPr>
        <w:t xml:space="preserve"> </w:t>
      </w:r>
      <w:r>
        <w:rPr>
          <w:sz w:val="16"/>
        </w:rPr>
        <w:t>a</w:t>
      </w:r>
      <w:r>
        <w:rPr>
          <w:spacing w:val="15"/>
          <w:sz w:val="16"/>
        </w:rPr>
        <w:t xml:space="preserve"> </w:t>
      </w:r>
      <w:r>
        <w:rPr>
          <w:sz w:val="16"/>
        </w:rPr>
        <w:t>contaminações</w:t>
      </w:r>
      <w:r>
        <w:rPr>
          <w:spacing w:val="15"/>
          <w:sz w:val="16"/>
        </w:rPr>
        <w:t xml:space="preserve"> </w:t>
      </w:r>
      <w:r>
        <w:rPr>
          <w:sz w:val="16"/>
        </w:rPr>
        <w:t>e</w:t>
      </w:r>
    </w:p>
    <w:p w:rsidR="00D81F69" w:rsidRDefault="00330118">
      <w:pPr>
        <w:spacing w:before="70" w:line="312" w:lineRule="auto"/>
        <w:ind w:left="100" w:right="108"/>
        <w:jc w:val="both"/>
        <w:rPr>
          <w:sz w:val="16"/>
        </w:rPr>
      </w:pPr>
      <w:r>
        <w:br w:type="column"/>
      </w:r>
      <w:r>
        <w:rPr>
          <w:sz w:val="16"/>
        </w:rPr>
        <w:lastRenderedPageBreak/>
        <w:t xml:space="preserve">ameaçados por milícias ligadas a empreendimentos em construção,     </w:t>
      </w:r>
      <w:r>
        <w:rPr>
          <w:spacing w:val="2"/>
          <w:sz w:val="16"/>
        </w:rPr>
        <w:t xml:space="preserve">0 </w:t>
      </w:r>
      <w:r>
        <w:rPr>
          <w:sz w:val="16"/>
        </w:rPr>
        <w:t xml:space="preserve">3 </w:t>
      </w:r>
      <w:r>
        <w:rPr>
          <w:spacing w:val="2"/>
          <w:sz w:val="16"/>
        </w:rPr>
        <w:t xml:space="preserve">d e z </w:t>
      </w:r>
      <w:r>
        <w:rPr>
          <w:sz w:val="16"/>
        </w:rPr>
        <w:t xml:space="preserve">. </w:t>
      </w:r>
      <w:r>
        <w:rPr>
          <w:spacing w:val="2"/>
          <w:sz w:val="16"/>
        </w:rPr>
        <w:t>2 0</w:t>
      </w:r>
      <w:r>
        <w:rPr>
          <w:spacing w:val="2"/>
          <w:sz w:val="16"/>
        </w:rPr>
        <w:t xml:space="preserve"> 0 9 D i s p o n í v e </w:t>
      </w:r>
      <w:r>
        <w:rPr>
          <w:sz w:val="16"/>
        </w:rPr>
        <w:t xml:space="preserve">l </w:t>
      </w:r>
      <w:r>
        <w:rPr>
          <w:spacing w:val="2"/>
          <w:sz w:val="16"/>
        </w:rPr>
        <w:t>e m</w:t>
      </w:r>
      <w:r>
        <w:rPr>
          <w:spacing w:val="7"/>
          <w:sz w:val="16"/>
        </w:rPr>
        <w:t xml:space="preserve"> </w:t>
      </w:r>
      <w:r>
        <w:rPr>
          <w:sz w:val="16"/>
        </w:rPr>
        <w:t xml:space="preserve">: </w:t>
      </w:r>
      <w:r>
        <w:rPr>
          <w:spacing w:val="3"/>
          <w:sz w:val="16"/>
        </w:rPr>
        <w:t xml:space="preserve"> </w:t>
      </w:r>
    </w:p>
    <w:p w:rsidR="00D81F69" w:rsidRDefault="00D81F69">
      <w:pPr>
        <w:spacing w:before="1" w:line="312" w:lineRule="auto"/>
        <w:ind w:left="100" w:right="216"/>
        <w:jc w:val="both"/>
        <w:rPr>
          <w:sz w:val="16"/>
        </w:rPr>
      </w:pPr>
      <w:hyperlink r:id="rId1551">
        <w:r w:rsidR="00330118">
          <w:rPr>
            <w:sz w:val="16"/>
          </w:rPr>
          <w:t>&lt;http://www.conflitoambiental.icict.fiocruz.br/index.php?pag=ficha&amp;co</w:t>
        </w:r>
      </w:hyperlink>
      <w:r w:rsidR="00330118">
        <w:rPr>
          <w:sz w:val="16"/>
        </w:rPr>
        <w:t xml:space="preserve"> d=109&gt;. Acesso em: 13 out. 2011.</w:t>
      </w:r>
    </w:p>
    <w:p w:rsidR="00D81F69" w:rsidRDefault="00330118">
      <w:pPr>
        <w:spacing w:before="2" w:line="312" w:lineRule="auto"/>
        <w:ind w:left="100" w:right="199"/>
        <w:jc w:val="both"/>
        <w:rPr>
          <w:sz w:val="16"/>
        </w:rPr>
      </w:pPr>
      <w:r>
        <w:rPr>
          <w:sz w:val="16"/>
        </w:rPr>
        <w:t xml:space="preserve">PINTO, Luciana Madeira de Oliveira. Implicações da contaminação por metais pesados no meio ambiente da Baía de Sepetiba e entorno: o </w:t>
      </w:r>
      <w:r>
        <w:rPr>
          <w:spacing w:val="2"/>
          <w:sz w:val="16"/>
        </w:rPr>
        <w:t xml:space="preserve">caso </w:t>
      </w:r>
      <w:r>
        <w:rPr>
          <w:spacing w:val="1"/>
          <w:sz w:val="16"/>
        </w:rPr>
        <w:t xml:space="preserve">da </w:t>
      </w:r>
      <w:r>
        <w:rPr>
          <w:spacing w:val="2"/>
          <w:sz w:val="16"/>
        </w:rPr>
        <w:t xml:space="preserve">Cia </w:t>
      </w:r>
      <w:r>
        <w:rPr>
          <w:spacing w:val="3"/>
          <w:sz w:val="16"/>
        </w:rPr>
        <w:t xml:space="preserve">Mercantil Ingá, 2005. Dissertação (Mestrado </w:t>
      </w:r>
      <w:r>
        <w:rPr>
          <w:spacing w:val="5"/>
          <w:sz w:val="16"/>
        </w:rPr>
        <w:t xml:space="preserve">em </w:t>
      </w:r>
      <w:r>
        <w:rPr>
          <w:spacing w:val="3"/>
          <w:sz w:val="16"/>
        </w:rPr>
        <w:t xml:space="preserve">Sistemas </w:t>
      </w:r>
      <w:r>
        <w:rPr>
          <w:spacing w:val="1"/>
          <w:sz w:val="16"/>
        </w:rPr>
        <w:t xml:space="preserve">de </w:t>
      </w:r>
      <w:r>
        <w:rPr>
          <w:spacing w:val="3"/>
          <w:sz w:val="16"/>
        </w:rPr>
        <w:t xml:space="preserve">Gestão) Universidade Federal Fluminense, </w:t>
      </w:r>
      <w:r>
        <w:rPr>
          <w:spacing w:val="5"/>
          <w:sz w:val="16"/>
        </w:rPr>
        <w:t xml:space="preserve">Niterói </w:t>
      </w:r>
      <w:r>
        <w:rPr>
          <w:sz w:val="16"/>
        </w:rPr>
        <w:t>Dis</w:t>
      </w:r>
      <w:r>
        <w:rPr>
          <w:sz w:val="16"/>
        </w:rPr>
        <w:t xml:space="preserve">ponível em: </w:t>
      </w:r>
      <w:hyperlink r:id="rId1552">
        <w:r>
          <w:rPr>
            <w:sz w:val="16"/>
          </w:rPr>
          <w:t xml:space="preserve">&lt;http://en.scientificcommons.org/16435753&gt; </w:t>
        </w:r>
      </w:hyperlink>
      <w:r>
        <w:rPr>
          <w:sz w:val="16"/>
        </w:rPr>
        <w:t>Acesso em: 26 mar.</w:t>
      </w:r>
      <w:r>
        <w:rPr>
          <w:spacing w:val="30"/>
          <w:sz w:val="16"/>
        </w:rPr>
        <w:t xml:space="preserve"> </w:t>
      </w:r>
      <w:r>
        <w:rPr>
          <w:sz w:val="16"/>
        </w:rPr>
        <w:t>2010.</w:t>
      </w:r>
    </w:p>
    <w:p w:rsidR="00D81F69" w:rsidRDefault="00330118">
      <w:pPr>
        <w:spacing w:before="5" w:line="312" w:lineRule="auto"/>
        <w:ind w:left="100" w:right="148"/>
        <w:jc w:val="both"/>
        <w:rPr>
          <w:sz w:val="16"/>
        </w:rPr>
      </w:pPr>
      <w:r>
        <w:rPr>
          <w:sz w:val="16"/>
        </w:rPr>
        <w:t>PORTAL ECODEBATE. RJ inicia a descontaminação do terreno da Companhia Ingá Mercantil, um dos maiores passivos ambienta</w:t>
      </w:r>
      <w:r>
        <w:rPr>
          <w:sz w:val="16"/>
        </w:rPr>
        <w:t xml:space="preserve">is do    </w:t>
      </w:r>
      <w:r>
        <w:rPr>
          <w:spacing w:val="5"/>
          <w:sz w:val="16"/>
        </w:rPr>
        <w:t xml:space="preserve">e s t a d o </w:t>
      </w:r>
      <w:r>
        <w:rPr>
          <w:sz w:val="16"/>
        </w:rPr>
        <w:t xml:space="preserve">, </w:t>
      </w:r>
      <w:r>
        <w:rPr>
          <w:spacing w:val="5"/>
          <w:sz w:val="16"/>
        </w:rPr>
        <w:t xml:space="preserve">0 </w:t>
      </w:r>
      <w:r>
        <w:rPr>
          <w:sz w:val="16"/>
        </w:rPr>
        <w:t xml:space="preserve">5 </w:t>
      </w:r>
      <w:r>
        <w:rPr>
          <w:spacing w:val="5"/>
          <w:sz w:val="16"/>
        </w:rPr>
        <w:t xml:space="preserve">j u n </w:t>
      </w:r>
      <w:r>
        <w:rPr>
          <w:sz w:val="16"/>
        </w:rPr>
        <w:t xml:space="preserve">. </w:t>
      </w:r>
      <w:r>
        <w:rPr>
          <w:spacing w:val="5"/>
          <w:sz w:val="16"/>
        </w:rPr>
        <w:t xml:space="preserve">2 0 0 9 </w:t>
      </w:r>
      <w:r>
        <w:rPr>
          <w:sz w:val="16"/>
        </w:rPr>
        <w:t xml:space="preserve">. </w:t>
      </w:r>
      <w:r>
        <w:rPr>
          <w:spacing w:val="5"/>
          <w:sz w:val="16"/>
        </w:rPr>
        <w:t xml:space="preserve">D i s p o n í v e </w:t>
      </w:r>
      <w:r>
        <w:rPr>
          <w:sz w:val="16"/>
        </w:rPr>
        <w:t>l</w:t>
      </w:r>
      <w:r>
        <w:rPr>
          <w:spacing w:val="17"/>
          <w:sz w:val="16"/>
        </w:rPr>
        <w:t xml:space="preserve"> </w:t>
      </w:r>
      <w:r>
        <w:rPr>
          <w:spacing w:val="5"/>
          <w:sz w:val="16"/>
        </w:rPr>
        <w:t xml:space="preserve">e m </w:t>
      </w:r>
      <w:r>
        <w:rPr>
          <w:sz w:val="16"/>
        </w:rPr>
        <w:t>:</w:t>
      </w:r>
      <w:r>
        <w:rPr>
          <w:spacing w:val="5"/>
          <w:sz w:val="16"/>
        </w:rPr>
        <w:t xml:space="preserve"> </w:t>
      </w:r>
    </w:p>
    <w:p w:rsidR="00D81F69" w:rsidRDefault="00D81F69">
      <w:pPr>
        <w:spacing w:before="2" w:line="312" w:lineRule="auto"/>
        <w:ind w:left="100" w:right="192"/>
        <w:jc w:val="both"/>
        <w:rPr>
          <w:sz w:val="16"/>
        </w:rPr>
      </w:pPr>
      <w:hyperlink r:id="rId1553">
        <w:r w:rsidR="00330118">
          <w:rPr>
            <w:spacing w:val="21"/>
            <w:sz w:val="16"/>
          </w:rPr>
          <w:t xml:space="preserve">&lt;http://www.ecodebate.com.br/2009/06/05/rj-inicia-a- </w:t>
        </w:r>
      </w:hyperlink>
      <w:r w:rsidR="00330118">
        <w:rPr>
          <w:sz w:val="16"/>
        </w:rPr>
        <w:t xml:space="preserve">descontaminacao-do-terreno-da-companhia-inga-mercantil-um-dos- maiores-passivos-ambientais-do-estado/&gt; Acesso em: 27 mar. 2010. </w:t>
      </w:r>
      <w:r w:rsidR="00330118">
        <w:rPr>
          <w:spacing w:val="7"/>
          <w:sz w:val="16"/>
        </w:rPr>
        <w:t xml:space="preserve">RIBEIRO, Andreza Portella. </w:t>
      </w:r>
      <w:r w:rsidR="00330118">
        <w:rPr>
          <w:spacing w:val="8"/>
          <w:sz w:val="16"/>
        </w:rPr>
        <w:t xml:space="preserve">Procedimento </w:t>
      </w:r>
      <w:r w:rsidR="00330118">
        <w:rPr>
          <w:spacing w:val="5"/>
          <w:sz w:val="16"/>
        </w:rPr>
        <w:t xml:space="preserve">de </w:t>
      </w:r>
      <w:r w:rsidR="00330118">
        <w:rPr>
          <w:spacing w:val="10"/>
          <w:sz w:val="16"/>
        </w:rPr>
        <w:t xml:space="preserve">fracionamento </w:t>
      </w:r>
      <w:r w:rsidR="00330118">
        <w:rPr>
          <w:sz w:val="16"/>
        </w:rPr>
        <w:t xml:space="preserve">comparado a modelo de atenuação para a avaliação de mobilidade  </w:t>
      </w:r>
      <w:r w:rsidR="00330118">
        <w:rPr>
          <w:spacing w:val="1"/>
          <w:sz w:val="16"/>
        </w:rPr>
        <w:t xml:space="preserve">de </w:t>
      </w:r>
      <w:r w:rsidR="00330118">
        <w:rPr>
          <w:spacing w:val="3"/>
          <w:sz w:val="16"/>
        </w:rPr>
        <w:t>meta</w:t>
      </w:r>
      <w:r w:rsidR="00330118">
        <w:rPr>
          <w:spacing w:val="3"/>
          <w:sz w:val="16"/>
        </w:rPr>
        <w:t xml:space="preserve">is pesados </w:t>
      </w:r>
      <w:r w:rsidR="00330118">
        <w:rPr>
          <w:spacing w:val="1"/>
          <w:sz w:val="16"/>
        </w:rPr>
        <w:t xml:space="preserve">em </w:t>
      </w:r>
      <w:r w:rsidR="00330118">
        <w:rPr>
          <w:spacing w:val="3"/>
          <w:sz w:val="16"/>
        </w:rPr>
        <w:t xml:space="preserve">sedimentos </w:t>
      </w:r>
      <w:r w:rsidR="00330118">
        <w:rPr>
          <w:spacing w:val="1"/>
          <w:sz w:val="16"/>
        </w:rPr>
        <w:t xml:space="preserve">da </w:t>
      </w:r>
      <w:r w:rsidR="00330118">
        <w:rPr>
          <w:spacing w:val="2"/>
          <w:sz w:val="16"/>
        </w:rPr>
        <w:t xml:space="preserve">Baía </w:t>
      </w:r>
      <w:r w:rsidR="00330118">
        <w:rPr>
          <w:spacing w:val="1"/>
          <w:sz w:val="16"/>
        </w:rPr>
        <w:t xml:space="preserve">de </w:t>
      </w:r>
      <w:r w:rsidR="00330118">
        <w:rPr>
          <w:spacing w:val="3"/>
          <w:sz w:val="16"/>
        </w:rPr>
        <w:t xml:space="preserve">Sepetiba, </w:t>
      </w:r>
      <w:r w:rsidR="00330118">
        <w:rPr>
          <w:spacing w:val="2"/>
          <w:sz w:val="16"/>
        </w:rPr>
        <w:t xml:space="preserve">Rio </w:t>
      </w:r>
      <w:r w:rsidR="00330118">
        <w:rPr>
          <w:spacing w:val="5"/>
          <w:sz w:val="16"/>
        </w:rPr>
        <w:t xml:space="preserve">de </w:t>
      </w:r>
      <w:r w:rsidR="00330118">
        <w:rPr>
          <w:sz w:val="16"/>
        </w:rPr>
        <w:t>Janeiro.</w:t>
      </w:r>
      <w:r w:rsidR="00330118">
        <w:rPr>
          <w:spacing w:val="12"/>
          <w:sz w:val="16"/>
        </w:rPr>
        <w:t xml:space="preserve"> </w:t>
      </w:r>
      <w:r w:rsidR="00330118">
        <w:rPr>
          <w:sz w:val="16"/>
        </w:rPr>
        <w:t>Instituto</w:t>
      </w:r>
      <w:r w:rsidR="00330118">
        <w:rPr>
          <w:spacing w:val="12"/>
          <w:sz w:val="16"/>
        </w:rPr>
        <w:t xml:space="preserve"> </w:t>
      </w:r>
      <w:r w:rsidR="00330118">
        <w:rPr>
          <w:sz w:val="16"/>
        </w:rPr>
        <w:t>de</w:t>
      </w:r>
      <w:r w:rsidR="00330118">
        <w:rPr>
          <w:spacing w:val="12"/>
          <w:sz w:val="16"/>
        </w:rPr>
        <w:t xml:space="preserve"> </w:t>
      </w:r>
      <w:r w:rsidR="00330118">
        <w:rPr>
          <w:sz w:val="16"/>
        </w:rPr>
        <w:t>Pesquisas</w:t>
      </w:r>
      <w:r w:rsidR="00330118">
        <w:rPr>
          <w:spacing w:val="12"/>
          <w:sz w:val="16"/>
        </w:rPr>
        <w:t xml:space="preserve"> </w:t>
      </w:r>
      <w:r w:rsidR="00330118">
        <w:rPr>
          <w:sz w:val="16"/>
        </w:rPr>
        <w:t>Energéticas</w:t>
      </w:r>
      <w:r w:rsidR="00330118">
        <w:rPr>
          <w:spacing w:val="12"/>
          <w:sz w:val="16"/>
        </w:rPr>
        <w:t xml:space="preserve"> </w:t>
      </w:r>
      <w:r w:rsidR="00330118">
        <w:rPr>
          <w:sz w:val="16"/>
        </w:rPr>
        <w:t>e</w:t>
      </w:r>
      <w:r w:rsidR="00330118">
        <w:rPr>
          <w:spacing w:val="12"/>
          <w:sz w:val="16"/>
        </w:rPr>
        <w:t xml:space="preserve"> </w:t>
      </w:r>
      <w:r w:rsidR="00330118">
        <w:rPr>
          <w:sz w:val="16"/>
        </w:rPr>
        <w:t>Nucleares,</w:t>
      </w:r>
      <w:r w:rsidR="00330118">
        <w:rPr>
          <w:spacing w:val="12"/>
          <w:sz w:val="16"/>
        </w:rPr>
        <w:t xml:space="preserve"> </w:t>
      </w:r>
      <w:r w:rsidR="00330118">
        <w:rPr>
          <w:sz w:val="16"/>
        </w:rPr>
        <w:t>São</w:t>
      </w:r>
      <w:r w:rsidR="00330118">
        <w:rPr>
          <w:spacing w:val="12"/>
          <w:sz w:val="16"/>
        </w:rPr>
        <w:t xml:space="preserve"> </w:t>
      </w:r>
      <w:r w:rsidR="00330118">
        <w:rPr>
          <w:sz w:val="16"/>
        </w:rPr>
        <w:t>Paulo,</w:t>
      </w:r>
    </w:p>
    <w:p w:rsidR="00D81F69" w:rsidRDefault="00330118">
      <w:pPr>
        <w:tabs>
          <w:tab w:val="left" w:pos="1785"/>
          <w:tab w:val="left" w:pos="4548"/>
        </w:tabs>
        <w:spacing w:before="6"/>
        <w:ind w:left="100"/>
        <w:jc w:val="both"/>
        <w:rPr>
          <w:sz w:val="16"/>
        </w:rPr>
      </w:pPr>
      <w:r>
        <w:rPr>
          <w:sz w:val="16"/>
        </w:rPr>
        <w:t xml:space="preserve">2   0   0  </w:t>
      </w:r>
      <w:r>
        <w:rPr>
          <w:spacing w:val="35"/>
          <w:sz w:val="16"/>
        </w:rPr>
        <w:t xml:space="preserve"> </w:t>
      </w:r>
      <w:r>
        <w:rPr>
          <w:sz w:val="16"/>
        </w:rPr>
        <w:t xml:space="preserve">6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2"/>
          <w:sz w:val="16"/>
        </w:rPr>
        <w:t xml:space="preserve"> </w:t>
      </w:r>
      <w:r>
        <w:rPr>
          <w:sz w:val="16"/>
        </w:rPr>
        <w:t>:</w:t>
      </w:r>
    </w:p>
    <w:p w:rsidR="00D81F69" w:rsidRDefault="00D81F69">
      <w:pPr>
        <w:spacing w:before="56"/>
        <w:ind w:left="100"/>
        <w:jc w:val="both"/>
        <w:rPr>
          <w:sz w:val="16"/>
        </w:rPr>
      </w:pPr>
      <w:hyperlink r:id="rId1554">
        <w:r w:rsidR="00330118">
          <w:rPr>
            <w:sz w:val="16"/>
          </w:rPr>
          <w:t>&lt;http://pelicano.ipen.br/PosG30/PDF/Andreza%20Portella%20Ribeiro</w:t>
        </w:r>
      </w:hyperlink>
    </w:p>
    <w:p w:rsidR="00D81F69" w:rsidRDefault="00330118">
      <w:pPr>
        <w:spacing w:before="56"/>
        <w:ind w:left="100"/>
        <w:jc w:val="both"/>
        <w:rPr>
          <w:sz w:val="16"/>
        </w:rPr>
      </w:pPr>
      <w:r>
        <w:rPr>
          <w:sz w:val="16"/>
        </w:rPr>
        <w:t>%20D.pdf&gt;. Acesso em: 26 mar. 2010.</w:t>
      </w:r>
    </w:p>
    <w:p w:rsidR="00D81F69" w:rsidRDefault="00330118">
      <w:pPr>
        <w:spacing w:before="56" w:line="312" w:lineRule="auto"/>
        <w:ind w:left="100" w:right="161"/>
        <w:jc w:val="both"/>
        <w:rPr>
          <w:sz w:val="16"/>
        </w:rPr>
      </w:pPr>
      <w:r>
        <w:rPr>
          <w:spacing w:val="15"/>
          <w:sz w:val="16"/>
        </w:rPr>
        <w:t xml:space="preserve">SEMADS, Secretaria </w:t>
      </w:r>
      <w:r>
        <w:rPr>
          <w:spacing w:val="8"/>
          <w:sz w:val="16"/>
        </w:rPr>
        <w:t xml:space="preserve">de </w:t>
      </w:r>
      <w:r>
        <w:rPr>
          <w:spacing w:val="15"/>
          <w:sz w:val="16"/>
        </w:rPr>
        <w:t xml:space="preserve">Estado </w:t>
      </w:r>
      <w:r>
        <w:rPr>
          <w:spacing w:val="8"/>
          <w:sz w:val="16"/>
        </w:rPr>
        <w:t xml:space="preserve">de </w:t>
      </w:r>
      <w:r>
        <w:rPr>
          <w:spacing w:val="12"/>
          <w:sz w:val="16"/>
        </w:rPr>
        <w:t xml:space="preserve">Meio </w:t>
      </w:r>
      <w:r>
        <w:rPr>
          <w:spacing w:val="15"/>
          <w:sz w:val="16"/>
        </w:rPr>
        <w:t xml:space="preserve">Ambiente </w:t>
      </w:r>
      <w:r>
        <w:rPr>
          <w:sz w:val="16"/>
        </w:rPr>
        <w:t xml:space="preserve">e </w:t>
      </w:r>
      <w:r>
        <w:rPr>
          <w:spacing w:val="3"/>
          <w:sz w:val="16"/>
        </w:rPr>
        <w:t>Desenvolvimento Sustentável.</w:t>
      </w:r>
      <w:r>
        <w:rPr>
          <w:spacing w:val="3"/>
          <w:sz w:val="16"/>
        </w:rPr>
        <w:t xml:space="preserve"> Bacias Hidrográficas </w:t>
      </w:r>
      <w:r>
        <w:rPr>
          <w:sz w:val="16"/>
        </w:rPr>
        <w:t xml:space="preserve">e </w:t>
      </w:r>
      <w:r>
        <w:rPr>
          <w:spacing w:val="5"/>
          <w:sz w:val="16"/>
        </w:rPr>
        <w:t xml:space="preserve">Recursos </w:t>
      </w:r>
      <w:r>
        <w:rPr>
          <w:sz w:val="16"/>
        </w:rPr>
        <w:t xml:space="preserve">Hídricos da Macrorregião Ambiental 2 - Bacia da Baía de Sepetiba. </w:t>
      </w:r>
      <w:r>
        <w:rPr>
          <w:spacing w:val="25"/>
          <w:sz w:val="16"/>
        </w:rPr>
        <w:t>Rio</w:t>
      </w:r>
      <w:r>
        <w:rPr>
          <w:spacing w:val="95"/>
          <w:sz w:val="16"/>
        </w:rPr>
        <w:t xml:space="preserve"> </w:t>
      </w:r>
      <w:r>
        <w:rPr>
          <w:spacing w:val="20"/>
          <w:sz w:val="16"/>
        </w:rPr>
        <w:t xml:space="preserve">de </w:t>
      </w:r>
      <w:r>
        <w:rPr>
          <w:spacing w:val="35"/>
          <w:sz w:val="16"/>
        </w:rPr>
        <w:t xml:space="preserve">Janeiro, 2001.79p. Disponível </w:t>
      </w:r>
      <w:r>
        <w:rPr>
          <w:spacing w:val="25"/>
          <w:sz w:val="16"/>
        </w:rPr>
        <w:t>em:</w:t>
      </w:r>
      <w:r>
        <w:rPr>
          <w:spacing w:val="-5"/>
          <w:sz w:val="16"/>
        </w:rPr>
        <w:t xml:space="preserve"> </w:t>
      </w:r>
    </w:p>
    <w:p w:rsidR="00D81F69" w:rsidRDefault="00D81F69">
      <w:pPr>
        <w:spacing w:before="3" w:line="312" w:lineRule="auto"/>
        <w:ind w:left="100" w:right="212"/>
        <w:jc w:val="both"/>
        <w:rPr>
          <w:sz w:val="16"/>
        </w:rPr>
      </w:pPr>
      <w:hyperlink r:id="rId1555">
        <w:r w:rsidR="00330118">
          <w:rPr>
            <w:sz w:val="16"/>
          </w:rPr>
          <w:t>&lt;http://issuu.com/paulobidegain/docs/5rios_b</w:t>
        </w:r>
        <w:r w:rsidR="00330118">
          <w:rPr>
            <w:sz w:val="16"/>
          </w:rPr>
          <w:t xml:space="preserve">hbsepetiba&gt;. </w:t>
        </w:r>
      </w:hyperlink>
      <w:r w:rsidR="00330118">
        <w:rPr>
          <w:sz w:val="16"/>
        </w:rPr>
        <w:t>Acesso em: 13 out. 2011.</w:t>
      </w:r>
    </w:p>
    <w:p w:rsidR="00D81F69" w:rsidRDefault="00330118">
      <w:pPr>
        <w:spacing w:before="2" w:line="312" w:lineRule="auto"/>
        <w:ind w:left="100" w:right="187"/>
        <w:jc w:val="both"/>
        <w:rPr>
          <w:sz w:val="16"/>
        </w:rPr>
      </w:pPr>
      <w:r>
        <w:rPr>
          <w:sz w:val="16"/>
        </w:rPr>
        <w:t xml:space="preserve">VALOR ONLINE. Usiminas conclui acordo para exportar minério pelo </w:t>
      </w:r>
      <w:r>
        <w:rPr>
          <w:spacing w:val="7"/>
          <w:sz w:val="16"/>
        </w:rPr>
        <w:t xml:space="preserve">porto </w:t>
      </w:r>
      <w:r>
        <w:rPr>
          <w:spacing w:val="8"/>
          <w:sz w:val="16"/>
        </w:rPr>
        <w:t xml:space="preserve">Sudeste. </w:t>
      </w:r>
      <w:r>
        <w:rPr>
          <w:spacing w:val="6"/>
          <w:sz w:val="16"/>
        </w:rPr>
        <w:t xml:space="preserve">In: </w:t>
      </w:r>
      <w:r>
        <w:rPr>
          <w:sz w:val="16"/>
        </w:rPr>
        <w:t xml:space="preserve">O </w:t>
      </w:r>
      <w:r>
        <w:rPr>
          <w:spacing w:val="8"/>
          <w:sz w:val="16"/>
        </w:rPr>
        <w:t xml:space="preserve">Globo, </w:t>
      </w:r>
      <w:r>
        <w:rPr>
          <w:spacing w:val="5"/>
          <w:sz w:val="16"/>
        </w:rPr>
        <w:t xml:space="preserve">14 </w:t>
      </w:r>
      <w:r>
        <w:rPr>
          <w:spacing w:val="7"/>
          <w:sz w:val="16"/>
        </w:rPr>
        <w:t xml:space="preserve">fev. 2011. </w:t>
      </w:r>
      <w:r>
        <w:rPr>
          <w:spacing w:val="8"/>
          <w:sz w:val="16"/>
        </w:rPr>
        <w:t>Disponível</w:t>
      </w:r>
      <w:r>
        <w:rPr>
          <w:spacing w:val="60"/>
          <w:sz w:val="16"/>
        </w:rPr>
        <w:t xml:space="preserve"> </w:t>
      </w:r>
      <w:r>
        <w:rPr>
          <w:spacing w:val="10"/>
          <w:sz w:val="16"/>
        </w:rPr>
        <w:t>em:</w:t>
      </w:r>
    </w:p>
    <w:p w:rsidR="00D81F69" w:rsidRDefault="00D81F69">
      <w:pPr>
        <w:spacing w:before="2" w:line="312" w:lineRule="auto"/>
        <w:ind w:left="100" w:right="195"/>
        <w:jc w:val="both"/>
        <w:rPr>
          <w:sz w:val="16"/>
        </w:rPr>
      </w:pPr>
      <w:hyperlink r:id="rId1556">
        <w:r w:rsidR="00330118">
          <w:rPr>
            <w:sz w:val="16"/>
          </w:rPr>
          <w:t>&lt;</w:t>
        </w:r>
        <w:r w:rsidR="00330118">
          <w:rPr>
            <w:sz w:val="16"/>
          </w:rPr>
          <w:t>http://oglobo.globo.com/economia/mat/2011/02/14/usiminas-conclui-</w:t>
        </w:r>
      </w:hyperlink>
      <w:r w:rsidR="00330118">
        <w:rPr>
          <w:sz w:val="16"/>
        </w:rPr>
        <w:t xml:space="preserve"> acordo-para-exportar-minerio-pelo-porto-sudeste-923795493.asp&gt;. Acesso em: 14 out. 2011.</w:t>
      </w:r>
    </w:p>
    <w:p w:rsidR="00D81F69" w:rsidRDefault="00330118">
      <w:pPr>
        <w:spacing w:before="2" w:line="312" w:lineRule="auto"/>
        <w:ind w:left="100" w:right="133"/>
        <w:jc w:val="both"/>
        <w:rPr>
          <w:sz w:val="16"/>
        </w:rPr>
      </w:pPr>
      <w:r>
        <w:rPr>
          <w:spacing w:val="5"/>
          <w:sz w:val="16"/>
        </w:rPr>
        <w:t xml:space="preserve">VIÉGAS, Rodrigo Nuñes. Desigualdade Ambiental </w:t>
      </w:r>
      <w:r>
        <w:rPr>
          <w:sz w:val="16"/>
        </w:rPr>
        <w:t xml:space="preserve">e  </w:t>
      </w:r>
      <w:r>
        <w:rPr>
          <w:spacing w:val="5"/>
          <w:sz w:val="16"/>
        </w:rPr>
        <w:t xml:space="preserve">“Zonas de    </w:t>
      </w:r>
      <w:r>
        <w:rPr>
          <w:spacing w:val="21"/>
          <w:sz w:val="16"/>
        </w:rPr>
        <w:t>S</w:t>
      </w:r>
      <w:r>
        <w:rPr>
          <w:sz w:val="16"/>
        </w:rPr>
        <w:t xml:space="preserve"> </w:t>
      </w:r>
      <w:r>
        <w:rPr>
          <w:spacing w:val="21"/>
          <w:sz w:val="16"/>
        </w:rPr>
        <w:t>a</w:t>
      </w:r>
      <w:r>
        <w:rPr>
          <w:sz w:val="16"/>
        </w:rPr>
        <w:t xml:space="preserve"> </w:t>
      </w:r>
      <w:r>
        <w:rPr>
          <w:spacing w:val="21"/>
          <w:sz w:val="16"/>
        </w:rPr>
        <w:t>c</w:t>
      </w:r>
      <w:r>
        <w:rPr>
          <w:sz w:val="16"/>
        </w:rPr>
        <w:t xml:space="preserve"> </w:t>
      </w:r>
      <w:r>
        <w:rPr>
          <w:spacing w:val="21"/>
          <w:sz w:val="16"/>
        </w:rPr>
        <w:t>r</w:t>
      </w:r>
      <w:r>
        <w:rPr>
          <w:sz w:val="16"/>
        </w:rPr>
        <w:t xml:space="preserve"> </w:t>
      </w:r>
      <w:r>
        <w:rPr>
          <w:spacing w:val="21"/>
          <w:sz w:val="16"/>
        </w:rPr>
        <w:t>i</w:t>
      </w:r>
      <w:r>
        <w:rPr>
          <w:sz w:val="16"/>
        </w:rPr>
        <w:t xml:space="preserve"> </w:t>
      </w:r>
      <w:r>
        <w:rPr>
          <w:spacing w:val="21"/>
          <w:sz w:val="16"/>
        </w:rPr>
        <w:t>f</w:t>
      </w:r>
      <w:r>
        <w:rPr>
          <w:sz w:val="16"/>
        </w:rPr>
        <w:t xml:space="preserve"> </w:t>
      </w:r>
      <w:r>
        <w:rPr>
          <w:spacing w:val="21"/>
          <w:sz w:val="16"/>
        </w:rPr>
        <w:t>í</w:t>
      </w:r>
      <w:r>
        <w:rPr>
          <w:sz w:val="16"/>
        </w:rPr>
        <w:t xml:space="preserve"> </w:t>
      </w:r>
      <w:r>
        <w:rPr>
          <w:spacing w:val="21"/>
          <w:sz w:val="16"/>
        </w:rPr>
        <w:t>c</w:t>
      </w:r>
      <w:r>
        <w:rPr>
          <w:sz w:val="16"/>
        </w:rPr>
        <w:t xml:space="preserve"> </w:t>
      </w:r>
      <w:r>
        <w:rPr>
          <w:spacing w:val="21"/>
          <w:sz w:val="16"/>
        </w:rPr>
        <w:t>i</w:t>
      </w:r>
      <w:r>
        <w:rPr>
          <w:sz w:val="16"/>
        </w:rPr>
        <w:t xml:space="preserve"> </w:t>
      </w:r>
      <w:r>
        <w:rPr>
          <w:spacing w:val="21"/>
          <w:sz w:val="16"/>
        </w:rPr>
        <w:t>o</w:t>
      </w:r>
      <w:r>
        <w:rPr>
          <w:sz w:val="16"/>
        </w:rPr>
        <w:t xml:space="preserve"> </w:t>
      </w:r>
      <w:r>
        <w:rPr>
          <w:spacing w:val="21"/>
          <w:sz w:val="16"/>
        </w:rPr>
        <w:t>”</w:t>
      </w:r>
      <w:r>
        <w:rPr>
          <w:sz w:val="16"/>
        </w:rPr>
        <w:t xml:space="preserve"> ,</w:t>
      </w:r>
      <w:r>
        <w:rPr>
          <w:spacing w:val="43"/>
          <w:sz w:val="16"/>
        </w:rPr>
        <w:t xml:space="preserve"> </w:t>
      </w:r>
      <w:r>
        <w:rPr>
          <w:spacing w:val="21"/>
          <w:sz w:val="16"/>
        </w:rPr>
        <w:t>2</w:t>
      </w:r>
      <w:r>
        <w:rPr>
          <w:sz w:val="16"/>
        </w:rPr>
        <w:t xml:space="preserve"> </w:t>
      </w:r>
      <w:r>
        <w:rPr>
          <w:spacing w:val="21"/>
          <w:sz w:val="16"/>
        </w:rPr>
        <w:t>0</w:t>
      </w:r>
      <w:r>
        <w:rPr>
          <w:sz w:val="16"/>
        </w:rPr>
        <w:t xml:space="preserve"> </w:t>
      </w:r>
      <w:r>
        <w:rPr>
          <w:spacing w:val="21"/>
          <w:sz w:val="16"/>
        </w:rPr>
        <w:t>0</w:t>
      </w:r>
      <w:r>
        <w:rPr>
          <w:sz w:val="16"/>
        </w:rPr>
        <w:t xml:space="preserve"> </w:t>
      </w:r>
      <w:r>
        <w:rPr>
          <w:spacing w:val="21"/>
          <w:sz w:val="16"/>
        </w:rPr>
        <w:t>6</w:t>
      </w:r>
      <w:r>
        <w:rPr>
          <w:sz w:val="16"/>
        </w:rPr>
        <w:t xml:space="preserve"> .</w:t>
      </w:r>
      <w:r>
        <w:rPr>
          <w:spacing w:val="43"/>
          <w:sz w:val="16"/>
        </w:rPr>
        <w:t xml:space="preserve"> </w:t>
      </w:r>
      <w:r>
        <w:rPr>
          <w:spacing w:val="21"/>
          <w:sz w:val="16"/>
        </w:rPr>
        <w:t>D</w:t>
      </w:r>
      <w:r>
        <w:rPr>
          <w:sz w:val="16"/>
        </w:rPr>
        <w:t xml:space="preserve"> </w:t>
      </w:r>
      <w:r>
        <w:rPr>
          <w:spacing w:val="21"/>
          <w:sz w:val="16"/>
        </w:rPr>
        <w:t>i</w:t>
      </w:r>
      <w:r>
        <w:rPr>
          <w:sz w:val="16"/>
        </w:rPr>
        <w:t xml:space="preserve"> </w:t>
      </w:r>
      <w:r>
        <w:rPr>
          <w:spacing w:val="21"/>
          <w:sz w:val="16"/>
        </w:rPr>
        <w:t>s</w:t>
      </w:r>
      <w:r>
        <w:rPr>
          <w:sz w:val="16"/>
        </w:rPr>
        <w:t xml:space="preserve"> </w:t>
      </w:r>
      <w:r>
        <w:rPr>
          <w:spacing w:val="21"/>
          <w:sz w:val="16"/>
        </w:rPr>
        <w:t>p</w:t>
      </w:r>
      <w:r>
        <w:rPr>
          <w:sz w:val="16"/>
        </w:rPr>
        <w:t xml:space="preserve"> </w:t>
      </w:r>
      <w:r>
        <w:rPr>
          <w:spacing w:val="21"/>
          <w:sz w:val="16"/>
        </w:rPr>
        <w:t>o</w:t>
      </w:r>
      <w:r>
        <w:rPr>
          <w:sz w:val="16"/>
        </w:rPr>
        <w:t xml:space="preserve"> </w:t>
      </w:r>
      <w:r>
        <w:rPr>
          <w:spacing w:val="21"/>
          <w:sz w:val="16"/>
        </w:rPr>
        <w:t>n</w:t>
      </w:r>
      <w:r>
        <w:rPr>
          <w:sz w:val="16"/>
        </w:rPr>
        <w:t xml:space="preserve"> </w:t>
      </w:r>
      <w:r>
        <w:rPr>
          <w:spacing w:val="21"/>
          <w:sz w:val="16"/>
        </w:rPr>
        <w:t>í</w:t>
      </w:r>
      <w:r>
        <w:rPr>
          <w:sz w:val="16"/>
        </w:rPr>
        <w:t xml:space="preserve"> </w:t>
      </w:r>
      <w:r>
        <w:rPr>
          <w:spacing w:val="21"/>
          <w:sz w:val="16"/>
        </w:rPr>
        <w:t>v</w:t>
      </w:r>
      <w:r>
        <w:rPr>
          <w:sz w:val="16"/>
        </w:rPr>
        <w:t xml:space="preserve"> </w:t>
      </w:r>
      <w:r>
        <w:rPr>
          <w:spacing w:val="21"/>
          <w:sz w:val="16"/>
        </w:rPr>
        <w:t>e</w:t>
      </w:r>
      <w:r>
        <w:rPr>
          <w:sz w:val="16"/>
        </w:rPr>
        <w:t xml:space="preserve"> l</w:t>
      </w:r>
      <w:r>
        <w:rPr>
          <w:spacing w:val="43"/>
          <w:sz w:val="16"/>
        </w:rPr>
        <w:t xml:space="preserve"> </w:t>
      </w:r>
      <w:r>
        <w:rPr>
          <w:spacing w:val="21"/>
          <w:sz w:val="16"/>
        </w:rPr>
        <w:t>e</w:t>
      </w:r>
      <w:r>
        <w:rPr>
          <w:sz w:val="16"/>
        </w:rPr>
        <w:t xml:space="preserve"> </w:t>
      </w:r>
      <w:r>
        <w:rPr>
          <w:spacing w:val="21"/>
          <w:sz w:val="16"/>
        </w:rPr>
        <w:t>m</w:t>
      </w:r>
      <w:r>
        <w:rPr>
          <w:sz w:val="16"/>
        </w:rPr>
        <w:t xml:space="preserve"> : </w:t>
      </w:r>
      <w:r>
        <w:rPr>
          <w:spacing w:val="-21"/>
          <w:sz w:val="16"/>
        </w:rPr>
        <w:t xml:space="preserve"> </w:t>
      </w:r>
    </w:p>
    <w:p w:rsidR="00D81F69" w:rsidRDefault="00D81F69">
      <w:pPr>
        <w:spacing w:before="2" w:line="312" w:lineRule="auto"/>
        <w:ind w:left="100" w:right="195"/>
        <w:jc w:val="both"/>
        <w:rPr>
          <w:sz w:val="16"/>
        </w:rPr>
      </w:pPr>
      <w:hyperlink r:id="rId1557">
        <w:r w:rsidR="00330118">
          <w:rPr>
            <w:sz w:val="16"/>
          </w:rPr>
          <w:t>&lt;http://www.dominiopublico.gov.br/download/texto/ea000392.pdf&gt;.</w:t>
        </w:r>
      </w:hyperlink>
      <w:r w:rsidR="00330118">
        <w:rPr>
          <w:sz w:val="16"/>
        </w:rPr>
        <w:t xml:space="preserve"> Acesso em: 30 mar. 2010.</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202" w:space="268"/>
            <w:col w:w="5310"/>
          </w:cols>
        </w:sectPr>
      </w:pPr>
    </w:p>
    <w:p w:rsidR="00D81F69" w:rsidRDefault="00330118">
      <w:pPr>
        <w:pStyle w:val="Heading1"/>
        <w:spacing w:line="208" w:lineRule="auto"/>
      </w:pPr>
      <w:r>
        <w:lastRenderedPageBreak/>
        <w:t>Lixo tóxico contendo amianto afeta me</w:t>
      </w:r>
      <w:r>
        <w:t>io ambiente de Avaré (SP)</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8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SP - Avaré</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-23,75</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-48,9375</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3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A empresa Auco Componentes Automobilísticos Ltda., fabricante de </w:t>
      </w:r>
      <w:r>
        <w:rPr>
          <w:i/>
          <w:sz w:val="16"/>
        </w:rPr>
        <w:t>freios e embreagens para automóveis, na Estância Turística de Avaré, abandonou um depósito de lixo tóxico contendo fenol e amianto depois que encerrou suas atividades. O material estava próximo ao córrego de onde é captada parte da água que abastece a cida</w:t>
      </w:r>
      <w:r>
        <w:rPr>
          <w:i/>
          <w:sz w:val="16"/>
        </w:rPr>
        <w:t>de. Em 2010, o resíduo começou a ser transferido para um aterro no município de Tremembé (SP).</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4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07"/>
      </w:pPr>
      <w:r>
        <w:t>resíduos que, em função de suas propriedades físico- químicas e infectocontagiosas, podem apresentar risco à saúde pública e ao meio ambiente]. Quanto a reje</w:t>
      </w:r>
      <w:r>
        <w:t>itos da indústria, não há um posicionamento muito claro. Não se diz que é lixo perigoso e tem de ter destino adequado. Cabe a cada unidade da Federação legislar quanto a aterro industrial (DUARTE, 2010).</w:t>
      </w:r>
    </w:p>
    <w:p w:rsidR="00D81F69" w:rsidRDefault="00330118">
      <w:pPr>
        <w:pStyle w:val="Corpodetexto"/>
        <w:spacing w:before="136" w:line="312" w:lineRule="auto"/>
        <w:ind w:left="135" w:right="154"/>
        <w:jc w:val="left"/>
      </w:pPr>
      <w:r>
        <w:t>Com 1.213 km² e 82.935 habitantes (IBGE, 2010), a Es</w:t>
      </w:r>
      <w:r>
        <w:t>tância Turística de Avaré, principal centro político, agropecuário e estudantil do Vale do Paranapanema, está entre as 50 cidades de porte médio do estado de São Paulo. Conhecida hoje como “Terra do Verde, da Água e do Sol”, por lugares como a Represa Juru</w:t>
      </w:r>
      <w:r>
        <w:t>mirim, no passado já foi chamada de</w:t>
      </w:r>
    </w:p>
    <w:p w:rsidR="00D81F69" w:rsidRDefault="00D81F69">
      <w:pPr>
        <w:spacing w:line="312" w:lineRule="auto"/>
        <w:sectPr w:rsidR="00D81F69">
          <w:type w:val="continuous"/>
          <w:pgSz w:w="11900" w:h="16840"/>
          <w:pgMar w:top="720" w:right="500" w:bottom="280" w:left="620" w:header="720" w:footer="720" w:gutter="0"/>
          <w:cols w:num="3" w:space="720" w:equalWidth="0">
            <w:col w:w="1008" w:space="992"/>
            <w:col w:w="3131" w:space="304"/>
            <w:col w:w="5345"/>
          </w:cols>
        </w:sectPr>
      </w:pPr>
    </w:p>
    <w:p w:rsidR="00D81F69" w:rsidRDefault="00330118">
      <w:pPr>
        <w:pStyle w:val="Heading4"/>
        <w:spacing w:before="29"/>
      </w:pPr>
      <w:r>
        <w:lastRenderedPageBreak/>
        <w:t>APRESENTAÇÃO DE CASO</w:t>
      </w:r>
    </w:p>
    <w:p w:rsidR="00D81F69" w:rsidRDefault="00330118">
      <w:pPr>
        <w:pStyle w:val="Corpodetexto"/>
        <w:spacing w:before="171" w:line="312" w:lineRule="auto"/>
        <w:ind w:right="38"/>
      </w:pPr>
      <w:r>
        <w:t>Em 1985, o italiano Carlos Begnozzi instalou a empresa Auco Componentes Automobilísticos Ltda., fabricante de freios e embreagens para automóveis, na Estância Turístic</w:t>
      </w:r>
      <w:r>
        <w:t xml:space="preserve">a de Avaré, cidade localizada a 256 km a sudoeste de São Paulo. A fábrica foi recebida com euforia pela população, pois a indústria automobilística brasileira se encontrava em pleno desenvolvimento, e a chegada da fábrica era sinônimo de progresso para os </w:t>
      </w:r>
      <w:r>
        <w:t>habitantes da região (DUARTE, 2010).</w:t>
      </w:r>
    </w:p>
    <w:p w:rsidR="00D81F69" w:rsidRDefault="00330118">
      <w:pPr>
        <w:pStyle w:val="Corpodetexto"/>
        <w:spacing w:before="137" w:line="312" w:lineRule="auto"/>
        <w:ind w:right="38"/>
      </w:pPr>
      <w:r>
        <w:t xml:space="preserve">No ano de 2005, a empresa encerrou suas atividades na cidade, deixando um grande passivo ambiental: cerca de 250 </w:t>
      </w:r>
      <w:hyperlink r:id="rId1558">
        <w:r>
          <w:t>toneladas de lix</w:t>
        </w:r>
        <w:r>
          <w:t xml:space="preserve">o tóxico contendo fenol e amianto, </w:t>
        </w:r>
      </w:hyperlink>
      <w:r>
        <w:t>resíduos da fabricação de pastilhas e lonas de freio (DUARTE, 2010) armazenadas na região central da cidade, em um galpão deteriorado e desprotegido, pondo em risco os mananciais e a vida dos moradores da região (FERREIRA</w:t>
      </w:r>
      <w:r>
        <w:t>, 2009). O amianto, considerado cancerígeno quando inalado e proibido por lei estadual de 2001, estava a menos de 400 m do córrego Camargo, de onde é captada parte da água potável que abastece a cidade (MAPA DA INJUSTIÇA AMBIENTAL E SAÚDE NO BRASIL, 2010).</w:t>
      </w:r>
    </w:p>
    <w:p w:rsidR="00D81F69" w:rsidRDefault="00330118">
      <w:pPr>
        <w:pStyle w:val="Corpodetexto"/>
        <w:spacing w:before="141" w:line="312" w:lineRule="auto"/>
        <w:ind w:right="49"/>
      </w:pPr>
      <w:r>
        <w:t>No Brasil, o Congresso Nacional ainda discute alternativas que se dividem entre o seu banimento ou o controle de seu uso nas indústrias metalúrgicas e de base (MAPA DA INJUSTIÇA AMBIENTAL E SAÚDE NO BRASIL, 2009). O</w:t>
      </w:r>
    </w:p>
    <w:p w:rsidR="00D81F69" w:rsidRDefault="00330118">
      <w:pPr>
        <w:pStyle w:val="Corpodetexto"/>
        <w:spacing w:before="4" w:line="312" w:lineRule="auto"/>
        <w:ind w:right="56"/>
      </w:pPr>
      <w:r>
        <w:t xml:space="preserve">país é o terceiro maior exportador e o quinto maior produtor no mundo (VEJA.COM, 2010). De acordo com a Associação Brasileira das Indústrias de Fibrocimento (Abifibro) – entidade </w:t>
      </w:r>
      <w:r>
        <w:rPr>
          <w:spacing w:val="2"/>
        </w:rPr>
        <w:t xml:space="preserve">que </w:t>
      </w:r>
      <w:r>
        <w:rPr>
          <w:spacing w:val="3"/>
        </w:rPr>
        <w:t xml:space="preserve">reúne </w:t>
      </w:r>
      <w:r>
        <w:rPr>
          <w:spacing w:val="1"/>
        </w:rPr>
        <w:t xml:space="preserve">as </w:t>
      </w:r>
      <w:r>
        <w:rPr>
          <w:spacing w:val="3"/>
        </w:rPr>
        <w:t xml:space="preserve">empresas </w:t>
      </w:r>
      <w:r>
        <w:rPr>
          <w:spacing w:val="2"/>
        </w:rPr>
        <w:t xml:space="preserve">que usam </w:t>
      </w:r>
      <w:r>
        <w:t xml:space="preserve">o </w:t>
      </w:r>
      <w:r>
        <w:rPr>
          <w:spacing w:val="3"/>
        </w:rPr>
        <w:t xml:space="preserve">amianto crisotila </w:t>
      </w:r>
      <w:r>
        <w:t xml:space="preserve">– o Brasil produz 240 mil </w:t>
      </w:r>
      <w:r>
        <w:t>t/ano do minério, o que corresponde a 11%</w:t>
      </w:r>
      <w:r>
        <w:rPr>
          <w:spacing w:val="15"/>
        </w:rPr>
        <w:t xml:space="preserve"> </w:t>
      </w:r>
      <w:r>
        <w:t>da</w:t>
      </w:r>
      <w:r>
        <w:rPr>
          <w:spacing w:val="15"/>
        </w:rPr>
        <w:t xml:space="preserve"> </w:t>
      </w:r>
      <w:r>
        <w:t>produção</w:t>
      </w:r>
      <w:r>
        <w:rPr>
          <w:spacing w:val="15"/>
        </w:rPr>
        <w:t xml:space="preserve"> </w:t>
      </w:r>
      <w:r>
        <w:t>mundial</w:t>
      </w:r>
      <w:r>
        <w:rPr>
          <w:spacing w:val="15"/>
        </w:rPr>
        <w:t xml:space="preserve"> </w:t>
      </w:r>
      <w:r>
        <w:t>(BRASIL</w:t>
      </w:r>
      <w:r>
        <w:rPr>
          <w:spacing w:val="15"/>
        </w:rPr>
        <w:t xml:space="preserve"> </w:t>
      </w:r>
      <w:r>
        <w:t>MINERAL,</w:t>
      </w:r>
      <w:r>
        <w:rPr>
          <w:spacing w:val="15"/>
        </w:rPr>
        <w:t xml:space="preserve"> </w:t>
      </w:r>
      <w:r>
        <w:t>2007).</w:t>
      </w:r>
    </w:p>
    <w:p w:rsidR="00D81F69" w:rsidRDefault="00330118">
      <w:pPr>
        <w:pStyle w:val="Corpodetexto"/>
        <w:spacing w:before="72" w:line="270" w:lineRule="atLeast"/>
        <w:ind w:right="54"/>
      </w:pPr>
      <w:r>
        <w:t>A Resolução 348 do Conselho Nacional do Meio Ambiente (Conama), que trata de rejeitos na construção civil, diz que o resíduo de construção contendo amianto é perigoso e t</w:t>
      </w:r>
      <w:r>
        <w:t>em que ser destinado a aterro industrial Classe 1 [destinado a</w:t>
      </w:r>
    </w:p>
    <w:p w:rsidR="00D81F69" w:rsidRDefault="00330118">
      <w:pPr>
        <w:pStyle w:val="Corpodetexto"/>
        <w:spacing w:before="6" w:line="312" w:lineRule="auto"/>
        <w:ind w:right="184"/>
      </w:pPr>
      <w:r>
        <w:br w:type="column"/>
      </w:r>
      <w:r>
        <w:lastRenderedPageBreak/>
        <w:t>“Cidade Jardim”, por seus lagos ornamentais, ruas e praças amplas e arborizadas. Por ficar a 90 km do rio Tietê, a cidade está na área de influência da hidrovia Tietê-Paraná. Especificamente n</w:t>
      </w:r>
      <w:r>
        <w:t>o setor industrial, Avaré é centro de referência para cerca de 20 municípios, principalmente em atividades produtivas, como fabricação de aquecedores e duchas, brinquedos, embalagens plásticas, cartonagem, estruturas metálicas, bebidas, cerâmica, torrefaçã</w:t>
      </w:r>
      <w:r>
        <w:t>o de café, beneficiamento de arroz e confecções têxteis (GESIEL JÚNIOR, 2010).</w:t>
      </w:r>
    </w:p>
    <w:p w:rsidR="00D81F69" w:rsidRDefault="00330118">
      <w:pPr>
        <w:pStyle w:val="Corpodetexto"/>
        <w:spacing w:before="139" w:line="312" w:lineRule="auto"/>
        <w:ind w:right="210"/>
      </w:pPr>
      <w:r>
        <w:t xml:space="preserve">A empresa Auco Componentes Automobilísticos Ltda. atuou </w:t>
      </w:r>
      <w:r>
        <w:rPr>
          <w:spacing w:val="2"/>
        </w:rPr>
        <w:t xml:space="preserve">em </w:t>
      </w:r>
      <w:r>
        <w:rPr>
          <w:spacing w:val="3"/>
        </w:rPr>
        <w:t xml:space="preserve">Avaré por </w:t>
      </w:r>
      <w:r>
        <w:rPr>
          <w:spacing w:val="2"/>
        </w:rPr>
        <w:t xml:space="preserve">20 </w:t>
      </w:r>
      <w:r>
        <w:rPr>
          <w:spacing w:val="3"/>
        </w:rPr>
        <w:t xml:space="preserve">anos, </w:t>
      </w:r>
      <w:r>
        <w:rPr>
          <w:spacing w:val="5"/>
        </w:rPr>
        <w:t>encerrando definitivamente suas</w:t>
      </w:r>
      <w:r>
        <w:rPr>
          <w:spacing w:val="61"/>
        </w:rPr>
        <w:t xml:space="preserve"> </w:t>
      </w:r>
      <w:r>
        <w:t>atividades no dia 5 de abril de 2005. Os rejeitos do lixo tóxico da</w:t>
      </w:r>
      <w:r>
        <w:t xml:space="preserve"> </w:t>
      </w:r>
      <w:r>
        <w:rPr>
          <w:spacing w:val="1"/>
        </w:rPr>
        <w:t xml:space="preserve">empresa foram estocados </w:t>
      </w:r>
      <w:r>
        <w:t xml:space="preserve">no </w:t>
      </w:r>
      <w:r>
        <w:rPr>
          <w:spacing w:val="1"/>
        </w:rPr>
        <w:t xml:space="preserve">galpão </w:t>
      </w:r>
      <w:r>
        <w:t xml:space="preserve">de </w:t>
      </w:r>
      <w:r>
        <w:rPr>
          <w:spacing w:val="1"/>
        </w:rPr>
        <w:t xml:space="preserve">outra </w:t>
      </w:r>
      <w:r>
        <w:rPr>
          <w:spacing w:val="2"/>
        </w:rPr>
        <w:t xml:space="preserve">empresa </w:t>
      </w:r>
      <w:r>
        <w:rPr>
          <w:spacing w:val="1"/>
        </w:rPr>
        <w:t xml:space="preserve">extinta, </w:t>
      </w:r>
      <w:r>
        <w:t xml:space="preserve">a </w:t>
      </w:r>
      <w:r>
        <w:rPr>
          <w:spacing w:val="1"/>
        </w:rPr>
        <w:t xml:space="preserve">Metal Arte Iluminação S/A, fábrica </w:t>
      </w:r>
      <w:r>
        <w:t xml:space="preserve">de </w:t>
      </w:r>
      <w:r>
        <w:rPr>
          <w:spacing w:val="2"/>
        </w:rPr>
        <w:t xml:space="preserve">acessórios </w:t>
      </w:r>
      <w:r>
        <w:t xml:space="preserve">para rede elétrica, do mesmo dono da Auco. Quem passava às </w:t>
      </w:r>
      <w:r>
        <w:rPr>
          <w:spacing w:val="1"/>
        </w:rPr>
        <w:t xml:space="preserve">margens </w:t>
      </w:r>
      <w:r>
        <w:t xml:space="preserve">da </w:t>
      </w:r>
      <w:r>
        <w:rPr>
          <w:spacing w:val="1"/>
        </w:rPr>
        <w:t xml:space="preserve">Rodovia João Mellão </w:t>
      </w:r>
      <w:r>
        <w:t xml:space="preserve">(SP </w:t>
      </w:r>
      <w:r>
        <w:rPr>
          <w:spacing w:val="1"/>
        </w:rPr>
        <w:t xml:space="preserve">255), </w:t>
      </w:r>
      <w:r>
        <w:t xml:space="preserve">na </w:t>
      </w:r>
      <w:r>
        <w:rPr>
          <w:spacing w:val="2"/>
        </w:rPr>
        <w:t xml:space="preserve">Avenida </w:t>
      </w:r>
      <w:r>
        <w:t>Giovanni Begnozzi, podia ter acesso às toneladas de lixo com amianto (DUARTE, 2010).</w:t>
      </w:r>
    </w:p>
    <w:p w:rsidR="00D81F69" w:rsidRDefault="00330118">
      <w:pPr>
        <w:pStyle w:val="Corpodetexto"/>
        <w:spacing w:before="138" w:line="312" w:lineRule="auto"/>
        <w:ind w:right="192"/>
      </w:pPr>
      <w:r>
        <w:t>Ao lado do galpão maior, há outro menor, soterrado. Segundo testemunhas, a construção também continha resíduos tóxicos. Existiam áreas de depressão próximas ao galpão, ond</w:t>
      </w:r>
      <w:r>
        <w:t>e se suspeita que parte do material tóxico teria sido enterrado. As autoridades do município de Avaré só ficaram sabendo do problema quando um funcionário da Auco relatou a existência do depósito de rejeitos (DUARTE, 2010).</w:t>
      </w:r>
    </w:p>
    <w:p w:rsidR="00D81F69" w:rsidRDefault="00330118">
      <w:pPr>
        <w:pStyle w:val="Corpodetexto"/>
        <w:spacing w:before="137" w:line="312" w:lineRule="auto"/>
        <w:ind w:right="201"/>
      </w:pPr>
      <w:r>
        <w:rPr>
          <w:spacing w:val="1"/>
        </w:rPr>
        <w:t xml:space="preserve">Em </w:t>
      </w:r>
      <w:r>
        <w:rPr>
          <w:spacing w:val="3"/>
        </w:rPr>
        <w:t xml:space="preserve">fevereiro </w:t>
      </w:r>
      <w:r>
        <w:rPr>
          <w:spacing w:val="1"/>
        </w:rPr>
        <w:t xml:space="preserve">de </w:t>
      </w:r>
      <w:r>
        <w:rPr>
          <w:spacing w:val="3"/>
        </w:rPr>
        <w:t xml:space="preserve">2002, </w:t>
      </w:r>
      <w:r>
        <w:rPr>
          <w:spacing w:val="2"/>
        </w:rPr>
        <w:t xml:space="preserve">foi </w:t>
      </w:r>
      <w:r>
        <w:rPr>
          <w:spacing w:val="3"/>
        </w:rPr>
        <w:t xml:space="preserve">feita </w:t>
      </w:r>
      <w:r>
        <w:rPr>
          <w:spacing w:val="2"/>
        </w:rPr>
        <w:t xml:space="preserve">uma </w:t>
      </w:r>
      <w:r>
        <w:rPr>
          <w:spacing w:val="3"/>
        </w:rPr>
        <w:t xml:space="preserve">vistoria </w:t>
      </w:r>
      <w:r>
        <w:rPr>
          <w:spacing w:val="1"/>
        </w:rPr>
        <w:t xml:space="preserve">no </w:t>
      </w:r>
      <w:r>
        <w:rPr>
          <w:spacing w:val="3"/>
        </w:rPr>
        <w:t xml:space="preserve">galpão </w:t>
      </w:r>
      <w:r>
        <w:rPr>
          <w:spacing w:val="5"/>
        </w:rPr>
        <w:t xml:space="preserve">da </w:t>
      </w:r>
      <w:r>
        <w:t xml:space="preserve">Metal Arte e a empresa foi autuada por falta de segurança do material. Em junho do mesmo ano, a Companhia Ambiental do </w:t>
      </w:r>
      <w:r>
        <w:rPr>
          <w:spacing w:val="1"/>
        </w:rPr>
        <w:t xml:space="preserve">Estado </w:t>
      </w:r>
      <w:r>
        <w:t xml:space="preserve">de São </w:t>
      </w:r>
      <w:r>
        <w:rPr>
          <w:spacing w:val="1"/>
        </w:rPr>
        <w:t xml:space="preserve">Paulo (Cetesb) </w:t>
      </w:r>
      <w:r>
        <w:t xml:space="preserve">fez uma </w:t>
      </w:r>
      <w:r>
        <w:rPr>
          <w:spacing w:val="1"/>
        </w:rPr>
        <w:t xml:space="preserve">nova vistoria, </w:t>
      </w:r>
      <w:r>
        <w:t>e lacrou as portas do galpão com solda elétrica para evitar</w:t>
      </w:r>
      <w:r>
        <w:t xml:space="preserve"> o </w:t>
      </w:r>
      <w:r>
        <w:rPr>
          <w:spacing w:val="6"/>
        </w:rPr>
        <w:t xml:space="preserve">trânsito </w:t>
      </w:r>
      <w:r>
        <w:rPr>
          <w:spacing w:val="3"/>
        </w:rPr>
        <w:t xml:space="preserve">de </w:t>
      </w:r>
      <w:r>
        <w:rPr>
          <w:spacing w:val="6"/>
        </w:rPr>
        <w:t xml:space="preserve">pessoas. </w:t>
      </w:r>
      <w:r>
        <w:t xml:space="preserve">A </w:t>
      </w:r>
      <w:r>
        <w:rPr>
          <w:spacing w:val="6"/>
        </w:rPr>
        <w:t xml:space="preserve">Vigilância Sanitária estadual </w:t>
      </w:r>
      <w:r>
        <w:rPr>
          <w:spacing w:val="7"/>
        </w:rPr>
        <w:t xml:space="preserve">foi </w:t>
      </w:r>
      <w:r>
        <w:rPr>
          <w:spacing w:val="3"/>
        </w:rPr>
        <w:t xml:space="preserve">alertada, pois, </w:t>
      </w:r>
      <w:r>
        <w:rPr>
          <w:spacing w:val="2"/>
        </w:rPr>
        <w:t xml:space="preserve">como </w:t>
      </w:r>
      <w:r>
        <w:t xml:space="preserve">o </w:t>
      </w:r>
      <w:r>
        <w:rPr>
          <w:spacing w:val="3"/>
        </w:rPr>
        <w:t xml:space="preserve">galpão </w:t>
      </w:r>
      <w:r>
        <w:rPr>
          <w:spacing w:val="2"/>
        </w:rPr>
        <w:t xml:space="preserve">fica </w:t>
      </w:r>
      <w:r>
        <w:rPr>
          <w:spacing w:val="3"/>
        </w:rPr>
        <w:t xml:space="preserve">alagado </w:t>
      </w:r>
      <w:r>
        <w:rPr>
          <w:spacing w:val="1"/>
        </w:rPr>
        <w:t xml:space="preserve">na </w:t>
      </w:r>
      <w:r>
        <w:rPr>
          <w:spacing w:val="3"/>
        </w:rPr>
        <w:t xml:space="preserve">época </w:t>
      </w:r>
      <w:r>
        <w:rPr>
          <w:spacing w:val="5"/>
        </w:rPr>
        <w:t xml:space="preserve">das </w:t>
      </w:r>
      <w:r>
        <w:rPr>
          <w:spacing w:val="11"/>
        </w:rPr>
        <w:t xml:space="preserve">chuvas, havia </w:t>
      </w:r>
      <w:r>
        <w:t xml:space="preserve">o </w:t>
      </w:r>
      <w:r>
        <w:rPr>
          <w:spacing w:val="11"/>
        </w:rPr>
        <w:t xml:space="preserve">perigo </w:t>
      </w:r>
      <w:r>
        <w:rPr>
          <w:spacing w:val="6"/>
        </w:rPr>
        <w:t xml:space="preserve">de </w:t>
      </w:r>
      <w:r>
        <w:t xml:space="preserve">o </w:t>
      </w:r>
      <w:r>
        <w:rPr>
          <w:spacing w:val="11"/>
        </w:rPr>
        <w:t xml:space="preserve">córrego Camargo </w:t>
      </w:r>
      <w:r>
        <w:rPr>
          <w:spacing w:val="15"/>
        </w:rPr>
        <w:t xml:space="preserve">ser </w:t>
      </w:r>
      <w:r>
        <w:rPr>
          <w:spacing w:val="12"/>
        </w:rPr>
        <w:t>contaminado (DUARTE,</w:t>
      </w:r>
      <w:r>
        <w:rPr>
          <w:spacing w:val="63"/>
        </w:rPr>
        <w:t xml:space="preserve"> </w:t>
      </w:r>
      <w:r>
        <w:rPr>
          <w:spacing w:val="15"/>
        </w:rPr>
        <w:t>2010).</w:t>
      </w:r>
    </w:p>
    <w:p w:rsidR="00D81F69" w:rsidRDefault="00D81F69">
      <w:pPr>
        <w:spacing w:line="312" w:lineRule="auto"/>
        <w:sectPr w:rsidR="00D81F69">
          <w:type w:val="continuous"/>
          <w:pgSz w:w="11900" w:h="16840"/>
          <w:pgMar w:top="720" w:right="500" w:bottom="280" w:left="620" w:header="720" w:footer="720" w:gutter="0"/>
          <w:cols w:num="2" w:space="720" w:equalWidth="0">
            <w:col w:w="5152" w:space="318"/>
            <w:col w:w="5310"/>
          </w:cols>
        </w:sectPr>
      </w:pPr>
    </w:p>
    <w:p w:rsidR="00D81F69" w:rsidRDefault="00330118">
      <w:pPr>
        <w:pStyle w:val="Corpodetexto"/>
        <w:spacing w:before="81" w:line="312" w:lineRule="auto"/>
        <w:ind w:right="46"/>
      </w:pPr>
      <w:r>
        <w:lastRenderedPageBreak/>
        <w:t xml:space="preserve">Em 2002, a Auco foi à falência. Para </w:t>
      </w:r>
      <w:r>
        <w:t xml:space="preserve">se livrar dos problemas, os proprietários transferiram seu comando para um grupo de 45 </w:t>
      </w:r>
      <w:r>
        <w:rPr>
          <w:spacing w:val="1"/>
        </w:rPr>
        <w:t xml:space="preserve">ex-funcionários (“laranjas”), assim como </w:t>
      </w:r>
      <w:r>
        <w:t xml:space="preserve">as </w:t>
      </w:r>
      <w:r>
        <w:rPr>
          <w:spacing w:val="1"/>
        </w:rPr>
        <w:t xml:space="preserve">dívidas </w:t>
      </w:r>
      <w:r>
        <w:t xml:space="preserve">e o passivo ambiental. Nessa época, a empresa ainda comprava uma tonelada de amianto por mês. Depois, os novos donos </w:t>
      </w:r>
      <w:r>
        <w:t xml:space="preserve">mudaram o processo de fabricação das pastilhas de freio e, </w:t>
      </w:r>
      <w:r>
        <w:rPr>
          <w:spacing w:val="1"/>
        </w:rPr>
        <w:t xml:space="preserve">em </w:t>
      </w:r>
      <w:r>
        <w:rPr>
          <w:spacing w:val="3"/>
        </w:rPr>
        <w:t xml:space="preserve">janeiro 2004, </w:t>
      </w:r>
      <w:r>
        <w:t xml:space="preserve">a </w:t>
      </w:r>
      <w:r>
        <w:rPr>
          <w:spacing w:val="3"/>
        </w:rPr>
        <w:t xml:space="preserve">linha </w:t>
      </w:r>
      <w:r>
        <w:rPr>
          <w:spacing w:val="1"/>
        </w:rPr>
        <w:t xml:space="preserve">de </w:t>
      </w:r>
      <w:r>
        <w:rPr>
          <w:spacing w:val="3"/>
        </w:rPr>
        <w:t xml:space="preserve">produção </w:t>
      </w:r>
      <w:r>
        <w:rPr>
          <w:spacing w:val="1"/>
        </w:rPr>
        <w:t xml:space="preserve">já </w:t>
      </w:r>
      <w:r>
        <w:rPr>
          <w:spacing w:val="2"/>
        </w:rPr>
        <w:t xml:space="preserve">não </w:t>
      </w:r>
      <w:r>
        <w:rPr>
          <w:spacing w:val="3"/>
        </w:rPr>
        <w:t xml:space="preserve">usava </w:t>
      </w:r>
      <w:r>
        <w:rPr>
          <w:spacing w:val="5"/>
        </w:rPr>
        <w:t xml:space="preserve">mais </w:t>
      </w:r>
      <w:r>
        <w:t>amianto. Nas instalações da empresa passou a funcionar a  TK</w:t>
      </w:r>
      <w:r>
        <w:rPr>
          <w:spacing w:val="18"/>
        </w:rPr>
        <w:t xml:space="preserve"> </w:t>
      </w:r>
      <w:r>
        <w:t>Indústria</w:t>
      </w:r>
      <w:r>
        <w:rPr>
          <w:spacing w:val="18"/>
        </w:rPr>
        <w:t xml:space="preserve"> </w:t>
      </w:r>
      <w:r>
        <w:t>Metalúrgica</w:t>
      </w:r>
      <w:r>
        <w:rPr>
          <w:spacing w:val="18"/>
        </w:rPr>
        <w:t xml:space="preserve"> </w:t>
      </w:r>
      <w:r>
        <w:t>Ltda.</w:t>
      </w:r>
      <w:r>
        <w:rPr>
          <w:spacing w:val="18"/>
        </w:rPr>
        <w:t xml:space="preserve"> </w:t>
      </w:r>
      <w:r>
        <w:t>(DUARTE,</w:t>
      </w:r>
      <w:r>
        <w:rPr>
          <w:spacing w:val="18"/>
        </w:rPr>
        <w:t xml:space="preserve"> </w:t>
      </w:r>
      <w:r>
        <w:rPr>
          <w:spacing w:val="1"/>
        </w:rPr>
        <w:t>2010).</w:t>
      </w:r>
    </w:p>
    <w:p w:rsidR="00D81F69" w:rsidRDefault="00330118">
      <w:pPr>
        <w:pStyle w:val="Corpodetexto"/>
        <w:spacing w:before="138" w:line="312" w:lineRule="auto"/>
        <w:ind w:right="38"/>
      </w:pPr>
      <w:r>
        <w:rPr>
          <w:spacing w:val="3"/>
        </w:rPr>
        <w:t xml:space="preserve">Em </w:t>
      </w:r>
      <w:r>
        <w:rPr>
          <w:spacing w:val="6"/>
        </w:rPr>
        <w:t xml:space="preserve">reunião, </w:t>
      </w:r>
      <w:r>
        <w:t xml:space="preserve">o </w:t>
      </w:r>
      <w:r>
        <w:rPr>
          <w:spacing w:val="6"/>
        </w:rPr>
        <w:t xml:space="preserve">Conselho Municipal </w:t>
      </w:r>
      <w:r>
        <w:rPr>
          <w:spacing w:val="3"/>
        </w:rPr>
        <w:t xml:space="preserve">de </w:t>
      </w:r>
      <w:r>
        <w:rPr>
          <w:spacing w:val="5"/>
        </w:rPr>
        <w:t xml:space="preserve">Defesa </w:t>
      </w:r>
      <w:r>
        <w:rPr>
          <w:spacing w:val="3"/>
        </w:rPr>
        <w:t xml:space="preserve">do </w:t>
      </w:r>
      <w:r>
        <w:rPr>
          <w:spacing w:val="7"/>
        </w:rPr>
        <w:t xml:space="preserve">Meio Ambiente (Condema) decidiu </w:t>
      </w:r>
      <w:r>
        <w:rPr>
          <w:spacing w:val="5"/>
        </w:rPr>
        <w:t xml:space="preserve">que era </w:t>
      </w:r>
      <w:r>
        <w:rPr>
          <w:spacing w:val="7"/>
        </w:rPr>
        <w:t xml:space="preserve">preciso levar </w:t>
      </w:r>
      <w:r>
        <w:rPr>
          <w:spacing w:val="10"/>
        </w:rPr>
        <w:t xml:space="preserve">os </w:t>
      </w:r>
      <w:r>
        <w:t xml:space="preserve">resíduos de amianto da Auco para um aterro de Classe 1. No dia 8 de maio de 2003, o Ministério do Trabalho (MTE) esteve em Avaré e autuou a Auco, estabelecendo um prazo de 60 dias para que </w:t>
      </w:r>
      <w:r>
        <w:t xml:space="preserve">retirasse o lixo tóxico do galpão. Os resíduos </w:t>
      </w:r>
      <w:r>
        <w:rPr>
          <w:spacing w:val="5"/>
        </w:rPr>
        <w:t xml:space="preserve">seriam levados </w:t>
      </w:r>
      <w:r>
        <w:rPr>
          <w:spacing w:val="2"/>
        </w:rPr>
        <w:t xml:space="preserve">em </w:t>
      </w:r>
      <w:r>
        <w:rPr>
          <w:spacing w:val="5"/>
        </w:rPr>
        <w:t xml:space="preserve">caminhões especiais </w:t>
      </w:r>
      <w:r>
        <w:rPr>
          <w:spacing w:val="3"/>
        </w:rPr>
        <w:t xml:space="preserve">para </w:t>
      </w:r>
      <w:r>
        <w:rPr>
          <w:spacing w:val="2"/>
        </w:rPr>
        <w:t xml:space="preserve">um </w:t>
      </w:r>
      <w:r>
        <w:rPr>
          <w:spacing w:val="5"/>
        </w:rPr>
        <w:t xml:space="preserve">aterro </w:t>
      </w:r>
      <w:r>
        <w:rPr>
          <w:spacing w:val="1"/>
        </w:rPr>
        <w:t xml:space="preserve">sanitário apropriado, </w:t>
      </w:r>
      <w:r>
        <w:t xml:space="preserve">em </w:t>
      </w:r>
      <w:r>
        <w:rPr>
          <w:spacing w:val="1"/>
        </w:rPr>
        <w:t xml:space="preserve">Tremembé, cidade próxima </w:t>
      </w:r>
      <w:r>
        <w:t xml:space="preserve">a </w:t>
      </w:r>
      <w:r>
        <w:rPr>
          <w:spacing w:val="2"/>
        </w:rPr>
        <w:t xml:space="preserve">São </w:t>
      </w:r>
      <w:r>
        <w:rPr>
          <w:spacing w:val="7"/>
        </w:rPr>
        <w:t xml:space="preserve">José </w:t>
      </w:r>
      <w:r>
        <w:rPr>
          <w:spacing w:val="6"/>
        </w:rPr>
        <w:t xml:space="preserve">dos </w:t>
      </w:r>
      <w:r>
        <w:rPr>
          <w:spacing w:val="8"/>
        </w:rPr>
        <w:t xml:space="preserve">Campos, também </w:t>
      </w:r>
      <w:r>
        <w:rPr>
          <w:spacing w:val="5"/>
        </w:rPr>
        <w:t xml:space="preserve">no </w:t>
      </w:r>
      <w:r>
        <w:rPr>
          <w:spacing w:val="8"/>
        </w:rPr>
        <w:t xml:space="preserve">estado </w:t>
      </w:r>
      <w:r>
        <w:rPr>
          <w:spacing w:val="5"/>
        </w:rPr>
        <w:t xml:space="preserve">de </w:t>
      </w:r>
      <w:r>
        <w:rPr>
          <w:spacing w:val="6"/>
        </w:rPr>
        <w:t xml:space="preserve">São </w:t>
      </w:r>
      <w:r>
        <w:rPr>
          <w:spacing w:val="10"/>
        </w:rPr>
        <w:t>Paulo.</w:t>
      </w:r>
      <w:r>
        <w:rPr>
          <w:spacing w:val="71"/>
        </w:rPr>
        <w:t xml:space="preserve"> </w:t>
      </w:r>
      <w:r>
        <w:rPr>
          <w:spacing w:val="8"/>
        </w:rPr>
        <w:t>(DUARTE,</w:t>
      </w:r>
      <w:r>
        <w:rPr>
          <w:spacing w:val="7"/>
        </w:rPr>
        <w:t xml:space="preserve"> </w:t>
      </w:r>
      <w:r>
        <w:rPr>
          <w:spacing w:val="10"/>
        </w:rPr>
        <w:t>2010).</w:t>
      </w:r>
    </w:p>
    <w:p w:rsidR="00D81F69" w:rsidRDefault="00330118">
      <w:pPr>
        <w:pStyle w:val="Corpodetexto"/>
        <w:spacing w:before="139" w:line="312" w:lineRule="auto"/>
        <w:ind w:right="40"/>
      </w:pPr>
      <w:r>
        <w:t>No dia 5 de junho de 2003, foi reali</w:t>
      </w:r>
      <w:r>
        <w:t>zada a primeira audiência pública na cidade com o objetivo de buscar soluções para o problema do amianto. Participaram do evento autoridades, especialistas e funcionários da Auco. Nessa audiência, decidiu-se que os funcionários seriam os responsáveis por a</w:t>
      </w:r>
      <w:r>
        <w:t>condicionar o material em big bags, estocando-o no antigo prédio da Metal Arte. Em dezembro do mesmo ano, o MTE cancelou o cadastro de autorização de recebimento da matéria prima amianto e, um mês depois, em janeiro de 2004, interditou a empresa, pois todo</w:t>
      </w:r>
      <w:r>
        <w:t>s os prazos para resolução do problema estavam vencidos. No período de 2002 a 2004, a Cetesb puniu a empresa com uma advertência e quatro multas. Somente em 2006, parte do resíduo, que ainda estava estocado na empresa, foi levado pela TK Metalúrgica (suces</w:t>
      </w:r>
      <w:r>
        <w:t>sora da Auco) para o aterro sanitário de Tremembé, restando o que estava armazenado no antigo prédio da Metal Arte (DUARTE, 2010).</w:t>
      </w:r>
    </w:p>
    <w:p w:rsidR="00D81F69" w:rsidRDefault="00330118">
      <w:pPr>
        <w:pStyle w:val="Corpodetexto"/>
        <w:spacing w:before="146" w:line="312" w:lineRule="auto"/>
        <w:ind w:right="46"/>
      </w:pPr>
      <w:r>
        <w:t>Como o dono da empresa havia falecido em 2007, coube à promotoria cobrar as obrigações a que os requeridos foram condenados d</w:t>
      </w:r>
      <w:r>
        <w:t>os filhos do empresário. Tendo em vista que a Auco também foi condenada, os outros sócios puderam ser indiciados para arcar com os custos da retirada do material. Mas, enquanto o processo estivesse em fase de habilitação, não seria possível. Diante do impa</w:t>
      </w:r>
      <w:r>
        <w:t>sse, a promotoria requereu à Secretaria Municipal e à Secretaria Estadual do Meio Ambiente que fizessem a retirada do material, cujo custo ficou em R$ 130 mil. Seriam necessárias 25 viagens até o aterro sanitário de Tremembé (DUARTE, 2010).</w:t>
      </w:r>
    </w:p>
    <w:p w:rsidR="00D81F69" w:rsidRDefault="00330118">
      <w:pPr>
        <w:pStyle w:val="Corpodetexto"/>
        <w:spacing w:before="77" w:line="270" w:lineRule="atLeast"/>
        <w:ind w:right="57"/>
      </w:pPr>
      <w:r>
        <w:t>Atendendo à sol</w:t>
      </w:r>
      <w:r>
        <w:t>icitação da Secretaria Municipal do Meio Ambiente, houve a vistoria das condições do depósito de amianto por pessoal especializado, em 2008. À época, foi verificada urgência na retirada do material, por suas consequências, tanto ao meio ambiente quanto à s</w:t>
      </w:r>
      <w:r>
        <w:t>aúde da população. O amianto encontrava-se a céu aberto, e várias embalagens haviam sido rompidas devido à ação do tempo e do homem (FOLHA DE AVARÉ, 2008).</w:t>
      </w:r>
    </w:p>
    <w:p w:rsidR="00D81F69" w:rsidRDefault="00330118">
      <w:pPr>
        <w:pStyle w:val="Corpodetexto"/>
        <w:spacing w:before="5"/>
        <w:ind w:left="0"/>
        <w:jc w:val="left"/>
        <w:rPr>
          <w:sz w:val="24"/>
        </w:rPr>
      </w:pPr>
      <w:r>
        <w:br w:type="column"/>
      </w:r>
    </w:p>
    <w:p w:rsidR="00D81F69" w:rsidRDefault="00330118">
      <w:pPr>
        <w:pStyle w:val="Corpodetexto"/>
        <w:spacing w:line="312" w:lineRule="auto"/>
        <w:ind w:right="194"/>
      </w:pPr>
      <w:r>
        <w:t xml:space="preserve">Também, em 2008, o Grupo de Trabalho da Comissão de Meio Ambiente e Desenvolvimento Sustentável da Câmara dos Deputados destinado à análise das implicações do uso do amianto no Brasil visitou o galpão abandonado. O local fora saqueado, boa parte não tinha </w:t>
      </w:r>
      <w:r>
        <w:t>paredes, muros, grades ou portões; não possuía teto; mas tinha quatro vias de acesso. Em duas delas foram colocadas proteções de terra, mas que não evitam o trânsito de pessoas. Os resíduos foram embalados em sacos plásticos de 30 kg, que se deterioraram c</w:t>
      </w:r>
      <w:r>
        <w:t>om o tempo. Até 2003, havia uma placa alertando sobre o perigo, mas à época da visitação esta não existia mais (DUARTE, 2010).</w:t>
      </w:r>
    </w:p>
    <w:p w:rsidR="00D81F69" w:rsidRDefault="00330118">
      <w:pPr>
        <w:pStyle w:val="Corpodetexto"/>
        <w:spacing w:before="141" w:line="312" w:lineRule="auto"/>
        <w:ind w:right="188"/>
      </w:pPr>
      <w:r>
        <w:rPr>
          <w:spacing w:val="2"/>
        </w:rPr>
        <w:t xml:space="preserve">Em </w:t>
      </w:r>
      <w:r>
        <w:rPr>
          <w:spacing w:val="5"/>
        </w:rPr>
        <w:t xml:space="preserve">2009 </w:t>
      </w:r>
      <w:r>
        <w:t xml:space="preserve">o </w:t>
      </w:r>
      <w:r>
        <w:rPr>
          <w:spacing w:val="5"/>
        </w:rPr>
        <w:t xml:space="preserve">município </w:t>
      </w:r>
      <w:r>
        <w:rPr>
          <w:spacing w:val="2"/>
        </w:rPr>
        <w:t xml:space="preserve">de </w:t>
      </w:r>
      <w:r>
        <w:rPr>
          <w:spacing w:val="5"/>
        </w:rPr>
        <w:t xml:space="preserve">Avaré assinou contrato para </w:t>
      </w:r>
      <w:r>
        <w:t>a remoção do amianto com a empresa que ganhou a licitação, especializada nesse</w:t>
      </w:r>
      <w:r>
        <w:t xml:space="preserve"> tipo de operação. O custo estimado </w:t>
      </w:r>
      <w:r>
        <w:rPr>
          <w:spacing w:val="1"/>
        </w:rPr>
        <w:t xml:space="preserve">foi  </w:t>
      </w:r>
      <w:r>
        <w:rPr>
          <w:spacing w:val="5"/>
        </w:rPr>
        <w:t xml:space="preserve">de R$ </w:t>
      </w:r>
      <w:r>
        <w:rPr>
          <w:spacing w:val="7"/>
        </w:rPr>
        <w:t xml:space="preserve">287.500. </w:t>
      </w:r>
      <w:r>
        <w:rPr>
          <w:spacing w:val="5"/>
        </w:rPr>
        <w:t xml:space="preserve">Só </w:t>
      </w:r>
      <w:r>
        <w:rPr>
          <w:spacing w:val="6"/>
        </w:rPr>
        <w:t xml:space="preserve">após </w:t>
      </w:r>
      <w:r>
        <w:t xml:space="preserve">a </w:t>
      </w:r>
      <w:r>
        <w:rPr>
          <w:spacing w:val="7"/>
        </w:rPr>
        <w:t xml:space="preserve">emissão </w:t>
      </w:r>
      <w:r>
        <w:rPr>
          <w:spacing w:val="5"/>
        </w:rPr>
        <w:t xml:space="preserve">do </w:t>
      </w:r>
      <w:r>
        <w:rPr>
          <w:spacing w:val="8"/>
        </w:rPr>
        <w:t xml:space="preserve">Certificado </w:t>
      </w:r>
      <w:r>
        <w:rPr>
          <w:spacing w:val="10"/>
        </w:rPr>
        <w:t xml:space="preserve">de </w:t>
      </w:r>
      <w:r>
        <w:t xml:space="preserve">Movimentação de Resíduos de Interesse Ambiental (Cadri), </w:t>
      </w:r>
      <w:r>
        <w:rPr>
          <w:spacing w:val="5"/>
        </w:rPr>
        <w:t xml:space="preserve">emitido pela Cetesb, </w:t>
      </w:r>
      <w:r>
        <w:t xml:space="preserve">é </w:t>
      </w:r>
      <w:r>
        <w:rPr>
          <w:spacing w:val="3"/>
        </w:rPr>
        <w:t xml:space="preserve">que </w:t>
      </w:r>
      <w:r>
        <w:t xml:space="preserve">a </w:t>
      </w:r>
      <w:r>
        <w:rPr>
          <w:spacing w:val="5"/>
        </w:rPr>
        <w:t xml:space="preserve">empresa pode </w:t>
      </w:r>
      <w:r>
        <w:rPr>
          <w:spacing w:val="6"/>
        </w:rPr>
        <w:t xml:space="preserve">programar </w:t>
      </w:r>
      <w:r>
        <w:rPr>
          <w:spacing w:val="5"/>
        </w:rPr>
        <w:t xml:space="preserve">retirada </w:t>
      </w:r>
      <w:r>
        <w:rPr>
          <w:spacing w:val="2"/>
        </w:rPr>
        <w:t xml:space="preserve">da </w:t>
      </w:r>
      <w:r>
        <w:rPr>
          <w:spacing w:val="5"/>
        </w:rPr>
        <w:t xml:space="preserve">substância. </w:t>
      </w:r>
      <w:r>
        <w:t xml:space="preserve">A </w:t>
      </w:r>
      <w:r>
        <w:rPr>
          <w:spacing w:val="5"/>
        </w:rPr>
        <w:t xml:space="preserve">partir </w:t>
      </w:r>
      <w:r>
        <w:rPr>
          <w:spacing w:val="2"/>
        </w:rPr>
        <w:t xml:space="preserve">de </w:t>
      </w:r>
      <w:r>
        <w:rPr>
          <w:spacing w:val="5"/>
        </w:rPr>
        <w:t xml:space="preserve">então, teve </w:t>
      </w:r>
      <w:r>
        <w:rPr>
          <w:spacing w:val="2"/>
        </w:rPr>
        <w:t xml:space="preserve">90 </w:t>
      </w:r>
      <w:r>
        <w:rPr>
          <w:spacing w:val="6"/>
        </w:rPr>
        <w:t xml:space="preserve">dias, </w:t>
      </w:r>
      <w:r>
        <w:rPr>
          <w:spacing w:val="3"/>
        </w:rPr>
        <w:t xml:space="preserve">contados </w:t>
      </w:r>
      <w:r>
        <w:rPr>
          <w:spacing w:val="1"/>
        </w:rPr>
        <w:t xml:space="preserve">da </w:t>
      </w:r>
      <w:r>
        <w:rPr>
          <w:spacing w:val="3"/>
        </w:rPr>
        <w:t xml:space="preserve">assinatura </w:t>
      </w:r>
      <w:r>
        <w:rPr>
          <w:spacing w:val="1"/>
        </w:rPr>
        <w:t xml:space="preserve">do </w:t>
      </w:r>
      <w:r>
        <w:rPr>
          <w:spacing w:val="3"/>
        </w:rPr>
        <w:t xml:space="preserve">contrato, </w:t>
      </w:r>
      <w:r>
        <w:rPr>
          <w:spacing w:val="2"/>
        </w:rPr>
        <w:t xml:space="preserve">para </w:t>
      </w:r>
      <w:r>
        <w:t xml:space="preserve">a </w:t>
      </w:r>
      <w:r>
        <w:rPr>
          <w:spacing w:val="3"/>
        </w:rPr>
        <w:t xml:space="preserve">execução </w:t>
      </w:r>
      <w:r>
        <w:rPr>
          <w:spacing w:val="5"/>
        </w:rPr>
        <w:t xml:space="preserve">da </w:t>
      </w:r>
      <w:r>
        <w:rPr>
          <w:spacing w:val="3"/>
        </w:rPr>
        <w:t>operação (FERREIRA,</w:t>
      </w:r>
      <w:r>
        <w:rPr>
          <w:spacing w:val="2"/>
        </w:rPr>
        <w:t xml:space="preserve"> </w:t>
      </w:r>
      <w:r>
        <w:rPr>
          <w:spacing w:val="5"/>
        </w:rPr>
        <w:t>2009).</w:t>
      </w:r>
    </w:p>
    <w:p w:rsidR="00D81F69" w:rsidRDefault="00330118">
      <w:pPr>
        <w:pStyle w:val="Corpodetexto"/>
        <w:spacing w:before="138" w:line="312" w:lineRule="auto"/>
        <w:ind w:right="197"/>
      </w:pPr>
      <w:r>
        <w:t xml:space="preserve">Em 2010, as mais de 250 toneladas do produto começaram a </w:t>
      </w:r>
      <w:r>
        <w:rPr>
          <w:spacing w:val="3"/>
        </w:rPr>
        <w:t xml:space="preserve">ser </w:t>
      </w:r>
      <w:r>
        <w:rPr>
          <w:spacing w:val="5"/>
        </w:rPr>
        <w:t xml:space="preserve">embaladas </w:t>
      </w:r>
      <w:r>
        <w:rPr>
          <w:spacing w:val="2"/>
        </w:rPr>
        <w:t xml:space="preserve">e, no </w:t>
      </w:r>
      <w:r>
        <w:rPr>
          <w:spacing w:val="3"/>
        </w:rPr>
        <w:t xml:space="preserve">dia </w:t>
      </w:r>
      <w:r>
        <w:t xml:space="preserve">4 </w:t>
      </w:r>
      <w:r>
        <w:rPr>
          <w:spacing w:val="2"/>
        </w:rPr>
        <w:t xml:space="preserve">de </w:t>
      </w:r>
      <w:r>
        <w:rPr>
          <w:spacing w:val="3"/>
        </w:rPr>
        <w:t xml:space="preserve">março </w:t>
      </w:r>
      <w:r>
        <w:rPr>
          <w:spacing w:val="2"/>
        </w:rPr>
        <w:t xml:space="preserve">do </w:t>
      </w:r>
      <w:r>
        <w:rPr>
          <w:spacing w:val="3"/>
        </w:rPr>
        <w:t xml:space="preserve">mesmo ano, </w:t>
      </w:r>
      <w:r>
        <w:rPr>
          <w:spacing w:val="5"/>
        </w:rPr>
        <w:t>os</w:t>
      </w:r>
      <w:r>
        <w:rPr>
          <w:spacing w:val="61"/>
        </w:rPr>
        <w:t xml:space="preserve"> </w:t>
      </w:r>
      <w:r>
        <w:t xml:space="preserve">primeiros caminhões com rejeitos de amianto deixaram em </w:t>
      </w:r>
      <w:r>
        <w:rPr>
          <w:spacing w:val="17"/>
        </w:rPr>
        <w:t>def</w:t>
      </w:r>
      <w:r>
        <w:rPr>
          <w:spacing w:val="17"/>
        </w:rPr>
        <w:t xml:space="preserve">initivo </w:t>
      </w:r>
      <w:r>
        <w:t xml:space="preserve">o </w:t>
      </w:r>
      <w:r>
        <w:rPr>
          <w:spacing w:val="16"/>
        </w:rPr>
        <w:t xml:space="preserve">município </w:t>
      </w:r>
      <w:r>
        <w:rPr>
          <w:spacing w:val="15"/>
        </w:rPr>
        <w:t xml:space="preserve">para </w:t>
      </w:r>
      <w:r>
        <w:rPr>
          <w:spacing w:val="10"/>
        </w:rPr>
        <w:t xml:space="preserve">um </w:t>
      </w:r>
      <w:r>
        <w:rPr>
          <w:spacing w:val="15"/>
        </w:rPr>
        <w:t xml:space="preserve">aterro </w:t>
      </w:r>
      <w:r>
        <w:rPr>
          <w:spacing w:val="16"/>
        </w:rPr>
        <w:t xml:space="preserve">adequado </w:t>
      </w:r>
      <w:r>
        <w:t>(SECRETARIA DE MEIO AMBIENTE, 2010). Quatro carretas,</w:t>
      </w:r>
    </w:p>
    <w:p w:rsidR="00D81F69" w:rsidRDefault="00330118">
      <w:pPr>
        <w:pStyle w:val="Corpodetexto"/>
        <w:spacing w:before="5" w:line="312" w:lineRule="auto"/>
        <w:ind w:right="195"/>
      </w:pPr>
      <w:r>
        <w:t>cada uma com cerca de 22 sacos de nylon contendo aproximadamente 1 tonelada de amianto cada um, saíram das dependências da antiga fábrica em direção a Trememb</w:t>
      </w:r>
      <w:r>
        <w:t>é, onde seriam depositados em um aterro sanitário industrial para resíduos perigosos, licenciado pela Cetesb. A saída dos caminhões foi festejada (SENAGA, 2010).</w:t>
      </w:r>
    </w:p>
    <w:p w:rsidR="00D81F69" w:rsidRDefault="00330118">
      <w:pPr>
        <w:pStyle w:val="Corpodetexto"/>
        <w:spacing w:before="135" w:line="312" w:lineRule="auto"/>
        <w:ind w:right="193"/>
      </w:pPr>
      <w:r>
        <w:t>Porém, parte do material ainda permanece no local. “Foram retiradas aproximadamente 200 tonela</w:t>
      </w:r>
      <w:r>
        <w:t>das do material, mas parte do produto ainda permanece na área”. Em entrevista, o então secretário do Meio Ambiente de Avaré, César Augusto de Oliveira, afirmou que a completa retirada do material ainda não tem data para acontecer e depende de parcerias: “E</w:t>
      </w:r>
      <w:r>
        <w:t>sse material tem que ser retirado, porém precisamos de parceria público-privada porque a despesa é muito grande e a prefeitura não tem dotação para retirar esse material” (G1, 2012).</w:t>
      </w:r>
    </w:p>
    <w:p w:rsidR="00D81F69" w:rsidRDefault="00D81F69">
      <w:pPr>
        <w:pStyle w:val="Corpodetexto"/>
        <w:spacing w:before="9"/>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210"/>
      </w:pPr>
      <w:r>
        <w:t>A indústria de amianto do município de Avaré ocor</w:t>
      </w:r>
      <w:r>
        <w:t>re na sub- bacia do rio Paranapanema, que pertence à bacia do rio Paraná. O passivo se encontra na latitude 23°07’15”S e longitude 48°56’15”W.</w:t>
      </w:r>
    </w:p>
    <w:p w:rsidR="00D81F69" w:rsidRDefault="00D81F69">
      <w:pPr>
        <w:pStyle w:val="Corpodetexto"/>
        <w:spacing w:before="1"/>
        <w:ind w:left="0"/>
        <w:jc w:val="left"/>
        <w:rPr>
          <w:sz w:val="29"/>
        </w:rPr>
      </w:pPr>
    </w:p>
    <w:p w:rsidR="00D81F69" w:rsidRDefault="00330118">
      <w:pPr>
        <w:pStyle w:val="Heading7"/>
        <w:spacing w:before="1"/>
      </w:pPr>
      <w:r>
        <w:t>REDATORES</w:t>
      </w:r>
    </w:p>
    <w:p w:rsidR="00D81F69" w:rsidRDefault="00330118">
      <w:pPr>
        <w:pStyle w:val="Corpodetexto"/>
        <w:spacing w:before="178"/>
      </w:pPr>
      <w:r>
        <w:t>Renata Olivieri; Eliane Araujo</w:t>
      </w:r>
    </w:p>
    <w:p w:rsidR="00D81F69" w:rsidRDefault="00D81F69">
      <w:pPr>
        <w:pStyle w:val="Corpodetexto"/>
        <w:ind w:left="0"/>
        <w:jc w:val="left"/>
        <w:rPr>
          <w:sz w:val="20"/>
        </w:rPr>
      </w:pPr>
    </w:p>
    <w:p w:rsidR="00D81F69" w:rsidRDefault="00330118">
      <w:pPr>
        <w:pStyle w:val="Heading7"/>
        <w:spacing w:before="165"/>
      </w:pPr>
      <w:r>
        <w:t>REFERÊNCIAS BIBLIOGRÁFICAS</w:t>
      </w:r>
    </w:p>
    <w:p w:rsidR="00D81F69" w:rsidRDefault="00D81F69">
      <w:pPr>
        <w:sectPr w:rsidR="00D81F69">
          <w:pgSz w:w="11900" w:h="16840"/>
          <w:pgMar w:top="740" w:right="500" w:bottom="620" w:left="620" w:header="0" w:footer="402" w:gutter="0"/>
          <w:cols w:num="2" w:space="720" w:equalWidth="0">
            <w:col w:w="5163" w:space="307"/>
            <w:col w:w="5310"/>
          </w:cols>
        </w:sectPr>
      </w:pPr>
    </w:p>
    <w:p w:rsidR="00D81F69" w:rsidRDefault="00330118">
      <w:pPr>
        <w:tabs>
          <w:tab w:val="left" w:pos="1164"/>
          <w:tab w:val="left" w:pos="2473"/>
          <w:tab w:val="left" w:pos="4636"/>
        </w:tabs>
        <w:spacing w:before="70" w:line="312" w:lineRule="auto"/>
        <w:ind w:left="100" w:right="67"/>
        <w:jc w:val="both"/>
        <w:rPr>
          <w:sz w:val="16"/>
        </w:rPr>
      </w:pPr>
      <w:r>
        <w:rPr>
          <w:spacing w:val="5"/>
          <w:sz w:val="16"/>
        </w:rPr>
        <w:lastRenderedPageBreak/>
        <w:t xml:space="preserve">BRASIL </w:t>
      </w:r>
      <w:r>
        <w:rPr>
          <w:spacing w:val="5"/>
          <w:sz w:val="16"/>
        </w:rPr>
        <w:t xml:space="preserve">MINERAL. Amianto: Ministério </w:t>
      </w:r>
      <w:r>
        <w:rPr>
          <w:spacing w:val="2"/>
          <w:sz w:val="16"/>
        </w:rPr>
        <w:t xml:space="preserve">da </w:t>
      </w:r>
      <w:r>
        <w:rPr>
          <w:spacing w:val="5"/>
          <w:sz w:val="16"/>
        </w:rPr>
        <w:t xml:space="preserve">Saúde quer </w:t>
      </w:r>
      <w:r>
        <w:rPr>
          <w:spacing w:val="6"/>
          <w:sz w:val="16"/>
        </w:rPr>
        <w:t xml:space="preserve">proibir </w:t>
      </w:r>
      <w:r>
        <w:rPr>
          <w:sz w:val="16"/>
        </w:rPr>
        <w:t xml:space="preserve">produção e utilização no Brasil. In: Brasil Mineral OnLine n°320, 20     s  e </w:t>
      </w:r>
      <w:r>
        <w:rPr>
          <w:spacing w:val="22"/>
          <w:sz w:val="16"/>
        </w:rPr>
        <w:t xml:space="preserve"> </w:t>
      </w:r>
      <w:r>
        <w:rPr>
          <w:sz w:val="16"/>
        </w:rPr>
        <w:t xml:space="preserve">t </w:t>
      </w:r>
      <w:r>
        <w:rPr>
          <w:spacing w:val="10"/>
          <w:sz w:val="16"/>
        </w:rPr>
        <w:t xml:space="preserve"> </w:t>
      </w:r>
      <w:r>
        <w:rPr>
          <w:sz w:val="16"/>
        </w:rPr>
        <w:t>.</w:t>
      </w:r>
      <w:r>
        <w:rPr>
          <w:sz w:val="16"/>
        </w:rPr>
        <w:tab/>
        <w:t xml:space="preserve">2  0  0 </w:t>
      </w:r>
      <w:r>
        <w:rPr>
          <w:spacing w:val="35"/>
          <w:sz w:val="16"/>
        </w:rPr>
        <w:t xml:space="preserve"> </w:t>
      </w:r>
      <w:r>
        <w:rPr>
          <w:sz w:val="16"/>
        </w:rPr>
        <w:t xml:space="preserve">7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2"/>
          <w:sz w:val="16"/>
        </w:rPr>
        <w:t xml:space="preserve"> </w:t>
      </w:r>
      <w:r>
        <w:rPr>
          <w:sz w:val="16"/>
        </w:rPr>
        <w:t>:</w:t>
      </w:r>
    </w:p>
    <w:p w:rsidR="00D81F69" w:rsidRDefault="00D81F69">
      <w:pPr>
        <w:spacing w:before="2" w:line="312" w:lineRule="auto"/>
        <w:ind w:left="100" w:right="83"/>
        <w:jc w:val="both"/>
        <w:rPr>
          <w:sz w:val="16"/>
        </w:rPr>
      </w:pPr>
      <w:hyperlink r:id="rId1559">
        <w:r w:rsidR="00330118">
          <w:rPr>
            <w:sz w:val="16"/>
          </w:rPr>
          <w:t>&lt;http://www.brasilmineral.com.br/BM/default.asp?COD=3179&amp;busca=</w:t>
        </w:r>
      </w:hyperlink>
      <w:r w:rsidR="00330118">
        <w:rPr>
          <w:sz w:val="16"/>
        </w:rPr>
        <w:t xml:space="preserve"> &amp;numero=320&gt;. Acesso em 28 dez. 2010.</w:t>
      </w:r>
    </w:p>
    <w:p w:rsidR="00D81F69" w:rsidRDefault="00330118">
      <w:pPr>
        <w:spacing w:before="2" w:line="312" w:lineRule="auto"/>
        <w:ind w:left="100" w:right="58"/>
        <w:jc w:val="both"/>
        <w:rPr>
          <w:sz w:val="16"/>
        </w:rPr>
      </w:pPr>
      <w:r>
        <w:rPr>
          <w:sz w:val="16"/>
        </w:rPr>
        <w:t xml:space="preserve">DUARTE, Edson. Dossiê Amianto Brasil - Relatório do Grupo de Trabalho da </w:t>
      </w:r>
      <w:r>
        <w:rPr>
          <w:sz w:val="16"/>
        </w:rPr>
        <w:t xml:space="preserve">Comissão de Meio Ambiente e Desenvolvimento Sustentável da Câmara dos Deputados destinado à análise das implicações do uso do amianto no Brasil, Brasília (DF), 2010. Disponível em: </w:t>
      </w:r>
      <w:hyperlink r:id="rId1560">
        <w:r>
          <w:rPr>
            <w:sz w:val="16"/>
          </w:rPr>
          <w:t>&lt;http:/</w:t>
        </w:r>
        <w:r>
          <w:rPr>
            <w:sz w:val="16"/>
          </w:rPr>
          <w:t>/www.camara.gov.br/sileg/integras/769516.pdf&gt;.</w:t>
        </w:r>
      </w:hyperlink>
      <w:r>
        <w:rPr>
          <w:sz w:val="16"/>
        </w:rPr>
        <w:t xml:space="preserve"> Acesso em 27 dez. 2010.</w:t>
      </w:r>
    </w:p>
    <w:p w:rsidR="00D81F69" w:rsidRDefault="00330118">
      <w:pPr>
        <w:tabs>
          <w:tab w:val="left" w:pos="1198"/>
          <w:tab w:val="left" w:pos="2495"/>
          <w:tab w:val="left" w:pos="4639"/>
        </w:tabs>
        <w:spacing w:before="5" w:line="312" w:lineRule="auto"/>
        <w:ind w:left="100" w:right="65"/>
        <w:jc w:val="both"/>
        <w:rPr>
          <w:sz w:val="16"/>
        </w:rPr>
      </w:pPr>
      <w:r>
        <w:rPr>
          <w:sz w:val="16"/>
        </w:rPr>
        <w:t xml:space="preserve">FERREIRA, Rosely. Avaré assina contrato para remoção de amianto. Governo do Estado de São Paulo, Sistema Ambiental Paulista, 04      d  e </w:t>
      </w:r>
      <w:r>
        <w:rPr>
          <w:spacing w:val="20"/>
          <w:sz w:val="16"/>
        </w:rPr>
        <w:t xml:space="preserve"> </w:t>
      </w:r>
      <w:r>
        <w:rPr>
          <w:sz w:val="16"/>
        </w:rPr>
        <w:t xml:space="preserve">z </w:t>
      </w:r>
      <w:r>
        <w:rPr>
          <w:spacing w:val="10"/>
          <w:sz w:val="16"/>
        </w:rPr>
        <w:t xml:space="preserve"> </w:t>
      </w:r>
      <w:r>
        <w:rPr>
          <w:sz w:val="16"/>
        </w:rPr>
        <w:t>.</w:t>
      </w:r>
      <w:r>
        <w:rPr>
          <w:sz w:val="16"/>
        </w:rPr>
        <w:tab/>
        <w:t xml:space="preserve">2  0  0 </w:t>
      </w:r>
      <w:r>
        <w:rPr>
          <w:spacing w:val="31"/>
          <w:sz w:val="16"/>
        </w:rPr>
        <w:t xml:space="preserve"> </w:t>
      </w:r>
      <w:r>
        <w:rPr>
          <w:sz w:val="16"/>
        </w:rPr>
        <w:t xml:space="preserve">9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0"/>
          <w:sz w:val="16"/>
        </w:rPr>
        <w:t xml:space="preserve"> </w:t>
      </w:r>
      <w:r>
        <w:rPr>
          <w:sz w:val="16"/>
        </w:rPr>
        <w:t>:</w:t>
      </w:r>
    </w:p>
    <w:p w:rsidR="00D81F69" w:rsidRDefault="00D81F69">
      <w:pPr>
        <w:spacing w:before="2" w:line="312" w:lineRule="auto"/>
        <w:ind w:left="100" w:right="55"/>
        <w:jc w:val="both"/>
        <w:rPr>
          <w:sz w:val="16"/>
        </w:rPr>
      </w:pPr>
      <w:hyperlink r:id="rId1561">
        <w:r w:rsidR="00330118">
          <w:rPr>
            <w:spacing w:val="5"/>
            <w:sz w:val="16"/>
          </w:rPr>
          <w:t>&lt;http://www.ambiente.sp.gov.br/acontece/noticias/avare-assina-</w:t>
        </w:r>
      </w:hyperlink>
      <w:r w:rsidR="00330118">
        <w:rPr>
          <w:spacing w:val="5"/>
          <w:sz w:val="16"/>
        </w:rPr>
        <w:t xml:space="preserve"> </w:t>
      </w:r>
      <w:r w:rsidR="00330118">
        <w:rPr>
          <w:spacing w:val="3"/>
          <w:sz w:val="16"/>
        </w:rPr>
        <w:t xml:space="preserve">contrato-para-remocao-de-amianto/&gt;. Acesso </w:t>
      </w:r>
      <w:r w:rsidR="00330118">
        <w:rPr>
          <w:spacing w:val="2"/>
          <w:sz w:val="16"/>
        </w:rPr>
        <w:t xml:space="preserve">em: </w:t>
      </w:r>
      <w:r w:rsidR="00330118">
        <w:rPr>
          <w:spacing w:val="1"/>
          <w:sz w:val="16"/>
        </w:rPr>
        <w:t xml:space="preserve">14 </w:t>
      </w:r>
      <w:r w:rsidR="00330118">
        <w:rPr>
          <w:spacing w:val="2"/>
          <w:sz w:val="16"/>
        </w:rPr>
        <w:t xml:space="preserve">jun. </w:t>
      </w:r>
      <w:r w:rsidR="00330118">
        <w:rPr>
          <w:spacing w:val="5"/>
          <w:sz w:val="16"/>
        </w:rPr>
        <w:t xml:space="preserve">2013. </w:t>
      </w:r>
      <w:r w:rsidR="00330118">
        <w:rPr>
          <w:sz w:val="16"/>
        </w:rPr>
        <w:t>FOLHA DE AVARÉ. Secretária de Meio Ambiente</w:t>
      </w:r>
      <w:r w:rsidR="00330118">
        <w:rPr>
          <w:sz w:val="16"/>
        </w:rPr>
        <w:t xml:space="preserve"> acompanha vistoria de amianto. In: Associação Brasileira das Indústrias e Distribuidores </w:t>
      </w:r>
      <w:r w:rsidR="00330118">
        <w:rPr>
          <w:spacing w:val="5"/>
          <w:sz w:val="16"/>
        </w:rPr>
        <w:t xml:space="preserve">de  </w:t>
      </w:r>
      <w:r w:rsidR="00330118">
        <w:rPr>
          <w:spacing w:val="7"/>
          <w:sz w:val="16"/>
        </w:rPr>
        <w:t xml:space="preserve">Produtos  </w:t>
      </w:r>
      <w:r w:rsidR="00330118">
        <w:rPr>
          <w:spacing w:val="5"/>
          <w:sz w:val="16"/>
        </w:rPr>
        <w:t xml:space="preserve">de  </w:t>
      </w:r>
      <w:r w:rsidR="00330118">
        <w:rPr>
          <w:spacing w:val="8"/>
          <w:sz w:val="16"/>
        </w:rPr>
        <w:t xml:space="preserve">Fibrocimento, </w:t>
      </w:r>
      <w:r w:rsidR="00330118">
        <w:rPr>
          <w:spacing w:val="5"/>
          <w:sz w:val="16"/>
        </w:rPr>
        <w:t xml:space="preserve">06  </w:t>
      </w:r>
      <w:r w:rsidR="00330118">
        <w:rPr>
          <w:spacing w:val="6"/>
          <w:sz w:val="16"/>
        </w:rPr>
        <w:t xml:space="preserve">ago.  </w:t>
      </w:r>
      <w:r w:rsidR="00330118">
        <w:rPr>
          <w:spacing w:val="7"/>
          <w:sz w:val="16"/>
        </w:rPr>
        <w:t xml:space="preserve">2008.  </w:t>
      </w:r>
      <w:r w:rsidR="00330118">
        <w:rPr>
          <w:spacing w:val="8"/>
          <w:sz w:val="16"/>
        </w:rPr>
        <w:t>Disponível</w:t>
      </w:r>
      <w:r w:rsidR="00330118">
        <w:rPr>
          <w:spacing w:val="21"/>
          <w:sz w:val="16"/>
        </w:rPr>
        <w:t xml:space="preserve"> </w:t>
      </w:r>
      <w:r w:rsidR="00330118">
        <w:rPr>
          <w:spacing w:val="10"/>
          <w:sz w:val="16"/>
        </w:rPr>
        <w:t>em:</w:t>
      </w:r>
    </w:p>
    <w:p w:rsidR="00D81F69" w:rsidRDefault="00D81F69">
      <w:pPr>
        <w:spacing w:before="4" w:line="312" w:lineRule="auto"/>
        <w:ind w:left="100" w:right="60"/>
        <w:jc w:val="both"/>
        <w:rPr>
          <w:sz w:val="16"/>
        </w:rPr>
      </w:pPr>
      <w:hyperlink r:id="rId1562">
        <w:r w:rsidR="00330118">
          <w:rPr>
            <w:sz w:val="16"/>
          </w:rPr>
          <w:t>&lt;</w:t>
        </w:r>
        <w:r w:rsidR="00330118">
          <w:rPr>
            <w:sz w:val="16"/>
          </w:rPr>
          <w:t>http://www.abifibro.com.br/noticia009.html&gt;.</w:t>
        </w:r>
      </w:hyperlink>
      <w:r w:rsidR="00330118">
        <w:rPr>
          <w:sz w:val="16"/>
        </w:rPr>
        <w:t xml:space="preserve"> Acesso em 27 dez. 2010.</w:t>
      </w:r>
    </w:p>
    <w:p w:rsidR="00D81F69" w:rsidRDefault="00330118">
      <w:pPr>
        <w:spacing w:before="2" w:line="312" w:lineRule="auto"/>
        <w:ind w:left="100" w:right="58"/>
        <w:jc w:val="both"/>
        <w:rPr>
          <w:sz w:val="16"/>
        </w:rPr>
      </w:pPr>
      <w:r>
        <w:rPr>
          <w:sz w:val="16"/>
        </w:rPr>
        <w:t>G1. Toneladas de amianto permanecem em depósito irregular em Avaré, SP. Itapetininga e região, 13 dez. 2012. Disponível em:</w:t>
      </w:r>
    </w:p>
    <w:p w:rsidR="00D81F69" w:rsidRDefault="00D81F69">
      <w:pPr>
        <w:spacing w:before="1" w:line="312" w:lineRule="auto"/>
        <w:ind w:left="100" w:right="38"/>
        <w:jc w:val="both"/>
        <w:rPr>
          <w:sz w:val="16"/>
        </w:rPr>
      </w:pPr>
      <w:hyperlink r:id="rId1563">
        <w:r w:rsidR="00330118">
          <w:rPr>
            <w:sz w:val="16"/>
          </w:rPr>
          <w:t>&lt;h</w:t>
        </w:r>
        <w:r w:rsidR="00330118">
          <w:rPr>
            <w:sz w:val="16"/>
          </w:rPr>
          <w:t xml:space="preserve">ttp://g1.globo.com/sao-paulo/itapetininga- </w:t>
        </w:r>
      </w:hyperlink>
      <w:r w:rsidR="00330118">
        <w:rPr>
          <w:sz w:val="16"/>
        </w:rPr>
        <w:t>regiao/noticia/2012/12/toneladas-de-amianto-permanecem-em- deposito-irregular-em-avare-sp.html&gt;. Acesso em: 14 jun. 2013. GESIEL JÚNIOR. Avaré: ontem e hoje. In: Estância Turística Avaré. Site Oficial da Prefeitur</w:t>
      </w:r>
      <w:r w:rsidR="00330118">
        <w:rPr>
          <w:sz w:val="16"/>
        </w:rPr>
        <w:t>a Municipal. [s.d.]. Disponível em:</w:t>
      </w:r>
    </w:p>
    <w:p w:rsidR="00D81F69" w:rsidRDefault="00D81F69">
      <w:pPr>
        <w:spacing w:before="5"/>
        <w:ind w:left="100"/>
        <w:jc w:val="both"/>
        <w:rPr>
          <w:sz w:val="16"/>
        </w:rPr>
      </w:pPr>
      <w:hyperlink r:id="rId1564">
        <w:r w:rsidR="00330118">
          <w:rPr>
            <w:sz w:val="16"/>
          </w:rPr>
          <w:t>&lt;http://www.prefeituraavare.sp.gov.br/?id=show&amp;pg=historia&gt;.</w:t>
        </w:r>
      </w:hyperlink>
    </w:p>
    <w:p w:rsidR="00D81F69" w:rsidRDefault="00330118">
      <w:pPr>
        <w:spacing w:before="70"/>
        <w:ind w:left="100"/>
        <w:jc w:val="both"/>
        <w:rPr>
          <w:sz w:val="16"/>
        </w:rPr>
      </w:pPr>
      <w:r>
        <w:br w:type="column"/>
      </w:r>
      <w:r>
        <w:rPr>
          <w:sz w:val="16"/>
        </w:rPr>
        <w:lastRenderedPageBreak/>
        <w:t>Acesso em 27 dez. 2010.</w:t>
      </w:r>
    </w:p>
    <w:p w:rsidR="00D81F69" w:rsidRDefault="00330118">
      <w:pPr>
        <w:spacing w:before="56" w:line="312" w:lineRule="auto"/>
        <w:ind w:left="100" w:right="115"/>
        <w:jc w:val="both"/>
        <w:rPr>
          <w:sz w:val="16"/>
        </w:rPr>
      </w:pPr>
      <w:r>
        <w:rPr>
          <w:sz w:val="16"/>
        </w:rPr>
        <w:t xml:space="preserve">IBGE, Instituto Brasileiro de Geografia e Estatística. Avaré (SP). In:      </w:t>
      </w:r>
      <w:r>
        <w:rPr>
          <w:spacing w:val="36"/>
          <w:sz w:val="16"/>
        </w:rPr>
        <w:t>I</w:t>
      </w:r>
      <w:r>
        <w:rPr>
          <w:sz w:val="16"/>
        </w:rPr>
        <w:t xml:space="preserve"> </w:t>
      </w:r>
      <w:r>
        <w:rPr>
          <w:spacing w:val="36"/>
          <w:sz w:val="16"/>
        </w:rPr>
        <w:t>B</w:t>
      </w:r>
      <w:r>
        <w:rPr>
          <w:sz w:val="16"/>
        </w:rPr>
        <w:t xml:space="preserve"> </w:t>
      </w:r>
      <w:r>
        <w:rPr>
          <w:spacing w:val="36"/>
          <w:sz w:val="16"/>
        </w:rPr>
        <w:t>G</w:t>
      </w:r>
      <w:r>
        <w:rPr>
          <w:sz w:val="16"/>
        </w:rPr>
        <w:t xml:space="preserve"> E</w:t>
      </w:r>
      <w:r>
        <w:rPr>
          <w:spacing w:val="17"/>
          <w:sz w:val="16"/>
        </w:rPr>
        <w:t xml:space="preserve"> </w:t>
      </w:r>
      <w:r>
        <w:rPr>
          <w:spacing w:val="36"/>
          <w:sz w:val="16"/>
        </w:rPr>
        <w:t>C</w:t>
      </w:r>
      <w:r>
        <w:rPr>
          <w:sz w:val="16"/>
        </w:rPr>
        <w:t xml:space="preserve"> </w:t>
      </w:r>
      <w:r>
        <w:rPr>
          <w:spacing w:val="36"/>
          <w:sz w:val="16"/>
        </w:rPr>
        <w:t>i</w:t>
      </w:r>
      <w:r>
        <w:rPr>
          <w:sz w:val="16"/>
        </w:rPr>
        <w:t xml:space="preserve"> </w:t>
      </w:r>
      <w:r>
        <w:rPr>
          <w:spacing w:val="36"/>
          <w:sz w:val="16"/>
        </w:rPr>
        <w:t>d</w:t>
      </w:r>
      <w:r>
        <w:rPr>
          <w:sz w:val="16"/>
        </w:rPr>
        <w:t xml:space="preserve"> </w:t>
      </w:r>
      <w:r>
        <w:rPr>
          <w:spacing w:val="36"/>
          <w:sz w:val="16"/>
        </w:rPr>
        <w:t>a</w:t>
      </w:r>
      <w:r>
        <w:rPr>
          <w:sz w:val="16"/>
        </w:rPr>
        <w:t xml:space="preserve"> </w:t>
      </w:r>
      <w:r>
        <w:rPr>
          <w:spacing w:val="36"/>
          <w:sz w:val="16"/>
        </w:rPr>
        <w:t>d</w:t>
      </w:r>
      <w:r>
        <w:rPr>
          <w:sz w:val="16"/>
        </w:rPr>
        <w:t xml:space="preserve"> </w:t>
      </w:r>
      <w:r>
        <w:rPr>
          <w:spacing w:val="36"/>
          <w:sz w:val="16"/>
        </w:rPr>
        <w:t>e</w:t>
      </w:r>
      <w:r>
        <w:rPr>
          <w:sz w:val="16"/>
        </w:rPr>
        <w:t xml:space="preserve"> </w:t>
      </w:r>
      <w:r>
        <w:rPr>
          <w:spacing w:val="36"/>
          <w:sz w:val="16"/>
        </w:rPr>
        <w:t>s</w:t>
      </w:r>
      <w:r>
        <w:rPr>
          <w:sz w:val="16"/>
        </w:rPr>
        <w:t xml:space="preserve"> .</w:t>
      </w:r>
      <w:r>
        <w:rPr>
          <w:spacing w:val="17"/>
          <w:sz w:val="16"/>
        </w:rPr>
        <w:t xml:space="preserve"> </w:t>
      </w:r>
      <w:r>
        <w:rPr>
          <w:spacing w:val="36"/>
          <w:sz w:val="16"/>
        </w:rPr>
        <w:t>D</w:t>
      </w:r>
      <w:r>
        <w:rPr>
          <w:sz w:val="16"/>
        </w:rPr>
        <w:t xml:space="preserve"> </w:t>
      </w:r>
      <w:r>
        <w:rPr>
          <w:spacing w:val="36"/>
          <w:sz w:val="16"/>
        </w:rPr>
        <w:t>i</w:t>
      </w:r>
      <w:r>
        <w:rPr>
          <w:sz w:val="16"/>
        </w:rPr>
        <w:t xml:space="preserve"> </w:t>
      </w:r>
      <w:r>
        <w:rPr>
          <w:spacing w:val="36"/>
          <w:sz w:val="16"/>
        </w:rPr>
        <w:t>s</w:t>
      </w:r>
      <w:r>
        <w:rPr>
          <w:sz w:val="16"/>
        </w:rPr>
        <w:t xml:space="preserve"> </w:t>
      </w:r>
      <w:r>
        <w:rPr>
          <w:spacing w:val="36"/>
          <w:sz w:val="16"/>
        </w:rPr>
        <w:t>p</w:t>
      </w:r>
      <w:r>
        <w:rPr>
          <w:sz w:val="16"/>
        </w:rPr>
        <w:t xml:space="preserve"> </w:t>
      </w:r>
      <w:r>
        <w:rPr>
          <w:spacing w:val="36"/>
          <w:sz w:val="16"/>
        </w:rPr>
        <w:t>o</w:t>
      </w:r>
      <w:r>
        <w:rPr>
          <w:sz w:val="16"/>
        </w:rPr>
        <w:t xml:space="preserve"> </w:t>
      </w:r>
      <w:r>
        <w:rPr>
          <w:spacing w:val="36"/>
          <w:sz w:val="16"/>
        </w:rPr>
        <w:t>n</w:t>
      </w:r>
      <w:r>
        <w:rPr>
          <w:sz w:val="16"/>
        </w:rPr>
        <w:t xml:space="preserve"> </w:t>
      </w:r>
      <w:r>
        <w:rPr>
          <w:spacing w:val="36"/>
          <w:sz w:val="16"/>
        </w:rPr>
        <w:t>í</w:t>
      </w:r>
      <w:r>
        <w:rPr>
          <w:sz w:val="16"/>
        </w:rPr>
        <w:t xml:space="preserve"> </w:t>
      </w:r>
      <w:r>
        <w:rPr>
          <w:spacing w:val="36"/>
          <w:sz w:val="16"/>
        </w:rPr>
        <w:t>v</w:t>
      </w:r>
      <w:r>
        <w:rPr>
          <w:sz w:val="16"/>
        </w:rPr>
        <w:t xml:space="preserve"> </w:t>
      </w:r>
      <w:r>
        <w:rPr>
          <w:spacing w:val="36"/>
          <w:sz w:val="16"/>
        </w:rPr>
        <w:t>e</w:t>
      </w:r>
      <w:r>
        <w:rPr>
          <w:sz w:val="16"/>
        </w:rPr>
        <w:t xml:space="preserve"> l</w:t>
      </w:r>
      <w:r>
        <w:rPr>
          <w:spacing w:val="17"/>
          <w:sz w:val="16"/>
        </w:rPr>
        <w:t xml:space="preserve"> </w:t>
      </w:r>
      <w:r>
        <w:rPr>
          <w:spacing w:val="36"/>
          <w:sz w:val="16"/>
        </w:rPr>
        <w:t>e</w:t>
      </w:r>
      <w:r>
        <w:rPr>
          <w:sz w:val="16"/>
        </w:rPr>
        <w:t xml:space="preserve"> </w:t>
      </w:r>
      <w:r>
        <w:rPr>
          <w:spacing w:val="36"/>
          <w:sz w:val="16"/>
        </w:rPr>
        <w:t>m</w:t>
      </w:r>
      <w:r>
        <w:rPr>
          <w:sz w:val="16"/>
        </w:rPr>
        <w:t xml:space="preserve"> : </w:t>
      </w:r>
      <w:r>
        <w:rPr>
          <w:spacing w:val="-7"/>
          <w:sz w:val="16"/>
        </w:rPr>
        <w:t xml:space="preserve"> </w:t>
      </w:r>
    </w:p>
    <w:p w:rsidR="00D81F69" w:rsidRDefault="00D81F69">
      <w:pPr>
        <w:spacing w:before="1"/>
        <w:ind w:left="100"/>
        <w:jc w:val="both"/>
        <w:rPr>
          <w:sz w:val="16"/>
        </w:rPr>
      </w:pPr>
      <w:hyperlink r:id="rId1565">
        <w:r w:rsidR="00330118">
          <w:rPr>
            <w:sz w:val="16"/>
          </w:rPr>
          <w:t>&lt;</w:t>
        </w:r>
        <w:r w:rsidR="00330118">
          <w:rPr>
            <w:sz w:val="16"/>
          </w:rPr>
          <w:t>http://www.ibge.gov.br/cidadesat/xtras/perfil.php?codmun=350450&amp;r</w:t>
        </w:r>
      </w:hyperlink>
    </w:p>
    <w:p w:rsidR="00D81F69" w:rsidRDefault="00330118">
      <w:pPr>
        <w:spacing w:before="56"/>
        <w:ind w:left="100"/>
        <w:jc w:val="both"/>
        <w:rPr>
          <w:sz w:val="16"/>
        </w:rPr>
      </w:pPr>
      <w:r>
        <w:rPr>
          <w:sz w:val="16"/>
        </w:rPr>
        <w:t>=2&gt;. Acesso em 27 dez. 2010.</w:t>
      </w:r>
    </w:p>
    <w:p w:rsidR="00D81F69" w:rsidRDefault="00330118">
      <w:pPr>
        <w:spacing w:before="56"/>
        <w:ind w:left="100"/>
        <w:jc w:val="both"/>
        <w:rPr>
          <w:sz w:val="16"/>
        </w:rPr>
      </w:pPr>
      <w:r>
        <w:rPr>
          <w:sz w:val="16"/>
        </w:rPr>
        <w:t>MAPA DA INJUSTIÇA AMBIENTAL E SAÚDE NO BRASIL. Em</w:t>
      </w:r>
    </w:p>
    <w:p w:rsidR="00D81F69" w:rsidRDefault="00330118">
      <w:pPr>
        <w:spacing w:before="56" w:line="312" w:lineRule="auto"/>
        <w:ind w:left="100" w:right="171"/>
        <w:jc w:val="both"/>
        <w:rPr>
          <w:sz w:val="16"/>
        </w:rPr>
      </w:pPr>
      <w:r>
        <w:rPr>
          <w:sz w:val="16"/>
        </w:rPr>
        <w:t>Goiás, como em outros estados, o amianto continua a fazer novas vítimas, embora seu banimento seja um imperativ</w:t>
      </w:r>
      <w:r>
        <w:rPr>
          <w:sz w:val="16"/>
        </w:rPr>
        <w:t xml:space="preserve">o reconhecido internacionalmente, 05 dez. 2009. Disponível em: </w:t>
      </w:r>
    </w:p>
    <w:p w:rsidR="00D81F69" w:rsidRDefault="00D81F69">
      <w:pPr>
        <w:spacing w:before="3" w:line="312" w:lineRule="auto"/>
        <w:ind w:left="100" w:right="216"/>
        <w:jc w:val="both"/>
        <w:rPr>
          <w:sz w:val="16"/>
        </w:rPr>
      </w:pPr>
      <w:hyperlink r:id="rId1566">
        <w:r w:rsidR="00330118">
          <w:rPr>
            <w:sz w:val="16"/>
          </w:rPr>
          <w:t>&lt;http://www.conflitoambiental.icict.fiocruz.br/index.php?pag=ficha&amp;co</w:t>
        </w:r>
      </w:hyperlink>
      <w:r w:rsidR="00330118">
        <w:rPr>
          <w:sz w:val="16"/>
        </w:rPr>
        <w:t xml:space="preserve"> d=129&gt;. Acesso em 27 dez. 2010.</w:t>
      </w:r>
    </w:p>
    <w:p w:rsidR="00D81F69" w:rsidRDefault="00330118">
      <w:pPr>
        <w:spacing w:before="1" w:line="312" w:lineRule="auto"/>
        <w:ind w:left="100" w:right="199"/>
        <w:jc w:val="both"/>
        <w:rPr>
          <w:sz w:val="16"/>
        </w:rPr>
      </w:pPr>
      <w:r>
        <w:rPr>
          <w:sz w:val="16"/>
        </w:rPr>
        <w:t>______. Lixo tóxico com amianto e fenol está depositado irregularmente em um depósito no perímetro urbano de Avaré, 25 fev.</w:t>
      </w:r>
    </w:p>
    <w:p w:rsidR="00D81F69" w:rsidRDefault="00330118">
      <w:pPr>
        <w:tabs>
          <w:tab w:val="left" w:pos="1785"/>
          <w:tab w:val="left" w:pos="4548"/>
        </w:tabs>
        <w:spacing w:before="2"/>
        <w:ind w:left="100"/>
        <w:jc w:val="both"/>
        <w:rPr>
          <w:sz w:val="16"/>
        </w:rPr>
      </w:pPr>
      <w:r>
        <w:rPr>
          <w:sz w:val="16"/>
        </w:rPr>
        <w:t xml:space="preserve">2   0   1  </w:t>
      </w:r>
      <w:r>
        <w:rPr>
          <w:spacing w:val="35"/>
          <w:sz w:val="16"/>
        </w:rPr>
        <w:t xml:space="preserve"> </w:t>
      </w:r>
      <w:r>
        <w:rPr>
          <w:sz w:val="16"/>
        </w:rPr>
        <w:t xml:space="preserve">0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16"/>
        <w:jc w:val="both"/>
        <w:rPr>
          <w:sz w:val="16"/>
        </w:rPr>
      </w:pPr>
      <w:hyperlink r:id="rId1567">
        <w:r w:rsidR="00330118">
          <w:rPr>
            <w:sz w:val="16"/>
          </w:rPr>
          <w:t>&lt;http://www.conflitoambiental.icict.fiocruz.br/index.php?pag=ficha&amp;co</w:t>
        </w:r>
      </w:hyperlink>
      <w:r w:rsidR="00330118">
        <w:rPr>
          <w:sz w:val="16"/>
        </w:rPr>
        <w:t xml:space="preserve"> d=256&gt; Acesso em 27 dez. 2010.</w:t>
      </w:r>
    </w:p>
    <w:p w:rsidR="00D81F69" w:rsidRDefault="00330118">
      <w:pPr>
        <w:spacing w:before="2" w:line="312" w:lineRule="auto"/>
        <w:ind w:left="100" w:right="158"/>
        <w:jc w:val="both"/>
        <w:rPr>
          <w:sz w:val="16"/>
        </w:rPr>
      </w:pPr>
      <w:r>
        <w:rPr>
          <w:sz w:val="16"/>
        </w:rPr>
        <w:t>SECRETARIA DE MEIO AMBIENTE. Avaré está oficialmente livre do amianto. In: Estância Turística Avaré. Site Oficial da Prefeitura Mun</w:t>
      </w:r>
      <w:r>
        <w:rPr>
          <w:sz w:val="16"/>
        </w:rPr>
        <w:t xml:space="preserve">icipal, 08 mar. 2010. Disponível em: </w:t>
      </w:r>
    </w:p>
    <w:p w:rsidR="00D81F69" w:rsidRDefault="00D81F69">
      <w:pPr>
        <w:spacing w:before="2" w:line="312" w:lineRule="auto"/>
        <w:ind w:left="100" w:right="217"/>
        <w:jc w:val="both"/>
        <w:rPr>
          <w:sz w:val="16"/>
        </w:rPr>
      </w:pPr>
      <w:hyperlink r:id="rId1568">
        <w:r w:rsidR="00330118">
          <w:rPr>
            <w:sz w:val="16"/>
          </w:rPr>
          <w:t>&lt;http://www.prefeituraavare.sp.gov.br/?id=show&amp;pg=noticias_exibir&amp;c</w:t>
        </w:r>
      </w:hyperlink>
      <w:r w:rsidR="00330118">
        <w:rPr>
          <w:sz w:val="16"/>
        </w:rPr>
        <w:t xml:space="preserve"> od=210&gt;. Acesso em 27 dez. 2010.</w:t>
      </w:r>
    </w:p>
    <w:p w:rsidR="00D81F69" w:rsidRDefault="00330118">
      <w:pPr>
        <w:spacing w:before="2" w:line="312" w:lineRule="auto"/>
        <w:ind w:left="100" w:right="170"/>
        <w:jc w:val="both"/>
        <w:rPr>
          <w:sz w:val="16"/>
        </w:rPr>
      </w:pPr>
      <w:r>
        <w:rPr>
          <w:sz w:val="16"/>
        </w:rPr>
        <w:t xml:space="preserve">SENAGA, Mário. Amianto começa a ser retirado de antiga fábrica na cidade de Avaré. Governo do Estado de São Paulo, Sistema Ambiental Paulista, 4 mar. 2010. Disponível em: </w:t>
      </w:r>
    </w:p>
    <w:p w:rsidR="00D81F69" w:rsidRDefault="00D81F69">
      <w:pPr>
        <w:spacing w:before="2" w:line="312" w:lineRule="auto"/>
        <w:ind w:left="100" w:right="214"/>
        <w:jc w:val="both"/>
        <w:rPr>
          <w:sz w:val="16"/>
        </w:rPr>
      </w:pPr>
      <w:hyperlink r:id="rId1569">
        <w:r w:rsidR="00330118">
          <w:rPr>
            <w:sz w:val="16"/>
          </w:rPr>
          <w:t>&lt;</w:t>
        </w:r>
        <w:r w:rsidR="00330118">
          <w:rPr>
            <w:sz w:val="16"/>
          </w:rPr>
          <w:t>http://www.ambiente.sp.gov.br/acontece/noticias/amianto-comeca-a-</w:t>
        </w:r>
      </w:hyperlink>
      <w:r w:rsidR="00330118">
        <w:rPr>
          <w:sz w:val="16"/>
        </w:rPr>
        <w:t xml:space="preserve"> ser-retirado-de-antiga-fabrica-na-cidade-de-avare/&gt;. Acesso em: 14 jun. 2013.</w:t>
      </w:r>
    </w:p>
    <w:p w:rsidR="00D81F69" w:rsidRDefault="00330118">
      <w:pPr>
        <w:spacing w:before="3" w:line="312" w:lineRule="auto"/>
        <w:ind w:left="100" w:right="196"/>
        <w:jc w:val="both"/>
        <w:rPr>
          <w:sz w:val="16"/>
        </w:rPr>
      </w:pPr>
      <w:r>
        <w:rPr>
          <w:sz w:val="16"/>
        </w:rPr>
        <w:t>VEJA.COM. Discussão sobre amianto se arrasta no Congresso. In: Instituto Brasileiro de Mineração (Ibram), 23 ago</w:t>
      </w:r>
      <w:r>
        <w:rPr>
          <w:sz w:val="16"/>
        </w:rPr>
        <w:t>. 2010. Disponível em:</w:t>
      </w:r>
      <w:r>
        <w:rPr>
          <w:spacing w:val="20"/>
          <w:sz w:val="16"/>
        </w:rPr>
        <w:t xml:space="preserve"> </w:t>
      </w:r>
      <w:hyperlink r:id="rId1570">
        <w:r>
          <w:rPr>
            <w:sz w:val="16"/>
          </w:rPr>
          <w:t>&lt;http://www.ibram.org.br/&gt;.</w:t>
        </w:r>
        <w:r>
          <w:rPr>
            <w:spacing w:val="20"/>
            <w:sz w:val="16"/>
          </w:rPr>
          <w:t xml:space="preserve"> </w:t>
        </w:r>
      </w:hyperlink>
      <w:r>
        <w:rPr>
          <w:sz w:val="16"/>
        </w:rPr>
        <w:t>Acesso</w:t>
      </w:r>
      <w:r>
        <w:rPr>
          <w:spacing w:val="20"/>
          <w:sz w:val="16"/>
        </w:rPr>
        <w:t xml:space="preserve"> </w:t>
      </w:r>
      <w:r>
        <w:rPr>
          <w:sz w:val="16"/>
        </w:rPr>
        <w:t>em</w:t>
      </w:r>
      <w:r>
        <w:rPr>
          <w:spacing w:val="20"/>
          <w:sz w:val="16"/>
        </w:rPr>
        <w:t xml:space="preserve"> </w:t>
      </w:r>
      <w:r>
        <w:rPr>
          <w:sz w:val="16"/>
        </w:rPr>
        <w:t>28</w:t>
      </w:r>
      <w:r>
        <w:rPr>
          <w:spacing w:val="20"/>
          <w:sz w:val="16"/>
        </w:rPr>
        <w:t xml:space="preserve"> </w:t>
      </w:r>
      <w:r>
        <w:rPr>
          <w:sz w:val="16"/>
        </w:rPr>
        <w:t>dez.</w:t>
      </w:r>
      <w:r>
        <w:rPr>
          <w:spacing w:val="20"/>
          <w:sz w:val="16"/>
        </w:rPr>
        <w:t xml:space="preserve"> </w:t>
      </w:r>
      <w:r>
        <w:rPr>
          <w:sz w:val="16"/>
        </w:rPr>
        <w:t>2010.</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77" w:space="293"/>
            <w:col w:w="5310"/>
          </w:cols>
        </w:sectPr>
      </w:pPr>
    </w:p>
    <w:p w:rsidR="00D81F69" w:rsidRDefault="00330118">
      <w:pPr>
        <w:pStyle w:val="Heading1"/>
        <w:tabs>
          <w:tab w:val="left" w:pos="909"/>
          <w:tab w:val="left" w:pos="2112"/>
          <w:tab w:val="left" w:pos="2497"/>
          <w:tab w:val="left" w:pos="2581"/>
          <w:tab w:val="left" w:pos="4453"/>
          <w:tab w:val="left" w:pos="5218"/>
          <w:tab w:val="left" w:pos="6324"/>
          <w:tab w:val="left" w:pos="8603"/>
          <w:tab w:val="left" w:pos="9346"/>
        </w:tabs>
        <w:spacing w:line="208" w:lineRule="auto"/>
        <w:ind w:right="191"/>
      </w:pPr>
      <w:r>
        <w:rPr>
          <w:spacing w:val="15"/>
        </w:rPr>
        <w:lastRenderedPageBreak/>
        <w:t>Os</w:t>
      </w:r>
      <w:r>
        <w:rPr>
          <w:spacing w:val="15"/>
        </w:rPr>
        <w:tab/>
      </w:r>
      <w:r>
        <w:rPr>
          <w:spacing w:val="21"/>
        </w:rPr>
        <w:t>prós</w:t>
      </w:r>
      <w:r>
        <w:rPr>
          <w:spacing w:val="21"/>
        </w:rPr>
        <w:tab/>
      </w:r>
      <w:r>
        <w:t>e</w:t>
      </w:r>
      <w:r>
        <w:tab/>
      </w:r>
      <w:r>
        <w:tab/>
      </w:r>
      <w:r>
        <w:rPr>
          <w:spacing w:val="25"/>
        </w:rPr>
        <w:t>contras</w:t>
      </w:r>
      <w:r>
        <w:rPr>
          <w:spacing w:val="25"/>
        </w:rPr>
        <w:tab/>
      </w:r>
      <w:r>
        <w:rPr>
          <w:spacing w:val="15"/>
        </w:rPr>
        <w:t>do</w:t>
      </w:r>
      <w:r>
        <w:rPr>
          <w:spacing w:val="15"/>
        </w:rPr>
        <w:tab/>
      </w:r>
      <w:r>
        <w:rPr>
          <w:spacing w:val="20"/>
        </w:rPr>
        <w:t>APL</w:t>
      </w:r>
      <w:r>
        <w:rPr>
          <w:spacing w:val="20"/>
        </w:rPr>
        <w:tab/>
      </w:r>
      <w:r>
        <w:rPr>
          <w:spacing w:val="25"/>
        </w:rPr>
        <w:t>Cerâmico</w:t>
      </w:r>
      <w:r>
        <w:rPr>
          <w:spacing w:val="25"/>
        </w:rPr>
        <w:tab/>
      </w:r>
      <w:r>
        <w:rPr>
          <w:spacing w:val="15"/>
        </w:rPr>
        <w:t>de</w:t>
      </w:r>
      <w:r>
        <w:rPr>
          <w:spacing w:val="15"/>
        </w:rPr>
        <w:tab/>
      </w:r>
      <w:r>
        <w:rPr>
          <w:spacing w:val="30"/>
        </w:rPr>
        <w:t xml:space="preserve">Santa </w:t>
      </w:r>
      <w:r>
        <w:rPr>
          <w:spacing w:val="25"/>
        </w:rPr>
        <w:t>Gertrudes</w:t>
      </w:r>
      <w:r>
        <w:rPr>
          <w:spacing w:val="25"/>
        </w:rPr>
        <w:tab/>
      </w:r>
      <w:r>
        <w:rPr>
          <w:spacing w:val="30"/>
        </w:rPr>
        <w:t>(SP)</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SP - Araras</w:t>
      </w:r>
    </w:p>
    <w:p w:rsidR="00D81F69" w:rsidRDefault="00330118">
      <w:pPr>
        <w:spacing w:before="49" w:line="312" w:lineRule="auto"/>
        <w:ind w:left="135" w:right="751"/>
        <w:rPr>
          <w:i/>
          <w:sz w:val="14"/>
        </w:rPr>
      </w:pPr>
      <w:r>
        <w:rPr>
          <w:i/>
          <w:sz w:val="14"/>
        </w:rPr>
        <w:t>SP - Charqueada SP - Cordeirópolis SP - Leme</w:t>
      </w:r>
    </w:p>
    <w:p w:rsidR="00D81F69" w:rsidRDefault="00330118">
      <w:pPr>
        <w:spacing w:before="2" w:line="312" w:lineRule="auto"/>
        <w:ind w:left="135" w:right="939"/>
        <w:rPr>
          <w:i/>
          <w:sz w:val="14"/>
        </w:rPr>
      </w:pPr>
      <w:r>
        <w:rPr>
          <w:i/>
          <w:sz w:val="14"/>
        </w:rPr>
        <w:t>SP - Limeira SP - Piracicaba SP - Rio Claro</w:t>
      </w:r>
    </w:p>
    <w:p w:rsidR="00D81F69" w:rsidRDefault="00330118">
      <w:pPr>
        <w:spacing w:before="2" w:line="312" w:lineRule="auto"/>
        <w:ind w:left="135" w:right="-20"/>
        <w:rPr>
          <w:i/>
          <w:sz w:val="14"/>
        </w:rPr>
      </w:pPr>
      <w:r>
        <w:rPr>
          <w:i/>
          <w:sz w:val="14"/>
        </w:rPr>
        <w:t>SP - Santa Cruz da Conceição SP - Santa Gertrudes</w:t>
      </w:r>
    </w:p>
    <w:p w:rsidR="00D81F69" w:rsidRDefault="00D81F69">
      <w:pPr>
        <w:pStyle w:val="Corpodetexto"/>
        <w:spacing w:before="5"/>
        <w:ind w:left="0"/>
        <w:jc w:val="left"/>
        <w:rPr>
          <w:i/>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-22,4563</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-47,5326</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83"/>
        <w:jc w:val="left"/>
        <w:rPr>
          <w:sz w:val="2"/>
        </w:rPr>
      </w:pPr>
      <w:r>
        <w:rPr>
          <w:noProof/>
          <w:sz w:val="2"/>
          <w:lang w:val="pt-BR" w:eastAsia="pt-BR"/>
        </w:rPr>
        <w:drawing>
          <wp:inline distT="0" distB="0" distL="0" distR="0">
            <wp:extent cx="1811385" cy="9334"/>
            <wp:effectExtent l="0" t="0" r="0" b="0"/>
            <wp:docPr id="44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53"/>
        <w:rPr>
          <w:i/>
          <w:sz w:val="18"/>
        </w:rPr>
      </w:pPr>
      <w:r>
        <w:rPr>
          <w:i/>
          <w:sz w:val="18"/>
        </w:rPr>
        <w:t>SÍNTESE</w:t>
      </w:r>
    </w:p>
    <w:p w:rsidR="00D81F69" w:rsidRDefault="00330118">
      <w:pPr>
        <w:spacing w:before="52" w:line="312" w:lineRule="auto"/>
        <w:ind w:left="53" w:right="38"/>
        <w:jc w:val="both"/>
        <w:rPr>
          <w:i/>
          <w:sz w:val="16"/>
        </w:rPr>
      </w:pPr>
      <w:r>
        <w:rPr>
          <w:i/>
          <w:spacing w:val="5"/>
          <w:sz w:val="16"/>
        </w:rPr>
        <w:t xml:space="preserve">As </w:t>
      </w:r>
      <w:r>
        <w:rPr>
          <w:i/>
          <w:spacing w:val="8"/>
          <w:sz w:val="16"/>
        </w:rPr>
        <w:t xml:space="preserve">atividades </w:t>
      </w:r>
      <w:r>
        <w:rPr>
          <w:i/>
          <w:spacing w:val="5"/>
          <w:sz w:val="16"/>
        </w:rPr>
        <w:t xml:space="preserve">do APL </w:t>
      </w:r>
      <w:r>
        <w:rPr>
          <w:i/>
          <w:spacing w:val="7"/>
          <w:sz w:val="16"/>
        </w:rPr>
        <w:t xml:space="preserve">Cerâmico </w:t>
      </w:r>
      <w:r>
        <w:rPr>
          <w:i/>
          <w:spacing w:val="10"/>
          <w:sz w:val="16"/>
        </w:rPr>
        <w:t xml:space="preserve">de </w:t>
      </w:r>
      <w:r>
        <w:rPr>
          <w:i/>
          <w:spacing w:val="11"/>
          <w:sz w:val="16"/>
        </w:rPr>
        <w:t xml:space="preserve">Santa </w:t>
      </w:r>
      <w:r>
        <w:rPr>
          <w:i/>
          <w:spacing w:val="12"/>
          <w:sz w:val="16"/>
        </w:rPr>
        <w:t xml:space="preserve">Gertrudes, </w:t>
      </w:r>
      <w:r>
        <w:rPr>
          <w:i/>
          <w:spacing w:val="6"/>
          <w:sz w:val="16"/>
        </w:rPr>
        <w:t xml:space="preserve">em </w:t>
      </w:r>
      <w:r>
        <w:rPr>
          <w:i/>
          <w:spacing w:val="10"/>
          <w:sz w:val="16"/>
        </w:rPr>
        <w:t xml:space="preserve">São </w:t>
      </w:r>
      <w:r>
        <w:rPr>
          <w:i/>
          <w:spacing w:val="11"/>
          <w:sz w:val="16"/>
        </w:rPr>
        <w:t xml:space="preserve">Paulo, </w:t>
      </w:r>
      <w:r>
        <w:rPr>
          <w:i/>
          <w:sz w:val="16"/>
        </w:rPr>
        <w:t xml:space="preserve">trouxeram crescimento econômico, mas </w:t>
      </w:r>
      <w:r>
        <w:rPr>
          <w:i/>
          <w:spacing w:val="10"/>
          <w:sz w:val="16"/>
        </w:rPr>
        <w:t>vêm</w:t>
      </w:r>
      <w:r>
        <w:rPr>
          <w:i/>
          <w:spacing w:val="65"/>
          <w:sz w:val="16"/>
        </w:rPr>
        <w:t xml:space="preserve"> </w:t>
      </w:r>
      <w:r>
        <w:rPr>
          <w:i/>
          <w:spacing w:val="13"/>
          <w:sz w:val="16"/>
        </w:rPr>
        <w:t xml:space="preserve">gerando diversos impactos </w:t>
      </w:r>
      <w:r>
        <w:rPr>
          <w:i/>
          <w:spacing w:val="5"/>
          <w:sz w:val="16"/>
        </w:rPr>
        <w:t xml:space="preserve">socioambientais, </w:t>
      </w:r>
      <w:r>
        <w:rPr>
          <w:i/>
          <w:spacing w:val="3"/>
          <w:sz w:val="16"/>
        </w:rPr>
        <w:t xml:space="preserve">como: </w:t>
      </w:r>
      <w:r>
        <w:rPr>
          <w:i/>
          <w:spacing w:val="5"/>
          <w:sz w:val="16"/>
        </w:rPr>
        <w:t xml:space="preserve">alteração da </w:t>
      </w:r>
      <w:r>
        <w:rPr>
          <w:i/>
          <w:spacing w:val="8"/>
          <w:sz w:val="16"/>
        </w:rPr>
        <w:t xml:space="preserve">qualidade </w:t>
      </w:r>
      <w:r>
        <w:rPr>
          <w:i/>
          <w:spacing w:val="5"/>
          <w:sz w:val="16"/>
        </w:rPr>
        <w:t xml:space="preserve">de </w:t>
      </w:r>
      <w:r>
        <w:rPr>
          <w:i/>
          <w:spacing w:val="7"/>
          <w:sz w:val="16"/>
        </w:rPr>
        <w:t xml:space="preserve">águas </w:t>
      </w:r>
      <w:r>
        <w:rPr>
          <w:i/>
          <w:spacing w:val="10"/>
          <w:sz w:val="16"/>
        </w:rPr>
        <w:t xml:space="preserve">superficiais </w:t>
      </w:r>
      <w:r>
        <w:rPr>
          <w:i/>
          <w:sz w:val="16"/>
        </w:rPr>
        <w:t xml:space="preserve">e </w:t>
      </w:r>
      <w:r>
        <w:rPr>
          <w:i/>
          <w:spacing w:val="10"/>
          <w:sz w:val="16"/>
        </w:rPr>
        <w:t xml:space="preserve">subterrâneas; desconfiguração </w:t>
      </w:r>
      <w:r>
        <w:rPr>
          <w:i/>
          <w:spacing w:val="11"/>
          <w:sz w:val="16"/>
        </w:rPr>
        <w:t xml:space="preserve">da </w:t>
      </w:r>
      <w:r>
        <w:rPr>
          <w:i/>
          <w:spacing w:val="3"/>
          <w:sz w:val="16"/>
        </w:rPr>
        <w:t xml:space="preserve">paisagem; supressão </w:t>
      </w:r>
      <w:r>
        <w:rPr>
          <w:i/>
          <w:spacing w:val="1"/>
          <w:sz w:val="16"/>
        </w:rPr>
        <w:t xml:space="preserve">da </w:t>
      </w:r>
      <w:r>
        <w:rPr>
          <w:i/>
          <w:spacing w:val="3"/>
          <w:sz w:val="16"/>
        </w:rPr>
        <w:t xml:space="preserve">vegetação </w:t>
      </w:r>
      <w:r>
        <w:rPr>
          <w:i/>
          <w:sz w:val="16"/>
        </w:rPr>
        <w:t xml:space="preserve">e </w:t>
      </w:r>
      <w:r>
        <w:rPr>
          <w:i/>
          <w:spacing w:val="12"/>
          <w:sz w:val="16"/>
        </w:rPr>
        <w:t xml:space="preserve">destruição </w:t>
      </w:r>
      <w:r>
        <w:rPr>
          <w:i/>
          <w:spacing w:val="6"/>
          <w:sz w:val="16"/>
        </w:rPr>
        <w:t xml:space="preserve">de </w:t>
      </w:r>
      <w:r>
        <w:rPr>
          <w:i/>
          <w:spacing w:val="11"/>
          <w:sz w:val="16"/>
        </w:rPr>
        <w:t xml:space="preserve">nichos </w:t>
      </w:r>
      <w:r>
        <w:rPr>
          <w:i/>
          <w:spacing w:val="12"/>
          <w:sz w:val="16"/>
        </w:rPr>
        <w:t xml:space="preserve">ecológicos; </w:t>
      </w:r>
      <w:r>
        <w:rPr>
          <w:i/>
          <w:spacing w:val="10"/>
          <w:sz w:val="16"/>
        </w:rPr>
        <w:t>poluição atmosféri</w:t>
      </w:r>
      <w:r>
        <w:rPr>
          <w:i/>
          <w:spacing w:val="10"/>
          <w:sz w:val="16"/>
        </w:rPr>
        <w:t xml:space="preserve">ca (geração </w:t>
      </w:r>
      <w:r>
        <w:rPr>
          <w:i/>
          <w:spacing w:val="5"/>
          <w:sz w:val="16"/>
        </w:rPr>
        <w:t xml:space="preserve">de </w:t>
      </w:r>
      <w:r>
        <w:rPr>
          <w:i/>
          <w:spacing w:val="12"/>
          <w:sz w:val="16"/>
        </w:rPr>
        <w:t xml:space="preserve">particulados </w:t>
      </w:r>
      <w:r>
        <w:rPr>
          <w:i/>
          <w:spacing w:val="11"/>
          <w:sz w:val="16"/>
        </w:rPr>
        <w:t xml:space="preserve">finos </w:t>
      </w:r>
      <w:r>
        <w:rPr>
          <w:i/>
          <w:spacing w:val="6"/>
          <w:sz w:val="16"/>
        </w:rPr>
        <w:t xml:space="preserve">na </w:t>
      </w:r>
      <w:r>
        <w:rPr>
          <w:i/>
          <w:spacing w:val="12"/>
          <w:sz w:val="16"/>
        </w:rPr>
        <w:t xml:space="preserve">atmosfera); </w:t>
      </w:r>
      <w:r>
        <w:rPr>
          <w:i/>
          <w:sz w:val="16"/>
        </w:rPr>
        <w:t>conflitos no uso do solo e danos à saúde humana.</w:t>
      </w:r>
    </w:p>
    <w:p w:rsidR="00D81F69" w:rsidRDefault="00330118">
      <w:pPr>
        <w:pStyle w:val="Corpodetexto"/>
        <w:spacing w:line="20" w:lineRule="exact"/>
        <w:ind w:left="83"/>
        <w:jc w:val="left"/>
        <w:rPr>
          <w:sz w:val="2"/>
        </w:rPr>
      </w:pPr>
      <w:r>
        <w:rPr>
          <w:noProof/>
          <w:sz w:val="2"/>
          <w:lang w:val="pt-BR" w:eastAsia="pt-BR"/>
        </w:rPr>
        <w:drawing>
          <wp:inline distT="0" distB="0" distL="0" distR="0">
            <wp:extent cx="1811385" cy="9334"/>
            <wp:effectExtent l="0" t="0" r="0" b="0"/>
            <wp:docPr id="44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jc w:val="left"/>
      </w:pPr>
      <w:r>
        <w:t>2010, pela produção de 509 milhões de m² de revestimentos, pelo processo via seca, gerando 10 mil empregos diretos, e empregando, indiretamente, cerca de 100 mil pessoas (CHRISTOFOLETTI; MORENO, 2011).</w:t>
      </w:r>
    </w:p>
    <w:p w:rsidR="00D81F69" w:rsidRDefault="00330118">
      <w:pPr>
        <w:pStyle w:val="Corpodetexto"/>
        <w:spacing w:before="133" w:line="312" w:lineRule="auto"/>
        <w:ind w:left="135" w:right="191"/>
      </w:pPr>
      <w:r>
        <w:t xml:space="preserve">A </w:t>
      </w:r>
      <w:r>
        <w:rPr>
          <w:spacing w:val="3"/>
        </w:rPr>
        <w:t xml:space="preserve">princípio, </w:t>
      </w:r>
      <w:r>
        <w:rPr>
          <w:spacing w:val="1"/>
        </w:rPr>
        <w:t xml:space="preserve">as </w:t>
      </w:r>
      <w:r>
        <w:rPr>
          <w:spacing w:val="3"/>
        </w:rPr>
        <w:t xml:space="preserve">indústrias cerâmicas </w:t>
      </w:r>
      <w:r>
        <w:rPr>
          <w:spacing w:val="1"/>
        </w:rPr>
        <w:t xml:space="preserve">da </w:t>
      </w:r>
      <w:r>
        <w:rPr>
          <w:spacing w:val="3"/>
        </w:rPr>
        <w:t xml:space="preserve">região </w:t>
      </w:r>
      <w:r>
        <w:rPr>
          <w:spacing w:val="5"/>
        </w:rPr>
        <w:t>fabrica</w:t>
      </w:r>
      <w:r>
        <w:rPr>
          <w:spacing w:val="5"/>
        </w:rPr>
        <w:t xml:space="preserve">vam </w:t>
      </w:r>
      <w:r>
        <w:t xml:space="preserve">telhas paulistas e francesas. Mais tarde, passaram a produzir os primeiros lajotões coloniais. A partir de 1986, a produção </w:t>
      </w:r>
      <w:r>
        <w:rPr>
          <w:spacing w:val="1"/>
        </w:rPr>
        <w:t xml:space="preserve">de </w:t>
      </w:r>
      <w:r>
        <w:rPr>
          <w:spacing w:val="3"/>
        </w:rPr>
        <w:t xml:space="preserve">cerâmicas passou </w:t>
      </w:r>
      <w:r>
        <w:t xml:space="preserve">a </w:t>
      </w:r>
      <w:r>
        <w:rPr>
          <w:spacing w:val="2"/>
        </w:rPr>
        <w:t xml:space="preserve">ser pelo </w:t>
      </w:r>
      <w:r>
        <w:rPr>
          <w:spacing w:val="3"/>
        </w:rPr>
        <w:t xml:space="preserve">sistema </w:t>
      </w:r>
      <w:r>
        <w:rPr>
          <w:spacing w:val="1"/>
        </w:rPr>
        <w:t xml:space="preserve">de </w:t>
      </w:r>
      <w:r>
        <w:rPr>
          <w:spacing w:val="5"/>
        </w:rPr>
        <w:t xml:space="preserve">monoqueima, tecnologia </w:t>
      </w:r>
      <w:r>
        <w:rPr>
          <w:spacing w:val="3"/>
        </w:rPr>
        <w:t xml:space="preserve">que </w:t>
      </w:r>
      <w:r>
        <w:rPr>
          <w:spacing w:val="5"/>
        </w:rPr>
        <w:t xml:space="preserve">igualou </w:t>
      </w:r>
      <w:r>
        <w:rPr>
          <w:spacing w:val="2"/>
        </w:rPr>
        <w:t xml:space="preserve">os </w:t>
      </w:r>
      <w:r>
        <w:rPr>
          <w:spacing w:val="3"/>
        </w:rPr>
        <w:t xml:space="preserve">pisos </w:t>
      </w:r>
      <w:r>
        <w:rPr>
          <w:spacing w:val="2"/>
        </w:rPr>
        <w:t xml:space="preserve">de </w:t>
      </w:r>
      <w:r>
        <w:rPr>
          <w:spacing w:val="3"/>
        </w:rPr>
        <w:t xml:space="preserve">Santa </w:t>
      </w:r>
      <w:r>
        <w:rPr>
          <w:spacing w:val="5"/>
        </w:rPr>
        <w:t xml:space="preserve">Gertrudes aos </w:t>
      </w:r>
      <w:r>
        <w:t xml:space="preserve">demais produzidos no país. O fato foi de extrema importância </w:t>
      </w:r>
      <w:r>
        <w:rPr>
          <w:spacing w:val="6"/>
        </w:rPr>
        <w:t xml:space="preserve">para </w:t>
      </w:r>
      <w:r>
        <w:t xml:space="preserve">a </w:t>
      </w:r>
      <w:r>
        <w:rPr>
          <w:spacing w:val="8"/>
        </w:rPr>
        <w:t xml:space="preserve">constituição </w:t>
      </w:r>
      <w:r>
        <w:rPr>
          <w:spacing w:val="5"/>
        </w:rPr>
        <w:t xml:space="preserve">do </w:t>
      </w:r>
      <w:r>
        <w:rPr>
          <w:spacing w:val="6"/>
        </w:rPr>
        <w:t xml:space="preserve">polo </w:t>
      </w:r>
      <w:r>
        <w:rPr>
          <w:spacing w:val="7"/>
        </w:rPr>
        <w:t xml:space="preserve">cerâmico, atraindo </w:t>
      </w:r>
      <w:r>
        <w:rPr>
          <w:spacing w:val="10"/>
        </w:rPr>
        <w:t xml:space="preserve">novas </w:t>
      </w:r>
      <w:r>
        <w:t>empresas à região (ATLAS AMBIENTAL DA BACIA DO RIO CORUMBATAÍ,</w:t>
      </w:r>
      <w:r>
        <w:rPr>
          <w:spacing w:val="10"/>
        </w:rPr>
        <w:t xml:space="preserve"> </w:t>
      </w:r>
      <w:r>
        <w:t>2011).</w:t>
      </w:r>
    </w:p>
    <w:p w:rsidR="00D81F69" w:rsidRDefault="00330118">
      <w:pPr>
        <w:pStyle w:val="Corpodetexto"/>
        <w:spacing w:before="139" w:line="142" w:lineRule="exact"/>
        <w:ind w:left="135"/>
        <w:jc w:val="left"/>
      </w:pPr>
      <w:r>
        <w:t>O APL envolve, hoje, os seguintes segmentos: mineração,</w:t>
      </w:r>
    </w:p>
    <w:p w:rsidR="00D81F69" w:rsidRDefault="00D81F69">
      <w:pPr>
        <w:spacing w:line="142" w:lineRule="exact"/>
        <w:sectPr w:rsidR="00D81F69">
          <w:type w:val="continuous"/>
          <w:pgSz w:w="11900" w:h="16840"/>
          <w:pgMar w:top="720" w:right="500" w:bottom="280" w:left="620" w:header="720" w:footer="720" w:gutter="0"/>
          <w:cols w:num="3" w:space="720" w:equalWidth="0">
            <w:col w:w="2042" w:space="40"/>
            <w:col w:w="3048" w:space="305"/>
            <w:col w:w="5345"/>
          </w:cols>
        </w:sectPr>
      </w:pPr>
    </w:p>
    <w:p w:rsidR="00D81F69" w:rsidRDefault="00330118">
      <w:pPr>
        <w:pStyle w:val="Heading4"/>
        <w:spacing w:line="268" w:lineRule="exact"/>
        <w:jc w:val="left"/>
      </w:pPr>
      <w:r>
        <w:lastRenderedPageBreak/>
        <w:t>APRESENTAÇÃO DE CASO</w:t>
      </w:r>
    </w:p>
    <w:p w:rsidR="00D81F69" w:rsidRDefault="00330118">
      <w:pPr>
        <w:pStyle w:val="Corpodetexto"/>
        <w:spacing w:before="170" w:line="312" w:lineRule="auto"/>
        <w:ind w:right="69"/>
      </w:pPr>
      <w:r>
        <w:t xml:space="preserve">A indústria cerâmica brasileira, em especial a indústria de cerâmica de revestimentos, é uma das mais dinâmicas e competitivas do país, com grande importância para a construção civil (POLETTO, 2007). A </w:t>
      </w:r>
      <w:r>
        <w:t>cerâmica de revestimento e a cerâmica vermelha, juntamente com a cerâmica branca, o cimento, o vidro e a cal, correspondem a mais de 90% da produção, do consumo, do faturamento e do emprego do setor não metálico. Os outros 10% correspondem a louças sanitár</w:t>
      </w:r>
      <w:r>
        <w:t>ias, louças de mesa, refratários, colorifícios e gesso. Cabe ressaltar que, com a especialização das empresas cerâmicas nas últimas décadas, houve separação entre olarias - produtoras de tijolos e telhas e “cerâmicas” - produtoras de itens mais sofisticado</w:t>
      </w:r>
      <w:r>
        <w:t>s (SEBRAE; ESPM, 2008).</w:t>
      </w:r>
    </w:p>
    <w:p w:rsidR="00D81F69" w:rsidRDefault="00330118">
      <w:pPr>
        <w:pStyle w:val="Corpodetexto"/>
        <w:spacing w:before="143" w:line="312" w:lineRule="auto"/>
        <w:ind w:right="86"/>
      </w:pPr>
      <w:r>
        <w:t>A maior parte da produção brasileira de revestimentos cerâmicos está concentrada nas regiões Sudeste e Sul, em especial, em torno das regiões produtoras de Santa Gertrudes (SP), e de Criciúma (SC) (MACHADO, 2003, p. 34 apud FUINI, 2</w:t>
      </w:r>
      <w:r>
        <w:t>008). Os principais produtos da cerâmica de revestimento são os pisos rústicos, pisos via seca, pisos gresificados, grês porcelânico e azulejos. Dentre os produtos da cerâmica vermelha, estão: blocos, lages, telhas e agregados leves (SEBRAE, ESPM, 2008).</w:t>
      </w:r>
    </w:p>
    <w:p w:rsidR="00D81F69" w:rsidRDefault="00330118">
      <w:pPr>
        <w:pStyle w:val="Corpodetexto"/>
        <w:spacing w:before="138" w:line="312" w:lineRule="auto"/>
        <w:ind w:right="38"/>
        <w:jc w:val="left"/>
      </w:pPr>
      <w:r>
        <w:t>C</w:t>
      </w:r>
      <w:r>
        <w:t>om 98,007 km² e 21.634 habitantes (IBGE, 2010), o município de Santa Gertrudes é a cidade polo de um Arranjo Produtivo Local (APL). O APL de Cerâmica Vermelha de Revestimento de Santa Gertrudes engloba ainda os seguintes municípios: Araras, Charqueada; Cor</w:t>
      </w:r>
      <w:r>
        <w:t>deirópolis; Leme; Limeira; Piracicaba; Rio Claro; e Santa Cruz da Conceição (REDE APL MINERAL, 2011).</w:t>
      </w:r>
    </w:p>
    <w:p w:rsidR="00D81F69" w:rsidRDefault="00330118">
      <w:pPr>
        <w:pStyle w:val="Corpodetexto"/>
        <w:spacing w:before="137" w:line="312" w:lineRule="auto"/>
        <w:ind w:right="77"/>
      </w:pPr>
      <w:r>
        <w:t>Localizado na porção centro-sudeste do estado de São Paulo, o APL é um dos principais produtores de revestimento do mundo, e o maior das Américas, tendo s</w:t>
      </w:r>
      <w:r>
        <w:t>ido responsável, em</w:t>
      </w:r>
    </w:p>
    <w:p w:rsidR="00D81F69" w:rsidRDefault="00330118">
      <w:pPr>
        <w:pStyle w:val="Corpodetexto"/>
        <w:spacing w:before="128" w:line="312" w:lineRule="auto"/>
        <w:ind w:right="192"/>
      </w:pPr>
      <w:r>
        <w:br w:type="column"/>
      </w:r>
      <w:r>
        <w:rPr>
          <w:spacing w:val="3"/>
        </w:rPr>
        <w:lastRenderedPageBreak/>
        <w:t xml:space="preserve">empresas cerâmicas, comércio, fornecedores </w:t>
      </w:r>
      <w:r>
        <w:rPr>
          <w:spacing w:val="1"/>
        </w:rPr>
        <w:t xml:space="preserve">de </w:t>
      </w:r>
      <w:r>
        <w:rPr>
          <w:spacing w:val="5"/>
        </w:rPr>
        <w:t xml:space="preserve">insumos, </w:t>
      </w:r>
      <w:r>
        <w:rPr>
          <w:spacing w:val="8"/>
        </w:rPr>
        <w:t xml:space="preserve">máquinas </w:t>
      </w:r>
      <w:r>
        <w:t xml:space="preserve">e </w:t>
      </w:r>
      <w:r>
        <w:rPr>
          <w:spacing w:val="10"/>
        </w:rPr>
        <w:t xml:space="preserve">equipamentos </w:t>
      </w:r>
      <w:r>
        <w:t xml:space="preserve">e </w:t>
      </w:r>
      <w:r>
        <w:rPr>
          <w:spacing w:val="10"/>
        </w:rPr>
        <w:t xml:space="preserve">instituições </w:t>
      </w:r>
      <w:r>
        <w:rPr>
          <w:spacing w:val="5"/>
        </w:rPr>
        <w:t xml:space="preserve">de </w:t>
      </w:r>
      <w:r>
        <w:rPr>
          <w:spacing w:val="8"/>
        </w:rPr>
        <w:t xml:space="preserve">ensino </w:t>
      </w:r>
      <w:r>
        <w:t xml:space="preserve">e pesquisa. Existem 45 indústrias cerâmicas abastecidas por 29 </w:t>
      </w:r>
      <w:r>
        <w:rPr>
          <w:spacing w:val="5"/>
        </w:rPr>
        <w:t xml:space="preserve">minas ativas. </w:t>
      </w:r>
      <w:r>
        <w:rPr>
          <w:spacing w:val="3"/>
        </w:rPr>
        <w:t xml:space="preserve">Há </w:t>
      </w:r>
      <w:r>
        <w:rPr>
          <w:spacing w:val="5"/>
        </w:rPr>
        <w:t xml:space="preserve">ainda outras minas, </w:t>
      </w:r>
      <w:r>
        <w:rPr>
          <w:spacing w:val="7"/>
        </w:rPr>
        <w:t xml:space="preserve">temporariamente </w:t>
      </w:r>
      <w:r>
        <w:t>paralisadas (CH</w:t>
      </w:r>
      <w:r>
        <w:t>RISTOFOLETTI; MORENO, 2011). A maioria das empresas e dos empregos concentra-se nos municípios de Santa Gertrudes, Cordeirópolis e Rio Claro, sobretudo no eixo rodoviário da Washington Luís (FUINI,</w:t>
      </w:r>
      <w:r>
        <w:rPr>
          <w:spacing w:val="23"/>
        </w:rPr>
        <w:t xml:space="preserve"> </w:t>
      </w:r>
      <w:r>
        <w:t>2008).</w:t>
      </w:r>
    </w:p>
    <w:p w:rsidR="00D81F69" w:rsidRDefault="00330118">
      <w:pPr>
        <w:pStyle w:val="Corpodetexto"/>
        <w:spacing w:before="137" w:line="312" w:lineRule="auto"/>
        <w:ind w:right="192"/>
      </w:pPr>
      <w:r>
        <w:t>A maioria das indústrias da região utiliza o proces</w:t>
      </w:r>
      <w:r>
        <w:t>so de via seca por moinhos de martelo e pendular (MASSON, 2001 apud ROVERI; ZANARDO; MOTTA, 2006), menos oneroso que outros processos de preparação da massa, tornando o custo do processamento cerâmico menor, e resultando em produtos com alto poder de venda</w:t>
      </w:r>
      <w:r>
        <w:t>, a preços baixos (CCB, 2005 apud ROVERI; ZANARDO; MOTTA, 2006). Além disso,</w:t>
      </w:r>
    </w:p>
    <w:p w:rsidR="00D81F69" w:rsidRDefault="00330118">
      <w:pPr>
        <w:pStyle w:val="Corpodetexto"/>
        <w:spacing w:before="7" w:line="312" w:lineRule="auto"/>
        <w:ind w:right="195"/>
      </w:pPr>
      <w:r>
        <w:t xml:space="preserve">a oferta de matéria prima de boa qualidade no local (argila </w:t>
      </w:r>
      <w:r>
        <w:rPr>
          <w:spacing w:val="1"/>
        </w:rPr>
        <w:t xml:space="preserve">Corumbataí), </w:t>
      </w:r>
      <w:r>
        <w:t xml:space="preserve">a </w:t>
      </w:r>
      <w:r>
        <w:rPr>
          <w:spacing w:val="1"/>
        </w:rPr>
        <w:t xml:space="preserve">presença </w:t>
      </w:r>
      <w:r>
        <w:t xml:space="preserve">de mão de </w:t>
      </w:r>
      <w:r>
        <w:rPr>
          <w:spacing w:val="1"/>
        </w:rPr>
        <w:t xml:space="preserve">obra capacitada </w:t>
      </w:r>
      <w:r>
        <w:rPr>
          <w:spacing w:val="2"/>
        </w:rPr>
        <w:t xml:space="preserve">para </w:t>
      </w:r>
      <w:r>
        <w:t xml:space="preserve">operar na produção cerâmica (famílias tradicionais no ramo) </w:t>
      </w:r>
      <w:r>
        <w:rPr>
          <w:spacing w:val="11"/>
        </w:rPr>
        <w:t xml:space="preserve">(FUINI, 2008) </w:t>
      </w:r>
      <w:r>
        <w:t xml:space="preserve">e a </w:t>
      </w:r>
      <w:r>
        <w:rPr>
          <w:spacing w:val="12"/>
        </w:rPr>
        <w:t xml:space="preserve">proximidade </w:t>
      </w:r>
      <w:r>
        <w:rPr>
          <w:spacing w:val="6"/>
        </w:rPr>
        <w:t xml:space="preserve">de </w:t>
      </w:r>
      <w:r>
        <w:rPr>
          <w:spacing w:val="11"/>
        </w:rPr>
        <w:t xml:space="preserve">grandes </w:t>
      </w:r>
      <w:r>
        <w:rPr>
          <w:spacing w:val="15"/>
        </w:rPr>
        <w:t xml:space="preserve">centros </w:t>
      </w:r>
      <w:r>
        <w:rPr>
          <w:spacing w:val="5"/>
        </w:rPr>
        <w:t xml:space="preserve">consumidores (CHRISTOFOLETTI; MORENO, </w:t>
      </w:r>
      <w:r>
        <w:rPr>
          <w:spacing w:val="3"/>
        </w:rPr>
        <w:t xml:space="preserve">2011) </w:t>
      </w:r>
      <w:r>
        <w:rPr>
          <w:spacing w:val="5"/>
        </w:rPr>
        <w:t>são</w:t>
      </w:r>
      <w:r>
        <w:rPr>
          <w:spacing w:val="61"/>
        </w:rPr>
        <w:t xml:space="preserve"> </w:t>
      </w:r>
      <w:r>
        <w:t>consideradas vantagens competitivas do APL (FUINI, 2008).</w:t>
      </w:r>
    </w:p>
    <w:p w:rsidR="00D81F69" w:rsidRDefault="00330118">
      <w:pPr>
        <w:pStyle w:val="Corpodetexto"/>
        <w:spacing w:before="72" w:line="270" w:lineRule="atLeast"/>
        <w:ind w:right="191"/>
      </w:pPr>
      <w:r>
        <w:t xml:space="preserve">Apesar de a atividade minerária do APL de Santa Gertrude ter </w:t>
      </w:r>
      <w:r>
        <w:rPr>
          <w:spacing w:val="3"/>
        </w:rPr>
        <w:t xml:space="preserve">contribuído decisivamente </w:t>
      </w:r>
      <w:r>
        <w:rPr>
          <w:spacing w:val="2"/>
        </w:rPr>
        <w:t xml:space="preserve">para </w:t>
      </w:r>
      <w:r>
        <w:t xml:space="preserve">o </w:t>
      </w:r>
      <w:r>
        <w:rPr>
          <w:spacing w:val="3"/>
        </w:rPr>
        <w:t>crescim</w:t>
      </w:r>
      <w:r>
        <w:rPr>
          <w:spacing w:val="3"/>
        </w:rPr>
        <w:t xml:space="preserve">ento </w:t>
      </w:r>
      <w:r>
        <w:rPr>
          <w:spacing w:val="5"/>
        </w:rPr>
        <w:t xml:space="preserve">econômico </w:t>
      </w:r>
      <w:r>
        <w:t xml:space="preserve">regional, algumas práticas inadequadas - como a explotação rudimentar da matéria prima; a ausência de acompanhamento </w:t>
      </w:r>
      <w:r>
        <w:rPr>
          <w:spacing w:val="1"/>
        </w:rPr>
        <w:t xml:space="preserve">técnico </w:t>
      </w:r>
      <w:r>
        <w:t xml:space="preserve">do </w:t>
      </w:r>
      <w:r>
        <w:rPr>
          <w:spacing w:val="1"/>
        </w:rPr>
        <w:t xml:space="preserve">plano </w:t>
      </w:r>
      <w:r>
        <w:t xml:space="preserve">de </w:t>
      </w:r>
      <w:r>
        <w:rPr>
          <w:spacing w:val="1"/>
        </w:rPr>
        <w:t xml:space="preserve">lavra desde </w:t>
      </w:r>
      <w:r>
        <w:t xml:space="preserve">o </w:t>
      </w:r>
      <w:r>
        <w:rPr>
          <w:spacing w:val="1"/>
        </w:rPr>
        <w:t xml:space="preserve">início </w:t>
      </w:r>
      <w:r>
        <w:t xml:space="preserve">da </w:t>
      </w:r>
      <w:r>
        <w:rPr>
          <w:spacing w:val="1"/>
        </w:rPr>
        <w:t xml:space="preserve">extração </w:t>
      </w:r>
      <w:r>
        <w:t xml:space="preserve">até o fechamento da mina; a falta de medidas mitigadoras - </w:t>
      </w:r>
      <w:r>
        <w:rPr>
          <w:spacing w:val="1"/>
        </w:rPr>
        <w:t xml:space="preserve">vêm </w:t>
      </w:r>
      <w:r>
        <w:rPr>
          <w:spacing w:val="3"/>
        </w:rPr>
        <w:t xml:space="preserve">gerando </w:t>
      </w:r>
      <w:r>
        <w:rPr>
          <w:spacing w:val="2"/>
        </w:rPr>
        <w:t xml:space="preserve">não </w:t>
      </w:r>
      <w:r>
        <w:rPr>
          <w:spacing w:val="1"/>
        </w:rPr>
        <w:t xml:space="preserve">só </w:t>
      </w:r>
      <w:r>
        <w:rPr>
          <w:spacing w:val="3"/>
        </w:rPr>
        <w:t xml:space="preserve">perdas </w:t>
      </w:r>
      <w:r>
        <w:rPr>
          <w:spacing w:val="1"/>
        </w:rPr>
        <w:t xml:space="preserve">na </w:t>
      </w:r>
      <w:r>
        <w:rPr>
          <w:spacing w:val="3"/>
        </w:rPr>
        <w:t xml:space="preserve">produção final, </w:t>
      </w:r>
      <w:r>
        <w:rPr>
          <w:spacing w:val="2"/>
        </w:rPr>
        <w:t xml:space="preserve">como </w:t>
      </w:r>
      <w:r>
        <w:rPr>
          <w:spacing w:val="5"/>
        </w:rPr>
        <w:t xml:space="preserve">diversos </w:t>
      </w:r>
      <w:r>
        <w:t xml:space="preserve">impactos socioambientais negativos, tais como: alteração de </w:t>
      </w:r>
      <w:r>
        <w:rPr>
          <w:spacing w:val="8"/>
        </w:rPr>
        <w:t xml:space="preserve">águas </w:t>
      </w:r>
      <w:r>
        <w:rPr>
          <w:spacing w:val="10"/>
        </w:rPr>
        <w:t xml:space="preserve">superficiais </w:t>
      </w:r>
      <w:r>
        <w:t xml:space="preserve">e </w:t>
      </w:r>
      <w:r>
        <w:rPr>
          <w:spacing w:val="10"/>
        </w:rPr>
        <w:t xml:space="preserve">subterrâneas; turbidez </w:t>
      </w:r>
      <w:r>
        <w:rPr>
          <w:spacing w:val="5"/>
        </w:rPr>
        <w:t xml:space="preserve">na </w:t>
      </w:r>
      <w:r>
        <w:rPr>
          <w:spacing w:val="11"/>
        </w:rPr>
        <w:t xml:space="preserve">água </w:t>
      </w:r>
      <w:r>
        <w:rPr>
          <w:spacing w:val="5"/>
        </w:rPr>
        <w:t xml:space="preserve">superficial; desconfiguração </w:t>
      </w:r>
      <w:r>
        <w:rPr>
          <w:spacing w:val="2"/>
        </w:rPr>
        <w:t xml:space="preserve">da </w:t>
      </w:r>
      <w:r>
        <w:rPr>
          <w:spacing w:val="5"/>
        </w:rPr>
        <w:t>paisagem; supressão da</w:t>
      </w:r>
      <w:r>
        <w:rPr>
          <w:spacing w:val="61"/>
        </w:rPr>
        <w:t xml:space="preserve"> </w:t>
      </w:r>
      <w:r>
        <w:rPr>
          <w:spacing w:val="6"/>
        </w:rPr>
        <w:t xml:space="preserve">vegetação </w:t>
      </w:r>
      <w:r>
        <w:t xml:space="preserve">e </w:t>
      </w:r>
      <w:r>
        <w:rPr>
          <w:spacing w:val="6"/>
        </w:rPr>
        <w:t xml:space="preserve">destruição </w:t>
      </w:r>
      <w:r>
        <w:rPr>
          <w:spacing w:val="3"/>
        </w:rPr>
        <w:t xml:space="preserve">de </w:t>
      </w:r>
      <w:r>
        <w:rPr>
          <w:spacing w:val="5"/>
        </w:rPr>
        <w:t xml:space="preserve">nichos </w:t>
      </w:r>
      <w:r>
        <w:rPr>
          <w:spacing w:val="6"/>
        </w:rPr>
        <w:t>ecológico</w:t>
      </w:r>
      <w:r>
        <w:rPr>
          <w:spacing w:val="6"/>
        </w:rPr>
        <w:t xml:space="preserve">s; </w:t>
      </w:r>
      <w:r>
        <w:rPr>
          <w:spacing w:val="7"/>
        </w:rPr>
        <w:t xml:space="preserve">poluição </w:t>
      </w:r>
      <w:r>
        <w:rPr>
          <w:spacing w:val="3"/>
        </w:rPr>
        <w:t xml:space="preserve">atmosférica (geração </w:t>
      </w:r>
      <w:r>
        <w:rPr>
          <w:spacing w:val="1"/>
        </w:rPr>
        <w:t xml:space="preserve">de </w:t>
      </w:r>
      <w:r>
        <w:rPr>
          <w:spacing w:val="3"/>
        </w:rPr>
        <w:t xml:space="preserve">particulados finos </w:t>
      </w:r>
      <w:r>
        <w:rPr>
          <w:spacing w:val="1"/>
        </w:rPr>
        <w:t xml:space="preserve">na </w:t>
      </w:r>
      <w:r>
        <w:rPr>
          <w:spacing w:val="5"/>
        </w:rPr>
        <w:t xml:space="preserve">atmosfera); </w:t>
      </w:r>
      <w:r>
        <w:rPr>
          <w:spacing w:val="13"/>
        </w:rPr>
        <w:t xml:space="preserve">conflitos </w:t>
      </w:r>
      <w:r>
        <w:rPr>
          <w:spacing w:val="7"/>
        </w:rPr>
        <w:t xml:space="preserve">no </w:t>
      </w:r>
      <w:r>
        <w:rPr>
          <w:spacing w:val="10"/>
        </w:rPr>
        <w:t xml:space="preserve">uso </w:t>
      </w:r>
      <w:r>
        <w:rPr>
          <w:spacing w:val="7"/>
        </w:rPr>
        <w:t xml:space="preserve">do </w:t>
      </w:r>
      <w:r>
        <w:rPr>
          <w:spacing w:val="11"/>
        </w:rPr>
        <w:t xml:space="preserve">solo; danos </w:t>
      </w:r>
      <w:r>
        <w:t xml:space="preserve">à </w:t>
      </w:r>
      <w:r>
        <w:rPr>
          <w:spacing w:val="11"/>
        </w:rPr>
        <w:t xml:space="preserve">saúde </w:t>
      </w:r>
      <w:r>
        <w:rPr>
          <w:spacing w:val="12"/>
        </w:rPr>
        <w:t xml:space="preserve">humana </w:t>
      </w:r>
      <w:r>
        <w:rPr>
          <w:spacing w:val="1"/>
        </w:rPr>
        <w:t xml:space="preserve">(CHRISTOFOLETTI; MORENO, 2011); </w:t>
      </w:r>
      <w:r>
        <w:t xml:space="preserve">e </w:t>
      </w:r>
      <w:r>
        <w:rPr>
          <w:spacing w:val="1"/>
        </w:rPr>
        <w:t>precariedade</w:t>
      </w:r>
      <w:r>
        <w:t xml:space="preserve"> </w:t>
      </w:r>
      <w:r>
        <w:rPr>
          <w:spacing w:val="2"/>
        </w:rPr>
        <w:t>nas</w:t>
      </w:r>
    </w:p>
    <w:p w:rsidR="00D81F69" w:rsidRDefault="00D81F69">
      <w:pPr>
        <w:spacing w:line="270" w:lineRule="atLeast"/>
        <w:sectPr w:rsidR="00D81F69">
          <w:type w:val="continuous"/>
          <w:pgSz w:w="11900" w:h="16840"/>
          <w:pgMar w:top="720" w:right="500" w:bottom="280" w:left="620" w:header="720" w:footer="720" w:gutter="0"/>
          <w:cols w:num="2" w:space="720" w:equalWidth="0">
            <w:col w:w="5191" w:space="279"/>
            <w:col w:w="5310"/>
          </w:cols>
        </w:sectPr>
      </w:pPr>
    </w:p>
    <w:p w:rsidR="00D81F69" w:rsidRDefault="00330118">
      <w:pPr>
        <w:pStyle w:val="Corpodetexto"/>
        <w:spacing w:before="81" w:line="312" w:lineRule="auto"/>
        <w:ind w:right="48"/>
      </w:pPr>
      <w:r>
        <w:lastRenderedPageBreak/>
        <w:t xml:space="preserve">condições de trabalho. Também há no local pouco conhecimento </w:t>
      </w:r>
      <w:r>
        <w:t>sobre segurança do trabalho (GOMES, 2010).</w:t>
      </w:r>
    </w:p>
    <w:p w:rsidR="00D81F69" w:rsidRDefault="00330118">
      <w:pPr>
        <w:pStyle w:val="Corpodetexto"/>
        <w:spacing w:before="132" w:line="312" w:lineRule="auto"/>
        <w:ind w:right="49"/>
      </w:pPr>
      <w:r>
        <w:t>A exploração das jazidas de argila levou ao aparecimento de cavas abandonadas, e a atividade industrial gerou “áreas de descarte”, com lançamento irregular de efluentes líquidos e disposição inadequada de resíduos</w:t>
      </w:r>
      <w:r>
        <w:t xml:space="preserve"> sólidos, notadamente das linhas de esmaltação (BONACIN SILVA, 2001; BONACIN SILVA et al., 2001 apud GÜNTHER; BONACIN SILVA, 2004).</w:t>
      </w:r>
    </w:p>
    <w:p w:rsidR="00D81F69" w:rsidRDefault="00330118">
      <w:pPr>
        <w:pStyle w:val="Corpodetexto"/>
        <w:spacing w:before="135" w:line="312" w:lineRule="auto"/>
        <w:ind w:right="38"/>
      </w:pPr>
      <w:r>
        <w:t>É o caso da “região dos lagos de Santa Gertrudes”. Localizada no curso superior da bacia hidrográfica do córrego Fazenda Ita</w:t>
      </w:r>
      <w:r>
        <w:t>qui, a região é uma das áreas identificadas como contaminadas com base em informações da Companhia de Tecnologia de Saneamento Ambiental do Estado de São Paulo (Cetesb) (CETESB, 2003 apud GÜNTHER; BONACIN</w:t>
      </w:r>
    </w:p>
    <w:p w:rsidR="00D81F69" w:rsidRDefault="00330118">
      <w:pPr>
        <w:pStyle w:val="Corpodetexto"/>
        <w:spacing w:before="6" w:line="312" w:lineRule="auto"/>
        <w:ind w:right="42"/>
      </w:pPr>
      <w:r>
        <w:t xml:space="preserve">SIVA, 2004). Lá, foram lançados efluentes líquidos </w:t>
      </w:r>
      <w:r>
        <w:t xml:space="preserve">e dispostos resíduos sólidos, resultantes das linhas de esmaltação das indústrias cerâmicas do APL, contendo elevados teores de chumbo e boro e, em menor quantidade, zinco, </w:t>
      </w:r>
      <w:hyperlink r:id="rId1571">
        <w:r>
          <w:t xml:space="preserve">cádmio, </w:t>
        </w:r>
      </w:hyperlink>
      <w:hyperlink r:id="rId1572">
        <w:r>
          <w:t xml:space="preserve">cromo, </w:t>
        </w:r>
      </w:hyperlink>
      <w:r>
        <w:t xml:space="preserve">níquel, bário, cobalto, </w:t>
      </w:r>
      <w:hyperlink r:id="rId1573">
        <w:r>
          <w:t xml:space="preserve">cobre </w:t>
        </w:r>
      </w:hyperlink>
      <w:r>
        <w:t>e zircônio, todos elemen</w:t>
      </w:r>
      <w:r>
        <w:t>tos tóxicos ao meio ambiente (GÜNTHER; BONACIN SILVA, 2004).</w:t>
      </w:r>
    </w:p>
    <w:p w:rsidR="00D81F69" w:rsidRDefault="00330118">
      <w:pPr>
        <w:pStyle w:val="Corpodetexto"/>
        <w:spacing w:before="136" w:line="312" w:lineRule="auto"/>
        <w:ind w:right="49"/>
      </w:pPr>
      <w:r>
        <w:t>A turbidez na água superficial ocorre, principalmente, nos períodos chuvosos, quando os finos advindos da mina e do pátio de secagem são carreados para as redes de drenagens. Em 2005, o Grupo Téc</w:t>
      </w:r>
      <w:r>
        <w:t>nico “Seaqua da Secretaria do Meio Ambiente do Estado de São Paulo - Estudos Hidrogeológicos</w:t>
      </w:r>
    </w:p>
    <w:p w:rsidR="00D81F69" w:rsidRDefault="00330118">
      <w:pPr>
        <w:pStyle w:val="Corpodetexto"/>
        <w:spacing w:before="5" w:line="312" w:lineRule="auto"/>
        <w:ind w:right="48"/>
      </w:pPr>
      <w:r>
        <w:t xml:space="preserve">- Santa Gertrudes” determinou a paralisação de sete empreendimentos minerários na região, devido à falta de água com qualidade para abastecimento público em Santa </w:t>
      </w:r>
      <w:r>
        <w:t>Gertrudes. Tais minas encontram-se, hoje, em processo final de Estudo de Impacto Ambiental (EIA) e elaboração do Relatório de Impacto Ambiental (RIMA) (CHRISTOFOLETTI; MORENO, 2011).</w:t>
      </w:r>
    </w:p>
    <w:p w:rsidR="00D81F69" w:rsidRDefault="00330118">
      <w:pPr>
        <w:pStyle w:val="Corpodetexto"/>
        <w:spacing w:before="136" w:line="312" w:lineRule="auto"/>
        <w:ind w:right="45"/>
      </w:pPr>
      <w:r>
        <w:t xml:space="preserve">Já a </w:t>
      </w:r>
      <w:r>
        <w:rPr>
          <w:spacing w:val="1"/>
        </w:rPr>
        <w:t xml:space="preserve">poluição atmosférica piora </w:t>
      </w:r>
      <w:r>
        <w:t xml:space="preserve">nos </w:t>
      </w:r>
      <w:r>
        <w:rPr>
          <w:spacing w:val="1"/>
        </w:rPr>
        <w:t xml:space="preserve">períodos </w:t>
      </w:r>
      <w:r>
        <w:t xml:space="preserve">de </w:t>
      </w:r>
      <w:r>
        <w:rPr>
          <w:spacing w:val="2"/>
        </w:rPr>
        <w:t xml:space="preserve">estiagem, </w:t>
      </w:r>
      <w:r>
        <w:rPr>
          <w:spacing w:val="5"/>
        </w:rPr>
        <w:t xml:space="preserve">sendo </w:t>
      </w:r>
      <w:r>
        <w:rPr>
          <w:spacing w:val="2"/>
        </w:rPr>
        <w:t xml:space="preserve">um </w:t>
      </w:r>
      <w:r>
        <w:rPr>
          <w:spacing w:val="5"/>
        </w:rPr>
        <w:t xml:space="preserve">impacto gerado, </w:t>
      </w:r>
      <w:r>
        <w:rPr>
          <w:spacing w:val="2"/>
        </w:rPr>
        <w:t xml:space="preserve">em </w:t>
      </w:r>
      <w:r>
        <w:rPr>
          <w:spacing w:val="5"/>
        </w:rPr>
        <w:t xml:space="preserve">especial, </w:t>
      </w:r>
      <w:r>
        <w:rPr>
          <w:spacing w:val="3"/>
        </w:rPr>
        <w:t xml:space="preserve">nas </w:t>
      </w:r>
      <w:r>
        <w:rPr>
          <w:spacing w:val="5"/>
        </w:rPr>
        <w:t xml:space="preserve">etapas </w:t>
      </w:r>
      <w:r>
        <w:rPr>
          <w:spacing w:val="6"/>
        </w:rPr>
        <w:t xml:space="preserve">de </w:t>
      </w:r>
      <w:r>
        <w:t xml:space="preserve">extração e pré-beneficiamento do material, quando ocorre o carregamento, transporte para armazenamento e distribuição e secagem do material em pátios. Tal impacto pode </w:t>
      </w:r>
      <w:r>
        <w:rPr>
          <w:spacing w:val="1"/>
        </w:rPr>
        <w:t xml:space="preserve">causar </w:t>
      </w:r>
      <w:r>
        <w:t>problemas de saúde, como rinite alérgi</w:t>
      </w:r>
      <w:r>
        <w:t xml:space="preserve">ca e certos casos de </w:t>
      </w:r>
      <w:r>
        <w:rPr>
          <w:spacing w:val="12"/>
        </w:rPr>
        <w:t xml:space="preserve">silicose </w:t>
      </w:r>
      <w:r>
        <w:rPr>
          <w:spacing w:val="11"/>
        </w:rPr>
        <w:t xml:space="preserve">[doença </w:t>
      </w:r>
      <w:r>
        <w:rPr>
          <w:spacing w:val="12"/>
        </w:rPr>
        <w:t xml:space="preserve">pulmonar progressiva </w:t>
      </w:r>
      <w:r>
        <w:t xml:space="preserve">e </w:t>
      </w:r>
      <w:r>
        <w:rPr>
          <w:spacing w:val="15"/>
        </w:rPr>
        <w:t xml:space="preserve">incurável] </w:t>
      </w:r>
      <w:r>
        <w:rPr>
          <w:spacing w:val="13"/>
        </w:rPr>
        <w:t xml:space="preserve">(CHRISTOFOLETTI; </w:t>
      </w:r>
      <w:r>
        <w:rPr>
          <w:spacing w:val="11"/>
        </w:rPr>
        <w:t>MORENO,</w:t>
      </w:r>
      <w:r>
        <w:rPr>
          <w:spacing w:val="62"/>
        </w:rPr>
        <w:t xml:space="preserve"> </w:t>
      </w:r>
      <w:r>
        <w:rPr>
          <w:spacing w:val="15"/>
        </w:rPr>
        <w:t>2011).</w:t>
      </w:r>
    </w:p>
    <w:p w:rsidR="00D81F69" w:rsidRDefault="00330118">
      <w:pPr>
        <w:pStyle w:val="Corpodetexto"/>
        <w:spacing w:before="138" w:line="312" w:lineRule="auto"/>
        <w:ind w:right="46"/>
      </w:pPr>
      <w:r>
        <w:t xml:space="preserve">O lançamento de “fluoretos” [compostos contendo </w:t>
      </w:r>
      <w:hyperlink r:id="rId1574">
        <w:r>
          <w:t xml:space="preserve">flúor </w:t>
        </w:r>
      </w:hyperlink>
      <w:r>
        <w:t>(F)], p</w:t>
      </w:r>
      <w:r>
        <w:t xml:space="preserve">ara a atmosfera, que ocorre quando a argila é queimada nos </w:t>
      </w:r>
      <w:r>
        <w:rPr>
          <w:spacing w:val="11"/>
        </w:rPr>
        <w:t xml:space="preserve">fornos </w:t>
      </w:r>
      <w:r>
        <w:rPr>
          <w:spacing w:val="10"/>
        </w:rPr>
        <w:t xml:space="preserve">numa </w:t>
      </w:r>
      <w:r>
        <w:rPr>
          <w:spacing w:val="12"/>
        </w:rPr>
        <w:t xml:space="preserve">temperatura </w:t>
      </w:r>
      <w:r>
        <w:rPr>
          <w:spacing w:val="11"/>
        </w:rPr>
        <w:t xml:space="preserve">acima </w:t>
      </w:r>
      <w:r>
        <w:rPr>
          <w:spacing w:val="6"/>
        </w:rPr>
        <w:t xml:space="preserve">de </w:t>
      </w:r>
      <w:r>
        <w:rPr>
          <w:spacing w:val="11"/>
        </w:rPr>
        <w:t xml:space="preserve">800ºC, inibe </w:t>
      </w:r>
      <w:r>
        <w:t xml:space="preserve">o desenvolvimento de algumas plantações agrícolas, causando prejuízos para os agricultores da região (POLETTO, </w:t>
      </w:r>
      <w:r>
        <w:rPr>
          <w:spacing w:val="1"/>
        </w:rPr>
        <w:t xml:space="preserve">2007). </w:t>
      </w:r>
      <w:r>
        <w:rPr>
          <w:spacing w:val="2"/>
        </w:rPr>
        <w:t xml:space="preserve">Os </w:t>
      </w:r>
      <w:r>
        <w:rPr>
          <w:spacing w:val="5"/>
        </w:rPr>
        <w:t xml:space="preserve">efeitos </w:t>
      </w:r>
      <w:r>
        <w:rPr>
          <w:spacing w:val="2"/>
        </w:rPr>
        <w:t xml:space="preserve">da </w:t>
      </w:r>
      <w:r>
        <w:rPr>
          <w:spacing w:val="5"/>
        </w:rPr>
        <w:t>liberação excessiva</w:t>
      </w:r>
      <w:r>
        <w:rPr>
          <w:spacing w:val="5"/>
        </w:rPr>
        <w:t xml:space="preserve"> </w:t>
      </w:r>
      <w:r>
        <w:rPr>
          <w:spacing w:val="2"/>
        </w:rPr>
        <w:t xml:space="preserve">de </w:t>
      </w:r>
      <w:r>
        <w:rPr>
          <w:spacing w:val="5"/>
        </w:rPr>
        <w:t xml:space="preserve">flúor puderam </w:t>
      </w:r>
      <w:r>
        <w:rPr>
          <w:spacing w:val="6"/>
        </w:rPr>
        <w:t xml:space="preserve">ser </w:t>
      </w:r>
      <w:r>
        <w:t xml:space="preserve">sentidos em Cordeirópolis, numa área adjacente à indústria </w:t>
      </w:r>
      <w:r>
        <w:rPr>
          <w:spacing w:val="3"/>
        </w:rPr>
        <w:t xml:space="preserve">produtora </w:t>
      </w:r>
      <w:r>
        <w:rPr>
          <w:spacing w:val="1"/>
        </w:rPr>
        <w:t xml:space="preserve">de </w:t>
      </w:r>
      <w:r>
        <w:rPr>
          <w:spacing w:val="3"/>
        </w:rPr>
        <w:t xml:space="preserve">cerâmica, cultivada </w:t>
      </w:r>
      <w:r>
        <w:rPr>
          <w:spacing w:val="2"/>
        </w:rPr>
        <w:t xml:space="preserve">com duas </w:t>
      </w:r>
      <w:r>
        <w:rPr>
          <w:spacing w:val="3"/>
        </w:rPr>
        <w:t xml:space="preserve">variedades </w:t>
      </w:r>
      <w:r>
        <w:rPr>
          <w:spacing w:val="5"/>
        </w:rPr>
        <w:t xml:space="preserve">de </w:t>
      </w:r>
      <w:r>
        <w:rPr>
          <w:spacing w:val="2"/>
        </w:rPr>
        <w:t xml:space="preserve">cana </w:t>
      </w:r>
      <w:r>
        <w:rPr>
          <w:spacing w:val="1"/>
        </w:rPr>
        <w:t xml:space="preserve">de </w:t>
      </w:r>
      <w:r>
        <w:rPr>
          <w:spacing w:val="3"/>
        </w:rPr>
        <w:t xml:space="preserve">açúcar. </w:t>
      </w:r>
      <w:r>
        <w:rPr>
          <w:spacing w:val="1"/>
        </w:rPr>
        <w:t xml:space="preserve">No </w:t>
      </w:r>
      <w:r>
        <w:rPr>
          <w:spacing w:val="3"/>
        </w:rPr>
        <w:t xml:space="preserve">local, foram diagnosticadas queda </w:t>
      </w:r>
      <w:r>
        <w:rPr>
          <w:spacing w:val="5"/>
        </w:rPr>
        <w:t xml:space="preserve">na </w:t>
      </w:r>
      <w:r>
        <w:t xml:space="preserve">produtividade e sintomas de toxidez. Na região mais próxima da </w:t>
      </w:r>
      <w:r>
        <w:t xml:space="preserve">indústria, o desenvolvimento foi bastante comprometido a </w:t>
      </w:r>
      <w:r>
        <w:rPr>
          <w:spacing w:val="1"/>
        </w:rPr>
        <w:t xml:space="preserve">ponto </w:t>
      </w:r>
      <w:r>
        <w:t xml:space="preserve">de </w:t>
      </w:r>
      <w:r>
        <w:rPr>
          <w:spacing w:val="1"/>
        </w:rPr>
        <w:t xml:space="preserve">inviabilizar </w:t>
      </w:r>
      <w:r>
        <w:t xml:space="preserve">a </w:t>
      </w:r>
      <w:r>
        <w:rPr>
          <w:spacing w:val="1"/>
        </w:rPr>
        <w:t xml:space="preserve">colheita </w:t>
      </w:r>
      <w:r>
        <w:t xml:space="preserve">de </w:t>
      </w:r>
      <w:r>
        <w:rPr>
          <w:spacing w:val="1"/>
        </w:rPr>
        <w:t xml:space="preserve">cana. </w:t>
      </w:r>
      <w:r>
        <w:t xml:space="preserve">Os </w:t>
      </w:r>
      <w:r>
        <w:rPr>
          <w:spacing w:val="1"/>
        </w:rPr>
        <w:t xml:space="preserve">teores </w:t>
      </w:r>
      <w:r>
        <w:t xml:space="preserve">de </w:t>
      </w:r>
      <w:r>
        <w:rPr>
          <w:spacing w:val="2"/>
        </w:rPr>
        <w:t xml:space="preserve">flúor </w:t>
      </w:r>
      <w:r>
        <w:rPr>
          <w:spacing w:val="5"/>
        </w:rPr>
        <w:t>encontrados</w:t>
      </w:r>
      <w:r>
        <w:rPr>
          <w:spacing w:val="42"/>
        </w:rPr>
        <w:t xml:space="preserve"> </w:t>
      </w:r>
      <w:r>
        <w:rPr>
          <w:spacing w:val="3"/>
        </w:rPr>
        <w:t>nas</w:t>
      </w:r>
      <w:r>
        <w:rPr>
          <w:spacing w:val="42"/>
        </w:rPr>
        <w:t xml:space="preserve"> </w:t>
      </w:r>
      <w:r>
        <w:rPr>
          <w:spacing w:val="5"/>
        </w:rPr>
        <w:t>folhas</w:t>
      </w:r>
      <w:r>
        <w:rPr>
          <w:spacing w:val="42"/>
        </w:rPr>
        <w:t xml:space="preserve"> </w:t>
      </w:r>
      <w:r>
        <w:rPr>
          <w:spacing w:val="3"/>
        </w:rPr>
        <w:t>das</w:t>
      </w:r>
      <w:r>
        <w:rPr>
          <w:spacing w:val="42"/>
        </w:rPr>
        <w:t xml:space="preserve"> </w:t>
      </w:r>
      <w:r>
        <w:rPr>
          <w:spacing w:val="5"/>
        </w:rPr>
        <w:t>plantas</w:t>
      </w:r>
      <w:r>
        <w:rPr>
          <w:spacing w:val="42"/>
        </w:rPr>
        <w:t xml:space="preserve"> </w:t>
      </w:r>
      <w:r>
        <w:rPr>
          <w:spacing w:val="5"/>
        </w:rPr>
        <w:t>estavam</w:t>
      </w:r>
      <w:r>
        <w:rPr>
          <w:spacing w:val="42"/>
        </w:rPr>
        <w:t xml:space="preserve"> </w:t>
      </w:r>
      <w:r>
        <w:rPr>
          <w:spacing w:val="5"/>
        </w:rPr>
        <w:t>acima</w:t>
      </w:r>
      <w:r>
        <w:rPr>
          <w:spacing w:val="42"/>
        </w:rPr>
        <w:t xml:space="preserve"> </w:t>
      </w:r>
      <w:r>
        <w:rPr>
          <w:spacing w:val="6"/>
        </w:rPr>
        <w:t>dos</w:t>
      </w:r>
    </w:p>
    <w:p w:rsidR="00D81F69" w:rsidRDefault="00330118">
      <w:pPr>
        <w:pStyle w:val="Corpodetexto"/>
        <w:spacing w:before="81" w:line="312" w:lineRule="auto"/>
        <w:ind w:right="206"/>
      </w:pPr>
      <w:r>
        <w:br w:type="column"/>
      </w:r>
      <w:r>
        <w:lastRenderedPageBreak/>
        <w:t>considerados normais e foram associados à queda na produtividade da cultura, pois o vegetal é sensível à absorção excessiva de flúor (OTTO et al., 2007).</w:t>
      </w:r>
    </w:p>
    <w:p w:rsidR="00D81F69" w:rsidRDefault="00330118">
      <w:pPr>
        <w:pStyle w:val="Corpodetexto"/>
        <w:spacing w:before="133" w:line="312" w:lineRule="auto"/>
        <w:ind w:right="192"/>
      </w:pPr>
      <w:r>
        <w:t>No início de 2001, a Associação Agro-industrial de Cascalho entregou à Promotoria Pública de Cordeiróp</w:t>
      </w:r>
      <w:r>
        <w:t xml:space="preserve">olis relatório com as </w:t>
      </w:r>
      <w:r>
        <w:rPr>
          <w:spacing w:val="1"/>
        </w:rPr>
        <w:t xml:space="preserve">análises </w:t>
      </w:r>
      <w:r>
        <w:t xml:space="preserve">da </w:t>
      </w:r>
      <w:r>
        <w:rPr>
          <w:spacing w:val="1"/>
        </w:rPr>
        <w:t xml:space="preserve">Cetesb </w:t>
      </w:r>
      <w:r>
        <w:t xml:space="preserve">e da </w:t>
      </w:r>
      <w:r>
        <w:rPr>
          <w:spacing w:val="1"/>
        </w:rPr>
        <w:t xml:space="preserve">Escola Superior </w:t>
      </w:r>
      <w:r>
        <w:t xml:space="preserve">de </w:t>
      </w:r>
      <w:r>
        <w:rPr>
          <w:spacing w:val="2"/>
        </w:rPr>
        <w:t xml:space="preserve">Agricultura </w:t>
      </w:r>
      <w:r>
        <w:rPr>
          <w:spacing w:val="1"/>
        </w:rPr>
        <w:t xml:space="preserve">Luiz </w:t>
      </w:r>
      <w:r>
        <w:t xml:space="preserve">de </w:t>
      </w:r>
      <w:r>
        <w:rPr>
          <w:spacing w:val="1"/>
        </w:rPr>
        <w:t xml:space="preserve">Queiroz (ESALQ), pedindo </w:t>
      </w:r>
      <w:r>
        <w:t xml:space="preserve">que </w:t>
      </w:r>
      <w:r>
        <w:rPr>
          <w:spacing w:val="1"/>
        </w:rPr>
        <w:t xml:space="preserve">fosse tomada </w:t>
      </w:r>
      <w:r>
        <w:rPr>
          <w:spacing w:val="2"/>
        </w:rPr>
        <w:t xml:space="preserve">uma </w:t>
      </w:r>
      <w:r>
        <w:t xml:space="preserve">providência quanto à instalação de filtros nas chaminés das </w:t>
      </w:r>
      <w:r>
        <w:rPr>
          <w:spacing w:val="13"/>
        </w:rPr>
        <w:t xml:space="preserve">cerâmicas. </w:t>
      </w:r>
      <w:r>
        <w:rPr>
          <w:spacing w:val="10"/>
        </w:rPr>
        <w:t xml:space="preserve">Foi </w:t>
      </w:r>
      <w:r>
        <w:rPr>
          <w:spacing w:val="13"/>
        </w:rPr>
        <w:t xml:space="preserve">estabelecido, </w:t>
      </w:r>
      <w:r>
        <w:rPr>
          <w:spacing w:val="12"/>
        </w:rPr>
        <w:t xml:space="preserve">então, </w:t>
      </w:r>
      <w:r>
        <w:rPr>
          <w:spacing w:val="7"/>
        </w:rPr>
        <w:t xml:space="preserve">um </w:t>
      </w:r>
      <w:r>
        <w:rPr>
          <w:spacing w:val="11"/>
        </w:rPr>
        <w:t xml:space="preserve">Termo </w:t>
      </w:r>
      <w:r>
        <w:rPr>
          <w:spacing w:val="7"/>
        </w:rPr>
        <w:t xml:space="preserve">de </w:t>
      </w:r>
      <w:r>
        <w:t>Ajustamento de Co</w:t>
      </w:r>
      <w:r>
        <w:t xml:space="preserve">nduta (TAC) assinado entre o Ministério Público (MP), as cerâmicas e os produtores rurais para evitar a </w:t>
      </w:r>
      <w:r>
        <w:rPr>
          <w:spacing w:val="1"/>
        </w:rPr>
        <w:t xml:space="preserve">liberação </w:t>
      </w:r>
      <w:r>
        <w:t xml:space="preserve">do gás </w:t>
      </w:r>
      <w:r>
        <w:rPr>
          <w:spacing w:val="1"/>
        </w:rPr>
        <w:t xml:space="preserve">fluoreto pelas chaminés </w:t>
      </w:r>
      <w:r>
        <w:t xml:space="preserve">das </w:t>
      </w:r>
      <w:r>
        <w:rPr>
          <w:spacing w:val="2"/>
        </w:rPr>
        <w:t xml:space="preserve">indústrias. </w:t>
      </w:r>
      <w:r>
        <w:rPr>
          <w:spacing w:val="1"/>
        </w:rPr>
        <w:t xml:space="preserve">Após </w:t>
      </w:r>
      <w:r>
        <w:t xml:space="preserve">as </w:t>
      </w:r>
      <w:r>
        <w:rPr>
          <w:spacing w:val="1"/>
        </w:rPr>
        <w:t xml:space="preserve">cerâmicas instalarem equipamento </w:t>
      </w:r>
      <w:r>
        <w:t xml:space="preserve">de </w:t>
      </w:r>
      <w:r>
        <w:rPr>
          <w:spacing w:val="1"/>
        </w:rPr>
        <w:t xml:space="preserve">controle </w:t>
      </w:r>
      <w:r>
        <w:rPr>
          <w:spacing w:val="2"/>
        </w:rPr>
        <w:t xml:space="preserve">de </w:t>
      </w:r>
      <w:r>
        <w:rPr>
          <w:spacing w:val="5"/>
        </w:rPr>
        <w:t xml:space="preserve">emissão, </w:t>
      </w:r>
      <w:r>
        <w:rPr>
          <w:spacing w:val="3"/>
        </w:rPr>
        <w:t xml:space="preserve">houve uma </w:t>
      </w:r>
      <w:r>
        <w:rPr>
          <w:spacing w:val="5"/>
        </w:rPr>
        <w:t xml:space="preserve">redução </w:t>
      </w:r>
      <w:r>
        <w:rPr>
          <w:spacing w:val="2"/>
        </w:rPr>
        <w:t xml:space="preserve">de </w:t>
      </w:r>
      <w:r>
        <w:rPr>
          <w:spacing w:val="3"/>
        </w:rPr>
        <w:t xml:space="preserve">60% </w:t>
      </w:r>
      <w:r>
        <w:rPr>
          <w:spacing w:val="2"/>
        </w:rPr>
        <w:t xml:space="preserve">na </w:t>
      </w:r>
      <w:r>
        <w:rPr>
          <w:spacing w:val="5"/>
        </w:rPr>
        <w:t>po</w:t>
      </w:r>
      <w:r>
        <w:rPr>
          <w:spacing w:val="5"/>
        </w:rPr>
        <w:t xml:space="preserve">luição </w:t>
      </w:r>
      <w:r>
        <w:rPr>
          <w:spacing w:val="2"/>
        </w:rPr>
        <w:t xml:space="preserve">do </w:t>
      </w:r>
      <w:r>
        <w:rPr>
          <w:spacing w:val="5"/>
        </w:rPr>
        <w:t>ar</w:t>
      </w:r>
      <w:r>
        <w:rPr>
          <w:spacing w:val="61"/>
        </w:rPr>
        <w:t xml:space="preserve"> </w:t>
      </w:r>
      <w:r>
        <w:rPr>
          <w:spacing w:val="5"/>
        </w:rPr>
        <w:t xml:space="preserve">(GAZETA </w:t>
      </w:r>
      <w:r>
        <w:rPr>
          <w:spacing w:val="2"/>
        </w:rPr>
        <w:t xml:space="preserve">DE </w:t>
      </w:r>
      <w:r>
        <w:rPr>
          <w:spacing w:val="5"/>
        </w:rPr>
        <w:t>LIMEIRA,</w:t>
      </w:r>
      <w:r>
        <w:rPr>
          <w:spacing w:val="-15"/>
        </w:rPr>
        <w:t xml:space="preserve"> </w:t>
      </w:r>
      <w:r>
        <w:rPr>
          <w:spacing w:val="5"/>
        </w:rPr>
        <w:t>2008).</w:t>
      </w:r>
    </w:p>
    <w:p w:rsidR="00D81F69" w:rsidRDefault="00330118">
      <w:pPr>
        <w:pStyle w:val="Corpodetexto"/>
        <w:spacing w:before="141" w:line="312" w:lineRule="auto"/>
        <w:ind w:right="187"/>
      </w:pPr>
      <w:r>
        <w:rPr>
          <w:spacing w:val="1"/>
        </w:rPr>
        <w:t xml:space="preserve">No </w:t>
      </w:r>
      <w:r>
        <w:rPr>
          <w:spacing w:val="3"/>
        </w:rPr>
        <w:t xml:space="preserve">município </w:t>
      </w:r>
      <w:r>
        <w:rPr>
          <w:spacing w:val="1"/>
        </w:rPr>
        <w:t xml:space="preserve">de </w:t>
      </w:r>
      <w:r>
        <w:rPr>
          <w:spacing w:val="3"/>
        </w:rPr>
        <w:t xml:space="preserve">Piracibaba, </w:t>
      </w:r>
      <w:r>
        <w:rPr>
          <w:spacing w:val="1"/>
        </w:rPr>
        <w:t xml:space="preserve">um </w:t>
      </w:r>
      <w:r>
        <w:rPr>
          <w:spacing w:val="2"/>
        </w:rPr>
        <w:t xml:space="preserve">dos </w:t>
      </w:r>
      <w:r>
        <w:rPr>
          <w:spacing w:val="3"/>
        </w:rPr>
        <w:t xml:space="preserve">principais </w:t>
      </w:r>
      <w:r>
        <w:rPr>
          <w:spacing w:val="5"/>
        </w:rPr>
        <w:t xml:space="preserve">problemas </w:t>
      </w:r>
      <w:r>
        <w:t xml:space="preserve">decorrentes das atividades das cerâmicas vermelhas e olarias são as doenças de trabalho. Para tentar solucionar a questão, o </w:t>
      </w:r>
      <w:r>
        <w:rPr>
          <w:spacing w:val="7"/>
        </w:rPr>
        <w:t xml:space="preserve">Centro </w:t>
      </w:r>
      <w:r>
        <w:rPr>
          <w:spacing w:val="5"/>
        </w:rPr>
        <w:t xml:space="preserve">de </w:t>
      </w:r>
      <w:r>
        <w:rPr>
          <w:spacing w:val="8"/>
        </w:rPr>
        <w:t xml:space="preserve">Referência </w:t>
      </w:r>
      <w:r>
        <w:rPr>
          <w:spacing w:val="5"/>
        </w:rPr>
        <w:t xml:space="preserve">em </w:t>
      </w:r>
      <w:r>
        <w:rPr>
          <w:spacing w:val="7"/>
        </w:rPr>
        <w:t xml:space="preserve">Saúde </w:t>
      </w:r>
      <w:r>
        <w:rPr>
          <w:spacing w:val="5"/>
        </w:rPr>
        <w:t xml:space="preserve">do </w:t>
      </w:r>
      <w:r>
        <w:rPr>
          <w:spacing w:val="8"/>
        </w:rPr>
        <w:t xml:space="preserve">Trabalhador </w:t>
      </w:r>
      <w:r>
        <w:rPr>
          <w:spacing w:val="10"/>
        </w:rPr>
        <w:t xml:space="preserve">Dr. </w:t>
      </w:r>
      <w:r>
        <w:rPr>
          <w:spacing w:val="3"/>
        </w:rPr>
        <w:t xml:space="preserve">Alexandre Alves (Cerest-Piracicaba) elaborou </w:t>
      </w:r>
      <w:r>
        <w:rPr>
          <w:spacing w:val="1"/>
        </w:rPr>
        <w:t xml:space="preserve">um </w:t>
      </w:r>
      <w:r>
        <w:rPr>
          <w:spacing w:val="5"/>
        </w:rPr>
        <w:t xml:space="preserve">manual apontando </w:t>
      </w:r>
      <w:r>
        <w:rPr>
          <w:spacing w:val="2"/>
        </w:rPr>
        <w:t xml:space="preserve">os </w:t>
      </w:r>
      <w:r>
        <w:rPr>
          <w:spacing w:val="5"/>
        </w:rPr>
        <w:t xml:space="preserve">vários problemas </w:t>
      </w:r>
      <w:r>
        <w:rPr>
          <w:spacing w:val="2"/>
        </w:rPr>
        <w:t xml:space="preserve">de </w:t>
      </w:r>
      <w:r>
        <w:rPr>
          <w:spacing w:val="3"/>
        </w:rPr>
        <w:t xml:space="preserve">saúde </w:t>
      </w:r>
      <w:r>
        <w:rPr>
          <w:spacing w:val="5"/>
        </w:rPr>
        <w:t xml:space="preserve">resultantes do </w:t>
      </w:r>
      <w:r>
        <w:t xml:space="preserve">processo de produção das olarias e cerâmicas, e indicando </w:t>
      </w:r>
      <w:r>
        <w:rPr>
          <w:spacing w:val="3"/>
        </w:rPr>
        <w:t xml:space="preserve">medidas capazes </w:t>
      </w:r>
      <w:r>
        <w:rPr>
          <w:spacing w:val="1"/>
        </w:rPr>
        <w:t xml:space="preserve">de </w:t>
      </w:r>
      <w:r>
        <w:rPr>
          <w:spacing w:val="3"/>
        </w:rPr>
        <w:t xml:space="preserve">diminuí-los. </w:t>
      </w:r>
      <w:r>
        <w:rPr>
          <w:spacing w:val="2"/>
        </w:rPr>
        <w:t xml:space="preserve">Além </w:t>
      </w:r>
      <w:r>
        <w:rPr>
          <w:spacing w:val="3"/>
        </w:rPr>
        <w:t xml:space="preserve">disso, desde </w:t>
      </w:r>
      <w:r>
        <w:rPr>
          <w:spacing w:val="5"/>
        </w:rPr>
        <w:t xml:space="preserve">2008, </w:t>
      </w:r>
      <w:r>
        <w:t xml:space="preserve">vem realizando, juntamente com outros parceiros, fóruns com o </w:t>
      </w:r>
      <w:r>
        <w:rPr>
          <w:spacing w:val="10"/>
        </w:rPr>
        <w:t xml:space="preserve">objetivo </w:t>
      </w:r>
      <w:r>
        <w:rPr>
          <w:spacing w:val="5"/>
        </w:rPr>
        <w:t xml:space="preserve">de </w:t>
      </w:r>
      <w:r>
        <w:rPr>
          <w:spacing w:val="10"/>
        </w:rPr>
        <w:t xml:space="preserve">envolver </w:t>
      </w:r>
      <w:r>
        <w:rPr>
          <w:spacing w:val="5"/>
        </w:rPr>
        <w:t xml:space="preserve">os </w:t>
      </w:r>
      <w:r>
        <w:rPr>
          <w:spacing w:val="10"/>
        </w:rPr>
        <w:t xml:space="preserve">empresários </w:t>
      </w:r>
      <w:r>
        <w:rPr>
          <w:spacing w:val="5"/>
        </w:rPr>
        <w:t xml:space="preserve">do </w:t>
      </w:r>
      <w:r>
        <w:rPr>
          <w:spacing w:val="8"/>
        </w:rPr>
        <w:t xml:space="preserve">setor </w:t>
      </w:r>
      <w:r>
        <w:rPr>
          <w:spacing w:val="11"/>
        </w:rPr>
        <w:t xml:space="preserve">nas </w:t>
      </w:r>
      <w:r>
        <w:rPr>
          <w:spacing w:val="5"/>
        </w:rPr>
        <w:t xml:space="preserve">discussões </w:t>
      </w:r>
      <w:r>
        <w:rPr>
          <w:spacing w:val="3"/>
        </w:rPr>
        <w:t xml:space="preserve">sobre </w:t>
      </w:r>
      <w:r>
        <w:t xml:space="preserve">o </w:t>
      </w:r>
      <w:r>
        <w:rPr>
          <w:spacing w:val="5"/>
        </w:rPr>
        <w:t xml:space="preserve">trabalho realizado, </w:t>
      </w:r>
      <w:r>
        <w:rPr>
          <w:spacing w:val="2"/>
        </w:rPr>
        <w:t xml:space="preserve">os </w:t>
      </w:r>
      <w:r>
        <w:rPr>
          <w:spacing w:val="5"/>
        </w:rPr>
        <w:t>problemas de</w:t>
      </w:r>
      <w:r>
        <w:rPr>
          <w:spacing w:val="61"/>
        </w:rPr>
        <w:t xml:space="preserve"> </w:t>
      </w:r>
      <w:r>
        <w:rPr>
          <w:spacing w:val="5"/>
        </w:rPr>
        <w:t xml:space="preserve">saúde </w:t>
      </w:r>
      <w:r>
        <w:t xml:space="preserve">e </w:t>
      </w:r>
      <w:r>
        <w:rPr>
          <w:spacing w:val="5"/>
        </w:rPr>
        <w:t xml:space="preserve">segurança </w:t>
      </w:r>
      <w:r>
        <w:rPr>
          <w:spacing w:val="2"/>
        </w:rPr>
        <w:t xml:space="preserve">do </w:t>
      </w:r>
      <w:r>
        <w:rPr>
          <w:spacing w:val="5"/>
        </w:rPr>
        <w:t xml:space="preserve">trabalho detectados </w:t>
      </w:r>
      <w:r>
        <w:t xml:space="preserve">e </w:t>
      </w:r>
      <w:r>
        <w:rPr>
          <w:spacing w:val="5"/>
        </w:rPr>
        <w:t xml:space="preserve">formas </w:t>
      </w:r>
      <w:r>
        <w:rPr>
          <w:spacing w:val="6"/>
        </w:rPr>
        <w:t xml:space="preserve">de </w:t>
      </w:r>
      <w:r>
        <w:rPr>
          <w:spacing w:val="5"/>
        </w:rPr>
        <w:t xml:space="preserve">superá-los (GOMES, </w:t>
      </w:r>
      <w:r>
        <w:rPr>
          <w:spacing w:val="6"/>
        </w:rPr>
        <w:t>2010).</w:t>
      </w:r>
    </w:p>
    <w:p w:rsidR="00D81F69" w:rsidRDefault="00330118">
      <w:pPr>
        <w:pStyle w:val="Corpodetexto"/>
        <w:spacing w:before="142" w:line="312" w:lineRule="auto"/>
        <w:ind w:right="185"/>
      </w:pPr>
      <w:r>
        <w:t>Outra quest</w:t>
      </w:r>
      <w:r>
        <w:t xml:space="preserve">ão inerente às olarias e cerâmicas de Piracicaba é a informalidade. Para se ter uma ideia, em 2010, 32 olarias funcionavam de forma irregular no município. De acordo com a </w:t>
      </w:r>
      <w:r>
        <w:rPr>
          <w:spacing w:val="8"/>
        </w:rPr>
        <w:t xml:space="preserve">Secretaria Municipal </w:t>
      </w:r>
      <w:r>
        <w:rPr>
          <w:spacing w:val="5"/>
        </w:rPr>
        <w:t xml:space="preserve">de </w:t>
      </w:r>
      <w:r>
        <w:rPr>
          <w:spacing w:val="8"/>
        </w:rPr>
        <w:t xml:space="preserve">Defesa </w:t>
      </w:r>
      <w:r>
        <w:rPr>
          <w:spacing w:val="5"/>
        </w:rPr>
        <w:t xml:space="preserve">do </w:t>
      </w:r>
      <w:r>
        <w:rPr>
          <w:spacing w:val="7"/>
        </w:rPr>
        <w:t xml:space="preserve">Meio </w:t>
      </w:r>
      <w:r>
        <w:rPr>
          <w:spacing w:val="10"/>
        </w:rPr>
        <w:t xml:space="preserve">Ambiente, </w:t>
      </w:r>
      <w:r>
        <w:t>nenhuma delas tinha licença ambient</w:t>
      </w:r>
      <w:r>
        <w:t xml:space="preserve">al para extração mineral da </w:t>
      </w:r>
      <w:r>
        <w:rPr>
          <w:spacing w:val="1"/>
        </w:rPr>
        <w:t xml:space="preserve">argila </w:t>
      </w:r>
      <w:r>
        <w:t xml:space="preserve">e </w:t>
      </w:r>
      <w:r>
        <w:rPr>
          <w:spacing w:val="1"/>
        </w:rPr>
        <w:t xml:space="preserve">produção </w:t>
      </w:r>
      <w:r>
        <w:t xml:space="preserve">de </w:t>
      </w:r>
      <w:r>
        <w:rPr>
          <w:spacing w:val="1"/>
        </w:rPr>
        <w:t xml:space="preserve">tijolos (JORNAL </w:t>
      </w:r>
      <w:r>
        <w:t xml:space="preserve">DE </w:t>
      </w:r>
      <w:r>
        <w:rPr>
          <w:spacing w:val="2"/>
        </w:rPr>
        <w:t xml:space="preserve">PIRACICABA, </w:t>
      </w:r>
      <w:r>
        <w:t xml:space="preserve">2010). Os proprietários das olarias foram obrigados a assinar um TAC no Ministério Público do Meio Ambiente. Segundo o </w:t>
      </w:r>
      <w:r>
        <w:rPr>
          <w:spacing w:val="1"/>
        </w:rPr>
        <w:t xml:space="preserve">TAC, </w:t>
      </w:r>
      <w:r>
        <w:t xml:space="preserve">os </w:t>
      </w:r>
      <w:r>
        <w:rPr>
          <w:spacing w:val="1"/>
        </w:rPr>
        <w:t xml:space="preserve">oleiros </w:t>
      </w:r>
      <w:r>
        <w:t xml:space="preserve">só </w:t>
      </w:r>
      <w:r>
        <w:rPr>
          <w:spacing w:val="1"/>
        </w:rPr>
        <w:t xml:space="preserve">poderiam fabricar tijolos </w:t>
      </w:r>
      <w:r>
        <w:t xml:space="preserve">se </w:t>
      </w:r>
      <w:r>
        <w:rPr>
          <w:spacing w:val="2"/>
        </w:rPr>
        <w:t>utilizass</w:t>
      </w:r>
      <w:r>
        <w:rPr>
          <w:spacing w:val="2"/>
        </w:rPr>
        <w:t xml:space="preserve">em </w:t>
      </w:r>
      <w:r>
        <w:t>matéria prima extraída de jazidas com autorização e licença de operação (RODRIGUES,</w:t>
      </w:r>
      <w:r>
        <w:rPr>
          <w:spacing w:val="35"/>
        </w:rPr>
        <w:t xml:space="preserve"> </w:t>
      </w:r>
      <w:r>
        <w:t>2010).</w:t>
      </w:r>
    </w:p>
    <w:p w:rsidR="00D81F69" w:rsidRDefault="00330118">
      <w:pPr>
        <w:pStyle w:val="Corpodetexto"/>
        <w:spacing w:before="140" w:line="312" w:lineRule="auto"/>
        <w:ind w:right="195"/>
      </w:pPr>
      <w:r>
        <w:t xml:space="preserve">O </w:t>
      </w:r>
      <w:r>
        <w:rPr>
          <w:spacing w:val="3"/>
        </w:rPr>
        <w:t xml:space="preserve">lacre </w:t>
      </w:r>
      <w:r>
        <w:rPr>
          <w:spacing w:val="1"/>
        </w:rPr>
        <w:t xml:space="preserve">às </w:t>
      </w:r>
      <w:r>
        <w:rPr>
          <w:spacing w:val="3"/>
        </w:rPr>
        <w:t xml:space="preserve">olarias </w:t>
      </w:r>
      <w:r>
        <w:rPr>
          <w:spacing w:val="2"/>
        </w:rPr>
        <w:t xml:space="preserve">fez </w:t>
      </w:r>
      <w:r>
        <w:rPr>
          <w:spacing w:val="3"/>
        </w:rPr>
        <w:t xml:space="preserve">parte </w:t>
      </w:r>
      <w:r>
        <w:rPr>
          <w:spacing w:val="1"/>
        </w:rPr>
        <w:t xml:space="preserve">de </w:t>
      </w:r>
      <w:r>
        <w:rPr>
          <w:spacing w:val="3"/>
        </w:rPr>
        <w:t xml:space="preserve">fiscalização realizada </w:t>
      </w:r>
      <w:r>
        <w:rPr>
          <w:spacing w:val="5"/>
        </w:rPr>
        <w:t xml:space="preserve">pela </w:t>
      </w:r>
      <w:r>
        <w:t>Polícia Ambiental em Piracicaba e região. Na mesma época,  a Polícia Ambiental também fechou quatro ol</w:t>
      </w:r>
      <w:r>
        <w:t xml:space="preserve">arias na antiga estrada de Brotas, em Rio Claro. Os estabelecimentos </w:t>
      </w:r>
      <w:r>
        <w:rPr>
          <w:spacing w:val="1"/>
        </w:rPr>
        <w:t xml:space="preserve">não </w:t>
      </w:r>
      <w:r>
        <w:t>tinham licença ambiental ou liberação para extração de argila concedida pelo Departamento Nacional de Produção Mineral (DNPM) (RODRIGUES,</w:t>
      </w:r>
      <w:r>
        <w:rPr>
          <w:spacing w:val="15"/>
        </w:rPr>
        <w:t xml:space="preserve"> </w:t>
      </w:r>
      <w:r>
        <w:t>2010).</w:t>
      </w:r>
    </w:p>
    <w:p w:rsidR="00D81F69" w:rsidRDefault="00330118">
      <w:pPr>
        <w:pStyle w:val="Corpodetexto"/>
        <w:spacing w:before="136" w:line="312" w:lineRule="auto"/>
        <w:ind w:right="195"/>
      </w:pPr>
      <w:r>
        <w:t>Vale ressaltar que várias pesquisas tê</w:t>
      </w:r>
      <w:r>
        <w:t xml:space="preserve">m sido desenvolvidas visando obter alternativas ambientalmente viáveis e economicamente mais sustentáveis para os problemas gerados pelas indústrias cerâmicas do APL de Santa Gertrudes (GÜNTHER; BONACIN SILVA, 2004). Tais ações, somadas a uma fiscalização </w:t>
      </w:r>
      <w:r>
        <w:t>mais rigorosa por parte das autoridades estaduais e de outros órgãos competentes, como a Cetesb e o DNPM, vêm gerando diminuição dos impactos</w:t>
      </w:r>
    </w:p>
    <w:p w:rsidR="00D81F69" w:rsidRDefault="00D81F69">
      <w:pPr>
        <w:spacing w:line="312" w:lineRule="auto"/>
        <w:sectPr w:rsidR="00D81F69">
          <w:pgSz w:w="11900" w:h="16840"/>
          <w:pgMar w:top="740" w:right="500" w:bottom="720" w:left="620" w:header="0" w:footer="402" w:gutter="0"/>
          <w:cols w:num="2" w:space="720" w:equalWidth="0">
            <w:col w:w="5163" w:space="307"/>
            <w:col w:w="5310"/>
          </w:cols>
        </w:sectPr>
      </w:pPr>
    </w:p>
    <w:p w:rsidR="00D81F69" w:rsidRDefault="00330118">
      <w:pPr>
        <w:pStyle w:val="Corpodetexto"/>
        <w:spacing w:before="81"/>
      </w:pPr>
      <w:r>
        <w:lastRenderedPageBreak/>
        <w:t>(POLETTO, 2007).</w:t>
      </w:r>
    </w:p>
    <w:p w:rsidR="00D81F69" w:rsidRDefault="00D81F69">
      <w:pPr>
        <w:pStyle w:val="Corpodetexto"/>
        <w:spacing w:before="9"/>
        <w:ind w:left="0"/>
        <w:jc w:val="left"/>
        <w:rPr>
          <w:sz w:val="16"/>
        </w:rPr>
      </w:pPr>
    </w:p>
    <w:p w:rsidR="00D81F69" w:rsidRDefault="00330118">
      <w:pPr>
        <w:pStyle w:val="Corpodetexto"/>
        <w:spacing w:line="312" w:lineRule="auto"/>
        <w:ind w:right="121"/>
      </w:pPr>
      <w:r>
        <w:t>Por outro lado, as melhorias técnicas dos equipamentos e máquinas i</w:t>
      </w:r>
      <w:r>
        <w:t>mportados pelas empresas também têm contribuído bastante para a minimização dos impactos no APL (POLETTO, 2007).</w:t>
      </w:r>
    </w:p>
    <w:p w:rsidR="00D81F69" w:rsidRDefault="00D81F69">
      <w:pPr>
        <w:pStyle w:val="Corpodetexto"/>
        <w:spacing w:before="3"/>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131"/>
      </w:pPr>
      <w:r>
        <w:t>Santa Gertrudes possui 14 jazidas de argila espalhadas por todo seu território, localizadas entre as latitudes 22°25’11”S - 22°30’42”S e longitudes 47°33’52”W – 47°29’13”W. Doze</w:t>
      </w:r>
    </w:p>
    <w:p w:rsidR="00D81F69" w:rsidRDefault="00330118">
      <w:pPr>
        <w:pStyle w:val="Corpodetexto"/>
        <w:spacing w:before="3" w:line="312" w:lineRule="auto"/>
        <w:ind w:right="119"/>
      </w:pPr>
      <w:r>
        <w:t>localizam-se na sub-bacia do rio Piracicaba e duas na sub- bacia do rio Pardo,</w:t>
      </w:r>
      <w:r>
        <w:t xml:space="preserve"> ambas afluentes da bacia do rio Paraná.Em Rio Claro, entre as latitudes 22°29’19”S – 22°20’50”S e longitudes 47°32’20”W-47°39’8”W, estão localizadas 14 jazidas, sendo a mais distante localizada nas coordenadas 47°30’27”W e 22°15’45”S.Em Limeira, entre as </w:t>
      </w:r>
      <w:r>
        <w:t>latitudes 22°37’39”S – 25°35’45”S e longitudes 47°22’33”W - 47°25’12”W, estão localizadas quatro jazidas. Em Cordeirópolis, entre as latitudes 22°29’57”S- 22°27’22”S e longitudes 47°26’28”W- 47°28’29”W, estão localizadas seis jazidas e a mina Fazenda Velha</w:t>
      </w:r>
      <w:r>
        <w:t xml:space="preserve"> encontra-se nas coordenadas 47°22’12”W e 22°29’7”S.As jazidas encontram- se na sub-bacia do rio Piracicaba; algumas nas proximidades do Ribeirão do Tatu e outras próximas ao rio Corumbataí.</w:t>
      </w:r>
    </w:p>
    <w:p w:rsidR="00D81F69" w:rsidRDefault="00D81F69">
      <w:pPr>
        <w:pStyle w:val="Corpodetexto"/>
        <w:spacing w:before="10"/>
        <w:ind w:left="0"/>
        <w:jc w:val="left"/>
        <w:rPr>
          <w:sz w:val="29"/>
        </w:rPr>
      </w:pPr>
    </w:p>
    <w:p w:rsidR="00D81F69" w:rsidRDefault="00330118">
      <w:pPr>
        <w:pStyle w:val="Heading7"/>
        <w:spacing w:before="1"/>
      </w:pPr>
      <w:r>
        <w:t>REDATORES</w:t>
      </w:r>
    </w:p>
    <w:p w:rsidR="00D81F69" w:rsidRDefault="00330118">
      <w:pPr>
        <w:pStyle w:val="Corpodetexto"/>
        <w:spacing w:before="178"/>
      </w:pPr>
      <w:r>
        <w:t>Renata Olivieri; Eliane Araujo</w:t>
      </w:r>
    </w:p>
    <w:p w:rsidR="00D81F69" w:rsidRDefault="00D81F69">
      <w:pPr>
        <w:pStyle w:val="Corpodetexto"/>
        <w:ind w:left="0"/>
        <w:jc w:val="left"/>
        <w:rPr>
          <w:sz w:val="20"/>
        </w:rPr>
      </w:pPr>
    </w:p>
    <w:p w:rsidR="00D81F69" w:rsidRDefault="00330118">
      <w:pPr>
        <w:pStyle w:val="Heading7"/>
        <w:spacing w:before="165"/>
      </w:pPr>
      <w:r>
        <w:t>REFERÊNCIAS BIBLIOGRÁFICAS</w:t>
      </w:r>
    </w:p>
    <w:p w:rsidR="00D81F69" w:rsidRDefault="00330118">
      <w:pPr>
        <w:spacing w:before="187"/>
        <w:ind w:left="100"/>
        <w:jc w:val="both"/>
        <w:rPr>
          <w:sz w:val="16"/>
        </w:rPr>
      </w:pPr>
      <w:r>
        <w:rPr>
          <w:sz w:val="16"/>
        </w:rPr>
        <w:t>ATLAS AMBIENTAL DA BACIA DO RIO CORUMBATAÍ. Santa</w:t>
      </w:r>
    </w:p>
    <w:p w:rsidR="00D81F69" w:rsidRDefault="00330118">
      <w:pPr>
        <w:tabs>
          <w:tab w:val="left" w:pos="2366"/>
          <w:tab w:val="left" w:pos="4623"/>
        </w:tabs>
        <w:spacing w:before="56"/>
        <w:ind w:left="100"/>
        <w:jc w:val="both"/>
        <w:rPr>
          <w:sz w:val="16"/>
        </w:rPr>
      </w:pPr>
      <w:r>
        <w:rPr>
          <w:sz w:val="16"/>
        </w:rPr>
        <w:t xml:space="preserve">G </w:t>
      </w:r>
      <w:r>
        <w:rPr>
          <w:spacing w:val="17"/>
          <w:sz w:val="16"/>
        </w:rPr>
        <w:t xml:space="preserve"> </w:t>
      </w:r>
      <w:r>
        <w:rPr>
          <w:sz w:val="16"/>
        </w:rPr>
        <w:t xml:space="preserve">e </w:t>
      </w:r>
      <w:r>
        <w:rPr>
          <w:spacing w:val="17"/>
          <w:sz w:val="16"/>
        </w:rPr>
        <w:t xml:space="preserve"> </w:t>
      </w:r>
      <w:r>
        <w:rPr>
          <w:sz w:val="16"/>
        </w:rPr>
        <w:t xml:space="preserve">r </w:t>
      </w:r>
      <w:r>
        <w:rPr>
          <w:spacing w:val="17"/>
          <w:sz w:val="16"/>
        </w:rPr>
        <w:t xml:space="preserve"> </w:t>
      </w:r>
      <w:r>
        <w:rPr>
          <w:sz w:val="16"/>
        </w:rPr>
        <w:t xml:space="preserve">t </w:t>
      </w:r>
      <w:r>
        <w:rPr>
          <w:spacing w:val="17"/>
          <w:sz w:val="16"/>
        </w:rPr>
        <w:t xml:space="preserve"> </w:t>
      </w:r>
      <w:r>
        <w:rPr>
          <w:sz w:val="16"/>
        </w:rPr>
        <w:t xml:space="preserve">r </w:t>
      </w:r>
      <w:r>
        <w:rPr>
          <w:spacing w:val="17"/>
          <w:sz w:val="16"/>
        </w:rPr>
        <w:t xml:space="preserve"> </w:t>
      </w:r>
      <w:r>
        <w:rPr>
          <w:sz w:val="16"/>
        </w:rPr>
        <w:t xml:space="preserve">u </w:t>
      </w:r>
      <w:r>
        <w:rPr>
          <w:spacing w:val="17"/>
          <w:sz w:val="16"/>
        </w:rPr>
        <w:t xml:space="preserve"> </w:t>
      </w:r>
      <w:r>
        <w:rPr>
          <w:sz w:val="16"/>
        </w:rPr>
        <w:t xml:space="preserve">d </w:t>
      </w:r>
      <w:r>
        <w:rPr>
          <w:spacing w:val="17"/>
          <w:sz w:val="16"/>
        </w:rPr>
        <w:t xml:space="preserve"> </w:t>
      </w:r>
      <w:r>
        <w:rPr>
          <w:sz w:val="16"/>
        </w:rPr>
        <w:t xml:space="preserve">e </w:t>
      </w:r>
      <w:r>
        <w:rPr>
          <w:spacing w:val="17"/>
          <w:sz w:val="16"/>
        </w:rPr>
        <w:t xml:space="preserve"> </w:t>
      </w:r>
      <w:r>
        <w:rPr>
          <w:sz w:val="16"/>
        </w:rPr>
        <w:t xml:space="preserve">s </w:t>
      </w:r>
      <w:r>
        <w:rPr>
          <w:spacing w:val="17"/>
          <w:sz w:val="16"/>
        </w:rPr>
        <w:t xml:space="preserve"> </w:t>
      </w:r>
      <w:r>
        <w:rPr>
          <w:sz w:val="16"/>
        </w:rPr>
        <w:t>.</w:t>
      </w:r>
      <w:r>
        <w:rPr>
          <w:sz w:val="16"/>
        </w:rPr>
        <w:tab/>
        <w:t xml:space="preserve">D </w:t>
      </w:r>
      <w:r>
        <w:rPr>
          <w:spacing w:val="17"/>
          <w:sz w:val="16"/>
        </w:rPr>
        <w:t xml:space="preserve"> </w:t>
      </w:r>
      <w:r>
        <w:rPr>
          <w:sz w:val="16"/>
        </w:rPr>
        <w:t xml:space="preserve">i </w:t>
      </w:r>
      <w:r>
        <w:rPr>
          <w:spacing w:val="17"/>
          <w:sz w:val="16"/>
        </w:rPr>
        <w:t xml:space="preserve"> </w:t>
      </w:r>
      <w:r>
        <w:rPr>
          <w:sz w:val="16"/>
        </w:rPr>
        <w:t xml:space="preserve">s </w:t>
      </w:r>
      <w:r>
        <w:rPr>
          <w:spacing w:val="17"/>
          <w:sz w:val="16"/>
        </w:rPr>
        <w:t xml:space="preserve"> </w:t>
      </w:r>
      <w:r>
        <w:rPr>
          <w:sz w:val="16"/>
        </w:rPr>
        <w:t xml:space="preserve">p </w:t>
      </w:r>
      <w:r>
        <w:rPr>
          <w:spacing w:val="17"/>
          <w:sz w:val="16"/>
        </w:rPr>
        <w:t xml:space="preserve"> </w:t>
      </w:r>
      <w:r>
        <w:rPr>
          <w:sz w:val="16"/>
        </w:rPr>
        <w:t xml:space="preserve">o </w:t>
      </w:r>
      <w:r>
        <w:rPr>
          <w:spacing w:val="17"/>
          <w:sz w:val="16"/>
        </w:rPr>
        <w:t xml:space="preserve"> </w:t>
      </w:r>
      <w:r>
        <w:rPr>
          <w:sz w:val="16"/>
        </w:rPr>
        <w:t xml:space="preserve">n </w:t>
      </w:r>
      <w:r>
        <w:rPr>
          <w:spacing w:val="17"/>
          <w:sz w:val="16"/>
        </w:rPr>
        <w:t xml:space="preserve"> </w:t>
      </w:r>
      <w:r>
        <w:rPr>
          <w:sz w:val="16"/>
        </w:rPr>
        <w:t xml:space="preserve">í </w:t>
      </w:r>
      <w:r>
        <w:rPr>
          <w:spacing w:val="17"/>
          <w:sz w:val="16"/>
        </w:rPr>
        <w:t xml:space="preserve"> </w:t>
      </w:r>
      <w:r>
        <w:rPr>
          <w:sz w:val="16"/>
        </w:rPr>
        <w:t xml:space="preserve">v </w:t>
      </w:r>
      <w:r>
        <w:rPr>
          <w:spacing w:val="17"/>
          <w:sz w:val="16"/>
        </w:rPr>
        <w:t xml:space="preserve"> </w:t>
      </w:r>
      <w:r>
        <w:rPr>
          <w:sz w:val="16"/>
        </w:rPr>
        <w:t xml:space="preserve">e </w:t>
      </w:r>
      <w:r>
        <w:rPr>
          <w:spacing w:val="17"/>
          <w:sz w:val="16"/>
        </w:rPr>
        <w:t xml:space="preserve"> </w:t>
      </w:r>
      <w:r>
        <w:rPr>
          <w:sz w:val="16"/>
        </w:rPr>
        <w:t>l</w:t>
      </w:r>
      <w:r>
        <w:rPr>
          <w:sz w:val="16"/>
        </w:rPr>
        <w:tab/>
        <w:t>e   m</w:t>
      </w:r>
      <w:r>
        <w:rPr>
          <w:spacing w:val="36"/>
          <w:sz w:val="16"/>
        </w:rPr>
        <w:t xml:space="preserve"> </w:t>
      </w:r>
      <w:r>
        <w:rPr>
          <w:sz w:val="16"/>
        </w:rPr>
        <w:t>:</w:t>
      </w:r>
    </w:p>
    <w:p w:rsidR="00D81F69" w:rsidRDefault="00D81F69">
      <w:pPr>
        <w:spacing w:before="56" w:line="312" w:lineRule="auto"/>
        <w:ind w:left="100" w:right="136"/>
        <w:jc w:val="both"/>
        <w:rPr>
          <w:sz w:val="16"/>
        </w:rPr>
      </w:pPr>
      <w:hyperlink r:id="rId1575">
        <w:r w:rsidR="00330118">
          <w:rPr>
            <w:sz w:val="16"/>
          </w:rPr>
          <w:t>&lt;http://ceapla2.rc.unesp.br/atlas/sta_gertrud</w:t>
        </w:r>
        <w:r w:rsidR="00330118">
          <w:rPr>
            <w:sz w:val="16"/>
          </w:rPr>
          <w:t xml:space="preserve">es.php&gt;. </w:t>
        </w:r>
      </w:hyperlink>
      <w:r w:rsidR="00330118">
        <w:rPr>
          <w:sz w:val="16"/>
        </w:rPr>
        <w:t>Acesso em: 17 dez. 2011.</w:t>
      </w:r>
    </w:p>
    <w:p w:rsidR="00D81F69" w:rsidRDefault="00330118">
      <w:pPr>
        <w:tabs>
          <w:tab w:val="left" w:pos="4331"/>
        </w:tabs>
        <w:spacing w:before="2" w:line="312" w:lineRule="auto"/>
        <w:ind w:left="100" w:right="118"/>
        <w:jc w:val="both"/>
        <w:rPr>
          <w:sz w:val="16"/>
        </w:rPr>
      </w:pPr>
      <w:r>
        <w:rPr>
          <w:spacing w:val="3"/>
          <w:sz w:val="16"/>
        </w:rPr>
        <w:t xml:space="preserve">CHRISTOFOLETTI, Sergio Ricardo; MORENO, Maria </w:t>
      </w:r>
      <w:r>
        <w:rPr>
          <w:spacing w:val="5"/>
          <w:sz w:val="16"/>
        </w:rPr>
        <w:t xml:space="preserve">Margarita </w:t>
      </w:r>
      <w:r>
        <w:rPr>
          <w:sz w:val="16"/>
        </w:rPr>
        <w:t xml:space="preserve">Torres. Sustentabilidade da Mineração no Pólo Cerâmico de Santa Gertrudes, São Paulo – Brasil. Cerâmica Industrial, maio - jun. 2011. D      i      s      p      o   </w:t>
      </w:r>
      <w:r>
        <w:rPr>
          <w:sz w:val="16"/>
        </w:rPr>
        <w:t xml:space="preserve">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line="312" w:lineRule="auto"/>
        <w:ind w:left="100" w:right="112"/>
        <w:jc w:val="both"/>
        <w:rPr>
          <w:sz w:val="16"/>
        </w:rPr>
      </w:pPr>
      <w:hyperlink r:id="rId1576">
        <w:r w:rsidR="00330118">
          <w:rPr>
            <w:sz w:val="16"/>
          </w:rPr>
          <w:t>&lt;http://www.ceramicaindustrial.org.br/pdf/v16n3/v16n3a06.pdf&gt;.</w:t>
        </w:r>
      </w:hyperlink>
      <w:r w:rsidR="00330118">
        <w:rPr>
          <w:sz w:val="16"/>
        </w:rPr>
        <w:t xml:space="preserve"> Acesso em: 16 dez. 2011.</w:t>
      </w:r>
    </w:p>
    <w:p w:rsidR="00D81F69" w:rsidRDefault="00330118">
      <w:pPr>
        <w:spacing w:before="2" w:line="312" w:lineRule="auto"/>
        <w:ind w:left="100" w:right="118"/>
        <w:jc w:val="both"/>
        <w:rPr>
          <w:sz w:val="16"/>
        </w:rPr>
      </w:pPr>
      <w:r>
        <w:rPr>
          <w:sz w:val="16"/>
        </w:rPr>
        <w:t>FUINI, Lucas Labigalini. Estudo do mercado de trabalho em Arranjo Produtivo local (APL): Território e produção cerâmica em Santa Gertrudes/SP. Sociedade &amp; Natureza, Uberlândia, 20 (1): 75-85, jun.</w:t>
      </w:r>
    </w:p>
    <w:p w:rsidR="00D81F69" w:rsidRDefault="00330118">
      <w:pPr>
        <w:tabs>
          <w:tab w:val="left" w:pos="1785"/>
          <w:tab w:val="left" w:pos="4548"/>
        </w:tabs>
        <w:spacing w:before="2"/>
        <w:ind w:left="100"/>
        <w:jc w:val="both"/>
        <w:rPr>
          <w:sz w:val="16"/>
        </w:rPr>
      </w:pPr>
      <w:r>
        <w:rPr>
          <w:sz w:val="16"/>
        </w:rPr>
        <w:t xml:space="preserve">2   0   0  </w:t>
      </w:r>
      <w:r>
        <w:rPr>
          <w:spacing w:val="35"/>
          <w:sz w:val="16"/>
        </w:rPr>
        <w:t xml:space="preserve"> </w:t>
      </w:r>
      <w:r>
        <w:rPr>
          <w:sz w:val="16"/>
        </w:rPr>
        <w:t xml:space="preserve">8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w:t>
      </w:r>
      <w:r>
        <w:rPr>
          <w:sz w:val="16"/>
        </w:rPr>
        <w:t xml:space="preserve"> m  </w:t>
      </w:r>
      <w:r>
        <w:rPr>
          <w:spacing w:val="22"/>
          <w:sz w:val="16"/>
        </w:rPr>
        <w:t xml:space="preserve"> </w:t>
      </w:r>
      <w:r>
        <w:rPr>
          <w:sz w:val="16"/>
        </w:rPr>
        <w:t>:</w:t>
      </w:r>
    </w:p>
    <w:p w:rsidR="00D81F69" w:rsidRDefault="00D81F69">
      <w:pPr>
        <w:spacing w:before="56" w:line="312" w:lineRule="auto"/>
        <w:ind w:left="100" w:right="137"/>
        <w:jc w:val="both"/>
        <w:rPr>
          <w:sz w:val="16"/>
        </w:rPr>
      </w:pPr>
      <w:hyperlink r:id="rId1577">
        <w:r w:rsidR="00330118">
          <w:rPr>
            <w:sz w:val="16"/>
          </w:rPr>
          <w:t>&lt;http://www.periodicos.rc.biblioteca.unesp.br/index.php/estgeo/article/</w:t>
        </w:r>
      </w:hyperlink>
      <w:r w:rsidR="00330118">
        <w:rPr>
          <w:sz w:val="16"/>
        </w:rPr>
        <w:t xml:space="preserve"> view/807/733&gt;. Acesso em: 16 dez. 2011.</w:t>
      </w:r>
    </w:p>
    <w:p w:rsidR="00D81F69" w:rsidRDefault="00330118">
      <w:pPr>
        <w:spacing w:before="2"/>
        <w:ind w:left="100"/>
        <w:jc w:val="both"/>
        <w:rPr>
          <w:sz w:val="16"/>
        </w:rPr>
      </w:pPr>
      <w:r>
        <w:rPr>
          <w:sz w:val="16"/>
        </w:rPr>
        <w:t>GAZETA DE LIMEIRA. Cordeirópolis lidera poluição do ar na região,</w:t>
      </w:r>
    </w:p>
    <w:p w:rsidR="00D81F69" w:rsidRDefault="00330118">
      <w:pPr>
        <w:spacing w:before="56"/>
        <w:ind w:left="100"/>
        <w:jc w:val="both"/>
        <w:rPr>
          <w:sz w:val="16"/>
        </w:rPr>
      </w:pPr>
      <w:r>
        <w:rPr>
          <w:sz w:val="16"/>
        </w:rPr>
        <w:t xml:space="preserve">1 5         j u n .         2 0 0 8 .         D i s p o n í v e l         e m :  </w:t>
      </w:r>
    </w:p>
    <w:p w:rsidR="00D81F69" w:rsidRDefault="00D81F69">
      <w:pPr>
        <w:spacing w:before="56" w:line="312" w:lineRule="auto"/>
        <w:ind w:left="100" w:right="134"/>
        <w:jc w:val="both"/>
        <w:rPr>
          <w:sz w:val="16"/>
        </w:rPr>
      </w:pPr>
      <w:hyperlink r:id="rId1578">
        <w:r w:rsidR="00330118">
          <w:rPr>
            <w:sz w:val="16"/>
          </w:rPr>
          <w:t>&lt;http://www.gazetadelimeira.com.br/No</w:t>
        </w:r>
        <w:r w:rsidR="00330118">
          <w:rPr>
            <w:sz w:val="16"/>
          </w:rPr>
          <w:t xml:space="preserve">ticia.asp?ID=5589&gt;. </w:t>
        </w:r>
      </w:hyperlink>
      <w:r w:rsidR="00330118">
        <w:rPr>
          <w:sz w:val="16"/>
        </w:rPr>
        <w:t>Acesso em: 26 abr. 2010.</w:t>
      </w:r>
    </w:p>
    <w:p w:rsidR="00D81F69" w:rsidRDefault="00330118">
      <w:pPr>
        <w:spacing w:before="2" w:line="312" w:lineRule="auto"/>
        <w:ind w:left="100" w:right="88"/>
        <w:jc w:val="both"/>
        <w:rPr>
          <w:sz w:val="16"/>
        </w:rPr>
      </w:pPr>
      <w:r>
        <w:rPr>
          <w:sz w:val="16"/>
        </w:rPr>
        <w:t xml:space="preserve">GOMES, Marcos Hister Pereira. Manual de prevenção de acidentes e doenças do trabalho nas olarias e cerâmicas vermelhas de Piracicaba e </w:t>
      </w:r>
      <w:r>
        <w:rPr>
          <w:spacing w:val="22"/>
          <w:sz w:val="16"/>
        </w:rPr>
        <w:t xml:space="preserve">região. </w:t>
      </w:r>
      <w:r>
        <w:rPr>
          <w:spacing w:val="23"/>
          <w:sz w:val="16"/>
        </w:rPr>
        <w:t xml:space="preserve">Piracicaba, </w:t>
      </w:r>
      <w:r>
        <w:rPr>
          <w:spacing w:val="17"/>
          <w:sz w:val="16"/>
        </w:rPr>
        <w:t xml:space="preserve">SP, </w:t>
      </w:r>
      <w:r>
        <w:rPr>
          <w:spacing w:val="20"/>
          <w:sz w:val="16"/>
        </w:rPr>
        <w:t>2010.</w:t>
      </w:r>
      <w:r>
        <w:rPr>
          <w:spacing w:val="85"/>
          <w:sz w:val="16"/>
        </w:rPr>
        <w:t xml:space="preserve"> </w:t>
      </w:r>
      <w:r>
        <w:rPr>
          <w:spacing w:val="23"/>
          <w:sz w:val="16"/>
        </w:rPr>
        <w:t>Disponível</w:t>
      </w:r>
      <w:r>
        <w:rPr>
          <w:spacing w:val="22"/>
          <w:sz w:val="16"/>
        </w:rPr>
        <w:t xml:space="preserve"> </w:t>
      </w:r>
      <w:r>
        <w:rPr>
          <w:spacing w:val="17"/>
          <w:sz w:val="16"/>
        </w:rPr>
        <w:t>em:</w:t>
      </w:r>
      <w:r>
        <w:rPr>
          <w:spacing w:val="-17"/>
          <w:sz w:val="16"/>
        </w:rPr>
        <w:t xml:space="preserve"> </w:t>
      </w:r>
    </w:p>
    <w:p w:rsidR="00D81F69" w:rsidRDefault="00D81F69">
      <w:pPr>
        <w:spacing w:before="2" w:line="312" w:lineRule="auto"/>
        <w:ind w:left="100" w:right="125"/>
        <w:jc w:val="both"/>
        <w:rPr>
          <w:sz w:val="16"/>
        </w:rPr>
      </w:pPr>
      <w:hyperlink r:id="rId1579">
        <w:r w:rsidR="00330118">
          <w:rPr>
            <w:sz w:val="16"/>
          </w:rPr>
          <w:t>&lt;http://www.cerest.piracicaba.sp.gov.br/site/images/Manual-</w:t>
        </w:r>
      </w:hyperlink>
      <w:r w:rsidR="00330118">
        <w:rPr>
          <w:sz w:val="16"/>
        </w:rPr>
        <w:t xml:space="preserve"> finalizado.pdf&gt;. Acesso em: 17 dez. 2011.</w:t>
      </w:r>
    </w:p>
    <w:p w:rsidR="00D81F69" w:rsidRDefault="00330118">
      <w:pPr>
        <w:spacing w:before="70" w:line="312" w:lineRule="auto"/>
        <w:ind w:left="100" w:right="206"/>
        <w:jc w:val="both"/>
        <w:rPr>
          <w:sz w:val="16"/>
        </w:rPr>
      </w:pPr>
      <w:r>
        <w:br w:type="column"/>
      </w:r>
      <w:r>
        <w:rPr>
          <w:sz w:val="16"/>
        </w:rPr>
        <w:lastRenderedPageBreak/>
        <w:t xml:space="preserve">GÜNTHER, Wanda Maria Risso; BONACIN SILVA, André Luiz. Uso </w:t>
      </w:r>
      <w:r>
        <w:rPr>
          <w:spacing w:val="1"/>
          <w:sz w:val="16"/>
        </w:rPr>
        <w:t xml:space="preserve">de </w:t>
      </w:r>
      <w:r>
        <w:rPr>
          <w:spacing w:val="2"/>
          <w:sz w:val="16"/>
        </w:rPr>
        <w:t xml:space="preserve">solo </w:t>
      </w:r>
      <w:r>
        <w:rPr>
          <w:sz w:val="16"/>
        </w:rPr>
        <w:t xml:space="preserve">e </w:t>
      </w:r>
      <w:r>
        <w:rPr>
          <w:spacing w:val="3"/>
          <w:sz w:val="16"/>
        </w:rPr>
        <w:t xml:space="preserve">sedimentos contaminados </w:t>
      </w:r>
      <w:r>
        <w:rPr>
          <w:spacing w:val="2"/>
          <w:sz w:val="16"/>
        </w:rPr>
        <w:t xml:space="preserve">por </w:t>
      </w:r>
      <w:r>
        <w:rPr>
          <w:spacing w:val="3"/>
          <w:sz w:val="16"/>
        </w:rPr>
        <w:t xml:space="preserve">resíduos </w:t>
      </w:r>
      <w:r>
        <w:rPr>
          <w:spacing w:val="1"/>
          <w:sz w:val="16"/>
        </w:rPr>
        <w:t>d</w:t>
      </w:r>
      <w:r>
        <w:rPr>
          <w:spacing w:val="1"/>
          <w:sz w:val="16"/>
        </w:rPr>
        <w:t xml:space="preserve">e </w:t>
      </w:r>
      <w:r>
        <w:rPr>
          <w:spacing w:val="5"/>
          <w:sz w:val="16"/>
        </w:rPr>
        <w:t xml:space="preserve">indústrias </w:t>
      </w:r>
      <w:r>
        <w:rPr>
          <w:sz w:val="16"/>
        </w:rPr>
        <w:t xml:space="preserve">cerâmicas como matéria-prima de massas cerâmicas para a indústria </w:t>
      </w:r>
      <w:r>
        <w:rPr>
          <w:spacing w:val="5"/>
          <w:sz w:val="16"/>
        </w:rPr>
        <w:t xml:space="preserve">de </w:t>
      </w:r>
      <w:r>
        <w:rPr>
          <w:spacing w:val="8"/>
          <w:sz w:val="16"/>
        </w:rPr>
        <w:t xml:space="preserve">revestimentos </w:t>
      </w:r>
      <w:r>
        <w:rPr>
          <w:sz w:val="16"/>
        </w:rPr>
        <w:t xml:space="preserve">– </w:t>
      </w:r>
      <w:r>
        <w:rPr>
          <w:spacing w:val="8"/>
          <w:sz w:val="16"/>
        </w:rPr>
        <w:t xml:space="preserve">Metodologia </w:t>
      </w:r>
      <w:r>
        <w:rPr>
          <w:spacing w:val="7"/>
          <w:sz w:val="16"/>
        </w:rPr>
        <w:t xml:space="preserve">aplicada </w:t>
      </w:r>
      <w:r>
        <w:rPr>
          <w:spacing w:val="5"/>
          <w:sz w:val="16"/>
        </w:rPr>
        <w:t xml:space="preserve">ao </w:t>
      </w:r>
      <w:r>
        <w:rPr>
          <w:spacing w:val="6"/>
          <w:sz w:val="16"/>
        </w:rPr>
        <w:t xml:space="preserve">caso </w:t>
      </w:r>
      <w:r>
        <w:rPr>
          <w:spacing w:val="5"/>
          <w:sz w:val="16"/>
        </w:rPr>
        <w:t xml:space="preserve">de </w:t>
      </w:r>
      <w:r>
        <w:rPr>
          <w:spacing w:val="10"/>
          <w:sz w:val="16"/>
        </w:rPr>
        <w:t xml:space="preserve">Santa </w:t>
      </w:r>
      <w:r>
        <w:rPr>
          <w:sz w:val="16"/>
        </w:rPr>
        <w:t>Gertrudes, Brasil. XXIX Congreso de La Asociacion Interamericana de Ingenieria Sanitária Y Ambiental (AIDIS), San Ruan, Puerto Rico, 22 a</w:t>
      </w:r>
    </w:p>
    <w:p w:rsidR="00D81F69" w:rsidRDefault="00330118">
      <w:pPr>
        <w:spacing w:before="5"/>
        <w:ind w:left="100"/>
        <w:jc w:val="both"/>
        <w:rPr>
          <w:sz w:val="16"/>
        </w:rPr>
      </w:pPr>
      <w:r>
        <w:rPr>
          <w:sz w:val="16"/>
        </w:rPr>
        <w:t xml:space="preserve">2 7         a g o .         2 0 0 4 .         D i s p o n í v e l         e m :  </w:t>
      </w:r>
    </w:p>
    <w:p w:rsidR="00D81F69" w:rsidRDefault="00D81F69">
      <w:pPr>
        <w:spacing w:before="56" w:line="312" w:lineRule="auto"/>
        <w:ind w:left="100" w:right="211"/>
        <w:jc w:val="both"/>
        <w:rPr>
          <w:sz w:val="16"/>
        </w:rPr>
      </w:pPr>
      <w:hyperlink r:id="rId1580">
        <w:r w:rsidR="00330118">
          <w:rPr>
            <w:sz w:val="16"/>
          </w:rPr>
          <w:t>&lt;http://www.Bvsde.paho.org/bvsAIDIS/PuertoRico</w:t>
        </w:r>
      </w:hyperlink>
      <w:r w:rsidR="00330118">
        <w:rPr>
          <w:sz w:val="16"/>
        </w:rPr>
        <w:t xml:space="preserve"> 29/gertru.pdf&gt; Acesso em: 25 abr. 2010</w:t>
      </w:r>
    </w:p>
    <w:p w:rsidR="00D81F69" w:rsidRDefault="00330118">
      <w:pPr>
        <w:spacing w:before="1" w:line="312" w:lineRule="auto"/>
        <w:ind w:left="100" w:right="153"/>
        <w:jc w:val="both"/>
        <w:rPr>
          <w:sz w:val="16"/>
        </w:rPr>
      </w:pPr>
      <w:r>
        <w:rPr>
          <w:sz w:val="16"/>
        </w:rPr>
        <w:t>IBGE, Instituto Brasileiro de Geografia e Estatística. Santa Gertrudes   ( S P ) . I n : I B G E C i d a d e s . D i s p o n í v e l</w:t>
      </w:r>
      <w:r>
        <w:rPr>
          <w:spacing w:val="27"/>
          <w:sz w:val="16"/>
        </w:rPr>
        <w:t xml:space="preserve"> </w:t>
      </w:r>
      <w:r>
        <w:rPr>
          <w:sz w:val="16"/>
        </w:rPr>
        <w:t xml:space="preserve">e m : </w:t>
      </w:r>
    </w:p>
    <w:p w:rsidR="00D81F69" w:rsidRDefault="00D81F69">
      <w:pPr>
        <w:spacing w:before="2"/>
        <w:ind w:left="100"/>
        <w:jc w:val="both"/>
        <w:rPr>
          <w:sz w:val="16"/>
        </w:rPr>
      </w:pPr>
      <w:hyperlink r:id="rId1581">
        <w:r w:rsidR="00330118">
          <w:rPr>
            <w:sz w:val="16"/>
          </w:rPr>
          <w:t>&lt;http://www.ibge.gov.br/cidadesat/xtras/perfil.php?codmun=354670&amp;r</w:t>
        </w:r>
      </w:hyperlink>
    </w:p>
    <w:p w:rsidR="00D81F69" w:rsidRDefault="00330118">
      <w:pPr>
        <w:spacing w:before="56"/>
        <w:ind w:left="100"/>
        <w:jc w:val="both"/>
        <w:rPr>
          <w:sz w:val="16"/>
        </w:rPr>
      </w:pPr>
      <w:r>
        <w:rPr>
          <w:sz w:val="16"/>
        </w:rPr>
        <w:t>=2&gt;. Acesso em: 16 dez. 2011.</w:t>
      </w:r>
    </w:p>
    <w:p w:rsidR="00D81F69" w:rsidRDefault="00330118">
      <w:pPr>
        <w:spacing w:before="56" w:line="312" w:lineRule="auto"/>
        <w:ind w:left="100" w:right="196"/>
        <w:jc w:val="both"/>
        <w:rPr>
          <w:sz w:val="16"/>
        </w:rPr>
      </w:pPr>
      <w:r>
        <w:rPr>
          <w:sz w:val="16"/>
        </w:rPr>
        <w:t xml:space="preserve">JORNAL DE PIRACICABA. Todas as olarias locais são irregulares,  11 maio 2010. Disponível em: </w:t>
      </w:r>
      <w:hyperlink r:id="rId1582">
        <w:r>
          <w:rPr>
            <w:sz w:val="16"/>
          </w:rPr>
          <w:t xml:space="preserve">&lt;http://www.jpjornal.com.br/&gt;. </w:t>
        </w:r>
      </w:hyperlink>
      <w:r>
        <w:rPr>
          <w:sz w:val="16"/>
        </w:rPr>
        <w:t>Acesso em: 17 dez.</w:t>
      </w:r>
      <w:r>
        <w:rPr>
          <w:spacing w:val="23"/>
          <w:sz w:val="16"/>
        </w:rPr>
        <w:t xml:space="preserve"> </w:t>
      </w:r>
      <w:r>
        <w:rPr>
          <w:sz w:val="16"/>
        </w:rPr>
        <w:t>2011.</w:t>
      </w:r>
    </w:p>
    <w:p w:rsidR="00D81F69" w:rsidRDefault="00330118">
      <w:pPr>
        <w:spacing w:before="2" w:line="312" w:lineRule="auto"/>
        <w:ind w:left="100" w:right="193"/>
        <w:jc w:val="both"/>
        <w:rPr>
          <w:sz w:val="16"/>
        </w:rPr>
      </w:pPr>
      <w:r>
        <w:rPr>
          <w:sz w:val="16"/>
        </w:rPr>
        <w:t xml:space="preserve">OTTO, Rafael; FARIA, Maria Regina Meireles de; QUEIROZ, Fábio </w:t>
      </w:r>
      <w:r>
        <w:rPr>
          <w:sz w:val="16"/>
        </w:rPr>
        <w:t>Eduardo de Campos; MOURA, Thiago Augusto de; VITTI, Godofredo Cesar; CANTARELLA, Heitor. Rendimento da cana-de-acúcar é afetado por flúor. Revista de Ciências Agronômicas, Bragantina, Campinas, v. 66, n. 3, p. 505 - 509, 12 abr. 2007. Disponível em:</w:t>
      </w:r>
    </w:p>
    <w:p w:rsidR="00D81F69" w:rsidRDefault="00D81F69">
      <w:pPr>
        <w:spacing w:before="4" w:line="312" w:lineRule="auto"/>
        <w:ind w:left="100" w:right="215"/>
        <w:jc w:val="both"/>
        <w:rPr>
          <w:sz w:val="16"/>
        </w:rPr>
      </w:pPr>
      <w:hyperlink r:id="rId1583">
        <w:r w:rsidR="00330118">
          <w:rPr>
            <w:sz w:val="16"/>
          </w:rPr>
          <w:t xml:space="preserve">&lt;http://www.scielo.br/pdf/brag/v66n3/a18v66n3.pdf&gt;. </w:t>
        </w:r>
      </w:hyperlink>
      <w:r w:rsidR="00330118">
        <w:rPr>
          <w:sz w:val="16"/>
        </w:rPr>
        <w:t>Acesso em: 29 abr. 2010.</w:t>
      </w:r>
    </w:p>
    <w:p w:rsidR="00D81F69" w:rsidRDefault="00330118">
      <w:pPr>
        <w:spacing w:before="2" w:line="312" w:lineRule="auto"/>
        <w:ind w:left="100" w:right="193"/>
        <w:jc w:val="both"/>
        <w:rPr>
          <w:sz w:val="16"/>
        </w:rPr>
      </w:pPr>
      <w:r>
        <w:rPr>
          <w:sz w:val="16"/>
        </w:rPr>
        <w:t>POLETTO, Emílio R. A Inovação tecnológica e a utilização de tecnologias ambientais como fator de diminuição de impactos</w:t>
      </w:r>
      <w:r>
        <w:rPr>
          <w:sz w:val="16"/>
        </w:rPr>
        <w:t xml:space="preserve"> ambientais na indústria cerâmica: o caso do APL de pisos e revestimentos de Santa Gertrudes (SP), 2007. Dissertação (Mestrado em Geografia). Geografia, v. 16, n. 2, jul./dez. 2007, Universidade Estadual de Londrina (Londrina-PR), p. 25 - 48. Disponível em</w:t>
      </w:r>
      <w:r>
        <w:rPr>
          <w:sz w:val="16"/>
        </w:rPr>
        <w:t>:</w:t>
      </w:r>
    </w:p>
    <w:p w:rsidR="00D81F69" w:rsidRDefault="00D81F69">
      <w:pPr>
        <w:spacing w:before="5" w:line="312" w:lineRule="auto"/>
        <w:ind w:left="100" w:right="192"/>
        <w:jc w:val="both"/>
        <w:rPr>
          <w:sz w:val="16"/>
        </w:rPr>
      </w:pPr>
      <w:hyperlink r:id="rId1584">
        <w:r w:rsidR="00330118">
          <w:rPr>
            <w:sz w:val="16"/>
          </w:rPr>
          <w:t>&lt;http://www.bvsde.paho.org/bvsAIDIS/PuertoRico29/gertru.pdf&gt;.</w:t>
        </w:r>
      </w:hyperlink>
      <w:r w:rsidR="00330118">
        <w:rPr>
          <w:sz w:val="16"/>
        </w:rPr>
        <w:t xml:space="preserve"> Acesso em: 26 abr. 2010.</w:t>
      </w:r>
    </w:p>
    <w:p w:rsidR="00D81F69" w:rsidRDefault="00330118">
      <w:pPr>
        <w:spacing w:before="2"/>
        <w:ind w:left="100"/>
        <w:jc w:val="both"/>
        <w:rPr>
          <w:sz w:val="16"/>
        </w:rPr>
      </w:pPr>
      <w:r>
        <w:rPr>
          <w:spacing w:val="21"/>
          <w:sz w:val="16"/>
        </w:rPr>
        <w:t xml:space="preserve">REDE </w:t>
      </w:r>
      <w:r>
        <w:rPr>
          <w:spacing w:val="20"/>
          <w:sz w:val="16"/>
        </w:rPr>
        <w:t xml:space="preserve">APL </w:t>
      </w:r>
      <w:r>
        <w:rPr>
          <w:spacing w:val="25"/>
          <w:sz w:val="16"/>
        </w:rPr>
        <w:t>MINERAL.</w:t>
      </w:r>
      <w:r>
        <w:rPr>
          <w:spacing w:val="95"/>
          <w:sz w:val="16"/>
        </w:rPr>
        <w:t xml:space="preserve"> </w:t>
      </w:r>
      <w:r>
        <w:rPr>
          <w:spacing w:val="25"/>
          <w:sz w:val="16"/>
        </w:rPr>
        <w:t>Sudeste.</w:t>
      </w:r>
      <w:r>
        <w:rPr>
          <w:spacing w:val="95"/>
          <w:sz w:val="16"/>
        </w:rPr>
        <w:t xml:space="preserve"> </w:t>
      </w:r>
      <w:r>
        <w:rPr>
          <w:spacing w:val="26"/>
          <w:sz w:val="16"/>
        </w:rPr>
        <w:t>Disponível</w:t>
      </w:r>
      <w:r>
        <w:rPr>
          <w:spacing w:val="92"/>
          <w:sz w:val="16"/>
        </w:rPr>
        <w:t xml:space="preserve"> </w:t>
      </w:r>
      <w:r>
        <w:rPr>
          <w:spacing w:val="20"/>
          <w:sz w:val="16"/>
        </w:rPr>
        <w:t>em:</w:t>
      </w:r>
      <w:r>
        <w:rPr>
          <w:spacing w:val="-14"/>
          <w:sz w:val="16"/>
        </w:rPr>
        <w:t xml:space="preserve"> </w:t>
      </w:r>
    </w:p>
    <w:p w:rsidR="00D81F69" w:rsidRDefault="00D81F69">
      <w:pPr>
        <w:spacing w:before="56" w:line="312" w:lineRule="auto"/>
        <w:ind w:left="100" w:right="214"/>
        <w:jc w:val="both"/>
        <w:rPr>
          <w:sz w:val="16"/>
        </w:rPr>
      </w:pPr>
      <w:hyperlink r:id="rId1585">
        <w:r w:rsidR="00330118">
          <w:rPr>
            <w:sz w:val="16"/>
          </w:rPr>
          <w:t xml:space="preserve">&lt;http://www.redeaplmineral.org.br/mapa/sudeste#&gt;. </w:t>
        </w:r>
      </w:hyperlink>
      <w:r w:rsidR="00330118">
        <w:rPr>
          <w:sz w:val="16"/>
        </w:rPr>
        <w:t>Acesso em: 16 dez. 2011.</w:t>
      </w:r>
    </w:p>
    <w:p w:rsidR="00D81F69" w:rsidRDefault="00330118">
      <w:pPr>
        <w:spacing w:before="1" w:line="312" w:lineRule="auto"/>
        <w:ind w:left="100" w:right="197"/>
        <w:jc w:val="both"/>
        <w:rPr>
          <w:sz w:val="16"/>
        </w:rPr>
      </w:pPr>
      <w:r>
        <w:rPr>
          <w:sz w:val="16"/>
        </w:rPr>
        <w:t xml:space="preserve">RODRIGUES, Felipe. Tijolos mais caros, Gazeta de Piracicaba, 08  jul. 2010. Disponível em: </w:t>
      </w:r>
      <w:hyperlink r:id="rId1586">
        <w:r>
          <w:rPr>
            <w:sz w:val="16"/>
          </w:rPr>
          <w:t>&lt;http://www.jpjornal.com.br/&gt;</w:t>
        </w:r>
        <w:r>
          <w:rPr>
            <w:sz w:val="16"/>
          </w:rPr>
          <w:t xml:space="preserve">. </w:t>
        </w:r>
      </w:hyperlink>
      <w:r>
        <w:rPr>
          <w:sz w:val="16"/>
        </w:rPr>
        <w:t>Acesso em: 17 dez.</w:t>
      </w:r>
      <w:r>
        <w:rPr>
          <w:spacing w:val="21"/>
          <w:sz w:val="16"/>
        </w:rPr>
        <w:t xml:space="preserve"> </w:t>
      </w:r>
      <w:r>
        <w:rPr>
          <w:sz w:val="16"/>
        </w:rPr>
        <w:t>2011.</w:t>
      </w:r>
    </w:p>
    <w:p w:rsidR="00D81F69" w:rsidRDefault="00330118">
      <w:pPr>
        <w:spacing w:before="3" w:line="312" w:lineRule="auto"/>
        <w:ind w:left="100" w:right="190"/>
        <w:jc w:val="both"/>
        <w:rPr>
          <w:sz w:val="16"/>
        </w:rPr>
      </w:pPr>
      <w:r>
        <w:rPr>
          <w:sz w:val="16"/>
        </w:rPr>
        <w:t>ROVERI, Carolina del; ZANARDO, Antenor; MOTTA, José Francisco Marciano. Reintegração dos finos provenientes do beneficiamento de argila no processo de produção de revestimentos via seca. Rev. Esc. Minas  v.  59,  n.4,  Ouro  Pret</w:t>
      </w:r>
      <w:r>
        <w:rPr>
          <w:sz w:val="16"/>
        </w:rPr>
        <w:t>o,  out./dez. 2006.  Disponível em:</w:t>
      </w:r>
    </w:p>
    <w:p w:rsidR="00D81F69" w:rsidRDefault="00D81F69">
      <w:pPr>
        <w:spacing w:before="3" w:line="312" w:lineRule="auto"/>
        <w:ind w:left="100" w:right="162"/>
        <w:jc w:val="both"/>
        <w:rPr>
          <w:sz w:val="16"/>
        </w:rPr>
      </w:pPr>
      <w:hyperlink r:id="rId1587">
        <w:r w:rsidR="00330118">
          <w:rPr>
            <w:spacing w:val="40"/>
            <w:sz w:val="16"/>
          </w:rPr>
          <w:t xml:space="preserve">&lt;http://www.scielo.br/scielo.php?pid=S0370- </w:t>
        </w:r>
      </w:hyperlink>
      <w:r w:rsidR="00330118">
        <w:rPr>
          <w:sz w:val="16"/>
        </w:rPr>
        <w:t>44672006000400005&amp;script=sci_arttext&gt;. Acesso em: 28 abr. 2010. SEBRAE; ESPM. Serviço Brasileiro de Apoio às Micro e</w:t>
      </w:r>
      <w:r w:rsidR="00330118">
        <w:rPr>
          <w:sz w:val="16"/>
        </w:rPr>
        <w:t xml:space="preserve"> Pequenas Empresas; Escola Superior de Propaganda e Marketing. Cerâmica vermelha para construção: Telhas, tijolos e tubos - relatório completo. </w:t>
      </w:r>
      <w:r w:rsidR="00330118">
        <w:rPr>
          <w:spacing w:val="31"/>
          <w:sz w:val="16"/>
        </w:rPr>
        <w:t xml:space="preserve">Série   </w:t>
      </w:r>
      <w:r w:rsidR="00330118">
        <w:rPr>
          <w:spacing w:val="35"/>
          <w:sz w:val="16"/>
        </w:rPr>
        <w:t xml:space="preserve">mercado,   </w:t>
      </w:r>
      <w:r w:rsidR="00330118">
        <w:rPr>
          <w:spacing w:val="30"/>
          <w:sz w:val="16"/>
        </w:rPr>
        <w:t xml:space="preserve">set.   </w:t>
      </w:r>
      <w:r w:rsidR="00330118">
        <w:rPr>
          <w:spacing w:val="31"/>
          <w:sz w:val="16"/>
        </w:rPr>
        <w:t xml:space="preserve">2008.   </w:t>
      </w:r>
      <w:r w:rsidR="00330118">
        <w:rPr>
          <w:spacing w:val="35"/>
          <w:sz w:val="16"/>
        </w:rPr>
        <w:t xml:space="preserve">Disponível  </w:t>
      </w:r>
      <w:r w:rsidR="00330118">
        <w:rPr>
          <w:spacing w:val="25"/>
          <w:sz w:val="16"/>
        </w:rPr>
        <w:t>em:</w:t>
      </w:r>
      <w:r w:rsidR="00330118">
        <w:rPr>
          <w:spacing w:val="-5"/>
          <w:sz w:val="16"/>
        </w:rPr>
        <w:t xml:space="preserve"> </w:t>
      </w:r>
    </w:p>
    <w:p w:rsidR="00D81F69" w:rsidRDefault="00D81F69">
      <w:pPr>
        <w:spacing w:before="5" w:line="312" w:lineRule="auto"/>
        <w:ind w:left="100" w:right="199"/>
        <w:jc w:val="both"/>
        <w:rPr>
          <w:sz w:val="16"/>
        </w:rPr>
      </w:pPr>
      <w:hyperlink r:id="rId1588">
        <w:r w:rsidR="00330118">
          <w:rPr>
            <w:sz w:val="16"/>
          </w:rPr>
          <w:t>&lt;http://www.biblioteca.sebrae.com.br/bds/BDS.nsf/C5B4284E128962</w:t>
        </w:r>
      </w:hyperlink>
      <w:r w:rsidR="00330118">
        <w:rPr>
          <w:sz w:val="16"/>
        </w:rPr>
        <w:t xml:space="preserve"> 89832574C1004E55DA/$File/NT00038DAA.pdf&gt;. Acesso em: 19 dez.</w:t>
      </w:r>
    </w:p>
    <w:p w:rsidR="00D81F69" w:rsidRDefault="00330118">
      <w:pPr>
        <w:spacing w:before="2"/>
        <w:ind w:left="100"/>
        <w:jc w:val="both"/>
        <w:rPr>
          <w:sz w:val="16"/>
        </w:rPr>
      </w:pPr>
      <w:r>
        <w:rPr>
          <w:sz w:val="16"/>
        </w:rPr>
        <w:t>2011.</w:t>
      </w:r>
    </w:p>
    <w:p w:rsidR="00D81F69" w:rsidRDefault="00D81F69">
      <w:pPr>
        <w:jc w:val="both"/>
        <w:rPr>
          <w:sz w:val="16"/>
        </w:rPr>
        <w:sectPr w:rsidR="00D81F69">
          <w:pgSz w:w="11900" w:h="16840"/>
          <w:pgMar w:top="740" w:right="500" w:bottom="720" w:left="620" w:header="0" w:footer="402" w:gutter="0"/>
          <w:cols w:num="2" w:space="720" w:equalWidth="0">
            <w:col w:w="5231" w:space="239"/>
            <w:col w:w="5310"/>
          </w:cols>
        </w:sectPr>
      </w:pPr>
    </w:p>
    <w:p w:rsidR="00D81F69" w:rsidRDefault="00330118">
      <w:pPr>
        <w:pStyle w:val="Heading1"/>
        <w:spacing w:line="208" w:lineRule="auto"/>
      </w:pPr>
      <w:r>
        <w:lastRenderedPageBreak/>
        <w:t>Empresa minero-quí</w:t>
      </w:r>
      <w:r>
        <w:t>mica armazena irregularmente toneladas de lixo radioativo em Itu e São Paulo (SP)</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SP - Itu</w:t>
      </w:r>
    </w:p>
    <w:p w:rsidR="00D81F69" w:rsidRDefault="00330118">
      <w:pPr>
        <w:spacing w:before="49"/>
        <w:ind w:left="135"/>
        <w:rPr>
          <w:i/>
          <w:sz w:val="14"/>
        </w:rPr>
      </w:pPr>
      <w:r>
        <w:rPr>
          <w:i/>
          <w:sz w:val="14"/>
        </w:rPr>
        <w:t>SP - São Paulo</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-23,2657</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-47,2991</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4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Na zona rural do município de Itu e na </w:t>
      </w:r>
      <w:r>
        <w:rPr>
          <w:i/>
          <w:sz w:val="16"/>
        </w:rPr>
        <w:t xml:space="preserve">zona sul da cidade de São Paulo, parte </w:t>
      </w:r>
      <w:r>
        <w:rPr>
          <w:i/>
          <w:spacing w:val="11"/>
          <w:sz w:val="16"/>
        </w:rPr>
        <w:t xml:space="preserve">da </w:t>
      </w:r>
      <w:r>
        <w:rPr>
          <w:i/>
          <w:spacing w:val="21"/>
          <w:sz w:val="16"/>
        </w:rPr>
        <w:t xml:space="preserve">população </w:t>
      </w:r>
      <w:r>
        <w:rPr>
          <w:i/>
          <w:spacing w:val="20"/>
          <w:sz w:val="16"/>
        </w:rPr>
        <w:t>convive</w:t>
      </w:r>
      <w:r>
        <w:rPr>
          <w:i/>
          <w:spacing w:val="85"/>
          <w:sz w:val="16"/>
        </w:rPr>
        <w:t xml:space="preserve"> </w:t>
      </w:r>
      <w:r>
        <w:rPr>
          <w:i/>
          <w:spacing w:val="15"/>
          <w:sz w:val="16"/>
        </w:rPr>
        <w:t>com</w:t>
      </w:r>
      <w:r>
        <w:rPr>
          <w:i/>
          <w:spacing w:val="75"/>
          <w:sz w:val="16"/>
        </w:rPr>
        <w:t xml:space="preserve"> </w:t>
      </w:r>
      <w:r>
        <w:rPr>
          <w:i/>
          <w:sz w:val="16"/>
        </w:rPr>
        <w:t xml:space="preserve">a </w:t>
      </w:r>
      <w:r>
        <w:rPr>
          <w:i/>
          <w:spacing w:val="10"/>
          <w:sz w:val="16"/>
        </w:rPr>
        <w:t xml:space="preserve">contaminação </w:t>
      </w:r>
      <w:r>
        <w:rPr>
          <w:i/>
          <w:spacing w:val="5"/>
          <w:sz w:val="16"/>
        </w:rPr>
        <w:t xml:space="preserve">do </w:t>
      </w:r>
      <w:r>
        <w:rPr>
          <w:i/>
          <w:spacing w:val="7"/>
          <w:sz w:val="16"/>
        </w:rPr>
        <w:t xml:space="preserve">solo </w:t>
      </w:r>
      <w:r>
        <w:rPr>
          <w:i/>
          <w:sz w:val="16"/>
        </w:rPr>
        <w:t xml:space="preserve">e </w:t>
      </w:r>
      <w:r>
        <w:rPr>
          <w:i/>
          <w:spacing w:val="5"/>
          <w:sz w:val="16"/>
        </w:rPr>
        <w:t xml:space="preserve">do </w:t>
      </w:r>
      <w:r>
        <w:rPr>
          <w:i/>
          <w:spacing w:val="10"/>
          <w:sz w:val="16"/>
        </w:rPr>
        <w:t xml:space="preserve">lençol </w:t>
      </w:r>
      <w:r>
        <w:rPr>
          <w:i/>
          <w:spacing w:val="3"/>
          <w:sz w:val="16"/>
        </w:rPr>
        <w:t xml:space="preserve">freático </w:t>
      </w:r>
      <w:r>
        <w:rPr>
          <w:i/>
          <w:spacing w:val="2"/>
          <w:sz w:val="16"/>
        </w:rPr>
        <w:t xml:space="preserve">por lixo </w:t>
      </w:r>
      <w:r>
        <w:rPr>
          <w:i/>
          <w:spacing w:val="3"/>
          <w:sz w:val="16"/>
        </w:rPr>
        <w:t xml:space="preserve">tóxico resultante </w:t>
      </w:r>
      <w:r>
        <w:rPr>
          <w:i/>
          <w:spacing w:val="5"/>
          <w:sz w:val="16"/>
        </w:rPr>
        <w:t xml:space="preserve">dos </w:t>
      </w:r>
      <w:r>
        <w:rPr>
          <w:i/>
          <w:sz w:val="16"/>
        </w:rPr>
        <w:t xml:space="preserve">processos químicos de beneficiamento </w:t>
      </w:r>
      <w:r>
        <w:rPr>
          <w:i/>
          <w:spacing w:val="2"/>
          <w:sz w:val="16"/>
        </w:rPr>
        <w:t xml:space="preserve">da </w:t>
      </w:r>
      <w:r>
        <w:rPr>
          <w:i/>
          <w:spacing w:val="3"/>
          <w:sz w:val="16"/>
        </w:rPr>
        <w:t xml:space="preserve">areia </w:t>
      </w:r>
      <w:r>
        <w:rPr>
          <w:i/>
          <w:spacing w:val="5"/>
          <w:sz w:val="16"/>
        </w:rPr>
        <w:t xml:space="preserve">monazítica proveniente das </w:t>
      </w:r>
      <w:r>
        <w:rPr>
          <w:i/>
          <w:spacing w:val="10"/>
          <w:sz w:val="16"/>
        </w:rPr>
        <w:t xml:space="preserve">usinas </w:t>
      </w:r>
      <w:r>
        <w:rPr>
          <w:i/>
          <w:spacing w:val="8"/>
          <w:sz w:val="16"/>
        </w:rPr>
        <w:t xml:space="preserve">Santo Amaro </w:t>
      </w:r>
      <w:r>
        <w:rPr>
          <w:i/>
          <w:sz w:val="16"/>
        </w:rPr>
        <w:t xml:space="preserve">e </w:t>
      </w:r>
      <w:r>
        <w:rPr>
          <w:i/>
          <w:spacing w:val="11"/>
          <w:sz w:val="16"/>
        </w:rPr>
        <w:t xml:space="preserve">Interlagos, </w:t>
      </w:r>
      <w:r>
        <w:rPr>
          <w:i/>
          <w:spacing w:val="8"/>
          <w:sz w:val="16"/>
        </w:rPr>
        <w:t>pertencente</w:t>
      </w:r>
      <w:r>
        <w:rPr>
          <w:i/>
          <w:spacing w:val="8"/>
          <w:sz w:val="16"/>
        </w:rPr>
        <w:t xml:space="preserve">s </w:t>
      </w:r>
      <w:r>
        <w:rPr>
          <w:i/>
          <w:sz w:val="16"/>
        </w:rPr>
        <w:t xml:space="preserve">à </w:t>
      </w:r>
      <w:r>
        <w:rPr>
          <w:i/>
          <w:spacing w:val="7"/>
          <w:sz w:val="16"/>
        </w:rPr>
        <w:t xml:space="preserve">Nuclebrás </w:t>
      </w:r>
      <w:r>
        <w:rPr>
          <w:i/>
          <w:spacing w:val="10"/>
          <w:sz w:val="16"/>
        </w:rPr>
        <w:t>Monazita (Nuclemon).</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4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14"/>
      </w:pPr>
      <w:r>
        <w:t>era submetido a um outro processo de purificação em filtro- prensa, resultando no mesotório, ainda mais radioativo que a torta II (SINDICATO DOS QUÍMICOS DE SÃO PAULO, 2008)</w:t>
      </w:r>
    </w:p>
    <w:p w:rsidR="00D81F69" w:rsidRDefault="00330118">
      <w:pPr>
        <w:pStyle w:val="Corpodetexto"/>
        <w:spacing w:before="2" w:line="312" w:lineRule="auto"/>
        <w:ind w:left="135" w:right="191"/>
      </w:pPr>
      <w:r>
        <w:t>e altamente solúvel em água (COUTO, 2010; L</w:t>
      </w:r>
      <w:r>
        <w:t>ANCMAN, 2011). Como o bairro do Brooklin fica perto do Córrego das Águas Espraiadas, com o lençol freático próximo à superfície, havia um risco grande de contaminação do ambiente pelo material radioativo (GIANASSI, 2003).</w:t>
      </w:r>
    </w:p>
    <w:p w:rsidR="00D81F69" w:rsidRDefault="00330118">
      <w:pPr>
        <w:pStyle w:val="Corpodetexto"/>
        <w:spacing w:before="135" w:line="312" w:lineRule="auto"/>
        <w:ind w:left="135" w:right="212"/>
      </w:pPr>
      <w:r>
        <w:t xml:space="preserve">Durante o período de atividade da </w:t>
      </w:r>
      <w:r>
        <w:t>empresa, o resíduo torta II começou a ser armazenado também em Poços de Caldas (MG) e no bairro de Botuxim (LANCMAN, 2011), na zona rural</w:t>
      </w:r>
    </w:p>
    <w:p w:rsidR="00D81F69" w:rsidRDefault="00D81F69">
      <w:pPr>
        <w:spacing w:line="312" w:lineRule="auto"/>
        <w:sectPr w:rsidR="00D81F69">
          <w:type w:val="continuous"/>
          <w:pgSz w:w="11900" w:h="16840"/>
          <w:pgMar w:top="720" w:right="500" w:bottom="280" w:left="620" w:header="720" w:footer="720" w:gutter="0"/>
          <w:cols w:num="3" w:space="720" w:equalWidth="0">
            <w:col w:w="1133" w:space="867"/>
            <w:col w:w="3127" w:space="308"/>
            <w:col w:w="5345"/>
          </w:cols>
        </w:sectPr>
      </w:pPr>
    </w:p>
    <w:p w:rsidR="00D81F69" w:rsidRDefault="00330118">
      <w:pPr>
        <w:pStyle w:val="Heading4"/>
        <w:spacing w:before="86"/>
        <w:jc w:val="left"/>
      </w:pPr>
      <w:r>
        <w:lastRenderedPageBreak/>
        <w:t>APRESENTAÇÃO DE CASO</w:t>
      </w:r>
    </w:p>
    <w:p w:rsidR="00D81F69" w:rsidRDefault="00330118">
      <w:pPr>
        <w:pStyle w:val="Corpodetexto"/>
        <w:spacing w:before="171" w:line="312" w:lineRule="auto"/>
        <w:ind w:right="38"/>
      </w:pPr>
      <w:r>
        <w:t xml:space="preserve">A </w:t>
      </w:r>
      <w:r>
        <w:rPr>
          <w:spacing w:val="3"/>
        </w:rPr>
        <w:t xml:space="preserve">monazita </w:t>
      </w:r>
      <w:r>
        <w:t xml:space="preserve">- </w:t>
      </w:r>
      <w:r>
        <w:rPr>
          <w:spacing w:val="3"/>
        </w:rPr>
        <w:t xml:space="preserve">extraída </w:t>
      </w:r>
      <w:r>
        <w:rPr>
          <w:spacing w:val="1"/>
        </w:rPr>
        <w:t xml:space="preserve">da </w:t>
      </w:r>
      <w:r>
        <w:rPr>
          <w:spacing w:val="3"/>
        </w:rPr>
        <w:t xml:space="preserve">areia monazítica, abundante </w:t>
      </w:r>
      <w:r>
        <w:rPr>
          <w:spacing w:val="5"/>
        </w:rPr>
        <w:t xml:space="preserve">na </w:t>
      </w:r>
      <w:r>
        <w:t xml:space="preserve">costa do Rio de Janeiro e da Bahia - é fonte de </w:t>
      </w:r>
      <w:hyperlink r:id="rId1589">
        <w:r>
          <w:t xml:space="preserve">urânio </w:t>
        </w:r>
      </w:hyperlink>
      <w:r>
        <w:t xml:space="preserve">e tório, </w:t>
      </w:r>
      <w:r>
        <w:rPr>
          <w:spacing w:val="10"/>
        </w:rPr>
        <w:t xml:space="preserve">elementos químicos radioativos. </w:t>
      </w:r>
      <w:r>
        <w:t xml:space="preserve">O </w:t>
      </w:r>
      <w:r>
        <w:rPr>
          <w:spacing w:val="10"/>
        </w:rPr>
        <w:t xml:space="preserve">mineral </w:t>
      </w:r>
      <w:r>
        <w:t xml:space="preserve">é </w:t>
      </w:r>
      <w:r>
        <w:rPr>
          <w:spacing w:val="12"/>
        </w:rPr>
        <w:t xml:space="preserve">usado </w:t>
      </w:r>
      <w:r>
        <w:rPr>
          <w:spacing w:val="3"/>
        </w:rPr>
        <w:t xml:space="preserve">industrialmente </w:t>
      </w:r>
      <w:r>
        <w:rPr>
          <w:spacing w:val="1"/>
        </w:rPr>
        <w:t xml:space="preserve">no </w:t>
      </w:r>
      <w:r>
        <w:rPr>
          <w:spacing w:val="3"/>
        </w:rPr>
        <w:t xml:space="preserve">tratamento </w:t>
      </w:r>
      <w:r>
        <w:rPr>
          <w:spacing w:val="1"/>
        </w:rPr>
        <w:t xml:space="preserve">de </w:t>
      </w:r>
      <w:r>
        <w:rPr>
          <w:spacing w:val="3"/>
        </w:rPr>
        <w:t xml:space="preserve">águas </w:t>
      </w:r>
      <w:r>
        <w:rPr>
          <w:spacing w:val="1"/>
        </w:rPr>
        <w:t xml:space="preserve">de </w:t>
      </w:r>
      <w:r>
        <w:rPr>
          <w:spacing w:val="3"/>
        </w:rPr>
        <w:t xml:space="preserve">caldeira </w:t>
      </w:r>
      <w:r>
        <w:t xml:space="preserve">e </w:t>
      </w:r>
      <w:r>
        <w:rPr>
          <w:spacing w:val="5"/>
        </w:rPr>
        <w:t xml:space="preserve">na </w:t>
      </w:r>
      <w:r>
        <w:rPr>
          <w:spacing w:val="15"/>
        </w:rPr>
        <w:t xml:space="preserve">formulação </w:t>
      </w:r>
      <w:r>
        <w:rPr>
          <w:spacing w:val="7"/>
        </w:rPr>
        <w:t xml:space="preserve">de </w:t>
      </w:r>
      <w:r>
        <w:rPr>
          <w:spacing w:val="15"/>
        </w:rPr>
        <w:t xml:space="preserve">detergente, </w:t>
      </w:r>
      <w:r>
        <w:rPr>
          <w:spacing w:val="11"/>
        </w:rPr>
        <w:t xml:space="preserve">pois </w:t>
      </w:r>
      <w:r>
        <w:rPr>
          <w:spacing w:val="10"/>
        </w:rPr>
        <w:t>tem</w:t>
      </w:r>
      <w:r>
        <w:rPr>
          <w:spacing w:val="71"/>
        </w:rPr>
        <w:t xml:space="preserve"> </w:t>
      </w:r>
      <w:r>
        <w:rPr>
          <w:spacing w:val="15"/>
        </w:rPr>
        <w:t xml:space="preserve">propriedades </w:t>
      </w:r>
      <w:r>
        <w:t xml:space="preserve">desengraxante e desengordurante. A monazita era a principal </w:t>
      </w:r>
      <w:r>
        <w:rPr>
          <w:spacing w:val="3"/>
        </w:rPr>
        <w:t xml:space="preserve">matéria prima utilizada </w:t>
      </w:r>
      <w:r>
        <w:rPr>
          <w:spacing w:val="1"/>
        </w:rPr>
        <w:t xml:space="preserve">na </w:t>
      </w:r>
      <w:r>
        <w:rPr>
          <w:spacing w:val="3"/>
        </w:rPr>
        <w:t xml:space="preserve">Usina Santa Amaro (Usam), </w:t>
      </w:r>
      <w:r>
        <w:rPr>
          <w:spacing w:val="5"/>
        </w:rPr>
        <w:t xml:space="preserve">de </w:t>
      </w:r>
      <w:r>
        <w:rPr>
          <w:spacing w:val="10"/>
        </w:rPr>
        <w:t xml:space="preserve">propriedade </w:t>
      </w:r>
      <w:r>
        <w:rPr>
          <w:spacing w:val="5"/>
        </w:rPr>
        <w:t xml:space="preserve">da </w:t>
      </w:r>
      <w:r>
        <w:rPr>
          <w:spacing w:val="8"/>
        </w:rPr>
        <w:t xml:space="preserve">Nuclebrás Monazita </w:t>
      </w:r>
      <w:r>
        <w:rPr>
          <w:spacing w:val="10"/>
        </w:rPr>
        <w:t xml:space="preserve">(Nuclemon), que </w:t>
      </w:r>
      <w:r>
        <w:t>funcionou no bairro do Brooklin, na z</w:t>
      </w:r>
      <w:r>
        <w:t xml:space="preserve">ona sul da cidade de São Paulo – 1.523 km² e 11.253.503 habitantes (IBGE, 2010a) – por mais de 50 anos (DUARTE, 2006; COUTO, </w:t>
      </w:r>
      <w:r>
        <w:rPr>
          <w:spacing w:val="1"/>
        </w:rPr>
        <w:t>2010).</w:t>
      </w:r>
    </w:p>
    <w:p w:rsidR="00D81F69" w:rsidRDefault="00330118">
      <w:pPr>
        <w:pStyle w:val="Corpodetexto"/>
        <w:spacing w:before="140" w:line="312" w:lineRule="auto"/>
        <w:ind w:right="82"/>
      </w:pPr>
      <w:r>
        <w:t>A Nuclemon – primeira empresa nuclear brasileira (SINDICATO DOS QUÍMICOS DE SÃO PAULO, 2008) -</w:t>
      </w:r>
    </w:p>
    <w:p w:rsidR="00D81F69" w:rsidRDefault="00330118">
      <w:pPr>
        <w:pStyle w:val="Corpodetexto"/>
        <w:spacing w:before="2" w:line="312" w:lineRule="auto"/>
        <w:ind w:right="73"/>
      </w:pPr>
      <w:r>
        <w:t xml:space="preserve">surgiu na década de 1940 com </w:t>
      </w:r>
      <w:r>
        <w:t xml:space="preserve">o nome de Orquímica Indústrias Químicas. No final da década seguinte, foi adquirida pela Comissão Nacional de Energia Nuclear (CNEN), passando a se denominar Administração de Produção Monazita (APM). Na década de 1970, foi criada a Companhia Brasileira de </w:t>
      </w:r>
      <w:r>
        <w:t>Tecnologia Nuclear (CBTN), que passou a se chamar Nuclebrás em 1975 e atuava como “braço industrial” da CNEN. Quando surgiu a Nuclebrás, a APM passou a se denominar Nuclemon. Em 1988, a Nuclebrás foi incorporada à atual Indústrias Nucleares do Brasil (INB)</w:t>
      </w:r>
      <w:r>
        <w:t xml:space="preserve"> e a Nuclemon passou a fazer parte da INB (DUARTE, 2010). Além da Usam, a Nuclemon contava com a Usina Interlagos (Usin), localizada no bairro paulistano de Interlagos, também na zona sul paulistana (COUTO, 2010; LANCMAN, 2011).</w:t>
      </w:r>
    </w:p>
    <w:p w:rsidR="00D81F69" w:rsidRDefault="00330118">
      <w:pPr>
        <w:pStyle w:val="Corpodetexto"/>
        <w:spacing w:before="144" w:line="312" w:lineRule="auto"/>
        <w:ind w:right="70"/>
      </w:pPr>
      <w:r>
        <w:t xml:space="preserve">Na Usam, o pó da monazita passava por uma máquina alto- </w:t>
      </w:r>
      <w:r>
        <w:rPr>
          <w:spacing w:val="5"/>
        </w:rPr>
        <w:t xml:space="preserve">clave, depois </w:t>
      </w:r>
      <w:r>
        <w:rPr>
          <w:spacing w:val="3"/>
        </w:rPr>
        <w:t xml:space="preserve">era </w:t>
      </w:r>
      <w:r>
        <w:rPr>
          <w:spacing w:val="5"/>
        </w:rPr>
        <w:t xml:space="preserve">despejado </w:t>
      </w:r>
      <w:r>
        <w:rPr>
          <w:spacing w:val="3"/>
        </w:rPr>
        <w:t xml:space="preserve">num </w:t>
      </w:r>
      <w:r>
        <w:rPr>
          <w:spacing w:val="5"/>
        </w:rPr>
        <w:t xml:space="preserve">tanque </w:t>
      </w:r>
      <w:r>
        <w:rPr>
          <w:spacing w:val="2"/>
        </w:rPr>
        <w:t xml:space="preserve">e, em </w:t>
      </w:r>
      <w:r>
        <w:rPr>
          <w:spacing w:val="5"/>
        </w:rPr>
        <w:t>seguida,</w:t>
      </w:r>
      <w:r>
        <w:rPr>
          <w:spacing w:val="61"/>
        </w:rPr>
        <w:t xml:space="preserve"> </w:t>
      </w:r>
      <w:r>
        <w:t xml:space="preserve">passava por um filtro-prensa, onde eram retirados o fosfato e a </w:t>
      </w:r>
      <w:r>
        <w:rPr>
          <w:spacing w:val="1"/>
        </w:rPr>
        <w:t xml:space="preserve">massa, chamada torta </w:t>
      </w:r>
      <w:r>
        <w:t xml:space="preserve">I. Da </w:t>
      </w:r>
      <w:r>
        <w:rPr>
          <w:spacing w:val="1"/>
        </w:rPr>
        <w:t xml:space="preserve">torta </w:t>
      </w:r>
      <w:r>
        <w:t xml:space="preserve">I era </w:t>
      </w:r>
      <w:r>
        <w:rPr>
          <w:spacing w:val="1"/>
        </w:rPr>
        <w:t xml:space="preserve">extraído </w:t>
      </w:r>
      <w:r>
        <w:t xml:space="preserve">o </w:t>
      </w:r>
      <w:r>
        <w:rPr>
          <w:spacing w:val="2"/>
        </w:rPr>
        <w:t xml:space="preserve">cloreto </w:t>
      </w:r>
      <w:r>
        <w:rPr>
          <w:spacing w:val="5"/>
        </w:rPr>
        <w:t>terras raras, resultando</w:t>
      </w:r>
      <w:r>
        <w:rPr>
          <w:spacing w:val="5"/>
        </w:rPr>
        <w:t xml:space="preserve"> </w:t>
      </w:r>
      <w:r>
        <w:rPr>
          <w:spacing w:val="2"/>
        </w:rPr>
        <w:t xml:space="preserve">na </w:t>
      </w:r>
      <w:r>
        <w:rPr>
          <w:spacing w:val="5"/>
        </w:rPr>
        <w:t xml:space="preserve">torta </w:t>
      </w:r>
      <w:r>
        <w:rPr>
          <w:spacing w:val="3"/>
        </w:rPr>
        <w:t xml:space="preserve">II, </w:t>
      </w:r>
      <w:r>
        <w:rPr>
          <w:spacing w:val="5"/>
        </w:rPr>
        <w:t xml:space="preserve">altamente </w:t>
      </w:r>
      <w:r>
        <w:rPr>
          <w:spacing w:val="6"/>
        </w:rPr>
        <w:t xml:space="preserve">radioativa </w:t>
      </w:r>
      <w:r>
        <w:rPr>
          <w:spacing w:val="5"/>
        </w:rPr>
        <w:t>(SINDICATO</w:t>
      </w:r>
      <w:r>
        <w:rPr>
          <w:spacing w:val="36"/>
        </w:rPr>
        <w:t xml:space="preserve"> </w:t>
      </w:r>
      <w:r>
        <w:rPr>
          <w:spacing w:val="3"/>
        </w:rPr>
        <w:t>DOS</w:t>
      </w:r>
      <w:r>
        <w:rPr>
          <w:spacing w:val="36"/>
        </w:rPr>
        <w:t xml:space="preserve"> </w:t>
      </w:r>
      <w:r>
        <w:rPr>
          <w:spacing w:val="5"/>
        </w:rPr>
        <w:t>QUÍMICOS</w:t>
      </w:r>
      <w:r>
        <w:rPr>
          <w:spacing w:val="36"/>
        </w:rPr>
        <w:t xml:space="preserve"> </w:t>
      </w:r>
      <w:r>
        <w:rPr>
          <w:spacing w:val="2"/>
        </w:rPr>
        <w:t>DE</w:t>
      </w:r>
      <w:r>
        <w:rPr>
          <w:spacing w:val="36"/>
        </w:rPr>
        <w:t xml:space="preserve"> </w:t>
      </w:r>
      <w:r>
        <w:rPr>
          <w:spacing w:val="3"/>
        </w:rPr>
        <w:t>SÃO</w:t>
      </w:r>
      <w:r>
        <w:rPr>
          <w:spacing w:val="36"/>
        </w:rPr>
        <w:t xml:space="preserve"> </w:t>
      </w:r>
      <w:r>
        <w:rPr>
          <w:spacing w:val="5"/>
        </w:rPr>
        <w:t>PAULO,</w:t>
      </w:r>
      <w:r>
        <w:rPr>
          <w:spacing w:val="36"/>
        </w:rPr>
        <w:t xml:space="preserve"> </w:t>
      </w:r>
      <w:r>
        <w:rPr>
          <w:spacing w:val="3"/>
        </w:rPr>
        <w:t>2008)</w:t>
      </w:r>
      <w:r>
        <w:rPr>
          <w:spacing w:val="36"/>
        </w:rPr>
        <w:t xml:space="preserve"> </w:t>
      </w:r>
      <w:r>
        <w:t>e</w:t>
      </w:r>
    </w:p>
    <w:p w:rsidR="00D81F69" w:rsidRDefault="00330118">
      <w:pPr>
        <w:pStyle w:val="Corpodetexto"/>
        <w:spacing w:before="5" w:line="312" w:lineRule="auto"/>
        <w:ind w:right="76"/>
      </w:pPr>
      <w:r>
        <w:t>única fonte de urânio no país antes do funcionamento da mina de Poços de Caldas (MG) (DUARTE, 2010). O cloreto, então,</w:t>
      </w:r>
    </w:p>
    <w:p w:rsidR="00D81F69" w:rsidRDefault="00330118">
      <w:pPr>
        <w:pStyle w:val="Corpodetexto"/>
        <w:spacing w:before="3" w:line="312" w:lineRule="auto"/>
        <w:ind w:right="207"/>
        <w:jc w:val="left"/>
      </w:pPr>
      <w:r>
        <w:br w:type="column"/>
      </w:r>
      <w:r>
        <w:lastRenderedPageBreak/>
        <w:t xml:space="preserve">do município paulista de Itu - 154.147 habitantes e 640,757 km² (IBGE, 2010b) - num reservatório precário, a montante do </w:t>
      </w:r>
      <w:r>
        <w:rPr>
          <w:spacing w:val="11"/>
        </w:rPr>
        <w:t xml:space="preserve">córrego </w:t>
      </w:r>
      <w:r>
        <w:rPr>
          <w:spacing w:val="12"/>
        </w:rPr>
        <w:t xml:space="preserve">Monjolinho, principal manancial </w:t>
      </w:r>
      <w:r>
        <w:rPr>
          <w:spacing w:val="6"/>
        </w:rPr>
        <w:t xml:space="preserve">da </w:t>
      </w:r>
      <w:r>
        <w:rPr>
          <w:spacing w:val="11"/>
        </w:rPr>
        <w:t xml:space="preserve">cidade </w:t>
      </w:r>
      <w:r>
        <w:t xml:space="preserve">(GABEIRA,1985). Em 1979, foi constatado que mais de </w:t>
      </w:r>
      <w:r>
        <w:rPr>
          <w:spacing w:val="1"/>
        </w:rPr>
        <w:t xml:space="preserve">3,5  </w:t>
      </w:r>
      <w:r>
        <w:rPr>
          <w:spacing w:val="3"/>
        </w:rPr>
        <w:t xml:space="preserve">mil </w:t>
      </w:r>
      <w:r>
        <w:rPr>
          <w:spacing w:val="5"/>
        </w:rPr>
        <w:t>toneladas desse material</w:t>
      </w:r>
      <w:r>
        <w:rPr>
          <w:spacing w:val="5"/>
        </w:rPr>
        <w:t xml:space="preserve"> estavam dispostas </w:t>
      </w:r>
      <w:r>
        <w:rPr>
          <w:spacing w:val="2"/>
        </w:rPr>
        <w:t xml:space="preserve">em </w:t>
      </w:r>
      <w:r>
        <w:rPr>
          <w:spacing w:val="6"/>
        </w:rPr>
        <w:t xml:space="preserve">um </w:t>
      </w:r>
      <w:r>
        <w:rPr>
          <w:spacing w:val="3"/>
        </w:rPr>
        <w:t xml:space="preserve">depósito </w:t>
      </w:r>
      <w:r>
        <w:rPr>
          <w:spacing w:val="2"/>
        </w:rPr>
        <w:t xml:space="preserve">que não </w:t>
      </w:r>
      <w:r>
        <w:rPr>
          <w:spacing w:val="3"/>
        </w:rPr>
        <w:t xml:space="preserve">possuía cerca, sinalização </w:t>
      </w:r>
      <w:r>
        <w:rPr>
          <w:spacing w:val="1"/>
        </w:rPr>
        <w:t xml:space="preserve">ou </w:t>
      </w:r>
      <w:r>
        <w:rPr>
          <w:spacing w:val="5"/>
        </w:rPr>
        <w:t xml:space="preserve">cobertura </w:t>
      </w:r>
      <w:r>
        <w:rPr>
          <w:spacing w:val="3"/>
        </w:rPr>
        <w:t>(LANCMAN,</w:t>
      </w:r>
      <w:r>
        <w:rPr>
          <w:spacing w:val="23"/>
        </w:rPr>
        <w:t xml:space="preserve"> </w:t>
      </w:r>
      <w:r>
        <w:rPr>
          <w:spacing w:val="5"/>
        </w:rPr>
        <w:t>2011).</w:t>
      </w:r>
    </w:p>
    <w:p w:rsidR="00D81F69" w:rsidRDefault="00330118">
      <w:pPr>
        <w:pStyle w:val="Corpodetexto"/>
        <w:spacing w:before="136" w:line="312" w:lineRule="auto"/>
        <w:ind w:right="206"/>
      </w:pPr>
      <w:r>
        <w:t>Os trabalhadores da Nuclemon realizavam todo o trabalho de beneficiamento da monazita sem qualquer equipamento de proteção e sob condições inadequadas. Ficav</w:t>
      </w:r>
      <w:r>
        <w:t>am expostos à radioatividade e também à poeira, calor intenso, excesso de trabalho e barulho, o que fez com que muitos perdessem a audição. Apesar dos riscos de contaminação radioativa, as roupas utilizadas pelos trabalhadores na usina eram lavadas em casa</w:t>
      </w:r>
      <w:r>
        <w:t>, misturadas às roupas de suas famílias. No setor da usina conhecido como amassador era feita a mistura de ácido sulfúrico com pó da pedra de abrigonita para obtenção, entre outras coisas, do fosfato de lítio. O processo gerava muita fumaça, mas os trabalh</w:t>
      </w:r>
      <w:r>
        <w:t>adores não usavam máscaras (DUARTE, 2006; COUTO, 2010).</w:t>
      </w:r>
    </w:p>
    <w:p w:rsidR="00D81F69" w:rsidRDefault="00330118">
      <w:pPr>
        <w:pStyle w:val="Corpodetexto"/>
        <w:spacing w:before="142" w:line="312" w:lineRule="auto"/>
        <w:ind w:right="202"/>
      </w:pPr>
      <w:r>
        <w:t xml:space="preserve">Em alguns setores havia fornos com temperaturas extremamente elevadas, e os trabalhadores eram obrigados a arrastar as brasas com uma enxada de </w:t>
      </w:r>
      <w:hyperlink r:id="rId1590">
        <w:r>
          <w:t>ferro</w:t>
        </w:r>
      </w:hyperlink>
      <w:r>
        <w:t xml:space="preserve"> com peso superior a 20 kg. Muitos eram submetidos também à inalação de poeira decorrente do processo de desumidificação da areia em fornos. Sem informações sobre como lidar com produtos radioativos e, sem saber dos r</w:t>
      </w:r>
      <w:r>
        <w:t>iscos, muitos empregados eram submetidos à radiação. A empresa, por sua vez, não contava com um programa de prevenção de acidentes ou de doenças do trabalho e não permitia que os empregados tivessem acesso aos resultados dos exames periódicos (SINDICATO DO</w:t>
      </w:r>
      <w:r>
        <w:t>S QUÍMICOS DE SÃO PAULO, 2008).</w:t>
      </w:r>
    </w:p>
    <w:p w:rsidR="00D81F69" w:rsidRDefault="00330118">
      <w:pPr>
        <w:pStyle w:val="Corpodetexto"/>
        <w:spacing w:before="78" w:line="270" w:lineRule="atLeast"/>
        <w:ind w:right="194"/>
      </w:pPr>
      <w:r>
        <w:t>Devido às más condições de trabalho, na década de 1980, o Sindicato dos Químicos de São Paulo se aproximou dos funcionários da Nuclemon e solicitou ao Centro de Referência do Trabalhador de Santo Amaro que vistoriasse a empr</w:t>
      </w:r>
      <w:r>
        <w:t>esa, ocasião em que foram constatadas várias irregularidades. Em função da atuação sindical, de protestos da população e da</w:t>
      </w:r>
    </w:p>
    <w:p w:rsidR="00D81F69" w:rsidRDefault="00D81F69">
      <w:pPr>
        <w:spacing w:line="270" w:lineRule="atLeast"/>
        <w:sectPr w:rsidR="00D81F69">
          <w:type w:val="continuous"/>
          <w:pgSz w:w="11900" w:h="16840"/>
          <w:pgMar w:top="720" w:right="500" w:bottom="280" w:left="620" w:header="720" w:footer="720" w:gutter="0"/>
          <w:cols w:num="2" w:space="720" w:equalWidth="0">
            <w:col w:w="5191" w:space="279"/>
            <w:col w:w="5310"/>
          </w:cols>
        </w:sectPr>
      </w:pPr>
    </w:p>
    <w:p w:rsidR="00D81F69" w:rsidRDefault="00330118">
      <w:pPr>
        <w:pStyle w:val="Corpodetexto"/>
        <w:spacing w:before="81" w:line="312" w:lineRule="auto"/>
        <w:ind w:right="39"/>
      </w:pPr>
      <w:r>
        <w:lastRenderedPageBreak/>
        <w:t xml:space="preserve">intervenção do Ministério Público e da Delegacia Regional do Trabalho, as condições laborais começaram a </w:t>
      </w:r>
      <w:r>
        <w:t xml:space="preserve">melhorar. As </w:t>
      </w:r>
      <w:r>
        <w:rPr>
          <w:spacing w:val="17"/>
        </w:rPr>
        <w:t xml:space="preserve">roupas </w:t>
      </w:r>
      <w:r>
        <w:rPr>
          <w:spacing w:val="10"/>
        </w:rPr>
        <w:t>de</w:t>
      </w:r>
      <w:r>
        <w:rPr>
          <w:spacing w:val="71"/>
        </w:rPr>
        <w:t xml:space="preserve"> </w:t>
      </w:r>
      <w:r>
        <w:rPr>
          <w:spacing w:val="18"/>
        </w:rPr>
        <w:t xml:space="preserve">trabalho passaram </w:t>
      </w:r>
      <w:r>
        <w:t xml:space="preserve">a </w:t>
      </w:r>
      <w:r>
        <w:rPr>
          <w:spacing w:val="13"/>
        </w:rPr>
        <w:t xml:space="preserve">ser </w:t>
      </w:r>
      <w:r>
        <w:rPr>
          <w:spacing w:val="17"/>
        </w:rPr>
        <w:t xml:space="preserve">lavadas </w:t>
      </w:r>
      <w:r>
        <w:t xml:space="preserve">e descontaminadas na empresa, os funcionários começaram a </w:t>
      </w:r>
      <w:r>
        <w:rPr>
          <w:spacing w:val="5"/>
        </w:rPr>
        <w:t xml:space="preserve">fazer exames, </w:t>
      </w:r>
      <w:r>
        <w:t xml:space="preserve">a </w:t>
      </w:r>
      <w:r>
        <w:rPr>
          <w:spacing w:val="5"/>
        </w:rPr>
        <w:t xml:space="preserve">receber vale-refeição </w:t>
      </w:r>
      <w:r>
        <w:t xml:space="preserve">e a </w:t>
      </w:r>
      <w:r>
        <w:rPr>
          <w:spacing w:val="5"/>
        </w:rPr>
        <w:t xml:space="preserve">participar </w:t>
      </w:r>
      <w:r>
        <w:rPr>
          <w:spacing w:val="6"/>
        </w:rPr>
        <w:t xml:space="preserve">de </w:t>
      </w:r>
      <w:r>
        <w:rPr>
          <w:spacing w:val="1"/>
        </w:rPr>
        <w:t xml:space="preserve">reuniões para discutir </w:t>
      </w:r>
      <w:r>
        <w:t xml:space="preserve">as </w:t>
      </w:r>
      <w:r>
        <w:rPr>
          <w:spacing w:val="1"/>
        </w:rPr>
        <w:t xml:space="preserve">condições </w:t>
      </w:r>
      <w:r>
        <w:t xml:space="preserve">de </w:t>
      </w:r>
      <w:r>
        <w:rPr>
          <w:spacing w:val="1"/>
        </w:rPr>
        <w:t xml:space="preserve">trabalho </w:t>
      </w:r>
      <w:r>
        <w:rPr>
          <w:spacing w:val="2"/>
        </w:rPr>
        <w:t xml:space="preserve">(DUARTE, </w:t>
      </w:r>
      <w:r>
        <w:rPr>
          <w:spacing w:val="1"/>
        </w:rPr>
        <w:t>2006; COUTO,</w:t>
      </w:r>
      <w:r>
        <w:t xml:space="preserve"> </w:t>
      </w:r>
      <w:r>
        <w:rPr>
          <w:spacing w:val="2"/>
        </w:rPr>
        <w:t>2010).</w:t>
      </w:r>
    </w:p>
    <w:p w:rsidR="00D81F69" w:rsidRDefault="00330118">
      <w:pPr>
        <w:pStyle w:val="Corpodetexto"/>
        <w:spacing w:before="136" w:line="312" w:lineRule="auto"/>
        <w:ind w:right="55"/>
      </w:pPr>
      <w:r>
        <w:t>Em 1991, a</w:t>
      </w:r>
      <w:r>
        <w:t xml:space="preserve"> Câmara Municipal de São Paulo instaurou </w:t>
      </w:r>
      <w:r>
        <w:rPr>
          <w:spacing w:val="1"/>
        </w:rPr>
        <w:t xml:space="preserve">uma </w:t>
      </w:r>
      <w:r>
        <w:rPr>
          <w:spacing w:val="3"/>
        </w:rPr>
        <w:t xml:space="preserve">Comissão Parlamentar </w:t>
      </w:r>
      <w:r>
        <w:rPr>
          <w:spacing w:val="1"/>
        </w:rPr>
        <w:t xml:space="preserve">de </w:t>
      </w:r>
      <w:r>
        <w:rPr>
          <w:spacing w:val="3"/>
        </w:rPr>
        <w:t xml:space="preserve">Inquérito (CPI) visando </w:t>
      </w:r>
      <w:r>
        <w:rPr>
          <w:spacing w:val="5"/>
        </w:rPr>
        <w:t xml:space="preserve">apurar </w:t>
      </w:r>
      <w:r>
        <w:t>responsabilidades. Foi constatado, entre outras coisas, que: o armazenamento de rejeitos nucleares na Usam representava risco para os trabalhadores e para a</w:t>
      </w:r>
      <w:r>
        <w:t xml:space="preserve"> população vizinha; que as condições de radioproteção adotadas pela empresa eram </w:t>
      </w:r>
      <w:r>
        <w:rPr>
          <w:spacing w:val="1"/>
        </w:rPr>
        <w:t xml:space="preserve">ineficientes; </w:t>
      </w:r>
      <w:r>
        <w:t xml:space="preserve">que a </w:t>
      </w:r>
      <w:r>
        <w:rPr>
          <w:spacing w:val="1"/>
        </w:rPr>
        <w:t xml:space="preserve">CNEN </w:t>
      </w:r>
      <w:r>
        <w:t xml:space="preserve">era </w:t>
      </w:r>
      <w:r>
        <w:rPr>
          <w:spacing w:val="1"/>
        </w:rPr>
        <w:t xml:space="preserve">responsável pelos riscos </w:t>
      </w:r>
      <w:r>
        <w:rPr>
          <w:spacing w:val="2"/>
        </w:rPr>
        <w:t xml:space="preserve">por </w:t>
      </w:r>
      <w:r>
        <w:t xml:space="preserve">não </w:t>
      </w:r>
      <w:r>
        <w:rPr>
          <w:spacing w:val="1"/>
        </w:rPr>
        <w:t xml:space="preserve">fiscalização </w:t>
      </w:r>
      <w:r>
        <w:t xml:space="preserve">e por não ter </w:t>
      </w:r>
      <w:r>
        <w:rPr>
          <w:spacing w:val="1"/>
        </w:rPr>
        <w:t xml:space="preserve">adotado medidas </w:t>
      </w:r>
      <w:r>
        <w:t xml:space="preserve">de </w:t>
      </w:r>
      <w:r>
        <w:rPr>
          <w:spacing w:val="2"/>
        </w:rPr>
        <w:t xml:space="preserve">sanção </w:t>
      </w:r>
      <w:r>
        <w:t xml:space="preserve">contra a Nuclemon; e que deveria ser garantido tratamento </w:t>
      </w:r>
      <w:r>
        <w:rPr>
          <w:spacing w:val="5"/>
        </w:rPr>
        <w:t xml:space="preserve">médico adequado </w:t>
      </w:r>
      <w:r>
        <w:rPr>
          <w:spacing w:val="3"/>
        </w:rPr>
        <w:t xml:space="preserve">aos </w:t>
      </w:r>
      <w:r>
        <w:rPr>
          <w:spacing w:val="5"/>
        </w:rPr>
        <w:t xml:space="preserve">trabalhadores contaminados </w:t>
      </w:r>
      <w:r>
        <w:rPr>
          <w:spacing w:val="6"/>
        </w:rPr>
        <w:t xml:space="preserve">com </w:t>
      </w:r>
      <w:r>
        <w:t xml:space="preserve">garantia de continuidade da sua remuneração. Constatou-se </w:t>
      </w:r>
      <w:r>
        <w:rPr>
          <w:spacing w:val="3"/>
        </w:rPr>
        <w:t xml:space="preserve">também </w:t>
      </w:r>
      <w:r>
        <w:rPr>
          <w:spacing w:val="2"/>
        </w:rPr>
        <w:t xml:space="preserve">que </w:t>
      </w:r>
      <w:r>
        <w:t xml:space="preserve">a </w:t>
      </w:r>
      <w:r>
        <w:rPr>
          <w:spacing w:val="3"/>
        </w:rPr>
        <w:t xml:space="preserve">empresa depositou </w:t>
      </w:r>
      <w:r>
        <w:rPr>
          <w:spacing w:val="2"/>
        </w:rPr>
        <w:t xml:space="preserve">lixo </w:t>
      </w:r>
      <w:r>
        <w:rPr>
          <w:spacing w:val="3"/>
        </w:rPr>
        <w:t xml:space="preserve">químico </w:t>
      </w:r>
      <w:r>
        <w:rPr>
          <w:spacing w:val="2"/>
        </w:rPr>
        <w:t xml:space="preserve">por </w:t>
      </w:r>
      <w:r>
        <w:rPr>
          <w:spacing w:val="5"/>
        </w:rPr>
        <w:t xml:space="preserve">vários </w:t>
      </w:r>
      <w:r>
        <w:t>anos no Aterro Sanitário Bandeirantes, no bairro Perus, em quantidade desconhecida. Como con</w:t>
      </w:r>
      <w:r>
        <w:t>sequência, a CNEN foi acionada (DUARTE, 2006; COUTO,</w:t>
      </w:r>
      <w:r>
        <w:rPr>
          <w:spacing w:val="10"/>
        </w:rPr>
        <w:t xml:space="preserve"> </w:t>
      </w:r>
      <w:r>
        <w:t>2010).</w:t>
      </w:r>
    </w:p>
    <w:p w:rsidR="00D81F69" w:rsidRDefault="00330118">
      <w:pPr>
        <w:pStyle w:val="Corpodetexto"/>
        <w:spacing w:before="144" w:line="312" w:lineRule="auto"/>
        <w:ind w:right="38"/>
      </w:pPr>
      <w:r>
        <w:t>Ainda em 1991, cerca de 150 funcionários foram demitidos. O sindicato interveio para que os operários doentes não fossem dispensados e fizessem os exames necessários. Em virtude disso, a empresa r</w:t>
      </w:r>
      <w:r>
        <w:t>eintegrou aqueles que foram diagnosticados com algum problema de saúde (DUARTE, 2006).</w:t>
      </w:r>
    </w:p>
    <w:p w:rsidR="00D81F69" w:rsidRDefault="00330118">
      <w:pPr>
        <w:pStyle w:val="Corpodetexto"/>
        <w:spacing w:before="136" w:line="312" w:lineRule="auto"/>
        <w:ind w:right="39"/>
      </w:pPr>
      <w:r>
        <w:rPr>
          <w:spacing w:val="2"/>
        </w:rPr>
        <w:t xml:space="preserve">Em </w:t>
      </w:r>
      <w:r>
        <w:rPr>
          <w:spacing w:val="5"/>
        </w:rPr>
        <w:t xml:space="preserve">1992, </w:t>
      </w:r>
      <w:r>
        <w:rPr>
          <w:spacing w:val="2"/>
        </w:rPr>
        <w:t xml:space="preserve">as </w:t>
      </w:r>
      <w:r>
        <w:rPr>
          <w:spacing w:val="5"/>
        </w:rPr>
        <w:t xml:space="preserve">atividades </w:t>
      </w:r>
      <w:r>
        <w:rPr>
          <w:spacing w:val="2"/>
        </w:rPr>
        <w:t xml:space="preserve">da </w:t>
      </w:r>
      <w:r>
        <w:rPr>
          <w:spacing w:val="5"/>
        </w:rPr>
        <w:t xml:space="preserve">Usam foram encerradas </w:t>
      </w:r>
      <w:r>
        <w:rPr>
          <w:spacing w:val="6"/>
        </w:rPr>
        <w:t xml:space="preserve">por </w:t>
      </w:r>
      <w:r>
        <w:t xml:space="preserve">problemas de viabilidade econômica, e seus trabalhadores, demitidos. Foi a primeira instalação nuclear brasileira a </w:t>
      </w:r>
      <w:r>
        <w:rPr>
          <w:spacing w:val="1"/>
        </w:rPr>
        <w:t>s</w:t>
      </w:r>
      <w:r>
        <w:rPr>
          <w:spacing w:val="1"/>
        </w:rPr>
        <w:t xml:space="preserve">er </w:t>
      </w:r>
      <w:r>
        <w:rPr>
          <w:spacing w:val="10"/>
        </w:rPr>
        <w:t xml:space="preserve">descomissionada. </w:t>
      </w:r>
      <w:r>
        <w:rPr>
          <w:spacing w:val="5"/>
        </w:rPr>
        <w:t xml:space="preserve">Na </w:t>
      </w:r>
      <w:r>
        <w:rPr>
          <w:spacing w:val="8"/>
        </w:rPr>
        <w:t xml:space="preserve">ocasião, </w:t>
      </w:r>
      <w:r>
        <w:rPr>
          <w:spacing w:val="6"/>
        </w:rPr>
        <w:t xml:space="preserve">foi </w:t>
      </w:r>
      <w:r>
        <w:rPr>
          <w:spacing w:val="8"/>
        </w:rPr>
        <w:t xml:space="preserve">constatado </w:t>
      </w:r>
      <w:r>
        <w:rPr>
          <w:spacing w:val="6"/>
        </w:rPr>
        <w:t xml:space="preserve">que </w:t>
      </w:r>
      <w:r>
        <w:rPr>
          <w:spacing w:val="10"/>
        </w:rPr>
        <w:t xml:space="preserve">as </w:t>
      </w:r>
      <w:r>
        <w:t xml:space="preserve">instalações e o terreno tinham grande taxa de contaminação radioativa, o que tornava necessária a retirada de boa parte do solo a uma profundidade de até dois metros em algumas </w:t>
      </w:r>
      <w:r>
        <w:rPr>
          <w:spacing w:val="1"/>
        </w:rPr>
        <w:t xml:space="preserve">áreas. </w:t>
      </w:r>
      <w:r>
        <w:t xml:space="preserve">No </w:t>
      </w:r>
      <w:r>
        <w:rPr>
          <w:spacing w:val="1"/>
        </w:rPr>
        <w:t xml:space="preserve">entanto, </w:t>
      </w:r>
      <w:r>
        <w:t xml:space="preserve">a </w:t>
      </w:r>
      <w:r>
        <w:rPr>
          <w:spacing w:val="1"/>
        </w:rPr>
        <w:t>empr</w:t>
      </w:r>
      <w:r>
        <w:rPr>
          <w:spacing w:val="1"/>
        </w:rPr>
        <w:t xml:space="preserve">esa limitou-se </w:t>
      </w:r>
      <w:r>
        <w:t xml:space="preserve">a </w:t>
      </w:r>
      <w:r>
        <w:rPr>
          <w:spacing w:val="1"/>
        </w:rPr>
        <w:t xml:space="preserve">fazer </w:t>
      </w:r>
      <w:r>
        <w:t xml:space="preserve">um </w:t>
      </w:r>
      <w:r>
        <w:rPr>
          <w:spacing w:val="2"/>
        </w:rPr>
        <w:t xml:space="preserve">aterro </w:t>
      </w:r>
      <w:r>
        <w:rPr>
          <w:spacing w:val="8"/>
        </w:rPr>
        <w:t xml:space="preserve">(GIANASSI, </w:t>
      </w:r>
      <w:r>
        <w:rPr>
          <w:spacing w:val="6"/>
        </w:rPr>
        <w:t xml:space="preserve">2005 apud </w:t>
      </w:r>
      <w:r>
        <w:rPr>
          <w:spacing w:val="7"/>
        </w:rPr>
        <w:t xml:space="preserve">DUARTE, 2006). </w:t>
      </w:r>
      <w:r>
        <w:rPr>
          <w:spacing w:val="5"/>
        </w:rPr>
        <w:t xml:space="preserve">Os </w:t>
      </w:r>
      <w:r>
        <w:rPr>
          <w:spacing w:val="7"/>
        </w:rPr>
        <w:t xml:space="preserve">restos </w:t>
      </w:r>
      <w:r>
        <w:rPr>
          <w:spacing w:val="10"/>
        </w:rPr>
        <w:t xml:space="preserve">da </w:t>
      </w:r>
      <w:r>
        <w:rPr>
          <w:spacing w:val="3"/>
        </w:rPr>
        <w:t xml:space="preserve">operação </w:t>
      </w:r>
      <w:r>
        <w:rPr>
          <w:spacing w:val="1"/>
        </w:rPr>
        <w:t xml:space="preserve">da </w:t>
      </w:r>
      <w:r>
        <w:rPr>
          <w:spacing w:val="3"/>
        </w:rPr>
        <w:t xml:space="preserve">Usam, </w:t>
      </w:r>
      <w:r>
        <w:rPr>
          <w:spacing w:val="2"/>
        </w:rPr>
        <w:t xml:space="preserve">que </w:t>
      </w:r>
      <w:r>
        <w:rPr>
          <w:spacing w:val="3"/>
        </w:rPr>
        <w:t xml:space="preserve">envolvia torta </w:t>
      </w:r>
      <w:r>
        <w:rPr>
          <w:spacing w:val="1"/>
        </w:rPr>
        <w:t xml:space="preserve">II </w:t>
      </w:r>
      <w:r>
        <w:t xml:space="preserve">e </w:t>
      </w:r>
      <w:r>
        <w:rPr>
          <w:spacing w:val="3"/>
        </w:rPr>
        <w:t xml:space="preserve">outros </w:t>
      </w:r>
      <w:r>
        <w:rPr>
          <w:spacing w:val="5"/>
        </w:rPr>
        <w:t xml:space="preserve">rejeitos </w:t>
      </w:r>
      <w:r>
        <w:t>radioativos, foram levados para a Usin, que também promovia o beneficiamento químico da monazita (DUARTE,</w:t>
      </w:r>
      <w:r>
        <w:rPr>
          <w:spacing w:val="5"/>
        </w:rPr>
        <w:t xml:space="preserve"> </w:t>
      </w:r>
      <w:r>
        <w:t>2006).</w:t>
      </w:r>
    </w:p>
    <w:p w:rsidR="00D81F69" w:rsidRDefault="00330118">
      <w:pPr>
        <w:pStyle w:val="Corpodetexto"/>
        <w:spacing w:before="141" w:line="312" w:lineRule="auto"/>
        <w:ind w:right="40"/>
      </w:pPr>
      <w:r>
        <w:t xml:space="preserve">A </w:t>
      </w:r>
      <w:r>
        <w:rPr>
          <w:spacing w:val="3"/>
        </w:rPr>
        <w:t>i</w:t>
      </w:r>
      <w:r>
        <w:rPr>
          <w:spacing w:val="3"/>
        </w:rPr>
        <w:t xml:space="preserve">ntenção inicial </w:t>
      </w:r>
      <w:r>
        <w:rPr>
          <w:spacing w:val="2"/>
        </w:rPr>
        <w:t xml:space="preserve">era que todo </w:t>
      </w:r>
      <w:r>
        <w:t xml:space="preserve">o </w:t>
      </w:r>
      <w:r>
        <w:rPr>
          <w:spacing w:val="3"/>
        </w:rPr>
        <w:t xml:space="preserve">material radioativo </w:t>
      </w:r>
      <w:r>
        <w:rPr>
          <w:spacing w:val="5"/>
        </w:rPr>
        <w:t xml:space="preserve">fosse </w:t>
      </w:r>
      <w:r>
        <w:rPr>
          <w:spacing w:val="8"/>
        </w:rPr>
        <w:t xml:space="preserve">levado </w:t>
      </w:r>
      <w:r>
        <w:rPr>
          <w:spacing w:val="7"/>
        </w:rPr>
        <w:t xml:space="preserve">para Poços </w:t>
      </w:r>
      <w:r>
        <w:rPr>
          <w:spacing w:val="5"/>
        </w:rPr>
        <w:t xml:space="preserve">de </w:t>
      </w:r>
      <w:r>
        <w:rPr>
          <w:spacing w:val="8"/>
        </w:rPr>
        <w:t xml:space="preserve">Caldas, porém, </w:t>
      </w:r>
      <w:r>
        <w:rPr>
          <w:spacing w:val="7"/>
        </w:rPr>
        <w:t xml:space="preserve">como </w:t>
      </w:r>
      <w:r>
        <w:t xml:space="preserve">o </w:t>
      </w:r>
      <w:r>
        <w:rPr>
          <w:spacing w:val="10"/>
        </w:rPr>
        <w:t xml:space="preserve">então </w:t>
      </w:r>
      <w:r>
        <w:rPr>
          <w:spacing w:val="3"/>
        </w:rPr>
        <w:t xml:space="preserve">governador mineiro, Itamar Franco, proibiu </w:t>
      </w:r>
      <w:r>
        <w:rPr>
          <w:spacing w:val="2"/>
        </w:rPr>
        <w:t xml:space="preserve">esta </w:t>
      </w:r>
      <w:r>
        <w:rPr>
          <w:spacing w:val="3"/>
        </w:rPr>
        <w:t xml:space="preserve">ação, </w:t>
      </w:r>
      <w:r>
        <w:t>e o material acabou sendo levado para a unidade de Interlagos (NATALINI, 2011). Tendo em vista q</w:t>
      </w:r>
      <w:r>
        <w:t xml:space="preserve">ue o terreno localizava-se em uma área extremamente valorizada, parte foi vendida e, atualmente, abriga um grande condomínio (THOMÉ, </w:t>
      </w:r>
      <w:r>
        <w:rPr>
          <w:spacing w:val="1"/>
        </w:rPr>
        <w:t xml:space="preserve">2010). Os </w:t>
      </w:r>
      <w:r>
        <w:rPr>
          <w:spacing w:val="3"/>
        </w:rPr>
        <w:t xml:space="preserve">moradores, </w:t>
      </w:r>
      <w:r>
        <w:rPr>
          <w:spacing w:val="1"/>
        </w:rPr>
        <w:t xml:space="preserve">no </w:t>
      </w:r>
      <w:r>
        <w:rPr>
          <w:spacing w:val="3"/>
        </w:rPr>
        <w:t xml:space="preserve">entanto, </w:t>
      </w:r>
      <w:r>
        <w:rPr>
          <w:spacing w:val="2"/>
        </w:rPr>
        <w:t xml:space="preserve">não </w:t>
      </w:r>
      <w:r>
        <w:rPr>
          <w:spacing w:val="3"/>
        </w:rPr>
        <w:t xml:space="preserve">sabiam </w:t>
      </w:r>
      <w:r>
        <w:rPr>
          <w:spacing w:val="2"/>
        </w:rPr>
        <w:t xml:space="preserve">que </w:t>
      </w:r>
      <w:r>
        <w:rPr>
          <w:spacing w:val="1"/>
        </w:rPr>
        <w:t xml:space="preserve">na </w:t>
      </w:r>
      <w:r>
        <w:rPr>
          <w:spacing w:val="5"/>
        </w:rPr>
        <w:t xml:space="preserve">localidade </w:t>
      </w:r>
      <w:r>
        <w:t xml:space="preserve">existia um depósito de materiais radioativos </w:t>
      </w:r>
      <w:r>
        <w:rPr>
          <w:spacing w:val="1"/>
        </w:rPr>
        <w:t>(BRANDALISE, 2010).</w:t>
      </w:r>
    </w:p>
    <w:p w:rsidR="00D81F69" w:rsidRDefault="00330118">
      <w:pPr>
        <w:pStyle w:val="Corpodetexto"/>
        <w:spacing w:before="139" w:line="312" w:lineRule="auto"/>
        <w:ind w:right="58"/>
      </w:pPr>
      <w:r>
        <w:t>Apesar de ser uma área densamente povoada, o depósito da Usin que guarda as cerca de mil toneladas de restos das operações da Nuclemon, não tem segurança ou sinalização adequadas. As poucas placas que alertam a população sobre</w:t>
      </w:r>
    </w:p>
    <w:p w:rsidR="00D81F69" w:rsidRDefault="00330118">
      <w:pPr>
        <w:pStyle w:val="Corpodetexto"/>
        <w:spacing w:before="81" w:line="312" w:lineRule="auto"/>
        <w:ind w:right="193"/>
      </w:pPr>
      <w:r>
        <w:br w:type="column"/>
      </w:r>
      <w:r>
        <w:lastRenderedPageBreak/>
        <w:t>os riscos são pequenas, e muitas estão sendo cobertas pelo mato. Além disso, próximo do terreno tem vários pontos abertos, facilitando a entrada de curiosos (DUARTE, 2006; COUTO, 2010).</w:t>
      </w:r>
    </w:p>
    <w:p w:rsidR="00D81F69" w:rsidRDefault="00330118">
      <w:pPr>
        <w:pStyle w:val="Corpodetexto"/>
        <w:spacing w:before="134" w:line="312" w:lineRule="auto"/>
        <w:ind w:right="201"/>
      </w:pPr>
      <w:r>
        <w:t>A CNEN definiu um perímetro para verificação de radioatividade no ento</w:t>
      </w:r>
      <w:r>
        <w:t>rno da área contaminada, que é formado por 25 quarteirões residenciais, onde há praças, um clube comunitário e duas escolas públicas, além de seis grandes indústrias. Segundo os técnicos da Comissão, o índice de radioatividade é aceitável (BRANDALISE, 2010</w:t>
      </w:r>
      <w:r>
        <w:t>). No entanto, o especialista em energia nuclear Sérgio Dialetachi afirma que a terra fora do galpão está contaminada com radioatividade. “Pode até ser baixa, mas não há garantias de que não faça mal a quem se expõe a ela. Tudo depende do organismo. Não há</w:t>
      </w:r>
      <w:r>
        <w:t xml:space="preserve"> limite seguro quando se fala de energia nuclear” (DUARTE, 2006; COUTO, 2010).</w:t>
      </w:r>
    </w:p>
    <w:p w:rsidR="00D81F69" w:rsidRDefault="00330118">
      <w:pPr>
        <w:pStyle w:val="Corpodetexto"/>
        <w:spacing w:before="141" w:line="312" w:lineRule="auto"/>
        <w:ind w:right="196"/>
      </w:pPr>
      <w:r>
        <w:t xml:space="preserve">O </w:t>
      </w:r>
      <w:r>
        <w:rPr>
          <w:spacing w:val="1"/>
        </w:rPr>
        <w:t xml:space="preserve">depósito </w:t>
      </w:r>
      <w:r>
        <w:t xml:space="preserve">de </w:t>
      </w:r>
      <w:r>
        <w:rPr>
          <w:spacing w:val="1"/>
        </w:rPr>
        <w:t xml:space="preserve">Interlagos pertence, hoje, </w:t>
      </w:r>
      <w:r>
        <w:t xml:space="preserve">a INB </w:t>
      </w:r>
      <w:r>
        <w:rPr>
          <w:spacing w:val="1"/>
        </w:rPr>
        <w:t xml:space="preserve">que, </w:t>
      </w:r>
      <w:r>
        <w:rPr>
          <w:spacing w:val="2"/>
        </w:rPr>
        <w:t xml:space="preserve">desde </w:t>
      </w:r>
      <w:r>
        <w:rPr>
          <w:spacing w:val="1"/>
        </w:rPr>
        <w:t xml:space="preserve">2008, </w:t>
      </w:r>
      <w:r>
        <w:t xml:space="preserve">é </w:t>
      </w:r>
      <w:r>
        <w:rPr>
          <w:spacing w:val="1"/>
        </w:rPr>
        <w:t xml:space="preserve">responsável </w:t>
      </w:r>
      <w:r>
        <w:t xml:space="preserve">por </w:t>
      </w:r>
      <w:r>
        <w:rPr>
          <w:spacing w:val="1"/>
        </w:rPr>
        <w:t xml:space="preserve">garantir </w:t>
      </w:r>
      <w:r>
        <w:t xml:space="preserve">um </w:t>
      </w:r>
      <w:r>
        <w:rPr>
          <w:spacing w:val="1"/>
        </w:rPr>
        <w:t xml:space="preserve">tratamento </w:t>
      </w:r>
      <w:r>
        <w:rPr>
          <w:spacing w:val="2"/>
        </w:rPr>
        <w:t xml:space="preserve">adequado </w:t>
      </w:r>
      <w:r>
        <w:t>aos funcionários da Nucleamon (REINA, 2010). Os mais de  50 ano</w:t>
      </w:r>
      <w:r>
        <w:t xml:space="preserve">s de atividades da Nuclemon deixaram um legado de doenças crônicas (DUARTE, 2006). Muitos dos cerca de 700 </w:t>
      </w:r>
      <w:r>
        <w:rPr>
          <w:spacing w:val="8"/>
        </w:rPr>
        <w:t xml:space="preserve">funcionários </w:t>
      </w:r>
      <w:r>
        <w:rPr>
          <w:spacing w:val="7"/>
        </w:rPr>
        <w:t xml:space="preserve">morreram </w:t>
      </w:r>
      <w:r>
        <w:rPr>
          <w:spacing w:val="5"/>
        </w:rPr>
        <w:t xml:space="preserve">ou </w:t>
      </w:r>
      <w:r>
        <w:rPr>
          <w:spacing w:val="7"/>
        </w:rPr>
        <w:t xml:space="preserve">tiveram </w:t>
      </w:r>
      <w:r>
        <w:rPr>
          <w:spacing w:val="5"/>
        </w:rPr>
        <w:t xml:space="preserve">de ser </w:t>
      </w:r>
      <w:r>
        <w:rPr>
          <w:spacing w:val="10"/>
        </w:rPr>
        <w:t xml:space="preserve">aposentados </w:t>
      </w:r>
      <w:r>
        <w:t xml:space="preserve">precocemente (REINA, 2010). Um acompanhamento médico </w:t>
      </w:r>
      <w:r>
        <w:rPr>
          <w:spacing w:val="3"/>
        </w:rPr>
        <w:t xml:space="preserve">realizado </w:t>
      </w:r>
      <w:r>
        <w:rPr>
          <w:spacing w:val="1"/>
        </w:rPr>
        <w:t xml:space="preserve">em </w:t>
      </w:r>
      <w:r>
        <w:rPr>
          <w:spacing w:val="2"/>
        </w:rPr>
        <w:t xml:space="preserve">160 </w:t>
      </w:r>
      <w:r>
        <w:rPr>
          <w:spacing w:val="3"/>
        </w:rPr>
        <w:t xml:space="preserve">trabalhadores </w:t>
      </w:r>
      <w:r>
        <w:rPr>
          <w:spacing w:val="1"/>
        </w:rPr>
        <w:t xml:space="preserve">da </w:t>
      </w:r>
      <w:r>
        <w:rPr>
          <w:spacing w:val="3"/>
        </w:rPr>
        <w:t>usina cons</w:t>
      </w:r>
      <w:r>
        <w:rPr>
          <w:spacing w:val="3"/>
        </w:rPr>
        <w:t xml:space="preserve">tatou </w:t>
      </w:r>
      <w:r>
        <w:rPr>
          <w:spacing w:val="5"/>
        </w:rPr>
        <w:t xml:space="preserve">perda </w:t>
      </w:r>
      <w:r>
        <w:rPr>
          <w:spacing w:val="3"/>
        </w:rPr>
        <w:t xml:space="preserve">auditiva </w:t>
      </w:r>
      <w:r>
        <w:rPr>
          <w:spacing w:val="1"/>
        </w:rPr>
        <w:t xml:space="preserve">em </w:t>
      </w:r>
      <w:r>
        <w:rPr>
          <w:spacing w:val="2"/>
        </w:rPr>
        <w:t xml:space="preserve">58, </w:t>
      </w:r>
      <w:r>
        <w:rPr>
          <w:spacing w:val="3"/>
        </w:rPr>
        <w:t xml:space="preserve">pneumoconiose [alteração pulmonar </w:t>
      </w:r>
      <w:r>
        <w:rPr>
          <w:spacing w:val="5"/>
        </w:rPr>
        <w:t xml:space="preserve">pela </w:t>
      </w:r>
      <w:r>
        <w:t>inalação de poeiras] em 14, além de leucopenias [alterações observada após exposição à radioatividade] (OLIVEIRA 2005, apud DUARTE,</w:t>
      </w:r>
      <w:r>
        <w:rPr>
          <w:spacing w:val="5"/>
        </w:rPr>
        <w:t xml:space="preserve"> </w:t>
      </w:r>
      <w:r>
        <w:t>2006).</w:t>
      </w:r>
    </w:p>
    <w:p w:rsidR="00D81F69" w:rsidRDefault="00330118">
      <w:pPr>
        <w:pStyle w:val="Corpodetexto"/>
        <w:spacing w:before="141" w:line="312" w:lineRule="auto"/>
        <w:ind w:right="205"/>
      </w:pPr>
      <w:r>
        <w:t>Dezesseis trabalhadores morreram vítimas de câncer</w:t>
      </w:r>
      <w:r>
        <w:t xml:space="preserve"> e silicose até o ano de 2008 (SINDICATO DOS QUÍMICOS DE SÃO PAULO, 2008). Alguns trabalhadores que pediram na Justiça indenização por danos morais conseguiram, num primeiro momento, um plano de saúde que só é válido para Rio de Janeiro e Minas Gerais, ond</w:t>
      </w:r>
      <w:r>
        <w:t>e estão localizadas unidades da empresa. Mas o juiz determinou que o plano tivesse cobertura também em São Paulo. A principal dificuldade encontrada pelos funcionários doentes é o diagnóstico no sistema de saúde, que não tem aparelhos adequados para a medi</w:t>
      </w:r>
      <w:r>
        <w:t>ção da radiação, o que dificulta a movimentação de processos judiciais (REINA, 2010).</w:t>
      </w:r>
    </w:p>
    <w:p w:rsidR="00D81F69" w:rsidRDefault="00330118">
      <w:pPr>
        <w:pStyle w:val="Corpodetexto"/>
        <w:spacing w:before="141" w:line="312" w:lineRule="auto"/>
        <w:ind w:right="209"/>
      </w:pPr>
      <w:r>
        <w:t>A INB entende que não tem responsabilidade sobre os trabalhadores demitidos, contrariando o que estabelece o artigo 12 da Convenção 115 da Organização Internacional do Tr</w:t>
      </w:r>
      <w:r>
        <w:t>abalho (OIT), o qual estabelece que os trabalhadores nas instalações nucleares expostos a radiações ionizantes têm de passar por exames periódicos, mesmo após a demissão (DUARTE, 2006).</w:t>
      </w:r>
    </w:p>
    <w:p w:rsidR="00D81F69" w:rsidRDefault="00330118">
      <w:pPr>
        <w:pStyle w:val="Corpodetexto"/>
        <w:spacing w:before="136" w:line="312" w:lineRule="auto"/>
        <w:ind w:right="159"/>
        <w:jc w:val="left"/>
      </w:pPr>
      <w:r>
        <w:t xml:space="preserve">Em abril de 2010, 18 anos após a desativação da Nuclemon, teve início </w:t>
      </w:r>
      <w:r>
        <w:t>a descontaminação do terreno em Interlagos. O objetivo da INB é limpar e liberar uma área de 54 mil m² para “uso irrestrito”. A areia contaminada passou a ser armazenada em tambores metálicos num galpão de 2.200 m², no próprio terreno. A descontaminação nã</w:t>
      </w:r>
      <w:r>
        <w:t>o contempla, no entanto, o armazenamento de 1.150 toneladas de rejeito</w:t>
      </w:r>
    </w:p>
    <w:p w:rsidR="00D81F69" w:rsidRDefault="00D81F69">
      <w:pPr>
        <w:spacing w:line="312" w:lineRule="auto"/>
        <w:sectPr w:rsidR="00D81F69">
          <w:pgSz w:w="11900" w:h="16840"/>
          <w:pgMar w:top="740" w:right="500" w:bottom="720" w:left="620" w:header="0" w:footer="402" w:gutter="0"/>
          <w:cols w:num="2" w:space="720" w:equalWidth="0">
            <w:col w:w="5157" w:space="313"/>
            <w:col w:w="5310"/>
          </w:cols>
        </w:sectPr>
      </w:pPr>
    </w:p>
    <w:p w:rsidR="00D81F69" w:rsidRDefault="00330118">
      <w:pPr>
        <w:pStyle w:val="Corpodetexto"/>
        <w:spacing w:before="81" w:line="312" w:lineRule="auto"/>
        <w:ind w:right="136"/>
      </w:pPr>
      <w:r>
        <w:lastRenderedPageBreak/>
        <w:t>radioativo da Usam e da Usin, que está em um galpão instalado do terreno. A remoção e transferência dos rejeitos ainda estão em estudo (THOMÉ, 2010).</w:t>
      </w:r>
    </w:p>
    <w:p w:rsidR="00D81F69" w:rsidRDefault="00D81F69">
      <w:pPr>
        <w:pStyle w:val="Corpodetexto"/>
        <w:spacing w:before="2"/>
        <w:ind w:left="0"/>
        <w:jc w:val="left"/>
        <w:rPr>
          <w:sz w:val="21"/>
        </w:rPr>
      </w:pPr>
    </w:p>
    <w:p w:rsidR="00D81F69" w:rsidRDefault="00330118">
      <w:pPr>
        <w:pStyle w:val="Heading7"/>
      </w:pPr>
      <w:r>
        <w:t>LOCAL</w:t>
      </w:r>
      <w:r>
        <w:t>IZAÇÃO GEOGRÁFICA</w:t>
      </w:r>
    </w:p>
    <w:p w:rsidR="00D81F69" w:rsidRDefault="00330118">
      <w:pPr>
        <w:pStyle w:val="Corpodetexto"/>
        <w:spacing w:before="179" w:line="312" w:lineRule="auto"/>
        <w:ind w:right="136"/>
      </w:pPr>
      <w:r>
        <w:t>Os empreendimentos estão localizados nos municípios de São Paulo, entre as coordenadas 46°48'40"W - 23°24'S e 46°22'12"W - 23S 54'S, e de Itu, entre as coordenadas 47°25'12"W , 23°09'36"S e 47°07'12"W , 23°25'23"S. São</w:t>
      </w:r>
    </w:p>
    <w:p w:rsidR="00D81F69" w:rsidRDefault="00330118">
      <w:pPr>
        <w:pStyle w:val="Corpodetexto"/>
        <w:spacing w:before="4" w:line="312" w:lineRule="auto"/>
        <w:ind w:right="144"/>
      </w:pPr>
      <w:r>
        <w:t>encontrados na baci</w:t>
      </w:r>
      <w:r>
        <w:t>a do rio Tietê que pertence à bacia do rio Paraná.</w:t>
      </w:r>
    </w:p>
    <w:p w:rsidR="00D81F69" w:rsidRDefault="00D81F69">
      <w:pPr>
        <w:pStyle w:val="Corpodetexto"/>
        <w:spacing w:before="11"/>
        <w:ind w:left="0"/>
        <w:jc w:val="left"/>
        <w:rPr>
          <w:sz w:val="28"/>
        </w:rPr>
      </w:pPr>
    </w:p>
    <w:p w:rsidR="00D81F69" w:rsidRDefault="00330118">
      <w:pPr>
        <w:pStyle w:val="Heading7"/>
      </w:pPr>
      <w:r>
        <w:t>REDATORES</w:t>
      </w:r>
    </w:p>
    <w:p w:rsidR="00D81F69" w:rsidRDefault="00330118">
      <w:pPr>
        <w:pStyle w:val="Corpodetexto"/>
        <w:spacing w:before="179"/>
      </w:pPr>
      <w:r>
        <w:t>Maria de Fátima das Dores dos Santos Lima</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125"/>
        <w:jc w:val="both"/>
        <w:rPr>
          <w:sz w:val="16"/>
        </w:rPr>
      </w:pPr>
      <w:r>
        <w:rPr>
          <w:sz w:val="16"/>
        </w:rPr>
        <w:t xml:space="preserve">BRANDALISE, Vitor Hugo. Vizinhos mais novos nem sabiam sobre o risco. In: O Estado de S. Paulo, São Paulo, 02 maio 2010. Disponível em: </w:t>
      </w:r>
      <w:hyperlink r:id="rId1591">
        <w:r>
          <w:rPr>
            <w:sz w:val="16"/>
          </w:rPr>
          <w:t xml:space="preserve">&lt;http://decoamaral.wordpress.com/tag/nuclemon/&gt;. </w:t>
        </w:r>
      </w:hyperlink>
      <w:r>
        <w:rPr>
          <w:sz w:val="16"/>
        </w:rPr>
        <w:t>Acesso em: 02 fev. 2012.</w:t>
      </w:r>
    </w:p>
    <w:p w:rsidR="00D81F69" w:rsidRDefault="00330118">
      <w:pPr>
        <w:spacing w:before="3" w:line="312" w:lineRule="auto"/>
        <w:ind w:left="100" w:right="79"/>
        <w:jc w:val="both"/>
        <w:rPr>
          <w:sz w:val="16"/>
        </w:rPr>
      </w:pPr>
      <w:r>
        <w:rPr>
          <w:sz w:val="16"/>
        </w:rPr>
        <w:t xml:space="preserve">COUTO, Joelma. Nuclemon: Um legado de contaminação e </w:t>
      </w:r>
      <w:r>
        <w:rPr>
          <w:spacing w:val="1"/>
          <w:sz w:val="16"/>
        </w:rPr>
        <w:t xml:space="preserve">morte. </w:t>
      </w:r>
      <w:r>
        <w:rPr>
          <w:spacing w:val="2"/>
          <w:sz w:val="16"/>
        </w:rPr>
        <w:t xml:space="preserve">Blog </w:t>
      </w:r>
      <w:r>
        <w:rPr>
          <w:spacing w:val="3"/>
          <w:sz w:val="16"/>
        </w:rPr>
        <w:t xml:space="preserve">André Amaral, </w:t>
      </w:r>
      <w:r>
        <w:rPr>
          <w:spacing w:val="2"/>
          <w:sz w:val="16"/>
        </w:rPr>
        <w:t xml:space="preserve">Meio </w:t>
      </w:r>
      <w:r>
        <w:rPr>
          <w:spacing w:val="3"/>
          <w:sz w:val="16"/>
        </w:rPr>
        <w:t xml:space="preserve">ambiente </w:t>
      </w:r>
      <w:r>
        <w:rPr>
          <w:sz w:val="16"/>
        </w:rPr>
        <w:t xml:space="preserve">e  </w:t>
      </w:r>
      <w:r>
        <w:rPr>
          <w:spacing w:val="3"/>
          <w:sz w:val="16"/>
        </w:rPr>
        <w:t xml:space="preserve">ativismo </w:t>
      </w:r>
      <w:r>
        <w:rPr>
          <w:sz w:val="16"/>
        </w:rPr>
        <w:t xml:space="preserve">–  </w:t>
      </w:r>
      <w:r>
        <w:rPr>
          <w:spacing w:val="2"/>
          <w:sz w:val="16"/>
        </w:rPr>
        <w:t xml:space="preserve">por </w:t>
      </w:r>
      <w:r>
        <w:rPr>
          <w:spacing w:val="1"/>
          <w:sz w:val="16"/>
        </w:rPr>
        <w:t xml:space="preserve">um  </w:t>
      </w:r>
      <w:r>
        <w:rPr>
          <w:spacing w:val="5"/>
          <w:sz w:val="16"/>
        </w:rPr>
        <w:t xml:space="preserve">mundo   m e l h o r </w:t>
      </w:r>
      <w:r>
        <w:rPr>
          <w:sz w:val="16"/>
        </w:rPr>
        <w:t xml:space="preserve">, </w:t>
      </w:r>
      <w:r>
        <w:rPr>
          <w:spacing w:val="5"/>
          <w:sz w:val="16"/>
        </w:rPr>
        <w:t xml:space="preserve">1 </w:t>
      </w:r>
      <w:r>
        <w:rPr>
          <w:sz w:val="16"/>
        </w:rPr>
        <w:t xml:space="preserve">9 </w:t>
      </w:r>
      <w:r>
        <w:rPr>
          <w:spacing w:val="5"/>
          <w:sz w:val="16"/>
        </w:rPr>
        <w:t xml:space="preserve">m a r </w:t>
      </w:r>
      <w:r>
        <w:rPr>
          <w:sz w:val="16"/>
        </w:rPr>
        <w:t xml:space="preserve">. </w:t>
      </w:r>
      <w:r>
        <w:rPr>
          <w:spacing w:val="5"/>
          <w:sz w:val="16"/>
        </w:rPr>
        <w:t xml:space="preserve">2 0 1 </w:t>
      </w:r>
      <w:r>
        <w:rPr>
          <w:sz w:val="16"/>
        </w:rPr>
        <w:t xml:space="preserve">0 </w:t>
      </w:r>
      <w:r>
        <w:rPr>
          <w:spacing w:val="5"/>
          <w:sz w:val="16"/>
        </w:rPr>
        <w:t xml:space="preserve">D i s p o n í v e </w:t>
      </w:r>
      <w:r>
        <w:rPr>
          <w:sz w:val="16"/>
        </w:rPr>
        <w:t>l</w:t>
      </w:r>
      <w:r>
        <w:rPr>
          <w:spacing w:val="31"/>
          <w:sz w:val="16"/>
        </w:rPr>
        <w:t xml:space="preserve"> </w:t>
      </w:r>
      <w:r>
        <w:rPr>
          <w:spacing w:val="5"/>
          <w:sz w:val="16"/>
        </w:rPr>
        <w:t xml:space="preserve">e m </w:t>
      </w:r>
      <w:r>
        <w:rPr>
          <w:sz w:val="16"/>
        </w:rPr>
        <w:t>:</w:t>
      </w:r>
      <w:r>
        <w:rPr>
          <w:spacing w:val="5"/>
          <w:sz w:val="16"/>
        </w:rPr>
        <w:t xml:space="preserve"> </w:t>
      </w:r>
    </w:p>
    <w:p w:rsidR="00D81F69" w:rsidRDefault="00D81F69">
      <w:pPr>
        <w:spacing w:before="2" w:line="312" w:lineRule="auto"/>
        <w:ind w:left="100" w:right="143"/>
        <w:jc w:val="both"/>
        <w:rPr>
          <w:sz w:val="16"/>
        </w:rPr>
      </w:pPr>
      <w:hyperlink r:id="rId1592">
        <w:r w:rsidR="00330118">
          <w:rPr>
            <w:sz w:val="16"/>
          </w:rPr>
          <w:t>&lt;http://decoamaral.wordpress.com/2010/03/19/nuclemon-um-legado-</w:t>
        </w:r>
      </w:hyperlink>
      <w:r w:rsidR="00330118">
        <w:rPr>
          <w:sz w:val="16"/>
        </w:rPr>
        <w:t xml:space="preserve"> de-contaminacao-e-morte/&gt;. Acesso em: 31 jan. 2012.</w:t>
      </w:r>
    </w:p>
    <w:p w:rsidR="00D81F69" w:rsidRDefault="00330118">
      <w:pPr>
        <w:spacing w:before="2" w:line="312" w:lineRule="auto"/>
        <w:ind w:left="100" w:right="108"/>
        <w:jc w:val="both"/>
        <w:rPr>
          <w:sz w:val="16"/>
        </w:rPr>
      </w:pPr>
      <w:r>
        <w:rPr>
          <w:spacing w:val="1"/>
          <w:sz w:val="16"/>
        </w:rPr>
        <w:t xml:space="preserve">DUARTE, Edson. Relatório </w:t>
      </w:r>
      <w:r>
        <w:rPr>
          <w:sz w:val="16"/>
        </w:rPr>
        <w:t xml:space="preserve">do </w:t>
      </w:r>
      <w:r>
        <w:rPr>
          <w:spacing w:val="1"/>
          <w:sz w:val="16"/>
        </w:rPr>
        <w:t xml:space="preserve">Grupo </w:t>
      </w:r>
      <w:r>
        <w:rPr>
          <w:sz w:val="16"/>
        </w:rPr>
        <w:t xml:space="preserve">de </w:t>
      </w:r>
      <w:r>
        <w:rPr>
          <w:spacing w:val="1"/>
          <w:sz w:val="16"/>
        </w:rPr>
        <w:t xml:space="preserve">Trabalho Fiscalização </w:t>
      </w:r>
      <w:r>
        <w:rPr>
          <w:sz w:val="16"/>
        </w:rPr>
        <w:t xml:space="preserve">e Segurança Nuclear. Comissão de Meio Ambiente </w:t>
      </w:r>
      <w:r>
        <w:rPr>
          <w:sz w:val="16"/>
        </w:rPr>
        <w:t xml:space="preserve">e Desenvolvimento </w:t>
      </w:r>
      <w:r>
        <w:rPr>
          <w:spacing w:val="17"/>
          <w:sz w:val="16"/>
        </w:rPr>
        <w:t xml:space="preserve">Sustentável. Brasília-DF, </w:t>
      </w:r>
      <w:r>
        <w:rPr>
          <w:spacing w:val="15"/>
          <w:sz w:val="16"/>
        </w:rPr>
        <w:t>mar. 2006.</w:t>
      </w:r>
      <w:r>
        <w:rPr>
          <w:spacing w:val="75"/>
          <w:sz w:val="16"/>
        </w:rPr>
        <w:t xml:space="preserve"> </w:t>
      </w:r>
      <w:r>
        <w:rPr>
          <w:spacing w:val="17"/>
          <w:sz w:val="16"/>
        </w:rPr>
        <w:t>Disponível</w:t>
      </w:r>
      <w:r>
        <w:rPr>
          <w:spacing w:val="16"/>
          <w:sz w:val="16"/>
        </w:rPr>
        <w:t xml:space="preserve"> </w:t>
      </w:r>
      <w:r>
        <w:rPr>
          <w:spacing w:val="12"/>
          <w:sz w:val="16"/>
        </w:rPr>
        <w:t>em:</w:t>
      </w:r>
      <w:r>
        <w:rPr>
          <w:spacing w:val="-24"/>
          <w:sz w:val="16"/>
        </w:rPr>
        <w:t xml:space="preserve"> </w:t>
      </w:r>
    </w:p>
    <w:p w:rsidR="00D81F69" w:rsidRDefault="00D81F69">
      <w:pPr>
        <w:spacing w:before="2" w:line="312" w:lineRule="auto"/>
        <w:ind w:left="100" w:right="127"/>
        <w:jc w:val="both"/>
        <w:rPr>
          <w:sz w:val="16"/>
        </w:rPr>
      </w:pPr>
      <w:hyperlink r:id="rId1593">
        <w:r w:rsidR="00330118">
          <w:rPr>
            <w:sz w:val="16"/>
          </w:rPr>
          <w:t xml:space="preserve">&lt;http://www.qualidade.eng.br/relatorio_final_nuclear.pdf&gt;. </w:t>
        </w:r>
      </w:hyperlink>
      <w:r w:rsidR="00330118">
        <w:rPr>
          <w:sz w:val="16"/>
        </w:rPr>
        <w:t>Acesso em: 06 fev. 2012.</w:t>
      </w:r>
    </w:p>
    <w:p w:rsidR="00D81F69" w:rsidRDefault="00330118">
      <w:pPr>
        <w:spacing w:before="2" w:line="312" w:lineRule="auto"/>
        <w:ind w:left="100" w:right="38"/>
        <w:jc w:val="both"/>
        <w:rPr>
          <w:sz w:val="16"/>
        </w:rPr>
      </w:pPr>
      <w:r>
        <w:rPr>
          <w:sz w:val="16"/>
        </w:rPr>
        <w:t>GABEIRA, Fernando.  Série  v</w:t>
      </w:r>
      <w:r>
        <w:rPr>
          <w:sz w:val="16"/>
        </w:rPr>
        <w:t>ídeo-cartas  Fernando  Gabeira.  O  lixo a t ô m i c o , 1 9 8 5 . D i s p o n í v e l e m</w:t>
      </w:r>
      <w:r>
        <w:rPr>
          <w:spacing w:val="35"/>
          <w:sz w:val="16"/>
        </w:rPr>
        <w:t xml:space="preserve"> </w:t>
      </w:r>
      <w:r>
        <w:rPr>
          <w:sz w:val="16"/>
        </w:rPr>
        <w:t xml:space="preserve">: </w:t>
      </w:r>
      <w:r>
        <w:rPr>
          <w:sz w:val="16"/>
        </w:rPr>
        <w:t xml:space="preserve"> </w:t>
      </w:r>
    </w:p>
    <w:p w:rsidR="00D81F69" w:rsidRDefault="00D81F69">
      <w:pPr>
        <w:spacing w:before="2" w:line="312" w:lineRule="auto"/>
        <w:ind w:left="100" w:right="145"/>
        <w:jc w:val="both"/>
        <w:rPr>
          <w:sz w:val="16"/>
        </w:rPr>
      </w:pPr>
      <w:hyperlink r:id="rId1594">
        <w:r w:rsidR="00330118">
          <w:rPr>
            <w:sz w:val="16"/>
          </w:rPr>
          <w:t xml:space="preserve">&lt;http://www.youtube.com/watch?v=T0lfzyQzpUQ&gt;. </w:t>
        </w:r>
      </w:hyperlink>
      <w:r w:rsidR="00330118">
        <w:rPr>
          <w:sz w:val="16"/>
        </w:rPr>
        <w:t>Acesso em: 06 de fev. de 2012.</w:t>
      </w:r>
    </w:p>
    <w:p w:rsidR="00D81F69" w:rsidRDefault="00330118">
      <w:pPr>
        <w:tabs>
          <w:tab w:val="left" w:pos="1247"/>
          <w:tab w:val="left" w:pos="2430"/>
          <w:tab w:val="left" w:pos="4631"/>
        </w:tabs>
        <w:spacing w:before="70" w:line="312" w:lineRule="auto"/>
        <w:ind w:left="100" w:right="212"/>
        <w:rPr>
          <w:sz w:val="16"/>
        </w:rPr>
      </w:pPr>
      <w:r>
        <w:br w:type="column"/>
      </w:r>
      <w:r>
        <w:rPr>
          <w:sz w:val="16"/>
        </w:rPr>
        <w:lastRenderedPageBreak/>
        <w:t>GIANASSI, Fernanda. Caso Nuclemon: A radiação que nos ronda. 31 m   a</w:t>
      </w:r>
      <w:r>
        <w:rPr>
          <w:spacing w:val="30"/>
          <w:sz w:val="16"/>
        </w:rPr>
        <w:t xml:space="preserve"> </w:t>
      </w:r>
      <w:r>
        <w:rPr>
          <w:sz w:val="16"/>
        </w:rPr>
        <w:t xml:space="preserve">r </w:t>
      </w:r>
      <w:r>
        <w:rPr>
          <w:spacing w:val="15"/>
          <w:sz w:val="16"/>
        </w:rPr>
        <w:t xml:space="preserve"> </w:t>
      </w:r>
      <w:r>
        <w:rPr>
          <w:sz w:val="16"/>
        </w:rPr>
        <w:t>.</w:t>
      </w:r>
      <w:r>
        <w:rPr>
          <w:sz w:val="16"/>
        </w:rPr>
        <w:tab/>
        <w:t>2   0</w:t>
      </w:r>
      <w:r>
        <w:rPr>
          <w:spacing w:val="30"/>
          <w:sz w:val="16"/>
        </w:rPr>
        <w:t xml:space="preserve"> </w:t>
      </w:r>
      <w:r>
        <w:rPr>
          <w:sz w:val="16"/>
        </w:rPr>
        <w:t xml:space="preserve">0 </w:t>
      </w:r>
      <w:r>
        <w:rPr>
          <w:spacing w:val="15"/>
          <w:sz w:val="16"/>
        </w:rPr>
        <w:t xml:space="preserve"> </w:t>
      </w:r>
      <w:r>
        <w:rPr>
          <w:sz w:val="16"/>
        </w:rPr>
        <w:t>3</w:t>
      </w:r>
      <w:r>
        <w:rPr>
          <w:sz w:val="16"/>
        </w:rPr>
        <w:tab/>
        <w:t xml:space="preserve">D </w:t>
      </w:r>
      <w:r>
        <w:rPr>
          <w:spacing w:val="15"/>
          <w:sz w:val="16"/>
        </w:rPr>
        <w:t xml:space="preserve"> </w:t>
      </w:r>
      <w:r>
        <w:rPr>
          <w:sz w:val="16"/>
        </w:rPr>
        <w:t xml:space="preserve">i </w:t>
      </w:r>
      <w:r>
        <w:rPr>
          <w:spacing w:val="15"/>
          <w:sz w:val="16"/>
        </w:rPr>
        <w:t xml:space="preserve"> </w:t>
      </w:r>
      <w:r>
        <w:rPr>
          <w:sz w:val="16"/>
        </w:rPr>
        <w:t xml:space="preserve">s </w:t>
      </w:r>
      <w:r>
        <w:rPr>
          <w:spacing w:val="15"/>
          <w:sz w:val="16"/>
        </w:rPr>
        <w:t xml:space="preserve"> </w:t>
      </w:r>
      <w:r>
        <w:rPr>
          <w:sz w:val="16"/>
        </w:rPr>
        <w:t xml:space="preserve">p </w:t>
      </w:r>
      <w:r>
        <w:rPr>
          <w:spacing w:val="15"/>
          <w:sz w:val="16"/>
        </w:rPr>
        <w:t xml:space="preserve"> </w:t>
      </w:r>
      <w:r>
        <w:rPr>
          <w:sz w:val="16"/>
        </w:rPr>
        <w:t xml:space="preserve">o </w:t>
      </w:r>
      <w:r>
        <w:rPr>
          <w:spacing w:val="15"/>
          <w:sz w:val="16"/>
        </w:rPr>
        <w:t xml:space="preserve"> </w:t>
      </w:r>
      <w:r>
        <w:rPr>
          <w:sz w:val="16"/>
        </w:rPr>
        <w:t xml:space="preserve">n </w:t>
      </w:r>
      <w:r>
        <w:rPr>
          <w:spacing w:val="15"/>
          <w:sz w:val="16"/>
        </w:rPr>
        <w:t xml:space="preserve"> </w:t>
      </w:r>
      <w:r>
        <w:rPr>
          <w:sz w:val="16"/>
        </w:rPr>
        <w:t xml:space="preserve">í </w:t>
      </w:r>
      <w:r>
        <w:rPr>
          <w:spacing w:val="15"/>
          <w:sz w:val="16"/>
        </w:rPr>
        <w:t xml:space="preserve"> </w:t>
      </w:r>
      <w:r>
        <w:rPr>
          <w:sz w:val="16"/>
        </w:rPr>
        <w:t xml:space="preserve">v </w:t>
      </w:r>
      <w:r>
        <w:rPr>
          <w:spacing w:val="15"/>
          <w:sz w:val="16"/>
        </w:rPr>
        <w:t xml:space="preserve"> </w:t>
      </w:r>
      <w:r>
        <w:rPr>
          <w:sz w:val="16"/>
        </w:rPr>
        <w:t xml:space="preserve">e </w:t>
      </w:r>
      <w:r>
        <w:rPr>
          <w:spacing w:val="15"/>
          <w:sz w:val="16"/>
        </w:rPr>
        <w:t xml:space="preserve"> </w:t>
      </w:r>
      <w:r>
        <w:rPr>
          <w:sz w:val="16"/>
        </w:rPr>
        <w:t>l</w:t>
      </w:r>
      <w:r>
        <w:rPr>
          <w:sz w:val="16"/>
        </w:rPr>
        <w:tab/>
        <w:t>e m</w:t>
      </w:r>
      <w:r>
        <w:rPr>
          <w:spacing w:val="30"/>
          <w:sz w:val="16"/>
        </w:rPr>
        <w:t xml:space="preserve"> </w:t>
      </w:r>
      <w:r>
        <w:rPr>
          <w:sz w:val="16"/>
        </w:rPr>
        <w:t>:</w:t>
      </w:r>
    </w:p>
    <w:p w:rsidR="00D81F69" w:rsidRDefault="00D81F69">
      <w:pPr>
        <w:spacing w:before="1" w:line="312" w:lineRule="auto"/>
        <w:ind w:left="100" w:right="159"/>
        <w:rPr>
          <w:sz w:val="16"/>
        </w:rPr>
      </w:pPr>
      <w:hyperlink r:id="rId1595">
        <w:r w:rsidR="00330118">
          <w:rPr>
            <w:sz w:val="16"/>
          </w:rPr>
          <w:t>&lt;</w:t>
        </w:r>
        <w:r w:rsidR="00330118">
          <w:rPr>
            <w:sz w:val="16"/>
          </w:rPr>
          <w:t>http://www.fase.org.br/.../17_030331_caso_nuclemon_radiacao_ron</w:t>
        </w:r>
      </w:hyperlink>
      <w:r w:rsidR="00330118">
        <w:rPr>
          <w:sz w:val="16"/>
        </w:rPr>
        <w:t xml:space="preserve"> da.pdf&gt;. Acesso em: 08 fev. 2012.</w:t>
      </w:r>
    </w:p>
    <w:p w:rsidR="00D81F69" w:rsidRDefault="00330118">
      <w:pPr>
        <w:tabs>
          <w:tab w:val="left" w:pos="608"/>
          <w:tab w:val="left" w:pos="1365"/>
          <w:tab w:val="left" w:pos="2546"/>
          <w:tab w:val="left" w:pos="3365"/>
          <w:tab w:val="left" w:pos="4751"/>
        </w:tabs>
        <w:spacing w:before="2" w:line="312" w:lineRule="auto"/>
        <w:ind w:left="100" w:right="159"/>
        <w:rPr>
          <w:sz w:val="16"/>
        </w:rPr>
      </w:pPr>
      <w:r>
        <w:rPr>
          <w:sz w:val="16"/>
        </w:rPr>
        <w:t xml:space="preserve">IBGE, Instituto Brasileiro de Geografia e Estatística. São Paulo (SP). </w:t>
      </w:r>
      <w:r>
        <w:rPr>
          <w:spacing w:val="27"/>
          <w:sz w:val="16"/>
        </w:rPr>
        <w:t>In:</w:t>
      </w:r>
      <w:r>
        <w:rPr>
          <w:spacing w:val="27"/>
          <w:sz w:val="16"/>
        </w:rPr>
        <w:tab/>
      </w:r>
      <w:r>
        <w:rPr>
          <w:spacing w:val="31"/>
          <w:sz w:val="16"/>
        </w:rPr>
        <w:t>IBGE</w:t>
      </w:r>
      <w:r>
        <w:rPr>
          <w:spacing w:val="31"/>
          <w:sz w:val="16"/>
        </w:rPr>
        <w:tab/>
      </w:r>
      <w:r>
        <w:rPr>
          <w:spacing w:val="36"/>
          <w:sz w:val="16"/>
        </w:rPr>
        <w:t>Cidades,</w:t>
      </w:r>
      <w:r>
        <w:rPr>
          <w:spacing w:val="36"/>
          <w:sz w:val="16"/>
        </w:rPr>
        <w:tab/>
      </w:r>
      <w:r>
        <w:rPr>
          <w:spacing w:val="33"/>
          <w:sz w:val="16"/>
        </w:rPr>
        <w:t>2010.</w:t>
      </w:r>
      <w:r>
        <w:rPr>
          <w:spacing w:val="33"/>
          <w:sz w:val="16"/>
        </w:rPr>
        <w:tab/>
      </w:r>
      <w:r>
        <w:rPr>
          <w:spacing w:val="37"/>
          <w:sz w:val="16"/>
        </w:rPr>
        <w:t>Disponível</w:t>
      </w:r>
      <w:r>
        <w:rPr>
          <w:spacing w:val="37"/>
          <w:sz w:val="16"/>
        </w:rPr>
        <w:tab/>
      </w:r>
      <w:r>
        <w:rPr>
          <w:spacing w:val="27"/>
          <w:sz w:val="16"/>
        </w:rPr>
        <w:t>em:</w:t>
      </w:r>
      <w:r>
        <w:rPr>
          <w:spacing w:val="-1"/>
          <w:sz w:val="16"/>
        </w:rPr>
        <w:t xml:space="preserve"> </w:t>
      </w:r>
    </w:p>
    <w:p w:rsidR="00D81F69" w:rsidRDefault="00D81F69">
      <w:pPr>
        <w:spacing w:before="2"/>
        <w:ind w:left="100"/>
        <w:rPr>
          <w:sz w:val="16"/>
        </w:rPr>
      </w:pPr>
      <w:hyperlink r:id="rId1596">
        <w:r w:rsidR="00330118">
          <w:rPr>
            <w:sz w:val="16"/>
          </w:rPr>
          <w:t>&lt;http://www.ibge.gov.br/cidadesat/painel/painel.php?codmun=355030</w:t>
        </w:r>
      </w:hyperlink>
    </w:p>
    <w:p w:rsidR="00D81F69" w:rsidRDefault="00330118">
      <w:pPr>
        <w:spacing w:before="56"/>
        <w:ind w:left="100"/>
        <w:rPr>
          <w:sz w:val="16"/>
        </w:rPr>
      </w:pPr>
      <w:r>
        <w:rPr>
          <w:sz w:val="16"/>
        </w:rPr>
        <w:t>&gt;. Acesso em: 12 out. 2011.</w:t>
      </w:r>
    </w:p>
    <w:p w:rsidR="00D81F69" w:rsidRDefault="00330118">
      <w:pPr>
        <w:tabs>
          <w:tab w:val="left" w:pos="1638"/>
          <w:tab w:val="left" w:pos="2884"/>
          <w:tab w:val="left" w:pos="4688"/>
        </w:tabs>
        <w:spacing w:before="56" w:line="312" w:lineRule="auto"/>
        <w:ind w:left="100" w:right="159"/>
        <w:rPr>
          <w:sz w:val="16"/>
        </w:rPr>
      </w:pPr>
      <w:r>
        <w:rPr>
          <w:sz w:val="16"/>
        </w:rPr>
        <w:t xml:space="preserve">IBGE, Instituto Brasileiro de Geografia e Estatística. Itu (SP). In: IBGE </w:t>
      </w:r>
      <w:r>
        <w:rPr>
          <w:spacing w:val="30"/>
          <w:sz w:val="16"/>
        </w:rPr>
        <w:t>C</w:t>
      </w:r>
      <w:r>
        <w:rPr>
          <w:sz w:val="16"/>
        </w:rPr>
        <w:t xml:space="preserve"> </w:t>
      </w:r>
      <w:r>
        <w:rPr>
          <w:spacing w:val="30"/>
          <w:sz w:val="16"/>
        </w:rPr>
        <w:t>i</w:t>
      </w:r>
      <w:r>
        <w:rPr>
          <w:sz w:val="16"/>
        </w:rPr>
        <w:t xml:space="preserve"> </w:t>
      </w:r>
      <w:r>
        <w:rPr>
          <w:spacing w:val="30"/>
          <w:sz w:val="16"/>
        </w:rPr>
        <w:t>d</w:t>
      </w:r>
      <w:r>
        <w:rPr>
          <w:sz w:val="16"/>
        </w:rPr>
        <w:t xml:space="preserve"> </w:t>
      </w:r>
      <w:r>
        <w:rPr>
          <w:spacing w:val="30"/>
          <w:sz w:val="16"/>
        </w:rPr>
        <w:t>a</w:t>
      </w:r>
      <w:r>
        <w:rPr>
          <w:sz w:val="16"/>
        </w:rPr>
        <w:t xml:space="preserve"> </w:t>
      </w:r>
      <w:r>
        <w:rPr>
          <w:spacing w:val="30"/>
          <w:sz w:val="16"/>
        </w:rPr>
        <w:t>d</w:t>
      </w:r>
      <w:r>
        <w:rPr>
          <w:sz w:val="16"/>
        </w:rPr>
        <w:t xml:space="preserve"> </w:t>
      </w:r>
      <w:r>
        <w:rPr>
          <w:spacing w:val="30"/>
          <w:sz w:val="16"/>
        </w:rPr>
        <w:t>e</w:t>
      </w:r>
      <w:r>
        <w:rPr>
          <w:sz w:val="16"/>
        </w:rPr>
        <w:t xml:space="preserve"> </w:t>
      </w:r>
      <w:r>
        <w:rPr>
          <w:spacing w:val="30"/>
          <w:sz w:val="16"/>
        </w:rPr>
        <w:t>s</w:t>
      </w:r>
      <w:r>
        <w:rPr>
          <w:sz w:val="16"/>
        </w:rPr>
        <w:t xml:space="preserve"> ,</w:t>
      </w:r>
      <w:r>
        <w:rPr>
          <w:sz w:val="16"/>
        </w:rPr>
        <w:tab/>
      </w:r>
      <w:r>
        <w:rPr>
          <w:spacing w:val="30"/>
          <w:sz w:val="16"/>
        </w:rPr>
        <w:t>2</w:t>
      </w:r>
      <w:r>
        <w:rPr>
          <w:sz w:val="16"/>
        </w:rPr>
        <w:t xml:space="preserve"> </w:t>
      </w:r>
      <w:r>
        <w:rPr>
          <w:spacing w:val="30"/>
          <w:sz w:val="16"/>
        </w:rPr>
        <w:t>0</w:t>
      </w:r>
      <w:r>
        <w:rPr>
          <w:sz w:val="16"/>
        </w:rPr>
        <w:t xml:space="preserve"> </w:t>
      </w:r>
      <w:r>
        <w:rPr>
          <w:spacing w:val="30"/>
          <w:sz w:val="16"/>
        </w:rPr>
        <w:t>1</w:t>
      </w:r>
      <w:r>
        <w:rPr>
          <w:sz w:val="16"/>
        </w:rPr>
        <w:t xml:space="preserve"> </w:t>
      </w:r>
      <w:r>
        <w:rPr>
          <w:spacing w:val="30"/>
          <w:sz w:val="16"/>
        </w:rPr>
        <w:t>0</w:t>
      </w:r>
      <w:r>
        <w:rPr>
          <w:sz w:val="16"/>
        </w:rPr>
        <w:t xml:space="preserve"> </w:t>
      </w:r>
      <w:r>
        <w:rPr>
          <w:spacing w:val="30"/>
          <w:sz w:val="16"/>
        </w:rPr>
        <w:t>b</w:t>
      </w:r>
      <w:r>
        <w:rPr>
          <w:sz w:val="16"/>
        </w:rPr>
        <w:t xml:space="preserve"> .</w:t>
      </w:r>
      <w:r>
        <w:rPr>
          <w:sz w:val="16"/>
        </w:rPr>
        <w:tab/>
      </w:r>
      <w:r>
        <w:rPr>
          <w:spacing w:val="30"/>
          <w:sz w:val="16"/>
        </w:rPr>
        <w:t>D</w:t>
      </w:r>
      <w:r>
        <w:rPr>
          <w:sz w:val="16"/>
        </w:rPr>
        <w:t xml:space="preserve"> </w:t>
      </w:r>
      <w:r>
        <w:rPr>
          <w:spacing w:val="30"/>
          <w:sz w:val="16"/>
        </w:rPr>
        <w:t>i</w:t>
      </w:r>
      <w:r>
        <w:rPr>
          <w:sz w:val="16"/>
        </w:rPr>
        <w:t xml:space="preserve"> </w:t>
      </w:r>
      <w:r>
        <w:rPr>
          <w:spacing w:val="30"/>
          <w:sz w:val="16"/>
        </w:rPr>
        <w:t>s</w:t>
      </w:r>
      <w:r>
        <w:rPr>
          <w:sz w:val="16"/>
        </w:rPr>
        <w:t xml:space="preserve"> </w:t>
      </w:r>
      <w:r>
        <w:rPr>
          <w:spacing w:val="30"/>
          <w:sz w:val="16"/>
        </w:rPr>
        <w:t>p</w:t>
      </w:r>
      <w:r>
        <w:rPr>
          <w:sz w:val="16"/>
        </w:rPr>
        <w:t xml:space="preserve"> </w:t>
      </w:r>
      <w:r>
        <w:rPr>
          <w:spacing w:val="30"/>
          <w:sz w:val="16"/>
        </w:rPr>
        <w:t>o</w:t>
      </w:r>
      <w:r>
        <w:rPr>
          <w:sz w:val="16"/>
        </w:rPr>
        <w:t xml:space="preserve"> </w:t>
      </w:r>
      <w:r>
        <w:rPr>
          <w:spacing w:val="30"/>
          <w:sz w:val="16"/>
        </w:rPr>
        <w:t>n</w:t>
      </w:r>
      <w:r>
        <w:rPr>
          <w:sz w:val="16"/>
        </w:rPr>
        <w:t xml:space="preserve"> </w:t>
      </w:r>
      <w:r>
        <w:rPr>
          <w:spacing w:val="30"/>
          <w:sz w:val="16"/>
        </w:rPr>
        <w:t>í</w:t>
      </w:r>
      <w:r>
        <w:rPr>
          <w:sz w:val="16"/>
        </w:rPr>
        <w:t xml:space="preserve"> </w:t>
      </w:r>
      <w:r>
        <w:rPr>
          <w:spacing w:val="30"/>
          <w:sz w:val="16"/>
        </w:rPr>
        <w:t>v</w:t>
      </w:r>
      <w:r>
        <w:rPr>
          <w:sz w:val="16"/>
        </w:rPr>
        <w:t xml:space="preserve"> </w:t>
      </w:r>
      <w:r>
        <w:rPr>
          <w:spacing w:val="30"/>
          <w:sz w:val="16"/>
        </w:rPr>
        <w:t>e</w:t>
      </w:r>
      <w:r>
        <w:rPr>
          <w:sz w:val="16"/>
        </w:rPr>
        <w:t xml:space="preserve"> l</w:t>
      </w:r>
      <w:r>
        <w:rPr>
          <w:sz w:val="16"/>
        </w:rPr>
        <w:tab/>
      </w:r>
      <w:r>
        <w:rPr>
          <w:spacing w:val="30"/>
          <w:sz w:val="16"/>
        </w:rPr>
        <w:t>e m</w:t>
      </w:r>
      <w:r>
        <w:rPr>
          <w:spacing w:val="-30"/>
          <w:sz w:val="16"/>
        </w:rPr>
        <w:t xml:space="preserve"> </w:t>
      </w:r>
      <w:r>
        <w:rPr>
          <w:sz w:val="16"/>
        </w:rPr>
        <w:t xml:space="preserve">: </w:t>
      </w:r>
      <w:r>
        <w:rPr>
          <w:spacing w:val="-14"/>
          <w:sz w:val="16"/>
        </w:rPr>
        <w:t xml:space="preserve"> </w:t>
      </w:r>
    </w:p>
    <w:p w:rsidR="00D81F69" w:rsidRDefault="00D81F69">
      <w:pPr>
        <w:spacing w:before="1"/>
        <w:ind w:left="100"/>
        <w:rPr>
          <w:sz w:val="16"/>
        </w:rPr>
      </w:pPr>
      <w:hyperlink r:id="rId1597">
        <w:r w:rsidR="00330118">
          <w:rPr>
            <w:sz w:val="16"/>
          </w:rPr>
          <w:t>&lt;http://www.ibge.gov.br/cidadesat/xtras/perfil.php?codmun=292860&amp;r</w:t>
        </w:r>
      </w:hyperlink>
    </w:p>
    <w:p w:rsidR="00D81F69" w:rsidRDefault="00330118">
      <w:pPr>
        <w:spacing w:before="56"/>
        <w:ind w:left="100"/>
        <w:rPr>
          <w:sz w:val="16"/>
        </w:rPr>
      </w:pPr>
      <w:r>
        <w:rPr>
          <w:sz w:val="16"/>
        </w:rPr>
        <w:t>=2&gt;. Acesso em: 12 out. 2011.</w:t>
      </w:r>
    </w:p>
    <w:p w:rsidR="00D81F69" w:rsidRDefault="00330118">
      <w:pPr>
        <w:spacing w:before="56" w:line="312" w:lineRule="auto"/>
        <w:ind w:left="100" w:right="159"/>
        <w:rPr>
          <w:sz w:val="16"/>
        </w:rPr>
      </w:pPr>
      <w:r>
        <w:rPr>
          <w:sz w:val="16"/>
        </w:rPr>
        <w:t>LANCMAN, Thaís. Comissão vistoria depósito de lixo radioativo em Int</w:t>
      </w:r>
      <w:r>
        <w:rPr>
          <w:sz w:val="16"/>
        </w:rPr>
        <w:t>erlagos. In: Portal da Câmara Municipal de São Paulo, São Paulo,</w:t>
      </w:r>
    </w:p>
    <w:p w:rsidR="00D81F69" w:rsidRDefault="00330118">
      <w:pPr>
        <w:tabs>
          <w:tab w:val="left" w:pos="762"/>
          <w:tab w:val="left" w:pos="1682"/>
          <w:tab w:val="left" w:pos="2807"/>
          <w:tab w:val="left" w:pos="4679"/>
        </w:tabs>
        <w:spacing w:before="2"/>
        <w:ind w:left="100"/>
        <w:rPr>
          <w:sz w:val="16"/>
        </w:rPr>
      </w:pPr>
      <w:r>
        <w:rPr>
          <w:spacing w:val="35"/>
          <w:sz w:val="16"/>
        </w:rPr>
        <w:t>1</w:t>
      </w:r>
      <w:r>
        <w:rPr>
          <w:sz w:val="16"/>
        </w:rPr>
        <w:t xml:space="preserve"> 8</w:t>
      </w:r>
      <w:r>
        <w:rPr>
          <w:sz w:val="16"/>
        </w:rPr>
        <w:tab/>
      </w:r>
      <w:r>
        <w:rPr>
          <w:spacing w:val="35"/>
          <w:sz w:val="16"/>
        </w:rPr>
        <w:t>a</w:t>
      </w:r>
      <w:r>
        <w:rPr>
          <w:sz w:val="16"/>
        </w:rPr>
        <w:t xml:space="preserve"> </w:t>
      </w:r>
      <w:r>
        <w:rPr>
          <w:spacing w:val="35"/>
          <w:sz w:val="16"/>
        </w:rPr>
        <w:t>b</w:t>
      </w:r>
      <w:r>
        <w:rPr>
          <w:sz w:val="16"/>
        </w:rPr>
        <w:t xml:space="preserve"> </w:t>
      </w:r>
      <w:r>
        <w:rPr>
          <w:spacing w:val="35"/>
          <w:sz w:val="16"/>
        </w:rPr>
        <w:t>r</w:t>
      </w:r>
      <w:r>
        <w:rPr>
          <w:sz w:val="16"/>
        </w:rPr>
        <w:t xml:space="preserve"> .</w:t>
      </w:r>
      <w:r>
        <w:rPr>
          <w:sz w:val="16"/>
        </w:rPr>
        <w:tab/>
      </w:r>
      <w:r>
        <w:rPr>
          <w:spacing w:val="35"/>
          <w:sz w:val="16"/>
        </w:rPr>
        <w:t>2</w:t>
      </w:r>
      <w:r>
        <w:rPr>
          <w:sz w:val="16"/>
        </w:rPr>
        <w:t xml:space="preserve"> </w:t>
      </w:r>
      <w:r>
        <w:rPr>
          <w:spacing w:val="35"/>
          <w:sz w:val="16"/>
        </w:rPr>
        <w:t>0</w:t>
      </w:r>
      <w:r>
        <w:rPr>
          <w:sz w:val="16"/>
        </w:rPr>
        <w:t xml:space="preserve"> </w:t>
      </w:r>
      <w:r>
        <w:rPr>
          <w:spacing w:val="35"/>
          <w:sz w:val="16"/>
        </w:rPr>
        <w:t>1</w:t>
      </w:r>
      <w:r>
        <w:rPr>
          <w:sz w:val="16"/>
        </w:rPr>
        <w:t xml:space="preserve"> </w:t>
      </w:r>
      <w:r>
        <w:rPr>
          <w:spacing w:val="35"/>
          <w:sz w:val="16"/>
        </w:rPr>
        <w:t>1</w:t>
      </w:r>
      <w:r>
        <w:rPr>
          <w:sz w:val="16"/>
        </w:rPr>
        <w:t xml:space="preserve"> .</w:t>
      </w:r>
      <w:r>
        <w:rPr>
          <w:sz w:val="16"/>
        </w:rPr>
        <w:tab/>
      </w:r>
      <w:r>
        <w:rPr>
          <w:spacing w:val="35"/>
          <w:sz w:val="16"/>
        </w:rPr>
        <w:t>D</w:t>
      </w:r>
      <w:r>
        <w:rPr>
          <w:sz w:val="16"/>
        </w:rPr>
        <w:t xml:space="preserve"> </w:t>
      </w:r>
      <w:r>
        <w:rPr>
          <w:spacing w:val="35"/>
          <w:sz w:val="16"/>
        </w:rPr>
        <w:t>i</w:t>
      </w:r>
      <w:r>
        <w:rPr>
          <w:sz w:val="16"/>
        </w:rPr>
        <w:t xml:space="preserve"> </w:t>
      </w:r>
      <w:r>
        <w:rPr>
          <w:spacing w:val="35"/>
          <w:sz w:val="16"/>
        </w:rPr>
        <w:t>s</w:t>
      </w:r>
      <w:r>
        <w:rPr>
          <w:sz w:val="16"/>
        </w:rPr>
        <w:t xml:space="preserve"> </w:t>
      </w:r>
      <w:r>
        <w:rPr>
          <w:spacing w:val="35"/>
          <w:sz w:val="16"/>
        </w:rPr>
        <w:t>p</w:t>
      </w:r>
      <w:r>
        <w:rPr>
          <w:sz w:val="16"/>
        </w:rPr>
        <w:t xml:space="preserve"> </w:t>
      </w:r>
      <w:r>
        <w:rPr>
          <w:spacing w:val="35"/>
          <w:sz w:val="16"/>
        </w:rPr>
        <w:t>o</w:t>
      </w:r>
      <w:r>
        <w:rPr>
          <w:sz w:val="16"/>
        </w:rPr>
        <w:t xml:space="preserve"> </w:t>
      </w:r>
      <w:r>
        <w:rPr>
          <w:spacing w:val="35"/>
          <w:sz w:val="16"/>
        </w:rPr>
        <w:t>n</w:t>
      </w:r>
      <w:r>
        <w:rPr>
          <w:sz w:val="16"/>
        </w:rPr>
        <w:t xml:space="preserve"> </w:t>
      </w:r>
      <w:r>
        <w:rPr>
          <w:spacing w:val="35"/>
          <w:sz w:val="16"/>
        </w:rPr>
        <w:t>í</w:t>
      </w:r>
      <w:r>
        <w:rPr>
          <w:sz w:val="16"/>
        </w:rPr>
        <w:t xml:space="preserve"> </w:t>
      </w:r>
      <w:r>
        <w:rPr>
          <w:spacing w:val="35"/>
          <w:sz w:val="16"/>
        </w:rPr>
        <w:t>v</w:t>
      </w:r>
      <w:r>
        <w:rPr>
          <w:sz w:val="16"/>
        </w:rPr>
        <w:t xml:space="preserve"> </w:t>
      </w:r>
      <w:r>
        <w:rPr>
          <w:spacing w:val="35"/>
          <w:sz w:val="16"/>
        </w:rPr>
        <w:t>e</w:t>
      </w:r>
      <w:r>
        <w:rPr>
          <w:sz w:val="16"/>
        </w:rPr>
        <w:t xml:space="preserve"> l</w:t>
      </w:r>
      <w:r>
        <w:rPr>
          <w:sz w:val="16"/>
        </w:rPr>
        <w:tab/>
      </w:r>
      <w:r>
        <w:rPr>
          <w:spacing w:val="35"/>
          <w:sz w:val="16"/>
        </w:rPr>
        <w:t>e</w:t>
      </w:r>
      <w:r>
        <w:rPr>
          <w:sz w:val="16"/>
        </w:rPr>
        <w:t xml:space="preserve"> </w:t>
      </w:r>
      <w:r>
        <w:rPr>
          <w:spacing w:val="35"/>
          <w:sz w:val="16"/>
        </w:rPr>
        <w:t>m</w:t>
      </w:r>
      <w:r>
        <w:rPr>
          <w:sz w:val="16"/>
        </w:rPr>
        <w:t xml:space="preserve"> : </w:t>
      </w:r>
      <w:r>
        <w:rPr>
          <w:spacing w:val="-9"/>
          <w:sz w:val="16"/>
        </w:rPr>
        <w:t xml:space="preserve"> </w:t>
      </w:r>
    </w:p>
    <w:p w:rsidR="00D81F69" w:rsidRDefault="00D81F69">
      <w:pPr>
        <w:spacing w:before="56" w:line="312" w:lineRule="auto"/>
        <w:ind w:left="100" w:right="211"/>
        <w:jc w:val="both"/>
        <w:rPr>
          <w:sz w:val="16"/>
        </w:rPr>
      </w:pPr>
      <w:hyperlink r:id="rId1598">
        <w:r w:rsidR="00330118">
          <w:rPr>
            <w:sz w:val="16"/>
          </w:rPr>
          <w:t>&lt;http://www.camara.sp.gov.br/index.php?option=com_content&amp;</w:t>
        </w:r>
        <w:r w:rsidR="00330118">
          <w:rPr>
            <w:sz w:val="16"/>
          </w:rPr>
          <w:t>view=</w:t>
        </w:r>
      </w:hyperlink>
      <w:r w:rsidR="00330118">
        <w:rPr>
          <w:sz w:val="16"/>
        </w:rPr>
        <w:t xml:space="preserve"> article&amp;id=3625:comissao-vistoria-deposito-de-lixo-radioativo-em- interlagos&amp;catid=34:comissoes&amp;Itemid=91&gt;. Acesso em: 29 jan. 2012</w:t>
      </w:r>
    </w:p>
    <w:p w:rsidR="00D81F69" w:rsidRDefault="00330118">
      <w:pPr>
        <w:spacing w:before="2"/>
        <w:ind w:left="100"/>
        <w:rPr>
          <w:sz w:val="16"/>
        </w:rPr>
      </w:pPr>
      <w:r>
        <w:rPr>
          <w:sz w:val="16"/>
        </w:rPr>
        <w:t>.</w:t>
      </w:r>
    </w:p>
    <w:p w:rsidR="00D81F69" w:rsidRDefault="00330118">
      <w:pPr>
        <w:spacing w:before="56" w:line="312" w:lineRule="auto"/>
        <w:ind w:left="100" w:right="159"/>
        <w:rPr>
          <w:sz w:val="16"/>
        </w:rPr>
      </w:pPr>
      <w:r>
        <w:rPr>
          <w:sz w:val="16"/>
        </w:rPr>
        <w:t>NATALINI, Gilberto. 80 toneladas de lixo radioativo em Santo Amaro, 18 abr. 2011. In: Coisas (de São Paulo), 27 ago. 2011. Disponível em:</w:t>
      </w:r>
    </w:p>
    <w:p w:rsidR="00D81F69" w:rsidRDefault="00D81F69">
      <w:pPr>
        <w:spacing w:before="2" w:line="312" w:lineRule="auto"/>
        <w:ind w:left="100" w:right="216"/>
        <w:rPr>
          <w:sz w:val="16"/>
        </w:rPr>
      </w:pPr>
      <w:hyperlink r:id="rId1599">
        <w:r w:rsidR="00330118">
          <w:rPr>
            <w:sz w:val="16"/>
          </w:rPr>
          <w:t>&lt;http://coisassaopaulo.blogspot.c</w:t>
        </w:r>
        <w:r w:rsidR="00330118">
          <w:rPr>
            <w:sz w:val="16"/>
          </w:rPr>
          <w:t>om.br/2011/08/80-toneladas-de-lixo-</w:t>
        </w:r>
      </w:hyperlink>
      <w:r w:rsidR="00330118">
        <w:rPr>
          <w:sz w:val="16"/>
        </w:rPr>
        <w:t xml:space="preserve"> radioativo-em.html&gt;. Acesso em: 25 ago. 2012.</w:t>
      </w:r>
    </w:p>
    <w:p w:rsidR="00D81F69" w:rsidRDefault="00330118">
      <w:pPr>
        <w:spacing w:before="2" w:line="312" w:lineRule="auto"/>
        <w:ind w:left="100" w:right="195"/>
        <w:jc w:val="both"/>
        <w:rPr>
          <w:sz w:val="16"/>
        </w:rPr>
      </w:pPr>
      <w:r>
        <w:rPr>
          <w:sz w:val="16"/>
        </w:rPr>
        <w:t xml:space="preserve">REINA, Eduardo. Contaminação e morte na Nuclemon. In: Blog Eduardo Reina. Cidades, Pessoas &amp; Decisões, 23 abr. 2010 Disponível em: </w:t>
      </w:r>
      <w:hyperlink r:id="rId1600">
        <w:r>
          <w:rPr>
            <w:sz w:val="16"/>
          </w:rPr>
          <w:t xml:space="preserve">&lt;http://blogs.estadao.com.br/eduardo </w:t>
        </w:r>
      </w:hyperlink>
      <w:r>
        <w:rPr>
          <w:sz w:val="16"/>
        </w:rPr>
        <w:t>reina/2010/04/23/contaminacao-e-morte-na-nuclemon/&gt;. Acesso em: 30 jan. 2012.</w:t>
      </w:r>
    </w:p>
    <w:p w:rsidR="00D81F69" w:rsidRDefault="00330118">
      <w:pPr>
        <w:spacing w:before="4" w:line="312" w:lineRule="auto"/>
        <w:ind w:left="100" w:right="159"/>
        <w:rPr>
          <w:sz w:val="16"/>
        </w:rPr>
      </w:pPr>
      <w:r>
        <w:rPr>
          <w:sz w:val="16"/>
        </w:rPr>
        <w:t xml:space="preserve">SINDICATO DOS QUÍMICOS DE SÃO PAULO. História de Doenças, Abandono e Morte. São Paulo, 28 </w:t>
      </w:r>
      <w:r>
        <w:rPr>
          <w:sz w:val="16"/>
        </w:rPr>
        <w:t>abr. 2008. Disponível em:</w:t>
      </w:r>
    </w:p>
    <w:p w:rsidR="00D81F69" w:rsidRDefault="00D81F69">
      <w:pPr>
        <w:spacing w:before="1" w:line="312" w:lineRule="auto"/>
        <w:ind w:left="100" w:right="208"/>
        <w:rPr>
          <w:sz w:val="16"/>
        </w:rPr>
      </w:pPr>
      <w:hyperlink r:id="rId1601">
        <w:r w:rsidR="00330118">
          <w:rPr>
            <w:sz w:val="16"/>
          </w:rPr>
          <w:t>&lt;http://www.quimicosp.org.br/noticias/974/historia-de-doencas-</w:t>
        </w:r>
      </w:hyperlink>
      <w:r w:rsidR="00330118">
        <w:rPr>
          <w:sz w:val="16"/>
        </w:rPr>
        <w:t xml:space="preserve"> abandono-e-morte&gt;. Acesso em: 31 jan. 2012.</w:t>
      </w:r>
    </w:p>
    <w:p w:rsidR="00D81F69" w:rsidRDefault="00330118">
      <w:pPr>
        <w:spacing w:before="2" w:line="312" w:lineRule="auto"/>
        <w:ind w:left="100" w:right="159"/>
        <w:rPr>
          <w:sz w:val="16"/>
        </w:rPr>
      </w:pPr>
      <w:r>
        <w:rPr>
          <w:sz w:val="16"/>
        </w:rPr>
        <w:t>THOMÉ, Clarissa. Ainda não há prazo para tra</w:t>
      </w:r>
      <w:r>
        <w:rPr>
          <w:sz w:val="16"/>
        </w:rPr>
        <w:t>nsferir as 1.150 toneladas de rejeitos guardadas no terreno. In: O Estado de S. Paulo,</w:t>
      </w:r>
    </w:p>
    <w:p w:rsidR="00D81F69" w:rsidRDefault="00330118">
      <w:pPr>
        <w:tabs>
          <w:tab w:val="left" w:pos="781"/>
          <w:tab w:val="left" w:pos="1728"/>
          <w:tab w:val="left" w:pos="2756"/>
          <w:tab w:val="left" w:pos="4675"/>
        </w:tabs>
        <w:spacing w:before="2"/>
        <w:ind w:left="100"/>
        <w:rPr>
          <w:sz w:val="16"/>
        </w:rPr>
      </w:pPr>
      <w:r>
        <w:rPr>
          <w:spacing w:val="37"/>
          <w:sz w:val="16"/>
        </w:rPr>
        <w:t>2</w:t>
      </w:r>
      <w:r>
        <w:rPr>
          <w:sz w:val="16"/>
        </w:rPr>
        <w:t xml:space="preserve"> 3</w:t>
      </w:r>
      <w:r>
        <w:rPr>
          <w:sz w:val="16"/>
        </w:rPr>
        <w:tab/>
      </w:r>
      <w:r>
        <w:rPr>
          <w:spacing w:val="37"/>
          <w:sz w:val="16"/>
        </w:rPr>
        <w:t>a</w:t>
      </w:r>
      <w:r>
        <w:rPr>
          <w:sz w:val="16"/>
        </w:rPr>
        <w:t xml:space="preserve"> </w:t>
      </w:r>
      <w:r>
        <w:rPr>
          <w:spacing w:val="37"/>
          <w:sz w:val="16"/>
        </w:rPr>
        <w:t>b</w:t>
      </w:r>
      <w:r>
        <w:rPr>
          <w:sz w:val="16"/>
        </w:rPr>
        <w:t xml:space="preserve"> </w:t>
      </w:r>
      <w:r>
        <w:rPr>
          <w:spacing w:val="37"/>
          <w:sz w:val="16"/>
        </w:rPr>
        <w:t>r</w:t>
      </w:r>
      <w:r>
        <w:rPr>
          <w:sz w:val="16"/>
        </w:rPr>
        <w:t xml:space="preserve"> .</w:t>
      </w:r>
      <w:r>
        <w:rPr>
          <w:sz w:val="16"/>
        </w:rPr>
        <w:tab/>
      </w:r>
      <w:r>
        <w:rPr>
          <w:spacing w:val="37"/>
          <w:sz w:val="16"/>
        </w:rPr>
        <w:t>2</w:t>
      </w:r>
      <w:r>
        <w:rPr>
          <w:sz w:val="16"/>
        </w:rPr>
        <w:t xml:space="preserve"> </w:t>
      </w:r>
      <w:r>
        <w:rPr>
          <w:spacing w:val="37"/>
          <w:sz w:val="16"/>
        </w:rPr>
        <w:t>0</w:t>
      </w:r>
      <w:r>
        <w:rPr>
          <w:sz w:val="16"/>
        </w:rPr>
        <w:t xml:space="preserve"> </w:t>
      </w:r>
      <w:r>
        <w:rPr>
          <w:spacing w:val="37"/>
          <w:sz w:val="16"/>
        </w:rPr>
        <w:t>1</w:t>
      </w:r>
      <w:r>
        <w:rPr>
          <w:sz w:val="16"/>
        </w:rPr>
        <w:t xml:space="preserve"> 0</w:t>
      </w:r>
      <w:r>
        <w:rPr>
          <w:sz w:val="16"/>
        </w:rPr>
        <w:tab/>
      </w:r>
      <w:r>
        <w:rPr>
          <w:spacing w:val="37"/>
          <w:sz w:val="16"/>
        </w:rPr>
        <w:t>D</w:t>
      </w:r>
      <w:r>
        <w:rPr>
          <w:sz w:val="16"/>
        </w:rPr>
        <w:t xml:space="preserve"> </w:t>
      </w:r>
      <w:r>
        <w:rPr>
          <w:spacing w:val="37"/>
          <w:sz w:val="16"/>
        </w:rPr>
        <w:t>i</w:t>
      </w:r>
      <w:r>
        <w:rPr>
          <w:sz w:val="16"/>
        </w:rPr>
        <w:t xml:space="preserve"> </w:t>
      </w:r>
      <w:r>
        <w:rPr>
          <w:spacing w:val="37"/>
          <w:sz w:val="16"/>
        </w:rPr>
        <w:t>s</w:t>
      </w:r>
      <w:r>
        <w:rPr>
          <w:sz w:val="16"/>
        </w:rPr>
        <w:t xml:space="preserve"> </w:t>
      </w:r>
      <w:r>
        <w:rPr>
          <w:spacing w:val="37"/>
          <w:sz w:val="16"/>
        </w:rPr>
        <w:t>p</w:t>
      </w:r>
      <w:r>
        <w:rPr>
          <w:sz w:val="16"/>
        </w:rPr>
        <w:t xml:space="preserve"> </w:t>
      </w:r>
      <w:r>
        <w:rPr>
          <w:spacing w:val="37"/>
          <w:sz w:val="16"/>
        </w:rPr>
        <w:t>o</w:t>
      </w:r>
      <w:r>
        <w:rPr>
          <w:sz w:val="16"/>
        </w:rPr>
        <w:t xml:space="preserve"> </w:t>
      </w:r>
      <w:r>
        <w:rPr>
          <w:spacing w:val="37"/>
          <w:sz w:val="16"/>
        </w:rPr>
        <w:t>n</w:t>
      </w:r>
      <w:r>
        <w:rPr>
          <w:sz w:val="16"/>
        </w:rPr>
        <w:t xml:space="preserve"> </w:t>
      </w:r>
      <w:r>
        <w:rPr>
          <w:spacing w:val="37"/>
          <w:sz w:val="16"/>
        </w:rPr>
        <w:t>í</w:t>
      </w:r>
      <w:r>
        <w:rPr>
          <w:sz w:val="16"/>
        </w:rPr>
        <w:t xml:space="preserve"> </w:t>
      </w:r>
      <w:r>
        <w:rPr>
          <w:spacing w:val="37"/>
          <w:sz w:val="16"/>
        </w:rPr>
        <w:t>v</w:t>
      </w:r>
      <w:r>
        <w:rPr>
          <w:sz w:val="16"/>
        </w:rPr>
        <w:t xml:space="preserve"> </w:t>
      </w:r>
      <w:r>
        <w:rPr>
          <w:spacing w:val="37"/>
          <w:sz w:val="16"/>
        </w:rPr>
        <w:t>e</w:t>
      </w:r>
      <w:r>
        <w:rPr>
          <w:sz w:val="16"/>
        </w:rPr>
        <w:t xml:space="preserve"> l</w:t>
      </w:r>
      <w:r>
        <w:rPr>
          <w:sz w:val="16"/>
        </w:rPr>
        <w:tab/>
      </w:r>
      <w:r>
        <w:rPr>
          <w:spacing w:val="37"/>
          <w:sz w:val="16"/>
        </w:rPr>
        <w:t>e</w:t>
      </w:r>
      <w:r>
        <w:rPr>
          <w:sz w:val="16"/>
        </w:rPr>
        <w:t xml:space="preserve"> </w:t>
      </w:r>
      <w:r>
        <w:rPr>
          <w:spacing w:val="37"/>
          <w:sz w:val="16"/>
        </w:rPr>
        <w:t>m</w:t>
      </w:r>
      <w:r>
        <w:rPr>
          <w:sz w:val="16"/>
        </w:rPr>
        <w:t xml:space="preserve"> : </w:t>
      </w:r>
      <w:r>
        <w:rPr>
          <w:spacing w:val="-6"/>
          <w:sz w:val="16"/>
        </w:rPr>
        <w:t xml:space="preserve"> </w:t>
      </w:r>
    </w:p>
    <w:p w:rsidR="00D81F69" w:rsidRDefault="00D81F69">
      <w:pPr>
        <w:spacing w:before="56" w:line="312" w:lineRule="auto"/>
        <w:ind w:left="100" w:right="232"/>
        <w:rPr>
          <w:sz w:val="16"/>
        </w:rPr>
      </w:pPr>
      <w:hyperlink r:id="rId1602">
        <w:r w:rsidR="00330118">
          <w:rPr>
            <w:sz w:val="16"/>
          </w:rPr>
          <w:t xml:space="preserve">&lt;http://decoamaral.wordpress.com/tag/nuclemon/&gt;. </w:t>
        </w:r>
      </w:hyperlink>
      <w:r w:rsidR="00330118">
        <w:rPr>
          <w:sz w:val="16"/>
        </w:rPr>
        <w:t>Acesso em</w:t>
      </w:r>
      <w:r w:rsidR="00330118">
        <w:rPr>
          <w:sz w:val="16"/>
        </w:rPr>
        <w:t>: 03 fev. 2012.</w:t>
      </w:r>
    </w:p>
    <w:p w:rsidR="00D81F69" w:rsidRDefault="00D81F69">
      <w:pPr>
        <w:spacing w:line="312" w:lineRule="auto"/>
        <w:rPr>
          <w:sz w:val="16"/>
        </w:rPr>
        <w:sectPr w:rsidR="00D81F69">
          <w:pgSz w:w="11900" w:h="16840"/>
          <w:pgMar w:top="740" w:right="500" w:bottom="720" w:left="620" w:header="0" w:footer="402" w:gutter="0"/>
          <w:cols w:num="2" w:space="720" w:equalWidth="0">
            <w:col w:w="5238" w:space="232"/>
            <w:col w:w="5310"/>
          </w:cols>
        </w:sectPr>
      </w:pPr>
    </w:p>
    <w:p w:rsidR="00D81F69" w:rsidRDefault="00330118">
      <w:pPr>
        <w:pStyle w:val="Heading1"/>
        <w:spacing w:line="208" w:lineRule="auto"/>
        <w:ind w:right="301"/>
      </w:pPr>
      <w:r>
        <w:lastRenderedPageBreak/>
        <w:t>Produção de fertilizantes fosfatados em Cajati (SP) tem restrições ambientais</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7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SP - Cajati</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-24,7869</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-48,1769</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5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A economia do município de Cajati, no </w:t>
      </w:r>
      <w:r>
        <w:rPr>
          <w:i/>
          <w:spacing w:val="5"/>
          <w:sz w:val="16"/>
        </w:rPr>
        <w:t xml:space="preserve">sudeste </w:t>
      </w:r>
      <w:r>
        <w:rPr>
          <w:i/>
          <w:spacing w:val="3"/>
          <w:sz w:val="16"/>
        </w:rPr>
        <w:t xml:space="preserve">do </w:t>
      </w:r>
      <w:r>
        <w:rPr>
          <w:i/>
          <w:spacing w:val="5"/>
          <w:sz w:val="16"/>
        </w:rPr>
        <w:t xml:space="preserve">estado </w:t>
      </w:r>
      <w:r>
        <w:rPr>
          <w:i/>
          <w:spacing w:val="3"/>
          <w:sz w:val="16"/>
        </w:rPr>
        <w:t xml:space="preserve">de </w:t>
      </w:r>
      <w:r>
        <w:rPr>
          <w:i/>
          <w:spacing w:val="5"/>
          <w:sz w:val="16"/>
        </w:rPr>
        <w:t xml:space="preserve">São Paulo, </w:t>
      </w:r>
      <w:r>
        <w:rPr>
          <w:i/>
          <w:sz w:val="16"/>
        </w:rPr>
        <w:t xml:space="preserve">é </w:t>
      </w:r>
      <w:r>
        <w:rPr>
          <w:i/>
          <w:spacing w:val="3"/>
          <w:sz w:val="16"/>
        </w:rPr>
        <w:t xml:space="preserve">representada, </w:t>
      </w:r>
      <w:r>
        <w:rPr>
          <w:i/>
          <w:spacing w:val="1"/>
          <w:sz w:val="16"/>
        </w:rPr>
        <w:t xml:space="preserve">em </w:t>
      </w:r>
      <w:r>
        <w:rPr>
          <w:i/>
          <w:spacing w:val="3"/>
          <w:sz w:val="16"/>
        </w:rPr>
        <w:t xml:space="preserve">grande parte, </w:t>
      </w:r>
      <w:r>
        <w:rPr>
          <w:i/>
          <w:spacing w:val="5"/>
          <w:sz w:val="16"/>
        </w:rPr>
        <w:t xml:space="preserve">pelas </w:t>
      </w:r>
      <w:r>
        <w:rPr>
          <w:i/>
          <w:sz w:val="16"/>
        </w:rPr>
        <w:t xml:space="preserve">indústrias extrativa e de transformação de </w:t>
      </w:r>
      <w:r>
        <w:rPr>
          <w:i/>
          <w:spacing w:val="1"/>
          <w:sz w:val="16"/>
        </w:rPr>
        <w:t xml:space="preserve">base mineral, responsáveis, </w:t>
      </w:r>
      <w:r>
        <w:rPr>
          <w:i/>
          <w:spacing w:val="2"/>
          <w:sz w:val="16"/>
        </w:rPr>
        <w:t xml:space="preserve">dentre </w:t>
      </w:r>
      <w:r>
        <w:rPr>
          <w:i/>
          <w:spacing w:val="5"/>
          <w:sz w:val="16"/>
        </w:rPr>
        <w:t xml:space="preserve">outros </w:t>
      </w:r>
      <w:r>
        <w:rPr>
          <w:i/>
          <w:spacing w:val="6"/>
          <w:sz w:val="16"/>
        </w:rPr>
        <w:t xml:space="preserve">produtos, </w:t>
      </w:r>
      <w:r>
        <w:rPr>
          <w:i/>
          <w:spacing w:val="5"/>
          <w:sz w:val="16"/>
        </w:rPr>
        <w:t xml:space="preserve">pela </w:t>
      </w:r>
      <w:r>
        <w:rPr>
          <w:i/>
          <w:spacing w:val="6"/>
          <w:sz w:val="16"/>
        </w:rPr>
        <w:t xml:space="preserve">fabricação </w:t>
      </w:r>
      <w:r>
        <w:rPr>
          <w:i/>
          <w:spacing w:val="7"/>
          <w:sz w:val="16"/>
        </w:rPr>
        <w:t xml:space="preserve">de </w:t>
      </w:r>
      <w:r>
        <w:rPr>
          <w:i/>
          <w:sz w:val="16"/>
        </w:rPr>
        <w:t xml:space="preserve">cimento e de fertilizante para lavoura. Os </w:t>
      </w:r>
      <w:r>
        <w:rPr>
          <w:i/>
          <w:spacing w:val="17"/>
          <w:sz w:val="16"/>
        </w:rPr>
        <w:t xml:space="preserve">principais impactos </w:t>
      </w:r>
      <w:r>
        <w:rPr>
          <w:i/>
          <w:spacing w:val="10"/>
          <w:sz w:val="16"/>
        </w:rPr>
        <w:t xml:space="preserve">na </w:t>
      </w:r>
      <w:r>
        <w:rPr>
          <w:i/>
          <w:spacing w:val="17"/>
          <w:sz w:val="16"/>
        </w:rPr>
        <w:t>regiã</w:t>
      </w:r>
      <w:r>
        <w:rPr>
          <w:i/>
          <w:spacing w:val="17"/>
          <w:sz w:val="16"/>
        </w:rPr>
        <w:t xml:space="preserve">o, </w:t>
      </w:r>
      <w:r>
        <w:rPr>
          <w:i/>
          <w:sz w:val="16"/>
        </w:rPr>
        <w:t>provenientes das atividades minerais e de transformação, são o desmatamento  e a poluição do</w:t>
      </w:r>
      <w:r>
        <w:rPr>
          <w:i/>
          <w:spacing w:val="37"/>
          <w:sz w:val="16"/>
        </w:rPr>
        <w:t xml:space="preserve"> </w:t>
      </w:r>
      <w:r>
        <w:rPr>
          <w:i/>
          <w:sz w:val="16"/>
        </w:rPr>
        <w:t>ar.</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5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92"/>
      </w:pPr>
      <w:r>
        <w:t>de transformação, responsáveis pela fabricação de cimento, fertilizante para lavoura, argamassa, ácidos sulfúricos e fosfóricos, insumos para ração animal, gesso para a indústria do papel, calcário e ácido fosfórico purificado para as indústrias de aliment</w:t>
      </w:r>
      <w:r>
        <w:t>os e medicamentos (FRANÇA, 2005).</w:t>
      </w:r>
    </w:p>
    <w:p w:rsidR="00D81F69" w:rsidRDefault="00330118">
      <w:pPr>
        <w:pStyle w:val="Corpodetexto"/>
        <w:spacing w:before="134" w:line="312" w:lineRule="auto"/>
        <w:ind w:left="135" w:right="208"/>
      </w:pPr>
      <w:r>
        <w:t>A comprovação de existência de apatita e de calcário na região de Cajati levou o Grupo Moinho Santista [atualmente Grupo Bunge] a pedir autorização ao governo brasileiro, para explorar as jazidas locais (PREFEITURA MUNICIP</w:t>
      </w:r>
      <w:r>
        <w:t>AL DE CAJATI – SP, 2007), cujas reservas lavráveis estavam estimadas em 100 milhões de toneladas de minério apatítico (SCHNELLRATH; SILVA; SHIMABUKURO, 2002).</w:t>
      </w:r>
    </w:p>
    <w:p w:rsidR="00D81F69" w:rsidRDefault="00D81F69">
      <w:pPr>
        <w:spacing w:line="312" w:lineRule="auto"/>
        <w:sectPr w:rsidR="00D81F69">
          <w:type w:val="continuous"/>
          <w:pgSz w:w="11900" w:h="16840"/>
          <w:pgMar w:top="720" w:right="500" w:bottom="280" w:left="620" w:header="720" w:footer="720" w:gutter="0"/>
          <w:cols w:num="3" w:space="720" w:equalWidth="0">
            <w:col w:w="1008" w:space="992"/>
            <w:col w:w="3139" w:space="296"/>
            <w:col w:w="5345"/>
          </w:cols>
        </w:sectPr>
      </w:pPr>
    </w:p>
    <w:p w:rsidR="00D81F69" w:rsidRDefault="00330118">
      <w:pPr>
        <w:pStyle w:val="Heading4"/>
        <w:spacing w:before="60"/>
        <w:jc w:val="left"/>
      </w:pPr>
      <w:r>
        <w:lastRenderedPageBreak/>
        <w:t>APRESENTAÇÃO DE CASO</w:t>
      </w:r>
    </w:p>
    <w:p w:rsidR="00D81F69" w:rsidRDefault="00330118">
      <w:pPr>
        <w:pStyle w:val="Corpodetexto"/>
        <w:spacing w:before="171" w:line="312" w:lineRule="auto"/>
        <w:ind w:right="77"/>
      </w:pPr>
      <w:r>
        <w:t xml:space="preserve">Com o crescimento da população mundial, e o </w:t>
      </w:r>
      <w:r>
        <w:t xml:space="preserve">consequente aumento da produção de alimentos, a área de fertilizantes é uma das que mais cresce, demandando cada vez mais matérias primas, como o fosfato (RIBEIRO, 2011). Embora detenha grandes reservas deste mineral, o Brasil continua muito dependente de </w:t>
      </w:r>
      <w:r>
        <w:t>sua importação (OLIVEIRA; FERREIRA, 2007; BRASIL MINERAL, 2010). Mais da metade dos insumos para fertilizantes consumidos no país é importada (VALE FERTILIZANTES, 2010).</w:t>
      </w:r>
    </w:p>
    <w:p w:rsidR="00D81F69" w:rsidRDefault="00330118">
      <w:pPr>
        <w:pStyle w:val="Corpodetexto"/>
        <w:spacing w:before="138" w:line="312" w:lineRule="auto"/>
        <w:ind w:right="69"/>
      </w:pPr>
      <w:r>
        <w:t>As grandes reservas brasileiras do mineral fosfático apatita [(Ca5(PO4)3(F,OH,Cl)] encontram-se em Tapir, Pato de Minas, e Araxá, em Minas Gerais; Ouvidor, em Goiás; Irecê e Angico dos Dias; na Bahia; Itatia, no Ceará; Alhandra, na Paraíba; e Cajati, em Sã</w:t>
      </w:r>
      <w:r>
        <w:t>o Paulo (LOUREIRO; MONTE; NASCIMENTO, 2005).</w:t>
      </w:r>
    </w:p>
    <w:p w:rsidR="00D81F69" w:rsidRDefault="00330118">
      <w:pPr>
        <w:pStyle w:val="Corpodetexto"/>
        <w:spacing w:before="136" w:line="312" w:lineRule="auto"/>
        <w:ind w:right="76"/>
      </w:pPr>
      <w:r>
        <w:t>A apatita é usada na produção de fertilizantes e ácido fosfórico, composto químico também empregado na produção de fertilizantes, como o Superfosfato Simples (SSP), o Superfosfato Triplo (TSP), o Fosfato Mono-am</w:t>
      </w:r>
      <w:r>
        <w:t>ônico (MAP), o Fosfato Diamônico (DAP), além do NP e do NPK (LOUZADA, 2008).</w:t>
      </w:r>
    </w:p>
    <w:p w:rsidR="00D81F69" w:rsidRDefault="00330118">
      <w:pPr>
        <w:pStyle w:val="Corpodetexto"/>
        <w:spacing w:before="135" w:line="312" w:lineRule="auto"/>
        <w:ind w:right="88"/>
        <w:jc w:val="left"/>
      </w:pPr>
      <w:r>
        <w:t xml:space="preserve">Com 454 km² e 28.371 habitantes (IBGE, 2010), Cajati fica a cerca de 240 km da capital paulista e a 180 km de Curitiba (PR) (BONÁS, 2007). A cidade situa-se no baixo curso do rio </w:t>
      </w:r>
      <w:r>
        <w:t xml:space="preserve">Ribeira do Iguape, no Vale do Ribeira. O rio nasce no Paraná  e </w:t>
      </w:r>
      <w:r>
        <w:rPr>
          <w:spacing w:val="5"/>
        </w:rPr>
        <w:t xml:space="preserve">percorre </w:t>
      </w:r>
      <w:r>
        <w:rPr>
          <w:spacing w:val="3"/>
        </w:rPr>
        <w:t xml:space="preserve">cerca </w:t>
      </w:r>
      <w:r>
        <w:rPr>
          <w:spacing w:val="2"/>
        </w:rPr>
        <w:t xml:space="preserve">de </w:t>
      </w:r>
      <w:r>
        <w:rPr>
          <w:spacing w:val="3"/>
        </w:rPr>
        <w:t xml:space="preserve">470 </w:t>
      </w:r>
      <w:r>
        <w:rPr>
          <w:spacing w:val="2"/>
        </w:rPr>
        <w:t xml:space="preserve">km </w:t>
      </w:r>
      <w:r>
        <w:rPr>
          <w:spacing w:val="3"/>
        </w:rPr>
        <w:t xml:space="preserve">até </w:t>
      </w:r>
      <w:r>
        <w:rPr>
          <w:spacing w:val="5"/>
        </w:rPr>
        <w:t xml:space="preserve">desembocar </w:t>
      </w:r>
      <w:r>
        <w:rPr>
          <w:spacing w:val="2"/>
        </w:rPr>
        <w:t xml:space="preserve">no </w:t>
      </w:r>
      <w:r>
        <w:rPr>
          <w:spacing w:val="5"/>
        </w:rPr>
        <w:t xml:space="preserve">Oceano Atlântico </w:t>
      </w:r>
      <w:r>
        <w:rPr>
          <w:spacing w:val="2"/>
        </w:rPr>
        <w:t xml:space="preserve">em um </w:t>
      </w:r>
      <w:r>
        <w:rPr>
          <w:spacing w:val="5"/>
        </w:rPr>
        <w:t xml:space="preserve">importante complexo </w:t>
      </w:r>
      <w:r>
        <w:rPr>
          <w:spacing w:val="6"/>
        </w:rPr>
        <w:t xml:space="preserve">estuarino-lagunar </w:t>
      </w:r>
      <w:r>
        <w:t>(SÁNCHEZ, 2002). O Vale do Ribeira, em especial a bacia do rio Ribeira do Iguape, é cons</w:t>
      </w:r>
      <w:r>
        <w:t xml:space="preserve">iderado um dos últimos refúgios de Mata Atlântica na região Sudeste, sendo conhecida como "Amazônia Paulista" (MAPA DA INJUSTIÇA AMBIENTAL E SAÚDE NO BRASIL, </w:t>
      </w:r>
      <w:r>
        <w:rPr>
          <w:spacing w:val="1"/>
        </w:rPr>
        <w:t>2009).</w:t>
      </w:r>
    </w:p>
    <w:p w:rsidR="00D81F69" w:rsidRDefault="00330118">
      <w:pPr>
        <w:pStyle w:val="Corpodetexto"/>
        <w:spacing w:before="140" w:line="312" w:lineRule="auto"/>
        <w:ind w:right="97"/>
      </w:pPr>
      <w:r>
        <w:t>A economia de Cajati baseia-se na bananicultura, pecuária de corte e leite e, especialmente</w:t>
      </w:r>
      <w:r>
        <w:t>, na indústria extrativa mineral e</w:t>
      </w:r>
    </w:p>
    <w:p w:rsidR="00D81F69" w:rsidRDefault="00330118">
      <w:pPr>
        <w:pStyle w:val="Corpodetexto"/>
        <w:spacing w:before="137" w:line="312" w:lineRule="auto"/>
        <w:ind w:right="195"/>
      </w:pPr>
      <w:r>
        <w:br w:type="column"/>
      </w:r>
      <w:r>
        <w:lastRenderedPageBreak/>
        <w:t>Em 1938, o grupo obteve o direito de lavra de calcário e apatita no Morro da Mina (PREFEITURA MUNICIPAL DE CAJATI – SP, 2007). Dois anos depois, fundou a Serrana S.</w:t>
      </w:r>
    </w:p>
    <w:p w:rsidR="00D81F69" w:rsidRDefault="00330118">
      <w:pPr>
        <w:pStyle w:val="Corpodetexto"/>
        <w:spacing w:before="2" w:line="312" w:lineRule="auto"/>
        <w:ind w:right="194"/>
      </w:pPr>
      <w:r>
        <w:t xml:space="preserve">A. de Mineração, que ficou responsável pela exploração </w:t>
      </w:r>
      <w:r>
        <w:t>da mina (BRASIL MINERAL, 1984 apud SÁNCHEZ; SÁNCHEZ, 2011), controlando desde a lavra da rocha fosfática (SCHNELLRATH; SILVA; SHIMABUKURO, 2002), rica em apatita (LOUREIRO; MONTE; NASCIMENTO, 2005), até a aplicação dos produtos no campo (SCHNELLRATH; SILVA</w:t>
      </w:r>
      <w:r>
        <w:t>; SHIMABUKURO, 2002).</w:t>
      </w:r>
    </w:p>
    <w:p w:rsidR="00D81F69" w:rsidRDefault="00330118">
      <w:pPr>
        <w:pStyle w:val="Corpodetexto"/>
        <w:spacing w:before="137" w:line="312" w:lineRule="auto"/>
        <w:ind w:right="194"/>
      </w:pPr>
      <w:r>
        <w:t>Para dar início às suas atividades, a Serrana precisou contratar mão de obra especializada, vinda de outras localidades. Para abrigar os trabalhadores, construiu uma vila, no entorno da qual se desenvolveu um núcleo populacional, chamado de Corrente. Em 19</w:t>
      </w:r>
      <w:r>
        <w:t>44, a vila virou distrito do município de Jacupiranga, e o local passou a ser chamado de Cajati. Em 1991, o distrito foi elevado à condição de município (SÁNCHEZ; SÁNCHEZ, 2011).</w:t>
      </w:r>
    </w:p>
    <w:p w:rsidR="00D81F69" w:rsidRDefault="00330118">
      <w:pPr>
        <w:pStyle w:val="Corpodetexto"/>
        <w:spacing w:before="137" w:line="312" w:lineRule="auto"/>
        <w:ind w:right="187"/>
      </w:pPr>
      <w:r>
        <w:t xml:space="preserve">Na </w:t>
      </w:r>
      <w:r>
        <w:rPr>
          <w:spacing w:val="1"/>
        </w:rPr>
        <w:t xml:space="preserve">região, também </w:t>
      </w:r>
      <w:r>
        <w:t xml:space="preserve">foi </w:t>
      </w:r>
      <w:r>
        <w:rPr>
          <w:spacing w:val="1"/>
        </w:rPr>
        <w:t xml:space="preserve">instalado </w:t>
      </w:r>
      <w:r>
        <w:t xml:space="preserve">um </w:t>
      </w:r>
      <w:r>
        <w:rPr>
          <w:spacing w:val="1"/>
        </w:rPr>
        <w:t xml:space="preserve">complexo industrial </w:t>
      </w:r>
      <w:r>
        <w:rPr>
          <w:spacing w:val="2"/>
        </w:rPr>
        <w:t xml:space="preserve">de </w:t>
      </w:r>
      <w:r>
        <w:rPr>
          <w:spacing w:val="5"/>
        </w:rPr>
        <w:t>mineração, benefici</w:t>
      </w:r>
      <w:r>
        <w:rPr>
          <w:spacing w:val="5"/>
        </w:rPr>
        <w:t xml:space="preserve">amento </w:t>
      </w:r>
      <w:r>
        <w:t xml:space="preserve">e </w:t>
      </w:r>
      <w:r>
        <w:rPr>
          <w:spacing w:val="5"/>
        </w:rPr>
        <w:t>indústria química (BONÁS,</w:t>
      </w:r>
      <w:r>
        <w:rPr>
          <w:spacing w:val="61"/>
        </w:rPr>
        <w:t xml:space="preserve"> </w:t>
      </w:r>
      <w:r>
        <w:t xml:space="preserve">2007). Além disso, foi necessário construir uma estrada de </w:t>
      </w:r>
      <w:hyperlink r:id="rId1603">
        <w:r>
          <w:t xml:space="preserve">ferro </w:t>
        </w:r>
      </w:hyperlink>
      <w:r>
        <w:t>que levasse a apatita da mina, pela margem esquerda  do rio Jacupi</w:t>
      </w:r>
      <w:r>
        <w:t xml:space="preserve">ranga, à sede do município. Depois, o mineral  era transportado até o Porto de Cubatão, em Cananéia, para, </w:t>
      </w:r>
      <w:r>
        <w:rPr>
          <w:spacing w:val="5"/>
        </w:rPr>
        <w:t xml:space="preserve">em </w:t>
      </w:r>
      <w:r>
        <w:rPr>
          <w:spacing w:val="7"/>
        </w:rPr>
        <w:t xml:space="preserve">seguida, </w:t>
      </w:r>
      <w:r>
        <w:rPr>
          <w:spacing w:val="5"/>
        </w:rPr>
        <w:t xml:space="preserve">ser </w:t>
      </w:r>
      <w:r>
        <w:rPr>
          <w:spacing w:val="7"/>
        </w:rPr>
        <w:t xml:space="preserve">levado </w:t>
      </w:r>
      <w:r>
        <w:rPr>
          <w:spacing w:val="5"/>
        </w:rPr>
        <w:t xml:space="preserve">em </w:t>
      </w:r>
      <w:r>
        <w:rPr>
          <w:spacing w:val="7"/>
        </w:rPr>
        <w:t xml:space="preserve">barcos </w:t>
      </w:r>
      <w:r>
        <w:rPr>
          <w:spacing w:val="5"/>
        </w:rPr>
        <w:t xml:space="preserve">até </w:t>
      </w:r>
      <w:r>
        <w:rPr>
          <w:spacing w:val="7"/>
        </w:rPr>
        <w:t xml:space="preserve">Santos. </w:t>
      </w:r>
      <w:r>
        <w:rPr>
          <w:spacing w:val="5"/>
        </w:rPr>
        <w:t xml:space="preserve">De </w:t>
      </w:r>
      <w:r>
        <w:rPr>
          <w:spacing w:val="10"/>
        </w:rPr>
        <w:t xml:space="preserve">lá, </w:t>
      </w:r>
      <w:r>
        <w:t xml:space="preserve">novamente, por ferrovia, chegava a São Paulo (PREFEITURA </w:t>
      </w:r>
      <w:r>
        <w:rPr>
          <w:spacing w:val="3"/>
        </w:rPr>
        <w:t xml:space="preserve">MUNICIPAL </w:t>
      </w:r>
      <w:r>
        <w:rPr>
          <w:spacing w:val="1"/>
        </w:rPr>
        <w:t xml:space="preserve">DE </w:t>
      </w:r>
      <w:r>
        <w:rPr>
          <w:spacing w:val="3"/>
        </w:rPr>
        <w:t xml:space="preserve">CAJATI </w:t>
      </w:r>
      <w:r>
        <w:t xml:space="preserve">– </w:t>
      </w:r>
      <w:r>
        <w:rPr>
          <w:spacing w:val="1"/>
        </w:rPr>
        <w:t xml:space="preserve">SP </w:t>
      </w:r>
      <w:r>
        <w:t xml:space="preserve">, </w:t>
      </w:r>
      <w:r>
        <w:rPr>
          <w:spacing w:val="3"/>
        </w:rPr>
        <w:t xml:space="preserve">2007). </w:t>
      </w:r>
      <w:r>
        <w:rPr>
          <w:spacing w:val="2"/>
        </w:rPr>
        <w:t xml:space="preserve">Foi </w:t>
      </w:r>
      <w:r>
        <w:rPr>
          <w:spacing w:val="3"/>
        </w:rPr>
        <w:t>cr</w:t>
      </w:r>
      <w:r>
        <w:rPr>
          <w:spacing w:val="3"/>
        </w:rPr>
        <w:t xml:space="preserve">iada então </w:t>
      </w:r>
      <w:r>
        <w:t xml:space="preserve">a </w:t>
      </w:r>
      <w:r>
        <w:rPr>
          <w:spacing w:val="5"/>
        </w:rPr>
        <w:t xml:space="preserve">Estrada </w:t>
      </w:r>
      <w:r>
        <w:rPr>
          <w:spacing w:val="2"/>
        </w:rPr>
        <w:t xml:space="preserve">de </w:t>
      </w:r>
      <w:r>
        <w:rPr>
          <w:spacing w:val="5"/>
        </w:rPr>
        <w:t xml:space="preserve">Ferro Cajati-Santos, que, hoje, </w:t>
      </w:r>
      <w:r>
        <w:rPr>
          <w:spacing w:val="2"/>
        </w:rPr>
        <w:t xml:space="preserve">se </w:t>
      </w:r>
      <w:r>
        <w:rPr>
          <w:spacing w:val="6"/>
        </w:rPr>
        <w:t xml:space="preserve">encontra </w:t>
      </w:r>
      <w:r>
        <w:rPr>
          <w:spacing w:val="5"/>
        </w:rPr>
        <w:t>desativada (FRANÇA,</w:t>
      </w:r>
      <w:r>
        <w:rPr>
          <w:spacing w:val="18"/>
        </w:rPr>
        <w:t xml:space="preserve"> </w:t>
      </w:r>
      <w:r>
        <w:rPr>
          <w:spacing w:val="6"/>
        </w:rPr>
        <w:t>2005).</w:t>
      </w:r>
    </w:p>
    <w:p w:rsidR="00D81F69" w:rsidRDefault="00330118">
      <w:pPr>
        <w:pStyle w:val="Corpodetexto"/>
        <w:spacing w:before="77" w:line="270" w:lineRule="atLeast"/>
        <w:ind w:right="205"/>
      </w:pPr>
      <w:r>
        <w:t xml:space="preserve">Em outubro de 1985, o grupo Bunge associou-se ao ICL Brasil e ao grupo belga Prayon Rupel e criou, em Cajati, a Fosbrasil, primeira produtora de ácido fosfórico </w:t>
      </w:r>
      <w:r>
        <w:t>purificado por via úmida do hemisfério Sul. A fábrica, que começou a funcionar em 1987, produz ácido fosfórico nos graus alimentício, agrícola e industrial (FOSBRASIL, 2010). A produção de calcário também teve um importante avanço no</w:t>
      </w:r>
    </w:p>
    <w:p w:rsidR="00D81F69" w:rsidRDefault="00D81F69">
      <w:pPr>
        <w:spacing w:line="270" w:lineRule="atLeast"/>
        <w:sectPr w:rsidR="00D81F69">
          <w:type w:val="continuous"/>
          <w:pgSz w:w="11900" w:h="16840"/>
          <w:pgMar w:top="720" w:right="500" w:bottom="280" w:left="620" w:header="720" w:footer="720" w:gutter="0"/>
          <w:cols w:num="2" w:space="720" w:equalWidth="0">
            <w:col w:w="5191" w:space="279"/>
            <w:col w:w="5310"/>
          </w:cols>
        </w:sectPr>
      </w:pPr>
    </w:p>
    <w:p w:rsidR="00D81F69" w:rsidRDefault="00330118">
      <w:pPr>
        <w:pStyle w:val="Corpodetexto"/>
        <w:spacing w:before="81" w:line="312" w:lineRule="auto"/>
        <w:ind w:right="38"/>
      </w:pPr>
      <w:r>
        <w:lastRenderedPageBreak/>
        <w:t>município a partir dos anos 1970, quando foi construída uma fábrica de cimento, aproveitando os rejeitos da concentração de apatita (SÁNCHEZ, 2002). Assim, constituiu-se, em Cajati, um complexo integrado de produção de rocha fos</w:t>
      </w:r>
      <w:r>
        <w:t>fática, calcário para cimento e calcário agrícola, cimento, ácido sulfúrico, ácido fosfórico e superfosfato simples (SSP) e fosfato bicálcico (SÁNCHEZ; SÁNCHEZ, 2011).</w:t>
      </w:r>
    </w:p>
    <w:p w:rsidR="00D81F69" w:rsidRDefault="00330118">
      <w:pPr>
        <w:pStyle w:val="Corpodetexto"/>
        <w:spacing w:before="136" w:line="312" w:lineRule="auto"/>
        <w:ind w:right="42"/>
      </w:pPr>
      <w:r>
        <w:t>No início da operação do Morro da Mina, foi lavrada a camada superficial do minério resu</w:t>
      </w:r>
      <w:r>
        <w:t>ltante da lixiviação natural dos carbonatos, chamada de minério residual (SCHNELLRATH; SILVA; SHIMABUKURO, 2002). Entre 1962 e 1965, as</w:t>
      </w:r>
    </w:p>
    <w:p w:rsidR="00D81F69" w:rsidRDefault="00330118">
      <w:pPr>
        <w:pStyle w:val="Corpodetexto"/>
        <w:spacing w:before="4" w:line="312" w:lineRule="auto"/>
        <w:ind w:right="38"/>
      </w:pPr>
      <w:r>
        <w:t>reservas do minério residual aproximavam-se da exaustão, o que levou a empresa a desenvolver uma tecnologia que permitia</w:t>
      </w:r>
      <w:r>
        <w:t xml:space="preserve"> separar a apatita dos carbonatos, viabilizando, assim, o beneficiamento do minério primário e o uso parcial do rejeito como matéria prima para a produção de cimento, resultando no aproveitamento total da jazida. Recentemente, fez-se uma expansão da usina,</w:t>
      </w:r>
      <w:r>
        <w:t xml:space="preserve"> objetivando o aumento da sua capacidade de processamento, de recuperação da apatita e a melhoria da qualidade do concentrado (SCHNELLRATH; SILVA; SHIMABUKURO, 2002).</w:t>
      </w:r>
    </w:p>
    <w:p w:rsidR="00D81F69" w:rsidRDefault="00330118">
      <w:pPr>
        <w:pStyle w:val="Corpodetexto"/>
        <w:spacing w:before="139" w:line="312" w:lineRule="auto"/>
        <w:ind w:right="48"/>
      </w:pPr>
      <w:r>
        <w:t>Um dos grandes problemas da produção de ácido fosfórico é que o ataque do ácido sulfúrico</w:t>
      </w:r>
      <w:r>
        <w:t xml:space="preserve"> sobre a rocha fosfática também gera um subproduto, o sulfato de cálcio, mais conhecido como fosfogesso. Calcula-se que para cada tonelada de ácido produzida sejam geradas 4,5 toneladas de fosfogesso. O empilhamento do fosfogesso ocupa normalmente grandes </w:t>
      </w:r>
      <w:r>
        <w:t>áreas próximas às unidades produtoras e exige a retirada da vegetação e, consequentemente, da fauna existente no local (PINTO, 2007).</w:t>
      </w:r>
    </w:p>
    <w:p w:rsidR="00D81F69" w:rsidRDefault="00330118">
      <w:pPr>
        <w:pStyle w:val="Corpodetexto"/>
        <w:spacing w:before="139" w:line="312" w:lineRule="auto"/>
        <w:ind w:right="40"/>
      </w:pPr>
      <w:r>
        <w:t xml:space="preserve">O principal aspecto negativo do fosfogesso é a sua impureza, </w:t>
      </w:r>
      <w:r>
        <w:rPr>
          <w:spacing w:val="3"/>
        </w:rPr>
        <w:t xml:space="preserve">sobretudo devido </w:t>
      </w:r>
      <w:r>
        <w:t xml:space="preserve">à </w:t>
      </w:r>
      <w:r>
        <w:rPr>
          <w:spacing w:val="3"/>
        </w:rPr>
        <w:t xml:space="preserve">presença </w:t>
      </w:r>
      <w:r>
        <w:rPr>
          <w:spacing w:val="1"/>
        </w:rPr>
        <w:t xml:space="preserve">de </w:t>
      </w:r>
      <w:r>
        <w:rPr>
          <w:spacing w:val="3"/>
        </w:rPr>
        <w:t xml:space="preserve">fósforo, metais </w:t>
      </w:r>
      <w:r>
        <w:rPr>
          <w:spacing w:val="5"/>
        </w:rPr>
        <w:t xml:space="preserve">pesados, </w:t>
      </w:r>
      <w:r>
        <w:t xml:space="preserve">radioatividade e acidez residual. Poeira, infiltração no solo e </w:t>
      </w:r>
      <w:r>
        <w:rPr>
          <w:spacing w:val="3"/>
        </w:rPr>
        <w:t xml:space="preserve">águas </w:t>
      </w:r>
      <w:r>
        <w:rPr>
          <w:spacing w:val="5"/>
        </w:rPr>
        <w:t xml:space="preserve">ácidas </w:t>
      </w:r>
      <w:r>
        <w:rPr>
          <w:spacing w:val="3"/>
        </w:rPr>
        <w:t xml:space="preserve">das </w:t>
      </w:r>
      <w:r>
        <w:rPr>
          <w:spacing w:val="5"/>
        </w:rPr>
        <w:t xml:space="preserve">lagoas </w:t>
      </w:r>
      <w:r>
        <w:rPr>
          <w:spacing w:val="2"/>
        </w:rPr>
        <w:t xml:space="preserve">de </w:t>
      </w:r>
      <w:r>
        <w:rPr>
          <w:spacing w:val="5"/>
        </w:rPr>
        <w:t xml:space="preserve">decantação </w:t>
      </w:r>
      <w:r>
        <w:rPr>
          <w:spacing w:val="3"/>
        </w:rPr>
        <w:t xml:space="preserve">são </w:t>
      </w:r>
      <w:r>
        <w:rPr>
          <w:spacing w:val="5"/>
        </w:rPr>
        <w:t xml:space="preserve">alguns dos </w:t>
      </w:r>
      <w:r>
        <w:t xml:space="preserve">impactos causados pelo fosfogesso disposto no solo (SILVA; </w:t>
      </w:r>
      <w:r>
        <w:rPr>
          <w:spacing w:val="3"/>
        </w:rPr>
        <w:t xml:space="preserve">GIULIETTI, 2010). </w:t>
      </w:r>
      <w:r>
        <w:t xml:space="preserve">A </w:t>
      </w:r>
      <w:r>
        <w:rPr>
          <w:spacing w:val="3"/>
        </w:rPr>
        <w:t xml:space="preserve">percolação </w:t>
      </w:r>
      <w:r>
        <w:rPr>
          <w:spacing w:val="1"/>
        </w:rPr>
        <w:t xml:space="preserve">de </w:t>
      </w:r>
      <w:r>
        <w:rPr>
          <w:spacing w:val="2"/>
        </w:rPr>
        <w:t xml:space="preserve">água </w:t>
      </w:r>
      <w:r>
        <w:rPr>
          <w:spacing w:val="3"/>
        </w:rPr>
        <w:t xml:space="preserve">ácida </w:t>
      </w:r>
      <w:r>
        <w:rPr>
          <w:spacing w:val="2"/>
        </w:rPr>
        <w:t xml:space="preserve">pode vir </w:t>
      </w:r>
      <w:r>
        <w:t>a contaminar o solo e o le</w:t>
      </w:r>
      <w:r>
        <w:t xml:space="preserve">nçol freático e atingir os mananciais de água próximos às pilhas, alterando a qualidade das águas, principalmente em relação ao pH e à elevação dos níveis de sulfato, cálcio, fósforo e </w:t>
      </w:r>
      <w:hyperlink r:id="rId1604">
        <w:r>
          <w:t xml:space="preserve">flúor </w:t>
        </w:r>
      </w:hyperlink>
      <w:r>
        <w:t>(PINTO,</w:t>
      </w:r>
      <w:r>
        <w:rPr>
          <w:spacing w:val="17"/>
        </w:rPr>
        <w:t xml:space="preserve"> </w:t>
      </w:r>
      <w:r>
        <w:t>2007).</w:t>
      </w:r>
    </w:p>
    <w:p w:rsidR="00D81F69" w:rsidRDefault="00330118">
      <w:pPr>
        <w:pStyle w:val="Corpodetexto"/>
        <w:spacing w:before="76" w:line="270" w:lineRule="atLeast"/>
        <w:ind w:right="40"/>
      </w:pPr>
      <w:r>
        <w:t xml:space="preserve">A </w:t>
      </w:r>
      <w:r>
        <w:rPr>
          <w:spacing w:val="1"/>
        </w:rPr>
        <w:t xml:space="preserve">radioatividade presente </w:t>
      </w:r>
      <w:r>
        <w:t xml:space="preserve">no </w:t>
      </w:r>
      <w:r>
        <w:rPr>
          <w:spacing w:val="1"/>
        </w:rPr>
        <w:t xml:space="preserve">fosfogesso também </w:t>
      </w:r>
      <w:r>
        <w:t xml:space="preserve">tem </w:t>
      </w:r>
      <w:r>
        <w:rPr>
          <w:spacing w:val="2"/>
        </w:rPr>
        <w:t xml:space="preserve">sido </w:t>
      </w:r>
      <w:r>
        <w:t xml:space="preserve">uma preocupação constante da sociedade e dos produtores de ácido fosfórico (SILVA; GIULIETTI, 2010). No Brasil, não </w:t>
      </w:r>
      <w:r>
        <w:rPr>
          <w:spacing w:val="1"/>
        </w:rPr>
        <w:t xml:space="preserve">existe regulamentação específica relativa </w:t>
      </w:r>
      <w:r>
        <w:t>a</w:t>
      </w:r>
      <w:r>
        <w:t xml:space="preserve"> </w:t>
      </w:r>
      <w:r>
        <w:rPr>
          <w:spacing w:val="1"/>
        </w:rPr>
        <w:t xml:space="preserve">atividades </w:t>
      </w:r>
      <w:r>
        <w:rPr>
          <w:spacing w:val="2"/>
        </w:rPr>
        <w:t xml:space="preserve">que </w:t>
      </w:r>
      <w:r>
        <w:t xml:space="preserve">envolvam fontes naturais de radiação, manuseio de </w:t>
      </w:r>
      <w:hyperlink r:id="rId1605">
        <w:r>
          <w:t xml:space="preserve">urânio </w:t>
        </w:r>
      </w:hyperlink>
      <w:r>
        <w:t xml:space="preserve">e </w:t>
      </w:r>
      <w:r>
        <w:rPr>
          <w:spacing w:val="3"/>
        </w:rPr>
        <w:t xml:space="preserve">tório </w:t>
      </w:r>
      <w:r>
        <w:rPr>
          <w:spacing w:val="5"/>
        </w:rPr>
        <w:t xml:space="preserve">contido </w:t>
      </w:r>
      <w:r>
        <w:rPr>
          <w:spacing w:val="2"/>
        </w:rPr>
        <w:t xml:space="preserve">em </w:t>
      </w:r>
      <w:r>
        <w:rPr>
          <w:spacing w:val="5"/>
        </w:rPr>
        <w:t xml:space="preserve">subproduto </w:t>
      </w:r>
      <w:r>
        <w:rPr>
          <w:spacing w:val="2"/>
        </w:rPr>
        <w:t xml:space="preserve">ou </w:t>
      </w:r>
      <w:r>
        <w:rPr>
          <w:spacing w:val="5"/>
        </w:rPr>
        <w:t>resíduo sólido, incluindo</w:t>
      </w:r>
      <w:r>
        <w:rPr>
          <w:spacing w:val="61"/>
        </w:rPr>
        <w:t xml:space="preserve"> </w:t>
      </w:r>
      <w:r>
        <w:t>fiscalização de instalações (MAZZ</w:t>
      </w:r>
      <w:r>
        <w:t xml:space="preserve">ILLI; SAUEIA, 1997 apud </w:t>
      </w:r>
      <w:r>
        <w:rPr>
          <w:spacing w:val="10"/>
        </w:rPr>
        <w:t xml:space="preserve">SILVA; GIULIETTI, 2010). </w:t>
      </w:r>
      <w:r>
        <w:t xml:space="preserve">A </w:t>
      </w:r>
      <w:r>
        <w:rPr>
          <w:spacing w:val="8"/>
        </w:rPr>
        <w:t xml:space="preserve">norma </w:t>
      </w:r>
      <w:r>
        <w:rPr>
          <w:spacing w:val="10"/>
        </w:rPr>
        <w:t xml:space="preserve">experimental </w:t>
      </w:r>
      <w:r>
        <w:rPr>
          <w:spacing w:val="11"/>
        </w:rPr>
        <w:t xml:space="preserve">da </w:t>
      </w:r>
      <w:r>
        <w:rPr>
          <w:spacing w:val="1"/>
        </w:rPr>
        <w:t xml:space="preserve">Comissão Nacional </w:t>
      </w:r>
      <w:r>
        <w:t xml:space="preserve">de </w:t>
      </w:r>
      <w:r>
        <w:rPr>
          <w:spacing w:val="1"/>
        </w:rPr>
        <w:t xml:space="preserve">Energia Nuclear CNEN-NE-6.02, </w:t>
      </w:r>
      <w:r>
        <w:rPr>
          <w:spacing w:val="2"/>
        </w:rPr>
        <w:t xml:space="preserve">de </w:t>
      </w:r>
      <w:r>
        <w:rPr>
          <w:spacing w:val="11"/>
        </w:rPr>
        <w:t xml:space="preserve">julho </w:t>
      </w:r>
      <w:r>
        <w:rPr>
          <w:spacing w:val="6"/>
        </w:rPr>
        <w:t xml:space="preserve">de </w:t>
      </w:r>
      <w:r>
        <w:rPr>
          <w:spacing w:val="11"/>
        </w:rPr>
        <w:t xml:space="preserve">1998, </w:t>
      </w:r>
      <w:r>
        <w:rPr>
          <w:spacing w:val="12"/>
        </w:rPr>
        <w:t xml:space="preserve">estabelece </w:t>
      </w:r>
      <w:r>
        <w:rPr>
          <w:spacing w:val="11"/>
        </w:rPr>
        <w:t xml:space="preserve">limites </w:t>
      </w:r>
      <w:r>
        <w:rPr>
          <w:spacing w:val="10"/>
        </w:rPr>
        <w:t xml:space="preserve">para </w:t>
      </w:r>
      <w:r>
        <w:rPr>
          <w:spacing w:val="11"/>
        </w:rPr>
        <w:t xml:space="preserve">isenção </w:t>
      </w:r>
      <w:r>
        <w:rPr>
          <w:spacing w:val="15"/>
        </w:rPr>
        <w:t xml:space="preserve">de </w:t>
      </w:r>
      <w:r>
        <w:t xml:space="preserve">licenciamento (CNEN, 2010 apud SILVA; GIULIETTI, </w:t>
      </w:r>
      <w:r>
        <w:rPr>
          <w:spacing w:val="1"/>
        </w:rPr>
        <w:t xml:space="preserve">2010). </w:t>
      </w:r>
      <w:r>
        <w:t>Dessa forma, o fosfoges</w:t>
      </w:r>
      <w:r>
        <w:t xml:space="preserve">so gerado nas unidades de produção </w:t>
      </w:r>
      <w:r>
        <w:rPr>
          <w:spacing w:val="1"/>
        </w:rPr>
        <w:t xml:space="preserve">de </w:t>
      </w:r>
      <w:r>
        <w:rPr>
          <w:spacing w:val="3"/>
        </w:rPr>
        <w:t xml:space="preserve">ácido fosfórico </w:t>
      </w:r>
      <w:r>
        <w:rPr>
          <w:spacing w:val="1"/>
        </w:rPr>
        <w:t xml:space="preserve">no </w:t>
      </w:r>
      <w:r>
        <w:rPr>
          <w:spacing w:val="3"/>
        </w:rPr>
        <w:t xml:space="preserve">Brasil </w:t>
      </w:r>
      <w:r>
        <w:t xml:space="preserve">é </w:t>
      </w:r>
      <w:r>
        <w:rPr>
          <w:spacing w:val="3"/>
        </w:rPr>
        <w:t xml:space="preserve">utilizado </w:t>
      </w:r>
      <w:r>
        <w:rPr>
          <w:spacing w:val="2"/>
        </w:rPr>
        <w:t xml:space="preserve">para </w:t>
      </w:r>
      <w:r>
        <w:rPr>
          <w:spacing w:val="3"/>
        </w:rPr>
        <w:t xml:space="preserve">diversos </w:t>
      </w:r>
      <w:r>
        <w:rPr>
          <w:spacing w:val="5"/>
        </w:rPr>
        <w:t xml:space="preserve">fins: </w:t>
      </w:r>
      <w:r>
        <w:t>aterros sanitários, revestimento e para atividades agrícolas (SILVA; GIULIETTI,</w:t>
      </w:r>
      <w:r>
        <w:rPr>
          <w:spacing w:val="-16"/>
        </w:rPr>
        <w:t xml:space="preserve"> </w:t>
      </w:r>
      <w:r>
        <w:rPr>
          <w:spacing w:val="1"/>
        </w:rPr>
        <w:t>2010).</w:t>
      </w:r>
    </w:p>
    <w:p w:rsidR="00D81F69" w:rsidRDefault="00330118">
      <w:pPr>
        <w:pStyle w:val="Corpodetexto"/>
        <w:spacing w:before="5"/>
        <w:ind w:left="0"/>
        <w:jc w:val="left"/>
        <w:rPr>
          <w:sz w:val="24"/>
        </w:rPr>
      </w:pPr>
      <w:r>
        <w:br w:type="column"/>
      </w:r>
    </w:p>
    <w:p w:rsidR="00D81F69" w:rsidRDefault="00330118">
      <w:pPr>
        <w:pStyle w:val="Corpodetexto"/>
        <w:spacing w:line="312" w:lineRule="auto"/>
        <w:ind w:right="191"/>
      </w:pPr>
      <w:r>
        <w:t xml:space="preserve">Outros problemas ambientais ligados à mineração em Cajati </w:t>
      </w:r>
      <w:r>
        <w:rPr>
          <w:spacing w:val="3"/>
        </w:rPr>
        <w:t xml:space="preserve">estão </w:t>
      </w:r>
      <w:r>
        <w:rPr>
          <w:spacing w:val="5"/>
        </w:rPr>
        <w:t xml:space="preserve">relacionados </w:t>
      </w:r>
      <w:r>
        <w:t xml:space="preserve">à </w:t>
      </w:r>
      <w:r>
        <w:rPr>
          <w:spacing w:val="5"/>
        </w:rPr>
        <w:t xml:space="preserve">necessidade </w:t>
      </w:r>
      <w:r>
        <w:rPr>
          <w:spacing w:val="2"/>
        </w:rPr>
        <w:t xml:space="preserve">de </w:t>
      </w:r>
      <w:r>
        <w:rPr>
          <w:spacing w:val="5"/>
        </w:rPr>
        <w:t>desmatamento em</w:t>
      </w:r>
      <w:r>
        <w:rPr>
          <w:spacing w:val="61"/>
        </w:rPr>
        <w:t xml:space="preserve"> </w:t>
      </w:r>
      <w:r>
        <w:t xml:space="preserve">grande escala das matas e florestas que cobrem as minas de </w:t>
      </w:r>
      <w:r>
        <w:rPr>
          <w:spacing w:val="1"/>
        </w:rPr>
        <w:t xml:space="preserve">calcário </w:t>
      </w:r>
      <w:r>
        <w:t xml:space="preserve">de </w:t>
      </w:r>
      <w:r>
        <w:rPr>
          <w:spacing w:val="1"/>
        </w:rPr>
        <w:t xml:space="preserve">origem vulcânica. </w:t>
      </w:r>
      <w:r>
        <w:t xml:space="preserve">Tal </w:t>
      </w:r>
      <w:r>
        <w:rPr>
          <w:spacing w:val="1"/>
        </w:rPr>
        <w:t xml:space="preserve">impacto </w:t>
      </w:r>
      <w:r>
        <w:t xml:space="preserve">é </w:t>
      </w:r>
      <w:r>
        <w:rPr>
          <w:spacing w:val="1"/>
        </w:rPr>
        <w:t xml:space="preserve">agravado </w:t>
      </w:r>
      <w:r>
        <w:rPr>
          <w:spacing w:val="2"/>
        </w:rPr>
        <w:t xml:space="preserve">pela </w:t>
      </w:r>
      <w:r>
        <w:rPr>
          <w:spacing w:val="3"/>
        </w:rPr>
        <w:t xml:space="preserve">retirada </w:t>
      </w:r>
      <w:r>
        <w:t xml:space="preserve">e </w:t>
      </w:r>
      <w:r>
        <w:rPr>
          <w:spacing w:val="3"/>
        </w:rPr>
        <w:t xml:space="preserve">remoção </w:t>
      </w:r>
      <w:r>
        <w:rPr>
          <w:spacing w:val="1"/>
        </w:rPr>
        <w:t xml:space="preserve">do </w:t>
      </w:r>
      <w:r>
        <w:rPr>
          <w:spacing w:val="3"/>
        </w:rPr>
        <w:t xml:space="preserve">material </w:t>
      </w:r>
      <w:r>
        <w:rPr>
          <w:spacing w:val="2"/>
        </w:rPr>
        <w:t xml:space="preserve">das </w:t>
      </w:r>
      <w:r>
        <w:rPr>
          <w:spacing w:val="3"/>
        </w:rPr>
        <w:t xml:space="preserve">minas </w:t>
      </w:r>
      <w:r>
        <w:rPr>
          <w:spacing w:val="1"/>
        </w:rPr>
        <w:t xml:space="preserve">de </w:t>
      </w:r>
      <w:r>
        <w:rPr>
          <w:spacing w:val="5"/>
        </w:rPr>
        <w:t xml:space="preserve">carbonatito, </w:t>
      </w:r>
      <w:r>
        <w:t>provocando crateras, com diâmetros s</w:t>
      </w:r>
      <w:r>
        <w:t xml:space="preserve">uperiores à área de 350 m </w:t>
      </w:r>
      <w:r>
        <w:rPr>
          <w:spacing w:val="5"/>
        </w:rPr>
        <w:t xml:space="preserve">de </w:t>
      </w:r>
      <w:r>
        <w:rPr>
          <w:spacing w:val="7"/>
        </w:rPr>
        <w:t xml:space="preserve">largura </w:t>
      </w:r>
      <w:r>
        <w:rPr>
          <w:spacing w:val="5"/>
        </w:rPr>
        <w:t xml:space="preserve">por 900 </w:t>
      </w:r>
      <w:r>
        <w:t xml:space="preserve">m </w:t>
      </w:r>
      <w:r>
        <w:rPr>
          <w:spacing w:val="5"/>
        </w:rPr>
        <w:t xml:space="preserve">de </w:t>
      </w:r>
      <w:r>
        <w:rPr>
          <w:spacing w:val="8"/>
        </w:rPr>
        <w:t xml:space="preserve">comprimento </w:t>
      </w:r>
      <w:r>
        <w:t xml:space="preserve">e </w:t>
      </w:r>
      <w:r>
        <w:rPr>
          <w:spacing w:val="5"/>
        </w:rPr>
        <w:t xml:space="preserve">300 </w:t>
      </w:r>
      <w:r>
        <w:t xml:space="preserve">m </w:t>
      </w:r>
      <w:r>
        <w:rPr>
          <w:spacing w:val="10"/>
        </w:rPr>
        <w:t xml:space="preserve">de </w:t>
      </w:r>
      <w:r>
        <w:rPr>
          <w:spacing w:val="11"/>
        </w:rPr>
        <w:t xml:space="preserve">profundidade. </w:t>
      </w:r>
      <w:r>
        <w:t xml:space="preserve">O </w:t>
      </w:r>
      <w:r>
        <w:rPr>
          <w:spacing w:val="10"/>
        </w:rPr>
        <w:t xml:space="preserve">problema acentua-se </w:t>
      </w:r>
      <w:r>
        <w:rPr>
          <w:spacing w:val="5"/>
        </w:rPr>
        <w:t xml:space="preserve">em </w:t>
      </w:r>
      <w:r>
        <w:rPr>
          <w:spacing w:val="10"/>
        </w:rPr>
        <w:t xml:space="preserve">razão </w:t>
      </w:r>
      <w:r>
        <w:rPr>
          <w:spacing w:val="12"/>
        </w:rPr>
        <w:t xml:space="preserve">do </w:t>
      </w:r>
      <w:r>
        <w:t>processamento do volume de material retirado das minas e do processo de industrialização e venda dos produtos oriundos do</w:t>
      </w:r>
      <w:r>
        <w:rPr>
          <w:spacing w:val="13"/>
        </w:rPr>
        <w:t xml:space="preserve"> </w:t>
      </w:r>
      <w:r>
        <w:t>calcário</w:t>
      </w:r>
      <w:r>
        <w:rPr>
          <w:spacing w:val="13"/>
        </w:rPr>
        <w:t xml:space="preserve"> </w:t>
      </w:r>
      <w:r>
        <w:t>e</w:t>
      </w:r>
      <w:r>
        <w:rPr>
          <w:spacing w:val="13"/>
        </w:rPr>
        <w:t xml:space="preserve"> </w:t>
      </w:r>
      <w:r>
        <w:t>de</w:t>
      </w:r>
      <w:r>
        <w:rPr>
          <w:spacing w:val="13"/>
        </w:rPr>
        <w:t xml:space="preserve"> </w:t>
      </w:r>
      <w:r>
        <w:t>outros</w:t>
      </w:r>
      <w:r>
        <w:rPr>
          <w:spacing w:val="13"/>
        </w:rPr>
        <w:t xml:space="preserve"> </w:t>
      </w:r>
      <w:r>
        <w:t>minerais</w:t>
      </w:r>
      <w:r>
        <w:rPr>
          <w:spacing w:val="13"/>
        </w:rPr>
        <w:t xml:space="preserve"> </w:t>
      </w:r>
      <w:r>
        <w:t>(FRANÇA,</w:t>
      </w:r>
      <w:r>
        <w:rPr>
          <w:spacing w:val="13"/>
        </w:rPr>
        <w:t xml:space="preserve"> </w:t>
      </w:r>
      <w:r>
        <w:t>2005).</w:t>
      </w:r>
    </w:p>
    <w:p w:rsidR="00D81F69" w:rsidRDefault="00330118">
      <w:pPr>
        <w:pStyle w:val="Corpodetexto"/>
        <w:spacing w:before="140" w:line="312" w:lineRule="auto"/>
        <w:ind w:right="205"/>
      </w:pPr>
      <w:r>
        <w:t xml:space="preserve">As </w:t>
      </w:r>
      <w:r>
        <w:rPr>
          <w:spacing w:val="1"/>
        </w:rPr>
        <w:t xml:space="preserve">empresas exploradoras </w:t>
      </w:r>
      <w:r>
        <w:t xml:space="preserve">das </w:t>
      </w:r>
      <w:r>
        <w:rPr>
          <w:spacing w:val="1"/>
        </w:rPr>
        <w:t xml:space="preserve">minas </w:t>
      </w:r>
      <w:r>
        <w:t xml:space="preserve">e </w:t>
      </w:r>
      <w:r>
        <w:rPr>
          <w:spacing w:val="1"/>
        </w:rPr>
        <w:t xml:space="preserve">responsáveis </w:t>
      </w:r>
      <w:r>
        <w:rPr>
          <w:spacing w:val="2"/>
        </w:rPr>
        <w:t xml:space="preserve">pelo </w:t>
      </w:r>
      <w:r>
        <w:rPr>
          <w:spacing w:val="8"/>
        </w:rPr>
        <w:t xml:space="preserve">processo </w:t>
      </w:r>
      <w:r>
        <w:rPr>
          <w:spacing w:val="5"/>
        </w:rPr>
        <w:t xml:space="preserve">de </w:t>
      </w:r>
      <w:r>
        <w:rPr>
          <w:spacing w:val="10"/>
        </w:rPr>
        <w:t xml:space="preserve">industrialização </w:t>
      </w:r>
      <w:r>
        <w:rPr>
          <w:spacing w:val="6"/>
        </w:rPr>
        <w:t xml:space="preserve">dos </w:t>
      </w:r>
      <w:r>
        <w:rPr>
          <w:spacing w:val="8"/>
        </w:rPr>
        <w:t xml:space="preserve">materiais </w:t>
      </w:r>
      <w:r>
        <w:rPr>
          <w:spacing w:val="10"/>
        </w:rPr>
        <w:t xml:space="preserve">poluentes </w:t>
      </w:r>
      <w:r>
        <w:rPr>
          <w:spacing w:val="5"/>
        </w:rPr>
        <w:t xml:space="preserve">declaram </w:t>
      </w:r>
      <w:r>
        <w:rPr>
          <w:spacing w:val="3"/>
        </w:rPr>
        <w:t xml:space="preserve">estar </w:t>
      </w:r>
      <w:r>
        <w:rPr>
          <w:spacing w:val="5"/>
        </w:rPr>
        <w:t xml:space="preserve">cumprindo </w:t>
      </w:r>
      <w:r>
        <w:t xml:space="preserve">a </w:t>
      </w:r>
      <w:r>
        <w:rPr>
          <w:spacing w:val="5"/>
        </w:rPr>
        <w:t xml:space="preserve">legislação ambiental. </w:t>
      </w:r>
      <w:r>
        <w:rPr>
          <w:spacing w:val="2"/>
        </w:rPr>
        <w:t xml:space="preserve">Já </w:t>
      </w:r>
      <w:r>
        <w:rPr>
          <w:spacing w:val="5"/>
        </w:rPr>
        <w:t>os</w:t>
      </w:r>
      <w:r>
        <w:rPr>
          <w:spacing w:val="61"/>
        </w:rPr>
        <w:t xml:space="preserve"> </w:t>
      </w:r>
      <w:r>
        <w:t xml:space="preserve">organismos públicos responsáveis pela fiscalização </w:t>
      </w:r>
      <w:r>
        <w:rPr>
          <w:spacing w:val="1"/>
        </w:rPr>
        <w:t xml:space="preserve">alegam </w:t>
      </w:r>
      <w:r>
        <w:rPr>
          <w:spacing w:val="2"/>
        </w:rPr>
        <w:t xml:space="preserve">que </w:t>
      </w:r>
      <w:r>
        <w:rPr>
          <w:spacing w:val="1"/>
        </w:rPr>
        <w:t xml:space="preserve">as </w:t>
      </w:r>
      <w:r>
        <w:rPr>
          <w:spacing w:val="3"/>
        </w:rPr>
        <w:t xml:space="preserve">empresas desmatam </w:t>
      </w:r>
      <w:r>
        <w:t xml:space="preserve">e </w:t>
      </w:r>
      <w:r>
        <w:rPr>
          <w:spacing w:val="3"/>
        </w:rPr>
        <w:t xml:space="preserve">exploram </w:t>
      </w:r>
      <w:r>
        <w:rPr>
          <w:spacing w:val="2"/>
        </w:rPr>
        <w:t xml:space="preserve">uma área </w:t>
      </w:r>
      <w:r>
        <w:rPr>
          <w:spacing w:val="5"/>
        </w:rPr>
        <w:t xml:space="preserve">muito </w:t>
      </w:r>
      <w:r>
        <w:t xml:space="preserve">maior do que a declarada e que produzem em quantidades </w:t>
      </w:r>
      <w:r>
        <w:rPr>
          <w:spacing w:val="5"/>
        </w:rPr>
        <w:t xml:space="preserve">acima </w:t>
      </w:r>
      <w:r>
        <w:rPr>
          <w:spacing w:val="3"/>
        </w:rPr>
        <w:t xml:space="preserve">da </w:t>
      </w:r>
      <w:r>
        <w:rPr>
          <w:spacing w:val="6"/>
        </w:rPr>
        <w:t xml:space="preserve">capacidade </w:t>
      </w:r>
      <w:r>
        <w:rPr>
          <w:spacing w:val="5"/>
        </w:rPr>
        <w:t xml:space="preserve">dos seus filtros </w:t>
      </w:r>
      <w:r>
        <w:rPr>
          <w:spacing w:val="3"/>
        </w:rPr>
        <w:t xml:space="preserve">de </w:t>
      </w:r>
      <w:r>
        <w:rPr>
          <w:spacing w:val="6"/>
        </w:rPr>
        <w:t xml:space="preserve">contenção </w:t>
      </w:r>
      <w:r>
        <w:rPr>
          <w:spacing w:val="7"/>
        </w:rPr>
        <w:t xml:space="preserve">da </w:t>
      </w:r>
      <w:r>
        <w:rPr>
          <w:spacing w:val="6"/>
        </w:rPr>
        <w:t>poluição (FRANÇA,</w:t>
      </w:r>
      <w:r>
        <w:rPr>
          <w:spacing w:val="5"/>
        </w:rPr>
        <w:t xml:space="preserve"> </w:t>
      </w:r>
      <w:r>
        <w:rPr>
          <w:spacing w:val="7"/>
        </w:rPr>
        <w:t>2005).</w:t>
      </w:r>
    </w:p>
    <w:p w:rsidR="00D81F69" w:rsidRDefault="00330118">
      <w:pPr>
        <w:pStyle w:val="Corpodetexto"/>
        <w:spacing w:before="137" w:line="312" w:lineRule="auto"/>
        <w:ind w:right="191"/>
      </w:pPr>
      <w:r>
        <w:t>O número de óbitos (decorrentes de câncer de estômago) nas populações locais encontra-se acima da média da região, provavelmente em consequência do consumo de produtos expostos ou contaminados por chuva tóxica decorrente da reação química de minerais extra</w:t>
      </w:r>
      <w:r>
        <w:t>ídos das minas e beneficiados nas fábricas com outros elementos químicos associados ao produto original (FRANÇA, 2005).</w:t>
      </w:r>
    </w:p>
    <w:p w:rsidR="00D81F69" w:rsidRDefault="00330118">
      <w:pPr>
        <w:pStyle w:val="Corpodetexto"/>
        <w:spacing w:before="137" w:line="312" w:lineRule="auto"/>
        <w:ind w:right="191"/>
      </w:pPr>
      <w:r>
        <w:rPr>
          <w:spacing w:val="2"/>
        </w:rPr>
        <w:t xml:space="preserve">Além </w:t>
      </w:r>
      <w:r>
        <w:rPr>
          <w:spacing w:val="3"/>
        </w:rPr>
        <w:t xml:space="preserve">disso, ainda utilizam </w:t>
      </w:r>
      <w:r>
        <w:t xml:space="preserve">a </w:t>
      </w:r>
      <w:r>
        <w:rPr>
          <w:spacing w:val="3"/>
        </w:rPr>
        <w:t xml:space="preserve">borracha </w:t>
      </w:r>
      <w:r>
        <w:rPr>
          <w:spacing w:val="2"/>
        </w:rPr>
        <w:t xml:space="preserve">como </w:t>
      </w:r>
      <w:r>
        <w:rPr>
          <w:spacing w:val="5"/>
        </w:rPr>
        <w:t xml:space="preserve">complemento </w:t>
      </w:r>
      <w:r>
        <w:t>para alimentação e queima dos fornos, piorando a poluição do ar. Como forma de co</w:t>
      </w:r>
      <w:r>
        <w:t xml:space="preserve">mpensação, as empresas alegam estar </w:t>
      </w:r>
      <w:r>
        <w:rPr>
          <w:spacing w:val="15"/>
        </w:rPr>
        <w:t xml:space="preserve">cumprindo </w:t>
      </w:r>
      <w:r>
        <w:t xml:space="preserve">a </w:t>
      </w:r>
      <w:r>
        <w:rPr>
          <w:spacing w:val="11"/>
        </w:rPr>
        <w:t xml:space="preserve">lei, </w:t>
      </w:r>
      <w:r>
        <w:rPr>
          <w:spacing w:val="10"/>
        </w:rPr>
        <w:t xml:space="preserve">com </w:t>
      </w:r>
      <w:r>
        <w:t xml:space="preserve">a </w:t>
      </w:r>
      <w:r>
        <w:rPr>
          <w:spacing w:val="15"/>
        </w:rPr>
        <w:t xml:space="preserve">aquisição </w:t>
      </w:r>
      <w:r>
        <w:rPr>
          <w:spacing w:val="7"/>
        </w:rPr>
        <w:t xml:space="preserve">de </w:t>
      </w:r>
      <w:r>
        <w:rPr>
          <w:spacing w:val="12"/>
        </w:rPr>
        <w:t xml:space="preserve">áreas </w:t>
      </w:r>
      <w:r>
        <w:rPr>
          <w:spacing w:val="11"/>
        </w:rPr>
        <w:t xml:space="preserve">para </w:t>
      </w:r>
      <w:r>
        <w:rPr>
          <w:spacing w:val="3"/>
        </w:rPr>
        <w:t xml:space="preserve">reflorestamento </w:t>
      </w:r>
      <w:r>
        <w:rPr>
          <w:spacing w:val="1"/>
        </w:rPr>
        <w:t xml:space="preserve">em </w:t>
      </w:r>
      <w:r>
        <w:rPr>
          <w:spacing w:val="3"/>
        </w:rPr>
        <w:t xml:space="preserve">outros municípios </w:t>
      </w:r>
      <w:r>
        <w:rPr>
          <w:spacing w:val="1"/>
        </w:rPr>
        <w:t xml:space="preserve">do </w:t>
      </w:r>
      <w:r>
        <w:rPr>
          <w:spacing w:val="2"/>
        </w:rPr>
        <w:t xml:space="preserve">Vale </w:t>
      </w:r>
      <w:r>
        <w:rPr>
          <w:spacing w:val="1"/>
        </w:rPr>
        <w:t xml:space="preserve">do </w:t>
      </w:r>
      <w:r>
        <w:rPr>
          <w:spacing w:val="5"/>
        </w:rPr>
        <w:t xml:space="preserve">Ribeira. </w:t>
      </w:r>
      <w:r>
        <w:t xml:space="preserve">Considerando não haver condições para a restauração total do ambiente degradado nas minas, passam também a atuar </w:t>
      </w:r>
      <w:r>
        <w:rPr>
          <w:spacing w:val="3"/>
        </w:rPr>
        <w:t>com</w:t>
      </w:r>
      <w:r>
        <w:rPr>
          <w:spacing w:val="3"/>
        </w:rPr>
        <w:t xml:space="preserve">o </w:t>
      </w:r>
      <w:r>
        <w:rPr>
          <w:spacing w:val="5"/>
        </w:rPr>
        <w:t xml:space="preserve">parceiras </w:t>
      </w:r>
      <w:r>
        <w:rPr>
          <w:spacing w:val="3"/>
        </w:rPr>
        <w:t xml:space="preserve">nos </w:t>
      </w:r>
      <w:r>
        <w:rPr>
          <w:spacing w:val="5"/>
        </w:rPr>
        <w:t xml:space="preserve">projetos governamentais voltados </w:t>
      </w:r>
      <w:r>
        <w:t xml:space="preserve">à </w:t>
      </w:r>
      <w:r>
        <w:rPr>
          <w:spacing w:val="5"/>
        </w:rPr>
        <w:t xml:space="preserve">preservação </w:t>
      </w:r>
      <w:r>
        <w:rPr>
          <w:spacing w:val="2"/>
        </w:rPr>
        <w:t xml:space="preserve">do </w:t>
      </w:r>
      <w:r>
        <w:rPr>
          <w:spacing w:val="3"/>
        </w:rPr>
        <w:t xml:space="preserve">meio </w:t>
      </w:r>
      <w:r>
        <w:rPr>
          <w:spacing w:val="5"/>
        </w:rPr>
        <w:t>ambiente (FRANÇA,</w:t>
      </w:r>
      <w:r>
        <w:rPr>
          <w:spacing w:val="11"/>
        </w:rPr>
        <w:t xml:space="preserve"> </w:t>
      </w:r>
      <w:r>
        <w:rPr>
          <w:spacing w:val="5"/>
        </w:rPr>
        <w:t>2005).</w:t>
      </w:r>
    </w:p>
    <w:p w:rsidR="00D81F69" w:rsidRDefault="00330118">
      <w:pPr>
        <w:pStyle w:val="Corpodetexto"/>
        <w:spacing w:before="138" w:line="312" w:lineRule="auto"/>
        <w:ind w:right="210"/>
      </w:pPr>
      <w:r>
        <w:t>Em maio de 2010, a Vale adquiriu os ativos de fosfato da Bunge por US$ 1,7 bilhões, dentre eles o de Cajati, que passou a pertencer à Vale Fosfatados (VALE, 201</w:t>
      </w:r>
      <w:r>
        <w:t>0).</w:t>
      </w:r>
    </w:p>
    <w:p w:rsidR="00D81F69" w:rsidRDefault="00330118">
      <w:pPr>
        <w:pStyle w:val="Corpodetexto"/>
        <w:spacing w:before="133" w:line="312" w:lineRule="auto"/>
        <w:ind w:right="206"/>
      </w:pPr>
      <w:r>
        <w:t>Em janeiro de 2011, a Vale anunciou a aprovação da incorporação da Vale Fosfatados pela Vale Fertilizantes. O objetivo foi transformar a empresa num importante competidor no mercado mundial de fertilizantes, atingindo uma produção de 3,4 milhões de ton</w:t>
      </w:r>
      <w:r>
        <w:t>eladas de potássio e 12,7 milhões de rocha fosfática até 2015. A empresa pretende investir US$ 15 bilhões para expandir suas operações e abrir novas unidades na área de fertilizantes até 2020 (BRASIL MINERAL, 2011).</w:t>
      </w:r>
    </w:p>
    <w:p w:rsidR="00D81F69" w:rsidRDefault="00D81F69">
      <w:pPr>
        <w:pStyle w:val="Corpodetexto"/>
        <w:spacing w:before="7"/>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209"/>
      </w:pPr>
      <w:r>
        <w:t>O município de C</w:t>
      </w:r>
      <w:r>
        <w:t>ajati possui uma fábrica de produção de fosfato localizada na bacia do rio da Ribeira do Igarapé. O empreendimento está localizado na BR 116, na latitude 24°47’13”S e longitude 48°10’37”W.</w:t>
      </w:r>
    </w:p>
    <w:p w:rsidR="00D81F69" w:rsidRDefault="00D81F69">
      <w:pPr>
        <w:spacing w:line="312" w:lineRule="auto"/>
        <w:sectPr w:rsidR="00D81F69">
          <w:pgSz w:w="11900" w:h="16840"/>
          <w:pgMar w:top="740" w:right="500" w:bottom="620" w:left="620" w:header="0" w:footer="402" w:gutter="0"/>
          <w:cols w:num="2" w:space="720" w:equalWidth="0">
            <w:col w:w="5159" w:space="311"/>
            <w:col w:w="5310"/>
          </w:cols>
        </w:sectPr>
      </w:pPr>
    </w:p>
    <w:p w:rsidR="00D81F69" w:rsidRDefault="00330118">
      <w:pPr>
        <w:pStyle w:val="Heading7"/>
        <w:spacing w:before="92"/>
      </w:pPr>
      <w:r>
        <w:lastRenderedPageBreak/>
        <w:t>REDATORES</w:t>
      </w:r>
    </w:p>
    <w:p w:rsidR="00D81F69" w:rsidRDefault="00330118">
      <w:pPr>
        <w:pStyle w:val="Corpodetexto"/>
        <w:spacing w:before="179"/>
      </w:pPr>
      <w:r>
        <w:t>Renata Olivieri; Eliane Arau</w:t>
      </w:r>
      <w:r>
        <w:t>jo</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119"/>
        <w:jc w:val="both"/>
        <w:rPr>
          <w:sz w:val="16"/>
        </w:rPr>
      </w:pPr>
      <w:r>
        <w:rPr>
          <w:sz w:val="16"/>
        </w:rPr>
        <w:t>BONÁS, Thiago Bastos. Aplicação de índice mineralógico como apoio na avaliação de reservas da mina de fosfato de Cajati –SP. Dissertação. 2007. 77f. (Mestrado em Recursos Minerais e Meio Ambiente), Universidade de São Paulo, São Paulo, 2007. Disponível em:</w:t>
      </w:r>
      <w:r>
        <w:rPr>
          <w:sz w:val="16"/>
        </w:rPr>
        <w:t xml:space="preserve"> </w:t>
      </w:r>
      <w:hyperlink r:id="rId1606">
        <w:r>
          <w:rPr>
            <w:sz w:val="16"/>
          </w:rPr>
          <w:t>&lt;http://www.teses.usp.br/teses/disponiveis/44/44137/tde-</w:t>
        </w:r>
      </w:hyperlink>
      <w:r>
        <w:rPr>
          <w:sz w:val="16"/>
        </w:rPr>
        <w:t xml:space="preserve"> 17042007-094628/pt-br.php&gt;. Acesso em: 19 ago. 2010.</w:t>
      </w:r>
    </w:p>
    <w:p w:rsidR="00D81F69" w:rsidRDefault="00330118">
      <w:pPr>
        <w:spacing w:before="5" w:line="312" w:lineRule="auto"/>
        <w:ind w:left="100" w:right="128"/>
        <w:jc w:val="both"/>
        <w:rPr>
          <w:sz w:val="16"/>
        </w:rPr>
      </w:pPr>
      <w:r>
        <w:rPr>
          <w:sz w:val="16"/>
        </w:rPr>
        <w:t>BRASIL MINERAL. Fertilizantes. Localizado grande carbonatito fosfático p</w:t>
      </w:r>
      <w:r>
        <w:rPr>
          <w:sz w:val="16"/>
        </w:rPr>
        <w:t>róximo a São Paulo. In: Brasil Mineral Online n. 445, 04 jan.</w:t>
      </w:r>
    </w:p>
    <w:p w:rsidR="00D81F69" w:rsidRDefault="00330118">
      <w:pPr>
        <w:tabs>
          <w:tab w:val="left" w:pos="1785"/>
          <w:tab w:val="left" w:pos="4548"/>
        </w:tabs>
        <w:spacing w:before="1"/>
        <w:ind w:left="100"/>
        <w:jc w:val="both"/>
        <w:rPr>
          <w:sz w:val="16"/>
        </w:rPr>
      </w:pPr>
      <w:r>
        <w:rPr>
          <w:sz w:val="16"/>
        </w:rPr>
        <w:t xml:space="preserve">2   0   1  </w:t>
      </w:r>
      <w:r>
        <w:rPr>
          <w:spacing w:val="35"/>
          <w:sz w:val="16"/>
        </w:rPr>
        <w:t xml:space="preserve"> </w:t>
      </w:r>
      <w:r>
        <w:rPr>
          <w:sz w:val="16"/>
        </w:rPr>
        <w:t xml:space="preserve">0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145"/>
        <w:jc w:val="both"/>
        <w:rPr>
          <w:sz w:val="16"/>
        </w:rPr>
      </w:pPr>
      <w:hyperlink r:id="rId1607">
        <w:r w:rsidR="00330118">
          <w:rPr>
            <w:sz w:val="16"/>
          </w:rPr>
          <w:t>&lt;</w:t>
        </w:r>
        <w:r w:rsidR="00330118">
          <w:rPr>
            <w:sz w:val="16"/>
          </w:rPr>
          <w:t>http://www.brasilmineral.com.br/BM/default.asp?COD=4805&amp;busca=</w:t>
        </w:r>
      </w:hyperlink>
      <w:r w:rsidR="00330118">
        <w:rPr>
          <w:sz w:val="16"/>
        </w:rPr>
        <w:t xml:space="preserve"> &amp;numero=445&gt;. Acesso em: 15 out. 2010.</w:t>
      </w:r>
    </w:p>
    <w:p w:rsidR="00D81F69" w:rsidRDefault="00330118">
      <w:pPr>
        <w:spacing w:before="2" w:line="312" w:lineRule="auto"/>
        <w:ind w:left="100" w:right="127"/>
        <w:jc w:val="both"/>
        <w:rPr>
          <w:sz w:val="16"/>
        </w:rPr>
      </w:pPr>
      <w:r>
        <w:rPr>
          <w:sz w:val="16"/>
        </w:rPr>
        <w:t>BRASIL MINERAL. Fertilizantes.Vale deve investir US$ 15 bi até 2020. In: Brasil Mineral Online, n. 522, 05 out. 2011. Disponível em:</w:t>
      </w:r>
    </w:p>
    <w:p w:rsidR="00D81F69" w:rsidRDefault="00D81F69">
      <w:pPr>
        <w:spacing w:before="2" w:line="312" w:lineRule="auto"/>
        <w:ind w:left="100" w:right="145"/>
        <w:jc w:val="both"/>
        <w:rPr>
          <w:sz w:val="16"/>
        </w:rPr>
      </w:pPr>
      <w:hyperlink r:id="rId1608">
        <w:r w:rsidR="00330118">
          <w:rPr>
            <w:sz w:val="16"/>
          </w:rPr>
          <w:t>&lt;http://www.brasilmineral.com.br/BM/default.asp?COD=5787&amp;busca=</w:t>
        </w:r>
      </w:hyperlink>
      <w:r w:rsidR="00330118">
        <w:rPr>
          <w:sz w:val="16"/>
        </w:rPr>
        <w:t xml:space="preserve"> &amp;numero=522&gt;. Acesso em: 11 nov. 2011.</w:t>
      </w:r>
    </w:p>
    <w:p w:rsidR="00D81F69" w:rsidRDefault="00330118">
      <w:pPr>
        <w:spacing w:before="1" w:line="312" w:lineRule="auto"/>
        <w:ind w:left="100" w:right="144"/>
        <w:jc w:val="both"/>
        <w:rPr>
          <w:sz w:val="16"/>
        </w:rPr>
      </w:pPr>
      <w:r>
        <w:rPr>
          <w:sz w:val="16"/>
        </w:rPr>
        <w:t>FRANÇA, Adelmo Magalhães de. Vale do Ribeira (SP): proposições econômicas, sociais, polític</w:t>
      </w:r>
      <w:r>
        <w:rPr>
          <w:sz w:val="16"/>
        </w:rPr>
        <w:t>as e ambientais para o crescimento e desenvolvimento sustentável dos municípios da região administrativa de registro. 2005. 323 f. Dissertação (Mestrado em Economia Política)</w:t>
      </w:r>
    </w:p>
    <w:p w:rsidR="00D81F69" w:rsidRDefault="00330118">
      <w:pPr>
        <w:pStyle w:val="PargrafodaLista"/>
        <w:numPr>
          <w:ilvl w:val="0"/>
          <w:numId w:val="3"/>
        </w:numPr>
        <w:tabs>
          <w:tab w:val="left" w:pos="255"/>
          <w:tab w:val="left" w:pos="1451"/>
          <w:tab w:val="left" w:pos="2659"/>
          <w:tab w:val="left" w:pos="4662"/>
        </w:tabs>
        <w:spacing w:before="3" w:line="312" w:lineRule="auto"/>
        <w:ind w:right="38" w:firstLine="0"/>
        <w:jc w:val="left"/>
        <w:rPr>
          <w:sz w:val="16"/>
        </w:rPr>
      </w:pPr>
      <w:r>
        <w:rPr>
          <w:spacing w:val="1"/>
          <w:sz w:val="16"/>
        </w:rPr>
        <w:t xml:space="preserve">Pontifícia Universidade Católica </w:t>
      </w:r>
      <w:r>
        <w:rPr>
          <w:sz w:val="16"/>
        </w:rPr>
        <w:t xml:space="preserve">de  São  </w:t>
      </w:r>
      <w:r>
        <w:rPr>
          <w:spacing w:val="1"/>
          <w:sz w:val="16"/>
        </w:rPr>
        <w:t xml:space="preserve">Paulo,  </w:t>
      </w:r>
      <w:r>
        <w:rPr>
          <w:sz w:val="16"/>
        </w:rPr>
        <w:t xml:space="preserve">São  </w:t>
      </w:r>
      <w:r>
        <w:rPr>
          <w:spacing w:val="1"/>
          <w:sz w:val="16"/>
        </w:rPr>
        <w:t xml:space="preserve">Paulo,  </w:t>
      </w:r>
      <w:r>
        <w:rPr>
          <w:spacing w:val="2"/>
          <w:sz w:val="16"/>
        </w:rPr>
        <w:t xml:space="preserve">São </w:t>
      </w:r>
      <w:r>
        <w:rPr>
          <w:sz w:val="16"/>
        </w:rPr>
        <w:t xml:space="preserve">P  a  u  l  o </w:t>
      </w:r>
      <w:r>
        <w:rPr>
          <w:sz w:val="16"/>
        </w:rPr>
        <w:t xml:space="preserve"> .</w:t>
      </w:r>
      <w:r>
        <w:rPr>
          <w:sz w:val="16"/>
        </w:rPr>
        <w:tab/>
        <w:t>2  0  0  5  .</w:t>
      </w:r>
      <w:r>
        <w:rPr>
          <w:sz w:val="16"/>
        </w:rPr>
        <w:tab/>
        <w:t>D  i  s  p  o  n  í  v  e  l</w:t>
      </w:r>
      <w:r>
        <w:rPr>
          <w:sz w:val="16"/>
        </w:rPr>
        <w:tab/>
        <w:t xml:space="preserve">e  m  :  </w:t>
      </w:r>
    </w:p>
    <w:p w:rsidR="00D81F69" w:rsidRDefault="00D81F69">
      <w:pPr>
        <w:spacing w:before="2" w:line="312" w:lineRule="auto"/>
        <w:ind w:left="100" w:right="145"/>
        <w:jc w:val="both"/>
        <w:rPr>
          <w:sz w:val="16"/>
        </w:rPr>
      </w:pPr>
      <w:hyperlink r:id="rId1609">
        <w:r w:rsidR="00330118">
          <w:rPr>
            <w:sz w:val="16"/>
          </w:rPr>
          <w:t>&lt;http://www.sapientia.pucsp.br/tde_busca/arquivo.php?codArquivo=1</w:t>
        </w:r>
      </w:hyperlink>
      <w:r w:rsidR="00330118">
        <w:rPr>
          <w:sz w:val="16"/>
        </w:rPr>
        <w:t xml:space="preserve"> 743&gt;. Acesso em: 19 ago. 2010.</w:t>
      </w:r>
    </w:p>
    <w:p w:rsidR="00D81F69" w:rsidRDefault="00330118">
      <w:pPr>
        <w:spacing w:before="2"/>
        <w:ind w:left="100"/>
        <w:jc w:val="both"/>
        <w:rPr>
          <w:sz w:val="16"/>
        </w:rPr>
      </w:pPr>
      <w:r>
        <w:rPr>
          <w:sz w:val="16"/>
        </w:rPr>
        <w:t>FOSBRASIL.   Site   i</w:t>
      </w:r>
      <w:r>
        <w:rPr>
          <w:sz w:val="16"/>
        </w:rPr>
        <w:t xml:space="preserve">nstitucional.   Disponível  em: </w:t>
      </w:r>
    </w:p>
    <w:p w:rsidR="00D81F69" w:rsidRDefault="00D81F69">
      <w:pPr>
        <w:spacing w:before="56" w:line="312" w:lineRule="auto"/>
        <w:ind w:left="100" w:right="75"/>
        <w:jc w:val="both"/>
        <w:rPr>
          <w:sz w:val="16"/>
        </w:rPr>
      </w:pPr>
      <w:hyperlink r:id="rId1610">
        <w:r w:rsidR="00330118">
          <w:rPr>
            <w:sz w:val="16"/>
          </w:rPr>
          <w:t xml:space="preserve">&lt;http://www.fosbrasil.com/empresa.htm&gt;. </w:t>
        </w:r>
      </w:hyperlink>
      <w:r w:rsidR="00330118">
        <w:rPr>
          <w:sz w:val="16"/>
        </w:rPr>
        <w:t xml:space="preserve">Acesso em: 31 ago. 2010. IBGE, Instituto Brasileiro de Geografia e Estatística. Cajati (SP). In:      </w:t>
      </w:r>
      <w:r w:rsidR="00330118">
        <w:rPr>
          <w:spacing w:val="10"/>
          <w:sz w:val="16"/>
        </w:rPr>
        <w:t xml:space="preserve">I B G </w:t>
      </w:r>
      <w:r w:rsidR="00330118">
        <w:rPr>
          <w:sz w:val="16"/>
        </w:rPr>
        <w:t xml:space="preserve">E      </w:t>
      </w:r>
      <w:r w:rsidR="00330118">
        <w:rPr>
          <w:spacing w:val="10"/>
          <w:sz w:val="16"/>
        </w:rPr>
        <w:t xml:space="preserve">C i d a d e s </w:t>
      </w:r>
      <w:r w:rsidR="00330118">
        <w:rPr>
          <w:sz w:val="16"/>
        </w:rPr>
        <w:t xml:space="preserve">,      </w:t>
      </w:r>
      <w:r w:rsidR="00330118">
        <w:rPr>
          <w:spacing w:val="10"/>
          <w:sz w:val="16"/>
        </w:rPr>
        <w:t xml:space="preserve">2 0 1 0 </w:t>
      </w:r>
      <w:r w:rsidR="00330118">
        <w:rPr>
          <w:sz w:val="16"/>
        </w:rPr>
        <w:t xml:space="preserve">.      </w:t>
      </w:r>
      <w:r w:rsidR="00330118">
        <w:rPr>
          <w:spacing w:val="10"/>
          <w:sz w:val="16"/>
        </w:rPr>
        <w:t xml:space="preserve">D i s p o n í v e </w:t>
      </w:r>
      <w:r w:rsidR="00330118">
        <w:rPr>
          <w:sz w:val="16"/>
        </w:rPr>
        <w:t xml:space="preserve">l  </w:t>
      </w:r>
      <w:r w:rsidR="00330118">
        <w:rPr>
          <w:spacing w:val="21"/>
          <w:sz w:val="16"/>
        </w:rPr>
        <w:t xml:space="preserve"> </w:t>
      </w:r>
      <w:r w:rsidR="00330118">
        <w:rPr>
          <w:spacing w:val="10"/>
          <w:sz w:val="16"/>
        </w:rPr>
        <w:t xml:space="preserve">e m </w:t>
      </w:r>
      <w:r w:rsidR="00330118">
        <w:rPr>
          <w:sz w:val="16"/>
        </w:rPr>
        <w:t>:</w:t>
      </w:r>
      <w:r w:rsidR="00330118">
        <w:rPr>
          <w:spacing w:val="10"/>
          <w:sz w:val="16"/>
        </w:rPr>
        <w:t xml:space="preserve"> </w:t>
      </w:r>
    </w:p>
    <w:p w:rsidR="00D81F69" w:rsidRDefault="00D81F69">
      <w:pPr>
        <w:spacing w:before="2"/>
        <w:ind w:left="100"/>
        <w:jc w:val="both"/>
        <w:rPr>
          <w:sz w:val="16"/>
        </w:rPr>
      </w:pPr>
      <w:hyperlink r:id="rId1611">
        <w:r w:rsidR="00330118">
          <w:rPr>
            <w:sz w:val="16"/>
          </w:rPr>
          <w:t>&lt;http://www.ibge.gov.br/cidadesat/xtras/perfil.php?codmun=350925&amp;r</w:t>
        </w:r>
      </w:hyperlink>
    </w:p>
    <w:p w:rsidR="00D81F69" w:rsidRDefault="00330118">
      <w:pPr>
        <w:spacing w:before="56"/>
        <w:ind w:left="100"/>
        <w:jc w:val="both"/>
        <w:rPr>
          <w:sz w:val="16"/>
        </w:rPr>
      </w:pPr>
      <w:r>
        <w:rPr>
          <w:sz w:val="16"/>
        </w:rPr>
        <w:t>=2&gt;. Acesso em: 13 mar. 2011.</w:t>
      </w:r>
    </w:p>
    <w:p w:rsidR="00D81F69" w:rsidRDefault="00330118">
      <w:pPr>
        <w:tabs>
          <w:tab w:val="left" w:pos="1198"/>
          <w:tab w:val="left" w:pos="2495"/>
          <w:tab w:val="left" w:pos="4639"/>
        </w:tabs>
        <w:spacing w:before="56" w:line="312" w:lineRule="auto"/>
        <w:ind w:left="100" w:right="125"/>
        <w:jc w:val="both"/>
        <w:rPr>
          <w:sz w:val="16"/>
        </w:rPr>
      </w:pPr>
      <w:r>
        <w:rPr>
          <w:sz w:val="16"/>
        </w:rPr>
        <w:t xml:space="preserve">LOUREIRO, Francisco E. Lapido; MONTE, Maris Bezerro de Mello; NASCIMENTO, Marisa. Fosfato. In: Rochas &amp; minerais </w:t>
      </w:r>
      <w:r>
        <w:rPr>
          <w:spacing w:val="1"/>
          <w:sz w:val="16"/>
        </w:rPr>
        <w:t xml:space="preserve">industriais: </w:t>
      </w:r>
      <w:r>
        <w:rPr>
          <w:sz w:val="16"/>
        </w:rPr>
        <w:t xml:space="preserve">Usos e especificações, cap. 7, p. 141 - 171, Cetem, Rio de Janeiro     n  o </w:t>
      </w:r>
      <w:r>
        <w:rPr>
          <w:spacing w:val="20"/>
          <w:sz w:val="16"/>
        </w:rPr>
        <w:t xml:space="preserve"> </w:t>
      </w:r>
      <w:r>
        <w:rPr>
          <w:sz w:val="16"/>
        </w:rPr>
        <w:t xml:space="preserve">v </w:t>
      </w:r>
      <w:r>
        <w:rPr>
          <w:spacing w:val="10"/>
          <w:sz w:val="16"/>
        </w:rPr>
        <w:t xml:space="preserve"> </w:t>
      </w:r>
      <w:r>
        <w:rPr>
          <w:sz w:val="16"/>
        </w:rPr>
        <w:t>.</w:t>
      </w:r>
      <w:r>
        <w:rPr>
          <w:sz w:val="16"/>
        </w:rPr>
        <w:tab/>
        <w:t xml:space="preserve">2  0  0 </w:t>
      </w:r>
      <w:r>
        <w:rPr>
          <w:spacing w:val="31"/>
          <w:sz w:val="16"/>
        </w:rPr>
        <w:t xml:space="preserve"> </w:t>
      </w:r>
      <w:r>
        <w:rPr>
          <w:sz w:val="16"/>
        </w:rPr>
        <w:t xml:space="preserve">5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e m</w:t>
      </w:r>
      <w:r>
        <w:rPr>
          <w:spacing w:val="20"/>
          <w:sz w:val="16"/>
        </w:rPr>
        <w:t xml:space="preserve"> </w:t>
      </w:r>
      <w:r>
        <w:rPr>
          <w:sz w:val="16"/>
        </w:rPr>
        <w:t>:</w:t>
      </w:r>
    </w:p>
    <w:p w:rsidR="00D81F69" w:rsidRDefault="00D81F69">
      <w:pPr>
        <w:spacing w:before="4" w:line="312" w:lineRule="auto"/>
        <w:ind w:left="100" w:right="120"/>
        <w:jc w:val="both"/>
        <w:rPr>
          <w:sz w:val="16"/>
        </w:rPr>
      </w:pPr>
      <w:hyperlink r:id="rId1612">
        <w:r w:rsidR="00330118">
          <w:rPr>
            <w:sz w:val="16"/>
          </w:rPr>
          <w:t>&lt;http://www.cetem.gov.br/publicacao/CTs/CT2005-108-00.pdf&gt;.</w:t>
        </w:r>
      </w:hyperlink>
      <w:r w:rsidR="00330118">
        <w:rPr>
          <w:sz w:val="16"/>
        </w:rPr>
        <w:t xml:space="preserve"> Acesso em: 19 ago. 2010.</w:t>
      </w:r>
    </w:p>
    <w:p w:rsidR="00D81F69" w:rsidRDefault="00330118">
      <w:pPr>
        <w:spacing w:before="1" w:line="312" w:lineRule="auto"/>
        <w:ind w:left="100" w:right="99"/>
        <w:jc w:val="both"/>
        <w:rPr>
          <w:sz w:val="16"/>
        </w:rPr>
      </w:pPr>
      <w:r>
        <w:rPr>
          <w:sz w:val="16"/>
        </w:rPr>
        <w:t>LOUZADA, Jean Carlo Grijó. Flotação seletiva entre calcita e apatita utilizando-se ácido fosfóri</w:t>
      </w:r>
      <w:r>
        <w:rPr>
          <w:sz w:val="16"/>
        </w:rPr>
        <w:t xml:space="preserve">co e ácido cítrico como depressores. 2008. 58f.   Dissertação (Mestrado em Ciências em Engenharia Metalúrgica e de </w:t>
      </w:r>
      <w:r>
        <w:rPr>
          <w:spacing w:val="1"/>
          <w:sz w:val="16"/>
        </w:rPr>
        <w:t xml:space="preserve">Materiais) </w:t>
      </w:r>
      <w:r>
        <w:rPr>
          <w:sz w:val="16"/>
        </w:rPr>
        <w:t xml:space="preserve">– </w:t>
      </w:r>
      <w:r>
        <w:rPr>
          <w:spacing w:val="1"/>
          <w:sz w:val="16"/>
        </w:rPr>
        <w:t xml:space="preserve">Universidade Federal </w:t>
      </w:r>
      <w:r>
        <w:rPr>
          <w:sz w:val="16"/>
        </w:rPr>
        <w:t xml:space="preserve">do Rio de </w:t>
      </w:r>
      <w:r>
        <w:rPr>
          <w:spacing w:val="1"/>
          <w:sz w:val="16"/>
        </w:rPr>
        <w:t xml:space="preserve">Janeiro, </w:t>
      </w:r>
      <w:r>
        <w:rPr>
          <w:sz w:val="16"/>
        </w:rPr>
        <w:t xml:space="preserve">Rio </w:t>
      </w:r>
      <w:r>
        <w:rPr>
          <w:spacing w:val="2"/>
          <w:sz w:val="16"/>
        </w:rPr>
        <w:t xml:space="preserve">de </w:t>
      </w:r>
      <w:r>
        <w:rPr>
          <w:spacing w:val="25"/>
          <w:sz w:val="16"/>
        </w:rPr>
        <w:t>Janeiro,</w:t>
      </w:r>
      <w:r>
        <w:rPr>
          <w:spacing w:val="95"/>
          <w:sz w:val="16"/>
        </w:rPr>
        <w:t xml:space="preserve"> </w:t>
      </w:r>
      <w:r>
        <w:rPr>
          <w:spacing w:val="20"/>
          <w:sz w:val="16"/>
        </w:rPr>
        <w:t xml:space="preserve">Rio </w:t>
      </w:r>
      <w:r>
        <w:rPr>
          <w:spacing w:val="15"/>
          <w:sz w:val="16"/>
        </w:rPr>
        <w:t xml:space="preserve">de </w:t>
      </w:r>
      <w:r>
        <w:rPr>
          <w:spacing w:val="25"/>
          <w:sz w:val="16"/>
        </w:rPr>
        <w:t>Janeiro,</w:t>
      </w:r>
      <w:r>
        <w:rPr>
          <w:spacing w:val="95"/>
          <w:sz w:val="16"/>
        </w:rPr>
        <w:t xml:space="preserve"> </w:t>
      </w:r>
      <w:r>
        <w:rPr>
          <w:spacing w:val="23"/>
          <w:sz w:val="16"/>
        </w:rPr>
        <w:t xml:space="preserve">2008. </w:t>
      </w:r>
      <w:r>
        <w:rPr>
          <w:spacing w:val="26"/>
          <w:sz w:val="16"/>
        </w:rPr>
        <w:t>Disponível</w:t>
      </w:r>
      <w:r>
        <w:rPr>
          <w:spacing w:val="31"/>
          <w:sz w:val="16"/>
        </w:rPr>
        <w:t xml:space="preserve"> </w:t>
      </w:r>
      <w:r>
        <w:rPr>
          <w:spacing w:val="20"/>
          <w:sz w:val="16"/>
        </w:rPr>
        <w:t>em:</w:t>
      </w:r>
      <w:r>
        <w:rPr>
          <w:spacing w:val="-15"/>
          <w:sz w:val="16"/>
        </w:rPr>
        <w:t xml:space="preserve"> </w:t>
      </w:r>
    </w:p>
    <w:p w:rsidR="00D81F69" w:rsidRDefault="00D81F69">
      <w:pPr>
        <w:spacing w:before="4" w:line="312" w:lineRule="auto"/>
        <w:ind w:left="100" w:right="126"/>
        <w:jc w:val="both"/>
        <w:rPr>
          <w:sz w:val="16"/>
        </w:rPr>
      </w:pPr>
      <w:hyperlink r:id="rId1613">
        <w:r w:rsidR="00330118">
          <w:rPr>
            <w:sz w:val="16"/>
          </w:rPr>
          <w:t>&lt;http://teses2.ufrj.br/Teses/COPPE_M/JeanCarloGrijoLouzada.pdf&gt;.</w:t>
        </w:r>
      </w:hyperlink>
      <w:r w:rsidR="00330118">
        <w:rPr>
          <w:sz w:val="16"/>
        </w:rPr>
        <w:t xml:space="preserve"> Acesso em: 11 nov. 2011.</w:t>
      </w:r>
    </w:p>
    <w:p w:rsidR="00D81F69" w:rsidRDefault="00330118">
      <w:pPr>
        <w:spacing w:before="2"/>
        <w:ind w:left="100"/>
        <w:jc w:val="both"/>
        <w:rPr>
          <w:sz w:val="16"/>
        </w:rPr>
      </w:pPr>
      <w:r>
        <w:rPr>
          <w:sz w:val="16"/>
        </w:rPr>
        <w:t>MAPA DA INJUSTIÇA E SAÚDE NO BRASIL. UHE de Tijuco Alto:</w:t>
      </w:r>
    </w:p>
    <w:p w:rsidR="00D81F69" w:rsidRDefault="00330118">
      <w:pPr>
        <w:tabs>
          <w:tab w:val="left" w:pos="4331"/>
        </w:tabs>
        <w:spacing w:before="56" w:line="312" w:lineRule="auto"/>
        <w:ind w:left="100" w:right="123"/>
        <w:jc w:val="both"/>
        <w:rPr>
          <w:sz w:val="16"/>
        </w:rPr>
      </w:pPr>
      <w:r>
        <w:rPr>
          <w:spacing w:val="3"/>
          <w:sz w:val="16"/>
        </w:rPr>
        <w:t xml:space="preserve">privatizando </w:t>
      </w:r>
      <w:r>
        <w:rPr>
          <w:sz w:val="16"/>
        </w:rPr>
        <w:t xml:space="preserve">e </w:t>
      </w:r>
      <w:r>
        <w:rPr>
          <w:spacing w:val="3"/>
          <w:sz w:val="16"/>
        </w:rPr>
        <w:t xml:space="preserve">ameaçando cerca </w:t>
      </w:r>
      <w:r>
        <w:rPr>
          <w:spacing w:val="1"/>
          <w:sz w:val="16"/>
        </w:rPr>
        <w:t xml:space="preserve">de </w:t>
      </w:r>
      <w:r>
        <w:rPr>
          <w:spacing w:val="2"/>
          <w:sz w:val="16"/>
        </w:rPr>
        <w:t xml:space="preserve">250 mil </w:t>
      </w:r>
      <w:r>
        <w:rPr>
          <w:spacing w:val="3"/>
          <w:sz w:val="16"/>
        </w:rPr>
        <w:t xml:space="preserve">pessoas </w:t>
      </w:r>
      <w:r>
        <w:rPr>
          <w:sz w:val="16"/>
        </w:rPr>
        <w:t xml:space="preserve">e </w:t>
      </w:r>
      <w:r>
        <w:rPr>
          <w:spacing w:val="2"/>
          <w:sz w:val="16"/>
        </w:rPr>
        <w:t xml:space="preserve">uma </w:t>
      </w:r>
      <w:r>
        <w:rPr>
          <w:spacing w:val="5"/>
          <w:sz w:val="16"/>
        </w:rPr>
        <w:t xml:space="preserve">das </w:t>
      </w:r>
      <w:r>
        <w:rPr>
          <w:spacing w:val="3"/>
          <w:sz w:val="16"/>
        </w:rPr>
        <w:t xml:space="preserve">últimas reservas </w:t>
      </w:r>
      <w:r>
        <w:rPr>
          <w:spacing w:val="1"/>
          <w:sz w:val="16"/>
        </w:rPr>
        <w:t xml:space="preserve">da </w:t>
      </w:r>
      <w:r>
        <w:rPr>
          <w:spacing w:val="2"/>
          <w:sz w:val="16"/>
        </w:rPr>
        <w:t xml:space="preserve">Mata </w:t>
      </w:r>
      <w:r>
        <w:rPr>
          <w:spacing w:val="3"/>
          <w:sz w:val="16"/>
        </w:rPr>
        <w:t xml:space="preserve">Atlântica. </w:t>
      </w:r>
      <w:r>
        <w:rPr>
          <w:spacing w:val="2"/>
          <w:sz w:val="16"/>
        </w:rPr>
        <w:t xml:space="preserve">Base </w:t>
      </w:r>
      <w:r>
        <w:rPr>
          <w:spacing w:val="1"/>
          <w:sz w:val="16"/>
        </w:rPr>
        <w:t xml:space="preserve">de </w:t>
      </w:r>
      <w:r>
        <w:rPr>
          <w:spacing w:val="3"/>
          <w:sz w:val="16"/>
        </w:rPr>
        <w:t xml:space="preserve">dados, </w:t>
      </w:r>
      <w:r>
        <w:rPr>
          <w:sz w:val="16"/>
        </w:rPr>
        <w:t xml:space="preserve">6  </w:t>
      </w:r>
      <w:r>
        <w:rPr>
          <w:spacing w:val="2"/>
          <w:sz w:val="16"/>
        </w:rPr>
        <w:t xml:space="preserve">dez. </w:t>
      </w:r>
      <w:r>
        <w:rPr>
          <w:spacing w:val="5"/>
          <w:sz w:val="16"/>
        </w:rPr>
        <w:t xml:space="preserve">2009.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145"/>
        <w:jc w:val="both"/>
        <w:rPr>
          <w:sz w:val="16"/>
        </w:rPr>
      </w:pPr>
      <w:hyperlink r:id="rId1614">
        <w:r w:rsidR="00330118">
          <w:rPr>
            <w:sz w:val="16"/>
          </w:rPr>
          <w:t>&lt;http://www.conflitoambiental.ici</w:t>
        </w:r>
        <w:r w:rsidR="00330118">
          <w:rPr>
            <w:sz w:val="16"/>
          </w:rPr>
          <w:t>ct.fiocruz.br/index.php?pag=ficha&amp;co</w:t>
        </w:r>
      </w:hyperlink>
      <w:r w:rsidR="00330118">
        <w:rPr>
          <w:sz w:val="16"/>
        </w:rPr>
        <w:t xml:space="preserve"> d=171&gt;. Acesso em: 31 ago. 2010.</w:t>
      </w:r>
    </w:p>
    <w:p w:rsidR="00D81F69" w:rsidRDefault="00330118">
      <w:pPr>
        <w:spacing w:before="2" w:line="312" w:lineRule="auto"/>
        <w:ind w:left="100" w:right="138"/>
        <w:jc w:val="both"/>
        <w:rPr>
          <w:sz w:val="16"/>
        </w:rPr>
      </w:pPr>
      <w:r>
        <w:rPr>
          <w:sz w:val="16"/>
        </w:rPr>
        <w:t>OLIVEIRA, Bernardo Regis Guimarães de; FERREIRA, Gilson Ezequiel.</w:t>
      </w:r>
    </w:p>
    <w:p w:rsidR="00D81F69" w:rsidRDefault="00330118">
      <w:pPr>
        <w:spacing w:before="70" w:line="312" w:lineRule="auto"/>
        <w:ind w:left="100" w:right="215"/>
        <w:jc w:val="both"/>
        <w:rPr>
          <w:sz w:val="16"/>
        </w:rPr>
      </w:pPr>
      <w:r>
        <w:br w:type="column"/>
      </w:r>
      <w:r>
        <w:rPr>
          <w:sz w:val="16"/>
        </w:rPr>
        <w:lastRenderedPageBreak/>
        <w:t>Panorama brasileiro dos principais Minerais Industriais utilizados na produção de</w:t>
      </w:r>
    </w:p>
    <w:p w:rsidR="00D81F69" w:rsidRDefault="00330118">
      <w:pPr>
        <w:spacing w:before="1" w:line="312" w:lineRule="auto"/>
        <w:ind w:left="100" w:right="232"/>
        <w:rPr>
          <w:sz w:val="16"/>
        </w:rPr>
      </w:pPr>
      <w:r>
        <w:rPr>
          <w:sz w:val="16"/>
        </w:rPr>
        <w:t xml:space="preserve">fertilizantes, XV Jornada de Iniciação Científica – Centro de Tecnologia Mineral (Cetem), 2007. Disponível em: </w:t>
      </w:r>
      <w:hyperlink r:id="rId1615">
        <w:r>
          <w:rPr>
            <w:sz w:val="16"/>
          </w:rPr>
          <w:t>http://200.20.105.247/publicacao/serie_anais_XV_jic_2007/Berna</w:t>
        </w:r>
        <w:r>
          <w:rPr>
            <w:sz w:val="16"/>
          </w:rPr>
          <w:t>rdo.</w:t>
        </w:r>
      </w:hyperlink>
      <w:r>
        <w:rPr>
          <w:sz w:val="16"/>
        </w:rPr>
        <w:t xml:space="preserve"> pdf&gt;. Acesso em: 19 ago. 2010.</w:t>
      </w:r>
    </w:p>
    <w:p w:rsidR="00D81F69" w:rsidRDefault="00330118">
      <w:pPr>
        <w:spacing w:before="4" w:line="312" w:lineRule="auto"/>
        <w:ind w:left="100" w:right="195"/>
        <w:jc w:val="both"/>
        <w:rPr>
          <w:sz w:val="16"/>
        </w:rPr>
      </w:pPr>
      <w:r>
        <w:rPr>
          <w:sz w:val="16"/>
        </w:rPr>
        <w:t xml:space="preserve">PINTO, Marcelo Martins. Avaliação da implantação de cobertura vegetal em uma pilha de fosfogesso. 2007.102f. Dissertação (Mestrado em Saneamento, Meio Ambiente e Recursos Hídricos), Universidade Federal de Minas Gerais, </w:t>
      </w:r>
      <w:r>
        <w:rPr>
          <w:sz w:val="16"/>
        </w:rPr>
        <w:t>Belo Horizonte, Minas Gerais.</w:t>
      </w:r>
    </w:p>
    <w:p w:rsidR="00D81F69" w:rsidRDefault="00330118">
      <w:pPr>
        <w:tabs>
          <w:tab w:val="left" w:pos="1785"/>
          <w:tab w:val="left" w:pos="4548"/>
        </w:tabs>
        <w:spacing w:before="3"/>
        <w:ind w:left="100"/>
        <w:rPr>
          <w:sz w:val="16"/>
        </w:rPr>
      </w:pPr>
      <w:r>
        <w:rPr>
          <w:sz w:val="16"/>
        </w:rPr>
        <w:t xml:space="preserve">2   0   0  </w:t>
      </w:r>
      <w:r>
        <w:rPr>
          <w:spacing w:val="35"/>
          <w:sz w:val="16"/>
        </w:rPr>
        <w:t xml:space="preserve"> </w:t>
      </w:r>
      <w:r>
        <w:rPr>
          <w:sz w:val="16"/>
        </w:rPr>
        <w:t xml:space="preserve">7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16"/>
        <w:jc w:val="both"/>
        <w:rPr>
          <w:sz w:val="16"/>
        </w:rPr>
      </w:pPr>
      <w:hyperlink r:id="rId1616">
        <w:r w:rsidR="00330118">
          <w:rPr>
            <w:sz w:val="16"/>
          </w:rPr>
          <w:t xml:space="preserve">&lt;http://www.smarh.eng.ufmg.br/defesas/272M.PDF&gt;. </w:t>
        </w:r>
      </w:hyperlink>
      <w:r w:rsidR="00330118">
        <w:rPr>
          <w:sz w:val="16"/>
        </w:rPr>
        <w:t>Acesso em: 19 ago.</w:t>
      </w:r>
    </w:p>
    <w:p w:rsidR="00D81F69" w:rsidRDefault="00330118">
      <w:pPr>
        <w:spacing w:before="1" w:line="312" w:lineRule="auto"/>
        <w:ind w:left="100" w:right="160"/>
        <w:jc w:val="both"/>
        <w:rPr>
          <w:sz w:val="16"/>
        </w:rPr>
      </w:pPr>
      <w:r>
        <w:rPr>
          <w:spacing w:val="1"/>
          <w:sz w:val="16"/>
        </w:rPr>
        <w:t xml:space="preserve">PREFEITURA MUNICIPAL </w:t>
      </w:r>
      <w:r>
        <w:rPr>
          <w:sz w:val="16"/>
        </w:rPr>
        <w:t xml:space="preserve">DE </w:t>
      </w:r>
      <w:r>
        <w:rPr>
          <w:spacing w:val="1"/>
          <w:sz w:val="16"/>
        </w:rPr>
        <w:t xml:space="preserve">CAJATI </w:t>
      </w:r>
      <w:r>
        <w:rPr>
          <w:sz w:val="16"/>
        </w:rPr>
        <w:t xml:space="preserve">– SP. </w:t>
      </w:r>
      <w:r>
        <w:rPr>
          <w:spacing w:val="1"/>
          <w:sz w:val="16"/>
        </w:rPr>
        <w:t xml:space="preserve">Dados </w:t>
      </w:r>
      <w:r>
        <w:rPr>
          <w:sz w:val="16"/>
        </w:rPr>
        <w:t xml:space="preserve">e </w:t>
      </w:r>
      <w:r>
        <w:rPr>
          <w:spacing w:val="1"/>
          <w:sz w:val="16"/>
        </w:rPr>
        <w:t xml:space="preserve">história </w:t>
      </w:r>
      <w:r>
        <w:rPr>
          <w:spacing w:val="2"/>
          <w:sz w:val="16"/>
        </w:rPr>
        <w:t xml:space="preserve">do </w:t>
      </w:r>
      <w:r>
        <w:rPr>
          <w:spacing w:val="36"/>
          <w:sz w:val="16"/>
        </w:rPr>
        <w:t xml:space="preserve">município, </w:t>
      </w:r>
      <w:r>
        <w:rPr>
          <w:spacing w:val="20"/>
          <w:sz w:val="16"/>
        </w:rPr>
        <w:t xml:space="preserve">19 </w:t>
      </w:r>
      <w:r>
        <w:rPr>
          <w:spacing w:val="30"/>
          <w:sz w:val="16"/>
        </w:rPr>
        <w:t xml:space="preserve">jun. </w:t>
      </w:r>
      <w:r>
        <w:rPr>
          <w:spacing w:val="32"/>
          <w:sz w:val="16"/>
        </w:rPr>
        <w:t xml:space="preserve">2007. </w:t>
      </w:r>
      <w:r>
        <w:rPr>
          <w:spacing w:val="36"/>
          <w:sz w:val="16"/>
        </w:rPr>
        <w:t>Disponível</w:t>
      </w:r>
      <w:r>
        <w:rPr>
          <w:spacing w:val="35"/>
          <w:sz w:val="16"/>
        </w:rPr>
        <w:t xml:space="preserve"> </w:t>
      </w:r>
      <w:r>
        <w:rPr>
          <w:spacing w:val="27"/>
          <w:sz w:val="16"/>
        </w:rPr>
        <w:t>em:</w:t>
      </w:r>
      <w:r>
        <w:rPr>
          <w:spacing w:val="-1"/>
          <w:sz w:val="16"/>
        </w:rPr>
        <w:t xml:space="preserve"> </w:t>
      </w:r>
    </w:p>
    <w:p w:rsidR="00D81F69" w:rsidRDefault="00D81F69">
      <w:pPr>
        <w:spacing w:before="2" w:line="312" w:lineRule="auto"/>
        <w:ind w:left="100" w:right="217"/>
        <w:jc w:val="both"/>
        <w:rPr>
          <w:sz w:val="16"/>
        </w:rPr>
      </w:pPr>
      <w:hyperlink r:id="rId1617">
        <w:r w:rsidR="00330118">
          <w:rPr>
            <w:sz w:val="16"/>
          </w:rPr>
          <w:t>&lt;http://www.cajati.sp.gov.br/index.php?exibir=secoes&amp;ID=79&amp;IDNOTI</w:t>
        </w:r>
      </w:hyperlink>
      <w:r w:rsidR="00330118">
        <w:rPr>
          <w:sz w:val="16"/>
        </w:rPr>
        <w:t xml:space="preserve"> CIA=104&gt;. Acesso em: 15 ou</w:t>
      </w:r>
      <w:r w:rsidR="00330118">
        <w:rPr>
          <w:sz w:val="16"/>
        </w:rPr>
        <w:t>t. 2010.</w:t>
      </w:r>
    </w:p>
    <w:p w:rsidR="00D81F69" w:rsidRDefault="00330118">
      <w:pPr>
        <w:spacing w:before="2" w:line="312" w:lineRule="auto"/>
        <w:ind w:left="100" w:right="195"/>
        <w:jc w:val="both"/>
        <w:rPr>
          <w:sz w:val="16"/>
        </w:rPr>
      </w:pPr>
      <w:r>
        <w:rPr>
          <w:sz w:val="16"/>
        </w:rPr>
        <w:t>RIBEIRO, Ivo. Minerais para construção civil e aço dominam 56% da produção mundial. Valor Econômico, 17 out. 2011. Disponível em:</w:t>
      </w:r>
    </w:p>
    <w:p w:rsidR="00D81F69" w:rsidRDefault="00D81F69">
      <w:pPr>
        <w:spacing w:before="1" w:line="312" w:lineRule="auto"/>
        <w:ind w:left="100" w:right="204"/>
        <w:jc w:val="both"/>
        <w:rPr>
          <w:sz w:val="16"/>
        </w:rPr>
      </w:pPr>
      <w:hyperlink r:id="rId1618">
        <w:r w:rsidR="00330118">
          <w:rPr>
            <w:sz w:val="16"/>
          </w:rPr>
          <w:t>&lt;http://www.valor.com.br/empresas/1054192/mi</w:t>
        </w:r>
        <w:r w:rsidR="00330118">
          <w:rPr>
            <w:sz w:val="16"/>
          </w:rPr>
          <w:t>nerais-para-</w:t>
        </w:r>
      </w:hyperlink>
      <w:r w:rsidR="00330118">
        <w:rPr>
          <w:sz w:val="16"/>
        </w:rPr>
        <w:t xml:space="preserve"> construcao-civil-e-aco-dominam-56-da-producao-mundial&gt;. Acesso em: 11 nov. 2011.</w:t>
      </w:r>
    </w:p>
    <w:p w:rsidR="00D81F69" w:rsidRDefault="00330118">
      <w:pPr>
        <w:spacing w:before="3" w:line="312" w:lineRule="auto"/>
        <w:ind w:left="100" w:right="181"/>
        <w:jc w:val="both"/>
        <w:rPr>
          <w:sz w:val="16"/>
        </w:rPr>
      </w:pPr>
      <w:r>
        <w:rPr>
          <w:sz w:val="16"/>
        </w:rPr>
        <w:t xml:space="preserve">SÁNCHEZ, Luis Enrique. Patrimônio mineiro do Vale do Ribeira, Jornada Iberoamericana sobre el patrimônio geológico-minero, Santa Cruz de la Sierra, Bolívia, fev. </w:t>
      </w:r>
      <w:r>
        <w:rPr>
          <w:sz w:val="16"/>
        </w:rPr>
        <w:t xml:space="preserve">2002. Disponível em: </w:t>
      </w:r>
    </w:p>
    <w:p w:rsidR="00D81F69" w:rsidRDefault="00D81F69">
      <w:pPr>
        <w:spacing w:before="2" w:line="312" w:lineRule="auto"/>
        <w:ind w:left="100" w:right="159"/>
        <w:rPr>
          <w:sz w:val="16"/>
        </w:rPr>
      </w:pPr>
      <w:hyperlink r:id="rId1619">
        <w:r w:rsidR="00330118">
          <w:rPr>
            <w:sz w:val="16"/>
          </w:rPr>
          <w:t xml:space="preserve">&lt; h t t p : / / w 3 . c e t e m . g o v . b r / C Y T E D - </w:t>
        </w:r>
      </w:hyperlink>
      <w:r w:rsidR="00330118">
        <w:rPr>
          <w:sz w:val="16"/>
        </w:rPr>
        <w:t xml:space="preserve">XIII/Downloads/Coloq_pat_geo_min_Bolivia/Patrimonio%20en%20Ca sos%20Especificos/Luis%20Enrique%20S%C3%A1nchez_Ponenciay Fotos/LuisEnriqueSanchez_PatrimonioValedoRibeira.doc&gt;. </w:t>
      </w:r>
      <w:r w:rsidR="00330118">
        <w:rPr>
          <w:spacing w:val="1"/>
          <w:sz w:val="16"/>
        </w:rPr>
        <w:t xml:space="preserve">Acesso </w:t>
      </w:r>
      <w:r w:rsidR="00330118">
        <w:rPr>
          <w:sz w:val="16"/>
        </w:rPr>
        <w:t>em: 19 ago.</w:t>
      </w:r>
      <w:r w:rsidR="00330118">
        <w:rPr>
          <w:spacing w:val="1"/>
          <w:sz w:val="16"/>
        </w:rPr>
        <w:t xml:space="preserve"> </w:t>
      </w:r>
      <w:r w:rsidR="00330118">
        <w:rPr>
          <w:sz w:val="16"/>
        </w:rPr>
        <w:t>2010.</w:t>
      </w:r>
    </w:p>
    <w:p w:rsidR="00D81F69" w:rsidRDefault="00330118">
      <w:pPr>
        <w:spacing w:before="4" w:line="312" w:lineRule="auto"/>
        <w:ind w:left="100" w:right="192"/>
        <w:jc w:val="both"/>
        <w:rPr>
          <w:sz w:val="16"/>
        </w:rPr>
      </w:pPr>
      <w:r>
        <w:rPr>
          <w:sz w:val="16"/>
        </w:rPr>
        <w:t>SÁNCHEZ, Solange S. Silva; SÁNCHEZ, Luis E. Mineração de</w:t>
      </w:r>
      <w:r>
        <w:rPr>
          <w:sz w:val="16"/>
        </w:rPr>
        <w:t xml:space="preserve"> fosfato em Cajati e o desenvolvimento local. In: FERNANDES, Francisco Rego Chaves; ENRIQUEZ, Maria Amélia; ALAMINO, Renata de Carvalho Jimenez. Recursos minerais e sustentabilidade territorial: v. 1. Grandes Minas e Comunidades Locais CETEM/MCTI,</w:t>
      </w:r>
    </w:p>
    <w:p w:rsidR="00D81F69" w:rsidRDefault="00330118">
      <w:pPr>
        <w:tabs>
          <w:tab w:val="left" w:pos="1785"/>
          <w:tab w:val="left" w:pos="4548"/>
        </w:tabs>
        <w:spacing w:before="5"/>
        <w:ind w:left="100"/>
        <w:rPr>
          <w:sz w:val="16"/>
        </w:rPr>
      </w:pPr>
      <w:r>
        <w:rPr>
          <w:sz w:val="16"/>
        </w:rPr>
        <w:t xml:space="preserve">2   0   </w:t>
      </w:r>
      <w:r>
        <w:rPr>
          <w:sz w:val="16"/>
        </w:rPr>
        <w:t xml:space="preserve">1  </w:t>
      </w:r>
      <w:r>
        <w:rPr>
          <w:spacing w:val="35"/>
          <w:sz w:val="16"/>
        </w:rPr>
        <w:t xml:space="preserve"> </w:t>
      </w:r>
      <w:r>
        <w:rPr>
          <w:sz w:val="16"/>
        </w:rPr>
        <w:t xml:space="preserve">1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192"/>
        <w:jc w:val="both"/>
        <w:rPr>
          <w:sz w:val="16"/>
        </w:rPr>
      </w:pPr>
      <w:hyperlink r:id="rId1620">
        <w:r w:rsidR="00330118">
          <w:rPr>
            <w:sz w:val="16"/>
          </w:rPr>
          <w:t>&lt;http://www.cetem.gov.br/workshop/pdf/vol1grandesminas.pdf&gt;.</w:t>
        </w:r>
      </w:hyperlink>
      <w:r w:rsidR="00330118">
        <w:rPr>
          <w:sz w:val="16"/>
        </w:rPr>
        <w:t xml:space="preserve"> Acesso em: 11 nov. 2011.</w:t>
      </w:r>
    </w:p>
    <w:p w:rsidR="00D81F69" w:rsidRDefault="00330118">
      <w:pPr>
        <w:spacing w:before="1" w:line="312" w:lineRule="auto"/>
        <w:ind w:left="100" w:right="194"/>
        <w:jc w:val="both"/>
        <w:rPr>
          <w:sz w:val="16"/>
        </w:rPr>
      </w:pPr>
      <w:r>
        <w:rPr>
          <w:sz w:val="16"/>
        </w:rPr>
        <w:t xml:space="preserve">SCHNELLRATH, Jurgen; SILVA, Antônio Odilon da; SHIMABUKURO, </w:t>
      </w:r>
      <w:r>
        <w:rPr>
          <w:spacing w:val="3"/>
          <w:sz w:val="16"/>
        </w:rPr>
        <w:t xml:space="preserve">Nelson Takessi. Fosfato </w:t>
      </w:r>
      <w:r>
        <w:rPr>
          <w:sz w:val="16"/>
        </w:rPr>
        <w:t xml:space="preserve">- </w:t>
      </w:r>
      <w:r>
        <w:rPr>
          <w:spacing w:val="2"/>
          <w:sz w:val="16"/>
        </w:rPr>
        <w:t xml:space="preserve">mina </w:t>
      </w:r>
      <w:r>
        <w:rPr>
          <w:spacing w:val="1"/>
          <w:sz w:val="16"/>
        </w:rPr>
        <w:t xml:space="preserve">de </w:t>
      </w:r>
      <w:r>
        <w:rPr>
          <w:spacing w:val="3"/>
          <w:sz w:val="16"/>
        </w:rPr>
        <w:t xml:space="preserve">Cajati </w:t>
      </w:r>
      <w:r>
        <w:rPr>
          <w:sz w:val="16"/>
        </w:rPr>
        <w:t xml:space="preserve">– </w:t>
      </w:r>
      <w:r>
        <w:rPr>
          <w:spacing w:val="3"/>
          <w:sz w:val="16"/>
        </w:rPr>
        <w:t xml:space="preserve">Serrana, Centro </w:t>
      </w:r>
      <w:r>
        <w:rPr>
          <w:spacing w:val="5"/>
          <w:sz w:val="16"/>
        </w:rPr>
        <w:t xml:space="preserve">de </w:t>
      </w:r>
      <w:r>
        <w:rPr>
          <w:sz w:val="16"/>
        </w:rPr>
        <w:t xml:space="preserve">Tecnologia Mineral (Cetem), Rio de Janeiro, dez. 2002. Disponível </w:t>
      </w:r>
      <w:r>
        <w:rPr>
          <w:spacing w:val="2"/>
          <w:sz w:val="16"/>
        </w:rPr>
        <w:t xml:space="preserve">em: </w:t>
      </w:r>
      <w:hyperlink r:id="rId1621">
        <w:r>
          <w:rPr>
            <w:spacing w:val="5"/>
            <w:sz w:val="16"/>
          </w:rPr>
          <w:t>http://www.cetem.gov.br/publicacao/CTs/CT2002-187-00.pdf.</w:t>
        </w:r>
      </w:hyperlink>
      <w:r>
        <w:rPr>
          <w:spacing w:val="5"/>
          <w:sz w:val="16"/>
        </w:rPr>
        <w:t xml:space="preserve"> </w:t>
      </w:r>
      <w:r>
        <w:rPr>
          <w:spacing w:val="3"/>
          <w:sz w:val="16"/>
        </w:rPr>
        <w:t xml:space="preserve">Acesso </w:t>
      </w:r>
      <w:r>
        <w:rPr>
          <w:spacing w:val="2"/>
          <w:sz w:val="16"/>
        </w:rPr>
        <w:t xml:space="preserve">em: </w:t>
      </w:r>
      <w:r>
        <w:rPr>
          <w:spacing w:val="1"/>
          <w:sz w:val="16"/>
        </w:rPr>
        <w:t xml:space="preserve">19 </w:t>
      </w:r>
      <w:r>
        <w:rPr>
          <w:spacing w:val="2"/>
          <w:sz w:val="16"/>
        </w:rPr>
        <w:t>ago.</w:t>
      </w:r>
      <w:r>
        <w:rPr>
          <w:spacing w:val="45"/>
          <w:sz w:val="16"/>
        </w:rPr>
        <w:t xml:space="preserve"> </w:t>
      </w:r>
      <w:r>
        <w:rPr>
          <w:spacing w:val="5"/>
          <w:sz w:val="16"/>
        </w:rPr>
        <w:t>2010.</w:t>
      </w:r>
    </w:p>
    <w:p w:rsidR="00D81F69" w:rsidRDefault="00330118">
      <w:pPr>
        <w:spacing w:before="4" w:line="312" w:lineRule="auto"/>
        <w:ind w:left="100" w:right="177"/>
        <w:jc w:val="both"/>
        <w:rPr>
          <w:sz w:val="16"/>
        </w:rPr>
      </w:pPr>
      <w:r>
        <w:rPr>
          <w:sz w:val="16"/>
        </w:rPr>
        <w:t>SILVA, Roberto Mattioli; GIULIETTI, Marco. Fosfogesso: geração, destino, desafios. In: Agrominerais para o Brasil. CETEM/MCT, Rio de Janeiro, 2010. Cap. 7 p.125-14</w:t>
      </w:r>
      <w:r>
        <w:rPr>
          <w:sz w:val="16"/>
        </w:rPr>
        <w:t xml:space="preserve">5. Disponível em: </w:t>
      </w:r>
    </w:p>
    <w:p w:rsidR="00D81F69" w:rsidRDefault="00D81F69">
      <w:pPr>
        <w:spacing w:before="3" w:line="312" w:lineRule="auto"/>
        <w:ind w:left="100" w:right="215"/>
        <w:jc w:val="both"/>
        <w:rPr>
          <w:sz w:val="16"/>
        </w:rPr>
      </w:pPr>
      <w:hyperlink r:id="rId1622">
        <w:r w:rsidR="00330118">
          <w:rPr>
            <w:sz w:val="16"/>
          </w:rPr>
          <w:t xml:space="preserve">&lt;http://www.cetem.gov.br/agrominerais/novolivro/cap7.pdf&gt;. </w:t>
        </w:r>
      </w:hyperlink>
      <w:r w:rsidR="00330118">
        <w:rPr>
          <w:sz w:val="16"/>
        </w:rPr>
        <w:t>Acesso em: 20 abr. 2011.</w:t>
      </w:r>
    </w:p>
    <w:p w:rsidR="00D81F69" w:rsidRDefault="00330118">
      <w:pPr>
        <w:spacing w:before="1" w:line="312" w:lineRule="auto"/>
        <w:ind w:left="100" w:right="197"/>
        <w:jc w:val="both"/>
        <w:rPr>
          <w:sz w:val="16"/>
        </w:rPr>
      </w:pPr>
      <w:r>
        <w:rPr>
          <w:sz w:val="16"/>
        </w:rPr>
        <w:t xml:space="preserve">VALE. Aquisição de controle acionário da Fosfértil e da operação de </w:t>
      </w:r>
      <w:r>
        <w:rPr>
          <w:spacing w:val="17"/>
          <w:sz w:val="16"/>
        </w:rPr>
        <w:t xml:space="preserve">nutrientes  </w:t>
      </w:r>
      <w:r>
        <w:rPr>
          <w:spacing w:val="10"/>
          <w:sz w:val="16"/>
        </w:rPr>
        <w:t xml:space="preserve">da   </w:t>
      </w:r>
      <w:r>
        <w:rPr>
          <w:spacing w:val="16"/>
          <w:sz w:val="16"/>
        </w:rPr>
        <w:t xml:space="preserve">Bunge.   </w:t>
      </w:r>
      <w:r>
        <w:rPr>
          <w:spacing w:val="17"/>
          <w:sz w:val="16"/>
        </w:rPr>
        <w:t xml:space="preserve">Fosfato,  </w:t>
      </w:r>
      <w:r>
        <w:rPr>
          <w:spacing w:val="15"/>
          <w:sz w:val="16"/>
        </w:rPr>
        <w:t xml:space="preserve">2010. </w:t>
      </w:r>
      <w:r>
        <w:rPr>
          <w:spacing w:val="75"/>
          <w:sz w:val="16"/>
        </w:rPr>
        <w:t xml:space="preserve"> </w:t>
      </w:r>
      <w:r>
        <w:rPr>
          <w:spacing w:val="17"/>
          <w:sz w:val="16"/>
        </w:rPr>
        <w:t xml:space="preserve">Disponível </w:t>
      </w:r>
      <w:r>
        <w:rPr>
          <w:spacing w:val="16"/>
          <w:sz w:val="16"/>
        </w:rPr>
        <w:t xml:space="preserve"> </w:t>
      </w:r>
      <w:r>
        <w:rPr>
          <w:spacing w:val="10"/>
          <w:sz w:val="16"/>
        </w:rPr>
        <w:t>em</w:t>
      </w:r>
      <w:r>
        <w:rPr>
          <w:spacing w:val="-23"/>
          <w:sz w:val="16"/>
        </w:rPr>
        <w:t xml:space="preserve"> </w:t>
      </w:r>
    </w:p>
    <w:p w:rsidR="00D81F69" w:rsidRDefault="00D81F69">
      <w:pPr>
        <w:spacing w:before="2" w:line="312" w:lineRule="auto"/>
        <w:ind w:left="100" w:right="136"/>
        <w:rPr>
          <w:sz w:val="16"/>
        </w:rPr>
      </w:pPr>
      <w:hyperlink r:id="rId1623">
        <w:r w:rsidR="00330118">
          <w:rPr>
            <w:sz w:val="16"/>
          </w:rPr>
          <w:t xml:space="preserve">&lt; h t t p : / / w w w . v a l e . c o m / p t - b r / o - q u e - </w:t>
        </w:r>
      </w:hyperlink>
      <w:r w:rsidR="00330118">
        <w:rPr>
          <w:sz w:val="16"/>
        </w:rPr>
        <w:t xml:space="preserve">fazemos/mineracao/potassio/atividades-e-unidades- operacionais/paginas/default.aspx&gt;. Acesso </w:t>
      </w:r>
      <w:r w:rsidR="00330118">
        <w:rPr>
          <w:sz w:val="16"/>
        </w:rPr>
        <w:t>em 13 mar. 2011. VALE FERTILIZANTES. Nosso negócio, 2010. Disponível em;</w:t>
      </w:r>
    </w:p>
    <w:p w:rsidR="00D81F69" w:rsidRDefault="00D81F69">
      <w:pPr>
        <w:spacing w:before="3" w:line="312" w:lineRule="auto"/>
        <w:ind w:left="100" w:right="217"/>
        <w:jc w:val="both"/>
        <w:rPr>
          <w:sz w:val="16"/>
        </w:rPr>
      </w:pPr>
      <w:hyperlink r:id="rId1624">
        <w:r w:rsidR="00330118">
          <w:rPr>
            <w:sz w:val="16"/>
          </w:rPr>
          <w:t xml:space="preserve">&lt;http://www.valefertilizantes.com/valefertilizantes/nosso.asp&gt;. </w:t>
        </w:r>
      </w:hyperlink>
      <w:r w:rsidR="00330118">
        <w:rPr>
          <w:sz w:val="16"/>
        </w:rPr>
        <w:t>Acesso em: 11 nov. 2011.</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239" w:space="231"/>
            <w:col w:w="5310"/>
          </w:cols>
        </w:sectPr>
      </w:pPr>
    </w:p>
    <w:p w:rsidR="00D81F69" w:rsidRDefault="00330118">
      <w:pPr>
        <w:spacing w:before="26"/>
        <w:ind w:right="216"/>
        <w:jc w:val="right"/>
        <w:rPr>
          <w:rFonts w:ascii="Calibri" w:hAnsi="Calibri"/>
          <w:sz w:val="28"/>
        </w:rPr>
      </w:pPr>
      <w:r>
        <w:rPr>
          <w:rFonts w:ascii="Calibri" w:hAnsi="Calibri"/>
          <w:sz w:val="28"/>
        </w:rPr>
        <w:lastRenderedPageBreak/>
        <w:t>REGIÃO SUL</w:t>
      </w:r>
    </w:p>
    <w:p w:rsidR="00D81F69" w:rsidRDefault="00D81F69">
      <w:pPr>
        <w:pStyle w:val="Corpodetexto"/>
        <w:spacing w:before="9"/>
        <w:ind w:left="0"/>
        <w:jc w:val="left"/>
        <w:rPr>
          <w:rFonts w:ascii="Calibri"/>
          <w:sz w:val="22"/>
        </w:rPr>
      </w:pPr>
    </w:p>
    <w:p w:rsidR="00D81F69" w:rsidRDefault="00330118">
      <w:pPr>
        <w:spacing w:before="91"/>
        <w:ind w:left="1481"/>
        <w:rPr>
          <w:b/>
          <w:sz w:val="28"/>
        </w:rPr>
      </w:pPr>
      <w:r>
        <w:rPr>
          <w:b/>
          <w:sz w:val="28"/>
        </w:rPr>
        <w:t>Do carvão às pedras preciosas: Região Sul</w:t>
      </w:r>
    </w:p>
    <w:p w:rsidR="00D81F69" w:rsidRDefault="00D81F69">
      <w:pPr>
        <w:pStyle w:val="Corpodetexto"/>
        <w:spacing w:before="10"/>
        <w:ind w:left="0"/>
        <w:jc w:val="left"/>
        <w:rPr>
          <w:b/>
          <w:sz w:val="27"/>
        </w:rPr>
      </w:pPr>
    </w:p>
    <w:p w:rsidR="00D81F69" w:rsidRDefault="00330118">
      <w:pPr>
        <w:ind w:left="4981" w:right="216" w:hanging="148"/>
        <w:jc w:val="both"/>
        <w:rPr>
          <w:i/>
        </w:rPr>
      </w:pPr>
      <w:r>
        <w:rPr>
          <w:i/>
        </w:rPr>
        <w:t>Renata de Carvalho Jimenez Alamino</w:t>
      </w:r>
      <w:r>
        <w:rPr>
          <w:i/>
          <w:vertAlign w:val="superscript"/>
        </w:rPr>
        <w:t>1</w:t>
      </w:r>
      <w:r>
        <w:rPr>
          <w:i/>
        </w:rPr>
        <w:t xml:space="preserve"> Rodrigo Braga da Rocha Villa Verde</w:t>
      </w:r>
      <w:r>
        <w:rPr>
          <w:i/>
          <w:vertAlign w:val="superscript"/>
        </w:rPr>
        <w:t>2</w:t>
      </w:r>
      <w:r>
        <w:rPr>
          <w:i/>
        </w:rPr>
        <w:t xml:space="preserve"> Francisco Rego Chaves Fernandes</w:t>
      </w:r>
      <w:r>
        <w:rPr>
          <w:i/>
          <w:vertAlign w:val="superscript"/>
        </w:rPr>
        <w:t>3</w:t>
      </w:r>
    </w:p>
    <w:p w:rsidR="00D81F69" w:rsidRDefault="00D81F69">
      <w:pPr>
        <w:pStyle w:val="Corpodetexto"/>
        <w:ind w:left="0"/>
        <w:jc w:val="left"/>
        <w:rPr>
          <w:i/>
          <w:sz w:val="22"/>
        </w:rPr>
      </w:pPr>
    </w:p>
    <w:p w:rsidR="00D81F69" w:rsidRDefault="00330118">
      <w:pPr>
        <w:ind w:left="101" w:right="215"/>
        <w:jc w:val="both"/>
      </w:pPr>
      <w:r>
        <w:t>Desde os tempos do Brasil Colônia, a extração mineral tem uma relação estreita com  a economia, sendo considerada um de seus setores básicos. Além disto, a prática foi também responsável por parte da ocupação territorial e pela criação de empregos, diretos</w:t>
      </w:r>
      <w:r>
        <w:t xml:space="preserve"> e</w:t>
      </w:r>
      <w:r>
        <w:rPr>
          <w:spacing w:val="-1"/>
        </w:rPr>
        <w:t xml:space="preserve"> </w:t>
      </w:r>
      <w:r>
        <w:t>indiretos.</w:t>
      </w:r>
    </w:p>
    <w:p w:rsidR="00D81F69" w:rsidRDefault="00D81F69">
      <w:pPr>
        <w:pStyle w:val="Corpodetexto"/>
        <w:ind w:left="0"/>
        <w:jc w:val="left"/>
        <w:rPr>
          <w:sz w:val="22"/>
        </w:rPr>
      </w:pPr>
    </w:p>
    <w:p w:rsidR="00D81F69" w:rsidRDefault="00330118">
      <w:pPr>
        <w:ind w:left="101" w:right="218" w:hanging="1"/>
        <w:jc w:val="both"/>
      </w:pPr>
      <w:r>
        <w:t>Com 576.774,310 km</w:t>
      </w:r>
      <w:r>
        <w:rPr>
          <w:vertAlign w:val="superscript"/>
        </w:rPr>
        <w:t>2</w:t>
      </w:r>
      <w:r>
        <w:t>, a região Sul apresenta a menor área do país, ocupando cerca de 7% do território brasileiro. Formada pelos estados do Paraná, Santa Catarina e Rio Grande do Sul, conta com 28.795.762 habitantes, segundo estimativa do IBGE</w:t>
      </w:r>
      <w:r>
        <w:t xml:space="preserve"> para 2013 (IBGE, 2013).</w:t>
      </w:r>
    </w:p>
    <w:p w:rsidR="00D81F69" w:rsidRDefault="00D81F69">
      <w:pPr>
        <w:pStyle w:val="Corpodetexto"/>
        <w:spacing w:before="11"/>
        <w:ind w:left="0"/>
        <w:jc w:val="left"/>
        <w:rPr>
          <w:sz w:val="21"/>
        </w:rPr>
      </w:pPr>
    </w:p>
    <w:p w:rsidR="00D81F69" w:rsidRDefault="00330118">
      <w:pPr>
        <w:ind w:left="101" w:right="217"/>
        <w:jc w:val="both"/>
      </w:pPr>
      <w:r>
        <w:t>Apesar de ser a menor região brasileira, cerca de 25% (2.065) das empresas de mineração do país estão aí instaladas, segundo o Departamento Nacional de Produção Mineral (DNPM), ficando atrás apenas da região Sudeste. Do total</w:t>
      </w:r>
      <w:r>
        <w:rPr>
          <w:spacing w:val="38"/>
        </w:rPr>
        <w:t xml:space="preserve"> </w:t>
      </w:r>
      <w:r>
        <w:t>de</w:t>
      </w:r>
    </w:p>
    <w:p w:rsidR="00D81F69" w:rsidRDefault="00330118">
      <w:pPr>
        <w:ind w:left="101" w:right="218"/>
        <w:jc w:val="both"/>
      </w:pPr>
      <w:r>
        <w:t>233.466 postos de trabalho da indústria extrativa mineral, a região contribuiu com 7% do crescimento do estoque da mão de obra em 2011 (IBRAM, 2012).</w:t>
      </w:r>
    </w:p>
    <w:p w:rsidR="00D81F69" w:rsidRDefault="00D81F69">
      <w:pPr>
        <w:pStyle w:val="Corpodetexto"/>
        <w:ind w:left="0"/>
        <w:jc w:val="left"/>
        <w:rPr>
          <w:sz w:val="22"/>
        </w:rPr>
      </w:pPr>
    </w:p>
    <w:p w:rsidR="00D81F69" w:rsidRDefault="00330118">
      <w:pPr>
        <w:ind w:left="101" w:right="217"/>
        <w:jc w:val="both"/>
      </w:pPr>
      <w:r>
        <w:t>No Sul, destacam-se os depósitos minerais de ametista, agregados, ouro e caulim, no Rio Grande do Sul; ca</w:t>
      </w:r>
      <w:r>
        <w:t>rvão (principalmente em Criciúma) e caulim, em Santa Catarina; talco (em Ponta Grossa), caulim e ouro no Paraná (IBRAM, 2012).</w:t>
      </w:r>
    </w:p>
    <w:p w:rsidR="00D81F69" w:rsidRDefault="00D81F69">
      <w:pPr>
        <w:pStyle w:val="Corpodetexto"/>
        <w:spacing w:before="11"/>
        <w:ind w:left="0"/>
        <w:jc w:val="left"/>
        <w:rPr>
          <w:sz w:val="21"/>
        </w:rPr>
      </w:pPr>
    </w:p>
    <w:p w:rsidR="00D81F69" w:rsidRDefault="00330118">
      <w:pPr>
        <w:ind w:left="101" w:right="215"/>
        <w:jc w:val="both"/>
      </w:pPr>
      <w:r>
        <w:t xml:space="preserve">Depois de Minas Gerais, o Rio Grande do Sul é a província mineral de maior expressão em produção de pedras preciosas do Brasil. </w:t>
      </w:r>
      <w:r>
        <w:t>As áreas que mais produzem gemas são: o Médio Alto Uruguai, próximo à divisa com Santa Catarina, com ametista, e a região Lajeado – Soledade – Salto do Jacuí, no centro do estado, rica em ágata (BRANCO; GIL, 2002). A atividade de extração virou atração tur</w:t>
      </w:r>
      <w:r>
        <w:t>ística: existe  um roteiro que explora a cadeia de produção de gemas, com destaque especial para a ametista, percorrendo desde a localização da mina, passando pelas etapas de extração, lapidação e comercialização (SETUR, 2013).</w:t>
      </w:r>
    </w:p>
    <w:p w:rsidR="00D81F69" w:rsidRDefault="00D81F69">
      <w:pPr>
        <w:pStyle w:val="Corpodetexto"/>
        <w:spacing w:before="11"/>
        <w:ind w:left="0"/>
        <w:jc w:val="left"/>
        <w:rPr>
          <w:sz w:val="21"/>
        </w:rPr>
      </w:pPr>
    </w:p>
    <w:p w:rsidR="00D81F69" w:rsidRDefault="00330118">
      <w:pPr>
        <w:ind w:left="101" w:right="217"/>
        <w:jc w:val="both"/>
      </w:pPr>
      <w:r>
        <w:t>O estado do Rio Grande do S</w:t>
      </w:r>
      <w:r>
        <w:t>ul detém cerca de 90% das reservas nacionais de carvão mineral do país, enquanto Santa Catarina e Paraná respondem por cerca de 10% e 0,5%, respectivamente. Apesar de as reservas brasileiras ocuparem o 10º lugar no ranking mundial, elas correspondem a meno</w:t>
      </w:r>
      <w:r>
        <w:t>s de 1% das reservas totais (ANEEL, 2009).</w:t>
      </w:r>
    </w:p>
    <w:p w:rsidR="00D81F69" w:rsidRDefault="00D81F69">
      <w:pPr>
        <w:pStyle w:val="Corpodetexto"/>
        <w:ind w:left="0"/>
        <w:jc w:val="left"/>
        <w:rPr>
          <w:sz w:val="22"/>
        </w:rPr>
      </w:pPr>
    </w:p>
    <w:p w:rsidR="00D81F69" w:rsidRDefault="00330118">
      <w:pPr>
        <w:ind w:left="101" w:right="215"/>
        <w:jc w:val="both"/>
      </w:pPr>
      <w:r>
        <w:t>As maiores jazidas de carvão situam-se nos estados do Rio Grande do Sul e Santa Catarina. Somente a jazida de Candiota (RS) detém 38% de todo o carvão nacional (ANEEL, 2009). Apesar disso, Santa Catarina é o únic</w:t>
      </w:r>
      <w:r>
        <w:t>o estado da região Sul que figura na lista dos principais investimentos do setor mineral, em carvão, previstos no país para o período 2012 - 2016 (IBRAM,</w:t>
      </w:r>
      <w:r>
        <w:rPr>
          <w:spacing w:val="-2"/>
        </w:rPr>
        <w:t xml:space="preserve"> </w:t>
      </w:r>
      <w:r>
        <w:t>2012).</w:t>
      </w:r>
    </w:p>
    <w:p w:rsidR="00D81F69" w:rsidRDefault="00D81F69">
      <w:pPr>
        <w:pStyle w:val="Corpodetexto"/>
        <w:ind w:left="0"/>
        <w:jc w:val="left"/>
        <w:rPr>
          <w:sz w:val="20"/>
        </w:rPr>
      </w:pPr>
    </w:p>
    <w:p w:rsidR="00D81F69" w:rsidRDefault="00D81F69">
      <w:pPr>
        <w:pStyle w:val="Corpodetexto"/>
        <w:spacing w:before="7"/>
        <w:ind w:left="0"/>
        <w:jc w:val="left"/>
        <w:rPr>
          <w:sz w:val="16"/>
        </w:rPr>
      </w:pPr>
      <w:r w:rsidRPr="00D81F69">
        <w:pict>
          <v:line id="_x0000_s1026" style="position:absolute;z-index:6424;mso-wrap-distance-left:0;mso-wrap-distance-right:0;mso-position-horizontal-relative:page" from="85.1pt,11.95pt" to="229.1pt,11.95pt" strokeweight=".72pt">
            <w10:wrap type="topAndBottom" anchorx="page"/>
          </v:line>
        </w:pict>
      </w:r>
    </w:p>
    <w:p w:rsidR="00D81F69" w:rsidRDefault="00330118">
      <w:pPr>
        <w:pStyle w:val="Corpodetexto"/>
        <w:spacing w:before="35"/>
        <w:ind w:left="101" w:right="215" w:hanging="1"/>
      </w:pPr>
      <w:r>
        <w:rPr>
          <w:position w:val="9"/>
          <w:sz w:val="12"/>
        </w:rPr>
        <w:t xml:space="preserve">1 </w:t>
      </w:r>
      <w:r>
        <w:t>Doutorado em Geologia pela Universidade Federal do Rio de Janeiro (UFRJ). Bolsista do Prog</w:t>
      </w:r>
      <w:r>
        <w:t xml:space="preserve">rama de Capacitação Institucional do Ministério da Ciência, Tecnologia e Inovação / CNPq-CETEM. Contato: </w:t>
      </w:r>
      <w:hyperlink r:id="rId1625">
        <w:r>
          <w:t>ralamino@cetem.gov.br</w:t>
        </w:r>
      </w:hyperlink>
    </w:p>
    <w:p w:rsidR="00D81F69" w:rsidRDefault="00330118">
      <w:pPr>
        <w:pStyle w:val="Corpodetexto"/>
        <w:spacing w:line="206" w:lineRule="exact"/>
        <w:ind w:left="101"/>
        <w:jc w:val="left"/>
      </w:pPr>
      <w:r>
        <w:rPr>
          <w:position w:val="9"/>
          <w:sz w:val="12"/>
        </w:rPr>
        <w:t xml:space="preserve">2 </w:t>
      </w:r>
      <w:r>
        <w:t>Geógrafo pela Universidade Federal do Rio de Janeiro (UFRJ). Historiador pela Universidade Federal do</w:t>
      </w:r>
    </w:p>
    <w:p w:rsidR="00D81F69" w:rsidRDefault="00330118">
      <w:pPr>
        <w:pStyle w:val="Corpodetexto"/>
        <w:ind w:left="101" w:right="219"/>
      </w:pPr>
      <w:r>
        <w:t>Estado do Rio de Janeiro (UNIRIO). Bolsista do Programa de Capacitação Institucional do Ministério da Ciência, Tecnologia e Inovação / CNPq-CETEM. Contato</w:t>
      </w:r>
      <w:r>
        <w:t xml:space="preserve">: </w:t>
      </w:r>
      <w:hyperlink r:id="rId1626">
        <w:r>
          <w:t>rrocha@cetem.gov.br</w:t>
        </w:r>
      </w:hyperlink>
    </w:p>
    <w:p w:rsidR="00D81F69" w:rsidRDefault="00330118">
      <w:pPr>
        <w:pStyle w:val="Corpodetexto"/>
        <w:spacing w:before="5" w:line="206" w:lineRule="exact"/>
        <w:ind w:left="101" w:right="219"/>
      </w:pPr>
      <w:r>
        <w:rPr>
          <w:position w:val="9"/>
          <w:sz w:val="12"/>
        </w:rPr>
        <w:t xml:space="preserve">3 </w:t>
      </w:r>
      <w:r>
        <w:t xml:space="preserve">Pós-Doutorado em Desenvolvimento Sustentável e Recursos Minerais pela Universidade do Porto. Tecnologista Sênior do Centro de Tecnologia Mineral – CETEM. Contato: </w:t>
      </w:r>
      <w:hyperlink r:id="rId1627">
        <w:r>
          <w:t>ffernandes@cetem.gov.br</w:t>
        </w:r>
      </w:hyperlink>
    </w:p>
    <w:p w:rsidR="00D81F69" w:rsidRDefault="00D81F69">
      <w:pPr>
        <w:spacing w:line="206" w:lineRule="exact"/>
        <w:sectPr w:rsidR="00D81F69">
          <w:pgSz w:w="11910" w:h="16840"/>
          <w:pgMar w:top="680" w:right="1480" w:bottom="720" w:left="1600" w:header="0" w:footer="402" w:gutter="0"/>
          <w:cols w:space="720"/>
        </w:sectPr>
      </w:pPr>
    </w:p>
    <w:p w:rsidR="00D81F69" w:rsidRDefault="00330118">
      <w:pPr>
        <w:pStyle w:val="Heading3"/>
        <w:ind w:left="7233"/>
      </w:pPr>
      <w:r>
        <w:lastRenderedPageBreak/>
        <w:t>REGIÃO SUL</w:t>
      </w:r>
    </w:p>
    <w:p w:rsidR="00D81F69" w:rsidRDefault="00D81F69">
      <w:pPr>
        <w:pStyle w:val="Corpodetexto"/>
        <w:ind w:left="0"/>
        <w:jc w:val="left"/>
        <w:rPr>
          <w:rFonts w:ascii="Calibri"/>
          <w:sz w:val="30"/>
        </w:rPr>
      </w:pPr>
    </w:p>
    <w:p w:rsidR="00D81F69" w:rsidRDefault="00330118">
      <w:pPr>
        <w:pStyle w:val="Heading5"/>
        <w:spacing w:before="1"/>
        <w:ind w:right="214"/>
      </w:pPr>
      <w:r>
        <w:t>Neste livro, a região Sul é representada por 10 verbetes: cinco no Paraná, quatro no Rio Grande do Sul e um em Santa Catarina. Destes, quatro falam sobre ca</w:t>
      </w:r>
      <w:r>
        <w:t>rvão, dois sobre chumbo, e os restantes quatro, sobre ouro, cobre, gemas e rocha fosfática.</w:t>
      </w:r>
    </w:p>
    <w:p w:rsidR="00D81F69" w:rsidRDefault="00D81F69">
      <w:pPr>
        <w:pStyle w:val="Corpodetexto"/>
        <w:spacing w:before="10"/>
        <w:ind w:left="0"/>
        <w:jc w:val="left"/>
        <w:rPr>
          <w:sz w:val="21"/>
        </w:rPr>
      </w:pPr>
    </w:p>
    <w:p w:rsidR="00D81F69" w:rsidRDefault="00330118">
      <w:pPr>
        <w:spacing w:before="1"/>
        <w:ind w:left="101" w:right="216"/>
        <w:jc w:val="both"/>
      </w:pPr>
      <w:r>
        <w:t>Pode-se afirmar que a questão ambiental, anteriormente ignorada, já começa a ganhar a devida importância. Exemplo disso é que dois verbetes dizem respeito a empree</w:t>
      </w:r>
      <w:r>
        <w:t>ndimentos minerais impedidos de se instalar na região por força popular e ações na Justiça devido a questões ambientais. No município de Anitápolis (SC), a Licença Ambiental Prévia (LAP) para a instalação de uma fosfateira foi suspensa por meio de uma limi</w:t>
      </w:r>
      <w:r>
        <w:t>nar da Justiça Federal. Em Mauá da Serra (PR), em função de falhas apresentadas no projeto de proteção ambiental, uma recicladora de chumbo teve sua Licença de Operação (LO) também suspensa pela Justiça.</w:t>
      </w:r>
    </w:p>
    <w:p w:rsidR="00D81F69" w:rsidRDefault="00D81F69">
      <w:pPr>
        <w:pStyle w:val="Corpodetexto"/>
        <w:spacing w:before="10"/>
        <w:ind w:left="0"/>
        <w:jc w:val="left"/>
        <w:rPr>
          <w:sz w:val="21"/>
        </w:rPr>
      </w:pPr>
    </w:p>
    <w:p w:rsidR="00D81F69" w:rsidRDefault="00330118">
      <w:pPr>
        <w:ind w:left="101" w:right="218"/>
        <w:jc w:val="both"/>
      </w:pPr>
      <w:r>
        <w:t>Na maioria dos demais estudos de casos, os empreend</w:t>
      </w:r>
      <w:r>
        <w:t>imentos estão funcionando há mais de 20 anos e são caracterizados como indústrias de transformação, a exemplo de siderúrgicas, termoelétricas, dentre outras, e que abrangem mais de um</w:t>
      </w:r>
      <w:r>
        <w:rPr>
          <w:spacing w:val="-16"/>
        </w:rPr>
        <w:t xml:space="preserve"> </w:t>
      </w:r>
      <w:r>
        <w:t>município.</w:t>
      </w:r>
    </w:p>
    <w:p w:rsidR="00D81F69" w:rsidRDefault="00D81F69">
      <w:pPr>
        <w:pStyle w:val="Corpodetexto"/>
        <w:spacing w:before="1"/>
        <w:ind w:left="0"/>
        <w:jc w:val="left"/>
        <w:rPr>
          <w:sz w:val="22"/>
        </w:rPr>
      </w:pPr>
    </w:p>
    <w:p w:rsidR="00D81F69" w:rsidRDefault="00330118">
      <w:pPr>
        <w:ind w:left="101" w:right="216"/>
        <w:jc w:val="both"/>
      </w:pPr>
      <w:r>
        <w:t>A população que convive com os empreendimentos estudados nes</w:t>
      </w:r>
      <w:r>
        <w:t xml:space="preserve">te capítulo reside em municípios de pequeno porte. Os impactos socioeconômicos apurados na região dizem respeito, especialmente, a danos à saúde, como é o caso do município de Candiota (RS), cujos moradores convivem com resíduos da queima de carvão de uma </w:t>
      </w:r>
      <w:r>
        <w:t>termoelétrica; ao empobrecimento da população, como o que ocorreu no município de Caçapava do Sul (RS), devido ao fechamento da mineração, o que causou a evasão da população; e a questões</w:t>
      </w:r>
      <w:r>
        <w:rPr>
          <w:spacing w:val="-1"/>
        </w:rPr>
        <w:t xml:space="preserve"> </w:t>
      </w:r>
      <w:r>
        <w:t>fundiárias.</w:t>
      </w:r>
    </w:p>
    <w:p w:rsidR="00D81F69" w:rsidRDefault="00D81F69">
      <w:pPr>
        <w:pStyle w:val="Corpodetexto"/>
        <w:spacing w:before="11"/>
        <w:ind w:left="0"/>
        <w:jc w:val="left"/>
        <w:rPr>
          <w:sz w:val="21"/>
        </w:rPr>
      </w:pPr>
    </w:p>
    <w:p w:rsidR="00D81F69" w:rsidRDefault="00330118">
      <w:pPr>
        <w:ind w:left="101" w:right="216"/>
        <w:jc w:val="both"/>
      </w:pPr>
      <w:r>
        <w:t xml:space="preserve">Vale lembrar que o carvão é uma das formas de produção </w:t>
      </w:r>
      <w:r>
        <w:t>de energia mais agressivas ao meio ambiente. Mesmo que sua extração/utilização gere benefícios econômicos, os processos de produção, extração e combustão provocam significativos impactos socioambientais (ANEEL, 2009).</w:t>
      </w:r>
    </w:p>
    <w:p w:rsidR="00D81F69" w:rsidRDefault="00D81F69">
      <w:pPr>
        <w:pStyle w:val="Corpodetexto"/>
        <w:ind w:left="0"/>
        <w:jc w:val="left"/>
        <w:rPr>
          <w:sz w:val="22"/>
        </w:rPr>
      </w:pPr>
    </w:p>
    <w:p w:rsidR="00D81F69" w:rsidRDefault="00330118">
      <w:pPr>
        <w:ind w:left="101" w:right="216"/>
        <w:jc w:val="both"/>
      </w:pPr>
      <w:r>
        <w:t>As questões ambientais estão relacion</w:t>
      </w:r>
      <w:r>
        <w:t>adas à deposição inadequada de resíduos, o que leva à contaminação das águas, como em São Martinho da Serra (RS), onde uma pesquisa apontou que a atividade garimpeira tem influência direta na qualidade das águas da bacia do rio Ibicuí Mirim; poluição dos s</w:t>
      </w:r>
      <w:r>
        <w:t xml:space="preserve">olos, a exemplo da contaminação por mercúrio, em Lavras do Sul (RS), oriunda da garimpagem do ouro; e o assoreamento dos córregos e rios da região devido à construção de barragens de rejeito. Além disso, também foram relatadas poluição atmosférica causada </w:t>
      </w:r>
      <w:r>
        <w:t>por uma antiga metalúrgica de chumbo em Adrianópolis (PR), problemas de minas abandonadas, e um rompimento de</w:t>
      </w:r>
      <w:r>
        <w:rPr>
          <w:spacing w:val="-1"/>
        </w:rPr>
        <w:t xml:space="preserve"> </w:t>
      </w:r>
      <w:r>
        <w:t>barragem.</w:t>
      </w:r>
    </w:p>
    <w:p w:rsidR="00D81F69" w:rsidRDefault="00D81F69">
      <w:pPr>
        <w:pStyle w:val="Corpodetexto"/>
        <w:spacing w:before="11"/>
        <w:ind w:left="0"/>
        <w:jc w:val="left"/>
        <w:rPr>
          <w:sz w:val="21"/>
        </w:rPr>
      </w:pPr>
    </w:p>
    <w:p w:rsidR="00D81F69" w:rsidRDefault="00330118">
      <w:pPr>
        <w:ind w:left="101" w:right="217"/>
        <w:jc w:val="both"/>
      </w:pPr>
      <w:r>
        <w:t>Ainda em relação ao meio ambiente, houve nove relatos de contaminação por substâncias tóxicas: seis por metais pesados, sendo uma por mercúrio decorrente da garimpagem do ouro, em Lavras do Sul (RS), e três por arsênio, no Vale do Ribeira (PR/SP), em Figue</w:t>
      </w:r>
      <w:r>
        <w:t>ira (PR), e na região do Complexo Estuarino da Baía de Paranaguá (PR).</w:t>
      </w:r>
    </w:p>
    <w:p w:rsidR="00D81F69" w:rsidRDefault="00D81F69">
      <w:pPr>
        <w:pStyle w:val="Corpodetexto"/>
        <w:spacing w:before="1"/>
        <w:ind w:left="0"/>
        <w:jc w:val="left"/>
        <w:rPr>
          <w:sz w:val="22"/>
        </w:rPr>
      </w:pPr>
    </w:p>
    <w:p w:rsidR="00D81F69" w:rsidRDefault="00330118">
      <w:pPr>
        <w:ind w:left="101"/>
        <w:jc w:val="both"/>
        <w:rPr>
          <w:b/>
        </w:rPr>
      </w:pPr>
      <w:r>
        <w:rPr>
          <w:b/>
        </w:rPr>
        <w:t>Cenário da mineração no Rio Grande do Sul</w:t>
      </w:r>
    </w:p>
    <w:p w:rsidR="00D81F69" w:rsidRDefault="00D81F69">
      <w:pPr>
        <w:pStyle w:val="Corpodetexto"/>
        <w:spacing w:before="11"/>
        <w:ind w:left="0"/>
        <w:jc w:val="left"/>
        <w:rPr>
          <w:b/>
          <w:sz w:val="21"/>
        </w:rPr>
      </w:pPr>
    </w:p>
    <w:p w:rsidR="00D81F69" w:rsidRDefault="00330118">
      <w:pPr>
        <w:ind w:left="101" w:right="214"/>
        <w:jc w:val="both"/>
      </w:pPr>
      <w:r>
        <w:t xml:space="preserve">O estado do Rio Grande do Sul registra o quarto maior Produto Interno Bruto (PIB) do país (R$ 296 bilhões em 2012), perdendo apenas para São </w:t>
      </w:r>
      <w:r>
        <w:t>Paulo, Rio de Janeiro e Minas Gerais. Grande parte da pujança econômica rio-grandense provém do setor de serviços e da indústria (RIO, 2013). O estado possui ainda o controle da Companhia Riograndense de Mineração (CRM), detentora de três bilhões de tonela</w:t>
      </w:r>
      <w:r>
        <w:t>das de carvão com potencial para lavra. Os principais destinos da produção são as termoelétricas movidas a carvão (CRM, 2013).</w:t>
      </w:r>
    </w:p>
    <w:p w:rsidR="00D81F69" w:rsidRDefault="00D81F69">
      <w:pPr>
        <w:jc w:val="both"/>
        <w:sectPr w:rsidR="00D81F69">
          <w:pgSz w:w="11910" w:h="16840"/>
          <w:pgMar w:top="680" w:right="1480" w:bottom="720" w:left="1600" w:header="0" w:footer="402" w:gutter="0"/>
          <w:cols w:space="720"/>
        </w:sectPr>
      </w:pPr>
    </w:p>
    <w:p w:rsidR="00D81F69" w:rsidRDefault="00330118">
      <w:pPr>
        <w:spacing w:before="26"/>
        <w:ind w:left="7233"/>
        <w:rPr>
          <w:rFonts w:ascii="Calibri" w:hAnsi="Calibri"/>
          <w:sz w:val="28"/>
        </w:rPr>
      </w:pPr>
      <w:r>
        <w:rPr>
          <w:rFonts w:ascii="Calibri" w:hAnsi="Calibri"/>
          <w:sz w:val="28"/>
        </w:rPr>
        <w:lastRenderedPageBreak/>
        <w:t>REGIÃO SUL</w:t>
      </w:r>
    </w:p>
    <w:p w:rsidR="00D81F69" w:rsidRDefault="00D81F69">
      <w:pPr>
        <w:pStyle w:val="Corpodetexto"/>
        <w:ind w:left="0"/>
        <w:jc w:val="left"/>
        <w:rPr>
          <w:rFonts w:ascii="Calibri"/>
          <w:sz w:val="28"/>
        </w:rPr>
      </w:pPr>
    </w:p>
    <w:p w:rsidR="00D81F69" w:rsidRDefault="00D81F69">
      <w:pPr>
        <w:pStyle w:val="Corpodetexto"/>
        <w:spacing w:before="9"/>
        <w:ind w:left="0"/>
        <w:jc w:val="left"/>
        <w:rPr>
          <w:rFonts w:ascii="Calibri"/>
          <w:sz w:val="22"/>
        </w:rPr>
      </w:pPr>
    </w:p>
    <w:p w:rsidR="00D81F69" w:rsidRDefault="00330118">
      <w:pPr>
        <w:spacing w:before="1"/>
        <w:ind w:left="101" w:right="215"/>
        <w:jc w:val="both"/>
      </w:pPr>
      <w:r>
        <w:t>Os estudos de casos relativos ao estado estão em operação há mais de 20 anos, com exceção de um. S</w:t>
      </w:r>
      <w:r>
        <w:t>ão abordados empreendimentos que atuam na exploração de carvão mineral, ouro, cobre e gemas. As atividades produtivas estão distribuídas entre minas, garimpo, Arranjo Produtivo Local (APL), indústria de transformação e usina termoelétrica.</w:t>
      </w:r>
    </w:p>
    <w:p w:rsidR="00D81F69" w:rsidRDefault="00D81F69">
      <w:pPr>
        <w:pStyle w:val="Corpodetexto"/>
        <w:spacing w:before="11"/>
        <w:ind w:left="0"/>
        <w:jc w:val="left"/>
        <w:rPr>
          <w:sz w:val="21"/>
        </w:rPr>
      </w:pPr>
    </w:p>
    <w:p w:rsidR="00D81F69" w:rsidRDefault="00330118">
      <w:pPr>
        <w:ind w:left="101" w:right="216" w:firstLine="61"/>
        <w:jc w:val="both"/>
      </w:pPr>
      <w:r>
        <w:rPr>
          <w:noProof/>
          <w:lang w:val="pt-BR" w:eastAsia="pt-BR"/>
        </w:rPr>
        <w:drawing>
          <wp:anchor distT="0" distB="0" distL="0" distR="0" simplePos="0" relativeHeight="6448" behindDoc="0" locked="0" layoutInCell="1" allowOverlap="1">
            <wp:simplePos x="0" y="0"/>
            <wp:positionH relativeFrom="page">
              <wp:posOffset>1109034</wp:posOffset>
            </wp:positionH>
            <wp:positionV relativeFrom="paragraph">
              <wp:posOffset>890432</wp:posOffset>
            </wp:positionV>
            <wp:extent cx="5456899" cy="1333500"/>
            <wp:effectExtent l="0" t="0" r="0" b="0"/>
            <wp:wrapTopAndBottom/>
            <wp:docPr id="45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43.png"/>
                    <pic:cNvPicPr/>
                  </pic:nvPicPr>
                  <pic:blipFill>
                    <a:blip r:embed="rId1628" cstate="print"/>
                    <a:stretch>
                      <a:fillRect/>
                    </a:stretch>
                  </pic:blipFill>
                  <pic:spPr>
                    <a:xfrm>
                      <a:off x="0" y="0"/>
                      <a:ext cx="5456899" cy="1333500"/>
                    </a:xfrm>
                    <a:prstGeom prst="rect">
                      <a:avLst/>
                    </a:prstGeom>
                  </pic:spPr>
                </pic:pic>
              </a:graphicData>
            </a:graphic>
          </wp:anchor>
        </w:drawing>
      </w:r>
      <w:r>
        <w:t>As populações impactadas vivem nos centros urbanos dos municípios onde os empreendimentos estão situados e também em cidades vizinhas. Quanto  à demografia dessas localidades, em todos os casos, não há cidades com mais que 50 mil habitantes. Os impactos ne</w:t>
      </w:r>
      <w:r>
        <w:t>gativos notados perpassam pela questão fundiária e o empobrecimento da população (Gráfico</w:t>
      </w:r>
      <w:r>
        <w:rPr>
          <w:spacing w:val="-1"/>
        </w:rPr>
        <w:t xml:space="preserve"> </w:t>
      </w:r>
      <w:r>
        <w:t>1).</w:t>
      </w:r>
    </w:p>
    <w:p w:rsidR="00D81F69" w:rsidRDefault="00330118">
      <w:pPr>
        <w:pStyle w:val="Corpodetexto"/>
        <w:spacing w:before="98"/>
        <w:ind w:left="101"/>
      </w:pPr>
      <w:r>
        <w:t>Gráfico 1. Associação da exploração mineral a impactos negativos no estado do Rio Grande do Sul.</w:t>
      </w:r>
    </w:p>
    <w:p w:rsidR="00D81F69" w:rsidRDefault="00D81F69">
      <w:pPr>
        <w:pStyle w:val="Corpodetexto"/>
        <w:ind w:left="0"/>
        <w:jc w:val="left"/>
        <w:rPr>
          <w:sz w:val="20"/>
        </w:rPr>
      </w:pPr>
    </w:p>
    <w:p w:rsidR="00D81F69" w:rsidRDefault="00D81F69">
      <w:pPr>
        <w:pStyle w:val="Corpodetexto"/>
        <w:spacing w:before="1"/>
        <w:ind w:left="0"/>
        <w:jc w:val="left"/>
        <w:rPr>
          <w:sz w:val="24"/>
        </w:rPr>
      </w:pPr>
    </w:p>
    <w:p w:rsidR="00D81F69" w:rsidRDefault="00330118">
      <w:pPr>
        <w:pStyle w:val="Heading5"/>
        <w:spacing w:before="1"/>
        <w:ind w:right="217"/>
      </w:pPr>
      <w:r>
        <w:rPr>
          <w:noProof/>
          <w:lang w:val="pt-BR" w:eastAsia="pt-BR"/>
        </w:rPr>
        <w:drawing>
          <wp:anchor distT="0" distB="0" distL="0" distR="0" simplePos="0" relativeHeight="6472" behindDoc="0" locked="0" layoutInCell="1" allowOverlap="1">
            <wp:simplePos x="0" y="0"/>
            <wp:positionH relativeFrom="page">
              <wp:posOffset>1108776</wp:posOffset>
            </wp:positionH>
            <wp:positionV relativeFrom="paragraph">
              <wp:posOffset>730669</wp:posOffset>
            </wp:positionV>
            <wp:extent cx="5350051" cy="3067431"/>
            <wp:effectExtent l="0" t="0" r="0" b="0"/>
            <wp:wrapTopAndBottom/>
            <wp:docPr id="457"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44.png"/>
                    <pic:cNvPicPr/>
                  </pic:nvPicPr>
                  <pic:blipFill>
                    <a:blip r:embed="rId1629" cstate="print"/>
                    <a:stretch>
                      <a:fillRect/>
                    </a:stretch>
                  </pic:blipFill>
                  <pic:spPr>
                    <a:xfrm>
                      <a:off x="0" y="0"/>
                      <a:ext cx="5350051" cy="3067431"/>
                    </a:xfrm>
                    <a:prstGeom prst="rect">
                      <a:avLst/>
                    </a:prstGeom>
                  </pic:spPr>
                </pic:pic>
              </a:graphicData>
            </a:graphic>
          </wp:anchor>
        </w:drawing>
      </w:r>
      <w:r>
        <w:t>Os problemas ambientais comumente relatados relacionam-se com recursos hídricos (poluição e assoreamento de rios), deposição de resíduos e degradação da paisagem. Verifica-se ainda abandono de mina, rompimento de barragem, contaminação do solo e do ar (Grá</w:t>
      </w:r>
      <w:r>
        <w:t>fico</w:t>
      </w:r>
      <w:r>
        <w:rPr>
          <w:spacing w:val="-1"/>
        </w:rPr>
        <w:t xml:space="preserve"> </w:t>
      </w:r>
      <w:r>
        <w:t>2).</w:t>
      </w:r>
    </w:p>
    <w:p w:rsidR="00D81F69" w:rsidRDefault="00330118">
      <w:pPr>
        <w:pStyle w:val="Corpodetexto"/>
        <w:spacing w:before="78"/>
        <w:ind w:left="101" w:right="305"/>
      </w:pPr>
      <w:r>
        <w:t>Gráfico 2. Impactos ambientais negativos da exploração mineral listados nos estudos de casos do estado do Rio Grande do Sul.</w:t>
      </w:r>
    </w:p>
    <w:p w:rsidR="00D81F69" w:rsidRDefault="00D81F69">
      <w:pPr>
        <w:pStyle w:val="Corpodetexto"/>
        <w:ind w:left="0"/>
        <w:jc w:val="left"/>
        <w:rPr>
          <w:sz w:val="20"/>
        </w:rPr>
      </w:pPr>
    </w:p>
    <w:p w:rsidR="00D81F69" w:rsidRDefault="00D81F69">
      <w:pPr>
        <w:pStyle w:val="Corpodetexto"/>
        <w:spacing w:before="8"/>
        <w:ind w:left="0"/>
        <w:jc w:val="left"/>
        <w:rPr>
          <w:sz w:val="22"/>
        </w:rPr>
      </w:pPr>
    </w:p>
    <w:p w:rsidR="00D81F69" w:rsidRDefault="00330118">
      <w:pPr>
        <w:pStyle w:val="Heading5"/>
        <w:ind w:right="216"/>
      </w:pPr>
      <w:r>
        <w:t>Quanto aos problemas relacionados à poluição, o Gráfico 3 registra como contaminantes, na maioria das vezes, o asbesto e</w:t>
      </w:r>
      <w:r>
        <w:t xml:space="preserve"> demais substâncias intrínsecas à geologia das áreas exploradas economicamente pela indústria mineral no Rio Grande</w:t>
      </w:r>
    </w:p>
    <w:p w:rsidR="00D81F69" w:rsidRDefault="00D81F69">
      <w:pPr>
        <w:sectPr w:rsidR="00D81F69">
          <w:pgSz w:w="11910" w:h="16840"/>
          <w:pgMar w:top="680" w:right="1480" w:bottom="720" w:left="1600" w:header="0" w:footer="402" w:gutter="0"/>
          <w:cols w:space="720"/>
        </w:sectPr>
      </w:pPr>
    </w:p>
    <w:p w:rsidR="00D81F69" w:rsidRDefault="00330118">
      <w:pPr>
        <w:spacing w:before="26"/>
        <w:ind w:left="7233"/>
        <w:rPr>
          <w:rFonts w:ascii="Calibri" w:hAnsi="Calibri"/>
          <w:sz w:val="28"/>
        </w:rPr>
      </w:pPr>
      <w:r>
        <w:rPr>
          <w:rFonts w:ascii="Calibri" w:hAnsi="Calibri"/>
          <w:sz w:val="28"/>
        </w:rPr>
        <w:lastRenderedPageBreak/>
        <w:t>REGIÃO SUL</w:t>
      </w:r>
    </w:p>
    <w:p w:rsidR="00D81F69" w:rsidRDefault="00D81F69">
      <w:pPr>
        <w:pStyle w:val="Corpodetexto"/>
        <w:ind w:left="0"/>
        <w:jc w:val="left"/>
        <w:rPr>
          <w:rFonts w:ascii="Calibri"/>
          <w:sz w:val="30"/>
        </w:rPr>
      </w:pPr>
    </w:p>
    <w:p w:rsidR="00D81F69" w:rsidRDefault="00330118">
      <w:pPr>
        <w:spacing w:before="1"/>
        <w:ind w:left="101" w:right="217"/>
        <w:jc w:val="both"/>
      </w:pPr>
      <w:r>
        <w:t>do Sul. É urgente, portanto, que a tecnologia mineral e as boas práticas da gestão venham a sanar a atual situ</w:t>
      </w:r>
      <w:r>
        <w:t>ação das áreas exploradas e que por ventura sofreram contaminação.</w:t>
      </w:r>
    </w:p>
    <w:p w:rsidR="00D81F69" w:rsidRDefault="00330118">
      <w:pPr>
        <w:pStyle w:val="Corpodetexto"/>
        <w:spacing w:before="5"/>
        <w:ind w:left="0"/>
        <w:jc w:val="left"/>
        <w:rPr>
          <w:sz w:val="15"/>
        </w:rPr>
      </w:pPr>
      <w:r>
        <w:rPr>
          <w:noProof/>
          <w:lang w:val="pt-BR" w:eastAsia="pt-BR"/>
        </w:rPr>
        <w:drawing>
          <wp:anchor distT="0" distB="0" distL="0" distR="0" simplePos="0" relativeHeight="6496" behindDoc="0" locked="0" layoutInCell="1" allowOverlap="1">
            <wp:simplePos x="0" y="0"/>
            <wp:positionH relativeFrom="page">
              <wp:posOffset>1108807</wp:posOffset>
            </wp:positionH>
            <wp:positionV relativeFrom="paragraph">
              <wp:posOffset>137582</wp:posOffset>
            </wp:positionV>
            <wp:extent cx="5301749" cy="1256537"/>
            <wp:effectExtent l="0" t="0" r="0" b="0"/>
            <wp:wrapTopAndBottom/>
            <wp:docPr id="45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45.png"/>
                    <pic:cNvPicPr/>
                  </pic:nvPicPr>
                  <pic:blipFill>
                    <a:blip r:embed="rId1630" cstate="print"/>
                    <a:stretch>
                      <a:fillRect/>
                    </a:stretch>
                  </pic:blipFill>
                  <pic:spPr>
                    <a:xfrm>
                      <a:off x="0" y="0"/>
                      <a:ext cx="5301749" cy="1256537"/>
                    </a:xfrm>
                    <a:prstGeom prst="rect">
                      <a:avLst/>
                    </a:prstGeom>
                  </pic:spPr>
                </pic:pic>
              </a:graphicData>
            </a:graphic>
          </wp:anchor>
        </w:drawing>
      </w:r>
    </w:p>
    <w:p w:rsidR="00D81F69" w:rsidRDefault="00330118">
      <w:pPr>
        <w:pStyle w:val="Corpodetexto"/>
        <w:spacing w:before="30"/>
        <w:ind w:left="101" w:right="216"/>
      </w:pPr>
      <w:r>
        <w:t>Gráfico 3. Estudos de casos dos impactos gerados por contaminação de substâncias perigosas decorrentes da extração mineral</w:t>
      </w:r>
    </w:p>
    <w:p w:rsidR="00D81F69" w:rsidRDefault="00D81F69">
      <w:pPr>
        <w:pStyle w:val="Corpodetexto"/>
        <w:spacing w:before="4"/>
        <w:ind w:left="0"/>
        <w:jc w:val="left"/>
        <w:rPr>
          <w:sz w:val="17"/>
        </w:rPr>
      </w:pPr>
    </w:p>
    <w:p w:rsidR="00D81F69" w:rsidRDefault="00330118">
      <w:pPr>
        <w:pStyle w:val="Heading5"/>
        <w:spacing w:line="276" w:lineRule="auto"/>
        <w:ind w:right="216"/>
      </w:pPr>
      <w:r>
        <w:t>Dentre os verbetes do Rio Grande do Sul, foi levantada a inform</w:t>
      </w:r>
      <w:r>
        <w:t>ação de que duas vezes o Ministério Público foi acionado. Entretanto, em nenhum dos casos houve assinatura do Termo de Ajuste de Conduta - TAC.</w:t>
      </w:r>
    </w:p>
    <w:p w:rsidR="00D81F69" w:rsidRDefault="00330118">
      <w:pPr>
        <w:spacing w:before="201"/>
        <w:ind w:left="101"/>
        <w:jc w:val="both"/>
        <w:rPr>
          <w:b/>
        </w:rPr>
      </w:pPr>
      <w:r>
        <w:rPr>
          <w:b/>
        </w:rPr>
        <w:t>Referências Bibliográficas</w:t>
      </w:r>
    </w:p>
    <w:p w:rsidR="00D81F69" w:rsidRDefault="00D81F69">
      <w:pPr>
        <w:pStyle w:val="Corpodetexto"/>
        <w:spacing w:before="7"/>
        <w:ind w:left="0"/>
        <w:jc w:val="left"/>
        <w:rPr>
          <w:b/>
          <w:sz w:val="20"/>
        </w:rPr>
      </w:pPr>
    </w:p>
    <w:p w:rsidR="00D81F69" w:rsidRDefault="00330118">
      <w:pPr>
        <w:pStyle w:val="Corpodetexto"/>
        <w:ind w:left="101" w:right="219"/>
      </w:pPr>
      <w:r>
        <w:t>ANEEL, Agência Nacional de Energia Elétrica. Atlas de energia elétrica do Brasil. Carvão mineral. 2009. Disponível em: &lt;</w:t>
      </w:r>
      <w:hyperlink r:id="rId1631">
        <w:r>
          <w:t>http://www.aneel.gov.br/arquivos/PDF/atlas_par3_cap9.pdf&gt;</w:t>
        </w:r>
      </w:hyperlink>
      <w:r>
        <w:t>. Ace</w:t>
      </w:r>
      <w:r>
        <w:t>sso em: 08 out. 2013.</w:t>
      </w:r>
    </w:p>
    <w:p w:rsidR="00D81F69" w:rsidRDefault="00330118">
      <w:pPr>
        <w:pStyle w:val="Corpodetexto"/>
        <w:spacing w:before="61"/>
        <w:ind w:left="101" w:right="216"/>
      </w:pPr>
      <w:r>
        <w:t>BRANCO, P. M.; GIL. C. A. A. Mapa gemológico do estado do Rio Grande do Sul. Porto Alegre: CPRM, 2002. Disponível em: &lt;</w:t>
      </w:r>
      <w:hyperlink r:id="rId1632">
        <w:r>
          <w:t>http://www.cprm.gov.br/arquivos/pdf/r</w:t>
        </w:r>
        <w:r>
          <w:t>ecmin/pedrainforme5.pdf&gt;</w:t>
        </w:r>
      </w:hyperlink>
      <w:r>
        <w:t>. Acesso em: 08 out. 2013.</w:t>
      </w:r>
    </w:p>
    <w:p w:rsidR="00D81F69" w:rsidRDefault="00330118">
      <w:pPr>
        <w:pStyle w:val="Corpodetexto"/>
        <w:spacing w:before="59"/>
        <w:ind w:left="101"/>
      </w:pPr>
      <w:r>
        <w:t>CRM, Companhia Riograndense de Mineração. 2013. Disponível em:</w:t>
      </w:r>
    </w:p>
    <w:p w:rsidR="00D81F69" w:rsidRDefault="00330118">
      <w:pPr>
        <w:pStyle w:val="Corpodetexto"/>
        <w:spacing w:before="1"/>
        <w:ind w:left="101"/>
      </w:pPr>
      <w:r>
        <w:t>&lt;</w:t>
      </w:r>
      <w:hyperlink r:id="rId1633">
        <w:r>
          <w:t>http://www.crm.rs.gov.br/conteudo/909/?Historico#.UmgNOfnr</w:t>
        </w:r>
        <w:r>
          <w:t>yWY</w:t>
        </w:r>
      </w:hyperlink>
      <w:r>
        <w:t>&gt;. Acesso em: 22 out. 2013.</w:t>
      </w:r>
    </w:p>
    <w:p w:rsidR="00D81F69" w:rsidRDefault="00330118">
      <w:pPr>
        <w:pStyle w:val="Corpodetexto"/>
        <w:tabs>
          <w:tab w:val="left" w:pos="4007"/>
          <w:tab w:val="left" w:pos="8302"/>
        </w:tabs>
        <w:spacing w:before="59"/>
        <w:ind w:left="101" w:right="217"/>
      </w:pPr>
      <w:r>
        <w:t>IBGE, Instituto Brasileiro de Geografia e Estatística, Diretoria de Pesquisas, Coordenação de População e Indicadores Sociais. NOTA: Estimativas da população residente com data de referência 1º de julho de 2013.</w:t>
      </w:r>
      <w:r>
        <w:tab/>
        <w:t>Disponível</w:t>
      </w:r>
      <w:r>
        <w:tab/>
        <w:t>em</w:t>
      </w:r>
      <w:r>
        <w:t>:</w:t>
      </w:r>
    </w:p>
    <w:p w:rsidR="00D81F69" w:rsidRDefault="00330118">
      <w:pPr>
        <w:pStyle w:val="Corpodetexto"/>
        <w:spacing w:before="1"/>
        <w:ind w:left="101" w:right="216"/>
      </w:pPr>
      <w:r>
        <w:t>&lt;</w:t>
      </w:r>
      <w:hyperlink r:id="rId1634">
        <w:r>
          <w:t>http://www.ibge.gov.br/home/estatistica/populacao/estimativa2013/estimativa_dou.shtm&gt;</w:t>
        </w:r>
      </w:hyperlink>
      <w:r>
        <w:t>. Acesso em: 10 set. 2013.</w:t>
      </w:r>
    </w:p>
    <w:p w:rsidR="00D81F69" w:rsidRDefault="00330118">
      <w:pPr>
        <w:pStyle w:val="Corpodetexto"/>
        <w:spacing w:before="60"/>
        <w:ind w:left="101" w:right="216"/>
      </w:pPr>
      <w:r>
        <w:t>IBRAM, Instituto Brasileiro de Mineração. Informações e análises da economia mineral brasileira. 7ª edição. Dezembro, 2012. Disponível em: &lt;</w:t>
      </w:r>
      <w:hyperlink r:id="rId1635">
        <w:r>
          <w:t>http://www.ibram.org.br/sites/1300/1382/000037</w:t>
        </w:r>
        <w:r>
          <w:t>97.pdf&gt;</w:t>
        </w:r>
      </w:hyperlink>
      <w:r>
        <w:t>. Acesso em: 10 set. 2013.</w:t>
      </w:r>
    </w:p>
    <w:p w:rsidR="00D81F69" w:rsidRDefault="00330118">
      <w:pPr>
        <w:pStyle w:val="Corpodetexto"/>
        <w:spacing w:before="59"/>
        <w:ind w:left="101" w:right="218"/>
      </w:pPr>
      <w:r>
        <w:t>RIO Grande do Sul, Governo do Estado. Economia. 2013. Disponível em: &lt;</w:t>
      </w:r>
      <w:hyperlink r:id="rId1636">
        <w:r>
          <w:t>http://www.estado.rs.gov.br/o-</w:t>
        </w:r>
      </w:hyperlink>
      <w:r>
        <w:t xml:space="preserve"> estado/Economia/109&gt;. Acesso em: 22 out. 2013.</w:t>
      </w:r>
    </w:p>
    <w:p w:rsidR="00D81F69" w:rsidRDefault="00330118">
      <w:pPr>
        <w:pStyle w:val="Corpodetexto"/>
        <w:tabs>
          <w:tab w:val="left" w:pos="2952"/>
          <w:tab w:val="left" w:pos="5432"/>
          <w:tab w:val="left" w:pos="8302"/>
        </w:tabs>
        <w:spacing w:before="60"/>
        <w:ind w:left="101" w:right="217"/>
      </w:pPr>
      <w:r>
        <w:t>SETUR, Secretaria do Turis</w:t>
      </w:r>
      <w:r>
        <w:t>mo do Rio Grande do Sul. Rotas e roteiros: rota das águas e pedras preciosas.</w:t>
      </w:r>
      <w:r>
        <w:tab/>
        <w:t>2013.</w:t>
      </w:r>
      <w:r>
        <w:tab/>
        <w:t>Disponível</w:t>
      </w:r>
      <w:r>
        <w:tab/>
        <w:t>em:</w:t>
      </w:r>
    </w:p>
    <w:p w:rsidR="00D81F69" w:rsidRDefault="00D81F69">
      <w:pPr>
        <w:pStyle w:val="Corpodetexto"/>
        <w:ind w:left="101" w:right="218"/>
      </w:pPr>
      <w:hyperlink r:id="rId1637">
        <w:r w:rsidR="00330118">
          <w:t>&lt;http://</w:t>
        </w:r>
      </w:hyperlink>
      <w:r w:rsidR="00330118">
        <w:t>w</w:t>
      </w:r>
      <w:hyperlink r:id="rId1638">
        <w:r w:rsidR="00330118">
          <w:t>ww.setur.rs.gov.br/portal/index.php?q=destino&amp;cod=4&amp;opt=&amp;id=55&amp;bd=&amp;fg=3&gt;</w:t>
        </w:r>
      </w:hyperlink>
      <w:r w:rsidR="00330118">
        <w:t>. Acesso em: 08 out. 2013.</w:t>
      </w:r>
    </w:p>
    <w:p w:rsidR="00D81F69" w:rsidRDefault="00D81F69">
      <w:pPr>
        <w:sectPr w:rsidR="00D81F69">
          <w:pgSz w:w="11910" w:h="16840"/>
          <w:pgMar w:top="680" w:right="1480" w:bottom="720" w:left="1600" w:header="0" w:footer="402" w:gutter="0"/>
          <w:cols w:space="720"/>
        </w:sectPr>
      </w:pPr>
    </w:p>
    <w:p w:rsidR="00D81F69" w:rsidRDefault="00330118">
      <w:pPr>
        <w:pStyle w:val="Heading1"/>
        <w:spacing w:line="208" w:lineRule="auto"/>
      </w:pPr>
      <w:r>
        <w:rPr>
          <w:spacing w:val="3"/>
        </w:rPr>
        <w:lastRenderedPageBreak/>
        <w:t xml:space="preserve">Arsênio </w:t>
      </w:r>
      <w:r>
        <w:rPr>
          <w:spacing w:val="2"/>
        </w:rPr>
        <w:t xml:space="preserve">nas </w:t>
      </w:r>
      <w:r>
        <w:rPr>
          <w:spacing w:val="3"/>
        </w:rPr>
        <w:t xml:space="preserve">formações carboníferas </w:t>
      </w:r>
      <w:r>
        <w:rPr>
          <w:spacing w:val="1"/>
        </w:rPr>
        <w:t xml:space="preserve">de </w:t>
      </w:r>
      <w:r>
        <w:rPr>
          <w:spacing w:val="3"/>
        </w:rPr>
        <w:t xml:space="preserve">Figueira </w:t>
      </w:r>
      <w:r>
        <w:rPr>
          <w:spacing w:val="5"/>
        </w:rPr>
        <w:t xml:space="preserve">(PR) </w:t>
      </w:r>
      <w:r>
        <w:rPr>
          <w:spacing w:val="3"/>
        </w:rPr>
        <w:t xml:space="preserve">provoca contaminação </w:t>
      </w:r>
      <w:r>
        <w:rPr>
          <w:spacing w:val="1"/>
        </w:rPr>
        <w:t>do</w:t>
      </w:r>
      <w:r>
        <w:rPr>
          <w:spacing w:val="60"/>
        </w:rPr>
        <w:t xml:space="preserve"> </w:t>
      </w:r>
      <w:r>
        <w:rPr>
          <w:spacing w:val="5"/>
        </w:rPr>
        <w:t>solo</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PR - Figueira</w:t>
      </w:r>
    </w:p>
    <w:p w:rsidR="00D81F69" w:rsidRDefault="00330118">
      <w:pPr>
        <w:spacing w:before="49"/>
        <w:ind w:left="135"/>
        <w:rPr>
          <w:i/>
          <w:sz w:val="14"/>
        </w:rPr>
      </w:pPr>
      <w:r>
        <w:rPr>
          <w:i/>
          <w:sz w:val="14"/>
        </w:rPr>
        <w:t>PR - São Jerônimo da Serra</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-23,8075</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-50,4072</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6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Há mais de 40 anos, uma usina termelétrica é responsável por grande </w:t>
      </w:r>
      <w:r>
        <w:rPr>
          <w:i/>
          <w:sz w:val="16"/>
        </w:rPr>
        <w:t xml:space="preserve">parte da atividade econômica do município de Figueira (PR). A usina vem lançando no ar uma cinza que contém doses de arsênio, chumbo e outros metais tóxicos resultantes do processo industrial. Tais elementos, sobretudo o arsênio, estão contaminando o solo </w:t>
      </w:r>
      <w:r>
        <w:rPr>
          <w:i/>
          <w:sz w:val="16"/>
        </w:rPr>
        <w:t xml:space="preserve">e gerando riscos para a saúde da população. </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6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54"/>
        <w:jc w:val="left"/>
      </w:pPr>
      <w:r>
        <w:t>Paraná (100 milhões de toneladas) (FUNGARO; IZIDORO, 2006).</w:t>
      </w:r>
    </w:p>
    <w:p w:rsidR="00D81F69" w:rsidRDefault="00330118">
      <w:pPr>
        <w:pStyle w:val="Corpodetexto"/>
        <w:spacing w:before="131" w:line="312" w:lineRule="auto"/>
        <w:ind w:left="135" w:right="154"/>
        <w:jc w:val="left"/>
      </w:pPr>
      <w:r>
        <w:t>De acordo com o censo IBGE 2010 (IBGE, 2010), o município de Figueira tem 8.293 habitantes e 130 km². Em 2005, a maioria da população vivia nas pro</w:t>
      </w:r>
      <w:r>
        <w:t>ximidades da usina por razões econômicas, e cerca de 42% do trabalho formal do município provinham da atividade de extração mineral (FUNGARO; IZIDORO, 2006). Em 1994, a operação e a</w:t>
      </w:r>
    </w:p>
    <w:p w:rsidR="00D81F69" w:rsidRDefault="00330118">
      <w:pPr>
        <w:pStyle w:val="Corpodetexto"/>
        <w:spacing w:before="6" w:line="312" w:lineRule="auto"/>
        <w:ind w:left="135" w:right="182"/>
      </w:pPr>
      <w:r>
        <w:rPr>
          <w:spacing w:val="8"/>
        </w:rPr>
        <w:t xml:space="preserve">manutenção </w:t>
      </w:r>
      <w:r>
        <w:rPr>
          <w:spacing w:val="5"/>
        </w:rPr>
        <w:t xml:space="preserve">da </w:t>
      </w:r>
      <w:r>
        <w:rPr>
          <w:spacing w:val="8"/>
        </w:rPr>
        <w:t xml:space="preserve">usina, </w:t>
      </w:r>
      <w:r>
        <w:rPr>
          <w:spacing w:val="6"/>
        </w:rPr>
        <w:t xml:space="preserve">que </w:t>
      </w:r>
      <w:r>
        <w:rPr>
          <w:spacing w:val="10"/>
        </w:rPr>
        <w:t xml:space="preserve">pertencente </w:t>
      </w:r>
      <w:r>
        <w:t xml:space="preserve">à </w:t>
      </w:r>
      <w:r>
        <w:rPr>
          <w:spacing w:val="10"/>
        </w:rPr>
        <w:t xml:space="preserve">Companhia </w:t>
      </w:r>
      <w:r>
        <w:rPr>
          <w:spacing w:val="8"/>
        </w:rPr>
        <w:t xml:space="preserve">Paranaense </w:t>
      </w:r>
      <w:r>
        <w:rPr>
          <w:spacing w:val="5"/>
        </w:rPr>
        <w:t xml:space="preserve">de </w:t>
      </w:r>
      <w:r>
        <w:rPr>
          <w:spacing w:val="8"/>
        </w:rPr>
        <w:t>Energia (Co</w:t>
      </w:r>
      <w:r>
        <w:rPr>
          <w:spacing w:val="8"/>
        </w:rPr>
        <w:t xml:space="preserve">pel), </w:t>
      </w:r>
      <w:r>
        <w:rPr>
          <w:spacing w:val="7"/>
        </w:rPr>
        <w:t xml:space="preserve">foram </w:t>
      </w:r>
      <w:r>
        <w:rPr>
          <w:spacing w:val="10"/>
        </w:rPr>
        <w:t xml:space="preserve">terceirizadas, </w:t>
      </w:r>
      <w:r>
        <w:t xml:space="preserve">tornando-se de responsabilidade da Companhia Carbonífera </w:t>
      </w:r>
      <w:r>
        <w:rPr>
          <w:spacing w:val="15"/>
        </w:rPr>
        <w:t xml:space="preserve">do </w:t>
      </w:r>
      <w:r>
        <w:rPr>
          <w:spacing w:val="81"/>
        </w:rPr>
        <w:t xml:space="preserve"> </w:t>
      </w:r>
      <w:r>
        <w:rPr>
          <w:spacing w:val="26"/>
        </w:rPr>
        <w:t xml:space="preserve">Cambuí   </w:t>
      </w:r>
      <w:r>
        <w:rPr>
          <w:spacing w:val="28"/>
        </w:rPr>
        <w:t xml:space="preserve">(INSTITUTO   PARANAENSE </w:t>
      </w:r>
      <w:r>
        <w:rPr>
          <w:spacing w:val="27"/>
        </w:rPr>
        <w:t xml:space="preserve"> </w:t>
      </w:r>
      <w:r>
        <w:rPr>
          <w:spacing w:val="15"/>
        </w:rPr>
        <w:t>DE</w:t>
      </w:r>
      <w:r>
        <w:rPr>
          <w:spacing w:val="-16"/>
        </w:rPr>
        <w:t xml:space="preserve"> </w:t>
      </w:r>
    </w:p>
    <w:p w:rsidR="00D81F69" w:rsidRDefault="00D81F69">
      <w:pPr>
        <w:spacing w:line="312" w:lineRule="auto"/>
        <w:sectPr w:rsidR="00D81F69">
          <w:type w:val="continuous"/>
          <w:pgSz w:w="11900" w:h="16840"/>
          <w:pgMar w:top="720" w:right="500" w:bottom="280" w:left="620" w:header="720" w:footer="720" w:gutter="0"/>
          <w:cols w:num="3" w:space="720" w:equalWidth="0">
            <w:col w:w="1934" w:space="66"/>
            <w:col w:w="3112" w:space="323"/>
            <w:col w:w="5345"/>
          </w:cols>
        </w:sectPr>
      </w:pPr>
    </w:p>
    <w:p w:rsidR="00D81F69" w:rsidRDefault="00330118">
      <w:pPr>
        <w:pStyle w:val="Heading4"/>
        <w:spacing w:before="57"/>
      </w:pPr>
      <w:r>
        <w:lastRenderedPageBreak/>
        <w:t>APRESENTAÇÃO DE CASO</w:t>
      </w:r>
    </w:p>
    <w:p w:rsidR="00D81F69" w:rsidRDefault="00330118">
      <w:pPr>
        <w:pStyle w:val="Corpodetexto"/>
        <w:spacing w:before="171" w:line="312" w:lineRule="auto"/>
        <w:ind w:right="39"/>
      </w:pPr>
      <w:r>
        <w:t>Pesquisas realizadas em áreas vizinhas à Usina Termelétrica de Figueira revel</w:t>
      </w:r>
      <w:r>
        <w:t xml:space="preserve">aram a presença de elementos tóxicos no solo, possivelmente, fruto das cinzas que saem das chaminés da usina. Os estudos, baseados em medições feitas entre 1997 e 2001, encontraram rastros de </w:t>
      </w:r>
      <w:hyperlink r:id="rId1639">
        <w:r>
          <w:t>arsênio,</w:t>
        </w:r>
      </w:hyperlink>
      <w:r>
        <w:t xml:space="preserve"> </w:t>
      </w:r>
      <w:hyperlink r:id="rId1640">
        <w:r>
          <w:t>chumbo</w:t>
        </w:r>
      </w:hyperlink>
      <w:r>
        <w:t xml:space="preserve"> e </w:t>
      </w:r>
      <w:hyperlink r:id="rId1641">
        <w:r>
          <w:t>zinco,</w:t>
        </w:r>
      </w:hyperlink>
      <w:r>
        <w:t xml:space="preserve"> elementos muito prejudi</w:t>
      </w:r>
      <w:r>
        <w:t>ciais à saúde humana (CAMARGO, 2005).</w:t>
      </w:r>
    </w:p>
    <w:p w:rsidR="00D81F69" w:rsidRDefault="00330118">
      <w:pPr>
        <w:pStyle w:val="Corpodetexto"/>
        <w:spacing w:before="136" w:line="312" w:lineRule="auto"/>
        <w:ind w:right="46"/>
      </w:pPr>
      <w:r>
        <w:t>Além das cinzas tóxicas que são lançadas, há ainda o problema dos rejeitos do processo de mineração do carvão. O arsênio encontra-se contido nas reservas carboníferas, sendo liberado na atmosfera durante o processo ind</w:t>
      </w:r>
      <w:r>
        <w:t>ustrial. Teme-se que as décadas de atividade mineradora tenham deixado como legado um forte passivo ambiental para a região. Cerca de 250 mil toneladas de resíduos sólidos são geradas por ano na queima do carvão (CAMARGO, 2005).</w:t>
      </w:r>
    </w:p>
    <w:p w:rsidR="00D81F69" w:rsidRDefault="00330118">
      <w:pPr>
        <w:pStyle w:val="Corpodetexto"/>
        <w:spacing w:before="138" w:line="312" w:lineRule="auto"/>
        <w:ind w:right="38"/>
      </w:pPr>
      <w:r>
        <w:t xml:space="preserve">A dependência do município </w:t>
      </w:r>
      <w:r>
        <w:t xml:space="preserve">em relação à atividade da usina termoelétrica também chama atenção. Moradores temem que o esgotamento da mina esteja próximo e que traga consigo um processo de decadência econômica e colapso social. Em </w:t>
      </w:r>
      <w:r>
        <w:rPr>
          <w:spacing w:val="3"/>
        </w:rPr>
        <w:t xml:space="preserve">2003, </w:t>
      </w:r>
      <w:r>
        <w:rPr>
          <w:spacing w:val="5"/>
        </w:rPr>
        <w:t xml:space="preserve">trabalhadores </w:t>
      </w:r>
      <w:r>
        <w:rPr>
          <w:spacing w:val="3"/>
        </w:rPr>
        <w:t xml:space="preserve">das minas </w:t>
      </w:r>
      <w:r>
        <w:t xml:space="preserve">e </w:t>
      </w:r>
      <w:r>
        <w:rPr>
          <w:spacing w:val="5"/>
        </w:rPr>
        <w:t xml:space="preserve">habitantes </w:t>
      </w:r>
      <w:r>
        <w:rPr>
          <w:spacing w:val="2"/>
        </w:rPr>
        <w:t xml:space="preserve">de </w:t>
      </w:r>
      <w:r>
        <w:rPr>
          <w:spacing w:val="5"/>
        </w:rPr>
        <w:t>Figueira</w:t>
      </w:r>
      <w:r>
        <w:rPr>
          <w:spacing w:val="61"/>
        </w:rPr>
        <w:t xml:space="preserve"> </w:t>
      </w:r>
      <w:r>
        <w:rPr>
          <w:spacing w:val="1"/>
        </w:rPr>
        <w:t xml:space="preserve">lançaram </w:t>
      </w:r>
      <w:r>
        <w:t xml:space="preserve">um </w:t>
      </w:r>
      <w:r>
        <w:rPr>
          <w:spacing w:val="1"/>
        </w:rPr>
        <w:t xml:space="preserve">movimento para protestar contra </w:t>
      </w:r>
      <w:r>
        <w:t xml:space="preserve">um </w:t>
      </w:r>
      <w:r>
        <w:rPr>
          <w:spacing w:val="2"/>
        </w:rPr>
        <w:t xml:space="preserve">possível </w:t>
      </w:r>
      <w:r>
        <w:rPr>
          <w:spacing w:val="10"/>
        </w:rPr>
        <w:t xml:space="preserve">fechamento </w:t>
      </w:r>
      <w:r>
        <w:t xml:space="preserve">e </w:t>
      </w:r>
      <w:r>
        <w:rPr>
          <w:spacing w:val="10"/>
        </w:rPr>
        <w:t xml:space="preserve">reivindicar </w:t>
      </w:r>
      <w:r>
        <w:t xml:space="preserve">a </w:t>
      </w:r>
      <w:r>
        <w:rPr>
          <w:spacing w:val="10"/>
        </w:rPr>
        <w:t xml:space="preserve">expansão </w:t>
      </w:r>
      <w:r>
        <w:rPr>
          <w:spacing w:val="7"/>
        </w:rPr>
        <w:t xml:space="preserve">das </w:t>
      </w:r>
      <w:r>
        <w:rPr>
          <w:spacing w:val="11"/>
        </w:rPr>
        <w:t xml:space="preserve">atividades </w:t>
      </w:r>
      <w:r>
        <w:rPr>
          <w:spacing w:val="10"/>
        </w:rPr>
        <w:t xml:space="preserve">carvoeiras </w:t>
      </w:r>
      <w:r>
        <w:rPr>
          <w:spacing w:val="5"/>
        </w:rPr>
        <w:t xml:space="preserve">na </w:t>
      </w:r>
      <w:r>
        <w:rPr>
          <w:spacing w:val="10"/>
        </w:rPr>
        <w:t xml:space="preserve">região, temerosos </w:t>
      </w:r>
      <w:r>
        <w:rPr>
          <w:spacing w:val="5"/>
        </w:rPr>
        <w:t xml:space="preserve">de </w:t>
      </w:r>
      <w:r>
        <w:rPr>
          <w:spacing w:val="7"/>
        </w:rPr>
        <w:t xml:space="preserve">que </w:t>
      </w:r>
      <w:r>
        <w:t xml:space="preserve">a </w:t>
      </w:r>
      <w:r>
        <w:rPr>
          <w:spacing w:val="12"/>
        </w:rPr>
        <w:t xml:space="preserve">empresa </w:t>
      </w:r>
      <w:r>
        <w:rPr>
          <w:spacing w:val="3"/>
        </w:rPr>
        <w:t xml:space="preserve">responsável pretendesse encerrar </w:t>
      </w:r>
      <w:r>
        <w:rPr>
          <w:spacing w:val="1"/>
        </w:rPr>
        <w:t xml:space="preserve">as </w:t>
      </w:r>
      <w:r>
        <w:rPr>
          <w:spacing w:val="3"/>
        </w:rPr>
        <w:t xml:space="preserve">atividades </w:t>
      </w:r>
      <w:r>
        <w:rPr>
          <w:spacing w:val="1"/>
        </w:rPr>
        <w:t xml:space="preserve">da </w:t>
      </w:r>
      <w:r>
        <w:rPr>
          <w:spacing w:val="5"/>
        </w:rPr>
        <w:t xml:space="preserve">usina </w:t>
      </w:r>
      <w:r>
        <w:rPr>
          <w:spacing w:val="3"/>
        </w:rPr>
        <w:t>(PORTAL PARANAONLINE,</w:t>
      </w:r>
      <w:r>
        <w:rPr>
          <w:spacing w:val="-2"/>
        </w:rPr>
        <w:t xml:space="preserve"> </w:t>
      </w:r>
      <w:r>
        <w:rPr>
          <w:spacing w:val="5"/>
        </w:rPr>
        <w:t>2003).</w:t>
      </w:r>
    </w:p>
    <w:p w:rsidR="00D81F69" w:rsidRDefault="00330118">
      <w:pPr>
        <w:pStyle w:val="Corpodetexto"/>
        <w:spacing w:before="76" w:line="270" w:lineRule="atLeast"/>
        <w:ind w:right="43"/>
      </w:pPr>
      <w:r>
        <w:t xml:space="preserve">A Usina Termelétrica de Figueira está situada no vale do Rio do Peixe, sede da principal bacia carbonífera do Paraná. As primeiras instalações da usina foram construídas em 1959 e </w:t>
      </w:r>
      <w:r>
        <w:rPr>
          <w:spacing w:val="5"/>
        </w:rPr>
        <w:t xml:space="preserve">ampliadas </w:t>
      </w:r>
      <w:r>
        <w:rPr>
          <w:spacing w:val="3"/>
        </w:rPr>
        <w:t xml:space="preserve">nos anos </w:t>
      </w:r>
      <w:r>
        <w:rPr>
          <w:spacing w:val="5"/>
        </w:rPr>
        <w:t xml:space="preserve">seguintes. </w:t>
      </w:r>
      <w:r>
        <w:rPr>
          <w:spacing w:val="3"/>
        </w:rPr>
        <w:t xml:space="preserve">São mais </w:t>
      </w:r>
      <w:r>
        <w:rPr>
          <w:spacing w:val="2"/>
        </w:rPr>
        <w:t xml:space="preserve">de 40 </w:t>
      </w:r>
      <w:r>
        <w:rPr>
          <w:spacing w:val="3"/>
        </w:rPr>
        <w:t xml:space="preserve">anos </w:t>
      </w:r>
      <w:r>
        <w:rPr>
          <w:spacing w:val="5"/>
        </w:rPr>
        <w:t>de</w:t>
      </w:r>
      <w:r>
        <w:rPr>
          <w:spacing w:val="61"/>
        </w:rPr>
        <w:t xml:space="preserve"> </w:t>
      </w:r>
      <w:r>
        <w:t xml:space="preserve">queima ininterrupta de </w:t>
      </w:r>
      <w:r>
        <w:t xml:space="preserve">carvão na região. O Brasil dispõe de uma das maiores reservas de carvão da América Latina, e os depósitos de maior importância econômica estão na Bacia do </w:t>
      </w:r>
      <w:r>
        <w:rPr>
          <w:spacing w:val="1"/>
        </w:rPr>
        <w:t xml:space="preserve">Paraná (LEFFA; ANDRADE, 2008). </w:t>
      </w:r>
      <w:r>
        <w:t xml:space="preserve">Os </w:t>
      </w:r>
      <w:r>
        <w:rPr>
          <w:spacing w:val="1"/>
        </w:rPr>
        <w:t xml:space="preserve">maiores </w:t>
      </w:r>
      <w:r>
        <w:rPr>
          <w:spacing w:val="2"/>
        </w:rPr>
        <w:t xml:space="preserve">produtores </w:t>
      </w:r>
      <w:r>
        <w:rPr>
          <w:spacing w:val="3"/>
        </w:rPr>
        <w:t xml:space="preserve">são </w:t>
      </w:r>
      <w:r>
        <w:rPr>
          <w:spacing w:val="2"/>
        </w:rPr>
        <w:t xml:space="preserve">os </w:t>
      </w:r>
      <w:r>
        <w:rPr>
          <w:spacing w:val="5"/>
        </w:rPr>
        <w:t xml:space="preserve">estados </w:t>
      </w:r>
      <w:r>
        <w:rPr>
          <w:spacing w:val="2"/>
        </w:rPr>
        <w:t xml:space="preserve">do </w:t>
      </w:r>
      <w:r>
        <w:rPr>
          <w:spacing w:val="3"/>
        </w:rPr>
        <w:t xml:space="preserve">Rio </w:t>
      </w:r>
      <w:r>
        <w:rPr>
          <w:spacing w:val="5"/>
        </w:rPr>
        <w:t xml:space="preserve">Grande </w:t>
      </w:r>
      <w:r>
        <w:rPr>
          <w:spacing w:val="2"/>
        </w:rPr>
        <w:t xml:space="preserve">do </w:t>
      </w:r>
      <w:r>
        <w:rPr>
          <w:spacing w:val="3"/>
        </w:rPr>
        <w:t xml:space="preserve">Sul </w:t>
      </w:r>
      <w:r>
        <w:rPr>
          <w:spacing w:val="5"/>
        </w:rPr>
        <w:t>(28,8 bilhõe</w:t>
      </w:r>
      <w:r>
        <w:rPr>
          <w:spacing w:val="5"/>
        </w:rPr>
        <w:t xml:space="preserve">s </w:t>
      </w:r>
      <w:r>
        <w:rPr>
          <w:spacing w:val="6"/>
        </w:rPr>
        <w:t xml:space="preserve">de </w:t>
      </w:r>
      <w:r>
        <w:rPr>
          <w:spacing w:val="5"/>
        </w:rPr>
        <w:t xml:space="preserve">toneladas), Santa Catarina (3,4 bilhões </w:t>
      </w:r>
      <w:r>
        <w:rPr>
          <w:spacing w:val="2"/>
        </w:rPr>
        <w:t>de</w:t>
      </w:r>
      <w:r>
        <w:rPr>
          <w:spacing w:val="1"/>
        </w:rPr>
        <w:t xml:space="preserve"> </w:t>
      </w:r>
      <w:r>
        <w:rPr>
          <w:spacing w:val="5"/>
        </w:rPr>
        <w:t xml:space="preserve">toneladas) </w:t>
      </w:r>
      <w:r>
        <w:t>e</w:t>
      </w:r>
    </w:p>
    <w:p w:rsidR="00D81F69" w:rsidRDefault="00330118">
      <w:pPr>
        <w:pStyle w:val="Corpodetexto"/>
        <w:spacing w:before="4"/>
        <w:jc w:val="left"/>
      </w:pPr>
      <w:r>
        <w:br w:type="column"/>
      </w:r>
      <w:r>
        <w:lastRenderedPageBreak/>
        <w:t>DESENVOLVIMENTO ECONÔMICO E SOCIAL, 2003).</w:t>
      </w:r>
    </w:p>
    <w:p w:rsidR="00D81F69" w:rsidRDefault="00D81F69">
      <w:pPr>
        <w:pStyle w:val="Corpodetexto"/>
        <w:spacing w:before="5"/>
        <w:ind w:left="0"/>
        <w:jc w:val="left"/>
        <w:rPr>
          <w:sz w:val="26"/>
        </w:rPr>
      </w:pPr>
    </w:p>
    <w:p w:rsidR="00D81F69" w:rsidRDefault="00330118">
      <w:pPr>
        <w:pStyle w:val="Heading7"/>
        <w:jc w:val="left"/>
      </w:pPr>
      <w:r>
        <w:t>LOCALIZAÇÃO GEOGRÁFICA</w:t>
      </w:r>
    </w:p>
    <w:p w:rsidR="00D81F69" w:rsidRDefault="00330118">
      <w:pPr>
        <w:pStyle w:val="Corpodetexto"/>
        <w:spacing w:before="179" w:line="312" w:lineRule="auto"/>
        <w:ind w:right="208"/>
      </w:pPr>
      <w:r>
        <w:t xml:space="preserve">O </w:t>
      </w:r>
      <w:r>
        <w:rPr>
          <w:spacing w:val="3"/>
        </w:rPr>
        <w:t xml:space="preserve">município </w:t>
      </w:r>
      <w:r>
        <w:rPr>
          <w:spacing w:val="1"/>
        </w:rPr>
        <w:t xml:space="preserve">de </w:t>
      </w:r>
      <w:r>
        <w:rPr>
          <w:spacing w:val="3"/>
        </w:rPr>
        <w:t xml:space="preserve">Figueira possui diversas minas </w:t>
      </w:r>
      <w:r>
        <w:rPr>
          <w:spacing w:val="1"/>
        </w:rPr>
        <w:t xml:space="preserve">de </w:t>
      </w:r>
      <w:r>
        <w:rPr>
          <w:spacing w:val="5"/>
        </w:rPr>
        <w:t xml:space="preserve">carvão </w:t>
      </w:r>
      <w:r>
        <w:t xml:space="preserve">(Fazenda Imbaú ou Rio do Peixe, Armando Simões, Fazenda </w:t>
      </w:r>
      <w:r>
        <w:rPr>
          <w:spacing w:val="6"/>
        </w:rPr>
        <w:t xml:space="preserve">Imbaú-Cambuí, </w:t>
      </w:r>
      <w:r>
        <w:rPr>
          <w:spacing w:val="5"/>
        </w:rPr>
        <w:t xml:space="preserve">Cambuí </w:t>
      </w:r>
      <w:r>
        <w:t xml:space="preserve">e </w:t>
      </w:r>
      <w:r>
        <w:rPr>
          <w:spacing w:val="5"/>
        </w:rPr>
        <w:t xml:space="preserve">Vale </w:t>
      </w:r>
      <w:r>
        <w:rPr>
          <w:spacing w:val="3"/>
        </w:rPr>
        <w:t xml:space="preserve">do </w:t>
      </w:r>
      <w:r>
        <w:rPr>
          <w:spacing w:val="5"/>
        </w:rPr>
        <w:t xml:space="preserve">Rio </w:t>
      </w:r>
      <w:r>
        <w:rPr>
          <w:spacing w:val="3"/>
        </w:rPr>
        <w:t xml:space="preserve">do </w:t>
      </w:r>
      <w:r>
        <w:rPr>
          <w:spacing w:val="5"/>
        </w:rPr>
        <w:t xml:space="preserve">Peixe </w:t>
      </w:r>
      <w:r>
        <w:rPr>
          <w:spacing w:val="7"/>
        </w:rPr>
        <w:t xml:space="preserve">dentre </w:t>
      </w:r>
      <w:r>
        <w:rPr>
          <w:spacing w:val="3"/>
        </w:rPr>
        <w:t xml:space="preserve">outras). </w:t>
      </w:r>
      <w:r>
        <w:rPr>
          <w:spacing w:val="1"/>
        </w:rPr>
        <w:t xml:space="preserve">As </w:t>
      </w:r>
      <w:r>
        <w:rPr>
          <w:spacing w:val="3"/>
        </w:rPr>
        <w:t xml:space="preserve">minas estão inseridas </w:t>
      </w:r>
      <w:r>
        <w:rPr>
          <w:spacing w:val="1"/>
        </w:rPr>
        <w:t xml:space="preserve">na </w:t>
      </w:r>
      <w:r>
        <w:rPr>
          <w:spacing w:val="3"/>
        </w:rPr>
        <w:t xml:space="preserve">sub-bacia </w:t>
      </w:r>
      <w:r>
        <w:rPr>
          <w:spacing w:val="1"/>
        </w:rPr>
        <w:t xml:space="preserve">do </w:t>
      </w:r>
      <w:r>
        <w:rPr>
          <w:spacing w:val="2"/>
        </w:rPr>
        <w:t xml:space="preserve">rio </w:t>
      </w:r>
      <w:r>
        <w:rPr>
          <w:spacing w:val="5"/>
        </w:rPr>
        <w:t xml:space="preserve">das </w:t>
      </w:r>
      <w:r>
        <w:rPr>
          <w:spacing w:val="3"/>
        </w:rPr>
        <w:t xml:space="preserve">Cinzas pertencente </w:t>
      </w:r>
      <w:r>
        <w:t xml:space="preserve">à </w:t>
      </w:r>
      <w:r>
        <w:rPr>
          <w:spacing w:val="3"/>
        </w:rPr>
        <w:t xml:space="preserve">bacia </w:t>
      </w:r>
      <w:r>
        <w:rPr>
          <w:spacing w:val="1"/>
        </w:rPr>
        <w:t xml:space="preserve">do </w:t>
      </w:r>
      <w:r>
        <w:rPr>
          <w:spacing w:val="2"/>
        </w:rPr>
        <w:t xml:space="preserve">rio </w:t>
      </w:r>
      <w:r>
        <w:rPr>
          <w:spacing w:val="3"/>
        </w:rPr>
        <w:t xml:space="preserve">Paraná, próximo </w:t>
      </w:r>
      <w:r>
        <w:rPr>
          <w:spacing w:val="1"/>
        </w:rPr>
        <w:t xml:space="preserve">ao </w:t>
      </w:r>
      <w:r>
        <w:rPr>
          <w:spacing w:val="5"/>
        </w:rPr>
        <w:t xml:space="preserve">rio </w:t>
      </w:r>
      <w:r>
        <w:t>Laranjinha e ao ribeirão das Pedras. Elas se localizam entre as latitudes 23°48’27”S - 23°55’14”S e longitudes</w:t>
      </w:r>
      <w:r>
        <w:rPr>
          <w:spacing w:val="26"/>
        </w:rPr>
        <w:t xml:space="preserve"> </w:t>
      </w:r>
      <w:r>
        <w:t>50°27’42”W</w:t>
      </w:r>
    </w:p>
    <w:p w:rsidR="00D81F69" w:rsidRDefault="00330118">
      <w:pPr>
        <w:pStyle w:val="Corpodetexto"/>
        <w:spacing w:before="6"/>
      </w:pPr>
      <w:r>
        <w:t>- 50°24’26”W.</w:t>
      </w:r>
    </w:p>
    <w:p w:rsidR="00D81F69" w:rsidRDefault="00D81F69">
      <w:pPr>
        <w:pStyle w:val="Corpodetexto"/>
        <w:ind w:left="0"/>
        <w:jc w:val="left"/>
        <w:rPr>
          <w:sz w:val="20"/>
        </w:rPr>
      </w:pPr>
    </w:p>
    <w:p w:rsidR="00D81F69" w:rsidRDefault="00330118">
      <w:pPr>
        <w:pStyle w:val="Heading7"/>
        <w:spacing w:before="164"/>
      </w:pPr>
      <w:r>
        <w:t>REDATORES</w:t>
      </w:r>
    </w:p>
    <w:p w:rsidR="00D81F69" w:rsidRDefault="00330118">
      <w:pPr>
        <w:pStyle w:val="Corpodetexto"/>
        <w:spacing w:before="179"/>
      </w:pPr>
      <w:r>
        <w:t>Pedro Schprejer</w:t>
      </w:r>
    </w:p>
    <w:p w:rsidR="00D81F69" w:rsidRDefault="00D81F69">
      <w:pPr>
        <w:pStyle w:val="Corpodetexto"/>
        <w:ind w:left="0"/>
        <w:jc w:val="left"/>
        <w:rPr>
          <w:sz w:val="20"/>
        </w:rPr>
      </w:pPr>
    </w:p>
    <w:p w:rsidR="00D81F69" w:rsidRDefault="00330118">
      <w:pPr>
        <w:pStyle w:val="Heading7"/>
        <w:spacing w:before="164"/>
      </w:pPr>
      <w:r>
        <w:t>REFERÊNCIAS BIBLIOGRÁFICAS</w:t>
      </w:r>
    </w:p>
    <w:p w:rsidR="00D81F69" w:rsidRDefault="00330118">
      <w:pPr>
        <w:spacing w:before="188" w:line="312" w:lineRule="auto"/>
        <w:ind w:left="100" w:right="163"/>
        <w:jc w:val="both"/>
        <w:rPr>
          <w:sz w:val="16"/>
        </w:rPr>
      </w:pPr>
      <w:r>
        <w:rPr>
          <w:sz w:val="16"/>
        </w:rPr>
        <w:t>CAMARGO, Iara Maria Carneiro. Estudo da influência do coeficiente</w:t>
      </w:r>
      <w:r>
        <w:rPr>
          <w:sz w:val="16"/>
        </w:rPr>
        <w:t xml:space="preserve"> de partição de metais no solo de Figueira, Paraná, no cálculo de risco à saúde humana, utilizando o modelo c-soil, São Paulo, 2005, 156f. </w:t>
      </w:r>
      <w:r>
        <w:rPr>
          <w:spacing w:val="2"/>
          <w:sz w:val="16"/>
        </w:rPr>
        <w:t xml:space="preserve">Tese </w:t>
      </w:r>
      <w:r>
        <w:rPr>
          <w:spacing w:val="3"/>
          <w:sz w:val="16"/>
        </w:rPr>
        <w:t xml:space="preserve">(Doutorado </w:t>
      </w:r>
      <w:r>
        <w:rPr>
          <w:spacing w:val="1"/>
          <w:sz w:val="16"/>
        </w:rPr>
        <w:t xml:space="preserve">em </w:t>
      </w:r>
      <w:r>
        <w:rPr>
          <w:spacing w:val="3"/>
          <w:sz w:val="16"/>
        </w:rPr>
        <w:t xml:space="preserve">Ciências </w:t>
      </w:r>
      <w:r>
        <w:rPr>
          <w:spacing w:val="1"/>
          <w:sz w:val="16"/>
        </w:rPr>
        <w:t xml:space="preserve">na </w:t>
      </w:r>
      <w:r>
        <w:rPr>
          <w:spacing w:val="2"/>
          <w:sz w:val="16"/>
        </w:rPr>
        <w:t xml:space="preserve">Área </w:t>
      </w:r>
      <w:r>
        <w:rPr>
          <w:spacing w:val="1"/>
          <w:sz w:val="16"/>
        </w:rPr>
        <w:t xml:space="preserve">de </w:t>
      </w:r>
      <w:r>
        <w:rPr>
          <w:spacing w:val="3"/>
          <w:sz w:val="16"/>
        </w:rPr>
        <w:t xml:space="preserve">Tecnologia Nuclear </w:t>
      </w:r>
      <w:r>
        <w:rPr>
          <w:sz w:val="16"/>
        </w:rPr>
        <w:t xml:space="preserve">- </w:t>
      </w:r>
      <w:r>
        <w:rPr>
          <w:spacing w:val="5"/>
          <w:sz w:val="16"/>
        </w:rPr>
        <w:t xml:space="preserve">Materiais) </w:t>
      </w:r>
      <w:r>
        <w:rPr>
          <w:sz w:val="16"/>
        </w:rPr>
        <w:t xml:space="preserve">- </w:t>
      </w:r>
      <w:r>
        <w:rPr>
          <w:spacing w:val="5"/>
          <w:sz w:val="16"/>
        </w:rPr>
        <w:t xml:space="preserve">Instituto </w:t>
      </w:r>
      <w:r>
        <w:rPr>
          <w:spacing w:val="2"/>
          <w:sz w:val="16"/>
        </w:rPr>
        <w:t xml:space="preserve">de </w:t>
      </w:r>
      <w:r>
        <w:rPr>
          <w:spacing w:val="5"/>
          <w:sz w:val="16"/>
        </w:rPr>
        <w:t xml:space="preserve">Pesquisas Energéticas </w:t>
      </w:r>
      <w:r>
        <w:rPr>
          <w:sz w:val="16"/>
        </w:rPr>
        <w:t xml:space="preserve">e </w:t>
      </w:r>
      <w:r>
        <w:rPr>
          <w:spacing w:val="5"/>
          <w:sz w:val="16"/>
        </w:rPr>
        <w:t>Nuclear</w:t>
      </w:r>
      <w:r>
        <w:rPr>
          <w:spacing w:val="5"/>
          <w:sz w:val="16"/>
        </w:rPr>
        <w:t xml:space="preserve">es </w:t>
      </w:r>
      <w:r>
        <w:rPr>
          <w:sz w:val="16"/>
        </w:rPr>
        <w:t xml:space="preserve">- </w:t>
      </w:r>
      <w:r>
        <w:rPr>
          <w:spacing w:val="35"/>
          <w:sz w:val="16"/>
        </w:rPr>
        <w:t xml:space="preserve">IPEN/CNEN-SP, </w:t>
      </w:r>
      <w:r>
        <w:rPr>
          <w:spacing w:val="25"/>
          <w:sz w:val="16"/>
        </w:rPr>
        <w:t xml:space="preserve">São </w:t>
      </w:r>
      <w:r>
        <w:rPr>
          <w:spacing w:val="30"/>
          <w:sz w:val="16"/>
        </w:rPr>
        <w:t>Paulo.</w:t>
      </w:r>
      <w:r>
        <w:rPr>
          <w:spacing w:val="105"/>
          <w:sz w:val="16"/>
        </w:rPr>
        <w:t xml:space="preserve"> </w:t>
      </w:r>
      <w:r>
        <w:rPr>
          <w:spacing w:val="33"/>
          <w:sz w:val="16"/>
        </w:rPr>
        <w:t>Disponível</w:t>
      </w:r>
      <w:r>
        <w:rPr>
          <w:spacing w:val="55"/>
          <w:sz w:val="16"/>
        </w:rPr>
        <w:t xml:space="preserve"> </w:t>
      </w:r>
      <w:r>
        <w:rPr>
          <w:spacing w:val="25"/>
          <w:sz w:val="16"/>
        </w:rPr>
        <w:t>em:</w:t>
      </w:r>
      <w:r>
        <w:rPr>
          <w:spacing w:val="-6"/>
          <w:sz w:val="16"/>
        </w:rPr>
        <w:t xml:space="preserve"> </w:t>
      </w:r>
    </w:p>
    <w:p w:rsidR="00D81F69" w:rsidRDefault="00D81F69">
      <w:pPr>
        <w:spacing w:before="5" w:line="312" w:lineRule="auto"/>
        <w:ind w:left="100" w:right="214"/>
        <w:rPr>
          <w:sz w:val="16"/>
        </w:rPr>
      </w:pPr>
      <w:hyperlink r:id="rId1642">
        <w:r w:rsidR="00330118">
          <w:rPr>
            <w:sz w:val="16"/>
          </w:rPr>
          <w:t>&lt;http://www.teses.usp.br/teses/disponiveis/85/85134/tde-18102007-</w:t>
        </w:r>
      </w:hyperlink>
      <w:r w:rsidR="00330118">
        <w:rPr>
          <w:sz w:val="16"/>
        </w:rPr>
        <w:t xml:space="preserve"> 161220/pt-br.php&gt;. Acesso em: 14 mar. 2010.</w:t>
      </w:r>
    </w:p>
    <w:p w:rsidR="00D81F69" w:rsidRDefault="00330118">
      <w:pPr>
        <w:spacing w:before="2" w:line="312" w:lineRule="auto"/>
        <w:ind w:left="100" w:right="186"/>
        <w:jc w:val="both"/>
        <w:rPr>
          <w:sz w:val="16"/>
        </w:rPr>
      </w:pPr>
      <w:r>
        <w:rPr>
          <w:sz w:val="16"/>
        </w:rPr>
        <w:t>FUNGARO, Denise Al</w:t>
      </w:r>
      <w:r>
        <w:rPr>
          <w:sz w:val="16"/>
        </w:rPr>
        <w:t>ves; IZIDORO, Juliana de Carvalho. Remediação de drenagem ácida de mina usando zeólitas sintetizadas a partir de cinzas leves de carvão. Revista Química Nova, v. 29, n. 4,</w:t>
      </w:r>
    </w:p>
    <w:p w:rsidR="00D81F69" w:rsidRDefault="00330118">
      <w:pPr>
        <w:tabs>
          <w:tab w:val="left" w:pos="571"/>
          <w:tab w:val="left" w:pos="1229"/>
          <w:tab w:val="left" w:pos="1567"/>
          <w:tab w:val="left" w:pos="2323"/>
          <w:tab w:val="left" w:pos="3222"/>
          <w:tab w:val="left" w:pos="4734"/>
        </w:tabs>
        <w:spacing w:before="2"/>
        <w:ind w:left="100"/>
        <w:rPr>
          <w:sz w:val="16"/>
        </w:rPr>
      </w:pPr>
      <w:r>
        <w:rPr>
          <w:spacing w:val="6"/>
          <w:sz w:val="16"/>
        </w:rPr>
        <w:t>p</w:t>
      </w:r>
      <w:r>
        <w:rPr>
          <w:sz w:val="16"/>
        </w:rPr>
        <w:t xml:space="preserve"> .</w:t>
      </w:r>
      <w:r>
        <w:rPr>
          <w:sz w:val="16"/>
        </w:rPr>
        <w:tab/>
      </w:r>
      <w:r>
        <w:rPr>
          <w:spacing w:val="6"/>
          <w:sz w:val="16"/>
        </w:rPr>
        <w:t>7</w:t>
      </w:r>
      <w:r>
        <w:rPr>
          <w:sz w:val="16"/>
        </w:rPr>
        <w:t xml:space="preserve"> </w:t>
      </w:r>
      <w:r>
        <w:rPr>
          <w:spacing w:val="6"/>
          <w:sz w:val="16"/>
        </w:rPr>
        <w:t>3</w:t>
      </w:r>
      <w:r>
        <w:rPr>
          <w:sz w:val="16"/>
        </w:rPr>
        <w:t xml:space="preserve"> 5</w:t>
      </w:r>
      <w:r>
        <w:rPr>
          <w:sz w:val="16"/>
        </w:rPr>
        <w:tab/>
        <w:t>-</w:t>
      </w:r>
      <w:r>
        <w:rPr>
          <w:sz w:val="16"/>
        </w:rPr>
        <w:tab/>
      </w:r>
      <w:r>
        <w:rPr>
          <w:spacing w:val="6"/>
          <w:sz w:val="16"/>
        </w:rPr>
        <w:t>7 4</w:t>
      </w:r>
      <w:r>
        <w:rPr>
          <w:spacing w:val="-6"/>
          <w:sz w:val="16"/>
        </w:rPr>
        <w:t xml:space="preserve"> </w:t>
      </w:r>
      <w:r>
        <w:rPr>
          <w:spacing w:val="6"/>
          <w:sz w:val="16"/>
        </w:rPr>
        <w:t>0</w:t>
      </w:r>
      <w:r>
        <w:rPr>
          <w:sz w:val="16"/>
        </w:rPr>
        <w:t xml:space="preserve"> ,</w:t>
      </w:r>
      <w:r>
        <w:rPr>
          <w:sz w:val="16"/>
        </w:rPr>
        <w:tab/>
      </w:r>
      <w:r>
        <w:rPr>
          <w:spacing w:val="6"/>
          <w:sz w:val="16"/>
        </w:rPr>
        <w:t>2 0 0</w:t>
      </w:r>
      <w:r>
        <w:rPr>
          <w:spacing w:val="-13"/>
          <w:sz w:val="16"/>
        </w:rPr>
        <w:t xml:space="preserve"> </w:t>
      </w:r>
      <w:r>
        <w:rPr>
          <w:spacing w:val="6"/>
          <w:sz w:val="16"/>
        </w:rPr>
        <w:t>6</w:t>
      </w:r>
      <w:r>
        <w:rPr>
          <w:sz w:val="16"/>
        </w:rPr>
        <w:t xml:space="preserve"> .</w:t>
      </w:r>
      <w:r>
        <w:rPr>
          <w:sz w:val="16"/>
        </w:rPr>
        <w:tab/>
      </w:r>
      <w:r>
        <w:rPr>
          <w:spacing w:val="6"/>
          <w:sz w:val="16"/>
        </w:rPr>
        <w:t>D</w:t>
      </w:r>
      <w:r>
        <w:rPr>
          <w:sz w:val="16"/>
        </w:rPr>
        <w:t xml:space="preserve"> </w:t>
      </w:r>
      <w:r>
        <w:rPr>
          <w:spacing w:val="6"/>
          <w:sz w:val="16"/>
        </w:rPr>
        <w:t>i</w:t>
      </w:r>
      <w:r>
        <w:rPr>
          <w:sz w:val="16"/>
        </w:rPr>
        <w:t xml:space="preserve"> </w:t>
      </w:r>
      <w:r>
        <w:rPr>
          <w:spacing w:val="6"/>
          <w:sz w:val="16"/>
        </w:rPr>
        <w:t>s</w:t>
      </w:r>
      <w:r>
        <w:rPr>
          <w:sz w:val="16"/>
        </w:rPr>
        <w:t xml:space="preserve"> </w:t>
      </w:r>
      <w:r>
        <w:rPr>
          <w:spacing w:val="6"/>
          <w:sz w:val="16"/>
        </w:rPr>
        <w:t>p</w:t>
      </w:r>
      <w:r>
        <w:rPr>
          <w:sz w:val="16"/>
        </w:rPr>
        <w:t xml:space="preserve"> </w:t>
      </w:r>
      <w:r>
        <w:rPr>
          <w:spacing w:val="6"/>
          <w:sz w:val="16"/>
        </w:rPr>
        <w:t>o</w:t>
      </w:r>
      <w:r>
        <w:rPr>
          <w:sz w:val="16"/>
        </w:rPr>
        <w:t xml:space="preserve"> </w:t>
      </w:r>
      <w:r>
        <w:rPr>
          <w:spacing w:val="6"/>
          <w:sz w:val="16"/>
        </w:rPr>
        <w:t>n</w:t>
      </w:r>
      <w:r>
        <w:rPr>
          <w:sz w:val="16"/>
        </w:rPr>
        <w:t xml:space="preserve"> </w:t>
      </w:r>
      <w:r>
        <w:rPr>
          <w:spacing w:val="6"/>
          <w:sz w:val="16"/>
        </w:rPr>
        <w:t>í</w:t>
      </w:r>
      <w:r>
        <w:rPr>
          <w:sz w:val="16"/>
        </w:rPr>
        <w:t xml:space="preserve"> </w:t>
      </w:r>
      <w:r>
        <w:rPr>
          <w:spacing w:val="6"/>
          <w:sz w:val="16"/>
        </w:rPr>
        <w:t>v</w:t>
      </w:r>
      <w:r>
        <w:rPr>
          <w:sz w:val="16"/>
        </w:rPr>
        <w:t xml:space="preserve"> </w:t>
      </w:r>
      <w:r>
        <w:rPr>
          <w:spacing w:val="6"/>
          <w:sz w:val="16"/>
        </w:rPr>
        <w:t>e</w:t>
      </w:r>
      <w:r>
        <w:rPr>
          <w:sz w:val="16"/>
        </w:rPr>
        <w:t xml:space="preserve"> l</w:t>
      </w:r>
      <w:r>
        <w:rPr>
          <w:sz w:val="16"/>
        </w:rPr>
        <w:tab/>
      </w:r>
      <w:r>
        <w:rPr>
          <w:spacing w:val="6"/>
          <w:sz w:val="16"/>
        </w:rPr>
        <w:t>e m</w:t>
      </w:r>
      <w:r>
        <w:rPr>
          <w:spacing w:val="-6"/>
          <w:sz w:val="16"/>
        </w:rPr>
        <w:t xml:space="preserve"> </w:t>
      </w:r>
      <w:r>
        <w:rPr>
          <w:sz w:val="16"/>
        </w:rPr>
        <w:t>:</w:t>
      </w:r>
      <w:r>
        <w:rPr>
          <w:spacing w:val="7"/>
          <w:sz w:val="16"/>
        </w:rPr>
        <w:t xml:space="preserve"> </w:t>
      </w:r>
    </w:p>
    <w:p w:rsidR="00D81F69" w:rsidRDefault="00D81F69">
      <w:pPr>
        <w:spacing w:before="56" w:line="312" w:lineRule="auto"/>
        <w:ind w:left="100" w:right="159"/>
        <w:rPr>
          <w:sz w:val="16"/>
        </w:rPr>
      </w:pPr>
      <w:hyperlink r:id="rId1643">
        <w:r w:rsidR="00330118">
          <w:rPr>
            <w:sz w:val="16"/>
          </w:rPr>
          <w:t xml:space="preserve">&lt;http://www.scielo.br/pdf/qn/v29n4/30251.pdf&gt;. </w:t>
        </w:r>
      </w:hyperlink>
      <w:r w:rsidR="00330118">
        <w:rPr>
          <w:sz w:val="16"/>
        </w:rPr>
        <w:t>Acesso em: 14 mar. 2010.</w:t>
      </w:r>
    </w:p>
    <w:p w:rsidR="00D81F69" w:rsidRDefault="00330118">
      <w:pPr>
        <w:tabs>
          <w:tab w:val="left" w:pos="945"/>
          <w:tab w:val="left" w:pos="2263"/>
          <w:tab w:val="left" w:pos="3182"/>
          <w:tab w:val="left" w:pos="4727"/>
        </w:tabs>
        <w:spacing w:before="2" w:line="312" w:lineRule="auto"/>
        <w:ind w:left="100" w:right="159"/>
        <w:rPr>
          <w:sz w:val="16"/>
        </w:rPr>
      </w:pPr>
      <w:r>
        <w:rPr>
          <w:sz w:val="16"/>
        </w:rPr>
        <w:t xml:space="preserve">IBGE. Instituto Brasileiro de Geografia e Estatística. Figueira (PA). In:  </w:t>
      </w:r>
      <w:r>
        <w:rPr>
          <w:spacing w:val="10"/>
          <w:sz w:val="16"/>
        </w:rPr>
        <w:t>I B</w:t>
      </w:r>
      <w:r>
        <w:rPr>
          <w:spacing w:val="-9"/>
          <w:sz w:val="16"/>
        </w:rPr>
        <w:t xml:space="preserve"> </w:t>
      </w:r>
      <w:r>
        <w:rPr>
          <w:spacing w:val="10"/>
          <w:sz w:val="16"/>
        </w:rPr>
        <w:t>G</w:t>
      </w:r>
      <w:r>
        <w:rPr>
          <w:sz w:val="16"/>
        </w:rPr>
        <w:t xml:space="preserve"> E</w:t>
      </w:r>
      <w:r>
        <w:rPr>
          <w:sz w:val="16"/>
        </w:rPr>
        <w:tab/>
      </w:r>
      <w:r>
        <w:rPr>
          <w:spacing w:val="10"/>
          <w:sz w:val="16"/>
        </w:rPr>
        <w:t>C</w:t>
      </w:r>
      <w:r>
        <w:rPr>
          <w:sz w:val="16"/>
        </w:rPr>
        <w:t xml:space="preserve"> </w:t>
      </w:r>
      <w:r>
        <w:rPr>
          <w:spacing w:val="10"/>
          <w:sz w:val="16"/>
        </w:rPr>
        <w:t>i</w:t>
      </w:r>
      <w:r>
        <w:rPr>
          <w:sz w:val="16"/>
        </w:rPr>
        <w:t xml:space="preserve"> </w:t>
      </w:r>
      <w:r>
        <w:rPr>
          <w:spacing w:val="10"/>
          <w:sz w:val="16"/>
        </w:rPr>
        <w:t>d</w:t>
      </w:r>
      <w:r>
        <w:rPr>
          <w:sz w:val="16"/>
        </w:rPr>
        <w:t xml:space="preserve"> </w:t>
      </w:r>
      <w:r>
        <w:rPr>
          <w:spacing w:val="10"/>
          <w:sz w:val="16"/>
        </w:rPr>
        <w:t>a</w:t>
      </w:r>
      <w:r>
        <w:rPr>
          <w:sz w:val="16"/>
        </w:rPr>
        <w:t xml:space="preserve"> </w:t>
      </w:r>
      <w:r>
        <w:rPr>
          <w:spacing w:val="10"/>
          <w:sz w:val="16"/>
        </w:rPr>
        <w:t>d</w:t>
      </w:r>
      <w:r>
        <w:rPr>
          <w:sz w:val="16"/>
        </w:rPr>
        <w:t xml:space="preserve"> </w:t>
      </w:r>
      <w:r>
        <w:rPr>
          <w:spacing w:val="10"/>
          <w:sz w:val="16"/>
        </w:rPr>
        <w:t>e</w:t>
      </w:r>
      <w:r>
        <w:rPr>
          <w:sz w:val="16"/>
        </w:rPr>
        <w:t xml:space="preserve"> </w:t>
      </w:r>
      <w:r>
        <w:rPr>
          <w:spacing w:val="10"/>
          <w:sz w:val="16"/>
        </w:rPr>
        <w:t>s</w:t>
      </w:r>
      <w:r>
        <w:rPr>
          <w:sz w:val="16"/>
        </w:rPr>
        <w:t xml:space="preserve"> ,</w:t>
      </w:r>
      <w:r>
        <w:rPr>
          <w:sz w:val="16"/>
        </w:rPr>
        <w:tab/>
      </w:r>
      <w:r>
        <w:rPr>
          <w:spacing w:val="10"/>
          <w:sz w:val="16"/>
        </w:rPr>
        <w:t>2 0 1</w:t>
      </w:r>
      <w:r>
        <w:rPr>
          <w:spacing w:val="-19"/>
          <w:sz w:val="16"/>
        </w:rPr>
        <w:t xml:space="preserve"> </w:t>
      </w:r>
      <w:r>
        <w:rPr>
          <w:spacing w:val="10"/>
          <w:sz w:val="16"/>
        </w:rPr>
        <w:t>0</w:t>
      </w:r>
      <w:r>
        <w:rPr>
          <w:sz w:val="16"/>
        </w:rPr>
        <w:t xml:space="preserve"> .</w:t>
      </w:r>
      <w:r>
        <w:rPr>
          <w:sz w:val="16"/>
        </w:rPr>
        <w:tab/>
      </w:r>
      <w:r>
        <w:rPr>
          <w:spacing w:val="10"/>
          <w:sz w:val="16"/>
        </w:rPr>
        <w:t>D</w:t>
      </w:r>
      <w:r>
        <w:rPr>
          <w:sz w:val="16"/>
        </w:rPr>
        <w:t xml:space="preserve"> </w:t>
      </w:r>
      <w:r>
        <w:rPr>
          <w:spacing w:val="10"/>
          <w:sz w:val="16"/>
        </w:rPr>
        <w:t>i</w:t>
      </w:r>
      <w:r>
        <w:rPr>
          <w:sz w:val="16"/>
        </w:rPr>
        <w:t xml:space="preserve"> </w:t>
      </w:r>
      <w:r>
        <w:rPr>
          <w:spacing w:val="10"/>
          <w:sz w:val="16"/>
        </w:rPr>
        <w:t>s</w:t>
      </w:r>
      <w:r>
        <w:rPr>
          <w:sz w:val="16"/>
        </w:rPr>
        <w:t xml:space="preserve"> </w:t>
      </w:r>
      <w:r>
        <w:rPr>
          <w:spacing w:val="10"/>
          <w:sz w:val="16"/>
        </w:rPr>
        <w:t>p</w:t>
      </w:r>
      <w:r>
        <w:rPr>
          <w:sz w:val="16"/>
        </w:rPr>
        <w:t xml:space="preserve"> </w:t>
      </w:r>
      <w:r>
        <w:rPr>
          <w:spacing w:val="10"/>
          <w:sz w:val="16"/>
        </w:rPr>
        <w:t>o</w:t>
      </w:r>
      <w:r>
        <w:rPr>
          <w:sz w:val="16"/>
        </w:rPr>
        <w:t xml:space="preserve"> </w:t>
      </w:r>
      <w:r>
        <w:rPr>
          <w:spacing w:val="10"/>
          <w:sz w:val="16"/>
        </w:rPr>
        <w:t>n</w:t>
      </w:r>
      <w:r>
        <w:rPr>
          <w:sz w:val="16"/>
        </w:rPr>
        <w:t xml:space="preserve"> </w:t>
      </w:r>
      <w:r>
        <w:rPr>
          <w:spacing w:val="10"/>
          <w:sz w:val="16"/>
        </w:rPr>
        <w:t>í</w:t>
      </w:r>
      <w:r>
        <w:rPr>
          <w:sz w:val="16"/>
        </w:rPr>
        <w:t xml:space="preserve"> </w:t>
      </w:r>
      <w:r>
        <w:rPr>
          <w:spacing w:val="10"/>
          <w:sz w:val="16"/>
        </w:rPr>
        <w:t>v</w:t>
      </w:r>
      <w:r>
        <w:rPr>
          <w:sz w:val="16"/>
        </w:rPr>
        <w:t xml:space="preserve"> </w:t>
      </w:r>
      <w:r>
        <w:rPr>
          <w:spacing w:val="10"/>
          <w:sz w:val="16"/>
        </w:rPr>
        <w:t>e</w:t>
      </w:r>
      <w:r>
        <w:rPr>
          <w:sz w:val="16"/>
        </w:rPr>
        <w:t xml:space="preserve"> l</w:t>
      </w:r>
      <w:r>
        <w:rPr>
          <w:sz w:val="16"/>
        </w:rPr>
        <w:tab/>
      </w:r>
      <w:r>
        <w:rPr>
          <w:spacing w:val="10"/>
          <w:sz w:val="16"/>
        </w:rPr>
        <w:t>e m</w:t>
      </w:r>
      <w:r>
        <w:rPr>
          <w:spacing w:val="-9"/>
          <w:sz w:val="16"/>
        </w:rPr>
        <w:t xml:space="preserve"> </w:t>
      </w:r>
      <w:r>
        <w:rPr>
          <w:sz w:val="16"/>
        </w:rPr>
        <w:t>:</w:t>
      </w:r>
      <w:r>
        <w:rPr>
          <w:spacing w:val="10"/>
          <w:sz w:val="16"/>
        </w:rPr>
        <w:t xml:space="preserve"> </w:t>
      </w:r>
    </w:p>
    <w:p w:rsidR="00D81F69" w:rsidRDefault="00D81F69">
      <w:pPr>
        <w:spacing w:before="1" w:line="312" w:lineRule="auto"/>
        <w:ind w:left="100" w:right="159"/>
        <w:rPr>
          <w:sz w:val="16"/>
        </w:rPr>
      </w:pPr>
      <w:hyperlink r:id="rId1644">
        <w:r w:rsidR="00330118">
          <w:rPr>
            <w:sz w:val="16"/>
          </w:rPr>
          <w:t xml:space="preserve">&lt;http://www.ibge.gov.br/cidadesat/topwindow.htm?1&gt;. </w:t>
        </w:r>
      </w:hyperlink>
      <w:r w:rsidR="00330118">
        <w:rPr>
          <w:sz w:val="16"/>
        </w:rPr>
        <w:t>Acesso em: 28 fev. 2011.</w:t>
      </w:r>
    </w:p>
    <w:p w:rsidR="00D81F69" w:rsidRDefault="00330118">
      <w:pPr>
        <w:spacing w:before="2"/>
        <w:ind w:left="100"/>
        <w:rPr>
          <w:sz w:val="16"/>
        </w:rPr>
      </w:pPr>
      <w:r>
        <w:rPr>
          <w:sz w:val="16"/>
        </w:rPr>
        <w:t>INSTITUTO PARANAENSE DE DESENVOLVIMENTO ECONÔMICO</w:t>
      </w:r>
    </w:p>
    <w:p w:rsidR="00D81F69" w:rsidRDefault="00330118">
      <w:pPr>
        <w:spacing w:before="56" w:line="312" w:lineRule="auto"/>
        <w:ind w:left="100" w:right="159"/>
        <w:rPr>
          <w:sz w:val="16"/>
        </w:rPr>
      </w:pPr>
      <w:r>
        <w:rPr>
          <w:sz w:val="16"/>
        </w:rPr>
        <w:t>E SOCIAL. Avaliação da Sustentabilidade Socioeconômi</w:t>
      </w:r>
      <w:r>
        <w:rPr>
          <w:sz w:val="16"/>
        </w:rPr>
        <w:t xml:space="preserve">ca do Município de Figueira. Curitiba, 2003. Disponível em: </w:t>
      </w:r>
    </w:p>
    <w:p w:rsidR="00D81F69" w:rsidRDefault="00D81F69">
      <w:pPr>
        <w:spacing w:before="2"/>
        <w:ind w:left="100"/>
        <w:jc w:val="both"/>
        <w:rPr>
          <w:sz w:val="16"/>
        </w:rPr>
      </w:pPr>
      <w:hyperlink r:id="rId1645">
        <w:r w:rsidR="00330118">
          <w:rPr>
            <w:sz w:val="16"/>
          </w:rPr>
          <w:t>&lt;http://www.ipardes.gov.br/biblioteca/docs/diagnostico_figueira.pdf&gt;</w:t>
        </w:r>
      </w:hyperlink>
    </w:p>
    <w:p w:rsidR="00D81F69" w:rsidRDefault="00330118">
      <w:pPr>
        <w:spacing w:before="56"/>
        <w:ind w:left="100"/>
        <w:jc w:val="both"/>
        <w:rPr>
          <w:sz w:val="16"/>
        </w:rPr>
      </w:pPr>
      <w:r>
        <w:rPr>
          <w:sz w:val="16"/>
        </w:rPr>
        <w:t>Acesso em: 28 abr. 2011.</w:t>
      </w:r>
    </w:p>
    <w:p w:rsidR="00D81F69" w:rsidRDefault="00D81F69">
      <w:pPr>
        <w:jc w:val="both"/>
        <w:rPr>
          <w:sz w:val="16"/>
        </w:rPr>
        <w:sectPr w:rsidR="00D81F69">
          <w:type w:val="continuous"/>
          <w:pgSz w:w="11900" w:h="16840"/>
          <w:pgMar w:top="720" w:right="500" w:bottom="280" w:left="620" w:header="720" w:footer="720" w:gutter="0"/>
          <w:cols w:num="2" w:space="720" w:equalWidth="0">
            <w:col w:w="5145" w:space="325"/>
            <w:col w:w="5310"/>
          </w:cols>
        </w:sectPr>
      </w:pPr>
    </w:p>
    <w:p w:rsidR="00D81F69" w:rsidRDefault="00330118">
      <w:pPr>
        <w:spacing w:before="70" w:line="312" w:lineRule="auto"/>
        <w:ind w:left="100" w:right="38"/>
        <w:jc w:val="both"/>
        <w:rPr>
          <w:sz w:val="16"/>
        </w:rPr>
      </w:pPr>
      <w:r>
        <w:rPr>
          <w:sz w:val="16"/>
        </w:rPr>
        <w:lastRenderedPageBreak/>
        <w:t xml:space="preserve">LEFFA, Daniela Dimer; ANDRADE, V. M. Potencial genotóxico de metais em áreas mineradas de carvão. In: Periódico do Programa de Pós-Graduação em Ciências da Saúde da Universidade do Extremo </w:t>
      </w:r>
      <w:r>
        <w:rPr>
          <w:spacing w:val="13"/>
          <w:sz w:val="16"/>
        </w:rPr>
        <w:t xml:space="preserve">Sul   </w:t>
      </w:r>
      <w:r>
        <w:rPr>
          <w:spacing w:val="20"/>
          <w:sz w:val="16"/>
        </w:rPr>
        <w:t xml:space="preserve">Catarinense,  </w:t>
      </w:r>
      <w:r>
        <w:rPr>
          <w:spacing w:val="10"/>
          <w:sz w:val="16"/>
        </w:rPr>
        <w:t xml:space="preserve">v. </w:t>
      </w:r>
      <w:r>
        <w:rPr>
          <w:spacing w:val="65"/>
          <w:sz w:val="16"/>
        </w:rPr>
        <w:t xml:space="preserve"> </w:t>
      </w:r>
      <w:r>
        <w:rPr>
          <w:spacing w:val="10"/>
          <w:sz w:val="16"/>
        </w:rPr>
        <w:t xml:space="preserve">4, </w:t>
      </w:r>
      <w:r>
        <w:rPr>
          <w:spacing w:val="65"/>
          <w:sz w:val="16"/>
        </w:rPr>
        <w:t xml:space="preserve"> </w:t>
      </w:r>
      <w:r>
        <w:rPr>
          <w:spacing w:val="10"/>
          <w:sz w:val="16"/>
        </w:rPr>
        <w:t xml:space="preserve">n. </w:t>
      </w:r>
      <w:r>
        <w:rPr>
          <w:spacing w:val="65"/>
          <w:sz w:val="16"/>
        </w:rPr>
        <w:t xml:space="preserve"> </w:t>
      </w:r>
      <w:r>
        <w:rPr>
          <w:spacing w:val="10"/>
          <w:sz w:val="16"/>
        </w:rPr>
        <w:t xml:space="preserve">1, </w:t>
      </w:r>
      <w:r>
        <w:rPr>
          <w:spacing w:val="65"/>
          <w:sz w:val="16"/>
        </w:rPr>
        <w:t xml:space="preserve"> </w:t>
      </w:r>
      <w:r>
        <w:rPr>
          <w:spacing w:val="16"/>
          <w:sz w:val="16"/>
        </w:rPr>
        <w:t>200</w:t>
      </w:r>
      <w:r>
        <w:rPr>
          <w:spacing w:val="16"/>
          <w:sz w:val="16"/>
        </w:rPr>
        <w:t xml:space="preserve">8.   </w:t>
      </w:r>
      <w:r>
        <w:rPr>
          <w:spacing w:val="18"/>
          <w:sz w:val="16"/>
        </w:rPr>
        <w:t>Disponível</w:t>
      </w:r>
      <w:r>
        <w:rPr>
          <w:spacing w:val="17"/>
          <w:sz w:val="16"/>
        </w:rPr>
        <w:t xml:space="preserve"> </w:t>
      </w:r>
      <w:r>
        <w:rPr>
          <w:spacing w:val="13"/>
          <w:sz w:val="16"/>
        </w:rPr>
        <w:t>em:</w:t>
      </w:r>
      <w:r>
        <w:rPr>
          <w:spacing w:val="-22"/>
          <w:sz w:val="16"/>
        </w:rPr>
        <w:t xml:space="preserve"> </w:t>
      </w:r>
    </w:p>
    <w:p w:rsidR="00D81F69" w:rsidRDefault="00D81F69">
      <w:pPr>
        <w:spacing w:before="3"/>
        <w:ind w:left="100"/>
        <w:jc w:val="both"/>
        <w:rPr>
          <w:sz w:val="16"/>
        </w:rPr>
      </w:pPr>
      <w:hyperlink r:id="rId1646">
        <w:r w:rsidR="00330118">
          <w:rPr>
            <w:sz w:val="16"/>
          </w:rPr>
          <w:t>&lt;http://periodicos.unesc.net/index.php/saude/article/view/141/146&gt;.</w:t>
        </w:r>
      </w:hyperlink>
    </w:p>
    <w:p w:rsidR="00D81F69" w:rsidRDefault="00330118">
      <w:pPr>
        <w:spacing w:before="70"/>
        <w:ind w:left="100"/>
        <w:rPr>
          <w:sz w:val="16"/>
        </w:rPr>
      </w:pPr>
      <w:r>
        <w:br w:type="column"/>
      </w:r>
      <w:r>
        <w:rPr>
          <w:sz w:val="16"/>
        </w:rPr>
        <w:lastRenderedPageBreak/>
        <w:t>Acesso em: 14 mar. 2010.</w:t>
      </w:r>
    </w:p>
    <w:p w:rsidR="00D81F69" w:rsidRDefault="00330118">
      <w:pPr>
        <w:spacing w:before="56" w:line="312" w:lineRule="auto"/>
        <w:ind w:left="100" w:right="204"/>
        <w:jc w:val="both"/>
        <w:rPr>
          <w:sz w:val="16"/>
        </w:rPr>
      </w:pPr>
      <w:r>
        <w:rPr>
          <w:sz w:val="16"/>
        </w:rPr>
        <w:t xml:space="preserve">PORTAL PARANAONLINE. Crise em Figueira, apelo dos mineiros </w:t>
      </w:r>
      <w:r>
        <w:rPr>
          <w:sz w:val="16"/>
        </w:rPr>
        <w:t>de carvão. 19 abr. 2003. Disponível em: &lt;http://www.parana- online.com.br/canal/direito-e-justica/news/45426/&gt;. Acesso em: 14 mar. 2010.</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74" w:space="296"/>
            <w:col w:w="5310"/>
          </w:cols>
        </w:sectPr>
      </w:pPr>
    </w:p>
    <w:p w:rsidR="00D81F69" w:rsidRDefault="00330118">
      <w:pPr>
        <w:pStyle w:val="Heading1"/>
        <w:spacing w:line="208" w:lineRule="auto"/>
      </w:pPr>
      <w:r>
        <w:lastRenderedPageBreak/>
        <w:t>Arsênio de fonte desconhecida contamina Complexo Estuarino da Baía de Paranaguá (PR)</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20"/>
        <w:rPr>
          <w:i/>
          <w:sz w:val="14"/>
        </w:rPr>
      </w:pPr>
      <w:r>
        <w:rPr>
          <w:i/>
          <w:sz w:val="14"/>
        </w:rPr>
        <w:t>PR - Antonina PR - Paranaguá</w:t>
      </w:r>
    </w:p>
    <w:p w:rsidR="00D81F69" w:rsidRDefault="00D81F69">
      <w:pPr>
        <w:pStyle w:val="Corpodetexto"/>
        <w:spacing w:before="4"/>
        <w:ind w:left="0"/>
        <w:jc w:val="left"/>
        <w:rPr>
          <w:i/>
        </w:rPr>
      </w:pPr>
    </w:p>
    <w:p w:rsidR="00D81F69" w:rsidRDefault="00330118">
      <w:pPr>
        <w:spacing w:before="1"/>
        <w:ind w:left="135"/>
        <w:rPr>
          <w:i/>
          <w:sz w:val="14"/>
        </w:rPr>
      </w:pPr>
      <w:r>
        <w:rPr>
          <w:i/>
          <w:sz w:val="14"/>
        </w:rPr>
        <w:t>LATITUDE</w:t>
      </w:r>
    </w:p>
    <w:p w:rsidR="00D81F69" w:rsidRDefault="00330118">
      <w:pPr>
        <w:spacing w:before="49"/>
        <w:ind w:left="135"/>
        <w:rPr>
          <w:i/>
          <w:sz w:val="14"/>
        </w:rPr>
      </w:pPr>
      <w:r>
        <w:rPr>
          <w:i/>
          <w:sz w:val="14"/>
        </w:rPr>
        <w:t>-25,4986</w:t>
      </w:r>
    </w:p>
    <w:p w:rsidR="00D81F69" w:rsidRDefault="00D81F69">
      <w:pPr>
        <w:pStyle w:val="Corpodetexto"/>
        <w:spacing w:before="5"/>
        <w:ind w:left="0"/>
        <w:jc w:val="left"/>
        <w:rPr>
          <w:i/>
          <w:sz w:val="22"/>
        </w:rPr>
      </w:pPr>
    </w:p>
    <w:p w:rsidR="00D81F69" w:rsidRDefault="00330118">
      <w:pPr>
        <w:spacing w:before="1"/>
        <w:ind w:left="135"/>
        <w:rPr>
          <w:i/>
          <w:sz w:val="14"/>
        </w:rPr>
      </w:pPr>
      <w:r>
        <w:rPr>
          <w:i/>
          <w:sz w:val="14"/>
        </w:rPr>
        <w:t>LONGITUDE</w:t>
      </w:r>
    </w:p>
    <w:p w:rsidR="00D81F69" w:rsidRDefault="00330118">
      <w:pPr>
        <w:spacing w:before="49"/>
        <w:ind w:left="135"/>
        <w:rPr>
          <w:i/>
          <w:sz w:val="14"/>
        </w:rPr>
      </w:pPr>
      <w:r>
        <w:rPr>
          <w:i/>
          <w:sz w:val="14"/>
        </w:rPr>
        <w:t>-48,2916</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6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Pesquisas revelam a presença de </w:t>
      </w:r>
      <w:r>
        <w:rPr>
          <w:i/>
          <w:sz w:val="16"/>
        </w:rPr>
        <w:t>arsênio na região conhecida como Complexo Estuarino da Baía de Paranaguá, no Paraná. Um estudo publicado em 2003 demonstrou que os teores de arsênio, cádmio, cromo, mercúrio, níquel e zinco estavam acima do aceitável. A fonte da contaminação ainda é descon</w:t>
      </w:r>
      <w:r>
        <w:rPr>
          <w:i/>
          <w:sz w:val="16"/>
        </w:rPr>
        <w:t>hecida.</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6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12"/>
      </w:pPr>
      <w:r>
        <w:t>arsênio apresentou uma das concentrações mais altas em certos pontos (SÁ; MACHADO; ÂNGULO, 2006).</w:t>
      </w:r>
    </w:p>
    <w:p w:rsidR="00D81F69" w:rsidRDefault="00330118">
      <w:pPr>
        <w:pStyle w:val="Corpodetexto"/>
        <w:spacing w:before="131" w:line="312" w:lineRule="auto"/>
        <w:ind w:left="135" w:right="194"/>
      </w:pPr>
      <w:r>
        <w:t>Além de diversas formas de câncer, o arsênio pode causar várias outras doenças, gerar distúrbios no sistema nervoso, aumentar a frequência de abor</w:t>
      </w:r>
      <w:r>
        <w:t>tos espontâneos e até levar à morte (FIGUEIREDO, BORBA; ANGELICA, 2006).</w:t>
      </w:r>
    </w:p>
    <w:p w:rsidR="00D81F69" w:rsidRDefault="00330118">
      <w:pPr>
        <w:pStyle w:val="Corpodetexto"/>
        <w:spacing w:before="134" w:line="312" w:lineRule="auto"/>
        <w:ind w:left="135" w:right="191"/>
      </w:pPr>
      <w:r>
        <w:t>O aumento nas atividades dos portos do Complexo Estuarino da Baía de Paranaguá, sobretudo do porto de Antonina, tem criado a necessidade de se dragarem constantemente algumas áreas pa</w:t>
      </w:r>
      <w:r>
        <w:t>ra que as embarcações possam passar.</w:t>
      </w:r>
    </w:p>
    <w:p w:rsidR="00D81F69" w:rsidRDefault="00D81F69">
      <w:pPr>
        <w:spacing w:line="312" w:lineRule="auto"/>
        <w:sectPr w:rsidR="00D81F69">
          <w:type w:val="continuous"/>
          <w:pgSz w:w="11900" w:h="16840"/>
          <w:pgMar w:top="720" w:right="500" w:bottom="280" w:left="620" w:header="720" w:footer="720" w:gutter="0"/>
          <w:cols w:num="3" w:space="720" w:equalWidth="0">
            <w:col w:w="1179" w:space="821"/>
            <w:col w:w="3125" w:space="310"/>
            <w:col w:w="5345"/>
          </w:cols>
        </w:sectPr>
      </w:pPr>
    </w:p>
    <w:p w:rsidR="00D81F69" w:rsidRDefault="00330118">
      <w:pPr>
        <w:pStyle w:val="Heading4"/>
        <w:spacing w:line="264" w:lineRule="exact"/>
      </w:pPr>
      <w:r>
        <w:lastRenderedPageBreak/>
        <w:t>APRESENTAÇÃO DE CASO</w:t>
      </w:r>
    </w:p>
    <w:p w:rsidR="00D81F69" w:rsidRDefault="00330118">
      <w:pPr>
        <w:pStyle w:val="Corpodetexto"/>
        <w:spacing w:before="170" w:line="312" w:lineRule="auto"/>
        <w:ind w:right="38"/>
      </w:pPr>
      <w:r>
        <w:t>Situado no litoral paranaense, o Complexo Estuarino da Baía de Paranaguá concentra uma série de atividades geradoras de riqueza e, também, de impactos ambientais. Faz</w:t>
      </w:r>
      <w:r>
        <w:t xml:space="preserve">em parte </w:t>
      </w:r>
      <w:r>
        <w:rPr>
          <w:spacing w:val="5"/>
        </w:rPr>
        <w:t xml:space="preserve">do </w:t>
      </w:r>
      <w:r>
        <w:rPr>
          <w:spacing w:val="10"/>
        </w:rPr>
        <w:t xml:space="preserve">complexo </w:t>
      </w:r>
      <w:r>
        <w:rPr>
          <w:spacing w:val="5"/>
        </w:rPr>
        <w:t xml:space="preserve">as </w:t>
      </w:r>
      <w:r>
        <w:rPr>
          <w:spacing w:val="8"/>
        </w:rPr>
        <w:t xml:space="preserve">baías </w:t>
      </w:r>
      <w:r>
        <w:rPr>
          <w:spacing w:val="5"/>
        </w:rPr>
        <w:t xml:space="preserve">de </w:t>
      </w:r>
      <w:r>
        <w:rPr>
          <w:spacing w:val="10"/>
        </w:rPr>
        <w:t xml:space="preserve">Antonina, </w:t>
      </w:r>
      <w:r>
        <w:rPr>
          <w:spacing w:val="7"/>
        </w:rPr>
        <w:t xml:space="preserve">das </w:t>
      </w:r>
      <w:r>
        <w:rPr>
          <w:spacing w:val="11"/>
        </w:rPr>
        <w:t xml:space="preserve">Laranjeiras, </w:t>
      </w:r>
      <w:r>
        <w:t xml:space="preserve">Guaraqueçaba, Pinheiros e a própria baía de Paranaguá, que </w:t>
      </w:r>
      <w:r>
        <w:rPr>
          <w:spacing w:val="3"/>
        </w:rPr>
        <w:t xml:space="preserve">batiza </w:t>
      </w:r>
      <w:r>
        <w:t xml:space="preserve">o </w:t>
      </w:r>
      <w:r>
        <w:rPr>
          <w:spacing w:val="3"/>
        </w:rPr>
        <w:t xml:space="preserve">conjunto. </w:t>
      </w:r>
      <w:r>
        <w:rPr>
          <w:spacing w:val="1"/>
        </w:rPr>
        <w:t xml:space="preserve">Ao </w:t>
      </w:r>
      <w:r>
        <w:rPr>
          <w:spacing w:val="3"/>
        </w:rPr>
        <w:t xml:space="preserve">longo </w:t>
      </w:r>
      <w:r>
        <w:rPr>
          <w:spacing w:val="2"/>
        </w:rPr>
        <w:t xml:space="preserve">dos 180 </w:t>
      </w:r>
      <w:r>
        <w:rPr>
          <w:spacing w:val="1"/>
        </w:rPr>
        <w:t xml:space="preserve">km de </w:t>
      </w:r>
      <w:r>
        <w:rPr>
          <w:spacing w:val="3"/>
        </w:rPr>
        <w:t xml:space="preserve">perímetro </w:t>
      </w:r>
      <w:r>
        <w:rPr>
          <w:spacing w:val="5"/>
        </w:rPr>
        <w:t xml:space="preserve">que </w:t>
      </w:r>
      <w:r>
        <w:t>delimitam a região, estende-se uma área composta por uma variada gama de ecossist</w:t>
      </w:r>
      <w:r>
        <w:t>emas, ilhas, enseadas, manguezais, etc. (BARCELOS et al.,</w:t>
      </w:r>
      <w:r>
        <w:rPr>
          <w:spacing w:val="10"/>
        </w:rPr>
        <w:t xml:space="preserve"> </w:t>
      </w:r>
      <w:r>
        <w:t>2003).</w:t>
      </w:r>
    </w:p>
    <w:p w:rsidR="00D81F69" w:rsidRDefault="00330118">
      <w:pPr>
        <w:pStyle w:val="Corpodetexto"/>
        <w:spacing w:before="138" w:line="312" w:lineRule="auto"/>
        <w:ind w:right="42"/>
      </w:pPr>
      <w:r>
        <w:t xml:space="preserve">O </w:t>
      </w:r>
      <w:r>
        <w:rPr>
          <w:spacing w:val="3"/>
        </w:rPr>
        <w:t xml:space="preserve">complexo abriga também polos industriais </w:t>
      </w:r>
      <w:r>
        <w:rPr>
          <w:spacing w:val="5"/>
        </w:rPr>
        <w:t xml:space="preserve">(fertilizantes, </w:t>
      </w:r>
      <w:r>
        <w:rPr>
          <w:spacing w:val="7"/>
        </w:rPr>
        <w:t xml:space="preserve">produtos químicos </w:t>
      </w:r>
      <w:r>
        <w:rPr>
          <w:spacing w:val="5"/>
        </w:rPr>
        <w:t xml:space="preserve">em </w:t>
      </w:r>
      <w:r>
        <w:rPr>
          <w:spacing w:val="7"/>
        </w:rPr>
        <w:t xml:space="preserve">geral </w:t>
      </w:r>
      <w:r>
        <w:t xml:space="preserve">e </w:t>
      </w:r>
      <w:r>
        <w:rPr>
          <w:spacing w:val="7"/>
        </w:rPr>
        <w:t xml:space="preserve">granéis), </w:t>
      </w:r>
      <w:r>
        <w:rPr>
          <w:spacing w:val="10"/>
        </w:rPr>
        <w:t xml:space="preserve">comunidades </w:t>
      </w:r>
      <w:r>
        <w:rPr>
          <w:spacing w:val="3"/>
        </w:rPr>
        <w:t xml:space="preserve">pesqueiras, algumas áreas </w:t>
      </w:r>
      <w:r>
        <w:rPr>
          <w:spacing w:val="1"/>
        </w:rPr>
        <w:t xml:space="preserve">de </w:t>
      </w:r>
      <w:r>
        <w:rPr>
          <w:spacing w:val="3"/>
        </w:rPr>
        <w:t xml:space="preserve">mineração </w:t>
      </w:r>
      <w:r>
        <w:t xml:space="preserve">e </w:t>
      </w:r>
      <w:r>
        <w:rPr>
          <w:spacing w:val="3"/>
        </w:rPr>
        <w:t xml:space="preserve">polos </w:t>
      </w:r>
      <w:r>
        <w:rPr>
          <w:spacing w:val="5"/>
        </w:rPr>
        <w:t xml:space="preserve">urbanos </w:t>
      </w:r>
      <w:r>
        <w:t xml:space="preserve">(SÁ; MACHADO; ÂNGULO, 2006) e possui dois importantes portos: o de Antonina e o de Paranaguá, este um dos mais </w:t>
      </w:r>
      <w:r>
        <w:rPr>
          <w:spacing w:val="8"/>
        </w:rPr>
        <w:t xml:space="preserve">importantes </w:t>
      </w:r>
      <w:r>
        <w:rPr>
          <w:spacing w:val="5"/>
        </w:rPr>
        <w:t xml:space="preserve">do </w:t>
      </w:r>
      <w:r>
        <w:rPr>
          <w:spacing w:val="7"/>
        </w:rPr>
        <w:t xml:space="preserve">Brasil, </w:t>
      </w:r>
      <w:r>
        <w:rPr>
          <w:spacing w:val="5"/>
        </w:rPr>
        <w:t xml:space="preserve">com um </w:t>
      </w:r>
      <w:r>
        <w:rPr>
          <w:spacing w:val="7"/>
        </w:rPr>
        <w:t xml:space="preserve">intenso movimento </w:t>
      </w:r>
      <w:r>
        <w:rPr>
          <w:spacing w:val="10"/>
        </w:rPr>
        <w:t xml:space="preserve">de </w:t>
      </w:r>
      <w:r>
        <w:rPr>
          <w:spacing w:val="6"/>
        </w:rPr>
        <w:t xml:space="preserve">embarcações percorrendo diariamente </w:t>
      </w:r>
      <w:r>
        <w:rPr>
          <w:spacing w:val="5"/>
        </w:rPr>
        <w:t xml:space="preserve">certas faixas </w:t>
      </w:r>
      <w:r>
        <w:rPr>
          <w:spacing w:val="7"/>
        </w:rPr>
        <w:t xml:space="preserve">do </w:t>
      </w:r>
      <w:r>
        <w:t>complexo. Existe a possibilidade de que p</w:t>
      </w:r>
      <w:r>
        <w:t xml:space="preserve">olos de mineração próximos tenham relação com a contaminação das águas da </w:t>
      </w:r>
      <w:r>
        <w:rPr>
          <w:spacing w:val="5"/>
        </w:rPr>
        <w:t xml:space="preserve">região </w:t>
      </w:r>
      <w:r>
        <w:rPr>
          <w:spacing w:val="3"/>
        </w:rPr>
        <w:t xml:space="preserve">por </w:t>
      </w:r>
      <w:r>
        <w:rPr>
          <w:spacing w:val="5"/>
        </w:rPr>
        <w:t>metais pesados</w:t>
      </w:r>
      <w:r>
        <w:rPr>
          <w:spacing w:val="61"/>
        </w:rPr>
        <w:t xml:space="preserve"> </w:t>
      </w:r>
      <w:r>
        <w:rPr>
          <w:spacing w:val="6"/>
        </w:rPr>
        <w:t>(PARANAGUA.PR.GOV.BR, 2010).</w:t>
      </w:r>
    </w:p>
    <w:p w:rsidR="00D81F69" w:rsidRDefault="00330118">
      <w:pPr>
        <w:pStyle w:val="Corpodetexto"/>
        <w:spacing w:before="140" w:line="312" w:lineRule="auto"/>
        <w:ind w:right="50"/>
      </w:pPr>
      <w:r>
        <w:t>De acordo com Vanessa Egéa Anjos, “estuários podem ser definidos como corpos de águas costeiros semifechados que apresentam uma</w:t>
      </w:r>
      <w:r>
        <w:t xml:space="preserve"> conexão livre com o oceano adjacente” (ANJOS, 2006, p. 20). São regiões de encontro entre águas doces e marinhas. Os estuários são ecossistemas complexos, nos quais os elementos químicos tóxicos podem apresentar comportamentos variáveis e, algumas vezes, </w:t>
      </w:r>
      <w:r>
        <w:t>imprevisíveis (ANJOS, 2006).</w:t>
      </w:r>
    </w:p>
    <w:p w:rsidR="00D81F69" w:rsidRDefault="00330118">
      <w:pPr>
        <w:pStyle w:val="Corpodetexto"/>
        <w:spacing w:before="138" w:line="312" w:lineRule="auto"/>
        <w:ind w:right="38"/>
      </w:pPr>
      <w:r>
        <w:t>Pesquisas recentes demonstraram contaminação das águas em diversos trechos do complexo, sendo que, em alguns, a situação foi considerada preocupante (SÁ, 2003; SÁ; MACHADO; ÂNGULO, 2006; ANJOS 2006). Em um estudo</w:t>
      </w:r>
    </w:p>
    <w:p w:rsidR="00D81F69" w:rsidRDefault="00330118">
      <w:pPr>
        <w:pStyle w:val="Corpodetexto"/>
        <w:spacing w:before="4" w:line="312" w:lineRule="auto"/>
        <w:ind w:right="66"/>
      </w:pPr>
      <w:r>
        <w:t xml:space="preserve">publicado em 2003, o geólogo Fabian Sá constatou que os teores de </w:t>
      </w:r>
      <w:hyperlink r:id="rId1647">
        <w:r>
          <w:t xml:space="preserve">arsênio, </w:t>
        </w:r>
      </w:hyperlink>
      <w:hyperlink r:id="rId1648">
        <w:r>
          <w:t>c</w:t>
        </w:r>
        <w:r>
          <w:t xml:space="preserve">ádmio, </w:t>
        </w:r>
      </w:hyperlink>
      <w:hyperlink r:id="rId1649">
        <w:r>
          <w:t xml:space="preserve">cromo, </w:t>
        </w:r>
      </w:hyperlink>
      <w:hyperlink r:id="rId1650">
        <w:r>
          <w:t xml:space="preserve">mercúrio, </w:t>
        </w:r>
      </w:hyperlink>
      <w:hyperlink r:id="rId1651">
        <w:r>
          <w:t xml:space="preserve">níquel </w:t>
        </w:r>
      </w:hyperlink>
      <w:r>
        <w:t xml:space="preserve">e </w:t>
      </w:r>
      <w:hyperlink r:id="rId1652">
        <w:r>
          <w:t>zinco</w:t>
        </w:r>
      </w:hyperlink>
      <w:r>
        <w:t xml:space="preserve"> estavam acima dos padrões adotados como referência para a medição (Legislação Canadense). Dentre estes element</w:t>
      </w:r>
      <w:r>
        <w:t>os, o</w:t>
      </w:r>
    </w:p>
    <w:p w:rsidR="00D81F69" w:rsidRDefault="00330118">
      <w:pPr>
        <w:pStyle w:val="Corpodetexto"/>
        <w:spacing w:before="4" w:line="312" w:lineRule="auto"/>
        <w:ind w:right="214"/>
      </w:pPr>
      <w:r>
        <w:br w:type="column"/>
      </w:r>
      <w:r>
        <w:lastRenderedPageBreak/>
        <w:t>Nesses processos, são retirados grandes volumes de material que se acumulam no fundo das baías e canais, sedimentos contaminados por elementos tóxicos, que são despejados em áreas adjacentes (ODRESKY; SOARES; ÂNGULO, 2003).</w:t>
      </w:r>
    </w:p>
    <w:p w:rsidR="00D81F69" w:rsidRDefault="00330118">
      <w:pPr>
        <w:pStyle w:val="Corpodetexto"/>
        <w:spacing w:before="133" w:line="312" w:lineRule="auto"/>
        <w:ind w:right="189"/>
      </w:pPr>
      <w:r>
        <w:t>Em 1995, a Diretoria de H</w:t>
      </w:r>
      <w:r>
        <w:t xml:space="preserve">idrografia e Navegação do estado do Paraná publicou um estudo no qual eram analisadas duas cartas que comparavam medições da profundidade da Baía </w:t>
      </w:r>
      <w:r>
        <w:rPr>
          <w:spacing w:val="1"/>
        </w:rPr>
        <w:t xml:space="preserve">de </w:t>
      </w:r>
      <w:r>
        <w:rPr>
          <w:spacing w:val="3"/>
        </w:rPr>
        <w:t xml:space="preserve">Antonina realizadas </w:t>
      </w:r>
      <w:r>
        <w:rPr>
          <w:spacing w:val="1"/>
        </w:rPr>
        <w:t xml:space="preserve">em </w:t>
      </w:r>
      <w:r>
        <w:rPr>
          <w:spacing w:val="2"/>
        </w:rPr>
        <w:t xml:space="preserve">1901 </w:t>
      </w:r>
      <w:r>
        <w:t xml:space="preserve">e </w:t>
      </w:r>
      <w:r>
        <w:rPr>
          <w:spacing w:val="1"/>
        </w:rPr>
        <w:t xml:space="preserve">em </w:t>
      </w:r>
      <w:r>
        <w:rPr>
          <w:spacing w:val="3"/>
        </w:rPr>
        <w:t xml:space="preserve">1979. </w:t>
      </w:r>
      <w:r>
        <w:t xml:space="preserve">O </w:t>
      </w:r>
      <w:r>
        <w:rPr>
          <w:spacing w:val="5"/>
        </w:rPr>
        <w:t xml:space="preserve">resultado </w:t>
      </w:r>
      <w:r>
        <w:rPr>
          <w:spacing w:val="8"/>
        </w:rPr>
        <w:t xml:space="preserve">obtido demonstrou </w:t>
      </w:r>
      <w:r>
        <w:rPr>
          <w:spacing w:val="6"/>
        </w:rPr>
        <w:t xml:space="preserve">que </w:t>
      </w:r>
      <w:r>
        <w:rPr>
          <w:spacing w:val="7"/>
        </w:rPr>
        <w:t xml:space="preserve">houve </w:t>
      </w:r>
      <w:r>
        <w:rPr>
          <w:spacing w:val="5"/>
        </w:rPr>
        <w:t xml:space="preserve">um </w:t>
      </w:r>
      <w:r>
        <w:rPr>
          <w:spacing w:val="7"/>
        </w:rPr>
        <w:t xml:space="preserve">largo </w:t>
      </w:r>
      <w:r>
        <w:rPr>
          <w:spacing w:val="8"/>
        </w:rPr>
        <w:t xml:space="preserve">processo </w:t>
      </w:r>
      <w:r>
        <w:rPr>
          <w:spacing w:val="10"/>
        </w:rPr>
        <w:t xml:space="preserve">de </w:t>
      </w:r>
      <w:r>
        <w:rPr>
          <w:spacing w:val="5"/>
        </w:rPr>
        <w:t>assorea</w:t>
      </w:r>
      <w:r>
        <w:rPr>
          <w:spacing w:val="5"/>
        </w:rPr>
        <w:t xml:space="preserve">mento </w:t>
      </w:r>
      <w:r>
        <w:rPr>
          <w:spacing w:val="2"/>
        </w:rPr>
        <w:t xml:space="preserve">na </w:t>
      </w:r>
      <w:r>
        <w:rPr>
          <w:spacing w:val="5"/>
        </w:rPr>
        <w:t xml:space="preserve">baía (ODRESKY; SOARES; </w:t>
      </w:r>
      <w:r>
        <w:rPr>
          <w:spacing w:val="6"/>
        </w:rPr>
        <w:t>ÂNGULO, 2003).</w:t>
      </w:r>
    </w:p>
    <w:p w:rsidR="00D81F69" w:rsidRDefault="00330118">
      <w:pPr>
        <w:pStyle w:val="Corpodetexto"/>
        <w:spacing w:before="137" w:line="312" w:lineRule="auto"/>
        <w:ind w:right="190"/>
      </w:pPr>
      <w:r>
        <w:t>Os sedimentos acumulados em diversos pontos do Complexo Estuarino de Paranaguá apresentam altos índices de arsênio. A causa da contaminação, entretanto, ainda é desconhecida (ANJOS; QUINÁIA; GRASSI, 2005). Pes</w:t>
      </w:r>
      <w:r>
        <w:t>quisas recentes demonstraram que grande parte desses sedimentos são levados ao estuário por rios da região (ODRESKY et. al, 2003).</w:t>
      </w:r>
    </w:p>
    <w:p w:rsidR="00D81F69" w:rsidRDefault="00330118">
      <w:pPr>
        <w:pStyle w:val="Corpodetexto"/>
        <w:spacing w:before="136" w:line="312" w:lineRule="auto"/>
        <w:ind w:right="186"/>
        <w:jc w:val="left"/>
      </w:pPr>
      <w:r>
        <w:t>O geólogo Fabian Sá constatou que a concentração de arsênio e diversos metais pesados aumenta de forma significativa nas prox</w:t>
      </w:r>
      <w:r>
        <w:t>imidades de Paranaguá, município com 826,676 km² e 140.469 habitantes (IBGE, 2010). A constatação aponta para a possibilidade de haver fontes de contaminação no local. Os índices mais altos de arsênio foram registrados nas regiões oeste e leste do porto Pa</w:t>
      </w:r>
      <w:r>
        <w:t>ranaguá, entre o final de cais oeste e o píer da Petrobras / Catallini (SÁ, 2003).</w:t>
      </w:r>
    </w:p>
    <w:p w:rsidR="00D81F69" w:rsidRDefault="00330118">
      <w:pPr>
        <w:pStyle w:val="Corpodetexto"/>
        <w:spacing w:before="139" w:line="312" w:lineRule="auto"/>
        <w:ind w:right="194"/>
      </w:pPr>
      <w:r>
        <w:t>A mesma pesquisa aponta fábricas de fertilizantes localizadas na região como possíveis fontes de contaminação por arsênio. Um aspecto preocupante é o fato de pescados e mari</w:t>
      </w:r>
      <w:r>
        <w:t xml:space="preserve">scos provenientes de áreas contaminadas serem responsáveis pela maior parte da alimentação da população local. Um estudo realizado em 2002 revelou um altíssimo nível de contaminação em peixes e mariscos cujo habitat é a Baía de Antonina (KOLM et al., 2002 </w:t>
      </w:r>
      <w:r>
        <w:t>apud SÁ; MACHADO; ÂNGULO, 2006).</w:t>
      </w:r>
    </w:p>
    <w:p w:rsidR="00D81F69" w:rsidRDefault="00D81F69">
      <w:pPr>
        <w:pStyle w:val="Corpodetexto"/>
        <w:spacing w:before="8"/>
        <w:ind w:left="0"/>
        <w:jc w:val="left"/>
        <w:rPr>
          <w:sz w:val="21"/>
        </w:rPr>
      </w:pPr>
    </w:p>
    <w:p w:rsidR="00D81F69" w:rsidRDefault="00330118">
      <w:pPr>
        <w:pStyle w:val="Heading7"/>
      </w:pPr>
      <w:r>
        <w:t>LOCALIZAÇÃO GEOGRÁFICA</w:t>
      </w:r>
    </w:p>
    <w:p w:rsidR="00D81F69" w:rsidRDefault="00D81F69">
      <w:pPr>
        <w:sectPr w:rsidR="00D81F69">
          <w:type w:val="continuous"/>
          <w:pgSz w:w="11900" w:h="16840"/>
          <w:pgMar w:top="720" w:right="500" w:bottom="280" w:left="620" w:header="720" w:footer="720" w:gutter="0"/>
          <w:cols w:num="2" w:space="720" w:equalWidth="0">
            <w:col w:w="5164" w:space="306"/>
            <w:col w:w="5310"/>
          </w:cols>
        </w:sectPr>
      </w:pPr>
    </w:p>
    <w:p w:rsidR="00D81F69" w:rsidRDefault="00330118">
      <w:pPr>
        <w:pStyle w:val="Corpodetexto"/>
        <w:spacing w:before="81" w:line="312" w:lineRule="auto"/>
        <w:ind w:right="86"/>
      </w:pPr>
      <w:r>
        <w:lastRenderedPageBreak/>
        <w:t>O complexo estuarino da Baía de Paranaguá está localizado no litoral dos municípios de Paranaguá e Antonina, no estado do Paraná, entre as coordenadas 25°29’55”S e 48°17’30”W.</w:t>
      </w:r>
    </w:p>
    <w:p w:rsidR="00D81F69" w:rsidRDefault="00D81F69">
      <w:pPr>
        <w:pStyle w:val="Corpodetexto"/>
        <w:ind w:left="0"/>
        <w:jc w:val="left"/>
        <w:rPr>
          <w:sz w:val="29"/>
        </w:rPr>
      </w:pPr>
    </w:p>
    <w:p w:rsidR="00D81F69" w:rsidRDefault="00330118">
      <w:pPr>
        <w:pStyle w:val="Heading7"/>
        <w:jc w:val="left"/>
      </w:pPr>
      <w:r>
        <w:t>REDATORES</w:t>
      </w:r>
    </w:p>
    <w:p w:rsidR="00D81F69" w:rsidRDefault="00330118">
      <w:pPr>
        <w:pStyle w:val="Corpodetexto"/>
        <w:spacing w:before="179"/>
        <w:jc w:val="left"/>
      </w:pPr>
      <w:r>
        <w:t>Pedro Schprejer</w:t>
      </w:r>
    </w:p>
    <w:p w:rsidR="00D81F69" w:rsidRDefault="00D81F69">
      <w:pPr>
        <w:pStyle w:val="Corpodetexto"/>
        <w:ind w:left="0"/>
        <w:jc w:val="left"/>
        <w:rPr>
          <w:sz w:val="20"/>
        </w:rPr>
      </w:pPr>
    </w:p>
    <w:p w:rsidR="00D81F69" w:rsidRDefault="00330118">
      <w:pPr>
        <w:pStyle w:val="Heading7"/>
        <w:spacing w:before="164"/>
        <w:jc w:val="left"/>
      </w:pPr>
      <w:r>
        <w:t>REFERÊNCIAS BIBLIOGRÁFICAS</w:t>
      </w:r>
    </w:p>
    <w:p w:rsidR="00D81F69" w:rsidRDefault="00330118">
      <w:pPr>
        <w:spacing w:before="188" w:line="312" w:lineRule="auto"/>
        <w:ind w:left="100" w:right="56"/>
        <w:jc w:val="both"/>
        <w:rPr>
          <w:sz w:val="16"/>
        </w:rPr>
      </w:pPr>
      <w:r>
        <w:rPr>
          <w:sz w:val="16"/>
        </w:rPr>
        <w:t>ANJOS, Vanessa Egéa; QUINÁIA, Sueli Pércio; GRASSI, Marco Tadeu. Comportamento das espécies de arsênio no Complexo Estuarino da Baía de Paranaguá, Paraná. In: Anais do 13° Encontro Nacional de Química Analítica, RJ, 2005. Disponível em:</w:t>
      </w:r>
    </w:p>
    <w:p w:rsidR="00D81F69" w:rsidRDefault="00D81F69">
      <w:pPr>
        <w:spacing w:before="3" w:line="312" w:lineRule="auto"/>
        <w:ind w:left="100" w:right="86"/>
        <w:jc w:val="both"/>
        <w:rPr>
          <w:sz w:val="16"/>
        </w:rPr>
      </w:pPr>
      <w:hyperlink r:id="rId1653">
        <w:r w:rsidR="00330118">
          <w:rPr>
            <w:sz w:val="16"/>
          </w:rPr>
          <w:t xml:space="preserve">&lt;http://sec.sbq.org.br/cd29ra/resumos/T0502-1.pdf&gt;. </w:t>
        </w:r>
      </w:hyperlink>
      <w:r w:rsidR="00330118">
        <w:rPr>
          <w:sz w:val="16"/>
        </w:rPr>
        <w:t>Acesso em: 16 mar. 2010.</w:t>
      </w:r>
    </w:p>
    <w:p w:rsidR="00D81F69" w:rsidRDefault="00330118">
      <w:pPr>
        <w:tabs>
          <w:tab w:val="left" w:pos="1558"/>
          <w:tab w:val="left" w:pos="2069"/>
          <w:tab w:val="left" w:pos="2732"/>
          <w:tab w:val="left" w:pos="3485"/>
          <w:tab w:val="left" w:pos="4765"/>
        </w:tabs>
        <w:spacing w:before="2" w:line="312" w:lineRule="auto"/>
        <w:ind w:left="100" w:right="38"/>
        <w:rPr>
          <w:sz w:val="16"/>
        </w:rPr>
      </w:pPr>
      <w:r>
        <w:rPr>
          <w:sz w:val="16"/>
        </w:rPr>
        <w:t>ANJOS, Vanessa Egéa. Especiação de cobre e arsênio no Complexo Estuarino da Baía de Paranaguá, 2006. Dissertação (Mestrado em Químic</w:t>
      </w:r>
      <w:r>
        <w:rPr>
          <w:sz w:val="16"/>
        </w:rPr>
        <w:t xml:space="preserve">a), Universidade Federal do Paraná. Curitiba – </w:t>
      </w:r>
      <w:r>
        <w:rPr>
          <w:spacing w:val="1"/>
          <w:sz w:val="16"/>
        </w:rPr>
        <w:t xml:space="preserve">PR. </w:t>
      </w:r>
      <w:r>
        <w:rPr>
          <w:spacing w:val="3"/>
          <w:sz w:val="16"/>
        </w:rPr>
        <w:t xml:space="preserve">BARCELOS, Cristiane </w:t>
      </w:r>
      <w:r>
        <w:rPr>
          <w:spacing w:val="2"/>
          <w:sz w:val="16"/>
        </w:rPr>
        <w:t xml:space="preserve">de; </w:t>
      </w:r>
      <w:r>
        <w:rPr>
          <w:spacing w:val="3"/>
          <w:sz w:val="16"/>
        </w:rPr>
        <w:t xml:space="preserve">GRUBER, Nátalie Henke; </w:t>
      </w:r>
      <w:r>
        <w:rPr>
          <w:spacing w:val="5"/>
          <w:sz w:val="16"/>
        </w:rPr>
        <w:t xml:space="preserve">QUINTAS, </w:t>
      </w:r>
      <w:r>
        <w:rPr>
          <w:spacing w:val="1"/>
          <w:sz w:val="16"/>
        </w:rPr>
        <w:t xml:space="preserve">Márcia; FERNADES, Luciano. Complexo Estuarino </w:t>
      </w:r>
      <w:r>
        <w:rPr>
          <w:sz w:val="16"/>
        </w:rPr>
        <w:t xml:space="preserve">de </w:t>
      </w:r>
      <w:r>
        <w:rPr>
          <w:spacing w:val="2"/>
          <w:sz w:val="16"/>
        </w:rPr>
        <w:t xml:space="preserve">Paranaguá: </w:t>
      </w:r>
      <w:r>
        <w:rPr>
          <w:sz w:val="16"/>
        </w:rPr>
        <w:t xml:space="preserve">Estudo das características ambientais com auxílio de um sistema de </w:t>
      </w:r>
      <w:r>
        <w:rPr>
          <w:spacing w:val="8"/>
          <w:sz w:val="16"/>
        </w:rPr>
        <w:t xml:space="preserve">informação </w:t>
      </w:r>
      <w:r>
        <w:rPr>
          <w:spacing w:val="10"/>
          <w:sz w:val="16"/>
        </w:rPr>
        <w:t>geográfica.</w:t>
      </w:r>
      <w:r>
        <w:rPr>
          <w:spacing w:val="10"/>
          <w:sz w:val="16"/>
        </w:rPr>
        <w:t xml:space="preserve"> </w:t>
      </w:r>
      <w:r>
        <w:rPr>
          <w:spacing w:val="6"/>
          <w:sz w:val="16"/>
        </w:rPr>
        <w:t xml:space="preserve">III </w:t>
      </w:r>
      <w:r>
        <w:rPr>
          <w:spacing w:val="8"/>
          <w:sz w:val="16"/>
        </w:rPr>
        <w:t xml:space="preserve">Colóquio Brasileiro </w:t>
      </w:r>
      <w:r>
        <w:rPr>
          <w:spacing w:val="5"/>
          <w:sz w:val="16"/>
        </w:rPr>
        <w:t xml:space="preserve">de </w:t>
      </w:r>
      <w:r>
        <w:rPr>
          <w:spacing w:val="10"/>
          <w:sz w:val="16"/>
        </w:rPr>
        <w:t xml:space="preserve">Ciências </w:t>
      </w:r>
      <w:r>
        <w:rPr>
          <w:spacing w:val="30"/>
          <w:sz w:val="16"/>
        </w:rPr>
        <w:t>Geodésicas,</w:t>
      </w:r>
      <w:r>
        <w:rPr>
          <w:spacing w:val="30"/>
          <w:sz w:val="16"/>
        </w:rPr>
        <w:tab/>
      </w:r>
      <w:r>
        <w:rPr>
          <w:spacing w:val="22"/>
          <w:sz w:val="16"/>
        </w:rPr>
        <w:t>6-9</w:t>
      </w:r>
      <w:r>
        <w:rPr>
          <w:spacing w:val="22"/>
          <w:sz w:val="16"/>
        </w:rPr>
        <w:tab/>
      </w:r>
      <w:r>
        <w:rPr>
          <w:spacing w:val="25"/>
          <w:sz w:val="16"/>
        </w:rPr>
        <w:t>maio</w:t>
      </w:r>
      <w:r>
        <w:rPr>
          <w:spacing w:val="25"/>
          <w:sz w:val="16"/>
        </w:rPr>
        <w:tab/>
      </w:r>
      <w:r>
        <w:rPr>
          <w:spacing w:val="27"/>
          <w:sz w:val="16"/>
        </w:rPr>
        <w:t>2003.</w:t>
      </w:r>
      <w:r>
        <w:rPr>
          <w:spacing w:val="27"/>
          <w:sz w:val="16"/>
        </w:rPr>
        <w:tab/>
      </w:r>
      <w:r>
        <w:rPr>
          <w:spacing w:val="30"/>
          <w:sz w:val="16"/>
        </w:rPr>
        <w:t>Disponível</w:t>
      </w:r>
      <w:r>
        <w:rPr>
          <w:spacing w:val="30"/>
          <w:sz w:val="16"/>
        </w:rPr>
        <w:tab/>
      </w:r>
      <w:r>
        <w:rPr>
          <w:spacing w:val="22"/>
          <w:sz w:val="16"/>
        </w:rPr>
        <w:t>em:</w:t>
      </w:r>
      <w:r>
        <w:rPr>
          <w:spacing w:val="-9"/>
          <w:sz w:val="16"/>
        </w:rPr>
        <w:t xml:space="preserve"> </w:t>
      </w:r>
    </w:p>
    <w:p w:rsidR="00D81F69" w:rsidRDefault="00D81F69">
      <w:pPr>
        <w:spacing w:before="6" w:line="312" w:lineRule="auto"/>
        <w:ind w:left="100" w:right="70"/>
        <w:jc w:val="both"/>
        <w:rPr>
          <w:sz w:val="16"/>
        </w:rPr>
      </w:pPr>
      <w:hyperlink r:id="rId1654">
        <w:r w:rsidR="00330118">
          <w:rPr>
            <w:sz w:val="16"/>
          </w:rPr>
          <w:t xml:space="preserve">&lt;http://aguadelastrobrasil.org.br/arquivos/33.pdf&gt;. </w:t>
        </w:r>
      </w:hyperlink>
      <w:r w:rsidR="00330118">
        <w:rPr>
          <w:sz w:val="16"/>
        </w:rPr>
        <w:t>Acesso em: 23 out. 2011.</w:t>
      </w:r>
    </w:p>
    <w:p w:rsidR="00D81F69" w:rsidRDefault="00330118">
      <w:pPr>
        <w:spacing w:before="2" w:line="312" w:lineRule="auto"/>
        <w:ind w:left="100" w:right="62"/>
        <w:jc w:val="both"/>
        <w:rPr>
          <w:sz w:val="16"/>
        </w:rPr>
      </w:pPr>
      <w:r>
        <w:rPr>
          <w:sz w:val="16"/>
        </w:rPr>
        <w:t>FIGUEIREDO, Bernardino Ribeiro; B</w:t>
      </w:r>
      <w:r>
        <w:rPr>
          <w:sz w:val="16"/>
        </w:rPr>
        <w:t>ORBA, Ricardo Perobelli. ANGÉLICA, Rômulo Simões. Arsênio no Brasil e exposição humana, In: SILVA, Cássio Roberto; FIGUEIREDO, Bernardino Ribeiro; CAPITANI, Eduardo; CUNHA, Fernanda Gonçalves. Geologia Médica no Brasil. Rio de Janeiro: CPRM – Serviço Geoló</w:t>
      </w:r>
      <w:r>
        <w:rPr>
          <w:sz w:val="16"/>
        </w:rPr>
        <w:t>gico do Brasil, 2006.</w:t>
      </w:r>
    </w:p>
    <w:p w:rsidR="00D81F69" w:rsidRDefault="00330118">
      <w:pPr>
        <w:spacing w:before="70" w:line="312" w:lineRule="auto"/>
        <w:ind w:left="100" w:right="136"/>
        <w:jc w:val="both"/>
        <w:rPr>
          <w:sz w:val="16"/>
        </w:rPr>
      </w:pPr>
      <w:r>
        <w:br w:type="column"/>
      </w:r>
      <w:r>
        <w:rPr>
          <w:sz w:val="16"/>
        </w:rPr>
        <w:lastRenderedPageBreak/>
        <w:t xml:space="preserve">IBGE, Instituto Brasileiro de Geografia e Estatística. Paranaguá (PR).   </w:t>
      </w:r>
      <w:r>
        <w:rPr>
          <w:spacing w:val="17"/>
          <w:sz w:val="16"/>
        </w:rPr>
        <w:t>I</w:t>
      </w:r>
      <w:r>
        <w:rPr>
          <w:sz w:val="16"/>
        </w:rPr>
        <w:t xml:space="preserve"> </w:t>
      </w:r>
      <w:r>
        <w:rPr>
          <w:spacing w:val="17"/>
          <w:sz w:val="16"/>
        </w:rPr>
        <w:t>n</w:t>
      </w:r>
      <w:r>
        <w:rPr>
          <w:sz w:val="16"/>
        </w:rPr>
        <w:t xml:space="preserve"> :</w:t>
      </w:r>
      <w:r>
        <w:rPr>
          <w:spacing w:val="23"/>
          <w:sz w:val="16"/>
        </w:rPr>
        <w:t xml:space="preserve"> </w:t>
      </w:r>
      <w:r>
        <w:rPr>
          <w:spacing w:val="17"/>
          <w:sz w:val="16"/>
        </w:rPr>
        <w:t>I</w:t>
      </w:r>
      <w:r>
        <w:rPr>
          <w:sz w:val="16"/>
        </w:rPr>
        <w:t xml:space="preserve"> </w:t>
      </w:r>
      <w:r>
        <w:rPr>
          <w:spacing w:val="17"/>
          <w:sz w:val="16"/>
        </w:rPr>
        <w:t>B</w:t>
      </w:r>
      <w:r>
        <w:rPr>
          <w:sz w:val="16"/>
        </w:rPr>
        <w:t xml:space="preserve"> </w:t>
      </w:r>
      <w:r>
        <w:rPr>
          <w:spacing w:val="17"/>
          <w:sz w:val="16"/>
        </w:rPr>
        <w:t>G</w:t>
      </w:r>
      <w:r>
        <w:rPr>
          <w:sz w:val="16"/>
        </w:rPr>
        <w:t xml:space="preserve"> E</w:t>
      </w:r>
      <w:r>
        <w:rPr>
          <w:spacing w:val="23"/>
          <w:sz w:val="16"/>
        </w:rPr>
        <w:t xml:space="preserve"> </w:t>
      </w:r>
      <w:r>
        <w:rPr>
          <w:spacing w:val="17"/>
          <w:sz w:val="16"/>
        </w:rPr>
        <w:t>C</w:t>
      </w:r>
      <w:r>
        <w:rPr>
          <w:sz w:val="16"/>
        </w:rPr>
        <w:t xml:space="preserve"> </w:t>
      </w:r>
      <w:r>
        <w:rPr>
          <w:spacing w:val="17"/>
          <w:sz w:val="16"/>
        </w:rPr>
        <w:t>i</w:t>
      </w:r>
      <w:r>
        <w:rPr>
          <w:sz w:val="16"/>
        </w:rPr>
        <w:t xml:space="preserve"> </w:t>
      </w:r>
      <w:r>
        <w:rPr>
          <w:spacing w:val="17"/>
          <w:sz w:val="16"/>
        </w:rPr>
        <w:t>d</w:t>
      </w:r>
      <w:r>
        <w:rPr>
          <w:sz w:val="16"/>
        </w:rPr>
        <w:t xml:space="preserve"> </w:t>
      </w:r>
      <w:r>
        <w:rPr>
          <w:spacing w:val="17"/>
          <w:sz w:val="16"/>
        </w:rPr>
        <w:t>a</w:t>
      </w:r>
      <w:r>
        <w:rPr>
          <w:sz w:val="16"/>
        </w:rPr>
        <w:t xml:space="preserve"> </w:t>
      </w:r>
      <w:r>
        <w:rPr>
          <w:spacing w:val="17"/>
          <w:sz w:val="16"/>
        </w:rPr>
        <w:t>d</w:t>
      </w:r>
      <w:r>
        <w:rPr>
          <w:sz w:val="16"/>
        </w:rPr>
        <w:t xml:space="preserve"> </w:t>
      </w:r>
      <w:r>
        <w:rPr>
          <w:spacing w:val="17"/>
          <w:sz w:val="16"/>
        </w:rPr>
        <w:t>e</w:t>
      </w:r>
      <w:r>
        <w:rPr>
          <w:sz w:val="16"/>
        </w:rPr>
        <w:t xml:space="preserve"> </w:t>
      </w:r>
      <w:r>
        <w:rPr>
          <w:spacing w:val="17"/>
          <w:sz w:val="16"/>
        </w:rPr>
        <w:t>s</w:t>
      </w:r>
      <w:r>
        <w:rPr>
          <w:sz w:val="16"/>
        </w:rPr>
        <w:t xml:space="preserve"> .</w:t>
      </w:r>
      <w:r>
        <w:rPr>
          <w:spacing w:val="23"/>
          <w:sz w:val="16"/>
        </w:rPr>
        <w:t xml:space="preserve"> </w:t>
      </w:r>
      <w:r>
        <w:rPr>
          <w:spacing w:val="17"/>
          <w:sz w:val="16"/>
        </w:rPr>
        <w:t>D</w:t>
      </w:r>
      <w:r>
        <w:rPr>
          <w:sz w:val="16"/>
        </w:rPr>
        <w:t xml:space="preserve"> </w:t>
      </w:r>
      <w:r>
        <w:rPr>
          <w:spacing w:val="17"/>
          <w:sz w:val="16"/>
        </w:rPr>
        <w:t>i</w:t>
      </w:r>
      <w:r>
        <w:rPr>
          <w:sz w:val="16"/>
        </w:rPr>
        <w:t xml:space="preserve"> </w:t>
      </w:r>
      <w:r>
        <w:rPr>
          <w:spacing w:val="17"/>
          <w:sz w:val="16"/>
        </w:rPr>
        <w:t>s</w:t>
      </w:r>
      <w:r>
        <w:rPr>
          <w:sz w:val="16"/>
        </w:rPr>
        <w:t xml:space="preserve"> </w:t>
      </w:r>
      <w:r>
        <w:rPr>
          <w:spacing w:val="17"/>
          <w:sz w:val="16"/>
        </w:rPr>
        <w:t>p</w:t>
      </w:r>
      <w:r>
        <w:rPr>
          <w:sz w:val="16"/>
        </w:rPr>
        <w:t xml:space="preserve"> </w:t>
      </w:r>
      <w:r>
        <w:rPr>
          <w:spacing w:val="17"/>
          <w:sz w:val="16"/>
        </w:rPr>
        <w:t>o</w:t>
      </w:r>
      <w:r>
        <w:rPr>
          <w:sz w:val="16"/>
        </w:rPr>
        <w:t xml:space="preserve"> </w:t>
      </w:r>
      <w:r>
        <w:rPr>
          <w:spacing w:val="17"/>
          <w:sz w:val="16"/>
        </w:rPr>
        <w:t>n</w:t>
      </w:r>
      <w:r>
        <w:rPr>
          <w:sz w:val="16"/>
        </w:rPr>
        <w:t xml:space="preserve"> </w:t>
      </w:r>
      <w:r>
        <w:rPr>
          <w:spacing w:val="17"/>
          <w:sz w:val="16"/>
        </w:rPr>
        <w:t>í</w:t>
      </w:r>
      <w:r>
        <w:rPr>
          <w:sz w:val="16"/>
        </w:rPr>
        <w:t xml:space="preserve"> </w:t>
      </w:r>
      <w:r>
        <w:rPr>
          <w:spacing w:val="17"/>
          <w:sz w:val="16"/>
        </w:rPr>
        <w:t>v</w:t>
      </w:r>
      <w:r>
        <w:rPr>
          <w:sz w:val="16"/>
        </w:rPr>
        <w:t xml:space="preserve"> </w:t>
      </w:r>
      <w:r>
        <w:rPr>
          <w:spacing w:val="17"/>
          <w:sz w:val="16"/>
        </w:rPr>
        <w:t>e</w:t>
      </w:r>
      <w:r>
        <w:rPr>
          <w:sz w:val="16"/>
        </w:rPr>
        <w:t xml:space="preserve"> l</w:t>
      </w:r>
      <w:r>
        <w:rPr>
          <w:spacing w:val="23"/>
          <w:sz w:val="16"/>
        </w:rPr>
        <w:t xml:space="preserve"> </w:t>
      </w:r>
      <w:r>
        <w:rPr>
          <w:spacing w:val="17"/>
          <w:sz w:val="16"/>
        </w:rPr>
        <w:t>e</w:t>
      </w:r>
      <w:r>
        <w:rPr>
          <w:sz w:val="16"/>
        </w:rPr>
        <w:t xml:space="preserve"> </w:t>
      </w:r>
      <w:r>
        <w:rPr>
          <w:spacing w:val="17"/>
          <w:sz w:val="16"/>
        </w:rPr>
        <w:t>m</w:t>
      </w:r>
      <w:r>
        <w:rPr>
          <w:sz w:val="16"/>
        </w:rPr>
        <w:t xml:space="preserve"> :</w:t>
      </w:r>
      <w:r>
        <w:rPr>
          <w:spacing w:val="18"/>
          <w:sz w:val="16"/>
        </w:rPr>
        <w:t xml:space="preserve"> </w:t>
      </w:r>
    </w:p>
    <w:p w:rsidR="00D81F69" w:rsidRDefault="00D81F69">
      <w:pPr>
        <w:spacing w:before="1" w:line="312" w:lineRule="auto"/>
        <w:ind w:left="100" w:right="216"/>
        <w:jc w:val="both"/>
        <w:rPr>
          <w:sz w:val="16"/>
        </w:rPr>
      </w:pPr>
      <w:hyperlink r:id="rId1655">
        <w:r w:rsidR="00330118">
          <w:rPr>
            <w:sz w:val="16"/>
          </w:rPr>
          <w:t>&lt;</w:t>
        </w:r>
        <w:r w:rsidR="00330118">
          <w:rPr>
            <w:sz w:val="16"/>
          </w:rPr>
          <w:t xml:space="preserve">http://www.ibge.gov.br/cidadesat/topwindow.htm?1&gt;. </w:t>
        </w:r>
      </w:hyperlink>
      <w:r w:rsidR="00330118">
        <w:rPr>
          <w:sz w:val="16"/>
        </w:rPr>
        <w:t>Acesso em: 23 out. 2011.</w:t>
      </w:r>
    </w:p>
    <w:p w:rsidR="00D81F69" w:rsidRDefault="00330118">
      <w:pPr>
        <w:spacing w:before="2" w:line="312" w:lineRule="auto"/>
        <w:ind w:left="100" w:right="198"/>
        <w:jc w:val="both"/>
        <w:rPr>
          <w:sz w:val="16"/>
        </w:rPr>
      </w:pPr>
      <w:r>
        <w:rPr>
          <w:sz w:val="16"/>
        </w:rPr>
        <w:t>ODRESKY, Lydio Luiz Rissetti; SOARES, Carlos Roberto; ÂNGULO, Rodolfo José; ZEM, Rafaela Cristine. Taxas de assoreamento e a influência antrópica no controle da sedimentação da Baí</w:t>
      </w:r>
      <w:r>
        <w:rPr>
          <w:sz w:val="16"/>
        </w:rPr>
        <w:t>a de Antonina</w:t>
      </w:r>
    </w:p>
    <w:p w:rsidR="00D81F69" w:rsidRDefault="00330118">
      <w:pPr>
        <w:pStyle w:val="PargrafodaLista"/>
        <w:numPr>
          <w:ilvl w:val="0"/>
          <w:numId w:val="3"/>
        </w:numPr>
        <w:tabs>
          <w:tab w:val="left" w:pos="267"/>
        </w:tabs>
        <w:spacing w:line="312" w:lineRule="auto"/>
        <w:ind w:right="192" w:firstLine="0"/>
        <w:rPr>
          <w:sz w:val="16"/>
        </w:rPr>
      </w:pPr>
      <w:r>
        <w:rPr>
          <w:spacing w:val="5"/>
          <w:sz w:val="16"/>
        </w:rPr>
        <w:t xml:space="preserve">Paraná. Boletim Paranaense </w:t>
      </w:r>
      <w:r>
        <w:rPr>
          <w:spacing w:val="2"/>
          <w:sz w:val="16"/>
        </w:rPr>
        <w:t xml:space="preserve">de </w:t>
      </w:r>
      <w:r>
        <w:rPr>
          <w:spacing w:val="5"/>
          <w:sz w:val="16"/>
        </w:rPr>
        <w:t xml:space="preserve">Geociências, </w:t>
      </w:r>
      <w:r>
        <w:rPr>
          <w:spacing w:val="2"/>
          <w:sz w:val="16"/>
        </w:rPr>
        <w:t xml:space="preserve">n. </w:t>
      </w:r>
      <w:r>
        <w:rPr>
          <w:spacing w:val="3"/>
          <w:sz w:val="16"/>
        </w:rPr>
        <w:t xml:space="preserve">53, </w:t>
      </w:r>
      <w:r>
        <w:rPr>
          <w:spacing w:val="2"/>
          <w:sz w:val="16"/>
        </w:rPr>
        <w:t xml:space="preserve">p. </w:t>
      </w:r>
      <w:r>
        <w:rPr>
          <w:spacing w:val="5"/>
          <w:sz w:val="16"/>
        </w:rPr>
        <w:t xml:space="preserve">7-12. Curitiba: Editora </w:t>
      </w:r>
      <w:r>
        <w:rPr>
          <w:spacing w:val="3"/>
          <w:sz w:val="16"/>
        </w:rPr>
        <w:t>UFPR,</w:t>
      </w:r>
      <w:r>
        <w:rPr>
          <w:spacing w:val="-10"/>
          <w:sz w:val="16"/>
        </w:rPr>
        <w:t xml:space="preserve"> </w:t>
      </w:r>
      <w:r>
        <w:rPr>
          <w:spacing w:val="5"/>
          <w:sz w:val="16"/>
        </w:rPr>
        <w:t>2003.</w:t>
      </w:r>
    </w:p>
    <w:p w:rsidR="00D81F69" w:rsidRDefault="00330118">
      <w:pPr>
        <w:tabs>
          <w:tab w:val="left" w:pos="2405"/>
          <w:tab w:val="left" w:pos="4630"/>
        </w:tabs>
        <w:spacing w:before="2" w:line="312" w:lineRule="auto"/>
        <w:ind w:left="100" w:right="198"/>
        <w:jc w:val="both"/>
        <w:rPr>
          <w:sz w:val="16"/>
        </w:rPr>
      </w:pPr>
      <w:r>
        <w:rPr>
          <w:sz w:val="16"/>
        </w:rPr>
        <w:t xml:space="preserve">PARANAGUA.PR.GOV.BR. Site oficial da Prefeitura da Cidade de     P </w:t>
      </w:r>
      <w:r>
        <w:rPr>
          <w:spacing w:val="15"/>
          <w:sz w:val="16"/>
        </w:rPr>
        <w:t xml:space="preserve"> </w:t>
      </w:r>
      <w:r>
        <w:rPr>
          <w:sz w:val="16"/>
        </w:rPr>
        <w:t xml:space="preserve">a </w:t>
      </w:r>
      <w:r>
        <w:rPr>
          <w:spacing w:val="15"/>
          <w:sz w:val="16"/>
        </w:rPr>
        <w:t xml:space="preserve"> </w:t>
      </w:r>
      <w:r>
        <w:rPr>
          <w:sz w:val="16"/>
        </w:rPr>
        <w:t xml:space="preserve">r </w:t>
      </w:r>
      <w:r>
        <w:rPr>
          <w:spacing w:val="15"/>
          <w:sz w:val="16"/>
        </w:rPr>
        <w:t xml:space="preserve"> </w:t>
      </w:r>
      <w:r>
        <w:rPr>
          <w:sz w:val="16"/>
        </w:rPr>
        <w:t xml:space="preserve">a </w:t>
      </w:r>
      <w:r>
        <w:rPr>
          <w:spacing w:val="15"/>
          <w:sz w:val="16"/>
        </w:rPr>
        <w:t xml:space="preserve"> </w:t>
      </w:r>
      <w:r>
        <w:rPr>
          <w:sz w:val="16"/>
        </w:rPr>
        <w:t xml:space="preserve">n </w:t>
      </w:r>
      <w:r>
        <w:rPr>
          <w:spacing w:val="15"/>
          <w:sz w:val="16"/>
        </w:rPr>
        <w:t xml:space="preserve"> </w:t>
      </w:r>
      <w:r>
        <w:rPr>
          <w:sz w:val="16"/>
        </w:rPr>
        <w:t xml:space="preserve">a </w:t>
      </w:r>
      <w:r>
        <w:rPr>
          <w:spacing w:val="15"/>
          <w:sz w:val="16"/>
        </w:rPr>
        <w:t xml:space="preserve"> </w:t>
      </w:r>
      <w:r>
        <w:rPr>
          <w:sz w:val="16"/>
        </w:rPr>
        <w:t xml:space="preserve">g </w:t>
      </w:r>
      <w:r>
        <w:rPr>
          <w:spacing w:val="15"/>
          <w:sz w:val="16"/>
        </w:rPr>
        <w:t xml:space="preserve"> </w:t>
      </w:r>
      <w:r>
        <w:rPr>
          <w:sz w:val="16"/>
        </w:rPr>
        <w:t xml:space="preserve">u </w:t>
      </w:r>
      <w:r>
        <w:rPr>
          <w:spacing w:val="15"/>
          <w:sz w:val="16"/>
        </w:rPr>
        <w:t xml:space="preserve"> </w:t>
      </w:r>
      <w:r>
        <w:rPr>
          <w:sz w:val="16"/>
        </w:rPr>
        <w:t xml:space="preserve">á </w:t>
      </w:r>
      <w:r>
        <w:rPr>
          <w:spacing w:val="15"/>
          <w:sz w:val="16"/>
        </w:rPr>
        <w:t xml:space="preserve"> </w:t>
      </w:r>
      <w:r>
        <w:rPr>
          <w:sz w:val="16"/>
        </w:rPr>
        <w:t>.</w:t>
      </w:r>
      <w:r>
        <w:rPr>
          <w:sz w:val="16"/>
        </w:rPr>
        <w:tab/>
        <w:t xml:space="preserve">D </w:t>
      </w:r>
      <w:r>
        <w:rPr>
          <w:spacing w:val="15"/>
          <w:sz w:val="16"/>
        </w:rPr>
        <w:t xml:space="preserve"> </w:t>
      </w:r>
      <w:r>
        <w:rPr>
          <w:sz w:val="16"/>
        </w:rPr>
        <w:t xml:space="preserve">i </w:t>
      </w:r>
      <w:r>
        <w:rPr>
          <w:spacing w:val="15"/>
          <w:sz w:val="16"/>
        </w:rPr>
        <w:t xml:space="preserve"> </w:t>
      </w:r>
      <w:r>
        <w:rPr>
          <w:sz w:val="16"/>
        </w:rPr>
        <w:t xml:space="preserve">s </w:t>
      </w:r>
      <w:r>
        <w:rPr>
          <w:spacing w:val="15"/>
          <w:sz w:val="16"/>
        </w:rPr>
        <w:t xml:space="preserve"> </w:t>
      </w:r>
      <w:r>
        <w:rPr>
          <w:sz w:val="16"/>
        </w:rPr>
        <w:t xml:space="preserve">p </w:t>
      </w:r>
      <w:r>
        <w:rPr>
          <w:spacing w:val="15"/>
          <w:sz w:val="16"/>
        </w:rPr>
        <w:t xml:space="preserve"> </w:t>
      </w:r>
      <w:r>
        <w:rPr>
          <w:sz w:val="16"/>
        </w:rPr>
        <w:t xml:space="preserve">o </w:t>
      </w:r>
      <w:r>
        <w:rPr>
          <w:spacing w:val="15"/>
          <w:sz w:val="16"/>
        </w:rPr>
        <w:t xml:space="preserve"> </w:t>
      </w:r>
      <w:r>
        <w:rPr>
          <w:sz w:val="16"/>
        </w:rPr>
        <w:t xml:space="preserve">n </w:t>
      </w:r>
      <w:r>
        <w:rPr>
          <w:spacing w:val="15"/>
          <w:sz w:val="16"/>
        </w:rPr>
        <w:t xml:space="preserve"> </w:t>
      </w:r>
      <w:r>
        <w:rPr>
          <w:sz w:val="16"/>
        </w:rPr>
        <w:t xml:space="preserve">í </w:t>
      </w:r>
      <w:r>
        <w:rPr>
          <w:spacing w:val="15"/>
          <w:sz w:val="16"/>
        </w:rPr>
        <w:t xml:space="preserve"> </w:t>
      </w:r>
      <w:r>
        <w:rPr>
          <w:sz w:val="16"/>
        </w:rPr>
        <w:t xml:space="preserve">v </w:t>
      </w:r>
      <w:r>
        <w:rPr>
          <w:spacing w:val="15"/>
          <w:sz w:val="16"/>
        </w:rPr>
        <w:t xml:space="preserve"> </w:t>
      </w:r>
      <w:r>
        <w:rPr>
          <w:sz w:val="16"/>
        </w:rPr>
        <w:t xml:space="preserve">e </w:t>
      </w:r>
      <w:r>
        <w:rPr>
          <w:spacing w:val="15"/>
          <w:sz w:val="16"/>
        </w:rPr>
        <w:t xml:space="preserve"> </w:t>
      </w:r>
      <w:r>
        <w:rPr>
          <w:sz w:val="16"/>
        </w:rPr>
        <w:t>l</w:t>
      </w:r>
      <w:r>
        <w:rPr>
          <w:sz w:val="16"/>
        </w:rPr>
        <w:tab/>
        <w:t>e m</w:t>
      </w:r>
      <w:r>
        <w:rPr>
          <w:spacing w:val="32"/>
          <w:sz w:val="16"/>
        </w:rPr>
        <w:t xml:space="preserve"> </w:t>
      </w:r>
      <w:r>
        <w:rPr>
          <w:sz w:val="16"/>
        </w:rPr>
        <w:t>:</w:t>
      </w:r>
    </w:p>
    <w:p w:rsidR="00D81F69" w:rsidRDefault="00D81F69">
      <w:pPr>
        <w:spacing w:before="2" w:line="312" w:lineRule="auto"/>
        <w:ind w:left="100" w:right="204"/>
        <w:jc w:val="both"/>
        <w:rPr>
          <w:sz w:val="16"/>
        </w:rPr>
      </w:pPr>
      <w:hyperlink r:id="rId1656">
        <w:r w:rsidR="00330118">
          <w:rPr>
            <w:sz w:val="16"/>
          </w:rPr>
          <w:t>&lt;http://paranagua.pr.gov.br/conteudo/guia-turistico/baia-de-</w:t>
        </w:r>
      </w:hyperlink>
      <w:r w:rsidR="00330118">
        <w:rPr>
          <w:sz w:val="16"/>
        </w:rPr>
        <w:t xml:space="preserve"> paranagua&gt;. Acesso em: 25 abr. 2010.</w:t>
      </w:r>
    </w:p>
    <w:p w:rsidR="00D81F69" w:rsidRDefault="00330118">
      <w:pPr>
        <w:tabs>
          <w:tab w:val="left" w:pos="1486"/>
          <w:tab w:val="left" w:pos="4510"/>
        </w:tabs>
        <w:spacing w:before="1" w:line="312" w:lineRule="auto"/>
        <w:ind w:left="100" w:right="200"/>
        <w:jc w:val="both"/>
        <w:rPr>
          <w:sz w:val="16"/>
        </w:rPr>
      </w:pPr>
      <w:r>
        <w:rPr>
          <w:spacing w:val="2"/>
          <w:sz w:val="16"/>
        </w:rPr>
        <w:t xml:space="preserve">SÁ, </w:t>
      </w:r>
      <w:r>
        <w:rPr>
          <w:spacing w:val="3"/>
          <w:sz w:val="16"/>
        </w:rPr>
        <w:t xml:space="preserve">Fabian. Distribuição </w:t>
      </w:r>
      <w:r>
        <w:rPr>
          <w:sz w:val="16"/>
        </w:rPr>
        <w:t xml:space="preserve">e </w:t>
      </w:r>
      <w:r>
        <w:rPr>
          <w:spacing w:val="3"/>
          <w:sz w:val="16"/>
        </w:rPr>
        <w:t xml:space="preserve">fracionamento </w:t>
      </w:r>
      <w:r>
        <w:rPr>
          <w:spacing w:val="1"/>
          <w:sz w:val="16"/>
        </w:rPr>
        <w:t xml:space="preserve">de </w:t>
      </w:r>
      <w:r>
        <w:rPr>
          <w:spacing w:val="3"/>
          <w:sz w:val="16"/>
        </w:rPr>
        <w:t xml:space="preserve">contaminantes </w:t>
      </w:r>
      <w:r>
        <w:rPr>
          <w:spacing w:val="5"/>
          <w:sz w:val="16"/>
        </w:rPr>
        <w:t xml:space="preserve">nos </w:t>
      </w:r>
      <w:r>
        <w:rPr>
          <w:spacing w:val="3"/>
          <w:sz w:val="16"/>
        </w:rPr>
        <w:t>sedimentos superficia</w:t>
      </w:r>
      <w:r>
        <w:rPr>
          <w:spacing w:val="3"/>
          <w:sz w:val="16"/>
        </w:rPr>
        <w:t xml:space="preserve">is </w:t>
      </w:r>
      <w:r>
        <w:rPr>
          <w:sz w:val="16"/>
        </w:rPr>
        <w:t xml:space="preserve">e </w:t>
      </w:r>
      <w:r>
        <w:rPr>
          <w:spacing w:val="3"/>
          <w:sz w:val="16"/>
        </w:rPr>
        <w:t xml:space="preserve">atividades </w:t>
      </w:r>
      <w:r>
        <w:rPr>
          <w:spacing w:val="1"/>
          <w:sz w:val="16"/>
        </w:rPr>
        <w:t xml:space="preserve">de </w:t>
      </w:r>
      <w:r>
        <w:rPr>
          <w:spacing w:val="3"/>
          <w:sz w:val="16"/>
        </w:rPr>
        <w:t xml:space="preserve">dragagem </w:t>
      </w:r>
      <w:r>
        <w:rPr>
          <w:spacing w:val="1"/>
          <w:sz w:val="16"/>
        </w:rPr>
        <w:t xml:space="preserve">no </w:t>
      </w:r>
      <w:r>
        <w:rPr>
          <w:spacing w:val="5"/>
          <w:sz w:val="16"/>
        </w:rPr>
        <w:t xml:space="preserve">Complexo </w:t>
      </w:r>
      <w:r>
        <w:rPr>
          <w:spacing w:val="3"/>
          <w:sz w:val="16"/>
        </w:rPr>
        <w:t xml:space="preserve">Estuarino </w:t>
      </w:r>
      <w:r>
        <w:rPr>
          <w:spacing w:val="1"/>
          <w:sz w:val="16"/>
        </w:rPr>
        <w:t xml:space="preserve">da </w:t>
      </w:r>
      <w:r>
        <w:rPr>
          <w:spacing w:val="2"/>
          <w:sz w:val="16"/>
        </w:rPr>
        <w:t xml:space="preserve">Baía </w:t>
      </w:r>
      <w:r>
        <w:rPr>
          <w:spacing w:val="1"/>
          <w:sz w:val="16"/>
        </w:rPr>
        <w:t xml:space="preserve">de </w:t>
      </w:r>
      <w:r>
        <w:rPr>
          <w:spacing w:val="3"/>
          <w:sz w:val="16"/>
        </w:rPr>
        <w:t xml:space="preserve">Paranaguá (PR). 2003. </w:t>
      </w:r>
      <w:r>
        <w:rPr>
          <w:spacing w:val="1"/>
          <w:sz w:val="16"/>
        </w:rPr>
        <w:t xml:space="preserve">92 f. </w:t>
      </w:r>
      <w:r>
        <w:rPr>
          <w:spacing w:val="5"/>
          <w:sz w:val="16"/>
        </w:rPr>
        <w:t xml:space="preserve">Dissertação </w:t>
      </w:r>
      <w:r>
        <w:rPr>
          <w:sz w:val="16"/>
        </w:rPr>
        <w:t xml:space="preserve">(Mestrado em Geologia), Universidade Federal do Paraná. Curitiba -  P  </w:t>
      </w:r>
      <w:r>
        <w:rPr>
          <w:spacing w:val="30"/>
          <w:sz w:val="16"/>
        </w:rPr>
        <w:t xml:space="preserve"> </w:t>
      </w:r>
      <w:r>
        <w:rPr>
          <w:sz w:val="16"/>
        </w:rPr>
        <w:t xml:space="preserve">R  </w:t>
      </w:r>
      <w:r>
        <w:rPr>
          <w:spacing w:val="30"/>
          <w:sz w:val="16"/>
        </w:rPr>
        <w:t xml:space="preserve"> </w:t>
      </w:r>
      <w:r>
        <w:rPr>
          <w:sz w:val="16"/>
        </w:rPr>
        <w:t>.</w:t>
      </w:r>
      <w:r>
        <w:rPr>
          <w:sz w:val="16"/>
        </w:rPr>
        <w:tab/>
        <w:t>D    i    s    p    o    n    í    v</w:t>
      </w:r>
      <w:r>
        <w:rPr>
          <w:spacing w:val="28"/>
          <w:sz w:val="16"/>
        </w:rPr>
        <w:t xml:space="preserve"> </w:t>
      </w:r>
      <w:r>
        <w:rPr>
          <w:sz w:val="16"/>
        </w:rPr>
        <w:t xml:space="preserve">e  </w:t>
      </w:r>
      <w:r>
        <w:rPr>
          <w:spacing w:val="30"/>
          <w:sz w:val="16"/>
        </w:rPr>
        <w:t xml:space="preserve"> </w:t>
      </w:r>
      <w:r>
        <w:rPr>
          <w:sz w:val="16"/>
        </w:rPr>
        <w:t>l</w:t>
      </w:r>
      <w:r>
        <w:rPr>
          <w:sz w:val="16"/>
        </w:rPr>
        <w:tab/>
        <w:t>e m</w:t>
      </w:r>
      <w:r>
        <w:rPr>
          <w:spacing w:val="17"/>
          <w:sz w:val="16"/>
        </w:rPr>
        <w:t xml:space="preserve"> </w:t>
      </w:r>
      <w:r>
        <w:rPr>
          <w:sz w:val="16"/>
        </w:rPr>
        <w:t>:</w:t>
      </w:r>
    </w:p>
    <w:p w:rsidR="00D81F69" w:rsidRDefault="00D81F69">
      <w:pPr>
        <w:spacing w:before="4" w:line="312" w:lineRule="auto"/>
        <w:ind w:left="100" w:right="216"/>
        <w:jc w:val="both"/>
        <w:rPr>
          <w:sz w:val="16"/>
        </w:rPr>
      </w:pPr>
      <w:hyperlink r:id="rId1657">
        <w:r w:rsidR="00330118">
          <w:rPr>
            <w:sz w:val="16"/>
          </w:rPr>
          <w:t>&lt;http://ojs.c3sl.ufpr.br/ojs2/index.php/geociencias/article/viewFile/422</w:t>
        </w:r>
      </w:hyperlink>
      <w:r w:rsidR="00330118">
        <w:rPr>
          <w:sz w:val="16"/>
        </w:rPr>
        <w:t xml:space="preserve"> 3/3418&gt;. Acesso em: 16 mar. 2010.</w:t>
      </w:r>
    </w:p>
    <w:p w:rsidR="00D81F69" w:rsidRDefault="00330118">
      <w:pPr>
        <w:spacing w:before="2" w:line="312" w:lineRule="auto"/>
        <w:ind w:left="100" w:right="178"/>
        <w:jc w:val="both"/>
        <w:rPr>
          <w:sz w:val="16"/>
        </w:rPr>
      </w:pPr>
      <w:r>
        <w:rPr>
          <w:sz w:val="16"/>
        </w:rPr>
        <w:t xml:space="preserve">SÁ, Fabian; MACHADO, Eunice da Costa, ÂNGULO, Rodolfo José. </w:t>
      </w:r>
      <w:r>
        <w:rPr>
          <w:spacing w:val="1"/>
          <w:sz w:val="16"/>
        </w:rPr>
        <w:t xml:space="preserve">Arsênio </w:t>
      </w:r>
      <w:r>
        <w:rPr>
          <w:sz w:val="16"/>
        </w:rPr>
        <w:t xml:space="preserve">em </w:t>
      </w:r>
      <w:r>
        <w:rPr>
          <w:spacing w:val="1"/>
          <w:sz w:val="16"/>
        </w:rPr>
        <w:t>sedimentos estuar</w:t>
      </w:r>
      <w:r>
        <w:rPr>
          <w:spacing w:val="1"/>
          <w:sz w:val="16"/>
        </w:rPr>
        <w:t xml:space="preserve">inos </w:t>
      </w:r>
      <w:r>
        <w:rPr>
          <w:sz w:val="16"/>
        </w:rPr>
        <w:t xml:space="preserve">do </w:t>
      </w:r>
      <w:r>
        <w:rPr>
          <w:spacing w:val="1"/>
          <w:sz w:val="16"/>
        </w:rPr>
        <w:t xml:space="preserve">canal </w:t>
      </w:r>
      <w:r>
        <w:rPr>
          <w:sz w:val="16"/>
        </w:rPr>
        <w:t xml:space="preserve">de </w:t>
      </w:r>
      <w:r>
        <w:rPr>
          <w:spacing w:val="1"/>
          <w:sz w:val="16"/>
        </w:rPr>
        <w:t xml:space="preserve">acesso </w:t>
      </w:r>
      <w:r>
        <w:rPr>
          <w:sz w:val="16"/>
        </w:rPr>
        <w:t xml:space="preserve">à </w:t>
      </w:r>
      <w:r>
        <w:rPr>
          <w:spacing w:val="1"/>
          <w:sz w:val="16"/>
        </w:rPr>
        <w:t xml:space="preserve">Baía </w:t>
      </w:r>
      <w:r>
        <w:rPr>
          <w:spacing w:val="2"/>
          <w:sz w:val="16"/>
        </w:rPr>
        <w:t xml:space="preserve">de </w:t>
      </w:r>
      <w:r>
        <w:rPr>
          <w:spacing w:val="6"/>
          <w:sz w:val="16"/>
        </w:rPr>
        <w:t xml:space="preserve">Antonina, </w:t>
      </w:r>
      <w:r>
        <w:rPr>
          <w:spacing w:val="5"/>
          <w:sz w:val="16"/>
        </w:rPr>
        <w:t xml:space="preserve">Paraná. In: SILVA, Cássio </w:t>
      </w:r>
      <w:r>
        <w:rPr>
          <w:spacing w:val="6"/>
          <w:sz w:val="16"/>
        </w:rPr>
        <w:t xml:space="preserve">Roberto; </w:t>
      </w:r>
      <w:r>
        <w:rPr>
          <w:spacing w:val="7"/>
          <w:sz w:val="16"/>
        </w:rPr>
        <w:t xml:space="preserve">FIGUEIREDO, </w:t>
      </w:r>
      <w:r>
        <w:rPr>
          <w:spacing w:val="8"/>
          <w:sz w:val="16"/>
        </w:rPr>
        <w:t xml:space="preserve">Bernardino </w:t>
      </w:r>
      <w:r>
        <w:rPr>
          <w:spacing w:val="7"/>
          <w:sz w:val="16"/>
        </w:rPr>
        <w:t xml:space="preserve">Ribeiro; CAPITANI, Eduardo; CUNHA, </w:t>
      </w:r>
      <w:r>
        <w:rPr>
          <w:spacing w:val="10"/>
          <w:sz w:val="16"/>
        </w:rPr>
        <w:t xml:space="preserve">Fernanda </w:t>
      </w:r>
      <w:r>
        <w:rPr>
          <w:spacing w:val="3"/>
          <w:sz w:val="16"/>
        </w:rPr>
        <w:t xml:space="preserve">Gonçalves. Geologia Médica </w:t>
      </w:r>
      <w:r>
        <w:rPr>
          <w:spacing w:val="1"/>
          <w:sz w:val="16"/>
        </w:rPr>
        <w:t xml:space="preserve">no </w:t>
      </w:r>
      <w:r>
        <w:rPr>
          <w:spacing w:val="3"/>
          <w:sz w:val="16"/>
        </w:rPr>
        <w:t xml:space="preserve">Brasil. </w:t>
      </w:r>
      <w:r>
        <w:rPr>
          <w:spacing w:val="2"/>
          <w:sz w:val="16"/>
        </w:rPr>
        <w:t xml:space="preserve">Rio </w:t>
      </w:r>
      <w:r>
        <w:rPr>
          <w:spacing w:val="1"/>
          <w:sz w:val="16"/>
        </w:rPr>
        <w:t xml:space="preserve">de </w:t>
      </w:r>
      <w:r>
        <w:rPr>
          <w:spacing w:val="3"/>
          <w:sz w:val="16"/>
        </w:rPr>
        <w:t xml:space="preserve">Janeiro: </w:t>
      </w:r>
      <w:r>
        <w:rPr>
          <w:spacing w:val="2"/>
          <w:sz w:val="16"/>
        </w:rPr>
        <w:t xml:space="preserve">CPRM </w:t>
      </w:r>
      <w:r>
        <w:rPr>
          <w:sz w:val="16"/>
        </w:rPr>
        <w:t xml:space="preserve">– </w:t>
      </w:r>
      <w:r>
        <w:rPr>
          <w:spacing w:val="17"/>
          <w:sz w:val="16"/>
        </w:rPr>
        <w:t xml:space="preserve">Serviço </w:t>
      </w:r>
      <w:r>
        <w:rPr>
          <w:spacing w:val="18"/>
          <w:sz w:val="16"/>
        </w:rPr>
        <w:t xml:space="preserve">Geológico </w:t>
      </w:r>
      <w:r>
        <w:rPr>
          <w:spacing w:val="10"/>
          <w:sz w:val="16"/>
        </w:rPr>
        <w:t>do</w:t>
      </w:r>
      <w:r>
        <w:rPr>
          <w:spacing w:val="65"/>
          <w:sz w:val="16"/>
        </w:rPr>
        <w:t xml:space="preserve"> </w:t>
      </w:r>
      <w:r>
        <w:rPr>
          <w:spacing w:val="17"/>
          <w:sz w:val="16"/>
        </w:rPr>
        <w:t xml:space="preserve">Brasil, </w:t>
      </w:r>
      <w:r>
        <w:rPr>
          <w:spacing w:val="16"/>
          <w:sz w:val="16"/>
        </w:rPr>
        <w:t xml:space="preserve">2006. </w:t>
      </w:r>
      <w:r>
        <w:rPr>
          <w:spacing w:val="18"/>
          <w:sz w:val="16"/>
        </w:rPr>
        <w:t>Disponível</w:t>
      </w:r>
      <w:r>
        <w:rPr>
          <w:spacing w:val="17"/>
          <w:sz w:val="16"/>
        </w:rPr>
        <w:t xml:space="preserve"> </w:t>
      </w:r>
      <w:r>
        <w:rPr>
          <w:spacing w:val="13"/>
          <w:sz w:val="16"/>
        </w:rPr>
        <w:t>em:</w:t>
      </w:r>
      <w:r>
        <w:rPr>
          <w:spacing w:val="-22"/>
          <w:sz w:val="16"/>
        </w:rPr>
        <w:t xml:space="preserve"> </w:t>
      </w:r>
    </w:p>
    <w:p w:rsidR="00D81F69" w:rsidRDefault="00D81F69">
      <w:pPr>
        <w:spacing w:before="5" w:line="312" w:lineRule="auto"/>
        <w:ind w:left="100" w:right="213"/>
        <w:jc w:val="both"/>
        <w:rPr>
          <w:sz w:val="16"/>
        </w:rPr>
      </w:pPr>
      <w:hyperlink r:id="rId1658">
        <w:r w:rsidR="00330118">
          <w:rPr>
            <w:sz w:val="16"/>
          </w:rPr>
          <w:t xml:space="preserve">&lt;http://www.cprm.gov.br/publique/media/geo_med12.pdf&gt;. </w:t>
        </w:r>
      </w:hyperlink>
      <w:r w:rsidR="00330118">
        <w:rPr>
          <w:sz w:val="16"/>
        </w:rPr>
        <w:t>Acesso em: 23 out. 2011.</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82" w:space="288"/>
            <w:col w:w="5310"/>
          </w:cols>
        </w:sectPr>
      </w:pPr>
    </w:p>
    <w:p w:rsidR="00D81F69" w:rsidRDefault="00330118">
      <w:pPr>
        <w:pStyle w:val="Heading1"/>
        <w:spacing w:line="208" w:lineRule="auto"/>
        <w:ind w:right="180"/>
        <w:jc w:val="both"/>
      </w:pPr>
      <w:r>
        <w:rPr>
          <w:spacing w:val="31"/>
        </w:rPr>
        <w:lastRenderedPageBreak/>
        <w:t xml:space="preserve">Construção </w:t>
      </w:r>
      <w:r>
        <w:rPr>
          <w:spacing w:val="17"/>
        </w:rPr>
        <w:t xml:space="preserve">de </w:t>
      </w:r>
      <w:r>
        <w:rPr>
          <w:spacing w:val="27"/>
        </w:rPr>
        <w:t xml:space="preserve">usina sobre minas </w:t>
      </w:r>
      <w:r>
        <w:rPr>
          <w:spacing w:val="17"/>
        </w:rPr>
        <w:t xml:space="preserve">de </w:t>
      </w:r>
      <w:r>
        <w:rPr>
          <w:spacing w:val="30"/>
        </w:rPr>
        <w:t xml:space="preserve">carvão </w:t>
      </w:r>
      <w:r>
        <w:rPr>
          <w:spacing w:val="12"/>
        </w:rPr>
        <w:t xml:space="preserve">desativadas </w:t>
      </w:r>
      <w:r>
        <w:rPr>
          <w:spacing w:val="10"/>
        </w:rPr>
        <w:t xml:space="preserve">põe </w:t>
      </w:r>
      <w:r>
        <w:rPr>
          <w:spacing w:val="6"/>
        </w:rPr>
        <w:t xml:space="preserve">em </w:t>
      </w:r>
      <w:r>
        <w:rPr>
          <w:spacing w:val="11"/>
        </w:rPr>
        <w:t xml:space="preserve">risco saúde </w:t>
      </w:r>
      <w:r>
        <w:rPr>
          <w:spacing w:val="6"/>
        </w:rPr>
        <w:t xml:space="preserve">da </w:t>
      </w:r>
      <w:r>
        <w:rPr>
          <w:spacing w:val="12"/>
        </w:rPr>
        <w:t xml:space="preserve">população </w:t>
      </w:r>
      <w:r>
        <w:rPr>
          <w:spacing w:val="15"/>
        </w:rPr>
        <w:t xml:space="preserve">de </w:t>
      </w:r>
      <w:r>
        <w:rPr>
          <w:spacing w:val="10"/>
        </w:rPr>
        <w:t>Mauá</w:t>
      </w:r>
      <w:r>
        <w:rPr>
          <w:spacing w:val="75"/>
        </w:rPr>
        <w:t xml:space="preserve"> </w:t>
      </w:r>
      <w:r>
        <w:rPr>
          <w:spacing w:val="15"/>
        </w:rPr>
        <w:t>(PR)</w:t>
      </w:r>
    </w:p>
    <w:p w:rsidR="00D81F69" w:rsidRDefault="00D81F69">
      <w:pPr>
        <w:pStyle w:val="Corpodetexto"/>
        <w:ind w:left="0"/>
        <w:jc w:val="left"/>
        <w:rPr>
          <w:b/>
          <w:sz w:val="20"/>
        </w:rPr>
      </w:pPr>
    </w:p>
    <w:p w:rsidR="00D81F69" w:rsidRDefault="00D81F69">
      <w:pPr>
        <w:pStyle w:val="Corpodetexto"/>
        <w:spacing w:before="7"/>
        <w:ind w:left="0"/>
        <w:jc w:val="left"/>
        <w:rPr>
          <w:b/>
          <w:sz w:val="23"/>
        </w:rPr>
      </w:pPr>
    </w:p>
    <w:p w:rsidR="00D81F69" w:rsidRDefault="00330118">
      <w:pPr>
        <w:pStyle w:val="Corpodetexto"/>
        <w:spacing w:line="20" w:lineRule="exact"/>
        <w:ind w:left="2164"/>
        <w:jc w:val="left"/>
        <w:rPr>
          <w:sz w:val="2"/>
        </w:rPr>
      </w:pPr>
      <w:r>
        <w:rPr>
          <w:noProof/>
          <w:sz w:val="2"/>
          <w:lang w:val="pt-BR" w:eastAsia="pt-BR"/>
        </w:rPr>
        <w:drawing>
          <wp:inline distT="0" distB="0" distL="0" distR="0">
            <wp:extent cx="1811385" cy="9334"/>
            <wp:effectExtent l="0" t="0" r="0" b="0"/>
            <wp:docPr id="46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D81F69">
      <w:pPr>
        <w:spacing w:line="20" w:lineRule="exact"/>
        <w:rPr>
          <w:sz w:val="2"/>
        </w:rPr>
        <w:sectPr w:rsidR="00D81F69">
          <w:pgSz w:w="11900" w:h="16840"/>
          <w:pgMar w:top="1080" w:right="500" w:bottom="680" w:left="620" w:header="0" w:footer="402" w:gutter="0"/>
          <w:cols w:space="720"/>
        </w:sectPr>
      </w:pPr>
    </w:p>
    <w:p w:rsidR="00D81F69" w:rsidRDefault="00D81F69">
      <w:pPr>
        <w:pStyle w:val="Corpodetexto"/>
        <w:ind w:left="0"/>
        <w:jc w:val="left"/>
        <w:rPr>
          <w:b/>
          <w:sz w:val="15"/>
        </w:rPr>
      </w:pPr>
    </w:p>
    <w:p w:rsidR="00D81F69" w:rsidRDefault="00330118">
      <w:pPr>
        <w:ind w:left="135"/>
        <w:rPr>
          <w:i/>
          <w:sz w:val="14"/>
        </w:rPr>
      </w:pPr>
      <w:r>
        <w:rPr>
          <w:i/>
          <w:sz w:val="14"/>
        </w:rPr>
        <w:t>MUNICÍPIOS</w:t>
      </w:r>
    </w:p>
    <w:p w:rsidR="00D81F69" w:rsidRDefault="00330118">
      <w:pPr>
        <w:spacing w:before="49"/>
        <w:ind w:left="135"/>
        <w:rPr>
          <w:i/>
          <w:sz w:val="14"/>
        </w:rPr>
      </w:pPr>
      <w:r>
        <w:rPr>
          <w:i/>
          <w:sz w:val="14"/>
        </w:rPr>
        <w:t>PR - Ortigueira</w:t>
      </w:r>
    </w:p>
    <w:p w:rsidR="00D81F69" w:rsidRDefault="00330118">
      <w:pPr>
        <w:spacing w:before="49"/>
        <w:ind w:left="135"/>
        <w:rPr>
          <w:i/>
          <w:sz w:val="14"/>
        </w:rPr>
      </w:pPr>
      <w:r>
        <w:rPr>
          <w:i/>
          <w:sz w:val="14"/>
        </w:rPr>
        <w:t>PR - Telêmaco Borba</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50"/>
        <w:ind w:left="135"/>
        <w:rPr>
          <w:i/>
          <w:sz w:val="14"/>
        </w:rPr>
      </w:pPr>
      <w:r>
        <w:rPr>
          <w:i/>
          <w:sz w:val="14"/>
        </w:rPr>
        <w:t>-23,9072</w:t>
      </w:r>
    </w:p>
    <w:p w:rsidR="00D81F69" w:rsidRDefault="00D81F69">
      <w:pPr>
        <w:pStyle w:val="Corpodetexto"/>
        <w:spacing w:before="5"/>
        <w:ind w:left="0"/>
        <w:jc w:val="left"/>
        <w:rPr>
          <w:i/>
          <w:sz w:val="22"/>
        </w:rPr>
      </w:pPr>
    </w:p>
    <w:p w:rsidR="00D81F69" w:rsidRDefault="00330118">
      <w:pPr>
        <w:spacing w:before="1"/>
        <w:ind w:left="135"/>
        <w:rPr>
          <w:i/>
          <w:sz w:val="14"/>
        </w:rPr>
      </w:pPr>
      <w:r>
        <w:rPr>
          <w:i/>
          <w:sz w:val="14"/>
        </w:rPr>
        <w:t>LONGITUDE</w:t>
      </w:r>
    </w:p>
    <w:p w:rsidR="00D81F69" w:rsidRDefault="00330118">
      <w:pPr>
        <w:spacing w:before="49"/>
        <w:ind w:left="135"/>
        <w:rPr>
          <w:i/>
          <w:sz w:val="14"/>
        </w:rPr>
      </w:pPr>
      <w:r>
        <w:rPr>
          <w:i/>
          <w:sz w:val="14"/>
        </w:rPr>
        <w:t>-51,1914</w:t>
      </w:r>
    </w:p>
    <w:p w:rsidR="00D81F69" w:rsidRDefault="00330118">
      <w:pPr>
        <w:spacing w:before="25"/>
        <w:ind w:left="135"/>
        <w:rPr>
          <w:i/>
          <w:sz w:val="18"/>
        </w:rPr>
      </w:pPr>
      <w:r>
        <w:br w:type="column"/>
      </w:r>
      <w:r>
        <w:rPr>
          <w:i/>
          <w:sz w:val="18"/>
        </w:rPr>
        <w:lastRenderedPageBreak/>
        <w:t>SÍNTESE</w:t>
      </w:r>
    </w:p>
    <w:p w:rsidR="00D81F69" w:rsidRDefault="00330118">
      <w:pPr>
        <w:spacing w:before="52" w:line="312" w:lineRule="auto"/>
        <w:ind w:left="135" w:right="38"/>
        <w:jc w:val="both"/>
        <w:rPr>
          <w:i/>
          <w:sz w:val="16"/>
        </w:rPr>
      </w:pPr>
      <w:r>
        <w:rPr>
          <w:i/>
          <w:sz w:val="16"/>
        </w:rPr>
        <w:t xml:space="preserve">A construção da Usina Hidrelétrica </w:t>
      </w:r>
      <w:r>
        <w:rPr>
          <w:i/>
          <w:sz w:val="16"/>
        </w:rPr>
        <w:t>(UHE) de Mauá, no rio Tibagi, entre os municípios de Telêmaco Borba e Ortigueira, no Paraná, vem gerando vários embates sociais pelos problemas socioambientais e econômicos causados. Um dos principais refere-se à contaminação da água do rio por carvão e me</w:t>
      </w:r>
      <w:r>
        <w:rPr>
          <w:i/>
          <w:sz w:val="16"/>
        </w:rPr>
        <w:t>tais pesados, pois, na área de alagamento para o reservatório da usina, há entradas de mineração de carvão abandonadas pela Klabin desde 1992.</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7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145" w:line="312" w:lineRule="auto"/>
        <w:ind w:left="135" w:right="209"/>
      </w:pPr>
      <w:r>
        <w:br w:type="column"/>
      </w:r>
      <w:r>
        <w:lastRenderedPageBreak/>
        <w:t xml:space="preserve">A usina encontra-se em fase final de implantação e, quando </w:t>
      </w:r>
      <w:r>
        <w:rPr>
          <w:spacing w:val="5"/>
        </w:rPr>
        <w:t xml:space="preserve">concluída, </w:t>
      </w:r>
      <w:r>
        <w:rPr>
          <w:spacing w:val="3"/>
        </w:rPr>
        <w:t xml:space="preserve">terá </w:t>
      </w:r>
      <w:r>
        <w:rPr>
          <w:spacing w:val="5"/>
        </w:rPr>
        <w:t xml:space="preserve">potência instalada </w:t>
      </w:r>
      <w:r>
        <w:rPr>
          <w:spacing w:val="2"/>
        </w:rPr>
        <w:t xml:space="preserve">de </w:t>
      </w:r>
      <w:r>
        <w:rPr>
          <w:spacing w:val="3"/>
        </w:rPr>
        <w:t xml:space="preserve">361 </w:t>
      </w:r>
      <w:r>
        <w:rPr>
          <w:spacing w:val="5"/>
        </w:rPr>
        <w:t xml:space="preserve">megawatts. </w:t>
      </w:r>
      <w:r>
        <w:t xml:space="preserve">O </w:t>
      </w:r>
      <w:r>
        <w:rPr>
          <w:spacing w:val="5"/>
        </w:rPr>
        <w:t xml:space="preserve">projeto inclui também </w:t>
      </w:r>
      <w:r>
        <w:rPr>
          <w:spacing w:val="3"/>
        </w:rPr>
        <w:t xml:space="preserve">uma </w:t>
      </w:r>
      <w:r>
        <w:rPr>
          <w:spacing w:val="5"/>
        </w:rPr>
        <w:t xml:space="preserve">subestação </w:t>
      </w:r>
      <w:r>
        <w:t xml:space="preserve">e </w:t>
      </w:r>
      <w:r>
        <w:rPr>
          <w:spacing w:val="3"/>
        </w:rPr>
        <w:t xml:space="preserve">duas </w:t>
      </w:r>
      <w:r>
        <w:rPr>
          <w:spacing w:val="5"/>
        </w:rPr>
        <w:t>linhas de</w:t>
      </w:r>
      <w:r>
        <w:rPr>
          <w:spacing w:val="61"/>
        </w:rPr>
        <w:t xml:space="preserve"> </w:t>
      </w:r>
      <w:r>
        <w:t>transmissão, que vão conectar a UHE ao Sistema Interligado Nacional (SIN) (UHE MAUÁ, 2011 b).</w:t>
      </w:r>
    </w:p>
    <w:p w:rsidR="00D81F69" w:rsidRDefault="00330118">
      <w:pPr>
        <w:pStyle w:val="Corpodetexto"/>
        <w:spacing w:before="135" w:line="312" w:lineRule="auto"/>
        <w:ind w:left="135" w:right="195"/>
      </w:pPr>
      <w:r>
        <w:t>Devido a relatórios incompletos, relatos de fraudes e ações civis públicas, o projeto da UHE, i</w:t>
      </w:r>
      <w:r>
        <w:t>dealizado na década de 1960, tramitou por anos na Justiça sem um posicionamento definitivo. Suas obras só foram iniciadas em 2008 (MOIMAS; ALECRIM; PINHEIRO, 2009), depois que a liminar que condicionava sua implantação à realização de uma avaliação ambient</w:t>
      </w:r>
      <w:r>
        <w:t>al prévia em toda a bacia do Tibagi foi suspensa pelo</w:t>
      </w:r>
    </w:p>
    <w:p w:rsidR="00D81F69" w:rsidRDefault="00D81F69">
      <w:pPr>
        <w:spacing w:line="312" w:lineRule="auto"/>
        <w:sectPr w:rsidR="00D81F69">
          <w:type w:val="continuous"/>
          <w:pgSz w:w="11900" w:h="16840"/>
          <w:pgMar w:top="720" w:right="500" w:bottom="280" w:left="620" w:header="720" w:footer="720" w:gutter="0"/>
          <w:cols w:num="3" w:space="720" w:equalWidth="0">
            <w:col w:w="1522" w:space="478"/>
            <w:col w:w="3120" w:space="315"/>
            <w:col w:w="5345"/>
          </w:cols>
        </w:sectPr>
      </w:pPr>
    </w:p>
    <w:p w:rsidR="00D81F69" w:rsidRDefault="00330118">
      <w:pPr>
        <w:pStyle w:val="Heading4"/>
        <w:spacing w:before="100"/>
      </w:pPr>
      <w:r>
        <w:lastRenderedPageBreak/>
        <w:t>APRESENTAÇÃO DE CASO</w:t>
      </w:r>
    </w:p>
    <w:p w:rsidR="00D81F69" w:rsidRDefault="00330118">
      <w:pPr>
        <w:pStyle w:val="Corpodetexto"/>
        <w:spacing w:before="170" w:line="312" w:lineRule="auto"/>
        <w:ind w:right="38"/>
      </w:pPr>
      <w:r>
        <w:t>A Usina Hidrelétrica de Mauá (UHE Mauá) está sendo construída na porção média da bacia do rio Tibagi, entre Ortigueira e Telêmaco Borba, municípios p</w:t>
      </w:r>
      <w:r>
        <w:t>aranaenses (RAIO; BENNEMANN, 2010) com 1.382,863 km² e 69.872 habitantes (IBGE, 2010a) e 2.429,569 km² e 23.380 habitantes respectivamente (IBGE, 2010b).</w:t>
      </w:r>
    </w:p>
    <w:p w:rsidR="00D81F69" w:rsidRDefault="00330118">
      <w:pPr>
        <w:pStyle w:val="Corpodetexto"/>
        <w:spacing w:before="136" w:line="312" w:lineRule="auto"/>
        <w:ind w:right="102"/>
      </w:pPr>
      <w:r>
        <w:t xml:space="preserve">O </w:t>
      </w:r>
      <w:r>
        <w:rPr>
          <w:spacing w:val="1"/>
        </w:rPr>
        <w:t xml:space="preserve">empreendimento </w:t>
      </w:r>
      <w:r>
        <w:t xml:space="preserve">é </w:t>
      </w:r>
      <w:r>
        <w:rPr>
          <w:spacing w:val="1"/>
        </w:rPr>
        <w:t xml:space="preserve">conduzido pelo consórcio </w:t>
      </w:r>
      <w:r>
        <w:rPr>
          <w:spacing w:val="2"/>
        </w:rPr>
        <w:t xml:space="preserve">Energético </w:t>
      </w:r>
      <w:r>
        <w:rPr>
          <w:spacing w:val="3"/>
        </w:rPr>
        <w:t xml:space="preserve">Cruzeiro </w:t>
      </w:r>
      <w:r>
        <w:rPr>
          <w:spacing w:val="1"/>
        </w:rPr>
        <w:t xml:space="preserve">do </w:t>
      </w:r>
      <w:r>
        <w:rPr>
          <w:spacing w:val="2"/>
        </w:rPr>
        <w:t xml:space="preserve">Sul, </w:t>
      </w:r>
      <w:r>
        <w:rPr>
          <w:spacing w:val="3"/>
        </w:rPr>
        <w:t xml:space="preserve">formado </w:t>
      </w:r>
      <w:r>
        <w:rPr>
          <w:spacing w:val="2"/>
        </w:rPr>
        <w:t xml:space="preserve">pela </w:t>
      </w:r>
      <w:r>
        <w:rPr>
          <w:spacing w:val="3"/>
        </w:rPr>
        <w:t xml:space="preserve">Companhia Paranaense </w:t>
      </w:r>
      <w:r>
        <w:rPr>
          <w:spacing w:val="5"/>
        </w:rPr>
        <w:t xml:space="preserve">de </w:t>
      </w:r>
      <w:r>
        <w:t xml:space="preserve">Energia (Copel) e pela Eletrobras Eletrosul que arremataram  a </w:t>
      </w:r>
      <w:r>
        <w:rPr>
          <w:spacing w:val="6"/>
        </w:rPr>
        <w:t xml:space="preserve">concessão </w:t>
      </w:r>
      <w:r>
        <w:rPr>
          <w:spacing w:val="3"/>
        </w:rPr>
        <w:t xml:space="preserve">da </w:t>
      </w:r>
      <w:r>
        <w:rPr>
          <w:spacing w:val="5"/>
        </w:rPr>
        <w:t xml:space="preserve">usina </w:t>
      </w:r>
      <w:r>
        <w:rPr>
          <w:spacing w:val="3"/>
        </w:rPr>
        <w:t xml:space="preserve">em </w:t>
      </w:r>
      <w:r>
        <w:rPr>
          <w:spacing w:val="5"/>
        </w:rPr>
        <w:t xml:space="preserve">outubro </w:t>
      </w:r>
      <w:r>
        <w:rPr>
          <w:spacing w:val="3"/>
        </w:rPr>
        <w:t xml:space="preserve">de </w:t>
      </w:r>
      <w:r>
        <w:rPr>
          <w:spacing w:val="5"/>
        </w:rPr>
        <w:t xml:space="preserve">2006. Juntas, </w:t>
      </w:r>
      <w:r>
        <w:rPr>
          <w:spacing w:val="7"/>
        </w:rPr>
        <w:t xml:space="preserve">as </w:t>
      </w:r>
      <w:r>
        <w:t>empresas adquiriram o direito de construir e operar a UHE por um período mínimo de 30 anos (UHE MAUÁ, 2011a).</w:t>
      </w:r>
    </w:p>
    <w:p w:rsidR="00D81F69" w:rsidRDefault="00330118">
      <w:pPr>
        <w:pStyle w:val="Corpodetexto"/>
        <w:spacing w:before="136" w:line="312" w:lineRule="auto"/>
        <w:ind w:right="89"/>
      </w:pPr>
      <w:r>
        <w:t>O consórc</w:t>
      </w:r>
      <w:r>
        <w:t>io pretende ampliar a produção de energia elétrica, garantindo um excedente para futuros imprevistos. A UHE Mauá será a primeira de um conjunto de seis usinas ao longo do rio Tibagi, e, por ser a maior, o seu reservatório deverá abastecer as demais (MOIMAS</w:t>
      </w:r>
      <w:r>
        <w:t>; ALECRIM; PINHEIRO, 2009).</w:t>
      </w:r>
    </w:p>
    <w:p w:rsidR="00D81F69" w:rsidRDefault="00330118">
      <w:pPr>
        <w:pStyle w:val="Corpodetexto"/>
        <w:spacing w:before="134" w:line="312" w:lineRule="auto"/>
        <w:ind w:right="51"/>
      </w:pPr>
      <w:r>
        <w:t>A bacia do Rio Tibagi possui uma extensão de 616 km, iniciando na Serra das Almas, município de Palmeira, e desaguando no rio Paranapanema. É considerada a segunda bacia de maior importância no estado, com área total de 24.711 k</w:t>
      </w:r>
      <w:r>
        <w:t xml:space="preserve">m² (MERCADO ÉTICO, 2010). “O rio Tibagi é um dos poucos da região Sul que vêm sendo estudados sistematicamente desde a década de 1980” (BENNEMANN; SILVA-SOUZA; ROCHA, 1995; BENNEMANN; SHIBATTA, 2002; SHIBATTA et al., 2002, SHIBATTA; GEALH; BENNEMANN, 2007 </w:t>
      </w:r>
      <w:r>
        <w:t>apud RAIO; BENNEMANN, 2010, p.2).</w:t>
      </w:r>
    </w:p>
    <w:p w:rsidR="00D81F69" w:rsidRDefault="00330118">
      <w:pPr>
        <w:pStyle w:val="Corpodetexto"/>
        <w:spacing w:before="76" w:line="270" w:lineRule="atLeast"/>
        <w:ind w:right="102"/>
      </w:pPr>
      <w:r>
        <w:t>“A região média da bacia do rio Tibagi foi catalogada pelo Ministério do Meio Ambiente como área de prioridade para a conservação (BRASIL, 2002 apud RAIO; BENNEMANN 2010), e é onde existe a maior biodiversidade do estado d</w:t>
      </w:r>
      <w:r>
        <w:t>o Paraná” (RAIO; BENNEMANN, 2010, p.2).</w:t>
      </w:r>
    </w:p>
    <w:p w:rsidR="00D81F69" w:rsidRDefault="00330118">
      <w:pPr>
        <w:pStyle w:val="Corpodetexto"/>
        <w:spacing w:before="6" w:line="312" w:lineRule="auto"/>
        <w:ind w:right="213"/>
      </w:pPr>
      <w:r>
        <w:br w:type="column"/>
      </w:r>
      <w:r>
        <w:lastRenderedPageBreak/>
        <w:t>Superior Tribunal de Justiça (AGÊNCIA DE NOTÍCIAS DO ESTADO DO PARANÁ, 2008).</w:t>
      </w:r>
    </w:p>
    <w:p w:rsidR="00D81F69" w:rsidRDefault="00330118">
      <w:pPr>
        <w:pStyle w:val="Corpodetexto"/>
        <w:spacing w:before="132" w:line="312" w:lineRule="auto"/>
        <w:ind w:right="197"/>
      </w:pPr>
      <w:r>
        <w:t>Nos autos, destacou-se que os estudos ambientais relativos à UHE foram feitos de acordo com o que estabelece a lei e que, portanto, não h</w:t>
      </w:r>
      <w:r>
        <w:t>averia riscos ao meio ambiente (AGÊNCIA DE NOTÍCIAS DO ESTADO DO PARANÁ, 2008). Então, o</w:t>
      </w:r>
    </w:p>
    <w:p w:rsidR="00D81F69" w:rsidRDefault="00330118">
      <w:pPr>
        <w:pStyle w:val="Corpodetexto"/>
        <w:spacing w:before="4" w:line="312" w:lineRule="auto"/>
        <w:ind w:right="195"/>
      </w:pPr>
      <w:r>
        <w:t>Instituto Ambiental do Paraná (IAP) concedeu as Licenças Prévias (LP) e de Instalação (LI) do empreendimento (RAIO; BENNEMANN, 2010).</w:t>
      </w:r>
    </w:p>
    <w:p w:rsidR="00D81F69" w:rsidRDefault="00330118">
      <w:pPr>
        <w:pStyle w:val="Corpodetexto"/>
        <w:spacing w:before="133" w:line="312" w:lineRule="auto"/>
        <w:ind w:right="203"/>
      </w:pPr>
      <w:r>
        <w:rPr>
          <w:spacing w:val="5"/>
        </w:rPr>
        <w:t xml:space="preserve">No </w:t>
      </w:r>
      <w:r>
        <w:rPr>
          <w:spacing w:val="10"/>
        </w:rPr>
        <w:t xml:space="preserve">entanto, </w:t>
      </w:r>
      <w:r>
        <w:t xml:space="preserve">a </w:t>
      </w:r>
      <w:r>
        <w:rPr>
          <w:spacing w:val="7"/>
        </w:rPr>
        <w:t xml:space="preserve">UHE </w:t>
      </w:r>
      <w:r>
        <w:rPr>
          <w:spacing w:val="10"/>
        </w:rPr>
        <w:t xml:space="preserve">começou </w:t>
      </w:r>
      <w:r>
        <w:t xml:space="preserve">a </w:t>
      </w:r>
      <w:r>
        <w:rPr>
          <w:spacing w:val="7"/>
        </w:rPr>
        <w:t xml:space="preserve">ser </w:t>
      </w:r>
      <w:r>
        <w:rPr>
          <w:spacing w:val="10"/>
        </w:rPr>
        <w:t xml:space="preserve">construída </w:t>
      </w:r>
      <w:r>
        <w:rPr>
          <w:spacing w:val="12"/>
        </w:rPr>
        <w:t xml:space="preserve">sem </w:t>
      </w:r>
      <w:r>
        <w:rPr>
          <w:spacing w:val="3"/>
        </w:rPr>
        <w:t xml:space="preserve">autorização </w:t>
      </w:r>
      <w:r>
        <w:rPr>
          <w:spacing w:val="1"/>
        </w:rPr>
        <w:t xml:space="preserve">da </w:t>
      </w:r>
      <w:r>
        <w:rPr>
          <w:spacing w:val="3"/>
        </w:rPr>
        <w:t xml:space="preserve">Assembleia Legislativa </w:t>
      </w:r>
      <w:r>
        <w:rPr>
          <w:spacing w:val="1"/>
        </w:rPr>
        <w:t xml:space="preserve">do </w:t>
      </w:r>
      <w:r>
        <w:rPr>
          <w:spacing w:val="3"/>
        </w:rPr>
        <w:t xml:space="preserve">Paraná, </w:t>
      </w:r>
      <w:r>
        <w:rPr>
          <w:spacing w:val="1"/>
        </w:rPr>
        <w:t xml:space="preserve">e, </w:t>
      </w:r>
      <w:r>
        <w:rPr>
          <w:spacing w:val="5"/>
        </w:rPr>
        <w:t xml:space="preserve">três </w:t>
      </w:r>
      <w:r>
        <w:t xml:space="preserve">meses após o início das obras, a liberação foi negada pelos deputados estaduais. Mais recentemente, com toda a parte  </w:t>
      </w:r>
      <w:r>
        <w:rPr>
          <w:spacing w:val="1"/>
        </w:rPr>
        <w:t xml:space="preserve">de </w:t>
      </w:r>
      <w:r>
        <w:rPr>
          <w:spacing w:val="3"/>
        </w:rPr>
        <w:t xml:space="preserve">construção civil pronta, </w:t>
      </w:r>
      <w:r>
        <w:rPr>
          <w:spacing w:val="1"/>
        </w:rPr>
        <w:t xml:space="preserve">um </w:t>
      </w:r>
      <w:r>
        <w:rPr>
          <w:spacing w:val="2"/>
        </w:rPr>
        <w:t xml:space="preserve">novo </w:t>
      </w:r>
      <w:r>
        <w:rPr>
          <w:spacing w:val="3"/>
        </w:rPr>
        <w:t xml:space="preserve">projeto </w:t>
      </w:r>
      <w:r>
        <w:rPr>
          <w:spacing w:val="2"/>
        </w:rPr>
        <w:t xml:space="preserve">foi </w:t>
      </w:r>
      <w:r>
        <w:rPr>
          <w:spacing w:val="3"/>
        </w:rPr>
        <w:t xml:space="preserve">enviado </w:t>
      </w:r>
      <w:r>
        <w:t xml:space="preserve">à </w:t>
      </w:r>
      <w:r>
        <w:rPr>
          <w:spacing w:val="3"/>
        </w:rPr>
        <w:t>Assemble</w:t>
      </w:r>
      <w:r>
        <w:rPr>
          <w:spacing w:val="3"/>
        </w:rPr>
        <w:t xml:space="preserve">ia </w:t>
      </w:r>
      <w:r>
        <w:t xml:space="preserve">e </w:t>
      </w:r>
      <w:r>
        <w:rPr>
          <w:spacing w:val="3"/>
        </w:rPr>
        <w:t>aprovado (BREMBATTI,</w:t>
      </w:r>
      <w:r>
        <w:rPr>
          <w:spacing w:val="5"/>
        </w:rPr>
        <w:t xml:space="preserve"> 2012).</w:t>
      </w:r>
    </w:p>
    <w:p w:rsidR="00D81F69" w:rsidRDefault="00330118">
      <w:pPr>
        <w:pStyle w:val="Corpodetexto"/>
        <w:spacing w:before="135" w:line="312" w:lineRule="auto"/>
        <w:ind w:right="203"/>
      </w:pPr>
      <w:r>
        <w:t>A previsão era de que a UHE começasse a funcionar em janeiro de 2011, mas o projeto foi atrasado devido a várias batalhas judiciais, em especial devido aos impactos ambientais causados pelo empreendimento. Desde então, o Co</w:t>
      </w:r>
      <w:r>
        <w:t>nsórcio Cruzeiro do Sul está comprando energia no mercado para cumprir os contratos de fornecimento firmados com 24 distribuidoras ao arrematar a concessão da hidrelétrica (BREMBATTI, 2012).</w:t>
      </w:r>
    </w:p>
    <w:p w:rsidR="00D81F69" w:rsidRDefault="00330118">
      <w:pPr>
        <w:pStyle w:val="Corpodetexto"/>
        <w:spacing w:before="75" w:line="270" w:lineRule="atLeast"/>
        <w:ind w:right="190"/>
      </w:pPr>
      <w:r>
        <w:t>A hidrelétrica de Mauá derrubou 2,8 mil hectares de mata nativa e</w:t>
      </w:r>
      <w:r>
        <w:t xml:space="preserve"> está alterando o curso do segundo maior rio do Paraná (BREMBATTI, 2012). Além disso, o reservatório da UHE vai alagar áreas de mineração de carvão e sítios contendo depósitos de rejeitos do beneficiamento do minério (LACTEC, 2007), o que poderá compromete</w:t>
      </w:r>
      <w:r>
        <w:t>r a qualidade da água do rio Tibagi e, portanto, a biodiversidade local e a saúde da população. Do manancial provém o abastecimento de várias cidades, inclusive de áreas metropolitanas, como Londrina e Apucarana, ambas no Paraná (MENECHINO, 2008 apud MOIMA</w:t>
      </w:r>
      <w:r>
        <w:t>S; ALECRIM; PINHEIRO, 2009).</w:t>
      </w:r>
    </w:p>
    <w:p w:rsidR="00D81F69" w:rsidRDefault="00D81F69">
      <w:pPr>
        <w:spacing w:line="270" w:lineRule="atLeast"/>
        <w:sectPr w:rsidR="00D81F69">
          <w:type w:val="continuous"/>
          <w:pgSz w:w="11900" w:h="16840"/>
          <w:pgMar w:top="720" w:right="500" w:bottom="280" w:left="620" w:header="720" w:footer="720" w:gutter="0"/>
          <w:cols w:num="2" w:space="720" w:equalWidth="0">
            <w:col w:w="5205" w:space="265"/>
            <w:col w:w="5310"/>
          </w:cols>
        </w:sectPr>
      </w:pPr>
    </w:p>
    <w:p w:rsidR="00D81F69" w:rsidRDefault="00D81F69">
      <w:pPr>
        <w:pStyle w:val="Corpodetexto"/>
        <w:spacing w:before="5"/>
        <w:ind w:left="0"/>
        <w:jc w:val="left"/>
        <w:rPr>
          <w:sz w:val="24"/>
        </w:rPr>
      </w:pPr>
    </w:p>
    <w:p w:rsidR="00D81F69" w:rsidRDefault="00330118">
      <w:pPr>
        <w:pStyle w:val="Corpodetexto"/>
        <w:spacing w:line="312" w:lineRule="auto"/>
        <w:ind w:right="38"/>
      </w:pPr>
      <w:r>
        <w:t xml:space="preserve">A </w:t>
      </w:r>
      <w:r>
        <w:rPr>
          <w:spacing w:val="5"/>
        </w:rPr>
        <w:t xml:space="preserve">área abrange, </w:t>
      </w:r>
      <w:r>
        <w:rPr>
          <w:spacing w:val="2"/>
        </w:rPr>
        <w:t xml:space="preserve">na </w:t>
      </w:r>
      <w:r>
        <w:rPr>
          <w:spacing w:val="5"/>
        </w:rPr>
        <w:t xml:space="preserve">margem direita, florestas </w:t>
      </w:r>
      <w:r>
        <w:rPr>
          <w:spacing w:val="2"/>
        </w:rPr>
        <w:t xml:space="preserve">da </w:t>
      </w:r>
      <w:r>
        <w:rPr>
          <w:spacing w:val="6"/>
        </w:rPr>
        <w:t xml:space="preserve">Klabin </w:t>
      </w:r>
      <w:r>
        <w:rPr>
          <w:spacing w:val="10"/>
        </w:rPr>
        <w:t xml:space="preserve">Fábrica </w:t>
      </w:r>
      <w:r>
        <w:rPr>
          <w:spacing w:val="5"/>
        </w:rPr>
        <w:t xml:space="preserve">de </w:t>
      </w:r>
      <w:r>
        <w:rPr>
          <w:spacing w:val="10"/>
        </w:rPr>
        <w:t xml:space="preserve">Papel </w:t>
      </w:r>
      <w:r>
        <w:t xml:space="preserve">e </w:t>
      </w:r>
      <w:r>
        <w:rPr>
          <w:spacing w:val="10"/>
        </w:rPr>
        <w:t xml:space="preserve">Celulose S.A., </w:t>
      </w:r>
      <w:r>
        <w:rPr>
          <w:spacing w:val="5"/>
        </w:rPr>
        <w:t xml:space="preserve">e, na </w:t>
      </w:r>
      <w:r>
        <w:rPr>
          <w:spacing w:val="12"/>
        </w:rPr>
        <w:t xml:space="preserve">esquerda, </w:t>
      </w:r>
      <w:r>
        <w:t>propriedades particulares de uma população ribeirinha, que, para a criação da hidrelétrica, te</w:t>
      </w:r>
      <w:r>
        <w:t xml:space="preserve">rá suas terras desapropriadas </w:t>
      </w:r>
      <w:r>
        <w:rPr>
          <w:spacing w:val="2"/>
        </w:rPr>
        <w:t xml:space="preserve">pelo </w:t>
      </w:r>
      <w:r>
        <w:rPr>
          <w:spacing w:val="3"/>
        </w:rPr>
        <w:t xml:space="preserve">Estado (BELS, 2007, </w:t>
      </w:r>
      <w:r>
        <w:rPr>
          <w:spacing w:val="2"/>
        </w:rPr>
        <w:t xml:space="preserve">p.23 apud </w:t>
      </w:r>
      <w:r>
        <w:rPr>
          <w:spacing w:val="3"/>
        </w:rPr>
        <w:t xml:space="preserve">MOIMAS; </w:t>
      </w:r>
      <w:r>
        <w:rPr>
          <w:spacing w:val="5"/>
        </w:rPr>
        <w:t xml:space="preserve">ALECRIM; PINHEIRO, 2009). </w:t>
      </w:r>
      <w:r>
        <w:t xml:space="preserve">A </w:t>
      </w:r>
      <w:r>
        <w:rPr>
          <w:spacing w:val="5"/>
        </w:rPr>
        <w:t xml:space="preserve">construção </w:t>
      </w:r>
      <w:r>
        <w:rPr>
          <w:spacing w:val="2"/>
        </w:rPr>
        <w:t xml:space="preserve">da </w:t>
      </w:r>
      <w:r>
        <w:rPr>
          <w:spacing w:val="3"/>
        </w:rPr>
        <w:t xml:space="preserve">usina </w:t>
      </w:r>
      <w:r>
        <w:rPr>
          <w:spacing w:val="5"/>
        </w:rPr>
        <w:t>impactará não</w:t>
      </w:r>
      <w:r>
        <w:rPr>
          <w:spacing w:val="61"/>
        </w:rPr>
        <w:t xml:space="preserve"> </w:t>
      </w:r>
      <w:r>
        <w:rPr>
          <w:spacing w:val="8"/>
        </w:rPr>
        <w:t xml:space="preserve">somente </w:t>
      </w:r>
      <w:r>
        <w:t xml:space="preserve">a </w:t>
      </w:r>
      <w:r>
        <w:rPr>
          <w:spacing w:val="8"/>
        </w:rPr>
        <w:t xml:space="preserve">população </w:t>
      </w:r>
      <w:r>
        <w:rPr>
          <w:spacing w:val="10"/>
        </w:rPr>
        <w:t xml:space="preserve">ribeirinha, </w:t>
      </w:r>
      <w:r>
        <w:rPr>
          <w:spacing w:val="7"/>
        </w:rPr>
        <w:t xml:space="preserve">como </w:t>
      </w:r>
      <w:r>
        <w:t xml:space="preserve">o </w:t>
      </w:r>
      <w:r>
        <w:rPr>
          <w:spacing w:val="8"/>
        </w:rPr>
        <w:t xml:space="preserve">conjunto </w:t>
      </w:r>
      <w:r>
        <w:rPr>
          <w:spacing w:val="10"/>
        </w:rPr>
        <w:t xml:space="preserve">de </w:t>
      </w:r>
      <w:r>
        <w:rPr>
          <w:spacing w:val="5"/>
        </w:rPr>
        <w:t xml:space="preserve">pescadores </w:t>
      </w:r>
      <w:r>
        <w:t xml:space="preserve">e </w:t>
      </w:r>
      <w:r>
        <w:rPr>
          <w:spacing w:val="5"/>
        </w:rPr>
        <w:t xml:space="preserve">agricultores </w:t>
      </w:r>
      <w:r>
        <w:rPr>
          <w:spacing w:val="2"/>
        </w:rPr>
        <w:t xml:space="preserve">da </w:t>
      </w:r>
      <w:r>
        <w:rPr>
          <w:spacing w:val="5"/>
        </w:rPr>
        <w:t>região (MERCADO ÉTICO,</w:t>
      </w:r>
      <w:r>
        <w:rPr>
          <w:spacing w:val="61"/>
        </w:rPr>
        <w:t xml:space="preserve"> </w:t>
      </w:r>
      <w:r>
        <w:rPr>
          <w:spacing w:val="1"/>
        </w:rPr>
        <w:t xml:space="preserve">2010). Isso </w:t>
      </w:r>
      <w:r>
        <w:t xml:space="preserve">sem </w:t>
      </w:r>
      <w:r>
        <w:rPr>
          <w:spacing w:val="1"/>
        </w:rPr>
        <w:t xml:space="preserve">contar </w:t>
      </w:r>
      <w:r>
        <w:t xml:space="preserve">as </w:t>
      </w:r>
      <w:r>
        <w:rPr>
          <w:spacing w:val="1"/>
        </w:rPr>
        <w:t xml:space="preserve">terras </w:t>
      </w:r>
      <w:r>
        <w:t xml:space="preserve">dos </w:t>
      </w:r>
      <w:r>
        <w:rPr>
          <w:spacing w:val="1"/>
        </w:rPr>
        <w:t xml:space="preserve">índios Kaingang, </w:t>
      </w:r>
      <w:r>
        <w:rPr>
          <w:spacing w:val="2"/>
        </w:rPr>
        <w:t xml:space="preserve">que </w:t>
      </w:r>
      <w:r>
        <w:rPr>
          <w:spacing w:val="7"/>
        </w:rPr>
        <w:t xml:space="preserve">serão atingidas </w:t>
      </w:r>
      <w:r>
        <w:rPr>
          <w:spacing w:val="6"/>
        </w:rPr>
        <w:t xml:space="preserve">pelo lago </w:t>
      </w:r>
      <w:r>
        <w:rPr>
          <w:spacing w:val="5"/>
        </w:rPr>
        <w:t xml:space="preserve">da </w:t>
      </w:r>
      <w:r>
        <w:rPr>
          <w:spacing w:val="7"/>
        </w:rPr>
        <w:t xml:space="preserve">usina, </w:t>
      </w:r>
      <w:r>
        <w:rPr>
          <w:spacing w:val="8"/>
        </w:rPr>
        <w:t xml:space="preserve">prejudicando </w:t>
      </w:r>
      <w:r>
        <w:rPr>
          <w:spacing w:val="10"/>
        </w:rPr>
        <w:t xml:space="preserve">suas </w:t>
      </w:r>
      <w:r>
        <w:t>atividades de subsistência como a caça e a pesca (MOIMAS; ALECRIM; PINHEIRO, 2009).</w:t>
      </w:r>
    </w:p>
    <w:p w:rsidR="00D81F69" w:rsidRDefault="00330118">
      <w:pPr>
        <w:pStyle w:val="Corpodetexto"/>
        <w:spacing w:before="141" w:line="312" w:lineRule="auto"/>
        <w:ind w:right="50"/>
      </w:pPr>
      <w:r>
        <w:t xml:space="preserve">As </w:t>
      </w:r>
      <w:r>
        <w:rPr>
          <w:spacing w:val="1"/>
        </w:rPr>
        <w:t xml:space="preserve">terras onde </w:t>
      </w:r>
      <w:r>
        <w:t xml:space="preserve">se </w:t>
      </w:r>
      <w:r>
        <w:rPr>
          <w:spacing w:val="1"/>
        </w:rPr>
        <w:t xml:space="preserve">situará </w:t>
      </w:r>
      <w:r>
        <w:t xml:space="preserve">o </w:t>
      </w:r>
      <w:r>
        <w:rPr>
          <w:spacing w:val="1"/>
        </w:rPr>
        <w:t xml:space="preserve">reservatório </w:t>
      </w:r>
      <w:r>
        <w:t xml:space="preserve">da </w:t>
      </w:r>
      <w:r>
        <w:rPr>
          <w:spacing w:val="1"/>
        </w:rPr>
        <w:t xml:space="preserve">Usina </w:t>
      </w:r>
      <w:r>
        <w:t xml:space="preserve">de </w:t>
      </w:r>
      <w:r>
        <w:rPr>
          <w:spacing w:val="2"/>
        </w:rPr>
        <w:t xml:space="preserve">Mauá </w:t>
      </w:r>
      <w:r>
        <w:t>abrangem os domíni</w:t>
      </w:r>
      <w:r>
        <w:t xml:space="preserve">os de 26 minas de carvão, operadas pela </w:t>
      </w:r>
      <w:r>
        <w:rPr>
          <w:spacing w:val="3"/>
        </w:rPr>
        <w:t xml:space="preserve">Klabin </w:t>
      </w:r>
      <w:r>
        <w:rPr>
          <w:spacing w:val="1"/>
        </w:rPr>
        <w:t xml:space="preserve">no </w:t>
      </w:r>
      <w:r>
        <w:rPr>
          <w:spacing w:val="3"/>
        </w:rPr>
        <w:t xml:space="preserve">período </w:t>
      </w:r>
      <w:r>
        <w:rPr>
          <w:spacing w:val="1"/>
        </w:rPr>
        <w:t xml:space="preserve">de </w:t>
      </w:r>
      <w:r>
        <w:rPr>
          <w:spacing w:val="2"/>
        </w:rPr>
        <w:t xml:space="preserve">1930 até </w:t>
      </w:r>
      <w:r>
        <w:rPr>
          <w:spacing w:val="3"/>
        </w:rPr>
        <w:t xml:space="preserve">1993, quando </w:t>
      </w:r>
      <w:r>
        <w:t xml:space="preserve">a </w:t>
      </w:r>
      <w:r>
        <w:rPr>
          <w:spacing w:val="3"/>
        </w:rPr>
        <w:t xml:space="preserve">fábrica </w:t>
      </w:r>
      <w:r>
        <w:rPr>
          <w:spacing w:val="5"/>
        </w:rPr>
        <w:t xml:space="preserve">de </w:t>
      </w:r>
      <w:r>
        <w:t xml:space="preserve">papel e celulose decidiu suspender seu funcionamento. De </w:t>
      </w:r>
      <w:r>
        <w:rPr>
          <w:spacing w:val="5"/>
        </w:rPr>
        <w:t xml:space="preserve">acordo </w:t>
      </w:r>
      <w:r>
        <w:rPr>
          <w:spacing w:val="3"/>
        </w:rPr>
        <w:t xml:space="preserve">com </w:t>
      </w:r>
      <w:r>
        <w:t xml:space="preserve">a </w:t>
      </w:r>
      <w:r>
        <w:rPr>
          <w:spacing w:val="5"/>
        </w:rPr>
        <w:t xml:space="preserve">empresa, </w:t>
      </w:r>
      <w:r>
        <w:rPr>
          <w:spacing w:val="3"/>
        </w:rPr>
        <w:t xml:space="preserve">logo após </w:t>
      </w:r>
      <w:r>
        <w:t xml:space="preserve">a </w:t>
      </w:r>
      <w:r>
        <w:rPr>
          <w:spacing w:val="5"/>
        </w:rPr>
        <w:t xml:space="preserve">desativação, foram </w:t>
      </w:r>
      <w:r>
        <w:rPr>
          <w:spacing w:val="3"/>
        </w:rPr>
        <w:t xml:space="preserve">elaborados projetos </w:t>
      </w:r>
      <w:r>
        <w:rPr>
          <w:spacing w:val="1"/>
        </w:rPr>
        <w:t xml:space="preserve">de </w:t>
      </w:r>
      <w:r>
        <w:rPr>
          <w:spacing w:val="3"/>
        </w:rPr>
        <w:t xml:space="preserve">recuperação acompanhados </w:t>
      </w:r>
      <w:r>
        <w:rPr>
          <w:spacing w:val="5"/>
        </w:rPr>
        <w:t>pe</w:t>
      </w:r>
      <w:r>
        <w:rPr>
          <w:spacing w:val="5"/>
        </w:rPr>
        <w:t xml:space="preserve">lo </w:t>
      </w:r>
      <w:r>
        <w:rPr>
          <w:spacing w:val="3"/>
        </w:rPr>
        <w:t xml:space="preserve">Instituto Ambiental </w:t>
      </w:r>
      <w:r>
        <w:rPr>
          <w:spacing w:val="1"/>
        </w:rPr>
        <w:t xml:space="preserve">do </w:t>
      </w:r>
      <w:r>
        <w:rPr>
          <w:spacing w:val="3"/>
        </w:rPr>
        <w:t xml:space="preserve">Paraná (IAP) </w:t>
      </w:r>
      <w:r>
        <w:t xml:space="preserve">e </w:t>
      </w:r>
      <w:r>
        <w:rPr>
          <w:spacing w:val="2"/>
        </w:rPr>
        <w:t xml:space="preserve">pelo </w:t>
      </w:r>
      <w:r>
        <w:rPr>
          <w:spacing w:val="5"/>
        </w:rPr>
        <w:t xml:space="preserve">Departamento Nacional </w:t>
      </w:r>
      <w:r>
        <w:rPr>
          <w:spacing w:val="2"/>
        </w:rPr>
        <w:t xml:space="preserve">de </w:t>
      </w:r>
      <w:r>
        <w:rPr>
          <w:spacing w:val="5"/>
        </w:rPr>
        <w:t xml:space="preserve">Produção Mineral (DNPM), </w:t>
      </w:r>
      <w:r>
        <w:t xml:space="preserve">e o </w:t>
      </w:r>
      <w:r>
        <w:rPr>
          <w:spacing w:val="5"/>
        </w:rPr>
        <w:t>processo foi</w:t>
      </w:r>
      <w:r>
        <w:rPr>
          <w:spacing w:val="61"/>
        </w:rPr>
        <w:t xml:space="preserve"> </w:t>
      </w:r>
      <w:r>
        <w:t xml:space="preserve">concluído em 2000 com a retirada dos explosivos das minas. A </w:t>
      </w:r>
      <w:r>
        <w:rPr>
          <w:spacing w:val="5"/>
        </w:rPr>
        <w:t xml:space="preserve">partir </w:t>
      </w:r>
      <w:r>
        <w:rPr>
          <w:spacing w:val="2"/>
        </w:rPr>
        <w:t xml:space="preserve">de </w:t>
      </w:r>
      <w:r>
        <w:rPr>
          <w:spacing w:val="5"/>
        </w:rPr>
        <w:t xml:space="preserve">então, </w:t>
      </w:r>
      <w:r>
        <w:t xml:space="preserve">a </w:t>
      </w:r>
      <w:r>
        <w:rPr>
          <w:spacing w:val="5"/>
        </w:rPr>
        <w:t xml:space="preserve">água passou </w:t>
      </w:r>
      <w:r>
        <w:t xml:space="preserve">a </w:t>
      </w:r>
      <w:r>
        <w:rPr>
          <w:spacing w:val="3"/>
        </w:rPr>
        <w:t xml:space="preserve">ser </w:t>
      </w:r>
      <w:r>
        <w:rPr>
          <w:spacing w:val="5"/>
        </w:rPr>
        <w:t xml:space="preserve">monitorada </w:t>
      </w:r>
      <w:r>
        <w:rPr>
          <w:spacing w:val="6"/>
        </w:rPr>
        <w:t xml:space="preserve">por </w:t>
      </w:r>
      <w:r>
        <w:t xml:space="preserve">laboratórios credenciados por </w:t>
      </w:r>
      <w:r>
        <w:t>órgãos governamentais (SILVA, 2009).</w:t>
      </w:r>
    </w:p>
    <w:p w:rsidR="00D81F69" w:rsidRDefault="00330118">
      <w:pPr>
        <w:pStyle w:val="Corpodetexto"/>
        <w:spacing w:before="141" w:line="312" w:lineRule="auto"/>
        <w:ind w:right="47"/>
      </w:pPr>
      <w:r>
        <w:t>Para identificar a presença de substâncias tóxicas comumente oriundas da extração do carvão, a ONG Liga Ambiental elaborou, em 2008, um relatório para análise de riscos, orientado por geólogos, nos terrenos da região. De acordo com os estudos realizados pe</w:t>
      </w:r>
      <w:r>
        <w:t>la ONG, o enxofre presente nas áreas das minas reagiria com a água e formaria ácido sulfúrico, provocando o chamado fenômeno de drenagem ácida (LIGA AMBIENTAL, 2008 apud MOIMAS; ALECRIM; PINHEIRO, 2009).</w:t>
      </w:r>
    </w:p>
    <w:p w:rsidR="00D81F69" w:rsidRDefault="00330118">
      <w:pPr>
        <w:pStyle w:val="Corpodetexto"/>
        <w:spacing w:before="138" w:line="312" w:lineRule="auto"/>
        <w:ind w:right="44"/>
      </w:pPr>
      <w:r>
        <w:t>A Drenagem Ácida de Mina (DAM) é um grave problema o</w:t>
      </w:r>
      <w:r>
        <w:t xml:space="preserve">riundo das atividades de mineração, tanto de metais quanto de carvão, por causar a degradação da qualidade de águas superficiais e subterrâneas, solos e sedimentos. A DAM é gerada, em especial, pela oxidação de minerais de sulfeto e tem alta capacidade de </w:t>
      </w:r>
      <w:r>
        <w:t>lixiviação (extração por meio da ação das águas das chuvas) de elementos presentes no minério e nas rochas circundantes à área minerada (CAMPANER; LUIZ-SILVA, 2009).</w:t>
      </w:r>
    </w:p>
    <w:p w:rsidR="00D81F69" w:rsidRDefault="00330118">
      <w:pPr>
        <w:pStyle w:val="Corpodetexto"/>
        <w:spacing w:before="139" w:line="312" w:lineRule="auto"/>
        <w:ind w:right="38"/>
      </w:pPr>
      <w:r>
        <w:rPr>
          <w:spacing w:val="1"/>
        </w:rPr>
        <w:t xml:space="preserve">Além disso, </w:t>
      </w:r>
      <w:r>
        <w:t xml:space="preserve">o </w:t>
      </w:r>
      <w:r>
        <w:rPr>
          <w:spacing w:val="1"/>
        </w:rPr>
        <w:t xml:space="preserve">carvão mineral libera metais pesados, </w:t>
      </w:r>
      <w:r>
        <w:rPr>
          <w:spacing w:val="2"/>
        </w:rPr>
        <w:t xml:space="preserve">como </w:t>
      </w:r>
      <w:hyperlink r:id="rId1659">
        <w:r>
          <w:t xml:space="preserve">chumbo, cádmio </w:t>
        </w:r>
      </w:hyperlink>
      <w:r>
        <w:t xml:space="preserve">e </w:t>
      </w:r>
      <w:hyperlink r:id="rId1660">
        <w:r>
          <w:t xml:space="preserve">manganês, </w:t>
        </w:r>
      </w:hyperlink>
      <w:r>
        <w:t xml:space="preserve">que podem ser depositados em grande quantidade no leito do rio, comprometendo as </w:t>
      </w:r>
      <w:r>
        <w:t xml:space="preserve">águas </w:t>
      </w:r>
      <w:r>
        <w:rPr>
          <w:spacing w:val="2"/>
        </w:rPr>
        <w:t xml:space="preserve">do </w:t>
      </w:r>
      <w:r>
        <w:rPr>
          <w:spacing w:val="5"/>
        </w:rPr>
        <w:t xml:space="preserve">reservatório, tornando-as impróprias </w:t>
      </w:r>
      <w:r>
        <w:rPr>
          <w:spacing w:val="3"/>
        </w:rPr>
        <w:t xml:space="preserve">para </w:t>
      </w:r>
      <w:r>
        <w:t xml:space="preserve">o </w:t>
      </w:r>
      <w:r>
        <w:rPr>
          <w:spacing w:val="5"/>
        </w:rPr>
        <w:t xml:space="preserve">consumo </w:t>
      </w:r>
      <w:r>
        <w:rPr>
          <w:spacing w:val="10"/>
        </w:rPr>
        <w:t xml:space="preserve">(LIGA AMBIENTAL, </w:t>
      </w:r>
      <w:r>
        <w:rPr>
          <w:spacing w:val="8"/>
        </w:rPr>
        <w:t xml:space="preserve">2008 apud </w:t>
      </w:r>
      <w:r>
        <w:rPr>
          <w:spacing w:val="10"/>
        </w:rPr>
        <w:t xml:space="preserve">MOIMAS; </w:t>
      </w:r>
      <w:r>
        <w:rPr>
          <w:spacing w:val="12"/>
        </w:rPr>
        <w:t xml:space="preserve">ALECRIM; </w:t>
      </w:r>
      <w:r>
        <w:rPr>
          <w:spacing w:val="10"/>
        </w:rPr>
        <w:t>PINHEIRO,</w:t>
      </w:r>
      <w:r>
        <w:rPr>
          <w:spacing w:val="65"/>
        </w:rPr>
        <w:t xml:space="preserve"> </w:t>
      </w:r>
      <w:r>
        <w:rPr>
          <w:spacing w:val="12"/>
        </w:rPr>
        <w:t>2009).</w:t>
      </w:r>
    </w:p>
    <w:p w:rsidR="00D81F69" w:rsidRDefault="00330118">
      <w:pPr>
        <w:pStyle w:val="Corpodetexto"/>
        <w:spacing w:before="135" w:line="312" w:lineRule="auto"/>
        <w:ind w:right="51"/>
      </w:pPr>
      <w:r>
        <w:t>Exames realizados pela Universidade Estadual de Londrina (UEL) comprovaram a concentração de metais pesados no rio Tibagi, perto das u</w:t>
      </w:r>
      <w:r>
        <w:t>sinas de carvão já desativadas pela Klabin, mas que deixaram rejeitos que liberam os elementos na natureza. Exame laboratorial mostrou também a presença dos</w:t>
      </w:r>
    </w:p>
    <w:p w:rsidR="00D81F69" w:rsidRDefault="00330118">
      <w:pPr>
        <w:pStyle w:val="Corpodetexto"/>
        <w:spacing w:before="81" w:line="312" w:lineRule="auto"/>
        <w:ind w:right="188"/>
      </w:pPr>
      <w:r>
        <w:br w:type="column"/>
      </w:r>
      <w:r>
        <w:lastRenderedPageBreak/>
        <w:t>mesmos metais pesados no organismo de um lavrador, morador de casebre próximo ao rio, que sentia f</w:t>
      </w:r>
      <w:r>
        <w:t>ortes dores nos ossos e coceira intensa na pele (SILVA, 2009).</w:t>
      </w:r>
    </w:p>
    <w:p w:rsidR="00D81F69" w:rsidRDefault="00330118">
      <w:pPr>
        <w:pStyle w:val="Corpodetexto"/>
        <w:spacing w:before="133" w:line="312" w:lineRule="auto"/>
        <w:ind w:right="190"/>
      </w:pPr>
      <w:r>
        <w:t xml:space="preserve">De acordo com pesquisadores da UEL, a contaminação se dá </w:t>
      </w:r>
      <w:r>
        <w:rPr>
          <w:spacing w:val="1"/>
        </w:rPr>
        <w:t xml:space="preserve">principalmente pelo consumo </w:t>
      </w:r>
      <w:r>
        <w:t xml:space="preserve">de </w:t>
      </w:r>
      <w:r>
        <w:rPr>
          <w:spacing w:val="1"/>
        </w:rPr>
        <w:t xml:space="preserve">peixes. </w:t>
      </w:r>
      <w:r>
        <w:t xml:space="preserve">Foi </w:t>
      </w:r>
      <w:r>
        <w:rPr>
          <w:spacing w:val="1"/>
        </w:rPr>
        <w:t xml:space="preserve">verificado, </w:t>
      </w:r>
      <w:r>
        <w:rPr>
          <w:spacing w:val="2"/>
        </w:rPr>
        <w:t xml:space="preserve">em </w:t>
      </w:r>
      <w:r>
        <w:rPr>
          <w:spacing w:val="3"/>
        </w:rPr>
        <w:t xml:space="preserve">2008, </w:t>
      </w:r>
      <w:r>
        <w:rPr>
          <w:spacing w:val="2"/>
        </w:rPr>
        <w:t xml:space="preserve">que </w:t>
      </w:r>
      <w:r>
        <w:t xml:space="preserve">o </w:t>
      </w:r>
      <w:r>
        <w:rPr>
          <w:spacing w:val="3"/>
        </w:rPr>
        <w:t xml:space="preserve">peixe </w:t>
      </w:r>
      <w:r>
        <w:rPr>
          <w:spacing w:val="2"/>
        </w:rPr>
        <w:t xml:space="preserve">mais </w:t>
      </w:r>
      <w:r>
        <w:rPr>
          <w:spacing w:val="3"/>
        </w:rPr>
        <w:t xml:space="preserve">consumido </w:t>
      </w:r>
      <w:r>
        <w:rPr>
          <w:spacing w:val="1"/>
        </w:rPr>
        <w:t xml:space="preserve">na </w:t>
      </w:r>
      <w:r>
        <w:rPr>
          <w:spacing w:val="3"/>
        </w:rPr>
        <w:t xml:space="preserve">região, </w:t>
      </w:r>
      <w:r>
        <w:t xml:space="preserve">o </w:t>
      </w:r>
      <w:r>
        <w:rPr>
          <w:spacing w:val="5"/>
        </w:rPr>
        <w:t xml:space="preserve">corimba, </w:t>
      </w:r>
      <w:r>
        <w:rPr>
          <w:spacing w:val="3"/>
        </w:rPr>
        <w:t>apresentava metais pesa</w:t>
      </w:r>
      <w:r>
        <w:rPr>
          <w:spacing w:val="3"/>
        </w:rPr>
        <w:t xml:space="preserve">dos </w:t>
      </w:r>
      <w:r>
        <w:rPr>
          <w:spacing w:val="1"/>
        </w:rPr>
        <w:t xml:space="preserve">em </w:t>
      </w:r>
      <w:r>
        <w:rPr>
          <w:spacing w:val="2"/>
        </w:rPr>
        <w:t xml:space="preserve">sua </w:t>
      </w:r>
      <w:r>
        <w:rPr>
          <w:spacing w:val="3"/>
        </w:rPr>
        <w:t xml:space="preserve">composição. </w:t>
      </w:r>
      <w:r>
        <w:rPr>
          <w:spacing w:val="5"/>
        </w:rPr>
        <w:t xml:space="preserve">Esses </w:t>
      </w:r>
      <w:r>
        <w:rPr>
          <w:spacing w:val="3"/>
        </w:rPr>
        <w:t xml:space="preserve">elementos </w:t>
      </w:r>
      <w:r>
        <w:rPr>
          <w:spacing w:val="1"/>
        </w:rPr>
        <w:t xml:space="preserve">se </w:t>
      </w:r>
      <w:r>
        <w:rPr>
          <w:spacing w:val="3"/>
        </w:rPr>
        <w:t xml:space="preserve">concentram </w:t>
      </w:r>
      <w:r>
        <w:rPr>
          <w:spacing w:val="1"/>
        </w:rPr>
        <w:t xml:space="preserve">no </w:t>
      </w:r>
      <w:r>
        <w:rPr>
          <w:spacing w:val="3"/>
        </w:rPr>
        <w:t xml:space="preserve">sedimento (solo) </w:t>
      </w:r>
      <w:r>
        <w:rPr>
          <w:spacing w:val="1"/>
        </w:rPr>
        <w:t xml:space="preserve">do </w:t>
      </w:r>
      <w:r>
        <w:rPr>
          <w:spacing w:val="2"/>
        </w:rPr>
        <w:t xml:space="preserve">rio, </w:t>
      </w:r>
      <w:r>
        <w:rPr>
          <w:spacing w:val="5"/>
        </w:rPr>
        <w:t xml:space="preserve">que </w:t>
      </w:r>
      <w:r>
        <w:t xml:space="preserve">serve de alimento para o corimba. Uma análise mais recente da água feita também por pesquisadores da UEL revelou que a </w:t>
      </w:r>
      <w:r>
        <w:rPr>
          <w:spacing w:val="8"/>
        </w:rPr>
        <w:t xml:space="preserve">concentração </w:t>
      </w:r>
      <w:r>
        <w:rPr>
          <w:spacing w:val="5"/>
        </w:rPr>
        <w:t xml:space="preserve">de </w:t>
      </w:r>
      <w:hyperlink r:id="rId1661">
        <w:r>
          <w:rPr>
            <w:spacing w:val="7"/>
          </w:rPr>
          <w:t>chumbo</w:t>
        </w:r>
      </w:hyperlink>
      <w:r>
        <w:rPr>
          <w:spacing w:val="7"/>
        </w:rPr>
        <w:t xml:space="preserve"> </w:t>
      </w:r>
      <w:r>
        <w:rPr>
          <w:spacing w:val="5"/>
        </w:rPr>
        <w:t xml:space="preserve">foi de 80 mg por </w:t>
      </w:r>
      <w:r>
        <w:rPr>
          <w:spacing w:val="7"/>
        </w:rPr>
        <w:t xml:space="preserve">quilo </w:t>
      </w:r>
      <w:r>
        <w:rPr>
          <w:spacing w:val="10"/>
        </w:rPr>
        <w:t xml:space="preserve">de </w:t>
      </w:r>
      <w:r>
        <w:t xml:space="preserve">sedimento, enquanto a média aceitável é de 20 mg (SILVA, </w:t>
      </w:r>
      <w:r>
        <w:rPr>
          <w:spacing w:val="1"/>
        </w:rPr>
        <w:t>2009).</w:t>
      </w:r>
    </w:p>
    <w:p w:rsidR="00D81F69" w:rsidRDefault="00330118">
      <w:pPr>
        <w:pStyle w:val="Corpodetexto"/>
        <w:spacing w:before="139" w:line="312" w:lineRule="auto"/>
        <w:ind w:right="196"/>
      </w:pPr>
      <w:r>
        <w:t>O chumbo provoca alterações no organismo que vão das mais leves, como fadiga e dor de cabeça, até as mais graves, como espasmos intestinais e paralisias musculares. As crianças são as mais atingidas, pois o chumbo pode comprometer seu desenvolvimento cogni</w:t>
      </w:r>
      <w:r>
        <w:t>tivo e até provocar retardamento mental (SILVA, 2009).</w:t>
      </w:r>
    </w:p>
    <w:p w:rsidR="00D81F69" w:rsidRDefault="00330118">
      <w:pPr>
        <w:pStyle w:val="Corpodetexto"/>
        <w:spacing w:before="135" w:line="312" w:lineRule="auto"/>
        <w:ind w:right="192"/>
      </w:pPr>
      <w:r>
        <w:rPr>
          <w:spacing w:val="2"/>
        </w:rPr>
        <w:t xml:space="preserve">Em </w:t>
      </w:r>
      <w:r>
        <w:rPr>
          <w:spacing w:val="3"/>
        </w:rPr>
        <w:t xml:space="preserve">2011, </w:t>
      </w:r>
      <w:r>
        <w:t xml:space="preserve">a </w:t>
      </w:r>
      <w:r>
        <w:rPr>
          <w:spacing w:val="5"/>
        </w:rPr>
        <w:t xml:space="preserve">Justiça Federal </w:t>
      </w:r>
      <w:r>
        <w:rPr>
          <w:spacing w:val="2"/>
        </w:rPr>
        <w:t xml:space="preserve">em </w:t>
      </w:r>
      <w:r>
        <w:rPr>
          <w:spacing w:val="5"/>
        </w:rPr>
        <w:t>Londrina reconheceu as</w:t>
      </w:r>
      <w:r>
        <w:rPr>
          <w:spacing w:val="61"/>
        </w:rPr>
        <w:t xml:space="preserve"> </w:t>
      </w:r>
      <w:r>
        <w:t xml:space="preserve">deficiências do Estudo e do Relatório de Impacto Ambiental (EIA/Rima) da UHE Mauá, em virtude da incorreta definição </w:t>
      </w:r>
      <w:r>
        <w:rPr>
          <w:spacing w:val="1"/>
        </w:rPr>
        <w:t xml:space="preserve">da </w:t>
      </w:r>
      <w:r>
        <w:rPr>
          <w:spacing w:val="2"/>
        </w:rPr>
        <w:t xml:space="preserve">área </w:t>
      </w:r>
      <w:r>
        <w:rPr>
          <w:spacing w:val="1"/>
        </w:rPr>
        <w:t xml:space="preserve">de </w:t>
      </w:r>
      <w:r>
        <w:rPr>
          <w:spacing w:val="3"/>
        </w:rPr>
        <w:t xml:space="preserve">influência </w:t>
      </w:r>
      <w:r>
        <w:rPr>
          <w:spacing w:val="1"/>
        </w:rPr>
        <w:t xml:space="preserve">do </w:t>
      </w:r>
      <w:r>
        <w:rPr>
          <w:spacing w:val="3"/>
        </w:rPr>
        <w:t xml:space="preserve">projeto, </w:t>
      </w:r>
      <w:r>
        <w:rPr>
          <w:spacing w:val="1"/>
        </w:rPr>
        <w:t xml:space="preserve">em </w:t>
      </w:r>
      <w:r>
        <w:rPr>
          <w:spacing w:val="3"/>
        </w:rPr>
        <w:t xml:space="preserve">especial </w:t>
      </w:r>
      <w:r>
        <w:rPr>
          <w:spacing w:val="1"/>
        </w:rPr>
        <w:t xml:space="preserve">no </w:t>
      </w:r>
      <w:r>
        <w:rPr>
          <w:spacing w:val="2"/>
        </w:rPr>
        <w:t xml:space="preserve">que </w:t>
      </w:r>
      <w:r>
        <w:rPr>
          <w:spacing w:val="5"/>
        </w:rPr>
        <w:t xml:space="preserve">diz </w:t>
      </w:r>
      <w:r>
        <w:rPr>
          <w:spacing w:val="3"/>
        </w:rPr>
        <w:t xml:space="preserve">respeito </w:t>
      </w:r>
      <w:r>
        <w:rPr>
          <w:spacing w:val="2"/>
        </w:rPr>
        <w:t xml:space="preserve">aos </w:t>
      </w:r>
      <w:r>
        <w:rPr>
          <w:spacing w:val="3"/>
        </w:rPr>
        <w:t xml:space="preserve">impactos sobre </w:t>
      </w:r>
      <w:r>
        <w:rPr>
          <w:spacing w:val="1"/>
        </w:rPr>
        <w:t xml:space="preserve">as </w:t>
      </w:r>
      <w:r>
        <w:rPr>
          <w:spacing w:val="3"/>
        </w:rPr>
        <w:t xml:space="preserve">populações indígenas </w:t>
      </w:r>
      <w:r>
        <w:rPr>
          <w:spacing w:val="5"/>
        </w:rPr>
        <w:t xml:space="preserve">da região, </w:t>
      </w:r>
      <w:r>
        <w:t xml:space="preserve">e </w:t>
      </w:r>
      <w:r>
        <w:rPr>
          <w:spacing w:val="5"/>
        </w:rPr>
        <w:t xml:space="preserve">declarou </w:t>
      </w:r>
      <w:r>
        <w:t xml:space="preserve">a </w:t>
      </w:r>
      <w:r>
        <w:rPr>
          <w:spacing w:val="5"/>
        </w:rPr>
        <w:t xml:space="preserve">bacia </w:t>
      </w:r>
      <w:r>
        <w:rPr>
          <w:spacing w:val="2"/>
        </w:rPr>
        <w:t xml:space="preserve">do </w:t>
      </w:r>
      <w:r>
        <w:rPr>
          <w:spacing w:val="3"/>
        </w:rPr>
        <w:t xml:space="preserve">rio </w:t>
      </w:r>
      <w:r>
        <w:rPr>
          <w:spacing w:val="5"/>
        </w:rPr>
        <w:t xml:space="preserve">Tibagi como </w:t>
      </w:r>
      <w:r>
        <w:rPr>
          <w:spacing w:val="6"/>
        </w:rPr>
        <w:t xml:space="preserve">território </w:t>
      </w:r>
      <w:r>
        <w:rPr>
          <w:spacing w:val="5"/>
        </w:rPr>
        <w:t xml:space="preserve">Kaingang </w:t>
      </w:r>
      <w:r>
        <w:t xml:space="preserve">e </w:t>
      </w:r>
      <w:r>
        <w:rPr>
          <w:spacing w:val="5"/>
        </w:rPr>
        <w:t xml:space="preserve">Guarani, </w:t>
      </w:r>
      <w:r>
        <w:rPr>
          <w:spacing w:val="3"/>
        </w:rPr>
        <w:t xml:space="preserve">nos </w:t>
      </w:r>
      <w:r>
        <w:rPr>
          <w:spacing w:val="5"/>
        </w:rPr>
        <w:t xml:space="preserve">termos </w:t>
      </w:r>
      <w:r>
        <w:rPr>
          <w:spacing w:val="2"/>
        </w:rPr>
        <w:t xml:space="preserve">da </w:t>
      </w:r>
      <w:r>
        <w:rPr>
          <w:spacing w:val="5"/>
        </w:rPr>
        <w:t xml:space="preserve">Convenção </w:t>
      </w:r>
      <w:r>
        <w:rPr>
          <w:spacing w:val="3"/>
        </w:rPr>
        <w:t xml:space="preserve">169 </w:t>
      </w:r>
      <w:r>
        <w:rPr>
          <w:spacing w:val="6"/>
        </w:rPr>
        <w:t xml:space="preserve">da </w:t>
      </w:r>
      <w:r>
        <w:rPr>
          <w:spacing w:val="13"/>
        </w:rPr>
        <w:t xml:space="preserve">Organização Internacional </w:t>
      </w:r>
      <w:r>
        <w:rPr>
          <w:spacing w:val="7"/>
        </w:rPr>
        <w:t xml:space="preserve">do </w:t>
      </w:r>
      <w:r>
        <w:rPr>
          <w:spacing w:val="13"/>
        </w:rPr>
        <w:t xml:space="preserve">Trabalho </w:t>
      </w:r>
      <w:r>
        <w:rPr>
          <w:spacing w:val="11"/>
        </w:rPr>
        <w:t xml:space="preserve">(que trata </w:t>
      </w:r>
      <w:r>
        <w:t>especificame</w:t>
      </w:r>
      <w:r>
        <w:t xml:space="preserve">nte dos direitos dos povos indígenas e tribais no </w:t>
      </w:r>
      <w:r>
        <w:rPr>
          <w:spacing w:val="3"/>
        </w:rPr>
        <w:t xml:space="preserve">mundo) (PROCURADORIA </w:t>
      </w:r>
      <w:r>
        <w:rPr>
          <w:spacing w:val="1"/>
        </w:rPr>
        <w:t xml:space="preserve">DA </w:t>
      </w:r>
      <w:r>
        <w:rPr>
          <w:spacing w:val="3"/>
        </w:rPr>
        <w:t xml:space="preserve">REPÚBLICA </w:t>
      </w:r>
      <w:r>
        <w:rPr>
          <w:spacing w:val="1"/>
        </w:rPr>
        <w:t xml:space="preserve">NO </w:t>
      </w:r>
      <w:r>
        <w:rPr>
          <w:spacing w:val="5"/>
        </w:rPr>
        <w:t>PARANÁ, 2011).</w:t>
      </w:r>
    </w:p>
    <w:p w:rsidR="00D81F69" w:rsidRDefault="00330118">
      <w:pPr>
        <w:pStyle w:val="Corpodetexto"/>
        <w:spacing w:before="141" w:line="312" w:lineRule="auto"/>
        <w:ind w:right="206"/>
      </w:pPr>
      <w:r>
        <w:t>A licença de operação da UHE também foi solicitada no final de 2011, mas ainda não foi concedida porque várias obrigações ambientais ainda não foram cumpr</w:t>
      </w:r>
      <w:r>
        <w:t>idas. Além da aquisição de uma área equivalente à floresta derrubada entre os municípios de Telêmaco Borba e Ortigueira, é preciso cumprir mais 12 condicionantes estabelecidos pelo IAP. O consórcio ainda precisa recompor os trechos que estiverem degradados</w:t>
      </w:r>
      <w:r>
        <w:t xml:space="preserve"> e se comprometer a preservar toda a fauna e flora da área (BREMBATTI, 2012).</w:t>
      </w:r>
    </w:p>
    <w:p w:rsidR="00D81F69" w:rsidRDefault="00D81F69">
      <w:pPr>
        <w:pStyle w:val="Corpodetexto"/>
        <w:spacing w:before="7"/>
        <w:ind w:left="0"/>
        <w:jc w:val="left"/>
        <w:rPr>
          <w:sz w:val="21"/>
        </w:rPr>
      </w:pPr>
    </w:p>
    <w:p w:rsidR="00D81F69" w:rsidRDefault="00330118">
      <w:pPr>
        <w:pStyle w:val="Heading7"/>
        <w:spacing w:before="1"/>
      </w:pPr>
      <w:r>
        <w:t>LOCALIZAÇÃO GEOGRÁFICA</w:t>
      </w:r>
    </w:p>
    <w:p w:rsidR="00D81F69" w:rsidRDefault="00330118">
      <w:pPr>
        <w:pStyle w:val="Corpodetexto"/>
        <w:spacing w:before="178" w:line="312" w:lineRule="auto"/>
        <w:ind w:right="192"/>
      </w:pPr>
      <w:r>
        <w:rPr>
          <w:spacing w:val="5"/>
        </w:rPr>
        <w:t xml:space="preserve">As </w:t>
      </w:r>
      <w:r>
        <w:rPr>
          <w:spacing w:val="10"/>
        </w:rPr>
        <w:t xml:space="preserve">ocorrências </w:t>
      </w:r>
      <w:r>
        <w:rPr>
          <w:spacing w:val="5"/>
        </w:rPr>
        <w:t xml:space="preserve">de </w:t>
      </w:r>
      <w:r>
        <w:rPr>
          <w:spacing w:val="10"/>
        </w:rPr>
        <w:t xml:space="preserve">carvão (Fazenda </w:t>
      </w:r>
      <w:r>
        <w:rPr>
          <w:spacing w:val="8"/>
        </w:rPr>
        <w:t xml:space="preserve">Monte </w:t>
      </w:r>
      <w:r>
        <w:rPr>
          <w:spacing w:val="10"/>
        </w:rPr>
        <w:t xml:space="preserve">Alegre </w:t>
      </w:r>
      <w:r>
        <w:t xml:space="preserve">e </w:t>
      </w:r>
      <w:r>
        <w:rPr>
          <w:spacing w:val="8"/>
        </w:rPr>
        <w:t xml:space="preserve">Imbauzinho) </w:t>
      </w:r>
      <w:r>
        <w:rPr>
          <w:spacing w:val="7"/>
        </w:rPr>
        <w:t xml:space="preserve">presentes </w:t>
      </w:r>
      <w:r>
        <w:rPr>
          <w:spacing w:val="5"/>
        </w:rPr>
        <w:t xml:space="preserve">na </w:t>
      </w:r>
      <w:r>
        <w:rPr>
          <w:spacing w:val="7"/>
        </w:rPr>
        <w:t xml:space="preserve">sub-bacia </w:t>
      </w:r>
      <w:r>
        <w:rPr>
          <w:spacing w:val="5"/>
        </w:rPr>
        <w:t xml:space="preserve">do rio </w:t>
      </w:r>
      <w:r>
        <w:rPr>
          <w:spacing w:val="7"/>
        </w:rPr>
        <w:t xml:space="preserve">Tibaji, </w:t>
      </w:r>
      <w:r>
        <w:rPr>
          <w:spacing w:val="10"/>
        </w:rPr>
        <w:t xml:space="preserve">nas </w:t>
      </w:r>
      <w:r>
        <w:t>proximidades do seu canal principal, afluente da ba</w:t>
      </w:r>
      <w:r>
        <w:t xml:space="preserve">cia do rio </w:t>
      </w:r>
      <w:r>
        <w:rPr>
          <w:spacing w:val="3"/>
        </w:rPr>
        <w:t xml:space="preserve">Paraná, estão divididas entre </w:t>
      </w:r>
      <w:r>
        <w:rPr>
          <w:spacing w:val="1"/>
        </w:rPr>
        <w:t xml:space="preserve">os </w:t>
      </w:r>
      <w:r>
        <w:rPr>
          <w:spacing w:val="3"/>
        </w:rPr>
        <w:t xml:space="preserve">municípios </w:t>
      </w:r>
      <w:r>
        <w:rPr>
          <w:spacing w:val="1"/>
        </w:rPr>
        <w:t xml:space="preserve">de </w:t>
      </w:r>
      <w:r>
        <w:rPr>
          <w:spacing w:val="5"/>
        </w:rPr>
        <w:t xml:space="preserve">Telêmaco Borba </w:t>
      </w:r>
      <w:r>
        <w:t xml:space="preserve">e </w:t>
      </w:r>
      <w:r>
        <w:rPr>
          <w:spacing w:val="6"/>
        </w:rPr>
        <w:t xml:space="preserve">Ortigueira. </w:t>
      </w:r>
      <w:r>
        <w:t xml:space="preserve">A </w:t>
      </w:r>
      <w:r>
        <w:rPr>
          <w:spacing w:val="5"/>
        </w:rPr>
        <w:t xml:space="preserve">mina Fazenda Monte Alegre, </w:t>
      </w:r>
      <w:r>
        <w:rPr>
          <w:spacing w:val="7"/>
        </w:rPr>
        <w:t xml:space="preserve">em </w:t>
      </w:r>
      <w:r>
        <w:rPr>
          <w:spacing w:val="5"/>
        </w:rPr>
        <w:t xml:space="preserve">Telêmaco Borba, </w:t>
      </w:r>
      <w:r>
        <w:rPr>
          <w:spacing w:val="3"/>
        </w:rPr>
        <w:t xml:space="preserve">está </w:t>
      </w:r>
      <w:r>
        <w:rPr>
          <w:spacing w:val="5"/>
        </w:rPr>
        <w:t xml:space="preserve">localizada </w:t>
      </w:r>
      <w:r>
        <w:rPr>
          <w:spacing w:val="2"/>
        </w:rPr>
        <w:t xml:space="preserve">na </w:t>
      </w:r>
      <w:r>
        <w:rPr>
          <w:spacing w:val="5"/>
        </w:rPr>
        <w:t xml:space="preserve">latitude 24°7’58”S </w:t>
      </w:r>
      <w:r>
        <w:t xml:space="preserve">e </w:t>
      </w:r>
      <w:r>
        <w:rPr>
          <w:spacing w:val="1"/>
        </w:rPr>
        <w:t xml:space="preserve">longitude 50°40’13”W </w:t>
      </w:r>
      <w:r>
        <w:t xml:space="preserve">e a </w:t>
      </w:r>
      <w:r>
        <w:rPr>
          <w:spacing w:val="1"/>
        </w:rPr>
        <w:t xml:space="preserve">mina Imbaúzinho, </w:t>
      </w:r>
      <w:r>
        <w:t xml:space="preserve">em </w:t>
      </w:r>
      <w:r>
        <w:rPr>
          <w:spacing w:val="2"/>
        </w:rPr>
        <w:t xml:space="preserve">Ortigueira, </w:t>
      </w:r>
      <w:r>
        <w:rPr>
          <w:spacing w:val="1"/>
        </w:rPr>
        <w:t xml:space="preserve">situa-se </w:t>
      </w:r>
      <w:r>
        <w:t xml:space="preserve">na </w:t>
      </w:r>
      <w:r>
        <w:rPr>
          <w:spacing w:val="1"/>
        </w:rPr>
        <w:t xml:space="preserve">latitude 24°15’45”S </w:t>
      </w:r>
      <w:r>
        <w:t xml:space="preserve">e </w:t>
      </w:r>
      <w:r>
        <w:rPr>
          <w:spacing w:val="1"/>
        </w:rPr>
        <w:t>longitude</w:t>
      </w:r>
      <w:r>
        <w:rPr>
          <w:spacing w:val="52"/>
        </w:rPr>
        <w:t xml:space="preserve"> </w:t>
      </w:r>
      <w:r>
        <w:rPr>
          <w:spacing w:val="2"/>
        </w:rPr>
        <w:t>50°44’19”W.</w:t>
      </w:r>
    </w:p>
    <w:p w:rsidR="00D81F69" w:rsidRDefault="00D81F69">
      <w:pPr>
        <w:pStyle w:val="Corpodetexto"/>
        <w:spacing w:before="5"/>
        <w:ind w:left="0"/>
        <w:jc w:val="left"/>
        <w:rPr>
          <w:sz w:val="29"/>
        </w:rPr>
      </w:pPr>
    </w:p>
    <w:p w:rsidR="00D81F69" w:rsidRDefault="00330118">
      <w:pPr>
        <w:pStyle w:val="Heading7"/>
        <w:spacing w:before="1"/>
      </w:pPr>
      <w:r>
        <w:t>REDATORES</w:t>
      </w:r>
    </w:p>
    <w:p w:rsidR="00D81F69" w:rsidRDefault="00330118">
      <w:pPr>
        <w:pStyle w:val="Corpodetexto"/>
        <w:spacing w:before="178"/>
      </w:pPr>
      <w:r>
        <w:t>Renata Olivieri; Eliane Araujo</w:t>
      </w:r>
    </w:p>
    <w:p w:rsidR="00D81F69" w:rsidRDefault="00D81F69">
      <w:pPr>
        <w:sectPr w:rsidR="00D81F69">
          <w:pgSz w:w="11900" w:h="16840"/>
          <w:pgMar w:top="740" w:right="500" w:bottom="720" w:left="620" w:header="0" w:footer="402" w:gutter="0"/>
          <w:cols w:num="2" w:space="720" w:equalWidth="0">
            <w:col w:w="5165" w:space="305"/>
            <w:col w:w="5310"/>
          </w:cols>
        </w:sectPr>
      </w:pPr>
    </w:p>
    <w:p w:rsidR="00D81F69" w:rsidRDefault="00330118">
      <w:pPr>
        <w:pStyle w:val="Heading7"/>
        <w:spacing w:before="92"/>
      </w:pPr>
      <w:r>
        <w:lastRenderedPageBreak/>
        <w:t>REFERÊNCIAS BIBLIOGRÁFICAS</w:t>
      </w:r>
    </w:p>
    <w:p w:rsidR="00D81F69" w:rsidRDefault="00330118">
      <w:pPr>
        <w:spacing w:before="188"/>
        <w:ind w:left="100"/>
        <w:jc w:val="both"/>
        <w:rPr>
          <w:sz w:val="16"/>
        </w:rPr>
      </w:pPr>
      <w:r>
        <w:rPr>
          <w:sz w:val="16"/>
        </w:rPr>
        <w:t>AGÊNCIA DE NOTÍCIAS DO ESTADO DO PARANÁ. Obras da Usina</w:t>
      </w:r>
    </w:p>
    <w:p w:rsidR="00D81F69" w:rsidRDefault="00330118">
      <w:pPr>
        <w:spacing w:before="56"/>
        <w:ind w:left="100"/>
        <w:jc w:val="both"/>
        <w:rPr>
          <w:sz w:val="16"/>
        </w:rPr>
      </w:pPr>
      <w:r>
        <w:rPr>
          <w:sz w:val="16"/>
        </w:rPr>
        <w:t xml:space="preserve">Mauá  começam  nesta  semana,  22  jul.  2008. Disponível </w:t>
      </w:r>
      <w:r>
        <w:rPr>
          <w:sz w:val="16"/>
        </w:rPr>
        <w:t>em:</w:t>
      </w:r>
    </w:p>
    <w:p w:rsidR="00D81F69" w:rsidRDefault="00D81F69">
      <w:pPr>
        <w:spacing w:before="56" w:line="312" w:lineRule="auto"/>
        <w:ind w:left="100" w:right="137"/>
        <w:jc w:val="both"/>
        <w:rPr>
          <w:sz w:val="16"/>
        </w:rPr>
      </w:pPr>
      <w:hyperlink r:id="rId1662">
        <w:r w:rsidR="00330118">
          <w:rPr>
            <w:sz w:val="16"/>
          </w:rPr>
          <w:t>&lt;http://www.aen.pr.gov.br/modules/noticias/article.php?storyid=39570</w:t>
        </w:r>
      </w:hyperlink>
      <w:r w:rsidR="00330118">
        <w:rPr>
          <w:sz w:val="16"/>
        </w:rPr>
        <w:t xml:space="preserve"> &amp;tit=Obras-da-Usina-Maua-comecam-nesta-semana&gt;. Acesso em: 4 maio 2010.</w:t>
      </w:r>
    </w:p>
    <w:p w:rsidR="00D81F69" w:rsidRDefault="00330118">
      <w:pPr>
        <w:tabs>
          <w:tab w:val="left" w:pos="2559"/>
          <w:tab w:val="left" w:pos="5063"/>
        </w:tabs>
        <w:spacing w:before="2" w:line="312" w:lineRule="auto"/>
        <w:ind w:left="100" w:right="120"/>
        <w:jc w:val="both"/>
        <w:rPr>
          <w:sz w:val="16"/>
        </w:rPr>
      </w:pPr>
      <w:r>
        <w:rPr>
          <w:spacing w:val="3"/>
          <w:sz w:val="16"/>
        </w:rPr>
        <w:t xml:space="preserve">BREMBATTI, Kátia. </w:t>
      </w:r>
      <w:r>
        <w:rPr>
          <w:spacing w:val="2"/>
          <w:sz w:val="16"/>
        </w:rPr>
        <w:t xml:space="preserve">Sem </w:t>
      </w:r>
      <w:r>
        <w:rPr>
          <w:spacing w:val="3"/>
          <w:sz w:val="16"/>
        </w:rPr>
        <w:t xml:space="preserve">compensar impactos, </w:t>
      </w:r>
      <w:r>
        <w:rPr>
          <w:spacing w:val="2"/>
          <w:sz w:val="16"/>
        </w:rPr>
        <w:t xml:space="preserve">Mauá não </w:t>
      </w:r>
      <w:r>
        <w:rPr>
          <w:spacing w:val="5"/>
          <w:sz w:val="16"/>
        </w:rPr>
        <w:t xml:space="preserve">pode </w:t>
      </w:r>
      <w:r>
        <w:rPr>
          <w:sz w:val="16"/>
        </w:rPr>
        <w:t>operar. Gazeta do Povo. Vida e Cidadania, 23 maio 2012. Disponível e</w:t>
      </w:r>
      <w:r>
        <w:rPr>
          <w:sz w:val="16"/>
        </w:rPr>
        <w:tab/>
        <w:t>m</w:t>
      </w:r>
      <w:r>
        <w:rPr>
          <w:sz w:val="16"/>
        </w:rPr>
        <w:tab/>
        <w:t>:</w:t>
      </w:r>
    </w:p>
    <w:p w:rsidR="00D81F69" w:rsidRDefault="00D81F69">
      <w:pPr>
        <w:spacing w:before="3" w:line="312" w:lineRule="auto"/>
        <w:ind w:left="100" w:right="113"/>
        <w:jc w:val="both"/>
        <w:rPr>
          <w:sz w:val="16"/>
        </w:rPr>
      </w:pPr>
      <w:hyperlink r:id="rId1663">
        <w:r w:rsidR="00330118">
          <w:rPr>
            <w:sz w:val="16"/>
          </w:rPr>
          <w:t>&lt;http://www.gazetadopovo.com.br/vidaecidadania/conteudo.phtml?id=</w:t>
        </w:r>
      </w:hyperlink>
      <w:r w:rsidR="00330118">
        <w:rPr>
          <w:sz w:val="16"/>
        </w:rPr>
        <w:t xml:space="preserve"> 12</w:t>
      </w:r>
      <w:r w:rsidR="00330118">
        <w:rPr>
          <w:sz w:val="16"/>
        </w:rPr>
        <w:t>57689&amp;tit=Sem-compensar-impactos-Maua-nao-pode-operar&gt;. Acesso em: 03 ago. 2012.</w:t>
      </w:r>
    </w:p>
    <w:p w:rsidR="00D81F69" w:rsidRDefault="00330118">
      <w:pPr>
        <w:spacing w:before="2" w:line="312" w:lineRule="auto"/>
        <w:ind w:left="100" w:right="115"/>
        <w:jc w:val="both"/>
        <w:rPr>
          <w:sz w:val="16"/>
        </w:rPr>
      </w:pPr>
      <w:r>
        <w:rPr>
          <w:sz w:val="16"/>
        </w:rPr>
        <w:t>CAMPANER, Veridiana Polvani; LUIZ-SILVA, Wanilson. Processos físico-químicos em drenagem ácida de mina em mineração de carvão no sul do Brasil. Quím. Nova [online], 2009, v.32</w:t>
      </w:r>
      <w:r>
        <w:rPr>
          <w:sz w:val="16"/>
        </w:rPr>
        <w:t xml:space="preserve">, n.1, p. 146-152. Disponível em: </w:t>
      </w:r>
      <w:hyperlink r:id="rId1664">
        <w:r>
          <w:rPr>
            <w:sz w:val="16"/>
          </w:rPr>
          <w:t>&lt;http://www.scielo.br/pdf/qn/v32n1/v32n1a28.pdf&gt;.</w:t>
        </w:r>
      </w:hyperlink>
      <w:r>
        <w:rPr>
          <w:sz w:val="16"/>
        </w:rPr>
        <w:t xml:space="preserve"> Acesso em: 04 maio 2010.</w:t>
      </w:r>
    </w:p>
    <w:p w:rsidR="00D81F69" w:rsidRDefault="00330118">
      <w:pPr>
        <w:tabs>
          <w:tab w:val="left" w:pos="568"/>
          <w:tab w:val="left" w:pos="1278"/>
          <w:tab w:val="left" w:pos="2389"/>
          <w:tab w:val="left" w:pos="3073"/>
          <w:tab w:val="left" w:pos="3460"/>
          <w:tab w:val="left" w:pos="4762"/>
        </w:tabs>
        <w:spacing w:before="4" w:line="312" w:lineRule="auto"/>
        <w:ind w:left="100" w:right="85"/>
        <w:rPr>
          <w:sz w:val="16"/>
        </w:rPr>
      </w:pPr>
      <w:r>
        <w:rPr>
          <w:sz w:val="16"/>
        </w:rPr>
        <w:t xml:space="preserve">IBGE, Instituto Brasileiro de Geografia e Estatística. Ortigueira (PR). </w:t>
      </w:r>
      <w:r>
        <w:rPr>
          <w:spacing w:val="23"/>
          <w:sz w:val="16"/>
        </w:rPr>
        <w:t>In:</w:t>
      </w:r>
      <w:r>
        <w:rPr>
          <w:spacing w:val="23"/>
          <w:sz w:val="16"/>
        </w:rPr>
        <w:tab/>
      </w:r>
      <w:r>
        <w:rPr>
          <w:spacing w:val="26"/>
          <w:sz w:val="16"/>
        </w:rPr>
        <w:t>IBGE</w:t>
      </w:r>
      <w:r>
        <w:rPr>
          <w:spacing w:val="26"/>
          <w:sz w:val="16"/>
        </w:rPr>
        <w:tab/>
      </w:r>
      <w:r>
        <w:rPr>
          <w:spacing w:val="30"/>
          <w:sz w:val="16"/>
        </w:rPr>
        <w:t>Ci</w:t>
      </w:r>
      <w:r>
        <w:rPr>
          <w:spacing w:val="30"/>
          <w:sz w:val="16"/>
        </w:rPr>
        <w:t>dades,</w:t>
      </w:r>
      <w:r>
        <w:rPr>
          <w:spacing w:val="30"/>
          <w:sz w:val="16"/>
        </w:rPr>
        <w:tab/>
      </w:r>
      <w:r>
        <w:rPr>
          <w:spacing w:val="26"/>
          <w:sz w:val="16"/>
        </w:rPr>
        <w:t>2010</w:t>
      </w:r>
      <w:r>
        <w:rPr>
          <w:spacing w:val="26"/>
          <w:sz w:val="16"/>
        </w:rPr>
        <w:tab/>
      </w:r>
      <w:r>
        <w:rPr>
          <w:spacing w:val="17"/>
          <w:sz w:val="16"/>
        </w:rPr>
        <w:t>a.</w:t>
      </w:r>
      <w:r>
        <w:rPr>
          <w:spacing w:val="17"/>
          <w:sz w:val="16"/>
        </w:rPr>
        <w:tab/>
      </w:r>
      <w:r>
        <w:rPr>
          <w:spacing w:val="31"/>
          <w:sz w:val="16"/>
        </w:rPr>
        <w:t>Disponível</w:t>
      </w:r>
      <w:r>
        <w:rPr>
          <w:spacing w:val="31"/>
          <w:sz w:val="16"/>
        </w:rPr>
        <w:tab/>
      </w:r>
      <w:r>
        <w:rPr>
          <w:spacing w:val="23"/>
          <w:sz w:val="16"/>
        </w:rPr>
        <w:t xml:space="preserve">em: </w:t>
      </w:r>
      <w:hyperlink r:id="rId1665">
        <w:r>
          <w:rPr>
            <w:sz w:val="16"/>
          </w:rPr>
          <w:t xml:space="preserve">http://www.ibge.gov.br/cidadesat/topwindow.htm?1&gt;. </w:t>
        </w:r>
      </w:hyperlink>
      <w:r>
        <w:rPr>
          <w:sz w:val="16"/>
        </w:rPr>
        <w:t>Acesso em: 04 ago.</w:t>
      </w:r>
      <w:r>
        <w:rPr>
          <w:spacing w:val="8"/>
          <w:sz w:val="16"/>
        </w:rPr>
        <w:t xml:space="preserve"> </w:t>
      </w:r>
      <w:r>
        <w:rPr>
          <w:sz w:val="16"/>
        </w:rPr>
        <w:t>2012.</w:t>
      </w:r>
    </w:p>
    <w:p w:rsidR="00D81F69" w:rsidRDefault="00330118">
      <w:pPr>
        <w:tabs>
          <w:tab w:val="left" w:pos="642"/>
        </w:tabs>
        <w:spacing w:before="3" w:line="312" w:lineRule="auto"/>
        <w:ind w:left="100" w:right="117"/>
        <w:jc w:val="both"/>
        <w:rPr>
          <w:sz w:val="16"/>
        </w:rPr>
      </w:pPr>
      <w:r>
        <w:rPr>
          <w:sz w:val="16"/>
          <w:u w:val="single"/>
        </w:rPr>
        <w:t xml:space="preserve"> </w:t>
      </w:r>
      <w:r>
        <w:rPr>
          <w:sz w:val="16"/>
          <w:u w:val="single"/>
        </w:rPr>
        <w:tab/>
      </w:r>
      <w:r>
        <w:rPr>
          <w:sz w:val="16"/>
        </w:rPr>
        <w:t xml:space="preserve">. Telêmaco Borba (PR). In IBGE Cidades, 2010 b. Disponível em: </w:t>
      </w:r>
      <w:hyperlink r:id="rId1666">
        <w:r>
          <w:rPr>
            <w:sz w:val="16"/>
          </w:rPr>
          <w:t xml:space="preserve">http://www.ibge.gov.br/cidadesat/topwindow.htm?1. </w:t>
        </w:r>
      </w:hyperlink>
      <w:r>
        <w:rPr>
          <w:sz w:val="16"/>
        </w:rPr>
        <w:t>Acesso em: 04 ago.</w:t>
      </w:r>
      <w:r>
        <w:rPr>
          <w:spacing w:val="20"/>
          <w:sz w:val="16"/>
        </w:rPr>
        <w:t xml:space="preserve"> </w:t>
      </w:r>
      <w:r>
        <w:rPr>
          <w:sz w:val="16"/>
        </w:rPr>
        <w:t>2012.</w:t>
      </w:r>
    </w:p>
    <w:p w:rsidR="00D81F69" w:rsidRDefault="00330118">
      <w:pPr>
        <w:tabs>
          <w:tab w:val="left" w:pos="4331"/>
        </w:tabs>
        <w:spacing w:before="3" w:line="312" w:lineRule="auto"/>
        <w:ind w:left="100" w:right="113"/>
        <w:jc w:val="both"/>
        <w:rPr>
          <w:sz w:val="16"/>
        </w:rPr>
      </w:pPr>
      <w:r>
        <w:rPr>
          <w:sz w:val="16"/>
        </w:rPr>
        <w:t xml:space="preserve">LACTEC, Instituto de Tecnologia para o Desenvolvimento. Aspectos </w:t>
      </w:r>
      <w:r>
        <w:rPr>
          <w:spacing w:val="1"/>
          <w:sz w:val="16"/>
        </w:rPr>
        <w:t xml:space="preserve">geo-ambientais </w:t>
      </w:r>
      <w:r>
        <w:rPr>
          <w:sz w:val="16"/>
        </w:rPr>
        <w:t xml:space="preserve">de </w:t>
      </w:r>
      <w:r>
        <w:rPr>
          <w:spacing w:val="1"/>
          <w:sz w:val="16"/>
        </w:rPr>
        <w:t xml:space="preserve">regiões afetadas pela mineração </w:t>
      </w:r>
      <w:r>
        <w:rPr>
          <w:sz w:val="16"/>
        </w:rPr>
        <w:t xml:space="preserve">de </w:t>
      </w:r>
      <w:r>
        <w:rPr>
          <w:spacing w:val="1"/>
          <w:sz w:val="16"/>
        </w:rPr>
        <w:t xml:space="preserve">carvão </w:t>
      </w:r>
      <w:r>
        <w:rPr>
          <w:spacing w:val="2"/>
          <w:sz w:val="16"/>
        </w:rPr>
        <w:t xml:space="preserve">na área </w:t>
      </w:r>
      <w:r>
        <w:rPr>
          <w:spacing w:val="1"/>
          <w:sz w:val="16"/>
        </w:rPr>
        <w:t xml:space="preserve">de  </w:t>
      </w:r>
      <w:r>
        <w:rPr>
          <w:spacing w:val="3"/>
          <w:sz w:val="16"/>
        </w:rPr>
        <w:t xml:space="preserve">influência direta </w:t>
      </w:r>
      <w:r>
        <w:rPr>
          <w:spacing w:val="1"/>
          <w:sz w:val="16"/>
        </w:rPr>
        <w:t xml:space="preserve">da  </w:t>
      </w:r>
      <w:r>
        <w:rPr>
          <w:spacing w:val="3"/>
          <w:sz w:val="16"/>
        </w:rPr>
        <w:t xml:space="preserve">UHE-Mauá. Curitiba, </w:t>
      </w:r>
      <w:r>
        <w:rPr>
          <w:spacing w:val="1"/>
          <w:sz w:val="16"/>
        </w:rPr>
        <w:t xml:space="preserve">11  </w:t>
      </w:r>
      <w:r>
        <w:rPr>
          <w:spacing w:val="2"/>
          <w:sz w:val="16"/>
        </w:rPr>
        <w:t xml:space="preserve">out.  </w:t>
      </w:r>
      <w:r>
        <w:rPr>
          <w:spacing w:val="5"/>
          <w:sz w:val="16"/>
        </w:rPr>
        <w:t xml:space="preserve">2007.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line="312" w:lineRule="auto"/>
        <w:ind w:left="100" w:right="119"/>
        <w:jc w:val="both"/>
        <w:rPr>
          <w:sz w:val="16"/>
        </w:rPr>
      </w:pPr>
      <w:hyperlink r:id="rId1667">
        <w:r w:rsidR="00330118">
          <w:rPr>
            <w:sz w:val="16"/>
          </w:rPr>
          <w:t>&lt;http://www.consorciocruzeirodosul.com.br/ar</w:t>
        </w:r>
        <w:r w:rsidR="00330118">
          <w:rPr>
            <w:sz w:val="16"/>
          </w:rPr>
          <w:t>quivos/arquivo_17.pdf&gt;.</w:t>
        </w:r>
      </w:hyperlink>
      <w:r w:rsidR="00330118">
        <w:rPr>
          <w:sz w:val="16"/>
        </w:rPr>
        <w:t xml:space="preserve"> Acesso em: 06 maio 2010.</w:t>
      </w:r>
    </w:p>
    <w:p w:rsidR="00D81F69" w:rsidRDefault="00330118">
      <w:pPr>
        <w:spacing w:before="2" w:line="312" w:lineRule="auto"/>
        <w:ind w:left="100" w:right="38"/>
        <w:jc w:val="both"/>
        <w:rPr>
          <w:sz w:val="16"/>
        </w:rPr>
      </w:pPr>
      <w:r>
        <w:rPr>
          <w:sz w:val="16"/>
        </w:rPr>
        <w:t xml:space="preserve">MERCADO ÉTICO. A usina de Mauá, no Paraná, não é necessária.    </w:t>
      </w:r>
      <w:r>
        <w:rPr>
          <w:spacing w:val="35"/>
          <w:sz w:val="16"/>
        </w:rPr>
        <w:t>0</w:t>
      </w:r>
      <w:r>
        <w:rPr>
          <w:sz w:val="16"/>
        </w:rPr>
        <w:t xml:space="preserve"> 6</w:t>
      </w:r>
      <w:r>
        <w:rPr>
          <w:spacing w:val="8"/>
          <w:sz w:val="16"/>
        </w:rPr>
        <w:t xml:space="preserve"> </w:t>
      </w:r>
      <w:r>
        <w:rPr>
          <w:spacing w:val="35"/>
          <w:sz w:val="16"/>
        </w:rPr>
        <w:t>j</w:t>
      </w:r>
      <w:r>
        <w:rPr>
          <w:sz w:val="16"/>
        </w:rPr>
        <w:t xml:space="preserve"> </w:t>
      </w:r>
      <w:r>
        <w:rPr>
          <w:spacing w:val="35"/>
          <w:sz w:val="16"/>
        </w:rPr>
        <w:t>a</w:t>
      </w:r>
      <w:r>
        <w:rPr>
          <w:sz w:val="16"/>
        </w:rPr>
        <w:t xml:space="preserve"> </w:t>
      </w:r>
      <w:r>
        <w:rPr>
          <w:spacing w:val="35"/>
          <w:sz w:val="16"/>
        </w:rPr>
        <w:t>n</w:t>
      </w:r>
      <w:r>
        <w:rPr>
          <w:sz w:val="16"/>
        </w:rPr>
        <w:t xml:space="preserve"> .</w:t>
      </w:r>
      <w:r>
        <w:rPr>
          <w:spacing w:val="8"/>
          <w:sz w:val="16"/>
        </w:rPr>
        <w:t xml:space="preserve"> </w:t>
      </w:r>
      <w:r>
        <w:rPr>
          <w:spacing w:val="35"/>
          <w:sz w:val="16"/>
        </w:rPr>
        <w:t>2</w:t>
      </w:r>
      <w:r>
        <w:rPr>
          <w:sz w:val="16"/>
        </w:rPr>
        <w:t xml:space="preserve"> </w:t>
      </w:r>
      <w:r>
        <w:rPr>
          <w:spacing w:val="35"/>
          <w:sz w:val="16"/>
        </w:rPr>
        <w:t>0</w:t>
      </w:r>
      <w:r>
        <w:rPr>
          <w:sz w:val="16"/>
        </w:rPr>
        <w:t xml:space="preserve"> </w:t>
      </w:r>
      <w:r>
        <w:rPr>
          <w:spacing w:val="35"/>
          <w:sz w:val="16"/>
        </w:rPr>
        <w:t>1</w:t>
      </w:r>
      <w:r>
        <w:rPr>
          <w:sz w:val="16"/>
        </w:rPr>
        <w:t xml:space="preserve"> </w:t>
      </w:r>
      <w:r>
        <w:rPr>
          <w:spacing w:val="35"/>
          <w:sz w:val="16"/>
        </w:rPr>
        <w:t>0</w:t>
      </w:r>
      <w:r>
        <w:rPr>
          <w:sz w:val="16"/>
        </w:rPr>
        <w:t xml:space="preserve"> .</w:t>
      </w:r>
      <w:r>
        <w:rPr>
          <w:spacing w:val="8"/>
          <w:sz w:val="16"/>
        </w:rPr>
        <w:t xml:space="preserve"> </w:t>
      </w:r>
      <w:r>
        <w:rPr>
          <w:spacing w:val="35"/>
          <w:sz w:val="16"/>
        </w:rPr>
        <w:t>D</w:t>
      </w:r>
      <w:r>
        <w:rPr>
          <w:sz w:val="16"/>
        </w:rPr>
        <w:t xml:space="preserve"> </w:t>
      </w:r>
      <w:r>
        <w:rPr>
          <w:spacing w:val="35"/>
          <w:sz w:val="16"/>
        </w:rPr>
        <w:t>i</w:t>
      </w:r>
      <w:r>
        <w:rPr>
          <w:sz w:val="16"/>
        </w:rPr>
        <w:t xml:space="preserve"> </w:t>
      </w:r>
      <w:r>
        <w:rPr>
          <w:spacing w:val="35"/>
          <w:sz w:val="16"/>
        </w:rPr>
        <w:t>s</w:t>
      </w:r>
      <w:r>
        <w:rPr>
          <w:sz w:val="16"/>
        </w:rPr>
        <w:t xml:space="preserve"> </w:t>
      </w:r>
      <w:r>
        <w:rPr>
          <w:spacing w:val="35"/>
          <w:sz w:val="16"/>
        </w:rPr>
        <w:t>p</w:t>
      </w:r>
      <w:r>
        <w:rPr>
          <w:sz w:val="16"/>
        </w:rPr>
        <w:t xml:space="preserve"> </w:t>
      </w:r>
      <w:r>
        <w:rPr>
          <w:spacing w:val="35"/>
          <w:sz w:val="16"/>
        </w:rPr>
        <w:t>o</w:t>
      </w:r>
      <w:r>
        <w:rPr>
          <w:sz w:val="16"/>
        </w:rPr>
        <w:t xml:space="preserve"> </w:t>
      </w:r>
      <w:r>
        <w:rPr>
          <w:spacing w:val="35"/>
          <w:sz w:val="16"/>
        </w:rPr>
        <w:t>n</w:t>
      </w:r>
      <w:r>
        <w:rPr>
          <w:sz w:val="16"/>
        </w:rPr>
        <w:t xml:space="preserve"> </w:t>
      </w:r>
      <w:r>
        <w:rPr>
          <w:spacing w:val="35"/>
          <w:sz w:val="16"/>
        </w:rPr>
        <w:t>í</w:t>
      </w:r>
      <w:r>
        <w:rPr>
          <w:sz w:val="16"/>
        </w:rPr>
        <w:t xml:space="preserve"> </w:t>
      </w:r>
      <w:r>
        <w:rPr>
          <w:spacing w:val="35"/>
          <w:sz w:val="16"/>
        </w:rPr>
        <w:t>v</w:t>
      </w:r>
      <w:r>
        <w:rPr>
          <w:sz w:val="16"/>
        </w:rPr>
        <w:t xml:space="preserve"> </w:t>
      </w:r>
      <w:r>
        <w:rPr>
          <w:spacing w:val="35"/>
          <w:sz w:val="16"/>
        </w:rPr>
        <w:t>e</w:t>
      </w:r>
      <w:r>
        <w:rPr>
          <w:sz w:val="16"/>
        </w:rPr>
        <w:t xml:space="preserve"> l</w:t>
      </w:r>
      <w:r>
        <w:rPr>
          <w:spacing w:val="8"/>
          <w:sz w:val="16"/>
        </w:rPr>
        <w:t xml:space="preserve"> </w:t>
      </w:r>
      <w:r>
        <w:rPr>
          <w:spacing w:val="35"/>
          <w:sz w:val="16"/>
        </w:rPr>
        <w:t>e</w:t>
      </w:r>
      <w:r>
        <w:rPr>
          <w:sz w:val="16"/>
        </w:rPr>
        <w:t xml:space="preserve"> </w:t>
      </w:r>
      <w:r>
        <w:rPr>
          <w:spacing w:val="35"/>
          <w:sz w:val="16"/>
        </w:rPr>
        <w:t>m</w:t>
      </w:r>
      <w:r>
        <w:rPr>
          <w:sz w:val="16"/>
        </w:rPr>
        <w:t xml:space="preserve"> : </w:t>
      </w:r>
      <w:r>
        <w:rPr>
          <w:spacing w:val="-9"/>
          <w:sz w:val="16"/>
        </w:rPr>
        <w:t xml:space="preserve"> </w:t>
      </w:r>
    </w:p>
    <w:p w:rsidR="00D81F69" w:rsidRDefault="00D81F69">
      <w:pPr>
        <w:spacing w:before="1" w:line="312" w:lineRule="auto"/>
        <w:ind w:left="100" w:right="129"/>
        <w:jc w:val="both"/>
        <w:rPr>
          <w:sz w:val="16"/>
        </w:rPr>
      </w:pPr>
      <w:hyperlink r:id="rId1668">
        <w:r w:rsidR="00330118">
          <w:rPr>
            <w:sz w:val="16"/>
          </w:rPr>
          <w:t>&lt;</w:t>
        </w:r>
        <w:r w:rsidR="00330118">
          <w:rPr>
            <w:sz w:val="16"/>
          </w:rPr>
          <w:t>http://mercadoetico.terra.com.br/arquivo/a-usina-de-maua-no-</w:t>
        </w:r>
      </w:hyperlink>
      <w:r w:rsidR="00330118">
        <w:rPr>
          <w:sz w:val="16"/>
        </w:rPr>
        <w:t xml:space="preserve"> parana-nao-e-necessaria/&gt;. Acesso em: 06 maio 2010.</w:t>
      </w:r>
    </w:p>
    <w:p w:rsidR="00D81F69" w:rsidRDefault="00330118">
      <w:pPr>
        <w:tabs>
          <w:tab w:val="left" w:pos="4331"/>
        </w:tabs>
        <w:spacing w:before="70" w:line="312" w:lineRule="auto"/>
        <w:ind w:left="100" w:right="189"/>
        <w:jc w:val="both"/>
        <w:rPr>
          <w:sz w:val="16"/>
        </w:rPr>
      </w:pPr>
      <w:r>
        <w:br w:type="column"/>
      </w:r>
      <w:r>
        <w:rPr>
          <w:spacing w:val="3"/>
          <w:sz w:val="16"/>
        </w:rPr>
        <w:lastRenderedPageBreak/>
        <w:t xml:space="preserve">MOIMAS, Denis; ALECRIM, Aguinaldo </w:t>
      </w:r>
      <w:r>
        <w:rPr>
          <w:spacing w:val="1"/>
          <w:sz w:val="16"/>
        </w:rPr>
        <w:t xml:space="preserve">da </w:t>
      </w:r>
      <w:r>
        <w:rPr>
          <w:spacing w:val="3"/>
          <w:sz w:val="16"/>
        </w:rPr>
        <w:t xml:space="preserve">Silva; PINHEIRO, </w:t>
      </w:r>
      <w:r>
        <w:rPr>
          <w:spacing w:val="5"/>
          <w:sz w:val="16"/>
        </w:rPr>
        <w:t xml:space="preserve">Ana </w:t>
      </w:r>
      <w:r>
        <w:rPr>
          <w:spacing w:val="3"/>
          <w:sz w:val="16"/>
        </w:rPr>
        <w:t xml:space="preserve">Claudia Duarte. </w:t>
      </w:r>
      <w:r>
        <w:rPr>
          <w:sz w:val="16"/>
        </w:rPr>
        <w:t xml:space="preserve">A </w:t>
      </w:r>
      <w:r>
        <w:rPr>
          <w:spacing w:val="3"/>
          <w:sz w:val="16"/>
        </w:rPr>
        <w:t xml:space="preserve">usina hidrelétrica Mauá: interesse </w:t>
      </w:r>
      <w:r>
        <w:rPr>
          <w:spacing w:val="1"/>
          <w:sz w:val="16"/>
        </w:rPr>
        <w:t xml:space="preserve">do </w:t>
      </w:r>
      <w:r>
        <w:rPr>
          <w:spacing w:val="5"/>
          <w:sz w:val="16"/>
        </w:rPr>
        <w:t xml:space="preserve">estado </w:t>
      </w:r>
      <w:r>
        <w:rPr>
          <w:spacing w:val="6"/>
          <w:sz w:val="16"/>
        </w:rPr>
        <w:t xml:space="preserve">antagônico </w:t>
      </w:r>
      <w:r>
        <w:rPr>
          <w:sz w:val="16"/>
        </w:rPr>
        <w:t xml:space="preserve">à </w:t>
      </w:r>
      <w:r>
        <w:rPr>
          <w:spacing w:val="6"/>
          <w:sz w:val="16"/>
        </w:rPr>
        <w:t>proteção</w:t>
      </w:r>
      <w:r>
        <w:rPr>
          <w:spacing w:val="6"/>
          <w:sz w:val="16"/>
        </w:rPr>
        <w:t xml:space="preserve"> </w:t>
      </w:r>
      <w:r>
        <w:rPr>
          <w:spacing w:val="5"/>
          <w:sz w:val="16"/>
        </w:rPr>
        <w:t xml:space="preserve">dos  </w:t>
      </w:r>
      <w:r>
        <w:rPr>
          <w:spacing w:val="6"/>
          <w:sz w:val="16"/>
        </w:rPr>
        <w:t xml:space="preserve">direitos </w:t>
      </w:r>
      <w:r>
        <w:rPr>
          <w:spacing w:val="5"/>
          <w:sz w:val="16"/>
        </w:rPr>
        <w:t xml:space="preserve">difusos  </w:t>
      </w:r>
      <w:r>
        <w:rPr>
          <w:sz w:val="16"/>
        </w:rPr>
        <w:t xml:space="preserve">e  </w:t>
      </w:r>
      <w:r>
        <w:rPr>
          <w:spacing w:val="5"/>
          <w:sz w:val="16"/>
        </w:rPr>
        <w:t xml:space="preserve">fatores  </w:t>
      </w:r>
      <w:r>
        <w:rPr>
          <w:spacing w:val="7"/>
          <w:sz w:val="16"/>
        </w:rPr>
        <w:t>sociais.</w:t>
      </w:r>
      <w:r>
        <w:rPr>
          <w:spacing w:val="60"/>
          <w:sz w:val="16"/>
        </w:rPr>
        <w:t xml:space="preserve">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line="312" w:lineRule="auto"/>
        <w:ind w:left="100" w:right="214"/>
        <w:jc w:val="both"/>
        <w:rPr>
          <w:sz w:val="16"/>
        </w:rPr>
      </w:pPr>
      <w:hyperlink r:id="rId1669">
        <w:r w:rsidR="00330118">
          <w:rPr>
            <w:sz w:val="16"/>
          </w:rPr>
          <w:t>&lt;http://www2.uel.br/revistas/direitopub/pdfs/VOLUME_4/num_2/A%20</w:t>
        </w:r>
      </w:hyperlink>
      <w:r w:rsidR="00330118">
        <w:rPr>
          <w:sz w:val="16"/>
        </w:rPr>
        <w:t xml:space="preserve"> U</w:t>
      </w:r>
      <w:r w:rsidR="00330118">
        <w:rPr>
          <w:sz w:val="16"/>
        </w:rPr>
        <w:t>SINA%20HIDRELETRICA%20MAUA%20INTERESSE%20DO%20E STADO%20ANTAGONICO%20A%20PROTECAO%20DOS%20DIRE ITOS%20DIFUSOS%20E%20FATORES%20SOCIAIS.pdf&gt; Acesso</w:t>
      </w:r>
    </w:p>
    <w:p w:rsidR="00D81F69" w:rsidRDefault="00330118">
      <w:pPr>
        <w:spacing w:before="3"/>
        <w:ind w:left="100"/>
        <w:jc w:val="both"/>
        <w:rPr>
          <w:sz w:val="16"/>
        </w:rPr>
      </w:pPr>
      <w:r>
        <w:rPr>
          <w:sz w:val="16"/>
        </w:rPr>
        <w:t>em: 04 maio 2010.</w:t>
      </w:r>
    </w:p>
    <w:p w:rsidR="00D81F69" w:rsidRDefault="00330118">
      <w:pPr>
        <w:spacing w:before="56"/>
        <w:ind w:left="100"/>
        <w:jc w:val="both"/>
        <w:rPr>
          <w:sz w:val="16"/>
        </w:rPr>
      </w:pPr>
      <w:r>
        <w:rPr>
          <w:sz w:val="16"/>
        </w:rPr>
        <w:t>PROCURADORIA DA REPÚBLICA NO PARANÁ. UHE Mauá: Bacia</w:t>
      </w:r>
    </w:p>
    <w:p w:rsidR="00D81F69" w:rsidRDefault="00330118">
      <w:pPr>
        <w:spacing w:before="56" w:line="312" w:lineRule="auto"/>
        <w:ind w:left="100" w:right="195"/>
        <w:jc w:val="both"/>
        <w:rPr>
          <w:sz w:val="16"/>
        </w:rPr>
      </w:pPr>
      <w:r>
        <w:rPr>
          <w:sz w:val="16"/>
        </w:rPr>
        <w:t>do Rio Tibagi é declarada território in</w:t>
      </w:r>
      <w:r>
        <w:rPr>
          <w:sz w:val="16"/>
        </w:rPr>
        <w:t>dígena Kaingang e Guarani. Ecodebate: Cidadania &amp; Meio Ambiente, 21 out. 2011. Disponível em:</w:t>
      </w:r>
    </w:p>
    <w:p w:rsidR="00D81F69" w:rsidRDefault="00D81F69">
      <w:pPr>
        <w:spacing w:before="2" w:line="312" w:lineRule="auto"/>
        <w:ind w:left="100" w:right="213"/>
        <w:jc w:val="both"/>
        <w:rPr>
          <w:sz w:val="16"/>
        </w:rPr>
      </w:pPr>
      <w:hyperlink r:id="rId1670">
        <w:r w:rsidR="00330118">
          <w:rPr>
            <w:sz w:val="16"/>
          </w:rPr>
          <w:t>&lt;http://www.ecodebate.com.br/2011/10/21/uhe-maua-bacia-do-rio-</w:t>
        </w:r>
      </w:hyperlink>
      <w:r w:rsidR="00330118">
        <w:rPr>
          <w:sz w:val="16"/>
        </w:rPr>
        <w:t xml:space="preserve"> tibagi-e-declarada-t</w:t>
      </w:r>
      <w:r w:rsidR="00330118">
        <w:rPr>
          <w:sz w:val="16"/>
        </w:rPr>
        <w:t>erritorio-indigena-kaingang-e-guarani/&gt;. Acesso em: 05 ago. 2012.</w:t>
      </w:r>
    </w:p>
    <w:p w:rsidR="00D81F69" w:rsidRDefault="00330118">
      <w:pPr>
        <w:spacing w:before="2" w:line="312" w:lineRule="auto"/>
        <w:ind w:left="100" w:right="198"/>
        <w:jc w:val="both"/>
        <w:rPr>
          <w:sz w:val="16"/>
        </w:rPr>
      </w:pPr>
      <w:r>
        <w:rPr>
          <w:sz w:val="16"/>
        </w:rPr>
        <w:t>RAIO, Cibele Bender; BENNEMANN, Sirlei Terezinha. A ictiofauna da bacia do rio Tibagi e o projeto de construção da UHE Mauá, Paraná, Brasil. Semina: Ciências Biológicas da Saúde, Londrina, v</w:t>
      </w:r>
      <w:r>
        <w:rPr>
          <w:sz w:val="16"/>
        </w:rPr>
        <w:t>. 31, n. 1, p.</w:t>
      </w:r>
    </w:p>
    <w:p w:rsidR="00D81F69" w:rsidRDefault="00330118">
      <w:pPr>
        <w:spacing w:before="3"/>
        <w:ind w:left="100"/>
        <w:jc w:val="both"/>
        <w:rPr>
          <w:sz w:val="16"/>
        </w:rPr>
      </w:pPr>
      <w:r>
        <w:rPr>
          <w:sz w:val="16"/>
        </w:rPr>
        <w:t xml:space="preserve">15    -     20    jan.   /     jun.   2010.   Disponível  em: </w:t>
      </w:r>
    </w:p>
    <w:p w:rsidR="00D81F69" w:rsidRDefault="00D81F69">
      <w:pPr>
        <w:spacing w:before="56" w:line="312" w:lineRule="auto"/>
        <w:ind w:left="100" w:right="216"/>
        <w:jc w:val="both"/>
        <w:rPr>
          <w:sz w:val="16"/>
        </w:rPr>
      </w:pPr>
      <w:hyperlink r:id="rId1671">
        <w:r w:rsidR="00330118">
          <w:rPr>
            <w:sz w:val="16"/>
          </w:rPr>
          <w:t>&lt;http://www.uel.br/revistas/uel/index.php/seminabio/article/view/6601/</w:t>
        </w:r>
      </w:hyperlink>
      <w:r w:rsidR="00330118">
        <w:rPr>
          <w:sz w:val="16"/>
        </w:rPr>
        <w:t xml:space="preserve"> 5989&gt;. Acesso em: 05</w:t>
      </w:r>
      <w:r w:rsidR="00330118">
        <w:rPr>
          <w:sz w:val="16"/>
        </w:rPr>
        <w:t xml:space="preserve"> ago. 2012.</w:t>
      </w:r>
    </w:p>
    <w:p w:rsidR="00D81F69" w:rsidRDefault="00330118">
      <w:pPr>
        <w:spacing w:before="1" w:line="312" w:lineRule="auto"/>
        <w:ind w:left="100" w:right="175"/>
        <w:jc w:val="both"/>
        <w:rPr>
          <w:sz w:val="16"/>
        </w:rPr>
      </w:pPr>
      <w:r>
        <w:rPr>
          <w:spacing w:val="1"/>
          <w:sz w:val="16"/>
        </w:rPr>
        <w:t xml:space="preserve">SILVA, Maria Gizele </w:t>
      </w:r>
      <w:r>
        <w:rPr>
          <w:sz w:val="16"/>
        </w:rPr>
        <w:t xml:space="preserve">da. As </w:t>
      </w:r>
      <w:r>
        <w:rPr>
          <w:spacing w:val="1"/>
          <w:sz w:val="16"/>
        </w:rPr>
        <w:t xml:space="preserve">dores </w:t>
      </w:r>
      <w:r>
        <w:rPr>
          <w:sz w:val="16"/>
        </w:rPr>
        <w:t xml:space="preserve">de </w:t>
      </w:r>
      <w:r>
        <w:rPr>
          <w:spacing w:val="1"/>
          <w:sz w:val="16"/>
        </w:rPr>
        <w:t xml:space="preserve">quem vive </w:t>
      </w:r>
      <w:r>
        <w:rPr>
          <w:sz w:val="16"/>
        </w:rPr>
        <w:t xml:space="preserve">com </w:t>
      </w:r>
      <w:r>
        <w:rPr>
          <w:spacing w:val="1"/>
          <w:sz w:val="16"/>
        </w:rPr>
        <w:t xml:space="preserve">chumbo </w:t>
      </w:r>
      <w:r>
        <w:rPr>
          <w:spacing w:val="2"/>
          <w:sz w:val="16"/>
        </w:rPr>
        <w:t xml:space="preserve">nas </w:t>
      </w:r>
      <w:r>
        <w:rPr>
          <w:spacing w:val="1"/>
          <w:sz w:val="16"/>
        </w:rPr>
        <w:t xml:space="preserve">veias. Contaminação </w:t>
      </w:r>
      <w:r>
        <w:rPr>
          <w:sz w:val="16"/>
        </w:rPr>
        <w:t xml:space="preserve">por </w:t>
      </w:r>
      <w:r>
        <w:rPr>
          <w:spacing w:val="1"/>
          <w:sz w:val="16"/>
        </w:rPr>
        <w:t xml:space="preserve">metais pesados </w:t>
      </w:r>
      <w:r>
        <w:rPr>
          <w:sz w:val="16"/>
        </w:rPr>
        <w:t xml:space="preserve">é </w:t>
      </w:r>
      <w:r>
        <w:rPr>
          <w:spacing w:val="1"/>
          <w:sz w:val="16"/>
        </w:rPr>
        <w:t xml:space="preserve">atribuída </w:t>
      </w:r>
      <w:r>
        <w:rPr>
          <w:sz w:val="16"/>
        </w:rPr>
        <w:t xml:space="preserve">às </w:t>
      </w:r>
      <w:r>
        <w:rPr>
          <w:spacing w:val="1"/>
          <w:sz w:val="16"/>
        </w:rPr>
        <w:t xml:space="preserve">minas </w:t>
      </w:r>
      <w:r>
        <w:rPr>
          <w:spacing w:val="2"/>
          <w:sz w:val="16"/>
        </w:rPr>
        <w:t xml:space="preserve">de </w:t>
      </w:r>
      <w:r>
        <w:rPr>
          <w:sz w:val="16"/>
        </w:rPr>
        <w:t xml:space="preserve">carvão da Klabin, que serão alagadas pela futura Hidrelétrica Mauá. </w:t>
      </w:r>
      <w:r>
        <w:rPr>
          <w:spacing w:val="21"/>
          <w:sz w:val="16"/>
        </w:rPr>
        <w:t xml:space="preserve">Gazeta </w:t>
      </w:r>
      <w:r>
        <w:rPr>
          <w:spacing w:val="12"/>
          <w:sz w:val="16"/>
        </w:rPr>
        <w:t xml:space="preserve">do </w:t>
      </w:r>
      <w:r>
        <w:rPr>
          <w:spacing w:val="20"/>
          <w:sz w:val="16"/>
        </w:rPr>
        <w:t>Povo,</w:t>
      </w:r>
      <w:r>
        <w:rPr>
          <w:spacing w:val="85"/>
          <w:sz w:val="16"/>
        </w:rPr>
        <w:t xml:space="preserve"> </w:t>
      </w:r>
      <w:r>
        <w:rPr>
          <w:spacing w:val="12"/>
          <w:sz w:val="16"/>
        </w:rPr>
        <w:t xml:space="preserve">14 </w:t>
      </w:r>
      <w:r>
        <w:rPr>
          <w:spacing w:val="20"/>
          <w:sz w:val="16"/>
        </w:rPr>
        <w:t>dez. 2009.</w:t>
      </w:r>
      <w:r>
        <w:rPr>
          <w:spacing w:val="85"/>
          <w:sz w:val="16"/>
        </w:rPr>
        <w:t xml:space="preserve"> </w:t>
      </w:r>
      <w:r>
        <w:rPr>
          <w:spacing w:val="23"/>
          <w:sz w:val="16"/>
        </w:rPr>
        <w:t>Disponível</w:t>
      </w:r>
      <w:r>
        <w:rPr>
          <w:spacing w:val="22"/>
          <w:sz w:val="16"/>
        </w:rPr>
        <w:t xml:space="preserve"> </w:t>
      </w:r>
      <w:r>
        <w:rPr>
          <w:spacing w:val="17"/>
          <w:sz w:val="16"/>
        </w:rPr>
        <w:t>em:</w:t>
      </w:r>
      <w:r>
        <w:rPr>
          <w:spacing w:val="-17"/>
          <w:sz w:val="16"/>
        </w:rPr>
        <w:t xml:space="preserve"> </w:t>
      </w:r>
    </w:p>
    <w:p w:rsidR="00D81F69" w:rsidRDefault="00D81F69">
      <w:pPr>
        <w:spacing w:before="4" w:line="312" w:lineRule="auto"/>
        <w:ind w:left="100" w:right="195"/>
        <w:jc w:val="both"/>
        <w:rPr>
          <w:sz w:val="16"/>
        </w:rPr>
      </w:pPr>
      <w:hyperlink r:id="rId1672">
        <w:r w:rsidR="00330118">
          <w:rPr>
            <w:sz w:val="16"/>
          </w:rPr>
          <w:t>&lt;http://www.gazetadopovo.com.br/vidaecidadania/conteudo.phtml?tl=</w:t>
        </w:r>
      </w:hyperlink>
      <w:r w:rsidR="00330118">
        <w:rPr>
          <w:sz w:val="16"/>
        </w:rPr>
        <w:t xml:space="preserve"> 1&amp;id=954450&amp;tit=As-dores-de-quem-vive-com-chumbo-nas-veias&gt;. Acesso em: 05 maio 2010.</w:t>
      </w:r>
    </w:p>
    <w:p w:rsidR="00D81F69" w:rsidRDefault="00330118">
      <w:pPr>
        <w:spacing w:before="2" w:line="312" w:lineRule="auto"/>
        <w:ind w:left="100" w:right="193"/>
        <w:jc w:val="both"/>
        <w:rPr>
          <w:sz w:val="16"/>
        </w:rPr>
      </w:pPr>
      <w:r>
        <w:rPr>
          <w:sz w:val="16"/>
        </w:rPr>
        <w:t>UHE MAUÁ. Usina Hidroelét</w:t>
      </w:r>
      <w:r>
        <w:rPr>
          <w:sz w:val="16"/>
        </w:rPr>
        <w:t xml:space="preserve">rica de Mauá. O consórcio, 2011 a. Disponível em: </w:t>
      </w:r>
      <w:hyperlink r:id="rId1673">
        <w:r>
          <w:rPr>
            <w:sz w:val="16"/>
          </w:rPr>
          <w:t xml:space="preserve">&lt;http://www.usinamaua.com.br/o-consorcio&gt;. </w:t>
        </w:r>
      </w:hyperlink>
      <w:r>
        <w:rPr>
          <w:sz w:val="16"/>
        </w:rPr>
        <w:t>Acesso em: 05 ago. 2012.</w:t>
      </w:r>
    </w:p>
    <w:p w:rsidR="00D81F69" w:rsidRDefault="00330118">
      <w:pPr>
        <w:spacing w:before="3" w:line="312" w:lineRule="auto"/>
        <w:ind w:left="100" w:right="188"/>
        <w:jc w:val="both"/>
        <w:rPr>
          <w:sz w:val="16"/>
        </w:rPr>
      </w:pPr>
      <w:r>
        <w:rPr>
          <w:sz w:val="16"/>
        </w:rPr>
        <w:t xml:space="preserve">______. Usina Hidroelétrica de Mauá. O consórcio, 2011 b. Disponível em: </w:t>
      </w:r>
      <w:hyperlink r:id="rId1674">
        <w:r>
          <w:rPr>
            <w:sz w:val="16"/>
          </w:rPr>
          <w:t xml:space="preserve">&lt;http://www.usinamaua.com.br/a-usina&gt;. </w:t>
        </w:r>
      </w:hyperlink>
      <w:r>
        <w:rPr>
          <w:sz w:val="16"/>
        </w:rPr>
        <w:t>Acesso em: 05 ago. 2012.</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231" w:space="239"/>
            <w:col w:w="5310"/>
          </w:cols>
        </w:sectPr>
      </w:pPr>
    </w:p>
    <w:p w:rsidR="00D81F69" w:rsidRDefault="00330118">
      <w:pPr>
        <w:pStyle w:val="Heading1"/>
        <w:spacing w:line="208" w:lineRule="auto"/>
        <w:ind w:right="301"/>
      </w:pPr>
      <w:r>
        <w:lastRenderedPageBreak/>
        <w:t>Chumbo contamina solo e habitantes da região do Alto Vale do Ribeira</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38"/>
        <w:rPr>
          <w:i/>
          <w:sz w:val="14"/>
        </w:rPr>
      </w:pPr>
      <w:r>
        <w:rPr>
          <w:i/>
          <w:sz w:val="14"/>
        </w:rPr>
        <w:t>PR - Adrianópolis</w:t>
      </w:r>
      <w:r>
        <w:rPr>
          <w:i/>
          <w:sz w:val="14"/>
        </w:rPr>
        <w:t xml:space="preserve"> SP -  Iporanga SP - Ribeira</w:t>
      </w:r>
    </w:p>
    <w:p w:rsidR="00D81F69" w:rsidRDefault="00D81F69">
      <w:pPr>
        <w:pStyle w:val="Corpodetexto"/>
        <w:spacing w:before="5"/>
        <w:ind w:left="0"/>
        <w:jc w:val="left"/>
        <w:rPr>
          <w:i/>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-24,5586</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-48,7183</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7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Nos últimos anos, algumas pesquisas </w:t>
      </w:r>
      <w:r>
        <w:rPr>
          <w:i/>
          <w:sz w:val="16"/>
        </w:rPr>
        <w:t xml:space="preserve">demonstraram a existência de focos de contaminação por chumbo em grande parte dos municípios da região do Alto Vale do Ribeira, localizado entre os estados do Paraná e São Paulo. A principal causa da contaminação é atribuída à mineração industrial, que se </w:t>
      </w:r>
      <w:r>
        <w:rPr>
          <w:i/>
          <w:sz w:val="16"/>
        </w:rPr>
        <w:t>instalou em algumas das cidades do vale ao longo do século XX.</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7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94"/>
      </w:pPr>
      <w:r>
        <w:t xml:space="preserve">começou a explorar chumbo e prata no município, em 1954. </w:t>
      </w:r>
      <w:r>
        <w:rPr>
          <w:spacing w:val="1"/>
        </w:rPr>
        <w:t xml:space="preserve">Devido </w:t>
      </w:r>
      <w:r>
        <w:t xml:space="preserve">ao </w:t>
      </w:r>
      <w:r>
        <w:rPr>
          <w:spacing w:val="1"/>
        </w:rPr>
        <w:t xml:space="preserve">esgotamento </w:t>
      </w:r>
      <w:r>
        <w:t xml:space="preserve">das </w:t>
      </w:r>
      <w:r>
        <w:rPr>
          <w:spacing w:val="1"/>
        </w:rPr>
        <w:t xml:space="preserve">jazidas, </w:t>
      </w:r>
      <w:r>
        <w:t xml:space="preserve">a </w:t>
      </w:r>
      <w:r>
        <w:rPr>
          <w:spacing w:val="1"/>
        </w:rPr>
        <w:t xml:space="preserve">empresa fechou </w:t>
      </w:r>
      <w:r>
        <w:rPr>
          <w:spacing w:val="2"/>
        </w:rPr>
        <w:t xml:space="preserve">em </w:t>
      </w:r>
      <w:r>
        <w:rPr>
          <w:spacing w:val="1"/>
        </w:rPr>
        <w:t xml:space="preserve">1995, deixando grande passivo ambiental. Suas </w:t>
      </w:r>
      <w:r>
        <w:rPr>
          <w:spacing w:val="2"/>
        </w:rPr>
        <w:t xml:space="preserve">atividades </w:t>
      </w:r>
      <w:r>
        <w:t>atingiram ainda, por</w:t>
      </w:r>
      <w:r>
        <w:t xml:space="preserve"> meio da poluição atmosférica e hídrica, outros municípios paranaenses, como Cerro Azul, Bocaiúva </w:t>
      </w:r>
      <w:r>
        <w:rPr>
          <w:spacing w:val="2"/>
        </w:rPr>
        <w:t xml:space="preserve">do </w:t>
      </w:r>
      <w:r>
        <w:rPr>
          <w:spacing w:val="3"/>
        </w:rPr>
        <w:t xml:space="preserve">Sul, </w:t>
      </w:r>
      <w:r>
        <w:rPr>
          <w:spacing w:val="5"/>
        </w:rPr>
        <w:t xml:space="preserve">Doutor Ulysses, </w:t>
      </w:r>
      <w:r>
        <w:rPr>
          <w:spacing w:val="3"/>
        </w:rPr>
        <w:t xml:space="preserve">Tunas </w:t>
      </w:r>
      <w:r>
        <w:rPr>
          <w:spacing w:val="2"/>
        </w:rPr>
        <w:t xml:space="preserve">do </w:t>
      </w:r>
      <w:r>
        <w:rPr>
          <w:spacing w:val="5"/>
        </w:rPr>
        <w:t xml:space="preserve">Paraná </w:t>
      </w:r>
      <w:r>
        <w:t xml:space="preserve">e </w:t>
      </w:r>
      <w:r>
        <w:rPr>
          <w:spacing w:val="5"/>
        </w:rPr>
        <w:t xml:space="preserve">Colombo, </w:t>
      </w:r>
      <w:r>
        <w:t xml:space="preserve">e também Apiaí, Ribeira, Iporanga e Itaóca, no estado de São </w:t>
      </w:r>
      <w:r>
        <w:rPr>
          <w:spacing w:val="3"/>
        </w:rPr>
        <w:t xml:space="preserve">Paulo (MAPA </w:t>
      </w:r>
      <w:r>
        <w:rPr>
          <w:spacing w:val="1"/>
        </w:rPr>
        <w:t xml:space="preserve">DA </w:t>
      </w:r>
      <w:r>
        <w:rPr>
          <w:spacing w:val="3"/>
        </w:rPr>
        <w:t xml:space="preserve">INJUSTIÇA AMBIENTAL </w:t>
      </w:r>
      <w:r>
        <w:t xml:space="preserve">E </w:t>
      </w:r>
      <w:r>
        <w:rPr>
          <w:spacing w:val="3"/>
        </w:rPr>
        <w:t xml:space="preserve">SAÚDE </w:t>
      </w:r>
      <w:r>
        <w:rPr>
          <w:spacing w:val="5"/>
        </w:rPr>
        <w:t xml:space="preserve">NO </w:t>
      </w:r>
      <w:r>
        <w:rPr>
          <w:spacing w:val="3"/>
        </w:rPr>
        <w:t>BRASIL,</w:t>
      </w:r>
      <w:r>
        <w:rPr>
          <w:spacing w:val="28"/>
        </w:rPr>
        <w:t xml:space="preserve"> </w:t>
      </w:r>
      <w:r>
        <w:rPr>
          <w:spacing w:val="5"/>
        </w:rPr>
        <w:t>2009).</w:t>
      </w:r>
    </w:p>
    <w:p w:rsidR="00D81F69" w:rsidRDefault="00330118">
      <w:pPr>
        <w:pStyle w:val="Corpodetexto"/>
        <w:spacing w:before="138" w:line="312" w:lineRule="auto"/>
        <w:ind w:left="135" w:right="215"/>
      </w:pPr>
      <w:r>
        <w:t>Durante os 50 anos de funcionamento, a Plumbum, lançou na atmosfera grande quantidade de material particulado rico em</w:t>
      </w:r>
    </w:p>
    <w:p w:rsidR="00D81F69" w:rsidRDefault="00D81F69">
      <w:pPr>
        <w:spacing w:line="312" w:lineRule="auto"/>
        <w:sectPr w:rsidR="00D81F69">
          <w:type w:val="continuous"/>
          <w:pgSz w:w="11900" w:h="16840"/>
          <w:pgMar w:top="720" w:right="500" w:bottom="280" w:left="620" w:header="720" w:footer="720" w:gutter="0"/>
          <w:cols w:num="3" w:space="720" w:equalWidth="0">
            <w:col w:w="1265" w:space="735"/>
            <w:col w:w="3104" w:space="331"/>
            <w:col w:w="5345"/>
          </w:cols>
        </w:sectPr>
      </w:pPr>
    </w:p>
    <w:p w:rsidR="00D81F69" w:rsidRDefault="00330118">
      <w:pPr>
        <w:pStyle w:val="Heading4"/>
        <w:spacing w:before="85"/>
        <w:jc w:val="left"/>
      </w:pPr>
      <w:r>
        <w:lastRenderedPageBreak/>
        <w:t>APRESENTAÇÃO DE CASO</w:t>
      </w:r>
    </w:p>
    <w:p w:rsidR="00D81F69" w:rsidRDefault="00330118">
      <w:pPr>
        <w:pStyle w:val="Corpodetexto"/>
        <w:spacing w:before="171" w:line="312" w:lineRule="auto"/>
        <w:ind w:right="70"/>
      </w:pPr>
      <w:r>
        <w:t>A mineração e a metalurgia realizadas no Alto Vale do Ribeira, localizado entre os estados do Paraná e São Paulo, geraram como passivo ambiental a contaminação de rios e solos em diversas áreas da região (CUNHA et al., 2006). Além disso, submeteram a popul</w:t>
      </w:r>
      <w:r>
        <w:t xml:space="preserve">ação a problemas de saúde, decorrentes, inclusive, da contaminação por </w:t>
      </w:r>
      <w:hyperlink r:id="rId1675">
        <w:r>
          <w:t>arsênio,</w:t>
        </w:r>
      </w:hyperlink>
      <w:r>
        <w:t xml:space="preserve"> cuja principal fonte no local é a arsenopirita, que ocorre geologicamente no minério d</w:t>
      </w:r>
      <w:r>
        <w:t xml:space="preserve">e </w:t>
      </w:r>
      <w:hyperlink r:id="rId1676">
        <w:r>
          <w:t>chumbo</w:t>
        </w:r>
      </w:hyperlink>
      <w:r>
        <w:t xml:space="preserve"> (SAKUMA et al., 2010).</w:t>
      </w:r>
    </w:p>
    <w:p w:rsidR="00D81F69" w:rsidRDefault="00330118">
      <w:pPr>
        <w:pStyle w:val="Corpodetexto"/>
        <w:spacing w:before="138" w:line="312" w:lineRule="auto"/>
        <w:ind w:right="85"/>
      </w:pPr>
      <w:r>
        <w:t>O Vale do Ribeira já foi uma das maiores províncias metalogenéticas de chumbo do Brasil. Há na região um importante reservatório de á</w:t>
      </w:r>
      <w:r>
        <w:t xml:space="preserve">gua doce, além de boa parte da Mata Atlântica remanescente (LOPES Jr. et al., 2006). Ao longo do século XX, diversas minas de chumbo, </w:t>
      </w:r>
      <w:hyperlink r:id="rId1677">
        <w:r>
          <w:t xml:space="preserve">zinco </w:t>
        </w:r>
      </w:hyperlink>
      <w:r>
        <w:t xml:space="preserve">e prata foram exploradas </w:t>
      </w:r>
      <w:r>
        <w:t>no Alto Vale (CUNHA et al., 2006).</w:t>
      </w:r>
    </w:p>
    <w:p w:rsidR="00D81F69" w:rsidRDefault="00330118">
      <w:pPr>
        <w:pStyle w:val="Corpodetexto"/>
        <w:spacing w:before="136" w:line="312" w:lineRule="auto"/>
        <w:ind w:right="64"/>
      </w:pPr>
      <w:r>
        <w:t xml:space="preserve">Durante os anos de ápice da mineração, a população local experimentou um nível de vida relativamente próspero. Com a </w:t>
      </w:r>
      <w:r>
        <w:rPr>
          <w:spacing w:val="3"/>
        </w:rPr>
        <w:t xml:space="preserve">exaustão </w:t>
      </w:r>
      <w:r>
        <w:rPr>
          <w:spacing w:val="1"/>
        </w:rPr>
        <w:t xml:space="preserve">do </w:t>
      </w:r>
      <w:r>
        <w:rPr>
          <w:spacing w:val="2"/>
        </w:rPr>
        <w:t xml:space="preserve">solo </w:t>
      </w:r>
      <w:r>
        <w:t xml:space="preserve">e o </w:t>
      </w:r>
      <w:r>
        <w:rPr>
          <w:spacing w:val="3"/>
        </w:rPr>
        <w:t xml:space="preserve">fechamento </w:t>
      </w:r>
      <w:r>
        <w:rPr>
          <w:spacing w:val="2"/>
        </w:rPr>
        <w:t xml:space="preserve">das </w:t>
      </w:r>
      <w:r>
        <w:rPr>
          <w:spacing w:val="3"/>
        </w:rPr>
        <w:t xml:space="preserve">minas </w:t>
      </w:r>
      <w:r>
        <w:t xml:space="preserve">e </w:t>
      </w:r>
      <w:r>
        <w:rPr>
          <w:spacing w:val="5"/>
        </w:rPr>
        <w:t xml:space="preserve">refinarias, </w:t>
      </w:r>
      <w:r>
        <w:rPr>
          <w:spacing w:val="3"/>
        </w:rPr>
        <w:t xml:space="preserve">ocorreu </w:t>
      </w:r>
      <w:r>
        <w:rPr>
          <w:spacing w:val="2"/>
        </w:rPr>
        <w:t xml:space="preserve">uma </w:t>
      </w:r>
      <w:r>
        <w:rPr>
          <w:spacing w:val="3"/>
        </w:rPr>
        <w:t xml:space="preserve">forte decadência </w:t>
      </w:r>
      <w:r>
        <w:rPr>
          <w:spacing w:val="2"/>
        </w:rPr>
        <w:t xml:space="preserve">nos </w:t>
      </w:r>
      <w:r>
        <w:rPr>
          <w:spacing w:val="3"/>
        </w:rPr>
        <w:t xml:space="preserve">índices econômicos </w:t>
      </w:r>
      <w:r>
        <w:t xml:space="preserve">e </w:t>
      </w:r>
      <w:r>
        <w:rPr>
          <w:spacing w:val="10"/>
        </w:rPr>
        <w:t xml:space="preserve">sociais. </w:t>
      </w:r>
      <w:r>
        <w:rPr>
          <w:spacing w:val="8"/>
        </w:rPr>
        <w:t xml:space="preserve">Hoje, </w:t>
      </w:r>
      <w:r>
        <w:rPr>
          <w:spacing w:val="10"/>
        </w:rPr>
        <w:t xml:space="preserve">Adrianópolis </w:t>
      </w:r>
      <w:r>
        <w:rPr>
          <w:spacing w:val="8"/>
        </w:rPr>
        <w:t xml:space="preserve">(PR), assim como </w:t>
      </w:r>
      <w:r>
        <w:rPr>
          <w:spacing w:val="11"/>
        </w:rPr>
        <w:t xml:space="preserve">outros </w:t>
      </w:r>
      <w:r>
        <w:rPr>
          <w:spacing w:val="8"/>
        </w:rPr>
        <w:t xml:space="preserve">municípios </w:t>
      </w:r>
      <w:r>
        <w:rPr>
          <w:spacing w:val="5"/>
        </w:rPr>
        <w:t xml:space="preserve">que </w:t>
      </w:r>
      <w:r>
        <w:rPr>
          <w:spacing w:val="7"/>
        </w:rPr>
        <w:t xml:space="preserve">tiveram forte atividade </w:t>
      </w:r>
      <w:r>
        <w:rPr>
          <w:spacing w:val="8"/>
        </w:rPr>
        <w:t xml:space="preserve">mineradora </w:t>
      </w:r>
      <w:r>
        <w:rPr>
          <w:spacing w:val="10"/>
        </w:rPr>
        <w:t xml:space="preserve">no </w:t>
      </w:r>
      <w:r>
        <w:t>passado, está entre os mais pobres da região (CUNHA et al., 2006). Com a escassez de emprego e as precárias condições de vida, a p</w:t>
      </w:r>
      <w:r>
        <w:t xml:space="preserve">opulação de Adrianópolis caiu pela metade. Já a </w:t>
      </w:r>
      <w:r>
        <w:rPr>
          <w:spacing w:val="2"/>
        </w:rPr>
        <w:t xml:space="preserve">base </w:t>
      </w:r>
      <w:r>
        <w:rPr>
          <w:spacing w:val="3"/>
        </w:rPr>
        <w:t xml:space="preserve">econômica </w:t>
      </w:r>
      <w:r>
        <w:rPr>
          <w:spacing w:val="1"/>
        </w:rPr>
        <w:t xml:space="preserve">do </w:t>
      </w:r>
      <w:r>
        <w:rPr>
          <w:spacing w:val="3"/>
        </w:rPr>
        <w:t xml:space="preserve">município passou </w:t>
      </w:r>
      <w:r>
        <w:t xml:space="preserve">a </w:t>
      </w:r>
      <w:r>
        <w:rPr>
          <w:spacing w:val="3"/>
        </w:rPr>
        <w:t xml:space="preserve">girar </w:t>
      </w:r>
      <w:r>
        <w:rPr>
          <w:spacing w:val="1"/>
        </w:rPr>
        <w:t xml:space="preserve">em </w:t>
      </w:r>
      <w:r>
        <w:rPr>
          <w:spacing w:val="3"/>
        </w:rPr>
        <w:t xml:space="preserve">torno </w:t>
      </w:r>
      <w:r>
        <w:rPr>
          <w:spacing w:val="5"/>
        </w:rPr>
        <w:t xml:space="preserve">do </w:t>
      </w:r>
      <w:r>
        <w:t xml:space="preserve">funcionalismo público, da agricultura, da pecuária e do setor </w:t>
      </w:r>
      <w:r>
        <w:rPr>
          <w:spacing w:val="5"/>
        </w:rPr>
        <w:t xml:space="preserve">de </w:t>
      </w:r>
      <w:r>
        <w:rPr>
          <w:spacing w:val="10"/>
        </w:rPr>
        <w:t xml:space="preserve">comércio </w:t>
      </w:r>
      <w:r>
        <w:t xml:space="preserve">e </w:t>
      </w:r>
      <w:r>
        <w:rPr>
          <w:spacing w:val="10"/>
        </w:rPr>
        <w:t xml:space="preserve">serviços (IPARDES </w:t>
      </w:r>
      <w:r>
        <w:rPr>
          <w:spacing w:val="8"/>
        </w:rPr>
        <w:t xml:space="preserve">apud </w:t>
      </w:r>
      <w:r>
        <w:rPr>
          <w:spacing w:val="5"/>
        </w:rPr>
        <w:t xml:space="preserve">DI </w:t>
      </w:r>
      <w:r>
        <w:rPr>
          <w:spacing w:val="11"/>
        </w:rPr>
        <w:t xml:space="preserve">GIULIO; </w:t>
      </w:r>
      <w:r>
        <w:rPr>
          <w:spacing w:val="10"/>
        </w:rPr>
        <w:t>PEREIRA; FIGUEIREDO,</w:t>
      </w:r>
      <w:r>
        <w:rPr>
          <w:spacing w:val="56"/>
        </w:rPr>
        <w:t xml:space="preserve"> </w:t>
      </w:r>
      <w:r>
        <w:rPr>
          <w:spacing w:val="11"/>
        </w:rPr>
        <w:t>2008).</w:t>
      </w:r>
    </w:p>
    <w:p w:rsidR="00D81F69" w:rsidRDefault="00330118">
      <w:pPr>
        <w:pStyle w:val="Corpodetexto"/>
        <w:spacing w:before="142" w:line="312" w:lineRule="auto"/>
        <w:ind w:right="75"/>
      </w:pPr>
      <w:r>
        <w:t>Adrianópolis lo</w:t>
      </w:r>
      <w:r>
        <w:t>caliza-se na região metropolitana de Curitiba (MAPA DA INJUSTIÇA AMBIENTAL E SAÚDE NO BRASIL,</w:t>
      </w:r>
    </w:p>
    <w:p w:rsidR="00D81F69" w:rsidRDefault="00330118">
      <w:pPr>
        <w:pStyle w:val="Corpodetexto"/>
        <w:spacing w:before="1" w:line="312" w:lineRule="auto"/>
        <w:ind w:right="38"/>
        <w:jc w:val="left"/>
      </w:pPr>
      <w:r>
        <w:t>2009). Com 1.349,335 km² e 6.376 habitantes (IBGE, 2010), o município foi alvo, por mais de 50 anos, das atividades de extração e refinamento de chumbo pela Plumb</w:t>
      </w:r>
      <w:r>
        <w:t>um do Brasil Ltda. (CUNHA et al., 2006), pertencente ao grupo Trevo, que se instalou no bairro Vila Mota, na zona rural do município (DI</w:t>
      </w:r>
    </w:p>
    <w:p w:rsidR="00D81F69" w:rsidRDefault="00330118">
      <w:pPr>
        <w:pStyle w:val="Corpodetexto"/>
        <w:spacing w:before="5"/>
      </w:pPr>
      <w:r>
        <w:t>GIULIO; PEREIRA; FIGUEIREDO, 2008). A Plumbum</w:t>
      </w:r>
    </w:p>
    <w:p w:rsidR="00D81F69" w:rsidRDefault="00330118">
      <w:pPr>
        <w:pStyle w:val="Corpodetexto"/>
        <w:spacing w:before="2" w:line="312" w:lineRule="auto"/>
        <w:ind w:right="178"/>
      </w:pPr>
      <w:r>
        <w:br w:type="column"/>
      </w:r>
      <w:r>
        <w:lastRenderedPageBreak/>
        <w:t>chumbo, que se depositou nos solos de áreas próximas. Mesmo depois de um</w:t>
      </w:r>
      <w:r>
        <w:t xml:space="preserve">a década do fechamento da usina e das últimas minas de chumbo, o passivo ambiental permanece, bem como o risco de contaminação das populações locais (FIGUEIREDO, 2005 apud DI GIULIO; PEREIRA; FIGUEIREDO, 2008). </w:t>
      </w:r>
    </w:p>
    <w:p w:rsidR="00D81F69" w:rsidRDefault="00330118">
      <w:pPr>
        <w:pStyle w:val="Corpodetexto"/>
        <w:spacing w:before="135" w:line="312" w:lineRule="auto"/>
        <w:ind w:right="186"/>
      </w:pPr>
      <w:r>
        <w:t xml:space="preserve">Em áreas próximas à refinaria desativada da </w:t>
      </w:r>
      <w:r>
        <w:t>empresa, o acúmulo de rejeitos do processo industrial, depositados durante anos a céu aberto, levou à contaminação do solo por chumbo (CUNHA et al., 2006). Rejeitos da mina de Panelas, outra antiga propriedade da empresa em Adrianópolis, atingiram o rio Ri</w:t>
      </w:r>
      <w:r>
        <w:t>beira do Iguape, pois, ao beneficiar o minério (predominantemente galena), a empresa jogava resíduos e efluentes diretamente no leito do rio. Além disso, empilhava o rejeito e a escória do refino junto à sua margem (LOPES Jr. et al., 2006).</w:t>
      </w:r>
    </w:p>
    <w:p w:rsidR="00D81F69" w:rsidRDefault="00330118">
      <w:pPr>
        <w:pStyle w:val="Corpodetexto"/>
        <w:spacing w:before="139" w:line="312" w:lineRule="auto"/>
        <w:ind w:right="208"/>
      </w:pPr>
      <w:r>
        <w:rPr>
          <w:spacing w:val="5"/>
        </w:rPr>
        <w:t xml:space="preserve">Parte </w:t>
      </w:r>
      <w:r>
        <w:rPr>
          <w:spacing w:val="3"/>
        </w:rPr>
        <w:t xml:space="preserve">dos </w:t>
      </w:r>
      <w:r>
        <w:rPr>
          <w:spacing w:val="5"/>
        </w:rPr>
        <w:t>rejei</w:t>
      </w:r>
      <w:r>
        <w:rPr>
          <w:spacing w:val="5"/>
        </w:rPr>
        <w:t xml:space="preserve">tos estocados </w:t>
      </w:r>
      <w:r>
        <w:rPr>
          <w:spacing w:val="2"/>
        </w:rPr>
        <w:t xml:space="preserve">de </w:t>
      </w:r>
      <w:r>
        <w:rPr>
          <w:spacing w:val="5"/>
        </w:rPr>
        <w:t xml:space="preserve">forma inadequada </w:t>
      </w:r>
      <w:r>
        <w:rPr>
          <w:spacing w:val="6"/>
        </w:rPr>
        <w:t xml:space="preserve">pela </w:t>
      </w:r>
      <w:r>
        <w:t xml:space="preserve">empresa também foi utilizada pelos moradores no calçamento </w:t>
      </w:r>
      <w:r>
        <w:rPr>
          <w:spacing w:val="3"/>
        </w:rPr>
        <w:t xml:space="preserve">das </w:t>
      </w:r>
      <w:r>
        <w:rPr>
          <w:spacing w:val="5"/>
        </w:rPr>
        <w:t xml:space="preserve">ruas </w:t>
      </w:r>
      <w:r>
        <w:rPr>
          <w:spacing w:val="2"/>
        </w:rPr>
        <w:t xml:space="preserve">de </w:t>
      </w:r>
      <w:r>
        <w:rPr>
          <w:spacing w:val="5"/>
        </w:rPr>
        <w:t xml:space="preserve">Vila Mota </w:t>
      </w:r>
      <w:r>
        <w:t xml:space="preserve">e </w:t>
      </w:r>
      <w:r>
        <w:rPr>
          <w:spacing w:val="2"/>
        </w:rPr>
        <w:t xml:space="preserve">de </w:t>
      </w:r>
      <w:r>
        <w:rPr>
          <w:spacing w:val="5"/>
        </w:rPr>
        <w:t xml:space="preserve">Vila Capelinha, </w:t>
      </w:r>
      <w:r>
        <w:rPr>
          <w:spacing w:val="6"/>
        </w:rPr>
        <w:t xml:space="preserve">localidades </w:t>
      </w:r>
      <w:r>
        <w:rPr>
          <w:spacing w:val="3"/>
        </w:rPr>
        <w:t xml:space="preserve">operárias vizinhas </w:t>
      </w:r>
      <w:r>
        <w:t xml:space="preserve">à </w:t>
      </w:r>
      <w:r>
        <w:rPr>
          <w:spacing w:val="3"/>
        </w:rPr>
        <w:t xml:space="preserve">antiga refinaria, </w:t>
      </w:r>
      <w:r>
        <w:rPr>
          <w:spacing w:val="1"/>
        </w:rPr>
        <w:t xml:space="preserve">em </w:t>
      </w:r>
      <w:r>
        <w:rPr>
          <w:spacing w:val="3"/>
        </w:rPr>
        <w:t xml:space="preserve">Adrianópolis. </w:t>
      </w:r>
      <w:r>
        <w:rPr>
          <w:spacing w:val="5"/>
        </w:rPr>
        <w:t xml:space="preserve">Em </w:t>
      </w:r>
      <w:r>
        <w:t xml:space="preserve">área próxima a Panelas, constatou-se grande </w:t>
      </w:r>
      <w:r>
        <w:rPr>
          <w:spacing w:val="1"/>
        </w:rPr>
        <w:t xml:space="preserve">concentração </w:t>
      </w:r>
      <w:r>
        <w:t>de chumbo em rejeitos despejados em um local onde crianças costumavam brincar diariamente (LOPES Jr. et al., 2006).</w:t>
      </w:r>
    </w:p>
    <w:p w:rsidR="00D81F69" w:rsidRDefault="00330118">
      <w:pPr>
        <w:pStyle w:val="Corpodetexto"/>
        <w:spacing w:before="137" w:line="312" w:lineRule="auto"/>
        <w:ind w:right="194"/>
      </w:pPr>
      <w:r>
        <w:t>O chumbo pode se absorvido por ingestão de alimentos e de água ou por inalação de poeira contaminada, forma comum principalment</w:t>
      </w:r>
      <w:r>
        <w:t>e entre crianças pequenas. A contaminação pode gerar diversos efeitos nocivos à saúde, entre os quais: distúrbios irreversíveis no sistema nervoso central, anemia e alterações renais (CUNHA et al., 2006).</w:t>
      </w:r>
    </w:p>
    <w:p w:rsidR="00D81F69" w:rsidRDefault="00330118">
      <w:pPr>
        <w:pStyle w:val="Corpodetexto"/>
        <w:spacing w:before="135" w:line="312" w:lineRule="auto"/>
        <w:ind w:right="196"/>
      </w:pPr>
      <w:r>
        <w:t>Estudos diagnosticaram a presença elevada de chumbo</w:t>
      </w:r>
      <w:r>
        <w:t xml:space="preserve"> no sangue de crianças em Adrianópolis e adjacências (CUNHA  </w:t>
      </w:r>
      <w:r>
        <w:rPr>
          <w:spacing w:val="2"/>
        </w:rPr>
        <w:t xml:space="preserve">et </w:t>
      </w:r>
      <w:r>
        <w:rPr>
          <w:spacing w:val="5"/>
        </w:rPr>
        <w:t xml:space="preserve">al., 2006; SAKUMA </w:t>
      </w:r>
      <w:r>
        <w:rPr>
          <w:spacing w:val="2"/>
        </w:rPr>
        <w:t xml:space="preserve">et </w:t>
      </w:r>
      <w:r>
        <w:rPr>
          <w:spacing w:val="5"/>
        </w:rPr>
        <w:t xml:space="preserve">al., 2010). </w:t>
      </w:r>
      <w:r>
        <w:t xml:space="preserve">A </w:t>
      </w:r>
      <w:r>
        <w:rPr>
          <w:spacing w:val="5"/>
        </w:rPr>
        <w:t xml:space="preserve">pesquisa </w:t>
      </w:r>
      <w:r>
        <w:rPr>
          <w:spacing w:val="6"/>
        </w:rPr>
        <w:t xml:space="preserve">coletou </w:t>
      </w:r>
      <w:r>
        <w:t xml:space="preserve">amostras de sangue de 335 crianças na faixa etária entre 7 e 14 anos e de 350 adultos, entre 15 e 70 anos, residentes em </w:t>
      </w:r>
      <w:r>
        <w:rPr>
          <w:spacing w:val="5"/>
        </w:rPr>
        <w:t xml:space="preserve">Adrianópolis </w:t>
      </w:r>
      <w:r>
        <w:t xml:space="preserve">e </w:t>
      </w:r>
      <w:r>
        <w:rPr>
          <w:spacing w:val="3"/>
        </w:rPr>
        <w:t xml:space="preserve">nos </w:t>
      </w:r>
      <w:r>
        <w:rPr>
          <w:spacing w:val="5"/>
        </w:rPr>
        <w:t xml:space="preserve">municípios </w:t>
      </w:r>
      <w:r>
        <w:rPr>
          <w:spacing w:val="2"/>
        </w:rPr>
        <w:t xml:space="preserve">de </w:t>
      </w:r>
      <w:r>
        <w:rPr>
          <w:spacing w:val="5"/>
        </w:rPr>
        <w:t xml:space="preserve">Cerro Azul, Ribeira </w:t>
      </w:r>
      <w:r>
        <w:t>e Iporanga. Coletaram-se, ainda, amostras do solo e da água  da</w:t>
      </w:r>
      <w:r>
        <w:rPr>
          <w:spacing w:val="10"/>
        </w:rPr>
        <w:t xml:space="preserve"> </w:t>
      </w:r>
      <w:r>
        <w:t>região</w:t>
      </w:r>
      <w:r>
        <w:rPr>
          <w:spacing w:val="10"/>
        </w:rPr>
        <w:t xml:space="preserve"> </w:t>
      </w:r>
      <w:r>
        <w:t>estudada</w:t>
      </w:r>
      <w:r>
        <w:rPr>
          <w:spacing w:val="10"/>
        </w:rPr>
        <w:t xml:space="preserve"> </w:t>
      </w:r>
      <w:r>
        <w:t>(CUNHA</w:t>
      </w:r>
      <w:r>
        <w:rPr>
          <w:spacing w:val="10"/>
        </w:rPr>
        <w:t xml:space="preserve"> </w:t>
      </w:r>
      <w:r>
        <w:t>et</w:t>
      </w:r>
      <w:r>
        <w:rPr>
          <w:spacing w:val="10"/>
        </w:rPr>
        <w:t xml:space="preserve"> </w:t>
      </w:r>
      <w:r>
        <w:t>al.,</w:t>
      </w:r>
      <w:r>
        <w:rPr>
          <w:spacing w:val="10"/>
        </w:rPr>
        <w:t xml:space="preserve"> </w:t>
      </w:r>
      <w:r>
        <w:t>2006;</w:t>
      </w:r>
      <w:r>
        <w:rPr>
          <w:spacing w:val="10"/>
        </w:rPr>
        <w:t xml:space="preserve"> </w:t>
      </w:r>
      <w:r>
        <w:t>LAMMOGLIA</w:t>
      </w:r>
      <w:r>
        <w:rPr>
          <w:spacing w:val="10"/>
        </w:rPr>
        <w:t xml:space="preserve"> </w:t>
      </w:r>
      <w:r>
        <w:t>et</w:t>
      </w:r>
      <w:r>
        <w:rPr>
          <w:spacing w:val="10"/>
        </w:rPr>
        <w:t xml:space="preserve"> </w:t>
      </w:r>
      <w:r>
        <w:t>al.,</w:t>
      </w:r>
    </w:p>
    <w:p w:rsidR="00D81F69" w:rsidRDefault="00D81F69">
      <w:pPr>
        <w:spacing w:line="312" w:lineRule="auto"/>
        <w:sectPr w:rsidR="00D81F69">
          <w:type w:val="continuous"/>
          <w:pgSz w:w="11900" w:h="16840"/>
          <w:pgMar w:top="720" w:right="500" w:bottom="280" w:left="620" w:header="720" w:footer="720" w:gutter="0"/>
          <w:cols w:num="2" w:space="720" w:equalWidth="0">
            <w:col w:w="5191" w:space="279"/>
            <w:col w:w="5310"/>
          </w:cols>
        </w:sectPr>
      </w:pPr>
    </w:p>
    <w:p w:rsidR="00D81F69" w:rsidRDefault="00330118">
      <w:pPr>
        <w:pStyle w:val="Corpodetexto"/>
        <w:spacing w:before="81"/>
      </w:pPr>
      <w:r>
        <w:lastRenderedPageBreak/>
        <w:t>2010).</w:t>
      </w:r>
    </w:p>
    <w:p w:rsidR="00D81F69" w:rsidRDefault="00D81F69">
      <w:pPr>
        <w:pStyle w:val="Corpodetexto"/>
        <w:spacing w:before="9"/>
        <w:ind w:left="0"/>
        <w:jc w:val="left"/>
        <w:rPr>
          <w:sz w:val="16"/>
        </w:rPr>
      </w:pPr>
    </w:p>
    <w:p w:rsidR="00D81F69" w:rsidRDefault="00330118">
      <w:pPr>
        <w:pStyle w:val="Corpodetexto"/>
        <w:spacing w:line="312" w:lineRule="auto"/>
        <w:ind w:right="38"/>
      </w:pPr>
      <w:r>
        <w:t>Exceto pela população da cidade de Cerro Azul, onde não houve atividade mineradora, a média aritmética do percentual de chumbo encontrado no sangue dos indivíduos analisados foi considerada alta e perigosa para a saúde humana. Os índices registrados em Rib</w:t>
      </w:r>
      <w:r>
        <w:t xml:space="preserve">eira e Iporanga também despertaram preocupação. Entre os adultos, os índices mais altos foram encontrados em ex-operários da refinaria da Plumbum, residentes em Vila Mota e Vila Capelinha, em Adrianópolis. Entre crianças moradoras das vilas, os valores de </w:t>
      </w:r>
      <w:r>
        <w:t>chumbo no sangue ficaram acima de 10 gramas por decilitro (g/dL), valor considerado alarmante pelos pesquisadores (CUNHA et al., 2006; LAMMOGLIA et al., 2010).</w:t>
      </w:r>
    </w:p>
    <w:p w:rsidR="00D81F69" w:rsidRDefault="00330118">
      <w:pPr>
        <w:pStyle w:val="Corpodetexto"/>
        <w:spacing w:before="142" w:line="312" w:lineRule="auto"/>
        <w:ind w:right="51"/>
      </w:pPr>
      <w:r>
        <w:t>Quanto à contaminação por arsênio, pesquisadores do Instituto Adolfo Lutz (São Paulo), Centro de</w:t>
      </w:r>
      <w:r>
        <w:t xml:space="preserve"> Controle de Intoxicações da Universidade Estadual de Campinas (Campinas-SP), Instituto de Geociências da Universidade Estadual de Campinas (Campinas-SP), Centro de Ciências da Saúde da Universidade Estadual de Londrina (Londrina-PR) e da Companhia de Pesq</w:t>
      </w:r>
      <w:r>
        <w:t xml:space="preserve">uisas de Recursos Minerais (Rio de Janeiro-RJ) verificaram a presença da substância em amostras de urina de crianças entre 7 e 14 anos das cidades de Cerro Azul, Adrianópolis, Ribeira e Iporanga. De acordo com os resultados, a diferença entre a quantidade </w:t>
      </w:r>
      <w:r>
        <w:t>de arsênio encontrada no grupo de Cerro Azul, não exposto a atividades minerárias, e os demais, que moravam mais próximos das áreas minerarias, foi bem grande (SAKUMA et al., 2010).</w:t>
      </w:r>
    </w:p>
    <w:p w:rsidR="00D81F69" w:rsidRDefault="00330118">
      <w:pPr>
        <w:pStyle w:val="Corpodetexto"/>
        <w:spacing w:before="143" w:line="312" w:lineRule="auto"/>
        <w:ind w:right="38"/>
      </w:pPr>
      <w:r>
        <w:t>A exposição crônica aos compostos de arsênio pode causar vários danos à sa</w:t>
      </w:r>
      <w:r>
        <w:t>úde, como desordens vasculares periféricas, hiperpigmentação, hiperqueratose, além de câncer de pele, bexiga, pulmão, fígado e outros órgãos (SAKUMA et al., 2010).</w:t>
      </w:r>
    </w:p>
    <w:p w:rsidR="00D81F69" w:rsidRDefault="00330118">
      <w:pPr>
        <w:pStyle w:val="Corpodetexto"/>
        <w:spacing w:before="134" w:line="312" w:lineRule="auto"/>
        <w:ind w:right="55"/>
      </w:pPr>
      <w:r>
        <w:t>Vários estudos continuam sendo realizados para tentar dimensionar a amplitude da contaminaçã</w:t>
      </w:r>
      <w:r>
        <w:t>o por chumbo no Alto Vale do Ribeira. O Ministério Público do Paraná vem trabalhando juntamente com uma comissão interinstitucional para discutir e tentar oferecer soluções para os problemas que afligem moradores de Adrianópolis e outros municípios (MP-PR,</w:t>
      </w:r>
      <w:r>
        <w:t xml:space="preserve"> 2009).</w:t>
      </w:r>
    </w:p>
    <w:p w:rsidR="00D81F69" w:rsidRDefault="00330118">
      <w:pPr>
        <w:pStyle w:val="Corpodetexto"/>
        <w:spacing w:before="137" w:line="312" w:lineRule="auto"/>
        <w:ind w:right="60"/>
      </w:pPr>
      <w:r>
        <w:t>Em 2011, foi concedida liminar contra a Plumbum, o Departamento Nacional de Produção Mineral (DNPM), o município de Adrianópolis e a Companhia de Saneamento do Paraná (Sanepar) pela contaminação ambiental e danos à saúde da população da Vila Mota e</w:t>
      </w:r>
      <w:r>
        <w:t xml:space="preserve"> da Vila Capelinha. Os réus deverão adotar várias medidas para remediar os danos causados ao meio ambiente e oferecer tratamento a todas as pessoas impactadas pelas atividades minerárias na região (PARANÁ.EXTRA.COM.BR., 2011).</w:t>
      </w:r>
    </w:p>
    <w:p w:rsidR="00D81F69" w:rsidRDefault="00D81F69">
      <w:pPr>
        <w:pStyle w:val="Corpodetexto"/>
        <w:spacing w:before="8"/>
        <w:ind w:left="0"/>
        <w:jc w:val="left"/>
        <w:rPr>
          <w:sz w:val="21"/>
        </w:rPr>
      </w:pPr>
    </w:p>
    <w:p w:rsidR="00D81F69" w:rsidRDefault="00330118">
      <w:pPr>
        <w:pStyle w:val="Heading7"/>
      </w:pPr>
      <w:r>
        <w:t>LOCALIZAÇÃO GEOGRÁFICA</w:t>
      </w:r>
    </w:p>
    <w:p w:rsidR="00D81F69" w:rsidRDefault="00330118">
      <w:pPr>
        <w:pStyle w:val="Corpodetexto"/>
        <w:spacing w:before="116" w:line="270" w:lineRule="atLeast"/>
        <w:ind w:right="62"/>
      </w:pPr>
      <w:r>
        <w:t>O mun</w:t>
      </w:r>
      <w:r>
        <w:t>icípio de Iporanga possui duas minas de chumbo: Mina Jardim e Mina Santana Nova, próximas ao rio Betari, na bacia do rio da Ribeira do Iguape que deságua no mar. Localizam-</w:t>
      </w:r>
    </w:p>
    <w:p w:rsidR="00D81F69" w:rsidRDefault="00330118">
      <w:pPr>
        <w:pStyle w:val="Corpodetexto"/>
        <w:spacing w:before="81" w:line="312" w:lineRule="auto"/>
        <w:ind w:right="159"/>
        <w:jc w:val="left"/>
      </w:pPr>
      <w:r>
        <w:br w:type="column"/>
      </w:r>
      <w:r>
        <w:lastRenderedPageBreak/>
        <w:t>se entre as latitudes 24°33’31”S - 24°34’43”S e longitudes 48°42’43”W - 48°43’6”W.</w:t>
      </w:r>
    </w:p>
    <w:p w:rsidR="00D81F69" w:rsidRDefault="00D81F69">
      <w:pPr>
        <w:pStyle w:val="Corpodetexto"/>
        <w:spacing w:before="11"/>
        <w:ind w:left="0"/>
        <w:jc w:val="left"/>
        <w:rPr>
          <w:sz w:val="28"/>
        </w:rPr>
      </w:pPr>
    </w:p>
    <w:p w:rsidR="00D81F69" w:rsidRDefault="00330118">
      <w:pPr>
        <w:pStyle w:val="Heading7"/>
        <w:jc w:val="left"/>
      </w:pPr>
      <w:r>
        <w:t>REDATORES</w:t>
      </w:r>
    </w:p>
    <w:p w:rsidR="00D81F69" w:rsidRDefault="00330118">
      <w:pPr>
        <w:pStyle w:val="Corpodetexto"/>
        <w:spacing w:before="179"/>
        <w:jc w:val="left"/>
      </w:pPr>
      <w:r>
        <w:t>Pedro Schprejer</w:t>
      </w:r>
    </w:p>
    <w:p w:rsidR="00D81F69" w:rsidRDefault="00D81F69">
      <w:pPr>
        <w:pStyle w:val="Corpodetexto"/>
        <w:ind w:left="0"/>
        <w:jc w:val="left"/>
        <w:rPr>
          <w:sz w:val="20"/>
        </w:rPr>
      </w:pPr>
    </w:p>
    <w:p w:rsidR="00D81F69" w:rsidRDefault="00330118">
      <w:pPr>
        <w:pStyle w:val="Heading7"/>
        <w:spacing w:before="164"/>
        <w:jc w:val="left"/>
      </w:pPr>
      <w:r>
        <w:t>REFERÊNCIAS BIBLIOGRÁFICAS</w:t>
      </w:r>
    </w:p>
    <w:p w:rsidR="00D81F69" w:rsidRDefault="00330118">
      <w:pPr>
        <w:spacing w:before="188" w:line="312" w:lineRule="auto"/>
        <w:ind w:left="100" w:right="185"/>
        <w:rPr>
          <w:sz w:val="16"/>
        </w:rPr>
      </w:pPr>
      <w:r>
        <w:rPr>
          <w:spacing w:val="1"/>
          <w:sz w:val="16"/>
        </w:rPr>
        <w:t xml:space="preserve">CUNHA, Fernanda Gonçalves; FIGUEIREDO; Bernardino </w:t>
      </w:r>
      <w:r>
        <w:rPr>
          <w:spacing w:val="2"/>
          <w:sz w:val="16"/>
        </w:rPr>
        <w:t xml:space="preserve">Ribeiro; </w:t>
      </w:r>
      <w:r>
        <w:rPr>
          <w:spacing w:val="5"/>
          <w:sz w:val="16"/>
        </w:rPr>
        <w:t xml:space="preserve">PAOLIELLO, Mônica </w:t>
      </w:r>
      <w:r>
        <w:rPr>
          <w:spacing w:val="3"/>
          <w:sz w:val="16"/>
        </w:rPr>
        <w:t xml:space="preserve">Maria </w:t>
      </w:r>
      <w:r>
        <w:rPr>
          <w:spacing w:val="5"/>
          <w:sz w:val="16"/>
        </w:rPr>
        <w:t xml:space="preserve">Bastos; CAPITANI, Eduardo Mello. Diagnóstico ambiental </w:t>
      </w:r>
      <w:r>
        <w:rPr>
          <w:sz w:val="16"/>
        </w:rPr>
        <w:t xml:space="preserve">e </w:t>
      </w:r>
      <w:r>
        <w:rPr>
          <w:spacing w:val="2"/>
          <w:sz w:val="16"/>
        </w:rPr>
        <w:t xml:space="preserve">de </w:t>
      </w:r>
      <w:r>
        <w:rPr>
          <w:spacing w:val="5"/>
          <w:sz w:val="16"/>
        </w:rPr>
        <w:t xml:space="preserve">saúde humana: contaminação </w:t>
      </w:r>
      <w:r>
        <w:rPr>
          <w:spacing w:val="6"/>
          <w:sz w:val="16"/>
        </w:rPr>
        <w:t xml:space="preserve">por </w:t>
      </w:r>
      <w:r>
        <w:rPr>
          <w:spacing w:val="1"/>
          <w:sz w:val="16"/>
        </w:rPr>
        <w:t xml:space="preserve">chumbo </w:t>
      </w:r>
      <w:r>
        <w:rPr>
          <w:sz w:val="16"/>
        </w:rPr>
        <w:t xml:space="preserve">em </w:t>
      </w:r>
      <w:r>
        <w:rPr>
          <w:spacing w:val="1"/>
          <w:sz w:val="16"/>
        </w:rPr>
        <w:t xml:space="preserve">Adrianópolis, </w:t>
      </w:r>
      <w:r>
        <w:rPr>
          <w:sz w:val="16"/>
        </w:rPr>
        <w:t xml:space="preserve">no </w:t>
      </w:r>
      <w:r>
        <w:rPr>
          <w:spacing w:val="1"/>
          <w:sz w:val="16"/>
        </w:rPr>
        <w:t xml:space="preserve">estado </w:t>
      </w:r>
      <w:r>
        <w:rPr>
          <w:sz w:val="16"/>
        </w:rPr>
        <w:t xml:space="preserve">do </w:t>
      </w:r>
      <w:r>
        <w:rPr>
          <w:spacing w:val="1"/>
          <w:sz w:val="16"/>
        </w:rPr>
        <w:t xml:space="preserve">Paraná, Brasil. </w:t>
      </w:r>
      <w:r>
        <w:rPr>
          <w:sz w:val="16"/>
        </w:rPr>
        <w:t xml:space="preserve">In: </w:t>
      </w:r>
      <w:r>
        <w:rPr>
          <w:spacing w:val="2"/>
          <w:sz w:val="16"/>
        </w:rPr>
        <w:t xml:space="preserve">SILVA, </w:t>
      </w:r>
      <w:r>
        <w:rPr>
          <w:spacing w:val="5"/>
          <w:sz w:val="16"/>
        </w:rPr>
        <w:t xml:space="preserve">Cássio Roberto; FIGUEIREDO, Bernardino Ribeiro; CAPITANI, </w:t>
      </w:r>
      <w:r>
        <w:rPr>
          <w:sz w:val="16"/>
        </w:rPr>
        <w:t xml:space="preserve">Eduardo Mello; CUNHA, Fernanda Gonçalves. Geologia Médica no Brasil. Rio de Janeiro: CPRM – Serviço Geológico do Brasil, 2006.    </w:t>
      </w:r>
      <w:r>
        <w:rPr>
          <w:spacing w:val="5"/>
          <w:sz w:val="16"/>
        </w:rPr>
        <w:t xml:space="preserve">DI </w:t>
      </w:r>
      <w:r>
        <w:rPr>
          <w:spacing w:val="10"/>
          <w:sz w:val="16"/>
        </w:rPr>
        <w:t xml:space="preserve">GIULIO, Gabriela Marques; PEREIRA, Newton Müller; </w:t>
      </w:r>
      <w:r>
        <w:rPr>
          <w:sz w:val="16"/>
        </w:rPr>
        <w:t xml:space="preserve">FIGUEIREDO, Bernardino Ribeiro. O papel da mídia na construção  </w:t>
      </w:r>
      <w:r>
        <w:rPr>
          <w:spacing w:val="2"/>
          <w:sz w:val="16"/>
        </w:rPr>
        <w:t xml:space="preserve">do </w:t>
      </w:r>
      <w:r>
        <w:rPr>
          <w:spacing w:val="5"/>
          <w:sz w:val="16"/>
        </w:rPr>
        <w:t xml:space="preserve">risco: </w:t>
      </w:r>
      <w:r>
        <w:rPr>
          <w:sz w:val="16"/>
        </w:rPr>
        <w:t xml:space="preserve">o </w:t>
      </w:r>
      <w:r>
        <w:rPr>
          <w:spacing w:val="3"/>
          <w:sz w:val="16"/>
        </w:rPr>
        <w:t xml:space="preserve">caso </w:t>
      </w:r>
      <w:r>
        <w:rPr>
          <w:spacing w:val="5"/>
          <w:sz w:val="16"/>
        </w:rPr>
        <w:t xml:space="preserve">Adrianópolis, </w:t>
      </w:r>
      <w:r>
        <w:rPr>
          <w:spacing w:val="2"/>
          <w:sz w:val="16"/>
        </w:rPr>
        <w:t xml:space="preserve">no </w:t>
      </w:r>
      <w:r>
        <w:rPr>
          <w:spacing w:val="3"/>
          <w:sz w:val="16"/>
        </w:rPr>
        <w:t xml:space="preserve">Vale </w:t>
      </w:r>
      <w:r>
        <w:rPr>
          <w:spacing w:val="2"/>
          <w:sz w:val="16"/>
        </w:rPr>
        <w:t xml:space="preserve">do </w:t>
      </w:r>
      <w:r>
        <w:rPr>
          <w:spacing w:val="5"/>
          <w:sz w:val="16"/>
        </w:rPr>
        <w:t xml:space="preserve">Ribeira. </w:t>
      </w:r>
      <w:r>
        <w:rPr>
          <w:spacing w:val="3"/>
          <w:sz w:val="16"/>
        </w:rPr>
        <w:t xml:space="preserve">In: </w:t>
      </w:r>
      <w:r>
        <w:rPr>
          <w:spacing w:val="5"/>
          <w:sz w:val="16"/>
        </w:rPr>
        <w:t xml:space="preserve">História, </w:t>
      </w:r>
      <w:r>
        <w:rPr>
          <w:sz w:val="16"/>
        </w:rPr>
        <w:t>Ciências, Saúde-Manguinhos, v. 15, p. 293-311, 2008. Disponível</w:t>
      </w:r>
      <w:r>
        <w:rPr>
          <w:spacing w:val="6"/>
          <w:sz w:val="16"/>
        </w:rPr>
        <w:t xml:space="preserve"> </w:t>
      </w:r>
      <w:r>
        <w:rPr>
          <w:sz w:val="16"/>
        </w:rPr>
        <w:t>em:</w:t>
      </w:r>
    </w:p>
    <w:p w:rsidR="00D81F69" w:rsidRDefault="00D81F69">
      <w:pPr>
        <w:spacing w:before="9" w:line="312" w:lineRule="auto"/>
        <w:ind w:left="100" w:right="159"/>
        <w:rPr>
          <w:sz w:val="16"/>
        </w:rPr>
      </w:pPr>
      <w:hyperlink r:id="rId1678">
        <w:r w:rsidR="00330118">
          <w:rPr>
            <w:sz w:val="16"/>
          </w:rPr>
          <w:t>&lt;http://www.scielo.br/scielo.php?script=sci_arttext&amp;pid=S0104-</w:t>
        </w:r>
      </w:hyperlink>
      <w:r w:rsidR="00330118">
        <w:rPr>
          <w:sz w:val="16"/>
        </w:rPr>
        <w:t xml:space="preserve"> 59702008000200004&gt;. Acesso em: 22 nov. 2011.</w:t>
      </w:r>
    </w:p>
    <w:p w:rsidR="00D81F69" w:rsidRDefault="00330118">
      <w:pPr>
        <w:tabs>
          <w:tab w:val="left" w:pos="896"/>
          <w:tab w:val="left" w:pos="1408"/>
          <w:tab w:val="left" w:pos="2169"/>
          <w:tab w:val="left" w:pos="3358"/>
          <w:tab w:val="left" w:pos="4752"/>
        </w:tabs>
        <w:spacing w:before="1" w:line="312" w:lineRule="auto"/>
        <w:ind w:left="100" w:right="159"/>
        <w:rPr>
          <w:sz w:val="16"/>
        </w:rPr>
      </w:pPr>
      <w:r>
        <w:rPr>
          <w:spacing w:val="1"/>
          <w:sz w:val="16"/>
        </w:rPr>
        <w:t xml:space="preserve">IBGE, Instituto Brasileiro </w:t>
      </w:r>
      <w:r>
        <w:rPr>
          <w:sz w:val="16"/>
        </w:rPr>
        <w:t xml:space="preserve">de  </w:t>
      </w:r>
      <w:r>
        <w:rPr>
          <w:spacing w:val="1"/>
          <w:sz w:val="16"/>
        </w:rPr>
        <w:t xml:space="preserve">Geografia </w:t>
      </w:r>
      <w:r>
        <w:rPr>
          <w:sz w:val="16"/>
        </w:rPr>
        <w:t xml:space="preserve">e  </w:t>
      </w:r>
      <w:r>
        <w:rPr>
          <w:spacing w:val="1"/>
          <w:sz w:val="16"/>
        </w:rPr>
        <w:t xml:space="preserve">Estatística. </w:t>
      </w:r>
      <w:r>
        <w:rPr>
          <w:spacing w:val="2"/>
          <w:sz w:val="16"/>
        </w:rPr>
        <w:t xml:space="preserve">Adrianópolis    </w:t>
      </w:r>
      <w:r>
        <w:rPr>
          <w:sz w:val="16"/>
        </w:rPr>
        <w:t>(</w:t>
      </w:r>
      <w:r>
        <w:rPr>
          <w:sz w:val="16"/>
        </w:rPr>
        <w:t xml:space="preserve"> P R ) .</w:t>
      </w:r>
      <w:r>
        <w:rPr>
          <w:sz w:val="16"/>
        </w:rPr>
        <w:tab/>
        <w:t>I n :</w:t>
      </w:r>
      <w:r>
        <w:rPr>
          <w:sz w:val="16"/>
        </w:rPr>
        <w:tab/>
        <w:t>I B G E</w:t>
      </w:r>
      <w:r>
        <w:rPr>
          <w:sz w:val="16"/>
        </w:rPr>
        <w:tab/>
        <w:t>C i d a d e s .</w:t>
      </w:r>
      <w:r>
        <w:rPr>
          <w:sz w:val="16"/>
        </w:rPr>
        <w:tab/>
        <w:t>D i s p o n í v e l</w:t>
      </w:r>
      <w:r>
        <w:rPr>
          <w:sz w:val="16"/>
        </w:rPr>
        <w:tab/>
        <w:t xml:space="preserve">e m : </w:t>
      </w:r>
    </w:p>
    <w:p w:rsidR="00D81F69" w:rsidRDefault="00D81F69">
      <w:pPr>
        <w:spacing w:before="2"/>
        <w:ind w:left="100"/>
        <w:rPr>
          <w:sz w:val="16"/>
        </w:rPr>
      </w:pPr>
      <w:hyperlink r:id="rId1679">
        <w:r w:rsidR="00330118">
          <w:rPr>
            <w:sz w:val="16"/>
          </w:rPr>
          <w:t>&lt;http://www.ibge.gov.br/cidadesat/xtras/perfil.php?codmun=410020&amp;r</w:t>
        </w:r>
      </w:hyperlink>
    </w:p>
    <w:p w:rsidR="00D81F69" w:rsidRDefault="00330118">
      <w:pPr>
        <w:spacing w:before="56"/>
        <w:ind w:left="100"/>
        <w:rPr>
          <w:sz w:val="16"/>
        </w:rPr>
      </w:pPr>
      <w:r>
        <w:rPr>
          <w:sz w:val="16"/>
        </w:rPr>
        <w:t>=2&gt;. Acesso em: 21 nov. 2011.</w:t>
      </w:r>
    </w:p>
    <w:p w:rsidR="00D81F69" w:rsidRDefault="00330118">
      <w:pPr>
        <w:spacing w:before="56" w:line="312" w:lineRule="auto"/>
        <w:ind w:left="100" w:right="195"/>
        <w:jc w:val="both"/>
        <w:rPr>
          <w:sz w:val="16"/>
        </w:rPr>
      </w:pPr>
      <w:r>
        <w:rPr>
          <w:sz w:val="16"/>
        </w:rPr>
        <w:t>LAMMOG</w:t>
      </w:r>
      <w:r>
        <w:rPr>
          <w:sz w:val="16"/>
        </w:rPr>
        <w:t xml:space="preserve">LIA, Talita; FIGUEIREDO, Bernardino R.; SAKUMA, Alice  M; BUZZO, M.L.; OKADA, Isaura A.; KIRA, C. S. Lead and other trace </w:t>
      </w:r>
      <w:r>
        <w:rPr>
          <w:spacing w:val="15"/>
          <w:sz w:val="16"/>
        </w:rPr>
        <w:t xml:space="preserve">elements </w:t>
      </w:r>
      <w:r>
        <w:rPr>
          <w:spacing w:val="8"/>
          <w:sz w:val="16"/>
        </w:rPr>
        <w:t xml:space="preserve">in </w:t>
      </w:r>
      <w:r>
        <w:rPr>
          <w:spacing w:val="15"/>
          <w:sz w:val="16"/>
        </w:rPr>
        <w:t xml:space="preserve">edibles </w:t>
      </w:r>
      <w:r>
        <w:rPr>
          <w:spacing w:val="11"/>
          <w:sz w:val="16"/>
        </w:rPr>
        <w:t xml:space="preserve">and </w:t>
      </w:r>
      <w:r>
        <w:rPr>
          <w:spacing w:val="8"/>
          <w:sz w:val="16"/>
        </w:rPr>
        <w:t xml:space="preserve">in </w:t>
      </w:r>
      <w:r>
        <w:rPr>
          <w:spacing w:val="15"/>
          <w:sz w:val="16"/>
        </w:rPr>
        <w:t xml:space="preserve">topsoil </w:t>
      </w:r>
      <w:r>
        <w:rPr>
          <w:spacing w:val="8"/>
          <w:sz w:val="16"/>
        </w:rPr>
        <w:t xml:space="preserve">as </w:t>
      </w:r>
      <w:r>
        <w:rPr>
          <w:sz w:val="16"/>
        </w:rPr>
        <w:t xml:space="preserve">a </w:t>
      </w:r>
      <w:r>
        <w:rPr>
          <w:spacing w:val="15"/>
          <w:sz w:val="16"/>
        </w:rPr>
        <w:t xml:space="preserve">pathway </w:t>
      </w:r>
      <w:r>
        <w:rPr>
          <w:spacing w:val="11"/>
          <w:sz w:val="16"/>
        </w:rPr>
        <w:t xml:space="preserve">for </w:t>
      </w:r>
      <w:r>
        <w:rPr>
          <w:sz w:val="16"/>
        </w:rPr>
        <w:t>humancontamination in a mining area in Brazil. Terrae (Campinas. Impresso),</w:t>
      </w:r>
      <w:r>
        <w:rPr>
          <w:spacing w:val="16"/>
          <w:sz w:val="16"/>
        </w:rPr>
        <w:t xml:space="preserve"> </w:t>
      </w:r>
      <w:r>
        <w:rPr>
          <w:sz w:val="16"/>
        </w:rPr>
        <w:t>v.</w:t>
      </w:r>
      <w:r>
        <w:rPr>
          <w:spacing w:val="16"/>
          <w:sz w:val="16"/>
        </w:rPr>
        <w:t xml:space="preserve"> </w:t>
      </w:r>
      <w:r>
        <w:rPr>
          <w:sz w:val="16"/>
        </w:rPr>
        <w:t>7(1</w:t>
      </w:r>
      <w:r>
        <w:rPr>
          <w:sz w:val="16"/>
        </w:rPr>
        <w:t>-2),</w:t>
      </w:r>
      <w:r>
        <w:rPr>
          <w:spacing w:val="16"/>
          <w:sz w:val="16"/>
        </w:rPr>
        <w:t xml:space="preserve"> </w:t>
      </w:r>
      <w:r>
        <w:rPr>
          <w:sz w:val="16"/>
        </w:rPr>
        <w:t>p.</w:t>
      </w:r>
      <w:r>
        <w:rPr>
          <w:spacing w:val="16"/>
          <w:sz w:val="16"/>
        </w:rPr>
        <w:t xml:space="preserve"> </w:t>
      </w:r>
      <w:r>
        <w:rPr>
          <w:sz w:val="16"/>
        </w:rPr>
        <w:t>3-13,</w:t>
      </w:r>
      <w:r>
        <w:rPr>
          <w:spacing w:val="16"/>
          <w:sz w:val="16"/>
        </w:rPr>
        <w:t xml:space="preserve"> </w:t>
      </w:r>
      <w:r>
        <w:rPr>
          <w:sz w:val="16"/>
        </w:rPr>
        <w:t>2010.</w:t>
      </w:r>
    </w:p>
    <w:p w:rsidR="00D81F69" w:rsidRDefault="00330118">
      <w:pPr>
        <w:spacing w:before="4" w:line="312" w:lineRule="auto"/>
        <w:ind w:left="100" w:right="195"/>
        <w:jc w:val="both"/>
        <w:rPr>
          <w:sz w:val="16"/>
        </w:rPr>
      </w:pPr>
      <w:r>
        <w:rPr>
          <w:sz w:val="16"/>
        </w:rPr>
        <w:t>LOPES Jr, Idio; FIGUEIREDO, Bernardino Ribeiro; ENZWEILER, Jacinta; VENDEMIATTO, Maria Aparecida. Chumbo e arsênio nos sedimentos do rio Ribeira e de Iguape, SP/PR. In: SILVA, Cássio Roberto; FIGUEIREDO, Bernardino Ribeiro; CAPITANI, Ed</w:t>
      </w:r>
      <w:r>
        <w:rPr>
          <w:sz w:val="16"/>
        </w:rPr>
        <w:t>uardo Mello; CUNHA, Fernanda Gonçalves. Geologia Médica no Brasil. Rio de Janeiro: CPRM – Serviço Geológico do Brasil, 2006.</w:t>
      </w:r>
    </w:p>
    <w:p w:rsidR="00D81F69" w:rsidRDefault="00330118">
      <w:pPr>
        <w:tabs>
          <w:tab w:val="left" w:pos="1205"/>
          <w:tab w:val="left" w:pos="2500"/>
          <w:tab w:val="left" w:pos="4642"/>
        </w:tabs>
        <w:spacing w:before="5" w:line="312" w:lineRule="auto"/>
        <w:ind w:left="100" w:right="199"/>
        <w:jc w:val="both"/>
        <w:rPr>
          <w:sz w:val="16"/>
        </w:rPr>
      </w:pPr>
      <w:r>
        <w:rPr>
          <w:sz w:val="16"/>
        </w:rPr>
        <w:t xml:space="preserve">MP-PR. Ministério Público do Estado do Paraná. Técnicos discutem contaminação de chumbo no Vale do Ribeira. Relatório. Paraná, 12  </w:t>
      </w:r>
      <w:r>
        <w:rPr>
          <w:sz w:val="16"/>
        </w:rPr>
        <w:t xml:space="preserve"> a  g </w:t>
      </w:r>
      <w:r>
        <w:rPr>
          <w:spacing w:val="20"/>
          <w:sz w:val="16"/>
        </w:rPr>
        <w:t xml:space="preserve"> </w:t>
      </w:r>
      <w:r>
        <w:rPr>
          <w:sz w:val="16"/>
        </w:rPr>
        <w:t xml:space="preserve">o </w:t>
      </w:r>
      <w:r>
        <w:rPr>
          <w:spacing w:val="10"/>
          <w:sz w:val="16"/>
        </w:rPr>
        <w:t xml:space="preserve"> </w:t>
      </w:r>
      <w:r>
        <w:rPr>
          <w:sz w:val="16"/>
        </w:rPr>
        <w:t>.</w:t>
      </w:r>
      <w:r>
        <w:rPr>
          <w:sz w:val="16"/>
        </w:rPr>
        <w:tab/>
        <w:t xml:space="preserve">2  0  0 </w:t>
      </w:r>
      <w:r>
        <w:rPr>
          <w:spacing w:val="31"/>
          <w:sz w:val="16"/>
        </w:rPr>
        <w:t xml:space="preserve"> </w:t>
      </w:r>
      <w:r>
        <w:rPr>
          <w:sz w:val="16"/>
        </w:rPr>
        <w:t xml:space="preserve">9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0"/>
          <w:sz w:val="16"/>
        </w:rPr>
        <w:t xml:space="preserve"> </w:t>
      </w:r>
      <w:r>
        <w:rPr>
          <w:sz w:val="16"/>
        </w:rPr>
        <w:t>:</w:t>
      </w:r>
    </w:p>
    <w:p w:rsidR="00D81F69" w:rsidRDefault="00D81F69">
      <w:pPr>
        <w:spacing w:before="2"/>
        <w:ind w:left="100"/>
        <w:rPr>
          <w:sz w:val="16"/>
        </w:rPr>
      </w:pPr>
      <w:hyperlink r:id="rId1680">
        <w:r w:rsidR="00330118">
          <w:rPr>
            <w:sz w:val="16"/>
          </w:rPr>
          <w:t>&lt;http://www.mp.pr.gov.br/modules/noticias/makepdf.php?storyid=298</w:t>
        </w:r>
      </w:hyperlink>
    </w:p>
    <w:p w:rsidR="00D81F69" w:rsidRDefault="00330118">
      <w:pPr>
        <w:spacing w:before="56"/>
        <w:ind w:left="100"/>
        <w:rPr>
          <w:sz w:val="16"/>
        </w:rPr>
      </w:pPr>
      <w:r>
        <w:rPr>
          <w:sz w:val="16"/>
        </w:rPr>
        <w:t>&gt;. Acesso em: 4 mar. 2010.</w:t>
      </w:r>
    </w:p>
    <w:p w:rsidR="00D81F69" w:rsidRDefault="00330118">
      <w:pPr>
        <w:spacing w:before="56"/>
        <w:ind w:left="100"/>
        <w:rPr>
          <w:sz w:val="16"/>
        </w:rPr>
      </w:pPr>
      <w:r>
        <w:rPr>
          <w:sz w:val="16"/>
        </w:rPr>
        <w:t>MAPA DA INJUSTIÇA AMBIENTAL E SAÚDE NO BRASIL. Após</w:t>
      </w:r>
    </w:p>
    <w:p w:rsidR="00D81F69" w:rsidRDefault="00330118">
      <w:pPr>
        <w:tabs>
          <w:tab w:val="left" w:pos="4331"/>
        </w:tabs>
        <w:spacing w:before="56" w:line="312" w:lineRule="auto"/>
        <w:ind w:left="100" w:right="196"/>
        <w:jc w:val="both"/>
        <w:rPr>
          <w:sz w:val="16"/>
        </w:rPr>
      </w:pPr>
      <w:r>
        <w:rPr>
          <w:spacing w:val="1"/>
          <w:sz w:val="16"/>
        </w:rPr>
        <w:t xml:space="preserve">“prosperidade”, exploração </w:t>
      </w:r>
      <w:r>
        <w:rPr>
          <w:sz w:val="16"/>
        </w:rPr>
        <w:t xml:space="preserve">do </w:t>
      </w:r>
      <w:r>
        <w:rPr>
          <w:spacing w:val="1"/>
          <w:sz w:val="16"/>
        </w:rPr>
        <w:t xml:space="preserve">chumbo </w:t>
      </w:r>
      <w:r>
        <w:rPr>
          <w:sz w:val="16"/>
        </w:rPr>
        <w:t xml:space="preserve">e </w:t>
      </w:r>
      <w:r>
        <w:rPr>
          <w:spacing w:val="1"/>
          <w:sz w:val="16"/>
        </w:rPr>
        <w:t xml:space="preserve">prata </w:t>
      </w:r>
      <w:r>
        <w:rPr>
          <w:sz w:val="16"/>
        </w:rPr>
        <w:t xml:space="preserve">em </w:t>
      </w:r>
      <w:r>
        <w:rPr>
          <w:spacing w:val="1"/>
          <w:sz w:val="16"/>
        </w:rPr>
        <w:t xml:space="preserve">Adrianópolis </w:t>
      </w:r>
      <w:r>
        <w:rPr>
          <w:sz w:val="16"/>
        </w:rPr>
        <w:t xml:space="preserve">e adjacências gera passivo ambiental e contaminação, 06 dez. 2009.   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3" w:line="312" w:lineRule="auto"/>
        <w:ind w:left="100" w:right="159"/>
        <w:rPr>
          <w:sz w:val="16"/>
        </w:rPr>
      </w:pPr>
      <w:hyperlink r:id="rId1681">
        <w:r w:rsidR="00330118">
          <w:rPr>
            <w:sz w:val="16"/>
          </w:rPr>
          <w:t>&lt;http://www.conflitoambiental.icict.fiocruz.br/index.php?pag=ficha&amp;co</w:t>
        </w:r>
      </w:hyperlink>
      <w:r w:rsidR="00330118">
        <w:rPr>
          <w:sz w:val="16"/>
        </w:rPr>
        <w:t xml:space="preserve"> d=166&gt;. Acesso em: 21 nov. 2011.</w:t>
      </w:r>
    </w:p>
    <w:p w:rsidR="00D81F69" w:rsidRDefault="00330118">
      <w:pPr>
        <w:spacing w:before="2" w:line="312" w:lineRule="auto"/>
        <w:ind w:left="100" w:right="159"/>
        <w:rPr>
          <w:sz w:val="16"/>
        </w:rPr>
      </w:pPr>
      <w:r>
        <w:rPr>
          <w:spacing w:val="3"/>
          <w:sz w:val="16"/>
        </w:rPr>
        <w:t xml:space="preserve">PARANÁ.EXTRA.COM.BR. </w:t>
      </w:r>
      <w:r>
        <w:rPr>
          <w:spacing w:val="1"/>
          <w:sz w:val="16"/>
        </w:rPr>
        <w:t xml:space="preserve">MP </w:t>
      </w:r>
      <w:r>
        <w:rPr>
          <w:spacing w:val="3"/>
          <w:sz w:val="16"/>
        </w:rPr>
        <w:t xml:space="preserve">anuncia liminar contra danos </w:t>
      </w:r>
      <w:r>
        <w:rPr>
          <w:spacing w:val="5"/>
          <w:sz w:val="16"/>
        </w:rPr>
        <w:t xml:space="preserve">por </w:t>
      </w:r>
      <w:r>
        <w:rPr>
          <w:spacing w:val="17"/>
          <w:sz w:val="16"/>
        </w:rPr>
        <w:t xml:space="preserve">chumbo: </w:t>
      </w:r>
      <w:r>
        <w:rPr>
          <w:spacing w:val="20"/>
          <w:sz w:val="16"/>
        </w:rPr>
        <w:t xml:space="preserve">Adrianópolis, </w:t>
      </w:r>
      <w:r>
        <w:rPr>
          <w:spacing w:val="10"/>
          <w:sz w:val="16"/>
        </w:rPr>
        <w:t>06</w:t>
      </w:r>
      <w:r>
        <w:rPr>
          <w:spacing w:val="65"/>
          <w:sz w:val="16"/>
        </w:rPr>
        <w:t xml:space="preserve"> </w:t>
      </w:r>
      <w:r>
        <w:rPr>
          <w:spacing w:val="15"/>
          <w:sz w:val="16"/>
        </w:rPr>
        <w:t>jun.</w:t>
      </w:r>
      <w:r>
        <w:rPr>
          <w:spacing w:val="75"/>
          <w:sz w:val="16"/>
        </w:rPr>
        <w:t xml:space="preserve"> </w:t>
      </w:r>
      <w:r>
        <w:rPr>
          <w:spacing w:val="20"/>
          <w:sz w:val="16"/>
        </w:rPr>
        <w:t xml:space="preserve">2011.Disponível </w:t>
      </w:r>
      <w:r>
        <w:rPr>
          <w:spacing w:val="13"/>
          <w:sz w:val="16"/>
        </w:rPr>
        <w:t>em:</w:t>
      </w:r>
      <w:r>
        <w:rPr>
          <w:spacing w:val="-22"/>
          <w:sz w:val="16"/>
        </w:rPr>
        <w:t xml:space="preserve"> </w:t>
      </w:r>
    </w:p>
    <w:p w:rsidR="00D81F69" w:rsidRDefault="00D81F69">
      <w:pPr>
        <w:spacing w:before="1" w:line="312" w:lineRule="auto"/>
        <w:ind w:left="100" w:right="212"/>
        <w:rPr>
          <w:sz w:val="16"/>
        </w:rPr>
      </w:pPr>
      <w:hyperlink r:id="rId1682">
        <w:r w:rsidR="00330118">
          <w:rPr>
            <w:sz w:val="16"/>
          </w:rPr>
          <w:t>&lt;http://paranaextra.com.br/2011/06/06/mp-anuncia-liminar-contra-</w:t>
        </w:r>
      </w:hyperlink>
      <w:r w:rsidR="00330118">
        <w:rPr>
          <w:sz w:val="16"/>
        </w:rPr>
        <w:t xml:space="preserve"> danos-por-chumbo-adrianopolis/&gt;. Acesso em: 22 nov. 2011.</w:t>
      </w:r>
    </w:p>
    <w:p w:rsidR="00D81F69" w:rsidRDefault="00330118">
      <w:pPr>
        <w:spacing w:before="2" w:line="312" w:lineRule="auto"/>
        <w:ind w:left="100" w:right="184"/>
        <w:jc w:val="both"/>
        <w:rPr>
          <w:sz w:val="16"/>
        </w:rPr>
      </w:pPr>
      <w:r>
        <w:rPr>
          <w:sz w:val="16"/>
        </w:rPr>
        <w:t>SAKUMA, Alice Momoyo; CAPITANI, Eduardo Mello de; FIGUEIREDO, Bernardino Ribeiro; MAIO, Franca Durante de; PAOLIELLO, Monica Maria Bastos; CUNHA, Fernanda Gonçalves da; DURAN, Maria Cristina. Avaliação da exposição de crianças ao arsênio em área de mineraç</w:t>
      </w:r>
      <w:r>
        <w:rPr>
          <w:sz w:val="16"/>
        </w:rPr>
        <w:t>ão de chumbo na Região Sudeste do Brasil. Cad. Saúde Pública [online]. 2010, v.26, n.2, p. 391-398.</w:t>
      </w:r>
    </w:p>
    <w:p w:rsidR="00D81F69" w:rsidRDefault="00D81F69">
      <w:pPr>
        <w:spacing w:line="312" w:lineRule="auto"/>
        <w:jc w:val="both"/>
        <w:rPr>
          <w:sz w:val="16"/>
        </w:rPr>
        <w:sectPr w:rsidR="00D81F69">
          <w:pgSz w:w="11900" w:h="16840"/>
          <w:pgMar w:top="740" w:right="500" w:bottom="660" w:left="620" w:header="0" w:footer="402" w:gutter="0"/>
          <w:cols w:num="2" w:space="720" w:equalWidth="0">
            <w:col w:w="5158" w:space="312"/>
            <w:col w:w="5310"/>
          </w:cols>
        </w:sectPr>
      </w:pPr>
    </w:p>
    <w:p w:rsidR="00D81F69" w:rsidRDefault="00330118">
      <w:pPr>
        <w:pStyle w:val="Heading1"/>
        <w:tabs>
          <w:tab w:val="left" w:pos="2679"/>
          <w:tab w:val="left" w:pos="2811"/>
          <w:tab w:val="left" w:pos="3383"/>
          <w:tab w:val="left" w:pos="5268"/>
          <w:tab w:val="left" w:pos="5523"/>
          <w:tab w:val="left" w:pos="6084"/>
          <w:tab w:val="left" w:pos="7253"/>
          <w:tab w:val="left" w:pos="7390"/>
          <w:tab w:val="left" w:pos="7690"/>
          <w:tab w:val="left" w:pos="8095"/>
          <w:tab w:val="left" w:pos="9425"/>
          <w:tab w:val="left" w:pos="10069"/>
        </w:tabs>
        <w:spacing w:line="208" w:lineRule="auto"/>
        <w:ind w:right="196"/>
      </w:pPr>
      <w:r>
        <w:rPr>
          <w:spacing w:val="20"/>
        </w:rPr>
        <w:lastRenderedPageBreak/>
        <w:t>Mobilização</w:t>
      </w:r>
      <w:r>
        <w:rPr>
          <w:spacing w:val="20"/>
        </w:rPr>
        <w:tab/>
      </w:r>
      <w:r>
        <w:rPr>
          <w:spacing w:val="20"/>
        </w:rPr>
        <w:tab/>
        <w:t>comunitária</w:t>
      </w:r>
      <w:r>
        <w:rPr>
          <w:spacing w:val="20"/>
        </w:rPr>
        <w:tab/>
      </w:r>
      <w:r>
        <w:rPr>
          <w:spacing w:val="17"/>
        </w:rPr>
        <w:t>impede</w:t>
      </w:r>
      <w:r>
        <w:rPr>
          <w:spacing w:val="17"/>
        </w:rPr>
        <w:tab/>
      </w:r>
      <w:r>
        <w:t>a</w:t>
      </w:r>
      <w:r>
        <w:tab/>
      </w:r>
      <w:r>
        <w:rPr>
          <w:spacing w:val="18"/>
        </w:rPr>
        <w:t>instalação</w:t>
      </w:r>
      <w:r>
        <w:rPr>
          <w:spacing w:val="18"/>
        </w:rPr>
        <w:tab/>
      </w:r>
      <w:r>
        <w:rPr>
          <w:spacing w:val="21"/>
        </w:rPr>
        <w:t xml:space="preserve">de </w:t>
      </w:r>
      <w:r>
        <w:rPr>
          <w:spacing w:val="20"/>
        </w:rPr>
        <w:t>recicladora</w:t>
      </w:r>
      <w:r>
        <w:rPr>
          <w:spacing w:val="20"/>
        </w:rPr>
        <w:tab/>
      </w:r>
      <w:r>
        <w:rPr>
          <w:spacing w:val="10"/>
        </w:rPr>
        <w:t>de</w:t>
      </w:r>
      <w:r>
        <w:rPr>
          <w:spacing w:val="10"/>
        </w:rPr>
        <w:tab/>
      </w:r>
      <w:r>
        <w:rPr>
          <w:spacing w:val="17"/>
        </w:rPr>
        <w:t>chumbo</w:t>
      </w:r>
      <w:r>
        <w:rPr>
          <w:spacing w:val="17"/>
        </w:rPr>
        <w:tab/>
      </w:r>
      <w:r>
        <w:rPr>
          <w:spacing w:val="10"/>
        </w:rPr>
        <w:t>em</w:t>
      </w:r>
      <w:r>
        <w:rPr>
          <w:spacing w:val="10"/>
        </w:rPr>
        <w:tab/>
      </w:r>
      <w:r>
        <w:rPr>
          <w:spacing w:val="15"/>
        </w:rPr>
        <w:t>Mauá</w:t>
      </w:r>
      <w:r>
        <w:rPr>
          <w:spacing w:val="15"/>
        </w:rPr>
        <w:tab/>
      </w:r>
      <w:r>
        <w:rPr>
          <w:spacing w:val="15"/>
        </w:rPr>
        <w:tab/>
      </w:r>
      <w:r>
        <w:rPr>
          <w:spacing w:val="10"/>
        </w:rPr>
        <w:t>da</w:t>
      </w:r>
      <w:r>
        <w:rPr>
          <w:spacing w:val="10"/>
        </w:rPr>
        <w:tab/>
      </w:r>
      <w:r>
        <w:rPr>
          <w:spacing w:val="16"/>
        </w:rPr>
        <w:t>Serra</w:t>
      </w:r>
      <w:r>
        <w:rPr>
          <w:spacing w:val="16"/>
        </w:rPr>
        <w:tab/>
      </w:r>
      <w:r>
        <w:rPr>
          <w:spacing w:val="21"/>
        </w:rPr>
        <w:t>(PR)</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7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PR - Mauá da Serra</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-23,9916</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-51,2763</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7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A </w:t>
      </w:r>
      <w:r>
        <w:rPr>
          <w:i/>
          <w:spacing w:val="10"/>
          <w:sz w:val="16"/>
        </w:rPr>
        <w:t xml:space="preserve">tentativa </w:t>
      </w:r>
      <w:r>
        <w:rPr>
          <w:i/>
          <w:spacing w:val="5"/>
          <w:sz w:val="16"/>
        </w:rPr>
        <w:t xml:space="preserve">de </w:t>
      </w:r>
      <w:r>
        <w:rPr>
          <w:i/>
          <w:spacing w:val="10"/>
          <w:sz w:val="16"/>
        </w:rPr>
        <w:t xml:space="preserve">instalação </w:t>
      </w:r>
      <w:r>
        <w:rPr>
          <w:i/>
          <w:spacing w:val="5"/>
          <w:sz w:val="16"/>
        </w:rPr>
        <w:t xml:space="preserve">de </w:t>
      </w:r>
      <w:r>
        <w:rPr>
          <w:i/>
          <w:spacing w:val="11"/>
          <w:sz w:val="16"/>
        </w:rPr>
        <w:t xml:space="preserve">uma </w:t>
      </w:r>
      <w:r>
        <w:rPr>
          <w:i/>
          <w:sz w:val="16"/>
        </w:rPr>
        <w:t xml:space="preserve">recicladora de chumbo no município de </w:t>
      </w:r>
      <w:r>
        <w:rPr>
          <w:i/>
          <w:spacing w:val="8"/>
          <w:sz w:val="16"/>
        </w:rPr>
        <w:t xml:space="preserve">Mauá </w:t>
      </w:r>
      <w:r>
        <w:rPr>
          <w:i/>
          <w:spacing w:val="5"/>
          <w:sz w:val="16"/>
        </w:rPr>
        <w:t xml:space="preserve">da </w:t>
      </w:r>
      <w:r>
        <w:rPr>
          <w:i/>
          <w:spacing w:val="8"/>
          <w:sz w:val="16"/>
        </w:rPr>
        <w:t xml:space="preserve">Serra teve </w:t>
      </w:r>
      <w:r>
        <w:rPr>
          <w:i/>
          <w:spacing w:val="5"/>
          <w:sz w:val="16"/>
        </w:rPr>
        <w:t xml:space="preserve">um </w:t>
      </w:r>
      <w:r>
        <w:rPr>
          <w:i/>
          <w:spacing w:val="11"/>
          <w:sz w:val="16"/>
        </w:rPr>
        <w:t xml:space="preserve">desfecho </w:t>
      </w:r>
      <w:r>
        <w:rPr>
          <w:i/>
          <w:spacing w:val="7"/>
          <w:sz w:val="16"/>
        </w:rPr>
        <w:t xml:space="preserve">incomum. Quando percebeu </w:t>
      </w:r>
      <w:r>
        <w:rPr>
          <w:i/>
          <w:spacing w:val="5"/>
          <w:sz w:val="16"/>
        </w:rPr>
        <w:t xml:space="preserve">que </w:t>
      </w:r>
      <w:r>
        <w:rPr>
          <w:i/>
          <w:sz w:val="16"/>
        </w:rPr>
        <w:t xml:space="preserve">a </w:t>
      </w:r>
      <w:r>
        <w:rPr>
          <w:i/>
          <w:spacing w:val="3"/>
          <w:sz w:val="16"/>
        </w:rPr>
        <w:t xml:space="preserve">Metalúrgica </w:t>
      </w:r>
      <w:r>
        <w:rPr>
          <w:i/>
          <w:spacing w:val="2"/>
          <w:sz w:val="16"/>
        </w:rPr>
        <w:t xml:space="preserve">CPG </w:t>
      </w:r>
      <w:r>
        <w:rPr>
          <w:i/>
          <w:spacing w:val="3"/>
          <w:sz w:val="16"/>
        </w:rPr>
        <w:t xml:space="preserve">Ltda. </w:t>
      </w:r>
      <w:r>
        <w:rPr>
          <w:i/>
          <w:sz w:val="16"/>
        </w:rPr>
        <w:t xml:space="preserve">– </w:t>
      </w:r>
      <w:r>
        <w:rPr>
          <w:i/>
          <w:spacing w:val="2"/>
          <w:sz w:val="16"/>
        </w:rPr>
        <w:t xml:space="preserve">que </w:t>
      </w:r>
      <w:r>
        <w:rPr>
          <w:i/>
          <w:spacing w:val="5"/>
          <w:sz w:val="16"/>
        </w:rPr>
        <w:t xml:space="preserve">possuía </w:t>
      </w:r>
      <w:r>
        <w:rPr>
          <w:i/>
          <w:sz w:val="16"/>
        </w:rPr>
        <w:t xml:space="preserve">licença de operação – não iria cumprir  as medidas de seguranças necessárias, a população local e os índios da região </w:t>
      </w:r>
      <w:r>
        <w:rPr>
          <w:i/>
          <w:spacing w:val="10"/>
          <w:sz w:val="16"/>
        </w:rPr>
        <w:t>se</w:t>
      </w:r>
      <w:r>
        <w:rPr>
          <w:i/>
          <w:spacing w:val="65"/>
          <w:sz w:val="16"/>
        </w:rPr>
        <w:t xml:space="preserve"> </w:t>
      </w:r>
      <w:r>
        <w:rPr>
          <w:i/>
          <w:spacing w:val="20"/>
          <w:sz w:val="16"/>
        </w:rPr>
        <w:t xml:space="preserve">mobilizaram </w:t>
      </w:r>
      <w:r>
        <w:rPr>
          <w:i/>
          <w:spacing w:val="15"/>
          <w:sz w:val="16"/>
        </w:rPr>
        <w:t>para</w:t>
      </w:r>
      <w:r>
        <w:rPr>
          <w:i/>
          <w:spacing w:val="75"/>
          <w:sz w:val="16"/>
        </w:rPr>
        <w:t xml:space="preserve"> </w:t>
      </w:r>
      <w:r>
        <w:rPr>
          <w:i/>
          <w:spacing w:val="17"/>
          <w:sz w:val="16"/>
        </w:rPr>
        <w:t xml:space="preserve">barrar </w:t>
      </w:r>
      <w:r>
        <w:rPr>
          <w:i/>
          <w:sz w:val="16"/>
        </w:rPr>
        <w:t>o empreendimento. A Justiça suspendeu a licença da</w:t>
      </w:r>
      <w:r>
        <w:rPr>
          <w:i/>
          <w:spacing w:val="2"/>
          <w:sz w:val="16"/>
        </w:rPr>
        <w:t xml:space="preserve"> </w:t>
      </w:r>
      <w:r>
        <w:rPr>
          <w:i/>
          <w:sz w:val="16"/>
        </w:rPr>
        <w:t>recicladora.</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7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95"/>
      </w:pPr>
      <w:r>
        <w:t>empresa tinha cumprido todos os seus devere</w:t>
      </w:r>
      <w:r>
        <w:t xml:space="preserve">s e obrigações, </w:t>
      </w:r>
      <w:r>
        <w:rPr>
          <w:spacing w:val="3"/>
        </w:rPr>
        <w:t xml:space="preserve">dentro </w:t>
      </w:r>
      <w:r>
        <w:rPr>
          <w:spacing w:val="1"/>
        </w:rPr>
        <w:t xml:space="preserve">de </w:t>
      </w:r>
      <w:r>
        <w:rPr>
          <w:spacing w:val="2"/>
        </w:rPr>
        <w:t xml:space="preserve">suas </w:t>
      </w:r>
      <w:r>
        <w:rPr>
          <w:spacing w:val="3"/>
        </w:rPr>
        <w:t xml:space="preserve">possibilidades econômicas, </w:t>
      </w:r>
      <w:r>
        <w:t xml:space="preserve">e </w:t>
      </w:r>
      <w:r>
        <w:rPr>
          <w:spacing w:val="3"/>
        </w:rPr>
        <w:t xml:space="preserve">também </w:t>
      </w:r>
      <w:r>
        <w:rPr>
          <w:spacing w:val="5"/>
        </w:rPr>
        <w:t xml:space="preserve">as </w:t>
      </w:r>
      <w:r>
        <w:t xml:space="preserve">exigências legais. Porém, o diretor da Associação Nacional de </w:t>
      </w:r>
      <w:r>
        <w:rPr>
          <w:spacing w:val="5"/>
        </w:rPr>
        <w:t xml:space="preserve">Defesa </w:t>
      </w:r>
      <w:r>
        <w:rPr>
          <w:spacing w:val="3"/>
        </w:rPr>
        <w:t xml:space="preserve">do </w:t>
      </w:r>
      <w:r>
        <w:rPr>
          <w:spacing w:val="6"/>
        </w:rPr>
        <w:t xml:space="preserve">Consumidor </w:t>
      </w:r>
      <w:r>
        <w:t xml:space="preserve">e </w:t>
      </w:r>
      <w:r>
        <w:rPr>
          <w:spacing w:val="6"/>
        </w:rPr>
        <w:t xml:space="preserve">Cidadania (Andec), </w:t>
      </w:r>
      <w:r>
        <w:rPr>
          <w:spacing w:val="7"/>
        </w:rPr>
        <w:t xml:space="preserve">Fernando </w:t>
      </w:r>
      <w:r>
        <w:t xml:space="preserve">Monteiro, questionava a capacidade econômica de a empresa de </w:t>
      </w:r>
      <w:r>
        <w:rPr>
          <w:spacing w:val="1"/>
        </w:rPr>
        <w:t xml:space="preserve">arcar </w:t>
      </w:r>
      <w:r>
        <w:t xml:space="preserve">com as </w:t>
      </w:r>
      <w:r>
        <w:rPr>
          <w:spacing w:val="1"/>
        </w:rPr>
        <w:t xml:space="preserve">medidas </w:t>
      </w:r>
      <w:r>
        <w:t xml:space="preserve">de </w:t>
      </w:r>
      <w:r>
        <w:rPr>
          <w:spacing w:val="1"/>
        </w:rPr>
        <w:t xml:space="preserve">seguranças necessárias, </w:t>
      </w:r>
      <w:r>
        <w:rPr>
          <w:spacing w:val="2"/>
        </w:rPr>
        <w:t xml:space="preserve">que </w:t>
      </w:r>
      <w:r>
        <w:t xml:space="preserve">têm um custo milionário, incompatível com seu capital social, o qual segundo documentos emitidos pela Junta Comercial é </w:t>
      </w:r>
      <w:r>
        <w:rPr>
          <w:spacing w:val="2"/>
        </w:rPr>
        <w:t xml:space="preserve">de R$ </w:t>
      </w:r>
      <w:r>
        <w:rPr>
          <w:spacing w:val="3"/>
        </w:rPr>
        <w:t xml:space="preserve">100 </w:t>
      </w:r>
      <w:r>
        <w:rPr>
          <w:spacing w:val="5"/>
        </w:rPr>
        <w:t xml:space="preserve">mil. Segundo ele, mesmo </w:t>
      </w:r>
      <w:r>
        <w:rPr>
          <w:spacing w:val="3"/>
        </w:rPr>
        <w:t xml:space="preserve">com </w:t>
      </w:r>
      <w:r>
        <w:rPr>
          <w:spacing w:val="5"/>
        </w:rPr>
        <w:t xml:space="preserve">todo </w:t>
      </w:r>
      <w:r>
        <w:rPr>
          <w:spacing w:val="6"/>
        </w:rPr>
        <w:t xml:space="preserve">aparato </w:t>
      </w:r>
      <w:r>
        <w:t>tecnológico de filtros, a empresa não d</w:t>
      </w:r>
      <w:r>
        <w:t>aria conta de conter o espalhamento do material (MARTONI,</w:t>
      </w:r>
      <w:r>
        <w:rPr>
          <w:spacing w:val="36"/>
        </w:rPr>
        <w:t xml:space="preserve"> </w:t>
      </w:r>
      <w:r>
        <w:t>2008a).</w:t>
      </w:r>
    </w:p>
    <w:p w:rsidR="00D81F69" w:rsidRDefault="00330118">
      <w:pPr>
        <w:pStyle w:val="Corpodetexto"/>
        <w:spacing w:before="140"/>
        <w:ind w:left="135"/>
      </w:pPr>
      <w:r>
        <w:t>Segundo informações dos técnicos da Coapma, que fizeram a</w:t>
      </w:r>
    </w:p>
    <w:p w:rsidR="00D81F69" w:rsidRDefault="00D81F69">
      <w:pPr>
        <w:sectPr w:rsidR="00D81F69">
          <w:type w:val="continuous"/>
          <w:pgSz w:w="11900" w:h="16840"/>
          <w:pgMar w:top="720" w:right="500" w:bottom="280" w:left="620" w:header="720" w:footer="720" w:gutter="0"/>
          <w:cols w:num="3" w:space="720" w:equalWidth="0">
            <w:col w:w="1420" w:space="580"/>
            <w:col w:w="3115" w:space="320"/>
            <w:col w:w="5345"/>
          </w:cols>
        </w:sectPr>
      </w:pPr>
    </w:p>
    <w:p w:rsidR="00D81F69" w:rsidRDefault="00330118">
      <w:pPr>
        <w:pStyle w:val="Heading4"/>
        <w:spacing w:before="116"/>
        <w:jc w:val="left"/>
      </w:pPr>
      <w:r>
        <w:lastRenderedPageBreak/>
        <w:t>APRESENTAÇÃO DE CASO</w:t>
      </w:r>
    </w:p>
    <w:p w:rsidR="00D81F69" w:rsidRDefault="00330118">
      <w:pPr>
        <w:pStyle w:val="Corpodetexto"/>
        <w:spacing w:before="171" w:line="312" w:lineRule="auto"/>
        <w:ind w:right="79"/>
      </w:pPr>
      <w:r>
        <w:t xml:space="preserve">O município de Mauá da Serra, no Paraná, enfrentou grande </w:t>
      </w:r>
      <w:r>
        <w:rPr>
          <w:spacing w:val="6"/>
        </w:rPr>
        <w:t xml:space="preserve">apreensão </w:t>
      </w:r>
      <w:r>
        <w:rPr>
          <w:spacing w:val="5"/>
        </w:rPr>
        <w:t xml:space="preserve">frente </w:t>
      </w:r>
      <w:r>
        <w:t xml:space="preserve">à </w:t>
      </w:r>
      <w:r>
        <w:rPr>
          <w:spacing w:val="6"/>
        </w:rPr>
        <w:t xml:space="preserve">possibilidade </w:t>
      </w:r>
      <w:r>
        <w:rPr>
          <w:spacing w:val="3"/>
        </w:rPr>
        <w:t xml:space="preserve">de </w:t>
      </w:r>
      <w:r>
        <w:rPr>
          <w:spacing w:val="6"/>
        </w:rPr>
        <w:t xml:space="preserve">instalação </w:t>
      </w:r>
      <w:r>
        <w:rPr>
          <w:spacing w:val="3"/>
        </w:rPr>
        <w:t xml:space="preserve">de </w:t>
      </w:r>
      <w:r>
        <w:rPr>
          <w:spacing w:val="7"/>
        </w:rPr>
        <w:t xml:space="preserve">uma </w:t>
      </w:r>
      <w:r>
        <w:rPr>
          <w:spacing w:val="3"/>
        </w:rPr>
        <w:t xml:space="preserve">indústria recicladora </w:t>
      </w:r>
      <w:r>
        <w:rPr>
          <w:spacing w:val="1"/>
        </w:rPr>
        <w:t xml:space="preserve">de </w:t>
      </w:r>
      <w:hyperlink r:id="rId1683">
        <w:r>
          <w:rPr>
            <w:spacing w:val="3"/>
          </w:rPr>
          <w:t xml:space="preserve">chumbo </w:t>
        </w:r>
      </w:hyperlink>
      <w:r>
        <w:rPr>
          <w:spacing w:val="1"/>
        </w:rPr>
        <w:t xml:space="preserve">na </w:t>
      </w:r>
      <w:r>
        <w:rPr>
          <w:spacing w:val="3"/>
        </w:rPr>
        <w:t xml:space="preserve">cidade. Estudiosos </w:t>
      </w:r>
      <w:r>
        <w:rPr>
          <w:spacing w:val="5"/>
        </w:rPr>
        <w:t xml:space="preserve">da </w:t>
      </w:r>
      <w:r>
        <w:t xml:space="preserve">região temiam pelo início de sua operação devido às </w:t>
      </w:r>
      <w:r>
        <w:rPr>
          <w:spacing w:val="1"/>
        </w:rPr>
        <w:t xml:space="preserve">falhas  </w:t>
      </w:r>
      <w:r>
        <w:t>no projeto de</w:t>
      </w:r>
      <w:r>
        <w:t xml:space="preserve"> proteção ambiental apresentado pela empresa e </w:t>
      </w:r>
      <w:r>
        <w:rPr>
          <w:spacing w:val="3"/>
        </w:rPr>
        <w:t xml:space="preserve">que </w:t>
      </w:r>
      <w:r>
        <w:rPr>
          <w:spacing w:val="5"/>
        </w:rPr>
        <w:t xml:space="preserve">foram desconsideradas pelo Instituto Ambiental </w:t>
      </w:r>
      <w:r>
        <w:rPr>
          <w:spacing w:val="6"/>
        </w:rPr>
        <w:t xml:space="preserve">do </w:t>
      </w:r>
      <w:r>
        <w:rPr>
          <w:spacing w:val="7"/>
        </w:rPr>
        <w:t xml:space="preserve">Paraná (IAP), órgão </w:t>
      </w:r>
      <w:r>
        <w:rPr>
          <w:spacing w:val="8"/>
        </w:rPr>
        <w:t xml:space="preserve">responsável </w:t>
      </w:r>
      <w:r>
        <w:rPr>
          <w:spacing w:val="6"/>
        </w:rPr>
        <w:t xml:space="preserve">pelo </w:t>
      </w:r>
      <w:r>
        <w:rPr>
          <w:spacing w:val="8"/>
        </w:rPr>
        <w:t xml:space="preserve">licenciamento </w:t>
      </w:r>
      <w:r>
        <w:t xml:space="preserve">e </w:t>
      </w:r>
      <w:r>
        <w:rPr>
          <w:spacing w:val="13"/>
        </w:rPr>
        <w:t xml:space="preserve">fiscalização </w:t>
      </w:r>
      <w:r>
        <w:rPr>
          <w:spacing w:val="10"/>
        </w:rPr>
        <w:t xml:space="preserve">dos </w:t>
      </w:r>
      <w:r>
        <w:rPr>
          <w:spacing w:val="13"/>
        </w:rPr>
        <w:t xml:space="preserve">empreendimentos potencialmente </w:t>
      </w:r>
      <w:r>
        <w:rPr>
          <w:spacing w:val="5"/>
        </w:rPr>
        <w:t xml:space="preserve">impactantes </w:t>
      </w:r>
      <w:r>
        <w:rPr>
          <w:spacing w:val="2"/>
        </w:rPr>
        <w:t xml:space="preserve">ao </w:t>
      </w:r>
      <w:r>
        <w:rPr>
          <w:spacing w:val="5"/>
        </w:rPr>
        <w:t xml:space="preserve">meio ambiente (MARTONI, 2008a; </w:t>
      </w:r>
      <w:r>
        <w:rPr>
          <w:spacing w:val="6"/>
        </w:rPr>
        <w:t xml:space="preserve">BEM </w:t>
      </w:r>
      <w:r>
        <w:rPr>
          <w:spacing w:val="5"/>
        </w:rPr>
        <w:t>PARA</w:t>
      </w:r>
      <w:r>
        <w:rPr>
          <w:spacing w:val="5"/>
        </w:rPr>
        <w:t>NÁ,</w:t>
      </w:r>
      <w:r>
        <w:rPr>
          <w:spacing w:val="35"/>
        </w:rPr>
        <w:t xml:space="preserve"> </w:t>
      </w:r>
      <w:r>
        <w:rPr>
          <w:spacing w:val="6"/>
        </w:rPr>
        <w:t>2007a).</w:t>
      </w:r>
    </w:p>
    <w:p w:rsidR="00D81F69" w:rsidRDefault="00330118">
      <w:pPr>
        <w:pStyle w:val="Corpodetexto"/>
        <w:spacing w:before="139" w:line="312" w:lineRule="auto"/>
        <w:ind w:right="38"/>
        <w:jc w:val="left"/>
      </w:pPr>
      <w:r>
        <w:t>Mauá da Serra é um pequeno município com 8.555 habitantes e 108,325 km² (IBGE 2010), situado no norte paranaense, e que faz fronteira com Tamarana, Ortigueira, Faxinal e Marilândia do Sul (MAPA DA INJUSTIÇA AMBIENTAL E SAÚDE NO BRASIL, 2009).</w:t>
      </w:r>
    </w:p>
    <w:p w:rsidR="00D81F69" w:rsidRDefault="00330118">
      <w:pPr>
        <w:pStyle w:val="Corpodetexto"/>
        <w:spacing w:before="135" w:line="312" w:lineRule="auto"/>
        <w:ind w:right="90"/>
      </w:pPr>
      <w:r>
        <w:t>A</w:t>
      </w:r>
      <w:r>
        <w:t xml:space="preserve"> </w:t>
      </w:r>
      <w:r>
        <w:rPr>
          <w:spacing w:val="1"/>
        </w:rPr>
        <w:t xml:space="preserve">empresa responsável pela recicladora </w:t>
      </w:r>
      <w:r>
        <w:t xml:space="preserve">era a </w:t>
      </w:r>
      <w:r>
        <w:rPr>
          <w:spacing w:val="2"/>
        </w:rPr>
        <w:t xml:space="preserve">Metalúrgica </w:t>
      </w:r>
      <w:r>
        <w:t xml:space="preserve">CPG Ltda, que pretendia se instalar na Serra do Cadeado, no divisor das sub-bacias do rio Preto e rio do Meio, afluentes do rio Tibagi, utilizado como manancial de abastecimento público </w:t>
      </w:r>
      <w:r>
        <w:rPr>
          <w:spacing w:val="2"/>
        </w:rPr>
        <w:t xml:space="preserve">de </w:t>
      </w:r>
      <w:r>
        <w:rPr>
          <w:spacing w:val="3"/>
        </w:rPr>
        <w:t xml:space="preserve">água. </w:t>
      </w:r>
      <w:r>
        <w:t xml:space="preserve">A </w:t>
      </w:r>
      <w:r>
        <w:rPr>
          <w:spacing w:val="5"/>
        </w:rPr>
        <w:t>loc</w:t>
      </w:r>
      <w:r>
        <w:rPr>
          <w:spacing w:val="5"/>
        </w:rPr>
        <w:t xml:space="preserve">alização </w:t>
      </w:r>
      <w:r>
        <w:rPr>
          <w:spacing w:val="2"/>
        </w:rPr>
        <w:t xml:space="preserve">no </w:t>
      </w:r>
      <w:r>
        <w:rPr>
          <w:spacing w:val="5"/>
        </w:rPr>
        <w:t>divisor dessas sub-bacias foi</w:t>
      </w:r>
      <w:r>
        <w:rPr>
          <w:spacing w:val="61"/>
        </w:rPr>
        <w:t xml:space="preserve"> </w:t>
      </w:r>
      <w:r>
        <w:t xml:space="preserve">constatada em vistoria feita por técnicos ambientais do Centro de </w:t>
      </w:r>
      <w:r>
        <w:rPr>
          <w:spacing w:val="1"/>
        </w:rPr>
        <w:t xml:space="preserve">Apoio </w:t>
      </w:r>
      <w:r>
        <w:t xml:space="preserve">ao </w:t>
      </w:r>
      <w:r>
        <w:rPr>
          <w:spacing w:val="1"/>
        </w:rPr>
        <w:t xml:space="preserve">Meio Ambiente (Caopma), órgão </w:t>
      </w:r>
      <w:r>
        <w:t xml:space="preserve">do </w:t>
      </w:r>
      <w:r>
        <w:rPr>
          <w:spacing w:val="2"/>
        </w:rPr>
        <w:t xml:space="preserve">Ministério </w:t>
      </w:r>
      <w:r>
        <w:rPr>
          <w:spacing w:val="1"/>
        </w:rPr>
        <w:t>Público</w:t>
      </w:r>
      <w:r>
        <w:t xml:space="preserve"> </w:t>
      </w:r>
      <w:r>
        <w:t xml:space="preserve">do </w:t>
      </w:r>
      <w:r>
        <w:rPr>
          <w:spacing w:val="1"/>
        </w:rPr>
        <w:t>Paraná</w:t>
      </w:r>
      <w:r>
        <w:t xml:space="preserve"> </w:t>
      </w:r>
      <w:r>
        <w:rPr>
          <w:spacing w:val="1"/>
        </w:rPr>
        <w:t>(MP-PR)</w:t>
      </w:r>
      <w:r>
        <w:t xml:space="preserve"> </w:t>
      </w:r>
      <w:r>
        <w:rPr>
          <w:spacing w:val="1"/>
        </w:rPr>
        <w:t>(BEM</w:t>
      </w:r>
      <w:r>
        <w:t xml:space="preserve"> </w:t>
      </w:r>
      <w:r>
        <w:rPr>
          <w:spacing w:val="1"/>
        </w:rPr>
        <w:t>PARANÁ,</w:t>
      </w:r>
      <w:r>
        <w:t xml:space="preserve"> </w:t>
      </w:r>
      <w:r>
        <w:rPr>
          <w:spacing w:val="2"/>
        </w:rPr>
        <w:t>2007b).</w:t>
      </w:r>
    </w:p>
    <w:p w:rsidR="00D81F69" w:rsidRDefault="00330118">
      <w:pPr>
        <w:pStyle w:val="Corpodetexto"/>
        <w:spacing w:before="137" w:line="312" w:lineRule="auto"/>
        <w:ind w:right="75"/>
      </w:pPr>
      <w:r>
        <w:t xml:space="preserve">Em 2007, a empresa tinha licença prévia - que autoriza o local de construção - e licença de instalação - que permite a realização das obras - mas ainda aguardava a de operação, que havia sido suspensa quando a população se insurgiu contra o empreendimento </w:t>
      </w:r>
      <w:r>
        <w:t>(MARTONI, 2008a). No local, já haviam sido construídos um amplo barracão, lagoas para despejos de efluentes industriais e toda a base para instalação de caldeiras, fornos, entre outros equipamentos (BORGES, 2007).</w:t>
      </w:r>
    </w:p>
    <w:p w:rsidR="00D81F69" w:rsidRDefault="00330118">
      <w:pPr>
        <w:pStyle w:val="Corpodetexto"/>
        <w:spacing w:before="138" w:line="312" w:lineRule="auto"/>
        <w:ind w:right="96"/>
      </w:pPr>
      <w:r>
        <w:t>Segundo o relatório encomendado pelo IAP a</w:t>
      </w:r>
      <w:r>
        <w:t xml:space="preserve">os especialistas </w:t>
      </w:r>
      <w:r>
        <w:rPr>
          <w:spacing w:val="1"/>
        </w:rPr>
        <w:t xml:space="preserve">da </w:t>
      </w:r>
      <w:r>
        <w:rPr>
          <w:spacing w:val="3"/>
        </w:rPr>
        <w:t xml:space="preserve">Universidade Estadual </w:t>
      </w:r>
      <w:r>
        <w:rPr>
          <w:spacing w:val="1"/>
        </w:rPr>
        <w:t xml:space="preserve">do </w:t>
      </w:r>
      <w:r>
        <w:rPr>
          <w:spacing w:val="3"/>
        </w:rPr>
        <w:t>Centro-Oeste (Unicentro),</w:t>
      </w:r>
      <w:r>
        <w:rPr>
          <w:spacing w:val="2"/>
        </w:rPr>
        <w:t xml:space="preserve"> </w:t>
      </w:r>
      <w:r>
        <w:t>a</w:t>
      </w:r>
    </w:p>
    <w:p w:rsidR="00D81F69" w:rsidRDefault="00330118">
      <w:pPr>
        <w:pStyle w:val="Corpodetexto"/>
        <w:spacing w:before="63" w:line="312" w:lineRule="auto"/>
        <w:ind w:right="186"/>
      </w:pPr>
      <w:r>
        <w:br w:type="column"/>
      </w:r>
      <w:r>
        <w:lastRenderedPageBreak/>
        <w:t xml:space="preserve">vistoria no local, em 2007, efluentes líquidos seriam gerados </w:t>
      </w:r>
      <w:r>
        <w:rPr>
          <w:spacing w:val="6"/>
        </w:rPr>
        <w:t xml:space="preserve">pela </w:t>
      </w:r>
      <w:r>
        <w:rPr>
          <w:spacing w:val="7"/>
        </w:rPr>
        <w:t xml:space="preserve">atividade </w:t>
      </w:r>
      <w:r>
        <w:rPr>
          <w:spacing w:val="5"/>
        </w:rPr>
        <w:t xml:space="preserve">de </w:t>
      </w:r>
      <w:r>
        <w:rPr>
          <w:spacing w:val="8"/>
        </w:rPr>
        <w:t xml:space="preserve">reciclagem </w:t>
      </w:r>
      <w:r>
        <w:rPr>
          <w:spacing w:val="5"/>
        </w:rPr>
        <w:t xml:space="preserve">de </w:t>
      </w:r>
      <w:r>
        <w:rPr>
          <w:spacing w:val="7"/>
        </w:rPr>
        <w:t xml:space="preserve">baterias </w:t>
      </w:r>
      <w:r>
        <w:rPr>
          <w:spacing w:val="10"/>
        </w:rPr>
        <w:t xml:space="preserve">automotivas. </w:t>
      </w:r>
      <w:r>
        <w:rPr>
          <w:spacing w:val="7"/>
        </w:rPr>
        <w:t xml:space="preserve">Também seriam lançados gases </w:t>
      </w:r>
      <w:r>
        <w:rPr>
          <w:spacing w:val="5"/>
        </w:rPr>
        <w:t xml:space="preserve">com </w:t>
      </w:r>
      <w:r>
        <w:rPr>
          <w:spacing w:val="7"/>
        </w:rPr>
        <w:t xml:space="preserve">chumbo </w:t>
      </w:r>
      <w:r>
        <w:rPr>
          <w:spacing w:val="6"/>
        </w:rPr>
        <w:t xml:space="preserve">para </w:t>
      </w:r>
      <w:r>
        <w:t xml:space="preserve">a </w:t>
      </w:r>
      <w:r>
        <w:rPr>
          <w:spacing w:val="5"/>
        </w:rPr>
        <w:t xml:space="preserve">atmosfera, </w:t>
      </w:r>
      <w:r>
        <w:rPr>
          <w:spacing w:val="3"/>
        </w:rPr>
        <w:t xml:space="preserve">pois </w:t>
      </w:r>
      <w:r>
        <w:t xml:space="preserve">o </w:t>
      </w:r>
      <w:r>
        <w:rPr>
          <w:spacing w:val="5"/>
        </w:rPr>
        <w:t>r</w:t>
      </w:r>
      <w:r>
        <w:rPr>
          <w:spacing w:val="5"/>
        </w:rPr>
        <w:t xml:space="preserve">eaproveitamento </w:t>
      </w:r>
      <w:r>
        <w:rPr>
          <w:spacing w:val="2"/>
        </w:rPr>
        <w:t xml:space="preserve">do </w:t>
      </w:r>
      <w:r>
        <w:rPr>
          <w:spacing w:val="5"/>
        </w:rPr>
        <w:t>chumbo utilizaria</w:t>
      </w:r>
      <w:r>
        <w:rPr>
          <w:spacing w:val="61"/>
        </w:rPr>
        <w:t xml:space="preserve"> </w:t>
      </w:r>
      <w:r>
        <w:t>fornos para derreter o metal pesado (BEM PARANÁ, 2007b).</w:t>
      </w:r>
    </w:p>
    <w:p w:rsidR="00D81F69" w:rsidRDefault="00330118">
      <w:pPr>
        <w:pStyle w:val="Corpodetexto"/>
        <w:spacing w:before="134" w:line="312" w:lineRule="auto"/>
        <w:ind w:right="188"/>
      </w:pPr>
      <w:r>
        <w:t>Ainda, de acordo com o consultor para assuntos ambientais e professor da Universidade Estadual de Londrina (UEL), Ewerton de Oliveira, a instalação da indústria p</w:t>
      </w:r>
      <w:r>
        <w:t>rejudicaria mananciais do rio Tibagi, contaminando uma das principais fontes de abastecimento da região. Apesar de o relatório do consultor apontar como inapropriada a instalação da recicladora na cidade, o presidente do IAP, Vitor Hugo Burko, afirmava não</w:t>
      </w:r>
      <w:r>
        <w:t xml:space="preserve"> haver respaldo científico para o estudo (MARTONI, 2008a).</w:t>
      </w:r>
    </w:p>
    <w:p w:rsidR="00D81F69" w:rsidRDefault="00330118">
      <w:pPr>
        <w:pStyle w:val="Corpodetexto"/>
        <w:spacing w:before="139" w:line="312" w:lineRule="auto"/>
        <w:ind w:right="187"/>
      </w:pPr>
      <w:r>
        <w:t>As baterias de chumbo são consideradas resíduos perigosos pela legislação nacional e internacional (BEM PARANÁ, 2007b). Uma das principais fontes de contaminação pelo chumbo está no descarte inadeq</w:t>
      </w:r>
      <w:r>
        <w:t xml:space="preserve">uado de baterias automotivas usadas. Neste caso, as recicladoras têm um importante papel na destinação destas peças, pois impedem que as carcaças sejam enviadas aos aterros sanitários. Contudo, pode se tornar uma atividade de risco quando não avaliados os </w:t>
      </w:r>
      <w:r>
        <w:t>aspectos técnicos do empreendimento (BEM PARANÁ, 2007a).</w:t>
      </w:r>
    </w:p>
    <w:p w:rsidR="00D81F69" w:rsidRDefault="00330118">
      <w:pPr>
        <w:pStyle w:val="Corpodetexto"/>
        <w:spacing w:before="139" w:line="312" w:lineRule="auto"/>
        <w:ind w:right="191"/>
      </w:pPr>
      <w:r>
        <w:t xml:space="preserve">As recicladoras, se não forem gerenciadas corretamente, podem ocasionar problemas como o lançamento de líquidos provenientes das baterias em rios; a liberação de vapores com chumbo na atmosfera (que </w:t>
      </w:r>
      <w:r>
        <w:t>posteriormente podem contaminar o solo); e a disposição inadequada de restos de chumbo diretamente no solo (BEM PARANÁ, 2007b).</w:t>
      </w:r>
    </w:p>
    <w:p w:rsidR="00D81F69" w:rsidRDefault="00330118">
      <w:pPr>
        <w:pStyle w:val="Corpodetexto"/>
        <w:spacing w:before="72" w:line="270" w:lineRule="atLeast"/>
        <w:ind w:right="189"/>
      </w:pPr>
      <w:r>
        <w:t xml:space="preserve">O </w:t>
      </w:r>
      <w:r>
        <w:rPr>
          <w:spacing w:val="5"/>
        </w:rPr>
        <w:t xml:space="preserve">chumbo </w:t>
      </w:r>
      <w:r>
        <w:t xml:space="preserve">é </w:t>
      </w:r>
      <w:r>
        <w:rPr>
          <w:spacing w:val="2"/>
        </w:rPr>
        <w:t xml:space="preserve">um </w:t>
      </w:r>
      <w:r>
        <w:rPr>
          <w:spacing w:val="3"/>
        </w:rPr>
        <w:t xml:space="preserve">metal </w:t>
      </w:r>
      <w:r>
        <w:rPr>
          <w:spacing w:val="5"/>
        </w:rPr>
        <w:t xml:space="preserve">pesado altamente tóxico, </w:t>
      </w:r>
      <w:r>
        <w:rPr>
          <w:spacing w:val="3"/>
        </w:rPr>
        <w:t xml:space="preserve">que </w:t>
      </w:r>
      <w:r>
        <w:rPr>
          <w:spacing w:val="5"/>
        </w:rPr>
        <w:t xml:space="preserve">se </w:t>
      </w:r>
      <w:r>
        <w:rPr>
          <w:spacing w:val="1"/>
        </w:rPr>
        <w:t xml:space="preserve">acumula </w:t>
      </w:r>
      <w:r>
        <w:t xml:space="preserve">na </w:t>
      </w:r>
      <w:r>
        <w:rPr>
          <w:spacing w:val="1"/>
        </w:rPr>
        <w:t xml:space="preserve">corrente sanguínea </w:t>
      </w:r>
      <w:r>
        <w:t xml:space="preserve">e </w:t>
      </w:r>
      <w:r>
        <w:rPr>
          <w:spacing w:val="1"/>
        </w:rPr>
        <w:t xml:space="preserve">pode provocar </w:t>
      </w:r>
      <w:r>
        <w:rPr>
          <w:spacing w:val="2"/>
        </w:rPr>
        <w:t xml:space="preserve">anorexia, </w:t>
      </w:r>
      <w:r>
        <w:t xml:space="preserve">vômitos, convulsão, </w:t>
      </w:r>
      <w:r>
        <w:t xml:space="preserve">dano cerebral permanente, lesão </w:t>
      </w:r>
      <w:r>
        <w:rPr>
          <w:spacing w:val="1"/>
        </w:rPr>
        <w:t xml:space="preserve">renal, </w:t>
      </w:r>
      <w:r>
        <w:rPr>
          <w:spacing w:val="3"/>
        </w:rPr>
        <w:t xml:space="preserve">perda </w:t>
      </w:r>
      <w:r>
        <w:rPr>
          <w:spacing w:val="2"/>
        </w:rPr>
        <w:t xml:space="preserve">de </w:t>
      </w:r>
      <w:r>
        <w:rPr>
          <w:spacing w:val="3"/>
        </w:rPr>
        <w:t xml:space="preserve">peso, </w:t>
      </w:r>
      <w:r>
        <w:rPr>
          <w:spacing w:val="5"/>
        </w:rPr>
        <w:t xml:space="preserve">anemia, deficiência </w:t>
      </w:r>
      <w:r>
        <w:rPr>
          <w:spacing w:val="2"/>
        </w:rPr>
        <w:t xml:space="preserve">de </w:t>
      </w:r>
      <w:r>
        <w:rPr>
          <w:spacing w:val="5"/>
        </w:rPr>
        <w:t>sistema nervoso,</w:t>
      </w:r>
      <w:r>
        <w:rPr>
          <w:spacing w:val="61"/>
        </w:rPr>
        <w:t xml:space="preserve"> </w:t>
      </w:r>
      <w:r>
        <w:rPr>
          <w:spacing w:val="5"/>
        </w:rPr>
        <w:t>manifestações gastrointestinais, alterações neurológicas,</w:t>
      </w:r>
      <w:r>
        <w:rPr>
          <w:spacing w:val="61"/>
        </w:rPr>
        <w:t xml:space="preserve"> </w:t>
      </w:r>
      <w:r>
        <w:rPr>
          <w:spacing w:val="1"/>
        </w:rPr>
        <w:t xml:space="preserve">cólicas, (MAPA </w:t>
      </w:r>
      <w:r>
        <w:t xml:space="preserve">DA </w:t>
      </w:r>
      <w:r>
        <w:rPr>
          <w:spacing w:val="1"/>
        </w:rPr>
        <w:t xml:space="preserve">INJUSTIÇA AMBIENTAL </w:t>
      </w:r>
      <w:r>
        <w:t xml:space="preserve">E </w:t>
      </w:r>
      <w:r>
        <w:rPr>
          <w:spacing w:val="1"/>
        </w:rPr>
        <w:t>SAÚDE</w:t>
      </w:r>
      <w:r>
        <w:t xml:space="preserve"> </w:t>
      </w:r>
      <w:r>
        <w:rPr>
          <w:spacing w:val="2"/>
        </w:rPr>
        <w:t>NO</w:t>
      </w:r>
    </w:p>
    <w:p w:rsidR="00D81F69" w:rsidRDefault="00D81F69">
      <w:pPr>
        <w:spacing w:line="270" w:lineRule="atLeast"/>
        <w:sectPr w:rsidR="00D81F69">
          <w:type w:val="continuous"/>
          <w:pgSz w:w="11900" w:h="16840"/>
          <w:pgMar w:top="720" w:right="500" w:bottom="280" w:left="620" w:header="720" w:footer="720" w:gutter="0"/>
          <w:cols w:num="2" w:space="720" w:equalWidth="0">
            <w:col w:w="5191" w:space="279"/>
            <w:col w:w="5310"/>
          </w:cols>
        </w:sectPr>
      </w:pPr>
    </w:p>
    <w:p w:rsidR="00D81F69" w:rsidRDefault="00330118">
      <w:pPr>
        <w:pStyle w:val="Corpodetexto"/>
        <w:spacing w:before="81"/>
      </w:pPr>
      <w:r>
        <w:lastRenderedPageBreak/>
        <w:t xml:space="preserve">BRASIL, 2009), e saturnismo </w:t>
      </w:r>
      <w:r>
        <w:t>(BEM PARANÁ, 2007a).</w:t>
      </w:r>
    </w:p>
    <w:p w:rsidR="00D81F69" w:rsidRDefault="00D81F69">
      <w:pPr>
        <w:pStyle w:val="Corpodetexto"/>
        <w:spacing w:before="9"/>
        <w:ind w:left="0"/>
        <w:jc w:val="left"/>
        <w:rPr>
          <w:sz w:val="16"/>
        </w:rPr>
      </w:pPr>
    </w:p>
    <w:p w:rsidR="00D81F69" w:rsidRDefault="00330118">
      <w:pPr>
        <w:pStyle w:val="Corpodetexto"/>
        <w:spacing w:line="312" w:lineRule="auto"/>
        <w:ind w:right="46"/>
      </w:pPr>
      <w:r>
        <w:t xml:space="preserve">Devido ao seu alto potencial de contaminação, o chumbo não </w:t>
      </w:r>
      <w:r>
        <w:rPr>
          <w:spacing w:val="5"/>
        </w:rPr>
        <w:t xml:space="preserve">pode </w:t>
      </w:r>
      <w:r>
        <w:rPr>
          <w:spacing w:val="3"/>
        </w:rPr>
        <w:t xml:space="preserve">ser </w:t>
      </w:r>
      <w:r>
        <w:rPr>
          <w:spacing w:val="5"/>
        </w:rPr>
        <w:t xml:space="preserve">manipulado </w:t>
      </w:r>
      <w:r>
        <w:rPr>
          <w:spacing w:val="2"/>
        </w:rPr>
        <w:t xml:space="preserve">em </w:t>
      </w:r>
      <w:r>
        <w:rPr>
          <w:spacing w:val="5"/>
        </w:rPr>
        <w:t xml:space="preserve">zona estritamente rural </w:t>
      </w:r>
      <w:r>
        <w:t xml:space="preserve">e </w:t>
      </w:r>
      <w:r>
        <w:rPr>
          <w:spacing w:val="6"/>
        </w:rPr>
        <w:t xml:space="preserve">com </w:t>
      </w:r>
      <w:r>
        <w:t xml:space="preserve">mananciais de água (BEM PARANÁ, 2007b). Para o MP-PR, o </w:t>
      </w:r>
      <w:r>
        <w:rPr>
          <w:spacing w:val="1"/>
        </w:rPr>
        <w:t xml:space="preserve">risco </w:t>
      </w:r>
      <w:r>
        <w:t xml:space="preserve">de </w:t>
      </w:r>
      <w:r>
        <w:rPr>
          <w:spacing w:val="1"/>
        </w:rPr>
        <w:t xml:space="preserve">contaminação seria iminente </w:t>
      </w:r>
      <w:r>
        <w:t xml:space="preserve">na </w:t>
      </w:r>
      <w:r>
        <w:rPr>
          <w:spacing w:val="1"/>
        </w:rPr>
        <w:t xml:space="preserve">região onde </w:t>
      </w:r>
      <w:r>
        <w:rPr>
          <w:spacing w:val="2"/>
        </w:rPr>
        <w:t xml:space="preserve">se </w:t>
      </w:r>
      <w:r>
        <w:rPr>
          <w:spacing w:val="3"/>
        </w:rPr>
        <w:t xml:space="preserve">pretendia construir </w:t>
      </w:r>
      <w:r>
        <w:t xml:space="preserve">a </w:t>
      </w:r>
      <w:r>
        <w:rPr>
          <w:spacing w:val="3"/>
        </w:rPr>
        <w:t xml:space="preserve">recicladora </w:t>
      </w:r>
      <w:r>
        <w:rPr>
          <w:spacing w:val="1"/>
        </w:rPr>
        <w:t xml:space="preserve">de </w:t>
      </w:r>
      <w:r>
        <w:rPr>
          <w:spacing w:val="3"/>
        </w:rPr>
        <w:t xml:space="preserve">chumbo </w:t>
      </w:r>
      <w:r>
        <w:rPr>
          <w:spacing w:val="1"/>
        </w:rPr>
        <w:t xml:space="preserve">em </w:t>
      </w:r>
      <w:r>
        <w:rPr>
          <w:spacing w:val="2"/>
        </w:rPr>
        <w:t xml:space="preserve">Mauá </w:t>
      </w:r>
      <w:r>
        <w:rPr>
          <w:spacing w:val="5"/>
        </w:rPr>
        <w:t xml:space="preserve">da </w:t>
      </w:r>
      <w:r>
        <w:t xml:space="preserve">Serra, pois os moradores vizinhos têm seu abastecimento de água feito por meio de poços artesianos. Além desse fato, a </w:t>
      </w:r>
      <w:r>
        <w:rPr>
          <w:spacing w:val="7"/>
        </w:rPr>
        <w:t xml:space="preserve">fábrica ficaria próxima </w:t>
      </w:r>
      <w:r>
        <w:rPr>
          <w:spacing w:val="5"/>
        </w:rPr>
        <w:t xml:space="preserve">de </w:t>
      </w:r>
      <w:r>
        <w:rPr>
          <w:spacing w:val="7"/>
        </w:rPr>
        <w:t xml:space="preserve">lavouras </w:t>
      </w:r>
      <w:r>
        <w:rPr>
          <w:spacing w:val="5"/>
        </w:rPr>
        <w:t xml:space="preserve">de </w:t>
      </w:r>
      <w:r>
        <w:rPr>
          <w:spacing w:val="7"/>
        </w:rPr>
        <w:t xml:space="preserve">milho, feijão </w:t>
      </w:r>
      <w:r>
        <w:t xml:space="preserve">e </w:t>
      </w:r>
      <w:r>
        <w:rPr>
          <w:spacing w:val="6"/>
        </w:rPr>
        <w:t xml:space="preserve">assentamentos </w:t>
      </w:r>
      <w:r>
        <w:rPr>
          <w:spacing w:val="3"/>
        </w:rPr>
        <w:t xml:space="preserve">do </w:t>
      </w:r>
      <w:r>
        <w:rPr>
          <w:spacing w:val="6"/>
        </w:rPr>
        <w:t xml:space="preserve">Instituto </w:t>
      </w:r>
      <w:r>
        <w:rPr>
          <w:spacing w:val="6"/>
        </w:rPr>
        <w:t xml:space="preserve">Nacional </w:t>
      </w:r>
      <w:r>
        <w:rPr>
          <w:spacing w:val="3"/>
        </w:rPr>
        <w:t xml:space="preserve">de </w:t>
      </w:r>
      <w:r>
        <w:rPr>
          <w:spacing w:val="6"/>
        </w:rPr>
        <w:t xml:space="preserve">Colonização </w:t>
      </w:r>
      <w:r>
        <w:t xml:space="preserve">e </w:t>
      </w:r>
      <w:r>
        <w:rPr>
          <w:spacing w:val="12"/>
        </w:rPr>
        <w:t xml:space="preserve">Reforma Agrária </w:t>
      </w:r>
      <w:r>
        <w:rPr>
          <w:spacing w:val="13"/>
        </w:rPr>
        <w:t xml:space="preserve">(Incra), </w:t>
      </w:r>
      <w:r>
        <w:rPr>
          <w:spacing w:val="12"/>
        </w:rPr>
        <w:t xml:space="preserve">gerando </w:t>
      </w:r>
      <w:r>
        <w:rPr>
          <w:spacing w:val="11"/>
        </w:rPr>
        <w:t xml:space="preserve">temor </w:t>
      </w:r>
      <w:r>
        <w:rPr>
          <w:spacing w:val="12"/>
        </w:rPr>
        <w:t xml:space="preserve">quanto </w:t>
      </w:r>
      <w:r>
        <w:t xml:space="preserve">à contaminação da criação de bovinos e ovinos, e do cultivo de hortaliças (BEM PARANÁ, 2007b). Próximo à fábrica, também </w:t>
      </w:r>
      <w:r>
        <w:rPr>
          <w:spacing w:val="1"/>
        </w:rPr>
        <w:t xml:space="preserve">há </w:t>
      </w:r>
      <w:r>
        <w:rPr>
          <w:spacing w:val="2"/>
        </w:rPr>
        <w:t xml:space="preserve">uma </w:t>
      </w:r>
      <w:r>
        <w:rPr>
          <w:spacing w:val="3"/>
        </w:rPr>
        <w:t xml:space="preserve">reserva indígena </w:t>
      </w:r>
      <w:r>
        <w:t xml:space="preserve">e </w:t>
      </w:r>
      <w:r>
        <w:rPr>
          <w:spacing w:val="3"/>
        </w:rPr>
        <w:t xml:space="preserve">diversos empreendimentos </w:t>
      </w:r>
      <w:r>
        <w:rPr>
          <w:spacing w:val="5"/>
        </w:rPr>
        <w:t xml:space="preserve">de </w:t>
      </w:r>
      <w:r>
        <w:t>ecoturism</w:t>
      </w:r>
      <w:r>
        <w:t>o que poderiam ser prejudicados pela atividade da recicladora (MARTONI,</w:t>
      </w:r>
      <w:r>
        <w:rPr>
          <w:spacing w:val="21"/>
        </w:rPr>
        <w:t xml:space="preserve"> </w:t>
      </w:r>
      <w:r>
        <w:t>2008a).</w:t>
      </w:r>
    </w:p>
    <w:p w:rsidR="00D81F69" w:rsidRDefault="00330118">
      <w:pPr>
        <w:pStyle w:val="Corpodetexto"/>
        <w:spacing w:before="144" w:line="312" w:lineRule="auto"/>
        <w:ind w:right="61"/>
      </w:pPr>
      <w:r>
        <w:t>Entre março e setembro de 2007, a população de Mauá da Serra e entidades que atuam na defesa da região realizaram diversas manifestações e atos contrários à instalação da usina</w:t>
      </w:r>
      <w:r>
        <w:t xml:space="preserve"> de reciclagem de chumbo na localidade. No dia 27 de março de 2007, moradores da localidade fecharam a BR-376 por uma hora, para protestar contra essa situação (MAPA DA INJUSTIÇA AMBIENTAL E SAÚDE NO BRASIL, 2009).</w:t>
      </w:r>
    </w:p>
    <w:p w:rsidR="00D81F69" w:rsidRDefault="00330118">
      <w:pPr>
        <w:pStyle w:val="Corpodetexto"/>
        <w:spacing w:before="136" w:line="312" w:lineRule="auto"/>
        <w:ind w:right="45"/>
      </w:pPr>
      <w:r>
        <w:t>Em setembro, ainda temendo o risco de con</w:t>
      </w:r>
      <w:r>
        <w:t>taminação do solo, do ar e principalmente dos rios da região, os índios Caingangues que vivem na reserva Apucaraninha, em Tamarana (PR), invadiram a área na qual a indústria recicladora de chumbo havia instalado um galpão, e passaram três dias acampados. C</w:t>
      </w:r>
      <w:r>
        <w:t>om isso, conseguiram fazer com que os proprietários se comprometessem formalmente, por meio de documento registrado em cartório, a abandonar o local e a não construir a usina. Pelo termo firmado entre as duas partes, os proprietários se comprometiam a reti</w:t>
      </w:r>
      <w:r>
        <w:t>rar todas as instalações do que seria a usina até o dia 30 de janeiro de 2008 (BORGES, 2007; MARTONI, 2008b).</w:t>
      </w:r>
    </w:p>
    <w:p w:rsidR="00D81F69" w:rsidRDefault="00330118">
      <w:pPr>
        <w:pStyle w:val="Corpodetexto"/>
        <w:spacing w:before="141" w:line="312" w:lineRule="auto"/>
        <w:ind w:right="53"/>
      </w:pPr>
      <w:r>
        <w:t xml:space="preserve">Ainda por conta da polêmica causada na região, no mesmo ano, o Ministério Público (MP) de Marilândia do Sul (norte do </w:t>
      </w:r>
      <w:r>
        <w:rPr>
          <w:spacing w:val="5"/>
        </w:rPr>
        <w:t>Paraná) obteve liminar, requ</w:t>
      </w:r>
      <w:r>
        <w:rPr>
          <w:spacing w:val="5"/>
        </w:rPr>
        <w:t xml:space="preserve">erida </w:t>
      </w:r>
      <w:r>
        <w:rPr>
          <w:spacing w:val="2"/>
        </w:rPr>
        <w:t xml:space="preserve">em </w:t>
      </w:r>
      <w:r>
        <w:rPr>
          <w:spacing w:val="5"/>
        </w:rPr>
        <w:t xml:space="preserve">ação civil </w:t>
      </w:r>
      <w:r>
        <w:rPr>
          <w:spacing w:val="6"/>
        </w:rPr>
        <w:t xml:space="preserve">pública </w:t>
      </w:r>
      <w:r>
        <w:rPr>
          <w:spacing w:val="5"/>
        </w:rPr>
        <w:t xml:space="preserve">ambiental, para paralisar </w:t>
      </w:r>
      <w:r>
        <w:t xml:space="preserve">a </w:t>
      </w:r>
      <w:r>
        <w:rPr>
          <w:spacing w:val="5"/>
        </w:rPr>
        <w:t xml:space="preserve">implantação </w:t>
      </w:r>
      <w:r>
        <w:rPr>
          <w:spacing w:val="2"/>
        </w:rPr>
        <w:t xml:space="preserve">da </w:t>
      </w:r>
      <w:r>
        <w:rPr>
          <w:spacing w:val="5"/>
        </w:rPr>
        <w:t xml:space="preserve">indústria </w:t>
      </w:r>
      <w:r>
        <w:rPr>
          <w:spacing w:val="6"/>
        </w:rPr>
        <w:t xml:space="preserve">de </w:t>
      </w:r>
      <w:r>
        <w:t xml:space="preserve">reciclagem de baterias automotivas e sucata de chumbo na </w:t>
      </w:r>
      <w:r>
        <w:rPr>
          <w:spacing w:val="10"/>
        </w:rPr>
        <w:t xml:space="preserve">Serra </w:t>
      </w:r>
      <w:r>
        <w:rPr>
          <w:spacing w:val="5"/>
        </w:rPr>
        <w:t xml:space="preserve">do </w:t>
      </w:r>
      <w:r>
        <w:rPr>
          <w:spacing w:val="10"/>
        </w:rPr>
        <w:t xml:space="preserve">Cadeado, </w:t>
      </w:r>
      <w:r>
        <w:rPr>
          <w:spacing w:val="5"/>
        </w:rPr>
        <w:t xml:space="preserve">em </w:t>
      </w:r>
      <w:r>
        <w:rPr>
          <w:spacing w:val="8"/>
        </w:rPr>
        <w:t xml:space="preserve">Mauá </w:t>
      </w:r>
      <w:r>
        <w:rPr>
          <w:spacing w:val="5"/>
        </w:rPr>
        <w:t xml:space="preserve">da </w:t>
      </w:r>
      <w:r>
        <w:rPr>
          <w:spacing w:val="10"/>
        </w:rPr>
        <w:t xml:space="preserve">Serra (FOLHA </w:t>
      </w:r>
      <w:r>
        <w:rPr>
          <w:spacing w:val="12"/>
        </w:rPr>
        <w:t xml:space="preserve">DE </w:t>
      </w:r>
      <w:r>
        <w:rPr>
          <w:spacing w:val="10"/>
        </w:rPr>
        <w:t>LONDRINA,</w:t>
      </w:r>
      <w:r>
        <w:rPr>
          <w:spacing w:val="65"/>
        </w:rPr>
        <w:t xml:space="preserve"> </w:t>
      </w:r>
      <w:r>
        <w:rPr>
          <w:spacing w:val="12"/>
        </w:rPr>
        <w:t>2007).</w:t>
      </w:r>
    </w:p>
    <w:p w:rsidR="00D81F69" w:rsidRDefault="00330118">
      <w:pPr>
        <w:pStyle w:val="Corpodetexto"/>
        <w:spacing w:before="137" w:line="312" w:lineRule="auto"/>
        <w:ind w:right="38"/>
      </w:pPr>
      <w:r>
        <w:t xml:space="preserve">Neste mesmo período, o secretário do Meio Ambiente e </w:t>
      </w:r>
      <w:r>
        <w:t>Recursos Hídricos do Paraná, Rasca Rodrigues, suspendeu o licenciamento ambiental de novos empreendimentos relacionados à manipulação de chumbo e seus derivados, até que obtivesse maior conhecimento de dados técnicos, científicos e administrativos sobre as</w:t>
      </w:r>
      <w:r>
        <w:t xml:space="preserve"> baterias descartadas em todo o estado do Paraná. Entre os empreendimentos estavam as recicladoras de baterias de veículos que trabalham com a refundição do chumbo contido nestes produtos (BEM PARANÁ, 2007a). No estado do Paraná, 25 recicladoras têm autori</w:t>
      </w:r>
      <w:r>
        <w:t>zação de funcionamento e passam por inspeções periódicas (MARTONI, 2008a).</w:t>
      </w:r>
    </w:p>
    <w:p w:rsidR="00D81F69" w:rsidRDefault="00330118">
      <w:pPr>
        <w:pStyle w:val="Corpodetexto"/>
        <w:spacing w:before="5"/>
        <w:ind w:left="0"/>
        <w:jc w:val="left"/>
        <w:rPr>
          <w:sz w:val="24"/>
        </w:rPr>
      </w:pPr>
      <w:r>
        <w:br w:type="column"/>
      </w:r>
    </w:p>
    <w:p w:rsidR="00D81F69" w:rsidRDefault="00330118">
      <w:pPr>
        <w:pStyle w:val="Corpodetexto"/>
        <w:spacing w:line="312" w:lineRule="auto"/>
        <w:ind w:right="190"/>
      </w:pPr>
      <w:r>
        <w:t xml:space="preserve">A decisão de suspender os licenciamentos foi tomada depois que o presidente do IAP encaminhou um ofício ao secretário do Meio Ambiente e Recursos Hídricos solicitando a criação </w:t>
      </w:r>
      <w:r>
        <w:rPr>
          <w:spacing w:val="1"/>
        </w:rPr>
        <w:t xml:space="preserve">de um </w:t>
      </w:r>
      <w:r>
        <w:rPr>
          <w:spacing w:val="3"/>
        </w:rPr>
        <w:t xml:space="preserve">Grupo </w:t>
      </w:r>
      <w:r>
        <w:rPr>
          <w:spacing w:val="1"/>
        </w:rPr>
        <w:t xml:space="preserve">de </w:t>
      </w:r>
      <w:r>
        <w:rPr>
          <w:spacing w:val="3"/>
        </w:rPr>
        <w:t xml:space="preserve">Trabalho </w:t>
      </w:r>
      <w:r>
        <w:rPr>
          <w:spacing w:val="2"/>
        </w:rPr>
        <w:t xml:space="preserve">para </w:t>
      </w:r>
      <w:r>
        <w:rPr>
          <w:spacing w:val="3"/>
        </w:rPr>
        <w:t xml:space="preserve">discutir </w:t>
      </w:r>
      <w:r>
        <w:t xml:space="preserve">a </w:t>
      </w:r>
      <w:r>
        <w:rPr>
          <w:spacing w:val="5"/>
        </w:rPr>
        <w:t xml:space="preserve">sustentabilidade social, ambiental </w:t>
      </w:r>
      <w:r>
        <w:t xml:space="preserve">e </w:t>
      </w:r>
      <w:r>
        <w:rPr>
          <w:spacing w:val="2"/>
        </w:rPr>
        <w:t xml:space="preserve">de </w:t>
      </w:r>
      <w:r>
        <w:rPr>
          <w:spacing w:val="3"/>
        </w:rPr>
        <w:t xml:space="preserve">saúde </w:t>
      </w:r>
      <w:r>
        <w:rPr>
          <w:spacing w:val="5"/>
        </w:rPr>
        <w:t xml:space="preserve">pública </w:t>
      </w:r>
      <w:r>
        <w:rPr>
          <w:spacing w:val="3"/>
        </w:rPr>
        <w:t xml:space="preserve">das </w:t>
      </w:r>
      <w:r>
        <w:rPr>
          <w:spacing w:val="5"/>
        </w:rPr>
        <w:t xml:space="preserve">atividades que </w:t>
      </w:r>
      <w:r>
        <w:t xml:space="preserve">utilizam chumbo. Este grupo forneceria um parecer técnico, incluindo proposta de regulamentação para a continuidade ou </w:t>
      </w:r>
      <w:r>
        <w:rPr>
          <w:spacing w:val="2"/>
        </w:rPr>
        <w:t xml:space="preserve">não </w:t>
      </w:r>
      <w:r>
        <w:rPr>
          <w:spacing w:val="3"/>
        </w:rPr>
        <w:t>destes empreendiment</w:t>
      </w:r>
      <w:r>
        <w:rPr>
          <w:spacing w:val="3"/>
        </w:rPr>
        <w:t xml:space="preserve">os </w:t>
      </w:r>
      <w:r>
        <w:rPr>
          <w:spacing w:val="1"/>
        </w:rPr>
        <w:t xml:space="preserve">no </w:t>
      </w:r>
      <w:r>
        <w:rPr>
          <w:spacing w:val="3"/>
        </w:rPr>
        <w:t xml:space="preserve">Paraná </w:t>
      </w:r>
      <w:r>
        <w:rPr>
          <w:spacing w:val="2"/>
        </w:rPr>
        <w:t xml:space="preserve">(BEM </w:t>
      </w:r>
      <w:r>
        <w:rPr>
          <w:spacing w:val="5"/>
        </w:rPr>
        <w:t>PARANÁ, 2007a).</w:t>
      </w:r>
    </w:p>
    <w:p w:rsidR="00D81F69" w:rsidRDefault="00330118">
      <w:pPr>
        <w:pStyle w:val="Corpodetexto"/>
        <w:spacing w:before="138" w:line="312" w:lineRule="auto"/>
        <w:ind w:right="203"/>
      </w:pPr>
      <w:r>
        <w:t>Posteriormente, uma decisão judicial impediu a recicladora de entrar em operação e a prefeitura de Mauá da Serra cancelou o alvará que permitia a instalação. Na ocasião, o IAP informou que, após a revogação municipal, houv</w:t>
      </w:r>
      <w:r>
        <w:t>e suspensão automática da licença prévia de operação, dada em 2007 (MARTONI, 2008b).</w:t>
      </w:r>
    </w:p>
    <w:p w:rsidR="00D81F69" w:rsidRDefault="00330118">
      <w:pPr>
        <w:pStyle w:val="Corpodetexto"/>
        <w:spacing w:before="136" w:line="312" w:lineRule="auto"/>
        <w:ind w:right="194"/>
      </w:pPr>
      <w:r>
        <w:t>Atualmente, ainda são encontradas fábricas de liga e reciclagem de chumbo em operação no estado. Os problemas decorrentes da falta de infraestrutura dessas fábricas levara</w:t>
      </w:r>
      <w:r>
        <w:t>m a Secretaria Estadual de Saúde do Paraná a elaborar e implementar o projeto de controle da exposição ao chumbo. Neste projeto ficaram evidentes os sérios problemas da falta de segurança ambiental e do trabalhador por conta de equipamentos precários, arma</w:t>
      </w:r>
      <w:r>
        <w:t>zenamento inadequado da produção e descuido no descarte da escória (CENTRO ESTADUAL DE SAÚDE DO TRABALHADOR, 2011).</w:t>
      </w:r>
    </w:p>
    <w:p w:rsidR="00D81F69" w:rsidRDefault="00330118">
      <w:pPr>
        <w:pStyle w:val="Corpodetexto"/>
        <w:spacing w:before="139" w:line="312" w:lineRule="auto"/>
        <w:ind w:right="204"/>
      </w:pPr>
      <w:r>
        <w:t>Contudo, os diversos problemas advindos da contaminação por chumbo não são restritos ao estado do Paraná e podem ser vistos em diversos luga</w:t>
      </w:r>
      <w:r>
        <w:t>res do Brasil e do mundo, a exemplo do que aconteceu em Bauru (SP), em 2007, quando fecharam uma fábrica de baterias por irregularidades ambientais e logo apareceram os primeiros intoxicados: 860 crianças (MARTONI, 2008a). Outro caso emblemático é o de San</w:t>
      </w:r>
      <w:r>
        <w:t xml:space="preserve">to Amaro (BA) que sofre há mais de 30 anos com a contaminação por chumbo e </w:t>
      </w:r>
      <w:hyperlink r:id="rId1684">
        <w:r>
          <w:t>cádmio,</w:t>
        </w:r>
      </w:hyperlink>
      <w:r>
        <w:t xml:space="preserve"> decorrente das atividades de uma usina que produzia ligas de chumbo (MANZONI; MINAS</w:t>
      </w:r>
      <w:r>
        <w:t>, 2009).</w:t>
      </w:r>
    </w:p>
    <w:p w:rsidR="00D81F69" w:rsidRDefault="00330118">
      <w:pPr>
        <w:pStyle w:val="Corpodetexto"/>
        <w:spacing w:before="140" w:line="312" w:lineRule="auto"/>
        <w:ind w:right="193"/>
      </w:pPr>
      <w:r>
        <w:t>Em outros países também têm sido registrados casos de contaminação por chumbo, como na China, onde mais de mil crianças foram contaminadas pelo metal pesado em 2009, por conta da maior fundição de chumbo do país. O fato levou à remoção de 15 mil p</w:t>
      </w:r>
      <w:r>
        <w:t>essoas do local (BBC BRASIL, 2009). No ano seguinte, na Nigéria, 163 pessoas, a maioria crianças, foram envenenadas por chumbo (BBC BRASIL, 2010).</w:t>
      </w:r>
    </w:p>
    <w:p w:rsidR="00D81F69" w:rsidRDefault="00330118">
      <w:pPr>
        <w:pStyle w:val="Corpodetexto"/>
        <w:spacing w:before="137" w:line="312" w:lineRule="auto"/>
        <w:ind w:right="202"/>
      </w:pPr>
      <w:r>
        <w:t xml:space="preserve">As crianças são as maiores vítimas dos casos de contaminação por chumbo porque têm organismo mais propenso à </w:t>
      </w:r>
      <w:r>
        <w:t>absorção do metal e assimilam maior quantidade por quilo que os adultos, já que pesam menos. Elas também colocam objetos na boca com frequência, levando sujeiras do solo, que pode estar contaminado, para seus organismos (MARTONI, 2008a).</w:t>
      </w:r>
    </w:p>
    <w:p w:rsidR="00D81F69" w:rsidRDefault="00330118">
      <w:pPr>
        <w:pStyle w:val="Corpodetexto"/>
        <w:spacing w:before="73" w:line="270" w:lineRule="atLeast"/>
        <w:ind w:right="216"/>
      </w:pPr>
      <w:r>
        <w:t>O desfecho atípico do caso de Mauá da Serra se deve à participação da comunidade, que pode contar também com a força da mobilização de grupos e entidades da sociedade civil</w:t>
      </w:r>
    </w:p>
    <w:p w:rsidR="00D81F69" w:rsidRDefault="00D81F69">
      <w:pPr>
        <w:spacing w:line="270" w:lineRule="atLeast"/>
        <w:sectPr w:rsidR="00D81F69">
          <w:pgSz w:w="11900" w:h="16840"/>
          <w:pgMar w:top="740" w:right="500" w:bottom="700" w:left="620" w:header="0" w:footer="402" w:gutter="0"/>
          <w:cols w:num="2" w:space="720" w:equalWidth="0">
            <w:col w:w="5161" w:space="309"/>
            <w:col w:w="5310"/>
          </w:cols>
        </w:sectPr>
      </w:pPr>
    </w:p>
    <w:p w:rsidR="00D81F69" w:rsidRDefault="00330118">
      <w:pPr>
        <w:pStyle w:val="Corpodetexto"/>
        <w:spacing w:before="81" w:line="312" w:lineRule="auto"/>
        <w:ind w:right="137"/>
      </w:pPr>
      <w:r>
        <w:lastRenderedPageBreak/>
        <w:t>organizada e o apoio dos Ministérios Públicos, Federal</w:t>
      </w:r>
      <w:r>
        <w:t xml:space="preserve"> e estaduais (MAPA DA INJUSTIÇA AMBIENTAL E SAÚDE NO BRASIL, 2009).</w:t>
      </w:r>
    </w:p>
    <w:p w:rsidR="00D81F69" w:rsidRDefault="00D81F69">
      <w:pPr>
        <w:pStyle w:val="Corpodetexto"/>
        <w:spacing w:before="2"/>
        <w:ind w:left="0"/>
        <w:jc w:val="left"/>
        <w:rPr>
          <w:sz w:val="21"/>
        </w:rPr>
      </w:pPr>
    </w:p>
    <w:p w:rsidR="00D81F69" w:rsidRDefault="00330118">
      <w:pPr>
        <w:pStyle w:val="Heading7"/>
        <w:jc w:val="left"/>
      </w:pPr>
      <w:r>
        <w:t>LOCALIZAÇÃO GEOGRÁFICA</w:t>
      </w:r>
    </w:p>
    <w:p w:rsidR="00D81F69" w:rsidRDefault="00330118">
      <w:pPr>
        <w:pStyle w:val="Corpodetexto"/>
        <w:spacing w:before="179" w:line="312" w:lineRule="auto"/>
        <w:ind w:right="130"/>
      </w:pPr>
      <w:r>
        <w:t xml:space="preserve">O município de Mauá da Serra está localizado na sub-bacia </w:t>
      </w:r>
      <w:r>
        <w:rPr>
          <w:spacing w:val="2"/>
        </w:rPr>
        <w:t xml:space="preserve">do </w:t>
      </w:r>
      <w:r>
        <w:rPr>
          <w:spacing w:val="3"/>
        </w:rPr>
        <w:t xml:space="preserve">rio </w:t>
      </w:r>
      <w:r>
        <w:rPr>
          <w:spacing w:val="5"/>
        </w:rPr>
        <w:t xml:space="preserve">Tibají, afluente </w:t>
      </w:r>
      <w:r>
        <w:rPr>
          <w:spacing w:val="2"/>
        </w:rPr>
        <w:t xml:space="preserve">da </w:t>
      </w:r>
      <w:r>
        <w:rPr>
          <w:spacing w:val="5"/>
        </w:rPr>
        <w:t xml:space="preserve">bacia </w:t>
      </w:r>
      <w:r>
        <w:rPr>
          <w:spacing w:val="2"/>
        </w:rPr>
        <w:t xml:space="preserve">do </w:t>
      </w:r>
      <w:r>
        <w:rPr>
          <w:spacing w:val="3"/>
        </w:rPr>
        <w:t xml:space="preserve">rio </w:t>
      </w:r>
      <w:r>
        <w:rPr>
          <w:spacing w:val="5"/>
        </w:rPr>
        <w:t xml:space="preserve">Paraná, entre </w:t>
      </w:r>
      <w:r>
        <w:rPr>
          <w:spacing w:val="6"/>
        </w:rPr>
        <w:t xml:space="preserve">as </w:t>
      </w:r>
      <w:r>
        <w:t>latitudes 23°59’30”S – 23°50’17”S e longitudes 51</w:t>
      </w:r>
      <w:r>
        <w:t>°16’35”W – 51°04’51”W.</w:t>
      </w:r>
    </w:p>
    <w:p w:rsidR="00D81F69" w:rsidRDefault="00D81F69">
      <w:pPr>
        <w:pStyle w:val="Corpodetexto"/>
        <w:spacing w:before="1"/>
        <w:ind w:left="0"/>
        <w:jc w:val="left"/>
        <w:rPr>
          <w:sz w:val="29"/>
        </w:rPr>
      </w:pPr>
    </w:p>
    <w:p w:rsidR="00D81F69" w:rsidRDefault="00330118">
      <w:pPr>
        <w:pStyle w:val="Heading7"/>
        <w:spacing w:before="1"/>
      </w:pPr>
      <w:r>
        <w:t>REDATORES</w:t>
      </w:r>
    </w:p>
    <w:p w:rsidR="00D81F69" w:rsidRDefault="00330118">
      <w:pPr>
        <w:pStyle w:val="Corpodetexto"/>
        <w:spacing w:before="178"/>
      </w:pPr>
      <w:r>
        <w:t>Keila Valente</w:t>
      </w:r>
    </w:p>
    <w:p w:rsidR="00D81F69" w:rsidRDefault="00D81F69">
      <w:pPr>
        <w:pStyle w:val="Corpodetexto"/>
        <w:ind w:left="0"/>
        <w:jc w:val="left"/>
        <w:rPr>
          <w:sz w:val="20"/>
        </w:rPr>
      </w:pPr>
    </w:p>
    <w:p w:rsidR="00D81F69" w:rsidRDefault="00330118">
      <w:pPr>
        <w:pStyle w:val="Heading7"/>
        <w:spacing w:before="165"/>
      </w:pPr>
      <w:r>
        <w:t>REFERÊNCIAS BIBLIOGRÁFICAS</w:t>
      </w:r>
    </w:p>
    <w:p w:rsidR="00D81F69" w:rsidRDefault="00330118">
      <w:pPr>
        <w:spacing w:before="187"/>
        <w:ind w:left="100"/>
        <w:jc w:val="both"/>
        <w:rPr>
          <w:sz w:val="16"/>
        </w:rPr>
      </w:pPr>
      <w:r>
        <w:rPr>
          <w:sz w:val="16"/>
        </w:rPr>
        <w:t>BBC BRASIL. China vai retirar 15 mil pessoas de área contaminada.</w:t>
      </w:r>
    </w:p>
    <w:p w:rsidR="00D81F69" w:rsidRDefault="00330118">
      <w:pPr>
        <w:spacing w:before="56"/>
        <w:ind w:left="100"/>
        <w:jc w:val="both"/>
        <w:rPr>
          <w:sz w:val="16"/>
        </w:rPr>
      </w:pPr>
      <w:r>
        <w:rPr>
          <w:sz w:val="16"/>
        </w:rPr>
        <w:t xml:space="preserve">1 9         o u t .         2 0 0 9 .         D i s p o n í v e l         e m :  </w:t>
      </w:r>
    </w:p>
    <w:p w:rsidR="00D81F69" w:rsidRDefault="00D81F69">
      <w:pPr>
        <w:spacing w:before="56" w:line="312" w:lineRule="auto"/>
        <w:ind w:left="100" w:right="137"/>
        <w:jc w:val="both"/>
        <w:rPr>
          <w:sz w:val="16"/>
        </w:rPr>
      </w:pPr>
      <w:hyperlink r:id="rId1685">
        <w:r w:rsidR="00330118">
          <w:rPr>
            <w:sz w:val="16"/>
          </w:rPr>
          <w:t>&lt;http://www.bbc.co.uk/portuguese/noticias/2009/10/091019_chinaeva</w:t>
        </w:r>
      </w:hyperlink>
      <w:r w:rsidR="00330118">
        <w:rPr>
          <w:sz w:val="16"/>
        </w:rPr>
        <w:t xml:space="preserve"> cua_mw.shtml&gt;. Acesso em: 13 dez. 2011.</w:t>
      </w:r>
    </w:p>
    <w:p w:rsidR="00D81F69" w:rsidRDefault="00330118">
      <w:pPr>
        <w:spacing w:before="2" w:line="312" w:lineRule="auto"/>
        <w:ind w:left="100" w:right="103"/>
        <w:jc w:val="both"/>
        <w:rPr>
          <w:sz w:val="16"/>
        </w:rPr>
      </w:pPr>
      <w:r>
        <w:rPr>
          <w:spacing w:val="2"/>
          <w:sz w:val="16"/>
        </w:rPr>
        <w:t xml:space="preserve">BBC </w:t>
      </w:r>
      <w:r>
        <w:rPr>
          <w:spacing w:val="3"/>
          <w:sz w:val="16"/>
        </w:rPr>
        <w:t xml:space="preserve">BRASIL. Centenas podem </w:t>
      </w:r>
      <w:r>
        <w:rPr>
          <w:spacing w:val="2"/>
          <w:sz w:val="16"/>
        </w:rPr>
        <w:t xml:space="preserve">ser </w:t>
      </w:r>
      <w:r>
        <w:rPr>
          <w:spacing w:val="3"/>
          <w:sz w:val="16"/>
        </w:rPr>
        <w:t xml:space="preserve">envenenador </w:t>
      </w:r>
      <w:r>
        <w:rPr>
          <w:spacing w:val="2"/>
          <w:sz w:val="16"/>
        </w:rPr>
        <w:t xml:space="preserve">por </w:t>
      </w:r>
      <w:r>
        <w:rPr>
          <w:spacing w:val="3"/>
          <w:sz w:val="16"/>
        </w:rPr>
        <w:t xml:space="preserve">chumbo </w:t>
      </w:r>
      <w:r>
        <w:rPr>
          <w:spacing w:val="5"/>
          <w:sz w:val="16"/>
        </w:rPr>
        <w:t xml:space="preserve">na </w:t>
      </w:r>
      <w:r>
        <w:rPr>
          <w:spacing w:val="12"/>
          <w:sz w:val="16"/>
        </w:rPr>
        <w:t xml:space="preserve">Nigéria, </w:t>
      </w:r>
      <w:r>
        <w:rPr>
          <w:spacing w:val="10"/>
          <w:sz w:val="16"/>
        </w:rPr>
        <w:t xml:space="preserve">diz </w:t>
      </w:r>
      <w:r>
        <w:rPr>
          <w:spacing w:val="12"/>
          <w:sz w:val="16"/>
        </w:rPr>
        <w:t xml:space="preserve">especialista. </w:t>
      </w:r>
      <w:r>
        <w:rPr>
          <w:spacing w:val="6"/>
          <w:sz w:val="16"/>
        </w:rPr>
        <w:t xml:space="preserve">07 </w:t>
      </w:r>
      <w:r>
        <w:rPr>
          <w:spacing w:val="10"/>
          <w:sz w:val="16"/>
        </w:rPr>
        <w:t>jun.</w:t>
      </w:r>
      <w:r>
        <w:rPr>
          <w:spacing w:val="65"/>
          <w:sz w:val="16"/>
        </w:rPr>
        <w:t xml:space="preserve"> </w:t>
      </w:r>
      <w:r>
        <w:rPr>
          <w:spacing w:val="11"/>
          <w:sz w:val="16"/>
        </w:rPr>
        <w:t xml:space="preserve">2010. </w:t>
      </w:r>
      <w:r>
        <w:rPr>
          <w:spacing w:val="12"/>
          <w:sz w:val="16"/>
        </w:rPr>
        <w:t>Disponível</w:t>
      </w:r>
      <w:r>
        <w:rPr>
          <w:spacing w:val="11"/>
          <w:sz w:val="16"/>
        </w:rPr>
        <w:t xml:space="preserve"> </w:t>
      </w:r>
      <w:r>
        <w:rPr>
          <w:spacing w:val="10"/>
          <w:sz w:val="16"/>
        </w:rPr>
        <w:t>em:</w:t>
      </w:r>
      <w:r>
        <w:rPr>
          <w:spacing w:val="-28"/>
          <w:sz w:val="16"/>
        </w:rPr>
        <w:t xml:space="preserve"> </w:t>
      </w:r>
    </w:p>
    <w:p w:rsidR="00D81F69" w:rsidRDefault="00D81F69">
      <w:pPr>
        <w:spacing w:before="2" w:line="312" w:lineRule="auto"/>
        <w:ind w:left="100" w:right="137"/>
        <w:jc w:val="both"/>
        <w:rPr>
          <w:sz w:val="16"/>
        </w:rPr>
      </w:pPr>
      <w:hyperlink r:id="rId1686">
        <w:r w:rsidR="00330118">
          <w:rPr>
            <w:sz w:val="16"/>
          </w:rPr>
          <w:t>&lt;http://www.bbc.co.uk/portuguese/noticias/2010/06/100607_chumbo_</w:t>
        </w:r>
      </w:hyperlink>
      <w:r w:rsidR="00330118">
        <w:rPr>
          <w:sz w:val="16"/>
        </w:rPr>
        <w:t xml:space="preserve"> envenenamento_nigeria_mv.shtml&gt;. Acesso em: 13 dez. 2011.</w:t>
      </w:r>
    </w:p>
    <w:p w:rsidR="00D81F69" w:rsidRDefault="00330118">
      <w:pPr>
        <w:spacing w:before="1" w:line="312" w:lineRule="auto"/>
        <w:ind w:left="100" w:right="110"/>
        <w:jc w:val="both"/>
        <w:rPr>
          <w:sz w:val="16"/>
        </w:rPr>
      </w:pPr>
      <w:r>
        <w:rPr>
          <w:sz w:val="16"/>
        </w:rPr>
        <w:t>BEM PARANÁ. Governo suspende licença</w:t>
      </w:r>
      <w:r>
        <w:rPr>
          <w:sz w:val="16"/>
        </w:rPr>
        <w:t xml:space="preserve"> para empresas que manipulam chumbo. Curitiba, 27 mar. 2007a. Disponível em:</w:t>
      </w:r>
    </w:p>
    <w:p w:rsidR="00D81F69" w:rsidRDefault="00D81F69">
      <w:pPr>
        <w:spacing w:before="2" w:line="312" w:lineRule="auto"/>
        <w:ind w:left="100" w:right="130"/>
        <w:jc w:val="both"/>
        <w:rPr>
          <w:sz w:val="16"/>
        </w:rPr>
      </w:pPr>
      <w:hyperlink r:id="rId1687">
        <w:r w:rsidR="00330118">
          <w:rPr>
            <w:sz w:val="16"/>
          </w:rPr>
          <w:t>&lt;http://www.bemparana.com.br/index.php?n=23415&amp;t=governo-</w:t>
        </w:r>
      </w:hyperlink>
      <w:r w:rsidR="00330118">
        <w:rPr>
          <w:sz w:val="16"/>
        </w:rPr>
        <w:t xml:space="preserve"> suspende-...1&gt;. Acesso em: 13 dez. 2011.</w:t>
      </w:r>
    </w:p>
    <w:p w:rsidR="00D81F69" w:rsidRDefault="00330118">
      <w:pPr>
        <w:spacing w:before="1" w:line="312" w:lineRule="auto"/>
        <w:ind w:left="100" w:right="99"/>
        <w:jc w:val="both"/>
        <w:rPr>
          <w:sz w:val="16"/>
        </w:rPr>
      </w:pPr>
      <w:r>
        <w:rPr>
          <w:sz w:val="16"/>
        </w:rPr>
        <w:t>__</w:t>
      </w:r>
      <w:r>
        <w:rPr>
          <w:sz w:val="16"/>
        </w:rPr>
        <w:t xml:space="preserve">____. Liminar impede instalação de indústria de reciclagem de baterias. Curitiba, 11 jun. 2007b. Disponível em: </w:t>
      </w:r>
    </w:p>
    <w:p w:rsidR="00D81F69" w:rsidRDefault="00D81F69">
      <w:pPr>
        <w:spacing w:before="2" w:line="312" w:lineRule="auto"/>
        <w:ind w:left="100" w:right="128"/>
        <w:jc w:val="both"/>
        <w:rPr>
          <w:sz w:val="16"/>
        </w:rPr>
      </w:pPr>
      <w:hyperlink r:id="rId1688">
        <w:r w:rsidR="00330118">
          <w:rPr>
            <w:sz w:val="16"/>
          </w:rPr>
          <w:t>&lt;http://www.bemparana.com.br/index.php?n=31584&amp;t=liminar-</w:t>
        </w:r>
      </w:hyperlink>
      <w:r w:rsidR="00330118">
        <w:rPr>
          <w:sz w:val="16"/>
        </w:rPr>
        <w:t xml:space="preserve"> impede-</w:t>
      </w:r>
      <w:r w:rsidR="00330118">
        <w:rPr>
          <w:sz w:val="16"/>
        </w:rPr>
        <w:t>ins&gt;. Acesso em: 13 dez. 2011.</w:t>
      </w:r>
    </w:p>
    <w:p w:rsidR="00D81F69" w:rsidRDefault="00330118">
      <w:pPr>
        <w:spacing w:before="2" w:line="312" w:lineRule="auto"/>
        <w:ind w:left="100" w:right="62"/>
        <w:jc w:val="both"/>
        <w:rPr>
          <w:sz w:val="16"/>
        </w:rPr>
      </w:pPr>
      <w:r>
        <w:rPr>
          <w:sz w:val="16"/>
        </w:rPr>
        <w:t xml:space="preserve">BORGES, Maurício. Índios caingangues ocupam indústria. Gazeta do </w:t>
      </w:r>
      <w:r>
        <w:rPr>
          <w:spacing w:val="11"/>
          <w:sz w:val="16"/>
        </w:rPr>
        <w:t xml:space="preserve">P o v </w:t>
      </w:r>
      <w:r>
        <w:rPr>
          <w:sz w:val="16"/>
        </w:rPr>
        <w:t xml:space="preserve">o </w:t>
      </w:r>
      <w:r>
        <w:rPr>
          <w:spacing w:val="11"/>
          <w:sz w:val="16"/>
        </w:rPr>
        <w:t xml:space="preserve">2 </w:t>
      </w:r>
      <w:r>
        <w:rPr>
          <w:sz w:val="16"/>
        </w:rPr>
        <w:t xml:space="preserve">2 </w:t>
      </w:r>
      <w:r>
        <w:rPr>
          <w:spacing w:val="11"/>
          <w:sz w:val="16"/>
        </w:rPr>
        <w:t xml:space="preserve">s e t </w:t>
      </w:r>
      <w:r>
        <w:rPr>
          <w:sz w:val="16"/>
        </w:rPr>
        <w:t xml:space="preserve">. </w:t>
      </w:r>
      <w:r>
        <w:rPr>
          <w:spacing w:val="11"/>
          <w:sz w:val="16"/>
        </w:rPr>
        <w:t xml:space="preserve">2 0 0 7 </w:t>
      </w:r>
      <w:r>
        <w:rPr>
          <w:sz w:val="16"/>
        </w:rPr>
        <w:t xml:space="preserve">. </w:t>
      </w:r>
      <w:r>
        <w:rPr>
          <w:spacing w:val="11"/>
          <w:sz w:val="16"/>
        </w:rPr>
        <w:t xml:space="preserve">D i s p o n í v e </w:t>
      </w:r>
      <w:r>
        <w:rPr>
          <w:sz w:val="16"/>
        </w:rPr>
        <w:t>l</w:t>
      </w:r>
      <w:r>
        <w:rPr>
          <w:spacing w:val="32"/>
          <w:sz w:val="16"/>
        </w:rPr>
        <w:t xml:space="preserve"> </w:t>
      </w:r>
      <w:r>
        <w:rPr>
          <w:spacing w:val="11"/>
          <w:sz w:val="16"/>
        </w:rPr>
        <w:t xml:space="preserve">e m </w:t>
      </w:r>
      <w:r>
        <w:rPr>
          <w:sz w:val="16"/>
        </w:rPr>
        <w:t>:</w:t>
      </w:r>
      <w:r>
        <w:rPr>
          <w:spacing w:val="12"/>
          <w:sz w:val="16"/>
        </w:rPr>
        <w:t xml:space="preserve"> </w:t>
      </w:r>
    </w:p>
    <w:p w:rsidR="00D81F69" w:rsidRDefault="00D81F69">
      <w:pPr>
        <w:spacing w:before="1"/>
        <w:ind w:left="100"/>
        <w:jc w:val="both"/>
        <w:rPr>
          <w:sz w:val="16"/>
        </w:rPr>
      </w:pPr>
      <w:hyperlink r:id="rId1689">
        <w:r w:rsidR="00330118">
          <w:rPr>
            <w:sz w:val="16"/>
          </w:rPr>
          <w:t>&lt;http://www.gazetadopov</w:t>
        </w:r>
        <w:r w:rsidR="00330118">
          <w:rPr>
            <w:sz w:val="16"/>
          </w:rPr>
          <w:t>o.com.br/parana/conteudo.phtml?id=698360</w:t>
        </w:r>
      </w:hyperlink>
    </w:p>
    <w:p w:rsidR="00D81F69" w:rsidRDefault="00330118">
      <w:pPr>
        <w:spacing w:before="56"/>
        <w:ind w:left="100"/>
        <w:jc w:val="both"/>
        <w:rPr>
          <w:sz w:val="16"/>
        </w:rPr>
      </w:pPr>
      <w:r>
        <w:rPr>
          <w:sz w:val="16"/>
        </w:rPr>
        <w:t>&gt;. Acesso em: 14 dez. 2011.</w:t>
      </w:r>
    </w:p>
    <w:p w:rsidR="00D81F69" w:rsidRDefault="00330118">
      <w:pPr>
        <w:spacing w:before="70"/>
        <w:ind w:left="100"/>
        <w:rPr>
          <w:sz w:val="16"/>
        </w:rPr>
      </w:pPr>
      <w:r>
        <w:br w:type="column"/>
      </w:r>
      <w:r>
        <w:rPr>
          <w:sz w:val="16"/>
        </w:rPr>
        <w:lastRenderedPageBreak/>
        <w:t>CENTRO  ESTADUAL  DE  SAÚDE  DO  TRABALHADOR. Centro</w:t>
      </w:r>
    </w:p>
    <w:p w:rsidR="00D81F69" w:rsidRDefault="00330118">
      <w:pPr>
        <w:spacing w:before="56"/>
        <w:ind w:left="100"/>
        <w:rPr>
          <w:sz w:val="16"/>
        </w:rPr>
      </w:pPr>
      <w:r>
        <w:rPr>
          <w:spacing w:val="17"/>
          <w:sz w:val="16"/>
        </w:rPr>
        <w:t xml:space="preserve">Estadual   </w:t>
      </w:r>
      <w:r>
        <w:rPr>
          <w:spacing w:val="10"/>
          <w:sz w:val="16"/>
        </w:rPr>
        <w:t xml:space="preserve">de   </w:t>
      </w:r>
      <w:r>
        <w:rPr>
          <w:spacing w:val="15"/>
          <w:sz w:val="16"/>
        </w:rPr>
        <w:t xml:space="preserve">Saúde </w:t>
      </w:r>
      <w:r>
        <w:rPr>
          <w:spacing w:val="75"/>
          <w:sz w:val="16"/>
        </w:rPr>
        <w:t xml:space="preserve"> </w:t>
      </w:r>
      <w:r>
        <w:rPr>
          <w:spacing w:val="10"/>
          <w:sz w:val="16"/>
        </w:rPr>
        <w:t xml:space="preserve">do   </w:t>
      </w:r>
      <w:r>
        <w:rPr>
          <w:spacing w:val="18"/>
          <w:sz w:val="16"/>
        </w:rPr>
        <w:t xml:space="preserve">Trabalhador.  </w:t>
      </w:r>
      <w:r>
        <w:rPr>
          <w:spacing w:val="17"/>
          <w:sz w:val="16"/>
        </w:rPr>
        <w:t>Disponível</w:t>
      </w:r>
      <w:r>
        <w:rPr>
          <w:spacing w:val="16"/>
          <w:sz w:val="16"/>
        </w:rPr>
        <w:t xml:space="preserve"> </w:t>
      </w:r>
      <w:r>
        <w:rPr>
          <w:spacing w:val="13"/>
          <w:sz w:val="16"/>
        </w:rPr>
        <w:t>em:</w:t>
      </w:r>
      <w:r>
        <w:rPr>
          <w:spacing w:val="-23"/>
          <w:sz w:val="16"/>
        </w:rPr>
        <w:t xml:space="preserve"> </w:t>
      </w:r>
    </w:p>
    <w:p w:rsidR="00D81F69" w:rsidRDefault="00D81F69">
      <w:pPr>
        <w:spacing w:before="56" w:line="312" w:lineRule="auto"/>
        <w:ind w:left="100" w:right="195"/>
        <w:jc w:val="both"/>
        <w:rPr>
          <w:sz w:val="16"/>
        </w:rPr>
      </w:pPr>
      <w:hyperlink r:id="rId1690">
        <w:r w:rsidR="00330118">
          <w:rPr>
            <w:sz w:val="16"/>
          </w:rPr>
          <w:t>&lt;http://www.google.com.br/url?sa=t&amp;rct=j&amp;q=&amp;esrc=s&amp;source=web&amp;c</w:t>
        </w:r>
      </w:hyperlink>
      <w:r w:rsidR="00330118">
        <w:rPr>
          <w:sz w:val="16"/>
        </w:rPr>
        <w:t xml:space="preserve"> d=3&amp;cts=1331769713025&amp;ved=0CEgQFjAC&amp;url=http%3A%2F%2Fw ww.saude.pr.gov.br%2Farquivos%2FFile%2Fc</w:t>
      </w:r>
      <w:r w:rsidR="00330118">
        <w:rPr>
          <w:sz w:val="16"/>
        </w:rPr>
        <w:t>est%2Farq%2FAprese ntacao_COSAT.pps&amp;ei=ZTFhT5H3JojTtwesruWoBQ&amp;usg=AFQjCNE E 7 O z s _ m D M t D _ E 7 D f 8 T l x - VlIv4Q&amp;sig2=OWEi8HUauSK_O4yaL7B5Qg&gt;. Acesso em: 14 dez. 2011.</w:t>
      </w:r>
    </w:p>
    <w:p w:rsidR="00D81F69" w:rsidRDefault="00330118">
      <w:pPr>
        <w:spacing w:before="5" w:line="312" w:lineRule="auto"/>
        <w:ind w:left="100" w:right="155"/>
        <w:jc w:val="both"/>
        <w:rPr>
          <w:sz w:val="16"/>
        </w:rPr>
      </w:pPr>
      <w:r>
        <w:rPr>
          <w:sz w:val="16"/>
        </w:rPr>
        <w:t xml:space="preserve">FOLHA DE LONDRINA. MP do Paraná obtém liminar contra indústria. L o n d r i n </w:t>
      </w:r>
      <w:r>
        <w:rPr>
          <w:sz w:val="16"/>
        </w:rPr>
        <w:t xml:space="preserve">a , 1 2 j u n . 2 0 0 7 . D i s p o n í v e l e m : </w:t>
      </w:r>
    </w:p>
    <w:p w:rsidR="00D81F69" w:rsidRDefault="00D81F69">
      <w:pPr>
        <w:spacing w:before="2" w:line="312" w:lineRule="auto"/>
        <w:ind w:left="100" w:right="213"/>
        <w:jc w:val="both"/>
        <w:rPr>
          <w:sz w:val="16"/>
        </w:rPr>
      </w:pPr>
      <w:hyperlink r:id="rId1691">
        <w:r w:rsidR="00330118">
          <w:rPr>
            <w:sz w:val="16"/>
          </w:rPr>
          <w:t xml:space="preserve">&lt;http://ambienteja.info/ver_cliente.asp?id=97391&gt;. </w:t>
        </w:r>
      </w:hyperlink>
      <w:r w:rsidR="00330118">
        <w:rPr>
          <w:sz w:val="16"/>
        </w:rPr>
        <w:t>Acesso em: 13 dez. 2011.</w:t>
      </w:r>
    </w:p>
    <w:p w:rsidR="00D81F69" w:rsidRDefault="00330118">
      <w:pPr>
        <w:spacing w:before="2" w:line="312" w:lineRule="auto"/>
        <w:ind w:left="100" w:right="155"/>
        <w:jc w:val="both"/>
        <w:rPr>
          <w:sz w:val="16"/>
        </w:rPr>
      </w:pPr>
      <w:r>
        <w:rPr>
          <w:sz w:val="16"/>
        </w:rPr>
        <w:t>IBGE, Instituto Brasileiro de Geografia e Estatística. Mauá da</w:t>
      </w:r>
      <w:r>
        <w:rPr>
          <w:sz w:val="16"/>
        </w:rPr>
        <w:t xml:space="preserve"> Serra      ( P R ) . I n : I B G E C i d a d e s . D i s p o n í v e l</w:t>
      </w:r>
      <w:r>
        <w:rPr>
          <w:spacing w:val="22"/>
          <w:sz w:val="16"/>
        </w:rPr>
        <w:t xml:space="preserve"> </w:t>
      </w:r>
      <w:r>
        <w:rPr>
          <w:sz w:val="16"/>
        </w:rPr>
        <w:t xml:space="preserve">e m : </w:t>
      </w:r>
    </w:p>
    <w:p w:rsidR="00D81F69" w:rsidRDefault="00D81F69">
      <w:pPr>
        <w:spacing w:before="1"/>
        <w:ind w:left="100"/>
        <w:rPr>
          <w:sz w:val="16"/>
        </w:rPr>
      </w:pPr>
      <w:hyperlink r:id="rId1692">
        <w:r w:rsidR="00330118">
          <w:rPr>
            <w:sz w:val="16"/>
          </w:rPr>
          <w:t>&lt;http://www.ibge.gov.br/cidadesat/xtras/perfil.php?codmun=411575&amp;r</w:t>
        </w:r>
      </w:hyperlink>
    </w:p>
    <w:p w:rsidR="00D81F69" w:rsidRDefault="00330118">
      <w:pPr>
        <w:spacing w:before="56"/>
        <w:ind w:left="100"/>
        <w:rPr>
          <w:sz w:val="16"/>
        </w:rPr>
      </w:pPr>
      <w:r>
        <w:rPr>
          <w:sz w:val="16"/>
        </w:rPr>
        <w:t>=2&gt;. Acesso em: 13 dez.</w:t>
      </w:r>
      <w:r>
        <w:rPr>
          <w:sz w:val="16"/>
        </w:rPr>
        <w:t xml:space="preserve"> 2011.</w:t>
      </w:r>
    </w:p>
    <w:p w:rsidR="00D81F69" w:rsidRDefault="00330118">
      <w:pPr>
        <w:spacing w:before="56" w:line="312" w:lineRule="auto"/>
        <w:ind w:left="100" w:right="180"/>
        <w:jc w:val="both"/>
        <w:rPr>
          <w:sz w:val="16"/>
        </w:rPr>
      </w:pPr>
      <w:r>
        <w:rPr>
          <w:sz w:val="16"/>
        </w:rPr>
        <w:t xml:space="preserve">MANZONI, Patrícia; MINAS, Raul. Poluição por chumbo em Santo </w:t>
      </w:r>
      <w:r>
        <w:rPr>
          <w:spacing w:val="13"/>
          <w:sz w:val="16"/>
        </w:rPr>
        <w:t xml:space="preserve">Amaro </w:t>
      </w:r>
      <w:r>
        <w:rPr>
          <w:spacing w:val="8"/>
          <w:sz w:val="16"/>
        </w:rPr>
        <w:t xml:space="preserve">da </w:t>
      </w:r>
      <w:r>
        <w:rPr>
          <w:spacing w:val="15"/>
          <w:sz w:val="16"/>
        </w:rPr>
        <w:t xml:space="preserve">Purificação. </w:t>
      </w:r>
      <w:r>
        <w:rPr>
          <w:spacing w:val="8"/>
          <w:sz w:val="16"/>
        </w:rPr>
        <w:t xml:space="preserve">26 </w:t>
      </w:r>
      <w:r>
        <w:rPr>
          <w:spacing w:val="12"/>
          <w:sz w:val="16"/>
        </w:rPr>
        <w:t xml:space="preserve">mar. </w:t>
      </w:r>
      <w:r>
        <w:rPr>
          <w:spacing w:val="13"/>
          <w:sz w:val="16"/>
        </w:rPr>
        <w:t xml:space="preserve">2009. </w:t>
      </w:r>
      <w:r>
        <w:rPr>
          <w:spacing w:val="15"/>
          <w:sz w:val="16"/>
        </w:rPr>
        <w:t>Disponível</w:t>
      </w:r>
      <w:r>
        <w:rPr>
          <w:spacing w:val="72"/>
          <w:sz w:val="16"/>
        </w:rPr>
        <w:t xml:space="preserve"> </w:t>
      </w:r>
      <w:r>
        <w:rPr>
          <w:spacing w:val="11"/>
          <w:sz w:val="16"/>
        </w:rPr>
        <w:t>em:</w:t>
      </w:r>
      <w:r>
        <w:rPr>
          <w:spacing w:val="-25"/>
          <w:sz w:val="16"/>
        </w:rPr>
        <w:t xml:space="preserve"> </w:t>
      </w:r>
    </w:p>
    <w:p w:rsidR="00D81F69" w:rsidRDefault="00D81F69">
      <w:pPr>
        <w:spacing w:before="2" w:line="312" w:lineRule="auto"/>
        <w:ind w:left="100" w:right="216"/>
        <w:jc w:val="both"/>
        <w:rPr>
          <w:sz w:val="16"/>
        </w:rPr>
      </w:pPr>
      <w:hyperlink r:id="rId1693">
        <w:r w:rsidR="00330118">
          <w:rPr>
            <w:sz w:val="16"/>
          </w:rPr>
          <w:t xml:space="preserve">&lt;http://jangello.unifacs.br/stoamaro/poluicao_stoamaro.htm&gt;. </w:t>
        </w:r>
      </w:hyperlink>
      <w:r w:rsidR="00330118">
        <w:rPr>
          <w:sz w:val="16"/>
        </w:rPr>
        <w:t>Acesso em: 09 dez. 2011.</w:t>
      </w:r>
    </w:p>
    <w:p w:rsidR="00D81F69" w:rsidRDefault="00330118">
      <w:pPr>
        <w:spacing w:before="2"/>
        <w:ind w:left="100"/>
        <w:rPr>
          <w:sz w:val="16"/>
        </w:rPr>
      </w:pPr>
      <w:r>
        <w:rPr>
          <w:sz w:val="16"/>
        </w:rPr>
        <w:t>MAPA  DA  INJUSTIÇA  AMBIENTAL  E   SAÚDE  NO BRASIL.</w:t>
      </w:r>
    </w:p>
    <w:p w:rsidR="00D81F69" w:rsidRDefault="00330118">
      <w:pPr>
        <w:spacing w:before="56" w:line="312" w:lineRule="auto"/>
        <w:ind w:left="100" w:right="182"/>
        <w:jc w:val="both"/>
        <w:rPr>
          <w:sz w:val="16"/>
        </w:rPr>
      </w:pPr>
      <w:r>
        <w:rPr>
          <w:sz w:val="16"/>
        </w:rPr>
        <w:t xml:space="preserve">População de Mauá da Serra impede implantação de usina recicladora  de   chumbo,  06   dez.   2009.   Disponível em: </w:t>
      </w:r>
    </w:p>
    <w:p w:rsidR="00D81F69" w:rsidRDefault="00D81F69">
      <w:pPr>
        <w:spacing w:before="1" w:line="312" w:lineRule="auto"/>
        <w:ind w:left="100" w:right="216"/>
        <w:jc w:val="both"/>
        <w:rPr>
          <w:sz w:val="16"/>
        </w:rPr>
      </w:pPr>
      <w:hyperlink r:id="rId1694">
        <w:r w:rsidR="00330118">
          <w:rPr>
            <w:sz w:val="16"/>
          </w:rPr>
          <w:t>&lt;http://www.conflitoambiental.icict.fiocruz.br/index.php?pag=ficha&amp;co</w:t>
        </w:r>
      </w:hyperlink>
      <w:r w:rsidR="00330118">
        <w:rPr>
          <w:sz w:val="16"/>
        </w:rPr>
        <w:t xml:space="preserve"> d=167&gt;. Acesso em: 09 dez. 2011.</w:t>
      </w:r>
    </w:p>
    <w:p w:rsidR="00D81F69" w:rsidRDefault="00330118">
      <w:pPr>
        <w:spacing w:before="2" w:line="312" w:lineRule="auto"/>
        <w:ind w:left="100" w:right="196"/>
        <w:jc w:val="both"/>
        <w:rPr>
          <w:sz w:val="16"/>
        </w:rPr>
      </w:pPr>
      <w:r>
        <w:rPr>
          <w:sz w:val="16"/>
        </w:rPr>
        <w:t xml:space="preserve">MARTONI, Ligia. Queda-de-braço no centro-norte do Paraná. Paraná </w:t>
      </w:r>
      <w:r>
        <w:rPr>
          <w:sz w:val="16"/>
        </w:rPr>
        <w:t>Online, 30 mar. 2007, atualizado em 19 jul. 2008a. Disponível em:</w:t>
      </w:r>
    </w:p>
    <w:p w:rsidR="00D81F69" w:rsidRDefault="00330118">
      <w:pPr>
        <w:spacing w:before="2" w:line="312" w:lineRule="auto"/>
        <w:ind w:left="100" w:right="215"/>
        <w:jc w:val="both"/>
        <w:rPr>
          <w:sz w:val="16"/>
        </w:rPr>
      </w:pPr>
      <w:r>
        <w:rPr>
          <w:sz w:val="16"/>
        </w:rPr>
        <w:t>&lt; h t t p : / / w w w . p a r a n a - online.com.br/editoria/cidades/news/233234/?notici&gt;. Acesso em: 09 dez. 2011.</w:t>
      </w:r>
    </w:p>
    <w:p w:rsidR="00D81F69" w:rsidRDefault="00330118">
      <w:pPr>
        <w:tabs>
          <w:tab w:val="left" w:pos="1271"/>
        </w:tabs>
        <w:spacing w:before="2" w:line="312" w:lineRule="auto"/>
        <w:ind w:left="100" w:right="196"/>
        <w:jc w:val="both"/>
        <w:rPr>
          <w:sz w:val="16"/>
        </w:rPr>
      </w:pPr>
      <w:r>
        <w:rPr>
          <w:sz w:val="16"/>
        </w:rPr>
        <w:t xml:space="preserve">______. Índios protestam e impedem instalação de usina no </w:t>
      </w:r>
      <w:r>
        <w:rPr>
          <w:spacing w:val="1"/>
          <w:sz w:val="16"/>
        </w:rPr>
        <w:t xml:space="preserve">norte. </w:t>
      </w:r>
      <w:r>
        <w:rPr>
          <w:sz w:val="16"/>
        </w:rPr>
        <w:t>Paraná On</w:t>
      </w:r>
      <w:r>
        <w:rPr>
          <w:sz w:val="16"/>
        </w:rPr>
        <w:t xml:space="preserve">line, 27 set. 2007, atualizado em 19 jul. 2008b. Disponível  e </w:t>
      </w:r>
      <w:r>
        <w:rPr>
          <w:spacing w:val="42"/>
          <w:sz w:val="16"/>
        </w:rPr>
        <w:t xml:space="preserve"> </w:t>
      </w:r>
      <w:r>
        <w:rPr>
          <w:sz w:val="16"/>
        </w:rPr>
        <w:t xml:space="preserve">m </w:t>
      </w:r>
      <w:r>
        <w:rPr>
          <w:spacing w:val="42"/>
          <w:sz w:val="16"/>
        </w:rPr>
        <w:t xml:space="preserve"> </w:t>
      </w:r>
      <w:r>
        <w:rPr>
          <w:sz w:val="16"/>
        </w:rPr>
        <w:t>:</w:t>
      </w:r>
      <w:r>
        <w:rPr>
          <w:sz w:val="16"/>
        </w:rPr>
        <w:tab/>
        <w:t>&lt; h t t p : / / w w w . p a r a n a - online.com.br/editoria/cidades/news/262903/?notic&gt;. Acesso em: 09 dez.</w:t>
      </w:r>
      <w:r>
        <w:rPr>
          <w:spacing w:val="8"/>
          <w:sz w:val="16"/>
        </w:rPr>
        <w:t xml:space="preserve"> </w:t>
      </w:r>
      <w:r>
        <w:rPr>
          <w:sz w:val="16"/>
        </w:rPr>
        <w:t>2011.</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232" w:space="238"/>
            <w:col w:w="5310"/>
          </w:cols>
        </w:sectPr>
      </w:pPr>
    </w:p>
    <w:p w:rsidR="00D81F69" w:rsidRDefault="00330118">
      <w:pPr>
        <w:pStyle w:val="Heading1"/>
        <w:spacing w:line="208" w:lineRule="auto"/>
        <w:ind w:right="301"/>
      </w:pPr>
      <w:r>
        <w:lastRenderedPageBreak/>
        <w:t>Moradores de Candiota (RS) convivem com resíduos da queima de carvão de termelétrica</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RS - Candiota</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-31,4768</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-53,6792</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8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A </w:t>
      </w:r>
      <w:r>
        <w:rPr>
          <w:i/>
          <w:spacing w:val="16"/>
          <w:sz w:val="16"/>
        </w:rPr>
        <w:t xml:space="preserve">poluição emitida </w:t>
      </w:r>
      <w:r>
        <w:rPr>
          <w:i/>
          <w:spacing w:val="15"/>
          <w:sz w:val="16"/>
        </w:rPr>
        <w:t xml:space="preserve">pela Usina </w:t>
      </w:r>
      <w:r>
        <w:rPr>
          <w:i/>
          <w:sz w:val="16"/>
        </w:rPr>
        <w:t xml:space="preserve">Termoelétrica Presidente Médici atinge a </w:t>
      </w:r>
      <w:r>
        <w:rPr>
          <w:i/>
          <w:sz w:val="16"/>
        </w:rPr>
        <w:t xml:space="preserve">população de Candiota (RS), que relata a ocorrência de problemas respiratórios e diversos danos ambientais na região. Pesquisas realizadas desde a década de </w:t>
      </w:r>
      <w:r>
        <w:rPr>
          <w:i/>
          <w:spacing w:val="5"/>
          <w:sz w:val="16"/>
        </w:rPr>
        <w:t xml:space="preserve">1980 </w:t>
      </w:r>
      <w:r>
        <w:rPr>
          <w:i/>
          <w:spacing w:val="6"/>
          <w:sz w:val="16"/>
        </w:rPr>
        <w:t xml:space="preserve">demonstram </w:t>
      </w:r>
      <w:r>
        <w:rPr>
          <w:i/>
          <w:spacing w:val="5"/>
          <w:sz w:val="16"/>
        </w:rPr>
        <w:t xml:space="preserve">que </w:t>
      </w:r>
      <w:r>
        <w:rPr>
          <w:i/>
          <w:sz w:val="16"/>
        </w:rPr>
        <w:t xml:space="preserve">o </w:t>
      </w:r>
      <w:r>
        <w:rPr>
          <w:i/>
          <w:spacing w:val="5"/>
          <w:sz w:val="16"/>
        </w:rPr>
        <w:t xml:space="preserve">volume </w:t>
      </w:r>
      <w:r>
        <w:rPr>
          <w:i/>
          <w:spacing w:val="7"/>
          <w:sz w:val="16"/>
        </w:rPr>
        <w:t xml:space="preserve">de </w:t>
      </w:r>
      <w:r>
        <w:rPr>
          <w:i/>
          <w:sz w:val="16"/>
        </w:rPr>
        <w:t>substâncias poluentes em Candiota está acima do</w:t>
      </w:r>
      <w:r>
        <w:rPr>
          <w:i/>
          <w:spacing w:val="5"/>
          <w:sz w:val="16"/>
        </w:rPr>
        <w:t xml:space="preserve"> </w:t>
      </w:r>
      <w:r>
        <w:rPr>
          <w:i/>
          <w:sz w:val="16"/>
        </w:rPr>
        <w:t>tolerável.</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8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96"/>
      </w:pPr>
      <w:r>
        <w:rPr>
          <w:spacing w:val="8"/>
        </w:rPr>
        <w:t xml:space="preserve">Renováveis </w:t>
      </w:r>
      <w:r>
        <w:rPr>
          <w:spacing w:val="7"/>
        </w:rPr>
        <w:t xml:space="preserve">(Ibama) </w:t>
      </w:r>
      <w:r>
        <w:rPr>
          <w:spacing w:val="8"/>
        </w:rPr>
        <w:t xml:space="preserve">reveladoras </w:t>
      </w:r>
      <w:r>
        <w:rPr>
          <w:spacing w:val="5"/>
        </w:rPr>
        <w:t xml:space="preserve">da </w:t>
      </w:r>
      <w:r>
        <w:rPr>
          <w:spacing w:val="7"/>
        </w:rPr>
        <w:t xml:space="preserve">presença </w:t>
      </w:r>
      <w:r>
        <w:rPr>
          <w:spacing w:val="5"/>
        </w:rPr>
        <w:t xml:space="preserve">de </w:t>
      </w:r>
      <w:r>
        <w:rPr>
          <w:spacing w:val="10"/>
        </w:rPr>
        <w:t xml:space="preserve">uma </w:t>
      </w:r>
      <w:r>
        <w:t>quantidade de dióxido de enxofre (SO2) oito vezes mais alta do que o limite legal permitido para a substância. Além disso, o volume de material particulado liberado era 26 vezes maior do que o tolerável. Os</w:t>
      </w:r>
      <w:r>
        <w:t xml:space="preserve"> resultados levaram o Ministério Público Federal a pedir o fechamento da usina (VAZ,</w:t>
      </w:r>
      <w:r>
        <w:rPr>
          <w:spacing w:val="15"/>
        </w:rPr>
        <w:t xml:space="preserve"> </w:t>
      </w:r>
      <w:r>
        <w:t>2011).</w:t>
      </w:r>
    </w:p>
    <w:p w:rsidR="00D81F69" w:rsidRDefault="00330118">
      <w:pPr>
        <w:pStyle w:val="Corpodetexto"/>
        <w:spacing w:before="72" w:line="270" w:lineRule="atLeast"/>
        <w:ind w:left="135" w:right="209"/>
      </w:pPr>
      <w:r>
        <w:t>No início de 2011, o MPF pediu ao Ibama que estabelecesse um prazo de 15 dias para encerrar o funcionamento das fases A e B de Candiota, e anulasse a licença conced</w:t>
      </w:r>
      <w:r>
        <w:t>ida para a fase C. De acordo com o MPF, desde 2004 tramita um inquérito civil-público para averiguar infração ambiental das</w:t>
      </w:r>
    </w:p>
    <w:p w:rsidR="00D81F69" w:rsidRDefault="00D81F69">
      <w:pPr>
        <w:spacing w:line="270" w:lineRule="atLeast"/>
        <w:sectPr w:rsidR="00D81F69">
          <w:type w:val="continuous"/>
          <w:pgSz w:w="11900" w:h="16840"/>
          <w:pgMar w:top="720" w:right="500" w:bottom="280" w:left="620" w:header="720" w:footer="720" w:gutter="0"/>
          <w:cols w:num="3" w:space="720" w:equalWidth="0">
            <w:col w:w="1055" w:space="945"/>
            <w:col w:w="3118" w:space="317"/>
            <w:col w:w="5345"/>
          </w:cols>
        </w:sectPr>
      </w:pPr>
    </w:p>
    <w:p w:rsidR="00D81F69" w:rsidRDefault="00330118">
      <w:pPr>
        <w:pStyle w:val="Heading4"/>
        <w:spacing w:line="183" w:lineRule="exact"/>
        <w:jc w:val="left"/>
      </w:pPr>
      <w:r>
        <w:lastRenderedPageBreak/>
        <w:t>APRESENTAÇÃO DE CASO</w:t>
      </w:r>
    </w:p>
    <w:p w:rsidR="00D81F69" w:rsidRDefault="00330118">
      <w:pPr>
        <w:pStyle w:val="Corpodetexto"/>
        <w:spacing w:before="170" w:line="312" w:lineRule="auto"/>
        <w:ind w:right="86"/>
      </w:pPr>
      <w:r>
        <w:t xml:space="preserve">A primeira parte do que viria a ser o Complexo Termelétrico de Candiota foi inaugurada em 1961, na cidade de Bagé (RS). </w:t>
      </w:r>
      <w:r>
        <w:rPr>
          <w:spacing w:val="5"/>
        </w:rPr>
        <w:t xml:space="preserve">Durante </w:t>
      </w:r>
      <w:r>
        <w:rPr>
          <w:spacing w:val="3"/>
        </w:rPr>
        <w:t xml:space="preserve">os </w:t>
      </w:r>
      <w:r>
        <w:rPr>
          <w:spacing w:val="5"/>
        </w:rPr>
        <w:t xml:space="preserve">anos </w:t>
      </w:r>
      <w:r>
        <w:rPr>
          <w:spacing w:val="6"/>
        </w:rPr>
        <w:t xml:space="preserve">seguintes, </w:t>
      </w:r>
      <w:r>
        <w:t xml:space="preserve">o </w:t>
      </w:r>
      <w:r>
        <w:rPr>
          <w:spacing w:val="5"/>
        </w:rPr>
        <w:t xml:space="preserve">projeto </w:t>
      </w:r>
      <w:r>
        <w:rPr>
          <w:spacing w:val="6"/>
        </w:rPr>
        <w:t xml:space="preserve">passaria </w:t>
      </w:r>
      <w:r>
        <w:rPr>
          <w:spacing w:val="5"/>
        </w:rPr>
        <w:t xml:space="preserve">por </w:t>
      </w:r>
      <w:r>
        <w:rPr>
          <w:spacing w:val="7"/>
        </w:rPr>
        <w:t xml:space="preserve">um </w:t>
      </w:r>
      <w:r>
        <w:t xml:space="preserve">processo contínuo de incremento e expansão, que se estende até os dias de hoje. Em </w:t>
      </w:r>
      <w:r>
        <w:t xml:space="preserve">1974, o governo militar inaugurou a fase A da Usina Termelétrica Presidente Médici (UTPM) e, em 1986, a fase B. Depois de 25 anos de obras e paralisações, a </w:t>
      </w:r>
      <w:r>
        <w:rPr>
          <w:spacing w:val="10"/>
        </w:rPr>
        <w:t xml:space="preserve">fase </w:t>
      </w:r>
      <w:r>
        <w:t xml:space="preserve">C - </w:t>
      </w:r>
      <w:r>
        <w:rPr>
          <w:spacing w:val="11"/>
        </w:rPr>
        <w:t xml:space="preserve">motivo </w:t>
      </w:r>
      <w:r>
        <w:rPr>
          <w:spacing w:val="6"/>
        </w:rPr>
        <w:t xml:space="preserve">de </w:t>
      </w:r>
      <w:r>
        <w:rPr>
          <w:spacing w:val="11"/>
        </w:rPr>
        <w:t xml:space="preserve">grande </w:t>
      </w:r>
      <w:r>
        <w:rPr>
          <w:spacing w:val="12"/>
        </w:rPr>
        <w:t xml:space="preserve">polêmica </w:t>
      </w:r>
      <w:r>
        <w:t xml:space="preserve">– </w:t>
      </w:r>
      <w:r>
        <w:rPr>
          <w:spacing w:val="11"/>
        </w:rPr>
        <w:t xml:space="preserve">entrou </w:t>
      </w:r>
      <w:r>
        <w:rPr>
          <w:spacing w:val="6"/>
        </w:rPr>
        <w:t xml:space="preserve">em </w:t>
      </w:r>
      <w:r>
        <w:rPr>
          <w:spacing w:val="12"/>
        </w:rPr>
        <w:t xml:space="preserve">funcionamento </w:t>
      </w:r>
      <w:r>
        <w:rPr>
          <w:spacing w:val="6"/>
        </w:rPr>
        <w:t xml:space="preserve">em </w:t>
      </w:r>
      <w:r>
        <w:rPr>
          <w:spacing w:val="10"/>
        </w:rPr>
        <w:t xml:space="preserve">2011 </w:t>
      </w:r>
      <w:r>
        <w:rPr>
          <w:spacing w:val="11"/>
        </w:rPr>
        <w:t>(VAZ,</w:t>
      </w:r>
      <w:r>
        <w:rPr>
          <w:spacing w:val="36"/>
        </w:rPr>
        <w:t xml:space="preserve"> </w:t>
      </w:r>
      <w:r>
        <w:rPr>
          <w:spacing w:val="11"/>
        </w:rPr>
        <w:t>2011).</w:t>
      </w:r>
      <w:r>
        <w:rPr>
          <w:spacing w:val="-34"/>
        </w:rPr>
        <w:t xml:space="preserve"> </w:t>
      </w:r>
    </w:p>
    <w:p w:rsidR="00D81F69" w:rsidRDefault="00330118">
      <w:pPr>
        <w:pStyle w:val="Corpodetexto"/>
        <w:spacing w:before="138" w:line="312" w:lineRule="auto"/>
        <w:ind w:right="126"/>
        <w:jc w:val="left"/>
      </w:pPr>
      <w:r>
        <w:rPr>
          <w:spacing w:val="5"/>
        </w:rPr>
        <w:t xml:space="preserve">Atualmente, </w:t>
      </w:r>
      <w:r>
        <w:t xml:space="preserve">a </w:t>
      </w:r>
      <w:r>
        <w:rPr>
          <w:spacing w:val="3"/>
        </w:rPr>
        <w:t>UT</w:t>
      </w:r>
      <w:r>
        <w:rPr>
          <w:spacing w:val="3"/>
        </w:rPr>
        <w:t xml:space="preserve">PM </w:t>
      </w:r>
      <w:r>
        <w:t xml:space="preserve">é </w:t>
      </w:r>
      <w:r>
        <w:rPr>
          <w:spacing w:val="5"/>
        </w:rPr>
        <w:t xml:space="preserve">administrada </w:t>
      </w:r>
      <w:r>
        <w:rPr>
          <w:spacing w:val="3"/>
        </w:rPr>
        <w:t xml:space="preserve">pela </w:t>
      </w:r>
      <w:r>
        <w:rPr>
          <w:spacing w:val="5"/>
        </w:rPr>
        <w:t>Companhia de</w:t>
      </w:r>
      <w:r>
        <w:rPr>
          <w:spacing w:val="61"/>
        </w:rPr>
        <w:t xml:space="preserve"> </w:t>
      </w:r>
      <w:r>
        <w:t xml:space="preserve">Geração Térmica de Energia Elétrica (CGTEE), empresa do </w:t>
      </w:r>
      <w:r>
        <w:rPr>
          <w:spacing w:val="5"/>
        </w:rPr>
        <w:t xml:space="preserve">sistema </w:t>
      </w:r>
      <w:r>
        <w:rPr>
          <w:spacing w:val="6"/>
        </w:rPr>
        <w:t xml:space="preserve">Eletrobras, </w:t>
      </w:r>
      <w:r>
        <w:rPr>
          <w:spacing w:val="5"/>
        </w:rPr>
        <w:t xml:space="preserve">titular dos </w:t>
      </w:r>
      <w:r>
        <w:rPr>
          <w:spacing w:val="6"/>
        </w:rPr>
        <w:t xml:space="preserve">direitos </w:t>
      </w:r>
      <w:r>
        <w:rPr>
          <w:spacing w:val="3"/>
        </w:rPr>
        <w:t xml:space="preserve">de </w:t>
      </w:r>
      <w:r>
        <w:rPr>
          <w:spacing w:val="6"/>
        </w:rPr>
        <w:t xml:space="preserve">exploração </w:t>
      </w:r>
      <w:r>
        <w:t xml:space="preserve">e produção de energia elétrica através de usinas termelétricas </w:t>
      </w:r>
      <w:r>
        <w:rPr>
          <w:spacing w:val="3"/>
        </w:rPr>
        <w:t xml:space="preserve">instaladas </w:t>
      </w:r>
      <w:r>
        <w:rPr>
          <w:spacing w:val="1"/>
        </w:rPr>
        <w:t xml:space="preserve">no </w:t>
      </w:r>
      <w:r>
        <w:rPr>
          <w:spacing w:val="2"/>
        </w:rPr>
        <w:t xml:space="preserve">Rio </w:t>
      </w:r>
      <w:r>
        <w:rPr>
          <w:spacing w:val="3"/>
        </w:rPr>
        <w:t xml:space="preserve">Grande </w:t>
      </w:r>
      <w:r>
        <w:rPr>
          <w:spacing w:val="1"/>
        </w:rPr>
        <w:t xml:space="preserve">do </w:t>
      </w:r>
      <w:r>
        <w:rPr>
          <w:spacing w:val="2"/>
        </w:rPr>
        <w:t xml:space="preserve">Sul </w:t>
      </w:r>
      <w:r>
        <w:rPr>
          <w:spacing w:val="5"/>
        </w:rPr>
        <w:t xml:space="preserve">(ELETROBRAS-CGTEE, </w:t>
      </w:r>
      <w:r>
        <w:t xml:space="preserve">2011a). O estado concentra as maiores reservas de </w:t>
      </w:r>
      <w:r>
        <w:rPr>
          <w:spacing w:val="1"/>
        </w:rPr>
        <w:t xml:space="preserve">carvão   </w:t>
      </w:r>
      <w:r>
        <w:t xml:space="preserve">do país, sendo Candiota a maior de suas jazidas (SANTANA; TEIXEIRA, 2008). Em 1992, a usina trocou de jurisprudência com a criação do município de Candiota - em território </w:t>
      </w:r>
      <w:r>
        <w:rPr>
          <w:spacing w:val="1"/>
        </w:rPr>
        <w:t xml:space="preserve">que </w:t>
      </w:r>
      <w:r>
        <w:t>an</w:t>
      </w:r>
      <w:r>
        <w:t xml:space="preserve">tes pertencia a Bagé. Localizado na região da Campanha, </w:t>
      </w:r>
      <w:r>
        <w:rPr>
          <w:spacing w:val="1"/>
        </w:rPr>
        <w:t xml:space="preserve">distando apenas </w:t>
      </w:r>
      <w:r>
        <w:t xml:space="preserve">50 km da </w:t>
      </w:r>
      <w:r>
        <w:rPr>
          <w:spacing w:val="1"/>
        </w:rPr>
        <w:t xml:space="preserve">fronteira entre Brasil </w:t>
      </w:r>
      <w:r>
        <w:t xml:space="preserve">e </w:t>
      </w:r>
      <w:r>
        <w:rPr>
          <w:spacing w:val="2"/>
        </w:rPr>
        <w:t xml:space="preserve">Uruguai </w:t>
      </w:r>
      <w:r>
        <w:rPr>
          <w:spacing w:val="7"/>
        </w:rPr>
        <w:t xml:space="preserve">(VAZ, 2011), </w:t>
      </w:r>
      <w:r>
        <w:t xml:space="preserve">a </w:t>
      </w:r>
      <w:r>
        <w:rPr>
          <w:spacing w:val="6"/>
        </w:rPr>
        <w:t xml:space="preserve">nova </w:t>
      </w:r>
      <w:r>
        <w:rPr>
          <w:spacing w:val="7"/>
        </w:rPr>
        <w:t xml:space="preserve">cidade, </w:t>
      </w:r>
      <w:r>
        <w:rPr>
          <w:spacing w:val="5"/>
        </w:rPr>
        <w:t xml:space="preserve">que tem 933 km² </w:t>
      </w:r>
      <w:r>
        <w:t xml:space="preserve">e </w:t>
      </w:r>
      <w:r>
        <w:rPr>
          <w:spacing w:val="10"/>
        </w:rPr>
        <w:t xml:space="preserve">8.771 </w:t>
      </w:r>
      <w:r>
        <w:t xml:space="preserve">habitantes (IBGE, 2010), teve, desde o início, a usina como o </w:t>
      </w:r>
      <w:r>
        <w:rPr>
          <w:spacing w:val="3"/>
        </w:rPr>
        <w:t xml:space="preserve">maior empregador </w:t>
      </w:r>
      <w:r>
        <w:rPr>
          <w:spacing w:val="1"/>
        </w:rPr>
        <w:t xml:space="preserve">de </w:t>
      </w:r>
      <w:r>
        <w:rPr>
          <w:spacing w:val="2"/>
        </w:rPr>
        <w:t xml:space="preserve">sua </w:t>
      </w:r>
      <w:r>
        <w:rPr>
          <w:spacing w:val="3"/>
        </w:rPr>
        <w:t>popu</w:t>
      </w:r>
      <w:r>
        <w:rPr>
          <w:spacing w:val="3"/>
        </w:rPr>
        <w:t xml:space="preserve">lação </w:t>
      </w:r>
      <w:r>
        <w:t xml:space="preserve">e </w:t>
      </w:r>
      <w:r>
        <w:rPr>
          <w:spacing w:val="3"/>
        </w:rPr>
        <w:t xml:space="preserve">principal fonte </w:t>
      </w:r>
      <w:r>
        <w:rPr>
          <w:spacing w:val="5"/>
        </w:rPr>
        <w:t xml:space="preserve">de divisas, através </w:t>
      </w:r>
      <w:r>
        <w:rPr>
          <w:spacing w:val="3"/>
        </w:rPr>
        <w:t xml:space="preserve">dos </w:t>
      </w:r>
      <w:r>
        <w:rPr>
          <w:spacing w:val="5"/>
        </w:rPr>
        <w:t xml:space="preserve">impostos </w:t>
      </w:r>
      <w:r>
        <w:rPr>
          <w:spacing w:val="3"/>
        </w:rPr>
        <w:t xml:space="preserve">pagos </w:t>
      </w:r>
      <w:r>
        <w:rPr>
          <w:spacing w:val="2"/>
        </w:rPr>
        <w:t xml:space="preserve">ao </w:t>
      </w:r>
      <w:r>
        <w:rPr>
          <w:spacing w:val="5"/>
        </w:rPr>
        <w:t xml:space="preserve">município (VAZ, </w:t>
      </w:r>
      <w:r>
        <w:t xml:space="preserve">2011). Entretanto, moradores, representantes da comunidade científica, jornalistas, ambientalistas, integrantes do Ministério </w:t>
      </w:r>
      <w:r>
        <w:rPr>
          <w:spacing w:val="10"/>
        </w:rPr>
        <w:t xml:space="preserve">Público Federal (MPF) </w:t>
      </w:r>
      <w:r>
        <w:t xml:space="preserve">e </w:t>
      </w:r>
      <w:r>
        <w:rPr>
          <w:spacing w:val="10"/>
        </w:rPr>
        <w:t xml:space="preserve">outros atores sociais </w:t>
      </w:r>
      <w:r>
        <w:rPr>
          <w:spacing w:val="12"/>
        </w:rPr>
        <w:t>vê</w:t>
      </w:r>
      <w:r>
        <w:rPr>
          <w:spacing w:val="12"/>
        </w:rPr>
        <w:t xml:space="preserve">m </w:t>
      </w:r>
      <w:r>
        <w:t>apontando, desde a década de 1980, o alto nível de poluição por detritos sólidos, gases nocivos e outros danos ambientais atribuídos à termelétrica (RÓTULO,</w:t>
      </w:r>
      <w:r>
        <w:rPr>
          <w:spacing w:val="15"/>
        </w:rPr>
        <w:t xml:space="preserve"> </w:t>
      </w:r>
      <w:r>
        <w:t>2003).</w:t>
      </w:r>
    </w:p>
    <w:p w:rsidR="00D81F69" w:rsidRDefault="00330118">
      <w:pPr>
        <w:pStyle w:val="Corpodetexto"/>
        <w:spacing w:before="150" w:line="312" w:lineRule="auto"/>
        <w:ind w:right="96"/>
      </w:pPr>
      <w:r>
        <w:t xml:space="preserve">Uma reportagem publicada em março de 2011 pelo jornal Correio Brasiliense registrou que é </w:t>
      </w:r>
      <w:r>
        <w:t>possível encontrar cinzas lançadas pela chaminé da UTPM espalhadas por toda a cidade de Candiota. Os resíduos estariam depositados em “mesas, beirais de janelas, tanques, carros estacionados e varais de roupas”. A matéria cita análises realizadas pelo Inst</w:t>
      </w:r>
      <w:r>
        <w:t>ituto Brasileiro do Meio Ambiente e dos Recursos</w:t>
      </w:r>
    </w:p>
    <w:p w:rsidR="00D81F69" w:rsidRDefault="00330118">
      <w:pPr>
        <w:pStyle w:val="Corpodetexto"/>
        <w:spacing w:before="63" w:line="312" w:lineRule="auto"/>
        <w:ind w:right="199"/>
      </w:pPr>
      <w:r>
        <w:br w:type="column"/>
      </w:r>
      <w:r>
        <w:lastRenderedPageBreak/>
        <w:t xml:space="preserve">fases A e B do complexo, e o Ibama assinou um termo de compromisso com a empresa para readequação ambiental do empreendimento, o que não ocorreu (INSTITUTO HUMANITAS UNISINOS, 2011). </w:t>
      </w:r>
    </w:p>
    <w:p w:rsidR="00D81F69" w:rsidRDefault="00330118">
      <w:pPr>
        <w:pStyle w:val="Corpodetexto"/>
        <w:spacing w:before="134" w:line="312" w:lineRule="auto"/>
        <w:ind w:right="195"/>
      </w:pPr>
      <w:r>
        <w:t>Surpreendentemente, em</w:t>
      </w:r>
      <w:r>
        <w:t xml:space="preserve"> 29 de dezembro de 2010, o Ibama concedeu autorização para o início das operações da fase C da usina de Candiota (VAZ, 2011). Para o MPF, a autorização para a Fase C foi concedida “ignorando todo o corpo técnico do Ibama, destituída de qualquer fundamento </w:t>
      </w:r>
      <w:r>
        <w:t xml:space="preserve">técnico e legal, afrontando a lei e a Constituição e todo e qualquer princípio </w:t>
      </w:r>
      <w:r>
        <w:rPr>
          <w:spacing w:val="1"/>
        </w:rPr>
        <w:t xml:space="preserve">de </w:t>
      </w:r>
      <w:r>
        <w:rPr>
          <w:spacing w:val="3"/>
        </w:rPr>
        <w:t xml:space="preserve">direito ambiental”. </w:t>
      </w:r>
      <w:r>
        <w:rPr>
          <w:spacing w:val="2"/>
        </w:rPr>
        <w:t xml:space="preserve">Além </w:t>
      </w:r>
      <w:r>
        <w:rPr>
          <w:spacing w:val="3"/>
        </w:rPr>
        <w:t xml:space="preserve">disso, </w:t>
      </w:r>
      <w:r>
        <w:t xml:space="preserve">o </w:t>
      </w:r>
      <w:r>
        <w:rPr>
          <w:spacing w:val="3"/>
        </w:rPr>
        <w:t xml:space="preserve">Ibama, </w:t>
      </w:r>
      <w:r>
        <w:rPr>
          <w:spacing w:val="1"/>
        </w:rPr>
        <w:t xml:space="preserve">em </w:t>
      </w:r>
      <w:r>
        <w:rPr>
          <w:spacing w:val="2"/>
        </w:rPr>
        <w:t xml:space="preserve">sua </w:t>
      </w:r>
      <w:r>
        <w:rPr>
          <w:spacing w:val="5"/>
        </w:rPr>
        <w:t xml:space="preserve">última visita </w:t>
      </w:r>
      <w:r>
        <w:t xml:space="preserve">à </w:t>
      </w:r>
      <w:r>
        <w:rPr>
          <w:spacing w:val="5"/>
        </w:rPr>
        <w:t xml:space="preserve">usina, </w:t>
      </w:r>
      <w:r>
        <w:rPr>
          <w:spacing w:val="3"/>
        </w:rPr>
        <w:t xml:space="preserve">teria </w:t>
      </w:r>
      <w:r>
        <w:rPr>
          <w:spacing w:val="5"/>
        </w:rPr>
        <w:t xml:space="preserve">constatado </w:t>
      </w:r>
      <w:r>
        <w:rPr>
          <w:spacing w:val="3"/>
        </w:rPr>
        <w:t xml:space="preserve">que </w:t>
      </w:r>
      <w:r>
        <w:rPr>
          <w:spacing w:val="2"/>
        </w:rPr>
        <w:t xml:space="preserve">os </w:t>
      </w:r>
      <w:r>
        <w:rPr>
          <w:spacing w:val="5"/>
        </w:rPr>
        <w:t xml:space="preserve">equipamentos de </w:t>
      </w:r>
      <w:r>
        <w:t>monitoramento atmosférico não estavam sequer calibrados para fa</w:t>
      </w:r>
      <w:r>
        <w:t>zer as medições necessárias para controlar a poluição (INSTITUTO HUMANITAS UNISINOS, 2011). Outro</w:t>
      </w:r>
      <w:r>
        <w:rPr>
          <w:spacing w:val="8"/>
        </w:rPr>
        <w:t xml:space="preserve"> </w:t>
      </w:r>
      <w:r>
        <w:t>problema</w:t>
      </w:r>
    </w:p>
    <w:p w:rsidR="00D81F69" w:rsidRDefault="00330118">
      <w:pPr>
        <w:pStyle w:val="Corpodetexto"/>
        <w:spacing w:before="10" w:line="312" w:lineRule="auto"/>
        <w:ind w:right="185"/>
      </w:pPr>
      <w:r>
        <w:t>que acomete Candiota é o fato de as cinzas serem, geralmente, abandonadas no interior das cavas das minas, a céu aberto (SANTANA; TEIXEIRA, 2008).</w:t>
      </w:r>
    </w:p>
    <w:p w:rsidR="00D81F69" w:rsidRDefault="00330118">
      <w:pPr>
        <w:pStyle w:val="Corpodetexto"/>
        <w:spacing w:before="133" w:line="312" w:lineRule="auto"/>
        <w:ind w:right="205"/>
      </w:pPr>
      <w:r>
        <w:t xml:space="preserve">A </w:t>
      </w:r>
      <w:r>
        <w:rPr>
          <w:spacing w:val="3"/>
        </w:rPr>
        <w:t xml:space="preserve">reportagem </w:t>
      </w:r>
      <w:r>
        <w:rPr>
          <w:spacing w:val="1"/>
        </w:rPr>
        <w:t xml:space="preserve">do </w:t>
      </w:r>
      <w:r>
        <w:rPr>
          <w:spacing w:val="3"/>
        </w:rPr>
        <w:t xml:space="preserve">Correio Brasiliense apurou ainda </w:t>
      </w:r>
      <w:r>
        <w:rPr>
          <w:spacing w:val="2"/>
        </w:rPr>
        <w:t xml:space="preserve">que </w:t>
      </w:r>
      <w:r>
        <w:t xml:space="preserve">a </w:t>
      </w:r>
      <w:r>
        <w:rPr>
          <w:spacing w:val="7"/>
        </w:rPr>
        <w:t xml:space="preserve">companhia CGTEE teria </w:t>
      </w:r>
      <w:r>
        <w:rPr>
          <w:spacing w:val="8"/>
        </w:rPr>
        <w:t xml:space="preserve">conhecimento </w:t>
      </w:r>
      <w:r>
        <w:rPr>
          <w:spacing w:val="5"/>
        </w:rPr>
        <w:t xml:space="preserve">dos </w:t>
      </w:r>
      <w:r>
        <w:rPr>
          <w:spacing w:val="10"/>
        </w:rPr>
        <w:t xml:space="preserve">problemas </w:t>
      </w:r>
      <w:r>
        <w:t xml:space="preserve">ambientais da usina, pois já havia enviado cartas ao Ibama </w:t>
      </w:r>
      <w:r>
        <w:rPr>
          <w:spacing w:val="8"/>
        </w:rPr>
        <w:t xml:space="preserve">prometendo </w:t>
      </w:r>
      <w:r>
        <w:rPr>
          <w:spacing w:val="7"/>
        </w:rPr>
        <w:t xml:space="preserve">mitigar </w:t>
      </w:r>
      <w:r>
        <w:rPr>
          <w:spacing w:val="5"/>
        </w:rPr>
        <w:t xml:space="preserve">os </w:t>
      </w:r>
      <w:r>
        <w:rPr>
          <w:spacing w:val="7"/>
        </w:rPr>
        <w:t xml:space="preserve">danos causados, </w:t>
      </w:r>
      <w:r>
        <w:rPr>
          <w:spacing w:val="6"/>
        </w:rPr>
        <w:t xml:space="preserve">“sob </w:t>
      </w:r>
      <w:r>
        <w:rPr>
          <w:spacing w:val="7"/>
        </w:rPr>
        <w:t xml:space="preserve">risco </w:t>
      </w:r>
      <w:r>
        <w:rPr>
          <w:spacing w:val="10"/>
        </w:rPr>
        <w:t xml:space="preserve">de </w:t>
      </w:r>
      <w:r>
        <w:rPr>
          <w:spacing w:val="8"/>
        </w:rPr>
        <w:t xml:space="preserve">insolvência </w:t>
      </w:r>
      <w:r>
        <w:rPr>
          <w:spacing w:val="5"/>
        </w:rPr>
        <w:t xml:space="preserve">da </w:t>
      </w:r>
      <w:r>
        <w:rPr>
          <w:spacing w:val="7"/>
        </w:rPr>
        <w:t xml:space="preserve">empresa”. </w:t>
      </w:r>
      <w:r>
        <w:t xml:space="preserve">O </w:t>
      </w:r>
      <w:r>
        <w:rPr>
          <w:spacing w:val="7"/>
        </w:rPr>
        <w:t xml:space="preserve">jornal publicou relatos </w:t>
      </w:r>
      <w:r>
        <w:rPr>
          <w:spacing w:val="10"/>
        </w:rPr>
        <w:t xml:space="preserve">de </w:t>
      </w:r>
      <w:r>
        <w:rPr>
          <w:spacing w:val="7"/>
        </w:rPr>
        <w:t xml:space="preserve">moradores sobre </w:t>
      </w:r>
      <w:r>
        <w:t xml:space="preserve">a </w:t>
      </w:r>
      <w:r>
        <w:rPr>
          <w:spacing w:val="7"/>
        </w:rPr>
        <w:t xml:space="preserve">qualidade </w:t>
      </w:r>
      <w:r>
        <w:rPr>
          <w:spacing w:val="5"/>
        </w:rPr>
        <w:t xml:space="preserve">do ar </w:t>
      </w:r>
      <w:r>
        <w:rPr>
          <w:spacing w:val="6"/>
        </w:rPr>
        <w:t xml:space="preserve">após </w:t>
      </w:r>
      <w:r>
        <w:t xml:space="preserve">o </w:t>
      </w:r>
      <w:r>
        <w:rPr>
          <w:spacing w:val="7"/>
        </w:rPr>
        <w:t xml:space="preserve">início </w:t>
      </w:r>
      <w:r>
        <w:rPr>
          <w:spacing w:val="10"/>
        </w:rPr>
        <w:t xml:space="preserve">das </w:t>
      </w:r>
      <w:r>
        <w:t>atividades da chaminé da fase C, que começou a funcionar em caráter experimental em setembro de 2010. Um morador chegou a afirmar que, aparentemente, a nova chaminé estaria polu</w:t>
      </w:r>
      <w:r>
        <w:t xml:space="preserve">indo mais do que a antiga. O mesmo morador posou para </w:t>
      </w:r>
      <w:r>
        <w:rPr>
          <w:spacing w:val="3"/>
        </w:rPr>
        <w:t xml:space="preserve">uma </w:t>
      </w:r>
      <w:r>
        <w:rPr>
          <w:spacing w:val="5"/>
        </w:rPr>
        <w:t xml:space="preserve">fotografia </w:t>
      </w:r>
      <w:r>
        <w:rPr>
          <w:spacing w:val="3"/>
        </w:rPr>
        <w:t xml:space="preserve">com </w:t>
      </w:r>
      <w:r>
        <w:t xml:space="preserve">a </w:t>
      </w:r>
      <w:r>
        <w:rPr>
          <w:spacing w:val="3"/>
        </w:rPr>
        <w:t xml:space="preserve">mão </w:t>
      </w:r>
      <w:r>
        <w:rPr>
          <w:spacing w:val="5"/>
        </w:rPr>
        <w:t xml:space="preserve">suja </w:t>
      </w:r>
      <w:r>
        <w:rPr>
          <w:spacing w:val="2"/>
        </w:rPr>
        <w:t xml:space="preserve">de </w:t>
      </w:r>
      <w:r>
        <w:rPr>
          <w:spacing w:val="5"/>
        </w:rPr>
        <w:t xml:space="preserve">cinzas </w:t>
      </w:r>
      <w:r>
        <w:rPr>
          <w:spacing w:val="3"/>
        </w:rPr>
        <w:t xml:space="preserve">que </w:t>
      </w:r>
      <w:r>
        <w:rPr>
          <w:spacing w:val="6"/>
        </w:rPr>
        <w:t xml:space="preserve">estavam </w:t>
      </w:r>
      <w:r>
        <w:rPr>
          <w:spacing w:val="10"/>
        </w:rPr>
        <w:t xml:space="preserve">depositadas </w:t>
      </w:r>
      <w:r>
        <w:rPr>
          <w:spacing w:val="5"/>
        </w:rPr>
        <w:t xml:space="preserve">em um </w:t>
      </w:r>
      <w:r>
        <w:rPr>
          <w:spacing w:val="8"/>
        </w:rPr>
        <w:t xml:space="preserve">tanque </w:t>
      </w:r>
      <w:r>
        <w:rPr>
          <w:spacing w:val="5"/>
        </w:rPr>
        <w:t xml:space="preserve">de </w:t>
      </w:r>
      <w:r>
        <w:rPr>
          <w:spacing w:val="7"/>
        </w:rPr>
        <w:t xml:space="preserve">lavar </w:t>
      </w:r>
      <w:r>
        <w:rPr>
          <w:spacing w:val="8"/>
        </w:rPr>
        <w:t xml:space="preserve">roupas, </w:t>
      </w:r>
      <w:r>
        <w:rPr>
          <w:spacing w:val="5"/>
        </w:rPr>
        <w:t xml:space="preserve">em </w:t>
      </w:r>
      <w:r>
        <w:rPr>
          <w:spacing w:val="10"/>
        </w:rPr>
        <w:t xml:space="preserve">sua </w:t>
      </w:r>
      <w:r>
        <w:rPr>
          <w:spacing w:val="8"/>
        </w:rPr>
        <w:t xml:space="preserve">residência </w:t>
      </w:r>
      <w:r>
        <w:rPr>
          <w:spacing w:val="7"/>
        </w:rPr>
        <w:t>(VAZ,</w:t>
      </w:r>
      <w:r>
        <w:rPr>
          <w:spacing w:val="45"/>
        </w:rPr>
        <w:t xml:space="preserve"> </w:t>
      </w:r>
      <w:r>
        <w:rPr>
          <w:spacing w:val="10"/>
        </w:rPr>
        <w:t>2011).</w:t>
      </w:r>
    </w:p>
    <w:p w:rsidR="00D81F69" w:rsidRDefault="00330118">
      <w:pPr>
        <w:pStyle w:val="Corpodetexto"/>
        <w:spacing w:before="79" w:line="270" w:lineRule="atLeast"/>
        <w:ind w:right="211"/>
      </w:pPr>
      <w:r>
        <w:t>Ao lado de outras fontes de energia não renováveis, como o petróleo e o gás n</w:t>
      </w:r>
      <w:r>
        <w:t>atural, o carvão provoca severos danos ambientais. As consequências desses danos podem ser não apenas locais (poluição do ar), mas também globais (efeito estufa) (SANTANA;TEIXEIRA, 2008). Um dos aspectos mais perigosos da queima do carvão é a produção de p</w:t>
      </w:r>
      <w:r>
        <w:t>artículas tóxicas finas que podem permanecer por muito tempo na</w:t>
      </w:r>
    </w:p>
    <w:p w:rsidR="00D81F69" w:rsidRDefault="00D81F69">
      <w:pPr>
        <w:spacing w:line="270" w:lineRule="atLeast"/>
        <w:sectPr w:rsidR="00D81F69">
          <w:type w:val="continuous"/>
          <w:pgSz w:w="11900" w:h="16840"/>
          <w:pgMar w:top="720" w:right="500" w:bottom="280" w:left="620" w:header="720" w:footer="720" w:gutter="0"/>
          <w:cols w:num="2" w:space="720" w:equalWidth="0">
            <w:col w:w="5200" w:space="270"/>
            <w:col w:w="5310"/>
          </w:cols>
        </w:sectPr>
      </w:pPr>
    </w:p>
    <w:p w:rsidR="00D81F69" w:rsidRDefault="00330118">
      <w:pPr>
        <w:pStyle w:val="Corpodetexto"/>
        <w:spacing w:before="81" w:line="312" w:lineRule="auto"/>
        <w:ind w:right="65"/>
      </w:pPr>
      <w:r>
        <w:rPr>
          <w:spacing w:val="5"/>
        </w:rPr>
        <w:lastRenderedPageBreak/>
        <w:t xml:space="preserve">atmosfera, viajando centenas </w:t>
      </w:r>
      <w:r>
        <w:rPr>
          <w:spacing w:val="2"/>
        </w:rPr>
        <w:t xml:space="preserve">de </w:t>
      </w:r>
      <w:r>
        <w:rPr>
          <w:spacing w:val="5"/>
        </w:rPr>
        <w:t xml:space="preserve">quilômetros </w:t>
      </w:r>
      <w:r>
        <w:rPr>
          <w:spacing w:val="3"/>
        </w:rPr>
        <w:t xml:space="preserve">desde </w:t>
      </w:r>
      <w:r>
        <w:rPr>
          <w:spacing w:val="5"/>
        </w:rPr>
        <w:t>sua</w:t>
      </w:r>
      <w:r>
        <w:rPr>
          <w:spacing w:val="61"/>
        </w:rPr>
        <w:t xml:space="preserve"> </w:t>
      </w:r>
      <w:r>
        <w:t>origem. Quando inaladas, essas partículas ficam alojadas nos alvéolos pulmonares, gerando graves problemas resp</w:t>
      </w:r>
      <w:r>
        <w:t>iratórios (QUEROL et al., 1995 apud SANTANA; TEIXEIRA, 2008).</w:t>
      </w:r>
    </w:p>
    <w:p w:rsidR="00D81F69" w:rsidRDefault="00330118">
      <w:pPr>
        <w:pStyle w:val="Corpodetexto"/>
        <w:spacing w:before="134" w:line="312" w:lineRule="auto"/>
        <w:ind w:right="38"/>
      </w:pPr>
      <w:r>
        <w:t xml:space="preserve">O </w:t>
      </w:r>
      <w:r>
        <w:rPr>
          <w:spacing w:val="5"/>
        </w:rPr>
        <w:t xml:space="preserve">carvão supre cerca </w:t>
      </w:r>
      <w:r>
        <w:rPr>
          <w:spacing w:val="3"/>
        </w:rPr>
        <w:t xml:space="preserve">de </w:t>
      </w:r>
      <w:r>
        <w:rPr>
          <w:spacing w:val="5"/>
        </w:rPr>
        <w:t xml:space="preserve">40% </w:t>
      </w:r>
      <w:r>
        <w:rPr>
          <w:spacing w:val="3"/>
        </w:rPr>
        <w:t xml:space="preserve">da </w:t>
      </w:r>
      <w:r>
        <w:rPr>
          <w:spacing w:val="5"/>
        </w:rPr>
        <w:t xml:space="preserve">demanda </w:t>
      </w:r>
      <w:r>
        <w:rPr>
          <w:spacing w:val="6"/>
        </w:rPr>
        <w:t xml:space="preserve">elétrica </w:t>
      </w:r>
      <w:r>
        <w:rPr>
          <w:spacing w:val="7"/>
        </w:rPr>
        <w:t xml:space="preserve">do planeta, proporção </w:t>
      </w:r>
      <w:r>
        <w:rPr>
          <w:spacing w:val="5"/>
        </w:rPr>
        <w:t xml:space="preserve">que </w:t>
      </w:r>
      <w:r>
        <w:rPr>
          <w:spacing w:val="6"/>
        </w:rPr>
        <w:t xml:space="preserve">deve </w:t>
      </w:r>
      <w:r>
        <w:rPr>
          <w:spacing w:val="7"/>
        </w:rPr>
        <w:t xml:space="preserve">continuar </w:t>
      </w:r>
      <w:r>
        <w:t xml:space="preserve">a </w:t>
      </w:r>
      <w:r>
        <w:rPr>
          <w:spacing w:val="7"/>
        </w:rPr>
        <w:t xml:space="preserve">crescer </w:t>
      </w:r>
      <w:r>
        <w:rPr>
          <w:spacing w:val="10"/>
        </w:rPr>
        <w:t xml:space="preserve">nas </w:t>
      </w:r>
      <w:r>
        <w:rPr>
          <w:spacing w:val="5"/>
        </w:rPr>
        <w:t xml:space="preserve">próximas décadas. Caso </w:t>
      </w:r>
      <w:r>
        <w:rPr>
          <w:spacing w:val="3"/>
        </w:rPr>
        <w:t xml:space="preserve">não </w:t>
      </w:r>
      <w:r>
        <w:rPr>
          <w:spacing w:val="5"/>
        </w:rPr>
        <w:t xml:space="preserve">conte </w:t>
      </w:r>
      <w:r>
        <w:rPr>
          <w:spacing w:val="3"/>
        </w:rPr>
        <w:t xml:space="preserve">com </w:t>
      </w:r>
      <w:r>
        <w:rPr>
          <w:spacing w:val="2"/>
        </w:rPr>
        <w:t xml:space="preserve">um </w:t>
      </w:r>
      <w:r>
        <w:rPr>
          <w:spacing w:val="5"/>
        </w:rPr>
        <w:t xml:space="preserve">sistema </w:t>
      </w:r>
      <w:r>
        <w:rPr>
          <w:spacing w:val="6"/>
        </w:rPr>
        <w:t xml:space="preserve">de </w:t>
      </w:r>
      <w:r>
        <w:rPr>
          <w:spacing w:val="5"/>
        </w:rPr>
        <w:t xml:space="preserve">filtragem </w:t>
      </w:r>
      <w:r>
        <w:t xml:space="preserve">e </w:t>
      </w:r>
      <w:r>
        <w:rPr>
          <w:spacing w:val="5"/>
        </w:rPr>
        <w:t xml:space="preserve">monitoramento rigoroso, </w:t>
      </w:r>
      <w:r>
        <w:t xml:space="preserve">a </w:t>
      </w:r>
      <w:r>
        <w:rPr>
          <w:spacing w:val="5"/>
        </w:rPr>
        <w:t>qu</w:t>
      </w:r>
      <w:r>
        <w:rPr>
          <w:spacing w:val="5"/>
        </w:rPr>
        <w:t xml:space="preserve">eima </w:t>
      </w:r>
      <w:r>
        <w:rPr>
          <w:spacing w:val="2"/>
        </w:rPr>
        <w:t xml:space="preserve">do </w:t>
      </w:r>
      <w:r>
        <w:rPr>
          <w:spacing w:val="5"/>
        </w:rPr>
        <w:t xml:space="preserve">carvão </w:t>
      </w:r>
      <w:r>
        <w:t xml:space="preserve">combustível em termelétricas e indústrias liberará partículas </w:t>
      </w:r>
      <w:r>
        <w:rPr>
          <w:spacing w:val="5"/>
        </w:rPr>
        <w:t xml:space="preserve">tóxicas </w:t>
      </w:r>
      <w:r>
        <w:t xml:space="preserve">e </w:t>
      </w:r>
      <w:r>
        <w:rPr>
          <w:spacing w:val="3"/>
        </w:rPr>
        <w:t xml:space="preserve">gases </w:t>
      </w:r>
      <w:r>
        <w:rPr>
          <w:spacing w:val="5"/>
        </w:rPr>
        <w:t xml:space="preserve">poluentes </w:t>
      </w:r>
      <w:r>
        <w:rPr>
          <w:spacing w:val="3"/>
        </w:rPr>
        <w:t xml:space="preserve">como </w:t>
      </w:r>
      <w:r>
        <w:rPr>
          <w:spacing w:val="2"/>
        </w:rPr>
        <w:t xml:space="preserve">os </w:t>
      </w:r>
      <w:r>
        <w:rPr>
          <w:spacing w:val="5"/>
        </w:rPr>
        <w:t xml:space="preserve">óxidos </w:t>
      </w:r>
      <w:r>
        <w:rPr>
          <w:spacing w:val="2"/>
        </w:rPr>
        <w:t xml:space="preserve">de </w:t>
      </w:r>
      <w:r>
        <w:rPr>
          <w:spacing w:val="5"/>
        </w:rPr>
        <w:t>nitrogênio</w:t>
      </w:r>
      <w:r>
        <w:rPr>
          <w:spacing w:val="61"/>
        </w:rPr>
        <w:t xml:space="preserve"> </w:t>
      </w:r>
      <w:r>
        <w:t xml:space="preserve">(NOx) e o SO2. Essas substâncias causam diversos danos à </w:t>
      </w:r>
      <w:r>
        <w:rPr>
          <w:spacing w:val="1"/>
        </w:rPr>
        <w:t xml:space="preserve">saúde humana </w:t>
      </w:r>
      <w:r>
        <w:t xml:space="preserve">e </w:t>
      </w:r>
      <w:r>
        <w:rPr>
          <w:spacing w:val="1"/>
        </w:rPr>
        <w:t xml:space="preserve">podem provocar </w:t>
      </w:r>
      <w:r>
        <w:t xml:space="preserve">um </w:t>
      </w:r>
      <w:r>
        <w:rPr>
          <w:spacing w:val="1"/>
        </w:rPr>
        <w:t xml:space="preserve">fenômeno </w:t>
      </w:r>
      <w:r>
        <w:rPr>
          <w:spacing w:val="2"/>
        </w:rPr>
        <w:t xml:space="preserve">ambiental </w:t>
      </w:r>
      <w:r>
        <w:rPr>
          <w:spacing w:val="5"/>
        </w:rPr>
        <w:t xml:space="preserve">extremamente prejudicial: </w:t>
      </w:r>
      <w:r>
        <w:t xml:space="preserve">a </w:t>
      </w:r>
      <w:r>
        <w:rPr>
          <w:spacing w:val="3"/>
        </w:rPr>
        <w:t xml:space="preserve">chuva </w:t>
      </w:r>
      <w:r>
        <w:rPr>
          <w:spacing w:val="5"/>
        </w:rPr>
        <w:t xml:space="preserve">ácida. </w:t>
      </w:r>
      <w:r>
        <w:rPr>
          <w:spacing w:val="3"/>
        </w:rPr>
        <w:t xml:space="preserve">Por sua vez, </w:t>
      </w:r>
      <w:r>
        <w:t xml:space="preserve">a </w:t>
      </w:r>
      <w:r>
        <w:rPr>
          <w:spacing w:val="8"/>
        </w:rPr>
        <w:t xml:space="preserve">precipitação </w:t>
      </w:r>
      <w:r>
        <w:rPr>
          <w:spacing w:val="5"/>
        </w:rPr>
        <w:t xml:space="preserve">com pH </w:t>
      </w:r>
      <w:r>
        <w:rPr>
          <w:spacing w:val="7"/>
        </w:rPr>
        <w:t xml:space="preserve">ácido afeta </w:t>
      </w:r>
      <w:r>
        <w:t xml:space="preserve">a </w:t>
      </w:r>
      <w:r>
        <w:rPr>
          <w:spacing w:val="8"/>
        </w:rPr>
        <w:t xml:space="preserve">biodivesidade </w:t>
      </w:r>
      <w:r>
        <w:t xml:space="preserve">e a agricultura e provoca a corrosão de materiais metálicos, entre </w:t>
      </w:r>
      <w:r>
        <w:rPr>
          <w:spacing w:val="12"/>
        </w:rPr>
        <w:t xml:space="preserve">diversas </w:t>
      </w:r>
      <w:r>
        <w:rPr>
          <w:spacing w:val="11"/>
        </w:rPr>
        <w:t xml:space="preserve">outras </w:t>
      </w:r>
      <w:r>
        <w:rPr>
          <w:spacing w:val="12"/>
        </w:rPr>
        <w:t xml:space="preserve">consequências </w:t>
      </w:r>
      <w:r>
        <w:rPr>
          <w:spacing w:val="11"/>
        </w:rPr>
        <w:t xml:space="preserve">nocivas </w:t>
      </w:r>
      <w:r>
        <w:rPr>
          <w:spacing w:val="15"/>
        </w:rPr>
        <w:t xml:space="preserve">(SANTANA; </w:t>
      </w:r>
      <w:r>
        <w:rPr>
          <w:spacing w:val="12"/>
        </w:rPr>
        <w:t>TEIXEIRA,</w:t>
      </w:r>
      <w:r>
        <w:rPr>
          <w:spacing w:val="68"/>
        </w:rPr>
        <w:t xml:space="preserve"> </w:t>
      </w:r>
      <w:r>
        <w:rPr>
          <w:spacing w:val="15"/>
        </w:rPr>
        <w:t>2008).</w:t>
      </w:r>
    </w:p>
    <w:p w:rsidR="00D81F69" w:rsidRDefault="00330118">
      <w:pPr>
        <w:pStyle w:val="Corpodetexto"/>
        <w:spacing w:before="142" w:line="312" w:lineRule="auto"/>
        <w:ind w:right="67"/>
      </w:pPr>
      <w:r>
        <w:t>Em tese defendida no</w:t>
      </w:r>
      <w:r>
        <w:t xml:space="preserve"> ano de 2003, na Fundação Getúlio Vargas, o doutorando em Administração Daniel Rótulo buscou demonstrar como a poluição despejada por Candiota acabou se tornando um assunto importante na pauta do governo federal e até mesmo do Ministério das Relações Exter</w:t>
      </w:r>
      <w:r>
        <w:t>iores do Brasil (RÓTULO, 2003).</w:t>
      </w:r>
    </w:p>
    <w:p w:rsidR="00D81F69" w:rsidRDefault="00330118">
      <w:pPr>
        <w:pStyle w:val="Corpodetexto"/>
        <w:spacing w:before="135" w:line="312" w:lineRule="auto"/>
        <w:ind w:right="49"/>
      </w:pPr>
      <w:r>
        <w:t>A discussão em torno da contaminação ambiental gerada pela UTPM passou a ser considerada um assunto significativo na agenda pública a partir da segunda metade dos anos 1980. Nesse período, uma série de queixas, feitas por atores sociais de diferentes campo</w:t>
      </w:r>
      <w:r>
        <w:t>s, começaram a ganhar destaque localmente. As queixas chamavam atenção para danos causados pela usina à fauna, à flora, à agricultura e à saúde humana no Rio Grande do Sul e também em território uruguaio (RÓTULO, 2003).</w:t>
      </w:r>
    </w:p>
    <w:p w:rsidR="00D81F69" w:rsidRDefault="00330118">
      <w:pPr>
        <w:pStyle w:val="Corpodetexto"/>
        <w:spacing w:before="138" w:line="312" w:lineRule="auto"/>
        <w:ind w:right="52"/>
      </w:pPr>
      <w:r>
        <w:rPr>
          <w:spacing w:val="5"/>
        </w:rPr>
        <w:t xml:space="preserve">Os </w:t>
      </w:r>
      <w:r>
        <w:rPr>
          <w:spacing w:val="7"/>
        </w:rPr>
        <w:t xml:space="preserve">jornais </w:t>
      </w:r>
      <w:r>
        <w:rPr>
          <w:spacing w:val="5"/>
        </w:rPr>
        <w:t xml:space="preserve">da </w:t>
      </w:r>
      <w:r>
        <w:rPr>
          <w:spacing w:val="7"/>
        </w:rPr>
        <w:t xml:space="preserve">cidade </w:t>
      </w:r>
      <w:r>
        <w:rPr>
          <w:spacing w:val="5"/>
        </w:rPr>
        <w:t xml:space="preserve">de </w:t>
      </w:r>
      <w:r>
        <w:rPr>
          <w:spacing w:val="6"/>
        </w:rPr>
        <w:t xml:space="preserve">Bagé </w:t>
      </w:r>
      <w:r>
        <w:rPr>
          <w:spacing w:val="7"/>
        </w:rPr>
        <w:t xml:space="preserve">(onde </w:t>
      </w:r>
      <w:r>
        <w:t>a</w:t>
      </w:r>
      <w:r>
        <w:t xml:space="preserve"> </w:t>
      </w:r>
      <w:r>
        <w:rPr>
          <w:spacing w:val="7"/>
        </w:rPr>
        <w:t xml:space="preserve">companhia </w:t>
      </w:r>
      <w:r>
        <w:rPr>
          <w:spacing w:val="10"/>
        </w:rPr>
        <w:t xml:space="preserve">se </w:t>
      </w:r>
      <w:r>
        <w:rPr>
          <w:spacing w:val="1"/>
        </w:rPr>
        <w:t xml:space="preserve">localizava </w:t>
      </w:r>
      <w:r>
        <w:t xml:space="preserve">na </w:t>
      </w:r>
      <w:r>
        <w:rPr>
          <w:spacing w:val="1"/>
        </w:rPr>
        <w:t xml:space="preserve">ocasião) passaram </w:t>
      </w:r>
      <w:r>
        <w:t xml:space="preserve">a </w:t>
      </w:r>
      <w:r>
        <w:rPr>
          <w:spacing w:val="1"/>
        </w:rPr>
        <w:t xml:space="preserve">publicar </w:t>
      </w:r>
      <w:r>
        <w:rPr>
          <w:spacing w:val="2"/>
        </w:rPr>
        <w:t xml:space="preserve">continuamente </w:t>
      </w:r>
      <w:r>
        <w:rPr>
          <w:spacing w:val="1"/>
        </w:rPr>
        <w:t xml:space="preserve">relatos </w:t>
      </w:r>
      <w:r>
        <w:t xml:space="preserve">de </w:t>
      </w:r>
      <w:r>
        <w:rPr>
          <w:spacing w:val="1"/>
        </w:rPr>
        <w:t xml:space="preserve">moradores sobre </w:t>
      </w:r>
      <w:r>
        <w:t xml:space="preserve">a má </w:t>
      </w:r>
      <w:r>
        <w:rPr>
          <w:spacing w:val="1"/>
        </w:rPr>
        <w:t xml:space="preserve">qualidade </w:t>
      </w:r>
      <w:r>
        <w:t xml:space="preserve">das </w:t>
      </w:r>
      <w:r>
        <w:rPr>
          <w:spacing w:val="1"/>
        </w:rPr>
        <w:t xml:space="preserve">águas </w:t>
      </w:r>
      <w:r>
        <w:t xml:space="preserve">e o </w:t>
      </w:r>
      <w:r>
        <w:rPr>
          <w:spacing w:val="7"/>
        </w:rPr>
        <w:t xml:space="preserve">aumento </w:t>
      </w:r>
      <w:r>
        <w:rPr>
          <w:spacing w:val="5"/>
        </w:rPr>
        <w:t xml:space="preserve">da </w:t>
      </w:r>
      <w:r>
        <w:rPr>
          <w:spacing w:val="8"/>
        </w:rPr>
        <w:t xml:space="preserve">ocorrência </w:t>
      </w:r>
      <w:r>
        <w:t xml:space="preserve">e </w:t>
      </w:r>
      <w:r>
        <w:rPr>
          <w:spacing w:val="5"/>
        </w:rPr>
        <w:t xml:space="preserve">da </w:t>
      </w:r>
      <w:r>
        <w:rPr>
          <w:spacing w:val="7"/>
        </w:rPr>
        <w:t xml:space="preserve">gravidade </w:t>
      </w:r>
      <w:r>
        <w:rPr>
          <w:spacing w:val="5"/>
        </w:rPr>
        <w:t xml:space="preserve">de </w:t>
      </w:r>
      <w:r>
        <w:rPr>
          <w:spacing w:val="10"/>
        </w:rPr>
        <w:t xml:space="preserve">problemas </w:t>
      </w:r>
      <w:r>
        <w:t>respiratórios na população. Produtores rurais relataram ainda o surgimento de p</w:t>
      </w:r>
      <w:r>
        <w:t xml:space="preserve">roblemas na dentição do rebanho bovino e ovino e o surgimento de vegetação amarelada nas pastagens. </w:t>
      </w:r>
      <w:r>
        <w:rPr>
          <w:spacing w:val="1"/>
        </w:rPr>
        <w:t xml:space="preserve">Em </w:t>
      </w:r>
      <w:r>
        <w:rPr>
          <w:spacing w:val="3"/>
        </w:rPr>
        <w:t xml:space="preserve">seguida, </w:t>
      </w:r>
      <w:r>
        <w:t xml:space="preserve">a </w:t>
      </w:r>
      <w:r>
        <w:rPr>
          <w:spacing w:val="3"/>
        </w:rPr>
        <w:t xml:space="preserve">Associação </w:t>
      </w:r>
      <w:r>
        <w:rPr>
          <w:spacing w:val="1"/>
        </w:rPr>
        <w:t xml:space="preserve">de </w:t>
      </w:r>
      <w:r>
        <w:rPr>
          <w:spacing w:val="3"/>
        </w:rPr>
        <w:t xml:space="preserve">Médicos </w:t>
      </w:r>
      <w:r>
        <w:rPr>
          <w:spacing w:val="1"/>
        </w:rPr>
        <w:t xml:space="preserve">de </w:t>
      </w:r>
      <w:r>
        <w:rPr>
          <w:spacing w:val="2"/>
        </w:rPr>
        <w:t xml:space="preserve">Bagé </w:t>
      </w:r>
      <w:r>
        <w:rPr>
          <w:spacing w:val="3"/>
        </w:rPr>
        <w:t xml:space="preserve">passou </w:t>
      </w:r>
      <w:r>
        <w:t>a atentar ao tema, fato importante para que a questão entrasse na agenda pública (RÓTULO,</w:t>
      </w:r>
      <w:r>
        <w:rPr>
          <w:spacing w:val="17"/>
        </w:rPr>
        <w:t xml:space="preserve"> </w:t>
      </w:r>
      <w:r>
        <w:t>2003).</w:t>
      </w:r>
    </w:p>
    <w:p w:rsidR="00D81F69" w:rsidRDefault="00330118">
      <w:pPr>
        <w:pStyle w:val="Corpodetexto"/>
        <w:spacing w:before="140" w:line="312" w:lineRule="auto"/>
        <w:ind w:right="64"/>
      </w:pPr>
      <w:r>
        <w:t>A comuni</w:t>
      </w:r>
      <w:r>
        <w:t xml:space="preserve">dade científica, então, entrou em ação, investigando o </w:t>
      </w:r>
      <w:r>
        <w:rPr>
          <w:spacing w:val="5"/>
        </w:rPr>
        <w:t xml:space="preserve">assunto. </w:t>
      </w:r>
      <w:r>
        <w:rPr>
          <w:spacing w:val="3"/>
        </w:rPr>
        <w:t xml:space="preserve">Uma série </w:t>
      </w:r>
      <w:r>
        <w:rPr>
          <w:spacing w:val="2"/>
        </w:rPr>
        <w:t xml:space="preserve">de </w:t>
      </w:r>
      <w:r>
        <w:rPr>
          <w:spacing w:val="5"/>
        </w:rPr>
        <w:t xml:space="preserve">estudos </w:t>
      </w:r>
      <w:r>
        <w:rPr>
          <w:spacing w:val="3"/>
        </w:rPr>
        <w:t xml:space="preserve">foram </w:t>
      </w:r>
      <w:r>
        <w:rPr>
          <w:spacing w:val="5"/>
        </w:rPr>
        <w:t xml:space="preserve">realizados, pela </w:t>
      </w:r>
      <w:r>
        <w:rPr>
          <w:spacing w:val="6"/>
        </w:rPr>
        <w:t xml:space="preserve">Universidade </w:t>
      </w:r>
      <w:r>
        <w:rPr>
          <w:spacing w:val="5"/>
        </w:rPr>
        <w:t xml:space="preserve">Federal </w:t>
      </w:r>
      <w:r>
        <w:rPr>
          <w:spacing w:val="3"/>
        </w:rPr>
        <w:t xml:space="preserve">de </w:t>
      </w:r>
      <w:r>
        <w:rPr>
          <w:spacing w:val="5"/>
        </w:rPr>
        <w:t xml:space="preserve">Santa Maria, </w:t>
      </w:r>
      <w:r>
        <w:rPr>
          <w:spacing w:val="6"/>
        </w:rPr>
        <w:t xml:space="preserve">revelando </w:t>
      </w:r>
      <w:r>
        <w:rPr>
          <w:spacing w:val="7"/>
        </w:rPr>
        <w:t xml:space="preserve">haver </w:t>
      </w:r>
      <w:r>
        <w:rPr>
          <w:spacing w:val="5"/>
        </w:rPr>
        <w:t xml:space="preserve">realmente problemas </w:t>
      </w:r>
      <w:r>
        <w:rPr>
          <w:spacing w:val="2"/>
        </w:rPr>
        <w:t xml:space="preserve">de </w:t>
      </w:r>
      <w:r>
        <w:rPr>
          <w:spacing w:val="5"/>
        </w:rPr>
        <w:t xml:space="preserve">contaminação </w:t>
      </w:r>
      <w:r>
        <w:rPr>
          <w:spacing w:val="2"/>
        </w:rPr>
        <w:t xml:space="preserve">na </w:t>
      </w:r>
      <w:r>
        <w:rPr>
          <w:spacing w:val="5"/>
        </w:rPr>
        <w:t>região, dando</w:t>
      </w:r>
      <w:r>
        <w:rPr>
          <w:spacing w:val="61"/>
        </w:rPr>
        <w:t xml:space="preserve"> </w:t>
      </w:r>
      <w:r>
        <w:t xml:space="preserve">respaldo às queixas da população local: “Tais pesquisas não só forneceram legitimidade técnica às demandas dos atores locais brasileiros, como também confirmaram as percepções </w:t>
      </w:r>
      <w:r>
        <w:rPr>
          <w:spacing w:val="2"/>
        </w:rPr>
        <w:t xml:space="preserve">de </w:t>
      </w:r>
      <w:r>
        <w:rPr>
          <w:spacing w:val="3"/>
        </w:rPr>
        <w:t xml:space="preserve">risco </w:t>
      </w:r>
      <w:r>
        <w:rPr>
          <w:spacing w:val="2"/>
        </w:rPr>
        <w:t xml:space="preserve">de </w:t>
      </w:r>
      <w:r>
        <w:rPr>
          <w:spacing w:val="3"/>
        </w:rPr>
        <w:t xml:space="preserve">dano </w:t>
      </w:r>
      <w:r>
        <w:rPr>
          <w:spacing w:val="5"/>
        </w:rPr>
        <w:t xml:space="preserve">transfronteiriço </w:t>
      </w:r>
      <w:r>
        <w:rPr>
          <w:spacing w:val="2"/>
        </w:rPr>
        <w:t xml:space="preserve">no </w:t>
      </w:r>
      <w:r>
        <w:rPr>
          <w:spacing w:val="5"/>
        </w:rPr>
        <w:t xml:space="preserve">Uruguai, </w:t>
      </w:r>
      <w:r>
        <w:rPr>
          <w:spacing w:val="3"/>
        </w:rPr>
        <w:t xml:space="preserve">que </w:t>
      </w:r>
      <w:r>
        <w:rPr>
          <w:spacing w:val="5"/>
        </w:rPr>
        <w:t>foram</w:t>
      </w:r>
      <w:r>
        <w:rPr>
          <w:spacing w:val="61"/>
        </w:rPr>
        <w:t xml:space="preserve"> </w:t>
      </w:r>
      <w:r>
        <w:rPr>
          <w:spacing w:val="5"/>
        </w:rPr>
        <w:t xml:space="preserve">crescendo </w:t>
      </w:r>
      <w:r>
        <w:rPr>
          <w:spacing w:val="3"/>
        </w:rPr>
        <w:t>entre</w:t>
      </w:r>
      <w:r>
        <w:rPr>
          <w:spacing w:val="2"/>
        </w:rPr>
        <w:t xml:space="preserve"> </w:t>
      </w:r>
      <w:r>
        <w:rPr>
          <w:spacing w:val="3"/>
        </w:rPr>
        <w:t>1985</w:t>
      </w:r>
      <w:r>
        <w:rPr>
          <w:spacing w:val="2"/>
        </w:rPr>
        <w:t xml:space="preserve"> </w:t>
      </w:r>
      <w:r>
        <w:t xml:space="preserve">e </w:t>
      </w:r>
      <w:r>
        <w:rPr>
          <w:spacing w:val="3"/>
        </w:rPr>
        <w:t>1</w:t>
      </w:r>
      <w:r>
        <w:rPr>
          <w:spacing w:val="3"/>
        </w:rPr>
        <w:t>990”</w:t>
      </w:r>
      <w:r>
        <w:rPr>
          <w:spacing w:val="2"/>
        </w:rPr>
        <w:t xml:space="preserve"> </w:t>
      </w:r>
      <w:r>
        <w:rPr>
          <w:spacing w:val="5"/>
        </w:rPr>
        <w:t>(RÓTULO, 2003).</w:t>
      </w:r>
    </w:p>
    <w:p w:rsidR="00D81F69" w:rsidRDefault="00330118">
      <w:pPr>
        <w:pStyle w:val="Corpodetexto"/>
        <w:spacing w:before="75" w:line="270" w:lineRule="atLeast"/>
        <w:ind w:right="67"/>
      </w:pPr>
      <w:r>
        <w:t>Em 1987, um estudo verificou altos níveis de acidez nas águas próximas à mina de Candiota e a presença de metais precipitados em sedimentos e dissolvidos em quantidade</w:t>
      </w:r>
    </w:p>
    <w:p w:rsidR="00D81F69" w:rsidRDefault="00330118">
      <w:pPr>
        <w:pStyle w:val="Corpodetexto"/>
        <w:spacing w:before="81" w:line="312" w:lineRule="auto"/>
        <w:ind w:right="187"/>
      </w:pPr>
      <w:r>
        <w:br w:type="column"/>
      </w:r>
      <w:r>
        <w:lastRenderedPageBreak/>
        <w:t>superior aos limites toleráveis (FIEDLER, 1987 apud RÓTULO, 2003).</w:t>
      </w:r>
      <w:r>
        <w:t xml:space="preserve"> A pesquisa identificou substâncias ambientalmente danosas como </w:t>
      </w:r>
      <w:hyperlink r:id="rId1695">
        <w:r>
          <w:t>ferro,</w:t>
        </w:r>
      </w:hyperlink>
      <w:r>
        <w:t xml:space="preserve"> </w:t>
      </w:r>
      <w:hyperlink r:id="rId1696">
        <w:r>
          <w:t>mang</w:t>
        </w:r>
        <w:r>
          <w:t>anês,</w:t>
        </w:r>
      </w:hyperlink>
      <w:r>
        <w:t xml:space="preserve"> zinco, cobalto e </w:t>
      </w:r>
      <w:hyperlink r:id="rId1697">
        <w:r>
          <w:t xml:space="preserve">chumbo, </w:t>
        </w:r>
      </w:hyperlink>
      <w:r>
        <w:t>associadas às cinzas que eram emitidas pela usina. Outro estudo (MARTINS; ZANELLA, 1988 apud RÓTULO, 2003) encontrou relações entre os</w:t>
      </w:r>
      <w:r>
        <w:t xml:space="preserve"> problemas de dentição dos animais e o alto teor de ferro emitido pela mineração intensiva de carvão. Concluiu-se, ainda, que a alta emissão de SO2 e NOx pela usina guardava fortes relações com a ocorrência de chuva ácida na região (RÓTULO, 2003).</w:t>
      </w:r>
    </w:p>
    <w:p w:rsidR="00D81F69" w:rsidRDefault="00330118">
      <w:pPr>
        <w:pStyle w:val="Corpodetexto"/>
        <w:spacing w:before="139" w:line="312" w:lineRule="auto"/>
        <w:ind w:right="184"/>
      </w:pPr>
      <w:r>
        <w:rPr>
          <w:spacing w:val="15"/>
        </w:rPr>
        <w:t>Outras p</w:t>
      </w:r>
      <w:r>
        <w:rPr>
          <w:spacing w:val="15"/>
        </w:rPr>
        <w:t xml:space="preserve">esquisas demonstraram </w:t>
      </w:r>
      <w:r>
        <w:t xml:space="preserve">a </w:t>
      </w:r>
      <w:r>
        <w:rPr>
          <w:spacing w:val="15"/>
        </w:rPr>
        <w:t xml:space="preserve">ocorrência </w:t>
      </w:r>
      <w:r>
        <w:rPr>
          <w:spacing w:val="8"/>
        </w:rPr>
        <w:t xml:space="preserve">de </w:t>
      </w:r>
      <w:r>
        <w:rPr>
          <w:spacing w:val="3"/>
        </w:rPr>
        <w:t xml:space="preserve">concentrações </w:t>
      </w:r>
      <w:r>
        <w:rPr>
          <w:spacing w:val="1"/>
        </w:rPr>
        <w:t xml:space="preserve">de </w:t>
      </w:r>
      <w:r>
        <w:rPr>
          <w:spacing w:val="3"/>
        </w:rPr>
        <w:t xml:space="preserve">substâncias poluentes próximo </w:t>
      </w:r>
      <w:r>
        <w:t xml:space="preserve">à </w:t>
      </w:r>
      <w:r>
        <w:rPr>
          <w:spacing w:val="5"/>
        </w:rPr>
        <w:t xml:space="preserve">fonte </w:t>
      </w:r>
      <w:r>
        <w:rPr>
          <w:spacing w:val="3"/>
        </w:rPr>
        <w:t xml:space="preserve">emissora, antes </w:t>
      </w:r>
      <w:r>
        <w:rPr>
          <w:spacing w:val="2"/>
        </w:rPr>
        <w:t xml:space="preserve">que </w:t>
      </w:r>
      <w:r>
        <w:rPr>
          <w:spacing w:val="3"/>
        </w:rPr>
        <w:t xml:space="preserve">estas fossem dissipadas </w:t>
      </w:r>
      <w:r>
        <w:rPr>
          <w:spacing w:val="2"/>
        </w:rPr>
        <w:t xml:space="preserve">pelo </w:t>
      </w:r>
      <w:r>
        <w:rPr>
          <w:spacing w:val="5"/>
        </w:rPr>
        <w:t xml:space="preserve">vento, comprovando </w:t>
      </w:r>
      <w:r>
        <w:t xml:space="preserve">o </w:t>
      </w:r>
      <w:r>
        <w:rPr>
          <w:spacing w:val="5"/>
        </w:rPr>
        <w:t xml:space="preserve">caráter poluente </w:t>
      </w:r>
      <w:r>
        <w:rPr>
          <w:spacing w:val="3"/>
        </w:rPr>
        <w:t xml:space="preserve">das </w:t>
      </w:r>
      <w:r>
        <w:rPr>
          <w:spacing w:val="5"/>
        </w:rPr>
        <w:t xml:space="preserve">emissões </w:t>
      </w:r>
      <w:r>
        <w:rPr>
          <w:spacing w:val="2"/>
        </w:rPr>
        <w:t xml:space="preserve">da </w:t>
      </w:r>
      <w:r>
        <w:rPr>
          <w:spacing w:val="5"/>
        </w:rPr>
        <w:t>usina.</w:t>
      </w:r>
      <w:r>
        <w:rPr>
          <w:spacing w:val="61"/>
        </w:rPr>
        <w:t xml:space="preserve"> </w:t>
      </w:r>
      <w:r>
        <w:rPr>
          <w:spacing w:val="8"/>
        </w:rPr>
        <w:t xml:space="preserve">(ALVES, </w:t>
      </w:r>
      <w:r>
        <w:rPr>
          <w:spacing w:val="7"/>
        </w:rPr>
        <w:t xml:space="preserve">1996; KARAM </w:t>
      </w:r>
      <w:r>
        <w:rPr>
          <w:spacing w:val="5"/>
        </w:rPr>
        <w:t xml:space="preserve">et </w:t>
      </w:r>
      <w:r>
        <w:rPr>
          <w:spacing w:val="7"/>
        </w:rPr>
        <w:t>al., 1996 apud</w:t>
      </w:r>
      <w:r>
        <w:rPr>
          <w:spacing w:val="6"/>
        </w:rPr>
        <w:t xml:space="preserve"> </w:t>
      </w:r>
      <w:r>
        <w:rPr>
          <w:spacing w:val="10"/>
        </w:rPr>
        <w:t>SANTANA;</w:t>
      </w:r>
    </w:p>
    <w:p w:rsidR="00D81F69" w:rsidRDefault="00330118">
      <w:pPr>
        <w:pStyle w:val="Corpodetexto"/>
        <w:spacing w:before="5" w:line="312" w:lineRule="auto"/>
        <w:ind w:right="217"/>
      </w:pPr>
      <w:r>
        <w:t>TEIXEI</w:t>
      </w:r>
      <w:r>
        <w:t>RA, 2008). Além disso, não havia na usina um sistema de filtros adequado para mitigar a poluição (RÓTULO, 2003).</w:t>
      </w:r>
    </w:p>
    <w:p w:rsidR="00D81F69" w:rsidRDefault="00330118">
      <w:pPr>
        <w:pStyle w:val="Corpodetexto"/>
        <w:spacing w:before="132" w:line="312" w:lineRule="auto"/>
        <w:ind w:right="210"/>
      </w:pPr>
      <w:r>
        <w:t>As operações de Candiota também causaram problemas diplomáticos entre Brasil e Uruguai, por conta da poluição que o governo platino afirma cheg</w:t>
      </w:r>
      <w:r>
        <w:t>ar a seu território, atingindo áreas rurais e acarretando prejuízos (RÓTULO, 2003).</w:t>
      </w:r>
    </w:p>
    <w:p w:rsidR="00D81F69" w:rsidRDefault="00330118">
      <w:pPr>
        <w:pStyle w:val="Corpodetexto"/>
        <w:spacing w:before="133" w:line="312" w:lineRule="auto"/>
        <w:ind w:right="186"/>
      </w:pPr>
      <w:r>
        <w:rPr>
          <w:spacing w:val="1"/>
        </w:rPr>
        <w:t xml:space="preserve">Em </w:t>
      </w:r>
      <w:r>
        <w:rPr>
          <w:spacing w:val="3"/>
        </w:rPr>
        <w:t xml:space="preserve">dezembro </w:t>
      </w:r>
      <w:r>
        <w:rPr>
          <w:spacing w:val="1"/>
        </w:rPr>
        <w:t xml:space="preserve">de </w:t>
      </w:r>
      <w:r>
        <w:rPr>
          <w:spacing w:val="3"/>
        </w:rPr>
        <w:t xml:space="preserve">2010, </w:t>
      </w:r>
      <w:r>
        <w:t xml:space="preserve">o </w:t>
      </w:r>
      <w:r>
        <w:rPr>
          <w:spacing w:val="3"/>
        </w:rPr>
        <w:t xml:space="preserve">município </w:t>
      </w:r>
      <w:r>
        <w:rPr>
          <w:spacing w:val="1"/>
        </w:rPr>
        <w:t xml:space="preserve">de </w:t>
      </w:r>
      <w:r>
        <w:rPr>
          <w:spacing w:val="3"/>
        </w:rPr>
        <w:t xml:space="preserve">Candiota </w:t>
      </w:r>
      <w:r>
        <w:rPr>
          <w:spacing w:val="5"/>
        </w:rPr>
        <w:t xml:space="preserve">decretou </w:t>
      </w:r>
      <w:r>
        <w:rPr>
          <w:spacing w:val="6"/>
        </w:rPr>
        <w:t xml:space="preserve">situação </w:t>
      </w:r>
      <w:r>
        <w:rPr>
          <w:spacing w:val="3"/>
        </w:rPr>
        <w:t xml:space="preserve">de </w:t>
      </w:r>
      <w:r>
        <w:rPr>
          <w:spacing w:val="6"/>
        </w:rPr>
        <w:t xml:space="preserve">emergência </w:t>
      </w:r>
      <w:r>
        <w:rPr>
          <w:spacing w:val="5"/>
        </w:rPr>
        <w:t xml:space="preserve">devido </w:t>
      </w:r>
      <w:r>
        <w:t xml:space="preserve">a </w:t>
      </w:r>
      <w:r>
        <w:rPr>
          <w:spacing w:val="5"/>
        </w:rPr>
        <w:t xml:space="preserve">uma grave </w:t>
      </w:r>
      <w:r>
        <w:rPr>
          <w:spacing w:val="7"/>
        </w:rPr>
        <w:t xml:space="preserve">estiagem, </w:t>
      </w:r>
      <w:r>
        <w:rPr>
          <w:spacing w:val="5"/>
        </w:rPr>
        <w:t xml:space="preserve">fenômeno comum </w:t>
      </w:r>
      <w:r>
        <w:rPr>
          <w:spacing w:val="2"/>
        </w:rPr>
        <w:t xml:space="preserve">na </w:t>
      </w:r>
      <w:r>
        <w:rPr>
          <w:spacing w:val="5"/>
        </w:rPr>
        <w:t xml:space="preserve">região, </w:t>
      </w:r>
      <w:r>
        <w:rPr>
          <w:spacing w:val="3"/>
        </w:rPr>
        <w:t xml:space="preserve">que </w:t>
      </w:r>
      <w:r>
        <w:rPr>
          <w:spacing w:val="5"/>
        </w:rPr>
        <w:t xml:space="preserve">acaba acentuando </w:t>
      </w:r>
      <w:r>
        <w:rPr>
          <w:spacing w:val="6"/>
        </w:rPr>
        <w:t xml:space="preserve">os </w:t>
      </w:r>
      <w:r>
        <w:rPr>
          <w:spacing w:val="5"/>
        </w:rPr>
        <w:t xml:space="preserve">problemas ambientais. </w:t>
      </w:r>
      <w:r>
        <w:rPr>
          <w:spacing w:val="2"/>
        </w:rPr>
        <w:t xml:space="preserve">Em </w:t>
      </w:r>
      <w:r>
        <w:rPr>
          <w:spacing w:val="5"/>
        </w:rPr>
        <w:t xml:space="preserve">janeiro </w:t>
      </w:r>
      <w:r>
        <w:rPr>
          <w:spacing w:val="2"/>
        </w:rPr>
        <w:t xml:space="preserve">de </w:t>
      </w:r>
      <w:r>
        <w:rPr>
          <w:spacing w:val="3"/>
        </w:rPr>
        <w:t xml:space="preserve">2011, </w:t>
      </w:r>
      <w:r>
        <w:t xml:space="preserve">a </w:t>
      </w:r>
      <w:r>
        <w:rPr>
          <w:spacing w:val="3"/>
        </w:rPr>
        <w:t xml:space="preserve">fase </w:t>
      </w:r>
      <w:r>
        <w:t xml:space="preserve">C </w:t>
      </w:r>
      <w:r>
        <w:rPr>
          <w:spacing w:val="5"/>
        </w:rPr>
        <w:t xml:space="preserve">da </w:t>
      </w:r>
      <w:r>
        <w:rPr>
          <w:spacing w:val="2"/>
        </w:rPr>
        <w:t xml:space="preserve">UTPM (ou </w:t>
      </w:r>
      <w:r>
        <w:rPr>
          <w:spacing w:val="3"/>
        </w:rPr>
        <w:t xml:space="preserve">Candiota III), </w:t>
      </w:r>
      <w:r>
        <w:rPr>
          <w:spacing w:val="2"/>
        </w:rPr>
        <w:t xml:space="preserve">obra </w:t>
      </w:r>
      <w:r>
        <w:rPr>
          <w:spacing w:val="3"/>
        </w:rPr>
        <w:t xml:space="preserve">estratégica </w:t>
      </w:r>
      <w:r>
        <w:rPr>
          <w:spacing w:val="1"/>
        </w:rPr>
        <w:t xml:space="preserve">do </w:t>
      </w:r>
      <w:r>
        <w:rPr>
          <w:spacing w:val="3"/>
        </w:rPr>
        <w:t xml:space="preserve">Programa </w:t>
      </w:r>
      <w:r>
        <w:rPr>
          <w:spacing w:val="5"/>
        </w:rPr>
        <w:t xml:space="preserve">de </w:t>
      </w:r>
      <w:r>
        <w:rPr>
          <w:spacing w:val="1"/>
        </w:rPr>
        <w:t xml:space="preserve">Aceleração </w:t>
      </w:r>
      <w:r>
        <w:t xml:space="preserve">de </w:t>
      </w:r>
      <w:r>
        <w:rPr>
          <w:spacing w:val="1"/>
        </w:rPr>
        <w:t xml:space="preserve">Crescimento (PAC), </w:t>
      </w:r>
      <w:r>
        <w:t xml:space="preserve">foi </w:t>
      </w:r>
      <w:r>
        <w:rPr>
          <w:spacing w:val="1"/>
        </w:rPr>
        <w:t xml:space="preserve">inaugurada. </w:t>
      </w:r>
      <w:r>
        <w:t xml:space="preserve">A </w:t>
      </w:r>
      <w:r>
        <w:rPr>
          <w:spacing w:val="2"/>
        </w:rPr>
        <w:t xml:space="preserve">nova </w:t>
      </w:r>
      <w:r>
        <w:rPr>
          <w:spacing w:val="3"/>
        </w:rPr>
        <w:t xml:space="preserve">etapa concluiu </w:t>
      </w:r>
      <w:r>
        <w:rPr>
          <w:spacing w:val="1"/>
        </w:rPr>
        <w:t xml:space="preserve">um </w:t>
      </w:r>
      <w:r>
        <w:rPr>
          <w:spacing w:val="3"/>
        </w:rPr>
        <w:t xml:space="preserve">projeto iniciado </w:t>
      </w:r>
      <w:r>
        <w:rPr>
          <w:spacing w:val="1"/>
        </w:rPr>
        <w:t xml:space="preserve">na </w:t>
      </w:r>
      <w:r>
        <w:rPr>
          <w:spacing w:val="3"/>
        </w:rPr>
        <w:t xml:space="preserve">década </w:t>
      </w:r>
      <w:r>
        <w:rPr>
          <w:spacing w:val="1"/>
        </w:rPr>
        <w:t xml:space="preserve">de </w:t>
      </w:r>
      <w:r>
        <w:rPr>
          <w:spacing w:val="2"/>
        </w:rPr>
        <w:t xml:space="preserve">1980 </w:t>
      </w:r>
      <w:r>
        <w:rPr>
          <w:spacing w:val="5"/>
        </w:rPr>
        <w:t xml:space="preserve">(e </w:t>
      </w:r>
      <w:r>
        <w:t>paralisado em 1985) pelo governo d</w:t>
      </w:r>
      <w:r>
        <w:t xml:space="preserve">o estado do Rio Grande do Sul, resultante de um acordo entre Brasil e França. A usina </w:t>
      </w:r>
      <w:r>
        <w:rPr>
          <w:spacing w:val="5"/>
        </w:rPr>
        <w:t xml:space="preserve">de </w:t>
      </w:r>
      <w:r>
        <w:rPr>
          <w:spacing w:val="7"/>
        </w:rPr>
        <w:t xml:space="preserve">Candiota </w:t>
      </w:r>
      <w:r>
        <w:rPr>
          <w:spacing w:val="5"/>
        </w:rPr>
        <w:t xml:space="preserve">III </w:t>
      </w:r>
      <w:r>
        <w:rPr>
          <w:spacing w:val="6"/>
        </w:rPr>
        <w:t xml:space="preserve">teve </w:t>
      </w:r>
      <w:r>
        <w:rPr>
          <w:spacing w:val="5"/>
        </w:rPr>
        <w:t xml:space="preserve">um </w:t>
      </w:r>
      <w:r>
        <w:rPr>
          <w:spacing w:val="7"/>
        </w:rPr>
        <w:t xml:space="preserve">custo total </w:t>
      </w:r>
      <w:r>
        <w:rPr>
          <w:spacing w:val="5"/>
        </w:rPr>
        <w:t xml:space="preserve">de R$ 1,3 </w:t>
      </w:r>
      <w:r>
        <w:rPr>
          <w:spacing w:val="10"/>
        </w:rPr>
        <w:t xml:space="preserve">bilhão, </w:t>
      </w:r>
      <w:r>
        <w:rPr>
          <w:spacing w:val="3"/>
        </w:rPr>
        <w:t xml:space="preserve">produzindo </w:t>
      </w:r>
      <w:r>
        <w:rPr>
          <w:spacing w:val="2"/>
        </w:rPr>
        <w:t xml:space="preserve">350 </w:t>
      </w:r>
      <w:r>
        <w:rPr>
          <w:spacing w:val="1"/>
        </w:rPr>
        <w:t xml:space="preserve">MW de </w:t>
      </w:r>
      <w:r>
        <w:rPr>
          <w:spacing w:val="3"/>
        </w:rPr>
        <w:t xml:space="preserve">energia elétrica, </w:t>
      </w:r>
      <w:r>
        <w:t xml:space="preserve">o </w:t>
      </w:r>
      <w:r>
        <w:rPr>
          <w:spacing w:val="3"/>
        </w:rPr>
        <w:t xml:space="preserve">suficiente </w:t>
      </w:r>
      <w:r>
        <w:rPr>
          <w:spacing w:val="5"/>
        </w:rPr>
        <w:t xml:space="preserve">para </w:t>
      </w:r>
      <w:r>
        <w:t>abastecer cerca de um milhão de pessoas (ELETROBRAS – CGTEE</w:t>
      </w:r>
      <w:r>
        <w:t>,</w:t>
      </w:r>
      <w:r>
        <w:rPr>
          <w:spacing w:val="7"/>
        </w:rPr>
        <w:t xml:space="preserve"> </w:t>
      </w:r>
      <w:r>
        <w:t>2011b).</w:t>
      </w:r>
    </w:p>
    <w:p w:rsidR="00D81F69" w:rsidRDefault="00330118">
      <w:pPr>
        <w:pStyle w:val="Corpodetexto"/>
        <w:spacing w:before="142" w:line="312" w:lineRule="auto"/>
        <w:ind w:right="197"/>
      </w:pPr>
      <w:r>
        <w:t xml:space="preserve">A </w:t>
      </w:r>
      <w:r>
        <w:rPr>
          <w:spacing w:val="1"/>
        </w:rPr>
        <w:t xml:space="preserve">CGTEE sustenta </w:t>
      </w:r>
      <w:r>
        <w:t xml:space="preserve">que “o </w:t>
      </w:r>
      <w:r>
        <w:rPr>
          <w:spacing w:val="1"/>
        </w:rPr>
        <w:t xml:space="preserve">ecossistema associado </w:t>
      </w:r>
      <w:r>
        <w:t xml:space="preserve">à </w:t>
      </w:r>
      <w:r>
        <w:rPr>
          <w:spacing w:val="2"/>
        </w:rPr>
        <w:t xml:space="preserve">UTPM </w:t>
      </w:r>
      <w:r>
        <w:t xml:space="preserve">tem merecido especial atenção da companhia e de todos os </w:t>
      </w:r>
      <w:r>
        <w:rPr>
          <w:spacing w:val="10"/>
        </w:rPr>
        <w:t xml:space="preserve">organismos ambientais. </w:t>
      </w:r>
      <w:r>
        <w:rPr>
          <w:spacing w:val="8"/>
        </w:rPr>
        <w:t xml:space="preserve">Todos </w:t>
      </w:r>
      <w:r>
        <w:rPr>
          <w:spacing w:val="5"/>
        </w:rPr>
        <w:t xml:space="preserve">os </w:t>
      </w:r>
      <w:r>
        <w:rPr>
          <w:spacing w:val="10"/>
        </w:rPr>
        <w:t xml:space="preserve">procedimentos </w:t>
      </w:r>
      <w:r>
        <w:rPr>
          <w:spacing w:val="11"/>
        </w:rPr>
        <w:t xml:space="preserve">de </w:t>
      </w:r>
      <w:r>
        <w:t xml:space="preserve">monitoração e controle dos indicadores de qualidade do meio </w:t>
      </w:r>
      <w:r>
        <w:rPr>
          <w:spacing w:val="17"/>
        </w:rPr>
        <w:t xml:space="preserve">ambiente </w:t>
      </w:r>
      <w:r>
        <w:rPr>
          <w:spacing w:val="13"/>
        </w:rPr>
        <w:t xml:space="preserve">vêm </w:t>
      </w:r>
      <w:r>
        <w:rPr>
          <w:spacing w:val="15"/>
        </w:rPr>
        <w:t>sendo</w:t>
      </w:r>
      <w:r>
        <w:rPr>
          <w:spacing w:val="81"/>
        </w:rPr>
        <w:t xml:space="preserve"> </w:t>
      </w:r>
      <w:r>
        <w:rPr>
          <w:spacing w:val="17"/>
        </w:rPr>
        <w:t xml:space="preserve">cumpridos </w:t>
      </w:r>
      <w:r>
        <w:rPr>
          <w:spacing w:val="18"/>
        </w:rPr>
        <w:t xml:space="preserve">rigorosamente” </w:t>
      </w:r>
      <w:r>
        <w:t xml:space="preserve">(ELETROBRAS – CGTEE, 2011b). A prefeitura de Candiota </w:t>
      </w:r>
      <w:r>
        <w:rPr>
          <w:spacing w:val="6"/>
        </w:rPr>
        <w:t xml:space="preserve">apresentou </w:t>
      </w:r>
      <w:r>
        <w:t xml:space="preserve">à </w:t>
      </w:r>
      <w:r>
        <w:rPr>
          <w:spacing w:val="6"/>
        </w:rPr>
        <w:t xml:space="preserve">reportagem </w:t>
      </w:r>
      <w:r>
        <w:rPr>
          <w:spacing w:val="3"/>
        </w:rPr>
        <w:t xml:space="preserve">do </w:t>
      </w:r>
      <w:r>
        <w:rPr>
          <w:spacing w:val="5"/>
        </w:rPr>
        <w:t xml:space="preserve">Correio </w:t>
      </w:r>
      <w:r>
        <w:rPr>
          <w:spacing w:val="6"/>
        </w:rPr>
        <w:t xml:space="preserve">Brasiliense </w:t>
      </w:r>
      <w:r>
        <w:rPr>
          <w:spacing w:val="7"/>
        </w:rPr>
        <w:t xml:space="preserve">dados </w:t>
      </w:r>
      <w:r>
        <w:t xml:space="preserve">provenientes de uma pesquisa realizada pelo Programa de </w:t>
      </w:r>
      <w:r>
        <w:rPr>
          <w:spacing w:val="6"/>
        </w:rPr>
        <w:t xml:space="preserve">Vigilância </w:t>
      </w:r>
      <w:r>
        <w:rPr>
          <w:spacing w:val="3"/>
        </w:rPr>
        <w:t xml:space="preserve">em </w:t>
      </w:r>
      <w:r>
        <w:rPr>
          <w:spacing w:val="5"/>
        </w:rPr>
        <w:t xml:space="preserve">Saúde </w:t>
      </w:r>
      <w:r>
        <w:rPr>
          <w:spacing w:val="6"/>
        </w:rPr>
        <w:t xml:space="preserve">Ambiental, </w:t>
      </w:r>
      <w:r>
        <w:rPr>
          <w:spacing w:val="3"/>
        </w:rPr>
        <w:t xml:space="preserve">do </w:t>
      </w:r>
      <w:r>
        <w:rPr>
          <w:spacing w:val="5"/>
        </w:rPr>
        <w:t xml:space="preserve">governo </w:t>
      </w:r>
      <w:r>
        <w:rPr>
          <w:spacing w:val="3"/>
        </w:rPr>
        <w:t xml:space="preserve">do </w:t>
      </w:r>
      <w:r>
        <w:rPr>
          <w:spacing w:val="7"/>
        </w:rPr>
        <w:t xml:space="preserve">estado </w:t>
      </w:r>
      <w:r>
        <w:t>(Vigiar/ES). A p</w:t>
      </w:r>
      <w:r>
        <w:t xml:space="preserve">esquisa teria negado a relação que diversos </w:t>
      </w:r>
      <w:r>
        <w:rPr>
          <w:spacing w:val="5"/>
        </w:rPr>
        <w:t xml:space="preserve">outros estudos traçaram entre </w:t>
      </w:r>
      <w:r>
        <w:rPr>
          <w:spacing w:val="2"/>
        </w:rPr>
        <w:t xml:space="preserve">os </w:t>
      </w:r>
      <w:r>
        <w:rPr>
          <w:spacing w:val="5"/>
        </w:rPr>
        <w:t xml:space="preserve">gases emitidos </w:t>
      </w:r>
      <w:r>
        <w:rPr>
          <w:spacing w:val="6"/>
        </w:rPr>
        <w:t xml:space="preserve">pelas </w:t>
      </w:r>
      <w:r>
        <w:t>chaminés da UTPM e doenças respiratórias que acometem a população (VAZ, 2011).</w:t>
      </w:r>
    </w:p>
    <w:p w:rsidR="00D81F69" w:rsidRDefault="00330118">
      <w:pPr>
        <w:pStyle w:val="Corpodetexto"/>
        <w:spacing w:before="142" w:line="312" w:lineRule="auto"/>
        <w:ind w:right="206"/>
      </w:pPr>
      <w:r>
        <w:t>Entretanto, o Ministério Público Federal segue questionando na Justiça a legali</w:t>
      </w:r>
      <w:r>
        <w:t>dade da licença para o funcionamento da fase C, uma vez que, de acordo com o MPF, paira a forte suspeita de que a violação dos limites de emissão de substâncias poluentes esteja prejudicando a saúde da população vizinha ao empreendimento (VAZ, 2011).</w:t>
      </w:r>
    </w:p>
    <w:p w:rsidR="00D81F69" w:rsidRDefault="00D81F69">
      <w:pPr>
        <w:spacing w:line="312" w:lineRule="auto"/>
        <w:sectPr w:rsidR="00D81F69">
          <w:pgSz w:w="11900" w:h="16840"/>
          <w:pgMar w:top="740" w:right="500" w:bottom="640" w:left="620" w:header="0" w:footer="402" w:gutter="0"/>
          <w:cols w:num="2" w:space="720" w:equalWidth="0">
            <w:col w:w="5167" w:space="303"/>
            <w:col w:w="5310"/>
          </w:cols>
        </w:sectPr>
      </w:pPr>
    </w:p>
    <w:p w:rsidR="00D81F69" w:rsidRDefault="00330118">
      <w:pPr>
        <w:pStyle w:val="Heading7"/>
        <w:spacing w:before="92"/>
        <w:jc w:val="left"/>
      </w:pPr>
      <w:r>
        <w:lastRenderedPageBreak/>
        <w:t>LOCALIZAÇÃO GEOGRÁFICA</w:t>
      </w:r>
    </w:p>
    <w:p w:rsidR="00D81F69" w:rsidRDefault="00330118">
      <w:pPr>
        <w:pStyle w:val="Corpodetexto"/>
        <w:spacing w:before="179" w:line="312" w:lineRule="auto"/>
        <w:ind w:right="112"/>
        <w:jc w:val="left"/>
      </w:pPr>
      <w:r>
        <w:t>O município de Candiota tem como coordenadas geográficas a latitude 31°28’36”S e a longitude</w:t>
      </w:r>
      <w:r>
        <w:rPr>
          <w:spacing w:val="42"/>
        </w:rPr>
        <w:t xml:space="preserve"> </w:t>
      </w:r>
      <w:r>
        <w:t>53°40’45”W.</w:t>
      </w:r>
    </w:p>
    <w:p w:rsidR="00D81F69" w:rsidRDefault="00D81F69">
      <w:pPr>
        <w:pStyle w:val="Corpodetexto"/>
        <w:spacing w:before="11"/>
        <w:ind w:left="0"/>
        <w:jc w:val="left"/>
        <w:rPr>
          <w:sz w:val="28"/>
        </w:rPr>
      </w:pPr>
    </w:p>
    <w:p w:rsidR="00D81F69" w:rsidRDefault="00330118">
      <w:pPr>
        <w:pStyle w:val="Heading7"/>
        <w:jc w:val="left"/>
      </w:pPr>
      <w:r>
        <w:t>REDATORES</w:t>
      </w:r>
    </w:p>
    <w:p w:rsidR="00D81F69" w:rsidRDefault="00330118">
      <w:pPr>
        <w:pStyle w:val="Corpodetexto"/>
        <w:spacing w:before="179"/>
        <w:jc w:val="left"/>
      </w:pPr>
      <w:r>
        <w:t>Pedro Schprejer</w:t>
      </w:r>
    </w:p>
    <w:p w:rsidR="00D81F69" w:rsidRDefault="00D81F69">
      <w:pPr>
        <w:pStyle w:val="Corpodetexto"/>
        <w:ind w:left="0"/>
        <w:jc w:val="left"/>
        <w:rPr>
          <w:sz w:val="20"/>
        </w:rPr>
      </w:pPr>
    </w:p>
    <w:p w:rsidR="00D81F69" w:rsidRDefault="00330118">
      <w:pPr>
        <w:pStyle w:val="Heading7"/>
        <w:spacing w:before="164"/>
        <w:jc w:val="left"/>
      </w:pPr>
      <w:r>
        <w:t>REFERÊNCIAS BIBLIOGRÁFICAS</w:t>
      </w:r>
    </w:p>
    <w:p w:rsidR="00D81F69" w:rsidRDefault="00330118">
      <w:pPr>
        <w:spacing w:before="188"/>
        <w:ind w:left="100"/>
        <w:rPr>
          <w:sz w:val="16"/>
        </w:rPr>
      </w:pPr>
      <w:r>
        <w:rPr>
          <w:sz w:val="16"/>
        </w:rPr>
        <w:t>ELETROBRAS – CGTEE. UTE Presidente Médici. Disponível em:</w:t>
      </w:r>
    </w:p>
    <w:p w:rsidR="00D81F69" w:rsidRDefault="00D81F69">
      <w:pPr>
        <w:spacing w:before="56" w:line="312" w:lineRule="auto"/>
        <w:ind w:left="100" w:right="112"/>
        <w:rPr>
          <w:sz w:val="16"/>
        </w:rPr>
      </w:pPr>
      <w:hyperlink r:id="rId1698">
        <w:r w:rsidR="00330118">
          <w:rPr>
            <w:sz w:val="16"/>
          </w:rPr>
          <w:t xml:space="preserve">&lt;http://www.cgtee.gov.br/sitenovo/index.php?secao=37&gt;. </w:t>
        </w:r>
      </w:hyperlink>
      <w:r w:rsidR="00330118">
        <w:rPr>
          <w:sz w:val="16"/>
        </w:rPr>
        <w:t>Acesso em: 4 out. 2011a.</w:t>
      </w:r>
    </w:p>
    <w:p w:rsidR="00D81F69" w:rsidRDefault="00330118">
      <w:pPr>
        <w:spacing w:before="1"/>
        <w:ind w:left="100"/>
        <w:rPr>
          <w:sz w:val="16"/>
        </w:rPr>
      </w:pPr>
      <w:r>
        <w:rPr>
          <w:sz w:val="16"/>
        </w:rPr>
        <w:t>______. Candiota III (Fase C) é obra do PAC. Disp</w:t>
      </w:r>
      <w:r>
        <w:rPr>
          <w:sz w:val="16"/>
        </w:rPr>
        <w:t>onível em:</w:t>
      </w:r>
    </w:p>
    <w:p w:rsidR="00D81F69" w:rsidRDefault="00D81F69">
      <w:pPr>
        <w:spacing w:before="56" w:line="312" w:lineRule="auto"/>
        <w:ind w:left="100"/>
        <w:rPr>
          <w:sz w:val="16"/>
        </w:rPr>
      </w:pPr>
      <w:hyperlink r:id="rId1699">
        <w:r w:rsidR="00330118">
          <w:rPr>
            <w:sz w:val="16"/>
          </w:rPr>
          <w:t>&lt;http://www.cgtee.gov.br/sitenovo/index.php?secao=103&amp;periodico=6</w:t>
        </w:r>
      </w:hyperlink>
      <w:r w:rsidR="00330118">
        <w:rPr>
          <w:sz w:val="16"/>
        </w:rPr>
        <w:t xml:space="preserve"> 2&gt;. Acesso em: 4 out. 2011b.</w:t>
      </w:r>
    </w:p>
    <w:p w:rsidR="00D81F69" w:rsidRDefault="00330118">
      <w:pPr>
        <w:tabs>
          <w:tab w:val="left" w:pos="963"/>
          <w:tab w:val="left" w:pos="2205"/>
          <w:tab w:val="left" w:pos="3145"/>
          <w:tab w:val="left" w:pos="4722"/>
        </w:tabs>
        <w:spacing w:before="2" w:line="312" w:lineRule="auto"/>
        <w:ind w:left="100" w:right="38"/>
        <w:rPr>
          <w:sz w:val="16"/>
        </w:rPr>
      </w:pPr>
      <w:r>
        <w:rPr>
          <w:sz w:val="16"/>
        </w:rPr>
        <w:t xml:space="preserve">IBGE, Instituto Brasileiro de Geografia e Estatística. Cantiota </w:t>
      </w:r>
      <w:r>
        <w:rPr>
          <w:sz w:val="16"/>
        </w:rPr>
        <w:t xml:space="preserve">(RS). In:  </w:t>
      </w:r>
      <w:r>
        <w:rPr>
          <w:spacing w:val="11"/>
          <w:sz w:val="16"/>
        </w:rPr>
        <w:t>I B</w:t>
      </w:r>
      <w:r>
        <w:rPr>
          <w:spacing w:val="-11"/>
          <w:sz w:val="16"/>
        </w:rPr>
        <w:t xml:space="preserve"> </w:t>
      </w:r>
      <w:r>
        <w:rPr>
          <w:spacing w:val="11"/>
          <w:sz w:val="16"/>
        </w:rPr>
        <w:t>G</w:t>
      </w:r>
      <w:r>
        <w:rPr>
          <w:sz w:val="16"/>
        </w:rPr>
        <w:t xml:space="preserve"> E</w:t>
      </w:r>
      <w:r>
        <w:rPr>
          <w:sz w:val="16"/>
        </w:rPr>
        <w:tab/>
      </w:r>
      <w:r>
        <w:rPr>
          <w:spacing w:val="11"/>
          <w:sz w:val="16"/>
        </w:rPr>
        <w:t>C</w:t>
      </w:r>
      <w:r>
        <w:rPr>
          <w:sz w:val="16"/>
        </w:rPr>
        <w:t xml:space="preserve"> </w:t>
      </w:r>
      <w:r>
        <w:rPr>
          <w:spacing w:val="11"/>
          <w:sz w:val="16"/>
        </w:rPr>
        <w:t>i</w:t>
      </w:r>
      <w:r>
        <w:rPr>
          <w:sz w:val="16"/>
        </w:rPr>
        <w:t xml:space="preserve"> </w:t>
      </w:r>
      <w:r>
        <w:rPr>
          <w:spacing w:val="11"/>
          <w:sz w:val="16"/>
        </w:rPr>
        <w:t>d</w:t>
      </w:r>
      <w:r>
        <w:rPr>
          <w:sz w:val="16"/>
        </w:rPr>
        <w:t xml:space="preserve"> </w:t>
      </w:r>
      <w:r>
        <w:rPr>
          <w:spacing w:val="11"/>
          <w:sz w:val="16"/>
        </w:rPr>
        <w:t>a</w:t>
      </w:r>
      <w:r>
        <w:rPr>
          <w:sz w:val="16"/>
        </w:rPr>
        <w:t xml:space="preserve"> </w:t>
      </w:r>
      <w:r>
        <w:rPr>
          <w:spacing w:val="11"/>
          <w:sz w:val="16"/>
        </w:rPr>
        <w:t>d</w:t>
      </w:r>
      <w:r>
        <w:rPr>
          <w:sz w:val="16"/>
        </w:rPr>
        <w:t xml:space="preserve"> </w:t>
      </w:r>
      <w:r>
        <w:rPr>
          <w:spacing w:val="11"/>
          <w:sz w:val="16"/>
        </w:rPr>
        <w:t>e</w:t>
      </w:r>
      <w:r>
        <w:rPr>
          <w:sz w:val="16"/>
        </w:rPr>
        <w:t xml:space="preserve"> s</w:t>
      </w:r>
      <w:r>
        <w:rPr>
          <w:sz w:val="16"/>
        </w:rPr>
        <w:tab/>
      </w:r>
      <w:r>
        <w:rPr>
          <w:spacing w:val="11"/>
          <w:sz w:val="16"/>
        </w:rPr>
        <w:t>2 0 1</w:t>
      </w:r>
      <w:r>
        <w:rPr>
          <w:spacing w:val="-23"/>
          <w:sz w:val="16"/>
        </w:rPr>
        <w:t xml:space="preserve"> </w:t>
      </w:r>
      <w:r>
        <w:rPr>
          <w:spacing w:val="11"/>
          <w:sz w:val="16"/>
        </w:rPr>
        <w:t>0</w:t>
      </w:r>
      <w:r>
        <w:rPr>
          <w:sz w:val="16"/>
        </w:rPr>
        <w:t xml:space="preserve"> .</w:t>
      </w:r>
      <w:r>
        <w:rPr>
          <w:sz w:val="16"/>
        </w:rPr>
        <w:tab/>
      </w:r>
      <w:r>
        <w:rPr>
          <w:spacing w:val="11"/>
          <w:sz w:val="16"/>
        </w:rPr>
        <w:t>D</w:t>
      </w:r>
      <w:r>
        <w:rPr>
          <w:sz w:val="16"/>
        </w:rPr>
        <w:t xml:space="preserve"> </w:t>
      </w:r>
      <w:r>
        <w:rPr>
          <w:spacing w:val="11"/>
          <w:sz w:val="16"/>
        </w:rPr>
        <w:t>i</w:t>
      </w:r>
      <w:r>
        <w:rPr>
          <w:sz w:val="16"/>
        </w:rPr>
        <w:t xml:space="preserve"> </w:t>
      </w:r>
      <w:r>
        <w:rPr>
          <w:spacing w:val="11"/>
          <w:sz w:val="16"/>
        </w:rPr>
        <w:t>s</w:t>
      </w:r>
      <w:r>
        <w:rPr>
          <w:sz w:val="16"/>
        </w:rPr>
        <w:t xml:space="preserve"> </w:t>
      </w:r>
      <w:r>
        <w:rPr>
          <w:spacing w:val="11"/>
          <w:sz w:val="16"/>
        </w:rPr>
        <w:t>p</w:t>
      </w:r>
      <w:r>
        <w:rPr>
          <w:sz w:val="16"/>
        </w:rPr>
        <w:t xml:space="preserve"> </w:t>
      </w:r>
      <w:r>
        <w:rPr>
          <w:spacing w:val="11"/>
          <w:sz w:val="16"/>
        </w:rPr>
        <w:t>o</w:t>
      </w:r>
      <w:r>
        <w:rPr>
          <w:sz w:val="16"/>
        </w:rPr>
        <w:t xml:space="preserve"> </w:t>
      </w:r>
      <w:r>
        <w:rPr>
          <w:spacing w:val="11"/>
          <w:sz w:val="16"/>
        </w:rPr>
        <w:t>n</w:t>
      </w:r>
      <w:r>
        <w:rPr>
          <w:sz w:val="16"/>
        </w:rPr>
        <w:t xml:space="preserve"> </w:t>
      </w:r>
      <w:r>
        <w:rPr>
          <w:spacing w:val="11"/>
          <w:sz w:val="16"/>
        </w:rPr>
        <w:t>í</w:t>
      </w:r>
      <w:r>
        <w:rPr>
          <w:sz w:val="16"/>
        </w:rPr>
        <w:t xml:space="preserve"> </w:t>
      </w:r>
      <w:r>
        <w:rPr>
          <w:spacing w:val="11"/>
          <w:sz w:val="16"/>
        </w:rPr>
        <w:t>v</w:t>
      </w:r>
      <w:r>
        <w:rPr>
          <w:sz w:val="16"/>
        </w:rPr>
        <w:t xml:space="preserve"> </w:t>
      </w:r>
      <w:r>
        <w:rPr>
          <w:spacing w:val="11"/>
          <w:sz w:val="16"/>
        </w:rPr>
        <w:t>e</w:t>
      </w:r>
      <w:r>
        <w:rPr>
          <w:sz w:val="16"/>
        </w:rPr>
        <w:t xml:space="preserve"> l</w:t>
      </w:r>
      <w:r>
        <w:rPr>
          <w:sz w:val="16"/>
        </w:rPr>
        <w:tab/>
      </w:r>
      <w:r>
        <w:rPr>
          <w:spacing w:val="11"/>
          <w:sz w:val="16"/>
        </w:rPr>
        <w:t>e m</w:t>
      </w:r>
      <w:r>
        <w:rPr>
          <w:spacing w:val="-11"/>
          <w:sz w:val="16"/>
        </w:rPr>
        <w:t xml:space="preserve"> </w:t>
      </w:r>
      <w:r>
        <w:rPr>
          <w:sz w:val="16"/>
        </w:rPr>
        <w:t>:</w:t>
      </w:r>
      <w:r>
        <w:rPr>
          <w:spacing w:val="12"/>
          <w:sz w:val="16"/>
        </w:rPr>
        <w:t xml:space="preserve"> </w:t>
      </w:r>
    </w:p>
    <w:p w:rsidR="00D81F69" w:rsidRDefault="00D81F69">
      <w:pPr>
        <w:spacing w:before="2"/>
        <w:ind w:left="100"/>
        <w:rPr>
          <w:sz w:val="16"/>
        </w:rPr>
      </w:pPr>
      <w:hyperlink r:id="rId1700">
        <w:r w:rsidR="00330118">
          <w:rPr>
            <w:sz w:val="16"/>
          </w:rPr>
          <w:t>&lt;http://www.ibge.gov.br/cidadesat/xtras/perfil.php?codmun=430435&amp;r</w:t>
        </w:r>
      </w:hyperlink>
    </w:p>
    <w:p w:rsidR="00D81F69" w:rsidRDefault="00330118">
      <w:pPr>
        <w:spacing w:before="56"/>
        <w:ind w:left="100"/>
        <w:rPr>
          <w:sz w:val="16"/>
        </w:rPr>
      </w:pPr>
      <w:r>
        <w:rPr>
          <w:sz w:val="16"/>
        </w:rPr>
        <w:t>=2 &gt;. Acesso em: 10 out. 2011.</w:t>
      </w:r>
    </w:p>
    <w:p w:rsidR="00D81F69" w:rsidRDefault="00330118">
      <w:pPr>
        <w:spacing w:before="56" w:line="312" w:lineRule="auto"/>
        <w:ind w:left="100" w:right="106"/>
        <w:jc w:val="both"/>
        <w:rPr>
          <w:sz w:val="16"/>
        </w:rPr>
      </w:pPr>
      <w:r>
        <w:rPr>
          <w:sz w:val="16"/>
        </w:rPr>
        <w:t>INSTITUTO HUMANITAS UNISINOS. Complexo Termelétrico de Candiota: Uma licença nula por natureza. Entrevista especial com Paula Schirmer: depoimento. São Leopoldo (RS), 11 abr. 2011.</w:t>
      </w:r>
    </w:p>
    <w:p w:rsidR="00D81F69" w:rsidRDefault="00330118">
      <w:pPr>
        <w:tabs>
          <w:tab w:val="left" w:pos="4331"/>
        </w:tabs>
        <w:spacing w:before="70"/>
        <w:ind w:left="100"/>
        <w:jc w:val="both"/>
        <w:rPr>
          <w:sz w:val="16"/>
        </w:rPr>
      </w:pPr>
      <w:r>
        <w:br w:type="column"/>
      </w:r>
      <w:r>
        <w:rPr>
          <w:sz w:val="16"/>
        </w:rPr>
        <w:lastRenderedPageBreak/>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56" w:line="312" w:lineRule="auto"/>
        <w:ind w:left="100" w:right="216"/>
        <w:jc w:val="both"/>
        <w:rPr>
          <w:sz w:val="16"/>
        </w:rPr>
      </w:pPr>
      <w:hyperlink r:id="rId1701">
        <w:r w:rsidR="00330118">
          <w:rPr>
            <w:sz w:val="16"/>
          </w:rPr>
          <w:t>&lt;http://www.ihu.unisinos.br/index.php?option=com_noticias&amp;Itemid=1</w:t>
        </w:r>
      </w:hyperlink>
      <w:r w:rsidR="00330118">
        <w:rPr>
          <w:sz w:val="16"/>
        </w:rPr>
        <w:t xml:space="preserve"> 8&amp;task=detalhe&amp;id=41944&gt;. Acesso em: 4 out. 2011.</w:t>
      </w:r>
    </w:p>
    <w:p w:rsidR="00D81F69" w:rsidRDefault="00330118">
      <w:pPr>
        <w:tabs>
          <w:tab w:val="left" w:pos="4331"/>
        </w:tabs>
        <w:spacing w:before="1" w:line="312" w:lineRule="auto"/>
        <w:ind w:left="100" w:right="189"/>
        <w:jc w:val="both"/>
        <w:rPr>
          <w:sz w:val="16"/>
        </w:rPr>
      </w:pPr>
      <w:r>
        <w:rPr>
          <w:spacing w:val="3"/>
          <w:sz w:val="16"/>
        </w:rPr>
        <w:t xml:space="preserve">RÓTULO, Daniel. Negociação </w:t>
      </w:r>
      <w:r>
        <w:rPr>
          <w:sz w:val="16"/>
        </w:rPr>
        <w:t xml:space="preserve">e </w:t>
      </w:r>
      <w:r>
        <w:rPr>
          <w:spacing w:val="3"/>
          <w:sz w:val="16"/>
        </w:rPr>
        <w:t xml:space="preserve">Implementação </w:t>
      </w:r>
      <w:r>
        <w:rPr>
          <w:spacing w:val="1"/>
          <w:sz w:val="16"/>
        </w:rPr>
        <w:t xml:space="preserve">de </w:t>
      </w:r>
      <w:r>
        <w:rPr>
          <w:spacing w:val="3"/>
          <w:sz w:val="16"/>
        </w:rPr>
        <w:t xml:space="preserve">Acordos </w:t>
      </w:r>
      <w:r>
        <w:rPr>
          <w:spacing w:val="5"/>
          <w:sz w:val="16"/>
        </w:rPr>
        <w:t xml:space="preserve">de </w:t>
      </w:r>
      <w:r>
        <w:rPr>
          <w:spacing w:val="3"/>
          <w:sz w:val="16"/>
        </w:rPr>
        <w:t>Po</w:t>
      </w:r>
      <w:r>
        <w:rPr>
          <w:spacing w:val="3"/>
          <w:sz w:val="16"/>
        </w:rPr>
        <w:t xml:space="preserve">luição Transfronteiriça: </w:t>
      </w:r>
      <w:r>
        <w:rPr>
          <w:sz w:val="16"/>
        </w:rPr>
        <w:t xml:space="preserve">O </w:t>
      </w:r>
      <w:r>
        <w:rPr>
          <w:spacing w:val="2"/>
          <w:sz w:val="16"/>
        </w:rPr>
        <w:t xml:space="preserve">Caso </w:t>
      </w:r>
      <w:r>
        <w:rPr>
          <w:spacing w:val="3"/>
          <w:sz w:val="16"/>
        </w:rPr>
        <w:t xml:space="preserve">Brasil-Uruguai </w:t>
      </w:r>
      <w:r>
        <w:rPr>
          <w:spacing w:val="1"/>
          <w:sz w:val="16"/>
        </w:rPr>
        <w:t xml:space="preserve">em </w:t>
      </w:r>
      <w:r>
        <w:rPr>
          <w:spacing w:val="3"/>
          <w:sz w:val="16"/>
        </w:rPr>
        <w:t xml:space="preserve">Relação </w:t>
      </w:r>
      <w:r>
        <w:rPr>
          <w:sz w:val="16"/>
        </w:rPr>
        <w:t xml:space="preserve">à </w:t>
      </w:r>
      <w:r>
        <w:rPr>
          <w:spacing w:val="8"/>
          <w:sz w:val="16"/>
        </w:rPr>
        <w:t xml:space="preserve">Termelétrica </w:t>
      </w:r>
      <w:r>
        <w:rPr>
          <w:spacing w:val="5"/>
          <w:sz w:val="16"/>
        </w:rPr>
        <w:t xml:space="preserve">de </w:t>
      </w:r>
      <w:r>
        <w:rPr>
          <w:spacing w:val="7"/>
          <w:sz w:val="16"/>
        </w:rPr>
        <w:t xml:space="preserve">Candiota (RS), 2003. </w:t>
      </w:r>
      <w:r>
        <w:rPr>
          <w:spacing w:val="6"/>
          <w:sz w:val="16"/>
        </w:rPr>
        <w:t xml:space="preserve">Tese </w:t>
      </w:r>
      <w:r>
        <w:rPr>
          <w:spacing w:val="8"/>
          <w:sz w:val="16"/>
        </w:rPr>
        <w:t xml:space="preserve">(Doutorado </w:t>
      </w:r>
      <w:r>
        <w:rPr>
          <w:spacing w:val="10"/>
          <w:sz w:val="16"/>
        </w:rPr>
        <w:t xml:space="preserve">em </w:t>
      </w:r>
      <w:r>
        <w:rPr>
          <w:spacing w:val="8"/>
          <w:sz w:val="16"/>
        </w:rPr>
        <w:t xml:space="preserve">Administração) </w:t>
      </w:r>
      <w:r>
        <w:rPr>
          <w:sz w:val="16"/>
        </w:rPr>
        <w:t xml:space="preserve">- </w:t>
      </w:r>
      <w:r>
        <w:rPr>
          <w:spacing w:val="7"/>
          <w:sz w:val="16"/>
        </w:rPr>
        <w:t xml:space="preserve">Fundação  Getúlio  Vargas,  </w:t>
      </w:r>
      <w:r>
        <w:rPr>
          <w:spacing w:val="5"/>
          <w:sz w:val="16"/>
        </w:rPr>
        <w:t xml:space="preserve">Rio  de  </w:t>
      </w:r>
      <w:r>
        <w:rPr>
          <w:spacing w:val="10"/>
          <w:sz w:val="16"/>
        </w:rPr>
        <w:t xml:space="preserve">Janeiro.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4" w:line="312" w:lineRule="auto"/>
        <w:ind w:left="100" w:right="216"/>
        <w:jc w:val="both"/>
        <w:rPr>
          <w:sz w:val="16"/>
        </w:rPr>
      </w:pPr>
      <w:hyperlink r:id="rId1702">
        <w:r w:rsidR="00330118">
          <w:rPr>
            <w:sz w:val="16"/>
          </w:rPr>
          <w:t>&lt;http://www.bibliotecadigital.fgv.br/dspace/bitstream/handle/10438/32</w:t>
        </w:r>
      </w:hyperlink>
      <w:r w:rsidR="00330118">
        <w:rPr>
          <w:sz w:val="16"/>
        </w:rPr>
        <w:t xml:space="preserve"> 70/TeseROTULO.pdf?sequence=1&gt;. Acesso em: 4 out. 2011.</w:t>
      </w:r>
    </w:p>
    <w:p w:rsidR="00D81F69" w:rsidRDefault="00330118">
      <w:pPr>
        <w:spacing w:before="2" w:line="312" w:lineRule="auto"/>
        <w:ind w:left="100" w:right="193"/>
        <w:jc w:val="both"/>
        <w:rPr>
          <w:sz w:val="16"/>
        </w:rPr>
      </w:pPr>
      <w:r>
        <w:rPr>
          <w:sz w:val="16"/>
        </w:rPr>
        <w:t>SANTANA, Eduardo Rodrigo Ramos de; TEIXEIRA, El</w:t>
      </w:r>
      <w:r>
        <w:rPr>
          <w:sz w:val="16"/>
        </w:rPr>
        <w:t>ba Calesso. Poluição atmosférica associada ao uso do carvão no Brasil. In: POSSA, M.V.; SANTOS, M.D.C; SOARES, P.S.M. (Org.). Carvão</w:t>
      </w:r>
    </w:p>
    <w:p w:rsidR="00D81F69" w:rsidRDefault="00330118">
      <w:pPr>
        <w:spacing w:before="2"/>
        <w:ind w:left="100"/>
        <w:jc w:val="both"/>
        <w:rPr>
          <w:sz w:val="16"/>
        </w:rPr>
      </w:pPr>
      <w:r>
        <w:rPr>
          <w:sz w:val="16"/>
        </w:rPr>
        <w:t>Brasileiro: tecnologia e meio ambiente. Rio de Janeiro: CETEM/MCT,</w:t>
      </w:r>
    </w:p>
    <w:p w:rsidR="00D81F69" w:rsidRDefault="00330118">
      <w:pPr>
        <w:tabs>
          <w:tab w:val="left" w:pos="1785"/>
          <w:tab w:val="left" w:pos="4548"/>
        </w:tabs>
        <w:spacing w:before="56"/>
        <w:ind w:left="100"/>
        <w:jc w:val="both"/>
        <w:rPr>
          <w:sz w:val="16"/>
        </w:rPr>
      </w:pPr>
      <w:r>
        <w:rPr>
          <w:sz w:val="16"/>
        </w:rPr>
        <w:t xml:space="preserve">2   0   0  </w:t>
      </w:r>
      <w:r>
        <w:rPr>
          <w:spacing w:val="35"/>
          <w:sz w:val="16"/>
        </w:rPr>
        <w:t xml:space="preserve"> </w:t>
      </w:r>
      <w:r>
        <w:rPr>
          <w:sz w:val="16"/>
        </w:rPr>
        <w:t xml:space="preserve">8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r>
      <w:r>
        <w:rPr>
          <w:sz w:val="16"/>
        </w:rPr>
        <w:t xml:space="preserve">e   m  </w:t>
      </w:r>
      <w:r>
        <w:rPr>
          <w:spacing w:val="22"/>
          <w:sz w:val="16"/>
        </w:rPr>
        <w:t xml:space="preserve"> </w:t>
      </w:r>
      <w:r>
        <w:rPr>
          <w:sz w:val="16"/>
        </w:rPr>
        <w:t>:</w:t>
      </w:r>
    </w:p>
    <w:p w:rsidR="00D81F69" w:rsidRDefault="00D81F69">
      <w:pPr>
        <w:spacing w:before="57" w:line="312" w:lineRule="auto"/>
        <w:ind w:left="100" w:right="191"/>
        <w:jc w:val="both"/>
        <w:rPr>
          <w:sz w:val="16"/>
        </w:rPr>
      </w:pPr>
      <w:hyperlink r:id="rId1703">
        <w:r w:rsidR="00330118">
          <w:rPr>
            <w:sz w:val="16"/>
          </w:rPr>
          <w:t>&lt;http://www.cetem.gov.br/publicacao/CTs/CT2008-094-00.pdf&gt;.</w:t>
        </w:r>
      </w:hyperlink>
      <w:r w:rsidR="00330118">
        <w:rPr>
          <w:sz w:val="16"/>
        </w:rPr>
        <w:t xml:space="preserve"> Acesso em: 4 out. 2011.</w:t>
      </w:r>
    </w:p>
    <w:p w:rsidR="00D81F69" w:rsidRDefault="00330118">
      <w:pPr>
        <w:tabs>
          <w:tab w:val="left" w:pos="2559"/>
          <w:tab w:val="left" w:pos="5063"/>
        </w:tabs>
        <w:spacing w:before="1" w:line="312" w:lineRule="auto"/>
        <w:ind w:left="100" w:right="200"/>
        <w:jc w:val="both"/>
        <w:rPr>
          <w:sz w:val="16"/>
        </w:rPr>
      </w:pPr>
      <w:r>
        <w:rPr>
          <w:sz w:val="16"/>
        </w:rPr>
        <w:t>VAZ, Lúcio. Moradores de município gaúcho convivem com resíduos de termelétrica. Correio Braziliense, Brasília, 15 mar. 2011. Disponível e</w:t>
      </w:r>
      <w:r>
        <w:rPr>
          <w:sz w:val="16"/>
        </w:rPr>
        <w:tab/>
        <w:t>m</w:t>
      </w:r>
      <w:r>
        <w:rPr>
          <w:sz w:val="16"/>
        </w:rPr>
        <w:tab/>
        <w:t>:</w:t>
      </w:r>
    </w:p>
    <w:p w:rsidR="00D81F69" w:rsidRDefault="00D81F69">
      <w:pPr>
        <w:spacing w:before="3" w:line="312" w:lineRule="auto"/>
        <w:ind w:left="100" w:right="214"/>
        <w:jc w:val="both"/>
        <w:rPr>
          <w:sz w:val="16"/>
        </w:rPr>
      </w:pPr>
      <w:hyperlink r:id="rId1704">
        <w:r w:rsidR="00330118">
          <w:rPr>
            <w:sz w:val="16"/>
          </w:rPr>
          <w:t>&lt;http://www.correiobrazil</w:t>
        </w:r>
        <w:r w:rsidR="00330118">
          <w:rPr>
            <w:sz w:val="16"/>
          </w:rPr>
          <w:t>iense.com.br/app/noticia/brasil/2011/03/15/int</w:t>
        </w:r>
      </w:hyperlink>
      <w:r w:rsidR="00330118">
        <w:rPr>
          <w:sz w:val="16"/>
        </w:rPr>
        <w:t xml:space="preserve"> erna_brasil,242661/moradores-de-municipio-gaucho-convivem-com- residuos-de-termeletrica.shtml&gt;. Acesso em: 4 out. 2011.</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205" w:space="265"/>
            <w:col w:w="5310"/>
          </w:cols>
        </w:sectPr>
      </w:pPr>
    </w:p>
    <w:p w:rsidR="00D81F69" w:rsidRDefault="00330118">
      <w:pPr>
        <w:pStyle w:val="Heading1"/>
        <w:spacing w:line="208" w:lineRule="auto"/>
      </w:pPr>
      <w:r>
        <w:lastRenderedPageBreak/>
        <w:t>Exploração de cobre em Minas do Camaquã (RS) provocou altera</w:t>
      </w:r>
      <w:r>
        <w:t>ções na paisagem</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60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ind w:left="135"/>
        <w:rPr>
          <w:i/>
          <w:sz w:val="14"/>
        </w:rPr>
      </w:pPr>
      <w:r>
        <w:rPr>
          <w:i/>
          <w:sz w:val="14"/>
        </w:rPr>
        <w:t>RS - Caçapava do Sul</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-30,8244</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-51,748</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8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Em Caçapava do Sul, uma jazida de </w:t>
      </w:r>
      <w:r>
        <w:rPr>
          <w:i/>
          <w:sz w:val="16"/>
        </w:rPr>
        <w:t>cobre foi explorada por mais de 100 anos, entre 1865 e 1996. A suspensão da mineração, devido à exaustão da jazida, causou impactos sociais como a evasão dos moradores, assim como impactos ambientais e na paisagem local. Agora, há perspectivas de que a ati</w:t>
      </w:r>
      <w:r>
        <w:rPr>
          <w:i/>
          <w:sz w:val="16"/>
        </w:rPr>
        <w:t>vidade mineradora volte a ocorrer na região.</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8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217"/>
      </w:pPr>
      <w:r>
        <w:t>“galeria dos ingleses”, no flanco leste do cerro João Dias. A empresa desenvolveu suas atividades no local entre 1870 e 1887 (HARRES, 2000).</w:t>
      </w:r>
    </w:p>
    <w:p w:rsidR="00D81F69" w:rsidRDefault="00330118">
      <w:pPr>
        <w:pStyle w:val="Corpodetexto"/>
        <w:spacing w:before="132" w:line="312" w:lineRule="auto"/>
        <w:ind w:left="135" w:right="185"/>
      </w:pPr>
      <w:r>
        <w:t>Uma segunda iniciativa de exploração ocorreu entre 1888 e 1899, qu</w:t>
      </w:r>
      <w:r>
        <w:t xml:space="preserve">ando empresários alemães extraíam manualmente minério com teor de 15% a 20% de cobre e o enviavam para  a Inglaterra. No entanto, a iniciativa foi frustrada devido ao  alto custo do transporte e à queda do preço do cobre. A mina </w:t>
      </w:r>
      <w:r>
        <w:rPr>
          <w:spacing w:val="5"/>
        </w:rPr>
        <w:t xml:space="preserve">foi </w:t>
      </w:r>
      <w:r>
        <w:rPr>
          <w:spacing w:val="7"/>
        </w:rPr>
        <w:t xml:space="preserve">vendida, então, </w:t>
      </w:r>
      <w:r>
        <w:t xml:space="preserve">à </w:t>
      </w:r>
      <w:r>
        <w:rPr>
          <w:spacing w:val="7"/>
        </w:rPr>
        <w:t>Compa</w:t>
      </w:r>
      <w:r>
        <w:rPr>
          <w:spacing w:val="7"/>
        </w:rPr>
        <w:t xml:space="preserve">nhia Belga, </w:t>
      </w:r>
      <w:r>
        <w:rPr>
          <w:spacing w:val="5"/>
        </w:rPr>
        <w:t xml:space="preserve">com </w:t>
      </w:r>
      <w:r>
        <w:rPr>
          <w:spacing w:val="6"/>
        </w:rPr>
        <w:t xml:space="preserve">sede </w:t>
      </w:r>
      <w:r>
        <w:rPr>
          <w:spacing w:val="10"/>
        </w:rPr>
        <w:t xml:space="preserve">em </w:t>
      </w:r>
      <w:r>
        <w:t xml:space="preserve">Bruxelas e filial no Brasil, que investiu em infraestrutura, como a </w:t>
      </w:r>
      <w:r>
        <w:rPr>
          <w:spacing w:val="8"/>
        </w:rPr>
        <w:t xml:space="preserve">instalação </w:t>
      </w:r>
      <w:r>
        <w:rPr>
          <w:spacing w:val="5"/>
        </w:rPr>
        <w:t xml:space="preserve">de </w:t>
      </w:r>
      <w:r>
        <w:rPr>
          <w:spacing w:val="7"/>
        </w:rPr>
        <w:t xml:space="preserve">usina </w:t>
      </w:r>
      <w:r>
        <w:rPr>
          <w:spacing w:val="5"/>
        </w:rPr>
        <w:t xml:space="preserve">de </w:t>
      </w:r>
      <w:r>
        <w:rPr>
          <w:spacing w:val="8"/>
        </w:rPr>
        <w:t xml:space="preserve">beneficiamento </w:t>
      </w:r>
      <w:r>
        <w:t>e</w:t>
      </w:r>
      <w:r>
        <w:rPr>
          <w:spacing w:val="23"/>
        </w:rPr>
        <w:t xml:space="preserve"> </w:t>
      </w:r>
      <w:r>
        <w:rPr>
          <w:spacing w:val="10"/>
        </w:rPr>
        <w:t>barragem,</w:t>
      </w:r>
    </w:p>
    <w:p w:rsidR="00D81F69" w:rsidRDefault="00D81F69">
      <w:pPr>
        <w:spacing w:line="312" w:lineRule="auto"/>
        <w:sectPr w:rsidR="00D81F69">
          <w:type w:val="continuous"/>
          <w:pgSz w:w="11900" w:h="16840"/>
          <w:pgMar w:top="720" w:right="500" w:bottom="280" w:left="620" w:header="720" w:footer="720" w:gutter="0"/>
          <w:cols w:num="3" w:space="720" w:equalWidth="0">
            <w:col w:w="1561" w:space="439"/>
            <w:col w:w="3104" w:space="331"/>
            <w:col w:w="5345"/>
          </w:cols>
        </w:sectPr>
      </w:pPr>
    </w:p>
    <w:p w:rsidR="00D81F69" w:rsidRDefault="00330118">
      <w:pPr>
        <w:pStyle w:val="Heading4"/>
        <w:spacing w:before="91"/>
        <w:jc w:val="left"/>
      </w:pPr>
      <w:r>
        <w:lastRenderedPageBreak/>
        <w:t>APRESENTAÇÃO DE CASO</w:t>
      </w:r>
    </w:p>
    <w:p w:rsidR="00D81F69" w:rsidRDefault="00330118">
      <w:pPr>
        <w:pStyle w:val="Corpodetexto"/>
        <w:spacing w:before="171"/>
        <w:jc w:val="left"/>
      </w:pPr>
      <w:r>
        <w:t>O município gaúcho de Caçapava do Sul possui uma área de</w:t>
      </w:r>
    </w:p>
    <w:p w:rsidR="00D81F69" w:rsidRDefault="00330118">
      <w:pPr>
        <w:pStyle w:val="Corpodetexto"/>
        <w:spacing w:before="63" w:line="312" w:lineRule="auto"/>
        <w:jc w:val="left"/>
      </w:pPr>
      <w:r>
        <w:t>3.04</w:t>
      </w:r>
      <w:r>
        <w:t>7 km² e, de acordo com o censo 2010 do IBGE, uma população de 33.700 habitantes (CNM, 2010). Tem como base de sua economia a pecuária, a agricultura e a mineração, responsável pela produção de mais de 85% do calcário do estado. Além disso, o município está</w:t>
      </w:r>
      <w:r>
        <w:t xml:space="preserve"> despertando um grande interesse na área da paleontologia pelo o elevado número de fósseis descobertos, já sendo considerado o centro geológico mais importante do Sul do Brasil (PREFEITURA DE CAÇAPAVA DO SUL, 2010).</w:t>
      </w:r>
    </w:p>
    <w:p w:rsidR="00D81F69" w:rsidRDefault="00330118">
      <w:pPr>
        <w:pStyle w:val="Corpodetexto"/>
        <w:spacing w:before="138" w:line="312" w:lineRule="auto"/>
        <w:ind w:right="79"/>
      </w:pPr>
      <w:r>
        <w:t>A historia do município está ligada a um</w:t>
      </w:r>
      <w:r>
        <w:t xml:space="preserve">a jazida de </w:t>
      </w:r>
      <w:hyperlink r:id="rId1705">
        <w:r>
          <w:t>cobre,</w:t>
        </w:r>
      </w:hyperlink>
      <w:r>
        <w:t xml:space="preserve"> chamada Minas do Camaquã, explorada por mais de 100 anos, de 1865 a 1996. No entanto, desde a descoberta dos primeiros indícios de mineralização cu</w:t>
      </w:r>
      <w:r>
        <w:t>prífera, as minas passaram por várias etapas de pesquisa, intercaladas por períodos de paralisação total ou parcial da atividade mineira (MINAS DO CAMAQUÃ, 2010a).</w:t>
      </w:r>
    </w:p>
    <w:p w:rsidR="00D81F69" w:rsidRDefault="00330118">
      <w:pPr>
        <w:pStyle w:val="Corpodetexto"/>
        <w:spacing w:before="137" w:line="312" w:lineRule="auto"/>
        <w:ind w:right="81"/>
      </w:pPr>
      <w:r>
        <w:t xml:space="preserve">A jazida está situada numa região de grande beleza natural, de formações rochosas peculiares, no 3° distrito de Caçapava </w:t>
      </w:r>
      <w:r>
        <w:rPr>
          <w:spacing w:val="5"/>
        </w:rPr>
        <w:t xml:space="preserve">do </w:t>
      </w:r>
      <w:r>
        <w:rPr>
          <w:spacing w:val="8"/>
        </w:rPr>
        <w:t xml:space="preserve">Sul, </w:t>
      </w:r>
      <w:r>
        <w:t xml:space="preserve">a </w:t>
      </w:r>
      <w:r>
        <w:rPr>
          <w:spacing w:val="5"/>
        </w:rPr>
        <w:t xml:space="preserve">70 km da </w:t>
      </w:r>
      <w:r>
        <w:rPr>
          <w:spacing w:val="8"/>
        </w:rPr>
        <w:t xml:space="preserve">sede </w:t>
      </w:r>
      <w:r>
        <w:rPr>
          <w:spacing w:val="5"/>
        </w:rPr>
        <w:t xml:space="preserve">do </w:t>
      </w:r>
      <w:r>
        <w:rPr>
          <w:spacing w:val="10"/>
        </w:rPr>
        <w:t xml:space="preserve">município (MINAS </w:t>
      </w:r>
      <w:r>
        <w:rPr>
          <w:spacing w:val="11"/>
        </w:rPr>
        <w:t xml:space="preserve">DO </w:t>
      </w:r>
      <w:r>
        <w:t>CAMAQUÃ, 2010b), cujos principais depósitos eram: a Mina Uruguai, com lavra a céu aberto</w:t>
      </w:r>
      <w:r>
        <w:t xml:space="preserve"> e subterrânea, e a Mina São </w:t>
      </w:r>
      <w:r>
        <w:rPr>
          <w:spacing w:val="3"/>
        </w:rPr>
        <w:t xml:space="preserve">Luiz, com lavra </w:t>
      </w:r>
      <w:r>
        <w:rPr>
          <w:spacing w:val="5"/>
        </w:rPr>
        <w:t xml:space="preserve">subterrânea (PAIM, 2002). </w:t>
      </w:r>
      <w:r>
        <w:rPr>
          <w:spacing w:val="2"/>
        </w:rPr>
        <w:t xml:space="preserve">As </w:t>
      </w:r>
      <w:r>
        <w:rPr>
          <w:spacing w:val="3"/>
        </w:rPr>
        <w:t xml:space="preserve">Minas </w:t>
      </w:r>
      <w:r>
        <w:rPr>
          <w:spacing w:val="5"/>
        </w:rPr>
        <w:t xml:space="preserve">do </w:t>
      </w:r>
      <w:r>
        <w:t xml:space="preserve">Camaquã ficam a 300 km do porto de Rio Grande, por onde o </w:t>
      </w:r>
      <w:r>
        <w:rPr>
          <w:spacing w:val="10"/>
        </w:rPr>
        <w:t xml:space="preserve">concentrado </w:t>
      </w:r>
      <w:r>
        <w:rPr>
          <w:spacing w:val="5"/>
        </w:rPr>
        <w:t xml:space="preserve">de </w:t>
      </w:r>
      <w:r>
        <w:rPr>
          <w:spacing w:val="8"/>
        </w:rPr>
        <w:t xml:space="preserve">cobre </w:t>
      </w:r>
      <w:r>
        <w:rPr>
          <w:spacing w:val="10"/>
        </w:rPr>
        <w:t xml:space="preserve">produzido </w:t>
      </w:r>
      <w:r>
        <w:rPr>
          <w:spacing w:val="7"/>
        </w:rPr>
        <w:t xml:space="preserve">era </w:t>
      </w:r>
      <w:r>
        <w:rPr>
          <w:spacing w:val="10"/>
        </w:rPr>
        <w:t xml:space="preserve">enviado </w:t>
      </w:r>
      <w:r>
        <w:rPr>
          <w:spacing w:val="8"/>
        </w:rPr>
        <w:t xml:space="preserve">para </w:t>
      </w:r>
      <w:r>
        <w:t xml:space="preserve">a </w:t>
      </w:r>
      <w:r>
        <w:rPr>
          <w:spacing w:val="6"/>
        </w:rPr>
        <w:t xml:space="preserve">metalurgia </w:t>
      </w:r>
      <w:r>
        <w:rPr>
          <w:spacing w:val="3"/>
        </w:rPr>
        <w:t xml:space="preserve">da </w:t>
      </w:r>
      <w:r>
        <w:rPr>
          <w:spacing w:val="5"/>
        </w:rPr>
        <w:t xml:space="preserve">Caraíba Metais, </w:t>
      </w:r>
      <w:r>
        <w:rPr>
          <w:spacing w:val="3"/>
        </w:rPr>
        <w:t xml:space="preserve">em </w:t>
      </w:r>
      <w:r>
        <w:rPr>
          <w:spacing w:val="6"/>
        </w:rPr>
        <w:t xml:space="preserve">Camaçari, </w:t>
      </w:r>
      <w:r>
        <w:rPr>
          <w:spacing w:val="3"/>
        </w:rPr>
        <w:t xml:space="preserve">na </w:t>
      </w:r>
      <w:r>
        <w:rPr>
          <w:spacing w:val="7"/>
        </w:rPr>
        <w:t xml:space="preserve">Bahia </w:t>
      </w:r>
      <w:r>
        <w:rPr>
          <w:spacing w:val="5"/>
        </w:rPr>
        <w:t xml:space="preserve">(MINAS </w:t>
      </w:r>
      <w:r>
        <w:rPr>
          <w:spacing w:val="3"/>
        </w:rPr>
        <w:t xml:space="preserve">DO </w:t>
      </w:r>
      <w:r>
        <w:rPr>
          <w:spacing w:val="6"/>
        </w:rPr>
        <w:t>CAM</w:t>
      </w:r>
      <w:r>
        <w:rPr>
          <w:spacing w:val="6"/>
        </w:rPr>
        <w:t>AQUÃ,</w:t>
      </w:r>
      <w:r>
        <w:rPr>
          <w:spacing w:val="10"/>
        </w:rPr>
        <w:t xml:space="preserve"> </w:t>
      </w:r>
      <w:r>
        <w:rPr>
          <w:spacing w:val="7"/>
        </w:rPr>
        <w:t>2010b).</w:t>
      </w:r>
    </w:p>
    <w:p w:rsidR="00D81F69" w:rsidRDefault="00330118">
      <w:pPr>
        <w:pStyle w:val="Corpodetexto"/>
        <w:spacing w:before="76" w:line="270" w:lineRule="atLeast"/>
        <w:ind w:right="74"/>
      </w:pPr>
      <w:r>
        <w:t xml:space="preserve">A </w:t>
      </w:r>
      <w:r>
        <w:rPr>
          <w:spacing w:val="1"/>
        </w:rPr>
        <w:t xml:space="preserve">identificação </w:t>
      </w:r>
      <w:r>
        <w:t xml:space="preserve">da </w:t>
      </w:r>
      <w:r>
        <w:rPr>
          <w:spacing w:val="1"/>
        </w:rPr>
        <w:t xml:space="preserve">jazida </w:t>
      </w:r>
      <w:r>
        <w:t xml:space="preserve">de </w:t>
      </w:r>
      <w:r>
        <w:rPr>
          <w:spacing w:val="1"/>
        </w:rPr>
        <w:t xml:space="preserve">cobre </w:t>
      </w:r>
      <w:r>
        <w:t xml:space="preserve">nas </w:t>
      </w:r>
      <w:r>
        <w:rPr>
          <w:spacing w:val="1"/>
        </w:rPr>
        <w:t xml:space="preserve">Minas </w:t>
      </w:r>
      <w:r>
        <w:t xml:space="preserve">do </w:t>
      </w:r>
      <w:r>
        <w:rPr>
          <w:spacing w:val="2"/>
        </w:rPr>
        <w:t xml:space="preserve">Camaquã </w:t>
      </w:r>
      <w:r>
        <w:rPr>
          <w:spacing w:val="5"/>
        </w:rPr>
        <w:t xml:space="preserve">ocorreu </w:t>
      </w:r>
      <w:r>
        <w:rPr>
          <w:spacing w:val="3"/>
        </w:rPr>
        <w:t xml:space="preserve">em </w:t>
      </w:r>
      <w:r>
        <w:rPr>
          <w:spacing w:val="5"/>
        </w:rPr>
        <w:t xml:space="preserve">1865, quando João Dias dos Santos </w:t>
      </w:r>
      <w:r>
        <w:rPr>
          <w:spacing w:val="7"/>
        </w:rPr>
        <w:t xml:space="preserve">Rosa, </w:t>
      </w:r>
      <w:r>
        <w:t xml:space="preserve">proprietário das terras, encontrou rochas de tom esverdeado  e </w:t>
      </w:r>
      <w:r>
        <w:rPr>
          <w:spacing w:val="1"/>
        </w:rPr>
        <w:t xml:space="preserve">as </w:t>
      </w:r>
      <w:r>
        <w:rPr>
          <w:spacing w:val="3"/>
        </w:rPr>
        <w:t xml:space="preserve">enviou </w:t>
      </w:r>
      <w:r>
        <w:rPr>
          <w:spacing w:val="2"/>
        </w:rPr>
        <w:t xml:space="preserve">para </w:t>
      </w:r>
      <w:r>
        <w:rPr>
          <w:spacing w:val="3"/>
        </w:rPr>
        <w:t xml:space="preserve">análise </w:t>
      </w:r>
      <w:r>
        <w:rPr>
          <w:spacing w:val="1"/>
        </w:rPr>
        <w:t xml:space="preserve">de </w:t>
      </w:r>
      <w:r>
        <w:rPr>
          <w:spacing w:val="3"/>
        </w:rPr>
        <w:t xml:space="preserve">pesquisadores ingleses </w:t>
      </w:r>
      <w:r>
        <w:rPr>
          <w:spacing w:val="5"/>
        </w:rPr>
        <w:t xml:space="preserve">que </w:t>
      </w:r>
      <w:r>
        <w:t xml:space="preserve">garimpavam ouro em </w:t>
      </w:r>
      <w:r>
        <w:t xml:space="preserve">Lavras do Sul (OLIVEIRA, 1944 apud </w:t>
      </w:r>
      <w:r>
        <w:rPr>
          <w:spacing w:val="3"/>
        </w:rPr>
        <w:t xml:space="preserve">HARRES, 2000). </w:t>
      </w:r>
      <w:r>
        <w:t xml:space="preserve">A </w:t>
      </w:r>
      <w:r>
        <w:rPr>
          <w:spacing w:val="3"/>
        </w:rPr>
        <w:t xml:space="preserve">exploração </w:t>
      </w:r>
      <w:r>
        <w:rPr>
          <w:spacing w:val="1"/>
        </w:rPr>
        <w:t xml:space="preserve">da </w:t>
      </w:r>
      <w:r>
        <w:rPr>
          <w:spacing w:val="3"/>
        </w:rPr>
        <w:t xml:space="preserve">grande jazida </w:t>
      </w:r>
      <w:r>
        <w:rPr>
          <w:spacing w:val="1"/>
        </w:rPr>
        <w:t xml:space="preserve">de </w:t>
      </w:r>
      <w:r>
        <w:rPr>
          <w:spacing w:val="5"/>
        </w:rPr>
        <w:t xml:space="preserve">cobre </w:t>
      </w:r>
      <w:r>
        <w:t xml:space="preserve">aconteceu em várias etapas. Na primeira delas, engenheiros </w:t>
      </w:r>
      <w:r>
        <w:rPr>
          <w:spacing w:val="1"/>
        </w:rPr>
        <w:t xml:space="preserve">ingleses </w:t>
      </w:r>
      <w:r>
        <w:t xml:space="preserve">da </w:t>
      </w:r>
      <w:r>
        <w:rPr>
          <w:spacing w:val="1"/>
        </w:rPr>
        <w:t xml:space="preserve">empresa </w:t>
      </w:r>
      <w:r>
        <w:t xml:space="preserve">The Rio </w:t>
      </w:r>
      <w:r>
        <w:rPr>
          <w:spacing w:val="1"/>
        </w:rPr>
        <w:t xml:space="preserve">Grande Gold Mining </w:t>
      </w:r>
      <w:r>
        <w:rPr>
          <w:spacing w:val="2"/>
        </w:rPr>
        <w:t xml:space="preserve">Limited </w:t>
      </w:r>
      <w:r>
        <w:t>abriram</w:t>
      </w:r>
      <w:r>
        <w:rPr>
          <w:spacing w:val="27"/>
        </w:rPr>
        <w:t xml:space="preserve"> </w:t>
      </w:r>
      <w:r>
        <w:t>uma</w:t>
      </w:r>
      <w:r>
        <w:rPr>
          <w:spacing w:val="27"/>
        </w:rPr>
        <w:t xml:space="preserve"> </w:t>
      </w:r>
      <w:r>
        <w:t>galeria</w:t>
      </w:r>
      <w:r>
        <w:rPr>
          <w:spacing w:val="27"/>
        </w:rPr>
        <w:t xml:space="preserve"> </w:t>
      </w:r>
      <w:r>
        <w:t>para</w:t>
      </w:r>
      <w:r>
        <w:rPr>
          <w:spacing w:val="27"/>
        </w:rPr>
        <w:t xml:space="preserve"> </w:t>
      </w:r>
      <w:r>
        <w:t>extração</w:t>
      </w:r>
      <w:r>
        <w:rPr>
          <w:spacing w:val="27"/>
        </w:rPr>
        <w:t xml:space="preserve"> </w:t>
      </w:r>
      <w:r>
        <w:t>do</w:t>
      </w:r>
      <w:r>
        <w:rPr>
          <w:spacing w:val="27"/>
        </w:rPr>
        <w:t xml:space="preserve"> </w:t>
      </w:r>
      <w:r>
        <w:t>minério,</w:t>
      </w:r>
      <w:r>
        <w:rPr>
          <w:spacing w:val="27"/>
        </w:rPr>
        <w:t xml:space="preserve"> </w:t>
      </w:r>
      <w:r>
        <w:t>chamada</w:t>
      </w:r>
      <w:r>
        <w:rPr>
          <w:spacing w:val="27"/>
        </w:rPr>
        <w:t xml:space="preserve"> </w:t>
      </w:r>
      <w:r>
        <w:t>de</w:t>
      </w:r>
    </w:p>
    <w:p w:rsidR="00D81F69" w:rsidRDefault="00330118">
      <w:pPr>
        <w:pStyle w:val="Corpodetexto"/>
        <w:spacing w:before="8" w:line="312" w:lineRule="auto"/>
        <w:ind w:right="189"/>
      </w:pPr>
      <w:r>
        <w:br w:type="column"/>
      </w:r>
      <w:r>
        <w:rPr>
          <w:spacing w:val="1"/>
        </w:rPr>
        <w:lastRenderedPageBreak/>
        <w:t xml:space="preserve">retomando </w:t>
      </w:r>
      <w:r>
        <w:t xml:space="preserve">a </w:t>
      </w:r>
      <w:r>
        <w:rPr>
          <w:spacing w:val="1"/>
        </w:rPr>
        <w:t xml:space="preserve">lavra </w:t>
      </w:r>
      <w:r>
        <w:t xml:space="preserve">em </w:t>
      </w:r>
      <w:r>
        <w:rPr>
          <w:spacing w:val="1"/>
        </w:rPr>
        <w:t xml:space="preserve">1901. </w:t>
      </w:r>
      <w:r>
        <w:t xml:space="preserve">Foi </w:t>
      </w:r>
      <w:r>
        <w:rPr>
          <w:spacing w:val="1"/>
        </w:rPr>
        <w:t xml:space="preserve">aberta </w:t>
      </w:r>
      <w:r>
        <w:t xml:space="preserve">a </w:t>
      </w:r>
      <w:r>
        <w:rPr>
          <w:spacing w:val="1"/>
        </w:rPr>
        <w:t xml:space="preserve">galeria belga, </w:t>
      </w:r>
      <w:r>
        <w:rPr>
          <w:spacing w:val="2"/>
        </w:rPr>
        <w:t xml:space="preserve">no </w:t>
      </w:r>
      <w:r>
        <w:rPr>
          <w:spacing w:val="3"/>
        </w:rPr>
        <w:t xml:space="preserve">flanco oeste </w:t>
      </w:r>
      <w:r>
        <w:rPr>
          <w:spacing w:val="1"/>
        </w:rPr>
        <w:t xml:space="preserve">do </w:t>
      </w:r>
      <w:r>
        <w:rPr>
          <w:spacing w:val="3"/>
        </w:rPr>
        <w:t xml:space="preserve">cerro </w:t>
      </w:r>
      <w:r>
        <w:rPr>
          <w:spacing w:val="2"/>
        </w:rPr>
        <w:t xml:space="preserve">João </w:t>
      </w:r>
      <w:r>
        <w:rPr>
          <w:spacing w:val="3"/>
        </w:rPr>
        <w:t xml:space="preserve">Dias, </w:t>
      </w:r>
      <w:r>
        <w:rPr>
          <w:spacing w:val="1"/>
        </w:rPr>
        <w:t xml:space="preserve">do </w:t>
      </w:r>
      <w:r>
        <w:rPr>
          <w:spacing w:val="2"/>
        </w:rPr>
        <w:t xml:space="preserve">lado </w:t>
      </w:r>
      <w:r>
        <w:rPr>
          <w:spacing w:val="3"/>
        </w:rPr>
        <w:t xml:space="preserve">oposto </w:t>
      </w:r>
      <w:r>
        <w:t xml:space="preserve">à </w:t>
      </w:r>
      <w:r>
        <w:rPr>
          <w:spacing w:val="5"/>
        </w:rPr>
        <w:t xml:space="preserve">antiga galeria </w:t>
      </w:r>
      <w:r>
        <w:rPr>
          <w:spacing w:val="3"/>
        </w:rPr>
        <w:t xml:space="preserve">dos </w:t>
      </w:r>
      <w:r>
        <w:rPr>
          <w:spacing w:val="5"/>
        </w:rPr>
        <w:t xml:space="preserve">ingleses. </w:t>
      </w:r>
      <w:r>
        <w:t xml:space="preserve">A </w:t>
      </w:r>
      <w:r>
        <w:rPr>
          <w:spacing w:val="5"/>
        </w:rPr>
        <w:t xml:space="preserve">jazida teve </w:t>
      </w:r>
      <w:r>
        <w:rPr>
          <w:spacing w:val="2"/>
        </w:rPr>
        <w:t xml:space="preserve">um </w:t>
      </w:r>
      <w:r>
        <w:rPr>
          <w:spacing w:val="6"/>
        </w:rPr>
        <w:t xml:space="preserve">desenvolvimento </w:t>
      </w:r>
      <w:r>
        <w:t xml:space="preserve">subterrâneo expressivo para época. Da mina era extraído um </w:t>
      </w:r>
      <w:r>
        <w:rPr>
          <w:spacing w:val="1"/>
        </w:rPr>
        <w:t xml:space="preserve">minério </w:t>
      </w:r>
      <w:r>
        <w:t xml:space="preserve">com </w:t>
      </w:r>
      <w:r>
        <w:rPr>
          <w:spacing w:val="1"/>
        </w:rPr>
        <w:t xml:space="preserve">teor </w:t>
      </w:r>
      <w:r>
        <w:t>de at</w:t>
      </w:r>
      <w:r>
        <w:t xml:space="preserve">é 30% de </w:t>
      </w:r>
      <w:r>
        <w:rPr>
          <w:spacing w:val="1"/>
        </w:rPr>
        <w:t xml:space="preserve">cobre, possibilitando </w:t>
      </w:r>
      <w:r>
        <w:rPr>
          <w:spacing w:val="2"/>
        </w:rPr>
        <w:t xml:space="preserve">uma </w:t>
      </w:r>
      <w:r>
        <w:t>exportação mensal de 90 a 100 toneladas para a Inglaterra. No curto período em que funcionou, a empresa dinamizou as atividades na mina, avançando nos processos de tratamento do minério. Mas, em 1909, decidiu encerrar sua</w:t>
      </w:r>
      <w:r>
        <w:t xml:space="preserve">s atividades devido à baixa do preço do cobre, à descoberta de minas no </w:t>
      </w:r>
      <w:r>
        <w:rPr>
          <w:spacing w:val="5"/>
        </w:rPr>
        <w:t xml:space="preserve">Congo-Belga </w:t>
      </w:r>
      <w:r>
        <w:t xml:space="preserve">e </w:t>
      </w:r>
      <w:r>
        <w:rPr>
          <w:spacing w:val="2"/>
        </w:rPr>
        <w:t xml:space="preserve">ao </w:t>
      </w:r>
      <w:r>
        <w:rPr>
          <w:spacing w:val="3"/>
        </w:rPr>
        <w:t xml:space="preserve">alto custo dos </w:t>
      </w:r>
      <w:r>
        <w:rPr>
          <w:spacing w:val="5"/>
        </w:rPr>
        <w:t>transportes (HARRES, 2000).</w:t>
      </w:r>
    </w:p>
    <w:p w:rsidR="00D81F69" w:rsidRDefault="00330118">
      <w:pPr>
        <w:pStyle w:val="Corpodetexto"/>
        <w:spacing w:before="141" w:line="312" w:lineRule="auto"/>
        <w:ind w:right="206"/>
      </w:pPr>
      <w:r>
        <w:t xml:space="preserve">As minas só foram registradas no Departamento Nacional de </w:t>
      </w:r>
      <w:r>
        <w:rPr>
          <w:spacing w:val="7"/>
        </w:rPr>
        <w:t xml:space="preserve">Produção Mineral (DNPM) </w:t>
      </w:r>
      <w:r>
        <w:rPr>
          <w:spacing w:val="5"/>
        </w:rPr>
        <w:t xml:space="preserve">em </w:t>
      </w:r>
      <w:r>
        <w:rPr>
          <w:spacing w:val="7"/>
        </w:rPr>
        <w:t xml:space="preserve">1939, </w:t>
      </w:r>
      <w:r>
        <w:t xml:space="preserve">e </w:t>
      </w:r>
      <w:r>
        <w:rPr>
          <w:spacing w:val="7"/>
        </w:rPr>
        <w:t xml:space="preserve">voltaram </w:t>
      </w:r>
      <w:r>
        <w:t xml:space="preserve">a </w:t>
      </w:r>
      <w:r>
        <w:rPr>
          <w:spacing w:val="10"/>
        </w:rPr>
        <w:t>ser exploradas apena</w:t>
      </w:r>
      <w:r>
        <w:rPr>
          <w:spacing w:val="10"/>
        </w:rPr>
        <w:t xml:space="preserve">s </w:t>
      </w:r>
      <w:r>
        <w:rPr>
          <w:spacing w:val="5"/>
        </w:rPr>
        <w:t xml:space="preserve">em </w:t>
      </w:r>
      <w:r>
        <w:rPr>
          <w:spacing w:val="10"/>
        </w:rPr>
        <w:t xml:space="preserve">1942, quando </w:t>
      </w:r>
      <w:r>
        <w:rPr>
          <w:spacing w:val="7"/>
        </w:rPr>
        <w:t xml:space="preserve">foi </w:t>
      </w:r>
      <w:r>
        <w:rPr>
          <w:spacing w:val="10"/>
        </w:rPr>
        <w:t xml:space="preserve">fundada </w:t>
      </w:r>
      <w:r>
        <w:t xml:space="preserve">a </w:t>
      </w:r>
      <w:r>
        <w:rPr>
          <w:spacing w:val="5"/>
        </w:rPr>
        <w:t xml:space="preserve">Companhia Brasileira </w:t>
      </w:r>
      <w:r>
        <w:rPr>
          <w:spacing w:val="2"/>
        </w:rPr>
        <w:t xml:space="preserve">de </w:t>
      </w:r>
      <w:r>
        <w:rPr>
          <w:spacing w:val="5"/>
        </w:rPr>
        <w:t xml:space="preserve">Cobre (CBC), </w:t>
      </w:r>
      <w:r>
        <w:rPr>
          <w:spacing w:val="3"/>
        </w:rPr>
        <w:t xml:space="preserve">que </w:t>
      </w:r>
      <w:r>
        <w:rPr>
          <w:spacing w:val="5"/>
        </w:rPr>
        <w:t xml:space="preserve">tinha </w:t>
      </w:r>
      <w:r>
        <w:rPr>
          <w:spacing w:val="6"/>
        </w:rPr>
        <w:t xml:space="preserve">como </w:t>
      </w:r>
      <w:r>
        <w:rPr>
          <w:spacing w:val="3"/>
        </w:rPr>
        <w:t xml:space="preserve">principais acionistas </w:t>
      </w:r>
      <w:r>
        <w:t xml:space="preserve">o </w:t>
      </w:r>
      <w:r>
        <w:rPr>
          <w:spacing w:val="3"/>
        </w:rPr>
        <w:t xml:space="preserve">governo </w:t>
      </w:r>
      <w:r>
        <w:rPr>
          <w:spacing w:val="1"/>
        </w:rPr>
        <w:t xml:space="preserve">do </w:t>
      </w:r>
      <w:r>
        <w:rPr>
          <w:spacing w:val="2"/>
        </w:rPr>
        <w:t xml:space="preserve">Rio </w:t>
      </w:r>
      <w:r>
        <w:rPr>
          <w:spacing w:val="3"/>
        </w:rPr>
        <w:t xml:space="preserve">Grande </w:t>
      </w:r>
      <w:r>
        <w:rPr>
          <w:spacing w:val="1"/>
        </w:rPr>
        <w:t xml:space="preserve">do </w:t>
      </w:r>
      <w:r>
        <w:rPr>
          <w:spacing w:val="2"/>
        </w:rPr>
        <w:t xml:space="preserve">Sul </w:t>
      </w:r>
      <w:r>
        <w:t xml:space="preserve">e a </w:t>
      </w:r>
      <w:r>
        <w:rPr>
          <w:spacing w:val="7"/>
        </w:rPr>
        <w:t xml:space="preserve">Laminação Nacional </w:t>
      </w:r>
      <w:r>
        <w:rPr>
          <w:spacing w:val="5"/>
        </w:rPr>
        <w:t xml:space="preserve">de </w:t>
      </w:r>
      <w:r>
        <w:rPr>
          <w:spacing w:val="7"/>
        </w:rPr>
        <w:t xml:space="preserve">Metais, </w:t>
      </w:r>
      <w:r>
        <w:rPr>
          <w:spacing w:val="8"/>
        </w:rPr>
        <w:t xml:space="preserve">pertencente </w:t>
      </w:r>
      <w:r>
        <w:rPr>
          <w:spacing w:val="5"/>
        </w:rPr>
        <w:t xml:space="preserve">ao </w:t>
      </w:r>
      <w:r>
        <w:rPr>
          <w:spacing w:val="10"/>
        </w:rPr>
        <w:t xml:space="preserve">Grupo </w:t>
      </w:r>
      <w:r>
        <w:t xml:space="preserve">Pignatari. Na ocasião, o governo tinha interesse em diminuir a </w:t>
      </w:r>
      <w:r>
        <w:rPr>
          <w:spacing w:val="1"/>
        </w:rPr>
        <w:t>d</w:t>
      </w:r>
      <w:r>
        <w:rPr>
          <w:spacing w:val="1"/>
        </w:rPr>
        <w:t xml:space="preserve">ependência </w:t>
      </w:r>
      <w:r>
        <w:t xml:space="preserve">da </w:t>
      </w:r>
      <w:r>
        <w:rPr>
          <w:spacing w:val="1"/>
        </w:rPr>
        <w:t xml:space="preserve">indústria nacional </w:t>
      </w:r>
      <w:r>
        <w:t xml:space="preserve">da </w:t>
      </w:r>
      <w:r>
        <w:rPr>
          <w:spacing w:val="1"/>
        </w:rPr>
        <w:t xml:space="preserve">importação </w:t>
      </w:r>
      <w:r>
        <w:t xml:space="preserve">de </w:t>
      </w:r>
      <w:r>
        <w:rPr>
          <w:spacing w:val="2"/>
        </w:rPr>
        <w:t xml:space="preserve">cobre </w:t>
      </w:r>
      <w:r>
        <w:t xml:space="preserve">(HARRES, 2000). Com o objetivo de ampliar a capacidade de </w:t>
      </w:r>
      <w:r>
        <w:rPr>
          <w:spacing w:val="8"/>
        </w:rPr>
        <w:t xml:space="preserve">exploração, </w:t>
      </w:r>
      <w:r>
        <w:rPr>
          <w:spacing w:val="5"/>
        </w:rPr>
        <w:t xml:space="preserve">em </w:t>
      </w:r>
      <w:r>
        <w:rPr>
          <w:spacing w:val="6"/>
        </w:rPr>
        <w:t xml:space="preserve">maio </w:t>
      </w:r>
      <w:r>
        <w:rPr>
          <w:spacing w:val="5"/>
        </w:rPr>
        <w:t xml:space="preserve">de </w:t>
      </w:r>
      <w:r>
        <w:rPr>
          <w:spacing w:val="7"/>
        </w:rPr>
        <w:t xml:space="preserve">1944, </w:t>
      </w:r>
      <w:r>
        <w:t xml:space="preserve">a </w:t>
      </w:r>
      <w:r>
        <w:rPr>
          <w:spacing w:val="7"/>
        </w:rPr>
        <w:t xml:space="preserve">empresa instalou </w:t>
      </w:r>
      <w:r>
        <w:rPr>
          <w:spacing w:val="10"/>
        </w:rPr>
        <w:t xml:space="preserve">um </w:t>
      </w:r>
      <w:r>
        <w:rPr>
          <w:spacing w:val="5"/>
        </w:rPr>
        <w:t xml:space="preserve">concentrador </w:t>
      </w:r>
      <w:r>
        <w:rPr>
          <w:spacing w:val="2"/>
        </w:rPr>
        <w:t xml:space="preserve">de </w:t>
      </w:r>
      <w:r>
        <w:rPr>
          <w:spacing w:val="5"/>
        </w:rPr>
        <w:t xml:space="preserve">minério, </w:t>
      </w:r>
      <w:r>
        <w:rPr>
          <w:spacing w:val="3"/>
        </w:rPr>
        <w:t xml:space="preserve">que </w:t>
      </w:r>
      <w:r>
        <w:rPr>
          <w:spacing w:val="5"/>
        </w:rPr>
        <w:t xml:space="preserve">separava </w:t>
      </w:r>
      <w:r>
        <w:rPr>
          <w:spacing w:val="2"/>
        </w:rPr>
        <w:t xml:space="preserve">as </w:t>
      </w:r>
      <w:r>
        <w:rPr>
          <w:spacing w:val="5"/>
        </w:rPr>
        <w:t>impurezas do</w:t>
      </w:r>
      <w:r>
        <w:rPr>
          <w:spacing w:val="61"/>
        </w:rPr>
        <w:t xml:space="preserve"> </w:t>
      </w:r>
      <w:r>
        <w:rPr>
          <w:spacing w:val="5"/>
        </w:rPr>
        <w:t xml:space="preserve">cobre, </w:t>
      </w:r>
      <w:r>
        <w:rPr>
          <w:spacing w:val="3"/>
        </w:rPr>
        <w:t xml:space="preserve">com </w:t>
      </w:r>
      <w:r>
        <w:rPr>
          <w:spacing w:val="5"/>
        </w:rPr>
        <w:t xml:space="preserve">capacidade para tratar </w:t>
      </w:r>
      <w:r>
        <w:rPr>
          <w:spacing w:val="3"/>
        </w:rPr>
        <w:t xml:space="preserve">120 </w:t>
      </w:r>
      <w:r>
        <w:rPr>
          <w:spacing w:val="5"/>
        </w:rPr>
        <w:t xml:space="preserve">t/dia </w:t>
      </w:r>
      <w:r>
        <w:rPr>
          <w:spacing w:val="2"/>
        </w:rPr>
        <w:t xml:space="preserve">de </w:t>
      </w:r>
      <w:r>
        <w:rPr>
          <w:spacing w:val="6"/>
        </w:rPr>
        <w:t xml:space="preserve">minério </w:t>
      </w:r>
      <w:r>
        <w:rPr>
          <w:spacing w:val="5"/>
        </w:rPr>
        <w:t xml:space="preserve">(GONZALES, 1988 apud HARRES, </w:t>
      </w:r>
      <w:r>
        <w:rPr>
          <w:spacing w:val="6"/>
        </w:rPr>
        <w:t>2000).</w:t>
      </w:r>
    </w:p>
    <w:p w:rsidR="00D81F69" w:rsidRDefault="00330118">
      <w:pPr>
        <w:pStyle w:val="Corpodetexto"/>
        <w:spacing w:before="142" w:line="312" w:lineRule="auto"/>
        <w:ind w:right="208"/>
      </w:pPr>
      <w:r>
        <w:t>A partir de 1957, o Grupo Pignatari assumiu o controle acionário da CBC, posição que se manteve até 1974, com uma produção de concentrado com teores de cobre variando de 29% a 39% (FEE, 1978 apud HAR</w:t>
      </w:r>
      <w:r>
        <w:t>RES, 2000). Nesse</w:t>
      </w:r>
    </w:p>
    <w:p w:rsidR="00D81F69" w:rsidRDefault="00330118">
      <w:pPr>
        <w:pStyle w:val="Corpodetexto"/>
        <w:spacing w:before="3" w:line="312" w:lineRule="auto"/>
        <w:ind w:right="196"/>
      </w:pPr>
      <w:r>
        <w:t>período, eram exploradas as minas subterrâneas São Luiz e Uruguai, e o trabalho era semi-mecanizado (HARRES, 2000).</w:t>
      </w:r>
    </w:p>
    <w:p w:rsidR="00D81F69" w:rsidRDefault="00330118">
      <w:pPr>
        <w:pStyle w:val="Corpodetexto"/>
        <w:spacing w:before="69" w:line="270" w:lineRule="atLeast"/>
        <w:ind w:right="205"/>
      </w:pPr>
      <w:r>
        <w:t>Em outubro de 1974, a CBC passou para o controle acionário do governo federal por meio da empresa Financiamentos de Insumo</w:t>
      </w:r>
      <w:r>
        <w:t>s Básicos S.A. (Fibase), subsidiária do Banco Nacional de Desenvolvimento Econômico e Social (BNDES). Pesquisas foram realizadas, resultando na montagem de um novo plano de lavra para a mina do Camaquã. Colaboraram nas pesquisas, entre outras, a  Rio  Doce</w:t>
      </w:r>
      <w:r>
        <w:t xml:space="preserve"> Geologia  e  Mineração</w:t>
      </w:r>
    </w:p>
    <w:p w:rsidR="00D81F69" w:rsidRDefault="00D81F69">
      <w:pPr>
        <w:spacing w:line="270" w:lineRule="atLeast"/>
        <w:sectPr w:rsidR="00D81F69">
          <w:type w:val="continuous"/>
          <w:pgSz w:w="11900" w:h="16840"/>
          <w:pgMar w:top="720" w:right="500" w:bottom="280" w:left="620" w:header="720" w:footer="720" w:gutter="0"/>
          <w:cols w:num="2" w:space="720" w:equalWidth="0">
            <w:col w:w="5197" w:space="273"/>
            <w:col w:w="5310"/>
          </w:cols>
        </w:sectPr>
      </w:pPr>
    </w:p>
    <w:p w:rsidR="00D81F69" w:rsidRDefault="00330118">
      <w:pPr>
        <w:pStyle w:val="Corpodetexto"/>
        <w:spacing w:before="81" w:line="312" w:lineRule="auto"/>
        <w:ind w:right="56"/>
      </w:pPr>
      <w:r>
        <w:lastRenderedPageBreak/>
        <w:t>(Docegeo), subsidiária da Vale [então chamada Companhia Vale do Rio Doce], e a Companhia Rio-Grandense de Mineração (CRM) (HARRES, 2000).</w:t>
      </w:r>
    </w:p>
    <w:p w:rsidR="00D81F69" w:rsidRDefault="00330118">
      <w:pPr>
        <w:pStyle w:val="Corpodetexto"/>
        <w:spacing w:before="133" w:line="312" w:lineRule="auto"/>
        <w:ind w:right="45"/>
      </w:pPr>
      <w:r>
        <w:rPr>
          <w:spacing w:val="1"/>
        </w:rPr>
        <w:t xml:space="preserve">Em </w:t>
      </w:r>
      <w:r>
        <w:rPr>
          <w:spacing w:val="3"/>
        </w:rPr>
        <w:t xml:space="preserve">dezembro </w:t>
      </w:r>
      <w:r>
        <w:rPr>
          <w:spacing w:val="1"/>
        </w:rPr>
        <w:t xml:space="preserve">de </w:t>
      </w:r>
      <w:r>
        <w:rPr>
          <w:spacing w:val="3"/>
        </w:rPr>
        <w:t xml:space="preserve">1975, </w:t>
      </w:r>
      <w:r>
        <w:t xml:space="preserve">a </w:t>
      </w:r>
      <w:r>
        <w:rPr>
          <w:spacing w:val="3"/>
        </w:rPr>
        <w:t xml:space="preserve">condição deficitária </w:t>
      </w:r>
      <w:r>
        <w:rPr>
          <w:spacing w:val="1"/>
        </w:rPr>
        <w:t xml:space="preserve">da </w:t>
      </w:r>
      <w:r>
        <w:rPr>
          <w:spacing w:val="3"/>
        </w:rPr>
        <w:t xml:space="preserve">lavra </w:t>
      </w:r>
      <w:r>
        <w:rPr>
          <w:spacing w:val="5"/>
        </w:rPr>
        <w:t xml:space="preserve">se </w:t>
      </w:r>
      <w:r>
        <w:rPr>
          <w:spacing w:val="1"/>
        </w:rPr>
        <w:t xml:space="preserve">somou </w:t>
      </w:r>
      <w:r>
        <w:t xml:space="preserve">à </w:t>
      </w:r>
      <w:r>
        <w:rPr>
          <w:spacing w:val="1"/>
        </w:rPr>
        <w:t>des</w:t>
      </w:r>
      <w:r>
        <w:rPr>
          <w:spacing w:val="1"/>
        </w:rPr>
        <w:t xml:space="preserve">ativação </w:t>
      </w:r>
      <w:r>
        <w:t xml:space="preserve">da </w:t>
      </w:r>
      <w:r>
        <w:rPr>
          <w:spacing w:val="1"/>
        </w:rPr>
        <w:t xml:space="preserve">Caraíba Metais, única </w:t>
      </w:r>
      <w:r>
        <w:rPr>
          <w:spacing w:val="2"/>
        </w:rPr>
        <w:t xml:space="preserve">metalurgia </w:t>
      </w:r>
      <w:r>
        <w:t xml:space="preserve">que utilizava o concentrado de cobre produzido nas Minas do Camaquã. Com isso, as atividades de lavra foram suspensas, e a </w:t>
      </w:r>
      <w:r>
        <w:rPr>
          <w:spacing w:val="8"/>
        </w:rPr>
        <w:t xml:space="preserve">empresa passou </w:t>
      </w:r>
      <w:r>
        <w:t xml:space="preserve">a </w:t>
      </w:r>
      <w:r>
        <w:rPr>
          <w:spacing w:val="8"/>
        </w:rPr>
        <w:t xml:space="preserve">centrar esforços </w:t>
      </w:r>
      <w:r>
        <w:rPr>
          <w:spacing w:val="5"/>
        </w:rPr>
        <w:t xml:space="preserve">na </w:t>
      </w:r>
      <w:r>
        <w:rPr>
          <w:spacing w:val="10"/>
        </w:rPr>
        <w:t xml:space="preserve">pesquisa </w:t>
      </w:r>
      <w:r>
        <w:rPr>
          <w:spacing w:val="5"/>
        </w:rPr>
        <w:t xml:space="preserve">geológica, </w:t>
      </w:r>
      <w:r>
        <w:rPr>
          <w:spacing w:val="3"/>
        </w:rPr>
        <w:t xml:space="preserve">para </w:t>
      </w:r>
      <w:r>
        <w:rPr>
          <w:spacing w:val="2"/>
        </w:rPr>
        <w:t xml:space="preserve">um </w:t>
      </w:r>
      <w:r>
        <w:rPr>
          <w:spacing w:val="3"/>
        </w:rPr>
        <w:t xml:space="preserve">novo plano </w:t>
      </w:r>
      <w:r>
        <w:rPr>
          <w:spacing w:val="2"/>
        </w:rPr>
        <w:t xml:space="preserve">de </w:t>
      </w:r>
      <w:r>
        <w:rPr>
          <w:spacing w:val="3"/>
        </w:rPr>
        <w:t xml:space="preserve">lavra </w:t>
      </w:r>
      <w:r>
        <w:rPr>
          <w:spacing w:val="5"/>
        </w:rPr>
        <w:t>(IN</w:t>
      </w:r>
      <w:r>
        <w:rPr>
          <w:spacing w:val="5"/>
        </w:rPr>
        <w:t>FORMATIVO</w:t>
      </w:r>
      <w:r>
        <w:rPr>
          <w:spacing w:val="61"/>
        </w:rPr>
        <w:t xml:space="preserve"> </w:t>
      </w:r>
      <w:r>
        <w:rPr>
          <w:spacing w:val="3"/>
        </w:rPr>
        <w:t xml:space="preserve">CBC/ BOM, </w:t>
      </w:r>
      <w:r>
        <w:rPr>
          <w:spacing w:val="5"/>
        </w:rPr>
        <w:t xml:space="preserve">JARDIM </w:t>
      </w:r>
      <w:r>
        <w:rPr>
          <w:spacing w:val="3"/>
        </w:rPr>
        <w:t>S/A, 1992 apud</w:t>
      </w:r>
      <w:r>
        <w:rPr>
          <w:spacing w:val="2"/>
        </w:rPr>
        <w:t xml:space="preserve"> </w:t>
      </w:r>
      <w:r>
        <w:rPr>
          <w:spacing w:val="5"/>
        </w:rPr>
        <w:t>HARRES, 2000).</w:t>
      </w:r>
    </w:p>
    <w:p w:rsidR="00D81F69" w:rsidRDefault="00330118">
      <w:pPr>
        <w:pStyle w:val="Corpodetexto"/>
        <w:spacing w:before="136" w:line="312" w:lineRule="auto"/>
        <w:ind w:right="38"/>
      </w:pPr>
      <w:r>
        <w:t xml:space="preserve">Numa tentativa de retomar as atividades, no período 1975 a </w:t>
      </w:r>
      <w:r>
        <w:rPr>
          <w:spacing w:val="5"/>
        </w:rPr>
        <w:t xml:space="preserve">1977, </w:t>
      </w:r>
      <w:r>
        <w:rPr>
          <w:spacing w:val="2"/>
        </w:rPr>
        <w:t xml:space="preserve">as </w:t>
      </w:r>
      <w:r>
        <w:rPr>
          <w:spacing w:val="5"/>
        </w:rPr>
        <w:t xml:space="preserve">Minas </w:t>
      </w:r>
      <w:r>
        <w:rPr>
          <w:spacing w:val="2"/>
        </w:rPr>
        <w:t xml:space="preserve">do </w:t>
      </w:r>
      <w:r>
        <w:rPr>
          <w:spacing w:val="5"/>
        </w:rPr>
        <w:t xml:space="preserve">Camaquã passaram </w:t>
      </w:r>
      <w:r>
        <w:rPr>
          <w:spacing w:val="3"/>
        </w:rPr>
        <w:t xml:space="preserve">por </w:t>
      </w:r>
      <w:r>
        <w:rPr>
          <w:spacing w:val="2"/>
        </w:rPr>
        <w:t xml:space="preserve">um </w:t>
      </w:r>
      <w:r>
        <w:rPr>
          <w:spacing w:val="6"/>
        </w:rPr>
        <w:t xml:space="preserve">intenso </w:t>
      </w:r>
      <w:r>
        <w:rPr>
          <w:spacing w:val="7"/>
        </w:rPr>
        <w:t xml:space="preserve">programa </w:t>
      </w:r>
      <w:r>
        <w:rPr>
          <w:spacing w:val="5"/>
        </w:rPr>
        <w:t xml:space="preserve">de </w:t>
      </w:r>
      <w:r>
        <w:rPr>
          <w:spacing w:val="7"/>
        </w:rPr>
        <w:t xml:space="preserve">pesquisas </w:t>
      </w:r>
      <w:r>
        <w:rPr>
          <w:spacing w:val="8"/>
        </w:rPr>
        <w:t xml:space="preserve">geológicas </w:t>
      </w:r>
      <w:r>
        <w:rPr>
          <w:spacing w:val="5"/>
        </w:rPr>
        <w:t xml:space="preserve">sob </w:t>
      </w:r>
      <w:r>
        <w:rPr>
          <w:spacing w:val="8"/>
        </w:rPr>
        <w:t xml:space="preserve">orientação </w:t>
      </w:r>
      <w:r>
        <w:rPr>
          <w:spacing w:val="10"/>
        </w:rPr>
        <w:t xml:space="preserve">da </w:t>
      </w:r>
      <w:r>
        <w:t>Docegeo. As informações obtidas permiti</w:t>
      </w:r>
      <w:r>
        <w:t xml:space="preserve">ram à CBC iniciar o Projeto Expansão Camaquã, que concentrou suas atividades na pesquisa de detalhamento para o planejamento da lavra  </w:t>
      </w:r>
      <w:r>
        <w:rPr>
          <w:spacing w:val="2"/>
        </w:rPr>
        <w:t xml:space="preserve">na </w:t>
      </w:r>
      <w:r>
        <w:rPr>
          <w:spacing w:val="3"/>
        </w:rPr>
        <w:t xml:space="preserve">mina </w:t>
      </w:r>
      <w:r>
        <w:rPr>
          <w:spacing w:val="5"/>
        </w:rPr>
        <w:t xml:space="preserve">subterrânea; </w:t>
      </w:r>
      <w:r>
        <w:t xml:space="preserve">e </w:t>
      </w:r>
      <w:r>
        <w:rPr>
          <w:spacing w:val="5"/>
        </w:rPr>
        <w:t xml:space="preserve">detalhamento geológico </w:t>
      </w:r>
      <w:r>
        <w:rPr>
          <w:spacing w:val="2"/>
        </w:rPr>
        <w:t xml:space="preserve">na </w:t>
      </w:r>
      <w:r>
        <w:rPr>
          <w:spacing w:val="5"/>
        </w:rPr>
        <w:t xml:space="preserve">Mina Uruguai para </w:t>
      </w:r>
      <w:r>
        <w:t xml:space="preserve">o </w:t>
      </w:r>
      <w:r>
        <w:rPr>
          <w:spacing w:val="5"/>
        </w:rPr>
        <w:t xml:space="preserve">estabelecimento </w:t>
      </w:r>
      <w:r>
        <w:rPr>
          <w:spacing w:val="3"/>
        </w:rPr>
        <w:t xml:space="preserve">dos </w:t>
      </w:r>
      <w:r>
        <w:rPr>
          <w:spacing w:val="5"/>
        </w:rPr>
        <w:t xml:space="preserve">limites </w:t>
      </w:r>
      <w:r>
        <w:rPr>
          <w:spacing w:val="2"/>
        </w:rPr>
        <w:t xml:space="preserve">da </w:t>
      </w:r>
      <w:r>
        <w:rPr>
          <w:spacing w:val="5"/>
        </w:rPr>
        <w:t xml:space="preserve">cava </w:t>
      </w:r>
      <w:r>
        <w:rPr>
          <w:spacing w:val="6"/>
        </w:rPr>
        <w:t xml:space="preserve">de </w:t>
      </w:r>
      <w:r>
        <w:rPr>
          <w:spacing w:val="5"/>
        </w:rPr>
        <w:t xml:space="preserve">exaustão, </w:t>
      </w:r>
      <w:r>
        <w:rPr>
          <w:spacing w:val="5"/>
        </w:rPr>
        <w:t xml:space="preserve">dentre outras coisas (MINAS </w:t>
      </w:r>
      <w:r>
        <w:rPr>
          <w:spacing w:val="2"/>
        </w:rPr>
        <w:t xml:space="preserve">DO </w:t>
      </w:r>
      <w:r>
        <w:rPr>
          <w:spacing w:val="6"/>
        </w:rPr>
        <w:t>CAMAQUÃ, 2010a).</w:t>
      </w:r>
    </w:p>
    <w:p w:rsidR="00D81F69" w:rsidRDefault="00330118">
      <w:pPr>
        <w:pStyle w:val="Corpodetexto"/>
        <w:spacing w:before="139" w:line="312" w:lineRule="auto"/>
        <w:ind w:right="41"/>
      </w:pPr>
      <w:r>
        <w:t>A partir de 1979, a CBC deu início ao processo de implantação do Projeto de Expansão Camaquã, contratando uma empresa privada para preparação da infraestrutura necessária à implementação do novo plano de lavr</w:t>
      </w:r>
      <w:r>
        <w:t>a (RIBEIRO, 1991 apud HARRES, 2000). As atividades de mineração foram retomadas, em 1981, com a utilização de técnicas de extração altamente mecanizadas, tanto nas minas subterrâneas como na frente de lavra a céu aberto (PAIM, 2002). Novas avaliações sobre</w:t>
      </w:r>
      <w:r>
        <w:t xml:space="preserve"> as minas subterrâneas São Luiz e Uruguai e sobre a lavra a céu aberto da Uruguai estimaram reservas de 28,4 milhões de toneladas com um teor de 1,05% de cobre. Com a modernização da mineração e do processo de concentração, previa-se uma produção anual de </w:t>
      </w:r>
      <w:r>
        <w:t>12 mil t/ano de cobre contido nos concentrados. Esses dados constituíram a base para implantação do novo programa de produção da empresa (RIBEIRO, 1991 apud HARRES, 2000).</w:t>
      </w:r>
    </w:p>
    <w:p w:rsidR="00D81F69" w:rsidRDefault="00330118">
      <w:pPr>
        <w:pStyle w:val="Corpodetexto"/>
        <w:spacing w:before="146" w:line="312" w:lineRule="auto"/>
        <w:ind w:right="57"/>
      </w:pPr>
      <w:r>
        <w:t xml:space="preserve">No entanto, o teor de cobre do minério lavrado entre 1981 e </w:t>
      </w:r>
      <w:r>
        <w:rPr>
          <w:spacing w:val="5"/>
        </w:rPr>
        <w:t xml:space="preserve">1989 (média </w:t>
      </w:r>
      <w:r>
        <w:rPr>
          <w:spacing w:val="2"/>
        </w:rPr>
        <w:t xml:space="preserve">de </w:t>
      </w:r>
      <w:r>
        <w:rPr>
          <w:spacing w:val="5"/>
        </w:rPr>
        <w:t xml:space="preserve">0,57% </w:t>
      </w:r>
      <w:r>
        <w:rPr>
          <w:spacing w:val="2"/>
        </w:rPr>
        <w:t xml:space="preserve">de </w:t>
      </w:r>
      <w:r>
        <w:rPr>
          <w:spacing w:val="5"/>
        </w:rPr>
        <w:t xml:space="preserve">cobre) ficou </w:t>
      </w:r>
      <w:r>
        <w:rPr>
          <w:spacing w:val="3"/>
        </w:rPr>
        <w:t xml:space="preserve">bem </w:t>
      </w:r>
      <w:r>
        <w:rPr>
          <w:spacing w:val="5"/>
        </w:rPr>
        <w:t xml:space="preserve">abaixo </w:t>
      </w:r>
      <w:r>
        <w:rPr>
          <w:spacing w:val="6"/>
        </w:rPr>
        <w:t xml:space="preserve">das </w:t>
      </w:r>
      <w:r>
        <w:t xml:space="preserve">projeções iniciais de 1,05%, que tinham dado sustentação ao </w:t>
      </w:r>
      <w:r>
        <w:rPr>
          <w:spacing w:val="1"/>
        </w:rPr>
        <w:t xml:space="preserve">investimento inicial. Assim, </w:t>
      </w:r>
      <w:r>
        <w:t xml:space="preserve">em </w:t>
      </w:r>
      <w:r>
        <w:rPr>
          <w:spacing w:val="1"/>
        </w:rPr>
        <w:t xml:space="preserve">1987, </w:t>
      </w:r>
      <w:r>
        <w:t xml:space="preserve">o </w:t>
      </w:r>
      <w:r>
        <w:rPr>
          <w:spacing w:val="1"/>
        </w:rPr>
        <w:t xml:space="preserve">BNDES assumiu </w:t>
      </w:r>
      <w:r>
        <w:t xml:space="preserve">o endividamento bancário da empresa e, em 1988, a CBC </w:t>
      </w:r>
      <w:r>
        <w:rPr>
          <w:spacing w:val="1"/>
        </w:rPr>
        <w:t xml:space="preserve">foi levada </w:t>
      </w:r>
      <w:r>
        <w:t xml:space="preserve">a </w:t>
      </w:r>
      <w:r>
        <w:rPr>
          <w:spacing w:val="1"/>
        </w:rPr>
        <w:t xml:space="preserve">leilão, </w:t>
      </w:r>
      <w:r>
        <w:t xml:space="preserve">mas não foi </w:t>
      </w:r>
      <w:r>
        <w:rPr>
          <w:spacing w:val="1"/>
        </w:rPr>
        <w:t xml:space="preserve">arrematada, pois </w:t>
      </w:r>
      <w:r>
        <w:t xml:space="preserve">as </w:t>
      </w:r>
      <w:r>
        <w:rPr>
          <w:spacing w:val="2"/>
        </w:rPr>
        <w:t>empresa</w:t>
      </w:r>
      <w:r>
        <w:rPr>
          <w:spacing w:val="2"/>
        </w:rPr>
        <w:t xml:space="preserve">s </w:t>
      </w:r>
      <w:r>
        <w:rPr>
          <w:spacing w:val="10"/>
        </w:rPr>
        <w:t xml:space="preserve">qualificadas desistiram (PAIM, 2002). </w:t>
      </w:r>
      <w:r>
        <w:rPr>
          <w:spacing w:val="8"/>
        </w:rPr>
        <w:t xml:space="preserve">Para </w:t>
      </w:r>
      <w:r>
        <w:rPr>
          <w:spacing w:val="10"/>
        </w:rPr>
        <w:t xml:space="preserve">evitar </w:t>
      </w:r>
      <w:r>
        <w:t xml:space="preserve">o </w:t>
      </w:r>
      <w:r>
        <w:rPr>
          <w:spacing w:val="5"/>
        </w:rPr>
        <w:t xml:space="preserve">fechamento, </w:t>
      </w:r>
      <w:r>
        <w:rPr>
          <w:spacing w:val="2"/>
        </w:rPr>
        <w:t xml:space="preserve">os </w:t>
      </w:r>
      <w:r>
        <w:rPr>
          <w:spacing w:val="5"/>
        </w:rPr>
        <w:t xml:space="preserve">administradores </w:t>
      </w:r>
      <w:r>
        <w:rPr>
          <w:spacing w:val="2"/>
        </w:rPr>
        <w:t xml:space="preserve">da </w:t>
      </w:r>
      <w:r>
        <w:rPr>
          <w:spacing w:val="3"/>
        </w:rPr>
        <w:t xml:space="preserve">CBC </w:t>
      </w:r>
      <w:r>
        <w:rPr>
          <w:spacing w:val="5"/>
        </w:rPr>
        <w:t>propuseram ao</w:t>
      </w:r>
      <w:r>
        <w:rPr>
          <w:spacing w:val="61"/>
        </w:rPr>
        <w:t xml:space="preserve"> </w:t>
      </w:r>
      <w:r>
        <w:rPr>
          <w:spacing w:val="5"/>
        </w:rPr>
        <w:t xml:space="preserve">BNDES </w:t>
      </w:r>
      <w:r>
        <w:rPr>
          <w:spacing w:val="3"/>
        </w:rPr>
        <w:t xml:space="preserve">uma </w:t>
      </w:r>
      <w:r>
        <w:rPr>
          <w:spacing w:val="5"/>
        </w:rPr>
        <w:t xml:space="preserve">forma </w:t>
      </w:r>
      <w:r>
        <w:rPr>
          <w:spacing w:val="2"/>
        </w:rPr>
        <w:t xml:space="preserve">de </w:t>
      </w:r>
      <w:r>
        <w:rPr>
          <w:spacing w:val="5"/>
        </w:rPr>
        <w:t xml:space="preserve">privatização ainda </w:t>
      </w:r>
      <w:r>
        <w:rPr>
          <w:spacing w:val="3"/>
        </w:rPr>
        <w:t xml:space="preserve">não </w:t>
      </w:r>
      <w:r>
        <w:rPr>
          <w:spacing w:val="5"/>
        </w:rPr>
        <w:t xml:space="preserve">posta </w:t>
      </w:r>
      <w:r>
        <w:rPr>
          <w:spacing w:val="6"/>
        </w:rPr>
        <w:t xml:space="preserve">em </w:t>
      </w:r>
      <w:r>
        <w:t xml:space="preserve">prática no país, mas que foi vista como uma experiência para </w:t>
      </w:r>
      <w:r>
        <w:rPr>
          <w:spacing w:val="1"/>
        </w:rPr>
        <w:t xml:space="preserve">futuras privatizações. Assim, </w:t>
      </w:r>
      <w:r>
        <w:t>em 20 de</w:t>
      </w:r>
      <w:r>
        <w:t xml:space="preserve"> </w:t>
      </w:r>
      <w:r>
        <w:rPr>
          <w:spacing w:val="1"/>
        </w:rPr>
        <w:t xml:space="preserve">março </w:t>
      </w:r>
      <w:r>
        <w:t xml:space="preserve">de </w:t>
      </w:r>
      <w:r>
        <w:rPr>
          <w:spacing w:val="1"/>
        </w:rPr>
        <w:t xml:space="preserve">1989, </w:t>
      </w:r>
      <w:r>
        <w:rPr>
          <w:spacing w:val="2"/>
        </w:rPr>
        <w:t xml:space="preserve">os </w:t>
      </w:r>
      <w:r>
        <w:rPr>
          <w:spacing w:val="10"/>
        </w:rPr>
        <w:t xml:space="preserve">empregados </w:t>
      </w:r>
      <w:r>
        <w:rPr>
          <w:spacing w:val="5"/>
        </w:rPr>
        <w:t xml:space="preserve">da </w:t>
      </w:r>
      <w:r>
        <w:rPr>
          <w:spacing w:val="7"/>
        </w:rPr>
        <w:t xml:space="preserve">CBC </w:t>
      </w:r>
      <w:r>
        <w:rPr>
          <w:spacing w:val="10"/>
        </w:rPr>
        <w:t xml:space="preserve">fundaram </w:t>
      </w:r>
      <w:r>
        <w:t xml:space="preserve">a </w:t>
      </w:r>
      <w:r>
        <w:rPr>
          <w:spacing w:val="7"/>
        </w:rPr>
        <w:t xml:space="preserve">Bom </w:t>
      </w:r>
      <w:r>
        <w:rPr>
          <w:spacing w:val="10"/>
        </w:rPr>
        <w:t xml:space="preserve">Jardim </w:t>
      </w:r>
      <w:r>
        <w:rPr>
          <w:spacing w:val="7"/>
        </w:rPr>
        <w:t xml:space="preserve">S/A </w:t>
      </w:r>
      <w:r>
        <w:t xml:space="preserve">e </w:t>
      </w:r>
      <w:r>
        <w:rPr>
          <w:spacing w:val="5"/>
        </w:rPr>
        <w:t xml:space="preserve">adquiriram </w:t>
      </w:r>
      <w:r>
        <w:t xml:space="preserve">o </w:t>
      </w:r>
      <w:r>
        <w:rPr>
          <w:spacing w:val="5"/>
        </w:rPr>
        <w:t xml:space="preserve">controle acionário </w:t>
      </w:r>
      <w:r>
        <w:rPr>
          <w:spacing w:val="2"/>
        </w:rPr>
        <w:t xml:space="preserve">da </w:t>
      </w:r>
      <w:r>
        <w:rPr>
          <w:spacing w:val="3"/>
        </w:rPr>
        <w:t xml:space="preserve">CBC </w:t>
      </w:r>
      <w:r>
        <w:rPr>
          <w:spacing w:val="5"/>
        </w:rPr>
        <w:t xml:space="preserve">(INFORMATIVO </w:t>
      </w:r>
      <w:r>
        <w:rPr>
          <w:spacing w:val="3"/>
        </w:rPr>
        <w:t>CBC/</w:t>
      </w:r>
      <w:r>
        <w:rPr>
          <w:spacing w:val="2"/>
        </w:rPr>
        <w:t xml:space="preserve"> </w:t>
      </w:r>
      <w:r>
        <w:rPr>
          <w:spacing w:val="3"/>
        </w:rPr>
        <w:t>BOM</w:t>
      </w:r>
      <w:r>
        <w:rPr>
          <w:spacing w:val="2"/>
        </w:rPr>
        <w:t xml:space="preserve"> </w:t>
      </w:r>
      <w:r>
        <w:rPr>
          <w:spacing w:val="5"/>
        </w:rPr>
        <w:t xml:space="preserve">JARDIM </w:t>
      </w:r>
      <w:r>
        <w:rPr>
          <w:spacing w:val="3"/>
        </w:rPr>
        <w:t>S/A,</w:t>
      </w:r>
      <w:r>
        <w:rPr>
          <w:spacing w:val="2"/>
        </w:rPr>
        <w:t xml:space="preserve"> </w:t>
      </w:r>
      <w:r>
        <w:rPr>
          <w:spacing w:val="3"/>
        </w:rPr>
        <w:t>1992</w:t>
      </w:r>
      <w:r>
        <w:rPr>
          <w:spacing w:val="2"/>
        </w:rPr>
        <w:t xml:space="preserve"> </w:t>
      </w:r>
      <w:r>
        <w:rPr>
          <w:spacing w:val="3"/>
        </w:rPr>
        <w:t>apud</w:t>
      </w:r>
      <w:r>
        <w:rPr>
          <w:spacing w:val="2"/>
        </w:rPr>
        <w:t xml:space="preserve"> </w:t>
      </w:r>
      <w:r>
        <w:rPr>
          <w:spacing w:val="5"/>
        </w:rPr>
        <w:t xml:space="preserve">HARRES, 2000). </w:t>
      </w:r>
      <w:r>
        <w:t>A</w:t>
      </w:r>
    </w:p>
    <w:p w:rsidR="00D81F69" w:rsidRDefault="00330118">
      <w:pPr>
        <w:pStyle w:val="Corpodetexto"/>
        <w:spacing w:before="13" w:line="312" w:lineRule="auto"/>
        <w:ind w:right="42"/>
      </w:pPr>
      <w:r>
        <w:t>empresa continuou com a mineração do cobre até o esgotamento total das jazidas, em abril de 1996 (HARRES, 2000).</w:t>
      </w:r>
    </w:p>
    <w:p w:rsidR="00D81F69" w:rsidRDefault="00330118">
      <w:pPr>
        <w:pStyle w:val="Corpodetexto"/>
        <w:spacing w:before="81" w:line="312" w:lineRule="auto"/>
        <w:ind w:right="201"/>
      </w:pPr>
      <w:r>
        <w:br w:type="column"/>
      </w:r>
      <w:r>
        <w:lastRenderedPageBreak/>
        <w:t xml:space="preserve">A </w:t>
      </w:r>
      <w:r>
        <w:rPr>
          <w:spacing w:val="5"/>
        </w:rPr>
        <w:t xml:space="preserve">implementação </w:t>
      </w:r>
      <w:r>
        <w:rPr>
          <w:spacing w:val="2"/>
        </w:rPr>
        <w:t xml:space="preserve">da </w:t>
      </w:r>
      <w:r>
        <w:rPr>
          <w:spacing w:val="5"/>
        </w:rPr>
        <w:t xml:space="preserve">mineração </w:t>
      </w:r>
      <w:r>
        <w:rPr>
          <w:spacing w:val="2"/>
        </w:rPr>
        <w:t xml:space="preserve">em </w:t>
      </w:r>
      <w:r>
        <w:rPr>
          <w:spacing w:val="5"/>
        </w:rPr>
        <w:t xml:space="preserve">escala industrial </w:t>
      </w:r>
      <w:r>
        <w:rPr>
          <w:spacing w:val="6"/>
        </w:rPr>
        <w:t xml:space="preserve">foi </w:t>
      </w:r>
      <w:r>
        <w:t xml:space="preserve">acompanhada do aumento da infraestrutura urbana que deu </w:t>
      </w:r>
      <w:r>
        <w:rPr>
          <w:spacing w:val="3"/>
        </w:rPr>
        <w:t xml:space="preserve">origem </w:t>
      </w:r>
      <w:r>
        <w:t xml:space="preserve">a </w:t>
      </w:r>
      <w:r>
        <w:rPr>
          <w:spacing w:val="2"/>
        </w:rPr>
        <w:t xml:space="preserve">uma </w:t>
      </w:r>
      <w:r>
        <w:rPr>
          <w:spacing w:val="3"/>
        </w:rPr>
        <w:t xml:space="preserve">“pequena cidade” </w:t>
      </w:r>
      <w:r>
        <w:rPr>
          <w:spacing w:val="1"/>
        </w:rPr>
        <w:t>no</w:t>
      </w:r>
      <w:r>
        <w:rPr>
          <w:spacing w:val="1"/>
        </w:rPr>
        <w:t xml:space="preserve"> </w:t>
      </w:r>
      <w:r>
        <w:rPr>
          <w:spacing w:val="3"/>
        </w:rPr>
        <w:t xml:space="preserve">entorno </w:t>
      </w:r>
      <w:r>
        <w:rPr>
          <w:spacing w:val="2"/>
        </w:rPr>
        <w:t xml:space="preserve">das </w:t>
      </w:r>
      <w:r>
        <w:rPr>
          <w:spacing w:val="3"/>
        </w:rPr>
        <w:t xml:space="preserve">minas </w:t>
      </w:r>
      <w:r>
        <w:rPr>
          <w:spacing w:val="5"/>
        </w:rPr>
        <w:t xml:space="preserve">do </w:t>
      </w:r>
      <w:r>
        <w:rPr>
          <w:spacing w:val="6"/>
        </w:rPr>
        <w:t xml:space="preserve">Camaquã, administrada </w:t>
      </w:r>
      <w:r>
        <w:rPr>
          <w:spacing w:val="5"/>
        </w:rPr>
        <w:t xml:space="preserve">pela própria CBC. </w:t>
      </w:r>
      <w:r>
        <w:rPr>
          <w:spacing w:val="3"/>
        </w:rPr>
        <w:t xml:space="preserve">Em </w:t>
      </w:r>
      <w:r>
        <w:rPr>
          <w:spacing w:val="5"/>
        </w:rPr>
        <w:t xml:space="preserve">1972, </w:t>
      </w:r>
      <w:r>
        <w:t xml:space="preserve">a </w:t>
      </w:r>
      <w:r>
        <w:rPr>
          <w:spacing w:val="3"/>
        </w:rPr>
        <w:t xml:space="preserve">população local totalizava 3.878 habitantes; destes, </w:t>
      </w:r>
      <w:r>
        <w:rPr>
          <w:spacing w:val="5"/>
        </w:rPr>
        <w:t xml:space="preserve">1.460 </w:t>
      </w:r>
      <w:r>
        <w:rPr>
          <w:spacing w:val="2"/>
        </w:rPr>
        <w:t xml:space="preserve">eram </w:t>
      </w:r>
      <w:r>
        <w:rPr>
          <w:spacing w:val="3"/>
        </w:rPr>
        <w:t xml:space="preserve">empregados </w:t>
      </w:r>
      <w:r>
        <w:rPr>
          <w:spacing w:val="1"/>
        </w:rPr>
        <w:t xml:space="preserve">da </w:t>
      </w:r>
      <w:r>
        <w:rPr>
          <w:spacing w:val="2"/>
        </w:rPr>
        <w:t xml:space="preserve">CBC </w:t>
      </w:r>
      <w:r>
        <w:rPr>
          <w:spacing w:val="1"/>
        </w:rPr>
        <w:t xml:space="preserve">e, os </w:t>
      </w:r>
      <w:r>
        <w:rPr>
          <w:spacing w:val="3"/>
        </w:rPr>
        <w:t xml:space="preserve">demais, dependentes. </w:t>
      </w:r>
      <w:r>
        <w:t xml:space="preserve">A </w:t>
      </w:r>
      <w:r>
        <w:rPr>
          <w:spacing w:val="5"/>
        </w:rPr>
        <w:t xml:space="preserve">comunidade contava </w:t>
      </w:r>
      <w:r>
        <w:rPr>
          <w:spacing w:val="3"/>
        </w:rPr>
        <w:t xml:space="preserve">com 485 </w:t>
      </w:r>
      <w:r>
        <w:rPr>
          <w:spacing w:val="5"/>
        </w:rPr>
        <w:t xml:space="preserve">residências, </w:t>
      </w:r>
      <w:r>
        <w:rPr>
          <w:spacing w:val="3"/>
        </w:rPr>
        <w:t xml:space="preserve">com rede </w:t>
      </w:r>
      <w:r>
        <w:rPr>
          <w:spacing w:val="5"/>
        </w:rPr>
        <w:t xml:space="preserve">de </w:t>
      </w:r>
      <w:r>
        <w:t>abastecimento de águ</w:t>
      </w:r>
      <w:r>
        <w:t xml:space="preserve">a e luz; dispunha ainda de um sistema de transporte gratuito, pois o complexo estendia-se por </w:t>
      </w:r>
      <w:r>
        <w:rPr>
          <w:spacing w:val="1"/>
        </w:rPr>
        <w:t xml:space="preserve">600 </w:t>
      </w:r>
      <w:r>
        <w:rPr>
          <w:spacing w:val="7"/>
        </w:rPr>
        <w:t xml:space="preserve">hectares. </w:t>
      </w:r>
      <w:r>
        <w:rPr>
          <w:spacing w:val="6"/>
        </w:rPr>
        <w:t xml:space="preserve">Para </w:t>
      </w:r>
      <w:r>
        <w:t xml:space="preserve">o </w:t>
      </w:r>
      <w:r>
        <w:rPr>
          <w:spacing w:val="8"/>
        </w:rPr>
        <w:t xml:space="preserve">abastecimento alimentar, </w:t>
      </w:r>
      <w:r>
        <w:t xml:space="preserve">a </w:t>
      </w:r>
      <w:r>
        <w:rPr>
          <w:spacing w:val="10"/>
        </w:rPr>
        <w:t xml:space="preserve">empresa </w:t>
      </w:r>
      <w:r>
        <w:t>mantinha supermercado, padaria, horta, granja, açougues e bares (CBC, 1972 apud HARRES, 2000). Hoje, vivem</w:t>
      </w:r>
      <w:r>
        <w:t xml:space="preserve"> no local </w:t>
      </w:r>
      <w:r>
        <w:rPr>
          <w:spacing w:val="11"/>
        </w:rPr>
        <w:t xml:space="preserve">cerca </w:t>
      </w:r>
      <w:r>
        <w:rPr>
          <w:spacing w:val="6"/>
        </w:rPr>
        <w:t xml:space="preserve">de </w:t>
      </w:r>
      <w:r>
        <w:rPr>
          <w:spacing w:val="10"/>
        </w:rPr>
        <w:t xml:space="preserve">200 </w:t>
      </w:r>
      <w:r>
        <w:rPr>
          <w:spacing w:val="12"/>
        </w:rPr>
        <w:t xml:space="preserve">famílias, </w:t>
      </w:r>
      <w:r>
        <w:t xml:space="preserve">a </w:t>
      </w:r>
      <w:r>
        <w:rPr>
          <w:spacing w:val="11"/>
        </w:rPr>
        <w:t xml:space="preserve">maioria </w:t>
      </w:r>
      <w:r>
        <w:rPr>
          <w:spacing w:val="6"/>
        </w:rPr>
        <w:t xml:space="preserve">de </w:t>
      </w:r>
      <w:r>
        <w:rPr>
          <w:spacing w:val="15"/>
        </w:rPr>
        <w:t xml:space="preserve">trabalhadores </w:t>
      </w:r>
      <w:r>
        <w:rPr>
          <w:spacing w:val="12"/>
        </w:rPr>
        <w:t>aposentados (HARRES,</w:t>
      </w:r>
      <w:r>
        <w:rPr>
          <w:spacing w:val="65"/>
        </w:rPr>
        <w:t xml:space="preserve"> </w:t>
      </w:r>
      <w:r>
        <w:rPr>
          <w:spacing w:val="15"/>
        </w:rPr>
        <w:t>2000).</w:t>
      </w:r>
    </w:p>
    <w:p w:rsidR="00D81F69" w:rsidRDefault="00330118">
      <w:pPr>
        <w:pStyle w:val="Corpodetexto"/>
        <w:spacing w:before="143" w:line="312" w:lineRule="auto"/>
        <w:ind w:right="190"/>
      </w:pPr>
      <w:r>
        <w:rPr>
          <w:spacing w:val="2"/>
        </w:rPr>
        <w:t xml:space="preserve">As </w:t>
      </w:r>
      <w:r>
        <w:rPr>
          <w:spacing w:val="5"/>
        </w:rPr>
        <w:t xml:space="preserve">transformações provocadas </w:t>
      </w:r>
      <w:r>
        <w:rPr>
          <w:spacing w:val="3"/>
        </w:rPr>
        <w:t xml:space="preserve">por todos esses anos </w:t>
      </w:r>
      <w:r>
        <w:rPr>
          <w:spacing w:val="5"/>
        </w:rPr>
        <w:t xml:space="preserve">de </w:t>
      </w:r>
      <w:r>
        <w:rPr>
          <w:spacing w:val="12"/>
        </w:rPr>
        <w:t xml:space="preserve">exploração </w:t>
      </w:r>
      <w:r>
        <w:rPr>
          <w:spacing w:val="11"/>
        </w:rPr>
        <w:t xml:space="preserve">mineral foram </w:t>
      </w:r>
      <w:r>
        <w:rPr>
          <w:spacing w:val="12"/>
        </w:rPr>
        <w:t xml:space="preserve">profundas, </w:t>
      </w:r>
      <w:r>
        <w:rPr>
          <w:spacing w:val="10"/>
        </w:rPr>
        <w:t xml:space="preserve">com </w:t>
      </w:r>
      <w:r>
        <w:rPr>
          <w:spacing w:val="15"/>
        </w:rPr>
        <w:t xml:space="preserve">impactos </w:t>
      </w:r>
      <w:r>
        <w:rPr>
          <w:spacing w:val="8"/>
        </w:rPr>
        <w:t xml:space="preserve">socioambientais </w:t>
      </w:r>
      <w:r>
        <w:t xml:space="preserve">e </w:t>
      </w:r>
      <w:r>
        <w:rPr>
          <w:spacing w:val="5"/>
        </w:rPr>
        <w:t xml:space="preserve">na </w:t>
      </w:r>
      <w:r>
        <w:rPr>
          <w:spacing w:val="7"/>
        </w:rPr>
        <w:t xml:space="preserve">paisagem local. </w:t>
      </w:r>
      <w:r>
        <w:rPr>
          <w:spacing w:val="5"/>
        </w:rPr>
        <w:t xml:space="preserve">Os </w:t>
      </w:r>
      <w:r>
        <w:rPr>
          <w:spacing w:val="7"/>
        </w:rPr>
        <w:t xml:space="preserve">vestígios </w:t>
      </w:r>
      <w:r>
        <w:rPr>
          <w:spacing w:val="10"/>
        </w:rPr>
        <w:t xml:space="preserve">da </w:t>
      </w:r>
      <w:r>
        <w:t>atividade min</w:t>
      </w:r>
      <w:r>
        <w:t xml:space="preserve">eradora - como a formação de encosta íngreme (escarpa) com degraus de acesso aos seus diferentes níveis topográficos (patamares escalonados) onde havia mineração a </w:t>
      </w:r>
      <w:r>
        <w:rPr>
          <w:spacing w:val="5"/>
        </w:rPr>
        <w:t xml:space="preserve">céu </w:t>
      </w:r>
      <w:r>
        <w:rPr>
          <w:spacing w:val="7"/>
        </w:rPr>
        <w:t xml:space="preserve">aberto; </w:t>
      </w:r>
      <w:r>
        <w:rPr>
          <w:spacing w:val="6"/>
        </w:rPr>
        <w:t xml:space="preserve">duas </w:t>
      </w:r>
      <w:r>
        <w:rPr>
          <w:spacing w:val="7"/>
        </w:rPr>
        <w:t xml:space="preserve">profundas cavas </w:t>
      </w:r>
      <w:r>
        <w:rPr>
          <w:spacing w:val="5"/>
        </w:rPr>
        <w:t xml:space="preserve">de </w:t>
      </w:r>
      <w:r>
        <w:rPr>
          <w:spacing w:val="7"/>
        </w:rPr>
        <w:t xml:space="preserve">forma </w:t>
      </w:r>
      <w:r>
        <w:rPr>
          <w:spacing w:val="10"/>
        </w:rPr>
        <w:t xml:space="preserve">cônica (FENSTERSEIFER; HANSEN, 2000); instalações </w:t>
      </w:r>
      <w:r>
        <w:rPr>
          <w:spacing w:val="11"/>
        </w:rPr>
        <w:t xml:space="preserve">em </w:t>
      </w:r>
      <w:r>
        <w:t xml:space="preserve">decadência; e ruínas de edificações públicas e privadas da vila - alteraram a paisagem e transformaram aquele </w:t>
      </w:r>
      <w:r>
        <w:rPr>
          <w:spacing w:val="1"/>
        </w:rPr>
        <w:t xml:space="preserve">núcleo </w:t>
      </w:r>
      <w:r>
        <w:rPr>
          <w:spacing w:val="3"/>
        </w:rPr>
        <w:t xml:space="preserve">numa vila </w:t>
      </w:r>
      <w:r>
        <w:rPr>
          <w:spacing w:val="5"/>
        </w:rPr>
        <w:t xml:space="preserve">fantasma, </w:t>
      </w:r>
      <w:r>
        <w:t xml:space="preserve">à </w:t>
      </w:r>
      <w:r>
        <w:rPr>
          <w:spacing w:val="5"/>
        </w:rPr>
        <w:t xml:space="preserve">espera </w:t>
      </w:r>
      <w:r>
        <w:rPr>
          <w:spacing w:val="2"/>
        </w:rPr>
        <w:t xml:space="preserve">de </w:t>
      </w:r>
      <w:r>
        <w:rPr>
          <w:spacing w:val="3"/>
        </w:rPr>
        <w:t xml:space="preserve">novos </w:t>
      </w:r>
      <w:r>
        <w:rPr>
          <w:spacing w:val="5"/>
        </w:rPr>
        <w:t xml:space="preserve">moradores </w:t>
      </w:r>
      <w:r>
        <w:t xml:space="preserve">e </w:t>
      </w:r>
      <w:r>
        <w:rPr>
          <w:spacing w:val="5"/>
        </w:rPr>
        <w:t xml:space="preserve">de </w:t>
      </w:r>
      <w:r>
        <w:t xml:space="preserve">atividades que modifiquem o seu destino (STRÖHER, 2000). </w:t>
      </w:r>
      <w:r>
        <w:rPr>
          <w:spacing w:val="5"/>
        </w:rPr>
        <w:t xml:space="preserve">No </w:t>
      </w:r>
      <w:r>
        <w:rPr>
          <w:spacing w:val="7"/>
        </w:rPr>
        <w:t xml:space="preserve">entanto, estima-se </w:t>
      </w:r>
      <w:r>
        <w:rPr>
          <w:spacing w:val="6"/>
        </w:rPr>
        <w:t>que,</w:t>
      </w:r>
      <w:r>
        <w:rPr>
          <w:spacing w:val="6"/>
        </w:rPr>
        <w:t xml:space="preserve"> </w:t>
      </w:r>
      <w:r>
        <w:rPr>
          <w:spacing w:val="5"/>
        </w:rPr>
        <w:t xml:space="preserve">com </w:t>
      </w:r>
      <w:r>
        <w:rPr>
          <w:spacing w:val="8"/>
        </w:rPr>
        <w:t xml:space="preserve">investimentos </w:t>
      </w:r>
      <w:r>
        <w:rPr>
          <w:spacing w:val="10"/>
        </w:rPr>
        <w:t xml:space="preserve">iniciais </w:t>
      </w:r>
      <w:r>
        <w:t xml:space="preserve">relativamente pequenos, a vila poderia ser utilizada como um </w:t>
      </w:r>
      <w:r>
        <w:rPr>
          <w:spacing w:val="3"/>
        </w:rPr>
        <w:t xml:space="preserve">ponto </w:t>
      </w:r>
      <w:r>
        <w:rPr>
          <w:spacing w:val="5"/>
        </w:rPr>
        <w:t xml:space="preserve">central </w:t>
      </w:r>
      <w:r>
        <w:rPr>
          <w:spacing w:val="3"/>
        </w:rPr>
        <w:t xml:space="preserve">para </w:t>
      </w:r>
      <w:r>
        <w:rPr>
          <w:spacing w:val="5"/>
        </w:rPr>
        <w:t xml:space="preserve">atividades educacionais </w:t>
      </w:r>
      <w:r>
        <w:t xml:space="preserve">e </w:t>
      </w:r>
      <w:r>
        <w:rPr>
          <w:spacing w:val="2"/>
        </w:rPr>
        <w:t xml:space="preserve">de </w:t>
      </w:r>
      <w:r>
        <w:rPr>
          <w:spacing w:val="5"/>
        </w:rPr>
        <w:t xml:space="preserve">turismo, </w:t>
      </w:r>
      <w:r>
        <w:t>ajudando a recuperar alguns dos empregos perdidos com o fim da atividade extrativa, bem como parte dos imposto</w:t>
      </w:r>
      <w:r>
        <w:t>s não mais recolhidos pela prefeitura de Caçapava do Sul devido ao fim da atividade mineira (PAIM,</w:t>
      </w:r>
      <w:r>
        <w:rPr>
          <w:spacing w:val="8"/>
        </w:rPr>
        <w:t xml:space="preserve"> </w:t>
      </w:r>
      <w:r>
        <w:t>2002).</w:t>
      </w:r>
    </w:p>
    <w:p w:rsidR="00D81F69" w:rsidRDefault="00330118">
      <w:pPr>
        <w:pStyle w:val="Corpodetexto"/>
        <w:spacing w:before="147" w:line="312" w:lineRule="auto"/>
        <w:ind w:right="203"/>
      </w:pPr>
      <w:r>
        <w:t>Na área ambiental, foram diversos os impactos deixados pela extração mineral (FENSTERSEIFER; HANSEN, 2000). A CBC só se preocupou com o destino dos re</w:t>
      </w:r>
      <w:r>
        <w:t>jeitos alguns anos antes de entrar em vigor a legislação ambiental brasileira. Ela construiu sua barragem de rejeitos em 1981, já em propriedade do BNDES, e administrada através de sua subsidiária Fibase. Isso significa que o estéril e o rejeito, até o ano</w:t>
      </w:r>
      <w:r>
        <w:t xml:space="preserve"> de 1981, eram depositados em locais impróprios, como a área de várzea da Microbacia Hidrográfica do Arroio João Dias e também em depressões circunvizinhas à mina (BRUCH et al., 2006).</w:t>
      </w:r>
    </w:p>
    <w:p w:rsidR="00D81F69" w:rsidRDefault="00330118">
      <w:pPr>
        <w:pStyle w:val="Corpodetexto"/>
        <w:spacing w:before="140" w:line="312" w:lineRule="auto"/>
        <w:ind w:right="187"/>
      </w:pPr>
      <w:r>
        <w:t>Os impactos ambientais na região envolvem, assim, a geração de amplos d</w:t>
      </w:r>
      <w:r>
        <w:t>epósitos de desmonte de rochas; abertura de galerias no subsolo, atualmente ocupadas por água em sua maior parte; um extenso depósito de materiais finos (areia, silte e argila). Some-se a isso o assoreamento do arroio João Dias devido à construção da barra</w:t>
      </w:r>
      <w:r>
        <w:t>gem de rejeitos, que, provavelmente, foi responsável pelo acentuado grau de acúmulo de areia, solo desprendido de erosões e outros materiais levados pela chuva ou pelo vento ao fundo do rio (FENSTERSEIFER; HANSEN, 2000).</w:t>
      </w:r>
    </w:p>
    <w:p w:rsidR="00D81F69" w:rsidRDefault="00330118">
      <w:pPr>
        <w:pStyle w:val="Corpodetexto"/>
        <w:spacing w:before="140"/>
      </w:pPr>
      <w:r>
        <w:t xml:space="preserve">No entanto, a qualidade da água no </w:t>
      </w:r>
      <w:r>
        <w:t>município parece não ter</w:t>
      </w:r>
    </w:p>
    <w:p w:rsidR="00D81F69" w:rsidRDefault="00D81F69">
      <w:pPr>
        <w:sectPr w:rsidR="00D81F69">
          <w:pgSz w:w="11900" w:h="16840"/>
          <w:pgMar w:top="740" w:right="500" w:bottom="620" w:left="620" w:header="0" w:footer="402" w:gutter="0"/>
          <w:cols w:num="2" w:space="720" w:equalWidth="0">
            <w:col w:w="5159" w:space="311"/>
            <w:col w:w="5310"/>
          </w:cols>
        </w:sectPr>
      </w:pPr>
    </w:p>
    <w:p w:rsidR="00D81F69" w:rsidRDefault="00330118">
      <w:pPr>
        <w:pStyle w:val="Corpodetexto"/>
        <w:spacing w:before="81" w:line="312" w:lineRule="auto"/>
        <w:ind w:right="91"/>
      </w:pPr>
      <w:r>
        <w:lastRenderedPageBreak/>
        <w:t xml:space="preserve">sido afetada pela longa exploração mineral. A análise de 19 variáveis relativas à água do arroio João Dias demonstrou que apenas quatro estavam acima dos valores aceitáveis, o que permitiu incluí-la na </w:t>
      </w:r>
      <w:r>
        <w:t>Classe 2 da resolução nº 20 do Conselho Nacional do Meio Ambiente (Conama) [o que significa que pode ser consumida apenas com tratamento convencional] (RONCHI; BAECKER; MARTINS, 2000).</w:t>
      </w:r>
    </w:p>
    <w:p w:rsidR="00D81F69" w:rsidRDefault="00330118">
      <w:pPr>
        <w:pStyle w:val="Corpodetexto"/>
        <w:spacing w:before="136" w:line="312" w:lineRule="auto"/>
        <w:ind w:right="94"/>
      </w:pPr>
      <w:r>
        <w:t>A suspensão das atividades de mineração gerou ainda vários problemas so</w:t>
      </w:r>
      <w:r>
        <w:t>ciais, dentre os quais acentuada evasão de moradores da Vila Minas do Camaquã, que foram para outras localidades em busca de novas oportunidades de trabalho (FENSTERSEIFER; HANSEN, 2000).</w:t>
      </w:r>
    </w:p>
    <w:p w:rsidR="00D81F69" w:rsidRDefault="00330118">
      <w:pPr>
        <w:pStyle w:val="Corpodetexto"/>
        <w:spacing w:before="135" w:line="312" w:lineRule="auto"/>
        <w:ind w:right="79"/>
      </w:pPr>
      <w:r>
        <w:t>Atualmente, a Votorantim Metais, maior produtora de zinco da América</w:t>
      </w:r>
      <w:r>
        <w:t xml:space="preserve"> Latina e sexta no mundo, realiza pesquisas minerais na área visando à exploração de zinco na Jazida Santa Maria, situada a poucos quilômetros de Minas do Camaquã. A empresa já identificou uma reserva de 33,4 milhões de toneladas com concentração de 2,5% d</w:t>
      </w:r>
      <w:r>
        <w:t xml:space="preserve">e zinco e </w:t>
      </w:r>
      <w:hyperlink r:id="rId1706">
        <w:r>
          <w:t xml:space="preserve">chumbo, </w:t>
        </w:r>
      </w:hyperlink>
      <w:r>
        <w:t>no entanto, ainda insuficiente para abrir uma mina. Sua meta é encontrar pelo menos 20 milhões de toneladas de minério com um teor de 7% (DIÁRIO DE</w:t>
      </w:r>
      <w:r>
        <w:t xml:space="preserve"> SANTA MARIA, 2010).</w:t>
      </w:r>
    </w:p>
    <w:p w:rsidR="00D81F69" w:rsidRDefault="00330118">
      <w:pPr>
        <w:pStyle w:val="Corpodetexto"/>
        <w:spacing w:before="138" w:line="312" w:lineRule="auto"/>
        <w:ind w:right="76"/>
      </w:pPr>
      <w:r>
        <w:t>Se as pesquisas apontarem a viabilidade da retomada da mineração, será preciso que as atividades mineiras passem a ser executadas de forma organizada, harmonizando o desenvolvimento dos trabalhos com a preservação ambiental, principalm</w:t>
      </w:r>
      <w:r>
        <w:t>ente no que diz respeito à recuperação da paisagem e do solo e à disposição final dos rejeitos (PAIM, 2002).</w:t>
      </w:r>
    </w:p>
    <w:p w:rsidR="00D81F69" w:rsidRDefault="00D81F69">
      <w:pPr>
        <w:pStyle w:val="Corpodetexto"/>
        <w:spacing w:before="6"/>
        <w:ind w:left="0"/>
        <w:jc w:val="left"/>
        <w:rPr>
          <w:sz w:val="21"/>
        </w:rPr>
      </w:pPr>
    </w:p>
    <w:p w:rsidR="00D81F69" w:rsidRDefault="00330118">
      <w:pPr>
        <w:pStyle w:val="Heading7"/>
      </w:pPr>
      <w:r>
        <w:t>LOCALIZAÇÃO GEOGRÁFICA</w:t>
      </w:r>
    </w:p>
    <w:p w:rsidR="00D81F69" w:rsidRDefault="00330118">
      <w:pPr>
        <w:pStyle w:val="Corpodetexto"/>
        <w:spacing w:before="179" w:line="312" w:lineRule="auto"/>
        <w:ind w:right="89"/>
      </w:pPr>
      <w:r>
        <w:t>O município de Camaquã possui uma mina de cobre denominada NE de Camaquã, que está localizada na latitude 30°49’28”S e na l</w:t>
      </w:r>
      <w:r>
        <w:t>ongitude 51°44’53”W, na bacia da Lagoa dos Patos que deságua no mar.</w:t>
      </w:r>
    </w:p>
    <w:p w:rsidR="00D81F69" w:rsidRDefault="00D81F69">
      <w:pPr>
        <w:pStyle w:val="Corpodetexto"/>
        <w:spacing w:before="2"/>
        <w:ind w:left="0"/>
        <w:jc w:val="left"/>
        <w:rPr>
          <w:sz w:val="29"/>
        </w:rPr>
      </w:pPr>
    </w:p>
    <w:p w:rsidR="00D81F69" w:rsidRDefault="00330118">
      <w:pPr>
        <w:pStyle w:val="Heading7"/>
      </w:pPr>
      <w:r>
        <w:t>REDATORES</w:t>
      </w:r>
    </w:p>
    <w:p w:rsidR="00D81F69" w:rsidRDefault="00330118">
      <w:pPr>
        <w:pStyle w:val="Corpodetexto"/>
        <w:spacing w:before="178"/>
      </w:pPr>
      <w:r>
        <w:t>Érica da Silva Reimer</w:t>
      </w:r>
    </w:p>
    <w:p w:rsidR="00D81F69" w:rsidRDefault="00D81F69">
      <w:pPr>
        <w:pStyle w:val="Corpodetexto"/>
        <w:ind w:left="0"/>
        <w:jc w:val="left"/>
        <w:rPr>
          <w:sz w:val="20"/>
        </w:rPr>
      </w:pPr>
    </w:p>
    <w:p w:rsidR="00D81F69" w:rsidRDefault="00330118">
      <w:pPr>
        <w:pStyle w:val="Heading7"/>
        <w:spacing w:before="165"/>
      </w:pPr>
      <w:r>
        <w:t>REFERÊNCIAS BIBLIOGRÁFICAS</w:t>
      </w:r>
    </w:p>
    <w:p w:rsidR="00D81F69" w:rsidRDefault="00330118">
      <w:pPr>
        <w:spacing w:before="187" w:line="312" w:lineRule="auto"/>
        <w:ind w:left="100" w:right="38"/>
        <w:jc w:val="both"/>
        <w:rPr>
          <w:sz w:val="16"/>
        </w:rPr>
      </w:pPr>
      <w:r>
        <w:rPr>
          <w:sz w:val="16"/>
        </w:rPr>
        <w:t xml:space="preserve">BRUCH, Alexandre Felipe; CAVALHEIRO, Sandro; GARCIA, Marcelo </w:t>
      </w:r>
      <w:r>
        <w:rPr>
          <w:spacing w:val="5"/>
          <w:sz w:val="16"/>
        </w:rPr>
        <w:t xml:space="preserve">Tavares; MAINO, Jeferson </w:t>
      </w:r>
      <w:r>
        <w:rPr>
          <w:spacing w:val="2"/>
          <w:sz w:val="16"/>
        </w:rPr>
        <w:t xml:space="preserve">de </w:t>
      </w:r>
      <w:r>
        <w:rPr>
          <w:spacing w:val="5"/>
          <w:sz w:val="16"/>
        </w:rPr>
        <w:t xml:space="preserve">Mello; WINTER, Stefanie </w:t>
      </w:r>
      <w:r>
        <w:rPr>
          <w:spacing w:val="6"/>
          <w:sz w:val="16"/>
        </w:rPr>
        <w:t xml:space="preserve">Kohn; </w:t>
      </w:r>
      <w:r>
        <w:rPr>
          <w:sz w:val="16"/>
        </w:rPr>
        <w:t>NOVAES, Luis Eduardo Silveira da Mota. Impactos socioambientais causados pela deposição de rejeitos de mineração na localidade de Minas do Camaquã, Caçapava do Sul (RS), Universidade Federal de  P</w:t>
      </w:r>
      <w:r>
        <w:rPr>
          <w:sz w:val="16"/>
        </w:rPr>
        <w:t xml:space="preserve"> </w:t>
      </w:r>
      <w:r>
        <w:rPr>
          <w:sz w:val="16"/>
        </w:rPr>
        <w:t>e</w:t>
      </w:r>
      <w:r>
        <w:rPr>
          <w:sz w:val="16"/>
        </w:rPr>
        <w:t xml:space="preserve"> </w:t>
      </w:r>
      <w:r>
        <w:rPr>
          <w:sz w:val="16"/>
        </w:rPr>
        <w:t>l</w:t>
      </w:r>
      <w:r>
        <w:rPr>
          <w:sz w:val="16"/>
        </w:rPr>
        <w:t xml:space="preserve"> </w:t>
      </w:r>
      <w:r>
        <w:rPr>
          <w:sz w:val="16"/>
        </w:rPr>
        <w:t>o</w:t>
      </w:r>
      <w:r>
        <w:rPr>
          <w:sz w:val="16"/>
        </w:rPr>
        <w:t xml:space="preserve"> </w:t>
      </w:r>
      <w:r>
        <w:rPr>
          <w:sz w:val="16"/>
        </w:rPr>
        <w:t>t</w:t>
      </w:r>
      <w:r>
        <w:rPr>
          <w:sz w:val="16"/>
        </w:rPr>
        <w:t xml:space="preserve"> </w:t>
      </w:r>
      <w:r>
        <w:rPr>
          <w:sz w:val="16"/>
        </w:rPr>
        <w:t>a</w:t>
      </w:r>
      <w:r>
        <w:rPr>
          <w:sz w:val="16"/>
        </w:rPr>
        <w:t xml:space="preserve"> </w:t>
      </w:r>
      <w:r>
        <w:rPr>
          <w:sz w:val="16"/>
        </w:rPr>
        <w:t>s</w:t>
      </w:r>
      <w:r>
        <w:rPr>
          <w:sz w:val="16"/>
        </w:rPr>
        <w:t xml:space="preserve"> </w:t>
      </w:r>
      <w:r>
        <w:rPr>
          <w:sz w:val="16"/>
        </w:rPr>
        <w:t>,</w:t>
      </w:r>
      <w:r>
        <w:rPr>
          <w:spacing w:val="1"/>
          <w:sz w:val="16"/>
        </w:rPr>
        <w:t xml:space="preserve"> </w:t>
      </w:r>
      <w:r>
        <w:rPr>
          <w:sz w:val="16"/>
        </w:rPr>
        <w:t>P</w:t>
      </w:r>
      <w:r>
        <w:rPr>
          <w:sz w:val="16"/>
        </w:rPr>
        <w:t xml:space="preserve"> </w:t>
      </w:r>
      <w:r>
        <w:rPr>
          <w:sz w:val="16"/>
        </w:rPr>
        <w:t>e</w:t>
      </w:r>
      <w:r>
        <w:rPr>
          <w:sz w:val="16"/>
        </w:rPr>
        <w:t xml:space="preserve"> </w:t>
      </w:r>
      <w:r>
        <w:rPr>
          <w:sz w:val="16"/>
        </w:rPr>
        <w:t>l</w:t>
      </w:r>
      <w:r>
        <w:rPr>
          <w:sz w:val="16"/>
        </w:rPr>
        <w:t xml:space="preserve"> </w:t>
      </w:r>
      <w:r>
        <w:rPr>
          <w:sz w:val="16"/>
        </w:rPr>
        <w:t>o</w:t>
      </w:r>
      <w:r>
        <w:rPr>
          <w:sz w:val="16"/>
        </w:rPr>
        <w:t xml:space="preserve"> </w:t>
      </w:r>
      <w:r>
        <w:rPr>
          <w:sz w:val="16"/>
        </w:rPr>
        <w:t>t</w:t>
      </w:r>
      <w:r>
        <w:rPr>
          <w:sz w:val="16"/>
        </w:rPr>
        <w:t xml:space="preserve"> </w:t>
      </w:r>
      <w:r>
        <w:rPr>
          <w:sz w:val="16"/>
        </w:rPr>
        <w:t>a</w:t>
      </w:r>
      <w:r>
        <w:rPr>
          <w:sz w:val="16"/>
        </w:rPr>
        <w:t xml:space="preserve"> </w:t>
      </w:r>
      <w:r>
        <w:rPr>
          <w:sz w:val="16"/>
        </w:rPr>
        <w:t>s</w:t>
      </w:r>
      <w:r>
        <w:rPr>
          <w:sz w:val="16"/>
        </w:rPr>
        <w:t xml:space="preserve"> </w:t>
      </w:r>
      <w:r>
        <w:rPr>
          <w:sz w:val="16"/>
        </w:rPr>
        <w:t>,</w:t>
      </w:r>
      <w:r>
        <w:rPr>
          <w:spacing w:val="1"/>
          <w:sz w:val="16"/>
        </w:rPr>
        <w:t xml:space="preserve"> </w:t>
      </w:r>
      <w:r>
        <w:rPr>
          <w:sz w:val="16"/>
        </w:rPr>
        <w:t>2</w:t>
      </w:r>
      <w:r>
        <w:rPr>
          <w:sz w:val="16"/>
        </w:rPr>
        <w:t xml:space="preserve"> </w:t>
      </w:r>
      <w:r>
        <w:rPr>
          <w:sz w:val="16"/>
        </w:rPr>
        <w:t>0</w:t>
      </w:r>
      <w:r>
        <w:rPr>
          <w:sz w:val="16"/>
        </w:rPr>
        <w:t xml:space="preserve"> </w:t>
      </w:r>
      <w:r>
        <w:rPr>
          <w:sz w:val="16"/>
        </w:rPr>
        <w:t>0</w:t>
      </w:r>
      <w:r>
        <w:rPr>
          <w:sz w:val="16"/>
        </w:rPr>
        <w:t xml:space="preserve"> </w:t>
      </w:r>
      <w:r>
        <w:rPr>
          <w:sz w:val="16"/>
        </w:rPr>
        <w:t>6</w:t>
      </w:r>
      <w:r>
        <w:rPr>
          <w:sz w:val="16"/>
        </w:rPr>
        <w:t xml:space="preserve"> </w:t>
      </w:r>
      <w:r>
        <w:rPr>
          <w:sz w:val="16"/>
        </w:rPr>
        <w:t>.</w:t>
      </w:r>
      <w:r>
        <w:rPr>
          <w:spacing w:val="1"/>
          <w:sz w:val="16"/>
        </w:rPr>
        <w:t xml:space="preserve"> </w:t>
      </w:r>
      <w:r>
        <w:rPr>
          <w:sz w:val="16"/>
        </w:rPr>
        <w:t>D</w:t>
      </w:r>
      <w:r>
        <w:rPr>
          <w:sz w:val="16"/>
        </w:rPr>
        <w:t xml:space="preserve"> </w:t>
      </w:r>
      <w:r>
        <w:rPr>
          <w:sz w:val="16"/>
        </w:rPr>
        <w:t>i</w:t>
      </w:r>
      <w:r>
        <w:rPr>
          <w:sz w:val="16"/>
        </w:rPr>
        <w:t xml:space="preserve"> </w:t>
      </w:r>
      <w:r>
        <w:rPr>
          <w:sz w:val="16"/>
        </w:rPr>
        <w:t>s</w:t>
      </w:r>
      <w:r>
        <w:rPr>
          <w:sz w:val="16"/>
        </w:rPr>
        <w:t xml:space="preserve"> </w:t>
      </w:r>
      <w:r>
        <w:rPr>
          <w:sz w:val="16"/>
        </w:rPr>
        <w:t>p</w:t>
      </w:r>
      <w:r>
        <w:rPr>
          <w:sz w:val="16"/>
        </w:rPr>
        <w:t xml:space="preserve"> </w:t>
      </w:r>
      <w:r>
        <w:rPr>
          <w:sz w:val="16"/>
        </w:rPr>
        <w:t>o</w:t>
      </w:r>
      <w:r>
        <w:rPr>
          <w:sz w:val="16"/>
        </w:rPr>
        <w:t xml:space="preserve"> </w:t>
      </w:r>
      <w:r>
        <w:rPr>
          <w:sz w:val="16"/>
        </w:rPr>
        <w:t>n</w:t>
      </w:r>
      <w:r>
        <w:rPr>
          <w:sz w:val="16"/>
        </w:rPr>
        <w:t xml:space="preserve"> </w:t>
      </w:r>
      <w:r>
        <w:rPr>
          <w:sz w:val="16"/>
        </w:rPr>
        <w:t>í</w:t>
      </w:r>
      <w:r>
        <w:rPr>
          <w:sz w:val="16"/>
        </w:rPr>
        <w:t xml:space="preserve"> </w:t>
      </w:r>
      <w:r>
        <w:rPr>
          <w:sz w:val="16"/>
        </w:rPr>
        <w:t>v</w:t>
      </w:r>
      <w:r>
        <w:rPr>
          <w:sz w:val="16"/>
        </w:rPr>
        <w:t xml:space="preserve"> </w:t>
      </w:r>
      <w:r>
        <w:rPr>
          <w:sz w:val="16"/>
        </w:rPr>
        <w:t>e</w:t>
      </w:r>
      <w:r>
        <w:rPr>
          <w:sz w:val="16"/>
        </w:rPr>
        <w:t xml:space="preserve"> </w:t>
      </w:r>
      <w:r>
        <w:rPr>
          <w:sz w:val="16"/>
        </w:rPr>
        <w:t>l</w:t>
      </w:r>
      <w:r>
        <w:rPr>
          <w:spacing w:val="1"/>
          <w:sz w:val="16"/>
        </w:rPr>
        <w:t xml:space="preserve"> </w:t>
      </w:r>
      <w:r>
        <w:rPr>
          <w:sz w:val="16"/>
        </w:rPr>
        <w:t>e</w:t>
      </w:r>
      <w:r>
        <w:rPr>
          <w:sz w:val="16"/>
        </w:rPr>
        <w:t xml:space="preserve"> </w:t>
      </w:r>
      <w:r>
        <w:rPr>
          <w:sz w:val="16"/>
        </w:rPr>
        <w:t>m</w:t>
      </w:r>
      <w:r>
        <w:rPr>
          <w:sz w:val="16"/>
        </w:rPr>
        <w:t xml:space="preserve"> </w:t>
      </w:r>
      <w:r>
        <w:rPr>
          <w:sz w:val="16"/>
        </w:rPr>
        <w:t>:</w:t>
      </w:r>
      <w:r>
        <w:rPr>
          <w:spacing w:val="2"/>
          <w:sz w:val="16"/>
        </w:rPr>
        <w:t xml:space="preserve"> </w:t>
      </w:r>
    </w:p>
    <w:p w:rsidR="00D81F69" w:rsidRDefault="00D81F69">
      <w:pPr>
        <w:spacing w:before="5" w:line="312" w:lineRule="auto"/>
        <w:ind w:left="100" w:right="96"/>
        <w:jc w:val="both"/>
        <w:rPr>
          <w:sz w:val="16"/>
        </w:rPr>
      </w:pPr>
      <w:hyperlink r:id="rId1707">
        <w:r w:rsidR="00330118">
          <w:rPr>
            <w:sz w:val="16"/>
          </w:rPr>
          <w:t xml:space="preserve">&lt;http://www.ufpel.edu.br/cic/2006/arquivos/CH_00478.rtf&gt;. </w:t>
        </w:r>
      </w:hyperlink>
      <w:r w:rsidR="00330118">
        <w:rPr>
          <w:sz w:val="16"/>
        </w:rPr>
        <w:t>Acesso em: 28 abr. 2011.</w:t>
      </w:r>
    </w:p>
    <w:p w:rsidR="00D81F69" w:rsidRDefault="00330118">
      <w:pPr>
        <w:spacing w:before="2" w:line="312" w:lineRule="auto"/>
        <w:ind w:left="100" w:right="76"/>
        <w:jc w:val="both"/>
        <w:rPr>
          <w:sz w:val="16"/>
        </w:rPr>
      </w:pPr>
      <w:r>
        <w:rPr>
          <w:sz w:val="16"/>
        </w:rPr>
        <w:t xml:space="preserve">CNM, Confederação Nacional de Municípios. Camaquã (RS), 2010. Disponível em: </w:t>
      </w:r>
      <w:hyperlink r:id="rId1708">
        <w:r>
          <w:rPr>
            <w:sz w:val="16"/>
          </w:rPr>
          <w:t>&lt;http://www.cnm.org.br/dado_geral/brmain.asp&gt;.</w:t>
        </w:r>
      </w:hyperlink>
      <w:r>
        <w:rPr>
          <w:sz w:val="16"/>
        </w:rPr>
        <w:t xml:space="preserve"> Acesso em: 11 out. 2010</w:t>
      </w:r>
    </w:p>
    <w:p w:rsidR="00D81F69" w:rsidRDefault="00330118">
      <w:pPr>
        <w:tabs>
          <w:tab w:val="left" w:pos="4331"/>
        </w:tabs>
        <w:spacing w:before="70" w:line="312" w:lineRule="auto"/>
        <w:ind w:left="100" w:right="191"/>
        <w:jc w:val="both"/>
        <w:rPr>
          <w:sz w:val="16"/>
        </w:rPr>
      </w:pPr>
      <w:r>
        <w:br w:type="column"/>
      </w:r>
      <w:r>
        <w:rPr>
          <w:sz w:val="16"/>
        </w:rPr>
        <w:lastRenderedPageBreak/>
        <w:t xml:space="preserve">DIÁRIO DE SANTA MARIA. Votorantim pesquisa zinco. Mineradora </w:t>
      </w:r>
      <w:r>
        <w:rPr>
          <w:spacing w:val="5"/>
          <w:sz w:val="16"/>
        </w:rPr>
        <w:t xml:space="preserve">trabalha para encontrar reservas. Santa Maria,  </w:t>
      </w:r>
      <w:r>
        <w:rPr>
          <w:spacing w:val="2"/>
          <w:sz w:val="16"/>
        </w:rPr>
        <w:t xml:space="preserve">20  </w:t>
      </w:r>
      <w:r>
        <w:rPr>
          <w:spacing w:val="5"/>
          <w:sz w:val="16"/>
        </w:rPr>
        <w:t xml:space="preserve">mar.  </w:t>
      </w:r>
      <w:r>
        <w:rPr>
          <w:spacing w:val="6"/>
          <w:sz w:val="16"/>
        </w:rPr>
        <w:t xml:space="preserve">2010.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2" w:line="312" w:lineRule="auto"/>
        <w:ind w:left="100" w:right="195"/>
        <w:jc w:val="both"/>
        <w:rPr>
          <w:sz w:val="16"/>
        </w:rPr>
      </w:pPr>
      <w:hyperlink r:id="rId1709">
        <w:r w:rsidR="00330118">
          <w:rPr>
            <w:sz w:val="16"/>
          </w:rPr>
          <w:t>&lt;http://www.clicrbs.com.br/dsm/rs/impressa/4,40,2843820,14335&gt;.</w:t>
        </w:r>
      </w:hyperlink>
      <w:r w:rsidR="00330118">
        <w:rPr>
          <w:sz w:val="16"/>
        </w:rPr>
        <w:t xml:space="preserve"> Acesso em: 1 dez. 2010.</w:t>
      </w:r>
    </w:p>
    <w:p w:rsidR="00D81F69" w:rsidRDefault="00330118">
      <w:pPr>
        <w:spacing w:before="2" w:line="312" w:lineRule="auto"/>
        <w:ind w:left="100" w:right="164"/>
        <w:jc w:val="both"/>
        <w:rPr>
          <w:sz w:val="16"/>
        </w:rPr>
      </w:pPr>
      <w:r>
        <w:rPr>
          <w:spacing w:val="5"/>
          <w:sz w:val="16"/>
        </w:rPr>
        <w:t>FENSTERSEIFER, He</w:t>
      </w:r>
      <w:r>
        <w:rPr>
          <w:spacing w:val="5"/>
          <w:sz w:val="16"/>
        </w:rPr>
        <w:t xml:space="preserve">nrique Carlos; HANSEN, Marco </w:t>
      </w:r>
      <w:r>
        <w:rPr>
          <w:spacing w:val="6"/>
          <w:sz w:val="16"/>
        </w:rPr>
        <w:t xml:space="preserve">Antonio </w:t>
      </w:r>
      <w:r>
        <w:rPr>
          <w:sz w:val="16"/>
        </w:rPr>
        <w:t xml:space="preserve">Fontoura. A Ordenação Territorial da Área de Destaque Ambiental </w:t>
      </w:r>
      <w:r>
        <w:rPr>
          <w:spacing w:val="3"/>
          <w:sz w:val="16"/>
        </w:rPr>
        <w:t xml:space="preserve">Guaritas </w:t>
      </w:r>
      <w:r>
        <w:rPr>
          <w:sz w:val="16"/>
        </w:rPr>
        <w:t xml:space="preserve">– </w:t>
      </w:r>
      <w:r>
        <w:rPr>
          <w:spacing w:val="3"/>
          <w:sz w:val="16"/>
        </w:rPr>
        <w:t xml:space="preserve">Minas </w:t>
      </w:r>
      <w:r>
        <w:rPr>
          <w:spacing w:val="1"/>
          <w:sz w:val="16"/>
        </w:rPr>
        <w:t xml:space="preserve">do </w:t>
      </w:r>
      <w:r>
        <w:rPr>
          <w:spacing w:val="3"/>
          <w:sz w:val="16"/>
        </w:rPr>
        <w:t xml:space="preserve">Camaquã, </w:t>
      </w:r>
      <w:r>
        <w:rPr>
          <w:spacing w:val="2"/>
          <w:sz w:val="16"/>
        </w:rPr>
        <w:t xml:space="preserve">RS. In: </w:t>
      </w:r>
      <w:r>
        <w:rPr>
          <w:spacing w:val="3"/>
          <w:sz w:val="16"/>
        </w:rPr>
        <w:t xml:space="preserve">Minas </w:t>
      </w:r>
      <w:r>
        <w:rPr>
          <w:spacing w:val="1"/>
          <w:sz w:val="16"/>
        </w:rPr>
        <w:t xml:space="preserve">do </w:t>
      </w:r>
      <w:r>
        <w:rPr>
          <w:spacing w:val="3"/>
          <w:sz w:val="16"/>
        </w:rPr>
        <w:t xml:space="preserve">Camaquã, </w:t>
      </w:r>
      <w:r>
        <w:rPr>
          <w:spacing w:val="5"/>
          <w:sz w:val="16"/>
        </w:rPr>
        <w:t xml:space="preserve">um </w:t>
      </w:r>
      <w:r>
        <w:rPr>
          <w:spacing w:val="3"/>
          <w:sz w:val="16"/>
        </w:rPr>
        <w:t xml:space="preserve">estudo multidisciplinar. Organizado </w:t>
      </w:r>
      <w:r>
        <w:rPr>
          <w:spacing w:val="2"/>
          <w:sz w:val="16"/>
        </w:rPr>
        <w:t xml:space="preserve">por Luiz </w:t>
      </w:r>
      <w:r>
        <w:rPr>
          <w:spacing w:val="3"/>
          <w:sz w:val="16"/>
        </w:rPr>
        <w:t xml:space="preserve">Henrique Ronchi </w:t>
      </w:r>
      <w:r>
        <w:rPr>
          <w:sz w:val="16"/>
        </w:rPr>
        <w:t>e Anderson Orestes Cavalcante Lobato</w:t>
      </w:r>
      <w:r>
        <w:rPr>
          <w:sz w:val="16"/>
        </w:rPr>
        <w:t xml:space="preserve">. São Leopoldo: Ed. Unisinos, </w:t>
      </w:r>
      <w:r>
        <w:rPr>
          <w:spacing w:val="27"/>
          <w:sz w:val="16"/>
        </w:rPr>
        <w:t xml:space="preserve">2000, </w:t>
      </w:r>
      <w:r>
        <w:rPr>
          <w:spacing w:val="26"/>
          <w:sz w:val="16"/>
        </w:rPr>
        <w:t xml:space="preserve">cap. </w:t>
      </w:r>
      <w:r>
        <w:rPr>
          <w:spacing w:val="23"/>
          <w:sz w:val="16"/>
        </w:rPr>
        <w:t xml:space="preserve">12, </w:t>
      </w:r>
      <w:r>
        <w:rPr>
          <w:spacing w:val="17"/>
          <w:sz w:val="16"/>
        </w:rPr>
        <w:t xml:space="preserve">p. </w:t>
      </w:r>
      <w:r>
        <w:rPr>
          <w:spacing w:val="30"/>
          <w:sz w:val="16"/>
        </w:rPr>
        <w:t>273-305.</w:t>
      </w:r>
      <w:r>
        <w:rPr>
          <w:spacing w:val="105"/>
          <w:sz w:val="16"/>
        </w:rPr>
        <w:t xml:space="preserve"> </w:t>
      </w:r>
      <w:r>
        <w:rPr>
          <w:spacing w:val="31"/>
          <w:sz w:val="16"/>
        </w:rPr>
        <w:t>Disponível</w:t>
      </w:r>
      <w:r>
        <w:rPr>
          <w:spacing w:val="30"/>
          <w:sz w:val="16"/>
        </w:rPr>
        <w:t xml:space="preserve"> </w:t>
      </w:r>
      <w:r>
        <w:rPr>
          <w:spacing w:val="23"/>
          <w:sz w:val="16"/>
        </w:rPr>
        <w:t>em:</w:t>
      </w:r>
      <w:r>
        <w:rPr>
          <w:spacing w:val="-8"/>
          <w:sz w:val="16"/>
        </w:rPr>
        <w:t xml:space="preserve"> </w:t>
      </w:r>
    </w:p>
    <w:p w:rsidR="00D81F69" w:rsidRDefault="00D81F69">
      <w:pPr>
        <w:spacing w:before="5" w:line="312" w:lineRule="auto"/>
        <w:ind w:left="100" w:right="217"/>
        <w:jc w:val="both"/>
        <w:rPr>
          <w:sz w:val="16"/>
        </w:rPr>
      </w:pPr>
      <w:hyperlink r:id="rId1710">
        <w:r w:rsidR="00330118">
          <w:rPr>
            <w:sz w:val="16"/>
          </w:rPr>
          <w:t>&lt;http://www.unisinos.br/graduacao/bacharelado/geologia/minas_cama</w:t>
        </w:r>
      </w:hyperlink>
      <w:r w:rsidR="00330118">
        <w:rPr>
          <w:sz w:val="16"/>
        </w:rPr>
        <w:t xml:space="preserve"> qua/cap12.pdf&gt;</w:t>
      </w:r>
      <w:r w:rsidR="00330118">
        <w:rPr>
          <w:sz w:val="16"/>
        </w:rPr>
        <w:t>. Acesso em: 19 out. 2010.</w:t>
      </w:r>
    </w:p>
    <w:p w:rsidR="00D81F69" w:rsidRDefault="00330118">
      <w:pPr>
        <w:spacing w:before="1" w:line="312" w:lineRule="auto"/>
        <w:ind w:left="100" w:right="189"/>
        <w:jc w:val="both"/>
        <w:rPr>
          <w:sz w:val="16"/>
        </w:rPr>
      </w:pPr>
      <w:r>
        <w:rPr>
          <w:sz w:val="16"/>
        </w:rPr>
        <w:t>HARRES, Marques Marluza. Minas do Camaquã (Caçapava do Sul, RS): A Exploração do Cobre no Rio Grande do Sul. In: Minas do Camaquã, um estudo multidisciplinar. Organizado por Luiz Henrique Ronchi e Anderson Orestes Cavalcante Loba</w:t>
      </w:r>
      <w:r>
        <w:rPr>
          <w:sz w:val="16"/>
        </w:rPr>
        <w:t xml:space="preserve">to. São Leopoldo: Ed. Unisinos, 2000, cap. 1, p. 21 - 53. Disponível </w:t>
      </w:r>
      <w:hyperlink r:id="rId1711">
        <w:r>
          <w:rPr>
            <w:sz w:val="16"/>
          </w:rPr>
          <w:t>em:&lt;http://www.unisinos.org.br/graduacao/bacharelado/geologia/mina</w:t>
        </w:r>
      </w:hyperlink>
      <w:r>
        <w:rPr>
          <w:sz w:val="16"/>
        </w:rPr>
        <w:t xml:space="preserve"> s_camaqua/cap01.pdf&gt;. Acesso em: 19 out.</w:t>
      </w:r>
      <w:r>
        <w:rPr>
          <w:sz w:val="16"/>
        </w:rPr>
        <w:t xml:space="preserve"> 2010.</w:t>
      </w:r>
    </w:p>
    <w:p w:rsidR="00D81F69" w:rsidRDefault="00330118">
      <w:pPr>
        <w:spacing w:before="6"/>
        <w:ind w:left="100"/>
        <w:jc w:val="both"/>
        <w:rPr>
          <w:sz w:val="16"/>
        </w:rPr>
      </w:pPr>
      <w:r>
        <w:rPr>
          <w:sz w:val="16"/>
        </w:rPr>
        <w:t>MINAS DO CAMAQUÃ. Geologia geral, 2010a. Disponível em:</w:t>
      </w:r>
    </w:p>
    <w:p w:rsidR="00D81F69" w:rsidRDefault="00D81F69">
      <w:pPr>
        <w:spacing w:before="56" w:line="312" w:lineRule="auto"/>
        <w:ind w:left="100" w:right="197"/>
        <w:jc w:val="both"/>
        <w:rPr>
          <w:sz w:val="16"/>
        </w:rPr>
      </w:pPr>
      <w:hyperlink r:id="rId1712">
        <w:r w:rsidR="00330118">
          <w:rPr>
            <w:sz w:val="16"/>
          </w:rPr>
          <w:t xml:space="preserve">&lt;http://www.visiteminasdocamaqua.com/geologia.html&gt;. </w:t>
        </w:r>
      </w:hyperlink>
      <w:r w:rsidR="00330118">
        <w:rPr>
          <w:sz w:val="16"/>
        </w:rPr>
        <w:t>Acesso em: 19 out. 2010</w:t>
      </w:r>
    </w:p>
    <w:p w:rsidR="00D81F69" w:rsidRDefault="00330118">
      <w:pPr>
        <w:spacing w:before="2"/>
        <w:ind w:left="100"/>
        <w:jc w:val="both"/>
        <w:rPr>
          <w:sz w:val="16"/>
        </w:rPr>
      </w:pPr>
      <w:r>
        <w:rPr>
          <w:spacing w:val="20"/>
          <w:sz w:val="16"/>
        </w:rPr>
        <w:t>______.</w:t>
      </w:r>
      <w:r>
        <w:rPr>
          <w:spacing w:val="85"/>
          <w:sz w:val="16"/>
        </w:rPr>
        <w:t xml:space="preserve"> </w:t>
      </w:r>
      <w:r>
        <w:rPr>
          <w:spacing w:val="20"/>
          <w:sz w:val="16"/>
        </w:rPr>
        <w:t>História</w:t>
      </w:r>
      <w:r>
        <w:rPr>
          <w:spacing w:val="85"/>
          <w:sz w:val="16"/>
        </w:rPr>
        <w:t xml:space="preserve"> </w:t>
      </w:r>
      <w:r>
        <w:rPr>
          <w:spacing w:val="11"/>
          <w:sz w:val="16"/>
        </w:rPr>
        <w:t xml:space="preserve">da </w:t>
      </w:r>
      <w:r>
        <w:rPr>
          <w:spacing w:val="17"/>
          <w:sz w:val="16"/>
        </w:rPr>
        <w:t xml:space="preserve">CBC, </w:t>
      </w:r>
      <w:r>
        <w:rPr>
          <w:spacing w:val="20"/>
          <w:sz w:val="16"/>
        </w:rPr>
        <w:t xml:space="preserve">2010b. </w:t>
      </w:r>
      <w:r>
        <w:rPr>
          <w:spacing w:val="21"/>
          <w:sz w:val="16"/>
        </w:rPr>
        <w:t>Disponível</w:t>
      </w:r>
      <w:r>
        <w:rPr>
          <w:spacing w:val="20"/>
          <w:sz w:val="16"/>
        </w:rPr>
        <w:t xml:space="preserve"> </w:t>
      </w:r>
      <w:r>
        <w:rPr>
          <w:spacing w:val="15"/>
          <w:sz w:val="16"/>
        </w:rPr>
        <w:t>em:</w:t>
      </w:r>
      <w:r>
        <w:rPr>
          <w:spacing w:val="-19"/>
          <w:sz w:val="16"/>
        </w:rPr>
        <w:t xml:space="preserve"> </w:t>
      </w:r>
    </w:p>
    <w:p w:rsidR="00D81F69" w:rsidRDefault="00D81F69">
      <w:pPr>
        <w:spacing w:before="56" w:line="312" w:lineRule="auto"/>
        <w:ind w:left="100" w:right="213"/>
        <w:jc w:val="both"/>
        <w:rPr>
          <w:sz w:val="16"/>
        </w:rPr>
      </w:pPr>
      <w:hyperlink r:id="rId1713">
        <w:r w:rsidR="00330118">
          <w:rPr>
            <w:sz w:val="16"/>
          </w:rPr>
          <w:t xml:space="preserve">&lt;http://www.visiteminasdocamaqua.com/historiacbc.html&gt;. </w:t>
        </w:r>
      </w:hyperlink>
      <w:r w:rsidR="00330118">
        <w:rPr>
          <w:sz w:val="16"/>
        </w:rPr>
        <w:t>Acesso em: 19 out. 2010.</w:t>
      </w:r>
    </w:p>
    <w:p w:rsidR="00D81F69" w:rsidRDefault="00330118">
      <w:pPr>
        <w:spacing w:before="1" w:line="312" w:lineRule="auto"/>
        <w:ind w:left="100" w:right="192"/>
        <w:jc w:val="both"/>
        <w:rPr>
          <w:sz w:val="16"/>
        </w:rPr>
      </w:pPr>
      <w:r>
        <w:rPr>
          <w:sz w:val="16"/>
        </w:rPr>
        <w:t>PAIM, Paulo Sérgio Gomes. Minas do Camaquã, RS - Marco da história da mineração de cobre no Brasil. In: Sc</w:t>
      </w:r>
      <w:r>
        <w:rPr>
          <w:sz w:val="16"/>
        </w:rPr>
        <w:t>hobbenhaus,C.; Campos,D.A.; Queiroz,E.T.; Winge,M.; Berbert-Born,M.L.C. (Edits.) Sítios Geológicos e Paleontológicos do Brasil, 1ª Ed, Brasília: DNPM/CPRM - Comissão Brasileira de Sítios Geológicos e Paleobiológicos (SIGEP), 2002, v.01, p. 501-510. Disponí</w:t>
      </w:r>
      <w:r>
        <w:rPr>
          <w:sz w:val="16"/>
        </w:rPr>
        <w:t>vel em:</w:t>
      </w:r>
    </w:p>
    <w:p w:rsidR="00D81F69" w:rsidRDefault="00D81F69">
      <w:pPr>
        <w:spacing w:before="5" w:line="312" w:lineRule="auto"/>
        <w:ind w:left="100" w:right="198"/>
        <w:jc w:val="both"/>
        <w:rPr>
          <w:sz w:val="16"/>
        </w:rPr>
      </w:pPr>
      <w:hyperlink r:id="rId1714">
        <w:r w:rsidR="00330118">
          <w:rPr>
            <w:sz w:val="16"/>
          </w:rPr>
          <w:t xml:space="preserve">&lt;http://www.unb.br/ig/sigep/sitio064/sitio064.pdf&gt;. </w:t>
        </w:r>
      </w:hyperlink>
      <w:r w:rsidR="00330118">
        <w:rPr>
          <w:sz w:val="16"/>
        </w:rPr>
        <w:t>Acesso em: 2 dez. 2010.</w:t>
      </w:r>
    </w:p>
    <w:p w:rsidR="00D81F69" w:rsidRDefault="00330118">
      <w:pPr>
        <w:spacing w:before="2"/>
        <w:ind w:left="100"/>
        <w:jc w:val="both"/>
        <w:rPr>
          <w:sz w:val="16"/>
        </w:rPr>
      </w:pPr>
      <w:r>
        <w:rPr>
          <w:sz w:val="16"/>
        </w:rPr>
        <w:t>PREFEITURA MUNICIPAL DE CAÇAPAVA DO SUL. Histórico, 2010.</w:t>
      </w:r>
    </w:p>
    <w:p w:rsidR="00D81F69" w:rsidRDefault="00330118">
      <w:pPr>
        <w:tabs>
          <w:tab w:val="left" w:pos="4331"/>
        </w:tabs>
        <w:spacing w:before="56"/>
        <w:ind w:left="100"/>
        <w:jc w:val="both"/>
        <w:rPr>
          <w:sz w:val="16"/>
        </w:rPr>
      </w:pPr>
      <w:r>
        <w:rPr>
          <w:sz w:val="16"/>
        </w:rPr>
        <w:t xml:space="preserve">D      i      s      p      o      n      í     </w:t>
      </w:r>
      <w:r>
        <w:rPr>
          <w:sz w:val="16"/>
        </w:rPr>
        <w:t xml:space="preserve"> v  </w:t>
      </w:r>
      <w:r>
        <w:rPr>
          <w:spacing w:val="36"/>
          <w:sz w:val="16"/>
        </w:rPr>
        <w:t xml:space="preserve"> </w:t>
      </w:r>
      <w:r>
        <w:rPr>
          <w:sz w:val="16"/>
        </w:rPr>
        <w:t xml:space="preserve">e    </w:t>
      </w:r>
      <w:r>
        <w:rPr>
          <w:spacing w:val="31"/>
          <w:sz w:val="16"/>
        </w:rPr>
        <w:t xml:space="preserve"> </w:t>
      </w:r>
      <w:r>
        <w:rPr>
          <w:sz w:val="16"/>
        </w:rPr>
        <w:t>l</w:t>
      </w:r>
      <w:r>
        <w:rPr>
          <w:sz w:val="16"/>
        </w:rPr>
        <w:tab/>
        <w:t xml:space="preserve">e      m    </w:t>
      </w:r>
      <w:r>
        <w:rPr>
          <w:spacing w:val="20"/>
          <w:sz w:val="16"/>
        </w:rPr>
        <w:t xml:space="preserve"> </w:t>
      </w:r>
      <w:r>
        <w:rPr>
          <w:sz w:val="16"/>
        </w:rPr>
        <w:t>:</w:t>
      </w:r>
    </w:p>
    <w:p w:rsidR="00D81F69" w:rsidRDefault="00D81F69">
      <w:pPr>
        <w:spacing w:before="56" w:line="312" w:lineRule="auto"/>
        <w:ind w:left="100" w:right="192"/>
        <w:jc w:val="both"/>
        <w:rPr>
          <w:sz w:val="16"/>
        </w:rPr>
      </w:pPr>
      <w:hyperlink r:id="rId1715">
        <w:r w:rsidR="00330118">
          <w:rPr>
            <w:sz w:val="16"/>
          </w:rPr>
          <w:t>&lt;http://www.prefeitura.cacapava.net/newsite/index.html?i=18a&gt;.</w:t>
        </w:r>
      </w:hyperlink>
      <w:r w:rsidR="00330118">
        <w:rPr>
          <w:sz w:val="16"/>
        </w:rPr>
        <w:t xml:space="preserve"> Acesso em: 21 out. 2010.</w:t>
      </w:r>
    </w:p>
    <w:p w:rsidR="00D81F69" w:rsidRDefault="00330118">
      <w:pPr>
        <w:spacing w:before="2" w:line="312" w:lineRule="auto"/>
        <w:ind w:left="100" w:right="197"/>
        <w:jc w:val="both"/>
        <w:rPr>
          <w:sz w:val="16"/>
        </w:rPr>
      </w:pPr>
      <w:r>
        <w:rPr>
          <w:sz w:val="16"/>
        </w:rPr>
        <w:t>RONCHI, Luiz Henrique; BAECKER, Carlos Augusto; MARTINS Josiane. Avaliação do estado da qualidade das águas e da contaminação dos sedimentos recentes do Arroio João Dias após o encerramento das atividades das Minas do Camaquã – RS. In: Minas do Camaquã, um</w:t>
      </w:r>
      <w:r>
        <w:rPr>
          <w:sz w:val="16"/>
        </w:rPr>
        <w:t xml:space="preserve"> estudo multidisciplinar. Organizado por Luiz Henrique Ronchi e Anderson Orestes Cavalcante Lobato. São Leopoldo: Ed. Unisinos, 2000, cap. 10, p. 241 - 259. Disponível em:</w:t>
      </w:r>
    </w:p>
    <w:p w:rsidR="00D81F69" w:rsidRDefault="00D81F69">
      <w:pPr>
        <w:spacing w:before="5" w:line="312" w:lineRule="auto"/>
        <w:ind w:left="100" w:right="217"/>
        <w:jc w:val="both"/>
        <w:rPr>
          <w:sz w:val="16"/>
        </w:rPr>
      </w:pPr>
      <w:hyperlink r:id="rId1716">
        <w:r w:rsidR="00330118">
          <w:rPr>
            <w:sz w:val="16"/>
          </w:rPr>
          <w:t>&lt;h</w:t>
        </w:r>
        <w:r w:rsidR="00330118">
          <w:rPr>
            <w:sz w:val="16"/>
          </w:rPr>
          <w:t>ttp://www.unisinos.br/graduacao/bacharelado/geologia/minas_cama</w:t>
        </w:r>
      </w:hyperlink>
      <w:r w:rsidR="00330118">
        <w:rPr>
          <w:sz w:val="16"/>
        </w:rPr>
        <w:t xml:space="preserve"> qua/cap10.pdf&gt;. Acesso em: 19 out. 2010.</w:t>
      </w:r>
    </w:p>
    <w:p w:rsidR="00D81F69" w:rsidRDefault="00330118">
      <w:pPr>
        <w:tabs>
          <w:tab w:val="left" w:pos="4331"/>
        </w:tabs>
        <w:spacing w:before="2" w:line="312" w:lineRule="auto"/>
        <w:ind w:left="100" w:right="192"/>
        <w:jc w:val="both"/>
        <w:rPr>
          <w:sz w:val="16"/>
        </w:rPr>
      </w:pPr>
      <w:r>
        <w:rPr>
          <w:spacing w:val="1"/>
          <w:sz w:val="16"/>
        </w:rPr>
        <w:t xml:space="preserve">STRÖHER, Eneida Ripol. Vila Minas </w:t>
      </w:r>
      <w:r>
        <w:rPr>
          <w:sz w:val="16"/>
        </w:rPr>
        <w:t xml:space="preserve">do </w:t>
      </w:r>
      <w:r>
        <w:rPr>
          <w:spacing w:val="1"/>
          <w:sz w:val="16"/>
        </w:rPr>
        <w:t xml:space="preserve">Camaquã: </w:t>
      </w:r>
      <w:r>
        <w:rPr>
          <w:sz w:val="16"/>
        </w:rPr>
        <w:t xml:space="preserve">uma </w:t>
      </w:r>
      <w:r>
        <w:rPr>
          <w:spacing w:val="1"/>
          <w:sz w:val="16"/>
        </w:rPr>
        <w:t xml:space="preserve">visão </w:t>
      </w:r>
      <w:r>
        <w:rPr>
          <w:spacing w:val="2"/>
          <w:sz w:val="16"/>
        </w:rPr>
        <w:t xml:space="preserve">da </w:t>
      </w:r>
      <w:r>
        <w:rPr>
          <w:spacing w:val="5"/>
          <w:sz w:val="16"/>
        </w:rPr>
        <w:t xml:space="preserve">arquitetura. </w:t>
      </w:r>
      <w:r>
        <w:rPr>
          <w:spacing w:val="3"/>
          <w:sz w:val="16"/>
        </w:rPr>
        <w:t xml:space="preserve">In: Minas </w:t>
      </w:r>
      <w:r>
        <w:rPr>
          <w:spacing w:val="2"/>
          <w:sz w:val="16"/>
        </w:rPr>
        <w:t xml:space="preserve">do </w:t>
      </w:r>
      <w:r>
        <w:rPr>
          <w:spacing w:val="5"/>
          <w:sz w:val="16"/>
        </w:rPr>
        <w:t xml:space="preserve">Camaquã, </w:t>
      </w:r>
      <w:r>
        <w:rPr>
          <w:spacing w:val="2"/>
          <w:sz w:val="16"/>
        </w:rPr>
        <w:t xml:space="preserve">um </w:t>
      </w:r>
      <w:r>
        <w:rPr>
          <w:spacing w:val="5"/>
          <w:sz w:val="16"/>
        </w:rPr>
        <w:t xml:space="preserve">estudo multidisciplinar. </w:t>
      </w:r>
      <w:r>
        <w:rPr>
          <w:sz w:val="16"/>
        </w:rPr>
        <w:t xml:space="preserve">Organizado por Luiz Henrique </w:t>
      </w:r>
      <w:r>
        <w:rPr>
          <w:sz w:val="16"/>
        </w:rPr>
        <w:t xml:space="preserve">Ronchi e Anderson Orestes Cavalcante </w:t>
      </w:r>
      <w:r>
        <w:rPr>
          <w:spacing w:val="5"/>
          <w:sz w:val="16"/>
        </w:rPr>
        <w:t xml:space="preserve">Lobato. </w:t>
      </w:r>
      <w:r>
        <w:rPr>
          <w:spacing w:val="3"/>
          <w:sz w:val="16"/>
        </w:rPr>
        <w:t xml:space="preserve">São </w:t>
      </w:r>
      <w:r>
        <w:rPr>
          <w:spacing w:val="5"/>
          <w:sz w:val="16"/>
        </w:rPr>
        <w:t xml:space="preserve">Leopoldo: </w:t>
      </w:r>
      <w:r>
        <w:rPr>
          <w:spacing w:val="3"/>
          <w:sz w:val="16"/>
        </w:rPr>
        <w:t xml:space="preserve">Ed. </w:t>
      </w:r>
      <w:r>
        <w:rPr>
          <w:spacing w:val="5"/>
          <w:sz w:val="16"/>
        </w:rPr>
        <w:t xml:space="preserve">Unisinos, </w:t>
      </w:r>
      <w:r>
        <w:rPr>
          <w:spacing w:val="3"/>
          <w:sz w:val="16"/>
        </w:rPr>
        <w:t xml:space="preserve">2000,  cap.  </w:t>
      </w:r>
      <w:r>
        <w:rPr>
          <w:spacing w:val="2"/>
          <w:sz w:val="16"/>
        </w:rPr>
        <w:t xml:space="preserve">2,  p.  55  </w:t>
      </w:r>
      <w:r>
        <w:rPr>
          <w:sz w:val="16"/>
        </w:rPr>
        <w:t xml:space="preserve">-  </w:t>
      </w:r>
      <w:r>
        <w:rPr>
          <w:spacing w:val="5"/>
          <w:sz w:val="16"/>
        </w:rPr>
        <w:t xml:space="preserve">68. </w:t>
      </w: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e m</w:t>
      </w:r>
      <w:r>
        <w:rPr>
          <w:spacing w:val="20"/>
          <w:sz w:val="16"/>
        </w:rPr>
        <w:t xml:space="preserve"> </w:t>
      </w:r>
      <w:r>
        <w:rPr>
          <w:sz w:val="16"/>
        </w:rPr>
        <w:t>:</w:t>
      </w:r>
    </w:p>
    <w:p w:rsidR="00D81F69" w:rsidRDefault="00D81F69">
      <w:pPr>
        <w:spacing w:before="4" w:line="312" w:lineRule="auto"/>
        <w:ind w:left="100" w:right="217"/>
        <w:jc w:val="both"/>
        <w:rPr>
          <w:sz w:val="16"/>
        </w:rPr>
      </w:pPr>
      <w:hyperlink r:id="rId1717">
        <w:r w:rsidR="00330118">
          <w:rPr>
            <w:sz w:val="16"/>
          </w:rPr>
          <w:t>&lt;</w:t>
        </w:r>
        <w:r w:rsidR="00330118">
          <w:rPr>
            <w:sz w:val="16"/>
          </w:rPr>
          <w:t>https://www.unisinos.br/graduacao/bacharelado/geologia/minas_cam</w:t>
        </w:r>
      </w:hyperlink>
      <w:r w:rsidR="00330118">
        <w:rPr>
          <w:sz w:val="16"/>
        </w:rPr>
        <w:t xml:space="preserve"> aqua/cap02.pdf&gt;. Acesso em: 19 out. 2010.</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94" w:space="276"/>
            <w:col w:w="5310"/>
          </w:cols>
        </w:sectPr>
      </w:pPr>
    </w:p>
    <w:p w:rsidR="00D81F69" w:rsidRDefault="00330118">
      <w:pPr>
        <w:pStyle w:val="Heading1"/>
        <w:spacing w:line="208" w:lineRule="auto"/>
      </w:pPr>
      <w:r>
        <w:lastRenderedPageBreak/>
        <w:t>Extração de ouro e cobre em Lavras do Sul (RS) contamina solo com metais pesados</w:t>
      </w:r>
    </w:p>
    <w:p w:rsidR="00D81F69" w:rsidRDefault="00D81F69">
      <w:pPr>
        <w:pStyle w:val="Corpodetexto"/>
        <w:ind w:left="0"/>
        <w:jc w:val="left"/>
        <w:rPr>
          <w:b/>
          <w:sz w:val="20"/>
        </w:rPr>
      </w:pPr>
    </w:p>
    <w:p w:rsidR="00D81F69" w:rsidRDefault="00D81F69">
      <w:pPr>
        <w:rPr>
          <w:sz w:val="20"/>
        </w:rPr>
        <w:sectPr w:rsidR="00D81F69">
          <w:pgSz w:w="11900" w:h="16840"/>
          <w:pgMar w:top="1080" w:right="500" w:bottom="720" w:left="620" w:header="0" w:footer="402" w:gutter="0"/>
          <w:cols w:space="720"/>
        </w:sectPr>
      </w:pPr>
    </w:p>
    <w:p w:rsidR="00D81F69" w:rsidRDefault="00D81F69">
      <w:pPr>
        <w:pStyle w:val="Corpodetexto"/>
        <w:ind w:left="0"/>
        <w:jc w:val="left"/>
        <w:rPr>
          <w:b/>
          <w:sz w:val="16"/>
        </w:rPr>
      </w:pPr>
    </w:p>
    <w:p w:rsidR="00D81F69" w:rsidRDefault="00D81F69">
      <w:pPr>
        <w:pStyle w:val="Corpodetexto"/>
        <w:ind w:left="0"/>
        <w:jc w:val="left"/>
        <w:rPr>
          <w:b/>
          <w:sz w:val="16"/>
        </w:rPr>
      </w:pPr>
    </w:p>
    <w:p w:rsidR="00D81F69" w:rsidRDefault="00330118">
      <w:pPr>
        <w:spacing w:before="97"/>
        <w:ind w:left="135"/>
        <w:rPr>
          <w:i/>
          <w:sz w:val="14"/>
        </w:rPr>
      </w:pPr>
      <w:r>
        <w:rPr>
          <w:i/>
          <w:sz w:val="14"/>
        </w:rPr>
        <w:t>MUNICÍPIOS</w:t>
      </w:r>
    </w:p>
    <w:p w:rsidR="00D81F69" w:rsidRDefault="00330118">
      <w:pPr>
        <w:spacing w:before="49" w:line="312" w:lineRule="auto"/>
        <w:ind w:left="135" w:right="38"/>
        <w:rPr>
          <w:i/>
          <w:sz w:val="14"/>
        </w:rPr>
      </w:pPr>
      <w:r>
        <w:rPr>
          <w:i/>
          <w:sz w:val="14"/>
        </w:rPr>
        <w:t>RS - Ca</w:t>
      </w:r>
      <w:r>
        <w:rPr>
          <w:i/>
          <w:sz w:val="14"/>
        </w:rPr>
        <w:t>çapava do Sul RS - Lavras do Sul RS - São Sepé</w:t>
      </w:r>
    </w:p>
    <w:p w:rsidR="00D81F69" w:rsidRDefault="00330118">
      <w:pPr>
        <w:spacing w:before="2"/>
        <w:ind w:left="135"/>
        <w:rPr>
          <w:i/>
          <w:sz w:val="14"/>
        </w:rPr>
      </w:pPr>
      <w:r>
        <w:rPr>
          <w:i/>
          <w:sz w:val="14"/>
        </w:rPr>
        <w:t>RS - Vila Nova do Sul</w:t>
      </w:r>
    </w:p>
    <w:p w:rsidR="00D81F69" w:rsidRDefault="00D81F69">
      <w:pPr>
        <w:pStyle w:val="Corpodetexto"/>
        <w:spacing w:before="6"/>
        <w:ind w:left="0"/>
        <w:jc w:val="left"/>
        <w:rPr>
          <w:i/>
          <w:sz w:val="22"/>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-30,8455</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-53,8066</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8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spacing w:before="25"/>
        <w:ind w:left="135"/>
        <w:rPr>
          <w:i/>
          <w:sz w:val="18"/>
        </w:rPr>
      </w:pPr>
      <w:r>
        <w:rPr>
          <w:i/>
          <w:sz w:val="18"/>
        </w:rPr>
        <w:t>SÍNTESE</w:t>
      </w:r>
    </w:p>
    <w:p w:rsidR="00D81F69" w:rsidRDefault="00330118">
      <w:pPr>
        <w:spacing w:before="52" w:line="312" w:lineRule="auto"/>
        <w:ind w:left="135" w:right="38"/>
        <w:jc w:val="both"/>
        <w:rPr>
          <w:i/>
          <w:sz w:val="16"/>
        </w:rPr>
      </w:pPr>
      <w:r>
        <w:rPr>
          <w:i/>
          <w:sz w:val="16"/>
        </w:rPr>
        <w:t xml:space="preserve">O município de Lavras do Sul (RS) </w:t>
      </w:r>
      <w:r>
        <w:rPr>
          <w:i/>
          <w:sz w:val="16"/>
        </w:rPr>
        <w:t xml:space="preserve">surgiu em virtude da busca por ouro. A região também é rica em cobre, sendo uma das localidades com maior concentração de minerais do estado. A utilização do mercúrio na garimpagem do ouro impactou a região, ocasionando a contaminação do solo. Embora haja </w:t>
      </w:r>
      <w:r>
        <w:rPr>
          <w:i/>
          <w:sz w:val="16"/>
        </w:rPr>
        <w:t>minas esgotadas na região, em seu subsolo há indícios de novas jazidas minerais.</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9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Default="00330118">
      <w:pPr>
        <w:pStyle w:val="Corpodetexto"/>
        <w:spacing w:before="1" w:line="312" w:lineRule="auto"/>
        <w:ind w:left="135" w:right="189"/>
      </w:pPr>
      <w:r>
        <w:t>Company começou as explorações dos filões auríferos (FRIZZO, 2002). Na segunda metade do século XIX e primeira do século XX, diferentes empresas estrangeiras implantaram a</w:t>
      </w:r>
      <w:r>
        <w:t xml:space="preserve">tividades de mineração de ouro no município, como a Companhia Lape, Tahourne Companhia Belga e Gold Field Mining Company. À época, as atividades não prosperaram devido às quedas de teores e à precariedade tecnológica das explorações (MINERAR, apud FRIZZO, </w:t>
      </w:r>
      <w:r>
        <w:t>2002).</w:t>
      </w:r>
    </w:p>
    <w:p w:rsidR="00D81F69" w:rsidRDefault="00330118">
      <w:pPr>
        <w:pStyle w:val="Corpodetexto"/>
        <w:spacing w:before="138" w:line="312" w:lineRule="auto"/>
        <w:ind w:left="135" w:right="195"/>
      </w:pPr>
      <w:r>
        <w:t>Nos anos 1970, com técnicas mais avançadas, a Companhia Riograndense de Mineração (CRM) reiniciou os trabalhos no distrito aurífero de Lavras do Sul (MINERAR, apud FRIZZO,</w:t>
      </w:r>
    </w:p>
    <w:p w:rsidR="00D81F69" w:rsidRDefault="00D81F69">
      <w:pPr>
        <w:spacing w:line="312" w:lineRule="auto"/>
        <w:sectPr w:rsidR="00D81F69">
          <w:type w:val="continuous"/>
          <w:pgSz w:w="11900" w:h="16840"/>
          <w:pgMar w:top="720" w:right="500" w:bottom="280" w:left="620" w:header="720" w:footer="720" w:gutter="0"/>
          <w:cols w:num="3" w:space="720" w:equalWidth="0">
            <w:col w:w="1561" w:space="439"/>
            <w:col w:w="3114" w:space="321"/>
            <w:col w:w="5345"/>
          </w:cols>
        </w:sectPr>
      </w:pPr>
    </w:p>
    <w:p w:rsidR="00D81F69" w:rsidRDefault="00330118">
      <w:pPr>
        <w:pStyle w:val="Heading4"/>
        <w:spacing w:before="56"/>
        <w:jc w:val="left"/>
      </w:pPr>
      <w:r>
        <w:lastRenderedPageBreak/>
        <w:t>APRESENTAÇÃO DE CASO</w:t>
      </w:r>
    </w:p>
    <w:p w:rsidR="00D81F69" w:rsidRDefault="00330118">
      <w:pPr>
        <w:pStyle w:val="Corpodetexto"/>
        <w:spacing w:before="171" w:line="312" w:lineRule="auto"/>
        <w:ind w:right="111"/>
        <w:jc w:val="left"/>
      </w:pPr>
      <w:r>
        <w:rPr>
          <w:spacing w:val="2"/>
        </w:rPr>
        <w:t xml:space="preserve">Com </w:t>
      </w:r>
      <w:r>
        <w:rPr>
          <w:spacing w:val="3"/>
        </w:rPr>
        <w:t xml:space="preserve">7.669 habitantes, </w:t>
      </w:r>
      <w:r>
        <w:t xml:space="preserve">o </w:t>
      </w:r>
      <w:r>
        <w:rPr>
          <w:spacing w:val="3"/>
        </w:rPr>
        <w:t xml:space="preserve">município </w:t>
      </w:r>
      <w:r>
        <w:rPr>
          <w:spacing w:val="1"/>
        </w:rPr>
        <w:t xml:space="preserve">de </w:t>
      </w:r>
      <w:r>
        <w:rPr>
          <w:spacing w:val="3"/>
        </w:rPr>
        <w:t xml:space="preserve">Lavras </w:t>
      </w:r>
      <w:r>
        <w:rPr>
          <w:spacing w:val="1"/>
        </w:rPr>
        <w:t xml:space="preserve">do </w:t>
      </w:r>
      <w:r>
        <w:rPr>
          <w:spacing w:val="2"/>
        </w:rPr>
        <w:t xml:space="preserve">Sul </w:t>
      </w:r>
      <w:r>
        <w:rPr>
          <w:spacing w:val="5"/>
        </w:rPr>
        <w:t xml:space="preserve">tem </w:t>
      </w:r>
      <w:r>
        <w:t>2.601 km² (IBGE, 2010) e está situado numa das fronteiras do Escudo sul-riograndense, na porção sudeste do Rio Grande  do Sul (PANORAMA LAVRENSE,</w:t>
      </w:r>
      <w:r>
        <w:rPr>
          <w:spacing w:val="3"/>
        </w:rPr>
        <w:t xml:space="preserve"> </w:t>
      </w:r>
      <w:r>
        <w:t>2009).</w:t>
      </w:r>
    </w:p>
    <w:p w:rsidR="00D81F69" w:rsidRDefault="00330118">
      <w:pPr>
        <w:pStyle w:val="Corpodetexto"/>
        <w:spacing w:before="133" w:line="312" w:lineRule="auto"/>
        <w:ind w:right="98"/>
      </w:pPr>
      <w:r>
        <w:t>No município, há a ocorrência de depósitos minerais oriundos de formaçõe</w:t>
      </w:r>
      <w:r>
        <w:t xml:space="preserve">s vulcânicas e sedimentares, como </w:t>
      </w:r>
      <w:hyperlink r:id="rId1718">
        <w:r>
          <w:t xml:space="preserve">cobre, </w:t>
        </w:r>
      </w:hyperlink>
      <w:r>
        <w:t xml:space="preserve">ouro, zinco, prata e </w:t>
      </w:r>
      <w:hyperlink r:id="rId1719">
        <w:r>
          <w:t>chumbo,</w:t>
        </w:r>
      </w:hyperlink>
      <w:r>
        <w:t xml:space="preserve"> sendo</w:t>
      </w:r>
      <w:r>
        <w:t xml:space="preserve"> uma das regiões de maior concentração de minerais do estado. Embora grandes quantidades de minérios já tenham sido extraídas e haja minas esgotadas na região, em seu subsolo há indícios de novas jazidas minerais (PANORAMA LAVRENSE, 2009).</w:t>
      </w:r>
    </w:p>
    <w:p w:rsidR="00D81F69" w:rsidRDefault="00330118">
      <w:pPr>
        <w:pStyle w:val="Corpodetexto"/>
        <w:spacing w:before="137" w:line="312" w:lineRule="auto"/>
        <w:ind w:right="41"/>
        <w:jc w:val="left"/>
      </w:pPr>
      <w:r>
        <w:t>A área de minera</w:t>
      </w:r>
      <w:r>
        <w:t>ção conhecida no município é calculada em 60 km². Arroio do Jaques, São José da Itaoca, Vista Alegre, Cerrito e Volta Grande são os locais de exploração que mais fizeram história na cidade (PANORAMA LAVRENSE,</w:t>
      </w:r>
      <w:r>
        <w:rPr>
          <w:spacing w:val="17"/>
        </w:rPr>
        <w:t xml:space="preserve"> </w:t>
      </w:r>
      <w:r>
        <w:t>2009).</w:t>
      </w:r>
    </w:p>
    <w:p w:rsidR="00D81F69" w:rsidRDefault="00330118">
      <w:pPr>
        <w:pStyle w:val="Corpodetexto"/>
        <w:spacing w:before="134" w:line="312" w:lineRule="auto"/>
        <w:ind w:right="96"/>
      </w:pPr>
      <w:r>
        <w:t>Na mina Volta Grande, ocorrem dezenas de</w:t>
      </w:r>
      <w:r>
        <w:t xml:space="preserve"> estruturas mineralizadas de ouro e cobre, associadas às rochas vulcânicas, além de um jazimento aurífero de natureza aluvional (PORCHER; LOPES, 2000 apud FRIZZO, 2002).</w:t>
      </w:r>
    </w:p>
    <w:p w:rsidR="00D81F69" w:rsidRDefault="00330118">
      <w:pPr>
        <w:pStyle w:val="Corpodetexto"/>
        <w:spacing w:before="3" w:line="312" w:lineRule="auto"/>
        <w:ind w:right="106"/>
      </w:pPr>
      <w:r>
        <w:t>Além do ouro e cobre, nesta mina ocorre chumbo na forma de galena, associada aos filõe</w:t>
      </w:r>
      <w:r>
        <w:t xml:space="preserve">s com sulfeto de cobre (GAVRONSKU et al.,1969 apud HORBACH et al.,1986, apud FRIZZO, 2002). Também foram encontrados na área que envolve o Complexo Granítico de Lavras do Sul indícios de molibdênio, cobre e </w:t>
      </w:r>
      <w:hyperlink r:id="rId1720">
        <w:r>
          <w:t>urânio</w:t>
        </w:r>
      </w:hyperlink>
      <w:r>
        <w:t xml:space="preserve"> e uma pedreira em granito (PORCHER; LOPES, 2000 apud FRIZZO, 2002). São citados</w:t>
      </w:r>
    </w:p>
    <w:p w:rsidR="00D81F69" w:rsidRDefault="00330118">
      <w:pPr>
        <w:pStyle w:val="Corpodetexto"/>
        <w:spacing w:before="7" w:line="312" w:lineRule="auto"/>
        <w:ind w:right="116"/>
      </w:pPr>
      <w:r>
        <w:t>ainda como ocorrentes no município barita (também na mina Volta Grande, associada aos filões cupríferos) e asbestos (HORBACH et</w:t>
      </w:r>
      <w:r>
        <w:t xml:space="preserve"> al., 1986 apud FRIZZO, 2002).</w:t>
      </w:r>
    </w:p>
    <w:p w:rsidR="00D81F69" w:rsidRDefault="00330118">
      <w:pPr>
        <w:pStyle w:val="Corpodetexto"/>
        <w:spacing w:before="132" w:line="312" w:lineRule="auto"/>
        <w:ind w:right="95"/>
      </w:pPr>
      <w:r>
        <w:t xml:space="preserve">O início da mineração de ouro no distrito aurífero de Lavras  </w:t>
      </w:r>
      <w:r>
        <w:rPr>
          <w:spacing w:val="1"/>
        </w:rPr>
        <w:t xml:space="preserve">do </w:t>
      </w:r>
      <w:r>
        <w:rPr>
          <w:spacing w:val="2"/>
        </w:rPr>
        <w:t xml:space="preserve">Sul data </w:t>
      </w:r>
      <w:r>
        <w:rPr>
          <w:spacing w:val="3"/>
        </w:rPr>
        <w:t xml:space="preserve">oficialmente </w:t>
      </w:r>
      <w:r>
        <w:rPr>
          <w:spacing w:val="1"/>
        </w:rPr>
        <w:t xml:space="preserve">do </w:t>
      </w:r>
      <w:r>
        <w:rPr>
          <w:spacing w:val="3"/>
        </w:rPr>
        <w:t xml:space="preserve">final </w:t>
      </w:r>
      <w:r>
        <w:rPr>
          <w:spacing w:val="1"/>
        </w:rPr>
        <w:t xml:space="preserve">do </w:t>
      </w:r>
      <w:r>
        <w:rPr>
          <w:spacing w:val="3"/>
        </w:rPr>
        <w:t xml:space="preserve">século </w:t>
      </w:r>
      <w:r>
        <w:rPr>
          <w:spacing w:val="2"/>
        </w:rPr>
        <w:t xml:space="preserve">XIX </w:t>
      </w:r>
      <w:r>
        <w:rPr>
          <w:spacing w:val="5"/>
        </w:rPr>
        <w:t xml:space="preserve">(GRAZIA; PESTANA, 2005). </w:t>
      </w:r>
      <w:r>
        <w:t xml:space="preserve">A </w:t>
      </w:r>
      <w:r>
        <w:rPr>
          <w:spacing w:val="5"/>
        </w:rPr>
        <w:t xml:space="preserve">princípio, </w:t>
      </w:r>
      <w:r>
        <w:t xml:space="preserve">o </w:t>
      </w:r>
      <w:r>
        <w:rPr>
          <w:spacing w:val="3"/>
        </w:rPr>
        <w:t xml:space="preserve">ouro era </w:t>
      </w:r>
      <w:r>
        <w:rPr>
          <w:spacing w:val="5"/>
        </w:rPr>
        <w:t xml:space="preserve">explorado nos </w:t>
      </w:r>
      <w:r>
        <w:t>aluviões, no arroio Camaquã das Lavras e seus afluen</w:t>
      </w:r>
      <w:r>
        <w:t>tes e, só em 1845, a empresa The Rio Grande do Sul Gold</w:t>
      </w:r>
      <w:r>
        <w:rPr>
          <w:spacing w:val="31"/>
        </w:rPr>
        <w:t xml:space="preserve"> </w:t>
      </w:r>
      <w:r>
        <w:t>Minining</w:t>
      </w:r>
    </w:p>
    <w:p w:rsidR="00D81F69" w:rsidRDefault="00330118">
      <w:pPr>
        <w:pStyle w:val="Corpodetexto"/>
        <w:spacing w:before="3" w:line="312" w:lineRule="auto"/>
        <w:ind w:right="210"/>
      </w:pPr>
      <w:r>
        <w:br w:type="column"/>
      </w:r>
      <w:r>
        <w:lastRenderedPageBreak/>
        <w:t>2002). A iniciativa da CRM e a revalorização do ouro em 1980 geraram novo interesse de exploração desse minério na região (PORCHER; LOPES, 2000 apud FRIZZO, 2002). Entre</w:t>
      </w:r>
    </w:p>
    <w:p w:rsidR="00D81F69" w:rsidRDefault="00330118">
      <w:pPr>
        <w:pStyle w:val="Corpodetexto"/>
        <w:spacing w:before="2" w:line="312" w:lineRule="auto"/>
        <w:ind w:right="191"/>
      </w:pPr>
      <w:r>
        <w:t xml:space="preserve">as </w:t>
      </w:r>
      <w:r>
        <w:rPr>
          <w:spacing w:val="1"/>
        </w:rPr>
        <w:t xml:space="preserve">décadas </w:t>
      </w:r>
      <w:r>
        <w:t xml:space="preserve">de </w:t>
      </w:r>
      <w:r>
        <w:rPr>
          <w:spacing w:val="1"/>
        </w:rPr>
        <w:t>1970-8</w:t>
      </w:r>
      <w:r>
        <w:rPr>
          <w:spacing w:val="1"/>
        </w:rPr>
        <w:t xml:space="preserve">0, </w:t>
      </w:r>
      <w:r>
        <w:t xml:space="preserve">a </w:t>
      </w:r>
      <w:r>
        <w:rPr>
          <w:spacing w:val="1"/>
        </w:rPr>
        <w:t xml:space="preserve">Companhia Brasileira </w:t>
      </w:r>
      <w:r>
        <w:t xml:space="preserve">de </w:t>
      </w:r>
      <w:r>
        <w:rPr>
          <w:spacing w:val="2"/>
        </w:rPr>
        <w:t xml:space="preserve">Cobre </w:t>
      </w:r>
      <w:r>
        <w:rPr>
          <w:spacing w:val="3"/>
        </w:rPr>
        <w:t xml:space="preserve">(CBC) realizou trabalhos </w:t>
      </w:r>
      <w:r>
        <w:rPr>
          <w:spacing w:val="1"/>
        </w:rPr>
        <w:t xml:space="preserve">de </w:t>
      </w:r>
      <w:r>
        <w:rPr>
          <w:spacing w:val="3"/>
        </w:rPr>
        <w:t xml:space="preserve">prospecção </w:t>
      </w:r>
      <w:r>
        <w:rPr>
          <w:spacing w:val="1"/>
        </w:rPr>
        <w:t xml:space="preserve">em </w:t>
      </w:r>
      <w:r>
        <w:rPr>
          <w:spacing w:val="3"/>
        </w:rPr>
        <w:t xml:space="preserve">solo, rocha </w:t>
      </w:r>
      <w:r>
        <w:t xml:space="preserve">e sedimento de corrente, principalmente, nas minas Cerrito e </w:t>
      </w:r>
      <w:r>
        <w:rPr>
          <w:spacing w:val="7"/>
        </w:rPr>
        <w:t xml:space="preserve">Bloco </w:t>
      </w:r>
      <w:r>
        <w:rPr>
          <w:spacing w:val="5"/>
        </w:rPr>
        <w:t xml:space="preserve">do </w:t>
      </w:r>
      <w:r>
        <w:rPr>
          <w:spacing w:val="7"/>
        </w:rPr>
        <w:t xml:space="preserve">Butiá. </w:t>
      </w:r>
      <w:r>
        <w:rPr>
          <w:spacing w:val="5"/>
        </w:rPr>
        <w:t xml:space="preserve">Nas </w:t>
      </w:r>
      <w:r>
        <w:rPr>
          <w:spacing w:val="6"/>
        </w:rPr>
        <w:t xml:space="preserve">duas </w:t>
      </w:r>
      <w:r>
        <w:rPr>
          <w:spacing w:val="7"/>
        </w:rPr>
        <w:t xml:space="preserve">décadas </w:t>
      </w:r>
      <w:r>
        <w:rPr>
          <w:spacing w:val="8"/>
        </w:rPr>
        <w:t xml:space="preserve">seguintes, </w:t>
      </w:r>
      <w:r>
        <w:t xml:space="preserve">a </w:t>
      </w:r>
      <w:r>
        <w:rPr>
          <w:spacing w:val="10"/>
        </w:rPr>
        <w:t xml:space="preserve">CRM </w:t>
      </w:r>
      <w:r>
        <w:t xml:space="preserve">implantou um programa de exploração da Mina Volta Grande, </w:t>
      </w:r>
      <w:r>
        <w:rPr>
          <w:spacing w:val="5"/>
        </w:rPr>
        <w:t xml:space="preserve">mas com </w:t>
      </w:r>
      <w:r>
        <w:rPr>
          <w:spacing w:val="7"/>
        </w:rPr>
        <w:t xml:space="preserve">baixa </w:t>
      </w:r>
      <w:r>
        <w:rPr>
          <w:spacing w:val="8"/>
        </w:rPr>
        <w:t xml:space="preserve">produtividade (BONGIOLO, </w:t>
      </w:r>
      <w:r>
        <w:rPr>
          <w:spacing w:val="6"/>
        </w:rPr>
        <w:t xml:space="preserve">2002 </w:t>
      </w:r>
      <w:r>
        <w:rPr>
          <w:spacing w:val="10"/>
        </w:rPr>
        <w:t xml:space="preserve">apud </w:t>
      </w:r>
      <w:r>
        <w:rPr>
          <w:spacing w:val="7"/>
        </w:rPr>
        <w:t xml:space="preserve">BONGIOLO, 2006). Atuaram </w:t>
      </w:r>
      <w:r>
        <w:rPr>
          <w:spacing w:val="5"/>
        </w:rPr>
        <w:t xml:space="preserve">em </w:t>
      </w:r>
      <w:r>
        <w:rPr>
          <w:spacing w:val="7"/>
        </w:rPr>
        <w:t xml:space="preserve">Lavras </w:t>
      </w:r>
      <w:r>
        <w:rPr>
          <w:spacing w:val="5"/>
        </w:rPr>
        <w:t xml:space="preserve">do Sul </w:t>
      </w:r>
      <w:r>
        <w:rPr>
          <w:spacing w:val="10"/>
        </w:rPr>
        <w:t xml:space="preserve">nesse </w:t>
      </w:r>
      <w:r>
        <w:t xml:space="preserve">período, além da CRM, várias empresas privadas, entre elas  a </w:t>
      </w:r>
      <w:r>
        <w:rPr>
          <w:spacing w:val="6"/>
        </w:rPr>
        <w:t xml:space="preserve">Companhia </w:t>
      </w:r>
      <w:r>
        <w:rPr>
          <w:spacing w:val="3"/>
        </w:rPr>
        <w:t xml:space="preserve">de </w:t>
      </w:r>
      <w:r>
        <w:rPr>
          <w:spacing w:val="6"/>
        </w:rPr>
        <w:t xml:space="preserve">Mineração </w:t>
      </w:r>
      <w:r>
        <w:t xml:space="preserve">e </w:t>
      </w:r>
      <w:r>
        <w:rPr>
          <w:spacing w:val="6"/>
        </w:rPr>
        <w:t xml:space="preserve">Participações </w:t>
      </w:r>
      <w:r>
        <w:rPr>
          <w:spacing w:val="5"/>
        </w:rPr>
        <w:t xml:space="preserve">(CMP), </w:t>
      </w:r>
      <w:r>
        <w:rPr>
          <w:spacing w:val="7"/>
        </w:rPr>
        <w:t xml:space="preserve">na </w:t>
      </w:r>
      <w:r>
        <w:rPr>
          <w:spacing w:val="5"/>
        </w:rPr>
        <w:t xml:space="preserve">década </w:t>
      </w:r>
      <w:r>
        <w:rPr>
          <w:spacing w:val="2"/>
        </w:rPr>
        <w:t xml:space="preserve">de </w:t>
      </w:r>
      <w:r>
        <w:rPr>
          <w:spacing w:val="3"/>
        </w:rPr>
        <w:t xml:space="preserve">1980, </w:t>
      </w:r>
      <w:r>
        <w:t xml:space="preserve">e a </w:t>
      </w:r>
      <w:r>
        <w:rPr>
          <w:spacing w:val="3"/>
        </w:rPr>
        <w:t xml:space="preserve">CBC, </w:t>
      </w:r>
      <w:r>
        <w:t xml:space="preserve">a </w:t>
      </w:r>
      <w:r>
        <w:rPr>
          <w:spacing w:val="5"/>
        </w:rPr>
        <w:t xml:space="preserve">Placer </w:t>
      </w:r>
      <w:r>
        <w:rPr>
          <w:spacing w:val="3"/>
        </w:rPr>
        <w:t xml:space="preserve">Dome </w:t>
      </w:r>
      <w:r>
        <w:rPr>
          <w:spacing w:val="2"/>
        </w:rPr>
        <w:t xml:space="preserve">do </w:t>
      </w:r>
      <w:r>
        <w:rPr>
          <w:spacing w:val="5"/>
        </w:rPr>
        <w:t xml:space="preserve">Brasil </w:t>
      </w:r>
      <w:r>
        <w:t xml:space="preserve">e a </w:t>
      </w:r>
      <w:r>
        <w:rPr>
          <w:spacing w:val="3"/>
        </w:rPr>
        <w:t xml:space="preserve">Seahawk, </w:t>
      </w:r>
      <w:r>
        <w:rPr>
          <w:spacing w:val="1"/>
        </w:rPr>
        <w:t xml:space="preserve">na </w:t>
      </w:r>
      <w:r>
        <w:rPr>
          <w:spacing w:val="3"/>
        </w:rPr>
        <w:t xml:space="preserve">década </w:t>
      </w:r>
      <w:r>
        <w:rPr>
          <w:spacing w:val="1"/>
        </w:rPr>
        <w:t xml:space="preserve">de </w:t>
      </w:r>
      <w:r>
        <w:rPr>
          <w:spacing w:val="2"/>
        </w:rPr>
        <w:t xml:space="preserve">1990 </w:t>
      </w:r>
      <w:r>
        <w:rPr>
          <w:spacing w:val="3"/>
        </w:rPr>
        <w:t xml:space="preserve">(MINERAR, </w:t>
      </w:r>
      <w:r>
        <w:rPr>
          <w:spacing w:val="2"/>
        </w:rPr>
        <w:t xml:space="preserve">apud </w:t>
      </w:r>
      <w:r>
        <w:rPr>
          <w:spacing w:val="5"/>
        </w:rPr>
        <w:t xml:space="preserve">FRIZZO, </w:t>
      </w:r>
      <w:r>
        <w:t>2002). A partir de 2000, empresas multinacionais voltaram a ter interesse na região (BONGIOLO, 2002 apud BONGIOLO 2006).</w:t>
      </w:r>
    </w:p>
    <w:p w:rsidR="00D81F69" w:rsidRDefault="00330118">
      <w:pPr>
        <w:pStyle w:val="Corpodetexto"/>
        <w:spacing w:before="143" w:line="312" w:lineRule="auto"/>
        <w:ind w:right="187"/>
      </w:pPr>
      <w:r>
        <w:t>A maior parte do minér</w:t>
      </w:r>
      <w:r>
        <w:t xml:space="preserve">io extraído das diversas minas da região era carregada para um dos três moinhos de beneficiamento, conhecidos por Chiapetta, Paredão e Cerro Rico, que funcionaram em períodos distintos até a primeira metade do século XX. A amalgamação por </w:t>
      </w:r>
      <w:hyperlink r:id="rId1721">
        <w:r>
          <w:t>mercúrio</w:t>
        </w:r>
      </w:hyperlink>
      <w:r>
        <w:t xml:space="preserve"> foi realizada na região, por estes moinhos, faiscadores e, posteriormente, na década de 1980, pela CRM (GRAZIA; PESTANA, 2005).</w:t>
      </w:r>
    </w:p>
    <w:p w:rsidR="00D81F69" w:rsidRDefault="00330118">
      <w:pPr>
        <w:pStyle w:val="Corpodetexto"/>
        <w:spacing w:before="75" w:line="270" w:lineRule="atLeast"/>
        <w:ind w:right="192"/>
      </w:pPr>
      <w:r>
        <w:t xml:space="preserve">Com relação ao cobre, algumas ocorrências de </w:t>
      </w:r>
      <w:r>
        <w:t>veios cupríferos são conhecidas desde o início do século XIX, mais ou menos na época do início da exploração do ouro no município. Em 1873, a Companhia das Minas de Ouro e Cobre do Sul do Brasil foi autorizada a lavrar jazidas auríferas e cupríferas em Lav</w:t>
      </w:r>
      <w:r>
        <w:t>ras do Sul e no município vizinho de Caçapava do Sul. Existiam trabalhos de prospecção, mas, segundo relatórios técnicos posteriores, parece não ter havido extração. Somente em 1888, os alemães Maximiliano Saenger, Ricardo Saenger e Emílio Kleinod iniciara</w:t>
      </w:r>
      <w:r>
        <w:t>m a prospecção da jazida de cobre Camaquã (FRIZZO, 2002), no 3º distrito de Caçapava do Sul. O minério era então enviado</w:t>
      </w:r>
    </w:p>
    <w:p w:rsidR="00D81F69" w:rsidRDefault="00D81F69">
      <w:pPr>
        <w:spacing w:line="270" w:lineRule="atLeast"/>
        <w:sectPr w:rsidR="00D81F69">
          <w:type w:val="continuous"/>
          <w:pgSz w:w="11900" w:h="16840"/>
          <w:pgMar w:top="720" w:right="500" w:bottom="280" w:left="620" w:header="720" w:footer="720" w:gutter="0"/>
          <w:cols w:num="2" w:space="720" w:equalWidth="0">
            <w:col w:w="5214" w:space="256"/>
            <w:col w:w="5310"/>
          </w:cols>
        </w:sectPr>
      </w:pPr>
    </w:p>
    <w:p w:rsidR="00D81F69" w:rsidRDefault="00330118">
      <w:pPr>
        <w:pStyle w:val="Corpodetexto"/>
        <w:spacing w:before="81" w:line="312" w:lineRule="auto"/>
        <w:ind w:right="55"/>
      </w:pPr>
      <w:r>
        <w:lastRenderedPageBreak/>
        <w:t>para a Metalurgia da Caraíba Metais, em Camaçari, na Bahia, pelo porto de Rio Grande (MINAS DO CAMAQUÃ – VENHA CONHECER, 2010).</w:t>
      </w:r>
    </w:p>
    <w:p w:rsidR="00D81F69" w:rsidRDefault="00330118">
      <w:pPr>
        <w:pStyle w:val="Corpodetexto"/>
        <w:spacing w:before="133" w:line="312" w:lineRule="auto"/>
        <w:ind w:right="55"/>
      </w:pPr>
      <w:r>
        <w:t xml:space="preserve">Quanto aos impactos ambientais da exploração mineral em </w:t>
      </w:r>
      <w:r>
        <w:rPr>
          <w:spacing w:val="3"/>
        </w:rPr>
        <w:t xml:space="preserve">Lavras </w:t>
      </w:r>
      <w:r>
        <w:rPr>
          <w:spacing w:val="1"/>
        </w:rPr>
        <w:t xml:space="preserve">do </w:t>
      </w:r>
      <w:r>
        <w:rPr>
          <w:spacing w:val="2"/>
        </w:rPr>
        <w:t xml:space="preserve">Sul, </w:t>
      </w:r>
      <w:r>
        <w:rPr>
          <w:spacing w:val="1"/>
        </w:rPr>
        <w:t xml:space="preserve">um </w:t>
      </w:r>
      <w:r>
        <w:rPr>
          <w:spacing w:val="3"/>
        </w:rPr>
        <w:t xml:space="preserve">estudo realizado </w:t>
      </w:r>
      <w:r>
        <w:rPr>
          <w:spacing w:val="1"/>
        </w:rPr>
        <w:t xml:space="preserve">no </w:t>
      </w:r>
      <w:r>
        <w:rPr>
          <w:spacing w:val="3"/>
        </w:rPr>
        <w:t xml:space="preserve">escopo </w:t>
      </w:r>
      <w:r>
        <w:rPr>
          <w:spacing w:val="1"/>
        </w:rPr>
        <w:t xml:space="preserve">do </w:t>
      </w:r>
      <w:r>
        <w:rPr>
          <w:spacing w:val="5"/>
        </w:rPr>
        <w:t xml:space="preserve">projeto </w:t>
      </w:r>
      <w:r>
        <w:rPr>
          <w:spacing w:val="7"/>
        </w:rPr>
        <w:t>“Mercúrio antróp</w:t>
      </w:r>
      <w:r>
        <w:rPr>
          <w:spacing w:val="7"/>
        </w:rPr>
        <w:t xml:space="preserve">ico </w:t>
      </w:r>
      <w:r>
        <w:t xml:space="preserve">e </w:t>
      </w:r>
      <w:r>
        <w:rPr>
          <w:spacing w:val="7"/>
        </w:rPr>
        <w:t xml:space="preserve">outros elementos </w:t>
      </w:r>
      <w:r>
        <w:rPr>
          <w:spacing w:val="5"/>
        </w:rPr>
        <w:t xml:space="preserve">em </w:t>
      </w:r>
      <w:r>
        <w:rPr>
          <w:spacing w:val="10"/>
        </w:rPr>
        <w:t xml:space="preserve">drenagens </w:t>
      </w:r>
      <w:r>
        <w:t xml:space="preserve">associadas às minerações auríferas em Lavras do Sul” – que </w:t>
      </w:r>
      <w:r>
        <w:rPr>
          <w:spacing w:val="5"/>
        </w:rPr>
        <w:t xml:space="preserve">integra </w:t>
      </w:r>
      <w:r>
        <w:t xml:space="preserve">o </w:t>
      </w:r>
      <w:r>
        <w:rPr>
          <w:spacing w:val="6"/>
        </w:rPr>
        <w:t xml:space="preserve">Programa </w:t>
      </w:r>
      <w:r>
        <w:rPr>
          <w:spacing w:val="3"/>
        </w:rPr>
        <w:t xml:space="preserve">de </w:t>
      </w:r>
      <w:r>
        <w:rPr>
          <w:spacing w:val="6"/>
        </w:rPr>
        <w:t xml:space="preserve">Geologia </w:t>
      </w:r>
      <w:r>
        <w:rPr>
          <w:spacing w:val="5"/>
        </w:rPr>
        <w:t xml:space="preserve">Médica </w:t>
      </w:r>
      <w:r>
        <w:t xml:space="preserve">e </w:t>
      </w:r>
      <w:r>
        <w:rPr>
          <w:spacing w:val="7"/>
        </w:rPr>
        <w:t xml:space="preserve">Geoquímica </w:t>
      </w:r>
      <w:r>
        <w:rPr>
          <w:spacing w:val="5"/>
        </w:rPr>
        <w:t xml:space="preserve">Ambiental (PGAGEM), </w:t>
      </w:r>
      <w:r>
        <w:rPr>
          <w:spacing w:val="2"/>
        </w:rPr>
        <w:t xml:space="preserve">do </w:t>
      </w:r>
      <w:r>
        <w:rPr>
          <w:spacing w:val="5"/>
        </w:rPr>
        <w:t xml:space="preserve">Serviço Geológico </w:t>
      </w:r>
      <w:r>
        <w:rPr>
          <w:spacing w:val="2"/>
        </w:rPr>
        <w:t xml:space="preserve">do </w:t>
      </w:r>
      <w:r>
        <w:rPr>
          <w:spacing w:val="5"/>
        </w:rPr>
        <w:t xml:space="preserve">Brasil </w:t>
      </w:r>
      <w:r>
        <w:t xml:space="preserve">– </w:t>
      </w:r>
      <w:r>
        <w:rPr>
          <w:spacing w:val="1"/>
        </w:rPr>
        <w:t xml:space="preserve">constatou </w:t>
      </w:r>
      <w:r>
        <w:t xml:space="preserve">que a </w:t>
      </w:r>
      <w:r>
        <w:rPr>
          <w:spacing w:val="1"/>
        </w:rPr>
        <w:t xml:space="preserve">recuperação </w:t>
      </w:r>
      <w:r>
        <w:t xml:space="preserve">do </w:t>
      </w:r>
      <w:r>
        <w:rPr>
          <w:spacing w:val="1"/>
        </w:rPr>
        <w:t xml:space="preserve">ouro, feita </w:t>
      </w:r>
      <w:r>
        <w:rPr>
          <w:spacing w:val="2"/>
        </w:rPr>
        <w:t>historicamente</w:t>
      </w:r>
      <w:r>
        <w:rPr>
          <w:spacing w:val="2"/>
        </w:rPr>
        <w:t xml:space="preserve"> </w:t>
      </w:r>
      <w:r>
        <w:t xml:space="preserve">pela amalgamação com mercúrio, gerou áreas com passivos </w:t>
      </w:r>
      <w:r>
        <w:rPr>
          <w:spacing w:val="10"/>
        </w:rPr>
        <w:t xml:space="preserve">ambientais devido </w:t>
      </w:r>
      <w:r>
        <w:t xml:space="preserve">à </w:t>
      </w:r>
      <w:r>
        <w:rPr>
          <w:spacing w:val="10"/>
        </w:rPr>
        <w:t xml:space="preserve">persistência deste </w:t>
      </w:r>
      <w:r>
        <w:t xml:space="preserve">e </w:t>
      </w:r>
      <w:r>
        <w:rPr>
          <w:spacing w:val="5"/>
        </w:rPr>
        <w:t xml:space="preserve">de </w:t>
      </w:r>
      <w:r>
        <w:rPr>
          <w:spacing w:val="12"/>
        </w:rPr>
        <w:t xml:space="preserve">outros </w:t>
      </w:r>
      <w:r>
        <w:rPr>
          <w:spacing w:val="6"/>
        </w:rPr>
        <w:t xml:space="preserve">contaminantes </w:t>
      </w:r>
      <w:r>
        <w:rPr>
          <w:spacing w:val="3"/>
        </w:rPr>
        <w:t xml:space="preserve">no </w:t>
      </w:r>
      <w:r>
        <w:rPr>
          <w:spacing w:val="6"/>
        </w:rPr>
        <w:t xml:space="preserve">ambiente. </w:t>
      </w:r>
      <w:r>
        <w:rPr>
          <w:spacing w:val="5"/>
        </w:rPr>
        <w:t xml:space="preserve">Além </w:t>
      </w:r>
      <w:r>
        <w:rPr>
          <w:spacing w:val="3"/>
        </w:rPr>
        <w:t xml:space="preserve">da </w:t>
      </w:r>
      <w:r>
        <w:rPr>
          <w:spacing w:val="6"/>
        </w:rPr>
        <w:t xml:space="preserve">contaminação </w:t>
      </w:r>
      <w:r>
        <w:rPr>
          <w:spacing w:val="7"/>
        </w:rPr>
        <w:t xml:space="preserve">de </w:t>
      </w:r>
      <w:r>
        <w:t xml:space="preserve">origem antrópica, proveniente de rejeitos do beneficiamento de minério aurífero, dos desmontes mineiros e de perdas por </w:t>
      </w:r>
      <w:r>
        <w:rPr>
          <w:spacing w:val="8"/>
        </w:rPr>
        <w:t xml:space="preserve">garimpeiros </w:t>
      </w:r>
      <w:r>
        <w:rPr>
          <w:spacing w:val="7"/>
        </w:rPr>
        <w:t xml:space="preserve">durante </w:t>
      </w:r>
      <w:r>
        <w:t xml:space="preserve">a </w:t>
      </w:r>
      <w:r>
        <w:rPr>
          <w:spacing w:val="8"/>
        </w:rPr>
        <w:t xml:space="preserve">amalgamação </w:t>
      </w:r>
      <w:r>
        <w:rPr>
          <w:spacing w:val="5"/>
        </w:rPr>
        <w:t xml:space="preserve">de </w:t>
      </w:r>
      <w:r>
        <w:rPr>
          <w:spacing w:val="10"/>
        </w:rPr>
        <w:t xml:space="preserve">concentrados </w:t>
      </w:r>
      <w:r>
        <w:rPr>
          <w:spacing w:val="1"/>
        </w:rPr>
        <w:t xml:space="preserve">auríferos, </w:t>
      </w:r>
      <w:r>
        <w:t xml:space="preserve">foi </w:t>
      </w:r>
      <w:r>
        <w:rPr>
          <w:spacing w:val="1"/>
        </w:rPr>
        <w:t xml:space="preserve">detectada também contaminação residual </w:t>
      </w:r>
      <w:r>
        <w:rPr>
          <w:spacing w:val="2"/>
        </w:rPr>
        <w:t xml:space="preserve">por </w:t>
      </w:r>
      <w:r>
        <w:rPr>
          <w:spacing w:val="8"/>
        </w:rPr>
        <w:t xml:space="preserve">mercúrio </w:t>
      </w:r>
      <w:r>
        <w:rPr>
          <w:spacing w:val="5"/>
        </w:rPr>
        <w:t xml:space="preserve">na </w:t>
      </w:r>
      <w:r>
        <w:rPr>
          <w:spacing w:val="8"/>
        </w:rPr>
        <w:t xml:space="preserve">vizinhança </w:t>
      </w:r>
      <w:r>
        <w:rPr>
          <w:spacing w:val="5"/>
        </w:rPr>
        <w:t xml:space="preserve">de </w:t>
      </w:r>
      <w:r>
        <w:rPr>
          <w:spacing w:val="8"/>
        </w:rPr>
        <w:t>al</w:t>
      </w:r>
      <w:r>
        <w:rPr>
          <w:spacing w:val="8"/>
        </w:rPr>
        <w:t xml:space="preserve">gumas </w:t>
      </w:r>
      <w:r>
        <w:rPr>
          <w:spacing w:val="6"/>
        </w:rPr>
        <w:t xml:space="preserve">das </w:t>
      </w:r>
      <w:r>
        <w:rPr>
          <w:spacing w:val="8"/>
        </w:rPr>
        <w:t xml:space="preserve">unidades </w:t>
      </w:r>
      <w:r>
        <w:rPr>
          <w:spacing w:val="10"/>
        </w:rPr>
        <w:t xml:space="preserve">de </w:t>
      </w:r>
      <w:r>
        <w:t>beneficiamento do ouro em amostras de solos coletadas na área da CRM e do Moinho Chiapetta (PESTANA; FORMOSO, 2003 apud GRAZIA; PESTANA, 2005) e em uma amostra de sedimento coletada na lagoa de tratamento do moinho Cerro Rico (PESTANA</w:t>
      </w:r>
      <w:r>
        <w:t xml:space="preserve"> et al., 2000 apud GRAZIA; PESTANA,</w:t>
      </w:r>
      <w:r>
        <w:rPr>
          <w:spacing w:val="15"/>
        </w:rPr>
        <w:t xml:space="preserve"> </w:t>
      </w:r>
      <w:r>
        <w:t>2005).</w:t>
      </w:r>
    </w:p>
    <w:p w:rsidR="00D81F69" w:rsidRDefault="00330118">
      <w:pPr>
        <w:pStyle w:val="Corpodetexto"/>
        <w:spacing w:before="18" w:line="312" w:lineRule="auto"/>
        <w:ind w:right="54"/>
      </w:pPr>
      <w:r>
        <w:t>Foi detectada, ainda, na região, contaminação de origem geológica, oriunda de sulfetos polimetálicos (PESTANA et al., 2000 apud GRAZIA; PESTANA, 2008).</w:t>
      </w:r>
    </w:p>
    <w:p w:rsidR="00D81F69" w:rsidRDefault="00330118">
      <w:pPr>
        <w:pStyle w:val="Corpodetexto"/>
        <w:spacing w:before="133" w:line="312" w:lineRule="auto"/>
        <w:ind w:right="38"/>
      </w:pPr>
      <w:r>
        <w:t>Num estudo para calcular fatores de contaminação nas amostras</w:t>
      </w:r>
      <w:r>
        <w:t xml:space="preserve"> de solos situados nas áreas de beneficiamento de ouro, o mercúrio apresentou os maiores fatores de contaminação, seguido por chumbo, cobre e </w:t>
      </w:r>
      <w:hyperlink r:id="rId1722">
        <w:r>
          <w:t>arsênio.</w:t>
        </w:r>
      </w:hyperlink>
      <w:r>
        <w:t xml:space="preserve"> Os solos mais c</w:t>
      </w:r>
      <w:r>
        <w:t xml:space="preserve">ontaminados para mercúrio e arsênio foram coletados no interior do moinho Chiapetta e na área da CRM, mostrando associação com perdas no processo de amalgamação. As amostras mais contaminadas para arsênio, </w:t>
      </w:r>
      <w:hyperlink r:id="rId1723">
        <w:r>
          <w:t xml:space="preserve">cádmio, </w:t>
        </w:r>
      </w:hyperlink>
      <w:r>
        <w:t xml:space="preserve">chumbo e zinco foram coletadas no moinho Chiapetta (interior e exterior) e para cobre, no moinho Cerro Rico. Os elementos com fraca ou nenhuma associação com a mineralização sulfetada, como </w:t>
      </w:r>
      <w:hyperlink r:id="rId1724">
        <w:r>
          <w:t>ferro</w:t>
        </w:r>
      </w:hyperlink>
      <w:r>
        <w:t xml:space="preserve"> e </w:t>
      </w:r>
      <w:hyperlink r:id="rId1725">
        <w:r>
          <w:t xml:space="preserve">manganês, </w:t>
        </w:r>
      </w:hyperlink>
      <w:r>
        <w:t>apresentaram os menores fatores de contaminação (GRAZIA; PESTANA, 2005).</w:t>
      </w:r>
    </w:p>
    <w:p w:rsidR="00D81F69" w:rsidRDefault="00330118">
      <w:pPr>
        <w:pStyle w:val="Corpodetexto"/>
        <w:spacing w:before="143" w:line="312" w:lineRule="auto"/>
        <w:ind w:right="53"/>
      </w:pPr>
      <w:r>
        <w:rPr>
          <w:spacing w:val="1"/>
        </w:rPr>
        <w:t>Em</w:t>
      </w:r>
      <w:r>
        <w:rPr>
          <w:spacing w:val="1"/>
        </w:rPr>
        <w:t xml:space="preserve"> </w:t>
      </w:r>
      <w:r>
        <w:rPr>
          <w:spacing w:val="3"/>
        </w:rPr>
        <w:t xml:space="preserve">Lavras </w:t>
      </w:r>
      <w:r>
        <w:rPr>
          <w:spacing w:val="1"/>
        </w:rPr>
        <w:t xml:space="preserve">do </w:t>
      </w:r>
      <w:r>
        <w:rPr>
          <w:spacing w:val="2"/>
        </w:rPr>
        <w:t xml:space="preserve">Sul, </w:t>
      </w:r>
      <w:r>
        <w:t xml:space="preserve">a </w:t>
      </w:r>
      <w:r>
        <w:rPr>
          <w:spacing w:val="3"/>
        </w:rPr>
        <w:t xml:space="preserve">principal </w:t>
      </w:r>
      <w:r>
        <w:rPr>
          <w:spacing w:val="2"/>
        </w:rPr>
        <w:t xml:space="preserve">via </w:t>
      </w:r>
      <w:r>
        <w:rPr>
          <w:spacing w:val="1"/>
        </w:rPr>
        <w:t xml:space="preserve">de </w:t>
      </w:r>
      <w:r>
        <w:rPr>
          <w:spacing w:val="3"/>
        </w:rPr>
        <w:t xml:space="preserve">exposição </w:t>
      </w:r>
      <w:r>
        <w:rPr>
          <w:spacing w:val="1"/>
        </w:rPr>
        <w:t xml:space="preserve">de </w:t>
      </w:r>
      <w:r>
        <w:rPr>
          <w:spacing w:val="5"/>
        </w:rPr>
        <w:t xml:space="preserve">metais </w:t>
      </w:r>
      <w:r>
        <w:t xml:space="preserve">pesados para a saúde humana é o solo. A comparação dos </w:t>
      </w:r>
      <w:r>
        <w:rPr>
          <w:spacing w:val="5"/>
        </w:rPr>
        <w:t xml:space="preserve">dados obtidos </w:t>
      </w:r>
      <w:r>
        <w:rPr>
          <w:spacing w:val="3"/>
        </w:rPr>
        <w:t xml:space="preserve">em </w:t>
      </w:r>
      <w:r>
        <w:rPr>
          <w:spacing w:val="5"/>
        </w:rPr>
        <w:t xml:space="preserve">solos </w:t>
      </w:r>
      <w:r>
        <w:rPr>
          <w:spacing w:val="6"/>
        </w:rPr>
        <w:t xml:space="preserve">contaminados </w:t>
      </w:r>
      <w:r>
        <w:rPr>
          <w:spacing w:val="5"/>
        </w:rPr>
        <w:t xml:space="preserve">com valores </w:t>
      </w:r>
      <w:r>
        <w:rPr>
          <w:spacing w:val="7"/>
        </w:rPr>
        <w:t xml:space="preserve">de </w:t>
      </w:r>
      <w:r>
        <w:t xml:space="preserve">orientação adotados pela Companhia Ambiental do Estado de </w:t>
      </w:r>
      <w:r>
        <w:rPr>
          <w:spacing w:val="5"/>
        </w:rPr>
        <w:t xml:space="preserve">São </w:t>
      </w:r>
      <w:r>
        <w:rPr>
          <w:spacing w:val="7"/>
        </w:rPr>
        <w:t xml:space="preserve">Paulo (Cetesb) indicou </w:t>
      </w:r>
      <w:r>
        <w:rPr>
          <w:spacing w:val="5"/>
        </w:rPr>
        <w:t xml:space="preserve">que as </w:t>
      </w:r>
      <w:r>
        <w:rPr>
          <w:spacing w:val="8"/>
        </w:rPr>
        <w:t>con</w:t>
      </w:r>
      <w:r>
        <w:rPr>
          <w:spacing w:val="8"/>
        </w:rPr>
        <w:t xml:space="preserve">centrações </w:t>
      </w:r>
      <w:r>
        <w:rPr>
          <w:spacing w:val="10"/>
        </w:rPr>
        <w:t xml:space="preserve">de </w:t>
      </w:r>
      <w:r>
        <w:t xml:space="preserve">mercúrio, cobre e arsênio superaram os respectivos valores de intervenção para solos de uso residencial em 100% </w:t>
      </w:r>
      <w:r>
        <w:rPr>
          <w:spacing w:val="1"/>
        </w:rPr>
        <w:t xml:space="preserve">das amostras, </w:t>
      </w:r>
      <w:r>
        <w:t xml:space="preserve">e as de </w:t>
      </w:r>
      <w:r>
        <w:rPr>
          <w:spacing w:val="1"/>
        </w:rPr>
        <w:t xml:space="preserve">chumbo, </w:t>
      </w:r>
      <w:r>
        <w:t xml:space="preserve">em 75% </w:t>
      </w:r>
      <w:r>
        <w:rPr>
          <w:spacing w:val="1"/>
        </w:rPr>
        <w:t xml:space="preserve">delas, indicando </w:t>
      </w:r>
      <w:r>
        <w:rPr>
          <w:spacing w:val="2"/>
        </w:rPr>
        <w:t xml:space="preserve">risco </w:t>
      </w:r>
      <w:r>
        <w:t xml:space="preserve">potencial à saúde humana. O </w:t>
      </w:r>
      <w:hyperlink r:id="rId1726">
        <w:r>
          <w:t xml:space="preserve">zinco </w:t>
        </w:r>
      </w:hyperlink>
      <w:r>
        <w:t xml:space="preserve">superou o valor de alerta em 50% das amostras coletadas em áreas de beneficiamento </w:t>
      </w:r>
      <w:r>
        <w:rPr>
          <w:spacing w:val="1"/>
        </w:rPr>
        <w:t xml:space="preserve">do </w:t>
      </w:r>
      <w:r>
        <w:rPr>
          <w:spacing w:val="3"/>
        </w:rPr>
        <w:t xml:space="preserve">minério, </w:t>
      </w:r>
      <w:r>
        <w:rPr>
          <w:spacing w:val="2"/>
        </w:rPr>
        <w:t xml:space="preserve">mais </w:t>
      </w:r>
      <w:r>
        <w:rPr>
          <w:spacing w:val="3"/>
        </w:rPr>
        <w:t xml:space="preserve">especificamente </w:t>
      </w:r>
      <w:r>
        <w:rPr>
          <w:spacing w:val="1"/>
        </w:rPr>
        <w:t xml:space="preserve">em </w:t>
      </w:r>
      <w:r>
        <w:rPr>
          <w:spacing w:val="3"/>
        </w:rPr>
        <w:t xml:space="preserve">ambas </w:t>
      </w:r>
      <w:r>
        <w:rPr>
          <w:spacing w:val="1"/>
        </w:rPr>
        <w:t xml:space="preserve">as </w:t>
      </w:r>
      <w:r>
        <w:rPr>
          <w:spacing w:val="5"/>
        </w:rPr>
        <w:t xml:space="preserve">amostras </w:t>
      </w:r>
      <w:r>
        <w:t>coletadas</w:t>
      </w:r>
      <w:r>
        <w:rPr>
          <w:spacing w:val="25"/>
        </w:rPr>
        <w:t xml:space="preserve"> </w:t>
      </w:r>
      <w:r>
        <w:t>no</w:t>
      </w:r>
      <w:r>
        <w:rPr>
          <w:spacing w:val="25"/>
        </w:rPr>
        <w:t xml:space="preserve"> </w:t>
      </w:r>
      <w:r>
        <w:t>moinho</w:t>
      </w:r>
      <w:r>
        <w:rPr>
          <w:spacing w:val="25"/>
        </w:rPr>
        <w:t xml:space="preserve"> </w:t>
      </w:r>
      <w:r>
        <w:t>Chia</w:t>
      </w:r>
      <w:r>
        <w:t>petta</w:t>
      </w:r>
      <w:r>
        <w:rPr>
          <w:spacing w:val="25"/>
        </w:rPr>
        <w:t xml:space="preserve"> </w:t>
      </w:r>
      <w:r>
        <w:t>(GRAZIA;</w:t>
      </w:r>
      <w:r>
        <w:rPr>
          <w:spacing w:val="25"/>
        </w:rPr>
        <w:t xml:space="preserve"> </w:t>
      </w:r>
      <w:r>
        <w:t>PESTANA,</w:t>
      </w:r>
      <w:r>
        <w:rPr>
          <w:spacing w:val="25"/>
        </w:rPr>
        <w:t xml:space="preserve"> </w:t>
      </w:r>
      <w:r>
        <w:t>2005).</w:t>
      </w:r>
    </w:p>
    <w:p w:rsidR="00D81F69" w:rsidRDefault="00330118">
      <w:pPr>
        <w:pStyle w:val="Corpodetexto"/>
        <w:spacing w:before="78" w:line="270" w:lineRule="atLeast"/>
        <w:ind w:right="66"/>
      </w:pPr>
      <w:r>
        <w:t>Estudos também constataram que, até o ano de 1981, o estéril e o rejeito da CBC eram depositados em locais impróprios, como a área de várzea da Microbacia Hidrográfica</w:t>
      </w:r>
    </w:p>
    <w:p w:rsidR="00D81F69" w:rsidRDefault="00330118">
      <w:pPr>
        <w:pStyle w:val="Corpodetexto"/>
        <w:spacing w:before="81" w:line="312" w:lineRule="auto"/>
        <w:ind w:right="191"/>
      </w:pPr>
      <w:r>
        <w:br w:type="column"/>
      </w:r>
      <w:r>
        <w:lastRenderedPageBreak/>
        <w:t>do Arroio João Dias (MBHAJD), e também em depressões cir</w:t>
      </w:r>
      <w:r>
        <w:t>cunvizinhas à mina. Informações citadas pelo relatório da Rio Doce Geologia e Mineração S/A (Docegeo), de 1975, indicam que a maior parte era depositada nas margens do Arroio João Dias, sempre abaixo da represa Belga, na barragem denominada Água Limpa, que</w:t>
      </w:r>
      <w:r>
        <w:t xml:space="preserve"> possui esta denominação por conter água de boa qualidade para consumo humano, diferentemente da água que entrava em contato com o rejeito abaixo da represa (BRUCH et al., 2006).</w:t>
      </w:r>
    </w:p>
    <w:p w:rsidR="00D81F69" w:rsidRDefault="00330118">
      <w:pPr>
        <w:pStyle w:val="Corpodetexto"/>
        <w:spacing w:before="138" w:line="312" w:lineRule="auto"/>
        <w:ind w:right="209"/>
      </w:pPr>
      <w:r>
        <w:t>Outro problema diagnosticado no Arroio João Dias, entre a represa Belga e a f</w:t>
      </w:r>
      <w:r>
        <w:t xml:space="preserve">oz, no Rio Camaquã, foi o acentuado grau </w:t>
      </w:r>
      <w:r>
        <w:rPr>
          <w:spacing w:val="1"/>
        </w:rPr>
        <w:t xml:space="preserve">de </w:t>
      </w:r>
      <w:r>
        <w:rPr>
          <w:spacing w:val="3"/>
        </w:rPr>
        <w:t xml:space="preserve">assoreamento </w:t>
      </w:r>
      <w:r>
        <w:rPr>
          <w:spacing w:val="1"/>
        </w:rPr>
        <w:t xml:space="preserve">do </w:t>
      </w:r>
      <w:r>
        <w:rPr>
          <w:spacing w:val="3"/>
        </w:rPr>
        <w:t xml:space="preserve">leito, causado, provavelmente, </w:t>
      </w:r>
      <w:r>
        <w:rPr>
          <w:spacing w:val="5"/>
        </w:rPr>
        <w:t xml:space="preserve">pelo deslocamento </w:t>
      </w:r>
      <w:r>
        <w:rPr>
          <w:spacing w:val="2"/>
        </w:rPr>
        <w:t xml:space="preserve">do </w:t>
      </w:r>
      <w:r>
        <w:rPr>
          <w:spacing w:val="3"/>
        </w:rPr>
        <w:t xml:space="preserve">leito </w:t>
      </w:r>
      <w:r>
        <w:rPr>
          <w:spacing w:val="2"/>
        </w:rPr>
        <w:t xml:space="preserve">do </w:t>
      </w:r>
      <w:r>
        <w:rPr>
          <w:spacing w:val="5"/>
        </w:rPr>
        <w:t xml:space="preserve">arroio, </w:t>
      </w:r>
      <w:r>
        <w:rPr>
          <w:spacing w:val="3"/>
        </w:rPr>
        <w:t xml:space="preserve">fruto </w:t>
      </w:r>
      <w:r>
        <w:rPr>
          <w:spacing w:val="2"/>
        </w:rPr>
        <w:t xml:space="preserve">da </w:t>
      </w:r>
      <w:r>
        <w:rPr>
          <w:spacing w:val="5"/>
        </w:rPr>
        <w:t>construção da</w:t>
      </w:r>
      <w:r>
        <w:rPr>
          <w:spacing w:val="61"/>
        </w:rPr>
        <w:t xml:space="preserve"> </w:t>
      </w:r>
      <w:r>
        <w:t>barragem de rejeitos e da deposição destes rejeitos (BRUCH et al., 2006).</w:t>
      </w:r>
    </w:p>
    <w:p w:rsidR="00D81F69" w:rsidRDefault="00330118">
      <w:pPr>
        <w:pStyle w:val="Corpodetexto"/>
        <w:spacing w:before="136" w:line="312" w:lineRule="auto"/>
        <w:ind w:right="192"/>
      </w:pPr>
      <w:r>
        <w:rPr>
          <w:spacing w:val="7"/>
        </w:rPr>
        <w:t xml:space="preserve">Alguns pontos, ainda </w:t>
      </w:r>
      <w:r>
        <w:rPr>
          <w:spacing w:val="5"/>
        </w:rPr>
        <w:t xml:space="preserve">em </w:t>
      </w:r>
      <w:r>
        <w:rPr>
          <w:spacing w:val="6"/>
        </w:rPr>
        <w:t xml:space="preserve">fase </w:t>
      </w:r>
      <w:r>
        <w:rPr>
          <w:spacing w:val="5"/>
        </w:rPr>
        <w:t>d</w:t>
      </w:r>
      <w:r>
        <w:rPr>
          <w:spacing w:val="5"/>
        </w:rPr>
        <w:t xml:space="preserve">e </w:t>
      </w:r>
      <w:r>
        <w:rPr>
          <w:spacing w:val="8"/>
        </w:rPr>
        <w:t xml:space="preserve">mapeamento, </w:t>
      </w:r>
      <w:r>
        <w:rPr>
          <w:spacing w:val="10"/>
        </w:rPr>
        <w:t xml:space="preserve">foram </w:t>
      </w:r>
      <w:r>
        <w:rPr>
          <w:spacing w:val="3"/>
        </w:rPr>
        <w:t xml:space="preserve">reflorestados </w:t>
      </w:r>
      <w:r>
        <w:rPr>
          <w:spacing w:val="2"/>
        </w:rPr>
        <w:t xml:space="preserve">pela CBC com </w:t>
      </w:r>
      <w:r>
        <w:rPr>
          <w:spacing w:val="3"/>
        </w:rPr>
        <w:t xml:space="preserve">Pinus eliotys, </w:t>
      </w:r>
      <w:r>
        <w:rPr>
          <w:spacing w:val="2"/>
        </w:rPr>
        <w:t xml:space="preserve">para </w:t>
      </w:r>
      <w:r>
        <w:rPr>
          <w:spacing w:val="3"/>
        </w:rPr>
        <w:t xml:space="preserve">diminuir </w:t>
      </w:r>
      <w:r>
        <w:t xml:space="preserve">a erosão das margens. No entanto, a ação não surtiu o </w:t>
      </w:r>
      <w:r>
        <w:rPr>
          <w:spacing w:val="1"/>
        </w:rPr>
        <w:t xml:space="preserve">efeito </w:t>
      </w:r>
      <w:r>
        <w:t xml:space="preserve">desejado, pois as raízes da Pinus são pouco profundas, não favorecendo a fixação do solo. Sendo assim, foi recomendado </w:t>
      </w:r>
      <w:r>
        <w:t xml:space="preserve">o </w:t>
      </w:r>
      <w:r>
        <w:rPr>
          <w:spacing w:val="10"/>
        </w:rPr>
        <w:t xml:space="preserve">plantio </w:t>
      </w:r>
      <w:r>
        <w:rPr>
          <w:spacing w:val="5"/>
        </w:rPr>
        <w:t xml:space="preserve">de </w:t>
      </w:r>
      <w:r>
        <w:rPr>
          <w:spacing w:val="10"/>
        </w:rPr>
        <w:t xml:space="preserve">espécies nativas frutíferas </w:t>
      </w:r>
      <w:r>
        <w:t xml:space="preserve">e </w:t>
      </w:r>
      <w:r>
        <w:rPr>
          <w:spacing w:val="5"/>
        </w:rPr>
        <w:t xml:space="preserve">de </w:t>
      </w:r>
      <w:r>
        <w:rPr>
          <w:spacing w:val="11"/>
        </w:rPr>
        <w:t xml:space="preserve">rápido </w:t>
      </w:r>
      <w:r>
        <w:t xml:space="preserve">crescimento. Recomendou-se ainda a dragagem em </w:t>
      </w:r>
      <w:r>
        <w:rPr>
          <w:spacing w:val="1"/>
        </w:rPr>
        <w:t xml:space="preserve">pontos </w:t>
      </w:r>
      <w:r>
        <w:t xml:space="preserve">específicos, para favorecer o fluxo natural do arroio em </w:t>
      </w:r>
      <w:r>
        <w:rPr>
          <w:spacing w:val="1"/>
        </w:rPr>
        <w:t xml:space="preserve">seu </w:t>
      </w:r>
      <w:r>
        <w:rPr>
          <w:spacing w:val="3"/>
        </w:rPr>
        <w:t xml:space="preserve">leito </w:t>
      </w:r>
      <w:r>
        <w:rPr>
          <w:spacing w:val="5"/>
        </w:rPr>
        <w:t xml:space="preserve">original </w:t>
      </w:r>
      <w:r>
        <w:rPr>
          <w:spacing w:val="2"/>
        </w:rPr>
        <w:t xml:space="preserve">ou </w:t>
      </w:r>
      <w:r>
        <w:rPr>
          <w:spacing w:val="5"/>
        </w:rPr>
        <w:t xml:space="preserve">calha, </w:t>
      </w:r>
      <w:r>
        <w:t xml:space="preserve">e </w:t>
      </w:r>
      <w:r>
        <w:rPr>
          <w:spacing w:val="5"/>
        </w:rPr>
        <w:t xml:space="preserve">diminuir </w:t>
      </w:r>
      <w:r>
        <w:t xml:space="preserve">a </w:t>
      </w:r>
      <w:r>
        <w:rPr>
          <w:spacing w:val="5"/>
        </w:rPr>
        <w:t xml:space="preserve">erosão </w:t>
      </w:r>
      <w:r>
        <w:rPr>
          <w:spacing w:val="3"/>
        </w:rPr>
        <w:t xml:space="preserve">das </w:t>
      </w:r>
      <w:r>
        <w:rPr>
          <w:spacing w:val="5"/>
        </w:rPr>
        <w:t>margens</w:t>
      </w:r>
      <w:r>
        <w:rPr>
          <w:spacing w:val="61"/>
        </w:rPr>
        <w:t xml:space="preserve"> </w:t>
      </w:r>
      <w:r>
        <w:t>artificiais. Indicou-se também estudo mais detalhado das reais condições de uso dos solos agricultáveis nas áreas vizinhas ao Arroio João Dias, para quantificar e mapear os pontos que, de alguma forma, possam impactar negativamente a área e, em escala maio</w:t>
      </w:r>
      <w:r>
        <w:t xml:space="preserve">r, os problemas que estes impactos podem </w:t>
      </w:r>
      <w:r>
        <w:rPr>
          <w:spacing w:val="1"/>
        </w:rPr>
        <w:t xml:space="preserve">causar </w:t>
      </w:r>
      <w:r>
        <w:t xml:space="preserve">aos </w:t>
      </w:r>
      <w:r>
        <w:rPr>
          <w:spacing w:val="1"/>
        </w:rPr>
        <w:t xml:space="preserve">moradores ribeirinhos </w:t>
      </w:r>
      <w:r>
        <w:t xml:space="preserve">do </w:t>
      </w:r>
      <w:r>
        <w:rPr>
          <w:spacing w:val="1"/>
        </w:rPr>
        <w:t xml:space="preserve">arroio (BRUCH </w:t>
      </w:r>
      <w:r>
        <w:t xml:space="preserve">et </w:t>
      </w:r>
      <w:r>
        <w:rPr>
          <w:spacing w:val="2"/>
        </w:rPr>
        <w:t>al., 2006).</w:t>
      </w:r>
    </w:p>
    <w:p w:rsidR="00D81F69" w:rsidRDefault="00330118">
      <w:pPr>
        <w:pStyle w:val="Corpodetexto"/>
        <w:spacing w:before="144" w:line="312" w:lineRule="auto"/>
        <w:ind w:right="204"/>
      </w:pPr>
      <w:r>
        <w:t xml:space="preserve">Outros impactos ambientais podem ocorrer na região com a perspectiva de implantação de novos empreendimentos minerários. A disparada do preço do ouro </w:t>
      </w:r>
      <w:r>
        <w:t>na última década reacendeu o interesse pelas reservas gaúchas do metal precioso. Jazidas já conhecidas, antigos garimpos e novas áreas com potencial incrustadas no Escudo Sul-Rio- Grandense são alvo de trabalho de pesquisa para detectar pontos promissores,</w:t>
      </w:r>
      <w:r>
        <w:t xml:space="preserve"> ampliar reservas existentes e tornar rentável a exploração da riqueza que repousa no subsolo (CIGANA, 2010).</w:t>
      </w:r>
    </w:p>
    <w:p w:rsidR="00D81F69" w:rsidRDefault="00330118">
      <w:pPr>
        <w:pStyle w:val="Corpodetexto"/>
        <w:spacing w:before="140" w:line="312" w:lineRule="auto"/>
        <w:ind w:right="194"/>
      </w:pPr>
      <w:r>
        <w:t>Essa nova corrida do ouro é demonstrada pela explosão de requerimentos de autorização, no Departamento Nacional de Produção Mineral (DNPM), para p</w:t>
      </w:r>
      <w:r>
        <w:t>esquisas nos municípios de Lavras do Sul, Caçapava do Sul, Vila Nova do Sul e São Sepé. Conforme cadastro do Departamento, chegam a 162 os processos ativos de prospecção, oito vezes mais do que há apenas seis anos. Depósitos conhecidos de cobre e zinco vol</w:t>
      </w:r>
      <w:r>
        <w:t>tam a despertar a atenção de uma lista de empresas, que inclui gigantes do setor como Votorantim Metais e Anglo American, e também podem dar um impulso para recolocar o estado no mapa da mineração de metais básicos (CIGANA, 2010).</w:t>
      </w:r>
    </w:p>
    <w:p w:rsidR="00D81F69" w:rsidRDefault="00330118">
      <w:pPr>
        <w:pStyle w:val="Corpodetexto"/>
        <w:spacing w:before="141"/>
      </w:pPr>
      <w:r>
        <w:t>Uma das pesquisas mais ad</w:t>
      </w:r>
      <w:r>
        <w:t>iantadas é a da canadense</w:t>
      </w:r>
    </w:p>
    <w:p w:rsidR="00D81F69" w:rsidRDefault="00D81F69">
      <w:pPr>
        <w:sectPr w:rsidR="00D81F69">
          <w:pgSz w:w="11900" w:h="16840"/>
          <w:pgMar w:top="740" w:right="500" w:bottom="620" w:left="620" w:header="0" w:footer="402" w:gutter="0"/>
          <w:cols w:num="2" w:space="720" w:equalWidth="0">
            <w:col w:w="5169" w:space="301"/>
            <w:col w:w="5310"/>
          </w:cols>
        </w:sectPr>
      </w:pPr>
    </w:p>
    <w:p w:rsidR="00D81F69" w:rsidRDefault="00330118">
      <w:pPr>
        <w:pStyle w:val="Corpodetexto"/>
        <w:spacing w:before="81" w:line="312" w:lineRule="auto"/>
        <w:ind w:right="49"/>
      </w:pPr>
      <w:r>
        <w:lastRenderedPageBreak/>
        <w:t>Amarillo Mineração, em Lavras do Sul. Conforme o DNPM, uma das áreas tem reserva comprovada de 12 toneladas de ouro. O esforço é para elevar o depósito para pelo menos 20 toneladas, o que permitiria a abertura de uma mina (CIGANA, 2010)</w:t>
      </w:r>
    </w:p>
    <w:p w:rsidR="00D81F69" w:rsidRDefault="00D81F69">
      <w:pPr>
        <w:pStyle w:val="Corpodetexto"/>
        <w:spacing w:before="4"/>
        <w:ind w:left="0"/>
        <w:jc w:val="left"/>
        <w:rPr>
          <w:sz w:val="21"/>
        </w:rPr>
      </w:pPr>
    </w:p>
    <w:p w:rsidR="00D81F69" w:rsidRDefault="00330118">
      <w:pPr>
        <w:pStyle w:val="Heading7"/>
        <w:jc w:val="left"/>
      </w:pPr>
      <w:r>
        <w:t>LOCALIZAÇÃO GEOGRÁ</w:t>
      </w:r>
      <w:r>
        <w:t>FICA</w:t>
      </w:r>
    </w:p>
    <w:p w:rsidR="00D81F69" w:rsidRDefault="00330118">
      <w:pPr>
        <w:pStyle w:val="Corpodetexto"/>
        <w:spacing w:before="179" w:line="312" w:lineRule="auto"/>
        <w:ind w:right="69"/>
      </w:pPr>
      <w:r>
        <w:t xml:space="preserve">No município de Lavras do Sul, as minas estão localizadas </w:t>
      </w:r>
      <w:r>
        <w:rPr>
          <w:spacing w:val="3"/>
        </w:rPr>
        <w:t xml:space="preserve">próximo </w:t>
      </w:r>
      <w:r>
        <w:rPr>
          <w:spacing w:val="1"/>
        </w:rPr>
        <w:t xml:space="preserve">ao </w:t>
      </w:r>
      <w:r>
        <w:rPr>
          <w:spacing w:val="3"/>
        </w:rPr>
        <w:t xml:space="preserve">arroio Lavras, entre </w:t>
      </w:r>
      <w:r>
        <w:rPr>
          <w:spacing w:val="1"/>
        </w:rPr>
        <w:t xml:space="preserve">as </w:t>
      </w:r>
      <w:r>
        <w:rPr>
          <w:spacing w:val="3"/>
        </w:rPr>
        <w:t xml:space="preserve">latitudes 30°50’44”S </w:t>
      </w:r>
      <w:r>
        <w:t>– 30°47’21”S e longitudes 53°48’24”W - 53°56’33”W, na bacia do</w:t>
      </w:r>
      <w:r>
        <w:rPr>
          <w:spacing w:val="13"/>
        </w:rPr>
        <w:t xml:space="preserve"> </w:t>
      </w:r>
      <w:r>
        <w:t>rio</w:t>
      </w:r>
      <w:r>
        <w:rPr>
          <w:spacing w:val="13"/>
        </w:rPr>
        <w:t xml:space="preserve"> </w:t>
      </w:r>
      <w:r>
        <w:t>Camaquã</w:t>
      </w:r>
      <w:r>
        <w:rPr>
          <w:spacing w:val="13"/>
        </w:rPr>
        <w:t xml:space="preserve"> </w:t>
      </w:r>
      <w:r>
        <w:t>que</w:t>
      </w:r>
      <w:r>
        <w:rPr>
          <w:spacing w:val="13"/>
        </w:rPr>
        <w:t xml:space="preserve"> </w:t>
      </w:r>
      <w:r>
        <w:t>deságua</w:t>
      </w:r>
      <w:r>
        <w:rPr>
          <w:spacing w:val="13"/>
        </w:rPr>
        <w:t xml:space="preserve"> </w:t>
      </w:r>
      <w:r>
        <w:t>na</w:t>
      </w:r>
      <w:r>
        <w:rPr>
          <w:spacing w:val="13"/>
        </w:rPr>
        <w:t xml:space="preserve"> </w:t>
      </w:r>
      <w:r>
        <w:t>Lagoa</w:t>
      </w:r>
      <w:r>
        <w:rPr>
          <w:spacing w:val="13"/>
        </w:rPr>
        <w:t xml:space="preserve"> </w:t>
      </w:r>
      <w:r>
        <w:t>dos</w:t>
      </w:r>
      <w:r>
        <w:rPr>
          <w:spacing w:val="13"/>
        </w:rPr>
        <w:t xml:space="preserve"> </w:t>
      </w:r>
      <w:r>
        <w:t>Patos.</w:t>
      </w:r>
    </w:p>
    <w:p w:rsidR="00D81F69" w:rsidRDefault="00D81F69">
      <w:pPr>
        <w:pStyle w:val="Corpodetexto"/>
        <w:spacing w:before="1"/>
        <w:ind w:left="0"/>
        <w:jc w:val="left"/>
        <w:rPr>
          <w:sz w:val="29"/>
        </w:rPr>
      </w:pPr>
    </w:p>
    <w:p w:rsidR="00D81F69" w:rsidRDefault="00330118">
      <w:pPr>
        <w:pStyle w:val="Heading7"/>
        <w:jc w:val="left"/>
      </w:pPr>
      <w:r>
        <w:t>REDATORES</w:t>
      </w:r>
    </w:p>
    <w:p w:rsidR="00D81F69" w:rsidRDefault="00330118">
      <w:pPr>
        <w:pStyle w:val="Corpodetexto"/>
        <w:spacing w:before="179"/>
        <w:jc w:val="left"/>
      </w:pPr>
      <w:r>
        <w:t>Renata Olivieri; El</w:t>
      </w:r>
      <w:r>
        <w:t>iane Araujo</w:t>
      </w:r>
    </w:p>
    <w:p w:rsidR="00D81F69" w:rsidRDefault="00D81F69">
      <w:pPr>
        <w:pStyle w:val="Corpodetexto"/>
        <w:ind w:left="0"/>
        <w:jc w:val="left"/>
        <w:rPr>
          <w:sz w:val="20"/>
        </w:rPr>
      </w:pPr>
    </w:p>
    <w:p w:rsidR="00D81F69" w:rsidRDefault="00330118">
      <w:pPr>
        <w:pStyle w:val="Heading7"/>
        <w:spacing w:before="165"/>
        <w:jc w:val="left"/>
      </w:pPr>
      <w:r>
        <w:t>REFERÊNCIAS BIBLIOGRÁFICAS</w:t>
      </w:r>
    </w:p>
    <w:p w:rsidR="00D81F69" w:rsidRDefault="00330118">
      <w:pPr>
        <w:spacing w:before="187" w:line="312" w:lineRule="auto"/>
        <w:ind w:left="100" w:right="38"/>
        <w:jc w:val="both"/>
        <w:rPr>
          <w:sz w:val="16"/>
        </w:rPr>
      </w:pPr>
      <w:r>
        <w:rPr>
          <w:sz w:val="16"/>
        </w:rPr>
        <w:t>BONGIOLO, Everton Marques. Integração dos dados mineralógicos, isótopos estáveis (O,H) e porosidade de rochas (14 C-PMMA) no reconhecimento da evolução da alteração no sistema hidrotermal de Lavras do Sul, RS, Brasil</w:t>
      </w:r>
      <w:r>
        <w:rPr>
          <w:sz w:val="16"/>
        </w:rPr>
        <w:t xml:space="preserve">. 2006. 188 p. Tese (Doutorado em Geociências). Instituto de Geociências, Universidade Federal do Rio Grande do Sul, Porto Alegre, 2006. Disponível em: </w:t>
      </w:r>
    </w:p>
    <w:p w:rsidR="00D81F69" w:rsidRDefault="00D81F69">
      <w:pPr>
        <w:spacing w:before="5" w:line="312" w:lineRule="auto"/>
        <w:ind w:left="100" w:right="72"/>
        <w:jc w:val="both"/>
        <w:rPr>
          <w:sz w:val="16"/>
        </w:rPr>
      </w:pPr>
      <w:hyperlink r:id="rId1727">
        <w:r w:rsidR="00330118">
          <w:rPr>
            <w:sz w:val="16"/>
          </w:rPr>
          <w:t>&lt;http://www.lume.ufrg</w:t>
        </w:r>
        <w:r w:rsidR="00330118">
          <w:rPr>
            <w:sz w:val="16"/>
          </w:rPr>
          <w:t>s.br/bitstream/handle/10183/8528/000578676.p</w:t>
        </w:r>
      </w:hyperlink>
      <w:r w:rsidR="00330118">
        <w:rPr>
          <w:sz w:val="16"/>
        </w:rPr>
        <w:t xml:space="preserve"> df?sequence=1&gt;. Acesso em: 10 nov. 2010.</w:t>
      </w:r>
    </w:p>
    <w:p w:rsidR="00D81F69" w:rsidRDefault="00330118">
      <w:pPr>
        <w:spacing w:before="2" w:line="312" w:lineRule="auto"/>
        <w:ind w:left="100" w:right="47"/>
        <w:jc w:val="both"/>
        <w:rPr>
          <w:sz w:val="16"/>
        </w:rPr>
      </w:pPr>
      <w:r>
        <w:rPr>
          <w:sz w:val="16"/>
        </w:rPr>
        <w:t>BRUCH, Alexandre Felipe; CAVALHEIRO, Sandro; GARCIA, Marcelo Tavares; MAINO, Jeferson de Mello; WINTER, Stefanie Kohn; NOVAES, Luis Eduardo Silveira da Mota. Impactos sóc</w:t>
      </w:r>
      <w:r>
        <w:rPr>
          <w:sz w:val="16"/>
        </w:rPr>
        <w:t>io-ambientais causados pela deposição de rejeitos de mineração na localidade de Minas do Camaquã, Caçapava do Sul/RS, 2006. Disponível em:</w:t>
      </w:r>
    </w:p>
    <w:p w:rsidR="00D81F69" w:rsidRDefault="00D81F69">
      <w:pPr>
        <w:spacing w:before="4" w:line="312" w:lineRule="auto"/>
        <w:ind w:left="100" w:right="69"/>
        <w:jc w:val="both"/>
        <w:rPr>
          <w:sz w:val="16"/>
        </w:rPr>
      </w:pPr>
      <w:hyperlink r:id="rId1728">
        <w:r w:rsidR="00330118">
          <w:rPr>
            <w:sz w:val="16"/>
          </w:rPr>
          <w:t>&lt;</w:t>
        </w:r>
        <w:r w:rsidR="00330118">
          <w:rPr>
            <w:sz w:val="16"/>
          </w:rPr>
          <w:t xml:space="preserve">http://www.ufpel.edu.br/cic/2006/arquivos/CH_00478.rtf&gt;. </w:t>
        </w:r>
      </w:hyperlink>
      <w:r w:rsidR="00330118">
        <w:rPr>
          <w:sz w:val="16"/>
        </w:rPr>
        <w:t>Acesso em: 22 out. 2010.</w:t>
      </w:r>
    </w:p>
    <w:p w:rsidR="00D81F69" w:rsidRDefault="00330118">
      <w:pPr>
        <w:spacing w:before="70" w:line="312" w:lineRule="auto"/>
        <w:ind w:left="100" w:right="195"/>
        <w:jc w:val="both"/>
        <w:rPr>
          <w:sz w:val="16"/>
        </w:rPr>
      </w:pPr>
      <w:r>
        <w:br w:type="column"/>
      </w:r>
      <w:r>
        <w:rPr>
          <w:sz w:val="16"/>
        </w:rPr>
        <w:lastRenderedPageBreak/>
        <w:t>CIGANA, Caio. Reservas gaúchas voltam a ser alvo de gigantes da mineração. ZH Dinheiro, Click RBS, 13 mar. 2010. Disponível em:</w:t>
      </w:r>
    </w:p>
    <w:p w:rsidR="00D81F69" w:rsidRDefault="00D81F69">
      <w:pPr>
        <w:spacing w:before="1" w:line="312" w:lineRule="auto"/>
        <w:ind w:left="100" w:right="197"/>
        <w:jc w:val="both"/>
        <w:rPr>
          <w:sz w:val="16"/>
        </w:rPr>
      </w:pPr>
      <w:hyperlink r:id="rId1729">
        <w:r w:rsidR="00330118">
          <w:rPr>
            <w:sz w:val="16"/>
          </w:rPr>
          <w:t>&lt;http://zerohora.clicrbs.com.br/especial/rs/zhdinheiro/19,0,2837680,R</w:t>
        </w:r>
      </w:hyperlink>
      <w:r w:rsidR="00330118">
        <w:rPr>
          <w:sz w:val="16"/>
        </w:rPr>
        <w:t xml:space="preserve"> eservas-gauchas-voltam-a-ser-alvo-de-gigantes-da-mineracao.html&gt;. Acesso em: 21 out. 2010.</w:t>
      </w:r>
    </w:p>
    <w:p w:rsidR="00D81F69" w:rsidRDefault="00330118">
      <w:pPr>
        <w:spacing w:before="3" w:line="312" w:lineRule="auto"/>
        <w:ind w:left="100" w:right="191"/>
        <w:jc w:val="both"/>
        <w:rPr>
          <w:sz w:val="16"/>
        </w:rPr>
      </w:pPr>
      <w:r>
        <w:rPr>
          <w:sz w:val="16"/>
        </w:rPr>
        <w:t>FRIZZO, Taís Cristine Ernst. Zoneamento da veget</w:t>
      </w:r>
      <w:r>
        <w:rPr>
          <w:sz w:val="16"/>
        </w:rPr>
        <w:t xml:space="preserve">ação e sua relação com metais pesados na mina Volta Grande, Lavras do Sul, RS, ago. 2002. Porto Alegre. 137 f. Dissertação (Mestrado em Ecologia). Disponível em: </w:t>
      </w:r>
      <w:hyperlink r:id="rId1730">
        <w:r>
          <w:rPr>
            <w:sz w:val="16"/>
          </w:rPr>
          <w:t>&lt;</w:t>
        </w:r>
        <w:r>
          <w:rPr>
            <w:sz w:val="16"/>
          </w:rPr>
          <w:t>http://www.lume.ufrgs.br/handle/10183/3154&gt;.</w:t>
        </w:r>
      </w:hyperlink>
      <w:r>
        <w:rPr>
          <w:sz w:val="16"/>
        </w:rPr>
        <w:t xml:space="preserve"> Acesso em: 21 out. 2010.</w:t>
      </w:r>
    </w:p>
    <w:p w:rsidR="00D81F69" w:rsidRDefault="00330118">
      <w:pPr>
        <w:spacing w:before="4" w:line="312" w:lineRule="auto"/>
        <w:ind w:left="100" w:right="191"/>
        <w:jc w:val="both"/>
        <w:rPr>
          <w:sz w:val="16"/>
        </w:rPr>
      </w:pPr>
      <w:r>
        <w:rPr>
          <w:sz w:val="16"/>
        </w:rPr>
        <w:t>GRAZIA, Carlos Antonio; PESTANA, Maria Heloísa Degrazia. Contaminação por mercúrio antrópico em solos e sedimentos de corrente de Lavras do Sul, RS, Brasil. In: International Workshop on</w:t>
      </w:r>
      <w:r>
        <w:rPr>
          <w:sz w:val="16"/>
        </w:rPr>
        <w:t xml:space="preserve"> Medical Geology, 2005, Rio de Janeiro. CPRM, Rio de Janeiro, 2005. </w:t>
      </w:r>
      <w:hyperlink r:id="rId1731">
        <w:r>
          <w:rPr>
            <w:sz w:val="16"/>
          </w:rPr>
          <w:t>Disponível em: &lt;http://www.cprm.gov.br/publique/media/Painel07.pdf&gt;</w:t>
        </w:r>
      </w:hyperlink>
      <w:r>
        <w:rPr>
          <w:sz w:val="16"/>
        </w:rPr>
        <w:t xml:space="preserve"> Acesso em: 21 out. 2010.</w:t>
      </w:r>
    </w:p>
    <w:p w:rsidR="00D81F69" w:rsidRDefault="00330118">
      <w:pPr>
        <w:tabs>
          <w:tab w:val="left" w:pos="1550"/>
          <w:tab w:val="left" w:pos="2722"/>
          <w:tab w:val="left" w:pos="4669"/>
        </w:tabs>
        <w:spacing w:before="5" w:line="312" w:lineRule="auto"/>
        <w:ind w:left="100" w:right="159"/>
        <w:rPr>
          <w:sz w:val="16"/>
        </w:rPr>
      </w:pPr>
      <w:r>
        <w:rPr>
          <w:spacing w:val="5"/>
          <w:sz w:val="16"/>
        </w:rPr>
        <w:t xml:space="preserve">______. Mercúrio antrópico </w:t>
      </w:r>
      <w:r>
        <w:rPr>
          <w:sz w:val="16"/>
        </w:rPr>
        <w:t xml:space="preserve">e </w:t>
      </w:r>
      <w:r>
        <w:rPr>
          <w:spacing w:val="5"/>
          <w:sz w:val="16"/>
        </w:rPr>
        <w:t xml:space="preserve">outros elementos </w:t>
      </w:r>
      <w:r>
        <w:rPr>
          <w:spacing w:val="2"/>
          <w:sz w:val="16"/>
        </w:rPr>
        <w:t xml:space="preserve">em </w:t>
      </w:r>
      <w:r>
        <w:rPr>
          <w:spacing w:val="5"/>
          <w:sz w:val="16"/>
        </w:rPr>
        <w:t xml:space="preserve">drenagens </w:t>
      </w:r>
      <w:r>
        <w:rPr>
          <w:sz w:val="16"/>
        </w:rPr>
        <w:t xml:space="preserve">associadas às minerações auríferas de Lavras do Sul. CPRM, Porto   </w:t>
      </w:r>
      <w:r>
        <w:rPr>
          <w:spacing w:val="40"/>
          <w:sz w:val="16"/>
        </w:rPr>
        <w:t>A</w:t>
      </w:r>
      <w:r>
        <w:rPr>
          <w:sz w:val="16"/>
        </w:rPr>
        <w:t xml:space="preserve"> </w:t>
      </w:r>
      <w:r>
        <w:rPr>
          <w:spacing w:val="40"/>
          <w:sz w:val="16"/>
        </w:rPr>
        <w:t>l</w:t>
      </w:r>
      <w:r>
        <w:rPr>
          <w:sz w:val="16"/>
        </w:rPr>
        <w:t xml:space="preserve"> </w:t>
      </w:r>
      <w:r>
        <w:rPr>
          <w:spacing w:val="40"/>
          <w:sz w:val="16"/>
        </w:rPr>
        <w:t>e</w:t>
      </w:r>
      <w:r>
        <w:rPr>
          <w:sz w:val="16"/>
        </w:rPr>
        <w:t xml:space="preserve"> </w:t>
      </w:r>
      <w:r>
        <w:rPr>
          <w:spacing w:val="40"/>
          <w:sz w:val="16"/>
        </w:rPr>
        <w:t>g</w:t>
      </w:r>
      <w:r>
        <w:rPr>
          <w:sz w:val="16"/>
        </w:rPr>
        <w:t xml:space="preserve"> </w:t>
      </w:r>
      <w:r>
        <w:rPr>
          <w:spacing w:val="40"/>
          <w:sz w:val="16"/>
        </w:rPr>
        <w:t>r</w:t>
      </w:r>
      <w:r>
        <w:rPr>
          <w:sz w:val="16"/>
        </w:rPr>
        <w:t xml:space="preserve"> </w:t>
      </w:r>
      <w:r>
        <w:rPr>
          <w:spacing w:val="40"/>
          <w:sz w:val="16"/>
        </w:rPr>
        <w:t>e</w:t>
      </w:r>
      <w:r>
        <w:rPr>
          <w:sz w:val="16"/>
        </w:rPr>
        <w:t xml:space="preserve"> ,</w:t>
      </w:r>
      <w:r>
        <w:rPr>
          <w:sz w:val="16"/>
        </w:rPr>
        <w:tab/>
      </w:r>
      <w:r>
        <w:rPr>
          <w:spacing w:val="40"/>
          <w:sz w:val="16"/>
        </w:rPr>
        <w:t>2</w:t>
      </w:r>
      <w:r>
        <w:rPr>
          <w:sz w:val="16"/>
        </w:rPr>
        <w:t xml:space="preserve"> </w:t>
      </w:r>
      <w:r>
        <w:rPr>
          <w:spacing w:val="40"/>
          <w:sz w:val="16"/>
        </w:rPr>
        <w:t>0</w:t>
      </w:r>
      <w:r>
        <w:rPr>
          <w:sz w:val="16"/>
        </w:rPr>
        <w:t xml:space="preserve"> </w:t>
      </w:r>
      <w:r>
        <w:rPr>
          <w:spacing w:val="40"/>
          <w:sz w:val="16"/>
        </w:rPr>
        <w:t>0</w:t>
      </w:r>
      <w:r>
        <w:rPr>
          <w:sz w:val="16"/>
        </w:rPr>
        <w:t xml:space="preserve"> </w:t>
      </w:r>
      <w:r>
        <w:rPr>
          <w:spacing w:val="40"/>
          <w:sz w:val="16"/>
        </w:rPr>
        <w:t>8</w:t>
      </w:r>
      <w:r>
        <w:rPr>
          <w:sz w:val="16"/>
        </w:rPr>
        <w:t xml:space="preserve"> .</w:t>
      </w:r>
      <w:r>
        <w:rPr>
          <w:sz w:val="16"/>
        </w:rPr>
        <w:tab/>
      </w:r>
      <w:r>
        <w:rPr>
          <w:spacing w:val="40"/>
          <w:sz w:val="16"/>
        </w:rPr>
        <w:t>D</w:t>
      </w:r>
      <w:r>
        <w:rPr>
          <w:sz w:val="16"/>
        </w:rPr>
        <w:t xml:space="preserve"> </w:t>
      </w:r>
      <w:r>
        <w:rPr>
          <w:spacing w:val="40"/>
          <w:sz w:val="16"/>
        </w:rPr>
        <w:t>i</w:t>
      </w:r>
      <w:r>
        <w:rPr>
          <w:sz w:val="16"/>
        </w:rPr>
        <w:t xml:space="preserve"> </w:t>
      </w:r>
      <w:r>
        <w:rPr>
          <w:spacing w:val="40"/>
          <w:sz w:val="16"/>
        </w:rPr>
        <w:t>s</w:t>
      </w:r>
      <w:r>
        <w:rPr>
          <w:sz w:val="16"/>
        </w:rPr>
        <w:t xml:space="preserve"> </w:t>
      </w:r>
      <w:r>
        <w:rPr>
          <w:spacing w:val="40"/>
          <w:sz w:val="16"/>
        </w:rPr>
        <w:t>p</w:t>
      </w:r>
      <w:r>
        <w:rPr>
          <w:sz w:val="16"/>
        </w:rPr>
        <w:t xml:space="preserve"> </w:t>
      </w:r>
      <w:r>
        <w:rPr>
          <w:spacing w:val="40"/>
          <w:sz w:val="16"/>
        </w:rPr>
        <w:t>o</w:t>
      </w:r>
      <w:r>
        <w:rPr>
          <w:sz w:val="16"/>
        </w:rPr>
        <w:t xml:space="preserve"> </w:t>
      </w:r>
      <w:r>
        <w:rPr>
          <w:spacing w:val="40"/>
          <w:sz w:val="16"/>
        </w:rPr>
        <w:t>n</w:t>
      </w:r>
      <w:r>
        <w:rPr>
          <w:sz w:val="16"/>
        </w:rPr>
        <w:t xml:space="preserve"> </w:t>
      </w:r>
      <w:r>
        <w:rPr>
          <w:spacing w:val="40"/>
          <w:sz w:val="16"/>
        </w:rPr>
        <w:t>í</w:t>
      </w:r>
      <w:r>
        <w:rPr>
          <w:sz w:val="16"/>
        </w:rPr>
        <w:t xml:space="preserve"> </w:t>
      </w:r>
      <w:r>
        <w:rPr>
          <w:spacing w:val="40"/>
          <w:sz w:val="16"/>
        </w:rPr>
        <w:t>v</w:t>
      </w:r>
      <w:r>
        <w:rPr>
          <w:sz w:val="16"/>
        </w:rPr>
        <w:t xml:space="preserve"> </w:t>
      </w:r>
      <w:r>
        <w:rPr>
          <w:spacing w:val="40"/>
          <w:sz w:val="16"/>
        </w:rPr>
        <w:t>e</w:t>
      </w:r>
      <w:r>
        <w:rPr>
          <w:sz w:val="16"/>
        </w:rPr>
        <w:t xml:space="preserve"> l</w:t>
      </w:r>
      <w:r>
        <w:rPr>
          <w:sz w:val="16"/>
        </w:rPr>
        <w:tab/>
      </w:r>
      <w:r>
        <w:rPr>
          <w:spacing w:val="40"/>
          <w:sz w:val="16"/>
        </w:rPr>
        <w:t>e</w:t>
      </w:r>
      <w:r>
        <w:rPr>
          <w:sz w:val="16"/>
        </w:rPr>
        <w:t xml:space="preserve"> </w:t>
      </w:r>
      <w:r>
        <w:rPr>
          <w:spacing w:val="40"/>
          <w:sz w:val="16"/>
        </w:rPr>
        <w:t>m</w:t>
      </w:r>
      <w:r>
        <w:rPr>
          <w:sz w:val="16"/>
        </w:rPr>
        <w:t xml:space="preserve"> : </w:t>
      </w:r>
      <w:r>
        <w:rPr>
          <w:spacing w:val="-4"/>
          <w:sz w:val="16"/>
        </w:rPr>
        <w:t xml:space="preserve"> </w:t>
      </w:r>
    </w:p>
    <w:p w:rsidR="00D81F69" w:rsidRDefault="00330118">
      <w:pPr>
        <w:spacing w:before="2"/>
        <w:ind w:left="100"/>
        <w:rPr>
          <w:sz w:val="16"/>
        </w:rPr>
      </w:pPr>
      <w:r>
        <w:rPr>
          <w:sz w:val="16"/>
        </w:rPr>
        <w:t>&lt;http://eta.fepam.rs.gov.br:81/documentacoes/mineracao/relatorio.pdf</w:t>
      </w:r>
    </w:p>
    <w:p w:rsidR="00D81F69" w:rsidRDefault="00330118">
      <w:pPr>
        <w:spacing w:before="56"/>
        <w:ind w:left="100"/>
        <w:rPr>
          <w:sz w:val="16"/>
        </w:rPr>
      </w:pPr>
      <w:r>
        <w:rPr>
          <w:sz w:val="16"/>
        </w:rPr>
        <w:t>&gt;. Acesso em: 22 out. 2010.</w:t>
      </w:r>
    </w:p>
    <w:p w:rsidR="00D81F69" w:rsidRDefault="00330118">
      <w:pPr>
        <w:spacing w:before="56" w:line="312" w:lineRule="auto"/>
        <w:ind w:left="100" w:right="146"/>
        <w:jc w:val="both"/>
        <w:rPr>
          <w:sz w:val="16"/>
        </w:rPr>
      </w:pPr>
      <w:r>
        <w:rPr>
          <w:sz w:val="16"/>
        </w:rPr>
        <w:t>IBGE, In</w:t>
      </w:r>
      <w:r>
        <w:rPr>
          <w:sz w:val="16"/>
        </w:rPr>
        <w:t xml:space="preserve">stituto Brasileiro de Geografia e Estatística. Lavras do Sul, In:  </w:t>
      </w:r>
      <w:r>
        <w:rPr>
          <w:spacing w:val="10"/>
          <w:sz w:val="16"/>
        </w:rPr>
        <w:t xml:space="preserve">I B G </w:t>
      </w:r>
      <w:r>
        <w:rPr>
          <w:sz w:val="16"/>
        </w:rPr>
        <w:t xml:space="preserve">E </w:t>
      </w:r>
      <w:r>
        <w:rPr>
          <w:spacing w:val="10"/>
          <w:sz w:val="16"/>
        </w:rPr>
        <w:t xml:space="preserve">C i d a d e s </w:t>
      </w:r>
      <w:r>
        <w:rPr>
          <w:sz w:val="16"/>
        </w:rPr>
        <w:t xml:space="preserve">, </w:t>
      </w:r>
      <w:r>
        <w:rPr>
          <w:spacing w:val="10"/>
          <w:sz w:val="16"/>
        </w:rPr>
        <w:t xml:space="preserve">2 0 1 0 </w:t>
      </w:r>
      <w:r>
        <w:rPr>
          <w:sz w:val="16"/>
        </w:rPr>
        <w:t xml:space="preserve">. </w:t>
      </w:r>
      <w:r>
        <w:rPr>
          <w:spacing w:val="10"/>
          <w:sz w:val="16"/>
        </w:rPr>
        <w:t xml:space="preserve">D i s p o n í v e </w:t>
      </w:r>
      <w:r>
        <w:rPr>
          <w:sz w:val="16"/>
        </w:rPr>
        <w:t>l</w:t>
      </w:r>
      <w:r>
        <w:rPr>
          <w:spacing w:val="20"/>
          <w:sz w:val="16"/>
        </w:rPr>
        <w:t xml:space="preserve"> </w:t>
      </w:r>
      <w:r>
        <w:rPr>
          <w:spacing w:val="10"/>
          <w:sz w:val="16"/>
        </w:rPr>
        <w:t xml:space="preserve">e m </w:t>
      </w:r>
      <w:r>
        <w:rPr>
          <w:sz w:val="16"/>
        </w:rPr>
        <w:t>:</w:t>
      </w:r>
      <w:r>
        <w:rPr>
          <w:spacing w:val="10"/>
          <w:sz w:val="16"/>
        </w:rPr>
        <w:t xml:space="preserve"> </w:t>
      </w:r>
    </w:p>
    <w:p w:rsidR="00D81F69" w:rsidRDefault="00D81F69">
      <w:pPr>
        <w:spacing w:before="2"/>
        <w:ind w:left="100"/>
        <w:jc w:val="both"/>
        <w:rPr>
          <w:sz w:val="16"/>
        </w:rPr>
      </w:pPr>
      <w:hyperlink r:id="rId1732">
        <w:r w:rsidR="00330118">
          <w:rPr>
            <w:sz w:val="16"/>
          </w:rPr>
          <w:t>&lt;</w:t>
        </w:r>
        <w:r w:rsidR="00330118">
          <w:rPr>
            <w:sz w:val="16"/>
          </w:rPr>
          <w:t>http://www.ibge.gov.br/cidadesat/xtras/perfil.php?codmun=431150&amp;r</w:t>
        </w:r>
      </w:hyperlink>
    </w:p>
    <w:p w:rsidR="00D81F69" w:rsidRDefault="00330118">
      <w:pPr>
        <w:spacing w:before="56"/>
        <w:ind w:left="100"/>
        <w:jc w:val="both"/>
        <w:rPr>
          <w:sz w:val="16"/>
        </w:rPr>
      </w:pPr>
      <w:r>
        <w:rPr>
          <w:sz w:val="16"/>
        </w:rPr>
        <w:t>=2&gt;. Acesso em: 08 fev. 2011.</w:t>
      </w:r>
    </w:p>
    <w:p w:rsidR="00D81F69" w:rsidRDefault="00330118">
      <w:pPr>
        <w:spacing w:before="56"/>
        <w:ind w:left="100"/>
        <w:jc w:val="both"/>
        <w:rPr>
          <w:sz w:val="16"/>
        </w:rPr>
      </w:pPr>
      <w:r>
        <w:rPr>
          <w:sz w:val="16"/>
        </w:rPr>
        <w:t>MINAS DO  CAMAQUÃ -  VENHA CONHECER. História   da  CBC.</w:t>
      </w:r>
    </w:p>
    <w:p w:rsidR="00D81F69" w:rsidRDefault="00330118">
      <w:pPr>
        <w:tabs>
          <w:tab w:val="left" w:pos="4331"/>
        </w:tabs>
        <w:spacing w:before="56"/>
        <w:ind w:left="100"/>
        <w:jc w:val="both"/>
        <w:rPr>
          <w:sz w:val="16"/>
        </w:rPr>
      </w:pPr>
      <w:r>
        <w:rPr>
          <w:sz w:val="16"/>
        </w:rPr>
        <w:t xml:space="preserve">D      i      s      p      o      n      í      v  </w:t>
      </w:r>
      <w:r>
        <w:rPr>
          <w:spacing w:val="36"/>
          <w:sz w:val="16"/>
        </w:rPr>
        <w:t xml:space="preserve"> </w:t>
      </w:r>
      <w:r>
        <w:rPr>
          <w:sz w:val="16"/>
        </w:rPr>
        <w:t xml:space="preserve">e    </w:t>
      </w:r>
      <w:r>
        <w:rPr>
          <w:spacing w:val="31"/>
          <w:sz w:val="16"/>
        </w:rPr>
        <w:t xml:space="preserve"> </w:t>
      </w:r>
      <w:r>
        <w:rPr>
          <w:sz w:val="16"/>
        </w:rPr>
        <w:t>l</w:t>
      </w:r>
      <w:r>
        <w:rPr>
          <w:sz w:val="16"/>
        </w:rPr>
        <w:tab/>
        <w:t xml:space="preserve">e      m    </w:t>
      </w:r>
      <w:r>
        <w:rPr>
          <w:spacing w:val="20"/>
          <w:sz w:val="16"/>
        </w:rPr>
        <w:t xml:space="preserve"> </w:t>
      </w:r>
      <w:r>
        <w:rPr>
          <w:sz w:val="16"/>
        </w:rPr>
        <w:t>:</w:t>
      </w:r>
    </w:p>
    <w:p w:rsidR="00D81F69" w:rsidRDefault="00D81F69">
      <w:pPr>
        <w:spacing w:before="56"/>
        <w:ind w:left="100"/>
        <w:jc w:val="both"/>
        <w:rPr>
          <w:sz w:val="16"/>
        </w:rPr>
      </w:pPr>
      <w:hyperlink r:id="rId1733">
        <w:r w:rsidR="00330118">
          <w:rPr>
            <w:sz w:val="16"/>
          </w:rPr>
          <w:t xml:space="preserve">&lt;http://www.visiteminasdocamaqua.com/historiacbc.html&gt;. </w:t>
        </w:r>
      </w:hyperlink>
      <w:r w:rsidR="00330118">
        <w:rPr>
          <w:sz w:val="16"/>
        </w:rPr>
        <w:t>21 out.</w:t>
      </w:r>
    </w:p>
    <w:p w:rsidR="00D81F69" w:rsidRDefault="00330118">
      <w:pPr>
        <w:spacing w:before="56"/>
        <w:ind w:left="100"/>
        <w:jc w:val="both"/>
        <w:rPr>
          <w:sz w:val="16"/>
        </w:rPr>
      </w:pPr>
      <w:r>
        <w:rPr>
          <w:sz w:val="16"/>
        </w:rPr>
        <w:t>2010. Acesso em: 21 out. 2010.</w:t>
      </w:r>
    </w:p>
    <w:p w:rsidR="00D81F69" w:rsidRDefault="00330118">
      <w:pPr>
        <w:spacing w:before="56" w:line="312" w:lineRule="auto"/>
        <w:ind w:left="100" w:right="192"/>
        <w:jc w:val="both"/>
        <w:rPr>
          <w:sz w:val="16"/>
        </w:rPr>
      </w:pPr>
      <w:r>
        <w:rPr>
          <w:sz w:val="16"/>
        </w:rPr>
        <w:t xml:space="preserve">PANORAMA LAVRENSE. Geologia e Mineração, 20 out. 2009. Disponível em: </w:t>
      </w:r>
      <w:hyperlink r:id="rId1734">
        <w:r>
          <w:rPr>
            <w:sz w:val="16"/>
          </w:rPr>
          <w:t>&lt;http://www.panoramalavrense.com.br/geologia.html&gt;.</w:t>
        </w:r>
      </w:hyperlink>
      <w:r>
        <w:rPr>
          <w:sz w:val="16"/>
        </w:rPr>
        <w:t xml:space="preserve"> Acesso em: 21 out. 2010.</w:t>
      </w:r>
    </w:p>
    <w:p w:rsidR="00D81F69" w:rsidRDefault="00D81F69">
      <w:pPr>
        <w:spacing w:line="312" w:lineRule="auto"/>
        <w:jc w:val="both"/>
        <w:rPr>
          <w:sz w:val="16"/>
        </w:rPr>
        <w:sectPr w:rsidR="00D81F69">
          <w:pgSz w:w="11900" w:h="16840"/>
          <w:pgMar w:top="740" w:right="500" w:bottom="720" w:left="620" w:header="0" w:footer="402" w:gutter="0"/>
          <w:cols w:num="2" w:space="720" w:equalWidth="0">
            <w:col w:w="5166" w:space="304"/>
            <w:col w:w="5310"/>
          </w:cols>
        </w:sectPr>
      </w:pPr>
    </w:p>
    <w:p w:rsidR="00D81F69" w:rsidRPr="00392EAD" w:rsidRDefault="00330118">
      <w:pPr>
        <w:pStyle w:val="Heading1"/>
        <w:spacing w:line="208" w:lineRule="auto"/>
        <w:rPr>
          <w:lang w:val="pt-BR"/>
        </w:rPr>
      </w:pPr>
      <w:r w:rsidRPr="00392EAD">
        <w:rPr>
          <w:lang w:val="pt-BR"/>
        </w:rPr>
        <w:lastRenderedPageBreak/>
        <w:t>A influência do garimpo na qualidade das águas da Bacia Hidrográfica do rio Ibicuí Mirim (RS)</w:t>
      </w:r>
    </w:p>
    <w:p w:rsidR="00D81F69" w:rsidRPr="00392EAD" w:rsidRDefault="00D81F69">
      <w:pPr>
        <w:pStyle w:val="Corpodetexto"/>
        <w:ind w:left="0"/>
        <w:jc w:val="left"/>
        <w:rPr>
          <w:b/>
          <w:sz w:val="20"/>
          <w:lang w:val="pt-BR"/>
        </w:rPr>
      </w:pPr>
    </w:p>
    <w:p w:rsidR="00D81F69" w:rsidRPr="00392EAD" w:rsidRDefault="00D81F69">
      <w:pPr>
        <w:rPr>
          <w:sz w:val="20"/>
          <w:lang w:val="pt-BR"/>
        </w:rPr>
        <w:sectPr w:rsidR="00D81F69" w:rsidRPr="00392EAD">
          <w:pgSz w:w="11900" w:h="16840"/>
          <w:pgMar w:top="1080" w:right="500" w:bottom="600" w:left="620" w:header="0" w:footer="402" w:gutter="0"/>
          <w:cols w:space="720"/>
        </w:sectPr>
      </w:pPr>
    </w:p>
    <w:p w:rsidR="00D81F69" w:rsidRPr="00392EAD" w:rsidRDefault="00D81F69">
      <w:pPr>
        <w:pStyle w:val="Corpodetexto"/>
        <w:ind w:left="0"/>
        <w:jc w:val="left"/>
        <w:rPr>
          <w:b/>
          <w:sz w:val="16"/>
          <w:lang w:val="pt-BR"/>
        </w:rPr>
      </w:pPr>
    </w:p>
    <w:p w:rsidR="00D81F69" w:rsidRPr="00392EAD" w:rsidRDefault="00D81F69">
      <w:pPr>
        <w:pStyle w:val="Corpodetexto"/>
        <w:ind w:left="0"/>
        <w:jc w:val="left"/>
        <w:rPr>
          <w:b/>
          <w:sz w:val="16"/>
          <w:lang w:val="pt-BR"/>
        </w:rPr>
      </w:pPr>
    </w:p>
    <w:p w:rsidR="00D81F69" w:rsidRPr="00392EAD" w:rsidRDefault="00330118">
      <w:pPr>
        <w:spacing w:before="97"/>
        <w:ind w:left="135"/>
        <w:rPr>
          <w:i/>
          <w:sz w:val="14"/>
          <w:lang w:val="pt-BR"/>
        </w:rPr>
      </w:pPr>
      <w:r w:rsidRPr="00392EAD">
        <w:rPr>
          <w:i/>
          <w:sz w:val="14"/>
          <w:lang w:val="pt-BR"/>
        </w:rPr>
        <w:t>MUNICÍPIOS</w:t>
      </w:r>
    </w:p>
    <w:p w:rsidR="00D81F69" w:rsidRPr="00392EAD" w:rsidRDefault="00330118">
      <w:pPr>
        <w:spacing w:before="49"/>
        <w:ind w:left="135"/>
        <w:rPr>
          <w:i/>
          <w:sz w:val="14"/>
          <w:lang w:val="pt-BR"/>
        </w:rPr>
      </w:pPr>
      <w:r w:rsidRPr="00392EAD">
        <w:rPr>
          <w:i/>
          <w:sz w:val="14"/>
          <w:lang w:val="pt-BR"/>
        </w:rPr>
        <w:t>RS - São Martinho da Serra</w:t>
      </w:r>
    </w:p>
    <w:p w:rsidR="00D81F69" w:rsidRPr="00392EAD" w:rsidRDefault="00D81F69">
      <w:pPr>
        <w:pStyle w:val="Corpodetexto"/>
        <w:spacing w:before="6"/>
        <w:ind w:left="0"/>
        <w:jc w:val="left"/>
        <w:rPr>
          <w:i/>
          <w:sz w:val="22"/>
          <w:lang w:val="pt-BR"/>
        </w:rPr>
      </w:pPr>
    </w:p>
    <w:p w:rsidR="00D81F69" w:rsidRDefault="00330118">
      <w:pPr>
        <w:ind w:left="135"/>
        <w:rPr>
          <w:i/>
          <w:sz w:val="14"/>
        </w:rPr>
      </w:pPr>
      <w:r>
        <w:rPr>
          <w:i/>
          <w:sz w:val="14"/>
        </w:rPr>
        <w:t>LATITUDE</w:t>
      </w:r>
    </w:p>
    <w:p w:rsidR="00D81F69" w:rsidRDefault="00330118">
      <w:pPr>
        <w:spacing w:before="49"/>
        <w:ind w:left="135"/>
        <w:rPr>
          <w:i/>
          <w:sz w:val="14"/>
        </w:rPr>
      </w:pPr>
      <w:r>
        <w:rPr>
          <w:i/>
          <w:sz w:val="14"/>
        </w:rPr>
        <w:t>-29,5625</w:t>
      </w:r>
    </w:p>
    <w:p w:rsidR="00D81F69" w:rsidRDefault="00D81F69">
      <w:pPr>
        <w:pStyle w:val="Corpodetexto"/>
        <w:spacing w:before="6"/>
        <w:ind w:left="0"/>
        <w:jc w:val="left"/>
        <w:rPr>
          <w:i/>
          <w:sz w:val="22"/>
        </w:rPr>
      </w:pPr>
    </w:p>
    <w:p w:rsidR="00D81F69" w:rsidRDefault="00330118">
      <w:pPr>
        <w:ind w:left="135"/>
        <w:rPr>
          <w:i/>
          <w:sz w:val="14"/>
        </w:rPr>
      </w:pPr>
      <w:r>
        <w:rPr>
          <w:i/>
          <w:sz w:val="14"/>
        </w:rPr>
        <w:t>LONGITUDE</w:t>
      </w:r>
    </w:p>
    <w:p w:rsidR="00D81F69" w:rsidRDefault="00330118">
      <w:pPr>
        <w:spacing w:before="49"/>
        <w:ind w:left="135"/>
        <w:rPr>
          <w:i/>
          <w:sz w:val="14"/>
        </w:rPr>
      </w:pPr>
      <w:r>
        <w:rPr>
          <w:i/>
          <w:sz w:val="14"/>
        </w:rPr>
        <w:t>-53,8677</w:t>
      </w:r>
    </w:p>
    <w:p w:rsidR="00D81F69" w:rsidRDefault="00330118">
      <w:pPr>
        <w:pStyle w:val="Corpodetexto"/>
        <w:spacing w:before="3" w:after="39"/>
        <w:ind w:left="0"/>
        <w:jc w:val="left"/>
        <w:rPr>
          <w:i/>
          <w:sz w:val="20"/>
        </w:rPr>
      </w:pPr>
      <w: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9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Pr="00392EAD" w:rsidRDefault="00330118">
      <w:pPr>
        <w:spacing w:before="25"/>
        <w:ind w:left="135"/>
        <w:rPr>
          <w:i/>
          <w:sz w:val="18"/>
          <w:lang w:val="pt-BR"/>
        </w:rPr>
      </w:pPr>
      <w:r w:rsidRPr="00392EAD">
        <w:rPr>
          <w:i/>
          <w:sz w:val="18"/>
          <w:lang w:val="pt-BR"/>
        </w:rPr>
        <w:t>SÍNTESE</w:t>
      </w:r>
    </w:p>
    <w:p w:rsidR="00D81F69" w:rsidRPr="00392EAD" w:rsidRDefault="00330118">
      <w:pPr>
        <w:spacing w:before="52" w:line="312" w:lineRule="auto"/>
        <w:ind w:left="135" w:right="38"/>
        <w:jc w:val="both"/>
        <w:rPr>
          <w:i/>
          <w:sz w:val="16"/>
          <w:lang w:val="pt-BR"/>
        </w:rPr>
      </w:pPr>
      <w:r w:rsidRPr="00392EAD">
        <w:rPr>
          <w:i/>
          <w:sz w:val="16"/>
          <w:lang w:val="pt-BR"/>
        </w:rPr>
        <w:t xml:space="preserve">O município de São Martinho da Serra </w:t>
      </w:r>
      <w:r w:rsidRPr="00392EAD">
        <w:rPr>
          <w:i/>
          <w:sz w:val="16"/>
          <w:lang w:val="pt-BR"/>
        </w:rPr>
        <w:t xml:space="preserve">integra o APL de Gemas e Joias do Rio Grande do Sul, criado em 2005, com o objetivo de agregar valor às gemas, gerar empregos e reduzir os impactos ambientais decorrentes das atividades industriais e de garimpo. Algumas pesquisas confirmam a influência do </w:t>
      </w:r>
      <w:r w:rsidRPr="00392EAD">
        <w:rPr>
          <w:i/>
          <w:sz w:val="16"/>
          <w:lang w:val="pt-BR"/>
        </w:rPr>
        <w:t>garimpo na qualidade das águas da bacia do rio Ibicuí Mirim.</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9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Pr="00392EAD" w:rsidRDefault="00330118">
      <w:pPr>
        <w:pStyle w:val="Corpodetexto"/>
        <w:spacing w:before="1" w:line="312" w:lineRule="auto"/>
        <w:ind w:left="135" w:right="154"/>
        <w:jc w:val="left"/>
        <w:rPr>
          <w:lang w:val="pt-BR"/>
        </w:rPr>
      </w:pPr>
      <w:r w:rsidRPr="00392EAD">
        <w:rPr>
          <w:lang w:val="pt-BR"/>
        </w:rPr>
        <w:t>Com 670 km² e 3.201 habitantes (IBGE, 2010), São Martinho da Serra fica a 295 km da capital, Porto Alegre (SITE OFICIAL  DE  SÂO  MARTINHO  DA  SERRA,  2011a). Os</w:t>
      </w:r>
    </w:p>
    <w:p w:rsidR="00D81F69" w:rsidRPr="00392EAD" w:rsidRDefault="00330118">
      <w:pPr>
        <w:pStyle w:val="Corpodetexto"/>
        <w:spacing w:before="2" w:line="312" w:lineRule="auto"/>
        <w:ind w:left="135" w:right="194"/>
        <w:rPr>
          <w:lang w:val="pt-BR"/>
        </w:rPr>
      </w:pPr>
      <w:r w:rsidRPr="00392EAD">
        <w:rPr>
          <w:lang w:val="pt-BR"/>
        </w:rPr>
        <w:t>primeiros homens brancos a p</w:t>
      </w:r>
      <w:r w:rsidRPr="00392EAD">
        <w:rPr>
          <w:lang w:val="pt-BR"/>
        </w:rPr>
        <w:t xml:space="preserve">isarem no município foram os </w:t>
      </w:r>
      <w:r w:rsidRPr="00392EAD">
        <w:rPr>
          <w:spacing w:val="6"/>
          <w:lang w:val="pt-BR"/>
        </w:rPr>
        <w:t xml:space="preserve">jesuítas, </w:t>
      </w:r>
      <w:r w:rsidRPr="00392EAD">
        <w:rPr>
          <w:spacing w:val="3"/>
          <w:lang w:val="pt-BR"/>
        </w:rPr>
        <w:t xml:space="preserve">no </w:t>
      </w:r>
      <w:r w:rsidRPr="00392EAD">
        <w:rPr>
          <w:spacing w:val="5"/>
          <w:lang w:val="pt-BR"/>
        </w:rPr>
        <w:t xml:space="preserve">ano </w:t>
      </w:r>
      <w:r w:rsidRPr="00392EAD">
        <w:rPr>
          <w:spacing w:val="3"/>
          <w:lang w:val="pt-BR"/>
        </w:rPr>
        <w:t xml:space="preserve">de </w:t>
      </w:r>
      <w:r w:rsidRPr="00392EAD">
        <w:rPr>
          <w:spacing w:val="5"/>
          <w:lang w:val="pt-BR"/>
        </w:rPr>
        <w:t xml:space="preserve">1626, quando </w:t>
      </w:r>
      <w:r w:rsidRPr="00392EAD">
        <w:rPr>
          <w:spacing w:val="6"/>
          <w:lang w:val="pt-BR"/>
        </w:rPr>
        <w:t xml:space="preserve">fundaram </w:t>
      </w:r>
      <w:r w:rsidRPr="00392EAD">
        <w:rPr>
          <w:lang w:val="pt-BR"/>
        </w:rPr>
        <w:t xml:space="preserve">a </w:t>
      </w:r>
      <w:r w:rsidRPr="00392EAD">
        <w:rPr>
          <w:spacing w:val="7"/>
          <w:lang w:val="pt-BR"/>
        </w:rPr>
        <w:t xml:space="preserve">redução </w:t>
      </w:r>
      <w:r w:rsidRPr="00392EAD">
        <w:rPr>
          <w:lang w:val="pt-BR"/>
        </w:rPr>
        <w:t>[espaço físico onde os jesuítas conviviam com os índios, com uma praça central, igreja, colégio, oficina, etc.] de São Miguel e trouxeram os primeiros bovinos. Em seguida, for</w:t>
      </w:r>
      <w:r w:rsidRPr="00392EAD">
        <w:rPr>
          <w:lang w:val="pt-BR"/>
        </w:rPr>
        <w:t xml:space="preserve">maram-se as vacarias, despertando o interesse do centro do Brasil, que sofria com a queda do ciclo da cana de açúcar, ouro e café. Assim, surgiram, em São Martinho, tropeiros e bandeirantes à </w:t>
      </w:r>
      <w:r w:rsidRPr="00392EAD">
        <w:rPr>
          <w:spacing w:val="5"/>
          <w:lang w:val="pt-BR"/>
        </w:rPr>
        <w:t>procura</w:t>
      </w:r>
      <w:r w:rsidRPr="00392EAD">
        <w:rPr>
          <w:spacing w:val="36"/>
          <w:lang w:val="pt-BR"/>
        </w:rPr>
        <w:t xml:space="preserve"> </w:t>
      </w:r>
      <w:r w:rsidRPr="00392EAD">
        <w:rPr>
          <w:spacing w:val="2"/>
          <w:lang w:val="pt-BR"/>
        </w:rPr>
        <w:t>de</w:t>
      </w:r>
      <w:r w:rsidRPr="00392EAD">
        <w:rPr>
          <w:spacing w:val="36"/>
          <w:lang w:val="pt-BR"/>
        </w:rPr>
        <w:t xml:space="preserve"> </w:t>
      </w:r>
      <w:r w:rsidRPr="00392EAD">
        <w:rPr>
          <w:spacing w:val="3"/>
          <w:lang w:val="pt-BR"/>
        </w:rPr>
        <w:t>ouro,</w:t>
      </w:r>
      <w:r w:rsidRPr="00392EAD">
        <w:rPr>
          <w:spacing w:val="36"/>
          <w:lang w:val="pt-BR"/>
        </w:rPr>
        <w:t xml:space="preserve"> </w:t>
      </w:r>
      <w:r w:rsidRPr="00392EAD">
        <w:rPr>
          <w:spacing w:val="2"/>
          <w:lang w:val="pt-BR"/>
        </w:rPr>
        <w:t>da</w:t>
      </w:r>
      <w:r w:rsidRPr="00392EAD">
        <w:rPr>
          <w:spacing w:val="36"/>
          <w:lang w:val="pt-BR"/>
        </w:rPr>
        <w:t xml:space="preserve"> </w:t>
      </w:r>
      <w:r w:rsidRPr="00392EAD">
        <w:rPr>
          <w:spacing w:val="3"/>
          <w:lang w:val="pt-BR"/>
        </w:rPr>
        <w:t>caça</w:t>
      </w:r>
      <w:r w:rsidRPr="00392EAD">
        <w:rPr>
          <w:spacing w:val="36"/>
          <w:lang w:val="pt-BR"/>
        </w:rPr>
        <w:t xml:space="preserve"> </w:t>
      </w:r>
      <w:r w:rsidRPr="00392EAD">
        <w:rPr>
          <w:spacing w:val="2"/>
          <w:lang w:val="pt-BR"/>
        </w:rPr>
        <w:t>de</w:t>
      </w:r>
      <w:r w:rsidRPr="00392EAD">
        <w:rPr>
          <w:spacing w:val="36"/>
          <w:lang w:val="pt-BR"/>
        </w:rPr>
        <w:t xml:space="preserve"> </w:t>
      </w:r>
      <w:r w:rsidRPr="00392EAD">
        <w:rPr>
          <w:spacing w:val="5"/>
          <w:lang w:val="pt-BR"/>
        </w:rPr>
        <w:t>índios</w:t>
      </w:r>
      <w:r w:rsidRPr="00392EAD">
        <w:rPr>
          <w:spacing w:val="36"/>
          <w:lang w:val="pt-BR"/>
        </w:rPr>
        <w:t xml:space="preserve"> </w:t>
      </w:r>
      <w:r w:rsidRPr="00392EAD">
        <w:rPr>
          <w:spacing w:val="3"/>
          <w:lang w:val="pt-BR"/>
        </w:rPr>
        <w:t>para</w:t>
      </w:r>
      <w:r w:rsidRPr="00392EAD">
        <w:rPr>
          <w:spacing w:val="36"/>
          <w:lang w:val="pt-BR"/>
        </w:rPr>
        <w:t xml:space="preserve"> </w:t>
      </w:r>
      <w:r w:rsidRPr="00392EAD">
        <w:rPr>
          <w:spacing w:val="5"/>
          <w:lang w:val="pt-BR"/>
        </w:rPr>
        <w:t>escravizá-los</w:t>
      </w:r>
      <w:r w:rsidRPr="00392EAD">
        <w:rPr>
          <w:spacing w:val="36"/>
          <w:lang w:val="pt-BR"/>
        </w:rPr>
        <w:t xml:space="preserve"> </w:t>
      </w:r>
      <w:r w:rsidRPr="00392EAD">
        <w:rPr>
          <w:lang w:val="pt-BR"/>
        </w:rPr>
        <w:t>e</w:t>
      </w:r>
    </w:p>
    <w:p w:rsidR="00D81F69" w:rsidRPr="00392EAD" w:rsidRDefault="00D81F69">
      <w:pPr>
        <w:spacing w:line="312" w:lineRule="auto"/>
        <w:rPr>
          <w:lang w:val="pt-BR"/>
        </w:rPr>
        <w:sectPr w:rsidR="00D81F69" w:rsidRPr="00392EAD">
          <w:type w:val="continuous"/>
          <w:pgSz w:w="11900" w:h="16840"/>
          <w:pgMar w:top="720" w:right="500" w:bottom="280" w:left="620" w:header="720" w:footer="720" w:gutter="0"/>
          <w:cols w:num="3" w:space="720" w:equalWidth="0">
            <w:col w:w="1903" w:space="97"/>
            <w:col w:w="3122" w:space="313"/>
            <w:col w:w="5345"/>
          </w:cols>
        </w:sectPr>
      </w:pPr>
    </w:p>
    <w:p w:rsidR="00D81F69" w:rsidRPr="00392EAD" w:rsidRDefault="00330118">
      <w:pPr>
        <w:pStyle w:val="Heading4"/>
        <w:spacing w:line="229" w:lineRule="exact"/>
        <w:rPr>
          <w:lang w:val="pt-BR"/>
        </w:rPr>
      </w:pPr>
      <w:r w:rsidRPr="00392EAD">
        <w:rPr>
          <w:lang w:val="pt-BR"/>
        </w:rPr>
        <w:lastRenderedPageBreak/>
        <w:t>APRESENTAÇÃO DE CASO</w:t>
      </w:r>
    </w:p>
    <w:p w:rsidR="00D81F69" w:rsidRPr="00392EAD" w:rsidRDefault="00330118">
      <w:pPr>
        <w:pStyle w:val="Corpodetexto"/>
        <w:spacing w:before="170" w:line="312" w:lineRule="auto"/>
        <w:ind w:right="44"/>
        <w:rPr>
          <w:lang w:val="pt-BR"/>
        </w:rPr>
      </w:pPr>
      <w:r w:rsidRPr="00392EAD">
        <w:rPr>
          <w:lang w:val="pt-BR"/>
        </w:rPr>
        <w:t xml:space="preserve">Depois de Minas Gerais, o Rio Grande do Sul é a província mineral de maior expressão em produção de pedras preciosas do Brasil. </w:t>
      </w:r>
      <w:r>
        <w:t xml:space="preserve">Por isso, recebeu atenção especial do governo, no sentido de racionalizar a produção, apoiando a criação e o desenvolvimento do </w:t>
      </w:r>
      <w:r>
        <w:t xml:space="preserve">Arranjo Produtivo Local (APL) de Gemas e Joias do Rio Grande do Sul (ALMEIDA, 2008). </w:t>
      </w:r>
      <w:r w:rsidRPr="00392EAD">
        <w:rPr>
          <w:lang w:val="pt-BR"/>
        </w:rPr>
        <w:t>O estado é um dos grandes fornecedores de gemas do mundo, não propriamente pela diversidade, mas pelo significativo volume de gemas que produz, especialmente ágata e ameti</w:t>
      </w:r>
      <w:r w:rsidRPr="00392EAD">
        <w:rPr>
          <w:lang w:val="pt-BR"/>
        </w:rPr>
        <w:t>sta (ALBERTI et al., 2003 apud BONUMÁ et al., 2006).</w:t>
      </w:r>
    </w:p>
    <w:p w:rsidR="00D81F69" w:rsidRPr="00392EAD" w:rsidRDefault="00330118">
      <w:pPr>
        <w:pStyle w:val="Corpodetexto"/>
        <w:spacing w:before="139" w:line="312" w:lineRule="auto"/>
        <w:ind w:right="40"/>
        <w:rPr>
          <w:lang w:val="pt-BR"/>
        </w:rPr>
      </w:pPr>
      <w:r w:rsidRPr="00392EAD">
        <w:rPr>
          <w:spacing w:val="1"/>
          <w:lang w:val="pt-BR"/>
        </w:rPr>
        <w:t xml:space="preserve">Em </w:t>
      </w:r>
      <w:r w:rsidRPr="00392EAD">
        <w:rPr>
          <w:spacing w:val="3"/>
          <w:lang w:val="pt-BR"/>
        </w:rPr>
        <w:t xml:space="preserve">2006/07, </w:t>
      </w:r>
      <w:r w:rsidRPr="00392EAD">
        <w:rPr>
          <w:lang w:val="pt-BR"/>
        </w:rPr>
        <w:t xml:space="preserve">o </w:t>
      </w:r>
      <w:r w:rsidRPr="00392EAD">
        <w:rPr>
          <w:spacing w:val="2"/>
          <w:lang w:val="pt-BR"/>
        </w:rPr>
        <w:t xml:space="preserve">Rio </w:t>
      </w:r>
      <w:r w:rsidRPr="00392EAD">
        <w:rPr>
          <w:spacing w:val="3"/>
          <w:lang w:val="pt-BR"/>
        </w:rPr>
        <w:t xml:space="preserve">Grande </w:t>
      </w:r>
      <w:r w:rsidRPr="00392EAD">
        <w:rPr>
          <w:spacing w:val="1"/>
          <w:lang w:val="pt-BR"/>
        </w:rPr>
        <w:t xml:space="preserve">do </w:t>
      </w:r>
      <w:r w:rsidRPr="00392EAD">
        <w:rPr>
          <w:spacing w:val="2"/>
          <w:lang w:val="pt-BR"/>
        </w:rPr>
        <w:t xml:space="preserve">Sul </w:t>
      </w:r>
      <w:r w:rsidRPr="00392EAD">
        <w:rPr>
          <w:spacing w:val="3"/>
          <w:lang w:val="pt-BR"/>
        </w:rPr>
        <w:t xml:space="preserve">exportou, </w:t>
      </w:r>
      <w:r w:rsidRPr="00392EAD">
        <w:rPr>
          <w:spacing w:val="5"/>
          <w:lang w:val="pt-BR"/>
        </w:rPr>
        <w:t xml:space="preserve">oficialmente, </w:t>
      </w:r>
      <w:r w:rsidRPr="00392EAD">
        <w:rPr>
          <w:lang w:val="pt-BR"/>
        </w:rPr>
        <w:t xml:space="preserve">cerca de US$60 milhões em pedras brutas e lapidadas. Esta produção foi, especialmente, para a China – que se tornou o </w:t>
      </w:r>
      <w:r w:rsidRPr="00392EAD">
        <w:rPr>
          <w:spacing w:val="3"/>
          <w:lang w:val="pt-BR"/>
        </w:rPr>
        <w:t xml:space="preserve">maior </w:t>
      </w:r>
      <w:r w:rsidRPr="00392EAD">
        <w:rPr>
          <w:spacing w:val="5"/>
          <w:lang w:val="pt-BR"/>
        </w:rPr>
        <w:t xml:space="preserve">comprador </w:t>
      </w:r>
      <w:r w:rsidRPr="00392EAD">
        <w:rPr>
          <w:spacing w:val="3"/>
          <w:lang w:val="pt-BR"/>
        </w:rPr>
        <w:t xml:space="preserve">nos </w:t>
      </w:r>
      <w:r w:rsidRPr="00392EAD">
        <w:rPr>
          <w:spacing w:val="5"/>
          <w:lang w:val="pt-BR"/>
        </w:rPr>
        <w:t xml:space="preserve">últimos </w:t>
      </w:r>
      <w:r w:rsidRPr="00392EAD">
        <w:rPr>
          <w:spacing w:val="3"/>
          <w:lang w:val="pt-BR"/>
        </w:rPr>
        <w:t>a</w:t>
      </w:r>
      <w:r w:rsidRPr="00392EAD">
        <w:rPr>
          <w:spacing w:val="3"/>
          <w:lang w:val="pt-BR"/>
        </w:rPr>
        <w:t xml:space="preserve">nos </w:t>
      </w:r>
      <w:r w:rsidRPr="00392EAD">
        <w:rPr>
          <w:lang w:val="pt-BR"/>
        </w:rPr>
        <w:t xml:space="preserve">– e </w:t>
      </w:r>
      <w:r w:rsidRPr="00392EAD">
        <w:rPr>
          <w:spacing w:val="5"/>
          <w:lang w:val="pt-BR"/>
        </w:rPr>
        <w:t xml:space="preserve">também </w:t>
      </w:r>
      <w:r w:rsidRPr="00392EAD">
        <w:rPr>
          <w:spacing w:val="3"/>
          <w:lang w:val="pt-BR"/>
        </w:rPr>
        <w:t xml:space="preserve">para </w:t>
      </w:r>
      <w:r w:rsidRPr="00392EAD">
        <w:rPr>
          <w:spacing w:val="5"/>
          <w:lang w:val="pt-BR"/>
        </w:rPr>
        <w:t xml:space="preserve">os </w:t>
      </w:r>
      <w:r w:rsidRPr="00392EAD">
        <w:rPr>
          <w:spacing w:val="7"/>
          <w:lang w:val="pt-BR"/>
        </w:rPr>
        <w:t xml:space="preserve">Estados Unidos, Itália, Japão </w:t>
      </w:r>
      <w:r w:rsidRPr="00392EAD">
        <w:rPr>
          <w:lang w:val="pt-BR"/>
        </w:rPr>
        <w:t xml:space="preserve">e </w:t>
      </w:r>
      <w:r w:rsidRPr="00392EAD">
        <w:rPr>
          <w:spacing w:val="7"/>
          <w:lang w:val="pt-BR"/>
        </w:rPr>
        <w:t xml:space="preserve">Alemanha, </w:t>
      </w:r>
      <w:r w:rsidRPr="00392EAD">
        <w:rPr>
          <w:spacing w:val="10"/>
          <w:lang w:val="pt-BR"/>
        </w:rPr>
        <w:t xml:space="preserve">mercados </w:t>
      </w:r>
      <w:r w:rsidRPr="00392EAD">
        <w:rPr>
          <w:lang w:val="pt-BR"/>
        </w:rPr>
        <w:t xml:space="preserve">tradicionais das pedras brasileiras. A expansão do mercado </w:t>
      </w:r>
      <w:r w:rsidRPr="00392EAD">
        <w:rPr>
          <w:spacing w:val="7"/>
          <w:lang w:val="pt-BR"/>
        </w:rPr>
        <w:t xml:space="preserve">de </w:t>
      </w:r>
      <w:r w:rsidRPr="00392EAD">
        <w:rPr>
          <w:spacing w:val="11"/>
          <w:lang w:val="pt-BR"/>
        </w:rPr>
        <w:t xml:space="preserve">gemas </w:t>
      </w:r>
      <w:r w:rsidRPr="00392EAD">
        <w:rPr>
          <w:lang w:val="pt-BR"/>
        </w:rPr>
        <w:t xml:space="preserve">e </w:t>
      </w:r>
      <w:r w:rsidRPr="00392EAD">
        <w:rPr>
          <w:spacing w:val="12"/>
          <w:lang w:val="pt-BR"/>
        </w:rPr>
        <w:t xml:space="preserve">pedras </w:t>
      </w:r>
      <w:r w:rsidRPr="00392EAD">
        <w:rPr>
          <w:spacing w:val="10"/>
          <w:lang w:val="pt-BR"/>
        </w:rPr>
        <w:t xml:space="preserve">fez com que </w:t>
      </w:r>
      <w:r w:rsidRPr="00392EAD">
        <w:rPr>
          <w:spacing w:val="13"/>
          <w:lang w:val="pt-BR"/>
        </w:rPr>
        <w:t xml:space="preserve">exemplares </w:t>
      </w:r>
      <w:r w:rsidRPr="00392EAD">
        <w:rPr>
          <w:spacing w:val="10"/>
          <w:lang w:val="pt-BR"/>
        </w:rPr>
        <w:t xml:space="preserve">que </w:t>
      </w:r>
      <w:r w:rsidRPr="00392EAD">
        <w:rPr>
          <w:lang w:val="pt-BR"/>
        </w:rPr>
        <w:t>anteriormente eram rejeitados, hoje sejam aproveitados em bijuterias</w:t>
      </w:r>
      <w:r w:rsidRPr="00392EAD">
        <w:rPr>
          <w:spacing w:val="20"/>
          <w:lang w:val="pt-BR"/>
        </w:rPr>
        <w:t xml:space="preserve"> </w:t>
      </w:r>
      <w:r w:rsidRPr="00392EAD">
        <w:rPr>
          <w:lang w:val="pt-BR"/>
        </w:rPr>
        <w:t>e</w:t>
      </w:r>
      <w:r w:rsidRPr="00392EAD">
        <w:rPr>
          <w:spacing w:val="20"/>
          <w:lang w:val="pt-BR"/>
        </w:rPr>
        <w:t xml:space="preserve"> </w:t>
      </w:r>
      <w:r w:rsidRPr="00392EAD">
        <w:rPr>
          <w:lang w:val="pt-BR"/>
        </w:rPr>
        <w:t>artesanato</w:t>
      </w:r>
      <w:r w:rsidRPr="00392EAD">
        <w:rPr>
          <w:spacing w:val="20"/>
          <w:lang w:val="pt-BR"/>
        </w:rPr>
        <w:t xml:space="preserve"> </w:t>
      </w:r>
      <w:r w:rsidRPr="00392EAD">
        <w:rPr>
          <w:lang w:val="pt-BR"/>
        </w:rPr>
        <w:t>mineral</w:t>
      </w:r>
      <w:r w:rsidRPr="00392EAD">
        <w:rPr>
          <w:spacing w:val="20"/>
          <w:lang w:val="pt-BR"/>
        </w:rPr>
        <w:t xml:space="preserve"> </w:t>
      </w:r>
      <w:r w:rsidRPr="00392EAD">
        <w:rPr>
          <w:lang w:val="pt-BR"/>
        </w:rPr>
        <w:t>(ALMEIDA,</w:t>
      </w:r>
      <w:r w:rsidRPr="00392EAD">
        <w:rPr>
          <w:spacing w:val="20"/>
          <w:lang w:val="pt-BR"/>
        </w:rPr>
        <w:t xml:space="preserve"> </w:t>
      </w:r>
      <w:r w:rsidRPr="00392EAD">
        <w:rPr>
          <w:spacing w:val="1"/>
          <w:lang w:val="pt-BR"/>
        </w:rPr>
        <w:t>2008).</w:t>
      </w:r>
    </w:p>
    <w:p w:rsidR="00D81F69" w:rsidRDefault="00330118">
      <w:pPr>
        <w:pStyle w:val="Corpodetexto"/>
        <w:spacing w:before="139" w:line="312" w:lineRule="auto"/>
        <w:ind w:right="38"/>
      </w:pPr>
      <w:r w:rsidRPr="00392EAD">
        <w:rPr>
          <w:lang w:val="pt-BR"/>
        </w:rPr>
        <w:t xml:space="preserve">As </w:t>
      </w:r>
      <w:r w:rsidRPr="00392EAD">
        <w:rPr>
          <w:spacing w:val="1"/>
          <w:lang w:val="pt-BR"/>
        </w:rPr>
        <w:t xml:space="preserve">frentes </w:t>
      </w:r>
      <w:r w:rsidRPr="00392EAD">
        <w:rPr>
          <w:lang w:val="pt-BR"/>
        </w:rPr>
        <w:t xml:space="preserve">de </w:t>
      </w:r>
      <w:r w:rsidRPr="00392EAD">
        <w:rPr>
          <w:spacing w:val="1"/>
          <w:lang w:val="pt-BR"/>
        </w:rPr>
        <w:t xml:space="preserve">lavra </w:t>
      </w:r>
      <w:r w:rsidRPr="00392EAD">
        <w:rPr>
          <w:lang w:val="pt-BR"/>
        </w:rPr>
        <w:t xml:space="preserve">do RS </w:t>
      </w:r>
      <w:r w:rsidRPr="00392EAD">
        <w:rPr>
          <w:spacing w:val="1"/>
          <w:lang w:val="pt-BR"/>
        </w:rPr>
        <w:t xml:space="preserve">estão produzindo </w:t>
      </w:r>
      <w:r w:rsidRPr="00392EAD">
        <w:rPr>
          <w:lang w:val="pt-BR"/>
        </w:rPr>
        <w:t xml:space="preserve">em </w:t>
      </w:r>
      <w:r w:rsidRPr="00392EAD">
        <w:rPr>
          <w:spacing w:val="1"/>
          <w:lang w:val="pt-BR"/>
        </w:rPr>
        <w:t xml:space="preserve">média </w:t>
      </w:r>
      <w:r w:rsidRPr="00392EAD">
        <w:rPr>
          <w:spacing w:val="2"/>
          <w:lang w:val="pt-BR"/>
        </w:rPr>
        <w:t xml:space="preserve">350 </w:t>
      </w:r>
      <w:r w:rsidRPr="00392EAD">
        <w:rPr>
          <w:spacing w:val="10"/>
          <w:lang w:val="pt-BR"/>
        </w:rPr>
        <w:t xml:space="preserve">t/mês </w:t>
      </w:r>
      <w:r w:rsidRPr="00392EAD">
        <w:rPr>
          <w:spacing w:val="5"/>
          <w:lang w:val="pt-BR"/>
        </w:rPr>
        <w:t xml:space="preserve">de </w:t>
      </w:r>
      <w:r w:rsidRPr="00392EAD">
        <w:rPr>
          <w:spacing w:val="10"/>
          <w:lang w:val="pt-BR"/>
        </w:rPr>
        <w:t xml:space="preserve">pedras coradas. Desses, somente </w:t>
      </w:r>
      <w:r w:rsidRPr="00392EAD">
        <w:rPr>
          <w:spacing w:val="5"/>
          <w:lang w:val="pt-BR"/>
        </w:rPr>
        <w:t xml:space="preserve">3% </w:t>
      </w:r>
      <w:r w:rsidRPr="00392EAD">
        <w:rPr>
          <w:spacing w:val="12"/>
          <w:lang w:val="pt-BR"/>
        </w:rPr>
        <w:t xml:space="preserve">(ou </w:t>
      </w:r>
      <w:r w:rsidRPr="00392EAD">
        <w:rPr>
          <w:spacing w:val="8"/>
          <w:lang w:val="pt-BR"/>
        </w:rPr>
        <w:t xml:space="preserve">aproximadamente </w:t>
      </w:r>
      <w:r w:rsidRPr="00392EAD">
        <w:rPr>
          <w:spacing w:val="5"/>
          <w:lang w:val="pt-BR"/>
        </w:rPr>
        <w:t xml:space="preserve">12 </w:t>
      </w:r>
      <w:r w:rsidRPr="00392EAD">
        <w:rPr>
          <w:spacing w:val="8"/>
          <w:lang w:val="pt-BR"/>
        </w:rPr>
        <w:t xml:space="preserve">toneladas) </w:t>
      </w:r>
      <w:r w:rsidRPr="00392EAD">
        <w:rPr>
          <w:spacing w:val="5"/>
          <w:lang w:val="pt-BR"/>
        </w:rPr>
        <w:t xml:space="preserve">são </w:t>
      </w:r>
      <w:r w:rsidRPr="00392EAD">
        <w:rPr>
          <w:spacing w:val="8"/>
          <w:lang w:val="pt-BR"/>
        </w:rPr>
        <w:t xml:space="preserve">revertidos </w:t>
      </w:r>
      <w:r w:rsidRPr="00392EAD">
        <w:rPr>
          <w:spacing w:val="6"/>
          <w:lang w:val="pt-BR"/>
        </w:rPr>
        <w:t xml:space="preserve">para </w:t>
      </w:r>
      <w:r w:rsidRPr="00392EAD">
        <w:rPr>
          <w:lang w:val="pt-BR"/>
        </w:rPr>
        <w:t xml:space="preserve">a indústria joalheira. No que diz respeito à ágata, cerca de 95% </w:t>
      </w:r>
      <w:r w:rsidRPr="00392EAD">
        <w:rPr>
          <w:spacing w:val="5"/>
          <w:lang w:val="pt-BR"/>
        </w:rPr>
        <w:t>s</w:t>
      </w:r>
      <w:r w:rsidRPr="00392EAD">
        <w:rPr>
          <w:spacing w:val="5"/>
          <w:lang w:val="pt-BR"/>
        </w:rPr>
        <w:t xml:space="preserve">ão </w:t>
      </w:r>
      <w:r w:rsidRPr="00392EAD">
        <w:rPr>
          <w:spacing w:val="6"/>
          <w:lang w:val="pt-BR"/>
        </w:rPr>
        <w:t xml:space="preserve">exportadas </w:t>
      </w:r>
      <w:r w:rsidRPr="00392EAD">
        <w:rPr>
          <w:spacing w:val="5"/>
          <w:lang w:val="pt-BR"/>
        </w:rPr>
        <w:t xml:space="preserve">como </w:t>
      </w:r>
      <w:r w:rsidRPr="00392EAD">
        <w:rPr>
          <w:spacing w:val="6"/>
          <w:lang w:val="pt-BR"/>
        </w:rPr>
        <w:t xml:space="preserve">material decorativo </w:t>
      </w:r>
      <w:r w:rsidRPr="00392EAD">
        <w:rPr>
          <w:lang w:val="pt-BR"/>
        </w:rPr>
        <w:t xml:space="preserve">e </w:t>
      </w:r>
      <w:r w:rsidRPr="00392EAD">
        <w:rPr>
          <w:spacing w:val="7"/>
          <w:lang w:val="pt-BR"/>
        </w:rPr>
        <w:t xml:space="preserve">artesanato, </w:t>
      </w:r>
      <w:r w:rsidRPr="00392EAD">
        <w:rPr>
          <w:lang w:val="pt-BR"/>
        </w:rPr>
        <w:t>enquanto uma pequena quantidade se destina à fabricação  de</w:t>
      </w:r>
      <w:r w:rsidRPr="00392EAD">
        <w:rPr>
          <w:spacing w:val="20"/>
          <w:lang w:val="pt-BR"/>
        </w:rPr>
        <w:t xml:space="preserve"> </w:t>
      </w:r>
      <w:r w:rsidRPr="00392EAD">
        <w:rPr>
          <w:lang w:val="pt-BR"/>
        </w:rPr>
        <w:t>colares,</w:t>
      </w:r>
      <w:r w:rsidRPr="00392EAD">
        <w:rPr>
          <w:spacing w:val="20"/>
          <w:lang w:val="pt-BR"/>
        </w:rPr>
        <w:t xml:space="preserve"> </w:t>
      </w:r>
      <w:r w:rsidRPr="00392EAD">
        <w:rPr>
          <w:lang w:val="pt-BR"/>
        </w:rPr>
        <w:t>brincos,</w:t>
      </w:r>
      <w:r w:rsidRPr="00392EAD">
        <w:rPr>
          <w:spacing w:val="20"/>
          <w:lang w:val="pt-BR"/>
        </w:rPr>
        <w:t xml:space="preserve"> </w:t>
      </w:r>
      <w:r w:rsidRPr="00392EAD">
        <w:rPr>
          <w:lang w:val="pt-BR"/>
        </w:rPr>
        <w:t>anéis,</w:t>
      </w:r>
      <w:r w:rsidRPr="00392EAD">
        <w:rPr>
          <w:spacing w:val="20"/>
          <w:lang w:val="pt-BR"/>
        </w:rPr>
        <w:t xml:space="preserve"> </w:t>
      </w:r>
      <w:r w:rsidRPr="00392EAD">
        <w:rPr>
          <w:lang w:val="pt-BR"/>
        </w:rPr>
        <w:t>etc.</w:t>
      </w:r>
      <w:r w:rsidRPr="00392EAD">
        <w:rPr>
          <w:spacing w:val="20"/>
          <w:lang w:val="pt-BR"/>
        </w:rPr>
        <w:t xml:space="preserve"> </w:t>
      </w:r>
      <w:r>
        <w:t>(ALMEIDA,</w:t>
      </w:r>
      <w:r>
        <w:rPr>
          <w:spacing w:val="20"/>
        </w:rPr>
        <w:t xml:space="preserve"> </w:t>
      </w:r>
      <w:r>
        <w:rPr>
          <w:spacing w:val="1"/>
        </w:rPr>
        <w:t>2008).</w:t>
      </w:r>
    </w:p>
    <w:p w:rsidR="00D81F69" w:rsidRPr="00392EAD" w:rsidRDefault="00330118">
      <w:pPr>
        <w:pStyle w:val="Corpodetexto"/>
        <w:spacing w:before="136" w:line="312" w:lineRule="auto"/>
        <w:ind w:right="42"/>
        <w:rPr>
          <w:lang w:val="pt-BR"/>
        </w:rPr>
      </w:pPr>
      <w:r w:rsidRPr="00392EAD">
        <w:rPr>
          <w:lang w:val="pt-BR"/>
        </w:rPr>
        <w:t xml:space="preserve">Os depósitos de ágata e ametista no Rio Grande do Sul estão </w:t>
      </w:r>
      <w:r w:rsidRPr="00392EAD">
        <w:rPr>
          <w:spacing w:val="1"/>
          <w:lang w:val="pt-BR"/>
        </w:rPr>
        <w:t xml:space="preserve">hospedados </w:t>
      </w:r>
      <w:r w:rsidRPr="00392EAD">
        <w:rPr>
          <w:lang w:val="pt-BR"/>
        </w:rPr>
        <w:t xml:space="preserve">nos </w:t>
      </w:r>
      <w:r w:rsidRPr="00392EAD">
        <w:rPr>
          <w:spacing w:val="1"/>
          <w:lang w:val="pt-BR"/>
        </w:rPr>
        <w:t xml:space="preserve">derrames vulcânicos </w:t>
      </w:r>
      <w:r w:rsidRPr="00392EAD">
        <w:rPr>
          <w:lang w:val="pt-BR"/>
        </w:rPr>
        <w:t>d</w:t>
      </w:r>
      <w:r w:rsidRPr="00392EAD">
        <w:rPr>
          <w:lang w:val="pt-BR"/>
        </w:rPr>
        <w:t xml:space="preserve">a </w:t>
      </w:r>
      <w:r w:rsidRPr="00392EAD">
        <w:rPr>
          <w:spacing w:val="1"/>
          <w:lang w:val="pt-BR"/>
        </w:rPr>
        <w:t xml:space="preserve">Bacia </w:t>
      </w:r>
      <w:r w:rsidRPr="00392EAD">
        <w:rPr>
          <w:lang w:val="pt-BR"/>
        </w:rPr>
        <w:t xml:space="preserve">do </w:t>
      </w:r>
      <w:r w:rsidRPr="00392EAD">
        <w:rPr>
          <w:spacing w:val="2"/>
          <w:lang w:val="pt-BR"/>
        </w:rPr>
        <w:t xml:space="preserve">Paraná, </w:t>
      </w:r>
      <w:r w:rsidRPr="00392EAD">
        <w:rPr>
          <w:lang w:val="pt-BR"/>
        </w:rPr>
        <w:t xml:space="preserve">onde a produção garimpeira tem se intensificado nos últimos </w:t>
      </w:r>
      <w:r w:rsidRPr="00392EAD">
        <w:rPr>
          <w:spacing w:val="2"/>
          <w:lang w:val="pt-BR"/>
        </w:rPr>
        <w:t xml:space="preserve">30 </w:t>
      </w:r>
      <w:r w:rsidRPr="00392EAD">
        <w:rPr>
          <w:spacing w:val="3"/>
          <w:lang w:val="pt-BR"/>
        </w:rPr>
        <w:t xml:space="preserve">anos </w:t>
      </w:r>
      <w:r w:rsidRPr="00392EAD">
        <w:rPr>
          <w:spacing w:val="5"/>
          <w:lang w:val="pt-BR"/>
        </w:rPr>
        <w:t xml:space="preserve">(ALMEIDA, 2008). </w:t>
      </w:r>
      <w:r w:rsidRPr="00392EAD">
        <w:rPr>
          <w:spacing w:val="2"/>
          <w:lang w:val="pt-BR"/>
        </w:rPr>
        <w:t xml:space="preserve">As </w:t>
      </w:r>
      <w:r w:rsidRPr="00392EAD">
        <w:rPr>
          <w:spacing w:val="5"/>
          <w:lang w:val="pt-BR"/>
        </w:rPr>
        <w:t xml:space="preserve">jazidas </w:t>
      </w:r>
      <w:r w:rsidRPr="00392EAD">
        <w:rPr>
          <w:spacing w:val="3"/>
          <w:lang w:val="pt-BR"/>
        </w:rPr>
        <w:t xml:space="preserve">estão </w:t>
      </w:r>
      <w:r w:rsidRPr="00392EAD">
        <w:rPr>
          <w:spacing w:val="5"/>
          <w:lang w:val="pt-BR"/>
        </w:rPr>
        <w:t xml:space="preserve">localizadas </w:t>
      </w:r>
      <w:r w:rsidRPr="00392EAD">
        <w:rPr>
          <w:lang w:val="pt-BR"/>
        </w:rPr>
        <w:t xml:space="preserve">principalmente ao norte do estado, mas ainda há depósitos de </w:t>
      </w:r>
      <w:r w:rsidRPr="00392EAD">
        <w:rPr>
          <w:spacing w:val="5"/>
          <w:lang w:val="pt-BR"/>
        </w:rPr>
        <w:t xml:space="preserve">menor expressão </w:t>
      </w:r>
      <w:r w:rsidRPr="00392EAD">
        <w:rPr>
          <w:spacing w:val="2"/>
          <w:lang w:val="pt-BR"/>
        </w:rPr>
        <w:t xml:space="preserve">na </w:t>
      </w:r>
      <w:r w:rsidRPr="00392EAD">
        <w:rPr>
          <w:spacing w:val="5"/>
          <w:lang w:val="pt-BR"/>
        </w:rPr>
        <w:t xml:space="preserve">porção central, onde </w:t>
      </w:r>
      <w:r w:rsidRPr="00392EAD">
        <w:rPr>
          <w:spacing w:val="2"/>
          <w:lang w:val="pt-BR"/>
        </w:rPr>
        <w:t xml:space="preserve">se </w:t>
      </w:r>
      <w:r w:rsidRPr="00392EAD">
        <w:rPr>
          <w:spacing w:val="5"/>
          <w:lang w:val="pt-BR"/>
        </w:rPr>
        <w:t xml:space="preserve">destaca </w:t>
      </w:r>
      <w:r w:rsidRPr="00392EAD">
        <w:rPr>
          <w:lang w:val="pt-BR"/>
        </w:rPr>
        <w:t>o município</w:t>
      </w:r>
      <w:r w:rsidRPr="00392EAD">
        <w:rPr>
          <w:lang w:val="pt-BR"/>
        </w:rPr>
        <w:t xml:space="preserve"> de São Martinho da Serra (MICHELIN, 2007), que </w:t>
      </w:r>
      <w:r w:rsidRPr="00392EAD">
        <w:rPr>
          <w:spacing w:val="5"/>
          <w:lang w:val="pt-BR"/>
        </w:rPr>
        <w:t xml:space="preserve">integra </w:t>
      </w:r>
      <w:r w:rsidRPr="00392EAD">
        <w:rPr>
          <w:lang w:val="pt-BR"/>
        </w:rPr>
        <w:t xml:space="preserve">o </w:t>
      </w:r>
      <w:r w:rsidRPr="00392EAD">
        <w:rPr>
          <w:spacing w:val="3"/>
          <w:lang w:val="pt-BR"/>
        </w:rPr>
        <w:t xml:space="preserve">APL </w:t>
      </w:r>
      <w:r w:rsidRPr="00392EAD">
        <w:rPr>
          <w:spacing w:val="2"/>
          <w:lang w:val="pt-BR"/>
        </w:rPr>
        <w:t xml:space="preserve">de </w:t>
      </w:r>
      <w:r w:rsidRPr="00392EAD">
        <w:rPr>
          <w:spacing w:val="3"/>
          <w:lang w:val="pt-BR"/>
        </w:rPr>
        <w:t xml:space="preserve">Gemas </w:t>
      </w:r>
      <w:r w:rsidRPr="00392EAD">
        <w:rPr>
          <w:lang w:val="pt-BR"/>
        </w:rPr>
        <w:t xml:space="preserve">e </w:t>
      </w:r>
      <w:r w:rsidRPr="00392EAD">
        <w:rPr>
          <w:spacing w:val="3"/>
          <w:lang w:val="pt-BR"/>
        </w:rPr>
        <w:t xml:space="preserve">Joias </w:t>
      </w:r>
      <w:r w:rsidRPr="00392EAD">
        <w:rPr>
          <w:spacing w:val="2"/>
          <w:lang w:val="pt-BR"/>
        </w:rPr>
        <w:t xml:space="preserve">do </w:t>
      </w:r>
      <w:r w:rsidRPr="00392EAD">
        <w:rPr>
          <w:spacing w:val="3"/>
          <w:lang w:val="pt-BR"/>
        </w:rPr>
        <w:t xml:space="preserve">Rio </w:t>
      </w:r>
      <w:r w:rsidRPr="00392EAD">
        <w:rPr>
          <w:spacing w:val="5"/>
          <w:lang w:val="pt-BR"/>
        </w:rPr>
        <w:t xml:space="preserve">Grande </w:t>
      </w:r>
      <w:r w:rsidRPr="00392EAD">
        <w:rPr>
          <w:spacing w:val="2"/>
          <w:lang w:val="pt-BR"/>
        </w:rPr>
        <w:t xml:space="preserve">do </w:t>
      </w:r>
      <w:r w:rsidRPr="00392EAD">
        <w:rPr>
          <w:spacing w:val="5"/>
          <w:lang w:val="pt-BR"/>
        </w:rPr>
        <w:t>Sul</w:t>
      </w:r>
      <w:r w:rsidRPr="00392EAD">
        <w:rPr>
          <w:spacing w:val="61"/>
          <w:lang w:val="pt-BR"/>
        </w:rPr>
        <w:t xml:space="preserve"> </w:t>
      </w:r>
      <w:r w:rsidRPr="00392EAD">
        <w:rPr>
          <w:spacing w:val="5"/>
          <w:lang w:val="pt-BR"/>
        </w:rPr>
        <w:t>(ALMEIDA, 2008).</w:t>
      </w:r>
    </w:p>
    <w:p w:rsidR="00D81F69" w:rsidRPr="00392EAD" w:rsidRDefault="00330118">
      <w:pPr>
        <w:pStyle w:val="Corpodetexto"/>
        <w:spacing w:before="9" w:line="312" w:lineRule="auto"/>
        <w:ind w:right="210"/>
        <w:rPr>
          <w:lang w:val="pt-BR"/>
        </w:rPr>
      </w:pPr>
      <w:r w:rsidRPr="00392EAD">
        <w:rPr>
          <w:lang w:val="pt-BR"/>
        </w:rPr>
        <w:br w:type="column"/>
      </w:r>
      <w:r w:rsidRPr="00392EAD">
        <w:rPr>
          <w:lang w:val="pt-BR"/>
        </w:rPr>
        <w:lastRenderedPageBreak/>
        <w:t>também do arrebanho de gado (SITE OFICIAL DE SÃO MARTINHO DA SERRA, 2011b).</w:t>
      </w:r>
    </w:p>
    <w:p w:rsidR="00D81F69" w:rsidRPr="00392EAD" w:rsidRDefault="00330118">
      <w:pPr>
        <w:pStyle w:val="Corpodetexto"/>
        <w:spacing w:before="131" w:line="312" w:lineRule="auto"/>
        <w:ind w:right="194"/>
        <w:rPr>
          <w:lang w:val="pt-BR"/>
        </w:rPr>
      </w:pPr>
      <w:r w:rsidRPr="00392EAD">
        <w:rPr>
          <w:lang w:val="pt-BR"/>
        </w:rPr>
        <w:t xml:space="preserve">O município localiza-se na região das cabeceiras da bacia do rio Ibicuí Mirim – formador do rio Ibicuí, principal afluente do </w:t>
      </w:r>
      <w:r w:rsidRPr="00392EAD">
        <w:rPr>
          <w:spacing w:val="3"/>
          <w:lang w:val="pt-BR"/>
        </w:rPr>
        <w:t xml:space="preserve">rio </w:t>
      </w:r>
      <w:r w:rsidRPr="00392EAD">
        <w:rPr>
          <w:spacing w:val="5"/>
          <w:lang w:val="pt-BR"/>
        </w:rPr>
        <w:t xml:space="preserve">Uruguai (BONUMÁ, 2006) </w:t>
      </w:r>
      <w:r w:rsidRPr="00392EAD">
        <w:rPr>
          <w:spacing w:val="2"/>
          <w:lang w:val="pt-BR"/>
        </w:rPr>
        <w:t xml:space="preserve">–, </w:t>
      </w:r>
      <w:r w:rsidRPr="00392EAD">
        <w:rPr>
          <w:spacing w:val="3"/>
          <w:lang w:val="pt-BR"/>
        </w:rPr>
        <w:t xml:space="preserve">que </w:t>
      </w:r>
      <w:r w:rsidRPr="00392EAD">
        <w:rPr>
          <w:spacing w:val="5"/>
          <w:lang w:val="pt-BR"/>
        </w:rPr>
        <w:t xml:space="preserve">apresenta </w:t>
      </w:r>
      <w:r w:rsidRPr="00392EAD">
        <w:rPr>
          <w:spacing w:val="6"/>
          <w:lang w:val="pt-BR"/>
        </w:rPr>
        <w:t xml:space="preserve">elevado </w:t>
      </w:r>
      <w:r w:rsidRPr="00392EAD">
        <w:rPr>
          <w:spacing w:val="7"/>
          <w:lang w:val="pt-BR"/>
        </w:rPr>
        <w:t xml:space="preserve">potencial </w:t>
      </w:r>
      <w:r w:rsidRPr="00392EAD">
        <w:rPr>
          <w:spacing w:val="8"/>
          <w:lang w:val="pt-BR"/>
        </w:rPr>
        <w:t xml:space="preserve">gemológico. </w:t>
      </w:r>
      <w:r w:rsidRPr="00392EAD">
        <w:rPr>
          <w:lang w:val="pt-BR"/>
        </w:rPr>
        <w:t xml:space="preserve">A </w:t>
      </w:r>
      <w:r w:rsidRPr="00392EAD">
        <w:rPr>
          <w:spacing w:val="6"/>
          <w:lang w:val="pt-BR"/>
        </w:rPr>
        <w:t xml:space="preserve">área </w:t>
      </w:r>
      <w:r w:rsidRPr="00392EAD">
        <w:rPr>
          <w:lang w:val="pt-BR"/>
        </w:rPr>
        <w:t xml:space="preserve">é </w:t>
      </w:r>
      <w:r w:rsidRPr="00392EAD">
        <w:rPr>
          <w:spacing w:val="7"/>
          <w:lang w:val="pt-BR"/>
        </w:rPr>
        <w:t xml:space="preserve">composta </w:t>
      </w:r>
      <w:r w:rsidRPr="00392EAD">
        <w:rPr>
          <w:spacing w:val="5"/>
          <w:lang w:val="pt-BR"/>
        </w:rPr>
        <w:t xml:space="preserve">por </w:t>
      </w:r>
      <w:r w:rsidRPr="00392EAD">
        <w:rPr>
          <w:spacing w:val="10"/>
          <w:lang w:val="pt-BR"/>
        </w:rPr>
        <w:t xml:space="preserve">rochas </w:t>
      </w:r>
      <w:r w:rsidRPr="00392EAD">
        <w:rPr>
          <w:lang w:val="pt-BR"/>
        </w:rPr>
        <w:t>vulcânicas da Formação Serr</w:t>
      </w:r>
      <w:r w:rsidRPr="00392EAD">
        <w:rPr>
          <w:lang w:val="pt-BR"/>
        </w:rPr>
        <w:t xml:space="preserve">a Geral, a qual está subdividida em duas sequências – a Ácida Superior e a Básica Inferior.  As jazidas ficam na sequência inferior, formada por diversos </w:t>
      </w:r>
      <w:r w:rsidRPr="00392EAD">
        <w:rPr>
          <w:spacing w:val="3"/>
          <w:lang w:val="pt-BR"/>
        </w:rPr>
        <w:t xml:space="preserve">derrames basálticos horizontalizados </w:t>
      </w:r>
      <w:r w:rsidRPr="00392EAD">
        <w:rPr>
          <w:spacing w:val="1"/>
          <w:lang w:val="pt-BR"/>
        </w:rPr>
        <w:t xml:space="preserve">de </w:t>
      </w:r>
      <w:r w:rsidRPr="00392EAD">
        <w:rPr>
          <w:spacing w:val="2"/>
          <w:lang w:val="pt-BR"/>
        </w:rPr>
        <w:t xml:space="preserve">cor </w:t>
      </w:r>
      <w:r w:rsidRPr="00392EAD">
        <w:rPr>
          <w:spacing w:val="5"/>
          <w:lang w:val="pt-BR"/>
        </w:rPr>
        <w:t xml:space="preserve">cinza-escura (VIERA </w:t>
      </w:r>
      <w:r w:rsidRPr="00392EAD">
        <w:rPr>
          <w:spacing w:val="2"/>
          <w:lang w:val="pt-BR"/>
        </w:rPr>
        <w:t xml:space="preserve">et </w:t>
      </w:r>
      <w:r w:rsidRPr="00392EAD">
        <w:rPr>
          <w:spacing w:val="3"/>
          <w:lang w:val="pt-BR"/>
        </w:rPr>
        <w:t xml:space="preserve">al., 2002 apud </w:t>
      </w:r>
      <w:r w:rsidRPr="00392EAD">
        <w:rPr>
          <w:spacing w:val="5"/>
          <w:lang w:val="pt-BR"/>
        </w:rPr>
        <w:t xml:space="preserve">BONUMÁ, 2006). </w:t>
      </w:r>
      <w:r w:rsidRPr="00392EAD">
        <w:rPr>
          <w:spacing w:val="2"/>
          <w:lang w:val="pt-BR"/>
        </w:rPr>
        <w:t xml:space="preserve">As </w:t>
      </w:r>
      <w:r w:rsidRPr="00392EAD">
        <w:rPr>
          <w:spacing w:val="3"/>
          <w:lang w:val="pt-BR"/>
        </w:rPr>
        <w:t>ár</w:t>
      </w:r>
      <w:r w:rsidRPr="00392EAD">
        <w:rPr>
          <w:spacing w:val="3"/>
          <w:lang w:val="pt-BR"/>
        </w:rPr>
        <w:t xml:space="preserve">eas </w:t>
      </w:r>
      <w:r w:rsidRPr="00392EAD">
        <w:rPr>
          <w:spacing w:val="5"/>
          <w:lang w:val="pt-BR"/>
        </w:rPr>
        <w:t xml:space="preserve">de </w:t>
      </w:r>
      <w:r w:rsidRPr="00392EAD">
        <w:rPr>
          <w:spacing w:val="3"/>
          <w:lang w:val="pt-BR"/>
        </w:rPr>
        <w:t xml:space="preserve">garimpo situam-se </w:t>
      </w:r>
      <w:r w:rsidRPr="00392EAD">
        <w:rPr>
          <w:spacing w:val="2"/>
          <w:lang w:val="pt-BR"/>
        </w:rPr>
        <w:t xml:space="preserve">nas </w:t>
      </w:r>
      <w:r w:rsidRPr="00392EAD">
        <w:rPr>
          <w:spacing w:val="3"/>
          <w:lang w:val="pt-BR"/>
        </w:rPr>
        <w:t xml:space="preserve">cotas </w:t>
      </w:r>
      <w:r w:rsidRPr="00392EAD">
        <w:rPr>
          <w:spacing w:val="2"/>
          <w:lang w:val="pt-BR"/>
        </w:rPr>
        <w:t xml:space="preserve">mais </w:t>
      </w:r>
      <w:r w:rsidRPr="00392EAD">
        <w:rPr>
          <w:spacing w:val="3"/>
          <w:lang w:val="pt-BR"/>
        </w:rPr>
        <w:t xml:space="preserve">baixas </w:t>
      </w:r>
      <w:r w:rsidRPr="00392EAD">
        <w:rPr>
          <w:spacing w:val="1"/>
          <w:lang w:val="pt-BR"/>
        </w:rPr>
        <w:t xml:space="preserve">da </w:t>
      </w:r>
      <w:r w:rsidRPr="00392EAD">
        <w:rPr>
          <w:spacing w:val="3"/>
          <w:lang w:val="pt-BR"/>
        </w:rPr>
        <w:t xml:space="preserve">bacia, </w:t>
      </w:r>
      <w:r w:rsidRPr="00392EAD">
        <w:rPr>
          <w:spacing w:val="5"/>
          <w:lang w:val="pt-BR"/>
        </w:rPr>
        <w:t xml:space="preserve">onde </w:t>
      </w:r>
      <w:r w:rsidRPr="00392EAD">
        <w:rPr>
          <w:spacing w:val="3"/>
          <w:lang w:val="pt-BR"/>
        </w:rPr>
        <w:t xml:space="preserve">ainda existem locais preservados, </w:t>
      </w:r>
      <w:r w:rsidRPr="00392EAD">
        <w:rPr>
          <w:spacing w:val="2"/>
          <w:lang w:val="pt-BR"/>
        </w:rPr>
        <w:t xml:space="preserve">mas que, pelo </w:t>
      </w:r>
      <w:r w:rsidRPr="00392EAD">
        <w:rPr>
          <w:spacing w:val="5"/>
          <w:lang w:val="pt-BR"/>
        </w:rPr>
        <w:t xml:space="preserve">avanço </w:t>
      </w:r>
      <w:r w:rsidRPr="00392EAD">
        <w:rPr>
          <w:spacing w:val="3"/>
          <w:lang w:val="pt-BR"/>
        </w:rPr>
        <w:t xml:space="preserve">agrícola </w:t>
      </w:r>
      <w:r w:rsidRPr="00392EAD">
        <w:rPr>
          <w:lang w:val="pt-BR"/>
        </w:rPr>
        <w:t xml:space="preserve">e </w:t>
      </w:r>
      <w:r w:rsidRPr="00392EAD">
        <w:rPr>
          <w:spacing w:val="3"/>
          <w:lang w:val="pt-BR"/>
        </w:rPr>
        <w:t xml:space="preserve">extrativista, correm </w:t>
      </w:r>
      <w:r w:rsidRPr="00392EAD">
        <w:rPr>
          <w:lang w:val="pt-BR"/>
        </w:rPr>
        <w:t xml:space="preserve">o </w:t>
      </w:r>
      <w:r w:rsidRPr="00392EAD">
        <w:rPr>
          <w:spacing w:val="3"/>
          <w:lang w:val="pt-BR"/>
        </w:rPr>
        <w:t xml:space="preserve">risco </w:t>
      </w:r>
      <w:r w:rsidRPr="00392EAD">
        <w:rPr>
          <w:spacing w:val="1"/>
          <w:lang w:val="pt-BR"/>
        </w:rPr>
        <w:t xml:space="preserve">de </w:t>
      </w:r>
      <w:r w:rsidRPr="00392EAD">
        <w:rPr>
          <w:spacing w:val="2"/>
          <w:lang w:val="pt-BR"/>
        </w:rPr>
        <w:t xml:space="preserve">ser </w:t>
      </w:r>
      <w:r w:rsidRPr="00392EAD">
        <w:rPr>
          <w:spacing w:val="5"/>
          <w:lang w:val="pt-BR"/>
        </w:rPr>
        <w:t xml:space="preserve">degradados </w:t>
      </w:r>
      <w:r w:rsidRPr="00392EAD">
        <w:rPr>
          <w:spacing w:val="3"/>
          <w:lang w:val="pt-BR"/>
        </w:rPr>
        <w:t>(BONUMÁ,</w:t>
      </w:r>
      <w:r w:rsidRPr="00392EAD">
        <w:rPr>
          <w:spacing w:val="28"/>
          <w:lang w:val="pt-BR"/>
        </w:rPr>
        <w:t xml:space="preserve"> </w:t>
      </w:r>
      <w:r w:rsidRPr="00392EAD">
        <w:rPr>
          <w:spacing w:val="5"/>
          <w:lang w:val="pt-BR"/>
        </w:rPr>
        <w:t>2006).</w:t>
      </w:r>
    </w:p>
    <w:p w:rsidR="00D81F69" w:rsidRPr="00392EAD" w:rsidRDefault="00330118">
      <w:pPr>
        <w:pStyle w:val="Corpodetexto"/>
        <w:spacing w:before="142" w:line="312" w:lineRule="auto"/>
        <w:ind w:right="195"/>
        <w:rPr>
          <w:lang w:val="pt-BR"/>
        </w:rPr>
      </w:pPr>
      <w:r w:rsidRPr="00392EAD">
        <w:rPr>
          <w:lang w:val="pt-BR"/>
        </w:rPr>
        <w:t xml:space="preserve">Já em 1993, a Promotoria Pública do Estado do Rio Grande do Sul, </w:t>
      </w:r>
      <w:r w:rsidRPr="00392EAD">
        <w:rPr>
          <w:lang w:val="pt-BR"/>
        </w:rPr>
        <w:t xml:space="preserve">tendo conhecimento da existência de lavra garimpeira </w:t>
      </w:r>
      <w:r w:rsidRPr="00392EAD">
        <w:rPr>
          <w:spacing w:val="3"/>
          <w:lang w:val="pt-BR"/>
        </w:rPr>
        <w:t xml:space="preserve">clandestina </w:t>
      </w:r>
      <w:r w:rsidRPr="00392EAD">
        <w:rPr>
          <w:spacing w:val="1"/>
          <w:lang w:val="pt-BR"/>
        </w:rPr>
        <w:t xml:space="preserve">em </w:t>
      </w:r>
      <w:r w:rsidRPr="00392EAD">
        <w:rPr>
          <w:spacing w:val="2"/>
          <w:lang w:val="pt-BR"/>
        </w:rPr>
        <w:t xml:space="preserve">São </w:t>
      </w:r>
      <w:r w:rsidRPr="00392EAD">
        <w:rPr>
          <w:spacing w:val="3"/>
          <w:lang w:val="pt-BR"/>
        </w:rPr>
        <w:t xml:space="preserve">Martinho </w:t>
      </w:r>
      <w:r w:rsidRPr="00392EAD">
        <w:rPr>
          <w:spacing w:val="1"/>
          <w:lang w:val="pt-BR"/>
        </w:rPr>
        <w:t xml:space="preserve">da </w:t>
      </w:r>
      <w:r w:rsidRPr="00392EAD">
        <w:rPr>
          <w:spacing w:val="3"/>
          <w:lang w:val="pt-BR"/>
        </w:rPr>
        <w:t xml:space="preserve">Serra, expediu </w:t>
      </w:r>
      <w:r w:rsidRPr="00392EAD">
        <w:rPr>
          <w:spacing w:val="5"/>
          <w:lang w:val="pt-BR"/>
        </w:rPr>
        <w:t xml:space="preserve">mandato </w:t>
      </w:r>
      <w:r w:rsidRPr="00392EAD">
        <w:rPr>
          <w:lang w:val="pt-BR"/>
        </w:rPr>
        <w:t xml:space="preserve">judicial interrompendo as atividades de exploração mineral de ametista, ágata, citrino e opala do solo martinhense, onde se </w:t>
      </w:r>
      <w:r w:rsidRPr="00392EAD">
        <w:rPr>
          <w:spacing w:val="8"/>
          <w:lang w:val="pt-BR"/>
        </w:rPr>
        <w:t xml:space="preserve">constatou </w:t>
      </w:r>
      <w:r w:rsidRPr="00392EAD">
        <w:rPr>
          <w:lang w:val="pt-BR"/>
        </w:rPr>
        <w:t xml:space="preserve">a </w:t>
      </w:r>
      <w:r w:rsidRPr="00392EAD">
        <w:rPr>
          <w:spacing w:val="8"/>
          <w:lang w:val="pt-BR"/>
        </w:rPr>
        <w:t xml:space="preserve">existência </w:t>
      </w:r>
      <w:r w:rsidRPr="00392EAD">
        <w:rPr>
          <w:spacing w:val="5"/>
          <w:lang w:val="pt-BR"/>
        </w:rPr>
        <w:t>de</w:t>
      </w:r>
      <w:r w:rsidRPr="00392EAD">
        <w:rPr>
          <w:spacing w:val="5"/>
          <w:lang w:val="pt-BR"/>
        </w:rPr>
        <w:t xml:space="preserve"> </w:t>
      </w:r>
      <w:r w:rsidRPr="00392EAD">
        <w:rPr>
          <w:spacing w:val="7"/>
          <w:lang w:val="pt-BR"/>
        </w:rPr>
        <w:t xml:space="preserve">crime </w:t>
      </w:r>
      <w:r w:rsidRPr="00392EAD">
        <w:rPr>
          <w:spacing w:val="8"/>
          <w:lang w:val="pt-BR"/>
        </w:rPr>
        <w:t xml:space="preserve">ambiental somado </w:t>
      </w:r>
      <w:r w:rsidRPr="00392EAD">
        <w:rPr>
          <w:lang w:val="pt-BR"/>
        </w:rPr>
        <w:t>à negligência</w:t>
      </w:r>
      <w:r w:rsidRPr="00392EAD">
        <w:rPr>
          <w:spacing w:val="22"/>
          <w:lang w:val="pt-BR"/>
        </w:rPr>
        <w:t xml:space="preserve"> </w:t>
      </w:r>
      <w:r w:rsidRPr="00392EAD">
        <w:rPr>
          <w:lang w:val="pt-BR"/>
        </w:rPr>
        <w:t>tributária</w:t>
      </w:r>
      <w:r w:rsidRPr="00392EAD">
        <w:rPr>
          <w:spacing w:val="22"/>
          <w:lang w:val="pt-BR"/>
        </w:rPr>
        <w:t xml:space="preserve"> </w:t>
      </w:r>
      <w:r w:rsidRPr="00392EAD">
        <w:rPr>
          <w:lang w:val="pt-BR"/>
        </w:rPr>
        <w:t>(GOMES,</w:t>
      </w:r>
      <w:r w:rsidRPr="00392EAD">
        <w:rPr>
          <w:spacing w:val="22"/>
          <w:lang w:val="pt-BR"/>
        </w:rPr>
        <w:t xml:space="preserve"> </w:t>
      </w:r>
      <w:r w:rsidRPr="00392EAD">
        <w:rPr>
          <w:lang w:val="pt-BR"/>
        </w:rPr>
        <w:t>2004</w:t>
      </w:r>
      <w:r w:rsidRPr="00392EAD">
        <w:rPr>
          <w:spacing w:val="22"/>
          <w:lang w:val="pt-BR"/>
        </w:rPr>
        <w:t xml:space="preserve"> </w:t>
      </w:r>
      <w:r w:rsidRPr="00392EAD">
        <w:rPr>
          <w:lang w:val="pt-BR"/>
        </w:rPr>
        <w:t>apud</w:t>
      </w:r>
      <w:r w:rsidRPr="00392EAD">
        <w:rPr>
          <w:spacing w:val="22"/>
          <w:lang w:val="pt-BR"/>
        </w:rPr>
        <w:t xml:space="preserve"> </w:t>
      </w:r>
      <w:r w:rsidRPr="00392EAD">
        <w:rPr>
          <w:lang w:val="pt-BR"/>
        </w:rPr>
        <w:t>BONUMÁ,</w:t>
      </w:r>
      <w:r w:rsidRPr="00392EAD">
        <w:rPr>
          <w:spacing w:val="22"/>
          <w:lang w:val="pt-BR"/>
        </w:rPr>
        <w:t xml:space="preserve"> </w:t>
      </w:r>
      <w:r w:rsidRPr="00392EAD">
        <w:rPr>
          <w:lang w:val="pt-BR"/>
        </w:rPr>
        <w:t>2006).</w:t>
      </w:r>
    </w:p>
    <w:p w:rsidR="00D81F69" w:rsidRPr="00392EAD" w:rsidRDefault="00330118">
      <w:pPr>
        <w:pStyle w:val="Corpodetexto"/>
        <w:spacing w:before="137" w:line="312" w:lineRule="auto"/>
        <w:ind w:right="185"/>
        <w:rPr>
          <w:lang w:val="pt-BR"/>
        </w:rPr>
      </w:pPr>
      <w:r w:rsidRPr="00392EAD">
        <w:rPr>
          <w:lang w:val="pt-BR"/>
        </w:rPr>
        <w:t>Para retomar a atividade extrativa no município foi criada, em 2001, a Cooperativa Martinhense de Garimpeiros da Região Central (Coomar). O processo de lavra na região se desenvolve a céu aberto, e a extração é semimecanizada, utilizando desmonte com explo</w:t>
      </w:r>
      <w:r w:rsidRPr="00392EAD">
        <w:rPr>
          <w:lang w:val="pt-BR"/>
        </w:rPr>
        <w:t>sivos, sendo que a camada mineralizada é escarificada com um trator e, depois, garimpada manualmente, retirando-se as pedras preciosas encontradas (BONUMÁ, 2006).</w:t>
      </w:r>
    </w:p>
    <w:p w:rsidR="00D81F69" w:rsidRDefault="00330118">
      <w:pPr>
        <w:pStyle w:val="Corpodetexto"/>
        <w:spacing w:before="74" w:line="270" w:lineRule="atLeast"/>
        <w:ind w:right="190"/>
      </w:pPr>
      <w:r>
        <w:t>Em março de 2005, com o objetivo de agregar valor às gemas que, antes, eram exportadas em gra</w:t>
      </w:r>
      <w:r>
        <w:t>nde volume na forma bruta, e gerar emprego, o governo começou o processo de desenvolvimento do APL de Gemas e Joias do Rio Grande do Sul (ALMEIDA, 2008). Além de São Martinho da Serra, fazem parte da iniciativa os municípios Salto do Jacuí; Santana do Livr</w:t>
      </w:r>
      <w:r>
        <w:t>amento; Ametista do Sul; Barra do Quarai; Guaporé;</w:t>
      </w:r>
    </w:p>
    <w:p w:rsidR="00D81F69" w:rsidRDefault="00D81F69">
      <w:pPr>
        <w:spacing w:line="270" w:lineRule="atLeast"/>
        <w:sectPr w:rsidR="00D81F69">
          <w:type w:val="continuous"/>
          <w:pgSz w:w="11900" w:h="16840"/>
          <w:pgMar w:top="720" w:right="500" w:bottom="280" w:left="620" w:header="720" w:footer="720" w:gutter="0"/>
          <w:cols w:num="2" w:space="720" w:equalWidth="0">
            <w:col w:w="5160" w:space="310"/>
            <w:col w:w="5310"/>
          </w:cols>
        </w:sectPr>
      </w:pPr>
    </w:p>
    <w:p w:rsidR="00D81F69" w:rsidRDefault="00330118">
      <w:pPr>
        <w:pStyle w:val="Corpodetexto"/>
        <w:spacing w:before="81"/>
      </w:pPr>
      <w:r>
        <w:lastRenderedPageBreak/>
        <w:t>Lajeado; Quarai; e Soledade (REDE APL MINERAL, 2011).</w:t>
      </w:r>
    </w:p>
    <w:p w:rsidR="00D81F69" w:rsidRDefault="00D81F69">
      <w:pPr>
        <w:pStyle w:val="Corpodetexto"/>
        <w:spacing w:before="9"/>
        <w:ind w:left="0"/>
        <w:jc w:val="left"/>
        <w:rPr>
          <w:sz w:val="16"/>
        </w:rPr>
      </w:pPr>
    </w:p>
    <w:p w:rsidR="00D81F69" w:rsidRDefault="00330118">
      <w:pPr>
        <w:pStyle w:val="Corpodetexto"/>
        <w:spacing w:line="312" w:lineRule="auto"/>
        <w:ind w:right="46"/>
      </w:pPr>
      <w:r>
        <w:t>O APL envolve toda a cadeia produtiva, que vai desde a pesquisa geológica para determinar a origem das peças – feita por co</w:t>
      </w:r>
      <w:r>
        <w:t>nsultores, Universidade Federal do Rio Grande do Sul (UFRGS); Universidade do Vale Taquari (Univates) (ALMEIDA, 2008); Universidade de Caxias do Sul (UCS); Universidade de Passo Fundo (UPS); e Universidade de Santa Maria (USM) (APRENDENDO A EXPORTAR, 2011)</w:t>
      </w:r>
      <w:r>
        <w:t xml:space="preserve"> –</w:t>
      </w:r>
    </w:p>
    <w:p w:rsidR="00D81F69" w:rsidRDefault="00330118">
      <w:pPr>
        <w:pStyle w:val="Corpodetexto"/>
        <w:spacing w:before="6" w:line="312" w:lineRule="auto"/>
        <w:ind w:right="70"/>
      </w:pPr>
      <w:r>
        <w:t>passando pela lavra, e pelo beneficiamento, com a lapidação das pedras, além de serviços agregados e do setor joalheiro (ALMEIDA, 2008)</w:t>
      </w:r>
    </w:p>
    <w:p w:rsidR="00D81F69" w:rsidRPr="00392EAD" w:rsidRDefault="00330118">
      <w:pPr>
        <w:pStyle w:val="Corpodetexto"/>
        <w:spacing w:before="133" w:line="312" w:lineRule="auto"/>
        <w:ind w:right="38"/>
        <w:rPr>
          <w:lang w:val="pt-BR"/>
        </w:rPr>
      </w:pPr>
      <w:r w:rsidRPr="00392EAD">
        <w:rPr>
          <w:lang w:val="pt-BR"/>
        </w:rPr>
        <w:t xml:space="preserve">Nas três regiões do estado – no norte, no centro e na fronteira com o </w:t>
      </w:r>
      <w:r w:rsidRPr="00392EAD">
        <w:rPr>
          <w:spacing w:val="1"/>
          <w:lang w:val="pt-BR"/>
        </w:rPr>
        <w:t xml:space="preserve">Uruguai </w:t>
      </w:r>
      <w:r w:rsidRPr="00392EAD">
        <w:rPr>
          <w:lang w:val="pt-BR"/>
        </w:rPr>
        <w:t xml:space="preserve">–, </w:t>
      </w:r>
      <w:r w:rsidRPr="00392EAD">
        <w:rPr>
          <w:spacing w:val="1"/>
          <w:lang w:val="pt-BR"/>
        </w:rPr>
        <w:t xml:space="preserve">ocorre desde </w:t>
      </w:r>
      <w:r w:rsidRPr="00392EAD">
        <w:rPr>
          <w:lang w:val="pt-BR"/>
        </w:rPr>
        <w:t xml:space="preserve">a </w:t>
      </w:r>
      <w:r w:rsidRPr="00392EAD">
        <w:rPr>
          <w:spacing w:val="1"/>
          <w:lang w:val="pt-BR"/>
        </w:rPr>
        <w:t xml:space="preserve">extração </w:t>
      </w:r>
      <w:r w:rsidRPr="00392EAD">
        <w:rPr>
          <w:lang w:val="pt-BR"/>
        </w:rPr>
        <w:t xml:space="preserve">até a </w:t>
      </w:r>
      <w:r w:rsidRPr="00392EAD">
        <w:rPr>
          <w:spacing w:val="2"/>
          <w:lang w:val="pt-BR"/>
        </w:rPr>
        <w:t xml:space="preserve">produção </w:t>
      </w:r>
      <w:r w:rsidRPr="00392EAD">
        <w:rPr>
          <w:lang w:val="pt-BR"/>
        </w:rPr>
        <w:t xml:space="preserve">final e venda. O trabalho é feito em parceria com o Ministério da Ciência e Tecnologia (MCT), Ministério de Minas e Energia (MME), Ministério do Desenvolvimento, Indústria e Comércio </w:t>
      </w:r>
      <w:r w:rsidRPr="00392EAD">
        <w:rPr>
          <w:spacing w:val="12"/>
          <w:lang w:val="pt-BR"/>
        </w:rPr>
        <w:t xml:space="preserve">Exterior </w:t>
      </w:r>
      <w:r w:rsidRPr="00392EAD">
        <w:rPr>
          <w:spacing w:val="11"/>
          <w:lang w:val="pt-BR"/>
        </w:rPr>
        <w:t xml:space="preserve">(MDIC), </w:t>
      </w:r>
      <w:r w:rsidRPr="00392EAD">
        <w:rPr>
          <w:spacing w:val="12"/>
          <w:lang w:val="pt-BR"/>
        </w:rPr>
        <w:t xml:space="preserve">Ministério </w:t>
      </w:r>
      <w:r w:rsidRPr="00392EAD">
        <w:rPr>
          <w:spacing w:val="6"/>
          <w:lang w:val="pt-BR"/>
        </w:rPr>
        <w:t xml:space="preserve">da </w:t>
      </w:r>
      <w:r w:rsidRPr="00392EAD">
        <w:rPr>
          <w:spacing w:val="12"/>
          <w:lang w:val="pt-BR"/>
        </w:rPr>
        <w:t xml:space="preserve">Integração </w:t>
      </w:r>
      <w:r w:rsidRPr="00392EAD">
        <w:rPr>
          <w:spacing w:val="15"/>
          <w:lang w:val="pt-BR"/>
        </w:rPr>
        <w:t xml:space="preserve">Nacional, </w:t>
      </w:r>
      <w:r w:rsidRPr="00392EAD">
        <w:rPr>
          <w:spacing w:val="5"/>
          <w:lang w:val="pt-BR"/>
        </w:rPr>
        <w:t>Departamento</w:t>
      </w:r>
      <w:r w:rsidRPr="00392EAD">
        <w:rPr>
          <w:spacing w:val="5"/>
          <w:lang w:val="pt-BR"/>
        </w:rPr>
        <w:t xml:space="preserve"> Nacional </w:t>
      </w:r>
      <w:r w:rsidRPr="00392EAD">
        <w:rPr>
          <w:spacing w:val="2"/>
          <w:lang w:val="pt-BR"/>
        </w:rPr>
        <w:t xml:space="preserve">da </w:t>
      </w:r>
      <w:r w:rsidRPr="00392EAD">
        <w:rPr>
          <w:spacing w:val="5"/>
          <w:lang w:val="pt-BR"/>
        </w:rPr>
        <w:t xml:space="preserve">Produção Mineral (DNPM) </w:t>
      </w:r>
      <w:r w:rsidRPr="00392EAD">
        <w:rPr>
          <w:lang w:val="pt-BR"/>
        </w:rPr>
        <w:t xml:space="preserve">e </w:t>
      </w:r>
      <w:r w:rsidRPr="00392EAD">
        <w:rPr>
          <w:spacing w:val="5"/>
          <w:lang w:val="pt-BR"/>
        </w:rPr>
        <w:t xml:space="preserve">Serviço Geológico Brasileiro (CPRM) (APRENDENDO </w:t>
      </w:r>
      <w:r w:rsidRPr="00392EAD">
        <w:rPr>
          <w:lang w:val="pt-BR"/>
        </w:rPr>
        <w:t>A EXPORTAR, 2011). Recentemente, o Ministério do Turismo também entrou como parceiro, já que as lavras e arredores viraram pontos turísticos na região devido à curiosida</w:t>
      </w:r>
      <w:r w:rsidRPr="00392EAD">
        <w:rPr>
          <w:lang w:val="pt-BR"/>
        </w:rPr>
        <w:t>de das pessoas em conhecer o processo de fabricação das gemas e joias (ALMEIDA,</w:t>
      </w:r>
      <w:r w:rsidRPr="00392EAD">
        <w:rPr>
          <w:spacing w:val="10"/>
          <w:lang w:val="pt-BR"/>
        </w:rPr>
        <w:t xml:space="preserve"> </w:t>
      </w:r>
      <w:r w:rsidRPr="00392EAD">
        <w:rPr>
          <w:lang w:val="pt-BR"/>
        </w:rPr>
        <w:t>2008).</w:t>
      </w:r>
    </w:p>
    <w:p w:rsidR="00D81F69" w:rsidRPr="00392EAD" w:rsidRDefault="00330118">
      <w:pPr>
        <w:pStyle w:val="Corpodetexto"/>
        <w:spacing w:before="142" w:line="312" w:lineRule="auto"/>
        <w:ind w:right="64"/>
        <w:rPr>
          <w:lang w:val="pt-BR"/>
        </w:rPr>
      </w:pPr>
      <w:r w:rsidRPr="00392EAD">
        <w:rPr>
          <w:lang w:val="pt-BR"/>
        </w:rPr>
        <w:t xml:space="preserve">De acordo com o Grupo de Trabalho (GT) Gestão e Governança da Rede APL mineral, nos últimos anos, o grande avanço do projeto foi demonstrar a vida útil das jazidas, que </w:t>
      </w:r>
      <w:r w:rsidRPr="00392EAD">
        <w:rPr>
          <w:lang w:val="pt-BR"/>
        </w:rPr>
        <w:t>têm, no mínimo, 100 anos de vida, dentro do nível de produção de 4 a 5 mil toneladas/ano. Ao mesmo tempo, subsidiou-se a criação de um centro de tecnologia para o beneficiamento das pedras preciosas no estado (ALMEIDA, 2008).</w:t>
      </w:r>
    </w:p>
    <w:p w:rsidR="00D81F69" w:rsidRPr="00392EAD" w:rsidRDefault="00330118">
      <w:pPr>
        <w:pStyle w:val="Corpodetexto"/>
        <w:spacing w:before="138" w:line="312" w:lineRule="auto"/>
        <w:ind w:right="46"/>
        <w:rPr>
          <w:lang w:val="pt-BR"/>
        </w:rPr>
      </w:pPr>
      <w:r w:rsidRPr="00392EAD">
        <w:rPr>
          <w:lang w:val="pt-BR"/>
        </w:rPr>
        <w:t xml:space="preserve">No </w:t>
      </w:r>
      <w:r w:rsidRPr="00392EAD">
        <w:rPr>
          <w:spacing w:val="1"/>
          <w:lang w:val="pt-BR"/>
        </w:rPr>
        <w:t xml:space="preserve">campo </w:t>
      </w:r>
      <w:r w:rsidRPr="00392EAD">
        <w:rPr>
          <w:lang w:val="pt-BR"/>
        </w:rPr>
        <w:t xml:space="preserve">da </w:t>
      </w:r>
      <w:r w:rsidRPr="00392EAD">
        <w:rPr>
          <w:spacing w:val="1"/>
          <w:lang w:val="pt-BR"/>
        </w:rPr>
        <w:t xml:space="preserve">saúde havia, </w:t>
      </w:r>
      <w:r w:rsidRPr="00392EAD">
        <w:rPr>
          <w:lang w:val="pt-BR"/>
        </w:rPr>
        <w:t>no Ri</w:t>
      </w:r>
      <w:r w:rsidRPr="00392EAD">
        <w:rPr>
          <w:lang w:val="pt-BR"/>
        </w:rPr>
        <w:t xml:space="preserve">o </w:t>
      </w:r>
      <w:r w:rsidRPr="00392EAD">
        <w:rPr>
          <w:spacing w:val="1"/>
          <w:lang w:val="pt-BR"/>
        </w:rPr>
        <w:t xml:space="preserve">Grande </w:t>
      </w:r>
      <w:r w:rsidRPr="00392EAD">
        <w:rPr>
          <w:lang w:val="pt-BR"/>
        </w:rPr>
        <w:t xml:space="preserve">do </w:t>
      </w:r>
      <w:r w:rsidRPr="00392EAD">
        <w:rPr>
          <w:spacing w:val="1"/>
          <w:lang w:val="pt-BR"/>
        </w:rPr>
        <w:t xml:space="preserve">Sul, mais </w:t>
      </w:r>
      <w:r w:rsidRPr="00392EAD">
        <w:rPr>
          <w:spacing w:val="2"/>
          <w:lang w:val="pt-BR"/>
        </w:rPr>
        <w:t xml:space="preserve">de </w:t>
      </w:r>
      <w:r w:rsidRPr="00392EAD">
        <w:rPr>
          <w:lang w:val="pt-BR"/>
        </w:rPr>
        <w:t xml:space="preserve">500 casos de silicose, e problemas como esse se arrastavam desde o começo da exploração das lavras subterrâneas, há </w:t>
      </w:r>
      <w:r w:rsidRPr="00392EAD">
        <w:rPr>
          <w:spacing w:val="3"/>
          <w:lang w:val="pt-BR"/>
        </w:rPr>
        <w:t xml:space="preserve">mais </w:t>
      </w:r>
      <w:r w:rsidRPr="00392EAD">
        <w:rPr>
          <w:spacing w:val="2"/>
          <w:lang w:val="pt-BR"/>
        </w:rPr>
        <w:t xml:space="preserve">de 30 </w:t>
      </w:r>
      <w:r w:rsidRPr="00392EAD">
        <w:rPr>
          <w:spacing w:val="3"/>
          <w:lang w:val="pt-BR"/>
        </w:rPr>
        <w:t xml:space="preserve">anos. </w:t>
      </w:r>
      <w:r w:rsidRPr="00392EAD">
        <w:rPr>
          <w:spacing w:val="5"/>
          <w:lang w:val="pt-BR"/>
        </w:rPr>
        <w:t xml:space="preserve">Segundo </w:t>
      </w:r>
      <w:r w:rsidRPr="00392EAD">
        <w:rPr>
          <w:lang w:val="pt-BR"/>
        </w:rPr>
        <w:t xml:space="preserve">o </w:t>
      </w:r>
      <w:r w:rsidRPr="00392EAD">
        <w:rPr>
          <w:spacing w:val="3"/>
          <w:lang w:val="pt-BR"/>
        </w:rPr>
        <w:t xml:space="preserve">GT, pouco </w:t>
      </w:r>
      <w:r w:rsidRPr="00392EAD">
        <w:rPr>
          <w:lang w:val="pt-BR"/>
        </w:rPr>
        <w:t xml:space="preserve">a </w:t>
      </w:r>
      <w:r w:rsidRPr="00392EAD">
        <w:rPr>
          <w:spacing w:val="3"/>
          <w:lang w:val="pt-BR"/>
        </w:rPr>
        <w:t xml:space="preserve">pouco </w:t>
      </w:r>
      <w:r w:rsidRPr="00392EAD">
        <w:rPr>
          <w:spacing w:val="5"/>
          <w:lang w:val="pt-BR"/>
        </w:rPr>
        <w:t xml:space="preserve">houve </w:t>
      </w:r>
      <w:r w:rsidRPr="00392EAD">
        <w:rPr>
          <w:spacing w:val="3"/>
          <w:lang w:val="pt-BR"/>
        </w:rPr>
        <w:t xml:space="preserve">mudanças </w:t>
      </w:r>
      <w:r w:rsidRPr="00392EAD">
        <w:rPr>
          <w:spacing w:val="1"/>
          <w:lang w:val="pt-BR"/>
        </w:rPr>
        <w:t xml:space="preserve">na </w:t>
      </w:r>
      <w:r w:rsidRPr="00392EAD">
        <w:rPr>
          <w:spacing w:val="3"/>
          <w:lang w:val="pt-BR"/>
        </w:rPr>
        <w:t xml:space="preserve">cultura </w:t>
      </w:r>
      <w:r w:rsidRPr="00392EAD">
        <w:rPr>
          <w:spacing w:val="1"/>
          <w:lang w:val="pt-BR"/>
        </w:rPr>
        <w:t xml:space="preserve">da </w:t>
      </w:r>
      <w:r w:rsidRPr="00392EAD">
        <w:rPr>
          <w:spacing w:val="3"/>
          <w:lang w:val="pt-BR"/>
        </w:rPr>
        <w:t xml:space="preserve">extração: antes </w:t>
      </w:r>
      <w:r w:rsidRPr="00392EAD">
        <w:rPr>
          <w:spacing w:val="1"/>
          <w:lang w:val="pt-BR"/>
        </w:rPr>
        <w:t xml:space="preserve">se </w:t>
      </w:r>
      <w:r w:rsidRPr="00392EAD">
        <w:rPr>
          <w:spacing w:val="3"/>
          <w:lang w:val="pt-BR"/>
        </w:rPr>
        <w:t xml:space="preserve">fazia </w:t>
      </w:r>
      <w:r w:rsidRPr="00392EAD">
        <w:rPr>
          <w:lang w:val="pt-BR"/>
        </w:rPr>
        <w:t xml:space="preserve">a </w:t>
      </w:r>
      <w:r w:rsidRPr="00392EAD">
        <w:rPr>
          <w:spacing w:val="5"/>
          <w:lang w:val="pt-BR"/>
        </w:rPr>
        <w:t xml:space="preserve">seco, </w:t>
      </w:r>
      <w:r w:rsidRPr="00392EAD">
        <w:rPr>
          <w:lang w:val="pt-BR"/>
        </w:rPr>
        <w:t>depois p</w:t>
      </w:r>
      <w:r w:rsidRPr="00392EAD">
        <w:rPr>
          <w:lang w:val="pt-BR"/>
        </w:rPr>
        <w:t>assou para a extração úmida, o que diminui em até 95% a poeira dentro das galerias. Até o ano de 2008, cerca  de 70% dos garimpos não atuavam mais com o sistema de lavra a seco (ALMEIDA,</w:t>
      </w:r>
      <w:r w:rsidRPr="00392EAD">
        <w:rPr>
          <w:spacing w:val="13"/>
          <w:lang w:val="pt-BR"/>
        </w:rPr>
        <w:t xml:space="preserve"> </w:t>
      </w:r>
      <w:r w:rsidRPr="00392EAD">
        <w:rPr>
          <w:spacing w:val="1"/>
          <w:lang w:val="pt-BR"/>
        </w:rPr>
        <w:t>2008).</w:t>
      </w:r>
    </w:p>
    <w:p w:rsidR="00D81F69" w:rsidRPr="00392EAD" w:rsidRDefault="00330118">
      <w:pPr>
        <w:pStyle w:val="Corpodetexto"/>
        <w:spacing w:before="138" w:line="312" w:lineRule="auto"/>
        <w:ind w:right="45"/>
        <w:rPr>
          <w:lang w:val="pt-BR"/>
        </w:rPr>
      </w:pPr>
      <w:r w:rsidRPr="00392EAD">
        <w:rPr>
          <w:lang w:val="pt-BR"/>
        </w:rPr>
        <w:t xml:space="preserve">A </w:t>
      </w:r>
      <w:r w:rsidRPr="00392EAD">
        <w:rPr>
          <w:spacing w:val="5"/>
          <w:lang w:val="pt-BR"/>
        </w:rPr>
        <w:t xml:space="preserve">criação </w:t>
      </w:r>
      <w:r w:rsidRPr="00392EAD">
        <w:rPr>
          <w:spacing w:val="2"/>
          <w:lang w:val="pt-BR"/>
        </w:rPr>
        <w:t xml:space="preserve">do </w:t>
      </w:r>
      <w:r w:rsidRPr="00392EAD">
        <w:rPr>
          <w:spacing w:val="3"/>
          <w:lang w:val="pt-BR"/>
        </w:rPr>
        <w:t xml:space="preserve">APL </w:t>
      </w:r>
      <w:r w:rsidRPr="00392EAD">
        <w:rPr>
          <w:spacing w:val="5"/>
          <w:lang w:val="pt-BR"/>
        </w:rPr>
        <w:t xml:space="preserve">teve </w:t>
      </w:r>
      <w:r w:rsidRPr="00392EAD">
        <w:rPr>
          <w:spacing w:val="3"/>
          <w:lang w:val="pt-BR"/>
        </w:rPr>
        <w:t xml:space="preserve">por </w:t>
      </w:r>
      <w:r w:rsidRPr="00392EAD">
        <w:rPr>
          <w:spacing w:val="5"/>
          <w:lang w:val="pt-BR"/>
        </w:rPr>
        <w:t xml:space="preserve">objetivo reduzir </w:t>
      </w:r>
      <w:r w:rsidRPr="00392EAD">
        <w:rPr>
          <w:spacing w:val="2"/>
          <w:lang w:val="pt-BR"/>
        </w:rPr>
        <w:t xml:space="preserve">os </w:t>
      </w:r>
      <w:r w:rsidRPr="00392EAD">
        <w:rPr>
          <w:spacing w:val="6"/>
          <w:lang w:val="pt-BR"/>
        </w:rPr>
        <w:t xml:space="preserve">impactos </w:t>
      </w:r>
      <w:r w:rsidRPr="00392EAD">
        <w:rPr>
          <w:lang w:val="pt-BR"/>
        </w:rPr>
        <w:t>ambient</w:t>
      </w:r>
      <w:r w:rsidRPr="00392EAD">
        <w:rPr>
          <w:lang w:val="pt-BR"/>
        </w:rPr>
        <w:t xml:space="preserve">ais em todas as atividades industriais e de garimpo </w:t>
      </w:r>
      <w:r w:rsidRPr="00392EAD">
        <w:rPr>
          <w:spacing w:val="5"/>
          <w:lang w:val="pt-BR"/>
        </w:rPr>
        <w:t xml:space="preserve">(APRENDENDO </w:t>
      </w:r>
      <w:r w:rsidRPr="00392EAD">
        <w:rPr>
          <w:lang w:val="pt-BR"/>
        </w:rPr>
        <w:t xml:space="preserve">A </w:t>
      </w:r>
      <w:r w:rsidRPr="00392EAD">
        <w:rPr>
          <w:spacing w:val="5"/>
          <w:lang w:val="pt-BR"/>
        </w:rPr>
        <w:t xml:space="preserve">EXPORTAR, 2011). </w:t>
      </w:r>
      <w:r w:rsidRPr="00392EAD">
        <w:rPr>
          <w:spacing w:val="3"/>
          <w:lang w:val="pt-BR"/>
        </w:rPr>
        <w:t xml:space="preserve">Estas </w:t>
      </w:r>
      <w:r w:rsidRPr="00392EAD">
        <w:rPr>
          <w:spacing w:val="5"/>
          <w:lang w:val="pt-BR"/>
        </w:rPr>
        <w:t>atividades,</w:t>
      </w:r>
      <w:r w:rsidRPr="00392EAD">
        <w:rPr>
          <w:spacing w:val="61"/>
          <w:lang w:val="pt-BR"/>
        </w:rPr>
        <w:t xml:space="preserve"> </w:t>
      </w:r>
      <w:r w:rsidRPr="00392EAD">
        <w:rPr>
          <w:lang w:val="pt-BR"/>
        </w:rPr>
        <w:t xml:space="preserve">apesar de relevante no desenvolvimento socioeconômico das </w:t>
      </w:r>
      <w:r w:rsidRPr="00392EAD">
        <w:rPr>
          <w:spacing w:val="10"/>
          <w:lang w:val="pt-BR"/>
        </w:rPr>
        <w:t xml:space="preserve">regiões </w:t>
      </w:r>
      <w:r w:rsidRPr="00392EAD">
        <w:rPr>
          <w:spacing w:val="5"/>
          <w:lang w:val="pt-BR"/>
        </w:rPr>
        <w:t xml:space="preserve">de </w:t>
      </w:r>
      <w:r w:rsidRPr="00392EAD">
        <w:rPr>
          <w:spacing w:val="10"/>
          <w:lang w:val="pt-BR"/>
        </w:rPr>
        <w:t xml:space="preserve">extração </w:t>
      </w:r>
      <w:r w:rsidRPr="00392EAD">
        <w:rPr>
          <w:lang w:val="pt-BR"/>
        </w:rPr>
        <w:t xml:space="preserve">e </w:t>
      </w:r>
      <w:r w:rsidRPr="00392EAD">
        <w:rPr>
          <w:spacing w:val="11"/>
          <w:lang w:val="pt-BR"/>
        </w:rPr>
        <w:t xml:space="preserve">beneficiamento, </w:t>
      </w:r>
      <w:r w:rsidRPr="00392EAD">
        <w:rPr>
          <w:spacing w:val="10"/>
          <w:lang w:val="pt-BR"/>
        </w:rPr>
        <w:t xml:space="preserve">também </w:t>
      </w:r>
      <w:r w:rsidRPr="00392EAD">
        <w:rPr>
          <w:spacing w:val="12"/>
          <w:lang w:val="pt-BR"/>
        </w:rPr>
        <w:t xml:space="preserve">são </w:t>
      </w:r>
      <w:r w:rsidRPr="00392EAD">
        <w:rPr>
          <w:lang w:val="pt-BR"/>
        </w:rPr>
        <w:t xml:space="preserve">responsáveis por modificações na paisagem e meio ambiente, </w:t>
      </w:r>
      <w:r w:rsidRPr="00392EAD">
        <w:rPr>
          <w:spacing w:val="5"/>
          <w:lang w:val="pt-BR"/>
        </w:rPr>
        <w:t xml:space="preserve">podendo causar alto grau </w:t>
      </w:r>
      <w:r w:rsidRPr="00392EAD">
        <w:rPr>
          <w:spacing w:val="2"/>
          <w:lang w:val="pt-BR"/>
        </w:rPr>
        <w:t xml:space="preserve">de </w:t>
      </w:r>
      <w:r w:rsidRPr="00392EAD">
        <w:rPr>
          <w:spacing w:val="5"/>
          <w:lang w:val="pt-BR"/>
        </w:rPr>
        <w:t xml:space="preserve">deterioração </w:t>
      </w:r>
      <w:r w:rsidRPr="00392EAD">
        <w:rPr>
          <w:spacing w:val="3"/>
          <w:lang w:val="pt-BR"/>
        </w:rPr>
        <w:t xml:space="preserve">nos </w:t>
      </w:r>
      <w:r w:rsidRPr="00392EAD">
        <w:rPr>
          <w:spacing w:val="6"/>
          <w:lang w:val="pt-BR"/>
        </w:rPr>
        <w:t xml:space="preserve">recursos hídricos, </w:t>
      </w:r>
      <w:r w:rsidRPr="00392EAD">
        <w:rPr>
          <w:spacing w:val="5"/>
          <w:lang w:val="pt-BR"/>
        </w:rPr>
        <w:t xml:space="preserve">mesmo após </w:t>
      </w:r>
      <w:r w:rsidRPr="00392EAD">
        <w:rPr>
          <w:lang w:val="pt-BR"/>
        </w:rPr>
        <w:t xml:space="preserve">o </w:t>
      </w:r>
      <w:r w:rsidRPr="00392EAD">
        <w:rPr>
          <w:spacing w:val="5"/>
          <w:lang w:val="pt-BR"/>
        </w:rPr>
        <w:t xml:space="preserve">término </w:t>
      </w:r>
      <w:r w:rsidRPr="00392EAD">
        <w:rPr>
          <w:spacing w:val="3"/>
          <w:lang w:val="pt-BR"/>
        </w:rPr>
        <w:t xml:space="preserve">da </w:t>
      </w:r>
      <w:r w:rsidRPr="00392EAD">
        <w:rPr>
          <w:spacing w:val="6"/>
          <w:lang w:val="pt-BR"/>
        </w:rPr>
        <w:t xml:space="preserve">atividade </w:t>
      </w:r>
      <w:r w:rsidRPr="00392EAD">
        <w:rPr>
          <w:spacing w:val="7"/>
          <w:lang w:val="pt-BR"/>
        </w:rPr>
        <w:t xml:space="preserve">extrativa </w:t>
      </w:r>
      <w:r w:rsidRPr="00392EAD">
        <w:rPr>
          <w:spacing w:val="5"/>
          <w:lang w:val="pt-BR"/>
        </w:rPr>
        <w:t xml:space="preserve">(BONUMÁ </w:t>
      </w:r>
      <w:r w:rsidRPr="00392EAD">
        <w:rPr>
          <w:spacing w:val="3"/>
          <w:lang w:val="pt-BR"/>
        </w:rPr>
        <w:t xml:space="preserve">et </w:t>
      </w:r>
      <w:r w:rsidRPr="00392EAD">
        <w:rPr>
          <w:spacing w:val="5"/>
          <w:lang w:val="pt-BR"/>
        </w:rPr>
        <w:t xml:space="preserve">al., </w:t>
      </w:r>
      <w:r w:rsidRPr="00392EAD">
        <w:rPr>
          <w:spacing w:val="7"/>
          <w:lang w:val="pt-BR"/>
        </w:rPr>
        <w:t>2006).</w:t>
      </w:r>
    </w:p>
    <w:p w:rsidR="00D81F69" w:rsidRDefault="00330118">
      <w:pPr>
        <w:pStyle w:val="Corpodetexto"/>
        <w:spacing w:before="75" w:line="270" w:lineRule="atLeast"/>
        <w:ind w:right="69"/>
      </w:pPr>
      <w:r>
        <w:t>Para avaliar a qualidade das águas da Bacia Hidrográfica do Rio Ib</w:t>
      </w:r>
      <w:r>
        <w:t>icuí Mirim sob o impacto da extração de ágatas e ametistas, a pesquisadora Nádia Bonumá, da Universidade Federal de Santa Maria (RS), coletou amostras de águas nos</w:t>
      </w:r>
    </w:p>
    <w:p w:rsidR="00D81F69" w:rsidRDefault="00330118">
      <w:pPr>
        <w:pStyle w:val="Corpodetexto"/>
        <w:spacing w:before="81" w:line="312" w:lineRule="auto"/>
        <w:ind w:right="183"/>
      </w:pPr>
      <w:r>
        <w:br w:type="column"/>
      </w:r>
      <w:r>
        <w:lastRenderedPageBreak/>
        <w:t>três pontos de monitoramento da bacia: a montante da área de mineração, a jusante e na saíd</w:t>
      </w:r>
      <w:r>
        <w:t xml:space="preserve">a do principal garimpo em </w:t>
      </w:r>
      <w:r>
        <w:rPr>
          <w:spacing w:val="6"/>
        </w:rPr>
        <w:t xml:space="preserve">atividade. </w:t>
      </w:r>
      <w:r>
        <w:rPr>
          <w:spacing w:val="3"/>
        </w:rPr>
        <w:t xml:space="preserve">Os </w:t>
      </w:r>
      <w:r>
        <w:rPr>
          <w:spacing w:val="6"/>
        </w:rPr>
        <w:t xml:space="preserve">resultados mostraram </w:t>
      </w:r>
      <w:r>
        <w:rPr>
          <w:spacing w:val="5"/>
        </w:rPr>
        <w:t xml:space="preserve">uma </w:t>
      </w:r>
      <w:r>
        <w:rPr>
          <w:spacing w:val="7"/>
        </w:rPr>
        <w:t xml:space="preserve">contaminação </w:t>
      </w:r>
      <w:r>
        <w:t xml:space="preserve">orgânica com aumento dos níveis de coliformes, ao longo do </w:t>
      </w:r>
      <w:r>
        <w:rPr>
          <w:spacing w:val="8"/>
        </w:rPr>
        <w:t xml:space="preserve">curso </w:t>
      </w:r>
      <w:r>
        <w:rPr>
          <w:spacing w:val="10"/>
        </w:rPr>
        <w:t xml:space="preserve">d’água, justificada </w:t>
      </w:r>
      <w:r>
        <w:rPr>
          <w:spacing w:val="8"/>
        </w:rPr>
        <w:t xml:space="preserve">pela </w:t>
      </w:r>
      <w:r>
        <w:rPr>
          <w:spacing w:val="10"/>
        </w:rPr>
        <w:t xml:space="preserve">atividade </w:t>
      </w:r>
      <w:r>
        <w:rPr>
          <w:spacing w:val="11"/>
        </w:rPr>
        <w:t xml:space="preserve">agropastoril, </w:t>
      </w:r>
      <w:r>
        <w:rPr>
          <w:spacing w:val="5"/>
        </w:rPr>
        <w:t xml:space="preserve">desenvolvida </w:t>
      </w:r>
      <w:r>
        <w:rPr>
          <w:spacing w:val="2"/>
        </w:rPr>
        <w:t xml:space="preserve">no </w:t>
      </w:r>
      <w:r>
        <w:rPr>
          <w:spacing w:val="5"/>
        </w:rPr>
        <w:t xml:space="preserve">entorno </w:t>
      </w:r>
      <w:r>
        <w:rPr>
          <w:spacing w:val="3"/>
        </w:rPr>
        <w:t xml:space="preserve">das áreas </w:t>
      </w:r>
      <w:r>
        <w:rPr>
          <w:spacing w:val="2"/>
        </w:rPr>
        <w:t xml:space="preserve">de </w:t>
      </w:r>
      <w:r>
        <w:rPr>
          <w:spacing w:val="5"/>
        </w:rPr>
        <w:t xml:space="preserve">garimpo </w:t>
      </w:r>
      <w:r>
        <w:rPr>
          <w:spacing w:val="2"/>
        </w:rPr>
        <w:t xml:space="preserve">da </w:t>
      </w:r>
      <w:r>
        <w:rPr>
          <w:spacing w:val="5"/>
        </w:rPr>
        <w:t xml:space="preserve">bacia (BONUMÁ </w:t>
      </w:r>
      <w:r>
        <w:rPr>
          <w:spacing w:val="2"/>
        </w:rPr>
        <w:t>et</w:t>
      </w:r>
      <w:r>
        <w:rPr>
          <w:spacing w:val="2"/>
        </w:rPr>
        <w:t xml:space="preserve"> </w:t>
      </w:r>
      <w:r>
        <w:rPr>
          <w:spacing w:val="3"/>
        </w:rPr>
        <w:t>al.,</w:t>
      </w:r>
      <w:r>
        <w:rPr>
          <w:spacing w:val="-22"/>
        </w:rPr>
        <w:t xml:space="preserve"> </w:t>
      </w:r>
      <w:r>
        <w:rPr>
          <w:spacing w:val="5"/>
        </w:rPr>
        <w:t>2006).</w:t>
      </w:r>
    </w:p>
    <w:p w:rsidR="00D81F69" w:rsidRDefault="00330118">
      <w:pPr>
        <w:pStyle w:val="Corpodetexto"/>
        <w:spacing w:before="136" w:line="312" w:lineRule="auto"/>
        <w:ind w:right="186"/>
      </w:pPr>
      <w:r>
        <w:t xml:space="preserve">O estudo constatou também aumento dos teores naturais dos parâmetros de cálcio, </w:t>
      </w:r>
      <w:hyperlink r:id="rId1735">
        <w:r>
          <w:t>cobre,</w:t>
        </w:r>
      </w:hyperlink>
      <w:r>
        <w:t xml:space="preserve"> </w:t>
      </w:r>
      <w:hyperlink r:id="rId1736">
        <w:r>
          <w:t>ferro,</w:t>
        </w:r>
      </w:hyperlink>
      <w:r>
        <w:t xml:space="preserve"> fosfato, magnésio, </w:t>
      </w:r>
      <w:hyperlink r:id="rId1737">
        <w:r>
          <w:t xml:space="preserve">manganês, </w:t>
        </w:r>
      </w:hyperlink>
      <w:r>
        <w:t xml:space="preserve">nitrato, sódio e </w:t>
      </w:r>
      <w:hyperlink r:id="rId1738">
        <w:r>
          <w:t xml:space="preserve">zinco </w:t>
        </w:r>
      </w:hyperlink>
      <w:r>
        <w:t>na água. De acordo com o estudo, tal incremento pode ser devido à atividade de garimpo, pela dissolução de compostos químicos na drenagem. Os elevados valores de condutividade elétrica no ponto de garimpo indicaram a presença de sais dissolvidos n</w:t>
      </w:r>
      <w:r>
        <w:t>a água. Além disso, houve um aumento nas concentrações de sólidos e turbidez após a área de extração mineral. Dessa forma, a pesquisa apontou que a atividade garimpeira tem influência direta na qualidade das águas da bacia, o que demonstra a necessidade de</w:t>
      </w:r>
      <w:r>
        <w:t xml:space="preserve"> monitoramento contínuo dos recursos hídricos, para minimizar os possíveis impactos ambientais negativos que possam ser causados pela referida prática (BONUMÁ, 2006).</w:t>
      </w:r>
    </w:p>
    <w:p w:rsidR="00D81F69" w:rsidRDefault="00D81F69">
      <w:pPr>
        <w:pStyle w:val="Corpodetexto"/>
        <w:spacing w:before="2"/>
        <w:ind w:left="0"/>
        <w:jc w:val="left"/>
        <w:rPr>
          <w:sz w:val="22"/>
        </w:rPr>
      </w:pPr>
    </w:p>
    <w:p w:rsidR="00D81F69" w:rsidRDefault="00330118">
      <w:pPr>
        <w:pStyle w:val="Heading7"/>
      </w:pPr>
      <w:r>
        <w:t>LOCALIZAÇÃO GEOGRÁFICA</w:t>
      </w:r>
    </w:p>
    <w:p w:rsidR="00D81F69" w:rsidRDefault="00330118">
      <w:pPr>
        <w:pStyle w:val="Corpodetexto"/>
        <w:spacing w:before="179" w:line="312" w:lineRule="auto"/>
        <w:ind w:right="211"/>
      </w:pPr>
      <w:r>
        <w:t xml:space="preserve">As ocorrências de pedras preciosas estão localizadas na bacia do </w:t>
      </w:r>
      <w:r>
        <w:t>rio Uruguai, próximo ao rio Ibicuí-Mirim. Encontram- se entre as latitudes 29°33’45”S – 29°32’48”S e longitudes 53°52’4”W – 53°55’13”W.</w:t>
      </w:r>
    </w:p>
    <w:p w:rsidR="00D81F69" w:rsidRDefault="00D81F69">
      <w:pPr>
        <w:pStyle w:val="Corpodetexto"/>
        <w:spacing w:before="1"/>
        <w:ind w:left="0"/>
        <w:jc w:val="left"/>
        <w:rPr>
          <w:sz w:val="29"/>
        </w:rPr>
      </w:pPr>
    </w:p>
    <w:p w:rsidR="00D81F69" w:rsidRDefault="00330118">
      <w:pPr>
        <w:pStyle w:val="Heading7"/>
        <w:spacing w:before="1"/>
      </w:pPr>
      <w:r>
        <w:t>REDATORES</w:t>
      </w:r>
    </w:p>
    <w:p w:rsidR="00D81F69" w:rsidRDefault="00330118">
      <w:pPr>
        <w:pStyle w:val="Corpodetexto"/>
        <w:spacing w:before="178"/>
      </w:pPr>
      <w:r>
        <w:t>Renata Olivieri; Eliane Araujo</w:t>
      </w:r>
    </w:p>
    <w:p w:rsidR="00D81F69" w:rsidRDefault="00D81F69">
      <w:pPr>
        <w:pStyle w:val="Corpodetexto"/>
        <w:ind w:left="0"/>
        <w:jc w:val="left"/>
        <w:rPr>
          <w:sz w:val="20"/>
        </w:rPr>
      </w:pPr>
    </w:p>
    <w:p w:rsidR="00D81F69" w:rsidRDefault="00330118">
      <w:pPr>
        <w:pStyle w:val="Heading7"/>
        <w:spacing w:before="165"/>
      </w:pPr>
      <w:r>
        <w:t>REFERÊNCIAS BIBLIOGRÁFICAS</w:t>
      </w:r>
    </w:p>
    <w:p w:rsidR="00D81F69" w:rsidRDefault="00330118">
      <w:pPr>
        <w:spacing w:before="187" w:line="312" w:lineRule="auto"/>
        <w:ind w:left="100" w:right="197"/>
        <w:jc w:val="both"/>
        <w:rPr>
          <w:sz w:val="16"/>
        </w:rPr>
      </w:pPr>
      <w:r>
        <w:rPr>
          <w:sz w:val="16"/>
        </w:rPr>
        <w:t xml:space="preserve">ALMEIDA, Claudio. Entrevista: José Ferreira Leal. Coordenador do Grupo de Trabalho Gestão e Governança da Rede APL mineral fala do setor mineral no Brasil e sobre o trabalho a frente de um Arranjo </w:t>
      </w:r>
      <w:r>
        <w:rPr>
          <w:spacing w:val="5"/>
          <w:sz w:val="16"/>
        </w:rPr>
        <w:t xml:space="preserve">Produtivo Local: </w:t>
      </w:r>
      <w:r>
        <w:rPr>
          <w:spacing w:val="2"/>
          <w:sz w:val="16"/>
        </w:rPr>
        <w:t xml:space="preserve">os </w:t>
      </w:r>
      <w:r>
        <w:rPr>
          <w:spacing w:val="5"/>
          <w:sz w:val="16"/>
        </w:rPr>
        <w:t xml:space="preserve">ganhos </w:t>
      </w:r>
      <w:r>
        <w:rPr>
          <w:spacing w:val="2"/>
          <w:sz w:val="16"/>
        </w:rPr>
        <w:t xml:space="preserve">na </w:t>
      </w:r>
      <w:r>
        <w:rPr>
          <w:spacing w:val="5"/>
          <w:sz w:val="16"/>
        </w:rPr>
        <w:t xml:space="preserve">produção mineral </w:t>
      </w:r>
      <w:r>
        <w:rPr>
          <w:sz w:val="16"/>
        </w:rPr>
        <w:t xml:space="preserve">e </w:t>
      </w:r>
      <w:r>
        <w:rPr>
          <w:spacing w:val="2"/>
          <w:sz w:val="16"/>
        </w:rPr>
        <w:t xml:space="preserve">na </w:t>
      </w:r>
      <w:r>
        <w:rPr>
          <w:spacing w:val="3"/>
          <w:sz w:val="16"/>
        </w:rPr>
        <w:t xml:space="preserve">saúde </w:t>
      </w:r>
      <w:r>
        <w:rPr>
          <w:sz w:val="16"/>
        </w:rPr>
        <w:t>e</w:t>
      </w:r>
      <w:r>
        <w:rPr>
          <w:sz w:val="16"/>
        </w:rPr>
        <w:t xml:space="preserve"> segurança</w:t>
      </w:r>
      <w:r>
        <w:rPr>
          <w:spacing w:val="20"/>
          <w:sz w:val="16"/>
        </w:rPr>
        <w:t xml:space="preserve"> </w:t>
      </w:r>
      <w:r>
        <w:rPr>
          <w:sz w:val="16"/>
        </w:rPr>
        <w:t>dos</w:t>
      </w:r>
      <w:r>
        <w:rPr>
          <w:spacing w:val="20"/>
          <w:sz w:val="16"/>
        </w:rPr>
        <w:t xml:space="preserve"> </w:t>
      </w:r>
      <w:r>
        <w:rPr>
          <w:sz w:val="16"/>
        </w:rPr>
        <w:t>garimpeiros.</w:t>
      </w:r>
      <w:r>
        <w:rPr>
          <w:spacing w:val="20"/>
          <w:sz w:val="16"/>
        </w:rPr>
        <w:t xml:space="preserve"> </w:t>
      </w:r>
      <w:r>
        <w:rPr>
          <w:sz w:val="16"/>
        </w:rPr>
        <w:t>In:</w:t>
      </w:r>
      <w:r>
        <w:rPr>
          <w:spacing w:val="20"/>
          <w:sz w:val="16"/>
        </w:rPr>
        <w:t xml:space="preserve"> </w:t>
      </w:r>
      <w:r>
        <w:rPr>
          <w:sz w:val="16"/>
        </w:rPr>
        <w:t>Rede</w:t>
      </w:r>
      <w:r>
        <w:rPr>
          <w:spacing w:val="20"/>
          <w:sz w:val="16"/>
        </w:rPr>
        <w:t xml:space="preserve"> </w:t>
      </w:r>
      <w:r>
        <w:rPr>
          <w:sz w:val="16"/>
        </w:rPr>
        <w:t>APL</w:t>
      </w:r>
      <w:r>
        <w:rPr>
          <w:spacing w:val="20"/>
          <w:sz w:val="16"/>
        </w:rPr>
        <w:t xml:space="preserve"> </w:t>
      </w:r>
      <w:r>
        <w:rPr>
          <w:sz w:val="16"/>
        </w:rPr>
        <w:t>Mineral,</w:t>
      </w:r>
      <w:r>
        <w:rPr>
          <w:spacing w:val="20"/>
          <w:sz w:val="16"/>
        </w:rPr>
        <w:t xml:space="preserve"> </w:t>
      </w:r>
      <w:r>
        <w:rPr>
          <w:sz w:val="16"/>
        </w:rPr>
        <w:t>Brasília,</w:t>
      </w:r>
      <w:r>
        <w:rPr>
          <w:spacing w:val="20"/>
          <w:sz w:val="16"/>
        </w:rPr>
        <w:t xml:space="preserve"> </w:t>
      </w:r>
      <w:r>
        <w:rPr>
          <w:sz w:val="16"/>
        </w:rPr>
        <w:t>02</w:t>
      </w:r>
      <w:r>
        <w:rPr>
          <w:spacing w:val="20"/>
          <w:sz w:val="16"/>
        </w:rPr>
        <w:t xml:space="preserve"> </w:t>
      </w:r>
      <w:r>
        <w:rPr>
          <w:sz w:val="16"/>
        </w:rPr>
        <w:t>mai.</w:t>
      </w:r>
    </w:p>
    <w:p w:rsidR="00D81F69" w:rsidRDefault="00330118">
      <w:pPr>
        <w:tabs>
          <w:tab w:val="left" w:pos="1785"/>
          <w:tab w:val="left" w:pos="4548"/>
        </w:tabs>
        <w:spacing w:before="4"/>
        <w:ind w:left="100"/>
        <w:jc w:val="both"/>
        <w:rPr>
          <w:sz w:val="16"/>
        </w:rPr>
      </w:pPr>
      <w:r>
        <w:rPr>
          <w:sz w:val="16"/>
        </w:rPr>
        <w:t xml:space="preserve">2   0   0  </w:t>
      </w:r>
      <w:r>
        <w:rPr>
          <w:spacing w:val="35"/>
          <w:sz w:val="16"/>
        </w:rPr>
        <w:t xml:space="preserve"> </w:t>
      </w:r>
      <w:r>
        <w:rPr>
          <w:sz w:val="16"/>
        </w:rPr>
        <w:t xml:space="preserve">8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09"/>
        <w:jc w:val="both"/>
        <w:rPr>
          <w:sz w:val="16"/>
        </w:rPr>
      </w:pPr>
      <w:hyperlink r:id="rId1739">
        <w:r w:rsidR="00330118">
          <w:rPr>
            <w:sz w:val="16"/>
          </w:rPr>
          <w:t>&lt;http://www.redeaplmineral.org.br/entrevis</w:t>
        </w:r>
        <w:r w:rsidR="00330118">
          <w:rPr>
            <w:sz w:val="16"/>
          </w:rPr>
          <w:t>tas/entrevista-com-o-</w:t>
        </w:r>
      </w:hyperlink>
      <w:r w:rsidR="00330118">
        <w:rPr>
          <w:sz w:val="16"/>
        </w:rPr>
        <w:t xml:space="preserve"> consultor-do-apl-de-gemas-e-joias-do-rs-jose-ferreira-leal&gt;. Acesso em: 24 fev. 2011.</w:t>
      </w:r>
    </w:p>
    <w:p w:rsidR="00D81F69" w:rsidRDefault="00330118">
      <w:pPr>
        <w:spacing w:before="3" w:line="312" w:lineRule="auto"/>
        <w:ind w:left="100" w:right="191"/>
        <w:jc w:val="both"/>
        <w:rPr>
          <w:sz w:val="16"/>
        </w:rPr>
      </w:pPr>
      <w:r>
        <w:rPr>
          <w:sz w:val="16"/>
        </w:rPr>
        <w:t>APRENDENDO A EXPORTAR. Arranjos Produtivos de Gemas e Jóias do Estado do Rio Grande do Sul, 2011. Disponível em:</w:t>
      </w:r>
    </w:p>
    <w:p w:rsidR="00D81F69" w:rsidRDefault="00D81F69">
      <w:pPr>
        <w:spacing w:before="1" w:line="312" w:lineRule="auto"/>
        <w:ind w:left="100" w:right="199"/>
        <w:jc w:val="both"/>
        <w:rPr>
          <w:sz w:val="16"/>
        </w:rPr>
      </w:pPr>
      <w:hyperlink r:id="rId1740">
        <w:r w:rsidR="00330118">
          <w:rPr>
            <w:sz w:val="16"/>
          </w:rPr>
          <w:t>&lt;http://www.aprendendoaexportar.gov.br/gemasejoias/pdf/Polo_de_G</w:t>
        </w:r>
      </w:hyperlink>
      <w:r w:rsidR="00330118">
        <w:rPr>
          <w:sz w:val="16"/>
        </w:rPr>
        <w:t xml:space="preserve"> emas_e_Joias_do_Estado_do_Rio_Grande_do_Sul.pdf&gt;. Acesso em: 24 fev. 2011.</w:t>
      </w:r>
    </w:p>
    <w:p w:rsidR="00D81F69" w:rsidRDefault="00330118">
      <w:pPr>
        <w:spacing w:before="3" w:line="312" w:lineRule="auto"/>
        <w:ind w:left="100" w:right="161"/>
        <w:jc w:val="both"/>
        <w:rPr>
          <w:sz w:val="16"/>
        </w:rPr>
      </w:pPr>
      <w:r>
        <w:rPr>
          <w:spacing w:val="3"/>
          <w:sz w:val="16"/>
        </w:rPr>
        <w:t xml:space="preserve">BONUMÁ, Nadia Bernardi. Avaliação </w:t>
      </w:r>
      <w:r>
        <w:rPr>
          <w:spacing w:val="1"/>
          <w:sz w:val="16"/>
        </w:rPr>
        <w:t xml:space="preserve">da </w:t>
      </w:r>
      <w:r>
        <w:rPr>
          <w:spacing w:val="3"/>
          <w:sz w:val="16"/>
        </w:rPr>
        <w:t xml:space="preserve">qualidade </w:t>
      </w:r>
      <w:r>
        <w:rPr>
          <w:spacing w:val="1"/>
          <w:sz w:val="16"/>
        </w:rPr>
        <w:t xml:space="preserve">da </w:t>
      </w:r>
      <w:r>
        <w:rPr>
          <w:spacing w:val="2"/>
          <w:sz w:val="16"/>
        </w:rPr>
        <w:t xml:space="preserve">água </w:t>
      </w:r>
      <w:r>
        <w:rPr>
          <w:spacing w:val="5"/>
          <w:sz w:val="16"/>
        </w:rPr>
        <w:t xml:space="preserve">sob </w:t>
      </w:r>
      <w:r>
        <w:rPr>
          <w:sz w:val="16"/>
        </w:rPr>
        <w:t xml:space="preserve">impacto das atividades de implantação de garimpo no município de </w:t>
      </w:r>
      <w:r>
        <w:rPr>
          <w:spacing w:val="3"/>
          <w:sz w:val="16"/>
        </w:rPr>
        <w:t xml:space="preserve">São </w:t>
      </w:r>
      <w:r>
        <w:rPr>
          <w:spacing w:val="5"/>
          <w:sz w:val="16"/>
        </w:rPr>
        <w:t xml:space="preserve">Martinho </w:t>
      </w:r>
      <w:r>
        <w:rPr>
          <w:spacing w:val="2"/>
          <w:sz w:val="16"/>
        </w:rPr>
        <w:t xml:space="preserve">da </w:t>
      </w:r>
      <w:r>
        <w:rPr>
          <w:spacing w:val="5"/>
          <w:sz w:val="16"/>
        </w:rPr>
        <w:t xml:space="preserve">Serra. Santa Maria, 2006. 107f. </w:t>
      </w:r>
      <w:r>
        <w:rPr>
          <w:spacing w:val="6"/>
          <w:sz w:val="16"/>
        </w:rPr>
        <w:t xml:space="preserve">Dissertação </w:t>
      </w:r>
      <w:r>
        <w:rPr>
          <w:sz w:val="16"/>
        </w:rPr>
        <w:t xml:space="preserve">(Mestrado em Engenharia Agrícola) – Universidade Federal de Santa </w:t>
      </w:r>
      <w:r>
        <w:rPr>
          <w:spacing w:val="33"/>
          <w:sz w:val="16"/>
        </w:rPr>
        <w:t xml:space="preserve">Maria, </w:t>
      </w:r>
      <w:r>
        <w:rPr>
          <w:spacing w:val="31"/>
          <w:sz w:val="16"/>
        </w:rPr>
        <w:t xml:space="preserve">Santa Maria (RS). </w:t>
      </w:r>
      <w:r>
        <w:rPr>
          <w:spacing w:val="35"/>
          <w:sz w:val="16"/>
        </w:rPr>
        <w:t>Disponível</w:t>
      </w:r>
      <w:r>
        <w:rPr>
          <w:spacing w:val="90"/>
          <w:sz w:val="16"/>
        </w:rPr>
        <w:t xml:space="preserve"> </w:t>
      </w:r>
      <w:r>
        <w:rPr>
          <w:spacing w:val="26"/>
          <w:sz w:val="16"/>
        </w:rPr>
        <w:t>em:</w:t>
      </w:r>
      <w:r>
        <w:rPr>
          <w:spacing w:val="-3"/>
          <w:sz w:val="16"/>
        </w:rPr>
        <w:t xml:space="preserve"> </w:t>
      </w:r>
    </w:p>
    <w:p w:rsidR="00D81F69" w:rsidRDefault="00D81F69">
      <w:pPr>
        <w:spacing w:before="4" w:line="312" w:lineRule="auto"/>
        <w:ind w:left="100" w:right="212"/>
        <w:jc w:val="both"/>
        <w:rPr>
          <w:sz w:val="16"/>
        </w:rPr>
      </w:pPr>
      <w:hyperlink r:id="rId1741">
        <w:r w:rsidR="00330118">
          <w:rPr>
            <w:sz w:val="16"/>
          </w:rPr>
          <w:t xml:space="preserve">&lt;http://www.ufsm.br/ppgec/diss/diss_nadia_bernardi.pdf&gt;. </w:t>
        </w:r>
      </w:hyperlink>
      <w:r w:rsidR="00330118">
        <w:rPr>
          <w:sz w:val="16"/>
        </w:rPr>
        <w:t>Acesso em: 24 fev. 2011.</w:t>
      </w:r>
    </w:p>
    <w:p w:rsidR="00D81F69" w:rsidRDefault="00330118">
      <w:pPr>
        <w:spacing w:before="2" w:line="312" w:lineRule="auto"/>
        <w:ind w:left="100" w:right="194"/>
        <w:jc w:val="both"/>
        <w:rPr>
          <w:sz w:val="16"/>
        </w:rPr>
      </w:pPr>
      <w:r>
        <w:rPr>
          <w:sz w:val="16"/>
        </w:rPr>
        <w:t>BONUMÁ, Nadia Bernardi; GASTALDINI, Maria do Carmo Cauduro; PAIVA, João Batista Dias de; SIMONETTI, Álisson; ZORZELLA, Letícia.</w:t>
      </w:r>
      <w:r>
        <w:rPr>
          <w:sz w:val="16"/>
        </w:rPr>
        <w:t xml:space="preserve"> Influência da implantação de atividades de garimpo de pedras</w:t>
      </w:r>
    </w:p>
    <w:p w:rsidR="00D81F69" w:rsidRDefault="00D81F69">
      <w:pPr>
        <w:spacing w:line="312" w:lineRule="auto"/>
        <w:jc w:val="both"/>
        <w:rPr>
          <w:sz w:val="16"/>
        </w:rPr>
        <w:sectPr w:rsidR="00D81F69">
          <w:pgSz w:w="11900" w:h="16840"/>
          <w:pgMar w:top="740" w:right="500" w:bottom="640" w:left="620" w:header="0" w:footer="402" w:gutter="0"/>
          <w:cols w:num="2" w:space="720" w:equalWidth="0">
            <w:col w:w="5166" w:space="304"/>
            <w:col w:w="5310"/>
          </w:cols>
        </w:sectPr>
      </w:pPr>
    </w:p>
    <w:p w:rsidR="00D81F69" w:rsidRDefault="00330118">
      <w:pPr>
        <w:tabs>
          <w:tab w:val="left" w:pos="1092"/>
          <w:tab w:val="left" w:pos="2427"/>
          <w:tab w:val="left" w:pos="4633"/>
        </w:tabs>
        <w:spacing w:before="70" w:line="312" w:lineRule="auto"/>
        <w:ind w:left="100" w:right="53"/>
        <w:jc w:val="both"/>
        <w:rPr>
          <w:sz w:val="16"/>
        </w:rPr>
      </w:pPr>
      <w:r w:rsidRPr="00392EAD">
        <w:rPr>
          <w:sz w:val="16"/>
          <w:lang w:val="pt-BR"/>
        </w:rPr>
        <w:lastRenderedPageBreak/>
        <w:t xml:space="preserve">preciosas na qualidade das águas no município de São Martinho da Serra – RS, I Simpósio de Recursos Hídricos do Sul-Sudeste, 27 - 29 a </w:t>
      </w:r>
      <w:r w:rsidRPr="00392EAD">
        <w:rPr>
          <w:spacing w:val="15"/>
          <w:sz w:val="16"/>
          <w:lang w:val="pt-BR"/>
        </w:rPr>
        <w:t xml:space="preserve"> </w:t>
      </w:r>
      <w:r w:rsidRPr="00392EAD">
        <w:rPr>
          <w:sz w:val="16"/>
          <w:lang w:val="pt-BR"/>
        </w:rPr>
        <w:t xml:space="preserve">g </w:t>
      </w:r>
      <w:r w:rsidRPr="00392EAD">
        <w:rPr>
          <w:spacing w:val="15"/>
          <w:sz w:val="16"/>
          <w:lang w:val="pt-BR"/>
        </w:rPr>
        <w:t xml:space="preserve"> </w:t>
      </w:r>
      <w:r w:rsidRPr="00392EAD">
        <w:rPr>
          <w:sz w:val="16"/>
          <w:lang w:val="pt-BR"/>
        </w:rPr>
        <w:t>o</w:t>
      </w:r>
      <w:r w:rsidRPr="00392EAD">
        <w:rPr>
          <w:sz w:val="16"/>
          <w:lang w:val="pt-BR"/>
        </w:rPr>
        <w:tab/>
        <w:t xml:space="preserve">2   0   0 6 </w:t>
      </w:r>
      <w:r w:rsidRPr="00392EAD">
        <w:rPr>
          <w:spacing w:val="15"/>
          <w:sz w:val="16"/>
          <w:lang w:val="pt-BR"/>
        </w:rPr>
        <w:t xml:space="preserve"> </w:t>
      </w:r>
      <w:r w:rsidRPr="00392EAD">
        <w:rPr>
          <w:sz w:val="16"/>
          <w:lang w:val="pt-BR"/>
        </w:rPr>
        <w:t>.</w:t>
      </w:r>
      <w:r w:rsidRPr="00392EAD">
        <w:rPr>
          <w:sz w:val="16"/>
          <w:lang w:val="pt-BR"/>
        </w:rPr>
        <w:tab/>
      </w:r>
      <w:r>
        <w:rPr>
          <w:sz w:val="16"/>
        </w:rPr>
        <w:t xml:space="preserve">D </w:t>
      </w:r>
      <w:r>
        <w:rPr>
          <w:spacing w:val="15"/>
          <w:sz w:val="16"/>
        </w:rPr>
        <w:t xml:space="preserve"> </w:t>
      </w:r>
      <w:r>
        <w:rPr>
          <w:sz w:val="16"/>
        </w:rPr>
        <w:t xml:space="preserve">i </w:t>
      </w:r>
      <w:r>
        <w:rPr>
          <w:spacing w:val="15"/>
          <w:sz w:val="16"/>
        </w:rPr>
        <w:t xml:space="preserve"> </w:t>
      </w:r>
      <w:r>
        <w:rPr>
          <w:sz w:val="16"/>
        </w:rPr>
        <w:t xml:space="preserve">s </w:t>
      </w:r>
      <w:r>
        <w:rPr>
          <w:spacing w:val="15"/>
          <w:sz w:val="16"/>
        </w:rPr>
        <w:t xml:space="preserve"> </w:t>
      </w:r>
      <w:r>
        <w:rPr>
          <w:sz w:val="16"/>
        </w:rPr>
        <w:t xml:space="preserve">p </w:t>
      </w:r>
      <w:r>
        <w:rPr>
          <w:spacing w:val="15"/>
          <w:sz w:val="16"/>
        </w:rPr>
        <w:t xml:space="preserve"> </w:t>
      </w:r>
      <w:r>
        <w:rPr>
          <w:sz w:val="16"/>
        </w:rPr>
        <w:t xml:space="preserve">o </w:t>
      </w:r>
      <w:r>
        <w:rPr>
          <w:spacing w:val="15"/>
          <w:sz w:val="16"/>
        </w:rPr>
        <w:t xml:space="preserve"> </w:t>
      </w:r>
      <w:r>
        <w:rPr>
          <w:sz w:val="16"/>
        </w:rPr>
        <w:t xml:space="preserve">n </w:t>
      </w:r>
      <w:r>
        <w:rPr>
          <w:spacing w:val="15"/>
          <w:sz w:val="16"/>
        </w:rPr>
        <w:t xml:space="preserve"> </w:t>
      </w:r>
      <w:r>
        <w:rPr>
          <w:sz w:val="16"/>
        </w:rPr>
        <w:t xml:space="preserve">í </w:t>
      </w:r>
      <w:r>
        <w:rPr>
          <w:spacing w:val="15"/>
          <w:sz w:val="16"/>
        </w:rPr>
        <w:t xml:space="preserve"> </w:t>
      </w:r>
      <w:r>
        <w:rPr>
          <w:sz w:val="16"/>
        </w:rPr>
        <w:t xml:space="preserve">v </w:t>
      </w:r>
      <w:r>
        <w:rPr>
          <w:spacing w:val="15"/>
          <w:sz w:val="16"/>
        </w:rPr>
        <w:t xml:space="preserve"> </w:t>
      </w:r>
      <w:r>
        <w:rPr>
          <w:sz w:val="16"/>
        </w:rPr>
        <w:t xml:space="preserve">e </w:t>
      </w:r>
      <w:r>
        <w:rPr>
          <w:spacing w:val="15"/>
          <w:sz w:val="16"/>
        </w:rPr>
        <w:t xml:space="preserve"> </w:t>
      </w:r>
      <w:r>
        <w:rPr>
          <w:sz w:val="16"/>
        </w:rPr>
        <w:t>l</w:t>
      </w:r>
      <w:r>
        <w:rPr>
          <w:sz w:val="16"/>
        </w:rPr>
        <w:tab/>
        <w:t>e m</w:t>
      </w:r>
      <w:r>
        <w:rPr>
          <w:spacing w:val="30"/>
          <w:sz w:val="16"/>
        </w:rPr>
        <w:t xml:space="preserve"> </w:t>
      </w:r>
      <w:r>
        <w:rPr>
          <w:sz w:val="16"/>
        </w:rPr>
        <w:t>:</w:t>
      </w:r>
    </w:p>
    <w:p w:rsidR="00D81F69" w:rsidRPr="00392EAD" w:rsidRDefault="00D81F69">
      <w:pPr>
        <w:spacing w:before="2" w:line="312" w:lineRule="auto"/>
        <w:ind w:left="100" w:right="51"/>
        <w:jc w:val="both"/>
        <w:rPr>
          <w:sz w:val="16"/>
          <w:lang w:val="pt-BR"/>
        </w:rPr>
      </w:pPr>
      <w:hyperlink r:id="rId1742">
        <w:r w:rsidR="00330118">
          <w:rPr>
            <w:sz w:val="16"/>
          </w:rPr>
          <w:t>&lt;http://jararaca.ufsm.br/websites/paiva/download/BonumaSS.pdf&gt;.</w:t>
        </w:r>
      </w:hyperlink>
      <w:r w:rsidR="00330118">
        <w:rPr>
          <w:sz w:val="16"/>
        </w:rPr>
        <w:t xml:space="preserve"> </w:t>
      </w:r>
      <w:r w:rsidR="00330118" w:rsidRPr="00392EAD">
        <w:rPr>
          <w:sz w:val="16"/>
          <w:lang w:val="pt-BR"/>
        </w:rPr>
        <w:t>Acesso em: 24 fev. 2011.</w:t>
      </w:r>
    </w:p>
    <w:p w:rsidR="00D81F69" w:rsidRPr="00392EAD" w:rsidRDefault="00330118">
      <w:pPr>
        <w:spacing w:before="2" w:line="312" w:lineRule="auto"/>
        <w:ind w:left="100" w:right="38"/>
        <w:jc w:val="both"/>
        <w:rPr>
          <w:sz w:val="16"/>
          <w:lang w:val="pt-BR"/>
        </w:rPr>
      </w:pPr>
      <w:r w:rsidRPr="00392EAD">
        <w:rPr>
          <w:sz w:val="16"/>
          <w:lang w:val="pt-BR"/>
        </w:rPr>
        <w:t>IBGE, Instituto Brasileiro de Geografia e Estatística. São Mart</w:t>
      </w:r>
      <w:r w:rsidRPr="00392EAD">
        <w:rPr>
          <w:sz w:val="16"/>
          <w:lang w:val="pt-BR"/>
        </w:rPr>
        <w:t xml:space="preserve">inho da </w:t>
      </w:r>
      <w:r w:rsidRPr="00392EAD">
        <w:rPr>
          <w:spacing w:val="12"/>
          <w:sz w:val="16"/>
          <w:lang w:val="pt-BR"/>
        </w:rPr>
        <w:t xml:space="preserve">Serra </w:t>
      </w:r>
      <w:r w:rsidRPr="00392EAD">
        <w:rPr>
          <w:sz w:val="16"/>
          <w:lang w:val="pt-BR"/>
        </w:rPr>
        <w:t xml:space="preserve">– </w:t>
      </w:r>
      <w:r w:rsidRPr="00392EAD">
        <w:rPr>
          <w:spacing w:val="10"/>
          <w:sz w:val="16"/>
          <w:lang w:val="pt-BR"/>
        </w:rPr>
        <w:t>RS.</w:t>
      </w:r>
      <w:r w:rsidRPr="00392EAD">
        <w:rPr>
          <w:spacing w:val="65"/>
          <w:sz w:val="16"/>
          <w:lang w:val="pt-BR"/>
        </w:rPr>
        <w:t xml:space="preserve"> </w:t>
      </w:r>
      <w:r>
        <w:rPr>
          <w:spacing w:val="10"/>
          <w:sz w:val="16"/>
        </w:rPr>
        <w:t>In:</w:t>
      </w:r>
      <w:r>
        <w:rPr>
          <w:spacing w:val="65"/>
          <w:sz w:val="16"/>
        </w:rPr>
        <w:t xml:space="preserve"> </w:t>
      </w:r>
      <w:r>
        <w:rPr>
          <w:spacing w:val="11"/>
          <w:sz w:val="16"/>
        </w:rPr>
        <w:t xml:space="preserve">IBGE </w:t>
      </w:r>
      <w:r>
        <w:rPr>
          <w:spacing w:val="13"/>
          <w:sz w:val="16"/>
        </w:rPr>
        <w:t xml:space="preserve">Cidades, </w:t>
      </w:r>
      <w:r>
        <w:rPr>
          <w:spacing w:val="12"/>
          <w:sz w:val="16"/>
        </w:rPr>
        <w:t xml:space="preserve">2010. </w:t>
      </w:r>
      <w:r w:rsidRPr="00392EAD">
        <w:rPr>
          <w:spacing w:val="15"/>
          <w:sz w:val="16"/>
          <w:lang w:val="pt-BR"/>
        </w:rPr>
        <w:t xml:space="preserve">Disponível </w:t>
      </w:r>
      <w:r w:rsidRPr="00392EAD">
        <w:rPr>
          <w:spacing w:val="10"/>
          <w:sz w:val="16"/>
          <w:lang w:val="pt-BR"/>
        </w:rPr>
        <w:t>em:</w:t>
      </w:r>
      <w:r w:rsidRPr="00392EAD">
        <w:rPr>
          <w:spacing w:val="-26"/>
          <w:sz w:val="16"/>
          <w:lang w:val="pt-BR"/>
        </w:rPr>
        <w:t xml:space="preserve"> </w:t>
      </w:r>
    </w:p>
    <w:p w:rsidR="00D81F69" w:rsidRPr="00392EAD" w:rsidRDefault="00D81F69">
      <w:pPr>
        <w:spacing w:before="1"/>
        <w:ind w:left="100"/>
        <w:rPr>
          <w:sz w:val="16"/>
          <w:lang w:val="pt-BR"/>
        </w:rPr>
      </w:pPr>
      <w:hyperlink r:id="rId1743">
        <w:r w:rsidR="00330118" w:rsidRPr="00392EAD">
          <w:rPr>
            <w:sz w:val="16"/>
            <w:lang w:val="pt-BR"/>
          </w:rPr>
          <w:t>&lt;http://www.ibge.gov.br/cidadesat/xtras/perfil.php?codmun=431912&amp;r</w:t>
        </w:r>
      </w:hyperlink>
    </w:p>
    <w:p w:rsidR="00D81F69" w:rsidRPr="00392EAD" w:rsidRDefault="00330118">
      <w:pPr>
        <w:spacing w:before="56"/>
        <w:ind w:left="100"/>
        <w:rPr>
          <w:sz w:val="16"/>
          <w:lang w:val="pt-BR"/>
        </w:rPr>
      </w:pPr>
      <w:r w:rsidRPr="00392EAD">
        <w:rPr>
          <w:sz w:val="16"/>
          <w:lang w:val="pt-BR"/>
        </w:rPr>
        <w:t>=2.&gt;. Acesso em: 24 fev. 2011.</w:t>
      </w:r>
    </w:p>
    <w:p w:rsidR="00D81F69" w:rsidRPr="00392EAD" w:rsidRDefault="00330118">
      <w:pPr>
        <w:spacing w:before="56" w:line="312" w:lineRule="auto"/>
        <w:ind w:left="100" w:right="50"/>
        <w:jc w:val="both"/>
        <w:rPr>
          <w:sz w:val="16"/>
          <w:lang w:val="pt-BR"/>
        </w:rPr>
      </w:pPr>
      <w:r w:rsidRPr="00392EAD">
        <w:rPr>
          <w:sz w:val="16"/>
          <w:lang w:val="pt-BR"/>
        </w:rPr>
        <w:t>MICHELIN, Cassiana Roberta Lizzoni. Sequência de formação das cavidades no basalto e seu preenchimento com zeolitas, arenito, ágata e ametista, Derrame Miolo, São Martinho da Serra, Rio Grande do Sul, Brasil.</w:t>
      </w:r>
    </w:p>
    <w:p w:rsidR="00D81F69" w:rsidRPr="00392EAD" w:rsidRDefault="00330118">
      <w:pPr>
        <w:spacing w:before="4"/>
        <w:ind w:left="100"/>
        <w:jc w:val="both"/>
        <w:rPr>
          <w:sz w:val="16"/>
          <w:lang w:val="pt-BR"/>
        </w:rPr>
      </w:pPr>
      <w:r w:rsidRPr="00392EAD">
        <w:rPr>
          <w:sz w:val="16"/>
          <w:lang w:val="pt-BR"/>
        </w:rPr>
        <w:t>Porto Alegre, 2007. 20 f. Dissertação (Mestrado</w:t>
      </w:r>
      <w:r w:rsidRPr="00392EAD">
        <w:rPr>
          <w:sz w:val="16"/>
          <w:lang w:val="pt-BR"/>
        </w:rPr>
        <w:t xml:space="preserve"> em Geociências) –</w:t>
      </w:r>
    </w:p>
    <w:p w:rsidR="00D81F69" w:rsidRDefault="00330118">
      <w:pPr>
        <w:tabs>
          <w:tab w:val="left" w:pos="470"/>
          <w:tab w:val="left" w:pos="760"/>
          <w:tab w:val="left" w:pos="1095"/>
          <w:tab w:val="left" w:pos="1439"/>
          <w:tab w:val="left" w:pos="1782"/>
          <w:tab w:val="left" w:pos="2126"/>
          <w:tab w:val="left" w:pos="2426"/>
          <w:tab w:val="left" w:pos="2760"/>
          <w:tab w:val="left" w:pos="3104"/>
          <w:tab w:val="left" w:pos="4331"/>
          <w:tab w:val="left" w:pos="4674"/>
          <w:tab w:val="left" w:pos="5063"/>
        </w:tabs>
        <w:spacing w:before="70" w:line="312" w:lineRule="auto"/>
        <w:ind w:left="100" w:right="193"/>
        <w:rPr>
          <w:sz w:val="16"/>
        </w:rPr>
      </w:pPr>
      <w:r w:rsidRPr="00392EAD">
        <w:rPr>
          <w:lang w:val="pt-BR"/>
        </w:rPr>
        <w:br w:type="column"/>
      </w:r>
      <w:r w:rsidRPr="00392EAD">
        <w:rPr>
          <w:spacing w:val="3"/>
          <w:sz w:val="16"/>
          <w:lang w:val="pt-BR"/>
        </w:rPr>
        <w:lastRenderedPageBreak/>
        <w:t xml:space="preserve">Universidade Federal </w:t>
      </w:r>
      <w:r w:rsidRPr="00392EAD">
        <w:rPr>
          <w:spacing w:val="1"/>
          <w:sz w:val="16"/>
          <w:lang w:val="pt-BR"/>
        </w:rPr>
        <w:t xml:space="preserve">do </w:t>
      </w:r>
      <w:r w:rsidRPr="00392EAD">
        <w:rPr>
          <w:spacing w:val="2"/>
          <w:sz w:val="16"/>
          <w:lang w:val="pt-BR"/>
        </w:rPr>
        <w:t xml:space="preserve">Rio </w:t>
      </w:r>
      <w:r w:rsidRPr="00392EAD">
        <w:rPr>
          <w:spacing w:val="3"/>
          <w:sz w:val="16"/>
          <w:lang w:val="pt-BR"/>
        </w:rPr>
        <w:t xml:space="preserve">Grande </w:t>
      </w:r>
      <w:r w:rsidRPr="00392EAD">
        <w:rPr>
          <w:spacing w:val="1"/>
          <w:sz w:val="16"/>
          <w:lang w:val="pt-BR"/>
        </w:rPr>
        <w:t xml:space="preserve">do  </w:t>
      </w:r>
      <w:r w:rsidRPr="00392EAD">
        <w:rPr>
          <w:spacing w:val="2"/>
          <w:sz w:val="16"/>
          <w:lang w:val="pt-BR"/>
        </w:rPr>
        <w:t xml:space="preserve">Sul,  </w:t>
      </w:r>
      <w:r w:rsidRPr="00392EAD">
        <w:rPr>
          <w:spacing w:val="3"/>
          <w:sz w:val="16"/>
          <w:lang w:val="pt-BR"/>
        </w:rPr>
        <w:t xml:space="preserve">Porto Alegre </w:t>
      </w:r>
      <w:r w:rsidRPr="00392EAD">
        <w:rPr>
          <w:spacing w:val="5"/>
          <w:sz w:val="16"/>
          <w:lang w:val="pt-BR"/>
        </w:rPr>
        <w:t xml:space="preserve">(RS).  </w:t>
      </w:r>
      <w:r>
        <w:rPr>
          <w:sz w:val="16"/>
        </w:rPr>
        <w:t>D</w:t>
      </w:r>
      <w:r>
        <w:rPr>
          <w:sz w:val="16"/>
        </w:rPr>
        <w:tab/>
        <w:t>i</w:t>
      </w:r>
      <w:r>
        <w:rPr>
          <w:sz w:val="16"/>
        </w:rPr>
        <w:tab/>
        <w:t>s</w:t>
      </w:r>
      <w:r>
        <w:rPr>
          <w:sz w:val="16"/>
        </w:rPr>
        <w:tab/>
        <w:t>p</w:t>
      </w:r>
      <w:r>
        <w:rPr>
          <w:sz w:val="16"/>
        </w:rPr>
        <w:tab/>
        <w:t>o</w:t>
      </w:r>
      <w:r>
        <w:rPr>
          <w:sz w:val="16"/>
        </w:rPr>
        <w:tab/>
        <w:t>n</w:t>
      </w:r>
      <w:r>
        <w:rPr>
          <w:sz w:val="16"/>
        </w:rPr>
        <w:tab/>
        <w:t>í</w:t>
      </w:r>
      <w:r>
        <w:rPr>
          <w:sz w:val="16"/>
        </w:rPr>
        <w:tab/>
        <w:t>v</w:t>
      </w:r>
      <w:r>
        <w:rPr>
          <w:sz w:val="16"/>
        </w:rPr>
        <w:tab/>
        <w:t>e</w:t>
      </w:r>
      <w:r>
        <w:rPr>
          <w:sz w:val="16"/>
        </w:rPr>
        <w:tab/>
        <w:t>l</w:t>
      </w:r>
      <w:r>
        <w:rPr>
          <w:sz w:val="16"/>
        </w:rPr>
        <w:tab/>
        <w:t>e</w:t>
      </w:r>
      <w:r>
        <w:rPr>
          <w:sz w:val="16"/>
        </w:rPr>
        <w:tab/>
        <w:t>m</w:t>
      </w:r>
      <w:r>
        <w:rPr>
          <w:sz w:val="16"/>
        </w:rPr>
        <w:tab/>
        <w:t>:</w:t>
      </w:r>
    </w:p>
    <w:p w:rsidR="00D81F69" w:rsidRPr="00392EAD" w:rsidRDefault="00D81F69">
      <w:pPr>
        <w:spacing w:before="1" w:line="312" w:lineRule="auto"/>
        <w:ind w:left="100" w:right="204"/>
        <w:rPr>
          <w:sz w:val="16"/>
          <w:lang w:val="pt-BR"/>
        </w:rPr>
      </w:pPr>
      <w:hyperlink r:id="rId1744">
        <w:r w:rsidR="00330118">
          <w:rPr>
            <w:sz w:val="16"/>
          </w:rPr>
          <w:t>&lt;http://www.bibliotecadigital.ufrgs.br/da.php?nrb=0006279</w:t>
        </w:r>
        <w:r w:rsidR="00330118">
          <w:rPr>
            <w:sz w:val="16"/>
          </w:rPr>
          <w:t>75&amp;loc=200</w:t>
        </w:r>
      </w:hyperlink>
      <w:r w:rsidR="00330118">
        <w:rPr>
          <w:sz w:val="16"/>
        </w:rPr>
        <w:t xml:space="preserve"> 8&amp;l=593811af6c130eff&gt;. </w:t>
      </w:r>
      <w:r w:rsidR="00330118" w:rsidRPr="00392EAD">
        <w:rPr>
          <w:sz w:val="16"/>
          <w:lang w:val="pt-BR"/>
        </w:rPr>
        <w:t>Acesso em: 24 fev. 2011.</w:t>
      </w:r>
    </w:p>
    <w:p w:rsidR="00D81F69" w:rsidRDefault="00330118">
      <w:pPr>
        <w:tabs>
          <w:tab w:val="left" w:pos="470"/>
          <w:tab w:val="left" w:pos="760"/>
          <w:tab w:val="left" w:pos="1095"/>
          <w:tab w:val="left" w:pos="1439"/>
          <w:tab w:val="left" w:pos="1782"/>
          <w:tab w:val="left" w:pos="2126"/>
          <w:tab w:val="left" w:pos="2426"/>
          <w:tab w:val="left" w:pos="2760"/>
          <w:tab w:val="left" w:pos="3104"/>
          <w:tab w:val="left" w:pos="4331"/>
          <w:tab w:val="left" w:pos="4674"/>
          <w:tab w:val="left" w:pos="5063"/>
        </w:tabs>
        <w:spacing w:before="2" w:line="312" w:lineRule="auto"/>
        <w:ind w:left="100" w:right="196"/>
        <w:rPr>
          <w:sz w:val="16"/>
        </w:rPr>
      </w:pPr>
      <w:r w:rsidRPr="00392EAD">
        <w:rPr>
          <w:sz w:val="16"/>
          <w:lang w:val="pt-BR"/>
        </w:rPr>
        <w:t xml:space="preserve">REDE APL MINERAL. Gemas e Jóias do Rio Grande do Sul – </w:t>
      </w:r>
      <w:r w:rsidRPr="00392EAD">
        <w:rPr>
          <w:spacing w:val="1"/>
          <w:sz w:val="16"/>
          <w:lang w:val="pt-BR"/>
        </w:rPr>
        <w:t xml:space="preserve">RS.    </w:t>
      </w:r>
      <w:r>
        <w:rPr>
          <w:sz w:val="16"/>
        </w:rPr>
        <w:t>D</w:t>
      </w:r>
      <w:r>
        <w:rPr>
          <w:sz w:val="16"/>
        </w:rPr>
        <w:tab/>
        <w:t>i</w:t>
      </w:r>
      <w:r>
        <w:rPr>
          <w:sz w:val="16"/>
        </w:rPr>
        <w:tab/>
        <w:t>s</w:t>
      </w:r>
      <w:r>
        <w:rPr>
          <w:sz w:val="16"/>
        </w:rPr>
        <w:tab/>
        <w:t>p</w:t>
      </w:r>
      <w:r>
        <w:rPr>
          <w:sz w:val="16"/>
        </w:rPr>
        <w:tab/>
        <w:t>o</w:t>
      </w:r>
      <w:r>
        <w:rPr>
          <w:sz w:val="16"/>
        </w:rPr>
        <w:tab/>
        <w:t>n</w:t>
      </w:r>
      <w:r>
        <w:rPr>
          <w:sz w:val="16"/>
        </w:rPr>
        <w:tab/>
        <w:t>í</w:t>
      </w:r>
      <w:r>
        <w:rPr>
          <w:sz w:val="16"/>
        </w:rPr>
        <w:tab/>
        <w:t>v</w:t>
      </w:r>
      <w:r>
        <w:rPr>
          <w:sz w:val="16"/>
        </w:rPr>
        <w:tab/>
        <w:t>e</w:t>
      </w:r>
      <w:r>
        <w:rPr>
          <w:sz w:val="16"/>
        </w:rPr>
        <w:tab/>
        <w:t>l</w:t>
      </w:r>
      <w:r>
        <w:rPr>
          <w:sz w:val="16"/>
        </w:rPr>
        <w:tab/>
        <w:t>e</w:t>
      </w:r>
      <w:r>
        <w:rPr>
          <w:sz w:val="16"/>
        </w:rPr>
        <w:tab/>
        <w:t>m</w:t>
      </w:r>
      <w:r>
        <w:rPr>
          <w:sz w:val="16"/>
        </w:rPr>
        <w:tab/>
        <w:t>:</w:t>
      </w:r>
    </w:p>
    <w:p w:rsidR="00D81F69" w:rsidRPr="00392EAD" w:rsidRDefault="00D81F69">
      <w:pPr>
        <w:spacing w:before="2" w:line="312" w:lineRule="auto"/>
        <w:ind w:left="100" w:right="216"/>
        <w:rPr>
          <w:sz w:val="16"/>
          <w:lang w:val="pt-BR"/>
        </w:rPr>
      </w:pPr>
      <w:hyperlink r:id="rId1745">
        <w:r w:rsidR="00330118" w:rsidRPr="00392EAD">
          <w:rPr>
            <w:sz w:val="16"/>
            <w:lang w:val="pt-BR"/>
          </w:rPr>
          <w:t>&lt;</w:t>
        </w:r>
        <w:r w:rsidR="00330118" w:rsidRPr="00392EAD">
          <w:rPr>
            <w:sz w:val="16"/>
            <w:lang w:val="pt-BR"/>
          </w:rPr>
          <w:t>http://www.redeaplmineral.org.br/banco_apls/apls/gemas-e-joias-do-</w:t>
        </w:r>
      </w:hyperlink>
      <w:r w:rsidR="00330118" w:rsidRPr="00392EAD">
        <w:rPr>
          <w:sz w:val="16"/>
          <w:lang w:val="pt-BR"/>
        </w:rPr>
        <w:t xml:space="preserve"> rio-grande-do-sul-rs/&gt;. Acesso em: 24 fev. 2011.</w:t>
      </w:r>
    </w:p>
    <w:p w:rsidR="00D81F69" w:rsidRPr="00392EAD" w:rsidRDefault="00330118">
      <w:pPr>
        <w:spacing w:before="1"/>
        <w:ind w:left="100"/>
        <w:rPr>
          <w:sz w:val="16"/>
          <w:lang w:val="pt-BR"/>
        </w:rPr>
      </w:pPr>
      <w:r w:rsidRPr="00392EAD">
        <w:rPr>
          <w:sz w:val="16"/>
          <w:lang w:val="pt-BR"/>
        </w:rPr>
        <w:t>SITE OFICIAL DE SÃO MARTINHO DA SERRA. Localização, 2011a.</w:t>
      </w:r>
    </w:p>
    <w:p w:rsidR="00D81F69" w:rsidRPr="00392EAD" w:rsidRDefault="00330118">
      <w:pPr>
        <w:tabs>
          <w:tab w:val="left" w:pos="470"/>
          <w:tab w:val="left" w:pos="760"/>
          <w:tab w:val="left" w:pos="1095"/>
          <w:tab w:val="left" w:pos="1439"/>
          <w:tab w:val="left" w:pos="1782"/>
          <w:tab w:val="left" w:pos="2126"/>
          <w:tab w:val="left" w:pos="2426"/>
          <w:tab w:val="left" w:pos="2760"/>
          <w:tab w:val="left" w:pos="3104"/>
          <w:tab w:val="left" w:pos="4331"/>
          <w:tab w:val="left" w:pos="4674"/>
          <w:tab w:val="left" w:pos="5063"/>
        </w:tabs>
        <w:spacing w:before="56"/>
        <w:ind w:left="100"/>
        <w:rPr>
          <w:sz w:val="16"/>
          <w:lang w:val="pt-BR"/>
        </w:rPr>
      </w:pPr>
      <w:r w:rsidRPr="00392EAD">
        <w:rPr>
          <w:sz w:val="16"/>
          <w:lang w:val="pt-BR"/>
        </w:rPr>
        <w:t>D</w:t>
      </w:r>
      <w:r w:rsidRPr="00392EAD">
        <w:rPr>
          <w:sz w:val="16"/>
          <w:lang w:val="pt-BR"/>
        </w:rPr>
        <w:tab/>
        <w:t>i</w:t>
      </w:r>
      <w:r w:rsidRPr="00392EAD">
        <w:rPr>
          <w:sz w:val="16"/>
          <w:lang w:val="pt-BR"/>
        </w:rPr>
        <w:tab/>
        <w:t>s</w:t>
      </w:r>
      <w:r w:rsidRPr="00392EAD">
        <w:rPr>
          <w:sz w:val="16"/>
          <w:lang w:val="pt-BR"/>
        </w:rPr>
        <w:tab/>
        <w:t>p</w:t>
      </w:r>
      <w:r w:rsidRPr="00392EAD">
        <w:rPr>
          <w:sz w:val="16"/>
          <w:lang w:val="pt-BR"/>
        </w:rPr>
        <w:tab/>
        <w:t>o</w:t>
      </w:r>
      <w:r w:rsidRPr="00392EAD">
        <w:rPr>
          <w:sz w:val="16"/>
          <w:lang w:val="pt-BR"/>
        </w:rPr>
        <w:tab/>
        <w:t>n</w:t>
      </w:r>
      <w:r w:rsidRPr="00392EAD">
        <w:rPr>
          <w:sz w:val="16"/>
          <w:lang w:val="pt-BR"/>
        </w:rPr>
        <w:tab/>
        <w:t>í</w:t>
      </w:r>
      <w:r w:rsidRPr="00392EAD">
        <w:rPr>
          <w:sz w:val="16"/>
          <w:lang w:val="pt-BR"/>
        </w:rPr>
        <w:tab/>
        <w:t>v</w:t>
      </w:r>
      <w:r w:rsidRPr="00392EAD">
        <w:rPr>
          <w:sz w:val="16"/>
          <w:lang w:val="pt-BR"/>
        </w:rPr>
        <w:tab/>
        <w:t>e</w:t>
      </w:r>
      <w:r w:rsidRPr="00392EAD">
        <w:rPr>
          <w:sz w:val="16"/>
          <w:lang w:val="pt-BR"/>
        </w:rPr>
        <w:tab/>
        <w:t>l</w:t>
      </w:r>
      <w:r w:rsidRPr="00392EAD">
        <w:rPr>
          <w:sz w:val="16"/>
          <w:lang w:val="pt-BR"/>
        </w:rPr>
        <w:tab/>
        <w:t>e</w:t>
      </w:r>
      <w:r w:rsidRPr="00392EAD">
        <w:rPr>
          <w:sz w:val="16"/>
          <w:lang w:val="pt-BR"/>
        </w:rPr>
        <w:tab/>
        <w:t>m</w:t>
      </w:r>
      <w:r w:rsidRPr="00392EAD">
        <w:rPr>
          <w:sz w:val="16"/>
          <w:lang w:val="pt-BR"/>
        </w:rPr>
        <w:tab/>
        <w:t>:</w:t>
      </w:r>
    </w:p>
    <w:p w:rsidR="00D81F69" w:rsidRPr="00392EAD" w:rsidRDefault="00D81F69">
      <w:pPr>
        <w:spacing w:before="56" w:line="312" w:lineRule="auto"/>
        <w:ind w:left="100" w:right="214"/>
        <w:rPr>
          <w:sz w:val="16"/>
          <w:lang w:val="pt-BR"/>
        </w:rPr>
      </w:pPr>
      <w:hyperlink r:id="rId1746">
        <w:r w:rsidR="00330118">
          <w:rPr>
            <w:sz w:val="16"/>
          </w:rPr>
          <w:t>&lt;http://www.saomartinhodaserra.rs.gov.br/portal1/municipio/localizaca</w:t>
        </w:r>
      </w:hyperlink>
      <w:r w:rsidR="00330118">
        <w:rPr>
          <w:sz w:val="16"/>
        </w:rPr>
        <w:t xml:space="preserve"> o.asp?iIdMun=100143377&gt;. </w:t>
      </w:r>
      <w:r w:rsidR="00330118" w:rsidRPr="00392EAD">
        <w:rPr>
          <w:sz w:val="16"/>
          <w:lang w:val="pt-BR"/>
        </w:rPr>
        <w:t>Acesso em: 24 fev. 2011.</w:t>
      </w:r>
    </w:p>
    <w:p w:rsidR="00D81F69" w:rsidRPr="00392EAD" w:rsidRDefault="00330118">
      <w:pPr>
        <w:tabs>
          <w:tab w:val="left" w:pos="1168"/>
          <w:tab w:val="left" w:pos="2451"/>
          <w:tab w:val="left" w:pos="3388"/>
          <w:tab w:val="left" w:pos="4752"/>
        </w:tabs>
        <w:spacing w:before="2"/>
        <w:ind w:left="100"/>
        <w:rPr>
          <w:sz w:val="16"/>
          <w:lang w:val="pt-BR"/>
        </w:rPr>
      </w:pPr>
      <w:r w:rsidRPr="00392EAD">
        <w:rPr>
          <w:spacing w:val="35"/>
          <w:sz w:val="16"/>
          <w:lang w:val="pt-BR"/>
        </w:rPr>
        <w:t>______.</w:t>
      </w:r>
      <w:r w:rsidRPr="00392EAD">
        <w:rPr>
          <w:spacing w:val="35"/>
          <w:sz w:val="16"/>
          <w:lang w:val="pt-BR"/>
        </w:rPr>
        <w:tab/>
        <w:t>Histórico,</w:t>
      </w:r>
      <w:r w:rsidRPr="00392EAD">
        <w:rPr>
          <w:spacing w:val="35"/>
          <w:sz w:val="16"/>
          <w:lang w:val="pt-BR"/>
        </w:rPr>
        <w:tab/>
      </w:r>
      <w:r w:rsidRPr="00392EAD">
        <w:rPr>
          <w:spacing w:val="33"/>
          <w:sz w:val="16"/>
          <w:lang w:val="pt-BR"/>
        </w:rPr>
        <w:t>2011b.</w:t>
      </w:r>
      <w:r w:rsidRPr="00392EAD">
        <w:rPr>
          <w:spacing w:val="33"/>
          <w:sz w:val="16"/>
          <w:lang w:val="pt-BR"/>
        </w:rPr>
        <w:tab/>
      </w:r>
      <w:r w:rsidRPr="00392EAD">
        <w:rPr>
          <w:spacing w:val="35"/>
          <w:sz w:val="16"/>
          <w:lang w:val="pt-BR"/>
        </w:rPr>
        <w:t>Disponível</w:t>
      </w:r>
      <w:r w:rsidRPr="00392EAD">
        <w:rPr>
          <w:spacing w:val="35"/>
          <w:sz w:val="16"/>
          <w:lang w:val="pt-BR"/>
        </w:rPr>
        <w:tab/>
      </w:r>
      <w:r w:rsidRPr="00392EAD">
        <w:rPr>
          <w:spacing w:val="26"/>
          <w:sz w:val="16"/>
          <w:lang w:val="pt-BR"/>
        </w:rPr>
        <w:t>em:</w:t>
      </w:r>
      <w:r w:rsidRPr="00392EAD">
        <w:rPr>
          <w:spacing w:val="-3"/>
          <w:sz w:val="16"/>
          <w:lang w:val="pt-BR"/>
        </w:rPr>
        <w:t xml:space="preserve"> </w:t>
      </w:r>
    </w:p>
    <w:p w:rsidR="00D81F69" w:rsidRPr="00392EAD" w:rsidRDefault="00D81F69">
      <w:pPr>
        <w:spacing w:before="56" w:line="312" w:lineRule="auto"/>
        <w:ind w:left="100" w:right="159"/>
        <w:rPr>
          <w:sz w:val="16"/>
          <w:lang w:val="pt-BR"/>
        </w:rPr>
      </w:pPr>
      <w:hyperlink r:id="rId1747">
        <w:r w:rsidR="00330118" w:rsidRPr="00392EAD">
          <w:rPr>
            <w:sz w:val="16"/>
            <w:lang w:val="pt-BR"/>
          </w:rPr>
          <w:t>&lt;http://www.saomartinhodaserra.rs.gov.br/portal1/municipio/historia.a</w:t>
        </w:r>
      </w:hyperlink>
      <w:r w:rsidR="00330118" w:rsidRPr="00392EAD">
        <w:rPr>
          <w:sz w:val="16"/>
          <w:lang w:val="pt-BR"/>
        </w:rPr>
        <w:t xml:space="preserve"> sp?iIdMun=100143377&gt;. Acesso em: 24 fev. 2011.</w:t>
      </w:r>
    </w:p>
    <w:p w:rsidR="00D81F69" w:rsidRPr="00392EAD" w:rsidRDefault="00D81F69">
      <w:pPr>
        <w:spacing w:line="312" w:lineRule="auto"/>
        <w:rPr>
          <w:sz w:val="16"/>
          <w:lang w:val="pt-BR"/>
        </w:rPr>
        <w:sectPr w:rsidR="00D81F69" w:rsidRPr="00392EAD">
          <w:pgSz w:w="11900" w:h="16840"/>
          <w:pgMar w:top="740" w:right="500" w:bottom="720" w:left="620" w:header="0" w:footer="402" w:gutter="0"/>
          <w:cols w:num="2" w:space="720" w:equalWidth="0">
            <w:col w:w="5167" w:space="303"/>
            <w:col w:w="5310"/>
          </w:cols>
        </w:sectPr>
      </w:pPr>
    </w:p>
    <w:p w:rsidR="00D81F69" w:rsidRPr="00392EAD" w:rsidRDefault="00330118">
      <w:pPr>
        <w:pStyle w:val="Heading1"/>
        <w:tabs>
          <w:tab w:val="left" w:pos="1713"/>
          <w:tab w:val="left" w:pos="2148"/>
          <w:tab w:val="left" w:pos="2469"/>
          <w:tab w:val="left" w:pos="2582"/>
          <w:tab w:val="left" w:pos="3171"/>
          <w:tab w:val="left" w:pos="4173"/>
          <w:tab w:val="left" w:pos="5253"/>
          <w:tab w:val="left" w:pos="5385"/>
          <w:tab w:val="left" w:pos="6197"/>
          <w:tab w:val="left" w:pos="8544"/>
          <w:tab w:val="left" w:pos="9645"/>
        </w:tabs>
        <w:spacing w:line="208" w:lineRule="auto"/>
        <w:ind w:right="197"/>
        <w:rPr>
          <w:lang w:val="pt-BR"/>
        </w:rPr>
      </w:pPr>
      <w:r w:rsidRPr="00392EAD">
        <w:rPr>
          <w:spacing w:val="17"/>
          <w:lang w:val="pt-BR"/>
        </w:rPr>
        <w:lastRenderedPageBreak/>
        <w:t>Instalação</w:t>
      </w:r>
      <w:r w:rsidRPr="00392EAD">
        <w:rPr>
          <w:spacing w:val="17"/>
          <w:lang w:val="pt-BR"/>
        </w:rPr>
        <w:tab/>
      </w:r>
      <w:r w:rsidRPr="00392EAD">
        <w:rPr>
          <w:spacing w:val="10"/>
          <w:lang w:val="pt-BR"/>
        </w:rPr>
        <w:t>de</w:t>
      </w:r>
      <w:r w:rsidRPr="00392EAD">
        <w:rPr>
          <w:spacing w:val="10"/>
          <w:lang w:val="pt-BR"/>
        </w:rPr>
        <w:tab/>
      </w:r>
      <w:r w:rsidRPr="00392EAD">
        <w:rPr>
          <w:spacing w:val="17"/>
          <w:lang w:val="pt-BR"/>
        </w:rPr>
        <w:t>fosfateira</w:t>
      </w:r>
      <w:r w:rsidRPr="00392EAD">
        <w:rPr>
          <w:spacing w:val="17"/>
          <w:lang w:val="pt-BR"/>
        </w:rPr>
        <w:tab/>
      </w:r>
      <w:r w:rsidRPr="00392EAD">
        <w:rPr>
          <w:spacing w:val="17"/>
          <w:lang w:val="pt-BR"/>
        </w:rPr>
        <w:tab/>
      </w:r>
      <w:r w:rsidRPr="00392EAD">
        <w:rPr>
          <w:spacing w:val="10"/>
          <w:lang w:val="pt-BR"/>
        </w:rPr>
        <w:t>em</w:t>
      </w:r>
      <w:r w:rsidRPr="00392EAD">
        <w:rPr>
          <w:spacing w:val="10"/>
          <w:lang w:val="pt-BR"/>
        </w:rPr>
        <w:tab/>
      </w:r>
      <w:r w:rsidRPr="00392EAD">
        <w:rPr>
          <w:spacing w:val="17"/>
          <w:lang w:val="pt-BR"/>
        </w:rPr>
        <w:t>Anitápolis</w:t>
      </w:r>
      <w:r w:rsidRPr="00392EAD">
        <w:rPr>
          <w:spacing w:val="17"/>
          <w:lang w:val="pt-BR"/>
        </w:rPr>
        <w:tab/>
      </w:r>
      <w:r w:rsidRPr="00392EAD">
        <w:rPr>
          <w:spacing w:val="15"/>
          <w:lang w:val="pt-BR"/>
        </w:rPr>
        <w:t>(SC)</w:t>
      </w:r>
      <w:r w:rsidRPr="00392EAD">
        <w:rPr>
          <w:spacing w:val="15"/>
          <w:lang w:val="pt-BR"/>
        </w:rPr>
        <w:tab/>
      </w:r>
      <w:r w:rsidRPr="00392EAD">
        <w:rPr>
          <w:spacing w:val="20"/>
          <w:lang w:val="pt-BR"/>
        </w:rPr>
        <w:t xml:space="preserve">gera </w:t>
      </w:r>
      <w:r w:rsidRPr="00392EAD">
        <w:rPr>
          <w:spacing w:val="16"/>
          <w:lang w:val="pt-BR"/>
        </w:rPr>
        <w:t>reação</w:t>
      </w:r>
      <w:r w:rsidRPr="00392EAD">
        <w:rPr>
          <w:spacing w:val="16"/>
          <w:lang w:val="pt-BR"/>
        </w:rPr>
        <w:tab/>
      </w:r>
      <w:r w:rsidRPr="00392EAD">
        <w:rPr>
          <w:lang w:val="pt-BR"/>
        </w:rPr>
        <w:t>e</w:t>
      </w:r>
      <w:r w:rsidRPr="00392EAD">
        <w:rPr>
          <w:lang w:val="pt-BR"/>
        </w:rPr>
        <w:tab/>
        <w:t>é</w:t>
      </w:r>
      <w:r w:rsidRPr="00392EAD">
        <w:rPr>
          <w:lang w:val="pt-BR"/>
        </w:rPr>
        <w:tab/>
      </w:r>
      <w:r w:rsidRPr="00392EAD">
        <w:rPr>
          <w:lang w:val="pt-BR"/>
        </w:rPr>
        <w:tab/>
      </w:r>
      <w:r w:rsidRPr="00392EAD">
        <w:rPr>
          <w:spacing w:val="16"/>
          <w:lang w:val="pt-BR"/>
        </w:rPr>
        <w:t>vetada</w:t>
      </w:r>
      <w:r w:rsidRPr="00392EAD">
        <w:rPr>
          <w:spacing w:val="16"/>
          <w:lang w:val="pt-BR"/>
        </w:rPr>
        <w:tab/>
      </w:r>
      <w:r w:rsidRPr="00392EAD">
        <w:rPr>
          <w:spacing w:val="15"/>
          <w:lang w:val="pt-BR"/>
        </w:rPr>
        <w:t>pela</w:t>
      </w:r>
      <w:r w:rsidRPr="00392EAD">
        <w:rPr>
          <w:spacing w:val="15"/>
          <w:lang w:val="pt-BR"/>
        </w:rPr>
        <w:tab/>
      </w:r>
      <w:r w:rsidRPr="00392EAD">
        <w:rPr>
          <w:spacing w:val="20"/>
          <w:lang w:val="pt-BR"/>
        </w:rPr>
        <w:t>Justiça</w:t>
      </w:r>
    </w:p>
    <w:p w:rsidR="00D81F69" w:rsidRPr="00392EAD" w:rsidRDefault="00D81F69">
      <w:pPr>
        <w:pStyle w:val="Corpodetexto"/>
        <w:ind w:left="0"/>
        <w:jc w:val="left"/>
        <w:rPr>
          <w:b/>
          <w:sz w:val="20"/>
          <w:lang w:val="pt-BR"/>
        </w:rPr>
      </w:pPr>
    </w:p>
    <w:p w:rsidR="00D81F69" w:rsidRPr="00392EAD" w:rsidRDefault="00D81F69">
      <w:pPr>
        <w:rPr>
          <w:sz w:val="20"/>
          <w:lang w:val="pt-BR"/>
        </w:rPr>
        <w:sectPr w:rsidR="00D81F69" w:rsidRPr="00392EAD">
          <w:pgSz w:w="11900" w:h="16840"/>
          <w:pgMar w:top="1080" w:right="500" w:bottom="620" w:left="620" w:header="0" w:footer="402" w:gutter="0"/>
          <w:cols w:space="720"/>
        </w:sectPr>
      </w:pPr>
    </w:p>
    <w:p w:rsidR="00D81F69" w:rsidRPr="00392EAD" w:rsidRDefault="00D81F69">
      <w:pPr>
        <w:pStyle w:val="Corpodetexto"/>
        <w:ind w:left="0"/>
        <w:jc w:val="left"/>
        <w:rPr>
          <w:b/>
          <w:sz w:val="16"/>
          <w:lang w:val="pt-BR"/>
        </w:rPr>
      </w:pPr>
    </w:p>
    <w:p w:rsidR="00D81F69" w:rsidRPr="00392EAD" w:rsidRDefault="00D81F69">
      <w:pPr>
        <w:pStyle w:val="Corpodetexto"/>
        <w:ind w:left="0"/>
        <w:jc w:val="left"/>
        <w:rPr>
          <w:b/>
          <w:sz w:val="16"/>
          <w:lang w:val="pt-BR"/>
        </w:rPr>
      </w:pPr>
    </w:p>
    <w:p w:rsidR="00D81F69" w:rsidRPr="00392EAD" w:rsidRDefault="00330118">
      <w:pPr>
        <w:spacing w:before="97"/>
        <w:ind w:left="135"/>
        <w:rPr>
          <w:i/>
          <w:sz w:val="14"/>
          <w:lang w:val="pt-BR"/>
        </w:rPr>
      </w:pPr>
      <w:r w:rsidRPr="00392EAD">
        <w:rPr>
          <w:i/>
          <w:sz w:val="14"/>
          <w:lang w:val="pt-BR"/>
        </w:rPr>
        <w:t>MUNICÍPIOS</w:t>
      </w:r>
    </w:p>
    <w:p w:rsidR="00D81F69" w:rsidRPr="00392EAD" w:rsidRDefault="00330118">
      <w:pPr>
        <w:spacing w:before="49"/>
        <w:ind w:left="135"/>
        <w:rPr>
          <w:i/>
          <w:sz w:val="14"/>
          <w:lang w:val="pt-BR"/>
        </w:rPr>
      </w:pPr>
      <w:r w:rsidRPr="00392EAD">
        <w:rPr>
          <w:i/>
          <w:sz w:val="14"/>
          <w:lang w:val="pt-BR"/>
        </w:rPr>
        <w:t>SC - Anitápolis</w:t>
      </w:r>
    </w:p>
    <w:p w:rsidR="00D81F69" w:rsidRPr="00392EAD" w:rsidRDefault="00D81F69">
      <w:pPr>
        <w:pStyle w:val="Corpodetexto"/>
        <w:spacing w:before="6"/>
        <w:ind w:left="0"/>
        <w:jc w:val="left"/>
        <w:rPr>
          <w:i/>
          <w:sz w:val="22"/>
          <w:lang w:val="pt-BR"/>
        </w:rPr>
      </w:pPr>
    </w:p>
    <w:p w:rsidR="00D81F69" w:rsidRPr="00392EAD" w:rsidRDefault="00330118">
      <w:pPr>
        <w:ind w:left="135"/>
        <w:rPr>
          <w:i/>
          <w:sz w:val="14"/>
          <w:lang w:val="pt-BR"/>
        </w:rPr>
      </w:pPr>
      <w:r w:rsidRPr="00392EAD">
        <w:rPr>
          <w:i/>
          <w:sz w:val="14"/>
          <w:lang w:val="pt-BR"/>
        </w:rPr>
        <w:t>LATITUDE</w:t>
      </w:r>
    </w:p>
    <w:p w:rsidR="00D81F69" w:rsidRPr="00392EAD" w:rsidRDefault="00330118">
      <w:pPr>
        <w:spacing w:before="49"/>
        <w:ind w:left="135"/>
        <w:rPr>
          <w:i/>
          <w:sz w:val="14"/>
          <w:lang w:val="pt-BR"/>
        </w:rPr>
      </w:pPr>
      <w:r w:rsidRPr="00392EAD">
        <w:rPr>
          <w:i/>
          <w:sz w:val="14"/>
          <w:lang w:val="pt-BR"/>
        </w:rPr>
        <w:t>-27,7983</w:t>
      </w:r>
    </w:p>
    <w:p w:rsidR="00D81F69" w:rsidRPr="00392EAD" w:rsidRDefault="00D81F69">
      <w:pPr>
        <w:pStyle w:val="Corpodetexto"/>
        <w:spacing w:before="6"/>
        <w:ind w:left="0"/>
        <w:jc w:val="left"/>
        <w:rPr>
          <w:i/>
          <w:sz w:val="22"/>
          <w:lang w:val="pt-BR"/>
        </w:rPr>
      </w:pPr>
    </w:p>
    <w:p w:rsidR="00D81F69" w:rsidRPr="00392EAD" w:rsidRDefault="00330118">
      <w:pPr>
        <w:ind w:left="135"/>
        <w:rPr>
          <w:i/>
          <w:sz w:val="14"/>
          <w:lang w:val="pt-BR"/>
        </w:rPr>
      </w:pPr>
      <w:r w:rsidRPr="00392EAD">
        <w:rPr>
          <w:i/>
          <w:sz w:val="14"/>
          <w:lang w:val="pt-BR"/>
        </w:rPr>
        <w:t>LONGITUDE</w:t>
      </w:r>
    </w:p>
    <w:p w:rsidR="00D81F69" w:rsidRPr="00392EAD" w:rsidRDefault="00330118">
      <w:pPr>
        <w:spacing w:before="49"/>
        <w:ind w:left="135"/>
        <w:rPr>
          <w:i/>
          <w:sz w:val="14"/>
          <w:lang w:val="pt-BR"/>
        </w:rPr>
      </w:pPr>
      <w:r w:rsidRPr="00392EAD">
        <w:rPr>
          <w:i/>
          <w:sz w:val="14"/>
          <w:lang w:val="pt-BR"/>
        </w:rPr>
        <w:t>-49,1169</w:t>
      </w:r>
    </w:p>
    <w:p w:rsidR="00D81F69" w:rsidRPr="00392EAD" w:rsidRDefault="00330118">
      <w:pPr>
        <w:pStyle w:val="Corpodetexto"/>
        <w:spacing w:before="3" w:after="39"/>
        <w:ind w:left="0"/>
        <w:jc w:val="left"/>
        <w:rPr>
          <w:i/>
          <w:sz w:val="20"/>
          <w:lang w:val="pt-BR"/>
        </w:rPr>
      </w:pPr>
      <w:r w:rsidRPr="00392EAD">
        <w:rPr>
          <w:lang w:val="pt-BR"/>
        </w:rPr>
        <w:br w:type="column"/>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9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Pr="00392EAD" w:rsidRDefault="00330118">
      <w:pPr>
        <w:spacing w:before="25"/>
        <w:ind w:left="135"/>
        <w:rPr>
          <w:i/>
          <w:sz w:val="18"/>
          <w:lang w:val="pt-BR"/>
        </w:rPr>
      </w:pPr>
      <w:r w:rsidRPr="00392EAD">
        <w:rPr>
          <w:i/>
          <w:sz w:val="18"/>
          <w:lang w:val="pt-BR"/>
        </w:rPr>
        <w:t>SÍNTESE</w:t>
      </w:r>
    </w:p>
    <w:p w:rsidR="00D81F69" w:rsidRPr="00392EAD" w:rsidRDefault="00330118">
      <w:pPr>
        <w:spacing w:before="52" w:line="312" w:lineRule="auto"/>
        <w:ind w:left="135" w:right="38"/>
        <w:jc w:val="both"/>
        <w:rPr>
          <w:i/>
          <w:sz w:val="16"/>
          <w:lang w:val="pt-BR"/>
        </w:rPr>
      </w:pPr>
      <w:r w:rsidRPr="00392EAD">
        <w:rPr>
          <w:i/>
          <w:sz w:val="16"/>
          <w:lang w:val="pt-BR"/>
        </w:rPr>
        <w:t>O projeto de exploração da jazida de fosfato no município de Anitápolis, na Grande Florianópolis, trouxe diversos impactos ambientais à região, como supressã</w:t>
      </w:r>
      <w:r w:rsidRPr="00392EAD">
        <w:rPr>
          <w:i/>
          <w:sz w:val="16"/>
          <w:lang w:val="pt-BR"/>
        </w:rPr>
        <w:t>o de mata nativa, contaminação de corpos d´água e lençol freático, e perda de biodiversidade. Em janeiro de 2010, o Tribunal Regional Federal (TRF) da 4ª Região vetou a instalação da fábrica de ácido sulfúrico e fertilizantes.</w:t>
      </w:r>
    </w:p>
    <w:p w:rsidR="00D81F69" w:rsidRDefault="00330118">
      <w:pPr>
        <w:pStyle w:val="Corpodetexto"/>
        <w:spacing w:line="20" w:lineRule="exact"/>
        <w:ind w:left="164"/>
        <w:jc w:val="left"/>
        <w:rPr>
          <w:sz w:val="2"/>
        </w:rPr>
      </w:pPr>
      <w:r>
        <w:rPr>
          <w:noProof/>
          <w:sz w:val="2"/>
          <w:lang w:val="pt-BR" w:eastAsia="pt-BR"/>
        </w:rPr>
        <w:drawing>
          <wp:inline distT="0" distB="0" distL="0" distR="0">
            <wp:extent cx="1811385" cy="9334"/>
            <wp:effectExtent l="0" t="0" r="0" b="0"/>
            <wp:docPr id="49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image19.png"/>
                    <pic:cNvPicPr/>
                  </pic:nvPicPr>
                  <pic:blipFill>
                    <a:blip r:embed="rId61" cstate="print"/>
                    <a:stretch>
                      <a:fillRect/>
                    </a:stretch>
                  </pic:blipFill>
                  <pic:spPr>
                    <a:xfrm>
                      <a:off x="0" y="0"/>
                      <a:ext cx="1811385" cy="9334"/>
                    </a:xfrm>
                    <a:prstGeom prst="rect">
                      <a:avLst/>
                    </a:prstGeom>
                  </pic:spPr>
                </pic:pic>
              </a:graphicData>
            </a:graphic>
          </wp:inline>
        </w:drawing>
      </w:r>
    </w:p>
    <w:p w:rsidR="00D81F69" w:rsidRDefault="00330118">
      <w:pPr>
        <w:pStyle w:val="Corpodetexto"/>
        <w:spacing w:before="7"/>
        <w:ind w:left="0"/>
        <w:jc w:val="left"/>
        <w:rPr>
          <w:i/>
          <w:sz w:val="20"/>
        </w:rPr>
      </w:pPr>
      <w:r>
        <w:br w:type="column"/>
      </w:r>
    </w:p>
    <w:p w:rsidR="00D81F69" w:rsidRPr="00392EAD" w:rsidRDefault="00330118">
      <w:pPr>
        <w:pStyle w:val="Corpodetexto"/>
        <w:spacing w:before="1"/>
        <w:ind w:left="135"/>
        <w:jc w:val="left"/>
        <w:rPr>
          <w:lang w:val="pt-BR"/>
        </w:rPr>
      </w:pPr>
      <w:r w:rsidRPr="00392EAD">
        <w:rPr>
          <w:lang w:val="pt-BR"/>
        </w:rPr>
        <w:t>1.760 hectares (STYLO FM 102.1, 2010).</w:t>
      </w:r>
    </w:p>
    <w:p w:rsidR="00D81F69" w:rsidRPr="00392EAD" w:rsidRDefault="00D81F69">
      <w:pPr>
        <w:pStyle w:val="Corpodetexto"/>
        <w:spacing w:before="8"/>
        <w:ind w:left="0"/>
        <w:jc w:val="left"/>
        <w:rPr>
          <w:sz w:val="16"/>
          <w:lang w:val="pt-BR"/>
        </w:rPr>
      </w:pPr>
    </w:p>
    <w:p w:rsidR="00D81F69" w:rsidRPr="00392EAD" w:rsidRDefault="00330118">
      <w:pPr>
        <w:pStyle w:val="Corpodetexto"/>
        <w:spacing w:before="1" w:line="312" w:lineRule="auto"/>
        <w:ind w:left="135" w:right="195"/>
        <w:rPr>
          <w:lang w:val="pt-BR"/>
        </w:rPr>
      </w:pPr>
      <w:r w:rsidRPr="00392EAD">
        <w:rPr>
          <w:lang w:val="pt-BR"/>
        </w:rPr>
        <w:t>A iniciativa é conduzida pela Indústria de Fosfatados Catarinense (IFC), uma joint venture entre a norueguesa Yara e o braço de fertilizantes da americana Bunge (VALOR ECONÔMICO, 2010), hoje comandada pela Vale (CAMP</w:t>
      </w:r>
      <w:r w:rsidRPr="00392EAD">
        <w:rPr>
          <w:lang w:val="pt-BR"/>
        </w:rPr>
        <w:t>OS, 2010). Para implantar o empreendimento, a empresa adquiriu uma área de 1,8 mil hectares, hoje coberta por vegetação nativa em Área de Proteção Ambiental. (SCHEIDT, 2009). A IFC foi criada, em 1980, justamente para a exploração da jazida de fosfato no m</w:t>
      </w:r>
      <w:r w:rsidRPr="00392EAD">
        <w:rPr>
          <w:lang w:val="pt-BR"/>
        </w:rPr>
        <w:t>unicípio, onde se encontram 10% do fosfato explorável no Brasil (DINIZ, 2009).</w:t>
      </w:r>
    </w:p>
    <w:p w:rsidR="00D81F69" w:rsidRPr="00392EAD" w:rsidRDefault="00D81F69">
      <w:pPr>
        <w:spacing w:line="312" w:lineRule="auto"/>
        <w:rPr>
          <w:lang w:val="pt-BR"/>
        </w:rPr>
        <w:sectPr w:rsidR="00D81F69" w:rsidRPr="00392EAD">
          <w:type w:val="continuous"/>
          <w:pgSz w:w="11900" w:h="16840"/>
          <w:pgMar w:top="720" w:right="500" w:bottom="280" w:left="620" w:header="720" w:footer="720" w:gutter="0"/>
          <w:cols w:num="3" w:space="720" w:equalWidth="0">
            <w:col w:w="1101" w:space="899"/>
            <w:col w:w="3116" w:space="319"/>
            <w:col w:w="5345"/>
          </w:cols>
        </w:sectPr>
      </w:pPr>
    </w:p>
    <w:p w:rsidR="00D81F69" w:rsidRPr="00392EAD" w:rsidRDefault="00330118">
      <w:pPr>
        <w:pStyle w:val="Heading4"/>
        <w:spacing w:before="93"/>
        <w:rPr>
          <w:lang w:val="pt-BR"/>
        </w:rPr>
      </w:pPr>
      <w:r w:rsidRPr="00392EAD">
        <w:rPr>
          <w:lang w:val="pt-BR"/>
        </w:rPr>
        <w:lastRenderedPageBreak/>
        <w:t>APRESENTAÇÃO DE CASO</w:t>
      </w:r>
    </w:p>
    <w:p w:rsidR="00D81F69" w:rsidRPr="00392EAD" w:rsidRDefault="00330118">
      <w:pPr>
        <w:pStyle w:val="Corpodetexto"/>
        <w:spacing w:before="170" w:line="312" w:lineRule="auto"/>
        <w:ind w:right="75"/>
        <w:rPr>
          <w:lang w:val="pt-BR"/>
        </w:rPr>
      </w:pPr>
      <w:r w:rsidRPr="00392EAD">
        <w:rPr>
          <w:lang w:val="pt-BR"/>
        </w:rPr>
        <w:t xml:space="preserve">O projeto de exploração de uma jazida de fosfato no município de Anitápolis, na Grande Florianópolis (SC), vem provocando resistência por parte de ambientalistas que temem que o empreendimento tenha impacto nos rios da região, dentre outros efeitos (VALOR </w:t>
      </w:r>
      <w:r w:rsidRPr="00392EAD">
        <w:rPr>
          <w:lang w:val="pt-BR"/>
        </w:rPr>
        <w:t>ECONÔMICO, 2010).</w:t>
      </w:r>
    </w:p>
    <w:p w:rsidR="00D81F69" w:rsidRPr="00392EAD" w:rsidRDefault="00330118">
      <w:pPr>
        <w:pStyle w:val="Corpodetexto"/>
        <w:spacing w:before="134" w:line="312" w:lineRule="auto"/>
        <w:ind w:right="69"/>
        <w:jc w:val="left"/>
        <w:rPr>
          <w:lang w:val="pt-BR"/>
        </w:rPr>
      </w:pPr>
      <w:r w:rsidRPr="00392EAD">
        <w:rPr>
          <w:lang w:val="pt-BR"/>
        </w:rPr>
        <w:t xml:space="preserve">Com 542 km² e 3.214 habitantes (IBGE, 2010), Anitápolis fica a </w:t>
      </w:r>
      <w:r w:rsidRPr="00392EAD">
        <w:rPr>
          <w:spacing w:val="3"/>
          <w:lang w:val="pt-BR"/>
        </w:rPr>
        <w:t xml:space="preserve">180 </w:t>
      </w:r>
      <w:r w:rsidRPr="00392EAD">
        <w:rPr>
          <w:spacing w:val="2"/>
          <w:lang w:val="pt-BR"/>
        </w:rPr>
        <w:t xml:space="preserve">km da </w:t>
      </w:r>
      <w:r w:rsidRPr="00392EAD">
        <w:rPr>
          <w:spacing w:val="5"/>
          <w:lang w:val="pt-BR"/>
        </w:rPr>
        <w:t xml:space="preserve">capital catarinense (CAMPOS, 2010). </w:t>
      </w:r>
      <w:r w:rsidRPr="00392EAD">
        <w:rPr>
          <w:spacing w:val="6"/>
          <w:lang w:val="pt-BR"/>
        </w:rPr>
        <w:t xml:space="preserve">Sua </w:t>
      </w:r>
      <w:r w:rsidRPr="00392EAD">
        <w:rPr>
          <w:lang w:val="pt-BR"/>
        </w:rPr>
        <w:t xml:space="preserve">população é economicamente pobre e depende da qualidade do solo e da água para trabalhar e se sustentar (MAPA DA </w:t>
      </w:r>
      <w:r w:rsidRPr="00392EAD">
        <w:rPr>
          <w:spacing w:val="3"/>
          <w:lang w:val="pt-BR"/>
        </w:rPr>
        <w:t>INJUSTIÇA</w:t>
      </w:r>
      <w:r w:rsidRPr="00392EAD">
        <w:rPr>
          <w:spacing w:val="23"/>
          <w:lang w:val="pt-BR"/>
        </w:rPr>
        <w:t xml:space="preserve"> </w:t>
      </w:r>
      <w:r w:rsidRPr="00392EAD">
        <w:rPr>
          <w:spacing w:val="3"/>
          <w:lang w:val="pt-BR"/>
        </w:rPr>
        <w:t>AM</w:t>
      </w:r>
      <w:r w:rsidRPr="00392EAD">
        <w:rPr>
          <w:spacing w:val="3"/>
          <w:lang w:val="pt-BR"/>
        </w:rPr>
        <w:t>BIENTAL</w:t>
      </w:r>
      <w:r w:rsidRPr="00392EAD">
        <w:rPr>
          <w:spacing w:val="23"/>
          <w:lang w:val="pt-BR"/>
        </w:rPr>
        <w:t xml:space="preserve"> </w:t>
      </w:r>
      <w:r w:rsidRPr="00392EAD">
        <w:rPr>
          <w:lang w:val="pt-BR"/>
        </w:rPr>
        <w:t>E</w:t>
      </w:r>
      <w:r w:rsidRPr="00392EAD">
        <w:rPr>
          <w:spacing w:val="23"/>
          <w:lang w:val="pt-BR"/>
        </w:rPr>
        <w:t xml:space="preserve"> </w:t>
      </w:r>
      <w:r w:rsidRPr="00392EAD">
        <w:rPr>
          <w:spacing w:val="3"/>
          <w:lang w:val="pt-BR"/>
        </w:rPr>
        <w:t>SAÚDE</w:t>
      </w:r>
      <w:r w:rsidRPr="00392EAD">
        <w:rPr>
          <w:spacing w:val="23"/>
          <w:lang w:val="pt-BR"/>
        </w:rPr>
        <w:t xml:space="preserve"> </w:t>
      </w:r>
      <w:r w:rsidRPr="00392EAD">
        <w:rPr>
          <w:spacing w:val="1"/>
          <w:lang w:val="pt-BR"/>
        </w:rPr>
        <w:t>NO</w:t>
      </w:r>
      <w:r w:rsidRPr="00392EAD">
        <w:rPr>
          <w:spacing w:val="23"/>
          <w:lang w:val="pt-BR"/>
        </w:rPr>
        <w:t xml:space="preserve"> </w:t>
      </w:r>
      <w:r w:rsidRPr="00392EAD">
        <w:rPr>
          <w:spacing w:val="3"/>
          <w:lang w:val="pt-BR"/>
        </w:rPr>
        <w:t>BRASIL,</w:t>
      </w:r>
      <w:r w:rsidRPr="00392EAD">
        <w:rPr>
          <w:spacing w:val="23"/>
          <w:lang w:val="pt-BR"/>
        </w:rPr>
        <w:t xml:space="preserve"> </w:t>
      </w:r>
      <w:r w:rsidRPr="00392EAD">
        <w:rPr>
          <w:spacing w:val="3"/>
          <w:lang w:val="pt-BR"/>
        </w:rPr>
        <w:t>2009).</w:t>
      </w:r>
      <w:r w:rsidRPr="00392EAD">
        <w:rPr>
          <w:spacing w:val="23"/>
          <w:lang w:val="pt-BR"/>
        </w:rPr>
        <w:t xml:space="preserve"> </w:t>
      </w:r>
      <w:r w:rsidRPr="00392EAD">
        <w:rPr>
          <w:lang w:val="pt-BR"/>
        </w:rPr>
        <w:t>O</w:t>
      </w:r>
    </w:p>
    <w:p w:rsidR="00D81F69" w:rsidRPr="00392EAD" w:rsidRDefault="00330118">
      <w:pPr>
        <w:pStyle w:val="Corpodetexto"/>
        <w:spacing w:before="5" w:line="312" w:lineRule="auto"/>
        <w:ind w:right="91"/>
        <w:rPr>
          <w:lang w:val="pt-BR"/>
        </w:rPr>
      </w:pPr>
      <w:r w:rsidRPr="00392EAD">
        <w:rPr>
          <w:lang w:val="pt-BR"/>
        </w:rPr>
        <w:t>município é bastante acidentado topograficamente, sendo todo o seu território formado por grandes vales e serras, além de muitas nascentes de rios importantes, como a do rio Tubarão (Braço do Norte), interligando os rios</w:t>
      </w:r>
      <w:r w:rsidRPr="00392EAD">
        <w:rPr>
          <w:lang w:val="pt-BR"/>
        </w:rPr>
        <w:t xml:space="preserve"> do Meio, das Pedras, do Norte, Branco, dos Pinheiros Alto, do Ouro e da Prata (PREFEITURA MUNICIPAL DE ANITÁPOLIS, 2010). O</w:t>
      </w:r>
    </w:p>
    <w:p w:rsidR="00D81F69" w:rsidRPr="00392EAD" w:rsidRDefault="00330118">
      <w:pPr>
        <w:pStyle w:val="Corpodetexto"/>
        <w:spacing w:before="6" w:line="312" w:lineRule="auto"/>
        <w:ind w:right="94"/>
        <w:rPr>
          <w:lang w:val="pt-BR"/>
        </w:rPr>
      </w:pPr>
      <w:r w:rsidRPr="00392EAD">
        <w:rPr>
          <w:lang w:val="pt-BR"/>
        </w:rPr>
        <w:t>município possui o maior manancial hidrográfico de Santa Catarina (MAPA DA INJUSTIÇA AMBIENTAL E SAÚDE NO BRASIL, 2009).</w:t>
      </w:r>
    </w:p>
    <w:p w:rsidR="00D81F69" w:rsidRPr="00392EAD" w:rsidRDefault="00330118">
      <w:pPr>
        <w:pStyle w:val="Corpodetexto"/>
        <w:spacing w:before="132" w:line="312" w:lineRule="auto"/>
        <w:ind w:right="88"/>
        <w:rPr>
          <w:lang w:val="pt-BR"/>
        </w:rPr>
      </w:pPr>
      <w:r w:rsidRPr="00392EAD">
        <w:rPr>
          <w:lang w:val="pt-BR"/>
        </w:rPr>
        <w:t>Com invest</w:t>
      </w:r>
      <w:r w:rsidRPr="00392EAD">
        <w:rPr>
          <w:lang w:val="pt-BR"/>
        </w:rPr>
        <w:t>imentos previstos em R$ 550 milhões, o Projeto Anitápolis, como é conhecido, prevê a contratação de 1,5 mil funcionários na fase de implantação e 400, na etapa operacional (VALOR ECONÔMICO, 2010). O governo catarinense entra no empreendimento com a infraes</w:t>
      </w:r>
      <w:r w:rsidRPr="00392EAD">
        <w:rPr>
          <w:lang w:val="pt-BR"/>
        </w:rPr>
        <w:t xml:space="preserve">trutura e incentivos fiscais, como o Programa de Desenvolvimento da Empresa Catarinense (SuperProdec) e o Pró-Emprego (BRASIL MINERAL, 2008). O primeiro prevê a postergação, e o segundo, o deferimento da cobrança do Imposto sobre Circulação de Mercadorias </w:t>
      </w:r>
      <w:r w:rsidRPr="00392EAD">
        <w:rPr>
          <w:lang w:val="pt-BR"/>
        </w:rPr>
        <w:t>e Serviços (ICMS). A lei permite que 75% do imposto sejam postergados por quatro anos.</w:t>
      </w:r>
    </w:p>
    <w:p w:rsidR="00D81F69" w:rsidRPr="00392EAD" w:rsidRDefault="00330118">
      <w:pPr>
        <w:pStyle w:val="Corpodetexto"/>
        <w:spacing w:before="78" w:line="270" w:lineRule="atLeast"/>
        <w:ind w:right="65"/>
        <w:rPr>
          <w:lang w:val="pt-BR"/>
        </w:rPr>
      </w:pPr>
      <w:r w:rsidRPr="00392EAD">
        <w:rPr>
          <w:lang w:val="pt-BR"/>
        </w:rPr>
        <w:t xml:space="preserve">O </w:t>
      </w:r>
      <w:r w:rsidRPr="00392EAD">
        <w:rPr>
          <w:spacing w:val="5"/>
          <w:lang w:val="pt-BR"/>
        </w:rPr>
        <w:t xml:space="preserve">empreendimento </w:t>
      </w:r>
      <w:r w:rsidRPr="00392EAD">
        <w:rPr>
          <w:spacing w:val="3"/>
          <w:lang w:val="pt-BR"/>
        </w:rPr>
        <w:t xml:space="preserve">visa </w:t>
      </w:r>
      <w:r w:rsidRPr="00392EAD">
        <w:rPr>
          <w:lang w:val="pt-BR"/>
        </w:rPr>
        <w:t xml:space="preserve">à </w:t>
      </w:r>
      <w:r w:rsidRPr="00392EAD">
        <w:rPr>
          <w:spacing w:val="5"/>
          <w:lang w:val="pt-BR"/>
        </w:rPr>
        <w:t xml:space="preserve">extração minerária </w:t>
      </w:r>
      <w:r w:rsidRPr="00392EAD">
        <w:rPr>
          <w:spacing w:val="2"/>
          <w:lang w:val="pt-BR"/>
        </w:rPr>
        <w:t xml:space="preserve">de </w:t>
      </w:r>
      <w:r w:rsidRPr="00392EAD">
        <w:rPr>
          <w:spacing w:val="5"/>
          <w:lang w:val="pt-BR"/>
        </w:rPr>
        <w:t>fosfato</w:t>
      </w:r>
      <w:r w:rsidRPr="00392EAD">
        <w:rPr>
          <w:spacing w:val="61"/>
          <w:lang w:val="pt-BR"/>
        </w:rPr>
        <w:t xml:space="preserve"> </w:t>
      </w:r>
      <w:r w:rsidRPr="00392EAD">
        <w:rPr>
          <w:spacing w:val="1"/>
          <w:lang w:val="pt-BR"/>
        </w:rPr>
        <w:t xml:space="preserve">natural </w:t>
      </w:r>
      <w:r w:rsidRPr="00392EAD">
        <w:rPr>
          <w:lang w:val="pt-BR"/>
        </w:rPr>
        <w:t xml:space="preserve">e </w:t>
      </w:r>
      <w:r w:rsidRPr="00392EAD">
        <w:rPr>
          <w:spacing w:val="1"/>
          <w:lang w:val="pt-BR"/>
        </w:rPr>
        <w:t xml:space="preserve">também </w:t>
      </w:r>
      <w:r w:rsidRPr="00392EAD">
        <w:rPr>
          <w:lang w:val="pt-BR"/>
        </w:rPr>
        <w:t xml:space="preserve">à </w:t>
      </w:r>
      <w:r w:rsidRPr="00392EAD">
        <w:rPr>
          <w:spacing w:val="1"/>
          <w:lang w:val="pt-BR"/>
        </w:rPr>
        <w:t xml:space="preserve">fabricação </w:t>
      </w:r>
      <w:r w:rsidRPr="00392EAD">
        <w:rPr>
          <w:lang w:val="pt-BR"/>
        </w:rPr>
        <w:t xml:space="preserve">de </w:t>
      </w:r>
      <w:r w:rsidRPr="00392EAD">
        <w:rPr>
          <w:spacing w:val="1"/>
          <w:lang w:val="pt-BR"/>
        </w:rPr>
        <w:t xml:space="preserve">ácido sulfúrico </w:t>
      </w:r>
      <w:r w:rsidRPr="00392EAD">
        <w:rPr>
          <w:spacing w:val="2"/>
          <w:lang w:val="pt-BR"/>
        </w:rPr>
        <w:t xml:space="preserve">[H2SO4] </w:t>
      </w:r>
      <w:r w:rsidRPr="00392EAD">
        <w:rPr>
          <w:spacing w:val="3"/>
          <w:lang w:val="pt-BR"/>
        </w:rPr>
        <w:t xml:space="preserve">para </w:t>
      </w:r>
      <w:r w:rsidRPr="00392EAD">
        <w:rPr>
          <w:spacing w:val="5"/>
          <w:lang w:val="pt-BR"/>
        </w:rPr>
        <w:t xml:space="preserve">produção </w:t>
      </w:r>
      <w:r w:rsidRPr="00392EAD">
        <w:rPr>
          <w:spacing w:val="2"/>
          <w:lang w:val="pt-BR"/>
        </w:rPr>
        <w:t xml:space="preserve">de </w:t>
      </w:r>
      <w:r w:rsidRPr="00392EAD">
        <w:rPr>
          <w:spacing w:val="5"/>
          <w:lang w:val="pt-BR"/>
        </w:rPr>
        <w:t xml:space="preserve">fertilizantes, atividades </w:t>
      </w:r>
      <w:r w:rsidRPr="00392EAD">
        <w:rPr>
          <w:spacing w:val="3"/>
          <w:lang w:val="pt-BR"/>
        </w:rPr>
        <w:t xml:space="preserve">que, </w:t>
      </w:r>
      <w:r w:rsidRPr="00392EAD">
        <w:rPr>
          <w:spacing w:val="5"/>
          <w:lang w:val="pt-BR"/>
        </w:rPr>
        <w:t xml:space="preserve">conforme </w:t>
      </w:r>
      <w:r w:rsidRPr="00392EAD">
        <w:rPr>
          <w:spacing w:val="10"/>
          <w:lang w:val="pt-BR"/>
        </w:rPr>
        <w:t>c</w:t>
      </w:r>
      <w:r w:rsidRPr="00392EAD">
        <w:rPr>
          <w:spacing w:val="10"/>
          <w:lang w:val="pt-BR"/>
        </w:rPr>
        <w:t xml:space="preserve">onsta </w:t>
      </w:r>
      <w:r w:rsidRPr="00392EAD">
        <w:rPr>
          <w:spacing w:val="5"/>
          <w:lang w:val="pt-BR"/>
        </w:rPr>
        <w:t xml:space="preserve">no </w:t>
      </w:r>
      <w:r w:rsidRPr="00392EAD">
        <w:rPr>
          <w:spacing w:val="10"/>
          <w:lang w:val="pt-BR"/>
        </w:rPr>
        <w:t xml:space="preserve">Estudo </w:t>
      </w:r>
      <w:r w:rsidRPr="00392EAD">
        <w:rPr>
          <w:spacing w:val="5"/>
          <w:lang w:val="pt-BR"/>
        </w:rPr>
        <w:t xml:space="preserve">de </w:t>
      </w:r>
      <w:r w:rsidRPr="00392EAD">
        <w:rPr>
          <w:spacing w:val="10"/>
          <w:lang w:val="pt-BR"/>
        </w:rPr>
        <w:t xml:space="preserve">Impacto Ambiental </w:t>
      </w:r>
      <w:r w:rsidRPr="00392EAD">
        <w:rPr>
          <w:spacing w:val="5"/>
          <w:lang w:val="pt-BR"/>
        </w:rPr>
        <w:t xml:space="preserve">do </w:t>
      </w:r>
      <w:r w:rsidRPr="00392EAD">
        <w:rPr>
          <w:spacing w:val="12"/>
          <w:lang w:val="pt-BR"/>
        </w:rPr>
        <w:t xml:space="preserve">projeto, </w:t>
      </w:r>
      <w:r w:rsidRPr="00392EAD">
        <w:rPr>
          <w:lang w:val="pt-BR"/>
        </w:rPr>
        <w:t>compreendem a implantação da mina, bacias de rejeitos, área industrial e depósito de estéril (resíduos sólidos), num total de</w:t>
      </w:r>
    </w:p>
    <w:p w:rsidR="00D81F69" w:rsidRPr="00392EAD" w:rsidRDefault="00330118">
      <w:pPr>
        <w:pStyle w:val="Corpodetexto"/>
        <w:spacing w:before="139" w:line="312" w:lineRule="auto"/>
        <w:ind w:right="192"/>
        <w:rPr>
          <w:lang w:val="pt-BR"/>
        </w:rPr>
      </w:pPr>
      <w:r w:rsidRPr="00392EAD">
        <w:rPr>
          <w:lang w:val="pt-BR"/>
        </w:rPr>
        <w:br w:type="column"/>
      </w:r>
      <w:r w:rsidRPr="00392EAD">
        <w:rPr>
          <w:lang w:val="pt-BR"/>
        </w:rPr>
        <w:lastRenderedPageBreak/>
        <w:t xml:space="preserve">A jazida está situada sob o corredor ecológico que une a Serra Geral à Serra do </w:t>
      </w:r>
      <w:r w:rsidRPr="00392EAD">
        <w:rPr>
          <w:lang w:val="pt-BR"/>
        </w:rPr>
        <w:t xml:space="preserve">Tabuleiro (ALBUQUERQUE et al., 2006) e tem capacidade de produzir 540 mil toneladas de superfosfato simples, insumo usado no cultivo da soja (VALOR ECONÔMICO, 2010). A estimativa é de que a mina produza ainda 200 mil toneladas de ácido sulfúrico, usado na </w:t>
      </w:r>
      <w:r w:rsidRPr="00392EAD">
        <w:rPr>
          <w:lang w:val="pt-BR"/>
        </w:rPr>
        <w:t>mineração, e descarte 1,2 milhão de toneladas de material estéril (NUNOMURA, 2009). A instalação da fosfateira pode reduzir a dependência brasileira do fertilizante importado. As importações representam mais de 56% do consumo brasileiro de fertilizantes, o</w:t>
      </w:r>
      <w:r w:rsidRPr="00392EAD">
        <w:rPr>
          <w:lang w:val="pt-BR"/>
        </w:rPr>
        <w:t>u seja, 11 mil toneladas (CAMPOS, 2010).</w:t>
      </w:r>
    </w:p>
    <w:p w:rsidR="00D81F69" w:rsidRPr="00392EAD" w:rsidRDefault="00330118">
      <w:pPr>
        <w:pStyle w:val="Corpodetexto"/>
        <w:spacing w:before="140" w:line="312" w:lineRule="auto"/>
        <w:ind w:right="191"/>
        <w:rPr>
          <w:lang w:val="pt-BR"/>
        </w:rPr>
      </w:pPr>
      <w:r w:rsidRPr="00392EAD">
        <w:rPr>
          <w:lang w:val="pt-BR"/>
        </w:rPr>
        <w:t>Os ambientalistas, no entanto, alegam que o Projeto Anitápolis vai causar perda de biodiversidade por envolver a supressão de 336,7 hectares de florestas pertencentes ao Bioma Mata Atlântica, incluindo espécies em extinção, bem como a destruição de áreas d</w:t>
      </w:r>
      <w:r w:rsidRPr="00392EAD">
        <w:rPr>
          <w:lang w:val="pt-BR"/>
        </w:rPr>
        <w:t>e preservação permanente, além de causar a poluição do solo e da água, que poderá atingir 14,5% da Bacia Hidrográfica do Rio Tubarão (STYLO FM 102.1, 2010).</w:t>
      </w:r>
    </w:p>
    <w:p w:rsidR="00D81F69" w:rsidRPr="00392EAD" w:rsidRDefault="00330118">
      <w:pPr>
        <w:pStyle w:val="Corpodetexto"/>
        <w:spacing w:before="137" w:line="312" w:lineRule="auto"/>
        <w:ind w:right="190"/>
        <w:rPr>
          <w:lang w:val="pt-BR"/>
        </w:rPr>
      </w:pPr>
      <w:r w:rsidRPr="00392EAD">
        <w:rPr>
          <w:lang w:val="pt-BR"/>
        </w:rPr>
        <w:t>Os procedimentos de licenciamento ambiental do Projeto Anitápolis tiveram início em 2005. As empres</w:t>
      </w:r>
      <w:r w:rsidRPr="00392EAD">
        <w:rPr>
          <w:lang w:val="pt-BR"/>
        </w:rPr>
        <w:t>as Yara e Bunge assinaram o protocolo de intenções da iniciativa com o governo catarinense, em abril de 2008, em meio à crescente pressão do governo federal pela ampliação da oferta doméstica de fertilizantes (VALOR ECONÔMICO, 2010).</w:t>
      </w:r>
    </w:p>
    <w:p w:rsidR="00D81F69" w:rsidRPr="00392EAD" w:rsidRDefault="00330118">
      <w:pPr>
        <w:pStyle w:val="Corpodetexto"/>
        <w:spacing w:before="136" w:line="312" w:lineRule="auto"/>
        <w:ind w:right="208"/>
        <w:rPr>
          <w:lang w:val="pt-BR"/>
        </w:rPr>
      </w:pPr>
      <w:r w:rsidRPr="00392EAD">
        <w:rPr>
          <w:lang w:val="pt-BR"/>
        </w:rPr>
        <w:t>Com o protocolo, recol</w:t>
      </w:r>
      <w:r w:rsidRPr="00392EAD">
        <w:rPr>
          <w:lang w:val="pt-BR"/>
        </w:rPr>
        <w:t>ocaram em curso um antigo projeto da Adubos Trevo e da Manah - depois adquiridas por Yara e Bunge, respectivamente - cujas pesquisas remontam aos anos 1970. No cronograma apresentado em 2008, a IFC pretendia iniciar os investimentos no ano seguinte. No pri</w:t>
      </w:r>
      <w:r w:rsidRPr="00392EAD">
        <w:rPr>
          <w:lang w:val="pt-BR"/>
        </w:rPr>
        <w:t>meiro semestre de 2009, conseguiu a Licença Ambiental Prévia (LAP), concedida pela Fundação de Meio Ambiente de Santa Catarina (Fatma), e teria de cumprir 30 programas ambientais para dar início às obras. Entre as exigências constava a conservação da veget</w:t>
      </w:r>
      <w:r w:rsidRPr="00392EAD">
        <w:rPr>
          <w:lang w:val="pt-BR"/>
        </w:rPr>
        <w:t>ação em cerca de 80% da terra adquirida pela empresa (DINIZ, 2009).</w:t>
      </w:r>
    </w:p>
    <w:p w:rsidR="00D81F69" w:rsidRPr="00392EAD" w:rsidRDefault="00330118">
      <w:pPr>
        <w:pStyle w:val="Corpodetexto"/>
        <w:spacing w:before="140"/>
        <w:rPr>
          <w:lang w:val="pt-BR"/>
        </w:rPr>
      </w:pPr>
      <w:r w:rsidRPr="00392EAD">
        <w:rPr>
          <w:lang w:val="pt-BR"/>
        </w:rPr>
        <w:t>No entanto, por meio de uma Ação Civil Pública, e com apoio</w:t>
      </w:r>
    </w:p>
    <w:p w:rsidR="00D81F69" w:rsidRPr="00392EAD" w:rsidRDefault="00D81F69">
      <w:pPr>
        <w:rPr>
          <w:lang w:val="pt-BR"/>
        </w:rPr>
        <w:sectPr w:rsidR="00D81F69" w:rsidRPr="00392EAD">
          <w:type w:val="continuous"/>
          <w:pgSz w:w="11900" w:h="16840"/>
          <w:pgMar w:top="720" w:right="500" w:bottom="280" w:left="620" w:header="720" w:footer="720" w:gutter="0"/>
          <w:cols w:num="2" w:space="720" w:equalWidth="0">
            <w:col w:w="5192" w:space="278"/>
            <w:col w:w="5310"/>
          </w:cols>
        </w:sectPr>
      </w:pPr>
    </w:p>
    <w:p w:rsidR="00D81F69" w:rsidRPr="00392EAD" w:rsidRDefault="00330118">
      <w:pPr>
        <w:pStyle w:val="Corpodetexto"/>
        <w:spacing w:before="81" w:line="312" w:lineRule="auto"/>
        <w:ind w:right="38"/>
        <w:rPr>
          <w:lang w:val="pt-BR"/>
        </w:rPr>
      </w:pPr>
      <w:r w:rsidRPr="00392EAD">
        <w:rPr>
          <w:lang w:val="pt-BR"/>
        </w:rPr>
        <w:lastRenderedPageBreak/>
        <w:t>do Ministério Público Federal de Santa Catarina, em setembro de 2009, ambientalistas ligados à ONG Mo</w:t>
      </w:r>
      <w:r w:rsidRPr="00392EAD">
        <w:rPr>
          <w:lang w:val="pt-BR"/>
        </w:rPr>
        <w:t>ntanha Viva conseguiram uma liminar, na Justiça Federal, que suspendeu os efeitos da LAP concedida pela Fatma à IFC. Na ação foi pedido que todos os municípios que integram a Bacia Hidrográfica do Rio Tubarão, e que de alguma forma possam ser afetados pelo</w:t>
      </w:r>
      <w:r w:rsidRPr="00392EAD">
        <w:rPr>
          <w:lang w:val="pt-BR"/>
        </w:rPr>
        <w:t xml:space="preserve"> projeto, sejam ouvidos e se posicionem sobre o assunto. No total são 21 municípios, mas apenas dois foram sede de audiências públicas para discutir o projeto antes da emissão da LAP (VALOR ECONÔMICO, 2010 ).</w:t>
      </w:r>
    </w:p>
    <w:p w:rsidR="00D81F69" w:rsidRPr="00392EAD" w:rsidRDefault="00330118">
      <w:pPr>
        <w:pStyle w:val="Corpodetexto"/>
        <w:spacing w:before="139" w:line="312" w:lineRule="auto"/>
        <w:ind w:right="38"/>
        <w:rPr>
          <w:lang w:val="pt-BR"/>
        </w:rPr>
      </w:pPr>
      <w:r w:rsidRPr="00392EAD">
        <w:rPr>
          <w:lang w:val="pt-BR"/>
        </w:rPr>
        <w:t xml:space="preserve">A ONG entende que a competência para licenciar </w:t>
      </w:r>
      <w:r w:rsidRPr="00392EAD">
        <w:rPr>
          <w:lang w:val="pt-BR"/>
        </w:rPr>
        <w:t xml:space="preserve">a área do projeto é do Instituto Brasileiro do Meio Ambiente e dos Recursos Naturais Renováveis (Ibama) e não do órgão ambiental estadual Fatma, pois no subsolo, onde se localiza o empreendimento, há minerais de </w:t>
      </w:r>
      <w:hyperlink r:id="rId1748">
        <w:r w:rsidRPr="00392EAD">
          <w:rPr>
            <w:lang w:val="pt-BR"/>
          </w:rPr>
          <w:t>urânio</w:t>
        </w:r>
      </w:hyperlink>
      <w:r w:rsidRPr="00392EAD">
        <w:rPr>
          <w:lang w:val="pt-BR"/>
        </w:rPr>
        <w:t xml:space="preserve"> e nióbio. A ONG alega que é de competência do Conselho Nacional de Energia Nuclear (CNEN) a pesquisa e a lavra de minérios nucleares e de seus "associados" (VALOR ECONÔMICO, 2010).</w:t>
      </w:r>
    </w:p>
    <w:p w:rsidR="00D81F69" w:rsidRPr="00392EAD" w:rsidRDefault="00330118">
      <w:pPr>
        <w:pStyle w:val="Corpodetexto"/>
        <w:spacing w:before="138" w:line="312" w:lineRule="auto"/>
        <w:ind w:right="54"/>
        <w:rPr>
          <w:lang w:val="pt-BR"/>
        </w:rPr>
      </w:pPr>
      <w:r w:rsidRPr="00392EAD">
        <w:rPr>
          <w:lang w:val="pt-BR"/>
        </w:rPr>
        <w:t>Outra alegação é de q</w:t>
      </w:r>
      <w:r w:rsidRPr="00392EAD">
        <w:rPr>
          <w:lang w:val="pt-BR"/>
        </w:rPr>
        <w:t>ue o projeto prevê a supressão de cerca de 400 hectares de vegetação para a passagem de uma linha de transmissão de energia elétrica. Como são árvores que pertencem ao bioma da Mata Atlântica seria preciso o aval do Ibama para eventuais cortes. Para os amb</w:t>
      </w:r>
      <w:r w:rsidRPr="00392EAD">
        <w:rPr>
          <w:lang w:val="pt-BR"/>
        </w:rPr>
        <w:t>ientalistas, essa questão deveria ser analisada na Licença Prévia (LP) e o aval do Ibama deveria ser expedido conjuntamente com a Licença Ambiental de Instalação (LAI) (VALOR ECONÔMICO, 2010).</w:t>
      </w:r>
    </w:p>
    <w:p w:rsidR="00D81F69" w:rsidRPr="00392EAD" w:rsidRDefault="00330118">
      <w:pPr>
        <w:pStyle w:val="Corpodetexto"/>
        <w:spacing w:before="139" w:line="312" w:lineRule="auto"/>
        <w:ind w:right="46"/>
        <w:rPr>
          <w:lang w:val="pt-BR"/>
        </w:rPr>
      </w:pPr>
      <w:r w:rsidRPr="00392EAD">
        <w:rPr>
          <w:lang w:val="pt-BR"/>
        </w:rPr>
        <w:t xml:space="preserve">A ONG argumenta ainda que há risco de que rejeitos do processo </w:t>
      </w:r>
      <w:r w:rsidRPr="00392EAD">
        <w:rPr>
          <w:lang w:val="pt-BR"/>
        </w:rPr>
        <w:t>de produção do projeto afetem nascentes de rios e afirma que o empreendimento requer a construção de duas barragens. Alega também que o eventual rompimento de uma delas poderá impactar a Lagoa Santo Antônio, localizada em Laguna, na Área de Proteção Ambien</w:t>
      </w:r>
      <w:r w:rsidRPr="00392EAD">
        <w:rPr>
          <w:lang w:val="pt-BR"/>
        </w:rPr>
        <w:t xml:space="preserve">tal (APA) da baleia franca [que está ameaçada de extinção] (VALOR ECONÔMICO, 2010). </w:t>
      </w:r>
    </w:p>
    <w:p w:rsidR="00D81F69" w:rsidRPr="00392EAD" w:rsidRDefault="00330118">
      <w:pPr>
        <w:pStyle w:val="Corpodetexto"/>
        <w:spacing w:before="137" w:line="312" w:lineRule="auto"/>
        <w:ind w:right="38"/>
        <w:rPr>
          <w:lang w:val="pt-BR"/>
        </w:rPr>
      </w:pPr>
      <w:r w:rsidRPr="00392EAD">
        <w:rPr>
          <w:lang w:val="pt-BR"/>
        </w:rPr>
        <w:t>De acordo com o biólogo e ambientalista Jorge Albuquerque, da Montanha Viva, o rejeito pode conter diversos elementos químicos potencialmente tóxicos. Segundo ele, os reje</w:t>
      </w:r>
      <w:r w:rsidRPr="00392EAD">
        <w:rPr>
          <w:lang w:val="pt-BR"/>
        </w:rPr>
        <w:t xml:space="preserve">itos do </w:t>
      </w:r>
      <w:r w:rsidRPr="00392EAD">
        <w:rPr>
          <w:spacing w:val="3"/>
          <w:lang w:val="pt-BR"/>
        </w:rPr>
        <w:t xml:space="preserve">fosfato </w:t>
      </w:r>
      <w:r w:rsidRPr="00392EAD">
        <w:rPr>
          <w:spacing w:val="1"/>
          <w:lang w:val="pt-BR"/>
        </w:rPr>
        <w:t xml:space="preserve">em </w:t>
      </w:r>
      <w:r w:rsidRPr="00392EAD">
        <w:rPr>
          <w:spacing w:val="3"/>
          <w:lang w:val="pt-BR"/>
        </w:rPr>
        <w:t xml:space="preserve">outras regiões </w:t>
      </w:r>
      <w:r w:rsidRPr="00392EAD">
        <w:rPr>
          <w:spacing w:val="1"/>
          <w:lang w:val="pt-BR"/>
        </w:rPr>
        <w:t xml:space="preserve">do </w:t>
      </w:r>
      <w:r w:rsidRPr="00392EAD">
        <w:rPr>
          <w:spacing w:val="3"/>
          <w:lang w:val="pt-BR"/>
        </w:rPr>
        <w:t xml:space="preserve">mundo apresentam </w:t>
      </w:r>
      <w:r w:rsidRPr="00392EAD">
        <w:rPr>
          <w:spacing w:val="5"/>
          <w:lang w:val="pt-BR"/>
        </w:rPr>
        <w:t xml:space="preserve">selênio, </w:t>
      </w:r>
      <w:hyperlink r:id="rId1749">
        <w:r w:rsidRPr="00392EAD">
          <w:rPr>
            <w:lang w:val="pt-BR"/>
          </w:rPr>
          <w:t xml:space="preserve">cádmio </w:t>
        </w:r>
      </w:hyperlink>
      <w:r w:rsidRPr="00392EAD">
        <w:rPr>
          <w:lang w:val="pt-BR"/>
        </w:rPr>
        <w:t xml:space="preserve">e elementos radioativos que, em altas concentrações, </w:t>
      </w:r>
      <w:r w:rsidRPr="00392EAD">
        <w:rPr>
          <w:spacing w:val="1"/>
          <w:lang w:val="pt-BR"/>
        </w:rPr>
        <w:t xml:space="preserve">podem </w:t>
      </w:r>
      <w:r w:rsidRPr="00392EAD">
        <w:rPr>
          <w:lang w:val="pt-BR"/>
        </w:rPr>
        <w:t xml:space="preserve">se </w:t>
      </w:r>
      <w:r w:rsidRPr="00392EAD">
        <w:rPr>
          <w:spacing w:val="1"/>
          <w:lang w:val="pt-BR"/>
        </w:rPr>
        <w:t xml:space="preserve">tornar </w:t>
      </w:r>
      <w:r w:rsidRPr="00392EAD">
        <w:rPr>
          <w:lang w:val="pt-BR"/>
        </w:rPr>
        <w:t xml:space="preserve">um </w:t>
      </w:r>
      <w:r w:rsidRPr="00392EAD">
        <w:rPr>
          <w:spacing w:val="1"/>
          <w:lang w:val="pt-BR"/>
        </w:rPr>
        <w:t xml:space="preserve">sério problema ambiental </w:t>
      </w:r>
      <w:r w:rsidRPr="00392EAD">
        <w:rPr>
          <w:lang w:val="pt-BR"/>
        </w:rPr>
        <w:t xml:space="preserve">e de </w:t>
      </w:r>
      <w:r w:rsidRPr="00392EAD">
        <w:rPr>
          <w:spacing w:val="2"/>
          <w:lang w:val="pt-BR"/>
        </w:rPr>
        <w:t xml:space="preserve">saúde </w:t>
      </w:r>
      <w:r w:rsidRPr="00392EAD">
        <w:rPr>
          <w:lang w:val="pt-BR"/>
        </w:rPr>
        <w:t xml:space="preserve">pública. Ele diz que as barragens previstas na fosfateira de Anitápolis terão, caso aprovado o empreendimento, altura de 80 metros acima do nível do rio do Pinheiro. Como a região  </w:t>
      </w:r>
      <w:r w:rsidRPr="00392EAD">
        <w:rPr>
          <w:spacing w:val="1"/>
          <w:lang w:val="pt-BR"/>
        </w:rPr>
        <w:t xml:space="preserve">de </w:t>
      </w:r>
      <w:r w:rsidRPr="00392EAD">
        <w:rPr>
          <w:spacing w:val="3"/>
          <w:lang w:val="pt-BR"/>
        </w:rPr>
        <w:t xml:space="preserve">Anitápolis </w:t>
      </w:r>
      <w:r w:rsidRPr="00392EAD">
        <w:rPr>
          <w:spacing w:val="2"/>
          <w:lang w:val="pt-BR"/>
        </w:rPr>
        <w:t xml:space="preserve">está </w:t>
      </w:r>
      <w:r w:rsidRPr="00392EAD">
        <w:rPr>
          <w:spacing w:val="3"/>
          <w:lang w:val="pt-BR"/>
        </w:rPr>
        <w:t xml:space="preserve">próxima </w:t>
      </w:r>
      <w:r w:rsidRPr="00392EAD">
        <w:rPr>
          <w:spacing w:val="1"/>
          <w:lang w:val="pt-BR"/>
        </w:rPr>
        <w:t xml:space="preserve">da </w:t>
      </w:r>
      <w:r w:rsidRPr="00392EAD">
        <w:rPr>
          <w:spacing w:val="3"/>
          <w:lang w:val="pt-BR"/>
        </w:rPr>
        <w:t>Serra Ger</w:t>
      </w:r>
      <w:r w:rsidRPr="00392EAD">
        <w:rPr>
          <w:spacing w:val="3"/>
          <w:lang w:val="pt-BR"/>
        </w:rPr>
        <w:t xml:space="preserve">al </w:t>
      </w:r>
      <w:r w:rsidRPr="00392EAD">
        <w:rPr>
          <w:lang w:val="pt-BR"/>
        </w:rPr>
        <w:t xml:space="preserve">- </w:t>
      </w:r>
      <w:r w:rsidRPr="00392EAD">
        <w:rPr>
          <w:spacing w:val="3"/>
          <w:lang w:val="pt-BR"/>
        </w:rPr>
        <w:t xml:space="preserve">sujeita </w:t>
      </w:r>
      <w:r w:rsidRPr="00392EAD">
        <w:rPr>
          <w:lang w:val="pt-BR"/>
        </w:rPr>
        <w:t xml:space="preserve">a </w:t>
      </w:r>
      <w:r w:rsidRPr="00392EAD">
        <w:rPr>
          <w:spacing w:val="5"/>
          <w:lang w:val="pt-BR"/>
        </w:rPr>
        <w:t xml:space="preserve">uma </w:t>
      </w:r>
      <w:r w:rsidRPr="00392EAD">
        <w:rPr>
          <w:spacing w:val="3"/>
          <w:lang w:val="pt-BR"/>
        </w:rPr>
        <w:t xml:space="preserve">significativa pluviosidade </w:t>
      </w:r>
      <w:r w:rsidRPr="00392EAD">
        <w:rPr>
          <w:lang w:val="pt-BR"/>
        </w:rPr>
        <w:t xml:space="preserve">- e </w:t>
      </w:r>
      <w:r w:rsidRPr="00392EAD">
        <w:rPr>
          <w:spacing w:val="2"/>
          <w:lang w:val="pt-BR"/>
        </w:rPr>
        <w:t xml:space="preserve">num </w:t>
      </w:r>
      <w:r w:rsidRPr="00392EAD">
        <w:rPr>
          <w:spacing w:val="3"/>
          <w:lang w:val="pt-BR"/>
        </w:rPr>
        <w:t xml:space="preserve">cenário </w:t>
      </w:r>
      <w:r w:rsidRPr="00392EAD">
        <w:rPr>
          <w:spacing w:val="1"/>
          <w:lang w:val="pt-BR"/>
        </w:rPr>
        <w:t xml:space="preserve">de </w:t>
      </w:r>
      <w:r w:rsidRPr="00392EAD">
        <w:rPr>
          <w:spacing w:val="3"/>
          <w:lang w:val="pt-BR"/>
        </w:rPr>
        <w:t xml:space="preserve">muita </w:t>
      </w:r>
      <w:r w:rsidRPr="00392EAD">
        <w:rPr>
          <w:spacing w:val="5"/>
          <w:lang w:val="pt-BR"/>
        </w:rPr>
        <w:t xml:space="preserve">chuva, </w:t>
      </w:r>
      <w:r w:rsidRPr="00392EAD">
        <w:rPr>
          <w:spacing w:val="3"/>
          <w:lang w:val="pt-BR"/>
        </w:rPr>
        <w:t xml:space="preserve">haveria </w:t>
      </w:r>
      <w:r w:rsidRPr="00392EAD">
        <w:rPr>
          <w:lang w:val="pt-BR"/>
        </w:rPr>
        <w:t xml:space="preserve">a </w:t>
      </w:r>
      <w:r w:rsidRPr="00392EAD">
        <w:rPr>
          <w:spacing w:val="3"/>
          <w:lang w:val="pt-BR"/>
        </w:rPr>
        <w:t xml:space="preserve">possibilidade </w:t>
      </w:r>
      <w:r w:rsidRPr="00392EAD">
        <w:rPr>
          <w:spacing w:val="1"/>
          <w:lang w:val="pt-BR"/>
        </w:rPr>
        <w:t xml:space="preserve">de um </w:t>
      </w:r>
      <w:r w:rsidRPr="00392EAD">
        <w:rPr>
          <w:spacing w:val="3"/>
          <w:lang w:val="pt-BR"/>
        </w:rPr>
        <w:t xml:space="preserve">desastre </w:t>
      </w:r>
      <w:r w:rsidRPr="00392EAD">
        <w:rPr>
          <w:spacing w:val="1"/>
          <w:lang w:val="pt-BR"/>
        </w:rPr>
        <w:t xml:space="preserve">em </w:t>
      </w:r>
      <w:r w:rsidRPr="00392EAD">
        <w:rPr>
          <w:spacing w:val="3"/>
          <w:lang w:val="pt-BR"/>
        </w:rPr>
        <w:t xml:space="preserve">potencial </w:t>
      </w:r>
      <w:r w:rsidRPr="00392EAD">
        <w:rPr>
          <w:spacing w:val="5"/>
          <w:lang w:val="pt-BR"/>
        </w:rPr>
        <w:t xml:space="preserve">que poderia causar </w:t>
      </w:r>
      <w:r w:rsidRPr="00392EAD">
        <w:rPr>
          <w:lang w:val="pt-BR"/>
        </w:rPr>
        <w:t xml:space="preserve">a </w:t>
      </w:r>
      <w:r w:rsidRPr="00392EAD">
        <w:rPr>
          <w:spacing w:val="5"/>
          <w:lang w:val="pt-BR"/>
        </w:rPr>
        <w:t xml:space="preserve">erosão das </w:t>
      </w:r>
      <w:r w:rsidRPr="00392EAD">
        <w:rPr>
          <w:spacing w:val="6"/>
          <w:lang w:val="pt-BR"/>
        </w:rPr>
        <w:t xml:space="preserve">barragens </w:t>
      </w:r>
      <w:r w:rsidRPr="00392EAD">
        <w:rPr>
          <w:spacing w:val="3"/>
          <w:lang w:val="pt-BR"/>
        </w:rPr>
        <w:t xml:space="preserve">da </w:t>
      </w:r>
      <w:r w:rsidRPr="00392EAD">
        <w:rPr>
          <w:spacing w:val="6"/>
          <w:lang w:val="pt-BR"/>
        </w:rPr>
        <w:t xml:space="preserve">fosfateira </w:t>
      </w:r>
      <w:r w:rsidRPr="00392EAD">
        <w:rPr>
          <w:lang w:val="pt-BR"/>
        </w:rPr>
        <w:t xml:space="preserve">e comprometer o uso do solo para a agricultura, bem como o </w:t>
      </w:r>
      <w:r w:rsidRPr="00392EAD">
        <w:rPr>
          <w:spacing w:val="5"/>
          <w:lang w:val="pt-BR"/>
        </w:rPr>
        <w:t xml:space="preserve">turismo </w:t>
      </w:r>
      <w:r w:rsidRPr="00392EAD">
        <w:rPr>
          <w:spacing w:val="2"/>
          <w:lang w:val="pt-BR"/>
        </w:rPr>
        <w:t xml:space="preserve">na </w:t>
      </w:r>
      <w:r w:rsidRPr="00392EAD">
        <w:rPr>
          <w:spacing w:val="5"/>
          <w:lang w:val="pt-BR"/>
        </w:rPr>
        <w:t xml:space="preserve">região </w:t>
      </w:r>
      <w:r w:rsidRPr="00392EAD">
        <w:rPr>
          <w:spacing w:val="3"/>
          <w:lang w:val="pt-BR"/>
        </w:rPr>
        <w:t xml:space="preserve">(MAPA </w:t>
      </w:r>
      <w:r w:rsidRPr="00392EAD">
        <w:rPr>
          <w:spacing w:val="2"/>
          <w:lang w:val="pt-BR"/>
        </w:rPr>
        <w:t xml:space="preserve">DA </w:t>
      </w:r>
      <w:r w:rsidRPr="00392EAD">
        <w:rPr>
          <w:spacing w:val="5"/>
          <w:lang w:val="pt-BR"/>
        </w:rPr>
        <w:t xml:space="preserve">INJUSTIÇA AMBIENTAL </w:t>
      </w:r>
      <w:r w:rsidRPr="00392EAD">
        <w:rPr>
          <w:lang w:val="pt-BR"/>
        </w:rPr>
        <w:t xml:space="preserve">E </w:t>
      </w:r>
      <w:r w:rsidRPr="00392EAD">
        <w:rPr>
          <w:spacing w:val="3"/>
          <w:lang w:val="pt-BR"/>
        </w:rPr>
        <w:t xml:space="preserve">SAÚDE </w:t>
      </w:r>
      <w:r w:rsidRPr="00392EAD">
        <w:rPr>
          <w:spacing w:val="2"/>
          <w:lang w:val="pt-BR"/>
        </w:rPr>
        <w:t xml:space="preserve">NO </w:t>
      </w:r>
      <w:r w:rsidRPr="00392EAD">
        <w:rPr>
          <w:spacing w:val="5"/>
          <w:lang w:val="pt-BR"/>
        </w:rPr>
        <w:t>BRASIL,</w:t>
      </w:r>
      <w:r w:rsidRPr="00392EAD">
        <w:rPr>
          <w:spacing w:val="-17"/>
          <w:lang w:val="pt-BR"/>
        </w:rPr>
        <w:t xml:space="preserve"> </w:t>
      </w:r>
      <w:r w:rsidRPr="00392EAD">
        <w:rPr>
          <w:spacing w:val="5"/>
          <w:lang w:val="pt-BR"/>
        </w:rPr>
        <w:t>2009)</w:t>
      </w:r>
    </w:p>
    <w:p w:rsidR="00D81F69" w:rsidRPr="00392EAD" w:rsidRDefault="00330118">
      <w:pPr>
        <w:pStyle w:val="Corpodetexto"/>
        <w:spacing w:before="145" w:line="312" w:lineRule="auto"/>
        <w:ind w:right="53"/>
        <w:rPr>
          <w:lang w:val="pt-BR"/>
        </w:rPr>
      </w:pPr>
      <w:r w:rsidRPr="00392EAD">
        <w:rPr>
          <w:lang w:val="pt-BR"/>
        </w:rPr>
        <w:t>De acordo com estudo da engenheira química Sônia Corina Hess, da Universidade Federal de Santa Catarina, os</w:t>
      </w:r>
    </w:p>
    <w:p w:rsidR="00D81F69" w:rsidRPr="00392EAD" w:rsidRDefault="00330118">
      <w:pPr>
        <w:pStyle w:val="Corpodetexto"/>
        <w:spacing w:before="81" w:line="312" w:lineRule="auto"/>
        <w:ind w:right="191"/>
        <w:rPr>
          <w:lang w:val="pt-BR"/>
        </w:rPr>
      </w:pPr>
      <w:r w:rsidRPr="00392EAD">
        <w:rPr>
          <w:lang w:val="pt-BR"/>
        </w:rPr>
        <w:br w:type="column"/>
      </w:r>
      <w:r w:rsidRPr="00392EAD">
        <w:rPr>
          <w:lang w:val="pt-BR"/>
        </w:rPr>
        <w:lastRenderedPageBreak/>
        <w:t>processos químicos do projeto de Anitápolis podem, sim, gerar riscos à saúde da popula</w:t>
      </w:r>
      <w:r w:rsidRPr="00392EAD">
        <w:rPr>
          <w:lang w:val="pt-BR"/>
        </w:rPr>
        <w:t xml:space="preserve">ção que vive na região da área da mina. O estudo foi feito a pedido do Ministério Público Federal (MPF) e da Comissão de Meio Ambiente da Assembléia Legislativa. A especialista afirma que nas fosfateiras é comum ocorrer vazamento de gases para a atmosfera </w:t>
      </w:r>
      <w:r w:rsidRPr="00392EAD">
        <w:rPr>
          <w:lang w:val="pt-BR"/>
        </w:rPr>
        <w:t>decorrente da produção do ácido sulfúrico, que pode resultar em chuva ácida (CAMPOS, 2010).</w:t>
      </w:r>
    </w:p>
    <w:p w:rsidR="00D81F69" w:rsidRPr="00392EAD" w:rsidRDefault="00330118">
      <w:pPr>
        <w:pStyle w:val="Corpodetexto"/>
        <w:spacing w:before="137" w:line="312" w:lineRule="auto"/>
        <w:ind w:right="209"/>
        <w:rPr>
          <w:lang w:val="pt-BR"/>
        </w:rPr>
      </w:pPr>
      <w:r w:rsidRPr="00392EAD">
        <w:rPr>
          <w:lang w:val="pt-BR"/>
        </w:rPr>
        <w:t>Já a Fatma contrargumenta que a área do empreendimento não está sob competência da União, mas em uma região sob jurisdição do estado. Por isso, caberia a ela conced</w:t>
      </w:r>
      <w:r w:rsidRPr="00392EAD">
        <w:rPr>
          <w:lang w:val="pt-BR"/>
        </w:rPr>
        <w:t xml:space="preserve">er ou não a </w:t>
      </w:r>
      <w:r w:rsidRPr="00392EAD">
        <w:rPr>
          <w:spacing w:val="1"/>
          <w:lang w:val="pt-BR"/>
        </w:rPr>
        <w:t xml:space="preserve">Licença Prévia. Sobre </w:t>
      </w:r>
      <w:r w:rsidRPr="00392EAD">
        <w:rPr>
          <w:lang w:val="pt-BR"/>
        </w:rPr>
        <w:t xml:space="preserve">a </w:t>
      </w:r>
      <w:r w:rsidRPr="00392EAD">
        <w:rPr>
          <w:spacing w:val="1"/>
          <w:lang w:val="pt-BR"/>
        </w:rPr>
        <w:t xml:space="preserve">supressão </w:t>
      </w:r>
      <w:r w:rsidRPr="00392EAD">
        <w:rPr>
          <w:lang w:val="pt-BR"/>
        </w:rPr>
        <w:t xml:space="preserve">de </w:t>
      </w:r>
      <w:r w:rsidRPr="00392EAD">
        <w:rPr>
          <w:spacing w:val="1"/>
          <w:lang w:val="pt-BR"/>
        </w:rPr>
        <w:t xml:space="preserve">vegetação, </w:t>
      </w:r>
      <w:r w:rsidRPr="00392EAD">
        <w:rPr>
          <w:spacing w:val="2"/>
          <w:lang w:val="pt-BR"/>
        </w:rPr>
        <w:t xml:space="preserve">afirma </w:t>
      </w:r>
      <w:r w:rsidRPr="00392EAD">
        <w:rPr>
          <w:lang w:val="pt-BR"/>
        </w:rPr>
        <w:t xml:space="preserve">que são 200 hectares e não 400, e que um posicionamento  </w:t>
      </w:r>
      <w:r w:rsidRPr="00392EAD">
        <w:rPr>
          <w:spacing w:val="2"/>
          <w:lang w:val="pt-BR"/>
        </w:rPr>
        <w:t xml:space="preserve">do </w:t>
      </w:r>
      <w:r w:rsidRPr="00392EAD">
        <w:rPr>
          <w:spacing w:val="5"/>
          <w:lang w:val="pt-BR"/>
        </w:rPr>
        <w:t xml:space="preserve">Ibama sobre </w:t>
      </w:r>
      <w:r w:rsidRPr="00392EAD">
        <w:rPr>
          <w:spacing w:val="2"/>
          <w:lang w:val="pt-BR"/>
        </w:rPr>
        <w:t xml:space="preserve">os </w:t>
      </w:r>
      <w:r w:rsidRPr="00392EAD">
        <w:rPr>
          <w:spacing w:val="5"/>
          <w:lang w:val="pt-BR"/>
        </w:rPr>
        <w:t xml:space="preserve">cortes está previsto </w:t>
      </w:r>
      <w:r w:rsidRPr="00392EAD">
        <w:rPr>
          <w:spacing w:val="2"/>
          <w:lang w:val="pt-BR"/>
        </w:rPr>
        <w:t xml:space="preserve">no </w:t>
      </w:r>
      <w:r w:rsidRPr="00392EAD">
        <w:rPr>
          <w:spacing w:val="5"/>
          <w:lang w:val="pt-BR"/>
        </w:rPr>
        <w:t xml:space="preserve">processo </w:t>
      </w:r>
      <w:r w:rsidRPr="00392EAD">
        <w:rPr>
          <w:spacing w:val="6"/>
          <w:lang w:val="pt-BR"/>
        </w:rPr>
        <w:t xml:space="preserve">na </w:t>
      </w:r>
      <w:r w:rsidRPr="00392EAD">
        <w:rPr>
          <w:spacing w:val="5"/>
          <w:lang w:val="pt-BR"/>
        </w:rPr>
        <w:t xml:space="preserve">segunda </w:t>
      </w:r>
      <w:r w:rsidRPr="00392EAD">
        <w:rPr>
          <w:spacing w:val="3"/>
          <w:lang w:val="pt-BR"/>
        </w:rPr>
        <w:t xml:space="preserve">fase </w:t>
      </w:r>
      <w:r w:rsidRPr="00392EAD">
        <w:rPr>
          <w:spacing w:val="2"/>
          <w:lang w:val="pt-BR"/>
        </w:rPr>
        <w:t xml:space="preserve">de </w:t>
      </w:r>
      <w:r w:rsidRPr="00392EAD">
        <w:rPr>
          <w:spacing w:val="5"/>
          <w:lang w:val="pt-BR"/>
        </w:rPr>
        <w:t xml:space="preserve">licença, quando </w:t>
      </w:r>
      <w:r w:rsidRPr="00392EAD">
        <w:rPr>
          <w:spacing w:val="3"/>
          <w:lang w:val="pt-BR"/>
        </w:rPr>
        <w:t xml:space="preserve">será </w:t>
      </w:r>
      <w:r w:rsidRPr="00392EAD">
        <w:rPr>
          <w:spacing w:val="5"/>
          <w:lang w:val="pt-BR"/>
        </w:rPr>
        <w:t xml:space="preserve">tratada </w:t>
      </w:r>
      <w:r w:rsidRPr="00392EAD">
        <w:rPr>
          <w:lang w:val="pt-BR"/>
        </w:rPr>
        <w:t xml:space="preserve">a </w:t>
      </w:r>
      <w:r w:rsidRPr="00392EAD">
        <w:rPr>
          <w:spacing w:val="5"/>
          <w:lang w:val="pt-BR"/>
        </w:rPr>
        <w:t xml:space="preserve">Licença Ambiental </w:t>
      </w:r>
      <w:r w:rsidRPr="00392EAD">
        <w:rPr>
          <w:spacing w:val="2"/>
          <w:lang w:val="pt-BR"/>
        </w:rPr>
        <w:t xml:space="preserve">de </w:t>
      </w:r>
      <w:r w:rsidRPr="00392EAD">
        <w:rPr>
          <w:spacing w:val="5"/>
          <w:lang w:val="pt-BR"/>
        </w:rPr>
        <w:t xml:space="preserve">Instalação. Assegura </w:t>
      </w:r>
      <w:r w:rsidRPr="00392EAD">
        <w:rPr>
          <w:spacing w:val="3"/>
          <w:lang w:val="pt-BR"/>
        </w:rPr>
        <w:t xml:space="preserve">ainda que não </w:t>
      </w:r>
      <w:r w:rsidRPr="00392EAD">
        <w:rPr>
          <w:spacing w:val="5"/>
          <w:lang w:val="pt-BR"/>
        </w:rPr>
        <w:t xml:space="preserve">serão depositados produtos químicos </w:t>
      </w:r>
      <w:r w:rsidRPr="00392EAD">
        <w:rPr>
          <w:spacing w:val="2"/>
          <w:lang w:val="pt-BR"/>
        </w:rPr>
        <w:t xml:space="preserve">no </w:t>
      </w:r>
      <w:r w:rsidRPr="00392EAD">
        <w:rPr>
          <w:spacing w:val="5"/>
          <w:lang w:val="pt-BR"/>
        </w:rPr>
        <w:t xml:space="preserve">ambiente. Segundo </w:t>
      </w:r>
      <w:r w:rsidRPr="00392EAD">
        <w:rPr>
          <w:lang w:val="pt-BR"/>
        </w:rPr>
        <w:t>o órgão, a sustentabilidade do projeto está garantida (VALOR ECONÔMICO,</w:t>
      </w:r>
      <w:r w:rsidRPr="00392EAD">
        <w:rPr>
          <w:spacing w:val="12"/>
          <w:lang w:val="pt-BR"/>
        </w:rPr>
        <w:t xml:space="preserve"> </w:t>
      </w:r>
      <w:r w:rsidRPr="00392EAD">
        <w:rPr>
          <w:lang w:val="pt-BR"/>
        </w:rPr>
        <w:t>2010).</w:t>
      </w:r>
    </w:p>
    <w:p w:rsidR="00D81F69" w:rsidRPr="00392EAD" w:rsidRDefault="00330118">
      <w:pPr>
        <w:pStyle w:val="Corpodetexto"/>
        <w:spacing w:before="140" w:line="312" w:lineRule="auto"/>
        <w:ind w:right="193"/>
        <w:rPr>
          <w:lang w:val="pt-BR"/>
        </w:rPr>
      </w:pPr>
      <w:r w:rsidRPr="00392EAD">
        <w:rPr>
          <w:spacing w:val="2"/>
          <w:lang w:val="pt-BR"/>
        </w:rPr>
        <w:t xml:space="preserve">Para </w:t>
      </w:r>
      <w:r w:rsidRPr="00392EAD">
        <w:rPr>
          <w:spacing w:val="3"/>
          <w:lang w:val="pt-BR"/>
        </w:rPr>
        <w:t xml:space="preserve">restabelecer </w:t>
      </w:r>
      <w:r w:rsidRPr="00392EAD">
        <w:rPr>
          <w:lang w:val="pt-BR"/>
        </w:rPr>
        <w:t xml:space="preserve">a </w:t>
      </w:r>
      <w:r w:rsidRPr="00392EAD">
        <w:rPr>
          <w:spacing w:val="3"/>
          <w:lang w:val="pt-BR"/>
        </w:rPr>
        <w:t xml:space="preserve">licença ambiental, </w:t>
      </w:r>
      <w:r w:rsidRPr="00392EAD">
        <w:rPr>
          <w:lang w:val="pt-BR"/>
        </w:rPr>
        <w:t xml:space="preserve">a </w:t>
      </w:r>
      <w:r w:rsidRPr="00392EAD">
        <w:rPr>
          <w:spacing w:val="2"/>
          <w:lang w:val="pt-BR"/>
        </w:rPr>
        <w:t xml:space="preserve">IFC </w:t>
      </w:r>
      <w:r w:rsidRPr="00392EAD">
        <w:rPr>
          <w:lang w:val="pt-BR"/>
        </w:rPr>
        <w:t xml:space="preserve">e o </w:t>
      </w:r>
      <w:r w:rsidRPr="00392EAD">
        <w:rPr>
          <w:spacing w:val="5"/>
          <w:lang w:val="pt-BR"/>
        </w:rPr>
        <w:t xml:space="preserve">governo </w:t>
      </w:r>
      <w:r w:rsidRPr="00392EAD">
        <w:rPr>
          <w:lang w:val="pt-BR"/>
        </w:rPr>
        <w:t xml:space="preserve">catarinense recorreram ao Tribunal Regional Federal (TRF)  da 4ª região no fim de 2009 (VALOR ECONÔMICO, </w:t>
      </w:r>
      <w:r w:rsidRPr="00392EAD">
        <w:rPr>
          <w:spacing w:val="1"/>
          <w:lang w:val="pt-BR"/>
        </w:rPr>
        <w:t xml:space="preserve">2010). </w:t>
      </w:r>
      <w:r w:rsidRPr="00392EAD">
        <w:rPr>
          <w:lang w:val="pt-BR"/>
        </w:rPr>
        <w:t>Em janeiro de 2010, no entanto, o TRF julgou improcedente o recurso e vetou a instalação da fábrica de ácido sulfúrico e fertilizantes</w:t>
      </w:r>
      <w:r w:rsidRPr="00392EAD">
        <w:rPr>
          <w:spacing w:val="17"/>
          <w:lang w:val="pt-BR"/>
        </w:rPr>
        <w:t xml:space="preserve"> </w:t>
      </w:r>
      <w:r w:rsidRPr="00392EAD">
        <w:rPr>
          <w:lang w:val="pt-BR"/>
        </w:rPr>
        <w:t>em</w:t>
      </w:r>
      <w:r w:rsidRPr="00392EAD">
        <w:rPr>
          <w:spacing w:val="17"/>
          <w:lang w:val="pt-BR"/>
        </w:rPr>
        <w:t xml:space="preserve"> </w:t>
      </w:r>
      <w:r w:rsidRPr="00392EAD">
        <w:rPr>
          <w:lang w:val="pt-BR"/>
        </w:rPr>
        <w:t>Anitáp</w:t>
      </w:r>
      <w:r w:rsidRPr="00392EAD">
        <w:rPr>
          <w:lang w:val="pt-BR"/>
        </w:rPr>
        <w:t>olis</w:t>
      </w:r>
      <w:r w:rsidRPr="00392EAD">
        <w:rPr>
          <w:spacing w:val="17"/>
          <w:lang w:val="pt-BR"/>
        </w:rPr>
        <w:t xml:space="preserve"> </w:t>
      </w:r>
      <w:r w:rsidRPr="00392EAD">
        <w:rPr>
          <w:lang w:val="pt-BR"/>
        </w:rPr>
        <w:t>(CRBIO</w:t>
      </w:r>
      <w:r w:rsidRPr="00392EAD">
        <w:rPr>
          <w:spacing w:val="17"/>
          <w:lang w:val="pt-BR"/>
        </w:rPr>
        <w:t xml:space="preserve"> </w:t>
      </w:r>
      <w:r w:rsidRPr="00392EAD">
        <w:rPr>
          <w:lang w:val="pt-BR"/>
        </w:rPr>
        <w:t>3,</w:t>
      </w:r>
      <w:r w:rsidRPr="00392EAD">
        <w:rPr>
          <w:spacing w:val="17"/>
          <w:lang w:val="pt-BR"/>
        </w:rPr>
        <w:t xml:space="preserve"> </w:t>
      </w:r>
      <w:r w:rsidRPr="00392EAD">
        <w:rPr>
          <w:spacing w:val="1"/>
          <w:lang w:val="pt-BR"/>
        </w:rPr>
        <w:t>2010).</w:t>
      </w:r>
    </w:p>
    <w:p w:rsidR="00D81F69" w:rsidRPr="00392EAD" w:rsidRDefault="00330118">
      <w:pPr>
        <w:pStyle w:val="Corpodetexto"/>
        <w:spacing w:before="136" w:line="312" w:lineRule="auto"/>
        <w:ind w:right="195"/>
        <w:rPr>
          <w:lang w:val="pt-BR"/>
        </w:rPr>
      </w:pPr>
      <w:r w:rsidRPr="00392EAD">
        <w:rPr>
          <w:lang w:val="pt-BR"/>
        </w:rPr>
        <w:t>Na terceira audiência pública para discutir a possível instalação da fosfateira em Anitápolis, realizada em abril de 2010, em Laguna, a comunidade da região, mais uma vez, se posicionou contrariamente ao projeto e demonstrou grande pr</w:t>
      </w:r>
      <w:r w:rsidRPr="00392EAD">
        <w:rPr>
          <w:lang w:val="pt-BR"/>
        </w:rPr>
        <w:t>eocupação com seus potenciais impactos socioambientais. Durante o debate, um abaixo-assinado foi entregue ao Poder Legislativo pelo Padre Aluisio Rheieemann Jocken, da Paróquia Santo Antonio dos Anjos, com aproximadamente 4 mil assinaturas contra a instala</w:t>
      </w:r>
      <w:r w:rsidRPr="00392EAD">
        <w:rPr>
          <w:lang w:val="pt-BR"/>
        </w:rPr>
        <w:t>ção da fosfateira (ALESC-SC, 2010).</w:t>
      </w:r>
    </w:p>
    <w:p w:rsidR="00D81F69" w:rsidRPr="00392EAD" w:rsidRDefault="00D81F69">
      <w:pPr>
        <w:pStyle w:val="Corpodetexto"/>
        <w:spacing w:before="9"/>
        <w:ind w:left="0"/>
        <w:jc w:val="left"/>
        <w:rPr>
          <w:sz w:val="21"/>
          <w:lang w:val="pt-BR"/>
        </w:rPr>
      </w:pPr>
    </w:p>
    <w:p w:rsidR="00D81F69" w:rsidRPr="00392EAD" w:rsidRDefault="00330118">
      <w:pPr>
        <w:pStyle w:val="Heading7"/>
        <w:rPr>
          <w:lang w:val="pt-BR"/>
        </w:rPr>
      </w:pPr>
      <w:r w:rsidRPr="00392EAD">
        <w:rPr>
          <w:lang w:val="pt-BR"/>
        </w:rPr>
        <w:t>LOCALIZAÇÃO GEOGRÁFICA</w:t>
      </w:r>
    </w:p>
    <w:p w:rsidR="00D81F69" w:rsidRPr="00392EAD" w:rsidRDefault="00330118">
      <w:pPr>
        <w:pStyle w:val="Corpodetexto"/>
        <w:spacing w:before="179" w:line="312" w:lineRule="auto"/>
        <w:ind w:right="194"/>
        <w:rPr>
          <w:lang w:val="pt-BR"/>
        </w:rPr>
      </w:pPr>
      <w:r w:rsidRPr="00392EAD">
        <w:rPr>
          <w:lang w:val="pt-BR"/>
        </w:rPr>
        <w:t>A mina de fosfato do município de Anitópolis é denominada Alto Rio Pinheiros e está localizada entre as latitudes 27°47’54”S - 27°48’24”S e longitudes 49°6’45”W - 49°7’1”W,</w:t>
      </w:r>
    </w:p>
    <w:p w:rsidR="00D81F69" w:rsidRPr="00392EAD" w:rsidRDefault="00330118">
      <w:pPr>
        <w:pStyle w:val="Corpodetexto"/>
        <w:spacing w:before="2"/>
        <w:rPr>
          <w:lang w:val="pt-BR"/>
        </w:rPr>
      </w:pPr>
      <w:r w:rsidRPr="00392EAD">
        <w:rPr>
          <w:lang w:val="pt-BR"/>
        </w:rPr>
        <w:t>na bacia do Rio Hipólit</w:t>
      </w:r>
      <w:r w:rsidRPr="00392EAD">
        <w:rPr>
          <w:lang w:val="pt-BR"/>
        </w:rPr>
        <w:t>o que deságua no mar.</w:t>
      </w:r>
    </w:p>
    <w:p w:rsidR="00D81F69" w:rsidRPr="00392EAD" w:rsidRDefault="00D81F69">
      <w:pPr>
        <w:pStyle w:val="Corpodetexto"/>
        <w:ind w:left="0"/>
        <w:jc w:val="left"/>
        <w:rPr>
          <w:sz w:val="20"/>
          <w:lang w:val="pt-BR"/>
        </w:rPr>
      </w:pPr>
    </w:p>
    <w:p w:rsidR="00D81F69" w:rsidRPr="00392EAD" w:rsidRDefault="00330118">
      <w:pPr>
        <w:pStyle w:val="Heading7"/>
        <w:spacing w:before="165"/>
        <w:rPr>
          <w:lang w:val="pt-BR"/>
        </w:rPr>
      </w:pPr>
      <w:r w:rsidRPr="00392EAD">
        <w:rPr>
          <w:lang w:val="pt-BR"/>
        </w:rPr>
        <w:t>REDATORES</w:t>
      </w:r>
    </w:p>
    <w:p w:rsidR="00D81F69" w:rsidRPr="00392EAD" w:rsidRDefault="00330118">
      <w:pPr>
        <w:pStyle w:val="Corpodetexto"/>
        <w:spacing w:before="179"/>
        <w:rPr>
          <w:lang w:val="pt-BR"/>
        </w:rPr>
      </w:pPr>
      <w:r w:rsidRPr="00392EAD">
        <w:rPr>
          <w:lang w:val="pt-BR"/>
        </w:rPr>
        <w:t>Renata Olivieri; Eliane Araujo</w:t>
      </w:r>
    </w:p>
    <w:p w:rsidR="00D81F69" w:rsidRPr="00392EAD" w:rsidRDefault="00D81F69">
      <w:pPr>
        <w:pStyle w:val="Corpodetexto"/>
        <w:ind w:left="0"/>
        <w:jc w:val="left"/>
        <w:rPr>
          <w:sz w:val="20"/>
          <w:lang w:val="pt-BR"/>
        </w:rPr>
      </w:pPr>
    </w:p>
    <w:p w:rsidR="00D81F69" w:rsidRPr="00392EAD" w:rsidRDefault="00330118">
      <w:pPr>
        <w:pStyle w:val="Heading7"/>
        <w:spacing w:before="164"/>
        <w:rPr>
          <w:lang w:val="pt-BR"/>
        </w:rPr>
      </w:pPr>
      <w:r w:rsidRPr="00392EAD">
        <w:rPr>
          <w:lang w:val="pt-BR"/>
        </w:rPr>
        <w:t>REFERÊNCIAS BIBLIOGRÁFICAS</w:t>
      </w:r>
    </w:p>
    <w:p w:rsidR="00D81F69" w:rsidRPr="00392EAD" w:rsidRDefault="00330118">
      <w:pPr>
        <w:spacing w:before="187"/>
        <w:ind w:left="100"/>
        <w:jc w:val="both"/>
        <w:rPr>
          <w:sz w:val="16"/>
          <w:lang w:val="pt-BR"/>
        </w:rPr>
      </w:pPr>
      <w:r w:rsidRPr="00392EAD">
        <w:rPr>
          <w:sz w:val="16"/>
          <w:lang w:val="pt-BR"/>
        </w:rPr>
        <w:t>ALBUQUERQUE, Jorge Luiz B.; GHIZONI-JÚNIOR, Ivo R.; SILVA,</w:t>
      </w:r>
    </w:p>
    <w:p w:rsidR="00D81F69" w:rsidRPr="00392EAD" w:rsidRDefault="00330118">
      <w:pPr>
        <w:spacing w:before="56" w:line="312" w:lineRule="auto"/>
        <w:ind w:left="100" w:right="193"/>
        <w:jc w:val="both"/>
        <w:rPr>
          <w:sz w:val="16"/>
          <w:lang w:val="pt-BR"/>
        </w:rPr>
      </w:pPr>
      <w:r w:rsidRPr="00392EAD">
        <w:rPr>
          <w:sz w:val="16"/>
          <w:lang w:val="pt-BR"/>
        </w:rPr>
        <w:t>Elsimar S.; TRANNINI, Gustavo; FRANZ, Ismael; BARCELLOS, André; HASSDENTEUFEL, Clarissa B.; AREND, Felipe</w:t>
      </w:r>
      <w:r w:rsidRPr="00392EAD">
        <w:rPr>
          <w:sz w:val="16"/>
          <w:lang w:val="pt-BR"/>
        </w:rPr>
        <w:t xml:space="preserve"> L.; MARTINS-</w:t>
      </w:r>
    </w:p>
    <w:p w:rsidR="00D81F69" w:rsidRPr="00392EAD" w:rsidRDefault="00330118">
      <w:pPr>
        <w:spacing w:before="2" w:line="312" w:lineRule="auto"/>
        <w:ind w:left="100" w:right="193"/>
        <w:jc w:val="both"/>
        <w:rPr>
          <w:sz w:val="16"/>
          <w:lang w:val="pt-BR"/>
        </w:rPr>
      </w:pPr>
      <w:r w:rsidRPr="00392EAD">
        <w:rPr>
          <w:sz w:val="16"/>
          <w:lang w:val="pt-BR"/>
        </w:rPr>
        <w:t>FERREIRA Claiton. Águia-cinzenta (Harpyhaliaetus coronatus) e o Gavião-real-falso (Morphnus guianensis) em Santa Catarina e Rio Grande do Sul: prioridades e desafios para sua conservação. In: Revista Brasileira de Ornitologia 14 (4), p. 411-4</w:t>
      </w:r>
      <w:r w:rsidRPr="00392EAD">
        <w:rPr>
          <w:sz w:val="16"/>
          <w:lang w:val="pt-BR"/>
        </w:rPr>
        <w:t>15, dez. 2006.</w:t>
      </w:r>
    </w:p>
    <w:p w:rsidR="00D81F69" w:rsidRPr="00392EAD" w:rsidRDefault="00330118">
      <w:pPr>
        <w:tabs>
          <w:tab w:val="left" w:pos="4331"/>
        </w:tabs>
        <w:spacing w:before="3"/>
        <w:ind w:left="100"/>
        <w:jc w:val="both"/>
        <w:rPr>
          <w:sz w:val="16"/>
          <w:lang w:val="pt-BR"/>
        </w:rPr>
      </w:pPr>
      <w:r w:rsidRPr="00392EAD">
        <w:rPr>
          <w:sz w:val="16"/>
          <w:lang w:val="pt-BR"/>
        </w:rPr>
        <w:t xml:space="preserve">D      i      s      p      o      n      í      v  </w:t>
      </w:r>
      <w:r w:rsidRPr="00392EAD">
        <w:rPr>
          <w:spacing w:val="36"/>
          <w:sz w:val="16"/>
          <w:lang w:val="pt-BR"/>
        </w:rPr>
        <w:t xml:space="preserve"> </w:t>
      </w:r>
      <w:r w:rsidRPr="00392EAD">
        <w:rPr>
          <w:sz w:val="16"/>
          <w:lang w:val="pt-BR"/>
        </w:rPr>
        <w:t xml:space="preserve">e    </w:t>
      </w:r>
      <w:r w:rsidRPr="00392EAD">
        <w:rPr>
          <w:spacing w:val="31"/>
          <w:sz w:val="16"/>
          <w:lang w:val="pt-BR"/>
        </w:rPr>
        <w:t xml:space="preserve"> </w:t>
      </w:r>
      <w:r w:rsidRPr="00392EAD">
        <w:rPr>
          <w:sz w:val="16"/>
          <w:lang w:val="pt-BR"/>
        </w:rPr>
        <w:t>l</w:t>
      </w:r>
      <w:r w:rsidRPr="00392EAD">
        <w:rPr>
          <w:sz w:val="16"/>
          <w:lang w:val="pt-BR"/>
        </w:rPr>
        <w:tab/>
        <w:t xml:space="preserve">e      m    </w:t>
      </w:r>
      <w:r w:rsidRPr="00392EAD">
        <w:rPr>
          <w:spacing w:val="20"/>
          <w:sz w:val="16"/>
          <w:lang w:val="pt-BR"/>
        </w:rPr>
        <w:t xml:space="preserve"> </w:t>
      </w:r>
      <w:r w:rsidRPr="00392EAD">
        <w:rPr>
          <w:sz w:val="16"/>
          <w:lang w:val="pt-BR"/>
        </w:rPr>
        <w:t>:</w:t>
      </w:r>
    </w:p>
    <w:p w:rsidR="00D81F69" w:rsidRPr="00392EAD" w:rsidRDefault="00D81F69">
      <w:pPr>
        <w:jc w:val="both"/>
        <w:rPr>
          <w:sz w:val="16"/>
          <w:lang w:val="pt-BR"/>
        </w:rPr>
        <w:sectPr w:rsidR="00D81F69" w:rsidRPr="00392EAD">
          <w:pgSz w:w="11900" w:h="16840"/>
          <w:pgMar w:top="740" w:right="500" w:bottom="720" w:left="620" w:header="0" w:footer="402" w:gutter="0"/>
          <w:cols w:num="2" w:space="720" w:equalWidth="0">
            <w:col w:w="5157" w:space="313"/>
            <w:col w:w="5310"/>
          </w:cols>
        </w:sectPr>
      </w:pPr>
    </w:p>
    <w:p w:rsidR="00D81F69" w:rsidRPr="00392EAD" w:rsidRDefault="00D81F69">
      <w:pPr>
        <w:spacing w:before="70"/>
        <w:ind w:left="100"/>
        <w:rPr>
          <w:sz w:val="16"/>
          <w:lang w:val="pt-BR"/>
        </w:rPr>
      </w:pPr>
      <w:hyperlink r:id="rId1750">
        <w:r w:rsidR="00330118" w:rsidRPr="00392EAD">
          <w:rPr>
            <w:sz w:val="16"/>
            <w:lang w:val="pt-BR"/>
          </w:rPr>
          <w:t>&lt;</w:t>
        </w:r>
        <w:r w:rsidR="00330118" w:rsidRPr="00392EAD">
          <w:rPr>
            <w:sz w:val="16"/>
            <w:lang w:val="pt-BR"/>
          </w:rPr>
          <w:t>http://www.artigocientifico.com.br/uploads/artc_1176154916_23.pdf&gt;</w:t>
        </w:r>
      </w:hyperlink>
    </w:p>
    <w:p w:rsidR="00D81F69" w:rsidRPr="00392EAD" w:rsidRDefault="00330118">
      <w:pPr>
        <w:spacing w:before="56"/>
        <w:ind w:left="100"/>
        <w:rPr>
          <w:sz w:val="16"/>
          <w:lang w:val="pt-BR"/>
        </w:rPr>
      </w:pPr>
      <w:r w:rsidRPr="00392EAD">
        <w:rPr>
          <w:sz w:val="16"/>
          <w:lang w:val="pt-BR"/>
        </w:rPr>
        <w:t>. Acesso em: 14 jul. 2010.</w:t>
      </w:r>
    </w:p>
    <w:p w:rsidR="00D81F69" w:rsidRDefault="00330118">
      <w:pPr>
        <w:spacing w:before="56" w:line="312" w:lineRule="auto"/>
        <w:ind w:left="100" w:right="56"/>
        <w:jc w:val="both"/>
        <w:rPr>
          <w:sz w:val="16"/>
        </w:rPr>
      </w:pPr>
      <w:r w:rsidRPr="00392EAD">
        <w:rPr>
          <w:sz w:val="16"/>
          <w:lang w:val="pt-BR"/>
        </w:rPr>
        <w:t xml:space="preserve">ALESC-SC. </w:t>
      </w:r>
      <w:r>
        <w:rPr>
          <w:sz w:val="16"/>
        </w:rPr>
        <w:t xml:space="preserve">Instalação de fosfateira em Anitápolis gera polêmica. In: JusBrasil  Notícias,  16   abr.   2010.   Disponível  em: </w:t>
      </w:r>
    </w:p>
    <w:p w:rsidR="00D81F69" w:rsidRPr="00392EAD" w:rsidRDefault="00D81F69">
      <w:pPr>
        <w:spacing w:before="1" w:line="312" w:lineRule="auto"/>
        <w:ind w:left="100" w:right="74"/>
        <w:jc w:val="both"/>
        <w:rPr>
          <w:sz w:val="16"/>
          <w:lang w:val="pt-BR"/>
        </w:rPr>
      </w:pPr>
      <w:hyperlink r:id="rId1751">
        <w:r w:rsidR="00330118" w:rsidRPr="00392EAD">
          <w:rPr>
            <w:sz w:val="16"/>
            <w:lang w:val="pt-BR"/>
          </w:rPr>
          <w:t>&lt;http://www.jusbrasil.com.br/noticias/2155776/instalacao-de-</w:t>
        </w:r>
      </w:hyperlink>
      <w:r w:rsidR="00330118" w:rsidRPr="00392EAD">
        <w:rPr>
          <w:sz w:val="16"/>
          <w:lang w:val="pt-BR"/>
        </w:rPr>
        <w:t xml:space="preserve"> fosfateira-em-anitapolis-gera-polemica&gt;</w:t>
      </w:r>
      <w:r w:rsidR="00330118" w:rsidRPr="00392EAD">
        <w:rPr>
          <w:sz w:val="16"/>
          <w:lang w:val="pt-BR"/>
        </w:rPr>
        <w:t xml:space="preserve">. </w:t>
      </w:r>
      <w:r w:rsidR="00330118">
        <w:rPr>
          <w:sz w:val="16"/>
        </w:rPr>
        <w:t xml:space="preserve">Acesso em: 03 nov. 2010. BRASILMINERAL. </w:t>
      </w:r>
      <w:r w:rsidR="00330118" w:rsidRPr="00392EAD">
        <w:rPr>
          <w:sz w:val="16"/>
          <w:lang w:val="pt-BR"/>
        </w:rPr>
        <w:t xml:space="preserve">Fertilizantes: Bunge e Yara exploram jazida em Santa Catarina. São  Paulo, n.  </w:t>
      </w:r>
      <w:r w:rsidR="00330118">
        <w:rPr>
          <w:sz w:val="16"/>
        </w:rPr>
        <w:t xml:space="preserve">346,  03  abr.  2008. </w:t>
      </w:r>
      <w:r w:rsidR="00330118" w:rsidRPr="00392EAD">
        <w:rPr>
          <w:sz w:val="16"/>
          <w:lang w:val="pt-BR"/>
        </w:rPr>
        <w:t>Disponível em:</w:t>
      </w:r>
    </w:p>
    <w:p w:rsidR="00D81F69" w:rsidRPr="00392EAD" w:rsidRDefault="00D81F69">
      <w:pPr>
        <w:spacing w:before="4" w:line="312" w:lineRule="auto"/>
        <w:ind w:left="100" w:right="97"/>
        <w:jc w:val="both"/>
        <w:rPr>
          <w:sz w:val="16"/>
          <w:lang w:val="pt-BR"/>
        </w:rPr>
      </w:pPr>
      <w:hyperlink r:id="rId1752">
        <w:r w:rsidR="00330118" w:rsidRPr="00392EAD">
          <w:rPr>
            <w:sz w:val="16"/>
            <w:lang w:val="pt-BR"/>
          </w:rPr>
          <w:t>&lt;http://www.bra</w:t>
        </w:r>
        <w:r w:rsidR="00330118" w:rsidRPr="00392EAD">
          <w:rPr>
            <w:sz w:val="16"/>
            <w:lang w:val="pt-BR"/>
          </w:rPr>
          <w:t>silmineral.com.br/BM/default.asp?COD=3490&amp;busca=</w:t>
        </w:r>
      </w:hyperlink>
      <w:r w:rsidR="00330118" w:rsidRPr="00392EAD">
        <w:rPr>
          <w:sz w:val="16"/>
          <w:lang w:val="pt-BR"/>
        </w:rPr>
        <w:t xml:space="preserve"> &amp;numero=346&gt;. Acesso em: 03 nov. 2010.</w:t>
      </w:r>
    </w:p>
    <w:p w:rsidR="00D81F69" w:rsidRDefault="00330118">
      <w:pPr>
        <w:spacing w:before="1" w:line="312" w:lineRule="auto"/>
        <w:ind w:left="100" w:right="67"/>
        <w:jc w:val="both"/>
        <w:rPr>
          <w:sz w:val="16"/>
        </w:rPr>
      </w:pPr>
      <w:r w:rsidRPr="00392EAD">
        <w:rPr>
          <w:sz w:val="16"/>
          <w:lang w:val="pt-BR"/>
        </w:rPr>
        <w:t xml:space="preserve">CAMPOS, Vanessa. Instalação de fosfateira em Anitapólis, na Grande Florianópolis, enfrenta impasse na Justiça Federal. </w:t>
      </w:r>
      <w:r>
        <w:rPr>
          <w:sz w:val="16"/>
        </w:rPr>
        <w:t>In: Defensoria Pública da União, 13 out. 2010. Di</w:t>
      </w:r>
      <w:r>
        <w:rPr>
          <w:sz w:val="16"/>
        </w:rPr>
        <w:t>sponível em:</w:t>
      </w:r>
    </w:p>
    <w:p w:rsidR="00D81F69" w:rsidRPr="00392EAD" w:rsidRDefault="00D81F69">
      <w:pPr>
        <w:spacing w:before="3" w:line="312" w:lineRule="auto"/>
        <w:ind w:left="100" w:right="97"/>
        <w:jc w:val="both"/>
        <w:rPr>
          <w:sz w:val="16"/>
          <w:lang w:val="pt-BR"/>
        </w:rPr>
      </w:pPr>
      <w:hyperlink r:id="rId1753">
        <w:r w:rsidR="00330118" w:rsidRPr="00392EAD">
          <w:rPr>
            <w:sz w:val="16"/>
            <w:lang w:val="pt-BR"/>
          </w:rPr>
          <w:t>&lt;http://www.dpu.gov.br/index.php?option=com_content&amp;view=article&amp;</w:t>
        </w:r>
      </w:hyperlink>
      <w:r w:rsidR="00330118" w:rsidRPr="00392EAD">
        <w:rPr>
          <w:sz w:val="16"/>
          <w:lang w:val="pt-BR"/>
        </w:rPr>
        <w:t xml:space="preserve"> id=2656:instalacao&gt;. Acesso em: 03 nov. 2010.</w:t>
      </w:r>
    </w:p>
    <w:p w:rsidR="00D81F69" w:rsidRDefault="00330118">
      <w:pPr>
        <w:tabs>
          <w:tab w:val="left" w:pos="2559"/>
          <w:tab w:val="left" w:pos="5063"/>
        </w:tabs>
        <w:spacing w:before="1" w:line="312" w:lineRule="auto"/>
        <w:ind w:left="100" w:right="80"/>
        <w:jc w:val="both"/>
        <w:rPr>
          <w:sz w:val="16"/>
        </w:rPr>
      </w:pPr>
      <w:r w:rsidRPr="00392EAD">
        <w:rPr>
          <w:sz w:val="16"/>
          <w:lang w:val="pt-BR"/>
        </w:rPr>
        <w:t>CRBIO 3 - Conselho Regional de Biologia 3ª Reg</w:t>
      </w:r>
      <w:r w:rsidRPr="00392EAD">
        <w:rPr>
          <w:sz w:val="16"/>
          <w:lang w:val="pt-BR"/>
        </w:rPr>
        <w:t xml:space="preserve">ião – Santa Catarina e Rio Grande do Sul. TR4 mantém decisão contra fosfateira da Bunge e da Yara em Anitápolis (SC). </w:t>
      </w:r>
      <w:r>
        <w:rPr>
          <w:sz w:val="16"/>
        </w:rPr>
        <w:t>Porto Alegre, 21 jan. 2010. Disponível  e</w:t>
      </w:r>
      <w:r>
        <w:rPr>
          <w:sz w:val="16"/>
        </w:rPr>
        <w:tab/>
        <w:t>m</w:t>
      </w:r>
      <w:r>
        <w:rPr>
          <w:sz w:val="16"/>
        </w:rPr>
        <w:tab/>
        <w:t>:</w:t>
      </w:r>
    </w:p>
    <w:p w:rsidR="00D81F69" w:rsidRPr="00392EAD" w:rsidRDefault="00D81F69">
      <w:pPr>
        <w:spacing w:before="4" w:line="312" w:lineRule="auto"/>
        <w:ind w:left="100" w:right="79"/>
        <w:jc w:val="both"/>
        <w:rPr>
          <w:sz w:val="16"/>
          <w:lang w:val="pt-BR"/>
        </w:rPr>
      </w:pPr>
      <w:hyperlink r:id="rId1754">
        <w:r w:rsidR="00330118">
          <w:rPr>
            <w:sz w:val="16"/>
          </w:rPr>
          <w:t>&lt;</w:t>
        </w:r>
        <w:r w:rsidR="00330118">
          <w:rPr>
            <w:sz w:val="16"/>
          </w:rPr>
          <w:t>http://www.crbio3.org.br/noticias/index.php?id=4835&amp;idcategoria=6&gt;.</w:t>
        </w:r>
      </w:hyperlink>
      <w:r w:rsidR="00330118">
        <w:rPr>
          <w:sz w:val="16"/>
        </w:rPr>
        <w:t xml:space="preserve"> </w:t>
      </w:r>
      <w:r w:rsidR="00330118" w:rsidRPr="00392EAD">
        <w:rPr>
          <w:sz w:val="16"/>
          <w:lang w:val="pt-BR"/>
        </w:rPr>
        <w:t>Acesso em: 15 jul. 2010.</w:t>
      </w:r>
    </w:p>
    <w:p w:rsidR="00D81F69" w:rsidRDefault="00330118">
      <w:pPr>
        <w:spacing w:before="1" w:line="312" w:lineRule="auto"/>
        <w:ind w:left="100" w:right="70"/>
        <w:jc w:val="both"/>
        <w:rPr>
          <w:sz w:val="16"/>
        </w:rPr>
      </w:pPr>
      <w:r w:rsidRPr="00392EAD">
        <w:rPr>
          <w:sz w:val="16"/>
          <w:lang w:val="pt-BR"/>
        </w:rPr>
        <w:t xml:space="preserve">DINIZ, Isis Nóbile. Extração de fosfato ameaça Mata Atlântica catarinense.  </w:t>
      </w:r>
      <w:r>
        <w:rPr>
          <w:sz w:val="16"/>
        </w:rPr>
        <w:t>São  Paulo,  Época,  03  jul.  2009.  Disponível em:</w:t>
      </w:r>
    </w:p>
    <w:p w:rsidR="00D81F69" w:rsidRPr="00392EAD" w:rsidRDefault="00D81F69">
      <w:pPr>
        <w:spacing w:before="2" w:line="312" w:lineRule="auto"/>
        <w:ind w:left="100" w:right="97"/>
        <w:jc w:val="both"/>
        <w:rPr>
          <w:sz w:val="16"/>
          <w:lang w:val="pt-BR"/>
        </w:rPr>
      </w:pPr>
      <w:hyperlink r:id="rId1755">
        <w:r w:rsidR="00330118" w:rsidRPr="00392EAD">
          <w:rPr>
            <w:sz w:val="16"/>
            <w:lang w:val="pt-BR"/>
          </w:rPr>
          <w:t>&lt;http://revistaepoca.globo.com/Revista/Epoca/0,,EMI80423-16270,00-</w:t>
        </w:r>
      </w:hyperlink>
      <w:r w:rsidR="00330118" w:rsidRPr="00392EAD">
        <w:rPr>
          <w:sz w:val="16"/>
          <w:lang w:val="pt-BR"/>
        </w:rPr>
        <w:t xml:space="preserve"> EXTRACAO+DE+FOSFATO+AMEACA+MATA+ATLANTICA+CATAR</w:t>
      </w:r>
    </w:p>
    <w:p w:rsidR="00D81F69" w:rsidRPr="00392EAD" w:rsidRDefault="00330118">
      <w:pPr>
        <w:spacing w:before="2"/>
        <w:ind w:left="100"/>
        <w:rPr>
          <w:sz w:val="16"/>
          <w:lang w:val="pt-BR"/>
        </w:rPr>
      </w:pPr>
      <w:r w:rsidRPr="00392EAD">
        <w:rPr>
          <w:sz w:val="16"/>
          <w:lang w:val="pt-BR"/>
        </w:rPr>
        <w:t>INENSE.html&gt;. Acesso em: 14 jul. 2010.</w:t>
      </w:r>
    </w:p>
    <w:p w:rsidR="00D81F69" w:rsidRPr="00392EAD" w:rsidRDefault="00330118">
      <w:pPr>
        <w:spacing w:before="56" w:line="312" w:lineRule="auto"/>
        <w:ind w:left="100" w:right="38"/>
        <w:jc w:val="both"/>
        <w:rPr>
          <w:sz w:val="16"/>
          <w:lang w:val="pt-BR"/>
        </w:rPr>
      </w:pPr>
      <w:r w:rsidRPr="00392EAD">
        <w:rPr>
          <w:sz w:val="16"/>
          <w:lang w:val="pt-BR"/>
        </w:rPr>
        <w:t>IBGE, Instituto Brasileiro de Geografia e Estat</w:t>
      </w:r>
      <w:r w:rsidRPr="00392EAD">
        <w:rPr>
          <w:sz w:val="16"/>
          <w:lang w:val="pt-BR"/>
        </w:rPr>
        <w:t xml:space="preserve">ística. Anitápolis (SC). In: IBGE Cidades, 2010. Disponível em: </w:t>
      </w:r>
    </w:p>
    <w:p w:rsidR="00D81F69" w:rsidRPr="00392EAD" w:rsidRDefault="00D81F69">
      <w:pPr>
        <w:spacing w:before="1"/>
        <w:ind w:left="100"/>
        <w:rPr>
          <w:sz w:val="16"/>
          <w:lang w:val="pt-BR"/>
        </w:rPr>
      </w:pPr>
      <w:hyperlink r:id="rId1756">
        <w:r w:rsidR="00330118" w:rsidRPr="00392EAD">
          <w:rPr>
            <w:sz w:val="16"/>
            <w:lang w:val="pt-BR"/>
          </w:rPr>
          <w:t>&lt;http://www.ibge.gov.br/cidadesat/xtras/perfil.php?codmun=420110&amp;r</w:t>
        </w:r>
      </w:hyperlink>
    </w:p>
    <w:p w:rsidR="00D81F69" w:rsidRPr="00392EAD" w:rsidRDefault="00330118">
      <w:pPr>
        <w:spacing w:before="56"/>
        <w:ind w:left="100"/>
        <w:rPr>
          <w:sz w:val="16"/>
          <w:lang w:val="pt-BR"/>
        </w:rPr>
      </w:pPr>
      <w:r w:rsidRPr="00392EAD">
        <w:rPr>
          <w:sz w:val="16"/>
          <w:lang w:val="pt-BR"/>
        </w:rPr>
        <w:t>=2&gt;. Acesso em: 04 nov. 2010.</w:t>
      </w:r>
    </w:p>
    <w:p w:rsidR="00D81F69" w:rsidRPr="00392EAD" w:rsidRDefault="00330118">
      <w:pPr>
        <w:spacing w:before="56"/>
        <w:ind w:left="100"/>
        <w:rPr>
          <w:sz w:val="16"/>
          <w:lang w:val="pt-BR"/>
        </w:rPr>
      </w:pPr>
      <w:r w:rsidRPr="00392EAD">
        <w:rPr>
          <w:sz w:val="16"/>
          <w:lang w:val="pt-BR"/>
        </w:rPr>
        <w:t>MAPA DA</w:t>
      </w:r>
      <w:r w:rsidRPr="00392EAD">
        <w:rPr>
          <w:sz w:val="16"/>
          <w:lang w:val="pt-BR"/>
        </w:rPr>
        <w:t xml:space="preserve"> INJUSTIÇA AMBIENTAL E SAÚDE NO BRASIL, 2009.</w:t>
      </w:r>
    </w:p>
    <w:p w:rsidR="00D81F69" w:rsidRDefault="00330118">
      <w:pPr>
        <w:spacing w:before="56" w:line="312" w:lineRule="auto"/>
        <w:ind w:left="100" w:right="93"/>
        <w:jc w:val="both"/>
        <w:rPr>
          <w:sz w:val="16"/>
        </w:rPr>
      </w:pPr>
      <w:r w:rsidRPr="00392EAD">
        <w:rPr>
          <w:sz w:val="16"/>
          <w:lang w:val="pt-BR"/>
        </w:rPr>
        <w:t xml:space="preserve">Projeto de mineração de Fosfato gera insegurança sobre possível contaminação dos recursos hídricos e do solo em região vocacionada ao turismo e marcada pela agricultura orgânica e de subsistência familiar. </w:t>
      </w:r>
      <w:r>
        <w:rPr>
          <w:sz w:val="16"/>
        </w:rPr>
        <w:t>Base</w:t>
      </w:r>
      <w:r>
        <w:rPr>
          <w:sz w:val="16"/>
        </w:rPr>
        <w:t xml:space="preserve"> de dados, 15 dez. 2009.</w:t>
      </w:r>
    </w:p>
    <w:p w:rsidR="00D81F69" w:rsidRDefault="00330118">
      <w:pPr>
        <w:tabs>
          <w:tab w:val="left" w:pos="470"/>
          <w:tab w:val="left" w:pos="760"/>
          <w:tab w:val="left" w:pos="1095"/>
          <w:tab w:val="left" w:pos="1439"/>
          <w:tab w:val="left" w:pos="1782"/>
          <w:tab w:val="left" w:pos="2126"/>
          <w:tab w:val="left" w:pos="2426"/>
          <w:tab w:val="left" w:pos="2760"/>
          <w:tab w:val="left" w:pos="3104"/>
          <w:tab w:val="left" w:pos="4331"/>
          <w:tab w:val="left" w:pos="4674"/>
          <w:tab w:val="left" w:pos="5063"/>
        </w:tabs>
        <w:spacing w:before="70"/>
        <w:ind w:left="100"/>
        <w:rPr>
          <w:sz w:val="16"/>
        </w:rPr>
      </w:pPr>
      <w:r>
        <w:br w:type="column"/>
      </w:r>
      <w:r>
        <w:rPr>
          <w:sz w:val="16"/>
        </w:rPr>
        <w:lastRenderedPageBreak/>
        <w:t>D</w:t>
      </w:r>
      <w:r>
        <w:rPr>
          <w:sz w:val="16"/>
        </w:rPr>
        <w:tab/>
        <w:t>i</w:t>
      </w:r>
      <w:r>
        <w:rPr>
          <w:sz w:val="16"/>
        </w:rPr>
        <w:tab/>
        <w:t>s</w:t>
      </w:r>
      <w:r>
        <w:rPr>
          <w:sz w:val="16"/>
        </w:rPr>
        <w:tab/>
        <w:t>p</w:t>
      </w:r>
      <w:r>
        <w:rPr>
          <w:sz w:val="16"/>
        </w:rPr>
        <w:tab/>
        <w:t>o</w:t>
      </w:r>
      <w:r>
        <w:rPr>
          <w:sz w:val="16"/>
        </w:rPr>
        <w:tab/>
        <w:t>n</w:t>
      </w:r>
      <w:r>
        <w:rPr>
          <w:sz w:val="16"/>
        </w:rPr>
        <w:tab/>
        <w:t>í</w:t>
      </w:r>
      <w:r>
        <w:rPr>
          <w:sz w:val="16"/>
        </w:rPr>
        <w:tab/>
        <w:t>v</w:t>
      </w:r>
      <w:r>
        <w:rPr>
          <w:sz w:val="16"/>
        </w:rPr>
        <w:tab/>
        <w:t>e</w:t>
      </w:r>
      <w:r>
        <w:rPr>
          <w:sz w:val="16"/>
        </w:rPr>
        <w:tab/>
        <w:t>l</w:t>
      </w:r>
      <w:r>
        <w:rPr>
          <w:sz w:val="16"/>
        </w:rPr>
        <w:tab/>
        <w:t>e</w:t>
      </w:r>
      <w:r>
        <w:rPr>
          <w:sz w:val="16"/>
        </w:rPr>
        <w:tab/>
        <w:t>m</w:t>
      </w:r>
      <w:r>
        <w:rPr>
          <w:sz w:val="16"/>
        </w:rPr>
        <w:tab/>
        <w:t>:</w:t>
      </w:r>
    </w:p>
    <w:p w:rsidR="00D81F69" w:rsidRDefault="00D81F69">
      <w:pPr>
        <w:spacing w:before="56" w:line="312" w:lineRule="auto"/>
        <w:ind w:left="100" w:right="216"/>
        <w:jc w:val="both"/>
        <w:rPr>
          <w:sz w:val="16"/>
        </w:rPr>
      </w:pPr>
      <w:hyperlink r:id="rId1757">
        <w:r w:rsidR="00330118">
          <w:rPr>
            <w:sz w:val="16"/>
          </w:rPr>
          <w:t>&lt;http://www.conflitoambiental.icict.fiocruz.br/index.php?pag=ficha&amp;co</w:t>
        </w:r>
      </w:hyperlink>
      <w:r w:rsidR="00330118">
        <w:rPr>
          <w:sz w:val="16"/>
        </w:rPr>
        <w:t xml:space="preserve"> d=204&gt;. Acesso em: 03 nov. 2010.</w:t>
      </w:r>
    </w:p>
    <w:p w:rsidR="00D81F69" w:rsidRDefault="00330118">
      <w:pPr>
        <w:spacing w:before="1" w:line="312" w:lineRule="auto"/>
        <w:ind w:left="100" w:right="163"/>
        <w:jc w:val="both"/>
        <w:rPr>
          <w:sz w:val="16"/>
        </w:rPr>
      </w:pPr>
      <w:r>
        <w:rPr>
          <w:spacing w:val="5"/>
          <w:sz w:val="16"/>
        </w:rPr>
        <w:t xml:space="preserve">NUNOMURA, Eduardo. </w:t>
      </w:r>
      <w:r>
        <w:rPr>
          <w:spacing w:val="3"/>
          <w:sz w:val="16"/>
        </w:rPr>
        <w:t xml:space="preserve">Mina vira alvo </w:t>
      </w:r>
      <w:r>
        <w:rPr>
          <w:spacing w:val="2"/>
          <w:sz w:val="16"/>
        </w:rPr>
        <w:t xml:space="preserve">de </w:t>
      </w:r>
      <w:r>
        <w:rPr>
          <w:spacing w:val="5"/>
          <w:sz w:val="16"/>
        </w:rPr>
        <w:t xml:space="preserve">protestos </w:t>
      </w:r>
      <w:r>
        <w:rPr>
          <w:spacing w:val="2"/>
          <w:sz w:val="16"/>
        </w:rPr>
        <w:t xml:space="preserve">em </w:t>
      </w:r>
      <w:r>
        <w:rPr>
          <w:spacing w:val="3"/>
          <w:sz w:val="16"/>
        </w:rPr>
        <w:t xml:space="preserve">SC. </w:t>
      </w:r>
      <w:r>
        <w:rPr>
          <w:spacing w:val="5"/>
          <w:sz w:val="16"/>
        </w:rPr>
        <w:t xml:space="preserve">In: </w:t>
      </w:r>
      <w:r>
        <w:rPr>
          <w:spacing w:val="27"/>
          <w:sz w:val="16"/>
        </w:rPr>
        <w:t xml:space="preserve">Estadão.com.br,   </w:t>
      </w:r>
      <w:r>
        <w:rPr>
          <w:spacing w:val="15"/>
          <w:sz w:val="16"/>
        </w:rPr>
        <w:t xml:space="preserve">20    </w:t>
      </w:r>
      <w:r>
        <w:rPr>
          <w:spacing w:val="22"/>
          <w:sz w:val="16"/>
        </w:rPr>
        <w:t xml:space="preserve">set.   </w:t>
      </w:r>
      <w:r>
        <w:rPr>
          <w:spacing w:val="23"/>
          <w:sz w:val="16"/>
        </w:rPr>
        <w:t xml:space="preserve">2009.   </w:t>
      </w:r>
      <w:r>
        <w:rPr>
          <w:spacing w:val="26"/>
          <w:sz w:val="16"/>
        </w:rPr>
        <w:t>Disponível</w:t>
      </w:r>
      <w:r>
        <w:rPr>
          <w:spacing w:val="95"/>
          <w:sz w:val="16"/>
        </w:rPr>
        <w:t xml:space="preserve"> </w:t>
      </w:r>
      <w:r>
        <w:rPr>
          <w:spacing w:val="20"/>
          <w:sz w:val="16"/>
        </w:rPr>
        <w:t>em:</w:t>
      </w:r>
      <w:r>
        <w:rPr>
          <w:spacing w:val="-13"/>
          <w:sz w:val="16"/>
        </w:rPr>
        <w:t xml:space="preserve"> </w:t>
      </w:r>
    </w:p>
    <w:p w:rsidR="00D81F69" w:rsidRDefault="00D81F69">
      <w:pPr>
        <w:spacing w:before="2"/>
        <w:ind w:left="100"/>
        <w:jc w:val="both"/>
        <w:rPr>
          <w:sz w:val="16"/>
        </w:rPr>
      </w:pPr>
      <w:hyperlink r:id="rId1758">
        <w:r w:rsidR="00330118">
          <w:rPr>
            <w:sz w:val="16"/>
          </w:rPr>
          <w:t>&lt;http://www.estadao.com.br/estadaodehoje/20090920/not_imp438002</w:t>
        </w:r>
      </w:hyperlink>
    </w:p>
    <w:p w:rsidR="00D81F69" w:rsidRDefault="00330118">
      <w:pPr>
        <w:spacing w:before="56"/>
        <w:ind w:left="100"/>
        <w:jc w:val="both"/>
        <w:rPr>
          <w:sz w:val="16"/>
        </w:rPr>
      </w:pPr>
      <w:r>
        <w:rPr>
          <w:sz w:val="16"/>
        </w:rPr>
        <w:t>,0.php&gt;. Acesso em: 13 jul. 2010.</w:t>
      </w:r>
    </w:p>
    <w:p w:rsidR="00D81F69" w:rsidRDefault="00330118">
      <w:pPr>
        <w:spacing w:before="56"/>
        <w:ind w:left="100"/>
        <w:jc w:val="both"/>
        <w:rPr>
          <w:sz w:val="16"/>
        </w:rPr>
      </w:pPr>
      <w:r>
        <w:rPr>
          <w:sz w:val="16"/>
        </w:rPr>
        <w:t>PREFEITURA MUNICIPAL DE ANITÁPOLIS. Características físicas,</w:t>
      </w:r>
    </w:p>
    <w:p w:rsidR="00D81F69" w:rsidRDefault="00330118">
      <w:pPr>
        <w:tabs>
          <w:tab w:val="left" w:pos="1785"/>
          <w:tab w:val="left" w:pos="4548"/>
        </w:tabs>
        <w:spacing w:before="56"/>
        <w:ind w:left="100"/>
        <w:jc w:val="both"/>
        <w:rPr>
          <w:sz w:val="16"/>
        </w:rPr>
      </w:pPr>
      <w:r>
        <w:rPr>
          <w:sz w:val="16"/>
        </w:rPr>
        <w:t xml:space="preserve">2   0   1  </w:t>
      </w:r>
      <w:r>
        <w:rPr>
          <w:spacing w:val="35"/>
          <w:sz w:val="16"/>
        </w:rPr>
        <w:t xml:space="preserve"> </w:t>
      </w:r>
      <w:r>
        <w:rPr>
          <w:sz w:val="16"/>
        </w:rPr>
        <w:t xml:space="preserve">0  </w:t>
      </w:r>
      <w:r>
        <w:rPr>
          <w:spacing w:val="10"/>
          <w:sz w:val="16"/>
        </w:rPr>
        <w:t xml:space="preserve"> </w:t>
      </w:r>
      <w:r>
        <w:rPr>
          <w:sz w:val="16"/>
        </w:rPr>
        <w:t>.</w:t>
      </w:r>
      <w:r>
        <w:rPr>
          <w:sz w:val="16"/>
        </w:rPr>
        <w:tab/>
        <w:t xml:space="preserve">D  </w:t>
      </w:r>
      <w:r>
        <w:rPr>
          <w:spacing w:val="10"/>
          <w:sz w:val="16"/>
        </w:rPr>
        <w:t xml:space="preserve"> </w:t>
      </w:r>
      <w:r>
        <w:rPr>
          <w:sz w:val="16"/>
        </w:rPr>
        <w:t xml:space="preserve">i  </w:t>
      </w:r>
      <w:r>
        <w:rPr>
          <w:spacing w:val="10"/>
          <w:sz w:val="16"/>
        </w:rPr>
        <w:t xml:space="preserve"> </w:t>
      </w:r>
      <w:r>
        <w:rPr>
          <w:sz w:val="16"/>
        </w:rPr>
        <w:t xml:space="preserve">s  </w:t>
      </w:r>
      <w:r>
        <w:rPr>
          <w:spacing w:val="10"/>
          <w:sz w:val="16"/>
        </w:rPr>
        <w:t xml:space="preserve"> </w:t>
      </w:r>
      <w:r>
        <w:rPr>
          <w:sz w:val="16"/>
        </w:rPr>
        <w:t xml:space="preserve">p  </w:t>
      </w:r>
      <w:r>
        <w:rPr>
          <w:spacing w:val="10"/>
          <w:sz w:val="16"/>
        </w:rPr>
        <w:t xml:space="preserve"> </w:t>
      </w:r>
      <w:r>
        <w:rPr>
          <w:sz w:val="16"/>
        </w:rPr>
        <w:t xml:space="preserve">o  </w:t>
      </w:r>
      <w:r>
        <w:rPr>
          <w:spacing w:val="10"/>
          <w:sz w:val="16"/>
        </w:rPr>
        <w:t xml:space="preserve"> </w:t>
      </w:r>
      <w:r>
        <w:rPr>
          <w:sz w:val="16"/>
        </w:rPr>
        <w:t xml:space="preserve">n  </w:t>
      </w:r>
      <w:r>
        <w:rPr>
          <w:spacing w:val="10"/>
          <w:sz w:val="16"/>
        </w:rPr>
        <w:t xml:space="preserve"> </w:t>
      </w:r>
      <w:r>
        <w:rPr>
          <w:sz w:val="16"/>
        </w:rPr>
        <w:t xml:space="preserve">í  </w:t>
      </w:r>
      <w:r>
        <w:rPr>
          <w:spacing w:val="10"/>
          <w:sz w:val="16"/>
        </w:rPr>
        <w:t xml:space="preserve"> </w:t>
      </w:r>
      <w:r>
        <w:rPr>
          <w:sz w:val="16"/>
        </w:rPr>
        <w:t xml:space="preserve">v  </w:t>
      </w:r>
      <w:r>
        <w:rPr>
          <w:spacing w:val="10"/>
          <w:sz w:val="16"/>
        </w:rPr>
        <w:t xml:space="preserve"> </w:t>
      </w:r>
      <w:r>
        <w:rPr>
          <w:sz w:val="16"/>
        </w:rPr>
        <w:t xml:space="preserve">e  </w:t>
      </w:r>
      <w:r>
        <w:rPr>
          <w:spacing w:val="10"/>
          <w:sz w:val="16"/>
        </w:rPr>
        <w:t xml:space="preserve"> </w:t>
      </w:r>
      <w:r>
        <w:rPr>
          <w:sz w:val="16"/>
        </w:rPr>
        <w:t>l</w:t>
      </w:r>
      <w:r>
        <w:rPr>
          <w:sz w:val="16"/>
        </w:rPr>
        <w:tab/>
        <w:t xml:space="preserve">e   m  </w:t>
      </w:r>
      <w:r>
        <w:rPr>
          <w:spacing w:val="22"/>
          <w:sz w:val="16"/>
        </w:rPr>
        <w:t xml:space="preserve"> </w:t>
      </w:r>
      <w:r>
        <w:rPr>
          <w:sz w:val="16"/>
        </w:rPr>
        <w:t>:</w:t>
      </w:r>
    </w:p>
    <w:p w:rsidR="00D81F69" w:rsidRDefault="00D81F69">
      <w:pPr>
        <w:spacing w:before="56" w:line="312" w:lineRule="auto"/>
        <w:ind w:left="100" w:right="217"/>
        <w:jc w:val="both"/>
        <w:rPr>
          <w:sz w:val="16"/>
        </w:rPr>
      </w:pPr>
      <w:hyperlink r:id="rId1759">
        <w:r w:rsidR="00330118">
          <w:rPr>
            <w:sz w:val="16"/>
          </w:rPr>
          <w:t>&lt;htt</w:t>
        </w:r>
        <w:r w:rsidR="00330118">
          <w:rPr>
            <w:sz w:val="16"/>
          </w:rPr>
          <w:t>p://www.anitapolis.sc.gov.br/conteudo/?item=16628&amp;fa=892&amp;cd=7</w:t>
        </w:r>
      </w:hyperlink>
      <w:r w:rsidR="00330118">
        <w:rPr>
          <w:sz w:val="16"/>
        </w:rPr>
        <w:t xml:space="preserve"> 486&gt;. Acesso em: 03 nov. 2010.</w:t>
      </w:r>
    </w:p>
    <w:p w:rsidR="00D81F69" w:rsidRDefault="00330118">
      <w:pPr>
        <w:spacing w:before="2" w:line="312" w:lineRule="auto"/>
        <w:ind w:left="100" w:right="188"/>
        <w:jc w:val="both"/>
        <w:rPr>
          <w:sz w:val="16"/>
        </w:rPr>
      </w:pPr>
      <w:r>
        <w:rPr>
          <w:sz w:val="16"/>
        </w:rPr>
        <w:t>SCHEIDT, Paula. Mina de fosfato cria polêmica na Serra Catarinense. Carbono Brasil, Florianópolis, 17 set. 2009. Disponível em:</w:t>
      </w:r>
    </w:p>
    <w:p w:rsidR="00D81F69" w:rsidRDefault="00D81F69">
      <w:pPr>
        <w:spacing w:before="1" w:line="312" w:lineRule="auto"/>
        <w:ind w:left="100" w:right="216"/>
        <w:jc w:val="both"/>
        <w:rPr>
          <w:sz w:val="16"/>
        </w:rPr>
      </w:pPr>
      <w:hyperlink r:id="rId1760">
        <w:r w:rsidR="00330118">
          <w:rPr>
            <w:sz w:val="16"/>
          </w:rPr>
          <w:t>&lt;http://www.institutocarbonobrasil.org.br/reportagens_carbonobrasil/n</w:t>
        </w:r>
      </w:hyperlink>
      <w:r w:rsidR="00330118">
        <w:rPr>
          <w:sz w:val="16"/>
        </w:rPr>
        <w:t xml:space="preserve"> oticia=723148&gt;. Acesso em: 05 maio 2011.</w:t>
      </w:r>
    </w:p>
    <w:p w:rsidR="00D81F69" w:rsidRDefault="00330118">
      <w:pPr>
        <w:spacing w:before="2" w:line="312" w:lineRule="auto"/>
        <w:ind w:left="100" w:right="199"/>
        <w:jc w:val="both"/>
        <w:rPr>
          <w:sz w:val="16"/>
        </w:rPr>
      </w:pPr>
      <w:r>
        <w:rPr>
          <w:sz w:val="16"/>
        </w:rPr>
        <w:t>STYLO FM 102.1. Tribunal Regional Federal da 4ª Região mantém decisão contra a fosfateira de A</w:t>
      </w:r>
      <w:r>
        <w:rPr>
          <w:sz w:val="16"/>
        </w:rPr>
        <w:t>nitápolis, 22 abr. 2010. Disponível em:</w:t>
      </w:r>
    </w:p>
    <w:p w:rsidR="00D81F69" w:rsidRDefault="00D81F69">
      <w:pPr>
        <w:spacing w:before="2" w:line="312" w:lineRule="auto"/>
        <w:ind w:left="100" w:right="192"/>
        <w:jc w:val="both"/>
        <w:rPr>
          <w:sz w:val="16"/>
        </w:rPr>
      </w:pPr>
      <w:hyperlink r:id="rId1761">
        <w:r w:rsidR="00330118">
          <w:rPr>
            <w:sz w:val="16"/>
          </w:rPr>
          <w:t>&lt;http://www.stylofm.com.br/noticias-da-stylo/tribunal-regional-federal-</w:t>
        </w:r>
      </w:hyperlink>
      <w:r w:rsidR="00330118">
        <w:rPr>
          <w:sz w:val="16"/>
        </w:rPr>
        <w:t xml:space="preserve"> da-4a-regiao-mantem-decisao-contra-a-fosfateira-de-anitapolis&gt;. Acesso em: 14 jul. 2010.</w:t>
      </w:r>
    </w:p>
    <w:p w:rsidR="00D81F69" w:rsidRDefault="00330118">
      <w:pPr>
        <w:spacing w:before="2" w:line="312" w:lineRule="auto"/>
        <w:ind w:left="100" w:right="153"/>
        <w:jc w:val="both"/>
        <w:rPr>
          <w:sz w:val="16"/>
        </w:rPr>
      </w:pPr>
      <w:r>
        <w:rPr>
          <w:sz w:val="16"/>
        </w:rPr>
        <w:t xml:space="preserve">VALOR ECONÔMICO. Jazida de fosfato causa atrito. In: Avicultura </w:t>
      </w:r>
      <w:r>
        <w:rPr>
          <w:spacing w:val="37"/>
          <w:sz w:val="16"/>
        </w:rPr>
        <w:t xml:space="preserve">Industrial,   </w:t>
      </w:r>
      <w:r>
        <w:rPr>
          <w:spacing w:val="20"/>
          <w:sz w:val="16"/>
        </w:rPr>
        <w:t xml:space="preserve">20    </w:t>
      </w:r>
      <w:r>
        <w:rPr>
          <w:spacing w:val="30"/>
          <w:sz w:val="16"/>
        </w:rPr>
        <w:t xml:space="preserve">jan. </w:t>
      </w:r>
      <w:r>
        <w:rPr>
          <w:spacing w:val="105"/>
          <w:sz w:val="16"/>
        </w:rPr>
        <w:t xml:space="preserve"> </w:t>
      </w:r>
      <w:r>
        <w:rPr>
          <w:spacing w:val="32"/>
          <w:sz w:val="16"/>
        </w:rPr>
        <w:t xml:space="preserve">2010.   </w:t>
      </w:r>
      <w:r>
        <w:rPr>
          <w:spacing w:val="36"/>
          <w:sz w:val="16"/>
        </w:rPr>
        <w:t xml:space="preserve">Disponível  </w:t>
      </w:r>
      <w:r>
        <w:rPr>
          <w:spacing w:val="35"/>
          <w:sz w:val="16"/>
        </w:rPr>
        <w:t xml:space="preserve"> </w:t>
      </w:r>
      <w:r>
        <w:rPr>
          <w:spacing w:val="27"/>
          <w:sz w:val="16"/>
        </w:rPr>
        <w:t>em:</w:t>
      </w:r>
      <w:r>
        <w:rPr>
          <w:spacing w:val="-1"/>
          <w:sz w:val="16"/>
        </w:rPr>
        <w:t xml:space="preserve"> </w:t>
      </w:r>
    </w:p>
    <w:p w:rsidR="00D81F69" w:rsidRDefault="00D81F69">
      <w:pPr>
        <w:spacing w:before="2" w:line="312" w:lineRule="auto"/>
        <w:ind w:left="100" w:right="191"/>
        <w:jc w:val="both"/>
        <w:rPr>
          <w:sz w:val="16"/>
        </w:rPr>
      </w:pPr>
      <w:hyperlink r:id="rId1762">
        <w:r w:rsidR="00330118">
          <w:rPr>
            <w:sz w:val="16"/>
          </w:rPr>
          <w:t>&lt;http://www.aviculturaindustrial.com.br/PortalGessulli/WebSite/Noticia</w:t>
        </w:r>
      </w:hyperlink>
      <w:r w:rsidR="00330118">
        <w:rPr>
          <w:sz w:val="16"/>
        </w:rPr>
        <w:t xml:space="preserve"> s / j a z i d a - d e - f o s f a t o - c a u s a - atrito,20100120084657_B_181,20081118093828_H_824.aspx&gt;.</w:t>
      </w:r>
    </w:p>
    <w:p w:rsidR="00D81F69" w:rsidRDefault="00330118">
      <w:pPr>
        <w:spacing w:before="2"/>
        <w:ind w:left="100"/>
        <w:jc w:val="both"/>
        <w:rPr>
          <w:sz w:val="16"/>
        </w:rPr>
      </w:pPr>
      <w:r>
        <w:rPr>
          <w:sz w:val="16"/>
        </w:rPr>
        <w:t>Acesso em: 13 jul. 2010.</w:t>
      </w:r>
    </w:p>
    <w:sectPr w:rsidR="00D81F69" w:rsidSect="00D81F69">
      <w:pgSz w:w="11900" w:h="16840"/>
      <w:pgMar w:top="740" w:right="500" w:bottom="720" w:left="620" w:header="0" w:footer="402" w:gutter="0"/>
      <w:cols w:num="2" w:space="720" w:equalWidth="0">
        <w:col w:w="5191" w:space="279"/>
        <w:col w:w="531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0118" w:rsidRDefault="00330118" w:rsidP="00D81F69">
      <w:r>
        <w:separator/>
      </w:r>
    </w:p>
  </w:endnote>
  <w:endnote w:type="continuationSeparator" w:id="1">
    <w:p w:rsidR="00330118" w:rsidRDefault="00330118" w:rsidP="00D81F6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F69" w:rsidRDefault="00D81F69">
    <w:pPr>
      <w:pStyle w:val="Corpodetexto"/>
      <w:spacing w:line="14" w:lineRule="auto"/>
      <w:ind w:left="0"/>
      <w:jc w:val="left"/>
      <w:rPr>
        <w:sz w:val="20"/>
      </w:rPr>
    </w:pPr>
    <w:r w:rsidRPr="00D81F69">
      <w:pict>
        <v:shapetype id="_x0000_t202" coordsize="21600,21600" o:spt="202" path="m,l,21600r21600,l21600,xe">
          <v:stroke joinstyle="miter"/>
          <v:path gradientshapeok="t" o:connecttype="rect"/>
        </v:shapetype>
        <v:shape id="_x0000_s2052" type="#_x0000_t202" style="position:absolute;margin-left:292.85pt;margin-top:780.6pt;width:9.55pt;height:13.1pt;z-index:-358624;mso-position-horizontal-relative:page;mso-position-vertical-relative:page" filled="f" stroked="f">
          <v:textbox inset="0,0,0,0">
            <w:txbxContent>
              <w:p w:rsidR="00D81F69" w:rsidRDefault="00D81F69">
                <w:pPr>
                  <w:spacing w:line="245" w:lineRule="exact"/>
                  <w:ind w:left="40"/>
                  <w:rPr>
                    <w:rFonts w:ascii="Calibri"/>
                  </w:rPr>
                </w:pPr>
                <w:r>
                  <w:fldChar w:fldCharType="begin"/>
                </w:r>
                <w:r w:rsidR="00330118">
                  <w:rPr>
                    <w:rFonts w:ascii="Calibri"/>
                  </w:rPr>
                  <w:instrText xml:space="preserve"> PAGE  \* ROMAN </w:instrText>
                </w:r>
                <w:r>
                  <w:fldChar w:fldCharType="separate"/>
                </w:r>
                <w:r w:rsidR="00392EAD">
                  <w:rPr>
                    <w:rFonts w:ascii="Calibri"/>
                    <w:noProof/>
                  </w:rPr>
                  <w:t>II</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F69" w:rsidRDefault="00D81F69">
    <w:pPr>
      <w:pStyle w:val="Corpodetexto"/>
      <w:spacing w:line="14" w:lineRule="auto"/>
      <w:ind w:left="0"/>
      <w:jc w:val="left"/>
      <w:rPr>
        <w:sz w:val="20"/>
      </w:rPr>
    </w:pPr>
    <w:r w:rsidRPr="00D81F69">
      <w:pict>
        <v:shapetype id="_x0000_t202" coordsize="21600,21600" o:spt="202" path="m,l,21600r21600,l21600,xe">
          <v:stroke joinstyle="miter"/>
          <v:path gradientshapeok="t" o:connecttype="rect"/>
        </v:shapetype>
        <v:shape id="_x0000_s2051" type="#_x0000_t202" style="position:absolute;margin-left:291.15pt;margin-top:780.7pt;width:13.05pt;height:13.05pt;z-index:-358600;mso-position-horizontal-relative:page;mso-position-vertical-relative:page" filled="f" stroked="f">
          <v:textbox inset="0,0,0,0">
            <w:txbxContent>
              <w:p w:rsidR="00D81F69" w:rsidRDefault="00D81F69">
                <w:pPr>
                  <w:spacing w:line="245" w:lineRule="exact"/>
                  <w:ind w:left="40"/>
                  <w:rPr>
                    <w:rFonts w:ascii="Calibri"/>
                  </w:rPr>
                </w:pPr>
                <w:r>
                  <w:fldChar w:fldCharType="begin"/>
                </w:r>
                <w:r w:rsidR="00330118">
                  <w:rPr>
                    <w:rFonts w:ascii="Calibri"/>
                  </w:rPr>
                  <w:instrText xml:space="preserve"> PAGE  \* ROMAN </w:instrText>
                </w:r>
                <w:r>
                  <w:fldChar w:fldCharType="separate"/>
                </w:r>
                <w:r w:rsidR="00392EAD">
                  <w:rPr>
                    <w:rFonts w:ascii="Calibri"/>
                    <w:noProof/>
                  </w:rPr>
                  <w:t>VI</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F69" w:rsidRDefault="00D81F69">
    <w:pPr>
      <w:pStyle w:val="Corpodetexto"/>
      <w:spacing w:line="14" w:lineRule="auto"/>
      <w:ind w:left="0"/>
      <w:jc w:val="left"/>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F69" w:rsidRDefault="00D81F69">
    <w:pPr>
      <w:pStyle w:val="Corpodetexto"/>
      <w:spacing w:line="14" w:lineRule="auto"/>
      <w:ind w:left="0"/>
      <w:jc w:val="left"/>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F69" w:rsidRDefault="00D81F69">
    <w:pPr>
      <w:pStyle w:val="Corpodetexto"/>
      <w:spacing w:line="14" w:lineRule="auto"/>
      <w:ind w:left="0"/>
      <w:jc w:val="left"/>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F69" w:rsidRDefault="00D81F69">
    <w:pPr>
      <w:pStyle w:val="Corpodetexto"/>
      <w:spacing w:line="14" w:lineRule="auto"/>
      <w:ind w:left="0"/>
      <w:jc w:val="left"/>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F69" w:rsidRDefault="00D81F69">
    <w:pPr>
      <w:pStyle w:val="Corpodetexto"/>
      <w:spacing w:line="14" w:lineRule="auto"/>
      <w:ind w:left="0"/>
      <w:jc w:val="left"/>
      <w:rPr>
        <w:sz w:val="9"/>
      </w:rPr>
    </w:pPr>
    <w:r w:rsidRPr="00D81F69">
      <w:pict>
        <v:shapetype id="_x0000_t202" coordsize="21600,21600" o:spt="202" path="m,l,21600r21600,l21600,xe">
          <v:stroke joinstyle="miter"/>
          <v:path gradientshapeok="t" o:connecttype="rect"/>
        </v:shapetype>
        <v:shape id="_x0000_s2050" type="#_x0000_t202" style="position:absolute;margin-left:291.05pt;margin-top:804.8pt;width:13.1pt;height:10.95pt;z-index:-358576;mso-position-horizontal-relative:page;mso-position-vertical-relative:page" filled="f" stroked="f">
          <v:textbox inset="0,0,0,0">
            <w:txbxContent>
              <w:p w:rsidR="00D81F69" w:rsidRDefault="00D81F69">
                <w:pPr>
                  <w:spacing w:before="14"/>
                  <w:ind w:left="40"/>
                  <w:rPr>
                    <w:sz w:val="16"/>
                  </w:rPr>
                </w:pPr>
                <w:r>
                  <w:fldChar w:fldCharType="begin"/>
                </w:r>
                <w:r w:rsidR="00330118">
                  <w:rPr>
                    <w:sz w:val="16"/>
                  </w:rPr>
                  <w:instrText xml:space="preserve"> PAGE </w:instrText>
                </w:r>
                <w:r>
                  <w:fldChar w:fldCharType="separate"/>
                </w:r>
                <w:r w:rsidR="00392EAD">
                  <w:rPr>
                    <w:noProof/>
                    <w:sz w:val="16"/>
                  </w:rPr>
                  <w:t>26</w:t>
                </w:r>
                <w: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F69" w:rsidRDefault="00D81F69">
    <w:pPr>
      <w:pStyle w:val="Corpodetexto"/>
      <w:spacing w:line="14" w:lineRule="auto"/>
      <w:ind w:left="0"/>
      <w:jc w:val="left"/>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F69" w:rsidRDefault="00D81F69">
    <w:pPr>
      <w:pStyle w:val="Corpodetexto"/>
      <w:spacing w:line="14" w:lineRule="auto"/>
      <w:ind w:left="0"/>
      <w:jc w:val="left"/>
      <w:rPr>
        <w:sz w:val="8"/>
      </w:rPr>
    </w:pPr>
    <w:r w:rsidRPr="00D81F69">
      <w:pict>
        <v:shapetype id="_x0000_t202" coordsize="21600,21600" o:spt="202" path="m,l,21600r21600,l21600,xe">
          <v:stroke joinstyle="miter"/>
          <v:path gradientshapeok="t" o:connecttype="rect"/>
        </v:shapetype>
        <v:shape id="_x0000_s2049" type="#_x0000_t202" style="position:absolute;margin-left:288.85pt;margin-top:804.85pt;width:17.5pt;height:10.95pt;z-index:-358552;mso-position-horizontal-relative:page;mso-position-vertical-relative:page" filled="f" stroked="f">
          <v:textbox inset="0,0,0,0">
            <w:txbxContent>
              <w:p w:rsidR="00D81F69" w:rsidRDefault="00D81F69">
                <w:pPr>
                  <w:spacing w:before="14"/>
                  <w:ind w:left="40"/>
                  <w:rPr>
                    <w:sz w:val="16"/>
                  </w:rPr>
                </w:pPr>
                <w:r>
                  <w:fldChar w:fldCharType="begin"/>
                </w:r>
                <w:r w:rsidR="00330118">
                  <w:rPr>
                    <w:sz w:val="16"/>
                  </w:rPr>
                  <w:instrText xml:space="preserve"> P</w:instrText>
                </w:r>
                <w:r w:rsidR="00330118">
                  <w:rPr>
                    <w:sz w:val="16"/>
                  </w:rPr>
                  <w:instrText xml:space="preserve">AGE </w:instrText>
                </w:r>
                <w:r>
                  <w:fldChar w:fldCharType="separate"/>
                </w:r>
                <w:r w:rsidR="00392EAD">
                  <w:rPr>
                    <w:noProof/>
                    <w:sz w:val="16"/>
                  </w:rPr>
                  <w:t>230</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0118" w:rsidRDefault="00330118" w:rsidP="00D81F69">
      <w:r>
        <w:separator/>
      </w:r>
    </w:p>
  </w:footnote>
  <w:footnote w:type="continuationSeparator" w:id="1">
    <w:p w:rsidR="00330118" w:rsidRDefault="00330118" w:rsidP="00D81F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E03FC"/>
    <w:multiLevelType w:val="hybridMultilevel"/>
    <w:tmpl w:val="03A66FC0"/>
    <w:lvl w:ilvl="0" w:tplc="925C64F6">
      <w:start w:val="1"/>
      <w:numFmt w:val="decimal"/>
      <w:lvlText w:val="%1"/>
      <w:lvlJc w:val="left"/>
      <w:pPr>
        <w:ind w:left="288" w:hanging="189"/>
        <w:jc w:val="left"/>
      </w:pPr>
      <w:rPr>
        <w:rFonts w:ascii="Arial" w:eastAsia="Arial" w:hAnsi="Arial" w:cs="Arial" w:hint="default"/>
        <w:w w:val="100"/>
        <w:sz w:val="16"/>
        <w:szCs w:val="16"/>
      </w:rPr>
    </w:lvl>
    <w:lvl w:ilvl="1" w:tplc="C3286204">
      <w:numFmt w:val="bullet"/>
      <w:lvlText w:val="•"/>
      <w:lvlJc w:val="left"/>
      <w:pPr>
        <w:ind w:left="783" w:hanging="189"/>
      </w:pPr>
      <w:rPr>
        <w:rFonts w:hint="default"/>
      </w:rPr>
    </w:lvl>
    <w:lvl w:ilvl="2" w:tplc="C0E4A2CC">
      <w:numFmt w:val="bullet"/>
      <w:lvlText w:val="•"/>
      <w:lvlJc w:val="left"/>
      <w:pPr>
        <w:ind w:left="1286" w:hanging="189"/>
      </w:pPr>
      <w:rPr>
        <w:rFonts w:hint="default"/>
      </w:rPr>
    </w:lvl>
    <w:lvl w:ilvl="3" w:tplc="05281C06">
      <w:numFmt w:val="bullet"/>
      <w:lvlText w:val="•"/>
      <w:lvlJc w:val="left"/>
      <w:pPr>
        <w:ind w:left="1789" w:hanging="189"/>
      </w:pPr>
      <w:rPr>
        <w:rFonts w:hint="default"/>
      </w:rPr>
    </w:lvl>
    <w:lvl w:ilvl="4" w:tplc="787EE5A0">
      <w:numFmt w:val="bullet"/>
      <w:lvlText w:val="•"/>
      <w:lvlJc w:val="left"/>
      <w:pPr>
        <w:ind w:left="2292" w:hanging="189"/>
      </w:pPr>
      <w:rPr>
        <w:rFonts w:hint="default"/>
      </w:rPr>
    </w:lvl>
    <w:lvl w:ilvl="5" w:tplc="CAD04176">
      <w:numFmt w:val="bullet"/>
      <w:lvlText w:val="•"/>
      <w:lvlJc w:val="left"/>
      <w:pPr>
        <w:ind w:left="2795" w:hanging="189"/>
      </w:pPr>
      <w:rPr>
        <w:rFonts w:hint="default"/>
      </w:rPr>
    </w:lvl>
    <w:lvl w:ilvl="6" w:tplc="C1BCDB96">
      <w:numFmt w:val="bullet"/>
      <w:lvlText w:val="•"/>
      <w:lvlJc w:val="left"/>
      <w:pPr>
        <w:ind w:left="3298" w:hanging="189"/>
      </w:pPr>
      <w:rPr>
        <w:rFonts w:hint="default"/>
      </w:rPr>
    </w:lvl>
    <w:lvl w:ilvl="7" w:tplc="B99628A0">
      <w:numFmt w:val="bullet"/>
      <w:lvlText w:val="•"/>
      <w:lvlJc w:val="left"/>
      <w:pPr>
        <w:ind w:left="3801" w:hanging="189"/>
      </w:pPr>
      <w:rPr>
        <w:rFonts w:hint="default"/>
      </w:rPr>
    </w:lvl>
    <w:lvl w:ilvl="8" w:tplc="09C8860C">
      <w:numFmt w:val="bullet"/>
      <w:lvlText w:val="•"/>
      <w:lvlJc w:val="left"/>
      <w:pPr>
        <w:ind w:left="4304" w:hanging="189"/>
      </w:pPr>
      <w:rPr>
        <w:rFonts w:hint="default"/>
      </w:rPr>
    </w:lvl>
  </w:abstractNum>
  <w:abstractNum w:abstractNumId="1">
    <w:nsid w:val="429932E1"/>
    <w:multiLevelType w:val="hybridMultilevel"/>
    <w:tmpl w:val="3844067E"/>
    <w:lvl w:ilvl="0" w:tplc="7E8C388C">
      <w:numFmt w:val="bullet"/>
      <w:lvlText w:val=""/>
      <w:lvlJc w:val="left"/>
      <w:pPr>
        <w:ind w:left="954" w:hanging="651"/>
      </w:pPr>
      <w:rPr>
        <w:rFonts w:ascii="Wingdings" w:eastAsia="Wingdings" w:hAnsi="Wingdings" w:cs="Wingdings" w:hint="default"/>
        <w:w w:val="100"/>
        <w:sz w:val="24"/>
        <w:szCs w:val="24"/>
      </w:rPr>
    </w:lvl>
    <w:lvl w:ilvl="1" w:tplc="BA3E54DC">
      <w:numFmt w:val="bullet"/>
      <w:lvlText w:val="•"/>
      <w:lvlJc w:val="left"/>
      <w:pPr>
        <w:ind w:left="1894" w:hanging="651"/>
      </w:pPr>
      <w:rPr>
        <w:rFonts w:hint="default"/>
      </w:rPr>
    </w:lvl>
    <w:lvl w:ilvl="2" w:tplc="EEF6E00E">
      <w:numFmt w:val="bullet"/>
      <w:lvlText w:val="•"/>
      <w:lvlJc w:val="left"/>
      <w:pPr>
        <w:ind w:left="2829" w:hanging="651"/>
      </w:pPr>
      <w:rPr>
        <w:rFonts w:hint="default"/>
      </w:rPr>
    </w:lvl>
    <w:lvl w:ilvl="3" w:tplc="F4587B58">
      <w:numFmt w:val="bullet"/>
      <w:lvlText w:val="•"/>
      <w:lvlJc w:val="left"/>
      <w:pPr>
        <w:ind w:left="3763" w:hanging="651"/>
      </w:pPr>
      <w:rPr>
        <w:rFonts w:hint="default"/>
      </w:rPr>
    </w:lvl>
    <w:lvl w:ilvl="4" w:tplc="65F6F186">
      <w:numFmt w:val="bullet"/>
      <w:lvlText w:val="•"/>
      <w:lvlJc w:val="left"/>
      <w:pPr>
        <w:ind w:left="4698" w:hanging="651"/>
      </w:pPr>
      <w:rPr>
        <w:rFonts w:hint="default"/>
      </w:rPr>
    </w:lvl>
    <w:lvl w:ilvl="5" w:tplc="2F86A694">
      <w:numFmt w:val="bullet"/>
      <w:lvlText w:val="•"/>
      <w:lvlJc w:val="left"/>
      <w:pPr>
        <w:ind w:left="5633" w:hanging="651"/>
      </w:pPr>
      <w:rPr>
        <w:rFonts w:hint="default"/>
      </w:rPr>
    </w:lvl>
    <w:lvl w:ilvl="6" w:tplc="2A78B304">
      <w:numFmt w:val="bullet"/>
      <w:lvlText w:val="•"/>
      <w:lvlJc w:val="left"/>
      <w:pPr>
        <w:ind w:left="6567" w:hanging="651"/>
      </w:pPr>
      <w:rPr>
        <w:rFonts w:hint="default"/>
      </w:rPr>
    </w:lvl>
    <w:lvl w:ilvl="7" w:tplc="3FF03A7E">
      <w:numFmt w:val="bullet"/>
      <w:lvlText w:val="•"/>
      <w:lvlJc w:val="left"/>
      <w:pPr>
        <w:ind w:left="7502" w:hanging="651"/>
      </w:pPr>
      <w:rPr>
        <w:rFonts w:hint="default"/>
      </w:rPr>
    </w:lvl>
    <w:lvl w:ilvl="8" w:tplc="6A22FDC2">
      <w:numFmt w:val="bullet"/>
      <w:lvlText w:val="•"/>
      <w:lvlJc w:val="left"/>
      <w:pPr>
        <w:ind w:left="8437" w:hanging="651"/>
      </w:pPr>
      <w:rPr>
        <w:rFonts w:hint="default"/>
      </w:rPr>
    </w:lvl>
  </w:abstractNum>
  <w:abstractNum w:abstractNumId="2">
    <w:nsid w:val="452D0039"/>
    <w:multiLevelType w:val="hybridMultilevel"/>
    <w:tmpl w:val="86B8A870"/>
    <w:lvl w:ilvl="0" w:tplc="55F4F138">
      <w:numFmt w:val="bullet"/>
      <w:lvlText w:val="·"/>
      <w:lvlJc w:val="left"/>
      <w:pPr>
        <w:ind w:left="444" w:hanging="445"/>
      </w:pPr>
      <w:rPr>
        <w:rFonts w:ascii="Arial" w:eastAsia="Arial" w:hAnsi="Arial" w:cs="Arial" w:hint="default"/>
        <w:color w:val="FDFDFD"/>
        <w:w w:val="91"/>
        <w:position w:val="-24"/>
        <w:sz w:val="62"/>
        <w:szCs w:val="62"/>
      </w:rPr>
    </w:lvl>
    <w:lvl w:ilvl="1" w:tplc="8D0A55A4">
      <w:numFmt w:val="bullet"/>
      <w:lvlText w:val="•"/>
      <w:lvlJc w:val="left"/>
      <w:pPr>
        <w:ind w:left="495" w:hanging="445"/>
      </w:pPr>
      <w:rPr>
        <w:rFonts w:hint="default"/>
      </w:rPr>
    </w:lvl>
    <w:lvl w:ilvl="2" w:tplc="FD8ED504">
      <w:numFmt w:val="bullet"/>
      <w:lvlText w:val="•"/>
      <w:lvlJc w:val="left"/>
      <w:pPr>
        <w:ind w:left="551" w:hanging="445"/>
      </w:pPr>
      <w:rPr>
        <w:rFonts w:hint="default"/>
      </w:rPr>
    </w:lvl>
    <w:lvl w:ilvl="3" w:tplc="756AD79C">
      <w:numFmt w:val="bullet"/>
      <w:lvlText w:val="•"/>
      <w:lvlJc w:val="left"/>
      <w:pPr>
        <w:ind w:left="607" w:hanging="445"/>
      </w:pPr>
      <w:rPr>
        <w:rFonts w:hint="default"/>
      </w:rPr>
    </w:lvl>
    <w:lvl w:ilvl="4" w:tplc="01F8F1BC">
      <w:numFmt w:val="bullet"/>
      <w:lvlText w:val="•"/>
      <w:lvlJc w:val="left"/>
      <w:pPr>
        <w:ind w:left="663" w:hanging="445"/>
      </w:pPr>
      <w:rPr>
        <w:rFonts w:hint="default"/>
      </w:rPr>
    </w:lvl>
    <w:lvl w:ilvl="5" w:tplc="6952CF34">
      <w:numFmt w:val="bullet"/>
      <w:lvlText w:val="•"/>
      <w:lvlJc w:val="left"/>
      <w:pPr>
        <w:ind w:left="719" w:hanging="445"/>
      </w:pPr>
      <w:rPr>
        <w:rFonts w:hint="default"/>
      </w:rPr>
    </w:lvl>
    <w:lvl w:ilvl="6" w:tplc="A314E8E4">
      <w:numFmt w:val="bullet"/>
      <w:lvlText w:val="•"/>
      <w:lvlJc w:val="left"/>
      <w:pPr>
        <w:ind w:left="775" w:hanging="445"/>
      </w:pPr>
      <w:rPr>
        <w:rFonts w:hint="default"/>
      </w:rPr>
    </w:lvl>
    <w:lvl w:ilvl="7" w:tplc="F65835C2">
      <w:numFmt w:val="bullet"/>
      <w:lvlText w:val="•"/>
      <w:lvlJc w:val="left"/>
      <w:pPr>
        <w:ind w:left="831" w:hanging="445"/>
      </w:pPr>
      <w:rPr>
        <w:rFonts w:hint="default"/>
      </w:rPr>
    </w:lvl>
    <w:lvl w:ilvl="8" w:tplc="D99242D0">
      <w:numFmt w:val="bullet"/>
      <w:lvlText w:val="•"/>
      <w:lvlJc w:val="left"/>
      <w:pPr>
        <w:ind w:left="887" w:hanging="445"/>
      </w:pPr>
      <w:rPr>
        <w:rFonts w:hint="default"/>
      </w:rPr>
    </w:lvl>
  </w:abstractNum>
  <w:abstractNum w:abstractNumId="3">
    <w:nsid w:val="48913143"/>
    <w:multiLevelType w:val="hybridMultilevel"/>
    <w:tmpl w:val="1174D2CA"/>
    <w:lvl w:ilvl="0" w:tplc="50DC88F2">
      <w:numFmt w:val="bullet"/>
      <w:lvlText w:val="•"/>
      <w:lvlJc w:val="left"/>
      <w:pPr>
        <w:ind w:left="6044" w:hanging="5061"/>
      </w:pPr>
      <w:rPr>
        <w:rFonts w:ascii="Arial" w:eastAsia="Arial" w:hAnsi="Arial" w:cs="Arial" w:hint="default"/>
        <w:color w:val="709760"/>
        <w:w w:val="73"/>
        <w:position w:val="-15"/>
        <w:sz w:val="31"/>
        <w:szCs w:val="31"/>
      </w:rPr>
    </w:lvl>
    <w:lvl w:ilvl="1" w:tplc="157ECEB6">
      <w:numFmt w:val="bullet"/>
      <w:lvlText w:val="•"/>
      <w:lvlJc w:val="left"/>
      <w:pPr>
        <w:ind w:left="6122" w:hanging="5061"/>
      </w:pPr>
      <w:rPr>
        <w:rFonts w:hint="default"/>
      </w:rPr>
    </w:lvl>
    <w:lvl w:ilvl="2" w:tplc="DB6A0718">
      <w:numFmt w:val="bullet"/>
      <w:lvlText w:val="•"/>
      <w:lvlJc w:val="left"/>
      <w:pPr>
        <w:ind w:left="6205" w:hanging="5061"/>
      </w:pPr>
      <w:rPr>
        <w:rFonts w:hint="default"/>
      </w:rPr>
    </w:lvl>
    <w:lvl w:ilvl="3" w:tplc="6DDAADEC">
      <w:numFmt w:val="bullet"/>
      <w:lvlText w:val="•"/>
      <w:lvlJc w:val="left"/>
      <w:pPr>
        <w:ind w:left="6288" w:hanging="5061"/>
      </w:pPr>
      <w:rPr>
        <w:rFonts w:hint="default"/>
      </w:rPr>
    </w:lvl>
    <w:lvl w:ilvl="4" w:tplc="DFDCB90E">
      <w:numFmt w:val="bullet"/>
      <w:lvlText w:val="•"/>
      <w:lvlJc w:val="left"/>
      <w:pPr>
        <w:ind w:left="6370" w:hanging="5061"/>
      </w:pPr>
      <w:rPr>
        <w:rFonts w:hint="default"/>
      </w:rPr>
    </w:lvl>
    <w:lvl w:ilvl="5" w:tplc="CEE025D0">
      <w:numFmt w:val="bullet"/>
      <w:lvlText w:val="•"/>
      <w:lvlJc w:val="left"/>
      <w:pPr>
        <w:ind w:left="6453" w:hanging="5061"/>
      </w:pPr>
      <w:rPr>
        <w:rFonts w:hint="default"/>
      </w:rPr>
    </w:lvl>
    <w:lvl w:ilvl="6" w:tplc="21BA6834">
      <w:numFmt w:val="bullet"/>
      <w:lvlText w:val="•"/>
      <w:lvlJc w:val="left"/>
      <w:pPr>
        <w:ind w:left="6536" w:hanging="5061"/>
      </w:pPr>
      <w:rPr>
        <w:rFonts w:hint="default"/>
      </w:rPr>
    </w:lvl>
    <w:lvl w:ilvl="7" w:tplc="31CCB676">
      <w:numFmt w:val="bullet"/>
      <w:lvlText w:val="•"/>
      <w:lvlJc w:val="left"/>
      <w:pPr>
        <w:ind w:left="6619" w:hanging="5061"/>
      </w:pPr>
      <w:rPr>
        <w:rFonts w:hint="default"/>
      </w:rPr>
    </w:lvl>
    <w:lvl w:ilvl="8" w:tplc="5A3E7A9E">
      <w:numFmt w:val="bullet"/>
      <w:lvlText w:val="•"/>
      <w:lvlJc w:val="left"/>
      <w:pPr>
        <w:ind w:left="6701" w:hanging="5061"/>
      </w:pPr>
      <w:rPr>
        <w:rFonts w:hint="default"/>
      </w:rPr>
    </w:lvl>
  </w:abstractNum>
  <w:abstractNum w:abstractNumId="4">
    <w:nsid w:val="71981C05"/>
    <w:multiLevelType w:val="hybridMultilevel"/>
    <w:tmpl w:val="3AC28872"/>
    <w:lvl w:ilvl="0" w:tplc="0D468B3A">
      <w:start w:val="4"/>
      <w:numFmt w:val="lowerLetter"/>
      <w:lvlText w:val="%1"/>
      <w:lvlJc w:val="left"/>
      <w:pPr>
        <w:ind w:left="292" w:hanging="193"/>
        <w:jc w:val="left"/>
      </w:pPr>
      <w:rPr>
        <w:rFonts w:ascii="Arial" w:eastAsia="Arial" w:hAnsi="Arial" w:cs="Arial" w:hint="default"/>
        <w:w w:val="100"/>
        <w:sz w:val="16"/>
        <w:szCs w:val="16"/>
      </w:rPr>
    </w:lvl>
    <w:lvl w:ilvl="1" w:tplc="C3285550">
      <w:numFmt w:val="bullet"/>
      <w:lvlText w:val="•"/>
      <w:lvlJc w:val="left"/>
      <w:pPr>
        <w:ind w:left="786" w:hanging="193"/>
      </w:pPr>
      <w:rPr>
        <w:rFonts w:hint="default"/>
      </w:rPr>
    </w:lvl>
    <w:lvl w:ilvl="2" w:tplc="6D1437EA">
      <w:numFmt w:val="bullet"/>
      <w:lvlText w:val="•"/>
      <w:lvlJc w:val="left"/>
      <w:pPr>
        <w:ind w:left="1272" w:hanging="193"/>
      </w:pPr>
      <w:rPr>
        <w:rFonts w:hint="default"/>
      </w:rPr>
    </w:lvl>
    <w:lvl w:ilvl="3" w:tplc="638A2AF2">
      <w:numFmt w:val="bullet"/>
      <w:lvlText w:val="•"/>
      <w:lvlJc w:val="left"/>
      <w:pPr>
        <w:ind w:left="1759" w:hanging="193"/>
      </w:pPr>
      <w:rPr>
        <w:rFonts w:hint="default"/>
      </w:rPr>
    </w:lvl>
    <w:lvl w:ilvl="4" w:tplc="F84AB5AA">
      <w:numFmt w:val="bullet"/>
      <w:lvlText w:val="•"/>
      <w:lvlJc w:val="left"/>
      <w:pPr>
        <w:ind w:left="2245" w:hanging="193"/>
      </w:pPr>
      <w:rPr>
        <w:rFonts w:hint="default"/>
      </w:rPr>
    </w:lvl>
    <w:lvl w:ilvl="5" w:tplc="BD1C7E1E">
      <w:numFmt w:val="bullet"/>
      <w:lvlText w:val="•"/>
      <w:lvlJc w:val="left"/>
      <w:pPr>
        <w:ind w:left="2731" w:hanging="193"/>
      </w:pPr>
      <w:rPr>
        <w:rFonts w:hint="default"/>
      </w:rPr>
    </w:lvl>
    <w:lvl w:ilvl="6" w:tplc="EA3C8F90">
      <w:numFmt w:val="bullet"/>
      <w:lvlText w:val="•"/>
      <w:lvlJc w:val="left"/>
      <w:pPr>
        <w:ind w:left="3218" w:hanging="193"/>
      </w:pPr>
      <w:rPr>
        <w:rFonts w:hint="default"/>
      </w:rPr>
    </w:lvl>
    <w:lvl w:ilvl="7" w:tplc="ED50CBAA">
      <w:numFmt w:val="bullet"/>
      <w:lvlText w:val="•"/>
      <w:lvlJc w:val="left"/>
      <w:pPr>
        <w:ind w:left="3704" w:hanging="193"/>
      </w:pPr>
      <w:rPr>
        <w:rFonts w:hint="default"/>
      </w:rPr>
    </w:lvl>
    <w:lvl w:ilvl="8" w:tplc="C868E572">
      <w:numFmt w:val="bullet"/>
      <w:lvlText w:val="•"/>
      <w:lvlJc w:val="left"/>
      <w:pPr>
        <w:ind w:left="4190" w:hanging="193"/>
      </w:pPr>
      <w:rPr>
        <w:rFonts w:hint="default"/>
      </w:rPr>
    </w:lvl>
  </w:abstractNum>
  <w:abstractNum w:abstractNumId="5">
    <w:nsid w:val="74983184"/>
    <w:multiLevelType w:val="hybridMultilevel"/>
    <w:tmpl w:val="C6F2CBFE"/>
    <w:lvl w:ilvl="0" w:tplc="83EA1DB8">
      <w:start w:val="1"/>
      <w:numFmt w:val="decimal"/>
      <w:lvlText w:val="%1"/>
      <w:lvlJc w:val="left"/>
      <w:pPr>
        <w:ind w:left="334" w:hanging="235"/>
        <w:jc w:val="left"/>
      </w:pPr>
      <w:rPr>
        <w:rFonts w:ascii="Arial" w:eastAsia="Arial" w:hAnsi="Arial" w:cs="Arial" w:hint="default"/>
        <w:w w:val="100"/>
        <w:sz w:val="16"/>
        <w:szCs w:val="16"/>
      </w:rPr>
    </w:lvl>
    <w:lvl w:ilvl="1" w:tplc="9D9031FE">
      <w:numFmt w:val="bullet"/>
      <w:lvlText w:val="•"/>
      <w:lvlJc w:val="left"/>
      <w:pPr>
        <w:ind w:left="841" w:hanging="235"/>
      </w:pPr>
      <w:rPr>
        <w:rFonts w:hint="default"/>
      </w:rPr>
    </w:lvl>
    <w:lvl w:ilvl="2" w:tplc="65F60FB4">
      <w:numFmt w:val="bullet"/>
      <w:lvlText w:val="•"/>
      <w:lvlJc w:val="left"/>
      <w:pPr>
        <w:ind w:left="1342" w:hanging="235"/>
      </w:pPr>
      <w:rPr>
        <w:rFonts w:hint="default"/>
      </w:rPr>
    </w:lvl>
    <w:lvl w:ilvl="3" w:tplc="D630717C">
      <w:numFmt w:val="bullet"/>
      <w:lvlText w:val="•"/>
      <w:lvlJc w:val="left"/>
      <w:pPr>
        <w:ind w:left="1843" w:hanging="235"/>
      </w:pPr>
      <w:rPr>
        <w:rFonts w:hint="default"/>
      </w:rPr>
    </w:lvl>
    <w:lvl w:ilvl="4" w:tplc="245A1D00">
      <w:numFmt w:val="bullet"/>
      <w:lvlText w:val="•"/>
      <w:lvlJc w:val="left"/>
      <w:pPr>
        <w:ind w:left="2344" w:hanging="235"/>
      </w:pPr>
      <w:rPr>
        <w:rFonts w:hint="default"/>
      </w:rPr>
    </w:lvl>
    <w:lvl w:ilvl="5" w:tplc="FDA434FE">
      <w:numFmt w:val="bullet"/>
      <w:lvlText w:val="•"/>
      <w:lvlJc w:val="left"/>
      <w:pPr>
        <w:ind w:left="2845" w:hanging="235"/>
      </w:pPr>
      <w:rPr>
        <w:rFonts w:hint="default"/>
      </w:rPr>
    </w:lvl>
    <w:lvl w:ilvl="6" w:tplc="44606412">
      <w:numFmt w:val="bullet"/>
      <w:lvlText w:val="•"/>
      <w:lvlJc w:val="left"/>
      <w:pPr>
        <w:ind w:left="3346" w:hanging="235"/>
      </w:pPr>
      <w:rPr>
        <w:rFonts w:hint="default"/>
      </w:rPr>
    </w:lvl>
    <w:lvl w:ilvl="7" w:tplc="87E29282">
      <w:numFmt w:val="bullet"/>
      <w:lvlText w:val="•"/>
      <w:lvlJc w:val="left"/>
      <w:pPr>
        <w:ind w:left="3847" w:hanging="235"/>
      </w:pPr>
      <w:rPr>
        <w:rFonts w:hint="default"/>
      </w:rPr>
    </w:lvl>
    <w:lvl w:ilvl="8" w:tplc="F1A4E0DA">
      <w:numFmt w:val="bullet"/>
      <w:lvlText w:val="•"/>
      <w:lvlJc w:val="left"/>
      <w:pPr>
        <w:ind w:left="4348" w:hanging="235"/>
      </w:pPr>
      <w:rPr>
        <w:rFonts w:hint="default"/>
      </w:rPr>
    </w:lvl>
  </w:abstractNum>
  <w:abstractNum w:abstractNumId="6">
    <w:nsid w:val="7F7575FB"/>
    <w:multiLevelType w:val="hybridMultilevel"/>
    <w:tmpl w:val="F064E678"/>
    <w:lvl w:ilvl="0" w:tplc="49CED05C">
      <w:numFmt w:val="bullet"/>
      <w:lvlText w:val="–"/>
      <w:lvlJc w:val="left"/>
      <w:pPr>
        <w:ind w:left="100" w:hanging="196"/>
      </w:pPr>
      <w:rPr>
        <w:rFonts w:hint="default"/>
        <w:spacing w:val="-6"/>
        <w:w w:val="100"/>
      </w:rPr>
    </w:lvl>
    <w:lvl w:ilvl="1" w:tplc="DBC0CD2E">
      <w:numFmt w:val="bullet"/>
      <w:lvlText w:val="•"/>
      <w:lvlJc w:val="left"/>
      <w:pPr>
        <w:ind w:left="625" w:hanging="196"/>
      </w:pPr>
      <w:rPr>
        <w:rFonts w:hint="default"/>
      </w:rPr>
    </w:lvl>
    <w:lvl w:ilvl="2" w:tplc="03C61748">
      <w:numFmt w:val="bullet"/>
      <w:lvlText w:val="•"/>
      <w:lvlJc w:val="left"/>
      <w:pPr>
        <w:ind w:left="1150" w:hanging="196"/>
      </w:pPr>
      <w:rPr>
        <w:rFonts w:hint="default"/>
      </w:rPr>
    </w:lvl>
    <w:lvl w:ilvl="3" w:tplc="6A18B866">
      <w:numFmt w:val="bullet"/>
      <w:lvlText w:val="•"/>
      <w:lvlJc w:val="left"/>
      <w:pPr>
        <w:ind w:left="1675" w:hanging="196"/>
      </w:pPr>
      <w:rPr>
        <w:rFonts w:hint="default"/>
      </w:rPr>
    </w:lvl>
    <w:lvl w:ilvl="4" w:tplc="A09CF860">
      <w:numFmt w:val="bullet"/>
      <w:lvlText w:val="•"/>
      <w:lvlJc w:val="left"/>
      <w:pPr>
        <w:ind w:left="2200" w:hanging="196"/>
      </w:pPr>
      <w:rPr>
        <w:rFonts w:hint="default"/>
      </w:rPr>
    </w:lvl>
    <w:lvl w:ilvl="5" w:tplc="1BBEC36C">
      <w:numFmt w:val="bullet"/>
      <w:lvlText w:val="•"/>
      <w:lvlJc w:val="left"/>
      <w:pPr>
        <w:ind w:left="2725" w:hanging="196"/>
      </w:pPr>
      <w:rPr>
        <w:rFonts w:hint="default"/>
      </w:rPr>
    </w:lvl>
    <w:lvl w:ilvl="6" w:tplc="B740835E">
      <w:numFmt w:val="bullet"/>
      <w:lvlText w:val="•"/>
      <w:lvlJc w:val="left"/>
      <w:pPr>
        <w:ind w:left="3250" w:hanging="196"/>
      </w:pPr>
      <w:rPr>
        <w:rFonts w:hint="default"/>
      </w:rPr>
    </w:lvl>
    <w:lvl w:ilvl="7" w:tplc="48F8A756">
      <w:numFmt w:val="bullet"/>
      <w:lvlText w:val="•"/>
      <w:lvlJc w:val="left"/>
      <w:pPr>
        <w:ind w:left="3775" w:hanging="196"/>
      </w:pPr>
      <w:rPr>
        <w:rFonts w:hint="default"/>
      </w:rPr>
    </w:lvl>
    <w:lvl w:ilvl="8" w:tplc="2A3EE93A">
      <w:numFmt w:val="bullet"/>
      <w:lvlText w:val="•"/>
      <w:lvlJc w:val="left"/>
      <w:pPr>
        <w:ind w:left="4300" w:hanging="196"/>
      </w:pPr>
      <w:rPr>
        <w:rFonts w:hint="default"/>
      </w:rPr>
    </w:lvl>
  </w:abstractNum>
  <w:num w:numId="1">
    <w:abstractNumId w:val="0"/>
  </w:num>
  <w:num w:numId="2">
    <w:abstractNumId w:val="4"/>
  </w:num>
  <w:num w:numId="3">
    <w:abstractNumId w:val="6"/>
  </w:num>
  <w:num w:numId="4">
    <w:abstractNumId w:val="5"/>
  </w:num>
  <w:num w:numId="5">
    <w:abstractNumId w:val="1"/>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hyphenationZone w:val="425"/>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compat>
  <w:rsids>
    <w:rsidRoot w:val="00D81F69"/>
    <w:rsid w:val="00330118"/>
    <w:rsid w:val="00392EAD"/>
    <w:rsid w:val="00D81F6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81F69"/>
    <w:rPr>
      <w:rFonts w:ascii="Arial" w:eastAsia="Arial"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D81F69"/>
    <w:tblPr>
      <w:tblInd w:w="0" w:type="dxa"/>
      <w:tblCellMar>
        <w:top w:w="0" w:type="dxa"/>
        <w:left w:w="0" w:type="dxa"/>
        <w:bottom w:w="0" w:type="dxa"/>
        <w:right w:w="0" w:type="dxa"/>
      </w:tblCellMar>
    </w:tblPr>
  </w:style>
  <w:style w:type="paragraph" w:customStyle="1" w:styleId="TOC1">
    <w:name w:val="TOC 1"/>
    <w:basedOn w:val="Normal"/>
    <w:uiPriority w:val="1"/>
    <w:qFormat/>
    <w:rsid w:val="00D81F69"/>
    <w:pPr>
      <w:spacing w:before="518"/>
      <w:ind w:left="132"/>
    </w:pPr>
    <w:rPr>
      <w:rFonts w:ascii="Calibri" w:eastAsia="Calibri" w:hAnsi="Calibri" w:cs="Calibri"/>
      <w:b/>
      <w:bCs/>
    </w:rPr>
  </w:style>
  <w:style w:type="paragraph" w:customStyle="1" w:styleId="TOC2">
    <w:name w:val="TOC 2"/>
    <w:basedOn w:val="Normal"/>
    <w:uiPriority w:val="1"/>
    <w:qFormat/>
    <w:rsid w:val="00D81F69"/>
    <w:pPr>
      <w:ind w:left="117"/>
    </w:pPr>
    <w:rPr>
      <w:rFonts w:ascii="Calibri" w:eastAsia="Calibri" w:hAnsi="Calibri" w:cs="Calibri"/>
      <w:i/>
    </w:rPr>
  </w:style>
  <w:style w:type="paragraph" w:customStyle="1" w:styleId="TOC3">
    <w:name w:val="TOC 3"/>
    <w:basedOn w:val="Normal"/>
    <w:uiPriority w:val="1"/>
    <w:qFormat/>
    <w:rsid w:val="00D81F69"/>
    <w:pPr>
      <w:spacing w:before="11"/>
      <w:ind w:left="240"/>
    </w:pPr>
    <w:rPr>
      <w:rFonts w:ascii="Calibri" w:eastAsia="Calibri" w:hAnsi="Calibri" w:cs="Calibri"/>
      <w:b/>
      <w:bCs/>
    </w:rPr>
  </w:style>
  <w:style w:type="paragraph" w:customStyle="1" w:styleId="TOC4">
    <w:name w:val="TOC 4"/>
    <w:basedOn w:val="Normal"/>
    <w:uiPriority w:val="1"/>
    <w:qFormat/>
    <w:rsid w:val="00D81F69"/>
    <w:pPr>
      <w:spacing w:before="10"/>
      <w:ind w:left="240"/>
    </w:pPr>
    <w:rPr>
      <w:rFonts w:ascii="Calibri" w:eastAsia="Calibri" w:hAnsi="Calibri" w:cs="Calibri"/>
    </w:rPr>
  </w:style>
  <w:style w:type="paragraph" w:customStyle="1" w:styleId="TOC5">
    <w:name w:val="TOC 5"/>
    <w:basedOn w:val="Normal"/>
    <w:uiPriority w:val="1"/>
    <w:qFormat/>
    <w:rsid w:val="00D81F69"/>
    <w:pPr>
      <w:ind w:left="289"/>
    </w:pPr>
    <w:rPr>
      <w:rFonts w:ascii="Calibri" w:eastAsia="Calibri" w:hAnsi="Calibri" w:cs="Calibri"/>
      <w:i/>
    </w:rPr>
  </w:style>
  <w:style w:type="paragraph" w:styleId="Corpodetexto">
    <w:name w:val="Body Text"/>
    <w:basedOn w:val="Normal"/>
    <w:uiPriority w:val="1"/>
    <w:qFormat/>
    <w:rsid w:val="00D81F69"/>
    <w:pPr>
      <w:ind w:left="100"/>
      <w:jc w:val="both"/>
    </w:pPr>
    <w:rPr>
      <w:sz w:val="18"/>
      <w:szCs w:val="18"/>
    </w:rPr>
  </w:style>
  <w:style w:type="paragraph" w:customStyle="1" w:styleId="Heading1">
    <w:name w:val="Heading 1"/>
    <w:basedOn w:val="Normal"/>
    <w:uiPriority w:val="1"/>
    <w:qFormat/>
    <w:rsid w:val="00D81F69"/>
    <w:pPr>
      <w:spacing w:before="113"/>
      <w:ind w:left="100" w:right="183"/>
      <w:outlineLvl w:val="1"/>
    </w:pPr>
    <w:rPr>
      <w:b/>
      <w:bCs/>
      <w:sz w:val="40"/>
      <w:szCs w:val="40"/>
    </w:rPr>
  </w:style>
  <w:style w:type="paragraph" w:customStyle="1" w:styleId="Heading2">
    <w:name w:val="Heading 2"/>
    <w:basedOn w:val="Normal"/>
    <w:uiPriority w:val="1"/>
    <w:qFormat/>
    <w:rsid w:val="00D81F69"/>
    <w:pPr>
      <w:spacing w:before="76"/>
      <w:ind w:left="841"/>
      <w:outlineLvl w:val="2"/>
    </w:pPr>
    <w:rPr>
      <w:b/>
      <w:bCs/>
      <w:sz w:val="28"/>
      <w:szCs w:val="28"/>
    </w:rPr>
  </w:style>
  <w:style w:type="paragraph" w:customStyle="1" w:styleId="Heading3">
    <w:name w:val="Heading 3"/>
    <w:basedOn w:val="Normal"/>
    <w:uiPriority w:val="1"/>
    <w:qFormat/>
    <w:rsid w:val="00D81F69"/>
    <w:pPr>
      <w:spacing w:before="26"/>
      <w:ind w:left="6640"/>
      <w:outlineLvl w:val="3"/>
    </w:pPr>
    <w:rPr>
      <w:rFonts w:ascii="Calibri" w:eastAsia="Calibri" w:hAnsi="Calibri" w:cs="Calibri"/>
      <w:sz w:val="28"/>
      <w:szCs w:val="28"/>
    </w:rPr>
  </w:style>
  <w:style w:type="paragraph" w:customStyle="1" w:styleId="Heading4">
    <w:name w:val="Heading 4"/>
    <w:basedOn w:val="Normal"/>
    <w:uiPriority w:val="1"/>
    <w:qFormat/>
    <w:rsid w:val="00D81F69"/>
    <w:pPr>
      <w:ind w:left="100"/>
      <w:jc w:val="both"/>
      <w:outlineLvl w:val="4"/>
    </w:pPr>
    <w:rPr>
      <w:sz w:val="24"/>
      <w:szCs w:val="24"/>
    </w:rPr>
  </w:style>
  <w:style w:type="paragraph" w:customStyle="1" w:styleId="Heading5">
    <w:name w:val="Heading 5"/>
    <w:basedOn w:val="Normal"/>
    <w:uiPriority w:val="1"/>
    <w:qFormat/>
    <w:rsid w:val="00D81F69"/>
    <w:pPr>
      <w:ind w:left="101" w:right="116"/>
      <w:jc w:val="both"/>
      <w:outlineLvl w:val="5"/>
    </w:pPr>
  </w:style>
  <w:style w:type="paragraph" w:customStyle="1" w:styleId="Heading6">
    <w:name w:val="Heading 6"/>
    <w:basedOn w:val="Normal"/>
    <w:uiPriority w:val="1"/>
    <w:qFormat/>
    <w:rsid w:val="00D81F69"/>
    <w:pPr>
      <w:spacing w:line="224" w:lineRule="exact"/>
      <w:outlineLvl w:val="6"/>
    </w:pPr>
    <w:rPr>
      <w:b/>
      <w:bCs/>
      <w:sz w:val="20"/>
      <w:szCs w:val="20"/>
    </w:rPr>
  </w:style>
  <w:style w:type="paragraph" w:customStyle="1" w:styleId="Heading7">
    <w:name w:val="Heading 7"/>
    <w:basedOn w:val="Normal"/>
    <w:uiPriority w:val="1"/>
    <w:qFormat/>
    <w:rsid w:val="00D81F69"/>
    <w:pPr>
      <w:ind w:left="100"/>
      <w:jc w:val="both"/>
      <w:outlineLvl w:val="7"/>
    </w:pPr>
    <w:rPr>
      <w:sz w:val="20"/>
      <w:szCs w:val="20"/>
    </w:rPr>
  </w:style>
  <w:style w:type="paragraph" w:styleId="PargrafodaLista">
    <w:name w:val="List Paragraph"/>
    <w:basedOn w:val="Normal"/>
    <w:uiPriority w:val="1"/>
    <w:qFormat/>
    <w:rsid w:val="00D81F69"/>
    <w:pPr>
      <w:spacing w:before="2"/>
      <w:ind w:left="100"/>
      <w:jc w:val="both"/>
    </w:pPr>
  </w:style>
  <w:style w:type="paragraph" w:customStyle="1" w:styleId="TableParagraph">
    <w:name w:val="Table Paragraph"/>
    <w:basedOn w:val="Normal"/>
    <w:uiPriority w:val="1"/>
    <w:qFormat/>
    <w:rsid w:val="00D81F69"/>
    <w:pPr>
      <w:spacing w:line="237" w:lineRule="exact"/>
      <w:ind w:left="112"/>
    </w:pPr>
    <w:rPr>
      <w:rFonts w:ascii="Calibri" w:eastAsia="Calibri" w:hAnsi="Calibri" w:cs="Calibri"/>
    </w:rPr>
  </w:style>
  <w:style w:type="paragraph" w:styleId="Textodebalo">
    <w:name w:val="Balloon Text"/>
    <w:basedOn w:val="Normal"/>
    <w:link w:val="TextodebaloChar"/>
    <w:uiPriority w:val="99"/>
    <w:semiHidden/>
    <w:unhideWhenUsed/>
    <w:rsid w:val="00392EAD"/>
    <w:rPr>
      <w:rFonts w:ascii="Tahoma" w:hAnsi="Tahoma" w:cs="Tahoma"/>
      <w:sz w:val="16"/>
      <w:szCs w:val="16"/>
    </w:rPr>
  </w:style>
  <w:style w:type="character" w:customStyle="1" w:styleId="TextodebaloChar">
    <w:name w:val="Texto de balão Char"/>
    <w:basedOn w:val="Fontepargpadro"/>
    <w:link w:val="Textodebalo"/>
    <w:uiPriority w:val="99"/>
    <w:semiHidden/>
    <w:rsid w:val="00392EAD"/>
    <w:rPr>
      <w:rFonts w:ascii="Tahoma" w:eastAsia="Arial"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verbetes.cetem.gov.br/impressao/ExibeGlossarioResumo.aspx?verid=15" TargetMode="External"/><Relationship Id="rId21" Type="http://schemas.openxmlformats.org/officeDocument/2006/relationships/image" Target="media/image7.png"/><Relationship Id="rId170" Type="http://schemas.openxmlformats.org/officeDocument/2006/relationships/hyperlink" Target="http://www.conflitoambiental.icict.fiocruz.br/index.php?pag=ficha&amp;amp;co" TargetMode="External"/><Relationship Id="rId268" Type="http://schemas.openxmlformats.org/officeDocument/2006/relationships/hyperlink" Target="http://www.dnpm.gov.br/assets/galeriadocumento/balancomineral20" TargetMode="External"/><Relationship Id="rId475" Type="http://schemas.openxmlformats.org/officeDocument/2006/relationships/hyperlink" Target="http://noticias.pgr.mpf.gov.br/noticias/noticias-do-" TargetMode="External"/><Relationship Id="rId682" Type="http://schemas.openxmlformats.org/officeDocument/2006/relationships/hyperlink" Target="http://www.ibge.gov.br/cidadesat/xtras/perfil.php?codmun=291750&amp;amp;r" TargetMode="External"/><Relationship Id="rId128" Type="http://schemas.openxmlformats.org/officeDocument/2006/relationships/hyperlink" Target="http://www.scielo.br/scielo.php?script=sci_arttext&amp;amp;pid=S0044-" TargetMode="External"/><Relationship Id="rId335" Type="http://schemas.openxmlformats.org/officeDocument/2006/relationships/hyperlink" Target="http://economia.ig.com.br/empresas/industria/maquinas%2Bgigantes%2Be" TargetMode="External"/><Relationship Id="rId542" Type="http://schemas.openxmlformats.org/officeDocument/2006/relationships/image" Target="media/image21.png"/><Relationship Id="rId987" Type="http://schemas.openxmlformats.org/officeDocument/2006/relationships/hyperlink" Target="http://www.ibge.gov.br/cidadesat/xtras/perfil.php?codmun=510642&amp;amp;r" TargetMode="External"/><Relationship Id="rId1172" Type="http://schemas.openxmlformats.org/officeDocument/2006/relationships/hyperlink" Target="http://www.brasileconomico.com.br/noticias/mmx-obtem-licenca-" TargetMode="External"/><Relationship Id="rId402" Type="http://schemas.openxmlformats.org/officeDocument/2006/relationships/hyperlink" Target="http://verbetes.cetem.gov.br/impressao/ExibeGlossarioResumo.aspx?verid=12" TargetMode="External"/><Relationship Id="rId847" Type="http://schemas.openxmlformats.org/officeDocument/2006/relationships/hyperlink" Target="http://www.monitormercantil.com.br/mostranoticia.php?id=76619" TargetMode="External"/><Relationship Id="rId1032" Type="http://schemas.openxmlformats.org/officeDocument/2006/relationships/hyperlink" Target="http://www.ibge.gov.br/cidadesat/topwindow.htm?1" TargetMode="External"/><Relationship Id="rId1477" Type="http://schemas.openxmlformats.org/officeDocument/2006/relationships/hyperlink" Target="http://www.ibge.gov.br/cidadesat/xtras/perfil.php?codmun=330414&amp;amp;r" TargetMode="External"/><Relationship Id="rId1684" Type="http://schemas.openxmlformats.org/officeDocument/2006/relationships/hyperlink" Target="http://verbetes.cetem.gov.br/impressao/ExibeGlossarioResumo.aspx?verid=5" TargetMode="External"/><Relationship Id="rId707" Type="http://schemas.openxmlformats.org/officeDocument/2006/relationships/hyperlink" Target="http://www.portalodm.com.br/relatorios/ba/juazeiro" TargetMode="External"/><Relationship Id="rId914" Type="http://schemas.openxmlformats.org/officeDocument/2006/relationships/hyperlink" Target="http://verbetes.cetem.gov.br/impressao/ExibeGlossarioResumo.aspx?verid=11" TargetMode="External"/><Relationship Id="rId1337" Type="http://schemas.openxmlformats.org/officeDocument/2006/relationships/hyperlink" Target="http://www.brasilmineral.com.br/BM/default.asp?busca=Vazante&amp;amp;im" TargetMode="External"/><Relationship Id="rId1544" Type="http://schemas.openxmlformats.org/officeDocument/2006/relationships/hyperlink" Target="http://odia.terra.com.br/portal/economia/html/2010/2/us_600_milhoes" TargetMode="External"/><Relationship Id="rId1751" Type="http://schemas.openxmlformats.org/officeDocument/2006/relationships/hyperlink" Target="http://www.jusbrasil.com.br/noticias/2155776/instalacao-de-" TargetMode="External"/><Relationship Id="rId43" Type="http://schemas.openxmlformats.org/officeDocument/2006/relationships/image" Target="media/image12.png"/><Relationship Id="rId1404" Type="http://schemas.openxmlformats.org/officeDocument/2006/relationships/hyperlink" Target="http://www.brasilmineral.com.br/BM/default.asp?COD=5236&amp;amp;busca" TargetMode="External"/><Relationship Id="rId1611" Type="http://schemas.openxmlformats.org/officeDocument/2006/relationships/hyperlink" Target="http://www.ibge.gov.br/cidadesat/xtras/perfil.php?codmun=350925&amp;amp;r" TargetMode="External"/><Relationship Id="rId192" Type="http://schemas.openxmlformats.org/officeDocument/2006/relationships/hyperlink" Target="http://www.transportes.gov.br/bit/ferro/efc/inf-" TargetMode="External"/><Relationship Id="rId1709" Type="http://schemas.openxmlformats.org/officeDocument/2006/relationships/hyperlink" Target="http://www.clicrbs.com.br/dsm/rs/impressa/4%2C40%2C2843820%2C14335" TargetMode="External"/><Relationship Id="rId497" Type="http://schemas.openxmlformats.org/officeDocument/2006/relationships/hyperlink" Target="http://www.scielo.br/scielo.php?script=sci_arttext&amp;amp;pid=S0102-" TargetMode="External"/><Relationship Id="rId357" Type="http://schemas.openxmlformats.org/officeDocument/2006/relationships/hyperlink" Target="http://verbetes.cetem.gov.br/impressao/ExibeGlossarioResumo.aspx?verid=4" TargetMode="External"/><Relationship Id="rId1194" Type="http://schemas.openxmlformats.org/officeDocument/2006/relationships/hyperlink" Target="http://verbetes.cetem.gov.br/impressao/ExibeGlossarioResumo.aspx?verid=9" TargetMode="External"/><Relationship Id="rId217" Type="http://schemas.openxmlformats.org/officeDocument/2006/relationships/hyperlink" Target="http://www.juruti.pa.gov.br/conteudo/?item=297&amp;amp;fa=1&amp;amp;cd=2735" TargetMode="External"/><Relationship Id="rId564" Type="http://schemas.openxmlformats.org/officeDocument/2006/relationships/hyperlink" Target="http://www.ibge.gov.br/cidadesat/xtras/perfil.php?codmun=290395&amp;amp;r" TargetMode="External"/><Relationship Id="rId771" Type="http://schemas.openxmlformats.org/officeDocument/2006/relationships/hyperlink" Target="http://www.dci.com.br/noticia.asp?id_editoria=1&amp;amp;id_noticia=182673" TargetMode="External"/><Relationship Id="rId869" Type="http://schemas.openxmlformats.org/officeDocument/2006/relationships/hyperlink" Target="http://www.wwf.org.br/natureza_brasileira/areas_prioritarias/cerrado/" TargetMode="External"/><Relationship Id="rId1499" Type="http://schemas.openxmlformats.org/officeDocument/2006/relationships/hyperlink" Target="http://verbetes.cetem.gov.br/impressao/ExibeGlossarioResumo.aspx?verid=14" TargetMode="External"/><Relationship Id="rId424" Type="http://schemas.openxmlformats.org/officeDocument/2006/relationships/hyperlink" Target="http://pt.shvoong.com/exact-sciences/earth-sciences/1894769-" TargetMode="External"/><Relationship Id="rId631" Type="http://schemas.openxmlformats.org/officeDocument/2006/relationships/hyperlink" Target="http://www.cptba.org.br/joomla15/index.php?option=com_content&amp;amp;vi" TargetMode="External"/><Relationship Id="rId729" Type="http://schemas.openxmlformats.org/officeDocument/2006/relationships/hyperlink" Target="http://blog.opovo.com.br/blogdoeliomar/categoria/sem-" TargetMode="External"/><Relationship Id="rId1054" Type="http://schemas.openxmlformats.org/officeDocument/2006/relationships/hyperlink" Target="http://verbetes.cetem.gov.br/impressao/ExibeGlossarioResumo.aspx?verid=2" TargetMode="External"/><Relationship Id="rId1261" Type="http://schemas.openxmlformats.org/officeDocument/2006/relationships/hyperlink" Target="http://www.cetem.gov.br/publicacao/livros/Vol_1_GRANDES_MINAS" TargetMode="External"/><Relationship Id="rId1359" Type="http://schemas.openxmlformats.org/officeDocument/2006/relationships/hyperlink" Target="http://www.metalica.com.br/siderurgia/votorantim-perto-de-inaugurar-" TargetMode="External"/><Relationship Id="rId936" Type="http://schemas.openxmlformats.org/officeDocument/2006/relationships/hyperlink" Target="http://eregeo.agbjatai.org/anais/textos/25.pdf" TargetMode="External"/><Relationship Id="rId1121" Type="http://schemas.openxmlformats.org/officeDocument/2006/relationships/hyperlink" Target="http://www.scielo.br/scielo.php?pid=S0102-" TargetMode="External"/><Relationship Id="rId1219" Type="http://schemas.openxmlformats.org/officeDocument/2006/relationships/hyperlink" Target="http://www.hojeemdia.com.br/colunas-artigos-e-" TargetMode="External"/><Relationship Id="rId1566" Type="http://schemas.openxmlformats.org/officeDocument/2006/relationships/hyperlink" Target="http://www.conflitoambiental.icict.fiocruz.br/index.php?pag=ficha&amp;amp;co" TargetMode="External"/><Relationship Id="rId65" Type="http://schemas.openxmlformats.org/officeDocument/2006/relationships/hyperlink" Target="http://dnpm.gov.br/mostra_arquivo.asp?IDBancoArquivoArquivo=258" TargetMode="External"/><Relationship Id="rId1426" Type="http://schemas.openxmlformats.org/officeDocument/2006/relationships/hyperlink" Target="http://barrafmnoticias.blogspot.com/2011/05/projeto-de-siderurgica-" TargetMode="External"/><Relationship Id="rId1633" Type="http://schemas.openxmlformats.org/officeDocument/2006/relationships/hyperlink" Target="http://www.crm.rs.gov.br/conteudo/909/?Historico&amp;amp;.UmgNOfnryWY" TargetMode="External"/><Relationship Id="rId1700" Type="http://schemas.openxmlformats.org/officeDocument/2006/relationships/hyperlink" Target="http://www.ibge.gov.br/cidadesat/xtras/perfil.php?codmun=430435&amp;amp;r" TargetMode="External"/><Relationship Id="rId281" Type="http://schemas.openxmlformats.org/officeDocument/2006/relationships/hyperlink" Target="http://www.diarioonline.com.br/noticia-" TargetMode="External"/><Relationship Id="rId141" Type="http://schemas.openxmlformats.org/officeDocument/2006/relationships/hyperlink" Target="http://www.prap.mpf.gov.br/tac/pdf/mpf-ap-tac-2009-003.pdf" TargetMode="External"/><Relationship Id="rId379" Type="http://schemas.openxmlformats.org/officeDocument/2006/relationships/hyperlink" Target="http://www.amazonia.org.br/noticias/noticia.cfm?id=268461" TargetMode="External"/><Relationship Id="rId586" Type="http://schemas.openxmlformats.org/officeDocument/2006/relationships/hyperlink" Target="http://verbetes.cetem.gov.br/impressao/ExibeGlossarioResumo.aspx?verid=16" TargetMode="External"/><Relationship Id="rId793" Type="http://schemas.openxmlformats.org/officeDocument/2006/relationships/hyperlink" Target="http://www.cetem.gov.br/publicacao/CTs/CT2007-105-00.pdf" TargetMode="External"/><Relationship Id="rId7" Type="http://schemas.openxmlformats.org/officeDocument/2006/relationships/image" Target="media/image1.png"/><Relationship Id="rId239" Type="http://schemas.openxmlformats.org/officeDocument/2006/relationships/hyperlink" Target="http://www.ibge.gov.br/cidadesat/topwindow.htm?1" TargetMode="External"/><Relationship Id="rId446" Type="http://schemas.openxmlformats.org/officeDocument/2006/relationships/hyperlink" Target="http://www.mma.gov.br/index.php?ido=conteudo.monta&amp;amp;idEstrutura" TargetMode="External"/><Relationship Id="rId653" Type="http://schemas.openxmlformats.org/officeDocument/2006/relationships/hyperlink" Target="http://www.cetem.gov.br/publicacao/CTs/CT2002-170-00.pdf" TargetMode="External"/><Relationship Id="rId1076" Type="http://schemas.openxmlformats.org/officeDocument/2006/relationships/hyperlink" Target="http://www.tede.ufv.br/tedesimplificado/tde_arquivos/4/TDE-2008-09-" TargetMode="External"/><Relationship Id="rId1283" Type="http://schemas.openxmlformats.org/officeDocument/2006/relationships/hyperlink" Target="http://www.defender.org.br/minas-" TargetMode="External"/><Relationship Id="rId1490" Type="http://schemas.openxmlformats.org/officeDocument/2006/relationships/hyperlink" Target="http://www.cetem.gov.br/publicacao/livros/Vol_1_GRANDES_MINAS" TargetMode="External"/><Relationship Id="rId306" Type="http://schemas.openxmlformats.org/officeDocument/2006/relationships/hyperlink" Target="http://www.cetem.gov.br/publicacao/livros/Vol_1_GRANDES_MINAS" TargetMode="External"/><Relationship Id="rId860" Type="http://schemas.openxmlformats.org/officeDocument/2006/relationships/image" Target="media/image28.png"/><Relationship Id="rId958" Type="http://schemas.openxmlformats.org/officeDocument/2006/relationships/hyperlink" Target="http://rmtonline.globo.com/noticias.asp?em=3&amp;amp;n=485765&amp;amp;p=2" TargetMode="External"/><Relationship Id="rId1143" Type="http://schemas.openxmlformats.org/officeDocument/2006/relationships/hyperlink" Target="http://www.agendasustentavel.com.br/images/pdf/002493.pdf" TargetMode="External"/><Relationship Id="rId1588" Type="http://schemas.openxmlformats.org/officeDocument/2006/relationships/hyperlink" Target="http://www.biblioteca.sebrae.com.br/bds/BDS.nsf/C5B4284E128962" TargetMode="External"/><Relationship Id="rId87" Type="http://schemas.openxmlformats.org/officeDocument/2006/relationships/hyperlink" Target="http://www.brasilmineral.com.br/BM/default.asp?numero=364" TargetMode="External"/><Relationship Id="rId513" Type="http://schemas.openxmlformats.org/officeDocument/2006/relationships/hyperlink" Target="http://www.fatoreal.blog.br/geral/raposa-serra-do-sol-turistas-" TargetMode="External"/><Relationship Id="rId720" Type="http://schemas.openxmlformats.org/officeDocument/2006/relationships/hyperlink" Target="http://www.estadao.com.br/noticias/geral%2Cradioatividade-faz-caetite" TargetMode="External"/><Relationship Id="rId818" Type="http://schemas.openxmlformats.org/officeDocument/2006/relationships/hyperlink" Target="http://www.gvaa.com.br/revista/index.php/RVADS/article/viewFile/27" TargetMode="External"/><Relationship Id="rId1350" Type="http://schemas.openxmlformats.org/officeDocument/2006/relationships/hyperlink" Target="http://verbetes.cetem.gov.br/impressao/ExibeGlossarioResumo.aspx?verid=14" TargetMode="External"/><Relationship Id="rId1448" Type="http://schemas.openxmlformats.org/officeDocument/2006/relationships/hyperlink" Target="http://verbetes.cetem.gov.br/impressao/ExibeGlossarioResumo.aspx?verid=2" TargetMode="External"/><Relationship Id="rId1655" Type="http://schemas.openxmlformats.org/officeDocument/2006/relationships/hyperlink" Target="http://www.ibge.gov.br/cidadesat/topwindow.htm?1" TargetMode="External"/><Relationship Id="rId1003" Type="http://schemas.openxmlformats.org/officeDocument/2006/relationships/hyperlink" Target="http://www.matogrossogoiano.com.br/site/politica/ultimas-" TargetMode="External"/><Relationship Id="rId1210" Type="http://schemas.openxmlformats.org/officeDocument/2006/relationships/hyperlink" Target="http://minutonoticias.com.br/mineracao-riacho-dos-machados-pode-" TargetMode="External"/><Relationship Id="rId1308" Type="http://schemas.openxmlformats.org/officeDocument/2006/relationships/hyperlink" Target="http://www.portalaraxa.com.br/portalaraxa/noticia/noticiadetalhe.php" TargetMode="External"/><Relationship Id="rId1515" Type="http://schemas.openxmlformats.org/officeDocument/2006/relationships/hyperlink" Target="http://www.valor.com.br/empresas/2740264/mpf-processa-csn-por-" TargetMode="External"/><Relationship Id="rId1722" Type="http://schemas.openxmlformats.org/officeDocument/2006/relationships/hyperlink" Target="http://verbetes.cetem.gov.br/impressao/ExibeGlossarioResumo.aspx?verid=4" TargetMode="External"/><Relationship Id="rId14" Type="http://schemas.openxmlformats.org/officeDocument/2006/relationships/footer" Target="footer5.xml"/><Relationship Id="rId163" Type="http://schemas.openxmlformats.org/officeDocument/2006/relationships/hyperlink" Target="http://www.bancoamazonia.com.br/bancoamazonia2/revista/edicao_" TargetMode="External"/><Relationship Id="rId370" Type="http://schemas.openxmlformats.org/officeDocument/2006/relationships/hyperlink" Target="http://www.mme.gov.br/sgm/galerias/arquivos/plano_duo_decenal/a" TargetMode="External"/><Relationship Id="rId230" Type="http://schemas.openxmlformats.org/officeDocument/2006/relationships/hyperlink" Target="http://www.justicanostrilhos.org/nota/111" TargetMode="External"/><Relationship Id="rId468" Type="http://schemas.openxmlformats.org/officeDocument/2006/relationships/hyperlink" Target="http://www.tudorondonia.com/noticias/policia-de-rondonia-fecha-" TargetMode="External"/><Relationship Id="rId675" Type="http://schemas.openxmlformats.org/officeDocument/2006/relationships/hyperlink" Target="http://www.brasilmineral.com.br/BM//default.asp?COD=4694&amp;amp;busca" TargetMode="External"/><Relationship Id="rId882" Type="http://schemas.openxmlformats.org/officeDocument/2006/relationships/hyperlink" Target="http://www.uesc.br/revistas/culturaeturismo/edicao4/artigo_4.pdf" TargetMode="External"/><Relationship Id="rId1098" Type="http://schemas.openxmlformats.org/officeDocument/2006/relationships/hyperlink" Target="http://noticiasmineracao.mining.com/2011/03/01/ferrous-resources-" TargetMode="External"/><Relationship Id="rId328" Type="http://schemas.openxmlformats.org/officeDocument/2006/relationships/hyperlink" Target="http://www.brasilmineral.com.br/BM/default.asp?COD=5040&amp;amp;busca" TargetMode="External"/><Relationship Id="rId535" Type="http://schemas.openxmlformats.org/officeDocument/2006/relationships/hyperlink" Target="http://www.folhabv.com.br/Imprimir_noticia.php?id=97256" TargetMode="External"/><Relationship Id="rId742" Type="http://schemas.openxmlformats.org/officeDocument/2006/relationships/hyperlink" Target="http://decoamaral.wordpress.com/2010/08/04/dhesca-brasil-faz-" TargetMode="External"/><Relationship Id="rId1165" Type="http://schemas.openxmlformats.org/officeDocument/2006/relationships/hyperlink" Target="http://www.revistaecologico.com.br/materia.php?materia=Mjcz&amp;amp;edica" TargetMode="External"/><Relationship Id="rId1372" Type="http://schemas.openxmlformats.org/officeDocument/2006/relationships/hyperlink" Target="http://verbetes.cetem.gov.br/impressao/ExibeGlossarioResumo.aspx?verid=8" TargetMode="External"/><Relationship Id="rId602" Type="http://schemas.openxmlformats.org/officeDocument/2006/relationships/hyperlink" Target="http://www.ida.org.br/denuncias/77-poluicao/173-poluicao-por-" TargetMode="External"/><Relationship Id="rId1025" Type="http://schemas.openxmlformats.org/officeDocument/2006/relationships/hyperlink" Target="http://verbetes.cetem.gov.br/impressao/ExibeGlossarioResumo.aspx?verid=9" TargetMode="External"/><Relationship Id="rId1232" Type="http://schemas.openxmlformats.org/officeDocument/2006/relationships/hyperlink" Target="http://wwo.uai.com.br/UAI/html/sessao_4/2009/01/30/em_noticia_int" TargetMode="External"/><Relationship Id="rId1677" Type="http://schemas.openxmlformats.org/officeDocument/2006/relationships/hyperlink" Target="http://verbetes.cetem.gov.br/impressao/ExibeGlossarioResumo.aspx?verid=16" TargetMode="External"/><Relationship Id="rId907" Type="http://schemas.openxmlformats.org/officeDocument/2006/relationships/hyperlink" Target="http://anglo.olyva.com.br/aa_br/docs/relatorio-para-sociedade-" TargetMode="External"/><Relationship Id="rId1537" Type="http://schemas.openxmlformats.org/officeDocument/2006/relationships/hyperlink" Target="http://www.pmsfi.rj.gov.br/ctdo/index.php?id=29" TargetMode="External"/><Relationship Id="rId1744" Type="http://schemas.openxmlformats.org/officeDocument/2006/relationships/hyperlink" Target="http://www.bibliotecadigital.ufrgs.br/da.php?nrb=000627975&amp;amp;loc=200" TargetMode="External"/><Relationship Id="rId36" Type="http://schemas.openxmlformats.org/officeDocument/2006/relationships/hyperlink" Target="http://www.mobilizadores.org.br/coep/Publico/consultarConteudoGrupo.aspx?TP=V&amp;amp;CODIGO" TargetMode="External"/><Relationship Id="rId1604" Type="http://schemas.openxmlformats.org/officeDocument/2006/relationships/hyperlink" Target="http://verbetes.cetem.gov.br/impressao/ExibeGlossarioResumo.aspx?verid=10" TargetMode="External"/><Relationship Id="rId185" Type="http://schemas.openxmlformats.org/officeDocument/2006/relationships/hyperlink" Target="http://www3.ufpa.br/projetomineracao/docs/estrut/Arq%2017-" TargetMode="External"/><Relationship Id="rId392" Type="http://schemas.openxmlformats.org/officeDocument/2006/relationships/hyperlink" Target="http://valeqvale.wordpress.com/2012/06/26/mina-grande-conflitos-" TargetMode="External"/><Relationship Id="rId697" Type="http://schemas.openxmlformats.org/officeDocument/2006/relationships/hyperlink" Target="http://www.ecodebate.com.br/2009/10/07/seminario-define-" TargetMode="External"/><Relationship Id="rId252" Type="http://schemas.openxmlformats.org/officeDocument/2006/relationships/hyperlink" Target="http://verbetes.cetem.gov.br/impressao/ExibeGlossarioResumo.aspx?verid=2" TargetMode="External"/><Relationship Id="rId1187" Type="http://schemas.openxmlformats.org/officeDocument/2006/relationships/hyperlink" Target="http://www.scielo.br/scielo.php?pid=S1413-" TargetMode="External"/><Relationship Id="rId112" Type="http://schemas.openxmlformats.org/officeDocument/2006/relationships/hyperlink" Target="http://periodicos.unifap.br/index.php/pracs/article/view/32/n2Helena.p" TargetMode="External"/><Relationship Id="rId557" Type="http://schemas.openxmlformats.org/officeDocument/2006/relationships/hyperlink" Target="http://www.cetem.gov.br/publicacao/livros/Vol_2_APL_TOTAL.pdf" TargetMode="External"/><Relationship Id="rId764" Type="http://schemas.openxmlformats.org/officeDocument/2006/relationships/hyperlink" Target="http://roteiroceara.uol.com.br/roteiro/serras/chapada-do-araripe/" TargetMode="External"/><Relationship Id="rId971" Type="http://schemas.openxmlformats.org/officeDocument/2006/relationships/hyperlink" Target="http://www.scielo.br/pdf/csp/v12n1/1600.pdf" TargetMode="External"/><Relationship Id="rId1394" Type="http://schemas.openxmlformats.org/officeDocument/2006/relationships/hyperlink" Target="http://www.ensp.fiocruz.br/portal-" TargetMode="External"/><Relationship Id="rId1699" Type="http://schemas.openxmlformats.org/officeDocument/2006/relationships/hyperlink" Target="http://www.cgtee.gov.br/sitenovo/index.php?secao=103&amp;amp;periodico=6" TargetMode="External"/><Relationship Id="rId417" Type="http://schemas.openxmlformats.org/officeDocument/2006/relationships/hyperlink" Target="http://quarto-/" TargetMode="External"/><Relationship Id="rId624" Type="http://schemas.openxmlformats.org/officeDocument/2006/relationships/hyperlink" Target="http://sbgeo.org.br/pub_sbg/cbg/2004-" TargetMode="External"/><Relationship Id="rId831" Type="http://schemas.openxmlformats.org/officeDocument/2006/relationships/hyperlink" Target="http://www2.ifrn.edu.br/ojs/index.php/HOLOS/article/viewFile/265/27" TargetMode="External"/><Relationship Id="rId1047" Type="http://schemas.openxmlformats.org/officeDocument/2006/relationships/hyperlink" Target="http://www.ibge.gov.br/cidadesat/xtras/perfil.php?codmun=314610&amp;amp;r" TargetMode="External"/><Relationship Id="rId1254" Type="http://schemas.openxmlformats.org/officeDocument/2006/relationships/hyperlink" Target="http://www.kinross.com.br/index.php/estudo-aponta-baixo-risco-a-" TargetMode="External"/><Relationship Id="rId1461" Type="http://schemas.openxmlformats.org/officeDocument/2006/relationships/hyperlink" Target="http://kooperation-/" TargetMode="External"/><Relationship Id="rId929" Type="http://schemas.openxmlformats.org/officeDocument/2006/relationships/hyperlink" Target="http://verbetes.cetem.gov.br/impressao/ExibeGlossarioResumo.aspx?verid=11" TargetMode="External"/><Relationship Id="rId1114" Type="http://schemas.openxmlformats.org/officeDocument/2006/relationships/hyperlink" Target="http://www.ibram.org.br/150/15001002.asp?ttCD_CHAVE=113034" TargetMode="External"/><Relationship Id="rId1321" Type="http://schemas.openxmlformats.org/officeDocument/2006/relationships/hyperlink" Target="http://www.bdtd.ufu.br/tde_busca/arquivo.php?codArquivo=500" TargetMode="External"/><Relationship Id="rId1559" Type="http://schemas.openxmlformats.org/officeDocument/2006/relationships/hyperlink" Target="http://www.brasilmineral.com.br/BM/default.asp?COD=3179&amp;amp;busca" TargetMode="External"/><Relationship Id="rId58" Type="http://schemas.openxmlformats.org/officeDocument/2006/relationships/hyperlink" Target="http://www.portalodm.com.br/relatorios/1-acabar-com-a-fome-e-a-miseria/pa/parauapebas" TargetMode="External"/><Relationship Id="rId1419" Type="http://schemas.openxmlformats.org/officeDocument/2006/relationships/hyperlink" Target="http://pelicano.ipen.br/PosG30/PDF/Andreza%20Portella%20Ribeiro" TargetMode="External"/><Relationship Id="rId1626" Type="http://schemas.openxmlformats.org/officeDocument/2006/relationships/hyperlink" Target="mailto:rrocha@cetem.gov.br" TargetMode="External"/><Relationship Id="rId274" Type="http://schemas.openxmlformats.org/officeDocument/2006/relationships/hyperlink" Target="http://verbetes.cetem.gov.br/impressao/ExibeGlossarioResumo.aspx?verid=12" TargetMode="External"/><Relationship Id="rId481" Type="http://schemas.openxmlformats.org/officeDocument/2006/relationships/hyperlink" Target="http://www.mme.gov.br/sgm/galerias/arquivos/plano_duo_decenal/a" TargetMode="External"/><Relationship Id="rId702" Type="http://schemas.openxmlformats.org/officeDocument/2006/relationships/hyperlink" Target="http://www.ibge.gov.br/cidadesat/xtras/perfil.php?codmun=291840&amp;amp;s" TargetMode="External"/><Relationship Id="rId1125" Type="http://schemas.openxmlformats.org/officeDocument/2006/relationships/hyperlink" Target="http://www.ibge.gov.br/cidadesat/topwindow.htm?1" TargetMode="External"/><Relationship Id="rId1332" Type="http://schemas.openxmlformats.org/officeDocument/2006/relationships/hyperlink" Target="http://globominas.globo.com/GloboMinas/Noticias/BomDiaMinas/0" TargetMode="External"/><Relationship Id="rId69" Type="http://schemas.openxmlformats.org/officeDocument/2006/relationships/hyperlink" Target="http://www.cartamaior.com.br/templates/materiaMostrar.cfm?materia" TargetMode="External"/><Relationship Id="rId134" Type="http://schemas.openxmlformats.org/officeDocument/2006/relationships/hyperlink" Target="http://www.lucianacapiberibe.com/2009/03/31/pesquisa-detecta-" TargetMode="External"/><Relationship Id="rId579" Type="http://schemas.openxmlformats.org/officeDocument/2006/relationships/hyperlink" Target="http://www.scielosp.org/scielo.php?pid=S1020-" TargetMode="External"/><Relationship Id="rId786" Type="http://schemas.openxmlformats.org/officeDocument/2006/relationships/hyperlink" Target="http://verbetes.cetem.gov.br/impressao/ExibeGlossarioResumo.aspx?verid=9" TargetMode="External"/><Relationship Id="rId993" Type="http://schemas.openxmlformats.org/officeDocument/2006/relationships/hyperlink" Target="http://www.mp.go.gov.br/portalweb/1/noticia/bdade2cd5fc72ddccc34" TargetMode="External"/><Relationship Id="rId1637" Type="http://schemas.openxmlformats.org/officeDocument/2006/relationships/hyperlink" Target="http://www.setur.rs.gov.br/portal/index.php?q=destino&amp;amp;cod=4&amp;amp;opt&amp;amp;id=55&amp;amp;bd&amp;amp;fg=3" TargetMode="External"/><Relationship Id="rId341" Type="http://schemas.openxmlformats.org/officeDocument/2006/relationships/hyperlink" Target="http://economia.ig.com.br/empresas/industria/saiba%2Bcomo%2Bfunciona%2B" TargetMode="External"/><Relationship Id="rId439" Type="http://schemas.openxmlformats.org/officeDocument/2006/relationships/hyperlink" Target="http://www.reporterbrasil.org.br/exibe.php?id=1238" TargetMode="External"/><Relationship Id="rId646" Type="http://schemas.openxmlformats.org/officeDocument/2006/relationships/hyperlink" Target="http://www.dernegocios.com.br/noticias/noticia/id/230" TargetMode="External"/><Relationship Id="rId1069" Type="http://schemas.openxmlformats.org/officeDocument/2006/relationships/hyperlink" Target="http://www.ibge.gov.br/cidadesat/xtras/perfil.php?codmun=314390&amp;amp;r" TargetMode="External"/><Relationship Id="rId1276" Type="http://schemas.openxmlformats.org/officeDocument/2006/relationships/hyperlink" Target="http://www.dnpm.gov.br/conteudo.asp?IDSecao=99&amp;amp;IDPagina=72&amp;amp;I" TargetMode="External"/><Relationship Id="rId1483" Type="http://schemas.openxmlformats.org/officeDocument/2006/relationships/hyperlink" Target="http://www.anuario.igeo.ufrj.br/anuario_2002/vol25_68_84.pdf" TargetMode="External"/><Relationship Id="rId1704" Type="http://schemas.openxmlformats.org/officeDocument/2006/relationships/hyperlink" Target="http://www.correiobraziliense.com.br/app/noticia/brasil/2011/03/15/int" TargetMode="External"/><Relationship Id="rId201" Type="http://schemas.openxmlformats.org/officeDocument/2006/relationships/hyperlink" Target="http://egal2009.easyplanners.info/area07/7656_VERDE_RODRIGO_" TargetMode="External"/><Relationship Id="rId285" Type="http://schemas.openxmlformats.org/officeDocument/2006/relationships/hyperlink" Target="http://www.folhadosudesteonline.com/index.php?option=com_conten" TargetMode="External"/><Relationship Id="rId506" Type="http://schemas.openxmlformats.org/officeDocument/2006/relationships/hyperlink" Target="http://verbetes.cetem.gov.br/impressao/ExibeGlossarioResumo.aspx?verid=8" TargetMode="External"/><Relationship Id="rId853" Type="http://schemas.openxmlformats.org/officeDocument/2006/relationships/hyperlink" Target="http://www1.folha.uol.com.br/folha/dinheiro/ult91u720077.shtml" TargetMode="External"/><Relationship Id="rId1136" Type="http://schemas.openxmlformats.org/officeDocument/2006/relationships/hyperlink" Target="http://www.cidademais.com.br/noticias/?id=20550" TargetMode="External"/><Relationship Id="rId1690" Type="http://schemas.openxmlformats.org/officeDocument/2006/relationships/hyperlink" Target="http://www.google.com.br/url?sa=t&amp;amp;rct=j&amp;amp;q&amp;amp;esrc=s&amp;amp;source=web&amp;amp;c" TargetMode="External"/><Relationship Id="rId492" Type="http://schemas.openxmlformats.org/officeDocument/2006/relationships/hyperlink" Target="http://www.athena.biblioteca.unesp.br/exlibris/bd/brc/33004137036P" TargetMode="External"/><Relationship Id="rId713" Type="http://schemas.openxmlformats.org/officeDocument/2006/relationships/hyperlink" Target="http://www.bahianoticias.com.br/.../57059%2Ccaetite-populacao-consome-" TargetMode="External"/><Relationship Id="rId797" Type="http://schemas.openxmlformats.org/officeDocument/2006/relationships/hyperlink" Target="http://verbetes.cetem.gov.br/impressao/ExibeGlossarioResumo.aspx?verid=13" TargetMode="External"/><Relationship Id="rId920" Type="http://schemas.openxmlformats.org/officeDocument/2006/relationships/hyperlink" Target="http://www.saneamento.poli.ufrj.br/documentos/24CBES/VI-" TargetMode="External"/><Relationship Id="rId1343" Type="http://schemas.openxmlformats.org/officeDocument/2006/relationships/hyperlink" Target="http://www.brasildefato.com.br/node/1107" TargetMode="External"/><Relationship Id="rId1550" Type="http://schemas.openxmlformats.org/officeDocument/2006/relationships/hyperlink" Target="http://www.cetem.gov.br/publicacao/serie_anais_XIX_jic_2011/XIX_J" TargetMode="External"/><Relationship Id="rId1648" Type="http://schemas.openxmlformats.org/officeDocument/2006/relationships/hyperlink" Target="http://verbetes.cetem.gov.br/impressao/ExibeGlossarioResumo.aspx?verid=5" TargetMode="External"/><Relationship Id="rId145" Type="http://schemas.openxmlformats.org/officeDocument/2006/relationships/hyperlink" Target="http://verbetes.cetem.gov.br/impressao/ExibeGlossarioResumo.aspx?verid=9" TargetMode="External"/><Relationship Id="rId352" Type="http://schemas.openxmlformats.org/officeDocument/2006/relationships/hyperlink" Target="http://www.socioambiental.org/noticias/nsa/detalhe?id=2334" TargetMode="External"/><Relationship Id="rId1203" Type="http://schemas.openxmlformats.org/officeDocument/2006/relationships/hyperlink" Target="http://www.onggasb.com.br/2010/07/codema-pode-permitir-" TargetMode="External"/><Relationship Id="rId1287" Type="http://schemas.openxmlformats.org/officeDocument/2006/relationships/hyperlink" Target="http://www.scielo.br/pdf/rem/v63n2/remv63n2a22.pdf" TargetMode="External"/><Relationship Id="rId1410" Type="http://schemas.openxmlformats.org/officeDocument/2006/relationships/hyperlink" Target="http://www.conflitoambiental.icict.fiocruz.br/index.php?pag=ficha&amp;amp;co" TargetMode="External"/><Relationship Id="rId1508" Type="http://schemas.openxmlformats.org/officeDocument/2006/relationships/hyperlink" Target="http://www.conjur.com.br/2005-jul-" TargetMode="External"/><Relationship Id="rId212" Type="http://schemas.openxmlformats.org/officeDocument/2006/relationships/hyperlink" Target="http://www.mp.pa.gov.br/not091216_00.php" TargetMode="External"/><Relationship Id="rId657" Type="http://schemas.openxmlformats.org/officeDocument/2006/relationships/hyperlink" Target="http://www.jornaldamidia.com.br/noticias/2005/09/14/Bahia_Nacional" TargetMode="External"/><Relationship Id="rId864" Type="http://schemas.openxmlformats.org/officeDocument/2006/relationships/hyperlink" Target="http://www.corumba.ms.gov.br/site/corumba/2/dados-economicos/11/" TargetMode="External"/><Relationship Id="rId1494" Type="http://schemas.openxmlformats.org/officeDocument/2006/relationships/hyperlink" Target="http://www.redeaplmineral.org.br/noticias/tecnologias-para-" TargetMode="External"/><Relationship Id="rId1715" Type="http://schemas.openxmlformats.org/officeDocument/2006/relationships/hyperlink" Target="http://www.prefeitura.cacapava.net/newsite/index.html?i=18a" TargetMode="External"/><Relationship Id="rId296" Type="http://schemas.openxmlformats.org/officeDocument/2006/relationships/hyperlink" Target="http://www.iec.pa.gov.br/sevep/pesquisa.htm" TargetMode="External"/><Relationship Id="rId517" Type="http://schemas.openxmlformats.org/officeDocument/2006/relationships/hyperlink" Target="http://www.estadao.com.br/noticias/impresso%2Cestado-de-direito-e-" TargetMode="External"/><Relationship Id="rId724" Type="http://schemas.openxmlformats.org/officeDocument/2006/relationships/hyperlink" Target="http://www.sober.org.br/palestra/13/260.pdf" TargetMode="External"/><Relationship Id="rId931" Type="http://schemas.openxmlformats.org/officeDocument/2006/relationships/hyperlink" Target="http://biblioteca.ibge.gov.br/visualizacao/dtbs/goias/montealegredego" TargetMode="External"/><Relationship Id="rId1147" Type="http://schemas.openxmlformats.org/officeDocument/2006/relationships/hyperlink" Target="http://dspace.lcc.ufmg.br/dspace/bitstream/1843/MAPO-" TargetMode="External"/><Relationship Id="rId1354" Type="http://schemas.openxmlformats.org/officeDocument/2006/relationships/hyperlink" Target="http://verbetes.cetem.gov.br/impressao/ExibeGlossarioResumo.aspx?verid=4" TargetMode="External"/><Relationship Id="rId1561" Type="http://schemas.openxmlformats.org/officeDocument/2006/relationships/hyperlink" Target="http://www.ambiente.sp.gov.br/acontece/noticias/avare-assina-" TargetMode="External"/><Relationship Id="rId60" Type="http://schemas.openxmlformats.org/officeDocument/2006/relationships/hyperlink" Target="http://www.cetem.gov.br/publicacao/serie_anais_XVII_jic_2009/Rodrigo_Braga_da_Rocha_Villa_Verde.p" TargetMode="External"/><Relationship Id="rId156" Type="http://schemas.openxmlformats.org/officeDocument/2006/relationships/hyperlink" Target="http://www.ibge.gov.br/cidadesat/topwindow.htm?1" TargetMode="External"/><Relationship Id="rId363" Type="http://schemas.openxmlformats.org/officeDocument/2006/relationships/hyperlink" Target="http://www.forumcarajas.org.br/portal.php?artigo&amp;amp;mostra&amp;amp;2880" TargetMode="External"/><Relationship Id="rId570" Type="http://schemas.openxmlformats.org/officeDocument/2006/relationships/hyperlink" Target="http://www.webartigos.com/articles/24591/1/IMPACTOS-" TargetMode="External"/><Relationship Id="rId1007" Type="http://schemas.openxmlformats.org/officeDocument/2006/relationships/hyperlink" Target="mailto:ffernandes@cetem.gov.br" TargetMode="External"/><Relationship Id="rId1214" Type="http://schemas.openxmlformats.org/officeDocument/2006/relationships/hyperlink" Target="http://www.caa.org.br/noticia.php?ID=47" TargetMode="External"/><Relationship Id="rId1421" Type="http://schemas.openxmlformats.org/officeDocument/2006/relationships/hyperlink" Target="http://www.redebrasilatual.com.br/revistas/34/morte-anunciada-de-" TargetMode="External"/><Relationship Id="rId1659" Type="http://schemas.openxmlformats.org/officeDocument/2006/relationships/hyperlink" Target="http://verbetes.cetem.gov.br/impressao/ExibeGlossarioResumo.aspx?verid=5" TargetMode="External"/><Relationship Id="rId223" Type="http://schemas.openxmlformats.org/officeDocument/2006/relationships/hyperlink" Target="http://www.ufpa.br/ppgeo/arquivos/dissertacoes/2009/Marcio%20Be" TargetMode="External"/><Relationship Id="rId430" Type="http://schemas.openxmlformats.org/officeDocument/2006/relationships/hyperlink" Target="http://verbetes.cetem.gov.br/impressao/ExibeGlossarioResumo.aspx?verid=12" TargetMode="External"/><Relationship Id="rId668" Type="http://schemas.openxmlformats.org/officeDocument/2006/relationships/hyperlink" Target="http://verbetes.cetem.gov.br/impressao/ExibeGlossarioResumo.aspx?verid=11" TargetMode="External"/><Relationship Id="rId875" Type="http://schemas.openxmlformats.org/officeDocument/2006/relationships/hyperlink" Target="http://www.estadao.com.br/noticias/nacional%2Cpara-especialista-" TargetMode="External"/><Relationship Id="rId1060" Type="http://schemas.openxmlformats.org/officeDocument/2006/relationships/hyperlink" Target="http://www.em.com.br/app/noticia/gerais/2011/03/30/interna_gerais%2C2" TargetMode="External"/><Relationship Id="rId1298" Type="http://schemas.openxmlformats.org/officeDocument/2006/relationships/hyperlink" Target="http://www.inb.gov.br/pt-" TargetMode="External"/><Relationship Id="rId1519" Type="http://schemas.openxmlformats.org/officeDocument/2006/relationships/hyperlink" Target="http://www.scielosp.org/pdf/csp/v14n3/0083.pdf" TargetMode="External"/><Relationship Id="rId1726" Type="http://schemas.openxmlformats.org/officeDocument/2006/relationships/hyperlink" Target="http://verbetes.cetem.gov.br/impressao/ExibeGlossarioResumo.aspx?verid=16" TargetMode="External"/><Relationship Id="rId18" Type="http://schemas.openxmlformats.org/officeDocument/2006/relationships/image" Target="media/image4.jpeg"/><Relationship Id="rId528" Type="http://schemas.openxmlformats.org/officeDocument/2006/relationships/hyperlink" Target="http://www.conflitoambiental.icict.fiocruz.br/index.php?pag=ficha&amp;amp;co" TargetMode="External"/><Relationship Id="rId735" Type="http://schemas.openxmlformats.org/officeDocument/2006/relationships/hyperlink" Target="http://blogs.diariodonordeste.com.br/egidio/micro-alga-limpara-" TargetMode="External"/><Relationship Id="rId942" Type="http://schemas.openxmlformats.org/officeDocument/2006/relationships/hyperlink" Target="http://www.troyres.com.br/sustainability/brazil.html" TargetMode="External"/><Relationship Id="rId1158" Type="http://schemas.openxmlformats.org/officeDocument/2006/relationships/hyperlink" Target="http://onggasb.dihitt.com.br/noticia/ministerio-publico-" TargetMode="External"/><Relationship Id="rId1365" Type="http://schemas.openxmlformats.org/officeDocument/2006/relationships/hyperlink" Target="http://www.icz.org.br/icz-noticias-ler.php?cod=3361" TargetMode="External"/><Relationship Id="rId1572" Type="http://schemas.openxmlformats.org/officeDocument/2006/relationships/hyperlink" Target="http://verbetes.cetem.gov.br/impressao/ExibeGlossarioResumo.aspx?verid=7" TargetMode="External"/><Relationship Id="rId167" Type="http://schemas.openxmlformats.org/officeDocument/2006/relationships/hyperlink" Target="http://www1.folha.uol.com.br/folha/brasil/ult96u483701.shtml" TargetMode="External"/><Relationship Id="rId374" Type="http://schemas.openxmlformats.org/officeDocument/2006/relationships/hyperlink" Target="http://www.dnpm.gov.br/assets/galeriaDocumento/SumarioMineral20" TargetMode="External"/><Relationship Id="rId581" Type="http://schemas.openxmlformats.org/officeDocument/2006/relationships/hyperlink" Target="http://www.ibge.gov.br/cidadesat/xtras/perfil.php?codmun=292860&amp;amp;r" TargetMode="External"/><Relationship Id="rId1018" Type="http://schemas.openxmlformats.org/officeDocument/2006/relationships/hyperlink" Target="http://geografalando.blogspot.com.br/2011/11/aula-estrutura-gelogica-brasileira.html" TargetMode="External"/><Relationship Id="rId1225" Type="http://schemas.openxmlformats.org/officeDocument/2006/relationships/hyperlink" Target="http://www.diariodocomercio.com.br/index.php?id=70&amp;amp;conteudoId=1" TargetMode="External"/><Relationship Id="rId1432" Type="http://schemas.openxmlformats.org/officeDocument/2006/relationships/hyperlink" Target="http://www.portalclubedeengenharia.org.br/info/clube-de-engenharia-" TargetMode="External"/><Relationship Id="rId71" Type="http://schemas.openxmlformats.org/officeDocument/2006/relationships/hyperlink" Target="http://verbetes.cetem.gov.br/impressao/ExibeGlossarioResumo.aspx?verid=11" TargetMode="External"/><Relationship Id="rId234" Type="http://schemas.openxmlformats.org/officeDocument/2006/relationships/hyperlink" Target="http://www.justicanostrilhos.org/nota/101" TargetMode="External"/><Relationship Id="rId679" Type="http://schemas.openxmlformats.org/officeDocument/2006/relationships/hyperlink" Target="http://www.dnpm.gov.br/mostra_arquivo.asp?IDBancoArquivoArquiv" TargetMode="External"/><Relationship Id="rId802" Type="http://schemas.openxmlformats.org/officeDocument/2006/relationships/hyperlink" Target="http://www.meionorte.com/juazeirodopiaui/data/2011-" TargetMode="External"/><Relationship Id="rId886" Type="http://schemas.openxmlformats.org/officeDocument/2006/relationships/hyperlink" Target="http://www.petitamineria.com/comunicaciones/gemasdobrasil/gemas" TargetMode="External"/><Relationship Id="rId1737" Type="http://schemas.openxmlformats.org/officeDocument/2006/relationships/hyperlink" Target="http://verbetes.cetem.gov.br/impressao/ExibeGlossarioResumo.aspx?verid=12" TargetMode="External"/><Relationship Id="rId2" Type="http://schemas.openxmlformats.org/officeDocument/2006/relationships/styles" Target="styles.xml"/><Relationship Id="rId29" Type="http://schemas.openxmlformats.org/officeDocument/2006/relationships/hyperlink" Target="http://www.mma.gov.br/port/conama/legiabre.cfm?codlegi=237" TargetMode="External"/><Relationship Id="rId441" Type="http://schemas.openxmlformats.org/officeDocument/2006/relationships/hyperlink" Target="http://www.ibge.gov.br/cidadesat/xtras/perfil.php?codmun=210005&amp;amp;r" TargetMode="External"/><Relationship Id="rId539" Type="http://schemas.openxmlformats.org/officeDocument/2006/relationships/hyperlink" Target="mailto:ralamino@cetem.gov.br" TargetMode="External"/><Relationship Id="rId746" Type="http://schemas.openxmlformats.org/officeDocument/2006/relationships/hyperlink" Target="http://www.brasilmineral.com.br/BM/default.asp?COD=4402&amp;amp;busca" TargetMode="External"/><Relationship Id="rId1071" Type="http://schemas.openxmlformats.org/officeDocument/2006/relationships/hyperlink" Target="http://www.ibge.gov.br/cidadesat/xtras/perfil.php?codmun=330230&amp;amp;r" TargetMode="External"/><Relationship Id="rId1169" Type="http://schemas.openxmlformats.org/officeDocument/2006/relationships/hyperlink" Target="http://saladeimprensa.vale.com/pt/releases/interna.asp?id=19583" TargetMode="External"/><Relationship Id="rId1376" Type="http://schemas.openxmlformats.org/officeDocument/2006/relationships/hyperlink" Target="http://www.adital.org.br/site/noticia.asp?lang=PT&amp;amp;cod=37569" TargetMode="External"/><Relationship Id="rId1583" Type="http://schemas.openxmlformats.org/officeDocument/2006/relationships/hyperlink" Target="http://www.scielo.br/pdf/brag/v66n3/a18v66n3.pdf" TargetMode="External"/><Relationship Id="rId178" Type="http://schemas.openxmlformats.org/officeDocument/2006/relationships/hyperlink" Target="http://www.reporterbrasil.com.br/exibe.php?id=831" TargetMode="External"/><Relationship Id="rId301" Type="http://schemas.openxmlformats.org/officeDocument/2006/relationships/hyperlink" Target="http://mineracaosudesteparaense.wordpress.com/2011/02/02/vale-" TargetMode="External"/><Relationship Id="rId953" Type="http://schemas.openxmlformats.org/officeDocument/2006/relationships/hyperlink" Target="http://www.bibliotecadigital.ufmg.br/dspace/bitstream/1843/BUOS-" TargetMode="External"/><Relationship Id="rId1029" Type="http://schemas.openxmlformats.org/officeDocument/2006/relationships/hyperlink" Target="http://www.cetem.gov.br/publicacao/CTs/CT2007-" TargetMode="External"/><Relationship Id="rId1236" Type="http://schemas.openxmlformats.org/officeDocument/2006/relationships/hyperlink" Target="http://www.ibgm.com.br/UserFiles/File/ibgmMDIC2005all.pdf" TargetMode="External"/><Relationship Id="rId82" Type="http://schemas.openxmlformats.org/officeDocument/2006/relationships/hyperlink" Target="http://verbetes.cetem.gov.br/impressao/ExibeGlossarioResumo.aspx?verid=9" TargetMode="External"/><Relationship Id="rId385" Type="http://schemas.openxmlformats.org/officeDocument/2006/relationships/hyperlink" Target="http://mineracaosudesteparaense.wordpress.com/2011/02/page/2" TargetMode="External"/><Relationship Id="rId592" Type="http://schemas.openxmlformats.org/officeDocument/2006/relationships/hyperlink" Target="http://www.boquiraonline.com.br/" TargetMode="External"/><Relationship Id="rId606" Type="http://schemas.openxmlformats.org/officeDocument/2006/relationships/hyperlink" Target="http://verbetes.cetem.gov.br/impressao/ExibeGlossarioResumo.aspx?verid=4" TargetMode="External"/><Relationship Id="rId813" Type="http://schemas.openxmlformats.org/officeDocument/2006/relationships/hyperlink" Target="http://verbetes.cetem.gov.br/impressao/ExibeGlossarioResumo.aspx?verid=7" TargetMode="External"/><Relationship Id="rId1443" Type="http://schemas.openxmlformats.org/officeDocument/2006/relationships/hyperlink" Target="http://noticias.r7.com/rio-" TargetMode="External"/><Relationship Id="rId1650" Type="http://schemas.openxmlformats.org/officeDocument/2006/relationships/hyperlink" Target="http://verbetes.cetem.gov.br/impressao/ExibeGlossarioResumo.aspx?verid=11" TargetMode="External"/><Relationship Id="rId1748" Type="http://schemas.openxmlformats.org/officeDocument/2006/relationships/hyperlink" Target="http://verbetes.cetem.gov.br/impressao/ExibeGlossarioResumo.aspx?verid=15" TargetMode="External"/><Relationship Id="rId245" Type="http://schemas.openxmlformats.org/officeDocument/2006/relationships/hyperlink" Target="http://www.mrn.com.br/quem_somos/portotrombetas.html" TargetMode="External"/><Relationship Id="rId452" Type="http://schemas.openxmlformats.org/officeDocument/2006/relationships/hyperlink" Target="http://www.maraba.pa.gov.br/a_cidade.htm" TargetMode="External"/><Relationship Id="rId897" Type="http://schemas.openxmlformats.org/officeDocument/2006/relationships/hyperlink" Target="http://www.brasilmineral.com.br/BM/default.asp?COD=5748&amp;amp;busca" TargetMode="External"/><Relationship Id="rId1082" Type="http://schemas.openxmlformats.org/officeDocument/2006/relationships/hyperlink" Target="http://www.brasilmineral.com.br/BM/default.asp?COD=5055&amp;amp;busca" TargetMode="External"/><Relationship Id="rId1303" Type="http://schemas.openxmlformats.org/officeDocument/2006/relationships/hyperlink" Target="http://verbetes.cetem.gov.br/impressao/ExibeGlossarioResumo.aspx?verid=14" TargetMode="External"/><Relationship Id="rId1510" Type="http://schemas.openxmlformats.org/officeDocument/2006/relationships/hyperlink" Target="http://www.espacovital.com.br/noticia_ler.php?id=4865" TargetMode="External"/><Relationship Id="rId105" Type="http://schemas.openxmlformats.org/officeDocument/2006/relationships/hyperlink" Target="http://www.ambiente.gov.ar/archivos/web/trabajo/File/Latino%20y%252" TargetMode="External"/><Relationship Id="rId312" Type="http://schemas.openxmlformats.org/officeDocument/2006/relationships/hyperlink" Target="http://www.valor.com.br/arquivo/875549/vale-" TargetMode="External"/><Relationship Id="rId757" Type="http://schemas.openxmlformats.org/officeDocument/2006/relationships/hyperlink" Target="http://diariodonordeste.globo.com/materia.asp?codigo=915731" TargetMode="External"/><Relationship Id="rId964" Type="http://schemas.openxmlformats.org/officeDocument/2006/relationships/hyperlink" Target="http://www3.ufpa.br/projetomineracao/docs/estrut/NCN-2007-" TargetMode="External"/><Relationship Id="rId1387" Type="http://schemas.openxmlformats.org/officeDocument/2006/relationships/hyperlink" Target="http://www.igc.ufmg.br/geonomos/PDFs/14_2_55_63_Oliveira.pdf" TargetMode="External"/><Relationship Id="rId1594" Type="http://schemas.openxmlformats.org/officeDocument/2006/relationships/hyperlink" Target="http://www.youtube.com/watch?v=T0lfzyQzpUQ" TargetMode="External"/><Relationship Id="rId1608" Type="http://schemas.openxmlformats.org/officeDocument/2006/relationships/hyperlink" Target="http://www.brasilmineral.com.br/BM/default.asp?COD=5787&amp;amp;busca" TargetMode="External"/><Relationship Id="rId93" Type="http://schemas.openxmlformats.org/officeDocument/2006/relationships/hyperlink" Target="http://www.ibge.gov.br/cidadesat/xtras/perfil.php?codmun=160015&amp;amp;r" TargetMode="External"/><Relationship Id="rId189" Type="http://schemas.openxmlformats.org/officeDocument/2006/relationships/hyperlink" Target="http://www.ibge.gov.br/cidadesat/xtras/perfil.php?codmun=210005&amp;amp;r" TargetMode="External"/><Relationship Id="rId396" Type="http://schemas.openxmlformats.org/officeDocument/2006/relationships/hyperlink" Target="http://www.brasilmineral.com.br/BM/default.asp?COD=296&amp;amp;busca" TargetMode="External"/><Relationship Id="rId617" Type="http://schemas.openxmlformats.org/officeDocument/2006/relationships/hyperlink" Target="http://www.seagri.ba.gov.br/noticias.asp?qact=view&amp;amp;notid=10131" TargetMode="External"/><Relationship Id="rId824" Type="http://schemas.openxmlformats.org/officeDocument/2006/relationships/hyperlink" Target="http://www.prefeiturademossoro.com.br/mossoro_geografia.php" TargetMode="External"/><Relationship Id="rId1247" Type="http://schemas.openxmlformats.org/officeDocument/2006/relationships/hyperlink" Target="http://www.correiobraziliense.com.br/app/noticia182/2010/05/31/eco" TargetMode="External"/><Relationship Id="rId1454" Type="http://schemas.openxmlformats.org/officeDocument/2006/relationships/hyperlink" Target="http://cspconlutas.org.br/2012/01/mocao-de-" TargetMode="External"/><Relationship Id="rId1661" Type="http://schemas.openxmlformats.org/officeDocument/2006/relationships/hyperlink" Target="http://verbetes.cetem.gov.br/impressao/ExibeGlossarioResumo.aspx?verid=14" TargetMode="External"/><Relationship Id="rId256" Type="http://schemas.openxmlformats.org/officeDocument/2006/relationships/hyperlink" Target="http://jordynacamara.blogspot.com/2011/09/audiencia-em-" TargetMode="External"/><Relationship Id="rId463" Type="http://schemas.openxmlformats.org/officeDocument/2006/relationships/hyperlink" Target="http://webcache.googleusercontent.com/search?q=cache%3AVZ4Fgvty5" TargetMode="External"/><Relationship Id="rId670" Type="http://schemas.openxmlformats.org/officeDocument/2006/relationships/hyperlink" Target="http://www.slideshare.net/almacks/audincia-pblica-mp-yamanna-" TargetMode="External"/><Relationship Id="rId1093" Type="http://schemas.openxmlformats.org/officeDocument/2006/relationships/hyperlink" Target="http://portalexame.abril.com.br/negocios/vale-retoma-operacoes-" TargetMode="External"/><Relationship Id="rId1107" Type="http://schemas.openxmlformats.org/officeDocument/2006/relationships/hyperlink" Target="http://d.yimg.com/kq/groups/17805016/1277854277/name/Cartilha1%2B" TargetMode="External"/><Relationship Id="rId1314" Type="http://schemas.openxmlformats.org/officeDocument/2006/relationships/hyperlink" Target="http://www.ibge.gov.br/cidadesat/xtras/perfil.php?codmun=316810&amp;amp;r" TargetMode="External"/><Relationship Id="rId1521" Type="http://schemas.openxmlformats.org/officeDocument/2006/relationships/hyperlink" Target="http://oglobo.globo.com/rio/mp-processa-csn-por-danos-ao-meio-" TargetMode="External"/><Relationship Id="rId1759" Type="http://schemas.openxmlformats.org/officeDocument/2006/relationships/hyperlink" Target="http://www.anitapolis.sc.gov.br/conteudo/?item=16628&amp;amp;fa=892&amp;amp;cd=7" TargetMode="External"/><Relationship Id="rId116" Type="http://schemas.openxmlformats.org/officeDocument/2006/relationships/hyperlink" Target="http://www1.folha.uol.com.br/folha/cotidiano/ult95u19310.shtml" TargetMode="External"/><Relationship Id="rId323" Type="http://schemas.openxmlformats.org/officeDocument/2006/relationships/hyperlink" Target="http://www.acipnet.com.br/acip/index.php?option=com_content&amp;amp;view" TargetMode="External"/><Relationship Id="rId530" Type="http://schemas.openxmlformats.org/officeDocument/2006/relationships/hyperlink" Target="http://www.portalroraima.rr.gov.br/index.php?id=91&amp;amp;itemid=1&amp;amp;option" TargetMode="External"/><Relationship Id="rId768" Type="http://schemas.openxmlformats.org/officeDocument/2006/relationships/hyperlink" Target="http://www.redeaplmineral.org.br/biblioteca/rochas-" TargetMode="External"/><Relationship Id="rId975" Type="http://schemas.openxmlformats.org/officeDocument/2006/relationships/hyperlink" Target="http://portal.saude.gov.br/portal/arquivos/pdf/mato_grosso.pdf" TargetMode="External"/><Relationship Id="rId1160" Type="http://schemas.openxmlformats.org/officeDocument/2006/relationships/hyperlink" Target="http://www.hojeemdia.com.br/noticias/economia-e-" TargetMode="External"/><Relationship Id="rId1398" Type="http://schemas.openxmlformats.org/officeDocument/2006/relationships/hyperlink" Target="http://www.abepro.org.br/biblioteca/ENEGEP1997_T2113.PDF" TargetMode="External"/><Relationship Id="rId1619" Type="http://schemas.openxmlformats.org/officeDocument/2006/relationships/hyperlink" Target="http://w3.cetem.gov.br/CYTED-" TargetMode="External"/><Relationship Id="rId20" Type="http://schemas.openxmlformats.org/officeDocument/2006/relationships/image" Target="media/image6.png"/><Relationship Id="rId628" Type="http://schemas.openxmlformats.org/officeDocument/2006/relationships/hyperlink" Target="http://www.ibge.gov.br/cidadesat/xtras/perfil.php?codmun=290600&amp;amp;r" TargetMode="External"/><Relationship Id="rId835" Type="http://schemas.openxmlformats.org/officeDocument/2006/relationships/hyperlink" Target="http://www.mdic.gov.br/arquivos/dwnl_1247147072.pdf" TargetMode="External"/><Relationship Id="rId1258" Type="http://schemas.openxmlformats.org/officeDocument/2006/relationships/hyperlink" Target="http://almirparaca.com/blog/sem-contaminacao-por-arsenio-o-" TargetMode="External"/><Relationship Id="rId1465" Type="http://schemas.openxmlformats.org/officeDocument/2006/relationships/hyperlink" Target="http://www.pacs.org.br/files/2012/12/Nota-" TargetMode="External"/><Relationship Id="rId1672" Type="http://schemas.openxmlformats.org/officeDocument/2006/relationships/hyperlink" Target="http://www.gazetadopovo.com.br/vidaecidadania/conteudo.phtml?tl" TargetMode="External"/><Relationship Id="rId267" Type="http://schemas.openxmlformats.org/officeDocument/2006/relationships/hyperlink" Target="http://www.skyscrapercity.com/archive/index.php/t-" TargetMode="External"/><Relationship Id="rId474" Type="http://schemas.openxmlformats.org/officeDocument/2006/relationships/hyperlink" Target="http://www.conflitoambiental.icict.fiocruz.br/index.php?pag=ficha&amp;amp;co" TargetMode="External"/><Relationship Id="rId1020" Type="http://schemas.openxmlformats.org/officeDocument/2006/relationships/hyperlink" Target="http://www.ibge.gov.br/home/estatistica/populacao/estimativa2013/estimativa_dou.shtm" TargetMode="External"/><Relationship Id="rId1118" Type="http://schemas.openxmlformats.org/officeDocument/2006/relationships/hyperlink" Target="http://noticiasmineracao.mining.com/2011/04/11/demanda-cresce-e-" TargetMode="External"/><Relationship Id="rId1325" Type="http://schemas.openxmlformats.org/officeDocument/2006/relationships/hyperlink" Target="http://www.cetem.gov.br/publicacao/CTs/CT2002-186-00.pdf" TargetMode="External"/><Relationship Id="rId1532" Type="http://schemas.openxmlformats.org/officeDocument/2006/relationships/hyperlink" Target="http://www.inb.gov.br/inb/WebForms/interna.aspx?secao_id=62" TargetMode="External"/><Relationship Id="rId127" Type="http://schemas.openxmlformats.org/officeDocument/2006/relationships/hyperlink" Target="http://www.estadao.com.br/estadaodehoje/20100129/not_imp503388" TargetMode="External"/><Relationship Id="rId681" Type="http://schemas.openxmlformats.org/officeDocument/2006/relationships/hyperlink" Target="http://www.unifor.br/joomla/joomla/images/pdfs/pdfs_notitia/3574.pdf" TargetMode="External"/><Relationship Id="rId779" Type="http://schemas.openxmlformats.org/officeDocument/2006/relationships/hyperlink" Target="http://pib.socioambiental.org/caracterizacao.php?id_arp=3575&amp;amp;7488" TargetMode="External"/><Relationship Id="rId902" Type="http://schemas.openxmlformats.org/officeDocument/2006/relationships/hyperlink" Target="http://www.ibge.gov.br/cidadesat/xtras/perfil.php?codmun=521460&amp;amp;r" TargetMode="External"/><Relationship Id="rId986" Type="http://schemas.openxmlformats.org/officeDocument/2006/relationships/hyperlink" Target="http://www.24horasnews.com.br/index.php?mat=304673" TargetMode="External"/><Relationship Id="rId31" Type="http://schemas.openxmlformats.org/officeDocument/2006/relationships/hyperlink" Target="http://lattes.cnpq.br/5431327978284302" TargetMode="External"/><Relationship Id="rId334" Type="http://schemas.openxmlformats.org/officeDocument/2006/relationships/hyperlink" Target="http://parauapebas.vilabol.uol.com.br/historia.html" TargetMode="External"/><Relationship Id="rId541" Type="http://schemas.openxmlformats.org/officeDocument/2006/relationships/image" Target="media/image20.png"/><Relationship Id="rId639" Type="http://schemas.openxmlformats.org/officeDocument/2006/relationships/hyperlink" Target="http://verbetes.cetem.gov.br/impressao/ExibeGlossarioResumo.aspx?verid=9" TargetMode="External"/><Relationship Id="rId1171" Type="http://schemas.openxmlformats.org/officeDocument/2006/relationships/hyperlink" Target="http://verbetes.cetem.gov.br/impressao/ExibeGlossarioResumo.aspx?verid=12" TargetMode="External"/><Relationship Id="rId1269" Type="http://schemas.openxmlformats.org/officeDocument/2006/relationships/hyperlink" Target="http://www.cprm.gov.br/publique/media/geo_med11.pdf" TargetMode="External"/><Relationship Id="rId1476" Type="http://schemas.openxmlformats.org/officeDocument/2006/relationships/hyperlink" Target="http://www.revistargsa.org/ojs/index.php/rgsa/article/viewFile/332/11" TargetMode="External"/><Relationship Id="rId180" Type="http://schemas.openxmlformats.org/officeDocument/2006/relationships/hyperlink" Target="http://www.webartigos.com/articles/2194/1/Transporte-" TargetMode="External"/><Relationship Id="rId278" Type="http://schemas.openxmlformats.org/officeDocument/2006/relationships/hyperlink" Target="http://www.brasilmineral.com.br/BM/default.asp?COD=3739&amp;amp;busca" TargetMode="External"/><Relationship Id="rId401" Type="http://schemas.openxmlformats.org/officeDocument/2006/relationships/hyperlink" Target="http://verbetes.cetem.gov.br/impressao/ExibeGlossarioResumo.aspx?verid=9" TargetMode="External"/><Relationship Id="rId846" Type="http://schemas.openxmlformats.org/officeDocument/2006/relationships/hyperlink" Target="http://www.embrapa.gov.br/embrapa/imprensa/noticias/2010/outubro" TargetMode="External"/><Relationship Id="rId1031" Type="http://schemas.openxmlformats.org/officeDocument/2006/relationships/hyperlink" Target="http://www.cetem.gov.br/workshop/pdf/vol1grandesminas.pdf" TargetMode="External"/><Relationship Id="rId1129" Type="http://schemas.openxmlformats.org/officeDocument/2006/relationships/hyperlink" Target="http://www.cetem.gov.br/publicacao/livros/Vol_1_GRANDES_MINAS" TargetMode="External"/><Relationship Id="rId1683" Type="http://schemas.openxmlformats.org/officeDocument/2006/relationships/hyperlink" Target="http://verbetes.cetem.gov.br/impressao/ExibeGlossarioResumo.aspx?verid=14" TargetMode="External"/><Relationship Id="rId485" Type="http://schemas.openxmlformats.org/officeDocument/2006/relationships/hyperlink" Target="http://rondoniamanchete.com.br/politica/2011/07/os-vereadores-" TargetMode="External"/><Relationship Id="rId692" Type="http://schemas.openxmlformats.org/officeDocument/2006/relationships/hyperlink" Target="http://verbetes.cetem.gov.br/impressao/ExibeGlossarioResumo.aspx?verid=16" TargetMode="External"/><Relationship Id="rId706" Type="http://schemas.openxmlformats.org/officeDocument/2006/relationships/hyperlink" Target="http://www.uil.org.br/MINERART/artesanato.asp" TargetMode="External"/><Relationship Id="rId913" Type="http://schemas.openxmlformats.org/officeDocument/2006/relationships/hyperlink" Target="http://verbetes.cetem.gov.br/impressao/ExibeGlossarioResumo.aspx?verid=4" TargetMode="External"/><Relationship Id="rId1336" Type="http://schemas.openxmlformats.org/officeDocument/2006/relationships/hyperlink" Target="http://www.mma.gov.br/port/conama/res/res05/res35705.pdf" TargetMode="External"/><Relationship Id="rId1543" Type="http://schemas.openxmlformats.org/officeDocument/2006/relationships/hyperlink" Target="http://verbetes.cetem.gov.br/impressao/ExibeGlossarioResumo.aspx?verid=9" TargetMode="External"/><Relationship Id="rId1750" Type="http://schemas.openxmlformats.org/officeDocument/2006/relationships/hyperlink" Target="http://www.artigocientifico.com.br/uploads/artc_1176154916_23.pdf" TargetMode="External"/><Relationship Id="rId42" Type="http://schemas.openxmlformats.org/officeDocument/2006/relationships/image" Target="media/image11.png"/><Relationship Id="rId138" Type="http://schemas.openxmlformats.org/officeDocument/2006/relationships/hyperlink" Target="http://dominiopublico.qprocura.com.br/dp/109417/Diagnostico-" TargetMode="External"/><Relationship Id="rId345" Type="http://schemas.openxmlformats.org/officeDocument/2006/relationships/hyperlink" Target="http://www.cetem.gov.br/publicacao/serie_anais_XVII_jic_2009/Rodri" TargetMode="External"/><Relationship Id="rId552" Type="http://schemas.openxmlformats.org/officeDocument/2006/relationships/hyperlink" Target="http://www.dhescbrasil.org.br/index.php?option=com_content&amp;amp;view=article&amp;amp;id=346%3Amina-de-" TargetMode="External"/><Relationship Id="rId997" Type="http://schemas.openxmlformats.org/officeDocument/2006/relationships/hyperlink" Target="http://site.dm.com.br/noticias/opiniao/presidente-da-republica" TargetMode="External"/><Relationship Id="rId1182" Type="http://schemas.openxmlformats.org/officeDocument/2006/relationships/hyperlink" Target="http://www.mmx.com.br/pt/nossos-negocios/Paginas/unidade-serra-" TargetMode="External"/><Relationship Id="rId1403" Type="http://schemas.openxmlformats.org/officeDocument/2006/relationships/hyperlink" Target="http://verbetes.cetem.gov.br/impressao/ExibeGlossarioResumo.aspx?verid=9" TargetMode="External"/><Relationship Id="rId1610" Type="http://schemas.openxmlformats.org/officeDocument/2006/relationships/hyperlink" Target="http://www.fosbrasil.com/empresa.htm" TargetMode="External"/><Relationship Id="rId191" Type="http://schemas.openxmlformats.org/officeDocument/2006/relationships/hyperlink" Target="http://www.conflitoambiental.icict.fiocruz.br/index.php?pag=ficha&amp;amp;co" TargetMode="External"/><Relationship Id="rId205" Type="http://schemas.openxmlformats.org/officeDocument/2006/relationships/hyperlink" Target="http://www.alcoa.com/brazil/pt/custom_page/environment_juruti.asp" TargetMode="External"/><Relationship Id="rId412" Type="http://schemas.openxmlformats.org/officeDocument/2006/relationships/hyperlink" Target="http://verbetes.cetem.gov.br/impressao/ExibeGlossarioResumo.aspx?verid=11" TargetMode="External"/><Relationship Id="rId857" Type="http://schemas.openxmlformats.org/officeDocument/2006/relationships/hyperlink" Target="mailto:ralamino@cetem.gov.br" TargetMode="External"/><Relationship Id="rId1042" Type="http://schemas.openxmlformats.org/officeDocument/2006/relationships/hyperlink" Target="http://www.redeaplmineral.org.br/biblioteca/rochas-" TargetMode="External"/><Relationship Id="rId1487" Type="http://schemas.openxmlformats.org/officeDocument/2006/relationships/hyperlink" Target="http://www.superobra.com.br/admin/news.asp?ID_New=2344&amp;amp;Pag" TargetMode="External"/><Relationship Id="rId1694" Type="http://schemas.openxmlformats.org/officeDocument/2006/relationships/hyperlink" Target="http://www.conflitoambiental.icict.fiocruz.br/index.php?pag=ficha&amp;amp;co" TargetMode="External"/><Relationship Id="rId1708" Type="http://schemas.openxmlformats.org/officeDocument/2006/relationships/hyperlink" Target="http://www.cnm.org.br/dado_geral/brmain.asp" TargetMode="External"/><Relationship Id="rId289" Type="http://schemas.openxmlformats.org/officeDocument/2006/relationships/hyperlink" Target="http://economia.estadao.com.br/noticias/negocios%2Bindustria%2Cvale-" TargetMode="External"/><Relationship Id="rId496" Type="http://schemas.openxmlformats.org/officeDocument/2006/relationships/hyperlink" Target="http://www.olhovivorondonia.com.br/noticias.php?news=12846" TargetMode="External"/><Relationship Id="rId717" Type="http://schemas.openxmlformats.org/officeDocument/2006/relationships/hyperlink" Target="http://www.scielo.br/scielo.php?pid=S0370...script" TargetMode="External"/><Relationship Id="rId924" Type="http://schemas.openxmlformats.org/officeDocument/2006/relationships/hyperlink" Target="http://www.ibge.gov.br/cidadesat/xtras/perfil.php?codmun=520640&amp;amp;r" TargetMode="External"/><Relationship Id="rId1347" Type="http://schemas.openxmlformats.org/officeDocument/2006/relationships/hyperlink" Target="http://www.vmetais.com.br/pt-" TargetMode="External"/><Relationship Id="rId1554" Type="http://schemas.openxmlformats.org/officeDocument/2006/relationships/hyperlink" Target="http://pelicano.ipen.br/PosG30/PDF/Andreza%20Portella%20Ribeiro" TargetMode="External"/><Relationship Id="rId1761" Type="http://schemas.openxmlformats.org/officeDocument/2006/relationships/hyperlink" Target="http://www.stylofm.com.br/noticias-da-stylo/tribunal-regional-federal-" TargetMode="External"/><Relationship Id="rId53" Type="http://schemas.openxmlformats.org/officeDocument/2006/relationships/hyperlink" Target="http://www.ibge.com.br/estadosat/" TargetMode="External"/><Relationship Id="rId149" Type="http://schemas.openxmlformats.org/officeDocument/2006/relationships/hyperlink" Target="http://verbetes.cetem.gov.br/impressao/ExibeGlossarioResumo.aspx?verid=11" TargetMode="External"/><Relationship Id="rId356" Type="http://schemas.openxmlformats.org/officeDocument/2006/relationships/hyperlink" Target="http://verbetes.cetem.gov.br/impressao/ExibeGlossarioResumo.aspx?verid=9" TargetMode="External"/><Relationship Id="rId563" Type="http://schemas.openxmlformats.org/officeDocument/2006/relationships/hyperlink" Target="http://www.folhadomeio.com.br/publix/fma/folha/2008/09/1amianto19" TargetMode="External"/><Relationship Id="rId770" Type="http://schemas.openxmlformats.org/officeDocument/2006/relationships/hyperlink" Target="http://verbetes.cetem.gov.br/impressao/ExibeGlossarioResumo.aspx?verid=9" TargetMode="External"/><Relationship Id="rId1193" Type="http://schemas.openxmlformats.org/officeDocument/2006/relationships/hyperlink" Target="http://www.tede.ufop.br/tde_busca/arquivo.php?codArquivo=463" TargetMode="External"/><Relationship Id="rId1207" Type="http://schemas.openxmlformats.org/officeDocument/2006/relationships/hyperlink" Target="http://verbetes.cetem.gov.br/impressao/ExibeGlossarioResumo.aspx?verid=9" TargetMode="External"/><Relationship Id="rId1414" Type="http://schemas.openxmlformats.org/officeDocument/2006/relationships/hyperlink" Target="http://www.mmx.com.br/pt/sustentabilidade/Paginas/superporto-" TargetMode="External"/><Relationship Id="rId1621" Type="http://schemas.openxmlformats.org/officeDocument/2006/relationships/hyperlink" Target="http://www.cetem.gov.br/publicacao/CTs/CT2002-187-00.pdf" TargetMode="External"/><Relationship Id="rId216" Type="http://schemas.openxmlformats.org/officeDocument/2006/relationships/hyperlink" Target="http://www.plataformabndes.org.br/index.php/en/noticias/38-" TargetMode="External"/><Relationship Id="rId423" Type="http://schemas.openxmlformats.org/officeDocument/2006/relationships/hyperlink" Target="http://www.ibram.org.br/150/15001002.asp?ttCD_CHAVE=128516" TargetMode="External"/><Relationship Id="rId868" Type="http://schemas.openxmlformats.org/officeDocument/2006/relationships/hyperlink" Target="http://www.ibram.org.br/sites/1300/1382/00002806.pdf" TargetMode="External"/><Relationship Id="rId1053" Type="http://schemas.openxmlformats.org/officeDocument/2006/relationships/hyperlink" Target="http://www.observatoriosocial.org.br/download/er9-pedra.pdf" TargetMode="External"/><Relationship Id="rId1260" Type="http://schemas.openxmlformats.org/officeDocument/2006/relationships/hyperlink" Target="http://gc.revistaminerios.com.br/Conteudo/Arquivos/Pdf/ROM.pdf" TargetMode="External"/><Relationship Id="rId1498" Type="http://schemas.openxmlformats.org/officeDocument/2006/relationships/hyperlink" Target="http://verbetes.cetem.gov.br/impressao/ExibeGlossarioResumo.aspx?verid=7" TargetMode="External"/><Relationship Id="rId1719" Type="http://schemas.openxmlformats.org/officeDocument/2006/relationships/hyperlink" Target="http://verbetes.cetem.gov.br/impressao/ExibeGlossarioResumo.aspx?verid=14" TargetMode="External"/><Relationship Id="rId630" Type="http://schemas.openxmlformats.org/officeDocument/2006/relationships/hyperlink" Target="http://verbetes.cetem.gov.br/impressao/ExibeGlossarioResumo.aspx?verid=9" TargetMode="External"/><Relationship Id="rId728" Type="http://schemas.openxmlformats.org/officeDocument/2006/relationships/hyperlink" Target="http://opovo.uol.com.br/opovo/economia/974929.htm" TargetMode="External"/><Relationship Id="rId935" Type="http://schemas.openxmlformats.org/officeDocument/2006/relationships/hyperlink" Target="http://www.ibge.gov.br/cidadesat/painel/painel.php?codmun=520753" TargetMode="External"/><Relationship Id="rId1358" Type="http://schemas.openxmlformats.org/officeDocument/2006/relationships/hyperlink" Target="http://www.brasilmineral.com.br/BM/default.asp?COD=5384&amp;amp;busca" TargetMode="External"/><Relationship Id="rId1565" Type="http://schemas.openxmlformats.org/officeDocument/2006/relationships/hyperlink" Target="http://www.ibge.gov.br/cidadesat/xtras/perfil.php?codmun=350450&amp;amp;r" TargetMode="External"/><Relationship Id="rId64" Type="http://schemas.openxmlformats.org/officeDocument/2006/relationships/hyperlink" Target="http://folha.uol.com.br/folha/brasil/ult96u88610.shtml" TargetMode="External"/><Relationship Id="rId367" Type="http://schemas.openxmlformats.org/officeDocument/2006/relationships/hyperlink" Target="http://www.mineracaoburitirama.com.br/empresa.php" TargetMode="External"/><Relationship Id="rId574" Type="http://schemas.openxmlformats.org/officeDocument/2006/relationships/hyperlink" Target="http://www.senadorpaim.com.br/verImprensa.php?id=1795" TargetMode="External"/><Relationship Id="rId1120" Type="http://schemas.openxmlformats.org/officeDocument/2006/relationships/hyperlink" Target="http://www.itabira.mg.gov.br/novoportal/index.php?option=com_cont" TargetMode="External"/><Relationship Id="rId1218" Type="http://schemas.openxmlformats.org/officeDocument/2006/relationships/hyperlink" Target="http://www.em.com.br/app/noticia/especiais/riquezas-de-minas" TargetMode="External"/><Relationship Id="rId1425" Type="http://schemas.openxmlformats.org/officeDocument/2006/relationships/hyperlink" Target="http://verbetes.cetem.gov.br/impressao/ExibeGlossarioResumo.aspx?verid=9" TargetMode="External"/><Relationship Id="rId227" Type="http://schemas.openxmlformats.org/officeDocument/2006/relationships/hyperlink" Target="http://www2.uepa.br/educar/sites/default/files/Universidade_do_Esta" TargetMode="External"/><Relationship Id="rId781" Type="http://schemas.openxmlformats.org/officeDocument/2006/relationships/hyperlink" Target="http://www.gterra.com.br/policia/policia-" TargetMode="External"/><Relationship Id="rId879" Type="http://schemas.openxmlformats.org/officeDocument/2006/relationships/hyperlink" Target="http://www.lapig.iesa.ufg.br/sgm/publicacoes/diag_aval/diag_setor_" TargetMode="External"/><Relationship Id="rId1632" Type="http://schemas.openxmlformats.org/officeDocument/2006/relationships/hyperlink" Target="http://www.cprm.gov.br/arquivos/pdf/recmin/pedrainforme5.pdf" TargetMode="External"/><Relationship Id="rId434" Type="http://schemas.openxmlformats.org/officeDocument/2006/relationships/hyperlink" Target="http://www.brasilmineral.com.br/BM/default.asp?COD=2838&amp;amp;busca" TargetMode="External"/><Relationship Id="rId641" Type="http://schemas.openxmlformats.org/officeDocument/2006/relationships/hyperlink" Target="http://artigos.netsaber.com.br/resumo_artigo_10644/artigo_sobre_for" TargetMode="External"/><Relationship Id="rId739" Type="http://schemas.openxmlformats.org/officeDocument/2006/relationships/hyperlink" Target="http://verbetes.cetem.gov.br/impressao/ExibeGlossarioResumo.aspx?verid=15" TargetMode="External"/><Relationship Id="rId1064" Type="http://schemas.openxmlformats.org/officeDocument/2006/relationships/hyperlink" Target="http://www.feam.br/index.php?option=com_content&amp;amp;task=view&amp;amp;id=1" TargetMode="External"/><Relationship Id="rId1271" Type="http://schemas.openxmlformats.org/officeDocument/2006/relationships/hyperlink" Target="http://turismosaothomedasletras.blogspot.com/2008/04/minerao-de-" TargetMode="External"/><Relationship Id="rId1369" Type="http://schemas.openxmlformats.org/officeDocument/2006/relationships/hyperlink" Target="http://noticiasmineracao.mining.com/2011/11/30/votorantim-metais-" TargetMode="External"/><Relationship Id="rId1576" Type="http://schemas.openxmlformats.org/officeDocument/2006/relationships/hyperlink" Target="http://www.ceramicaindustrial.org.br/pdf/v16n3/v16n3a06.pdf" TargetMode="External"/><Relationship Id="rId280" Type="http://schemas.openxmlformats.org/officeDocument/2006/relationships/hyperlink" Target="http://www3.ufpa.br/projetomineracao/docs/estrut/Arq" TargetMode="External"/><Relationship Id="rId501" Type="http://schemas.openxmlformats.org/officeDocument/2006/relationships/hyperlink" Target="http://www.estadao.com.br/noticia_imp.php?req=not_imp326495%2C0.p" TargetMode="External"/><Relationship Id="rId946" Type="http://schemas.openxmlformats.org/officeDocument/2006/relationships/hyperlink" Target="http://www.revistas.ufg.br/index.php/atelie/article/viewFile/11968/790" TargetMode="External"/><Relationship Id="rId1131" Type="http://schemas.openxmlformats.org/officeDocument/2006/relationships/hyperlink" Target="http://www.uai.com.br/htmls/app/noticia173/2010/07/06/noticia_econ" TargetMode="External"/><Relationship Id="rId1229" Type="http://schemas.openxmlformats.org/officeDocument/2006/relationships/hyperlink" Target="http://www.novelis.com/pt-br/Paginas/Our-" TargetMode="External"/><Relationship Id="rId75" Type="http://schemas.openxmlformats.org/officeDocument/2006/relationships/hyperlink" Target="http://www.estadao.com.br/noticias/nacional%2Cgarimpeiros-retiram-" TargetMode="External"/><Relationship Id="rId140" Type="http://schemas.openxmlformats.org/officeDocument/2006/relationships/hyperlink" Target="http://www.prap.mpf.gov.br/tac/pdf/mpf-ap-tac-2010-001.pdf" TargetMode="External"/><Relationship Id="rId378" Type="http://schemas.openxmlformats.org/officeDocument/2006/relationships/hyperlink" Target="http://forumcarajas.org.br/?noticia&amp;amp;mostra&amp;amp;4222" TargetMode="External"/><Relationship Id="rId585" Type="http://schemas.openxmlformats.org/officeDocument/2006/relationships/hyperlink" Target="http://www.abes-dn.org.br/eventos/abes/24cbes/Posters.pdf" TargetMode="External"/><Relationship Id="rId792" Type="http://schemas.openxmlformats.org/officeDocument/2006/relationships/hyperlink" Target="http://www.scielo.br/scielo.php?pid=S1679-" TargetMode="External"/><Relationship Id="rId806" Type="http://schemas.openxmlformats.org/officeDocument/2006/relationships/hyperlink" Target="http://www.redeaplmineral.org.br/noticias/destaque-3/piaui-nao-" TargetMode="External"/><Relationship Id="rId1436" Type="http://schemas.openxmlformats.org/officeDocument/2006/relationships/hyperlink" Target="http://www.anppas.org.br/encontro5/cd/artigos/GT14-38-290-" TargetMode="External"/><Relationship Id="rId1643" Type="http://schemas.openxmlformats.org/officeDocument/2006/relationships/hyperlink" Target="http://www.scielo.br/pdf/qn/v29n4/30251.pdf" TargetMode="External"/><Relationship Id="rId6" Type="http://schemas.openxmlformats.org/officeDocument/2006/relationships/endnotes" Target="endnotes.xml"/><Relationship Id="rId238" Type="http://schemas.openxmlformats.org/officeDocument/2006/relationships/hyperlink" Target="http://www.ibram.org.br/150/15001002.asp?ttCD_CHAVE=59856" TargetMode="External"/><Relationship Id="rId445" Type="http://schemas.openxmlformats.org/officeDocument/2006/relationships/hyperlink" Target="http://www.anppas.org.br/encontro4/cd/ARQUIVOS/GT6-61-8-" TargetMode="External"/><Relationship Id="rId652" Type="http://schemas.openxmlformats.org/officeDocument/2006/relationships/hyperlink" Target="http://repositorio.bce.unb.br/bitstream/10482/8309/1/2010_" TargetMode="External"/><Relationship Id="rId1075" Type="http://schemas.openxmlformats.org/officeDocument/2006/relationships/hyperlink" Target="http://www.pgr.mpf.gov.br/noticias/noticias-do-site/meio-ambiente-e-" TargetMode="External"/><Relationship Id="rId1282" Type="http://schemas.openxmlformats.org/officeDocument/2006/relationships/hyperlink" Target="http://www.ibge.gov.br/cidadesat/xtras/perfil.php?codmun=316520&amp;amp;r" TargetMode="External"/><Relationship Id="rId1503" Type="http://schemas.openxmlformats.org/officeDocument/2006/relationships/hyperlink" Target="http://www.google.com.br/url?sa=t&amp;amp;rct=j&amp;amp;q&amp;amp;esrc=s&amp;amp;frm=1&amp;amp;source" TargetMode="External"/><Relationship Id="rId1710" Type="http://schemas.openxmlformats.org/officeDocument/2006/relationships/hyperlink" Target="http://www.unisinos.br/graduacao/bacharelado/geologia/minas_cama" TargetMode="External"/><Relationship Id="rId291" Type="http://schemas.openxmlformats.org/officeDocument/2006/relationships/hyperlink" Target="http://forumcarajas.org.br/inicio.php" TargetMode="External"/><Relationship Id="rId305" Type="http://schemas.openxmlformats.org/officeDocument/2006/relationships/hyperlink" Target="http://www.scielo.br/scielo.php?pid=S0370-" TargetMode="External"/><Relationship Id="rId512" Type="http://schemas.openxmlformats.org/officeDocument/2006/relationships/hyperlink" Target="http://www.planalto.gov.br/CCivil_03/LEIS/L6001.htm" TargetMode="External"/><Relationship Id="rId957" Type="http://schemas.openxmlformats.org/officeDocument/2006/relationships/hyperlink" Target="http://rmtonline.globo.com/noticias.asp?em=3&amp;amp;n=527515&amp;amp;p=2" TargetMode="External"/><Relationship Id="rId1142" Type="http://schemas.openxmlformats.org/officeDocument/2006/relationships/hyperlink" Target="http://www.vale.com.br/pt-br/o-que-" TargetMode="External"/><Relationship Id="rId1587" Type="http://schemas.openxmlformats.org/officeDocument/2006/relationships/hyperlink" Target="http://www.scielo.br/scielo.php?pid=S0370-" TargetMode="External"/><Relationship Id="rId86" Type="http://schemas.openxmlformats.org/officeDocument/2006/relationships/hyperlink" Target="http://www.brasilmineral.com.br/BM/default.asp?COD=3258&amp;amp;busca" TargetMode="External"/><Relationship Id="rId151" Type="http://schemas.openxmlformats.org/officeDocument/2006/relationships/hyperlink" Target="http://amapabusca.com.br/mambo/index.php?option=com_content&amp;amp;t" TargetMode="External"/><Relationship Id="rId389" Type="http://schemas.openxmlformats.org/officeDocument/2006/relationships/hyperlink" Target="http://www.cse.ufsc.br/%7Egecon/coord_mono/2008.1/Clariana.prn.pdf" TargetMode="External"/><Relationship Id="rId596" Type="http://schemas.openxmlformats.org/officeDocument/2006/relationships/hyperlink" Target="http://www.dnpm.gov.br/conteudo.asp?IDSecao=99&amp;amp;IDPagina=72&amp;amp;I" TargetMode="External"/><Relationship Id="rId817" Type="http://schemas.openxmlformats.org/officeDocument/2006/relationships/hyperlink" Target="http://oestenews-/" TargetMode="External"/><Relationship Id="rId1002" Type="http://schemas.openxmlformats.org/officeDocument/2006/relationships/hyperlink" Target="http://www.mp.go.gov.br/portalweb/1/" TargetMode="External"/><Relationship Id="rId1447" Type="http://schemas.openxmlformats.org/officeDocument/2006/relationships/hyperlink" Target="http://www.sidneyrezende.com/noticia/82464%2Bsiderurgica%2Bchinesa%2Bs" TargetMode="External"/><Relationship Id="rId1654" Type="http://schemas.openxmlformats.org/officeDocument/2006/relationships/hyperlink" Target="http://aguadelastrobrasil.org.br/arquivos/33.pdf" TargetMode="External"/><Relationship Id="rId249" Type="http://schemas.openxmlformats.org/officeDocument/2006/relationships/hyperlink" Target="http://www.ufpa.br/naea/gerencia/ler_publicacao.php?id=190" TargetMode="External"/><Relationship Id="rId456" Type="http://schemas.openxmlformats.org/officeDocument/2006/relationships/hyperlink" Target="http://verbetes.cetem.gov.br/impressao/ExibeGlossarioResumo.aspx?verid=2" TargetMode="External"/><Relationship Id="rId663" Type="http://schemas.openxmlformats.org/officeDocument/2006/relationships/hyperlink" Target="http://www.teclim.ufba.br/site/material_online/dissertacoes/dis_alban" TargetMode="External"/><Relationship Id="rId870" Type="http://schemas.openxmlformats.org/officeDocument/2006/relationships/hyperlink" Target="http://verbetes.cetem.gov.br/impressao/ExibeGlossarioResumo.aspx?verid=3" TargetMode="External"/><Relationship Id="rId1086" Type="http://schemas.openxmlformats.org/officeDocument/2006/relationships/hyperlink" Target="http://www.ferrous.com.br/programacao/index.php/projetos/view/14" TargetMode="External"/><Relationship Id="rId1293" Type="http://schemas.openxmlformats.org/officeDocument/2006/relationships/hyperlink" Target="http://www.cnen.gov.br/lapoc/tecnica/licfisc.asp" TargetMode="External"/><Relationship Id="rId1307" Type="http://schemas.openxmlformats.org/officeDocument/2006/relationships/hyperlink" Target="http://www.brasilmineral.com.br/BM/default.asp?COD=3225&amp;amp;busca" TargetMode="External"/><Relationship Id="rId1514" Type="http://schemas.openxmlformats.org/officeDocument/2006/relationships/hyperlink" Target="http://www.ibge.gov.br/cidadesat/painel/painel.php?codmun=330630" TargetMode="External"/><Relationship Id="rId1721" Type="http://schemas.openxmlformats.org/officeDocument/2006/relationships/hyperlink" Target="http://verbetes.cetem.gov.br/impressao/ExibeGlossarioResumo.aspx?verid=11" TargetMode="External"/><Relationship Id="rId13" Type="http://schemas.openxmlformats.org/officeDocument/2006/relationships/footer" Target="footer4.xml"/><Relationship Id="rId109" Type="http://schemas.openxmlformats.org/officeDocument/2006/relationships/hyperlink" Target="http://www3.ufpa.br/projetomineracao/docs/estrut/17_Brasil_Mineral" TargetMode="External"/><Relationship Id="rId316" Type="http://schemas.openxmlformats.org/officeDocument/2006/relationships/hyperlink" Target="http://www.saudebrasilnet.com.br/saude/trabalhos/017s.pdf" TargetMode="External"/><Relationship Id="rId523" Type="http://schemas.openxmlformats.org/officeDocument/2006/relationships/hyperlink" Target="http://www.cir.org.br/noticias.php?id=692" TargetMode="External"/><Relationship Id="rId968" Type="http://schemas.openxmlformats.org/officeDocument/2006/relationships/hyperlink" Target="http://radiowebms.com.br/audios/11383.html" TargetMode="External"/><Relationship Id="rId1153" Type="http://schemas.openxmlformats.org/officeDocument/2006/relationships/hyperlink" Target="http://www.ibram.org.br/150/15001002.asp?ttCD_CHAVE=163820" TargetMode="External"/><Relationship Id="rId1598" Type="http://schemas.openxmlformats.org/officeDocument/2006/relationships/hyperlink" Target="http://www.camara.sp.gov.br/index.php?option=com_content&amp;amp;view" TargetMode="External"/><Relationship Id="rId97" Type="http://schemas.openxmlformats.org/officeDocument/2006/relationships/hyperlink" Target="http://oglobo.globo.com/economia/mat/2008/08/12/anglo_ferrous_br" TargetMode="External"/><Relationship Id="rId730" Type="http://schemas.openxmlformats.org/officeDocument/2006/relationships/hyperlink" Target="http://www.oeco.com.br/reportagens-especiais/2260-oeco_27788" TargetMode="External"/><Relationship Id="rId828" Type="http://schemas.openxmlformats.org/officeDocument/2006/relationships/hyperlink" Target="http://asn.interjornal.com.br/noticia.kmf?noticia=6914971&amp;amp;canal=36" TargetMode="External"/><Relationship Id="rId1013" Type="http://schemas.openxmlformats.org/officeDocument/2006/relationships/image" Target="media/image37.png"/><Relationship Id="rId1360" Type="http://schemas.openxmlformats.org/officeDocument/2006/relationships/hyperlink" Target="http://www.ibge.gov.br/cidadesat/painel/painel.php?codmun=313670" TargetMode="External"/><Relationship Id="rId1458" Type="http://schemas.openxmlformats.org/officeDocument/2006/relationships/hyperlink" Target="http://agenciabrasil.ebc.com.br/noticia/2012-09-28/organizacoes-da-" TargetMode="External"/><Relationship Id="rId1665" Type="http://schemas.openxmlformats.org/officeDocument/2006/relationships/hyperlink" Target="http://www.ibge.gov.br/cidadesat/topwindow.htm?1" TargetMode="External"/><Relationship Id="rId162" Type="http://schemas.openxmlformats.org/officeDocument/2006/relationships/hyperlink" Target="http://sbgeo.org.br/pub_sbg/rbg/vol29_down/2902/2902173.pdf" TargetMode="External"/><Relationship Id="rId467" Type="http://schemas.openxmlformats.org/officeDocument/2006/relationships/hyperlink" Target="http://altoalegre.ro.gov.br/simbolos-municipais.php" TargetMode="External"/><Relationship Id="rId1097" Type="http://schemas.openxmlformats.org/officeDocument/2006/relationships/hyperlink" Target="http://www.portosenavios.com.br/site/noticiario/geral/2259-csn-" TargetMode="External"/><Relationship Id="rId1220" Type="http://schemas.openxmlformats.org/officeDocument/2006/relationships/hyperlink" Target="http://verbetes.cetem.gov.br/impressao/ExibeGlossarioResumo.aspx?verid=9" TargetMode="External"/><Relationship Id="rId1318" Type="http://schemas.openxmlformats.org/officeDocument/2006/relationships/hyperlink" Target="http://www.minerios.com.br/index.php?page=materia.php&amp;amp;id=1306" TargetMode="External"/><Relationship Id="rId1525" Type="http://schemas.openxmlformats.org/officeDocument/2006/relationships/hyperlink" Target="http://www.brasilmineral.com.br/BM/default.asp?COD=5435&amp;amp;busca" TargetMode="External"/><Relationship Id="rId674" Type="http://schemas.openxmlformats.org/officeDocument/2006/relationships/hyperlink" Target="http://www.brasilmineral.com.br/BM/default.asp?COD=3584&amp;amp;busca&amp;amp;num" TargetMode="External"/><Relationship Id="rId881" Type="http://schemas.openxmlformats.org/officeDocument/2006/relationships/hyperlink" Target="http://www.ohoje.com.br/cidades/22-04-2010-goias-" TargetMode="External"/><Relationship Id="rId979" Type="http://schemas.openxmlformats.org/officeDocument/2006/relationships/hyperlink" Target="http://navegadormt.siteconnect.com.br/noticia.php?codigo=8788&amp;amp;cat" TargetMode="External"/><Relationship Id="rId1732" Type="http://schemas.openxmlformats.org/officeDocument/2006/relationships/hyperlink" Target="http://www.ibge.gov.br/cidadesat/xtras/perfil.php?codmun=431150&amp;amp;r" TargetMode="External"/><Relationship Id="rId24" Type="http://schemas.openxmlformats.org/officeDocument/2006/relationships/hyperlink" Target="http://www.conflitoambiental.icict.fiocruz.br/index.php" TargetMode="External"/><Relationship Id="rId327" Type="http://schemas.openxmlformats.org/officeDocument/2006/relationships/hyperlink" Target="http://www.brasilmineral.com.br/BM/default.asp?COD=4795&amp;amp;busca" TargetMode="External"/><Relationship Id="rId534" Type="http://schemas.openxmlformats.org/officeDocument/2006/relationships/hyperlink" Target="http://confins.revues.org/7010" TargetMode="External"/><Relationship Id="rId741" Type="http://schemas.openxmlformats.org/officeDocument/2006/relationships/hyperlink" Target="http://diariodonordeste.globo.com/materia.asp?codigo=767484" TargetMode="External"/><Relationship Id="rId839" Type="http://schemas.openxmlformats.org/officeDocument/2006/relationships/hyperlink" Target="http://www.set.rn.gov.br/set/noticias/arquivos/not/10abr2006%20-" TargetMode="External"/><Relationship Id="rId1164" Type="http://schemas.openxmlformats.org/officeDocument/2006/relationships/hyperlink" Target="http://www.tede.ufop.br/tde_arquivos/15/TDE-2009-09-" TargetMode="External"/><Relationship Id="rId1371" Type="http://schemas.openxmlformats.org/officeDocument/2006/relationships/hyperlink" Target="http://verbetes.cetem.gov.br/impressao/ExibeGlossarioResumo.aspx?verid=7" TargetMode="External"/><Relationship Id="rId1469" Type="http://schemas.openxmlformats.org/officeDocument/2006/relationships/hyperlink" Target="http://xinguvivo.org.br/votevale/?p=210" TargetMode="External"/><Relationship Id="rId173" Type="http://schemas.openxmlformats.org/officeDocument/2006/relationships/hyperlink" Target="http://www.socioambiental.org/uc/3226/noticia/41342" TargetMode="External"/><Relationship Id="rId380" Type="http://schemas.openxmlformats.org/officeDocument/2006/relationships/hyperlink" Target="http://www.correiocidadania.com.br/content/view/1713/9/" TargetMode="External"/><Relationship Id="rId601" Type="http://schemas.openxmlformats.org/officeDocument/2006/relationships/hyperlink" Target="http://liderancadoptbahia.com/novo/noticias.php?id_noticia=8033" TargetMode="External"/><Relationship Id="rId1024" Type="http://schemas.openxmlformats.org/officeDocument/2006/relationships/hyperlink" Target="http://201.59.137.230/pt/versao_impressao/prt_detail.asp?tipo=2&amp;amp;id=16586" TargetMode="External"/><Relationship Id="rId1231" Type="http://schemas.openxmlformats.org/officeDocument/2006/relationships/hyperlink" Target="http://www.peticaopublica.com.br/PeticaoVer.aspx?pi=P2011N13088" TargetMode="External"/><Relationship Id="rId1676" Type="http://schemas.openxmlformats.org/officeDocument/2006/relationships/hyperlink" Target="http://verbetes.cetem.gov.br/impressao/ExibeGlossarioResumo.aspx?verid=14" TargetMode="External"/><Relationship Id="rId240" Type="http://schemas.openxmlformats.org/officeDocument/2006/relationships/hyperlink" Target="http://www.ipea.gov.br/portal/index.php?option=com_content&amp;amp;view" TargetMode="External"/><Relationship Id="rId478" Type="http://schemas.openxmlformats.org/officeDocument/2006/relationships/hyperlink" Target="http://verbetes.cetem.gov.br/impressao/ExibeGlossarioResumo.aspx?verid=8" TargetMode="External"/><Relationship Id="rId685" Type="http://schemas.openxmlformats.org/officeDocument/2006/relationships/hyperlink" Target="http://www.creaba.org.br/Imagens/.../12.../FPI%20Jacobina_2006_2008(1)" TargetMode="External"/><Relationship Id="rId892" Type="http://schemas.openxmlformats.org/officeDocument/2006/relationships/hyperlink" Target="http://www.observatoriogeograficoamericalatina.org.mx/egal6/-" TargetMode="External"/><Relationship Id="rId906" Type="http://schemas.openxmlformats.org/officeDocument/2006/relationships/hyperlink" Target="http://www.minerios.com.br/index.php?page=materia.php&amp;amp;id=1750" TargetMode="External"/><Relationship Id="rId1329" Type="http://schemas.openxmlformats.org/officeDocument/2006/relationships/hyperlink" Target="http://verbetes.cetem.gov.br/impressao/ExibeGlossarioResumo.aspx?verid=5" TargetMode="External"/><Relationship Id="rId1536" Type="http://schemas.openxmlformats.org/officeDocument/2006/relationships/hyperlink" Target="http://www.pmsfi.rj.gov.br/noti/noticia.php?id=1003&amp;amp;mod=7" TargetMode="External"/><Relationship Id="rId1743" Type="http://schemas.openxmlformats.org/officeDocument/2006/relationships/hyperlink" Target="http://www.ibge.gov.br/cidadesat/xtras/perfil.php?codmun=431912&amp;amp;r" TargetMode="External"/><Relationship Id="rId35" Type="http://schemas.openxmlformats.org/officeDocument/2006/relationships/hyperlink" Target="http://www.webartigos.com/articles/24591/1/IMPACTOS-AMBIENTAIS-E-DANOS-HUMANOS-" TargetMode="External"/><Relationship Id="rId100" Type="http://schemas.openxmlformats.org/officeDocument/2006/relationships/hyperlink" Target="http://verbetes.cetem.gov.br/impressao/ExibeGlossarioResumo.aspx?verid=9" TargetMode="External"/><Relationship Id="rId338" Type="http://schemas.openxmlformats.org/officeDocument/2006/relationships/hyperlink" Target="http://www.sbe.com.br/anais29cbe/29cbe_097-103.pdf" TargetMode="External"/><Relationship Id="rId545" Type="http://schemas.openxmlformats.org/officeDocument/2006/relationships/image" Target="media/image24.png"/><Relationship Id="rId752" Type="http://schemas.openxmlformats.org/officeDocument/2006/relationships/hyperlink" Target="http://www.ecodebate.com.br/2010/06/24/ce-decisao-anula-licenca-" TargetMode="External"/><Relationship Id="rId1175" Type="http://schemas.openxmlformats.org/officeDocument/2006/relationships/hyperlink" Target="http://www.cmbrumadinho.mg.gov.br/site/noticias/1-" TargetMode="External"/><Relationship Id="rId1382" Type="http://schemas.openxmlformats.org/officeDocument/2006/relationships/hyperlink" Target="http://www.mabnacional.org.br/noticias/030309_mortandade_peixes" TargetMode="External"/><Relationship Id="rId1603" Type="http://schemas.openxmlformats.org/officeDocument/2006/relationships/hyperlink" Target="http://verbetes.cetem.gov.br/impressao/ExibeGlossarioResumo.aspx?verid=9" TargetMode="External"/><Relationship Id="rId184" Type="http://schemas.openxmlformats.org/officeDocument/2006/relationships/hyperlink" Target="http://www.ifma.edu.br/SiteCefet/publicacoes/artigos/revista13.7.2/C" TargetMode="External"/><Relationship Id="rId391" Type="http://schemas.openxmlformats.org/officeDocument/2006/relationships/hyperlink" Target="http://www.vale.com/pt-br/carreiras/oportunidades-" TargetMode="External"/><Relationship Id="rId405" Type="http://schemas.openxmlformats.org/officeDocument/2006/relationships/hyperlink" Target="http://www.conservation.org.br/onde/amazonia/index.php?id=137" TargetMode="External"/><Relationship Id="rId612" Type="http://schemas.openxmlformats.org/officeDocument/2006/relationships/hyperlink" Target="http://www.odiariodaregiao.com/produtores-do-distrito-de-pinhoes-" TargetMode="External"/><Relationship Id="rId1035" Type="http://schemas.openxmlformats.org/officeDocument/2006/relationships/hyperlink" Target="http://www.redetec.org.br/publique/media/Perfilatualrochasornament" TargetMode="External"/><Relationship Id="rId1242" Type="http://schemas.openxmlformats.org/officeDocument/2006/relationships/hyperlink" Target="http://www.simi.org.br/itemBiblioteca/exibir/4582" TargetMode="External"/><Relationship Id="rId1687" Type="http://schemas.openxmlformats.org/officeDocument/2006/relationships/hyperlink" Target="http://www.bemparana.com.br/index.php?n=23415&amp;amp;t=governo-" TargetMode="External"/><Relationship Id="rId251" Type="http://schemas.openxmlformats.org/officeDocument/2006/relationships/hyperlink" Target="http://publique.rdc.pucrio.br/geopuc/media/Wanderley_geopuc03.pdf" TargetMode="External"/><Relationship Id="rId489" Type="http://schemas.openxmlformats.org/officeDocument/2006/relationships/hyperlink" Target="http://www.dnpm.gov.br/mostra_arquivo.asp?IDBancoArquivoArquiv" TargetMode="External"/><Relationship Id="rId696" Type="http://schemas.openxmlformats.org/officeDocument/2006/relationships/hyperlink" Target="http://www.cptba.org.br/download/diagnostico_mineracao_juazeiro_j" TargetMode="External"/><Relationship Id="rId917" Type="http://schemas.openxmlformats.org/officeDocument/2006/relationships/hyperlink" Target="http://www.anglogoldashanti.com.br/Paginas/QuemSomos/Default.a" TargetMode="External"/><Relationship Id="rId1102" Type="http://schemas.openxmlformats.org/officeDocument/2006/relationships/hyperlink" Target="http://www.cetem.gov.br/workshop/pdf/vol1grandesminas.pdf" TargetMode="External"/><Relationship Id="rId1547" Type="http://schemas.openxmlformats.org/officeDocument/2006/relationships/hyperlink" Target="http://www.anppas.org.br/encontro_anual/encontro2/GT/GT17/gt17_" TargetMode="External"/><Relationship Id="rId1754" Type="http://schemas.openxmlformats.org/officeDocument/2006/relationships/hyperlink" Target="http://www.crbio3.org.br/noticias/index.php?id=4835&amp;amp;idcategoria=6" TargetMode="External"/><Relationship Id="rId46" Type="http://schemas.openxmlformats.org/officeDocument/2006/relationships/image" Target="media/image15.png"/><Relationship Id="rId349" Type="http://schemas.openxmlformats.org/officeDocument/2006/relationships/hyperlink" Target="http://www.fundovale.org/categorias/nossas-acoes/areas-protegidas-" TargetMode="External"/><Relationship Id="rId556" Type="http://schemas.openxmlformats.org/officeDocument/2006/relationships/hyperlink" Target="http://www.sicm.ba.gov.br/Pagina.aspx?pagina=mineracao" TargetMode="External"/><Relationship Id="rId763" Type="http://schemas.openxmlformats.org/officeDocument/2006/relationships/hyperlink" Target="http://sigep.cprm.gov.br/sitio006/sitio006.pdf" TargetMode="External"/><Relationship Id="rId1186" Type="http://schemas.openxmlformats.org/officeDocument/2006/relationships/hyperlink" Target="http://www.mendesvianna.com/clipping/9002/Serra-Azul-" TargetMode="External"/><Relationship Id="rId1393" Type="http://schemas.openxmlformats.org/officeDocument/2006/relationships/hyperlink" Target="http://verbetes.cetem.gov.br/impressao/ExibeGlossarioResumo.aspx?verid=12" TargetMode="External"/><Relationship Id="rId1407" Type="http://schemas.openxmlformats.org/officeDocument/2006/relationships/hyperlink" Target="http://www.revistargsa.org/ojs/index.php/rgsa/article/viewFile/332/11" TargetMode="External"/><Relationship Id="rId1614" Type="http://schemas.openxmlformats.org/officeDocument/2006/relationships/hyperlink" Target="http://www.conflitoambiental.icict.fiocruz.br/index.php?pag=ficha&amp;amp;co" TargetMode="External"/><Relationship Id="rId111" Type="http://schemas.openxmlformats.org/officeDocument/2006/relationships/hyperlink" Target="http://www.iepa.ap.gov.br/arquivopdf/diagnostico_mineral_amapa.pd" TargetMode="External"/><Relationship Id="rId195" Type="http://schemas.openxmlformats.org/officeDocument/2006/relationships/hyperlink" Target="http://parauapebas.vilabol.uol.com.br/historia.html" TargetMode="External"/><Relationship Id="rId209" Type="http://schemas.openxmlformats.org/officeDocument/2006/relationships/hyperlink" Target="http://www.ibge.gov.br/cidadesat/xtras/perfil.php?codmun=150390&amp;amp;r" TargetMode="External"/><Relationship Id="rId416" Type="http://schemas.openxmlformats.org/officeDocument/2006/relationships/hyperlink" Target="http://www.periodicos.ufpa.br/index.php/ncn/article/viewFile/14/13" TargetMode="External"/><Relationship Id="rId970" Type="http://schemas.openxmlformats.org/officeDocument/2006/relationships/hyperlink" Target="http://verbetes.cetem.gov.br/impressao/ExibeGlossarioResumo.aspx?verid=11" TargetMode="External"/><Relationship Id="rId1046" Type="http://schemas.openxmlformats.org/officeDocument/2006/relationships/hyperlink" Target="http://www.cetem.gov.br/noticias/cetem%20midia/2008/08_10_01_n" TargetMode="External"/><Relationship Id="rId1253" Type="http://schemas.openxmlformats.org/officeDocument/2006/relationships/hyperlink" Target="http://www.kinross.com.br/operacoes.php?id_category=2" TargetMode="External"/><Relationship Id="rId1698" Type="http://schemas.openxmlformats.org/officeDocument/2006/relationships/hyperlink" Target="http://www.cgtee.gov.br/sitenovo/index.php?secao=37" TargetMode="External"/><Relationship Id="rId623" Type="http://schemas.openxmlformats.org/officeDocument/2006/relationships/hyperlink" Target="http://www.cetem.gov.br/publicacao/CTs/CT2008-078-00.pdf" TargetMode="External"/><Relationship Id="rId830" Type="http://schemas.openxmlformats.org/officeDocument/2006/relationships/hyperlink" Target="http://tribunadonorte.com.br/noticia.php?id=24766" TargetMode="External"/><Relationship Id="rId928" Type="http://schemas.openxmlformats.org/officeDocument/2006/relationships/hyperlink" Target="http://cetem.gov.br/publicacao/CTs/CT2007-" TargetMode="External"/><Relationship Id="rId1460" Type="http://schemas.openxmlformats.org/officeDocument/2006/relationships/hyperlink" Target="http://agenciabrasil.ebc.com.br/noticia/2011-" TargetMode="External"/><Relationship Id="rId1558" Type="http://schemas.openxmlformats.org/officeDocument/2006/relationships/hyperlink" Target="http://verbetes.cetem.gov.br/impressao/ExibeGlossarioResumo.aspx?verid=3" TargetMode="External"/><Relationship Id="rId57" Type="http://schemas.openxmlformats.org/officeDocument/2006/relationships/hyperlink" Target="http://www.parauapebas.pa.gov.br/paraupebas/economia" TargetMode="External"/><Relationship Id="rId262" Type="http://schemas.openxmlformats.org/officeDocument/2006/relationships/hyperlink" Target="http://www.scielo.br/pdf/ea/v19n53/24088.pdf" TargetMode="External"/><Relationship Id="rId567" Type="http://schemas.openxmlformats.org/officeDocument/2006/relationships/hyperlink" Target="http://www.meioambienteeanimais.com.br/SiteMeioAmbienteEAnima" TargetMode="External"/><Relationship Id="rId1113" Type="http://schemas.openxmlformats.org/officeDocument/2006/relationships/hyperlink" Target="http://www.conflitoambiental.icict.fiocruz.br/index.php?pag=ficha&amp;amp;co" TargetMode="External"/><Relationship Id="rId1197" Type="http://schemas.openxmlformats.org/officeDocument/2006/relationships/hyperlink" Target="http://www.cetem.gov.br/publicacao/series_sed/sed-69.pdf" TargetMode="External"/><Relationship Id="rId1320" Type="http://schemas.openxmlformats.org/officeDocument/2006/relationships/hyperlink" Target="http://www.cetem.gov.br/workshop/pdf/vol1grandesminas" TargetMode="External"/><Relationship Id="rId1418" Type="http://schemas.openxmlformats.org/officeDocument/2006/relationships/hyperlink" Target="http://www.ecodebate.com.br/2009/06/05/rj-inicia-a-" TargetMode="External"/><Relationship Id="rId122" Type="http://schemas.openxmlformats.org/officeDocument/2006/relationships/hyperlink" Target="http://www.conflitoambiental.icict.fiocruz.br/index.php?pag=ficha&amp;amp;co" TargetMode="External"/><Relationship Id="rId774" Type="http://schemas.openxmlformats.org/officeDocument/2006/relationships/hyperlink" Target="http://www.alasru.org/cdalasru2006/14%20GT%20Hor%C3%A1cio%25" TargetMode="External"/><Relationship Id="rId981" Type="http://schemas.openxmlformats.org/officeDocument/2006/relationships/hyperlink" Target="http://solos.ufmt.br/docs/Pantanal/Guia_%20XIV%20RBMCSA.pdf" TargetMode="External"/><Relationship Id="rId1057" Type="http://schemas.openxmlformats.org/officeDocument/2006/relationships/hyperlink" Target="http://www.ibama.gov.br/2009/04/ibama-multa-alunorte-por-" TargetMode="External"/><Relationship Id="rId1625" Type="http://schemas.openxmlformats.org/officeDocument/2006/relationships/hyperlink" Target="mailto:ralamino@cetem.gov.br" TargetMode="External"/><Relationship Id="rId427" Type="http://schemas.openxmlformats.org/officeDocument/2006/relationships/hyperlink" Target="http://web.ccead.puc-/" TargetMode="External"/><Relationship Id="rId634" Type="http://schemas.openxmlformats.org/officeDocument/2006/relationships/hyperlink" Target="http://www.justicanostrilhos.org/nota/836" TargetMode="External"/><Relationship Id="rId841" Type="http://schemas.openxmlformats.org/officeDocument/2006/relationships/hyperlink" Target="http://www.globoamazonia.com/Amazonia/0%2C%2CMUL1371700-" TargetMode="External"/><Relationship Id="rId1264" Type="http://schemas.openxmlformats.org/officeDocument/2006/relationships/hyperlink" Target="http://verbetes.cetem.gov.br/impressao/ExibeGlossarioResumo.aspx?verid=11" TargetMode="External"/><Relationship Id="rId1471" Type="http://schemas.openxmlformats.org/officeDocument/2006/relationships/hyperlink" Target="http://verbetes.cetem.gov.br/impressao/ExibeGlossarioResumo.aspx?verid=6" TargetMode="External"/><Relationship Id="rId1569" Type="http://schemas.openxmlformats.org/officeDocument/2006/relationships/hyperlink" Target="http://www.ambiente.sp.gov.br/acontece/noticias/amianto-comeca-a-" TargetMode="External"/><Relationship Id="rId273" Type="http://schemas.openxmlformats.org/officeDocument/2006/relationships/hyperlink" Target="http://verbetes.cetem.gov.br/impressao/ExibeGlossarioResumo.aspx?verid=9" TargetMode="External"/><Relationship Id="rId480" Type="http://schemas.openxmlformats.org/officeDocument/2006/relationships/hyperlink" Target="http://www.ibge.gov.br/cidadesat/topwindow.htm?1" TargetMode="External"/><Relationship Id="rId701" Type="http://schemas.openxmlformats.org/officeDocument/2006/relationships/hyperlink" Target="http://www.seplan.ba.gov.br/sgc/arquivos/20100618_090358_09" TargetMode="External"/><Relationship Id="rId939" Type="http://schemas.openxmlformats.org/officeDocument/2006/relationships/hyperlink" Target="http://www.scielo.br/pdf/asoc/v11n2/v11n2a11.pdf" TargetMode="External"/><Relationship Id="rId1124" Type="http://schemas.openxmlformats.org/officeDocument/2006/relationships/hyperlink" Target="http://www.estadao.com.br/estadaodehoje/20100515/not_imp552032" TargetMode="External"/><Relationship Id="rId1331" Type="http://schemas.openxmlformats.org/officeDocument/2006/relationships/hyperlink" Target="http://verbetes.cetem.gov.br/impressao/ExibeGlossarioResumo.aspx?verid=13" TargetMode="External"/><Relationship Id="rId68" Type="http://schemas.openxmlformats.org/officeDocument/2006/relationships/hyperlink" Target="http://sipam.gov.br/content/view/1754/18/" TargetMode="External"/><Relationship Id="rId133" Type="http://schemas.openxmlformats.org/officeDocument/2006/relationships/hyperlink" Target="http://www.apontador.com.br/local/ap/calcoene.html" TargetMode="External"/><Relationship Id="rId340" Type="http://schemas.openxmlformats.org/officeDocument/2006/relationships/hyperlink" Target="http://www.ibge.gov.br/cidadesat/xtras/perfil.php?codmun=150553&amp;amp;r" TargetMode="External"/><Relationship Id="rId578" Type="http://schemas.openxmlformats.org/officeDocument/2006/relationships/hyperlink" Target="http://bahia-/" TargetMode="External"/><Relationship Id="rId785" Type="http://schemas.openxmlformats.org/officeDocument/2006/relationships/hyperlink" Target="http://verbetes.cetem.gov.br/impressao/ExibeGlossarioResumo.aspx?verid=2" TargetMode="External"/><Relationship Id="rId992" Type="http://schemas.openxmlformats.org/officeDocument/2006/relationships/hyperlink" Target="http://site.dm.com.br/noticias/cidades/dragas-discutidas-na-camara-" TargetMode="External"/><Relationship Id="rId1429" Type="http://schemas.openxmlformats.org/officeDocument/2006/relationships/hyperlink" Target="http://www.superportodoacu.com.br/o-complexo/" TargetMode="External"/><Relationship Id="rId1636" Type="http://schemas.openxmlformats.org/officeDocument/2006/relationships/hyperlink" Target="http://www.estado.rs.gov.br/o-" TargetMode="External"/><Relationship Id="rId200" Type="http://schemas.openxmlformats.org/officeDocument/2006/relationships/hyperlink" Target="http://saladeimprensa.vale.com/pt/noticias/interna.asp?id=20235" TargetMode="External"/><Relationship Id="rId438" Type="http://schemas.openxmlformats.org/officeDocument/2006/relationships/hyperlink" Target="http://www.cetem.gov.br/publicacao/CTs/CT2006-071-00.pdf" TargetMode="External"/><Relationship Id="rId645" Type="http://schemas.openxmlformats.org/officeDocument/2006/relationships/hyperlink" Target="http://www.bibliotecadigital.ufmg.br/dspace/bitstream/1843/BUOS-" TargetMode="External"/><Relationship Id="rId852" Type="http://schemas.openxmlformats.org/officeDocument/2006/relationships/hyperlink" Target="http://www.ibram.org.br/150/15001002.asp?ttCD_CHAVE=110952" TargetMode="External"/><Relationship Id="rId1068" Type="http://schemas.openxmlformats.org/officeDocument/2006/relationships/hyperlink" Target="http://www.ibge.gov.br/cidadesat/xtras/perfil.php?codmun=314220&amp;amp;r" TargetMode="External"/><Relationship Id="rId1275" Type="http://schemas.openxmlformats.org/officeDocument/2006/relationships/hyperlink" Target="http://www.abirochas.com.br/en/info_mercado/Quartzitos_Sao_Tom" TargetMode="External"/><Relationship Id="rId1482" Type="http://schemas.openxmlformats.org/officeDocument/2006/relationships/hyperlink" Target="http://www.brasilmineral.com.br/bm/default.asp?COD=3631&amp;amp;busca" TargetMode="External"/><Relationship Id="rId1703" Type="http://schemas.openxmlformats.org/officeDocument/2006/relationships/hyperlink" Target="http://www.cetem.gov.br/publicacao/CTs/CT2008-094-00.pdf" TargetMode="External"/><Relationship Id="rId284" Type="http://schemas.openxmlformats.org/officeDocument/2006/relationships/hyperlink" Target="http://www.esteio.com.br/servicos/se_salobo.htm" TargetMode="External"/><Relationship Id="rId491" Type="http://schemas.openxmlformats.org/officeDocument/2006/relationships/hyperlink" Target="http://www.dnpm.gov.br/mostra_arquivo.asp?IDBancoArquivoArquiv" TargetMode="External"/><Relationship Id="rId505" Type="http://schemas.openxmlformats.org/officeDocument/2006/relationships/hyperlink" Target="http://www.fem.unicamp.br/%7Eseva/pdf_slides_serie2_miner_metalurgi" TargetMode="External"/><Relationship Id="rId712" Type="http://schemas.openxmlformats.org/officeDocument/2006/relationships/hyperlink" Target="http://verbetes.cetem.gov.br/impressao/ExibeGlossarioResumo.aspx?verid=15" TargetMode="External"/><Relationship Id="rId1135" Type="http://schemas.openxmlformats.org/officeDocument/2006/relationships/hyperlink" Target="http://www.brasilmineral.com.br/BM/default.asp?numero=274" TargetMode="External"/><Relationship Id="rId1342" Type="http://schemas.openxmlformats.org/officeDocument/2006/relationships/hyperlink" Target="http://www.conflitoambiental.icict.fiocruz.br/index.php?pag=ficha&amp;amp;co" TargetMode="External"/><Relationship Id="rId79" Type="http://schemas.openxmlformats.org/officeDocument/2006/relationships/hyperlink" Target="http://www.valedojavari.com/p/situacao-atual.html" TargetMode="External"/><Relationship Id="rId144" Type="http://schemas.openxmlformats.org/officeDocument/2006/relationships/hyperlink" Target="http://periodicos.unifap.br/index.php/pracs/article/download/32/55" TargetMode="External"/><Relationship Id="rId589" Type="http://schemas.openxmlformats.org/officeDocument/2006/relationships/hyperlink" Target="http://verbetes.cetem.gov.br/impressao/ExibeGlossarioResumo.aspx?verid=4" TargetMode="External"/><Relationship Id="rId796" Type="http://schemas.openxmlformats.org/officeDocument/2006/relationships/hyperlink" Target="http://verbetes.cetem.gov.br/impressao/ExibeGlossarioResumo.aspx?verid=3" TargetMode="External"/><Relationship Id="rId1202" Type="http://schemas.openxmlformats.org/officeDocument/2006/relationships/hyperlink" Target="http://www.conflitoambiental.icict.fiocruz.br/index.php?pag=ficha&amp;amp;co" TargetMode="External"/><Relationship Id="rId1647" Type="http://schemas.openxmlformats.org/officeDocument/2006/relationships/hyperlink" Target="http://verbetes.cetem.gov.br/impressao/ExibeGlossarioResumo.aspx?verid=4" TargetMode="External"/><Relationship Id="rId351" Type="http://schemas.openxmlformats.org/officeDocument/2006/relationships/hyperlink" Target="http://www.socioambiental.org/noticias/nsa/detalhe?id=2330" TargetMode="External"/><Relationship Id="rId449" Type="http://schemas.openxmlformats.org/officeDocument/2006/relationships/hyperlink" Target="http://www.ufpa.br/naea/papers.php?mvitem=3" TargetMode="External"/><Relationship Id="rId656" Type="http://schemas.openxmlformats.org/officeDocument/2006/relationships/hyperlink" Target="http://verbetes.cetem.gov.br/impressao/ExibeGlossarioResumo.aspx?verid=12" TargetMode="External"/><Relationship Id="rId863" Type="http://schemas.openxmlformats.org/officeDocument/2006/relationships/image" Target="media/image31.png"/><Relationship Id="rId1079" Type="http://schemas.openxmlformats.org/officeDocument/2006/relationships/hyperlink" Target="http://ultimosegundo.ig.com.br/brasil/2007/01/12/residuos_que_vaza" TargetMode="External"/><Relationship Id="rId1286" Type="http://schemas.openxmlformats.org/officeDocument/2006/relationships/hyperlink" Target="http://baciariograndemp.blogspot.com.br/2012/01/tcu-acata-pedido-" TargetMode="External"/><Relationship Id="rId1493" Type="http://schemas.openxmlformats.org/officeDocument/2006/relationships/hyperlink" Target="http://www.cetem.gov.br/retecmin/Retecmin%20-" TargetMode="External"/><Relationship Id="rId1507" Type="http://schemas.openxmlformats.org/officeDocument/2006/relationships/hyperlink" Target="http://redesustentavelbrasil.com.br/2012/08/15/doenca-e-" TargetMode="External"/><Relationship Id="rId1714" Type="http://schemas.openxmlformats.org/officeDocument/2006/relationships/hyperlink" Target="http://www.unb.br/ig/sigep/sitio064/sitio064.pdf" TargetMode="External"/><Relationship Id="rId211" Type="http://schemas.openxmlformats.org/officeDocument/2006/relationships/hyperlink" Target="http://www.minerios.com.br/index.php?page=materia.php&amp;amp;id=2" TargetMode="External"/><Relationship Id="rId295" Type="http://schemas.openxmlformats.org/officeDocument/2006/relationships/hyperlink" Target="http://www.ibram.org.br/150/15001002.asp?ttCD_CHAVE=14842" TargetMode="External"/><Relationship Id="rId309" Type="http://schemas.openxmlformats.org/officeDocument/2006/relationships/hyperlink" Target="http://www.faad.icsa.ufpa.br/admead/documentos/uploaded/479-" TargetMode="External"/><Relationship Id="rId516" Type="http://schemas.openxmlformats.org/officeDocument/2006/relationships/hyperlink" Target="http://www.fatoreal.blog.br/geral/escudo-dourado-exercito-e-pf-" TargetMode="External"/><Relationship Id="rId1146" Type="http://schemas.openxmlformats.org/officeDocument/2006/relationships/hyperlink" Target="http://www.brasilmineral.com.br/bm/default.asp?COD=3574&amp;amp;busca" TargetMode="External"/><Relationship Id="rId723" Type="http://schemas.openxmlformats.org/officeDocument/2006/relationships/hyperlink" Target="http://www.adpec.org.br/noticias/2/trf-libera-" TargetMode="External"/><Relationship Id="rId930" Type="http://schemas.openxmlformats.org/officeDocument/2006/relationships/hyperlink" Target="http://www.ferias.tur.br/informacoes/2236/monte-alegre-de-goias-" TargetMode="External"/><Relationship Id="rId1006" Type="http://schemas.openxmlformats.org/officeDocument/2006/relationships/hyperlink" Target="mailto:rrocha@cetem.gov.br" TargetMode="External"/><Relationship Id="rId1353" Type="http://schemas.openxmlformats.org/officeDocument/2006/relationships/hyperlink" Target="http://verbetes.cetem.gov.br/impressao/ExibeGlossarioResumo.aspx?verid=16" TargetMode="External"/><Relationship Id="rId1560" Type="http://schemas.openxmlformats.org/officeDocument/2006/relationships/hyperlink" Target="http://www.camara.gov.br/sileg/integras/769516.pdf" TargetMode="External"/><Relationship Id="rId1658" Type="http://schemas.openxmlformats.org/officeDocument/2006/relationships/hyperlink" Target="http://www.cprm.gov.br/publique/media/geo_med12.pdf" TargetMode="External"/><Relationship Id="rId155" Type="http://schemas.openxmlformats.org/officeDocument/2006/relationships/hyperlink" Target="http://www.dnpm.gov.br/conteudo.asp?IDSecao=99&amp;amp;IDPagina=72&amp;amp;I" TargetMode="External"/><Relationship Id="rId362" Type="http://schemas.openxmlformats.org/officeDocument/2006/relationships/hyperlink" Target="http://www.abep.nepo.unicamp.br/encontro2010/docs_pdf/eixo_1/ab" TargetMode="External"/><Relationship Id="rId1213" Type="http://schemas.openxmlformats.org/officeDocument/2006/relationships/hyperlink" Target="http://www.brasilmineral.com.br/BM/default.asp?numero=505" TargetMode="External"/><Relationship Id="rId1297" Type="http://schemas.openxmlformats.org/officeDocument/2006/relationships/hyperlink" Target="http://www.ibge.gov.br/cidadesat/xtras/perfil.php?codmun=311030&amp;amp;r" TargetMode="External"/><Relationship Id="rId1420" Type="http://schemas.openxmlformats.org/officeDocument/2006/relationships/hyperlink" Target="http://www.estadao.com.br/noticias/geral%2Cmmx-eleva-para-r24-bi-" TargetMode="External"/><Relationship Id="rId1518" Type="http://schemas.openxmlformats.org/officeDocument/2006/relationships/hyperlink" Target="http://agenciabrasil.ebc.com.br/noticia/2012-09-" TargetMode="External"/><Relationship Id="rId222" Type="http://schemas.openxmlformats.org/officeDocument/2006/relationships/hyperlink" Target="http://verbetes.cetem.gov.br/impressao/ExibeGlossarioResumo.aspx?verid=2" TargetMode="External"/><Relationship Id="rId667" Type="http://schemas.openxmlformats.org/officeDocument/2006/relationships/hyperlink" Target="http://verbetes.cetem.gov.br/impressao/ExibeGlossarioResumo.aspx?verid=8" TargetMode="External"/><Relationship Id="rId874" Type="http://schemas.openxmlformats.org/officeDocument/2006/relationships/hyperlink" Target="http://diariodovale.uol.com.br/noticias/0%2C6858.html" TargetMode="External"/><Relationship Id="rId1725" Type="http://schemas.openxmlformats.org/officeDocument/2006/relationships/hyperlink" Target="http://verbetes.cetem.gov.br/impressao/ExibeGlossarioResumo.aspx?verid=12" TargetMode="External"/><Relationship Id="rId17" Type="http://schemas.openxmlformats.org/officeDocument/2006/relationships/image" Target="media/image3.png"/><Relationship Id="rId527" Type="http://schemas.openxmlformats.org/officeDocument/2006/relationships/hyperlink" Target="http://halshs.archives-/" TargetMode="External"/><Relationship Id="rId734" Type="http://schemas.openxmlformats.org/officeDocument/2006/relationships/hyperlink" Target="http://www.scielosp.org/scielo.php?pid=S1413-" TargetMode="External"/><Relationship Id="rId941" Type="http://schemas.openxmlformats.org/officeDocument/2006/relationships/hyperlink" Target="http://www.troyres.com.br/corporate/history.html" TargetMode="External"/><Relationship Id="rId1157" Type="http://schemas.openxmlformats.org/officeDocument/2006/relationships/hyperlink" Target="http://www.ibram.org.br/sites/1300/1382/00000105.pdf" TargetMode="External"/><Relationship Id="rId1364" Type="http://schemas.openxmlformats.org/officeDocument/2006/relationships/hyperlink" Target="http://www.ibram.org.br/150/15001002.asp?ttCD_CHAVE=156931" TargetMode="External"/><Relationship Id="rId1571" Type="http://schemas.openxmlformats.org/officeDocument/2006/relationships/hyperlink" Target="http://verbetes.cetem.gov.br/impressao/ExibeGlossarioResumo.aspx?verid=5" TargetMode="External"/><Relationship Id="rId70" Type="http://schemas.openxmlformats.org/officeDocument/2006/relationships/hyperlink" Target="http://estadao.com.br/amazonia/destruicao_chaga_dourada.htm" TargetMode="External"/><Relationship Id="rId166" Type="http://schemas.openxmlformats.org/officeDocument/2006/relationships/hyperlink" Target="http://verbetes.cetem.gov.br/impressao/ExibeGlossarioResumo.aspx?verid=12" TargetMode="External"/><Relationship Id="rId373" Type="http://schemas.openxmlformats.org/officeDocument/2006/relationships/hyperlink" Target="http://www.reporterbrasil.org.br/exibe.php?id=19" TargetMode="External"/><Relationship Id="rId580" Type="http://schemas.openxmlformats.org/officeDocument/2006/relationships/hyperlink" Target="http://www.scielo.br/pdf/asoc/v13n2/v13n2a05.pdf" TargetMode="External"/><Relationship Id="rId801" Type="http://schemas.openxmlformats.org/officeDocument/2006/relationships/hyperlink" Target="http://www.ecb.ind.br/interno.php?Conteudo=empresa" TargetMode="External"/><Relationship Id="rId1017" Type="http://schemas.openxmlformats.org/officeDocument/2006/relationships/image" Target="media/image41.png"/><Relationship Id="rId1224" Type="http://schemas.openxmlformats.org/officeDocument/2006/relationships/hyperlink" Target="http://www.defatoonline.com.br/noticias/ultimas/?IdNoticia=15754" TargetMode="External"/><Relationship Id="rId1431" Type="http://schemas.openxmlformats.org/officeDocument/2006/relationships/hyperlink" Target="http://www.brasilmineral.com.br/BM/default.asp?COD=5145&amp;amp;busca" TargetMode="External"/><Relationship Id="rId1669" Type="http://schemas.openxmlformats.org/officeDocument/2006/relationships/hyperlink" Target="http://www2.uel.br/revistas/direitopub/pdfs/VOLUME_4/num_2/A" TargetMode="External"/><Relationship Id="rId1" Type="http://schemas.openxmlformats.org/officeDocument/2006/relationships/numbering" Target="numbering.xml"/><Relationship Id="rId233" Type="http://schemas.openxmlformats.org/officeDocument/2006/relationships/hyperlink" Target="http://www.conflitoambiental.icict.fiocruz.br/index.php?pag=ficha&amp;amp;co" TargetMode="External"/><Relationship Id="rId440" Type="http://schemas.openxmlformats.org/officeDocument/2006/relationships/hyperlink" Target="http://www.ibge.gov.br/cidadesat/xtras/perfil.php?codmun=150420&amp;amp;r" TargetMode="External"/><Relationship Id="rId678" Type="http://schemas.openxmlformats.org/officeDocument/2006/relationships/hyperlink" Target="http://www.cptba.org.br/index.php?option=com_content&amp;amp;view=article" TargetMode="External"/><Relationship Id="rId885" Type="http://schemas.openxmlformats.org/officeDocument/2006/relationships/hyperlink" Target="http://www.estadao.com.br/noticias/impresso%2Crelatorio-pede-o-" TargetMode="External"/><Relationship Id="rId1070" Type="http://schemas.openxmlformats.org/officeDocument/2006/relationships/hyperlink" Target="http://www.ibge.gov.br/cidadesat/xtras/perfil.php?codmun=314820&amp;amp;r" TargetMode="External"/><Relationship Id="rId1529" Type="http://schemas.openxmlformats.org/officeDocument/2006/relationships/hyperlink" Target="http://showfranciscodacidade.blogspot.com.br/2011/09/sao-" TargetMode="External"/><Relationship Id="rId1736" Type="http://schemas.openxmlformats.org/officeDocument/2006/relationships/hyperlink" Target="http://verbetes.cetem.gov.br/impressao/ExibeGlossarioResumo.aspx?verid=9" TargetMode="External"/><Relationship Id="rId28" Type="http://schemas.openxmlformats.org/officeDocument/2006/relationships/hyperlink" Target="http://www.mma.gov.br/port/conama/legiabre.cfm?codlegi=23" TargetMode="External"/><Relationship Id="rId300" Type="http://schemas.openxmlformats.org/officeDocument/2006/relationships/hyperlink" Target="http://www.zedudu.com.br/?category_name=parauapebas&amp;amp;paged=1" TargetMode="External"/><Relationship Id="rId538" Type="http://schemas.openxmlformats.org/officeDocument/2006/relationships/hyperlink" Target="mailto:rrocha@cetem.gov.br" TargetMode="External"/><Relationship Id="rId745" Type="http://schemas.openxmlformats.org/officeDocument/2006/relationships/hyperlink" Target="http://www.alide.com.br/joomla/index.php/capa/36-noticias/2008-" TargetMode="External"/><Relationship Id="rId952" Type="http://schemas.openxmlformats.org/officeDocument/2006/relationships/hyperlink" Target="http://www.pirenopolis.com.br/ExibeNoticia.jsp?pkNoticia=225" TargetMode="External"/><Relationship Id="rId1168" Type="http://schemas.openxmlformats.org/officeDocument/2006/relationships/hyperlink" Target="http://www.vale.com.br/pt-br/o-que-fazemos/mineracao/minerio-de-" TargetMode="External"/><Relationship Id="rId1375" Type="http://schemas.openxmlformats.org/officeDocument/2006/relationships/hyperlink" Target="http://verbetes.cetem.gov.br/impressao/ExibeGlossarioResumo.aspx?verid=14" TargetMode="External"/><Relationship Id="rId1582" Type="http://schemas.openxmlformats.org/officeDocument/2006/relationships/hyperlink" Target="http://www.jpjornal.com.br/" TargetMode="External"/><Relationship Id="rId81" Type="http://schemas.openxmlformats.org/officeDocument/2006/relationships/hyperlink" Target="http://www.socioambiental.org/banco_imagens/pdfs/14.pdf" TargetMode="External"/><Relationship Id="rId177" Type="http://schemas.openxmlformats.org/officeDocument/2006/relationships/hyperlink" Target="http://verbetes.cetem.gov.br/impressao/ExibeGlossarioResumo.aspx?verid=12" TargetMode="External"/><Relationship Id="rId384" Type="http://schemas.openxmlformats.org/officeDocument/2006/relationships/hyperlink" Target="http://www.ibge.gov.br/cidadesat/painel/painel.php?codmun=150543" TargetMode="External"/><Relationship Id="rId591" Type="http://schemas.openxmlformats.org/officeDocument/2006/relationships/hyperlink" Target="http://jangello.unifacs.br/downloads/Projeto_Purifica.pdf" TargetMode="External"/><Relationship Id="rId605" Type="http://schemas.openxmlformats.org/officeDocument/2006/relationships/hyperlink" Target="http://verbetes.cetem.gov.br/impressao/ExibeGlossarioResumo.aspx?verid=8" TargetMode="External"/><Relationship Id="rId812" Type="http://schemas.openxmlformats.org/officeDocument/2006/relationships/hyperlink" Target="http://verbetes.cetem.gov.br/impressao/ExibeGlossarioResumo.aspx?verid=5" TargetMode="External"/><Relationship Id="rId1028" Type="http://schemas.openxmlformats.org/officeDocument/2006/relationships/hyperlink" Target="http://www.cetem.gov.br/publicacao/CTs/CT2008-128-00.pdf" TargetMode="External"/><Relationship Id="rId1235" Type="http://schemas.openxmlformats.org/officeDocument/2006/relationships/hyperlink" Target="http://www.ibge.gov.br/cidadesat/xtras/perfil.php?codmun=316860&amp;amp;r" TargetMode="External"/><Relationship Id="rId1442" Type="http://schemas.openxmlformats.org/officeDocument/2006/relationships/hyperlink" Target="http://portalozknews.com.br/v1/materia/saojoaodabarra/2011/08/17/s" TargetMode="External"/><Relationship Id="rId244" Type="http://schemas.openxmlformats.org/officeDocument/2006/relationships/hyperlink" Target="http://www.mrn.com.br/quem_somos/historia.html" TargetMode="External"/><Relationship Id="rId689" Type="http://schemas.openxmlformats.org/officeDocument/2006/relationships/hyperlink" Target="http://verbetes.cetem.gov.br/impressao/ExibeGlossarioResumo.aspx?verid=9" TargetMode="External"/><Relationship Id="rId896" Type="http://schemas.openxmlformats.org/officeDocument/2006/relationships/hyperlink" Target="http://www.jornalopcao.com.br/posts/ultimas-noticias/votorantim-" TargetMode="External"/><Relationship Id="rId1081" Type="http://schemas.openxmlformats.org/officeDocument/2006/relationships/hyperlink" Target="http://www.almg.gov.br/not/bancodenoticias/not_761336.asp" TargetMode="External"/><Relationship Id="rId1302" Type="http://schemas.openxmlformats.org/officeDocument/2006/relationships/hyperlink" Target="http://verbetes.cetem.gov.br/impressao/ExibeGlossarioResumo.aspx?verid=15" TargetMode="External"/><Relationship Id="rId1747" Type="http://schemas.openxmlformats.org/officeDocument/2006/relationships/hyperlink" Target="http://www.saomartinhodaserra.rs.gov.br/portal1/municipio/historia.a" TargetMode="External"/><Relationship Id="rId39" Type="http://schemas.openxmlformats.org/officeDocument/2006/relationships/hyperlink" Target="mailto:ralamino@cetem.gov.br" TargetMode="External"/><Relationship Id="rId451" Type="http://schemas.openxmlformats.org/officeDocument/2006/relationships/hyperlink" Target="http://www.acailandia.ma.gov.br/2010/index.php?op=historia" TargetMode="External"/><Relationship Id="rId549" Type="http://schemas.openxmlformats.org/officeDocument/2006/relationships/hyperlink" Target="http://www.dnpm.gov.br/mostra_arquivo.asp?IDBancoArquivoArquivo=3194" TargetMode="External"/><Relationship Id="rId756" Type="http://schemas.openxmlformats.org/officeDocument/2006/relationships/hyperlink" Target="http://www.itarget.com.br/clients/santaquiteria.ce.gov.br/2009/Down/j" TargetMode="External"/><Relationship Id="rId1179" Type="http://schemas.openxmlformats.org/officeDocument/2006/relationships/hyperlink" Target="http://www.ibge.gov.br/cidadesat/xtras/perfil.php?codmun=310800&amp;amp;r" TargetMode="External"/><Relationship Id="rId1386" Type="http://schemas.openxmlformats.org/officeDocument/2006/relationships/hyperlink" Target="http://dspace.lcc.ufmg.br/dspace/bitstream/1843/MPBB-" TargetMode="External"/><Relationship Id="rId1593" Type="http://schemas.openxmlformats.org/officeDocument/2006/relationships/hyperlink" Target="http://www.qualidade.eng.br/relatorio_final_nuclear.pdf" TargetMode="External"/><Relationship Id="rId1607" Type="http://schemas.openxmlformats.org/officeDocument/2006/relationships/hyperlink" Target="http://www.brasilmineral.com.br/BM/default.asp?COD=4805&amp;amp;busca" TargetMode="External"/><Relationship Id="rId104" Type="http://schemas.openxmlformats.org/officeDocument/2006/relationships/hyperlink" Target="http://pib.socioambiental.org/es/noticias?id=39588" TargetMode="External"/><Relationship Id="rId188" Type="http://schemas.openxmlformats.org/officeDocument/2006/relationships/hyperlink" Target="http://www.ibge.gov.br/cidadesat/topwindow.htm?1" TargetMode="External"/><Relationship Id="rId311" Type="http://schemas.openxmlformats.org/officeDocument/2006/relationships/hyperlink" Target="http://www.socioambiental.org/uc/1330/noticia/40257" TargetMode="External"/><Relationship Id="rId395" Type="http://schemas.openxmlformats.org/officeDocument/2006/relationships/hyperlink" Target="http://www.brasilmineral.com.br/BM/default.asp?COD=6296&amp;amp;busca" TargetMode="External"/><Relationship Id="rId409" Type="http://schemas.openxmlformats.org/officeDocument/2006/relationships/hyperlink" Target="http://www.conservacao.org/publicacoes/files/22_Schwartzman_Zim" TargetMode="External"/><Relationship Id="rId963" Type="http://schemas.openxmlformats.org/officeDocument/2006/relationships/hyperlink" Target="http://portal.mpt.gov.br/wps/portal/portal_do_mpt/comunicacao/notici" TargetMode="External"/><Relationship Id="rId1039" Type="http://schemas.openxmlformats.org/officeDocument/2006/relationships/hyperlink" Target="http://www.cetem.gov.br/publicacao/CTs/CT2005-011-00.pdf" TargetMode="External"/><Relationship Id="rId1246" Type="http://schemas.openxmlformats.org/officeDocument/2006/relationships/hyperlink" Target="http://bdtd.bce.unb.br/tedesimplificado/tde_arquivos/4/TDE-2008-01-" TargetMode="External"/><Relationship Id="rId92" Type="http://schemas.openxmlformats.org/officeDocument/2006/relationships/hyperlink" Target="http://www.ibge.gov.br/cidadesat/xtras/perfil.php?codmun=160015&amp;amp;r" TargetMode="External"/><Relationship Id="rId616" Type="http://schemas.openxmlformats.org/officeDocument/2006/relationships/hyperlink" Target="http://icadsa.blogspot.com/2009_04_01_archive.html" TargetMode="External"/><Relationship Id="rId823" Type="http://schemas.openxmlformats.org/officeDocument/2006/relationships/hyperlink" Target="http://www.anppas.org.br/encontro4/cd/ARQUIVOS/GT6-518-1004-" TargetMode="External"/><Relationship Id="rId1453" Type="http://schemas.openxmlformats.org/officeDocument/2006/relationships/hyperlink" Target="http://agenciabrasil.ebc.com.br/noticia/2011-" TargetMode="External"/><Relationship Id="rId1660" Type="http://schemas.openxmlformats.org/officeDocument/2006/relationships/hyperlink" Target="http://verbetes.cetem.gov.br/impressao/ExibeGlossarioResumo.aspx?verid=12" TargetMode="External"/><Relationship Id="rId1758" Type="http://schemas.openxmlformats.org/officeDocument/2006/relationships/hyperlink" Target="http://www.estadao.com.br/estadaodehoje/20090920/not_imp438002" TargetMode="External"/><Relationship Id="rId255" Type="http://schemas.openxmlformats.org/officeDocument/2006/relationships/hyperlink" Target="http://amapanocongresso.blogspot.com/2011/12/deputados-" TargetMode="External"/><Relationship Id="rId462" Type="http://schemas.openxmlformats.org/officeDocument/2006/relationships/hyperlink" Target="http://www.mme.gov.br/sgm/galerias/arquivos/plano_duo_decenal/a" TargetMode="External"/><Relationship Id="rId1092" Type="http://schemas.openxmlformats.org/officeDocument/2006/relationships/hyperlink" Target="http://noticiasmineracao.mining.com/2011/06/10/ferrous-resources-" TargetMode="External"/><Relationship Id="rId1106" Type="http://schemas.openxmlformats.org/officeDocument/2006/relationships/hyperlink" Target="http://www1.folha.uol.com.br/folha/dinheiro/ult91u619255.shtml" TargetMode="External"/><Relationship Id="rId1313" Type="http://schemas.openxmlformats.org/officeDocument/2006/relationships/hyperlink" Target="http://www.ibge.gov.br/cidadesat/xtras/perfil.php?codmun=310400&amp;amp;r" TargetMode="External"/><Relationship Id="rId1397" Type="http://schemas.openxmlformats.org/officeDocument/2006/relationships/hyperlink" Target="http://www.ibge.gov.br/home/presidencia/noticias/noticia_visualiza.p" TargetMode="External"/><Relationship Id="rId1520" Type="http://schemas.openxmlformats.org/officeDocument/2006/relationships/hyperlink" Target="http://rioparaibaecsn.blogspot.com.br/2011/07/impactos-ambientais-" TargetMode="External"/><Relationship Id="rId115" Type="http://schemas.openxmlformats.org/officeDocument/2006/relationships/hyperlink" Target="http://verbetes.cetem.gov.br/impressao/ExibeGlossarioResumo.aspx?verid=4" TargetMode="External"/><Relationship Id="rId322" Type="http://schemas.openxmlformats.org/officeDocument/2006/relationships/hyperlink" Target="http://verbetes.cetem.gov.br/impressao/ExibeGlossarioResumo.aspx?verid=8" TargetMode="External"/><Relationship Id="rId767" Type="http://schemas.openxmlformats.org/officeDocument/2006/relationships/hyperlink" Target="http://www.redeaplmineral.org.br/noticias/cetem-" TargetMode="External"/><Relationship Id="rId974" Type="http://schemas.openxmlformats.org/officeDocument/2006/relationships/hyperlink" Target="http://www.cetem.gov.br/publicacao/series_sta/sta-25.pdf" TargetMode="External"/><Relationship Id="rId1618" Type="http://schemas.openxmlformats.org/officeDocument/2006/relationships/hyperlink" Target="http://www.valor.com.br/empresas/1054192/minerais-para-" TargetMode="External"/><Relationship Id="rId199" Type="http://schemas.openxmlformats.org/officeDocument/2006/relationships/hyperlink" Target="http://www.cetem.gov.br/publicacao/CTs/CT2002-" TargetMode="External"/><Relationship Id="rId627" Type="http://schemas.openxmlformats.org/officeDocument/2006/relationships/hyperlink" Target="http://www.ibge.gov.br/cidadesat/xtras/perfil.php?codmun=292460&amp;amp;r" TargetMode="External"/><Relationship Id="rId834" Type="http://schemas.openxmlformats.org/officeDocument/2006/relationships/hyperlink" Target="http://www.aspan.org.br/riodbrasil/pt/documentos/PAN.pdf" TargetMode="External"/><Relationship Id="rId1257" Type="http://schemas.openxmlformats.org/officeDocument/2006/relationships/hyperlink" Target="http://www.prmg.mpf.gov.br/patosdeminas/noticias/%40%40noticia_prm_" TargetMode="External"/><Relationship Id="rId1464" Type="http://schemas.openxmlformats.org/officeDocument/2006/relationships/hyperlink" Target="http://agenciabrasil.ebc.com.br/noticia/2011-01-05/companhia-" TargetMode="External"/><Relationship Id="rId1671" Type="http://schemas.openxmlformats.org/officeDocument/2006/relationships/hyperlink" Target="http://www.uel.br/revistas/uel/index.php/seminabio/article/view/6601/" TargetMode="External"/><Relationship Id="rId266" Type="http://schemas.openxmlformats.org/officeDocument/2006/relationships/hyperlink" Target="http://g1.globo.com/Noticias/Brasil/0%2C%2CMUL52544-5598%2C00.html" TargetMode="External"/><Relationship Id="rId473" Type="http://schemas.openxmlformats.org/officeDocument/2006/relationships/hyperlink" Target="http://www.ibge.gov.br/cidadesat/xtras/perfil.php?codmun=110004&amp;amp;r" TargetMode="External"/><Relationship Id="rId680" Type="http://schemas.openxmlformats.org/officeDocument/2006/relationships/hyperlink" Target="http://www.encontro2010.historiaoral.org.br/resources/anais/2/12705" TargetMode="External"/><Relationship Id="rId901" Type="http://schemas.openxmlformats.org/officeDocument/2006/relationships/hyperlink" Target="http://www.jornaldiariodonorte.com.br/site/cidades.php?cod=4983" TargetMode="External"/><Relationship Id="rId1117" Type="http://schemas.openxmlformats.org/officeDocument/2006/relationships/hyperlink" Target="http://epocanegocios.globo.com/Revista/Common/0%2C%2CEMI131170-" TargetMode="External"/><Relationship Id="rId1324" Type="http://schemas.openxmlformats.org/officeDocument/2006/relationships/hyperlink" Target="http://www.historal.kit.net/maria_aparecida_dos_santos.pdf" TargetMode="External"/><Relationship Id="rId1531" Type="http://schemas.openxmlformats.org/officeDocument/2006/relationships/hyperlink" Target="http://www.inb.gov.br/inb/WebForms/Interna2.aspx?secao_id=4" TargetMode="External"/><Relationship Id="rId30" Type="http://schemas.openxmlformats.org/officeDocument/2006/relationships/hyperlink" Target="http://www.cetem.gov.br/publicacao/livros/Vol_1_GRANDES_MINAS_TOTAL.pdf" TargetMode="External"/><Relationship Id="rId126" Type="http://schemas.openxmlformats.org/officeDocument/2006/relationships/hyperlink" Target="http://www.olca.cl/ocmal/ds_conf.php?nota=Conflicto&amp;amp;p_busca=129" TargetMode="External"/><Relationship Id="rId333" Type="http://schemas.openxmlformats.org/officeDocument/2006/relationships/hyperlink" Target="http://www.portalcse.ufsc.br/gecon/coord_mono/2008.1/Clariana.prn" TargetMode="External"/><Relationship Id="rId540" Type="http://schemas.openxmlformats.org/officeDocument/2006/relationships/hyperlink" Target="mailto:ffernandes@cetem.gov.br" TargetMode="External"/><Relationship Id="rId778" Type="http://schemas.openxmlformats.org/officeDocument/2006/relationships/hyperlink" Target="http://www.guiaglobal.com.br/noticia-" TargetMode="External"/><Relationship Id="rId985" Type="http://schemas.openxmlformats.org/officeDocument/2006/relationships/hyperlink" Target="http://www.coogavepe.com.br/noticias/?p=249" TargetMode="External"/><Relationship Id="rId1170" Type="http://schemas.openxmlformats.org/officeDocument/2006/relationships/hyperlink" Target="http://verbetes.cetem.gov.br/impressao/ExibeGlossarioResumo.aspx?verid=9" TargetMode="External"/><Relationship Id="rId1629" Type="http://schemas.openxmlformats.org/officeDocument/2006/relationships/image" Target="media/image44.png"/><Relationship Id="rId638" Type="http://schemas.openxmlformats.org/officeDocument/2006/relationships/hyperlink" Target="http://www.ecodebate.com.br/2009/12/22/adiada-a-" TargetMode="External"/><Relationship Id="rId845" Type="http://schemas.openxmlformats.org/officeDocument/2006/relationships/hyperlink" Target="http://www.ibge.gov.br/cidadesat/xtras/perfil.php?codmun=280610&amp;amp;r" TargetMode="External"/><Relationship Id="rId1030" Type="http://schemas.openxmlformats.org/officeDocument/2006/relationships/hyperlink" Target="http://www.minas.upm.es/.../R_O_Espiritu_Santo_Caranassios.pdf" TargetMode="External"/><Relationship Id="rId1268" Type="http://schemas.openxmlformats.org/officeDocument/2006/relationships/hyperlink" Target="http://www.unicamp.br/unicamp/unicamp_hoje/ju/novembro2002/uni" TargetMode="External"/><Relationship Id="rId1475" Type="http://schemas.openxmlformats.org/officeDocument/2006/relationships/hyperlink" Target="http://acervo.vivafavela.com.br/publique/cgi/cgilua.exe/sys/start.htm" TargetMode="External"/><Relationship Id="rId1682" Type="http://schemas.openxmlformats.org/officeDocument/2006/relationships/hyperlink" Target="http://paranaextra.com.br/2011/06/06/mp-anuncia-liminar-contra-" TargetMode="External"/><Relationship Id="rId277" Type="http://schemas.openxmlformats.org/officeDocument/2006/relationships/hyperlink" Target="http://www.reporterbrasil.com.br/exibe.php?id=831" TargetMode="External"/><Relationship Id="rId400" Type="http://schemas.openxmlformats.org/officeDocument/2006/relationships/hyperlink" Target="http://www.cetem.gov.br/publicacao/series_sta/sta-04.pdf" TargetMode="External"/><Relationship Id="rId484" Type="http://schemas.openxmlformats.org/officeDocument/2006/relationships/hyperlink" Target="http://rondoniamanchete.com.br/geral/2011/07/vila-massangana-" TargetMode="External"/><Relationship Id="rId705" Type="http://schemas.openxmlformats.org/officeDocument/2006/relationships/hyperlink" Target="http://www.fertbio2010.com/TRABALHOS/1330.pdf" TargetMode="External"/><Relationship Id="rId1128" Type="http://schemas.openxmlformats.org/officeDocument/2006/relationships/hyperlink" Target="http://www.abep.nepo.unicamp.br/docs/anais/pdf/2002/GT_MA_ST3" TargetMode="External"/><Relationship Id="rId1335" Type="http://schemas.openxmlformats.org/officeDocument/2006/relationships/hyperlink" Target="http://www.oeco.com.br/reportagens/20291-um-municipio-entrando-" TargetMode="External"/><Relationship Id="rId1542" Type="http://schemas.openxmlformats.org/officeDocument/2006/relationships/hyperlink" Target="http://verbetes.cetem.gov.br/impressao/ExibeGlossarioResumo.aspx?verid=14" TargetMode="External"/><Relationship Id="rId137" Type="http://schemas.openxmlformats.org/officeDocument/2006/relationships/hyperlink" Target="http://www.ibge.gov.br/cidadesat/topwindow.htm?1" TargetMode="External"/><Relationship Id="rId344" Type="http://schemas.openxmlformats.org/officeDocument/2006/relationships/hyperlink" Target="http://egal2009.easyplanners.info/area07/7656_VERDE_RODRIGO_" TargetMode="External"/><Relationship Id="rId691" Type="http://schemas.openxmlformats.org/officeDocument/2006/relationships/hyperlink" Target="http://verbetes.cetem.gov.br/impressao/ExibeGlossarioResumo.aspx?verid=14" TargetMode="External"/><Relationship Id="rId789" Type="http://schemas.openxmlformats.org/officeDocument/2006/relationships/hyperlink" Target="http://www.mdic.gov.br/arquivos/dwnl_1247146958.pdf" TargetMode="External"/><Relationship Id="rId912" Type="http://schemas.openxmlformats.org/officeDocument/2006/relationships/hyperlink" Target="http://www.vmetais.com.br/pt-" TargetMode="External"/><Relationship Id="rId996" Type="http://schemas.openxmlformats.org/officeDocument/2006/relationships/hyperlink" Target="http://www.mp.go.gov.br/portalweb/1/noticia/86cb99173f17b896b01b6" TargetMode="External"/><Relationship Id="rId41" Type="http://schemas.openxmlformats.org/officeDocument/2006/relationships/image" Target="media/image10.png"/><Relationship Id="rId551" Type="http://schemas.openxmlformats.org/officeDocument/2006/relationships/hyperlink" Target="http://www.revistaminerios.com.br/Edicoes/209/Outubro_2012.aspx" TargetMode="External"/><Relationship Id="rId649" Type="http://schemas.openxmlformats.org/officeDocument/2006/relationships/hyperlink" Target="http://www.magnesita.com.br/minerais/sinter" TargetMode="External"/><Relationship Id="rId856" Type="http://schemas.openxmlformats.org/officeDocument/2006/relationships/hyperlink" Target="mailto:rrocha@cetem.gov.br" TargetMode="External"/><Relationship Id="rId1181" Type="http://schemas.openxmlformats.org/officeDocument/2006/relationships/hyperlink" Target="http://www.mmx.com.br/pt/sala-de-imprensa/noticias/Paginas/MMX-" TargetMode="External"/><Relationship Id="rId1279" Type="http://schemas.openxmlformats.org/officeDocument/2006/relationships/hyperlink" Target="http://www.feam.br/noticias/1/96-operacao-sul-de-minas" TargetMode="External"/><Relationship Id="rId1402" Type="http://schemas.openxmlformats.org/officeDocument/2006/relationships/hyperlink" Target="http://noalaincineracion.org/wp-" TargetMode="External"/><Relationship Id="rId1486" Type="http://schemas.openxmlformats.org/officeDocument/2006/relationships/hyperlink" Target="http://www.ibge.gov.br/cidadesat/xtras/perfil.php?codmun=330470&amp;amp;r" TargetMode="External"/><Relationship Id="rId1707" Type="http://schemas.openxmlformats.org/officeDocument/2006/relationships/hyperlink" Target="http://www.ufpel.edu.br/cic/2006/arquivos/CH_00478.rtf" TargetMode="External"/><Relationship Id="rId190" Type="http://schemas.openxmlformats.org/officeDocument/2006/relationships/hyperlink" Target="http://www.ourinhos.unesp.br/gedri/biblioteca/gedripublica/teses/lam" TargetMode="External"/><Relationship Id="rId204" Type="http://schemas.openxmlformats.org/officeDocument/2006/relationships/hyperlink" Target="http://www.alcoa.com/brazil/pt/custom_page/environment_energia.as" TargetMode="External"/><Relationship Id="rId288" Type="http://schemas.openxmlformats.org/officeDocument/2006/relationships/hyperlink" Target="http://www.ibge.gov.br/cidadesat/xtras/perfil.php?codmun=15055" TargetMode="External"/><Relationship Id="rId411" Type="http://schemas.openxmlformats.org/officeDocument/2006/relationships/hyperlink" Target="http://verbetes.cetem.gov.br/impressao/ExibeGlossarioResumo.aspx?verid=9" TargetMode="External"/><Relationship Id="rId509" Type="http://schemas.openxmlformats.org/officeDocument/2006/relationships/hyperlink" Target="http://www1.folha.uol.com.br/fsp/brasil/fc2908200802.htm" TargetMode="External"/><Relationship Id="rId1041" Type="http://schemas.openxmlformats.org/officeDocument/2006/relationships/hyperlink" Target="http://www.sedes.es.gov.br/default.asp?arq=marmore_granito" TargetMode="External"/><Relationship Id="rId1139" Type="http://schemas.openxmlformats.org/officeDocument/2006/relationships/hyperlink" Target="http://www.bibliotecadigital.ufmg.br/dspace/bitstream/1843/BUOS-" TargetMode="External"/><Relationship Id="rId1346" Type="http://schemas.openxmlformats.org/officeDocument/2006/relationships/hyperlink" Target="http://www.cetem.gov.br/publicacao/livros/Vol_1_GRANDES_MINAS" TargetMode="External"/><Relationship Id="rId1693" Type="http://schemas.openxmlformats.org/officeDocument/2006/relationships/hyperlink" Target="http://jangello.unifacs.br/stoamaro/poluicao_stoamaro.htm" TargetMode="External"/><Relationship Id="rId495" Type="http://schemas.openxmlformats.org/officeDocument/2006/relationships/hyperlink" Target="http://www.planejamento.gov.br/secretarias/upload/Arquivos/seges/E" TargetMode="External"/><Relationship Id="rId716" Type="http://schemas.openxmlformats.org/officeDocument/2006/relationships/hyperlink" Target="http://www.greenpeace.org/brasil/documentos/nuclear/ciclo-do-" TargetMode="External"/><Relationship Id="rId923" Type="http://schemas.openxmlformats.org/officeDocument/2006/relationships/hyperlink" Target="http://www.jotacidade.com/noticias/exibir.php?noticia_id=180&amp;amp;noticia" TargetMode="External"/><Relationship Id="rId1553" Type="http://schemas.openxmlformats.org/officeDocument/2006/relationships/hyperlink" Target="http://www.ecodebate.com.br/2009/06/05/rj-inicia-a-" TargetMode="External"/><Relationship Id="rId1760" Type="http://schemas.openxmlformats.org/officeDocument/2006/relationships/hyperlink" Target="http://www.institutocarbonobrasil.org.br/reportagens_carbonobrasil/n" TargetMode="External"/><Relationship Id="rId52" Type="http://schemas.openxmlformats.org/officeDocument/2006/relationships/hyperlink" Target="http://biblioteca.ibge.gov.br/visualizacao/livros/liv62930.pdf" TargetMode="External"/><Relationship Id="rId148" Type="http://schemas.openxmlformats.org/officeDocument/2006/relationships/hyperlink" Target="http://verbetes.cetem.gov.br/impressao/ExibeGlossarioResumo.aspx?verid=6" TargetMode="External"/><Relationship Id="rId355" Type="http://schemas.openxmlformats.org/officeDocument/2006/relationships/hyperlink" Target="http://verbetes.cetem.gov.br/impressao/ExibeGlossarioResumo.aspx?verid=12" TargetMode="External"/><Relationship Id="rId562" Type="http://schemas.openxmlformats.org/officeDocument/2006/relationships/hyperlink" Target="http://www.sat.ufba.br/site/db/dissertacoes/1982009114626.pdf" TargetMode="External"/><Relationship Id="rId1192" Type="http://schemas.openxmlformats.org/officeDocument/2006/relationships/hyperlink" Target="http://wwo.uai.com.br/UAI/html/sessao_4/2008/08/25/em_noticia_inter" TargetMode="External"/><Relationship Id="rId1206" Type="http://schemas.openxmlformats.org/officeDocument/2006/relationships/hyperlink" Target="http://www.serradocaraca.tur.br/atrativos_catas_altas" TargetMode="External"/><Relationship Id="rId1413" Type="http://schemas.openxmlformats.org/officeDocument/2006/relationships/hyperlink" Target="http://www.mmx.com.br/pt/nossos-" TargetMode="External"/><Relationship Id="rId1620" Type="http://schemas.openxmlformats.org/officeDocument/2006/relationships/hyperlink" Target="http://www.cetem.gov.br/workshop/pdf/vol1grandesminas.pdf" TargetMode="External"/><Relationship Id="rId215" Type="http://schemas.openxmlformats.org/officeDocument/2006/relationships/hyperlink" Target="http://www.estadao.com.br/estadaodehoje/20090712/not_imp401391" TargetMode="External"/><Relationship Id="rId422" Type="http://schemas.openxmlformats.org/officeDocument/2006/relationships/hyperlink" Target="http://www.periodicoseletronicos.ufma.br/index.php/rpcsoc/article/vie" TargetMode="External"/><Relationship Id="rId867" Type="http://schemas.openxmlformats.org/officeDocument/2006/relationships/hyperlink" Target="http://www.sidra.ibge.gov.br/" TargetMode="External"/><Relationship Id="rId1052" Type="http://schemas.openxmlformats.org/officeDocument/2006/relationships/hyperlink" Target="http://www.cetem.gov.br/publicacao/CTs/CT2009-" TargetMode="External"/><Relationship Id="rId1497" Type="http://schemas.openxmlformats.org/officeDocument/2006/relationships/hyperlink" Target="http://verbetes.cetem.gov.br/impressao/ExibeGlossarioResumo.aspx?verid=9" TargetMode="External"/><Relationship Id="rId1718" Type="http://schemas.openxmlformats.org/officeDocument/2006/relationships/hyperlink" Target="http://verbetes.cetem.gov.br/impressao/ExibeGlossarioResumo.aspx?verid=8" TargetMode="External"/><Relationship Id="rId299" Type="http://schemas.openxmlformats.org/officeDocument/2006/relationships/hyperlink" Target="http://www.zedudu.com.br/?p=773" TargetMode="External"/><Relationship Id="rId727" Type="http://schemas.openxmlformats.org/officeDocument/2006/relationships/hyperlink" Target="http://www.ibge.gov.br/cidadesat/link.php?codmun=231240" TargetMode="External"/><Relationship Id="rId934" Type="http://schemas.openxmlformats.org/officeDocument/2006/relationships/hyperlink" Target="http://verbetes.cetem.gov.br/impressao/ExibeGlossarioResumo.aspx?verid=11" TargetMode="External"/><Relationship Id="rId1357" Type="http://schemas.openxmlformats.org/officeDocument/2006/relationships/hyperlink" Target="http://www.bnb.gov.br/content/aplica" TargetMode="External"/><Relationship Id="rId1564" Type="http://schemas.openxmlformats.org/officeDocument/2006/relationships/hyperlink" Target="http://www.prefeituraavare.sp.gov.br/?id=show&amp;amp;pg=historia" TargetMode="External"/><Relationship Id="rId63" Type="http://schemas.openxmlformats.org/officeDocument/2006/relationships/hyperlink" Target="http://www1.folha.uol.com.br/folha/brasil/ult96u88387.shtml" TargetMode="External"/><Relationship Id="rId159" Type="http://schemas.openxmlformats.org/officeDocument/2006/relationships/hyperlink" Target="http://www.adur-rj.org.br/5com/pop-" TargetMode="External"/><Relationship Id="rId366" Type="http://schemas.openxmlformats.org/officeDocument/2006/relationships/hyperlink" Target="http://www.ibge.gov.br/cidadesat/xtras/perfil.php?codmun=150420&amp;amp;r" TargetMode="External"/><Relationship Id="rId573" Type="http://schemas.openxmlformats.org/officeDocument/2006/relationships/hyperlink" Target="http://verbetes.cetem.gov.br/impressao/ExibeGlossarioResumo.aspx?verid=14" TargetMode="External"/><Relationship Id="rId780" Type="http://schemas.openxmlformats.org/officeDocument/2006/relationships/hyperlink" Target="http://www.funai.gov.br/mapas/fundiario/ma/ma-" TargetMode="External"/><Relationship Id="rId1217" Type="http://schemas.openxmlformats.org/officeDocument/2006/relationships/hyperlink" Target="http://www.em.com.br/app/noticia/especiais/riquezas-de-" TargetMode="External"/><Relationship Id="rId1424" Type="http://schemas.openxmlformats.org/officeDocument/2006/relationships/hyperlink" Target="http://teses.ufrj.br/IFCS_M/RodrigoNunezViegas.pdf" TargetMode="External"/><Relationship Id="rId1631" Type="http://schemas.openxmlformats.org/officeDocument/2006/relationships/hyperlink" Target="http://www.aneel.gov.br/arquivos/PDF/atlas_par3_cap9.pdf" TargetMode="External"/><Relationship Id="rId226" Type="http://schemas.openxmlformats.org/officeDocument/2006/relationships/hyperlink" Target="http://www.periodicos.ufpa.br/index.php/ncn/article/viewArticle/264" TargetMode="External"/><Relationship Id="rId433" Type="http://schemas.openxmlformats.org/officeDocument/2006/relationships/hyperlink" Target="http://www.reporterbrasil.org.br/exibe.php?id=833" TargetMode="External"/><Relationship Id="rId878" Type="http://schemas.openxmlformats.org/officeDocument/2006/relationships/hyperlink" Target="http://www.conflitoambiental.icict.fiocruz.br/index.php?pag=ficha&amp;amp;co" TargetMode="External"/><Relationship Id="rId1063" Type="http://schemas.openxmlformats.org/officeDocument/2006/relationships/hyperlink" Target="http://www.semad.mg.gov.br/noticias/1/1385-reuniao-publica-" TargetMode="External"/><Relationship Id="rId1270" Type="http://schemas.openxmlformats.org/officeDocument/2006/relationships/hyperlink" Target="http://www.ouropreto.org.br/imagem/TituloHistoria2.jpg" TargetMode="External"/><Relationship Id="rId1729" Type="http://schemas.openxmlformats.org/officeDocument/2006/relationships/hyperlink" Target="http://zerohora.clicrbs.com.br/especial/rs/zhdinheiro/19%2C0%2C2837680%2CR" TargetMode="External"/><Relationship Id="rId640" Type="http://schemas.openxmlformats.org/officeDocument/2006/relationships/hyperlink" Target="http://verbetes.cetem.gov.br/impressao/ExibeGlossarioResumo.aspx?verid=12" TargetMode="External"/><Relationship Id="rId738" Type="http://schemas.openxmlformats.org/officeDocument/2006/relationships/hyperlink" Target="http://diariodonordeste.globo.com/materia.asp?codigo=1077987" TargetMode="External"/><Relationship Id="rId945" Type="http://schemas.openxmlformats.org/officeDocument/2006/relationships/hyperlink" Target="http://www.revistas.ufg.br/index.php/atelie/article/viewFile/8587/6107" TargetMode="External"/><Relationship Id="rId1368" Type="http://schemas.openxmlformats.org/officeDocument/2006/relationships/hyperlink" Target="http://www.mme.gov.br/sgm/galerias/arquivos/plano_duo_decenal/a" TargetMode="External"/><Relationship Id="rId1575" Type="http://schemas.openxmlformats.org/officeDocument/2006/relationships/hyperlink" Target="http://ceapla2.rc.unesp.br/atlas/sta_gertrudes.php" TargetMode="External"/><Relationship Id="rId74" Type="http://schemas.openxmlformats.org/officeDocument/2006/relationships/hyperlink" Target="http://www.estadao.com.br/noticias/nacional%2Cgarimpeiros-" TargetMode="External"/><Relationship Id="rId377" Type="http://schemas.openxmlformats.org/officeDocument/2006/relationships/hyperlink" Target="http://verbetes.cetem.gov.br/impressao/ExibeGlossarioResumo.aspx?verid=13" TargetMode="External"/><Relationship Id="rId500" Type="http://schemas.openxmlformats.org/officeDocument/2006/relationships/hyperlink" Target="http://www.ariquemes.ro.gov.br/imagens/anexos/3360Diagn%C3%25B" TargetMode="External"/><Relationship Id="rId584" Type="http://schemas.openxmlformats.org/officeDocument/2006/relationships/hyperlink" Target="http://www.ida.org.br/denuncias/77-poluicao/173-" TargetMode="External"/><Relationship Id="rId805" Type="http://schemas.openxmlformats.org/officeDocument/2006/relationships/hyperlink" Target="http://www.ibge.gov.br/cidadesat/xtras/perfil.php?codmun=220260&amp;amp;r" TargetMode="External"/><Relationship Id="rId1130" Type="http://schemas.openxmlformats.org/officeDocument/2006/relationships/hyperlink" Target="http://www.viacomercial.com.br/" TargetMode="External"/><Relationship Id="rId1228" Type="http://schemas.openxmlformats.org/officeDocument/2006/relationships/hyperlink" Target="http://www.estadao.com.br/noticias/impresso%2Cnovelis-para-de-" TargetMode="External"/><Relationship Id="rId1435" Type="http://schemas.openxmlformats.org/officeDocument/2006/relationships/hyperlink" Target="http://www.ibge.gov.br/cidadesat/xtras/perfil.php?codmun=330500&amp;amp;r" TargetMode="External"/><Relationship Id="rId5" Type="http://schemas.openxmlformats.org/officeDocument/2006/relationships/footnotes" Target="footnotes.xml"/><Relationship Id="rId237" Type="http://schemas.openxmlformats.org/officeDocument/2006/relationships/hyperlink" Target="http://verbetes.cetem.gov.br/impressao/ExibeGlossarioResumo.aspx?verid=2" TargetMode="External"/><Relationship Id="rId791" Type="http://schemas.openxmlformats.org/officeDocument/2006/relationships/hyperlink" Target="http://www.cetem.gov.br/publicacao/livros/Vol_2_APL_TOTAL.pdf" TargetMode="External"/><Relationship Id="rId889" Type="http://schemas.openxmlformats.org/officeDocument/2006/relationships/hyperlink" Target="http://www.ibge.gov.br/cidadesat/link.php?codmun=520495" TargetMode="External"/><Relationship Id="rId1074" Type="http://schemas.openxmlformats.org/officeDocument/2006/relationships/hyperlink" Target="http://www.achanoticias.com.br/noticia.kmf?noticia=5663463" TargetMode="External"/><Relationship Id="rId1642" Type="http://schemas.openxmlformats.org/officeDocument/2006/relationships/hyperlink" Target="http://www.teses.usp.br/teses/disponiveis/85/85134/tde-18102007-" TargetMode="External"/><Relationship Id="rId444" Type="http://schemas.openxmlformats.org/officeDocument/2006/relationships/hyperlink" Target="http://www.conflitoambiental.icict.fiocruz.br/index.php?pag=ficha&amp;amp;co" TargetMode="External"/><Relationship Id="rId651" Type="http://schemas.openxmlformats.org/officeDocument/2006/relationships/hyperlink" Target="http://www.magnesita.com.br/a-empresa/historia" TargetMode="External"/><Relationship Id="rId749" Type="http://schemas.openxmlformats.org/officeDocument/2006/relationships/hyperlink" Target="http://www.inb.gov.br/inb/webforms/interna.aspx?secao_id=52" TargetMode="External"/><Relationship Id="rId1281" Type="http://schemas.openxmlformats.org/officeDocument/2006/relationships/hyperlink" Target="http://www.fflch.usp.br/da/cadcampo/ed_ant/revistas_completas/14-" TargetMode="External"/><Relationship Id="rId1379" Type="http://schemas.openxmlformats.org/officeDocument/2006/relationships/hyperlink" Target="http://agenciabrasil.ebc.com.br/noticia/2011-" TargetMode="External"/><Relationship Id="rId1502" Type="http://schemas.openxmlformats.org/officeDocument/2006/relationships/hyperlink" Target="http://oglobo.globo.com/rio/csn-tera-que-remediar-outras-cinco-" TargetMode="External"/><Relationship Id="rId1586" Type="http://schemas.openxmlformats.org/officeDocument/2006/relationships/hyperlink" Target="http://www.jpjornal.com.br/" TargetMode="External"/><Relationship Id="rId290" Type="http://schemas.openxmlformats.org/officeDocument/2006/relationships/hyperlink" Target="http://www.ibeas.org.br/congresso/congresso1.htm" TargetMode="External"/><Relationship Id="rId304" Type="http://schemas.openxmlformats.org/officeDocument/2006/relationships/hyperlink" Target="http://www.forumcarajas.org.br/" TargetMode="External"/><Relationship Id="rId388" Type="http://schemas.openxmlformats.org/officeDocument/2006/relationships/hyperlink" Target="http://noticias.pgr.mpf.gov.br/noticias/noticias-do-site/copy_of_indios-" TargetMode="External"/><Relationship Id="rId511" Type="http://schemas.openxmlformats.org/officeDocument/2006/relationships/hyperlink" Target="http://www.fase.org.br/v2/admin/anexos/acervo/17_homologacao.pdf" TargetMode="External"/><Relationship Id="rId609" Type="http://schemas.openxmlformats.org/officeDocument/2006/relationships/hyperlink" Target="http://www.hojeemdia.com.br/colunas-artigos-e-" TargetMode="External"/><Relationship Id="rId956" Type="http://schemas.openxmlformats.org/officeDocument/2006/relationships/hyperlink" Target="http://verbetes.cetem.gov.br/impressao/ExibeGlossarioResumo.aspx?verid=9" TargetMode="External"/><Relationship Id="rId1141" Type="http://schemas.openxmlformats.org/officeDocument/2006/relationships/hyperlink" Target="http://www.funcesi.br/Portals/1/monografia%20geografia.pdf" TargetMode="External"/><Relationship Id="rId1239" Type="http://schemas.openxmlformats.org/officeDocument/2006/relationships/hyperlink" Target="http://www.cetem.gov.br/publicacao/livros/Vol_1_GRANDES_MINAS" TargetMode="External"/><Relationship Id="rId85" Type="http://schemas.openxmlformats.org/officeDocument/2006/relationships/hyperlink" Target="http://www.brasilmineral.com.br/BM/default.asp?COD=1977&amp;amp;busca" TargetMode="External"/><Relationship Id="rId150" Type="http://schemas.openxmlformats.org/officeDocument/2006/relationships/hyperlink" Target="http://verbetes.cetem.gov.br/impressao/ExibeGlossarioResumo.aspx?verid=15" TargetMode="External"/><Relationship Id="rId595" Type="http://schemas.openxmlformats.org/officeDocument/2006/relationships/hyperlink" Target="http://www.nugeo.ufop.br/joomla/attachments/article/11/PaginasArqu" TargetMode="External"/><Relationship Id="rId816" Type="http://schemas.openxmlformats.org/officeDocument/2006/relationships/hyperlink" Target="http://www.cprm.gov.br/publique/media/Painel42.pdf" TargetMode="External"/><Relationship Id="rId1001" Type="http://schemas.openxmlformats.org/officeDocument/2006/relationships/hyperlink" Target="http://www.berohoka.com.br/Noticia/1%2C1570%2C0%2C0%2C0%2C0/Garimpo_destroi" TargetMode="External"/><Relationship Id="rId1446" Type="http://schemas.openxmlformats.org/officeDocument/2006/relationships/hyperlink" Target="http://super.abril.com.br/blogs/crash/como-eike-ficou-pobre/" TargetMode="External"/><Relationship Id="rId1653" Type="http://schemas.openxmlformats.org/officeDocument/2006/relationships/hyperlink" Target="http://sec.sbq.org.br/cd29ra/resumos/T0502-1.pdf" TargetMode="External"/><Relationship Id="rId248" Type="http://schemas.openxmlformats.org/officeDocument/2006/relationships/hyperlink" Target="http://www3.ufpa.br/projetomineracao/docs/tribut/Arq%2038_minas.p" TargetMode="External"/><Relationship Id="rId455" Type="http://schemas.openxmlformats.org/officeDocument/2006/relationships/hyperlink" Target="http://verbetes.cetem.gov.br/impressao/ExibeGlossarioResumo.aspx?verid=8" TargetMode="External"/><Relationship Id="rId662" Type="http://schemas.openxmlformats.org/officeDocument/2006/relationships/hyperlink" Target="http://bvssp.icict.fiocruz.br/pdf/25498_TESE_AMenezes_Versao_Fin" TargetMode="External"/><Relationship Id="rId1085" Type="http://schemas.openxmlformats.org/officeDocument/2006/relationships/hyperlink" Target="http://www.hojeemdia.com.br/cmlink/hoje-em-" TargetMode="External"/><Relationship Id="rId1292" Type="http://schemas.openxmlformats.org/officeDocument/2006/relationships/hyperlink" Target="http://www.inb.gov.br/pt-br/WebForms/interna.aspx?secao_id=50" TargetMode="External"/><Relationship Id="rId1306" Type="http://schemas.openxmlformats.org/officeDocument/2006/relationships/hyperlink" Target="http://www.biodieselbr.com/energia/nuclear/radiacao-" TargetMode="External"/><Relationship Id="rId1513" Type="http://schemas.openxmlformats.org/officeDocument/2006/relationships/hyperlink" Target="http://ultimosegundo.ig.com.br/brasil/rj/2012-09-14/mp-quer-" TargetMode="External"/><Relationship Id="rId1720" Type="http://schemas.openxmlformats.org/officeDocument/2006/relationships/hyperlink" Target="http://verbetes.cetem.gov.br/impressao/ExibeGlossarioResumo.aspx?verid=15" TargetMode="External"/><Relationship Id="rId12" Type="http://schemas.openxmlformats.org/officeDocument/2006/relationships/footer" Target="footer3.xml"/><Relationship Id="rId108" Type="http://schemas.openxmlformats.org/officeDocument/2006/relationships/hyperlink" Target="http://www.jdia.com.br/pagina.php?pg=exibir_not&amp;amp;idnoticia=2939" TargetMode="External"/><Relationship Id="rId315" Type="http://schemas.openxmlformats.org/officeDocument/2006/relationships/hyperlink" Target="http://www.ibge.gov.br/cidadesat/xtras/perfil.php?codmun=150215&amp;amp;r" TargetMode="External"/><Relationship Id="rId522" Type="http://schemas.openxmlformats.org/officeDocument/2006/relationships/hyperlink" Target="http://www.cidh.org/countryrep/brazil-port/Pag%206-" TargetMode="External"/><Relationship Id="rId967" Type="http://schemas.openxmlformats.org/officeDocument/2006/relationships/hyperlink" Target="http://painelflorestal.com.br/noticias/carvao-vegetal/13014/governo-" TargetMode="External"/><Relationship Id="rId1152" Type="http://schemas.openxmlformats.org/officeDocument/2006/relationships/hyperlink" Target="http://www.onggasb.com.br/2010/04/por-" TargetMode="External"/><Relationship Id="rId1597" Type="http://schemas.openxmlformats.org/officeDocument/2006/relationships/hyperlink" Target="http://www.ibge.gov.br/cidadesat/xtras/perfil.php?codmun=292860&amp;amp;r" TargetMode="External"/><Relationship Id="rId96" Type="http://schemas.openxmlformats.org/officeDocument/2006/relationships/hyperlink" Target="http://www.olca.cl/ocmal/ds_conf.php?nota=Conflicto&amp;amp;p_busca=127" TargetMode="External"/><Relationship Id="rId161" Type="http://schemas.openxmlformats.org/officeDocument/2006/relationships/hyperlink" Target="http://periodicos.unifap.br/index.php/pracs/article/download/32/55" TargetMode="External"/><Relationship Id="rId399" Type="http://schemas.openxmlformats.org/officeDocument/2006/relationships/hyperlink" Target="http://racismoambiental.net.br/2012/09/mineradoras-valem-ouro-nos-" TargetMode="External"/><Relationship Id="rId827" Type="http://schemas.openxmlformats.org/officeDocument/2006/relationships/hyperlink" Target="http://verbetes.cetem.gov.br/impressao/ExibeGlossarioResumo.aspx?verid=8" TargetMode="External"/><Relationship Id="rId1012" Type="http://schemas.openxmlformats.org/officeDocument/2006/relationships/image" Target="media/image36.png"/><Relationship Id="rId1457" Type="http://schemas.openxmlformats.org/officeDocument/2006/relationships/hyperlink" Target="http://www.brasil.agenciapulsar.org/nota.php?id=8494" TargetMode="External"/><Relationship Id="rId1664" Type="http://schemas.openxmlformats.org/officeDocument/2006/relationships/hyperlink" Target="http://www.scielo.br/pdf/qn/v32n1/v32n1a28.pdf" TargetMode="External"/><Relationship Id="rId259" Type="http://schemas.openxmlformats.org/officeDocument/2006/relationships/hyperlink" Target="http://www.ibama.gov.br/acidentes-ambientais-maio-" TargetMode="External"/><Relationship Id="rId466" Type="http://schemas.openxmlformats.org/officeDocument/2006/relationships/hyperlink" Target="http://blogdomarcantero.blogspot.com.br/2008/03/sedam-e-polcia-" TargetMode="External"/><Relationship Id="rId673" Type="http://schemas.openxmlformats.org/officeDocument/2006/relationships/hyperlink" Target="http://www.skyscrapercity.com/showthread.php?t=697984" TargetMode="External"/><Relationship Id="rId880" Type="http://schemas.openxmlformats.org/officeDocument/2006/relationships/hyperlink" Target="http://www.revistas.ufg.br/index.php/atelie/article/view/7288/5196" TargetMode="External"/><Relationship Id="rId1096" Type="http://schemas.openxmlformats.org/officeDocument/2006/relationships/hyperlink" Target="http://www.congonhas.mg.gov.br/index.php?pg=noticia_ver&amp;amp;noticia_" TargetMode="External"/><Relationship Id="rId1317" Type="http://schemas.openxmlformats.org/officeDocument/2006/relationships/hyperlink" Target="http://www.sbgq.org.br/arquivos/art10058.pdf" TargetMode="External"/><Relationship Id="rId1524" Type="http://schemas.openxmlformats.org/officeDocument/2006/relationships/hyperlink" Target="http://g1.globo.com/bom-dia-brasil/noticia/2012/03/brasil-tem-uma-" TargetMode="External"/><Relationship Id="rId1731" Type="http://schemas.openxmlformats.org/officeDocument/2006/relationships/hyperlink" Target="http://www.cprm.gov.br/publique/media/Painel07.pdf" TargetMode="External"/><Relationship Id="rId23" Type="http://schemas.openxmlformats.org/officeDocument/2006/relationships/image" Target="media/image9.png"/><Relationship Id="rId119" Type="http://schemas.openxmlformats.org/officeDocument/2006/relationships/hyperlink" Target="http://www.scielo.br/scielo.php?pid=S010459701998000200010&amp;amp;scri" TargetMode="External"/><Relationship Id="rId326" Type="http://schemas.openxmlformats.org/officeDocument/2006/relationships/hyperlink" Target="http://www.webartigos.com/articles/2194/1/Transporte-" TargetMode="External"/><Relationship Id="rId533" Type="http://schemas.openxmlformats.org/officeDocument/2006/relationships/hyperlink" Target="http://www.cartamaior.com.br/templates/materiaMostrar.cfm?materia" TargetMode="External"/><Relationship Id="rId978" Type="http://schemas.openxmlformats.org/officeDocument/2006/relationships/hyperlink" Target="http://www.globalmercuryproject.org/database/Upload/Brazil%20199" TargetMode="External"/><Relationship Id="rId1163" Type="http://schemas.openxmlformats.org/officeDocument/2006/relationships/hyperlink" Target="http://www.qfe2050.ufop.br/?pg=o_que_e" TargetMode="External"/><Relationship Id="rId1370" Type="http://schemas.openxmlformats.org/officeDocument/2006/relationships/hyperlink" Target="http://www.vmetais.com.br/pt-" TargetMode="External"/><Relationship Id="rId740" Type="http://schemas.openxmlformats.org/officeDocument/2006/relationships/hyperlink" Target="http://verbetes.cetem.gov.br/impressao/ExibeGlossarioResumo.aspx?verid=9" TargetMode="External"/><Relationship Id="rId838" Type="http://schemas.openxmlformats.org/officeDocument/2006/relationships/hyperlink" Target="http://www.redenet.edu.br/publicacoes/arquivos/20080220_105416_" TargetMode="External"/><Relationship Id="rId1023" Type="http://schemas.openxmlformats.org/officeDocument/2006/relationships/hyperlink" Target="http://201.59.137.230/pt/versao_impressao/prt_detail.asp?tipo=2&amp;amp;id=16586" TargetMode="External"/><Relationship Id="rId1468" Type="http://schemas.openxmlformats.org/officeDocument/2006/relationships/hyperlink" Target="http://www.estadao.com.br/noticias/impresso%2Csiderurgica-processa-" TargetMode="External"/><Relationship Id="rId1675" Type="http://schemas.openxmlformats.org/officeDocument/2006/relationships/hyperlink" Target="http://verbetes.cetem.gov.br/impressao/ExibeGlossarioResumo.aspx?verid=4" TargetMode="External"/><Relationship Id="rId172" Type="http://schemas.openxmlformats.org/officeDocument/2006/relationships/hyperlink" Target="http://www.istoe.com.br/reportagens/21854_O%2BCONTRABANDO%2BD" TargetMode="External"/><Relationship Id="rId477" Type="http://schemas.openxmlformats.org/officeDocument/2006/relationships/hyperlink" Target="http://pib.socioambiental.org/files/file/PIB_verbetes/cinta_larga/diama" TargetMode="External"/><Relationship Id="rId600" Type="http://schemas.openxmlformats.org/officeDocument/2006/relationships/hyperlink" Target="http://www.ibge.gov.br/cidadesat/xtras/perfil.php?codmun=292860&amp;amp;r" TargetMode="External"/><Relationship Id="rId684" Type="http://schemas.openxmlformats.org/officeDocument/2006/relationships/hyperlink" Target="http://www.agb.org.br/evento/download.php?idTrabalho=1311" TargetMode="External"/><Relationship Id="rId1230" Type="http://schemas.openxmlformats.org/officeDocument/2006/relationships/hyperlink" Target="http://www.ouropreto.com.br/noticias/detalhe.php?idnoticia=2122" TargetMode="External"/><Relationship Id="rId1328" Type="http://schemas.openxmlformats.org/officeDocument/2006/relationships/hyperlink" Target="http://verbetes.cetem.gov.br/impressao/ExibeGlossarioResumo.aspx?verid=9" TargetMode="External"/><Relationship Id="rId1535" Type="http://schemas.openxmlformats.org/officeDocument/2006/relationships/hyperlink" Target="http://www.scielo.br/pdf/qn/v28n1/23047.pdf" TargetMode="External"/><Relationship Id="rId337" Type="http://schemas.openxmlformats.org/officeDocument/2006/relationships/hyperlink" Target="http://economia.estadao.com.br/noticias/neg%C3%B3cios%2Cvale-quer-" TargetMode="External"/><Relationship Id="rId891" Type="http://schemas.openxmlformats.org/officeDocument/2006/relationships/hyperlink" Target="http://hdl.handle.net/10482/4404" TargetMode="External"/><Relationship Id="rId905" Type="http://schemas.openxmlformats.org/officeDocument/2006/relationships/hyperlink" Target="http://www.lapig.iesa.ufg.br/sgm/publicacoes/diag_aval/diag_setor_" TargetMode="External"/><Relationship Id="rId989" Type="http://schemas.openxmlformats.org/officeDocument/2006/relationships/hyperlink" Target="http://eduep.uepb.edu.br/rbct/sumarios/pdf/25peixoto.pdf" TargetMode="External"/><Relationship Id="rId1742" Type="http://schemas.openxmlformats.org/officeDocument/2006/relationships/hyperlink" Target="http://jararaca.ufsm.br/websites/paiva/download/BonumaSS.pdf" TargetMode="External"/><Relationship Id="rId34" Type="http://schemas.openxmlformats.org/officeDocument/2006/relationships/hyperlink" Target="http://www.mdic.gov.br/sistemas_web/renai/public/arquivo/arq1314392332.pdf" TargetMode="External"/><Relationship Id="rId544" Type="http://schemas.openxmlformats.org/officeDocument/2006/relationships/image" Target="media/image23.png"/><Relationship Id="rId751" Type="http://schemas.openxmlformats.org/officeDocument/2006/relationships/hyperlink" Target="http://www.inb.gov.br/pt-" TargetMode="External"/><Relationship Id="rId849" Type="http://schemas.openxmlformats.org/officeDocument/2006/relationships/hyperlink" Target="http://www.cetem.gov.br/publicacao/CTs/CT2005-110-00.pdf" TargetMode="External"/><Relationship Id="rId1174" Type="http://schemas.openxmlformats.org/officeDocument/2006/relationships/hyperlink" Target="http://www.brasilmineral.com.br/BM/default.asp?COD=5899&amp;amp;busca" TargetMode="External"/><Relationship Id="rId1381" Type="http://schemas.openxmlformats.org/officeDocument/2006/relationships/hyperlink" Target="http://200.145.78.103/index.php/redd/article/view/1731" TargetMode="External"/><Relationship Id="rId1479" Type="http://schemas.openxmlformats.org/officeDocument/2006/relationships/hyperlink" Target="http://www.jb.com.br/ciencia-e-" TargetMode="External"/><Relationship Id="rId1602" Type="http://schemas.openxmlformats.org/officeDocument/2006/relationships/hyperlink" Target="http://decoamaral.wordpress.com/tag/nuclemon/" TargetMode="External"/><Relationship Id="rId1686" Type="http://schemas.openxmlformats.org/officeDocument/2006/relationships/hyperlink" Target="http://www.bbc.co.uk/portuguese/noticias/2010/06/100607_chumbo_" TargetMode="External"/><Relationship Id="rId183" Type="http://schemas.openxmlformats.org/officeDocument/2006/relationships/hyperlink" Target="http://www.ibram.org.br/150/15001002.asp?ttCD_CHAVE=125765" TargetMode="External"/><Relationship Id="rId390" Type="http://schemas.openxmlformats.org/officeDocument/2006/relationships/hyperlink" Target="http://www.fundodireitoshumanos.org.br/viewConteudoOut.no-" TargetMode="External"/><Relationship Id="rId404" Type="http://schemas.openxmlformats.org/officeDocument/2006/relationships/hyperlink" Target="http://verbetes.cetem.gov.br/impressao/ExibeGlossarioResumo.aspx?verid=11" TargetMode="External"/><Relationship Id="rId611" Type="http://schemas.openxmlformats.org/officeDocument/2006/relationships/hyperlink" Target="http://www.mme.gov.br/sgm/galerias/arquivos/plano_duo_decenal/a" TargetMode="External"/><Relationship Id="rId1034" Type="http://schemas.openxmlformats.org/officeDocument/2006/relationships/hyperlink" Target="http://www.inovacaotecnologica.com.br/noticias/noticia.php?artigo=vi" TargetMode="External"/><Relationship Id="rId1241" Type="http://schemas.openxmlformats.org/officeDocument/2006/relationships/hyperlink" Target="http://www.cedeplar.ufmg.br/seminarios/seminario_diamantina/2008/" TargetMode="External"/><Relationship Id="rId1339" Type="http://schemas.openxmlformats.org/officeDocument/2006/relationships/hyperlink" Target="http://www.ibge.gov.br/cidadesat/xtras/perfil.php?codmun=317100&amp;amp;r" TargetMode="External"/><Relationship Id="rId250" Type="http://schemas.openxmlformats.org/officeDocument/2006/relationships/hyperlink" Target="http://www3.ufpa.br/projetomineracao/docs/estrut/artigo_Luiz_%28C" TargetMode="External"/><Relationship Id="rId488" Type="http://schemas.openxmlformats.org/officeDocument/2006/relationships/hyperlink" Target="http://www.abep.nepo.unicamp.br/docs/anais/pdf/2002/GT_MA_PO3" TargetMode="External"/><Relationship Id="rId695" Type="http://schemas.openxmlformats.org/officeDocument/2006/relationships/hyperlink" Target="http://www.cnm.org.br/dado_geral/mumain.asp?iIdMun=100129218" TargetMode="External"/><Relationship Id="rId709" Type="http://schemas.openxmlformats.org/officeDocument/2006/relationships/hyperlink" Target="http://www.cbpm.com.br/paginas/public_series_arquivos_abertos.ph" TargetMode="External"/><Relationship Id="rId916" Type="http://schemas.openxmlformats.org/officeDocument/2006/relationships/hyperlink" Target="http://www.mp.go.gov.br/portalweb/hp/9/docs/coletanea_cao_ambie" TargetMode="External"/><Relationship Id="rId1101" Type="http://schemas.openxmlformats.org/officeDocument/2006/relationships/hyperlink" Target="http://www.google.com/url?sa=t&amp;amp;source=web&amp;amp;cd=1&amp;amp;ved=0CBIQFjA" TargetMode="External"/><Relationship Id="rId1546" Type="http://schemas.openxmlformats.org/officeDocument/2006/relationships/hyperlink" Target="http://www.brasilmineral.com.br/BM/default.asp?COD=3521&amp;amp;busca" TargetMode="External"/><Relationship Id="rId1753" Type="http://schemas.openxmlformats.org/officeDocument/2006/relationships/hyperlink" Target="http://www.dpu.gov.br/index.php?option=com_content&amp;amp;view=article" TargetMode="External"/><Relationship Id="rId45" Type="http://schemas.openxmlformats.org/officeDocument/2006/relationships/image" Target="media/image14.png"/><Relationship Id="rId110" Type="http://schemas.openxmlformats.org/officeDocument/2006/relationships/hyperlink" Target="http://www.observatoriosocial.org.br/portal/sites/default/files/bibliotec" TargetMode="External"/><Relationship Id="rId348" Type="http://schemas.openxmlformats.org/officeDocument/2006/relationships/hyperlink" Target="http://www.scielo.br/pdf/ea/v19n54/01.pdf" TargetMode="External"/><Relationship Id="rId555" Type="http://schemas.openxmlformats.org/officeDocument/2006/relationships/hyperlink" Target="http://conteudo.ceara.gov.br/content/aplicacao/sdlr/_includes/PDFs/APL%20-" TargetMode="External"/><Relationship Id="rId762" Type="http://schemas.openxmlformats.org/officeDocument/2006/relationships/hyperlink" Target="http://www.ibge.gov.br/cidadesat/xtras/perfil.php?codmun=231210&amp;amp;r" TargetMode="External"/><Relationship Id="rId1185" Type="http://schemas.openxmlformats.org/officeDocument/2006/relationships/hyperlink" Target="http://www.ecodebate.com.br/2009/06/05/rj-inicia-a-" TargetMode="External"/><Relationship Id="rId1392" Type="http://schemas.openxmlformats.org/officeDocument/2006/relationships/hyperlink" Target="http://verbetes.cetem.gov.br/impressao/ExibeGlossarioResumo.aspx?verid=8" TargetMode="External"/><Relationship Id="rId1406" Type="http://schemas.openxmlformats.org/officeDocument/2006/relationships/hyperlink" Target="http://www.valor.com.br/arquivo/693591/mmx-acredita-que-nao-" TargetMode="External"/><Relationship Id="rId1613" Type="http://schemas.openxmlformats.org/officeDocument/2006/relationships/hyperlink" Target="http://teses2.ufrj.br/Teses/COPPE_M/JeanCarloGrijoLouzada.pdf" TargetMode="External"/><Relationship Id="rId194" Type="http://schemas.openxmlformats.org/officeDocument/2006/relationships/hyperlink" Target="http://www.ufpe.br/revistaanthropologicas/internas/volume15(2)/Artig" TargetMode="External"/><Relationship Id="rId208" Type="http://schemas.openxmlformats.org/officeDocument/2006/relationships/hyperlink" Target="http://www.site.funbio.org.br/teste/OqueFazemos/ApoioaProjetos/Fu" TargetMode="External"/><Relationship Id="rId415" Type="http://schemas.openxmlformats.org/officeDocument/2006/relationships/hyperlink" Target="http://www.brasilmineral.com.br/BM/default.asp?COD=5035&amp;amp;busca" TargetMode="External"/><Relationship Id="rId622" Type="http://schemas.openxmlformats.org/officeDocument/2006/relationships/hyperlink" Target="http://blogfolha.com/?p=18681" TargetMode="External"/><Relationship Id="rId1045" Type="http://schemas.openxmlformats.org/officeDocument/2006/relationships/hyperlink" Target="http://www.observatoriosocial.org.br/portal/index.php?option=content" TargetMode="External"/><Relationship Id="rId1252" Type="http://schemas.openxmlformats.org/officeDocument/2006/relationships/hyperlink" Target="http://www.ibge.gov.br/cidadesat/xtras/perfil.php?codmun=314700&amp;amp;r" TargetMode="External"/><Relationship Id="rId1697" Type="http://schemas.openxmlformats.org/officeDocument/2006/relationships/hyperlink" Target="http://verbetes.cetem.gov.br/impressao/ExibeGlossarioResumo.aspx?verid=14" TargetMode="External"/><Relationship Id="rId261" Type="http://schemas.openxmlformats.org/officeDocument/2006/relationships/hyperlink" Target="http://www.conflitoambiental.icict.fiocruz.br/index.php?pag=ficha&amp;amp;co" TargetMode="External"/><Relationship Id="rId499" Type="http://schemas.openxmlformats.org/officeDocument/2006/relationships/hyperlink" Target="http://www.ariquemes.ro.gov.br/default.asp?secao=conteudo.asp&amp;amp;tb" TargetMode="External"/><Relationship Id="rId927" Type="http://schemas.openxmlformats.org/officeDocument/2006/relationships/hyperlink" Target="http://oglobo.globo.com/economia/novo-ciclo-" TargetMode="External"/><Relationship Id="rId1112" Type="http://schemas.openxmlformats.org/officeDocument/2006/relationships/hyperlink" Target="http://www.estadao.com.br/noticias/economia%2Cmpf-pede-paralisacao-" TargetMode="External"/><Relationship Id="rId1557" Type="http://schemas.openxmlformats.org/officeDocument/2006/relationships/hyperlink" Target="http://www.dominiopublico.gov.br/download/texto/ea000392.pdf" TargetMode="External"/><Relationship Id="rId1764" Type="http://schemas.openxmlformats.org/officeDocument/2006/relationships/theme" Target="theme/theme1.xml"/><Relationship Id="rId56" Type="http://schemas.openxmlformats.org/officeDocument/2006/relationships/hyperlink" Target="http://pa.gov.br/O_Para/economia.asp" TargetMode="External"/><Relationship Id="rId359" Type="http://schemas.openxmlformats.org/officeDocument/2006/relationships/hyperlink" Target="http://www.sema.pa.gov.br/interna.php%3Fidconteudocoluna%3D528" TargetMode="External"/><Relationship Id="rId566" Type="http://schemas.openxmlformats.org/officeDocument/2006/relationships/hyperlink" Target="http://www.conflitoambiental.icict.fiocruz.br/index.php?pag=ficha&amp;amp;co" TargetMode="External"/><Relationship Id="rId773" Type="http://schemas.openxmlformats.org/officeDocument/2006/relationships/hyperlink" Target="http://www.anppas.org.br/encontro4/cd/ARQUIVOS/GT6-61-8-" TargetMode="External"/><Relationship Id="rId1196" Type="http://schemas.openxmlformats.org/officeDocument/2006/relationships/hyperlink" Target="http://www.brasilmineral.com.br/BM/default.asp?busca=Geopark%2BQu" TargetMode="External"/><Relationship Id="rId1417" Type="http://schemas.openxmlformats.org/officeDocument/2006/relationships/hyperlink" Target="http://en.scientificcommons.org/16435753" TargetMode="External"/><Relationship Id="rId1624" Type="http://schemas.openxmlformats.org/officeDocument/2006/relationships/hyperlink" Target="http://www.valefertilizantes.com/valefertilizantes/nosso.asp" TargetMode="External"/><Relationship Id="rId121" Type="http://schemas.openxmlformats.org/officeDocument/2006/relationships/hyperlink" Target="http://www.ibge.gov.br/cidadesat/xtras/perfil.php?codmun=160060&amp;amp;r" TargetMode="External"/><Relationship Id="rId219" Type="http://schemas.openxmlformats.org/officeDocument/2006/relationships/hyperlink" Target="http://www.reporterbrasil.com.br/exibe.php?id=1078" TargetMode="External"/><Relationship Id="rId426" Type="http://schemas.openxmlformats.org/officeDocument/2006/relationships/hyperlink" Target="http://ucho.info/exploracao-de-ouro-em-serra-pelada-recomeca-na-" TargetMode="External"/><Relationship Id="rId633" Type="http://schemas.openxmlformats.org/officeDocument/2006/relationships/hyperlink" Target="http://www.brasildefato.com.br/node/8553" TargetMode="External"/><Relationship Id="rId980" Type="http://schemas.openxmlformats.org/officeDocument/2006/relationships/hyperlink" Target="http://www.cpap.embrapa.br/publicacoes/online/BP58.pdf" TargetMode="External"/><Relationship Id="rId1056" Type="http://schemas.openxmlformats.org/officeDocument/2006/relationships/hyperlink" Target="http://www1.folha.uol.com.br/folha/cotidiano/ult95u130390.shtml" TargetMode="External"/><Relationship Id="rId1263" Type="http://schemas.openxmlformats.org/officeDocument/2006/relationships/hyperlink" Target="http://verbetes.cetem.gov.br/impressao/ExibeGlossarioResumo.aspx?verid=4" TargetMode="External"/><Relationship Id="rId840" Type="http://schemas.openxmlformats.org/officeDocument/2006/relationships/hyperlink" Target="http://noticiasmineracao.mining.com/2009/11/24/regras-sobre-" TargetMode="External"/><Relationship Id="rId938" Type="http://schemas.openxmlformats.org/officeDocument/2006/relationships/hyperlink" Target="http://www.seplan.go.gov.br/sepin/pub/anuario/2005/transporte/tab0" TargetMode="External"/><Relationship Id="rId1470" Type="http://schemas.openxmlformats.org/officeDocument/2006/relationships/hyperlink" Target="http://verbetes.cetem.gov.br/impressao/ExibeGlossarioResumo.aspx?verid=14" TargetMode="External"/><Relationship Id="rId1568" Type="http://schemas.openxmlformats.org/officeDocument/2006/relationships/hyperlink" Target="http://www.prefeituraavare.sp.gov.br/?id=show&amp;amp;pg=noticias_exibir&amp;amp;c" TargetMode="External"/><Relationship Id="rId67" Type="http://schemas.openxmlformats.org/officeDocument/2006/relationships/hyperlink" Target="http://www.ipaam.am.gov.br/noticia.php?cod=248" TargetMode="External"/><Relationship Id="rId272" Type="http://schemas.openxmlformats.org/officeDocument/2006/relationships/hyperlink" Target="http://verbetes.cetem.gov.br/impressao/ExibeGlossarioResumo.aspx?verid=8" TargetMode="External"/><Relationship Id="rId577" Type="http://schemas.openxmlformats.org/officeDocument/2006/relationships/hyperlink" Target="http://jangello.unifacs.br/downloads/Projeto_Purifica.pdf" TargetMode="External"/><Relationship Id="rId700" Type="http://schemas.openxmlformats.org/officeDocument/2006/relationships/hyperlink" Target="http://www.seplan.ba.gov.br/sgc/arquivos/20100302_154706_14_Mi" TargetMode="External"/><Relationship Id="rId1123" Type="http://schemas.openxmlformats.org/officeDocument/2006/relationships/hyperlink" Target="http://www.ibram.org.br/150/15001002.asp?ttCD_CHAVE=100890" TargetMode="External"/><Relationship Id="rId1330" Type="http://schemas.openxmlformats.org/officeDocument/2006/relationships/hyperlink" Target="http://verbetes.cetem.gov.br/impressao/ExibeGlossarioResumo.aspx?verid=8" TargetMode="External"/><Relationship Id="rId1428" Type="http://schemas.openxmlformats.org/officeDocument/2006/relationships/hyperlink" Target="http://www.superportodoacu.com.br/tag/tx1/" TargetMode="External"/><Relationship Id="rId1635" Type="http://schemas.openxmlformats.org/officeDocument/2006/relationships/hyperlink" Target="http://www.ibram.org.br/sites/1300/1382/00003797.pdf" TargetMode="External"/><Relationship Id="rId132" Type="http://schemas.openxmlformats.org/officeDocument/2006/relationships/hyperlink" Target="http://verbetes.cetem.gov.br/impressao/ExibeGlossarioResumo.aspx?verid=11" TargetMode="External"/><Relationship Id="rId784" Type="http://schemas.openxmlformats.org/officeDocument/2006/relationships/hyperlink" Target="http://ojs.c3sl.ufpr.br/ojs2/index.php/rbg/article/download/10382/7607" TargetMode="External"/><Relationship Id="rId991" Type="http://schemas.openxmlformats.org/officeDocument/2006/relationships/hyperlink" Target="http://www.abep.nepo.unicamp.br/docs/anais/pdf/2002/GT_MA_PO3" TargetMode="External"/><Relationship Id="rId1067" Type="http://schemas.openxmlformats.org/officeDocument/2006/relationships/hyperlink" Target="http://otempo.com.br/otempo/fotos/20070112/33435_TB011201.pdf" TargetMode="External"/><Relationship Id="rId437" Type="http://schemas.openxmlformats.org/officeDocument/2006/relationships/hyperlink" Target="http://www.observatoriosocial.org.br/portal/images/stories/publicacoe" TargetMode="External"/><Relationship Id="rId644" Type="http://schemas.openxmlformats.org/officeDocument/2006/relationships/hyperlink" Target="http://moderamovimento.wordpress.com/bacia-do-rio-do-antonio" TargetMode="External"/><Relationship Id="rId851" Type="http://schemas.openxmlformats.org/officeDocument/2006/relationships/hyperlink" Target="http://oglobo.globo.com/economia/mat/2011/07/20/dilma-convoca-" TargetMode="External"/><Relationship Id="rId1274" Type="http://schemas.openxmlformats.org/officeDocument/2006/relationships/hyperlink" Target="http://www.cetem.gov.br/publicacao/livros/Vol_1_GRANDES_MINAS" TargetMode="External"/><Relationship Id="rId1481" Type="http://schemas.openxmlformats.org/officeDocument/2006/relationships/hyperlink" Target="http://www.redeaplmineral.org.br/noticias/destaque-2/int-desenvolve-" TargetMode="External"/><Relationship Id="rId1579" Type="http://schemas.openxmlformats.org/officeDocument/2006/relationships/hyperlink" Target="http://www.cerest.piracicaba.sp.gov.br/site/images/Manual-" TargetMode="External"/><Relationship Id="rId1702" Type="http://schemas.openxmlformats.org/officeDocument/2006/relationships/hyperlink" Target="http://www.bibliotecadigital.fgv.br/dspace/bitstream/handle/10438/32" TargetMode="External"/><Relationship Id="rId283" Type="http://schemas.openxmlformats.org/officeDocument/2006/relationships/hyperlink" Target="http://cobre.wordpress.com/mineracao-de-salobo/" TargetMode="External"/><Relationship Id="rId490" Type="http://schemas.openxmlformats.org/officeDocument/2006/relationships/hyperlink" Target="http://www.dnpm.gov.br/mostra_arquivo.asp?IDBancoArquivoArquiv" TargetMode="External"/><Relationship Id="rId504" Type="http://schemas.openxmlformats.org/officeDocument/2006/relationships/hyperlink" Target="http://bibliotecavirtual.clacso.org.ar/ar/libros/becas/2008/deuda/serto" TargetMode="External"/><Relationship Id="rId711" Type="http://schemas.openxmlformats.org/officeDocument/2006/relationships/hyperlink" Target="http://www.cetem.gov.br/publicacao/serie_anais_X_jic_2002/Valeska" TargetMode="External"/><Relationship Id="rId949" Type="http://schemas.openxmlformats.org/officeDocument/2006/relationships/hyperlink" Target="http://www.jusbrasil.com.br/politica/4734979/ministerio-da-" TargetMode="External"/><Relationship Id="rId1134" Type="http://schemas.openxmlformats.org/officeDocument/2006/relationships/hyperlink" Target="http://www.seer.ufu.br/index.php/sociedadenatureza/article/viewFile/" TargetMode="External"/><Relationship Id="rId1341" Type="http://schemas.openxmlformats.org/officeDocument/2006/relationships/hyperlink" Target="http://www.dnpm.gov.br/assets/galeriadocumento/sumariomineral20" TargetMode="External"/><Relationship Id="rId78" Type="http://schemas.openxmlformats.org/officeDocument/2006/relationships/hyperlink" Target="http://www.valedojavari.com/2010/01/localizados-os-indios-isolados-" TargetMode="External"/><Relationship Id="rId143" Type="http://schemas.openxmlformats.org/officeDocument/2006/relationships/hyperlink" Target="http://www4.ap.gov.br/jsp/noticias/news.jsp?ref=7326&amp;amp;dtDay=2009-" TargetMode="External"/><Relationship Id="rId350" Type="http://schemas.openxmlformats.org/officeDocument/2006/relationships/hyperlink" Target="http://www.socioambiental.org/nsa/detalhe?id=2329" TargetMode="External"/><Relationship Id="rId588" Type="http://schemas.openxmlformats.org/officeDocument/2006/relationships/hyperlink" Target="http://verbetes.cetem.gov.br/impressao/ExibeGlossarioResumo.aspx?verid=5" TargetMode="External"/><Relationship Id="rId795" Type="http://schemas.openxmlformats.org/officeDocument/2006/relationships/hyperlink" Target="http://www.redeaplmineral.org.br/apl/banco_apls/apls" TargetMode="External"/><Relationship Id="rId809" Type="http://schemas.openxmlformats.org/officeDocument/2006/relationships/hyperlink" Target="http://www.portalodm.com.br/relatorios/pi/castelo-do-" TargetMode="External"/><Relationship Id="rId1201" Type="http://schemas.openxmlformats.org/officeDocument/2006/relationships/hyperlink" Target="http://www.jvaonline.com.br/novo_site/ler_noticia.php?id=4024" TargetMode="External"/><Relationship Id="rId1439" Type="http://schemas.openxmlformats.org/officeDocument/2006/relationships/hyperlink" Target="http://www.dpf.gov.br/agencia/pf-na-" TargetMode="External"/><Relationship Id="rId1646" Type="http://schemas.openxmlformats.org/officeDocument/2006/relationships/hyperlink" Target="http://periodicos.unesc.net/index.php/saude/article/view/141/146" TargetMode="External"/><Relationship Id="rId9" Type="http://schemas.openxmlformats.org/officeDocument/2006/relationships/footer" Target="footer1.xml"/><Relationship Id="rId210" Type="http://schemas.openxmlformats.org/officeDocument/2006/relationships/hyperlink" Target="http://www.conflitoambiental.icict.fiocruz.br/index.php?pag=ficha&amp;amp;co" TargetMode="External"/><Relationship Id="rId448" Type="http://schemas.openxmlformats.org/officeDocument/2006/relationships/hyperlink" Target="http://www3.ufpa.br/projetomineracao/docs/estrut/NCN-2007-" TargetMode="External"/><Relationship Id="rId655" Type="http://schemas.openxmlformats.org/officeDocument/2006/relationships/hyperlink" Target="http://www.moodle.ufba.br/file.php/8828/moddata/forum/4338/96335/" TargetMode="External"/><Relationship Id="rId862" Type="http://schemas.openxmlformats.org/officeDocument/2006/relationships/image" Target="media/image30.png"/><Relationship Id="rId1078" Type="http://schemas.openxmlformats.org/officeDocument/2006/relationships/hyperlink" Target="http://www.cetem.gov.br/publicacao/CTs/CT2002-183-00.pdf" TargetMode="External"/><Relationship Id="rId1285" Type="http://schemas.openxmlformats.org/officeDocument/2006/relationships/hyperlink" Target="http://www.pedreirassaotome.com.br/produtodetalhado.php?idprod" TargetMode="External"/><Relationship Id="rId1492" Type="http://schemas.openxmlformats.org/officeDocument/2006/relationships/hyperlink" Target="http://www.abepro.org.br/biblioteca/ENEGEP2004_Enegep0803_198" TargetMode="External"/><Relationship Id="rId1506" Type="http://schemas.openxmlformats.org/officeDocument/2006/relationships/hyperlink" Target="http://www.unifoa.edu/" TargetMode="External"/><Relationship Id="rId1713" Type="http://schemas.openxmlformats.org/officeDocument/2006/relationships/hyperlink" Target="http://www.visiteminasdocamaqua.com/historiacbc.html" TargetMode="External"/><Relationship Id="rId294" Type="http://schemas.openxmlformats.org/officeDocument/2006/relationships/hyperlink" Target="http://www.achetudoeregiao.com/PA/maraba/geografia.htm" TargetMode="External"/><Relationship Id="rId308" Type="http://schemas.openxmlformats.org/officeDocument/2006/relationships/hyperlink" Target="http://www.adital.com.br/site/noticia.asp?lang=PT&amp;amp;cod=32287" TargetMode="External"/><Relationship Id="rId515" Type="http://schemas.openxmlformats.org/officeDocument/2006/relationships/hyperlink" Target="http://pib.socioambiental.org/pt/c/terras-indigenas/atividades-" TargetMode="External"/><Relationship Id="rId722" Type="http://schemas.openxmlformats.org/officeDocument/2006/relationships/hyperlink" Target="http://www.ecodebate.com.br/2008/11/05/mineracao-" TargetMode="External"/><Relationship Id="rId1145" Type="http://schemas.openxmlformats.org/officeDocument/2006/relationships/hyperlink" Target="http://verbetes.cetem.gov.br/impressao/ExibeGlossarioResumo.aspx?verid=9" TargetMode="External"/><Relationship Id="rId1352" Type="http://schemas.openxmlformats.org/officeDocument/2006/relationships/hyperlink" Target="http://verbetes.cetem.gov.br/impressao/ExibeGlossarioResumo.aspx?verid=8" TargetMode="External"/><Relationship Id="rId89" Type="http://schemas.openxmlformats.org/officeDocument/2006/relationships/hyperlink" Target="http://ecotumucumaque.com/artigos/Sustentab%5B1%5D...pdf" TargetMode="External"/><Relationship Id="rId154" Type="http://schemas.openxmlformats.org/officeDocument/2006/relationships/hyperlink" Target="http://www.brasilmineral.com.br/BM/default.asp?COD=5226&amp;amp;busca" TargetMode="External"/><Relationship Id="rId361" Type="http://schemas.openxmlformats.org/officeDocument/2006/relationships/hyperlink" Target="http://www.bonsucex.com.br/noticia_21_01_10.pdf" TargetMode="External"/><Relationship Id="rId599" Type="http://schemas.openxmlformats.org/officeDocument/2006/relationships/hyperlink" Target="http://www.ibge.gov.br/cidadesat/xtras/perfil.php?codmun=290410&amp;amp;r" TargetMode="External"/><Relationship Id="rId1005" Type="http://schemas.openxmlformats.org/officeDocument/2006/relationships/hyperlink" Target="mailto:ralamino@cetem.gov.br" TargetMode="External"/><Relationship Id="rId1212" Type="http://schemas.openxmlformats.org/officeDocument/2006/relationships/hyperlink" Target="http://www.brasilmineral.com.br/BM/default.asp?COD=4832&amp;amp;busca" TargetMode="External"/><Relationship Id="rId1657" Type="http://schemas.openxmlformats.org/officeDocument/2006/relationships/hyperlink" Target="http://ojs.c3sl.ufpr.br/ojs2/index.php/geociencias/article/viewFile/422" TargetMode="External"/><Relationship Id="rId459" Type="http://schemas.openxmlformats.org/officeDocument/2006/relationships/hyperlink" Target="http://www.luisnassif.com/profiles/blogs/no-reino-das-" TargetMode="External"/><Relationship Id="rId666" Type="http://schemas.openxmlformats.org/officeDocument/2006/relationships/hyperlink" Target="http://verbetes.cetem.gov.br/impressao/ExibeGlossarioResumo.aspx?verid=7" TargetMode="External"/><Relationship Id="rId873" Type="http://schemas.openxmlformats.org/officeDocument/2006/relationships/hyperlink" Target="http://www1.folha.uol.com.br/folha/treinamento/novoemfolha47/ult10" TargetMode="External"/><Relationship Id="rId1089" Type="http://schemas.openxmlformats.org/officeDocument/2006/relationships/hyperlink" Target="http://www.jornalcorreiodacidade.com.br/index.php?option=com_con" TargetMode="External"/><Relationship Id="rId1296" Type="http://schemas.openxmlformats.org/officeDocument/2006/relationships/hyperlink" Target="http://www.ibge.gov.br/cidadesat/xtras/perfil.php?codmun=315180&amp;amp;r" TargetMode="External"/><Relationship Id="rId1517" Type="http://schemas.openxmlformats.org/officeDocument/2006/relationships/hyperlink" Target="http://www.carnelegal.mpf.gov.br/noticias/noticias_new/noticias/notici" TargetMode="External"/><Relationship Id="rId1724" Type="http://schemas.openxmlformats.org/officeDocument/2006/relationships/hyperlink" Target="http://verbetes.cetem.gov.br/impressao/ExibeGlossarioResumo.aspx?verid=9" TargetMode="External"/><Relationship Id="rId16" Type="http://schemas.openxmlformats.org/officeDocument/2006/relationships/footer" Target="footer7.xml"/><Relationship Id="rId221" Type="http://schemas.openxmlformats.org/officeDocument/2006/relationships/hyperlink" Target="http://verbetes.cetem.gov.br/impressao/ExibeGlossarioResumo.aspx?verid=8" TargetMode="External"/><Relationship Id="rId319" Type="http://schemas.openxmlformats.org/officeDocument/2006/relationships/hyperlink" Target="http://www.vale.com.br/vale/cgi/cgilua.exe/sys/start.htm?sid=44" TargetMode="External"/><Relationship Id="rId526" Type="http://schemas.openxmlformats.org/officeDocument/2006/relationships/hyperlink" Target="http://eptv.globo.com/terradagente/terradagente_interna.aspx?29462" TargetMode="External"/><Relationship Id="rId1156" Type="http://schemas.openxmlformats.org/officeDocument/2006/relationships/hyperlink" Target="http://selo.cptec.inpe.br/IBGE/cidade/311000" TargetMode="External"/><Relationship Id="rId1363" Type="http://schemas.openxmlformats.org/officeDocument/2006/relationships/hyperlink" Target="http://www.prt3.mpt.gov.br/imprensa/?p=10688" TargetMode="External"/><Relationship Id="rId733" Type="http://schemas.openxmlformats.org/officeDocument/2006/relationships/hyperlink" Target="http://www.mpx.com.br/pt/nossos-negocios/geracao-de-" TargetMode="External"/><Relationship Id="rId940" Type="http://schemas.openxmlformats.org/officeDocument/2006/relationships/hyperlink" Target="http://www.troyres.com.br/Projects/proj_exploration.asp" TargetMode="External"/><Relationship Id="rId1016" Type="http://schemas.openxmlformats.org/officeDocument/2006/relationships/image" Target="media/image40.png"/><Relationship Id="rId1570" Type="http://schemas.openxmlformats.org/officeDocument/2006/relationships/hyperlink" Target="http://www.ibram.org.br/" TargetMode="External"/><Relationship Id="rId1668" Type="http://schemas.openxmlformats.org/officeDocument/2006/relationships/hyperlink" Target="http://mercadoetico.terra.com.br/arquivo/a-usina-de-maua-no-" TargetMode="External"/><Relationship Id="rId165" Type="http://schemas.openxmlformats.org/officeDocument/2006/relationships/hyperlink" Target="http://verbetes.cetem.gov.br/impressao/ExibeGlossarioResumo.aspx?verid=14" TargetMode="External"/><Relationship Id="rId372" Type="http://schemas.openxmlformats.org/officeDocument/2006/relationships/hyperlink" Target="http://robertatum.com.br/noticia/governador-" TargetMode="External"/><Relationship Id="rId677" Type="http://schemas.openxmlformats.org/officeDocument/2006/relationships/hyperlink" Target="http://www.intelog.net/site/default.asp?TroncoID=907492&amp;amp;SecaoID=50807" TargetMode="External"/><Relationship Id="rId800" Type="http://schemas.openxmlformats.org/officeDocument/2006/relationships/hyperlink" Target="http://www.meionorte.com/heraldoalves/castelo-do-piaui-um-paraiso-" TargetMode="External"/><Relationship Id="rId1223" Type="http://schemas.openxmlformats.org/officeDocument/2006/relationships/hyperlink" Target="http://www.exportaminas.mg.gov.br/noticias/noticia_conteudo.aspx" TargetMode="External"/><Relationship Id="rId1430" Type="http://schemas.openxmlformats.org/officeDocument/2006/relationships/hyperlink" Target="http://www.infomoney.com.br/llxlogistica/noticia/2276525-" TargetMode="External"/><Relationship Id="rId1528" Type="http://schemas.openxmlformats.org/officeDocument/2006/relationships/hyperlink" Target="http://www.anbio.org.br/bio/biodiver_not32.htm" TargetMode="External"/><Relationship Id="rId232" Type="http://schemas.openxmlformats.org/officeDocument/2006/relationships/hyperlink" Target="http://selo.cptec.inpe.br/IBGE/cidade/150130" TargetMode="External"/><Relationship Id="rId884" Type="http://schemas.openxmlformats.org/officeDocument/2006/relationships/hyperlink" Target="http://www.valoronline.com.br/impresso/legislacao-" TargetMode="External"/><Relationship Id="rId1735" Type="http://schemas.openxmlformats.org/officeDocument/2006/relationships/hyperlink" Target="http://verbetes.cetem.gov.br/impressao/ExibeGlossarioResumo.aspx?verid=8" TargetMode="External"/><Relationship Id="rId27" Type="http://schemas.openxmlformats.org/officeDocument/2006/relationships/hyperlink" Target="http://www.cprm.gov.br/publique/media/evento_0537.pdf" TargetMode="External"/><Relationship Id="rId537" Type="http://schemas.openxmlformats.org/officeDocument/2006/relationships/hyperlink" Target="mailto:keilavalente21@gmail.com" TargetMode="External"/><Relationship Id="rId744" Type="http://schemas.openxmlformats.org/officeDocument/2006/relationships/hyperlink" Target="http://www.cetem.gov.br/publicacao/serie_anais_XI_jic_2003/19_Lui" TargetMode="External"/><Relationship Id="rId951" Type="http://schemas.openxmlformats.org/officeDocument/2006/relationships/hyperlink" Target="http://www.mdic.gov.br/arquivos/dwnl_1248268674.pdf" TargetMode="External"/><Relationship Id="rId1167" Type="http://schemas.openxmlformats.org/officeDocument/2006/relationships/hyperlink" Target="http://www.funcesi.br/Portals/1/monografia%20geografia.pdf" TargetMode="External"/><Relationship Id="rId1374" Type="http://schemas.openxmlformats.org/officeDocument/2006/relationships/hyperlink" Target="http://verbetes.cetem.gov.br/impressao/ExibeGlossarioResumo.aspx?verid=5" TargetMode="External"/><Relationship Id="rId1581" Type="http://schemas.openxmlformats.org/officeDocument/2006/relationships/hyperlink" Target="http://www.ibge.gov.br/cidadesat/xtras/perfil.php?codmun=354670&amp;amp;r" TargetMode="External"/><Relationship Id="rId1679" Type="http://schemas.openxmlformats.org/officeDocument/2006/relationships/hyperlink" Target="http://www.ibge.gov.br/cidadesat/xtras/perfil.php?codmun=410020&amp;amp;r" TargetMode="External"/><Relationship Id="rId80" Type="http://schemas.openxmlformats.org/officeDocument/2006/relationships/hyperlink" Target="http://www.valedojavari.com/p/o-vale-do-javari.html" TargetMode="External"/><Relationship Id="rId176" Type="http://schemas.openxmlformats.org/officeDocument/2006/relationships/hyperlink" Target="http://verbetes.cetem.gov.br/impressao/ExibeGlossarioResumo.aspx?verid=13" TargetMode="External"/><Relationship Id="rId383" Type="http://schemas.openxmlformats.org/officeDocument/2006/relationships/hyperlink" Target="http://www.abep.nepo.unicamp.br/encontro2008/docsPDF/ABEP200" TargetMode="External"/><Relationship Id="rId590" Type="http://schemas.openxmlformats.org/officeDocument/2006/relationships/hyperlink" Target="http://verbetes.cetem.gov.br/impressao/ExibeGlossarioResumo.aspx?verid=9" TargetMode="External"/><Relationship Id="rId604" Type="http://schemas.openxmlformats.org/officeDocument/2006/relationships/hyperlink" Target="http://www.dnpm.gov.br/assets/galeriaDocumento/SumarioMineral20" TargetMode="External"/><Relationship Id="rId811" Type="http://schemas.openxmlformats.org/officeDocument/2006/relationships/hyperlink" Target="http://www.meionorte.com/meunovopiaui/mineradora-de-castelo-do-" TargetMode="External"/><Relationship Id="rId1027" Type="http://schemas.openxmlformats.org/officeDocument/2006/relationships/hyperlink" Target="http://www.bandes.com.br/Site/Dinamico/Show?id=223" TargetMode="External"/><Relationship Id="rId1234" Type="http://schemas.openxmlformats.org/officeDocument/2006/relationships/hyperlink" Target="http://www.brasilmineral.com.br/BM/default.asp?COD=1647&amp;amp;busca" TargetMode="External"/><Relationship Id="rId1441" Type="http://schemas.openxmlformats.org/officeDocument/2006/relationships/hyperlink" Target="http://www.robertomoraes.com.br/2013/08/movimentacao-da-llx-e-" TargetMode="External"/><Relationship Id="rId243" Type="http://schemas.openxmlformats.org/officeDocument/2006/relationships/hyperlink" Target="http://noticias.pgr.mpf.gov.br/noticias/noticias-do-" TargetMode="External"/><Relationship Id="rId450" Type="http://schemas.openxmlformats.org/officeDocument/2006/relationships/hyperlink" Target="http://www.ibram.org.br/150/15001002.asp?ttCD_CHAVE=45918" TargetMode="External"/><Relationship Id="rId688" Type="http://schemas.openxmlformats.org/officeDocument/2006/relationships/hyperlink" Target="http://varzeadopoconoticias.blogspot.com/2010/06/jacobinanova-" TargetMode="External"/><Relationship Id="rId895" Type="http://schemas.openxmlformats.org/officeDocument/2006/relationships/hyperlink" Target="http://www2.camara.gov.br/agencia/noticias/115063.html" TargetMode="External"/><Relationship Id="rId909" Type="http://schemas.openxmlformats.org/officeDocument/2006/relationships/hyperlink" Target="http://www.dnpm.gov.br/mostra_arquivo.asp?IDBancoArquivoArquiv" TargetMode="External"/><Relationship Id="rId1080" Type="http://schemas.openxmlformats.org/officeDocument/2006/relationships/hyperlink" Target="http://verbetes.cetem.gov.br/impressao/ExibeGlossarioResumo.aspx?verid=9" TargetMode="External"/><Relationship Id="rId1301" Type="http://schemas.openxmlformats.org/officeDocument/2006/relationships/hyperlink" Target="http://www.uesc.br/cursos/pos_graduacao/mestrado/mdrma/disserta" TargetMode="External"/><Relationship Id="rId1539" Type="http://schemas.openxmlformats.org/officeDocument/2006/relationships/hyperlink" Target="http://verbetes.cetem.gov.br/impressao/ExibeGlossarioResumo.aspx?verid=16" TargetMode="External"/><Relationship Id="rId1746" Type="http://schemas.openxmlformats.org/officeDocument/2006/relationships/hyperlink" Target="http://www.saomartinhodaserra.rs.gov.br/portal1/municipio/localizaca" TargetMode="External"/><Relationship Id="rId38" Type="http://schemas.openxmlformats.org/officeDocument/2006/relationships/hyperlink" Target="mailto:rrocha@cetem.gov.br" TargetMode="External"/><Relationship Id="rId103" Type="http://schemas.openxmlformats.org/officeDocument/2006/relationships/hyperlink" Target="http://www1.folha.uol.com.br/folha/cotidiano/ult95u6218.shtml" TargetMode="External"/><Relationship Id="rId310" Type="http://schemas.openxmlformats.org/officeDocument/2006/relationships/hyperlink" Target="http://www.abep.nepo.unicamp.br/encontro2008/docsPDF/abep2008" TargetMode="External"/><Relationship Id="rId548" Type="http://schemas.openxmlformats.org/officeDocument/2006/relationships/hyperlink" Target="http://www.cbpm.com.br/paginas/institucional.php" TargetMode="External"/><Relationship Id="rId755" Type="http://schemas.openxmlformats.org/officeDocument/2006/relationships/hyperlink" Target="http://www.scielo.br/scielo.php?pid=S0100-" TargetMode="External"/><Relationship Id="rId962" Type="http://schemas.openxmlformats.org/officeDocument/2006/relationships/hyperlink" Target="http://www.conflitoambiental.icict.fiocruz.br/index.php?pag=ficha&amp;amp;co" TargetMode="External"/><Relationship Id="rId1178" Type="http://schemas.openxmlformats.org/officeDocument/2006/relationships/hyperlink" Target="http://www1.folha.uol.com.br/mercado/924155-empresa-de-eike-e-" TargetMode="External"/><Relationship Id="rId1385" Type="http://schemas.openxmlformats.org/officeDocument/2006/relationships/hyperlink" Target="http://www.adital.com.br/site/noticia.asp?lang=PT&amp;amp;cod=41716" TargetMode="External"/><Relationship Id="rId1592" Type="http://schemas.openxmlformats.org/officeDocument/2006/relationships/hyperlink" Target="http://decoamaral.wordpress.com/2010/03/19/nuclemon-um-legado-" TargetMode="External"/><Relationship Id="rId1606" Type="http://schemas.openxmlformats.org/officeDocument/2006/relationships/hyperlink" Target="http://www.teses.usp.br/teses/disponiveis/44/44137/tde-" TargetMode="External"/><Relationship Id="rId91" Type="http://schemas.openxmlformats.org/officeDocument/2006/relationships/hyperlink" Target="http://dominiopublico.qprocura.com.br/dp/109417/Diagnostico-" TargetMode="External"/><Relationship Id="rId187" Type="http://schemas.openxmlformats.org/officeDocument/2006/relationships/hyperlink" Target="http://www.grandesconstrucoes.com.br/br/index.php?option=com_co" TargetMode="External"/><Relationship Id="rId394" Type="http://schemas.openxmlformats.org/officeDocument/2006/relationships/hyperlink" Target="http://amot-/" TargetMode="External"/><Relationship Id="rId408" Type="http://schemas.openxmlformats.org/officeDocument/2006/relationships/hyperlink" Target="http://terramagazine.terra.com.br/blogdaamazonia/blog/2012/09/03/pa" TargetMode="External"/><Relationship Id="rId615" Type="http://schemas.openxmlformats.org/officeDocument/2006/relationships/hyperlink" Target="http://icadsa.blogspot.com/2010_01_01_archive.html" TargetMode="External"/><Relationship Id="rId822" Type="http://schemas.openxmlformats.org/officeDocument/2006/relationships/hyperlink" Target="http://www.tribunadonorte.com.br/noticia/tac-vai-recuperar-area-" TargetMode="External"/><Relationship Id="rId1038" Type="http://schemas.openxmlformats.org/officeDocument/2006/relationships/hyperlink" Target="http://www.scielo.br/scielo.php?pid=S0366-" TargetMode="External"/><Relationship Id="rId1245" Type="http://schemas.openxmlformats.org/officeDocument/2006/relationships/hyperlink" Target="http://www.cedefes.org.br/?p=afro_detalhe&amp;amp;id_afro=11719" TargetMode="External"/><Relationship Id="rId1452" Type="http://schemas.openxmlformats.org/officeDocument/2006/relationships/hyperlink" Target="http://www1.folha.uol.com.br/ambiente/999903-" TargetMode="External"/><Relationship Id="rId254" Type="http://schemas.openxmlformats.org/officeDocument/2006/relationships/hyperlink" Target="http://verbetes.cetem.gov.br/impressao/ExibeGlossarioResumo.aspx?verid=5" TargetMode="External"/><Relationship Id="rId699" Type="http://schemas.openxmlformats.org/officeDocument/2006/relationships/hyperlink" Target="http://www.minarte.org.br/admin/editor/informativos/informativo1.pdf" TargetMode="External"/><Relationship Id="rId1091" Type="http://schemas.openxmlformats.org/officeDocument/2006/relationships/hyperlink" Target="http://www.cetem.gov.br/publicacao/livros/Vol_1_GRANDES_MINAS" TargetMode="External"/><Relationship Id="rId1105" Type="http://schemas.openxmlformats.org/officeDocument/2006/relationships/hyperlink" Target="http://www1.folha.uol.com.br/folha/dinheiro/ult91u604456.shtml" TargetMode="External"/><Relationship Id="rId1312" Type="http://schemas.openxmlformats.org/officeDocument/2006/relationships/hyperlink" Target="http://www.diariodearaxa.com.br/Noticia/Cidade/2012/3/Agua-" TargetMode="External"/><Relationship Id="rId1757" Type="http://schemas.openxmlformats.org/officeDocument/2006/relationships/hyperlink" Target="http://www.conflitoambiental.icict.fiocruz.br/index.php?pag=ficha&amp;amp;co" TargetMode="External"/><Relationship Id="rId49" Type="http://schemas.openxmlformats.org/officeDocument/2006/relationships/image" Target="media/image18.png"/><Relationship Id="rId114" Type="http://schemas.openxmlformats.org/officeDocument/2006/relationships/hyperlink" Target="http://verbetes.cetem.gov.br/impressao/ExibeGlossarioResumo.aspx?verid=12" TargetMode="External"/><Relationship Id="rId461" Type="http://schemas.openxmlformats.org/officeDocument/2006/relationships/hyperlink" Target="http://www.diarioonline.com.br/noticia-144398-" TargetMode="External"/><Relationship Id="rId559" Type="http://schemas.openxmlformats.org/officeDocument/2006/relationships/hyperlink" Target="http://verbetes.cetem.gov.br/impressao/ExibeGlossarioResumo.aspx?verid=3" TargetMode="External"/><Relationship Id="rId766" Type="http://schemas.openxmlformats.org/officeDocument/2006/relationships/hyperlink" Target="http://vsites.unb.br/ig/sigep/sitio005/sitio005.pdf" TargetMode="External"/><Relationship Id="rId1189" Type="http://schemas.openxmlformats.org/officeDocument/2006/relationships/hyperlink" Target="http://www.em.com.br/app/noticia/gerais/2011/05/20/interna_gerais%2C2" TargetMode="External"/><Relationship Id="rId1396" Type="http://schemas.openxmlformats.org/officeDocument/2006/relationships/hyperlink" Target="http://www.ibge.gov.br/cidadesat/xtras/perfil.php?codmun=330110&amp;amp;r" TargetMode="External"/><Relationship Id="rId1617" Type="http://schemas.openxmlformats.org/officeDocument/2006/relationships/hyperlink" Target="http://www.cajati.sp.gov.br/index.php?exibir=secoes&amp;amp;ID=79&amp;amp;IDNOTI" TargetMode="External"/><Relationship Id="rId198" Type="http://schemas.openxmlformats.org/officeDocument/2006/relationships/hyperlink" Target="http://www.acailandia.ma.gov.br/2010/index.php?op=historia" TargetMode="External"/><Relationship Id="rId321" Type="http://schemas.openxmlformats.org/officeDocument/2006/relationships/hyperlink" Target="http://verbetes.cetem.gov.br/impressao/ExibeGlossarioResumo.aspx?verid=9" TargetMode="External"/><Relationship Id="rId419" Type="http://schemas.openxmlformats.org/officeDocument/2006/relationships/hyperlink" Target="http://www.ibge.gov.br/cidadesat/xtras/perfil.php?codmun=150277&amp;amp;r" TargetMode="External"/><Relationship Id="rId626" Type="http://schemas.openxmlformats.org/officeDocument/2006/relationships/hyperlink" Target="http://noticialivre.com/index.php?option=com_content&amp;amp;view=article&amp;amp;i" TargetMode="External"/><Relationship Id="rId973" Type="http://schemas.openxmlformats.org/officeDocument/2006/relationships/hyperlink" Target="http://www.ibge.gov.br/cidadesat/xtras/perfil.php?codmun=510650&amp;amp;r" TargetMode="External"/><Relationship Id="rId1049" Type="http://schemas.openxmlformats.org/officeDocument/2006/relationships/hyperlink" Target="http://www.mds.gov.br/noticias_antigas/noticia1551.htm/html2pdf" TargetMode="External"/><Relationship Id="rId1256" Type="http://schemas.openxmlformats.org/officeDocument/2006/relationships/hyperlink" Target="http://www.correiobraziliense.com.br/app/noticia182/2010/05/31/eco" TargetMode="External"/><Relationship Id="rId833" Type="http://schemas.openxmlformats.org/officeDocument/2006/relationships/hyperlink" Target="http://mineiropt.com.br/media/uploads/publications/arq46bdd6587aa" TargetMode="External"/><Relationship Id="rId1116" Type="http://schemas.openxmlformats.org/officeDocument/2006/relationships/hyperlink" Target="http://www.portalcmd.com.br/" TargetMode="External"/><Relationship Id="rId1463" Type="http://schemas.openxmlformats.org/officeDocument/2006/relationships/hyperlink" Target="http://oglobo.globo.com/rio/thyssenkrupp-csa-envia-nota-sobre-" TargetMode="External"/><Relationship Id="rId1670" Type="http://schemas.openxmlformats.org/officeDocument/2006/relationships/hyperlink" Target="http://www.ecodebate.com.br/2011/10/21/uhe-maua-bacia-do-rio-" TargetMode="External"/><Relationship Id="rId265" Type="http://schemas.openxmlformats.org/officeDocument/2006/relationships/hyperlink" Target="http://www.tierramerica.info/nota.php?lang=port&amp;amp;idnews=667" TargetMode="External"/><Relationship Id="rId472" Type="http://schemas.openxmlformats.org/officeDocument/2006/relationships/hyperlink" Target="http://www.ibge.gov.br/cidadesat/xtras/perfil.php?codmun=110009&amp;amp;r" TargetMode="External"/><Relationship Id="rId900" Type="http://schemas.openxmlformats.org/officeDocument/2006/relationships/hyperlink" Target="http://www.jornaldiariodonorte.com.br/site/imp_edicao.php?cod=108" TargetMode="External"/><Relationship Id="rId1323" Type="http://schemas.openxmlformats.org/officeDocument/2006/relationships/hyperlink" Target="http://www.hojeemdia.com.br/colunas-" TargetMode="External"/><Relationship Id="rId1530" Type="http://schemas.openxmlformats.org/officeDocument/2006/relationships/hyperlink" Target="http://www.ibge.gov.br/cidadesat/xtras/perfil.php?codmun=330475&amp;amp;r" TargetMode="External"/><Relationship Id="rId1628" Type="http://schemas.openxmlformats.org/officeDocument/2006/relationships/image" Target="media/image43.png"/><Relationship Id="rId125" Type="http://schemas.openxmlformats.org/officeDocument/2006/relationships/hyperlink" Target="http://www.observatoriosocial.org.br/arquivos_biblioteca/conteudo/18" TargetMode="External"/><Relationship Id="rId332" Type="http://schemas.openxmlformats.org/officeDocument/2006/relationships/hyperlink" Target="http://economia.estadao.com.br/noticias/not_44507.htm" TargetMode="External"/><Relationship Id="rId777" Type="http://schemas.openxmlformats.org/officeDocument/2006/relationships/hyperlink" Target="http://www.estadao.com.br/noticia_imp.php?req=not_imp455724%2C0.p" TargetMode="External"/><Relationship Id="rId984" Type="http://schemas.openxmlformats.org/officeDocument/2006/relationships/hyperlink" Target="http://www.brasilmineral.com.br/BM/default.asp?COD=5404&amp;amp;busca" TargetMode="External"/><Relationship Id="rId637" Type="http://schemas.openxmlformats.org/officeDocument/2006/relationships/hyperlink" Target="http://www.oeco.com.br/suzana-" TargetMode="External"/><Relationship Id="rId844" Type="http://schemas.openxmlformats.org/officeDocument/2006/relationships/hyperlink" Target="http://www.brasilmineral.com.br/BM/default.asp?busca=Taquari-" TargetMode="External"/><Relationship Id="rId1267" Type="http://schemas.openxmlformats.org/officeDocument/2006/relationships/hyperlink" Target="http://www.cprm.gov.br/publique/media/geo_med10.pdf" TargetMode="External"/><Relationship Id="rId1474" Type="http://schemas.openxmlformats.org/officeDocument/2006/relationships/hyperlink" Target="http://www.scielo.br/scielo.php?script=sci_arttext&amp;amp;pid=S0104-" TargetMode="External"/><Relationship Id="rId1681" Type="http://schemas.openxmlformats.org/officeDocument/2006/relationships/hyperlink" Target="http://www.conflitoambiental.icict.fiocruz.br/index.php?pag=ficha&amp;amp;co" TargetMode="External"/><Relationship Id="rId276" Type="http://schemas.openxmlformats.org/officeDocument/2006/relationships/hyperlink" Target="http://www.teses.usp.br/teses/disponiveis/8/8137/tde-05022009-" TargetMode="External"/><Relationship Id="rId483" Type="http://schemas.openxmlformats.org/officeDocument/2006/relationships/hyperlink" Target="http://www.dnpm.gov.br/assets/galeriadocumento/balancomineral20" TargetMode="External"/><Relationship Id="rId690" Type="http://schemas.openxmlformats.org/officeDocument/2006/relationships/hyperlink" Target="http://verbetes.cetem.gov.br/impressao/ExibeGlossarioResumo.aspx?verid=8" TargetMode="External"/><Relationship Id="rId704" Type="http://schemas.openxmlformats.org/officeDocument/2006/relationships/hyperlink" Target="http://www.ba.agenciasebrae.com.br/noticia.kmf?cod=7962970&amp;amp;can" TargetMode="External"/><Relationship Id="rId911" Type="http://schemas.openxmlformats.org/officeDocument/2006/relationships/hyperlink" Target="http://www.vmetais.com.br/pt-" TargetMode="External"/><Relationship Id="rId1127" Type="http://schemas.openxmlformats.org/officeDocument/2006/relationships/hyperlink" Target="http://www.scielo.br/scielo.php?pid=S0370-" TargetMode="External"/><Relationship Id="rId1334" Type="http://schemas.openxmlformats.org/officeDocument/2006/relationships/hyperlink" Target="http://www.scielo.br/scielo.php?pid=S0100-" TargetMode="External"/><Relationship Id="rId1541" Type="http://schemas.openxmlformats.org/officeDocument/2006/relationships/hyperlink" Target="http://verbetes.cetem.gov.br/impressao/ExibeGlossarioResumo.aspx?verid=11" TargetMode="External"/><Relationship Id="rId40" Type="http://schemas.openxmlformats.org/officeDocument/2006/relationships/hyperlink" Target="mailto:ffernandes@cetem.gov.br" TargetMode="External"/><Relationship Id="rId136" Type="http://schemas.openxmlformats.org/officeDocument/2006/relationships/hyperlink" Target="http://amapanocongresso.blogspot.com/2009/09/cooperativa-de-" TargetMode="External"/><Relationship Id="rId343" Type="http://schemas.openxmlformats.org/officeDocument/2006/relationships/hyperlink" Target="http://www.vale.com/vale/cgi/cgilua.exe/sys/start.htm?sid=63" TargetMode="External"/><Relationship Id="rId550" Type="http://schemas.openxmlformats.org/officeDocument/2006/relationships/hyperlink" Target="http://www.revistaminerios.com.br/Edicoes/209/Outubro_2012.aspx" TargetMode="External"/><Relationship Id="rId788" Type="http://schemas.openxmlformats.org/officeDocument/2006/relationships/hyperlink" Target="http://www.piaui.pi.gov.br/atual/materia_especial.php?id=13152" TargetMode="External"/><Relationship Id="rId995" Type="http://schemas.openxmlformats.org/officeDocument/2006/relationships/hyperlink" Target="http://www.mp.go.gov.br/portalweb/1/noticia/6e6cf728606da87ed051" TargetMode="External"/><Relationship Id="rId1180" Type="http://schemas.openxmlformats.org/officeDocument/2006/relationships/hyperlink" Target="http://www.minerios.com.br/index.php?page=materia.php&amp;amp;id=1961" TargetMode="External"/><Relationship Id="rId1401" Type="http://schemas.openxmlformats.org/officeDocument/2006/relationships/hyperlink" Target="http://www.cantagalo.rj.gov.br/web/" TargetMode="External"/><Relationship Id="rId1639" Type="http://schemas.openxmlformats.org/officeDocument/2006/relationships/hyperlink" Target="http://verbetes.cetem.gov.br/impressao/ExibeGlossarioResumo.aspx?verid=4" TargetMode="External"/><Relationship Id="rId203" Type="http://schemas.openxmlformats.org/officeDocument/2006/relationships/hyperlink" Target="http://www.alcoa.com/brazil/pt/environment/pdfs/folder.pdf" TargetMode="External"/><Relationship Id="rId648" Type="http://schemas.openxmlformats.org/officeDocument/2006/relationships/hyperlink" Target="http://www.magnesita.com.br/minerais/talco" TargetMode="External"/><Relationship Id="rId855" Type="http://schemas.openxmlformats.org/officeDocument/2006/relationships/hyperlink" Target="http://www.ibram.org.br/150/15001002.asp?ttCD_CHAVE=10468" TargetMode="External"/><Relationship Id="rId1040" Type="http://schemas.openxmlformats.org/officeDocument/2006/relationships/hyperlink" Target="http://www.mdic.gov.br/arquivos/dwnl_1198259234.pdf" TargetMode="External"/><Relationship Id="rId1278" Type="http://schemas.openxmlformats.org/officeDocument/2006/relationships/hyperlink" Target="http://www.camaratc.mg.gov.br/noticias/noticias0266.htm" TargetMode="External"/><Relationship Id="rId1485" Type="http://schemas.openxmlformats.org/officeDocument/2006/relationships/hyperlink" Target="http://www.fiec.org.br/sindicatos/simagran/artigos_palestras/Aproveit" TargetMode="External"/><Relationship Id="rId1692" Type="http://schemas.openxmlformats.org/officeDocument/2006/relationships/hyperlink" Target="http://www.ibge.gov.br/cidadesat/xtras/perfil.php?codmun=411575&amp;amp;r" TargetMode="External"/><Relationship Id="rId1706" Type="http://schemas.openxmlformats.org/officeDocument/2006/relationships/hyperlink" Target="http://verbetes.cetem.gov.br/impressao/ExibeGlossarioResumo.aspx?verid=14" TargetMode="External"/><Relationship Id="rId287" Type="http://schemas.openxmlformats.org/officeDocument/2006/relationships/hyperlink" Target="http://www.ibge.gov.br/cidadesat/xtras/perfil.php?codmun=150420&amp;amp;r" TargetMode="External"/><Relationship Id="rId410" Type="http://schemas.openxmlformats.org/officeDocument/2006/relationships/hyperlink" Target="http://www2.cetem.gov.br/aquarios/documentos/2009/x_conf_geo_P" TargetMode="External"/><Relationship Id="rId494" Type="http://schemas.openxmlformats.org/officeDocument/2006/relationships/hyperlink" Target="http://www.mme.gov.br/sgm/galerias/arquivos/plano_duo_decen" TargetMode="External"/><Relationship Id="rId508" Type="http://schemas.openxmlformats.org/officeDocument/2006/relationships/hyperlink" Target="http://www.correaneto.com.br/site/?p=16247" TargetMode="External"/><Relationship Id="rId715" Type="http://schemas.openxmlformats.org/officeDocument/2006/relationships/hyperlink" Target="http://www.cetem.gov.br/publicacao/CTs/CT2003-137-00.pdf" TargetMode="External"/><Relationship Id="rId922" Type="http://schemas.openxmlformats.org/officeDocument/2006/relationships/hyperlink" Target="http://www.cetem.gov.br/publicacao/livros/Vol_1_GRANDES_MINAS" TargetMode="External"/><Relationship Id="rId1138" Type="http://schemas.openxmlformats.org/officeDocument/2006/relationships/hyperlink" Target="http://www.ibge.gov.br/cidadesat/xtras/perfil.php?codmun=310540&amp;amp;r" TargetMode="External"/><Relationship Id="rId1345" Type="http://schemas.openxmlformats.org/officeDocument/2006/relationships/hyperlink" Target="http://noticias.pgr.mpf.gov.br/noticias/noticias-do-site/copy_of_meio-" TargetMode="External"/><Relationship Id="rId1552" Type="http://schemas.openxmlformats.org/officeDocument/2006/relationships/hyperlink" Target="http://en.scientificcommons.org/16435753" TargetMode="External"/><Relationship Id="rId147" Type="http://schemas.openxmlformats.org/officeDocument/2006/relationships/hyperlink" Target="http://verbetes.cetem.gov.br/impressao/ExibeGlossarioResumo.aspx?verid=7" TargetMode="External"/><Relationship Id="rId354" Type="http://schemas.openxmlformats.org/officeDocument/2006/relationships/hyperlink" Target="http://www.scielo.br/scielo.php?script=sci_arttext&amp;amp;pid=S0034-" TargetMode="External"/><Relationship Id="rId799" Type="http://schemas.openxmlformats.org/officeDocument/2006/relationships/hyperlink" Target="http://www.bioten.bio.br/images/pdf/3RelatorioSitio10PELDAbr2005" TargetMode="External"/><Relationship Id="rId1191" Type="http://schemas.openxmlformats.org/officeDocument/2006/relationships/hyperlink" Target="http://br.reuters.com/article/businessNews/idBRSPE7BR08O201112" TargetMode="External"/><Relationship Id="rId1205" Type="http://schemas.openxmlformats.org/officeDocument/2006/relationships/hyperlink" Target="http://sbgeo.org.br/pub_sbg/cbg/2004-" TargetMode="External"/><Relationship Id="rId51" Type="http://schemas.openxmlformats.org/officeDocument/2006/relationships/hyperlink" Target="http://mapeandonarede.blogspot.com.br/2010/10/arco-de-desflorestamento-da-amazonia.html" TargetMode="External"/><Relationship Id="rId561" Type="http://schemas.openxmlformats.org/officeDocument/2006/relationships/hyperlink" Target="http://www.riosvivos.org.br/canal.php?canal=167&amp;amp;mat_id=4038" TargetMode="External"/><Relationship Id="rId659" Type="http://schemas.openxmlformats.org/officeDocument/2006/relationships/hyperlink" Target="http://www.brasilmineral.com.br/BM/default.asp?numero=223" TargetMode="External"/><Relationship Id="rId866" Type="http://schemas.openxmlformats.org/officeDocument/2006/relationships/hyperlink" Target="http://www.sidra.ibge.gov.br/" TargetMode="External"/><Relationship Id="rId1289" Type="http://schemas.openxmlformats.org/officeDocument/2006/relationships/hyperlink" Target="http://verbetes.cetem.gov.br/impressao/ExibeGlossarioResumo.aspx?verid=14" TargetMode="External"/><Relationship Id="rId1412" Type="http://schemas.openxmlformats.org/officeDocument/2006/relationships/hyperlink" Target="http://www.mmx.com.br/pt/nossos-negocios/Paginas/Superporto-" TargetMode="External"/><Relationship Id="rId1496" Type="http://schemas.openxmlformats.org/officeDocument/2006/relationships/hyperlink" Target="http://www.anuario.igeo.ufrj.br/anuario_2002/vol25_151_171.pdf" TargetMode="External"/><Relationship Id="rId1717" Type="http://schemas.openxmlformats.org/officeDocument/2006/relationships/hyperlink" Target="http://www.unisinos.br/graduacao/bacharelado/geologia/minas_cam" TargetMode="External"/><Relationship Id="rId214" Type="http://schemas.openxmlformats.org/officeDocument/2006/relationships/hyperlink" Target="http://www.estadao.com.br/estadaodehoje/20090712/not_imp401392" TargetMode="External"/><Relationship Id="rId298" Type="http://schemas.openxmlformats.org/officeDocument/2006/relationships/hyperlink" Target="http://www.vale.com.br/vale/cgi/cgilua.exe/sys/start.htm?sid=44" TargetMode="External"/><Relationship Id="rId421" Type="http://schemas.openxmlformats.org/officeDocument/2006/relationships/hyperlink" Target="http://www.ibram.org.br/150/15001002.asp?ttCD_CHAVE=127844" TargetMode="External"/><Relationship Id="rId519" Type="http://schemas.openxmlformats.org/officeDocument/2006/relationships/hyperlink" Target="http://diplo.wordpress.com/2009/03/24/487/" TargetMode="External"/><Relationship Id="rId1051" Type="http://schemas.openxmlformats.org/officeDocument/2006/relationships/hyperlink" Target="http://www.redeaplmineral.org.br/noticias/inauguracao-da-unidade-" TargetMode="External"/><Relationship Id="rId1149" Type="http://schemas.openxmlformats.org/officeDocument/2006/relationships/hyperlink" Target="http://www.cprm.gov.br/estrada_real/historia_mineracao.html" TargetMode="External"/><Relationship Id="rId1356" Type="http://schemas.openxmlformats.org/officeDocument/2006/relationships/hyperlink" Target="http://verbetes.cetem.gov.br/impressao/ExibeGlossarioResumo.aspx?verid=9" TargetMode="External"/><Relationship Id="rId158" Type="http://schemas.openxmlformats.org/officeDocument/2006/relationships/hyperlink" Target="http://observatoriogeograficoamericalatina.org.mx/egal10/Teoriaymet" TargetMode="External"/><Relationship Id="rId726" Type="http://schemas.openxmlformats.org/officeDocument/2006/relationships/hyperlink" Target="http://funaiceara.blogspot.com/2011/03/indigenas-do-ceara-em-" TargetMode="External"/><Relationship Id="rId933" Type="http://schemas.openxmlformats.org/officeDocument/2006/relationships/hyperlink" Target="http://www.cprm.gov.br/publique/media/Painel08.pdf" TargetMode="External"/><Relationship Id="rId1009" Type="http://schemas.openxmlformats.org/officeDocument/2006/relationships/image" Target="media/image33.png"/><Relationship Id="rId1563" Type="http://schemas.openxmlformats.org/officeDocument/2006/relationships/hyperlink" Target="http://g1.globo.com/sao-paulo/itapetininga-" TargetMode="External"/><Relationship Id="rId62" Type="http://schemas.openxmlformats.org/officeDocument/2006/relationships/hyperlink" Target="http://verbetes.cetem.gov.br/impressao/ExibeGlossarioResumo.aspx?verid=11" TargetMode="External"/><Relationship Id="rId365" Type="http://schemas.openxmlformats.org/officeDocument/2006/relationships/hyperlink" Target="http://www.bonsucex.com.br/noticia_29_07_09.pdf" TargetMode="External"/><Relationship Id="rId572" Type="http://schemas.openxmlformats.org/officeDocument/2006/relationships/hyperlink" Target="http://verbetes.cetem.gov.br/impressao/ExibeGlossarioResumo.aspx?verid=5" TargetMode="External"/><Relationship Id="rId1216" Type="http://schemas.openxmlformats.org/officeDocument/2006/relationships/hyperlink" Target="http://memoria75b.blogspot.com/2011/04/norte-de-" TargetMode="External"/><Relationship Id="rId1423" Type="http://schemas.openxmlformats.org/officeDocument/2006/relationships/hyperlink" Target="http://veja.abril.com.br/noticia/economia/mmx-de-eike-batista-" TargetMode="External"/><Relationship Id="rId1630" Type="http://schemas.openxmlformats.org/officeDocument/2006/relationships/image" Target="media/image45.png"/><Relationship Id="rId225" Type="http://schemas.openxmlformats.org/officeDocument/2006/relationships/hyperlink" Target="http://www.brasilmineral.com.br/BM/default.asp?COD=2570&amp;amp;busca" TargetMode="External"/><Relationship Id="rId432" Type="http://schemas.openxmlformats.org/officeDocument/2006/relationships/hyperlink" Target="http://www.ibram.org.br/150/15001002.asp?ttCD_CHAVE=100310" TargetMode="External"/><Relationship Id="rId877" Type="http://schemas.openxmlformats.org/officeDocument/2006/relationships/hyperlink" Target="http://cutter.unicamp.br/document/?code=vtls000219904" TargetMode="External"/><Relationship Id="rId1062" Type="http://schemas.openxmlformats.org/officeDocument/2006/relationships/hyperlink" Target="http://www.dnpm.gov.br/conteudo.asp?IDSecao=99&amp;amp;IDPagina=72&amp;amp;I" TargetMode="External"/><Relationship Id="rId1728" Type="http://schemas.openxmlformats.org/officeDocument/2006/relationships/hyperlink" Target="http://www.ufpel.edu.br/cic/2006/arquivos/CH_00478.rtf" TargetMode="External"/><Relationship Id="rId737" Type="http://schemas.openxmlformats.org/officeDocument/2006/relationships/hyperlink" Target="http://opovo.uol.com.br/opovo/economia/969639.html" TargetMode="External"/><Relationship Id="rId944" Type="http://schemas.openxmlformats.org/officeDocument/2006/relationships/hyperlink" Target="http://www.cetem.gov.br/publicacao/CTs/CT2003-070-00.pdf" TargetMode="External"/><Relationship Id="rId1367" Type="http://schemas.openxmlformats.org/officeDocument/2006/relationships/hyperlink" Target="http://www.jogodopoder.com/blog/economia/votorantim-metais-" TargetMode="External"/><Relationship Id="rId1574" Type="http://schemas.openxmlformats.org/officeDocument/2006/relationships/hyperlink" Target="http://verbetes.cetem.gov.br/impressao/ExibeGlossarioResumo.aspx?verid=10" TargetMode="External"/><Relationship Id="rId73" Type="http://schemas.openxmlformats.org/officeDocument/2006/relationships/hyperlink" Target="http://www.estadao.com.br/noticias/nacional%2Cexpedicao-da-funai-" TargetMode="External"/><Relationship Id="rId169" Type="http://schemas.openxmlformats.org/officeDocument/2006/relationships/hyperlink" Target="http://flip.siteseguro.ws/pub/correiodoestado/index.jsp?ipg=105601" TargetMode="External"/><Relationship Id="rId376" Type="http://schemas.openxmlformats.org/officeDocument/2006/relationships/hyperlink" Target="http://noticiasmineracao.mining.com/2010/11/22/vendas-de-" TargetMode="External"/><Relationship Id="rId583" Type="http://schemas.openxmlformats.org/officeDocument/2006/relationships/hyperlink" Target="http://www.abesdn.org.br/publicacoes/engenharia/resaonline/v9n2/" TargetMode="External"/><Relationship Id="rId790" Type="http://schemas.openxmlformats.org/officeDocument/2006/relationships/hyperlink" Target="http://www.ibgm.com.br/UserFiles/File/ibgmMDIC2005all.pdf" TargetMode="External"/><Relationship Id="rId804" Type="http://schemas.openxmlformats.org/officeDocument/2006/relationships/hyperlink" Target="http://biblioteca.ibge.gov.br/visualizacao/dtbs/piaui/juazeirodopiaui.p" TargetMode="External"/><Relationship Id="rId1227" Type="http://schemas.openxmlformats.org/officeDocument/2006/relationships/hyperlink" Target="http://www.mmsolucoes.net/noticias/brasil-" TargetMode="External"/><Relationship Id="rId1434" Type="http://schemas.openxmlformats.org/officeDocument/2006/relationships/hyperlink" Target="http://g1.globo.com/economia/noticia/2013/08/eike-batista-renuncia-" TargetMode="External"/><Relationship Id="rId1641" Type="http://schemas.openxmlformats.org/officeDocument/2006/relationships/hyperlink" Target="http://verbetes.cetem.gov.br/impressao/ExibeGlossarioResumo.aspx?verid=16" TargetMode="External"/><Relationship Id="rId4" Type="http://schemas.openxmlformats.org/officeDocument/2006/relationships/webSettings" Target="webSettings.xml"/><Relationship Id="rId236" Type="http://schemas.openxmlformats.org/officeDocument/2006/relationships/hyperlink" Target="http://www.anppas.org.br/encontro5/cd/artigos/GT9-154-861-" TargetMode="External"/><Relationship Id="rId443" Type="http://schemas.openxmlformats.org/officeDocument/2006/relationships/hyperlink" Target="http://www.acailandia.ma.gov.br/2010/index.php?op=noticia&amp;amp;id=134" TargetMode="External"/><Relationship Id="rId650" Type="http://schemas.openxmlformats.org/officeDocument/2006/relationships/hyperlink" Target="http://www.magnesita.com.br/minerais/oxido-de-magnesio" TargetMode="External"/><Relationship Id="rId888" Type="http://schemas.openxmlformats.org/officeDocument/2006/relationships/hyperlink" Target="http://www.sebraego.com.br/site/site.do?idArtigo=4440" TargetMode="External"/><Relationship Id="rId1073" Type="http://schemas.openxmlformats.org/officeDocument/2006/relationships/hyperlink" Target="http://www.conflitoambiental.icict.fiocruz.br/index.php?pag=ficha&amp;amp;co" TargetMode="External"/><Relationship Id="rId1280" Type="http://schemas.openxmlformats.org/officeDocument/2006/relationships/hyperlink" Target="http://jasper.rc.unesp.br/revistageociencias/22_2/3.pdf" TargetMode="External"/><Relationship Id="rId1501" Type="http://schemas.openxmlformats.org/officeDocument/2006/relationships/hyperlink" Target="http://www.bemparana.com.br/noticia/116632/csn-pode-ser-multada-" TargetMode="External"/><Relationship Id="rId1739" Type="http://schemas.openxmlformats.org/officeDocument/2006/relationships/hyperlink" Target="http://www.redeaplmineral.org.br/entrevistas/entrevista-com-o-" TargetMode="External"/><Relationship Id="rId303" Type="http://schemas.openxmlformats.org/officeDocument/2006/relationships/hyperlink" Target="http://verbetes.cetem.gov.br/impressao/ExibeGlossarioResumo.aspx?verid=9" TargetMode="External"/><Relationship Id="rId748" Type="http://schemas.openxmlformats.org/officeDocument/2006/relationships/hyperlink" Target="http://www.ibge.gov.br/cidadesat/xtras/perfil.php?codmun=231220&amp;amp;r" TargetMode="External"/><Relationship Id="rId955" Type="http://schemas.openxmlformats.org/officeDocument/2006/relationships/hyperlink" Target="http://www.senaigo.com.br/site/conteudo.php?id=171" TargetMode="External"/><Relationship Id="rId1140" Type="http://schemas.openxmlformats.org/officeDocument/2006/relationships/hyperlink" Target="http://marte.dpi.inpe.br/col/dpi.inpe.br/sbsr%4080/2008/11.18.00.57.42/" TargetMode="External"/><Relationship Id="rId1378" Type="http://schemas.openxmlformats.org/officeDocument/2006/relationships/hyperlink" Target="http://www.brasilmineral.com.br/BM/default.asp?numero=341" TargetMode="External"/><Relationship Id="rId1585" Type="http://schemas.openxmlformats.org/officeDocument/2006/relationships/hyperlink" Target="http://www.redeaplmineral.org.br/mapa/sudeste" TargetMode="External"/><Relationship Id="rId84" Type="http://schemas.openxmlformats.org/officeDocument/2006/relationships/hyperlink" Target="http://verbetes.cetem.gov.br/impressao/ExibeGlossarioResumo.aspx?verid=11" TargetMode="External"/><Relationship Id="rId387" Type="http://schemas.openxmlformats.org/officeDocument/2006/relationships/hyperlink" Target="http://oglobo.globo.com/economia/mp-do-para-pede-suspensao-das-" TargetMode="External"/><Relationship Id="rId510" Type="http://schemas.openxmlformats.org/officeDocument/2006/relationships/hyperlink" Target="http://direitoamazonico.blogspot.com/2009/10/indigena-" TargetMode="External"/><Relationship Id="rId594" Type="http://schemas.openxmlformats.org/officeDocument/2006/relationships/hyperlink" Target="http://www.signuseditora.com.br/bm/default.asp?COD=2882&amp;amp;busca" TargetMode="External"/><Relationship Id="rId608" Type="http://schemas.openxmlformats.org/officeDocument/2006/relationships/hyperlink" Target="http://verbetes.cetem.gov.br/impressao/ExibeGlossarioResumo.aspx?verid=14" TargetMode="External"/><Relationship Id="rId815" Type="http://schemas.openxmlformats.org/officeDocument/2006/relationships/hyperlink" Target="http://verbetes.cetem.gov.br/impressao/ExibeGlossarioResumo.aspx?verid=16" TargetMode="External"/><Relationship Id="rId1238" Type="http://schemas.openxmlformats.org/officeDocument/2006/relationships/hyperlink" Target="http://www.redeaplmineral.org.br/biblioteca/eventos/vi-seminario-" TargetMode="External"/><Relationship Id="rId1445" Type="http://schemas.openxmlformats.org/officeDocument/2006/relationships/hyperlink" Target="http://exame.abril.com.br/negocios/noticias/cortes-e-empresas-a-" TargetMode="External"/><Relationship Id="rId1652" Type="http://schemas.openxmlformats.org/officeDocument/2006/relationships/hyperlink" Target="http://verbetes.cetem.gov.br/impressao/ExibeGlossarioResumo.aspx?verid=16" TargetMode="External"/><Relationship Id="rId247" Type="http://schemas.openxmlformats.org/officeDocument/2006/relationships/hyperlink" Target="http://www.oriximina.pa.gov.br/portal1/municipio/localizacao.asp?iId" TargetMode="External"/><Relationship Id="rId899" Type="http://schemas.openxmlformats.org/officeDocument/2006/relationships/hyperlink" Target="http://www.jornaldiariodonorte.com.br/site/imp_edicao.php?cod=789" TargetMode="External"/><Relationship Id="rId1000" Type="http://schemas.openxmlformats.org/officeDocument/2006/relationships/hyperlink" Target="http://www.ibge.gov.br/cidadesat/topwindow.htm?1" TargetMode="External"/><Relationship Id="rId1084" Type="http://schemas.openxmlformats.org/officeDocument/2006/relationships/hyperlink" Target="http://www.hojeemdia.com.br/cmlink/hoje-em-dia/minas/po-de-" TargetMode="External"/><Relationship Id="rId1305" Type="http://schemas.openxmlformats.org/officeDocument/2006/relationships/hyperlink" Target="http://verbetes.cetem.gov.br/impressao/ExibeGlossarioResumo.aspx?verid=10" TargetMode="External"/><Relationship Id="rId107" Type="http://schemas.openxmlformats.org/officeDocument/2006/relationships/hyperlink" Target="http://www.ibge.gov.br/cidadesat/painel/painel.php?codmun=160040" TargetMode="External"/><Relationship Id="rId454" Type="http://schemas.openxmlformats.org/officeDocument/2006/relationships/hyperlink" Target="http://www.os.org.br/arquivos_biblioteca/conteudo/1634revista6_2.p" TargetMode="External"/><Relationship Id="rId661" Type="http://schemas.openxmlformats.org/officeDocument/2006/relationships/hyperlink" Target="http://www.ibge.gov.br/cidadesat/xtras/perfil.php?codmun=293070&amp;amp;r" TargetMode="External"/><Relationship Id="rId759" Type="http://schemas.openxmlformats.org/officeDocument/2006/relationships/hyperlink" Target="http://pt.scribd.com/doc/42219669/VIISRONE-Nuria" TargetMode="External"/><Relationship Id="rId966" Type="http://schemas.openxmlformats.org/officeDocument/2006/relationships/hyperlink" Target="http://www.visaomais.com.br/noticias.php?id=182" TargetMode="External"/><Relationship Id="rId1291" Type="http://schemas.openxmlformats.org/officeDocument/2006/relationships/hyperlink" Target="http://www.inb.gov.br/pt-br/WebForms/default.aspx" TargetMode="External"/><Relationship Id="rId1389" Type="http://schemas.openxmlformats.org/officeDocument/2006/relationships/hyperlink" Target="http://verbetes.cetem.gov.br/impressao/ExibeGlossarioResumo.aspx?verid=9" TargetMode="External"/><Relationship Id="rId1512" Type="http://schemas.openxmlformats.org/officeDocument/2006/relationships/hyperlink" Target="http://ultimosegundo.ig.com.br/brasil/rj/csn%2Bmanteve%2Bquatro%2Blixoes%2Bt" TargetMode="External"/><Relationship Id="rId1596" Type="http://schemas.openxmlformats.org/officeDocument/2006/relationships/hyperlink" Target="http://www.ibge.gov.br/cidadesat/painel/painel.php?codmun=355030" TargetMode="External"/><Relationship Id="rId11" Type="http://schemas.openxmlformats.org/officeDocument/2006/relationships/hyperlink" Target="http://www.cetem.gov.br/" TargetMode="External"/><Relationship Id="rId314" Type="http://schemas.openxmlformats.org/officeDocument/2006/relationships/hyperlink" Target="http://www.ibama.gov.br/protocolo/proc_detalhe.php" TargetMode="External"/><Relationship Id="rId398" Type="http://schemas.openxmlformats.org/officeDocument/2006/relationships/hyperlink" Target="http://www.ibge.gov.br/cidadesat/xtras/perfil.php?codmun=150360&amp;amp;r" TargetMode="External"/><Relationship Id="rId521" Type="http://schemas.openxmlformats.org/officeDocument/2006/relationships/hyperlink" Target="http://verbetes.cetem.gov.br/impressao/ExibeGlossarioResumo.aspx?verid=11" TargetMode="External"/><Relationship Id="rId619" Type="http://schemas.openxmlformats.org/officeDocument/2006/relationships/hyperlink" Target="http://www.jaguarari.ba.gov.br/site/internas.php?pagina=Municipio&amp;amp;i" TargetMode="External"/><Relationship Id="rId1151" Type="http://schemas.openxmlformats.org/officeDocument/2006/relationships/hyperlink" Target="http://exame.abril.com.br/meio-" TargetMode="External"/><Relationship Id="rId1249" Type="http://schemas.openxmlformats.org/officeDocument/2006/relationships/hyperlink" Target="http://docs.google.com/viewer?a=v&amp;amp;q=cache%3A5rqMIa1rc0EJ%3A200.198" TargetMode="External"/><Relationship Id="rId95" Type="http://schemas.openxmlformats.org/officeDocument/2006/relationships/hyperlink" Target="http://www.riosvivos.org.br/arquivos/site_noticias_251411262.pdf" TargetMode="External"/><Relationship Id="rId160" Type="http://schemas.openxmlformats.org/officeDocument/2006/relationships/hyperlink" Target="http://www4.ap.gov.br/Portal_Gea/municipios/municipio-" TargetMode="External"/><Relationship Id="rId826" Type="http://schemas.openxmlformats.org/officeDocument/2006/relationships/hyperlink" Target="http://verbetes.cetem.gov.br/impressao/ExibeGlossarioResumo.aspx?verid=15" TargetMode="External"/><Relationship Id="rId1011" Type="http://schemas.openxmlformats.org/officeDocument/2006/relationships/image" Target="media/image35.png"/><Relationship Id="rId1109" Type="http://schemas.openxmlformats.org/officeDocument/2006/relationships/hyperlink" Target="http://www.google.com/url?sa=t&amp;amp;source=web&amp;amp;cd=1&amp;amp;ved=0CBQQFj" TargetMode="External"/><Relationship Id="rId1456" Type="http://schemas.openxmlformats.org/officeDocument/2006/relationships/hyperlink" Target="http://www.epsjv.fiocruz.br/upload/d/Relatorio_TKCSA.pdf" TargetMode="External"/><Relationship Id="rId1663" Type="http://schemas.openxmlformats.org/officeDocument/2006/relationships/hyperlink" Target="http://www.gazetadopovo.com.br/vidaecidadania/conteudo.phtml?id" TargetMode="External"/><Relationship Id="rId258" Type="http://schemas.openxmlformats.org/officeDocument/2006/relationships/hyperlink" Target="http://www.ibge.gov.br/cidadesat/link.php?codmun=150470" TargetMode="External"/><Relationship Id="rId465" Type="http://schemas.openxmlformats.org/officeDocument/2006/relationships/hyperlink" Target="http://www.ibge.gov.br/cidadesat/xtras/perfil.php?codmun=110001&amp;amp;r" TargetMode="External"/><Relationship Id="rId672" Type="http://schemas.openxmlformats.org/officeDocument/2006/relationships/hyperlink" Target="http://www.mme.gov.br/sgm/...mineracao.../P19_RT28_Perfil_do_Ouro.pdf" TargetMode="External"/><Relationship Id="rId1095" Type="http://schemas.openxmlformats.org/officeDocument/2006/relationships/hyperlink" Target="http://www.congonhas.mg.gov.br/?pg=noticia_ver&amp;amp;noticia_cod=1483" TargetMode="External"/><Relationship Id="rId1316" Type="http://schemas.openxmlformats.org/officeDocument/2006/relationships/hyperlink" Target="http://sbgeo.org.br/pub_sbg/cbg/2004-" TargetMode="External"/><Relationship Id="rId1523" Type="http://schemas.openxmlformats.org/officeDocument/2006/relationships/hyperlink" Target="http://www.anbio.org.br/bio/biodiver_not32.htm" TargetMode="External"/><Relationship Id="rId1730" Type="http://schemas.openxmlformats.org/officeDocument/2006/relationships/hyperlink" Target="http://www.lume.ufrgs.br/handle/10183/3154" TargetMode="External"/><Relationship Id="rId22" Type="http://schemas.openxmlformats.org/officeDocument/2006/relationships/image" Target="media/image8.png"/><Relationship Id="rId118" Type="http://schemas.openxmlformats.org/officeDocument/2006/relationships/hyperlink" Target="http://www1.folha.uol.com.br/folha/treinamento/novoemfolha45/ult10" TargetMode="External"/><Relationship Id="rId325" Type="http://schemas.openxmlformats.org/officeDocument/2006/relationships/hyperlink" Target="http://www.reporterbrasil.com.br/exibe.php?id=831" TargetMode="External"/><Relationship Id="rId532" Type="http://schemas.openxmlformats.org/officeDocument/2006/relationships/hyperlink" Target="http://www.folhabv.com.br/Imprimir_noticia.php?id=97173" TargetMode="External"/><Relationship Id="rId977" Type="http://schemas.openxmlformats.org/officeDocument/2006/relationships/hyperlink" Target="http://www.pmpocone.com.br/index.php?exibir=secoes&amp;amp;ID=40" TargetMode="External"/><Relationship Id="rId1162" Type="http://schemas.openxmlformats.org/officeDocument/2006/relationships/hyperlink" Target="http://www.onggasb.com.br/2010/02/audiencias-publicas-em-" TargetMode="External"/><Relationship Id="rId171" Type="http://schemas.openxmlformats.org/officeDocument/2006/relationships/hyperlink" Target="http://www.uesc.br/cursos/pos_graduacao/mestrado/mdrma/teses/di" TargetMode="External"/><Relationship Id="rId837" Type="http://schemas.openxmlformats.org/officeDocument/2006/relationships/hyperlink" Target="http://200.198.213.88/newsletter/index.php/email/noticia/609/19136" TargetMode="External"/><Relationship Id="rId1022" Type="http://schemas.openxmlformats.org/officeDocument/2006/relationships/hyperlink" Target="http://www.exportaminas.mg.gov.br/madeinminas/mineracao.aspx" TargetMode="External"/><Relationship Id="rId1467" Type="http://schemas.openxmlformats.org/officeDocument/2006/relationships/hyperlink" Target="http://www.dominiopublico.gov.br/download/texto/ea000392.pdf" TargetMode="External"/><Relationship Id="rId1674" Type="http://schemas.openxmlformats.org/officeDocument/2006/relationships/hyperlink" Target="http://www.usinamaua.com.br/a-usina" TargetMode="External"/><Relationship Id="rId269" Type="http://schemas.openxmlformats.org/officeDocument/2006/relationships/hyperlink" Target="http://www.xiconlab.eventos.dype.com.br/resources/anais/3/1308" TargetMode="External"/><Relationship Id="rId476" Type="http://schemas.openxmlformats.org/officeDocument/2006/relationships/hyperlink" Target="http://www.orondoniense.com.br/textos.asp?cd=35085" TargetMode="External"/><Relationship Id="rId683" Type="http://schemas.openxmlformats.org/officeDocument/2006/relationships/hyperlink" Target="http://ojs.c3sl.ufpr.br/ojs2/index.php/rbg/article/download/11450/7969" TargetMode="External"/><Relationship Id="rId890" Type="http://schemas.openxmlformats.org/officeDocument/2006/relationships/hyperlink" Target="http://www.ibge.gov.br/cidadesat/link.php?codmun=521970" TargetMode="External"/><Relationship Id="rId904" Type="http://schemas.openxmlformats.org/officeDocument/2006/relationships/hyperlink" Target="http://www.seplan.go.gov.br/sepin/down/Conjuntura5.pdf" TargetMode="External"/><Relationship Id="rId1327" Type="http://schemas.openxmlformats.org/officeDocument/2006/relationships/hyperlink" Target="http://verbetes.cetem.gov.br/impressao/ExibeGlossarioResumo.aspx?verid=16" TargetMode="External"/><Relationship Id="rId1534" Type="http://schemas.openxmlformats.org/officeDocument/2006/relationships/hyperlink" Target="http://pintassilgo2.ipen.br/biblioteca/cd/inac/2005/full/1900.pdf" TargetMode="External"/><Relationship Id="rId1741" Type="http://schemas.openxmlformats.org/officeDocument/2006/relationships/hyperlink" Target="http://www.ufsm.br/ppgec/diss/diss_nadia_bernardi.pdf" TargetMode="External"/><Relationship Id="rId33" Type="http://schemas.openxmlformats.org/officeDocument/2006/relationships/hyperlink" Target="http://www.mma.gov.br/port/conama/reuniao/dir934/RelatConsultoriaApresentaoMME_Passivo" TargetMode="External"/><Relationship Id="rId129" Type="http://schemas.openxmlformats.org/officeDocument/2006/relationships/hyperlink" Target="http://www.reporterbrasil.com.br/exibe.php?id=19" TargetMode="External"/><Relationship Id="rId336" Type="http://schemas.openxmlformats.org/officeDocument/2006/relationships/hyperlink" Target="http://www.ifma.edu.br/SiteCefet/publicacoes/artigos/revista13.7.2/C" TargetMode="External"/><Relationship Id="rId543" Type="http://schemas.openxmlformats.org/officeDocument/2006/relationships/image" Target="media/image22.png"/><Relationship Id="rId988" Type="http://schemas.openxmlformats.org/officeDocument/2006/relationships/hyperlink" Target="http://www.metamat.mt.gov.br/index.php?option=com_content&amp;amp;view" TargetMode="External"/><Relationship Id="rId1173" Type="http://schemas.openxmlformats.org/officeDocument/2006/relationships/hyperlink" Target="http://www.brasilmineral.com.br/BM/default.asp?COD=5236&amp;amp;busca" TargetMode="External"/><Relationship Id="rId1380" Type="http://schemas.openxmlformats.org/officeDocument/2006/relationships/hyperlink" Target="http://selo.cptec.inpe.br/IBGE/cidade/316935" TargetMode="External"/><Relationship Id="rId1601" Type="http://schemas.openxmlformats.org/officeDocument/2006/relationships/hyperlink" Target="http://www.quimicosp.org.br/noticias/974/historia-de-doencas-" TargetMode="External"/><Relationship Id="rId182" Type="http://schemas.openxmlformats.org/officeDocument/2006/relationships/hyperlink" Target="http://www.brasilmineral.com.br/BM/default.asp?COD=5036&amp;amp;busca" TargetMode="External"/><Relationship Id="rId403" Type="http://schemas.openxmlformats.org/officeDocument/2006/relationships/hyperlink" Target="http://verbetes.cetem.gov.br/impressao/ExibeGlossarioResumo.aspx?verid=2" TargetMode="External"/><Relationship Id="rId750" Type="http://schemas.openxmlformats.org/officeDocument/2006/relationships/hyperlink" Target="http://www.revistafator.com.br/ver_noticia.php?not=50157" TargetMode="External"/><Relationship Id="rId848" Type="http://schemas.openxmlformats.org/officeDocument/2006/relationships/hyperlink" Target="http://www.cetem.gov.br/publicacao/CTs/CT2002-158-00.pdf" TargetMode="External"/><Relationship Id="rId1033" Type="http://schemas.openxmlformats.org/officeDocument/2006/relationships/hyperlink" Target="http://www.ibge.gov.br/cidadesat/topwindow.ht%E2%80%A6" TargetMode="External"/><Relationship Id="rId1478" Type="http://schemas.openxmlformats.org/officeDocument/2006/relationships/hyperlink" Target="http://jbonline.terra.com.br/extra/2008/06/20/e20067415.html" TargetMode="External"/><Relationship Id="rId1685" Type="http://schemas.openxmlformats.org/officeDocument/2006/relationships/hyperlink" Target="http://www.bbc.co.uk/portuguese/noticias/2009/10/091019_chinaeva" TargetMode="External"/><Relationship Id="rId487" Type="http://schemas.openxmlformats.org/officeDocument/2006/relationships/hyperlink" Target="http://www.jusbrasil.com.br/diarios/23465088/djro-29-11-2010-pg-" TargetMode="External"/><Relationship Id="rId610" Type="http://schemas.openxmlformats.org/officeDocument/2006/relationships/hyperlink" Target="http://www.carlosbritto.com/presidente-da-mineracao-caraiba-" TargetMode="External"/><Relationship Id="rId694" Type="http://schemas.openxmlformats.org/officeDocument/2006/relationships/hyperlink" Target="http://verbetes.cetem.gov.br/impressao/ExibeGlossarioResumo.aspx?verid=13" TargetMode="External"/><Relationship Id="rId708" Type="http://schemas.openxmlformats.org/officeDocument/2006/relationships/hyperlink" Target="http://www.juazeiro.ba.gov.br/?pag=noticias&amp;amp;id=3957" TargetMode="External"/><Relationship Id="rId915" Type="http://schemas.openxmlformats.org/officeDocument/2006/relationships/hyperlink" Target="http://verbetes.cetem.gov.br/impressao/ExibeGlossarioResumo.aspx?verid=6" TargetMode="External"/><Relationship Id="rId1240" Type="http://schemas.openxmlformats.org/officeDocument/2006/relationships/hyperlink" Target="http://www.joiabr.com.br/noticias/n171109a.html" TargetMode="External"/><Relationship Id="rId1338" Type="http://schemas.openxmlformats.org/officeDocument/2006/relationships/hyperlink" Target="http://www1.folha.uol.com.br/fsp/cotidian/ff0102200917.htm" TargetMode="External"/><Relationship Id="rId1545" Type="http://schemas.openxmlformats.org/officeDocument/2006/relationships/hyperlink" Target="http://informativorio.blogspot.com/2009/06/comeca-" TargetMode="External"/><Relationship Id="rId347" Type="http://schemas.openxmlformats.org/officeDocument/2006/relationships/hyperlink" Target="http://www.planalto.gov.br/casacivil/arquivosPDF/BR163.pdf" TargetMode="External"/><Relationship Id="rId999" Type="http://schemas.openxmlformats.org/officeDocument/2006/relationships/hyperlink" Target="http://www.ibge.gov.br/cidadesat/topwindow.htm?1" TargetMode="External"/><Relationship Id="rId1100" Type="http://schemas.openxmlformats.org/officeDocument/2006/relationships/hyperlink" Target="http://www.angloamerican.com.br/aa_br/media/releases/2009pr/200" TargetMode="External"/><Relationship Id="rId1184" Type="http://schemas.openxmlformats.org/officeDocument/2006/relationships/hyperlink" Target="http://www.mmx.com.br/pt/nossos-negocios/Paginas/sistema-" TargetMode="External"/><Relationship Id="rId1405" Type="http://schemas.openxmlformats.org/officeDocument/2006/relationships/hyperlink" Target="http://www.brasilmineral.com.br/BM/default.asp?COD=5867&amp;amp;busca" TargetMode="External"/><Relationship Id="rId1752" Type="http://schemas.openxmlformats.org/officeDocument/2006/relationships/hyperlink" Target="http://www.brasilmineral.com.br/BM/default.asp?COD=3490&amp;amp;busca" TargetMode="External"/><Relationship Id="rId44" Type="http://schemas.openxmlformats.org/officeDocument/2006/relationships/image" Target="media/image13.png"/><Relationship Id="rId554" Type="http://schemas.openxmlformats.org/officeDocument/2006/relationships/hyperlink" Target="http://www.scielosp.org/scielo.php?pid=S1413-" TargetMode="External"/><Relationship Id="rId761" Type="http://schemas.openxmlformats.org/officeDocument/2006/relationships/hyperlink" Target="http://www.ibge.gov.br/cidadesat/xtras/perfil.php?codmun=230920&amp;amp;r" TargetMode="External"/><Relationship Id="rId859" Type="http://schemas.openxmlformats.org/officeDocument/2006/relationships/image" Target="media/image27.png"/><Relationship Id="rId1391" Type="http://schemas.openxmlformats.org/officeDocument/2006/relationships/hyperlink" Target="http://verbetes.cetem.gov.br/impressao/ExibeGlossarioResumo.aspx?verid=7" TargetMode="External"/><Relationship Id="rId1489" Type="http://schemas.openxmlformats.org/officeDocument/2006/relationships/hyperlink" Target="http://www.cetem.gov.br/publicacao/CTs/CT2003-105-00.pdf" TargetMode="External"/><Relationship Id="rId1612" Type="http://schemas.openxmlformats.org/officeDocument/2006/relationships/hyperlink" Target="http://www.cetem.gov.br/publicacao/CTs/CT2005-108-00.pdf" TargetMode="External"/><Relationship Id="rId1696" Type="http://schemas.openxmlformats.org/officeDocument/2006/relationships/hyperlink" Target="http://verbetes.cetem.gov.br/impressao/ExibeGlossarioResumo.aspx?verid=12" TargetMode="External"/><Relationship Id="rId193" Type="http://schemas.openxmlformats.org/officeDocument/2006/relationships/hyperlink" Target="http://www.ibram.org.br/150/15001002.asp?ttCD_CHAVE=26873" TargetMode="External"/><Relationship Id="rId207" Type="http://schemas.openxmlformats.org/officeDocument/2006/relationships/hyperlink" Target="http://www.periodicoseletronicos.ufma.br/index.php/rppublica/article/" TargetMode="External"/><Relationship Id="rId414" Type="http://schemas.openxmlformats.org/officeDocument/2006/relationships/hyperlink" Target="http://www.correiobraziliense.com.br/app/noticia/brasil/2010/05/07/int" TargetMode="External"/><Relationship Id="rId498" Type="http://schemas.openxmlformats.org/officeDocument/2006/relationships/hyperlink" Target="http://www.portalrondonia.com/site/seguranca%2C7%C2%BA%2C%2Cbpm%2Cimpl" TargetMode="External"/><Relationship Id="rId621" Type="http://schemas.openxmlformats.org/officeDocument/2006/relationships/hyperlink" Target="http://www.cetem.gov.br/publicacao/CTs/CT2002-180-00.pdf" TargetMode="External"/><Relationship Id="rId1044" Type="http://schemas.openxmlformats.org/officeDocument/2006/relationships/hyperlink" Target="http://www.scielo.br/pdf/csp/v19n6/a19v19n6.pdf" TargetMode="External"/><Relationship Id="rId1251" Type="http://schemas.openxmlformats.org/officeDocument/2006/relationships/hyperlink" Target="http://www.ibram.org.br/150/15001002.asp?ttCD_CHAVE=227389" TargetMode="External"/><Relationship Id="rId1349" Type="http://schemas.openxmlformats.org/officeDocument/2006/relationships/hyperlink" Target="http://verbetes.cetem.gov.br/impressao/ExibeGlossarioResumo.aspx?verid=13" TargetMode="External"/><Relationship Id="rId260" Type="http://schemas.openxmlformats.org/officeDocument/2006/relationships/hyperlink" Target="http://www.conflitoambiental.icict.fiocruz.br/index.php?pag=ficha&amp;amp;co" TargetMode="External"/><Relationship Id="rId719" Type="http://schemas.openxmlformats.org/officeDocument/2006/relationships/hyperlink" Target="http://www.uesc.br/cursos/pos_graduacao/mestrado/mdrma/disserta" TargetMode="External"/><Relationship Id="rId926" Type="http://schemas.openxmlformats.org/officeDocument/2006/relationships/hyperlink" Target="http://www.mp.go.gov.br/noticias/noticia120.shtm" TargetMode="External"/><Relationship Id="rId1111" Type="http://schemas.openxmlformats.org/officeDocument/2006/relationships/hyperlink" Target="http://www.ibge.gov.br/cidadesat/xtras/perfil.php?codmun=311750&amp;amp;r" TargetMode="External"/><Relationship Id="rId1556" Type="http://schemas.openxmlformats.org/officeDocument/2006/relationships/hyperlink" Target="http://oglobo.globo.com/economia/mat/2011/02/14/usiminas-conclui-" TargetMode="External"/><Relationship Id="rId1763" Type="http://schemas.openxmlformats.org/officeDocument/2006/relationships/fontTable" Target="fontTable.xml"/><Relationship Id="rId55" Type="http://schemas.openxmlformats.org/officeDocument/2006/relationships/hyperlink" Target="http://www.ibram.org.br/sites/1300/1382/00002806.pdf" TargetMode="External"/><Relationship Id="rId120" Type="http://schemas.openxmlformats.org/officeDocument/2006/relationships/hyperlink" Target="http://www.ibge.gov.br/cidadesat/xtras/perfil.php?codmun=160005&amp;amp;r" TargetMode="External"/><Relationship Id="rId358" Type="http://schemas.openxmlformats.org/officeDocument/2006/relationships/hyperlink" Target="http://webcache.googleusercontent.com/search?q=cache%3ASncz8FbT" TargetMode="External"/><Relationship Id="rId565" Type="http://schemas.openxmlformats.org/officeDocument/2006/relationships/hyperlink" Target="http://www.ibge.gov.br/cidadesat/xtras/perfil.php?codmun=293070&amp;amp;r" TargetMode="External"/><Relationship Id="rId772" Type="http://schemas.openxmlformats.org/officeDocument/2006/relationships/hyperlink" Target="http://www.ibama.gov.br/consulta/downloads/laudo_biologico_do_tai" TargetMode="External"/><Relationship Id="rId1195" Type="http://schemas.openxmlformats.org/officeDocument/2006/relationships/hyperlink" Target="http://www.csr.ufmg.br/geoprocessamento/publicacoes/andrecoutinh" TargetMode="External"/><Relationship Id="rId1209" Type="http://schemas.openxmlformats.org/officeDocument/2006/relationships/hyperlink" Target="http://verbetes.cetem.gov.br/impressao/ExibeGlossarioResumo.aspx?verid=4" TargetMode="External"/><Relationship Id="rId1416" Type="http://schemas.openxmlformats.org/officeDocument/2006/relationships/hyperlink" Target="http://oglobo.globo.com/economia/llx-firma-contrato-de-compra-de-" TargetMode="External"/><Relationship Id="rId1623" Type="http://schemas.openxmlformats.org/officeDocument/2006/relationships/hyperlink" Target="http://www.vale.com/pt-br/o-que-" TargetMode="External"/><Relationship Id="rId218" Type="http://schemas.openxmlformats.org/officeDocument/2006/relationships/hyperlink" Target="http://www.radioruraldesantarem.com.br/?exibe=detalha_publicacoe" TargetMode="External"/><Relationship Id="rId425" Type="http://schemas.openxmlformats.org/officeDocument/2006/relationships/hyperlink" Target="http://www.originaldesigner.com.br/index.php/atualidades/meio-" TargetMode="External"/><Relationship Id="rId632" Type="http://schemas.openxmlformats.org/officeDocument/2006/relationships/hyperlink" Target="http://www.bamin.com.br/artigos/Release%20Institucional%20BAMI" TargetMode="External"/><Relationship Id="rId1055" Type="http://schemas.openxmlformats.org/officeDocument/2006/relationships/hyperlink" Target="http://verbetes.cetem.gov.br/impressao/ExibeGlossarioResumo.aspx?verid=9" TargetMode="External"/><Relationship Id="rId1262" Type="http://schemas.openxmlformats.org/officeDocument/2006/relationships/hyperlink" Target="http://paracatu.net/view/5230-relatorio-afirma-que-nao-ha-" TargetMode="External"/><Relationship Id="rId271" Type="http://schemas.openxmlformats.org/officeDocument/2006/relationships/hyperlink" Target="http://verbetes.cetem.gov.br/impressao/ExibeGlossarioResumo.aspx?verid=2" TargetMode="External"/><Relationship Id="rId937" Type="http://schemas.openxmlformats.org/officeDocument/2006/relationships/hyperlink" Target="http://www.oeco.com.br/en/fica2010/24040-" TargetMode="External"/><Relationship Id="rId1122" Type="http://schemas.openxmlformats.org/officeDocument/2006/relationships/hyperlink" Target="http://www4.pucsp.br/artecidade/itabira.htm" TargetMode="External"/><Relationship Id="rId1567" Type="http://schemas.openxmlformats.org/officeDocument/2006/relationships/hyperlink" Target="http://www.conflitoambiental.icict.fiocruz.br/index.php?pag=ficha&amp;amp;co" TargetMode="External"/><Relationship Id="rId66" Type="http://schemas.openxmlformats.org/officeDocument/2006/relationships/hyperlink" Target="http://www.ibge.gov.br/cidadesat/topwindow.htm?1" TargetMode="External"/><Relationship Id="rId131" Type="http://schemas.openxmlformats.org/officeDocument/2006/relationships/hyperlink" Target="http://verbetes.cetem.gov.br/impressao/ExibeGlossarioResumo.aspx?verid=9" TargetMode="External"/><Relationship Id="rId369" Type="http://schemas.openxmlformats.org/officeDocument/2006/relationships/hyperlink" Target="http://www.bonsucex.com.br/noticia_29_07_09_b.pdf" TargetMode="External"/><Relationship Id="rId576" Type="http://schemas.openxmlformats.org/officeDocument/2006/relationships/hyperlink" Target="http://jangello.unifacs.br/teses.htm" TargetMode="External"/><Relationship Id="rId783" Type="http://schemas.openxmlformats.org/officeDocument/2006/relationships/hyperlink" Target="http://pib.socioambiental.org/caracterizacao.php?id_arp=3575" TargetMode="External"/><Relationship Id="rId990" Type="http://schemas.openxmlformats.org/officeDocument/2006/relationships/hyperlink" Target="http://www.tvconquista.com.br/noticias/?busca=noticia&amp;amp;id=304%2BGov" TargetMode="External"/><Relationship Id="rId1427" Type="http://schemas.openxmlformats.org/officeDocument/2006/relationships/hyperlink" Target="http://oglobo.globo.com/economia/conselho-apura-denuncias-no-" TargetMode="External"/><Relationship Id="rId1634" Type="http://schemas.openxmlformats.org/officeDocument/2006/relationships/hyperlink" Target="http://www.ibge.gov.br/home/estatistica/populacao/estimativa2013/estimativa_dou.shtm" TargetMode="External"/><Relationship Id="rId229" Type="http://schemas.openxmlformats.org/officeDocument/2006/relationships/hyperlink" Target="http://www.ibram.org.br/150/15001002.asp?ttCD_CHAVE=63476" TargetMode="External"/><Relationship Id="rId436" Type="http://schemas.openxmlformats.org/officeDocument/2006/relationships/hyperlink" Target="http://www.brasilmineral.com.br/BM/default.asp?COD=4808&amp;amp;busca" TargetMode="External"/><Relationship Id="rId643" Type="http://schemas.openxmlformats.org/officeDocument/2006/relationships/hyperlink" Target="http://www.brasilmineral.com.br/BM/default.asp?COD=5605&amp;amp;busca" TargetMode="External"/><Relationship Id="rId1066" Type="http://schemas.openxmlformats.org/officeDocument/2006/relationships/hyperlink" Target="http://www.agenciabrasil.gov.br/" TargetMode="External"/><Relationship Id="rId1273" Type="http://schemas.openxmlformats.org/officeDocument/2006/relationships/hyperlink" Target="http://www.tede.ufop.br/tde_busca/arquivo.php?codArquivo=428" TargetMode="External"/><Relationship Id="rId1480" Type="http://schemas.openxmlformats.org/officeDocument/2006/relationships/hyperlink" Target="http://www.firjan.org.br/IFDM/" TargetMode="External"/><Relationship Id="rId850" Type="http://schemas.openxmlformats.org/officeDocument/2006/relationships/hyperlink" Target="http://www.dnpm.gov.br/assets/galeriadocumento/sumariomineral20" TargetMode="External"/><Relationship Id="rId948" Type="http://schemas.openxmlformats.org/officeDocument/2006/relationships/hyperlink" Target="http://www.ibram.org.br/150/15001002.asp?ttCD_CHAVE=40216" TargetMode="External"/><Relationship Id="rId1133" Type="http://schemas.openxmlformats.org/officeDocument/2006/relationships/hyperlink" Target="http://g1.globo.com/economia/noticia/2011/03/sem-hospital-ou-" TargetMode="External"/><Relationship Id="rId1578" Type="http://schemas.openxmlformats.org/officeDocument/2006/relationships/hyperlink" Target="http://www.gazetadelimeira.com.br/Noticia.asp?ID=5589" TargetMode="External"/><Relationship Id="rId1701" Type="http://schemas.openxmlformats.org/officeDocument/2006/relationships/hyperlink" Target="http://www.ihu.unisinos.br/index.php?option=com_noticias&amp;amp;Itemid=1" TargetMode="External"/><Relationship Id="rId77" Type="http://schemas.openxmlformats.org/officeDocument/2006/relationships/hyperlink" Target="http://www.cesir.unir.br/pdfs/doc3.pdf" TargetMode="External"/><Relationship Id="rId282" Type="http://schemas.openxmlformats.org/officeDocument/2006/relationships/hyperlink" Target="http://www.ecofinancas.com/noticias/vale-projeto-salobo-carajas-" TargetMode="External"/><Relationship Id="rId503" Type="http://schemas.openxmlformats.org/officeDocument/2006/relationships/hyperlink" Target="http://books.google.com.br/books?id=ZtQfoolZ9NMC&amp;amp;printsec=front" TargetMode="External"/><Relationship Id="rId587" Type="http://schemas.openxmlformats.org/officeDocument/2006/relationships/hyperlink" Target="http://verbetes.cetem.gov.br/impressao/ExibeGlossarioResumo.aspx?verid=14" TargetMode="External"/><Relationship Id="rId710" Type="http://schemas.openxmlformats.org/officeDocument/2006/relationships/hyperlink" Target="http://afm.cirad.fr/documents/6_DiagnosticsTerr/CD_AFM/textes/295" TargetMode="External"/><Relationship Id="rId808" Type="http://schemas.openxmlformats.org/officeDocument/2006/relationships/hyperlink" Target="http://www.cetem.gov.br/workshop/apresentacoes/JOSE_MARCOS/" TargetMode="External"/><Relationship Id="rId1340" Type="http://schemas.openxmlformats.org/officeDocument/2006/relationships/hyperlink" Target="http://biblioteca.ibge.gov.br/dtbs_detalhes.php?id=5675" TargetMode="External"/><Relationship Id="rId1438" Type="http://schemas.openxmlformats.org/officeDocument/2006/relationships/hyperlink" Target="http://seer.perspectivasonline.com.br/index.php/EE/article/viewFile/3" TargetMode="External"/><Relationship Id="rId1645" Type="http://schemas.openxmlformats.org/officeDocument/2006/relationships/hyperlink" Target="http://www.ipardes.gov.br/biblioteca/docs/diagnostico_figueira.pdf" TargetMode="External"/><Relationship Id="rId8" Type="http://schemas.openxmlformats.org/officeDocument/2006/relationships/image" Target="media/image2.png"/><Relationship Id="rId142" Type="http://schemas.openxmlformats.org/officeDocument/2006/relationships/hyperlink" Target="http://www3.ufpa.br/projetomineracao/docs/territ/Arq%2044-" TargetMode="External"/><Relationship Id="rId447" Type="http://schemas.openxmlformats.org/officeDocument/2006/relationships/hyperlink" Target="http://www.anppas.org.br/encontro_anual/encontro2/GT/GT16/gt16_" TargetMode="External"/><Relationship Id="rId794" Type="http://schemas.openxmlformats.org/officeDocument/2006/relationships/hyperlink" Target="http://www.agenciasebrae.com.br/noticia.kmf?canal=200&amp;amp;cod=9180" TargetMode="External"/><Relationship Id="rId1077" Type="http://schemas.openxmlformats.org/officeDocument/2006/relationships/hyperlink" Target="http://www.institutomilenioestuarios.com.br/pdfs/Monografias/11.pdf" TargetMode="External"/><Relationship Id="rId1200" Type="http://schemas.openxmlformats.org/officeDocument/2006/relationships/hyperlink" Target="http://maismidia.net/noticia.aspx?id=285" TargetMode="External"/><Relationship Id="rId654" Type="http://schemas.openxmlformats.org/officeDocument/2006/relationships/hyperlink" Target="http://www.cetem.gov.br/publicacao/CTs/CT2002-193-00.pdf" TargetMode="External"/><Relationship Id="rId861" Type="http://schemas.openxmlformats.org/officeDocument/2006/relationships/image" Target="media/image29.png"/><Relationship Id="rId959" Type="http://schemas.openxmlformats.org/officeDocument/2006/relationships/hyperlink" Target="http://www.ibge.gov.br/cidadesat/xtras/perfil.php?codmun=500710&amp;amp;r" TargetMode="External"/><Relationship Id="rId1284" Type="http://schemas.openxmlformats.org/officeDocument/2006/relationships/hyperlink" Target="http://www.desenvolvimento.gov.br/conferencia-" TargetMode="External"/><Relationship Id="rId1491" Type="http://schemas.openxmlformats.org/officeDocument/2006/relationships/hyperlink" Target="http://www.santoantoniodepadua.rj.gov.br/historico.php" TargetMode="External"/><Relationship Id="rId1505" Type="http://schemas.openxmlformats.org/officeDocument/2006/relationships/hyperlink" Target="http://www.google.com.br/url?sa=t&amp;amp;rct=j&amp;amp;q&amp;amp;esrc=s&amp;amp;frm=1&amp;amp;source" TargetMode="External"/><Relationship Id="rId1589" Type="http://schemas.openxmlformats.org/officeDocument/2006/relationships/hyperlink" Target="http://verbetes.cetem.gov.br/impressao/ExibeGlossarioResumo.aspx?verid=15" TargetMode="External"/><Relationship Id="rId1712" Type="http://schemas.openxmlformats.org/officeDocument/2006/relationships/hyperlink" Target="http://www.visiteminasdocamaqua.com/geologia.html" TargetMode="External"/><Relationship Id="rId293" Type="http://schemas.openxmlformats.org/officeDocument/2006/relationships/hyperlink" Target="http://noticias.br.msn.com/economia/artigo.aspx?cp-" TargetMode="External"/><Relationship Id="rId307" Type="http://schemas.openxmlformats.org/officeDocument/2006/relationships/hyperlink" Target="http://www.canaadoscarajas.pa.gov.br/news/2009-08-20-not-3.htm" TargetMode="External"/><Relationship Id="rId514" Type="http://schemas.openxmlformats.org/officeDocument/2006/relationships/hyperlink" Target="http://www.scielo.br/pdf/asoc/v5n2/a10v5n2.pdf" TargetMode="External"/><Relationship Id="rId721" Type="http://schemas.openxmlformats.org/officeDocument/2006/relationships/hyperlink" Target="http://www.tribunadaconquista.com.br/v1/2009/11/20/ibama-autua-" TargetMode="External"/><Relationship Id="rId1144" Type="http://schemas.openxmlformats.org/officeDocument/2006/relationships/hyperlink" Target="http://www.geo.ufv.br/docs/monografias/Monografias_2008_2/Junia" TargetMode="External"/><Relationship Id="rId1351" Type="http://schemas.openxmlformats.org/officeDocument/2006/relationships/hyperlink" Target="http://verbetes.cetem.gov.br/impressao/ExibeGlossarioResumo.aspx?verid=2" TargetMode="External"/><Relationship Id="rId1449" Type="http://schemas.openxmlformats.org/officeDocument/2006/relationships/hyperlink" Target="http://verbetes.cetem.gov.br/impressao/ExibeGlossarioResumo.aspx?verid=5" TargetMode="External"/><Relationship Id="rId88" Type="http://schemas.openxmlformats.org/officeDocument/2006/relationships/hyperlink" Target="http://alcinea-/" TargetMode="External"/><Relationship Id="rId153" Type="http://schemas.openxmlformats.org/officeDocument/2006/relationships/hyperlink" Target="http://www.brasilmineral.com.br/BM/default.asp?numero=348" TargetMode="External"/><Relationship Id="rId360" Type="http://schemas.openxmlformats.org/officeDocument/2006/relationships/hyperlink" Target="http://www.google.com.br/" TargetMode="External"/><Relationship Id="rId598" Type="http://schemas.openxmlformats.org/officeDocument/2006/relationships/hyperlink" Target="http://www.dnpm.gov/" TargetMode="External"/><Relationship Id="rId819" Type="http://schemas.openxmlformats.org/officeDocument/2006/relationships/hyperlink" Target="http://tecnopetro.webnode.com.br/news/meio-ambiente-de-mossoro-" TargetMode="External"/><Relationship Id="rId1004" Type="http://schemas.openxmlformats.org/officeDocument/2006/relationships/hyperlink" Target="http://www.matogrossogoiano.com.br/site/politica/ultimas-" TargetMode="External"/><Relationship Id="rId1211" Type="http://schemas.openxmlformats.org/officeDocument/2006/relationships/hyperlink" Target="http://mineracao-no-norte-de-minas-/" TargetMode="External"/><Relationship Id="rId1656" Type="http://schemas.openxmlformats.org/officeDocument/2006/relationships/hyperlink" Target="http://paranagua.pr.gov.br/conteudo/guia-turistico/baia-de-" TargetMode="External"/><Relationship Id="rId220" Type="http://schemas.openxmlformats.org/officeDocument/2006/relationships/hyperlink" Target="http://www.ufrrj.br/cpda/ideas/revistas/v03/n03/IDeAS-v03_n03-" TargetMode="External"/><Relationship Id="rId458" Type="http://schemas.openxmlformats.org/officeDocument/2006/relationships/hyperlink" Target="http://www.gentedeopiniao.com/hotsite/conteudo.php?news=48881" TargetMode="External"/><Relationship Id="rId665" Type="http://schemas.openxmlformats.org/officeDocument/2006/relationships/hyperlink" Target="http://verbetes.cetem.gov.br/impressao/ExibeGlossarioResumo.aspx?verid=2" TargetMode="External"/><Relationship Id="rId872" Type="http://schemas.openxmlformats.org/officeDocument/2006/relationships/hyperlink" Target="http://www.ufsm.br/revistadireito/eds/v2n3/a18.pdf" TargetMode="External"/><Relationship Id="rId1088" Type="http://schemas.openxmlformats.org/officeDocument/2006/relationships/hyperlink" Target="http://www.jornalbrasil.com.br/interna.php?autonum=10229" TargetMode="External"/><Relationship Id="rId1295" Type="http://schemas.openxmlformats.org/officeDocument/2006/relationships/hyperlink" Target="http://teses.ufrj.br/COPPE_D/MarizaRamalhoFranklin.pdf" TargetMode="External"/><Relationship Id="rId1309" Type="http://schemas.openxmlformats.org/officeDocument/2006/relationships/hyperlink" Target="http://www.ibram.org.br/150/15001002.asp?ttCD_CHAVE=95061" TargetMode="External"/><Relationship Id="rId1516" Type="http://schemas.openxmlformats.org/officeDocument/2006/relationships/hyperlink" Target="http://diariodovale.uol.com.br/noticias/0%2C62844%2CCSN-estuda-instalar-" TargetMode="External"/><Relationship Id="rId1723" Type="http://schemas.openxmlformats.org/officeDocument/2006/relationships/hyperlink" Target="http://verbetes.cetem.gov.br/impressao/ExibeGlossarioResumo.aspx?verid=5" TargetMode="External"/><Relationship Id="rId15" Type="http://schemas.openxmlformats.org/officeDocument/2006/relationships/footer" Target="footer6.xml"/><Relationship Id="rId318" Type="http://schemas.openxmlformats.org/officeDocument/2006/relationships/hyperlink" Target="http://www.agb.org.br/evento/download.php?idTrabalho=3819" TargetMode="External"/><Relationship Id="rId525" Type="http://schemas.openxmlformats.org/officeDocument/2006/relationships/hyperlink" Target="http://portalamazonia.globo.com/pscript/noticias/noticias.php?pag=ol" TargetMode="External"/><Relationship Id="rId732" Type="http://schemas.openxmlformats.org/officeDocument/2006/relationships/hyperlink" Target="http://noticias.pgr.mpf.gov.br/noticias/noticias-do-site/copy_of_indios-" TargetMode="External"/><Relationship Id="rId1155" Type="http://schemas.openxmlformats.org/officeDocument/2006/relationships/hyperlink" Target="http://www.icmbio.gov.br/portal/images/stories/o-que-" TargetMode="External"/><Relationship Id="rId1362" Type="http://schemas.openxmlformats.org/officeDocument/2006/relationships/hyperlink" Target="http://www.ufjf.br/ppgservicosocial/dissertacoes-" TargetMode="External"/><Relationship Id="rId99" Type="http://schemas.openxmlformats.org/officeDocument/2006/relationships/footer" Target="footer8.xml"/><Relationship Id="rId164" Type="http://schemas.openxmlformats.org/officeDocument/2006/relationships/hyperlink" Target="http://verbetes.cetem.gov.br/impressao/ExibeGlossarioResumo.aspx?verid=15" TargetMode="External"/><Relationship Id="rId371" Type="http://schemas.openxmlformats.org/officeDocument/2006/relationships/hyperlink" Target="http://www.achetudoeregiao.com/PA/maraba/geografia.htm" TargetMode="External"/><Relationship Id="rId1015" Type="http://schemas.openxmlformats.org/officeDocument/2006/relationships/image" Target="media/image39.png"/><Relationship Id="rId1222" Type="http://schemas.openxmlformats.org/officeDocument/2006/relationships/hyperlink" Target="http://www.hojeemdia.com.br/colunas-artigos-e-" TargetMode="External"/><Relationship Id="rId1667" Type="http://schemas.openxmlformats.org/officeDocument/2006/relationships/hyperlink" Target="http://www.consorciocruzeirodosul.com.br/arquivos/arquivo_17.pdf" TargetMode="External"/><Relationship Id="rId469" Type="http://schemas.openxmlformats.org/officeDocument/2006/relationships/hyperlink" Target="http://www.webartigos.com/articles/3811/1/A-" TargetMode="External"/><Relationship Id="rId676" Type="http://schemas.openxmlformats.org/officeDocument/2006/relationships/hyperlink" Target="http://www.ibram.org.br/150/15001002.asp?ttCD_CHAVE=112295" TargetMode="External"/><Relationship Id="rId883" Type="http://schemas.openxmlformats.org/officeDocument/2006/relationships/hyperlink" Target="http://www.sama.com.br/ambiente/sambaiba.htm" TargetMode="External"/><Relationship Id="rId1099" Type="http://schemas.openxmlformats.org/officeDocument/2006/relationships/hyperlink" Target="http://verbetes.cetem.gov.br/impressao/ExibeGlossarioResumo.aspx?verid=9" TargetMode="External"/><Relationship Id="rId1527" Type="http://schemas.openxmlformats.org/officeDocument/2006/relationships/hyperlink" Target="http://www.brasilmineral.com.br/BM/default.asp?COD=5553&amp;amp;busca" TargetMode="External"/><Relationship Id="rId1734" Type="http://schemas.openxmlformats.org/officeDocument/2006/relationships/hyperlink" Target="http://www.panoramalavrense.com.br/geologia.html" TargetMode="External"/><Relationship Id="rId26" Type="http://schemas.openxmlformats.org/officeDocument/2006/relationships/hyperlink" Target="http://www.conflictosmineros.net/" TargetMode="External"/><Relationship Id="rId231" Type="http://schemas.openxmlformats.org/officeDocument/2006/relationships/hyperlink" Target="http://www.forumcarajas.org.br/portal.php?noticia&amp;amp;mostra&amp;amp;641" TargetMode="External"/><Relationship Id="rId329" Type="http://schemas.openxmlformats.org/officeDocument/2006/relationships/hyperlink" Target="http://www.brasilmineral.com.br/BM/default.asp?COD=5296&amp;amp;busca" TargetMode="External"/><Relationship Id="rId536" Type="http://schemas.openxmlformats.org/officeDocument/2006/relationships/hyperlink" Target="http://www.socioambiental.org/banco_imagens/pdfs/Carta%20da%252" TargetMode="External"/><Relationship Id="rId1166" Type="http://schemas.openxmlformats.org/officeDocument/2006/relationships/hyperlink" Target="http://www.abin.gov.br/modules/articles/article.php?id=2534" TargetMode="External"/><Relationship Id="rId1373" Type="http://schemas.openxmlformats.org/officeDocument/2006/relationships/hyperlink" Target="http://verbetes.cetem.gov.br/impressao/ExibeGlossarioResumo.aspx?verid=16" TargetMode="External"/><Relationship Id="rId175" Type="http://schemas.openxmlformats.org/officeDocument/2006/relationships/hyperlink" Target="http://verbetes.cetem.gov.br/impressao/ExibeGlossarioResumo.aspx?verid=8" TargetMode="External"/><Relationship Id="rId743" Type="http://schemas.openxmlformats.org/officeDocument/2006/relationships/hyperlink" Target="http://www.ecodebate.com.br/2011/01/13/mina-de-uranio-pode-" TargetMode="External"/><Relationship Id="rId950" Type="http://schemas.openxmlformats.org/officeDocument/2006/relationships/hyperlink" Target="http://revistas.ucg.br/index.php/estudos/article/download/409/340" TargetMode="External"/><Relationship Id="rId1026" Type="http://schemas.openxmlformats.org/officeDocument/2006/relationships/hyperlink" Target="http://www.mineracan.com.br/novidades.htm" TargetMode="External"/><Relationship Id="rId1580" Type="http://schemas.openxmlformats.org/officeDocument/2006/relationships/hyperlink" Target="http://www.Bvsde.paho.org/bvsAIDIS/PuertoRico" TargetMode="External"/><Relationship Id="rId1678" Type="http://schemas.openxmlformats.org/officeDocument/2006/relationships/hyperlink" Target="http://www.scielo.br/scielo.php?script=sci_arttext&amp;amp;pid=S0104-" TargetMode="External"/><Relationship Id="rId382" Type="http://schemas.openxmlformats.org/officeDocument/2006/relationships/hyperlink" Target="http://www.revistafator.com.br/ver_noticia.php?not=158250" TargetMode="External"/><Relationship Id="rId603" Type="http://schemas.openxmlformats.org/officeDocument/2006/relationships/hyperlink" Target="http://noticias.uol.com.br/economia/ultnot/2007/03/08/ult29u54091.jht" TargetMode="External"/><Relationship Id="rId687" Type="http://schemas.openxmlformats.org/officeDocument/2006/relationships/hyperlink" Target="http://www.bibliotecadigital.ufba.br/tde_busca/arquivo.php?codArquiv" TargetMode="External"/><Relationship Id="rId810" Type="http://schemas.openxmlformats.org/officeDocument/2006/relationships/hyperlink" Target="http://www.portalodm.com.br/relatorios/pi/juazeiro-" TargetMode="External"/><Relationship Id="rId908" Type="http://schemas.openxmlformats.org/officeDocument/2006/relationships/hyperlink" Target="http://www.revistametaisbrasil.com.br/novomb/edicoes-" TargetMode="External"/><Relationship Id="rId1233" Type="http://schemas.openxmlformats.org/officeDocument/2006/relationships/hyperlink" Target="http://www.almg.gov.br/eventos/hot_minasdeminas/programacao/teo" TargetMode="External"/><Relationship Id="rId1440" Type="http://schemas.openxmlformats.org/officeDocument/2006/relationships/hyperlink" Target="http://www.conflitoambiental.icict.fiocruz.br/index.php?pag=ficha&amp;amp;co" TargetMode="External"/><Relationship Id="rId1538" Type="http://schemas.openxmlformats.org/officeDocument/2006/relationships/hyperlink" Target="http://www.cetem.gov.br/publicacao/CTs/CT2008-188-00.pdf" TargetMode="External"/><Relationship Id="rId242" Type="http://schemas.openxmlformats.org/officeDocument/2006/relationships/hyperlink" Target="http://www.conflitoambiental.icict.fiocruz.br/index.php?pag=ficha&amp;amp;co" TargetMode="External"/><Relationship Id="rId894" Type="http://schemas.openxmlformats.org/officeDocument/2006/relationships/hyperlink" Target="http://verbetes.cetem.gov.br/impressao/ExibeGlossarioResumo.aspx?verid=13" TargetMode="External"/><Relationship Id="rId1177" Type="http://schemas.openxmlformats.org/officeDocument/2006/relationships/hyperlink" Target="http://www.valor.com.br/empresas/1008636/mmx-vai-expandir-mina-" TargetMode="External"/><Relationship Id="rId1300" Type="http://schemas.openxmlformats.org/officeDocument/2006/relationships/hyperlink" Target="http://www.tcc.sc.usp.br/.../Oliveira_Guilherme_Henrique_Duarte_de.pdf" TargetMode="External"/><Relationship Id="rId1745" Type="http://schemas.openxmlformats.org/officeDocument/2006/relationships/hyperlink" Target="http://www.redeaplmineral.org.br/banco_apls/apls/gemas-e-joias-do-" TargetMode="External"/><Relationship Id="rId37" Type="http://schemas.openxmlformats.org/officeDocument/2006/relationships/hyperlink" Target="http://www.bibliotecadigital.ufmg.br/dspace/bitstream/1843/MPBB-" TargetMode="External"/><Relationship Id="rId102" Type="http://schemas.openxmlformats.org/officeDocument/2006/relationships/hyperlink" Target="http://verbetes.cetem.gov.br/impressao/ExibeGlossarioResumo.aspx?verid=7" TargetMode="External"/><Relationship Id="rId547" Type="http://schemas.openxmlformats.org/officeDocument/2006/relationships/image" Target="media/image26.png"/><Relationship Id="rId754" Type="http://schemas.openxmlformats.org/officeDocument/2006/relationships/hyperlink" Target="http://www.ibram.org.br/150/15001002.asp?ttCD_CHAVE=112384" TargetMode="External"/><Relationship Id="rId961" Type="http://schemas.openxmlformats.org/officeDocument/2006/relationships/hyperlink" Target="http://www.riosvivos.org.br/arquivos/1357514940.pdf" TargetMode="External"/><Relationship Id="rId1384" Type="http://schemas.openxmlformats.org/officeDocument/2006/relationships/hyperlink" Target="http://www.valedosaofrancisco.com.br/Economia/PotencialMineral.as" TargetMode="External"/><Relationship Id="rId1591" Type="http://schemas.openxmlformats.org/officeDocument/2006/relationships/hyperlink" Target="http://decoamaral.wordpress.com/tag/nuclemon/" TargetMode="External"/><Relationship Id="rId1605" Type="http://schemas.openxmlformats.org/officeDocument/2006/relationships/hyperlink" Target="http://verbetes.cetem.gov.br/impressao/ExibeGlossarioResumo.aspx?verid=15" TargetMode="External"/><Relationship Id="rId1689" Type="http://schemas.openxmlformats.org/officeDocument/2006/relationships/hyperlink" Target="http://www.gazetadopovo.com.br/parana/conteudo.phtml?id=698360" TargetMode="External"/><Relationship Id="rId90" Type="http://schemas.openxmlformats.org/officeDocument/2006/relationships/hyperlink" Target="http://ecotumucumaque.com/artigos/EIAs%20como%5B1%5D...pdf" TargetMode="External"/><Relationship Id="rId186" Type="http://schemas.openxmlformats.org/officeDocument/2006/relationships/hyperlink" Target="http://www.cetem.gov.br/publicacao/CTs/CT2006-" TargetMode="External"/><Relationship Id="rId393" Type="http://schemas.openxmlformats.org/officeDocument/2006/relationships/hyperlink" Target="http://verbetes.cetem.gov.br/impressao/ExibeGlossarioResumo.aspx?verid=11" TargetMode="External"/><Relationship Id="rId407" Type="http://schemas.openxmlformats.org/officeDocument/2006/relationships/hyperlink" Target="http://g1.globo.com/pa/para/noticia/2012/06/ibama-desativa-garimpo-" TargetMode="External"/><Relationship Id="rId614" Type="http://schemas.openxmlformats.org/officeDocument/2006/relationships/hyperlink" Target="http://www.ibge.gov.br/cidadesat/xtras/perfil.php?r=2&amp;amp;codmun=2917" TargetMode="External"/><Relationship Id="rId821" Type="http://schemas.openxmlformats.org/officeDocument/2006/relationships/hyperlink" Target="http://www.ibge.gov.br/cidadesat/topwindow.htm?1" TargetMode="External"/><Relationship Id="rId1037" Type="http://schemas.openxmlformats.org/officeDocument/2006/relationships/hyperlink" Target="http://www.conflitoambiental.icict.fiocruz.br/index.php?pag=ficha&amp;amp;co" TargetMode="External"/><Relationship Id="rId1244" Type="http://schemas.openxmlformats.org/officeDocument/2006/relationships/hyperlink" Target="http://www.estadao.com.br/noticias/impresso%2Ca-corrida-do-ouro-" TargetMode="External"/><Relationship Id="rId1451" Type="http://schemas.openxmlformats.org/officeDocument/2006/relationships/hyperlink" Target="http://agenciabrasil.ebc.com.br/noticia/2011-08-" TargetMode="External"/><Relationship Id="rId253" Type="http://schemas.openxmlformats.org/officeDocument/2006/relationships/hyperlink" Target="http://verbetes.cetem.gov.br/impressao/ExibeGlossarioResumo.aspx?verid=9" TargetMode="External"/><Relationship Id="rId460" Type="http://schemas.openxmlformats.org/officeDocument/2006/relationships/hyperlink" Target="http://www.adimb.com.br/publicacoes_amazonia/Indice/Cap_IX.pdf" TargetMode="External"/><Relationship Id="rId698" Type="http://schemas.openxmlformats.org/officeDocument/2006/relationships/hyperlink" Target="http://www.juazeiro.ba.gov.br/views/noticias_print.php?id=4419" TargetMode="External"/><Relationship Id="rId919" Type="http://schemas.openxmlformats.org/officeDocument/2006/relationships/hyperlink" Target="http://www.brasilmineral.com.br/BM/default.asp?numero=554" TargetMode="External"/><Relationship Id="rId1090" Type="http://schemas.openxmlformats.org/officeDocument/2006/relationships/hyperlink" Target="http://www.diariodocomercio.com.br/index.php?conteudoId=80774&amp;amp;u" TargetMode="External"/><Relationship Id="rId1104" Type="http://schemas.openxmlformats.org/officeDocument/2006/relationships/hyperlink" Target="http://www.metalica.com.br/sistema-minas-rio-" TargetMode="External"/><Relationship Id="rId1311" Type="http://schemas.openxmlformats.org/officeDocument/2006/relationships/hyperlink" Target="http://www.diariodearaxa.com.br/index.php?go=noticia&amp;amp;ed=20&amp;amp;id=1" TargetMode="External"/><Relationship Id="rId1549" Type="http://schemas.openxmlformats.org/officeDocument/2006/relationships/hyperlink" Target="http://agenciabrasil.ebc.com.br/noticia/2011-04-26/recuperacao-" TargetMode="External"/><Relationship Id="rId1756" Type="http://schemas.openxmlformats.org/officeDocument/2006/relationships/hyperlink" Target="http://www.ibge.gov.br/cidadesat/xtras/perfil.php?codmun=420110&amp;amp;r" TargetMode="External"/><Relationship Id="rId48" Type="http://schemas.openxmlformats.org/officeDocument/2006/relationships/image" Target="media/image17.png"/><Relationship Id="rId113" Type="http://schemas.openxmlformats.org/officeDocument/2006/relationships/footer" Target="footer9.xml"/><Relationship Id="rId320" Type="http://schemas.openxmlformats.org/officeDocument/2006/relationships/hyperlink" Target="http://veja.abril.com.br/noticia/economia/conjunto-de-cavernas-" TargetMode="External"/><Relationship Id="rId558" Type="http://schemas.openxmlformats.org/officeDocument/2006/relationships/hyperlink" Target="http://www.cetem.gov.br/publicacao/livros/Vol_2_APL_TOTAL.pdf" TargetMode="External"/><Relationship Id="rId765" Type="http://schemas.openxmlformats.org/officeDocument/2006/relationships/hyperlink" Target="http://conteudo.ceara.gov.br/content/aplicacao/sdlr/_includes/PDFs/" TargetMode="External"/><Relationship Id="rId972" Type="http://schemas.openxmlformats.org/officeDocument/2006/relationships/hyperlink" Target="http://www.bvsde.paho.org/bvstox/E/fulltext/etext06/camcap03.html" TargetMode="External"/><Relationship Id="rId1188" Type="http://schemas.openxmlformats.org/officeDocument/2006/relationships/hyperlink" Target="http://www.revistaecologico.com.br/materia.php?materia=NTYy&amp;amp;edic" TargetMode="External"/><Relationship Id="rId1395" Type="http://schemas.openxmlformats.org/officeDocument/2006/relationships/hyperlink" Target="http://in360.globo.com/rj/noticias.php?id=6005" TargetMode="External"/><Relationship Id="rId1409" Type="http://schemas.openxmlformats.org/officeDocument/2006/relationships/hyperlink" Target="http://www1.folha.uol.com.br/mercado/2013/06/1300784-grupo-" TargetMode="External"/><Relationship Id="rId1616" Type="http://schemas.openxmlformats.org/officeDocument/2006/relationships/hyperlink" Target="http://www.smarh.eng.ufmg.br/defesas/272M.PDF" TargetMode="External"/><Relationship Id="rId197" Type="http://schemas.openxmlformats.org/officeDocument/2006/relationships/hyperlink" Target="http://www.portogente.com.br/comente/index.php?cod=68589" TargetMode="External"/><Relationship Id="rId418" Type="http://schemas.openxmlformats.org/officeDocument/2006/relationships/hyperlink" Target="http://iah.iec.pa.gov.br/iah/fulltext/georeferenciamento/curionopolis.p" TargetMode="External"/><Relationship Id="rId625" Type="http://schemas.openxmlformats.org/officeDocument/2006/relationships/hyperlink" Target="http://bdtd.bczm.ufrn.br/tedesimplificado/tde_arquivos/10/TDE-2010-" TargetMode="External"/><Relationship Id="rId832" Type="http://schemas.openxmlformats.org/officeDocument/2006/relationships/hyperlink" Target="http://www.ibram.org.br/003/00301009.asp?ttCD_CHAVE=41352" TargetMode="External"/><Relationship Id="rId1048" Type="http://schemas.openxmlformats.org/officeDocument/2006/relationships/hyperlink" Target="http://www.cetem.gov.br/publicacao/serie_anais_XV_jic_2007/Otto_Li" TargetMode="External"/><Relationship Id="rId1255" Type="http://schemas.openxmlformats.org/officeDocument/2006/relationships/hyperlink" Target="http://www.conflitoambiental.icict.fiocruz.br/index.php?pag=ficha&amp;amp;co" TargetMode="External"/><Relationship Id="rId1462" Type="http://schemas.openxmlformats.org/officeDocument/2006/relationships/hyperlink" Target="http://economia.estadao.com.br/noticia_imp.php?req=negocios%20g" TargetMode="External"/><Relationship Id="rId264" Type="http://schemas.openxmlformats.org/officeDocument/2006/relationships/hyperlink" Target="http://www.ecoeacao.com.br/index2.php?option=com_content&amp;amp;do_p" TargetMode="External"/><Relationship Id="rId471" Type="http://schemas.openxmlformats.org/officeDocument/2006/relationships/hyperlink" Target="http://pib.socioambiental.org/pt/noticias?id=85399&amp;amp;id_pov=48" TargetMode="External"/><Relationship Id="rId1115" Type="http://schemas.openxmlformats.org/officeDocument/2006/relationships/hyperlink" Target="http://www.inthemine.com.br/mineblog/?p=276" TargetMode="External"/><Relationship Id="rId1322" Type="http://schemas.openxmlformats.org/officeDocument/2006/relationships/hyperlink" Target="http://www.unimep.br/phpg/bibdig/pdfs/2006/KEFMEBVCKXGC.pdf" TargetMode="External"/><Relationship Id="rId59" Type="http://schemas.openxmlformats.org/officeDocument/2006/relationships/hyperlink" Target="http://www.pnud.org.br/atlas/ranking/Ranking-IDHM-UF-2010.aspx" TargetMode="External"/><Relationship Id="rId124" Type="http://schemas.openxmlformats.org/officeDocument/2006/relationships/hyperlink" Target="http://www.periodicos.ufpa.br/index.php/ncn/article/view/90/141" TargetMode="External"/><Relationship Id="rId569" Type="http://schemas.openxmlformats.org/officeDocument/2006/relationships/hyperlink" Target="http://www.bvssp.icict.fiocruz.br/lildbi/docsonline/get.php?id=2335" TargetMode="External"/><Relationship Id="rId776" Type="http://schemas.openxmlformats.org/officeDocument/2006/relationships/hyperlink" Target="http://verbetes.cetem.gov.br/impressao/ExibeGlossarioResumo.aspx?verid=11" TargetMode="External"/><Relationship Id="rId983" Type="http://schemas.openxmlformats.org/officeDocument/2006/relationships/hyperlink" Target="http://www.sonoticias.com.br/noticias/7/133586/extrac807a771o-de-" TargetMode="External"/><Relationship Id="rId1199" Type="http://schemas.openxmlformats.org/officeDocument/2006/relationships/hyperlink" Target="http://www.ibge.gov.br/cidadesat/xtras/perfil.php?codmun=311535&amp;amp;r" TargetMode="External"/><Relationship Id="rId1627" Type="http://schemas.openxmlformats.org/officeDocument/2006/relationships/hyperlink" Target="mailto:ffernandes@cetem.gov.br" TargetMode="External"/><Relationship Id="rId331" Type="http://schemas.openxmlformats.org/officeDocument/2006/relationships/hyperlink" Target="http://egal2009.easyplanners.info/area07/7656_VERDE_RODRIGO_" TargetMode="External"/><Relationship Id="rId429" Type="http://schemas.openxmlformats.org/officeDocument/2006/relationships/hyperlink" Target="http://verbetes.cetem.gov.br/impressao/ExibeGlossarioResumo.aspx?verid=8" TargetMode="External"/><Relationship Id="rId636" Type="http://schemas.openxmlformats.org/officeDocument/2006/relationships/hyperlink" Target="http://noticiasmineracao.mining.com/2011/10/11/bahia-de-todos-os-" TargetMode="External"/><Relationship Id="rId1059" Type="http://schemas.openxmlformats.org/officeDocument/2006/relationships/hyperlink" Target="http://oglobo.globo.com/pais/mat/2007/01/11/287388574.asp" TargetMode="External"/><Relationship Id="rId1266" Type="http://schemas.openxmlformats.org/officeDocument/2006/relationships/hyperlink" Target="http://www.bvsde.paho.org//bvsaidis//brasil20//vi-063.pdf" TargetMode="External"/><Relationship Id="rId1473" Type="http://schemas.openxmlformats.org/officeDocument/2006/relationships/hyperlink" Target="http://verbetes.cetem.gov.br/impressao/ExibeGlossarioResumo.aspx?verid=7" TargetMode="External"/><Relationship Id="rId843" Type="http://schemas.openxmlformats.org/officeDocument/2006/relationships/hyperlink" Target="http://noticiasmineracao.mining.com/2009/07/15/empresa-de-" TargetMode="External"/><Relationship Id="rId1126" Type="http://schemas.openxmlformats.org/officeDocument/2006/relationships/hyperlink" Target="http://www.vivaitabira.com.br/viva-" TargetMode="External"/><Relationship Id="rId1680" Type="http://schemas.openxmlformats.org/officeDocument/2006/relationships/hyperlink" Target="http://www.mp.pr.gov.br/modules/noticias/makepdf.php?storyid=298" TargetMode="External"/><Relationship Id="rId275" Type="http://schemas.openxmlformats.org/officeDocument/2006/relationships/hyperlink" Target="http://www.justicanostrilhos.org/nota/167" TargetMode="External"/><Relationship Id="rId482" Type="http://schemas.openxmlformats.org/officeDocument/2006/relationships/hyperlink" Target="http://www.adimb.com.br/site/arquivos/palestra_formatada_NOVA.pd" TargetMode="External"/><Relationship Id="rId703" Type="http://schemas.openxmlformats.org/officeDocument/2006/relationships/hyperlink" Target="http://www.cbpm.com.br/paginas/noticias.php?id=576" TargetMode="External"/><Relationship Id="rId910" Type="http://schemas.openxmlformats.org/officeDocument/2006/relationships/hyperlink" Target="http://www.cetem.gov.br/workshop/pdf/vol1grandesminas.pdf" TargetMode="External"/><Relationship Id="rId1333" Type="http://schemas.openxmlformats.org/officeDocument/2006/relationships/hyperlink" Target="http://www.ecodenuncia.org/fato_ocrime.html" TargetMode="External"/><Relationship Id="rId1540" Type="http://schemas.openxmlformats.org/officeDocument/2006/relationships/hyperlink" Target="http://verbetes.cetem.gov.br/impressao/ExibeGlossarioResumo.aspx?verid=5" TargetMode="External"/><Relationship Id="rId1638" Type="http://schemas.openxmlformats.org/officeDocument/2006/relationships/hyperlink" Target="http://www.setur.rs.gov.br/portal/index.php?q=destino&amp;amp;cod=4&amp;amp;opt&amp;amp;id=55&amp;amp;bd&amp;amp;fg=3" TargetMode="External"/><Relationship Id="rId135" Type="http://schemas.openxmlformats.org/officeDocument/2006/relationships/hyperlink" Target="http://www.amazonia.org.br/noticias/print.cfm?id=263750" TargetMode="External"/><Relationship Id="rId342" Type="http://schemas.openxmlformats.org/officeDocument/2006/relationships/hyperlink" Target="http://www.cetem.gov.br/publicacao/CTs/CT2002-" TargetMode="External"/><Relationship Id="rId787" Type="http://schemas.openxmlformats.org/officeDocument/2006/relationships/hyperlink" Target="http://www.cetem.gov.br/noticias/cetem%20midia/not_site_governo_" TargetMode="External"/><Relationship Id="rId994" Type="http://schemas.openxmlformats.org/officeDocument/2006/relationships/hyperlink" Target="http://www.mp.go.gov.br/portalweb/1/noticia/f59d2210b2914a807aa9" TargetMode="External"/><Relationship Id="rId1400" Type="http://schemas.openxmlformats.org/officeDocument/2006/relationships/hyperlink" Target="http://noalaincineracion.org/wp-" TargetMode="External"/><Relationship Id="rId202" Type="http://schemas.openxmlformats.org/officeDocument/2006/relationships/hyperlink" Target="http://verbetes.cetem.gov.br/impressao/ExibeGlossarioResumo.aspx?verid=2" TargetMode="External"/><Relationship Id="rId647" Type="http://schemas.openxmlformats.org/officeDocument/2006/relationships/hyperlink" Target="http://www.ibge.gov.br/cidadesat/xtras/perfil.php?codmun=290460&amp;amp;r" TargetMode="External"/><Relationship Id="rId854" Type="http://schemas.openxmlformats.org/officeDocument/2006/relationships/hyperlink" Target="http://www.gazetadopovo.com.br/economia/conteudo.phtml?tl=1&amp;amp;id" TargetMode="External"/><Relationship Id="rId1277" Type="http://schemas.openxmlformats.org/officeDocument/2006/relationships/hyperlink" Target="http://www.dnpm.gov.br/conteudo.asp?IDSecao=99&amp;amp;IDPagina=72&amp;amp;I" TargetMode="External"/><Relationship Id="rId1484" Type="http://schemas.openxmlformats.org/officeDocument/2006/relationships/hyperlink" Target="http://www.ibmecrj.br/sub/RJ/files/dissert_mestrado/ADM_henriqueb" TargetMode="External"/><Relationship Id="rId1691" Type="http://schemas.openxmlformats.org/officeDocument/2006/relationships/hyperlink" Target="http://ambienteja.info/ver_cliente.asp?id=97391" TargetMode="External"/><Relationship Id="rId1705" Type="http://schemas.openxmlformats.org/officeDocument/2006/relationships/hyperlink" Target="http://verbetes.cetem.gov.br/impressao/ExibeGlossarioResumo.aspx?verid=8" TargetMode="External"/><Relationship Id="rId286" Type="http://schemas.openxmlformats.org/officeDocument/2006/relationships/hyperlink" Target="http://www.ecodebate.com.br/2007/11/29/especial-carajas-muito-" TargetMode="External"/><Relationship Id="rId493" Type="http://schemas.openxmlformats.org/officeDocument/2006/relationships/hyperlink" Target="http://www.ibge.gov.br/cidadesat/topwindow.htm?1" TargetMode="External"/><Relationship Id="rId507" Type="http://schemas.openxmlformats.org/officeDocument/2006/relationships/hyperlink" Target="http://g1.globo.com/Noticias/Brasil/0%2C%2CMUL741085-5598%2C00-" TargetMode="External"/><Relationship Id="rId714" Type="http://schemas.openxmlformats.org/officeDocument/2006/relationships/hyperlink" Target="http://www.inb.gov.br/inb/webforms/interna2.aspx?campo=1329" TargetMode="External"/><Relationship Id="rId921" Type="http://schemas.openxmlformats.org/officeDocument/2006/relationships/hyperlink" Target="http://www.cetem.gov.br/publicacao/CTs/CT2007-" TargetMode="External"/><Relationship Id="rId1137" Type="http://schemas.openxmlformats.org/officeDocument/2006/relationships/hyperlink" Target="http://www.ibge.gov.br/cidadesat/xtras/perfil.php?codmun=316190&amp;amp;r" TargetMode="External"/><Relationship Id="rId1344" Type="http://schemas.openxmlformats.org/officeDocument/2006/relationships/hyperlink" Target="http://www.social.org.br/artigos/artigo045.htm" TargetMode="External"/><Relationship Id="rId1551" Type="http://schemas.openxmlformats.org/officeDocument/2006/relationships/hyperlink" Target="http://www.conflitoambiental.icict.fiocruz.br/index.php?pag=ficha&amp;amp;co" TargetMode="External"/><Relationship Id="rId50" Type="http://schemas.openxmlformats.org/officeDocument/2006/relationships/hyperlink" Target="http://www.planalto.gov.br/ccivil_03/constituicao/constituicao.htm" TargetMode="External"/><Relationship Id="rId146" Type="http://schemas.openxmlformats.org/officeDocument/2006/relationships/hyperlink" Target="http://verbetes.cetem.gov.br/impressao/ExibeGlossarioResumo.aspx?verid=12" TargetMode="External"/><Relationship Id="rId353" Type="http://schemas.openxmlformats.org/officeDocument/2006/relationships/hyperlink" Target="http://www.anppas.org.br/encontro4/cd/ARQUIVOS/GT2-709-643-" TargetMode="External"/><Relationship Id="rId560" Type="http://schemas.openxmlformats.org/officeDocument/2006/relationships/hyperlink" Target="http://www.aer.adv.br/noticiasMidia.php?numNoticia=0000002992" TargetMode="External"/><Relationship Id="rId798" Type="http://schemas.openxmlformats.org/officeDocument/2006/relationships/hyperlink" Target="http://www.ufpi.br/mestambiente/index/pagina/id/2522" TargetMode="External"/><Relationship Id="rId1190" Type="http://schemas.openxmlformats.org/officeDocument/2006/relationships/hyperlink" Target="http://oglobo.globo.com/economia/mmx-entrega-estudo-de-impacto-" TargetMode="External"/><Relationship Id="rId1204" Type="http://schemas.openxmlformats.org/officeDocument/2006/relationships/hyperlink" Target="http://www.onggasb.com.br/2010/07/secretario-de-meio-ambiente-" TargetMode="External"/><Relationship Id="rId1411" Type="http://schemas.openxmlformats.org/officeDocument/2006/relationships/hyperlink" Target="http://www.mongue.org.br/blongue/?p=898" TargetMode="External"/><Relationship Id="rId1649" Type="http://schemas.openxmlformats.org/officeDocument/2006/relationships/hyperlink" Target="http://verbetes.cetem.gov.br/impressao/ExibeGlossarioResumo.aspx?verid=7" TargetMode="External"/><Relationship Id="rId213" Type="http://schemas.openxmlformats.org/officeDocument/2006/relationships/hyperlink" Target="http://www.prpa.mpf.gov.br/noticias/comunidade-fecha-acesso-a-" TargetMode="External"/><Relationship Id="rId420" Type="http://schemas.openxmlformats.org/officeDocument/2006/relationships/hyperlink" Target="http://www.investimentosenoticias.com.br/setoriais/mineracao-" TargetMode="External"/><Relationship Id="rId658" Type="http://schemas.openxmlformats.org/officeDocument/2006/relationships/hyperlink" Target="http://brasil.infomine.com/properties/listings/24505/MINA_DO_AZUL" TargetMode="External"/><Relationship Id="rId865" Type="http://schemas.openxmlformats.org/officeDocument/2006/relationships/hyperlink" Target="http://www.ibge.com.br/estadosat/" TargetMode="External"/><Relationship Id="rId1050" Type="http://schemas.openxmlformats.org/officeDocument/2006/relationships/hyperlink" Target="http://www.os.org.br/download/despacho_mpt-" TargetMode="External"/><Relationship Id="rId1288" Type="http://schemas.openxmlformats.org/officeDocument/2006/relationships/hyperlink" Target="http://verbetes.cetem.gov.br/impressao/ExibeGlossarioResumo.aspx?verid=15" TargetMode="External"/><Relationship Id="rId1495" Type="http://schemas.openxmlformats.org/officeDocument/2006/relationships/hyperlink" Target="http://www.sebraerj.com.br/data/Pages/SEBRAEAB7A3C39ITEMID8" TargetMode="External"/><Relationship Id="rId1509" Type="http://schemas.openxmlformats.org/officeDocument/2006/relationships/hyperlink" Target="http://diariodovale.uol.com.br/noticias/0%2C59674%2CCSN-nega-danos-a-" TargetMode="External"/><Relationship Id="rId1716" Type="http://schemas.openxmlformats.org/officeDocument/2006/relationships/hyperlink" Target="http://www.unisinos.br/graduacao/bacharelado/geologia/minas_cama" TargetMode="External"/><Relationship Id="rId297" Type="http://schemas.openxmlformats.org/officeDocument/2006/relationships/hyperlink" Target="http://horizon.documentation.ird.fr/exl-" TargetMode="External"/><Relationship Id="rId518" Type="http://schemas.openxmlformats.org/officeDocument/2006/relationships/hyperlink" Target="http://ufrr.br/revista/index.php/adminrr/article/viewFile/579/596" TargetMode="External"/><Relationship Id="rId725" Type="http://schemas.openxmlformats.org/officeDocument/2006/relationships/hyperlink" Target="http://diariodonordeste.globo.com/materia.asp?codigo=734495" TargetMode="External"/><Relationship Id="rId932" Type="http://schemas.openxmlformats.org/officeDocument/2006/relationships/hyperlink" Target="http://busca.ibict.br/" TargetMode="External"/><Relationship Id="rId1148" Type="http://schemas.openxmlformats.org/officeDocument/2006/relationships/hyperlink" Target="http://www.caetemh.com/serra-da-" TargetMode="External"/><Relationship Id="rId1355" Type="http://schemas.openxmlformats.org/officeDocument/2006/relationships/hyperlink" Target="http://verbetes.cetem.gov.br/impressao/ExibeGlossarioResumo.aspx?verid=5" TargetMode="External"/><Relationship Id="rId1562" Type="http://schemas.openxmlformats.org/officeDocument/2006/relationships/hyperlink" Target="http://www.abifibro.com.br/noticia009.html" TargetMode="External"/><Relationship Id="rId157" Type="http://schemas.openxmlformats.org/officeDocument/2006/relationships/hyperlink" Target="http://www.amazonia.org.br/noticias/print.cfm?id=271203" TargetMode="External"/><Relationship Id="rId364" Type="http://schemas.openxmlformats.org/officeDocument/2006/relationships/hyperlink" Target="http://diariodopara.diarioonline.com.br/N-79522.html" TargetMode="External"/><Relationship Id="rId1008" Type="http://schemas.openxmlformats.org/officeDocument/2006/relationships/image" Target="media/image32.png"/><Relationship Id="rId1215" Type="http://schemas.openxmlformats.org/officeDocument/2006/relationships/hyperlink" Target="http://www.cedefes.org.br/index.php?p=politica_detalhe&amp;amp;id_afro=511" TargetMode="External"/><Relationship Id="rId1422" Type="http://schemas.openxmlformats.org/officeDocument/2006/relationships/hyperlink" Target="http://www.valor.com.br/empresas/3173270/btg-e-glencore-vao-" TargetMode="External"/><Relationship Id="rId61" Type="http://schemas.openxmlformats.org/officeDocument/2006/relationships/image" Target="media/image19.png"/><Relationship Id="rId571" Type="http://schemas.openxmlformats.org/officeDocument/2006/relationships/hyperlink" Target="http://www.sescsp.org.br/sesc/revistas_sesc/pb/artigo.cfm?Edicao_I" TargetMode="External"/><Relationship Id="rId669" Type="http://schemas.openxmlformats.org/officeDocument/2006/relationships/hyperlink" Target="http://verbetes.cetem.gov.br/impressao/ExibeGlossarioResumo.aspx?verid=4" TargetMode="External"/><Relationship Id="rId876" Type="http://schemas.openxmlformats.org/officeDocument/2006/relationships/hyperlink" Target="http://www.ibge.gov.br/cidadesat/xtras/perfil.php?codmun=521308&amp;amp;r" TargetMode="External"/><Relationship Id="rId1299" Type="http://schemas.openxmlformats.org/officeDocument/2006/relationships/hyperlink" Target="http://www.scielo.br/pdf/rem/v61n2/a14v61n2.pdf" TargetMode="External"/><Relationship Id="rId1727" Type="http://schemas.openxmlformats.org/officeDocument/2006/relationships/hyperlink" Target="http://www.lume.ufrgs.br/bitstream/handle/10183/8528/000578676.p" TargetMode="External"/><Relationship Id="rId19" Type="http://schemas.openxmlformats.org/officeDocument/2006/relationships/image" Target="media/image5.png"/><Relationship Id="rId224" Type="http://schemas.openxmlformats.org/officeDocument/2006/relationships/hyperlink" Target="http://www.brasilmineral.com.br/BM/default.asp?COD=1258&amp;amp;busca" TargetMode="External"/><Relationship Id="rId431" Type="http://schemas.openxmlformats.org/officeDocument/2006/relationships/hyperlink" Target="http://verbetes.cetem.gov.br/impressao/ExibeGlossarioResumo.aspx?verid=9" TargetMode="External"/><Relationship Id="rId529" Type="http://schemas.openxmlformats.org/officeDocument/2006/relationships/hyperlink" Target="http://www.scielo.br/scielo.php?pid=S0102-" TargetMode="External"/><Relationship Id="rId736" Type="http://schemas.openxmlformats.org/officeDocument/2006/relationships/hyperlink" Target="http://blogs.diariodonordeste.com.br/egidio/cinzas-da-termeletrica-" TargetMode="External"/><Relationship Id="rId1061" Type="http://schemas.openxmlformats.org/officeDocument/2006/relationships/hyperlink" Target="http://books.google.com.br/books?hl=pt-" TargetMode="External"/><Relationship Id="rId1159" Type="http://schemas.openxmlformats.org/officeDocument/2006/relationships/hyperlink" Target="http://noticias.pgr.mpf.gov.br/noticias/noticias-do-site/copy_of_meio-" TargetMode="External"/><Relationship Id="rId1366" Type="http://schemas.openxmlformats.org/officeDocument/2006/relationships/hyperlink" Target="http://www.diariodocomercio.com.br/index.php?conteudoId=94557&amp;amp;n" TargetMode="External"/><Relationship Id="rId168" Type="http://schemas.openxmlformats.org/officeDocument/2006/relationships/hyperlink" Target="http://www1.folha.uol.com.br/folha/brasil/ult96u483691.shtml" TargetMode="External"/><Relationship Id="rId943" Type="http://schemas.openxmlformats.org/officeDocument/2006/relationships/hyperlink" Target="http://www.lapig.iesa.ufg.br/sgm/publicacoes/diag_aval/aprov_rejeito" TargetMode="External"/><Relationship Id="rId1019" Type="http://schemas.openxmlformats.org/officeDocument/2006/relationships/hyperlink" Target="http://geografalando.blogspot.com.br/2011/11/aula-estrutura-gelogica-brasileira.html" TargetMode="External"/><Relationship Id="rId1573" Type="http://schemas.openxmlformats.org/officeDocument/2006/relationships/hyperlink" Target="http://verbetes.cetem.gov.br/impressao/ExibeGlossarioResumo.aspx?verid=8" TargetMode="External"/><Relationship Id="rId72" Type="http://schemas.openxmlformats.org/officeDocument/2006/relationships/hyperlink" Target="http://www.estadao.com.br/noticias/nacional%2Cexpedicao-flagra-" TargetMode="External"/><Relationship Id="rId375" Type="http://schemas.openxmlformats.org/officeDocument/2006/relationships/hyperlink" Target="http://www.bonsucex.com.br/pdf-buritirama.pdf" TargetMode="External"/><Relationship Id="rId582" Type="http://schemas.openxmlformats.org/officeDocument/2006/relationships/hyperlink" Target="http://www.tandfonline.com/doi/abs/10.1080/15320383.2011.594109" TargetMode="External"/><Relationship Id="rId803" Type="http://schemas.openxmlformats.org/officeDocument/2006/relationships/hyperlink" Target="http://www.meionorte.com/juazeirodopiaui/governo-do-estado-cede-" TargetMode="External"/><Relationship Id="rId1226" Type="http://schemas.openxmlformats.org/officeDocument/2006/relationships/hyperlink" Target="http://www.ibge.gov.br/cidadesat/xtras/perfil.php?codmun=314610&amp;amp;r" TargetMode="External"/><Relationship Id="rId1433" Type="http://schemas.openxmlformats.org/officeDocument/2006/relationships/hyperlink" Target="http://www.jb.com.br/rio/noticias/2013/08/10/moradores-" TargetMode="External"/><Relationship Id="rId1640" Type="http://schemas.openxmlformats.org/officeDocument/2006/relationships/hyperlink" Target="http://verbetes.cetem.gov.br/impressao/ExibeGlossarioResumo.aspx?verid=14" TargetMode="External"/><Relationship Id="rId1738" Type="http://schemas.openxmlformats.org/officeDocument/2006/relationships/hyperlink" Target="http://verbetes.cetem.gov.br/impressao/ExibeGlossarioResumo.aspx?verid=16" TargetMode="External"/><Relationship Id="rId3" Type="http://schemas.openxmlformats.org/officeDocument/2006/relationships/settings" Target="settings.xml"/><Relationship Id="rId235" Type="http://schemas.openxmlformats.org/officeDocument/2006/relationships/hyperlink" Target="http://notapajos.globo.com/lernoticias.asp?id=21190" TargetMode="External"/><Relationship Id="rId442" Type="http://schemas.openxmlformats.org/officeDocument/2006/relationships/hyperlink" Target="http://www.carvaocidadao.org.br/empresa/" TargetMode="External"/><Relationship Id="rId887" Type="http://schemas.openxmlformats.org/officeDocument/2006/relationships/hyperlink" Target="http://www.youtube.com/jornaldomeiodia%23p/search/0/YsFYe4nkBFM" TargetMode="External"/><Relationship Id="rId1072" Type="http://schemas.openxmlformats.org/officeDocument/2006/relationships/hyperlink" Target="http://www.ibge.gov.br/cidadesat/xtras/perfil.php?codmun=330220&amp;amp;r" TargetMode="External"/><Relationship Id="rId1500" Type="http://schemas.openxmlformats.org/officeDocument/2006/relationships/hyperlink" Target="http://verbetes.cetem.gov.br/impressao/ExibeGlossarioResumo.aspx?verid=16" TargetMode="External"/><Relationship Id="rId302" Type="http://schemas.openxmlformats.org/officeDocument/2006/relationships/hyperlink" Target="http://verbetes.cetem.gov.br/impressao/ExibeGlossarioResumo.aspx?verid=8" TargetMode="External"/><Relationship Id="rId747" Type="http://schemas.openxmlformats.org/officeDocument/2006/relationships/hyperlink" Target="http://tede.biblioteca.ucg.br/tde_busca/arquivo.php?codArquivo=727" TargetMode="External"/><Relationship Id="rId954" Type="http://schemas.openxmlformats.org/officeDocument/2006/relationships/hyperlink" Target="http://www.sectec.go.gov.br/portal/wp-" TargetMode="External"/><Relationship Id="rId1377" Type="http://schemas.openxmlformats.org/officeDocument/2006/relationships/hyperlink" Target="http://www.ufmg.br/online/arquivos/018138.shtml" TargetMode="External"/><Relationship Id="rId1584" Type="http://schemas.openxmlformats.org/officeDocument/2006/relationships/hyperlink" Target="http://www.bvsde.paho.org/bvsAIDIS/PuertoRico29/gertru.pdf" TargetMode="External"/><Relationship Id="rId83" Type="http://schemas.openxmlformats.org/officeDocument/2006/relationships/hyperlink" Target="http://verbetes.cetem.gov.br/impressao/ExibeGlossarioResumo.aspx?verid=12" TargetMode="External"/><Relationship Id="rId179" Type="http://schemas.openxmlformats.org/officeDocument/2006/relationships/hyperlink" Target="http://www.reporterbrasil.com.br/exibe.php?id=833" TargetMode="External"/><Relationship Id="rId386" Type="http://schemas.openxmlformats.org/officeDocument/2006/relationships/hyperlink" Target="http://oglobo.globo.com/economia/mat/2009/04/16/vale-adia-onca-" TargetMode="External"/><Relationship Id="rId593" Type="http://schemas.openxmlformats.org/officeDocument/2006/relationships/hyperlink" Target="http://www.iica.int/Esp/regiones/sur/brasil/Lists/DocumentosTecnicos" TargetMode="External"/><Relationship Id="rId607" Type="http://schemas.openxmlformats.org/officeDocument/2006/relationships/hyperlink" Target="http://verbetes.cetem.gov.br/impressao/ExibeGlossarioResumo.aspx?verid=11" TargetMode="External"/><Relationship Id="rId814" Type="http://schemas.openxmlformats.org/officeDocument/2006/relationships/hyperlink" Target="http://verbetes.cetem.gov.br/impressao/ExibeGlossarioResumo.aspx?verid=14" TargetMode="External"/><Relationship Id="rId1237" Type="http://schemas.openxmlformats.org/officeDocument/2006/relationships/hyperlink" Target="http://www.sociedadeinclusiva.pucminas.br/sem3/maria_helena_roc" TargetMode="External"/><Relationship Id="rId1444" Type="http://schemas.openxmlformats.org/officeDocument/2006/relationships/hyperlink" Target="http://economia.terra.com.br/noticias/noticia.aspx?idNoticia=2013081" TargetMode="External"/><Relationship Id="rId1651" Type="http://schemas.openxmlformats.org/officeDocument/2006/relationships/hyperlink" Target="http://verbetes.cetem.gov.br/impressao/ExibeGlossarioResumo.aspx?verid=13" TargetMode="External"/><Relationship Id="rId246" Type="http://schemas.openxmlformats.org/officeDocument/2006/relationships/hyperlink" Target="http://www.agb.org.br/evento/download.php?idTrabalho=1281" TargetMode="External"/><Relationship Id="rId453" Type="http://schemas.openxmlformats.org/officeDocument/2006/relationships/hyperlink" Target="http://www.acendebrasil.com.br/archives/v14n02_o-uso-de-carvao-" TargetMode="External"/><Relationship Id="rId660" Type="http://schemas.openxmlformats.org/officeDocument/2006/relationships/hyperlink" Target="http://www.atarde.com.br/cidades/noticia.jsf?id=895252&amp;amp;t=Populaca" TargetMode="External"/><Relationship Id="rId898" Type="http://schemas.openxmlformats.org/officeDocument/2006/relationships/hyperlink" Target="http://www.cut.org.br/destaque-" TargetMode="External"/><Relationship Id="rId1083" Type="http://schemas.openxmlformats.org/officeDocument/2006/relationships/hyperlink" Target="http://www.congonhas.mg.gov.br/arquivos/agenda_21_pdf_0909154" TargetMode="External"/><Relationship Id="rId1290" Type="http://schemas.openxmlformats.org/officeDocument/2006/relationships/hyperlink" Target="http://www.openthesis.org/documents/dos-impactos-sociais-e-" TargetMode="External"/><Relationship Id="rId1304" Type="http://schemas.openxmlformats.org/officeDocument/2006/relationships/hyperlink" Target="http://verbetes.cetem.gov.br/impressao/ExibeGlossarioResumo.aspx?verid=2" TargetMode="External"/><Relationship Id="rId1511" Type="http://schemas.openxmlformats.org/officeDocument/2006/relationships/hyperlink" Target="http://www.scielo.br/scielo.php?pid=S0103-" TargetMode="External"/><Relationship Id="rId1749" Type="http://schemas.openxmlformats.org/officeDocument/2006/relationships/hyperlink" Target="http://verbetes.cetem.gov.br/impressao/ExibeGlossarioResumo.aspx?verid=5" TargetMode="External"/><Relationship Id="rId106" Type="http://schemas.openxmlformats.org/officeDocument/2006/relationships/hyperlink" Target="http://www.ibge.gov.br/cidadesat/painel/painel.php?codmun=160053" TargetMode="External"/><Relationship Id="rId313" Type="http://schemas.openxmlformats.org/officeDocument/2006/relationships/hyperlink" Target="http://www.araraazulfm.com.br/home.php?pag=noticias&amp;amp;noticia=203" TargetMode="External"/><Relationship Id="rId758" Type="http://schemas.openxmlformats.org/officeDocument/2006/relationships/hyperlink" Target="http://www.brasilmineral.com.br/BM/default.asp?COD=5753&amp;amp;busca" TargetMode="External"/><Relationship Id="rId965" Type="http://schemas.openxmlformats.org/officeDocument/2006/relationships/hyperlink" Target="http://www4.fct.unesp.br/ceget/Altamira/Dissertacao.pdf" TargetMode="External"/><Relationship Id="rId1150" Type="http://schemas.openxmlformats.org/officeDocument/2006/relationships/hyperlink" Target="http://www.verdemata.com.br/index.php/noticias/projeto-apolo-" TargetMode="External"/><Relationship Id="rId1388" Type="http://schemas.openxmlformats.org/officeDocument/2006/relationships/hyperlink" Target="http://www.valedosaofrancisco.com.br/Municipios/DivisaoPolitica-" TargetMode="External"/><Relationship Id="rId1595" Type="http://schemas.openxmlformats.org/officeDocument/2006/relationships/hyperlink" Target="http://www.fase.org.br/.../17_030331_caso_nuclemon_radiacao_ron" TargetMode="External"/><Relationship Id="rId1609" Type="http://schemas.openxmlformats.org/officeDocument/2006/relationships/hyperlink" Target="http://www.sapientia.pucsp.br/tde_busca/arquivo.php?codArquivo=1" TargetMode="External"/><Relationship Id="rId10" Type="http://schemas.openxmlformats.org/officeDocument/2006/relationships/footer" Target="footer2.xml"/><Relationship Id="rId94" Type="http://schemas.openxmlformats.org/officeDocument/2006/relationships/hyperlink" Target="http://www.estadao.com.br/noticias/economia%2Cbndes-empresta-" TargetMode="External"/><Relationship Id="rId397" Type="http://schemas.openxmlformats.org/officeDocument/2006/relationships/hyperlink" Target="http://www.ibge.gov.br/cidadesat/xtras/perfil.php?codmun=150680&amp;amp;r" TargetMode="External"/><Relationship Id="rId520" Type="http://schemas.openxmlformats.org/officeDocument/2006/relationships/hyperlink" Target="http://www.folhabv.com.br/Noticia_Impressa.php?id=72676" TargetMode="External"/><Relationship Id="rId618" Type="http://schemas.openxmlformats.org/officeDocument/2006/relationships/hyperlink" Target="http://www.dnpm.gov.br/mostra_arquivo.asp?IDBancoArquivoArquiv" TargetMode="External"/><Relationship Id="rId825" Type="http://schemas.openxmlformats.org/officeDocument/2006/relationships/hyperlink" Target="http://radialismouern.blogspot.com/" TargetMode="External"/><Relationship Id="rId1248" Type="http://schemas.openxmlformats.org/officeDocument/2006/relationships/hyperlink" Target="http://www.justicaambiental.org.br/noar/anexos/acervo/17_080714_e" TargetMode="External"/><Relationship Id="rId1455" Type="http://schemas.openxmlformats.org/officeDocument/2006/relationships/hyperlink" Target="http://www.valor.com.br/empresas/3046282/thyssenkrupp-so-" TargetMode="External"/><Relationship Id="rId1662" Type="http://schemas.openxmlformats.org/officeDocument/2006/relationships/hyperlink" Target="http://www.aen.pr.gov.br/modules/noticias/article.php?storyid=39570" TargetMode="External"/><Relationship Id="rId257" Type="http://schemas.openxmlformats.org/officeDocument/2006/relationships/hyperlink" Target="http://www.ibge.gov.br/cidadesat/painel/painel.php?codmun=150130" TargetMode="External"/><Relationship Id="rId464" Type="http://schemas.openxmlformats.org/officeDocument/2006/relationships/hyperlink" Target="http://www.ibge.gov.br/cidadesat/xtras/perfil.php?codmun=110037&amp;amp;r" TargetMode="External"/><Relationship Id="rId1010" Type="http://schemas.openxmlformats.org/officeDocument/2006/relationships/image" Target="media/image34.png"/><Relationship Id="rId1094" Type="http://schemas.openxmlformats.org/officeDocument/2006/relationships/hyperlink" Target="http://www.congonhas.mg.gov.br/mat_vis.aspx?cd=6485" TargetMode="External"/><Relationship Id="rId1108" Type="http://schemas.openxmlformats.org/officeDocument/2006/relationships/hyperlink" Target="http://www.uai.com.br/htmls/app/noticia173/2010/03/28/noticia_econ" TargetMode="External"/><Relationship Id="rId1315" Type="http://schemas.openxmlformats.org/officeDocument/2006/relationships/hyperlink" Target="http://www.jornaldeuberaba.com.br/?MENU=CadernoB&amp;amp;SUBMENU" TargetMode="External"/><Relationship Id="rId117" Type="http://schemas.openxmlformats.org/officeDocument/2006/relationships/hyperlink" Target="http://www.ambiente.gov.ar/archivos/web/trabajo/File/Latino%20y%252" TargetMode="External"/><Relationship Id="rId671" Type="http://schemas.openxmlformats.org/officeDocument/2006/relationships/hyperlink" Target="http://www.creaba.org.br/Imagens/.../12.../FPI%20Jacobina_2006_2008(1)" TargetMode="External"/><Relationship Id="rId769" Type="http://schemas.openxmlformats.org/officeDocument/2006/relationships/hyperlink" Target="http://www.redeaplmineral.org.br/biblioteca/rochas-" TargetMode="External"/><Relationship Id="rId976" Type="http://schemas.openxmlformats.org/officeDocument/2006/relationships/hyperlink" Target="http://www.scielosp.org/pdf/csc/v14n6/09.pdf" TargetMode="External"/><Relationship Id="rId1399" Type="http://schemas.openxmlformats.org/officeDocument/2006/relationships/hyperlink" Target="http://www.scielosp.org/scielo.php?pid=S1413-" TargetMode="External"/><Relationship Id="rId324" Type="http://schemas.openxmlformats.org/officeDocument/2006/relationships/hyperlink" Target="http://www.cetem.gov.br/publicacao/CTs/CT2002-161-00.pdf" TargetMode="External"/><Relationship Id="rId531" Type="http://schemas.openxmlformats.org/officeDocument/2006/relationships/hyperlink" Target="http://www.abep.nepo.unicamp.br/site_eventos_abep/PDF/ABEP200" TargetMode="External"/><Relationship Id="rId629" Type="http://schemas.openxmlformats.org/officeDocument/2006/relationships/hyperlink" Target="http://www.bibliotecadigital.ufba.br/tde_arquivos/37/TDE-2006-10-" TargetMode="External"/><Relationship Id="rId1161" Type="http://schemas.openxmlformats.org/officeDocument/2006/relationships/hyperlink" Target="http://www.hojeemdia.com.br/noticias/economia-e-" TargetMode="External"/><Relationship Id="rId1259" Type="http://schemas.openxmlformats.org/officeDocument/2006/relationships/hyperlink" Target="http://www.atlasbrasil.org.br/2013/pt/home/" TargetMode="External"/><Relationship Id="rId1466" Type="http://schemas.openxmlformats.org/officeDocument/2006/relationships/hyperlink" Target="http://www.valor.com.br/empresas/2931746/thyssenkrupp-tenta-" TargetMode="External"/><Relationship Id="rId836" Type="http://schemas.openxmlformats.org/officeDocument/2006/relationships/hyperlink" Target="http://www.redeaplmineral.org.br/noticias/extensionismo-como-" TargetMode="External"/><Relationship Id="rId1021" Type="http://schemas.openxmlformats.org/officeDocument/2006/relationships/hyperlink" Target="http://www.ibram.org.br/sites/1300/1382/00003797.pdf" TargetMode="External"/><Relationship Id="rId1119" Type="http://schemas.openxmlformats.org/officeDocument/2006/relationships/hyperlink" Target="http://verbetes.cetem.gov.br/impressao/ExibeGlossarioResumo.aspx?verid=9" TargetMode="External"/><Relationship Id="rId1673" Type="http://schemas.openxmlformats.org/officeDocument/2006/relationships/hyperlink" Target="http://www.usinamaua.com.br/o-consorcio" TargetMode="External"/><Relationship Id="rId903" Type="http://schemas.openxmlformats.org/officeDocument/2006/relationships/hyperlink" Target="http://www.ibge.gov.br/cidadesat/xtras/perfil.php?codmun=520320&amp;amp;r" TargetMode="External"/><Relationship Id="rId1326" Type="http://schemas.openxmlformats.org/officeDocument/2006/relationships/hyperlink" Target="http://ftp.unb.br/pub/download/ig/ProdCient/Resumos/Torres_Gaspar" TargetMode="External"/><Relationship Id="rId1533" Type="http://schemas.openxmlformats.org/officeDocument/2006/relationships/hyperlink" Target="http://aloatodos.blogspot.com.br/2011/02/terras-raras-ainda-mais-" TargetMode="External"/><Relationship Id="rId1740" Type="http://schemas.openxmlformats.org/officeDocument/2006/relationships/hyperlink" Target="http://www.aprendendoaexportar.gov.br/gemasejoias/pdf/Polo_de_G" TargetMode="External"/><Relationship Id="rId32" Type="http://schemas.openxmlformats.org/officeDocument/2006/relationships/hyperlink" Target="http://lattes.cnpq.br/5431327978284302" TargetMode="External"/><Relationship Id="rId1600" Type="http://schemas.openxmlformats.org/officeDocument/2006/relationships/hyperlink" Target="http://blogs.estadao.com.br/eduardo" TargetMode="External"/><Relationship Id="rId181" Type="http://schemas.openxmlformats.org/officeDocument/2006/relationships/hyperlink" Target="http://www.brasilmineral.com.br/BM/default.asp?COD=549&amp;amp;busca" TargetMode="External"/><Relationship Id="rId279" Type="http://schemas.openxmlformats.org/officeDocument/2006/relationships/hyperlink" Target="http://www.viravida.org.br/noticias/ler/403" TargetMode="External"/><Relationship Id="rId486" Type="http://schemas.openxmlformats.org/officeDocument/2006/relationships/hyperlink" Target="http://www.scielo.br/pdf/rem/v56n4/v56n4a03.pdf" TargetMode="External"/><Relationship Id="rId693" Type="http://schemas.openxmlformats.org/officeDocument/2006/relationships/hyperlink" Target="http://verbetes.cetem.gov.br/impressao/ExibeGlossarioResumo.aspx?verid=12" TargetMode="External"/><Relationship Id="rId139" Type="http://schemas.openxmlformats.org/officeDocument/2006/relationships/hyperlink" Target="http://www.scielo.br/pdf/ea/v19n53/24088.pdf" TargetMode="External"/><Relationship Id="rId346" Type="http://schemas.openxmlformats.org/officeDocument/2006/relationships/hyperlink" Target="http://verbetes.cetem.gov.br/impressao/ExibeGlossarioResumo.aspx?verid=8" TargetMode="External"/><Relationship Id="rId553" Type="http://schemas.openxmlformats.org/officeDocument/2006/relationships/hyperlink" Target="http://www.scielosp.org/scielo.php?pid=S1413-" TargetMode="External"/><Relationship Id="rId760" Type="http://schemas.openxmlformats.org/officeDocument/2006/relationships/hyperlink" Target="http://www.fundacaoararipe.org.br/content/viewContent.php?IDconte" TargetMode="External"/><Relationship Id="rId998" Type="http://schemas.openxmlformats.org/officeDocument/2006/relationships/hyperlink" Target="http://www.ibge.gov.br/cidadesat/topwindow.htm?1" TargetMode="External"/><Relationship Id="rId1183" Type="http://schemas.openxmlformats.org/officeDocument/2006/relationships/hyperlink" Target="http://www.mmx.com.br/pt/nossos-negocios/Paginas/Unidade-Bom-" TargetMode="External"/><Relationship Id="rId1390" Type="http://schemas.openxmlformats.org/officeDocument/2006/relationships/hyperlink" Target="http://verbetes.cetem.gov.br/impressao/ExibeGlossarioResumo.aspx?verid=2" TargetMode="External"/><Relationship Id="rId206" Type="http://schemas.openxmlformats.org/officeDocument/2006/relationships/hyperlink" Target="http://www.alcoa.com/brazil/pt/news/releases/2009_12_14.asp?initS" TargetMode="External"/><Relationship Id="rId413" Type="http://schemas.openxmlformats.org/officeDocument/2006/relationships/hyperlink" Target="http://www.valoronline.com.br/online/brasil/1/295802/governo-vai-" TargetMode="External"/><Relationship Id="rId858" Type="http://schemas.openxmlformats.org/officeDocument/2006/relationships/hyperlink" Target="mailto:ffernandes@cetem.gov.br" TargetMode="External"/><Relationship Id="rId1043" Type="http://schemas.openxmlformats.org/officeDocument/2006/relationships/hyperlink" Target="http://rochasornamentais1.tripod.com/2001/Itu2/Itu2.pdf" TargetMode="External"/><Relationship Id="rId1488" Type="http://schemas.openxmlformats.org/officeDocument/2006/relationships/hyperlink" Target="http://www.redeaplmineral.org.br/biblioteca/rochas-" TargetMode="External"/><Relationship Id="rId1695" Type="http://schemas.openxmlformats.org/officeDocument/2006/relationships/hyperlink" Target="http://verbetes.cetem.gov.br/impressao/ExibeGlossarioResumo.aspx?verid=9" TargetMode="External"/><Relationship Id="rId620" Type="http://schemas.openxmlformats.org/officeDocument/2006/relationships/hyperlink" Target="http://www.inovacaotecnologica.com.br/noticias/noticia.php?artigo=0" TargetMode="External"/><Relationship Id="rId718" Type="http://schemas.openxmlformats.org/officeDocument/2006/relationships/hyperlink" Target="http://www.ecodebate.com.br/2010/01/23/caetite-ba-radioatividade-" TargetMode="External"/><Relationship Id="rId925" Type="http://schemas.openxmlformats.org/officeDocument/2006/relationships/hyperlink" Target="http://www.kinross.com/pdf/operations/Technical-Report-Crixas.pdf" TargetMode="External"/><Relationship Id="rId1250" Type="http://schemas.openxmlformats.org/officeDocument/2006/relationships/hyperlink" Target="http://www.kinross.com/pdf/operations/Technical-Report-" TargetMode="External"/><Relationship Id="rId1348" Type="http://schemas.openxmlformats.org/officeDocument/2006/relationships/hyperlink" Target="http://verbetes.cetem.gov.br/impressao/ExibeGlossarioResumo.aspx?verid=12" TargetMode="External"/><Relationship Id="rId1555" Type="http://schemas.openxmlformats.org/officeDocument/2006/relationships/hyperlink" Target="http://issuu.com/paulobidegain/docs/5rios_bhbsepetiba" TargetMode="External"/><Relationship Id="rId1762" Type="http://schemas.openxmlformats.org/officeDocument/2006/relationships/hyperlink" Target="http://www.aviculturaindustrial.com.br/PortalGessulli/WebSite/Noticia" TargetMode="External"/><Relationship Id="rId1110" Type="http://schemas.openxmlformats.org/officeDocument/2006/relationships/hyperlink" Target="http://www.ibram.org.br/003/00301009.asp?ttCD_CHAVE=52660" TargetMode="External"/><Relationship Id="rId1208" Type="http://schemas.openxmlformats.org/officeDocument/2006/relationships/hyperlink" Target="http://verbetes.cetem.gov.br/impressao/ExibeGlossarioResumo.aspx?verid=12" TargetMode="External"/><Relationship Id="rId1415" Type="http://schemas.openxmlformats.org/officeDocument/2006/relationships/hyperlink" Target="http://ri.mmx.com.br/Show.aspx" TargetMode="External"/><Relationship Id="rId54" Type="http://schemas.openxmlformats.org/officeDocument/2006/relationships/hyperlink" Target="http://www.sidra.ibge.gov.br/" TargetMode="External"/><Relationship Id="rId1622" Type="http://schemas.openxmlformats.org/officeDocument/2006/relationships/hyperlink" Target="http://www.cetem.gov.br/agrominerais/novolivro/cap7.pdf" TargetMode="External"/><Relationship Id="rId270" Type="http://schemas.openxmlformats.org/officeDocument/2006/relationships/hyperlink" Target="http://www.ipef.br/servicos/teses/arquivos/vidal%2Cm.pdf" TargetMode="External"/><Relationship Id="rId130" Type="http://schemas.openxmlformats.org/officeDocument/2006/relationships/hyperlink" Target="http://200.20.105.7/cyted-" TargetMode="External"/><Relationship Id="rId368" Type="http://schemas.openxmlformats.org/officeDocument/2006/relationships/hyperlink" Target="http://www.mineracaoburitirama.com.br/meio_ambiente.php" TargetMode="External"/><Relationship Id="rId575" Type="http://schemas.openxmlformats.org/officeDocument/2006/relationships/hyperlink" Target="http://dialogos.ftc.br/index.php?option=com_content&amp;amp;task=view&amp;amp;id=2" TargetMode="External"/><Relationship Id="rId782" Type="http://schemas.openxmlformats.org/officeDocument/2006/relationships/hyperlink" Target="http://www.ibge.gov.br/cidadesat/xtras/perfil.php?codmun=210315&amp;amp;r" TargetMode="External"/><Relationship Id="rId228" Type="http://schemas.openxmlformats.org/officeDocument/2006/relationships/hyperlink" Target="http://www.forumcarajas.org.br/portal.php?artigo&amp;amp;mostra&amp;amp;2880" TargetMode="External"/><Relationship Id="rId435" Type="http://schemas.openxmlformats.org/officeDocument/2006/relationships/hyperlink" Target="http://www.brasilmineral.com.br/BM/default.asp?numero=312" TargetMode="External"/><Relationship Id="rId642" Type="http://schemas.openxmlformats.org/officeDocument/2006/relationships/hyperlink" Target="http://www.brumado.ba.gov.br/historia.php" TargetMode="External"/><Relationship Id="rId1065" Type="http://schemas.openxmlformats.org/officeDocument/2006/relationships/hyperlink" Target="http://g1.globo.com/Noticias/Brasil/0%2C%2CAA1418269-5598%2C00.html" TargetMode="External"/><Relationship Id="rId1272" Type="http://schemas.openxmlformats.org/officeDocument/2006/relationships/hyperlink" Target="http://www.almg.gov.br/munmg/m65206.asp" TargetMode="External"/><Relationship Id="rId502" Type="http://schemas.openxmlformats.org/officeDocument/2006/relationships/hyperlink" Target="http://www.dnpm.gov.br/assets/galeriadocumento/balancomineral20" TargetMode="External"/><Relationship Id="rId947" Type="http://schemas.openxmlformats.org/officeDocument/2006/relationships/hyperlink" Target="http://www.ibge.gov.br/cidadesat/topwindow.htm?1" TargetMode="External"/><Relationship Id="rId1132" Type="http://schemas.openxmlformats.org/officeDocument/2006/relationships/hyperlink" Target="http://verbetes.cetem.gov.br/impressao/ExibeGlossarioResumo.aspx?verid=9" TargetMode="External"/><Relationship Id="rId1577" Type="http://schemas.openxmlformats.org/officeDocument/2006/relationships/hyperlink" Target="http://www.periodicos.rc.biblioteca.unesp.br/index.php/estgeo/article/" TargetMode="External"/><Relationship Id="rId76" Type="http://schemas.openxmlformats.org/officeDocument/2006/relationships/hyperlink" Target="http://www.estadao.com.br/noticias/nacional%2Creserva-indigena-" TargetMode="External"/><Relationship Id="rId807" Type="http://schemas.openxmlformats.org/officeDocument/2006/relationships/hyperlink" Target="http://180graus.com/geral/mesmo-" TargetMode="External"/><Relationship Id="rId1437" Type="http://schemas.openxmlformats.org/officeDocument/2006/relationships/hyperlink" Target="http://www.llx.com.br/cgi/cgilua.exe/sys/start.htm?sid=162&amp;amp;lng=br" TargetMode="External"/><Relationship Id="rId1644" Type="http://schemas.openxmlformats.org/officeDocument/2006/relationships/hyperlink" Target="http://www.ibge.gov.br/cidadesat/topwindow.htm?1" TargetMode="External"/><Relationship Id="rId1504" Type="http://schemas.openxmlformats.org/officeDocument/2006/relationships/hyperlink" Target="http://www.anppas.or/" TargetMode="External"/><Relationship Id="rId1711" Type="http://schemas.openxmlformats.org/officeDocument/2006/relationships/hyperlink" Target="http://www.unisinos.org.br/graduacao/bacharelado/geologia/mina" TargetMode="External"/><Relationship Id="rId292" Type="http://schemas.openxmlformats.org/officeDocument/2006/relationships/hyperlink" Target="http://www.mstpara.com.br/2010/10/ocupacao-da-" TargetMode="External"/><Relationship Id="rId597" Type="http://schemas.openxmlformats.org/officeDocument/2006/relationships/hyperlink" Target="http://www.google.com.br/url?sa=t&amp;amp;rct=j&amp;amp;q&amp;amp;esrc=s&amp;amp;frm=1&amp;amp;source" TargetMode="External"/><Relationship Id="rId152" Type="http://schemas.openxmlformats.org/officeDocument/2006/relationships/hyperlink" Target="http://acordaamapa.blogspot.com/2007/04/garimpo-bomba-relgio-no-" TargetMode="External"/><Relationship Id="rId457" Type="http://schemas.openxmlformats.org/officeDocument/2006/relationships/hyperlink" Target="http://agenciameios.com.br/noticias/noticia/284" TargetMode="External"/><Relationship Id="rId1087" Type="http://schemas.openxmlformats.org/officeDocument/2006/relationships/hyperlink" Target="http://www.ibge.gov.br/cidadesat/topwindow.html1" TargetMode="External"/><Relationship Id="rId1294" Type="http://schemas.openxmlformats.org/officeDocument/2006/relationships/hyperlink" Target="http://www.bibliotecadigital.unicamp.br/document/?code=vtls000406" TargetMode="External"/><Relationship Id="rId664" Type="http://schemas.openxmlformats.org/officeDocument/2006/relationships/hyperlink" Target="http://verbetes.cetem.gov.br/impressao/ExibeGlossarioResumo.aspx?verid=12" TargetMode="External"/><Relationship Id="rId871" Type="http://schemas.openxmlformats.org/officeDocument/2006/relationships/hyperlink" Target="http://www2.inca.gov.br/wps/wcm/connect/agencianoticias/site/home" TargetMode="External"/><Relationship Id="rId969" Type="http://schemas.openxmlformats.org/officeDocument/2006/relationships/hyperlink" Target="http://www.campogrande.news.com.br/canais/view/?canal=8&amp;amp;id=229" TargetMode="External"/><Relationship Id="rId1599" Type="http://schemas.openxmlformats.org/officeDocument/2006/relationships/hyperlink" Target="http://coisassaopaulo.blogspot.com.br/2011/08/80-toneladas-de-lixo-" TargetMode="External"/><Relationship Id="rId317" Type="http://schemas.openxmlformats.org/officeDocument/2006/relationships/hyperlink" Target="http://diplomatique.uol.com.br/artigo.php?id=733" TargetMode="External"/><Relationship Id="rId524" Type="http://schemas.openxmlformats.org/officeDocument/2006/relationships/hyperlink" Target="http://fantastico.globo.com/Jornalismo/FANT/0%2C%2C15605-p-" TargetMode="External"/><Relationship Id="rId731" Type="http://schemas.openxmlformats.org/officeDocument/2006/relationships/hyperlink" Target="http://www.conflitoambiental.icict.fiocruz.br/index.php?pag=ficha&amp;amp;co" TargetMode="External"/><Relationship Id="rId1154" Type="http://schemas.openxmlformats.org/officeDocument/2006/relationships/hyperlink" Target="http://www.novojornal.com/minas/noticia/vale-quer-area-maior-do-" TargetMode="External"/><Relationship Id="rId1361" Type="http://schemas.openxmlformats.org/officeDocument/2006/relationships/hyperlink" Target="http://oglobo.globo.com/economia/votorantim-eleva-" TargetMode="External"/><Relationship Id="rId1459" Type="http://schemas.openxmlformats.org/officeDocument/2006/relationships/hyperlink" Target="http://www.pacs.org.br/uploaded_files/20091126224843_printed_out" TargetMode="External"/><Relationship Id="rId98" Type="http://schemas.openxmlformats.org/officeDocument/2006/relationships/hyperlink" Target="http://periodicos.unifap.br/index.php/pracs/article/download/32/55" TargetMode="External"/><Relationship Id="rId829" Type="http://schemas.openxmlformats.org/officeDocument/2006/relationships/hyperlink" Target="http://www.cetem.gov.br/publicacao/serie_anais_XIII_jic_2005/Ferna" TargetMode="External"/><Relationship Id="rId1014" Type="http://schemas.openxmlformats.org/officeDocument/2006/relationships/image" Target="media/image38.png"/><Relationship Id="rId1221" Type="http://schemas.openxmlformats.org/officeDocument/2006/relationships/hyperlink" Target="http://verbetes.cetem.gov.br/impressao/ExibeGlossarioResumo.aspx?verid=2" TargetMode="External"/><Relationship Id="rId1666" Type="http://schemas.openxmlformats.org/officeDocument/2006/relationships/hyperlink" Target="http://www.ibge.gov.br/cidadesat/topwindow.htm?1" TargetMode="External"/><Relationship Id="rId1319" Type="http://schemas.openxmlformats.org/officeDocument/2006/relationships/hyperlink" Target="http://pelicano.ipen.br/PosG30/TextoCompleto/Angela%20Cristina%25" TargetMode="External"/><Relationship Id="rId1526" Type="http://schemas.openxmlformats.org/officeDocument/2006/relationships/hyperlink" Target="http://www.brasilmineral.com.br/BM/default.asp?COD=5540&amp;amp;busca" TargetMode="External"/><Relationship Id="rId1733" Type="http://schemas.openxmlformats.org/officeDocument/2006/relationships/hyperlink" Target="http://www.visiteminasdocamaqua.com/historiacbc.html" TargetMode="External"/><Relationship Id="rId25" Type="http://schemas.openxmlformats.org/officeDocument/2006/relationships/hyperlink" Target="http://conflitosambientaismg.lcc.ufmg.br/" TargetMode="External"/><Relationship Id="rId174" Type="http://schemas.openxmlformats.org/officeDocument/2006/relationships/hyperlink" Target="http://verbetes.cetem.gov.br/impressao/ExibeGlossarioResumo.aspx?verid=9" TargetMode="External"/><Relationship Id="rId381" Type="http://schemas.openxmlformats.org/officeDocument/2006/relationships/hyperlink" Target="http://www.ecodebate.com.br/2008/06/20/aspectos-da-" TargetMode="External"/><Relationship Id="rId241" Type="http://schemas.openxmlformats.org/officeDocument/2006/relationships/hyperlink" Target="http://www.cetem.gov.br/publicacao/CTs/CT2009-067-00.pdf" TargetMode="External"/><Relationship Id="rId479" Type="http://schemas.openxmlformats.org/officeDocument/2006/relationships/hyperlink" Target="http://www.arca.fiocruz.br/bitstream/icict/2426/1/ENSP_Disserta%C3" TargetMode="External"/><Relationship Id="rId686" Type="http://schemas.openxmlformats.org/officeDocument/2006/relationships/hyperlink" Target="http://www.mdic.gov.br/arquivos/dwnl_1247146619.pdf" TargetMode="External"/><Relationship Id="rId893" Type="http://schemas.openxmlformats.org/officeDocument/2006/relationships/hyperlink" Target="http://tede.biblioteca.ucg.br/tde_busca/arquivo.php?codArquivo=471" TargetMode="External"/><Relationship Id="rId339" Type="http://schemas.openxmlformats.org/officeDocument/2006/relationships/hyperlink" Target="http://adalbertofranklin.por.com.br/wp-" TargetMode="External"/><Relationship Id="rId546" Type="http://schemas.openxmlformats.org/officeDocument/2006/relationships/image" Target="media/image25.png"/><Relationship Id="rId753" Type="http://schemas.openxmlformats.org/officeDocument/2006/relationships/hyperlink" Target="http://www.santaquiterianoticias.com.br/sqn/?noticia=2130&amp;amp;titulo=SA" TargetMode="External"/><Relationship Id="rId1176" Type="http://schemas.openxmlformats.org/officeDocument/2006/relationships/hyperlink" Target="http://oglobo.globo.com/economia/mmx-vai-destinar-5-bilhoes-serra-" TargetMode="External"/><Relationship Id="rId1383" Type="http://schemas.openxmlformats.org/officeDocument/2006/relationships/hyperlink" Target="http://www.conflitoambiental.icict.fiocruz.br/index.php?pag=ficha&amp;amp;co" TargetMode="External"/><Relationship Id="rId101" Type="http://schemas.openxmlformats.org/officeDocument/2006/relationships/hyperlink" Target="http://verbetes.cetem.gov.br/impressao/ExibeGlossarioResumo.aspx?verid=6" TargetMode="External"/><Relationship Id="rId406" Type="http://schemas.openxmlformats.org/officeDocument/2006/relationships/hyperlink" Target="http://crtucuma.blogspot.com.br/2012/07/funai-tucuma-pa-apreende-" TargetMode="External"/><Relationship Id="rId960" Type="http://schemas.openxmlformats.org/officeDocument/2006/relationships/hyperlink" Target="http://www.sidra.ibge.gov.br/bda/tabela/protabl.asp?c=291&amp;amp;z=t&amp;amp;o=1" TargetMode="External"/><Relationship Id="rId1036" Type="http://schemas.openxmlformats.org/officeDocument/2006/relationships/hyperlink" Target="http://www.bvsde.paho.org/bvsaidis/uruguay30/BR05454_MAGACH" TargetMode="External"/><Relationship Id="rId1243" Type="http://schemas.openxmlformats.org/officeDocument/2006/relationships/image" Target="media/image42.png"/><Relationship Id="rId1590" Type="http://schemas.openxmlformats.org/officeDocument/2006/relationships/hyperlink" Target="http://verbetes.cetem.gov.br/impressao/ExibeGlossarioResumo.aspx?verid=9" TargetMode="External"/><Relationship Id="rId1688" Type="http://schemas.openxmlformats.org/officeDocument/2006/relationships/hyperlink" Target="http://www.bemparana.com.br/index.php?n=31584&amp;amp;t=liminar-" TargetMode="External"/><Relationship Id="rId613" Type="http://schemas.openxmlformats.org/officeDocument/2006/relationships/hyperlink" Target="http://www.brasilminingsite.com.br/anexos/artigos/16_0.pdf" TargetMode="External"/><Relationship Id="rId820" Type="http://schemas.openxmlformats.org/officeDocument/2006/relationships/hyperlink" Target="http://www.redenet.edu.br/publicacoes/arquivos/20080213_083245_" TargetMode="External"/><Relationship Id="rId918" Type="http://schemas.openxmlformats.org/officeDocument/2006/relationships/hyperlink" Target="http://www.abep.nepo.unicamp/" TargetMode="External"/><Relationship Id="rId1450" Type="http://schemas.openxmlformats.org/officeDocument/2006/relationships/hyperlink" Target="http://verbetes.cetem.gov.br/impressao/ExibeGlossarioResumo.aspx?verid=9" TargetMode="External"/><Relationship Id="rId1548" Type="http://schemas.openxmlformats.org/officeDocument/2006/relationships/hyperlink" Target="http://www.ibge.gov.br/cidadesat/xtras/perfil.php?codmun=330200&amp;amp;r" TargetMode="External"/><Relationship Id="rId1755" Type="http://schemas.openxmlformats.org/officeDocument/2006/relationships/hyperlink" Target="http://revistaepoca.globo.com/Revista/Epoca/0%2C%2CEMI80423-16270%2C00-" TargetMode="External"/><Relationship Id="rId1103" Type="http://schemas.openxmlformats.org/officeDocument/2006/relationships/hyperlink" Target="http://www.brasilmineral.com.br/BM/default.asp?COD=4637&amp;amp;busca" TargetMode="External"/><Relationship Id="rId1310" Type="http://schemas.openxmlformats.org/officeDocument/2006/relationships/hyperlink" Target="http://www.diariodearaxa.com.br/index.php?go=noticia&amp;amp;ed=20&amp;amp;id=1" TargetMode="External"/><Relationship Id="rId1408" Type="http://schemas.openxmlformats.org/officeDocument/2006/relationships/hyperlink" Target="http://www.ibge.gov.br/cidadesat/xtras/perfil.php?codmun=330200&amp;amp;r" TargetMode="External"/><Relationship Id="rId47" Type="http://schemas.openxmlformats.org/officeDocument/2006/relationships/image" Target="media/image16.png"/><Relationship Id="rId1615" Type="http://schemas.openxmlformats.org/officeDocument/2006/relationships/hyperlink" Target="http://200.20.105.247/publicacao/serie_anais_XV_jic_2007/Bernardo" TargetMode="External"/><Relationship Id="rId196" Type="http://schemas.openxmlformats.org/officeDocument/2006/relationships/hyperlink" Target="http://economia.ig.com.br/empresas/industria/vale%2Bprepara%2Bmaior%2Be" TargetMode="External"/><Relationship Id="rId263" Type="http://schemas.openxmlformats.org/officeDocument/2006/relationships/hyperlink" Target="http://www.ufpa.br/naea/gerencia/ler_publicacao.php?id=253" TargetMode="External"/><Relationship Id="rId470" Type="http://schemas.openxmlformats.org/officeDocument/2006/relationships/hyperlink" Target="http://libdigi.unicamp.br/document/?code=vtls000375632" TargetMode="External"/><Relationship Id="rId123" Type="http://schemas.openxmlformats.org/officeDocument/2006/relationships/hyperlink" Target="http://www.ana.gov.br/AcoesAdministrativas/RelatorioGestao/Rio10/Rioma" TargetMode="External"/><Relationship Id="rId330" Type="http://schemas.openxmlformats.org/officeDocument/2006/relationships/hyperlink" Target="http://www.cetem.gov.br/aquarios/documentos/2009/xii_egal/XII_EG" TargetMode="External"/><Relationship Id="rId568" Type="http://schemas.openxmlformats.org/officeDocument/2006/relationships/hyperlink" Target="http://www.prba.mpf.gov.br/links-" TargetMode="External"/><Relationship Id="rId775" Type="http://schemas.openxmlformats.org/officeDocument/2006/relationships/hyperlink" Target="http://www1.folha.uol.com.br/folha/bbc/ult272u312863.shtml" TargetMode="External"/><Relationship Id="rId982" Type="http://schemas.openxmlformats.org/officeDocument/2006/relationships/hyperlink" Target="http://verbetes.cetem.gov.br/impressao/ExibeGlossarioResumo.aspx?verid=11" TargetMode="External"/><Relationship Id="rId1198" Type="http://schemas.openxmlformats.org/officeDocument/2006/relationships/hyperlink" Target="http://www.geoparkquadrilatero.org/?pg=conteudo&amp;amp;id=162&amp;amp;L=PTBR" TargetMode="External"/><Relationship Id="rId428" Type="http://schemas.openxmlformats.org/officeDocument/2006/relationships/hyperlink" Target="http://www1.folha.uol.com.br/folha/dinheiro/ult91u114747.shtml" TargetMode="External"/><Relationship Id="rId635" Type="http://schemas.openxmlformats.org/officeDocument/2006/relationships/hyperlink" Target="http://www.ibge.gov.br/cidadesat/xtras/perfil.php?codmun=290520&amp;amp;r" TargetMode="External"/><Relationship Id="rId842" Type="http://schemas.openxmlformats.org/officeDocument/2006/relationships/hyperlink" Target="http://marte.dpi.inpe.br/col/dpi.inpe.br/sbsr%4080/2008/11.17.21.53.31/" TargetMode="External"/><Relationship Id="rId1058" Type="http://schemas.openxmlformats.org/officeDocument/2006/relationships/hyperlink" Target="http://www.uai.com.br/htmls/app/noticia173/2010/01/15/noticia_mina" TargetMode="External"/><Relationship Id="rId1265" Type="http://schemas.openxmlformats.org/officeDocument/2006/relationships/hyperlink" Target="http://www.scielo.br/scielo.php?pid=S0370-" TargetMode="External"/><Relationship Id="rId1472" Type="http://schemas.openxmlformats.org/officeDocument/2006/relationships/hyperlink" Target="http://verbetes.cetem.gov.br/impressao/ExibeGlossarioResumo.aspx?verid=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294479</Words>
  <Characters>1590191</Characters>
  <Application>Microsoft Office Word</Application>
  <DocSecurity>0</DocSecurity>
  <Lines>13251</Lines>
  <Paragraphs>3761</Paragraphs>
  <ScaleCrop>false</ScaleCrop>
  <Company>Hewlett-Packard Company</Company>
  <LinksUpToDate>false</LinksUpToDate>
  <CharactersWithSpaces>1880909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 Introducao_BRASIL_versao_final_29jan2014</dc:title>
  <dc:creator>rrocha</dc:creator>
  <cp:lastModifiedBy>fcastro</cp:lastModifiedBy>
  <cp:revision>3</cp:revision>
  <dcterms:created xsi:type="dcterms:W3CDTF">2018-07-31T18:33:00Z</dcterms:created>
  <dcterms:modified xsi:type="dcterms:W3CDTF">2018-07-31T18:33:00Z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2014-01-30T00:00:00Z</vt:filetime>
  </property>
  <property fmtid="{D5CDD505-2E9C-101B-9397-08002B2CF9AE}" pid="3" name="Creator">
    <vt:lpwstr>PScript5.dll Version 5.2.2</vt:lpwstr>
  </property>
  <property fmtid="{D5CDD505-2E9C-101B-9397-08002B2CF9AE}" pid="4" name="LastSaved">
    <vt:filetime>2018-04-02T00:00:00Z</vt:filetime>
  </property>
</Properties>
</file>